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C23" w:rsidRDefault="006C1C23" w:rsidP="006C1C23">
      <w:pPr>
        <w:jc w:val="center"/>
        <w:rPr>
          <w:rFonts w:ascii="黑体" w:eastAsia="黑体" w:hAnsi="黑体"/>
          <w:sz w:val="52"/>
          <w:szCs w:val="52"/>
        </w:rPr>
      </w:pPr>
      <w:r>
        <w:rPr>
          <w:rFonts w:ascii="黑体" w:eastAsia="黑体" w:hAnsi="黑体"/>
          <w:b/>
          <w:noProof/>
          <w:sz w:val="72"/>
          <w:szCs w:val="72"/>
        </w:rPr>
        <w:drawing>
          <wp:anchor distT="0" distB="0" distL="114300" distR="114300" simplePos="0" relativeHeight="251659264" behindDoc="0" locked="0" layoutInCell="1" allowOverlap="1" wp14:anchorId="7D5821DB" wp14:editId="3917B835">
            <wp:simplePos x="0" y="0"/>
            <wp:positionH relativeFrom="column">
              <wp:posOffset>427990</wp:posOffset>
            </wp:positionH>
            <wp:positionV relativeFrom="paragraph">
              <wp:posOffset>235585</wp:posOffset>
            </wp:positionV>
            <wp:extent cx="882650" cy="882650"/>
            <wp:effectExtent l="0" t="0" r="1270" b="1270"/>
            <wp:wrapNone/>
            <wp:docPr id="3" name="图片 3" descr="C:\Users\Administrator\Desktop\t0141113db110fc6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t0141113db110fc68c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82650" cy="882650"/>
                    </a:xfrm>
                    <a:prstGeom prst="rect">
                      <a:avLst/>
                    </a:prstGeom>
                    <a:noFill/>
                    <a:ln>
                      <a:noFill/>
                    </a:ln>
                  </pic:spPr>
                </pic:pic>
              </a:graphicData>
            </a:graphic>
          </wp:anchor>
        </w:drawing>
      </w:r>
    </w:p>
    <w:p w:rsidR="006C1C23" w:rsidRDefault="006C1C23" w:rsidP="006C1C23">
      <w:pPr>
        <w:rPr>
          <w:rFonts w:ascii="宋体" w:hAnsi="宋体"/>
          <w:b/>
          <w:sz w:val="36"/>
          <w:szCs w:val="36"/>
        </w:rPr>
      </w:pPr>
    </w:p>
    <w:p w:rsidR="006C1C23" w:rsidRDefault="006C1C23" w:rsidP="006C1C23">
      <w:pPr>
        <w:jc w:val="center"/>
        <w:rPr>
          <w:rFonts w:ascii="宋体" w:hAnsi="宋体"/>
          <w:b/>
          <w:sz w:val="36"/>
          <w:szCs w:val="36"/>
        </w:rPr>
      </w:pPr>
    </w:p>
    <w:p w:rsidR="006C1C23" w:rsidRDefault="006C1C23" w:rsidP="006C1C23">
      <w:pPr>
        <w:spacing w:line="480" w:lineRule="auto"/>
        <w:rPr>
          <w:rFonts w:ascii="宋体" w:hAnsi="宋体"/>
          <w:b/>
          <w:sz w:val="36"/>
          <w:szCs w:val="36"/>
        </w:rPr>
      </w:pPr>
    </w:p>
    <w:p w:rsidR="006C1C23" w:rsidRDefault="006C1C23" w:rsidP="006C1C23">
      <w:pPr>
        <w:spacing w:line="480" w:lineRule="auto"/>
        <w:jc w:val="center"/>
        <w:rPr>
          <w:rFonts w:ascii="黑体" w:eastAsia="黑体" w:hAnsi="黑体"/>
          <w:b/>
          <w:sz w:val="72"/>
          <w:szCs w:val="72"/>
        </w:rPr>
      </w:pPr>
      <w:r>
        <w:rPr>
          <w:rFonts w:ascii="黑体" w:eastAsia="黑体" w:hAnsi="黑体" w:hint="eastAsia"/>
          <w:b/>
          <w:sz w:val="72"/>
          <w:szCs w:val="72"/>
        </w:rPr>
        <w:t>长安大学</w:t>
      </w:r>
    </w:p>
    <w:p w:rsidR="006C1C23" w:rsidRDefault="006C1C23" w:rsidP="006C1C23">
      <w:pPr>
        <w:spacing w:line="480" w:lineRule="auto"/>
        <w:jc w:val="center"/>
        <w:rPr>
          <w:rFonts w:ascii="黑体" w:eastAsia="黑体" w:hAnsi="黑体"/>
          <w:b/>
          <w:sz w:val="72"/>
          <w:szCs w:val="72"/>
        </w:rPr>
      </w:pPr>
      <w:r>
        <w:rPr>
          <w:rFonts w:ascii="黑体" w:eastAsia="黑体" w:hAnsi="黑体" w:hint="eastAsia"/>
          <w:b/>
          <w:sz w:val="72"/>
          <w:szCs w:val="72"/>
        </w:rPr>
        <w:t>本科课程教学大纲汇编</w:t>
      </w:r>
    </w:p>
    <w:p w:rsidR="006C1C23" w:rsidRDefault="006C1C23" w:rsidP="006C1C23">
      <w:pPr>
        <w:spacing w:line="480" w:lineRule="auto"/>
        <w:jc w:val="center"/>
        <w:rPr>
          <w:rFonts w:ascii="黑体" w:eastAsia="黑体" w:hAnsi="黑体"/>
          <w:color w:val="FF0000"/>
          <w:sz w:val="72"/>
          <w:szCs w:val="72"/>
        </w:rPr>
      </w:pPr>
      <w:r>
        <w:rPr>
          <w:rFonts w:ascii="黑体" w:eastAsia="黑体" w:hAnsi="黑体" w:hint="eastAsia"/>
          <w:b/>
          <w:sz w:val="72"/>
          <w:szCs w:val="72"/>
        </w:rPr>
        <w:t>(2020版)</w:t>
      </w:r>
    </w:p>
    <w:p w:rsidR="006C1C23" w:rsidRDefault="006C1C23" w:rsidP="006C1C23">
      <w:pPr>
        <w:jc w:val="center"/>
        <w:rPr>
          <w:rFonts w:ascii="黑体" w:eastAsia="黑体" w:hAnsi="黑体"/>
          <w:b/>
          <w:sz w:val="52"/>
          <w:szCs w:val="52"/>
        </w:rPr>
      </w:pPr>
    </w:p>
    <w:p w:rsidR="006C1C23" w:rsidRDefault="006C1C23" w:rsidP="006C1C23">
      <w:pPr>
        <w:jc w:val="center"/>
        <w:rPr>
          <w:rFonts w:ascii="黑体" w:eastAsia="黑体" w:hAnsi="黑体"/>
          <w:b/>
          <w:sz w:val="72"/>
          <w:szCs w:val="72"/>
        </w:rPr>
      </w:pPr>
    </w:p>
    <w:p w:rsidR="006C1C23" w:rsidRDefault="006C1C23" w:rsidP="006C1C23">
      <w:pPr>
        <w:jc w:val="center"/>
        <w:rPr>
          <w:rFonts w:ascii="黑体" w:eastAsia="黑体" w:hAnsi="黑体"/>
          <w:b/>
          <w:sz w:val="72"/>
          <w:szCs w:val="72"/>
        </w:rPr>
      </w:pPr>
    </w:p>
    <w:p w:rsidR="006C1C23" w:rsidRDefault="006C1C23" w:rsidP="006C1C23">
      <w:pPr>
        <w:jc w:val="center"/>
        <w:rPr>
          <w:rFonts w:ascii="黑体" w:eastAsia="黑体" w:hAnsi="黑体"/>
          <w:b/>
          <w:sz w:val="72"/>
          <w:szCs w:val="72"/>
        </w:rPr>
      </w:pPr>
    </w:p>
    <w:p w:rsidR="00E45A29" w:rsidRDefault="006C1C23" w:rsidP="006C1C23">
      <w:pPr>
        <w:jc w:val="center"/>
        <w:rPr>
          <w:rFonts w:ascii="华文中宋" w:eastAsia="华文中宋" w:hAnsi="华文中宋"/>
          <w:b/>
          <w:sz w:val="36"/>
          <w:szCs w:val="36"/>
        </w:rPr>
        <w:sectPr w:rsidR="00E45A29">
          <w:footerReference w:type="default" r:id="rId8"/>
          <w:pgSz w:w="11906" w:h="16838"/>
          <w:pgMar w:top="1440" w:right="1800" w:bottom="1440" w:left="1800" w:header="851" w:footer="992" w:gutter="0"/>
          <w:cols w:space="425"/>
          <w:docGrid w:type="lines" w:linePitch="312"/>
        </w:sectPr>
      </w:pPr>
      <w:r>
        <w:rPr>
          <w:rFonts w:ascii="华文中宋" w:eastAsia="华文中宋" w:hAnsi="华文中宋" w:hint="eastAsia"/>
          <w:b/>
          <w:sz w:val="36"/>
          <w:szCs w:val="36"/>
        </w:rPr>
        <w:t>建筑工程学院</w:t>
      </w:r>
    </w:p>
    <w:p w:rsidR="006C1C23" w:rsidRDefault="006C1C23" w:rsidP="006C1C23">
      <w:pPr>
        <w:jc w:val="center"/>
        <w:rPr>
          <w:rFonts w:ascii="华文中宋" w:eastAsia="华文中宋" w:hAnsi="华文中宋"/>
          <w:b/>
          <w:sz w:val="36"/>
          <w:szCs w:val="36"/>
        </w:rPr>
      </w:pPr>
    </w:p>
    <w:p w:rsidR="006C1C23" w:rsidRDefault="006C1C23" w:rsidP="006C1C23">
      <w:pPr>
        <w:widowControl/>
        <w:rPr>
          <w:rFonts w:ascii="华文隶书" w:eastAsia="华文隶书" w:hAnsi="黑体"/>
          <w:b/>
          <w:sz w:val="36"/>
          <w:szCs w:val="36"/>
        </w:rPr>
      </w:pPr>
    </w:p>
    <w:p w:rsidR="00E45A29" w:rsidRDefault="00E45A29" w:rsidP="006C1C23">
      <w:pPr>
        <w:widowControl/>
        <w:rPr>
          <w:rFonts w:ascii="华文隶书" w:eastAsia="华文隶书" w:hAnsi="黑体"/>
          <w:b/>
          <w:sz w:val="36"/>
          <w:szCs w:val="36"/>
        </w:rPr>
      </w:pPr>
    </w:p>
    <w:p w:rsidR="00E45A29" w:rsidRDefault="00E45A29" w:rsidP="006C1C23">
      <w:pPr>
        <w:widowControl/>
        <w:rPr>
          <w:rFonts w:ascii="华文隶书" w:eastAsia="华文隶书" w:hAnsi="黑体"/>
          <w:b/>
          <w:sz w:val="36"/>
          <w:szCs w:val="36"/>
        </w:rPr>
      </w:pPr>
    </w:p>
    <w:p w:rsidR="00E45A29" w:rsidRDefault="00E45A29" w:rsidP="006C1C23">
      <w:pPr>
        <w:widowControl/>
        <w:rPr>
          <w:rFonts w:ascii="华文隶书" w:eastAsia="华文隶书" w:hAnsi="黑体"/>
          <w:b/>
          <w:sz w:val="36"/>
          <w:szCs w:val="36"/>
        </w:rPr>
      </w:pPr>
    </w:p>
    <w:p w:rsidR="00E45A29" w:rsidRDefault="00E45A29" w:rsidP="00E45A29">
      <w:pPr>
        <w:rPr>
          <w:rFonts w:ascii="华文中宋" w:eastAsia="华文中宋" w:hAnsi="华文中宋" w:hint="eastAsia"/>
          <w:b/>
          <w:sz w:val="36"/>
          <w:szCs w:val="36"/>
        </w:rPr>
      </w:pPr>
    </w:p>
    <w:p w:rsidR="006C1C23" w:rsidRDefault="006C1C23" w:rsidP="006C1C23">
      <w:pPr>
        <w:jc w:val="center"/>
        <w:rPr>
          <w:rFonts w:ascii="黑体" w:eastAsia="黑体" w:hAnsi="黑体"/>
          <w:b/>
          <w:sz w:val="30"/>
          <w:szCs w:val="30"/>
          <w:lang w:eastAsia="zh-TW"/>
        </w:rPr>
      </w:pPr>
      <w:r>
        <w:rPr>
          <w:rFonts w:ascii="黑体" w:eastAsia="黑体" w:hAnsi="黑体" w:hint="eastAsia"/>
          <w:b/>
          <w:sz w:val="30"/>
          <w:szCs w:val="30"/>
          <w:lang w:eastAsia="zh-TW"/>
        </w:rPr>
        <w:lastRenderedPageBreak/>
        <w:t>目   录</w:t>
      </w:r>
    </w:p>
    <w:p w:rsidR="006C1C23" w:rsidRDefault="006C1C23" w:rsidP="006C1C23">
      <w:pPr>
        <w:rPr>
          <w:rFonts w:ascii="黑体" w:eastAsia="黑体" w:hAnsi="黑体"/>
          <w:b/>
          <w:sz w:val="28"/>
          <w:szCs w:val="28"/>
          <w:lang w:eastAsia="zh-TW"/>
        </w:rPr>
      </w:pPr>
      <w:r>
        <w:rPr>
          <w:rFonts w:ascii="黑体" w:eastAsia="黑体" w:hAnsi="黑体" w:hint="eastAsia"/>
          <w:b/>
          <w:sz w:val="28"/>
          <w:szCs w:val="28"/>
          <w:lang w:eastAsia="zh-TW"/>
        </w:rPr>
        <w:t>学科基础课程</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1.</w:t>
      </w:r>
      <w:r w:rsidRPr="00702523">
        <w:rPr>
          <w:rFonts w:ascii="Times New Roman" w:hAnsi="Times New Roman" w:hint="eastAsia"/>
          <w:b w:val="0"/>
          <w:color w:val="000000" w:themeColor="text1"/>
          <w:sz w:val="24"/>
          <w:szCs w:val="21"/>
        </w:rPr>
        <w:tab/>
        <w:t>X2807</w:t>
      </w:r>
      <w:r w:rsidRPr="00702523">
        <w:rPr>
          <w:rFonts w:ascii="Times New Roman" w:hAnsi="Times New Roman"/>
          <w:b w:val="0"/>
          <w:color w:val="000000" w:themeColor="text1"/>
          <w:sz w:val="24"/>
          <w:szCs w:val="21"/>
        </w:rPr>
        <w:t>1</w:t>
      </w:r>
      <w:r w:rsidRPr="00702523">
        <w:rPr>
          <w:rFonts w:ascii="Times New Roman" w:hAnsi="Times New Roman" w:hint="eastAsia"/>
          <w:b w:val="0"/>
          <w:color w:val="000000" w:themeColor="text1"/>
          <w:sz w:val="24"/>
          <w:szCs w:val="21"/>
        </w:rPr>
        <w:t>10</w:t>
      </w:r>
      <w:r w:rsidRPr="00702523">
        <w:rPr>
          <w:rFonts w:ascii="Times New Roman" w:hAnsi="Times New Roman" w:hint="eastAsia"/>
          <w:b w:val="0"/>
          <w:color w:val="000000" w:themeColor="text1"/>
          <w:sz w:val="24"/>
          <w:szCs w:val="21"/>
        </w:rPr>
        <w:t>工程热力学</w:t>
      </w:r>
      <w:r w:rsidRPr="00702523">
        <w:rPr>
          <w:rFonts w:ascii="Times New Roman" w:hAnsi="Times New Roman" w:hint="eastAsia"/>
          <w:b w:val="0"/>
          <w:color w:val="000000" w:themeColor="text1"/>
          <w:sz w:val="24"/>
          <w:szCs w:val="21"/>
        </w:rPr>
        <w:tab/>
      </w:r>
      <w:r w:rsidR="00E45A29">
        <w:rPr>
          <w:rFonts w:ascii="Times New Roman" w:hAnsi="Times New Roman"/>
          <w:b w:val="0"/>
          <w:color w:val="000000" w:themeColor="text1"/>
          <w:sz w:val="24"/>
          <w:szCs w:val="21"/>
        </w:rPr>
        <w:t>8</w:t>
      </w:r>
      <w:bookmarkStart w:id="0" w:name="_GoBack"/>
      <w:bookmarkEnd w:id="0"/>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2.</w:t>
      </w:r>
      <w:r w:rsidRPr="00702523">
        <w:rPr>
          <w:rFonts w:ascii="Times New Roman" w:hAnsi="Times New Roman" w:hint="eastAsia"/>
          <w:b w:val="0"/>
          <w:color w:val="000000" w:themeColor="text1"/>
          <w:sz w:val="24"/>
          <w:szCs w:val="21"/>
        </w:rPr>
        <w:tab/>
        <w:t>X2807</w:t>
      </w:r>
      <w:r w:rsidRPr="00702523">
        <w:rPr>
          <w:rFonts w:ascii="Times New Roman" w:hAnsi="Times New Roman"/>
          <w:b w:val="0"/>
          <w:color w:val="000000" w:themeColor="text1"/>
          <w:sz w:val="24"/>
          <w:szCs w:val="21"/>
        </w:rPr>
        <w:t>1</w:t>
      </w:r>
      <w:r w:rsidRPr="00702523">
        <w:rPr>
          <w:rFonts w:ascii="Times New Roman" w:hAnsi="Times New Roman" w:hint="eastAsia"/>
          <w:b w:val="0"/>
          <w:color w:val="000000" w:themeColor="text1"/>
          <w:sz w:val="24"/>
          <w:szCs w:val="21"/>
        </w:rPr>
        <w:t>20</w:t>
      </w:r>
      <w:r w:rsidRPr="00702523">
        <w:rPr>
          <w:rFonts w:ascii="Times New Roman" w:hAnsi="Times New Roman" w:hint="eastAsia"/>
          <w:b w:val="0"/>
          <w:color w:val="000000" w:themeColor="text1"/>
          <w:sz w:val="24"/>
          <w:szCs w:val="21"/>
        </w:rPr>
        <w:t>流体力学</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14</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3.</w:t>
      </w:r>
      <w:r w:rsidRPr="00702523">
        <w:rPr>
          <w:rFonts w:ascii="Times New Roman" w:hAnsi="Times New Roman" w:hint="eastAsia"/>
          <w:b w:val="0"/>
          <w:color w:val="000000" w:themeColor="text1"/>
          <w:sz w:val="24"/>
          <w:szCs w:val="21"/>
        </w:rPr>
        <w:tab/>
        <w:t>X2807030</w:t>
      </w:r>
      <w:r w:rsidRPr="00702523">
        <w:rPr>
          <w:rFonts w:ascii="Times New Roman" w:hAnsi="Times New Roman" w:hint="eastAsia"/>
          <w:b w:val="0"/>
          <w:color w:val="000000" w:themeColor="text1"/>
          <w:sz w:val="24"/>
          <w:szCs w:val="21"/>
        </w:rPr>
        <w:t>传热学</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23</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4.</w:t>
      </w:r>
      <w:r w:rsidRPr="00702523">
        <w:rPr>
          <w:rFonts w:ascii="Times New Roman" w:hAnsi="Times New Roman" w:hint="eastAsia"/>
          <w:b w:val="0"/>
          <w:color w:val="000000" w:themeColor="text1"/>
          <w:sz w:val="24"/>
          <w:szCs w:val="21"/>
        </w:rPr>
        <w:tab/>
        <w:t>X2807040</w:t>
      </w:r>
      <w:r w:rsidRPr="00702523">
        <w:rPr>
          <w:rFonts w:ascii="Times New Roman" w:hAnsi="Times New Roman" w:hint="eastAsia"/>
          <w:b w:val="0"/>
          <w:color w:val="000000" w:themeColor="text1"/>
          <w:sz w:val="24"/>
          <w:szCs w:val="21"/>
        </w:rPr>
        <w:t>建筑环境学</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31</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5.</w:t>
      </w:r>
      <w:r w:rsidRPr="00702523">
        <w:rPr>
          <w:rFonts w:ascii="Times New Roman" w:hAnsi="Times New Roman" w:hint="eastAsia"/>
          <w:b w:val="0"/>
          <w:color w:val="000000" w:themeColor="text1"/>
          <w:sz w:val="24"/>
          <w:szCs w:val="21"/>
        </w:rPr>
        <w:tab/>
        <w:t>X2807</w:t>
      </w:r>
      <w:r w:rsidRPr="00702523">
        <w:rPr>
          <w:rFonts w:ascii="Times New Roman" w:hAnsi="Times New Roman"/>
          <w:b w:val="0"/>
          <w:color w:val="000000" w:themeColor="text1"/>
          <w:sz w:val="24"/>
          <w:szCs w:val="21"/>
        </w:rPr>
        <w:t>1</w:t>
      </w:r>
      <w:r w:rsidRPr="00702523">
        <w:rPr>
          <w:rFonts w:ascii="Times New Roman" w:hAnsi="Times New Roman" w:hint="eastAsia"/>
          <w:b w:val="0"/>
          <w:color w:val="000000" w:themeColor="text1"/>
          <w:sz w:val="24"/>
          <w:szCs w:val="21"/>
        </w:rPr>
        <w:t>50</w:t>
      </w:r>
      <w:r w:rsidRPr="00702523">
        <w:rPr>
          <w:rFonts w:ascii="Times New Roman" w:hAnsi="Times New Roman" w:hint="eastAsia"/>
          <w:b w:val="0"/>
          <w:color w:val="000000" w:themeColor="text1"/>
          <w:sz w:val="24"/>
          <w:szCs w:val="21"/>
        </w:rPr>
        <w:t>自动控制原理</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38</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6.</w:t>
      </w:r>
      <w:r w:rsidRPr="00702523">
        <w:rPr>
          <w:rFonts w:ascii="Times New Roman" w:hAnsi="Times New Roman" w:hint="eastAsia"/>
          <w:b w:val="0"/>
          <w:color w:val="000000" w:themeColor="text1"/>
          <w:sz w:val="24"/>
          <w:szCs w:val="21"/>
        </w:rPr>
        <w:tab/>
        <w:t>X2807060</w:t>
      </w:r>
      <w:r w:rsidRPr="00702523">
        <w:rPr>
          <w:rFonts w:ascii="Times New Roman" w:hAnsi="Times New Roman" w:hint="eastAsia"/>
          <w:b w:val="0"/>
          <w:color w:val="000000" w:themeColor="text1"/>
          <w:sz w:val="24"/>
          <w:szCs w:val="21"/>
        </w:rPr>
        <w:t>流体输配管网</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45</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7.</w:t>
      </w:r>
      <w:r w:rsidRPr="00702523">
        <w:rPr>
          <w:rFonts w:ascii="Times New Roman" w:hAnsi="Times New Roman" w:hint="eastAsia"/>
          <w:b w:val="0"/>
          <w:color w:val="000000" w:themeColor="text1"/>
          <w:sz w:val="24"/>
          <w:szCs w:val="21"/>
        </w:rPr>
        <w:tab/>
        <w:t>X2807</w:t>
      </w:r>
      <w:r w:rsidRPr="00702523">
        <w:rPr>
          <w:rFonts w:ascii="Times New Roman" w:hAnsi="Times New Roman"/>
          <w:b w:val="0"/>
          <w:color w:val="000000" w:themeColor="text1"/>
          <w:sz w:val="24"/>
          <w:szCs w:val="21"/>
        </w:rPr>
        <w:t>1</w:t>
      </w:r>
      <w:r w:rsidRPr="00702523">
        <w:rPr>
          <w:rFonts w:ascii="Times New Roman" w:hAnsi="Times New Roman" w:hint="eastAsia"/>
          <w:b w:val="0"/>
          <w:color w:val="000000" w:themeColor="text1"/>
          <w:sz w:val="24"/>
          <w:szCs w:val="21"/>
        </w:rPr>
        <w:t>70</w:t>
      </w:r>
      <w:r w:rsidRPr="00702523">
        <w:rPr>
          <w:rFonts w:ascii="Times New Roman" w:hAnsi="Times New Roman" w:hint="eastAsia"/>
          <w:b w:val="0"/>
          <w:color w:val="000000" w:themeColor="text1"/>
          <w:sz w:val="24"/>
          <w:szCs w:val="21"/>
        </w:rPr>
        <w:t>热质交换原理与设备</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56</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8.</w:t>
      </w:r>
      <w:r w:rsidRPr="00702523">
        <w:rPr>
          <w:rFonts w:ascii="Times New Roman" w:hAnsi="Times New Roman" w:hint="eastAsia"/>
          <w:b w:val="0"/>
          <w:color w:val="000000" w:themeColor="text1"/>
          <w:sz w:val="24"/>
          <w:szCs w:val="21"/>
        </w:rPr>
        <w:tab/>
        <w:t>X2807080</w:t>
      </w:r>
      <w:r w:rsidRPr="00702523">
        <w:rPr>
          <w:rFonts w:ascii="Times New Roman" w:hAnsi="Times New Roman" w:hint="eastAsia"/>
          <w:b w:val="0"/>
          <w:color w:val="000000" w:themeColor="text1"/>
          <w:sz w:val="24"/>
          <w:szCs w:val="21"/>
        </w:rPr>
        <w:t>水力学</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63</w:t>
      </w:r>
    </w:p>
    <w:p w:rsidR="006C1C23" w:rsidRDefault="006C1C23" w:rsidP="006C1C23">
      <w:pPr>
        <w:jc w:val="left"/>
      </w:pPr>
      <w:r>
        <w:rPr>
          <w:rFonts w:ascii="黑体" w:eastAsia="黑体" w:hAnsi="黑体" w:hint="eastAsia"/>
          <w:b/>
          <w:sz w:val="28"/>
          <w:szCs w:val="28"/>
          <w:lang w:eastAsia="zh-TW"/>
        </w:rPr>
        <w:t>专业发展课程</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1</w:t>
      </w:r>
      <w:r w:rsidRPr="00702523">
        <w:rPr>
          <w:rFonts w:ascii="Times New Roman" w:hAnsi="Times New Roman" w:hint="eastAsia"/>
          <w:b w:val="0"/>
          <w:color w:val="000000" w:themeColor="text1"/>
          <w:sz w:val="24"/>
          <w:szCs w:val="21"/>
        </w:rPr>
        <w:t>.</w:t>
      </w:r>
      <w:r w:rsidRPr="00702523">
        <w:rPr>
          <w:rFonts w:ascii="Times New Roman" w:hAnsi="Times New Roman" w:hint="eastAsia"/>
          <w:b w:val="0"/>
          <w:color w:val="000000" w:themeColor="text1"/>
          <w:sz w:val="24"/>
          <w:szCs w:val="21"/>
        </w:rPr>
        <w:tab/>
        <w:t>Z2801010</w:t>
      </w:r>
      <w:r w:rsidRPr="00702523">
        <w:rPr>
          <w:rFonts w:ascii="Times New Roman" w:hAnsi="Times New Roman" w:hint="eastAsia"/>
          <w:b w:val="0"/>
          <w:color w:val="000000" w:themeColor="text1"/>
          <w:sz w:val="24"/>
          <w:szCs w:val="21"/>
        </w:rPr>
        <w:t>土木工程概论</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71</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2</w:t>
      </w:r>
      <w:r w:rsidRPr="00702523">
        <w:rPr>
          <w:rFonts w:ascii="Times New Roman" w:hAnsi="Times New Roman" w:hint="eastAsia"/>
          <w:b w:val="0"/>
          <w:color w:val="000000" w:themeColor="text1"/>
          <w:sz w:val="24"/>
          <w:szCs w:val="21"/>
        </w:rPr>
        <w:t>.</w:t>
      </w:r>
      <w:r w:rsidRPr="00702523">
        <w:rPr>
          <w:rFonts w:ascii="Times New Roman" w:hAnsi="Times New Roman" w:hint="eastAsia"/>
          <w:b w:val="0"/>
          <w:color w:val="000000" w:themeColor="text1"/>
          <w:sz w:val="24"/>
          <w:szCs w:val="21"/>
        </w:rPr>
        <w:tab/>
        <w:t>Z2801020</w:t>
      </w:r>
      <w:r w:rsidRPr="00702523">
        <w:rPr>
          <w:rFonts w:ascii="Times New Roman" w:hAnsi="Times New Roman" w:hint="eastAsia"/>
          <w:b w:val="0"/>
          <w:color w:val="000000" w:themeColor="text1"/>
          <w:sz w:val="24"/>
          <w:szCs w:val="21"/>
        </w:rPr>
        <w:t>混凝土结构基本理论</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80</w:t>
      </w:r>
    </w:p>
    <w:p w:rsidR="006C1C23" w:rsidRPr="00702523" w:rsidRDefault="00B70E4F"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3</w:t>
      </w:r>
      <w:r w:rsidR="006C1C23" w:rsidRPr="00702523">
        <w:rPr>
          <w:rFonts w:ascii="Times New Roman" w:hAnsi="Times New Roman" w:hint="eastAsia"/>
          <w:b w:val="0"/>
          <w:color w:val="000000" w:themeColor="text1"/>
          <w:sz w:val="24"/>
          <w:szCs w:val="21"/>
        </w:rPr>
        <w:t>.</w:t>
      </w:r>
      <w:r w:rsidR="006C1C23" w:rsidRPr="00702523">
        <w:rPr>
          <w:rFonts w:ascii="Times New Roman" w:hAnsi="Times New Roman" w:hint="eastAsia"/>
          <w:b w:val="0"/>
          <w:color w:val="000000" w:themeColor="text1"/>
          <w:sz w:val="24"/>
          <w:szCs w:val="21"/>
        </w:rPr>
        <w:tab/>
        <w:t>Z2801030</w:t>
      </w:r>
      <w:r w:rsidR="006C1C23" w:rsidRPr="00702523">
        <w:rPr>
          <w:rFonts w:ascii="Times New Roman" w:hAnsi="Times New Roman" w:hint="eastAsia"/>
          <w:b w:val="0"/>
          <w:color w:val="000000" w:themeColor="text1"/>
          <w:sz w:val="24"/>
          <w:szCs w:val="21"/>
        </w:rPr>
        <w:t>结构检验</w:t>
      </w:r>
      <w:r w:rsidR="006C1C23"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93</w:t>
      </w:r>
    </w:p>
    <w:p w:rsidR="00B70E4F" w:rsidRPr="00702523" w:rsidRDefault="00B70E4F" w:rsidP="00B70E4F">
      <w:pPr>
        <w:pStyle w:val="10"/>
        <w:tabs>
          <w:tab w:val="right" w:leader="dot" w:pos="9736"/>
        </w:tabs>
        <w:ind w:left="420" w:hanging="420"/>
        <w:rPr>
          <w:color w:val="000000" w:themeColor="text1"/>
        </w:rPr>
      </w:pPr>
      <w:r w:rsidRPr="00702523">
        <w:rPr>
          <w:rFonts w:ascii="Times New Roman" w:hAnsi="Times New Roman" w:hint="eastAsia"/>
          <w:b w:val="0"/>
          <w:color w:val="000000" w:themeColor="text1"/>
          <w:sz w:val="24"/>
          <w:szCs w:val="21"/>
        </w:rPr>
        <w:t>4</w:t>
      </w:r>
      <w:r w:rsidRPr="00702523">
        <w:rPr>
          <w:rFonts w:ascii="Times New Roman" w:hAnsi="Times New Roman"/>
          <w:b w:val="0"/>
          <w:color w:val="000000" w:themeColor="text1"/>
          <w:sz w:val="24"/>
          <w:szCs w:val="21"/>
        </w:rPr>
        <w:t>.</w:t>
      </w:r>
      <w:r w:rsidRPr="00702523">
        <w:rPr>
          <w:rFonts w:ascii="Times New Roman" w:hAnsi="Times New Roman" w:hint="eastAsia"/>
          <w:b w:val="0"/>
          <w:color w:val="000000" w:themeColor="text1"/>
          <w:sz w:val="24"/>
          <w:szCs w:val="21"/>
        </w:rPr>
        <w:t xml:space="preserve"> </w:t>
      </w:r>
      <w:r w:rsidRPr="00702523">
        <w:rPr>
          <w:rFonts w:ascii="Times New Roman" w:hAnsi="Times New Roman"/>
          <w:b w:val="0"/>
          <w:color w:val="000000" w:themeColor="text1"/>
          <w:sz w:val="24"/>
          <w:szCs w:val="21"/>
        </w:rPr>
        <w:t xml:space="preserve"> </w:t>
      </w:r>
      <w:r w:rsidRPr="00702523">
        <w:rPr>
          <w:rFonts w:ascii="Times New Roman" w:hAnsi="Times New Roman" w:hint="eastAsia"/>
          <w:b w:val="0"/>
          <w:color w:val="000000" w:themeColor="text1"/>
          <w:sz w:val="24"/>
          <w:szCs w:val="21"/>
        </w:rPr>
        <w:t>Z2801040</w:t>
      </w:r>
      <w:r w:rsidRPr="00702523">
        <w:rPr>
          <w:rFonts w:ascii="Times New Roman" w:hAnsi="Times New Roman" w:hint="eastAsia"/>
          <w:b w:val="0"/>
          <w:color w:val="000000" w:themeColor="text1"/>
          <w:sz w:val="24"/>
          <w:szCs w:val="21"/>
        </w:rPr>
        <w:t>专业外语</w:t>
      </w:r>
      <w:r w:rsidR="00823A08"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102</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5.</w:t>
      </w:r>
      <w:r w:rsidRPr="00702523">
        <w:rPr>
          <w:rFonts w:ascii="Times New Roman" w:hAnsi="Times New Roman" w:hint="eastAsia"/>
          <w:b w:val="0"/>
          <w:color w:val="000000" w:themeColor="text1"/>
          <w:sz w:val="24"/>
          <w:szCs w:val="21"/>
        </w:rPr>
        <w:tab/>
      </w:r>
      <w:r w:rsidR="00B70E4F" w:rsidRPr="00702523">
        <w:rPr>
          <w:rFonts w:ascii="Times New Roman" w:hAnsi="Times New Roman" w:hint="eastAsia"/>
          <w:b w:val="0"/>
          <w:color w:val="000000" w:themeColor="text1"/>
          <w:sz w:val="24"/>
          <w:szCs w:val="21"/>
        </w:rPr>
        <w:t>Z2801050</w:t>
      </w:r>
      <w:r w:rsidR="00B70E4F" w:rsidRPr="00702523">
        <w:rPr>
          <w:rFonts w:ascii="Times New Roman" w:hAnsi="Times New Roman" w:hint="eastAsia"/>
          <w:b w:val="0"/>
          <w:color w:val="000000" w:themeColor="text1"/>
          <w:sz w:val="24"/>
          <w:szCs w:val="21"/>
        </w:rPr>
        <w:t>混凝土与砌体结构</w:t>
      </w:r>
      <w:r w:rsidR="00A2100C" w:rsidRPr="00702523">
        <w:rPr>
          <w:rFonts w:ascii="Times New Roman" w:hAnsi="Times New Roman" w:hint="eastAsia"/>
          <w:b w:val="0"/>
          <w:color w:val="000000" w:themeColor="text1"/>
          <w:sz w:val="24"/>
          <w:szCs w:val="21"/>
        </w:rPr>
        <w:t>（建筑工程）</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111</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6.</w:t>
      </w:r>
      <w:r w:rsidRPr="00702523">
        <w:rPr>
          <w:rFonts w:ascii="Times New Roman" w:hAnsi="Times New Roman" w:hint="eastAsia"/>
          <w:b w:val="0"/>
          <w:color w:val="000000" w:themeColor="text1"/>
          <w:sz w:val="24"/>
          <w:szCs w:val="21"/>
        </w:rPr>
        <w:tab/>
      </w:r>
      <w:r w:rsidR="00B70E4F" w:rsidRPr="00702523">
        <w:rPr>
          <w:rFonts w:ascii="Times New Roman" w:hAnsi="Times New Roman" w:hint="eastAsia"/>
          <w:b w:val="0"/>
          <w:color w:val="000000" w:themeColor="text1"/>
          <w:sz w:val="24"/>
          <w:szCs w:val="21"/>
        </w:rPr>
        <w:t>Z2801060</w:t>
      </w:r>
      <w:r w:rsidR="00B70E4F" w:rsidRPr="00702523">
        <w:rPr>
          <w:rFonts w:ascii="Times New Roman" w:hAnsi="Times New Roman" w:hint="eastAsia"/>
          <w:b w:val="0"/>
          <w:color w:val="000000" w:themeColor="text1"/>
          <w:sz w:val="24"/>
          <w:szCs w:val="21"/>
        </w:rPr>
        <w:t>工程事故分析及处理</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117</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7.</w:t>
      </w:r>
      <w:r w:rsidRPr="00702523">
        <w:rPr>
          <w:rFonts w:ascii="Times New Roman" w:hAnsi="Times New Roman" w:hint="eastAsia"/>
          <w:b w:val="0"/>
          <w:color w:val="000000" w:themeColor="text1"/>
          <w:sz w:val="24"/>
          <w:szCs w:val="21"/>
        </w:rPr>
        <w:tab/>
      </w:r>
      <w:r w:rsidR="00B70E4F" w:rsidRPr="00702523">
        <w:rPr>
          <w:rFonts w:ascii="Times New Roman" w:hAnsi="Times New Roman" w:hint="eastAsia"/>
          <w:b w:val="0"/>
          <w:color w:val="000000" w:themeColor="text1"/>
          <w:sz w:val="24"/>
          <w:szCs w:val="21"/>
        </w:rPr>
        <w:t>Z2801070</w:t>
      </w:r>
      <w:r w:rsidR="00B70E4F" w:rsidRPr="00702523">
        <w:rPr>
          <w:rFonts w:ascii="Times New Roman" w:hAnsi="Times New Roman" w:hint="eastAsia"/>
          <w:b w:val="0"/>
          <w:color w:val="000000" w:themeColor="text1"/>
          <w:sz w:val="24"/>
          <w:szCs w:val="21"/>
        </w:rPr>
        <w:t>结构概念与体系</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125</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8.</w:t>
      </w:r>
      <w:r w:rsidRPr="00702523">
        <w:rPr>
          <w:rFonts w:ascii="Times New Roman" w:hAnsi="Times New Roman" w:hint="eastAsia"/>
          <w:b w:val="0"/>
          <w:color w:val="000000" w:themeColor="text1"/>
          <w:sz w:val="24"/>
          <w:szCs w:val="21"/>
        </w:rPr>
        <w:tab/>
      </w:r>
      <w:r w:rsidR="00B70E4F" w:rsidRPr="00702523">
        <w:rPr>
          <w:rFonts w:ascii="Times New Roman" w:hAnsi="Times New Roman" w:hint="eastAsia"/>
          <w:b w:val="0"/>
          <w:color w:val="000000" w:themeColor="text1"/>
          <w:sz w:val="24"/>
          <w:szCs w:val="21"/>
        </w:rPr>
        <w:t>Z2801080</w:t>
      </w:r>
      <w:r w:rsidR="00B70E4F" w:rsidRPr="00702523">
        <w:rPr>
          <w:rFonts w:ascii="Times New Roman" w:hAnsi="Times New Roman" w:hint="eastAsia"/>
          <w:b w:val="0"/>
          <w:color w:val="000000" w:themeColor="text1"/>
          <w:sz w:val="24"/>
          <w:szCs w:val="21"/>
        </w:rPr>
        <w:t>公路桥梁工程概论</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131</w:t>
      </w:r>
    </w:p>
    <w:p w:rsidR="006C1C23"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9.</w:t>
      </w:r>
      <w:r w:rsidRPr="00702523">
        <w:rPr>
          <w:rFonts w:ascii="Times New Roman" w:hAnsi="Times New Roman" w:hint="eastAsia"/>
          <w:b w:val="0"/>
          <w:color w:val="000000" w:themeColor="text1"/>
          <w:sz w:val="24"/>
          <w:szCs w:val="21"/>
        </w:rPr>
        <w:tab/>
      </w:r>
      <w:r w:rsidR="00B70E4F" w:rsidRPr="00702523">
        <w:rPr>
          <w:rFonts w:ascii="Times New Roman" w:hAnsi="Times New Roman" w:hint="eastAsia"/>
          <w:b w:val="0"/>
          <w:color w:val="000000" w:themeColor="text1"/>
          <w:sz w:val="24"/>
          <w:szCs w:val="21"/>
        </w:rPr>
        <w:t>Z2801</w:t>
      </w:r>
      <w:r w:rsidR="00B70E4F" w:rsidRPr="00702523">
        <w:rPr>
          <w:rFonts w:ascii="Times New Roman" w:hAnsi="Times New Roman"/>
          <w:b w:val="0"/>
          <w:color w:val="000000" w:themeColor="text1"/>
          <w:sz w:val="24"/>
          <w:szCs w:val="21"/>
        </w:rPr>
        <w:t>1</w:t>
      </w:r>
      <w:r w:rsidR="00B70E4F" w:rsidRPr="00702523">
        <w:rPr>
          <w:rFonts w:ascii="Times New Roman" w:hAnsi="Times New Roman" w:hint="eastAsia"/>
          <w:b w:val="0"/>
          <w:color w:val="000000" w:themeColor="text1"/>
          <w:sz w:val="24"/>
          <w:szCs w:val="21"/>
        </w:rPr>
        <w:t>90</w:t>
      </w:r>
      <w:r w:rsidR="00B70E4F" w:rsidRPr="00702523">
        <w:rPr>
          <w:rFonts w:ascii="Times New Roman" w:hAnsi="Times New Roman" w:hint="eastAsia"/>
          <w:b w:val="0"/>
          <w:color w:val="000000" w:themeColor="text1"/>
          <w:sz w:val="24"/>
          <w:szCs w:val="21"/>
        </w:rPr>
        <w:t>工程结构抗震</w:t>
      </w:r>
      <w:r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138</w:t>
      </w:r>
    </w:p>
    <w:p w:rsidR="00843889" w:rsidRPr="00702523" w:rsidRDefault="006C1C23" w:rsidP="00843889">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10.</w:t>
      </w:r>
      <w:r w:rsidRPr="00702523">
        <w:rPr>
          <w:rFonts w:ascii="Times New Roman" w:hAnsi="Times New Roman" w:hint="eastAsia"/>
          <w:b w:val="0"/>
          <w:color w:val="000000" w:themeColor="text1"/>
          <w:sz w:val="24"/>
          <w:szCs w:val="21"/>
        </w:rPr>
        <w:tab/>
      </w:r>
      <w:r w:rsidR="00843889" w:rsidRPr="00702523">
        <w:rPr>
          <w:rFonts w:ascii="Times New Roman" w:hAnsi="Times New Roman" w:hint="eastAsia"/>
          <w:b w:val="0"/>
          <w:color w:val="000000" w:themeColor="text1"/>
          <w:sz w:val="24"/>
          <w:szCs w:val="21"/>
        </w:rPr>
        <w:t>Z2801120</w:t>
      </w:r>
      <w:r w:rsidR="00843889" w:rsidRPr="00702523">
        <w:rPr>
          <w:rFonts w:ascii="Times New Roman" w:hAnsi="Times New Roman" w:hint="eastAsia"/>
          <w:b w:val="0"/>
          <w:color w:val="000000" w:themeColor="text1"/>
          <w:sz w:val="24"/>
          <w:szCs w:val="21"/>
        </w:rPr>
        <w:t>高层建筑结构</w:t>
      </w:r>
      <w:r w:rsidR="00843889"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148</w:t>
      </w:r>
    </w:p>
    <w:p w:rsidR="006C1C23" w:rsidRPr="00702523" w:rsidRDefault="006C1C23" w:rsidP="00843889">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11.</w:t>
      </w:r>
      <w:r w:rsidRPr="00702523">
        <w:rPr>
          <w:rFonts w:ascii="Times New Roman" w:hAnsi="Times New Roman" w:hint="eastAsia"/>
          <w:b w:val="0"/>
          <w:color w:val="000000" w:themeColor="text1"/>
          <w:sz w:val="24"/>
          <w:szCs w:val="21"/>
        </w:rPr>
        <w:tab/>
      </w:r>
      <w:r w:rsidR="00843889" w:rsidRPr="00702523">
        <w:rPr>
          <w:rFonts w:ascii="Times New Roman" w:hAnsi="Times New Roman"/>
          <w:b w:val="0"/>
          <w:color w:val="000000" w:themeColor="text1"/>
          <w:sz w:val="24"/>
          <w:szCs w:val="21"/>
        </w:rPr>
        <w:t xml:space="preserve">Z2802010 </w:t>
      </w:r>
      <w:r w:rsidR="00843889" w:rsidRPr="00702523">
        <w:rPr>
          <w:rFonts w:ascii="Times New Roman" w:hAnsi="Times New Roman"/>
          <w:b w:val="0"/>
          <w:color w:val="000000" w:themeColor="text1"/>
          <w:sz w:val="24"/>
          <w:szCs w:val="21"/>
        </w:rPr>
        <w:t>结构稳定理论</w:t>
      </w:r>
      <w:r w:rsidR="00823A08"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155</w:t>
      </w:r>
    </w:p>
    <w:p w:rsidR="00843889" w:rsidRPr="00702523" w:rsidRDefault="006C1C23" w:rsidP="006C1C23">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12.</w:t>
      </w:r>
      <w:r w:rsidRPr="00702523">
        <w:rPr>
          <w:rFonts w:ascii="Times New Roman" w:hAnsi="Times New Roman" w:hint="eastAsia"/>
          <w:b w:val="0"/>
          <w:color w:val="000000" w:themeColor="text1"/>
          <w:sz w:val="24"/>
          <w:szCs w:val="21"/>
        </w:rPr>
        <w:tab/>
      </w:r>
      <w:r w:rsidR="00843889" w:rsidRPr="00702523">
        <w:rPr>
          <w:rFonts w:ascii="Times New Roman" w:hAnsi="Times New Roman"/>
          <w:b w:val="0"/>
          <w:color w:val="000000" w:themeColor="text1"/>
          <w:sz w:val="24"/>
          <w:szCs w:val="21"/>
        </w:rPr>
        <w:t xml:space="preserve">Z2802020 </w:t>
      </w:r>
      <w:r w:rsidR="00843889" w:rsidRPr="00702523">
        <w:rPr>
          <w:rFonts w:ascii="Times New Roman" w:hAnsi="Times New Roman"/>
          <w:b w:val="0"/>
          <w:color w:val="000000" w:themeColor="text1"/>
          <w:sz w:val="24"/>
          <w:szCs w:val="21"/>
        </w:rPr>
        <w:t>钢结构基本理论</w:t>
      </w:r>
      <w:r w:rsidR="00823A08"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167</w:t>
      </w:r>
    </w:p>
    <w:p w:rsidR="00B70E4F"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13.  </w:t>
      </w:r>
      <w:r w:rsidR="00B70E4F" w:rsidRPr="00702523">
        <w:rPr>
          <w:rFonts w:ascii="Times New Roman" w:hAnsi="Times New Roman"/>
          <w:b w:val="0"/>
          <w:color w:val="000000" w:themeColor="text1"/>
          <w:sz w:val="24"/>
          <w:szCs w:val="21"/>
        </w:rPr>
        <w:t xml:space="preserve">Z2802030 </w:t>
      </w:r>
      <w:r w:rsidR="00B70E4F" w:rsidRPr="00702523">
        <w:rPr>
          <w:rFonts w:ascii="Times New Roman" w:hAnsi="Times New Roman"/>
          <w:b w:val="0"/>
          <w:color w:val="000000" w:themeColor="text1"/>
          <w:sz w:val="24"/>
          <w:szCs w:val="21"/>
        </w:rPr>
        <w:t>钢结构设计</w:t>
      </w:r>
      <w:r w:rsidR="00B70E4F"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178</w:t>
      </w:r>
    </w:p>
    <w:p w:rsidR="00B70E4F"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lastRenderedPageBreak/>
        <w:t xml:space="preserve">14.  </w:t>
      </w:r>
      <w:r w:rsidR="00B70E4F" w:rsidRPr="00702523">
        <w:rPr>
          <w:rFonts w:ascii="Times New Roman" w:hAnsi="Times New Roman" w:hint="eastAsia"/>
          <w:b w:val="0"/>
          <w:color w:val="000000" w:themeColor="text1"/>
          <w:sz w:val="24"/>
          <w:szCs w:val="21"/>
        </w:rPr>
        <w:t>Z</w:t>
      </w:r>
      <w:r w:rsidR="00B70E4F" w:rsidRPr="00702523">
        <w:rPr>
          <w:rFonts w:ascii="Times New Roman" w:hAnsi="Times New Roman"/>
          <w:b w:val="0"/>
          <w:color w:val="000000" w:themeColor="text1"/>
          <w:sz w:val="24"/>
          <w:szCs w:val="21"/>
        </w:rPr>
        <w:t>28030</w:t>
      </w:r>
      <w:r w:rsidR="00BE2F1D" w:rsidRPr="00702523">
        <w:rPr>
          <w:rFonts w:ascii="Times New Roman" w:hAnsi="Times New Roman"/>
          <w:b w:val="0"/>
          <w:color w:val="000000" w:themeColor="text1"/>
          <w:sz w:val="24"/>
          <w:szCs w:val="21"/>
        </w:rPr>
        <w:t>10</w:t>
      </w:r>
      <w:r w:rsidR="00B70E4F" w:rsidRPr="00702523">
        <w:rPr>
          <w:rFonts w:ascii="Times New Roman" w:hAnsi="Times New Roman"/>
          <w:b w:val="0"/>
          <w:color w:val="000000" w:themeColor="text1"/>
          <w:sz w:val="24"/>
          <w:szCs w:val="21"/>
        </w:rPr>
        <w:t xml:space="preserve"> </w:t>
      </w:r>
      <w:r w:rsidR="00BE2F1D" w:rsidRPr="00702523">
        <w:rPr>
          <w:rFonts w:ascii="Times New Roman" w:hAnsi="Times New Roman" w:hint="eastAsia"/>
          <w:b w:val="0"/>
          <w:color w:val="000000" w:themeColor="text1"/>
          <w:sz w:val="24"/>
          <w:szCs w:val="21"/>
        </w:rPr>
        <w:t>工程地质</w:t>
      </w:r>
      <w:r w:rsidR="00B70E4F"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185</w:t>
      </w:r>
    </w:p>
    <w:p w:rsidR="00BE2F1D" w:rsidRPr="00702523" w:rsidRDefault="00843889" w:rsidP="00A2100C">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15.  </w:t>
      </w:r>
      <w:r w:rsidR="00BE2F1D" w:rsidRPr="00702523">
        <w:rPr>
          <w:rFonts w:ascii="Times New Roman" w:hAnsi="Times New Roman"/>
          <w:b w:val="0"/>
          <w:color w:val="000000" w:themeColor="text1"/>
          <w:sz w:val="24"/>
          <w:szCs w:val="21"/>
        </w:rPr>
        <w:t xml:space="preserve">Z2803030 </w:t>
      </w:r>
      <w:r w:rsidR="00BE2F1D" w:rsidRPr="00702523">
        <w:rPr>
          <w:rFonts w:ascii="Times New Roman" w:hAnsi="Times New Roman"/>
          <w:b w:val="0"/>
          <w:color w:val="000000" w:themeColor="text1"/>
          <w:sz w:val="24"/>
          <w:szCs w:val="21"/>
        </w:rPr>
        <w:t>土力学</w:t>
      </w:r>
      <w:r w:rsidR="00823A08"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196</w:t>
      </w:r>
    </w:p>
    <w:p w:rsidR="00A2100C" w:rsidRPr="00702523" w:rsidRDefault="00843889" w:rsidP="00843889">
      <w:pPr>
        <w:pStyle w:val="10"/>
        <w:tabs>
          <w:tab w:val="right" w:leader="dot" w:pos="9736"/>
        </w:tabs>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16.  </w:t>
      </w:r>
      <w:r w:rsidR="00A2100C" w:rsidRPr="00702523">
        <w:rPr>
          <w:rFonts w:ascii="Times New Roman" w:hAnsi="Times New Roman"/>
          <w:b w:val="0"/>
          <w:color w:val="000000" w:themeColor="text1"/>
          <w:sz w:val="24"/>
          <w:szCs w:val="21"/>
        </w:rPr>
        <w:t xml:space="preserve">Z2803040 </w:t>
      </w:r>
      <w:r w:rsidR="00A2100C" w:rsidRPr="00702523">
        <w:rPr>
          <w:rFonts w:ascii="Times New Roman" w:hAnsi="Times New Roman" w:hint="eastAsia"/>
          <w:b w:val="0"/>
          <w:color w:val="000000" w:themeColor="text1"/>
          <w:sz w:val="24"/>
          <w:szCs w:val="21"/>
        </w:rPr>
        <w:t>基础工程</w:t>
      </w:r>
      <w:r w:rsidR="00823A08"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207</w:t>
      </w:r>
    </w:p>
    <w:p w:rsidR="00B70E4F"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17.  </w:t>
      </w:r>
      <w:r w:rsidR="00B70E4F" w:rsidRPr="00702523">
        <w:rPr>
          <w:rFonts w:ascii="Times New Roman" w:hAnsi="Times New Roman" w:hint="eastAsia"/>
          <w:b w:val="0"/>
          <w:color w:val="000000" w:themeColor="text1"/>
          <w:sz w:val="24"/>
          <w:szCs w:val="21"/>
        </w:rPr>
        <w:t>Z</w:t>
      </w:r>
      <w:r w:rsidR="00B70E4F" w:rsidRPr="00702523">
        <w:rPr>
          <w:rFonts w:ascii="Times New Roman" w:hAnsi="Times New Roman"/>
          <w:b w:val="0"/>
          <w:color w:val="000000" w:themeColor="text1"/>
          <w:sz w:val="24"/>
          <w:szCs w:val="21"/>
        </w:rPr>
        <w:t xml:space="preserve">2803050 </w:t>
      </w:r>
      <w:r w:rsidR="00B70E4F" w:rsidRPr="00702523">
        <w:rPr>
          <w:rFonts w:ascii="Times New Roman" w:hAnsi="Times New Roman"/>
          <w:b w:val="0"/>
          <w:color w:val="000000" w:themeColor="text1"/>
          <w:sz w:val="24"/>
          <w:szCs w:val="21"/>
        </w:rPr>
        <w:t>地下结构设计原理与方法</w:t>
      </w:r>
      <w:r w:rsidR="00B70E4F"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215</w:t>
      </w:r>
    </w:p>
    <w:p w:rsidR="00B70E4F"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18.  </w:t>
      </w:r>
      <w:r w:rsidR="00B70E4F" w:rsidRPr="00702523">
        <w:rPr>
          <w:rFonts w:ascii="Times New Roman" w:hAnsi="Times New Roman" w:hint="eastAsia"/>
          <w:b w:val="0"/>
          <w:color w:val="000000" w:themeColor="text1"/>
          <w:sz w:val="24"/>
          <w:szCs w:val="21"/>
        </w:rPr>
        <w:t>Z</w:t>
      </w:r>
      <w:r w:rsidR="00B70E4F" w:rsidRPr="00702523">
        <w:rPr>
          <w:rFonts w:ascii="Times New Roman" w:hAnsi="Times New Roman"/>
          <w:b w:val="0"/>
          <w:color w:val="000000" w:themeColor="text1"/>
          <w:sz w:val="24"/>
          <w:szCs w:val="21"/>
        </w:rPr>
        <w:t xml:space="preserve">2803060 </w:t>
      </w:r>
      <w:r w:rsidR="00B70E4F" w:rsidRPr="00702523">
        <w:rPr>
          <w:rFonts w:ascii="Times New Roman" w:hAnsi="Times New Roman"/>
          <w:b w:val="0"/>
          <w:color w:val="000000" w:themeColor="text1"/>
          <w:sz w:val="24"/>
          <w:szCs w:val="21"/>
        </w:rPr>
        <w:t>城市地下空间规划理论</w:t>
      </w:r>
      <w:r w:rsidR="00B70E4F"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225</w:t>
      </w:r>
    </w:p>
    <w:p w:rsidR="00B70E4F"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19.  </w:t>
      </w:r>
      <w:r w:rsidR="00B70E4F" w:rsidRPr="00702523">
        <w:rPr>
          <w:rFonts w:ascii="Times New Roman" w:hAnsi="Times New Roman" w:hint="eastAsia"/>
          <w:b w:val="0"/>
          <w:color w:val="000000" w:themeColor="text1"/>
          <w:sz w:val="24"/>
          <w:szCs w:val="21"/>
        </w:rPr>
        <w:t>Z</w:t>
      </w:r>
      <w:r w:rsidR="00B70E4F" w:rsidRPr="00702523">
        <w:rPr>
          <w:rFonts w:ascii="Times New Roman" w:hAnsi="Times New Roman"/>
          <w:b w:val="0"/>
          <w:color w:val="000000" w:themeColor="text1"/>
          <w:sz w:val="24"/>
          <w:szCs w:val="21"/>
        </w:rPr>
        <w:t xml:space="preserve">2803090 </w:t>
      </w:r>
      <w:r w:rsidR="00B70E4F" w:rsidRPr="00702523">
        <w:rPr>
          <w:rFonts w:ascii="Times New Roman" w:hAnsi="Times New Roman"/>
          <w:b w:val="0"/>
          <w:color w:val="000000" w:themeColor="text1"/>
          <w:sz w:val="24"/>
          <w:szCs w:val="21"/>
        </w:rPr>
        <w:t>岩体力学</w:t>
      </w:r>
      <w:r w:rsidR="00B70E4F"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236</w:t>
      </w:r>
    </w:p>
    <w:p w:rsidR="003017B6" w:rsidRPr="00702523" w:rsidRDefault="00843889" w:rsidP="003017B6">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20.  </w:t>
      </w:r>
      <w:r w:rsidR="003017B6" w:rsidRPr="00702523">
        <w:rPr>
          <w:rFonts w:ascii="Times New Roman" w:hAnsi="Times New Roman"/>
          <w:b w:val="0"/>
          <w:color w:val="000000" w:themeColor="text1"/>
          <w:sz w:val="24"/>
          <w:szCs w:val="21"/>
        </w:rPr>
        <w:t xml:space="preserve">Z2803170 </w:t>
      </w:r>
      <w:r w:rsidR="003017B6" w:rsidRPr="00702523">
        <w:rPr>
          <w:rFonts w:ascii="Times New Roman" w:hAnsi="Times New Roman"/>
          <w:b w:val="0"/>
          <w:color w:val="000000" w:themeColor="text1"/>
          <w:sz w:val="24"/>
          <w:szCs w:val="21"/>
        </w:rPr>
        <w:t>土力学与基础工程</w:t>
      </w:r>
      <w:r w:rsidR="003017B6" w:rsidRPr="00702523">
        <w:rPr>
          <w:rFonts w:ascii="Times New Roman" w:hAnsi="Times New Roman" w:hint="eastAsia"/>
          <w:b w:val="0"/>
          <w:color w:val="000000" w:themeColor="text1"/>
          <w:sz w:val="24"/>
          <w:szCs w:val="21"/>
        </w:rPr>
        <w:t>（二）</w:t>
      </w:r>
      <w:r w:rsidR="00823A08"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243</w:t>
      </w:r>
    </w:p>
    <w:p w:rsidR="003017B6" w:rsidRPr="00702523" w:rsidRDefault="00843889" w:rsidP="00843889">
      <w:pPr>
        <w:pStyle w:val="10"/>
        <w:tabs>
          <w:tab w:val="right" w:leader="dot" w:pos="9736"/>
        </w:tabs>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21.  </w:t>
      </w:r>
      <w:r w:rsidR="003017B6" w:rsidRPr="00702523">
        <w:rPr>
          <w:rFonts w:ascii="Times New Roman" w:hAnsi="Times New Roman"/>
          <w:b w:val="0"/>
          <w:color w:val="000000" w:themeColor="text1"/>
          <w:sz w:val="24"/>
          <w:szCs w:val="21"/>
        </w:rPr>
        <w:t xml:space="preserve">Z2803180 </w:t>
      </w:r>
      <w:r w:rsidR="003017B6" w:rsidRPr="00702523">
        <w:rPr>
          <w:rFonts w:ascii="Times New Roman" w:hAnsi="Times New Roman"/>
          <w:b w:val="0"/>
          <w:color w:val="000000" w:themeColor="text1"/>
          <w:sz w:val="24"/>
          <w:szCs w:val="21"/>
        </w:rPr>
        <w:t>基础工程</w:t>
      </w:r>
      <w:r w:rsidR="00823A08"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255</w:t>
      </w:r>
    </w:p>
    <w:p w:rsidR="003017B6"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22.  </w:t>
      </w:r>
      <w:r w:rsidR="004B33E1" w:rsidRPr="00702523">
        <w:rPr>
          <w:rFonts w:ascii="Times New Roman" w:hAnsi="Times New Roman" w:hint="eastAsia"/>
          <w:b w:val="0"/>
          <w:color w:val="000000" w:themeColor="text1"/>
          <w:sz w:val="24"/>
          <w:szCs w:val="21"/>
        </w:rPr>
        <w:t>Z</w:t>
      </w:r>
      <w:r w:rsidR="004B33E1" w:rsidRPr="00702523">
        <w:rPr>
          <w:rFonts w:ascii="Times New Roman" w:hAnsi="Times New Roman"/>
          <w:b w:val="0"/>
          <w:color w:val="000000" w:themeColor="text1"/>
          <w:sz w:val="24"/>
          <w:szCs w:val="21"/>
        </w:rPr>
        <w:t>28040</w:t>
      </w:r>
      <w:r w:rsidR="00203202" w:rsidRPr="00702523">
        <w:rPr>
          <w:rFonts w:ascii="Times New Roman" w:hAnsi="Times New Roman"/>
          <w:b w:val="0"/>
          <w:color w:val="000000" w:themeColor="text1"/>
          <w:sz w:val="24"/>
          <w:szCs w:val="21"/>
        </w:rPr>
        <w:t xml:space="preserve">21 </w:t>
      </w:r>
      <w:r w:rsidR="00203202" w:rsidRPr="00702523">
        <w:rPr>
          <w:rFonts w:ascii="Times New Roman" w:hAnsi="Times New Roman"/>
          <w:b w:val="0"/>
          <w:color w:val="000000" w:themeColor="text1"/>
          <w:sz w:val="24"/>
          <w:szCs w:val="21"/>
        </w:rPr>
        <w:t>结构力学</w:t>
      </w:r>
      <w:r w:rsidR="00203202" w:rsidRPr="00702523">
        <w:rPr>
          <w:rFonts w:ascii="Times New Roman" w:hAnsi="Times New Roman" w:hint="eastAsia"/>
          <w:b w:val="0"/>
          <w:color w:val="000000" w:themeColor="text1"/>
          <w:sz w:val="24"/>
          <w:szCs w:val="21"/>
        </w:rPr>
        <w:t>Ⅰ（一）</w:t>
      </w:r>
      <w:r w:rsidR="00823A08" w:rsidRPr="00702523">
        <w:rPr>
          <w:rFonts w:ascii="Times New Roman" w:hAnsi="Times New Roman" w:hint="eastAsia"/>
          <w:b w:val="0"/>
          <w:color w:val="000000" w:themeColor="text1"/>
          <w:sz w:val="24"/>
          <w:szCs w:val="21"/>
        </w:rPr>
        <w:tab/>
      </w:r>
      <w:r w:rsidR="00702523">
        <w:rPr>
          <w:rFonts w:ascii="Times New Roman" w:hAnsi="Times New Roman"/>
          <w:b w:val="0"/>
          <w:color w:val="000000" w:themeColor="text1"/>
          <w:sz w:val="24"/>
          <w:szCs w:val="21"/>
        </w:rPr>
        <w:t>263</w:t>
      </w:r>
    </w:p>
    <w:p w:rsidR="00203202"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23.  </w:t>
      </w:r>
      <w:r w:rsidR="00203202" w:rsidRPr="00702523">
        <w:rPr>
          <w:rFonts w:ascii="Times New Roman" w:hAnsi="Times New Roman" w:hint="eastAsia"/>
          <w:b w:val="0"/>
          <w:color w:val="000000" w:themeColor="text1"/>
          <w:sz w:val="24"/>
          <w:szCs w:val="21"/>
        </w:rPr>
        <w:t>Z</w:t>
      </w:r>
      <w:r w:rsidR="00203202" w:rsidRPr="00702523">
        <w:rPr>
          <w:rFonts w:ascii="Times New Roman" w:hAnsi="Times New Roman"/>
          <w:b w:val="0"/>
          <w:color w:val="000000" w:themeColor="text1"/>
          <w:sz w:val="24"/>
          <w:szCs w:val="21"/>
        </w:rPr>
        <w:t xml:space="preserve">2804021 </w:t>
      </w:r>
      <w:r w:rsidR="00203202" w:rsidRPr="00702523">
        <w:rPr>
          <w:rFonts w:ascii="Times New Roman" w:hAnsi="Times New Roman"/>
          <w:b w:val="0"/>
          <w:color w:val="000000" w:themeColor="text1"/>
          <w:sz w:val="24"/>
          <w:szCs w:val="21"/>
        </w:rPr>
        <w:t>结构力学</w:t>
      </w:r>
      <w:r w:rsidR="00203202" w:rsidRPr="00702523">
        <w:rPr>
          <w:rFonts w:ascii="Times New Roman" w:hAnsi="Times New Roman" w:hint="eastAsia"/>
          <w:b w:val="0"/>
          <w:color w:val="000000" w:themeColor="text1"/>
          <w:sz w:val="24"/>
          <w:szCs w:val="21"/>
        </w:rPr>
        <w:t>（二）</w:t>
      </w:r>
      <w:r w:rsidR="00823A08"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283</w:t>
      </w:r>
    </w:p>
    <w:p w:rsidR="003017B6" w:rsidRPr="00702523" w:rsidRDefault="00843889" w:rsidP="00843889">
      <w:pPr>
        <w:pStyle w:val="10"/>
        <w:tabs>
          <w:tab w:val="right" w:leader="dot" w:pos="9736"/>
        </w:tabs>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24.  </w:t>
      </w:r>
      <w:r w:rsidR="004B33E1" w:rsidRPr="00702523">
        <w:rPr>
          <w:rFonts w:ascii="Times New Roman" w:hAnsi="Times New Roman" w:hint="eastAsia"/>
          <w:b w:val="0"/>
          <w:color w:val="000000" w:themeColor="text1"/>
          <w:sz w:val="24"/>
          <w:szCs w:val="21"/>
        </w:rPr>
        <w:t>Z</w:t>
      </w:r>
      <w:r w:rsidR="004B33E1" w:rsidRPr="00702523">
        <w:rPr>
          <w:rFonts w:ascii="Times New Roman" w:hAnsi="Times New Roman"/>
          <w:b w:val="0"/>
          <w:color w:val="000000" w:themeColor="text1"/>
          <w:sz w:val="24"/>
          <w:szCs w:val="21"/>
        </w:rPr>
        <w:t xml:space="preserve">2804030 </w:t>
      </w:r>
      <w:r w:rsidR="004B33E1" w:rsidRPr="00702523">
        <w:rPr>
          <w:rFonts w:ascii="Times New Roman" w:hAnsi="Times New Roman"/>
          <w:b w:val="0"/>
          <w:color w:val="000000" w:themeColor="text1"/>
          <w:sz w:val="24"/>
          <w:szCs w:val="21"/>
        </w:rPr>
        <w:t>弹性力学</w:t>
      </w:r>
      <w:r w:rsidR="00823A08"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303</w:t>
      </w:r>
    </w:p>
    <w:p w:rsidR="003017B6" w:rsidRPr="00702523" w:rsidRDefault="00843889" w:rsidP="00A2100C">
      <w:pPr>
        <w:pStyle w:val="10"/>
        <w:tabs>
          <w:tab w:val="right" w:leader="dot" w:pos="9736"/>
        </w:tabs>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25.  </w:t>
      </w:r>
      <w:r w:rsidR="004B33E1" w:rsidRPr="00702523">
        <w:rPr>
          <w:rFonts w:ascii="Times New Roman" w:hAnsi="Times New Roman" w:hint="eastAsia"/>
          <w:b w:val="0"/>
          <w:color w:val="000000" w:themeColor="text1"/>
          <w:sz w:val="24"/>
          <w:szCs w:val="21"/>
        </w:rPr>
        <w:t>Z</w:t>
      </w:r>
      <w:r w:rsidR="004B33E1" w:rsidRPr="00702523">
        <w:rPr>
          <w:rFonts w:ascii="Times New Roman" w:hAnsi="Times New Roman"/>
          <w:b w:val="0"/>
          <w:color w:val="000000" w:themeColor="text1"/>
          <w:sz w:val="24"/>
          <w:szCs w:val="21"/>
        </w:rPr>
        <w:t xml:space="preserve">2804090 </w:t>
      </w:r>
      <w:r w:rsidR="004B33E1" w:rsidRPr="00702523">
        <w:rPr>
          <w:rFonts w:ascii="Times New Roman" w:hAnsi="Times New Roman"/>
          <w:b w:val="0"/>
          <w:color w:val="000000" w:themeColor="text1"/>
          <w:sz w:val="24"/>
          <w:szCs w:val="21"/>
        </w:rPr>
        <w:t>土木工程材料</w:t>
      </w:r>
      <w:r w:rsidR="004B33E1" w:rsidRPr="00702523">
        <w:rPr>
          <w:rFonts w:ascii="Times New Roman" w:hAnsi="Times New Roman" w:hint="eastAsia"/>
          <w:b w:val="0"/>
          <w:color w:val="000000" w:themeColor="text1"/>
          <w:sz w:val="24"/>
          <w:szCs w:val="21"/>
        </w:rPr>
        <w:t>（</w:t>
      </w:r>
      <w:r w:rsidR="00203202" w:rsidRPr="00702523">
        <w:rPr>
          <w:rFonts w:ascii="Times New Roman" w:hAnsi="Times New Roman" w:hint="eastAsia"/>
          <w:b w:val="0"/>
          <w:color w:val="000000" w:themeColor="text1"/>
          <w:sz w:val="24"/>
          <w:szCs w:val="21"/>
        </w:rPr>
        <w:t>土木工程专业</w:t>
      </w:r>
      <w:r w:rsidR="004B33E1" w:rsidRPr="00702523">
        <w:rPr>
          <w:rFonts w:ascii="Times New Roman" w:hAnsi="Times New Roman" w:hint="eastAsia"/>
          <w:b w:val="0"/>
          <w:color w:val="000000" w:themeColor="text1"/>
          <w:sz w:val="24"/>
          <w:szCs w:val="21"/>
        </w:rPr>
        <w:t>）</w:t>
      </w:r>
      <w:r w:rsidR="00823A08"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314</w:t>
      </w:r>
    </w:p>
    <w:p w:rsidR="003017B6"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26.  </w:t>
      </w:r>
      <w:r w:rsidR="00A2100C" w:rsidRPr="00702523">
        <w:rPr>
          <w:rFonts w:ascii="Times New Roman" w:hAnsi="Times New Roman" w:hint="eastAsia"/>
          <w:b w:val="0"/>
          <w:color w:val="000000" w:themeColor="text1"/>
          <w:sz w:val="24"/>
          <w:szCs w:val="21"/>
        </w:rPr>
        <w:t>Z</w:t>
      </w:r>
      <w:r w:rsidR="00A2100C" w:rsidRPr="00702523">
        <w:rPr>
          <w:rFonts w:ascii="Times New Roman" w:hAnsi="Times New Roman"/>
          <w:b w:val="0"/>
          <w:color w:val="000000" w:themeColor="text1"/>
          <w:sz w:val="24"/>
          <w:szCs w:val="21"/>
        </w:rPr>
        <w:t xml:space="preserve">2805010 </w:t>
      </w:r>
      <w:r w:rsidR="00A2100C" w:rsidRPr="00702523">
        <w:rPr>
          <w:rFonts w:ascii="Times New Roman" w:hAnsi="Times New Roman"/>
          <w:b w:val="0"/>
          <w:color w:val="000000" w:themeColor="text1"/>
          <w:sz w:val="24"/>
          <w:szCs w:val="21"/>
        </w:rPr>
        <w:t>土木工程施工技术</w:t>
      </w:r>
      <w:r w:rsidR="00823A08"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330</w:t>
      </w:r>
    </w:p>
    <w:p w:rsidR="00A2100C" w:rsidRPr="00702523" w:rsidRDefault="00843889" w:rsidP="00843889">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27.  </w:t>
      </w:r>
      <w:r w:rsidR="00A2100C" w:rsidRPr="00702523">
        <w:rPr>
          <w:rFonts w:ascii="Times New Roman" w:hAnsi="Times New Roman" w:hint="eastAsia"/>
          <w:b w:val="0"/>
          <w:color w:val="000000" w:themeColor="text1"/>
          <w:sz w:val="24"/>
          <w:szCs w:val="21"/>
        </w:rPr>
        <w:t>Z</w:t>
      </w:r>
      <w:r w:rsidR="00A2100C" w:rsidRPr="00702523">
        <w:rPr>
          <w:rFonts w:ascii="Times New Roman" w:hAnsi="Times New Roman"/>
          <w:b w:val="0"/>
          <w:color w:val="000000" w:themeColor="text1"/>
          <w:sz w:val="24"/>
          <w:szCs w:val="21"/>
        </w:rPr>
        <w:t xml:space="preserve">2805020 </w:t>
      </w:r>
      <w:r w:rsidR="00A2100C" w:rsidRPr="00702523">
        <w:rPr>
          <w:rFonts w:ascii="Times New Roman" w:hAnsi="Times New Roman"/>
          <w:b w:val="0"/>
          <w:color w:val="000000" w:themeColor="text1"/>
          <w:sz w:val="24"/>
          <w:szCs w:val="21"/>
        </w:rPr>
        <w:t>土木工程施工组织</w:t>
      </w:r>
      <w:r w:rsidR="00823A08"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338</w:t>
      </w:r>
    </w:p>
    <w:p w:rsidR="00B70E4F"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28.  </w:t>
      </w:r>
      <w:r w:rsidR="00B70E4F" w:rsidRPr="00702523">
        <w:rPr>
          <w:rFonts w:ascii="Times New Roman" w:hAnsi="Times New Roman" w:hint="eastAsia"/>
          <w:b w:val="0"/>
          <w:color w:val="000000" w:themeColor="text1"/>
          <w:sz w:val="24"/>
          <w:szCs w:val="21"/>
        </w:rPr>
        <w:t>Z</w:t>
      </w:r>
      <w:r w:rsidR="00B70E4F" w:rsidRPr="00702523">
        <w:rPr>
          <w:rFonts w:ascii="Times New Roman" w:hAnsi="Times New Roman"/>
          <w:b w:val="0"/>
          <w:color w:val="000000" w:themeColor="text1"/>
          <w:sz w:val="24"/>
          <w:szCs w:val="21"/>
        </w:rPr>
        <w:t xml:space="preserve">2805030 </w:t>
      </w:r>
      <w:r w:rsidR="00B70E4F" w:rsidRPr="00702523">
        <w:rPr>
          <w:rFonts w:ascii="Times New Roman" w:hAnsi="Times New Roman"/>
          <w:b w:val="0"/>
          <w:color w:val="000000" w:themeColor="text1"/>
          <w:sz w:val="24"/>
          <w:szCs w:val="21"/>
        </w:rPr>
        <w:t>工程计量与计价</w:t>
      </w:r>
      <w:r w:rsidR="00B70E4F"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345</w:t>
      </w:r>
    </w:p>
    <w:p w:rsidR="00B70E4F"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29.  </w:t>
      </w:r>
      <w:r w:rsidR="00B70E4F" w:rsidRPr="00702523">
        <w:rPr>
          <w:rFonts w:ascii="Times New Roman" w:hAnsi="Times New Roman" w:hint="eastAsia"/>
          <w:b w:val="0"/>
          <w:color w:val="000000" w:themeColor="text1"/>
          <w:sz w:val="24"/>
          <w:szCs w:val="21"/>
        </w:rPr>
        <w:t>Z</w:t>
      </w:r>
      <w:r w:rsidR="00B70E4F" w:rsidRPr="00702523">
        <w:rPr>
          <w:rFonts w:ascii="Times New Roman" w:hAnsi="Times New Roman"/>
          <w:b w:val="0"/>
          <w:color w:val="000000" w:themeColor="text1"/>
          <w:sz w:val="24"/>
          <w:szCs w:val="21"/>
        </w:rPr>
        <w:t xml:space="preserve">2805040 </w:t>
      </w:r>
      <w:r w:rsidR="00B70E4F" w:rsidRPr="00702523">
        <w:rPr>
          <w:rFonts w:ascii="Times New Roman" w:hAnsi="Times New Roman"/>
          <w:b w:val="0"/>
          <w:color w:val="000000" w:themeColor="text1"/>
          <w:sz w:val="24"/>
          <w:szCs w:val="21"/>
        </w:rPr>
        <w:t>工程经济学</w:t>
      </w:r>
      <w:r w:rsidR="00B70E4F"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353</w:t>
      </w:r>
    </w:p>
    <w:p w:rsidR="00B70E4F"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30.  </w:t>
      </w:r>
      <w:r w:rsidR="00B70E4F" w:rsidRPr="00702523">
        <w:rPr>
          <w:rFonts w:ascii="Times New Roman" w:hAnsi="Times New Roman" w:hint="eastAsia"/>
          <w:b w:val="0"/>
          <w:color w:val="000000" w:themeColor="text1"/>
          <w:sz w:val="24"/>
          <w:szCs w:val="21"/>
        </w:rPr>
        <w:t>Z</w:t>
      </w:r>
      <w:r w:rsidR="00B70E4F" w:rsidRPr="00702523">
        <w:rPr>
          <w:rFonts w:ascii="Times New Roman" w:hAnsi="Times New Roman"/>
          <w:b w:val="0"/>
          <w:color w:val="000000" w:themeColor="text1"/>
          <w:sz w:val="24"/>
          <w:szCs w:val="21"/>
        </w:rPr>
        <w:t xml:space="preserve">2805050 </w:t>
      </w:r>
      <w:r w:rsidR="004E7269" w:rsidRPr="00702523">
        <w:rPr>
          <w:rFonts w:ascii="Times New Roman" w:hAnsi="Times New Roman" w:hint="eastAsia"/>
          <w:b w:val="0"/>
          <w:color w:val="000000" w:themeColor="text1"/>
          <w:sz w:val="24"/>
          <w:szCs w:val="21"/>
        </w:rPr>
        <w:t>地下工程施工技术</w:t>
      </w:r>
      <w:r w:rsidR="00B70E4F"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361</w:t>
      </w:r>
    </w:p>
    <w:p w:rsidR="00B70E4F"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31.  </w:t>
      </w:r>
      <w:r w:rsidR="00B70E4F" w:rsidRPr="00702523">
        <w:rPr>
          <w:rFonts w:ascii="Times New Roman" w:hAnsi="Times New Roman" w:hint="eastAsia"/>
          <w:b w:val="0"/>
          <w:color w:val="000000" w:themeColor="text1"/>
          <w:sz w:val="24"/>
          <w:szCs w:val="21"/>
        </w:rPr>
        <w:t>Z</w:t>
      </w:r>
      <w:r w:rsidR="00B70E4F" w:rsidRPr="00702523">
        <w:rPr>
          <w:rFonts w:ascii="Times New Roman" w:hAnsi="Times New Roman"/>
          <w:b w:val="0"/>
          <w:color w:val="000000" w:themeColor="text1"/>
          <w:sz w:val="24"/>
          <w:szCs w:val="21"/>
        </w:rPr>
        <w:t xml:space="preserve">2805060 </w:t>
      </w:r>
      <w:r w:rsidR="00B70E4F" w:rsidRPr="00702523">
        <w:rPr>
          <w:rFonts w:ascii="Times New Roman" w:hAnsi="Times New Roman"/>
          <w:b w:val="0"/>
          <w:color w:val="000000" w:themeColor="text1"/>
          <w:sz w:val="24"/>
          <w:szCs w:val="21"/>
        </w:rPr>
        <w:t>道路桥梁工程施工</w:t>
      </w:r>
      <w:r w:rsidR="00B70E4F"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368</w:t>
      </w:r>
    </w:p>
    <w:p w:rsidR="00B70E4F"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32.  </w:t>
      </w:r>
      <w:r w:rsidR="00B70E4F" w:rsidRPr="00702523">
        <w:rPr>
          <w:rFonts w:ascii="Times New Roman" w:hAnsi="Times New Roman" w:hint="eastAsia"/>
          <w:b w:val="0"/>
          <w:color w:val="000000" w:themeColor="text1"/>
          <w:sz w:val="24"/>
          <w:szCs w:val="21"/>
        </w:rPr>
        <w:t>Z</w:t>
      </w:r>
      <w:r w:rsidR="00B70E4F" w:rsidRPr="00702523">
        <w:rPr>
          <w:rFonts w:ascii="Times New Roman" w:hAnsi="Times New Roman"/>
          <w:b w:val="0"/>
          <w:color w:val="000000" w:themeColor="text1"/>
          <w:sz w:val="24"/>
          <w:szCs w:val="21"/>
        </w:rPr>
        <w:t xml:space="preserve">2805080 </w:t>
      </w:r>
      <w:r w:rsidR="00B70E4F" w:rsidRPr="00702523">
        <w:rPr>
          <w:rFonts w:ascii="Times New Roman" w:hAnsi="Times New Roman"/>
          <w:b w:val="0"/>
          <w:color w:val="000000" w:themeColor="text1"/>
          <w:sz w:val="24"/>
          <w:szCs w:val="21"/>
        </w:rPr>
        <w:t>现代施工技术与管理</w:t>
      </w:r>
      <w:r w:rsidR="00B70E4F"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376</w:t>
      </w:r>
    </w:p>
    <w:p w:rsidR="00B70E4F" w:rsidRPr="00702523" w:rsidRDefault="00843889"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33.  </w:t>
      </w:r>
      <w:r w:rsidR="00B70E4F" w:rsidRPr="00702523">
        <w:rPr>
          <w:rFonts w:ascii="Times New Roman" w:hAnsi="Times New Roman" w:hint="eastAsia"/>
          <w:b w:val="0"/>
          <w:color w:val="000000" w:themeColor="text1"/>
          <w:sz w:val="24"/>
          <w:szCs w:val="21"/>
        </w:rPr>
        <w:t>Z</w:t>
      </w:r>
      <w:r w:rsidR="00B70E4F" w:rsidRPr="00702523">
        <w:rPr>
          <w:rFonts w:ascii="Times New Roman" w:hAnsi="Times New Roman"/>
          <w:b w:val="0"/>
          <w:color w:val="000000" w:themeColor="text1"/>
          <w:sz w:val="24"/>
          <w:szCs w:val="21"/>
        </w:rPr>
        <w:t xml:space="preserve">2805090 </w:t>
      </w:r>
      <w:r w:rsidR="00B70E4F" w:rsidRPr="00702523">
        <w:rPr>
          <w:rFonts w:ascii="Times New Roman" w:hAnsi="Times New Roman"/>
          <w:b w:val="0"/>
          <w:color w:val="000000" w:themeColor="text1"/>
          <w:sz w:val="24"/>
          <w:szCs w:val="21"/>
        </w:rPr>
        <w:t>工程招投标与合同管理</w:t>
      </w:r>
      <w:r w:rsidR="00B70E4F"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383</w:t>
      </w:r>
    </w:p>
    <w:p w:rsidR="004E7269" w:rsidRPr="00702523" w:rsidRDefault="00843889" w:rsidP="00E94552">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34.  </w:t>
      </w:r>
      <w:r w:rsidR="004E7269" w:rsidRPr="00702523">
        <w:rPr>
          <w:rFonts w:ascii="Times New Roman" w:hAnsi="Times New Roman"/>
          <w:b w:val="0"/>
          <w:color w:val="000000" w:themeColor="text1"/>
          <w:sz w:val="24"/>
          <w:szCs w:val="21"/>
        </w:rPr>
        <w:t xml:space="preserve">Z2805130  </w:t>
      </w:r>
      <w:r w:rsidR="004E7269" w:rsidRPr="00702523">
        <w:rPr>
          <w:rFonts w:ascii="Times New Roman" w:hAnsi="Times New Roman"/>
          <w:b w:val="0"/>
          <w:color w:val="000000" w:themeColor="text1"/>
          <w:sz w:val="24"/>
          <w:szCs w:val="21"/>
        </w:rPr>
        <w:t>工程项目审计</w:t>
      </w:r>
      <w:r w:rsidR="00823A08"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389</w:t>
      </w:r>
    </w:p>
    <w:p w:rsidR="00843889" w:rsidRPr="00702523" w:rsidRDefault="00843889" w:rsidP="00843889">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35.  Z2805140 </w:t>
      </w:r>
      <w:r w:rsidRPr="00702523">
        <w:rPr>
          <w:rFonts w:ascii="Times New Roman" w:hAnsi="Times New Roman"/>
          <w:b w:val="0"/>
          <w:color w:val="000000" w:themeColor="text1"/>
          <w:sz w:val="24"/>
          <w:szCs w:val="21"/>
        </w:rPr>
        <w:t>工程造价管理</w:t>
      </w:r>
      <w:r w:rsidR="00823A08"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396</w:t>
      </w:r>
    </w:p>
    <w:p w:rsidR="00843889" w:rsidRPr="00702523" w:rsidRDefault="00843889" w:rsidP="00843889">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3</w:t>
      </w:r>
      <w:r w:rsidRPr="00702523">
        <w:rPr>
          <w:rFonts w:ascii="Times New Roman" w:hAnsi="Times New Roman"/>
          <w:b w:val="0"/>
          <w:color w:val="000000" w:themeColor="text1"/>
          <w:sz w:val="24"/>
          <w:szCs w:val="21"/>
        </w:rPr>
        <w:t xml:space="preserve">6.  Z2805180 </w:t>
      </w:r>
      <w:r w:rsidRPr="00702523">
        <w:rPr>
          <w:rFonts w:ascii="Times New Roman" w:hAnsi="Times New Roman"/>
          <w:b w:val="0"/>
          <w:color w:val="000000" w:themeColor="text1"/>
          <w:sz w:val="24"/>
          <w:szCs w:val="21"/>
        </w:rPr>
        <w:t>工程经济学</w:t>
      </w:r>
      <w:r w:rsidRPr="00702523">
        <w:rPr>
          <w:rFonts w:ascii="Times New Roman" w:hAnsi="Times New Roman" w:hint="eastAsia"/>
          <w:b w:val="0"/>
          <w:color w:val="000000" w:themeColor="text1"/>
          <w:sz w:val="24"/>
          <w:szCs w:val="21"/>
        </w:rPr>
        <w:t>（二）</w:t>
      </w:r>
      <w:r w:rsidR="00823A08"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403</w:t>
      </w:r>
    </w:p>
    <w:p w:rsidR="00B70E4F" w:rsidRPr="00702523" w:rsidRDefault="00B70E4F"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3</w:t>
      </w:r>
      <w:r w:rsidR="00843889" w:rsidRPr="00702523">
        <w:rPr>
          <w:rFonts w:ascii="Times New Roman" w:hAnsi="Times New Roman"/>
          <w:b w:val="0"/>
          <w:color w:val="000000" w:themeColor="text1"/>
          <w:sz w:val="24"/>
          <w:szCs w:val="21"/>
        </w:rPr>
        <w:t>7</w:t>
      </w:r>
      <w:r w:rsidRPr="00702523">
        <w:rPr>
          <w:rFonts w:ascii="Times New Roman" w:hAnsi="Times New Roman" w:hint="eastAsia"/>
          <w:b w:val="0"/>
          <w:color w:val="000000" w:themeColor="text1"/>
          <w:sz w:val="24"/>
          <w:szCs w:val="21"/>
        </w:rPr>
        <w:t>.</w:t>
      </w:r>
      <w:r w:rsidRPr="00702523">
        <w:rPr>
          <w:rFonts w:ascii="Times New Roman" w:hAnsi="Times New Roman" w:hint="eastAsia"/>
          <w:b w:val="0"/>
          <w:color w:val="000000" w:themeColor="text1"/>
          <w:sz w:val="24"/>
          <w:szCs w:val="21"/>
        </w:rPr>
        <w:tab/>
      </w:r>
      <w:r w:rsidR="00843889" w:rsidRPr="00702523">
        <w:rPr>
          <w:rFonts w:ascii="Times New Roman" w:hAnsi="Times New Roman"/>
          <w:b w:val="0"/>
          <w:color w:val="000000" w:themeColor="text1"/>
          <w:sz w:val="24"/>
          <w:szCs w:val="21"/>
        </w:rPr>
        <w:t xml:space="preserve"> </w:t>
      </w:r>
      <w:r w:rsidRPr="00702523">
        <w:rPr>
          <w:rFonts w:ascii="Times New Roman" w:hAnsi="Times New Roman" w:hint="eastAsia"/>
          <w:b w:val="0"/>
          <w:color w:val="000000" w:themeColor="text1"/>
          <w:sz w:val="24"/>
          <w:szCs w:val="21"/>
        </w:rPr>
        <w:t>Z</w:t>
      </w:r>
      <w:r w:rsidRPr="00702523">
        <w:rPr>
          <w:rFonts w:ascii="Times New Roman" w:hAnsi="Times New Roman"/>
          <w:b w:val="0"/>
          <w:color w:val="000000" w:themeColor="text1"/>
          <w:sz w:val="24"/>
          <w:szCs w:val="21"/>
        </w:rPr>
        <w:t>2805210  BIM</w:t>
      </w:r>
      <w:r w:rsidRPr="00702523">
        <w:rPr>
          <w:rFonts w:ascii="Times New Roman" w:hAnsi="Times New Roman"/>
          <w:b w:val="0"/>
          <w:color w:val="000000" w:themeColor="text1"/>
          <w:sz w:val="24"/>
          <w:szCs w:val="21"/>
        </w:rPr>
        <w:t>综合应用</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412</w:t>
      </w:r>
    </w:p>
    <w:p w:rsidR="00B70E4F" w:rsidRPr="00702523" w:rsidRDefault="00B70E4F"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3</w:t>
      </w:r>
      <w:r w:rsidR="00843889" w:rsidRPr="00702523">
        <w:rPr>
          <w:rFonts w:ascii="Times New Roman" w:hAnsi="Times New Roman"/>
          <w:b w:val="0"/>
          <w:color w:val="000000" w:themeColor="text1"/>
          <w:sz w:val="24"/>
          <w:szCs w:val="21"/>
        </w:rPr>
        <w:t>8</w:t>
      </w:r>
      <w:r w:rsidR="00823A08" w:rsidRPr="00702523">
        <w:rPr>
          <w:rFonts w:ascii="Times New Roman" w:hAnsi="Times New Roman" w:hint="eastAsia"/>
          <w:b w:val="0"/>
          <w:color w:val="000000" w:themeColor="text1"/>
          <w:sz w:val="24"/>
          <w:szCs w:val="21"/>
        </w:rPr>
        <w:t>.</w:t>
      </w:r>
      <w:r w:rsidR="00823A08" w:rsidRPr="00702523">
        <w:rPr>
          <w:rFonts w:ascii="Times New Roman" w:hAnsi="Times New Roman"/>
          <w:b w:val="0"/>
          <w:color w:val="000000" w:themeColor="text1"/>
          <w:sz w:val="24"/>
          <w:szCs w:val="21"/>
        </w:rPr>
        <w:t xml:space="preserve">  </w:t>
      </w:r>
      <w:r w:rsidRPr="00702523">
        <w:rPr>
          <w:rFonts w:ascii="Times New Roman" w:hAnsi="Times New Roman" w:hint="eastAsia"/>
          <w:b w:val="0"/>
          <w:color w:val="000000" w:themeColor="text1"/>
          <w:sz w:val="24"/>
          <w:szCs w:val="21"/>
        </w:rPr>
        <w:t>Z</w:t>
      </w:r>
      <w:r w:rsidRPr="00702523">
        <w:rPr>
          <w:rFonts w:ascii="Times New Roman" w:hAnsi="Times New Roman"/>
          <w:b w:val="0"/>
          <w:color w:val="000000" w:themeColor="text1"/>
          <w:sz w:val="24"/>
          <w:szCs w:val="21"/>
        </w:rPr>
        <w:t xml:space="preserve">2805220 </w:t>
      </w:r>
      <w:r w:rsidRPr="00702523">
        <w:rPr>
          <w:rFonts w:ascii="Times New Roman" w:hAnsi="Times New Roman"/>
          <w:b w:val="0"/>
          <w:color w:val="000000" w:themeColor="text1"/>
          <w:sz w:val="24"/>
          <w:szCs w:val="21"/>
        </w:rPr>
        <w:t>土木工程施工技术与组织</w:t>
      </w:r>
      <w:r w:rsidR="00823A08" w:rsidRPr="00702523">
        <w:rPr>
          <w:rFonts w:ascii="Times New Roman" w:hAnsi="Times New Roman" w:hint="eastAsia"/>
          <w:b w:val="0"/>
          <w:color w:val="000000" w:themeColor="text1"/>
          <w:sz w:val="24"/>
          <w:szCs w:val="21"/>
        </w:rPr>
        <w:t>（土木）</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419</w:t>
      </w:r>
    </w:p>
    <w:p w:rsidR="00843889" w:rsidRPr="00702523" w:rsidRDefault="00843889" w:rsidP="00E94552">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lastRenderedPageBreak/>
        <w:t>3</w:t>
      </w:r>
      <w:r w:rsidRPr="00702523">
        <w:rPr>
          <w:rFonts w:ascii="Times New Roman" w:hAnsi="Times New Roman"/>
          <w:b w:val="0"/>
          <w:color w:val="000000" w:themeColor="text1"/>
          <w:sz w:val="24"/>
          <w:szCs w:val="21"/>
        </w:rPr>
        <w:t xml:space="preserve">9. </w:t>
      </w:r>
      <w:r w:rsidR="00823A08" w:rsidRPr="00702523">
        <w:rPr>
          <w:rFonts w:ascii="Times New Roman" w:hAnsi="Times New Roman"/>
          <w:b w:val="0"/>
          <w:color w:val="000000" w:themeColor="text1"/>
          <w:sz w:val="24"/>
          <w:szCs w:val="21"/>
        </w:rPr>
        <w:t xml:space="preserve"> </w:t>
      </w:r>
      <w:r w:rsidRPr="00702523">
        <w:rPr>
          <w:rFonts w:ascii="Times New Roman" w:hAnsi="Times New Roman"/>
          <w:b w:val="0"/>
          <w:color w:val="000000" w:themeColor="text1"/>
          <w:sz w:val="24"/>
          <w:szCs w:val="21"/>
        </w:rPr>
        <w:t>Z</w:t>
      </w:r>
      <w:r w:rsidR="00823A08" w:rsidRPr="00702523">
        <w:rPr>
          <w:rFonts w:ascii="Times New Roman" w:hAnsi="Times New Roman"/>
          <w:b w:val="0"/>
          <w:color w:val="000000" w:themeColor="text1"/>
          <w:sz w:val="24"/>
          <w:szCs w:val="21"/>
        </w:rPr>
        <w:t xml:space="preserve">2805230 </w:t>
      </w:r>
      <w:r w:rsidR="00823A08" w:rsidRPr="00702523">
        <w:rPr>
          <w:rFonts w:ascii="Times New Roman" w:hAnsi="Times New Roman"/>
          <w:b w:val="0"/>
          <w:color w:val="000000" w:themeColor="text1"/>
          <w:sz w:val="24"/>
          <w:szCs w:val="21"/>
        </w:rPr>
        <w:t>工程项目投融资</w:t>
      </w:r>
      <w:r w:rsidR="00823A08"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428</w:t>
      </w:r>
    </w:p>
    <w:p w:rsidR="00843889" w:rsidRPr="00702523" w:rsidRDefault="00823A08" w:rsidP="00E94552">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4</w:t>
      </w:r>
      <w:r w:rsidRPr="00702523">
        <w:rPr>
          <w:rFonts w:ascii="Times New Roman" w:hAnsi="Times New Roman"/>
          <w:b w:val="0"/>
          <w:color w:val="000000" w:themeColor="text1"/>
          <w:sz w:val="24"/>
          <w:szCs w:val="21"/>
        </w:rPr>
        <w:t xml:space="preserve">0.  Z2805250 </w:t>
      </w:r>
      <w:r w:rsidRPr="00702523">
        <w:rPr>
          <w:rFonts w:ascii="Times New Roman" w:hAnsi="Times New Roman"/>
          <w:b w:val="0"/>
          <w:color w:val="000000" w:themeColor="text1"/>
          <w:sz w:val="24"/>
          <w:szCs w:val="21"/>
        </w:rPr>
        <w:t>资产评估管理</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435</w:t>
      </w:r>
    </w:p>
    <w:p w:rsidR="00823A08" w:rsidRPr="00702523" w:rsidRDefault="00823A08" w:rsidP="00E94552">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4</w:t>
      </w:r>
      <w:r w:rsidRPr="00702523">
        <w:rPr>
          <w:rFonts w:ascii="Times New Roman" w:hAnsi="Times New Roman"/>
          <w:b w:val="0"/>
          <w:color w:val="000000" w:themeColor="text1"/>
          <w:sz w:val="24"/>
          <w:szCs w:val="21"/>
        </w:rPr>
        <w:t xml:space="preserve">1.  Z2805270 </w:t>
      </w:r>
      <w:r w:rsidRPr="00702523">
        <w:rPr>
          <w:rFonts w:ascii="Times New Roman" w:hAnsi="Times New Roman"/>
          <w:b w:val="0"/>
          <w:color w:val="000000" w:themeColor="text1"/>
          <w:sz w:val="24"/>
          <w:szCs w:val="21"/>
        </w:rPr>
        <w:t>市政工程造价</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441</w:t>
      </w:r>
    </w:p>
    <w:p w:rsidR="004E7269" w:rsidRPr="00702523" w:rsidRDefault="00823A08" w:rsidP="00E94552">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42.  </w:t>
      </w:r>
      <w:r w:rsidR="00B70E4F" w:rsidRPr="00702523">
        <w:rPr>
          <w:rFonts w:ascii="Times New Roman" w:hAnsi="Times New Roman" w:hint="eastAsia"/>
          <w:b w:val="0"/>
          <w:color w:val="000000" w:themeColor="text1"/>
          <w:sz w:val="24"/>
          <w:szCs w:val="21"/>
        </w:rPr>
        <w:t>Z</w:t>
      </w:r>
      <w:r w:rsidR="00B70E4F" w:rsidRPr="00702523">
        <w:rPr>
          <w:rFonts w:ascii="Times New Roman" w:hAnsi="Times New Roman"/>
          <w:b w:val="0"/>
          <w:color w:val="000000" w:themeColor="text1"/>
          <w:sz w:val="24"/>
          <w:szCs w:val="21"/>
        </w:rPr>
        <w:t xml:space="preserve">2805260 </w:t>
      </w:r>
      <w:r w:rsidR="00B70E4F" w:rsidRPr="00702523">
        <w:rPr>
          <w:rFonts w:ascii="Times New Roman" w:hAnsi="Times New Roman"/>
          <w:b w:val="0"/>
          <w:color w:val="000000" w:themeColor="text1"/>
          <w:sz w:val="24"/>
          <w:szCs w:val="21"/>
        </w:rPr>
        <w:t>工程经济与项目管理</w:t>
      </w:r>
      <w:r w:rsidR="00B70E4F"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447</w:t>
      </w:r>
    </w:p>
    <w:p w:rsidR="00E94552" w:rsidRPr="00702523" w:rsidRDefault="00823A08" w:rsidP="00E94552">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43.  </w:t>
      </w:r>
      <w:r w:rsidR="00E94552" w:rsidRPr="00702523">
        <w:rPr>
          <w:rFonts w:ascii="Times New Roman" w:hAnsi="Times New Roman" w:hint="eastAsia"/>
          <w:b w:val="0"/>
          <w:color w:val="000000" w:themeColor="text1"/>
          <w:sz w:val="24"/>
          <w:szCs w:val="21"/>
        </w:rPr>
        <w:t>Z</w:t>
      </w:r>
      <w:r w:rsidR="00E94552" w:rsidRPr="00702523">
        <w:rPr>
          <w:rFonts w:ascii="Times New Roman" w:hAnsi="Times New Roman"/>
          <w:b w:val="0"/>
          <w:color w:val="000000" w:themeColor="text1"/>
          <w:sz w:val="24"/>
          <w:szCs w:val="21"/>
        </w:rPr>
        <w:t xml:space="preserve">2805280 </w:t>
      </w:r>
      <w:r w:rsidR="00E94552" w:rsidRPr="00702523">
        <w:rPr>
          <w:rFonts w:ascii="Times New Roman" w:hAnsi="Times New Roman"/>
          <w:b w:val="0"/>
          <w:color w:val="000000" w:themeColor="text1"/>
          <w:sz w:val="24"/>
          <w:szCs w:val="21"/>
        </w:rPr>
        <w:t>工程定额</w:t>
      </w:r>
      <w:r w:rsidR="00E94552" w:rsidRPr="00702523">
        <w:rPr>
          <w:rFonts w:ascii="Times New Roman" w:hAnsi="Times New Roman" w:hint="eastAsia"/>
          <w:b w:val="0"/>
          <w:color w:val="000000" w:themeColor="text1"/>
          <w:sz w:val="24"/>
          <w:szCs w:val="21"/>
        </w:rPr>
        <w:t>管理</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455</w:t>
      </w:r>
    </w:p>
    <w:p w:rsidR="00E94552" w:rsidRPr="00702523" w:rsidRDefault="00823A08" w:rsidP="00E94552">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44.  </w:t>
      </w:r>
      <w:r w:rsidR="00E94552" w:rsidRPr="00702523">
        <w:rPr>
          <w:rFonts w:ascii="Times New Roman" w:hAnsi="Times New Roman" w:hint="eastAsia"/>
          <w:b w:val="0"/>
          <w:color w:val="000000" w:themeColor="text1"/>
          <w:sz w:val="24"/>
          <w:szCs w:val="21"/>
        </w:rPr>
        <w:t>Z</w:t>
      </w:r>
      <w:r w:rsidR="00E94552" w:rsidRPr="00702523">
        <w:rPr>
          <w:rFonts w:ascii="Times New Roman" w:hAnsi="Times New Roman"/>
          <w:b w:val="0"/>
          <w:color w:val="000000" w:themeColor="text1"/>
          <w:sz w:val="24"/>
          <w:szCs w:val="21"/>
        </w:rPr>
        <w:t xml:space="preserve">2805290 </w:t>
      </w:r>
      <w:r w:rsidR="00E94552" w:rsidRPr="00702523">
        <w:rPr>
          <w:rFonts w:ascii="Times New Roman" w:hAnsi="Times New Roman"/>
          <w:b w:val="0"/>
          <w:color w:val="000000" w:themeColor="text1"/>
          <w:sz w:val="24"/>
          <w:szCs w:val="21"/>
        </w:rPr>
        <w:t>土木工程与施工组织</w:t>
      </w:r>
      <w:r w:rsidR="00E94552" w:rsidRPr="00702523">
        <w:rPr>
          <w:rFonts w:ascii="Times New Roman" w:hAnsi="Times New Roman" w:hint="eastAsia"/>
          <w:b w:val="0"/>
          <w:color w:val="000000" w:themeColor="text1"/>
          <w:sz w:val="24"/>
          <w:szCs w:val="21"/>
        </w:rPr>
        <w:t>（工程造价）</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463</w:t>
      </w:r>
    </w:p>
    <w:p w:rsidR="004E7269" w:rsidRPr="00702523" w:rsidRDefault="00823A08" w:rsidP="00E94552">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45.  </w:t>
      </w:r>
      <w:r w:rsidR="004E7269" w:rsidRPr="00702523">
        <w:rPr>
          <w:rFonts w:ascii="Times New Roman" w:hAnsi="Times New Roman"/>
          <w:b w:val="0"/>
          <w:color w:val="000000" w:themeColor="text1"/>
          <w:sz w:val="24"/>
          <w:szCs w:val="21"/>
        </w:rPr>
        <w:t xml:space="preserve">Z2805300 </w:t>
      </w:r>
      <w:r w:rsidR="004E7269" w:rsidRPr="00702523">
        <w:rPr>
          <w:rFonts w:ascii="Times New Roman" w:hAnsi="Times New Roman"/>
          <w:b w:val="0"/>
          <w:color w:val="000000" w:themeColor="text1"/>
          <w:sz w:val="24"/>
          <w:szCs w:val="21"/>
        </w:rPr>
        <w:t>建设法规</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471</w:t>
      </w:r>
    </w:p>
    <w:p w:rsidR="00E94552" w:rsidRPr="00702523" w:rsidRDefault="00823A08" w:rsidP="004E7269">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46.  </w:t>
      </w:r>
      <w:r w:rsidR="00E94552" w:rsidRPr="00702523">
        <w:rPr>
          <w:rFonts w:ascii="Times New Roman" w:hAnsi="Times New Roman"/>
          <w:b w:val="0"/>
          <w:color w:val="000000" w:themeColor="text1"/>
          <w:sz w:val="24"/>
          <w:szCs w:val="21"/>
        </w:rPr>
        <w:t>Z2805301  FEDIC</w:t>
      </w:r>
      <w:r w:rsidR="00E94552" w:rsidRPr="00702523">
        <w:rPr>
          <w:rFonts w:ascii="Times New Roman" w:hAnsi="Times New Roman"/>
          <w:b w:val="0"/>
          <w:color w:val="000000" w:themeColor="text1"/>
          <w:sz w:val="24"/>
          <w:szCs w:val="21"/>
        </w:rPr>
        <w:t>合同</w:t>
      </w:r>
      <w:r w:rsidR="004E7269" w:rsidRPr="00702523">
        <w:rPr>
          <w:rFonts w:ascii="Times New Roman" w:hAnsi="Times New Roman"/>
          <w:b w:val="0"/>
          <w:color w:val="000000" w:themeColor="text1"/>
          <w:sz w:val="24"/>
          <w:szCs w:val="21"/>
        </w:rPr>
        <w:t xml:space="preserve"> </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482</w:t>
      </w:r>
      <w:r w:rsidR="004E7269" w:rsidRPr="00702523">
        <w:rPr>
          <w:rFonts w:ascii="Times New Roman" w:hAnsi="Times New Roman"/>
          <w:b w:val="0"/>
          <w:color w:val="000000" w:themeColor="text1"/>
          <w:sz w:val="24"/>
          <w:szCs w:val="21"/>
        </w:rPr>
        <w:t xml:space="preserve">   </w:t>
      </w:r>
    </w:p>
    <w:p w:rsidR="004E7269" w:rsidRPr="00702523" w:rsidRDefault="00823A08" w:rsidP="004E7269">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47.  </w:t>
      </w:r>
      <w:r w:rsidR="004E7269" w:rsidRPr="00702523">
        <w:rPr>
          <w:rFonts w:ascii="Times New Roman" w:hAnsi="Times New Roman"/>
          <w:b w:val="0"/>
          <w:color w:val="000000" w:themeColor="text1"/>
          <w:sz w:val="24"/>
          <w:szCs w:val="21"/>
        </w:rPr>
        <w:t>Z2805310</w:t>
      </w:r>
      <w:r w:rsidR="004E7269" w:rsidRPr="00702523">
        <w:rPr>
          <w:rFonts w:ascii="Times New Roman" w:hAnsi="Times New Roman"/>
          <w:b w:val="0"/>
          <w:color w:val="000000" w:themeColor="text1"/>
          <w:sz w:val="24"/>
          <w:szCs w:val="21"/>
        </w:rPr>
        <w:t>工程计量与计价</w:t>
      </w:r>
      <w:r w:rsidR="004E7269" w:rsidRPr="00702523">
        <w:rPr>
          <w:rFonts w:ascii="Times New Roman" w:hAnsi="Times New Roman" w:hint="eastAsia"/>
          <w:b w:val="0"/>
          <w:color w:val="000000" w:themeColor="text1"/>
          <w:sz w:val="24"/>
          <w:szCs w:val="21"/>
        </w:rPr>
        <w:t>（二）（工程造价）</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489</w:t>
      </w:r>
    </w:p>
    <w:p w:rsidR="004E7269" w:rsidRPr="00702523" w:rsidRDefault="00823A08" w:rsidP="00E94552">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48.  </w:t>
      </w:r>
      <w:r w:rsidR="004E7269" w:rsidRPr="00702523">
        <w:rPr>
          <w:rFonts w:ascii="Times New Roman" w:hAnsi="Times New Roman"/>
          <w:b w:val="0"/>
          <w:color w:val="000000" w:themeColor="text1"/>
          <w:sz w:val="24"/>
          <w:szCs w:val="21"/>
        </w:rPr>
        <w:t xml:space="preserve">Z2805320 </w:t>
      </w:r>
      <w:r w:rsidR="004E7269" w:rsidRPr="00702523">
        <w:rPr>
          <w:rFonts w:ascii="Times New Roman" w:hAnsi="Times New Roman"/>
          <w:b w:val="0"/>
          <w:color w:val="000000" w:themeColor="text1"/>
          <w:sz w:val="24"/>
          <w:szCs w:val="21"/>
        </w:rPr>
        <w:t>工程招投标与合同管理</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495</w:t>
      </w:r>
    </w:p>
    <w:p w:rsidR="004E7269" w:rsidRPr="00702523" w:rsidRDefault="00823A08" w:rsidP="00B70E4F">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49.  </w:t>
      </w:r>
      <w:r w:rsidR="004E7269" w:rsidRPr="00702523">
        <w:rPr>
          <w:rFonts w:ascii="Times New Roman" w:hAnsi="Times New Roman"/>
          <w:b w:val="0"/>
          <w:color w:val="000000" w:themeColor="text1"/>
          <w:sz w:val="24"/>
          <w:szCs w:val="21"/>
        </w:rPr>
        <w:t xml:space="preserve">Z2805330 </w:t>
      </w:r>
      <w:r w:rsidR="00E94552" w:rsidRPr="00702523">
        <w:rPr>
          <w:rFonts w:ascii="Times New Roman" w:hAnsi="Times New Roman"/>
          <w:b w:val="0"/>
          <w:color w:val="000000" w:themeColor="text1"/>
          <w:sz w:val="24"/>
          <w:szCs w:val="21"/>
        </w:rPr>
        <w:t>工程项目管理</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503</w:t>
      </w:r>
    </w:p>
    <w:p w:rsidR="004E7269" w:rsidRPr="00702523" w:rsidRDefault="00823A08" w:rsidP="00E94552">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50.  </w:t>
      </w:r>
      <w:r w:rsidR="004E7269" w:rsidRPr="00702523">
        <w:rPr>
          <w:rFonts w:ascii="Times New Roman" w:hAnsi="Times New Roman"/>
          <w:b w:val="0"/>
          <w:color w:val="000000" w:themeColor="text1"/>
          <w:sz w:val="24"/>
          <w:szCs w:val="21"/>
        </w:rPr>
        <w:t>Z2805340</w:t>
      </w:r>
      <w:r w:rsidR="00E94552" w:rsidRPr="00702523">
        <w:rPr>
          <w:rFonts w:ascii="Times New Roman" w:hAnsi="Times New Roman"/>
          <w:b w:val="0"/>
          <w:color w:val="000000" w:themeColor="text1"/>
          <w:sz w:val="24"/>
          <w:szCs w:val="21"/>
        </w:rPr>
        <w:t xml:space="preserve">  </w:t>
      </w:r>
      <w:r w:rsidR="00E94552" w:rsidRPr="00702523">
        <w:rPr>
          <w:rFonts w:ascii="Times New Roman" w:hAnsi="Times New Roman"/>
          <w:b w:val="0"/>
          <w:color w:val="000000" w:themeColor="text1"/>
          <w:sz w:val="24"/>
          <w:szCs w:val="21"/>
        </w:rPr>
        <w:t>工程风险管理</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511</w:t>
      </w:r>
    </w:p>
    <w:p w:rsidR="00823A08" w:rsidRPr="00702523" w:rsidRDefault="00823A08" w:rsidP="00823A08">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51. Z2805350 BIM</w:t>
      </w:r>
      <w:r w:rsidRPr="00702523">
        <w:rPr>
          <w:rFonts w:ascii="Times New Roman" w:hAnsi="Times New Roman"/>
          <w:b w:val="0"/>
          <w:color w:val="000000" w:themeColor="text1"/>
          <w:sz w:val="24"/>
          <w:szCs w:val="21"/>
        </w:rPr>
        <w:t>建模与应用技术</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517</w:t>
      </w:r>
    </w:p>
    <w:p w:rsidR="00823A08" w:rsidRPr="00702523" w:rsidRDefault="00823A08" w:rsidP="00823A08">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52. Z2805360 </w:t>
      </w:r>
      <w:r w:rsidRPr="00702523">
        <w:rPr>
          <w:rFonts w:ascii="Times New Roman" w:hAnsi="Times New Roman"/>
          <w:b w:val="0"/>
          <w:color w:val="000000" w:themeColor="text1"/>
          <w:sz w:val="24"/>
          <w:szCs w:val="21"/>
        </w:rPr>
        <w:t>工程监理概论</w:t>
      </w:r>
      <w:r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523</w:t>
      </w:r>
    </w:p>
    <w:p w:rsidR="00823A08" w:rsidRPr="00702523" w:rsidRDefault="00823A08" w:rsidP="00F2294C">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hint="eastAsia"/>
          <w:b w:val="0"/>
          <w:color w:val="000000" w:themeColor="text1"/>
          <w:sz w:val="24"/>
          <w:szCs w:val="21"/>
        </w:rPr>
        <w:t>5</w:t>
      </w:r>
      <w:r w:rsidRPr="00702523">
        <w:rPr>
          <w:rFonts w:ascii="Times New Roman" w:hAnsi="Times New Roman"/>
          <w:b w:val="0"/>
          <w:color w:val="000000" w:themeColor="text1"/>
          <w:sz w:val="24"/>
          <w:szCs w:val="21"/>
        </w:rPr>
        <w:t>3. Z2805370 BIM</w:t>
      </w:r>
      <w:r w:rsidRPr="00702523">
        <w:rPr>
          <w:rFonts w:ascii="Times New Roman" w:hAnsi="Times New Roman"/>
          <w:b w:val="0"/>
          <w:color w:val="000000" w:themeColor="text1"/>
          <w:sz w:val="24"/>
          <w:szCs w:val="21"/>
        </w:rPr>
        <w:t>与造价应用</w:t>
      </w:r>
      <w:r w:rsidR="00F2294C"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531</w:t>
      </w:r>
    </w:p>
    <w:p w:rsidR="004E7269" w:rsidRPr="00702523" w:rsidRDefault="00823A08" w:rsidP="00F2294C">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54. </w:t>
      </w:r>
      <w:r w:rsidR="00E94552" w:rsidRPr="00702523">
        <w:rPr>
          <w:rFonts w:ascii="Times New Roman" w:hAnsi="Times New Roman"/>
          <w:b w:val="0"/>
          <w:color w:val="000000" w:themeColor="text1"/>
          <w:sz w:val="24"/>
          <w:szCs w:val="21"/>
        </w:rPr>
        <w:t xml:space="preserve">Z2806010 </w:t>
      </w:r>
      <w:r w:rsidR="00E94552" w:rsidRPr="00702523">
        <w:rPr>
          <w:rFonts w:ascii="Times New Roman" w:hAnsi="Times New Roman"/>
          <w:b w:val="0"/>
          <w:color w:val="000000" w:themeColor="text1"/>
          <w:sz w:val="24"/>
          <w:szCs w:val="21"/>
        </w:rPr>
        <w:t>有机化学</w:t>
      </w:r>
      <w:r w:rsidR="00E94552" w:rsidRPr="00702523">
        <w:rPr>
          <w:rFonts w:ascii="Times New Roman" w:hAnsi="Times New Roman" w:hint="eastAsia"/>
          <w:b w:val="0"/>
          <w:color w:val="000000" w:themeColor="text1"/>
          <w:sz w:val="24"/>
          <w:szCs w:val="21"/>
        </w:rPr>
        <w:t>（双语，卓工班）</w:t>
      </w:r>
      <w:r w:rsidR="00F2294C"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538</w:t>
      </w:r>
    </w:p>
    <w:p w:rsidR="00E94552" w:rsidRPr="00702523" w:rsidRDefault="00823A08" w:rsidP="00F2294C">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55. </w:t>
      </w:r>
      <w:r w:rsidR="00E94552" w:rsidRPr="00702523">
        <w:rPr>
          <w:rFonts w:ascii="Times New Roman" w:hAnsi="Times New Roman" w:hint="eastAsia"/>
          <w:b w:val="0"/>
          <w:color w:val="000000" w:themeColor="text1"/>
          <w:sz w:val="24"/>
          <w:szCs w:val="21"/>
        </w:rPr>
        <w:t>Z</w:t>
      </w:r>
      <w:r w:rsidR="00E94552" w:rsidRPr="00702523">
        <w:rPr>
          <w:rFonts w:ascii="Times New Roman" w:hAnsi="Times New Roman"/>
          <w:b w:val="0"/>
          <w:color w:val="000000" w:themeColor="text1"/>
          <w:sz w:val="24"/>
          <w:szCs w:val="21"/>
        </w:rPr>
        <w:t xml:space="preserve">2806020 </w:t>
      </w:r>
      <w:r w:rsidR="00E94552" w:rsidRPr="00702523">
        <w:rPr>
          <w:rFonts w:ascii="Times New Roman" w:hAnsi="Times New Roman"/>
          <w:b w:val="0"/>
          <w:color w:val="000000" w:themeColor="text1"/>
          <w:sz w:val="24"/>
          <w:szCs w:val="21"/>
        </w:rPr>
        <w:t>有机化学</w:t>
      </w:r>
      <w:r w:rsidR="006B5E23" w:rsidRPr="00702523">
        <w:rPr>
          <w:rFonts w:ascii="Times New Roman" w:hAnsi="Times New Roman" w:hint="eastAsia"/>
          <w:b w:val="0"/>
          <w:color w:val="000000" w:themeColor="text1"/>
          <w:sz w:val="24"/>
          <w:szCs w:val="21"/>
        </w:rPr>
        <w:t>（双语）</w:t>
      </w:r>
      <w:r w:rsidR="00F2294C"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545</w:t>
      </w:r>
    </w:p>
    <w:p w:rsidR="00E94552" w:rsidRPr="00702523" w:rsidRDefault="00823A08" w:rsidP="00F2294C">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56. </w:t>
      </w:r>
      <w:r w:rsidR="006B5E23" w:rsidRPr="00702523">
        <w:rPr>
          <w:rFonts w:ascii="Times New Roman" w:hAnsi="Times New Roman" w:hint="eastAsia"/>
          <w:b w:val="0"/>
          <w:color w:val="000000" w:themeColor="text1"/>
          <w:sz w:val="24"/>
          <w:szCs w:val="21"/>
        </w:rPr>
        <w:t>Z</w:t>
      </w:r>
      <w:r w:rsidR="006B5E23" w:rsidRPr="00702523">
        <w:rPr>
          <w:rFonts w:ascii="Times New Roman" w:hAnsi="Times New Roman"/>
          <w:b w:val="0"/>
          <w:color w:val="000000" w:themeColor="text1"/>
          <w:sz w:val="24"/>
          <w:szCs w:val="21"/>
        </w:rPr>
        <w:t xml:space="preserve">2806030 </w:t>
      </w:r>
      <w:r w:rsidR="006B5E23" w:rsidRPr="00702523">
        <w:rPr>
          <w:rFonts w:ascii="Times New Roman" w:hAnsi="Times New Roman"/>
          <w:b w:val="0"/>
          <w:color w:val="000000" w:themeColor="text1"/>
          <w:sz w:val="24"/>
          <w:szCs w:val="21"/>
        </w:rPr>
        <w:t>水工艺设备基础</w:t>
      </w:r>
      <w:r w:rsidR="00F2294C"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553</w:t>
      </w:r>
    </w:p>
    <w:p w:rsidR="006B5E23" w:rsidRPr="00702523" w:rsidRDefault="00823A08" w:rsidP="00F2294C">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57. </w:t>
      </w:r>
      <w:r w:rsidR="006B5E23" w:rsidRPr="00702523">
        <w:rPr>
          <w:rFonts w:ascii="Times New Roman" w:hAnsi="Times New Roman" w:hint="eastAsia"/>
          <w:b w:val="0"/>
          <w:color w:val="000000" w:themeColor="text1"/>
          <w:sz w:val="24"/>
          <w:szCs w:val="21"/>
        </w:rPr>
        <w:t>Z</w:t>
      </w:r>
      <w:r w:rsidR="006B5E23" w:rsidRPr="00702523">
        <w:rPr>
          <w:rFonts w:ascii="Times New Roman" w:hAnsi="Times New Roman"/>
          <w:b w:val="0"/>
          <w:color w:val="000000" w:themeColor="text1"/>
          <w:sz w:val="24"/>
          <w:szCs w:val="21"/>
        </w:rPr>
        <w:t xml:space="preserve">2806040 </w:t>
      </w:r>
      <w:r w:rsidR="006B5E23" w:rsidRPr="00702523">
        <w:rPr>
          <w:rFonts w:ascii="Times New Roman" w:hAnsi="Times New Roman"/>
          <w:b w:val="0"/>
          <w:color w:val="000000" w:themeColor="text1"/>
          <w:sz w:val="24"/>
          <w:szCs w:val="21"/>
        </w:rPr>
        <w:t>水力学</w:t>
      </w:r>
      <w:r w:rsidR="00F2294C"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559</w:t>
      </w:r>
    </w:p>
    <w:p w:rsidR="006B5E23" w:rsidRPr="00702523" w:rsidRDefault="00823A08" w:rsidP="00F2294C">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58. </w:t>
      </w:r>
      <w:r w:rsidR="006B5E23" w:rsidRPr="00702523">
        <w:rPr>
          <w:rFonts w:ascii="Times New Roman" w:hAnsi="Times New Roman" w:hint="eastAsia"/>
          <w:b w:val="0"/>
          <w:color w:val="000000" w:themeColor="text1"/>
          <w:sz w:val="24"/>
          <w:szCs w:val="21"/>
        </w:rPr>
        <w:t>Z</w:t>
      </w:r>
      <w:r w:rsidR="006B5E23" w:rsidRPr="00702523">
        <w:rPr>
          <w:rFonts w:ascii="Times New Roman" w:hAnsi="Times New Roman"/>
          <w:b w:val="0"/>
          <w:color w:val="000000" w:themeColor="text1"/>
          <w:sz w:val="24"/>
          <w:szCs w:val="21"/>
        </w:rPr>
        <w:t xml:space="preserve">2806050 </w:t>
      </w:r>
      <w:r w:rsidR="006B5E23" w:rsidRPr="00702523">
        <w:rPr>
          <w:rFonts w:ascii="Times New Roman" w:hAnsi="Times New Roman"/>
          <w:b w:val="0"/>
          <w:color w:val="000000" w:themeColor="text1"/>
          <w:sz w:val="24"/>
          <w:szCs w:val="21"/>
        </w:rPr>
        <w:t>水处理生物学</w:t>
      </w:r>
      <w:r w:rsidR="00F2294C"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567</w:t>
      </w:r>
    </w:p>
    <w:p w:rsidR="006B5E23" w:rsidRPr="00702523" w:rsidRDefault="00823A08" w:rsidP="00F2294C">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59. </w:t>
      </w:r>
      <w:r w:rsidR="006B5E23" w:rsidRPr="00702523">
        <w:rPr>
          <w:rFonts w:ascii="Times New Roman" w:hAnsi="Times New Roman" w:hint="eastAsia"/>
          <w:b w:val="0"/>
          <w:color w:val="000000" w:themeColor="text1"/>
          <w:sz w:val="24"/>
          <w:szCs w:val="21"/>
        </w:rPr>
        <w:t>Z</w:t>
      </w:r>
      <w:r w:rsidR="006B5E23" w:rsidRPr="00702523">
        <w:rPr>
          <w:rFonts w:ascii="Times New Roman" w:hAnsi="Times New Roman"/>
          <w:b w:val="0"/>
          <w:color w:val="000000" w:themeColor="text1"/>
          <w:sz w:val="24"/>
          <w:szCs w:val="21"/>
        </w:rPr>
        <w:t xml:space="preserve">2806060  </w:t>
      </w:r>
      <w:r w:rsidR="006B5E23" w:rsidRPr="00702523">
        <w:rPr>
          <w:rFonts w:ascii="Times New Roman" w:hAnsi="Times New Roman"/>
          <w:b w:val="0"/>
          <w:color w:val="000000" w:themeColor="text1"/>
          <w:sz w:val="24"/>
          <w:szCs w:val="21"/>
        </w:rPr>
        <w:t>水处理生物学实验</w:t>
      </w:r>
      <w:r w:rsidR="00F2294C"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574</w:t>
      </w:r>
    </w:p>
    <w:p w:rsidR="006B5E23" w:rsidRPr="00702523" w:rsidRDefault="00823A08" w:rsidP="00F2294C">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60. </w:t>
      </w:r>
      <w:r w:rsidR="006B5E23" w:rsidRPr="00702523">
        <w:rPr>
          <w:rFonts w:ascii="Times New Roman" w:hAnsi="Times New Roman" w:hint="eastAsia"/>
          <w:b w:val="0"/>
          <w:color w:val="000000" w:themeColor="text1"/>
          <w:sz w:val="24"/>
          <w:szCs w:val="21"/>
        </w:rPr>
        <w:t>Z</w:t>
      </w:r>
      <w:r w:rsidR="006B5E23" w:rsidRPr="00702523">
        <w:rPr>
          <w:rFonts w:ascii="Times New Roman" w:hAnsi="Times New Roman"/>
          <w:b w:val="0"/>
          <w:color w:val="000000" w:themeColor="text1"/>
          <w:sz w:val="24"/>
          <w:szCs w:val="21"/>
        </w:rPr>
        <w:t xml:space="preserve">2806070 </w:t>
      </w:r>
      <w:r w:rsidR="006B5E23" w:rsidRPr="00702523">
        <w:rPr>
          <w:rFonts w:ascii="Times New Roman" w:hAnsi="Times New Roman"/>
          <w:b w:val="0"/>
          <w:color w:val="000000" w:themeColor="text1"/>
          <w:sz w:val="24"/>
          <w:szCs w:val="21"/>
        </w:rPr>
        <w:t>泵与泵站</w:t>
      </w:r>
      <w:r w:rsidR="00F2294C"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584</w:t>
      </w:r>
    </w:p>
    <w:p w:rsidR="006B5E23" w:rsidRPr="00702523" w:rsidRDefault="00823A08" w:rsidP="00F2294C">
      <w:pPr>
        <w:pStyle w:val="10"/>
        <w:tabs>
          <w:tab w:val="right" w:leader="dot" w:pos="9736"/>
        </w:tabs>
        <w:ind w:left="420" w:hanging="420"/>
        <w:rPr>
          <w:rFonts w:ascii="Times New Roman" w:hAnsi="Times New Roman"/>
          <w:b w:val="0"/>
          <w:color w:val="000000" w:themeColor="text1"/>
          <w:sz w:val="24"/>
          <w:szCs w:val="21"/>
        </w:rPr>
      </w:pPr>
      <w:r w:rsidRPr="00702523">
        <w:rPr>
          <w:rFonts w:ascii="Times New Roman" w:hAnsi="Times New Roman"/>
          <w:b w:val="0"/>
          <w:color w:val="000000" w:themeColor="text1"/>
          <w:sz w:val="24"/>
          <w:szCs w:val="21"/>
        </w:rPr>
        <w:t xml:space="preserve">61. </w:t>
      </w:r>
      <w:r w:rsidR="006B5E23" w:rsidRPr="00702523">
        <w:rPr>
          <w:rFonts w:ascii="Times New Roman" w:hAnsi="Times New Roman" w:hint="eastAsia"/>
          <w:b w:val="0"/>
          <w:color w:val="000000" w:themeColor="text1"/>
          <w:sz w:val="24"/>
          <w:szCs w:val="21"/>
        </w:rPr>
        <w:t>Z</w:t>
      </w:r>
      <w:r w:rsidR="006B5E23" w:rsidRPr="00702523">
        <w:rPr>
          <w:rFonts w:ascii="Times New Roman" w:hAnsi="Times New Roman"/>
          <w:b w:val="0"/>
          <w:color w:val="000000" w:themeColor="text1"/>
          <w:sz w:val="24"/>
          <w:szCs w:val="21"/>
        </w:rPr>
        <w:t xml:space="preserve">2806080 </w:t>
      </w:r>
      <w:r w:rsidR="006B5E23" w:rsidRPr="00702523">
        <w:rPr>
          <w:rFonts w:ascii="Times New Roman" w:hAnsi="Times New Roman"/>
          <w:b w:val="0"/>
          <w:color w:val="000000" w:themeColor="text1"/>
          <w:sz w:val="24"/>
          <w:szCs w:val="21"/>
        </w:rPr>
        <w:t>给水管网</w:t>
      </w:r>
      <w:r w:rsidR="00F2294C" w:rsidRPr="00702523">
        <w:rPr>
          <w:rFonts w:ascii="Times New Roman" w:hAnsi="Times New Roman" w:hint="eastAsia"/>
          <w:b w:val="0"/>
          <w:color w:val="000000" w:themeColor="text1"/>
          <w:sz w:val="24"/>
          <w:szCs w:val="21"/>
        </w:rPr>
        <w:tab/>
      </w:r>
      <w:r w:rsidR="004A6FD8">
        <w:rPr>
          <w:rFonts w:ascii="Times New Roman" w:hAnsi="Times New Roman"/>
          <w:b w:val="0"/>
          <w:color w:val="000000" w:themeColor="text1"/>
          <w:sz w:val="24"/>
          <w:szCs w:val="21"/>
        </w:rPr>
        <w:t>591</w:t>
      </w:r>
    </w:p>
    <w:p w:rsidR="006B5E23" w:rsidRPr="00F2294C" w:rsidRDefault="00823A08" w:rsidP="00F2294C">
      <w:pPr>
        <w:pStyle w:val="10"/>
        <w:tabs>
          <w:tab w:val="right" w:leader="dot" w:pos="9736"/>
        </w:tabs>
        <w:ind w:left="420" w:hanging="420"/>
        <w:rPr>
          <w:rFonts w:ascii="Times New Roman" w:hAnsi="Times New Roman"/>
          <w:b w:val="0"/>
          <w:color w:val="00B050"/>
          <w:sz w:val="24"/>
          <w:szCs w:val="21"/>
        </w:rPr>
      </w:pPr>
      <w:r w:rsidRPr="00702523">
        <w:rPr>
          <w:rFonts w:ascii="Times New Roman" w:hAnsi="Times New Roman"/>
          <w:b w:val="0"/>
          <w:color w:val="000000" w:themeColor="text1"/>
          <w:sz w:val="24"/>
          <w:szCs w:val="21"/>
        </w:rPr>
        <w:t xml:space="preserve">62. </w:t>
      </w:r>
      <w:r w:rsidR="006B5E23" w:rsidRPr="00702523">
        <w:rPr>
          <w:rFonts w:ascii="Times New Roman" w:hAnsi="Times New Roman" w:hint="eastAsia"/>
          <w:b w:val="0"/>
          <w:color w:val="000000" w:themeColor="text1"/>
          <w:sz w:val="24"/>
          <w:szCs w:val="21"/>
        </w:rPr>
        <w:t>Z</w:t>
      </w:r>
      <w:r w:rsidR="006B5E23" w:rsidRPr="00702523">
        <w:rPr>
          <w:rFonts w:ascii="Times New Roman" w:hAnsi="Times New Roman"/>
          <w:b w:val="0"/>
          <w:color w:val="000000" w:themeColor="text1"/>
          <w:sz w:val="24"/>
          <w:szCs w:val="21"/>
        </w:rPr>
        <w:t xml:space="preserve">2806110 </w:t>
      </w:r>
      <w:r w:rsidR="006B5E23" w:rsidRPr="00702523">
        <w:rPr>
          <w:rFonts w:ascii="Times New Roman" w:hAnsi="Times New Roman"/>
          <w:b w:val="0"/>
          <w:color w:val="000000" w:themeColor="text1"/>
          <w:sz w:val="24"/>
          <w:szCs w:val="21"/>
        </w:rPr>
        <w:t>水文学及水</w:t>
      </w:r>
      <w:r w:rsidR="006B5E23" w:rsidRPr="00823A08">
        <w:rPr>
          <w:rFonts w:ascii="Times New Roman" w:hAnsi="Times New Roman"/>
          <w:b w:val="0"/>
          <w:sz w:val="24"/>
          <w:szCs w:val="21"/>
        </w:rPr>
        <w:t>文地质学</w:t>
      </w:r>
      <w:r w:rsidR="00F2294C">
        <w:rPr>
          <w:rFonts w:ascii="Times New Roman" w:hAnsi="Times New Roman" w:hint="eastAsia"/>
          <w:b w:val="0"/>
          <w:sz w:val="24"/>
          <w:szCs w:val="21"/>
        </w:rPr>
        <w:tab/>
      </w:r>
      <w:r w:rsidR="004A6FD8">
        <w:rPr>
          <w:rFonts w:ascii="Times New Roman" w:hAnsi="Times New Roman"/>
          <w:b w:val="0"/>
          <w:sz w:val="24"/>
          <w:szCs w:val="21"/>
        </w:rPr>
        <w:t>598</w:t>
      </w:r>
    </w:p>
    <w:p w:rsidR="006B5E23"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63. </w:t>
      </w:r>
      <w:r w:rsidR="006B5E23" w:rsidRPr="00823A08">
        <w:rPr>
          <w:rFonts w:ascii="Times New Roman" w:hAnsi="Times New Roman" w:hint="eastAsia"/>
          <w:b w:val="0"/>
          <w:sz w:val="24"/>
          <w:szCs w:val="21"/>
        </w:rPr>
        <w:t>Z</w:t>
      </w:r>
      <w:r w:rsidR="006B5E23" w:rsidRPr="00823A08">
        <w:rPr>
          <w:rFonts w:ascii="Times New Roman" w:hAnsi="Times New Roman"/>
          <w:b w:val="0"/>
          <w:sz w:val="24"/>
          <w:szCs w:val="21"/>
        </w:rPr>
        <w:t xml:space="preserve">2806120 </w:t>
      </w:r>
      <w:r w:rsidR="006B5E23" w:rsidRPr="00823A08">
        <w:rPr>
          <w:rFonts w:ascii="Times New Roman" w:hAnsi="Times New Roman"/>
          <w:b w:val="0"/>
          <w:sz w:val="24"/>
          <w:szCs w:val="21"/>
        </w:rPr>
        <w:t>建筑给水排水工程</w:t>
      </w:r>
      <w:r w:rsidR="00F2294C">
        <w:rPr>
          <w:rFonts w:ascii="Times New Roman" w:hAnsi="Times New Roman" w:hint="eastAsia"/>
          <w:b w:val="0"/>
          <w:sz w:val="24"/>
          <w:szCs w:val="21"/>
        </w:rPr>
        <w:tab/>
      </w:r>
      <w:r w:rsidR="004A6FD8">
        <w:rPr>
          <w:rFonts w:ascii="Times New Roman" w:hAnsi="Times New Roman"/>
          <w:b w:val="0"/>
          <w:sz w:val="24"/>
          <w:szCs w:val="21"/>
        </w:rPr>
        <w:t>607</w:t>
      </w:r>
    </w:p>
    <w:p w:rsidR="004C7AF6"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lastRenderedPageBreak/>
        <w:t xml:space="preserve">64. </w:t>
      </w:r>
      <w:r w:rsidR="004C7AF6" w:rsidRPr="00823A08">
        <w:rPr>
          <w:rFonts w:ascii="Times New Roman" w:hAnsi="Times New Roman" w:hint="eastAsia"/>
          <w:b w:val="0"/>
          <w:sz w:val="24"/>
          <w:szCs w:val="21"/>
        </w:rPr>
        <w:t>Z</w:t>
      </w:r>
      <w:r w:rsidR="004C7AF6" w:rsidRPr="00823A08">
        <w:rPr>
          <w:rFonts w:ascii="Times New Roman" w:hAnsi="Times New Roman"/>
          <w:b w:val="0"/>
          <w:sz w:val="24"/>
          <w:szCs w:val="21"/>
        </w:rPr>
        <w:t xml:space="preserve">2806130 </w:t>
      </w:r>
      <w:r w:rsidR="004C7AF6" w:rsidRPr="00823A08">
        <w:rPr>
          <w:rFonts w:ascii="Times New Roman" w:hAnsi="Times New Roman"/>
          <w:b w:val="0"/>
          <w:sz w:val="24"/>
          <w:szCs w:val="21"/>
        </w:rPr>
        <w:t>建筑给排水系统</w:t>
      </w:r>
      <w:r w:rsidR="00F2294C">
        <w:rPr>
          <w:rFonts w:ascii="Times New Roman" w:hAnsi="Times New Roman" w:hint="eastAsia"/>
          <w:b w:val="0"/>
          <w:sz w:val="24"/>
          <w:szCs w:val="21"/>
        </w:rPr>
        <w:tab/>
      </w:r>
      <w:r w:rsidR="004A6FD8">
        <w:rPr>
          <w:rFonts w:ascii="Times New Roman" w:hAnsi="Times New Roman"/>
          <w:b w:val="0"/>
          <w:sz w:val="24"/>
          <w:szCs w:val="21"/>
        </w:rPr>
        <w:t>612</w:t>
      </w:r>
    </w:p>
    <w:p w:rsidR="006B5E23"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65. </w:t>
      </w:r>
      <w:r w:rsidR="006B5E23" w:rsidRPr="00823A08">
        <w:rPr>
          <w:rFonts w:ascii="Times New Roman" w:hAnsi="Times New Roman" w:hint="eastAsia"/>
          <w:b w:val="0"/>
          <w:sz w:val="24"/>
          <w:szCs w:val="21"/>
        </w:rPr>
        <w:t>Z</w:t>
      </w:r>
      <w:r w:rsidR="006B5E23" w:rsidRPr="00823A08">
        <w:rPr>
          <w:rFonts w:ascii="Times New Roman" w:hAnsi="Times New Roman"/>
          <w:b w:val="0"/>
          <w:sz w:val="24"/>
          <w:szCs w:val="21"/>
        </w:rPr>
        <w:t xml:space="preserve">2806140 </w:t>
      </w:r>
      <w:r w:rsidR="006B5E23" w:rsidRPr="00823A08">
        <w:rPr>
          <w:rFonts w:ascii="Times New Roman" w:hAnsi="Times New Roman"/>
          <w:b w:val="0"/>
          <w:sz w:val="24"/>
          <w:szCs w:val="21"/>
        </w:rPr>
        <w:t>水资源利用与保护</w:t>
      </w:r>
      <w:r w:rsidR="00F2294C">
        <w:rPr>
          <w:rFonts w:ascii="Times New Roman" w:hAnsi="Times New Roman" w:hint="eastAsia"/>
          <w:b w:val="0"/>
          <w:sz w:val="24"/>
          <w:szCs w:val="21"/>
        </w:rPr>
        <w:tab/>
      </w:r>
      <w:r w:rsidR="004A6FD8">
        <w:rPr>
          <w:rFonts w:ascii="Times New Roman" w:hAnsi="Times New Roman"/>
          <w:b w:val="0"/>
          <w:sz w:val="24"/>
          <w:szCs w:val="21"/>
        </w:rPr>
        <w:t>621</w:t>
      </w:r>
    </w:p>
    <w:p w:rsidR="006B5E23"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66. </w:t>
      </w:r>
      <w:r w:rsidR="006B5E23" w:rsidRPr="00823A08">
        <w:rPr>
          <w:rFonts w:ascii="Times New Roman" w:hAnsi="Times New Roman" w:hint="eastAsia"/>
          <w:b w:val="0"/>
          <w:sz w:val="24"/>
          <w:szCs w:val="21"/>
        </w:rPr>
        <w:t>Z</w:t>
      </w:r>
      <w:r w:rsidR="006B5E23" w:rsidRPr="00823A08">
        <w:rPr>
          <w:rFonts w:ascii="Times New Roman" w:hAnsi="Times New Roman"/>
          <w:b w:val="0"/>
          <w:sz w:val="24"/>
          <w:szCs w:val="21"/>
        </w:rPr>
        <w:t xml:space="preserve">2806150 </w:t>
      </w:r>
      <w:r w:rsidR="006B5E23" w:rsidRPr="00823A08">
        <w:rPr>
          <w:rFonts w:ascii="Times New Roman" w:hAnsi="Times New Roman"/>
          <w:b w:val="0"/>
          <w:sz w:val="24"/>
          <w:szCs w:val="21"/>
        </w:rPr>
        <w:t>环境监测与评价</w:t>
      </w:r>
      <w:r w:rsidR="00F2294C">
        <w:rPr>
          <w:rFonts w:ascii="Times New Roman" w:hAnsi="Times New Roman" w:hint="eastAsia"/>
          <w:b w:val="0"/>
          <w:sz w:val="24"/>
          <w:szCs w:val="21"/>
        </w:rPr>
        <w:tab/>
      </w:r>
      <w:r w:rsidR="004A6FD8">
        <w:rPr>
          <w:rFonts w:ascii="Times New Roman" w:hAnsi="Times New Roman"/>
          <w:b w:val="0"/>
          <w:sz w:val="24"/>
          <w:szCs w:val="21"/>
        </w:rPr>
        <w:t>629</w:t>
      </w:r>
    </w:p>
    <w:p w:rsidR="006B5E23"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67. </w:t>
      </w:r>
      <w:r w:rsidR="006B5E23" w:rsidRPr="00823A08">
        <w:rPr>
          <w:rFonts w:ascii="Times New Roman" w:hAnsi="Times New Roman" w:hint="eastAsia"/>
          <w:b w:val="0"/>
          <w:sz w:val="24"/>
          <w:szCs w:val="21"/>
        </w:rPr>
        <w:t>Z</w:t>
      </w:r>
      <w:r w:rsidR="006B5E23" w:rsidRPr="00823A08">
        <w:rPr>
          <w:rFonts w:ascii="Times New Roman" w:hAnsi="Times New Roman"/>
          <w:b w:val="0"/>
          <w:sz w:val="24"/>
          <w:szCs w:val="21"/>
        </w:rPr>
        <w:t xml:space="preserve">2806160 </w:t>
      </w:r>
      <w:r w:rsidR="006B5E23" w:rsidRPr="00823A08">
        <w:rPr>
          <w:rFonts w:ascii="Times New Roman" w:hAnsi="Times New Roman"/>
          <w:b w:val="0"/>
          <w:sz w:val="24"/>
          <w:szCs w:val="21"/>
        </w:rPr>
        <w:t>水质工程学</w:t>
      </w:r>
      <w:r w:rsidR="006B5E23" w:rsidRPr="00823A08">
        <w:rPr>
          <w:rFonts w:ascii="Times New Roman" w:hAnsi="Times New Roman" w:hint="eastAsia"/>
          <w:b w:val="0"/>
          <w:sz w:val="24"/>
          <w:szCs w:val="21"/>
        </w:rPr>
        <w:t>（Ⅰ）</w:t>
      </w:r>
      <w:r w:rsidR="00F2294C">
        <w:rPr>
          <w:rFonts w:ascii="Times New Roman" w:hAnsi="Times New Roman" w:hint="eastAsia"/>
          <w:b w:val="0"/>
          <w:sz w:val="24"/>
          <w:szCs w:val="21"/>
        </w:rPr>
        <w:tab/>
      </w:r>
      <w:r w:rsidR="004A6FD8">
        <w:rPr>
          <w:rFonts w:ascii="Times New Roman" w:hAnsi="Times New Roman"/>
          <w:b w:val="0"/>
          <w:sz w:val="24"/>
          <w:szCs w:val="21"/>
        </w:rPr>
        <w:t>635</w:t>
      </w:r>
    </w:p>
    <w:p w:rsidR="006B5E23"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68. </w:t>
      </w:r>
      <w:r w:rsidR="006B5E23" w:rsidRPr="00823A08">
        <w:rPr>
          <w:rFonts w:ascii="Times New Roman" w:hAnsi="Times New Roman" w:hint="eastAsia"/>
          <w:b w:val="0"/>
          <w:sz w:val="24"/>
          <w:szCs w:val="21"/>
        </w:rPr>
        <w:t>Z</w:t>
      </w:r>
      <w:r w:rsidR="006B5E23" w:rsidRPr="00823A08">
        <w:rPr>
          <w:rFonts w:ascii="Times New Roman" w:hAnsi="Times New Roman"/>
          <w:b w:val="0"/>
          <w:sz w:val="24"/>
          <w:szCs w:val="21"/>
        </w:rPr>
        <w:t xml:space="preserve">2806170 </w:t>
      </w:r>
      <w:r w:rsidR="006B5E23" w:rsidRPr="00823A08">
        <w:rPr>
          <w:rFonts w:ascii="Times New Roman" w:hAnsi="Times New Roman"/>
          <w:b w:val="0"/>
          <w:sz w:val="24"/>
          <w:szCs w:val="21"/>
        </w:rPr>
        <w:t>水质工程学</w:t>
      </w:r>
      <w:r w:rsidR="006B5E23" w:rsidRPr="00823A08">
        <w:rPr>
          <w:rFonts w:ascii="Times New Roman" w:hAnsi="Times New Roman" w:hint="eastAsia"/>
          <w:b w:val="0"/>
          <w:sz w:val="24"/>
          <w:szCs w:val="21"/>
        </w:rPr>
        <w:t>（Ⅱ）</w:t>
      </w:r>
      <w:r w:rsidR="00F2294C">
        <w:rPr>
          <w:rFonts w:ascii="Times New Roman" w:hAnsi="Times New Roman" w:hint="eastAsia"/>
          <w:b w:val="0"/>
          <w:sz w:val="24"/>
          <w:szCs w:val="21"/>
        </w:rPr>
        <w:tab/>
      </w:r>
      <w:r w:rsidR="004A6FD8">
        <w:rPr>
          <w:rFonts w:ascii="Times New Roman" w:hAnsi="Times New Roman"/>
          <w:b w:val="0"/>
          <w:sz w:val="24"/>
          <w:szCs w:val="21"/>
        </w:rPr>
        <w:t>642</w:t>
      </w:r>
    </w:p>
    <w:p w:rsidR="004C7AF6"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69. </w:t>
      </w:r>
      <w:r w:rsidR="004C7AF6" w:rsidRPr="00823A08">
        <w:rPr>
          <w:rFonts w:ascii="Times New Roman" w:hAnsi="Times New Roman" w:hint="eastAsia"/>
          <w:b w:val="0"/>
          <w:sz w:val="24"/>
          <w:szCs w:val="21"/>
        </w:rPr>
        <w:t>Z</w:t>
      </w:r>
      <w:r w:rsidR="004C7AF6" w:rsidRPr="00823A08">
        <w:rPr>
          <w:rFonts w:ascii="Times New Roman" w:hAnsi="Times New Roman"/>
          <w:b w:val="0"/>
          <w:sz w:val="24"/>
          <w:szCs w:val="21"/>
        </w:rPr>
        <w:t xml:space="preserve">2806180 </w:t>
      </w:r>
      <w:r w:rsidR="004C7AF6" w:rsidRPr="00823A08">
        <w:rPr>
          <w:rFonts w:ascii="Times New Roman" w:hAnsi="Times New Roman"/>
          <w:b w:val="0"/>
          <w:sz w:val="24"/>
          <w:szCs w:val="21"/>
        </w:rPr>
        <w:t>给水处理理论与技术</w:t>
      </w:r>
      <w:r w:rsidR="00F2294C">
        <w:rPr>
          <w:rFonts w:ascii="Times New Roman" w:hAnsi="Times New Roman" w:hint="eastAsia"/>
          <w:b w:val="0"/>
          <w:sz w:val="24"/>
          <w:szCs w:val="21"/>
        </w:rPr>
        <w:tab/>
      </w:r>
      <w:r w:rsidR="004A6FD8">
        <w:rPr>
          <w:rFonts w:ascii="Times New Roman" w:hAnsi="Times New Roman"/>
          <w:b w:val="0"/>
          <w:sz w:val="24"/>
          <w:szCs w:val="21"/>
        </w:rPr>
        <w:t>650</w:t>
      </w:r>
    </w:p>
    <w:p w:rsidR="004C7AF6"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70. </w:t>
      </w:r>
      <w:r w:rsidR="004C7AF6" w:rsidRPr="00823A08">
        <w:rPr>
          <w:rFonts w:ascii="Times New Roman" w:hAnsi="Times New Roman" w:hint="eastAsia"/>
          <w:b w:val="0"/>
          <w:sz w:val="24"/>
          <w:szCs w:val="21"/>
        </w:rPr>
        <w:t>Z</w:t>
      </w:r>
      <w:r w:rsidR="004C7AF6" w:rsidRPr="00823A08">
        <w:rPr>
          <w:rFonts w:ascii="Times New Roman" w:hAnsi="Times New Roman"/>
          <w:b w:val="0"/>
          <w:sz w:val="24"/>
          <w:szCs w:val="21"/>
        </w:rPr>
        <w:t xml:space="preserve">2806190 </w:t>
      </w:r>
      <w:r w:rsidR="004C7AF6" w:rsidRPr="00823A08">
        <w:rPr>
          <w:rFonts w:ascii="Times New Roman" w:hAnsi="Times New Roman"/>
          <w:b w:val="0"/>
          <w:sz w:val="24"/>
          <w:szCs w:val="21"/>
        </w:rPr>
        <w:t>污水处理理论</w:t>
      </w:r>
      <w:r w:rsidR="00F2294C">
        <w:rPr>
          <w:rFonts w:ascii="Times New Roman" w:hAnsi="Times New Roman" w:hint="eastAsia"/>
          <w:b w:val="0"/>
          <w:sz w:val="24"/>
          <w:szCs w:val="21"/>
        </w:rPr>
        <w:tab/>
      </w:r>
      <w:r w:rsidR="004A6FD8">
        <w:rPr>
          <w:rFonts w:ascii="Times New Roman" w:hAnsi="Times New Roman"/>
          <w:b w:val="0"/>
          <w:sz w:val="24"/>
          <w:szCs w:val="21"/>
        </w:rPr>
        <w:t>657</w:t>
      </w:r>
    </w:p>
    <w:p w:rsidR="006B5E23"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71. </w:t>
      </w:r>
      <w:r w:rsidR="006B5E23" w:rsidRPr="00823A08">
        <w:rPr>
          <w:rFonts w:ascii="Times New Roman" w:hAnsi="Times New Roman" w:hint="eastAsia"/>
          <w:b w:val="0"/>
          <w:sz w:val="24"/>
          <w:szCs w:val="21"/>
        </w:rPr>
        <w:t>Z</w:t>
      </w:r>
      <w:r w:rsidR="006B5E23" w:rsidRPr="00823A08">
        <w:rPr>
          <w:rFonts w:ascii="Times New Roman" w:hAnsi="Times New Roman"/>
          <w:b w:val="0"/>
          <w:sz w:val="24"/>
          <w:szCs w:val="21"/>
        </w:rPr>
        <w:t xml:space="preserve">2806200 </w:t>
      </w:r>
      <w:r w:rsidR="006B5E23" w:rsidRPr="00823A08">
        <w:rPr>
          <w:rFonts w:ascii="Times New Roman" w:hAnsi="Times New Roman"/>
          <w:b w:val="0"/>
          <w:sz w:val="24"/>
          <w:szCs w:val="21"/>
        </w:rPr>
        <w:t>水质工程学实验</w:t>
      </w:r>
      <w:r w:rsidR="00F2294C">
        <w:rPr>
          <w:rFonts w:ascii="Times New Roman" w:hAnsi="Times New Roman" w:hint="eastAsia"/>
          <w:b w:val="0"/>
          <w:sz w:val="24"/>
          <w:szCs w:val="21"/>
        </w:rPr>
        <w:tab/>
      </w:r>
      <w:r w:rsidR="004A6FD8">
        <w:rPr>
          <w:rFonts w:ascii="Times New Roman" w:hAnsi="Times New Roman"/>
          <w:b w:val="0"/>
          <w:sz w:val="24"/>
          <w:szCs w:val="21"/>
        </w:rPr>
        <w:t>664</w:t>
      </w:r>
    </w:p>
    <w:p w:rsidR="006B5E23"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72. </w:t>
      </w:r>
      <w:r w:rsidR="006B5E23" w:rsidRPr="00823A08">
        <w:rPr>
          <w:rFonts w:ascii="Times New Roman" w:hAnsi="Times New Roman" w:hint="eastAsia"/>
          <w:b w:val="0"/>
          <w:sz w:val="24"/>
          <w:szCs w:val="21"/>
        </w:rPr>
        <w:t>Z</w:t>
      </w:r>
      <w:r w:rsidR="006B5E23" w:rsidRPr="00823A08">
        <w:rPr>
          <w:rFonts w:ascii="Times New Roman" w:hAnsi="Times New Roman"/>
          <w:b w:val="0"/>
          <w:sz w:val="24"/>
          <w:szCs w:val="21"/>
        </w:rPr>
        <w:t xml:space="preserve">2806230 </w:t>
      </w:r>
      <w:r w:rsidR="006B5E23" w:rsidRPr="00823A08">
        <w:rPr>
          <w:rFonts w:ascii="Times New Roman" w:hAnsi="Times New Roman"/>
          <w:b w:val="0"/>
          <w:sz w:val="24"/>
          <w:szCs w:val="21"/>
        </w:rPr>
        <w:t>给水排水计算机应用</w:t>
      </w:r>
      <w:r w:rsidR="00F2294C">
        <w:rPr>
          <w:rFonts w:ascii="Times New Roman" w:hAnsi="Times New Roman" w:hint="eastAsia"/>
          <w:b w:val="0"/>
          <w:sz w:val="24"/>
          <w:szCs w:val="21"/>
        </w:rPr>
        <w:tab/>
      </w:r>
      <w:r w:rsidR="004A6FD8">
        <w:rPr>
          <w:rFonts w:ascii="Times New Roman" w:hAnsi="Times New Roman"/>
          <w:b w:val="0"/>
          <w:sz w:val="24"/>
          <w:szCs w:val="21"/>
        </w:rPr>
        <w:t>674</w:t>
      </w:r>
    </w:p>
    <w:p w:rsidR="004C7AF6"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73. </w:t>
      </w:r>
      <w:r w:rsidR="004C7AF6" w:rsidRPr="00823A08">
        <w:rPr>
          <w:rFonts w:ascii="Times New Roman" w:hAnsi="Times New Roman" w:hint="eastAsia"/>
          <w:b w:val="0"/>
          <w:sz w:val="24"/>
          <w:szCs w:val="21"/>
        </w:rPr>
        <w:t>Z</w:t>
      </w:r>
      <w:r w:rsidR="004C7AF6" w:rsidRPr="00823A08">
        <w:rPr>
          <w:rFonts w:ascii="Times New Roman" w:hAnsi="Times New Roman"/>
          <w:b w:val="0"/>
          <w:sz w:val="24"/>
          <w:szCs w:val="21"/>
        </w:rPr>
        <w:t xml:space="preserve">2806250 </w:t>
      </w:r>
      <w:r w:rsidR="004C7AF6" w:rsidRPr="00823A08">
        <w:rPr>
          <w:rFonts w:ascii="Times New Roman" w:hAnsi="Times New Roman"/>
          <w:b w:val="0"/>
          <w:sz w:val="24"/>
          <w:szCs w:val="21"/>
        </w:rPr>
        <w:t>水工程经济与管理</w:t>
      </w:r>
      <w:r w:rsidR="00F2294C">
        <w:rPr>
          <w:rFonts w:ascii="Times New Roman" w:hAnsi="Times New Roman" w:hint="eastAsia"/>
          <w:b w:val="0"/>
          <w:sz w:val="24"/>
          <w:szCs w:val="21"/>
        </w:rPr>
        <w:tab/>
      </w:r>
      <w:r w:rsidR="004A6FD8">
        <w:rPr>
          <w:rFonts w:ascii="Times New Roman" w:hAnsi="Times New Roman"/>
          <w:b w:val="0"/>
          <w:sz w:val="24"/>
          <w:szCs w:val="21"/>
        </w:rPr>
        <w:t>680</w:t>
      </w:r>
    </w:p>
    <w:p w:rsidR="004C7AF6"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74. </w:t>
      </w:r>
      <w:r w:rsidR="004C7AF6" w:rsidRPr="00823A08">
        <w:rPr>
          <w:rFonts w:ascii="Times New Roman" w:hAnsi="Times New Roman" w:hint="eastAsia"/>
          <w:b w:val="0"/>
          <w:sz w:val="24"/>
          <w:szCs w:val="21"/>
        </w:rPr>
        <w:t>Z</w:t>
      </w:r>
      <w:r w:rsidR="004C7AF6" w:rsidRPr="00823A08">
        <w:rPr>
          <w:rFonts w:ascii="Times New Roman" w:hAnsi="Times New Roman"/>
          <w:b w:val="0"/>
          <w:sz w:val="24"/>
          <w:szCs w:val="21"/>
        </w:rPr>
        <w:t xml:space="preserve">2806270 </w:t>
      </w:r>
      <w:r w:rsidR="004C7AF6" w:rsidRPr="00823A08">
        <w:rPr>
          <w:rFonts w:ascii="Times New Roman" w:hAnsi="Times New Roman"/>
          <w:b w:val="0"/>
          <w:sz w:val="24"/>
          <w:szCs w:val="21"/>
        </w:rPr>
        <w:t>城市垃圾处理与处置技术</w:t>
      </w:r>
      <w:r w:rsidR="00F2294C">
        <w:rPr>
          <w:rFonts w:ascii="Times New Roman" w:hAnsi="Times New Roman" w:hint="eastAsia"/>
          <w:b w:val="0"/>
          <w:sz w:val="24"/>
          <w:szCs w:val="21"/>
        </w:rPr>
        <w:tab/>
      </w:r>
      <w:r w:rsidR="004A6FD8">
        <w:rPr>
          <w:rFonts w:ascii="Times New Roman" w:hAnsi="Times New Roman"/>
          <w:b w:val="0"/>
          <w:sz w:val="24"/>
          <w:szCs w:val="21"/>
        </w:rPr>
        <w:t>687</w:t>
      </w:r>
    </w:p>
    <w:p w:rsidR="00AC242A"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75. </w:t>
      </w:r>
      <w:r w:rsidR="00AC242A" w:rsidRPr="00823A08">
        <w:rPr>
          <w:rFonts w:ascii="Times New Roman" w:hAnsi="Times New Roman" w:hint="eastAsia"/>
          <w:b w:val="0"/>
          <w:sz w:val="24"/>
          <w:szCs w:val="21"/>
        </w:rPr>
        <w:t>Z</w:t>
      </w:r>
      <w:r w:rsidR="00AC242A" w:rsidRPr="00823A08">
        <w:rPr>
          <w:rFonts w:ascii="Times New Roman" w:hAnsi="Times New Roman"/>
          <w:b w:val="0"/>
          <w:sz w:val="24"/>
          <w:szCs w:val="21"/>
        </w:rPr>
        <w:t xml:space="preserve">2806280 </w:t>
      </w:r>
      <w:r w:rsidR="00AC242A" w:rsidRPr="00823A08">
        <w:rPr>
          <w:rFonts w:ascii="Times New Roman" w:hAnsi="Times New Roman"/>
          <w:b w:val="0"/>
          <w:sz w:val="24"/>
          <w:szCs w:val="21"/>
        </w:rPr>
        <w:t>建筑给排水</w:t>
      </w:r>
      <w:r w:rsidR="00AC242A" w:rsidRPr="00823A08">
        <w:rPr>
          <w:rFonts w:ascii="Times New Roman" w:hAnsi="Times New Roman" w:hint="eastAsia"/>
          <w:b w:val="0"/>
          <w:sz w:val="24"/>
          <w:szCs w:val="21"/>
        </w:rPr>
        <w:t>（建筑环境与能源应用专业）</w:t>
      </w:r>
      <w:r w:rsidR="00F2294C">
        <w:rPr>
          <w:rFonts w:ascii="Times New Roman" w:hAnsi="Times New Roman" w:hint="eastAsia"/>
          <w:b w:val="0"/>
          <w:sz w:val="24"/>
          <w:szCs w:val="21"/>
        </w:rPr>
        <w:tab/>
      </w:r>
      <w:r w:rsidR="004A6FD8">
        <w:rPr>
          <w:rFonts w:ascii="Times New Roman" w:hAnsi="Times New Roman"/>
          <w:b w:val="0"/>
          <w:sz w:val="24"/>
          <w:szCs w:val="21"/>
        </w:rPr>
        <w:t>693</w:t>
      </w:r>
    </w:p>
    <w:p w:rsidR="004C7AF6"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76. </w:t>
      </w:r>
      <w:r w:rsidR="004C7AF6" w:rsidRPr="00823A08">
        <w:rPr>
          <w:rFonts w:ascii="Times New Roman" w:hAnsi="Times New Roman" w:hint="eastAsia"/>
          <w:b w:val="0"/>
          <w:sz w:val="24"/>
          <w:szCs w:val="21"/>
        </w:rPr>
        <w:t>Z</w:t>
      </w:r>
      <w:r w:rsidR="004C7AF6" w:rsidRPr="00823A08">
        <w:rPr>
          <w:rFonts w:ascii="Times New Roman" w:hAnsi="Times New Roman"/>
          <w:b w:val="0"/>
          <w:sz w:val="24"/>
          <w:szCs w:val="21"/>
        </w:rPr>
        <w:t xml:space="preserve">2806290 </w:t>
      </w:r>
      <w:r w:rsidR="004C7AF6" w:rsidRPr="00823A08">
        <w:rPr>
          <w:rFonts w:ascii="Times New Roman" w:hAnsi="Times New Roman"/>
          <w:b w:val="0"/>
          <w:sz w:val="24"/>
          <w:szCs w:val="21"/>
        </w:rPr>
        <w:t>高层建筑给排水及消防工程</w:t>
      </w:r>
      <w:r w:rsidR="00F2294C">
        <w:rPr>
          <w:rFonts w:ascii="Times New Roman" w:hAnsi="Times New Roman" w:hint="eastAsia"/>
          <w:b w:val="0"/>
          <w:sz w:val="24"/>
          <w:szCs w:val="21"/>
        </w:rPr>
        <w:tab/>
      </w:r>
      <w:r w:rsidR="004A6FD8">
        <w:rPr>
          <w:rFonts w:ascii="Times New Roman" w:hAnsi="Times New Roman"/>
          <w:b w:val="0"/>
          <w:sz w:val="24"/>
          <w:szCs w:val="21"/>
        </w:rPr>
        <w:t>701</w:t>
      </w:r>
    </w:p>
    <w:p w:rsidR="004C7AF6"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77. </w:t>
      </w:r>
      <w:r w:rsidR="004C7AF6" w:rsidRPr="00823A08">
        <w:rPr>
          <w:rFonts w:ascii="Times New Roman" w:hAnsi="Times New Roman" w:hint="eastAsia"/>
          <w:b w:val="0"/>
          <w:sz w:val="24"/>
          <w:szCs w:val="21"/>
        </w:rPr>
        <w:t>Z</w:t>
      </w:r>
      <w:r w:rsidR="004C7AF6" w:rsidRPr="00823A08">
        <w:rPr>
          <w:rFonts w:ascii="Times New Roman" w:hAnsi="Times New Roman"/>
          <w:b w:val="0"/>
          <w:sz w:val="24"/>
          <w:szCs w:val="21"/>
        </w:rPr>
        <w:t xml:space="preserve">2806300 </w:t>
      </w:r>
      <w:r w:rsidR="004C7AF6" w:rsidRPr="00823A08">
        <w:rPr>
          <w:rFonts w:ascii="Times New Roman" w:hAnsi="Times New Roman"/>
          <w:b w:val="0"/>
          <w:sz w:val="24"/>
          <w:szCs w:val="21"/>
        </w:rPr>
        <w:t>城镇防洪与雨洪控制</w:t>
      </w:r>
      <w:r w:rsidR="00F2294C">
        <w:rPr>
          <w:rFonts w:ascii="Times New Roman" w:hAnsi="Times New Roman" w:hint="eastAsia"/>
          <w:b w:val="0"/>
          <w:sz w:val="24"/>
          <w:szCs w:val="21"/>
        </w:rPr>
        <w:tab/>
      </w:r>
      <w:r w:rsidR="004A6FD8">
        <w:rPr>
          <w:rFonts w:ascii="Times New Roman" w:hAnsi="Times New Roman"/>
          <w:b w:val="0"/>
          <w:sz w:val="24"/>
          <w:szCs w:val="21"/>
        </w:rPr>
        <w:t>708</w:t>
      </w:r>
    </w:p>
    <w:p w:rsidR="00AC242A"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78. </w:t>
      </w:r>
      <w:r w:rsidR="00AC242A" w:rsidRPr="00823A08">
        <w:rPr>
          <w:rFonts w:ascii="Times New Roman" w:hAnsi="Times New Roman" w:hint="eastAsia"/>
          <w:b w:val="0"/>
          <w:sz w:val="24"/>
          <w:szCs w:val="21"/>
        </w:rPr>
        <w:t>Z</w:t>
      </w:r>
      <w:r w:rsidR="00AC242A" w:rsidRPr="00823A08">
        <w:rPr>
          <w:rFonts w:ascii="Times New Roman" w:hAnsi="Times New Roman"/>
          <w:b w:val="0"/>
          <w:sz w:val="24"/>
          <w:szCs w:val="21"/>
        </w:rPr>
        <w:t xml:space="preserve">2806310 </w:t>
      </w:r>
      <w:r w:rsidR="00AC242A" w:rsidRPr="00823A08">
        <w:rPr>
          <w:rFonts w:ascii="Times New Roman" w:hAnsi="Times New Roman"/>
          <w:b w:val="0"/>
          <w:sz w:val="24"/>
          <w:szCs w:val="21"/>
        </w:rPr>
        <w:t>城市水系统运营与管理</w:t>
      </w:r>
      <w:r w:rsidR="00F2294C">
        <w:rPr>
          <w:rFonts w:ascii="Times New Roman" w:hAnsi="Times New Roman" w:hint="eastAsia"/>
          <w:b w:val="0"/>
          <w:sz w:val="24"/>
          <w:szCs w:val="21"/>
        </w:rPr>
        <w:tab/>
      </w:r>
      <w:r w:rsidR="004A6FD8">
        <w:rPr>
          <w:rFonts w:ascii="Times New Roman" w:hAnsi="Times New Roman"/>
          <w:b w:val="0"/>
          <w:sz w:val="24"/>
          <w:szCs w:val="21"/>
        </w:rPr>
        <w:t>716</w:t>
      </w:r>
    </w:p>
    <w:p w:rsidR="00AC242A"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79. </w:t>
      </w:r>
      <w:r w:rsidR="00AC242A" w:rsidRPr="00823A08">
        <w:rPr>
          <w:rFonts w:ascii="Times New Roman" w:hAnsi="Times New Roman" w:hint="eastAsia"/>
          <w:b w:val="0"/>
          <w:sz w:val="24"/>
          <w:szCs w:val="21"/>
        </w:rPr>
        <w:t>Z</w:t>
      </w:r>
      <w:r w:rsidR="00AC242A" w:rsidRPr="00823A08">
        <w:rPr>
          <w:rFonts w:ascii="Times New Roman" w:hAnsi="Times New Roman"/>
          <w:b w:val="0"/>
          <w:sz w:val="24"/>
          <w:szCs w:val="21"/>
        </w:rPr>
        <w:t xml:space="preserve">2806320  </w:t>
      </w:r>
      <w:r w:rsidR="00AC242A" w:rsidRPr="00823A08">
        <w:rPr>
          <w:rFonts w:ascii="Times New Roman" w:hAnsi="Times New Roman"/>
          <w:b w:val="0"/>
          <w:sz w:val="24"/>
          <w:szCs w:val="21"/>
        </w:rPr>
        <w:t>城市水工程建设监理</w:t>
      </w:r>
      <w:r w:rsidR="00F2294C">
        <w:rPr>
          <w:rFonts w:ascii="Times New Roman" w:hAnsi="Times New Roman" w:hint="eastAsia"/>
          <w:b w:val="0"/>
          <w:sz w:val="24"/>
          <w:szCs w:val="21"/>
        </w:rPr>
        <w:tab/>
      </w:r>
      <w:r w:rsidR="004A6FD8">
        <w:rPr>
          <w:rFonts w:ascii="Times New Roman" w:hAnsi="Times New Roman"/>
          <w:b w:val="0"/>
          <w:sz w:val="24"/>
          <w:szCs w:val="21"/>
        </w:rPr>
        <w:t>723</w:t>
      </w:r>
    </w:p>
    <w:p w:rsidR="00AC242A"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80. </w:t>
      </w:r>
      <w:r w:rsidR="00AC242A" w:rsidRPr="00823A08">
        <w:rPr>
          <w:rFonts w:ascii="Times New Roman" w:hAnsi="Times New Roman" w:hint="eastAsia"/>
          <w:b w:val="0"/>
          <w:sz w:val="24"/>
          <w:szCs w:val="21"/>
        </w:rPr>
        <w:t>Z</w:t>
      </w:r>
      <w:r w:rsidR="00AC242A" w:rsidRPr="00823A08">
        <w:rPr>
          <w:rFonts w:ascii="Times New Roman" w:hAnsi="Times New Roman"/>
          <w:b w:val="0"/>
          <w:sz w:val="24"/>
          <w:szCs w:val="21"/>
        </w:rPr>
        <w:t xml:space="preserve">2806330 </w:t>
      </w:r>
      <w:r w:rsidR="00AC242A" w:rsidRPr="00823A08">
        <w:rPr>
          <w:rFonts w:ascii="Times New Roman" w:hAnsi="Times New Roman"/>
          <w:b w:val="0"/>
          <w:sz w:val="24"/>
          <w:szCs w:val="21"/>
        </w:rPr>
        <w:t>水处理实验技术</w:t>
      </w:r>
      <w:r w:rsidR="00F2294C">
        <w:rPr>
          <w:rFonts w:ascii="Times New Roman" w:hAnsi="Times New Roman" w:hint="eastAsia"/>
          <w:b w:val="0"/>
          <w:sz w:val="24"/>
          <w:szCs w:val="21"/>
        </w:rPr>
        <w:tab/>
      </w:r>
      <w:r w:rsidR="004A6FD8">
        <w:rPr>
          <w:rFonts w:ascii="Times New Roman" w:hAnsi="Times New Roman"/>
          <w:b w:val="0"/>
          <w:sz w:val="24"/>
          <w:szCs w:val="21"/>
        </w:rPr>
        <w:t>728</w:t>
      </w:r>
    </w:p>
    <w:p w:rsidR="004C7AF6"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81. </w:t>
      </w:r>
      <w:r w:rsidR="004C7AF6" w:rsidRPr="00823A08">
        <w:rPr>
          <w:rFonts w:ascii="Times New Roman" w:hAnsi="Times New Roman" w:hint="eastAsia"/>
          <w:b w:val="0"/>
          <w:sz w:val="24"/>
          <w:szCs w:val="21"/>
        </w:rPr>
        <w:t>Z</w:t>
      </w:r>
      <w:r w:rsidR="004C7AF6" w:rsidRPr="00823A08">
        <w:rPr>
          <w:rFonts w:ascii="Times New Roman" w:hAnsi="Times New Roman"/>
          <w:b w:val="0"/>
          <w:sz w:val="24"/>
          <w:szCs w:val="21"/>
        </w:rPr>
        <w:t xml:space="preserve">2806340 </w:t>
      </w:r>
      <w:r w:rsidR="004C7AF6" w:rsidRPr="00823A08">
        <w:rPr>
          <w:rFonts w:ascii="Times New Roman" w:hAnsi="Times New Roman"/>
          <w:b w:val="0"/>
          <w:sz w:val="24"/>
          <w:szCs w:val="21"/>
        </w:rPr>
        <w:t>水工程法规</w:t>
      </w:r>
      <w:r w:rsidR="00F2294C">
        <w:rPr>
          <w:rFonts w:ascii="Times New Roman" w:hAnsi="Times New Roman" w:hint="eastAsia"/>
          <w:b w:val="0"/>
          <w:sz w:val="24"/>
          <w:szCs w:val="21"/>
        </w:rPr>
        <w:tab/>
      </w:r>
      <w:r w:rsidR="004A6FD8">
        <w:rPr>
          <w:rFonts w:ascii="Times New Roman" w:hAnsi="Times New Roman"/>
          <w:b w:val="0"/>
          <w:sz w:val="24"/>
          <w:szCs w:val="21"/>
        </w:rPr>
        <w:t>738</w:t>
      </w:r>
    </w:p>
    <w:p w:rsidR="00AC242A"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82. </w:t>
      </w:r>
      <w:r w:rsidR="00AC242A" w:rsidRPr="00823A08">
        <w:rPr>
          <w:rFonts w:ascii="Times New Roman" w:hAnsi="Times New Roman" w:hint="eastAsia"/>
          <w:b w:val="0"/>
          <w:sz w:val="24"/>
          <w:szCs w:val="21"/>
        </w:rPr>
        <w:t>Z</w:t>
      </w:r>
      <w:r w:rsidR="00AC242A" w:rsidRPr="00823A08">
        <w:rPr>
          <w:rFonts w:ascii="Times New Roman" w:hAnsi="Times New Roman"/>
          <w:b w:val="0"/>
          <w:sz w:val="24"/>
          <w:szCs w:val="21"/>
        </w:rPr>
        <w:t xml:space="preserve">2806350 </w:t>
      </w:r>
      <w:r w:rsidR="00AC242A" w:rsidRPr="00823A08">
        <w:rPr>
          <w:rFonts w:ascii="Times New Roman" w:hAnsi="Times New Roman"/>
          <w:b w:val="0"/>
          <w:sz w:val="24"/>
          <w:szCs w:val="21"/>
        </w:rPr>
        <w:t>城市水生态与水环境</w:t>
      </w:r>
      <w:r w:rsidR="00F2294C">
        <w:rPr>
          <w:rFonts w:ascii="Times New Roman" w:hAnsi="Times New Roman" w:hint="eastAsia"/>
          <w:b w:val="0"/>
          <w:sz w:val="24"/>
          <w:szCs w:val="21"/>
        </w:rPr>
        <w:tab/>
      </w:r>
      <w:r w:rsidR="004A6FD8">
        <w:rPr>
          <w:rFonts w:ascii="Times New Roman" w:hAnsi="Times New Roman"/>
          <w:b w:val="0"/>
          <w:sz w:val="24"/>
          <w:szCs w:val="21"/>
        </w:rPr>
        <w:t>745</w:t>
      </w:r>
    </w:p>
    <w:p w:rsidR="006B5E23"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83. </w:t>
      </w:r>
      <w:r w:rsidR="006B5E23" w:rsidRPr="00823A08">
        <w:rPr>
          <w:rFonts w:ascii="Times New Roman" w:hAnsi="Times New Roman" w:hint="eastAsia"/>
          <w:b w:val="0"/>
          <w:sz w:val="24"/>
          <w:szCs w:val="21"/>
        </w:rPr>
        <w:t>Z</w:t>
      </w:r>
      <w:r w:rsidR="006B5E23" w:rsidRPr="00823A08">
        <w:rPr>
          <w:rFonts w:ascii="Times New Roman" w:hAnsi="Times New Roman"/>
          <w:b w:val="0"/>
          <w:sz w:val="24"/>
          <w:szCs w:val="21"/>
        </w:rPr>
        <w:t>2806390</w:t>
      </w:r>
      <w:r w:rsidR="004C7AF6" w:rsidRPr="00823A08">
        <w:rPr>
          <w:rFonts w:ascii="Times New Roman" w:hAnsi="Times New Roman"/>
          <w:b w:val="0"/>
          <w:sz w:val="24"/>
          <w:szCs w:val="21"/>
        </w:rPr>
        <w:t xml:space="preserve"> </w:t>
      </w:r>
      <w:r w:rsidR="004C7AF6" w:rsidRPr="00823A08">
        <w:rPr>
          <w:rFonts w:ascii="Times New Roman" w:hAnsi="Times New Roman"/>
          <w:b w:val="0"/>
          <w:sz w:val="24"/>
          <w:szCs w:val="21"/>
        </w:rPr>
        <w:t>水工程施工</w:t>
      </w:r>
      <w:r w:rsidR="00F2294C">
        <w:rPr>
          <w:rFonts w:ascii="Times New Roman" w:hAnsi="Times New Roman" w:hint="eastAsia"/>
          <w:b w:val="0"/>
          <w:sz w:val="24"/>
          <w:szCs w:val="21"/>
        </w:rPr>
        <w:tab/>
      </w:r>
      <w:r w:rsidR="004A6FD8">
        <w:rPr>
          <w:rFonts w:ascii="Times New Roman" w:hAnsi="Times New Roman"/>
          <w:b w:val="0"/>
          <w:sz w:val="24"/>
          <w:szCs w:val="21"/>
        </w:rPr>
        <w:t>752</w:t>
      </w:r>
    </w:p>
    <w:p w:rsidR="004C7AF6"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84. </w:t>
      </w:r>
      <w:r w:rsidR="004C7AF6" w:rsidRPr="00823A08">
        <w:rPr>
          <w:rFonts w:ascii="Times New Roman" w:hAnsi="Times New Roman" w:hint="eastAsia"/>
          <w:b w:val="0"/>
          <w:sz w:val="24"/>
          <w:szCs w:val="21"/>
        </w:rPr>
        <w:t>Z</w:t>
      </w:r>
      <w:r w:rsidR="004C7AF6" w:rsidRPr="00823A08">
        <w:rPr>
          <w:rFonts w:ascii="Times New Roman" w:hAnsi="Times New Roman"/>
          <w:b w:val="0"/>
          <w:sz w:val="24"/>
          <w:szCs w:val="21"/>
        </w:rPr>
        <w:t xml:space="preserve">2806410 </w:t>
      </w:r>
      <w:r w:rsidR="004C7AF6" w:rsidRPr="00823A08">
        <w:rPr>
          <w:rFonts w:ascii="Times New Roman" w:hAnsi="Times New Roman"/>
          <w:b w:val="0"/>
          <w:sz w:val="24"/>
          <w:szCs w:val="21"/>
        </w:rPr>
        <w:t>给排水科学与工程前沿</w:t>
      </w:r>
      <w:r w:rsidR="00F2294C">
        <w:rPr>
          <w:rFonts w:ascii="Times New Roman" w:hAnsi="Times New Roman" w:hint="eastAsia"/>
          <w:b w:val="0"/>
          <w:sz w:val="24"/>
          <w:szCs w:val="21"/>
        </w:rPr>
        <w:tab/>
      </w:r>
      <w:r w:rsidR="004A6FD8">
        <w:rPr>
          <w:rFonts w:ascii="Times New Roman" w:hAnsi="Times New Roman"/>
          <w:b w:val="0"/>
          <w:sz w:val="24"/>
          <w:szCs w:val="21"/>
        </w:rPr>
        <w:t>758</w:t>
      </w:r>
    </w:p>
    <w:p w:rsidR="00AC242A"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85. </w:t>
      </w:r>
      <w:r w:rsidR="00AC242A" w:rsidRPr="00823A08">
        <w:rPr>
          <w:rFonts w:ascii="Times New Roman" w:hAnsi="Times New Roman" w:hint="eastAsia"/>
          <w:b w:val="0"/>
          <w:sz w:val="24"/>
          <w:szCs w:val="21"/>
        </w:rPr>
        <w:t>Z</w:t>
      </w:r>
      <w:r w:rsidR="00AC242A" w:rsidRPr="00823A08">
        <w:rPr>
          <w:rFonts w:ascii="Times New Roman" w:hAnsi="Times New Roman"/>
          <w:b w:val="0"/>
          <w:sz w:val="24"/>
          <w:szCs w:val="21"/>
        </w:rPr>
        <w:t>2806420</w:t>
      </w:r>
      <w:r w:rsidR="00AC242A" w:rsidRPr="00823A08">
        <w:rPr>
          <w:rFonts w:ascii="Times New Roman" w:hAnsi="Times New Roman"/>
          <w:b w:val="0"/>
          <w:sz w:val="24"/>
          <w:szCs w:val="21"/>
        </w:rPr>
        <w:t>给排水工程仪表与控制</w:t>
      </w:r>
      <w:r w:rsidR="00F2294C">
        <w:rPr>
          <w:rFonts w:ascii="Times New Roman" w:hAnsi="Times New Roman" w:hint="eastAsia"/>
          <w:b w:val="0"/>
          <w:sz w:val="24"/>
          <w:szCs w:val="21"/>
        </w:rPr>
        <w:tab/>
      </w:r>
      <w:r w:rsidR="004A6FD8">
        <w:rPr>
          <w:rFonts w:ascii="Times New Roman" w:hAnsi="Times New Roman"/>
          <w:b w:val="0"/>
          <w:sz w:val="24"/>
          <w:szCs w:val="21"/>
        </w:rPr>
        <w:t>762</w:t>
      </w:r>
    </w:p>
    <w:p w:rsidR="004C7AF6"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86. </w:t>
      </w:r>
      <w:r w:rsidR="004C7AF6" w:rsidRPr="00823A08">
        <w:rPr>
          <w:rFonts w:ascii="Times New Roman" w:hAnsi="Times New Roman" w:hint="eastAsia"/>
          <w:b w:val="0"/>
          <w:sz w:val="24"/>
          <w:szCs w:val="21"/>
        </w:rPr>
        <w:t>Z</w:t>
      </w:r>
      <w:r w:rsidR="004C7AF6" w:rsidRPr="00823A08">
        <w:rPr>
          <w:rFonts w:ascii="Times New Roman" w:hAnsi="Times New Roman"/>
          <w:b w:val="0"/>
          <w:sz w:val="24"/>
          <w:szCs w:val="21"/>
        </w:rPr>
        <w:t xml:space="preserve">2806430 </w:t>
      </w:r>
      <w:r w:rsidR="004C7AF6" w:rsidRPr="00823A08">
        <w:rPr>
          <w:rFonts w:ascii="Times New Roman" w:hAnsi="Times New Roman"/>
          <w:b w:val="0"/>
          <w:sz w:val="24"/>
          <w:szCs w:val="21"/>
        </w:rPr>
        <w:t>工业排水</w:t>
      </w:r>
      <w:r w:rsidR="00F2294C">
        <w:rPr>
          <w:rFonts w:ascii="Times New Roman" w:hAnsi="Times New Roman" w:hint="eastAsia"/>
          <w:b w:val="0"/>
          <w:sz w:val="24"/>
          <w:szCs w:val="21"/>
        </w:rPr>
        <w:tab/>
      </w:r>
      <w:r w:rsidR="004A6FD8">
        <w:rPr>
          <w:rFonts w:ascii="Times New Roman" w:hAnsi="Times New Roman"/>
          <w:b w:val="0"/>
          <w:sz w:val="24"/>
          <w:szCs w:val="21"/>
        </w:rPr>
        <w:t>769</w:t>
      </w:r>
    </w:p>
    <w:p w:rsidR="00AC242A"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87. </w:t>
      </w:r>
      <w:r w:rsidR="004C7AF6" w:rsidRPr="00823A08">
        <w:rPr>
          <w:rFonts w:ascii="Times New Roman" w:hAnsi="Times New Roman" w:hint="eastAsia"/>
          <w:b w:val="0"/>
          <w:sz w:val="24"/>
          <w:szCs w:val="21"/>
        </w:rPr>
        <w:t>Z</w:t>
      </w:r>
      <w:r w:rsidR="004C7AF6" w:rsidRPr="00823A08">
        <w:rPr>
          <w:rFonts w:ascii="Times New Roman" w:hAnsi="Times New Roman"/>
          <w:b w:val="0"/>
          <w:sz w:val="24"/>
          <w:szCs w:val="21"/>
        </w:rPr>
        <w:t>28064</w:t>
      </w:r>
      <w:r w:rsidR="00AC242A" w:rsidRPr="00823A08">
        <w:rPr>
          <w:rFonts w:ascii="Times New Roman" w:hAnsi="Times New Roman"/>
          <w:b w:val="0"/>
          <w:sz w:val="24"/>
          <w:szCs w:val="21"/>
        </w:rPr>
        <w:t>5</w:t>
      </w:r>
      <w:r w:rsidR="004C7AF6" w:rsidRPr="00823A08">
        <w:rPr>
          <w:rFonts w:ascii="Times New Roman" w:hAnsi="Times New Roman"/>
          <w:b w:val="0"/>
          <w:sz w:val="24"/>
          <w:szCs w:val="21"/>
        </w:rPr>
        <w:t xml:space="preserve">0 </w:t>
      </w:r>
      <w:r w:rsidR="00AC242A" w:rsidRPr="00823A08">
        <w:rPr>
          <w:rFonts w:ascii="Times New Roman" w:hAnsi="Times New Roman"/>
          <w:b w:val="0"/>
          <w:sz w:val="24"/>
          <w:szCs w:val="21"/>
        </w:rPr>
        <w:t>城市防洪与雨洪控制</w:t>
      </w:r>
      <w:r w:rsidR="00AC242A" w:rsidRPr="00823A08">
        <w:rPr>
          <w:rFonts w:ascii="Times New Roman" w:hAnsi="Times New Roman" w:hint="eastAsia"/>
          <w:b w:val="0"/>
          <w:sz w:val="24"/>
          <w:szCs w:val="21"/>
        </w:rPr>
        <w:t>（卓工班）</w:t>
      </w:r>
      <w:r w:rsidR="00F2294C">
        <w:rPr>
          <w:rFonts w:ascii="Times New Roman" w:hAnsi="Times New Roman" w:hint="eastAsia"/>
          <w:b w:val="0"/>
          <w:sz w:val="24"/>
          <w:szCs w:val="21"/>
        </w:rPr>
        <w:tab/>
      </w:r>
      <w:r w:rsidR="004A6FD8">
        <w:rPr>
          <w:rFonts w:ascii="Times New Roman" w:hAnsi="Times New Roman"/>
          <w:b w:val="0"/>
          <w:sz w:val="24"/>
          <w:szCs w:val="21"/>
        </w:rPr>
        <w:t>775</w:t>
      </w:r>
    </w:p>
    <w:p w:rsidR="004C7AF6"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88. </w:t>
      </w:r>
      <w:r w:rsidR="004C7AF6" w:rsidRPr="00823A08">
        <w:rPr>
          <w:rFonts w:ascii="Times New Roman" w:hAnsi="Times New Roman" w:hint="eastAsia"/>
          <w:b w:val="0"/>
          <w:sz w:val="24"/>
          <w:szCs w:val="21"/>
        </w:rPr>
        <w:t>Z</w:t>
      </w:r>
      <w:r w:rsidR="004C7AF6" w:rsidRPr="00823A08">
        <w:rPr>
          <w:rFonts w:ascii="Times New Roman" w:hAnsi="Times New Roman"/>
          <w:b w:val="0"/>
          <w:sz w:val="24"/>
          <w:szCs w:val="21"/>
        </w:rPr>
        <w:t xml:space="preserve">2806460 </w:t>
      </w:r>
      <w:r w:rsidR="004C7AF6" w:rsidRPr="00823A08">
        <w:rPr>
          <w:rFonts w:ascii="Times New Roman" w:hAnsi="Times New Roman"/>
          <w:b w:val="0"/>
          <w:sz w:val="24"/>
          <w:szCs w:val="21"/>
        </w:rPr>
        <w:t>工业给水</w:t>
      </w:r>
      <w:r w:rsidR="00F2294C">
        <w:rPr>
          <w:rFonts w:ascii="Times New Roman" w:hAnsi="Times New Roman" w:hint="eastAsia"/>
          <w:b w:val="0"/>
          <w:sz w:val="24"/>
          <w:szCs w:val="21"/>
        </w:rPr>
        <w:tab/>
      </w:r>
      <w:r w:rsidR="004A6FD8">
        <w:rPr>
          <w:rFonts w:ascii="Times New Roman" w:hAnsi="Times New Roman"/>
          <w:b w:val="0"/>
          <w:sz w:val="24"/>
          <w:szCs w:val="21"/>
        </w:rPr>
        <w:t>783</w:t>
      </w:r>
    </w:p>
    <w:p w:rsidR="00B70E4F" w:rsidRDefault="00823A08" w:rsidP="00B70E4F">
      <w:pPr>
        <w:pStyle w:val="10"/>
        <w:tabs>
          <w:tab w:val="right" w:leader="dot" w:pos="9736"/>
        </w:tabs>
        <w:ind w:left="420" w:hanging="420"/>
        <w:rPr>
          <w:rFonts w:ascii="Times New Roman" w:hAnsi="Times New Roman"/>
          <w:b w:val="0"/>
          <w:sz w:val="24"/>
          <w:szCs w:val="21"/>
        </w:rPr>
      </w:pPr>
      <w:r>
        <w:rPr>
          <w:rFonts w:ascii="Times New Roman" w:hAnsi="Times New Roman"/>
          <w:b w:val="0"/>
          <w:sz w:val="24"/>
          <w:szCs w:val="21"/>
        </w:rPr>
        <w:lastRenderedPageBreak/>
        <w:t xml:space="preserve">89. </w:t>
      </w:r>
      <w:r w:rsidR="00B70E4F" w:rsidRPr="00823A08">
        <w:rPr>
          <w:rFonts w:ascii="Times New Roman" w:hAnsi="Times New Roman" w:hint="eastAsia"/>
          <w:b w:val="0"/>
          <w:sz w:val="24"/>
          <w:szCs w:val="21"/>
        </w:rPr>
        <w:t>Z</w:t>
      </w:r>
      <w:r w:rsidR="00B70E4F" w:rsidRPr="00823A08">
        <w:rPr>
          <w:rFonts w:ascii="Times New Roman" w:hAnsi="Times New Roman"/>
          <w:b w:val="0"/>
          <w:sz w:val="24"/>
          <w:szCs w:val="21"/>
        </w:rPr>
        <w:t xml:space="preserve">2807010 </w:t>
      </w:r>
      <w:r w:rsidR="00B70E4F" w:rsidRPr="00823A08">
        <w:rPr>
          <w:rFonts w:ascii="Times New Roman" w:hAnsi="Times New Roman"/>
          <w:b w:val="0"/>
          <w:sz w:val="24"/>
          <w:szCs w:val="21"/>
        </w:rPr>
        <w:t>暖通空调</w:t>
      </w:r>
      <w:r w:rsidR="00B70E4F">
        <w:rPr>
          <w:rFonts w:ascii="Times New Roman" w:hAnsi="Times New Roman" w:hint="eastAsia"/>
          <w:b w:val="0"/>
          <w:sz w:val="24"/>
          <w:szCs w:val="21"/>
        </w:rPr>
        <w:tab/>
      </w:r>
      <w:r w:rsidR="004A6FD8">
        <w:rPr>
          <w:rFonts w:ascii="Times New Roman" w:hAnsi="Times New Roman"/>
          <w:b w:val="0"/>
          <w:sz w:val="24"/>
          <w:szCs w:val="21"/>
        </w:rPr>
        <w:t>790</w:t>
      </w:r>
    </w:p>
    <w:p w:rsidR="00B70E4F" w:rsidRDefault="00823A08" w:rsidP="00B70E4F">
      <w:pPr>
        <w:pStyle w:val="10"/>
        <w:tabs>
          <w:tab w:val="right" w:leader="dot" w:pos="9736"/>
        </w:tabs>
        <w:ind w:left="420" w:hanging="420"/>
        <w:rPr>
          <w:rFonts w:ascii="Times New Roman" w:hAnsi="Times New Roman"/>
          <w:b w:val="0"/>
          <w:sz w:val="24"/>
          <w:szCs w:val="21"/>
        </w:rPr>
      </w:pPr>
      <w:r w:rsidRPr="00823A08">
        <w:rPr>
          <w:rFonts w:ascii="Times New Roman" w:hAnsi="Times New Roman"/>
          <w:b w:val="0"/>
          <w:sz w:val="24"/>
          <w:szCs w:val="21"/>
        </w:rPr>
        <w:t xml:space="preserve">90. </w:t>
      </w:r>
      <w:r w:rsidR="00B70E4F" w:rsidRPr="00823A08">
        <w:rPr>
          <w:rFonts w:ascii="Times New Roman" w:hAnsi="Times New Roman" w:hint="eastAsia"/>
          <w:b w:val="0"/>
          <w:sz w:val="24"/>
          <w:szCs w:val="21"/>
        </w:rPr>
        <w:t>Z</w:t>
      </w:r>
      <w:r w:rsidR="00B70E4F" w:rsidRPr="00823A08">
        <w:rPr>
          <w:rFonts w:ascii="Times New Roman" w:hAnsi="Times New Roman"/>
          <w:b w:val="0"/>
          <w:sz w:val="24"/>
          <w:szCs w:val="21"/>
        </w:rPr>
        <w:t>28070</w:t>
      </w:r>
      <w:r w:rsidR="00AC242A" w:rsidRPr="00823A08">
        <w:rPr>
          <w:rFonts w:ascii="Times New Roman" w:hAnsi="Times New Roman"/>
          <w:b w:val="0"/>
          <w:sz w:val="24"/>
          <w:szCs w:val="21"/>
        </w:rPr>
        <w:t>50</w:t>
      </w:r>
      <w:r w:rsidR="00B70E4F" w:rsidRPr="00823A08">
        <w:rPr>
          <w:rFonts w:ascii="Times New Roman" w:hAnsi="Times New Roman"/>
          <w:b w:val="0"/>
          <w:sz w:val="24"/>
          <w:szCs w:val="21"/>
        </w:rPr>
        <w:t xml:space="preserve"> </w:t>
      </w:r>
      <w:r w:rsidR="00AC242A" w:rsidRPr="00823A08">
        <w:rPr>
          <w:rFonts w:ascii="Times New Roman" w:hAnsi="Times New Roman" w:hint="eastAsia"/>
          <w:b w:val="0"/>
          <w:sz w:val="24"/>
          <w:szCs w:val="21"/>
        </w:rPr>
        <w:t>燃料</w:t>
      </w:r>
      <w:r w:rsidR="00AC242A" w:rsidRPr="00823A08">
        <w:rPr>
          <w:rFonts w:ascii="Times New Roman" w:hAnsi="Times New Roman"/>
          <w:b w:val="0"/>
          <w:sz w:val="24"/>
          <w:szCs w:val="21"/>
        </w:rPr>
        <w:t>燃烧与器具</w:t>
      </w:r>
      <w:r w:rsidR="00B70E4F">
        <w:rPr>
          <w:rFonts w:ascii="Times New Roman" w:hAnsi="Times New Roman" w:hint="eastAsia"/>
          <w:b w:val="0"/>
          <w:sz w:val="24"/>
          <w:szCs w:val="21"/>
        </w:rPr>
        <w:tab/>
      </w:r>
      <w:r w:rsidR="004A6FD8">
        <w:rPr>
          <w:rFonts w:ascii="Times New Roman" w:hAnsi="Times New Roman"/>
          <w:b w:val="0"/>
          <w:sz w:val="24"/>
          <w:szCs w:val="21"/>
        </w:rPr>
        <w:t>797</w:t>
      </w:r>
    </w:p>
    <w:p w:rsidR="00B70E4F" w:rsidRDefault="00823A08" w:rsidP="00B70E4F">
      <w:pPr>
        <w:pStyle w:val="10"/>
        <w:tabs>
          <w:tab w:val="right" w:leader="dot" w:pos="9736"/>
        </w:tabs>
        <w:ind w:left="420" w:hanging="420"/>
        <w:rPr>
          <w:rFonts w:ascii="Times New Roman" w:hAnsi="Times New Roman"/>
          <w:b w:val="0"/>
          <w:sz w:val="24"/>
          <w:szCs w:val="21"/>
        </w:rPr>
      </w:pPr>
      <w:r>
        <w:rPr>
          <w:rFonts w:ascii="Times New Roman" w:hAnsi="Times New Roman"/>
          <w:b w:val="0"/>
          <w:sz w:val="24"/>
          <w:szCs w:val="21"/>
        </w:rPr>
        <w:t xml:space="preserve">91. </w:t>
      </w:r>
      <w:r w:rsidR="00B70E4F" w:rsidRPr="00823A08">
        <w:rPr>
          <w:rFonts w:ascii="Times New Roman" w:hAnsi="Times New Roman" w:hint="eastAsia"/>
          <w:b w:val="0"/>
          <w:sz w:val="24"/>
          <w:szCs w:val="21"/>
        </w:rPr>
        <w:t>Z</w:t>
      </w:r>
      <w:r w:rsidR="00B70E4F" w:rsidRPr="00823A08">
        <w:rPr>
          <w:rFonts w:ascii="Times New Roman" w:hAnsi="Times New Roman"/>
          <w:b w:val="0"/>
          <w:sz w:val="24"/>
          <w:szCs w:val="21"/>
        </w:rPr>
        <w:t>28070</w:t>
      </w:r>
      <w:r w:rsidR="00AC242A" w:rsidRPr="00823A08">
        <w:rPr>
          <w:rFonts w:ascii="Times New Roman" w:hAnsi="Times New Roman"/>
          <w:b w:val="0"/>
          <w:sz w:val="24"/>
          <w:szCs w:val="21"/>
        </w:rPr>
        <w:t>7</w:t>
      </w:r>
      <w:r w:rsidR="00B70E4F" w:rsidRPr="00823A08">
        <w:rPr>
          <w:rFonts w:ascii="Times New Roman" w:hAnsi="Times New Roman"/>
          <w:b w:val="0"/>
          <w:sz w:val="24"/>
          <w:szCs w:val="21"/>
        </w:rPr>
        <w:t xml:space="preserve">0 </w:t>
      </w:r>
      <w:r w:rsidR="00AC242A" w:rsidRPr="00823A08">
        <w:rPr>
          <w:rFonts w:ascii="Times New Roman" w:hAnsi="Times New Roman" w:hint="eastAsia"/>
          <w:b w:val="0"/>
          <w:sz w:val="24"/>
          <w:szCs w:val="21"/>
        </w:rPr>
        <w:t>专业阅读</w:t>
      </w:r>
      <w:r w:rsidR="00AC242A" w:rsidRPr="00823A08">
        <w:rPr>
          <w:rFonts w:ascii="Times New Roman" w:hAnsi="Times New Roman"/>
          <w:b w:val="0"/>
          <w:sz w:val="24"/>
          <w:szCs w:val="21"/>
        </w:rPr>
        <w:t>与材料论文写作</w:t>
      </w:r>
      <w:r w:rsidR="00B70E4F">
        <w:rPr>
          <w:rFonts w:ascii="Times New Roman" w:hAnsi="Times New Roman" w:hint="eastAsia"/>
          <w:b w:val="0"/>
          <w:sz w:val="24"/>
          <w:szCs w:val="21"/>
        </w:rPr>
        <w:tab/>
      </w:r>
      <w:r w:rsidR="004A6FD8">
        <w:rPr>
          <w:rFonts w:ascii="Times New Roman" w:hAnsi="Times New Roman"/>
          <w:b w:val="0"/>
          <w:sz w:val="24"/>
          <w:szCs w:val="21"/>
        </w:rPr>
        <w:t>804</w:t>
      </w:r>
    </w:p>
    <w:p w:rsidR="003C14C9"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 xml:space="preserve">92. </w:t>
      </w:r>
      <w:r w:rsidR="00AC242A" w:rsidRPr="00823A08">
        <w:rPr>
          <w:rFonts w:ascii="Times New Roman" w:hAnsi="Times New Roman" w:hint="eastAsia"/>
          <w:b w:val="0"/>
          <w:sz w:val="24"/>
          <w:szCs w:val="21"/>
        </w:rPr>
        <w:t>Z</w:t>
      </w:r>
      <w:r w:rsidR="00AC242A" w:rsidRPr="00823A08">
        <w:rPr>
          <w:rFonts w:ascii="Times New Roman" w:hAnsi="Times New Roman"/>
          <w:b w:val="0"/>
          <w:sz w:val="24"/>
          <w:szCs w:val="21"/>
        </w:rPr>
        <w:t xml:space="preserve">2807090 </w:t>
      </w:r>
      <w:r w:rsidR="00AC242A" w:rsidRPr="00823A08">
        <w:rPr>
          <w:rFonts w:ascii="Times New Roman" w:hAnsi="Times New Roman"/>
          <w:b w:val="0"/>
          <w:sz w:val="24"/>
          <w:szCs w:val="21"/>
        </w:rPr>
        <w:t>供热工程</w:t>
      </w:r>
      <w:r w:rsidR="00F2294C">
        <w:rPr>
          <w:rFonts w:ascii="Times New Roman" w:hAnsi="Times New Roman" w:hint="eastAsia"/>
          <w:b w:val="0"/>
          <w:sz w:val="24"/>
          <w:szCs w:val="21"/>
        </w:rPr>
        <w:tab/>
      </w:r>
      <w:r w:rsidR="004A6FD8">
        <w:rPr>
          <w:rFonts w:ascii="Times New Roman" w:hAnsi="Times New Roman"/>
          <w:b w:val="0"/>
          <w:sz w:val="24"/>
          <w:szCs w:val="21"/>
        </w:rPr>
        <w:t>809</w:t>
      </w:r>
    </w:p>
    <w:p w:rsidR="00124A69" w:rsidRDefault="00823A08" w:rsidP="00F2294C">
      <w:pPr>
        <w:pStyle w:val="10"/>
        <w:tabs>
          <w:tab w:val="right" w:leader="dot" w:pos="9736"/>
        </w:tabs>
        <w:ind w:left="420" w:hanging="420"/>
        <w:rPr>
          <w:rFonts w:ascii="Times New Roman" w:hAnsi="Times New Roman"/>
          <w:b w:val="0"/>
          <w:sz w:val="24"/>
          <w:szCs w:val="21"/>
        </w:rPr>
      </w:pPr>
      <w:r w:rsidRPr="00823A08">
        <w:rPr>
          <w:rFonts w:ascii="Times New Roman" w:hAnsi="Times New Roman"/>
          <w:b w:val="0"/>
          <w:sz w:val="24"/>
          <w:szCs w:val="21"/>
        </w:rPr>
        <w:t xml:space="preserve">93. </w:t>
      </w:r>
      <w:r w:rsidR="00124A69" w:rsidRPr="00823A08">
        <w:rPr>
          <w:rFonts w:ascii="Times New Roman" w:hAnsi="Times New Roman" w:hint="eastAsia"/>
          <w:b w:val="0"/>
          <w:sz w:val="24"/>
          <w:szCs w:val="21"/>
        </w:rPr>
        <w:t>Z</w:t>
      </w:r>
      <w:r w:rsidR="00124A69" w:rsidRPr="00823A08">
        <w:rPr>
          <w:rFonts w:ascii="Times New Roman" w:hAnsi="Times New Roman"/>
          <w:b w:val="0"/>
          <w:sz w:val="24"/>
          <w:szCs w:val="21"/>
        </w:rPr>
        <w:t xml:space="preserve">2807140  </w:t>
      </w:r>
      <w:r w:rsidR="00124A69" w:rsidRPr="00823A08">
        <w:rPr>
          <w:rFonts w:ascii="Times New Roman" w:hAnsi="Times New Roman"/>
          <w:b w:val="0"/>
          <w:sz w:val="24"/>
          <w:szCs w:val="21"/>
        </w:rPr>
        <w:t>建筑环境与测试技术</w:t>
      </w:r>
      <w:r w:rsidR="00F2294C">
        <w:rPr>
          <w:rFonts w:ascii="Times New Roman" w:hAnsi="Times New Roman" w:hint="eastAsia"/>
          <w:b w:val="0"/>
          <w:sz w:val="24"/>
          <w:szCs w:val="21"/>
        </w:rPr>
        <w:tab/>
      </w:r>
      <w:r w:rsidR="004A6FD8">
        <w:rPr>
          <w:rFonts w:ascii="Times New Roman" w:hAnsi="Times New Roman"/>
          <w:b w:val="0"/>
          <w:sz w:val="24"/>
          <w:szCs w:val="21"/>
        </w:rPr>
        <w:t>818</w:t>
      </w:r>
    </w:p>
    <w:p w:rsidR="004A6FD8" w:rsidRDefault="004A6FD8" w:rsidP="00F2294C">
      <w:pPr>
        <w:pStyle w:val="10"/>
        <w:tabs>
          <w:tab w:val="right" w:leader="dot" w:pos="9736"/>
        </w:tabs>
        <w:ind w:left="420" w:hanging="420"/>
        <w:rPr>
          <w:rFonts w:ascii="Times New Roman" w:hAnsi="Times New Roman" w:hint="eastAsia"/>
          <w:b w:val="0"/>
          <w:sz w:val="24"/>
          <w:szCs w:val="21"/>
        </w:rPr>
      </w:pPr>
      <w:r w:rsidRPr="004A6FD8">
        <w:rPr>
          <w:rFonts w:ascii="Times New Roman" w:hAnsi="Times New Roman" w:hint="eastAsia"/>
          <w:b w:val="0"/>
          <w:sz w:val="24"/>
          <w:szCs w:val="21"/>
        </w:rPr>
        <w:t>9</w:t>
      </w:r>
      <w:r w:rsidRPr="004A6FD8">
        <w:rPr>
          <w:rFonts w:ascii="Times New Roman" w:hAnsi="Times New Roman"/>
          <w:b w:val="0"/>
          <w:sz w:val="24"/>
          <w:szCs w:val="21"/>
        </w:rPr>
        <w:t xml:space="preserve">4. Z2807160 </w:t>
      </w:r>
      <w:r w:rsidRPr="004A6FD8">
        <w:rPr>
          <w:rFonts w:ascii="Times New Roman" w:hAnsi="Times New Roman"/>
          <w:b w:val="0"/>
          <w:sz w:val="24"/>
          <w:szCs w:val="21"/>
        </w:rPr>
        <w:t>建筑安装技术</w:t>
      </w:r>
      <w:r>
        <w:rPr>
          <w:rFonts w:ascii="Times New Roman" w:hAnsi="Times New Roman" w:hint="eastAsia"/>
          <w:b w:val="0"/>
          <w:sz w:val="24"/>
          <w:szCs w:val="21"/>
        </w:rPr>
        <w:tab/>
      </w:r>
      <w:r w:rsidR="0097368D">
        <w:rPr>
          <w:rFonts w:ascii="Times New Roman" w:hAnsi="Times New Roman"/>
          <w:b w:val="0"/>
          <w:sz w:val="24"/>
          <w:szCs w:val="21"/>
        </w:rPr>
        <w:t>827</w:t>
      </w:r>
    </w:p>
    <w:p w:rsidR="004A6FD8" w:rsidRDefault="004A6FD8" w:rsidP="00F2294C">
      <w:pPr>
        <w:pStyle w:val="10"/>
        <w:tabs>
          <w:tab w:val="right" w:leader="dot" w:pos="9736"/>
        </w:tabs>
        <w:ind w:left="420" w:hanging="420"/>
        <w:rPr>
          <w:rFonts w:ascii="Times New Roman" w:hAnsi="Times New Roman"/>
          <w:b w:val="0"/>
          <w:sz w:val="24"/>
          <w:szCs w:val="21"/>
        </w:rPr>
      </w:pPr>
      <w:r>
        <w:rPr>
          <w:rFonts w:ascii="Times New Roman" w:hAnsi="Times New Roman" w:hint="eastAsia"/>
          <w:b w:val="0"/>
          <w:sz w:val="24"/>
          <w:szCs w:val="21"/>
        </w:rPr>
        <w:t>9</w:t>
      </w:r>
      <w:r>
        <w:rPr>
          <w:rFonts w:ascii="Times New Roman" w:hAnsi="Times New Roman"/>
          <w:b w:val="0"/>
          <w:sz w:val="24"/>
          <w:szCs w:val="21"/>
        </w:rPr>
        <w:t xml:space="preserve">5. Z2807220 </w:t>
      </w:r>
      <w:r>
        <w:rPr>
          <w:rFonts w:ascii="Times New Roman" w:hAnsi="Times New Roman"/>
          <w:b w:val="0"/>
          <w:sz w:val="24"/>
          <w:szCs w:val="21"/>
        </w:rPr>
        <w:t>供热空调工程</w:t>
      </w:r>
      <w:r>
        <w:rPr>
          <w:rFonts w:ascii="Times New Roman" w:hAnsi="Times New Roman" w:hint="eastAsia"/>
          <w:b w:val="0"/>
          <w:sz w:val="24"/>
          <w:szCs w:val="21"/>
        </w:rPr>
        <w:tab/>
      </w:r>
      <w:r w:rsidR="0097368D">
        <w:rPr>
          <w:rFonts w:ascii="Times New Roman" w:hAnsi="Times New Roman"/>
          <w:b w:val="0"/>
          <w:sz w:val="24"/>
          <w:szCs w:val="21"/>
        </w:rPr>
        <w:t>832</w:t>
      </w:r>
    </w:p>
    <w:p w:rsidR="004A6FD8" w:rsidRPr="004A6FD8" w:rsidRDefault="004A6FD8" w:rsidP="004A6FD8">
      <w:pPr>
        <w:pStyle w:val="10"/>
        <w:tabs>
          <w:tab w:val="right" w:leader="dot" w:pos="9736"/>
        </w:tabs>
        <w:ind w:left="420" w:hanging="420"/>
        <w:rPr>
          <w:rFonts w:ascii="Times New Roman" w:hAnsi="Times New Roman" w:hint="eastAsia"/>
          <w:b w:val="0"/>
          <w:sz w:val="24"/>
          <w:szCs w:val="21"/>
        </w:rPr>
      </w:pPr>
      <w:r w:rsidRPr="004A6FD8">
        <w:rPr>
          <w:rFonts w:ascii="Times New Roman" w:hAnsi="Times New Roman" w:hint="eastAsia"/>
          <w:b w:val="0"/>
          <w:sz w:val="24"/>
          <w:szCs w:val="21"/>
        </w:rPr>
        <w:t>9</w:t>
      </w:r>
      <w:r w:rsidRPr="004A6FD8">
        <w:rPr>
          <w:rFonts w:ascii="Times New Roman" w:hAnsi="Times New Roman"/>
          <w:b w:val="0"/>
          <w:sz w:val="24"/>
          <w:szCs w:val="21"/>
        </w:rPr>
        <w:t xml:space="preserve">6. Z2807230 </w:t>
      </w:r>
      <w:r w:rsidRPr="004A6FD8">
        <w:rPr>
          <w:rFonts w:ascii="Times New Roman" w:hAnsi="Times New Roman"/>
          <w:b w:val="0"/>
          <w:sz w:val="24"/>
          <w:szCs w:val="21"/>
        </w:rPr>
        <w:t>安装计量与计价</w:t>
      </w:r>
      <w:r>
        <w:rPr>
          <w:rFonts w:ascii="Times New Roman" w:hAnsi="Times New Roman" w:hint="eastAsia"/>
          <w:b w:val="0"/>
          <w:sz w:val="24"/>
          <w:szCs w:val="21"/>
        </w:rPr>
        <w:tab/>
      </w:r>
      <w:r w:rsidR="0097368D">
        <w:rPr>
          <w:rFonts w:ascii="Times New Roman" w:hAnsi="Times New Roman"/>
          <w:b w:val="0"/>
          <w:sz w:val="24"/>
          <w:szCs w:val="21"/>
        </w:rPr>
        <w:t>838</w:t>
      </w:r>
    </w:p>
    <w:p w:rsidR="00124A69" w:rsidRPr="004A6FD8" w:rsidRDefault="00823A08" w:rsidP="00F2294C">
      <w:pPr>
        <w:pStyle w:val="10"/>
        <w:tabs>
          <w:tab w:val="right" w:leader="dot" w:pos="9736"/>
        </w:tabs>
        <w:ind w:left="420" w:hanging="420"/>
        <w:rPr>
          <w:rFonts w:ascii="Times New Roman" w:hAnsi="Times New Roman"/>
          <w:b w:val="0"/>
          <w:sz w:val="24"/>
          <w:szCs w:val="21"/>
        </w:rPr>
      </w:pPr>
      <w:r w:rsidRPr="00823A08">
        <w:rPr>
          <w:rFonts w:ascii="Times New Roman" w:hAnsi="Times New Roman"/>
          <w:b w:val="0"/>
          <w:sz w:val="24"/>
          <w:szCs w:val="21"/>
        </w:rPr>
        <w:t>9</w:t>
      </w:r>
      <w:r w:rsidR="004A6FD8">
        <w:rPr>
          <w:rFonts w:ascii="Times New Roman" w:hAnsi="Times New Roman"/>
          <w:b w:val="0"/>
          <w:sz w:val="24"/>
          <w:szCs w:val="21"/>
        </w:rPr>
        <w:t>7</w:t>
      </w:r>
      <w:r w:rsidRPr="00823A08">
        <w:rPr>
          <w:rFonts w:ascii="Times New Roman" w:hAnsi="Times New Roman"/>
          <w:b w:val="0"/>
          <w:sz w:val="24"/>
          <w:szCs w:val="21"/>
        </w:rPr>
        <w:t xml:space="preserve">. </w:t>
      </w:r>
      <w:r w:rsidR="00124A69" w:rsidRPr="00823A08">
        <w:rPr>
          <w:rFonts w:ascii="Times New Roman" w:hAnsi="Times New Roman" w:hint="eastAsia"/>
          <w:b w:val="0"/>
          <w:sz w:val="24"/>
          <w:szCs w:val="21"/>
        </w:rPr>
        <w:t>Z</w:t>
      </w:r>
      <w:r w:rsidR="00124A69" w:rsidRPr="00823A08">
        <w:rPr>
          <w:rFonts w:ascii="Times New Roman" w:hAnsi="Times New Roman"/>
          <w:b w:val="0"/>
          <w:sz w:val="24"/>
          <w:szCs w:val="21"/>
        </w:rPr>
        <w:t xml:space="preserve">2807240  </w:t>
      </w:r>
      <w:r w:rsidR="00124A69" w:rsidRPr="00823A08">
        <w:rPr>
          <w:rFonts w:ascii="Times New Roman" w:hAnsi="Times New Roman"/>
          <w:b w:val="0"/>
          <w:sz w:val="24"/>
          <w:szCs w:val="21"/>
        </w:rPr>
        <w:t>冷热源工程</w:t>
      </w:r>
      <w:r w:rsidR="00F2294C">
        <w:rPr>
          <w:rFonts w:ascii="Times New Roman" w:hAnsi="Times New Roman" w:hint="eastAsia"/>
          <w:b w:val="0"/>
          <w:sz w:val="24"/>
          <w:szCs w:val="21"/>
        </w:rPr>
        <w:tab/>
      </w:r>
      <w:r w:rsidR="0097368D">
        <w:rPr>
          <w:rFonts w:ascii="Times New Roman" w:hAnsi="Times New Roman"/>
          <w:b w:val="0"/>
          <w:sz w:val="24"/>
          <w:szCs w:val="21"/>
        </w:rPr>
        <w:t>843</w:t>
      </w:r>
    </w:p>
    <w:p w:rsidR="00124A69"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9</w:t>
      </w:r>
      <w:r w:rsidR="004A6FD8">
        <w:rPr>
          <w:rFonts w:ascii="Times New Roman" w:hAnsi="Times New Roman"/>
          <w:b w:val="0"/>
          <w:sz w:val="24"/>
          <w:szCs w:val="21"/>
        </w:rPr>
        <w:t>8</w:t>
      </w:r>
      <w:r w:rsidRPr="00823A08">
        <w:rPr>
          <w:rFonts w:ascii="Times New Roman" w:hAnsi="Times New Roman"/>
          <w:b w:val="0"/>
          <w:sz w:val="24"/>
          <w:szCs w:val="21"/>
        </w:rPr>
        <w:t xml:space="preserve">. </w:t>
      </w:r>
      <w:r w:rsidR="00124A69" w:rsidRPr="00823A08">
        <w:rPr>
          <w:rFonts w:ascii="Times New Roman" w:hAnsi="Times New Roman" w:hint="eastAsia"/>
          <w:b w:val="0"/>
          <w:sz w:val="24"/>
          <w:szCs w:val="21"/>
        </w:rPr>
        <w:t>Z</w:t>
      </w:r>
      <w:r w:rsidR="00124A69" w:rsidRPr="00823A08">
        <w:rPr>
          <w:rFonts w:ascii="Times New Roman" w:hAnsi="Times New Roman"/>
          <w:b w:val="0"/>
          <w:sz w:val="24"/>
          <w:szCs w:val="21"/>
        </w:rPr>
        <w:t xml:space="preserve">2807250 </w:t>
      </w:r>
      <w:r w:rsidR="00124A69" w:rsidRPr="00823A08">
        <w:rPr>
          <w:rFonts w:ascii="Times New Roman" w:hAnsi="Times New Roman"/>
          <w:b w:val="0"/>
          <w:sz w:val="24"/>
          <w:szCs w:val="21"/>
        </w:rPr>
        <w:t>建筑电气控制技术</w:t>
      </w:r>
      <w:r w:rsidR="00F2294C">
        <w:rPr>
          <w:rFonts w:ascii="Times New Roman" w:hAnsi="Times New Roman" w:hint="eastAsia"/>
          <w:b w:val="0"/>
          <w:sz w:val="24"/>
          <w:szCs w:val="21"/>
        </w:rPr>
        <w:tab/>
      </w:r>
      <w:r w:rsidR="0097368D">
        <w:rPr>
          <w:rFonts w:ascii="Times New Roman" w:hAnsi="Times New Roman"/>
          <w:b w:val="0"/>
          <w:sz w:val="24"/>
          <w:szCs w:val="21"/>
        </w:rPr>
        <w:t>852</w:t>
      </w:r>
    </w:p>
    <w:p w:rsidR="00124A69"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9</w:t>
      </w:r>
      <w:r w:rsidR="004A6FD8">
        <w:rPr>
          <w:rFonts w:ascii="Times New Roman" w:hAnsi="Times New Roman"/>
          <w:b w:val="0"/>
          <w:sz w:val="24"/>
          <w:szCs w:val="21"/>
        </w:rPr>
        <w:t>9</w:t>
      </w:r>
      <w:r w:rsidRPr="00823A08">
        <w:rPr>
          <w:rFonts w:ascii="Times New Roman" w:hAnsi="Times New Roman"/>
          <w:b w:val="0"/>
          <w:sz w:val="24"/>
          <w:szCs w:val="21"/>
        </w:rPr>
        <w:t xml:space="preserve">. </w:t>
      </w:r>
      <w:r w:rsidR="00124A69" w:rsidRPr="00823A08">
        <w:rPr>
          <w:rFonts w:ascii="Times New Roman" w:hAnsi="Times New Roman" w:hint="eastAsia"/>
          <w:b w:val="0"/>
          <w:sz w:val="24"/>
          <w:szCs w:val="21"/>
        </w:rPr>
        <w:t>Z</w:t>
      </w:r>
      <w:r w:rsidR="00124A69" w:rsidRPr="00823A08">
        <w:rPr>
          <w:rFonts w:ascii="Times New Roman" w:hAnsi="Times New Roman"/>
          <w:b w:val="0"/>
          <w:sz w:val="24"/>
          <w:szCs w:val="21"/>
        </w:rPr>
        <w:t xml:space="preserve">2807260 </w:t>
      </w:r>
      <w:r w:rsidR="00124A69" w:rsidRPr="00823A08">
        <w:rPr>
          <w:rFonts w:ascii="Times New Roman" w:hAnsi="Times New Roman"/>
          <w:b w:val="0"/>
          <w:sz w:val="24"/>
          <w:szCs w:val="21"/>
        </w:rPr>
        <w:t>建筑自动化</w:t>
      </w:r>
      <w:r w:rsidR="00F2294C">
        <w:rPr>
          <w:rFonts w:ascii="Times New Roman" w:hAnsi="Times New Roman" w:hint="eastAsia"/>
          <w:b w:val="0"/>
          <w:sz w:val="24"/>
          <w:szCs w:val="21"/>
        </w:rPr>
        <w:tab/>
      </w:r>
      <w:r w:rsidR="0097368D">
        <w:rPr>
          <w:rFonts w:ascii="Times New Roman" w:hAnsi="Times New Roman"/>
          <w:b w:val="0"/>
          <w:sz w:val="24"/>
          <w:szCs w:val="21"/>
        </w:rPr>
        <w:t>859</w:t>
      </w:r>
    </w:p>
    <w:p w:rsidR="00124A69" w:rsidRPr="00F2294C" w:rsidRDefault="004A6FD8" w:rsidP="00F2294C">
      <w:pPr>
        <w:pStyle w:val="10"/>
        <w:tabs>
          <w:tab w:val="right" w:leader="dot" w:pos="9736"/>
        </w:tabs>
        <w:ind w:left="420" w:hanging="420"/>
        <w:rPr>
          <w:rFonts w:ascii="Times New Roman" w:hAnsi="Times New Roman"/>
          <w:b w:val="0"/>
          <w:color w:val="00B050"/>
          <w:sz w:val="24"/>
          <w:szCs w:val="21"/>
        </w:rPr>
      </w:pPr>
      <w:r>
        <w:rPr>
          <w:rFonts w:ascii="Times New Roman" w:hAnsi="Times New Roman"/>
          <w:b w:val="0"/>
          <w:sz w:val="24"/>
          <w:szCs w:val="21"/>
        </w:rPr>
        <w:t>100</w:t>
      </w:r>
      <w:r w:rsidR="00823A08" w:rsidRPr="00823A08">
        <w:rPr>
          <w:rFonts w:ascii="Times New Roman" w:hAnsi="Times New Roman"/>
          <w:b w:val="0"/>
          <w:sz w:val="24"/>
          <w:szCs w:val="21"/>
        </w:rPr>
        <w:t xml:space="preserve">. </w:t>
      </w:r>
      <w:r w:rsidR="00124A69" w:rsidRPr="00823A08">
        <w:rPr>
          <w:rFonts w:ascii="Times New Roman" w:hAnsi="Times New Roman" w:hint="eastAsia"/>
          <w:b w:val="0"/>
          <w:sz w:val="24"/>
          <w:szCs w:val="21"/>
        </w:rPr>
        <w:t>Z</w:t>
      </w:r>
      <w:r w:rsidR="00124A69" w:rsidRPr="00823A08">
        <w:rPr>
          <w:rFonts w:ascii="Times New Roman" w:hAnsi="Times New Roman"/>
          <w:b w:val="0"/>
          <w:sz w:val="24"/>
          <w:szCs w:val="21"/>
        </w:rPr>
        <w:t xml:space="preserve">2807270 </w:t>
      </w:r>
      <w:r w:rsidR="00124A69" w:rsidRPr="00823A08">
        <w:rPr>
          <w:rFonts w:ascii="Times New Roman" w:hAnsi="Times New Roman"/>
          <w:b w:val="0"/>
          <w:sz w:val="24"/>
          <w:szCs w:val="21"/>
        </w:rPr>
        <w:t>建筑设备安装技术</w:t>
      </w:r>
      <w:r w:rsidR="00F2294C">
        <w:rPr>
          <w:rFonts w:ascii="Times New Roman" w:hAnsi="Times New Roman" w:hint="eastAsia"/>
          <w:b w:val="0"/>
          <w:sz w:val="24"/>
          <w:szCs w:val="21"/>
        </w:rPr>
        <w:tab/>
      </w:r>
      <w:r w:rsidR="0097368D">
        <w:rPr>
          <w:rFonts w:ascii="Times New Roman" w:hAnsi="Times New Roman"/>
          <w:b w:val="0"/>
          <w:sz w:val="24"/>
          <w:szCs w:val="21"/>
        </w:rPr>
        <w:t>868</w:t>
      </w:r>
    </w:p>
    <w:p w:rsidR="00124A69" w:rsidRPr="00F2294C" w:rsidRDefault="004A6FD8" w:rsidP="00F2294C">
      <w:pPr>
        <w:pStyle w:val="10"/>
        <w:tabs>
          <w:tab w:val="right" w:leader="dot" w:pos="9736"/>
        </w:tabs>
        <w:ind w:left="420" w:hanging="420"/>
        <w:rPr>
          <w:rFonts w:ascii="Times New Roman" w:hAnsi="Times New Roman"/>
          <w:b w:val="0"/>
          <w:color w:val="00B050"/>
          <w:sz w:val="24"/>
          <w:szCs w:val="21"/>
        </w:rPr>
      </w:pPr>
      <w:r>
        <w:rPr>
          <w:rFonts w:ascii="Times New Roman" w:hAnsi="Times New Roman"/>
          <w:b w:val="0"/>
          <w:sz w:val="24"/>
          <w:szCs w:val="21"/>
        </w:rPr>
        <w:t>101</w:t>
      </w:r>
      <w:r w:rsidR="00823A08" w:rsidRPr="00823A08">
        <w:rPr>
          <w:rFonts w:ascii="Times New Roman" w:hAnsi="Times New Roman"/>
          <w:b w:val="0"/>
          <w:sz w:val="24"/>
          <w:szCs w:val="21"/>
        </w:rPr>
        <w:t xml:space="preserve">. </w:t>
      </w:r>
      <w:r w:rsidR="00124A69" w:rsidRPr="00823A08">
        <w:rPr>
          <w:rFonts w:ascii="Times New Roman" w:hAnsi="Times New Roman" w:hint="eastAsia"/>
          <w:b w:val="0"/>
          <w:sz w:val="24"/>
          <w:szCs w:val="21"/>
        </w:rPr>
        <w:t>Z</w:t>
      </w:r>
      <w:r w:rsidR="00124A69" w:rsidRPr="00823A08">
        <w:rPr>
          <w:rFonts w:ascii="Times New Roman" w:hAnsi="Times New Roman"/>
          <w:b w:val="0"/>
          <w:sz w:val="24"/>
          <w:szCs w:val="21"/>
        </w:rPr>
        <w:t xml:space="preserve">2807280 </w:t>
      </w:r>
      <w:r w:rsidR="00124A69" w:rsidRPr="00823A08">
        <w:rPr>
          <w:rFonts w:ascii="Times New Roman" w:hAnsi="Times New Roman"/>
          <w:b w:val="0"/>
          <w:sz w:val="24"/>
          <w:szCs w:val="21"/>
        </w:rPr>
        <w:t>燃气输配及应用</w:t>
      </w:r>
      <w:r w:rsidR="00F2294C">
        <w:rPr>
          <w:rFonts w:ascii="Times New Roman" w:hAnsi="Times New Roman" w:hint="eastAsia"/>
          <w:b w:val="0"/>
          <w:sz w:val="24"/>
          <w:szCs w:val="21"/>
        </w:rPr>
        <w:tab/>
      </w:r>
      <w:r w:rsidR="0097368D">
        <w:rPr>
          <w:rFonts w:ascii="Times New Roman" w:hAnsi="Times New Roman"/>
          <w:b w:val="0"/>
          <w:sz w:val="24"/>
          <w:szCs w:val="21"/>
        </w:rPr>
        <w:t>873</w:t>
      </w:r>
    </w:p>
    <w:p w:rsidR="00124A69" w:rsidRPr="00F2294C" w:rsidRDefault="004A6FD8" w:rsidP="00F2294C">
      <w:pPr>
        <w:pStyle w:val="10"/>
        <w:tabs>
          <w:tab w:val="right" w:leader="dot" w:pos="9736"/>
        </w:tabs>
        <w:ind w:left="420" w:hanging="420"/>
        <w:rPr>
          <w:rFonts w:ascii="Times New Roman" w:hAnsi="Times New Roman"/>
          <w:b w:val="0"/>
          <w:color w:val="00B050"/>
          <w:sz w:val="24"/>
          <w:szCs w:val="21"/>
        </w:rPr>
      </w:pPr>
      <w:r>
        <w:rPr>
          <w:rFonts w:ascii="Times New Roman" w:hAnsi="Times New Roman"/>
          <w:b w:val="0"/>
          <w:sz w:val="24"/>
          <w:szCs w:val="21"/>
        </w:rPr>
        <w:t>102</w:t>
      </w:r>
      <w:r w:rsidR="00823A08" w:rsidRPr="00823A08">
        <w:rPr>
          <w:rFonts w:ascii="Times New Roman" w:hAnsi="Times New Roman"/>
          <w:b w:val="0"/>
          <w:sz w:val="24"/>
          <w:szCs w:val="21"/>
        </w:rPr>
        <w:t xml:space="preserve">. </w:t>
      </w:r>
      <w:r w:rsidR="00124A69" w:rsidRPr="00823A08">
        <w:rPr>
          <w:rFonts w:ascii="Times New Roman" w:hAnsi="Times New Roman" w:hint="eastAsia"/>
          <w:b w:val="0"/>
          <w:sz w:val="24"/>
          <w:szCs w:val="21"/>
        </w:rPr>
        <w:t>Z</w:t>
      </w:r>
      <w:r w:rsidR="00124A69" w:rsidRPr="00823A08">
        <w:rPr>
          <w:rFonts w:ascii="Times New Roman" w:hAnsi="Times New Roman"/>
          <w:b w:val="0"/>
          <w:sz w:val="24"/>
          <w:szCs w:val="21"/>
        </w:rPr>
        <w:t xml:space="preserve">2807290 </w:t>
      </w:r>
      <w:r w:rsidR="00124A69" w:rsidRPr="00823A08">
        <w:rPr>
          <w:rFonts w:ascii="Times New Roman" w:hAnsi="Times New Roman"/>
          <w:b w:val="0"/>
          <w:sz w:val="24"/>
          <w:szCs w:val="21"/>
        </w:rPr>
        <w:t>空气污染控制与洁净技术</w:t>
      </w:r>
      <w:r w:rsidR="00F2294C">
        <w:rPr>
          <w:rFonts w:ascii="Times New Roman" w:hAnsi="Times New Roman" w:hint="eastAsia"/>
          <w:b w:val="0"/>
          <w:sz w:val="24"/>
          <w:szCs w:val="21"/>
        </w:rPr>
        <w:tab/>
      </w:r>
      <w:r w:rsidR="0097368D">
        <w:rPr>
          <w:rFonts w:ascii="Times New Roman" w:hAnsi="Times New Roman"/>
          <w:b w:val="0"/>
          <w:sz w:val="24"/>
          <w:szCs w:val="21"/>
        </w:rPr>
        <w:t>880</w:t>
      </w:r>
    </w:p>
    <w:p w:rsidR="00124A69"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10</w:t>
      </w:r>
      <w:r w:rsidR="004A6FD8">
        <w:rPr>
          <w:rFonts w:ascii="Times New Roman" w:hAnsi="Times New Roman"/>
          <w:b w:val="0"/>
          <w:sz w:val="24"/>
          <w:szCs w:val="21"/>
        </w:rPr>
        <w:t>3</w:t>
      </w:r>
      <w:r w:rsidRPr="00823A08">
        <w:rPr>
          <w:rFonts w:ascii="Times New Roman" w:hAnsi="Times New Roman"/>
          <w:b w:val="0"/>
          <w:sz w:val="24"/>
          <w:szCs w:val="21"/>
        </w:rPr>
        <w:t xml:space="preserve">. </w:t>
      </w:r>
      <w:r w:rsidR="00124A69" w:rsidRPr="00823A08">
        <w:rPr>
          <w:rFonts w:ascii="Times New Roman" w:hAnsi="Times New Roman" w:hint="eastAsia"/>
          <w:b w:val="0"/>
          <w:sz w:val="24"/>
          <w:szCs w:val="21"/>
        </w:rPr>
        <w:t>Z</w:t>
      </w:r>
      <w:r w:rsidR="00124A69" w:rsidRPr="00823A08">
        <w:rPr>
          <w:rFonts w:ascii="Times New Roman" w:hAnsi="Times New Roman"/>
          <w:b w:val="0"/>
          <w:sz w:val="24"/>
          <w:szCs w:val="21"/>
        </w:rPr>
        <w:t xml:space="preserve">2807300 </w:t>
      </w:r>
      <w:r w:rsidR="00124A69" w:rsidRPr="00823A08">
        <w:rPr>
          <w:rFonts w:ascii="Times New Roman" w:hAnsi="Times New Roman"/>
          <w:b w:val="0"/>
          <w:sz w:val="24"/>
          <w:szCs w:val="21"/>
        </w:rPr>
        <w:t>安装工程经济与管理</w:t>
      </w:r>
      <w:r w:rsidR="00F2294C">
        <w:rPr>
          <w:rFonts w:ascii="Times New Roman" w:hAnsi="Times New Roman" w:hint="eastAsia"/>
          <w:b w:val="0"/>
          <w:sz w:val="24"/>
          <w:szCs w:val="21"/>
        </w:rPr>
        <w:tab/>
      </w:r>
      <w:r w:rsidR="0097368D">
        <w:rPr>
          <w:rFonts w:ascii="Times New Roman" w:hAnsi="Times New Roman"/>
          <w:b w:val="0"/>
          <w:sz w:val="24"/>
          <w:szCs w:val="21"/>
        </w:rPr>
        <w:t>886</w:t>
      </w:r>
    </w:p>
    <w:p w:rsidR="00124A69" w:rsidRPr="00F2294C"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10</w:t>
      </w:r>
      <w:r w:rsidR="004A6FD8">
        <w:rPr>
          <w:rFonts w:ascii="Times New Roman" w:hAnsi="Times New Roman"/>
          <w:b w:val="0"/>
          <w:sz w:val="24"/>
          <w:szCs w:val="21"/>
        </w:rPr>
        <w:t>4</w:t>
      </w:r>
      <w:r w:rsidRPr="00823A08">
        <w:rPr>
          <w:rFonts w:ascii="Times New Roman" w:hAnsi="Times New Roman"/>
          <w:b w:val="0"/>
          <w:sz w:val="24"/>
          <w:szCs w:val="21"/>
        </w:rPr>
        <w:t xml:space="preserve">. </w:t>
      </w:r>
      <w:r w:rsidR="00124A69" w:rsidRPr="00823A08">
        <w:rPr>
          <w:rFonts w:ascii="Times New Roman" w:hAnsi="Times New Roman" w:hint="eastAsia"/>
          <w:b w:val="0"/>
          <w:sz w:val="24"/>
          <w:szCs w:val="21"/>
        </w:rPr>
        <w:t>Z</w:t>
      </w:r>
      <w:r w:rsidR="00124A69" w:rsidRPr="00823A08">
        <w:rPr>
          <w:rFonts w:ascii="Times New Roman" w:hAnsi="Times New Roman"/>
          <w:b w:val="0"/>
          <w:sz w:val="24"/>
          <w:szCs w:val="21"/>
        </w:rPr>
        <w:t xml:space="preserve">2807310 </w:t>
      </w:r>
      <w:r w:rsidR="00124A69" w:rsidRPr="00823A08">
        <w:rPr>
          <w:rFonts w:ascii="Times New Roman" w:hAnsi="Times New Roman"/>
          <w:b w:val="0"/>
          <w:sz w:val="24"/>
          <w:szCs w:val="21"/>
        </w:rPr>
        <w:t>暖通空调工程设计方法与系统分析</w:t>
      </w:r>
      <w:r w:rsidR="00F2294C">
        <w:rPr>
          <w:rFonts w:ascii="Times New Roman" w:hAnsi="Times New Roman" w:hint="eastAsia"/>
          <w:b w:val="0"/>
          <w:sz w:val="24"/>
          <w:szCs w:val="21"/>
        </w:rPr>
        <w:tab/>
      </w:r>
      <w:r w:rsidR="0097368D">
        <w:rPr>
          <w:rFonts w:ascii="Times New Roman" w:hAnsi="Times New Roman"/>
          <w:b w:val="0"/>
          <w:sz w:val="24"/>
          <w:szCs w:val="21"/>
        </w:rPr>
        <w:t>893</w:t>
      </w:r>
    </w:p>
    <w:p w:rsidR="00F2294C" w:rsidRPr="00823A08" w:rsidRDefault="00823A08" w:rsidP="00F2294C">
      <w:pPr>
        <w:pStyle w:val="10"/>
        <w:tabs>
          <w:tab w:val="right" w:leader="dot" w:pos="9736"/>
        </w:tabs>
        <w:ind w:left="420" w:hanging="420"/>
        <w:rPr>
          <w:rFonts w:ascii="Times New Roman" w:hAnsi="Times New Roman"/>
          <w:b w:val="0"/>
          <w:color w:val="00B050"/>
          <w:sz w:val="24"/>
          <w:szCs w:val="21"/>
        </w:rPr>
      </w:pPr>
      <w:r w:rsidRPr="00823A08">
        <w:rPr>
          <w:rFonts w:ascii="Times New Roman" w:hAnsi="Times New Roman"/>
          <w:b w:val="0"/>
          <w:sz w:val="24"/>
          <w:szCs w:val="21"/>
        </w:rPr>
        <w:t>10</w:t>
      </w:r>
      <w:r w:rsidR="004A6FD8">
        <w:rPr>
          <w:rFonts w:ascii="Times New Roman" w:hAnsi="Times New Roman"/>
          <w:b w:val="0"/>
          <w:sz w:val="24"/>
          <w:szCs w:val="21"/>
        </w:rPr>
        <w:t>5</w:t>
      </w:r>
      <w:r w:rsidRPr="00823A08">
        <w:rPr>
          <w:rFonts w:ascii="Times New Roman" w:hAnsi="Times New Roman"/>
          <w:b w:val="0"/>
          <w:sz w:val="24"/>
          <w:szCs w:val="21"/>
        </w:rPr>
        <w:t xml:space="preserve">. </w:t>
      </w:r>
      <w:r w:rsidR="00124A69" w:rsidRPr="00823A08">
        <w:rPr>
          <w:rFonts w:ascii="Times New Roman" w:hAnsi="Times New Roman" w:hint="eastAsia"/>
          <w:b w:val="0"/>
          <w:sz w:val="24"/>
          <w:szCs w:val="21"/>
        </w:rPr>
        <w:t>Z</w:t>
      </w:r>
      <w:r w:rsidR="00124A69" w:rsidRPr="00823A08">
        <w:rPr>
          <w:rFonts w:ascii="Times New Roman" w:hAnsi="Times New Roman"/>
          <w:b w:val="0"/>
          <w:sz w:val="24"/>
          <w:szCs w:val="21"/>
        </w:rPr>
        <w:t xml:space="preserve">2807320 </w:t>
      </w:r>
      <w:r w:rsidR="00124A69" w:rsidRPr="00823A08">
        <w:rPr>
          <w:rFonts w:ascii="Times New Roman" w:hAnsi="Times New Roman"/>
          <w:b w:val="0"/>
          <w:sz w:val="24"/>
          <w:szCs w:val="21"/>
        </w:rPr>
        <w:t>新能源及建筑节能技术</w:t>
      </w:r>
      <w:r w:rsidR="00F2294C">
        <w:rPr>
          <w:rFonts w:ascii="Times New Roman" w:hAnsi="Times New Roman" w:hint="eastAsia"/>
          <w:b w:val="0"/>
          <w:sz w:val="24"/>
          <w:szCs w:val="21"/>
        </w:rPr>
        <w:tab/>
      </w:r>
      <w:r w:rsidR="0097368D">
        <w:rPr>
          <w:rFonts w:ascii="Times New Roman" w:hAnsi="Times New Roman"/>
          <w:b w:val="0"/>
          <w:sz w:val="24"/>
          <w:szCs w:val="21"/>
        </w:rPr>
        <w:t>900</w:t>
      </w:r>
    </w:p>
    <w:p w:rsidR="00124A69" w:rsidRPr="00823A08" w:rsidRDefault="00124A69" w:rsidP="00823A08">
      <w:pPr>
        <w:pStyle w:val="10"/>
        <w:tabs>
          <w:tab w:val="right" w:leader="dot" w:pos="9736"/>
        </w:tabs>
        <w:ind w:left="420" w:hanging="420"/>
        <w:rPr>
          <w:rFonts w:ascii="Times New Roman" w:hAnsi="Times New Roman"/>
          <w:b w:val="0"/>
          <w:sz w:val="24"/>
          <w:szCs w:val="21"/>
        </w:rPr>
      </w:pPr>
    </w:p>
    <w:p w:rsidR="00C10776" w:rsidRDefault="00C10776" w:rsidP="00B70E4F"/>
    <w:p w:rsidR="00C10776" w:rsidRDefault="00C10776" w:rsidP="00B70E4F"/>
    <w:p w:rsidR="00C10776" w:rsidRDefault="00C10776" w:rsidP="00B70E4F"/>
    <w:p w:rsidR="00C10776" w:rsidRDefault="00C10776" w:rsidP="00B70E4F"/>
    <w:p w:rsidR="00C10776" w:rsidRDefault="00C10776" w:rsidP="00B70E4F">
      <w:pPr>
        <w:rPr>
          <w:rFonts w:hint="eastAsia"/>
        </w:rPr>
      </w:pPr>
    </w:p>
    <w:p w:rsidR="00C10776" w:rsidRDefault="00C10776" w:rsidP="00C10776">
      <w:pPr>
        <w:jc w:val="center"/>
        <w:rPr>
          <w:rFonts w:ascii="黑体" w:eastAsia="黑体" w:hAnsi="黑体"/>
          <w:sz w:val="52"/>
          <w:szCs w:val="52"/>
        </w:rPr>
      </w:pPr>
    </w:p>
    <w:p w:rsidR="00C10776" w:rsidRDefault="00C10776" w:rsidP="00C10776">
      <w:pPr>
        <w:jc w:val="center"/>
        <w:rPr>
          <w:rFonts w:ascii="黑体" w:eastAsia="黑体" w:hAnsi="黑体"/>
          <w:sz w:val="52"/>
          <w:szCs w:val="52"/>
        </w:rPr>
      </w:pPr>
    </w:p>
    <w:p w:rsidR="00C10776" w:rsidRDefault="00C10776" w:rsidP="00C10776">
      <w:pPr>
        <w:jc w:val="center"/>
        <w:rPr>
          <w:rFonts w:ascii="黑体" w:eastAsia="黑体" w:hAnsi="黑体"/>
          <w:sz w:val="52"/>
          <w:szCs w:val="52"/>
        </w:rPr>
      </w:pPr>
    </w:p>
    <w:p w:rsidR="00C10776" w:rsidRDefault="00C10776" w:rsidP="00C10776">
      <w:pPr>
        <w:jc w:val="center"/>
        <w:rPr>
          <w:rFonts w:ascii="黑体" w:eastAsia="黑体" w:hAnsi="黑体"/>
          <w:sz w:val="52"/>
          <w:szCs w:val="52"/>
        </w:rPr>
      </w:pPr>
    </w:p>
    <w:p w:rsidR="00C10776" w:rsidRDefault="00C10776" w:rsidP="00C10776">
      <w:pPr>
        <w:jc w:val="center"/>
        <w:rPr>
          <w:rFonts w:ascii="黑体" w:eastAsia="黑体" w:hAnsi="黑体"/>
          <w:sz w:val="52"/>
          <w:szCs w:val="52"/>
        </w:rPr>
      </w:pPr>
    </w:p>
    <w:p w:rsidR="00C10776" w:rsidRDefault="00C10776" w:rsidP="00C10776">
      <w:pPr>
        <w:jc w:val="center"/>
        <w:rPr>
          <w:rFonts w:ascii="黑体" w:eastAsia="黑体" w:hAnsi="黑体"/>
          <w:sz w:val="52"/>
          <w:szCs w:val="52"/>
        </w:rPr>
      </w:pPr>
    </w:p>
    <w:p w:rsidR="00C10776" w:rsidRDefault="00C10776" w:rsidP="00C10776">
      <w:pPr>
        <w:jc w:val="center"/>
        <w:rPr>
          <w:rFonts w:ascii="黑体" w:eastAsia="黑体" w:hAnsi="黑体"/>
          <w:sz w:val="52"/>
          <w:szCs w:val="52"/>
        </w:rPr>
      </w:pPr>
      <w:r>
        <w:rPr>
          <w:rFonts w:ascii="黑体" w:eastAsia="黑体" w:hAnsi="黑体" w:hint="eastAsia"/>
          <w:sz w:val="52"/>
          <w:szCs w:val="52"/>
        </w:rPr>
        <w:t>学科</w:t>
      </w:r>
      <w:r>
        <w:rPr>
          <w:rFonts w:ascii="黑体" w:eastAsia="黑体" w:hAnsi="黑体"/>
          <w:sz w:val="52"/>
          <w:szCs w:val="52"/>
        </w:rPr>
        <w:t>基础课程</w:t>
      </w:r>
    </w:p>
    <w:p w:rsidR="00C10776" w:rsidRDefault="00C10776" w:rsidP="00C10776">
      <w:pPr>
        <w:widowControl/>
        <w:spacing w:line="360" w:lineRule="auto"/>
        <w:jc w:val="center"/>
        <w:rPr>
          <w:rFonts w:ascii="方正小标宋简体" w:eastAsia="方正小标宋简体" w:hAnsi="宋体"/>
          <w:kern w:val="0"/>
          <w:szCs w:val="32"/>
        </w:rPr>
      </w:pPr>
    </w:p>
    <w:p w:rsidR="00C10776" w:rsidRDefault="00C10776" w:rsidP="00C10776">
      <w:pPr>
        <w:widowControl/>
        <w:spacing w:line="360" w:lineRule="auto"/>
        <w:jc w:val="center"/>
        <w:rPr>
          <w:rFonts w:ascii="方正小标宋简体" w:eastAsia="方正小标宋简体" w:hAnsi="宋体"/>
          <w:kern w:val="0"/>
          <w:szCs w:val="32"/>
        </w:rPr>
      </w:pPr>
    </w:p>
    <w:p w:rsidR="00C10776" w:rsidRDefault="00C10776" w:rsidP="00C10776">
      <w:pPr>
        <w:widowControl/>
        <w:spacing w:line="360" w:lineRule="auto"/>
        <w:jc w:val="center"/>
        <w:rPr>
          <w:rFonts w:ascii="方正小标宋简体" w:eastAsia="方正小标宋简体" w:hAnsi="宋体"/>
          <w:kern w:val="0"/>
          <w:szCs w:val="32"/>
        </w:rPr>
      </w:pPr>
    </w:p>
    <w:p w:rsidR="00C10776" w:rsidRDefault="00C10776" w:rsidP="00C10776">
      <w:pPr>
        <w:widowControl/>
        <w:spacing w:line="360" w:lineRule="auto"/>
        <w:jc w:val="center"/>
        <w:rPr>
          <w:rFonts w:ascii="方正小标宋简体" w:eastAsia="方正小标宋简体" w:hAnsi="宋体"/>
          <w:kern w:val="0"/>
          <w:szCs w:val="32"/>
        </w:rPr>
      </w:pPr>
    </w:p>
    <w:p w:rsidR="00C10776" w:rsidRDefault="00C10776" w:rsidP="00C10776">
      <w:pPr>
        <w:widowControl/>
        <w:spacing w:line="360" w:lineRule="auto"/>
        <w:jc w:val="center"/>
        <w:rPr>
          <w:rFonts w:ascii="方正小标宋简体" w:eastAsia="方正小标宋简体" w:hAnsi="宋体"/>
          <w:kern w:val="0"/>
          <w:szCs w:val="32"/>
        </w:rPr>
      </w:pPr>
    </w:p>
    <w:p w:rsidR="00C10776" w:rsidRDefault="00C10776" w:rsidP="00C10776">
      <w:pPr>
        <w:widowControl/>
        <w:spacing w:line="360" w:lineRule="auto"/>
        <w:jc w:val="center"/>
        <w:rPr>
          <w:rFonts w:ascii="方正小标宋简体" w:eastAsia="方正小标宋简体" w:hAnsi="宋体"/>
          <w:kern w:val="0"/>
          <w:szCs w:val="32"/>
        </w:rPr>
      </w:pPr>
    </w:p>
    <w:p w:rsidR="00C10776" w:rsidRDefault="00C10776" w:rsidP="00C10776">
      <w:pPr>
        <w:widowControl/>
        <w:spacing w:line="360" w:lineRule="auto"/>
        <w:jc w:val="center"/>
        <w:rPr>
          <w:rFonts w:ascii="方正小标宋简体" w:eastAsia="方正小标宋简体" w:hAnsi="宋体"/>
          <w:kern w:val="0"/>
          <w:szCs w:val="32"/>
        </w:rPr>
      </w:pPr>
    </w:p>
    <w:p w:rsidR="00C10776" w:rsidRDefault="00C10776" w:rsidP="00C10776">
      <w:pPr>
        <w:widowControl/>
        <w:spacing w:line="360" w:lineRule="auto"/>
        <w:jc w:val="center"/>
        <w:rPr>
          <w:rFonts w:ascii="方正小标宋简体" w:eastAsia="方正小标宋简体" w:hAnsi="宋体"/>
          <w:kern w:val="0"/>
          <w:szCs w:val="32"/>
        </w:rPr>
      </w:pPr>
    </w:p>
    <w:p w:rsidR="00C10776" w:rsidRDefault="00C10776" w:rsidP="00C10776">
      <w:pPr>
        <w:widowControl/>
        <w:spacing w:line="360" w:lineRule="auto"/>
        <w:jc w:val="center"/>
        <w:rPr>
          <w:rFonts w:ascii="方正小标宋简体" w:eastAsia="方正小标宋简体" w:hAnsi="宋体"/>
          <w:kern w:val="0"/>
          <w:szCs w:val="32"/>
        </w:rPr>
      </w:pPr>
    </w:p>
    <w:p w:rsidR="00C10776" w:rsidRDefault="00C10776" w:rsidP="00C10776">
      <w:pPr>
        <w:widowControl/>
        <w:spacing w:line="360" w:lineRule="auto"/>
        <w:jc w:val="center"/>
        <w:rPr>
          <w:rFonts w:ascii="方正小标宋简体" w:eastAsia="方正小标宋简体" w:hAnsi="宋体"/>
          <w:kern w:val="0"/>
          <w:szCs w:val="32"/>
        </w:rPr>
      </w:pPr>
    </w:p>
    <w:p w:rsidR="00C10776" w:rsidRDefault="00C10776" w:rsidP="00536E86">
      <w:pPr>
        <w:widowControl/>
        <w:spacing w:line="360" w:lineRule="auto"/>
        <w:rPr>
          <w:rFonts w:ascii="方正小标宋简体" w:eastAsia="方正小标宋简体" w:hAnsi="宋体"/>
          <w:kern w:val="0"/>
          <w:szCs w:val="32"/>
        </w:rPr>
      </w:pPr>
    </w:p>
    <w:p w:rsidR="00E45A29" w:rsidRDefault="00E45A29" w:rsidP="00536E86">
      <w:pPr>
        <w:widowControl/>
        <w:spacing w:line="360" w:lineRule="auto"/>
        <w:rPr>
          <w:rFonts w:ascii="方正小标宋简体" w:eastAsia="方正小标宋简体" w:hAnsi="宋体"/>
          <w:kern w:val="0"/>
          <w:szCs w:val="32"/>
        </w:rPr>
      </w:pPr>
    </w:p>
    <w:p w:rsidR="00E45A29" w:rsidRDefault="00E45A29" w:rsidP="00536E86">
      <w:pPr>
        <w:widowControl/>
        <w:spacing w:line="360" w:lineRule="auto"/>
        <w:rPr>
          <w:rFonts w:ascii="方正小标宋简体" w:eastAsia="方正小标宋简体" w:hAnsi="宋体" w:hint="eastAsia"/>
          <w:kern w:val="0"/>
          <w:szCs w:val="32"/>
        </w:rPr>
      </w:pPr>
    </w:p>
    <w:p w:rsidR="00E45A29" w:rsidRDefault="00E45A29" w:rsidP="00C10776">
      <w:pPr>
        <w:widowControl/>
        <w:spacing w:line="360" w:lineRule="auto"/>
        <w:jc w:val="center"/>
        <w:rPr>
          <w:rFonts w:ascii="方正小标宋简体" w:eastAsia="方正小标宋简体" w:hAnsi="宋体"/>
          <w:kern w:val="0"/>
          <w:szCs w:val="32"/>
        </w:rPr>
        <w:sectPr w:rsidR="00E45A29" w:rsidSect="00E45A29">
          <w:type w:val="continuous"/>
          <w:pgSz w:w="11906" w:h="16838"/>
          <w:pgMar w:top="1440" w:right="1800" w:bottom="1440" w:left="1800" w:header="851" w:footer="992" w:gutter="0"/>
          <w:cols w:space="425"/>
          <w:docGrid w:type="lines" w:linePitch="312"/>
        </w:sectPr>
      </w:pPr>
    </w:p>
    <w:p w:rsidR="00C10776" w:rsidRDefault="00C10776" w:rsidP="00C1077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C10776">
        <w:rPr>
          <w:rFonts w:ascii="方正小标宋简体" w:eastAsia="方正小标宋简体" w:hAnsi="宋体" w:hint="eastAsia"/>
          <w:kern w:val="0"/>
          <w:szCs w:val="32"/>
        </w:rPr>
        <w:t>工程热</w:t>
      </w:r>
      <w:r w:rsidRPr="00C10776">
        <w:rPr>
          <w:rFonts w:ascii="方正小标宋简体" w:eastAsia="方正小标宋简体" w:hAnsi="宋体"/>
          <w:kern w:val="0"/>
          <w:szCs w:val="32"/>
        </w:rPr>
        <w:t>力学</w:t>
      </w:r>
      <w:r>
        <w:rPr>
          <w:rFonts w:ascii="方正小标宋简体" w:eastAsia="方正小标宋简体" w:hAnsi="宋体" w:hint="eastAsia"/>
          <w:kern w:val="0"/>
          <w:szCs w:val="32"/>
        </w:rPr>
        <w:t>》课程教学大纲</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Engineering Thermodynamics</w:t>
      </w:r>
    </w:p>
    <w:p w:rsidR="00C10776" w:rsidRDefault="00C10776" w:rsidP="00C1077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X2807110</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C10776" w:rsidRDefault="00C10776" w:rsidP="00C107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课程类别：学科基础</w:t>
      </w:r>
      <w:r>
        <w:rPr>
          <w:rFonts w:ascii="仿宋_GB2312" w:hAnsi="仿宋_GB2312" w:cs="仿宋_GB2312"/>
          <w:bCs/>
          <w:sz w:val="28"/>
          <w:szCs w:val="28"/>
        </w:rPr>
        <w:t>课</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3.5</w:t>
      </w:r>
    </w:p>
    <w:p w:rsidR="00C10776" w:rsidRDefault="00C10776" w:rsidP="00C107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56</w:t>
      </w:r>
      <w:r>
        <w:rPr>
          <w:rFonts w:ascii="仿宋_GB2312" w:hAnsi="仿宋_GB2312" w:cs="仿宋_GB2312" w:hint="eastAsia"/>
          <w:bCs/>
          <w:sz w:val="28"/>
          <w:szCs w:val="28"/>
        </w:rPr>
        <w:t>学时（授课</w:t>
      </w:r>
      <w:r>
        <w:rPr>
          <w:rFonts w:ascii="仿宋_GB2312" w:hAnsi="仿宋_GB2312" w:cs="仿宋_GB2312"/>
          <w:bCs/>
          <w:sz w:val="28"/>
          <w:szCs w:val="28"/>
        </w:rPr>
        <w:t>52</w:t>
      </w:r>
      <w:r>
        <w:rPr>
          <w:rFonts w:ascii="仿宋_GB2312" w:hAnsi="仿宋_GB2312" w:cs="仿宋_GB2312" w:hint="eastAsia"/>
          <w:bCs/>
          <w:sz w:val="28"/>
          <w:szCs w:val="28"/>
        </w:rPr>
        <w:t>学时，实验</w:t>
      </w:r>
      <w:r>
        <w:rPr>
          <w:rFonts w:ascii="仿宋_GB2312" w:hAnsi="仿宋_GB2312" w:cs="仿宋_GB2312"/>
          <w:bCs/>
          <w:sz w:val="28"/>
          <w:szCs w:val="28"/>
        </w:rPr>
        <w:t>4</w:t>
      </w:r>
      <w:r>
        <w:rPr>
          <w:rFonts w:ascii="仿宋_GB2312" w:hAnsi="仿宋_GB2312" w:cs="仿宋_GB2312" w:hint="eastAsia"/>
          <w:bCs/>
          <w:sz w:val="28"/>
          <w:szCs w:val="28"/>
        </w:rPr>
        <w:t>学时）</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先修课程：高等数学、大学物理等</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10776" w:rsidRDefault="00C10776" w:rsidP="00C10776">
      <w:pPr>
        <w:spacing w:line="360" w:lineRule="auto"/>
        <w:ind w:leftChars="200" w:left="640" w:firstLineChars="200" w:firstLine="560"/>
        <w:rPr>
          <w:rFonts w:ascii="仿宋_GB2312" w:hAnsi="仿宋_GB2312" w:cs="仿宋_GB2312"/>
          <w:bCs/>
          <w:sz w:val="28"/>
          <w:szCs w:val="28"/>
        </w:rPr>
      </w:pPr>
      <w:r>
        <w:rPr>
          <w:rFonts w:ascii="仿宋_GB2312" w:hAnsi="仿宋_GB2312" w:cs="仿宋_GB2312" w:hint="eastAsia"/>
          <w:bCs/>
          <w:sz w:val="28"/>
          <w:szCs w:val="28"/>
        </w:rPr>
        <w:t>《工程热</w:t>
      </w:r>
      <w:r>
        <w:rPr>
          <w:rFonts w:ascii="仿宋_GB2312" w:hAnsi="仿宋_GB2312" w:cs="仿宋_GB2312"/>
          <w:bCs/>
          <w:sz w:val="28"/>
          <w:szCs w:val="28"/>
        </w:rPr>
        <w:t>力学</w:t>
      </w:r>
      <w:r>
        <w:rPr>
          <w:rFonts w:ascii="仿宋_GB2312" w:hAnsi="仿宋_GB2312" w:cs="仿宋_GB2312" w:hint="eastAsia"/>
          <w:bCs/>
          <w:sz w:val="28"/>
          <w:szCs w:val="28"/>
        </w:rPr>
        <w:t>》分为基本理论部分和基本理论应用两</w:t>
      </w:r>
      <w:r>
        <w:rPr>
          <w:rFonts w:ascii="仿宋_GB2312" w:hAnsi="仿宋_GB2312" w:cs="仿宋_GB2312"/>
          <w:bCs/>
          <w:sz w:val="28"/>
          <w:szCs w:val="28"/>
        </w:rPr>
        <w:t>大</w:t>
      </w:r>
      <w:r>
        <w:rPr>
          <w:rFonts w:ascii="仿宋_GB2312" w:hAnsi="仿宋_GB2312" w:cs="仿宋_GB2312" w:hint="eastAsia"/>
          <w:bCs/>
          <w:sz w:val="28"/>
          <w:szCs w:val="28"/>
        </w:rPr>
        <w:t>部分，本</w:t>
      </w:r>
      <w:r>
        <w:rPr>
          <w:rFonts w:ascii="仿宋_GB2312" w:hAnsi="仿宋_GB2312" w:cs="仿宋_GB2312"/>
          <w:bCs/>
          <w:sz w:val="28"/>
          <w:szCs w:val="28"/>
        </w:rPr>
        <w:t>课程讲授了</w:t>
      </w:r>
      <w:r>
        <w:rPr>
          <w:rFonts w:ascii="仿宋_GB2312" w:hAnsi="仿宋_GB2312" w:cs="仿宋_GB2312" w:hint="eastAsia"/>
          <w:bCs/>
          <w:sz w:val="28"/>
          <w:szCs w:val="28"/>
        </w:rPr>
        <w:t>（1）能量守恒</w:t>
      </w:r>
      <w:r>
        <w:rPr>
          <w:rFonts w:ascii="仿宋_GB2312" w:hAnsi="仿宋_GB2312" w:cs="仿宋_GB2312"/>
          <w:bCs/>
          <w:sz w:val="28"/>
          <w:szCs w:val="28"/>
        </w:rPr>
        <w:t>的热力学第一定律</w:t>
      </w:r>
      <w:r>
        <w:rPr>
          <w:rFonts w:ascii="仿宋_GB2312" w:hAnsi="仿宋_GB2312" w:cs="仿宋_GB2312" w:hint="eastAsia"/>
          <w:bCs/>
          <w:sz w:val="28"/>
          <w:szCs w:val="28"/>
        </w:rPr>
        <w:t>，自发热力</w:t>
      </w:r>
      <w:r>
        <w:rPr>
          <w:rFonts w:ascii="仿宋_GB2312" w:hAnsi="仿宋_GB2312" w:cs="仿宋_GB2312"/>
          <w:bCs/>
          <w:sz w:val="28"/>
          <w:szCs w:val="28"/>
        </w:rPr>
        <w:t>过程进行的热力学第二定律，能</w:t>
      </w:r>
      <w:r>
        <w:rPr>
          <w:rFonts w:ascii="仿宋_GB2312" w:hAnsi="仿宋_GB2312" w:cs="仿宋_GB2312" w:hint="eastAsia"/>
          <w:bCs/>
          <w:sz w:val="28"/>
          <w:szCs w:val="28"/>
        </w:rPr>
        <w:t>量</w:t>
      </w:r>
      <w:r>
        <w:rPr>
          <w:rFonts w:ascii="仿宋_GB2312" w:hAnsi="仿宋_GB2312" w:cs="仿宋_GB2312"/>
          <w:bCs/>
          <w:sz w:val="28"/>
          <w:szCs w:val="28"/>
        </w:rPr>
        <w:t>相互</w:t>
      </w:r>
      <w:r>
        <w:rPr>
          <w:rFonts w:ascii="仿宋_GB2312" w:hAnsi="仿宋_GB2312" w:cs="仿宋_GB2312" w:hint="eastAsia"/>
          <w:bCs/>
          <w:sz w:val="28"/>
          <w:szCs w:val="28"/>
        </w:rPr>
        <w:t>转换的规律及过程；（2）</w:t>
      </w:r>
      <w:r>
        <w:rPr>
          <w:rFonts w:ascii="仿宋_GB2312" w:hAnsi="仿宋_GB2312" w:cs="仿宋_GB2312"/>
          <w:bCs/>
          <w:sz w:val="28"/>
          <w:szCs w:val="28"/>
        </w:rPr>
        <w:t>理想气体</w:t>
      </w:r>
      <w:r>
        <w:rPr>
          <w:rFonts w:ascii="仿宋_GB2312" w:hAnsi="仿宋_GB2312" w:cs="仿宋_GB2312" w:hint="eastAsia"/>
          <w:bCs/>
          <w:sz w:val="28"/>
          <w:szCs w:val="28"/>
        </w:rPr>
        <w:t>的</w:t>
      </w:r>
      <w:r>
        <w:rPr>
          <w:rFonts w:ascii="仿宋_GB2312" w:hAnsi="仿宋_GB2312" w:cs="仿宋_GB2312"/>
          <w:bCs/>
          <w:sz w:val="28"/>
          <w:szCs w:val="28"/>
        </w:rPr>
        <w:t>性质、实际</w:t>
      </w:r>
      <w:r>
        <w:rPr>
          <w:rFonts w:ascii="仿宋_GB2312" w:hAnsi="仿宋_GB2312" w:cs="仿宋_GB2312" w:hint="eastAsia"/>
          <w:bCs/>
          <w:sz w:val="28"/>
          <w:szCs w:val="28"/>
        </w:rPr>
        <w:t>工质的性质、</w:t>
      </w:r>
      <w:r>
        <w:rPr>
          <w:rFonts w:ascii="仿宋_GB2312" w:hAnsi="仿宋_GB2312" w:cs="仿宋_GB2312"/>
          <w:bCs/>
          <w:sz w:val="28"/>
          <w:szCs w:val="28"/>
        </w:rPr>
        <w:t>特点</w:t>
      </w:r>
      <w:r>
        <w:rPr>
          <w:rFonts w:ascii="仿宋_GB2312" w:hAnsi="仿宋_GB2312" w:cs="仿宋_GB2312" w:hint="eastAsia"/>
          <w:bCs/>
          <w:sz w:val="28"/>
          <w:szCs w:val="28"/>
        </w:rPr>
        <w:t>与实际</w:t>
      </w:r>
      <w:r>
        <w:rPr>
          <w:rFonts w:ascii="仿宋_GB2312" w:hAnsi="仿宋_GB2312" w:cs="仿宋_GB2312"/>
          <w:bCs/>
          <w:sz w:val="28"/>
          <w:szCs w:val="28"/>
        </w:rPr>
        <w:t>工</w:t>
      </w:r>
      <w:r>
        <w:rPr>
          <w:rFonts w:ascii="仿宋_GB2312" w:hAnsi="仿宋_GB2312" w:cs="仿宋_GB2312" w:hint="eastAsia"/>
          <w:bCs/>
          <w:sz w:val="28"/>
          <w:szCs w:val="28"/>
        </w:rPr>
        <w:t>质</w:t>
      </w:r>
      <w:r>
        <w:rPr>
          <w:rFonts w:ascii="仿宋_GB2312" w:hAnsi="仿宋_GB2312" w:cs="仿宋_GB2312"/>
          <w:bCs/>
          <w:sz w:val="28"/>
          <w:szCs w:val="28"/>
        </w:rPr>
        <w:t>的</w:t>
      </w:r>
      <w:r>
        <w:rPr>
          <w:rFonts w:ascii="仿宋_GB2312" w:hAnsi="仿宋_GB2312" w:cs="仿宋_GB2312" w:hint="eastAsia"/>
          <w:bCs/>
          <w:sz w:val="28"/>
          <w:szCs w:val="28"/>
        </w:rPr>
        <w:t>性质</w:t>
      </w:r>
      <w:r>
        <w:rPr>
          <w:rFonts w:ascii="仿宋_GB2312" w:hAnsi="仿宋_GB2312" w:cs="仿宋_GB2312"/>
          <w:bCs/>
          <w:sz w:val="28"/>
          <w:szCs w:val="28"/>
        </w:rPr>
        <w:t>图表</w:t>
      </w:r>
      <w:r>
        <w:rPr>
          <w:rFonts w:ascii="仿宋_GB2312" w:hAnsi="仿宋_GB2312" w:cs="仿宋_GB2312" w:hint="eastAsia"/>
          <w:bCs/>
          <w:sz w:val="28"/>
          <w:szCs w:val="28"/>
        </w:rPr>
        <w:t>；（3）介绍了各种热工设备针对</w:t>
      </w:r>
      <w:r>
        <w:rPr>
          <w:rFonts w:ascii="仿宋_GB2312" w:hAnsi="仿宋_GB2312" w:cs="仿宋_GB2312"/>
          <w:bCs/>
          <w:sz w:val="28"/>
          <w:szCs w:val="28"/>
        </w:rPr>
        <w:t>不同</w:t>
      </w:r>
      <w:r>
        <w:rPr>
          <w:rFonts w:ascii="仿宋_GB2312" w:hAnsi="仿宋_GB2312" w:cs="仿宋_GB2312" w:hint="eastAsia"/>
          <w:bCs/>
          <w:sz w:val="28"/>
          <w:szCs w:val="28"/>
        </w:rPr>
        <w:t>工</w:t>
      </w:r>
      <w:r>
        <w:rPr>
          <w:rFonts w:ascii="仿宋_GB2312" w:hAnsi="仿宋_GB2312" w:cs="仿宋_GB2312"/>
          <w:bCs/>
          <w:sz w:val="28"/>
          <w:szCs w:val="28"/>
        </w:rPr>
        <w:t>质</w:t>
      </w:r>
      <w:r>
        <w:rPr>
          <w:rFonts w:ascii="仿宋_GB2312" w:hAnsi="仿宋_GB2312" w:cs="仿宋_GB2312" w:hint="eastAsia"/>
          <w:bCs/>
          <w:sz w:val="28"/>
          <w:szCs w:val="28"/>
        </w:rPr>
        <w:t>的工作过程与</w:t>
      </w:r>
      <w:r>
        <w:rPr>
          <w:rFonts w:ascii="仿宋_GB2312" w:hAnsi="仿宋_GB2312" w:cs="仿宋_GB2312"/>
          <w:bCs/>
          <w:sz w:val="28"/>
          <w:szCs w:val="28"/>
        </w:rPr>
        <w:t>原理</w:t>
      </w:r>
      <w:r>
        <w:rPr>
          <w:rFonts w:ascii="仿宋_GB2312" w:hAnsi="仿宋_GB2312" w:cs="仿宋_GB2312" w:hint="eastAsia"/>
          <w:bCs/>
          <w:sz w:val="28"/>
          <w:szCs w:val="28"/>
        </w:rPr>
        <w:t>。本课程的理论</w:t>
      </w:r>
      <w:r>
        <w:rPr>
          <w:rFonts w:ascii="仿宋_GB2312" w:hAnsi="仿宋_GB2312" w:cs="仿宋_GB2312"/>
          <w:bCs/>
          <w:sz w:val="28"/>
          <w:szCs w:val="28"/>
        </w:rPr>
        <w:t>知识</w:t>
      </w:r>
      <w:r>
        <w:rPr>
          <w:rFonts w:ascii="仿宋_GB2312" w:hAnsi="仿宋_GB2312" w:cs="仿宋_GB2312" w:hint="eastAsia"/>
          <w:bCs/>
          <w:sz w:val="28"/>
          <w:szCs w:val="28"/>
        </w:rPr>
        <w:t>是本专业学习极其重要的理论</w:t>
      </w:r>
      <w:r>
        <w:rPr>
          <w:rFonts w:ascii="仿宋_GB2312" w:hAnsi="仿宋_GB2312" w:cs="仿宋_GB2312"/>
          <w:bCs/>
          <w:sz w:val="28"/>
          <w:szCs w:val="28"/>
        </w:rPr>
        <w:t>基础</w:t>
      </w:r>
      <w:r>
        <w:rPr>
          <w:rFonts w:ascii="仿宋_GB2312" w:hAnsi="仿宋_GB2312" w:cs="仿宋_GB2312" w:hint="eastAsia"/>
          <w:bCs/>
          <w:sz w:val="28"/>
          <w:szCs w:val="28"/>
        </w:rPr>
        <w:t>，</w:t>
      </w:r>
      <w:r>
        <w:rPr>
          <w:rFonts w:ascii="仿宋_GB2312" w:hAnsi="仿宋_GB2312" w:cs="仿宋_GB2312"/>
          <w:bCs/>
          <w:sz w:val="28"/>
          <w:szCs w:val="28"/>
        </w:rPr>
        <w:t>是</w:t>
      </w:r>
      <w:r>
        <w:rPr>
          <w:rFonts w:ascii="仿宋_GB2312" w:hAnsi="仿宋_GB2312" w:cs="仿宋_GB2312" w:hint="eastAsia"/>
          <w:bCs/>
          <w:sz w:val="28"/>
          <w:szCs w:val="28"/>
        </w:rPr>
        <w:t>本</w:t>
      </w:r>
      <w:r>
        <w:rPr>
          <w:rFonts w:ascii="仿宋_GB2312" w:hAnsi="仿宋_GB2312" w:cs="仿宋_GB2312"/>
          <w:bCs/>
          <w:sz w:val="28"/>
          <w:szCs w:val="28"/>
        </w:rPr>
        <w:t>专业</w:t>
      </w:r>
      <w:r>
        <w:rPr>
          <w:rFonts w:ascii="仿宋_GB2312" w:hAnsi="仿宋_GB2312" w:cs="仿宋_GB2312" w:hint="eastAsia"/>
          <w:bCs/>
          <w:sz w:val="28"/>
          <w:szCs w:val="28"/>
        </w:rPr>
        <w:t>学生学习的重要基础课。。</w:t>
      </w:r>
    </w:p>
    <w:p w:rsidR="00C10776" w:rsidRDefault="00C10776" w:rsidP="00C10776">
      <w:pPr>
        <w:spacing w:line="360" w:lineRule="auto"/>
        <w:ind w:leftChars="200" w:left="640" w:firstLineChars="200" w:firstLine="560"/>
        <w:rPr>
          <w:rFonts w:ascii="仿宋_GB2312" w:hAnsi="仿宋_GB2312" w:cs="仿宋_GB2312"/>
          <w:bCs/>
          <w:sz w:val="28"/>
          <w:szCs w:val="28"/>
        </w:rPr>
      </w:pPr>
      <w:r>
        <w:rPr>
          <w:rFonts w:ascii="仿宋_GB2312" w:hAnsi="仿宋_GB2312" w:cs="仿宋_GB2312"/>
          <w:bCs/>
          <w:sz w:val="28"/>
          <w:szCs w:val="28"/>
        </w:rPr>
        <w:lastRenderedPageBreak/>
        <w:t>教学方式</w:t>
      </w:r>
      <w:r>
        <w:rPr>
          <w:rFonts w:ascii="仿宋_GB2312" w:hAnsi="仿宋_GB2312" w:cs="仿宋_GB2312" w:hint="eastAsia"/>
          <w:bCs/>
          <w:sz w:val="28"/>
          <w:szCs w:val="28"/>
        </w:rPr>
        <w:t>采用</w:t>
      </w:r>
      <w:r>
        <w:rPr>
          <w:rFonts w:ascii="仿宋_GB2312" w:hAnsi="仿宋_GB2312" w:cs="仿宋_GB2312"/>
          <w:bCs/>
          <w:sz w:val="28"/>
          <w:szCs w:val="28"/>
        </w:rPr>
        <w:t>PPT</w:t>
      </w:r>
      <w:r>
        <w:rPr>
          <w:rFonts w:ascii="仿宋_GB2312" w:hAnsi="仿宋_GB2312" w:cs="仿宋_GB2312" w:hint="eastAsia"/>
          <w:bCs/>
          <w:sz w:val="28"/>
          <w:szCs w:val="28"/>
        </w:rPr>
        <w:t>+板书讲解、课程实验、课后思考题和练习题等相结合进行授课。</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hint="eastAsia"/>
          <w:bCs/>
          <w:sz w:val="28"/>
          <w:szCs w:val="28"/>
        </w:rPr>
        <w:t>工程热</w:t>
      </w:r>
      <w:r>
        <w:rPr>
          <w:rFonts w:ascii="仿宋_GB2312" w:hAnsi="仿宋_GB2312" w:cs="仿宋_GB2312"/>
          <w:bCs/>
          <w:sz w:val="28"/>
          <w:szCs w:val="28"/>
        </w:rPr>
        <w:t>力学</w:t>
      </w:r>
      <w:r>
        <w:rPr>
          <w:rFonts w:ascii="仿宋_GB2312" w:hAnsi="仿宋_GB2312" w:cs="仿宋_GB2312" w:hint="eastAsia"/>
          <w:sz w:val="28"/>
          <w:szCs w:val="28"/>
        </w:rPr>
        <w:t>》是建筑环境与能源应用工程专业的专业基础课程，教学的</w:t>
      </w:r>
      <w:r>
        <w:rPr>
          <w:rFonts w:ascii="仿宋_GB2312" w:hAnsi="仿宋_GB2312" w:cs="仿宋_GB2312"/>
          <w:sz w:val="28"/>
          <w:szCs w:val="28"/>
        </w:rPr>
        <w:t>任务</w:t>
      </w:r>
      <w:r>
        <w:rPr>
          <w:rFonts w:ascii="仿宋_GB2312" w:hAnsi="仿宋_GB2312" w:cs="仿宋_GB2312" w:hint="eastAsia"/>
          <w:sz w:val="28"/>
          <w:szCs w:val="28"/>
        </w:rPr>
        <w:t>：</w:t>
      </w:r>
      <w:r>
        <w:rPr>
          <w:rFonts w:ascii="仿宋_GB2312" w:hAnsi="仿宋_GB2312" w:cs="仿宋_GB2312" w:hint="eastAsia"/>
          <w:bCs/>
          <w:sz w:val="28"/>
          <w:szCs w:val="28"/>
        </w:rPr>
        <w:t>（1）热</w:t>
      </w:r>
      <w:r>
        <w:rPr>
          <w:rFonts w:ascii="仿宋_GB2312" w:hAnsi="仿宋_GB2312" w:cs="仿宋_GB2312"/>
          <w:bCs/>
          <w:sz w:val="28"/>
          <w:szCs w:val="28"/>
        </w:rPr>
        <w:t>力系统、热力系统的</w:t>
      </w:r>
      <w:r>
        <w:rPr>
          <w:rFonts w:ascii="仿宋_GB2312" w:hAnsi="仿宋_GB2312" w:cs="仿宋_GB2312" w:hint="eastAsia"/>
          <w:bCs/>
          <w:sz w:val="28"/>
          <w:szCs w:val="28"/>
        </w:rPr>
        <w:t>种类</w:t>
      </w:r>
      <w:r>
        <w:rPr>
          <w:rFonts w:ascii="仿宋_GB2312" w:hAnsi="仿宋_GB2312" w:cs="仿宋_GB2312"/>
          <w:bCs/>
          <w:sz w:val="28"/>
          <w:szCs w:val="28"/>
        </w:rPr>
        <w:t>及划分</w:t>
      </w:r>
      <w:r>
        <w:rPr>
          <w:rFonts w:ascii="仿宋_GB2312" w:hAnsi="仿宋_GB2312" w:cs="仿宋_GB2312" w:hint="eastAsia"/>
          <w:bCs/>
          <w:sz w:val="28"/>
          <w:szCs w:val="28"/>
        </w:rPr>
        <w:t>、</w:t>
      </w:r>
      <w:r>
        <w:rPr>
          <w:rFonts w:ascii="仿宋_GB2312" w:hAnsi="仿宋_GB2312" w:cs="仿宋_GB2312"/>
          <w:bCs/>
          <w:sz w:val="28"/>
          <w:szCs w:val="28"/>
        </w:rPr>
        <w:t>热力过程</w:t>
      </w:r>
      <w:r>
        <w:rPr>
          <w:rFonts w:ascii="仿宋_GB2312" w:hAnsi="仿宋_GB2312" w:cs="仿宋_GB2312" w:hint="eastAsia"/>
          <w:bCs/>
          <w:sz w:val="28"/>
          <w:szCs w:val="28"/>
        </w:rPr>
        <w:t>，</w:t>
      </w:r>
      <w:r>
        <w:rPr>
          <w:rFonts w:ascii="仿宋_GB2312" w:hAnsi="仿宋_GB2312" w:cs="仿宋_GB2312"/>
          <w:bCs/>
          <w:sz w:val="28"/>
          <w:szCs w:val="28"/>
        </w:rPr>
        <w:t>可逆过程的</w:t>
      </w:r>
      <w:r>
        <w:rPr>
          <w:rFonts w:ascii="仿宋_GB2312" w:hAnsi="仿宋_GB2312" w:cs="仿宋_GB2312" w:hint="eastAsia"/>
          <w:bCs/>
          <w:sz w:val="28"/>
          <w:szCs w:val="28"/>
        </w:rPr>
        <w:t>定义</w:t>
      </w:r>
      <w:r>
        <w:rPr>
          <w:rFonts w:ascii="仿宋_GB2312" w:hAnsi="仿宋_GB2312" w:cs="仿宋_GB2312"/>
          <w:bCs/>
          <w:sz w:val="28"/>
          <w:szCs w:val="28"/>
        </w:rPr>
        <w:t>及特点</w:t>
      </w:r>
      <w:r>
        <w:rPr>
          <w:rFonts w:ascii="仿宋_GB2312" w:hAnsi="仿宋_GB2312" w:cs="仿宋_GB2312" w:hint="eastAsia"/>
          <w:bCs/>
          <w:sz w:val="28"/>
          <w:szCs w:val="28"/>
        </w:rPr>
        <w:t>。（2）理想</w:t>
      </w:r>
      <w:r>
        <w:rPr>
          <w:rFonts w:ascii="仿宋_GB2312" w:hAnsi="仿宋_GB2312" w:cs="仿宋_GB2312"/>
          <w:bCs/>
          <w:sz w:val="28"/>
          <w:szCs w:val="28"/>
        </w:rPr>
        <w:t>气体的性质、特点</w:t>
      </w:r>
      <w:r>
        <w:rPr>
          <w:rFonts w:ascii="仿宋_GB2312" w:hAnsi="仿宋_GB2312" w:cs="仿宋_GB2312" w:hint="eastAsia"/>
          <w:bCs/>
          <w:sz w:val="28"/>
          <w:szCs w:val="28"/>
        </w:rPr>
        <w:t>；</w:t>
      </w:r>
      <w:r>
        <w:rPr>
          <w:rFonts w:ascii="仿宋_GB2312" w:hAnsi="仿宋_GB2312" w:cs="仿宋_GB2312"/>
          <w:bCs/>
          <w:sz w:val="28"/>
          <w:szCs w:val="28"/>
        </w:rPr>
        <w:t>实际气体性质、特点。</w:t>
      </w:r>
      <w:r>
        <w:rPr>
          <w:rFonts w:ascii="仿宋_GB2312" w:hAnsi="仿宋_GB2312" w:cs="仿宋_GB2312" w:hint="eastAsia"/>
          <w:bCs/>
          <w:sz w:val="28"/>
          <w:szCs w:val="28"/>
        </w:rPr>
        <w:t>（3）闭口系统</w:t>
      </w:r>
      <w:r>
        <w:rPr>
          <w:rFonts w:ascii="仿宋_GB2312" w:hAnsi="仿宋_GB2312" w:cs="仿宋_GB2312"/>
          <w:bCs/>
          <w:sz w:val="28"/>
          <w:szCs w:val="28"/>
        </w:rPr>
        <w:t>、开口系统能量方程</w:t>
      </w:r>
      <w:r>
        <w:rPr>
          <w:rFonts w:ascii="仿宋_GB2312" w:hAnsi="仿宋_GB2312" w:cs="仿宋_GB2312" w:hint="eastAsia"/>
          <w:bCs/>
          <w:sz w:val="28"/>
          <w:szCs w:val="28"/>
        </w:rPr>
        <w:t>，</w:t>
      </w:r>
      <w:r>
        <w:rPr>
          <w:rFonts w:ascii="仿宋_GB2312" w:hAnsi="仿宋_GB2312" w:cs="仿宋_GB2312"/>
          <w:bCs/>
          <w:sz w:val="28"/>
          <w:szCs w:val="28"/>
        </w:rPr>
        <w:t>稳态稳流能量方程等热力学第一定律</w:t>
      </w:r>
      <w:r>
        <w:rPr>
          <w:rFonts w:ascii="仿宋_GB2312" w:hAnsi="仿宋_GB2312" w:cs="仿宋_GB2312" w:hint="eastAsia"/>
          <w:bCs/>
          <w:sz w:val="28"/>
          <w:szCs w:val="28"/>
        </w:rPr>
        <w:t>的</w:t>
      </w:r>
      <w:r>
        <w:rPr>
          <w:rFonts w:ascii="仿宋_GB2312" w:hAnsi="仿宋_GB2312" w:cs="仿宋_GB2312"/>
          <w:bCs/>
          <w:sz w:val="28"/>
          <w:szCs w:val="28"/>
        </w:rPr>
        <w:t>理论应用</w:t>
      </w:r>
      <w:r>
        <w:rPr>
          <w:rFonts w:ascii="仿宋_GB2312" w:hAnsi="仿宋_GB2312" w:cs="仿宋_GB2312" w:hint="eastAsia"/>
          <w:bCs/>
          <w:sz w:val="28"/>
          <w:szCs w:val="28"/>
        </w:rPr>
        <w:t>。（4</w:t>
      </w:r>
      <w:r>
        <w:rPr>
          <w:rFonts w:ascii="仿宋_GB2312" w:hAnsi="仿宋_GB2312" w:cs="仿宋_GB2312"/>
          <w:bCs/>
          <w:sz w:val="28"/>
          <w:szCs w:val="28"/>
        </w:rPr>
        <w:t>）理想气体</w:t>
      </w:r>
      <w:r>
        <w:rPr>
          <w:rFonts w:ascii="仿宋_GB2312" w:hAnsi="仿宋_GB2312" w:cs="仿宋_GB2312" w:hint="eastAsia"/>
          <w:bCs/>
          <w:sz w:val="28"/>
          <w:szCs w:val="28"/>
        </w:rPr>
        <w:t>的热力过程</w:t>
      </w:r>
      <w:r>
        <w:rPr>
          <w:rFonts w:ascii="仿宋_GB2312" w:hAnsi="仿宋_GB2312" w:cs="仿宋_GB2312"/>
          <w:bCs/>
          <w:sz w:val="28"/>
          <w:szCs w:val="28"/>
        </w:rPr>
        <w:t>、</w:t>
      </w:r>
      <w:r>
        <w:rPr>
          <w:rFonts w:ascii="仿宋_GB2312" w:hAnsi="仿宋_GB2312" w:cs="仿宋_GB2312" w:hint="eastAsia"/>
          <w:bCs/>
          <w:sz w:val="28"/>
          <w:szCs w:val="28"/>
        </w:rPr>
        <w:t>多变</w:t>
      </w:r>
      <w:r>
        <w:rPr>
          <w:rFonts w:ascii="仿宋_GB2312" w:hAnsi="仿宋_GB2312" w:cs="仿宋_GB2312"/>
          <w:bCs/>
          <w:sz w:val="28"/>
          <w:szCs w:val="28"/>
        </w:rPr>
        <w:t>过程综合分析，</w:t>
      </w:r>
      <w:r>
        <w:rPr>
          <w:rFonts w:ascii="仿宋_GB2312" w:hAnsi="仿宋_GB2312" w:cs="仿宋_GB2312" w:hint="eastAsia"/>
          <w:bCs/>
          <w:sz w:val="28"/>
          <w:szCs w:val="28"/>
        </w:rPr>
        <w:t>压</w:t>
      </w:r>
      <w:r>
        <w:rPr>
          <w:rFonts w:ascii="仿宋_GB2312" w:hAnsi="仿宋_GB2312" w:cs="仿宋_GB2312"/>
          <w:bCs/>
          <w:sz w:val="28"/>
          <w:szCs w:val="28"/>
        </w:rPr>
        <w:t>气机理</w:t>
      </w:r>
      <w:r>
        <w:rPr>
          <w:rFonts w:ascii="仿宋_GB2312" w:hAnsi="仿宋_GB2312" w:cs="仿宋_GB2312" w:hint="eastAsia"/>
          <w:bCs/>
          <w:sz w:val="28"/>
          <w:szCs w:val="28"/>
        </w:rPr>
        <w:t>论</w:t>
      </w:r>
      <w:r>
        <w:rPr>
          <w:rFonts w:ascii="仿宋_GB2312" w:hAnsi="仿宋_GB2312" w:cs="仿宋_GB2312"/>
          <w:bCs/>
          <w:sz w:val="28"/>
          <w:szCs w:val="28"/>
        </w:rPr>
        <w:t>。</w:t>
      </w:r>
      <w:r>
        <w:rPr>
          <w:rFonts w:ascii="仿宋_GB2312" w:hAnsi="仿宋_GB2312" w:cs="仿宋_GB2312" w:hint="eastAsia"/>
          <w:bCs/>
          <w:sz w:val="28"/>
          <w:szCs w:val="28"/>
        </w:rPr>
        <w:t>（5）</w:t>
      </w:r>
      <w:r>
        <w:rPr>
          <w:rFonts w:ascii="仿宋_GB2312" w:hAnsi="仿宋_GB2312" w:cs="仿宋_GB2312"/>
          <w:bCs/>
          <w:sz w:val="28"/>
          <w:szCs w:val="28"/>
        </w:rPr>
        <w:t>热力学第二定律，</w:t>
      </w:r>
      <w:r>
        <w:rPr>
          <w:rFonts w:ascii="仿宋_GB2312" w:hAnsi="仿宋_GB2312" w:cs="仿宋_GB2312" w:hint="eastAsia"/>
          <w:bCs/>
          <w:sz w:val="28"/>
          <w:szCs w:val="28"/>
        </w:rPr>
        <w:t>卡</w:t>
      </w:r>
      <w:r>
        <w:rPr>
          <w:rFonts w:ascii="仿宋_GB2312" w:hAnsi="仿宋_GB2312" w:cs="仿宋_GB2312"/>
          <w:bCs/>
          <w:sz w:val="28"/>
          <w:szCs w:val="28"/>
        </w:rPr>
        <w:t>诺循环与卡诺定理，熵方程</w:t>
      </w:r>
      <w:r>
        <w:rPr>
          <w:rFonts w:ascii="仿宋_GB2312" w:hAnsi="仿宋_GB2312" w:cs="仿宋_GB2312" w:hint="eastAsia"/>
          <w:bCs/>
          <w:sz w:val="28"/>
          <w:szCs w:val="28"/>
        </w:rPr>
        <w:t>，</w:t>
      </w:r>
      <w:r>
        <w:rPr>
          <w:rFonts w:ascii="仿宋_GB2312" w:hAnsi="仿宋_GB2312" w:cs="仿宋_GB2312"/>
          <w:bCs/>
          <w:sz w:val="28"/>
          <w:szCs w:val="28"/>
        </w:rPr>
        <w:t>做功能</w:t>
      </w:r>
      <w:r>
        <w:rPr>
          <w:rFonts w:ascii="仿宋_GB2312" w:hAnsi="仿宋_GB2312" w:cs="仿宋_GB2312" w:hint="eastAsia"/>
          <w:bCs/>
          <w:sz w:val="28"/>
          <w:szCs w:val="28"/>
        </w:rPr>
        <w:t>力与孤</w:t>
      </w:r>
      <w:r>
        <w:rPr>
          <w:rFonts w:ascii="仿宋_GB2312" w:hAnsi="仿宋_GB2312" w:cs="仿宋_GB2312"/>
          <w:bCs/>
          <w:sz w:val="28"/>
          <w:szCs w:val="28"/>
        </w:rPr>
        <w:t>立系统熵变</w:t>
      </w:r>
      <w:r>
        <w:rPr>
          <w:rFonts w:ascii="仿宋_GB2312" w:hAnsi="仿宋_GB2312" w:cs="仿宋_GB2312" w:hint="eastAsia"/>
          <w:bCs/>
          <w:sz w:val="28"/>
          <w:szCs w:val="28"/>
        </w:rPr>
        <w:t>。（</w:t>
      </w:r>
      <w:r>
        <w:rPr>
          <w:rFonts w:ascii="仿宋_GB2312" w:hAnsi="仿宋_GB2312" w:cs="仿宋_GB2312"/>
          <w:bCs/>
          <w:sz w:val="28"/>
          <w:szCs w:val="28"/>
        </w:rPr>
        <w:t>6</w:t>
      </w:r>
      <w:r>
        <w:rPr>
          <w:rFonts w:ascii="仿宋_GB2312" w:hAnsi="仿宋_GB2312" w:cs="仿宋_GB2312" w:hint="eastAsia"/>
          <w:bCs/>
          <w:sz w:val="28"/>
          <w:szCs w:val="28"/>
        </w:rPr>
        <w:t>）工质水</w:t>
      </w:r>
      <w:r>
        <w:rPr>
          <w:rFonts w:ascii="仿宋_GB2312" w:hAnsi="仿宋_GB2312" w:cs="仿宋_GB2312"/>
          <w:bCs/>
          <w:sz w:val="28"/>
          <w:szCs w:val="28"/>
        </w:rPr>
        <w:t>蒸汽</w:t>
      </w:r>
      <w:r>
        <w:rPr>
          <w:rFonts w:ascii="仿宋_GB2312" w:hAnsi="仿宋_GB2312" w:cs="仿宋_GB2312" w:hint="eastAsia"/>
          <w:bCs/>
          <w:sz w:val="28"/>
          <w:szCs w:val="28"/>
        </w:rPr>
        <w:t>、</w:t>
      </w:r>
      <w:r>
        <w:rPr>
          <w:rFonts w:ascii="仿宋_GB2312" w:hAnsi="仿宋_GB2312" w:cs="仿宋_GB2312"/>
          <w:bCs/>
          <w:sz w:val="28"/>
          <w:szCs w:val="28"/>
        </w:rPr>
        <w:t>湿空气</w:t>
      </w:r>
      <w:r>
        <w:rPr>
          <w:rFonts w:ascii="仿宋_GB2312" w:hAnsi="仿宋_GB2312" w:cs="仿宋_GB2312" w:hint="eastAsia"/>
          <w:bCs/>
          <w:sz w:val="28"/>
          <w:szCs w:val="28"/>
        </w:rPr>
        <w:t>的热力性质、</w:t>
      </w:r>
      <w:r>
        <w:rPr>
          <w:rFonts w:ascii="仿宋_GB2312" w:hAnsi="仿宋_GB2312" w:cs="仿宋_GB2312"/>
          <w:bCs/>
          <w:sz w:val="28"/>
          <w:szCs w:val="28"/>
        </w:rPr>
        <w:t>特点</w:t>
      </w:r>
      <w:r>
        <w:rPr>
          <w:rFonts w:ascii="仿宋_GB2312" w:hAnsi="仿宋_GB2312" w:cs="仿宋_GB2312" w:hint="eastAsia"/>
          <w:bCs/>
          <w:sz w:val="28"/>
          <w:szCs w:val="28"/>
        </w:rPr>
        <w:t>、</w:t>
      </w:r>
      <w:r>
        <w:rPr>
          <w:rFonts w:ascii="仿宋_GB2312" w:hAnsi="仿宋_GB2312" w:cs="仿宋_GB2312"/>
          <w:bCs/>
          <w:sz w:val="28"/>
          <w:szCs w:val="28"/>
        </w:rPr>
        <w:t>热力过程</w:t>
      </w:r>
      <w:r>
        <w:rPr>
          <w:rFonts w:ascii="仿宋_GB2312" w:hAnsi="仿宋_GB2312" w:cs="仿宋_GB2312" w:hint="eastAsia"/>
          <w:bCs/>
          <w:sz w:val="28"/>
          <w:szCs w:val="28"/>
        </w:rPr>
        <w:t>；水蒸汽</w:t>
      </w:r>
      <w:r>
        <w:rPr>
          <w:rFonts w:ascii="仿宋_GB2312" w:hAnsi="仿宋_GB2312" w:cs="仿宋_GB2312"/>
          <w:bCs/>
          <w:sz w:val="28"/>
          <w:szCs w:val="28"/>
        </w:rPr>
        <w:t>的</w:t>
      </w:r>
      <w:r>
        <w:rPr>
          <w:rFonts w:ascii="仿宋_GB2312" w:hAnsi="仿宋_GB2312" w:cs="仿宋_GB2312" w:hint="eastAsia"/>
          <w:bCs/>
          <w:sz w:val="28"/>
          <w:szCs w:val="28"/>
        </w:rPr>
        <w:t>热力</w:t>
      </w:r>
      <w:r>
        <w:rPr>
          <w:rFonts w:ascii="仿宋_GB2312" w:hAnsi="仿宋_GB2312" w:cs="仿宋_GB2312"/>
          <w:bCs/>
          <w:sz w:val="28"/>
          <w:szCs w:val="28"/>
        </w:rPr>
        <w:t>图表</w:t>
      </w:r>
      <w:r>
        <w:rPr>
          <w:rFonts w:ascii="仿宋_GB2312" w:hAnsi="仿宋_GB2312" w:cs="仿宋_GB2312" w:hint="eastAsia"/>
          <w:bCs/>
          <w:sz w:val="28"/>
          <w:szCs w:val="28"/>
        </w:rPr>
        <w:t>。（7</w:t>
      </w:r>
      <w:r>
        <w:rPr>
          <w:rFonts w:ascii="仿宋_GB2312" w:hAnsi="仿宋_GB2312" w:cs="仿宋_GB2312"/>
          <w:bCs/>
          <w:sz w:val="28"/>
          <w:szCs w:val="28"/>
        </w:rPr>
        <w:t>）</w:t>
      </w:r>
      <w:r>
        <w:rPr>
          <w:rFonts w:ascii="仿宋_GB2312" w:hAnsi="仿宋_GB2312" w:cs="仿宋_GB2312" w:hint="eastAsia"/>
          <w:bCs/>
          <w:sz w:val="28"/>
          <w:szCs w:val="28"/>
        </w:rPr>
        <w:t>气体</w:t>
      </w:r>
      <w:r>
        <w:rPr>
          <w:rFonts w:ascii="仿宋_GB2312" w:hAnsi="仿宋_GB2312" w:cs="仿宋_GB2312"/>
          <w:bCs/>
          <w:sz w:val="28"/>
          <w:szCs w:val="28"/>
        </w:rPr>
        <w:t>与蒸汽的流动特征与方程。</w:t>
      </w:r>
      <w:r>
        <w:rPr>
          <w:rFonts w:ascii="仿宋_GB2312" w:hAnsi="仿宋_GB2312" w:cs="仿宋_GB2312" w:hint="eastAsia"/>
          <w:bCs/>
          <w:sz w:val="28"/>
          <w:szCs w:val="28"/>
        </w:rPr>
        <w:t>（</w:t>
      </w:r>
      <w:r>
        <w:rPr>
          <w:rFonts w:ascii="仿宋_GB2312" w:hAnsi="仿宋_GB2312" w:cs="仿宋_GB2312"/>
          <w:bCs/>
          <w:sz w:val="28"/>
          <w:szCs w:val="28"/>
        </w:rPr>
        <w:t>8</w:t>
      </w:r>
      <w:r>
        <w:rPr>
          <w:rFonts w:ascii="仿宋_GB2312" w:hAnsi="仿宋_GB2312" w:cs="仿宋_GB2312" w:hint="eastAsia"/>
          <w:bCs/>
          <w:sz w:val="28"/>
          <w:szCs w:val="28"/>
        </w:rPr>
        <w:t>）动力循环</w:t>
      </w:r>
      <w:r>
        <w:rPr>
          <w:rFonts w:ascii="仿宋_GB2312" w:hAnsi="仿宋_GB2312" w:cs="仿宋_GB2312"/>
          <w:bCs/>
          <w:sz w:val="28"/>
          <w:szCs w:val="28"/>
        </w:rPr>
        <w:t>与制冷循环</w:t>
      </w:r>
      <w:r>
        <w:rPr>
          <w:rFonts w:ascii="仿宋_GB2312" w:hAnsi="仿宋_GB2312" w:cs="仿宋_GB2312" w:hint="eastAsia"/>
          <w:sz w:val="28"/>
          <w:szCs w:val="28"/>
        </w:rPr>
        <w:t>。</w:t>
      </w:r>
    </w:p>
    <w:p w:rsidR="00C10776" w:rsidRDefault="00C10776"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C10776" w:rsidRDefault="00C10776" w:rsidP="00C10776">
      <w:pPr>
        <w:spacing w:line="360" w:lineRule="auto"/>
        <w:ind w:leftChars="200" w:left="640" w:firstLineChars="200" w:firstLine="560"/>
        <w:rPr>
          <w:rFonts w:ascii="仿宋_GB2312" w:hAnsi="仿宋_GB2312" w:cs="仿宋_GB2312"/>
          <w:sz w:val="28"/>
          <w:szCs w:val="28"/>
        </w:rPr>
      </w:pPr>
      <w:r>
        <w:rPr>
          <w:rFonts w:ascii="仿宋_GB2312" w:hAnsi="仿宋_GB2312" w:cs="仿宋_GB2312" w:hint="eastAsia"/>
          <w:bCs/>
          <w:sz w:val="28"/>
          <w:szCs w:val="28"/>
        </w:rPr>
        <w:t>学生通过</w:t>
      </w:r>
      <w:r>
        <w:rPr>
          <w:rFonts w:ascii="仿宋_GB2312" w:hAnsi="仿宋_GB2312" w:cs="仿宋_GB2312"/>
          <w:bCs/>
          <w:sz w:val="28"/>
          <w:szCs w:val="28"/>
        </w:rPr>
        <w:t>工程热力学</w:t>
      </w:r>
      <w:r>
        <w:rPr>
          <w:rFonts w:ascii="仿宋_GB2312" w:hAnsi="仿宋_GB2312" w:cs="仿宋_GB2312" w:hint="eastAsia"/>
          <w:bCs/>
          <w:sz w:val="28"/>
          <w:szCs w:val="28"/>
        </w:rPr>
        <w:t>的</w:t>
      </w:r>
      <w:r>
        <w:rPr>
          <w:rFonts w:ascii="仿宋_GB2312" w:hAnsi="仿宋_GB2312" w:cs="仿宋_GB2312"/>
          <w:bCs/>
          <w:sz w:val="28"/>
          <w:szCs w:val="28"/>
        </w:rPr>
        <w:t>学习，</w:t>
      </w:r>
      <w:r>
        <w:rPr>
          <w:rFonts w:ascii="仿宋_GB2312" w:hAnsi="仿宋_GB2312" w:cs="仿宋_GB2312" w:hint="eastAsia"/>
          <w:bCs/>
          <w:sz w:val="28"/>
          <w:szCs w:val="28"/>
        </w:rPr>
        <w:t>（1</w:t>
      </w:r>
      <w:r>
        <w:rPr>
          <w:rFonts w:ascii="仿宋_GB2312" w:hAnsi="仿宋_GB2312" w:cs="仿宋_GB2312"/>
          <w:bCs/>
          <w:sz w:val="28"/>
          <w:szCs w:val="28"/>
        </w:rPr>
        <w:t>）可以正确</w:t>
      </w:r>
      <w:r>
        <w:rPr>
          <w:rFonts w:ascii="仿宋_GB2312" w:hAnsi="仿宋_GB2312" w:cs="仿宋_GB2312" w:hint="eastAsia"/>
          <w:bCs/>
          <w:sz w:val="28"/>
          <w:szCs w:val="28"/>
        </w:rPr>
        <w:t>建立热</w:t>
      </w:r>
      <w:r>
        <w:rPr>
          <w:rFonts w:ascii="仿宋_GB2312" w:hAnsi="仿宋_GB2312" w:cs="仿宋_GB2312"/>
          <w:bCs/>
          <w:sz w:val="28"/>
          <w:szCs w:val="28"/>
        </w:rPr>
        <w:t>力学的物理模型，</w:t>
      </w:r>
      <w:r>
        <w:rPr>
          <w:rFonts w:ascii="仿宋_GB2312" w:hAnsi="仿宋_GB2312" w:cs="仿宋_GB2312" w:hint="eastAsia"/>
          <w:bCs/>
          <w:sz w:val="28"/>
          <w:szCs w:val="28"/>
        </w:rPr>
        <w:t>熟练掌握热</w:t>
      </w:r>
      <w:r>
        <w:rPr>
          <w:rFonts w:ascii="仿宋_GB2312" w:hAnsi="仿宋_GB2312" w:cs="仿宋_GB2312"/>
          <w:bCs/>
          <w:sz w:val="28"/>
          <w:szCs w:val="28"/>
        </w:rPr>
        <w:t>力系统</w:t>
      </w:r>
      <w:r>
        <w:rPr>
          <w:rFonts w:ascii="仿宋_GB2312" w:hAnsi="仿宋_GB2312" w:cs="仿宋_GB2312" w:hint="eastAsia"/>
          <w:bCs/>
          <w:sz w:val="28"/>
          <w:szCs w:val="28"/>
        </w:rPr>
        <w:t>的划分；</w:t>
      </w:r>
      <w:r>
        <w:rPr>
          <w:rFonts w:ascii="仿宋_GB2312" w:hAnsi="仿宋_GB2312" w:cs="仿宋_GB2312"/>
          <w:bCs/>
          <w:sz w:val="28"/>
          <w:szCs w:val="28"/>
        </w:rPr>
        <w:t>（</w:t>
      </w:r>
      <w:r>
        <w:rPr>
          <w:rFonts w:ascii="仿宋_GB2312" w:hAnsi="仿宋_GB2312" w:cs="仿宋_GB2312" w:hint="eastAsia"/>
          <w:bCs/>
          <w:sz w:val="28"/>
          <w:szCs w:val="28"/>
        </w:rPr>
        <w:t>2</w:t>
      </w:r>
      <w:r>
        <w:rPr>
          <w:rFonts w:ascii="仿宋_GB2312" w:hAnsi="仿宋_GB2312" w:cs="仿宋_GB2312"/>
          <w:bCs/>
          <w:sz w:val="28"/>
          <w:szCs w:val="28"/>
        </w:rPr>
        <w:t>）</w:t>
      </w:r>
      <w:r>
        <w:rPr>
          <w:rFonts w:ascii="仿宋_GB2312" w:hAnsi="仿宋_GB2312" w:cs="仿宋_GB2312" w:hint="eastAsia"/>
          <w:bCs/>
          <w:sz w:val="28"/>
          <w:szCs w:val="28"/>
        </w:rPr>
        <w:t>掌握理想气体</w:t>
      </w:r>
      <w:r>
        <w:rPr>
          <w:rFonts w:ascii="仿宋_GB2312" w:hAnsi="仿宋_GB2312" w:cs="仿宋_GB2312"/>
          <w:bCs/>
          <w:sz w:val="28"/>
          <w:szCs w:val="28"/>
        </w:rPr>
        <w:t>、水蒸汽、湿空气等不同工质的</w:t>
      </w:r>
      <w:r>
        <w:rPr>
          <w:rFonts w:ascii="仿宋_GB2312" w:hAnsi="仿宋_GB2312" w:cs="仿宋_GB2312" w:hint="eastAsia"/>
          <w:bCs/>
          <w:sz w:val="28"/>
          <w:szCs w:val="28"/>
        </w:rPr>
        <w:t>热力</w:t>
      </w:r>
      <w:r>
        <w:rPr>
          <w:rFonts w:ascii="仿宋_GB2312" w:hAnsi="仿宋_GB2312" w:cs="仿宋_GB2312"/>
          <w:bCs/>
          <w:sz w:val="28"/>
          <w:szCs w:val="28"/>
        </w:rPr>
        <w:t>性质，</w:t>
      </w:r>
      <w:r>
        <w:rPr>
          <w:rFonts w:ascii="仿宋_GB2312" w:hAnsi="仿宋_GB2312" w:cs="仿宋_GB2312" w:hint="eastAsia"/>
          <w:bCs/>
          <w:sz w:val="28"/>
          <w:szCs w:val="28"/>
        </w:rPr>
        <w:t>能够</w:t>
      </w:r>
      <w:r>
        <w:rPr>
          <w:rFonts w:ascii="仿宋_GB2312" w:hAnsi="仿宋_GB2312" w:cs="仿宋_GB2312"/>
          <w:bCs/>
          <w:sz w:val="28"/>
          <w:szCs w:val="28"/>
        </w:rPr>
        <w:t>建立</w:t>
      </w:r>
      <w:r>
        <w:rPr>
          <w:rFonts w:ascii="仿宋_GB2312" w:hAnsi="仿宋_GB2312" w:cs="仿宋_GB2312" w:hint="eastAsia"/>
          <w:bCs/>
          <w:sz w:val="28"/>
          <w:szCs w:val="28"/>
        </w:rPr>
        <w:t>正确的特征</w:t>
      </w:r>
      <w:r>
        <w:rPr>
          <w:rFonts w:ascii="仿宋_GB2312" w:hAnsi="仿宋_GB2312" w:cs="仿宋_GB2312"/>
          <w:bCs/>
          <w:sz w:val="28"/>
          <w:szCs w:val="28"/>
        </w:rPr>
        <w:t>方程及能量方程</w:t>
      </w:r>
      <w:r>
        <w:rPr>
          <w:rFonts w:ascii="仿宋_GB2312" w:hAnsi="仿宋_GB2312" w:cs="仿宋_GB2312" w:hint="eastAsia"/>
          <w:bCs/>
          <w:sz w:val="28"/>
          <w:szCs w:val="28"/>
        </w:rPr>
        <w:t>；（3</w:t>
      </w:r>
      <w:r>
        <w:rPr>
          <w:rFonts w:ascii="仿宋_GB2312" w:hAnsi="仿宋_GB2312" w:cs="仿宋_GB2312"/>
          <w:bCs/>
          <w:sz w:val="28"/>
          <w:szCs w:val="28"/>
        </w:rPr>
        <w:t>）</w:t>
      </w:r>
      <w:r>
        <w:rPr>
          <w:rFonts w:ascii="仿宋_GB2312" w:hAnsi="仿宋_GB2312" w:cs="仿宋_GB2312" w:hint="eastAsia"/>
          <w:bCs/>
          <w:sz w:val="28"/>
          <w:szCs w:val="28"/>
        </w:rPr>
        <w:t>进而</w:t>
      </w:r>
      <w:r>
        <w:rPr>
          <w:rFonts w:ascii="仿宋_GB2312" w:hAnsi="仿宋_GB2312" w:cs="仿宋_GB2312"/>
          <w:bCs/>
          <w:sz w:val="28"/>
          <w:szCs w:val="28"/>
        </w:rPr>
        <w:t>通过数学方法解决问题</w:t>
      </w:r>
      <w:r>
        <w:rPr>
          <w:rFonts w:ascii="仿宋_GB2312" w:hAnsi="仿宋_GB2312" w:cs="仿宋_GB2312" w:hint="eastAsia"/>
          <w:bCs/>
          <w:sz w:val="28"/>
          <w:szCs w:val="28"/>
        </w:rPr>
        <w:t>，</w:t>
      </w:r>
      <w:r>
        <w:rPr>
          <w:rFonts w:ascii="仿宋_GB2312" w:hAnsi="仿宋_GB2312" w:cs="仿宋_GB2312"/>
          <w:bCs/>
          <w:sz w:val="28"/>
          <w:szCs w:val="28"/>
        </w:rPr>
        <w:t>为专业课的学习打</w:t>
      </w:r>
      <w:r>
        <w:rPr>
          <w:rFonts w:ascii="仿宋_GB2312" w:hAnsi="仿宋_GB2312" w:cs="仿宋_GB2312" w:hint="eastAsia"/>
          <w:bCs/>
          <w:sz w:val="28"/>
          <w:szCs w:val="28"/>
        </w:rPr>
        <w:t>好</w:t>
      </w:r>
      <w:r>
        <w:rPr>
          <w:rFonts w:ascii="仿宋_GB2312" w:hAnsi="仿宋_GB2312" w:cs="仿宋_GB2312"/>
          <w:bCs/>
          <w:sz w:val="28"/>
          <w:szCs w:val="28"/>
        </w:rPr>
        <w:t>坚实的基础。</w:t>
      </w:r>
      <w:r>
        <w:rPr>
          <w:rFonts w:ascii="仿宋_GB2312" w:hAnsi="仿宋_GB2312" w:cs="仿宋_GB2312" w:hint="eastAsia"/>
          <w:bCs/>
          <w:sz w:val="28"/>
          <w:szCs w:val="28"/>
        </w:rPr>
        <w:t>（4</w:t>
      </w:r>
      <w:r>
        <w:rPr>
          <w:rFonts w:ascii="仿宋_GB2312" w:hAnsi="仿宋_GB2312" w:cs="仿宋_GB2312"/>
          <w:bCs/>
          <w:sz w:val="28"/>
          <w:szCs w:val="28"/>
        </w:rPr>
        <w:t>）</w:t>
      </w:r>
      <w:r>
        <w:rPr>
          <w:rFonts w:ascii="仿宋_GB2312" w:hAnsi="仿宋_GB2312" w:cs="仿宋_GB2312" w:hint="eastAsia"/>
          <w:bCs/>
          <w:sz w:val="28"/>
          <w:szCs w:val="28"/>
        </w:rPr>
        <w:t>能够定性</w:t>
      </w:r>
      <w:r>
        <w:rPr>
          <w:rFonts w:ascii="仿宋_GB2312" w:hAnsi="仿宋_GB2312" w:cs="仿宋_GB2312"/>
          <w:bCs/>
          <w:sz w:val="28"/>
          <w:szCs w:val="28"/>
        </w:rPr>
        <w:t>的对</w:t>
      </w:r>
      <w:r>
        <w:rPr>
          <w:rFonts w:ascii="仿宋_GB2312" w:hAnsi="仿宋_GB2312" w:cs="仿宋_GB2312" w:hint="eastAsia"/>
          <w:bCs/>
          <w:sz w:val="28"/>
          <w:szCs w:val="28"/>
        </w:rPr>
        <w:t>多变</w:t>
      </w:r>
      <w:r>
        <w:rPr>
          <w:rFonts w:ascii="仿宋_GB2312" w:hAnsi="仿宋_GB2312" w:cs="仿宋_GB2312"/>
          <w:bCs/>
          <w:sz w:val="28"/>
          <w:szCs w:val="28"/>
        </w:rPr>
        <w:t>过程</w:t>
      </w:r>
      <w:r>
        <w:rPr>
          <w:rFonts w:ascii="仿宋_GB2312" w:hAnsi="仿宋_GB2312" w:cs="仿宋_GB2312" w:hint="eastAsia"/>
          <w:bCs/>
          <w:sz w:val="28"/>
          <w:szCs w:val="28"/>
        </w:rPr>
        <w:t>进行</w:t>
      </w:r>
      <w:r>
        <w:rPr>
          <w:rFonts w:ascii="仿宋_GB2312" w:hAnsi="仿宋_GB2312" w:cs="仿宋_GB2312"/>
          <w:bCs/>
          <w:sz w:val="28"/>
          <w:szCs w:val="28"/>
        </w:rPr>
        <w:t>综合分析</w:t>
      </w:r>
      <w:r>
        <w:rPr>
          <w:rFonts w:ascii="仿宋_GB2312" w:hAnsi="仿宋_GB2312" w:cs="仿宋_GB2312" w:hint="eastAsia"/>
          <w:bCs/>
          <w:sz w:val="28"/>
          <w:szCs w:val="28"/>
        </w:rPr>
        <w:t>，熟练</w:t>
      </w:r>
      <w:r>
        <w:rPr>
          <w:rFonts w:ascii="仿宋_GB2312" w:hAnsi="仿宋_GB2312" w:cs="仿宋_GB2312"/>
          <w:bCs/>
          <w:sz w:val="28"/>
          <w:szCs w:val="28"/>
        </w:rPr>
        <w:t>画出</w:t>
      </w:r>
      <w:r>
        <w:rPr>
          <w:rFonts w:ascii="仿宋_GB2312" w:hAnsi="仿宋_GB2312" w:cs="仿宋_GB2312" w:hint="eastAsia"/>
          <w:bCs/>
          <w:sz w:val="28"/>
          <w:szCs w:val="28"/>
        </w:rPr>
        <w:t>示</w:t>
      </w:r>
      <w:r>
        <w:rPr>
          <w:rFonts w:ascii="仿宋_GB2312" w:hAnsi="仿宋_GB2312" w:cs="仿宋_GB2312"/>
          <w:bCs/>
          <w:sz w:val="28"/>
          <w:szCs w:val="28"/>
        </w:rPr>
        <w:t>功图p-v</w:t>
      </w:r>
      <w:r>
        <w:rPr>
          <w:rFonts w:ascii="仿宋_GB2312" w:hAnsi="仿宋_GB2312" w:cs="仿宋_GB2312" w:hint="eastAsia"/>
          <w:bCs/>
          <w:sz w:val="28"/>
          <w:szCs w:val="28"/>
        </w:rPr>
        <w:t>图、示</w:t>
      </w:r>
      <w:r>
        <w:rPr>
          <w:rFonts w:ascii="仿宋_GB2312" w:hAnsi="仿宋_GB2312" w:cs="仿宋_GB2312"/>
          <w:bCs/>
          <w:sz w:val="28"/>
          <w:szCs w:val="28"/>
        </w:rPr>
        <w:t>热图T-s</w:t>
      </w:r>
      <w:r>
        <w:rPr>
          <w:rFonts w:ascii="仿宋_GB2312" w:hAnsi="仿宋_GB2312" w:cs="仿宋_GB2312" w:hint="eastAsia"/>
          <w:bCs/>
          <w:sz w:val="28"/>
          <w:szCs w:val="28"/>
        </w:rPr>
        <w:t>图</w:t>
      </w:r>
      <w:r>
        <w:rPr>
          <w:rFonts w:ascii="仿宋_GB2312" w:hAnsi="仿宋_GB2312" w:cs="仿宋_GB2312"/>
          <w:bCs/>
          <w:sz w:val="28"/>
          <w:szCs w:val="28"/>
        </w:rPr>
        <w:t>。</w:t>
      </w:r>
      <w:r>
        <w:rPr>
          <w:rFonts w:ascii="仿宋_GB2312" w:hAnsi="仿宋_GB2312" w:cs="仿宋_GB2312" w:hint="eastAsia"/>
          <w:bCs/>
          <w:sz w:val="28"/>
          <w:szCs w:val="28"/>
        </w:rPr>
        <w:t>（5）掌握卡</w:t>
      </w:r>
      <w:r>
        <w:rPr>
          <w:rFonts w:ascii="仿宋_GB2312" w:hAnsi="仿宋_GB2312" w:cs="仿宋_GB2312"/>
          <w:bCs/>
          <w:sz w:val="28"/>
          <w:szCs w:val="28"/>
        </w:rPr>
        <w:t>诺循环与卡诺定</w:t>
      </w:r>
      <w:r>
        <w:rPr>
          <w:rFonts w:ascii="仿宋_GB2312" w:hAnsi="仿宋_GB2312" w:cs="仿宋_GB2312"/>
          <w:bCs/>
          <w:sz w:val="28"/>
          <w:szCs w:val="28"/>
        </w:rPr>
        <w:lastRenderedPageBreak/>
        <w:t>理，</w:t>
      </w:r>
      <w:r>
        <w:rPr>
          <w:rFonts w:ascii="仿宋_GB2312" w:hAnsi="仿宋_GB2312" w:cs="仿宋_GB2312" w:hint="eastAsia"/>
          <w:bCs/>
          <w:sz w:val="28"/>
          <w:szCs w:val="28"/>
        </w:rPr>
        <w:t>掌握普通</w:t>
      </w:r>
      <w:r>
        <w:rPr>
          <w:rFonts w:ascii="仿宋_GB2312" w:hAnsi="仿宋_GB2312" w:cs="仿宋_GB2312"/>
          <w:bCs/>
          <w:sz w:val="28"/>
          <w:szCs w:val="28"/>
        </w:rPr>
        <w:t>热力</w:t>
      </w:r>
      <w:r>
        <w:rPr>
          <w:rFonts w:ascii="仿宋_GB2312" w:hAnsi="仿宋_GB2312" w:cs="仿宋_GB2312" w:hint="eastAsia"/>
          <w:bCs/>
          <w:sz w:val="28"/>
          <w:szCs w:val="28"/>
        </w:rPr>
        <w:t>循环的</w:t>
      </w:r>
      <w:r>
        <w:rPr>
          <w:rFonts w:ascii="仿宋_GB2312" w:hAnsi="仿宋_GB2312" w:cs="仿宋_GB2312"/>
          <w:bCs/>
          <w:sz w:val="28"/>
          <w:szCs w:val="28"/>
        </w:rPr>
        <w:t>热效率与卡诺</w:t>
      </w:r>
      <w:r>
        <w:rPr>
          <w:rFonts w:ascii="仿宋_GB2312" w:hAnsi="仿宋_GB2312" w:cs="仿宋_GB2312" w:hint="eastAsia"/>
          <w:bCs/>
          <w:sz w:val="28"/>
          <w:szCs w:val="28"/>
        </w:rPr>
        <w:t>循环热</w:t>
      </w:r>
      <w:r>
        <w:rPr>
          <w:rFonts w:ascii="仿宋_GB2312" w:hAnsi="仿宋_GB2312" w:cs="仿宋_GB2312"/>
          <w:bCs/>
          <w:sz w:val="28"/>
          <w:szCs w:val="28"/>
        </w:rPr>
        <w:t>效率的</w:t>
      </w:r>
      <w:r>
        <w:rPr>
          <w:rFonts w:ascii="仿宋_GB2312" w:hAnsi="仿宋_GB2312" w:cs="仿宋_GB2312" w:hint="eastAsia"/>
          <w:bCs/>
          <w:sz w:val="28"/>
          <w:szCs w:val="28"/>
        </w:rPr>
        <w:t>区别，</w:t>
      </w:r>
      <w:r>
        <w:rPr>
          <w:rFonts w:ascii="仿宋_GB2312" w:hAnsi="仿宋_GB2312" w:cs="仿宋_GB2312"/>
          <w:bCs/>
          <w:sz w:val="28"/>
          <w:szCs w:val="28"/>
        </w:rPr>
        <w:t>掌握熵</w:t>
      </w:r>
      <w:r>
        <w:rPr>
          <w:rFonts w:ascii="仿宋_GB2312" w:hAnsi="仿宋_GB2312" w:cs="仿宋_GB2312" w:hint="eastAsia"/>
          <w:bCs/>
          <w:sz w:val="28"/>
          <w:szCs w:val="28"/>
        </w:rPr>
        <w:t>参数</w:t>
      </w:r>
      <w:r>
        <w:rPr>
          <w:rFonts w:ascii="仿宋_GB2312" w:hAnsi="仿宋_GB2312" w:cs="仿宋_GB2312"/>
          <w:bCs/>
          <w:sz w:val="28"/>
          <w:szCs w:val="28"/>
        </w:rPr>
        <w:t>及熵方程</w:t>
      </w:r>
      <w:r>
        <w:rPr>
          <w:rFonts w:ascii="仿宋_GB2312" w:hAnsi="仿宋_GB2312" w:cs="仿宋_GB2312" w:hint="eastAsia"/>
          <w:bCs/>
          <w:sz w:val="28"/>
          <w:szCs w:val="28"/>
        </w:rPr>
        <w:t>，</w:t>
      </w:r>
      <w:r>
        <w:rPr>
          <w:rFonts w:ascii="仿宋_GB2312" w:hAnsi="仿宋_GB2312" w:cs="仿宋_GB2312"/>
          <w:bCs/>
          <w:sz w:val="28"/>
          <w:szCs w:val="28"/>
        </w:rPr>
        <w:t>掌握孤立系统熵增原理</w:t>
      </w:r>
      <w:r>
        <w:rPr>
          <w:rFonts w:ascii="仿宋_GB2312" w:hAnsi="仿宋_GB2312" w:cs="仿宋_GB2312" w:hint="eastAsia"/>
          <w:bCs/>
          <w:sz w:val="28"/>
          <w:szCs w:val="28"/>
        </w:rPr>
        <w:t>。（</w:t>
      </w:r>
      <w:r>
        <w:rPr>
          <w:rFonts w:ascii="仿宋_GB2312" w:hAnsi="仿宋_GB2312" w:cs="仿宋_GB2312"/>
          <w:bCs/>
          <w:sz w:val="28"/>
          <w:szCs w:val="28"/>
        </w:rPr>
        <w:t>6</w:t>
      </w:r>
      <w:r>
        <w:rPr>
          <w:rFonts w:ascii="仿宋_GB2312" w:hAnsi="仿宋_GB2312" w:cs="仿宋_GB2312" w:hint="eastAsia"/>
          <w:bCs/>
          <w:sz w:val="28"/>
          <w:szCs w:val="28"/>
        </w:rPr>
        <w:t>）学会水蒸汽h-s</w:t>
      </w:r>
      <w:r>
        <w:rPr>
          <w:rFonts w:ascii="仿宋_GB2312" w:hAnsi="仿宋_GB2312" w:cs="仿宋_GB2312"/>
          <w:bCs/>
          <w:sz w:val="28"/>
          <w:szCs w:val="28"/>
        </w:rPr>
        <w:t>图</w:t>
      </w:r>
      <w:r>
        <w:rPr>
          <w:rFonts w:ascii="仿宋_GB2312" w:hAnsi="仿宋_GB2312" w:cs="仿宋_GB2312" w:hint="eastAsia"/>
          <w:bCs/>
          <w:sz w:val="28"/>
          <w:szCs w:val="28"/>
        </w:rPr>
        <w:t>的</w:t>
      </w:r>
      <w:r>
        <w:rPr>
          <w:rFonts w:ascii="仿宋_GB2312" w:hAnsi="仿宋_GB2312" w:cs="仿宋_GB2312"/>
          <w:bCs/>
          <w:sz w:val="28"/>
          <w:szCs w:val="28"/>
        </w:rPr>
        <w:t>使用、</w:t>
      </w:r>
      <w:r>
        <w:rPr>
          <w:rFonts w:ascii="仿宋_GB2312" w:hAnsi="仿宋_GB2312" w:cs="仿宋_GB2312" w:hint="eastAsia"/>
          <w:bCs/>
          <w:sz w:val="28"/>
          <w:szCs w:val="28"/>
        </w:rPr>
        <w:t>掌握水</w:t>
      </w:r>
      <w:r>
        <w:rPr>
          <w:rFonts w:ascii="仿宋_GB2312" w:hAnsi="仿宋_GB2312" w:cs="仿宋_GB2312"/>
          <w:bCs/>
          <w:sz w:val="28"/>
          <w:szCs w:val="28"/>
        </w:rPr>
        <w:t>及</w:t>
      </w:r>
      <w:r>
        <w:rPr>
          <w:rFonts w:ascii="仿宋_GB2312" w:hAnsi="仿宋_GB2312" w:cs="仿宋_GB2312" w:hint="eastAsia"/>
          <w:bCs/>
          <w:sz w:val="28"/>
          <w:szCs w:val="28"/>
        </w:rPr>
        <w:t>水</w:t>
      </w:r>
      <w:r>
        <w:rPr>
          <w:rFonts w:ascii="仿宋_GB2312" w:hAnsi="仿宋_GB2312" w:cs="仿宋_GB2312"/>
          <w:bCs/>
          <w:sz w:val="28"/>
          <w:szCs w:val="28"/>
        </w:rPr>
        <w:t>蒸汽热力表</w:t>
      </w:r>
      <w:r>
        <w:rPr>
          <w:rFonts w:ascii="仿宋_GB2312" w:hAnsi="仿宋_GB2312" w:cs="仿宋_GB2312" w:hint="eastAsia"/>
          <w:bCs/>
          <w:sz w:val="28"/>
          <w:szCs w:val="28"/>
        </w:rPr>
        <w:t>的</w:t>
      </w:r>
      <w:r>
        <w:rPr>
          <w:rFonts w:ascii="仿宋_GB2312" w:hAnsi="仿宋_GB2312" w:cs="仿宋_GB2312"/>
          <w:bCs/>
          <w:sz w:val="28"/>
          <w:szCs w:val="28"/>
        </w:rPr>
        <w:t>使用</w:t>
      </w:r>
      <w:r>
        <w:rPr>
          <w:rFonts w:ascii="仿宋_GB2312" w:hAnsi="仿宋_GB2312" w:cs="仿宋_GB2312" w:hint="eastAsia"/>
          <w:bCs/>
          <w:sz w:val="28"/>
          <w:szCs w:val="28"/>
        </w:rPr>
        <w:t>、掌握制冷</w:t>
      </w:r>
      <w:r>
        <w:rPr>
          <w:rFonts w:ascii="仿宋_GB2312" w:hAnsi="仿宋_GB2312" w:cs="仿宋_GB2312"/>
          <w:bCs/>
          <w:sz w:val="28"/>
          <w:szCs w:val="28"/>
        </w:rPr>
        <w:t>剂</w:t>
      </w:r>
      <w:r>
        <w:rPr>
          <w:rFonts w:ascii="仿宋_GB2312" w:hAnsi="仿宋_GB2312" w:cs="仿宋_GB2312" w:hint="eastAsia"/>
          <w:bCs/>
          <w:sz w:val="28"/>
          <w:szCs w:val="28"/>
        </w:rPr>
        <w:t>p-h</w:t>
      </w:r>
      <w:r>
        <w:rPr>
          <w:rFonts w:ascii="仿宋_GB2312" w:hAnsi="仿宋_GB2312" w:cs="仿宋_GB2312"/>
          <w:bCs/>
          <w:sz w:val="28"/>
          <w:szCs w:val="28"/>
        </w:rPr>
        <w:t>图</w:t>
      </w:r>
      <w:r>
        <w:rPr>
          <w:rFonts w:ascii="仿宋_GB2312" w:hAnsi="仿宋_GB2312" w:cs="仿宋_GB2312" w:hint="eastAsia"/>
          <w:bCs/>
          <w:sz w:val="28"/>
          <w:szCs w:val="28"/>
        </w:rPr>
        <w:t>的</w:t>
      </w:r>
      <w:r>
        <w:rPr>
          <w:rFonts w:ascii="仿宋_GB2312" w:hAnsi="仿宋_GB2312" w:cs="仿宋_GB2312"/>
          <w:bCs/>
          <w:sz w:val="28"/>
          <w:szCs w:val="28"/>
        </w:rPr>
        <w:t>使用</w:t>
      </w:r>
      <w:r>
        <w:rPr>
          <w:rFonts w:ascii="仿宋_GB2312" w:hAnsi="仿宋_GB2312" w:cs="仿宋_GB2312" w:hint="eastAsia"/>
          <w:bCs/>
          <w:sz w:val="28"/>
          <w:szCs w:val="28"/>
        </w:rPr>
        <w:t>。（7</w:t>
      </w:r>
      <w:r>
        <w:rPr>
          <w:rFonts w:ascii="仿宋_GB2312" w:hAnsi="仿宋_GB2312" w:cs="仿宋_GB2312"/>
          <w:bCs/>
          <w:sz w:val="28"/>
          <w:szCs w:val="28"/>
        </w:rPr>
        <w:t>）</w:t>
      </w:r>
      <w:r>
        <w:rPr>
          <w:rFonts w:ascii="仿宋_GB2312" w:hAnsi="仿宋_GB2312" w:cs="仿宋_GB2312" w:hint="eastAsia"/>
          <w:bCs/>
          <w:sz w:val="28"/>
          <w:szCs w:val="28"/>
        </w:rPr>
        <w:t>搞</w:t>
      </w:r>
      <w:r>
        <w:rPr>
          <w:rFonts w:ascii="仿宋_GB2312" w:hAnsi="仿宋_GB2312" w:cs="仿宋_GB2312"/>
          <w:bCs/>
          <w:sz w:val="28"/>
          <w:szCs w:val="28"/>
        </w:rPr>
        <w:t>懂</w:t>
      </w:r>
      <w:r>
        <w:rPr>
          <w:rFonts w:ascii="仿宋_GB2312" w:hAnsi="仿宋_GB2312" w:cs="仿宋_GB2312" w:hint="eastAsia"/>
          <w:bCs/>
          <w:sz w:val="28"/>
          <w:szCs w:val="28"/>
        </w:rPr>
        <w:t>气体</w:t>
      </w:r>
      <w:r>
        <w:rPr>
          <w:rFonts w:ascii="仿宋_GB2312" w:hAnsi="仿宋_GB2312" w:cs="仿宋_GB2312"/>
          <w:bCs/>
          <w:sz w:val="28"/>
          <w:szCs w:val="28"/>
        </w:rPr>
        <w:t>与蒸汽的流动特征与方程。</w:t>
      </w:r>
      <w:r>
        <w:rPr>
          <w:rFonts w:ascii="仿宋_GB2312" w:hAnsi="仿宋_GB2312" w:cs="仿宋_GB2312" w:hint="eastAsia"/>
          <w:bCs/>
          <w:sz w:val="28"/>
          <w:szCs w:val="28"/>
        </w:rPr>
        <w:t>（</w:t>
      </w:r>
      <w:r>
        <w:rPr>
          <w:rFonts w:ascii="仿宋_GB2312" w:hAnsi="仿宋_GB2312" w:cs="仿宋_GB2312"/>
          <w:bCs/>
          <w:sz w:val="28"/>
          <w:szCs w:val="28"/>
        </w:rPr>
        <w:t>8</w:t>
      </w:r>
      <w:r>
        <w:rPr>
          <w:rFonts w:ascii="仿宋_GB2312" w:hAnsi="仿宋_GB2312" w:cs="仿宋_GB2312" w:hint="eastAsia"/>
          <w:bCs/>
          <w:sz w:val="28"/>
          <w:szCs w:val="28"/>
        </w:rPr>
        <w:t>）掌握基本动力循环、</w:t>
      </w:r>
      <w:r>
        <w:rPr>
          <w:rFonts w:ascii="仿宋_GB2312" w:hAnsi="仿宋_GB2312" w:cs="仿宋_GB2312"/>
          <w:bCs/>
          <w:sz w:val="28"/>
          <w:szCs w:val="28"/>
        </w:rPr>
        <w:t>制冷循环</w:t>
      </w:r>
      <w:r>
        <w:rPr>
          <w:rFonts w:ascii="仿宋_GB2312" w:hAnsi="仿宋_GB2312" w:cs="仿宋_GB2312" w:hint="eastAsia"/>
          <w:bCs/>
          <w:sz w:val="28"/>
          <w:szCs w:val="28"/>
        </w:rPr>
        <w:t>的</w:t>
      </w:r>
      <w:r>
        <w:rPr>
          <w:rFonts w:ascii="仿宋_GB2312" w:hAnsi="仿宋_GB2312" w:cs="仿宋_GB2312"/>
          <w:bCs/>
          <w:sz w:val="28"/>
          <w:szCs w:val="28"/>
        </w:rPr>
        <w:t>流程工作原理，能够进行热力计算</w:t>
      </w:r>
      <w:r>
        <w:rPr>
          <w:rFonts w:ascii="仿宋_GB2312" w:hAnsi="仿宋_GB2312" w:cs="仿宋_GB2312" w:hint="eastAsia"/>
          <w:sz w:val="28"/>
          <w:szCs w:val="28"/>
        </w:rPr>
        <w:t>。</w:t>
      </w:r>
    </w:p>
    <w:p w:rsidR="00C10776" w:rsidRDefault="00C10776" w:rsidP="00C10776">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425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941"/>
        <w:gridCol w:w="1417"/>
      </w:tblGrid>
      <w:tr w:rsidR="00C10776" w:rsidTr="00C10776">
        <w:trPr>
          <w:cantSplit/>
          <w:trHeight w:val="785"/>
        </w:trPr>
        <w:tc>
          <w:tcPr>
            <w:tcW w:w="2835" w:type="dxa"/>
            <w:gridSpan w:val="2"/>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课程目标</w:t>
            </w:r>
          </w:p>
        </w:tc>
        <w:tc>
          <w:tcPr>
            <w:tcW w:w="1417"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毕业要</w:t>
            </w:r>
            <w:r>
              <w:rPr>
                <w:rFonts w:ascii="Times New Roman" w:hAnsi="Times New Roman"/>
                <w:kern w:val="0"/>
                <w:sz w:val="20"/>
                <w:szCs w:val="20"/>
              </w:rPr>
              <w:t>求</w:t>
            </w:r>
          </w:p>
        </w:tc>
      </w:tr>
      <w:tr w:rsidR="00C10776" w:rsidTr="00C10776">
        <w:trPr>
          <w:trHeight w:val="94"/>
        </w:trPr>
        <w:tc>
          <w:tcPr>
            <w:tcW w:w="1894" w:type="dxa"/>
            <w:vMerge w:val="restart"/>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工程知识</w:t>
            </w: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1.1</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H</w:t>
            </w:r>
          </w:p>
        </w:tc>
      </w:tr>
      <w:tr w:rsidR="00C10776" w:rsidTr="00C10776">
        <w:trPr>
          <w:trHeight w:val="157"/>
        </w:trPr>
        <w:tc>
          <w:tcPr>
            <w:tcW w:w="1894" w:type="dxa"/>
            <w:vMerge/>
            <w:vAlign w:val="center"/>
          </w:tcPr>
          <w:p w:rsidR="00C10776" w:rsidRDefault="00C10776" w:rsidP="00C10776">
            <w:pPr>
              <w:rPr>
                <w:rFonts w:ascii="Times New Roman" w:hAnsi="Times New Roman"/>
                <w:kern w:val="0"/>
                <w:sz w:val="20"/>
                <w:szCs w:val="20"/>
              </w:rPr>
            </w:pP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1.2</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H</w:t>
            </w:r>
          </w:p>
        </w:tc>
      </w:tr>
      <w:tr w:rsidR="00C10776" w:rsidTr="00C10776">
        <w:trPr>
          <w:trHeight w:val="250"/>
        </w:trPr>
        <w:tc>
          <w:tcPr>
            <w:tcW w:w="1894" w:type="dxa"/>
            <w:vMerge/>
            <w:vAlign w:val="center"/>
          </w:tcPr>
          <w:p w:rsidR="00C10776" w:rsidRDefault="00C10776" w:rsidP="00C10776">
            <w:pPr>
              <w:rPr>
                <w:rFonts w:ascii="Times New Roman" w:hAnsi="Times New Roman"/>
                <w:kern w:val="0"/>
                <w:sz w:val="20"/>
                <w:szCs w:val="20"/>
              </w:rPr>
            </w:pP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1.3</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H</w:t>
            </w:r>
          </w:p>
        </w:tc>
      </w:tr>
      <w:tr w:rsidR="00C10776" w:rsidTr="00C10776">
        <w:trPr>
          <w:trHeight w:val="118"/>
        </w:trPr>
        <w:tc>
          <w:tcPr>
            <w:tcW w:w="1894" w:type="dxa"/>
            <w:vMerge w:val="restart"/>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问题分析</w:t>
            </w: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2.1</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H</w:t>
            </w:r>
          </w:p>
        </w:tc>
      </w:tr>
      <w:tr w:rsidR="00C10776" w:rsidTr="00C10776">
        <w:trPr>
          <w:trHeight w:val="89"/>
        </w:trPr>
        <w:tc>
          <w:tcPr>
            <w:tcW w:w="1894" w:type="dxa"/>
            <w:vMerge/>
            <w:vAlign w:val="center"/>
          </w:tcPr>
          <w:p w:rsidR="00C10776" w:rsidRDefault="00C10776" w:rsidP="00C10776">
            <w:pPr>
              <w:rPr>
                <w:rFonts w:ascii="Times New Roman" w:hAnsi="Times New Roman"/>
                <w:kern w:val="0"/>
                <w:sz w:val="20"/>
                <w:szCs w:val="20"/>
              </w:rPr>
            </w:pP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2.2</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H</w:t>
            </w:r>
          </w:p>
        </w:tc>
      </w:tr>
      <w:tr w:rsidR="00C10776" w:rsidTr="00C10776">
        <w:trPr>
          <w:trHeight w:val="125"/>
        </w:trPr>
        <w:tc>
          <w:tcPr>
            <w:tcW w:w="1894" w:type="dxa"/>
            <w:vMerge/>
            <w:vAlign w:val="center"/>
          </w:tcPr>
          <w:p w:rsidR="00C10776" w:rsidRDefault="00C10776" w:rsidP="00C10776">
            <w:pPr>
              <w:rPr>
                <w:rFonts w:ascii="Times New Roman" w:hAnsi="Times New Roman"/>
                <w:kern w:val="0"/>
                <w:sz w:val="20"/>
                <w:szCs w:val="20"/>
              </w:rPr>
            </w:pP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2.3</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H</w:t>
            </w:r>
          </w:p>
        </w:tc>
      </w:tr>
      <w:tr w:rsidR="00C10776" w:rsidTr="00C10776">
        <w:trPr>
          <w:trHeight w:val="190"/>
        </w:trPr>
        <w:tc>
          <w:tcPr>
            <w:tcW w:w="1894" w:type="dxa"/>
            <w:vMerge w:val="restart"/>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设计</w:t>
            </w:r>
            <w:r>
              <w:rPr>
                <w:rFonts w:ascii="Times New Roman" w:hAnsi="Times New Roman" w:hint="eastAsia"/>
                <w:kern w:val="0"/>
                <w:sz w:val="20"/>
                <w:szCs w:val="20"/>
              </w:rPr>
              <w:t>/</w:t>
            </w:r>
            <w:r>
              <w:rPr>
                <w:rFonts w:ascii="Times New Roman" w:hAnsi="Times New Roman" w:hint="eastAsia"/>
                <w:kern w:val="0"/>
                <w:sz w:val="20"/>
                <w:szCs w:val="20"/>
              </w:rPr>
              <w:t>开发解决方案</w:t>
            </w: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3.1</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M</w:t>
            </w:r>
          </w:p>
        </w:tc>
      </w:tr>
      <w:tr w:rsidR="00C10776" w:rsidTr="00C10776">
        <w:trPr>
          <w:trHeight w:val="125"/>
        </w:trPr>
        <w:tc>
          <w:tcPr>
            <w:tcW w:w="1894" w:type="dxa"/>
            <w:vMerge/>
            <w:vAlign w:val="center"/>
          </w:tcPr>
          <w:p w:rsidR="00C10776" w:rsidRDefault="00C10776" w:rsidP="00C10776">
            <w:pPr>
              <w:rPr>
                <w:rFonts w:ascii="Times New Roman" w:hAnsi="Times New Roman"/>
                <w:kern w:val="0"/>
                <w:sz w:val="20"/>
                <w:szCs w:val="20"/>
              </w:rPr>
            </w:pP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3.2</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M</w:t>
            </w:r>
          </w:p>
        </w:tc>
      </w:tr>
      <w:tr w:rsidR="00C10776" w:rsidTr="00C10776">
        <w:trPr>
          <w:trHeight w:val="172"/>
        </w:trPr>
        <w:tc>
          <w:tcPr>
            <w:tcW w:w="1894" w:type="dxa"/>
            <w:vMerge/>
            <w:vAlign w:val="center"/>
          </w:tcPr>
          <w:p w:rsidR="00C10776" w:rsidRDefault="00C10776" w:rsidP="00C10776">
            <w:pPr>
              <w:rPr>
                <w:rFonts w:ascii="Times New Roman" w:hAnsi="Times New Roman"/>
                <w:kern w:val="0"/>
                <w:sz w:val="20"/>
                <w:szCs w:val="20"/>
              </w:rPr>
            </w:pP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3.3</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M</w:t>
            </w:r>
          </w:p>
        </w:tc>
      </w:tr>
      <w:tr w:rsidR="00C10776" w:rsidTr="00C10776">
        <w:trPr>
          <w:trHeight w:val="89"/>
        </w:trPr>
        <w:tc>
          <w:tcPr>
            <w:tcW w:w="1894" w:type="dxa"/>
            <w:vMerge w:val="restart"/>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研究</w:t>
            </w: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4.1</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H</w:t>
            </w:r>
          </w:p>
        </w:tc>
      </w:tr>
      <w:tr w:rsidR="00C10776" w:rsidTr="00C10776">
        <w:trPr>
          <w:trHeight w:val="125"/>
        </w:trPr>
        <w:tc>
          <w:tcPr>
            <w:tcW w:w="1894" w:type="dxa"/>
            <w:vMerge/>
            <w:vAlign w:val="center"/>
          </w:tcPr>
          <w:p w:rsidR="00C10776" w:rsidRDefault="00C10776" w:rsidP="00C10776">
            <w:pPr>
              <w:rPr>
                <w:rFonts w:ascii="Times New Roman" w:hAnsi="Times New Roman"/>
                <w:kern w:val="0"/>
                <w:sz w:val="20"/>
                <w:szCs w:val="20"/>
              </w:rPr>
            </w:pP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4.2</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H</w:t>
            </w:r>
          </w:p>
        </w:tc>
      </w:tr>
      <w:tr w:rsidR="00C10776" w:rsidTr="00C10776">
        <w:trPr>
          <w:trHeight w:val="136"/>
        </w:trPr>
        <w:tc>
          <w:tcPr>
            <w:tcW w:w="1894" w:type="dxa"/>
            <w:vMerge/>
            <w:vAlign w:val="center"/>
          </w:tcPr>
          <w:p w:rsidR="00C10776" w:rsidRDefault="00C10776" w:rsidP="00C10776">
            <w:pPr>
              <w:rPr>
                <w:rFonts w:ascii="Times New Roman" w:hAnsi="Times New Roman"/>
                <w:kern w:val="0"/>
                <w:sz w:val="20"/>
                <w:szCs w:val="20"/>
              </w:rPr>
            </w:pP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4.3</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H</w:t>
            </w:r>
          </w:p>
        </w:tc>
      </w:tr>
      <w:tr w:rsidR="00C10776" w:rsidTr="00C10776">
        <w:trPr>
          <w:trHeight w:val="208"/>
        </w:trPr>
        <w:tc>
          <w:tcPr>
            <w:tcW w:w="1894"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使用现代工具</w:t>
            </w:r>
          </w:p>
        </w:tc>
        <w:tc>
          <w:tcPr>
            <w:tcW w:w="941" w:type="dxa"/>
            <w:vAlign w:val="center"/>
          </w:tcPr>
          <w:p w:rsidR="00C10776" w:rsidRDefault="00C10776" w:rsidP="00C10776">
            <w:pPr>
              <w:rPr>
                <w:rFonts w:ascii="Times New Roman" w:hAnsi="Times New Roman"/>
                <w:kern w:val="0"/>
                <w:sz w:val="20"/>
                <w:szCs w:val="20"/>
              </w:rPr>
            </w:pPr>
          </w:p>
        </w:tc>
        <w:tc>
          <w:tcPr>
            <w:tcW w:w="1417" w:type="dxa"/>
            <w:vAlign w:val="center"/>
          </w:tcPr>
          <w:p w:rsidR="00C10776" w:rsidRDefault="00C10776" w:rsidP="00C10776">
            <w:pPr>
              <w:rPr>
                <w:rFonts w:ascii="Times New Roman" w:hAnsi="Times New Roman"/>
                <w:kern w:val="0"/>
                <w:sz w:val="20"/>
                <w:szCs w:val="20"/>
              </w:rPr>
            </w:pPr>
          </w:p>
        </w:tc>
      </w:tr>
      <w:tr w:rsidR="00C10776" w:rsidTr="00C10776">
        <w:trPr>
          <w:trHeight w:val="208"/>
        </w:trPr>
        <w:tc>
          <w:tcPr>
            <w:tcW w:w="1894"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hint="eastAsia"/>
                <w:kern w:val="0"/>
                <w:sz w:val="20"/>
                <w:szCs w:val="20"/>
              </w:rPr>
              <w:t>工程与社会</w:t>
            </w:r>
          </w:p>
        </w:tc>
        <w:tc>
          <w:tcPr>
            <w:tcW w:w="941" w:type="dxa"/>
            <w:vAlign w:val="center"/>
          </w:tcPr>
          <w:p w:rsidR="00C10776" w:rsidRDefault="00C10776" w:rsidP="00C10776">
            <w:pPr>
              <w:rPr>
                <w:rFonts w:ascii="Times New Roman" w:hAnsi="Times New Roman"/>
                <w:kern w:val="0"/>
                <w:sz w:val="20"/>
                <w:szCs w:val="20"/>
              </w:rPr>
            </w:pPr>
          </w:p>
        </w:tc>
        <w:tc>
          <w:tcPr>
            <w:tcW w:w="1417" w:type="dxa"/>
            <w:vAlign w:val="center"/>
          </w:tcPr>
          <w:p w:rsidR="00C10776" w:rsidRDefault="00C10776" w:rsidP="00C10776">
            <w:pPr>
              <w:rPr>
                <w:rFonts w:ascii="Times New Roman" w:hAnsi="Times New Roman"/>
                <w:kern w:val="0"/>
                <w:sz w:val="20"/>
                <w:szCs w:val="20"/>
              </w:rPr>
            </w:pPr>
          </w:p>
        </w:tc>
      </w:tr>
      <w:tr w:rsidR="00C10776" w:rsidTr="00C10776">
        <w:trPr>
          <w:trHeight w:val="159"/>
        </w:trPr>
        <w:tc>
          <w:tcPr>
            <w:tcW w:w="1894" w:type="dxa"/>
            <w:vMerge w:val="restart"/>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7.</w:t>
            </w:r>
            <w:r>
              <w:rPr>
                <w:rFonts w:ascii="Times New Roman" w:hAnsi="Times New Roman" w:hint="eastAsia"/>
                <w:kern w:val="0"/>
                <w:sz w:val="20"/>
                <w:szCs w:val="20"/>
              </w:rPr>
              <w:t>环境和可持续发展</w:t>
            </w: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7.1</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M</w:t>
            </w:r>
          </w:p>
        </w:tc>
      </w:tr>
      <w:tr w:rsidR="00C10776" w:rsidTr="00C10776">
        <w:trPr>
          <w:trHeight w:val="225"/>
        </w:trPr>
        <w:tc>
          <w:tcPr>
            <w:tcW w:w="1894" w:type="dxa"/>
            <w:vMerge/>
            <w:vAlign w:val="center"/>
          </w:tcPr>
          <w:p w:rsidR="00C10776" w:rsidRDefault="00C10776" w:rsidP="00C10776">
            <w:pPr>
              <w:rPr>
                <w:rFonts w:ascii="Times New Roman" w:hAnsi="Times New Roman"/>
                <w:kern w:val="0"/>
                <w:sz w:val="20"/>
                <w:szCs w:val="20"/>
              </w:rPr>
            </w:pP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7.2</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M</w:t>
            </w:r>
          </w:p>
        </w:tc>
      </w:tr>
      <w:tr w:rsidR="00C10776" w:rsidTr="00C10776">
        <w:trPr>
          <w:trHeight w:val="297"/>
        </w:trPr>
        <w:tc>
          <w:tcPr>
            <w:tcW w:w="1894"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8.</w:t>
            </w:r>
            <w:r>
              <w:rPr>
                <w:rFonts w:ascii="Times New Roman" w:hAnsi="Times New Roman" w:hint="eastAsia"/>
                <w:kern w:val="0"/>
                <w:sz w:val="20"/>
                <w:szCs w:val="20"/>
              </w:rPr>
              <w:t>职业规范</w:t>
            </w:r>
          </w:p>
        </w:tc>
        <w:tc>
          <w:tcPr>
            <w:tcW w:w="941" w:type="dxa"/>
            <w:vAlign w:val="center"/>
          </w:tcPr>
          <w:p w:rsidR="00C10776" w:rsidRDefault="00C10776" w:rsidP="00C10776">
            <w:pPr>
              <w:rPr>
                <w:rFonts w:ascii="Times New Roman" w:hAnsi="Times New Roman"/>
                <w:kern w:val="0"/>
                <w:sz w:val="20"/>
                <w:szCs w:val="20"/>
              </w:rPr>
            </w:pPr>
          </w:p>
        </w:tc>
        <w:tc>
          <w:tcPr>
            <w:tcW w:w="1417" w:type="dxa"/>
            <w:vAlign w:val="center"/>
          </w:tcPr>
          <w:p w:rsidR="00C10776" w:rsidRDefault="00C10776" w:rsidP="00C10776">
            <w:pPr>
              <w:rPr>
                <w:rFonts w:ascii="Times New Roman" w:hAnsi="Times New Roman"/>
                <w:kern w:val="0"/>
                <w:sz w:val="20"/>
                <w:szCs w:val="20"/>
              </w:rPr>
            </w:pPr>
          </w:p>
        </w:tc>
      </w:tr>
      <w:tr w:rsidR="00C10776" w:rsidTr="00C10776">
        <w:trPr>
          <w:trHeight w:val="408"/>
        </w:trPr>
        <w:tc>
          <w:tcPr>
            <w:tcW w:w="1894"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hint="eastAsia"/>
                <w:kern w:val="0"/>
                <w:sz w:val="20"/>
                <w:szCs w:val="20"/>
              </w:rPr>
              <w:t>个人和团队</w:t>
            </w:r>
          </w:p>
        </w:tc>
        <w:tc>
          <w:tcPr>
            <w:tcW w:w="941" w:type="dxa"/>
            <w:vAlign w:val="center"/>
          </w:tcPr>
          <w:p w:rsidR="00C10776" w:rsidRDefault="00C10776" w:rsidP="00C10776">
            <w:pPr>
              <w:rPr>
                <w:rFonts w:ascii="Times New Roman" w:hAnsi="Times New Roman"/>
                <w:kern w:val="0"/>
                <w:sz w:val="20"/>
                <w:szCs w:val="20"/>
              </w:rPr>
            </w:pPr>
          </w:p>
        </w:tc>
        <w:tc>
          <w:tcPr>
            <w:tcW w:w="1417" w:type="dxa"/>
            <w:vAlign w:val="center"/>
          </w:tcPr>
          <w:p w:rsidR="00C10776" w:rsidRDefault="00C10776" w:rsidP="00C10776">
            <w:pPr>
              <w:rPr>
                <w:rFonts w:ascii="Times New Roman" w:hAnsi="Times New Roman"/>
                <w:kern w:val="0"/>
                <w:sz w:val="20"/>
                <w:szCs w:val="20"/>
              </w:rPr>
            </w:pPr>
          </w:p>
        </w:tc>
      </w:tr>
      <w:tr w:rsidR="00C10776" w:rsidTr="00C10776">
        <w:trPr>
          <w:trHeight w:val="293"/>
        </w:trPr>
        <w:tc>
          <w:tcPr>
            <w:tcW w:w="1894"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10.</w:t>
            </w:r>
            <w:r>
              <w:rPr>
                <w:rFonts w:ascii="Times New Roman" w:hAnsi="Times New Roman" w:hint="eastAsia"/>
                <w:kern w:val="0"/>
                <w:sz w:val="20"/>
                <w:szCs w:val="20"/>
              </w:rPr>
              <w:t>沟通</w:t>
            </w:r>
          </w:p>
        </w:tc>
        <w:tc>
          <w:tcPr>
            <w:tcW w:w="941" w:type="dxa"/>
            <w:vAlign w:val="center"/>
          </w:tcPr>
          <w:p w:rsidR="00C10776" w:rsidRDefault="00C10776" w:rsidP="00C10776">
            <w:pPr>
              <w:rPr>
                <w:rFonts w:ascii="Times New Roman" w:hAnsi="Times New Roman"/>
                <w:kern w:val="0"/>
                <w:sz w:val="20"/>
                <w:szCs w:val="20"/>
              </w:rPr>
            </w:pPr>
          </w:p>
        </w:tc>
        <w:tc>
          <w:tcPr>
            <w:tcW w:w="1417" w:type="dxa"/>
            <w:vAlign w:val="center"/>
          </w:tcPr>
          <w:p w:rsidR="00C10776" w:rsidRDefault="00C10776" w:rsidP="00C10776">
            <w:pPr>
              <w:rPr>
                <w:rFonts w:ascii="Times New Roman" w:hAnsi="Times New Roman"/>
                <w:kern w:val="0"/>
                <w:sz w:val="20"/>
                <w:szCs w:val="20"/>
              </w:rPr>
            </w:pPr>
          </w:p>
        </w:tc>
      </w:tr>
      <w:tr w:rsidR="00C10776" w:rsidTr="00C10776">
        <w:trPr>
          <w:trHeight w:val="238"/>
        </w:trPr>
        <w:tc>
          <w:tcPr>
            <w:tcW w:w="1894"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11.</w:t>
            </w:r>
            <w:r>
              <w:rPr>
                <w:rFonts w:ascii="Times New Roman" w:hAnsi="Times New Roman" w:hint="eastAsia"/>
                <w:kern w:val="0"/>
                <w:sz w:val="20"/>
                <w:szCs w:val="20"/>
              </w:rPr>
              <w:t>项目管理</w:t>
            </w:r>
          </w:p>
        </w:tc>
        <w:tc>
          <w:tcPr>
            <w:tcW w:w="941" w:type="dxa"/>
            <w:vAlign w:val="center"/>
          </w:tcPr>
          <w:p w:rsidR="00C10776" w:rsidRDefault="00C10776" w:rsidP="00C10776">
            <w:pPr>
              <w:rPr>
                <w:rFonts w:ascii="Times New Roman" w:hAnsi="Times New Roman"/>
                <w:kern w:val="0"/>
                <w:sz w:val="20"/>
                <w:szCs w:val="20"/>
              </w:rPr>
            </w:pPr>
          </w:p>
        </w:tc>
        <w:tc>
          <w:tcPr>
            <w:tcW w:w="1417" w:type="dxa"/>
            <w:vAlign w:val="center"/>
          </w:tcPr>
          <w:p w:rsidR="00C10776" w:rsidRDefault="00C10776" w:rsidP="00C10776">
            <w:pPr>
              <w:rPr>
                <w:rFonts w:ascii="Times New Roman" w:hAnsi="Times New Roman"/>
                <w:kern w:val="0"/>
                <w:sz w:val="20"/>
                <w:szCs w:val="20"/>
              </w:rPr>
            </w:pPr>
          </w:p>
        </w:tc>
      </w:tr>
      <w:tr w:rsidR="00C10776" w:rsidTr="00C10776">
        <w:trPr>
          <w:trHeight w:val="319"/>
        </w:trPr>
        <w:tc>
          <w:tcPr>
            <w:tcW w:w="1894" w:type="dxa"/>
            <w:vMerge w:val="restart"/>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12.</w:t>
            </w:r>
            <w:r>
              <w:rPr>
                <w:rFonts w:ascii="Times New Roman" w:hAnsi="Times New Roman" w:hint="eastAsia"/>
                <w:kern w:val="0"/>
                <w:sz w:val="20"/>
                <w:szCs w:val="20"/>
              </w:rPr>
              <w:t>终身学习</w:t>
            </w: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12.1</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M</w:t>
            </w:r>
          </w:p>
        </w:tc>
      </w:tr>
      <w:tr w:rsidR="00C10776" w:rsidTr="00C10776">
        <w:trPr>
          <w:trHeight w:val="109"/>
        </w:trPr>
        <w:tc>
          <w:tcPr>
            <w:tcW w:w="1894" w:type="dxa"/>
            <w:vMerge/>
            <w:vAlign w:val="center"/>
          </w:tcPr>
          <w:p w:rsidR="00C10776" w:rsidRDefault="00C10776" w:rsidP="00C10776">
            <w:pPr>
              <w:rPr>
                <w:rFonts w:ascii="Times New Roman" w:hAnsi="Times New Roman"/>
                <w:kern w:val="0"/>
                <w:sz w:val="20"/>
                <w:szCs w:val="20"/>
              </w:rPr>
            </w:pPr>
          </w:p>
        </w:tc>
        <w:tc>
          <w:tcPr>
            <w:tcW w:w="941"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12.2</w:t>
            </w:r>
          </w:p>
        </w:tc>
        <w:tc>
          <w:tcPr>
            <w:tcW w:w="1417"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M</w:t>
            </w:r>
          </w:p>
        </w:tc>
      </w:tr>
    </w:tbl>
    <w:p w:rsidR="00C10776" w:rsidRDefault="00C10776" w:rsidP="00C10776">
      <w:pPr>
        <w:spacing w:line="360" w:lineRule="auto"/>
        <w:rPr>
          <w:rFonts w:ascii="仿宋_GB2312" w:hAnsi="仿宋_GB2312" w:cs="仿宋_GB2312"/>
          <w:b/>
          <w:color w:val="FF0000"/>
          <w:sz w:val="28"/>
          <w:szCs w:val="28"/>
        </w:rPr>
      </w:pPr>
      <w:r>
        <w:rPr>
          <w:rFonts w:ascii="仿宋_GB2312" w:hAnsi="仿宋_GB2312" w:cs="仿宋_GB2312" w:hint="eastAsia"/>
          <w:b/>
          <w:color w:val="FF0000"/>
          <w:sz w:val="28"/>
          <w:szCs w:val="28"/>
        </w:rPr>
        <w:t xml:space="preserve"> </w:t>
      </w:r>
      <w:r>
        <w:rPr>
          <w:rFonts w:ascii="仿宋_GB2312" w:hAnsi="仿宋_GB2312" w:cs="仿宋_GB2312"/>
          <w:b/>
          <w:color w:val="FF0000"/>
          <w:sz w:val="28"/>
          <w:szCs w:val="28"/>
        </w:rPr>
        <w:t xml:space="preserve"> </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10776" w:rsidRDefault="00C10776" w:rsidP="00C10776">
      <w:pPr>
        <w:spacing w:line="360" w:lineRule="auto"/>
        <w:ind w:leftChars="200" w:left="1480" w:hangingChars="300" w:hanging="840"/>
        <w:rPr>
          <w:rFonts w:ascii="仿宋_GB2312" w:hAnsi="仿宋_GB2312" w:cs="仿宋_GB2312"/>
          <w:sz w:val="28"/>
          <w:szCs w:val="28"/>
        </w:rPr>
      </w:pPr>
      <w:r>
        <w:rPr>
          <w:rFonts w:ascii="仿宋_GB2312" w:hAnsi="仿宋_GB2312" w:cs="仿宋_GB2312" w:hint="eastAsia"/>
          <w:sz w:val="28"/>
          <w:szCs w:val="28"/>
        </w:rPr>
        <w:t>重点：可逆</w:t>
      </w:r>
      <w:r>
        <w:rPr>
          <w:rFonts w:ascii="仿宋_GB2312" w:hAnsi="仿宋_GB2312" w:cs="仿宋_GB2312"/>
          <w:sz w:val="28"/>
          <w:szCs w:val="28"/>
        </w:rPr>
        <w:t>过程的掌握、</w:t>
      </w:r>
      <w:r>
        <w:rPr>
          <w:rFonts w:ascii="仿宋_GB2312" w:hAnsi="仿宋_GB2312" w:cs="仿宋_GB2312" w:hint="eastAsia"/>
          <w:bCs/>
          <w:sz w:val="28"/>
          <w:szCs w:val="28"/>
        </w:rPr>
        <w:t>热</w:t>
      </w:r>
      <w:r>
        <w:rPr>
          <w:rFonts w:ascii="仿宋_GB2312" w:hAnsi="仿宋_GB2312" w:cs="仿宋_GB2312"/>
          <w:bCs/>
          <w:sz w:val="28"/>
          <w:szCs w:val="28"/>
        </w:rPr>
        <w:t>力系统</w:t>
      </w:r>
      <w:r>
        <w:rPr>
          <w:rFonts w:ascii="仿宋_GB2312" w:hAnsi="仿宋_GB2312" w:cs="仿宋_GB2312" w:hint="eastAsia"/>
          <w:bCs/>
          <w:sz w:val="28"/>
          <w:szCs w:val="28"/>
        </w:rPr>
        <w:t>的划分；</w:t>
      </w:r>
      <w:r>
        <w:rPr>
          <w:rFonts w:ascii="仿宋_GB2312" w:hAnsi="仿宋_GB2312" w:cs="仿宋_GB2312"/>
          <w:bCs/>
          <w:sz w:val="28"/>
          <w:szCs w:val="28"/>
        </w:rPr>
        <w:t>理想气体的</w:t>
      </w:r>
      <w:r>
        <w:rPr>
          <w:rFonts w:ascii="仿宋_GB2312" w:hAnsi="仿宋_GB2312" w:cs="仿宋_GB2312" w:hint="eastAsia"/>
          <w:bCs/>
          <w:sz w:val="28"/>
          <w:szCs w:val="28"/>
        </w:rPr>
        <w:t>性</w:t>
      </w:r>
      <w:r>
        <w:rPr>
          <w:rFonts w:ascii="仿宋_GB2312" w:hAnsi="仿宋_GB2312" w:cs="仿宋_GB2312"/>
          <w:bCs/>
          <w:sz w:val="28"/>
          <w:szCs w:val="28"/>
        </w:rPr>
        <w:t>质、</w:t>
      </w:r>
      <w:r>
        <w:rPr>
          <w:rFonts w:ascii="仿宋_GB2312" w:hAnsi="仿宋_GB2312" w:cs="仿宋_GB2312" w:hint="eastAsia"/>
          <w:bCs/>
          <w:sz w:val="28"/>
          <w:szCs w:val="28"/>
        </w:rPr>
        <w:t>多</w:t>
      </w:r>
      <w:r>
        <w:rPr>
          <w:rFonts w:ascii="仿宋_GB2312" w:hAnsi="仿宋_GB2312" w:cs="仿宋_GB2312" w:hint="eastAsia"/>
          <w:bCs/>
          <w:sz w:val="28"/>
          <w:szCs w:val="28"/>
        </w:rPr>
        <w:lastRenderedPageBreak/>
        <w:t>变</w:t>
      </w:r>
      <w:r>
        <w:rPr>
          <w:rFonts w:ascii="仿宋_GB2312" w:hAnsi="仿宋_GB2312" w:cs="仿宋_GB2312"/>
          <w:bCs/>
          <w:sz w:val="28"/>
          <w:szCs w:val="28"/>
        </w:rPr>
        <w:t>过程的特征方程</w:t>
      </w:r>
      <w:r>
        <w:rPr>
          <w:rFonts w:ascii="仿宋_GB2312" w:hAnsi="仿宋_GB2312" w:cs="仿宋_GB2312" w:hint="eastAsia"/>
          <w:bCs/>
          <w:sz w:val="28"/>
          <w:szCs w:val="28"/>
        </w:rPr>
        <w:t>，</w:t>
      </w:r>
      <w:r>
        <w:rPr>
          <w:rFonts w:ascii="仿宋_GB2312" w:hAnsi="仿宋_GB2312" w:cs="仿宋_GB2312"/>
          <w:bCs/>
          <w:sz w:val="28"/>
          <w:szCs w:val="28"/>
        </w:rPr>
        <w:t>热力图的</w:t>
      </w:r>
      <w:r>
        <w:rPr>
          <w:rFonts w:ascii="仿宋_GB2312" w:hAnsi="仿宋_GB2312" w:cs="仿宋_GB2312" w:hint="eastAsia"/>
          <w:bCs/>
          <w:sz w:val="28"/>
          <w:szCs w:val="28"/>
        </w:rPr>
        <w:t>绘</w:t>
      </w:r>
      <w:r>
        <w:rPr>
          <w:rFonts w:ascii="仿宋_GB2312" w:hAnsi="仿宋_GB2312" w:cs="仿宋_GB2312"/>
          <w:bCs/>
          <w:sz w:val="28"/>
          <w:szCs w:val="28"/>
        </w:rPr>
        <w:t>制；开口系统</w:t>
      </w:r>
      <w:r>
        <w:rPr>
          <w:rFonts w:ascii="仿宋_GB2312" w:hAnsi="仿宋_GB2312" w:cs="仿宋_GB2312" w:hint="eastAsia"/>
          <w:bCs/>
          <w:sz w:val="28"/>
          <w:szCs w:val="28"/>
        </w:rPr>
        <w:t>、</w:t>
      </w:r>
      <w:r>
        <w:rPr>
          <w:rFonts w:ascii="仿宋_GB2312" w:hAnsi="仿宋_GB2312" w:cs="仿宋_GB2312"/>
          <w:bCs/>
          <w:sz w:val="28"/>
          <w:szCs w:val="28"/>
        </w:rPr>
        <w:t>闭口系统的</w:t>
      </w:r>
      <w:r>
        <w:rPr>
          <w:rFonts w:ascii="仿宋_GB2312" w:hAnsi="仿宋_GB2312" w:cs="仿宋_GB2312" w:hint="eastAsia"/>
          <w:bCs/>
          <w:sz w:val="28"/>
          <w:szCs w:val="28"/>
        </w:rPr>
        <w:t>能量方程</w:t>
      </w:r>
      <w:r>
        <w:rPr>
          <w:rFonts w:ascii="仿宋_GB2312" w:hAnsi="仿宋_GB2312" w:cs="仿宋_GB2312"/>
          <w:bCs/>
          <w:sz w:val="28"/>
          <w:szCs w:val="28"/>
        </w:rPr>
        <w:t>、</w:t>
      </w:r>
      <w:r>
        <w:rPr>
          <w:rFonts w:ascii="仿宋_GB2312" w:hAnsi="仿宋_GB2312" w:cs="仿宋_GB2312" w:hint="eastAsia"/>
          <w:bCs/>
          <w:sz w:val="28"/>
          <w:szCs w:val="28"/>
        </w:rPr>
        <w:t>稳态</w:t>
      </w:r>
      <w:r>
        <w:rPr>
          <w:rFonts w:ascii="仿宋_GB2312" w:hAnsi="仿宋_GB2312" w:cs="仿宋_GB2312"/>
          <w:bCs/>
          <w:sz w:val="28"/>
          <w:szCs w:val="28"/>
        </w:rPr>
        <w:t>稳流能量</w:t>
      </w:r>
      <w:r>
        <w:rPr>
          <w:rFonts w:ascii="仿宋_GB2312" w:hAnsi="仿宋_GB2312" w:cs="仿宋_GB2312" w:hint="eastAsia"/>
          <w:bCs/>
          <w:sz w:val="28"/>
          <w:szCs w:val="28"/>
        </w:rPr>
        <w:t>方程；卡</w:t>
      </w:r>
      <w:r>
        <w:rPr>
          <w:rFonts w:ascii="仿宋_GB2312" w:hAnsi="仿宋_GB2312" w:cs="仿宋_GB2312"/>
          <w:bCs/>
          <w:sz w:val="28"/>
          <w:szCs w:val="28"/>
        </w:rPr>
        <w:t>诺定理、参数</w:t>
      </w:r>
      <w:r>
        <w:rPr>
          <w:rFonts w:ascii="仿宋_GB2312" w:hAnsi="仿宋_GB2312" w:cs="仿宋_GB2312" w:hint="eastAsia"/>
          <w:bCs/>
          <w:sz w:val="28"/>
          <w:szCs w:val="28"/>
        </w:rPr>
        <w:t>熵</w:t>
      </w:r>
      <w:r>
        <w:rPr>
          <w:rFonts w:ascii="仿宋_GB2312" w:hAnsi="仿宋_GB2312" w:cs="仿宋_GB2312"/>
          <w:bCs/>
          <w:sz w:val="28"/>
          <w:szCs w:val="28"/>
        </w:rPr>
        <w:t>及</w:t>
      </w:r>
      <w:r>
        <w:rPr>
          <w:rFonts w:ascii="仿宋_GB2312" w:hAnsi="仿宋_GB2312" w:cs="仿宋_GB2312" w:hint="eastAsia"/>
          <w:bCs/>
          <w:sz w:val="28"/>
          <w:szCs w:val="28"/>
        </w:rPr>
        <w:t>熵方程；</w:t>
      </w:r>
      <w:r>
        <w:rPr>
          <w:rFonts w:ascii="仿宋_GB2312" w:hAnsi="仿宋_GB2312" w:cs="仿宋_GB2312"/>
          <w:bCs/>
          <w:sz w:val="28"/>
          <w:szCs w:val="28"/>
        </w:rPr>
        <w:t>水蒸汽的基本热力过程及图与表；湿空气的</w:t>
      </w:r>
      <w:r>
        <w:rPr>
          <w:rFonts w:ascii="仿宋_GB2312" w:hAnsi="仿宋_GB2312" w:cs="仿宋_GB2312" w:hint="eastAsia"/>
          <w:bCs/>
          <w:sz w:val="28"/>
          <w:szCs w:val="28"/>
        </w:rPr>
        <w:t>性质</w:t>
      </w:r>
      <w:r>
        <w:rPr>
          <w:rFonts w:ascii="仿宋_GB2312" w:hAnsi="仿宋_GB2312" w:cs="仿宋_GB2312"/>
          <w:bCs/>
          <w:sz w:val="28"/>
          <w:szCs w:val="28"/>
        </w:rPr>
        <w:t>、基本热力过程</w:t>
      </w:r>
      <w:r>
        <w:rPr>
          <w:rFonts w:ascii="仿宋_GB2312" w:hAnsi="仿宋_GB2312" w:cs="仿宋_GB2312" w:hint="eastAsia"/>
          <w:bCs/>
          <w:sz w:val="28"/>
          <w:szCs w:val="28"/>
        </w:rPr>
        <w:t>；</w:t>
      </w:r>
      <w:r>
        <w:rPr>
          <w:rFonts w:ascii="仿宋_GB2312" w:hAnsi="仿宋_GB2312" w:cs="仿宋_GB2312"/>
          <w:bCs/>
          <w:sz w:val="28"/>
          <w:szCs w:val="28"/>
        </w:rPr>
        <w:t>气体流动、动力循环、制冷循环</w:t>
      </w:r>
      <w:r>
        <w:rPr>
          <w:rFonts w:ascii="仿宋_GB2312" w:hAnsi="仿宋_GB2312" w:cs="仿宋_GB2312" w:hint="eastAsia"/>
          <w:sz w:val="28"/>
          <w:szCs w:val="28"/>
        </w:rPr>
        <w:t>。</w:t>
      </w:r>
    </w:p>
    <w:p w:rsidR="00C10776" w:rsidRDefault="00C10776" w:rsidP="00C1077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难点：不</w:t>
      </w:r>
      <w:r>
        <w:rPr>
          <w:rFonts w:ascii="仿宋_GB2312" w:hAnsi="仿宋_GB2312" w:cs="仿宋_GB2312"/>
          <w:sz w:val="28"/>
          <w:szCs w:val="28"/>
        </w:rPr>
        <w:t>同热力过程中</w:t>
      </w:r>
      <w:r>
        <w:rPr>
          <w:rFonts w:ascii="仿宋_GB2312" w:hAnsi="仿宋_GB2312" w:cs="仿宋_GB2312" w:hint="eastAsia"/>
          <w:sz w:val="28"/>
          <w:szCs w:val="28"/>
        </w:rPr>
        <w:t>能量方程</w:t>
      </w:r>
      <w:r>
        <w:rPr>
          <w:rFonts w:ascii="仿宋_GB2312" w:hAnsi="仿宋_GB2312" w:cs="仿宋_GB2312"/>
          <w:sz w:val="28"/>
          <w:szCs w:val="28"/>
        </w:rPr>
        <w:t>的</w:t>
      </w:r>
      <w:r>
        <w:rPr>
          <w:rFonts w:ascii="仿宋_GB2312" w:hAnsi="仿宋_GB2312" w:cs="仿宋_GB2312" w:hint="eastAsia"/>
          <w:sz w:val="28"/>
          <w:szCs w:val="28"/>
        </w:rPr>
        <w:t>适</w:t>
      </w:r>
      <w:r>
        <w:rPr>
          <w:rFonts w:ascii="仿宋_GB2312" w:hAnsi="仿宋_GB2312" w:cs="仿宋_GB2312"/>
          <w:sz w:val="28"/>
          <w:szCs w:val="28"/>
        </w:rPr>
        <w:t>用</w:t>
      </w:r>
      <w:r>
        <w:rPr>
          <w:rFonts w:ascii="仿宋_GB2312" w:hAnsi="仿宋_GB2312" w:cs="仿宋_GB2312" w:hint="eastAsia"/>
          <w:sz w:val="28"/>
          <w:szCs w:val="28"/>
        </w:rPr>
        <w:t>条件及</w:t>
      </w:r>
      <w:r>
        <w:rPr>
          <w:rFonts w:ascii="仿宋_GB2312" w:hAnsi="仿宋_GB2312" w:cs="仿宋_GB2312"/>
          <w:sz w:val="28"/>
          <w:szCs w:val="28"/>
        </w:rPr>
        <w:t>使用；多变过程的综合分析；熵</w:t>
      </w:r>
      <w:r>
        <w:rPr>
          <w:rFonts w:ascii="仿宋_GB2312" w:hAnsi="仿宋_GB2312" w:cs="仿宋_GB2312" w:hint="eastAsia"/>
          <w:sz w:val="28"/>
          <w:szCs w:val="28"/>
        </w:rPr>
        <w:t>参数</w:t>
      </w:r>
      <w:r>
        <w:rPr>
          <w:rFonts w:ascii="仿宋_GB2312" w:hAnsi="仿宋_GB2312" w:cs="仿宋_GB2312"/>
          <w:sz w:val="28"/>
          <w:szCs w:val="28"/>
        </w:rPr>
        <w:t>与</w:t>
      </w:r>
      <w:r>
        <w:rPr>
          <w:rFonts w:ascii="仿宋_GB2312" w:hAnsi="仿宋_GB2312" w:cs="仿宋_GB2312" w:hint="eastAsia"/>
          <w:sz w:val="28"/>
          <w:szCs w:val="28"/>
        </w:rPr>
        <w:t>孤立</w:t>
      </w:r>
      <w:r>
        <w:rPr>
          <w:rFonts w:ascii="仿宋_GB2312" w:hAnsi="仿宋_GB2312" w:cs="仿宋_GB2312"/>
          <w:sz w:val="28"/>
          <w:szCs w:val="28"/>
        </w:rPr>
        <w:t>系统</w:t>
      </w:r>
      <w:r>
        <w:rPr>
          <w:rFonts w:ascii="仿宋_GB2312" w:hAnsi="仿宋_GB2312" w:cs="仿宋_GB2312" w:hint="eastAsia"/>
          <w:sz w:val="28"/>
          <w:szCs w:val="28"/>
        </w:rPr>
        <w:t>的熵</w:t>
      </w:r>
      <w:r>
        <w:rPr>
          <w:rFonts w:ascii="仿宋_GB2312" w:hAnsi="仿宋_GB2312" w:cs="仿宋_GB2312"/>
          <w:sz w:val="28"/>
          <w:szCs w:val="28"/>
        </w:rPr>
        <w:t>、热</w:t>
      </w:r>
      <w:r>
        <w:rPr>
          <w:rFonts w:ascii="仿宋_GB2312" w:hAnsi="仿宋_GB2312" w:cs="仿宋_GB2312" w:hint="eastAsia"/>
          <w:sz w:val="28"/>
          <w:szCs w:val="28"/>
        </w:rPr>
        <w:t>力循环</w:t>
      </w:r>
      <w:r>
        <w:rPr>
          <w:rFonts w:ascii="仿宋_GB2312" w:hAnsi="仿宋_GB2312" w:cs="仿宋_GB2312"/>
          <w:sz w:val="28"/>
          <w:szCs w:val="28"/>
        </w:rPr>
        <w:t>热效率与卡诺循环热效率</w:t>
      </w:r>
      <w:r>
        <w:rPr>
          <w:rFonts w:ascii="仿宋_GB2312" w:hAnsi="仿宋_GB2312" w:cs="仿宋_GB2312" w:hint="eastAsia"/>
          <w:sz w:val="28"/>
          <w:szCs w:val="28"/>
        </w:rPr>
        <w:t>在</w:t>
      </w:r>
      <w:r>
        <w:rPr>
          <w:rFonts w:ascii="仿宋_GB2312" w:hAnsi="仿宋_GB2312" w:cs="仿宋_GB2312"/>
          <w:sz w:val="28"/>
          <w:szCs w:val="28"/>
        </w:rPr>
        <w:t>应用中的差异；</w:t>
      </w:r>
      <w:r>
        <w:rPr>
          <w:rFonts w:ascii="仿宋_GB2312" w:hAnsi="仿宋_GB2312" w:cs="仿宋_GB2312" w:hint="eastAsia"/>
          <w:sz w:val="28"/>
          <w:szCs w:val="28"/>
        </w:rPr>
        <w:t>水</w:t>
      </w:r>
      <w:r>
        <w:rPr>
          <w:rFonts w:ascii="仿宋_GB2312" w:hAnsi="仿宋_GB2312" w:cs="仿宋_GB2312"/>
          <w:sz w:val="28"/>
          <w:szCs w:val="28"/>
        </w:rPr>
        <w:t>蒸汽的性质、湿空气的</w:t>
      </w:r>
      <w:r>
        <w:rPr>
          <w:rFonts w:ascii="仿宋_GB2312" w:hAnsi="仿宋_GB2312" w:cs="仿宋_GB2312" w:hint="eastAsia"/>
          <w:sz w:val="28"/>
          <w:szCs w:val="28"/>
        </w:rPr>
        <w:t>性质，</w:t>
      </w:r>
      <w:r>
        <w:rPr>
          <w:rFonts w:ascii="仿宋_GB2312" w:hAnsi="仿宋_GB2312" w:cs="仿宋_GB2312"/>
          <w:sz w:val="28"/>
          <w:szCs w:val="28"/>
        </w:rPr>
        <w:t>气体流动中的当地音速</w:t>
      </w:r>
      <w:r>
        <w:rPr>
          <w:rFonts w:ascii="仿宋_GB2312" w:hAnsi="仿宋_GB2312" w:cs="仿宋_GB2312" w:hint="eastAsia"/>
          <w:sz w:val="28"/>
          <w:szCs w:val="28"/>
        </w:rPr>
        <w:t>。</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10776" w:rsidRDefault="00C10776" w:rsidP="00C10776">
      <w:pPr>
        <w:spacing w:line="360" w:lineRule="auto"/>
        <w:ind w:leftChars="100" w:left="600" w:hangingChars="100" w:hanging="280"/>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结合课</w:t>
      </w:r>
      <w:r>
        <w:rPr>
          <w:rFonts w:ascii="仿宋_GB2312" w:hAnsi="仿宋_GB2312" w:cs="仿宋_GB2312"/>
          <w:sz w:val="28"/>
          <w:szCs w:val="28"/>
        </w:rPr>
        <w:t>程</w:t>
      </w:r>
      <w:r>
        <w:rPr>
          <w:rFonts w:ascii="仿宋_GB2312" w:hAnsi="仿宋_GB2312" w:cs="仿宋_GB2312" w:hint="eastAsia"/>
          <w:sz w:val="28"/>
          <w:szCs w:val="28"/>
        </w:rPr>
        <w:t>知识的</w:t>
      </w:r>
      <w:r>
        <w:rPr>
          <w:rFonts w:ascii="仿宋_GB2312" w:hAnsi="仿宋_GB2312" w:cs="仿宋_GB2312"/>
          <w:sz w:val="28"/>
          <w:szCs w:val="28"/>
        </w:rPr>
        <w:t>讲</w:t>
      </w:r>
      <w:r>
        <w:rPr>
          <w:rFonts w:ascii="仿宋_GB2312" w:hAnsi="仿宋_GB2312" w:cs="仿宋_GB2312" w:hint="eastAsia"/>
          <w:sz w:val="28"/>
          <w:szCs w:val="28"/>
        </w:rPr>
        <w:t>授，突出我国能源建设</w:t>
      </w:r>
      <w:r>
        <w:rPr>
          <w:rFonts w:ascii="仿宋_GB2312" w:hAnsi="仿宋_GB2312" w:cs="仿宋_GB2312"/>
          <w:sz w:val="28"/>
          <w:szCs w:val="28"/>
        </w:rPr>
        <w:t>与使用的成就、全面脱贫背景下人民对美好生活的追求</w:t>
      </w:r>
      <w:r>
        <w:rPr>
          <w:rFonts w:ascii="仿宋_GB2312" w:hAnsi="仿宋_GB2312" w:cs="仿宋_GB2312" w:hint="eastAsia"/>
          <w:sz w:val="28"/>
          <w:szCs w:val="28"/>
        </w:rPr>
        <w:t>进行</w:t>
      </w:r>
      <w:r>
        <w:rPr>
          <w:rFonts w:ascii="仿宋_GB2312" w:hAnsi="仿宋_GB2312" w:cs="仿宋_GB2312"/>
          <w:sz w:val="28"/>
          <w:szCs w:val="28"/>
        </w:rPr>
        <w:t>充分的宣传，</w:t>
      </w:r>
      <w:r>
        <w:rPr>
          <w:rFonts w:ascii="仿宋_GB2312" w:hAnsi="仿宋_GB2312" w:cs="仿宋_GB2312" w:hint="eastAsia"/>
          <w:sz w:val="28"/>
          <w:szCs w:val="28"/>
        </w:rPr>
        <w:t>将课程</w:t>
      </w:r>
      <w:r>
        <w:rPr>
          <w:rFonts w:ascii="仿宋_GB2312" w:hAnsi="仿宋_GB2312" w:cs="仿宋_GB2312"/>
          <w:sz w:val="28"/>
          <w:szCs w:val="28"/>
        </w:rPr>
        <w:t>学习中的</w:t>
      </w:r>
      <w:r>
        <w:rPr>
          <w:rFonts w:ascii="仿宋_GB2312" w:hAnsi="仿宋_GB2312" w:cs="仿宋_GB2312" w:hint="eastAsia"/>
          <w:sz w:val="28"/>
          <w:szCs w:val="28"/>
        </w:rPr>
        <w:t>能量方程</w:t>
      </w:r>
      <w:r>
        <w:rPr>
          <w:rFonts w:ascii="仿宋_GB2312" w:hAnsi="仿宋_GB2312" w:cs="仿宋_GB2312"/>
          <w:sz w:val="28"/>
          <w:szCs w:val="28"/>
        </w:rPr>
        <w:t>、热力系统、</w:t>
      </w:r>
      <w:r>
        <w:rPr>
          <w:rFonts w:ascii="仿宋_GB2312" w:hAnsi="仿宋_GB2312" w:cs="仿宋_GB2312" w:hint="eastAsia"/>
          <w:sz w:val="28"/>
          <w:szCs w:val="28"/>
        </w:rPr>
        <w:t>热</w:t>
      </w:r>
      <w:r>
        <w:rPr>
          <w:rFonts w:ascii="仿宋_GB2312" w:hAnsi="仿宋_GB2312" w:cs="仿宋_GB2312"/>
          <w:sz w:val="28"/>
          <w:szCs w:val="28"/>
        </w:rPr>
        <w:t>效率等与社会</w:t>
      </w:r>
      <w:r>
        <w:rPr>
          <w:rFonts w:ascii="仿宋_GB2312" w:hAnsi="仿宋_GB2312" w:cs="仿宋_GB2312" w:hint="eastAsia"/>
          <w:sz w:val="28"/>
          <w:szCs w:val="28"/>
        </w:rPr>
        <w:t>发展</w:t>
      </w:r>
      <w:r>
        <w:rPr>
          <w:rFonts w:ascii="仿宋_GB2312" w:hAnsi="仿宋_GB2312" w:cs="仿宋_GB2312"/>
          <w:sz w:val="28"/>
          <w:szCs w:val="28"/>
        </w:rPr>
        <w:t>密切相关</w:t>
      </w:r>
      <w:r>
        <w:rPr>
          <w:rFonts w:ascii="仿宋_GB2312" w:hAnsi="仿宋_GB2312" w:cs="仿宋_GB2312" w:hint="eastAsia"/>
          <w:sz w:val="28"/>
          <w:szCs w:val="28"/>
        </w:rPr>
        <w:t>节能</w:t>
      </w:r>
      <w:r>
        <w:rPr>
          <w:rFonts w:ascii="仿宋_GB2312" w:hAnsi="仿宋_GB2312" w:cs="仿宋_GB2312"/>
          <w:sz w:val="28"/>
          <w:szCs w:val="28"/>
        </w:rPr>
        <w:t>减排、绿色</w:t>
      </w:r>
      <w:r>
        <w:rPr>
          <w:rFonts w:ascii="仿宋_GB2312" w:hAnsi="仿宋_GB2312" w:cs="仿宋_GB2312" w:hint="eastAsia"/>
          <w:sz w:val="28"/>
          <w:szCs w:val="28"/>
        </w:rPr>
        <w:t>环保等元素加入</w:t>
      </w:r>
      <w:r>
        <w:rPr>
          <w:rFonts w:ascii="仿宋_GB2312" w:hAnsi="仿宋_GB2312" w:cs="仿宋_GB2312"/>
          <w:sz w:val="28"/>
          <w:szCs w:val="28"/>
        </w:rPr>
        <w:t>到理论指导及讲授中</w:t>
      </w:r>
      <w:r>
        <w:rPr>
          <w:rFonts w:ascii="仿宋_GB2312" w:hAnsi="仿宋_GB2312" w:cs="仿宋_GB2312" w:hint="eastAsia"/>
          <w:sz w:val="28"/>
          <w:szCs w:val="28"/>
        </w:rPr>
        <w:t>，强调创新意识、社会责任、职业道德和奋斗精神，增强学习动力和责任感。</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C10776" w:rsidTr="00C10776">
        <w:trPr>
          <w:cantSplit/>
          <w:trHeight w:val="785"/>
        </w:trPr>
        <w:tc>
          <w:tcPr>
            <w:tcW w:w="512"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序号</w:t>
            </w:r>
          </w:p>
        </w:tc>
        <w:tc>
          <w:tcPr>
            <w:tcW w:w="2102"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章  节</w:t>
            </w:r>
          </w:p>
        </w:tc>
        <w:tc>
          <w:tcPr>
            <w:tcW w:w="727"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参考学时</w:t>
            </w:r>
          </w:p>
        </w:tc>
        <w:tc>
          <w:tcPr>
            <w:tcW w:w="3059"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教学内容</w:t>
            </w:r>
          </w:p>
        </w:tc>
        <w:tc>
          <w:tcPr>
            <w:tcW w:w="2755"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基本要求</w:t>
            </w:r>
          </w:p>
        </w:tc>
      </w:tr>
      <w:tr w:rsidR="00C10776" w:rsidTr="00C10776">
        <w:trPr>
          <w:trHeight w:val="428"/>
        </w:trPr>
        <w:tc>
          <w:tcPr>
            <w:tcW w:w="512"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1</w:t>
            </w: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绪论</w:t>
            </w:r>
          </w:p>
          <w:p w:rsidR="00C10776" w:rsidRPr="006A4F10" w:rsidRDefault="00C10776" w:rsidP="00C10776">
            <w:pPr>
              <w:rPr>
                <w:rFonts w:ascii="仿宋_GB2312"/>
                <w:sz w:val="20"/>
                <w:szCs w:val="20"/>
              </w:rPr>
            </w:pPr>
            <w:r w:rsidRPr="006A4F10">
              <w:rPr>
                <w:rFonts w:ascii="仿宋_GB2312" w:hint="eastAsia"/>
                <w:sz w:val="20"/>
                <w:szCs w:val="20"/>
              </w:rPr>
              <w:t>第一章  基本概念</w:t>
            </w:r>
          </w:p>
        </w:tc>
        <w:tc>
          <w:tcPr>
            <w:tcW w:w="727"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5</w:t>
            </w:r>
          </w:p>
        </w:tc>
        <w:tc>
          <w:tcPr>
            <w:tcW w:w="3059"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1.1热力系统</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1.2工质的热力状态及其基本状态参数</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1.3平衡状态、状态公理及状态方程</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1.4准静态过程及可逆过程</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1.5热量和功量</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1.6热力循环</w:t>
            </w:r>
          </w:p>
        </w:tc>
        <w:tc>
          <w:tcPr>
            <w:tcW w:w="2755"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熟悉热力系统划分，了解状态平衡，掌握准静态过程与可逆过程，理解热量和功量，掌握热力循环。</w:t>
            </w:r>
          </w:p>
        </w:tc>
      </w:tr>
      <w:tr w:rsidR="00C10776" w:rsidTr="00C10776">
        <w:trPr>
          <w:trHeight w:val="519"/>
        </w:trPr>
        <w:tc>
          <w:tcPr>
            <w:tcW w:w="512"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2</w:t>
            </w: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第二章  气体的热力性质</w:t>
            </w:r>
          </w:p>
        </w:tc>
        <w:tc>
          <w:tcPr>
            <w:tcW w:w="727"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2</w:t>
            </w:r>
          </w:p>
        </w:tc>
        <w:tc>
          <w:tcPr>
            <w:tcW w:w="3059"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2.1  理想气体与实际气体</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2.2  理想气体的比热容</w:t>
            </w:r>
          </w:p>
        </w:tc>
        <w:tc>
          <w:tcPr>
            <w:tcW w:w="2755"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熟悉理想气体与实际气体的不同，掌握理想气体定值比热容的使用。</w:t>
            </w:r>
          </w:p>
        </w:tc>
      </w:tr>
      <w:tr w:rsidR="00C10776" w:rsidTr="00C10776">
        <w:trPr>
          <w:trHeight w:val="555"/>
        </w:trPr>
        <w:tc>
          <w:tcPr>
            <w:tcW w:w="512"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lastRenderedPageBreak/>
              <w:t>3</w:t>
            </w: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第三章  热力学第一定律</w:t>
            </w:r>
          </w:p>
        </w:tc>
        <w:tc>
          <w:tcPr>
            <w:tcW w:w="727"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7</w:t>
            </w:r>
          </w:p>
        </w:tc>
        <w:tc>
          <w:tcPr>
            <w:tcW w:w="3059"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3.1热力学能和总能</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3.2闭口系统能量方程</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3.3开口系统能量方程</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3.4开口系统稳态稳流能量方程</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3.5稳态稳流能量方程的应用</w:t>
            </w:r>
          </w:p>
        </w:tc>
        <w:tc>
          <w:tcPr>
            <w:tcW w:w="2755"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掌握热力学能，掌握闭口系统、开口系统能量方程，掌握稳态稳流能量方程及应用。</w:t>
            </w:r>
          </w:p>
        </w:tc>
      </w:tr>
      <w:tr w:rsidR="00C10776" w:rsidTr="00C10776">
        <w:trPr>
          <w:trHeight w:val="238"/>
        </w:trPr>
        <w:tc>
          <w:tcPr>
            <w:tcW w:w="512"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4</w:t>
            </w: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第四章  理想气体的热力过程及气体压缩</w:t>
            </w:r>
          </w:p>
        </w:tc>
        <w:tc>
          <w:tcPr>
            <w:tcW w:w="727"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7</w:t>
            </w:r>
          </w:p>
        </w:tc>
        <w:tc>
          <w:tcPr>
            <w:tcW w:w="3059"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4.1热力过程分析及步骤</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4.2绝热过程</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4.3多变过程的综合分析</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4.4压气机的理论压缩轴功</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4.5 活塞式压气机的余隙影响</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4.6 多级压缩及中间冷却</w:t>
            </w:r>
          </w:p>
        </w:tc>
        <w:tc>
          <w:tcPr>
            <w:tcW w:w="2755"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熟悉热力过程的分析步骤，掌握绝热过程各种量的计算，正确绘制示功图、示热图；熟悉多变过程的综合分析，掌握膨胀功，轴功的物理意义，能够计算不同系统、过程的功量。了解多级压缩与中间冷却。</w:t>
            </w:r>
          </w:p>
        </w:tc>
      </w:tr>
      <w:tr w:rsidR="00C10776" w:rsidTr="00C10776">
        <w:trPr>
          <w:trHeight w:val="216"/>
        </w:trPr>
        <w:tc>
          <w:tcPr>
            <w:tcW w:w="512"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5</w:t>
            </w: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第五章  热力学第二定律</w:t>
            </w:r>
          </w:p>
        </w:tc>
        <w:tc>
          <w:tcPr>
            <w:tcW w:w="727"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6</w:t>
            </w:r>
          </w:p>
        </w:tc>
        <w:tc>
          <w:tcPr>
            <w:tcW w:w="3059"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5.1热力学第二定律的实质及表述</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5.2卡诺循环及卡诺定理</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5.3状态参数熵及熵方程</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5.4孤立系统熵增原理与做功能力损失</w:t>
            </w:r>
          </w:p>
        </w:tc>
        <w:tc>
          <w:tcPr>
            <w:tcW w:w="2755"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掌握热力学第二定律的实质与二种表述方式。掌握卡诺循环与定理，掌握熵及熵方程，掌握孤立系统熵增原理</w:t>
            </w:r>
          </w:p>
        </w:tc>
      </w:tr>
      <w:tr w:rsidR="00C10776" w:rsidTr="00C10776">
        <w:trPr>
          <w:trHeight w:val="200"/>
        </w:trPr>
        <w:tc>
          <w:tcPr>
            <w:tcW w:w="512"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6</w:t>
            </w: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第七章  水蒸气</w:t>
            </w:r>
          </w:p>
        </w:tc>
        <w:tc>
          <w:tcPr>
            <w:tcW w:w="727"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8</w:t>
            </w:r>
          </w:p>
        </w:tc>
        <w:tc>
          <w:tcPr>
            <w:tcW w:w="3059"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7.1水的相变及相图</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7.2水蒸气的定压发生过程</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7.3水蒸气表和焓-熵（h-s）图</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7.4水蒸气的基本热力过程</w:t>
            </w:r>
          </w:p>
        </w:tc>
        <w:tc>
          <w:tcPr>
            <w:tcW w:w="2755"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熟悉水的相变及相图，搞懂水蒸汽的定压过程，掌握水蒸气的计算公式，了解焓熵图，能够应用水蒸气图与表进行热力计算。</w:t>
            </w:r>
          </w:p>
        </w:tc>
      </w:tr>
      <w:tr w:rsidR="00C10776" w:rsidTr="00C10776">
        <w:trPr>
          <w:trHeight w:val="208"/>
        </w:trPr>
        <w:tc>
          <w:tcPr>
            <w:tcW w:w="512"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7</w:t>
            </w: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第八章  混合气体及湿空气</w:t>
            </w:r>
          </w:p>
        </w:tc>
        <w:tc>
          <w:tcPr>
            <w:tcW w:w="727"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4</w:t>
            </w:r>
          </w:p>
        </w:tc>
        <w:tc>
          <w:tcPr>
            <w:tcW w:w="3059"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8.1混合气体的性质</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8.2湿空气性质</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8.3湿空气的焓湿图</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8.4湿空气的基本热力过程</w:t>
            </w:r>
          </w:p>
        </w:tc>
        <w:tc>
          <w:tcPr>
            <w:tcW w:w="2755"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掌握混合气体的性质，掌握湿空气的性质，掌握湿空气的焓湿图，针对湿空气的基本过程能进行基本计算。</w:t>
            </w:r>
          </w:p>
        </w:tc>
      </w:tr>
      <w:tr w:rsidR="00C10776" w:rsidTr="00C10776">
        <w:trPr>
          <w:trHeight w:val="246"/>
        </w:trPr>
        <w:tc>
          <w:tcPr>
            <w:tcW w:w="512"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8</w:t>
            </w: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第九章  气体和蒸汽的流动</w:t>
            </w:r>
          </w:p>
        </w:tc>
        <w:tc>
          <w:tcPr>
            <w:tcW w:w="727"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7</w:t>
            </w:r>
          </w:p>
        </w:tc>
        <w:tc>
          <w:tcPr>
            <w:tcW w:w="3059"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9.1一维稳定绝热流动的基本方程</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9.2可逆绝热流动的基本特性</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9.3喷管计算</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9.4背压变化对喷管内流动的影响</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9.5具有摩擦的绝热流动</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9.6绝热节流</w:t>
            </w:r>
          </w:p>
        </w:tc>
        <w:tc>
          <w:tcPr>
            <w:tcW w:w="2755"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掌握一维稳定流动的连续性方程，特征方程，能量方程；掌握当地音速、马赫数与流速之间的关系；熟练地进行喷管、绝热节流的计算。</w:t>
            </w:r>
          </w:p>
        </w:tc>
      </w:tr>
      <w:tr w:rsidR="00C10776" w:rsidTr="00C10776">
        <w:trPr>
          <w:trHeight w:val="215"/>
        </w:trPr>
        <w:tc>
          <w:tcPr>
            <w:tcW w:w="512"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9</w:t>
            </w: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第十章  动力循环</w:t>
            </w:r>
          </w:p>
        </w:tc>
        <w:tc>
          <w:tcPr>
            <w:tcW w:w="727"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2</w:t>
            </w:r>
          </w:p>
        </w:tc>
        <w:tc>
          <w:tcPr>
            <w:tcW w:w="3059"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10.1蒸汽动力基本循环---朗肯循环</w:t>
            </w:r>
          </w:p>
        </w:tc>
        <w:tc>
          <w:tcPr>
            <w:tcW w:w="2755"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熟悉朗肯循环。</w:t>
            </w:r>
          </w:p>
        </w:tc>
      </w:tr>
      <w:tr w:rsidR="00C10776" w:rsidTr="00C10776">
        <w:trPr>
          <w:trHeight w:val="239"/>
        </w:trPr>
        <w:tc>
          <w:tcPr>
            <w:tcW w:w="512" w:type="dxa"/>
            <w:vAlign w:val="center"/>
          </w:tcPr>
          <w:p w:rsidR="00C10776" w:rsidRPr="006A4F10" w:rsidRDefault="00C10776" w:rsidP="00C10776">
            <w:pPr>
              <w:jc w:val="center"/>
              <w:rPr>
                <w:rFonts w:ascii="仿宋_GB2312" w:hAnsi="Times New Roman"/>
                <w:kern w:val="0"/>
                <w:sz w:val="20"/>
                <w:szCs w:val="20"/>
              </w:rPr>
            </w:pPr>
            <w:r w:rsidRPr="006A4F10">
              <w:rPr>
                <w:rFonts w:ascii="仿宋_GB2312" w:hAnsi="Times New Roman" w:hint="eastAsia"/>
                <w:kern w:val="0"/>
                <w:sz w:val="20"/>
                <w:szCs w:val="20"/>
              </w:rPr>
              <w:t>10</w:t>
            </w: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第十一章  制冷循环</w:t>
            </w:r>
          </w:p>
        </w:tc>
        <w:tc>
          <w:tcPr>
            <w:tcW w:w="727"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4</w:t>
            </w:r>
          </w:p>
        </w:tc>
        <w:tc>
          <w:tcPr>
            <w:tcW w:w="3059"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11.1空气压缩制冷循环</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11.2蒸汽压缩制冷循环</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11.3蒸汽喷射制冷循环</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11.4吸收式制冷循环</w:t>
            </w:r>
          </w:p>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11.5热泵</w:t>
            </w:r>
          </w:p>
        </w:tc>
        <w:tc>
          <w:tcPr>
            <w:tcW w:w="2755" w:type="dxa"/>
            <w:vAlign w:val="center"/>
          </w:tcPr>
          <w:p w:rsidR="00C10776" w:rsidRPr="006A4F10" w:rsidRDefault="00C10776" w:rsidP="00C10776">
            <w:pPr>
              <w:rPr>
                <w:rFonts w:ascii="仿宋_GB2312" w:hAnsi="Times New Roman"/>
                <w:kern w:val="0"/>
                <w:sz w:val="20"/>
                <w:szCs w:val="20"/>
              </w:rPr>
            </w:pPr>
            <w:r w:rsidRPr="006A4F10">
              <w:rPr>
                <w:rFonts w:ascii="仿宋_GB2312" w:hAnsi="Times New Roman" w:hint="eastAsia"/>
                <w:kern w:val="0"/>
                <w:sz w:val="20"/>
                <w:szCs w:val="20"/>
              </w:rPr>
              <w:t>了解空气压缩制冷循环；掌握蒸汽压缩制冷循环及热泵；了解蒸汽喷射制冷循环，熟悉吸收式制冷循环。</w:t>
            </w:r>
          </w:p>
        </w:tc>
      </w:tr>
    </w:tbl>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10776" w:rsidRDefault="00C10776" w:rsidP="00C1077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lastRenderedPageBreak/>
        <w:t>1. 课程考核</w:t>
      </w:r>
    </w:p>
    <w:p w:rsidR="00C10776" w:rsidRDefault="00C10776" w:rsidP="00C1077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考试</w:t>
      </w:r>
    </w:p>
    <w:p w:rsidR="00C10776" w:rsidRDefault="00C10776"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10776" w:rsidRDefault="00C10776" w:rsidP="00C10776">
      <w:pPr>
        <w:spacing w:line="360" w:lineRule="auto"/>
        <w:ind w:left="560"/>
        <w:rPr>
          <w:rFonts w:ascii="仿宋_GB2312" w:hAnsi="仿宋_GB2312" w:cs="仿宋_GB2312"/>
          <w:sz w:val="28"/>
          <w:szCs w:val="28"/>
        </w:rPr>
      </w:pPr>
      <w:r>
        <w:rPr>
          <w:rFonts w:ascii="仿宋_GB2312" w:hAnsi="仿宋_GB2312" w:cs="仿宋_GB2312" w:hint="eastAsia"/>
          <w:sz w:val="28"/>
          <w:szCs w:val="28"/>
        </w:rPr>
        <w:t>采用平时成绩+期末考试方式确定总评成绩。其中平时成绩考核包括作业、讨论、出勤等内容，期末考试采用闭卷方式。平时成绩占20%～30%，期末考试成绩占80%～70%。</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10776" w:rsidRDefault="00C10776" w:rsidP="00C10776">
      <w:pPr>
        <w:spacing w:beforeLines="50" w:before="156" w:afterLines="50" w:after="156" w:line="460" w:lineRule="exact"/>
        <w:ind w:firstLineChars="247" w:firstLine="692"/>
        <w:rPr>
          <w:rFonts w:ascii="仿宋_GB2312" w:hAnsi="仿宋_GB2312" w:cs="仿宋_GB2312"/>
          <w:sz w:val="28"/>
          <w:szCs w:val="28"/>
        </w:rPr>
      </w:pPr>
      <w:r>
        <w:rPr>
          <w:rFonts w:ascii="仿宋_GB2312" w:hAnsi="仿宋_GB2312" w:cs="仿宋_GB2312" w:hint="eastAsia"/>
          <w:sz w:val="28"/>
          <w:szCs w:val="28"/>
        </w:rPr>
        <w:t>工程热力学，谭羽非等编著，中国建筑工业出版社，201</w:t>
      </w:r>
      <w:r>
        <w:rPr>
          <w:rFonts w:ascii="仿宋_GB2312" w:hAnsi="仿宋_GB2312" w:cs="仿宋_GB2312"/>
          <w:sz w:val="28"/>
          <w:szCs w:val="28"/>
        </w:rPr>
        <w:t>6</w:t>
      </w:r>
      <w:r>
        <w:rPr>
          <w:rFonts w:ascii="仿宋_GB2312" w:hAnsi="仿宋_GB2312" w:cs="仿宋_GB2312" w:hint="eastAsia"/>
          <w:sz w:val="28"/>
          <w:szCs w:val="28"/>
        </w:rPr>
        <w:t>年</w:t>
      </w:r>
      <w:r>
        <w:rPr>
          <w:rFonts w:ascii="仿宋_GB2312" w:hAnsi="仿宋_GB2312" w:cs="仿宋_GB2312"/>
          <w:sz w:val="28"/>
          <w:szCs w:val="28"/>
        </w:rPr>
        <w:t>7</w:t>
      </w:r>
      <w:r>
        <w:rPr>
          <w:rFonts w:ascii="仿宋_GB2312" w:hAnsi="仿宋_GB2312" w:cs="仿宋_GB2312" w:hint="eastAsia"/>
          <w:sz w:val="28"/>
          <w:szCs w:val="28"/>
        </w:rPr>
        <w:t>月第六</w:t>
      </w:r>
      <w:r>
        <w:rPr>
          <w:rFonts w:ascii="仿宋_GB2312" w:hAnsi="仿宋_GB2312" w:cs="仿宋_GB2312"/>
          <w:sz w:val="28"/>
          <w:szCs w:val="28"/>
        </w:rPr>
        <w:t>版</w:t>
      </w:r>
      <w:r>
        <w:rPr>
          <w:rFonts w:ascii="仿宋_GB2312" w:hAnsi="仿宋_GB2312" w:cs="仿宋_GB2312" w:hint="eastAsia"/>
          <w:sz w:val="28"/>
          <w:szCs w:val="28"/>
        </w:rPr>
        <w:t>。</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10776" w:rsidRDefault="00C10776" w:rsidP="00C10776">
      <w:pPr>
        <w:spacing w:beforeLines="50" w:before="156" w:afterLines="50" w:after="156" w:line="460" w:lineRule="exact"/>
        <w:ind w:firstLineChars="247" w:firstLine="692"/>
        <w:rPr>
          <w:rFonts w:ascii="仿宋_GB2312" w:hAnsi="仿宋_GB2312" w:cs="仿宋_GB2312"/>
          <w:sz w:val="28"/>
          <w:szCs w:val="28"/>
        </w:rPr>
      </w:pPr>
      <w:r>
        <w:rPr>
          <w:rFonts w:ascii="仿宋_GB2312" w:hAnsi="仿宋_GB2312" w:cs="仿宋_GB2312" w:hint="eastAsia"/>
          <w:sz w:val="28"/>
          <w:szCs w:val="28"/>
        </w:rPr>
        <w:t>工程热力学，朱明善等编著</w:t>
      </w:r>
      <w:r>
        <w:rPr>
          <w:rFonts w:ascii="仿宋_GB2312" w:hAnsi="仿宋_GB2312" w:cs="仿宋_GB2312"/>
          <w:sz w:val="28"/>
          <w:szCs w:val="28"/>
        </w:rPr>
        <w:t>，</w:t>
      </w:r>
      <w:r>
        <w:rPr>
          <w:rFonts w:ascii="仿宋_GB2312" w:hAnsi="仿宋_GB2312" w:cs="仿宋_GB2312" w:hint="eastAsia"/>
          <w:sz w:val="28"/>
          <w:szCs w:val="28"/>
        </w:rPr>
        <w:t>清华大学出版社，2011年</w:t>
      </w:r>
      <w:r>
        <w:rPr>
          <w:rFonts w:ascii="仿宋_GB2312" w:hAnsi="仿宋_GB2312" w:cs="仿宋_GB2312"/>
          <w:sz w:val="28"/>
          <w:szCs w:val="28"/>
        </w:rPr>
        <w:t>第三版</w:t>
      </w:r>
    </w:p>
    <w:p w:rsidR="00C10776" w:rsidRDefault="00C10776" w:rsidP="00C10776">
      <w:pPr>
        <w:spacing w:beforeLines="50" w:before="156" w:afterLines="50" w:after="156" w:line="460" w:lineRule="exact"/>
        <w:ind w:firstLineChars="247" w:firstLine="692"/>
        <w:rPr>
          <w:rFonts w:ascii="仿宋_GB2312" w:hAnsi="仿宋_GB2312" w:cs="仿宋_GB2312"/>
          <w:sz w:val="28"/>
          <w:szCs w:val="28"/>
        </w:rPr>
      </w:pPr>
      <w:r>
        <w:rPr>
          <w:rFonts w:ascii="仿宋_GB2312" w:hAnsi="仿宋_GB2312" w:cs="仿宋_GB2312" w:hint="eastAsia"/>
          <w:sz w:val="28"/>
          <w:szCs w:val="28"/>
        </w:rPr>
        <w:t>工程热力学，沈维道等编著，高等教育出版社，2010年</w:t>
      </w:r>
      <w:r>
        <w:rPr>
          <w:rFonts w:ascii="仿宋_GB2312" w:hAnsi="仿宋_GB2312" w:cs="仿宋_GB2312"/>
          <w:sz w:val="28"/>
          <w:szCs w:val="28"/>
        </w:rPr>
        <w:t>第四版</w:t>
      </w:r>
    </w:p>
    <w:p w:rsidR="00C10776" w:rsidRDefault="00C10776" w:rsidP="00C10776">
      <w:pPr>
        <w:spacing w:beforeLines="50" w:before="156" w:afterLines="50" w:after="156" w:line="460" w:lineRule="exact"/>
        <w:ind w:firstLineChars="247" w:firstLine="692"/>
        <w:rPr>
          <w:rFonts w:ascii="仿宋_GB2312" w:hAnsi="仿宋_GB2312" w:cs="仿宋_GB2312"/>
          <w:sz w:val="28"/>
          <w:szCs w:val="28"/>
        </w:rPr>
      </w:pPr>
      <w:r>
        <w:rPr>
          <w:rFonts w:ascii="仿宋_GB2312" w:hAnsi="仿宋_GB2312" w:cs="仿宋_GB2312" w:hint="eastAsia"/>
          <w:sz w:val="28"/>
          <w:szCs w:val="28"/>
        </w:rPr>
        <w:t>工程热力学，严</w:t>
      </w:r>
      <w:r>
        <w:rPr>
          <w:rFonts w:ascii="仿宋_GB2312" w:hAnsi="仿宋_GB2312" w:cs="仿宋_GB2312"/>
          <w:sz w:val="28"/>
          <w:szCs w:val="28"/>
        </w:rPr>
        <w:t>家騄等编著，</w:t>
      </w:r>
      <w:r>
        <w:rPr>
          <w:rFonts w:ascii="仿宋_GB2312" w:hAnsi="仿宋_GB2312" w:cs="仿宋_GB2312" w:hint="eastAsia"/>
          <w:sz w:val="28"/>
          <w:szCs w:val="28"/>
        </w:rPr>
        <w:t>高等教育出版社，2006年</w:t>
      </w:r>
      <w:r>
        <w:rPr>
          <w:rFonts w:ascii="仿宋_GB2312" w:hAnsi="仿宋_GB2312" w:cs="仿宋_GB2312"/>
          <w:sz w:val="28"/>
          <w:szCs w:val="28"/>
        </w:rPr>
        <w:t>第三版</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C10776" w:rsidRP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无</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大纲撰写人：付宏</w:t>
      </w:r>
      <w:r>
        <w:rPr>
          <w:rFonts w:ascii="仿宋" w:eastAsia="仿宋" w:hAnsi="仿宋"/>
          <w:sz w:val="28"/>
          <w:szCs w:val="28"/>
        </w:rPr>
        <w:t>涛</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课程负责人：付宏</w:t>
      </w:r>
      <w:r>
        <w:rPr>
          <w:rFonts w:ascii="仿宋" w:eastAsia="仿宋" w:hAnsi="仿宋"/>
          <w:sz w:val="28"/>
          <w:szCs w:val="28"/>
        </w:rPr>
        <w:t>涛</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10776" w:rsidRDefault="00C10776" w:rsidP="00C10776">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10776" w:rsidRDefault="00C10776" w:rsidP="00C10776">
      <w:pPr>
        <w:ind w:firstLineChars="2000" w:firstLine="5600"/>
        <w:jc w:val="left"/>
        <w:rPr>
          <w:rFonts w:ascii="仿宋" w:hAnsi="仿宋"/>
          <w:sz w:val="28"/>
          <w:szCs w:val="28"/>
        </w:rPr>
      </w:pPr>
      <w:r>
        <w:rPr>
          <w:rFonts w:ascii="仿宋_GB2312" w:hAnsi="微软雅黑" w:hint="eastAsia"/>
          <w:sz w:val="28"/>
          <w:szCs w:val="28"/>
        </w:rPr>
        <w:t xml:space="preserve">    </w:t>
      </w:r>
    </w:p>
    <w:p w:rsidR="00C10776" w:rsidRPr="00C10776" w:rsidRDefault="00C10776" w:rsidP="00C10776">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04</w:t>
      </w:r>
      <w:r>
        <w:rPr>
          <w:rFonts w:ascii="仿宋" w:eastAsia="仿宋" w:hAnsi="仿宋" w:hint="eastAsia"/>
          <w:sz w:val="28"/>
          <w:szCs w:val="28"/>
        </w:rPr>
        <w:t>月</w:t>
      </w:r>
    </w:p>
    <w:p w:rsidR="00C10776" w:rsidRPr="00C10776" w:rsidRDefault="00C10776" w:rsidP="00C10776">
      <w:pPr>
        <w:widowControl/>
        <w:spacing w:line="360" w:lineRule="auto"/>
        <w:jc w:val="center"/>
        <w:rPr>
          <w:rFonts w:ascii="仿宋_GB2312" w:hAnsi="黑体"/>
          <w:sz w:val="28"/>
          <w:szCs w:val="28"/>
        </w:rPr>
      </w:pPr>
      <w:r>
        <w:rPr>
          <w:rFonts w:ascii="方正小标宋简体" w:eastAsia="方正小标宋简体" w:hAnsi="宋体" w:hint="eastAsia"/>
          <w:kern w:val="0"/>
          <w:szCs w:val="32"/>
        </w:rPr>
        <w:lastRenderedPageBreak/>
        <w:t>《流体力学》课程教学大纲</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Fluid Mechanics</w:t>
      </w:r>
      <w:r>
        <w:rPr>
          <w:rFonts w:ascii="仿宋_GB2312" w:hAnsi="仿宋_GB2312" w:cs="仿宋_GB2312" w:hint="eastAsia"/>
          <w:bCs/>
          <w:sz w:val="28"/>
          <w:szCs w:val="28"/>
        </w:rPr>
        <w:t xml:space="preserve"> </w:t>
      </w:r>
    </w:p>
    <w:p w:rsidR="00C10776" w:rsidRDefault="00C10776" w:rsidP="00C1077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X2807120</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授课语言：双语</w:t>
      </w:r>
    </w:p>
    <w:p w:rsidR="00C10776" w:rsidRDefault="00C10776" w:rsidP="00C107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课程类别：学科基础</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4</w:t>
      </w:r>
      <w:r>
        <w:rPr>
          <w:rFonts w:ascii="仿宋_GB2312" w:hAnsi="仿宋_GB2312" w:cs="仿宋_GB2312" w:hint="eastAsia"/>
          <w:bCs/>
          <w:sz w:val="28"/>
          <w:szCs w:val="28"/>
        </w:rPr>
        <w:t>学分</w:t>
      </w:r>
    </w:p>
    <w:p w:rsidR="00C10776" w:rsidRDefault="00C10776" w:rsidP="00C107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64</w:t>
      </w:r>
      <w:r>
        <w:rPr>
          <w:rFonts w:ascii="仿宋_GB2312" w:hAnsi="仿宋_GB2312" w:cs="仿宋_GB2312" w:hint="eastAsia"/>
          <w:bCs/>
          <w:sz w:val="28"/>
          <w:szCs w:val="28"/>
        </w:rPr>
        <w:t>学时（授课</w:t>
      </w:r>
      <w:r>
        <w:rPr>
          <w:rFonts w:ascii="仿宋_GB2312" w:hAnsi="仿宋_GB2312" w:cs="仿宋_GB2312"/>
          <w:bCs/>
          <w:sz w:val="28"/>
          <w:szCs w:val="28"/>
        </w:rPr>
        <w:t>58</w:t>
      </w:r>
      <w:r>
        <w:rPr>
          <w:rFonts w:ascii="仿宋_GB2312" w:hAnsi="仿宋_GB2312" w:cs="仿宋_GB2312" w:hint="eastAsia"/>
          <w:bCs/>
          <w:sz w:val="28"/>
          <w:szCs w:val="28"/>
        </w:rPr>
        <w:t>学时，实验</w:t>
      </w:r>
      <w:r>
        <w:rPr>
          <w:rFonts w:ascii="仿宋_GB2312" w:hAnsi="仿宋_GB2312" w:cs="仿宋_GB2312"/>
          <w:bCs/>
          <w:sz w:val="28"/>
          <w:szCs w:val="28"/>
        </w:rPr>
        <w:t>6</w:t>
      </w:r>
      <w:r>
        <w:rPr>
          <w:rFonts w:ascii="仿宋_GB2312" w:hAnsi="仿宋_GB2312" w:cs="仿宋_GB2312" w:hint="eastAsia"/>
          <w:bCs/>
          <w:sz w:val="28"/>
          <w:szCs w:val="28"/>
        </w:rPr>
        <w:t>学时）</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先修课程：高等数学，线性代数，大学物理，大学英语</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10776" w:rsidRDefault="00C10776" w:rsidP="00C10776">
      <w:pPr>
        <w:spacing w:line="360" w:lineRule="auto"/>
        <w:ind w:leftChars="200" w:left="640"/>
        <w:rPr>
          <w:rFonts w:ascii="仿宋_GB2312" w:hAnsi="仿宋_GB2312" w:cs="仿宋_GB2312"/>
          <w:bCs/>
          <w:sz w:val="28"/>
          <w:szCs w:val="28"/>
        </w:rPr>
      </w:pPr>
      <w:r>
        <w:rPr>
          <w:rFonts w:ascii="仿宋_GB2312" w:hAnsi="仿宋_GB2312" w:cs="仿宋_GB2312" w:hint="eastAsia"/>
          <w:bCs/>
          <w:sz w:val="28"/>
          <w:szCs w:val="28"/>
        </w:rPr>
        <w:t>《流体力学》是建筑环境与能源应用工程专业的专业基础课，主要阐述流体力学的基本概念、基本原理和处理流体力学问题的基本方法。课程主要内容为：（1）流体在静止状态下的力学规律及其应用；（2）流体运动的描述方法和总流运动的三个基本方程；（3）管道内流体流动损失的机理、规律和计算方法；（4）孔口出流、管嘴出流和管路流动的流动特点和计算方法；（5）气体射流的基本规律和应用；（6）不可压缩流体三元流动的基本方程组</w:t>
      </w:r>
      <w:r>
        <w:rPr>
          <w:rFonts w:ascii="仿宋_GB2312" w:hAnsi="仿宋_GB2312" w:cs="仿宋_GB2312" w:hint="eastAsia"/>
          <w:bCs/>
          <w:sz w:val="28"/>
          <w:szCs w:val="28"/>
        </w:rPr>
        <w:lastRenderedPageBreak/>
        <w:t>和定解条件；（7）N</w:t>
      </w:r>
      <w:r>
        <w:rPr>
          <w:rFonts w:ascii="仿宋_GB2312" w:hAnsi="仿宋_GB2312" w:cs="仿宋_GB2312"/>
          <w:bCs/>
          <w:sz w:val="28"/>
          <w:szCs w:val="28"/>
        </w:rPr>
        <w:t>-S</w:t>
      </w:r>
      <w:r>
        <w:rPr>
          <w:rFonts w:ascii="仿宋_GB2312" w:hAnsi="仿宋_GB2312" w:cs="仿宋_GB2312" w:hint="eastAsia"/>
          <w:bCs/>
          <w:sz w:val="28"/>
          <w:szCs w:val="28"/>
        </w:rPr>
        <w:t>方程在无旋流动和大雷诺数绕流下的附面层流动的解析解和数值求解方法；（8）可压缩气体在管道中恒定流动的运动规律；（9）实验研究的相似性原理和因次分析方法。</w:t>
      </w:r>
    </w:p>
    <w:p w:rsidR="00C10776" w:rsidRDefault="00C10776" w:rsidP="00C10776">
      <w:pPr>
        <w:spacing w:line="360" w:lineRule="auto"/>
        <w:ind w:leftChars="200" w:left="640"/>
        <w:rPr>
          <w:rFonts w:ascii="仿宋_GB2312" w:hAnsi="仿宋_GB2312" w:cs="仿宋_GB2312"/>
          <w:bCs/>
          <w:sz w:val="28"/>
          <w:szCs w:val="28"/>
        </w:rPr>
      </w:pPr>
      <w:r>
        <w:rPr>
          <w:rFonts w:ascii="仿宋_GB2312" w:hAnsi="仿宋_GB2312" w:cs="仿宋_GB2312" w:hint="eastAsia"/>
          <w:bCs/>
          <w:sz w:val="28"/>
          <w:szCs w:val="28"/>
        </w:rPr>
        <w:t>教学方式为课堂教学和实验教学两部分。课堂教学占</w:t>
      </w:r>
      <w:r>
        <w:rPr>
          <w:rFonts w:ascii="仿宋_GB2312" w:hAnsi="仿宋_GB2312" w:cs="仿宋_GB2312"/>
          <w:bCs/>
          <w:sz w:val="28"/>
          <w:szCs w:val="28"/>
        </w:rPr>
        <w:t>58学时，采用PPT</w:t>
      </w:r>
      <w:r>
        <w:rPr>
          <w:rFonts w:ascii="仿宋_GB2312" w:hAnsi="仿宋_GB2312" w:cs="仿宋_GB2312" w:hint="eastAsia"/>
          <w:bCs/>
          <w:sz w:val="28"/>
          <w:szCs w:val="28"/>
        </w:rPr>
        <w:t>+板书讲解，课后作业布置思考题、课后练习题以巩固课堂教学内容。实验教学占</w:t>
      </w:r>
      <w:r>
        <w:rPr>
          <w:rFonts w:ascii="仿宋_GB2312" w:hAnsi="仿宋_GB2312" w:cs="仿宋_GB2312"/>
          <w:bCs/>
          <w:sz w:val="28"/>
          <w:szCs w:val="28"/>
        </w:rPr>
        <w:t>6学时</w:t>
      </w:r>
      <w:r>
        <w:rPr>
          <w:rFonts w:ascii="仿宋_GB2312" w:hAnsi="仿宋_GB2312" w:cs="仿宋_GB2312" w:hint="eastAsia"/>
          <w:bCs/>
          <w:sz w:val="28"/>
          <w:szCs w:val="28"/>
        </w:rPr>
        <w:t>，并独立完成实验报告。</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10776" w:rsidRDefault="00C10776" w:rsidP="00C10776">
      <w:pPr>
        <w:spacing w:line="360" w:lineRule="auto"/>
        <w:ind w:firstLine="331"/>
        <w:rPr>
          <w:rFonts w:ascii="仿宋_GB2312" w:hAnsi="仿宋_GB2312" w:cs="仿宋_GB2312"/>
          <w:b/>
          <w:sz w:val="28"/>
          <w:szCs w:val="28"/>
        </w:rPr>
      </w:pPr>
      <w:r>
        <w:rPr>
          <w:rFonts w:ascii="仿宋_GB2312" w:hAnsi="仿宋_GB2312" w:cs="仿宋_GB2312" w:hint="eastAsia"/>
          <w:b/>
          <w:sz w:val="28"/>
          <w:szCs w:val="28"/>
        </w:rPr>
        <w:t>1. 课程任务</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《流体力学》是</w:t>
      </w:r>
      <w:r>
        <w:rPr>
          <w:rFonts w:ascii="仿宋_GB2312" w:hAnsi="仿宋_GB2312" w:cs="仿宋_GB2312" w:hint="eastAsia"/>
          <w:bCs/>
          <w:sz w:val="28"/>
          <w:szCs w:val="28"/>
        </w:rPr>
        <w:t>建筑环境与能源应用工程专业的专业基础课，通过本门</w:t>
      </w:r>
      <w:r>
        <w:rPr>
          <w:rFonts w:ascii="仿宋_GB2312" w:hAnsi="仿宋_GB2312" w:cs="仿宋_GB2312" w:hint="eastAsia"/>
          <w:sz w:val="28"/>
          <w:szCs w:val="28"/>
        </w:rPr>
        <w:t>课程的学习，使学生掌握流体的力学性质，理解流体力学中的基本概念、术语和原理；熟练掌握静力学基本方程和静止流体的压强分布特性；熟练掌握一元流体动力学三个基本方程并理解其物理意义；掌握</w:t>
      </w:r>
      <w:r>
        <w:rPr>
          <w:rFonts w:ascii="仿宋_GB2312" w:hAnsi="仿宋_GB2312" w:cs="仿宋_GB2312" w:hint="eastAsia"/>
          <w:bCs/>
          <w:sz w:val="28"/>
          <w:szCs w:val="28"/>
        </w:rPr>
        <w:t>管道内流体流动、孔口出流、管嘴出流、气体射流等流动情况下的流动规律和分析计算方法；了解不可压缩流体三元流动的基本方程组的求解方法；掌握流体力学基本的实验手段和方法；</w:t>
      </w:r>
      <w:r>
        <w:rPr>
          <w:rFonts w:ascii="仿宋_GB2312" w:hAnsi="仿宋_GB2312" w:cs="仿宋_GB2312" w:hint="eastAsia"/>
          <w:sz w:val="28"/>
          <w:szCs w:val="28"/>
        </w:rPr>
        <w:t>熟练应用流体力学的基本规律、基本方程和基本计算方法分析问题；初步具备分析本专业中流体流动现象和解决实际工程问题的能力。</w:t>
      </w:r>
    </w:p>
    <w:p w:rsidR="00C10776" w:rsidRDefault="00C10776" w:rsidP="005F6318">
      <w:pPr>
        <w:numPr>
          <w:ilvl w:val="0"/>
          <w:numId w:val="1"/>
        </w:numPr>
        <w:spacing w:line="360" w:lineRule="auto"/>
        <w:ind w:firstLine="331"/>
        <w:rPr>
          <w:rFonts w:ascii="仿宋_GB2312" w:hAnsi="仿宋_GB2312" w:cs="仿宋_GB2312"/>
          <w:b/>
          <w:sz w:val="28"/>
          <w:szCs w:val="28"/>
        </w:rPr>
      </w:pPr>
      <w:r>
        <w:rPr>
          <w:rFonts w:ascii="仿宋_GB2312" w:hAnsi="仿宋_GB2312" w:cs="仿宋_GB2312" w:hint="eastAsia"/>
          <w:b/>
          <w:sz w:val="28"/>
          <w:szCs w:val="28"/>
        </w:rPr>
        <w:t>课程基本要求</w:t>
      </w:r>
    </w:p>
    <w:p w:rsidR="00C10776" w:rsidRDefault="00C10776" w:rsidP="00C10776">
      <w:pPr>
        <w:spacing w:line="360" w:lineRule="auto"/>
        <w:ind w:firstLine="331"/>
        <w:rPr>
          <w:rFonts w:ascii="仿宋_GB2312" w:hAnsi="仿宋_GB2312" w:cs="仿宋_GB2312"/>
          <w:b/>
          <w:color w:val="FF0000"/>
          <w:sz w:val="28"/>
          <w:szCs w:val="28"/>
        </w:rPr>
      </w:pPr>
      <w:r>
        <w:rPr>
          <w:rFonts w:ascii="仿宋_GB2312" w:hAnsi="仿宋_GB2312" w:cs="仿宋_GB2312" w:hint="eastAsia"/>
          <w:b/>
          <w:bCs/>
          <w:sz w:val="28"/>
          <w:szCs w:val="28"/>
        </w:rPr>
        <w:t>2.1课程目标</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流体力学属于基础科学范畴，课程以基础理论和方法为主。通过本课程的学习，达到以下目标：</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lastRenderedPageBreak/>
        <w:t>（1）流体力学知识体系的建立</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学生能掌握流体力学的基本概念、基本理论，培养宏观与微观思维习惯，掌握流体力学的研究方法，建立流体力学的知识体系以及流体力学和专业应用之间的联系，为专业课学习打下坚实基础；</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（2）培养基本的科研能力</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能够结合流体力学的基本理论知识，应用理论分析、数值模拟和实验等研究方法从事相关的科学研究，解决相关的科学和技术问题；</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（3）自学能力和拓展能力</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以流体力学知识体系和基本的科研能力为基础，能够按照个人的兴趣和行业方向自主学习，拓展专业能力；</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（4）培养职业责任感和价值观</w:t>
      </w:r>
    </w:p>
    <w:p w:rsidR="00C10776" w:rsidRDefault="00C10776" w:rsidP="00C10776">
      <w:pPr>
        <w:spacing w:line="360" w:lineRule="auto"/>
        <w:ind w:leftChars="200" w:left="640"/>
        <w:rPr>
          <w:rFonts w:ascii="宋体" w:eastAsia="宋体" w:hAnsi="宋体"/>
          <w:b/>
          <w:color w:val="000000" w:themeColor="text1"/>
          <w:sz w:val="21"/>
          <w:szCs w:val="21"/>
        </w:rPr>
      </w:pPr>
      <w:r>
        <w:rPr>
          <w:rFonts w:ascii="仿宋_GB2312" w:hAnsi="仿宋_GB2312" w:cs="仿宋_GB2312" w:hint="eastAsia"/>
          <w:sz w:val="28"/>
          <w:szCs w:val="28"/>
        </w:rPr>
        <w:t>在教学中跟踪国家的宏观政策和未来发展蓝图，牢固树立学生的社会主义核心价值观，培养学生学以致用、投身国家建设的职业责任感。</w:t>
      </w:r>
      <w:r>
        <w:rPr>
          <w:rFonts w:ascii="仿宋_GB2312" w:hAnsi="仿宋_GB2312" w:cs="仿宋_GB2312"/>
          <w:sz w:val="28"/>
          <w:szCs w:val="28"/>
        </w:rPr>
        <w:t xml:space="preserve"> </w:t>
      </w:r>
    </w:p>
    <w:p w:rsidR="00C10776" w:rsidRDefault="00C10776" w:rsidP="005F6318">
      <w:pPr>
        <w:pStyle w:val="ae"/>
        <w:numPr>
          <w:ilvl w:val="1"/>
          <w:numId w:val="1"/>
        </w:numPr>
        <w:spacing w:line="360" w:lineRule="auto"/>
        <w:ind w:firstLineChars="0"/>
        <w:rPr>
          <w:rFonts w:ascii="仿宋_GB2312" w:hAnsi="仿宋_GB2312" w:cs="仿宋_GB2312"/>
          <w:b/>
          <w:bCs/>
          <w:sz w:val="28"/>
          <w:szCs w:val="28"/>
        </w:rPr>
      </w:pPr>
      <w:r>
        <w:rPr>
          <w:rFonts w:ascii="仿宋_GB2312" w:hAnsi="仿宋_GB2312" w:cs="仿宋_GB2312" w:hint="eastAsia"/>
          <w:b/>
          <w:bCs/>
          <w:sz w:val="28"/>
          <w:szCs w:val="28"/>
        </w:rPr>
        <w:t>课程目标与毕业要求之间的对应关系</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954"/>
        <w:gridCol w:w="1984"/>
      </w:tblGrid>
      <w:tr w:rsidR="00C10776" w:rsidTr="00C10776">
        <w:trPr>
          <w:cantSplit/>
          <w:trHeight w:val="501"/>
        </w:trPr>
        <w:tc>
          <w:tcPr>
            <w:tcW w:w="1418" w:type="dxa"/>
            <w:vMerge w:val="restart"/>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毕业要求</w:t>
            </w:r>
          </w:p>
        </w:tc>
        <w:tc>
          <w:tcPr>
            <w:tcW w:w="5954" w:type="dxa"/>
            <w:vAlign w:val="center"/>
          </w:tcPr>
          <w:p w:rsidR="00C10776" w:rsidRDefault="00C10776" w:rsidP="00C10776">
            <w:pPr>
              <w:jc w:val="center"/>
              <w:rPr>
                <w:rFonts w:ascii="Times New Roman" w:hAnsi="Times New Roman"/>
                <w:kern w:val="0"/>
                <w:sz w:val="21"/>
                <w:szCs w:val="21"/>
              </w:rPr>
            </w:pPr>
            <w:r>
              <w:rPr>
                <w:rFonts w:ascii="Times New Roman" w:hAnsi="Times New Roman" w:hint="eastAsia"/>
                <w:kern w:val="0"/>
                <w:sz w:val="21"/>
                <w:szCs w:val="21"/>
              </w:rPr>
              <w:t>毕业要求指标点</w:t>
            </w:r>
          </w:p>
        </w:tc>
        <w:tc>
          <w:tcPr>
            <w:tcW w:w="1984" w:type="dxa"/>
            <w:vMerge w:val="restart"/>
            <w:vAlign w:val="center"/>
          </w:tcPr>
          <w:p w:rsidR="00C10776" w:rsidRDefault="00C10776" w:rsidP="00C10776">
            <w:pPr>
              <w:jc w:val="center"/>
              <w:rPr>
                <w:rFonts w:ascii="Times New Roman" w:hAnsi="Times New Roman"/>
                <w:kern w:val="0"/>
                <w:sz w:val="21"/>
                <w:szCs w:val="21"/>
              </w:rPr>
            </w:pPr>
            <w:r>
              <w:rPr>
                <w:rFonts w:ascii="Times New Roman" w:hAnsi="Times New Roman" w:hint="eastAsia"/>
                <w:kern w:val="0"/>
                <w:sz w:val="21"/>
                <w:szCs w:val="21"/>
              </w:rPr>
              <w:t>课程目标</w:t>
            </w:r>
          </w:p>
        </w:tc>
      </w:tr>
      <w:tr w:rsidR="00C10776" w:rsidTr="00C10776">
        <w:trPr>
          <w:cantSplit/>
          <w:trHeight w:val="501"/>
        </w:trPr>
        <w:tc>
          <w:tcPr>
            <w:tcW w:w="1418" w:type="dxa"/>
            <w:vMerge/>
            <w:vAlign w:val="center"/>
          </w:tcPr>
          <w:p w:rsidR="00C10776" w:rsidRDefault="00C10776" w:rsidP="00C10776">
            <w:pPr>
              <w:rPr>
                <w:rFonts w:ascii="Times New Roman" w:hAnsi="Times New Roman"/>
                <w:kern w:val="0"/>
                <w:sz w:val="21"/>
                <w:szCs w:val="21"/>
              </w:rPr>
            </w:pPr>
          </w:p>
        </w:tc>
        <w:tc>
          <w:tcPr>
            <w:tcW w:w="5954" w:type="dxa"/>
            <w:vAlign w:val="center"/>
          </w:tcPr>
          <w:p w:rsidR="00C10776" w:rsidRDefault="00C10776" w:rsidP="00C10776">
            <w:pPr>
              <w:jc w:val="center"/>
              <w:rPr>
                <w:rFonts w:ascii="Times New Roman" w:hAnsi="Times New Roman"/>
                <w:kern w:val="0"/>
                <w:sz w:val="21"/>
                <w:szCs w:val="21"/>
              </w:rPr>
            </w:pPr>
            <w:r>
              <w:rPr>
                <w:rFonts w:ascii="Times New Roman" w:hAnsi="Times New Roman" w:hint="eastAsia"/>
                <w:kern w:val="0"/>
                <w:sz w:val="21"/>
                <w:szCs w:val="21"/>
              </w:rPr>
              <w:t>具体描述</w:t>
            </w:r>
          </w:p>
        </w:tc>
        <w:tc>
          <w:tcPr>
            <w:tcW w:w="1984" w:type="dxa"/>
            <w:vMerge/>
            <w:vAlign w:val="center"/>
          </w:tcPr>
          <w:p w:rsidR="00C10776" w:rsidRDefault="00C10776" w:rsidP="00C10776">
            <w:pPr>
              <w:jc w:val="center"/>
              <w:rPr>
                <w:rFonts w:ascii="Times New Roman" w:hAnsi="Times New Roman"/>
                <w:kern w:val="0"/>
                <w:sz w:val="21"/>
                <w:szCs w:val="21"/>
              </w:rPr>
            </w:pPr>
          </w:p>
        </w:tc>
      </w:tr>
      <w:tr w:rsidR="00C10776" w:rsidTr="00C10776">
        <w:trPr>
          <w:trHeight w:val="389"/>
        </w:trPr>
        <w:tc>
          <w:tcPr>
            <w:tcW w:w="1418" w:type="dxa"/>
            <w:vMerge w:val="restart"/>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1.</w:t>
            </w:r>
            <w:r>
              <w:rPr>
                <w:rFonts w:ascii="Times New Roman" w:hAnsi="Times New Roman" w:hint="eastAsia"/>
                <w:kern w:val="0"/>
                <w:sz w:val="21"/>
                <w:szCs w:val="21"/>
              </w:rPr>
              <w:t>工程知识</w:t>
            </w:r>
          </w:p>
        </w:tc>
        <w:tc>
          <w:tcPr>
            <w:tcW w:w="5954" w:type="dxa"/>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 xml:space="preserve">1.1 </w:t>
            </w:r>
            <w:r>
              <w:rPr>
                <w:rFonts w:ascii="Times New Roman" w:hAnsi="Times New Roman" w:hint="eastAsia"/>
                <w:kern w:val="0"/>
                <w:sz w:val="21"/>
                <w:szCs w:val="21"/>
              </w:rPr>
              <w:t>掌握数学、自然科学等知识，具备面向建筑环境与能源应用工程专业复杂工程问题的科学思维和表述能力</w:t>
            </w:r>
          </w:p>
        </w:tc>
        <w:tc>
          <w:tcPr>
            <w:tcW w:w="1984" w:type="dxa"/>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课程目标（</w:t>
            </w:r>
            <w:r>
              <w:rPr>
                <w:rFonts w:ascii="Times New Roman" w:hAnsi="Times New Roman" w:hint="eastAsia"/>
                <w:kern w:val="0"/>
                <w:sz w:val="21"/>
                <w:szCs w:val="21"/>
              </w:rPr>
              <w:t>1</w:t>
            </w:r>
            <w:r>
              <w:rPr>
                <w:rFonts w:ascii="Times New Roman" w:hAnsi="Times New Roman" w:hint="eastAsia"/>
                <w:kern w:val="0"/>
                <w:sz w:val="21"/>
                <w:szCs w:val="21"/>
              </w:rPr>
              <w:t>）（</w:t>
            </w:r>
            <w:r>
              <w:rPr>
                <w:rFonts w:ascii="Times New Roman" w:hAnsi="Times New Roman" w:hint="eastAsia"/>
                <w:kern w:val="0"/>
                <w:sz w:val="21"/>
                <w:szCs w:val="21"/>
              </w:rPr>
              <w:t>2</w:t>
            </w:r>
            <w:r>
              <w:rPr>
                <w:rFonts w:ascii="Times New Roman" w:hAnsi="Times New Roman" w:hint="eastAsia"/>
                <w:kern w:val="0"/>
                <w:sz w:val="21"/>
                <w:szCs w:val="21"/>
              </w:rPr>
              <w:t>）</w:t>
            </w:r>
          </w:p>
        </w:tc>
      </w:tr>
      <w:tr w:rsidR="00C10776" w:rsidTr="00C10776">
        <w:trPr>
          <w:trHeight w:val="389"/>
        </w:trPr>
        <w:tc>
          <w:tcPr>
            <w:tcW w:w="1418" w:type="dxa"/>
            <w:vMerge/>
            <w:vAlign w:val="center"/>
          </w:tcPr>
          <w:p w:rsidR="00C10776" w:rsidRDefault="00C10776" w:rsidP="00C10776">
            <w:pPr>
              <w:rPr>
                <w:rFonts w:ascii="Times New Roman" w:hAnsi="Times New Roman"/>
                <w:kern w:val="0"/>
                <w:sz w:val="21"/>
                <w:szCs w:val="21"/>
              </w:rPr>
            </w:pPr>
          </w:p>
        </w:tc>
        <w:tc>
          <w:tcPr>
            <w:tcW w:w="5954" w:type="dxa"/>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 xml:space="preserve">1.2 </w:t>
            </w:r>
            <w:r>
              <w:rPr>
                <w:rFonts w:ascii="Times New Roman" w:hAnsi="Times New Roman" w:hint="eastAsia"/>
                <w:kern w:val="0"/>
                <w:sz w:val="21"/>
                <w:szCs w:val="21"/>
              </w:rPr>
              <w:t>掌握相关工程基础知识，具备应用相关知识推演、分析建筑环境与能源应用工程专业复杂工程问题的专业基础能力；</w:t>
            </w:r>
          </w:p>
        </w:tc>
        <w:tc>
          <w:tcPr>
            <w:tcW w:w="1984" w:type="dxa"/>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课程目标（</w:t>
            </w:r>
            <w:r>
              <w:rPr>
                <w:rFonts w:ascii="Times New Roman" w:hAnsi="Times New Roman" w:hint="eastAsia"/>
                <w:kern w:val="0"/>
                <w:sz w:val="21"/>
                <w:szCs w:val="21"/>
              </w:rPr>
              <w:t>1</w:t>
            </w:r>
            <w:r>
              <w:rPr>
                <w:rFonts w:ascii="Times New Roman" w:hAnsi="Times New Roman" w:hint="eastAsia"/>
                <w:kern w:val="0"/>
                <w:sz w:val="21"/>
                <w:szCs w:val="21"/>
              </w:rPr>
              <w:t>）（</w:t>
            </w:r>
            <w:r>
              <w:rPr>
                <w:rFonts w:ascii="Times New Roman" w:hAnsi="Times New Roman" w:hint="eastAsia"/>
                <w:kern w:val="0"/>
                <w:sz w:val="21"/>
                <w:szCs w:val="21"/>
              </w:rPr>
              <w:t>2</w:t>
            </w:r>
            <w:r>
              <w:rPr>
                <w:rFonts w:ascii="Times New Roman" w:hAnsi="Times New Roman" w:hint="eastAsia"/>
                <w:kern w:val="0"/>
                <w:sz w:val="21"/>
                <w:szCs w:val="21"/>
              </w:rPr>
              <w:t>）</w:t>
            </w:r>
          </w:p>
        </w:tc>
      </w:tr>
      <w:tr w:rsidR="00C10776" w:rsidTr="00C10776">
        <w:trPr>
          <w:trHeight w:val="107"/>
        </w:trPr>
        <w:tc>
          <w:tcPr>
            <w:tcW w:w="1418" w:type="dxa"/>
            <w:vMerge w:val="restart"/>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2.</w:t>
            </w:r>
            <w:r>
              <w:rPr>
                <w:rFonts w:ascii="Times New Roman" w:hAnsi="Times New Roman" w:hint="eastAsia"/>
                <w:kern w:val="0"/>
                <w:sz w:val="21"/>
                <w:szCs w:val="21"/>
              </w:rPr>
              <w:t>问题分析</w:t>
            </w:r>
          </w:p>
        </w:tc>
        <w:tc>
          <w:tcPr>
            <w:tcW w:w="5954" w:type="dxa"/>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 xml:space="preserve">2.1 </w:t>
            </w:r>
            <w:r>
              <w:rPr>
                <w:rFonts w:ascii="Times New Roman" w:hAnsi="Times New Roman" w:hint="eastAsia"/>
                <w:kern w:val="0"/>
                <w:sz w:val="21"/>
                <w:szCs w:val="21"/>
              </w:rPr>
              <w:t>能够应用数学、自然科学的基本原理，正确识别和判断建筑环境与能源应用工程专业复杂工程问题</w:t>
            </w:r>
          </w:p>
        </w:tc>
        <w:tc>
          <w:tcPr>
            <w:tcW w:w="1984" w:type="dxa"/>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课程目标（</w:t>
            </w:r>
            <w:r>
              <w:rPr>
                <w:rFonts w:ascii="Times New Roman" w:hAnsi="Times New Roman" w:hint="eastAsia"/>
                <w:kern w:val="0"/>
                <w:sz w:val="21"/>
                <w:szCs w:val="21"/>
              </w:rPr>
              <w:t>1</w:t>
            </w:r>
            <w:r>
              <w:rPr>
                <w:rFonts w:ascii="Times New Roman" w:hAnsi="Times New Roman" w:hint="eastAsia"/>
                <w:kern w:val="0"/>
                <w:sz w:val="21"/>
                <w:szCs w:val="21"/>
              </w:rPr>
              <w:t>）（</w:t>
            </w:r>
            <w:r>
              <w:rPr>
                <w:rFonts w:ascii="Times New Roman" w:hAnsi="Times New Roman" w:hint="eastAsia"/>
                <w:kern w:val="0"/>
                <w:sz w:val="21"/>
                <w:szCs w:val="21"/>
              </w:rPr>
              <w:t>2</w:t>
            </w:r>
            <w:r>
              <w:rPr>
                <w:rFonts w:ascii="Times New Roman" w:hAnsi="Times New Roman" w:hint="eastAsia"/>
                <w:kern w:val="0"/>
                <w:sz w:val="21"/>
                <w:szCs w:val="21"/>
              </w:rPr>
              <w:t>）（</w:t>
            </w:r>
            <w:r>
              <w:rPr>
                <w:rFonts w:ascii="Times New Roman" w:hAnsi="Times New Roman"/>
                <w:kern w:val="0"/>
                <w:sz w:val="21"/>
                <w:szCs w:val="21"/>
              </w:rPr>
              <w:t>3</w:t>
            </w:r>
            <w:r>
              <w:rPr>
                <w:rFonts w:ascii="Times New Roman" w:hAnsi="Times New Roman" w:hint="eastAsia"/>
                <w:kern w:val="0"/>
                <w:sz w:val="21"/>
                <w:szCs w:val="21"/>
              </w:rPr>
              <w:t>）</w:t>
            </w:r>
          </w:p>
        </w:tc>
      </w:tr>
      <w:tr w:rsidR="00C10776" w:rsidTr="00C10776">
        <w:trPr>
          <w:trHeight w:val="106"/>
        </w:trPr>
        <w:tc>
          <w:tcPr>
            <w:tcW w:w="1418" w:type="dxa"/>
            <w:vMerge/>
            <w:vAlign w:val="center"/>
          </w:tcPr>
          <w:p w:rsidR="00C10776" w:rsidRDefault="00C10776" w:rsidP="00C10776">
            <w:pPr>
              <w:rPr>
                <w:rFonts w:ascii="Times New Roman" w:hAnsi="Times New Roman"/>
                <w:kern w:val="0"/>
                <w:sz w:val="21"/>
                <w:szCs w:val="21"/>
              </w:rPr>
            </w:pPr>
          </w:p>
        </w:tc>
        <w:tc>
          <w:tcPr>
            <w:tcW w:w="5954" w:type="dxa"/>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 xml:space="preserve">2.3 </w:t>
            </w:r>
            <w:r>
              <w:rPr>
                <w:rFonts w:ascii="Times New Roman" w:hAnsi="Times New Roman" w:hint="eastAsia"/>
                <w:kern w:val="0"/>
                <w:sz w:val="21"/>
                <w:szCs w:val="21"/>
              </w:rPr>
              <w:t>应用建筑环境与能源应用工程相关原理和方法，具备综合判</w:t>
            </w:r>
            <w:r>
              <w:rPr>
                <w:rFonts w:ascii="Times New Roman" w:hAnsi="Times New Roman" w:hint="eastAsia"/>
                <w:kern w:val="0"/>
                <w:sz w:val="21"/>
                <w:szCs w:val="21"/>
              </w:rPr>
              <w:lastRenderedPageBreak/>
              <w:t>断能力，能够通过对比、推理、分析及文献研究等，获得有效结论。</w:t>
            </w:r>
          </w:p>
        </w:tc>
        <w:tc>
          <w:tcPr>
            <w:tcW w:w="1984" w:type="dxa"/>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lastRenderedPageBreak/>
              <w:t>课程目标（</w:t>
            </w:r>
            <w:r>
              <w:rPr>
                <w:rFonts w:ascii="Times New Roman" w:hAnsi="Times New Roman" w:hint="eastAsia"/>
                <w:kern w:val="0"/>
                <w:sz w:val="21"/>
                <w:szCs w:val="21"/>
              </w:rPr>
              <w:t>1</w:t>
            </w:r>
            <w:r>
              <w:rPr>
                <w:rFonts w:ascii="Times New Roman" w:hAnsi="Times New Roman" w:hint="eastAsia"/>
                <w:kern w:val="0"/>
                <w:sz w:val="21"/>
                <w:szCs w:val="21"/>
              </w:rPr>
              <w:t>）（</w:t>
            </w:r>
            <w:r>
              <w:rPr>
                <w:rFonts w:ascii="Times New Roman" w:hAnsi="Times New Roman" w:hint="eastAsia"/>
                <w:kern w:val="0"/>
                <w:sz w:val="21"/>
                <w:szCs w:val="21"/>
              </w:rPr>
              <w:t>2</w:t>
            </w:r>
            <w:r>
              <w:rPr>
                <w:rFonts w:ascii="Times New Roman" w:hAnsi="Times New Roman" w:hint="eastAsia"/>
                <w:kern w:val="0"/>
                <w:sz w:val="21"/>
                <w:szCs w:val="21"/>
              </w:rPr>
              <w:t>）</w:t>
            </w:r>
            <w:r>
              <w:rPr>
                <w:rFonts w:ascii="Times New Roman" w:hAnsi="Times New Roman" w:hint="eastAsia"/>
                <w:kern w:val="0"/>
                <w:sz w:val="21"/>
                <w:szCs w:val="21"/>
              </w:rPr>
              <w:lastRenderedPageBreak/>
              <w:t>（</w:t>
            </w:r>
            <w:r>
              <w:rPr>
                <w:rFonts w:ascii="Times New Roman" w:hAnsi="Times New Roman"/>
                <w:kern w:val="0"/>
                <w:sz w:val="21"/>
                <w:szCs w:val="21"/>
              </w:rPr>
              <w:t>3</w:t>
            </w:r>
            <w:r>
              <w:rPr>
                <w:rFonts w:ascii="Times New Roman" w:hAnsi="Times New Roman" w:hint="eastAsia"/>
                <w:kern w:val="0"/>
                <w:sz w:val="21"/>
                <w:szCs w:val="21"/>
              </w:rPr>
              <w:t>）</w:t>
            </w:r>
          </w:p>
        </w:tc>
      </w:tr>
      <w:tr w:rsidR="00C10776" w:rsidTr="00C10776">
        <w:trPr>
          <w:trHeight w:val="75"/>
        </w:trPr>
        <w:tc>
          <w:tcPr>
            <w:tcW w:w="1418" w:type="dxa"/>
            <w:vMerge w:val="restart"/>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lastRenderedPageBreak/>
              <w:t>4.</w:t>
            </w:r>
            <w:r>
              <w:rPr>
                <w:rFonts w:ascii="Times New Roman" w:hAnsi="Times New Roman" w:hint="eastAsia"/>
                <w:kern w:val="0"/>
                <w:sz w:val="21"/>
                <w:szCs w:val="21"/>
              </w:rPr>
              <w:t>研究</w:t>
            </w:r>
          </w:p>
        </w:tc>
        <w:tc>
          <w:tcPr>
            <w:tcW w:w="5954" w:type="dxa"/>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 xml:space="preserve">4.1 </w:t>
            </w:r>
            <w:r>
              <w:rPr>
                <w:rFonts w:ascii="Times New Roman" w:hAnsi="Times New Roman" w:hint="eastAsia"/>
                <w:kern w:val="0"/>
                <w:sz w:val="21"/>
                <w:szCs w:val="21"/>
              </w:rPr>
              <w:t>能够基于建筑环境与能源应用工程科学原理，通过文献研究，调研和分析解决建筑环境与能源应用工程专业复杂工程问题的方案；</w:t>
            </w:r>
          </w:p>
        </w:tc>
        <w:tc>
          <w:tcPr>
            <w:tcW w:w="1984" w:type="dxa"/>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课程目标（</w:t>
            </w:r>
            <w:r>
              <w:rPr>
                <w:rFonts w:ascii="Times New Roman" w:hAnsi="Times New Roman" w:hint="eastAsia"/>
                <w:kern w:val="0"/>
                <w:sz w:val="21"/>
                <w:szCs w:val="21"/>
              </w:rPr>
              <w:t>1</w:t>
            </w:r>
            <w:r>
              <w:rPr>
                <w:rFonts w:ascii="Times New Roman" w:hAnsi="Times New Roman" w:hint="eastAsia"/>
                <w:kern w:val="0"/>
                <w:sz w:val="21"/>
                <w:szCs w:val="21"/>
              </w:rPr>
              <w:t>）（</w:t>
            </w:r>
            <w:r>
              <w:rPr>
                <w:rFonts w:ascii="Times New Roman" w:hAnsi="Times New Roman" w:hint="eastAsia"/>
                <w:kern w:val="0"/>
                <w:sz w:val="21"/>
                <w:szCs w:val="21"/>
              </w:rPr>
              <w:t>2</w:t>
            </w:r>
            <w:r>
              <w:rPr>
                <w:rFonts w:ascii="Times New Roman" w:hAnsi="Times New Roman" w:hint="eastAsia"/>
                <w:kern w:val="0"/>
                <w:sz w:val="21"/>
                <w:szCs w:val="21"/>
              </w:rPr>
              <w:t>）（</w:t>
            </w:r>
            <w:r>
              <w:rPr>
                <w:rFonts w:ascii="Times New Roman" w:hAnsi="Times New Roman" w:hint="eastAsia"/>
                <w:kern w:val="0"/>
                <w:sz w:val="21"/>
                <w:szCs w:val="21"/>
              </w:rPr>
              <w:t>3</w:t>
            </w:r>
            <w:r>
              <w:rPr>
                <w:rFonts w:ascii="Times New Roman" w:hAnsi="Times New Roman" w:hint="eastAsia"/>
                <w:kern w:val="0"/>
                <w:sz w:val="21"/>
                <w:szCs w:val="21"/>
              </w:rPr>
              <w:t>）</w:t>
            </w:r>
          </w:p>
        </w:tc>
      </w:tr>
      <w:tr w:rsidR="00C10776" w:rsidTr="00C10776">
        <w:trPr>
          <w:trHeight w:val="75"/>
        </w:trPr>
        <w:tc>
          <w:tcPr>
            <w:tcW w:w="1418" w:type="dxa"/>
            <w:vMerge/>
            <w:vAlign w:val="center"/>
          </w:tcPr>
          <w:p w:rsidR="00C10776" w:rsidRDefault="00C10776" w:rsidP="00C10776">
            <w:pPr>
              <w:rPr>
                <w:rFonts w:ascii="Times New Roman" w:hAnsi="Times New Roman"/>
                <w:kern w:val="0"/>
                <w:sz w:val="21"/>
                <w:szCs w:val="21"/>
              </w:rPr>
            </w:pPr>
          </w:p>
        </w:tc>
        <w:tc>
          <w:tcPr>
            <w:tcW w:w="5954" w:type="dxa"/>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 xml:space="preserve">4.2 </w:t>
            </w:r>
            <w:r>
              <w:rPr>
                <w:rFonts w:ascii="Times New Roman" w:hAnsi="Times New Roman" w:hint="eastAsia"/>
                <w:kern w:val="0"/>
                <w:sz w:val="21"/>
                <w:szCs w:val="21"/>
              </w:rPr>
              <w:t>掌握工程基础和专业实验、测试和检测的基本原理、方法和技能；</w:t>
            </w:r>
          </w:p>
        </w:tc>
        <w:tc>
          <w:tcPr>
            <w:tcW w:w="1984" w:type="dxa"/>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课程目标（</w:t>
            </w:r>
            <w:r>
              <w:rPr>
                <w:rFonts w:ascii="Times New Roman" w:hAnsi="Times New Roman" w:hint="eastAsia"/>
                <w:kern w:val="0"/>
                <w:sz w:val="21"/>
                <w:szCs w:val="21"/>
              </w:rPr>
              <w:t>1</w:t>
            </w:r>
            <w:r>
              <w:rPr>
                <w:rFonts w:ascii="Times New Roman" w:hAnsi="Times New Roman" w:hint="eastAsia"/>
                <w:kern w:val="0"/>
                <w:sz w:val="21"/>
                <w:szCs w:val="21"/>
              </w:rPr>
              <w:t>）（</w:t>
            </w:r>
            <w:r>
              <w:rPr>
                <w:rFonts w:ascii="Times New Roman" w:hAnsi="Times New Roman" w:hint="eastAsia"/>
                <w:kern w:val="0"/>
                <w:sz w:val="21"/>
                <w:szCs w:val="21"/>
              </w:rPr>
              <w:t>2</w:t>
            </w:r>
            <w:r>
              <w:rPr>
                <w:rFonts w:ascii="Times New Roman" w:hAnsi="Times New Roman" w:hint="eastAsia"/>
                <w:kern w:val="0"/>
                <w:sz w:val="21"/>
                <w:szCs w:val="21"/>
              </w:rPr>
              <w:t>）（</w:t>
            </w:r>
            <w:r>
              <w:rPr>
                <w:rFonts w:ascii="Times New Roman" w:hAnsi="Times New Roman" w:hint="eastAsia"/>
                <w:kern w:val="0"/>
                <w:sz w:val="21"/>
                <w:szCs w:val="21"/>
              </w:rPr>
              <w:t>3</w:t>
            </w:r>
            <w:r>
              <w:rPr>
                <w:rFonts w:ascii="Times New Roman" w:hAnsi="Times New Roman" w:hint="eastAsia"/>
                <w:kern w:val="0"/>
                <w:sz w:val="21"/>
                <w:szCs w:val="21"/>
              </w:rPr>
              <w:t>）</w:t>
            </w:r>
          </w:p>
        </w:tc>
      </w:tr>
      <w:tr w:rsidR="00C10776" w:rsidTr="00C10776">
        <w:trPr>
          <w:trHeight w:val="75"/>
        </w:trPr>
        <w:tc>
          <w:tcPr>
            <w:tcW w:w="1418" w:type="dxa"/>
            <w:vMerge/>
            <w:vAlign w:val="center"/>
          </w:tcPr>
          <w:p w:rsidR="00C10776" w:rsidRDefault="00C10776" w:rsidP="00C10776">
            <w:pPr>
              <w:rPr>
                <w:rFonts w:ascii="Times New Roman" w:hAnsi="Times New Roman"/>
                <w:kern w:val="0"/>
                <w:sz w:val="21"/>
                <w:szCs w:val="21"/>
              </w:rPr>
            </w:pPr>
          </w:p>
        </w:tc>
        <w:tc>
          <w:tcPr>
            <w:tcW w:w="5954" w:type="dxa"/>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 xml:space="preserve">4.3 </w:t>
            </w:r>
            <w:r>
              <w:rPr>
                <w:rFonts w:ascii="Times New Roman" w:hAnsi="Times New Roman" w:hint="eastAsia"/>
                <w:kern w:val="0"/>
                <w:sz w:val="21"/>
                <w:szCs w:val="21"/>
              </w:rPr>
              <w:t>根据建筑环境与能源应用工程专业复杂工程问题的特征，选择研究路线，设计实验方案并正确进行实验操作，正确收集、处理、分析与解释实验数据，通过信息综合获得合理有效的结论。</w:t>
            </w:r>
          </w:p>
        </w:tc>
        <w:tc>
          <w:tcPr>
            <w:tcW w:w="1984" w:type="dxa"/>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课程目标（</w:t>
            </w:r>
            <w:r>
              <w:rPr>
                <w:rFonts w:ascii="Times New Roman" w:hAnsi="Times New Roman" w:hint="eastAsia"/>
                <w:kern w:val="0"/>
                <w:sz w:val="21"/>
                <w:szCs w:val="21"/>
              </w:rPr>
              <w:t>1</w:t>
            </w:r>
            <w:r>
              <w:rPr>
                <w:rFonts w:ascii="Times New Roman" w:hAnsi="Times New Roman" w:hint="eastAsia"/>
                <w:kern w:val="0"/>
                <w:sz w:val="21"/>
                <w:szCs w:val="21"/>
              </w:rPr>
              <w:t>）（</w:t>
            </w:r>
            <w:r>
              <w:rPr>
                <w:rFonts w:ascii="Times New Roman" w:hAnsi="Times New Roman" w:hint="eastAsia"/>
                <w:kern w:val="0"/>
                <w:sz w:val="21"/>
                <w:szCs w:val="21"/>
              </w:rPr>
              <w:t>2</w:t>
            </w:r>
            <w:r>
              <w:rPr>
                <w:rFonts w:ascii="Times New Roman" w:hAnsi="Times New Roman" w:hint="eastAsia"/>
                <w:kern w:val="0"/>
                <w:sz w:val="21"/>
                <w:szCs w:val="21"/>
              </w:rPr>
              <w:t>）（</w:t>
            </w:r>
            <w:r>
              <w:rPr>
                <w:rFonts w:ascii="Times New Roman" w:hAnsi="Times New Roman" w:hint="eastAsia"/>
                <w:kern w:val="0"/>
                <w:sz w:val="21"/>
                <w:szCs w:val="21"/>
              </w:rPr>
              <w:t>3</w:t>
            </w:r>
            <w:r>
              <w:rPr>
                <w:rFonts w:ascii="Times New Roman" w:hAnsi="Times New Roman" w:hint="eastAsia"/>
                <w:kern w:val="0"/>
                <w:sz w:val="21"/>
                <w:szCs w:val="21"/>
              </w:rPr>
              <w:t>）</w:t>
            </w:r>
          </w:p>
        </w:tc>
      </w:tr>
      <w:tr w:rsidR="00C10776" w:rsidTr="00C10776">
        <w:trPr>
          <w:trHeight w:val="107"/>
        </w:trPr>
        <w:tc>
          <w:tcPr>
            <w:tcW w:w="1418" w:type="dxa"/>
            <w:vMerge w:val="restart"/>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12.</w:t>
            </w:r>
            <w:r>
              <w:rPr>
                <w:rFonts w:ascii="Times New Roman" w:hAnsi="Times New Roman" w:hint="eastAsia"/>
                <w:kern w:val="0"/>
                <w:sz w:val="21"/>
                <w:szCs w:val="21"/>
              </w:rPr>
              <w:t>终身学习</w:t>
            </w:r>
          </w:p>
        </w:tc>
        <w:tc>
          <w:tcPr>
            <w:tcW w:w="5954" w:type="dxa"/>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 xml:space="preserve">12.1 </w:t>
            </w:r>
            <w:r>
              <w:rPr>
                <w:rFonts w:ascii="Times New Roman" w:hAnsi="Times New Roman" w:hint="eastAsia"/>
                <w:kern w:val="0"/>
                <w:sz w:val="21"/>
                <w:szCs w:val="21"/>
              </w:rPr>
              <w:t>在社会和建筑环境与能源应用工程专业发展的大背景下，能够认识到不断探索和学习的必要性，自觉跟踪建筑环境与能源应用工程专业学科前沿，具有自主学习和终身学习意识；</w:t>
            </w:r>
          </w:p>
        </w:tc>
        <w:tc>
          <w:tcPr>
            <w:tcW w:w="1984" w:type="dxa"/>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课程目标（</w:t>
            </w:r>
            <w:r>
              <w:rPr>
                <w:rFonts w:ascii="Times New Roman" w:hAnsi="Times New Roman"/>
                <w:kern w:val="0"/>
                <w:sz w:val="21"/>
                <w:szCs w:val="21"/>
              </w:rPr>
              <w:t>3</w:t>
            </w:r>
            <w:r>
              <w:rPr>
                <w:rFonts w:ascii="Times New Roman" w:hAnsi="Times New Roman" w:hint="eastAsia"/>
                <w:kern w:val="0"/>
                <w:sz w:val="21"/>
                <w:szCs w:val="21"/>
              </w:rPr>
              <w:t>）（</w:t>
            </w:r>
            <w:r>
              <w:rPr>
                <w:rFonts w:ascii="Times New Roman" w:hAnsi="Times New Roman"/>
                <w:kern w:val="0"/>
                <w:sz w:val="21"/>
                <w:szCs w:val="21"/>
              </w:rPr>
              <w:t>4</w:t>
            </w:r>
            <w:r>
              <w:rPr>
                <w:rFonts w:ascii="Times New Roman" w:hAnsi="Times New Roman" w:hint="eastAsia"/>
                <w:kern w:val="0"/>
                <w:sz w:val="21"/>
                <w:szCs w:val="21"/>
              </w:rPr>
              <w:t>）</w:t>
            </w:r>
          </w:p>
        </w:tc>
      </w:tr>
      <w:tr w:rsidR="00C10776" w:rsidTr="00C10776">
        <w:trPr>
          <w:trHeight w:val="106"/>
        </w:trPr>
        <w:tc>
          <w:tcPr>
            <w:tcW w:w="1418" w:type="dxa"/>
            <w:vMerge/>
            <w:vAlign w:val="center"/>
          </w:tcPr>
          <w:p w:rsidR="00C10776" w:rsidRDefault="00C10776" w:rsidP="00C10776">
            <w:pPr>
              <w:rPr>
                <w:rFonts w:ascii="Times New Roman" w:hAnsi="Times New Roman"/>
                <w:kern w:val="0"/>
                <w:sz w:val="21"/>
                <w:szCs w:val="21"/>
              </w:rPr>
            </w:pPr>
          </w:p>
        </w:tc>
        <w:tc>
          <w:tcPr>
            <w:tcW w:w="5954" w:type="dxa"/>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 xml:space="preserve">12.2 </w:t>
            </w:r>
            <w:r>
              <w:rPr>
                <w:rFonts w:ascii="Times New Roman" w:hAnsi="Times New Roman" w:hint="eastAsia"/>
                <w:kern w:val="0"/>
                <w:sz w:val="21"/>
                <w:szCs w:val="21"/>
              </w:rPr>
              <w:t>掌握拓展新知识的途径与方法，具有不断学习和适应技术、经济与社会可持续发展的能力。</w:t>
            </w:r>
          </w:p>
        </w:tc>
        <w:tc>
          <w:tcPr>
            <w:tcW w:w="1984" w:type="dxa"/>
            <w:vAlign w:val="center"/>
          </w:tcPr>
          <w:p w:rsidR="00C10776" w:rsidRDefault="00C10776" w:rsidP="00C10776">
            <w:pPr>
              <w:rPr>
                <w:rFonts w:ascii="Times New Roman" w:hAnsi="Times New Roman"/>
                <w:kern w:val="0"/>
                <w:sz w:val="21"/>
                <w:szCs w:val="21"/>
              </w:rPr>
            </w:pPr>
            <w:r>
              <w:rPr>
                <w:rFonts w:ascii="Times New Roman" w:hAnsi="Times New Roman" w:hint="eastAsia"/>
                <w:kern w:val="0"/>
                <w:sz w:val="21"/>
                <w:szCs w:val="21"/>
              </w:rPr>
              <w:t>课程目标（</w:t>
            </w:r>
            <w:r>
              <w:rPr>
                <w:rFonts w:ascii="Times New Roman" w:hAnsi="Times New Roman"/>
                <w:kern w:val="0"/>
                <w:sz w:val="21"/>
                <w:szCs w:val="21"/>
              </w:rPr>
              <w:t>3</w:t>
            </w:r>
            <w:r>
              <w:rPr>
                <w:rFonts w:ascii="Times New Roman" w:hAnsi="Times New Roman" w:hint="eastAsia"/>
                <w:kern w:val="0"/>
                <w:sz w:val="21"/>
                <w:szCs w:val="21"/>
              </w:rPr>
              <w:t>）（</w:t>
            </w:r>
            <w:r>
              <w:rPr>
                <w:rFonts w:ascii="Times New Roman" w:hAnsi="Times New Roman"/>
                <w:kern w:val="0"/>
                <w:sz w:val="21"/>
                <w:szCs w:val="21"/>
              </w:rPr>
              <w:t>4</w:t>
            </w:r>
            <w:r>
              <w:rPr>
                <w:rFonts w:ascii="Times New Roman" w:hAnsi="Times New Roman" w:hint="eastAsia"/>
                <w:kern w:val="0"/>
                <w:sz w:val="21"/>
                <w:szCs w:val="21"/>
              </w:rPr>
              <w:t>）</w:t>
            </w:r>
          </w:p>
        </w:tc>
      </w:tr>
    </w:tbl>
    <w:p w:rsidR="00C10776" w:rsidRDefault="00C10776" w:rsidP="00C10776">
      <w:pPr>
        <w:spacing w:line="360" w:lineRule="auto"/>
        <w:ind w:firstLineChars="200" w:firstLine="422"/>
        <w:jc w:val="left"/>
        <w:rPr>
          <w:rFonts w:ascii="宋体" w:eastAsia="宋体" w:hAnsi="宋体"/>
          <w:b/>
          <w:color w:val="FF0000"/>
          <w:sz w:val="21"/>
          <w:szCs w:val="21"/>
        </w:rPr>
      </w:pPr>
    </w:p>
    <w:p w:rsidR="00C10776" w:rsidRDefault="00C10776" w:rsidP="005F6318">
      <w:pPr>
        <w:pStyle w:val="ae"/>
        <w:numPr>
          <w:ilvl w:val="0"/>
          <w:numId w:val="1"/>
        </w:numPr>
        <w:spacing w:line="360" w:lineRule="auto"/>
        <w:ind w:firstLineChars="0"/>
        <w:rPr>
          <w:rFonts w:ascii="仿宋_GB2312" w:hAnsi="仿宋_GB2312" w:cs="仿宋_GB2312"/>
          <w:b/>
          <w:sz w:val="28"/>
          <w:szCs w:val="28"/>
        </w:rPr>
      </w:pPr>
      <w:r>
        <w:rPr>
          <w:rFonts w:ascii="仿宋_GB2312" w:hAnsi="仿宋_GB2312" w:cs="仿宋_GB2312" w:hint="eastAsia"/>
          <w:b/>
          <w:sz w:val="28"/>
          <w:szCs w:val="28"/>
        </w:rPr>
        <w:t>课程的重点、难点</w:t>
      </w:r>
    </w:p>
    <w:p w:rsidR="00C10776" w:rsidRDefault="00C10776" w:rsidP="00C10776">
      <w:pPr>
        <w:spacing w:line="360" w:lineRule="auto"/>
        <w:ind w:leftChars="200" w:left="640"/>
        <w:rPr>
          <w:rFonts w:ascii="仿宋_GB2312" w:hAnsi="仿宋_GB2312" w:cs="仿宋_GB2312"/>
          <w:b/>
          <w:sz w:val="28"/>
          <w:szCs w:val="28"/>
        </w:rPr>
      </w:pPr>
      <w:r>
        <w:rPr>
          <w:rFonts w:ascii="仿宋_GB2312" w:hAnsi="仿宋_GB2312" w:cs="仿宋_GB2312"/>
          <w:b/>
          <w:sz w:val="28"/>
          <w:szCs w:val="28"/>
        </w:rPr>
        <w:t>3.1</w:t>
      </w:r>
      <w:r>
        <w:rPr>
          <w:rFonts w:ascii="仿宋_GB2312" w:hAnsi="仿宋_GB2312" w:cs="仿宋_GB2312"/>
          <w:b/>
          <w:sz w:val="28"/>
          <w:szCs w:val="28"/>
        </w:rPr>
        <w:tab/>
      </w:r>
      <w:r>
        <w:rPr>
          <w:rFonts w:ascii="仿宋_GB2312" w:hAnsi="仿宋_GB2312" w:cs="仿宋_GB2312" w:hint="eastAsia"/>
          <w:b/>
          <w:sz w:val="28"/>
          <w:szCs w:val="28"/>
        </w:rPr>
        <w:t>重点</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（1）流体的主要力学性质，牛顿内摩擦定律，静止流体内的压强分布规律，点压强及总压力的计算；</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（2）一元流体运动的连续性方程、能量方程及动量方程的应用，绘制流动过程的总水头线和测压管水头线；</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（3）层流和紊流状态下管道内流体的沿程损失和局部损失的计算，简单管路的水力计算；</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（4）无限空间淹没紊流射流的特征、圆断面和平面射流的流速和流量等沿程变化规律，以及温差或浓差射流中温差或浓差的沿程变化规律；</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（5）相似概念，相似准则，模型律的选择，因次和谐原理和因次分析方法。</w:t>
      </w:r>
    </w:p>
    <w:p w:rsidR="00C10776" w:rsidRDefault="00C10776" w:rsidP="00C10776">
      <w:pPr>
        <w:spacing w:line="360" w:lineRule="auto"/>
        <w:ind w:leftChars="200" w:left="640"/>
        <w:rPr>
          <w:rFonts w:ascii="仿宋_GB2312" w:hAnsi="仿宋_GB2312" w:cs="仿宋_GB2312"/>
          <w:b/>
          <w:sz w:val="28"/>
          <w:szCs w:val="28"/>
        </w:rPr>
      </w:pPr>
      <w:r>
        <w:rPr>
          <w:rFonts w:ascii="仿宋_GB2312" w:hAnsi="仿宋_GB2312" w:cs="仿宋_GB2312"/>
          <w:b/>
          <w:sz w:val="28"/>
          <w:szCs w:val="28"/>
        </w:rPr>
        <w:t>3.2</w:t>
      </w:r>
      <w:r>
        <w:rPr>
          <w:rFonts w:ascii="仿宋_GB2312" w:hAnsi="仿宋_GB2312" w:cs="仿宋_GB2312"/>
          <w:b/>
          <w:sz w:val="28"/>
          <w:szCs w:val="28"/>
        </w:rPr>
        <w:tab/>
      </w:r>
      <w:r>
        <w:rPr>
          <w:rFonts w:ascii="仿宋_GB2312" w:hAnsi="仿宋_GB2312" w:cs="仿宋_GB2312" w:hint="eastAsia"/>
          <w:b/>
          <w:sz w:val="28"/>
          <w:szCs w:val="28"/>
        </w:rPr>
        <w:t>难点</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lastRenderedPageBreak/>
        <w:t>（1）作用于曲面的液体压力，液体的相对平衡；</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（2）流线和迹线的概念，过流断面的压强分布，总水头线和测压管水头线的绘制；</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（3）非圆管的沿程损失；</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（4）流体微团运动的分析，应力和变形速度的关系，纳维—斯托克斯方程；</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（5）无旋流动，平面无旋流动，绕流运动及附面层，绕流阻力与升力；</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（6）相似性原理和因次分析法。</w:t>
      </w:r>
    </w:p>
    <w:p w:rsidR="00C10776" w:rsidRDefault="00C10776" w:rsidP="00C10776">
      <w:pPr>
        <w:spacing w:line="400" w:lineRule="exact"/>
        <w:ind w:firstLineChars="200" w:firstLine="422"/>
        <w:jc w:val="left"/>
        <w:rPr>
          <w:rFonts w:ascii="宋体" w:eastAsia="宋体" w:hAnsi="宋体"/>
          <w:b/>
          <w:color w:val="000000" w:themeColor="text1"/>
          <w:sz w:val="21"/>
          <w:szCs w:val="21"/>
        </w:rPr>
      </w:pPr>
    </w:p>
    <w:p w:rsidR="00C10776" w:rsidRDefault="00C10776" w:rsidP="005F6318">
      <w:pPr>
        <w:pStyle w:val="ae"/>
        <w:numPr>
          <w:ilvl w:val="0"/>
          <w:numId w:val="1"/>
        </w:numPr>
        <w:spacing w:line="360" w:lineRule="auto"/>
        <w:ind w:firstLineChars="0"/>
        <w:rPr>
          <w:rFonts w:ascii="仿宋_GB2312" w:hAnsi="仿宋_GB2312" w:cs="仿宋_GB2312"/>
          <w:b/>
          <w:sz w:val="28"/>
          <w:szCs w:val="28"/>
        </w:rPr>
      </w:pPr>
      <w:r>
        <w:rPr>
          <w:rFonts w:ascii="仿宋_GB2312" w:hAnsi="仿宋_GB2312" w:cs="仿宋_GB2312" w:hint="eastAsia"/>
          <w:b/>
          <w:sz w:val="28"/>
          <w:szCs w:val="28"/>
        </w:rPr>
        <w:t>课程思政设计</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（1）追溯历史，引导学生树立正确的人生观、价值观和科学观</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针对经典的流体力学理论，追溯该理论的历史渊源，体会流体力学家们的创新理念，分享他们的成功和失败，学习和提炼科学家们的科学态度和价值取向。在掌握知识点的同时，潜移默化地指引学生们树立正确的人生观、价值观和科学观（科学方法、科学精神和科学素养）。</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（2）提炼人文情怀，立德树人</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流体力学的主要研究对象是我们最熟悉的空气和水，因此很多自然现象和生活场景都与流体力学息息相关。中国文化博大精深，流传下来大量描绘流体力学现象的优美诗句，都是流体力学课程思政的素材。从流体力学课程蕴含的丰富科学内容、科学方</w:t>
      </w:r>
      <w:r>
        <w:rPr>
          <w:rFonts w:ascii="仿宋_GB2312" w:hAnsi="仿宋_GB2312" w:cs="仿宋_GB2312" w:hint="eastAsia"/>
          <w:sz w:val="28"/>
          <w:szCs w:val="28"/>
        </w:rPr>
        <w:lastRenderedPageBreak/>
        <w:t>法和科学精神中提炼人文情怀，会使枯燥的流体力学知识更生动有趣，也能实现立德树人的润物无声。</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（3）追踪行业需求，培养学生的职业责任感</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在教学中跟踪国家的宏观政策和未来发展蓝图，阐述科学疑难、技术瓶颈和重大需求，牢固树立学生的社会主义核心价值观，培养学生学以致用、投身国家建设的职业责任感。</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C10776" w:rsidTr="00C10776">
        <w:trPr>
          <w:cantSplit/>
          <w:trHeight w:val="785"/>
        </w:trPr>
        <w:tc>
          <w:tcPr>
            <w:tcW w:w="512" w:type="dxa"/>
            <w:vAlign w:val="center"/>
          </w:tcPr>
          <w:p w:rsidR="00C10776" w:rsidRPr="006A4F10" w:rsidRDefault="00C10776" w:rsidP="006A4F10">
            <w:pPr>
              <w:rPr>
                <w:rFonts w:ascii="仿宋_GB2312"/>
                <w:sz w:val="20"/>
                <w:szCs w:val="20"/>
              </w:rPr>
            </w:pPr>
            <w:r w:rsidRPr="006A4F10">
              <w:rPr>
                <w:rFonts w:ascii="仿宋_GB2312" w:hint="eastAsia"/>
                <w:sz w:val="20"/>
                <w:szCs w:val="20"/>
              </w:rPr>
              <w:t>序号</w:t>
            </w:r>
          </w:p>
        </w:tc>
        <w:tc>
          <w:tcPr>
            <w:tcW w:w="2102" w:type="dxa"/>
            <w:vAlign w:val="center"/>
          </w:tcPr>
          <w:p w:rsidR="00C10776" w:rsidRPr="006A4F10" w:rsidRDefault="00C10776" w:rsidP="006A4F10">
            <w:pPr>
              <w:rPr>
                <w:rFonts w:ascii="仿宋_GB2312"/>
                <w:sz w:val="20"/>
                <w:szCs w:val="20"/>
              </w:rPr>
            </w:pPr>
            <w:r w:rsidRPr="006A4F10">
              <w:rPr>
                <w:rFonts w:ascii="仿宋_GB2312" w:hint="eastAsia"/>
                <w:sz w:val="20"/>
                <w:szCs w:val="20"/>
              </w:rPr>
              <w:t>章</w:t>
            </w:r>
            <w:r w:rsidRPr="006A4F10">
              <w:rPr>
                <w:rFonts w:ascii="仿宋_GB2312"/>
                <w:sz w:val="20"/>
                <w:szCs w:val="20"/>
              </w:rPr>
              <w:t xml:space="preserve">  </w:t>
            </w:r>
            <w:r w:rsidRPr="006A4F10">
              <w:rPr>
                <w:rFonts w:ascii="仿宋_GB2312" w:hint="eastAsia"/>
                <w:sz w:val="20"/>
                <w:szCs w:val="20"/>
              </w:rPr>
              <w:t>节</w:t>
            </w:r>
          </w:p>
        </w:tc>
        <w:tc>
          <w:tcPr>
            <w:tcW w:w="727" w:type="dxa"/>
            <w:vAlign w:val="center"/>
          </w:tcPr>
          <w:p w:rsidR="00C10776" w:rsidRPr="006A4F10" w:rsidRDefault="00C10776" w:rsidP="006A4F10">
            <w:pPr>
              <w:rPr>
                <w:rFonts w:ascii="仿宋_GB2312"/>
                <w:sz w:val="20"/>
                <w:szCs w:val="20"/>
              </w:rPr>
            </w:pPr>
            <w:r w:rsidRPr="006A4F10">
              <w:rPr>
                <w:rFonts w:ascii="仿宋_GB2312" w:hint="eastAsia"/>
                <w:sz w:val="20"/>
                <w:szCs w:val="20"/>
              </w:rPr>
              <w:t>参考学时</w:t>
            </w:r>
          </w:p>
        </w:tc>
        <w:tc>
          <w:tcPr>
            <w:tcW w:w="3059" w:type="dxa"/>
            <w:vAlign w:val="center"/>
          </w:tcPr>
          <w:p w:rsidR="00C10776" w:rsidRPr="006A4F10" w:rsidRDefault="00C10776" w:rsidP="006A4F10">
            <w:pPr>
              <w:rPr>
                <w:rFonts w:ascii="仿宋_GB2312"/>
                <w:sz w:val="20"/>
                <w:szCs w:val="20"/>
              </w:rPr>
            </w:pPr>
            <w:r w:rsidRPr="006A4F10">
              <w:rPr>
                <w:rFonts w:ascii="仿宋_GB2312" w:hint="eastAsia"/>
                <w:sz w:val="20"/>
                <w:szCs w:val="20"/>
              </w:rPr>
              <w:t>教学内容</w:t>
            </w:r>
          </w:p>
        </w:tc>
        <w:tc>
          <w:tcPr>
            <w:tcW w:w="2755" w:type="dxa"/>
            <w:vAlign w:val="center"/>
          </w:tcPr>
          <w:p w:rsidR="00C10776" w:rsidRPr="006A4F10" w:rsidRDefault="00C10776" w:rsidP="006A4F10">
            <w:pPr>
              <w:rPr>
                <w:rFonts w:ascii="仿宋_GB2312"/>
                <w:sz w:val="20"/>
                <w:szCs w:val="20"/>
              </w:rPr>
            </w:pPr>
            <w:r w:rsidRPr="006A4F10">
              <w:rPr>
                <w:rFonts w:ascii="仿宋_GB2312" w:hint="eastAsia"/>
                <w:sz w:val="20"/>
                <w:szCs w:val="20"/>
              </w:rPr>
              <w:t>基本要求</w:t>
            </w:r>
          </w:p>
        </w:tc>
      </w:tr>
      <w:tr w:rsidR="00C10776" w:rsidTr="00C10776">
        <w:trPr>
          <w:trHeight w:val="428"/>
        </w:trPr>
        <w:tc>
          <w:tcPr>
            <w:tcW w:w="512" w:type="dxa"/>
            <w:vAlign w:val="center"/>
          </w:tcPr>
          <w:p w:rsidR="00C10776" w:rsidRPr="006A4F10" w:rsidRDefault="00C10776" w:rsidP="006A4F10">
            <w:pPr>
              <w:rPr>
                <w:rFonts w:ascii="仿宋_GB2312"/>
                <w:sz w:val="20"/>
                <w:szCs w:val="20"/>
              </w:rPr>
            </w:pPr>
            <w:r w:rsidRPr="006A4F10">
              <w:rPr>
                <w:rFonts w:ascii="仿宋_GB2312"/>
                <w:sz w:val="20"/>
                <w:szCs w:val="20"/>
              </w:rPr>
              <w:t>1</w:t>
            </w:r>
          </w:p>
        </w:tc>
        <w:tc>
          <w:tcPr>
            <w:tcW w:w="2102" w:type="dxa"/>
            <w:vAlign w:val="center"/>
          </w:tcPr>
          <w:p w:rsidR="00C10776" w:rsidRPr="006A4F10" w:rsidRDefault="00C10776" w:rsidP="006A4F10">
            <w:pPr>
              <w:rPr>
                <w:rFonts w:ascii="仿宋_GB2312"/>
                <w:sz w:val="20"/>
                <w:szCs w:val="20"/>
              </w:rPr>
            </w:pPr>
            <w:r w:rsidRPr="006A4F10">
              <w:rPr>
                <w:rFonts w:ascii="仿宋_GB2312" w:hint="eastAsia"/>
                <w:sz w:val="20"/>
                <w:szCs w:val="20"/>
              </w:rPr>
              <w:t>第一章</w:t>
            </w:r>
            <w:r w:rsidRPr="006A4F10">
              <w:rPr>
                <w:rFonts w:ascii="仿宋_GB2312"/>
                <w:sz w:val="20"/>
                <w:szCs w:val="20"/>
              </w:rPr>
              <w:t xml:space="preserve">  </w:t>
            </w:r>
            <w:r w:rsidRPr="006A4F10">
              <w:rPr>
                <w:rFonts w:ascii="仿宋_GB2312" w:hint="eastAsia"/>
                <w:sz w:val="20"/>
                <w:szCs w:val="20"/>
              </w:rPr>
              <w:t>绪论</w:t>
            </w:r>
          </w:p>
        </w:tc>
        <w:tc>
          <w:tcPr>
            <w:tcW w:w="727" w:type="dxa"/>
            <w:vAlign w:val="center"/>
          </w:tcPr>
          <w:p w:rsidR="00C10776" w:rsidRPr="006A4F10" w:rsidRDefault="00C10776" w:rsidP="006A4F10">
            <w:pPr>
              <w:rPr>
                <w:rFonts w:ascii="仿宋_GB2312"/>
                <w:sz w:val="20"/>
                <w:szCs w:val="20"/>
              </w:rPr>
            </w:pPr>
            <w:r w:rsidRPr="006A4F10">
              <w:rPr>
                <w:rFonts w:ascii="仿宋_GB2312"/>
                <w:sz w:val="20"/>
                <w:szCs w:val="20"/>
              </w:rPr>
              <w:t>4</w:t>
            </w:r>
          </w:p>
        </w:tc>
        <w:tc>
          <w:tcPr>
            <w:tcW w:w="3059" w:type="dxa"/>
            <w:vAlign w:val="center"/>
          </w:tcPr>
          <w:p w:rsidR="00C10776" w:rsidRPr="006A4F10" w:rsidRDefault="00C10776" w:rsidP="006A4F10">
            <w:pPr>
              <w:rPr>
                <w:rFonts w:ascii="仿宋_GB2312"/>
                <w:sz w:val="20"/>
                <w:szCs w:val="20"/>
              </w:rPr>
            </w:pPr>
            <w:r w:rsidRPr="006A4F10">
              <w:rPr>
                <w:rFonts w:ascii="仿宋_GB2312"/>
                <w:sz w:val="20"/>
                <w:szCs w:val="20"/>
              </w:rPr>
              <w:t>1.1</w:t>
            </w:r>
            <w:r w:rsidRPr="006A4F10">
              <w:rPr>
                <w:rFonts w:ascii="仿宋_GB2312" w:hint="eastAsia"/>
                <w:sz w:val="20"/>
                <w:szCs w:val="20"/>
              </w:rPr>
              <w:t>作用在流体上的力</w:t>
            </w:r>
          </w:p>
          <w:p w:rsidR="00C10776" w:rsidRPr="006A4F10" w:rsidRDefault="00C10776" w:rsidP="006A4F10">
            <w:pPr>
              <w:rPr>
                <w:rFonts w:ascii="仿宋_GB2312"/>
                <w:sz w:val="20"/>
                <w:szCs w:val="20"/>
              </w:rPr>
            </w:pPr>
            <w:r w:rsidRPr="006A4F10">
              <w:rPr>
                <w:rFonts w:ascii="仿宋_GB2312"/>
                <w:sz w:val="20"/>
                <w:szCs w:val="20"/>
              </w:rPr>
              <w:t>1.2</w:t>
            </w:r>
            <w:r w:rsidRPr="006A4F10">
              <w:rPr>
                <w:rFonts w:ascii="仿宋_GB2312" w:hint="eastAsia"/>
                <w:sz w:val="20"/>
                <w:szCs w:val="20"/>
              </w:rPr>
              <w:t>流体的主要力学性质</w:t>
            </w:r>
          </w:p>
          <w:p w:rsidR="00C10776" w:rsidRPr="006A4F10" w:rsidRDefault="00C10776" w:rsidP="006A4F10">
            <w:pPr>
              <w:rPr>
                <w:rFonts w:ascii="仿宋_GB2312"/>
                <w:sz w:val="20"/>
                <w:szCs w:val="20"/>
              </w:rPr>
            </w:pPr>
            <w:r w:rsidRPr="006A4F10">
              <w:rPr>
                <w:rFonts w:ascii="仿宋_GB2312"/>
                <w:sz w:val="20"/>
                <w:szCs w:val="20"/>
              </w:rPr>
              <w:t>1.3</w:t>
            </w:r>
            <w:r w:rsidRPr="006A4F10">
              <w:rPr>
                <w:rFonts w:ascii="仿宋_GB2312" w:hint="eastAsia"/>
                <w:sz w:val="20"/>
                <w:szCs w:val="20"/>
              </w:rPr>
              <w:t>流体的力学模型。</w:t>
            </w:r>
          </w:p>
        </w:tc>
        <w:tc>
          <w:tcPr>
            <w:tcW w:w="2755" w:type="dxa"/>
            <w:vAlign w:val="center"/>
          </w:tcPr>
          <w:p w:rsidR="00C10776" w:rsidRPr="006A4F10" w:rsidRDefault="00C10776" w:rsidP="006A4F10">
            <w:pPr>
              <w:rPr>
                <w:rFonts w:ascii="仿宋_GB2312"/>
                <w:sz w:val="20"/>
                <w:szCs w:val="20"/>
              </w:rPr>
            </w:pPr>
            <w:r w:rsidRPr="006A4F10">
              <w:rPr>
                <w:rFonts w:ascii="仿宋_GB2312" w:hint="eastAsia"/>
                <w:sz w:val="20"/>
                <w:szCs w:val="20"/>
              </w:rPr>
              <w:t>掌握流体的基本性质、流体的受力以及研究宏观流动问题的基本方法。</w:t>
            </w:r>
          </w:p>
        </w:tc>
      </w:tr>
      <w:tr w:rsidR="00C10776" w:rsidTr="00C10776">
        <w:trPr>
          <w:trHeight w:val="519"/>
        </w:trPr>
        <w:tc>
          <w:tcPr>
            <w:tcW w:w="512" w:type="dxa"/>
            <w:vAlign w:val="center"/>
          </w:tcPr>
          <w:p w:rsidR="00C10776" w:rsidRPr="006A4F10" w:rsidRDefault="00C10776" w:rsidP="006A4F10">
            <w:pPr>
              <w:rPr>
                <w:rFonts w:ascii="仿宋_GB2312"/>
                <w:sz w:val="20"/>
                <w:szCs w:val="20"/>
              </w:rPr>
            </w:pPr>
            <w:r w:rsidRPr="006A4F10">
              <w:rPr>
                <w:rFonts w:ascii="仿宋_GB2312"/>
                <w:sz w:val="20"/>
                <w:szCs w:val="20"/>
              </w:rPr>
              <w:t>2</w:t>
            </w:r>
          </w:p>
        </w:tc>
        <w:tc>
          <w:tcPr>
            <w:tcW w:w="2102" w:type="dxa"/>
            <w:vAlign w:val="center"/>
          </w:tcPr>
          <w:p w:rsidR="00C10776" w:rsidRPr="006A4F10" w:rsidRDefault="00C10776" w:rsidP="006A4F10">
            <w:pPr>
              <w:rPr>
                <w:rFonts w:ascii="仿宋_GB2312"/>
                <w:sz w:val="20"/>
                <w:szCs w:val="20"/>
              </w:rPr>
            </w:pPr>
            <w:r w:rsidRPr="006A4F10">
              <w:rPr>
                <w:rFonts w:ascii="仿宋_GB2312" w:hint="eastAsia"/>
                <w:sz w:val="20"/>
                <w:szCs w:val="20"/>
              </w:rPr>
              <w:t>第二章</w:t>
            </w:r>
            <w:r w:rsidRPr="006A4F10">
              <w:rPr>
                <w:rFonts w:ascii="仿宋_GB2312"/>
                <w:sz w:val="20"/>
                <w:szCs w:val="20"/>
              </w:rPr>
              <w:t xml:space="preserve">  </w:t>
            </w:r>
            <w:r w:rsidRPr="006A4F10">
              <w:rPr>
                <w:rFonts w:ascii="仿宋_GB2312" w:hint="eastAsia"/>
                <w:sz w:val="20"/>
                <w:szCs w:val="20"/>
              </w:rPr>
              <w:t>流体静力学</w:t>
            </w:r>
          </w:p>
        </w:tc>
        <w:tc>
          <w:tcPr>
            <w:tcW w:w="727" w:type="dxa"/>
            <w:vAlign w:val="center"/>
          </w:tcPr>
          <w:p w:rsidR="00C10776" w:rsidRPr="006A4F10" w:rsidRDefault="00C10776" w:rsidP="006A4F10">
            <w:pPr>
              <w:rPr>
                <w:rFonts w:ascii="仿宋_GB2312"/>
                <w:sz w:val="20"/>
                <w:szCs w:val="20"/>
              </w:rPr>
            </w:pPr>
            <w:r w:rsidRPr="006A4F10">
              <w:rPr>
                <w:rFonts w:ascii="仿宋_GB2312"/>
                <w:sz w:val="20"/>
                <w:szCs w:val="20"/>
              </w:rPr>
              <w:t>8</w:t>
            </w:r>
          </w:p>
        </w:tc>
        <w:tc>
          <w:tcPr>
            <w:tcW w:w="3059" w:type="dxa"/>
            <w:vAlign w:val="center"/>
          </w:tcPr>
          <w:p w:rsidR="00C10776" w:rsidRPr="006A4F10" w:rsidRDefault="00C10776" w:rsidP="006A4F10">
            <w:pPr>
              <w:rPr>
                <w:rFonts w:ascii="仿宋_GB2312"/>
                <w:sz w:val="20"/>
                <w:szCs w:val="20"/>
              </w:rPr>
            </w:pPr>
            <w:r w:rsidRPr="006A4F10">
              <w:rPr>
                <w:rFonts w:ascii="仿宋_GB2312"/>
                <w:sz w:val="20"/>
                <w:szCs w:val="20"/>
              </w:rPr>
              <w:t>2.1</w:t>
            </w:r>
            <w:r w:rsidRPr="006A4F10">
              <w:rPr>
                <w:rFonts w:ascii="仿宋_GB2312" w:hint="eastAsia"/>
                <w:sz w:val="20"/>
                <w:szCs w:val="20"/>
              </w:rPr>
              <w:t>流体静压强及其特性</w:t>
            </w:r>
          </w:p>
          <w:p w:rsidR="00C10776" w:rsidRPr="006A4F10" w:rsidRDefault="00C10776" w:rsidP="006A4F10">
            <w:pPr>
              <w:rPr>
                <w:rFonts w:ascii="仿宋_GB2312"/>
                <w:sz w:val="20"/>
                <w:szCs w:val="20"/>
              </w:rPr>
            </w:pPr>
            <w:r w:rsidRPr="006A4F10">
              <w:rPr>
                <w:rFonts w:ascii="仿宋_GB2312"/>
                <w:sz w:val="20"/>
                <w:szCs w:val="20"/>
              </w:rPr>
              <w:t>2.2</w:t>
            </w:r>
            <w:r w:rsidRPr="006A4F10">
              <w:rPr>
                <w:rFonts w:ascii="仿宋_GB2312" w:hint="eastAsia"/>
                <w:sz w:val="20"/>
                <w:szCs w:val="20"/>
              </w:rPr>
              <w:t>流体静压强的分布规律</w:t>
            </w:r>
          </w:p>
          <w:p w:rsidR="00C10776" w:rsidRPr="006A4F10" w:rsidRDefault="00C10776" w:rsidP="006A4F10">
            <w:pPr>
              <w:rPr>
                <w:rFonts w:ascii="仿宋_GB2312"/>
                <w:sz w:val="20"/>
                <w:szCs w:val="20"/>
              </w:rPr>
            </w:pPr>
            <w:r w:rsidRPr="006A4F10">
              <w:rPr>
                <w:rFonts w:ascii="仿宋_GB2312"/>
                <w:sz w:val="20"/>
                <w:szCs w:val="20"/>
              </w:rPr>
              <w:t>2.3</w:t>
            </w:r>
            <w:r w:rsidRPr="006A4F10">
              <w:rPr>
                <w:rFonts w:ascii="仿宋_GB2312" w:hint="eastAsia"/>
                <w:sz w:val="20"/>
                <w:szCs w:val="20"/>
              </w:rPr>
              <w:t>压强的计算基准和量度单位</w:t>
            </w:r>
          </w:p>
          <w:p w:rsidR="00C10776" w:rsidRPr="006A4F10" w:rsidRDefault="00C10776" w:rsidP="006A4F10">
            <w:pPr>
              <w:rPr>
                <w:rFonts w:ascii="仿宋_GB2312"/>
                <w:sz w:val="20"/>
                <w:szCs w:val="20"/>
              </w:rPr>
            </w:pPr>
            <w:r w:rsidRPr="006A4F10">
              <w:rPr>
                <w:rFonts w:ascii="仿宋_GB2312"/>
                <w:sz w:val="20"/>
                <w:szCs w:val="20"/>
              </w:rPr>
              <w:t>2.4</w:t>
            </w:r>
            <w:r w:rsidRPr="006A4F10">
              <w:rPr>
                <w:rFonts w:ascii="仿宋_GB2312" w:hint="eastAsia"/>
                <w:sz w:val="20"/>
                <w:szCs w:val="20"/>
              </w:rPr>
              <w:t>液柱测压计</w:t>
            </w:r>
          </w:p>
          <w:p w:rsidR="00C10776" w:rsidRPr="006A4F10" w:rsidRDefault="00C10776" w:rsidP="006A4F10">
            <w:pPr>
              <w:rPr>
                <w:rFonts w:ascii="仿宋_GB2312"/>
                <w:sz w:val="20"/>
                <w:szCs w:val="20"/>
              </w:rPr>
            </w:pPr>
            <w:r w:rsidRPr="006A4F10">
              <w:rPr>
                <w:rFonts w:ascii="仿宋_GB2312"/>
                <w:sz w:val="20"/>
                <w:szCs w:val="20"/>
              </w:rPr>
              <w:t>2.5</w:t>
            </w:r>
            <w:r w:rsidRPr="006A4F10">
              <w:rPr>
                <w:rFonts w:ascii="仿宋_GB2312" w:hint="eastAsia"/>
                <w:sz w:val="20"/>
                <w:szCs w:val="20"/>
              </w:rPr>
              <w:t>作用于平面的液体压力</w:t>
            </w:r>
          </w:p>
          <w:p w:rsidR="00C10776" w:rsidRPr="006A4F10" w:rsidRDefault="00C10776" w:rsidP="006A4F10">
            <w:pPr>
              <w:rPr>
                <w:rFonts w:ascii="仿宋_GB2312"/>
                <w:sz w:val="20"/>
                <w:szCs w:val="20"/>
              </w:rPr>
            </w:pPr>
            <w:r w:rsidRPr="006A4F10">
              <w:rPr>
                <w:rFonts w:ascii="仿宋_GB2312"/>
                <w:sz w:val="20"/>
                <w:szCs w:val="20"/>
              </w:rPr>
              <w:t>2.6</w:t>
            </w:r>
            <w:r w:rsidRPr="006A4F10">
              <w:rPr>
                <w:rFonts w:ascii="仿宋_GB2312" w:hint="eastAsia"/>
                <w:sz w:val="20"/>
                <w:szCs w:val="20"/>
              </w:rPr>
              <w:t>作用于曲面的液体压力</w:t>
            </w:r>
          </w:p>
          <w:p w:rsidR="00C10776" w:rsidRPr="006A4F10" w:rsidRDefault="00C10776" w:rsidP="006A4F10">
            <w:pPr>
              <w:rPr>
                <w:rFonts w:ascii="仿宋_GB2312"/>
                <w:sz w:val="20"/>
                <w:szCs w:val="20"/>
              </w:rPr>
            </w:pPr>
            <w:r w:rsidRPr="006A4F10">
              <w:rPr>
                <w:rFonts w:ascii="仿宋_GB2312"/>
                <w:sz w:val="20"/>
                <w:szCs w:val="20"/>
              </w:rPr>
              <w:t>2.7</w:t>
            </w:r>
            <w:r w:rsidRPr="006A4F10">
              <w:rPr>
                <w:rFonts w:ascii="仿宋_GB2312" w:hint="eastAsia"/>
                <w:sz w:val="20"/>
                <w:szCs w:val="20"/>
              </w:rPr>
              <w:t>液体平衡微分方程</w:t>
            </w:r>
          </w:p>
          <w:p w:rsidR="00C10776" w:rsidRPr="006A4F10" w:rsidRDefault="00C10776" w:rsidP="006A4F10">
            <w:pPr>
              <w:rPr>
                <w:rFonts w:ascii="仿宋_GB2312"/>
                <w:sz w:val="20"/>
                <w:szCs w:val="20"/>
              </w:rPr>
            </w:pPr>
            <w:r w:rsidRPr="006A4F10">
              <w:rPr>
                <w:rFonts w:ascii="仿宋_GB2312"/>
                <w:sz w:val="20"/>
                <w:szCs w:val="20"/>
              </w:rPr>
              <w:t>2.8</w:t>
            </w:r>
            <w:r w:rsidRPr="006A4F10">
              <w:rPr>
                <w:rFonts w:ascii="仿宋_GB2312" w:hint="eastAsia"/>
                <w:sz w:val="20"/>
                <w:szCs w:val="20"/>
              </w:rPr>
              <w:t>液体的相对平衡</w:t>
            </w:r>
          </w:p>
        </w:tc>
        <w:tc>
          <w:tcPr>
            <w:tcW w:w="2755" w:type="dxa"/>
            <w:vAlign w:val="center"/>
          </w:tcPr>
          <w:p w:rsidR="00C10776" w:rsidRPr="006A4F10" w:rsidRDefault="00C10776" w:rsidP="006A4F10">
            <w:pPr>
              <w:rPr>
                <w:rFonts w:ascii="仿宋_GB2312"/>
                <w:sz w:val="20"/>
                <w:szCs w:val="20"/>
              </w:rPr>
            </w:pPr>
            <w:r w:rsidRPr="006A4F10">
              <w:rPr>
                <w:rFonts w:ascii="仿宋_GB2312" w:hint="eastAsia"/>
                <w:sz w:val="20"/>
                <w:szCs w:val="20"/>
              </w:rPr>
              <w:t>掌握静止流体内的静压强分布规律，掌握测压计的读数原理，掌握静止流体内平面和曲面受水静压力的计算方法。理解液体的相对平衡问题，指导求解思路和方法。</w:t>
            </w:r>
          </w:p>
        </w:tc>
      </w:tr>
      <w:tr w:rsidR="00C10776" w:rsidTr="00C10776">
        <w:trPr>
          <w:trHeight w:val="555"/>
        </w:trPr>
        <w:tc>
          <w:tcPr>
            <w:tcW w:w="512" w:type="dxa"/>
            <w:vAlign w:val="center"/>
          </w:tcPr>
          <w:p w:rsidR="00C10776" w:rsidRPr="006A4F10" w:rsidRDefault="00C10776" w:rsidP="006A4F10">
            <w:pPr>
              <w:rPr>
                <w:rFonts w:ascii="仿宋_GB2312"/>
                <w:sz w:val="20"/>
                <w:szCs w:val="20"/>
              </w:rPr>
            </w:pPr>
            <w:r w:rsidRPr="006A4F10">
              <w:rPr>
                <w:rFonts w:ascii="仿宋_GB2312"/>
                <w:sz w:val="20"/>
                <w:szCs w:val="20"/>
              </w:rPr>
              <w:t>3</w:t>
            </w:r>
          </w:p>
        </w:tc>
        <w:tc>
          <w:tcPr>
            <w:tcW w:w="2102" w:type="dxa"/>
            <w:vAlign w:val="center"/>
          </w:tcPr>
          <w:p w:rsidR="00C10776" w:rsidRPr="006A4F10" w:rsidRDefault="00C10776" w:rsidP="006A4F10">
            <w:pPr>
              <w:rPr>
                <w:rFonts w:ascii="仿宋_GB2312"/>
                <w:sz w:val="20"/>
                <w:szCs w:val="20"/>
              </w:rPr>
            </w:pPr>
            <w:r w:rsidRPr="006A4F10">
              <w:rPr>
                <w:rFonts w:ascii="仿宋_GB2312" w:hint="eastAsia"/>
                <w:sz w:val="20"/>
                <w:szCs w:val="20"/>
              </w:rPr>
              <w:t>第三章</w:t>
            </w:r>
            <w:r w:rsidRPr="006A4F10">
              <w:rPr>
                <w:rFonts w:ascii="仿宋_GB2312"/>
                <w:sz w:val="20"/>
                <w:szCs w:val="20"/>
              </w:rPr>
              <w:t xml:space="preserve">  </w:t>
            </w:r>
            <w:r w:rsidRPr="006A4F10">
              <w:rPr>
                <w:rFonts w:ascii="仿宋_GB2312" w:hint="eastAsia"/>
                <w:sz w:val="20"/>
                <w:szCs w:val="20"/>
              </w:rPr>
              <w:t>一元流体动力学基础</w:t>
            </w:r>
          </w:p>
        </w:tc>
        <w:tc>
          <w:tcPr>
            <w:tcW w:w="727" w:type="dxa"/>
            <w:vAlign w:val="center"/>
          </w:tcPr>
          <w:p w:rsidR="00C10776" w:rsidRPr="006A4F10" w:rsidRDefault="00C10776" w:rsidP="006A4F10">
            <w:pPr>
              <w:rPr>
                <w:rFonts w:ascii="仿宋_GB2312"/>
                <w:sz w:val="20"/>
                <w:szCs w:val="20"/>
              </w:rPr>
            </w:pPr>
            <w:r w:rsidRPr="006A4F10">
              <w:rPr>
                <w:rFonts w:ascii="仿宋_GB2312"/>
                <w:sz w:val="20"/>
                <w:szCs w:val="20"/>
              </w:rPr>
              <w:t>8</w:t>
            </w:r>
          </w:p>
        </w:tc>
        <w:tc>
          <w:tcPr>
            <w:tcW w:w="3059" w:type="dxa"/>
            <w:vAlign w:val="center"/>
          </w:tcPr>
          <w:p w:rsidR="00C10776" w:rsidRPr="006A4F10" w:rsidRDefault="00C10776" w:rsidP="006A4F10">
            <w:pPr>
              <w:rPr>
                <w:rFonts w:ascii="仿宋_GB2312"/>
                <w:sz w:val="20"/>
                <w:szCs w:val="20"/>
              </w:rPr>
            </w:pPr>
            <w:r w:rsidRPr="006A4F10">
              <w:rPr>
                <w:rFonts w:ascii="仿宋_GB2312"/>
                <w:sz w:val="20"/>
                <w:szCs w:val="20"/>
              </w:rPr>
              <w:t>3.1</w:t>
            </w:r>
            <w:r w:rsidRPr="006A4F10">
              <w:rPr>
                <w:rFonts w:ascii="仿宋_GB2312" w:hint="eastAsia"/>
                <w:sz w:val="20"/>
                <w:szCs w:val="20"/>
              </w:rPr>
              <w:t>描述流体运动的两种方法</w:t>
            </w:r>
          </w:p>
          <w:p w:rsidR="00C10776" w:rsidRPr="006A4F10" w:rsidRDefault="00C10776" w:rsidP="006A4F10">
            <w:pPr>
              <w:rPr>
                <w:rFonts w:ascii="仿宋_GB2312"/>
                <w:sz w:val="20"/>
                <w:szCs w:val="20"/>
              </w:rPr>
            </w:pPr>
            <w:r w:rsidRPr="006A4F10">
              <w:rPr>
                <w:rFonts w:ascii="仿宋_GB2312"/>
                <w:sz w:val="20"/>
                <w:szCs w:val="20"/>
              </w:rPr>
              <w:t>3.2</w:t>
            </w:r>
            <w:r w:rsidRPr="006A4F10">
              <w:rPr>
                <w:rFonts w:ascii="仿宋_GB2312" w:hint="eastAsia"/>
                <w:sz w:val="20"/>
                <w:szCs w:val="20"/>
              </w:rPr>
              <w:t>恒定流动和非恒定流动</w:t>
            </w:r>
          </w:p>
          <w:p w:rsidR="00C10776" w:rsidRPr="006A4F10" w:rsidRDefault="00C10776" w:rsidP="006A4F10">
            <w:pPr>
              <w:rPr>
                <w:rFonts w:ascii="仿宋_GB2312"/>
                <w:sz w:val="20"/>
                <w:szCs w:val="20"/>
              </w:rPr>
            </w:pPr>
            <w:r w:rsidRPr="006A4F10">
              <w:rPr>
                <w:rFonts w:ascii="仿宋_GB2312"/>
                <w:sz w:val="20"/>
                <w:szCs w:val="20"/>
              </w:rPr>
              <w:t>3.3</w:t>
            </w:r>
            <w:r w:rsidRPr="006A4F10">
              <w:rPr>
                <w:rFonts w:ascii="仿宋_GB2312" w:hint="eastAsia"/>
                <w:sz w:val="20"/>
                <w:szCs w:val="20"/>
              </w:rPr>
              <w:t>流线和迹线</w:t>
            </w:r>
          </w:p>
          <w:p w:rsidR="00C10776" w:rsidRPr="006A4F10" w:rsidRDefault="00C10776" w:rsidP="006A4F10">
            <w:pPr>
              <w:rPr>
                <w:rFonts w:ascii="仿宋_GB2312"/>
                <w:sz w:val="20"/>
                <w:szCs w:val="20"/>
              </w:rPr>
            </w:pPr>
            <w:r w:rsidRPr="006A4F10">
              <w:rPr>
                <w:rFonts w:ascii="仿宋_GB2312"/>
                <w:sz w:val="20"/>
                <w:szCs w:val="20"/>
              </w:rPr>
              <w:t>3.4</w:t>
            </w:r>
            <w:r w:rsidRPr="006A4F10">
              <w:rPr>
                <w:rFonts w:ascii="仿宋_GB2312" w:hint="eastAsia"/>
                <w:sz w:val="20"/>
                <w:szCs w:val="20"/>
              </w:rPr>
              <w:t>一元流动模型</w:t>
            </w:r>
          </w:p>
          <w:p w:rsidR="00C10776" w:rsidRPr="006A4F10" w:rsidRDefault="00C10776" w:rsidP="006A4F10">
            <w:pPr>
              <w:rPr>
                <w:rFonts w:ascii="仿宋_GB2312"/>
                <w:sz w:val="20"/>
                <w:szCs w:val="20"/>
              </w:rPr>
            </w:pPr>
            <w:r w:rsidRPr="006A4F10">
              <w:rPr>
                <w:rFonts w:ascii="仿宋_GB2312"/>
                <w:sz w:val="20"/>
                <w:szCs w:val="20"/>
              </w:rPr>
              <w:t>3.5</w:t>
            </w:r>
            <w:r w:rsidRPr="006A4F10">
              <w:rPr>
                <w:rFonts w:ascii="仿宋_GB2312" w:hint="eastAsia"/>
                <w:sz w:val="20"/>
                <w:szCs w:val="20"/>
              </w:rPr>
              <w:t>连续性方程</w:t>
            </w:r>
          </w:p>
          <w:p w:rsidR="00C10776" w:rsidRPr="006A4F10" w:rsidRDefault="00C10776" w:rsidP="006A4F10">
            <w:pPr>
              <w:rPr>
                <w:rFonts w:ascii="仿宋_GB2312"/>
                <w:sz w:val="20"/>
                <w:szCs w:val="20"/>
              </w:rPr>
            </w:pPr>
            <w:r w:rsidRPr="006A4F10">
              <w:rPr>
                <w:rFonts w:ascii="仿宋_GB2312"/>
                <w:sz w:val="20"/>
                <w:szCs w:val="20"/>
              </w:rPr>
              <w:t>3.6</w:t>
            </w:r>
            <w:r w:rsidRPr="006A4F10">
              <w:rPr>
                <w:rFonts w:ascii="仿宋_GB2312" w:hint="eastAsia"/>
                <w:sz w:val="20"/>
                <w:szCs w:val="20"/>
              </w:rPr>
              <w:t>恒定元流能量方程</w:t>
            </w:r>
          </w:p>
          <w:p w:rsidR="00C10776" w:rsidRPr="006A4F10" w:rsidRDefault="00C10776" w:rsidP="006A4F10">
            <w:pPr>
              <w:rPr>
                <w:rFonts w:ascii="仿宋_GB2312"/>
                <w:sz w:val="20"/>
                <w:szCs w:val="20"/>
              </w:rPr>
            </w:pPr>
            <w:r w:rsidRPr="006A4F10">
              <w:rPr>
                <w:rFonts w:ascii="仿宋_GB2312"/>
                <w:sz w:val="20"/>
                <w:szCs w:val="20"/>
              </w:rPr>
              <w:t>3.7</w:t>
            </w:r>
            <w:r w:rsidRPr="006A4F10">
              <w:rPr>
                <w:rFonts w:ascii="仿宋_GB2312" w:hint="eastAsia"/>
                <w:sz w:val="20"/>
                <w:szCs w:val="20"/>
              </w:rPr>
              <w:t>过流断面的压强分布</w:t>
            </w:r>
          </w:p>
          <w:p w:rsidR="00C10776" w:rsidRPr="006A4F10" w:rsidRDefault="00C10776" w:rsidP="006A4F10">
            <w:pPr>
              <w:rPr>
                <w:rFonts w:ascii="仿宋_GB2312"/>
                <w:sz w:val="20"/>
                <w:szCs w:val="20"/>
              </w:rPr>
            </w:pPr>
            <w:r w:rsidRPr="006A4F10">
              <w:rPr>
                <w:rFonts w:ascii="仿宋_GB2312"/>
                <w:sz w:val="20"/>
                <w:szCs w:val="20"/>
              </w:rPr>
              <w:t>3.8</w:t>
            </w:r>
            <w:r w:rsidRPr="006A4F10">
              <w:rPr>
                <w:rFonts w:ascii="仿宋_GB2312" w:hint="eastAsia"/>
                <w:sz w:val="20"/>
                <w:szCs w:val="20"/>
              </w:rPr>
              <w:t>恒定总流能量方程</w:t>
            </w:r>
          </w:p>
          <w:p w:rsidR="00C10776" w:rsidRPr="006A4F10" w:rsidRDefault="00C10776" w:rsidP="006A4F10">
            <w:pPr>
              <w:rPr>
                <w:rFonts w:ascii="仿宋_GB2312"/>
                <w:sz w:val="20"/>
                <w:szCs w:val="20"/>
              </w:rPr>
            </w:pPr>
            <w:r w:rsidRPr="006A4F10">
              <w:rPr>
                <w:rFonts w:ascii="仿宋_GB2312"/>
                <w:sz w:val="20"/>
                <w:szCs w:val="20"/>
              </w:rPr>
              <w:t>3.9</w:t>
            </w:r>
            <w:r w:rsidRPr="006A4F10">
              <w:rPr>
                <w:rFonts w:ascii="仿宋_GB2312" w:hint="eastAsia"/>
                <w:sz w:val="20"/>
                <w:szCs w:val="20"/>
              </w:rPr>
              <w:t>能量方程的应用</w:t>
            </w:r>
          </w:p>
          <w:p w:rsidR="00C10776" w:rsidRPr="006A4F10" w:rsidRDefault="00C10776" w:rsidP="006A4F10">
            <w:pPr>
              <w:rPr>
                <w:rFonts w:ascii="仿宋_GB2312"/>
                <w:sz w:val="20"/>
                <w:szCs w:val="20"/>
              </w:rPr>
            </w:pPr>
            <w:r w:rsidRPr="006A4F10">
              <w:rPr>
                <w:rFonts w:ascii="仿宋_GB2312"/>
                <w:sz w:val="20"/>
                <w:szCs w:val="20"/>
              </w:rPr>
              <w:t>3.10</w:t>
            </w:r>
            <w:r w:rsidRPr="006A4F10">
              <w:rPr>
                <w:rFonts w:ascii="仿宋_GB2312" w:hint="eastAsia"/>
                <w:sz w:val="20"/>
                <w:szCs w:val="20"/>
              </w:rPr>
              <w:t>总水头线和测压管水头线</w:t>
            </w:r>
          </w:p>
          <w:p w:rsidR="00C10776" w:rsidRPr="006A4F10" w:rsidRDefault="00C10776" w:rsidP="006A4F10">
            <w:pPr>
              <w:rPr>
                <w:rFonts w:ascii="仿宋_GB2312"/>
                <w:sz w:val="20"/>
                <w:szCs w:val="20"/>
              </w:rPr>
            </w:pPr>
            <w:r w:rsidRPr="006A4F10">
              <w:rPr>
                <w:rFonts w:ascii="仿宋_GB2312"/>
                <w:sz w:val="20"/>
                <w:szCs w:val="20"/>
              </w:rPr>
              <w:t>3.11</w:t>
            </w:r>
            <w:r w:rsidRPr="006A4F10">
              <w:rPr>
                <w:rFonts w:ascii="仿宋_GB2312" w:hint="eastAsia"/>
                <w:sz w:val="20"/>
                <w:szCs w:val="20"/>
              </w:rPr>
              <w:t>恒定气流能量方程</w:t>
            </w:r>
          </w:p>
          <w:p w:rsidR="00C10776" w:rsidRPr="006A4F10" w:rsidRDefault="00C10776" w:rsidP="006A4F10">
            <w:pPr>
              <w:rPr>
                <w:rFonts w:ascii="仿宋_GB2312"/>
                <w:sz w:val="20"/>
                <w:szCs w:val="20"/>
              </w:rPr>
            </w:pPr>
            <w:r w:rsidRPr="006A4F10">
              <w:rPr>
                <w:rFonts w:ascii="仿宋_GB2312"/>
                <w:sz w:val="20"/>
                <w:szCs w:val="20"/>
              </w:rPr>
              <w:t>3.12</w:t>
            </w:r>
            <w:r w:rsidRPr="006A4F10">
              <w:rPr>
                <w:rFonts w:ascii="仿宋_GB2312" w:hint="eastAsia"/>
                <w:sz w:val="20"/>
                <w:szCs w:val="20"/>
              </w:rPr>
              <w:t>总压线和全压线</w:t>
            </w:r>
          </w:p>
          <w:p w:rsidR="00C10776" w:rsidRPr="006A4F10" w:rsidRDefault="00C10776" w:rsidP="006A4F10">
            <w:pPr>
              <w:rPr>
                <w:rFonts w:ascii="仿宋_GB2312"/>
                <w:sz w:val="20"/>
                <w:szCs w:val="20"/>
              </w:rPr>
            </w:pPr>
            <w:r w:rsidRPr="006A4F10">
              <w:rPr>
                <w:rFonts w:ascii="仿宋_GB2312"/>
                <w:sz w:val="20"/>
                <w:szCs w:val="20"/>
              </w:rPr>
              <w:t>3.13</w:t>
            </w:r>
            <w:r w:rsidRPr="006A4F10">
              <w:rPr>
                <w:rFonts w:ascii="仿宋_GB2312" w:hint="eastAsia"/>
                <w:sz w:val="20"/>
                <w:szCs w:val="20"/>
              </w:rPr>
              <w:t>恒定流动量方程。</w:t>
            </w:r>
          </w:p>
        </w:tc>
        <w:tc>
          <w:tcPr>
            <w:tcW w:w="2755" w:type="dxa"/>
            <w:vAlign w:val="center"/>
          </w:tcPr>
          <w:p w:rsidR="00C10776" w:rsidRPr="006A4F10" w:rsidRDefault="00C10776" w:rsidP="006A4F10">
            <w:pPr>
              <w:rPr>
                <w:rFonts w:ascii="仿宋_GB2312"/>
                <w:sz w:val="20"/>
                <w:szCs w:val="20"/>
              </w:rPr>
            </w:pPr>
            <w:r w:rsidRPr="006A4F10">
              <w:rPr>
                <w:rFonts w:ascii="仿宋_GB2312" w:hint="eastAsia"/>
                <w:sz w:val="20"/>
                <w:szCs w:val="20"/>
              </w:rPr>
              <w:t>掌握流体力学的研究方法和相关概念，掌握一元流体运动的连续方程、能量方程和动量方程并能熟练应用这些方程解决实际工程问题。</w:t>
            </w:r>
          </w:p>
        </w:tc>
      </w:tr>
      <w:tr w:rsidR="00C10776" w:rsidTr="00C10776">
        <w:trPr>
          <w:trHeight w:val="548"/>
        </w:trPr>
        <w:tc>
          <w:tcPr>
            <w:tcW w:w="512" w:type="dxa"/>
            <w:vAlign w:val="center"/>
          </w:tcPr>
          <w:p w:rsidR="00C10776" w:rsidRPr="006A4F10" w:rsidRDefault="00C10776" w:rsidP="00C10776">
            <w:pPr>
              <w:rPr>
                <w:rFonts w:ascii="仿宋_GB2312"/>
                <w:sz w:val="20"/>
                <w:szCs w:val="20"/>
              </w:rPr>
            </w:pPr>
            <w:r w:rsidRPr="006A4F10">
              <w:rPr>
                <w:rFonts w:ascii="仿宋_GB2312"/>
                <w:sz w:val="20"/>
                <w:szCs w:val="20"/>
              </w:rPr>
              <w:t>4</w:t>
            </w: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第四章</w:t>
            </w:r>
            <w:r w:rsidRPr="006A4F10">
              <w:rPr>
                <w:rFonts w:ascii="仿宋_GB2312"/>
                <w:sz w:val="20"/>
                <w:szCs w:val="20"/>
              </w:rPr>
              <w:t xml:space="preserve">  </w:t>
            </w:r>
            <w:r w:rsidRPr="006A4F10">
              <w:rPr>
                <w:rFonts w:ascii="仿宋_GB2312" w:hint="eastAsia"/>
                <w:sz w:val="20"/>
                <w:szCs w:val="20"/>
              </w:rPr>
              <w:t>流动阻力和能量方程</w:t>
            </w:r>
          </w:p>
        </w:tc>
        <w:tc>
          <w:tcPr>
            <w:tcW w:w="727" w:type="dxa"/>
            <w:vAlign w:val="center"/>
          </w:tcPr>
          <w:p w:rsidR="00C10776" w:rsidRPr="006A4F10" w:rsidRDefault="00C10776" w:rsidP="00C10776">
            <w:pPr>
              <w:rPr>
                <w:rFonts w:ascii="仿宋_GB2312"/>
                <w:sz w:val="20"/>
                <w:szCs w:val="20"/>
              </w:rPr>
            </w:pPr>
            <w:r w:rsidRPr="006A4F10">
              <w:rPr>
                <w:rFonts w:ascii="仿宋_GB2312"/>
                <w:sz w:val="20"/>
                <w:szCs w:val="20"/>
              </w:rPr>
              <w:t>8</w:t>
            </w:r>
          </w:p>
        </w:tc>
        <w:tc>
          <w:tcPr>
            <w:tcW w:w="3059" w:type="dxa"/>
            <w:vAlign w:val="center"/>
          </w:tcPr>
          <w:p w:rsidR="00C10776" w:rsidRPr="006A4F10" w:rsidRDefault="00C10776" w:rsidP="00C10776">
            <w:pPr>
              <w:rPr>
                <w:rFonts w:ascii="仿宋_GB2312"/>
                <w:sz w:val="20"/>
                <w:szCs w:val="20"/>
              </w:rPr>
            </w:pPr>
            <w:r w:rsidRPr="006A4F10">
              <w:rPr>
                <w:rFonts w:ascii="仿宋_GB2312"/>
                <w:sz w:val="20"/>
                <w:szCs w:val="20"/>
              </w:rPr>
              <w:t>4.1</w:t>
            </w:r>
            <w:r w:rsidRPr="006A4F10">
              <w:rPr>
                <w:rFonts w:ascii="仿宋_GB2312" w:hint="eastAsia"/>
                <w:sz w:val="20"/>
                <w:szCs w:val="20"/>
              </w:rPr>
              <w:t>沿程损失和局部损失</w:t>
            </w:r>
          </w:p>
          <w:p w:rsidR="00C10776" w:rsidRPr="006A4F10" w:rsidRDefault="00C10776" w:rsidP="00C10776">
            <w:pPr>
              <w:rPr>
                <w:rFonts w:ascii="仿宋_GB2312"/>
                <w:sz w:val="20"/>
                <w:szCs w:val="20"/>
              </w:rPr>
            </w:pPr>
            <w:r w:rsidRPr="006A4F10">
              <w:rPr>
                <w:rFonts w:ascii="仿宋_GB2312"/>
                <w:sz w:val="20"/>
                <w:szCs w:val="20"/>
              </w:rPr>
              <w:t>4.2</w:t>
            </w:r>
            <w:r w:rsidRPr="006A4F10">
              <w:rPr>
                <w:rFonts w:ascii="仿宋_GB2312" w:hint="eastAsia"/>
                <w:sz w:val="20"/>
                <w:szCs w:val="20"/>
              </w:rPr>
              <w:t>层流与紊流、雷诺数</w:t>
            </w:r>
          </w:p>
          <w:p w:rsidR="00C10776" w:rsidRPr="006A4F10" w:rsidRDefault="00C10776" w:rsidP="00C10776">
            <w:pPr>
              <w:rPr>
                <w:rFonts w:ascii="仿宋_GB2312"/>
                <w:sz w:val="20"/>
                <w:szCs w:val="20"/>
              </w:rPr>
            </w:pPr>
            <w:r w:rsidRPr="006A4F10">
              <w:rPr>
                <w:rFonts w:ascii="仿宋_GB2312"/>
                <w:sz w:val="20"/>
                <w:szCs w:val="20"/>
              </w:rPr>
              <w:t>4.3</w:t>
            </w:r>
            <w:r w:rsidRPr="006A4F10">
              <w:rPr>
                <w:rFonts w:ascii="仿宋_GB2312" w:hint="eastAsia"/>
                <w:sz w:val="20"/>
                <w:szCs w:val="20"/>
              </w:rPr>
              <w:t>圆管中的层流运动</w:t>
            </w:r>
          </w:p>
          <w:p w:rsidR="00C10776" w:rsidRPr="006A4F10" w:rsidRDefault="00C10776" w:rsidP="00C10776">
            <w:pPr>
              <w:rPr>
                <w:rFonts w:ascii="仿宋_GB2312"/>
                <w:sz w:val="20"/>
                <w:szCs w:val="20"/>
              </w:rPr>
            </w:pPr>
            <w:r w:rsidRPr="006A4F10">
              <w:rPr>
                <w:rFonts w:ascii="仿宋_GB2312"/>
                <w:sz w:val="20"/>
                <w:szCs w:val="20"/>
              </w:rPr>
              <w:lastRenderedPageBreak/>
              <w:t>4.4</w:t>
            </w:r>
            <w:r w:rsidRPr="006A4F10">
              <w:rPr>
                <w:rFonts w:ascii="仿宋_GB2312" w:hint="eastAsia"/>
                <w:sz w:val="20"/>
                <w:szCs w:val="20"/>
              </w:rPr>
              <w:t>紊流运动的特征和紊流阻力</w:t>
            </w:r>
          </w:p>
          <w:p w:rsidR="00C10776" w:rsidRPr="006A4F10" w:rsidRDefault="00C10776" w:rsidP="00C10776">
            <w:pPr>
              <w:rPr>
                <w:rFonts w:ascii="仿宋_GB2312"/>
                <w:sz w:val="20"/>
                <w:szCs w:val="20"/>
              </w:rPr>
            </w:pPr>
            <w:r w:rsidRPr="006A4F10">
              <w:rPr>
                <w:rFonts w:ascii="仿宋_GB2312"/>
                <w:sz w:val="20"/>
                <w:szCs w:val="20"/>
              </w:rPr>
              <w:t>4.5</w:t>
            </w:r>
            <w:r w:rsidRPr="006A4F10">
              <w:rPr>
                <w:rFonts w:ascii="仿宋_GB2312" w:hint="eastAsia"/>
                <w:sz w:val="20"/>
                <w:szCs w:val="20"/>
              </w:rPr>
              <w:t>尼古拉兹实验</w:t>
            </w:r>
          </w:p>
          <w:p w:rsidR="00C10776" w:rsidRPr="006A4F10" w:rsidRDefault="00C10776" w:rsidP="00C10776">
            <w:pPr>
              <w:rPr>
                <w:rFonts w:ascii="仿宋_GB2312"/>
                <w:sz w:val="20"/>
                <w:szCs w:val="20"/>
              </w:rPr>
            </w:pPr>
            <w:r w:rsidRPr="006A4F10">
              <w:rPr>
                <w:rFonts w:ascii="仿宋_GB2312"/>
                <w:sz w:val="20"/>
                <w:szCs w:val="20"/>
              </w:rPr>
              <w:t>4.6</w:t>
            </w:r>
            <w:r w:rsidRPr="006A4F10">
              <w:rPr>
                <w:rFonts w:ascii="仿宋_GB2312" w:hint="eastAsia"/>
                <w:sz w:val="20"/>
                <w:szCs w:val="20"/>
              </w:rPr>
              <w:t>工业管道紊流阻力系数的计算公式</w:t>
            </w:r>
            <w:r w:rsidRPr="006A4F10">
              <w:rPr>
                <w:rFonts w:ascii="仿宋_GB2312"/>
                <w:sz w:val="20"/>
                <w:szCs w:val="20"/>
              </w:rPr>
              <w:t xml:space="preserve"> </w:t>
            </w:r>
          </w:p>
          <w:p w:rsidR="00C10776" w:rsidRPr="006A4F10" w:rsidRDefault="00C10776" w:rsidP="00C10776">
            <w:pPr>
              <w:rPr>
                <w:rFonts w:ascii="仿宋_GB2312"/>
                <w:sz w:val="20"/>
                <w:szCs w:val="20"/>
              </w:rPr>
            </w:pPr>
            <w:r w:rsidRPr="006A4F10">
              <w:rPr>
                <w:rFonts w:ascii="仿宋_GB2312"/>
                <w:sz w:val="20"/>
                <w:szCs w:val="20"/>
              </w:rPr>
              <w:t>4.7</w:t>
            </w:r>
            <w:r w:rsidRPr="006A4F10">
              <w:rPr>
                <w:rFonts w:ascii="仿宋_GB2312" w:hint="eastAsia"/>
                <w:sz w:val="20"/>
                <w:szCs w:val="20"/>
              </w:rPr>
              <w:t>非圆管的沿程损失</w:t>
            </w:r>
          </w:p>
          <w:p w:rsidR="00C10776" w:rsidRPr="006A4F10" w:rsidRDefault="00C10776" w:rsidP="00C10776">
            <w:pPr>
              <w:rPr>
                <w:rFonts w:ascii="仿宋_GB2312"/>
                <w:sz w:val="20"/>
                <w:szCs w:val="20"/>
              </w:rPr>
            </w:pPr>
            <w:r w:rsidRPr="006A4F10">
              <w:rPr>
                <w:rFonts w:ascii="仿宋_GB2312"/>
                <w:sz w:val="20"/>
                <w:szCs w:val="20"/>
              </w:rPr>
              <w:t>4.8</w:t>
            </w:r>
            <w:r w:rsidRPr="006A4F10">
              <w:rPr>
                <w:rFonts w:ascii="仿宋_GB2312" w:hint="eastAsia"/>
                <w:sz w:val="20"/>
                <w:szCs w:val="20"/>
              </w:rPr>
              <w:t>管道流动的局部损失</w:t>
            </w:r>
          </w:p>
        </w:tc>
        <w:tc>
          <w:tcPr>
            <w:tcW w:w="2755" w:type="dxa"/>
            <w:vAlign w:val="center"/>
          </w:tcPr>
          <w:p w:rsidR="00C10776" w:rsidRPr="006A4F10" w:rsidRDefault="00C10776" w:rsidP="00C10776">
            <w:pPr>
              <w:rPr>
                <w:rFonts w:ascii="仿宋_GB2312"/>
                <w:sz w:val="20"/>
                <w:szCs w:val="20"/>
              </w:rPr>
            </w:pPr>
            <w:r w:rsidRPr="006A4F10">
              <w:rPr>
                <w:rFonts w:ascii="仿宋_GB2312" w:hint="eastAsia"/>
                <w:sz w:val="20"/>
                <w:szCs w:val="20"/>
              </w:rPr>
              <w:lastRenderedPageBreak/>
              <w:t>掌握沿程损失和局部损失的概念，掌握层流和紊流的概念，掌握雷诺数的物理意义，</w:t>
            </w:r>
            <w:r w:rsidRPr="006A4F10">
              <w:rPr>
                <w:rFonts w:ascii="仿宋_GB2312" w:hint="eastAsia"/>
                <w:sz w:val="20"/>
                <w:szCs w:val="20"/>
              </w:rPr>
              <w:lastRenderedPageBreak/>
              <w:t>掌握不同流态下的沿程阻力损失和局部阻力损失的计算方法和相关公式。</w:t>
            </w:r>
          </w:p>
        </w:tc>
      </w:tr>
      <w:tr w:rsidR="00C10776" w:rsidTr="00C10776">
        <w:trPr>
          <w:trHeight w:val="548"/>
        </w:trPr>
        <w:tc>
          <w:tcPr>
            <w:tcW w:w="512" w:type="dxa"/>
            <w:vAlign w:val="center"/>
          </w:tcPr>
          <w:p w:rsidR="00C10776" w:rsidRPr="006A4F10" w:rsidRDefault="00C10776" w:rsidP="00C10776">
            <w:pPr>
              <w:rPr>
                <w:rFonts w:ascii="仿宋_GB2312"/>
                <w:sz w:val="20"/>
                <w:szCs w:val="20"/>
              </w:rPr>
            </w:pPr>
            <w:r w:rsidRPr="006A4F10">
              <w:rPr>
                <w:rFonts w:ascii="仿宋_GB2312"/>
                <w:sz w:val="20"/>
                <w:szCs w:val="20"/>
              </w:rPr>
              <w:t>5</w:t>
            </w: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第五章</w:t>
            </w:r>
            <w:r w:rsidRPr="006A4F10">
              <w:rPr>
                <w:rFonts w:ascii="仿宋_GB2312"/>
                <w:sz w:val="20"/>
                <w:szCs w:val="20"/>
              </w:rPr>
              <w:t xml:space="preserve">  </w:t>
            </w:r>
            <w:r w:rsidRPr="006A4F10">
              <w:rPr>
                <w:rFonts w:ascii="仿宋_GB2312" w:hint="eastAsia"/>
                <w:sz w:val="20"/>
                <w:szCs w:val="20"/>
              </w:rPr>
              <w:t>孔口管嘴管路流动</w:t>
            </w:r>
          </w:p>
        </w:tc>
        <w:tc>
          <w:tcPr>
            <w:tcW w:w="727" w:type="dxa"/>
            <w:vAlign w:val="center"/>
          </w:tcPr>
          <w:p w:rsidR="00C10776" w:rsidRPr="006A4F10" w:rsidRDefault="00C10776" w:rsidP="00C10776">
            <w:pPr>
              <w:rPr>
                <w:rFonts w:ascii="仿宋_GB2312"/>
                <w:sz w:val="20"/>
                <w:szCs w:val="20"/>
              </w:rPr>
            </w:pPr>
            <w:r w:rsidRPr="006A4F10">
              <w:rPr>
                <w:rFonts w:ascii="仿宋_GB2312"/>
                <w:sz w:val="20"/>
                <w:szCs w:val="20"/>
              </w:rPr>
              <w:t>6</w:t>
            </w:r>
          </w:p>
        </w:tc>
        <w:tc>
          <w:tcPr>
            <w:tcW w:w="3059" w:type="dxa"/>
            <w:vAlign w:val="center"/>
          </w:tcPr>
          <w:p w:rsidR="00C10776" w:rsidRPr="006A4F10" w:rsidRDefault="00C10776" w:rsidP="00C10776">
            <w:pPr>
              <w:rPr>
                <w:rFonts w:ascii="仿宋_GB2312"/>
                <w:sz w:val="20"/>
                <w:szCs w:val="20"/>
              </w:rPr>
            </w:pPr>
            <w:r w:rsidRPr="006A4F10">
              <w:rPr>
                <w:rFonts w:ascii="仿宋_GB2312"/>
                <w:sz w:val="20"/>
                <w:szCs w:val="20"/>
              </w:rPr>
              <w:t>5.1</w:t>
            </w:r>
            <w:r w:rsidRPr="006A4F10">
              <w:rPr>
                <w:rFonts w:ascii="仿宋_GB2312" w:hint="eastAsia"/>
                <w:sz w:val="20"/>
                <w:szCs w:val="20"/>
              </w:rPr>
              <w:t>孔口自由出流</w:t>
            </w:r>
          </w:p>
          <w:p w:rsidR="00C10776" w:rsidRPr="006A4F10" w:rsidRDefault="00C10776" w:rsidP="00C10776">
            <w:pPr>
              <w:rPr>
                <w:rFonts w:ascii="仿宋_GB2312"/>
                <w:sz w:val="20"/>
                <w:szCs w:val="20"/>
              </w:rPr>
            </w:pPr>
            <w:r w:rsidRPr="006A4F10">
              <w:rPr>
                <w:rFonts w:ascii="仿宋_GB2312"/>
                <w:sz w:val="20"/>
                <w:szCs w:val="20"/>
              </w:rPr>
              <w:t>5.2</w:t>
            </w:r>
            <w:r w:rsidRPr="006A4F10">
              <w:rPr>
                <w:rFonts w:ascii="仿宋_GB2312" w:hint="eastAsia"/>
                <w:sz w:val="20"/>
                <w:szCs w:val="20"/>
              </w:rPr>
              <w:t>孔口淹没出流</w:t>
            </w:r>
          </w:p>
          <w:p w:rsidR="00C10776" w:rsidRPr="006A4F10" w:rsidRDefault="00C10776" w:rsidP="00C10776">
            <w:pPr>
              <w:rPr>
                <w:rFonts w:ascii="仿宋_GB2312"/>
                <w:sz w:val="20"/>
                <w:szCs w:val="20"/>
              </w:rPr>
            </w:pPr>
            <w:r w:rsidRPr="006A4F10">
              <w:rPr>
                <w:rFonts w:ascii="仿宋_GB2312"/>
                <w:sz w:val="20"/>
                <w:szCs w:val="20"/>
              </w:rPr>
              <w:t>5.3</w:t>
            </w:r>
            <w:r w:rsidRPr="006A4F10">
              <w:rPr>
                <w:rFonts w:ascii="仿宋_GB2312" w:hint="eastAsia"/>
                <w:sz w:val="20"/>
                <w:szCs w:val="20"/>
              </w:rPr>
              <w:t>管嘴出流</w:t>
            </w:r>
          </w:p>
          <w:p w:rsidR="00C10776" w:rsidRPr="006A4F10" w:rsidRDefault="00C10776" w:rsidP="00C10776">
            <w:pPr>
              <w:rPr>
                <w:rFonts w:ascii="仿宋_GB2312"/>
                <w:sz w:val="20"/>
                <w:szCs w:val="20"/>
              </w:rPr>
            </w:pPr>
            <w:r w:rsidRPr="006A4F10">
              <w:rPr>
                <w:rFonts w:ascii="仿宋_GB2312"/>
                <w:sz w:val="20"/>
                <w:szCs w:val="20"/>
              </w:rPr>
              <w:t>5.4</w:t>
            </w:r>
            <w:r w:rsidRPr="006A4F10">
              <w:rPr>
                <w:rFonts w:ascii="仿宋_GB2312" w:hint="eastAsia"/>
                <w:sz w:val="20"/>
                <w:szCs w:val="20"/>
              </w:rPr>
              <w:t>简单管路</w:t>
            </w:r>
          </w:p>
          <w:p w:rsidR="00C10776" w:rsidRPr="006A4F10" w:rsidRDefault="00C10776" w:rsidP="00C10776">
            <w:pPr>
              <w:rPr>
                <w:rFonts w:ascii="仿宋_GB2312"/>
                <w:sz w:val="20"/>
                <w:szCs w:val="20"/>
              </w:rPr>
            </w:pPr>
            <w:r w:rsidRPr="006A4F10">
              <w:rPr>
                <w:rFonts w:ascii="仿宋_GB2312"/>
                <w:sz w:val="20"/>
                <w:szCs w:val="20"/>
              </w:rPr>
              <w:t>5.5</w:t>
            </w:r>
            <w:r w:rsidRPr="006A4F10">
              <w:rPr>
                <w:rFonts w:ascii="仿宋_GB2312" w:hint="eastAsia"/>
                <w:sz w:val="20"/>
                <w:szCs w:val="20"/>
              </w:rPr>
              <w:t>管路的串、并联</w:t>
            </w:r>
          </w:p>
          <w:p w:rsidR="00C10776" w:rsidRPr="006A4F10" w:rsidRDefault="00C10776" w:rsidP="00C10776">
            <w:pPr>
              <w:rPr>
                <w:rFonts w:ascii="仿宋_GB2312"/>
                <w:sz w:val="20"/>
                <w:szCs w:val="20"/>
              </w:rPr>
            </w:pPr>
            <w:r w:rsidRPr="006A4F10">
              <w:rPr>
                <w:rFonts w:ascii="仿宋_GB2312"/>
                <w:sz w:val="20"/>
                <w:szCs w:val="20"/>
              </w:rPr>
              <w:t>5.6</w:t>
            </w:r>
            <w:r w:rsidRPr="006A4F10">
              <w:rPr>
                <w:rFonts w:ascii="仿宋_GB2312" w:hint="eastAsia"/>
                <w:sz w:val="20"/>
                <w:szCs w:val="20"/>
              </w:rPr>
              <w:t>管网计算基础</w:t>
            </w:r>
          </w:p>
          <w:p w:rsidR="00C10776" w:rsidRPr="006A4F10" w:rsidRDefault="00C10776" w:rsidP="00C10776">
            <w:pPr>
              <w:rPr>
                <w:rFonts w:ascii="仿宋_GB2312"/>
                <w:sz w:val="20"/>
                <w:szCs w:val="20"/>
              </w:rPr>
            </w:pPr>
            <w:r w:rsidRPr="006A4F10">
              <w:rPr>
                <w:rFonts w:ascii="仿宋_GB2312"/>
                <w:sz w:val="20"/>
                <w:szCs w:val="20"/>
              </w:rPr>
              <w:t>5.7</w:t>
            </w:r>
            <w:r w:rsidRPr="006A4F10">
              <w:rPr>
                <w:rFonts w:ascii="仿宋_GB2312" w:hint="eastAsia"/>
                <w:sz w:val="20"/>
                <w:szCs w:val="20"/>
              </w:rPr>
              <w:t>有压管中的水击。</w:t>
            </w:r>
          </w:p>
        </w:tc>
        <w:tc>
          <w:tcPr>
            <w:tcW w:w="2755" w:type="dxa"/>
            <w:vAlign w:val="center"/>
          </w:tcPr>
          <w:p w:rsidR="00C10776" w:rsidRPr="006A4F10" w:rsidRDefault="00C10776" w:rsidP="00C10776">
            <w:pPr>
              <w:rPr>
                <w:rFonts w:ascii="仿宋_GB2312"/>
                <w:sz w:val="20"/>
                <w:szCs w:val="20"/>
              </w:rPr>
            </w:pPr>
            <w:r w:rsidRPr="006A4F10">
              <w:rPr>
                <w:rFonts w:ascii="仿宋_GB2312" w:hint="eastAsia"/>
                <w:sz w:val="20"/>
                <w:szCs w:val="20"/>
              </w:rPr>
              <w:t>掌握各种孔口出流和管嘴出流的流量计算方法，掌握简单管路和串并联管路的水力计算，掌握管网计算的方法和思路，掌握水击的原理和危害。</w:t>
            </w:r>
          </w:p>
        </w:tc>
      </w:tr>
      <w:tr w:rsidR="00C10776" w:rsidTr="00C10776">
        <w:trPr>
          <w:trHeight w:val="548"/>
        </w:trPr>
        <w:tc>
          <w:tcPr>
            <w:tcW w:w="512" w:type="dxa"/>
            <w:vAlign w:val="center"/>
          </w:tcPr>
          <w:p w:rsidR="00C10776" w:rsidRPr="006A4F10" w:rsidRDefault="00C10776" w:rsidP="00C10776">
            <w:pPr>
              <w:rPr>
                <w:rFonts w:ascii="仿宋_GB2312"/>
                <w:sz w:val="20"/>
                <w:szCs w:val="20"/>
              </w:rPr>
            </w:pP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第六章</w:t>
            </w:r>
            <w:r w:rsidRPr="006A4F10">
              <w:rPr>
                <w:rFonts w:ascii="仿宋_GB2312"/>
                <w:sz w:val="20"/>
                <w:szCs w:val="20"/>
              </w:rPr>
              <w:t xml:space="preserve">  </w:t>
            </w:r>
            <w:r w:rsidRPr="006A4F10">
              <w:rPr>
                <w:rFonts w:ascii="仿宋_GB2312" w:hint="eastAsia"/>
                <w:sz w:val="20"/>
                <w:szCs w:val="20"/>
              </w:rPr>
              <w:t>气体射流</w:t>
            </w:r>
          </w:p>
        </w:tc>
        <w:tc>
          <w:tcPr>
            <w:tcW w:w="727" w:type="dxa"/>
            <w:vAlign w:val="center"/>
          </w:tcPr>
          <w:p w:rsidR="00C10776" w:rsidRPr="006A4F10" w:rsidRDefault="00C10776" w:rsidP="00C10776">
            <w:pPr>
              <w:rPr>
                <w:rFonts w:ascii="仿宋_GB2312"/>
                <w:sz w:val="20"/>
                <w:szCs w:val="20"/>
              </w:rPr>
            </w:pPr>
            <w:r w:rsidRPr="006A4F10">
              <w:rPr>
                <w:rFonts w:ascii="仿宋_GB2312"/>
                <w:sz w:val="20"/>
                <w:szCs w:val="20"/>
              </w:rPr>
              <w:t>6</w:t>
            </w:r>
          </w:p>
        </w:tc>
        <w:tc>
          <w:tcPr>
            <w:tcW w:w="3059" w:type="dxa"/>
            <w:vAlign w:val="center"/>
          </w:tcPr>
          <w:p w:rsidR="00C10776" w:rsidRPr="006A4F10" w:rsidRDefault="00C10776" w:rsidP="00C10776">
            <w:pPr>
              <w:rPr>
                <w:rFonts w:ascii="仿宋_GB2312"/>
                <w:sz w:val="20"/>
                <w:szCs w:val="20"/>
              </w:rPr>
            </w:pPr>
            <w:r w:rsidRPr="006A4F10">
              <w:rPr>
                <w:rFonts w:ascii="仿宋_GB2312"/>
                <w:sz w:val="20"/>
                <w:szCs w:val="20"/>
              </w:rPr>
              <w:t>6.1</w:t>
            </w:r>
            <w:r w:rsidRPr="006A4F10">
              <w:rPr>
                <w:rFonts w:ascii="仿宋_GB2312" w:hint="eastAsia"/>
                <w:sz w:val="20"/>
                <w:szCs w:val="20"/>
              </w:rPr>
              <w:t>无限空间淹没紊流射流的特征</w:t>
            </w:r>
          </w:p>
          <w:p w:rsidR="00C10776" w:rsidRPr="006A4F10" w:rsidRDefault="00C10776" w:rsidP="00C10776">
            <w:pPr>
              <w:rPr>
                <w:rFonts w:ascii="仿宋_GB2312"/>
                <w:sz w:val="20"/>
                <w:szCs w:val="20"/>
              </w:rPr>
            </w:pPr>
            <w:r w:rsidRPr="006A4F10">
              <w:rPr>
                <w:rFonts w:ascii="仿宋_GB2312"/>
                <w:sz w:val="20"/>
                <w:szCs w:val="20"/>
              </w:rPr>
              <w:t>6.2</w:t>
            </w:r>
            <w:r w:rsidRPr="006A4F10">
              <w:rPr>
                <w:rFonts w:ascii="仿宋_GB2312" w:hint="eastAsia"/>
                <w:sz w:val="20"/>
                <w:szCs w:val="20"/>
              </w:rPr>
              <w:t>圆断面射流的运动分析</w:t>
            </w:r>
          </w:p>
          <w:p w:rsidR="00C10776" w:rsidRPr="006A4F10" w:rsidRDefault="00C10776" w:rsidP="00C10776">
            <w:pPr>
              <w:rPr>
                <w:rFonts w:ascii="仿宋_GB2312"/>
                <w:sz w:val="20"/>
                <w:szCs w:val="20"/>
              </w:rPr>
            </w:pPr>
            <w:r w:rsidRPr="006A4F10">
              <w:rPr>
                <w:rFonts w:ascii="仿宋_GB2312"/>
                <w:sz w:val="20"/>
                <w:szCs w:val="20"/>
              </w:rPr>
              <w:t>6.3</w:t>
            </w:r>
            <w:r w:rsidRPr="006A4F10">
              <w:rPr>
                <w:rFonts w:ascii="仿宋_GB2312" w:hint="eastAsia"/>
                <w:sz w:val="20"/>
                <w:szCs w:val="20"/>
              </w:rPr>
              <w:t>平面射流</w:t>
            </w:r>
          </w:p>
          <w:p w:rsidR="00C10776" w:rsidRPr="006A4F10" w:rsidRDefault="00C10776" w:rsidP="00C10776">
            <w:pPr>
              <w:rPr>
                <w:rFonts w:ascii="仿宋_GB2312"/>
                <w:sz w:val="20"/>
                <w:szCs w:val="20"/>
              </w:rPr>
            </w:pPr>
            <w:r w:rsidRPr="006A4F10">
              <w:rPr>
                <w:rFonts w:ascii="仿宋_GB2312"/>
                <w:sz w:val="20"/>
                <w:szCs w:val="20"/>
              </w:rPr>
              <w:t>6.4</w:t>
            </w:r>
            <w:r w:rsidRPr="006A4F10">
              <w:rPr>
                <w:rFonts w:ascii="仿宋_GB2312" w:hint="eastAsia"/>
                <w:sz w:val="20"/>
                <w:szCs w:val="20"/>
              </w:rPr>
              <w:t>温差或浓差射流</w:t>
            </w:r>
          </w:p>
          <w:p w:rsidR="00C10776" w:rsidRPr="006A4F10" w:rsidRDefault="00C10776" w:rsidP="00C10776">
            <w:pPr>
              <w:rPr>
                <w:rFonts w:ascii="仿宋_GB2312"/>
                <w:sz w:val="20"/>
                <w:szCs w:val="20"/>
              </w:rPr>
            </w:pPr>
            <w:r w:rsidRPr="006A4F10">
              <w:rPr>
                <w:rFonts w:ascii="仿宋_GB2312"/>
                <w:sz w:val="20"/>
                <w:szCs w:val="20"/>
              </w:rPr>
              <w:t>6.5</w:t>
            </w:r>
            <w:r w:rsidRPr="006A4F10">
              <w:rPr>
                <w:rFonts w:ascii="仿宋_GB2312" w:hint="eastAsia"/>
                <w:sz w:val="20"/>
                <w:szCs w:val="20"/>
              </w:rPr>
              <w:t>有限空间射流。</w:t>
            </w:r>
          </w:p>
        </w:tc>
        <w:tc>
          <w:tcPr>
            <w:tcW w:w="2755" w:type="dxa"/>
            <w:vAlign w:val="center"/>
          </w:tcPr>
          <w:p w:rsidR="00C10776" w:rsidRPr="006A4F10" w:rsidRDefault="00C10776" w:rsidP="00C10776">
            <w:pPr>
              <w:rPr>
                <w:rFonts w:ascii="仿宋_GB2312"/>
                <w:sz w:val="20"/>
                <w:szCs w:val="20"/>
              </w:rPr>
            </w:pPr>
            <w:r w:rsidRPr="006A4F10">
              <w:rPr>
                <w:rFonts w:ascii="仿宋_GB2312" w:hint="eastAsia"/>
                <w:sz w:val="20"/>
                <w:szCs w:val="20"/>
              </w:rPr>
              <w:t>掌握气体射流的射流结构、运动特征及动力特征。掌握常用的射流种类，了解射流对室内气流组织的影响。</w:t>
            </w:r>
          </w:p>
        </w:tc>
      </w:tr>
      <w:tr w:rsidR="00C10776" w:rsidTr="00C10776">
        <w:trPr>
          <w:trHeight w:val="548"/>
        </w:trPr>
        <w:tc>
          <w:tcPr>
            <w:tcW w:w="512" w:type="dxa"/>
            <w:vAlign w:val="center"/>
          </w:tcPr>
          <w:p w:rsidR="00C10776" w:rsidRPr="006A4F10" w:rsidRDefault="00C10776" w:rsidP="00C10776">
            <w:pPr>
              <w:rPr>
                <w:rFonts w:ascii="仿宋_GB2312"/>
                <w:sz w:val="20"/>
                <w:szCs w:val="20"/>
              </w:rPr>
            </w:pP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第七章</w:t>
            </w:r>
            <w:r w:rsidRPr="006A4F10">
              <w:rPr>
                <w:rFonts w:ascii="仿宋_GB2312"/>
                <w:sz w:val="20"/>
                <w:szCs w:val="20"/>
              </w:rPr>
              <w:t xml:space="preserve">  </w:t>
            </w:r>
            <w:r w:rsidRPr="006A4F10">
              <w:rPr>
                <w:rFonts w:ascii="仿宋_GB2312" w:hint="eastAsia"/>
                <w:sz w:val="20"/>
                <w:szCs w:val="20"/>
              </w:rPr>
              <w:t>不可压缩流体动力学基础</w:t>
            </w:r>
          </w:p>
        </w:tc>
        <w:tc>
          <w:tcPr>
            <w:tcW w:w="727" w:type="dxa"/>
            <w:vAlign w:val="center"/>
          </w:tcPr>
          <w:p w:rsidR="00C10776" w:rsidRPr="006A4F10" w:rsidRDefault="00C10776" w:rsidP="00C10776">
            <w:pPr>
              <w:rPr>
                <w:rFonts w:ascii="仿宋_GB2312"/>
                <w:sz w:val="20"/>
                <w:szCs w:val="20"/>
              </w:rPr>
            </w:pPr>
            <w:r w:rsidRPr="006A4F10">
              <w:rPr>
                <w:rFonts w:ascii="仿宋_GB2312"/>
                <w:sz w:val="20"/>
                <w:szCs w:val="20"/>
              </w:rPr>
              <w:t>7</w:t>
            </w:r>
          </w:p>
        </w:tc>
        <w:tc>
          <w:tcPr>
            <w:tcW w:w="3059" w:type="dxa"/>
            <w:vAlign w:val="center"/>
          </w:tcPr>
          <w:p w:rsidR="00C10776" w:rsidRPr="006A4F10" w:rsidRDefault="00C10776" w:rsidP="00C10776">
            <w:pPr>
              <w:rPr>
                <w:rFonts w:ascii="仿宋_GB2312"/>
                <w:sz w:val="20"/>
                <w:szCs w:val="20"/>
              </w:rPr>
            </w:pPr>
            <w:r w:rsidRPr="006A4F10">
              <w:rPr>
                <w:rFonts w:ascii="仿宋_GB2312"/>
                <w:sz w:val="20"/>
                <w:szCs w:val="20"/>
              </w:rPr>
              <w:t>7.1</w:t>
            </w:r>
            <w:r w:rsidRPr="006A4F10">
              <w:rPr>
                <w:rFonts w:ascii="仿宋_GB2312" w:hint="eastAsia"/>
                <w:sz w:val="20"/>
                <w:szCs w:val="20"/>
              </w:rPr>
              <w:t>流体微团运动的分析</w:t>
            </w:r>
          </w:p>
          <w:p w:rsidR="00C10776" w:rsidRPr="006A4F10" w:rsidRDefault="00C10776" w:rsidP="00C10776">
            <w:pPr>
              <w:rPr>
                <w:rFonts w:ascii="仿宋_GB2312"/>
                <w:sz w:val="20"/>
                <w:szCs w:val="20"/>
              </w:rPr>
            </w:pPr>
            <w:r w:rsidRPr="006A4F10">
              <w:rPr>
                <w:rFonts w:ascii="仿宋_GB2312"/>
                <w:sz w:val="20"/>
                <w:szCs w:val="20"/>
              </w:rPr>
              <w:t>7.2</w:t>
            </w:r>
            <w:r w:rsidRPr="006A4F10">
              <w:rPr>
                <w:rFonts w:ascii="仿宋_GB2312" w:hint="eastAsia"/>
                <w:sz w:val="20"/>
                <w:szCs w:val="20"/>
              </w:rPr>
              <w:t>应力和变形速度的关系</w:t>
            </w:r>
          </w:p>
          <w:p w:rsidR="00C10776" w:rsidRPr="006A4F10" w:rsidRDefault="00C10776" w:rsidP="00C10776">
            <w:pPr>
              <w:rPr>
                <w:rFonts w:ascii="仿宋_GB2312"/>
                <w:sz w:val="20"/>
                <w:szCs w:val="20"/>
              </w:rPr>
            </w:pPr>
            <w:r w:rsidRPr="006A4F10">
              <w:rPr>
                <w:rFonts w:ascii="仿宋_GB2312"/>
                <w:sz w:val="20"/>
                <w:szCs w:val="20"/>
              </w:rPr>
              <w:t>7.3</w:t>
            </w:r>
            <w:r w:rsidRPr="006A4F10">
              <w:rPr>
                <w:rFonts w:ascii="仿宋_GB2312" w:hint="eastAsia"/>
                <w:sz w:val="20"/>
                <w:szCs w:val="20"/>
              </w:rPr>
              <w:t>不可压缩流体连续性微分方程</w:t>
            </w:r>
          </w:p>
          <w:p w:rsidR="00C10776" w:rsidRPr="006A4F10" w:rsidRDefault="00C10776" w:rsidP="00C10776">
            <w:pPr>
              <w:rPr>
                <w:rFonts w:ascii="仿宋_GB2312"/>
                <w:sz w:val="20"/>
                <w:szCs w:val="20"/>
              </w:rPr>
            </w:pPr>
            <w:r w:rsidRPr="006A4F10">
              <w:rPr>
                <w:rFonts w:ascii="仿宋_GB2312"/>
                <w:sz w:val="20"/>
                <w:szCs w:val="20"/>
              </w:rPr>
              <w:t>7.4</w:t>
            </w:r>
            <w:r w:rsidRPr="006A4F10">
              <w:rPr>
                <w:rFonts w:ascii="仿宋_GB2312" w:hint="eastAsia"/>
                <w:sz w:val="20"/>
                <w:szCs w:val="20"/>
              </w:rPr>
              <w:t>不可压缩流体运动微分方程式</w:t>
            </w:r>
          </w:p>
          <w:p w:rsidR="00C10776" w:rsidRPr="006A4F10" w:rsidRDefault="00C10776" w:rsidP="00C10776">
            <w:pPr>
              <w:rPr>
                <w:rFonts w:ascii="仿宋_GB2312"/>
                <w:sz w:val="20"/>
                <w:szCs w:val="20"/>
              </w:rPr>
            </w:pPr>
            <w:r w:rsidRPr="006A4F10">
              <w:rPr>
                <w:rFonts w:ascii="仿宋_GB2312"/>
                <w:sz w:val="20"/>
                <w:szCs w:val="20"/>
              </w:rPr>
              <w:t>7.5</w:t>
            </w:r>
            <w:r w:rsidRPr="006A4F10">
              <w:rPr>
                <w:rFonts w:ascii="仿宋_GB2312" w:hint="eastAsia"/>
                <w:sz w:val="20"/>
                <w:szCs w:val="20"/>
              </w:rPr>
              <w:t>流体流动的初始条件和边界条件</w:t>
            </w:r>
          </w:p>
          <w:p w:rsidR="00C10776" w:rsidRPr="006A4F10" w:rsidRDefault="00C10776" w:rsidP="00C10776">
            <w:pPr>
              <w:rPr>
                <w:rFonts w:ascii="仿宋_GB2312"/>
                <w:sz w:val="20"/>
                <w:szCs w:val="20"/>
              </w:rPr>
            </w:pPr>
            <w:r w:rsidRPr="006A4F10">
              <w:rPr>
                <w:rFonts w:ascii="仿宋_GB2312"/>
                <w:sz w:val="20"/>
                <w:szCs w:val="20"/>
              </w:rPr>
              <w:t>7.6</w:t>
            </w:r>
            <w:r w:rsidRPr="006A4F10">
              <w:rPr>
                <w:rFonts w:ascii="仿宋_GB2312" w:hint="eastAsia"/>
                <w:sz w:val="20"/>
                <w:szCs w:val="20"/>
              </w:rPr>
              <w:t>不可压缩粘性流体紊流运动的基本方程及封闭条件</w:t>
            </w:r>
          </w:p>
        </w:tc>
        <w:tc>
          <w:tcPr>
            <w:tcW w:w="2755" w:type="dxa"/>
            <w:vAlign w:val="center"/>
          </w:tcPr>
          <w:p w:rsidR="00C10776" w:rsidRPr="006A4F10" w:rsidRDefault="00C10776" w:rsidP="00C10776">
            <w:pPr>
              <w:rPr>
                <w:rFonts w:ascii="仿宋_GB2312"/>
                <w:sz w:val="20"/>
                <w:szCs w:val="20"/>
              </w:rPr>
            </w:pPr>
            <w:r w:rsidRPr="006A4F10">
              <w:rPr>
                <w:rFonts w:ascii="仿宋_GB2312" w:hint="eastAsia"/>
                <w:sz w:val="20"/>
                <w:szCs w:val="20"/>
              </w:rPr>
              <w:t>掌握速度分解定理，掌握线变形速度、角变形速度和旋转角速度的定义和物理意义，掌握流体微团的变形速度和应力之间的关系，掌握不可压缩流体连续性微分方程及物理意义，掌握不可压缩流体流动的基本方程组和定解条件。</w:t>
            </w:r>
          </w:p>
        </w:tc>
      </w:tr>
      <w:tr w:rsidR="00C10776" w:rsidTr="00C10776">
        <w:trPr>
          <w:trHeight w:val="548"/>
        </w:trPr>
        <w:tc>
          <w:tcPr>
            <w:tcW w:w="512" w:type="dxa"/>
            <w:vAlign w:val="center"/>
          </w:tcPr>
          <w:p w:rsidR="00C10776" w:rsidRPr="006A4F10" w:rsidRDefault="00C10776" w:rsidP="00C10776">
            <w:pPr>
              <w:rPr>
                <w:rFonts w:ascii="仿宋_GB2312"/>
                <w:sz w:val="20"/>
                <w:szCs w:val="20"/>
              </w:rPr>
            </w:pP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第八章</w:t>
            </w:r>
            <w:r w:rsidRPr="006A4F10">
              <w:rPr>
                <w:rFonts w:ascii="仿宋_GB2312"/>
                <w:sz w:val="20"/>
                <w:szCs w:val="20"/>
              </w:rPr>
              <w:t xml:space="preserve">  </w:t>
            </w:r>
            <w:r w:rsidRPr="006A4F10">
              <w:rPr>
                <w:rFonts w:ascii="仿宋_GB2312" w:hint="eastAsia"/>
                <w:sz w:val="20"/>
                <w:szCs w:val="20"/>
              </w:rPr>
              <w:t>流体运动基本方程的求解</w:t>
            </w:r>
          </w:p>
        </w:tc>
        <w:tc>
          <w:tcPr>
            <w:tcW w:w="727" w:type="dxa"/>
            <w:vAlign w:val="center"/>
          </w:tcPr>
          <w:p w:rsidR="00C10776" w:rsidRPr="006A4F10" w:rsidRDefault="00C10776" w:rsidP="00C10776">
            <w:pPr>
              <w:rPr>
                <w:rFonts w:ascii="仿宋_GB2312"/>
                <w:sz w:val="20"/>
                <w:szCs w:val="20"/>
              </w:rPr>
            </w:pPr>
            <w:r w:rsidRPr="006A4F10">
              <w:rPr>
                <w:rFonts w:ascii="仿宋_GB2312"/>
                <w:sz w:val="20"/>
                <w:szCs w:val="20"/>
              </w:rPr>
              <w:t>7</w:t>
            </w:r>
          </w:p>
        </w:tc>
        <w:tc>
          <w:tcPr>
            <w:tcW w:w="3059" w:type="dxa"/>
            <w:vAlign w:val="center"/>
          </w:tcPr>
          <w:p w:rsidR="00C10776" w:rsidRPr="006A4F10" w:rsidRDefault="00C10776" w:rsidP="00C10776">
            <w:pPr>
              <w:rPr>
                <w:rFonts w:ascii="仿宋_GB2312"/>
                <w:sz w:val="20"/>
                <w:szCs w:val="20"/>
              </w:rPr>
            </w:pPr>
            <w:r w:rsidRPr="006A4F10">
              <w:rPr>
                <w:rFonts w:ascii="仿宋_GB2312"/>
                <w:sz w:val="20"/>
                <w:szCs w:val="20"/>
              </w:rPr>
              <w:t>8.1</w:t>
            </w:r>
            <w:r w:rsidRPr="006A4F10">
              <w:rPr>
                <w:rFonts w:ascii="仿宋_GB2312" w:hint="eastAsia"/>
                <w:sz w:val="20"/>
                <w:szCs w:val="20"/>
              </w:rPr>
              <w:t>无旋流动</w:t>
            </w:r>
          </w:p>
          <w:p w:rsidR="00C10776" w:rsidRPr="006A4F10" w:rsidRDefault="00C10776" w:rsidP="00C10776">
            <w:pPr>
              <w:rPr>
                <w:rFonts w:ascii="仿宋_GB2312"/>
                <w:sz w:val="20"/>
                <w:szCs w:val="20"/>
              </w:rPr>
            </w:pPr>
            <w:r w:rsidRPr="006A4F10">
              <w:rPr>
                <w:rFonts w:ascii="仿宋_GB2312"/>
                <w:sz w:val="20"/>
                <w:szCs w:val="20"/>
              </w:rPr>
              <w:t>8.2</w:t>
            </w:r>
            <w:r w:rsidRPr="006A4F10">
              <w:rPr>
                <w:rFonts w:ascii="仿宋_GB2312" w:hint="eastAsia"/>
                <w:sz w:val="20"/>
                <w:szCs w:val="20"/>
              </w:rPr>
              <w:t>平面无旋流动</w:t>
            </w:r>
          </w:p>
          <w:p w:rsidR="00C10776" w:rsidRPr="006A4F10" w:rsidRDefault="00C10776" w:rsidP="00C10776">
            <w:pPr>
              <w:rPr>
                <w:rFonts w:ascii="仿宋_GB2312"/>
                <w:sz w:val="20"/>
                <w:szCs w:val="20"/>
              </w:rPr>
            </w:pPr>
            <w:r w:rsidRPr="006A4F10">
              <w:rPr>
                <w:rFonts w:ascii="仿宋_GB2312"/>
                <w:sz w:val="20"/>
                <w:szCs w:val="20"/>
              </w:rPr>
              <w:t>8.3</w:t>
            </w:r>
            <w:r w:rsidRPr="006A4F10">
              <w:rPr>
                <w:rFonts w:ascii="仿宋_GB2312" w:hint="eastAsia"/>
                <w:sz w:val="20"/>
                <w:szCs w:val="20"/>
              </w:rPr>
              <w:t>绕流运动及附面层</w:t>
            </w:r>
          </w:p>
          <w:p w:rsidR="00C10776" w:rsidRPr="006A4F10" w:rsidRDefault="00C10776" w:rsidP="00C10776">
            <w:pPr>
              <w:rPr>
                <w:rFonts w:ascii="仿宋_GB2312"/>
                <w:sz w:val="20"/>
                <w:szCs w:val="20"/>
              </w:rPr>
            </w:pPr>
            <w:r w:rsidRPr="006A4F10">
              <w:rPr>
                <w:rFonts w:ascii="仿宋_GB2312"/>
                <w:sz w:val="20"/>
                <w:szCs w:val="20"/>
              </w:rPr>
              <w:t>8.4</w:t>
            </w:r>
            <w:r w:rsidRPr="006A4F10">
              <w:rPr>
                <w:rFonts w:ascii="仿宋_GB2312" w:hint="eastAsia"/>
                <w:sz w:val="20"/>
                <w:szCs w:val="20"/>
              </w:rPr>
              <w:t>绕流阻力与升力</w:t>
            </w:r>
          </w:p>
          <w:p w:rsidR="00C10776" w:rsidRPr="006A4F10" w:rsidRDefault="00C10776" w:rsidP="00C10776">
            <w:pPr>
              <w:rPr>
                <w:rFonts w:ascii="仿宋_GB2312"/>
                <w:sz w:val="20"/>
                <w:szCs w:val="20"/>
              </w:rPr>
            </w:pPr>
            <w:r w:rsidRPr="006A4F10">
              <w:rPr>
                <w:rFonts w:ascii="仿宋_GB2312"/>
                <w:sz w:val="20"/>
                <w:szCs w:val="20"/>
              </w:rPr>
              <w:t>8.5</w:t>
            </w:r>
            <w:r w:rsidRPr="006A4F10">
              <w:rPr>
                <w:rFonts w:ascii="仿宋_GB2312" w:hint="eastAsia"/>
                <w:sz w:val="20"/>
                <w:szCs w:val="20"/>
              </w:rPr>
              <w:t>层流解析解举例</w:t>
            </w:r>
          </w:p>
          <w:p w:rsidR="00C10776" w:rsidRPr="006A4F10" w:rsidRDefault="00C10776" w:rsidP="00C10776">
            <w:pPr>
              <w:rPr>
                <w:rFonts w:ascii="仿宋_GB2312"/>
                <w:sz w:val="20"/>
                <w:szCs w:val="20"/>
              </w:rPr>
            </w:pPr>
            <w:r w:rsidRPr="006A4F10">
              <w:rPr>
                <w:rFonts w:ascii="仿宋_GB2312"/>
                <w:sz w:val="20"/>
                <w:szCs w:val="20"/>
              </w:rPr>
              <w:t>8.6</w:t>
            </w:r>
            <w:r w:rsidRPr="006A4F10">
              <w:rPr>
                <w:rFonts w:ascii="仿宋_GB2312" w:hint="eastAsia"/>
                <w:sz w:val="20"/>
                <w:szCs w:val="20"/>
              </w:rPr>
              <w:t>数值求解方法简介</w:t>
            </w:r>
          </w:p>
        </w:tc>
        <w:tc>
          <w:tcPr>
            <w:tcW w:w="2755" w:type="dxa"/>
            <w:vAlign w:val="center"/>
          </w:tcPr>
          <w:p w:rsidR="00C10776" w:rsidRPr="006A4F10" w:rsidRDefault="00C10776" w:rsidP="00C10776">
            <w:pPr>
              <w:rPr>
                <w:rFonts w:ascii="仿宋_GB2312"/>
                <w:sz w:val="20"/>
                <w:szCs w:val="20"/>
              </w:rPr>
            </w:pPr>
            <w:r w:rsidRPr="006A4F10">
              <w:rPr>
                <w:rFonts w:ascii="仿宋_GB2312" w:hint="eastAsia"/>
                <w:sz w:val="20"/>
                <w:szCs w:val="20"/>
              </w:rPr>
              <w:t>掌握绕流问题的求解方法，掌握平面无旋流动的概念，掌握势函数和流函数的概念，了解简单势流和其叠加原理，了解势流问题的求解方法，掌握附面层概念和基本理论，掌握层流问题解析解的求解方法</w:t>
            </w:r>
          </w:p>
        </w:tc>
      </w:tr>
      <w:tr w:rsidR="00C10776" w:rsidTr="00C10776">
        <w:trPr>
          <w:trHeight w:val="548"/>
        </w:trPr>
        <w:tc>
          <w:tcPr>
            <w:tcW w:w="512" w:type="dxa"/>
            <w:vAlign w:val="center"/>
          </w:tcPr>
          <w:p w:rsidR="00C10776" w:rsidRPr="006A4F10" w:rsidRDefault="00C10776" w:rsidP="00C10776">
            <w:pPr>
              <w:rPr>
                <w:rFonts w:ascii="仿宋_GB2312"/>
                <w:sz w:val="20"/>
                <w:szCs w:val="20"/>
              </w:rPr>
            </w:pP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第九章</w:t>
            </w:r>
            <w:r w:rsidRPr="006A4F10">
              <w:rPr>
                <w:rFonts w:ascii="仿宋_GB2312"/>
                <w:sz w:val="20"/>
                <w:szCs w:val="20"/>
              </w:rPr>
              <w:t xml:space="preserve">  </w:t>
            </w:r>
            <w:r w:rsidRPr="006A4F10">
              <w:rPr>
                <w:rFonts w:ascii="仿宋_GB2312" w:hint="eastAsia"/>
                <w:sz w:val="20"/>
                <w:szCs w:val="20"/>
              </w:rPr>
              <w:t>一元气体动力学基础</w:t>
            </w:r>
          </w:p>
        </w:tc>
        <w:tc>
          <w:tcPr>
            <w:tcW w:w="727" w:type="dxa"/>
            <w:vAlign w:val="center"/>
          </w:tcPr>
          <w:p w:rsidR="00C10776" w:rsidRPr="006A4F10" w:rsidRDefault="00C10776" w:rsidP="00C10776">
            <w:pPr>
              <w:rPr>
                <w:rFonts w:ascii="仿宋_GB2312"/>
                <w:sz w:val="20"/>
                <w:szCs w:val="20"/>
              </w:rPr>
            </w:pPr>
            <w:r w:rsidRPr="006A4F10">
              <w:rPr>
                <w:rFonts w:ascii="仿宋_GB2312"/>
                <w:sz w:val="20"/>
                <w:szCs w:val="20"/>
              </w:rPr>
              <w:t>6</w:t>
            </w:r>
          </w:p>
        </w:tc>
        <w:tc>
          <w:tcPr>
            <w:tcW w:w="3059" w:type="dxa"/>
            <w:vAlign w:val="center"/>
          </w:tcPr>
          <w:p w:rsidR="00C10776" w:rsidRPr="006A4F10" w:rsidRDefault="00C10776" w:rsidP="00C10776">
            <w:pPr>
              <w:rPr>
                <w:rFonts w:ascii="仿宋_GB2312"/>
                <w:sz w:val="20"/>
                <w:szCs w:val="20"/>
              </w:rPr>
            </w:pPr>
            <w:r w:rsidRPr="006A4F10">
              <w:rPr>
                <w:rFonts w:ascii="仿宋_GB2312"/>
                <w:sz w:val="20"/>
                <w:szCs w:val="20"/>
              </w:rPr>
              <w:t>9.1</w:t>
            </w:r>
            <w:r w:rsidRPr="006A4F10">
              <w:rPr>
                <w:rFonts w:ascii="仿宋_GB2312" w:hint="eastAsia"/>
                <w:sz w:val="20"/>
                <w:szCs w:val="20"/>
              </w:rPr>
              <w:t>理想气体一元恒定流动的运动方程</w:t>
            </w:r>
          </w:p>
          <w:p w:rsidR="00C10776" w:rsidRPr="006A4F10" w:rsidRDefault="00C10776" w:rsidP="00C10776">
            <w:pPr>
              <w:rPr>
                <w:rFonts w:ascii="仿宋_GB2312"/>
                <w:sz w:val="20"/>
                <w:szCs w:val="20"/>
              </w:rPr>
            </w:pPr>
            <w:r w:rsidRPr="006A4F10">
              <w:rPr>
                <w:rFonts w:ascii="仿宋_GB2312"/>
                <w:sz w:val="20"/>
                <w:szCs w:val="20"/>
              </w:rPr>
              <w:t>9.2</w:t>
            </w:r>
            <w:r w:rsidRPr="006A4F10">
              <w:rPr>
                <w:rFonts w:ascii="仿宋_GB2312" w:hint="eastAsia"/>
                <w:sz w:val="20"/>
                <w:szCs w:val="20"/>
              </w:rPr>
              <w:t>音速、滞止参数、马赫数</w:t>
            </w:r>
          </w:p>
          <w:p w:rsidR="00C10776" w:rsidRPr="006A4F10" w:rsidRDefault="00C10776" w:rsidP="00C10776">
            <w:pPr>
              <w:rPr>
                <w:rFonts w:ascii="仿宋_GB2312"/>
                <w:sz w:val="20"/>
                <w:szCs w:val="20"/>
              </w:rPr>
            </w:pPr>
            <w:r w:rsidRPr="006A4F10">
              <w:rPr>
                <w:rFonts w:ascii="仿宋_GB2312"/>
                <w:sz w:val="20"/>
                <w:szCs w:val="20"/>
              </w:rPr>
              <w:t>9.3</w:t>
            </w:r>
            <w:r w:rsidRPr="006A4F10">
              <w:rPr>
                <w:rFonts w:ascii="仿宋_GB2312" w:hint="eastAsia"/>
                <w:sz w:val="20"/>
                <w:szCs w:val="20"/>
              </w:rPr>
              <w:t>气体一元恒定流动的连续性方程</w:t>
            </w:r>
          </w:p>
          <w:p w:rsidR="00C10776" w:rsidRPr="006A4F10" w:rsidRDefault="00C10776" w:rsidP="00C10776">
            <w:pPr>
              <w:rPr>
                <w:rFonts w:ascii="仿宋_GB2312"/>
                <w:sz w:val="20"/>
                <w:szCs w:val="20"/>
              </w:rPr>
            </w:pPr>
            <w:r w:rsidRPr="006A4F10">
              <w:rPr>
                <w:rFonts w:ascii="仿宋_GB2312"/>
                <w:sz w:val="20"/>
                <w:szCs w:val="20"/>
              </w:rPr>
              <w:t>9.4</w:t>
            </w:r>
            <w:r w:rsidRPr="006A4F10">
              <w:rPr>
                <w:rFonts w:ascii="仿宋_GB2312" w:hint="eastAsia"/>
                <w:sz w:val="20"/>
                <w:szCs w:val="20"/>
              </w:rPr>
              <w:t>等温管路中的流动。</w:t>
            </w:r>
          </w:p>
          <w:p w:rsidR="00C10776" w:rsidRPr="006A4F10" w:rsidRDefault="00C10776" w:rsidP="00C10776">
            <w:pPr>
              <w:rPr>
                <w:rFonts w:ascii="仿宋_GB2312"/>
                <w:sz w:val="20"/>
                <w:szCs w:val="20"/>
              </w:rPr>
            </w:pPr>
            <w:r w:rsidRPr="006A4F10">
              <w:rPr>
                <w:rFonts w:ascii="仿宋_GB2312"/>
                <w:sz w:val="20"/>
                <w:szCs w:val="20"/>
              </w:rPr>
              <w:t>9.5</w:t>
            </w:r>
            <w:r w:rsidRPr="006A4F10">
              <w:rPr>
                <w:rFonts w:ascii="仿宋_GB2312" w:hint="eastAsia"/>
                <w:sz w:val="20"/>
                <w:szCs w:val="20"/>
              </w:rPr>
              <w:t>绝热管路中的流动</w:t>
            </w:r>
          </w:p>
        </w:tc>
        <w:tc>
          <w:tcPr>
            <w:tcW w:w="2755" w:type="dxa"/>
            <w:vAlign w:val="center"/>
          </w:tcPr>
          <w:p w:rsidR="00C10776" w:rsidRPr="006A4F10" w:rsidRDefault="00C10776" w:rsidP="00C10776">
            <w:pPr>
              <w:rPr>
                <w:rFonts w:ascii="仿宋_GB2312"/>
                <w:sz w:val="20"/>
                <w:szCs w:val="20"/>
              </w:rPr>
            </w:pPr>
            <w:r w:rsidRPr="006A4F10">
              <w:rPr>
                <w:rFonts w:ascii="仿宋_GB2312" w:hint="eastAsia"/>
                <w:sz w:val="20"/>
                <w:szCs w:val="20"/>
              </w:rPr>
              <w:t>明确研究气体一元流动必须考虑压缩性，掌握理想气体一元恒定流动运动方程，掌握音速、滞止参数和马赫数的概念，掌握气体一元恒定流动的连续性方程，了解气体管路流动的特点。</w:t>
            </w:r>
          </w:p>
        </w:tc>
      </w:tr>
      <w:tr w:rsidR="00C10776" w:rsidTr="00C10776">
        <w:trPr>
          <w:trHeight w:val="548"/>
        </w:trPr>
        <w:tc>
          <w:tcPr>
            <w:tcW w:w="512" w:type="dxa"/>
            <w:vAlign w:val="center"/>
          </w:tcPr>
          <w:p w:rsidR="00C10776" w:rsidRPr="006A4F10" w:rsidRDefault="00C10776" w:rsidP="00C10776">
            <w:pPr>
              <w:rPr>
                <w:rFonts w:ascii="仿宋_GB2312"/>
                <w:sz w:val="20"/>
                <w:szCs w:val="20"/>
              </w:rPr>
            </w:pPr>
          </w:p>
        </w:tc>
        <w:tc>
          <w:tcPr>
            <w:tcW w:w="2102" w:type="dxa"/>
            <w:vAlign w:val="center"/>
          </w:tcPr>
          <w:p w:rsidR="00C10776" w:rsidRPr="006A4F10" w:rsidRDefault="00C10776" w:rsidP="00C10776">
            <w:pPr>
              <w:rPr>
                <w:rFonts w:ascii="仿宋_GB2312"/>
                <w:sz w:val="20"/>
                <w:szCs w:val="20"/>
              </w:rPr>
            </w:pPr>
            <w:r w:rsidRPr="006A4F10">
              <w:rPr>
                <w:rFonts w:ascii="仿宋_GB2312" w:hint="eastAsia"/>
                <w:sz w:val="20"/>
                <w:szCs w:val="20"/>
              </w:rPr>
              <w:t>第十章</w:t>
            </w:r>
            <w:r w:rsidRPr="006A4F10">
              <w:rPr>
                <w:rFonts w:ascii="仿宋_GB2312"/>
                <w:sz w:val="20"/>
                <w:szCs w:val="20"/>
              </w:rPr>
              <w:t xml:space="preserve">  </w:t>
            </w:r>
            <w:r w:rsidRPr="006A4F10">
              <w:rPr>
                <w:rFonts w:ascii="仿宋_GB2312" w:hint="eastAsia"/>
                <w:sz w:val="20"/>
                <w:szCs w:val="20"/>
              </w:rPr>
              <w:t>相似性原理与因次分析</w:t>
            </w:r>
          </w:p>
        </w:tc>
        <w:tc>
          <w:tcPr>
            <w:tcW w:w="727" w:type="dxa"/>
            <w:vAlign w:val="center"/>
          </w:tcPr>
          <w:p w:rsidR="00C10776" w:rsidRPr="006A4F10" w:rsidRDefault="00C10776" w:rsidP="00C10776">
            <w:pPr>
              <w:rPr>
                <w:rFonts w:ascii="仿宋_GB2312"/>
                <w:sz w:val="20"/>
                <w:szCs w:val="20"/>
              </w:rPr>
            </w:pPr>
            <w:r w:rsidRPr="006A4F10">
              <w:rPr>
                <w:rFonts w:ascii="仿宋_GB2312"/>
                <w:sz w:val="20"/>
                <w:szCs w:val="20"/>
              </w:rPr>
              <w:t>4</w:t>
            </w:r>
          </w:p>
        </w:tc>
        <w:tc>
          <w:tcPr>
            <w:tcW w:w="3059" w:type="dxa"/>
            <w:vAlign w:val="center"/>
          </w:tcPr>
          <w:p w:rsidR="00C10776" w:rsidRPr="006A4F10" w:rsidRDefault="00C10776" w:rsidP="00C10776">
            <w:pPr>
              <w:rPr>
                <w:rFonts w:ascii="仿宋_GB2312"/>
                <w:sz w:val="20"/>
                <w:szCs w:val="20"/>
              </w:rPr>
            </w:pPr>
            <w:r w:rsidRPr="006A4F10">
              <w:rPr>
                <w:rFonts w:ascii="仿宋_GB2312"/>
                <w:sz w:val="20"/>
                <w:szCs w:val="20"/>
              </w:rPr>
              <w:t>10.1</w:t>
            </w:r>
            <w:r w:rsidRPr="006A4F10">
              <w:rPr>
                <w:rFonts w:ascii="仿宋_GB2312" w:hint="eastAsia"/>
                <w:sz w:val="20"/>
                <w:szCs w:val="20"/>
              </w:rPr>
              <w:t>力学相似性原理</w:t>
            </w:r>
          </w:p>
          <w:p w:rsidR="00C10776" w:rsidRPr="006A4F10" w:rsidRDefault="00C10776" w:rsidP="00C10776">
            <w:pPr>
              <w:rPr>
                <w:rFonts w:ascii="仿宋_GB2312"/>
                <w:sz w:val="20"/>
                <w:szCs w:val="20"/>
              </w:rPr>
            </w:pPr>
            <w:r w:rsidRPr="006A4F10">
              <w:rPr>
                <w:rFonts w:ascii="仿宋_GB2312"/>
                <w:sz w:val="20"/>
                <w:szCs w:val="20"/>
              </w:rPr>
              <w:t>10.2</w:t>
            </w:r>
            <w:r w:rsidRPr="006A4F10">
              <w:rPr>
                <w:rFonts w:ascii="仿宋_GB2312" w:hint="eastAsia"/>
                <w:sz w:val="20"/>
                <w:szCs w:val="20"/>
              </w:rPr>
              <w:t>相似准数</w:t>
            </w:r>
          </w:p>
          <w:p w:rsidR="00C10776" w:rsidRPr="006A4F10" w:rsidRDefault="00C10776" w:rsidP="00C10776">
            <w:pPr>
              <w:rPr>
                <w:rFonts w:ascii="仿宋_GB2312"/>
                <w:sz w:val="20"/>
                <w:szCs w:val="20"/>
              </w:rPr>
            </w:pPr>
            <w:r w:rsidRPr="006A4F10">
              <w:rPr>
                <w:rFonts w:ascii="仿宋_GB2312"/>
                <w:sz w:val="20"/>
                <w:szCs w:val="20"/>
              </w:rPr>
              <w:t>10.3</w:t>
            </w:r>
            <w:r w:rsidRPr="006A4F10">
              <w:rPr>
                <w:rFonts w:ascii="仿宋_GB2312" w:hint="eastAsia"/>
                <w:sz w:val="20"/>
                <w:szCs w:val="20"/>
              </w:rPr>
              <w:t>模型律</w:t>
            </w:r>
          </w:p>
          <w:p w:rsidR="00C10776" w:rsidRPr="006A4F10" w:rsidRDefault="00C10776" w:rsidP="00C10776">
            <w:pPr>
              <w:rPr>
                <w:rFonts w:ascii="仿宋_GB2312"/>
                <w:sz w:val="20"/>
                <w:szCs w:val="20"/>
              </w:rPr>
            </w:pPr>
            <w:r w:rsidRPr="006A4F10">
              <w:rPr>
                <w:rFonts w:ascii="仿宋_GB2312"/>
                <w:sz w:val="20"/>
                <w:szCs w:val="20"/>
              </w:rPr>
              <w:t>10.4</w:t>
            </w:r>
            <w:r w:rsidRPr="006A4F10">
              <w:rPr>
                <w:rFonts w:ascii="仿宋_GB2312" w:hint="eastAsia"/>
                <w:sz w:val="20"/>
                <w:szCs w:val="20"/>
              </w:rPr>
              <w:t>因次分析法。</w:t>
            </w:r>
          </w:p>
        </w:tc>
        <w:tc>
          <w:tcPr>
            <w:tcW w:w="2755" w:type="dxa"/>
            <w:vAlign w:val="center"/>
          </w:tcPr>
          <w:p w:rsidR="00C10776" w:rsidRPr="006A4F10" w:rsidRDefault="00C10776" w:rsidP="00C10776">
            <w:pPr>
              <w:rPr>
                <w:rFonts w:ascii="仿宋_GB2312"/>
                <w:sz w:val="20"/>
                <w:szCs w:val="20"/>
              </w:rPr>
            </w:pPr>
            <w:r w:rsidRPr="006A4F10">
              <w:rPr>
                <w:rFonts w:ascii="仿宋_GB2312" w:hint="eastAsia"/>
                <w:sz w:val="20"/>
                <w:szCs w:val="20"/>
              </w:rPr>
              <w:t>掌握相似性原理，掌握常用的相似准数的物理意义和计算公式，掌握模型律的内涵和方法，掌握因次分析法；</w:t>
            </w:r>
          </w:p>
        </w:tc>
      </w:tr>
    </w:tbl>
    <w:p w:rsidR="00C10776" w:rsidRDefault="00C10776" w:rsidP="00C10776">
      <w:pPr>
        <w:rPr>
          <w:rFonts w:ascii="黑体" w:eastAsia="黑体" w:hAnsi="黑体"/>
          <w:b/>
          <w:sz w:val="28"/>
          <w:szCs w:val="28"/>
        </w:rPr>
      </w:pPr>
    </w:p>
    <w:p w:rsidR="00C10776" w:rsidRDefault="00C10776" w:rsidP="00C10776">
      <w:pPr>
        <w:rPr>
          <w:rFonts w:ascii="黑体" w:eastAsia="黑体" w:hAnsi="黑体"/>
          <w:b/>
          <w:sz w:val="28"/>
          <w:szCs w:val="28"/>
        </w:rPr>
      </w:pPr>
      <w:r>
        <w:rPr>
          <w:rFonts w:ascii="黑体" w:eastAsia="黑体" w:hAnsi="黑体" w:hint="eastAsia"/>
          <w:b/>
          <w:sz w:val="28"/>
          <w:szCs w:val="28"/>
        </w:rPr>
        <w:t>五、课程考核方式与成绩评定</w:t>
      </w:r>
    </w:p>
    <w:p w:rsidR="00C10776" w:rsidRDefault="00C10776" w:rsidP="00C10776">
      <w:pPr>
        <w:spacing w:beforeLines="50" w:before="156" w:line="360" w:lineRule="auto"/>
        <w:ind w:firstLineChars="200" w:firstLine="562"/>
        <w:rPr>
          <w:rFonts w:ascii="仿宋_GB2312" w:hAnsi="仿宋_GB2312" w:cs="仿宋_GB2312"/>
          <w:b/>
          <w:sz w:val="28"/>
          <w:szCs w:val="28"/>
        </w:rPr>
      </w:pPr>
      <w:r>
        <w:rPr>
          <w:rFonts w:ascii="仿宋_GB2312" w:hAnsi="仿宋_GB2312" w:cs="仿宋_GB2312"/>
          <w:b/>
          <w:sz w:val="28"/>
          <w:szCs w:val="28"/>
        </w:rPr>
        <w:t>1.课程考核</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课程考核方式为考试，考试成绩由平时成绩、实验成绩和考试成绩综合评定产生。</w:t>
      </w:r>
    </w:p>
    <w:p w:rsidR="00C10776" w:rsidRDefault="00C10776" w:rsidP="00C10776">
      <w:pPr>
        <w:spacing w:beforeLines="50" w:before="156" w:line="360" w:lineRule="auto"/>
        <w:ind w:firstLineChars="200" w:firstLine="562"/>
        <w:rPr>
          <w:rFonts w:ascii="仿宋_GB2312" w:hAnsi="仿宋_GB2312" w:cs="仿宋_GB2312"/>
          <w:b/>
          <w:sz w:val="28"/>
          <w:szCs w:val="28"/>
        </w:rPr>
      </w:pPr>
      <w:r>
        <w:rPr>
          <w:rFonts w:ascii="仿宋_GB2312" w:hAnsi="仿宋_GB2312" w:cs="仿宋_GB2312"/>
          <w:b/>
          <w:sz w:val="28"/>
          <w:szCs w:val="28"/>
        </w:rPr>
        <w:t>2.</w:t>
      </w:r>
      <w:r>
        <w:rPr>
          <w:rFonts w:ascii="仿宋_GB2312" w:hAnsi="仿宋_GB2312" w:cs="仿宋_GB2312" w:hint="eastAsia"/>
          <w:b/>
          <w:sz w:val="28"/>
          <w:szCs w:val="28"/>
        </w:rPr>
        <w:t>成绩评定</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sz w:val="28"/>
          <w:szCs w:val="28"/>
        </w:rPr>
        <w:t>成绩评定方式为百分制。</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sz w:val="28"/>
          <w:szCs w:val="28"/>
        </w:rPr>
        <w:t>课程总成绩=期末成绩70%+平时成绩15%+</w:t>
      </w:r>
      <w:r>
        <w:rPr>
          <w:rFonts w:ascii="仿宋_GB2312" w:hAnsi="仿宋_GB2312" w:cs="仿宋_GB2312" w:hint="eastAsia"/>
          <w:sz w:val="28"/>
          <w:szCs w:val="28"/>
        </w:rPr>
        <w:t>实验成绩</w:t>
      </w:r>
      <w:r>
        <w:rPr>
          <w:rFonts w:ascii="仿宋_GB2312" w:hAnsi="仿宋_GB2312" w:cs="仿宋_GB2312"/>
          <w:sz w:val="28"/>
          <w:szCs w:val="28"/>
        </w:rPr>
        <w:t>15%</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各评价环节所占比例及其对教学目标的支撑如下表所示。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2757"/>
        <w:gridCol w:w="2761"/>
      </w:tblGrid>
      <w:tr w:rsidR="00C10776" w:rsidTr="00C10776">
        <w:tc>
          <w:tcPr>
            <w:tcW w:w="2840" w:type="dxa"/>
            <w:shd w:val="clear" w:color="auto" w:fill="auto"/>
            <w:vAlign w:val="center"/>
          </w:tcPr>
          <w:p w:rsidR="00C10776" w:rsidRDefault="00C10776" w:rsidP="00C10776">
            <w:pPr>
              <w:spacing w:line="360" w:lineRule="auto"/>
              <w:jc w:val="center"/>
              <w:rPr>
                <w:rFonts w:ascii="仿宋" w:eastAsia="仿宋" w:hAnsi="仿宋"/>
                <w:color w:val="000000" w:themeColor="text1"/>
                <w:sz w:val="24"/>
                <w:szCs w:val="21"/>
              </w:rPr>
            </w:pPr>
            <w:r>
              <w:rPr>
                <w:rFonts w:ascii="仿宋" w:eastAsia="仿宋" w:hAnsi="仿宋" w:hint="eastAsia"/>
                <w:color w:val="000000" w:themeColor="text1"/>
                <w:sz w:val="24"/>
                <w:szCs w:val="21"/>
              </w:rPr>
              <w:t>成绩评定</w:t>
            </w:r>
          </w:p>
        </w:tc>
        <w:tc>
          <w:tcPr>
            <w:tcW w:w="2841" w:type="dxa"/>
            <w:shd w:val="clear" w:color="auto" w:fill="auto"/>
            <w:vAlign w:val="center"/>
          </w:tcPr>
          <w:p w:rsidR="00C10776" w:rsidRDefault="00C10776" w:rsidP="00C10776">
            <w:pPr>
              <w:spacing w:line="360" w:lineRule="auto"/>
              <w:jc w:val="center"/>
              <w:rPr>
                <w:rFonts w:ascii="仿宋" w:eastAsia="仿宋" w:hAnsi="仿宋"/>
                <w:color w:val="000000" w:themeColor="text1"/>
                <w:sz w:val="24"/>
                <w:szCs w:val="21"/>
              </w:rPr>
            </w:pPr>
            <w:r>
              <w:rPr>
                <w:rFonts w:ascii="仿宋" w:eastAsia="仿宋" w:hAnsi="仿宋" w:hint="eastAsia"/>
                <w:color w:val="000000" w:themeColor="text1"/>
                <w:sz w:val="24"/>
                <w:szCs w:val="21"/>
              </w:rPr>
              <w:t>评价环节</w:t>
            </w:r>
          </w:p>
        </w:tc>
        <w:tc>
          <w:tcPr>
            <w:tcW w:w="2841" w:type="dxa"/>
            <w:shd w:val="clear" w:color="auto" w:fill="auto"/>
            <w:vAlign w:val="center"/>
          </w:tcPr>
          <w:p w:rsidR="00C10776" w:rsidRDefault="00C10776" w:rsidP="00C10776">
            <w:pPr>
              <w:spacing w:line="360" w:lineRule="auto"/>
              <w:jc w:val="center"/>
              <w:rPr>
                <w:rFonts w:ascii="仿宋" w:eastAsia="仿宋" w:hAnsi="仿宋"/>
                <w:color w:val="000000" w:themeColor="text1"/>
                <w:sz w:val="24"/>
                <w:szCs w:val="21"/>
              </w:rPr>
            </w:pPr>
            <w:r>
              <w:rPr>
                <w:rFonts w:ascii="仿宋" w:eastAsia="仿宋" w:hAnsi="仿宋" w:hint="eastAsia"/>
                <w:color w:val="000000" w:themeColor="text1"/>
                <w:sz w:val="24"/>
                <w:szCs w:val="21"/>
              </w:rPr>
              <w:t>课程目标</w:t>
            </w:r>
          </w:p>
        </w:tc>
      </w:tr>
      <w:tr w:rsidR="00C10776" w:rsidTr="00C10776">
        <w:tc>
          <w:tcPr>
            <w:tcW w:w="2840" w:type="dxa"/>
            <w:shd w:val="clear" w:color="auto" w:fill="auto"/>
            <w:vAlign w:val="center"/>
          </w:tcPr>
          <w:p w:rsidR="00C10776" w:rsidRDefault="00C10776" w:rsidP="00C10776">
            <w:pPr>
              <w:spacing w:line="360" w:lineRule="auto"/>
              <w:jc w:val="center"/>
              <w:rPr>
                <w:rFonts w:ascii="仿宋" w:eastAsia="仿宋" w:hAnsi="仿宋"/>
                <w:color w:val="000000" w:themeColor="text1"/>
                <w:sz w:val="24"/>
                <w:szCs w:val="21"/>
              </w:rPr>
            </w:pPr>
            <w:r>
              <w:rPr>
                <w:rFonts w:ascii="仿宋" w:eastAsia="仿宋" w:hAnsi="仿宋" w:hint="eastAsia"/>
                <w:color w:val="000000" w:themeColor="text1"/>
                <w:sz w:val="24"/>
                <w:szCs w:val="21"/>
              </w:rPr>
              <w:t>平时成绩（</w:t>
            </w:r>
            <w:r>
              <w:rPr>
                <w:rFonts w:ascii="仿宋" w:eastAsia="仿宋" w:hAnsi="仿宋"/>
                <w:color w:val="000000" w:themeColor="text1"/>
                <w:sz w:val="24"/>
                <w:szCs w:val="21"/>
              </w:rPr>
              <w:t>15%</w:t>
            </w:r>
            <w:r>
              <w:rPr>
                <w:rFonts w:ascii="仿宋" w:eastAsia="仿宋" w:hAnsi="仿宋" w:hint="eastAsia"/>
                <w:color w:val="000000" w:themeColor="text1"/>
                <w:sz w:val="24"/>
                <w:szCs w:val="21"/>
              </w:rPr>
              <w:t>）</w:t>
            </w:r>
          </w:p>
        </w:tc>
        <w:tc>
          <w:tcPr>
            <w:tcW w:w="2841" w:type="dxa"/>
            <w:shd w:val="clear" w:color="auto" w:fill="auto"/>
            <w:vAlign w:val="center"/>
          </w:tcPr>
          <w:p w:rsidR="00C10776" w:rsidRDefault="00C10776" w:rsidP="00C10776">
            <w:pPr>
              <w:spacing w:line="360" w:lineRule="auto"/>
              <w:jc w:val="center"/>
              <w:rPr>
                <w:rFonts w:ascii="仿宋" w:eastAsia="仿宋" w:hAnsi="仿宋"/>
                <w:color w:val="000000" w:themeColor="text1"/>
                <w:sz w:val="24"/>
                <w:szCs w:val="21"/>
              </w:rPr>
            </w:pPr>
            <w:r>
              <w:rPr>
                <w:rFonts w:ascii="仿宋" w:eastAsia="仿宋" w:hAnsi="仿宋" w:hint="eastAsia"/>
                <w:color w:val="000000" w:themeColor="text1"/>
                <w:sz w:val="24"/>
                <w:szCs w:val="21"/>
              </w:rPr>
              <w:t>考勤</w:t>
            </w:r>
            <w:r>
              <w:rPr>
                <w:rFonts w:ascii="仿宋" w:eastAsia="仿宋" w:hAnsi="仿宋"/>
                <w:color w:val="000000" w:themeColor="text1"/>
                <w:sz w:val="24"/>
                <w:szCs w:val="21"/>
              </w:rPr>
              <w:t>+作业</w:t>
            </w:r>
          </w:p>
        </w:tc>
        <w:tc>
          <w:tcPr>
            <w:tcW w:w="2841" w:type="dxa"/>
            <w:shd w:val="clear" w:color="auto" w:fill="auto"/>
            <w:vAlign w:val="center"/>
          </w:tcPr>
          <w:p w:rsidR="00C10776" w:rsidRDefault="00C10776" w:rsidP="00C10776">
            <w:pPr>
              <w:spacing w:line="360" w:lineRule="auto"/>
              <w:jc w:val="center"/>
              <w:rPr>
                <w:rFonts w:ascii="仿宋" w:eastAsia="仿宋" w:hAnsi="仿宋"/>
                <w:color w:val="000000" w:themeColor="text1"/>
                <w:sz w:val="24"/>
                <w:szCs w:val="21"/>
              </w:rPr>
            </w:pPr>
            <w:r>
              <w:rPr>
                <w:rFonts w:ascii="仿宋" w:eastAsia="仿宋" w:hAnsi="仿宋"/>
                <w:color w:val="000000" w:themeColor="text1"/>
                <w:sz w:val="24"/>
                <w:szCs w:val="21"/>
              </w:rPr>
              <w:t>1</w:t>
            </w:r>
          </w:p>
        </w:tc>
      </w:tr>
      <w:tr w:rsidR="00C10776" w:rsidTr="00C10776">
        <w:tc>
          <w:tcPr>
            <w:tcW w:w="2840" w:type="dxa"/>
            <w:shd w:val="clear" w:color="auto" w:fill="auto"/>
            <w:vAlign w:val="center"/>
          </w:tcPr>
          <w:p w:rsidR="00C10776" w:rsidRDefault="00C10776" w:rsidP="00C10776">
            <w:pPr>
              <w:spacing w:line="360" w:lineRule="auto"/>
              <w:jc w:val="center"/>
              <w:rPr>
                <w:rFonts w:ascii="仿宋" w:eastAsia="仿宋" w:hAnsi="仿宋"/>
                <w:color w:val="000000" w:themeColor="text1"/>
                <w:sz w:val="24"/>
                <w:szCs w:val="21"/>
              </w:rPr>
            </w:pPr>
            <w:r>
              <w:rPr>
                <w:rFonts w:ascii="仿宋" w:eastAsia="仿宋" w:hAnsi="仿宋" w:hint="eastAsia"/>
                <w:color w:val="000000" w:themeColor="text1"/>
                <w:sz w:val="24"/>
                <w:szCs w:val="21"/>
              </w:rPr>
              <w:t>实验成绩（</w:t>
            </w:r>
            <w:r>
              <w:rPr>
                <w:rFonts w:ascii="仿宋" w:eastAsia="仿宋" w:hAnsi="仿宋"/>
                <w:color w:val="000000" w:themeColor="text1"/>
                <w:sz w:val="24"/>
                <w:szCs w:val="21"/>
              </w:rPr>
              <w:t>15%</w:t>
            </w:r>
            <w:r>
              <w:rPr>
                <w:rFonts w:ascii="仿宋" w:eastAsia="仿宋" w:hAnsi="仿宋" w:hint="eastAsia"/>
                <w:color w:val="000000" w:themeColor="text1"/>
                <w:sz w:val="24"/>
                <w:szCs w:val="21"/>
              </w:rPr>
              <w:t>）</w:t>
            </w:r>
          </w:p>
        </w:tc>
        <w:tc>
          <w:tcPr>
            <w:tcW w:w="2841" w:type="dxa"/>
            <w:shd w:val="clear" w:color="auto" w:fill="auto"/>
            <w:vAlign w:val="center"/>
          </w:tcPr>
          <w:p w:rsidR="00C10776" w:rsidRDefault="00C10776" w:rsidP="00C10776">
            <w:pPr>
              <w:spacing w:line="360" w:lineRule="auto"/>
              <w:jc w:val="center"/>
              <w:rPr>
                <w:rFonts w:ascii="仿宋" w:eastAsia="仿宋" w:hAnsi="仿宋"/>
                <w:color w:val="000000" w:themeColor="text1"/>
                <w:sz w:val="24"/>
                <w:szCs w:val="21"/>
              </w:rPr>
            </w:pPr>
            <w:r>
              <w:rPr>
                <w:rFonts w:ascii="仿宋" w:eastAsia="仿宋" w:hAnsi="仿宋" w:hint="eastAsia"/>
                <w:color w:val="000000" w:themeColor="text1"/>
                <w:sz w:val="24"/>
                <w:szCs w:val="21"/>
              </w:rPr>
              <w:t>做实验并完成实验报告</w:t>
            </w:r>
          </w:p>
        </w:tc>
        <w:tc>
          <w:tcPr>
            <w:tcW w:w="2841" w:type="dxa"/>
            <w:shd w:val="clear" w:color="auto" w:fill="auto"/>
            <w:vAlign w:val="center"/>
          </w:tcPr>
          <w:p w:rsidR="00C10776" w:rsidRDefault="00C10776" w:rsidP="00C10776">
            <w:pPr>
              <w:spacing w:line="360" w:lineRule="auto"/>
              <w:jc w:val="center"/>
              <w:rPr>
                <w:rFonts w:ascii="仿宋" w:eastAsia="仿宋" w:hAnsi="仿宋"/>
                <w:color w:val="000000" w:themeColor="text1"/>
                <w:sz w:val="24"/>
                <w:szCs w:val="21"/>
              </w:rPr>
            </w:pPr>
            <w:r>
              <w:rPr>
                <w:rFonts w:ascii="仿宋" w:eastAsia="仿宋" w:hAnsi="仿宋"/>
                <w:color w:val="000000" w:themeColor="text1"/>
                <w:sz w:val="24"/>
                <w:szCs w:val="21"/>
              </w:rPr>
              <w:t>1,2</w:t>
            </w:r>
          </w:p>
        </w:tc>
      </w:tr>
      <w:tr w:rsidR="00C10776" w:rsidTr="00C10776">
        <w:tc>
          <w:tcPr>
            <w:tcW w:w="2840" w:type="dxa"/>
            <w:shd w:val="clear" w:color="auto" w:fill="auto"/>
            <w:vAlign w:val="center"/>
          </w:tcPr>
          <w:p w:rsidR="00C10776" w:rsidRDefault="00C10776" w:rsidP="00C10776">
            <w:pPr>
              <w:spacing w:line="360" w:lineRule="auto"/>
              <w:jc w:val="center"/>
              <w:rPr>
                <w:rFonts w:ascii="仿宋" w:eastAsia="仿宋" w:hAnsi="仿宋"/>
                <w:color w:val="000000" w:themeColor="text1"/>
                <w:sz w:val="24"/>
                <w:szCs w:val="21"/>
              </w:rPr>
            </w:pPr>
            <w:r>
              <w:rPr>
                <w:rFonts w:ascii="仿宋" w:eastAsia="仿宋" w:hAnsi="仿宋" w:hint="eastAsia"/>
                <w:color w:val="000000" w:themeColor="text1"/>
                <w:sz w:val="24"/>
                <w:szCs w:val="21"/>
              </w:rPr>
              <w:t>期末考试（</w:t>
            </w:r>
            <w:r>
              <w:rPr>
                <w:rFonts w:ascii="仿宋" w:eastAsia="仿宋" w:hAnsi="仿宋"/>
                <w:color w:val="000000" w:themeColor="text1"/>
                <w:sz w:val="24"/>
                <w:szCs w:val="21"/>
              </w:rPr>
              <w:t>70%</w:t>
            </w:r>
            <w:r>
              <w:rPr>
                <w:rFonts w:ascii="仿宋" w:eastAsia="仿宋" w:hAnsi="仿宋" w:hint="eastAsia"/>
                <w:color w:val="000000" w:themeColor="text1"/>
                <w:sz w:val="24"/>
                <w:szCs w:val="21"/>
              </w:rPr>
              <w:t>）</w:t>
            </w:r>
          </w:p>
        </w:tc>
        <w:tc>
          <w:tcPr>
            <w:tcW w:w="2841" w:type="dxa"/>
            <w:shd w:val="clear" w:color="auto" w:fill="auto"/>
            <w:vAlign w:val="center"/>
          </w:tcPr>
          <w:p w:rsidR="00C10776" w:rsidRDefault="00C10776" w:rsidP="00C10776">
            <w:pPr>
              <w:spacing w:line="360" w:lineRule="auto"/>
              <w:jc w:val="center"/>
              <w:rPr>
                <w:rFonts w:ascii="仿宋" w:eastAsia="仿宋" w:hAnsi="仿宋"/>
                <w:color w:val="000000" w:themeColor="text1"/>
                <w:sz w:val="24"/>
                <w:szCs w:val="21"/>
              </w:rPr>
            </w:pPr>
            <w:r>
              <w:rPr>
                <w:rFonts w:ascii="仿宋" w:eastAsia="仿宋" w:hAnsi="仿宋" w:hint="eastAsia"/>
                <w:color w:val="000000" w:themeColor="text1"/>
                <w:sz w:val="24"/>
                <w:szCs w:val="21"/>
              </w:rPr>
              <w:t>试卷</w:t>
            </w:r>
          </w:p>
        </w:tc>
        <w:tc>
          <w:tcPr>
            <w:tcW w:w="2841" w:type="dxa"/>
            <w:shd w:val="clear" w:color="auto" w:fill="auto"/>
            <w:vAlign w:val="center"/>
          </w:tcPr>
          <w:p w:rsidR="00C10776" w:rsidRDefault="00C10776" w:rsidP="00C10776">
            <w:pPr>
              <w:spacing w:line="360" w:lineRule="auto"/>
              <w:jc w:val="center"/>
              <w:rPr>
                <w:rFonts w:ascii="仿宋" w:eastAsia="仿宋" w:hAnsi="仿宋"/>
                <w:color w:val="000000" w:themeColor="text1"/>
                <w:sz w:val="24"/>
                <w:szCs w:val="21"/>
              </w:rPr>
            </w:pPr>
            <w:r>
              <w:rPr>
                <w:rFonts w:ascii="仿宋" w:eastAsia="仿宋" w:hAnsi="仿宋"/>
                <w:color w:val="000000" w:themeColor="text1"/>
                <w:sz w:val="24"/>
                <w:szCs w:val="21"/>
              </w:rPr>
              <w:t>1,2</w:t>
            </w:r>
          </w:p>
        </w:tc>
      </w:tr>
    </w:tbl>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[1]龙天渝、蔡增基主编，流体力学（第三版），中国建筑工业出版社，</w:t>
      </w:r>
      <w:r>
        <w:rPr>
          <w:rFonts w:ascii="仿宋_GB2312" w:hAnsi="仿宋_GB2312" w:cs="仿宋_GB2312"/>
          <w:sz w:val="28"/>
          <w:szCs w:val="28"/>
        </w:rPr>
        <w:t>2018</w:t>
      </w:r>
    </w:p>
    <w:p w:rsidR="00C10776" w:rsidRDefault="00C10776" w:rsidP="00C10776">
      <w:pPr>
        <w:spacing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10776" w:rsidRDefault="00C10776" w:rsidP="00C10776">
      <w:pPr>
        <w:spacing w:beforeLines="50" w:before="156" w:line="360" w:lineRule="auto"/>
        <w:ind w:leftChars="200" w:left="640"/>
        <w:rPr>
          <w:rFonts w:ascii="仿宋_GB2312" w:hAnsi="仿宋_GB2312" w:cs="仿宋_GB2312"/>
          <w:sz w:val="28"/>
          <w:szCs w:val="28"/>
        </w:rPr>
      </w:pPr>
      <w:r>
        <w:rPr>
          <w:rFonts w:ascii="仿宋_GB2312" w:hAnsi="仿宋_GB2312" w:cs="仿宋_GB2312"/>
          <w:sz w:val="28"/>
          <w:szCs w:val="28"/>
        </w:rPr>
        <w:t xml:space="preserve">[1] </w:t>
      </w:r>
      <w:r>
        <w:rPr>
          <w:rFonts w:ascii="仿宋_GB2312" w:hAnsi="仿宋_GB2312" w:cs="仿宋_GB2312" w:hint="eastAsia"/>
          <w:sz w:val="28"/>
          <w:szCs w:val="28"/>
        </w:rPr>
        <w:t>Victor L. Streeter, E. Benjamin Wylie, Keith W. Bedford，</w:t>
      </w:r>
      <w:r>
        <w:rPr>
          <w:rFonts w:ascii="仿宋_GB2312" w:hAnsi="仿宋_GB2312" w:cs="仿宋_GB2312"/>
          <w:sz w:val="28"/>
          <w:szCs w:val="28"/>
        </w:rPr>
        <w:t>Fluid Mechanics(Ninth Edition)</w:t>
      </w:r>
      <w:r>
        <w:rPr>
          <w:rFonts w:ascii="仿宋_GB2312" w:hAnsi="仿宋_GB2312" w:cs="仿宋_GB2312" w:hint="eastAsia"/>
          <w:sz w:val="28"/>
          <w:szCs w:val="28"/>
        </w:rPr>
        <w:t>，清华大学出版社</w:t>
      </w:r>
      <w:r>
        <w:rPr>
          <w:rFonts w:ascii="仿宋_GB2312" w:hAnsi="仿宋_GB2312" w:cs="仿宋_GB2312"/>
          <w:sz w:val="28"/>
          <w:szCs w:val="28"/>
        </w:rPr>
        <w:lastRenderedPageBreak/>
        <w:t>&amp;施林普格出版社，2003</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sz w:val="28"/>
          <w:szCs w:val="28"/>
        </w:rPr>
        <w:t>[2]</w:t>
      </w:r>
      <w:r>
        <w:rPr>
          <w:rFonts w:ascii="仿宋_GB2312" w:hAnsi="仿宋_GB2312" w:cs="仿宋_GB2312" w:hint="eastAsia"/>
          <w:sz w:val="28"/>
          <w:szCs w:val="28"/>
        </w:rPr>
        <w:t xml:space="preserve"> 尹小玲、唐小南主编，</w:t>
      </w:r>
      <w:r>
        <w:rPr>
          <w:rFonts w:ascii="仿宋_GB2312" w:hAnsi="仿宋_GB2312" w:cs="仿宋_GB2312"/>
          <w:sz w:val="28"/>
          <w:szCs w:val="28"/>
        </w:rPr>
        <w:t>Fluid Mechanics in Civil Engineering</w:t>
      </w:r>
      <w:r>
        <w:rPr>
          <w:rFonts w:ascii="仿宋_GB2312" w:hAnsi="仿宋_GB2312" w:cs="仿宋_GB2312" w:hint="eastAsia"/>
          <w:sz w:val="28"/>
          <w:szCs w:val="28"/>
        </w:rPr>
        <w:t>，华南理工大学出版社，</w:t>
      </w:r>
      <w:r>
        <w:rPr>
          <w:rFonts w:ascii="仿宋_GB2312" w:hAnsi="仿宋_GB2312" w:cs="仿宋_GB2312"/>
          <w:sz w:val="28"/>
          <w:szCs w:val="28"/>
        </w:rPr>
        <w:t>2017</w:t>
      </w:r>
    </w:p>
    <w:p w:rsidR="00C10776" w:rsidRDefault="00C10776" w:rsidP="00C10776">
      <w:pPr>
        <w:spacing w:line="360" w:lineRule="auto"/>
        <w:ind w:leftChars="200" w:left="640"/>
        <w:rPr>
          <w:rFonts w:ascii="仿宋_GB2312" w:hAnsi="仿宋_GB2312" w:cs="仿宋_GB2312"/>
          <w:sz w:val="28"/>
          <w:szCs w:val="28"/>
        </w:rPr>
      </w:pPr>
      <w:r>
        <w:rPr>
          <w:rFonts w:ascii="仿宋_GB2312" w:hAnsi="仿宋_GB2312" w:cs="仿宋_GB2312"/>
          <w:sz w:val="28"/>
          <w:szCs w:val="28"/>
        </w:rPr>
        <w:t>[3]</w:t>
      </w:r>
      <w:r>
        <w:rPr>
          <w:rFonts w:ascii="仿宋_GB2312" w:hAnsi="仿宋_GB2312" w:cs="仿宋_GB2312" w:hint="eastAsia"/>
          <w:sz w:val="28"/>
          <w:szCs w:val="28"/>
        </w:rPr>
        <w:t xml:space="preserve"> 刘鹤年、刘京主编，流体力学，中国建筑工业出版社，</w:t>
      </w:r>
      <w:r>
        <w:rPr>
          <w:rFonts w:ascii="仿宋_GB2312" w:hAnsi="仿宋_GB2312" w:cs="仿宋_GB2312"/>
          <w:sz w:val="28"/>
          <w:szCs w:val="28"/>
        </w:rPr>
        <w:t>2015</w:t>
      </w:r>
    </w:p>
    <w:p w:rsidR="00C10776" w:rsidRDefault="00C10776" w:rsidP="00C10776">
      <w:pPr>
        <w:spacing w:beforeLines="50" w:before="156" w:afterLines="50" w:after="156" w:line="460" w:lineRule="exact"/>
        <w:rPr>
          <w:rFonts w:ascii="黑体" w:eastAsia="黑体" w:hAnsi="黑体"/>
          <w:b/>
          <w:sz w:val="28"/>
          <w:szCs w:val="28"/>
        </w:rPr>
      </w:pP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大纲撰写人：刘静，李子爱</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课程负责人：刘静，李子爱</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审核人：谷雅秀</w:t>
      </w:r>
    </w:p>
    <w:p w:rsidR="00C10776" w:rsidRDefault="00C10776" w:rsidP="00C10776">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10776" w:rsidRDefault="00C10776" w:rsidP="00C10776">
      <w:pPr>
        <w:ind w:firstLineChars="2000" w:firstLine="5600"/>
        <w:jc w:val="left"/>
        <w:rPr>
          <w:rFonts w:ascii="仿宋" w:hAnsi="仿宋"/>
          <w:sz w:val="28"/>
          <w:szCs w:val="28"/>
        </w:rPr>
      </w:pPr>
      <w:r>
        <w:rPr>
          <w:rFonts w:ascii="仿宋_GB2312" w:hAnsi="微软雅黑" w:hint="eastAsia"/>
          <w:sz w:val="28"/>
          <w:szCs w:val="28"/>
        </w:rPr>
        <w:t xml:space="preserve">    </w:t>
      </w:r>
    </w:p>
    <w:p w:rsidR="00C10776" w:rsidRDefault="00C10776" w:rsidP="00C10776">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年</w:t>
      </w:r>
      <w:r>
        <w:rPr>
          <w:rFonts w:ascii="仿宋" w:eastAsia="仿宋" w:hAnsi="仿宋"/>
          <w:sz w:val="28"/>
          <w:szCs w:val="28"/>
        </w:rPr>
        <w:t>4</w:t>
      </w:r>
      <w:r>
        <w:rPr>
          <w:rFonts w:ascii="仿宋" w:eastAsia="仿宋" w:hAnsi="仿宋" w:hint="eastAsia"/>
          <w:sz w:val="28"/>
          <w:szCs w:val="28"/>
        </w:rPr>
        <w:t xml:space="preserve"> 月</w:t>
      </w:r>
    </w:p>
    <w:p w:rsidR="00C10776" w:rsidRDefault="00C10776" w:rsidP="00C10776">
      <w:pPr>
        <w:widowControl/>
        <w:spacing w:line="400" w:lineRule="exact"/>
        <w:rPr>
          <w:rFonts w:ascii="黑体" w:eastAsia="黑体" w:hAnsi="黑体" w:cs="宋体"/>
          <w:bCs/>
          <w:color w:val="000000"/>
          <w:kern w:val="0"/>
          <w:szCs w:val="32"/>
        </w:rPr>
      </w:pPr>
    </w:p>
    <w:p w:rsidR="00C10776" w:rsidRDefault="00C10776" w:rsidP="00C10776"/>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F2294C" w:rsidRDefault="00F2294C" w:rsidP="00C10776">
      <w:pPr>
        <w:jc w:val="left"/>
        <w:rPr>
          <w:rFonts w:ascii="仿宋" w:eastAsia="仿宋" w:hAnsi="仿宋"/>
          <w:sz w:val="28"/>
          <w:szCs w:val="28"/>
        </w:rPr>
      </w:pPr>
    </w:p>
    <w:p w:rsidR="00F2294C" w:rsidRDefault="00F2294C"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《传热学》课程教学大纲</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Heat Transfer</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课程编码：</w:t>
      </w:r>
      <w:hyperlink r:id="rId9" w:tooltip="点击显示单个教学任务具体安排" w:history="1">
        <w:r>
          <w:rPr>
            <w:rFonts w:ascii="仿宋_GB2312" w:hAnsi="仿宋_GB2312" w:cs="仿宋_GB2312"/>
            <w:bCs/>
            <w:sz w:val="28"/>
            <w:szCs w:val="28"/>
          </w:rPr>
          <w:t>X2807030</w:t>
        </w:r>
      </w:hyperlink>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授课语言：双语</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授课方式：线下，混合（线上20%-40%，线下60%-80%）</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课程类别：学科基础</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 xml:space="preserve">学    分：4.0 </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时：64学时（授课60学时，实验4学时）</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w:t>
      </w:r>
      <w:r>
        <w:rPr>
          <w:rFonts w:ascii="仿宋_GB2312" w:hAnsi="仿宋_GB2312" w:cs="仿宋_GB2312"/>
          <w:bCs/>
          <w:sz w:val="28"/>
          <w:szCs w:val="28"/>
        </w:rPr>
        <w:t>高等数学、大学物理、流体力学、工程热力学</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C10776" w:rsidRDefault="00C10776" w:rsidP="00C10776">
      <w:pPr>
        <w:spacing w:line="560" w:lineRule="exact"/>
        <w:rPr>
          <w:rFonts w:ascii="仿宋_GB2312" w:hAnsi="仿宋_GB2312" w:cs="仿宋_GB2312"/>
          <w:bCs/>
          <w:sz w:val="28"/>
          <w:szCs w:val="28"/>
        </w:rPr>
      </w:pPr>
      <w:r>
        <w:rPr>
          <w:rFonts w:ascii="仿宋_GB2312" w:hAnsi="仿宋_GB2312" w:cs="仿宋_GB2312" w:hint="eastAsia"/>
          <w:bCs/>
          <w:sz w:val="28"/>
          <w:szCs w:val="28"/>
        </w:rPr>
        <w:t>二、课程简介</w:t>
      </w:r>
    </w:p>
    <w:p w:rsidR="00C10776" w:rsidRDefault="00C10776" w:rsidP="00C10776">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说明：简述课程的属性、发展、培养目标、主要内容和授课方式和预期学习效果等</w:t>
      </w:r>
    </w:p>
    <w:p w:rsidR="00C10776" w:rsidRDefault="00C10776" w:rsidP="00C10776">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《传热学》是建筑环境与能源应用工程专业的一门</w:t>
      </w:r>
      <w:r>
        <w:rPr>
          <w:rFonts w:ascii="仿宋_GB2312" w:hAnsi="仿宋_GB2312" w:cs="仿宋_GB2312" w:hint="eastAsia"/>
          <w:bCs/>
          <w:sz w:val="28"/>
          <w:szCs w:val="28"/>
        </w:rPr>
        <w:t>必修的核心技术</w:t>
      </w:r>
      <w:r>
        <w:rPr>
          <w:rFonts w:ascii="仿宋_GB2312" w:hAnsi="仿宋_GB2312" w:cs="仿宋_GB2312"/>
          <w:bCs/>
          <w:sz w:val="28"/>
          <w:szCs w:val="28"/>
        </w:rPr>
        <w:t>专业基础课</w:t>
      </w:r>
      <w:r>
        <w:rPr>
          <w:rFonts w:ascii="仿宋_GB2312" w:hAnsi="仿宋_GB2312" w:cs="仿宋_GB2312" w:hint="eastAsia"/>
          <w:bCs/>
          <w:sz w:val="28"/>
          <w:szCs w:val="28"/>
        </w:rPr>
        <w:t>程</w:t>
      </w:r>
      <w:r>
        <w:rPr>
          <w:rFonts w:ascii="仿宋_GB2312" w:hAnsi="仿宋_GB2312" w:cs="仿宋_GB2312"/>
          <w:bCs/>
          <w:sz w:val="28"/>
          <w:szCs w:val="28"/>
        </w:rPr>
        <w:t>。</w:t>
      </w:r>
      <w:r>
        <w:rPr>
          <w:rFonts w:ascii="仿宋_GB2312" w:hAnsi="仿宋_GB2312" w:cs="仿宋_GB2312" w:hint="eastAsia"/>
          <w:bCs/>
          <w:sz w:val="28"/>
          <w:szCs w:val="28"/>
        </w:rPr>
        <w:t>该课程阐述了热量传递的三种基本方式（热传导、热对流和热辐射）的机理，用数学分析方法分析了传热过程的规律；并对复杂传热问题的分析方法进行了介绍，从而使学生能够掌握一般传热设备的热设计计算（包括简单情况下的温度分布和换热量计算），了解增强或减弱换热的基本方法及途径；为后续专业课程的学习打下基础。</w:t>
      </w:r>
    </w:p>
    <w:p w:rsidR="00C10776" w:rsidRDefault="00C10776" w:rsidP="00C10776">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教学方式</w:t>
      </w:r>
      <w:r>
        <w:rPr>
          <w:rFonts w:ascii="仿宋_GB2312" w:hAnsi="仿宋_GB2312" w:cs="仿宋_GB2312" w:hint="eastAsia"/>
          <w:bCs/>
          <w:sz w:val="28"/>
          <w:szCs w:val="28"/>
        </w:rPr>
        <w:t>采用</w:t>
      </w:r>
      <w:r>
        <w:rPr>
          <w:rFonts w:ascii="仿宋_GB2312" w:hAnsi="仿宋_GB2312" w:cs="仿宋_GB2312"/>
          <w:bCs/>
          <w:sz w:val="28"/>
          <w:szCs w:val="28"/>
        </w:rPr>
        <w:t>PPT</w:t>
      </w:r>
      <w:r>
        <w:rPr>
          <w:rFonts w:ascii="仿宋_GB2312" w:hAnsi="仿宋_GB2312" w:cs="仿宋_GB2312" w:hint="eastAsia"/>
          <w:bCs/>
          <w:sz w:val="28"/>
          <w:szCs w:val="28"/>
        </w:rPr>
        <w:t>+板书讲解、线上教学、课程实验、课后思考题</w:t>
      </w:r>
      <w:r>
        <w:rPr>
          <w:rFonts w:ascii="仿宋_GB2312" w:hAnsi="仿宋_GB2312" w:cs="仿宋_GB2312" w:hint="eastAsia"/>
          <w:bCs/>
          <w:sz w:val="28"/>
          <w:szCs w:val="28"/>
        </w:rPr>
        <w:lastRenderedPageBreak/>
        <w:t>和练习题等相结合进行授课，并结合后续课程设计教学环节，使学生具备基本的理论分析和应用能力。</w:t>
      </w:r>
    </w:p>
    <w:p w:rsidR="00C10776" w:rsidRDefault="00C10776" w:rsidP="00C10776">
      <w:pPr>
        <w:spacing w:line="560" w:lineRule="exact"/>
        <w:rPr>
          <w:rFonts w:ascii="仿宋_GB2312" w:hAnsi="仿宋_GB2312" w:cs="仿宋_GB2312"/>
          <w:bCs/>
          <w:sz w:val="28"/>
          <w:szCs w:val="28"/>
        </w:rPr>
      </w:pPr>
      <w:r>
        <w:rPr>
          <w:rFonts w:ascii="仿宋_GB2312" w:hAnsi="仿宋_GB2312" w:cs="仿宋_GB2312" w:hint="eastAsia"/>
          <w:bCs/>
          <w:sz w:val="28"/>
          <w:szCs w:val="28"/>
        </w:rPr>
        <w:t>三、课程任务、目标与要求</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1. 课程任务</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bCs/>
          <w:sz w:val="28"/>
          <w:szCs w:val="28"/>
        </w:rPr>
        <w:t>本课程不仅为学生学习有关的专业课程提供必要的基础理论知识，而且也为学生以后从事热能综合利用、热工设备与用能系统的设计及优化等方面的工作打下必要的基础。</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课程基本要求</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bCs/>
          <w:sz w:val="28"/>
          <w:szCs w:val="28"/>
        </w:rPr>
        <w:t>通过本门课程的学习，使学生理性认识热量传递现象，掌握传热学的基本理论、基本定律及基本计算，为解决后续课程学习或实际工作中涉及到的热问题，打下坚实的理论基础。</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1)掌握传热的三种基本方式和综合传热过程所遵循的基本规律。能应用这些规律提出增强传热提高热经济性和削弱传热损失的途径和方法；并学会对传热过程进行解剖处理和分析计算的基本方法；会查计算图表和手册资料进行传热计算，为采暖、空调、供热、燃气供应和锅炉设备等热工计算奠定基础。</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2)掌握导热的基本定律。能对无内热源的几何形状物体在常物性条件下的导热进行熟练的分析计算；较深刻地了解物体在被加热、冷却和受到周期性热作用时的温度场及热流随时间而变化的规律；并对导热问题的数值求解方法加强了解。</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3)从边界层理论分析出发，较深刻地了解各种因素对对流换热的影响，对常见的各对流换热过程的换热能力作出定性的正确判断，对各对流换热过程的有关准则有正确的理解，并能熟练的运用准则方</w:t>
      </w:r>
      <w:r>
        <w:rPr>
          <w:rFonts w:ascii="仿宋_GB2312" w:hAnsi="仿宋_GB2312" w:cs="仿宋_GB2312"/>
          <w:bCs/>
          <w:sz w:val="28"/>
          <w:szCs w:val="28"/>
        </w:rPr>
        <w:lastRenderedPageBreak/>
        <w:t>程进行计算。</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4)掌握热辐射的基本定律。深刻理解灰体、有效辐射、角系数等重要概念。熟悉由透热介质所隔开的两物体间辐射换热的基本计算方法，对吸收性介质的辐射具有一定的认识。</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5)理解传热过程及传热系数。理解复合换热。掌握传热量的计算方法及强化和削弱热量传递过程的原理和手段。能应用热阻概念综合分析热量传递过程。了解常见换热器的类型。能用对数平均温差法及传热单元数法计算间壁式换热器。</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6)学习实验研究和整理实验数据的理论基础及传热实验的基本技能；初步掌握测温、测热、测流量、测流量的基本方法。</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 xml:space="preserve">2.2 课程目标与毕业要求之间的对应关系 </w:t>
      </w:r>
    </w:p>
    <w:p w:rsidR="006A4F10" w:rsidRDefault="006A4F10" w:rsidP="00C10776">
      <w:pPr>
        <w:spacing w:line="560" w:lineRule="exact"/>
        <w:ind w:firstLine="331"/>
        <w:rPr>
          <w:rFonts w:ascii="仿宋_GB2312" w:hAnsi="仿宋_GB2312" w:cs="仿宋_GB2312"/>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506"/>
        <w:gridCol w:w="1494"/>
      </w:tblGrid>
      <w:tr w:rsidR="00C10776" w:rsidTr="00C10776">
        <w:trPr>
          <w:trHeight w:val="978"/>
          <w:jc w:val="center"/>
        </w:trPr>
        <w:tc>
          <w:tcPr>
            <w:tcW w:w="2035" w:type="dxa"/>
            <w:shd w:val="clear" w:color="auto" w:fill="auto"/>
            <w:vAlign w:val="center"/>
          </w:tcPr>
          <w:p w:rsidR="00C10776" w:rsidRDefault="00C10776" w:rsidP="00C10776">
            <w:pPr>
              <w:spacing w:line="500" w:lineRule="exact"/>
              <w:jc w:val="left"/>
              <w:rPr>
                <w:rFonts w:ascii="宋体" w:eastAsia="宋体" w:hAnsi="宋体"/>
                <w:sz w:val="21"/>
                <w:szCs w:val="21"/>
              </w:rPr>
            </w:pPr>
            <w:r>
              <w:rPr>
                <w:rFonts w:ascii="宋体" w:eastAsia="宋体" w:hAnsi="宋体" w:hint="eastAsia"/>
                <w:sz w:val="21"/>
                <w:szCs w:val="21"/>
              </w:rPr>
              <w:t>毕业要求</w:t>
            </w:r>
          </w:p>
        </w:tc>
        <w:tc>
          <w:tcPr>
            <w:tcW w:w="4506" w:type="dxa"/>
            <w:shd w:val="clear" w:color="auto" w:fill="auto"/>
            <w:vAlign w:val="center"/>
          </w:tcPr>
          <w:p w:rsidR="00C10776" w:rsidRDefault="00C10776" w:rsidP="00C10776">
            <w:pPr>
              <w:spacing w:line="500" w:lineRule="exact"/>
              <w:jc w:val="center"/>
              <w:rPr>
                <w:rFonts w:ascii="宋体" w:eastAsia="宋体" w:hAnsi="宋体"/>
                <w:sz w:val="21"/>
                <w:szCs w:val="21"/>
              </w:rPr>
            </w:pPr>
            <w:r>
              <w:rPr>
                <w:rFonts w:ascii="宋体" w:eastAsia="宋体" w:hAnsi="宋体" w:hint="eastAsia"/>
                <w:sz w:val="21"/>
                <w:szCs w:val="21"/>
              </w:rPr>
              <w:t>指标点</w:t>
            </w:r>
          </w:p>
        </w:tc>
        <w:tc>
          <w:tcPr>
            <w:tcW w:w="1494" w:type="dxa"/>
            <w:shd w:val="clear" w:color="auto" w:fill="auto"/>
            <w:vAlign w:val="center"/>
          </w:tcPr>
          <w:p w:rsidR="00C10776" w:rsidRDefault="00C10776" w:rsidP="00C10776">
            <w:pPr>
              <w:spacing w:line="500" w:lineRule="exact"/>
              <w:jc w:val="left"/>
              <w:rPr>
                <w:rFonts w:ascii="宋体" w:eastAsia="宋体" w:hAnsi="宋体"/>
                <w:sz w:val="21"/>
                <w:szCs w:val="21"/>
              </w:rPr>
            </w:pPr>
            <w:r>
              <w:rPr>
                <w:rFonts w:ascii="宋体" w:eastAsia="宋体" w:hAnsi="宋体" w:hint="eastAsia"/>
                <w:sz w:val="21"/>
                <w:szCs w:val="21"/>
              </w:rPr>
              <w:t>课程目标</w:t>
            </w:r>
          </w:p>
        </w:tc>
      </w:tr>
      <w:tr w:rsidR="00C10776" w:rsidTr="00C10776">
        <w:trPr>
          <w:jc w:val="center"/>
        </w:trPr>
        <w:tc>
          <w:tcPr>
            <w:tcW w:w="2035" w:type="dxa"/>
            <w:shd w:val="clear" w:color="auto" w:fill="auto"/>
            <w:vAlign w:val="center"/>
          </w:tcPr>
          <w:p w:rsidR="00C10776" w:rsidRDefault="00C10776" w:rsidP="00C10776">
            <w:pPr>
              <w:spacing w:line="500" w:lineRule="exact"/>
              <w:jc w:val="left"/>
              <w:rPr>
                <w:rFonts w:ascii="宋体" w:eastAsia="宋体" w:hAnsi="宋体"/>
                <w:sz w:val="21"/>
                <w:szCs w:val="21"/>
              </w:rPr>
            </w:pPr>
            <w:r>
              <w:rPr>
                <w:rFonts w:ascii="宋体" w:eastAsia="宋体" w:hAnsi="宋体" w:hint="eastAsia"/>
                <w:sz w:val="21"/>
                <w:szCs w:val="21"/>
              </w:rPr>
              <w:t>1.工程知识</w:t>
            </w:r>
          </w:p>
        </w:tc>
        <w:tc>
          <w:tcPr>
            <w:tcW w:w="4506" w:type="dxa"/>
            <w:shd w:val="clear" w:color="auto" w:fill="auto"/>
            <w:vAlign w:val="center"/>
          </w:tcPr>
          <w:p w:rsidR="00C10776" w:rsidRDefault="00C10776" w:rsidP="00C10776">
            <w:pPr>
              <w:spacing w:line="500" w:lineRule="exact"/>
              <w:jc w:val="left"/>
              <w:rPr>
                <w:rFonts w:ascii="宋体" w:eastAsia="宋体" w:hAnsi="宋体"/>
                <w:sz w:val="21"/>
                <w:szCs w:val="21"/>
              </w:rPr>
            </w:pPr>
            <w:r>
              <w:rPr>
                <w:rFonts w:ascii="宋体" w:eastAsia="宋体" w:hAnsi="宋体"/>
                <w:sz w:val="21"/>
                <w:szCs w:val="21"/>
              </w:rPr>
              <w:t xml:space="preserve">1.1 </w:t>
            </w:r>
            <w:r>
              <w:rPr>
                <w:rFonts w:ascii="宋体" w:eastAsia="宋体" w:hAnsi="宋体" w:hint="eastAsia"/>
                <w:sz w:val="21"/>
                <w:szCs w:val="21"/>
              </w:rPr>
              <w:t>掌握数学、自然科学等知识，具备面向建筑环境与能源应用工程专业复杂工程问题的科学思维和表述能力；</w:t>
            </w:r>
          </w:p>
        </w:tc>
        <w:tc>
          <w:tcPr>
            <w:tcW w:w="1494" w:type="dxa"/>
            <w:shd w:val="clear" w:color="auto" w:fill="auto"/>
            <w:vAlign w:val="center"/>
          </w:tcPr>
          <w:p w:rsidR="00C10776" w:rsidRDefault="00C10776" w:rsidP="00C10776">
            <w:pPr>
              <w:spacing w:line="500" w:lineRule="exact"/>
              <w:jc w:val="center"/>
              <w:rPr>
                <w:rFonts w:ascii="宋体" w:eastAsia="宋体" w:hAnsi="宋体"/>
                <w:sz w:val="21"/>
                <w:szCs w:val="21"/>
              </w:rPr>
            </w:pPr>
            <w:r>
              <w:rPr>
                <w:rFonts w:ascii="宋体" w:eastAsia="宋体" w:hAnsi="宋体" w:hint="eastAsia"/>
                <w:sz w:val="21"/>
                <w:szCs w:val="21"/>
              </w:rPr>
              <w:t>课程目标（5）</w:t>
            </w:r>
          </w:p>
        </w:tc>
      </w:tr>
      <w:tr w:rsidR="00C10776" w:rsidTr="00C10776">
        <w:trPr>
          <w:jc w:val="center"/>
        </w:trPr>
        <w:tc>
          <w:tcPr>
            <w:tcW w:w="2035" w:type="dxa"/>
            <w:shd w:val="clear" w:color="auto" w:fill="auto"/>
            <w:vAlign w:val="center"/>
          </w:tcPr>
          <w:p w:rsidR="00C10776" w:rsidRDefault="00C10776" w:rsidP="00C10776">
            <w:pPr>
              <w:spacing w:line="500" w:lineRule="exact"/>
              <w:jc w:val="left"/>
              <w:rPr>
                <w:rFonts w:ascii="宋体" w:eastAsia="宋体" w:hAnsi="宋体"/>
                <w:sz w:val="21"/>
                <w:szCs w:val="21"/>
              </w:rPr>
            </w:pPr>
            <w:r>
              <w:rPr>
                <w:rFonts w:ascii="宋体" w:eastAsia="宋体" w:hAnsi="宋体" w:hint="eastAsia"/>
                <w:sz w:val="21"/>
                <w:szCs w:val="21"/>
              </w:rPr>
              <w:t>2.问题分析</w:t>
            </w:r>
          </w:p>
        </w:tc>
        <w:tc>
          <w:tcPr>
            <w:tcW w:w="4506" w:type="dxa"/>
            <w:shd w:val="clear" w:color="auto" w:fill="auto"/>
            <w:vAlign w:val="center"/>
          </w:tcPr>
          <w:p w:rsidR="00C10776" w:rsidRDefault="00C10776" w:rsidP="00C10776">
            <w:pPr>
              <w:spacing w:line="500" w:lineRule="exact"/>
              <w:jc w:val="left"/>
              <w:rPr>
                <w:rFonts w:ascii="宋体" w:eastAsia="宋体" w:hAnsi="宋体"/>
                <w:sz w:val="21"/>
                <w:szCs w:val="21"/>
              </w:rPr>
            </w:pPr>
            <w:r>
              <w:rPr>
                <w:rFonts w:ascii="宋体" w:eastAsia="宋体" w:hAnsi="宋体" w:hint="eastAsia"/>
                <w:sz w:val="21"/>
                <w:szCs w:val="21"/>
              </w:rPr>
              <w:t>2.1能够应用数学、自然科学的基本原理，正确识别和判断建筑环境与能源应用工程专业复杂工程问题；</w:t>
            </w:r>
          </w:p>
        </w:tc>
        <w:tc>
          <w:tcPr>
            <w:tcW w:w="1494" w:type="dxa"/>
            <w:shd w:val="clear" w:color="auto" w:fill="auto"/>
            <w:vAlign w:val="center"/>
          </w:tcPr>
          <w:p w:rsidR="00C10776" w:rsidRDefault="00C10776" w:rsidP="00C10776">
            <w:pPr>
              <w:spacing w:line="500" w:lineRule="exact"/>
              <w:jc w:val="center"/>
              <w:rPr>
                <w:rFonts w:ascii="宋体" w:eastAsia="宋体" w:hAnsi="宋体"/>
                <w:sz w:val="21"/>
                <w:szCs w:val="21"/>
              </w:rPr>
            </w:pPr>
            <w:r>
              <w:rPr>
                <w:rFonts w:ascii="宋体" w:eastAsia="宋体" w:hAnsi="宋体" w:hint="eastAsia"/>
                <w:sz w:val="21"/>
                <w:szCs w:val="21"/>
              </w:rPr>
              <w:t>课程目标</w:t>
            </w:r>
          </w:p>
          <w:p w:rsidR="00C10776" w:rsidRDefault="00C10776" w:rsidP="00C10776">
            <w:pPr>
              <w:spacing w:line="500" w:lineRule="exact"/>
              <w:jc w:val="center"/>
              <w:rPr>
                <w:rFonts w:ascii="宋体" w:eastAsia="宋体" w:hAnsi="宋体"/>
                <w:sz w:val="21"/>
                <w:szCs w:val="21"/>
              </w:rPr>
            </w:pPr>
            <w:r>
              <w:rPr>
                <w:rFonts w:ascii="宋体" w:eastAsia="宋体" w:hAnsi="宋体" w:hint="eastAsia"/>
                <w:sz w:val="21"/>
                <w:szCs w:val="21"/>
              </w:rPr>
              <w:t>（1）</w:t>
            </w:r>
            <w:r>
              <w:rPr>
                <w:rFonts w:ascii="宋体" w:eastAsia="宋体" w:hAnsi="宋体"/>
                <w:sz w:val="21"/>
                <w:szCs w:val="21"/>
              </w:rPr>
              <w:t>-</w:t>
            </w:r>
            <w:r>
              <w:rPr>
                <w:rFonts w:ascii="宋体" w:eastAsia="宋体" w:hAnsi="宋体" w:hint="eastAsia"/>
                <w:sz w:val="21"/>
                <w:szCs w:val="21"/>
              </w:rPr>
              <w:t>（</w:t>
            </w:r>
            <w:r>
              <w:rPr>
                <w:rFonts w:ascii="宋体" w:eastAsia="宋体" w:hAnsi="宋体"/>
                <w:sz w:val="21"/>
                <w:szCs w:val="21"/>
              </w:rPr>
              <w:t>5</w:t>
            </w:r>
            <w:r>
              <w:rPr>
                <w:rFonts w:ascii="宋体" w:eastAsia="宋体" w:hAnsi="宋体" w:hint="eastAsia"/>
                <w:sz w:val="21"/>
                <w:szCs w:val="21"/>
              </w:rPr>
              <w:t>）</w:t>
            </w:r>
          </w:p>
        </w:tc>
      </w:tr>
      <w:tr w:rsidR="00C10776" w:rsidTr="00C10776">
        <w:trPr>
          <w:jc w:val="center"/>
        </w:trPr>
        <w:tc>
          <w:tcPr>
            <w:tcW w:w="2035" w:type="dxa"/>
            <w:shd w:val="clear" w:color="auto" w:fill="auto"/>
            <w:vAlign w:val="center"/>
          </w:tcPr>
          <w:p w:rsidR="00C10776" w:rsidRDefault="00C10776" w:rsidP="00C10776">
            <w:pPr>
              <w:spacing w:line="500" w:lineRule="exact"/>
              <w:jc w:val="left"/>
              <w:rPr>
                <w:rFonts w:ascii="宋体" w:eastAsia="宋体" w:hAnsi="宋体"/>
                <w:sz w:val="21"/>
                <w:szCs w:val="21"/>
              </w:rPr>
            </w:pPr>
            <w:r>
              <w:rPr>
                <w:rFonts w:ascii="宋体" w:eastAsia="宋体" w:hAnsi="宋体" w:hint="eastAsia"/>
                <w:sz w:val="21"/>
                <w:szCs w:val="21"/>
              </w:rPr>
              <w:t>4.研究</w:t>
            </w:r>
          </w:p>
        </w:tc>
        <w:tc>
          <w:tcPr>
            <w:tcW w:w="4506" w:type="dxa"/>
            <w:shd w:val="clear" w:color="auto" w:fill="auto"/>
            <w:vAlign w:val="center"/>
          </w:tcPr>
          <w:p w:rsidR="00C10776" w:rsidRDefault="00C10776" w:rsidP="00C10776">
            <w:pPr>
              <w:spacing w:line="500" w:lineRule="exact"/>
              <w:jc w:val="left"/>
              <w:rPr>
                <w:rFonts w:ascii="宋体" w:eastAsia="宋体" w:hAnsi="宋体"/>
                <w:sz w:val="21"/>
                <w:szCs w:val="21"/>
              </w:rPr>
            </w:pPr>
            <w:r>
              <w:rPr>
                <w:rFonts w:ascii="宋体" w:eastAsia="宋体" w:hAnsi="宋体" w:hint="eastAsia"/>
                <w:sz w:val="21"/>
                <w:szCs w:val="21"/>
              </w:rPr>
              <w:t>4</w:t>
            </w:r>
            <w:r>
              <w:rPr>
                <w:rFonts w:ascii="宋体" w:eastAsia="宋体" w:hAnsi="宋体"/>
                <w:sz w:val="21"/>
                <w:szCs w:val="21"/>
              </w:rPr>
              <w:t xml:space="preserve">.2 </w:t>
            </w:r>
            <w:r>
              <w:rPr>
                <w:rFonts w:ascii="宋体" w:eastAsia="宋体" w:hAnsi="宋体" w:hint="eastAsia"/>
                <w:sz w:val="21"/>
                <w:szCs w:val="21"/>
              </w:rPr>
              <w:t>掌握工程基础和专业实验、测试和检测的基本原理、方法和技能；</w:t>
            </w:r>
          </w:p>
          <w:p w:rsidR="00C10776" w:rsidRDefault="00C10776" w:rsidP="00C10776">
            <w:pPr>
              <w:spacing w:line="500" w:lineRule="exact"/>
              <w:jc w:val="left"/>
              <w:rPr>
                <w:rFonts w:ascii="宋体" w:eastAsia="宋体" w:hAnsi="宋体"/>
                <w:sz w:val="21"/>
                <w:szCs w:val="21"/>
              </w:rPr>
            </w:pPr>
            <w:r>
              <w:rPr>
                <w:rFonts w:ascii="宋体" w:eastAsia="宋体" w:hAnsi="宋体" w:hint="eastAsia"/>
                <w:sz w:val="21"/>
                <w:szCs w:val="21"/>
              </w:rPr>
              <w:t>4</w:t>
            </w:r>
            <w:r>
              <w:rPr>
                <w:rFonts w:ascii="宋体" w:eastAsia="宋体" w:hAnsi="宋体"/>
                <w:sz w:val="21"/>
                <w:szCs w:val="21"/>
              </w:rPr>
              <w:t xml:space="preserve">.3 </w:t>
            </w:r>
            <w:r>
              <w:rPr>
                <w:rFonts w:ascii="宋体" w:eastAsia="宋体" w:hAnsi="宋体" w:hint="eastAsia"/>
                <w:sz w:val="21"/>
                <w:szCs w:val="21"/>
              </w:rPr>
              <w:t>根据建筑环境与能源应用工程专业复杂工程问题的特征，选择研究路线，设计实验方案并正确进行实验操作，正确收集、处理、分析与解释实验数据，通过信息综合获得合理有效</w:t>
            </w:r>
            <w:r>
              <w:rPr>
                <w:rFonts w:ascii="宋体" w:eastAsia="宋体" w:hAnsi="宋体" w:hint="eastAsia"/>
                <w:sz w:val="21"/>
                <w:szCs w:val="21"/>
              </w:rPr>
              <w:lastRenderedPageBreak/>
              <w:t>的结论。</w:t>
            </w:r>
          </w:p>
        </w:tc>
        <w:tc>
          <w:tcPr>
            <w:tcW w:w="1494" w:type="dxa"/>
            <w:shd w:val="clear" w:color="auto" w:fill="auto"/>
            <w:vAlign w:val="center"/>
          </w:tcPr>
          <w:p w:rsidR="00C10776" w:rsidRDefault="00C10776" w:rsidP="00C10776">
            <w:pPr>
              <w:spacing w:line="500" w:lineRule="exact"/>
              <w:jc w:val="center"/>
              <w:rPr>
                <w:rFonts w:ascii="宋体" w:eastAsia="宋体" w:hAnsi="宋体"/>
                <w:sz w:val="21"/>
                <w:szCs w:val="21"/>
              </w:rPr>
            </w:pPr>
            <w:r>
              <w:rPr>
                <w:rFonts w:ascii="宋体" w:eastAsia="宋体" w:hAnsi="宋体" w:hint="eastAsia"/>
                <w:sz w:val="21"/>
                <w:szCs w:val="21"/>
              </w:rPr>
              <w:lastRenderedPageBreak/>
              <w:t>课程目标（6）</w:t>
            </w:r>
          </w:p>
        </w:tc>
      </w:tr>
    </w:tbl>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3. 课程的重点、难点</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bCs/>
          <w:sz w:val="28"/>
          <w:szCs w:val="28"/>
        </w:rPr>
        <w:t>1)传热的三种基本方式和综合传热过程所遵循的基本规律。</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bCs/>
          <w:sz w:val="28"/>
          <w:szCs w:val="28"/>
        </w:rPr>
        <w:t>2)掌握导热的基本定律。</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bCs/>
          <w:sz w:val="28"/>
          <w:szCs w:val="28"/>
        </w:rPr>
        <w:t>3)从边界层理论分析出发，较深刻地了解各种因素对对流换热的影响，对常见的各对流换热过程的换热能力作出定性的正确判断，对各对流换热过程的有关准则有正确的理解，并能熟练的运用准则方程进行计算。</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bCs/>
          <w:sz w:val="28"/>
          <w:szCs w:val="28"/>
        </w:rPr>
        <w:t>4)掌握热辐射的基本定律。</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bCs/>
          <w:sz w:val="28"/>
          <w:szCs w:val="28"/>
        </w:rPr>
        <w:t>5)理解传热过程及传热系数。理解复合换热。掌握传热量的计算方法及强化和削弱热量传递过程的原理和手段。</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bCs/>
          <w:sz w:val="28"/>
          <w:szCs w:val="28"/>
        </w:rPr>
        <w:t>6)学习实验研究和整理实验数据的理论基础及传热实验的基本技能；初步掌握测温、测热、测流量、测流量的基本方法。</w:t>
      </w:r>
    </w:p>
    <w:p w:rsidR="00C10776" w:rsidRDefault="00C10776" w:rsidP="00C1077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4. 课程思政设计</w:t>
      </w:r>
    </w:p>
    <w:tbl>
      <w:tblPr>
        <w:tblpPr w:leftFromText="180" w:rightFromText="180" w:vertAnchor="text" w:tblpX="79" w:tblpY="13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1"/>
        <w:gridCol w:w="2551"/>
        <w:gridCol w:w="2731"/>
        <w:gridCol w:w="2788"/>
      </w:tblGrid>
      <w:tr w:rsidR="00C10776" w:rsidTr="00C10776">
        <w:trPr>
          <w:trHeight w:val="960"/>
        </w:trPr>
        <w:tc>
          <w:tcPr>
            <w:tcW w:w="817" w:type="dxa"/>
          </w:tcPr>
          <w:p w:rsidR="00C10776" w:rsidRPr="006A4F10" w:rsidRDefault="00C10776" w:rsidP="006A4F10">
            <w:pPr>
              <w:rPr>
                <w:rFonts w:ascii="仿宋_GB2312"/>
                <w:sz w:val="20"/>
                <w:szCs w:val="20"/>
              </w:rPr>
            </w:pPr>
            <w:r w:rsidRPr="006A4F10">
              <w:rPr>
                <w:rFonts w:ascii="仿宋_GB2312" w:hint="eastAsia"/>
                <w:sz w:val="20"/>
                <w:szCs w:val="20"/>
              </w:rPr>
              <w:t>序号</w:t>
            </w:r>
          </w:p>
        </w:tc>
        <w:tc>
          <w:tcPr>
            <w:tcW w:w="851" w:type="dxa"/>
          </w:tcPr>
          <w:p w:rsidR="00C10776" w:rsidRPr="006A4F10" w:rsidRDefault="00C10776" w:rsidP="006A4F10">
            <w:pPr>
              <w:rPr>
                <w:rFonts w:ascii="仿宋_GB2312"/>
                <w:sz w:val="20"/>
                <w:szCs w:val="20"/>
              </w:rPr>
            </w:pPr>
            <w:r w:rsidRPr="006A4F10">
              <w:rPr>
                <w:rFonts w:ascii="仿宋_GB2312" w:hint="eastAsia"/>
                <w:sz w:val="20"/>
                <w:szCs w:val="20"/>
              </w:rPr>
              <w:t>章节</w:t>
            </w:r>
          </w:p>
        </w:tc>
        <w:tc>
          <w:tcPr>
            <w:tcW w:w="2551" w:type="dxa"/>
          </w:tcPr>
          <w:p w:rsidR="00C10776" w:rsidRPr="006A4F10" w:rsidRDefault="00C10776" w:rsidP="006A4F10">
            <w:pPr>
              <w:rPr>
                <w:rFonts w:ascii="仿宋_GB2312"/>
                <w:sz w:val="20"/>
                <w:szCs w:val="20"/>
              </w:rPr>
            </w:pPr>
            <w:r w:rsidRPr="006A4F10">
              <w:rPr>
                <w:rFonts w:ascii="仿宋_GB2312" w:hint="eastAsia"/>
                <w:sz w:val="20"/>
                <w:szCs w:val="20"/>
              </w:rPr>
              <w:t>思政知识点</w:t>
            </w:r>
          </w:p>
        </w:tc>
        <w:tc>
          <w:tcPr>
            <w:tcW w:w="2731" w:type="dxa"/>
          </w:tcPr>
          <w:p w:rsidR="00C10776" w:rsidRPr="006A4F10" w:rsidRDefault="00C10776" w:rsidP="006A4F10">
            <w:pPr>
              <w:rPr>
                <w:rFonts w:ascii="仿宋_GB2312"/>
                <w:sz w:val="20"/>
                <w:szCs w:val="20"/>
              </w:rPr>
            </w:pPr>
            <w:r w:rsidRPr="006A4F10">
              <w:rPr>
                <w:rFonts w:ascii="仿宋_GB2312" w:hint="eastAsia"/>
                <w:sz w:val="20"/>
                <w:szCs w:val="20"/>
              </w:rPr>
              <w:t>思政理念</w:t>
            </w:r>
          </w:p>
        </w:tc>
        <w:tc>
          <w:tcPr>
            <w:tcW w:w="2788" w:type="dxa"/>
          </w:tcPr>
          <w:p w:rsidR="00C10776" w:rsidRPr="006A4F10" w:rsidRDefault="00C10776" w:rsidP="006A4F10">
            <w:pPr>
              <w:rPr>
                <w:rFonts w:ascii="仿宋_GB2312"/>
                <w:sz w:val="20"/>
                <w:szCs w:val="20"/>
              </w:rPr>
            </w:pPr>
            <w:r w:rsidRPr="006A4F10">
              <w:rPr>
                <w:rFonts w:ascii="仿宋_GB2312" w:hint="eastAsia"/>
                <w:sz w:val="20"/>
                <w:szCs w:val="20"/>
              </w:rPr>
              <w:t>进行方式</w:t>
            </w:r>
          </w:p>
        </w:tc>
      </w:tr>
      <w:tr w:rsidR="00C10776" w:rsidTr="00C10776">
        <w:trPr>
          <w:trHeight w:val="510"/>
        </w:trPr>
        <w:tc>
          <w:tcPr>
            <w:tcW w:w="817" w:type="dxa"/>
          </w:tcPr>
          <w:p w:rsidR="00C10776" w:rsidRPr="006A4F10" w:rsidRDefault="00C10776" w:rsidP="006A4F10">
            <w:pPr>
              <w:rPr>
                <w:rFonts w:ascii="仿宋_GB2312"/>
                <w:sz w:val="20"/>
                <w:szCs w:val="20"/>
              </w:rPr>
            </w:pPr>
            <w:r w:rsidRPr="006A4F10">
              <w:rPr>
                <w:rFonts w:ascii="仿宋_GB2312" w:hint="eastAsia"/>
                <w:sz w:val="20"/>
                <w:szCs w:val="20"/>
              </w:rPr>
              <w:t>1</w:t>
            </w:r>
          </w:p>
        </w:tc>
        <w:tc>
          <w:tcPr>
            <w:tcW w:w="851" w:type="dxa"/>
          </w:tcPr>
          <w:p w:rsidR="00C10776" w:rsidRPr="006A4F10" w:rsidRDefault="00C10776" w:rsidP="006A4F10">
            <w:pPr>
              <w:rPr>
                <w:rFonts w:ascii="仿宋_GB2312"/>
                <w:sz w:val="20"/>
                <w:szCs w:val="20"/>
              </w:rPr>
            </w:pPr>
            <w:r w:rsidRPr="006A4F10">
              <w:rPr>
                <w:rFonts w:ascii="仿宋_GB2312" w:hint="eastAsia"/>
                <w:sz w:val="20"/>
                <w:szCs w:val="20"/>
              </w:rPr>
              <w:t>绪论</w:t>
            </w:r>
          </w:p>
        </w:tc>
        <w:tc>
          <w:tcPr>
            <w:tcW w:w="2551" w:type="dxa"/>
          </w:tcPr>
          <w:p w:rsidR="00C10776" w:rsidRPr="006A4F10" w:rsidRDefault="00C10776" w:rsidP="006A4F10">
            <w:pPr>
              <w:rPr>
                <w:rFonts w:ascii="仿宋_GB2312"/>
                <w:sz w:val="20"/>
                <w:szCs w:val="20"/>
              </w:rPr>
            </w:pPr>
            <w:r w:rsidRPr="006A4F10">
              <w:rPr>
                <w:rFonts w:ascii="仿宋_GB2312" w:hint="eastAsia"/>
                <w:sz w:val="20"/>
                <w:szCs w:val="20"/>
              </w:rPr>
              <w:t>传热学的应用：光纤制造，运载火箭等</w:t>
            </w:r>
          </w:p>
        </w:tc>
        <w:tc>
          <w:tcPr>
            <w:tcW w:w="2731" w:type="dxa"/>
          </w:tcPr>
          <w:p w:rsidR="00C10776" w:rsidRPr="006A4F10" w:rsidRDefault="00C10776" w:rsidP="006A4F10">
            <w:pPr>
              <w:rPr>
                <w:rFonts w:ascii="仿宋_GB2312"/>
                <w:sz w:val="20"/>
                <w:szCs w:val="20"/>
              </w:rPr>
            </w:pPr>
            <w:r w:rsidRPr="006A4F10">
              <w:rPr>
                <w:rFonts w:ascii="仿宋_GB2312" w:hint="eastAsia"/>
                <w:sz w:val="20"/>
                <w:szCs w:val="20"/>
              </w:rPr>
              <w:t>家国情怀</w:t>
            </w:r>
          </w:p>
        </w:tc>
        <w:tc>
          <w:tcPr>
            <w:tcW w:w="2788" w:type="dxa"/>
          </w:tcPr>
          <w:p w:rsidR="00C10776" w:rsidRPr="006A4F10" w:rsidRDefault="00C10776" w:rsidP="006A4F10">
            <w:pPr>
              <w:rPr>
                <w:rFonts w:ascii="仿宋_GB2312"/>
                <w:sz w:val="20"/>
                <w:szCs w:val="20"/>
              </w:rPr>
            </w:pPr>
            <w:r w:rsidRPr="006A4F10">
              <w:rPr>
                <w:rFonts w:ascii="仿宋_GB2312" w:hint="eastAsia"/>
                <w:sz w:val="20"/>
                <w:szCs w:val="20"/>
              </w:rPr>
              <w:t>随知识点讲解进行</w:t>
            </w:r>
          </w:p>
        </w:tc>
      </w:tr>
      <w:tr w:rsidR="00C10776" w:rsidTr="00C10776">
        <w:trPr>
          <w:trHeight w:val="440"/>
        </w:trPr>
        <w:tc>
          <w:tcPr>
            <w:tcW w:w="817" w:type="dxa"/>
          </w:tcPr>
          <w:p w:rsidR="00C10776" w:rsidRPr="006A4F10" w:rsidRDefault="00C10776" w:rsidP="006A4F10">
            <w:pPr>
              <w:rPr>
                <w:rFonts w:ascii="仿宋_GB2312"/>
                <w:sz w:val="20"/>
                <w:szCs w:val="20"/>
              </w:rPr>
            </w:pPr>
            <w:r w:rsidRPr="006A4F10">
              <w:rPr>
                <w:rFonts w:ascii="仿宋_GB2312" w:hint="eastAsia"/>
                <w:sz w:val="20"/>
                <w:szCs w:val="20"/>
              </w:rPr>
              <w:t>2</w:t>
            </w:r>
          </w:p>
        </w:tc>
        <w:tc>
          <w:tcPr>
            <w:tcW w:w="851" w:type="dxa"/>
          </w:tcPr>
          <w:p w:rsidR="00C10776" w:rsidRPr="006A4F10" w:rsidRDefault="00C10776" w:rsidP="006A4F10">
            <w:pPr>
              <w:rPr>
                <w:rFonts w:ascii="仿宋_GB2312"/>
                <w:sz w:val="20"/>
                <w:szCs w:val="20"/>
              </w:rPr>
            </w:pPr>
            <w:r w:rsidRPr="006A4F10">
              <w:rPr>
                <w:rFonts w:ascii="仿宋_GB2312" w:hint="eastAsia"/>
                <w:sz w:val="20"/>
                <w:szCs w:val="20"/>
              </w:rPr>
              <w:t>第二章</w:t>
            </w:r>
          </w:p>
        </w:tc>
        <w:tc>
          <w:tcPr>
            <w:tcW w:w="2551" w:type="dxa"/>
          </w:tcPr>
          <w:p w:rsidR="00C10776" w:rsidRPr="006A4F10" w:rsidRDefault="00C10776" w:rsidP="006A4F10">
            <w:pPr>
              <w:rPr>
                <w:rFonts w:ascii="仿宋_GB2312"/>
                <w:sz w:val="20"/>
                <w:szCs w:val="20"/>
              </w:rPr>
            </w:pPr>
            <w:r w:rsidRPr="006A4F10">
              <w:rPr>
                <w:rFonts w:ascii="仿宋_GB2312" w:hint="eastAsia"/>
                <w:sz w:val="20"/>
                <w:szCs w:val="20"/>
              </w:rPr>
              <w:t>保温材料：航天设备的耐热保温材料</w:t>
            </w:r>
          </w:p>
        </w:tc>
        <w:tc>
          <w:tcPr>
            <w:tcW w:w="2731" w:type="dxa"/>
          </w:tcPr>
          <w:p w:rsidR="00C10776" w:rsidRPr="006A4F10" w:rsidRDefault="00C10776" w:rsidP="006A4F10">
            <w:pPr>
              <w:rPr>
                <w:rFonts w:ascii="仿宋_GB2312"/>
                <w:sz w:val="20"/>
                <w:szCs w:val="20"/>
              </w:rPr>
            </w:pPr>
            <w:r w:rsidRPr="006A4F10">
              <w:rPr>
                <w:rFonts w:ascii="仿宋_GB2312" w:hint="eastAsia"/>
                <w:sz w:val="20"/>
                <w:szCs w:val="20"/>
              </w:rPr>
              <w:t>家国情怀</w:t>
            </w:r>
          </w:p>
        </w:tc>
        <w:tc>
          <w:tcPr>
            <w:tcW w:w="2788" w:type="dxa"/>
          </w:tcPr>
          <w:p w:rsidR="00C10776" w:rsidRPr="006A4F10" w:rsidRDefault="00C10776" w:rsidP="006A4F10">
            <w:pPr>
              <w:rPr>
                <w:rFonts w:ascii="仿宋_GB2312"/>
                <w:sz w:val="20"/>
                <w:szCs w:val="20"/>
              </w:rPr>
            </w:pPr>
            <w:r w:rsidRPr="006A4F10">
              <w:rPr>
                <w:rFonts w:ascii="仿宋_GB2312" w:hint="eastAsia"/>
                <w:sz w:val="20"/>
                <w:szCs w:val="20"/>
              </w:rPr>
              <w:t>随知识点讲解进行</w:t>
            </w:r>
          </w:p>
        </w:tc>
      </w:tr>
      <w:tr w:rsidR="00C10776" w:rsidTr="00C10776">
        <w:trPr>
          <w:trHeight w:val="520"/>
        </w:trPr>
        <w:tc>
          <w:tcPr>
            <w:tcW w:w="817" w:type="dxa"/>
          </w:tcPr>
          <w:p w:rsidR="00C10776" w:rsidRPr="006A4F10" w:rsidRDefault="00C10776" w:rsidP="006A4F10">
            <w:pPr>
              <w:rPr>
                <w:rFonts w:ascii="仿宋_GB2312"/>
                <w:sz w:val="20"/>
                <w:szCs w:val="20"/>
              </w:rPr>
            </w:pPr>
            <w:r w:rsidRPr="006A4F10">
              <w:rPr>
                <w:rFonts w:ascii="仿宋_GB2312" w:hint="eastAsia"/>
                <w:sz w:val="20"/>
                <w:szCs w:val="20"/>
              </w:rPr>
              <w:t>3</w:t>
            </w:r>
          </w:p>
        </w:tc>
        <w:tc>
          <w:tcPr>
            <w:tcW w:w="851" w:type="dxa"/>
          </w:tcPr>
          <w:p w:rsidR="00C10776" w:rsidRPr="006A4F10" w:rsidRDefault="00C10776" w:rsidP="006A4F10">
            <w:pPr>
              <w:rPr>
                <w:rFonts w:ascii="仿宋_GB2312"/>
                <w:sz w:val="20"/>
                <w:szCs w:val="20"/>
              </w:rPr>
            </w:pPr>
            <w:r w:rsidRPr="006A4F10">
              <w:rPr>
                <w:rFonts w:ascii="仿宋_GB2312" w:hint="eastAsia"/>
                <w:sz w:val="20"/>
                <w:szCs w:val="20"/>
              </w:rPr>
              <w:t>第二章</w:t>
            </w:r>
          </w:p>
        </w:tc>
        <w:tc>
          <w:tcPr>
            <w:tcW w:w="2551" w:type="dxa"/>
          </w:tcPr>
          <w:p w:rsidR="00C10776" w:rsidRPr="006A4F10" w:rsidRDefault="00C10776" w:rsidP="006A4F10">
            <w:pPr>
              <w:rPr>
                <w:rFonts w:ascii="仿宋_GB2312"/>
                <w:sz w:val="20"/>
                <w:szCs w:val="20"/>
              </w:rPr>
            </w:pPr>
            <w:r w:rsidRPr="006A4F10">
              <w:rPr>
                <w:rFonts w:ascii="仿宋_GB2312" w:hint="eastAsia"/>
                <w:sz w:val="20"/>
                <w:szCs w:val="20"/>
              </w:rPr>
              <w:t>导热问题的数学描写：导热微分方程是统一的，通解是相同的；定解差别很大，温度分布千差万别。</w:t>
            </w:r>
          </w:p>
        </w:tc>
        <w:tc>
          <w:tcPr>
            <w:tcW w:w="2731" w:type="dxa"/>
          </w:tcPr>
          <w:p w:rsidR="00C10776" w:rsidRPr="006A4F10" w:rsidRDefault="00C10776" w:rsidP="006A4F10">
            <w:pPr>
              <w:rPr>
                <w:rFonts w:ascii="仿宋_GB2312"/>
                <w:sz w:val="20"/>
                <w:szCs w:val="20"/>
              </w:rPr>
            </w:pPr>
            <w:r w:rsidRPr="006A4F10">
              <w:rPr>
                <w:rFonts w:ascii="仿宋_GB2312" w:hint="eastAsia"/>
                <w:sz w:val="20"/>
                <w:szCs w:val="20"/>
              </w:rPr>
              <w:t>现象：人生的通解相同，但人生轨迹差别很大。每个人的人生环境、目标不同，积极的目标很重要。</w:t>
            </w:r>
          </w:p>
        </w:tc>
        <w:tc>
          <w:tcPr>
            <w:tcW w:w="2788" w:type="dxa"/>
          </w:tcPr>
          <w:p w:rsidR="00C10776" w:rsidRPr="006A4F10" w:rsidRDefault="00C10776" w:rsidP="006A4F10">
            <w:pPr>
              <w:rPr>
                <w:rFonts w:ascii="仿宋_GB2312"/>
                <w:sz w:val="20"/>
                <w:szCs w:val="20"/>
              </w:rPr>
            </w:pPr>
            <w:r w:rsidRPr="006A4F10">
              <w:rPr>
                <w:rFonts w:ascii="仿宋_GB2312" w:hint="eastAsia"/>
                <w:sz w:val="20"/>
                <w:szCs w:val="20"/>
              </w:rPr>
              <w:t>阶段总结时进行</w:t>
            </w:r>
          </w:p>
        </w:tc>
      </w:tr>
      <w:tr w:rsidR="00C10776" w:rsidTr="00C10776">
        <w:trPr>
          <w:trHeight w:val="430"/>
        </w:trPr>
        <w:tc>
          <w:tcPr>
            <w:tcW w:w="817" w:type="dxa"/>
          </w:tcPr>
          <w:p w:rsidR="00C10776" w:rsidRPr="006A4F10" w:rsidRDefault="00C10776" w:rsidP="006A4F10">
            <w:pPr>
              <w:rPr>
                <w:rFonts w:ascii="仿宋_GB2312"/>
                <w:sz w:val="20"/>
                <w:szCs w:val="20"/>
              </w:rPr>
            </w:pPr>
            <w:r w:rsidRPr="006A4F10">
              <w:rPr>
                <w:rFonts w:ascii="仿宋_GB2312" w:hint="eastAsia"/>
                <w:sz w:val="20"/>
                <w:szCs w:val="20"/>
              </w:rPr>
              <w:t>4</w:t>
            </w:r>
          </w:p>
        </w:tc>
        <w:tc>
          <w:tcPr>
            <w:tcW w:w="851" w:type="dxa"/>
          </w:tcPr>
          <w:p w:rsidR="00C10776" w:rsidRPr="006A4F10" w:rsidRDefault="00C10776" w:rsidP="006A4F10">
            <w:pPr>
              <w:rPr>
                <w:rFonts w:ascii="仿宋_GB2312"/>
                <w:sz w:val="20"/>
                <w:szCs w:val="20"/>
              </w:rPr>
            </w:pPr>
            <w:r w:rsidRPr="006A4F10">
              <w:rPr>
                <w:rFonts w:ascii="仿宋_GB2312" w:hint="eastAsia"/>
                <w:sz w:val="20"/>
                <w:szCs w:val="20"/>
              </w:rPr>
              <w:t>第三章</w:t>
            </w:r>
          </w:p>
        </w:tc>
        <w:tc>
          <w:tcPr>
            <w:tcW w:w="2551" w:type="dxa"/>
          </w:tcPr>
          <w:p w:rsidR="00C10776" w:rsidRPr="006A4F10" w:rsidRDefault="00C10776" w:rsidP="006A4F10">
            <w:pPr>
              <w:rPr>
                <w:rFonts w:ascii="仿宋_GB2312"/>
                <w:sz w:val="20"/>
                <w:szCs w:val="20"/>
              </w:rPr>
            </w:pPr>
            <w:r w:rsidRPr="006A4F10">
              <w:rPr>
                <w:rFonts w:ascii="仿宋_GB2312" w:hint="eastAsia"/>
                <w:sz w:val="20"/>
                <w:szCs w:val="20"/>
              </w:rPr>
              <w:t>非稳态导热及两个阶段</w:t>
            </w:r>
          </w:p>
        </w:tc>
        <w:tc>
          <w:tcPr>
            <w:tcW w:w="2731" w:type="dxa"/>
          </w:tcPr>
          <w:p w:rsidR="00C10776" w:rsidRPr="006A4F10" w:rsidRDefault="00C10776" w:rsidP="006A4F10">
            <w:pPr>
              <w:rPr>
                <w:rFonts w:ascii="仿宋_GB2312"/>
                <w:sz w:val="20"/>
                <w:szCs w:val="20"/>
              </w:rPr>
            </w:pPr>
            <w:r w:rsidRPr="006A4F10">
              <w:rPr>
                <w:rFonts w:ascii="仿宋_GB2312" w:hint="eastAsia"/>
                <w:sz w:val="20"/>
                <w:szCs w:val="20"/>
              </w:rPr>
              <w:t>现象：人生是非稳态的，每个阶段的终止状态是下一阶段的初始条件，初始条件影响非常显著，但影响程度随时间不同。</w:t>
            </w:r>
          </w:p>
        </w:tc>
        <w:tc>
          <w:tcPr>
            <w:tcW w:w="2788" w:type="dxa"/>
          </w:tcPr>
          <w:p w:rsidR="00C10776" w:rsidRPr="006A4F10" w:rsidRDefault="00C10776" w:rsidP="006A4F10">
            <w:pPr>
              <w:rPr>
                <w:rFonts w:ascii="仿宋_GB2312"/>
                <w:sz w:val="20"/>
                <w:szCs w:val="20"/>
              </w:rPr>
            </w:pPr>
            <w:r w:rsidRPr="006A4F10">
              <w:rPr>
                <w:rFonts w:ascii="仿宋_GB2312" w:hint="eastAsia"/>
                <w:sz w:val="20"/>
                <w:szCs w:val="20"/>
              </w:rPr>
              <w:t>阶段总结时进行</w:t>
            </w:r>
          </w:p>
        </w:tc>
      </w:tr>
      <w:tr w:rsidR="00C10776" w:rsidTr="00C10776">
        <w:trPr>
          <w:trHeight w:val="550"/>
        </w:trPr>
        <w:tc>
          <w:tcPr>
            <w:tcW w:w="817" w:type="dxa"/>
          </w:tcPr>
          <w:p w:rsidR="00C10776" w:rsidRPr="006A4F10" w:rsidRDefault="00C10776" w:rsidP="006A4F10">
            <w:pPr>
              <w:rPr>
                <w:rFonts w:ascii="仿宋_GB2312"/>
                <w:sz w:val="20"/>
                <w:szCs w:val="20"/>
              </w:rPr>
            </w:pPr>
            <w:r w:rsidRPr="006A4F10">
              <w:rPr>
                <w:rFonts w:ascii="仿宋_GB2312" w:hint="eastAsia"/>
                <w:sz w:val="20"/>
                <w:szCs w:val="20"/>
              </w:rPr>
              <w:t>5</w:t>
            </w:r>
          </w:p>
        </w:tc>
        <w:tc>
          <w:tcPr>
            <w:tcW w:w="851" w:type="dxa"/>
          </w:tcPr>
          <w:p w:rsidR="00C10776" w:rsidRPr="006A4F10" w:rsidRDefault="00C10776" w:rsidP="006A4F10">
            <w:pPr>
              <w:rPr>
                <w:rFonts w:ascii="仿宋_GB2312"/>
                <w:sz w:val="20"/>
                <w:szCs w:val="20"/>
              </w:rPr>
            </w:pPr>
            <w:r w:rsidRPr="006A4F10">
              <w:rPr>
                <w:rFonts w:ascii="仿宋_GB2312" w:hint="eastAsia"/>
                <w:sz w:val="20"/>
                <w:szCs w:val="20"/>
              </w:rPr>
              <w:t>第六章</w:t>
            </w:r>
          </w:p>
        </w:tc>
        <w:tc>
          <w:tcPr>
            <w:tcW w:w="2551" w:type="dxa"/>
          </w:tcPr>
          <w:p w:rsidR="00C10776" w:rsidRPr="006A4F10" w:rsidRDefault="00C10776" w:rsidP="006A4F10">
            <w:pPr>
              <w:rPr>
                <w:rFonts w:ascii="仿宋_GB2312"/>
                <w:sz w:val="20"/>
                <w:szCs w:val="20"/>
              </w:rPr>
            </w:pPr>
            <w:r w:rsidRPr="006A4F10">
              <w:rPr>
                <w:rFonts w:ascii="仿宋_GB2312" w:hint="eastAsia"/>
                <w:sz w:val="20"/>
                <w:szCs w:val="20"/>
              </w:rPr>
              <w:t>对流换热准则关联式</w:t>
            </w:r>
          </w:p>
        </w:tc>
        <w:tc>
          <w:tcPr>
            <w:tcW w:w="2731" w:type="dxa"/>
          </w:tcPr>
          <w:p w:rsidR="00C10776" w:rsidRPr="006A4F10" w:rsidRDefault="00C10776" w:rsidP="006A4F10">
            <w:pPr>
              <w:rPr>
                <w:rFonts w:ascii="仿宋_GB2312"/>
                <w:sz w:val="20"/>
                <w:szCs w:val="20"/>
              </w:rPr>
            </w:pPr>
            <w:r w:rsidRPr="006A4F10">
              <w:rPr>
                <w:rFonts w:ascii="仿宋_GB2312" w:hint="eastAsia"/>
                <w:sz w:val="20"/>
                <w:szCs w:val="20"/>
              </w:rPr>
              <w:t>人的行为与关系也有准则，大学生要遵循自己的行为尊则。</w:t>
            </w:r>
          </w:p>
        </w:tc>
        <w:tc>
          <w:tcPr>
            <w:tcW w:w="2788" w:type="dxa"/>
          </w:tcPr>
          <w:p w:rsidR="00C10776" w:rsidRPr="006A4F10" w:rsidRDefault="00C10776" w:rsidP="006A4F10">
            <w:pPr>
              <w:rPr>
                <w:rFonts w:ascii="仿宋_GB2312"/>
                <w:sz w:val="20"/>
                <w:szCs w:val="20"/>
              </w:rPr>
            </w:pPr>
            <w:r w:rsidRPr="006A4F10">
              <w:rPr>
                <w:rFonts w:ascii="仿宋_GB2312" w:hint="eastAsia"/>
                <w:sz w:val="20"/>
                <w:szCs w:val="20"/>
              </w:rPr>
              <w:t>随知识点讲解进行</w:t>
            </w:r>
          </w:p>
        </w:tc>
      </w:tr>
      <w:tr w:rsidR="00C10776" w:rsidTr="00C10776">
        <w:trPr>
          <w:trHeight w:val="400"/>
        </w:trPr>
        <w:tc>
          <w:tcPr>
            <w:tcW w:w="817" w:type="dxa"/>
          </w:tcPr>
          <w:p w:rsidR="00C10776" w:rsidRPr="006A4F10" w:rsidRDefault="00C10776" w:rsidP="006A4F10">
            <w:pPr>
              <w:rPr>
                <w:rFonts w:ascii="仿宋_GB2312"/>
                <w:sz w:val="20"/>
                <w:szCs w:val="20"/>
              </w:rPr>
            </w:pPr>
            <w:r w:rsidRPr="006A4F10">
              <w:rPr>
                <w:rFonts w:ascii="仿宋_GB2312" w:hint="eastAsia"/>
                <w:sz w:val="20"/>
                <w:szCs w:val="20"/>
              </w:rPr>
              <w:lastRenderedPageBreak/>
              <w:t>6</w:t>
            </w:r>
          </w:p>
        </w:tc>
        <w:tc>
          <w:tcPr>
            <w:tcW w:w="851" w:type="dxa"/>
          </w:tcPr>
          <w:p w:rsidR="00C10776" w:rsidRPr="006A4F10" w:rsidRDefault="00C10776" w:rsidP="006A4F10">
            <w:pPr>
              <w:rPr>
                <w:rFonts w:ascii="仿宋_GB2312"/>
                <w:sz w:val="20"/>
                <w:szCs w:val="20"/>
              </w:rPr>
            </w:pPr>
            <w:r w:rsidRPr="006A4F10">
              <w:rPr>
                <w:rFonts w:ascii="仿宋_GB2312" w:hint="eastAsia"/>
                <w:sz w:val="20"/>
                <w:szCs w:val="20"/>
              </w:rPr>
              <w:t>第八章</w:t>
            </w:r>
          </w:p>
        </w:tc>
        <w:tc>
          <w:tcPr>
            <w:tcW w:w="2551" w:type="dxa"/>
          </w:tcPr>
          <w:p w:rsidR="00C10776" w:rsidRPr="006A4F10" w:rsidRDefault="00C10776" w:rsidP="006A4F10">
            <w:pPr>
              <w:rPr>
                <w:rFonts w:ascii="仿宋_GB2312"/>
                <w:sz w:val="20"/>
                <w:szCs w:val="20"/>
              </w:rPr>
            </w:pPr>
            <w:r w:rsidRPr="006A4F10">
              <w:rPr>
                <w:rFonts w:ascii="仿宋_GB2312" w:hint="eastAsia"/>
                <w:sz w:val="20"/>
                <w:szCs w:val="20"/>
              </w:rPr>
              <w:t>辐射与吸收</w:t>
            </w:r>
          </w:p>
        </w:tc>
        <w:tc>
          <w:tcPr>
            <w:tcW w:w="2731" w:type="dxa"/>
          </w:tcPr>
          <w:p w:rsidR="00C10776" w:rsidRPr="006A4F10" w:rsidRDefault="00C10776" w:rsidP="006A4F10">
            <w:pPr>
              <w:rPr>
                <w:rFonts w:ascii="仿宋_GB2312"/>
                <w:sz w:val="20"/>
                <w:szCs w:val="20"/>
              </w:rPr>
            </w:pPr>
            <w:r w:rsidRPr="006A4F10">
              <w:rPr>
                <w:rFonts w:ascii="仿宋_GB2312" w:hint="eastAsia"/>
                <w:sz w:val="20"/>
                <w:szCs w:val="20"/>
              </w:rPr>
              <w:t>善于吸收的人才善于辐射</w:t>
            </w:r>
          </w:p>
        </w:tc>
        <w:tc>
          <w:tcPr>
            <w:tcW w:w="2788" w:type="dxa"/>
          </w:tcPr>
          <w:p w:rsidR="00C10776" w:rsidRPr="006A4F10" w:rsidRDefault="00C10776" w:rsidP="006A4F10">
            <w:pPr>
              <w:rPr>
                <w:rFonts w:ascii="仿宋_GB2312"/>
                <w:sz w:val="20"/>
                <w:szCs w:val="20"/>
              </w:rPr>
            </w:pPr>
            <w:r w:rsidRPr="006A4F10">
              <w:rPr>
                <w:rFonts w:ascii="仿宋_GB2312" w:hint="eastAsia"/>
                <w:sz w:val="20"/>
                <w:szCs w:val="20"/>
              </w:rPr>
              <w:t>随知识点讲解进行</w:t>
            </w:r>
          </w:p>
        </w:tc>
      </w:tr>
    </w:tbl>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080"/>
        <w:gridCol w:w="727"/>
        <w:gridCol w:w="3059"/>
        <w:gridCol w:w="2755"/>
      </w:tblGrid>
      <w:tr w:rsidR="00C10776" w:rsidTr="00C10776">
        <w:trPr>
          <w:cantSplit/>
          <w:trHeight w:val="785"/>
        </w:trPr>
        <w:tc>
          <w:tcPr>
            <w:tcW w:w="534"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序号</w:t>
            </w:r>
          </w:p>
        </w:tc>
        <w:tc>
          <w:tcPr>
            <w:tcW w:w="2080"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章</w:t>
            </w:r>
            <w:r w:rsidRPr="006A4F10">
              <w:rPr>
                <w:rFonts w:ascii="Times New Roman" w:hAnsi="Times New Roman" w:hint="eastAsia"/>
                <w:kern w:val="0"/>
                <w:sz w:val="20"/>
                <w:szCs w:val="20"/>
              </w:rPr>
              <w:t xml:space="preserve">  </w:t>
            </w:r>
            <w:r w:rsidRPr="006A4F10">
              <w:rPr>
                <w:rFonts w:ascii="Times New Roman" w:hAnsi="Times New Roman" w:hint="eastAsia"/>
                <w:kern w:val="0"/>
                <w:sz w:val="20"/>
                <w:szCs w:val="20"/>
              </w:rPr>
              <w:t>节</w:t>
            </w:r>
          </w:p>
        </w:tc>
        <w:tc>
          <w:tcPr>
            <w:tcW w:w="727"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参考学时</w:t>
            </w:r>
          </w:p>
        </w:tc>
        <w:tc>
          <w:tcPr>
            <w:tcW w:w="3059"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教学内容</w:t>
            </w:r>
          </w:p>
        </w:tc>
        <w:tc>
          <w:tcPr>
            <w:tcW w:w="2755"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基本要求</w:t>
            </w:r>
          </w:p>
        </w:tc>
      </w:tr>
      <w:tr w:rsidR="00C10776" w:rsidTr="00C10776">
        <w:trPr>
          <w:trHeight w:val="428"/>
        </w:trPr>
        <w:tc>
          <w:tcPr>
            <w:tcW w:w="534"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1</w:t>
            </w:r>
          </w:p>
        </w:tc>
        <w:tc>
          <w:tcPr>
            <w:tcW w:w="2080"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绪论</w:t>
            </w:r>
          </w:p>
        </w:tc>
        <w:tc>
          <w:tcPr>
            <w:tcW w:w="727"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2</w:t>
            </w:r>
          </w:p>
        </w:tc>
        <w:tc>
          <w:tcPr>
            <w:tcW w:w="3059" w:type="dxa"/>
            <w:vAlign w:val="center"/>
          </w:tcPr>
          <w:p w:rsidR="00C10776" w:rsidRPr="006A4F10" w:rsidRDefault="00C10776" w:rsidP="00C10776">
            <w:pPr>
              <w:rPr>
                <w:rFonts w:ascii="Times New Roman" w:hAnsi="Times New Roman"/>
                <w:kern w:val="0"/>
                <w:sz w:val="20"/>
                <w:szCs w:val="20"/>
              </w:rPr>
            </w:pPr>
            <w:r w:rsidRPr="006A4F10">
              <w:rPr>
                <w:rFonts w:ascii="宋体" w:hint="eastAsia"/>
                <w:sz w:val="20"/>
                <w:szCs w:val="20"/>
              </w:rPr>
              <w:t>传热学的研究对象及其在科学领域、尤其在本专业培养中的重要性。传热的三种基本方式：导热、对流和热辐射。传热过程。</w:t>
            </w:r>
          </w:p>
        </w:tc>
        <w:tc>
          <w:tcPr>
            <w:tcW w:w="2755" w:type="dxa"/>
            <w:vAlign w:val="center"/>
          </w:tcPr>
          <w:p w:rsidR="00C10776" w:rsidRPr="006A4F10" w:rsidRDefault="00C10776" w:rsidP="00C10776">
            <w:pPr>
              <w:spacing w:line="280" w:lineRule="exact"/>
              <w:rPr>
                <w:rFonts w:ascii="宋体"/>
                <w:sz w:val="20"/>
                <w:szCs w:val="20"/>
              </w:rPr>
            </w:pPr>
            <w:r w:rsidRPr="006A4F10">
              <w:rPr>
                <w:rFonts w:ascii="宋体" w:hint="eastAsia"/>
                <w:sz w:val="20"/>
                <w:szCs w:val="20"/>
              </w:rPr>
              <w:t>掌握传热的三种基本方式，传热公式和热阻概念，为后面依次学习导热、对流换热和辐射换热提供整体观念。</w:t>
            </w:r>
          </w:p>
          <w:p w:rsidR="00C10776" w:rsidRPr="006A4F10" w:rsidRDefault="00C10776" w:rsidP="00C10776">
            <w:pPr>
              <w:rPr>
                <w:rFonts w:ascii="Times New Roman" w:hAnsi="Times New Roman"/>
                <w:kern w:val="0"/>
                <w:sz w:val="20"/>
                <w:szCs w:val="20"/>
              </w:rPr>
            </w:pPr>
          </w:p>
        </w:tc>
      </w:tr>
      <w:tr w:rsidR="00C10776" w:rsidTr="00C10776">
        <w:trPr>
          <w:trHeight w:val="519"/>
        </w:trPr>
        <w:tc>
          <w:tcPr>
            <w:tcW w:w="534"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2</w:t>
            </w:r>
          </w:p>
        </w:tc>
        <w:tc>
          <w:tcPr>
            <w:tcW w:w="2080"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第一章</w:t>
            </w:r>
            <w:r w:rsidRPr="006A4F10">
              <w:rPr>
                <w:rFonts w:ascii="Times New Roman" w:hAnsi="Times New Roman" w:hint="eastAsia"/>
                <w:kern w:val="0"/>
                <w:sz w:val="20"/>
                <w:szCs w:val="20"/>
              </w:rPr>
              <w:t xml:space="preserve"> </w:t>
            </w:r>
            <w:r w:rsidRPr="006A4F10">
              <w:rPr>
                <w:rFonts w:hint="eastAsia"/>
                <w:sz w:val="20"/>
                <w:szCs w:val="20"/>
              </w:rPr>
              <w:t>导热理论基础</w:t>
            </w:r>
          </w:p>
        </w:tc>
        <w:tc>
          <w:tcPr>
            <w:tcW w:w="727"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6</w:t>
            </w:r>
          </w:p>
        </w:tc>
        <w:tc>
          <w:tcPr>
            <w:tcW w:w="3059" w:type="dxa"/>
            <w:vAlign w:val="center"/>
          </w:tcPr>
          <w:p w:rsidR="00C10776" w:rsidRPr="006A4F10" w:rsidRDefault="00C10776" w:rsidP="00C10776">
            <w:pPr>
              <w:rPr>
                <w:sz w:val="20"/>
                <w:szCs w:val="20"/>
              </w:rPr>
            </w:pPr>
            <w:r w:rsidRPr="006A4F10">
              <w:rPr>
                <w:rFonts w:hint="eastAsia"/>
                <w:sz w:val="20"/>
                <w:szCs w:val="20"/>
              </w:rPr>
              <w:t>2.1</w:t>
            </w:r>
            <w:r w:rsidRPr="006A4F10">
              <w:rPr>
                <w:rFonts w:hint="eastAsia"/>
                <w:sz w:val="20"/>
                <w:szCs w:val="20"/>
              </w:rPr>
              <w:t>基本概念及傅里叶定律</w:t>
            </w:r>
          </w:p>
          <w:p w:rsidR="00C10776" w:rsidRPr="006A4F10" w:rsidRDefault="00C10776" w:rsidP="00C10776">
            <w:pPr>
              <w:rPr>
                <w:sz w:val="20"/>
                <w:szCs w:val="20"/>
              </w:rPr>
            </w:pPr>
            <w:r w:rsidRPr="006A4F10">
              <w:rPr>
                <w:rFonts w:hint="eastAsia"/>
                <w:sz w:val="20"/>
                <w:szCs w:val="20"/>
              </w:rPr>
              <w:t>2.2</w:t>
            </w:r>
            <w:r w:rsidRPr="006A4F10">
              <w:rPr>
                <w:rFonts w:hint="eastAsia"/>
                <w:sz w:val="20"/>
                <w:szCs w:val="20"/>
              </w:rPr>
              <w:t>热导率</w:t>
            </w:r>
          </w:p>
          <w:p w:rsidR="00C10776" w:rsidRPr="006A4F10" w:rsidRDefault="00C10776" w:rsidP="00C10776">
            <w:pPr>
              <w:rPr>
                <w:sz w:val="20"/>
                <w:szCs w:val="20"/>
              </w:rPr>
            </w:pPr>
            <w:r w:rsidRPr="006A4F10">
              <w:rPr>
                <w:rFonts w:hint="eastAsia"/>
                <w:sz w:val="20"/>
                <w:szCs w:val="20"/>
              </w:rPr>
              <w:t>2.3</w:t>
            </w:r>
            <w:r w:rsidRPr="006A4F10">
              <w:rPr>
                <w:rFonts w:hint="eastAsia"/>
                <w:sz w:val="20"/>
                <w:szCs w:val="20"/>
              </w:rPr>
              <w:t>导热微分方程式</w:t>
            </w:r>
          </w:p>
          <w:p w:rsidR="00C10776" w:rsidRPr="006A4F10" w:rsidRDefault="00C10776" w:rsidP="00C10776">
            <w:pPr>
              <w:rPr>
                <w:rFonts w:ascii="Times New Roman" w:hAnsi="Times New Roman"/>
                <w:kern w:val="0"/>
                <w:sz w:val="20"/>
                <w:szCs w:val="20"/>
              </w:rPr>
            </w:pPr>
            <w:r w:rsidRPr="006A4F10">
              <w:rPr>
                <w:rFonts w:hint="eastAsia"/>
                <w:sz w:val="20"/>
                <w:szCs w:val="20"/>
              </w:rPr>
              <w:t>2.4</w:t>
            </w:r>
            <w:r w:rsidRPr="006A4F10">
              <w:rPr>
                <w:rFonts w:hint="eastAsia"/>
                <w:sz w:val="20"/>
                <w:szCs w:val="20"/>
              </w:rPr>
              <w:t>导热过程的单值性条件</w:t>
            </w:r>
          </w:p>
        </w:tc>
        <w:tc>
          <w:tcPr>
            <w:tcW w:w="2755" w:type="dxa"/>
            <w:vAlign w:val="center"/>
          </w:tcPr>
          <w:p w:rsidR="00C10776" w:rsidRPr="006A4F10" w:rsidRDefault="00C10776" w:rsidP="00C10776">
            <w:pPr>
              <w:rPr>
                <w:rFonts w:ascii="Times New Roman" w:hAnsi="Times New Roman"/>
                <w:kern w:val="0"/>
                <w:sz w:val="20"/>
                <w:szCs w:val="20"/>
              </w:rPr>
            </w:pPr>
            <w:r w:rsidRPr="006A4F10">
              <w:rPr>
                <w:rFonts w:ascii="宋体" w:hint="eastAsia"/>
                <w:sz w:val="20"/>
                <w:szCs w:val="20"/>
              </w:rPr>
              <w:t>掌握温度场；温度梯度概念；掌握傅立叶定律；理解导热系数概念，了解影响导热系数的因素；会推导导热微分方程；了解材料的导热系数和热扩散率的物理意义；了解影响导热系数的主要因素。熟悉定解条件</w:t>
            </w:r>
          </w:p>
        </w:tc>
      </w:tr>
      <w:tr w:rsidR="00C10776" w:rsidTr="00C10776">
        <w:trPr>
          <w:trHeight w:val="555"/>
        </w:trPr>
        <w:tc>
          <w:tcPr>
            <w:tcW w:w="534"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3</w:t>
            </w:r>
          </w:p>
        </w:tc>
        <w:tc>
          <w:tcPr>
            <w:tcW w:w="2080" w:type="dxa"/>
            <w:vAlign w:val="center"/>
          </w:tcPr>
          <w:p w:rsidR="00C10776" w:rsidRPr="006A4F10" w:rsidRDefault="00C10776" w:rsidP="00C10776">
            <w:pPr>
              <w:rPr>
                <w:sz w:val="20"/>
                <w:szCs w:val="20"/>
              </w:rPr>
            </w:pPr>
            <w:r w:rsidRPr="006A4F10">
              <w:rPr>
                <w:rFonts w:hint="eastAsia"/>
                <w:sz w:val="20"/>
                <w:szCs w:val="20"/>
              </w:rPr>
              <w:t>第二章</w:t>
            </w:r>
            <w:r w:rsidRPr="006A4F10">
              <w:rPr>
                <w:rFonts w:hint="eastAsia"/>
                <w:sz w:val="20"/>
                <w:szCs w:val="20"/>
              </w:rPr>
              <w:t xml:space="preserve"> </w:t>
            </w:r>
            <w:r w:rsidRPr="006A4F10">
              <w:rPr>
                <w:rFonts w:hint="eastAsia"/>
                <w:sz w:val="20"/>
                <w:szCs w:val="20"/>
              </w:rPr>
              <w:t>稳态导热</w:t>
            </w:r>
          </w:p>
          <w:p w:rsidR="00C10776" w:rsidRPr="006A4F10" w:rsidRDefault="00C10776" w:rsidP="00C10776">
            <w:pPr>
              <w:rPr>
                <w:rFonts w:ascii="Times New Roman" w:hAnsi="Times New Roman"/>
                <w:kern w:val="0"/>
                <w:sz w:val="20"/>
                <w:szCs w:val="20"/>
              </w:rPr>
            </w:pPr>
          </w:p>
        </w:tc>
        <w:tc>
          <w:tcPr>
            <w:tcW w:w="727"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8</w:t>
            </w:r>
          </w:p>
        </w:tc>
        <w:tc>
          <w:tcPr>
            <w:tcW w:w="3059" w:type="dxa"/>
            <w:vAlign w:val="center"/>
          </w:tcPr>
          <w:p w:rsidR="00C10776" w:rsidRPr="006A4F10" w:rsidRDefault="00C10776" w:rsidP="00C10776">
            <w:pPr>
              <w:rPr>
                <w:sz w:val="20"/>
                <w:szCs w:val="20"/>
              </w:rPr>
            </w:pPr>
            <w:r w:rsidRPr="006A4F10">
              <w:rPr>
                <w:rFonts w:hint="eastAsia"/>
                <w:sz w:val="20"/>
                <w:szCs w:val="20"/>
              </w:rPr>
              <w:t>2.1</w:t>
            </w:r>
            <w:r w:rsidRPr="006A4F10">
              <w:rPr>
                <w:rFonts w:hint="eastAsia"/>
                <w:sz w:val="20"/>
                <w:szCs w:val="20"/>
              </w:rPr>
              <w:t>通过平壁的导热</w:t>
            </w:r>
          </w:p>
          <w:p w:rsidR="00C10776" w:rsidRPr="006A4F10" w:rsidRDefault="00C10776" w:rsidP="00C10776">
            <w:pPr>
              <w:rPr>
                <w:sz w:val="20"/>
                <w:szCs w:val="20"/>
              </w:rPr>
            </w:pPr>
            <w:r w:rsidRPr="006A4F10">
              <w:rPr>
                <w:rFonts w:hint="eastAsia"/>
                <w:sz w:val="20"/>
                <w:szCs w:val="20"/>
              </w:rPr>
              <w:t>2.2</w:t>
            </w:r>
            <w:r w:rsidRPr="006A4F10">
              <w:rPr>
                <w:rFonts w:hint="eastAsia"/>
                <w:sz w:val="20"/>
                <w:szCs w:val="20"/>
              </w:rPr>
              <w:t>通过复合平壁的导热</w:t>
            </w:r>
          </w:p>
          <w:p w:rsidR="00C10776" w:rsidRPr="006A4F10" w:rsidRDefault="00C10776" w:rsidP="00C10776">
            <w:pPr>
              <w:rPr>
                <w:sz w:val="20"/>
                <w:szCs w:val="20"/>
              </w:rPr>
            </w:pPr>
            <w:r w:rsidRPr="006A4F10">
              <w:rPr>
                <w:rFonts w:hint="eastAsia"/>
                <w:sz w:val="20"/>
                <w:szCs w:val="20"/>
              </w:rPr>
              <w:t>2. 3</w:t>
            </w:r>
            <w:r w:rsidRPr="006A4F10">
              <w:rPr>
                <w:rFonts w:hint="eastAsia"/>
                <w:sz w:val="20"/>
                <w:szCs w:val="20"/>
              </w:rPr>
              <w:t>具有内热源的平壁导热</w:t>
            </w:r>
          </w:p>
          <w:p w:rsidR="00C10776" w:rsidRPr="006A4F10" w:rsidRDefault="00C10776" w:rsidP="00C10776">
            <w:pPr>
              <w:rPr>
                <w:sz w:val="20"/>
                <w:szCs w:val="20"/>
              </w:rPr>
            </w:pPr>
            <w:r w:rsidRPr="006A4F10">
              <w:rPr>
                <w:rFonts w:hint="eastAsia"/>
                <w:sz w:val="20"/>
                <w:szCs w:val="20"/>
              </w:rPr>
              <w:t xml:space="preserve">2.4 </w:t>
            </w:r>
            <w:r w:rsidRPr="006A4F10">
              <w:rPr>
                <w:rFonts w:hint="eastAsia"/>
                <w:sz w:val="20"/>
                <w:szCs w:val="20"/>
              </w:rPr>
              <w:t>通过圆筒壁的导热</w:t>
            </w:r>
          </w:p>
          <w:p w:rsidR="00C10776" w:rsidRPr="006A4F10" w:rsidRDefault="00C10776" w:rsidP="00C10776">
            <w:pPr>
              <w:rPr>
                <w:sz w:val="20"/>
                <w:szCs w:val="20"/>
              </w:rPr>
            </w:pPr>
            <w:r w:rsidRPr="006A4F10">
              <w:rPr>
                <w:rFonts w:hint="eastAsia"/>
                <w:sz w:val="20"/>
                <w:szCs w:val="20"/>
              </w:rPr>
              <w:t xml:space="preserve">2.5 </w:t>
            </w:r>
            <w:r w:rsidRPr="006A4F10">
              <w:rPr>
                <w:rFonts w:hint="eastAsia"/>
                <w:sz w:val="20"/>
                <w:szCs w:val="20"/>
              </w:rPr>
              <w:t>通过肋壁的导热</w:t>
            </w:r>
          </w:p>
          <w:p w:rsidR="00C10776" w:rsidRPr="006A4F10" w:rsidRDefault="00C10776" w:rsidP="00C10776">
            <w:pPr>
              <w:rPr>
                <w:sz w:val="20"/>
                <w:szCs w:val="20"/>
              </w:rPr>
            </w:pPr>
            <w:r w:rsidRPr="006A4F10">
              <w:rPr>
                <w:rFonts w:hint="eastAsia"/>
                <w:sz w:val="20"/>
                <w:szCs w:val="20"/>
              </w:rPr>
              <w:t>2.6.</w:t>
            </w:r>
            <w:r w:rsidRPr="006A4F10">
              <w:rPr>
                <w:rFonts w:hint="eastAsia"/>
                <w:sz w:val="20"/>
                <w:szCs w:val="20"/>
              </w:rPr>
              <w:t>通过接触面的导热</w:t>
            </w:r>
          </w:p>
          <w:p w:rsidR="00C10776" w:rsidRPr="006A4F10" w:rsidRDefault="00C10776" w:rsidP="00C10776">
            <w:pPr>
              <w:rPr>
                <w:sz w:val="20"/>
                <w:szCs w:val="20"/>
              </w:rPr>
            </w:pPr>
            <w:r w:rsidRPr="006A4F10">
              <w:rPr>
                <w:rFonts w:hint="eastAsia"/>
                <w:sz w:val="20"/>
                <w:szCs w:val="20"/>
              </w:rPr>
              <w:t>2.7</w:t>
            </w:r>
            <w:r w:rsidRPr="006A4F10">
              <w:rPr>
                <w:rFonts w:hint="eastAsia"/>
                <w:sz w:val="20"/>
                <w:szCs w:val="20"/>
              </w:rPr>
              <w:t>二维稳态导热</w:t>
            </w:r>
          </w:p>
        </w:tc>
        <w:tc>
          <w:tcPr>
            <w:tcW w:w="2755" w:type="dxa"/>
            <w:vAlign w:val="center"/>
          </w:tcPr>
          <w:p w:rsidR="00C10776" w:rsidRPr="006A4F10" w:rsidRDefault="00C10776" w:rsidP="00C10776">
            <w:pPr>
              <w:rPr>
                <w:rFonts w:ascii="Times New Roman" w:hAnsi="Times New Roman"/>
                <w:kern w:val="0"/>
                <w:sz w:val="20"/>
                <w:szCs w:val="20"/>
              </w:rPr>
            </w:pPr>
            <w:r w:rsidRPr="006A4F10">
              <w:rPr>
                <w:rFonts w:ascii="宋体" w:hint="eastAsia"/>
                <w:sz w:val="20"/>
                <w:szCs w:val="20"/>
              </w:rPr>
              <w:t>能应用傅里叶定律或导热微分方程对常物性、无内热源的一维平壁的稳态导热问题求出温度场及导热量的计算，会计算复合平壁的传热热阻；了解具有内热源的平壁导热，掌握圆筒壁导热，了解肋片的一维导热，微分方程的建立，及其在工程上的多种应用场合；掌握临界热绝缘直径的概念，接触热阻、及二维稳态导热简化计算作一般介绍</w:t>
            </w:r>
          </w:p>
        </w:tc>
      </w:tr>
      <w:tr w:rsidR="00C10776" w:rsidTr="00C10776">
        <w:trPr>
          <w:trHeight w:val="548"/>
        </w:trPr>
        <w:tc>
          <w:tcPr>
            <w:tcW w:w="534"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4</w:t>
            </w:r>
          </w:p>
        </w:tc>
        <w:tc>
          <w:tcPr>
            <w:tcW w:w="2080" w:type="dxa"/>
            <w:vAlign w:val="center"/>
          </w:tcPr>
          <w:p w:rsidR="00C10776" w:rsidRPr="006A4F10" w:rsidRDefault="00C10776" w:rsidP="00C10776">
            <w:pPr>
              <w:rPr>
                <w:sz w:val="20"/>
                <w:szCs w:val="20"/>
              </w:rPr>
            </w:pPr>
            <w:r w:rsidRPr="006A4F10">
              <w:rPr>
                <w:rFonts w:hint="eastAsia"/>
                <w:sz w:val="20"/>
                <w:szCs w:val="20"/>
              </w:rPr>
              <w:t>第三章</w:t>
            </w:r>
            <w:r w:rsidRPr="006A4F10">
              <w:rPr>
                <w:rFonts w:hint="eastAsia"/>
                <w:sz w:val="20"/>
                <w:szCs w:val="20"/>
              </w:rPr>
              <w:t xml:space="preserve"> </w:t>
            </w:r>
            <w:r w:rsidRPr="006A4F10">
              <w:rPr>
                <w:rFonts w:hint="eastAsia"/>
                <w:sz w:val="20"/>
                <w:szCs w:val="20"/>
              </w:rPr>
              <w:t>非稳态导热</w:t>
            </w:r>
          </w:p>
          <w:p w:rsidR="00C10776" w:rsidRPr="006A4F10" w:rsidRDefault="00C10776" w:rsidP="00C10776">
            <w:pPr>
              <w:jc w:val="center"/>
              <w:rPr>
                <w:rFonts w:ascii="Times New Roman" w:hAnsi="Times New Roman"/>
                <w:kern w:val="0"/>
                <w:sz w:val="20"/>
                <w:szCs w:val="20"/>
              </w:rPr>
            </w:pPr>
          </w:p>
        </w:tc>
        <w:tc>
          <w:tcPr>
            <w:tcW w:w="727" w:type="dxa"/>
            <w:vAlign w:val="center"/>
          </w:tcPr>
          <w:p w:rsidR="00C10776" w:rsidRPr="006A4F10" w:rsidRDefault="00C10776" w:rsidP="00C10776">
            <w:pPr>
              <w:rPr>
                <w:sz w:val="20"/>
                <w:szCs w:val="20"/>
              </w:rPr>
            </w:pPr>
            <w:r w:rsidRPr="006A4F10">
              <w:rPr>
                <w:rFonts w:hint="eastAsia"/>
                <w:sz w:val="20"/>
                <w:szCs w:val="20"/>
              </w:rPr>
              <w:t>6</w:t>
            </w:r>
          </w:p>
        </w:tc>
        <w:tc>
          <w:tcPr>
            <w:tcW w:w="3059" w:type="dxa"/>
            <w:vAlign w:val="center"/>
          </w:tcPr>
          <w:p w:rsidR="00C10776" w:rsidRPr="006A4F10" w:rsidRDefault="00C10776" w:rsidP="00C10776">
            <w:pPr>
              <w:rPr>
                <w:sz w:val="20"/>
                <w:szCs w:val="20"/>
              </w:rPr>
            </w:pPr>
            <w:r w:rsidRPr="006A4F10">
              <w:rPr>
                <w:rFonts w:hint="eastAsia"/>
                <w:sz w:val="20"/>
                <w:szCs w:val="20"/>
              </w:rPr>
              <w:t>3.1</w:t>
            </w:r>
            <w:r w:rsidRPr="006A4F10">
              <w:rPr>
                <w:rFonts w:hint="eastAsia"/>
                <w:sz w:val="20"/>
                <w:szCs w:val="20"/>
              </w:rPr>
              <w:t>非稳态导热过程的类型</w:t>
            </w:r>
          </w:p>
          <w:p w:rsidR="00C10776" w:rsidRPr="006A4F10" w:rsidRDefault="00C10776" w:rsidP="00C10776">
            <w:pPr>
              <w:rPr>
                <w:sz w:val="20"/>
                <w:szCs w:val="20"/>
              </w:rPr>
            </w:pPr>
            <w:r w:rsidRPr="006A4F10">
              <w:rPr>
                <w:rFonts w:hint="eastAsia"/>
                <w:sz w:val="20"/>
                <w:szCs w:val="20"/>
              </w:rPr>
              <w:t>和特点</w:t>
            </w:r>
          </w:p>
          <w:p w:rsidR="00C10776" w:rsidRPr="006A4F10" w:rsidRDefault="00C10776" w:rsidP="00C10776">
            <w:pPr>
              <w:rPr>
                <w:sz w:val="20"/>
                <w:szCs w:val="20"/>
              </w:rPr>
            </w:pPr>
            <w:r w:rsidRPr="006A4F10">
              <w:rPr>
                <w:rFonts w:hint="eastAsia"/>
                <w:sz w:val="20"/>
                <w:szCs w:val="20"/>
              </w:rPr>
              <w:t>3.2</w:t>
            </w:r>
            <w:r w:rsidRPr="006A4F10">
              <w:rPr>
                <w:rFonts w:hint="eastAsia"/>
                <w:sz w:val="20"/>
                <w:szCs w:val="20"/>
              </w:rPr>
              <w:t>无限大平壁的瞬态导热</w:t>
            </w:r>
          </w:p>
          <w:p w:rsidR="00C10776" w:rsidRPr="006A4F10" w:rsidRDefault="00C10776" w:rsidP="00C10776">
            <w:pPr>
              <w:rPr>
                <w:sz w:val="20"/>
                <w:szCs w:val="20"/>
              </w:rPr>
            </w:pPr>
            <w:r w:rsidRPr="006A4F10">
              <w:rPr>
                <w:rFonts w:hint="eastAsia"/>
                <w:sz w:val="20"/>
                <w:szCs w:val="20"/>
              </w:rPr>
              <w:t>3.3</w:t>
            </w:r>
            <w:r w:rsidRPr="006A4F10">
              <w:rPr>
                <w:rFonts w:hint="eastAsia"/>
                <w:sz w:val="20"/>
                <w:szCs w:val="20"/>
              </w:rPr>
              <w:t>半无限大物体的瞬态导热</w:t>
            </w:r>
          </w:p>
          <w:p w:rsidR="00C10776" w:rsidRPr="006A4F10" w:rsidRDefault="00C10776" w:rsidP="00C10776">
            <w:pPr>
              <w:rPr>
                <w:sz w:val="20"/>
                <w:szCs w:val="20"/>
              </w:rPr>
            </w:pPr>
            <w:r w:rsidRPr="006A4F10">
              <w:rPr>
                <w:rFonts w:hint="eastAsia"/>
                <w:sz w:val="20"/>
                <w:szCs w:val="20"/>
              </w:rPr>
              <w:t>3.4</w:t>
            </w:r>
            <w:r w:rsidRPr="006A4F10">
              <w:rPr>
                <w:rFonts w:hint="eastAsia"/>
                <w:sz w:val="20"/>
                <w:szCs w:val="20"/>
              </w:rPr>
              <w:t>其他形状物体的瞬态导热</w:t>
            </w:r>
          </w:p>
          <w:p w:rsidR="00C10776" w:rsidRPr="006A4F10" w:rsidRDefault="00C10776" w:rsidP="00C10776">
            <w:pPr>
              <w:rPr>
                <w:sz w:val="20"/>
                <w:szCs w:val="20"/>
              </w:rPr>
            </w:pPr>
            <w:r w:rsidRPr="006A4F10">
              <w:rPr>
                <w:rFonts w:hint="eastAsia"/>
                <w:sz w:val="20"/>
                <w:szCs w:val="20"/>
              </w:rPr>
              <w:t>3.5</w:t>
            </w:r>
            <w:r w:rsidRPr="006A4F10">
              <w:rPr>
                <w:rFonts w:hint="eastAsia"/>
                <w:sz w:val="20"/>
                <w:szCs w:val="20"/>
              </w:rPr>
              <w:t>周期性非稳态导热</w:t>
            </w:r>
          </w:p>
        </w:tc>
        <w:tc>
          <w:tcPr>
            <w:tcW w:w="2755" w:type="dxa"/>
            <w:vAlign w:val="center"/>
          </w:tcPr>
          <w:p w:rsidR="00C10776" w:rsidRPr="006A4F10" w:rsidRDefault="00C10776" w:rsidP="00C10776">
            <w:pPr>
              <w:rPr>
                <w:sz w:val="20"/>
                <w:szCs w:val="20"/>
              </w:rPr>
            </w:pPr>
            <w:r w:rsidRPr="006A4F10">
              <w:rPr>
                <w:rFonts w:ascii="宋体" w:hint="eastAsia"/>
                <w:sz w:val="20"/>
                <w:szCs w:val="20"/>
              </w:rPr>
              <w:t>了解</w:t>
            </w:r>
            <w:r w:rsidRPr="006A4F10">
              <w:rPr>
                <w:rFonts w:hint="eastAsia"/>
                <w:sz w:val="20"/>
                <w:szCs w:val="20"/>
              </w:rPr>
              <w:t>其他形状物体的瞬态导热</w:t>
            </w:r>
            <w:r w:rsidRPr="006A4F10">
              <w:rPr>
                <w:rFonts w:ascii="宋体" w:hint="eastAsia"/>
                <w:sz w:val="20"/>
                <w:szCs w:val="20"/>
              </w:rPr>
              <w:t>了解周期性非稳定导热的基本概念，了解材料的蓄热系数</w:t>
            </w:r>
          </w:p>
        </w:tc>
      </w:tr>
      <w:tr w:rsidR="00C10776" w:rsidTr="00C10776">
        <w:trPr>
          <w:trHeight w:val="548"/>
        </w:trPr>
        <w:tc>
          <w:tcPr>
            <w:tcW w:w="534"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5</w:t>
            </w:r>
          </w:p>
        </w:tc>
        <w:tc>
          <w:tcPr>
            <w:tcW w:w="2080" w:type="dxa"/>
            <w:vAlign w:val="center"/>
          </w:tcPr>
          <w:p w:rsidR="00C10776" w:rsidRPr="006A4F10" w:rsidRDefault="00C10776" w:rsidP="00C10776">
            <w:pPr>
              <w:rPr>
                <w:sz w:val="20"/>
                <w:szCs w:val="20"/>
              </w:rPr>
            </w:pPr>
            <w:r w:rsidRPr="006A4F10">
              <w:rPr>
                <w:rFonts w:hint="eastAsia"/>
                <w:sz w:val="20"/>
                <w:szCs w:val="20"/>
              </w:rPr>
              <w:t>第四章</w:t>
            </w:r>
            <w:r w:rsidRPr="006A4F10">
              <w:rPr>
                <w:rFonts w:hint="eastAsia"/>
                <w:sz w:val="20"/>
                <w:szCs w:val="20"/>
              </w:rPr>
              <w:t xml:space="preserve"> </w:t>
            </w:r>
            <w:r w:rsidRPr="006A4F10">
              <w:rPr>
                <w:rFonts w:hint="eastAsia"/>
                <w:sz w:val="20"/>
                <w:szCs w:val="20"/>
              </w:rPr>
              <w:t>导热数值解法基础</w:t>
            </w:r>
          </w:p>
        </w:tc>
        <w:tc>
          <w:tcPr>
            <w:tcW w:w="727" w:type="dxa"/>
            <w:vAlign w:val="center"/>
          </w:tcPr>
          <w:p w:rsidR="00C10776" w:rsidRPr="006A4F10" w:rsidRDefault="00C10776" w:rsidP="00C10776">
            <w:pPr>
              <w:rPr>
                <w:sz w:val="20"/>
                <w:szCs w:val="20"/>
              </w:rPr>
            </w:pPr>
            <w:r w:rsidRPr="006A4F10">
              <w:rPr>
                <w:rFonts w:hint="eastAsia"/>
                <w:sz w:val="20"/>
                <w:szCs w:val="20"/>
              </w:rPr>
              <w:t>2</w:t>
            </w:r>
          </w:p>
        </w:tc>
        <w:tc>
          <w:tcPr>
            <w:tcW w:w="3059" w:type="dxa"/>
            <w:vAlign w:val="center"/>
          </w:tcPr>
          <w:p w:rsidR="00C10776" w:rsidRPr="006A4F10" w:rsidRDefault="00C10776" w:rsidP="00C10776">
            <w:pPr>
              <w:rPr>
                <w:sz w:val="20"/>
                <w:szCs w:val="20"/>
              </w:rPr>
            </w:pPr>
            <w:r w:rsidRPr="006A4F10">
              <w:rPr>
                <w:rFonts w:hint="eastAsia"/>
                <w:sz w:val="20"/>
                <w:szCs w:val="20"/>
              </w:rPr>
              <w:t>4.1</w:t>
            </w:r>
            <w:r w:rsidRPr="006A4F10">
              <w:rPr>
                <w:rFonts w:hint="eastAsia"/>
                <w:sz w:val="20"/>
                <w:szCs w:val="20"/>
              </w:rPr>
              <w:t>建立离散方程的方法</w:t>
            </w:r>
          </w:p>
          <w:p w:rsidR="00C10776" w:rsidRPr="006A4F10" w:rsidRDefault="00C10776" w:rsidP="00C10776">
            <w:pPr>
              <w:rPr>
                <w:sz w:val="20"/>
                <w:szCs w:val="20"/>
              </w:rPr>
            </w:pPr>
            <w:r w:rsidRPr="006A4F10">
              <w:rPr>
                <w:rFonts w:hint="eastAsia"/>
                <w:sz w:val="20"/>
                <w:szCs w:val="20"/>
              </w:rPr>
              <w:t>4.2</w:t>
            </w:r>
            <w:r w:rsidRPr="006A4F10">
              <w:rPr>
                <w:rFonts w:hint="eastAsia"/>
                <w:sz w:val="20"/>
                <w:szCs w:val="20"/>
              </w:rPr>
              <w:t>稳态导热的数值计算</w:t>
            </w:r>
          </w:p>
          <w:p w:rsidR="00C10776" w:rsidRPr="006A4F10" w:rsidRDefault="00C10776" w:rsidP="00C10776">
            <w:pPr>
              <w:rPr>
                <w:sz w:val="20"/>
                <w:szCs w:val="20"/>
              </w:rPr>
            </w:pPr>
            <w:r w:rsidRPr="006A4F10">
              <w:rPr>
                <w:rFonts w:hint="eastAsia"/>
                <w:sz w:val="20"/>
                <w:szCs w:val="20"/>
              </w:rPr>
              <w:t xml:space="preserve">4.3 </w:t>
            </w:r>
            <w:r w:rsidRPr="006A4F10">
              <w:rPr>
                <w:rFonts w:hint="eastAsia"/>
                <w:sz w:val="20"/>
                <w:szCs w:val="20"/>
              </w:rPr>
              <w:t>非稳态导热的数值计算</w:t>
            </w:r>
          </w:p>
        </w:tc>
        <w:tc>
          <w:tcPr>
            <w:tcW w:w="2755" w:type="dxa"/>
            <w:vAlign w:val="center"/>
          </w:tcPr>
          <w:p w:rsidR="00C10776" w:rsidRPr="006A4F10" w:rsidRDefault="00C10776" w:rsidP="00C10776">
            <w:pPr>
              <w:rPr>
                <w:sz w:val="20"/>
                <w:szCs w:val="20"/>
              </w:rPr>
            </w:pPr>
            <w:r w:rsidRPr="006A4F10">
              <w:rPr>
                <w:rFonts w:ascii="宋体" w:hint="eastAsia"/>
                <w:sz w:val="20"/>
                <w:szCs w:val="20"/>
              </w:rPr>
              <w:t>掌握用热平衡法列出二维稳定导热问题内部节点与边界节点的离散方程。了解用迭代法获得数值解的途径。非稳态导热主要利用显式差分格式建立节点方程组，重点为稳定性条件。能用热平衡法列出一</w:t>
            </w:r>
            <w:r w:rsidRPr="006A4F10">
              <w:rPr>
                <w:rFonts w:ascii="宋体" w:hint="eastAsia"/>
                <w:sz w:val="20"/>
                <w:szCs w:val="20"/>
              </w:rPr>
              <w:lastRenderedPageBreak/>
              <w:t>维非稳态导热问题显式差分方程。</w:t>
            </w:r>
          </w:p>
        </w:tc>
      </w:tr>
      <w:tr w:rsidR="00C10776" w:rsidTr="00C10776">
        <w:trPr>
          <w:trHeight w:val="548"/>
        </w:trPr>
        <w:tc>
          <w:tcPr>
            <w:tcW w:w="534"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lastRenderedPageBreak/>
              <w:t>6</w:t>
            </w:r>
          </w:p>
        </w:tc>
        <w:tc>
          <w:tcPr>
            <w:tcW w:w="2080" w:type="dxa"/>
            <w:vAlign w:val="center"/>
          </w:tcPr>
          <w:p w:rsidR="00C10776" w:rsidRPr="006A4F10" w:rsidRDefault="00C10776" w:rsidP="00C10776">
            <w:pPr>
              <w:rPr>
                <w:sz w:val="20"/>
                <w:szCs w:val="20"/>
              </w:rPr>
            </w:pPr>
            <w:r w:rsidRPr="006A4F10">
              <w:rPr>
                <w:rFonts w:hint="eastAsia"/>
                <w:sz w:val="20"/>
                <w:szCs w:val="20"/>
              </w:rPr>
              <w:t>第五章</w:t>
            </w:r>
            <w:r w:rsidRPr="006A4F10">
              <w:rPr>
                <w:rFonts w:hint="eastAsia"/>
                <w:sz w:val="20"/>
                <w:szCs w:val="20"/>
              </w:rPr>
              <w:t xml:space="preserve"> </w:t>
            </w:r>
            <w:r w:rsidRPr="006A4F10">
              <w:rPr>
                <w:rFonts w:hint="eastAsia"/>
                <w:sz w:val="20"/>
                <w:szCs w:val="20"/>
              </w:rPr>
              <w:t>对流传热分析</w:t>
            </w:r>
          </w:p>
        </w:tc>
        <w:tc>
          <w:tcPr>
            <w:tcW w:w="727" w:type="dxa"/>
            <w:vAlign w:val="center"/>
          </w:tcPr>
          <w:p w:rsidR="00C10776" w:rsidRPr="006A4F10" w:rsidRDefault="00C10776" w:rsidP="00C10776">
            <w:pPr>
              <w:rPr>
                <w:sz w:val="20"/>
                <w:szCs w:val="20"/>
              </w:rPr>
            </w:pPr>
            <w:r w:rsidRPr="006A4F10">
              <w:rPr>
                <w:rFonts w:hint="eastAsia"/>
                <w:sz w:val="20"/>
                <w:szCs w:val="20"/>
              </w:rPr>
              <w:t>8</w:t>
            </w:r>
          </w:p>
        </w:tc>
        <w:tc>
          <w:tcPr>
            <w:tcW w:w="3059" w:type="dxa"/>
            <w:vAlign w:val="center"/>
          </w:tcPr>
          <w:p w:rsidR="00C10776" w:rsidRPr="006A4F10" w:rsidRDefault="00C10776" w:rsidP="00C10776">
            <w:pPr>
              <w:rPr>
                <w:sz w:val="20"/>
                <w:szCs w:val="20"/>
              </w:rPr>
            </w:pPr>
            <w:r w:rsidRPr="006A4F10">
              <w:rPr>
                <w:rFonts w:hint="eastAsia"/>
                <w:sz w:val="20"/>
                <w:szCs w:val="20"/>
              </w:rPr>
              <w:t>5.1</w:t>
            </w:r>
            <w:r w:rsidRPr="006A4F10">
              <w:rPr>
                <w:rFonts w:hint="eastAsia"/>
                <w:sz w:val="20"/>
                <w:szCs w:val="20"/>
              </w:rPr>
              <w:t>对流传热概述</w:t>
            </w:r>
          </w:p>
          <w:p w:rsidR="00C10776" w:rsidRPr="006A4F10" w:rsidRDefault="00C10776" w:rsidP="00C10776">
            <w:pPr>
              <w:rPr>
                <w:sz w:val="20"/>
                <w:szCs w:val="20"/>
              </w:rPr>
            </w:pPr>
            <w:r w:rsidRPr="006A4F10">
              <w:rPr>
                <w:rFonts w:hint="eastAsia"/>
                <w:sz w:val="20"/>
                <w:szCs w:val="20"/>
              </w:rPr>
              <w:t>5.2</w:t>
            </w:r>
            <w:r w:rsidRPr="006A4F10">
              <w:rPr>
                <w:rFonts w:hint="eastAsia"/>
                <w:sz w:val="20"/>
                <w:szCs w:val="20"/>
              </w:rPr>
              <w:t>对流传热微分方程组</w:t>
            </w:r>
          </w:p>
          <w:p w:rsidR="00C10776" w:rsidRPr="006A4F10" w:rsidRDefault="00C10776" w:rsidP="00C10776">
            <w:pPr>
              <w:rPr>
                <w:sz w:val="20"/>
                <w:szCs w:val="20"/>
              </w:rPr>
            </w:pPr>
            <w:r w:rsidRPr="006A4F10">
              <w:rPr>
                <w:rFonts w:hint="eastAsia"/>
                <w:sz w:val="20"/>
                <w:szCs w:val="20"/>
              </w:rPr>
              <w:t>5.3</w:t>
            </w:r>
            <w:r w:rsidRPr="006A4F10">
              <w:rPr>
                <w:rFonts w:hint="eastAsia"/>
                <w:sz w:val="20"/>
                <w:szCs w:val="20"/>
              </w:rPr>
              <w:t>边界层传热微分方程组</w:t>
            </w:r>
          </w:p>
          <w:p w:rsidR="00C10776" w:rsidRPr="006A4F10" w:rsidRDefault="00C10776" w:rsidP="00C10776">
            <w:pPr>
              <w:rPr>
                <w:sz w:val="20"/>
                <w:szCs w:val="20"/>
              </w:rPr>
            </w:pPr>
            <w:r w:rsidRPr="006A4F10">
              <w:rPr>
                <w:rFonts w:hint="eastAsia"/>
                <w:sz w:val="20"/>
                <w:szCs w:val="20"/>
              </w:rPr>
              <w:t>5.4</w:t>
            </w:r>
            <w:r w:rsidRPr="006A4F10">
              <w:rPr>
                <w:rFonts w:hint="eastAsia"/>
                <w:sz w:val="20"/>
                <w:szCs w:val="20"/>
              </w:rPr>
              <w:t>动量传递和热量传递的类比</w:t>
            </w:r>
          </w:p>
          <w:p w:rsidR="00C10776" w:rsidRPr="006A4F10" w:rsidRDefault="00C10776" w:rsidP="00C10776">
            <w:pPr>
              <w:rPr>
                <w:sz w:val="20"/>
                <w:szCs w:val="20"/>
              </w:rPr>
            </w:pPr>
            <w:r w:rsidRPr="006A4F10">
              <w:rPr>
                <w:rFonts w:hint="eastAsia"/>
                <w:sz w:val="20"/>
                <w:szCs w:val="20"/>
              </w:rPr>
              <w:t xml:space="preserve">5.5 </w:t>
            </w:r>
            <w:r w:rsidRPr="006A4F10">
              <w:rPr>
                <w:rFonts w:hint="eastAsia"/>
                <w:sz w:val="20"/>
                <w:szCs w:val="20"/>
              </w:rPr>
              <w:t>相似理论基础</w:t>
            </w:r>
          </w:p>
          <w:p w:rsidR="00C10776" w:rsidRPr="006A4F10" w:rsidRDefault="00C10776" w:rsidP="00C10776">
            <w:pPr>
              <w:rPr>
                <w:sz w:val="20"/>
                <w:szCs w:val="20"/>
              </w:rPr>
            </w:pPr>
          </w:p>
        </w:tc>
        <w:tc>
          <w:tcPr>
            <w:tcW w:w="2755" w:type="dxa"/>
            <w:vAlign w:val="center"/>
          </w:tcPr>
          <w:p w:rsidR="00C10776" w:rsidRPr="006A4F10" w:rsidRDefault="00C10776" w:rsidP="00C10776">
            <w:pPr>
              <w:rPr>
                <w:sz w:val="20"/>
                <w:szCs w:val="20"/>
              </w:rPr>
            </w:pPr>
            <w:r w:rsidRPr="006A4F10">
              <w:rPr>
                <w:rFonts w:hint="eastAsia"/>
                <w:sz w:val="20"/>
                <w:szCs w:val="20"/>
              </w:rPr>
              <w:t>理解影响对流换热的因素，掌握牛顿冷却公式。理解常物性对流热微分方程组及定解条件。了解动量传递和热量传递的类比方法。熟练掌握几个常用的相似准则（如</w:t>
            </w:r>
            <w:r w:rsidRPr="006A4F10">
              <w:rPr>
                <w:rFonts w:hint="eastAsia"/>
                <w:sz w:val="20"/>
                <w:szCs w:val="20"/>
              </w:rPr>
              <w:t xml:space="preserve">Nu </w:t>
            </w:r>
            <w:r w:rsidRPr="006A4F10">
              <w:rPr>
                <w:rFonts w:hint="eastAsia"/>
                <w:sz w:val="20"/>
                <w:szCs w:val="20"/>
              </w:rPr>
              <w:t>，</w:t>
            </w:r>
            <w:r w:rsidRPr="006A4F10">
              <w:rPr>
                <w:rFonts w:hint="eastAsia"/>
                <w:sz w:val="20"/>
                <w:szCs w:val="20"/>
              </w:rPr>
              <w:t>Re</w:t>
            </w:r>
            <w:r w:rsidRPr="006A4F10">
              <w:rPr>
                <w:rFonts w:hint="eastAsia"/>
                <w:sz w:val="20"/>
                <w:szCs w:val="20"/>
              </w:rPr>
              <w:t>）。理解相似理论的方法实质和认识它在对流换热实验中的作用，准则方程的确立。掌握实验数据的整理方法。</w:t>
            </w:r>
          </w:p>
        </w:tc>
      </w:tr>
      <w:tr w:rsidR="00C10776" w:rsidTr="00C10776">
        <w:trPr>
          <w:trHeight w:val="548"/>
        </w:trPr>
        <w:tc>
          <w:tcPr>
            <w:tcW w:w="534"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7</w:t>
            </w:r>
          </w:p>
        </w:tc>
        <w:tc>
          <w:tcPr>
            <w:tcW w:w="2080" w:type="dxa"/>
            <w:vAlign w:val="center"/>
          </w:tcPr>
          <w:p w:rsidR="00C10776" w:rsidRPr="006A4F10" w:rsidRDefault="00C10776" w:rsidP="00C10776">
            <w:pPr>
              <w:rPr>
                <w:sz w:val="20"/>
                <w:szCs w:val="20"/>
              </w:rPr>
            </w:pPr>
            <w:r w:rsidRPr="006A4F10">
              <w:rPr>
                <w:rFonts w:hint="eastAsia"/>
                <w:sz w:val="20"/>
                <w:szCs w:val="20"/>
              </w:rPr>
              <w:t>第六章单向流体对流传热</w:t>
            </w:r>
          </w:p>
        </w:tc>
        <w:tc>
          <w:tcPr>
            <w:tcW w:w="727" w:type="dxa"/>
            <w:vAlign w:val="center"/>
          </w:tcPr>
          <w:p w:rsidR="00C10776" w:rsidRPr="006A4F10" w:rsidRDefault="00C10776" w:rsidP="00C10776">
            <w:pPr>
              <w:rPr>
                <w:sz w:val="20"/>
                <w:szCs w:val="20"/>
              </w:rPr>
            </w:pPr>
            <w:r w:rsidRPr="006A4F10">
              <w:rPr>
                <w:rFonts w:hint="eastAsia"/>
                <w:sz w:val="20"/>
                <w:szCs w:val="20"/>
              </w:rPr>
              <w:t>6</w:t>
            </w:r>
          </w:p>
        </w:tc>
        <w:tc>
          <w:tcPr>
            <w:tcW w:w="3059" w:type="dxa"/>
            <w:vAlign w:val="center"/>
          </w:tcPr>
          <w:p w:rsidR="00C10776" w:rsidRPr="006A4F10" w:rsidRDefault="00C10776" w:rsidP="00C10776">
            <w:pPr>
              <w:rPr>
                <w:sz w:val="20"/>
                <w:szCs w:val="20"/>
              </w:rPr>
            </w:pPr>
            <w:r w:rsidRPr="006A4F10">
              <w:rPr>
                <w:rFonts w:hint="eastAsia"/>
                <w:sz w:val="20"/>
                <w:szCs w:val="20"/>
              </w:rPr>
              <w:t>6.1</w:t>
            </w:r>
            <w:r w:rsidRPr="006A4F10">
              <w:rPr>
                <w:rFonts w:hint="eastAsia"/>
                <w:sz w:val="20"/>
                <w:szCs w:val="20"/>
              </w:rPr>
              <w:t>管内受迫对流传热</w:t>
            </w:r>
          </w:p>
          <w:p w:rsidR="00C10776" w:rsidRPr="006A4F10" w:rsidRDefault="00C10776" w:rsidP="00C10776">
            <w:pPr>
              <w:rPr>
                <w:sz w:val="20"/>
                <w:szCs w:val="20"/>
              </w:rPr>
            </w:pPr>
            <w:r w:rsidRPr="006A4F10">
              <w:rPr>
                <w:rFonts w:hint="eastAsia"/>
                <w:sz w:val="20"/>
                <w:szCs w:val="20"/>
              </w:rPr>
              <w:t>6.2</w:t>
            </w:r>
            <w:r w:rsidRPr="006A4F10">
              <w:rPr>
                <w:rFonts w:hint="eastAsia"/>
                <w:sz w:val="20"/>
                <w:szCs w:val="20"/>
              </w:rPr>
              <w:t>外掠圆管对流传热</w:t>
            </w:r>
          </w:p>
          <w:p w:rsidR="00C10776" w:rsidRPr="006A4F10" w:rsidRDefault="00C10776" w:rsidP="00C10776">
            <w:pPr>
              <w:rPr>
                <w:sz w:val="20"/>
                <w:szCs w:val="20"/>
              </w:rPr>
            </w:pPr>
            <w:r w:rsidRPr="006A4F10">
              <w:rPr>
                <w:rFonts w:hint="eastAsia"/>
                <w:sz w:val="20"/>
                <w:szCs w:val="20"/>
              </w:rPr>
              <w:t>6.3</w:t>
            </w:r>
            <w:r w:rsidRPr="006A4F10">
              <w:rPr>
                <w:rFonts w:hint="eastAsia"/>
                <w:sz w:val="20"/>
                <w:szCs w:val="20"/>
              </w:rPr>
              <w:t>自然对流传热</w:t>
            </w:r>
          </w:p>
          <w:p w:rsidR="00C10776" w:rsidRPr="006A4F10" w:rsidRDefault="00C10776" w:rsidP="00C10776">
            <w:pPr>
              <w:ind w:firstLineChars="157" w:firstLine="314"/>
              <w:rPr>
                <w:sz w:val="20"/>
                <w:szCs w:val="20"/>
              </w:rPr>
            </w:pPr>
          </w:p>
        </w:tc>
        <w:tc>
          <w:tcPr>
            <w:tcW w:w="2755" w:type="dxa"/>
            <w:vAlign w:val="center"/>
          </w:tcPr>
          <w:p w:rsidR="00C10776" w:rsidRPr="006A4F10" w:rsidRDefault="00C10776" w:rsidP="00C10776">
            <w:pPr>
              <w:rPr>
                <w:sz w:val="20"/>
                <w:szCs w:val="20"/>
              </w:rPr>
            </w:pPr>
            <w:r w:rsidRPr="006A4F10">
              <w:rPr>
                <w:rFonts w:hint="eastAsia"/>
                <w:sz w:val="20"/>
                <w:szCs w:val="20"/>
              </w:rPr>
              <w:t>重点各种典型对流换热过程的物理图解，并能定性描绘出局部表面传热系数的变化。了解管内入口段与成分发展段的概念。外掠单管、管束受迫运动对流换热的特征及计算大空间、有限空间自然对流换热的特征及计算；自然与受迫并存的综合对流换热。</w:t>
            </w:r>
          </w:p>
        </w:tc>
      </w:tr>
      <w:tr w:rsidR="00C10776" w:rsidTr="00C10776">
        <w:trPr>
          <w:trHeight w:val="548"/>
        </w:trPr>
        <w:tc>
          <w:tcPr>
            <w:tcW w:w="534"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8</w:t>
            </w:r>
          </w:p>
        </w:tc>
        <w:tc>
          <w:tcPr>
            <w:tcW w:w="2080" w:type="dxa"/>
            <w:vAlign w:val="center"/>
          </w:tcPr>
          <w:p w:rsidR="00C10776" w:rsidRPr="006A4F10" w:rsidRDefault="00C10776" w:rsidP="00C10776">
            <w:pPr>
              <w:rPr>
                <w:sz w:val="20"/>
                <w:szCs w:val="20"/>
              </w:rPr>
            </w:pPr>
            <w:r w:rsidRPr="006A4F10">
              <w:rPr>
                <w:rFonts w:hint="eastAsia"/>
                <w:sz w:val="20"/>
                <w:szCs w:val="20"/>
              </w:rPr>
              <w:t>第七章</w:t>
            </w:r>
            <w:r w:rsidRPr="006A4F10">
              <w:rPr>
                <w:rFonts w:hint="eastAsia"/>
                <w:sz w:val="20"/>
                <w:szCs w:val="20"/>
              </w:rPr>
              <w:t xml:space="preserve"> </w:t>
            </w:r>
            <w:r w:rsidRPr="006A4F10">
              <w:rPr>
                <w:rFonts w:hint="eastAsia"/>
                <w:sz w:val="20"/>
                <w:szCs w:val="20"/>
              </w:rPr>
              <w:t>凝结与沸腾换热</w:t>
            </w:r>
          </w:p>
          <w:p w:rsidR="00C10776" w:rsidRPr="006A4F10" w:rsidRDefault="00C10776" w:rsidP="00C10776">
            <w:pPr>
              <w:rPr>
                <w:sz w:val="20"/>
                <w:szCs w:val="20"/>
              </w:rPr>
            </w:pPr>
          </w:p>
        </w:tc>
        <w:tc>
          <w:tcPr>
            <w:tcW w:w="727" w:type="dxa"/>
            <w:vAlign w:val="center"/>
          </w:tcPr>
          <w:p w:rsidR="00C10776" w:rsidRPr="006A4F10" w:rsidRDefault="00C10776" w:rsidP="00C10776">
            <w:pPr>
              <w:rPr>
                <w:sz w:val="20"/>
                <w:szCs w:val="20"/>
              </w:rPr>
            </w:pPr>
            <w:r w:rsidRPr="006A4F10">
              <w:rPr>
                <w:rFonts w:hint="eastAsia"/>
                <w:sz w:val="20"/>
                <w:szCs w:val="20"/>
              </w:rPr>
              <w:t>6</w:t>
            </w:r>
          </w:p>
        </w:tc>
        <w:tc>
          <w:tcPr>
            <w:tcW w:w="3059" w:type="dxa"/>
            <w:vAlign w:val="center"/>
          </w:tcPr>
          <w:p w:rsidR="00C10776" w:rsidRPr="006A4F10" w:rsidRDefault="00C10776" w:rsidP="00C10776">
            <w:pPr>
              <w:rPr>
                <w:sz w:val="20"/>
                <w:szCs w:val="20"/>
              </w:rPr>
            </w:pPr>
            <w:r w:rsidRPr="006A4F10">
              <w:rPr>
                <w:rFonts w:hint="eastAsia"/>
                <w:sz w:val="20"/>
                <w:szCs w:val="20"/>
              </w:rPr>
              <w:t>7.1</w:t>
            </w:r>
            <w:r w:rsidRPr="006A4F10">
              <w:rPr>
                <w:rFonts w:hint="eastAsia"/>
                <w:sz w:val="20"/>
                <w:szCs w:val="20"/>
              </w:rPr>
              <w:t>凝结传热</w:t>
            </w:r>
          </w:p>
          <w:p w:rsidR="00C10776" w:rsidRPr="006A4F10" w:rsidRDefault="00C10776" w:rsidP="00C10776">
            <w:pPr>
              <w:rPr>
                <w:sz w:val="20"/>
                <w:szCs w:val="20"/>
              </w:rPr>
            </w:pPr>
            <w:r w:rsidRPr="006A4F10">
              <w:rPr>
                <w:rFonts w:hint="eastAsia"/>
                <w:sz w:val="20"/>
                <w:szCs w:val="20"/>
              </w:rPr>
              <w:t xml:space="preserve">7.2 </w:t>
            </w:r>
            <w:r w:rsidRPr="006A4F10">
              <w:rPr>
                <w:rFonts w:hint="eastAsia"/>
                <w:sz w:val="20"/>
                <w:szCs w:val="20"/>
              </w:rPr>
              <w:t>沸腾传热</w:t>
            </w:r>
          </w:p>
          <w:p w:rsidR="00C10776" w:rsidRPr="006A4F10" w:rsidRDefault="00C10776" w:rsidP="00C10776">
            <w:pPr>
              <w:rPr>
                <w:sz w:val="20"/>
                <w:szCs w:val="20"/>
              </w:rPr>
            </w:pPr>
            <w:r w:rsidRPr="006A4F10">
              <w:rPr>
                <w:rFonts w:hint="eastAsia"/>
                <w:sz w:val="20"/>
                <w:szCs w:val="20"/>
              </w:rPr>
              <w:t>7.3</w:t>
            </w:r>
            <w:r w:rsidRPr="006A4F10">
              <w:rPr>
                <w:rFonts w:hint="eastAsia"/>
                <w:sz w:val="20"/>
                <w:szCs w:val="20"/>
              </w:rPr>
              <w:t>热管</w:t>
            </w:r>
          </w:p>
        </w:tc>
        <w:tc>
          <w:tcPr>
            <w:tcW w:w="2755" w:type="dxa"/>
            <w:vAlign w:val="center"/>
          </w:tcPr>
          <w:p w:rsidR="00C10776" w:rsidRPr="006A4F10" w:rsidRDefault="00C10776" w:rsidP="00C10776">
            <w:pPr>
              <w:rPr>
                <w:sz w:val="20"/>
                <w:szCs w:val="20"/>
              </w:rPr>
            </w:pPr>
            <w:r w:rsidRPr="006A4F10">
              <w:rPr>
                <w:rFonts w:hint="eastAsia"/>
                <w:sz w:val="20"/>
                <w:szCs w:val="20"/>
              </w:rPr>
              <w:t>了解珠状凝结与膜状凝结的现象及推导竖壁层流膜状凝结换热解析解。能正确应用竖壁与水平管外凝结换热计算公式进行计算。重点掌握大空间饱和沸腾曲线，及临界热流密度的工程意义。了解热管的工作原理。</w:t>
            </w:r>
          </w:p>
        </w:tc>
      </w:tr>
      <w:tr w:rsidR="00C10776" w:rsidTr="00C10776">
        <w:trPr>
          <w:trHeight w:val="548"/>
        </w:trPr>
        <w:tc>
          <w:tcPr>
            <w:tcW w:w="534"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9</w:t>
            </w:r>
          </w:p>
        </w:tc>
        <w:tc>
          <w:tcPr>
            <w:tcW w:w="2080" w:type="dxa"/>
            <w:vAlign w:val="center"/>
          </w:tcPr>
          <w:p w:rsidR="00C10776" w:rsidRPr="006A4F10" w:rsidRDefault="00C10776" w:rsidP="00C10776">
            <w:pPr>
              <w:rPr>
                <w:sz w:val="20"/>
                <w:szCs w:val="20"/>
              </w:rPr>
            </w:pPr>
            <w:r w:rsidRPr="006A4F10">
              <w:rPr>
                <w:rFonts w:hint="eastAsia"/>
                <w:sz w:val="20"/>
                <w:szCs w:val="20"/>
              </w:rPr>
              <w:t>第八章</w:t>
            </w:r>
            <w:r w:rsidRPr="006A4F10">
              <w:rPr>
                <w:rFonts w:hint="eastAsia"/>
                <w:sz w:val="20"/>
                <w:szCs w:val="20"/>
              </w:rPr>
              <w:t xml:space="preserve"> </w:t>
            </w:r>
            <w:r w:rsidRPr="006A4F10">
              <w:rPr>
                <w:rFonts w:hint="eastAsia"/>
                <w:sz w:val="20"/>
                <w:szCs w:val="20"/>
              </w:rPr>
              <w:t>热辐射的基本定律</w:t>
            </w:r>
          </w:p>
          <w:p w:rsidR="00C10776" w:rsidRPr="006A4F10" w:rsidRDefault="00C10776" w:rsidP="00C10776">
            <w:pPr>
              <w:rPr>
                <w:sz w:val="20"/>
                <w:szCs w:val="20"/>
              </w:rPr>
            </w:pPr>
          </w:p>
        </w:tc>
        <w:tc>
          <w:tcPr>
            <w:tcW w:w="727" w:type="dxa"/>
            <w:vAlign w:val="center"/>
          </w:tcPr>
          <w:p w:rsidR="00C10776" w:rsidRPr="006A4F10" w:rsidRDefault="00C10776" w:rsidP="00C10776">
            <w:pPr>
              <w:rPr>
                <w:sz w:val="20"/>
                <w:szCs w:val="20"/>
              </w:rPr>
            </w:pPr>
            <w:r w:rsidRPr="006A4F10">
              <w:rPr>
                <w:rFonts w:hint="eastAsia"/>
                <w:sz w:val="20"/>
                <w:szCs w:val="20"/>
              </w:rPr>
              <w:t>6</w:t>
            </w:r>
          </w:p>
        </w:tc>
        <w:tc>
          <w:tcPr>
            <w:tcW w:w="3059" w:type="dxa"/>
            <w:vAlign w:val="center"/>
          </w:tcPr>
          <w:p w:rsidR="00C10776" w:rsidRPr="006A4F10" w:rsidRDefault="00C10776" w:rsidP="00C10776">
            <w:pPr>
              <w:rPr>
                <w:sz w:val="20"/>
                <w:szCs w:val="20"/>
              </w:rPr>
            </w:pPr>
            <w:r w:rsidRPr="006A4F10">
              <w:rPr>
                <w:rFonts w:hint="eastAsia"/>
                <w:sz w:val="20"/>
                <w:szCs w:val="20"/>
              </w:rPr>
              <w:t>8.1</w:t>
            </w:r>
            <w:r w:rsidRPr="006A4F10">
              <w:rPr>
                <w:rFonts w:hint="eastAsia"/>
                <w:sz w:val="20"/>
                <w:szCs w:val="20"/>
              </w:rPr>
              <w:t>基本概念求解</w:t>
            </w:r>
          </w:p>
          <w:p w:rsidR="00C10776" w:rsidRPr="006A4F10" w:rsidRDefault="00C10776" w:rsidP="00C10776">
            <w:pPr>
              <w:rPr>
                <w:sz w:val="20"/>
                <w:szCs w:val="20"/>
              </w:rPr>
            </w:pPr>
            <w:r w:rsidRPr="006A4F10">
              <w:rPr>
                <w:rFonts w:hint="eastAsia"/>
                <w:sz w:val="20"/>
                <w:szCs w:val="20"/>
              </w:rPr>
              <w:t>8.2</w:t>
            </w:r>
            <w:r w:rsidRPr="006A4F10">
              <w:rPr>
                <w:rFonts w:hint="eastAsia"/>
                <w:sz w:val="20"/>
                <w:szCs w:val="20"/>
              </w:rPr>
              <w:t>热辐射的基本定律</w:t>
            </w:r>
          </w:p>
          <w:p w:rsidR="00C10776" w:rsidRPr="006A4F10" w:rsidRDefault="00C10776" w:rsidP="00C10776">
            <w:pPr>
              <w:ind w:firstLineChars="157" w:firstLine="314"/>
              <w:rPr>
                <w:sz w:val="20"/>
                <w:szCs w:val="20"/>
              </w:rPr>
            </w:pPr>
          </w:p>
        </w:tc>
        <w:tc>
          <w:tcPr>
            <w:tcW w:w="2755" w:type="dxa"/>
            <w:vAlign w:val="center"/>
          </w:tcPr>
          <w:p w:rsidR="00C10776" w:rsidRPr="006A4F10" w:rsidRDefault="00C10776" w:rsidP="00C10776">
            <w:pPr>
              <w:rPr>
                <w:sz w:val="20"/>
                <w:szCs w:val="20"/>
              </w:rPr>
            </w:pPr>
            <w:r w:rsidRPr="006A4F10">
              <w:rPr>
                <w:rFonts w:hint="eastAsia"/>
                <w:sz w:val="20"/>
                <w:szCs w:val="20"/>
              </w:rPr>
              <w:t>理解热辐射的本质、基本特征。掌握漫射表面与灰体概念。了解漫灰表面概念对简化辐射换热计算的意义。掌握热辐射的基本定律及黑体辐射函数的应用</w:t>
            </w:r>
          </w:p>
        </w:tc>
      </w:tr>
      <w:tr w:rsidR="00C10776" w:rsidTr="00C10776">
        <w:trPr>
          <w:trHeight w:val="548"/>
        </w:trPr>
        <w:tc>
          <w:tcPr>
            <w:tcW w:w="534"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10</w:t>
            </w:r>
          </w:p>
        </w:tc>
        <w:tc>
          <w:tcPr>
            <w:tcW w:w="2080" w:type="dxa"/>
            <w:vAlign w:val="center"/>
          </w:tcPr>
          <w:p w:rsidR="00C10776" w:rsidRPr="006A4F10" w:rsidRDefault="00C10776" w:rsidP="00C10776">
            <w:pPr>
              <w:rPr>
                <w:sz w:val="20"/>
                <w:szCs w:val="20"/>
              </w:rPr>
            </w:pPr>
            <w:r w:rsidRPr="006A4F10">
              <w:rPr>
                <w:rFonts w:hint="eastAsia"/>
                <w:sz w:val="20"/>
                <w:szCs w:val="20"/>
              </w:rPr>
              <w:t>第九章</w:t>
            </w:r>
            <w:r w:rsidRPr="006A4F10">
              <w:rPr>
                <w:rFonts w:hint="eastAsia"/>
                <w:sz w:val="20"/>
                <w:szCs w:val="20"/>
              </w:rPr>
              <w:t xml:space="preserve"> </w:t>
            </w:r>
            <w:r w:rsidRPr="006A4F10">
              <w:rPr>
                <w:rFonts w:hint="eastAsia"/>
                <w:sz w:val="20"/>
                <w:szCs w:val="20"/>
              </w:rPr>
              <w:t>辐射传热计算</w:t>
            </w:r>
          </w:p>
          <w:p w:rsidR="00C10776" w:rsidRPr="006A4F10" w:rsidRDefault="00C10776" w:rsidP="00C10776">
            <w:pPr>
              <w:rPr>
                <w:sz w:val="20"/>
                <w:szCs w:val="20"/>
              </w:rPr>
            </w:pPr>
          </w:p>
        </w:tc>
        <w:tc>
          <w:tcPr>
            <w:tcW w:w="727" w:type="dxa"/>
            <w:vAlign w:val="center"/>
          </w:tcPr>
          <w:p w:rsidR="00C10776" w:rsidRPr="006A4F10" w:rsidRDefault="00C10776" w:rsidP="00C10776">
            <w:pPr>
              <w:rPr>
                <w:sz w:val="20"/>
                <w:szCs w:val="20"/>
              </w:rPr>
            </w:pPr>
            <w:r w:rsidRPr="006A4F10">
              <w:rPr>
                <w:rFonts w:hint="eastAsia"/>
                <w:sz w:val="20"/>
                <w:szCs w:val="20"/>
              </w:rPr>
              <w:t>6</w:t>
            </w:r>
          </w:p>
        </w:tc>
        <w:tc>
          <w:tcPr>
            <w:tcW w:w="3059" w:type="dxa"/>
            <w:vAlign w:val="center"/>
          </w:tcPr>
          <w:p w:rsidR="00C10776" w:rsidRPr="006A4F10" w:rsidRDefault="00C10776" w:rsidP="00C10776">
            <w:pPr>
              <w:rPr>
                <w:sz w:val="20"/>
                <w:szCs w:val="20"/>
              </w:rPr>
            </w:pPr>
            <w:r w:rsidRPr="006A4F10">
              <w:rPr>
                <w:rFonts w:hint="eastAsia"/>
                <w:sz w:val="20"/>
                <w:szCs w:val="20"/>
              </w:rPr>
              <w:t>9.1</w:t>
            </w:r>
            <w:r w:rsidRPr="006A4F10">
              <w:rPr>
                <w:rFonts w:hint="eastAsia"/>
                <w:sz w:val="20"/>
                <w:szCs w:val="20"/>
              </w:rPr>
              <w:t>黑表面间的辐射传热</w:t>
            </w:r>
          </w:p>
          <w:p w:rsidR="00C10776" w:rsidRPr="006A4F10" w:rsidRDefault="00C10776" w:rsidP="00C10776">
            <w:pPr>
              <w:rPr>
                <w:sz w:val="20"/>
                <w:szCs w:val="20"/>
              </w:rPr>
            </w:pPr>
            <w:r w:rsidRPr="006A4F10">
              <w:rPr>
                <w:rFonts w:hint="eastAsia"/>
                <w:sz w:val="20"/>
                <w:szCs w:val="20"/>
              </w:rPr>
              <w:t>9.2</w:t>
            </w:r>
            <w:r w:rsidRPr="006A4F10">
              <w:rPr>
                <w:rFonts w:hint="eastAsia"/>
                <w:sz w:val="20"/>
                <w:szCs w:val="20"/>
              </w:rPr>
              <w:t>灰表面间的辐射传热</w:t>
            </w:r>
          </w:p>
          <w:p w:rsidR="00C10776" w:rsidRPr="006A4F10" w:rsidRDefault="00C10776" w:rsidP="00C10776">
            <w:pPr>
              <w:rPr>
                <w:sz w:val="20"/>
                <w:szCs w:val="20"/>
              </w:rPr>
            </w:pPr>
            <w:r w:rsidRPr="006A4F10">
              <w:rPr>
                <w:rFonts w:hint="eastAsia"/>
                <w:sz w:val="20"/>
                <w:szCs w:val="20"/>
              </w:rPr>
              <w:t>9.3</w:t>
            </w:r>
            <w:r w:rsidRPr="006A4F10">
              <w:rPr>
                <w:rFonts w:hint="eastAsia"/>
                <w:sz w:val="20"/>
                <w:szCs w:val="20"/>
              </w:rPr>
              <w:t>角系数的确定方法</w:t>
            </w:r>
          </w:p>
          <w:p w:rsidR="00C10776" w:rsidRPr="006A4F10" w:rsidRDefault="00C10776" w:rsidP="00C10776">
            <w:pPr>
              <w:rPr>
                <w:sz w:val="20"/>
                <w:szCs w:val="20"/>
              </w:rPr>
            </w:pPr>
            <w:r w:rsidRPr="006A4F10">
              <w:rPr>
                <w:rFonts w:hint="eastAsia"/>
                <w:sz w:val="20"/>
                <w:szCs w:val="20"/>
              </w:rPr>
              <w:t xml:space="preserve">9.4 </w:t>
            </w:r>
            <w:r w:rsidRPr="006A4F10">
              <w:rPr>
                <w:rFonts w:hint="eastAsia"/>
                <w:sz w:val="20"/>
                <w:szCs w:val="20"/>
              </w:rPr>
              <w:t>气体辐射</w:t>
            </w:r>
          </w:p>
          <w:p w:rsidR="00C10776" w:rsidRPr="006A4F10" w:rsidRDefault="00C10776" w:rsidP="00C10776">
            <w:pPr>
              <w:rPr>
                <w:sz w:val="20"/>
                <w:szCs w:val="20"/>
              </w:rPr>
            </w:pPr>
            <w:r w:rsidRPr="006A4F10">
              <w:rPr>
                <w:rFonts w:hint="eastAsia"/>
                <w:sz w:val="20"/>
                <w:szCs w:val="20"/>
              </w:rPr>
              <w:t xml:space="preserve">9.5 </w:t>
            </w:r>
            <w:r w:rsidRPr="006A4F10">
              <w:rPr>
                <w:rFonts w:hint="eastAsia"/>
                <w:sz w:val="20"/>
                <w:szCs w:val="20"/>
              </w:rPr>
              <w:t>太阳辐射</w:t>
            </w:r>
          </w:p>
        </w:tc>
        <w:tc>
          <w:tcPr>
            <w:tcW w:w="2755" w:type="dxa"/>
            <w:vAlign w:val="center"/>
          </w:tcPr>
          <w:p w:rsidR="00C10776" w:rsidRPr="006A4F10" w:rsidRDefault="00C10776" w:rsidP="00C10776">
            <w:pPr>
              <w:rPr>
                <w:sz w:val="20"/>
                <w:szCs w:val="20"/>
              </w:rPr>
            </w:pPr>
            <w:r w:rsidRPr="006A4F10">
              <w:rPr>
                <w:rFonts w:hint="eastAsia"/>
                <w:sz w:val="20"/>
                <w:szCs w:val="20"/>
              </w:rPr>
              <w:t>有效辐射；黑表面间的辐射换热，掌握表面热阻和空间热阻。掌握在简单几何条件下灰体间辐射换热的计算方法，理解网络法求解灰体间的辐射换热问题。掌握角系数的概念，正确理解它在辐射换热计算中的作用，了解确定角系数的方法。</w:t>
            </w:r>
          </w:p>
        </w:tc>
      </w:tr>
      <w:tr w:rsidR="00C10776" w:rsidTr="00C10776">
        <w:trPr>
          <w:trHeight w:val="548"/>
        </w:trPr>
        <w:tc>
          <w:tcPr>
            <w:tcW w:w="534"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lastRenderedPageBreak/>
              <w:t>11</w:t>
            </w:r>
          </w:p>
        </w:tc>
        <w:tc>
          <w:tcPr>
            <w:tcW w:w="2080" w:type="dxa"/>
            <w:vAlign w:val="center"/>
          </w:tcPr>
          <w:p w:rsidR="00C10776" w:rsidRPr="006A4F10" w:rsidRDefault="00C10776" w:rsidP="00C10776">
            <w:pPr>
              <w:rPr>
                <w:sz w:val="20"/>
                <w:szCs w:val="20"/>
              </w:rPr>
            </w:pPr>
            <w:r w:rsidRPr="006A4F10">
              <w:rPr>
                <w:rFonts w:hint="eastAsia"/>
                <w:sz w:val="20"/>
                <w:szCs w:val="20"/>
              </w:rPr>
              <w:t>第十章</w:t>
            </w:r>
            <w:r w:rsidRPr="006A4F10">
              <w:rPr>
                <w:rFonts w:hint="eastAsia"/>
                <w:sz w:val="20"/>
                <w:szCs w:val="20"/>
              </w:rPr>
              <w:t xml:space="preserve"> </w:t>
            </w:r>
            <w:r w:rsidRPr="006A4F10">
              <w:rPr>
                <w:rFonts w:hint="eastAsia"/>
                <w:sz w:val="20"/>
                <w:szCs w:val="20"/>
              </w:rPr>
              <w:t>传热和换热器</w:t>
            </w:r>
          </w:p>
          <w:p w:rsidR="00C10776" w:rsidRPr="006A4F10" w:rsidRDefault="00C10776" w:rsidP="00C10776">
            <w:pPr>
              <w:rPr>
                <w:sz w:val="20"/>
                <w:szCs w:val="20"/>
              </w:rPr>
            </w:pPr>
          </w:p>
        </w:tc>
        <w:tc>
          <w:tcPr>
            <w:tcW w:w="727" w:type="dxa"/>
            <w:vAlign w:val="center"/>
          </w:tcPr>
          <w:p w:rsidR="00C10776" w:rsidRPr="006A4F10" w:rsidRDefault="00C10776" w:rsidP="00C10776">
            <w:pPr>
              <w:rPr>
                <w:sz w:val="20"/>
                <w:szCs w:val="20"/>
              </w:rPr>
            </w:pPr>
            <w:r w:rsidRPr="006A4F10">
              <w:rPr>
                <w:rFonts w:hint="eastAsia"/>
                <w:sz w:val="20"/>
                <w:szCs w:val="20"/>
              </w:rPr>
              <w:t>4</w:t>
            </w:r>
          </w:p>
        </w:tc>
        <w:tc>
          <w:tcPr>
            <w:tcW w:w="3059" w:type="dxa"/>
            <w:vAlign w:val="center"/>
          </w:tcPr>
          <w:p w:rsidR="00C10776" w:rsidRPr="006A4F10" w:rsidRDefault="00C10776" w:rsidP="00C10776">
            <w:pPr>
              <w:rPr>
                <w:sz w:val="20"/>
                <w:szCs w:val="20"/>
              </w:rPr>
            </w:pPr>
            <w:r w:rsidRPr="006A4F10">
              <w:rPr>
                <w:rFonts w:hint="eastAsia"/>
                <w:sz w:val="20"/>
                <w:szCs w:val="20"/>
              </w:rPr>
              <w:t xml:space="preserve">10.1 </w:t>
            </w:r>
            <w:r w:rsidRPr="006A4F10">
              <w:rPr>
                <w:rFonts w:hint="eastAsia"/>
                <w:sz w:val="20"/>
                <w:szCs w:val="20"/>
              </w:rPr>
              <w:t>通过肋壁的传热</w:t>
            </w:r>
          </w:p>
          <w:p w:rsidR="00C10776" w:rsidRPr="006A4F10" w:rsidRDefault="00C10776" w:rsidP="00C10776">
            <w:pPr>
              <w:rPr>
                <w:sz w:val="20"/>
                <w:szCs w:val="20"/>
              </w:rPr>
            </w:pPr>
            <w:r w:rsidRPr="006A4F10">
              <w:rPr>
                <w:rFonts w:hint="eastAsia"/>
                <w:sz w:val="20"/>
                <w:szCs w:val="20"/>
              </w:rPr>
              <w:t>10.2</w:t>
            </w:r>
            <w:r w:rsidRPr="006A4F10">
              <w:rPr>
                <w:rFonts w:hint="eastAsia"/>
                <w:sz w:val="20"/>
                <w:szCs w:val="20"/>
              </w:rPr>
              <w:t>复合传热的强化和削弱</w:t>
            </w:r>
          </w:p>
          <w:p w:rsidR="00C10776" w:rsidRPr="006A4F10" w:rsidRDefault="00C10776" w:rsidP="00C10776">
            <w:pPr>
              <w:rPr>
                <w:sz w:val="20"/>
                <w:szCs w:val="20"/>
              </w:rPr>
            </w:pPr>
            <w:r w:rsidRPr="006A4F10">
              <w:rPr>
                <w:rFonts w:hint="eastAsia"/>
                <w:sz w:val="20"/>
                <w:szCs w:val="20"/>
              </w:rPr>
              <w:t xml:space="preserve">10.3 </w:t>
            </w:r>
            <w:r w:rsidRPr="006A4F10">
              <w:rPr>
                <w:rFonts w:hint="eastAsia"/>
                <w:sz w:val="20"/>
                <w:szCs w:val="20"/>
              </w:rPr>
              <w:t>传热的强化和削弱</w:t>
            </w:r>
          </w:p>
          <w:p w:rsidR="00C10776" w:rsidRPr="006A4F10" w:rsidRDefault="00C10776" w:rsidP="00C10776">
            <w:pPr>
              <w:rPr>
                <w:sz w:val="20"/>
                <w:szCs w:val="20"/>
              </w:rPr>
            </w:pPr>
            <w:r w:rsidRPr="006A4F10">
              <w:rPr>
                <w:rFonts w:hint="eastAsia"/>
                <w:sz w:val="20"/>
                <w:szCs w:val="20"/>
              </w:rPr>
              <w:t xml:space="preserve">10.4 </w:t>
            </w:r>
            <w:r w:rsidRPr="006A4F10">
              <w:rPr>
                <w:rFonts w:hint="eastAsia"/>
                <w:sz w:val="20"/>
                <w:szCs w:val="20"/>
              </w:rPr>
              <w:t>换热器的形式和基本构造</w:t>
            </w:r>
          </w:p>
          <w:p w:rsidR="00C10776" w:rsidRPr="006A4F10" w:rsidRDefault="00C10776" w:rsidP="00C10776">
            <w:pPr>
              <w:rPr>
                <w:sz w:val="20"/>
                <w:szCs w:val="20"/>
              </w:rPr>
            </w:pPr>
            <w:r w:rsidRPr="006A4F10">
              <w:rPr>
                <w:rFonts w:hint="eastAsia"/>
                <w:sz w:val="20"/>
                <w:szCs w:val="20"/>
              </w:rPr>
              <w:t>10.5</w:t>
            </w:r>
            <w:r w:rsidRPr="006A4F10">
              <w:rPr>
                <w:rFonts w:hint="eastAsia"/>
                <w:sz w:val="20"/>
                <w:szCs w:val="20"/>
              </w:rPr>
              <w:t>平均温度差</w:t>
            </w:r>
          </w:p>
          <w:p w:rsidR="00C10776" w:rsidRPr="006A4F10" w:rsidRDefault="00C10776" w:rsidP="00C10776">
            <w:pPr>
              <w:rPr>
                <w:sz w:val="20"/>
                <w:szCs w:val="20"/>
              </w:rPr>
            </w:pPr>
            <w:r w:rsidRPr="006A4F10">
              <w:rPr>
                <w:rFonts w:hint="eastAsia"/>
                <w:sz w:val="20"/>
                <w:szCs w:val="20"/>
              </w:rPr>
              <w:t xml:space="preserve">10.6 </w:t>
            </w:r>
            <w:r w:rsidRPr="006A4F10">
              <w:rPr>
                <w:rFonts w:hint="eastAsia"/>
                <w:sz w:val="20"/>
                <w:szCs w:val="20"/>
              </w:rPr>
              <w:t>换热器计算</w:t>
            </w:r>
          </w:p>
          <w:p w:rsidR="00C10776" w:rsidRPr="006A4F10" w:rsidRDefault="00C10776" w:rsidP="00C10776">
            <w:pPr>
              <w:rPr>
                <w:sz w:val="20"/>
                <w:szCs w:val="20"/>
              </w:rPr>
            </w:pPr>
            <w:r w:rsidRPr="006A4F10">
              <w:rPr>
                <w:rFonts w:hint="eastAsia"/>
                <w:sz w:val="20"/>
                <w:szCs w:val="20"/>
              </w:rPr>
              <w:t xml:space="preserve">10.7 </w:t>
            </w:r>
            <w:r w:rsidRPr="006A4F10">
              <w:rPr>
                <w:rFonts w:hint="eastAsia"/>
                <w:sz w:val="20"/>
                <w:szCs w:val="20"/>
              </w:rPr>
              <w:t>换热器性能评价简述</w:t>
            </w:r>
          </w:p>
          <w:p w:rsidR="00C10776" w:rsidRPr="006A4F10" w:rsidRDefault="00C10776" w:rsidP="00C10776">
            <w:pPr>
              <w:rPr>
                <w:sz w:val="20"/>
                <w:szCs w:val="20"/>
              </w:rPr>
            </w:pPr>
          </w:p>
        </w:tc>
        <w:tc>
          <w:tcPr>
            <w:tcW w:w="2755" w:type="dxa"/>
            <w:vAlign w:val="center"/>
          </w:tcPr>
          <w:p w:rsidR="00C10776" w:rsidRPr="006A4F10" w:rsidRDefault="00C10776" w:rsidP="00C10776">
            <w:pPr>
              <w:rPr>
                <w:sz w:val="20"/>
                <w:szCs w:val="20"/>
              </w:rPr>
            </w:pPr>
            <w:r w:rsidRPr="006A4F10">
              <w:rPr>
                <w:rFonts w:hint="eastAsia"/>
                <w:sz w:val="20"/>
                <w:szCs w:val="20"/>
              </w:rPr>
              <w:t>讲清传热系数的组成，并应用热阻概念分析传热过程。掌握强化或削弱传热的原则和手段。讲述既有对流换热又有辐射换热的复合换热过程的计算方法介绍工程上典型换热器的型式，掌握平均温差法及传热单元数法进行换热器的热计算。</w:t>
            </w:r>
          </w:p>
        </w:tc>
      </w:tr>
    </w:tbl>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10776" w:rsidRDefault="00C10776" w:rsidP="00C10776">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10776" w:rsidRDefault="00C10776" w:rsidP="00C10776">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本课程考核方式：采用平时成绩+期末考试方式确定总评成绩</w:t>
      </w:r>
    </w:p>
    <w:p w:rsidR="00C10776" w:rsidRDefault="00C10776" w:rsidP="00C10776">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10776" w:rsidRDefault="00C10776" w:rsidP="00C10776">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成绩评定方式为百分制，平时成绩考核包括：考勤、作业及讨论环节。期末考试采用闭卷方式，平时成绩中考勤占10%，作业占10%，讨论占10%。</w:t>
      </w:r>
    </w:p>
    <w:p w:rsidR="00C10776" w:rsidRDefault="00C10776" w:rsidP="00C10776">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课程总成绩=期末成绩</w:t>
      </w:r>
      <w:r>
        <w:rPr>
          <w:rFonts w:ascii="仿宋_GB2312" w:hAnsi="仿宋_GB2312" w:cs="仿宋_GB2312" w:hint="eastAsia"/>
          <w:sz w:val="28"/>
          <w:szCs w:val="28"/>
        </w:rPr>
        <w:t>70%+平时</w:t>
      </w:r>
      <w:r>
        <w:rPr>
          <w:rFonts w:ascii="仿宋_GB2312" w:hAnsi="仿宋_GB2312" w:cs="仿宋_GB2312"/>
          <w:sz w:val="28"/>
          <w:szCs w:val="28"/>
        </w:rPr>
        <w:t>成绩30</w:t>
      </w:r>
      <w:r>
        <w:rPr>
          <w:rFonts w:ascii="仿宋_GB2312" w:hAnsi="仿宋_GB2312" w:cs="仿宋_GB2312" w:hint="eastAsia"/>
          <w:sz w:val="28"/>
          <w:szCs w:val="28"/>
        </w:rPr>
        <w:t>%</w:t>
      </w:r>
      <w:r>
        <w:rPr>
          <w:rFonts w:ascii="仿宋_GB2312" w:hAnsi="仿宋_GB2312" w:cs="仿宋_GB2312"/>
          <w:sz w:val="28"/>
          <w:szCs w:val="28"/>
        </w:rPr>
        <w:t xml:space="preserve">  </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《传热学》（第六版），章熙民，梅飞鸣等编著，中国建筑工业出版社，2014</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主要参考书：</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w:t>
      </w:r>
      <w:r>
        <w:rPr>
          <w:rFonts w:ascii="仿宋_GB2312" w:hAnsi="仿宋_GB2312" w:cs="仿宋_GB2312"/>
          <w:sz w:val="28"/>
          <w:szCs w:val="28"/>
        </w:rPr>
        <w:t>《传热学》（第四版），杨世铭、陶文铨编著，高等教育出版社，2006</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 xml:space="preserve"> </w:t>
      </w:r>
      <w:r>
        <w:rPr>
          <w:rFonts w:ascii="仿宋_GB2312" w:hAnsi="仿宋_GB2312" w:cs="仿宋_GB2312" w:hint="eastAsia"/>
          <w:sz w:val="28"/>
          <w:szCs w:val="28"/>
        </w:rPr>
        <w:t>J.P. Holman,传热学(英文版)(原书第10版),机械工业出版社，2010</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lastRenderedPageBreak/>
        <w:t>3.</w:t>
      </w:r>
      <w:r>
        <w:rPr>
          <w:rFonts w:ascii="仿宋_GB2312" w:hAnsi="仿宋_GB2312" w:cs="仿宋_GB2312"/>
          <w:sz w:val="28"/>
          <w:szCs w:val="28"/>
        </w:rPr>
        <w:t xml:space="preserve"> </w:t>
      </w:r>
      <w:r>
        <w:rPr>
          <w:rFonts w:ascii="仿宋_GB2312" w:hAnsi="仿宋_GB2312" w:cs="仿宋_GB2312" w:hint="eastAsia"/>
          <w:sz w:val="28"/>
          <w:szCs w:val="28"/>
        </w:rPr>
        <w:t>王秋旺，传热学重点难点及典型题精解，西安交通大学出版社，2001</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慕课资源：</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智慧树，《传热学》，崔萍等主讲</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七、其他</w:t>
      </w:r>
    </w:p>
    <w:p w:rsidR="00C10776" w:rsidRDefault="00C10776" w:rsidP="00C10776">
      <w:pPr>
        <w:jc w:val="center"/>
        <w:rPr>
          <w:sz w:val="18"/>
          <w:szCs w:val="18"/>
        </w:rPr>
      </w:pPr>
      <w:r>
        <w:rPr>
          <w:sz w:val="18"/>
          <w:szCs w:val="18"/>
        </w:rPr>
        <w:t>实验名称、内容与学时分配</w:t>
      </w:r>
    </w:p>
    <w:tbl>
      <w:tblPr>
        <w:tblW w:w="0" w:type="auto"/>
        <w:tblInd w:w="64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0"/>
        <w:gridCol w:w="2880"/>
        <w:gridCol w:w="2880"/>
        <w:gridCol w:w="900"/>
      </w:tblGrid>
      <w:tr w:rsidR="00C10776" w:rsidTr="00C10776">
        <w:trPr>
          <w:trHeight w:val="237"/>
        </w:trPr>
        <w:tc>
          <w:tcPr>
            <w:tcW w:w="900" w:type="dxa"/>
            <w:tcBorders>
              <w:top w:val="single" w:sz="4" w:space="0" w:color="auto"/>
              <w:left w:val="single" w:sz="4" w:space="0" w:color="auto"/>
              <w:bottom w:val="single" w:sz="4" w:space="0" w:color="auto"/>
              <w:right w:val="single" w:sz="4" w:space="0" w:color="auto"/>
            </w:tcBorders>
            <w:shd w:val="clear" w:color="auto" w:fill="auto"/>
          </w:tcPr>
          <w:p w:rsidR="00C10776" w:rsidRDefault="00C10776" w:rsidP="00C10776">
            <w:pPr>
              <w:rPr>
                <w:sz w:val="18"/>
                <w:szCs w:val="18"/>
              </w:rPr>
            </w:pPr>
            <w:r>
              <w:rPr>
                <w:sz w:val="18"/>
                <w:szCs w:val="18"/>
              </w:rPr>
              <w:t>序号</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10776" w:rsidRDefault="00C10776" w:rsidP="00C10776">
            <w:pPr>
              <w:rPr>
                <w:sz w:val="18"/>
                <w:szCs w:val="18"/>
              </w:rPr>
            </w:pPr>
            <w:r>
              <w:rPr>
                <w:sz w:val="18"/>
                <w:szCs w:val="18"/>
              </w:rPr>
              <w:t>实验名称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10776" w:rsidRDefault="00C10776" w:rsidP="00C10776">
            <w:pPr>
              <w:rPr>
                <w:sz w:val="18"/>
                <w:szCs w:val="18"/>
              </w:rPr>
            </w:pPr>
            <w:r>
              <w:rPr>
                <w:sz w:val="18"/>
                <w:szCs w:val="18"/>
              </w:rPr>
              <w:t>实验内容</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0776" w:rsidRDefault="00C10776" w:rsidP="00C10776">
            <w:pPr>
              <w:rPr>
                <w:sz w:val="18"/>
                <w:szCs w:val="18"/>
              </w:rPr>
            </w:pPr>
            <w:r>
              <w:rPr>
                <w:sz w:val="18"/>
                <w:szCs w:val="18"/>
              </w:rPr>
              <w:t>学时</w:t>
            </w:r>
          </w:p>
        </w:tc>
      </w:tr>
      <w:tr w:rsidR="00C10776" w:rsidTr="00C10776">
        <w:trPr>
          <w:trHeight w:val="541"/>
        </w:trPr>
        <w:tc>
          <w:tcPr>
            <w:tcW w:w="900" w:type="dxa"/>
            <w:tcBorders>
              <w:top w:val="single" w:sz="4" w:space="0" w:color="auto"/>
              <w:left w:val="single" w:sz="4" w:space="0" w:color="auto"/>
              <w:bottom w:val="single" w:sz="4" w:space="0" w:color="auto"/>
              <w:right w:val="single" w:sz="4" w:space="0" w:color="auto"/>
            </w:tcBorders>
            <w:vAlign w:val="center"/>
          </w:tcPr>
          <w:p w:rsidR="00C10776" w:rsidRDefault="00C10776" w:rsidP="00C10776">
            <w:pPr>
              <w:rPr>
                <w:sz w:val="18"/>
                <w:szCs w:val="18"/>
              </w:rPr>
            </w:pPr>
            <w:r>
              <w:rPr>
                <w:sz w:val="18"/>
                <w:szCs w:val="18"/>
              </w:rPr>
              <w:t>1</w:t>
            </w:r>
          </w:p>
        </w:tc>
        <w:tc>
          <w:tcPr>
            <w:tcW w:w="2880" w:type="dxa"/>
            <w:tcBorders>
              <w:top w:val="single" w:sz="4" w:space="0" w:color="auto"/>
              <w:left w:val="single" w:sz="4" w:space="0" w:color="auto"/>
              <w:bottom w:val="single" w:sz="4" w:space="0" w:color="auto"/>
              <w:right w:val="single" w:sz="4" w:space="0" w:color="auto"/>
            </w:tcBorders>
            <w:vAlign w:val="center"/>
          </w:tcPr>
          <w:p w:rsidR="00C10776" w:rsidRDefault="00C10776" w:rsidP="00C10776">
            <w:pPr>
              <w:rPr>
                <w:sz w:val="18"/>
                <w:szCs w:val="18"/>
              </w:rPr>
            </w:pPr>
            <w:r>
              <w:rPr>
                <w:sz w:val="18"/>
                <w:szCs w:val="18"/>
              </w:rPr>
              <w:t>材料导热系数的测定</w:t>
            </w:r>
          </w:p>
        </w:tc>
        <w:tc>
          <w:tcPr>
            <w:tcW w:w="2880" w:type="dxa"/>
            <w:tcBorders>
              <w:top w:val="single" w:sz="4" w:space="0" w:color="auto"/>
              <w:left w:val="single" w:sz="4" w:space="0" w:color="auto"/>
              <w:bottom w:val="single" w:sz="4" w:space="0" w:color="auto"/>
              <w:right w:val="single" w:sz="4" w:space="0" w:color="auto"/>
            </w:tcBorders>
            <w:vAlign w:val="center"/>
          </w:tcPr>
          <w:p w:rsidR="00C10776" w:rsidRDefault="00C10776" w:rsidP="00C10776">
            <w:pPr>
              <w:rPr>
                <w:sz w:val="18"/>
                <w:szCs w:val="18"/>
              </w:rPr>
            </w:pPr>
            <w:r>
              <w:rPr>
                <w:rFonts w:hint="eastAsia"/>
                <w:sz w:val="18"/>
                <w:szCs w:val="18"/>
              </w:rPr>
              <w:t>热流计式导热仪测定建筑材料的导热系数</w:t>
            </w:r>
          </w:p>
        </w:tc>
        <w:tc>
          <w:tcPr>
            <w:tcW w:w="900" w:type="dxa"/>
            <w:tcBorders>
              <w:top w:val="single" w:sz="4" w:space="0" w:color="auto"/>
              <w:left w:val="single" w:sz="4" w:space="0" w:color="auto"/>
              <w:bottom w:val="single" w:sz="4" w:space="0" w:color="auto"/>
              <w:right w:val="single" w:sz="4" w:space="0" w:color="auto"/>
            </w:tcBorders>
            <w:vAlign w:val="center"/>
          </w:tcPr>
          <w:p w:rsidR="00C10776" w:rsidRDefault="00C10776" w:rsidP="00C10776">
            <w:pPr>
              <w:rPr>
                <w:sz w:val="18"/>
                <w:szCs w:val="18"/>
              </w:rPr>
            </w:pPr>
            <w:r>
              <w:rPr>
                <w:sz w:val="18"/>
                <w:szCs w:val="18"/>
              </w:rPr>
              <w:t>2</w:t>
            </w:r>
          </w:p>
        </w:tc>
      </w:tr>
      <w:tr w:rsidR="00C10776" w:rsidTr="00C10776">
        <w:trPr>
          <w:trHeight w:val="450"/>
        </w:trPr>
        <w:tc>
          <w:tcPr>
            <w:tcW w:w="900" w:type="dxa"/>
            <w:tcBorders>
              <w:top w:val="single" w:sz="4" w:space="0" w:color="auto"/>
              <w:left w:val="single" w:sz="4" w:space="0" w:color="auto"/>
              <w:bottom w:val="single" w:sz="4" w:space="0" w:color="auto"/>
              <w:right w:val="single" w:sz="4" w:space="0" w:color="auto"/>
            </w:tcBorders>
            <w:vAlign w:val="center"/>
          </w:tcPr>
          <w:p w:rsidR="00C10776" w:rsidRDefault="00C10776" w:rsidP="00C10776">
            <w:pPr>
              <w:rPr>
                <w:sz w:val="18"/>
                <w:szCs w:val="18"/>
              </w:rPr>
            </w:pPr>
            <w:r>
              <w:rPr>
                <w:sz w:val="18"/>
                <w:szCs w:val="18"/>
              </w:rPr>
              <w:t>2</w:t>
            </w:r>
          </w:p>
        </w:tc>
        <w:tc>
          <w:tcPr>
            <w:tcW w:w="2880" w:type="dxa"/>
            <w:tcBorders>
              <w:top w:val="single" w:sz="4" w:space="0" w:color="auto"/>
              <w:left w:val="single" w:sz="4" w:space="0" w:color="auto"/>
              <w:bottom w:val="single" w:sz="4" w:space="0" w:color="auto"/>
              <w:right w:val="single" w:sz="4" w:space="0" w:color="auto"/>
            </w:tcBorders>
            <w:vAlign w:val="center"/>
          </w:tcPr>
          <w:p w:rsidR="00C10776" w:rsidRDefault="00C10776" w:rsidP="00C10776">
            <w:pPr>
              <w:rPr>
                <w:sz w:val="18"/>
                <w:szCs w:val="18"/>
              </w:rPr>
            </w:pPr>
            <w:r>
              <w:rPr>
                <w:rFonts w:hint="eastAsia"/>
                <w:sz w:val="18"/>
                <w:szCs w:val="18"/>
              </w:rPr>
              <w:t>中温辐射时物体黑度的测试</w:t>
            </w:r>
          </w:p>
        </w:tc>
        <w:tc>
          <w:tcPr>
            <w:tcW w:w="2880" w:type="dxa"/>
            <w:tcBorders>
              <w:top w:val="single" w:sz="4" w:space="0" w:color="auto"/>
              <w:left w:val="single" w:sz="4" w:space="0" w:color="auto"/>
              <w:bottom w:val="single" w:sz="4" w:space="0" w:color="auto"/>
              <w:right w:val="single" w:sz="4" w:space="0" w:color="auto"/>
            </w:tcBorders>
          </w:tcPr>
          <w:p w:rsidR="00C10776" w:rsidRDefault="00C10776" w:rsidP="00C10776">
            <w:pPr>
              <w:rPr>
                <w:sz w:val="18"/>
                <w:szCs w:val="18"/>
              </w:rPr>
            </w:pPr>
            <w:r>
              <w:rPr>
                <w:rFonts w:hint="eastAsia"/>
                <w:sz w:val="18"/>
                <w:szCs w:val="18"/>
              </w:rPr>
              <w:t>比较法定性地测定物体的黑度</w:t>
            </w:r>
          </w:p>
        </w:tc>
        <w:tc>
          <w:tcPr>
            <w:tcW w:w="900" w:type="dxa"/>
            <w:tcBorders>
              <w:top w:val="single" w:sz="4" w:space="0" w:color="auto"/>
              <w:left w:val="single" w:sz="4" w:space="0" w:color="auto"/>
              <w:bottom w:val="single" w:sz="4" w:space="0" w:color="auto"/>
              <w:right w:val="single" w:sz="4" w:space="0" w:color="auto"/>
            </w:tcBorders>
            <w:vAlign w:val="center"/>
          </w:tcPr>
          <w:p w:rsidR="00C10776" w:rsidRDefault="00C10776" w:rsidP="00C10776">
            <w:pPr>
              <w:rPr>
                <w:sz w:val="18"/>
                <w:szCs w:val="18"/>
              </w:rPr>
            </w:pPr>
            <w:r>
              <w:rPr>
                <w:sz w:val="18"/>
                <w:szCs w:val="18"/>
              </w:rPr>
              <w:t>2</w:t>
            </w:r>
          </w:p>
        </w:tc>
      </w:tr>
    </w:tbl>
    <w:p w:rsidR="00C10776" w:rsidRDefault="00C10776" w:rsidP="00C10776">
      <w:pPr>
        <w:spacing w:beforeLines="50" w:before="156" w:afterLines="50" w:after="156" w:line="460" w:lineRule="exact"/>
        <w:rPr>
          <w:rFonts w:ascii="黑体" w:eastAsia="黑体" w:hAnsi="黑体"/>
          <w:b/>
          <w:sz w:val="28"/>
          <w:szCs w:val="28"/>
        </w:rPr>
      </w:pPr>
    </w:p>
    <w:p w:rsidR="00C10776" w:rsidRDefault="00C10776" w:rsidP="00C10776">
      <w:pPr>
        <w:spacing w:line="360" w:lineRule="auto"/>
        <w:ind w:firstLineChars="1800" w:firstLine="5040"/>
        <w:rPr>
          <w:rFonts w:ascii="仿宋" w:eastAsia="仿宋" w:hAnsi="仿宋"/>
          <w:sz w:val="28"/>
          <w:szCs w:val="28"/>
        </w:rPr>
      </w:pPr>
      <w:r>
        <w:rPr>
          <w:rFonts w:ascii="仿宋" w:eastAsia="仿宋" w:hAnsi="仿宋" w:hint="eastAsia"/>
          <w:sz w:val="28"/>
          <w:szCs w:val="28"/>
        </w:rPr>
        <w:t>大纲撰写人：万蓉</w:t>
      </w:r>
    </w:p>
    <w:p w:rsidR="00C10776" w:rsidRDefault="00C10776" w:rsidP="00C10776">
      <w:pPr>
        <w:spacing w:line="360" w:lineRule="auto"/>
        <w:ind w:firstLineChars="1800" w:firstLine="5040"/>
        <w:rPr>
          <w:rFonts w:ascii="仿宋" w:eastAsia="仿宋" w:hAnsi="仿宋"/>
          <w:sz w:val="28"/>
          <w:szCs w:val="28"/>
        </w:rPr>
      </w:pPr>
      <w:r>
        <w:rPr>
          <w:rFonts w:ascii="仿宋" w:eastAsia="仿宋" w:hAnsi="仿宋" w:hint="eastAsia"/>
          <w:sz w:val="28"/>
          <w:szCs w:val="28"/>
        </w:rPr>
        <w:t>课程负责人：万蓉</w:t>
      </w:r>
    </w:p>
    <w:p w:rsidR="00C10776" w:rsidRDefault="00C10776" w:rsidP="00C10776">
      <w:pPr>
        <w:spacing w:line="360" w:lineRule="auto"/>
        <w:ind w:firstLineChars="2000" w:firstLine="5600"/>
        <w:rPr>
          <w:rFonts w:ascii="仿宋" w:eastAsia="仿宋" w:hAnsi="仿宋"/>
          <w:sz w:val="28"/>
          <w:szCs w:val="28"/>
        </w:rPr>
      </w:pPr>
      <w:r>
        <w:rPr>
          <w:rFonts w:ascii="仿宋" w:eastAsia="仿宋" w:hAnsi="仿宋" w:hint="eastAsia"/>
          <w:sz w:val="28"/>
          <w:szCs w:val="28"/>
        </w:rPr>
        <w:t>审核人：</w:t>
      </w:r>
    </w:p>
    <w:p w:rsidR="00C10776" w:rsidRDefault="00C10776" w:rsidP="00C10776">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10776" w:rsidRDefault="00C10776" w:rsidP="00C10776">
      <w:pPr>
        <w:ind w:firstLineChars="2000" w:firstLine="5600"/>
        <w:jc w:val="left"/>
        <w:rPr>
          <w:rFonts w:ascii="仿宋" w:hAnsi="仿宋"/>
          <w:sz w:val="28"/>
          <w:szCs w:val="28"/>
        </w:rPr>
      </w:pPr>
      <w:r>
        <w:rPr>
          <w:rFonts w:ascii="仿宋_GB2312" w:hAnsi="微软雅黑" w:hint="eastAsia"/>
          <w:sz w:val="28"/>
          <w:szCs w:val="28"/>
        </w:rPr>
        <w:t xml:space="preserve">    </w:t>
      </w:r>
    </w:p>
    <w:p w:rsidR="00C10776" w:rsidRDefault="00C10776" w:rsidP="00C10776">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  2021年 4月</w:t>
      </w:r>
    </w:p>
    <w:p w:rsidR="00C10776" w:rsidRDefault="00C10776" w:rsidP="00C10776">
      <w:pPr>
        <w:jc w:val="left"/>
        <w:rPr>
          <w:rFonts w:ascii="仿宋" w:eastAsia="仿宋" w:hAnsi="仿宋"/>
          <w:sz w:val="28"/>
          <w:szCs w:val="28"/>
        </w:rPr>
      </w:pPr>
    </w:p>
    <w:p w:rsidR="006A4F10" w:rsidRDefault="006A4F10" w:rsidP="00C10776">
      <w:pPr>
        <w:jc w:val="left"/>
        <w:rPr>
          <w:rFonts w:ascii="仿宋" w:eastAsia="仿宋" w:hAnsi="仿宋"/>
          <w:sz w:val="28"/>
          <w:szCs w:val="28"/>
        </w:rPr>
      </w:pPr>
    </w:p>
    <w:p w:rsidR="006A4F10" w:rsidRDefault="006A4F10" w:rsidP="00C10776">
      <w:pPr>
        <w:jc w:val="left"/>
        <w:rPr>
          <w:rFonts w:ascii="仿宋" w:eastAsia="仿宋" w:hAnsi="仿宋"/>
          <w:sz w:val="28"/>
          <w:szCs w:val="28"/>
        </w:rPr>
      </w:pPr>
    </w:p>
    <w:p w:rsidR="006A4F10" w:rsidRDefault="006A4F10" w:rsidP="00C10776">
      <w:pPr>
        <w:jc w:val="left"/>
        <w:rPr>
          <w:rFonts w:ascii="仿宋" w:eastAsia="仿宋" w:hAnsi="仿宋"/>
          <w:sz w:val="28"/>
          <w:szCs w:val="28"/>
        </w:rPr>
      </w:pPr>
    </w:p>
    <w:p w:rsidR="006A4F10" w:rsidRDefault="006A4F10" w:rsidP="00C10776">
      <w:pPr>
        <w:jc w:val="left"/>
        <w:rPr>
          <w:rFonts w:ascii="仿宋" w:eastAsia="仿宋" w:hAnsi="仿宋"/>
          <w:sz w:val="28"/>
          <w:szCs w:val="28"/>
        </w:rPr>
      </w:pPr>
    </w:p>
    <w:p w:rsidR="00C10776" w:rsidRDefault="00C10776" w:rsidP="00C1077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《建筑环境学》课程教学大纲</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Building Environment</w:t>
      </w:r>
    </w:p>
    <w:p w:rsidR="00C10776" w:rsidRDefault="00C10776" w:rsidP="00C1077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X2807040</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C10776" w:rsidRDefault="00C10776" w:rsidP="00C107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课程类别：学科基础课程</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2.5</w:t>
      </w:r>
    </w:p>
    <w:p w:rsidR="00C10776" w:rsidRDefault="00C10776" w:rsidP="00C107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40</w:t>
      </w:r>
      <w:r>
        <w:rPr>
          <w:rFonts w:ascii="仿宋_GB2312" w:hAnsi="仿宋_GB2312" w:cs="仿宋_GB2312" w:hint="eastAsia"/>
          <w:bCs/>
          <w:sz w:val="28"/>
          <w:szCs w:val="28"/>
        </w:rPr>
        <w:t>学时（授课</w:t>
      </w:r>
      <w:r>
        <w:rPr>
          <w:rFonts w:ascii="仿宋_GB2312" w:hAnsi="仿宋_GB2312" w:cs="仿宋_GB2312"/>
          <w:bCs/>
          <w:sz w:val="28"/>
          <w:szCs w:val="28"/>
        </w:rPr>
        <w:t>40</w:t>
      </w:r>
      <w:r>
        <w:rPr>
          <w:rFonts w:ascii="仿宋_GB2312" w:hAnsi="仿宋_GB2312" w:cs="仿宋_GB2312" w:hint="eastAsia"/>
          <w:bCs/>
          <w:sz w:val="28"/>
          <w:szCs w:val="28"/>
        </w:rPr>
        <w:t>学时，实验</w:t>
      </w:r>
      <w:r>
        <w:rPr>
          <w:rFonts w:ascii="仿宋_GB2312" w:hAnsi="仿宋_GB2312" w:cs="仿宋_GB2312"/>
          <w:bCs/>
          <w:sz w:val="28"/>
          <w:szCs w:val="28"/>
        </w:rPr>
        <w:t>0</w:t>
      </w:r>
      <w:r>
        <w:rPr>
          <w:rFonts w:ascii="仿宋_GB2312" w:hAnsi="仿宋_GB2312" w:cs="仿宋_GB2312" w:hint="eastAsia"/>
          <w:bCs/>
          <w:sz w:val="28"/>
          <w:szCs w:val="28"/>
        </w:rPr>
        <w:t>学时，上机0学时，课外0学时）</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适用对象：土木类建筑环境与能源应用工程专业</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先修课程：数学，传热数，流体力学等。</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w:t>
      </w:r>
      <w:r>
        <w:rPr>
          <w:rFonts w:ascii="仿宋_GB2312" w:hAnsi="仿宋_GB2312" w:cs="仿宋_GB2312"/>
          <w:bCs/>
          <w:sz w:val="28"/>
          <w:szCs w:val="28"/>
        </w:rPr>
        <w:t>工程</w:t>
      </w:r>
      <w:r>
        <w:rPr>
          <w:rFonts w:ascii="仿宋_GB2312" w:hAnsi="仿宋_GB2312" w:cs="仿宋_GB2312" w:hint="eastAsia"/>
          <w:bCs/>
          <w:sz w:val="28"/>
          <w:szCs w:val="28"/>
        </w:rPr>
        <w:t>学院建筑环境与能源应用工程系</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bCs/>
          <w:sz w:val="28"/>
          <w:szCs w:val="28"/>
        </w:rPr>
        <w:t>《建筑环境学》是建筑环境与能源应用工程专业的一门学科基础必修课。</w:t>
      </w:r>
      <w:r>
        <w:rPr>
          <w:rFonts w:ascii="仿宋_GB2312" w:hAnsi="仿宋_GB2312" w:cs="仿宋_GB2312" w:hint="eastAsia"/>
          <w:bCs/>
          <w:sz w:val="28"/>
          <w:szCs w:val="28"/>
        </w:rPr>
        <w:t>该课程</w:t>
      </w:r>
      <w:r>
        <w:rPr>
          <w:rFonts w:ascii="仿宋_GB2312" w:hAnsi="仿宋_GB2312" w:cs="仿宋_GB2312"/>
          <w:bCs/>
          <w:sz w:val="28"/>
          <w:szCs w:val="28"/>
        </w:rPr>
        <w:t>融合了建筑学、城市气象学、热工学、劳动卫生学、生理学、心理学、流体力学、声学、光学等多学科内容，是一门跨学科的边缘科学。</w:t>
      </w:r>
    </w:p>
    <w:p w:rsidR="00C10776" w:rsidRDefault="00C10776" w:rsidP="00C10776">
      <w:pPr>
        <w:spacing w:line="360" w:lineRule="auto"/>
        <w:ind w:firstLineChars="200" w:firstLine="560"/>
        <w:rPr>
          <w:rFonts w:ascii="仿宋_GB2312" w:hAnsi="仿宋_GB2312" w:cs="仿宋_GB2312"/>
          <w:bCs/>
          <w:sz w:val="28"/>
          <w:szCs w:val="28"/>
        </w:rPr>
      </w:pPr>
      <w:r>
        <w:rPr>
          <w:rFonts w:ascii="仿宋_GB2312" w:hAnsi="仿宋_GB2312" w:cs="仿宋_GB2312"/>
          <w:bCs/>
          <w:sz w:val="28"/>
          <w:szCs w:val="28"/>
        </w:rPr>
        <w:t>本课程主要介绍建筑外环境、建筑热湿环境、室内空气品质、建筑声环境及光环境，同时，还从人的生理及心理角度出发，介绍人的</w:t>
      </w:r>
      <w:r>
        <w:rPr>
          <w:rFonts w:ascii="仿宋_GB2312" w:hAnsi="仿宋_GB2312" w:cs="仿宋_GB2312"/>
          <w:bCs/>
          <w:sz w:val="28"/>
          <w:szCs w:val="28"/>
        </w:rPr>
        <w:lastRenderedPageBreak/>
        <w:t>健康舒适要求与室内、外环境质量的关系，为创造适宜的建筑室内环境与室外微环境提供理论依据。</w:t>
      </w:r>
    </w:p>
    <w:p w:rsidR="00C10776" w:rsidRDefault="00C10776" w:rsidP="00C10776">
      <w:pPr>
        <w:spacing w:line="360" w:lineRule="auto"/>
        <w:ind w:firstLineChars="200" w:firstLine="560"/>
        <w:rPr>
          <w:rFonts w:ascii="仿宋_GB2312" w:hAnsi="仿宋_GB2312" w:cs="仿宋_GB2312"/>
          <w:bCs/>
          <w:sz w:val="28"/>
          <w:szCs w:val="28"/>
        </w:rPr>
      </w:pPr>
      <w:r>
        <w:rPr>
          <w:rFonts w:ascii="仿宋_GB2312" w:hAnsi="仿宋_GB2312" w:cs="仿宋_GB2312"/>
          <w:bCs/>
          <w:sz w:val="28"/>
          <w:szCs w:val="28"/>
        </w:rPr>
        <w:t>教学方式采用PPT、板书和课后思考题等相结合进行授课，使学生掌握建筑环境学的基本理论。</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10776" w:rsidRDefault="00C10776" w:rsidP="00C10776">
      <w:pPr>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《建筑环境学》是建筑环境与能源应用工程专业的一门学科基础必修课。本课程主要任务是介绍建筑外环境、室</w:t>
      </w:r>
      <w:r>
        <w:rPr>
          <w:rFonts w:ascii="仿宋_GB2312" w:hAnsi="仿宋_GB2312" w:cs="仿宋_GB2312"/>
          <w:bCs/>
          <w:sz w:val="28"/>
          <w:szCs w:val="28"/>
        </w:rPr>
        <w:t>内</w:t>
      </w:r>
      <w:r>
        <w:rPr>
          <w:rFonts w:ascii="仿宋_GB2312" w:hAnsi="仿宋_GB2312" w:cs="仿宋_GB2312" w:hint="eastAsia"/>
          <w:bCs/>
          <w:sz w:val="28"/>
          <w:szCs w:val="28"/>
        </w:rPr>
        <w:t>热湿环境、空气</w:t>
      </w:r>
      <w:r>
        <w:rPr>
          <w:rFonts w:ascii="仿宋_GB2312" w:hAnsi="仿宋_GB2312" w:cs="仿宋_GB2312"/>
          <w:bCs/>
          <w:sz w:val="28"/>
          <w:szCs w:val="28"/>
        </w:rPr>
        <w:t>质量环境</w:t>
      </w:r>
      <w:r>
        <w:rPr>
          <w:rFonts w:ascii="仿宋_GB2312" w:hAnsi="仿宋_GB2312" w:cs="仿宋_GB2312" w:hint="eastAsia"/>
          <w:bCs/>
          <w:sz w:val="28"/>
          <w:szCs w:val="28"/>
        </w:rPr>
        <w:t>以及</w:t>
      </w:r>
      <w:r>
        <w:rPr>
          <w:rFonts w:ascii="仿宋_GB2312" w:hAnsi="仿宋_GB2312" w:cs="仿宋_GB2312"/>
          <w:bCs/>
          <w:sz w:val="28"/>
          <w:szCs w:val="28"/>
        </w:rPr>
        <w:t>室内空气环境营造的理论基础</w:t>
      </w:r>
      <w:r>
        <w:rPr>
          <w:rFonts w:ascii="仿宋_GB2312" w:hAnsi="仿宋_GB2312" w:cs="仿宋_GB2312" w:hint="eastAsia"/>
          <w:bCs/>
          <w:sz w:val="28"/>
          <w:szCs w:val="28"/>
        </w:rPr>
        <w:t>、声环境、光环境，同时，从人的生理及心理角度出发，分析介绍人的</w:t>
      </w:r>
      <w:r>
        <w:rPr>
          <w:rFonts w:ascii="仿宋_GB2312" w:hAnsi="仿宋_GB2312" w:cs="仿宋_GB2312"/>
          <w:bCs/>
          <w:sz w:val="28"/>
          <w:szCs w:val="28"/>
        </w:rPr>
        <w:t>健康</w:t>
      </w:r>
      <w:r>
        <w:rPr>
          <w:rFonts w:ascii="仿宋_GB2312" w:hAnsi="仿宋_GB2312" w:cs="仿宋_GB2312" w:hint="eastAsia"/>
          <w:bCs/>
          <w:sz w:val="28"/>
          <w:szCs w:val="28"/>
        </w:rPr>
        <w:t>舒适要求</w:t>
      </w:r>
      <w:r>
        <w:rPr>
          <w:rFonts w:ascii="仿宋_GB2312" w:hAnsi="仿宋_GB2312" w:cs="仿宋_GB2312"/>
          <w:bCs/>
          <w:sz w:val="28"/>
          <w:szCs w:val="28"/>
        </w:rPr>
        <w:t>与室内外环境质量的关系</w:t>
      </w:r>
      <w:r>
        <w:rPr>
          <w:rFonts w:ascii="仿宋_GB2312" w:hAnsi="仿宋_GB2312" w:cs="仿宋_GB2312" w:hint="eastAsia"/>
          <w:bCs/>
          <w:sz w:val="28"/>
          <w:szCs w:val="28"/>
        </w:rPr>
        <w:t>，以及典型工艺过程对环境的要求，为创造适宜的建筑室内环境提供理论依据。</w:t>
      </w:r>
    </w:p>
    <w:p w:rsidR="00C10776" w:rsidRDefault="00C10776" w:rsidP="00C10776">
      <w:pPr>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通过本课程的学习，使学生理解和掌握：（1）人和生产过程需要什么样的建筑室内环境（2）各种外部和内部的因素是如何影响建筑环境的（3）改变或控制建筑环境的基本方法及其原理。通过该课程的学习，使学生为今后学习各种技术手段来创造健康舒适的、满足各种生产过程要求的建筑环境打下理论基础。</w:t>
      </w:r>
    </w:p>
    <w:p w:rsidR="00C10776" w:rsidRDefault="00C10776"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C10776" w:rsidRDefault="00C10776" w:rsidP="00C10776">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C10776" w:rsidRDefault="00C10776" w:rsidP="00C10776">
      <w:pPr>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（1）掌握建筑外环境特点及规律，包括太阳辐射、大气压力、气温、相对湿度、天空有效温度、地温、降水，掌握我国气候分区方法。</w:t>
      </w:r>
    </w:p>
    <w:p w:rsidR="00C10776" w:rsidRDefault="00C10776" w:rsidP="00C10776">
      <w:pPr>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（2）掌握建筑室内热湿环境形成机理，掌握冷热负荷的概念，理</w:t>
      </w:r>
      <w:r>
        <w:rPr>
          <w:rFonts w:ascii="仿宋_GB2312" w:hAnsi="仿宋_GB2312" w:cs="仿宋_GB2312" w:hint="eastAsia"/>
          <w:bCs/>
          <w:sz w:val="28"/>
          <w:szCs w:val="28"/>
        </w:rPr>
        <w:lastRenderedPageBreak/>
        <w:t>解其数学表达方法；了解典型负荷计算方法。</w:t>
      </w:r>
    </w:p>
    <w:p w:rsidR="00C10776" w:rsidRDefault="00C10776" w:rsidP="00C10776">
      <w:pPr>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（3）掌握人体对热环境的反应及对热环境的评价方法。</w:t>
      </w:r>
    </w:p>
    <w:p w:rsidR="00C10776" w:rsidRDefault="00C10776" w:rsidP="00C10776">
      <w:pPr>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（4）了解室内空气品质对人的舒适性及健康的影响；掌握评价方法；熟悉国内室内空气品质标准；掌握室内空气污染控制的基本途径。</w:t>
      </w:r>
    </w:p>
    <w:p w:rsidR="00C10776" w:rsidRDefault="00C10776" w:rsidP="00C10776">
      <w:pPr>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（5）掌握室内空气环境营造的理论及技术。</w:t>
      </w:r>
    </w:p>
    <w:p w:rsidR="00C10776" w:rsidRDefault="00C10776" w:rsidP="00C10776">
      <w:pPr>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（6）掌握声音的度量的方法；掌握人体对声音的反应及相应基本概念；了解噪声的基本控制方法。</w:t>
      </w:r>
    </w:p>
    <w:p w:rsidR="00C10776" w:rsidRDefault="00C10776" w:rsidP="00C10776">
      <w:pPr>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（7）掌握建筑光环境的性质及度量方法；了解天然采光和人工照明的基本方式。</w:t>
      </w:r>
    </w:p>
    <w:p w:rsidR="00C10776" w:rsidRDefault="00C10776" w:rsidP="00C10776">
      <w:pPr>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（8）了解室内空气环境对典型工艺过程的影响及典型工业建筑的室内环境设计指标。</w:t>
      </w:r>
    </w:p>
    <w:p w:rsidR="00C10776" w:rsidRDefault="00C10776" w:rsidP="00C10776">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2.2 课程目标与毕业要求之间的对应关系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982"/>
        <w:gridCol w:w="3736"/>
        <w:gridCol w:w="2173"/>
      </w:tblGrid>
      <w:tr w:rsidR="00C10776" w:rsidTr="00C10776">
        <w:tc>
          <w:tcPr>
            <w:tcW w:w="1526" w:type="dxa"/>
            <w:vMerge w:val="restart"/>
            <w:shd w:val="clear" w:color="auto" w:fill="auto"/>
          </w:tcPr>
          <w:p w:rsidR="00C10776" w:rsidRPr="00FE09E8" w:rsidRDefault="00C10776" w:rsidP="00FE09E8">
            <w:pPr>
              <w:spacing w:line="360" w:lineRule="auto"/>
              <w:rPr>
                <w:rFonts w:ascii="仿宋_GB2312" w:hAnsi="仿宋_GB2312" w:cs="仿宋_GB2312"/>
                <w:b/>
                <w:bCs/>
                <w:sz w:val="24"/>
                <w:szCs w:val="24"/>
              </w:rPr>
            </w:pPr>
            <w:r w:rsidRPr="00FE09E8">
              <w:rPr>
                <w:rFonts w:ascii="仿宋_GB2312" w:hAnsi="仿宋_GB2312" w:cs="仿宋_GB2312" w:hint="eastAsia"/>
                <w:b/>
                <w:bCs/>
                <w:sz w:val="24"/>
                <w:szCs w:val="24"/>
              </w:rPr>
              <w:t>毕业</w:t>
            </w:r>
            <w:r w:rsidRPr="00FE09E8">
              <w:rPr>
                <w:rFonts w:ascii="仿宋_GB2312" w:hAnsi="仿宋_GB2312" w:cs="仿宋_GB2312"/>
                <w:b/>
                <w:bCs/>
                <w:sz w:val="24"/>
                <w:szCs w:val="24"/>
              </w:rPr>
              <w:t>要求</w:t>
            </w:r>
          </w:p>
        </w:tc>
        <w:tc>
          <w:tcPr>
            <w:tcW w:w="5331" w:type="dxa"/>
            <w:gridSpan w:val="2"/>
            <w:shd w:val="clear" w:color="auto" w:fill="auto"/>
          </w:tcPr>
          <w:p w:rsidR="00C10776" w:rsidRPr="00FE09E8" w:rsidRDefault="00C10776" w:rsidP="00FE09E8">
            <w:pPr>
              <w:spacing w:line="360" w:lineRule="auto"/>
              <w:ind w:firstLineChars="150" w:firstLine="361"/>
              <w:rPr>
                <w:rFonts w:ascii="仿宋_GB2312" w:hAnsi="仿宋_GB2312" w:cs="仿宋_GB2312"/>
                <w:b/>
                <w:bCs/>
                <w:sz w:val="24"/>
                <w:szCs w:val="24"/>
              </w:rPr>
            </w:pPr>
            <w:r w:rsidRPr="00FE09E8">
              <w:rPr>
                <w:rFonts w:ascii="仿宋_GB2312" w:hAnsi="仿宋_GB2312" w:cs="仿宋_GB2312" w:hint="eastAsia"/>
                <w:b/>
                <w:bCs/>
                <w:sz w:val="24"/>
                <w:szCs w:val="24"/>
              </w:rPr>
              <w:t>毕业</w:t>
            </w:r>
            <w:r w:rsidRPr="00FE09E8">
              <w:rPr>
                <w:rFonts w:ascii="仿宋_GB2312" w:hAnsi="仿宋_GB2312" w:cs="仿宋_GB2312"/>
                <w:b/>
                <w:bCs/>
                <w:sz w:val="24"/>
                <w:szCs w:val="24"/>
              </w:rPr>
              <w:t>要求指标点</w:t>
            </w:r>
          </w:p>
        </w:tc>
        <w:tc>
          <w:tcPr>
            <w:tcW w:w="2429" w:type="dxa"/>
            <w:vMerge w:val="restart"/>
            <w:shd w:val="clear" w:color="auto" w:fill="auto"/>
          </w:tcPr>
          <w:p w:rsidR="00C10776" w:rsidRPr="00FE09E8" w:rsidRDefault="00C10776" w:rsidP="00FE09E8">
            <w:pPr>
              <w:spacing w:line="360" w:lineRule="auto"/>
              <w:ind w:firstLineChars="150" w:firstLine="361"/>
              <w:rPr>
                <w:rFonts w:ascii="仿宋_GB2312" w:hAnsi="仿宋_GB2312" w:cs="仿宋_GB2312"/>
                <w:b/>
                <w:bCs/>
                <w:sz w:val="24"/>
                <w:szCs w:val="24"/>
              </w:rPr>
            </w:pPr>
            <w:r w:rsidRPr="00FE09E8">
              <w:rPr>
                <w:rFonts w:ascii="仿宋_GB2312" w:hAnsi="仿宋_GB2312" w:cs="仿宋_GB2312" w:hint="eastAsia"/>
                <w:b/>
                <w:bCs/>
                <w:sz w:val="24"/>
                <w:szCs w:val="24"/>
              </w:rPr>
              <w:t>教学</w:t>
            </w:r>
            <w:r w:rsidRPr="00FE09E8">
              <w:rPr>
                <w:rFonts w:ascii="仿宋_GB2312" w:hAnsi="仿宋_GB2312" w:cs="仿宋_GB2312"/>
                <w:b/>
                <w:bCs/>
                <w:sz w:val="24"/>
                <w:szCs w:val="24"/>
              </w:rPr>
              <w:t>目标</w:t>
            </w:r>
          </w:p>
        </w:tc>
      </w:tr>
      <w:tr w:rsidR="00C10776" w:rsidTr="00C10776">
        <w:tc>
          <w:tcPr>
            <w:tcW w:w="1526" w:type="dxa"/>
            <w:vMerge/>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p>
        </w:tc>
        <w:tc>
          <w:tcPr>
            <w:tcW w:w="992" w:type="dxa"/>
            <w:shd w:val="clear" w:color="auto" w:fill="auto"/>
          </w:tcPr>
          <w:p w:rsidR="00C10776" w:rsidRPr="00FE09E8" w:rsidRDefault="00C10776" w:rsidP="00FE09E8">
            <w:pPr>
              <w:spacing w:line="360" w:lineRule="auto"/>
              <w:rPr>
                <w:rFonts w:ascii="仿宋_GB2312" w:hAnsi="仿宋_GB2312" w:cs="仿宋_GB2312"/>
                <w:b/>
                <w:bCs/>
                <w:sz w:val="24"/>
                <w:szCs w:val="24"/>
              </w:rPr>
            </w:pPr>
            <w:r w:rsidRPr="00FE09E8">
              <w:rPr>
                <w:rFonts w:ascii="仿宋_GB2312" w:hAnsi="仿宋_GB2312" w:cs="仿宋_GB2312" w:hint="eastAsia"/>
                <w:b/>
                <w:bCs/>
                <w:sz w:val="24"/>
                <w:szCs w:val="24"/>
              </w:rPr>
              <w:t>名称</w:t>
            </w:r>
          </w:p>
        </w:tc>
        <w:tc>
          <w:tcPr>
            <w:tcW w:w="4339" w:type="dxa"/>
            <w:shd w:val="clear" w:color="auto" w:fill="auto"/>
          </w:tcPr>
          <w:p w:rsidR="00C10776" w:rsidRPr="00FE09E8" w:rsidRDefault="00C10776" w:rsidP="00FE09E8">
            <w:pPr>
              <w:spacing w:line="360" w:lineRule="auto"/>
              <w:ind w:firstLineChars="150" w:firstLine="361"/>
              <w:rPr>
                <w:rFonts w:ascii="仿宋_GB2312" w:hAnsi="仿宋_GB2312" w:cs="仿宋_GB2312"/>
                <w:b/>
                <w:bCs/>
                <w:sz w:val="24"/>
                <w:szCs w:val="24"/>
              </w:rPr>
            </w:pPr>
            <w:r w:rsidRPr="00FE09E8">
              <w:rPr>
                <w:rFonts w:ascii="仿宋_GB2312" w:hAnsi="仿宋_GB2312" w:cs="仿宋_GB2312" w:hint="eastAsia"/>
                <w:b/>
                <w:bCs/>
                <w:sz w:val="24"/>
                <w:szCs w:val="24"/>
              </w:rPr>
              <w:t>具体</w:t>
            </w:r>
            <w:r w:rsidRPr="00FE09E8">
              <w:rPr>
                <w:rFonts w:ascii="仿宋_GB2312" w:hAnsi="仿宋_GB2312" w:cs="仿宋_GB2312"/>
                <w:b/>
                <w:bCs/>
                <w:sz w:val="24"/>
                <w:szCs w:val="24"/>
              </w:rPr>
              <w:t>描述</w:t>
            </w:r>
          </w:p>
        </w:tc>
        <w:tc>
          <w:tcPr>
            <w:tcW w:w="2429" w:type="dxa"/>
            <w:vMerge/>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p>
        </w:tc>
      </w:tr>
      <w:tr w:rsidR="00C10776" w:rsidTr="00C10776">
        <w:tc>
          <w:tcPr>
            <w:tcW w:w="1526"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 xml:space="preserve">1.工程知识 </w:t>
            </w:r>
          </w:p>
        </w:tc>
        <w:tc>
          <w:tcPr>
            <w:tcW w:w="992"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1.2</w:t>
            </w:r>
          </w:p>
        </w:tc>
        <w:tc>
          <w:tcPr>
            <w:tcW w:w="4339"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掌握相关工程基础知识，具备应用相关知识推演、分析建筑环境与能源应用工程专业复杂工程问题的专业基础能力；</w:t>
            </w:r>
          </w:p>
        </w:tc>
        <w:tc>
          <w:tcPr>
            <w:tcW w:w="2429"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bCs/>
                <w:sz w:val="24"/>
                <w:szCs w:val="24"/>
              </w:rPr>
              <w:t>1</w:t>
            </w:r>
            <w:r w:rsidRPr="00FE09E8">
              <w:rPr>
                <w:rFonts w:ascii="仿宋_GB2312" w:hAnsi="仿宋_GB2312" w:cs="仿宋_GB2312" w:hint="eastAsia"/>
                <w:bCs/>
                <w:sz w:val="24"/>
                <w:szCs w:val="24"/>
              </w:rPr>
              <w:t>、2、3、4、5、6、7、8</w:t>
            </w:r>
          </w:p>
        </w:tc>
      </w:tr>
      <w:tr w:rsidR="00C10776" w:rsidTr="00C10776">
        <w:tc>
          <w:tcPr>
            <w:tcW w:w="1526"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2.问题分析</w:t>
            </w:r>
          </w:p>
        </w:tc>
        <w:tc>
          <w:tcPr>
            <w:tcW w:w="992"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2.1</w:t>
            </w:r>
          </w:p>
        </w:tc>
        <w:tc>
          <w:tcPr>
            <w:tcW w:w="4339"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能够应用数学、自然科学的基本原理，正确识别和判断建筑环境与能源应用工程专业复杂工程问题；</w:t>
            </w:r>
          </w:p>
        </w:tc>
        <w:tc>
          <w:tcPr>
            <w:tcW w:w="2429"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2</w:t>
            </w:r>
          </w:p>
        </w:tc>
      </w:tr>
      <w:tr w:rsidR="00C10776" w:rsidTr="00C10776">
        <w:tc>
          <w:tcPr>
            <w:tcW w:w="1526" w:type="dxa"/>
            <w:vMerge w:val="restart"/>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 xml:space="preserve">3.设计/开发解决方案 </w:t>
            </w:r>
          </w:p>
        </w:tc>
        <w:tc>
          <w:tcPr>
            <w:tcW w:w="992"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3.1</w:t>
            </w:r>
          </w:p>
        </w:tc>
        <w:tc>
          <w:tcPr>
            <w:tcW w:w="4339"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能够针对特定需求，确定工程基本单元的设计目标或问题解决方案，并完成设计/开发工作；</w:t>
            </w:r>
          </w:p>
        </w:tc>
        <w:tc>
          <w:tcPr>
            <w:tcW w:w="2429" w:type="dxa"/>
            <w:vMerge w:val="restart"/>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5</w:t>
            </w:r>
          </w:p>
        </w:tc>
      </w:tr>
      <w:tr w:rsidR="00C10776" w:rsidTr="00C10776">
        <w:tc>
          <w:tcPr>
            <w:tcW w:w="1526" w:type="dxa"/>
            <w:vMerge/>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p>
        </w:tc>
        <w:tc>
          <w:tcPr>
            <w:tcW w:w="992"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3.3</w:t>
            </w:r>
          </w:p>
        </w:tc>
        <w:tc>
          <w:tcPr>
            <w:tcW w:w="4339"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在设计/开发工作中能够综合考虑社会、健康、安全、法律、文化以及环境等因素。</w:t>
            </w:r>
          </w:p>
        </w:tc>
        <w:tc>
          <w:tcPr>
            <w:tcW w:w="2429" w:type="dxa"/>
            <w:vMerge/>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p>
        </w:tc>
      </w:tr>
      <w:tr w:rsidR="00C10776" w:rsidTr="00C10776">
        <w:tc>
          <w:tcPr>
            <w:tcW w:w="1526"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 xml:space="preserve">6.工程与社会 </w:t>
            </w:r>
          </w:p>
        </w:tc>
        <w:tc>
          <w:tcPr>
            <w:tcW w:w="992"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6.2</w:t>
            </w:r>
          </w:p>
        </w:tc>
        <w:tc>
          <w:tcPr>
            <w:tcW w:w="4339"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能够分析并合理评价建筑环境与能源应用工程专业工程实践和复杂工程问题的解决方案对社会、健康、安全、法律以及文化的影响，以及这些制约因素对项目实施的影响，并理解建筑环境与能源应用工程师应承担的社会责任。</w:t>
            </w:r>
          </w:p>
        </w:tc>
        <w:tc>
          <w:tcPr>
            <w:tcW w:w="2429"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bCs/>
                <w:sz w:val="24"/>
                <w:szCs w:val="24"/>
              </w:rPr>
              <w:t>4</w:t>
            </w:r>
          </w:p>
        </w:tc>
      </w:tr>
      <w:tr w:rsidR="00C10776" w:rsidTr="00C10776">
        <w:tc>
          <w:tcPr>
            <w:tcW w:w="1526" w:type="dxa"/>
            <w:vMerge w:val="restart"/>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7.环境和可持续发展</w:t>
            </w:r>
          </w:p>
        </w:tc>
        <w:tc>
          <w:tcPr>
            <w:tcW w:w="992"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7.</w:t>
            </w:r>
            <w:r w:rsidRPr="00FE09E8">
              <w:rPr>
                <w:rFonts w:ascii="仿宋_GB2312" w:hAnsi="仿宋_GB2312" w:cs="仿宋_GB2312"/>
                <w:bCs/>
                <w:sz w:val="24"/>
                <w:szCs w:val="24"/>
              </w:rPr>
              <w:t>1</w:t>
            </w:r>
          </w:p>
        </w:tc>
        <w:tc>
          <w:tcPr>
            <w:tcW w:w="4339"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知晓和理解环境保护和可持续发展的理念和内涵；</w:t>
            </w:r>
          </w:p>
        </w:tc>
        <w:tc>
          <w:tcPr>
            <w:tcW w:w="2429"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bCs/>
                <w:sz w:val="24"/>
                <w:szCs w:val="24"/>
              </w:rPr>
              <w:t>1</w:t>
            </w:r>
            <w:r w:rsidRPr="00FE09E8">
              <w:rPr>
                <w:rFonts w:ascii="仿宋_GB2312" w:hAnsi="仿宋_GB2312" w:cs="仿宋_GB2312" w:hint="eastAsia"/>
                <w:bCs/>
                <w:sz w:val="24"/>
                <w:szCs w:val="24"/>
              </w:rPr>
              <w:t>、</w:t>
            </w:r>
            <w:r w:rsidRPr="00FE09E8">
              <w:rPr>
                <w:rFonts w:ascii="仿宋_GB2312" w:hAnsi="仿宋_GB2312" w:cs="仿宋_GB2312"/>
                <w:bCs/>
                <w:sz w:val="24"/>
                <w:szCs w:val="24"/>
              </w:rPr>
              <w:t>3</w:t>
            </w:r>
            <w:r w:rsidRPr="00FE09E8">
              <w:rPr>
                <w:rFonts w:ascii="仿宋_GB2312" w:hAnsi="仿宋_GB2312" w:cs="仿宋_GB2312" w:hint="eastAsia"/>
                <w:bCs/>
                <w:sz w:val="24"/>
                <w:szCs w:val="24"/>
              </w:rPr>
              <w:t>、4、6、7</w:t>
            </w:r>
          </w:p>
        </w:tc>
      </w:tr>
      <w:tr w:rsidR="00C10776" w:rsidTr="00C10776">
        <w:tc>
          <w:tcPr>
            <w:tcW w:w="1526" w:type="dxa"/>
            <w:vMerge/>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p>
        </w:tc>
        <w:tc>
          <w:tcPr>
            <w:tcW w:w="992"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7.2</w:t>
            </w:r>
          </w:p>
        </w:tc>
        <w:tc>
          <w:tcPr>
            <w:tcW w:w="4339"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hint="eastAsia"/>
                <w:bCs/>
                <w:sz w:val="24"/>
                <w:szCs w:val="24"/>
              </w:rPr>
              <w:t>能够从环境保护和社会可持续发展的角度思考建筑环境与能源应用工程专业工程实践的可持续性，评价其可能对人类和环境造成的损害和隐患，践行绿色环保理念。</w:t>
            </w:r>
          </w:p>
        </w:tc>
        <w:tc>
          <w:tcPr>
            <w:tcW w:w="2429" w:type="dxa"/>
            <w:shd w:val="clear" w:color="auto" w:fill="auto"/>
          </w:tcPr>
          <w:p w:rsidR="00C10776" w:rsidRPr="00FE09E8" w:rsidRDefault="00C10776" w:rsidP="00FE09E8">
            <w:pPr>
              <w:spacing w:line="360" w:lineRule="auto"/>
              <w:ind w:firstLineChars="150" w:firstLine="360"/>
              <w:rPr>
                <w:rFonts w:ascii="仿宋_GB2312" w:hAnsi="仿宋_GB2312" w:cs="仿宋_GB2312"/>
                <w:bCs/>
                <w:sz w:val="24"/>
                <w:szCs w:val="24"/>
              </w:rPr>
            </w:pPr>
            <w:r w:rsidRPr="00FE09E8">
              <w:rPr>
                <w:rFonts w:ascii="仿宋_GB2312" w:hAnsi="仿宋_GB2312" w:cs="仿宋_GB2312"/>
                <w:bCs/>
                <w:sz w:val="24"/>
                <w:szCs w:val="24"/>
              </w:rPr>
              <w:t>1</w:t>
            </w:r>
            <w:r w:rsidRPr="00FE09E8">
              <w:rPr>
                <w:rFonts w:ascii="仿宋_GB2312" w:hAnsi="仿宋_GB2312" w:cs="仿宋_GB2312" w:hint="eastAsia"/>
                <w:bCs/>
                <w:sz w:val="24"/>
                <w:szCs w:val="24"/>
              </w:rPr>
              <w:t>、</w:t>
            </w:r>
            <w:r w:rsidRPr="00FE09E8">
              <w:rPr>
                <w:rFonts w:ascii="仿宋_GB2312" w:hAnsi="仿宋_GB2312" w:cs="仿宋_GB2312"/>
                <w:bCs/>
                <w:sz w:val="24"/>
                <w:szCs w:val="24"/>
              </w:rPr>
              <w:t>3</w:t>
            </w:r>
            <w:r w:rsidRPr="00FE09E8">
              <w:rPr>
                <w:rFonts w:ascii="仿宋_GB2312" w:hAnsi="仿宋_GB2312" w:cs="仿宋_GB2312" w:hint="eastAsia"/>
                <w:bCs/>
                <w:sz w:val="24"/>
                <w:szCs w:val="24"/>
              </w:rPr>
              <w:t>、4、6、7</w:t>
            </w:r>
          </w:p>
        </w:tc>
      </w:tr>
    </w:tbl>
    <w:p w:rsidR="00C10776" w:rsidRDefault="00C10776" w:rsidP="00C10776">
      <w:pPr>
        <w:spacing w:line="560" w:lineRule="atLeast"/>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10776" w:rsidRDefault="00C10776" w:rsidP="00C10776">
      <w:pPr>
        <w:spacing w:line="560" w:lineRule="atLeast"/>
        <w:ind w:firstLineChars="200" w:firstLine="560"/>
        <w:jc w:val="left"/>
        <w:rPr>
          <w:rFonts w:ascii="仿宋_GB2312" w:hAnsi="仿宋_GB2312" w:cs="仿宋_GB2312"/>
          <w:sz w:val="28"/>
          <w:szCs w:val="28"/>
        </w:rPr>
      </w:pPr>
      <w:r>
        <w:rPr>
          <w:rFonts w:ascii="仿宋_GB2312" w:hAnsi="仿宋_GB2312" w:cs="仿宋_GB2312" w:hint="eastAsia"/>
          <w:sz w:val="28"/>
          <w:szCs w:val="28"/>
        </w:rPr>
        <w:t>课程</w:t>
      </w:r>
      <w:r>
        <w:rPr>
          <w:rFonts w:ascii="仿宋_GB2312" w:hAnsi="仿宋_GB2312" w:cs="仿宋_GB2312"/>
          <w:sz w:val="28"/>
          <w:szCs w:val="28"/>
        </w:rPr>
        <w:t>的</w:t>
      </w:r>
      <w:r>
        <w:rPr>
          <w:rFonts w:ascii="仿宋_GB2312" w:hAnsi="仿宋_GB2312" w:cs="仿宋_GB2312" w:hint="eastAsia"/>
          <w:sz w:val="28"/>
          <w:szCs w:val="28"/>
        </w:rPr>
        <w:t>重点</w:t>
      </w:r>
      <w:r>
        <w:rPr>
          <w:rFonts w:ascii="仿宋_GB2312" w:hAnsi="仿宋_GB2312" w:cs="仿宋_GB2312"/>
          <w:sz w:val="28"/>
          <w:szCs w:val="28"/>
        </w:rPr>
        <w:t>：建筑热湿</w:t>
      </w:r>
      <w:r>
        <w:rPr>
          <w:rFonts w:ascii="仿宋_GB2312" w:hAnsi="仿宋_GB2312" w:cs="仿宋_GB2312" w:hint="eastAsia"/>
          <w:sz w:val="28"/>
          <w:szCs w:val="28"/>
        </w:rPr>
        <w:t>环境</w:t>
      </w:r>
      <w:r>
        <w:rPr>
          <w:rFonts w:ascii="仿宋_GB2312" w:hAnsi="仿宋_GB2312" w:cs="仿宋_GB2312"/>
          <w:sz w:val="28"/>
          <w:szCs w:val="28"/>
        </w:rPr>
        <w:t>；人体对热湿</w:t>
      </w:r>
      <w:r>
        <w:rPr>
          <w:rFonts w:ascii="仿宋_GB2312" w:hAnsi="仿宋_GB2312" w:cs="仿宋_GB2312" w:hint="eastAsia"/>
          <w:sz w:val="28"/>
          <w:szCs w:val="28"/>
        </w:rPr>
        <w:t>环境</w:t>
      </w:r>
      <w:r>
        <w:rPr>
          <w:rFonts w:ascii="仿宋_GB2312" w:hAnsi="仿宋_GB2312" w:cs="仿宋_GB2312"/>
          <w:sz w:val="28"/>
          <w:szCs w:val="28"/>
        </w:rPr>
        <w:t>的反应；室内空气质量；</w:t>
      </w:r>
      <w:r>
        <w:rPr>
          <w:rFonts w:ascii="仿宋_GB2312" w:hAnsi="仿宋_GB2312" w:cs="仿宋_GB2312" w:hint="eastAsia"/>
          <w:sz w:val="28"/>
          <w:szCs w:val="28"/>
        </w:rPr>
        <w:t>室</w:t>
      </w:r>
      <w:r>
        <w:rPr>
          <w:rFonts w:ascii="仿宋_GB2312" w:hAnsi="仿宋_GB2312" w:cs="仿宋_GB2312"/>
          <w:sz w:val="28"/>
          <w:szCs w:val="28"/>
        </w:rPr>
        <w:t>内空气环境营造的理论基础</w:t>
      </w:r>
    </w:p>
    <w:p w:rsidR="00C10776" w:rsidRDefault="00C10776" w:rsidP="00C10776">
      <w:pPr>
        <w:spacing w:line="560" w:lineRule="atLeast"/>
        <w:ind w:firstLineChars="200" w:firstLine="560"/>
        <w:jc w:val="left"/>
        <w:rPr>
          <w:rFonts w:ascii="仿宋_GB2312" w:hAnsi="仿宋_GB2312" w:cs="仿宋_GB2312"/>
          <w:sz w:val="28"/>
          <w:szCs w:val="28"/>
        </w:rPr>
      </w:pPr>
      <w:r>
        <w:rPr>
          <w:rFonts w:ascii="仿宋_GB2312" w:hAnsi="仿宋_GB2312" w:cs="仿宋_GB2312" w:hint="eastAsia"/>
          <w:sz w:val="28"/>
          <w:szCs w:val="28"/>
        </w:rPr>
        <w:t>课程</w:t>
      </w:r>
      <w:r>
        <w:rPr>
          <w:rFonts w:ascii="仿宋_GB2312" w:hAnsi="仿宋_GB2312" w:cs="仿宋_GB2312"/>
          <w:sz w:val="28"/>
          <w:szCs w:val="28"/>
        </w:rPr>
        <w:t>的难点：建筑</w:t>
      </w:r>
      <w:r>
        <w:rPr>
          <w:rFonts w:ascii="仿宋_GB2312" w:hAnsi="仿宋_GB2312" w:cs="仿宋_GB2312" w:hint="eastAsia"/>
          <w:sz w:val="28"/>
          <w:szCs w:val="28"/>
        </w:rPr>
        <w:t>热</w:t>
      </w:r>
      <w:r>
        <w:rPr>
          <w:rFonts w:ascii="仿宋_GB2312" w:hAnsi="仿宋_GB2312" w:cs="仿宋_GB2312"/>
          <w:sz w:val="28"/>
          <w:szCs w:val="28"/>
        </w:rPr>
        <w:t>湿环境形成机理、</w:t>
      </w:r>
      <w:r>
        <w:rPr>
          <w:rFonts w:ascii="仿宋_GB2312" w:hAnsi="仿宋_GB2312" w:cs="仿宋_GB2312" w:hint="eastAsia"/>
          <w:sz w:val="28"/>
          <w:szCs w:val="28"/>
        </w:rPr>
        <w:t>负荷形成理论</w:t>
      </w:r>
      <w:r>
        <w:rPr>
          <w:rFonts w:ascii="仿宋_GB2312" w:hAnsi="仿宋_GB2312" w:cs="仿宋_GB2312"/>
          <w:sz w:val="28"/>
          <w:szCs w:val="28"/>
        </w:rPr>
        <w:t>及计算、</w:t>
      </w:r>
      <w:r>
        <w:rPr>
          <w:rFonts w:ascii="仿宋_GB2312" w:hAnsi="仿宋_GB2312" w:cs="仿宋_GB2312" w:hint="eastAsia"/>
          <w:sz w:val="28"/>
          <w:szCs w:val="28"/>
        </w:rPr>
        <w:t>人体</w:t>
      </w:r>
      <w:r>
        <w:rPr>
          <w:rFonts w:ascii="仿宋_GB2312" w:hAnsi="仿宋_GB2312" w:cs="仿宋_GB2312"/>
          <w:sz w:val="28"/>
          <w:szCs w:val="28"/>
        </w:rPr>
        <w:t>体温调节系统</w:t>
      </w:r>
    </w:p>
    <w:p w:rsidR="00C10776" w:rsidRDefault="00C10776" w:rsidP="00C10776">
      <w:pPr>
        <w:spacing w:line="560" w:lineRule="atLeas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10776" w:rsidRDefault="00C10776" w:rsidP="00C10776">
      <w:pPr>
        <w:spacing w:line="560" w:lineRule="atLeast"/>
        <w:ind w:firstLineChars="200" w:firstLine="560"/>
        <w:jc w:val="left"/>
        <w:rPr>
          <w:rFonts w:ascii="仿宋_GB2312" w:hAnsi="仿宋_GB2312" w:cs="仿宋_GB2312"/>
          <w:sz w:val="28"/>
          <w:szCs w:val="28"/>
        </w:rPr>
      </w:pPr>
      <w:r>
        <w:rPr>
          <w:rFonts w:ascii="仿宋_GB2312" w:hAnsi="仿宋_GB2312" w:cs="仿宋_GB2312" w:hint="eastAsia"/>
          <w:sz w:val="28"/>
          <w:szCs w:val="28"/>
        </w:rPr>
        <w:t>课程</w:t>
      </w:r>
      <w:r>
        <w:rPr>
          <w:rFonts w:ascii="仿宋_GB2312" w:hAnsi="仿宋_GB2312" w:cs="仿宋_GB2312"/>
          <w:sz w:val="28"/>
          <w:szCs w:val="28"/>
        </w:rPr>
        <w:t>思政设计以</w:t>
      </w:r>
      <w:r>
        <w:rPr>
          <w:rFonts w:ascii="仿宋_GB2312" w:hAnsi="仿宋_GB2312" w:cs="仿宋_GB2312" w:hint="eastAsia"/>
          <w:sz w:val="28"/>
          <w:szCs w:val="28"/>
        </w:rPr>
        <w:t>“健康</w:t>
      </w:r>
      <w:r>
        <w:rPr>
          <w:rFonts w:ascii="仿宋_GB2312" w:hAnsi="仿宋_GB2312" w:cs="仿宋_GB2312"/>
          <w:sz w:val="28"/>
          <w:szCs w:val="28"/>
        </w:rPr>
        <w:t>、环保</w:t>
      </w:r>
      <w:r>
        <w:rPr>
          <w:rFonts w:ascii="仿宋_GB2312" w:hAnsi="仿宋_GB2312" w:cs="仿宋_GB2312" w:hint="eastAsia"/>
          <w:sz w:val="28"/>
          <w:szCs w:val="28"/>
        </w:rPr>
        <w:t>”为</w:t>
      </w:r>
      <w:r>
        <w:rPr>
          <w:rFonts w:ascii="仿宋_GB2312" w:hAnsi="仿宋_GB2312" w:cs="仿宋_GB2312"/>
          <w:sz w:val="28"/>
          <w:szCs w:val="28"/>
        </w:rPr>
        <w:t>特色，</w:t>
      </w:r>
      <w:r>
        <w:rPr>
          <w:rFonts w:ascii="仿宋_GB2312" w:hAnsi="仿宋_GB2312" w:cs="仿宋_GB2312" w:hint="eastAsia"/>
          <w:sz w:val="28"/>
          <w:szCs w:val="28"/>
        </w:rPr>
        <w:t>在专业课教育中融入节能环保、健康环境</w:t>
      </w:r>
      <w:r>
        <w:rPr>
          <w:rFonts w:ascii="仿宋_GB2312" w:hAnsi="仿宋_GB2312" w:cs="仿宋_GB2312"/>
          <w:sz w:val="28"/>
          <w:szCs w:val="28"/>
        </w:rPr>
        <w:t>教育，结合当今</w:t>
      </w:r>
      <w:r>
        <w:rPr>
          <w:rFonts w:ascii="仿宋_GB2312" w:hAnsi="仿宋_GB2312" w:cs="仿宋_GB2312" w:hint="eastAsia"/>
          <w:sz w:val="28"/>
          <w:szCs w:val="28"/>
        </w:rPr>
        <w:t>大气</w:t>
      </w:r>
      <w:r>
        <w:rPr>
          <w:rFonts w:ascii="仿宋_GB2312" w:hAnsi="仿宋_GB2312" w:cs="仿宋_GB2312"/>
          <w:sz w:val="28"/>
          <w:szCs w:val="28"/>
        </w:rPr>
        <w:t>污染、新冠</w:t>
      </w:r>
      <w:r>
        <w:rPr>
          <w:rFonts w:ascii="仿宋_GB2312" w:hAnsi="仿宋_GB2312" w:cs="仿宋_GB2312" w:hint="eastAsia"/>
          <w:sz w:val="28"/>
          <w:szCs w:val="28"/>
        </w:rPr>
        <w:t>疫情</w:t>
      </w:r>
      <w:r>
        <w:rPr>
          <w:rFonts w:ascii="仿宋_GB2312" w:hAnsi="仿宋_GB2312" w:cs="仿宋_GB2312"/>
          <w:sz w:val="28"/>
          <w:szCs w:val="28"/>
        </w:rPr>
        <w:t>的</w:t>
      </w:r>
      <w:r>
        <w:rPr>
          <w:rFonts w:ascii="仿宋_GB2312" w:hAnsi="仿宋_GB2312" w:cs="仿宋_GB2312" w:hint="eastAsia"/>
          <w:sz w:val="28"/>
          <w:szCs w:val="28"/>
        </w:rPr>
        <w:t>社会</w:t>
      </w:r>
      <w:r>
        <w:rPr>
          <w:rFonts w:ascii="仿宋_GB2312" w:hAnsi="仿宋_GB2312" w:cs="仿宋_GB2312"/>
          <w:sz w:val="28"/>
          <w:szCs w:val="28"/>
        </w:rPr>
        <w:t>背</w:t>
      </w:r>
      <w:r>
        <w:rPr>
          <w:rFonts w:ascii="仿宋_GB2312" w:hAnsi="仿宋_GB2312" w:cs="仿宋_GB2312"/>
          <w:sz w:val="28"/>
          <w:szCs w:val="28"/>
        </w:rPr>
        <w:lastRenderedPageBreak/>
        <w:t>景</w:t>
      </w:r>
      <w:r>
        <w:rPr>
          <w:rFonts w:ascii="仿宋_GB2312" w:hAnsi="仿宋_GB2312" w:cs="仿宋_GB2312" w:hint="eastAsia"/>
          <w:sz w:val="28"/>
          <w:szCs w:val="28"/>
        </w:rPr>
        <w:t>讲述</w:t>
      </w:r>
      <w:r>
        <w:rPr>
          <w:rFonts w:ascii="仿宋_GB2312" w:hAnsi="仿宋_GB2312" w:cs="仿宋_GB2312"/>
          <w:sz w:val="28"/>
          <w:szCs w:val="28"/>
        </w:rPr>
        <w:t>对</w:t>
      </w:r>
      <w:r>
        <w:rPr>
          <w:rFonts w:ascii="仿宋_GB2312" w:hAnsi="仿宋_GB2312" w:cs="仿宋_GB2312" w:hint="eastAsia"/>
          <w:sz w:val="28"/>
          <w:szCs w:val="28"/>
        </w:rPr>
        <w:t>建筑</w:t>
      </w:r>
      <w:r>
        <w:rPr>
          <w:rFonts w:ascii="仿宋_GB2312" w:hAnsi="仿宋_GB2312" w:cs="仿宋_GB2312"/>
          <w:sz w:val="28"/>
          <w:szCs w:val="28"/>
        </w:rPr>
        <w:t>环境营造的</w:t>
      </w:r>
      <w:r>
        <w:rPr>
          <w:rFonts w:ascii="仿宋_GB2312" w:hAnsi="仿宋_GB2312" w:cs="仿宋_GB2312" w:hint="eastAsia"/>
          <w:sz w:val="28"/>
          <w:szCs w:val="28"/>
        </w:rPr>
        <w:t>需求</w:t>
      </w:r>
      <w:r>
        <w:rPr>
          <w:rFonts w:ascii="仿宋_GB2312" w:hAnsi="仿宋_GB2312" w:cs="仿宋_GB2312"/>
          <w:sz w:val="28"/>
          <w:szCs w:val="28"/>
        </w:rPr>
        <w:t>、任务与手段，</w:t>
      </w:r>
      <w:r>
        <w:rPr>
          <w:rFonts w:ascii="仿宋_GB2312" w:hAnsi="仿宋_GB2312" w:cs="仿宋_GB2312" w:hint="eastAsia"/>
          <w:sz w:val="28"/>
          <w:szCs w:val="28"/>
        </w:rPr>
        <w:t>增强学生</w:t>
      </w:r>
      <w:r>
        <w:rPr>
          <w:rFonts w:ascii="仿宋_GB2312" w:hAnsi="仿宋_GB2312" w:cs="仿宋_GB2312"/>
          <w:sz w:val="28"/>
          <w:szCs w:val="28"/>
        </w:rPr>
        <w:t>的</w:t>
      </w:r>
      <w:r>
        <w:rPr>
          <w:rFonts w:ascii="仿宋_GB2312" w:hAnsi="仿宋_GB2312" w:cs="仿宋_GB2312" w:hint="eastAsia"/>
          <w:sz w:val="28"/>
          <w:szCs w:val="28"/>
        </w:rPr>
        <w:t>学习动力和社会责任感。</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C10776" w:rsidTr="00C10776">
        <w:trPr>
          <w:cantSplit/>
          <w:trHeight w:val="785"/>
        </w:trPr>
        <w:tc>
          <w:tcPr>
            <w:tcW w:w="51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序号</w:t>
            </w:r>
          </w:p>
        </w:tc>
        <w:tc>
          <w:tcPr>
            <w:tcW w:w="210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C10776" w:rsidTr="00C10776">
        <w:trPr>
          <w:trHeight w:val="428"/>
        </w:trPr>
        <w:tc>
          <w:tcPr>
            <w:tcW w:w="51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第一章</w:t>
            </w:r>
            <w:r>
              <w:rPr>
                <w:rFonts w:ascii="Times New Roman" w:hAnsi="Times New Roman" w:hint="eastAsia"/>
                <w:kern w:val="0"/>
                <w:sz w:val="20"/>
                <w:szCs w:val="20"/>
              </w:rPr>
              <w:t xml:space="preserve"> </w:t>
            </w:r>
            <w:r>
              <w:rPr>
                <w:rFonts w:ascii="Times New Roman" w:hAnsi="Times New Roman" w:hint="eastAsia"/>
                <w:kern w:val="0"/>
                <w:sz w:val="20"/>
                <w:szCs w:val="20"/>
              </w:rPr>
              <w:t>绪论</w:t>
            </w:r>
          </w:p>
        </w:tc>
        <w:tc>
          <w:tcPr>
            <w:tcW w:w="727" w:type="dxa"/>
            <w:vAlign w:val="center"/>
          </w:tcPr>
          <w:p w:rsidR="00C10776" w:rsidRDefault="00C10776" w:rsidP="00C10776">
            <w:pPr>
              <w:jc w:val="center"/>
              <w:rPr>
                <w:rFonts w:ascii="Times New Roman" w:hAnsi="Times New Roman"/>
                <w:kern w:val="0"/>
                <w:sz w:val="20"/>
                <w:szCs w:val="20"/>
              </w:rPr>
            </w:pPr>
            <w:r>
              <w:rPr>
                <w:rFonts w:ascii="Times New Roman" w:hAnsi="Times New Roman"/>
                <w:kern w:val="0"/>
                <w:sz w:val="20"/>
                <w:szCs w:val="20"/>
              </w:rPr>
              <w:t>2</w:t>
            </w:r>
          </w:p>
        </w:tc>
        <w:tc>
          <w:tcPr>
            <w:tcW w:w="3059" w:type="dxa"/>
            <w:vAlign w:val="center"/>
          </w:tcPr>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绪论</w:t>
            </w:r>
          </w:p>
        </w:tc>
        <w:tc>
          <w:tcPr>
            <w:tcW w:w="2755" w:type="dxa"/>
            <w:vAlign w:val="center"/>
          </w:tcPr>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理解建筑环境学的作用与地位；了解建筑环境学的主要研究内容。</w:t>
            </w:r>
          </w:p>
        </w:tc>
      </w:tr>
      <w:tr w:rsidR="00C10776" w:rsidTr="00C10776">
        <w:trPr>
          <w:trHeight w:val="519"/>
        </w:trPr>
        <w:tc>
          <w:tcPr>
            <w:tcW w:w="51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第二章</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建筑外环境</w:t>
            </w:r>
          </w:p>
        </w:tc>
        <w:tc>
          <w:tcPr>
            <w:tcW w:w="727" w:type="dxa"/>
            <w:vAlign w:val="center"/>
          </w:tcPr>
          <w:p w:rsidR="00C10776" w:rsidRDefault="00C10776" w:rsidP="00C10776">
            <w:pPr>
              <w:jc w:val="center"/>
              <w:rPr>
                <w:rFonts w:ascii="Times New Roman" w:hAnsi="Times New Roman"/>
                <w:kern w:val="0"/>
                <w:sz w:val="20"/>
                <w:szCs w:val="20"/>
              </w:rPr>
            </w:pPr>
            <w:r>
              <w:rPr>
                <w:rFonts w:ascii="Times New Roman" w:hAnsi="Times New Roman"/>
                <w:kern w:val="0"/>
                <w:sz w:val="20"/>
                <w:szCs w:val="20"/>
              </w:rPr>
              <w:t>4</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地球绕日运动的规律</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太阳辐射</w:t>
            </w:r>
          </w:p>
          <w:p w:rsidR="00C10776" w:rsidRDefault="00C10776" w:rsidP="00C10776">
            <w:pPr>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室外气候</w:t>
            </w:r>
          </w:p>
          <w:p w:rsidR="00C10776" w:rsidRDefault="00C10776" w:rsidP="00C10776">
            <w:pPr>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城市微气候</w:t>
            </w:r>
          </w:p>
          <w:p w:rsidR="00C10776" w:rsidRDefault="00C10776" w:rsidP="00C10776">
            <w:pPr>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我国气候分区特点</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理解地球绕日运动的规律。</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掌握太阳辐射的基本理论；了解建筑物与日照的关系。</w:t>
            </w:r>
          </w:p>
          <w:p w:rsidR="00C10776" w:rsidRDefault="00C10776" w:rsidP="00C10776">
            <w:pPr>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理解室外气候规律。</w:t>
            </w:r>
          </w:p>
          <w:p w:rsidR="00C10776" w:rsidRDefault="00C10776" w:rsidP="00C10776">
            <w:pPr>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了解城市微气候形成原理。</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5</w:t>
            </w:r>
            <w:r>
              <w:rPr>
                <w:rFonts w:ascii="Times New Roman" w:hAnsi="Times New Roman"/>
                <w:kern w:val="0"/>
                <w:sz w:val="20"/>
                <w:szCs w:val="20"/>
              </w:rPr>
              <w:t>掌握我国气候分区方法。</w:t>
            </w:r>
          </w:p>
        </w:tc>
      </w:tr>
      <w:tr w:rsidR="00C10776" w:rsidTr="00C10776">
        <w:trPr>
          <w:trHeight w:val="555"/>
        </w:trPr>
        <w:tc>
          <w:tcPr>
            <w:tcW w:w="51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第三章</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建筑热湿环境</w:t>
            </w:r>
          </w:p>
        </w:tc>
        <w:tc>
          <w:tcPr>
            <w:tcW w:w="727"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kern w:val="0"/>
                <w:sz w:val="20"/>
                <w:szCs w:val="20"/>
              </w:rPr>
              <w:t>8</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太阳辐射对建筑物的热作用</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建筑围护结构的热湿润传递</w:t>
            </w:r>
          </w:p>
          <w:p w:rsidR="00C10776" w:rsidRDefault="00C10776" w:rsidP="00C10776">
            <w:pPr>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以其它形式进入室内的热量和湿量</w:t>
            </w:r>
          </w:p>
          <w:p w:rsidR="00C10776" w:rsidRDefault="00C10776" w:rsidP="00C10776">
            <w:pPr>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冷负荷与热负荷</w:t>
            </w:r>
          </w:p>
          <w:p w:rsidR="00C10776" w:rsidRDefault="00C10776" w:rsidP="00C10776">
            <w:pPr>
              <w:rPr>
                <w:rFonts w:ascii="Times New Roman" w:hAnsi="Times New Roman"/>
                <w:kern w:val="0"/>
                <w:sz w:val="20"/>
                <w:szCs w:val="20"/>
              </w:rPr>
            </w:pPr>
            <w:r>
              <w:rPr>
                <w:rFonts w:ascii="Times New Roman" w:hAnsi="Times New Roman"/>
                <w:kern w:val="0"/>
                <w:sz w:val="20"/>
                <w:szCs w:val="20"/>
              </w:rPr>
              <w:t>5</w:t>
            </w:r>
            <w:r>
              <w:rPr>
                <w:rFonts w:ascii="Times New Roman" w:hAnsi="Times New Roman"/>
                <w:kern w:val="0"/>
                <w:sz w:val="20"/>
                <w:szCs w:val="20"/>
              </w:rPr>
              <w:t>典型负荷计算原理介绍</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掌握太阳辐射对建筑物的热作用原理。</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掌握围护结构在内外扰作用下的热过程及特点，及各种的热的数学描述。</w:t>
            </w:r>
          </w:p>
          <w:p w:rsidR="00C10776" w:rsidRDefault="00C10776" w:rsidP="00C10776">
            <w:pPr>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了解室内产热产湿及因空气渗透带来的热量湿量特点。</w:t>
            </w:r>
          </w:p>
          <w:p w:rsidR="00C10776" w:rsidRDefault="00C10776" w:rsidP="00C10776">
            <w:pPr>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掌握冷热负荷的概念，理解其数学表达方法；了解典型负荷计算方法。</w:t>
            </w:r>
          </w:p>
        </w:tc>
      </w:tr>
      <w:tr w:rsidR="00C10776" w:rsidTr="00C10776">
        <w:trPr>
          <w:trHeight w:val="548"/>
        </w:trPr>
        <w:tc>
          <w:tcPr>
            <w:tcW w:w="512"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hint="eastAsia"/>
                <w:kern w:val="0"/>
                <w:sz w:val="20"/>
                <w:szCs w:val="20"/>
              </w:rPr>
              <w:t>4</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第四章</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人体对热湿环境的反应</w:t>
            </w:r>
          </w:p>
        </w:tc>
        <w:tc>
          <w:tcPr>
            <w:tcW w:w="727"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kern w:val="0"/>
                <w:sz w:val="20"/>
                <w:szCs w:val="20"/>
              </w:rPr>
              <w:t>6</w:t>
            </w:r>
          </w:p>
        </w:tc>
        <w:tc>
          <w:tcPr>
            <w:tcW w:w="3059" w:type="dxa"/>
            <w:vAlign w:val="center"/>
          </w:tcPr>
          <w:p w:rsidR="00C10776" w:rsidRDefault="00C10776" w:rsidP="00C10776">
            <w:pPr>
              <w:jc w:val="left"/>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人体对热湿环境反应的生理学和心理学基础</w:t>
            </w:r>
          </w:p>
          <w:p w:rsidR="00C10776" w:rsidRDefault="00C10776" w:rsidP="00C10776">
            <w:pPr>
              <w:jc w:val="left"/>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人体对稳态热环境的反应描述</w:t>
            </w:r>
          </w:p>
          <w:p w:rsidR="00C10776" w:rsidRDefault="00C10776" w:rsidP="00C10776">
            <w:pPr>
              <w:jc w:val="left"/>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人体对动态热环境的反应</w:t>
            </w:r>
          </w:p>
          <w:p w:rsidR="00C10776" w:rsidRDefault="00C10776" w:rsidP="00C10776">
            <w:pPr>
              <w:jc w:val="left"/>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其它热湿环境的物理度量</w:t>
            </w:r>
          </w:p>
          <w:p w:rsidR="00C10776" w:rsidRDefault="00C10776" w:rsidP="00C10776">
            <w:pPr>
              <w:jc w:val="left"/>
              <w:rPr>
                <w:rFonts w:ascii="Times New Roman" w:hAnsi="Times New Roman"/>
                <w:kern w:val="0"/>
                <w:sz w:val="20"/>
                <w:szCs w:val="20"/>
              </w:rPr>
            </w:pPr>
            <w:r>
              <w:rPr>
                <w:rFonts w:ascii="Times New Roman" w:hAnsi="Times New Roman"/>
                <w:kern w:val="0"/>
                <w:sz w:val="20"/>
                <w:szCs w:val="20"/>
              </w:rPr>
              <w:t>5</w:t>
            </w:r>
            <w:r>
              <w:rPr>
                <w:rFonts w:ascii="Times New Roman" w:hAnsi="Times New Roman"/>
                <w:kern w:val="0"/>
                <w:sz w:val="20"/>
                <w:szCs w:val="20"/>
              </w:rPr>
              <w:t>热效率与劳动效率</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了解人对热湿环境的生理学和心理学基础；掌握人体生理热反应数学模型、人体热舒适方程。</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掌握人体对稳态热环境的反应及对热环境的评价方法；</w:t>
            </w:r>
            <w:r>
              <w:rPr>
                <w:rFonts w:ascii="Times New Roman" w:hAnsi="Times New Roman"/>
                <w:kern w:val="0"/>
                <w:sz w:val="20"/>
                <w:szCs w:val="20"/>
              </w:rPr>
              <w:t xml:space="preserve"> </w:t>
            </w:r>
            <w:r>
              <w:rPr>
                <w:rFonts w:ascii="Times New Roman" w:hAnsi="Times New Roman"/>
                <w:kern w:val="0"/>
                <w:sz w:val="20"/>
                <w:szCs w:val="20"/>
              </w:rPr>
              <w:t>了解人体对动态热环境的反应。</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了解适用于过冷及过热环境中的热环境评价指标；了解热环境水平与人体劳动效率的关系。</w:t>
            </w:r>
          </w:p>
        </w:tc>
      </w:tr>
      <w:tr w:rsidR="00C10776" w:rsidTr="00C10776">
        <w:trPr>
          <w:trHeight w:val="548"/>
        </w:trPr>
        <w:tc>
          <w:tcPr>
            <w:tcW w:w="512"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kern w:val="0"/>
                <w:sz w:val="20"/>
                <w:szCs w:val="20"/>
              </w:rPr>
              <w:t>5</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第五章</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室内空气品质</w:t>
            </w:r>
          </w:p>
        </w:tc>
        <w:tc>
          <w:tcPr>
            <w:tcW w:w="727"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kern w:val="0"/>
                <w:sz w:val="20"/>
                <w:szCs w:val="20"/>
              </w:rPr>
              <w:t>6</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室内空气品质简介</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影响室内空气品质的污染源和污染途径</w:t>
            </w:r>
          </w:p>
          <w:p w:rsidR="00C10776" w:rsidRDefault="00C10776" w:rsidP="00C10776">
            <w:pPr>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室内空气品质对人的影响及其</w:t>
            </w:r>
            <w:r>
              <w:rPr>
                <w:rFonts w:ascii="Times New Roman" w:hAnsi="Times New Roman"/>
                <w:kern w:val="0"/>
                <w:sz w:val="20"/>
                <w:szCs w:val="20"/>
              </w:rPr>
              <w:lastRenderedPageBreak/>
              <w:t>评价方法</w:t>
            </w:r>
          </w:p>
          <w:p w:rsidR="00C10776" w:rsidRDefault="00C10776" w:rsidP="00C10776">
            <w:pPr>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室内空气品质标准</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5</w:t>
            </w:r>
            <w:r>
              <w:rPr>
                <w:rFonts w:ascii="Times New Roman" w:hAnsi="Times New Roman"/>
                <w:kern w:val="0"/>
                <w:sz w:val="20"/>
                <w:szCs w:val="20"/>
              </w:rPr>
              <w:t>室内空气污染控制方法</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lastRenderedPageBreak/>
              <w:t>1</w:t>
            </w:r>
            <w:r>
              <w:rPr>
                <w:rFonts w:ascii="Times New Roman" w:hAnsi="Times New Roman"/>
                <w:kern w:val="0"/>
                <w:sz w:val="20"/>
                <w:szCs w:val="20"/>
              </w:rPr>
              <w:t>了解空气污染的主要问题；掌握空气污染的主要污染物种类和性质。</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了解室内空气品质对人的舒</w:t>
            </w:r>
            <w:r>
              <w:rPr>
                <w:rFonts w:ascii="Times New Roman" w:hAnsi="Times New Roman"/>
                <w:kern w:val="0"/>
                <w:sz w:val="20"/>
                <w:szCs w:val="20"/>
              </w:rPr>
              <w:lastRenderedPageBreak/>
              <w:t>适性及健康的影响；掌握评价方法；熟悉国内室内空气品质标准。</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掌握室内空气污染控制的基本途径。</w:t>
            </w:r>
          </w:p>
        </w:tc>
      </w:tr>
      <w:tr w:rsidR="00C10776" w:rsidTr="00C10776">
        <w:trPr>
          <w:trHeight w:val="548"/>
        </w:trPr>
        <w:tc>
          <w:tcPr>
            <w:tcW w:w="512"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kern w:val="0"/>
                <w:sz w:val="20"/>
                <w:szCs w:val="20"/>
              </w:rPr>
              <w:lastRenderedPageBreak/>
              <w:t>6</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第六章</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室内空气环境营造的理论基础</w:t>
            </w:r>
          </w:p>
        </w:tc>
        <w:tc>
          <w:tcPr>
            <w:tcW w:w="727"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kern w:val="0"/>
                <w:sz w:val="20"/>
                <w:szCs w:val="20"/>
              </w:rPr>
              <w:t>6</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室内空气环境营造方法概述</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自然通风</w:t>
            </w:r>
          </w:p>
          <w:p w:rsidR="00C10776" w:rsidRDefault="00C10776" w:rsidP="00C10776">
            <w:pPr>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稀释法与置换法</w:t>
            </w:r>
          </w:p>
          <w:p w:rsidR="00C10776" w:rsidRDefault="00C10776" w:rsidP="00C10776">
            <w:pPr>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局部保障法</w:t>
            </w:r>
          </w:p>
          <w:p w:rsidR="00C10776" w:rsidRDefault="00C10776" w:rsidP="00C10776">
            <w:pPr>
              <w:rPr>
                <w:rFonts w:ascii="Times New Roman" w:hAnsi="Times New Roman"/>
                <w:kern w:val="0"/>
                <w:sz w:val="20"/>
                <w:szCs w:val="20"/>
              </w:rPr>
            </w:pPr>
            <w:r>
              <w:rPr>
                <w:rFonts w:ascii="Times New Roman" w:hAnsi="Times New Roman"/>
                <w:kern w:val="0"/>
                <w:sz w:val="20"/>
                <w:szCs w:val="20"/>
              </w:rPr>
              <w:t>5</w:t>
            </w:r>
            <w:r>
              <w:rPr>
                <w:rFonts w:ascii="Times New Roman" w:hAnsi="Times New Roman"/>
                <w:kern w:val="0"/>
                <w:sz w:val="20"/>
                <w:szCs w:val="20"/>
              </w:rPr>
              <w:t>室内空气环境的评价指标</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6</w:t>
            </w:r>
            <w:r>
              <w:rPr>
                <w:rFonts w:ascii="Times New Roman" w:hAnsi="Times New Roman"/>
                <w:kern w:val="0"/>
                <w:sz w:val="20"/>
                <w:szCs w:val="20"/>
              </w:rPr>
              <w:t>主要评价指标的测量方法</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掌握自然通风的原理；了解常见的自然通风形式。</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掌握稀释原理；理解稀释方程；了解稀释法常见送回风形式；掌握置换通风原理。</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掌握主要的室内空气品质评价指标；了解其测量方法。</w:t>
            </w:r>
          </w:p>
        </w:tc>
      </w:tr>
      <w:tr w:rsidR="00C10776" w:rsidTr="00C10776">
        <w:trPr>
          <w:trHeight w:val="548"/>
        </w:trPr>
        <w:tc>
          <w:tcPr>
            <w:tcW w:w="512"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kern w:val="0"/>
                <w:sz w:val="20"/>
                <w:szCs w:val="20"/>
              </w:rPr>
              <w:t>7</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第七章</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建筑声环境</w:t>
            </w:r>
          </w:p>
        </w:tc>
        <w:tc>
          <w:tcPr>
            <w:tcW w:w="727"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kern w:val="0"/>
                <w:sz w:val="20"/>
                <w:szCs w:val="20"/>
              </w:rPr>
              <w:t>4</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建筑声环境的基本知识</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人体对声音环境的反应原理与噪声评价</w:t>
            </w:r>
          </w:p>
          <w:p w:rsidR="00C10776" w:rsidRDefault="00C10776" w:rsidP="00C10776">
            <w:pPr>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声音传播与衰减的原理</w:t>
            </w:r>
          </w:p>
          <w:p w:rsidR="00C10776" w:rsidRDefault="00C10776" w:rsidP="00C10776">
            <w:pPr>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材料与结构的声学性能</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5</w:t>
            </w:r>
            <w:r>
              <w:rPr>
                <w:rFonts w:ascii="Times New Roman" w:hAnsi="Times New Roman"/>
                <w:kern w:val="0"/>
                <w:sz w:val="20"/>
                <w:szCs w:val="20"/>
              </w:rPr>
              <w:t>噪声的控制与治理方法</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理解声音的度量的方法；掌握人体对声音的反应及相应基本概念。</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掌握噪声的控制原理；了解噪声的基本控制方法。</w:t>
            </w:r>
          </w:p>
        </w:tc>
      </w:tr>
      <w:tr w:rsidR="00C10776" w:rsidTr="00C10776">
        <w:trPr>
          <w:trHeight w:val="548"/>
        </w:trPr>
        <w:tc>
          <w:tcPr>
            <w:tcW w:w="512" w:type="dxa"/>
            <w:vAlign w:val="center"/>
          </w:tcPr>
          <w:p w:rsidR="00C10776" w:rsidRDefault="00C10776" w:rsidP="00C10776">
            <w:pPr>
              <w:jc w:val="center"/>
              <w:rPr>
                <w:rFonts w:ascii="Times New Roman" w:hAnsi="Times New Roman"/>
                <w:kern w:val="0"/>
                <w:sz w:val="20"/>
                <w:szCs w:val="20"/>
              </w:rPr>
            </w:pPr>
            <w:r>
              <w:rPr>
                <w:rFonts w:ascii="Times New Roman" w:hAnsi="Times New Roman"/>
                <w:kern w:val="0"/>
                <w:sz w:val="20"/>
                <w:szCs w:val="20"/>
              </w:rPr>
              <w:t>8</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第八章</w:t>
            </w:r>
          </w:p>
          <w:p w:rsidR="00C10776" w:rsidRDefault="00C10776" w:rsidP="00C10776">
            <w:pPr>
              <w:rPr>
                <w:rFonts w:ascii="Times New Roman" w:hAnsi="Times New Roman"/>
                <w:kern w:val="0"/>
                <w:sz w:val="20"/>
                <w:szCs w:val="20"/>
              </w:rPr>
            </w:pPr>
            <w:r>
              <w:rPr>
                <w:rFonts w:ascii="Times New Roman" w:hAnsi="Times New Roman"/>
                <w:kern w:val="0"/>
                <w:sz w:val="20"/>
                <w:szCs w:val="20"/>
              </w:rPr>
              <w:t>建筑光环境</w:t>
            </w:r>
          </w:p>
        </w:tc>
        <w:tc>
          <w:tcPr>
            <w:tcW w:w="727"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kern w:val="0"/>
                <w:sz w:val="20"/>
                <w:szCs w:val="20"/>
              </w:rPr>
              <w:t>3</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光的性质与度量、视觉与光环境</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视觉与光环境</w:t>
            </w:r>
          </w:p>
          <w:p w:rsidR="00C10776" w:rsidRDefault="00C10776" w:rsidP="00C10776">
            <w:pPr>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天然采光</w:t>
            </w:r>
          </w:p>
          <w:p w:rsidR="00C10776" w:rsidRDefault="00C10776" w:rsidP="00C10776">
            <w:pPr>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人工照明</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掌握建筑光环境的性质及度量方法；理解人体视觉与光环境。</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了解天然采光和人工照明的基本方式。</w:t>
            </w:r>
          </w:p>
        </w:tc>
      </w:tr>
      <w:tr w:rsidR="00C10776" w:rsidTr="00C10776">
        <w:trPr>
          <w:trHeight w:val="548"/>
        </w:trPr>
        <w:tc>
          <w:tcPr>
            <w:tcW w:w="512"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kern w:val="0"/>
                <w:sz w:val="20"/>
                <w:szCs w:val="20"/>
              </w:rPr>
              <w:t>9</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第</w:t>
            </w:r>
            <w:r>
              <w:rPr>
                <w:rFonts w:ascii="Times New Roman" w:hAnsi="Times New Roman" w:hint="eastAsia"/>
                <w:kern w:val="0"/>
                <w:sz w:val="20"/>
                <w:szCs w:val="20"/>
              </w:rPr>
              <w:t>九</w:t>
            </w:r>
            <w:r>
              <w:rPr>
                <w:rFonts w:ascii="Times New Roman" w:hAnsi="Times New Roman"/>
                <w:kern w:val="0"/>
                <w:sz w:val="20"/>
                <w:szCs w:val="20"/>
              </w:rPr>
              <w:t>章</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工业建筑的室内环境要求</w:t>
            </w:r>
          </w:p>
        </w:tc>
        <w:tc>
          <w:tcPr>
            <w:tcW w:w="727"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kern w:val="0"/>
                <w:sz w:val="20"/>
                <w:szCs w:val="20"/>
              </w:rPr>
              <w:t>1</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室内环境对典型工艺过程的影响机理</w:t>
            </w:r>
          </w:p>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典型工业建筑的室内环境设计指标</w:t>
            </w:r>
          </w:p>
        </w:tc>
        <w:tc>
          <w:tcPr>
            <w:tcW w:w="2755" w:type="dxa"/>
            <w:vAlign w:val="center"/>
          </w:tcPr>
          <w:p w:rsidR="00C10776" w:rsidRPr="006A4F10" w:rsidRDefault="00C10776" w:rsidP="00C10776">
            <w:pPr>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了解室内空气环境对典型工艺过程的影响及典型工业建筑的室内环境设计指标</w:t>
            </w:r>
          </w:p>
        </w:tc>
      </w:tr>
    </w:tbl>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10776" w:rsidRDefault="00C10776" w:rsidP="00C10776">
      <w:pPr>
        <w:spacing w:line="560" w:lineRule="atLeast"/>
        <w:ind w:firstLineChars="200" w:firstLine="560"/>
        <w:rPr>
          <w:rFonts w:ascii="仿宋_GB2312" w:hAnsi="仿宋_GB2312" w:cs="仿宋_GB2312"/>
          <w:sz w:val="28"/>
          <w:szCs w:val="28"/>
        </w:rPr>
      </w:pPr>
      <w:r>
        <w:rPr>
          <w:rFonts w:ascii="仿宋_GB2312" w:hAnsi="仿宋_GB2312" w:cs="仿宋_GB2312" w:hint="eastAsia"/>
          <w:sz w:val="28"/>
          <w:szCs w:val="28"/>
        </w:rPr>
        <w:t>1.课程考核</w:t>
      </w:r>
    </w:p>
    <w:p w:rsidR="00C10776" w:rsidRDefault="00C10776" w:rsidP="00C10776">
      <w:pPr>
        <w:spacing w:line="560" w:lineRule="atLeast"/>
        <w:ind w:firstLineChars="200" w:firstLine="560"/>
        <w:jc w:val="left"/>
        <w:rPr>
          <w:rFonts w:ascii="仿宋_GB2312" w:hAnsi="仿宋_GB2312" w:cs="仿宋_GB2312"/>
          <w:sz w:val="28"/>
          <w:szCs w:val="28"/>
        </w:rPr>
      </w:pPr>
      <w:r>
        <w:rPr>
          <w:rFonts w:ascii="仿宋_GB2312" w:hAnsi="仿宋_GB2312" w:cs="仿宋_GB2312"/>
          <w:sz w:val="28"/>
          <w:szCs w:val="28"/>
        </w:rPr>
        <w:t>考核方式：考试</w:t>
      </w:r>
    </w:p>
    <w:p w:rsidR="00C10776" w:rsidRDefault="00C10776" w:rsidP="00C10776">
      <w:pPr>
        <w:spacing w:line="560" w:lineRule="atLeast"/>
        <w:ind w:firstLineChars="200" w:firstLine="560"/>
        <w:jc w:val="left"/>
        <w:rPr>
          <w:rFonts w:ascii="仿宋_GB2312" w:hAnsi="仿宋_GB2312" w:cs="仿宋_GB2312"/>
          <w:sz w:val="28"/>
          <w:szCs w:val="28"/>
        </w:rPr>
      </w:pPr>
      <w:r>
        <w:rPr>
          <w:rFonts w:ascii="仿宋_GB2312" w:hAnsi="仿宋_GB2312" w:cs="仿宋_GB2312" w:hint="eastAsia"/>
          <w:sz w:val="28"/>
          <w:szCs w:val="28"/>
        </w:rPr>
        <w:t>2.成绩评定</w:t>
      </w:r>
    </w:p>
    <w:p w:rsidR="00C10776" w:rsidRDefault="00C10776" w:rsidP="00C10776">
      <w:pPr>
        <w:spacing w:line="560" w:lineRule="atLeast"/>
        <w:ind w:firstLineChars="200" w:firstLine="560"/>
        <w:jc w:val="left"/>
        <w:rPr>
          <w:rFonts w:ascii="仿宋_GB2312" w:hAnsi="仿宋_GB2312" w:cs="仿宋_GB2312"/>
          <w:sz w:val="28"/>
          <w:szCs w:val="28"/>
        </w:rPr>
      </w:pPr>
      <w:r>
        <w:rPr>
          <w:rFonts w:ascii="仿宋_GB2312" w:hAnsi="仿宋_GB2312" w:cs="仿宋_GB2312"/>
          <w:sz w:val="28"/>
          <w:szCs w:val="28"/>
        </w:rPr>
        <w:t>成绩评定方式：百分制</w:t>
      </w:r>
    </w:p>
    <w:p w:rsidR="00C10776" w:rsidRDefault="00C10776" w:rsidP="00C10776">
      <w:pPr>
        <w:spacing w:line="560" w:lineRule="atLeast"/>
        <w:ind w:firstLineChars="200" w:firstLine="560"/>
        <w:jc w:val="left"/>
        <w:rPr>
          <w:rFonts w:ascii="仿宋_GB2312" w:hAnsi="仿宋_GB2312" w:cs="仿宋_GB2312"/>
          <w:sz w:val="28"/>
          <w:szCs w:val="28"/>
        </w:rPr>
      </w:pPr>
      <w:r>
        <w:rPr>
          <w:rFonts w:ascii="仿宋_GB2312" w:hAnsi="仿宋_GB2312" w:cs="仿宋_GB2312"/>
          <w:sz w:val="28"/>
          <w:szCs w:val="28"/>
        </w:rPr>
        <w:t>课程总成绩=期末成绩80%+平时成绩20%</w:t>
      </w:r>
    </w:p>
    <w:p w:rsidR="00C10776" w:rsidRDefault="00C10776" w:rsidP="00C10776">
      <w:pPr>
        <w:spacing w:line="560" w:lineRule="atLeast"/>
        <w:ind w:firstLineChars="200" w:firstLine="560"/>
        <w:jc w:val="left"/>
        <w:rPr>
          <w:rFonts w:ascii="仿宋_GB2312" w:hAnsi="仿宋_GB2312" w:cs="仿宋_GB2312"/>
          <w:sz w:val="28"/>
          <w:szCs w:val="28"/>
        </w:rPr>
      </w:pPr>
      <w:r>
        <w:rPr>
          <w:rFonts w:ascii="仿宋_GB2312" w:hAnsi="仿宋_GB2312" w:cs="仿宋_GB2312"/>
          <w:sz w:val="28"/>
          <w:szCs w:val="28"/>
        </w:rPr>
        <w:t>说明：本课程不设课外学时，课外安排30～40道习题的作业，以教材思考题为主。平时成绩考核包括作业、讨论、出勤等内容。</w:t>
      </w:r>
      <w:r>
        <w:rPr>
          <w:rFonts w:ascii="仿宋_GB2312" w:hAnsi="仿宋_GB2312" w:cs="仿宋_GB2312"/>
          <w:sz w:val="28"/>
          <w:szCs w:val="28"/>
        </w:rPr>
        <w:lastRenderedPageBreak/>
        <w:t>期末考试采用闭卷方式，以百分制计入成绩。平时成绩占20%，期末考试成绩占80%。</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10776" w:rsidRDefault="00C10776" w:rsidP="00C10776">
      <w:pPr>
        <w:spacing w:line="40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《建筑环境学》（第四版），朱颖心主编，中国建筑工业出版社，2016年7月出版。</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10776" w:rsidRDefault="00C10776" w:rsidP="00C10776">
      <w:pPr>
        <w:spacing w:line="40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[1] 黄建华，张慧.人与热环境.北京</w:t>
      </w:r>
      <w:r>
        <w:rPr>
          <w:rFonts w:ascii="仿宋_GB2312" w:hAnsi="仿宋_GB2312" w:cs="仿宋_GB2312"/>
          <w:sz w:val="28"/>
          <w:szCs w:val="28"/>
        </w:rPr>
        <w:t>：</w:t>
      </w:r>
      <w:r>
        <w:rPr>
          <w:rFonts w:ascii="仿宋_GB2312" w:hAnsi="仿宋_GB2312" w:cs="仿宋_GB2312" w:hint="eastAsia"/>
          <w:sz w:val="28"/>
          <w:szCs w:val="28"/>
        </w:rPr>
        <w:t>科学出版社，2010.</w:t>
      </w:r>
    </w:p>
    <w:p w:rsidR="00C10776" w:rsidRDefault="00C10776" w:rsidP="00C10776">
      <w:pPr>
        <w:spacing w:line="40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[2] 李百战.室内热环境与人体热舒适.重庆：重庆大学出版社，2010.</w:t>
      </w:r>
    </w:p>
    <w:p w:rsidR="00C10776" w:rsidRDefault="00C10776" w:rsidP="00C10776">
      <w:pPr>
        <w:spacing w:line="40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[3] 张泉.室内空气品质.北京</w:t>
      </w:r>
      <w:r>
        <w:rPr>
          <w:rFonts w:ascii="仿宋_GB2312" w:hAnsi="仿宋_GB2312" w:cs="仿宋_GB2312"/>
          <w:sz w:val="28"/>
          <w:szCs w:val="28"/>
        </w:rPr>
        <w:t>：</w:t>
      </w:r>
      <w:r>
        <w:rPr>
          <w:rFonts w:ascii="仿宋_GB2312" w:hAnsi="仿宋_GB2312" w:cs="仿宋_GB2312" w:hint="eastAsia"/>
          <w:sz w:val="28"/>
          <w:szCs w:val="28"/>
        </w:rPr>
        <w:t>中国建筑工业出版社，2012</w:t>
      </w:r>
      <w:r>
        <w:rPr>
          <w:rFonts w:ascii="仿宋_GB2312" w:hAnsi="仿宋_GB2312" w:cs="仿宋_GB2312"/>
          <w:sz w:val="28"/>
          <w:szCs w:val="28"/>
        </w:rPr>
        <w:t>.</w:t>
      </w:r>
    </w:p>
    <w:p w:rsidR="00C10776" w:rsidRDefault="00C10776" w:rsidP="00C10776">
      <w:pPr>
        <w:spacing w:line="40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[4] 彦启森.建筑热过程.北京</w:t>
      </w:r>
      <w:r>
        <w:rPr>
          <w:rFonts w:ascii="仿宋_GB2312" w:hAnsi="仿宋_GB2312" w:cs="仿宋_GB2312"/>
          <w:sz w:val="28"/>
          <w:szCs w:val="28"/>
        </w:rPr>
        <w:t>：</w:t>
      </w:r>
      <w:r>
        <w:rPr>
          <w:rFonts w:ascii="仿宋_GB2312" w:hAnsi="仿宋_GB2312" w:cs="仿宋_GB2312" w:hint="eastAsia"/>
          <w:sz w:val="28"/>
          <w:szCs w:val="28"/>
        </w:rPr>
        <w:t>中国建筑工业出版社，1986.</w:t>
      </w:r>
    </w:p>
    <w:p w:rsidR="00C10776" w:rsidRDefault="00C10776" w:rsidP="00C10776">
      <w:pPr>
        <w:spacing w:line="40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[5] 李念平.建筑环境学.北京：化学工业出版社，2010.</w:t>
      </w:r>
    </w:p>
    <w:p w:rsidR="00C10776" w:rsidRDefault="00C10776" w:rsidP="00C10776">
      <w:pPr>
        <w:spacing w:line="40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[6] 杨晚生.建筑环境学.华中科技大学出版社，2009；</w:t>
      </w:r>
    </w:p>
    <w:p w:rsidR="00C10776" w:rsidRDefault="00C10776" w:rsidP="00C10776">
      <w:pPr>
        <w:spacing w:line="40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[7] 刘加平.建筑物理(第四版).北京</w:t>
      </w:r>
      <w:r>
        <w:rPr>
          <w:rFonts w:ascii="仿宋_GB2312" w:hAnsi="仿宋_GB2312" w:cs="仿宋_GB2312"/>
          <w:sz w:val="28"/>
          <w:szCs w:val="28"/>
        </w:rPr>
        <w:t>：</w:t>
      </w:r>
      <w:r>
        <w:rPr>
          <w:rFonts w:ascii="仿宋_GB2312" w:hAnsi="仿宋_GB2312" w:cs="仿宋_GB2312" w:hint="eastAsia"/>
          <w:sz w:val="28"/>
          <w:szCs w:val="28"/>
        </w:rPr>
        <w:t>中国建筑工业出版社，2009.</w:t>
      </w:r>
    </w:p>
    <w:p w:rsidR="00C10776" w:rsidRDefault="00C10776" w:rsidP="00C10776">
      <w:pPr>
        <w:spacing w:line="40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sz w:val="28"/>
          <w:szCs w:val="28"/>
        </w:rPr>
        <w:t>8</w:t>
      </w:r>
      <w:r>
        <w:rPr>
          <w:rFonts w:ascii="仿宋_GB2312" w:hAnsi="仿宋_GB2312" w:cs="仿宋_GB2312" w:hint="eastAsia"/>
          <w:sz w:val="28"/>
          <w:szCs w:val="28"/>
        </w:rPr>
        <w:t>] 黄晨.建筑环境学（第二版）.北京：机械工业出版社，2016.</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C10776" w:rsidRDefault="00C10776" w:rsidP="00C10776">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C10776" w:rsidRDefault="00C10776" w:rsidP="00C10776">
      <w:pPr>
        <w:spacing w:beforeLines="50" w:before="156" w:afterLines="50" w:after="156" w:line="460" w:lineRule="exact"/>
        <w:rPr>
          <w:rFonts w:ascii="黑体" w:eastAsia="黑体" w:hAnsi="黑体"/>
          <w:b/>
          <w:sz w:val="28"/>
          <w:szCs w:val="28"/>
        </w:rPr>
      </w:pP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大纲撰写人：隋</w:t>
      </w:r>
      <w:r>
        <w:rPr>
          <w:rFonts w:ascii="仿宋" w:eastAsia="仿宋" w:hAnsi="仿宋"/>
          <w:sz w:val="28"/>
          <w:szCs w:val="28"/>
        </w:rPr>
        <w:t>学</w:t>
      </w:r>
      <w:r>
        <w:rPr>
          <w:rFonts w:ascii="仿宋" w:eastAsia="仿宋" w:hAnsi="仿宋" w:hint="eastAsia"/>
          <w:sz w:val="28"/>
          <w:szCs w:val="28"/>
        </w:rPr>
        <w:t>敏</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课程负责人：隋</w:t>
      </w:r>
      <w:r>
        <w:rPr>
          <w:rFonts w:ascii="仿宋" w:eastAsia="仿宋" w:hAnsi="仿宋"/>
          <w:sz w:val="28"/>
          <w:szCs w:val="28"/>
        </w:rPr>
        <w:t>学敏</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10776" w:rsidRDefault="00C10776" w:rsidP="00FE09E8">
      <w:pPr>
        <w:jc w:val="center"/>
        <w:rPr>
          <w:rFonts w:ascii="仿宋" w:hAnsi="仿宋"/>
          <w:sz w:val="28"/>
          <w:szCs w:val="28"/>
        </w:rPr>
      </w:pPr>
      <w:r>
        <w:rPr>
          <w:rFonts w:ascii="仿宋" w:eastAsia="仿宋" w:hAnsi="仿宋" w:hint="eastAsia"/>
          <w:sz w:val="28"/>
          <w:szCs w:val="28"/>
        </w:rPr>
        <w:t xml:space="preserve">                 </w:t>
      </w:r>
    </w:p>
    <w:p w:rsidR="00C10776" w:rsidRPr="00FE09E8" w:rsidRDefault="00C10776" w:rsidP="00C10776">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4</w:t>
      </w:r>
      <w:r>
        <w:rPr>
          <w:rFonts w:ascii="仿宋" w:eastAsia="仿宋" w:hAnsi="仿宋" w:hint="eastAsia"/>
          <w:sz w:val="28"/>
          <w:szCs w:val="28"/>
        </w:rPr>
        <w:t xml:space="preserve"> 月</w:t>
      </w:r>
    </w:p>
    <w:p w:rsidR="00C10776" w:rsidRDefault="00C10776" w:rsidP="00C1077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《自动控制原理》课程教学大纲</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Principle of Automatic Control</w:t>
      </w:r>
    </w:p>
    <w:p w:rsidR="00C10776" w:rsidRDefault="00C10776" w:rsidP="00C1077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X2807</w:t>
      </w:r>
      <w:r w:rsidR="006A4F10">
        <w:rPr>
          <w:rFonts w:ascii="仿宋_GB2312" w:hAnsi="仿宋_GB2312" w:cs="仿宋_GB2312"/>
          <w:bCs/>
          <w:sz w:val="28"/>
          <w:szCs w:val="28"/>
        </w:rPr>
        <w:t>1</w:t>
      </w:r>
      <w:r>
        <w:rPr>
          <w:rFonts w:ascii="仿宋_GB2312" w:hAnsi="仿宋_GB2312" w:cs="仿宋_GB2312"/>
          <w:bCs/>
          <w:sz w:val="28"/>
          <w:szCs w:val="28"/>
        </w:rPr>
        <w:t>50</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C10776" w:rsidRDefault="00C10776" w:rsidP="00C107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课程类别：学科基础课</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C10776" w:rsidRDefault="00C10776" w:rsidP="00C107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学时（授课</w:t>
      </w:r>
      <w:r>
        <w:rPr>
          <w:rFonts w:ascii="仿宋_GB2312" w:hAnsi="仿宋_GB2312" w:cs="仿宋_GB2312"/>
          <w:bCs/>
          <w:sz w:val="28"/>
          <w:szCs w:val="28"/>
        </w:rPr>
        <w:t>24</w:t>
      </w:r>
      <w:r>
        <w:rPr>
          <w:rFonts w:ascii="仿宋_GB2312" w:hAnsi="仿宋_GB2312" w:cs="仿宋_GB2312" w:hint="eastAsia"/>
          <w:bCs/>
          <w:sz w:val="28"/>
          <w:szCs w:val="28"/>
        </w:rPr>
        <w:t>学时）</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先修课程：高等数学、</w:t>
      </w:r>
      <w:r>
        <w:rPr>
          <w:rFonts w:ascii="仿宋_GB2312" w:hAnsi="仿宋_GB2312" w:cs="仿宋_GB2312"/>
          <w:bCs/>
          <w:sz w:val="28"/>
          <w:szCs w:val="28"/>
        </w:rPr>
        <w:t>复变函数</w:t>
      </w:r>
      <w:r>
        <w:rPr>
          <w:rFonts w:ascii="仿宋_GB2312" w:hAnsi="仿宋_GB2312" w:cs="仿宋_GB2312" w:hint="eastAsia"/>
          <w:bCs/>
          <w:sz w:val="28"/>
          <w:szCs w:val="28"/>
        </w:rPr>
        <w:t>、电工电子技术基础等</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《自动控制原理》是建筑环境与能源应用工程专业一门重要的专业基础课，其性质属于技术科学，即应用理论，研究的主要对象是自动控制系统，研究的中心问题是系统在控制过程中的性能。</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本课程的设置对提高建筑环境与能源应用工程（简称“建环”）专业学生综合素质和能力完全必要，其主要内容为数学模型，工程分析计算方法和系统一般规律。在要求学生获得经典控制理论基础知识的同时，掌握自动控制系统的分析和校正的基本方法。由于培养目标</w:t>
      </w:r>
      <w:r>
        <w:rPr>
          <w:rFonts w:ascii="仿宋_GB2312" w:hAnsi="仿宋_GB2312" w:cs="仿宋_GB2312" w:hint="eastAsia"/>
          <w:sz w:val="28"/>
          <w:szCs w:val="28"/>
        </w:rPr>
        <w:lastRenderedPageBreak/>
        <w:t>的区别和学时限制，建环专业尚不宜直接照搬和采用自动化专业的同名教材。结合“建环”专业的需求“量体裁衣”，讲授过程中尽可能多的结合暖通专业中常见的工程实例讲述自动控制中的经典控制理论。贯穿一条主线：让学生深刻理解“反馈”的概念和优化思想是控制科学的灵魂与核心。</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教学方式采用PPT（例题讲解、图片展示与MATLAB仿真演示）、板书（数学模型推导）、课后思考题和练习题等相结合进行授课，使学生进一步真正理解自动控制原理的精髓所在。</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《自动控制原理》课程是建筑环境与能源应用工程专业的一门必修课，通过这门课程的学习，使学生掌握经典自动控制原理，深入理解“反馈”思想在暖通空调相关专业的地位。</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从数学的角度，以简单案例分析为起点，使学生逐步认识自动控制系统的基本组成，能够掌握根据实际暖通空调系统建立其对应的控制系统数学模型，并利用时域分析法、根轨迹法和频域法分析自动控制系统，计算控制系统稳态和动态性能指标。了解自动控制系统的实现，即计算机过程控制，熟悉计算机控制的组成和特点。通过《自动控制原理》课程的学习，初步具备利用数学的方法分析暖通空调自动控制系统的能力。</w:t>
      </w:r>
    </w:p>
    <w:p w:rsidR="00C10776" w:rsidRDefault="00C10776"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C10776" w:rsidRDefault="00C10776" w:rsidP="00C10776">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lastRenderedPageBreak/>
        <w:t>通过该课程的学习，培养学生利用经典自动控制原理分析暖通空调自动控制系统的能力，使学生能够基本胜任建立系统模型，分析系统的任务；</w:t>
      </w:r>
      <w:r>
        <w:rPr>
          <w:rFonts w:ascii="仿宋_GB2312" w:hAnsi="仿宋_GB2312" w:cs="仿宋_GB2312"/>
          <w:sz w:val="28"/>
          <w:szCs w:val="28"/>
        </w:rPr>
        <w:t>使学生</w:t>
      </w:r>
      <w:r>
        <w:rPr>
          <w:rFonts w:ascii="仿宋_GB2312" w:hAnsi="仿宋_GB2312" w:cs="仿宋_GB2312" w:hint="eastAsia"/>
          <w:sz w:val="28"/>
          <w:szCs w:val="28"/>
        </w:rPr>
        <w:t>对自动控制系统原理有一个总体概念，能够认识到自动控制在建筑领域中的重要性和必要性，打消自动控制的神秘感。</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自动控制原理课程目标是通过课堂讲授、实验等教学环节，使学生全面了解自动控制系统的组成、分类及其应用概况，掌握自动控制理论的基本概念、基本理论、自动控制系统的各种分析方法，为今后的学习和工作奠定扎实的专业基础。该课程教学要在系统建模、系统稳定性及动态分析、系统初步设计等方面，使学生掌握必备的基础知识、具备基本的分析设计能力。</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该课程</w:t>
      </w:r>
      <w:r>
        <w:rPr>
          <w:rFonts w:ascii="仿宋_GB2312" w:hAnsi="仿宋_GB2312" w:cs="仿宋_GB2312"/>
          <w:sz w:val="28"/>
          <w:szCs w:val="28"/>
        </w:rPr>
        <w:t>学习过程贯穿一条主线：让学习者深刻理解反馈的概念和优化思想是控制科学的</w:t>
      </w:r>
      <w:r>
        <w:rPr>
          <w:rFonts w:ascii="仿宋_GB2312" w:hAnsi="仿宋_GB2312" w:cs="仿宋_GB2312" w:hint="eastAsia"/>
          <w:sz w:val="28"/>
          <w:szCs w:val="28"/>
        </w:rPr>
        <w:t>灵魂</w:t>
      </w:r>
      <w:r>
        <w:rPr>
          <w:rFonts w:ascii="仿宋_GB2312" w:hAnsi="仿宋_GB2312" w:cs="仿宋_GB2312"/>
          <w:sz w:val="28"/>
          <w:szCs w:val="28"/>
        </w:rPr>
        <w:t>与核心。</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课程目标</w:t>
      </w:r>
      <w:r>
        <w:rPr>
          <w:rFonts w:ascii="仿宋_GB2312" w:hAnsi="仿宋_GB2312" w:cs="仿宋_GB2312"/>
          <w:sz w:val="28"/>
          <w:szCs w:val="28"/>
        </w:rPr>
        <w:t>总结如下：</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（1）学生</w:t>
      </w:r>
      <w:r>
        <w:rPr>
          <w:rFonts w:ascii="仿宋_GB2312" w:hAnsi="仿宋_GB2312" w:cs="仿宋_GB2312"/>
          <w:sz w:val="28"/>
          <w:szCs w:val="28"/>
        </w:rPr>
        <w:t>应能够</w:t>
      </w:r>
      <w:r>
        <w:rPr>
          <w:rFonts w:ascii="仿宋_GB2312" w:hAnsi="仿宋_GB2312" w:cs="仿宋_GB2312" w:hint="eastAsia"/>
          <w:sz w:val="28"/>
          <w:szCs w:val="28"/>
        </w:rPr>
        <w:t>利用经典自动控制原理分析暖通空调自动控制系统特性；</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（2）要求</w:t>
      </w:r>
      <w:r>
        <w:rPr>
          <w:rFonts w:ascii="仿宋_GB2312" w:hAnsi="仿宋_GB2312" w:cs="仿宋_GB2312"/>
          <w:sz w:val="28"/>
          <w:szCs w:val="28"/>
        </w:rPr>
        <w:t>学生能够理解</w:t>
      </w:r>
      <w:r>
        <w:rPr>
          <w:rFonts w:ascii="仿宋_GB2312" w:hAnsi="仿宋_GB2312" w:cs="仿宋_GB2312" w:hint="eastAsia"/>
          <w:sz w:val="28"/>
          <w:szCs w:val="28"/>
        </w:rPr>
        <w:t>计算机过程控制系统概念和典型应用。</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4"/>
        <w:gridCol w:w="5109"/>
        <w:gridCol w:w="1683"/>
      </w:tblGrid>
      <w:tr w:rsidR="00C10776" w:rsidTr="00C10776">
        <w:tc>
          <w:tcPr>
            <w:tcW w:w="1668" w:type="dxa"/>
            <w:shd w:val="clear" w:color="auto" w:fill="auto"/>
          </w:tcPr>
          <w:p w:rsidR="00C10776" w:rsidRDefault="00C10776" w:rsidP="00C10776">
            <w:pPr>
              <w:spacing w:line="400" w:lineRule="exact"/>
              <w:jc w:val="center"/>
              <w:rPr>
                <w:rFonts w:ascii="仿宋_GB2312" w:hAnsi="仿宋_GB2312" w:cs="仿宋_GB2312"/>
                <w:sz w:val="28"/>
                <w:szCs w:val="28"/>
              </w:rPr>
            </w:pPr>
            <w:r>
              <w:rPr>
                <w:rFonts w:ascii="仿宋_GB2312" w:hAnsi="仿宋_GB2312" w:cs="仿宋_GB2312" w:hint="eastAsia"/>
                <w:sz w:val="28"/>
                <w:szCs w:val="28"/>
              </w:rPr>
              <w:t>毕业要求</w:t>
            </w:r>
          </w:p>
        </w:tc>
        <w:tc>
          <w:tcPr>
            <w:tcW w:w="5811" w:type="dxa"/>
            <w:shd w:val="clear" w:color="auto" w:fill="auto"/>
          </w:tcPr>
          <w:p w:rsidR="00C10776" w:rsidRDefault="00C10776" w:rsidP="00C10776">
            <w:pPr>
              <w:spacing w:line="400" w:lineRule="exact"/>
              <w:jc w:val="center"/>
              <w:rPr>
                <w:rFonts w:ascii="仿宋_GB2312" w:hAnsi="仿宋_GB2312" w:cs="仿宋_GB2312"/>
                <w:sz w:val="28"/>
                <w:szCs w:val="28"/>
              </w:rPr>
            </w:pPr>
            <w:r>
              <w:rPr>
                <w:rFonts w:ascii="仿宋_GB2312" w:hAnsi="仿宋_GB2312" w:cs="仿宋_GB2312" w:hint="eastAsia"/>
                <w:sz w:val="28"/>
                <w:szCs w:val="28"/>
              </w:rPr>
              <w:t>指标点</w:t>
            </w:r>
          </w:p>
        </w:tc>
        <w:tc>
          <w:tcPr>
            <w:tcW w:w="1807" w:type="dxa"/>
            <w:shd w:val="clear" w:color="auto" w:fill="auto"/>
          </w:tcPr>
          <w:p w:rsidR="00C10776" w:rsidRDefault="00C10776" w:rsidP="00C10776">
            <w:pPr>
              <w:spacing w:line="400" w:lineRule="exact"/>
              <w:jc w:val="center"/>
              <w:rPr>
                <w:rFonts w:ascii="仿宋_GB2312" w:hAnsi="仿宋_GB2312" w:cs="仿宋_GB2312"/>
                <w:sz w:val="28"/>
                <w:szCs w:val="28"/>
              </w:rPr>
            </w:pPr>
            <w:r>
              <w:rPr>
                <w:rFonts w:ascii="仿宋_GB2312" w:hAnsi="仿宋_GB2312" w:cs="仿宋_GB2312" w:hint="eastAsia"/>
                <w:sz w:val="28"/>
                <w:szCs w:val="28"/>
              </w:rPr>
              <w:t>课程目标</w:t>
            </w:r>
          </w:p>
        </w:tc>
      </w:tr>
      <w:tr w:rsidR="00C10776" w:rsidTr="00C10776">
        <w:tc>
          <w:tcPr>
            <w:tcW w:w="1668" w:type="dxa"/>
            <w:shd w:val="clear" w:color="auto" w:fill="auto"/>
          </w:tcPr>
          <w:p w:rsidR="00C10776" w:rsidRDefault="00C10776" w:rsidP="00C10776">
            <w:pPr>
              <w:spacing w:line="400" w:lineRule="exact"/>
              <w:jc w:val="center"/>
              <w:rPr>
                <w:rFonts w:ascii="仿宋_GB2312" w:hAnsi="仿宋_GB2312" w:cs="仿宋_GB2312"/>
                <w:sz w:val="28"/>
                <w:szCs w:val="28"/>
              </w:rPr>
            </w:pPr>
            <w:r>
              <w:rPr>
                <w:rFonts w:ascii="仿宋_GB2312" w:hAnsi="仿宋_GB2312" w:cs="仿宋_GB2312" w:hint="eastAsia"/>
                <w:sz w:val="28"/>
                <w:szCs w:val="28"/>
              </w:rPr>
              <w:t>1.工程知识</w:t>
            </w:r>
          </w:p>
        </w:tc>
        <w:tc>
          <w:tcPr>
            <w:tcW w:w="5811" w:type="dxa"/>
            <w:shd w:val="clear" w:color="auto" w:fill="auto"/>
          </w:tcPr>
          <w:p w:rsidR="00C10776" w:rsidRDefault="00C10776" w:rsidP="00C10776">
            <w:pPr>
              <w:spacing w:line="360" w:lineRule="auto"/>
              <w:jc w:val="left"/>
              <w:rPr>
                <w:rFonts w:ascii="仿宋_GB2312" w:hAnsi="仿宋_GB2312" w:cs="仿宋_GB2312"/>
                <w:sz w:val="28"/>
                <w:szCs w:val="28"/>
              </w:rPr>
            </w:pPr>
            <w:r>
              <w:rPr>
                <w:rFonts w:ascii="仿宋_GB2312" w:hAnsi="仿宋_GB2312" w:cs="仿宋_GB2312" w:hint="eastAsia"/>
                <w:sz w:val="28"/>
                <w:szCs w:val="28"/>
              </w:rPr>
              <w:t>1</w:t>
            </w:r>
            <w:r>
              <w:rPr>
                <w:rFonts w:ascii="仿宋_GB2312" w:hAnsi="仿宋_GB2312" w:cs="仿宋_GB2312"/>
                <w:sz w:val="28"/>
                <w:szCs w:val="28"/>
              </w:rPr>
              <w:t xml:space="preserve">.2 </w:t>
            </w:r>
            <w:r>
              <w:rPr>
                <w:rFonts w:ascii="仿宋_GB2312" w:hAnsi="仿宋_GB2312" w:cs="仿宋_GB2312" w:hint="eastAsia"/>
                <w:sz w:val="28"/>
                <w:szCs w:val="28"/>
              </w:rPr>
              <w:t>掌握相关工程基础知识，具备应用相关知识推演、分析建筑环境与能源应用工程专业复杂工程问题的专业基础能力；</w:t>
            </w:r>
          </w:p>
        </w:tc>
        <w:tc>
          <w:tcPr>
            <w:tcW w:w="1807" w:type="dxa"/>
            <w:shd w:val="clear" w:color="auto" w:fill="auto"/>
          </w:tcPr>
          <w:p w:rsidR="00C10776" w:rsidRDefault="00C10776" w:rsidP="00C10776">
            <w:pPr>
              <w:spacing w:line="360" w:lineRule="auto"/>
              <w:jc w:val="left"/>
              <w:rPr>
                <w:rFonts w:ascii="仿宋_GB2312" w:hAnsi="仿宋_GB2312" w:cs="仿宋_GB2312"/>
                <w:sz w:val="28"/>
                <w:szCs w:val="28"/>
              </w:rPr>
            </w:pPr>
            <w:r>
              <w:rPr>
                <w:rFonts w:ascii="仿宋_GB2312" w:hAnsi="仿宋_GB2312" w:cs="仿宋_GB2312" w:hint="eastAsia"/>
                <w:sz w:val="28"/>
                <w:szCs w:val="28"/>
              </w:rPr>
              <w:t>课程目标（</w:t>
            </w:r>
            <w:r>
              <w:rPr>
                <w:rFonts w:ascii="仿宋_GB2312" w:hAnsi="仿宋_GB2312" w:cs="仿宋_GB2312"/>
                <w:sz w:val="28"/>
                <w:szCs w:val="28"/>
              </w:rPr>
              <w:t>1</w:t>
            </w:r>
            <w:r>
              <w:rPr>
                <w:rFonts w:ascii="仿宋_GB2312" w:hAnsi="仿宋_GB2312" w:cs="仿宋_GB2312" w:hint="eastAsia"/>
                <w:sz w:val="28"/>
                <w:szCs w:val="28"/>
              </w:rPr>
              <w:t>）</w:t>
            </w:r>
          </w:p>
        </w:tc>
      </w:tr>
      <w:tr w:rsidR="00C10776" w:rsidTr="00C10776">
        <w:tc>
          <w:tcPr>
            <w:tcW w:w="1668" w:type="dxa"/>
            <w:shd w:val="clear" w:color="auto" w:fill="auto"/>
          </w:tcPr>
          <w:p w:rsidR="00C10776" w:rsidRDefault="00C10776" w:rsidP="00C10776">
            <w:pPr>
              <w:spacing w:line="400" w:lineRule="exact"/>
              <w:jc w:val="center"/>
              <w:rPr>
                <w:rFonts w:ascii="仿宋_GB2312" w:hAnsi="仿宋_GB2312" w:cs="仿宋_GB2312"/>
                <w:sz w:val="28"/>
                <w:szCs w:val="28"/>
              </w:rPr>
            </w:pPr>
            <w:r>
              <w:rPr>
                <w:rFonts w:ascii="仿宋_GB2312" w:hAnsi="仿宋_GB2312" w:cs="仿宋_GB2312" w:hint="eastAsia"/>
                <w:sz w:val="28"/>
                <w:szCs w:val="28"/>
              </w:rPr>
              <w:lastRenderedPageBreak/>
              <w:t>3.设计/开发解决方案</w:t>
            </w:r>
          </w:p>
        </w:tc>
        <w:tc>
          <w:tcPr>
            <w:tcW w:w="5811" w:type="dxa"/>
            <w:shd w:val="clear" w:color="auto" w:fill="auto"/>
          </w:tcPr>
          <w:p w:rsidR="00C10776" w:rsidRDefault="00C10776" w:rsidP="00C10776">
            <w:pPr>
              <w:spacing w:line="360" w:lineRule="auto"/>
              <w:jc w:val="left"/>
              <w:rPr>
                <w:rFonts w:ascii="仿宋_GB2312" w:hAnsi="仿宋_GB2312" w:cs="仿宋_GB2312"/>
                <w:sz w:val="28"/>
                <w:szCs w:val="28"/>
              </w:rPr>
            </w:pPr>
            <w:r>
              <w:rPr>
                <w:rFonts w:ascii="仿宋_GB2312" w:hAnsi="仿宋_GB2312" w:cs="仿宋_GB2312" w:hint="eastAsia"/>
                <w:sz w:val="28"/>
                <w:szCs w:val="28"/>
              </w:rPr>
              <w:t>3.2 能够进行工程体系或工艺流程的系统分析和优化设计，并体现创新意识；</w:t>
            </w:r>
          </w:p>
          <w:p w:rsidR="00C10776" w:rsidRDefault="00C10776" w:rsidP="00C10776">
            <w:pPr>
              <w:spacing w:line="360" w:lineRule="auto"/>
              <w:jc w:val="left"/>
              <w:rPr>
                <w:rFonts w:ascii="仿宋_GB2312" w:hAnsi="仿宋_GB2312" w:cs="仿宋_GB2312"/>
                <w:sz w:val="28"/>
                <w:szCs w:val="28"/>
              </w:rPr>
            </w:pPr>
            <w:r>
              <w:rPr>
                <w:rFonts w:ascii="仿宋_GB2312" w:hAnsi="仿宋_GB2312" w:cs="仿宋_GB2312" w:hint="eastAsia"/>
                <w:sz w:val="28"/>
                <w:szCs w:val="28"/>
              </w:rPr>
              <w:t>3.3 在设计/开发工作中能够综合考虑社会、健康、安全、法律、文化以及环境等因素。</w:t>
            </w:r>
          </w:p>
        </w:tc>
        <w:tc>
          <w:tcPr>
            <w:tcW w:w="1807" w:type="dxa"/>
            <w:shd w:val="clear" w:color="auto" w:fill="auto"/>
          </w:tcPr>
          <w:p w:rsidR="00C10776" w:rsidRDefault="00C10776" w:rsidP="00C10776">
            <w:pPr>
              <w:spacing w:line="360" w:lineRule="auto"/>
              <w:jc w:val="left"/>
              <w:rPr>
                <w:rFonts w:ascii="仿宋_GB2312" w:hAnsi="仿宋_GB2312" w:cs="仿宋_GB2312"/>
                <w:sz w:val="28"/>
                <w:szCs w:val="28"/>
              </w:rPr>
            </w:pPr>
            <w:r>
              <w:rPr>
                <w:rFonts w:ascii="仿宋_GB2312" w:hAnsi="仿宋_GB2312" w:cs="仿宋_GB2312" w:hint="eastAsia"/>
                <w:sz w:val="28"/>
                <w:szCs w:val="28"/>
              </w:rPr>
              <w:t>课程目标（</w:t>
            </w:r>
            <w:r>
              <w:rPr>
                <w:rFonts w:ascii="仿宋_GB2312" w:hAnsi="仿宋_GB2312" w:cs="仿宋_GB2312"/>
                <w:sz w:val="28"/>
                <w:szCs w:val="28"/>
              </w:rPr>
              <w:t>2</w:t>
            </w:r>
            <w:r>
              <w:rPr>
                <w:rFonts w:ascii="仿宋_GB2312" w:hAnsi="仿宋_GB2312" w:cs="仿宋_GB2312" w:hint="eastAsia"/>
                <w:sz w:val="28"/>
                <w:szCs w:val="28"/>
              </w:rPr>
              <w:t>）</w:t>
            </w:r>
          </w:p>
        </w:tc>
      </w:tr>
    </w:tbl>
    <w:p w:rsidR="00C10776" w:rsidRDefault="00C10776" w:rsidP="00C10776">
      <w:pPr>
        <w:spacing w:line="360" w:lineRule="auto"/>
        <w:ind w:firstLineChars="200" w:firstLine="422"/>
        <w:jc w:val="left"/>
        <w:rPr>
          <w:rFonts w:ascii="宋体" w:eastAsia="宋体" w:hAnsi="宋体"/>
          <w:b/>
          <w:color w:val="FF0000"/>
          <w:sz w:val="21"/>
          <w:szCs w:val="21"/>
        </w:rPr>
      </w:pP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重点</w:t>
      </w:r>
      <w:r>
        <w:rPr>
          <w:rFonts w:ascii="仿宋_GB2312" w:hAnsi="仿宋_GB2312" w:cs="仿宋_GB2312"/>
          <w:sz w:val="28"/>
          <w:szCs w:val="28"/>
        </w:rPr>
        <w:t>：</w:t>
      </w:r>
      <w:r>
        <w:rPr>
          <w:rFonts w:ascii="仿宋_GB2312" w:hAnsi="仿宋_GB2312" w:cs="仿宋_GB2312" w:hint="eastAsia"/>
          <w:sz w:val="28"/>
          <w:szCs w:val="28"/>
        </w:rPr>
        <w:t>自动控制系统</w:t>
      </w:r>
      <w:r>
        <w:rPr>
          <w:rFonts w:ascii="仿宋_GB2312" w:hAnsi="仿宋_GB2312" w:cs="仿宋_GB2312"/>
          <w:sz w:val="28"/>
          <w:szCs w:val="28"/>
        </w:rPr>
        <w:t>组成</w:t>
      </w:r>
      <w:r>
        <w:rPr>
          <w:rFonts w:ascii="仿宋_GB2312" w:hAnsi="仿宋_GB2312" w:cs="仿宋_GB2312" w:hint="eastAsia"/>
          <w:sz w:val="28"/>
          <w:szCs w:val="28"/>
        </w:rPr>
        <w:t>，</w:t>
      </w:r>
      <w:r>
        <w:rPr>
          <w:rFonts w:ascii="仿宋_GB2312" w:hAnsi="仿宋_GB2312" w:cs="仿宋_GB2312"/>
          <w:sz w:val="28"/>
          <w:szCs w:val="28"/>
        </w:rPr>
        <w:t>自控系统时域分析、</w:t>
      </w:r>
      <w:r>
        <w:rPr>
          <w:rFonts w:ascii="仿宋_GB2312" w:hAnsi="仿宋_GB2312" w:cs="仿宋_GB2312" w:hint="eastAsia"/>
          <w:sz w:val="28"/>
          <w:szCs w:val="28"/>
        </w:rPr>
        <w:t>根轨迹</w:t>
      </w:r>
      <w:r>
        <w:rPr>
          <w:rFonts w:ascii="仿宋_GB2312" w:hAnsi="仿宋_GB2312" w:cs="仿宋_GB2312"/>
          <w:sz w:val="28"/>
          <w:szCs w:val="28"/>
        </w:rPr>
        <w:t>和频率法</w:t>
      </w:r>
      <w:r>
        <w:rPr>
          <w:rFonts w:ascii="仿宋_GB2312" w:hAnsi="仿宋_GB2312" w:cs="仿宋_GB2312" w:hint="eastAsia"/>
          <w:sz w:val="28"/>
          <w:szCs w:val="28"/>
        </w:rPr>
        <w:t>，计算机</w:t>
      </w:r>
      <w:r>
        <w:rPr>
          <w:rFonts w:ascii="仿宋_GB2312" w:hAnsi="仿宋_GB2312" w:cs="仿宋_GB2312"/>
          <w:sz w:val="28"/>
          <w:szCs w:val="28"/>
        </w:rPr>
        <w:t>过程控制</w:t>
      </w:r>
      <w:r>
        <w:rPr>
          <w:rFonts w:ascii="仿宋_GB2312" w:hAnsi="仿宋_GB2312" w:cs="仿宋_GB2312" w:hint="eastAsia"/>
          <w:sz w:val="28"/>
          <w:szCs w:val="28"/>
        </w:rPr>
        <w:t>，</w:t>
      </w:r>
      <w:r>
        <w:rPr>
          <w:rFonts w:ascii="仿宋_GB2312" w:hAnsi="仿宋_GB2312" w:cs="仿宋_GB2312"/>
          <w:sz w:val="28"/>
          <w:szCs w:val="28"/>
        </w:rPr>
        <w:t>利用MATLAB进行系统仿真</w:t>
      </w:r>
      <w:r>
        <w:rPr>
          <w:rFonts w:ascii="仿宋_GB2312" w:hAnsi="仿宋_GB2312" w:cs="仿宋_GB2312" w:hint="eastAsia"/>
          <w:sz w:val="28"/>
          <w:szCs w:val="28"/>
        </w:rPr>
        <w:t>。</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难点</w:t>
      </w:r>
      <w:r>
        <w:rPr>
          <w:rFonts w:ascii="仿宋_GB2312" w:hAnsi="仿宋_GB2312" w:cs="仿宋_GB2312"/>
          <w:sz w:val="28"/>
          <w:szCs w:val="28"/>
        </w:rPr>
        <w:t>：自控系统时域分析</w:t>
      </w:r>
      <w:r>
        <w:rPr>
          <w:rFonts w:ascii="仿宋_GB2312" w:hAnsi="仿宋_GB2312" w:cs="仿宋_GB2312" w:hint="eastAsia"/>
          <w:sz w:val="28"/>
          <w:szCs w:val="28"/>
        </w:rPr>
        <w:t>和</w:t>
      </w:r>
      <w:r>
        <w:rPr>
          <w:rFonts w:ascii="仿宋_GB2312" w:hAnsi="仿宋_GB2312" w:cs="仿宋_GB2312"/>
          <w:sz w:val="28"/>
          <w:szCs w:val="28"/>
        </w:rPr>
        <w:t>频率分析方法。</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从</w:t>
      </w:r>
      <w:r>
        <w:rPr>
          <w:rFonts w:ascii="仿宋_GB2312" w:hAnsi="仿宋_GB2312" w:cs="仿宋_GB2312"/>
          <w:sz w:val="28"/>
          <w:szCs w:val="28"/>
        </w:rPr>
        <w:t>自动控制原理的基本概念、发展</w:t>
      </w:r>
      <w:r>
        <w:rPr>
          <w:rFonts w:ascii="仿宋_GB2312" w:hAnsi="仿宋_GB2312" w:cs="仿宋_GB2312" w:hint="eastAsia"/>
          <w:sz w:val="28"/>
          <w:szCs w:val="28"/>
        </w:rPr>
        <w:t>及</w:t>
      </w:r>
      <w:r>
        <w:rPr>
          <w:rFonts w:ascii="仿宋_GB2312" w:hAnsi="仿宋_GB2312" w:cs="仿宋_GB2312"/>
          <w:sz w:val="28"/>
          <w:szCs w:val="28"/>
        </w:rPr>
        <w:t>现状、模型分析</w:t>
      </w:r>
      <w:r>
        <w:rPr>
          <w:rFonts w:ascii="仿宋_GB2312" w:hAnsi="仿宋_GB2312" w:cs="仿宋_GB2312" w:hint="eastAsia"/>
          <w:sz w:val="28"/>
          <w:szCs w:val="28"/>
        </w:rPr>
        <w:t>、</w:t>
      </w:r>
      <w:r>
        <w:rPr>
          <w:rFonts w:ascii="仿宋_GB2312" w:hAnsi="仿宋_GB2312" w:cs="仿宋_GB2312"/>
          <w:sz w:val="28"/>
          <w:szCs w:val="28"/>
        </w:rPr>
        <w:t>性能</w:t>
      </w:r>
      <w:r>
        <w:rPr>
          <w:rFonts w:ascii="仿宋_GB2312" w:hAnsi="仿宋_GB2312" w:cs="仿宋_GB2312" w:hint="eastAsia"/>
          <w:sz w:val="28"/>
          <w:szCs w:val="28"/>
        </w:rPr>
        <w:t>要求</w:t>
      </w:r>
      <w:r>
        <w:rPr>
          <w:rFonts w:ascii="仿宋_GB2312" w:hAnsi="仿宋_GB2312" w:cs="仿宋_GB2312"/>
          <w:sz w:val="28"/>
          <w:szCs w:val="28"/>
        </w:rPr>
        <w:t>、经典分析和设计方法出发，探讨如何将自控理念与建筑中自动控制深度融合，强调实现建筑节能离不开</w:t>
      </w:r>
      <w:r>
        <w:rPr>
          <w:rFonts w:ascii="仿宋_GB2312" w:hAnsi="仿宋_GB2312" w:cs="仿宋_GB2312" w:hint="eastAsia"/>
          <w:sz w:val="28"/>
          <w:szCs w:val="28"/>
        </w:rPr>
        <w:t>自动控制</w:t>
      </w:r>
      <w:r>
        <w:rPr>
          <w:rFonts w:ascii="仿宋_GB2312" w:hAnsi="仿宋_GB2312" w:cs="仿宋_GB2312"/>
          <w:sz w:val="28"/>
          <w:szCs w:val="28"/>
        </w:rPr>
        <w:t>和智能控制，通过对简单建筑环境控制对象的理论分析，深度挖掘其自控本质，</w:t>
      </w:r>
      <w:r>
        <w:rPr>
          <w:rFonts w:ascii="仿宋_GB2312" w:hAnsi="仿宋_GB2312" w:cs="仿宋_GB2312" w:hint="eastAsia"/>
          <w:sz w:val="28"/>
          <w:szCs w:val="28"/>
        </w:rPr>
        <w:t>以期</w:t>
      </w:r>
      <w:r>
        <w:rPr>
          <w:rFonts w:ascii="仿宋_GB2312" w:hAnsi="仿宋_GB2312" w:cs="仿宋_GB2312"/>
          <w:sz w:val="28"/>
          <w:szCs w:val="28"/>
        </w:rPr>
        <w:t>将自控助力“</w:t>
      </w:r>
      <w:r>
        <w:rPr>
          <w:rFonts w:ascii="仿宋_GB2312" w:hAnsi="仿宋_GB2312" w:cs="仿宋_GB2312" w:hint="eastAsia"/>
          <w:sz w:val="28"/>
          <w:szCs w:val="28"/>
        </w:rPr>
        <w:t>碳达峰</w:t>
      </w:r>
      <w:r>
        <w:rPr>
          <w:rFonts w:ascii="仿宋_GB2312" w:hAnsi="仿宋_GB2312" w:cs="仿宋_GB2312"/>
          <w:sz w:val="28"/>
          <w:szCs w:val="28"/>
        </w:rPr>
        <w:t>碳中和”</w:t>
      </w:r>
      <w:r>
        <w:rPr>
          <w:rFonts w:ascii="仿宋_GB2312" w:hAnsi="仿宋_GB2312" w:cs="仿宋_GB2312" w:hint="eastAsia"/>
          <w:sz w:val="28"/>
          <w:szCs w:val="28"/>
        </w:rPr>
        <w:t>思想深植于学生心中</w:t>
      </w:r>
      <w:r>
        <w:rPr>
          <w:rFonts w:ascii="仿宋_GB2312" w:hAnsi="仿宋_GB2312" w:cs="仿宋_GB2312"/>
          <w:sz w:val="28"/>
          <w:szCs w:val="28"/>
        </w:rPr>
        <w:t>。</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362"/>
        <w:gridCol w:w="1154"/>
        <w:gridCol w:w="3366"/>
        <w:gridCol w:w="3188"/>
      </w:tblGrid>
      <w:tr w:rsidR="00C10776" w:rsidTr="00C10776">
        <w:trPr>
          <w:cantSplit/>
          <w:trHeight w:val="661"/>
        </w:trPr>
        <w:tc>
          <w:tcPr>
            <w:tcW w:w="532"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序号</w:t>
            </w:r>
          </w:p>
        </w:tc>
        <w:tc>
          <w:tcPr>
            <w:tcW w:w="1362"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章</w:t>
            </w:r>
            <w:r w:rsidRPr="006A4F10">
              <w:rPr>
                <w:rFonts w:ascii="Times New Roman" w:hAnsi="Times New Roman" w:hint="eastAsia"/>
                <w:kern w:val="0"/>
                <w:sz w:val="20"/>
                <w:szCs w:val="20"/>
              </w:rPr>
              <w:t xml:space="preserve">  </w:t>
            </w:r>
            <w:r w:rsidRPr="006A4F10">
              <w:rPr>
                <w:rFonts w:ascii="Times New Roman" w:hAnsi="Times New Roman" w:hint="eastAsia"/>
                <w:kern w:val="0"/>
                <w:sz w:val="20"/>
                <w:szCs w:val="20"/>
              </w:rPr>
              <w:t>节</w:t>
            </w:r>
          </w:p>
        </w:tc>
        <w:tc>
          <w:tcPr>
            <w:tcW w:w="1154" w:type="dxa"/>
            <w:vAlign w:val="center"/>
          </w:tcPr>
          <w:p w:rsidR="00C10776" w:rsidRPr="006A4F10" w:rsidRDefault="00C10776" w:rsidP="00C10776">
            <w:pPr>
              <w:jc w:val="center"/>
              <w:rPr>
                <w:rFonts w:ascii="Times New Roman" w:hAnsi="Times New Roman"/>
                <w:kern w:val="0"/>
                <w:sz w:val="20"/>
                <w:szCs w:val="20"/>
              </w:rPr>
            </w:pPr>
          </w:p>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参考学时</w:t>
            </w:r>
          </w:p>
          <w:p w:rsidR="00C10776" w:rsidRPr="006A4F10" w:rsidRDefault="00C10776" w:rsidP="00C10776">
            <w:pPr>
              <w:jc w:val="center"/>
              <w:rPr>
                <w:rFonts w:ascii="Times New Roman" w:hAnsi="Times New Roman"/>
                <w:kern w:val="0"/>
                <w:sz w:val="20"/>
                <w:szCs w:val="20"/>
              </w:rPr>
            </w:pPr>
          </w:p>
        </w:tc>
        <w:tc>
          <w:tcPr>
            <w:tcW w:w="3366" w:type="dxa"/>
            <w:vAlign w:val="center"/>
          </w:tcPr>
          <w:p w:rsidR="00C10776" w:rsidRPr="006A4F10" w:rsidRDefault="00C10776" w:rsidP="00C10776">
            <w:pPr>
              <w:ind w:firstLineChars="600" w:firstLine="1200"/>
              <w:rPr>
                <w:rFonts w:ascii="Times New Roman" w:hAnsi="Times New Roman"/>
                <w:kern w:val="0"/>
                <w:sz w:val="20"/>
                <w:szCs w:val="20"/>
              </w:rPr>
            </w:pPr>
            <w:r w:rsidRPr="006A4F10">
              <w:rPr>
                <w:rFonts w:ascii="Times New Roman" w:hAnsi="Times New Roman" w:hint="eastAsia"/>
                <w:kern w:val="0"/>
                <w:sz w:val="20"/>
                <w:szCs w:val="20"/>
              </w:rPr>
              <w:t>教学内容</w:t>
            </w:r>
          </w:p>
        </w:tc>
        <w:tc>
          <w:tcPr>
            <w:tcW w:w="3188"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基本要求</w:t>
            </w:r>
          </w:p>
        </w:tc>
      </w:tr>
      <w:tr w:rsidR="00C10776" w:rsidTr="00C10776">
        <w:trPr>
          <w:trHeight w:val="3725"/>
        </w:trPr>
        <w:tc>
          <w:tcPr>
            <w:tcW w:w="532"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lastRenderedPageBreak/>
              <w:t>1</w:t>
            </w:r>
          </w:p>
        </w:tc>
        <w:tc>
          <w:tcPr>
            <w:tcW w:w="1362"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第一章</w:t>
            </w:r>
          </w:p>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概述</w:t>
            </w:r>
          </w:p>
        </w:tc>
        <w:tc>
          <w:tcPr>
            <w:tcW w:w="1154" w:type="dxa"/>
            <w:vAlign w:val="center"/>
          </w:tcPr>
          <w:p w:rsidR="00C10776" w:rsidRPr="006A4F10" w:rsidRDefault="00C10776" w:rsidP="00C10776">
            <w:pPr>
              <w:spacing w:line="360" w:lineRule="auto"/>
              <w:jc w:val="center"/>
              <w:textAlignment w:val="center"/>
              <w:rPr>
                <w:rFonts w:ascii="Times New Roman" w:hAnsi="Times New Roman"/>
                <w:kern w:val="0"/>
                <w:sz w:val="20"/>
                <w:szCs w:val="20"/>
              </w:rPr>
            </w:pPr>
            <w:r w:rsidRPr="006A4F10">
              <w:rPr>
                <w:rFonts w:ascii="Times New Roman" w:hAnsi="Times New Roman"/>
                <w:kern w:val="0"/>
                <w:sz w:val="20"/>
                <w:szCs w:val="20"/>
              </w:rPr>
              <w:t>2</w:t>
            </w:r>
          </w:p>
        </w:tc>
        <w:tc>
          <w:tcPr>
            <w:tcW w:w="3366"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建立必要的控制系统基本概念：开环控制、闭环控制、控制器、被控对象、反馈。</w:t>
            </w:r>
          </w:p>
        </w:tc>
        <w:tc>
          <w:tcPr>
            <w:tcW w:w="3188"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要求学生能根据控制系统工作原理图绘制方框图。</w:t>
            </w:r>
          </w:p>
        </w:tc>
      </w:tr>
      <w:tr w:rsidR="00C10776" w:rsidTr="00C10776">
        <w:trPr>
          <w:trHeight w:val="2203"/>
        </w:trPr>
        <w:tc>
          <w:tcPr>
            <w:tcW w:w="532" w:type="dxa"/>
            <w:vAlign w:val="center"/>
          </w:tcPr>
          <w:p w:rsidR="00C10776" w:rsidRPr="006A4F10" w:rsidRDefault="00C10776" w:rsidP="006A4F10">
            <w:pPr>
              <w:jc w:val="center"/>
              <w:rPr>
                <w:rFonts w:ascii="Times New Roman" w:hAnsi="Times New Roman"/>
                <w:kern w:val="0"/>
                <w:sz w:val="20"/>
                <w:szCs w:val="20"/>
              </w:rPr>
            </w:pPr>
          </w:p>
          <w:p w:rsidR="00C10776" w:rsidRPr="006A4F10" w:rsidRDefault="00C10776" w:rsidP="006A4F10">
            <w:pPr>
              <w:jc w:val="center"/>
              <w:rPr>
                <w:rFonts w:ascii="Times New Roman" w:hAnsi="Times New Roman"/>
                <w:kern w:val="0"/>
                <w:sz w:val="20"/>
                <w:szCs w:val="20"/>
              </w:rPr>
            </w:pPr>
            <w:r w:rsidRPr="006A4F10">
              <w:rPr>
                <w:rFonts w:ascii="Times New Roman" w:hAnsi="Times New Roman" w:hint="eastAsia"/>
                <w:kern w:val="0"/>
                <w:sz w:val="20"/>
                <w:szCs w:val="20"/>
              </w:rPr>
              <w:t>2</w:t>
            </w:r>
          </w:p>
        </w:tc>
        <w:tc>
          <w:tcPr>
            <w:tcW w:w="1362" w:type="dxa"/>
            <w:vAlign w:val="center"/>
          </w:tcPr>
          <w:p w:rsidR="00C10776" w:rsidRPr="006A4F10" w:rsidRDefault="00C10776" w:rsidP="006A4F10">
            <w:pPr>
              <w:jc w:val="center"/>
              <w:rPr>
                <w:rFonts w:ascii="Times New Roman" w:hAnsi="Times New Roman"/>
                <w:kern w:val="0"/>
                <w:sz w:val="20"/>
                <w:szCs w:val="20"/>
              </w:rPr>
            </w:pPr>
            <w:r w:rsidRPr="006A4F10">
              <w:rPr>
                <w:rFonts w:ascii="Times New Roman" w:hAnsi="Times New Roman" w:hint="eastAsia"/>
                <w:kern w:val="0"/>
                <w:sz w:val="20"/>
                <w:szCs w:val="20"/>
              </w:rPr>
              <w:t>第二章</w:t>
            </w:r>
          </w:p>
          <w:p w:rsidR="00C10776" w:rsidRPr="006A4F10" w:rsidRDefault="00C10776" w:rsidP="006A4F10">
            <w:pPr>
              <w:jc w:val="center"/>
              <w:rPr>
                <w:rFonts w:ascii="Times New Roman" w:hAnsi="Times New Roman"/>
                <w:kern w:val="0"/>
                <w:sz w:val="20"/>
                <w:szCs w:val="20"/>
              </w:rPr>
            </w:pPr>
            <w:r w:rsidRPr="006A4F10">
              <w:rPr>
                <w:rFonts w:ascii="Times New Roman" w:hAnsi="Times New Roman" w:hint="eastAsia"/>
                <w:kern w:val="0"/>
                <w:sz w:val="20"/>
                <w:szCs w:val="20"/>
              </w:rPr>
              <w:t>控制系统的数学模型</w:t>
            </w:r>
          </w:p>
        </w:tc>
        <w:tc>
          <w:tcPr>
            <w:tcW w:w="1154" w:type="dxa"/>
            <w:vAlign w:val="center"/>
          </w:tcPr>
          <w:p w:rsidR="00C10776" w:rsidRPr="006A4F10" w:rsidRDefault="00C10776" w:rsidP="006A4F10">
            <w:pPr>
              <w:spacing w:line="360" w:lineRule="auto"/>
              <w:jc w:val="center"/>
              <w:rPr>
                <w:rFonts w:ascii="Times New Roman" w:hAnsi="Times New Roman"/>
                <w:kern w:val="0"/>
                <w:sz w:val="20"/>
                <w:szCs w:val="20"/>
              </w:rPr>
            </w:pPr>
            <w:r w:rsidRPr="006A4F10">
              <w:rPr>
                <w:rFonts w:ascii="Times New Roman" w:hAnsi="Times New Roman"/>
                <w:kern w:val="0"/>
                <w:sz w:val="20"/>
                <w:szCs w:val="20"/>
              </w:rPr>
              <w:t>6</w:t>
            </w:r>
          </w:p>
        </w:tc>
        <w:tc>
          <w:tcPr>
            <w:tcW w:w="3366" w:type="dxa"/>
            <w:vAlign w:val="center"/>
          </w:tcPr>
          <w:p w:rsidR="00C10776" w:rsidRPr="006A4F10" w:rsidRDefault="00C10776" w:rsidP="006A4F10">
            <w:pPr>
              <w:jc w:val="center"/>
              <w:rPr>
                <w:rFonts w:ascii="Times New Roman" w:hAnsi="Times New Roman"/>
                <w:kern w:val="0"/>
                <w:sz w:val="20"/>
                <w:szCs w:val="20"/>
              </w:rPr>
            </w:pPr>
            <w:r w:rsidRPr="006A4F10">
              <w:rPr>
                <w:rFonts w:ascii="Times New Roman" w:hAnsi="Times New Roman" w:hint="eastAsia"/>
                <w:kern w:val="0"/>
                <w:sz w:val="20"/>
                <w:szCs w:val="20"/>
              </w:rPr>
              <w:t>1</w:t>
            </w:r>
            <w:r w:rsidRPr="006A4F10">
              <w:rPr>
                <w:rFonts w:ascii="Times New Roman" w:hAnsi="Times New Roman" w:hint="eastAsia"/>
                <w:kern w:val="0"/>
                <w:sz w:val="20"/>
                <w:szCs w:val="20"/>
              </w:rPr>
              <w:t>）控制系统的时域数学模型</w:t>
            </w:r>
          </w:p>
          <w:p w:rsidR="00C10776" w:rsidRPr="006A4F10" w:rsidRDefault="00C10776" w:rsidP="006A4F10">
            <w:pPr>
              <w:jc w:val="center"/>
              <w:rPr>
                <w:rFonts w:ascii="Times New Roman" w:hAnsi="Times New Roman"/>
                <w:kern w:val="0"/>
                <w:sz w:val="20"/>
                <w:szCs w:val="20"/>
              </w:rPr>
            </w:pPr>
            <w:r w:rsidRPr="006A4F10">
              <w:rPr>
                <w:rFonts w:ascii="Times New Roman" w:hAnsi="Times New Roman" w:hint="eastAsia"/>
                <w:kern w:val="0"/>
                <w:sz w:val="20"/>
                <w:szCs w:val="20"/>
              </w:rPr>
              <w:t>2</w:t>
            </w:r>
            <w:r w:rsidRPr="006A4F10">
              <w:rPr>
                <w:rFonts w:ascii="Times New Roman" w:hAnsi="Times New Roman" w:hint="eastAsia"/>
                <w:kern w:val="0"/>
                <w:sz w:val="20"/>
                <w:szCs w:val="20"/>
              </w:rPr>
              <w:t>）控制系统的复域数学模型</w:t>
            </w:r>
          </w:p>
          <w:p w:rsidR="00C10776" w:rsidRPr="006A4F10" w:rsidRDefault="00C10776" w:rsidP="006A4F10">
            <w:pPr>
              <w:jc w:val="center"/>
              <w:rPr>
                <w:rFonts w:ascii="Times New Roman" w:hAnsi="Times New Roman"/>
                <w:kern w:val="0"/>
                <w:sz w:val="20"/>
                <w:szCs w:val="20"/>
              </w:rPr>
            </w:pPr>
            <w:r w:rsidRPr="006A4F10">
              <w:rPr>
                <w:rFonts w:ascii="Times New Roman" w:hAnsi="Times New Roman" w:hint="eastAsia"/>
                <w:kern w:val="0"/>
                <w:sz w:val="20"/>
                <w:szCs w:val="20"/>
              </w:rPr>
              <w:t>3</w:t>
            </w:r>
            <w:r w:rsidRPr="006A4F10">
              <w:rPr>
                <w:rFonts w:ascii="Times New Roman" w:hAnsi="Times New Roman" w:hint="eastAsia"/>
                <w:kern w:val="0"/>
                <w:sz w:val="20"/>
                <w:szCs w:val="20"/>
              </w:rPr>
              <w:t>）控制系统的结构图及其等效转换</w:t>
            </w:r>
          </w:p>
          <w:p w:rsidR="00C10776" w:rsidRPr="006A4F10" w:rsidRDefault="00C10776" w:rsidP="006A4F10">
            <w:pPr>
              <w:jc w:val="center"/>
              <w:rPr>
                <w:rFonts w:ascii="Times New Roman" w:hAnsi="Times New Roman"/>
                <w:kern w:val="0"/>
                <w:sz w:val="20"/>
                <w:szCs w:val="20"/>
              </w:rPr>
            </w:pPr>
            <w:r w:rsidRPr="006A4F10">
              <w:rPr>
                <w:rFonts w:ascii="Times New Roman" w:hAnsi="Times New Roman" w:hint="eastAsia"/>
                <w:kern w:val="0"/>
                <w:sz w:val="20"/>
                <w:szCs w:val="20"/>
              </w:rPr>
              <w:t>4</w:t>
            </w:r>
            <w:r w:rsidRPr="006A4F10">
              <w:rPr>
                <w:rFonts w:ascii="Times New Roman" w:hAnsi="Times New Roman" w:hint="eastAsia"/>
                <w:kern w:val="0"/>
                <w:sz w:val="20"/>
                <w:szCs w:val="20"/>
              </w:rPr>
              <w:t>）控制系统的传递函数</w:t>
            </w:r>
          </w:p>
          <w:p w:rsidR="00C10776" w:rsidRPr="006A4F10" w:rsidRDefault="00C10776" w:rsidP="006A4F10">
            <w:pPr>
              <w:jc w:val="center"/>
              <w:rPr>
                <w:rFonts w:ascii="Times New Roman" w:hAnsi="Times New Roman"/>
                <w:kern w:val="0"/>
                <w:sz w:val="20"/>
                <w:szCs w:val="20"/>
              </w:rPr>
            </w:pPr>
            <w:r w:rsidRPr="006A4F10">
              <w:rPr>
                <w:rFonts w:ascii="Times New Roman" w:hAnsi="Times New Roman" w:hint="eastAsia"/>
                <w:kern w:val="0"/>
                <w:sz w:val="20"/>
                <w:szCs w:val="20"/>
              </w:rPr>
              <w:t>重点：常用元部件传递函数的求取；系统传递函数的求取。</w:t>
            </w:r>
          </w:p>
          <w:p w:rsidR="00C10776" w:rsidRPr="006A4F10" w:rsidRDefault="00C10776" w:rsidP="006A4F10">
            <w:pPr>
              <w:jc w:val="center"/>
              <w:rPr>
                <w:rFonts w:ascii="Times New Roman" w:hAnsi="Times New Roman"/>
                <w:kern w:val="0"/>
                <w:sz w:val="20"/>
                <w:szCs w:val="20"/>
              </w:rPr>
            </w:pPr>
            <w:r w:rsidRPr="006A4F10">
              <w:rPr>
                <w:rFonts w:ascii="Times New Roman" w:hAnsi="Times New Roman" w:hint="eastAsia"/>
                <w:kern w:val="0"/>
                <w:sz w:val="20"/>
                <w:szCs w:val="20"/>
              </w:rPr>
              <w:t>难点：结构图等效变换；拉普拉斯变换法。</w:t>
            </w:r>
          </w:p>
        </w:tc>
        <w:tc>
          <w:tcPr>
            <w:tcW w:w="3188" w:type="dxa"/>
            <w:vAlign w:val="center"/>
          </w:tcPr>
          <w:p w:rsidR="00C10776" w:rsidRPr="006A4F10" w:rsidRDefault="00C10776" w:rsidP="006A4F10">
            <w:pPr>
              <w:jc w:val="center"/>
              <w:rPr>
                <w:rFonts w:ascii="Times New Roman" w:hAnsi="Times New Roman"/>
                <w:kern w:val="0"/>
                <w:sz w:val="20"/>
                <w:szCs w:val="20"/>
              </w:rPr>
            </w:pPr>
            <w:r w:rsidRPr="006A4F10">
              <w:rPr>
                <w:rFonts w:ascii="Times New Roman" w:hAnsi="Times New Roman" w:hint="eastAsia"/>
                <w:kern w:val="0"/>
                <w:sz w:val="20"/>
                <w:szCs w:val="20"/>
              </w:rPr>
              <w:t>主要内容：能够用理论推导的方法建立电路系统、力学系统、热学系统的数学模型－微分方程；典型元部件的传递函数的求取，结构图的绘制，由结构图等效变换求传递函数。</w:t>
            </w:r>
          </w:p>
        </w:tc>
      </w:tr>
      <w:tr w:rsidR="00C10776" w:rsidTr="00C10776">
        <w:trPr>
          <w:trHeight w:val="2324"/>
        </w:trPr>
        <w:tc>
          <w:tcPr>
            <w:tcW w:w="532"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3</w:t>
            </w:r>
          </w:p>
        </w:tc>
        <w:tc>
          <w:tcPr>
            <w:tcW w:w="1362"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第三章</w:t>
            </w:r>
          </w:p>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控制系统的时域分析法</w:t>
            </w:r>
          </w:p>
        </w:tc>
        <w:tc>
          <w:tcPr>
            <w:tcW w:w="1154" w:type="dxa"/>
            <w:vAlign w:val="center"/>
          </w:tcPr>
          <w:p w:rsidR="00C10776" w:rsidRPr="006A4F10" w:rsidRDefault="00C10776" w:rsidP="00C10776">
            <w:pPr>
              <w:spacing w:line="360" w:lineRule="auto"/>
              <w:jc w:val="center"/>
              <w:rPr>
                <w:rFonts w:ascii="Times New Roman" w:hAnsi="Times New Roman"/>
                <w:kern w:val="0"/>
                <w:sz w:val="20"/>
                <w:szCs w:val="20"/>
              </w:rPr>
            </w:pPr>
            <w:r w:rsidRPr="006A4F10">
              <w:rPr>
                <w:rFonts w:ascii="Times New Roman" w:hAnsi="Times New Roman"/>
                <w:kern w:val="0"/>
                <w:sz w:val="20"/>
                <w:szCs w:val="20"/>
              </w:rPr>
              <w:t>8</w:t>
            </w:r>
          </w:p>
        </w:tc>
        <w:tc>
          <w:tcPr>
            <w:tcW w:w="3366"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主要内容：时域性能指标的定义，一阶和二阶系统性能指标的求取及二阶系统性能改善的方法，劳斯稳定判据及其应用，稳态误差的分析与计算，减小或消除稳态误差的方法，用</w:t>
            </w:r>
            <w:r w:rsidRPr="006A4F10">
              <w:rPr>
                <w:rFonts w:ascii="Times New Roman" w:hAnsi="Times New Roman" w:hint="eastAsia"/>
                <w:kern w:val="0"/>
                <w:sz w:val="20"/>
                <w:szCs w:val="20"/>
              </w:rPr>
              <w:t>Matlab</w:t>
            </w:r>
            <w:r w:rsidRPr="006A4F10">
              <w:rPr>
                <w:rFonts w:ascii="Times New Roman" w:hAnsi="Times New Roman" w:hint="eastAsia"/>
                <w:kern w:val="0"/>
                <w:sz w:val="20"/>
                <w:szCs w:val="20"/>
              </w:rPr>
              <w:t>求高阶系统动态性能指标。</w:t>
            </w:r>
          </w:p>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重点：二阶系统动态性能计算及劳斯判据。</w:t>
            </w:r>
          </w:p>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难点：扰动作用下减小或消除稳态误差的计算。</w:t>
            </w:r>
          </w:p>
        </w:tc>
        <w:tc>
          <w:tcPr>
            <w:tcW w:w="3188"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能够根据控制系统的数学模型，对系统进行时域分析，推导系统的稳态和动态响应指标</w:t>
            </w:r>
          </w:p>
        </w:tc>
      </w:tr>
      <w:tr w:rsidR="00C10776" w:rsidTr="00C10776">
        <w:trPr>
          <w:trHeight w:val="1380"/>
        </w:trPr>
        <w:tc>
          <w:tcPr>
            <w:tcW w:w="532"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4</w:t>
            </w:r>
          </w:p>
        </w:tc>
        <w:tc>
          <w:tcPr>
            <w:tcW w:w="1362"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第四章</w:t>
            </w:r>
          </w:p>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控制系统的根轨迹法</w:t>
            </w:r>
          </w:p>
        </w:tc>
        <w:tc>
          <w:tcPr>
            <w:tcW w:w="1154" w:type="dxa"/>
            <w:vAlign w:val="center"/>
          </w:tcPr>
          <w:p w:rsidR="00C10776" w:rsidRPr="006A4F10" w:rsidRDefault="00C10776" w:rsidP="00C10776">
            <w:pPr>
              <w:spacing w:line="360" w:lineRule="auto"/>
              <w:jc w:val="center"/>
              <w:rPr>
                <w:rFonts w:ascii="Times New Roman" w:hAnsi="Times New Roman"/>
                <w:kern w:val="0"/>
                <w:sz w:val="20"/>
                <w:szCs w:val="20"/>
              </w:rPr>
            </w:pPr>
            <w:r w:rsidRPr="006A4F10">
              <w:rPr>
                <w:rFonts w:ascii="Times New Roman" w:hAnsi="Times New Roman"/>
                <w:kern w:val="0"/>
                <w:sz w:val="20"/>
                <w:szCs w:val="20"/>
              </w:rPr>
              <w:t>2</w:t>
            </w:r>
          </w:p>
        </w:tc>
        <w:tc>
          <w:tcPr>
            <w:tcW w:w="3366"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主要内容：根轨迹的概念，根轨迹方程，绘制根轨迹的基本法则，用根轨迹法分析系统；主导极点。</w:t>
            </w:r>
          </w:p>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重点：由根轨迹分析系统性能。</w:t>
            </w:r>
          </w:p>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难点：根轨迹的分析与应用。</w:t>
            </w:r>
          </w:p>
        </w:tc>
        <w:tc>
          <w:tcPr>
            <w:tcW w:w="3188"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掌握根轨迹法，并利用该方法判定系统稳定性</w:t>
            </w:r>
          </w:p>
        </w:tc>
      </w:tr>
      <w:tr w:rsidR="00C10776" w:rsidTr="00C10776">
        <w:trPr>
          <w:trHeight w:val="1269"/>
        </w:trPr>
        <w:tc>
          <w:tcPr>
            <w:tcW w:w="532"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5</w:t>
            </w:r>
          </w:p>
        </w:tc>
        <w:tc>
          <w:tcPr>
            <w:tcW w:w="1362"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第五章</w:t>
            </w:r>
          </w:p>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控制系统的频率特性法</w:t>
            </w:r>
          </w:p>
        </w:tc>
        <w:tc>
          <w:tcPr>
            <w:tcW w:w="1154" w:type="dxa"/>
            <w:vAlign w:val="center"/>
          </w:tcPr>
          <w:p w:rsidR="00C10776" w:rsidRPr="006A4F10" w:rsidRDefault="00C10776" w:rsidP="00C10776">
            <w:pPr>
              <w:spacing w:line="360" w:lineRule="auto"/>
              <w:jc w:val="center"/>
              <w:rPr>
                <w:rFonts w:ascii="Times New Roman" w:hAnsi="Times New Roman"/>
                <w:kern w:val="0"/>
                <w:sz w:val="20"/>
                <w:szCs w:val="20"/>
              </w:rPr>
            </w:pPr>
            <w:r w:rsidRPr="006A4F10">
              <w:rPr>
                <w:rFonts w:ascii="Times New Roman" w:hAnsi="Times New Roman"/>
                <w:kern w:val="0"/>
                <w:sz w:val="20"/>
                <w:szCs w:val="20"/>
              </w:rPr>
              <w:t>4</w:t>
            </w:r>
          </w:p>
        </w:tc>
        <w:tc>
          <w:tcPr>
            <w:tcW w:w="3366"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主要内容：频域特性的物理意义，图形表示方法，奈氏判据，稳定裕度，用频率特性建立系统的数学模型。</w:t>
            </w:r>
          </w:p>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重点：利用奈氏判据判定系统稳定性。</w:t>
            </w:r>
          </w:p>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难点：系统的开环幅相曲线的绘制、对数曲线的概略绘制。</w:t>
            </w:r>
          </w:p>
        </w:tc>
        <w:tc>
          <w:tcPr>
            <w:tcW w:w="3188"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熟悉频域特性分析方法，进行控制系统的频域稳定性判定</w:t>
            </w:r>
          </w:p>
        </w:tc>
      </w:tr>
      <w:tr w:rsidR="00C10776" w:rsidTr="00C10776">
        <w:trPr>
          <w:trHeight w:val="990"/>
        </w:trPr>
        <w:tc>
          <w:tcPr>
            <w:tcW w:w="532"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lastRenderedPageBreak/>
              <w:t>6</w:t>
            </w:r>
          </w:p>
        </w:tc>
        <w:tc>
          <w:tcPr>
            <w:tcW w:w="1362" w:type="dxa"/>
            <w:vAlign w:val="center"/>
          </w:tcPr>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第七章</w:t>
            </w:r>
          </w:p>
          <w:p w:rsidR="00C10776" w:rsidRPr="006A4F10" w:rsidRDefault="00C10776" w:rsidP="00C10776">
            <w:pPr>
              <w:jc w:val="center"/>
              <w:rPr>
                <w:rFonts w:ascii="Times New Roman" w:hAnsi="Times New Roman"/>
                <w:kern w:val="0"/>
                <w:sz w:val="20"/>
                <w:szCs w:val="20"/>
              </w:rPr>
            </w:pPr>
            <w:r w:rsidRPr="006A4F10">
              <w:rPr>
                <w:rFonts w:ascii="Times New Roman" w:hAnsi="Times New Roman" w:hint="eastAsia"/>
                <w:kern w:val="0"/>
                <w:sz w:val="20"/>
                <w:szCs w:val="20"/>
              </w:rPr>
              <w:t>计算机过程控制及自控原理的应用</w:t>
            </w:r>
          </w:p>
        </w:tc>
        <w:tc>
          <w:tcPr>
            <w:tcW w:w="1154" w:type="dxa"/>
            <w:vAlign w:val="center"/>
          </w:tcPr>
          <w:p w:rsidR="00C10776" w:rsidRPr="006A4F10" w:rsidRDefault="00C10776" w:rsidP="00C10776">
            <w:pPr>
              <w:spacing w:line="360" w:lineRule="auto"/>
              <w:jc w:val="center"/>
              <w:rPr>
                <w:rFonts w:ascii="Times New Roman" w:hAnsi="Times New Roman"/>
                <w:kern w:val="0"/>
                <w:sz w:val="20"/>
                <w:szCs w:val="20"/>
              </w:rPr>
            </w:pPr>
            <w:r w:rsidRPr="006A4F10">
              <w:rPr>
                <w:rFonts w:ascii="Times New Roman" w:hAnsi="Times New Roman" w:hint="eastAsia"/>
                <w:kern w:val="0"/>
                <w:sz w:val="20"/>
                <w:szCs w:val="20"/>
              </w:rPr>
              <w:t>2</w:t>
            </w:r>
          </w:p>
        </w:tc>
        <w:tc>
          <w:tcPr>
            <w:tcW w:w="3366" w:type="dxa"/>
            <w:vAlign w:val="center"/>
          </w:tcPr>
          <w:p w:rsidR="00C10776" w:rsidRPr="006A4F10" w:rsidRDefault="00C10776" w:rsidP="005F6318">
            <w:pPr>
              <w:numPr>
                <w:ilvl w:val="0"/>
                <w:numId w:val="22"/>
              </w:numPr>
              <w:rPr>
                <w:rFonts w:ascii="Times New Roman" w:hAnsi="Times New Roman"/>
                <w:kern w:val="0"/>
                <w:sz w:val="20"/>
                <w:szCs w:val="20"/>
              </w:rPr>
            </w:pPr>
            <w:r w:rsidRPr="006A4F10">
              <w:rPr>
                <w:rFonts w:ascii="Times New Roman" w:hAnsi="Times New Roman" w:hint="eastAsia"/>
                <w:kern w:val="0"/>
                <w:sz w:val="20"/>
                <w:szCs w:val="20"/>
              </w:rPr>
              <w:t>计算机过程控制系统的组成、特点及分类</w:t>
            </w:r>
          </w:p>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2</w:t>
            </w:r>
            <w:r w:rsidRPr="006A4F10">
              <w:rPr>
                <w:rFonts w:ascii="Times New Roman" w:hAnsi="Times New Roman" w:hint="eastAsia"/>
                <w:kern w:val="0"/>
                <w:sz w:val="20"/>
                <w:szCs w:val="20"/>
              </w:rPr>
              <w:t>）计算机过程控制系统的实现</w:t>
            </w:r>
          </w:p>
        </w:tc>
        <w:tc>
          <w:tcPr>
            <w:tcW w:w="3188" w:type="dxa"/>
            <w:vAlign w:val="center"/>
          </w:tcPr>
          <w:p w:rsidR="00C10776" w:rsidRPr="006A4F10" w:rsidRDefault="00C10776" w:rsidP="00C10776">
            <w:pPr>
              <w:rPr>
                <w:rFonts w:ascii="Times New Roman" w:hAnsi="Times New Roman"/>
                <w:kern w:val="0"/>
                <w:sz w:val="20"/>
                <w:szCs w:val="20"/>
              </w:rPr>
            </w:pPr>
            <w:r w:rsidRPr="006A4F10">
              <w:rPr>
                <w:rFonts w:ascii="Times New Roman" w:hAnsi="Times New Roman" w:hint="eastAsia"/>
                <w:kern w:val="0"/>
                <w:sz w:val="20"/>
                <w:szCs w:val="20"/>
              </w:rPr>
              <w:t>能够以实际生活中设备（冰箱、空调等）的通断控制为例，说明自动控制原理的应用。</w:t>
            </w:r>
          </w:p>
        </w:tc>
      </w:tr>
    </w:tbl>
    <w:p w:rsidR="00C10776" w:rsidRDefault="00C10776" w:rsidP="00C10776">
      <w:pPr>
        <w:spacing w:beforeLines="50" w:before="156" w:afterLines="50" w:after="156" w:line="560" w:lineRule="exact"/>
        <w:rPr>
          <w:rFonts w:ascii="黑体" w:eastAsia="黑体" w:hAnsi="黑体"/>
          <w:b/>
          <w:sz w:val="28"/>
          <w:szCs w:val="28"/>
        </w:rPr>
      </w:pP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课程考核</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考核方式为：考试</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2. 成绩评定</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成绩评定方式：百分制</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sz w:val="28"/>
          <w:szCs w:val="28"/>
        </w:rPr>
        <w:t>课程总成绩=期末成绩</w:t>
      </w:r>
      <w:r>
        <w:rPr>
          <w:rFonts w:ascii="仿宋_GB2312" w:hAnsi="仿宋_GB2312" w:cs="仿宋_GB2312" w:hint="eastAsia"/>
          <w:sz w:val="28"/>
          <w:szCs w:val="28"/>
        </w:rPr>
        <w:t>（</w:t>
      </w:r>
      <w:r>
        <w:rPr>
          <w:rFonts w:ascii="仿宋_GB2312" w:hAnsi="仿宋_GB2312" w:cs="仿宋_GB2312"/>
          <w:sz w:val="28"/>
          <w:szCs w:val="28"/>
        </w:rPr>
        <w:t>6</w:t>
      </w:r>
      <w:r>
        <w:rPr>
          <w:rFonts w:ascii="仿宋_GB2312" w:hAnsi="仿宋_GB2312" w:cs="仿宋_GB2312" w:hint="eastAsia"/>
          <w:sz w:val="28"/>
          <w:szCs w:val="28"/>
        </w:rPr>
        <w:t>0%～</w:t>
      </w:r>
      <w:r>
        <w:rPr>
          <w:rFonts w:ascii="仿宋_GB2312" w:hAnsi="仿宋_GB2312" w:cs="仿宋_GB2312"/>
          <w:sz w:val="28"/>
          <w:szCs w:val="28"/>
        </w:rPr>
        <w:t>7</w:t>
      </w:r>
      <w:r>
        <w:rPr>
          <w:rFonts w:ascii="仿宋_GB2312" w:hAnsi="仿宋_GB2312" w:cs="仿宋_GB2312" w:hint="eastAsia"/>
          <w:sz w:val="28"/>
          <w:szCs w:val="28"/>
        </w:rPr>
        <w:t>0%）+平时</w:t>
      </w:r>
      <w:r>
        <w:rPr>
          <w:rFonts w:ascii="仿宋_GB2312" w:hAnsi="仿宋_GB2312" w:cs="仿宋_GB2312"/>
          <w:sz w:val="28"/>
          <w:szCs w:val="28"/>
        </w:rPr>
        <w:t>成绩</w:t>
      </w:r>
      <w:r>
        <w:rPr>
          <w:rFonts w:ascii="仿宋_GB2312" w:hAnsi="仿宋_GB2312" w:cs="仿宋_GB2312" w:hint="eastAsia"/>
          <w:sz w:val="28"/>
          <w:szCs w:val="28"/>
        </w:rPr>
        <w:t>（</w:t>
      </w:r>
      <w:r>
        <w:rPr>
          <w:rFonts w:ascii="仿宋_GB2312" w:hAnsi="仿宋_GB2312" w:cs="仿宋_GB2312"/>
          <w:sz w:val="28"/>
          <w:szCs w:val="28"/>
        </w:rPr>
        <w:t>3</w:t>
      </w:r>
      <w:r>
        <w:rPr>
          <w:rFonts w:ascii="仿宋_GB2312" w:hAnsi="仿宋_GB2312" w:cs="仿宋_GB2312" w:hint="eastAsia"/>
          <w:sz w:val="28"/>
          <w:szCs w:val="28"/>
        </w:rPr>
        <w:t>0%～</w:t>
      </w:r>
      <w:r>
        <w:rPr>
          <w:rFonts w:ascii="仿宋_GB2312" w:hAnsi="仿宋_GB2312" w:cs="仿宋_GB2312"/>
          <w:sz w:val="28"/>
          <w:szCs w:val="28"/>
        </w:rPr>
        <w:t>4</w:t>
      </w:r>
      <w:r>
        <w:rPr>
          <w:rFonts w:ascii="仿宋_GB2312" w:hAnsi="仿宋_GB2312" w:cs="仿宋_GB2312" w:hint="eastAsia"/>
          <w:sz w:val="28"/>
          <w:szCs w:val="28"/>
        </w:rPr>
        <w:t>0%），说明</w:t>
      </w:r>
      <w:r>
        <w:rPr>
          <w:rFonts w:ascii="仿宋_GB2312" w:hAnsi="仿宋_GB2312" w:cs="仿宋_GB2312"/>
          <w:sz w:val="28"/>
          <w:szCs w:val="28"/>
        </w:rPr>
        <w:t>如下：</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建议学生复习已学知识，同时查阅相关资料（附主要参考书），并在学习过程中理论联系实际，多思考，勤观察，结合大作业来巩固提高。采用平时成绩+期末考试方式确定总评成绩。其中平时成绩考核包括作业、讨论、出勤等内容，期末考试采用闭卷方式。平时成绩占</w:t>
      </w:r>
      <w:r>
        <w:rPr>
          <w:rFonts w:ascii="仿宋_GB2312" w:hAnsi="仿宋_GB2312" w:cs="仿宋_GB2312"/>
          <w:sz w:val="28"/>
          <w:szCs w:val="28"/>
        </w:rPr>
        <w:t>3</w:t>
      </w:r>
      <w:r>
        <w:rPr>
          <w:rFonts w:ascii="仿宋_GB2312" w:hAnsi="仿宋_GB2312" w:cs="仿宋_GB2312" w:hint="eastAsia"/>
          <w:sz w:val="28"/>
          <w:szCs w:val="28"/>
        </w:rPr>
        <w:t>0%～</w:t>
      </w:r>
      <w:r>
        <w:rPr>
          <w:rFonts w:ascii="仿宋_GB2312" w:hAnsi="仿宋_GB2312" w:cs="仿宋_GB2312"/>
          <w:sz w:val="28"/>
          <w:szCs w:val="28"/>
        </w:rPr>
        <w:t>4</w:t>
      </w:r>
      <w:r>
        <w:rPr>
          <w:rFonts w:ascii="仿宋_GB2312" w:hAnsi="仿宋_GB2312" w:cs="仿宋_GB2312" w:hint="eastAsia"/>
          <w:sz w:val="28"/>
          <w:szCs w:val="28"/>
        </w:rPr>
        <w:t>0%，期末考试成绩占</w:t>
      </w:r>
      <w:r>
        <w:rPr>
          <w:rFonts w:ascii="仿宋_GB2312" w:hAnsi="仿宋_GB2312" w:cs="仿宋_GB2312"/>
          <w:sz w:val="28"/>
          <w:szCs w:val="28"/>
        </w:rPr>
        <w:t>6</w:t>
      </w:r>
      <w:r>
        <w:rPr>
          <w:rFonts w:ascii="仿宋_GB2312" w:hAnsi="仿宋_GB2312" w:cs="仿宋_GB2312" w:hint="eastAsia"/>
          <w:sz w:val="28"/>
          <w:szCs w:val="28"/>
        </w:rPr>
        <w:t>0%～</w:t>
      </w:r>
      <w:r>
        <w:rPr>
          <w:rFonts w:ascii="仿宋_GB2312" w:hAnsi="仿宋_GB2312" w:cs="仿宋_GB2312"/>
          <w:sz w:val="28"/>
          <w:szCs w:val="28"/>
        </w:rPr>
        <w:t>7</w:t>
      </w:r>
      <w:r>
        <w:rPr>
          <w:rFonts w:ascii="仿宋_GB2312" w:hAnsi="仿宋_GB2312" w:cs="仿宋_GB2312" w:hint="eastAsia"/>
          <w:sz w:val="28"/>
          <w:szCs w:val="28"/>
        </w:rPr>
        <w:t>0%。</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10776" w:rsidRDefault="00C10776" w:rsidP="00C1077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1.建议教材</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自动控制原理，任庆昌 主编，北京</w:t>
      </w:r>
      <w:r>
        <w:rPr>
          <w:rFonts w:ascii="仿宋_GB2312" w:hAnsi="仿宋_GB2312" w:cs="仿宋_GB2312"/>
          <w:sz w:val="28"/>
          <w:szCs w:val="28"/>
        </w:rPr>
        <w:t>：</w:t>
      </w:r>
      <w:r>
        <w:rPr>
          <w:rFonts w:ascii="仿宋_GB2312" w:hAnsi="仿宋_GB2312" w:cs="仿宋_GB2312" w:hint="eastAsia"/>
          <w:sz w:val="28"/>
          <w:szCs w:val="28"/>
        </w:rPr>
        <w:t>建筑工业出版社，2011年12月出版。</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10776" w:rsidRDefault="00C10776" w:rsidP="00C10776">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胡寿松，自动控制原理（第4版），北京：科学出版社，2002</w:t>
      </w:r>
    </w:p>
    <w:p w:rsidR="00C10776" w:rsidRDefault="00C10776" w:rsidP="00C10776">
      <w:pPr>
        <w:ind w:firstLineChars="200" w:firstLine="422"/>
        <w:jc w:val="left"/>
        <w:rPr>
          <w:rFonts w:ascii="宋体" w:eastAsia="宋体" w:hAnsi="宋体"/>
          <w:b/>
          <w:color w:val="FF0000"/>
          <w:sz w:val="21"/>
          <w:szCs w:val="21"/>
        </w:rPr>
      </w:pP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七、其他</w:t>
      </w:r>
    </w:p>
    <w:p w:rsidR="00C10776" w:rsidRDefault="00C10776" w:rsidP="00C10776">
      <w:pPr>
        <w:spacing w:line="360" w:lineRule="auto"/>
        <w:ind w:firstLine="567"/>
        <w:rPr>
          <w:rFonts w:ascii="黑体" w:eastAsia="黑体" w:hAnsi="黑体"/>
          <w:b/>
          <w:sz w:val="28"/>
          <w:szCs w:val="28"/>
        </w:rPr>
      </w:pPr>
      <w:r>
        <w:rPr>
          <w:rFonts w:ascii="仿宋_GB2312" w:hAnsi="仿宋_GB2312" w:cs="仿宋_GB2312" w:hint="eastAsia"/>
          <w:sz w:val="28"/>
          <w:szCs w:val="28"/>
        </w:rPr>
        <w:t>无</w:t>
      </w:r>
    </w:p>
    <w:p w:rsidR="00C10776" w:rsidRDefault="00C10776" w:rsidP="00C10776">
      <w:pPr>
        <w:spacing w:beforeLines="50" w:before="156" w:afterLines="50" w:after="156" w:line="460" w:lineRule="exact"/>
        <w:rPr>
          <w:rFonts w:ascii="黑体" w:eastAsia="黑体" w:hAnsi="黑体"/>
          <w:b/>
          <w:sz w:val="28"/>
          <w:szCs w:val="28"/>
        </w:rPr>
      </w:pP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大纲撰写人：孟庆龙</w:t>
      </w:r>
      <w:r>
        <w:rPr>
          <w:rFonts w:ascii="仿宋" w:eastAsia="仿宋" w:hAnsi="仿宋"/>
          <w:sz w:val="28"/>
          <w:szCs w:val="28"/>
        </w:rPr>
        <w:t>，谢安生</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课程负责人：孟庆龙</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10776" w:rsidRDefault="00C10776" w:rsidP="00C10776">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10776" w:rsidRDefault="00C10776" w:rsidP="00C10776">
      <w:pPr>
        <w:ind w:firstLineChars="2000" w:firstLine="5600"/>
        <w:jc w:val="left"/>
        <w:rPr>
          <w:rFonts w:ascii="仿宋" w:hAnsi="仿宋"/>
          <w:sz w:val="28"/>
          <w:szCs w:val="28"/>
        </w:rPr>
      </w:pPr>
      <w:r>
        <w:rPr>
          <w:rFonts w:ascii="仿宋_GB2312" w:hAnsi="微软雅黑" w:hint="eastAsia"/>
          <w:sz w:val="28"/>
          <w:szCs w:val="28"/>
        </w:rPr>
        <w:t xml:space="preserve">    </w:t>
      </w:r>
    </w:p>
    <w:p w:rsidR="00C10776" w:rsidRDefault="00C10776" w:rsidP="00C10776">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4</w:t>
      </w:r>
      <w:r>
        <w:rPr>
          <w:rFonts w:ascii="仿宋" w:eastAsia="仿宋" w:hAnsi="仿宋" w:hint="eastAsia"/>
          <w:sz w:val="28"/>
          <w:szCs w:val="28"/>
        </w:rPr>
        <w:t xml:space="preserve"> 月</w:t>
      </w:r>
    </w:p>
    <w:p w:rsidR="00C10776" w:rsidRDefault="00C10776" w:rsidP="00C10776">
      <w:pPr>
        <w:widowControl/>
        <w:spacing w:line="400" w:lineRule="exact"/>
        <w:rPr>
          <w:rFonts w:ascii="黑体" w:eastAsia="黑体" w:hAnsi="黑体" w:cs="宋体"/>
          <w:bCs/>
          <w:color w:val="000000"/>
          <w:kern w:val="0"/>
          <w:szCs w:val="32"/>
        </w:rPr>
      </w:pPr>
    </w:p>
    <w:p w:rsidR="00C10776" w:rsidRDefault="00C10776" w:rsidP="00C10776"/>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6A4F10" w:rsidRDefault="006A4F10" w:rsidP="00C10776">
      <w:pPr>
        <w:jc w:val="left"/>
        <w:rPr>
          <w:rFonts w:ascii="仿宋" w:eastAsia="仿宋" w:hAnsi="仿宋"/>
          <w:sz w:val="28"/>
          <w:szCs w:val="28"/>
        </w:rPr>
      </w:pPr>
    </w:p>
    <w:p w:rsidR="006A4F10" w:rsidRDefault="006A4F10" w:rsidP="00C10776">
      <w:pPr>
        <w:jc w:val="left"/>
        <w:rPr>
          <w:rFonts w:ascii="仿宋" w:eastAsia="仿宋" w:hAnsi="仿宋"/>
          <w:sz w:val="28"/>
          <w:szCs w:val="28"/>
        </w:rPr>
      </w:pPr>
    </w:p>
    <w:p w:rsidR="006A4F10" w:rsidRDefault="006A4F10" w:rsidP="00C10776">
      <w:pPr>
        <w:jc w:val="left"/>
        <w:rPr>
          <w:rFonts w:ascii="仿宋" w:eastAsia="仿宋" w:hAnsi="仿宋"/>
          <w:sz w:val="28"/>
          <w:szCs w:val="28"/>
        </w:rPr>
      </w:pPr>
    </w:p>
    <w:p w:rsidR="00FE09E8" w:rsidRDefault="00FE09E8" w:rsidP="00C10776">
      <w:pPr>
        <w:jc w:val="left"/>
        <w:rPr>
          <w:rFonts w:ascii="仿宋" w:eastAsia="仿宋" w:hAnsi="仿宋"/>
          <w:sz w:val="28"/>
          <w:szCs w:val="28"/>
        </w:rPr>
      </w:pPr>
    </w:p>
    <w:p w:rsidR="00FE09E8" w:rsidRDefault="00FE09E8" w:rsidP="00C10776">
      <w:pPr>
        <w:jc w:val="left"/>
        <w:rPr>
          <w:rFonts w:ascii="仿宋" w:eastAsia="仿宋" w:hAnsi="仿宋"/>
          <w:sz w:val="28"/>
          <w:szCs w:val="28"/>
        </w:rPr>
      </w:pPr>
    </w:p>
    <w:p w:rsidR="00C10776" w:rsidRDefault="00C10776" w:rsidP="00C1077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《流体输配管网》课程教学大纲</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Fluid Transmission and Distribution Pipe Networks</w:t>
      </w:r>
    </w:p>
    <w:p w:rsidR="00C10776" w:rsidRDefault="00C10776" w:rsidP="00C1077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X2807060</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授课语言：双语</w:t>
      </w:r>
    </w:p>
    <w:p w:rsidR="00C10776" w:rsidRDefault="00C10776" w:rsidP="00C107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课程类别：学科基础</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3</w:t>
      </w:r>
    </w:p>
    <w:p w:rsidR="00C10776" w:rsidRDefault="00C10776" w:rsidP="00C107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48</w:t>
      </w:r>
      <w:r>
        <w:rPr>
          <w:rFonts w:ascii="仿宋_GB2312" w:hAnsi="仿宋_GB2312" w:cs="仿宋_GB2312" w:hint="eastAsia"/>
          <w:bCs/>
          <w:sz w:val="28"/>
          <w:szCs w:val="28"/>
        </w:rPr>
        <w:t>学时（授课</w:t>
      </w:r>
      <w:r>
        <w:rPr>
          <w:rFonts w:ascii="仿宋_GB2312" w:hAnsi="仿宋_GB2312" w:cs="仿宋_GB2312"/>
          <w:bCs/>
          <w:sz w:val="28"/>
          <w:szCs w:val="28"/>
        </w:rPr>
        <w:t>44</w:t>
      </w:r>
      <w:r>
        <w:rPr>
          <w:rFonts w:ascii="仿宋_GB2312" w:hAnsi="仿宋_GB2312" w:cs="仿宋_GB2312" w:hint="eastAsia"/>
          <w:bCs/>
          <w:sz w:val="28"/>
          <w:szCs w:val="28"/>
        </w:rPr>
        <w:t>学时，实验</w:t>
      </w:r>
      <w:r>
        <w:rPr>
          <w:rFonts w:ascii="仿宋_GB2312" w:hAnsi="仿宋_GB2312" w:cs="仿宋_GB2312"/>
          <w:bCs/>
          <w:sz w:val="28"/>
          <w:szCs w:val="28"/>
        </w:rPr>
        <w:t>4</w:t>
      </w:r>
      <w:r>
        <w:rPr>
          <w:rFonts w:ascii="仿宋_GB2312" w:hAnsi="仿宋_GB2312" w:cs="仿宋_GB2312" w:hint="eastAsia"/>
          <w:bCs/>
          <w:sz w:val="28"/>
          <w:szCs w:val="28"/>
        </w:rPr>
        <w:t>学时，上机</w:t>
      </w:r>
      <w:r>
        <w:rPr>
          <w:rFonts w:ascii="仿宋_GB2312" w:hAnsi="仿宋_GB2312" w:cs="仿宋_GB2312"/>
          <w:bCs/>
          <w:sz w:val="28"/>
          <w:szCs w:val="28"/>
        </w:rPr>
        <w:t>0</w:t>
      </w:r>
      <w:r>
        <w:rPr>
          <w:rFonts w:ascii="仿宋_GB2312" w:hAnsi="仿宋_GB2312" w:cs="仿宋_GB2312" w:hint="eastAsia"/>
          <w:bCs/>
          <w:sz w:val="28"/>
          <w:szCs w:val="28"/>
        </w:rPr>
        <w:t>学时，课外</w:t>
      </w:r>
      <w:r>
        <w:rPr>
          <w:rFonts w:ascii="仿宋_GB2312" w:hAnsi="仿宋_GB2312" w:cs="仿宋_GB2312"/>
          <w:bCs/>
          <w:sz w:val="28"/>
          <w:szCs w:val="28"/>
        </w:rPr>
        <w:t>0</w:t>
      </w:r>
      <w:r>
        <w:rPr>
          <w:rFonts w:ascii="仿宋_GB2312" w:hAnsi="仿宋_GB2312" w:cs="仿宋_GB2312" w:hint="eastAsia"/>
          <w:bCs/>
          <w:sz w:val="28"/>
          <w:szCs w:val="28"/>
        </w:rPr>
        <w:t>学时）</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先修课程：流体力学、传热学、工程热力学</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10776" w:rsidRDefault="00C10776" w:rsidP="00C10776">
      <w:pPr>
        <w:spacing w:line="560" w:lineRule="exact"/>
        <w:ind w:firstLineChars="200" w:firstLine="560"/>
        <w:jc w:val="left"/>
        <w:rPr>
          <w:rFonts w:ascii="仿宋_GB2312" w:hAnsi="仿宋_GB2312" w:cs="仿宋_GB2312"/>
          <w:bCs/>
          <w:sz w:val="28"/>
          <w:szCs w:val="28"/>
        </w:rPr>
      </w:pPr>
      <w:r>
        <w:rPr>
          <w:rFonts w:ascii="仿宋_GB2312" w:hAnsi="仿宋_GB2312" w:cs="仿宋_GB2312" w:hint="eastAsia"/>
          <w:bCs/>
          <w:sz w:val="28"/>
          <w:szCs w:val="28"/>
        </w:rPr>
        <w:t>《流体输配管网》是建筑环境与能源应用工程专业学生的主干学科基础必修课，也是核心课程之一，是一门综合性、实践性强的课程。该课程是将“暖通空调”、“供热工程”、“建筑给排水”、“燃气输配”等工程中的管网系统原理提炼出来，与泵与风机理论整合在一起形成的一门课程。通过教学，使学生掌握与本专业相关的各类流体输配管网的基本原理，掌握管网系统设计分析的基本理论和方法、泵与风机的性能以及与管网系统的匹配原理，掌握枝状管网</w:t>
      </w:r>
      <w:r>
        <w:rPr>
          <w:rFonts w:ascii="仿宋_GB2312" w:hAnsi="仿宋_GB2312" w:cs="仿宋_GB2312" w:hint="eastAsia"/>
          <w:bCs/>
          <w:sz w:val="28"/>
          <w:szCs w:val="28"/>
        </w:rPr>
        <w:lastRenderedPageBreak/>
        <w:t>水力工况分析与调节方法，初步掌握环状管网水力计算与水力工况分析方法，获得管网系统设计与计算的核心能力。</w:t>
      </w:r>
    </w:p>
    <w:p w:rsidR="00C10776" w:rsidRDefault="00C10776" w:rsidP="00C10776">
      <w:pPr>
        <w:spacing w:line="560" w:lineRule="exact"/>
        <w:ind w:firstLineChars="200" w:firstLine="560"/>
        <w:jc w:val="left"/>
        <w:rPr>
          <w:rFonts w:ascii="仿宋_GB2312" w:hAnsi="仿宋_GB2312" w:cs="仿宋_GB2312"/>
          <w:bCs/>
          <w:sz w:val="28"/>
          <w:szCs w:val="28"/>
        </w:rPr>
      </w:pPr>
      <w:r>
        <w:rPr>
          <w:rFonts w:ascii="仿宋_GB2312" w:hAnsi="仿宋_GB2312" w:cs="仿宋_GB2312" w:hint="eastAsia"/>
          <w:bCs/>
          <w:sz w:val="28"/>
          <w:szCs w:val="28"/>
        </w:rPr>
        <w:t>教学内容为本专业相关的各类流体输配管网最基本、最重要、设计中最常遇到的部分，包括流体输配管网的功能与构成；气体、液体、多相流输配管网水力特性与水力计算；泵、风机的原理与性能；枝状管网的动力和调节装置匹配；枝状管网水力工况分析与调节；环状管网水力计算与水力工况分析等。</w:t>
      </w:r>
    </w:p>
    <w:p w:rsidR="00C10776" w:rsidRDefault="00C10776" w:rsidP="00C10776">
      <w:pPr>
        <w:spacing w:line="560" w:lineRule="exact"/>
        <w:ind w:firstLineChars="200" w:firstLine="560"/>
        <w:jc w:val="left"/>
        <w:rPr>
          <w:rFonts w:ascii="仿宋_GB2312" w:hAnsi="仿宋_GB2312" w:cs="仿宋_GB2312"/>
          <w:bCs/>
          <w:sz w:val="28"/>
          <w:szCs w:val="28"/>
        </w:rPr>
      </w:pPr>
      <w:r>
        <w:rPr>
          <w:rFonts w:ascii="仿宋_GB2312" w:hAnsi="仿宋_GB2312" w:cs="仿宋_GB2312" w:hint="eastAsia"/>
          <w:bCs/>
          <w:sz w:val="28"/>
          <w:szCs w:val="28"/>
        </w:rPr>
        <w:t>教学方式采用PPT（理论、原理、方法与分析讲解）、板书（计算推导讲解）、课堂讨论、实验、课后思考题和练习题等相结合，利用智慧教学平台进行授课，使学生具备最基本管网系统设计与计算能力。</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流体输配管网》是建筑环境与能源应用工程专业的主干学科基础必修课和核心课程，通过这门课程的学习，使学生掌握暖通空调、供热工程、城市燃气工程、建筑给排水工程、建筑消防工程、热能动力工程等各类工程中的流体输配管网的基本原理，掌握管网系统设计分析的基本理论和方法、泵与风机的性能以及与管网系统的匹配原理，掌握枝状管网水力工况分析与调节方法，初步掌握环状管网水力计算与水力工况分析方法。使学生对管网系统设计与计算有一个总体掌握，获得管网系统设计与计算的核心能力。</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通过流体输配管网的功能与类型的学习，应掌握流体输配管网的性质、任务、基本要求及在专业中的重要性，掌握气体、液体、相变流或多相流管网的功能、装置与水力特性。通过气体、液体、</w:t>
      </w:r>
      <w:r>
        <w:rPr>
          <w:rFonts w:ascii="仿宋_GB2312" w:hAnsi="仿宋_GB2312" w:cs="仿宋_GB2312" w:hint="eastAsia"/>
          <w:sz w:val="28"/>
          <w:szCs w:val="28"/>
        </w:rPr>
        <w:lastRenderedPageBreak/>
        <w:t>多相流管网水力特性与水力计算的学习，应重点掌握管网水力特征与水力计算的基本原理和方法，掌握枝状管网水力共性与水力计算通用方法。通过泵与风机的理论基础的学习，应了解离心式泵与风机的基本结构，重点掌握离心式泵与风机的工作原理及性能参数、离心式泵与风机的基本方程—欧拉方程、泵与风机的损失与效率、性能曲线及叶型对性能的影响，掌握相似律与比转数在泵与风机设计和计算中的应用。通过泵、风机与管网系统的匹配的学习，应重点掌握泵与风机在管网系统中的工作状态点的确定与工况调节，掌握泵与风机与管网连接的确定方法，了解泵与风机的选用原则。通过枝状管网水力工况分析与调节的学习，应重点掌握管网系统压力分布，应掌握调节阀的节流原理与流量特性，应了解调节阀的选择，应重点掌握管网系统水力工况分析，了解管网系统水力平衡调节。通过环状管网水力计算与水力工况分析的学习，应了解管网图及其矩阵表示，掌握恒定流管网特性方程组及其求解方法，掌握环状管网的水力计算和水力工况分析与调节，了解角联管网的流动稳定性及其判别式。</w:t>
      </w:r>
    </w:p>
    <w:p w:rsidR="00C10776" w:rsidRDefault="00C10776" w:rsidP="005F6318">
      <w:pPr>
        <w:numPr>
          <w:ilvl w:val="0"/>
          <w:numId w:val="1"/>
        </w:numPr>
        <w:spacing w:line="560" w:lineRule="exact"/>
        <w:ind w:firstLine="329"/>
        <w:rPr>
          <w:rFonts w:ascii="仿宋_GB2312" w:hAnsi="仿宋_GB2312" w:cs="仿宋_GB2312"/>
          <w:sz w:val="28"/>
          <w:szCs w:val="28"/>
        </w:rPr>
      </w:pPr>
      <w:r>
        <w:rPr>
          <w:rFonts w:ascii="仿宋_GB2312" w:hAnsi="仿宋_GB2312" w:cs="仿宋_GB2312" w:hint="eastAsia"/>
          <w:sz w:val="28"/>
          <w:szCs w:val="28"/>
        </w:rPr>
        <w:t>课程基本要求</w:t>
      </w:r>
    </w:p>
    <w:p w:rsidR="00C10776" w:rsidRDefault="00C10776" w:rsidP="00C10776">
      <w:pPr>
        <w:spacing w:line="560" w:lineRule="exact"/>
        <w:ind w:firstLine="329"/>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《流体输配管网》课程学习完毕后，</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（1）学生应掌握流体输配管网相关工程基础知识，具备应用相关知识推演、分析流体输配管网工程复杂问题的专业基础能力；</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（2）学生应能够正确、合理运用流体输配管网相关专业知识，识别、判断和表达管网工程问题的本质特征或关键环节，并能提供多种解决方案；</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lastRenderedPageBreak/>
        <w:t>（</w:t>
      </w:r>
      <w:r>
        <w:rPr>
          <w:rFonts w:ascii="仿宋_GB2312" w:hAnsi="仿宋_GB2312" w:cs="仿宋_GB2312"/>
          <w:sz w:val="28"/>
          <w:szCs w:val="28"/>
        </w:rPr>
        <w:t>3</w:t>
      </w:r>
      <w:r>
        <w:rPr>
          <w:rFonts w:ascii="仿宋_GB2312" w:hAnsi="仿宋_GB2312" w:cs="仿宋_GB2312" w:hint="eastAsia"/>
          <w:sz w:val="28"/>
          <w:szCs w:val="28"/>
        </w:rPr>
        <w:t>）学生应掌握进行管网系统设计分析、调试和调节的基本理论和方法，具备综合判断能力，能够通过对比、推理、分析及文献研究等，获得管网水力工况分析的有效结论；</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4）学生应能够针对特定需求，能够确定管网工程的设计目标或问题解决方案，正确应用设计手册和现行规范等资料进行管网系统的水力计算和设计，并为从事其它大型、复杂管网工程的设计和运行管理打下初步基础。</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5）学生应能够根据管网水力特性、泵与风机的性能以及与管网系统的匹配原理，针对复杂管网工程问题确定研究路线，能够设计科学合理的实验平台，对泵与风机装置进行性能及参数测试分析，通过信息综合获得合理有效的结论，所得结论用于解决枝状管网的动力和调节装置匹配问题。</w:t>
      </w:r>
    </w:p>
    <w:p w:rsidR="00C10776" w:rsidRDefault="00C10776" w:rsidP="00C10776">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4"/>
        <w:gridCol w:w="5109"/>
        <w:gridCol w:w="1683"/>
      </w:tblGrid>
      <w:tr w:rsidR="00C10776" w:rsidTr="00C10776">
        <w:tc>
          <w:tcPr>
            <w:tcW w:w="1668" w:type="dxa"/>
            <w:shd w:val="clear" w:color="auto" w:fill="auto"/>
            <w:vAlign w:val="center"/>
          </w:tcPr>
          <w:p w:rsidR="00C10776" w:rsidRDefault="00C10776" w:rsidP="00C10776">
            <w:pPr>
              <w:spacing w:line="560" w:lineRule="exact"/>
              <w:jc w:val="center"/>
              <w:rPr>
                <w:rFonts w:ascii="仿宋_GB2312" w:hAnsi="仿宋_GB2312" w:cs="仿宋_GB2312"/>
                <w:sz w:val="28"/>
                <w:szCs w:val="28"/>
              </w:rPr>
            </w:pPr>
            <w:r>
              <w:rPr>
                <w:rFonts w:ascii="仿宋_GB2312" w:hAnsi="仿宋_GB2312" w:cs="仿宋_GB2312" w:hint="eastAsia"/>
                <w:sz w:val="28"/>
                <w:szCs w:val="28"/>
              </w:rPr>
              <w:t>毕业要求</w:t>
            </w:r>
          </w:p>
        </w:tc>
        <w:tc>
          <w:tcPr>
            <w:tcW w:w="5811" w:type="dxa"/>
            <w:shd w:val="clear" w:color="auto" w:fill="auto"/>
            <w:vAlign w:val="center"/>
          </w:tcPr>
          <w:p w:rsidR="00C10776" w:rsidRDefault="00C10776" w:rsidP="00C10776">
            <w:pPr>
              <w:spacing w:line="560" w:lineRule="exact"/>
              <w:jc w:val="center"/>
              <w:rPr>
                <w:rFonts w:ascii="仿宋_GB2312" w:hAnsi="仿宋_GB2312" w:cs="仿宋_GB2312"/>
                <w:sz w:val="28"/>
                <w:szCs w:val="28"/>
              </w:rPr>
            </w:pPr>
            <w:r>
              <w:rPr>
                <w:rFonts w:ascii="仿宋_GB2312" w:hAnsi="仿宋_GB2312" w:cs="仿宋_GB2312" w:hint="eastAsia"/>
                <w:sz w:val="28"/>
                <w:szCs w:val="28"/>
              </w:rPr>
              <w:t>指标点</w:t>
            </w:r>
          </w:p>
        </w:tc>
        <w:tc>
          <w:tcPr>
            <w:tcW w:w="1807" w:type="dxa"/>
            <w:shd w:val="clear" w:color="auto" w:fill="auto"/>
            <w:vAlign w:val="center"/>
          </w:tcPr>
          <w:p w:rsidR="00C10776" w:rsidRDefault="00C10776" w:rsidP="00C10776">
            <w:pPr>
              <w:spacing w:line="560" w:lineRule="exact"/>
              <w:jc w:val="center"/>
              <w:rPr>
                <w:rFonts w:ascii="仿宋_GB2312" w:hAnsi="仿宋_GB2312" w:cs="仿宋_GB2312"/>
                <w:sz w:val="28"/>
                <w:szCs w:val="28"/>
              </w:rPr>
            </w:pPr>
            <w:r>
              <w:rPr>
                <w:rFonts w:ascii="仿宋_GB2312" w:hAnsi="仿宋_GB2312" w:cs="仿宋_GB2312" w:hint="eastAsia"/>
                <w:sz w:val="28"/>
                <w:szCs w:val="28"/>
              </w:rPr>
              <w:t>课程目标</w:t>
            </w:r>
          </w:p>
        </w:tc>
      </w:tr>
      <w:tr w:rsidR="00C10776" w:rsidTr="00C10776">
        <w:tc>
          <w:tcPr>
            <w:tcW w:w="1668"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1.工程知识</w:t>
            </w:r>
          </w:p>
        </w:tc>
        <w:tc>
          <w:tcPr>
            <w:tcW w:w="5811"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1.2 掌握相关工程基础知识，具备应用相关知识推演、分析建筑环境与能源应用工程专业复杂工程问题的专业基础能力</w:t>
            </w:r>
          </w:p>
        </w:tc>
        <w:tc>
          <w:tcPr>
            <w:tcW w:w="1807"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课程目标（1）</w:t>
            </w:r>
          </w:p>
        </w:tc>
      </w:tr>
      <w:tr w:rsidR="00C10776" w:rsidTr="00C10776">
        <w:tc>
          <w:tcPr>
            <w:tcW w:w="1668" w:type="dxa"/>
            <w:vMerge w:val="restart"/>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2.问题分析</w:t>
            </w:r>
          </w:p>
        </w:tc>
        <w:tc>
          <w:tcPr>
            <w:tcW w:w="5811"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.2</w:t>
            </w:r>
            <w:r>
              <w:rPr>
                <w:rFonts w:ascii="仿宋_GB2312" w:hAnsi="仿宋_GB2312" w:cs="仿宋_GB2312" w:hint="eastAsia"/>
                <w:sz w:val="28"/>
                <w:szCs w:val="28"/>
              </w:rPr>
              <w:t>能够正确、合理运用专业知识，识别、判断和表达建筑环境与能源应用工程专业复杂工程问题的本质特征、关键环节，并能提供多种解决方案</w:t>
            </w:r>
          </w:p>
        </w:tc>
        <w:tc>
          <w:tcPr>
            <w:tcW w:w="1807"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课程目标（2）</w:t>
            </w:r>
          </w:p>
        </w:tc>
      </w:tr>
      <w:tr w:rsidR="00C10776" w:rsidTr="00C10776">
        <w:tc>
          <w:tcPr>
            <w:tcW w:w="1668" w:type="dxa"/>
            <w:vMerge/>
            <w:shd w:val="clear" w:color="auto" w:fill="auto"/>
            <w:vAlign w:val="center"/>
          </w:tcPr>
          <w:p w:rsidR="00C10776" w:rsidRDefault="00C10776" w:rsidP="00C10776">
            <w:pPr>
              <w:spacing w:line="560" w:lineRule="exact"/>
              <w:jc w:val="left"/>
              <w:rPr>
                <w:rFonts w:ascii="仿宋_GB2312" w:hAnsi="仿宋_GB2312" w:cs="仿宋_GB2312"/>
                <w:sz w:val="28"/>
                <w:szCs w:val="28"/>
              </w:rPr>
            </w:pPr>
          </w:p>
        </w:tc>
        <w:tc>
          <w:tcPr>
            <w:tcW w:w="5811"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2.3 应用建筑环境与能源应用工程相关原理和方法，具备综合判断能力，能够</w:t>
            </w:r>
            <w:r>
              <w:rPr>
                <w:rFonts w:ascii="仿宋_GB2312" w:hAnsi="仿宋_GB2312" w:cs="仿宋_GB2312" w:hint="eastAsia"/>
                <w:sz w:val="28"/>
                <w:szCs w:val="28"/>
              </w:rPr>
              <w:lastRenderedPageBreak/>
              <w:t>通过对比、推理、分析及文献研究等，获得有效结论。</w:t>
            </w:r>
          </w:p>
        </w:tc>
        <w:tc>
          <w:tcPr>
            <w:tcW w:w="1807"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lastRenderedPageBreak/>
              <w:t>课程目标（3）</w:t>
            </w:r>
          </w:p>
        </w:tc>
      </w:tr>
      <w:tr w:rsidR="00C10776" w:rsidTr="00C10776">
        <w:tc>
          <w:tcPr>
            <w:tcW w:w="1668"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3.设计/开发解决方案</w:t>
            </w:r>
          </w:p>
        </w:tc>
        <w:tc>
          <w:tcPr>
            <w:tcW w:w="5811"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3.1 能够针对特定需求，确定工程基本单元的设计目标或问题解决方案，并完成设计/开发工作</w:t>
            </w:r>
          </w:p>
        </w:tc>
        <w:tc>
          <w:tcPr>
            <w:tcW w:w="1807"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课程目标（4）</w:t>
            </w:r>
          </w:p>
        </w:tc>
      </w:tr>
      <w:tr w:rsidR="00C10776" w:rsidTr="00C10776">
        <w:tc>
          <w:tcPr>
            <w:tcW w:w="1668"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4.研究</w:t>
            </w:r>
          </w:p>
        </w:tc>
        <w:tc>
          <w:tcPr>
            <w:tcW w:w="5811"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4.3 根据建筑环境与能源应用工程专业复杂工程问题的特征，选择研究路线，设计实验方案并正确进行实验操作，正确收集、处理、分析与解释实验数据，通过信息综合获得合理有效的结论</w:t>
            </w:r>
          </w:p>
        </w:tc>
        <w:tc>
          <w:tcPr>
            <w:tcW w:w="1807" w:type="dxa"/>
            <w:shd w:val="clear" w:color="auto" w:fill="auto"/>
            <w:vAlign w:val="center"/>
          </w:tcPr>
          <w:p w:rsidR="00C10776" w:rsidRDefault="00C10776" w:rsidP="00C10776">
            <w:pPr>
              <w:spacing w:line="560" w:lineRule="exact"/>
              <w:jc w:val="left"/>
              <w:rPr>
                <w:rFonts w:ascii="仿宋_GB2312" w:hAnsi="仿宋_GB2312" w:cs="仿宋_GB2312"/>
                <w:sz w:val="28"/>
                <w:szCs w:val="28"/>
              </w:rPr>
            </w:pPr>
            <w:r>
              <w:rPr>
                <w:rFonts w:ascii="仿宋_GB2312" w:hAnsi="仿宋_GB2312" w:cs="仿宋_GB2312" w:hint="eastAsia"/>
                <w:sz w:val="28"/>
                <w:szCs w:val="28"/>
              </w:rPr>
              <w:t>课程目标（5）</w:t>
            </w:r>
          </w:p>
        </w:tc>
      </w:tr>
    </w:tbl>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管网的功能、构成及分类，管网的基本概念；</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气体、液体、多相流管网的水力特性；枝状管网水力计算的基本原理和方法及相关概念；</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气体、液体、多相流管网水力计算案例分析；</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离心式泵与风机的基本结构和工作原理、欧拉方程的物理意义；泵与风机的性能特点及泵与风机的构造对性能的影响；泵与风机的性能曲线；相似律与比转数及其应用；</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管网特性曲线的概念与绘制方法；管网压力分布图的概念与绘制方法；调节阀的特性与选择计算方法；水力工况分析的概念与基本原理；</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管网系统中泵、风机的运行曲线与工况点的概念、确定方法；泵与风机的联合运行及其工况点；工况调节等。</w:t>
      </w:r>
    </w:p>
    <w:p w:rsidR="00C10776" w:rsidRDefault="00C10776" w:rsidP="00C10776">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lastRenderedPageBreak/>
        <w:t>通过本课程的学习，基于全面脱贫攻坚背景下人民对舒适、健康、节能、环保的人工环境的需求，以及在碳达峰、碳中和背景下本专业的责任使命等元素的融入，增强学生作为建筑环境与能源应用工程专业及供热供燃气通风及空调工程学科相关行业从业人员的社会责任感，使学生理解并坚守职业道德规范，树立和践行社会主义核心价值观，有意愿并有能力服务社会；培养学生的大国工匠精神，激发学生的家国情怀。致力于培养学生德、智、体、美、劳全面发展，适应我国社会、经济、科技发展及国际化需求；使学生具备扎实的人文社会科学知识，并行培育学生的人文素养、科学思维、工程思想和方法，使学生具有健全的人格，具有良好的文化修养和道德水准，具有全球化意识和一定的国际视野，能够积极主动适应不断变化的国内外形势和环境，拥有自主的、终生的学习习惯和能力，具有完善的知识结构和能力结构，掌握在本专业领域工作的技术能力和具备长期发展的基本素养。</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C10776" w:rsidTr="00C10776">
        <w:trPr>
          <w:cantSplit/>
          <w:trHeight w:val="785"/>
        </w:trPr>
        <w:tc>
          <w:tcPr>
            <w:tcW w:w="51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序号</w:t>
            </w:r>
          </w:p>
        </w:tc>
        <w:tc>
          <w:tcPr>
            <w:tcW w:w="210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C10776" w:rsidTr="00C10776">
        <w:trPr>
          <w:trHeight w:val="428"/>
        </w:trPr>
        <w:tc>
          <w:tcPr>
            <w:tcW w:w="51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第一章</w:t>
            </w:r>
            <w:r>
              <w:rPr>
                <w:rFonts w:ascii="Times New Roman" w:hAnsi="Times New Roman" w:hint="eastAsia"/>
                <w:kern w:val="0"/>
                <w:sz w:val="20"/>
                <w:szCs w:val="20"/>
              </w:rPr>
              <w:t xml:space="preserve"> </w:t>
            </w:r>
            <w:r>
              <w:rPr>
                <w:rFonts w:ascii="Times New Roman" w:hAnsi="Times New Roman" w:hint="eastAsia"/>
                <w:kern w:val="0"/>
                <w:sz w:val="20"/>
                <w:szCs w:val="20"/>
              </w:rPr>
              <w:t>绪论</w:t>
            </w:r>
          </w:p>
        </w:tc>
        <w:tc>
          <w:tcPr>
            <w:tcW w:w="727"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2</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1.1 </w:t>
            </w:r>
            <w:r>
              <w:rPr>
                <w:rFonts w:ascii="Times New Roman" w:hAnsi="Times New Roman" w:hint="eastAsia"/>
                <w:kern w:val="0"/>
                <w:sz w:val="20"/>
                <w:szCs w:val="20"/>
              </w:rPr>
              <w:t>自然界流体输配管网</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1.2 </w:t>
            </w:r>
            <w:r>
              <w:rPr>
                <w:rFonts w:ascii="Times New Roman" w:hAnsi="Times New Roman" w:hint="eastAsia"/>
                <w:kern w:val="0"/>
                <w:sz w:val="20"/>
                <w:szCs w:val="20"/>
              </w:rPr>
              <w:t>大规模流体输配管网工程</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1.3 </w:t>
            </w:r>
            <w:r>
              <w:rPr>
                <w:rFonts w:ascii="Times New Roman" w:hAnsi="Times New Roman" w:hint="eastAsia"/>
                <w:kern w:val="0"/>
                <w:sz w:val="20"/>
                <w:szCs w:val="20"/>
              </w:rPr>
              <w:t>建筑环境与能源应用工程中的流体输配管网</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1.4 </w:t>
            </w:r>
            <w:r>
              <w:rPr>
                <w:rFonts w:ascii="Times New Roman" w:hAnsi="Times New Roman" w:hint="eastAsia"/>
                <w:kern w:val="0"/>
                <w:sz w:val="20"/>
                <w:szCs w:val="20"/>
              </w:rPr>
              <w:t>掌握流体输配管网理论与技术的方法</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、掌握流体输配管网的性质、任务、基本要求及在专业中的重要性。</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、掌握管网系统在工程应用中的作用，与工程系统其他组成部分之间的相互关系。</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思政设计：中国大规模管网工程体系的成就；全面脱贫攻坚背景下人民对舒适、健康、节能、环保的人工环境的需求；在碳达峰、碳中和背景下本专业的责任和使命。通过融入“纸上谈兵”的典故，说明中国优秀经典历史传统文化中</w:t>
            </w:r>
            <w:r>
              <w:rPr>
                <w:rFonts w:ascii="Times New Roman" w:hAnsi="Times New Roman" w:hint="eastAsia"/>
                <w:kern w:val="0"/>
                <w:sz w:val="20"/>
                <w:szCs w:val="20"/>
              </w:rPr>
              <w:lastRenderedPageBreak/>
              <w:t>“理论结合实际”工程思维的典范，</w:t>
            </w:r>
          </w:p>
        </w:tc>
      </w:tr>
      <w:tr w:rsidR="00C10776" w:rsidTr="00C10776">
        <w:trPr>
          <w:trHeight w:val="519"/>
        </w:trPr>
        <w:tc>
          <w:tcPr>
            <w:tcW w:w="51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lastRenderedPageBreak/>
              <w:t>2</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第二章</w:t>
            </w:r>
            <w:r>
              <w:rPr>
                <w:rFonts w:ascii="Times New Roman" w:hAnsi="Times New Roman" w:hint="eastAsia"/>
                <w:kern w:val="0"/>
                <w:sz w:val="20"/>
                <w:szCs w:val="20"/>
              </w:rPr>
              <w:t xml:space="preserve"> </w:t>
            </w:r>
            <w:r>
              <w:rPr>
                <w:rFonts w:ascii="Times New Roman" w:hAnsi="Times New Roman" w:hint="eastAsia"/>
                <w:kern w:val="0"/>
                <w:sz w:val="20"/>
                <w:szCs w:val="20"/>
              </w:rPr>
              <w:t>流体输配管网的功能与构成</w:t>
            </w:r>
          </w:p>
        </w:tc>
        <w:tc>
          <w:tcPr>
            <w:tcW w:w="727"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4</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2.1 </w:t>
            </w:r>
            <w:r>
              <w:rPr>
                <w:rFonts w:ascii="Times New Roman" w:hAnsi="Times New Roman" w:hint="eastAsia"/>
                <w:kern w:val="0"/>
                <w:sz w:val="20"/>
                <w:szCs w:val="20"/>
              </w:rPr>
              <w:t>流体输配管网的基本功能与基本构成</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2.2 </w:t>
            </w:r>
            <w:r>
              <w:rPr>
                <w:rFonts w:ascii="Times New Roman" w:hAnsi="Times New Roman" w:hint="eastAsia"/>
                <w:kern w:val="0"/>
                <w:sz w:val="20"/>
                <w:szCs w:val="20"/>
              </w:rPr>
              <w:t>流体输配管网的分类</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2.3 </w:t>
            </w:r>
            <w:r>
              <w:rPr>
                <w:rFonts w:ascii="Times New Roman" w:hAnsi="Times New Roman" w:hint="eastAsia"/>
                <w:kern w:val="0"/>
                <w:sz w:val="20"/>
                <w:szCs w:val="20"/>
              </w:rPr>
              <w:t>气体输配管网的功能与装置</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2.4 </w:t>
            </w:r>
            <w:r>
              <w:rPr>
                <w:rFonts w:ascii="Times New Roman" w:hAnsi="Times New Roman" w:hint="eastAsia"/>
                <w:kern w:val="0"/>
                <w:sz w:val="20"/>
                <w:szCs w:val="20"/>
              </w:rPr>
              <w:t>液体输配管网的功能与装置</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2.5 </w:t>
            </w:r>
            <w:r>
              <w:rPr>
                <w:rFonts w:ascii="Times New Roman" w:hAnsi="Times New Roman" w:hint="eastAsia"/>
                <w:kern w:val="0"/>
                <w:sz w:val="20"/>
                <w:szCs w:val="20"/>
              </w:rPr>
              <w:t>相变流或多相流管网的功能与装置</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、掌握流体输配管网的基本功能、基本构成、分类。</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hint="eastAsia"/>
                <w:kern w:val="0"/>
                <w:sz w:val="20"/>
                <w:szCs w:val="20"/>
              </w:rPr>
              <w:t>、掌握气体、液体和多相流输配管网的功能与装置。</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思政设计：新装置、新设备的发展，强调创新意识、社会责任、职业道德和奋斗精神，增强学生学习动力和责任感。</w:t>
            </w:r>
          </w:p>
        </w:tc>
      </w:tr>
      <w:tr w:rsidR="00C10776" w:rsidTr="00C10776">
        <w:trPr>
          <w:trHeight w:val="555"/>
        </w:trPr>
        <w:tc>
          <w:tcPr>
            <w:tcW w:w="51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第三章</w:t>
            </w:r>
            <w:r>
              <w:rPr>
                <w:rFonts w:ascii="Times New Roman" w:hAnsi="Times New Roman" w:hint="eastAsia"/>
                <w:kern w:val="0"/>
                <w:sz w:val="20"/>
                <w:szCs w:val="20"/>
              </w:rPr>
              <w:t xml:space="preserve"> </w:t>
            </w:r>
            <w:r>
              <w:rPr>
                <w:rFonts w:ascii="Times New Roman" w:hAnsi="Times New Roman" w:hint="eastAsia"/>
                <w:kern w:val="0"/>
                <w:sz w:val="20"/>
                <w:szCs w:val="20"/>
              </w:rPr>
              <w:t>管流水力特性与枝状管网水力分析</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第四章</w:t>
            </w:r>
            <w:r>
              <w:rPr>
                <w:rFonts w:ascii="Times New Roman" w:hAnsi="Times New Roman" w:hint="eastAsia"/>
                <w:kern w:val="0"/>
                <w:sz w:val="20"/>
                <w:szCs w:val="20"/>
              </w:rPr>
              <w:t xml:space="preserve"> </w:t>
            </w:r>
            <w:r>
              <w:rPr>
                <w:rFonts w:ascii="Times New Roman" w:hAnsi="Times New Roman" w:hint="eastAsia"/>
                <w:kern w:val="0"/>
                <w:sz w:val="20"/>
                <w:szCs w:val="20"/>
              </w:rPr>
              <w:t>枝状管网水力计算案例与分析</w:t>
            </w:r>
          </w:p>
        </w:tc>
        <w:tc>
          <w:tcPr>
            <w:tcW w:w="727"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20</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3.1 </w:t>
            </w:r>
            <w:r>
              <w:rPr>
                <w:rFonts w:ascii="Times New Roman" w:hAnsi="Times New Roman" w:hint="eastAsia"/>
                <w:kern w:val="0"/>
                <w:sz w:val="20"/>
                <w:szCs w:val="20"/>
              </w:rPr>
              <w:t>气体管流水力特性</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3.2 </w:t>
            </w:r>
            <w:r>
              <w:rPr>
                <w:rFonts w:ascii="Times New Roman" w:hAnsi="Times New Roman" w:hint="eastAsia"/>
                <w:kern w:val="0"/>
                <w:sz w:val="20"/>
                <w:szCs w:val="20"/>
              </w:rPr>
              <w:t>液体输配管网的水力特性</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3.3 </w:t>
            </w:r>
            <w:r>
              <w:rPr>
                <w:rFonts w:ascii="Times New Roman" w:hAnsi="Times New Roman" w:hint="eastAsia"/>
                <w:kern w:val="0"/>
                <w:sz w:val="20"/>
                <w:szCs w:val="20"/>
              </w:rPr>
              <w:t>多相流管网的水力特性</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3.4 </w:t>
            </w:r>
            <w:r>
              <w:rPr>
                <w:rFonts w:ascii="Times New Roman" w:hAnsi="Times New Roman" w:hint="eastAsia"/>
                <w:kern w:val="0"/>
                <w:sz w:val="20"/>
                <w:szCs w:val="20"/>
              </w:rPr>
              <w:t>枝状管网的水力共性</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3.5 </w:t>
            </w:r>
            <w:r>
              <w:rPr>
                <w:rFonts w:ascii="Times New Roman" w:hAnsi="Times New Roman" w:hint="eastAsia"/>
                <w:kern w:val="0"/>
                <w:sz w:val="20"/>
                <w:szCs w:val="20"/>
              </w:rPr>
              <w:t>枝状管网水力计算的理论基础与基本步骤</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3.6 </w:t>
            </w:r>
            <w:r>
              <w:rPr>
                <w:rFonts w:ascii="Times New Roman" w:hAnsi="Times New Roman" w:hint="eastAsia"/>
                <w:kern w:val="0"/>
                <w:sz w:val="20"/>
                <w:szCs w:val="20"/>
              </w:rPr>
              <w:t>枝状管网的水力计算方法</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该章节内容与“第四章</w:t>
            </w:r>
            <w:r>
              <w:rPr>
                <w:rFonts w:ascii="Times New Roman" w:hAnsi="Times New Roman" w:hint="eastAsia"/>
                <w:kern w:val="0"/>
                <w:sz w:val="20"/>
                <w:szCs w:val="20"/>
              </w:rPr>
              <w:t xml:space="preserve"> </w:t>
            </w:r>
            <w:r>
              <w:rPr>
                <w:rFonts w:ascii="Times New Roman" w:hAnsi="Times New Roman" w:hint="eastAsia"/>
                <w:kern w:val="0"/>
                <w:sz w:val="20"/>
                <w:szCs w:val="20"/>
              </w:rPr>
              <w:t>枝状管网水力计算案例与分析”内容结合紧密，本课程教学设计将第四章的计算案例与分析内容穿插在该章节内容讲授</w:t>
            </w:r>
            <w:r>
              <w:rPr>
                <w:rFonts w:ascii="Times New Roman" w:hAnsi="Times New Roman" w:hint="eastAsia"/>
                <w:kern w:val="0"/>
                <w:sz w:val="20"/>
                <w:szCs w:val="20"/>
              </w:rPr>
              <w:t xml:space="preserve"> </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 xml:space="preserve">3.6.1 </w:t>
            </w:r>
            <w:r>
              <w:rPr>
                <w:rFonts w:ascii="Times New Roman" w:hAnsi="Times New Roman" w:hint="eastAsia"/>
                <w:kern w:val="0"/>
                <w:sz w:val="20"/>
                <w:szCs w:val="20"/>
              </w:rPr>
              <w:t>枝状管网常用水力计算方法</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 xml:space="preserve">3.6.2 </w:t>
            </w:r>
            <w:r>
              <w:rPr>
                <w:rFonts w:ascii="Times New Roman" w:hAnsi="Times New Roman" w:hint="eastAsia"/>
                <w:kern w:val="0"/>
                <w:sz w:val="20"/>
                <w:szCs w:val="20"/>
              </w:rPr>
              <w:t>气体枝状管网的水力计算</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该章节内容与“第四章</w:t>
            </w:r>
            <w:r>
              <w:rPr>
                <w:rFonts w:ascii="Times New Roman" w:hAnsi="Times New Roman" w:hint="eastAsia"/>
                <w:kern w:val="0"/>
                <w:sz w:val="20"/>
                <w:szCs w:val="20"/>
              </w:rPr>
              <w:t xml:space="preserve"> </w:t>
            </w:r>
            <w:r>
              <w:rPr>
                <w:rFonts w:ascii="Times New Roman" w:hAnsi="Times New Roman" w:hint="eastAsia"/>
                <w:kern w:val="0"/>
                <w:sz w:val="20"/>
                <w:szCs w:val="20"/>
              </w:rPr>
              <w:t>枝状管网水力计算案例与分析”的“§</w:t>
            </w:r>
            <w:r>
              <w:rPr>
                <w:rFonts w:ascii="Times New Roman" w:hAnsi="Times New Roman" w:hint="eastAsia"/>
                <w:kern w:val="0"/>
                <w:sz w:val="20"/>
                <w:szCs w:val="20"/>
              </w:rPr>
              <w:t xml:space="preserve">4.1 </w:t>
            </w:r>
            <w:r>
              <w:rPr>
                <w:rFonts w:ascii="Times New Roman" w:hAnsi="Times New Roman" w:hint="eastAsia"/>
                <w:kern w:val="0"/>
                <w:sz w:val="20"/>
                <w:szCs w:val="20"/>
              </w:rPr>
              <w:t>通风管网水力计算案例”内容结合紧密，本课程教学设计将第四章的计算案例与分析内容穿插在该章节内容讲授</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 xml:space="preserve">3.6.3 </w:t>
            </w:r>
            <w:r>
              <w:rPr>
                <w:rFonts w:ascii="Times New Roman" w:hAnsi="Times New Roman" w:hint="eastAsia"/>
                <w:kern w:val="0"/>
                <w:sz w:val="20"/>
                <w:szCs w:val="20"/>
              </w:rPr>
              <w:t>闭式液体管网的水力计算</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该章节内容与“第四章</w:t>
            </w:r>
            <w:r>
              <w:rPr>
                <w:rFonts w:ascii="Times New Roman" w:hAnsi="Times New Roman" w:hint="eastAsia"/>
                <w:kern w:val="0"/>
                <w:sz w:val="20"/>
                <w:szCs w:val="20"/>
              </w:rPr>
              <w:t xml:space="preserve"> </w:t>
            </w:r>
            <w:r>
              <w:rPr>
                <w:rFonts w:ascii="Times New Roman" w:hAnsi="Times New Roman" w:hint="eastAsia"/>
                <w:kern w:val="0"/>
                <w:sz w:val="20"/>
                <w:szCs w:val="20"/>
              </w:rPr>
              <w:t>枝状管网水力计算案例与分析”的“§</w:t>
            </w:r>
            <w:r>
              <w:rPr>
                <w:rFonts w:ascii="Times New Roman" w:hAnsi="Times New Roman" w:hint="eastAsia"/>
                <w:kern w:val="0"/>
                <w:sz w:val="20"/>
                <w:szCs w:val="20"/>
              </w:rPr>
              <w:t xml:space="preserve">4.3 </w:t>
            </w:r>
            <w:r>
              <w:rPr>
                <w:rFonts w:ascii="Times New Roman" w:hAnsi="Times New Roman" w:hint="eastAsia"/>
                <w:kern w:val="0"/>
                <w:sz w:val="20"/>
                <w:szCs w:val="20"/>
              </w:rPr>
              <w:t>重力循环热水供暖管网水力计算案例”内容结合紧密，本课程教学设计将第四章的计算案例与分析内容穿插在该章节内容讲授；同时结合补充教材中机械循环室内热水采暖管网异程式和同程式以及采用不等温降法进行计算的计算案例与分析内容穿插在该章节内容讲授；此外，该章节内容与</w:t>
            </w:r>
            <w:r>
              <w:rPr>
                <w:rFonts w:ascii="Times New Roman" w:hAnsi="Times New Roman" w:hint="eastAsia"/>
                <w:kern w:val="0"/>
                <w:sz w:val="20"/>
                <w:szCs w:val="20"/>
              </w:rPr>
              <w:lastRenderedPageBreak/>
              <w:t>“第四章</w:t>
            </w:r>
            <w:r>
              <w:rPr>
                <w:rFonts w:ascii="Times New Roman" w:hAnsi="Times New Roman" w:hint="eastAsia"/>
                <w:kern w:val="0"/>
                <w:sz w:val="20"/>
                <w:szCs w:val="20"/>
              </w:rPr>
              <w:t xml:space="preserve"> </w:t>
            </w:r>
            <w:r>
              <w:rPr>
                <w:rFonts w:ascii="Times New Roman" w:hAnsi="Times New Roman" w:hint="eastAsia"/>
                <w:kern w:val="0"/>
                <w:sz w:val="20"/>
                <w:szCs w:val="20"/>
              </w:rPr>
              <w:t>枝状管网水力计算案例与分析”的“§</w:t>
            </w:r>
            <w:r>
              <w:rPr>
                <w:rFonts w:ascii="Times New Roman" w:hAnsi="Times New Roman" w:hint="eastAsia"/>
                <w:kern w:val="0"/>
                <w:sz w:val="20"/>
                <w:szCs w:val="20"/>
              </w:rPr>
              <w:t xml:space="preserve">4.4 </w:t>
            </w:r>
            <w:r>
              <w:rPr>
                <w:rFonts w:ascii="Times New Roman" w:hAnsi="Times New Roman" w:hint="eastAsia"/>
                <w:kern w:val="0"/>
                <w:sz w:val="20"/>
                <w:szCs w:val="20"/>
              </w:rPr>
              <w:t>室外热水供热管网水力计算案例”内容结合紧密，本课程教学设计将第四章的计算案例与分析内容穿插在该章节内容讲授</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3.6.4</w:t>
            </w:r>
            <w:r>
              <w:rPr>
                <w:rFonts w:ascii="Times New Roman" w:hAnsi="Times New Roman" w:hint="eastAsia"/>
                <w:kern w:val="0"/>
                <w:sz w:val="20"/>
                <w:szCs w:val="20"/>
              </w:rPr>
              <w:t>开式液体管网水力计算</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3.6.5</w:t>
            </w:r>
            <w:r>
              <w:rPr>
                <w:rFonts w:ascii="Times New Roman" w:hAnsi="Times New Roman" w:hint="eastAsia"/>
                <w:kern w:val="0"/>
                <w:sz w:val="20"/>
                <w:szCs w:val="20"/>
              </w:rPr>
              <w:t>空调凝结水管路系统设计</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3.6.6</w:t>
            </w:r>
            <w:r>
              <w:rPr>
                <w:rFonts w:ascii="Times New Roman" w:hAnsi="Times New Roman" w:hint="eastAsia"/>
                <w:kern w:val="0"/>
                <w:sz w:val="20"/>
                <w:szCs w:val="20"/>
              </w:rPr>
              <w:t>室内低压蒸汽供暖系统管路的水力计算方法</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该章节内容与“第四章</w:t>
            </w:r>
            <w:r>
              <w:rPr>
                <w:rFonts w:ascii="Times New Roman" w:hAnsi="Times New Roman" w:hint="eastAsia"/>
                <w:kern w:val="0"/>
                <w:sz w:val="20"/>
                <w:szCs w:val="20"/>
              </w:rPr>
              <w:t xml:space="preserve"> </w:t>
            </w:r>
            <w:r>
              <w:rPr>
                <w:rFonts w:ascii="Times New Roman" w:hAnsi="Times New Roman" w:hint="eastAsia"/>
                <w:kern w:val="0"/>
                <w:sz w:val="20"/>
                <w:szCs w:val="20"/>
              </w:rPr>
              <w:t>枝状管网水力计算案例与分析”的“§</w:t>
            </w:r>
            <w:r>
              <w:rPr>
                <w:rFonts w:ascii="Times New Roman" w:hAnsi="Times New Roman" w:hint="eastAsia"/>
                <w:kern w:val="0"/>
                <w:sz w:val="20"/>
                <w:szCs w:val="20"/>
              </w:rPr>
              <w:t xml:space="preserve">4.5 </w:t>
            </w:r>
            <w:r>
              <w:rPr>
                <w:rFonts w:ascii="Times New Roman" w:hAnsi="Times New Roman" w:hint="eastAsia"/>
                <w:kern w:val="0"/>
                <w:sz w:val="20"/>
                <w:szCs w:val="20"/>
              </w:rPr>
              <w:t>蒸汽管网水力计算案例”内容结合紧密，本课程教学设计将第四章的计算案例与分析内容穿插在该章节内容讲授</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3.6.7</w:t>
            </w:r>
            <w:r>
              <w:rPr>
                <w:rFonts w:ascii="Times New Roman" w:hAnsi="Times New Roman" w:hint="eastAsia"/>
                <w:kern w:val="0"/>
                <w:sz w:val="20"/>
                <w:szCs w:val="20"/>
              </w:rPr>
              <w:t>室内高压蒸汽供暖系统管路的水力计算方法</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3.6.8</w:t>
            </w:r>
            <w:r>
              <w:rPr>
                <w:rFonts w:ascii="Times New Roman" w:hAnsi="Times New Roman" w:hint="eastAsia"/>
                <w:kern w:val="0"/>
                <w:sz w:val="20"/>
                <w:szCs w:val="20"/>
              </w:rPr>
              <w:t>气固两相流管网水力计算</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lastRenderedPageBreak/>
              <w:t>1</w:t>
            </w:r>
            <w:r>
              <w:rPr>
                <w:rFonts w:ascii="Times New Roman" w:hAnsi="Times New Roman" w:hint="eastAsia"/>
                <w:kern w:val="0"/>
                <w:sz w:val="20"/>
                <w:szCs w:val="20"/>
              </w:rPr>
              <w:t>、掌握重力、压力及重力和压力综合作用的</w:t>
            </w:r>
            <w:r>
              <w:rPr>
                <w:rFonts w:ascii="Times New Roman" w:hAnsi="Times New Roman" w:hint="eastAsia"/>
                <w:kern w:val="0"/>
                <w:sz w:val="20"/>
                <w:szCs w:val="20"/>
              </w:rPr>
              <w:t>3</w:t>
            </w:r>
            <w:r>
              <w:rPr>
                <w:rFonts w:ascii="Times New Roman" w:hAnsi="Times New Roman" w:hint="eastAsia"/>
                <w:kern w:val="0"/>
                <w:sz w:val="20"/>
                <w:szCs w:val="20"/>
              </w:rPr>
              <w:t>种气体管流的水力特性。</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hint="eastAsia"/>
                <w:kern w:val="0"/>
                <w:sz w:val="20"/>
                <w:szCs w:val="20"/>
              </w:rPr>
              <w:t>、掌握液体管流的水力特性。</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、掌握液气两相流、汽液两相流、气固两相流管网水力特征；掌握枝状管网的水力共性。</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、完全掌握一些易混淆的基本概念和枝状管网水力计算通用步骤。</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、掌握三种常用水力计算方法。</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hint="eastAsia"/>
                <w:kern w:val="0"/>
                <w:sz w:val="20"/>
                <w:szCs w:val="20"/>
              </w:rPr>
              <w:t>、结合例题掌握气体枝状管网的水力计算。</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7</w:t>
            </w:r>
            <w:r>
              <w:rPr>
                <w:rFonts w:ascii="Times New Roman" w:hAnsi="Times New Roman" w:hint="eastAsia"/>
                <w:kern w:val="0"/>
                <w:sz w:val="20"/>
                <w:szCs w:val="20"/>
              </w:rPr>
              <w:t>、掌握闭式液体管网的水力计算基本公式、水力计算的主要任务。</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8</w:t>
            </w:r>
            <w:r>
              <w:rPr>
                <w:rFonts w:ascii="Times New Roman" w:hAnsi="Times New Roman" w:hint="eastAsia"/>
                <w:kern w:val="0"/>
                <w:sz w:val="20"/>
                <w:szCs w:val="20"/>
              </w:rPr>
              <w:t>、结合例题，掌握重力循环热水采暖系统管路的水力计算方法。</w:t>
            </w:r>
          </w:p>
          <w:p w:rsidR="00C10776" w:rsidRDefault="00C10776" w:rsidP="00C10776">
            <w:pPr>
              <w:rPr>
                <w:rFonts w:ascii="Times New Roman" w:hAnsi="Times New Roman"/>
                <w:kern w:val="0"/>
                <w:sz w:val="20"/>
                <w:szCs w:val="20"/>
              </w:rPr>
            </w:pPr>
            <w:r>
              <w:rPr>
                <w:rFonts w:ascii="Times New Roman" w:hAnsi="Times New Roman"/>
                <w:kern w:val="0"/>
                <w:sz w:val="20"/>
                <w:szCs w:val="20"/>
              </w:rPr>
              <w:t>9</w:t>
            </w:r>
            <w:r>
              <w:rPr>
                <w:rFonts w:ascii="Times New Roman" w:hAnsi="Times New Roman" w:hint="eastAsia"/>
                <w:kern w:val="0"/>
                <w:sz w:val="20"/>
                <w:szCs w:val="20"/>
              </w:rPr>
              <w:t>、掌握机械循环室内热水采暖系统管路的水力计算方法；机械循环与重力循环的水力计算结果的不同之处，并分别结合例题进行分析。</w:t>
            </w:r>
          </w:p>
          <w:p w:rsidR="00C10776" w:rsidRDefault="00C10776" w:rsidP="00C10776">
            <w:pPr>
              <w:rPr>
                <w:rFonts w:ascii="Times New Roman" w:hAnsi="Times New Roman"/>
                <w:kern w:val="0"/>
                <w:sz w:val="20"/>
                <w:szCs w:val="20"/>
              </w:rPr>
            </w:pPr>
            <w:r>
              <w:rPr>
                <w:rFonts w:ascii="Times New Roman" w:hAnsi="Times New Roman"/>
                <w:kern w:val="0"/>
                <w:sz w:val="20"/>
                <w:szCs w:val="20"/>
              </w:rPr>
              <w:t>10</w:t>
            </w:r>
            <w:r>
              <w:rPr>
                <w:rFonts w:ascii="Times New Roman" w:hAnsi="Times New Roman" w:hint="eastAsia"/>
                <w:kern w:val="0"/>
                <w:sz w:val="20"/>
                <w:szCs w:val="20"/>
              </w:rPr>
              <w:t>、结合例题，掌握室外热水供热管网的水力计算方法。</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1</w:t>
            </w:r>
            <w:r>
              <w:rPr>
                <w:rFonts w:ascii="Times New Roman" w:hAnsi="Times New Roman" w:hint="eastAsia"/>
                <w:kern w:val="0"/>
                <w:sz w:val="20"/>
                <w:szCs w:val="20"/>
              </w:rPr>
              <w:t>、结合例题，掌握室内低压蒸汽供暖系统管路的水力计算方法。</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2</w:t>
            </w:r>
            <w:r>
              <w:rPr>
                <w:rFonts w:ascii="Times New Roman" w:hAnsi="Times New Roman" w:hint="eastAsia"/>
                <w:kern w:val="0"/>
                <w:sz w:val="20"/>
                <w:szCs w:val="20"/>
              </w:rPr>
              <w:t>、掌握室外高压蒸汽管网水力计算方法。</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lastRenderedPageBreak/>
              <w:t>1</w:t>
            </w:r>
            <w:r>
              <w:rPr>
                <w:rFonts w:ascii="Times New Roman" w:hAnsi="Times New Roman"/>
                <w:kern w:val="0"/>
                <w:sz w:val="20"/>
                <w:szCs w:val="20"/>
              </w:rPr>
              <w:t>3</w:t>
            </w:r>
            <w:r>
              <w:rPr>
                <w:rFonts w:ascii="Times New Roman" w:hAnsi="Times New Roman" w:hint="eastAsia"/>
                <w:kern w:val="0"/>
                <w:sz w:val="20"/>
                <w:szCs w:val="20"/>
              </w:rPr>
              <w:t>、结合例题，掌握气固两相流管网水力计算方法</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思政设计：并行培育学生的人文素养、科学思维、工程思想和方法；通过实际工程案例分析，培养学生的大国工匠精神，拓宽学生国际视野，强化学生全球化意识，使学生能够积极主动适应不断变化的国内外形势和环境，从而拥有自主的、终生的学习习惯和能力；通过不同课程知识点串联耦合，使学生具有完善的知识结构和能力结构，掌握在本专业领域工作的技术能力和具备长期发展的基本素养。</w:t>
            </w:r>
          </w:p>
        </w:tc>
      </w:tr>
      <w:tr w:rsidR="00C10776" w:rsidTr="00C10776">
        <w:trPr>
          <w:trHeight w:val="548"/>
        </w:trPr>
        <w:tc>
          <w:tcPr>
            <w:tcW w:w="512" w:type="dxa"/>
            <w:vAlign w:val="center"/>
          </w:tcPr>
          <w:p w:rsidR="00C10776" w:rsidRPr="006A4F10" w:rsidRDefault="00C10776" w:rsidP="00C10776">
            <w:pPr>
              <w:jc w:val="center"/>
              <w:rPr>
                <w:rFonts w:ascii="Times New Roman" w:hAnsi="Times New Roman"/>
                <w:kern w:val="0"/>
                <w:sz w:val="20"/>
                <w:szCs w:val="20"/>
              </w:rPr>
            </w:pPr>
            <w:r>
              <w:rPr>
                <w:rFonts w:ascii="Times New Roman" w:hAnsi="Times New Roman" w:hint="eastAsia"/>
                <w:kern w:val="0"/>
                <w:sz w:val="20"/>
                <w:szCs w:val="20"/>
              </w:rPr>
              <w:lastRenderedPageBreak/>
              <w:t>4</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第五章</w:t>
            </w:r>
            <w:r>
              <w:rPr>
                <w:rFonts w:ascii="Times New Roman" w:hAnsi="Times New Roman" w:hint="eastAsia"/>
                <w:kern w:val="0"/>
                <w:sz w:val="20"/>
                <w:szCs w:val="20"/>
              </w:rPr>
              <w:t xml:space="preserve"> </w:t>
            </w:r>
            <w:r>
              <w:rPr>
                <w:rFonts w:ascii="Times New Roman" w:hAnsi="Times New Roman" w:hint="eastAsia"/>
                <w:kern w:val="0"/>
                <w:sz w:val="20"/>
                <w:szCs w:val="20"/>
              </w:rPr>
              <w:t>泵、风机的原理与性能</w:t>
            </w:r>
          </w:p>
        </w:tc>
        <w:tc>
          <w:tcPr>
            <w:tcW w:w="72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6</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5.1 </w:t>
            </w:r>
            <w:r>
              <w:rPr>
                <w:rFonts w:ascii="Times New Roman" w:hAnsi="Times New Roman" w:hint="eastAsia"/>
                <w:kern w:val="0"/>
                <w:sz w:val="20"/>
                <w:szCs w:val="20"/>
              </w:rPr>
              <w:t>离心式泵与风机的基本结构</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5.2 </w:t>
            </w:r>
            <w:r>
              <w:rPr>
                <w:rFonts w:ascii="Times New Roman" w:hAnsi="Times New Roman" w:hint="eastAsia"/>
                <w:kern w:val="0"/>
                <w:sz w:val="20"/>
                <w:szCs w:val="20"/>
              </w:rPr>
              <w:t>离心式泵与风机的工作原理及性能参数</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5.3 </w:t>
            </w:r>
            <w:r>
              <w:rPr>
                <w:rFonts w:ascii="Times New Roman" w:hAnsi="Times New Roman" w:hint="eastAsia"/>
                <w:kern w:val="0"/>
                <w:sz w:val="20"/>
                <w:szCs w:val="20"/>
              </w:rPr>
              <w:t>离心式泵与风机的基本方程－欧拉方程</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 xml:space="preserve">5.3.1 </w:t>
            </w:r>
            <w:r>
              <w:rPr>
                <w:rFonts w:ascii="Times New Roman" w:hAnsi="Times New Roman" w:hint="eastAsia"/>
                <w:kern w:val="0"/>
                <w:sz w:val="20"/>
                <w:szCs w:val="20"/>
              </w:rPr>
              <w:t>绝对速度、相对速度和牵连速度</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 xml:space="preserve">5.3.2 </w:t>
            </w:r>
            <w:r>
              <w:rPr>
                <w:rFonts w:ascii="Times New Roman" w:hAnsi="Times New Roman" w:hint="eastAsia"/>
                <w:kern w:val="0"/>
                <w:sz w:val="20"/>
                <w:szCs w:val="20"/>
              </w:rPr>
              <w:t>流体在叶轮中的运动与速度三角形</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 xml:space="preserve">5.3.3 </w:t>
            </w:r>
            <w:r>
              <w:rPr>
                <w:rFonts w:ascii="Times New Roman" w:hAnsi="Times New Roman" w:hint="eastAsia"/>
                <w:kern w:val="0"/>
                <w:sz w:val="20"/>
                <w:szCs w:val="20"/>
              </w:rPr>
              <w:t>欧拉方程</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 xml:space="preserve">5.3.4 </w:t>
            </w:r>
            <w:r>
              <w:rPr>
                <w:rFonts w:ascii="Times New Roman" w:hAnsi="Times New Roman" w:hint="eastAsia"/>
                <w:kern w:val="0"/>
                <w:sz w:val="20"/>
                <w:szCs w:val="20"/>
              </w:rPr>
              <w:t>欧拉方程的修正</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 xml:space="preserve">5.3.5 </w:t>
            </w:r>
            <w:r>
              <w:rPr>
                <w:rFonts w:ascii="Times New Roman" w:hAnsi="Times New Roman" w:hint="eastAsia"/>
                <w:kern w:val="0"/>
                <w:sz w:val="20"/>
                <w:szCs w:val="20"/>
              </w:rPr>
              <w:t>欧拉方程的物理意义</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5.4 </w:t>
            </w:r>
            <w:r>
              <w:rPr>
                <w:rFonts w:ascii="Times New Roman" w:hAnsi="Times New Roman" w:hint="eastAsia"/>
                <w:kern w:val="0"/>
                <w:sz w:val="20"/>
                <w:szCs w:val="20"/>
              </w:rPr>
              <w:t>泵与风机的损失与效率</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5.5 </w:t>
            </w:r>
            <w:r>
              <w:rPr>
                <w:rFonts w:ascii="Times New Roman" w:hAnsi="Times New Roman" w:hint="eastAsia"/>
                <w:kern w:val="0"/>
                <w:sz w:val="20"/>
                <w:szCs w:val="20"/>
              </w:rPr>
              <w:t>性能曲线及叶型对性能的影响</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5.6 </w:t>
            </w:r>
            <w:r>
              <w:rPr>
                <w:rFonts w:ascii="Times New Roman" w:hAnsi="Times New Roman" w:hint="eastAsia"/>
                <w:kern w:val="0"/>
                <w:sz w:val="20"/>
                <w:szCs w:val="20"/>
              </w:rPr>
              <w:t>相似律与比转数</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5.7 </w:t>
            </w:r>
            <w:r>
              <w:rPr>
                <w:rFonts w:ascii="Times New Roman" w:hAnsi="Times New Roman" w:hint="eastAsia"/>
                <w:kern w:val="0"/>
                <w:sz w:val="20"/>
                <w:szCs w:val="20"/>
              </w:rPr>
              <w:t>其他常用泵与风机（自学）</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、重点掌握离心式泵与风机的基本结构和工作原理；泵与风机的主要性能参数；欧拉方程的推导和分析。</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hint="eastAsia"/>
                <w:kern w:val="0"/>
                <w:sz w:val="20"/>
                <w:szCs w:val="20"/>
              </w:rPr>
              <w:t>、重点掌握速度三角形的意义；欧拉方程的修正公式及物理意义；泵与风机的各项损失及所对应的效率。</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、重点掌握各种功率和效率的定义、公式及意义；重点掌握离心式泵与风机的性能曲线的工程意义和使用方法；以及叶型对性能的影响；掌握相似律、比转数及其应用。</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思政设计：并行培育学生的人文素养、科学思维、工程思想和方法；拓宽学生国际视野，强化学生全球化意识；通过不同课程知识点串联耦合，使学生具有完善的知识结构和能力结构。</w:t>
            </w:r>
          </w:p>
        </w:tc>
      </w:tr>
      <w:tr w:rsidR="00C10776" w:rsidTr="00C10776">
        <w:trPr>
          <w:trHeight w:val="548"/>
        </w:trPr>
        <w:tc>
          <w:tcPr>
            <w:tcW w:w="51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5</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第六章</w:t>
            </w:r>
            <w:r>
              <w:rPr>
                <w:rFonts w:ascii="Times New Roman" w:hAnsi="Times New Roman" w:hint="eastAsia"/>
                <w:kern w:val="0"/>
                <w:sz w:val="20"/>
                <w:szCs w:val="20"/>
              </w:rPr>
              <w:t xml:space="preserve"> </w:t>
            </w:r>
            <w:r>
              <w:rPr>
                <w:rFonts w:ascii="Times New Roman" w:hAnsi="Times New Roman" w:hint="eastAsia"/>
                <w:kern w:val="0"/>
                <w:sz w:val="20"/>
                <w:szCs w:val="20"/>
              </w:rPr>
              <w:t>枝状管网的动力和调节装置匹配</w:t>
            </w:r>
          </w:p>
        </w:tc>
        <w:tc>
          <w:tcPr>
            <w:tcW w:w="72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6</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6.1 </w:t>
            </w:r>
            <w:r>
              <w:rPr>
                <w:rFonts w:ascii="Times New Roman" w:hAnsi="Times New Roman" w:hint="eastAsia"/>
                <w:kern w:val="0"/>
                <w:sz w:val="20"/>
                <w:szCs w:val="20"/>
              </w:rPr>
              <w:t>泵、风机在管网系统中的工作状态点</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6.2 </w:t>
            </w:r>
            <w:r>
              <w:rPr>
                <w:rFonts w:ascii="Times New Roman" w:hAnsi="Times New Roman" w:hint="eastAsia"/>
                <w:kern w:val="0"/>
                <w:sz w:val="20"/>
                <w:szCs w:val="20"/>
              </w:rPr>
              <w:t>泵、风机的工况调节</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6.3 </w:t>
            </w:r>
            <w:r>
              <w:rPr>
                <w:rFonts w:ascii="Times New Roman" w:hAnsi="Times New Roman" w:hint="eastAsia"/>
                <w:kern w:val="0"/>
                <w:sz w:val="20"/>
                <w:szCs w:val="20"/>
              </w:rPr>
              <w:t>泵、风机与管网的连接</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lastRenderedPageBreak/>
              <w:t>§</w:t>
            </w:r>
            <w:r>
              <w:rPr>
                <w:rFonts w:ascii="Times New Roman" w:hAnsi="Times New Roman" w:hint="eastAsia"/>
                <w:kern w:val="0"/>
                <w:sz w:val="20"/>
                <w:szCs w:val="20"/>
              </w:rPr>
              <w:t xml:space="preserve">6.4 </w:t>
            </w:r>
            <w:r>
              <w:rPr>
                <w:rFonts w:ascii="Times New Roman" w:hAnsi="Times New Roman" w:hint="eastAsia"/>
                <w:kern w:val="0"/>
                <w:sz w:val="20"/>
                <w:szCs w:val="20"/>
              </w:rPr>
              <w:t>调节阀的节流原理与流量特性</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6.5 </w:t>
            </w:r>
            <w:r>
              <w:rPr>
                <w:rFonts w:ascii="Times New Roman" w:hAnsi="Times New Roman" w:hint="eastAsia"/>
                <w:kern w:val="0"/>
                <w:sz w:val="20"/>
                <w:szCs w:val="20"/>
              </w:rPr>
              <w:t>泵、风机的选配</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lastRenderedPageBreak/>
              <w:t>1</w:t>
            </w:r>
            <w:r>
              <w:rPr>
                <w:rFonts w:ascii="Times New Roman" w:hAnsi="Times New Roman" w:hint="eastAsia"/>
                <w:kern w:val="0"/>
                <w:sz w:val="20"/>
                <w:szCs w:val="20"/>
              </w:rPr>
              <w:t>、重点掌握泵与风机的工作状态点；泵（风机）的联合运行。</w:t>
            </w:r>
          </w:p>
          <w:p w:rsidR="00C10776" w:rsidRDefault="00C10776" w:rsidP="00C10776">
            <w:pPr>
              <w:rPr>
                <w:rFonts w:ascii="Times New Roman" w:hAnsi="Times New Roman"/>
                <w:kern w:val="0"/>
                <w:sz w:val="20"/>
                <w:szCs w:val="20"/>
              </w:rPr>
            </w:pPr>
            <w:r>
              <w:rPr>
                <w:rFonts w:ascii="Times New Roman" w:hAnsi="Times New Roman"/>
                <w:kern w:val="0"/>
                <w:sz w:val="20"/>
                <w:szCs w:val="20"/>
              </w:rPr>
              <w:t>2</w:t>
            </w:r>
            <w:r>
              <w:rPr>
                <w:rFonts w:ascii="Times New Roman" w:hAnsi="Times New Roman" w:hint="eastAsia"/>
                <w:kern w:val="0"/>
                <w:sz w:val="20"/>
                <w:szCs w:val="20"/>
              </w:rPr>
              <w:t>、重点掌握泵与风机工况调</w:t>
            </w:r>
            <w:r>
              <w:rPr>
                <w:rFonts w:ascii="Times New Roman" w:hAnsi="Times New Roman" w:hint="eastAsia"/>
                <w:kern w:val="0"/>
                <w:sz w:val="20"/>
                <w:szCs w:val="20"/>
              </w:rPr>
              <w:lastRenderedPageBreak/>
              <w:t>节和性能曲线。</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、能够在管网中进行泵与风机的选择，重点掌握泵、风机的安装位置、与管网的连接；掌握调节阀的节流原理与流量特性以及调节阀的选择。</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思政设计：新装置、新设备的发展，强调创新意识、社会责任、职业道德和奋斗精神，增强学生学习动力和责任感。</w:t>
            </w:r>
          </w:p>
        </w:tc>
      </w:tr>
      <w:tr w:rsidR="00C10776" w:rsidTr="00C10776">
        <w:trPr>
          <w:trHeight w:val="548"/>
        </w:trPr>
        <w:tc>
          <w:tcPr>
            <w:tcW w:w="51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lastRenderedPageBreak/>
              <w:t>6</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第七章</w:t>
            </w:r>
            <w:r>
              <w:rPr>
                <w:rFonts w:ascii="Times New Roman" w:hAnsi="Times New Roman" w:hint="eastAsia"/>
                <w:kern w:val="0"/>
                <w:sz w:val="20"/>
                <w:szCs w:val="20"/>
              </w:rPr>
              <w:t xml:space="preserve"> </w:t>
            </w:r>
            <w:r>
              <w:rPr>
                <w:rFonts w:ascii="Times New Roman" w:hAnsi="Times New Roman" w:hint="eastAsia"/>
                <w:kern w:val="0"/>
                <w:sz w:val="20"/>
                <w:szCs w:val="20"/>
              </w:rPr>
              <w:t>枝状管网水力工况分析与调节</w:t>
            </w:r>
          </w:p>
        </w:tc>
        <w:tc>
          <w:tcPr>
            <w:tcW w:w="72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7.1 </w:t>
            </w:r>
            <w:r>
              <w:rPr>
                <w:rFonts w:ascii="Times New Roman" w:hAnsi="Times New Roman" w:hint="eastAsia"/>
                <w:kern w:val="0"/>
                <w:sz w:val="20"/>
                <w:szCs w:val="20"/>
              </w:rPr>
              <w:t>管网系统压力分布图</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7.2 </w:t>
            </w:r>
            <w:r>
              <w:rPr>
                <w:rFonts w:ascii="Times New Roman" w:hAnsi="Times New Roman" w:hint="eastAsia"/>
                <w:kern w:val="0"/>
                <w:sz w:val="20"/>
                <w:szCs w:val="20"/>
              </w:rPr>
              <w:t>枝状管网水力工况分析</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7.</w:t>
            </w:r>
            <w:r>
              <w:rPr>
                <w:rFonts w:ascii="Times New Roman" w:hAnsi="Times New Roman"/>
                <w:kern w:val="0"/>
                <w:sz w:val="20"/>
                <w:szCs w:val="20"/>
              </w:rPr>
              <w:t>3</w:t>
            </w:r>
            <w:r>
              <w:rPr>
                <w:rFonts w:ascii="Times New Roman" w:hAnsi="Times New Roman" w:hint="eastAsia"/>
                <w:kern w:val="0"/>
                <w:sz w:val="20"/>
                <w:szCs w:val="20"/>
              </w:rPr>
              <w:t xml:space="preserve"> </w:t>
            </w:r>
            <w:r>
              <w:rPr>
                <w:rFonts w:ascii="Times New Roman" w:hAnsi="Times New Roman" w:hint="eastAsia"/>
                <w:kern w:val="0"/>
                <w:sz w:val="20"/>
                <w:szCs w:val="20"/>
              </w:rPr>
              <w:t>管网系统水力工况调适与水力稳定性</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7.</w:t>
            </w:r>
            <w:r>
              <w:rPr>
                <w:rFonts w:ascii="Times New Roman" w:hAnsi="Times New Roman"/>
                <w:kern w:val="0"/>
                <w:sz w:val="20"/>
                <w:szCs w:val="20"/>
              </w:rPr>
              <w:t>4</w:t>
            </w:r>
            <w:r>
              <w:rPr>
                <w:rFonts w:ascii="Times New Roman" w:hAnsi="Times New Roman" w:hint="eastAsia"/>
                <w:kern w:val="0"/>
                <w:sz w:val="20"/>
                <w:szCs w:val="20"/>
              </w:rPr>
              <w:t xml:space="preserve"> </w:t>
            </w:r>
            <w:r>
              <w:rPr>
                <w:rFonts w:ascii="Times New Roman" w:hAnsi="Times New Roman" w:hint="eastAsia"/>
                <w:kern w:val="0"/>
                <w:sz w:val="20"/>
                <w:szCs w:val="20"/>
              </w:rPr>
              <w:t>枝状管网的调节阀调节（自学）</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7.</w:t>
            </w:r>
            <w:r>
              <w:rPr>
                <w:rFonts w:ascii="Times New Roman" w:hAnsi="Times New Roman"/>
                <w:kern w:val="0"/>
                <w:sz w:val="20"/>
                <w:szCs w:val="20"/>
              </w:rPr>
              <w:t>5</w:t>
            </w:r>
            <w:r>
              <w:rPr>
                <w:rFonts w:ascii="Times New Roman" w:hAnsi="Times New Roman" w:hint="eastAsia"/>
                <w:kern w:val="0"/>
                <w:sz w:val="20"/>
                <w:szCs w:val="20"/>
              </w:rPr>
              <w:t xml:space="preserve"> </w:t>
            </w:r>
            <w:r>
              <w:rPr>
                <w:rFonts w:ascii="Times New Roman" w:hAnsi="Times New Roman" w:hint="eastAsia"/>
                <w:kern w:val="0"/>
                <w:sz w:val="20"/>
                <w:szCs w:val="20"/>
              </w:rPr>
              <w:t>枝状管网的动力调节（自学）</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7.</w:t>
            </w:r>
            <w:r>
              <w:rPr>
                <w:rFonts w:ascii="Times New Roman" w:hAnsi="Times New Roman"/>
                <w:kern w:val="0"/>
                <w:sz w:val="20"/>
                <w:szCs w:val="20"/>
              </w:rPr>
              <w:t>6</w:t>
            </w:r>
            <w:r>
              <w:rPr>
                <w:rFonts w:ascii="Times New Roman" w:hAnsi="Times New Roman" w:hint="eastAsia"/>
                <w:kern w:val="0"/>
                <w:sz w:val="20"/>
                <w:szCs w:val="20"/>
              </w:rPr>
              <w:t xml:space="preserve"> </w:t>
            </w:r>
            <w:r>
              <w:rPr>
                <w:rFonts w:ascii="Times New Roman" w:hAnsi="Times New Roman" w:hint="eastAsia"/>
                <w:kern w:val="0"/>
                <w:sz w:val="20"/>
                <w:szCs w:val="20"/>
              </w:rPr>
              <w:t>管网系统水力工况分析与调节案例（自学）</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、重点掌握水压图及其在液体管网设计中的作用、绘制步骤和方法；掌握管网系统的定压。</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、重点掌握枝状管网水力工况分析和水力平衡调节、水力工况调适与水力稳定性。</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思政设计：现行标准与规范中的条文与课程内容的辩证统一，使学生理解并坚守职业道德规范，培养学生的大国工匠精神。</w:t>
            </w:r>
          </w:p>
        </w:tc>
      </w:tr>
      <w:tr w:rsidR="00C10776" w:rsidTr="00C10776">
        <w:trPr>
          <w:trHeight w:val="548"/>
        </w:trPr>
        <w:tc>
          <w:tcPr>
            <w:tcW w:w="51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7</w:t>
            </w: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第八章</w:t>
            </w:r>
            <w:r>
              <w:rPr>
                <w:rFonts w:ascii="Times New Roman" w:hAnsi="Times New Roman" w:hint="eastAsia"/>
                <w:kern w:val="0"/>
                <w:sz w:val="20"/>
                <w:szCs w:val="20"/>
              </w:rPr>
              <w:t xml:space="preserve"> </w:t>
            </w:r>
            <w:r>
              <w:rPr>
                <w:rFonts w:ascii="Times New Roman" w:hAnsi="Times New Roman" w:hint="eastAsia"/>
                <w:kern w:val="0"/>
                <w:sz w:val="20"/>
                <w:szCs w:val="20"/>
              </w:rPr>
              <w:t>环状管网水力计算与水力工况分析</w:t>
            </w:r>
          </w:p>
        </w:tc>
        <w:tc>
          <w:tcPr>
            <w:tcW w:w="727" w:type="dxa"/>
            <w:vAlign w:val="center"/>
          </w:tcPr>
          <w:p w:rsidR="00C10776" w:rsidRDefault="00C10776" w:rsidP="00C10776">
            <w:pPr>
              <w:rPr>
                <w:rFonts w:ascii="Times New Roman" w:hAnsi="Times New Roman"/>
                <w:kern w:val="0"/>
                <w:sz w:val="20"/>
                <w:szCs w:val="20"/>
              </w:rPr>
            </w:pPr>
            <w:r>
              <w:rPr>
                <w:rFonts w:ascii="Times New Roman" w:hAnsi="Times New Roman"/>
                <w:kern w:val="0"/>
                <w:sz w:val="20"/>
                <w:szCs w:val="20"/>
              </w:rPr>
              <w:t>2</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8.1 </w:t>
            </w:r>
            <w:r>
              <w:rPr>
                <w:rFonts w:ascii="Times New Roman" w:hAnsi="Times New Roman" w:hint="eastAsia"/>
                <w:kern w:val="0"/>
                <w:sz w:val="20"/>
                <w:szCs w:val="20"/>
              </w:rPr>
              <w:t>管网图及其矩阵表示</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8.2 </w:t>
            </w:r>
            <w:r>
              <w:rPr>
                <w:rFonts w:ascii="Times New Roman" w:hAnsi="Times New Roman" w:hint="eastAsia"/>
                <w:kern w:val="0"/>
                <w:sz w:val="20"/>
                <w:szCs w:val="20"/>
              </w:rPr>
              <w:t>恒定流管网特性方程组及其求解方法</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 xml:space="preserve">8.3 </w:t>
            </w:r>
            <w:r>
              <w:rPr>
                <w:rFonts w:ascii="Times New Roman" w:hAnsi="Times New Roman" w:hint="eastAsia"/>
                <w:kern w:val="0"/>
                <w:sz w:val="20"/>
                <w:szCs w:val="20"/>
              </w:rPr>
              <w:t>环状管网的水力计算与水力工况分析方法</w:t>
            </w:r>
          </w:p>
        </w:tc>
        <w:tc>
          <w:tcPr>
            <w:tcW w:w="2755"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、重点掌握管网图及其矩阵表示；重点掌握恒定流管网特性方程组及其求解方法。</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、重点掌握环状管网水力计算与水力工况分析。</w:t>
            </w:r>
          </w:p>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思政设计：创新思想，探索环状管网节能发展理念。</w:t>
            </w:r>
          </w:p>
        </w:tc>
      </w:tr>
      <w:tr w:rsidR="00C10776" w:rsidTr="00C10776">
        <w:trPr>
          <w:trHeight w:val="548"/>
        </w:trPr>
        <w:tc>
          <w:tcPr>
            <w:tcW w:w="512" w:type="dxa"/>
            <w:vAlign w:val="center"/>
          </w:tcPr>
          <w:p w:rsidR="00C10776" w:rsidRDefault="00C10776" w:rsidP="00C10776">
            <w:pPr>
              <w:jc w:val="center"/>
              <w:rPr>
                <w:rFonts w:ascii="Times New Roman" w:hAnsi="Times New Roman"/>
                <w:kern w:val="0"/>
                <w:sz w:val="20"/>
                <w:szCs w:val="20"/>
              </w:rPr>
            </w:pP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课程实验</w:t>
            </w:r>
            <w:r>
              <w:rPr>
                <w:rFonts w:ascii="Times New Roman" w:hAnsi="Times New Roman" w:hint="eastAsia"/>
                <w:kern w:val="0"/>
                <w:sz w:val="20"/>
                <w:szCs w:val="20"/>
              </w:rPr>
              <w:t>1</w:t>
            </w:r>
          </w:p>
        </w:tc>
        <w:tc>
          <w:tcPr>
            <w:tcW w:w="72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圆形通风管道摩擦阻力测定</w:t>
            </w:r>
          </w:p>
        </w:tc>
        <w:tc>
          <w:tcPr>
            <w:tcW w:w="2755" w:type="dxa"/>
            <w:vAlign w:val="center"/>
          </w:tcPr>
          <w:p w:rsidR="00C10776" w:rsidRDefault="00C10776" w:rsidP="00C10776">
            <w:pPr>
              <w:rPr>
                <w:rFonts w:ascii="Times New Roman" w:hAnsi="Times New Roman"/>
                <w:kern w:val="0"/>
                <w:sz w:val="20"/>
                <w:szCs w:val="20"/>
              </w:rPr>
            </w:pPr>
          </w:p>
        </w:tc>
      </w:tr>
      <w:tr w:rsidR="00C10776" w:rsidTr="00C10776">
        <w:trPr>
          <w:trHeight w:val="548"/>
        </w:trPr>
        <w:tc>
          <w:tcPr>
            <w:tcW w:w="512" w:type="dxa"/>
            <w:vAlign w:val="center"/>
          </w:tcPr>
          <w:p w:rsidR="00C10776" w:rsidRDefault="00C10776" w:rsidP="00C10776">
            <w:pPr>
              <w:jc w:val="center"/>
              <w:rPr>
                <w:rFonts w:ascii="Times New Roman" w:hAnsi="Times New Roman"/>
                <w:kern w:val="0"/>
                <w:sz w:val="20"/>
                <w:szCs w:val="20"/>
              </w:rPr>
            </w:pPr>
          </w:p>
        </w:tc>
        <w:tc>
          <w:tcPr>
            <w:tcW w:w="2102"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课程实验</w:t>
            </w:r>
            <w:r>
              <w:rPr>
                <w:rFonts w:ascii="Times New Roman" w:hAnsi="Times New Roman"/>
                <w:kern w:val="0"/>
                <w:sz w:val="20"/>
                <w:szCs w:val="20"/>
              </w:rPr>
              <w:t>2</w:t>
            </w:r>
          </w:p>
        </w:tc>
        <w:tc>
          <w:tcPr>
            <w:tcW w:w="727"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C10776" w:rsidRDefault="00C10776" w:rsidP="00C10776">
            <w:pPr>
              <w:rPr>
                <w:rFonts w:ascii="Times New Roman" w:hAnsi="Times New Roman"/>
                <w:kern w:val="0"/>
                <w:sz w:val="20"/>
                <w:szCs w:val="20"/>
              </w:rPr>
            </w:pPr>
            <w:r>
              <w:rPr>
                <w:rFonts w:ascii="Times New Roman" w:hAnsi="Times New Roman" w:hint="eastAsia"/>
                <w:kern w:val="0"/>
                <w:sz w:val="20"/>
                <w:szCs w:val="20"/>
              </w:rPr>
              <w:t>泵与风机样本性能曲线与在管网中的工作性能曲线的对比测定</w:t>
            </w:r>
          </w:p>
        </w:tc>
        <w:tc>
          <w:tcPr>
            <w:tcW w:w="2755" w:type="dxa"/>
            <w:vAlign w:val="center"/>
          </w:tcPr>
          <w:p w:rsidR="00C10776" w:rsidRDefault="00C10776" w:rsidP="00C10776">
            <w:pPr>
              <w:rPr>
                <w:rFonts w:ascii="Times New Roman" w:hAnsi="Times New Roman"/>
                <w:kern w:val="0"/>
                <w:sz w:val="20"/>
                <w:szCs w:val="20"/>
              </w:rPr>
            </w:pPr>
          </w:p>
        </w:tc>
      </w:tr>
    </w:tbl>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10776" w:rsidRDefault="00C10776" w:rsidP="00C10776">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考试</w:t>
      </w:r>
    </w:p>
    <w:p w:rsidR="00C10776" w:rsidRDefault="00C10776"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闭卷考试，以百分制计入成绩。成绩评定以“平时成绩＋期末考试成绩+实验成绩”的方式确定每个学生的最终成绩。其中平时成</w:t>
      </w:r>
      <w:r>
        <w:rPr>
          <w:rFonts w:ascii="仿宋_GB2312" w:hAnsi="仿宋_GB2312" w:cs="仿宋_GB2312" w:hint="eastAsia"/>
          <w:sz w:val="28"/>
          <w:szCs w:val="28"/>
        </w:rPr>
        <w:lastRenderedPageBreak/>
        <w:t>绩包括平时作业成绩和上课考勤、讨论成绩两部分。平时成绩+实验成绩比例拟为30%，其中实验成绩比例占5%。实验报告完成后方可参加考试。</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sz w:val="28"/>
          <w:szCs w:val="28"/>
        </w:rPr>
        <w:t>课程总成绩=期末成绩70</w:t>
      </w:r>
      <w:r>
        <w:rPr>
          <w:rFonts w:ascii="仿宋_GB2312" w:hAnsi="仿宋_GB2312" w:cs="仿宋_GB2312" w:hint="eastAsia"/>
          <w:sz w:val="28"/>
          <w:szCs w:val="28"/>
        </w:rPr>
        <w:t>%+平时</w:t>
      </w:r>
      <w:r>
        <w:rPr>
          <w:rFonts w:ascii="仿宋_GB2312" w:hAnsi="仿宋_GB2312" w:cs="仿宋_GB2312"/>
          <w:sz w:val="28"/>
          <w:szCs w:val="28"/>
        </w:rPr>
        <w:t>成绩25</w:t>
      </w:r>
      <w:r>
        <w:rPr>
          <w:rFonts w:ascii="仿宋_GB2312" w:hAnsi="仿宋_GB2312" w:cs="仿宋_GB2312" w:hint="eastAsia"/>
          <w:sz w:val="28"/>
          <w:szCs w:val="28"/>
        </w:rPr>
        <w:t>%+实验</w:t>
      </w:r>
      <w:r>
        <w:rPr>
          <w:rFonts w:ascii="仿宋_GB2312" w:hAnsi="仿宋_GB2312" w:cs="仿宋_GB2312"/>
          <w:sz w:val="28"/>
          <w:szCs w:val="28"/>
        </w:rPr>
        <w:t>成绩5</w:t>
      </w:r>
      <w:r>
        <w:rPr>
          <w:rFonts w:ascii="仿宋_GB2312" w:hAnsi="仿宋_GB2312" w:cs="仿宋_GB2312" w:hint="eastAsia"/>
          <w:sz w:val="28"/>
          <w:szCs w:val="28"/>
        </w:rPr>
        <w:t>%</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10776" w:rsidRDefault="00C10776" w:rsidP="00C1077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付祥钊、肖益民，《流体输配管网》（第四版），北京：中国建筑工业出版社，2</w:t>
      </w:r>
      <w:r>
        <w:rPr>
          <w:rFonts w:ascii="仿宋_GB2312" w:hAnsi="仿宋_GB2312" w:cs="仿宋_GB2312"/>
          <w:sz w:val="28"/>
          <w:szCs w:val="28"/>
        </w:rPr>
        <w:t>018</w:t>
      </w:r>
      <w:r>
        <w:rPr>
          <w:rFonts w:ascii="仿宋_GB2312" w:hAnsi="仿宋_GB2312" w:cs="仿宋_GB2312" w:hint="eastAsia"/>
          <w:sz w:val="28"/>
          <w:szCs w:val="28"/>
        </w:rPr>
        <w:t>年7月</w:t>
      </w:r>
    </w:p>
    <w:p w:rsidR="00C10776" w:rsidRDefault="00C10776" w:rsidP="00C1077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10776" w:rsidRDefault="00C10776" w:rsidP="00C1077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蔡增基、龙天渝，《流体力学泵与风机》（第五版），北京：中国建筑工业出版社，2009年；</w:t>
      </w:r>
    </w:p>
    <w:p w:rsidR="00C10776" w:rsidRDefault="00C10776" w:rsidP="00C1077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贺平、孙刚等，《供热工程》（第四版），北京：中国建筑工业出版社，2009年；</w:t>
      </w:r>
    </w:p>
    <w:p w:rsidR="00C10776" w:rsidRDefault="00C10776" w:rsidP="00C1077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陆耀庆，《实用供热空调设计手册》（第二版），北京：中国建筑工业出版社，200</w:t>
      </w:r>
      <w:r>
        <w:rPr>
          <w:rFonts w:ascii="仿宋_GB2312" w:hAnsi="仿宋_GB2312" w:cs="仿宋_GB2312"/>
          <w:sz w:val="28"/>
          <w:szCs w:val="28"/>
        </w:rPr>
        <w:t>7</w:t>
      </w:r>
      <w:r>
        <w:rPr>
          <w:rFonts w:ascii="仿宋_GB2312" w:hAnsi="仿宋_GB2312" w:cs="仿宋_GB2312" w:hint="eastAsia"/>
          <w:sz w:val="28"/>
          <w:szCs w:val="28"/>
        </w:rPr>
        <w:t>年；</w:t>
      </w:r>
    </w:p>
    <w:p w:rsidR="00C10776" w:rsidRDefault="00C10776" w:rsidP="00C1077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其他手册、现行相关专业规范。</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课程教学团队自编课程补充教材，作为教材配套使用；</w:t>
      </w:r>
    </w:p>
    <w:p w:rsidR="00C10776" w:rsidRDefault="00C10776" w:rsidP="00C1077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课程教学团队教学视频推荐作为学生线上学习资料。</w:t>
      </w:r>
    </w:p>
    <w:p w:rsidR="00C10776" w:rsidRDefault="00C10776" w:rsidP="00C10776">
      <w:pPr>
        <w:spacing w:beforeLines="50" w:before="156" w:afterLines="50" w:after="156" w:line="460" w:lineRule="exact"/>
        <w:rPr>
          <w:rFonts w:ascii="黑体" w:eastAsia="黑体" w:hAnsi="黑体"/>
          <w:b/>
          <w:sz w:val="28"/>
          <w:szCs w:val="28"/>
        </w:rPr>
      </w:pPr>
    </w:p>
    <w:p w:rsidR="00C10776" w:rsidRDefault="00C10776" w:rsidP="00C10776">
      <w:pPr>
        <w:spacing w:beforeLines="50" w:before="156" w:afterLines="50" w:after="156" w:line="460" w:lineRule="exact"/>
        <w:rPr>
          <w:rFonts w:ascii="黑体" w:eastAsia="黑体" w:hAnsi="黑体"/>
          <w:b/>
          <w:sz w:val="28"/>
          <w:szCs w:val="28"/>
        </w:rPr>
      </w:pP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lastRenderedPageBreak/>
        <w:t>大纲撰写人：谷雅秀</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课程负责人：谷雅秀</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10776" w:rsidRDefault="00C10776" w:rsidP="00C10776">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10776" w:rsidRDefault="00C10776" w:rsidP="00C10776">
      <w:pPr>
        <w:ind w:firstLineChars="2000" w:firstLine="5600"/>
        <w:jc w:val="left"/>
        <w:rPr>
          <w:rFonts w:ascii="仿宋" w:hAnsi="仿宋"/>
          <w:sz w:val="28"/>
          <w:szCs w:val="28"/>
        </w:rPr>
      </w:pPr>
      <w:r>
        <w:rPr>
          <w:rFonts w:ascii="仿宋_GB2312" w:hAnsi="微软雅黑" w:hint="eastAsia"/>
          <w:sz w:val="28"/>
          <w:szCs w:val="28"/>
        </w:rPr>
        <w:t xml:space="preserve">    </w:t>
      </w:r>
    </w:p>
    <w:p w:rsidR="00C10776" w:rsidRDefault="00C10776" w:rsidP="00C10776">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4</w:t>
      </w:r>
      <w:r>
        <w:rPr>
          <w:rFonts w:ascii="仿宋" w:eastAsia="仿宋" w:hAnsi="仿宋" w:hint="eastAsia"/>
          <w:sz w:val="28"/>
          <w:szCs w:val="28"/>
        </w:rPr>
        <w:t xml:space="preserve"> 月</w:t>
      </w:r>
    </w:p>
    <w:p w:rsidR="00C10776" w:rsidRDefault="00C10776" w:rsidP="00C10776">
      <w:pPr>
        <w:widowControl/>
        <w:spacing w:line="400" w:lineRule="exact"/>
        <w:rPr>
          <w:rFonts w:ascii="黑体" w:eastAsia="黑体" w:hAnsi="黑体" w:cs="宋体"/>
          <w:bCs/>
          <w:color w:val="000000"/>
          <w:kern w:val="0"/>
          <w:szCs w:val="32"/>
        </w:rPr>
      </w:pPr>
    </w:p>
    <w:p w:rsidR="00C10776" w:rsidRDefault="00C10776" w:rsidP="00C10776"/>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C10776" w:rsidRDefault="00C10776" w:rsidP="00C10776">
      <w:pPr>
        <w:jc w:val="left"/>
        <w:rPr>
          <w:rFonts w:ascii="仿宋" w:eastAsia="仿宋" w:hAnsi="仿宋"/>
          <w:sz w:val="28"/>
          <w:szCs w:val="28"/>
        </w:rPr>
      </w:pPr>
    </w:p>
    <w:p w:rsidR="006A4F10" w:rsidRDefault="006A4F10" w:rsidP="00C10776">
      <w:pPr>
        <w:jc w:val="left"/>
        <w:rPr>
          <w:rFonts w:ascii="仿宋" w:eastAsia="仿宋" w:hAnsi="仿宋"/>
          <w:sz w:val="28"/>
          <w:szCs w:val="28"/>
        </w:rPr>
      </w:pPr>
    </w:p>
    <w:p w:rsidR="00C10776" w:rsidRDefault="00C10776" w:rsidP="00C1077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《热质交换</w:t>
      </w:r>
      <w:r>
        <w:rPr>
          <w:rFonts w:ascii="方正小标宋简体" w:eastAsia="方正小标宋简体" w:hAnsi="宋体"/>
          <w:kern w:val="0"/>
          <w:szCs w:val="32"/>
        </w:rPr>
        <w:t>原理与设备</w:t>
      </w:r>
      <w:r>
        <w:rPr>
          <w:rFonts w:ascii="方正小标宋简体" w:eastAsia="方正小标宋简体" w:hAnsi="宋体" w:hint="eastAsia"/>
          <w:kern w:val="0"/>
          <w:szCs w:val="32"/>
        </w:rPr>
        <w:t>》课程教学大纲</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Fundamentals &amp; Equipment of Heat &amp; Mass Transfer</w:t>
      </w:r>
    </w:p>
    <w:p w:rsidR="00C10776" w:rsidRDefault="00C10776" w:rsidP="00C1077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X2807</w:t>
      </w:r>
      <w:r w:rsidR="006A4F10">
        <w:rPr>
          <w:rFonts w:ascii="仿宋_GB2312" w:hAnsi="仿宋_GB2312" w:cs="仿宋_GB2312"/>
          <w:bCs/>
          <w:sz w:val="28"/>
          <w:szCs w:val="28"/>
        </w:rPr>
        <w:t>1</w:t>
      </w:r>
      <w:r>
        <w:rPr>
          <w:rFonts w:ascii="仿宋_GB2312" w:hAnsi="仿宋_GB2312" w:cs="仿宋_GB2312"/>
          <w:bCs/>
          <w:sz w:val="28"/>
          <w:szCs w:val="28"/>
        </w:rPr>
        <w:t>70</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C10776" w:rsidRDefault="00C10776" w:rsidP="00C107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授课方式：混合（线上课程占比20%—50%）</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课程类别：学科基础</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分：2.5</w:t>
      </w:r>
    </w:p>
    <w:p w:rsidR="00C10776" w:rsidRDefault="00C10776" w:rsidP="00C107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时：40学时（授课36学时，实验4学时）</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先修课程：流体力学、工程热力学、传热学</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热质交换原理与设备》课程是建筑环境与能源应用工程专业的一门主干专业理论课，是专业基础课与专业技术课程之间的桥梁与纽带。自2004年开设以来，至今已有15年教学历史。教学形式逐步由传统的线下课堂授课转变为线上线下混合教学。本课程以动量、热量和质量传输共同构成的传输理论为基础，通过系统教学，使学生掌握三传类比方法，理解传热传质同时进行时的热质交换过程及其原理，进而重点掌握对空气进行各种热质处理的基本方法及相应热质交换</w:t>
      </w:r>
      <w:r>
        <w:rPr>
          <w:rFonts w:ascii="仿宋_GB2312" w:hAnsi="仿宋_GB2312" w:cs="仿宋_GB2312" w:hint="eastAsia"/>
          <w:sz w:val="28"/>
          <w:szCs w:val="28"/>
        </w:rPr>
        <w:lastRenderedPageBreak/>
        <w:t>设备的热工计算方法，并最终具备进行空气处理过程设计及评价的能力。</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通过线下课堂授课、线上学习、互动讨论等多种方式，在传热学、流体力学、工程热力学知识的基础上，讲授传质过程的机理及规律；帮助学生认识和理解建筑环境营造中的热质传递现象及影响因素；结合工程实例，使学生们理解建筑环境与能源应用领域中常见热质交换设备的工作原理，并熟练掌握其理论分析及热工计算方法。通过本课程的教学，提升学生的独立思考能力，激发学生专业热情及责任感，建立较高的工程专业素养，并最终形成分析问题与解决问题的能力。</w:t>
      </w:r>
    </w:p>
    <w:p w:rsidR="00C10776" w:rsidRDefault="00C10776" w:rsidP="005F6318">
      <w:pPr>
        <w:numPr>
          <w:ilvl w:val="0"/>
          <w:numId w:val="1"/>
        </w:num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课程基本要求</w:t>
      </w:r>
    </w:p>
    <w:p w:rsidR="00C10776" w:rsidRDefault="00C10776" w:rsidP="00C10776">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1）使学生在流动及传热基本理论的基础上，深刻理解三种传递现象之间的联系及质量传递的本质；掌握质量传递的基本驱动力、传递规律及其数学表达；能够利用扩散传质与对流传质的基本理论对不同相态下的基本传质问题进行分析计算。</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（2）使学生能够将传质理论与实际生活及工程现象联系起来，对室内环境营造中的热质交换产生感性认知；理解并掌握空气的热湿处理原理、途径及方案；掌握建筑环境与能源应用工程专业中常</w:t>
      </w:r>
      <w:r>
        <w:rPr>
          <w:rFonts w:ascii="仿宋_GB2312" w:hAnsi="仿宋_GB2312" w:cs="仿宋_GB2312" w:hint="eastAsia"/>
          <w:sz w:val="28"/>
          <w:szCs w:val="28"/>
        </w:rPr>
        <w:lastRenderedPageBreak/>
        <w:t>见热质交换设备的热工计算方法，能够依据空气处理需求完成热质交换设备的设计计算及校核。</w:t>
      </w:r>
    </w:p>
    <w:p w:rsidR="00C10776" w:rsidRDefault="00C10776" w:rsidP="00C10776">
      <w:pPr>
        <w:spacing w:line="400" w:lineRule="exact"/>
        <w:ind w:firstLineChars="200" w:firstLine="560"/>
        <w:jc w:val="left"/>
        <w:rPr>
          <w:rFonts w:ascii="仿宋_GB2312" w:hAnsi="仿宋_GB2312" w:cs="仿宋_GB2312"/>
          <w:sz w:val="28"/>
          <w:szCs w:val="28"/>
        </w:rPr>
      </w:pPr>
    </w:p>
    <w:p w:rsidR="00C10776" w:rsidRDefault="00C10776" w:rsidP="00C10776">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4"/>
        <w:gridCol w:w="5119"/>
        <w:gridCol w:w="1673"/>
      </w:tblGrid>
      <w:tr w:rsidR="00C10776" w:rsidTr="00C10776">
        <w:tc>
          <w:tcPr>
            <w:tcW w:w="1668" w:type="dxa"/>
            <w:shd w:val="clear" w:color="auto" w:fill="auto"/>
          </w:tcPr>
          <w:p w:rsidR="00C10776" w:rsidRPr="00FE09E8" w:rsidRDefault="00C10776" w:rsidP="00C10776">
            <w:pPr>
              <w:spacing w:line="400" w:lineRule="exact"/>
              <w:jc w:val="center"/>
              <w:rPr>
                <w:rFonts w:ascii="仿宋_GB2312" w:hAnsi="仿宋_GB2312" w:cs="仿宋_GB2312"/>
                <w:b/>
                <w:sz w:val="24"/>
                <w:szCs w:val="24"/>
              </w:rPr>
            </w:pPr>
            <w:r w:rsidRPr="00FE09E8">
              <w:rPr>
                <w:rFonts w:ascii="仿宋_GB2312" w:hAnsi="仿宋_GB2312" w:cs="仿宋_GB2312" w:hint="eastAsia"/>
                <w:b/>
                <w:sz w:val="24"/>
                <w:szCs w:val="24"/>
              </w:rPr>
              <w:t>毕业要求</w:t>
            </w:r>
          </w:p>
        </w:tc>
        <w:tc>
          <w:tcPr>
            <w:tcW w:w="5811" w:type="dxa"/>
            <w:shd w:val="clear" w:color="auto" w:fill="auto"/>
          </w:tcPr>
          <w:p w:rsidR="00C10776" w:rsidRPr="00FE09E8" w:rsidRDefault="00C10776" w:rsidP="00C10776">
            <w:pPr>
              <w:spacing w:line="400" w:lineRule="exact"/>
              <w:jc w:val="center"/>
              <w:rPr>
                <w:rFonts w:ascii="仿宋_GB2312" w:hAnsi="仿宋_GB2312" w:cs="仿宋_GB2312"/>
                <w:b/>
                <w:sz w:val="24"/>
                <w:szCs w:val="24"/>
              </w:rPr>
            </w:pPr>
            <w:r w:rsidRPr="00FE09E8">
              <w:rPr>
                <w:rFonts w:ascii="仿宋_GB2312" w:hAnsi="仿宋_GB2312" w:cs="仿宋_GB2312" w:hint="eastAsia"/>
                <w:b/>
                <w:sz w:val="24"/>
                <w:szCs w:val="24"/>
              </w:rPr>
              <w:t>指标点</w:t>
            </w:r>
          </w:p>
        </w:tc>
        <w:tc>
          <w:tcPr>
            <w:tcW w:w="1807" w:type="dxa"/>
            <w:shd w:val="clear" w:color="auto" w:fill="auto"/>
          </w:tcPr>
          <w:p w:rsidR="00C10776" w:rsidRPr="00FE09E8" w:rsidRDefault="00C10776" w:rsidP="00C10776">
            <w:pPr>
              <w:spacing w:line="400" w:lineRule="exact"/>
              <w:jc w:val="center"/>
              <w:rPr>
                <w:rFonts w:ascii="仿宋_GB2312" w:hAnsi="仿宋_GB2312" w:cs="仿宋_GB2312"/>
                <w:b/>
                <w:sz w:val="24"/>
                <w:szCs w:val="24"/>
              </w:rPr>
            </w:pPr>
            <w:r w:rsidRPr="00FE09E8">
              <w:rPr>
                <w:rFonts w:ascii="仿宋_GB2312" w:hAnsi="仿宋_GB2312" w:cs="仿宋_GB2312" w:hint="eastAsia"/>
                <w:b/>
                <w:sz w:val="24"/>
                <w:szCs w:val="24"/>
              </w:rPr>
              <w:t>课程目标</w:t>
            </w:r>
          </w:p>
        </w:tc>
      </w:tr>
      <w:tr w:rsidR="00C10776" w:rsidTr="00C10776">
        <w:tc>
          <w:tcPr>
            <w:tcW w:w="1668" w:type="dxa"/>
            <w:shd w:val="clear" w:color="auto" w:fill="auto"/>
          </w:tcPr>
          <w:p w:rsidR="00C10776" w:rsidRPr="00FE09E8" w:rsidRDefault="00C10776" w:rsidP="00C10776">
            <w:pPr>
              <w:spacing w:line="400" w:lineRule="exact"/>
              <w:jc w:val="center"/>
              <w:rPr>
                <w:rFonts w:ascii="仿宋_GB2312" w:hAnsi="仿宋_GB2312" w:cs="仿宋_GB2312"/>
                <w:sz w:val="24"/>
                <w:szCs w:val="24"/>
              </w:rPr>
            </w:pPr>
            <w:r w:rsidRPr="00FE09E8">
              <w:rPr>
                <w:rFonts w:ascii="仿宋_GB2312" w:hAnsi="仿宋_GB2312" w:cs="仿宋_GB2312" w:hint="eastAsia"/>
                <w:sz w:val="24"/>
                <w:szCs w:val="24"/>
              </w:rPr>
              <w:t>1.工程知识</w:t>
            </w:r>
          </w:p>
        </w:tc>
        <w:tc>
          <w:tcPr>
            <w:tcW w:w="5811" w:type="dxa"/>
            <w:shd w:val="clear" w:color="auto" w:fill="auto"/>
          </w:tcPr>
          <w:p w:rsidR="00C10776" w:rsidRPr="00FE09E8" w:rsidRDefault="00C10776" w:rsidP="00C10776">
            <w:pPr>
              <w:spacing w:line="360" w:lineRule="auto"/>
              <w:jc w:val="left"/>
              <w:rPr>
                <w:rFonts w:ascii="仿宋_GB2312" w:hAnsi="仿宋_GB2312" w:cs="仿宋_GB2312"/>
                <w:sz w:val="24"/>
                <w:szCs w:val="24"/>
              </w:rPr>
            </w:pPr>
            <w:r w:rsidRPr="00FE09E8">
              <w:rPr>
                <w:rFonts w:ascii="仿宋_GB2312" w:hAnsi="仿宋_GB2312" w:cs="仿宋_GB2312" w:hint="eastAsia"/>
                <w:sz w:val="24"/>
                <w:szCs w:val="24"/>
              </w:rPr>
              <w:t>1</w:t>
            </w:r>
            <w:r w:rsidRPr="00FE09E8">
              <w:rPr>
                <w:rFonts w:ascii="仿宋_GB2312" w:hAnsi="仿宋_GB2312" w:cs="仿宋_GB2312"/>
                <w:sz w:val="24"/>
                <w:szCs w:val="24"/>
              </w:rPr>
              <w:t xml:space="preserve">.2 </w:t>
            </w:r>
            <w:r w:rsidRPr="00FE09E8">
              <w:rPr>
                <w:rFonts w:ascii="仿宋_GB2312" w:hAnsi="仿宋_GB2312" w:cs="仿宋_GB2312" w:hint="eastAsia"/>
                <w:sz w:val="24"/>
                <w:szCs w:val="24"/>
              </w:rPr>
              <w:t>掌握相关工程基础知识，具备应用相关知识推演、分析建筑环境与能源应用工程专业复杂工程问题的专业基础能力；</w:t>
            </w:r>
          </w:p>
        </w:tc>
        <w:tc>
          <w:tcPr>
            <w:tcW w:w="1807" w:type="dxa"/>
            <w:shd w:val="clear" w:color="auto" w:fill="auto"/>
          </w:tcPr>
          <w:p w:rsidR="00C10776" w:rsidRPr="00FE09E8" w:rsidRDefault="00C10776" w:rsidP="00C10776">
            <w:pPr>
              <w:spacing w:line="360" w:lineRule="auto"/>
              <w:jc w:val="left"/>
              <w:rPr>
                <w:rFonts w:ascii="仿宋_GB2312" w:hAnsi="仿宋_GB2312" w:cs="仿宋_GB2312"/>
                <w:sz w:val="24"/>
                <w:szCs w:val="24"/>
              </w:rPr>
            </w:pPr>
            <w:r w:rsidRPr="00FE09E8">
              <w:rPr>
                <w:rFonts w:ascii="仿宋_GB2312" w:hAnsi="仿宋_GB2312" w:cs="仿宋_GB2312" w:hint="eastAsia"/>
                <w:sz w:val="24"/>
                <w:szCs w:val="24"/>
              </w:rPr>
              <w:t>课程目标（1）</w:t>
            </w:r>
          </w:p>
        </w:tc>
      </w:tr>
      <w:tr w:rsidR="00C10776" w:rsidTr="00C10776">
        <w:tc>
          <w:tcPr>
            <w:tcW w:w="1668" w:type="dxa"/>
            <w:shd w:val="clear" w:color="auto" w:fill="auto"/>
          </w:tcPr>
          <w:p w:rsidR="00C10776" w:rsidRPr="00FE09E8" w:rsidRDefault="00C10776" w:rsidP="00C10776">
            <w:pPr>
              <w:spacing w:line="400" w:lineRule="exact"/>
              <w:jc w:val="center"/>
              <w:rPr>
                <w:rFonts w:ascii="仿宋_GB2312" w:hAnsi="仿宋_GB2312" w:cs="仿宋_GB2312"/>
                <w:sz w:val="24"/>
                <w:szCs w:val="24"/>
              </w:rPr>
            </w:pPr>
            <w:r w:rsidRPr="00FE09E8">
              <w:rPr>
                <w:rFonts w:ascii="仿宋_GB2312" w:hAnsi="仿宋_GB2312" w:cs="仿宋_GB2312" w:hint="eastAsia"/>
                <w:sz w:val="24"/>
                <w:szCs w:val="24"/>
              </w:rPr>
              <w:t>2.问题分析</w:t>
            </w:r>
          </w:p>
        </w:tc>
        <w:tc>
          <w:tcPr>
            <w:tcW w:w="5811" w:type="dxa"/>
            <w:shd w:val="clear" w:color="auto" w:fill="auto"/>
          </w:tcPr>
          <w:p w:rsidR="00C10776" w:rsidRPr="00FE09E8" w:rsidRDefault="00C10776" w:rsidP="00C10776">
            <w:pPr>
              <w:spacing w:line="360" w:lineRule="auto"/>
              <w:jc w:val="left"/>
              <w:rPr>
                <w:rFonts w:ascii="仿宋_GB2312" w:hAnsi="仿宋_GB2312" w:cs="仿宋_GB2312"/>
                <w:sz w:val="24"/>
                <w:szCs w:val="24"/>
              </w:rPr>
            </w:pPr>
            <w:r w:rsidRPr="00FE09E8">
              <w:rPr>
                <w:rFonts w:ascii="仿宋_GB2312" w:hAnsi="仿宋_GB2312" w:cs="仿宋_GB2312" w:hint="eastAsia"/>
                <w:sz w:val="24"/>
                <w:szCs w:val="24"/>
              </w:rPr>
              <w:t>2</w:t>
            </w:r>
            <w:r w:rsidRPr="00FE09E8">
              <w:rPr>
                <w:rFonts w:ascii="仿宋_GB2312" w:hAnsi="仿宋_GB2312" w:cs="仿宋_GB2312"/>
                <w:sz w:val="24"/>
                <w:szCs w:val="24"/>
              </w:rPr>
              <w:t xml:space="preserve">.3 </w:t>
            </w:r>
            <w:r w:rsidRPr="00FE09E8">
              <w:rPr>
                <w:rFonts w:ascii="仿宋_GB2312" w:hAnsi="仿宋_GB2312" w:cs="仿宋_GB2312" w:hint="eastAsia"/>
                <w:sz w:val="24"/>
                <w:szCs w:val="24"/>
              </w:rPr>
              <w:t>应用建筑环境与能源应用工程相关原理和方法，具备综合判断能力，能够通过对比、推理、分析及文献研究等，获得有效结论</w:t>
            </w:r>
          </w:p>
        </w:tc>
        <w:tc>
          <w:tcPr>
            <w:tcW w:w="1807" w:type="dxa"/>
            <w:shd w:val="clear" w:color="auto" w:fill="auto"/>
          </w:tcPr>
          <w:p w:rsidR="00C10776" w:rsidRPr="00FE09E8" w:rsidRDefault="00C10776" w:rsidP="00C10776">
            <w:pPr>
              <w:spacing w:line="360" w:lineRule="auto"/>
              <w:jc w:val="left"/>
              <w:rPr>
                <w:rFonts w:ascii="仿宋_GB2312" w:hAnsi="仿宋_GB2312" w:cs="仿宋_GB2312"/>
                <w:sz w:val="24"/>
                <w:szCs w:val="24"/>
              </w:rPr>
            </w:pPr>
            <w:r w:rsidRPr="00FE09E8">
              <w:rPr>
                <w:rFonts w:ascii="仿宋_GB2312" w:hAnsi="仿宋_GB2312" w:cs="仿宋_GB2312" w:hint="eastAsia"/>
                <w:sz w:val="24"/>
                <w:szCs w:val="24"/>
              </w:rPr>
              <w:t>课程目标（2）</w:t>
            </w:r>
          </w:p>
        </w:tc>
      </w:tr>
    </w:tbl>
    <w:p w:rsidR="00C10776" w:rsidRDefault="00C10776" w:rsidP="00C10776">
      <w:pPr>
        <w:spacing w:line="360" w:lineRule="auto"/>
        <w:ind w:firstLineChars="200" w:firstLine="422"/>
        <w:jc w:val="left"/>
        <w:rPr>
          <w:rFonts w:ascii="宋体" w:eastAsia="宋体" w:hAnsi="宋体"/>
          <w:b/>
          <w:color w:val="FF0000"/>
          <w:sz w:val="21"/>
          <w:szCs w:val="21"/>
        </w:rPr>
      </w:pP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3.1 课程重点</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（1）传质描述中的基本概念，传质的两类基本方式：对流传质、扩散传质，边界层理论；</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（2）动量、热量、质量传递现象的本质及其类比关系，对流传质的准则关联式，刘易斯关系式，湿球温度的理论基础；</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（3）空气的热湿处理途径，空气与固体表面的热湿交换，空气与水直接接触的热湿交换；</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（4）吸附与吸收的基本原理与方法；</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（5）间壁式热值交换设备的热工计算；</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（6）混合式热质交换设备的热工计算；</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（7）复合式热质交换设备的常见形式及原理。</w:t>
      </w:r>
    </w:p>
    <w:p w:rsidR="00C10776" w:rsidRDefault="00C10776" w:rsidP="00FE09E8">
      <w:pPr>
        <w:spacing w:beforeLines="50" w:before="156" w:line="360" w:lineRule="auto"/>
        <w:ind w:firstLine="329"/>
        <w:rPr>
          <w:rFonts w:ascii="仿宋_GB2312" w:hAnsi="仿宋_GB2312" w:cs="仿宋_GB2312"/>
          <w:sz w:val="28"/>
          <w:szCs w:val="28"/>
        </w:rPr>
      </w:pPr>
      <w:r>
        <w:rPr>
          <w:rFonts w:ascii="仿宋_GB2312" w:hAnsi="仿宋_GB2312" w:cs="仿宋_GB2312" w:hint="eastAsia"/>
          <w:sz w:val="28"/>
          <w:szCs w:val="28"/>
        </w:rPr>
        <w:lastRenderedPageBreak/>
        <w:t>3.2 课程难点</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（1）分子传递与湍流传递的区别及其描述；</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（2）斐克定律的两类表达形式及其适用条件，扩散系数的物理意义及其计算；</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（3）刘易斯关系式的推导及物理意义，湿球温度的物理意义；</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（4）麦凯尔方程的表达及各项含义，韩式图中空气状态变化过程的表达；</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（5）对数平均温差法、效能-单元数法；</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（6）喷淋室热质交换过程的机理分析。</w:t>
      </w:r>
    </w:p>
    <w:p w:rsidR="00C10776" w:rsidRDefault="00C10776" w:rsidP="00FE09E8">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4. 课程思政设计</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（1）理论与实践相结合，通过工程实例，增强学生对于建筑环境与能源应用工程专业中的热质交换过程的感性认识，并帮助其建立和提升工程思维能力，进而培育其工程素养和职业道德感。</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（2）采用问题导向的教学方法，引导学生主动思考、提出问题、寻找答案，培养其独立思考与批判性思维能力，帮助其形成独立自主、自强不息的品格。</w:t>
      </w:r>
    </w:p>
    <w:p w:rsidR="00C10776" w:rsidRDefault="00C10776" w:rsidP="00FE09E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（3）通过全社会及建筑领域的能源现状分析，强化学生的忧患意识与专业责任感。以现实存在的能源与环境问题为契机，激发学生专业热情与爱国情怀。</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7"/>
        <w:gridCol w:w="709"/>
        <w:gridCol w:w="2552"/>
        <w:gridCol w:w="4085"/>
      </w:tblGrid>
      <w:tr w:rsidR="00C10776" w:rsidTr="00C10776">
        <w:trPr>
          <w:cantSplit/>
          <w:trHeight w:val="785"/>
        </w:trPr>
        <w:tc>
          <w:tcPr>
            <w:tcW w:w="392" w:type="dxa"/>
            <w:vAlign w:val="center"/>
          </w:tcPr>
          <w:p w:rsidR="00C10776" w:rsidRPr="00FE09E8" w:rsidRDefault="00C10776" w:rsidP="00C10776">
            <w:pPr>
              <w:jc w:val="center"/>
              <w:rPr>
                <w:rFonts w:ascii="Times New Roman" w:hAnsi="Times New Roman"/>
                <w:b/>
                <w:kern w:val="0"/>
                <w:sz w:val="20"/>
                <w:szCs w:val="20"/>
              </w:rPr>
            </w:pPr>
            <w:r w:rsidRPr="00FE09E8">
              <w:rPr>
                <w:rFonts w:ascii="Times New Roman" w:hAnsi="Times New Roman" w:hint="eastAsia"/>
                <w:b/>
                <w:kern w:val="0"/>
                <w:sz w:val="20"/>
                <w:szCs w:val="20"/>
              </w:rPr>
              <w:t>序号</w:t>
            </w:r>
          </w:p>
        </w:tc>
        <w:tc>
          <w:tcPr>
            <w:tcW w:w="1417" w:type="dxa"/>
            <w:vAlign w:val="center"/>
          </w:tcPr>
          <w:p w:rsidR="00C10776" w:rsidRPr="00FE09E8" w:rsidRDefault="00C10776" w:rsidP="00C10776">
            <w:pPr>
              <w:jc w:val="center"/>
              <w:rPr>
                <w:rFonts w:ascii="Times New Roman" w:hAnsi="Times New Roman"/>
                <w:b/>
                <w:kern w:val="0"/>
                <w:sz w:val="20"/>
                <w:szCs w:val="20"/>
              </w:rPr>
            </w:pPr>
            <w:r w:rsidRPr="00FE09E8">
              <w:rPr>
                <w:rFonts w:ascii="Times New Roman" w:hAnsi="Times New Roman" w:hint="eastAsia"/>
                <w:b/>
                <w:kern w:val="0"/>
                <w:sz w:val="20"/>
                <w:szCs w:val="20"/>
              </w:rPr>
              <w:t>章</w:t>
            </w:r>
            <w:r w:rsidRPr="00FE09E8">
              <w:rPr>
                <w:rFonts w:ascii="Times New Roman" w:hAnsi="Times New Roman" w:hint="eastAsia"/>
                <w:b/>
                <w:kern w:val="0"/>
                <w:sz w:val="20"/>
                <w:szCs w:val="20"/>
              </w:rPr>
              <w:t xml:space="preserve">  </w:t>
            </w:r>
            <w:r w:rsidRPr="00FE09E8">
              <w:rPr>
                <w:rFonts w:ascii="Times New Roman" w:hAnsi="Times New Roman" w:hint="eastAsia"/>
                <w:b/>
                <w:kern w:val="0"/>
                <w:sz w:val="20"/>
                <w:szCs w:val="20"/>
              </w:rPr>
              <w:t>节</w:t>
            </w:r>
          </w:p>
        </w:tc>
        <w:tc>
          <w:tcPr>
            <w:tcW w:w="709" w:type="dxa"/>
            <w:vAlign w:val="center"/>
          </w:tcPr>
          <w:p w:rsidR="00C10776" w:rsidRPr="00FE09E8" w:rsidRDefault="00C10776" w:rsidP="00C10776">
            <w:pPr>
              <w:jc w:val="center"/>
              <w:rPr>
                <w:rFonts w:ascii="Times New Roman" w:hAnsi="Times New Roman"/>
                <w:b/>
                <w:kern w:val="0"/>
                <w:sz w:val="20"/>
                <w:szCs w:val="20"/>
              </w:rPr>
            </w:pPr>
            <w:r w:rsidRPr="00FE09E8">
              <w:rPr>
                <w:rFonts w:ascii="Times New Roman" w:hAnsi="Times New Roman" w:hint="eastAsia"/>
                <w:b/>
                <w:kern w:val="0"/>
                <w:sz w:val="20"/>
                <w:szCs w:val="20"/>
              </w:rPr>
              <w:t>参考学时</w:t>
            </w:r>
          </w:p>
        </w:tc>
        <w:tc>
          <w:tcPr>
            <w:tcW w:w="2552" w:type="dxa"/>
            <w:vAlign w:val="center"/>
          </w:tcPr>
          <w:p w:rsidR="00C10776" w:rsidRPr="00FE09E8" w:rsidRDefault="00C10776" w:rsidP="00C10776">
            <w:pPr>
              <w:jc w:val="center"/>
              <w:rPr>
                <w:rFonts w:ascii="Times New Roman" w:hAnsi="Times New Roman"/>
                <w:b/>
                <w:kern w:val="0"/>
                <w:sz w:val="20"/>
                <w:szCs w:val="20"/>
              </w:rPr>
            </w:pPr>
            <w:r w:rsidRPr="00FE09E8">
              <w:rPr>
                <w:rFonts w:ascii="Times New Roman" w:hAnsi="Times New Roman" w:hint="eastAsia"/>
                <w:b/>
                <w:kern w:val="0"/>
                <w:sz w:val="20"/>
                <w:szCs w:val="20"/>
              </w:rPr>
              <w:t>教学内容</w:t>
            </w:r>
          </w:p>
        </w:tc>
        <w:tc>
          <w:tcPr>
            <w:tcW w:w="4085" w:type="dxa"/>
            <w:vAlign w:val="center"/>
          </w:tcPr>
          <w:p w:rsidR="00C10776" w:rsidRPr="00FE09E8" w:rsidRDefault="00C10776" w:rsidP="00C10776">
            <w:pPr>
              <w:jc w:val="center"/>
              <w:rPr>
                <w:rFonts w:ascii="Times New Roman" w:hAnsi="Times New Roman"/>
                <w:b/>
                <w:kern w:val="0"/>
                <w:sz w:val="20"/>
                <w:szCs w:val="20"/>
              </w:rPr>
            </w:pPr>
            <w:r w:rsidRPr="00FE09E8">
              <w:rPr>
                <w:rFonts w:ascii="Times New Roman" w:hAnsi="Times New Roman" w:hint="eastAsia"/>
                <w:b/>
                <w:kern w:val="0"/>
                <w:sz w:val="20"/>
                <w:szCs w:val="20"/>
              </w:rPr>
              <w:t>基本要求</w:t>
            </w:r>
          </w:p>
        </w:tc>
      </w:tr>
      <w:tr w:rsidR="00C10776" w:rsidTr="00C10776">
        <w:trPr>
          <w:trHeight w:val="428"/>
        </w:trPr>
        <w:tc>
          <w:tcPr>
            <w:tcW w:w="39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lastRenderedPageBreak/>
              <w:t>1</w:t>
            </w:r>
          </w:p>
        </w:tc>
        <w:tc>
          <w:tcPr>
            <w:tcW w:w="1417" w:type="dxa"/>
            <w:vAlign w:val="center"/>
          </w:tcPr>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绪论</w:t>
            </w:r>
          </w:p>
        </w:tc>
        <w:tc>
          <w:tcPr>
            <w:tcW w:w="709"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2</w:t>
            </w:r>
          </w:p>
        </w:tc>
        <w:tc>
          <w:tcPr>
            <w:tcW w:w="2552" w:type="dxa"/>
            <w:vAlign w:val="center"/>
          </w:tcPr>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1.1</w:t>
            </w:r>
            <w:r>
              <w:rPr>
                <w:rFonts w:ascii="Times New Roman" w:hAnsi="Times New Roman" w:hint="eastAsia"/>
                <w:kern w:val="0"/>
                <w:sz w:val="20"/>
                <w:szCs w:val="20"/>
              </w:rPr>
              <w:t>建筑环境与设备专业涉及的热质交换现象及其设备分类</w:t>
            </w:r>
          </w:p>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1.2</w:t>
            </w:r>
            <w:r>
              <w:rPr>
                <w:rFonts w:ascii="Times New Roman" w:hAnsi="Times New Roman" w:hint="eastAsia"/>
                <w:kern w:val="0"/>
                <w:sz w:val="20"/>
                <w:szCs w:val="20"/>
              </w:rPr>
              <w:t>本课程在专业中的地位与作用</w:t>
            </w:r>
          </w:p>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1.3</w:t>
            </w:r>
            <w:r>
              <w:rPr>
                <w:rFonts w:ascii="Times New Roman" w:hAnsi="Times New Roman" w:hint="eastAsia"/>
                <w:kern w:val="0"/>
                <w:sz w:val="20"/>
                <w:szCs w:val="20"/>
              </w:rPr>
              <w:t>本门课程的主要研究内容与方法</w:t>
            </w:r>
          </w:p>
        </w:tc>
        <w:tc>
          <w:tcPr>
            <w:tcW w:w="4085" w:type="dxa"/>
            <w:vAlign w:val="center"/>
          </w:tcPr>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 xml:space="preserve">1. </w:t>
            </w:r>
            <w:r>
              <w:rPr>
                <w:rFonts w:ascii="Times New Roman" w:hAnsi="Times New Roman" w:hint="eastAsia"/>
                <w:kern w:val="0"/>
                <w:sz w:val="20"/>
                <w:szCs w:val="20"/>
              </w:rPr>
              <w:t>了解三种传递现象的联系；</w:t>
            </w:r>
          </w:p>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 xml:space="preserve">2. </w:t>
            </w:r>
            <w:r>
              <w:rPr>
                <w:rFonts w:ascii="Times New Roman" w:hAnsi="Times New Roman" w:hint="eastAsia"/>
                <w:kern w:val="0"/>
                <w:sz w:val="20"/>
                <w:szCs w:val="20"/>
              </w:rPr>
              <w:t>掌握本专业中的典型热质交换现象、热质交换设备的分类；</w:t>
            </w:r>
          </w:p>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 xml:space="preserve">3. </w:t>
            </w:r>
            <w:r>
              <w:rPr>
                <w:rFonts w:ascii="Times New Roman" w:hAnsi="Times New Roman" w:hint="eastAsia"/>
                <w:kern w:val="0"/>
                <w:sz w:val="20"/>
                <w:szCs w:val="20"/>
              </w:rPr>
              <w:t>了解本门课程在专业中的地位与作用、本门课程的主要研究内容和方法。</w:t>
            </w:r>
          </w:p>
          <w:p w:rsidR="00C10776" w:rsidRDefault="00C10776" w:rsidP="00C10776">
            <w:pPr>
              <w:jc w:val="left"/>
              <w:rPr>
                <w:rFonts w:ascii="Times New Roman" w:hAnsi="Times New Roman"/>
                <w:kern w:val="0"/>
                <w:sz w:val="20"/>
                <w:szCs w:val="20"/>
              </w:rPr>
            </w:pPr>
          </w:p>
        </w:tc>
      </w:tr>
      <w:tr w:rsidR="00C10776" w:rsidTr="00C10776">
        <w:trPr>
          <w:trHeight w:val="519"/>
        </w:trPr>
        <w:tc>
          <w:tcPr>
            <w:tcW w:w="39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2</w:t>
            </w:r>
          </w:p>
        </w:tc>
        <w:tc>
          <w:tcPr>
            <w:tcW w:w="1417"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2</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传质的理论基础</w:t>
            </w:r>
          </w:p>
        </w:tc>
        <w:tc>
          <w:tcPr>
            <w:tcW w:w="709"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7</w:t>
            </w:r>
          </w:p>
        </w:tc>
        <w:tc>
          <w:tcPr>
            <w:tcW w:w="2552" w:type="dxa"/>
            <w:vAlign w:val="center"/>
          </w:tcPr>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2.1</w:t>
            </w:r>
            <w:r>
              <w:rPr>
                <w:rFonts w:ascii="Times New Roman" w:hAnsi="Times New Roman" w:hint="eastAsia"/>
                <w:kern w:val="0"/>
                <w:sz w:val="20"/>
                <w:szCs w:val="20"/>
              </w:rPr>
              <w:t>传质概论</w:t>
            </w:r>
          </w:p>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2.2</w:t>
            </w:r>
            <w:r>
              <w:rPr>
                <w:rFonts w:ascii="Times New Roman" w:hAnsi="Times New Roman" w:hint="eastAsia"/>
                <w:kern w:val="0"/>
                <w:sz w:val="20"/>
                <w:szCs w:val="20"/>
              </w:rPr>
              <w:t>扩散传质</w:t>
            </w:r>
          </w:p>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2.3</w:t>
            </w:r>
            <w:r>
              <w:rPr>
                <w:rFonts w:ascii="Times New Roman" w:hAnsi="Times New Roman" w:hint="eastAsia"/>
                <w:kern w:val="0"/>
                <w:sz w:val="20"/>
                <w:szCs w:val="20"/>
              </w:rPr>
              <w:t>对流传质</w:t>
            </w:r>
          </w:p>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2.4</w:t>
            </w:r>
            <w:r>
              <w:rPr>
                <w:rFonts w:ascii="Times New Roman" w:hAnsi="Times New Roman" w:hint="eastAsia"/>
                <w:kern w:val="0"/>
                <w:sz w:val="20"/>
                <w:szCs w:val="20"/>
              </w:rPr>
              <w:t>相际间的对流传质模型</w:t>
            </w:r>
          </w:p>
        </w:tc>
        <w:tc>
          <w:tcPr>
            <w:tcW w:w="4085" w:type="dxa"/>
            <w:vAlign w:val="center"/>
          </w:tcPr>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 xml:space="preserve">1. </w:t>
            </w:r>
            <w:r>
              <w:rPr>
                <w:rFonts w:ascii="Times New Roman" w:hAnsi="Times New Roman" w:hint="eastAsia"/>
                <w:kern w:val="0"/>
                <w:sz w:val="20"/>
                <w:szCs w:val="20"/>
              </w:rPr>
              <w:t>熟悉混合物组成的表示方法、传质的速度和扩散通量、传质的基本方式；</w:t>
            </w:r>
          </w:p>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 xml:space="preserve">2. </w:t>
            </w:r>
            <w:r>
              <w:rPr>
                <w:rFonts w:ascii="Times New Roman" w:hAnsi="Times New Roman" w:hint="eastAsia"/>
                <w:kern w:val="0"/>
                <w:sz w:val="20"/>
                <w:szCs w:val="20"/>
              </w:rPr>
              <w:t>掌握</w:t>
            </w:r>
            <w:r>
              <w:rPr>
                <w:rFonts w:ascii="Times New Roman" w:hAnsi="Times New Roman"/>
                <w:kern w:val="0"/>
                <w:sz w:val="20"/>
                <w:szCs w:val="20"/>
              </w:rPr>
              <w:t>Fick</w:t>
            </w:r>
            <w:r>
              <w:rPr>
                <w:rFonts w:ascii="Times New Roman" w:hAnsi="Times New Roman" w:hint="eastAsia"/>
                <w:kern w:val="0"/>
                <w:sz w:val="20"/>
                <w:szCs w:val="20"/>
              </w:rPr>
              <w:t>定律，气体中、液体中以及固体中的稳态扩散过程、扩散系数及其测量；</w:t>
            </w:r>
          </w:p>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 xml:space="preserve">3. </w:t>
            </w:r>
            <w:r>
              <w:rPr>
                <w:rFonts w:ascii="Times New Roman" w:hAnsi="Times New Roman" w:hint="eastAsia"/>
                <w:kern w:val="0"/>
                <w:sz w:val="20"/>
                <w:szCs w:val="20"/>
              </w:rPr>
              <w:t>熟悉对流传质系数、浓度边界层及其对传质问题求解的意义、紊流传质的机理、对流传质的数学描述、对流传质过程的相关准则数、对流传质问题的分析求解；</w:t>
            </w:r>
          </w:p>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 xml:space="preserve">4. </w:t>
            </w:r>
            <w:r>
              <w:rPr>
                <w:rFonts w:ascii="Times New Roman" w:hAnsi="Times New Roman" w:hint="eastAsia"/>
                <w:kern w:val="0"/>
                <w:sz w:val="20"/>
                <w:szCs w:val="20"/>
              </w:rPr>
              <w:t>掌握薄膜理论、渗透理论、表面更新理论的基本组成及思路。</w:t>
            </w:r>
          </w:p>
        </w:tc>
      </w:tr>
      <w:tr w:rsidR="00C10776" w:rsidTr="00C10776">
        <w:trPr>
          <w:trHeight w:val="555"/>
        </w:trPr>
        <w:tc>
          <w:tcPr>
            <w:tcW w:w="39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3</w:t>
            </w:r>
          </w:p>
        </w:tc>
        <w:tc>
          <w:tcPr>
            <w:tcW w:w="1417" w:type="dxa"/>
            <w:vAlign w:val="center"/>
          </w:tcPr>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3</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传热传质问题的分析和计算</w:t>
            </w:r>
          </w:p>
        </w:tc>
        <w:tc>
          <w:tcPr>
            <w:tcW w:w="709"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6</w:t>
            </w:r>
          </w:p>
        </w:tc>
        <w:tc>
          <w:tcPr>
            <w:tcW w:w="2552" w:type="dxa"/>
            <w:vAlign w:val="center"/>
          </w:tcPr>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3.1</w:t>
            </w:r>
            <w:r>
              <w:rPr>
                <w:rFonts w:ascii="Times New Roman" w:hAnsi="Times New Roman" w:hint="eastAsia"/>
                <w:kern w:val="0"/>
                <w:sz w:val="20"/>
                <w:szCs w:val="20"/>
              </w:rPr>
              <w:t>动量、热量和质量传递的类比</w:t>
            </w:r>
          </w:p>
          <w:p w:rsidR="00C10776" w:rsidRDefault="00C10776" w:rsidP="00C10776">
            <w:pPr>
              <w:tabs>
                <w:tab w:val="left" w:pos="840"/>
              </w:tabs>
              <w:jc w:val="left"/>
              <w:rPr>
                <w:rFonts w:ascii="Times New Roman" w:hAnsi="Times New Roman"/>
                <w:kern w:val="0"/>
                <w:sz w:val="20"/>
                <w:szCs w:val="20"/>
              </w:rPr>
            </w:pPr>
            <w:r>
              <w:rPr>
                <w:rFonts w:ascii="Times New Roman" w:hAnsi="Times New Roman" w:hint="eastAsia"/>
                <w:kern w:val="0"/>
                <w:sz w:val="20"/>
                <w:szCs w:val="20"/>
              </w:rPr>
              <w:t>3.2</w:t>
            </w:r>
            <w:r>
              <w:rPr>
                <w:rFonts w:ascii="Times New Roman" w:hAnsi="Times New Roman" w:hint="eastAsia"/>
                <w:kern w:val="0"/>
                <w:sz w:val="20"/>
                <w:szCs w:val="20"/>
              </w:rPr>
              <w:t>对流传质的准则关联式</w:t>
            </w:r>
          </w:p>
          <w:p w:rsidR="00C10776" w:rsidRDefault="00C10776" w:rsidP="00C10776">
            <w:pPr>
              <w:jc w:val="left"/>
              <w:rPr>
                <w:rFonts w:ascii="Times New Roman" w:hAnsi="Times New Roman"/>
                <w:kern w:val="0"/>
                <w:sz w:val="20"/>
                <w:szCs w:val="20"/>
              </w:rPr>
            </w:pPr>
            <w:r>
              <w:rPr>
                <w:rFonts w:ascii="Times New Roman" w:hAnsi="Times New Roman" w:hint="eastAsia"/>
                <w:kern w:val="0"/>
                <w:sz w:val="20"/>
                <w:szCs w:val="20"/>
              </w:rPr>
              <w:t>3.3</w:t>
            </w:r>
            <w:r>
              <w:rPr>
                <w:rFonts w:ascii="Times New Roman" w:hAnsi="Times New Roman" w:hint="eastAsia"/>
                <w:kern w:val="0"/>
                <w:sz w:val="20"/>
                <w:szCs w:val="20"/>
              </w:rPr>
              <w:t>热量和质量同时进行时的热质传递</w:t>
            </w:r>
          </w:p>
        </w:tc>
        <w:tc>
          <w:tcPr>
            <w:tcW w:w="4085" w:type="dxa"/>
            <w:vAlign w:val="center"/>
          </w:tcPr>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1. </w:t>
            </w:r>
            <w:r>
              <w:rPr>
                <w:rFonts w:ascii="Times New Roman" w:hAnsi="Times New Roman" w:hint="eastAsia"/>
                <w:kern w:val="0"/>
                <w:sz w:val="20"/>
                <w:szCs w:val="20"/>
              </w:rPr>
              <w:t>掌握三种传递各自的速率描述及其之间的雷同关系、三传方程、动量交换与热量交换的类比在质交换中的应用；</w:t>
            </w:r>
          </w:p>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2. </w:t>
            </w:r>
            <w:r>
              <w:rPr>
                <w:rFonts w:ascii="Times New Roman" w:hAnsi="Times New Roman" w:hint="eastAsia"/>
                <w:kern w:val="0"/>
                <w:sz w:val="20"/>
                <w:szCs w:val="20"/>
              </w:rPr>
              <w:t>熟悉流体在管内受迫流动时的质交换、流体沿平板流动时的质交换；</w:t>
            </w:r>
          </w:p>
          <w:p w:rsidR="00C10776" w:rsidRDefault="00C10776" w:rsidP="00C10776">
            <w:pPr>
              <w:tabs>
                <w:tab w:val="left" w:pos="72"/>
              </w:tabs>
              <w:jc w:val="left"/>
              <w:rPr>
                <w:rFonts w:ascii="Times New Roman" w:hAnsi="Times New Roman"/>
                <w:kern w:val="0"/>
                <w:sz w:val="20"/>
                <w:szCs w:val="20"/>
              </w:rPr>
            </w:pPr>
            <w:r>
              <w:rPr>
                <w:rFonts w:ascii="Times New Roman" w:hAnsi="Times New Roman" w:hint="eastAsia"/>
                <w:kern w:val="0"/>
                <w:sz w:val="20"/>
                <w:szCs w:val="20"/>
              </w:rPr>
              <w:t xml:space="preserve">3. </w:t>
            </w:r>
            <w:r>
              <w:rPr>
                <w:rFonts w:ascii="Times New Roman" w:hAnsi="Times New Roman" w:hint="eastAsia"/>
                <w:kern w:val="0"/>
                <w:sz w:val="20"/>
                <w:szCs w:val="20"/>
              </w:rPr>
              <w:t>掌握同时进行传热与传质的过程、同一表面上传质过程对传热过程的影响、刘易斯关系式、湿球温度的理论基础。</w:t>
            </w:r>
          </w:p>
        </w:tc>
      </w:tr>
      <w:tr w:rsidR="00C10776" w:rsidTr="00C10776">
        <w:trPr>
          <w:trHeight w:val="548"/>
        </w:trPr>
        <w:tc>
          <w:tcPr>
            <w:tcW w:w="39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4</w:t>
            </w:r>
          </w:p>
        </w:tc>
        <w:tc>
          <w:tcPr>
            <w:tcW w:w="1417" w:type="dxa"/>
            <w:vAlign w:val="center"/>
          </w:tcPr>
          <w:p w:rsidR="00C10776" w:rsidRDefault="00C10776" w:rsidP="00C10776">
            <w:pPr>
              <w:jc w:val="left"/>
              <w:rPr>
                <w:rFonts w:ascii="华文中宋" w:eastAsia="华文中宋" w:hAnsi="华文中宋"/>
                <w:szCs w:val="21"/>
              </w:rPr>
            </w:pPr>
            <w:r>
              <w:rPr>
                <w:rFonts w:ascii="Times New Roman" w:hAnsi="Times New Roman" w:hint="eastAsia"/>
                <w:kern w:val="0"/>
                <w:sz w:val="20"/>
                <w:szCs w:val="20"/>
              </w:rPr>
              <w:t>第</w:t>
            </w:r>
            <w:r>
              <w:rPr>
                <w:rFonts w:ascii="Times New Roman" w:hAnsi="Times New Roman" w:hint="eastAsia"/>
                <w:kern w:val="0"/>
                <w:sz w:val="20"/>
                <w:szCs w:val="20"/>
              </w:rPr>
              <w:t>4</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空气的热湿处理</w:t>
            </w:r>
          </w:p>
        </w:tc>
        <w:tc>
          <w:tcPr>
            <w:tcW w:w="709"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7</w:t>
            </w:r>
          </w:p>
        </w:tc>
        <w:tc>
          <w:tcPr>
            <w:tcW w:w="2552" w:type="dxa"/>
            <w:vAlign w:val="center"/>
          </w:tcPr>
          <w:p w:rsidR="00C10776" w:rsidRDefault="00C10776" w:rsidP="00C10776">
            <w:pPr>
              <w:tabs>
                <w:tab w:val="left" w:pos="0"/>
                <w:tab w:val="left" w:pos="840"/>
              </w:tabs>
              <w:jc w:val="left"/>
              <w:rPr>
                <w:rFonts w:ascii="Times New Roman" w:hAnsi="Times New Roman"/>
                <w:kern w:val="0"/>
                <w:sz w:val="20"/>
                <w:szCs w:val="20"/>
              </w:rPr>
            </w:pPr>
            <w:r>
              <w:rPr>
                <w:rFonts w:ascii="Times New Roman" w:hAnsi="Times New Roman" w:hint="eastAsia"/>
                <w:kern w:val="0"/>
                <w:sz w:val="20"/>
                <w:szCs w:val="20"/>
              </w:rPr>
              <w:t>4.1</w:t>
            </w:r>
            <w:r>
              <w:rPr>
                <w:rFonts w:ascii="Times New Roman" w:hAnsi="Times New Roman" w:hint="eastAsia"/>
                <w:kern w:val="0"/>
                <w:sz w:val="20"/>
                <w:szCs w:val="20"/>
              </w:rPr>
              <w:t>空气的热湿处理途径</w:t>
            </w:r>
          </w:p>
          <w:p w:rsidR="00C10776" w:rsidRDefault="00C10776" w:rsidP="00C10776">
            <w:pPr>
              <w:tabs>
                <w:tab w:val="left" w:pos="0"/>
                <w:tab w:val="left" w:pos="840"/>
              </w:tabs>
              <w:jc w:val="left"/>
              <w:rPr>
                <w:rFonts w:ascii="Times New Roman" w:hAnsi="Times New Roman"/>
                <w:kern w:val="0"/>
                <w:sz w:val="20"/>
                <w:szCs w:val="20"/>
              </w:rPr>
            </w:pPr>
            <w:r>
              <w:rPr>
                <w:rFonts w:ascii="Times New Roman" w:hAnsi="Times New Roman" w:hint="eastAsia"/>
                <w:kern w:val="0"/>
                <w:sz w:val="20"/>
                <w:szCs w:val="20"/>
              </w:rPr>
              <w:t>4.2</w:t>
            </w:r>
            <w:r>
              <w:rPr>
                <w:rFonts w:ascii="Times New Roman" w:hAnsi="Times New Roman" w:hint="eastAsia"/>
                <w:kern w:val="0"/>
                <w:sz w:val="20"/>
                <w:szCs w:val="20"/>
              </w:rPr>
              <w:t>空气与固体表面之间的热湿交换</w:t>
            </w:r>
          </w:p>
          <w:p w:rsidR="00C10776" w:rsidRDefault="00C10776" w:rsidP="00C10776">
            <w:pPr>
              <w:jc w:val="left"/>
              <w:rPr>
                <w:rFonts w:ascii="华文中宋" w:eastAsia="华文中宋" w:hAnsi="华文中宋"/>
                <w:szCs w:val="21"/>
              </w:rPr>
            </w:pPr>
            <w:r>
              <w:rPr>
                <w:rFonts w:ascii="Times New Roman" w:hAnsi="Times New Roman" w:hint="eastAsia"/>
                <w:kern w:val="0"/>
                <w:sz w:val="20"/>
                <w:szCs w:val="20"/>
              </w:rPr>
              <w:t>4.3</w:t>
            </w:r>
            <w:r>
              <w:rPr>
                <w:rFonts w:ascii="Times New Roman" w:hAnsi="Times New Roman" w:hint="eastAsia"/>
                <w:kern w:val="0"/>
                <w:sz w:val="20"/>
                <w:szCs w:val="20"/>
              </w:rPr>
              <w:t>空气与水直接接触时的热湿交换</w:t>
            </w:r>
          </w:p>
        </w:tc>
        <w:tc>
          <w:tcPr>
            <w:tcW w:w="4085" w:type="dxa"/>
            <w:vAlign w:val="center"/>
          </w:tcPr>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1. </w:t>
            </w:r>
            <w:r>
              <w:rPr>
                <w:rFonts w:ascii="Times New Roman" w:hAnsi="Times New Roman" w:hint="eastAsia"/>
                <w:kern w:val="0"/>
                <w:sz w:val="20"/>
                <w:szCs w:val="20"/>
              </w:rPr>
              <w:t>了解空气调节的几个相关概念；</w:t>
            </w:r>
          </w:p>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2. </w:t>
            </w:r>
            <w:r>
              <w:rPr>
                <w:rFonts w:ascii="Times New Roman" w:hAnsi="Times New Roman" w:hint="eastAsia"/>
                <w:kern w:val="0"/>
                <w:sz w:val="20"/>
                <w:szCs w:val="20"/>
              </w:rPr>
              <w:t>掌握空气热湿处理的原理和方案、空气热湿处理及设备；</w:t>
            </w:r>
          </w:p>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3. </w:t>
            </w:r>
            <w:r>
              <w:rPr>
                <w:rFonts w:ascii="Times New Roman" w:hAnsi="Times New Roman" w:hint="eastAsia"/>
                <w:kern w:val="0"/>
                <w:sz w:val="20"/>
                <w:szCs w:val="20"/>
              </w:rPr>
              <w:t>掌握湿空气在冷表面上的冷却减湿过程、湿空气在肋片上的冷却减湿过程；</w:t>
            </w:r>
          </w:p>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4. </w:t>
            </w:r>
            <w:r>
              <w:rPr>
                <w:rFonts w:ascii="Times New Roman" w:hAnsi="Times New Roman" w:hint="eastAsia"/>
                <w:kern w:val="0"/>
                <w:sz w:val="20"/>
                <w:szCs w:val="20"/>
              </w:rPr>
              <w:t>掌握热湿交换原理、蒸发冷却装置的工作原理、空气与水直接接触时的状态变化过程、空气和水直接接触时的对流增湿和减湿、影响空气与水表面之间热质交换的主要因素、空气与水表面的热质交换系数。</w:t>
            </w:r>
          </w:p>
        </w:tc>
      </w:tr>
      <w:tr w:rsidR="00C10776" w:rsidTr="00C10776">
        <w:trPr>
          <w:trHeight w:val="548"/>
        </w:trPr>
        <w:tc>
          <w:tcPr>
            <w:tcW w:w="39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5</w:t>
            </w:r>
          </w:p>
        </w:tc>
        <w:tc>
          <w:tcPr>
            <w:tcW w:w="1417" w:type="dxa"/>
            <w:vAlign w:val="center"/>
          </w:tcPr>
          <w:p w:rsidR="00C10776" w:rsidRDefault="00C10776" w:rsidP="00C10776">
            <w:pPr>
              <w:jc w:val="left"/>
              <w:rPr>
                <w:rFonts w:ascii="华文中宋" w:eastAsia="华文中宋" w:hAnsi="华文中宋"/>
                <w:szCs w:val="21"/>
              </w:rPr>
            </w:pPr>
            <w:r>
              <w:rPr>
                <w:rFonts w:ascii="Times New Roman" w:hAnsi="Times New Roman" w:hint="eastAsia"/>
                <w:kern w:val="0"/>
                <w:sz w:val="20"/>
                <w:szCs w:val="20"/>
              </w:rPr>
              <w:t>第</w:t>
            </w:r>
            <w:r>
              <w:rPr>
                <w:rFonts w:ascii="Times New Roman" w:hAnsi="Times New Roman" w:hint="eastAsia"/>
                <w:kern w:val="0"/>
                <w:sz w:val="20"/>
                <w:szCs w:val="20"/>
              </w:rPr>
              <w:t>5</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吸附和吸收处理空气的原理与方法</w:t>
            </w:r>
          </w:p>
        </w:tc>
        <w:tc>
          <w:tcPr>
            <w:tcW w:w="709"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4</w:t>
            </w:r>
          </w:p>
        </w:tc>
        <w:tc>
          <w:tcPr>
            <w:tcW w:w="2552" w:type="dxa"/>
            <w:vAlign w:val="center"/>
          </w:tcPr>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5.1</w:t>
            </w:r>
            <w:r>
              <w:rPr>
                <w:rFonts w:ascii="Times New Roman" w:hAnsi="Times New Roman" w:hint="eastAsia"/>
                <w:kern w:val="0"/>
                <w:sz w:val="20"/>
                <w:szCs w:val="20"/>
              </w:rPr>
              <w:t>吸附材料处理空气的原理与方法</w:t>
            </w:r>
          </w:p>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5.2</w:t>
            </w:r>
            <w:r>
              <w:rPr>
                <w:rFonts w:ascii="Times New Roman" w:hAnsi="Times New Roman" w:hint="eastAsia"/>
                <w:kern w:val="0"/>
                <w:sz w:val="20"/>
                <w:szCs w:val="20"/>
              </w:rPr>
              <w:t>吸收剂处理空气的原理与方法</w:t>
            </w:r>
          </w:p>
        </w:tc>
        <w:tc>
          <w:tcPr>
            <w:tcW w:w="4085" w:type="dxa"/>
            <w:vAlign w:val="center"/>
          </w:tcPr>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1. </w:t>
            </w:r>
            <w:r>
              <w:rPr>
                <w:rFonts w:ascii="Times New Roman" w:hAnsi="Times New Roman" w:hint="eastAsia"/>
                <w:kern w:val="0"/>
                <w:sz w:val="20"/>
                <w:szCs w:val="20"/>
              </w:rPr>
              <w:t>了解吸附的基本知识和概念、等温吸附线、常用吸附剂的类型和性能、多孔介质传质浅析、空气静态吸附除湿和动态吸附除湿；</w:t>
            </w:r>
          </w:p>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2. </w:t>
            </w:r>
            <w:r>
              <w:rPr>
                <w:rFonts w:ascii="Times New Roman" w:hAnsi="Times New Roman" w:hint="eastAsia"/>
                <w:kern w:val="0"/>
                <w:sz w:val="20"/>
                <w:szCs w:val="20"/>
              </w:rPr>
              <w:t>熟悉吸收现象简介、液体除湿剂的类型和性能、吸收剂处理空气的机理、影响吸收的主要因素。</w:t>
            </w:r>
          </w:p>
        </w:tc>
      </w:tr>
      <w:tr w:rsidR="00C10776" w:rsidTr="00C10776">
        <w:trPr>
          <w:trHeight w:val="548"/>
        </w:trPr>
        <w:tc>
          <w:tcPr>
            <w:tcW w:w="39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6</w:t>
            </w:r>
          </w:p>
        </w:tc>
        <w:tc>
          <w:tcPr>
            <w:tcW w:w="1417" w:type="dxa"/>
            <w:vAlign w:val="center"/>
          </w:tcPr>
          <w:p w:rsidR="00C10776" w:rsidRDefault="00C10776" w:rsidP="00C10776">
            <w:pPr>
              <w:spacing w:line="500" w:lineRule="exact"/>
              <w:jc w:val="left"/>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6</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间壁</w:t>
            </w:r>
            <w:r>
              <w:rPr>
                <w:rFonts w:ascii="Times New Roman" w:hAnsi="Times New Roman" w:hint="eastAsia"/>
                <w:kern w:val="0"/>
                <w:sz w:val="20"/>
                <w:szCs w:val="20"/>
              </w:rPr>
              <w:lastRenderedPageBreak/>
              <w:t>式热质交换设备的热工计算</w:t>
            </w:r>
          </w:p>
        </w:tc>
        <w:tc>
          <w:tcPr>
            <w:tcW w:w="709"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lastRenderedPageBreak/>
              <w:t>4</w:t>
            </w:r>
          </w:p>
        </w:tc>
        <w:tc>
          <w:tcPr>
            <w:tcW w:w="2552" w:type="dxa"/>
            <w:vAlign w:val="center"/>
          </w:tcPr>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 xml:space="preserve">6.1 </w:t>
            </w:r>
            <w:r>
              <w:rPr>
                <w:rFonts w:ascii="Times New Roman" w:hAnsi="Times New Roman" w:hint="eastAsia"/>
                <w:kern w:val="0"/>
                <w:sz w:val="20"/>
                <w:szCs w:val="20"/>
              </w:rPr>
              <w:t>间壁式热质交换设备的形式与结构</w:t>
            </w:r>
          </w:p>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lastRenderedPageBreak/>
              <w:t>6.2</w:t>
            </w:r>
            <w:r>
              <w:rPr>
                <w:rFonts w:ascii="Times New Roman" w:hAnsi="Times New Roman" w:hint="eastAsia"/>
                <w:kern w:val="0"/>
                <w:sz w:val="20"/>
                <w:szCs w:val="20"/>
              </w:rPr>
              <w:t>间壁两侧流体传热过程分析</w:t>
            </w:r>
          </w:p>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6.3</w:t>
            </w:r>
            <w:r>
              <w:rPr>
                <w:rFonts w:ascii="Times New Roman" w:hAnsi="Times New Roman" w:hint="eastAsia"/>
                <w:kern w:val="0"/>
                <w:sz w:val="20"/>
                <w:szCs w:val="20"/>
              </w:rPr>
              <w:t>总传热系数与总传热热阻</w:t>
            </w:r>
          </w:p>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6.4</w:t>
            </w:r>
            <w:r>
              <w:rPr>
                <w:rFonts w:ascii="Times New Roman" w:hAnsi="Times New Roman" w:hint="eastAsia"/>
                <w:kern w:val="0"/>
                <w:sz w:val="20"/>
                <w:szCs w:val="20"/>
              </w:rPr>
              <w:t>间壁式热质交换设备热工计算常用计算方法</w:t>
            </w:r>
          </w:p>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6.5</w:t>
            </w:r>
            <w:r>
              <w:rPr>
                <w:rFonts w:ascii="Times New Roman" w:hAnsi="Times New Roman" w:hint="eastAsia"/>
                <w:kern w:val="0"/>
                <w:sz w:val="20"/>
                <w:szCs w:val="20"/>
              </w:rPr>
              <w:t>表面式冷却器的热工计算</w:t>
            </w:r>
          </w:p>
        </w:tc>
        <w:tc>
          <w:tcPr>
            <w:tcW w:w="4085" w:type="dxa"/>
            <w:vAlign w:val="center"/>
          </w:tcPr>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lastRenderedPageBreak/>
              <w:t xml:space="preserve">1. </w:t>
            </w:r>
            <w:r>
              <w:rPr>
                <w:rFonts w:ascii="Times New Roman" w:hAnsi="Times New Roman" w:hint="eastAsia"/>
                <w:kern w:val="0"/>
                <w:sz w:val="20"/>
                <w:szCs w:val="20"/>
              </w:rPr>
              <w:t>掌握热工计算基本公式、对数平均温差法、效能</w:t>
            </w:r>
            <w:r>
              <w:rPr>
                <w:rFonts w:ascii="Times New Roman" w:hAnsi="Times New Roman" w:hint="eastAsia"/>
                <w:kern w:val="0"/>
                <w:sz w:val="20"/>
                <w:szCs w:val="20"/>
              </w:rPr>
              <w:t>-</w:t>
            </w:r>
            <w:r>
              <w:rPr>
                <w:rFonts w:ascii="Times New Roman" w:hAnsi="Times New Roman" w:hint="eastAsia"/>
                <w:kern w:val="0"/>
                <w:sz w:val="20"/>
                <w:szCs w:val="20"/>
              </w:rPr>
              <w:t>传热单元数法（</w:t>
            </w:r>
            <w:r>
              <w:rPr>
                <w:rFonts w:ascii="Times New Roman" w:hAnsi="Times New Roman"/>
                <w:kern w:val="0"/>
                <w:sz w:val="20"/>
                <w:szCs w:val="20"/>
              </w:rPr>
              <w:t>ε</w:t>
            </w:r>
            <w:r>
              <w:rPr>
                <w:rFonts w:ascii="Times New Roman" w:hAnsi="Times New Roman" w:hint="eastAsia"/>
                <w:kern w:val="0"/>
                <w:sz w:val="20"/>
                <w:szCs w:val="20"/>
              </w:rPr>
              <w:t>-NTU</w:t>
            </w:r>
            <w:r>
              <w:rPr>
                <w:rFonts w:ascii="Times New Roman" w:hAnsi="Times New Roman" w:hint="eastAsia"/>
                <w:kern w:val="0"/>
                <w:sz w:val="20"/>
                <w:szCs w:val="20"/>
              </w:rPr>
              <w:t>法）、对</w:t>
            </w:r>
            <w:r>
              <w:rPr>
                <w:rFonts w:ascii="Times New Roman" w:hAnsi="Times New Roman" w:hint="eastAsia"/>
                <w:kern w:val="0"/>
                <w:sz w:val="20"/>
                <w:szCs w:val="20"/>
              </w:rPr>
              <w:lastRenderedPageBreak/>
              <w:t>数平均温差法与效能</w:t>
            </w:r>
            <w:r>
              <w:rPr>
                <w:rFonts w:ascii="Times New Roman" w:hAnsi="Times New Roman" w:hint="eastAsia"/>
                <w:kern w:val="0"/>
                <w:sz w:val="20"/>
                <w:szCs w:val="20"/>
              </w:rPr>
              <w:t>-</w:t>
            </w:r>
            <w:r>
              <w:rPr>
                <w:rFonts w:ascii="Times New Roman" w:hAnsi="Times New Roman" w:hint="eastAsia"/>
                <w:kern w:val="0"/>
                <w:sz w:val="20"/>
                <w:szCs w:val="20"/>
              </w:rPr>
              <w:t>传热单元数法的比较；</w:t>
            </w:r>
          </w:p>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2. </w:t>
            </w:r>
            <w:r>
              <w:rPr>
                <w:rFonts w:ascii="Times New Roman" w:hAnsi="Times New Roman" w:hint="eastAsia"/>
                <w:kern w:val="0"/>
                <w:sz w:val="20"/>
                <w:szCs w:val="20"/>
              </w:rPr>
              <w:t>掌握表冷器处理空气时发生热质交换的特点、表冷器的传热系数、表冷器的热工计算；</w:t>
            </w:r>
          </w:p>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3. </w:t>
            </w:r>
            <w:r>
              <w:rPr>
                <w:rFonts w:ascii="Times New Roman" w:hAnsi="Times New Roman" w:hint="eastAsia"/>
                <w:kern w:val="0"/>
                <w:sz w:val="20"/>
                <w:szCs w:val="20"/>
              </w:rPr>
              <w:t>熟悉空气加热器的热工计算、散热器的热工计算。</w:t>
            </w:r>
          </w:p>
        </w:tc>
      </w:tr>
      <w:tr w:rsidR="00C10776" w:rsidTr="00C10776">
        <w:trPr>
          <w:trHeight w:val="548"/>
        </w:trPr>
        <w:tc>
          <w:tcPr>
            <w:tcW w:w="39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lastRenderedPageBreak/>
              <w:t>7</w:t>
            </w:r>
          </w:p>
        </w:tc>
        <w:tc>
          <w:tcPr>
            <w:tcW w:w="1417" w:type="dxa"/>
            <w:vAlign w:val="center"/>
          </w:tcPr>
          <w:p w:rsidR="00C10776" w:rsidRDefault="00C10776" w:rsidP="00C10776">
            <w:pPr>
              <w:spacing w:line="500" w:lineRule="exact"/>
              <w:jc w:val="left"/>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7</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混合式热质交换设备的热工计算</w:t>
            </w:r>
          </w:p>
        </w:tc>
        <w:tc>
          <w:tcPr>
            <w:tcW w:w="709"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4</w:t>
            </w:r>
          </w:p>
        </w:tc>
        <w:tc>
          <w:tcPr>
            <w:tcW w:w="2552" w:type="dxa"/>
            <w:vAlign w:val="center"/>
          </w:tcPr>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 xml:space="preserve">7.1 </w:t>
            </w:r>
            <w:r>
              <w:rPr>
                <w:rFonts w:ascii="Times New Roman" w:hAnsi="Times New Roman" w:hint="eastAsia"/>
                <w:kern w:val="0"/>
                <w:sz w:val="20"/>
                <w:szCs w:val="20"/>
              </w:rPr>
              <w:t>混合式换热器的形式与结构</w:t>
            </w:r>
          </w:p>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 xml:space="preserve">7.2 </w:t>
            </w:r>
            <w:r>
              <w:rPr>
                <w:rFonts w:ascii="Times New Roman" w:hAnsi="Times New Roman" w:hint="eastAsia"/>
                <w:kern w:val="0"/>
                <w:sz w:val="20"/>
                <w:szCs w:val="20"/>
              </w:rPr>
              <w:t>影响混合式设备热质交换效果的主要因素</w:t>
            </w:r>
          </w:p>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 xml:space="preserve">7.3 </w:t>
            </w:r>
            <w:r>
              <w:rPr>
                <w:rFonts w:ascii="Times New Roman" w:hAnsi="Times New Roman" w:hint="eastAsia"/>
                <w:kern w:val="0"/>
                <w:sz w:val="20"/>
                <w:szCs w:val="20"/>
              </w:rPr>
              <w:t>混合式设备发生热质交换的特点</w:t>
            </w:r>
          </w:p>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 xml:space="preserve">7.4 </w:t>
            </w:r>
            <w:r>
              <w:rPr>
                <w:rFonts w:ascii="Times New Roman" w:hAnsi="Times New Roman" w:hint="eastAsia"/>
                <w:kern w:val="0"/>
                <w:sz w:val="20"/>
                <w:szCs w:val="20"/>
              </w:rPr>
              <w:t>喷淋室的热工计算</w:t>
            </w:r>
          </w:p>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 xml:space="preserve">7.5 </w:t>
            </w:r>
            <w:r>
              <w:rPr>
                <w:rFonts w:ascii="Times New Roman" w:hAnsi="Times New Roman" w:hint="eastAsia"/>
                <w:kern w:val="0"/>
                <w:sz w:val="20"/>
                <w:szCs w:val="20"/>
              </w:rPr>
              <w:t>冷却塔的热工计算</w:t>
            </w:r>
          </w:p>
        </w:tc>
        <w:tc>
          <w:tcPr>
            <w:tcW w:w="4085" w:type="dxa"/>
            <w:vAlign w:val="center"/>
          </w:tcPr>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1. </w:t>
            </w:r>
            <w:r>
              <w:rPr>
                <w:rFonts w:ascii="Times New Roman" w:hAnsi="Times New Roman" w:hint="eastAsia"/>
                <w:kern w:val="0"/>
                <w:sz w:val="20"/>
                <w:szCs w:val="20"/>
              </w:rPr>
              <w:t>掌握混合式热交换器的种类、喷淋室的类型和构造、冷却塔的类型与构造；</w:t>
            </w:r>
          </w:p>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2. </w:t>
            </w:r>
            <w:r>
              <w:rPr>
                <w:rFonts w:ascii="Times New Roman" w:hAnsi="Times New Roman" w:hint="eastAsia"/>
                <w:kern w:val="0"/>
                <w:sz w:val="20"/>
                <w:szCs w:val="20"/>
              </w:rPr>
              <w:t>熟悉喷淋室热质交换的特点、冷却塔热质交换的特点；</w:t>
            </w:r>
          </w:p>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3. </w:t>
            </w:r>
            <w:r>
              <w:rPr>
                <w:rFonts w:ascii="Times New Roman" w:hAnsi="Times New Roman" w:hint="eastAsia"/>
                <w:kern w:val="0"/>
                <w:sz w:val="20"/>
                <w:szCs w:val="20"/>
              </w:rPr>
              <w:t>掌握喷淋室的热交换效率系数和接触系数、喷淋室的热交换效率系数和接触系数的实验公式、喷淋室的计算类型、喷淋室计算的主要原则、喷淋室的设计计算方法、喷淋室的校核计算方法；</w:t>
            </w:r>
          </w:p>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4. </w:t>
            </w:r>
            <w:r>
              <w:rPr>
                <w:rFonts w:ascii="Times New Roman" w:hAnsi="Times New Roman" w:hint="eastAsia"/>
                <w:kern w:val="0"/>
                <w:sz w:val="20"/>
                <w:szCs w:val="20"/>
              </w:rPr>
              <w:t>了解冷却塔的热工计算方法、冷却塔的计算方法举例。</w:t>
            </w:r>
          </w:p>
        </w:tc>
      </w:tr>
      <w:tr w:rsidR="00C10776" w:rsidTr="00C10776">
        <w:trPr>
          <w:trHeight w:val="548"/>
        </w:trPr>
        <w:tc>
          <w:tcPr>
            <w:tcW w:w="392"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8</w:t>
            </w:r>
          </w:p>
        </w:tc>
        <w:tc>
          <w:tcPr>
            <w:tcW w:w="1417" w:type="dxa"/>
            <w:vAlign w:val="center"/>
          </w:tcPr>
          <w:p w:rsidR="00C10776" w:rsidRDefault="00C10776" w:rsidP="00C10776">
            <w:pPr>
              <w:spacing w:line="500" w:lineRule="exact"/>
              <w:jc w:val="left"/>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8</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复合式热质交换设备的热工计算</w:t>
            </w:r>
          </w:p>
        </w:tc>
        <w:tc>
          <w:tcPr>
            <w:tcW w:w="709"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2</w:t>
            </w:r>
          </w:p>
        </w:tc>
        <w:tc>
          <w:tcPr>
            <w:tcW w:w="2552" w:type="dxa"/>
            <w:vAlign w:val="center"/>
          </w:tcPr>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8.1</w:t>
            </w:r>
            <w:r>
              <w:rPr>
                <w:rFonts w:ascii="Times New Roman" w:hAnsi="Times New Roman" w:hint="eastAsia"/>
                <w:kern w:val="0"/>
                <w:sz w:val="20"/>
                <w:szCs w:val="20"/>
              </w:rPr>
              <w:t>影响复合式设备热质交换效果的主要因素</w:t>
            </w:r>
          </w:p>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8.2</w:t>
            </w:r>
            <w:r>
              <w:rPr>
                <w:rFonts w:ascii="Times New Roman" w:hAnsi="Times New Roman" w:hint="eastAsia"/>
                <w:kern w:val="0"/>
                <w:sz w:val="20"/>
                <w:szCs w:val="20"/>
              </w:rPr>
              <w:t>蒸发冷却式空调系统的热工计算</w:t>
            </w:r>
          </w:p>
          <w:p w:rsidR="00C10776" w:rsidRDefault="00C10776" w:rsidP="00C10776">
            <w:pPr>
              <w:tabs>
                <w:tab w:val="left" w:pos="0"/>
              </w:tabs>
              <w:jc w:val="left"/>
              <w:rPr>
                <w:rFonts w:ascii="Times New Roman" w:hAnsi="Times New Roman"/>
                <w:kern w:val="0"/>
                <w:sz w:val="20"/>
                <w:szCs w:val="20"/>
              </w:rPr>
            </w:pPr>
            <w:r>
              <w:rPr>
                <w:rFonts w:ascii="Times New Roman" w:hAnsi="Times New Roman" w:hint="eastAsia"/>
                <w:kern w:val="0"/>
                <w:sz w:val="20"/>
                <w:szCs w:val="20"/>
              </w:rPr>
              <w:t>8.3</w:t>
            </w:r>
            <w:r>
              <w:rPr>
                <w:rFonts w:ascii="Times New Roman" w:hAnsi="Times New Roman" w:hint="eastAsia"/>
                <w:kern w:val="0"/>
                <w:sz w:val="20"/>
                <w:szCs w:val="20"/>
              </w:rPr>
              <w:t>温湿度独立调节空调系统</w:t>
            </w:r>
          </w:p>
        </w:tc>
        <w:tc>
          <w:tcPr>
            <w:tcW w:w="4085" w:type="dxa"/>
            <w:vAlign w:val="center"/>
          </w:tcPr>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1. </w:t>
            </w:r>
            <w:r>
              <w:rPr>
                <w:rFonts w:ascii="Times New Roman" w:hAnsi="Times New Roman" w:hint="eastAsia"/>
                <w:kern w:val="0"/>
                <w:sz w:val="20"/>
                <w:szCs w:val="20"/>
              </w:rPr>
              <w:t>掌握直接蒸发冷却器的类型与性能、直接蒸发冷却器的热工计算、间接蒸发冷却器的类型与性能、间接蒸发冷却器的热工计算、一级蒸发冷却空调系统的设计计算方法、二级蒸发冷却空调系统设计计算方法、三级蒸发冷却空调系统设计计算方法；</w:t>
            </w:r>
          </w:p>
          <w:p w:rsidR="00C10776" w:rsidRDefault="00C10776" w:rsidP="00C10776">
            <w:pPr>
              <w:tabs>
                <w:tab w:val="left" w:pos="0"/>
                <w:tab w:val="left" w:pos="72"/>
              </w:tabs>
              <w:jc w:val="left"/>
              <w:rPr>
                <w:rFonts w:ascii="Times New Roman" w:hAnsi="Times New Roman"/>
                <w:kern w:val="0"/>
                <w:sz w:val="20"/>
                <w:szCs w:val="20"/>
              </w:rPr>
            </w:pPr>
            <w:r>
              <w:rPr>
                <w:rFonts w:ascii="Times New Roman" w:hAnsi="Times New Roman" w:hint="eastAsia"/>
                <w:kern w:val="0"/>
                <w:sz w:val="20"/>
                <w:szCs w:val="20"/>
              </w:rPr>
              <w:t xml:space="preserve">2. </w:t>
            </w:r>
            <w:r>
              <w:rPr>
                <w:rFonts w:ascii="Times New Roman" w:hAnsi="Times New Roman" w:hint="eastAsia"/>
                <w:kern w:val="0"/>
                <w:sz w:val="20"/>
                <w:szCs w:val="20"/>
              </w:rPr>
              <w:t>熟悉温湿度独立调节空调系统简介、温度调节系统、湿度独立处理设备、温湿度独立设备的应用。</w:t>
            </w:r>
          </w:p>
        </w:tc>
      </w:tr>
      <w:tr w:rsidR="00C10776" w:rsidTr="00C10776">
        <w:trPr>
          <w:trHeight w:val="548"/>
        </w:trPr>
        <w:tc>
          <w:tcPr>
            <w:tcW w:w="392" w:type="dxa"/>
            <w:vAlign w:val="center"/>
          </w:tcPr>
          <w:p w:rsidR="00C10776" w:rsidRDefault="00C10776" w:rsidP="00C10776">
            <w:pPr>
              <w:jc w:val="center"/>
              <w:rPr>
                <w:rFonts w:ascii="Times New Roman" w:hAnsi="Times New Roman"/>
                <w:kern w:val="0"/>
                <w:sz w:val="20"/>
                <w:szCs w:val="20"/>
              </w:rPr>
            </w:pPr>
          </w:p>
        </w:tc>
        <w:tc>
          <w:tcPr>
            <w:tcW w:w="1417" w:type="dxa"/>
            <w:vAlign w:val="center"/>
          </w:tcPr>
          <w:p w:rsidR="00C10776" w:rsidRDefault="00C10776" w:rsidP="00C10776">
            <w:pPr>
              <w:spacing w:line="500" w:lineRule="exact"/>
              <w:jc w:val="left"/>
              <w:rPr>
                <w:rFonts w:ascii="宋体" w:eastAsia="宋体" w:hAnsi="宋体"/>
                <w:szCs w:val="21"/>
              </w:rPr>
            </w:pPr>
            <w:r>
              <w:rPr>
                <w:rFonts w:ascii="Times New Roman" w:hAnsi="Times New Roman" w:hint="eastAsia"/>
                <w:kern w:val="0"/>
                <w:sz w:val="20"/>
                <w:szCs w:val="20"/>
              </w:rPr>
              <w:t>实验</w:t>
            </w:r>
            <w:r>
              <w:rPr>
                <w:rFonts w:ascii="Times New Roman" w:hAnsi="Times New Roman" w:hint="eastAsia"/>
                <w:kern w:val="0"/>
                <w:sz w:val="20"/>
                <w:szCs w:val="20"/>
              </w:rPr>
              <w:t xml:space="preserve">1 </w:t>
            </w:r>
          </w:p>
        </w:tc>
        <w:tc>
          <w:tcPr>
            <w:tcW w:w="709"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2</w:t>
            </w:r>
          </w:p>
        </w:tc>
        <w:tc>
          <w:tcPr>
            <w:tcW w:w="2552" w:type="dxa"/>
            <w:vAlign w:val="center"/>
          </w:tcPr>
          <w:p w:rsidR="00C10776" w:rsidRDefault="00C10776" w:rsidP="00C10776">
            <w:pPr>
              <w:rPr>
                <w:rFonts w:ascii="华文中宋" w:eastAsia="华文中宋" w:hAnsi="华文中宋"/>
                <w:szCs w:val="21"/>
              </w:rPr>
            </w:pPr>
            <w:r>
              <w:rPr>
                <w:rFonts w:ascii="Times New Roman" w:hAnsi="Times New Roman" w:hint="eastAsia"/>
                <w:kern w:val="0"/>
                <w:sz w:val="20"/>
                <w:szCs w:val="20"/>
              </w:rPr>
              <w:t>空气热湿处理过程的测定</w:t>
            </w:r>
          </w:p>
        </w:tc>
        <w:tc>
          <w:tcPr>
            <w:tcW w:w="4085" w:type="dxa"/>
            <w:vAlign w:val="center"/>
          </w:tcPr>
          <w:p w:rsidR="00C10776" w:rsidRDefault="00C10776" w:rsidP="005F6318">
            <w:pPr>
              <w:numPr>
                <w:ilvl w:val="0"/>
                <w:numId w:val="23"/>
              </w:numPr>
              <w:ind w:left="72" w:hanging="72"/>
              <w:jc w:val="left"/>
              <w:rPr>
                <w:rFonts w:ascii="Times New Roman" w:hAnsi="Times New Roman"/>
                <w:kern w:val="0"/>
                <w:sz w:val="20"/>
                <w:szCs w:val="20"/>
              </w:rPr>
            </w:pPr>
            <w:r>
              <w:rPr>
                <w:rFonts w:ascii="Times New Roman" w:hAnsi="Times New Roman" w:hint="eastAsia"/>
                <w:kern w:val="0"/>
                <w:sz w:val="20"/>
                <w:szCs w:val="20"/>
              </w:rPr>
              <w:t>熟悉空气热湿处理过程常用的实验设备及其使用方法；</w:t>
            </w:r>
          </w:p>
          <w:p w:rsidR="00C10776" w:rsidRDefault="00C10776" w:rsidP="005F6318">
            <w:pPr>
              <w:numPr>
                <w:ilvl w:val="0"/>
                <w:numId w:val="23"/>
              </w:numPr>
              <w:tabs>
                <w:tab w:val="left" w:pos="72"/>
              </w:tabs>
              <w:jc w:val="left"/>
              <w:rPr>
                <w:rFonts w:ascii="Times New Roman" w:hAnsi="Times New Roman"/>
                <w:kern w:val="0"/>
                <w:sz w:val="20"/>
                <w:szCs w:val="20"/>
              </w:rPr>
            </w:pPr>
            <w:r>
              <w:rPr>
                <w:rFonts w:ascii="Times New Roman" w:hAnsi="Times New Roman" w:hint="eastAsia"/>
                <w:kern w:val="0"/>
                <w:sz w:val="20"/>
                <w:szCs w:val="20"/>
              </w:rPr>
              <w:t>熟悉并掌握空气热湿参数及其相互影响及数据处理。</w:t>
            </w:r>
          </w:p>
        </w:tc>
      </w:tr>
      <w:tr w:rsidR="00C10776" w:rsidTr="00C10776">
        <w:trPr>
          <w:trHeight w:val="548"/>
        </w:trPr>
        <w:tc>
          <w:tcPr>
            <w:tcW w:w="392" w:type="dxa"/>
            <w:vAlign w:val="center"/>
          </w:tcPr>
          <w:p w:rsidR="00C10776" w:rsidRDefault="00C10776" w:rsidP="00C10776">
            <w:pPr>
              <w:jc w:val="center"/>
              <w:rPr>
                <w:rFonts w:ascii="Times New Roman" w:hAnsi="Times New Roman"/>
                <w:kern w:val="0"/>
                <w:sz w:val="20"/>
                <w:szCs w:val="20"/>
              </w:rPr>
            </w:pPr>
          </w:p>
        </w:tc>
        <w:tc>
          <w:tcPr>
            <w:tcW w:w="1417" w:type="dxa"/>
            <w:vAlign w:val="center"/>
          </w:tcPr>
          <w:p w:rsidR="00C10776" w:rsidRDefault="00C10776" w:rsidP="00C10776">
            <w:pPr>
              <w:spacing w:line="500" w:lineRule="exact"/>
              <w:jc w:val="left"/>
              <w:rPr>
                <w:rFonts w:ascii="Times New Roman" w:hAnsi="Times New Roman"/>
                <w:kern w:val="0"/>
                <w:sz w:val="20"/>
                <w:szCs w:val="20"/>
              </w:rPr>
            </w:pPr>
            <w:r>
              <w:rPr>
                <w:rFonts w:ascii="Times New Roman" w:hAnsi="Times New Roman" w:hint="eastAsia"/>
                <w:kern w:val="0"/>
                <w:sz w:val="20"/>
                <w:szCs w:val="20"/>
              </w:rPr>
              <w:t>实验</w:t>
            </w:r>
            <w:r>
              <w:rPr>
                <w:rFonts w:ascii="Times New Roman" w:hAnsi="Times New Roman" w:hint="eastAsia"/>
                <w:kern w:val="0"/>
                <w:sz w:val="20"/>
                <w:szCs w:val="20"/>
              </w:rPr>
              <w:t xml:space="preserve">2 </w:t>
            </w:r>
          </w:p>
        </w:tc>
        <w:tc>
          <w:tcPr>
            <w:tcW w:w="709" w:type="dxa"/>
            <w:vAlign w:val="center"/>
          </w:tcPr>
          <w:p w:rsidR="00C10776" w:rsidRDefault="00C10776" w:rsidP="00C10776">
            <w:pPr>
              <w:jc w:val="center"/>
              <w:rPr>
                <w:rFonts w:ascii="Times New Roman" w:hAnsi="Times New Roman"/>
                <w:kern w:val="0"/>
                <w:sz w:val="20"/>
                <w:szCs w:val="20"/>
              </w:rPr>
            </w:pPr>
            <w:r>
              <w:rPr>
                <w:rFonts w:ascii="Times New Roman" w:hAnsi="Times New Roman" w:hint="eastAsia"/>
                <w:kern w:val="0"/>
                <w:sz w:val="20"/>
                <w:szCs w:val="20"/>
              </w:rPr>
              <w:t>2</w:t>
            </w:r>
          </w:p>
        </w:tc>
        <w:tc>
          <w:tcPr>
            <w:tcW w:w="2552" w:type="dxa"/>
            <w:vAlign w:val="center"/>
          </w:tcPr>
          <w:p w:rsidR="00C10776" w:rsidRDefault="00C10776" w:rsidP="00C10776">
            <w:pPr>
              <w:ind w:left="72"/>
              <w:jc w:val="left"/>
              <w:rPr>
                <w:rFonts w:ascii="Times New Roman" w:hAnsi="Times New Roman"/>
                <w:kern w:val="0"/>
                <w:sz w:val="20"/>
                <w:szCs w:val="20"/>
              </w:rPr>
            </w:pPr>
            <w:r>
              <w:rPr>
                <w:rFonts w:ascii="Times New Roman" w:hAnsi="Times New Roman" w:hint="eastAsia"/>
                <w:kern w:val="0"/>
                <w:sz w:val="20"/>
                <w:szCs w:val="20"/>
              </w:rPr>
              <w:t>换热器性能实验</w:t>
            </w:r>
          </w:p>
        </w:tc>
        <w:tc>
          <w:tcPr>
            <w:tcW w:w="4085" w:type="dxa"/>
            <w:vAlign w:val="center"/>
          </w:tcPr>
          <w:p w:rsidR="00C10776" w:rsidRDefault="00C10776" w:rsidP="005F6318">
            <w:pPr>
              <w:numPr>
                <w:ilvl w:val="0"/>
                <w:numId w:val="23"/>
              </w:numPr>
              <w:spacing w:line="500" w:lineRule="exact"/>
              <w:ind w:left="252" w:hanging="252"/>
              <w:jc w:val="left"/>
              <w:rPr>
                <w:rFonts w:ascii="Times New Roman" w:hAnsi="Times New Roman"/>
                <w:kern w:val="0"/>
                <w:sz w:val="20"/>
                <w:szCs w:val="20"/>
              </w:rPr>
            </w:pPr>
            <w:r>
              <w:rPr>
                <w:rFonts w:ascii="Times New Roman" w:hAnsi="Times New Roman" w:hint="eastAsia"/>
                <w:kern w:val="0"/>
                <w:sz w:val="20"/>
                <w:szCs w:val="20"/>
              </w:rPr>
              <w:t>熟悉换热器常见结构及其影响因素；</w:t>
            </w:r>
          </w:p>
          <w:p w:rsidR="00C10776" w:rsidRDefault="00C10776" w:rsidP="005F6318">
            <w:pPr>
              <w:numPr>
                <w:ilvl w:val="0"/>
                <w:numId w:val="23"/>
              </w:numPr>
              <w:ind w:left="72" w:hanging="72"/>
              <w:jc w:val="left"/>
              <w:rPr>
                <w:rFonts w:ascii="Times New Roman" w:hAnsi="Times New Roman"/>
                <w:kern w:val="0"/>
                <w:sz w:val="20"/>
                <w:szCs w:val="20"/>
              </w:rPr>
            </w:pPr>
            <w:r>
              <w:rPr>
                <w:rFonts w:ascii="Times New Roman" w:hAnsi="Times New Roman" w:hint="eastAsia"/>
                <w:kern w:val="0"/>
                <w:sz w:val="20"/>
                <w:szCs w:val="20"/>
              </w:rPr>
              <w:t>掌握常用换热器热工计算方法及数据处理。</w:t>
            </w:r>
          </w:p>
        </w:tc>
      </w:tr>
    </w:tbl>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10776" w:rsidRDefault="00C10776" w:rsidP="00C1077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10776" w:rsidRDefault="00C10776" w:rsidP="00C1077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考试</w:t>
      </w:r>
    </w:p>
    <w:p w:rsidR="00C10776" w:rsidRDefault="00C10776"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10776" w:rsidRDefault="00C10776" w:rsidP="00C10776">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lastRenderedPageBreak/>
        <w:t>课程总成绩=期末成绩</w:t>
      </w:r>
      <w:r>
        <w:rPr>
          <w:rFonts w:ascii="仿宋_GB2312" w:hAnsi="仿宋_GB2312" w:cs="仿宋_GB2312" w:hint="eastAsia"/>
          <w:sz w:val="28"/>
          <w:szCs w:val="28"/>
        </w:rPr>
        <w:t>55-70%+平时</w:t>
      </w:r>
      <w:r>
        <w:rPr>
          <w:rFonts w:ascii="仿宋_GB2312" w:hAnsi="仿宋_GB2312" w:cs="仿宋_GB2312"/>
          <w:sz w:val="28"/>
          <w:szCs w:val="28"/>
        </w:rPr>
        <w:t>成绩</w:t>
      </w:r>
      <w:r>
        <w:rPr>
          <w:rFonts w:ascii="仿宋_GB2312" w:hAnsi="仿宋_GB2312" w:cs="仿宋_GB2312" w:hint="eastAsia"/>
          <w:sz w:val="28"/>
          <w:szCs w:val="28"/>
        </w:rPr>
        <w:t>25-40%+</w:t>
      </w:r>
      <w:r>
        <w:rPr>
          <w:rFonts w:ascii="仿宋_GB2312" w:hAnsi="仿宋_GB2312" w:cs="仿宋_GB2312"/>
          <w:sz w:val="28"/>
          <w:szCs w:val="28"/>
        </w:rPr>
        <w:t>实验成绩</w:t>
      </w:r>
      <w:r>
        <w:rPr>
          <w:rFonts w:ascii="仿宋_GB2312" w:hAnsi="仿宋_GB2312" w:cs="仿宋_GB2312" w:hint="eastAsia"/>
          <w:sz w:val="28"/>
          <w:szCs w:val="28"/>
        </w:rPr>
        <w:t>5%。</w:t>
      </w:r>
    </w:p>
    <w:p w:rsidR="00C10776" w:rsidRDefault="00C10776" w:rsidP="00C10776">
      <w:pPr>
        <w:spacing w:line="360" w:lineRule="auto"/>
        <w:ind w:firstLineChars="200" w:firstLine="560"/>
        <w:rPr>
          <w:rStyle w:val="fontstyle11"/>
          <w:rFonts w:eastAsia="宋体"/>
          <w:color w:val="0000FF"/>
        </w:rPr>
      </w:pPr>
      <w:r>
        <w:rPr>
          <w:rFonts w:ascii="仿宋_GB2312" w:hAnsi="仿宋_GB2312" w:cs="仿宋_GB2312" w:hint="eastAsia"/>
          <w:sz w:val="28"/>
          <w:szCs w:val="28"/>
        </w:rPr>
        <w:t>平时成绩包含：作业、互动、随堂测试等。</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10776" w:rsidRDefault="00C10776" w:rsidP="00C1077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连之伟.《热质交换原理与设备》.北京：中国建筑工业出版社.2018 (第四版)</w:t>
      </w:r>
    </w:p>
    <w:p w:rsidR="00C10776" w:rsidRDefault="00C10776" w:rsidP="00C10776">
      <w:pPr>
        <w:spacing w:line="400" w:lineRule="exact"/>
        <w:jc w:val="left"/>
        <w:rPr>
          <w:rFonts w:ascii="仿宋_GB2312" w:hAnsi="仿宋_GB2312" w:cs="仿宋_GB2312"/>
          <w:sz w:val="28"/>
          <w:szCs w:val="28"/>
        </w:rPr>
      </w:pP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智慧树公开课《热质交换原理与设备》，长安大学，网址：</w:t>
      </w:r>
      <w:r>
        <w:rPr>
          <w:rFonts w:ascii="仿宋_GB2312" w:hAnsi="仿宋_GB2312" w:cs="仿宋_GB2312"/>
          <w:sz w:val="28"/>
          <w:szCs w:val="28"/>
        </w:rPr>
        <w:t>https://coursehome.zhihuishu.com/courseHome/1000000412/51149/15#teachTeam</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魏琪.《热质交换原理与设备》.重庆：重庆大学出版社.2013</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 xml:space="preserve">闫全英、刘迎云.《热质交换原理与设备》.北京：机械工业出版社.2017 </w:t>
      </w:r>
    </w:p>
    <w:p w:rsidR="00C10776" w:rsidRDefault="00C10776" w:rsidP="00C1077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 xml:space="preserve">王莹莹、周晓骏、马超.《建筑热质传递理论与应用》.北京：建筑工业出版社.2018 </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C10776" w:rsidRDefault="00C10776" w:rsidP="00C10776">
      <w:pPr>
        <w:spacing w:beforeLines="50" w:before="156" w:afterLines="50" w:after="156" w:line="460" w:lineRule="exact"/>
        <w:rPr>
          <w:rFonts w:ascii="黑体" w:eastAsia="黑体" w:hAnsi="黑体"/>
          <w:b/>
          <w:sz w:val="28"/>
          <w:szCs w:val="28"/>
        </w:rPr>
      </w:pP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大纲撰写人：檀姊静</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课程负责人：檀姊静</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10776" w:rsidRDefault="00C10776" w:rsidP="00FE09E8">
      <w:pPr>
        <w:jc w:val="center"/>
        <w:rPr>
          <w:rFonts w:ascii="仿宋" w:hAnsi="仿宋"/>
          <w:sz w:val="28"/>
          <w:szCs w:val="28"/>
        </w:rPr>
      </w:pPr>
      <w:r>
        <w:rPr>
          <w:rFonts w:ascii="仿宋" w:eastAsia="仿宋" w:hAnsi="仿宋" w:hint="eastAsia"/>
          <w:sz w:val="28"/>
          <w:szCs w:val="28"/>
        </w:rPr>
        <w:t xml:space="preserve">                 </w:t>
      </w:r>
    </w:p>
    <w:p w:rsidR="00C10776" w:rsidRDefault="00C10776" w:rsidP="00C10776">
      <w:pPr>
        <w:jc w:val="left"/>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4</w:t>
      </w:r>
      <w:r>
        <w:rPr>
          <w:rFonts w:ascii="仿宋" w:eastAsia="仿宋" w:hAnsi="仿宋" w:hint="eastAsia"/>
          <w:sz w:val="28"/>
          <w:szCs w:val="28"/>
        </w:rPr>
        <w:t xml:space="preserve"> 月</w:t>
      </w:r>
    </w:p>
    <w:p w:rsidR="00C10776" w:rsidRDefault="00C10776" w:rsidP="00C1077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《水力学》课程教学大纲</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10776" w:rsidRPr="00FE09E8" w:rsidRDefault="00C10776" w:rsidP="00C10776">
      <w:pPr>
        <w:ind w:firstLineChars="100" w:firstLine="280"/>
        <w:rPr>
          <w:rFonts w:ascii="仿宋_GB2312" w:hAnsi="仿宋_GB2312" w:cs="仿宋_GB2312"/>
          <w:bCs/>
          <w:sz w:val="28"/>
          <w:szCs w:val="28"/>
        </w:rPr>
      </w:pPr>
      <w:r w:rsidRPr="00FE09E8">
        <w:rPr>
          <w:rFonts w:ascii="仿宋_GB2312" w:hAnsi="仿宋_GB2312" w:cs="仿宋_GB2312" w:hint="eastAsia"/>
          <w:bCs/>
          <w:sz w:val="28"/>
          <w:szCs w:val="28"/>
        </w:rPr>
        <w:t>英文名称：Hydraulics</w:t>
      </w:r>
    </w:p>
    <w:p w:rsidR="00C10776" w:rsidRPr="00FE09E8" w:rsidRDefault="00C10776" w:rsidP="00C10776">
      <w:pPr>
        <w:spacing w:line="360" w:lineRule="auto"/>
        <w:ind w:firstLineChars="100" w:firstLine="280"/>
        <w:jc w:val="left"/>
        <w:rPr>
          <w:rFonts w:ascii="华文中宋" w:eastAsia="华文中宋" w:hAnsi="华文中宋" w:cs="华文中宋"/>
          <w:color w:val="000000"/>
          <w:kern w:val="0"/>
          <w:sz w:val="28"/>
          <w:szCs w:val="28"/>
          <w:lang w:bidi="ar"/>
        </w:rPr>
      </w:pPr>
      <w:r w:rsidRPr="00FE09E8">
        <w:rPr>
          <w:rFonts w:ascii="仿宋_GB2312" w:hAnsi="仿宋_GB2312" w:cs="仿宋_GB2312" w:hint="eastAsia"/>
          <w:bCs/>
          <w:sz w:val="28"/>
          <w:szCs w:val="28"/>
        </w:rPr>
        <w:t>课程编码：</w:t>
      </w:r>
      <w:r w:rsidRPr="00FE09E8">
        <w:rPr>
          <w:rFonts w:ascii="华文中宋" w:eastAsia="华文中宋" w:hAnsi="华文中宋" w:cs="华文中宋"/>
          <w:color w:val="000000"/>
          <w:kern w:val="0"/>
          <w:sz w:val="28"/>
          <w:szCs w:val="28"/>
          <w:lang w:bidi="ar"/>
        </w:rPr>
        <w:t>X2807080</w:t>
      </w:r>
    </w:p>
    <w:p w:rsidR="00C10776" w:rsidRPr="00FE09E8" w:rsidRDefault="00C10776" w:rsidP="00C10776">
      <w:pPr>
        <w:spacing w:line="360" w:lineRule="auto"/>
        <w:ind w:firstLineChars="100" w:firstLine="280"/>
        <w:jc w:val="left"/>
        <w:rPr>
          <w:rFonts w:ascii="仿宋_GB2312" w:hAnsi="仿宋_GB2312" w:cs="仿宋_GB2312"/>
          <w:bCs/>
          <w:sz w:val="28"/>
          <w:szCs w:val="28"/>
        </w:rPr>
      </w:pPr>
      <w:r w:rsidRPr="00FE09E8">
        <w:rPr>
          <w:rFonts w:ascii="仿宋_GB2312" w:hAnsi="仿宋_GB2312" w:cs="仿宋_GB2312" w:hint="eastAsia"/>
          <w:bCs/>
          <w:sz w:val="28"/>
          <w:szCs w:val="28"/>
        </w:rPr>
        <w:t>授课语言：中文</w:t>
      </w:r>
    </w:p>
    <w:p w:rsidR="00C10776" w:rsidRPr="00FE09E8" w:rsidRDefault="00C10776" w:rsidP="00C10776">
      <w:pPr>
        <w:spacing w:line="360" w:lineRule="auto"/>
        <w:ind w:firstLineChars="100" w:firstLine="280"/>
        <w:rPr>
          <w:rFonts w:ascii="仿宋_GB2312" w:hAnsi="仿宋_GB2312" w:cs="仿宋_GB2312"/>
          <w:bCs/>
          <w:sz w:val="28"/>
          <w:szCs w:val="28"/>
        </w:rPr>
      </w:pPr>
      <w:r w:rsidRPr="00FE09E8">
        <w:rPr>
          <w:rFonts w:ascii="仿宋_GB2312" w:hAnsi="仿宋_GB2312" w:cs="仿宋_GB2312" w:hint="eastAsia"/>
          <w:bCs/>
          <w:sz w:val="28"/>
          <w:szCs w:val="28"/>
        </w:rPr>
        <w:t>授课方式：线下</w:t>
      </w:r>
    </w:p>
    <w:p w:rsidR="00C10776" w:rsidRPr="00FE09E8" w:rsidRDefault="00C10776" w:rsidP="00C10776">
      <w:pPr>
        <w:ind w:firstLineChars="100" w:firstLine="280"/>
        <w:rPr>
          <w:rFonts w:ascii="仿宋_GB2312" w:hAnsi="仿宋_GB2312" w:cs="仿宋_GB2312"/>
          <w:bCs/>
          <w:sz w:val="28"/>
          <w:szCs w:val="28"/>
        </w:rPr>
      </w:pPr>
      <w:r w:rsidRPr="00FE09E8">
        <w:rPr>
          <w:rFonts w:ascii="仿宋_GB2312" w:hAnsi="仿宋_GB2312" w:cs="仿宋_GB2312" w:hint="eastAsia"/>
          <w:bCs/>
          <w:sz w:val="28"/>
          <w:szCs w:val="28"/>
        </w:rPr>
        <w:t>课程类别：学科基础课程</w:t>
      </w:r>
    </w:p>
    <w:p w:rsidR="00C10776" w:rsidRPr="00FE09E8" w:rsidRDefault="00C10776" w:rsidP="00C10776">
      <w:pPr>
        <w:spacing w:line="360" w:lineRule="auto"/>
        <w:ind w:firstLineChars="100" w:firstLine="280"/>
        <w:rPr>
          <w:rFonts w:ascii="仿宋_GB2312" w:hAnsi="仿宋_GB2312" w:cs="仿宋_GB2312"/>
          <w:bCs/>
          <w:sz w:val="28"/>
          <w:szCs w:val="28"/>
        </w:rPr>
      </w:pPr>
      <w:r w:rsidRPr="00FE09E8">
        <w:rPr>
          <w:rFonts w:ascii="仿宋_GB2312" w:hAnsi="仿宋_GB2312" w:cs="仿宋_GB2312" w:hint="eastAsia"/>
          <w:bCs/>
          <w:sz w:val="28"/>
          <w:szCs w:val="28"/>
        </w:rPr>
        <w:t>课程性质：选修</w:t>
      </w:r>
    </w:p>
    <w:p w:rsidR="00C10776" w:rsidRPr="00FE09E8" w:rsidRDefault="00C10776" w:rsidP="00C10776">
      <w:pPr>
        <w:spacing w:line="360" w:lineRule="auto"/>
        <w:ind w:firstLineChars="100" w:firstLine="280"/>
        <w:rPr>
          <w:rFonts w:ascii="仿宋_GB2312" w:hAnsi="仿宋_GB2312" w:cs="仿宋_GB2312"/>
          <w:bCs/>
          <w:sz w:val="28"/>
          <w:szCs w:val="28"/>
        </w:rPr>
      </w:pPr>
      <w:r w:rsidRPr="00FE09E8">
        <w:rPr>
          <w:rFonts w:ascii="仿宋_GB2312" w:hAnsi="仿宋_GB2312" w:cs="仿宋_GB2312" w:hint="eastAsia"/>
          <w:bCs/>
          <w:sz w:val="28"/>
          <w:szCs w:val="28"/>
        </w:rPr>
        <w:t>学    分：</w:t>
      </w:r>
      <w:r w:rsidRPr="00FE09E8">
        <w:rPr>
          <w:rFonts w:ascii="仿宋_GB2312" w:hAnsi="仿宋_GB2312" w:cs="仿宋_GB2312"/>
          <w:bCs/>
          <w:sz w:val="28"/>
          <w:szCs w:val="28"/>
        </w:rPr>
        <w:t>2</w:t>
      </w:r>
    </w:p>
    <w:p w:rsidR="00C10776" w:rsidRPr="00FE09E8" w:rsidRDefault="00C10776" w:rsidP="00C10776">
      <w:pPr>
        <w:spacing w:line="360" w:lineRule="auto"/>
        <w:ind w:firstLineChars="100" w:firstLine="280"/>
        <w:rPr>
          <w:rFonts w:ascii="仿宋_GB2312" w:hAnsi="仿宋_GB2312" w:cs="仿宋_GB2312"/>
          <w:bCs/>
          <w:sz w:val="28"/>
          <w:szCs w:val="28"/>
        </w:rPr>
      </w:pPr>
      <w:r w:rsidRPr="00FE09E8">
        <w:rPr>
          <w:rFonts w:ascii="仿宋_GB2312" w:hAnsi="仿宋_GB2312" w:cs="仿宋_GB2312" w:hint="eastAsia"/>
          <w:bCs/>
          <w:sz w:val="28"/>
          <w:szCs w:val="28"/>
        </w:rPr>
        <w:t>学    时：</w:t>
      </w:r>
      <w:r w:rsidRPr="00FE09E8">
        <w:rPr>
          <w:rFonts w:ascii="仿宋_GB2312" w:hAnsi="仿宋_GB2312" w:cs="仿宋_GB2312"/>
          <w:bCs/>
          <w:sz w:val="28"/>
          <w:szCs w:val="28"/>
        </w:rPr>
        <w:t>3</w:t>
      </w:r>
      <w:r w:rsidRPr="00FE09E8">
        <w:rPr>
          <w:rFonts w:ascii="仿宋_GB2312" w:hAnsi="仿宋_GB2312" w:cs="仿宋_GB2312" w:hint="eastAsia"/>
          <w:bCs/>
          <w:sz w:val="28"/>
          <w:szCs w:val="28"/>
        </w:rPr>
        <w:t>2学时（授课</w:t>
      </w:r>
      <w:r w:rsidRPr="00FE09E8">
        <w:rPr>
          <w:rFonts w:ascii="仿宋_GB2312" w:hAnsi="仿宋_GB2312" w:cs="仿宋_GB2312"/>
          <w:bCs/>
          <w:sz w:val="28"/>
          <w:szCs w:val="28"/>
        </w:rPr>
        <w:t>26</w:t>
      </w:r>
      <w:r w:rsidRPr="00FE09E8">
        <w:rPr>
          <w:rFonts w:ascii="仿宋_GB2312" w:hAnsi="仿宋_GB2312" w:cs="仿宋_GB2312" w:hint="eastAsia"/>
          <w:bCs/>
          <w:sz w:val="28"/>
          <w:szCs w:val="28"/>
        </w:rPr>
        <w:t>学时，实验</w:t>
      </w:r>
      <w:r w:rsidRPr="00FE09E8">
        <w:rPr>
          <w:rFonts w:ascii="仿宋_GB2312" w:hAnsi="仿宋_GB2312" w:cs="仿宋_GB2312"/>
          <w:bCs/>
          <w:sz w:val="28"/>
          <w:szCs w:val="28"/>
        </w:rPr>
        <w:t>6</w:t>
      </w:r>
      <w:r w:rsidRPr="00FE09E8">
        <w:rPr>
          <w:rFonts w:ascii="仿宋_GB2312" w:hAnsi="仿宋_GB2312" w:cs="仿宋_GB2312" w:hint="eastAsia"/>
          <w:bCs/>
          <w:sz w:val="28"/>
          <w:szCs w:val="28"/>
        </w:rPr>
        <w:t>学时）</w:t>
      </w:r>
    </w:p>
    <w:p w:rsidR="00C10776" w:rsidRPr="00FE09E8" w:rsidRDefault="00C10776" w:rsidP="00C10776">
      <w:pPr>
        <w:spacing w:line="360" w:lineRule="auto"/>
        <w:ind w:firstLineChars="100" w:firstLine="280"/>
        <w:rPr>
          <w:rFonts w:ascii="仿宋_GB2312" w:hAnsi="仿宋_GB2312" w:cs="仿宋_GB2312"/>
          <w:bCs/>
          <w:sz w:val="28"/>
          <w:szCs w:val="28"/>
        </w:rPr>
      </w:pPr>
      <w:r w:rsidRPr="00FE09E8">
        <w:rPr>
          <w:rFonts w:ascii="仿宋_GB2312" w:hAnsi="仿宋_GB2312" w:cs="仿宋_GB2312" w:hint="eastAsia"/>
          <w:bCs/>
          <w:sz w:val="28"/>
          <w:szCs w:val="28"/>
        </w:rPr>
        <w:t>适用对象：土木工程</w:t>
      </w:r>
    </w:p>
    <w:p w:rsidR="00C10776" w:rsidRPr="00FE09E8" w:rsidRDefault="00C10776" w:rsidP="00C10776">
      <w:pPr>
        <w:spacing w:line="360" w:lineRule="auto"/>
        <w:ind w:firstLineChars="100" w:firstLine="280"/>
        <w:rPr>
          <w:rFonts w:ascii="仿宋_GB2312" w:hAnsi="仿宋_GB2312" w:cs="仿宋_GB2312"/>
          <w:bCs/>
          <w:sz w:val="28"/>
          <w:szCs w:val="28"/>
        </w:rPr>
      </w:pPr>
      <w:r w:rsidRPr="00FE09E8">
        <w:rPr>
          <w:rFonts w:ascii="仿宋_GB2312" w:hAnsi="仿宋_GB2312" w:cs="仿宋_GB2312" w:hint="eastAsia"/>
          <w:bCs/>
          <w:sz w:val="28"/>
          <w:szCs w:val="28"/>
        </w:rPr>
        <w:t>先修课程：高等数学、理论力学、大学物理等。</w:t>
      </w:r>
    </w:p>
    <w:p w:rsidR="00C10776" w:rsidRPr="00FE09E8" w:rsidRDefault="00C10776" w:rsidP="00C10776">
      <w:pPr>
        <w:spacing w:line="360" w:lineRule="auto"/>
        <w:ind w:firstLineChars="100" w:firstLine="280"/>
        <w:rPr>
          <w:rFonts w:ascii="仿宋_GB2312" w:hAnsi="仿宋_GB2312" w:cs="仿宋_GB2312"/>
          <w:bCs/>
          <w:sz w:val="28"/>
          <w:szCs w:val="28"/>
        </w:rPr>
      </w:pPr>
      <w:r w:rsidRPr="00FE09E8">
        <w:rPr>
          <w:rFonts w:ascii="仿宋_GB2312" w:hAnsi="仿宋_GB2312" w:cs="仿宋_GB2312" w:hint="eastAsia"/>
          <w:bCs/>
          <w:sz w:val="28"/>
          <w:szCs w:val="28"/>
        </w:rPr>
        <w:t>开课院系：建筑工程学院建筑环境与能源应用工程系</w:t>
      </w:r>
    </w:p>
    <w:p w:rsidR="00C10776" w:rsidRDefault="00C10776" w:rsidP="00C10776">
      <w:pPr>
        <w:spacing w:line="360" w:lineRule="auto"/>
        <w:ind w:firstLineChars="100" w:firstLine="281"/>
        <w:rPr>
          <w:rFonts w:ascii="黑体" w:eastAsia="黑体" w:hAnsi="黑体"/>
          <w:b/>
          <w:sz w:val="28"/>
          <w:szCs w:val="28"/>
        </w:rPr>
      </w:pPr>
      <w:r>
        <w:rPr>
          <w:rFonts w:ascii="黑体" w:eastAsia="黑体" w:hAnsi="黑体" w:hint="eastAsia"/>
          <w:b/>
          <w:sz w:val="28"/>
          <w:szCs w:val="28"/>
        </w:rPr>
        <w:t>二、课程简介</w:t>
      </w:r>
    </w:p>
    <w:p w:rsidR="00C10776" w:rsidRPr="00FE09E8" w:rsidRDefault="00C10776" w:rsidP="00C10776">
      <w:pPr>
        <w:spacing w:line="360" w:lineRule="auto"/>
        <w:ind w:firstLine="331"/>
        <w:rPr>
          <w:rFonts w:ascii="仿宋_GB2312" w:hAnsi="仿宋_GB2312" w:cs="仿宋_GB2312"/>
          <w:bCs/>
          <w:sz w:val="28"/>
          <w:szCs w:val="28"/>
        </w:rPr>
      </w:pPr>
      <w:bookmarkStart w:id="1" w:name="_Hlk69411180"/>
      <w:r w:rsidRPr="00FE09E8">
        <w:rPr>
          <w:rFonts w:ascii="仿宋_GB2312" w:hAnsi="仿宋_GB2312" w:cs="仿宋_GB2312" w:hint="eastAsia"/>
          <w:bCs/>
          <w:sz w:val="28"/>
          <w:szCs w:val="28"/>
        </w:rPr>
        <w:t>《水力学》是土木工程专业一门重要的专业基础课，其任务是以流体为研究对象，用实验和理论分析的方法，来研究流体平衡和机械运动规律以及如何运用这些规律来解决工程实际问题。</w:t>
      </w:r>
    </w:p>
    <w:bookmarkEnd w:id="1"/>
    <w:p w:rsidR="00C10776" w:rsidRPr="00FE09E8" w:rsidRDefault="00C10776" w:rsidP="00C10776">
      <w:pPr>
        <w:spacing w:line="360" w:lineRule="auto"/>
        <w:ind w:firstLineChars="200" w:firstLine="560"/>
        <w:rPr>
          <w:rFonts w:ascii="仿宋_GB2312" w:hAnsi="仿宋_GB2312" w:cs="仿宋_GB2312"/>
          <w:bCs/>
          <w:sz w:val="28"/>
          <w:szCs w:val="28"/>
        </w:rPr>
      </w:pPr>
      <w:r w:rsidRPr="00FE09E8">
        <w:rPr>
          <w:rFonts w:ascii="仿宋_GB2312" w:hAnsi="仿宋_GB2312" w:cs="仿宋_GB2312" w:hint="eastAsia"/>
          <w:bCs/>
          <w:sz w:val="28"/>
          <w:szCs w:val="28"/>
        </w:rPr>
        <w:t>教学方式采用PPT、板书、实验、课后习题等方式相结合进行授课。</w:t>
      </w:r>
    </w:p>
    <w:p w:rsidR="00C10776" w:rsidRPr="00FE09E8" w:rsidRDefault="00C10776" w:rsidP="00C10776">
      <w:pPr>
        <w:spacing w:line="360" w:lineRule="auto"/>
        <w:ind w:firstLineChars="200" w:firstLine="560"/>
        <w:rPr>
          <w:rFonts w:ascii="仿宋_GB2312" w:hAnsi="仿宋_GB2312" w:cs="仿宋_GB2312"/>
          <w:bCs/>
          <w:sz w:val="28"/>
          <w:szCs w:val="28"/>
        </w:rPr>
      </w:pPr>
      <w:r w:rsidRPr="00FE09E8">
        <w:rPr>
          <w:rFonts w:ascii="仿宋_GB2312" w:hAnsi="仿宋_GB2312" w:cs="仿宋_GB2312" w:hint="eastAsia"/>
          <w:bCs/>
          <w:sz w:val="28"/>
          <w:szCs w:val="28"/>
        </w:rPr>
        <w:t>本课程旨在使学生了解流体运动的基本现象，熟悉流体运动参数的变化规律，掌握控制流体运动的连续性方程、能量方程及动量方程，流体运动的水头损失分类及计算，熟练应用流体基本方程及实验手段</w:t>
      </w:r>
      <w:r w:rsidRPr="00FE09E8">
        <w:rPr>
          <w:rFonts w:ascii="仿宋_GB2312" w:hAnsi="仿宋_GB2312" w:cs="仿宋_GB2312" w:hint="eastAsia"/>
          <w:bCs/>
          <w:sz w:val="28"/>
          <w:szCs w:val="28"/>
        </w:rPr>
        <w:lastRenderedPageBreak/>
        <w:t>解决实际工程各种典型的流动问题，并为专业课的学习打下良好的基础。</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10776" w:rsidRPr="00FE09E8" w:rsidRDefault="00C10776" w:rsidP="00C10776">
      <w:pPr>
        <w:spacing w:line="360" w:lineRule="auto"/>
        <w:ind w:firstLineChars="200" w:firstLine="560"/>
        <w:rPr>
          <w:rFonts w:ascii="仿宋_GB2312" w:hAnsi="仿宋_GB2312" w:cs="仿宋_GB2312"/>
          <w:sz w:val="28"/>
          <w:szCs w:val="28"/>
        </w:rPr>
      </w:pPr>
      <w:r w:rsidRPr="00FE09E8">
        <w:rPr>
          <w:rFonts w:ascii="仿宋_GB2312" w:hAnsi="仿宋_GB2312" w:cs="仿宋_GB2312" w:hint="eastAsia"/>
          <w:sz w:val="28"/>
          <w:szCs w:val="28"/>
        </w:rPr>
        <w:t>水力学课程的主要任务是使学生掌握流体运动的一般规律和有关的基本概念、基本理论，学会必要的分析计算方法和一定的实验操作技术，为学习专业课程，从事专业技术工作，进行科学研究打下必要的坚实基础。</w:t>
      </w:r>
    </w:p>
    <w:p w:rsidR="00C10776" w:rsidRDefault="00C10776"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C10776" w:rsidRPr="00FE09E8" w:rsidRDefault="00C10776" w:rsidP="00C10776">
      <w:pPr>
        <w:spacing w:line="360" w:lineRule="auto"/>
        <w:rPr>
          <w:rFonts w:ascii="仿宋_GB2312" w:hAnsi="仿宋_GB2312" w:cs="仿宋_GB2312"/>
          <w:sz w:val="28"/>
          <w:szCs w:val="28"/>
        </w:rPr>
      </w:pPr>
      <w:r>
        <w:rPr>
          <w:rFonts w:ascii="仿宋_GB2312" w:hAnsi="仿宋_GB2312" w:cs="仿宋_GB2312" w:hint="eastAsia"/>
          <w:sz w:val="28"/>
          <w:szCs w:val="28"/>
        </w:rPr>
        <w:t xml:space="preserve">   </w:t>
      </w:r>
      <w:r w:rsidRPr="00FE09E8">
        <w:rPr>
          <w:rFonts w:ascii="仿宋_GB2312" w:hAnsi="仿宋_GB2312" w:cs="仿宋_GB2312" w:hint="eastAsia"/>
          <w:sz w:val="28"/>
          <w:szCs w:val="28"/>
        </w:rPr>
        <w:t xml:space="preserve"> 课程要求学生掌握流体运动的基本规律，即作用在流体上的力，流体的主要物理性质；掌握静压强的特性，压强的性质及分布规律，液体作用在平面上静水总压力的计算方法；掌握描述流体运动的两种方法，流体运动的</w:t>
      </w:r>
      <w:bookmarkStart w:id="2" w:name="_Hlk69387340"/>
      <w:r w:rsidRPr="00FE09E8">
        <w:rPr>
          <w:rFonts w:ascii="仿宋_GB2312" w:hAnsi="仿宋_GB2312" w:cs="仿宋_GB2312" w:hint="eastAsia"/>
          <w:sz w:val="28"/>
          <w:szCs w:val="28"/>
        </w:rPr>
        <w:t>连续性方程、能量方程，</w:t>
      </w:r>
      <w:bookmarkEnd w:id="2"/>
      <w:r w:rsidRPr="00FE09E8">
        <w:rPr>
          <w:rFonts w:ascii="仿宋_GB2312" w:hAnsi="仿宋_GB2312" w:cs="仿宋_GB2312" w:hint="eastAsia"/>
          <w:sz w:val="28"/>
          <w:szCs w:val="28"/>
        </w:rPr>
        <w:t>水头损失的分类及计算公式，并能分析解决各种典型的水力学问题。</w:t>
      </w:r>
    </w:p>
    <w:p w:rsidR="00C10776" w:rsidRDefault="00C10776" w:rsidP="00C107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C10776" w:rsidRPr="00535EB6" w:rsidRDefault="00C10776" w:rsidP="00C10776">
      <w:pPr>
        <w:spacing w:line="360" w:lineRule="auto"/>
        <w:ind w:firstLine="331"/>
        <w:rPr>
          <w:rFonts w:ascii="仿宋_GB2312" w:hAnsi="仿宋_GB2312" w:cs="仿宋_GB2312"/>
          <w:bCs/>
          <w:sz w:val="28"/>
          <w:szCs w:val="28"/>
        </w:rPr>
      </w:pPr>
      <w:r w:rsidRPr="000A7F40">
        <w:rPr>
          <w:rFonts w:ascii="仿宋_GB2312" w:hAnsi="仿宋_GB2312" w:cs="仿宋_GB2312" w:hint="eastAsia"/>
          <w:b/>
          <w:color w:val="FF0000"/>
          <w:sz w:val="24"/>
          <w:szCs w:val="24"/>
        </w:rPr>
        <w:t xml:space="preserve">  </w:t>
      </w:r>
      <w:r w:rsidRPr="00535EB6">
        <w:rPr>
          <w:rFonts w:ascii="仿宋_GB2312" w:hAnsi="仿宋_GB2312" w:cs="仿宋_GB2312" w:hint="eastAsia"/>
          <w:bCs/>
          <w:sz w:val="28"/>
          <w:szCs w:val="28"/>
        </w:rPr>
        <w:t xml:space="preserve"> 理论课课程目标</w:t>
      </w:r>
    </w:p>
    <w:p w:rsidR="00C10776" w:rsidRPr="00FE09E8" w:rsidRDefault="00C10776" w:rsidP="00C10776">
      <w:pPr>
        <w:spacing w:line="360" w:lineRule="auto"/>
        <w:ind w:firstLine="331"/>
        <w:rPr>
          <w:rFonts w:ascii="仿宋_GB2312" w:hAnsi="仿宋_GB2312" w:cs="仿宋_GB2312"/>
          <w:bCs/>
          <w:sz w:val="28"/>
          <w:szCs w:val="28"/>
        </w:rPr>
      </w:pPr>
      <w:r w:rsidRPr="00FE09E8">
        <w:rPr>
          <w:rFonts w:ascii="仿宋_GB2312" w:hAnsi="仿宋_GB2312" w:cs="仿宋_GB2312" w:hint="eastAsia"/>
          <w:bCs/>
          <w:sz w:val="28"/>
          <w:szCs w:val="28"/>
        </w:rPr>
        <w:t>（1）能够将</w:t>
      </w:r>
      <w:bookmarkStart w:id="3" w:name="_Hlk69387069"/>
      <w:r w:rsidRPr="00FE09E8">
        <w:rPr>
          <w:rFonts w:ascii="仿宋_GB2312" w:hAnsi="仿宋_GB2312" w:cs="仿宋_GB2312" w:hint="eastAsia"/>
          <w:bCs/>
          <w:sz w:val="28"/>
          <w:szCs w:val="28"/>
        </w:rPr>
        <w:t>高等数学、理论力学、大学物理等</w:t>
      </w:r>
      <w:bookmarkEnd w:id="3"/>
      <w:r w:rsidRPr="00FE09E8">
        <w:rPr>
          <w:rFonts w:ascii="仿宋_GB2312" w:hAnsi="仿宋_GB2312" w:cs="仿宋_GB2312" w:hint="eastAsia"/>
          <w:bCs/>
          <w:sz w:val="28"/>
          <w:szCs w:val="28"/>
        </w:rPr>
        <w:t>知识为基础，掌握水力学基本知识、基本原理并开展应用。</w:t>
      </w:r>
    </w:p>
    <w:p w:rsidR="00C10776" w:rsidRPr="00FE09E8" w:rsidRDefault="00C10776" w:rsidP="00C10776">
      <w:pPr>
        <w:spacing w:line="360" w:lineRule="auto"/>
        <w:ind w:firstLine="331"/>
        <w:rPr>
          <w:rFonts w:ascii="仿宋_GB2312" w:hAnsi="仿宋_GB2312" w:cs="仿宋_GB2312"/>
          <w:bCs/>
          <w:sz w:val="28"/>
          <w:szCs w:val="28"/>
        </w:rPr>
      </w:pPr>
      <w:r w:rsidRPr="00FE09E8">
        <w:rPr>
          <w:rFonts w:ascii="仿宋_GB2312" w:hAnsi="仿宋_GB2312" w:cs="仿宋_GB2312" w:hint="eastAsia"/>
          <w:bCs/>
          <w:sz w:val="28"/>
          <w:szCs w:val="28"/>
        </w:rPr>
        <w:t>（2）应用水力学的基本概念、基本原理及基本计算， 具有一定的分析、解决水力学问题的能力，为后续专业课程的学习打下良好的基础。</w:t>
      </w:r>
    </w:p>
    <w:p w:rsidR="00C10776" w:rsidRPr="00FE09E8" w:rsidRDefault="00C10776" w:rsidP="00C10776">
      <w:pPr>
        <w:spacing w:line="360" w:lineRule="auto"/>
        <w:ind w:firstLine="331"/>
        <w:rPr>
          <w:rFonts w:ascii="仿宋_GB2312" w:hAnsi="仿宋_GB2312" w:cs="仿宋_GB2312"/>
          <w:bCs/>
          <w:sz w:val="28"/>
          <w:szCs w:val="28"/>
        </w:rPr>
      </w:pPr>
      <w:r w:rsidRPr="00FE09E8">
        <w:rPr>
          <w:rFonts w:ascii="仿宋_GB2312" w:hAnsi="仿宋_GB2312" w:cs="仿宋_GB2312" w:hint="eastAsia"/>
          <w:bCs/>
          <w:sz w:val="28"/>
          <w:szCs w:val="28"/>
        </w:rPr>
        <w:t>（3）应用水力学的基本概念、基本原理及基本计算，解决实际的</w:t>
      </w:r>
      <w:r w:rsidRPr="00FE09E8">
        <w:rPr>
          <w:rFonts w:ascii="仿宋_GB2312" w:hAnsi="仿宋_GB2312" w:cs="仿宋_GB2312" w:hint="eastAsia"/>
          <w:bCs/>
          <w:sz w:val="28"/>
          <w:szCs w:val="28"/>
        </w:rPr>
        <w:lastRenderedPageBreak/>
        <w:t>典型流动问题。</w:t>
      </w:r>
    </w:p>
    <w:p w:rsidR="00C10776" w:rsidRPr="00535EB6" w:rsidRDefault="00C10776" w:rsidP="00C10776">
      <w:pPr>
        <w:spacing w:line="360" w:lineRule="auto"/>
        <w:ind w:firstLine="331"/>
        <w:rPr>
          <w:rFonts w:ascii="仿宋_GB2312" w:hAnsi="仿宋_GB2312" w:cs="仿宋_GB2312"/>
          <w:bCs/>
          <w:sz w:val="28"/>
          <w:szCs w:val="28"/>
          <w:highlight w:val="black"/>
        </w:rPr>
      </w:pPr>
      <w:r w:rsidRPr="000A7F40">
        <w:rPr>
          <w:rFonts w:ascii="仿宋_GB2312" w:hAnsi="仿宋_GB2312" w:cs="仿宋_GB2312" w:hint="eastAsia"/>
          <w:b/>
          <w:color w:val="FF0000"/>
          <w:sz w:val="24"/>
          <w:szCs w:val="24"/>
        </w:rPr>
        <w:t xml:space="preserve">  </w:t>
      </w:r>
      <w:r w:rsidRPr="000A7F40">
        <w:rPr>
          <w:rFonts w:ascii="仿宋_GB2312" w:hAnsi="仿宋_GB2312" w:cs="仿宋_GB2312" w:hint="eastAsia"/>
          <w:bCs/>
          <w:sz w:val="24"/>
          <w:szCs w:val="24"/>
        </w:rPr>
        <w:t xml:space="preserve"> </w:t>
      </w:r>
      <w:r w:rsidRPr="00535EB6">
        <w:rPr>
          <w:rFonts w:ascii="仿宋_GB2312" w:hAnsi="仿宋_GB2312" w:cs="仿宋_GB2312" w:hint="eastAsia"/>
          <w:bCs/>
          <w:sz w:val="28"/>
          <w:szCs w:val="28"/>
        </w:rPr>
        <w:t>实践课课程目标</w:t>
      </w:r>
    </w:p>
    <w:p w:rsidR="00C10776" w:rsidRPr="00FE09E8" w:rsidRDefault="00C10776" w:rsidP="005F6318">
      <w:pPr>
        <w:numPr>
          <w:ilvl w:val="0"/>
          <w:numId w:val="90"/>
        </w:numPr>
        <w:spacing w:line="360" w:lineRule="auto"/>
        <w:ind w:firstLineChars="100" w:firstLine="280"/>
        <w:rPr>
          <w:rFonts w:ascii="仿宋_GB2312" w:hAnsi="仿宋_GB2312" w:cs="仿宋_GB2312"/>
          <w:bCs/>
          <w:sz w:val="28"/>
          <w:szCs w:val="28"/>
        </w:rPr>
      </w:pPr>
      <w:r w:rsidRPr="00FE09E8">
        <w:rPr>
          <w:rFonts w:ascii="仿宋_GB2312" w:hAnsi="仿宋_GB2312" w:cs="仿宋_GB2312" w:hint="eastAsia"/>
          <w:bCs/>
          <w:sz w:val="28"/>
          <w:szCs w:val="28"/>
        </w:rPr>
        <w:t>掌握水力学实验的基本技能，加深学生对水力学基本理论的理解，具有一定的分析、解决水力学问题的实际动手能力。</w:t>
      </w:r>
    </w:p>
    <w:p w:rsidR="00C10776" w:rsidRPr="00FE09E8" w:rsidRDefault="00C10776" w:rsidP="005F6318">
      <w:pPr>
        <w:numPr>
          <w:ilvl w:val="0"/>
          <w:numId w:val="90"/>
        </w:numPr>
        <w:spacing w:line="360" w:lineRule="auto"/>
        <w:ind w:firstLineChars="100" w:firstLine="280"/>
        <w:rPr>
          <w:rFonts w:ascii="仿宋_GB2312" w:hAnsi="仿宋_GB2312" w:cs="仿宋_GB2312"/>
          <w:bCs/>
          <w:sz w:val="28"/>
          <w:szCs w:val="28"/>
        </w:rPr>
      </w:pPr>
      <w:r w:rsidRPr="00FE09E8">
        <w:rPr>
          <w:rFonts w:ascii="仿宋_GB2312" w:hAnsi="仿宋_GB2312" w:cs="仿宋_GB2312" w:hint="eastAsia"/>
          <w:bCs/>
          <w:sz w:val="28"/>
          <w:szCs w:val="28"/>
        </w:rPr>
        <w:t>培养学生的团队协作精神、探讨科学的兴趣，树立对劳动的正确态度。</w:t>
      </w:r>
    </w:p>
    <w:p w:rsidR="00C10776" w:rsidRDefault="00C10776" w:rsidP="00C10776">
      <w:pPr>
        <w:spacing w:line="360" w:lineRule="auto"/>
        <w:rPr>
          <w:rFonts w:ascii="仿宋_GB2312" w:hAnsi="仿宋_GB2312" w:cs="仿宋_GB2312"/>
          <w:bCs/>
          <w:sz w:val="28"/>
          <w:szCs w:val="28"/>
          <w:highlight w:val="black"/>
        </w:rPr>
      </w:pPr>
    </w:p>
    <w:p w:rsidR="00C10776" w:rsidRDefault="00C10776" w:rsidP="00C10776">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p w:rsidR="00C10776" w:rsidRDefault="00C10776" w:rsidP="00C10776">
      <w:pPr>
        <w:spacing w:line="360" w:lineRule="auto"/>
        <w:ind w:firstLineChars="700" w:firstLine="1960"/>
        <w:rPr>
          <w:rFonts w:ascii="仿宋_GB2312" w:hAnsi="仿宋_GB2312" w:cs="仿宋_GB2312"/>
          <w:bCs/>
          <w:sz w:val="28"/>
          <w:szCs w:val="28"/>
        </w:rPr>
      </w:pPr>
      <w:r>
        <w:rPr>
          <w:rFonts w:ascii="仿宋_GB2312" w:hAnsi="仿宋_GB2312" w:cs="仿宋_GB2312" w:hint="eastAsia"/>
          <w:bCs/>
          <w:sz w:val="28"/>
          <w:szCs w:val="28"/>
        </w:rPr>
        <w:t>教学目标对毕业要求的支撑矩阵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173"/>
        <w:gridCol w:w="1704"/>
        <w:gridCol w:w="1705"/>
        <w:gridCol w:w="1705"/>
      </w:tblGrid>
      <w:tr w:rsidR="00C10776" w:rsidTr="00C10776">
        <w:tc>
          <w:tcPr>
            <w:tcW w:w="2235" w:type="dxa"/>
            <w:vMerge w:val="restart"/>
            <w:vAlign w:val="center"/>
          </w:tcPr>
          <w:p w:rsidR="00C10776" w:rsidRPr="007A7ECE" w:rsidRDefault="00C10776" w:rsidP="00C10776">
            <w:pPr>
              <w:spacing w:line="360" w:lineRule="auto"/>
              <w:ind w:firstLine="331"/>
              <w:rPr>
                <w:rFonts w:ascii="仿宋_GB2312" w:hAnsi="仿宋_GB2312" w:cs="仿宋_GB2312"/>
                <w:sz w:val="24"/>
                <w:szCs w:val="24"/>
              </w:rPr>
            </w:pPr>
            <w:r w:rsidRPr="007A7ECE">
              <w:rPr>
                <w:rFonts w:ascii="仿宋_GB2312" w:hAnsi="仿宋_GB2312" w:cs="仿宋_GB2312" w:hint="eastAsia"/>
                <w:sz w:val="24"/>
                <w:szCs w:val="24"/>
              </w:rPr>
              <w:t>毕业要求</w:t>
            </w:r>
          </w:p>
        </w:tc>
        <w:tc>
          <w:tcPr>
            <w:tcW w:w="6287" w:type="dxa"/>
            <w:gridSpan w:val="4"/>
            <w:vAlign w:val="center"/>
          </w:tcPr>
          <w:p w:rsidR="00C10776" w:rsidRDefault="00C10776" w:rsidP="00C10776">
            <w:pPr>
              <w:spacing w:line="360" w:lineRule="auto"/>
              <w:ind w:firstLine="331"/>
              <w:rPr>
                <w:rFonts w:ascii="仿宋_GB2312" w:hAnsi="仿宋_GB2312" w:cs="仿宋_GB2312"/>
                <w:bCs/>
                <w:sz w:val="21"/>
                <w:szCs w:val="21"/>
              </w:rPr>
            </w:pPr>
            <w:r w:rsidRPr="007A7ECE">
              <w:rPr>
                <w:rFonts w:ascii="仿宋_GB2312" w:hAnsi="仿宋_GB2312" w:cs="仿宋_GB2312" w:hint="eastAsia"/>
                <w:sz w:val="24"/>
                <w:szCs w:val="24"/>
              </w:rPr>
              <w:t>课程教学目标</w:t>
            </w:r>
          </w:p>
        </w:tc>
      </w:tr>
      <w:tr w:rsidR="00C10776" w:rsidTr="00C10776">
        <w:tc>
          <w:tcPr>
            <w:tcW w:w="2235" w:type="dxa"/>
            <w:vMerge/>
            <w:vAlign w:val="center"/>
          </w:tcPr>
          <w:p w:rsidR="00C10776" w:rsidRPr="007A7ECE" w:rsidRDefault="00C10776" w:rsidP="00C10776">
            <w:pPr>
              <w:spacing w:line="360" w:lineRule="auto"/>
              <w:ind w:firstLine="331"/>
              <w:rPr>
                <w:rFonts w:ascii="仿宋_GB2312" w:hAnsi="仿宋_GB2312" w:cs="仿宋_GB2312"/>
                <w:sz w:val="24"/>
                <w:szCs w:val="24"/>
              </w:rPr>
            </w:pPr>
          </w:p>
        </w:tc>
        <w:tc>
          <w:tcPr>
            <w:tcW w:w="1173"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（1）</w:t>
            </w:r>
          </w:p>
        </w:tc>
        <w:tc>
          <w:tcPr>
            <w:tcW w:w="1704"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（2）</w:t>
            </w:r>
          </w:p>
        </w:tc>
        <w:tc>
          <w:tcPr>
            <w:tcW w:w="1705"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（3）</w:t>
            </w:r>
          </w:p>
        </w:tc>
        <w:tc>
          <w:tcPr>
            <w:tcW w:w="1705"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（4）</w:t>
            </w:r>
          </w:p>
        </w:tc>
      </w:tr>
      <w:tr w:rsidR="00C10776" w:rsidTr="00C10776">
        <w:trPr>
          <w:trHeight w:val="777"/>
        </w:trPr>
        <w:tc>
          <w:tcPr>
            <w:tcW w:w="2235" w:type="dxa"/>
            <w:vAlign w:val="center"/>
          </w:tcPr>
          <w:p w:rsidR="00C10776" w:rsidRPr="007A7ECE" w:rsidRDefault="00C10776" w:rsidP="00C10776">
            <w:pPr>
              <w:spacing w:line="360" w:lineRule="auto"/>
              <w:ind w:firstLine="331"/>
              <w:rPr>
                <w:rFonts w:ascii="仿宋_GB2312" w:hAnsi="仿宋_GB2312" w:cs="仿宋_GB2312"/>
                <w:sz w:val="24"/>
                <w:szCs w:val="24"/>
              </w:rPr>
            </w:pPr>
            <w:r w:rsidRPr="007A7ECE">
              <w:rPr>
                <w:rFonts w:ascii="仿宋_GB2312" w:hAnsi="仿宋_GB2312" w:cs="仿宋_GB2312" w:hint="eastAsia"/>
                <w:sz w:val="24"/>
                <w:szCs w:val="24"/>
              </w:rPr>
              <w:t>2 问题分析</w:t>
            </w:r>
          </w:p>
        </w:tc>
        <w:tc>
          <w:tcPr>
            <w:tcW w:w="1173"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c>
          <w:tcPr>
            <w:tcW w:w="1704"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c>
          <w:tcPr>
            <w:tcW w:w="1705"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c>
          <w:tcPr>
            <w:tcW w:w="1705"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r>
      <w:tr w:rsidR="00C10776" w:rsidTr="00C10776">
        <w:trPr>
          <w:trHeight w:val="1096"/>
        </w:trPr>
        <w:tc>
          <w:tcPr>
            <w:tcW w:w="2235" w:type="dxa"/>
            <w:vAlign w:val="center"/>
          </w:tcPr>
          <w:p w:rsidR="00C10776" w:rsidRPr="007A7ECE" w:rsidRDefault="00C10776" w:rsidP="00C10776">
            <w:pPr>
              <w:spacing w:line="360" w:lineRule="auto"/>
              <w:ind w:leftChars="87" w:left="278" w:firstLineChars="3" w:firstLine="7"/>
              <w:rPr>
                <w:rFonts w:ascii="仿宋_GB2312" w:hAnsi="仿宋_GB2312" w:cs="仿宋_GB2312"/>
                <w:sz w:val="24"/>
                <w:szCs w:val="24"/>
              </w:rPr>
            </w:pPr>
            <w:r w:rsidRPr="007A7ECE">
              <w:rPr>
                <w:rFonts w:ascii="仿宋_GB2312" w:hAnsi="仿宋_GB2312" w:cs="仿宋_GB2312" w:hint="eastAsia"/>
                <w:sz w:val="24"/>
                <w:szCs w:val="24"/>
              </w:rPr>
              <w:t>3 设计/开发解决问题</w:t>
            </w:r>
          </w:p>
        </w:tc>
        <w:tc>
          <w:tcPr>
            <w:tcW w:w="1173"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c>
          <w:tcPr>
            <w:tcW w:w="1704"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c>
          <w:tcPr>
            <w:tcW w:w="1705"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c>
          <w:tcPr>
            <w:tcW w:w="1705"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r>
      <w:tr w:rsidR="00C10776" w:rsidTr="00C10776">
        <w:tc>
          <w:tcPr>
            <w:tcW w:w="2235" w:type="dxa"/>
            <w:vAlign w:val="center"/>
          </w:tcPr>
          <w:p w:rsidR="00C10776" w:rsidRPr="007A7ECE" w:rsidRDefault="00C10776" w:rsidP="00C10776">
            <w:pPr>
              <w:spacing w:line="360" w:lineRule="auto"/>
              <w:ind w:firstLine="331"/>
              <w:rPr>
                <w:rFonts w:ascii="仿宋_GB2312" w:hAnsi="仿宋_GB2312" w:cs="仿宋_GB2312"/>
                <w:sz w:val="24"/>
                <w:szCs w:val="24"/>
              </w:rPr>
            </w:pPr>
            <w:r w:rsidRPr="007A7ECE">
              <w:rPr>
                <w:rFonts w:ascii="仿宋_GB2312" w:hAnsi="仿宋_GB2312" w:cs="仿宋_GB2312" w:hint="eastAsia"/>
                <w:sz w:val="24"/>
                <w:szCs w:val="24"/>
              </w:rPr>
              <w:t>4 研究</w:t>
            </w:r>
          </w:p>
        </w:tc>
        <w:tc>
          <w:tcPr>
            <w:tcW w:w="1173" w:type="dxa"/>
            <w:vAlign w:val="center"/>
          </w:tcPr>
          <w:p w:rsidR="00C10776" w:rsidRDefault="00C10776" w:rsidP="00C10776">
            <w:pPr>
              <w:spacing w:line="360" w:lineRule="auto"/>
              <w:ind w:firstLine="331"/>
              <w:rPr>
                <w:rFonts w:ascii="仿宋_GB2312" w:hAnsi="仿宋_GB2312" w:cs="仿宋_GB2312"/>
                <w:bCs/>
                <w:sz w:val="21"/>
                <w:szCs w:val="21"/>
              </w:rPr>
            </w:pPr>
          </w:p>
        </w:tc>
        <w:tc>
          <w:tcPr>
            <w:tcW w:w="1704"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c>
          <w:tcPr>
            <w:tcW w:w="1705" w:type="dxa"/>
            <w:vAlign w:val="center"/>
          </w:tcPr>
          <w:p w:rsidR="00C10776" w:rsidRDefault="00C10776" w:rsidP="00C10776">
            <w:pPr>
              <w:spacing w:line="360" w:lineRule="auto"/>
              <w:ind w:firstLine="331"/>
              <w:rPr>
                <w:rFonts w:ascii="仿宋_GB2312" w:hAnsi="仿宋_GB2312" w:cs="仿宋_GB2312"/>
                <w:bCs/>
                <w:sz w:val="21"/>
                <w:szCs w:val="21"/>
              </w:rPr>
            </w:pPr>
          </w:p>
        </w:tc>
        <w:tc>
          <w:tcPr>
            <w:tcW w:w="1705"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r>
      <w:tr w:rsidR="00C10776" w:rsidTr="00C10776">
        <w:tc>
          <w:tcPr>
            <w:tcW w:w="2235" w:type="dxa"/>
            <w:vAlign w:val="center"/>
          </w:tcPr>
          <w:p w:rsidR="00C10776" w:rsidRPr="007A7ECE" w:rsidRDefault="00C10776" w:rsidP="00C10776">
            <w:pPr>
              <w:spacing w:line="360" w:lineRule="auto"/>
              <w:ind w:firstLine="331"/>
              <w:rPr>
                <w:rFonts w:ascii="仿宋_GB2312" w:hAnsi="仿宋_GB2312" w:cs="仿宋_GB2312"/>
                <w:sz w:val="24"/>
                <w:szCs w:val="24"/>
              </w:rPr>
            </w:pPr>
            <w:r w:rsidRPr="007A7ECE">
              <w:rPr>
                <w:rFonts w:ascii="仿宋_GB2312" w:hAnsi="仿宋_GB2312" w:cs="仿宋_GB2312" w:hint="eastAsia"/>
                <w:sz w:val="24"/>
                <w:szCs w:val="24"/>
              </w:rPr>
              <w:t>5设计试验</w:t>
            </w:r>
          </w:p>
        </w:tc>
        <w:tc>
          <w:tcPr>
            <w:tcW w:w="1173"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c>
          <w:tcPr>
            <w:tcW w:w="1704"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c>
          <w:tcPr>
            <w:tcW w:w="1705"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c>
          <w:tcPr>
            <w:tcW w:w="1705" w:type="dxa"/>
            <w:vAlign w:val="center"/>
          </w:tcPr>
          <w:p w:rsidR="00C10776" w:rsidRDefault="00C10776" w:rsidP="00C10776">
            <w:pPr>
              <w:spacing w:line="360" w:lineRule="auto"/>
              <w:ind w:firstLine="331"/>
              <w:rPr>
                <w:rFonts w:ascii="仿宋_GB2312" w:hAnsi="仿宋_GB2312" w:cs="仿宋_GB2312"/>
                <w:bCs/>
                <w:sz w:val="21"/>
                <w:szCs w:val="21"/>
              </w:rPr>
            </w:pPr>
            <w:r>
              <w:rPr>
                <w:rFonts w:ascii="仿宋_GB2312" w:hAnsi="仿宋_GB2312" w:cs="仿宋_GB2312" w:hint="eastAsia"/>
                <w:bCs/>
                <w:sz w:val="21"/>
                <w:szCs w:val="21"/>
              </w:rPr>
              <w:t>√</w:t>
            </w:r>
          </w:p>
        </w:tc>
      </w:tr>
    </w:tbl>
    <w:p w:rsidR="00C10776" w:rsidRDefault="00C10776" w:rsidP="00C1077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10776" w:rsidRPr="00FE09E8" w:rsidRDefault="00C10776" w:rsidP="00C10776">
      <w:pPr>
        <w:spacing w:line="360" w:lineRule="auto"/>
        <w:ind w:firstLineChars="200" w:firstLine="560"/>
        <w:jc w:val="left"/>
        <w:rPr>
          <w:rFonts w:ascii="仿宋_GB2312" w:hAnsi="仿宋_GB2312" w:cs="仿宋_GB2312"/>
          <w:sz w:val="28"/>
          <w:szCs w:val="28"/>
        </w:rPr>
      </w:pPr>
      <w:r w:rsidRPr="00FE09E8">
        <w:rPr>
          <w:rFonts w:ascii="仿宋_GB2312" w:hAnsi="仿宋_GB2312" w:cs="仿宋_GB2312" w:hint="eastAsia"/>
          <w:sz w:val="28"/>
          <w:szCs w:val="28"/>
        </w:rPr>
        <w:t>课程重点包括：流体的粘性及牛顿内摩擦定律、静水压强的分布规律、作用在平面上的静水总压力、描述流体运动的连续性方程、能量方程，动量方程、水头损失的分类及计算等。</w:t>
      </w:r>
    </w:p>
    <w:p w:rsidR="00C10776" w:rsidRPr="00FE09E8" w:rsidRDefault="00C10776" w:rsidP="00C10776">
      <w:pPr>
        <w:spacing w:line="360" w:lineRule="auto"/>
        <w:ind w:firstLineChars="200" w:firstLine="560"/>
        <w:jc w:val="left"/>
        <w:rPr>
          <w:rFonts w:ascii="仿宋_GB2312" w:hAnsi="仿宋_GB2312" w:cs="仿宋_GB2312"/>
          <w:sz w:val="28"/>
          <w:szCs w:val="28"/>
        </w:rPr>
      </w:pPr>
      <w:r w:rsidRPr="00FE09E8">
        <w:rPr>
          <w:rFonts w:ascii="仿宋_GB2312" w:hAnsi="仿宋_GB2312" w:cs="仿宋_GB2312" w:hint="eastAsia"/>
          <w:sz w:val="28"/>
          <w:szCs w:val="28"/>
        </w:rPr>
        <w:t>课程难点包括：牛顿内摩擦定律、作用在平面上的静水总压力、能量方程、</w:t>
      </w:r>
      <w:bookmarkStart w:id="4" w:name="_Hlk69387364"/>
      <w:r w:rsidRPr="00FE09E8">
        <w:rPr>
          <w:rFonts w:ascii="仿宋_GB2312" w:hAnsi="仿宋_GB2312" w:cs="仿宋_GB2312" w:hint="eastAsia"/>
          <w:sz w:val="28"/>
          <w:szCs w:val="28"/>
        </w:rPr>
        <w:t>动量方程、水头损失的分类及计算等。</w:t>
      </w:r>
    </w:p>
    <w:bookmarkEnd w:id="4"/>
    <w:p w:rsidR="00C10776" w:rsidRPr="00150A05" w:rsidRDefault="00C10776" w:rsidP="005F6318">
      <w:pPr>
        <w:numPr>
          <w:ilvl w:val="0"/>
          <w:numId w:val="93"/>
        </w:numPr>
        <w:spacing w:line="360" w:lineRule="auto"/>
        <w:ind w:left="640"/>
        <w:rPr>
          <w:rFonts w:ascii="仿宋_GB2312" w:hAnsi="仿宋_GB2312" w:cs="仿宋_GB2312"/>
          <w:sz w:val="28"/>
          <w:szCs w:val="28"/>
        </w:rPr>
      </w:pPr>
      <w:r w:rsidRPr="00150A05">
        <w:rPr>
          <w:rFonts w:ascii="仿宋_GB2312" w:hAnsi="仿宋_GB2312" w:cs="仿宋_GB2312" w:hint="eastAsia"/>
          <w:sz w:val="28"/>
          <w:szCs w:val="28"/>
        </w:rPr>
        <w:t>课程思政设计</w:t>
      </w:r>
    </w:p>
    <w:p w:rsidR="00C10776" w:rsidRPr="00FE09E8" w:rsidRDefault="00C10776" w:rsidP="00C10776">
      <w:pPr>
        <w:spacing w:line="360" w:lineRule="auto"/>
        <w:ind w:firstLineChars="200" w:firstLine="560"/>
        <w:jc w:val="left"/>
        <w:rPr>
          <w:rFonts w:ascii="仿宋_GB2312" w:hAnsi="仿宋_GB2312" w:cs="仿宋_GB2312"/>
          <w:color w:val="FF0000"/>
          <w:sz w:val="28"/>
          <w:szCs w:val="28"/>
        </w:rPr>
      </w:pPr>
      <w:r w:rsidRPr="00FE09E8">
        <w:rPr>
          <w:rFonts w:ascii="仿宋_GB2312" w:hAnsi="仿宋_GB2312" w:cs="仿宋_GB2312" w:hint="eastAsia"/>
          <w:sz w:val="28"/>
          <w:szCs w:val="28"/>
        </w:rPr>
        <w:lastRenderedPageBreak/>
        <w:t>《水力学》是研究流体的机械运动规律及应用的科学。通过流体力学的发展简史，引出中国历史上伟大的水利工程——都江堰、大运河、赵州桥等，激发学生的学习兴趣和民族自豪感。通过流体力学与土木工程的关系，认识</w:t>
      </w:r>
      <w:bookmarkStart w:id="5" w:name="_Hlk69412420"/>
      <w:r w:rsidRPr="00FE09E8">
        <w:rPr>
          <w:rFonts w:ascii="仿宋_GB2312" w:hAnsi="仿宋_GB2312" w:cs="仿宋_GB2312" w:hint="eastAsia"/>
          <w:sz w:val="28"/>
          <w:szCs w:val="28"/>
        </w:rPr>
        <w:t>到流体力学在土木工程的重要性、土木工程</w:t>
      </w:r>
      <w:bookmarkStart w:id="6" w:name="_Hlk69412434"/>
      <w:bookmarkEnd w:id="5"/>
      <w:r w:rsidRPr="00FE09E8">
        <w:rPr>
          <w:rFonts w:ascii="仿宋_GB2312" w:hAnsi="仿宋_GB2312" w:cs="仿宋_GB2312" w:hint="eastAsia"/>
          <w:sz w:val="28"/>
          <w:szCs w:val="28"/>
        </w:rPr>
        <w:t>与大气和水环境的关系</w:t>
      </w:r>
      <w:bookmarkEnd w:id="6"/>
      <w:r w:rsidRPr="00FE09E8">
        <w:rPr>
          <w:rFonts w:ascii="仿宋_GB2312" w:hAnsi="仿宋_GB2312" w:cs="仿宋_GB2312" w:hint="eastAsia"/>
          <w:sz w:val="28"/>
          <w:szCs w:val="28"/>
        </w:rPr>
        <w:t>，培养学生的职业素养，在将来的工作中，处理好土木工程与大气和水环境的关系，做到保护环境，减轻灾害，才能实现国民经济可持续发展。</w:t>
      </w:r>
    </w:p>
    <w:p w:rsidR="00C10776" w:rsidRDefault="00C10776" w:rsidP="00C10776">
      <w:pPr>
        <w:spacing w:line="360" w:lineRule="auto"/>
        <w:jc w:val="left"/>
        <w:rPr>
          <w:rFonts w:ascii="黑体" w:eastAsia="黑体" w:hAnsi="黑体"/>
          <w:b/>
          <w:sz w:val="28"/>
          <w:szCs w:val="28"/>
        </w:rPr>
      </w:pPr>
      <w:r>
        <w:rPr>
          <w:rFonts w:ascii="黑体" w:eastAsia="黑体" w:hAnsi="黑体" w:hint="eastAsia"/>
          <w:b/>
          <w:sz w:val="28"/>
          <w:szCs w:val="28"/>
        </w:rPr>
        <w:t>四、教学内容安排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843"/>
        <w:gridCol w:w="637"/>
        <w:gridCol w:w="2472"/>
        <w:gridCol w:w="2894"/>
      </w:tblGrid>
      <w:tr w:rsidR="00C10776" w:rsidTr="00C10776">
        <w:trPr>
          <w:cantSplit/>
          <w:trHeight w:val="661"/>
        </w:trPr>
        <w:tc>
          <w:tcPr>
            <w:tcW w:w="271" w:type="pct"/>
            <w:vAlign w:val="center"/>
          </w:tcPr>
          <w:p w:rsidR="00C10776" w:rsidRPr="00CF1222" w:rsidRDefault="00C10776" w:rsidP="00C10776">
            <w:pPr>
              <w:jc w:val="center"/>
              <w:rPr>
                <w:rFonts w:ascii="Times New Roman" w:hAnsi="Times New Roman"/>
                <w:kern w:val="0"/>
                <w:sz w:val="20"/>
                <w:szCs w:val="20"/>
              </w:rPr>
            </w:pPr>
            <w:r w:rsidRPr="00CF1222">
              <w:rPr>
                <w:rFonts w:ascii="Times New Roman" w:hAnsi="Times New Roman" w:hint="eastAsia"/>
                <w:kern w:val="0"/>
                <w:sz w:val="20"/>
                <w:szCs w:val="20"/>
              </w:rPr>
              <w:t>序号</w:t>
            </w:r>
          </w:p>
        </w:tc>
        <w:tc>
          <w:tcPr>
            <w:tcW w:w="1111" w:type="pct"/>
            <w:vAlign w:val="center"/>
          </w:tcPr>
          <w:p w:rsidR="00C10776" w:rsidRPr="00CF1222" w:rsidRDefault="00C10776" w:rsidP="00C10776">
            <w:pPr>
              <w:jc w:val="center"/>
              <w:rPr>
                <w:rFonts w:ascii="Times New Roman" w:hAnsi="Times New Roman"/>
                <w:kern w:val="0"/>
                <w:sz w:val="20"/>
                <w:szCs w:val="20"/>
              </w:rPr>
            </w:pPr>
            <w:r w:rsidRPr="00CF1222">
              <w:rPr>
                <w:rFonts w:ascii="Times New Roman" w:hAnsi="Times New Roman" w:hint="eastAsia"/>
                <w:kern w:val="0"/>
                <w:sz w:val="20"/>
                <w:szCs w:val="20"/>
              </w:rPr>
              <w:t>章</w:t>
            </w:r>
            <w:r w:rsidRPr="00CF1222">
              <w:rPr>
                <w:rFonts w:ascii="Times New Roman" w:hAnsi="Times New Roman" w:hint="eastAsia"/>
                <w:kern w:val="0"/>
                <w:sz w:val="20"/>
                <w:szCs w:val="20"/>
              </w:rPr>
              <w:t xml:space="preserve">  </w:t>
            </w:r>
            <w:r w:rsidRPr="00CF1222">
              <w:rPr>
                <w:rFonts w:ascii="Times New Roman" w:hAnsi="Times New Roman" w:hint="eastAsia"/>
                <w:kern w:val="0"/>
                <w:sz w:val="20"/>
                <w:szCs w:val="20"/>
              </w:rPr>
              <w:t>节</w:t>
            </w:r>
          </w:p>
        </w:tc>
        <w:tc>
          <w:tcPr>
            <w:tcW w:w="384" w:type="pct"/>
            <w:vAlign w:val="center"/>
          </w:tcPr>
          <w:p w:rsidR="00C10776" w:rsidRPr="00CF1222" w:rsidRDefault="00C10776" w:rsidP="00C10776">
            <w:pPr>
              <w:jc w:val="center"/>
              <w:rPr>
                <w:rFonts w:ascii="Times New Roman" w:hAnsi="Times New Roman"/>
                <w:kern w:val="0"/>
                <w:sz w:val="20"/>
                <w:szCs w:val="20"/>
              </w:rPr>
            </w:pPr>
          </w:p>
          <w:p w:rsidR="00C10776" w:rsidRPr="00CF1222" w:rsidRDefault="00C10776" w:rsidP="00C10776">
            <w:pPr>
              <w:jc w:val="center"/>
              <w:rPr>
                <w:rFonts w:ascii="Times New Roman" w:hAnsi="Times New Roman"/>
                <w:kern w:val="0"/>
                <w:sz w:val="20"/>
                <w:szCs w:val="20"/>
              </w:rPr>
            </w:pPr>
            <w:r w:rsidRPr="00CF1222">
              <w:rPr>
                <w:rFonts w:ascii="Times New Roman" w:hAnsi="Times New Roman" w:hint="eastAsia"/>
                <w:kern w:val="0"/>
                <w:sz w:val="20"/>
                <w:szCs w:val="20"/>
              </w:rPr>
              <w:t>参考学时</w:t>
            </w:r>
          </w:p>
          <w:p w:rsidR="00C10776" w:rsidRPr="00CF1222" w:rsidRDefault="00C10776" w:rsidP="00C10776">
            <w:pPr>
              <w:jc w:val="center"/>
              <w:rPr>
                <w:rFonts w:ascii="Times New Roman" w:hAnsi="Times New Roman"/>
                <w:kern w:val="0"/>
                <w:sz w:val="20"/>
                <w:szCs w:val="20"/>
              </w:rPr>
            </w:pPr>
          </w:p>
        </w:tc>
        <w:tc>
          <w:tcPr>
            <w:tcW w:w="1490" w:type="pct"/>
            <w:vAlign w:val="center"/>
          </w:tcPr>
          <w:p w:rsidR="00C10776" w:rsidRPr="00CF1222" w:rsidRDefault="00C10776" w:rsidP="00C10776">
            <w:pPr>
              <w:ind w:firstLineChars="450" w:firstLine="900"/>
              <w:rPr>
                <w:rFonts w:ascii="Times New Roman" w:hAnsi="Times New Roman"/>
                <w:kern w:val="0"/>
                <w:sz w:val="20"/>
                <w:szCs w:val="20"/>
              </w:rPr>
            </w:pPr>
            <w:r w:rsidRPr="00CF1222">
              <w:rPr>
                <w:rFonts w:ascii="Times New Roman" w:hAnsi="Times New Roman" w:hint="eastAsia"/>
                <w:kern w:val="0"/>
                <w:sz w:val="20"/>
                <w:szCs w:val="20"/>
              </w:rPr>
              <w:t>教学内容</w:t>
            </w:r>
          </w:p>
        </w:tc>
        <w:tc>
          <w:tcPr>
            <w:tcW w:w="1744" w:type="pct"/>
            <w:vAlign w:val="center"/>
          </w:tcPr>
          <w:p w:rsidR="00C10776" w:rsidRPr="00CF1222" w:rsidRDefault="00C10776" w:rsidP="00C10776">
            <w:pPr>
              <w:jc w:val="center"/>
              <w:rPr>
                <w:rFonts w:ascii="Times New Roman" w:hAnsi="Times New Roman"/>
                <w:kern w:val="0"/>
                <w:sz w:val="20"/>
                <w:szCs w:val="20"/>
              </w:rPr>
            </w:pPr>
            <w:r w:rsidRPr="00CF1222">
              <w:rPr>
                <w:rFonts w:ascii="Times New Roman" w:hAnsi="Times New Roman" w:hint="eastAsia"/>
                <w:kern w:val="0"/>
                <w:sz w:val="20"/>
                <w:szCs w:val="20"/>
              </w:rPr>
              <w:t>基本要求</w:t>
            </w:r>
          </w:p>
        </w:tc>
      </w:tr>
      <w:tr w:rsidR="00C10776" w:rsidTr="00C10776">
        <w:trPr>
          <w:trHeight w:val="1237"/>
        </w:trPr>
        <w:tc>
          <w:tcPr>
            <w:tcW w:w="271"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1</w:t>
            </w:r>
          </w:p>
        </w:tc>
        <w:tc>
          <w:tcPr>
            <w:tcW w:w="1111" w:type="pct"/>
            <w:vAlign w:val="center"/>
          </w:tcPr>
          <w:p w:rsidR="00C10776" w:rsidRPr="00CF1222" w:rsidRDefault="00C10776" w:rsidP="00CF1222">
            <w:pPr>
              <w:ind w:firstLineChars="157" w:firstLine="314"/>
              <w:jc w:val="center"/>
              <w:rPr>
                <w:rFonts w:ascii="Times New Roman" w:hAnsi="Times New Roman"/>
                <w:kern w:val="0"/>
                <w:sz w:val="20"/>
                <w:szCs w:val="20"/>
              </w:rPr>
            </w:pPr>
            <w:r w:rsidRPr="00CF1222">
              <w:rPr>
                <w:rFonts w:ascii="Times New Roman" w:hAnsi="Times New Roman" w:hint="eastAsia"/>
                <w:kern w:val="0"/>
                <w:sz w:val="20"/>
                <w:szCs w:val="20"/>
              </w:rPr>
              <w:t>第</w:t>
            </w:r>
            <w:r w:rsidRPr="00CF1222">
              <w:rPr>
                <w:rFonts w:ascii="Times New Roman" w:hAnsi="Times New Roman" w:hint="eastAsia"/>
                <w:kern w:val="0"/>
                <w:sz w:val="20"/>
                <w:szCs w:val="20"/>
              </w:rPr>
              <w:t>1</w:t>
            </w:r>
            <w:r w:rsidRPr="00CF1222">
              <w:rPr>
                <w:rFonts w:ascii="Times New Roman" w:hAnsi="Times New Roman" w:hint="eastAsia"/>
                <w:kern w:val="0"/>
                <w:sz w:val="20"/>
                <w:szCs w:val="20"/>
              </w:rPr>
              <w:t>章</w:t>
            </w:r>
          </w:p>
          <w:p w:rsidR="00C10776" w:rsidRPr="00CF1222" w:rsidRDefault="00C10776" w:rsidP="00CF1222">
            <w:pPr>
              <w:ind w:firstLineChars="157" w:firstLine="314"/>
              <w:jc w:val="center"/>
              <w:rPr>
                <w:rFonts w:ascii="Times New Roman" w:hAnsi="Times New Roman"/>
                <w:kern w:val="0"/>
                <w:sz w:val="20"/>
                <w:szCs w:val="20"/>
              </w:rPr>
            </w:pPr>
            <w:r w:rsidRPr="00CF1222">
              <w:rPr>
                <w:rFonts w:ascii="Times New Roman" w:hAnsi="Times New Roman" w:hint="eastAsia"/>
                <w:kern w:val="0"/>
                <w:sz w:val="20"/>
                <w:szCs w:val="20"/>
              </w:rPr>
              <w:t>绪</w:t>
            </w:r>
            <w:r w:rsidRPr="00CF1222">
              <w:rPr>
                <w:rFonts w:ascii="Times New Roman" w:hAnsi="Times New Roman" w:hint="eastAsia"/>
                <w:kern w:val="0"/>
                <w:sz w:val="20"/>
                <w:szCs w:val="20"/>
              </w:rPr>
              <w:t xml:space="preserve"> </w:t>
            </w:r>
            <w:r w:rsidRPr="00CF1222">
              <w:rPr>
                <w:rFonts w:ascii="Times New Roman" w:hAnsi="Times New Roman" w:hint="eastAsia"/>
                <w:kern w:val="0"/>
                <w:sz w:val="20"/>
                <w:szCs w:val="20"/>
              </w:rPr>
              <w:t>论</w:t>
            </w:r>
          </w:p>
        </w:tc>
        <w:tc>
          <w:tcPr>
            <w:tcW w:w="384" w:type="pct"/>
            <w:vAlign w:val="center"/>
          </w:tcPr>
          <w:p w:rsidR="00C10776" w:rsidRPr="00CF1222" w:rsidRDefault="00C10776" w:rsidP="00CF1222">
            <w:pPr>
              <w:ind w:firstLineChars="100" w:firstLine="200"/>
              <w:jc w:val="center"/>
              <w:rPr>
                <w:rFonts w:ascii="Times New Roman" w:hAnsi="Times New Roman"/>
                <w:kern w:val="0"/>
                <w:sz w:val="20"/>
                <w:szCs w:val="20"/>
              </w:rPr>
            </w:pPr>
            <w:r w:rsidRPr="00CF1222">
              <w:rPr>
                <w:rFonts w:ascii="Times New Roman" w:hAnsi="Times New Roman" w:hint="eastAsia"/>
                <w:kern w:val="0"/>
                <w:sz w:val="20"/>
                <w:szCs w:val="20"/>
              </w:rPr>
              <w:t>3</w:t>
            </w:r>
          </w:p>
        </w:tc>
        <w:tc>
          <w:tcPr>
            <w:tcW w:w="1490"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1.1 </w:t>
            </w:r>
            <w:r w:rsidRPr="00CF1222">
              <w:rPr>
                <w:rFonts w:ascii="Times New Roman" w:hAnsi="Times New Roman" w:hint="eastAsia"/>
                <w:kern w:val="0"/>
                <w:sz w:val="20"/>
                <w:szCs w:val="20"/>
              </w:rPr>
              <w:t>流体力学及其任务</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1.2 </w:t>
            </w:r>
            <w:r w:rsidRPr="00CF1222">
              <w:rPr>
                <w:rFonts w:ascii="Times New Roman" w:hAnsi="Times New Roman" w:hint="eastAsia"/>
                <w:kern w:val="0"/>
                <w:sz w:val="20"/>
                <w:szCs w:val="20"/>
              </w:rPr>
              <w:t>作用在流体上的力</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1.3 </w:t>
            </w:r>
            <w:r w:rsidRPr="00CF1222">
              <w:rPr>
                <w:rFonts w:ascii="Times New Roman" w:hAnsi="Times New Roman" w:hint="eastAsia"/>
                <w:kern w:val="0"/>
                <w:sz w:val="20"/>
                <w:szCs w:val="20"/>
              </w:rPr>
              <w:t>流体的主要物理性质</w:t>
            </w:r>
          </w:p>
        </w:tc>
        <w:tc>
          <w:tcPr>
            <w:tcW w:w="1744" w:type="pct"/>
            <w:vAlign w:val="center"/>
          </w:tcPr>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1</w:t>
            </w:r>
            <w:r w:rsidRPr="00CF1222">
              <w:rPr>
                <w:rFonts w:ascii="Times New Roman" w:hAnsi="Times New Roman" w:hint="eastAsia"/>
                <w:kern w:val="0"/>
                <w:sz w:val="20"/>
                <w:szCs w:val="20"/>
              </w:rPr>
              <w:t>、明确流体力学的研究对象</w:t>
            </w:r>
            <w:r w:rsidRPr="00CF1222">
              <w:rPr>
                <w:rFonts w:ascii="Times New Roman" w:hAnsi="Times New Roman" w:hint="eastAsia"/>
                <w:kern w:val="0"/>
                <w:sz w:val="20"/>
                <w:szCs w:val="20"/>
              </w:rPr>
              <w:t>,</w:t>
            </w:r>
            <w:r w:rsidRPr="00CF1222">
              <w:rPr>
                <w:rFonts w:ascii="Times New Roman" w:hAnsi="Times New Roman" w:hint="eastAsia"/>
                <w:kern w:val="0"/>
                <w:sz w:val="20"/>
                <w:szCs w:val="20"/>
              </w:rPr>
              <w:t>了解流体力学的发展简史及研究方法，掌握连续介质假设。</w:t>
            </w:r>
          </w:p>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2</w:t>
            </w:r>
            <w:r w:rsidRPr="00CF1222">
              <w:rPr>
                <w:rFonts w:ascii="Times New Roman" w:hAnsi="Times New Roman" w:hint="eastAsia"/>
                <w:kern w:val="0"/>
                <w:sz w:val="20"/>
                <w:szCs w:val="20"/>
              </w:rPr>
              <w:t>、掌握作用在流体上的两种力，概念及表示方法。</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3</w:t>
            </w:r>
            <w:r w:rsidRPr="00CF1222">
              <w:rPr>
                <w:rFonts w:ascii="Times New Roman" w:hAnsi="Times New Roman" w:hint="eastAsia"/>
                <w:kern w:val="0"/>
                <w:sz w:val="20"/>
                <w:szCs w:val="20"/>
              </w:rPr>
              <w:t>、掌握流体的主要物理性质，会应用牛顿内摩擦定律，掌握无粘性流体、不可压缩流体的概念。</w:t>
            </w:r>
          </w:p>
        </w:tc>
      </w:tr>
      <w:tr w:rsidR="00C10776" w:rsidTr="00C10776">
        <w:trPr>
          <w:trHeight w:val="1113"/>
        </w:trPr>
        <w:tc>
          <w:tcPr>
            <w:tcW w:w="271"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2</w:t>
            </w:r>
          </w:p>
        </w:tc>
        <w:tc>
          <w:tcPr>
            <w:tcW w:w="1111" w:type="pct"/>
            <w:vAlign w:val="center"/>
          </w:tcPr>
          <w:p w:rsidR="00C10776" w:rsidRPr="00CF1222" w:rsidRDefault="00C10776" w:rsidP="00CF1222">
            <w:pPr>
              <w:ind w:firstLineChars="257" w:firstLine="514"/>
              <w:jc w:val="center"/>
              <w:rPr>
                <w:rFonts w:ascii="Times New Roman" w:hAnsi="Times New Roman"/>
                <w:kern w:val="0"/>
                <w:sz w:val="20"/>
                <w:szCs w:val="20"/>
              </w:rPr>
            </w:pPr>
            <w:r w:rsidRPr="00CF1222">
              <w:rPr>
                <w:rFonts w:ascii="Times New Roman" w:hAnsi="Times New Roman" w:hint="eastAsia"/>
                <w:kern w:val="0"/>
                <w:sz w:val="20"/>
                <w:szCs w:val="20"/>
              </w:rPr>
              <w:t>第</w:t>
            </w:r>
            <w:r w:rsidRPr="00CF1222">
              <w:rPr>
                <w:rFonts w:ascii="Times New Roman" w:hAnsi="Times New Roman" w:hint="eastAsia"/>
                <w:kern w:val="0"/>
                <w:sz w:val="20"/>
                <w:szCs w:val="20"/>
              </w:rPr>
              <w:t>2</w:t>
            </w:r>
            <w:r w:rsidRPr="00CF1222">
              <w:rPr>
                <w:rFonts w:ascii="Times New Roman" w:hAnsi="Times New Roman" w:hint="eastAsia"/>
                <w:kern w:val="0"/>
                <w:sz w:val="20"/>
                <w:szCs w:val="20"/>
              </w:rPr>
              <w:t>章</w:t>
            </w:r>
            <w:r w:rsidRPr="00CF1222">
              <w:rPr>
                <w:rFonts w:ascii="Times New Roman" w:hAnsi="Times New Roman" w:hint="eastAsia"/>
                <w:kern w:val="0"/>
                <w:sz w:val="20"/>
                <w:szCs w:val="20"/>
              </w:rPr>
              <w:t xml:space="preserve"> </w:t>
            </w:r>
          </w:p>
          <w:p w:rsidR="00C10776" w:rsidRPr="00CF1222" w:rsidRDefault="00C10776" w:rsidP="00CF1222">
            <w:pPr>
              <w:ind w:firstLineChars="157" w:firstLine="314"/>
              <w:jc w:val="center"/>
              <w:rPr>
                <w:rFonts w:ascii="Times New Roman" w:hAnsi="Times New Roman"/>
                <w:kern w:val="0"/>
                <w:sz w:val="20"/>
                <w:szCs w:val="20"/>
              </w:rPr>
            </w:pPr>
            <w:r w:rsidRPr="00CF1222">
              <w:rPr>
                <w:rFonts w:ascii="Times New Roman" w:hAnsi="Times New Roman" w:hint="eastAsia"/>
                <w:kern w:val="0"/>
                <w:sz w:val="20"/>
                <w:szCs w:val="20"/>
              </w:rPr>
              <w:t>流体静力学</w:t>
            </w:r>
          </w:p>
        </w:tc>
        <w:tc>
          <w:tcPr>
            <w:tcW w:w="384" w:type="pct"/>
            <w:vAlign w:val="center"/>
          </w:tcPr>
          <w:p w:rsidR="00C10776" w:rsidRPr="00CF1222" w:rsidRDefault="00C10776" w:rsidP="00CF1222">
            <w:pPr>
              <w:ind w:firstLineChars="100" w:firstLine="200"/>
              <w:jc w:val="center"/>
              <w:rPr>
                <w:rFonts w:ascii="Times New Roman" w:hAnsi="Times New Roman"/>
                <w:kern w:val="0"/>
                <w:sz w:val="20"/>
                <w:szCs w:val="20"/>
              </w:rPr>
            </w:pPr>
            <w:r w:rsidRPr="00CF1222">
              <w:rPr>
                <w:rFonts w:ascii="Times New Roman" w:hAnsi="Times New Roman" w:hint="eastAsia"/>
                <w:kern w:val="0"/>
                <w:sz w:val="20"/>
                <w:szCs w:val="20"/>
              </w:rPr>
              <w:t>5</w:t>
            </w:r>
          </w:p>
        </w:tc>
        <w:tc>
          <w:tcPr>
            <w:tcW w:w="1490"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2.1 </w:t>
            </w:r>
            <w:r w:rsidRPr="00CF1222">
              <w:rPr>
                <w:rFonts w:ascii="Times New Roman" w:hAnsi="Times New Roman" w:hint="eastAsia"/>
                <w:kern w:val="0"/>
                <w:sz w:val="20"/>
                <w:szCs w:val="20"/>
              </w:rPr>
              <w:t>静止流体中应力的特性</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2.2 </w:t>
            </w:r>
            <w:r w:rsidRPr="00CF1222">
              <w:rPr>
                <w:rFonts w:ascii="Times New Roman" w:hAnsi="Times New Roman" w:hint="eastAsia"/>
                <w:kern w:val="0"/>
                <w:sz w:val="20"/>
                <w:szCs w:val="20"/>
              </w:rPr>
              <w:t>流体平衡微分方程</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2.3 </w:t>
            </w:r>
            <w:r w:rsidRPr="00CF1222">
              <w:rPr>
                <w:rFonts w:ascii="Times New Roman" w:hAnsi="Times New Roman" w:hint="eastAsia"/>
                <w:kern w:val="0"/>
                <w:sz w:val="20"/>
                <w:szCs w:val="20"/>
              </w:rPr>
              <w:t>重力场中流体静压强的分布规律</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2.4 </w:t>
            </w:r>
            <w:r w:rsidRPr="00CF1222">
              <w:rPr>
                <w:rFonts w:ascii="Times New Roman" w:hAnsi="Times New Roman" w:hint="eastAsia"/>
                <w:kern w:val="0"/>
                <w:sz w:val="20"/>
                <w:szCs w:val="20"/>
              </w:rPr>
              <w:t>液体作用在平面上的总压力</w:t>
            </w:r>
          </w:p>
        </w:tc>
        <w:tc>
          <w:tcPr>
            <w:tcW w:w="1744"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1</w:t>
            </w:r>
            <w:r w:rsidRPr="00CF1222">
              <w:rPr>
                <w:rFonts w:ascii="Times New Roman" w:hAnsi="Times New Roman" w:hint="eastAsia"/>
                <w:kern w:val="0"/>
                <w:sz w:val="20"/>
                <w:szCs w:val="20"/>
              </w:rPr>
              <w:t>、掌握静止流体中应力的两个特性。</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2</w:t>
            </w:r>
            <w:r w:rsidRPr="00CF1222">
              <w:rPr>
                <w:rFonts w:ascii="Times New Roman" w:hAnsi="Times New Roman" w:hint="eastAsia"/>
                <w:kern w:val="0"/>
                <w:sz w:val="20"/>
                <w:szCs w:val="20"/>
              </w:rPr>
              <w:t>、了解流体平衡微分方程，掌握等压面的概念及其性质。</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3</w:t>
            </w:r>
            <w:r w:rsidRPr="00CF1222">
              <w:rPr>
                <w:rFonts w:ascii="Times New Roman" w:hAnsi="Times New Roman" w:hint="eastAsia"/>
                <w:kern w:val="0"/>
                <w:sz w:val="20"/>
                <w:szCs w:val="20"/>
              </w:rPr>
              <w:t>、掌握液体静力学基本方程，明确测压管水头的物理意义。</w:t>
            </w:r>
          </w:p>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4</w:t>
            </w:r>
            <w:r w:rsidRPr="00CF1222">
              <w:rPr>
                <w:rFonts w:ascii="Times New Roman" w:hAnsi="Times New Roman" w:hint="eastAsia"/>
                <w:kern w:val="0"/>
                <w:sz w:val="20"/>
                <w:szCs w:val="20"/>
              </w:rPr>
              <w:t>、掌握液体作用在平面上的总压力的两种计算方法。</w:t>
            </w:r>
          </w:p>
        </w:tc>
      </w:tr>
      <w:tr w:rsidR="00C10776" w:rsidTr="00C10776">
        <w:trPr>
          <w:trHeight w:val="1113"/>
        </w:trPr>
        <w:tc>
          <w:tcPr>
            <w:tcW w:w="271"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3</w:t>
            </w:r>
          </w:p>
        </w:tc>
        <w:tc>
          <w:tcPr>
            <w:tcW w:w="1111" w:type="pct"/>
            <w:vAlign w:val="center"/>
          </w:tcPr>
          <w:p w:rsidR="00C10776" w:rsidRPr="00CF1222" w:rsidRDefault="00C10776" w:rsidP="00CF1222">
            <w:pPr>
              <w:ind w:firstLineChars="257" w:firstLine="514"/>
              <w:jc w:val="center"/>
              <w:rPr>
                <w:rFonts w:ascii="Times New Roman" w:hAnsi="Times New Roman"/>
                <w:kern w:val="0"/>
                <w:sz w:val="20"/>
                <w:szCs w:val="20"/>
              </w:rPr>
            </w:pPr>
            <w:r w:rsidRPr="00CF1222">
              <w:rPr>
                <w:rFonts w:ascii="Times New Roman" w:hAnsi="Times New Roman" w:hint="eastAsia"/>
                <w:kern w:val="0"/>
                <w:sz w:val="20"/>
                <w:szCs w:val="20"/>
              </w:rPr>
              <w:t>第</w:t>
            </w:r>
            <w:r w:rsidRPr="00CF1222">
              <w:rPr>
                <w:rFonts w:ascii="Times New Roman" w:hAnsi="Times New Roman" w:hint="eastAsia"/>
                <w:kern w:val="0"/>
                <w:sz w:val="20"/>
                <w:szCs w:val="20"/>
              </w:rPr>
              <w:t>3</w:t>
            </w:r>
            <w:r w:rsidRPr="00CF1222">
              <w:rPr>
                <w:rFonts w:ascii="Times New Roman" w:hAnsi="Times New Roman" w:hint="eastAsia"/>
                <w:kern w:val="0"/>
                <w:sz w:val="20"/>
                <w:szCs w:val="20"/>
              </w:rPr>
              <w:t>章</w:t>
            </w:r>
          </w:p>
          <w:p w:rsidR="00C10776" w:rsidRPr="00CF1222" w:rsidRDefault="00C10776" w:rsidP="00CF1222">
            <w:pPr>
              <w:ind w:firstLineChars="157" w:firstLine="314"/>
              <w:jc w:val="center"/>
              <w:rPr>
                <w:rFonts w:ascii="Times New Roman" w:hAnsi="Times New Roman"/>
                <w:kern w:val="0"/>
                <w:sz w:val="20"/>
                <w:szCs w:val="20"/>
              </w:rPr>
            </w:pPr>
            <w:r w:rsidRPr="00CF1222">
              <w:rPr>
                <w:rFonts w:ascii="Times New Roman" w:hAnsi="Times New Roman" w:hint="eastAsia"/>
                <w:kern w:val="0"/>
                <w:sz w:val="20"/>
                <w:szCs w:val="20"/>
              </w:rPr>
              <w:t>流体运动学</w:t>
            </w:r>
          </w:p>
        </w:tc>
        <w:tc>
          <w:tcPr>
            <w:tcW w:w="384" w:type="pct"/>
            <w:vAlign w:val="center"/>
          </w:tcPr>
          <w:p w:rsidR="00C10776" w:rsidRPr="00CF1222" w:rsidRDefault="00C10776" w:rsidP="00CF1222">
            <w:pPr>
              <w:ind w:firstLineChars="100" w:firstLine="200"/>
              <w:jc w:val="center"/>
              <w:rPr>
                <w:rFonts w:ascii="Times New Roman" w:hAnsi="Times New Roman"/>
                <w:kern w:val="0"/>
                <w:sz w:val="20"/>
                <w:szCs w:val="20"/>
              </w:rPr>
            </w:pPr>
            <w:r w:rsidRPr="00CF1222">
              <w:rPr>
                <w:rFonts w:ascii="Times New Roman" w:hAnsi="Times New Roman" w:hint="eastAsia"/>
                <w:kern w:val="0"/>
                <w:sz w:val="20"/>
                <w:szCs w:val="20"/>
              </w:rPr>
              <w:t>4</w:t>
            </w:r>
          </w:p>
        </w:tc>
        <w:tc>
          <w:tcPr>
            <w:tcW w:w="1490"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3.1 </w:t>
            </w:r>
            <w:r w:rsidRPr="00CF1222">
              <w:rPr>
                <w:rFonts w:ascii="Times New Roman" w:hAnsi="Times New Roman" w:hint="eastAsia"/>
                <w:kern w:val="0"/>
                <w:sz w:val="20"/>
                <w:szCs w:val="20"/>
              </w:rPr>
              <w:t>流体运动的描述</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3.2 </w:t>
            </w:r>
            <w:r w:rsidRPr="00CF1222">
              <w:rPr>
                <w:rFonts w:ascii="Times New Roman" w:hAnsi="Times New Roman" w:hint="eastAsia"/>
                <w:kern w:val="0"/>
                <w:sz w:val="20"/>
                <w:szCs w:val="20"/>
              </w:rPr>
              <w:t>欧拉法的基本概念</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3.3 </w:t>
            </w:r>
            <w:r w:rsidRPr="00CF1222">
              <w:rPr>
                <w:rFonts w:ascii="Times New Roman" w:hAnsi="Times New Roman" w:hint="eastAsia"/>
                <w:kern w:val="0"/>
                <w:sz w:val="20"/>
                <w:szCs w:val="20"/>
              </w:rPr>
              <w:t>连续性方程</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3.4 </w:t>
            </w:r>
            <w:r w:rsidRPr="00CF1222">
              <w:rPr>
                <w:rFonts w:ascii="Times New Roman" w:hAnsi="Times New Roman" w:hint="eastAsia"/>
                <w:kern w:val="0"/>
                <w:sz w:val="20"/>
                <w:szCs w:val="20"/>
              </w:rPr>
              <w:t>流体微团运动分析</w:t>
            </w:r>
          </w:p>
        </w:tc>
        <w:tc>
          <w:tcPr>
            <w:tcW w:w="1744"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1</w:t>
            </w:r>
            <w:r w:rsidRPr="00CF1222">
              <w:rPr>
                <w:rFonts w:ascii="Times New Roman" w:hAnsi="Times New Roman" w:hint="eastAsia"/>
                <w:kern w:val="0"/>
                <w:sz w:val="20"/>
                <w:szCs w:val="20"/>
              </w:rPr>
              <w:t>、掌握描述流体运动的两种方法</w:t>
            </w:r>
            <w:r w:rsidRPr="00CF1222">
              <w:rPr>
                <w:rFonts w:ascii="Times New Roman" w:hAnsi="Times New Roman" w:hint="eastAsia"/>
                <w:kern w:val="0"/>
                <w:sz w:val="20"/>
                <w:szCs w:val="20"/>
              </w:rPr>
              <w:t xml:space="preserve">, </w:t>
            </w:r>
            <w:r w:rsidRPr="00CF1222">
              <w:rPr>
                <w:rFonts w:ascii="Times New Roman" w:hAnsi="Times New Roman" w:hint="eastAsia"/>
                <w:kern w:val="0"/>
                <w:sz w:val="20"/>
                <w:szCs w:val="20"/>
              </w:rPr>
              <w:t>掌握欧拉法质点加速度的计算公式。</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2</w:t>
            </w:r>
            <w:r w:rsidRPr="00CF1222">
              <w:rPr>
                <w:rFonts w:ascii="Times New Roman" w:hAnsi="Times New Roman" w:hint="eastAsia"/>
                <w:kern w:val="0"/>
                <w:sz w:val="20"/>
                <w:szCs w:val="20"/>
              </w:rPr>
              <w:t>、掌握流动的分类，恒定流、非恒定流、均匀流、非均</w:t>
            </w:r>
            <w:r w:rsidRPr="00CF1222">
              <w:rPr>
                <w:rFonts w:ascii="Times New Roman" w:hAnsi="Times New Roman" w:hint="eastAsia"/>
                <w:kern w:val="0"/>
                <w:sz w:val="20"/>
                <w:szCs w:val="20"/>
              </w:rPr>
              <w:lastRenderedPageBreak/>
              <w:t>匀流、流线、迹线、过流断面等的概念。</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3</w:t>
            </w:r>
            <w:r w:rsidRPr="00CF1222">
              <w:rPr>
                <w:rFonts w:ascii="Times New Roman" w:hAnsi="Times New Roman" w:hint="eastAsia"/>
                <w:kern w:val="0"/>
                <w:sz w:val="20"/>
                <w:szCs w:val="20"/>
              </w:rPr>
              <w:t>、掌握连续性微分方程</w:t>
            </w:r>
            <w:r w:rsidRPr="00CF1222">
              <w:rPr>
                <w:rFonts w:ascii="Times New Roman" w:hAnsi="Times New Roman" w:hint="eastAsia"/>
                <w:kern w:val="0"/>
                <w:sz w:val="20"/>
                <w:szCs w:val="20"/>
              </w:rPr>
              <w:t xml:space="preserve">, </w:t>
            </w:r>
            <w:r w:rsidRPr="00CF1222">
              <w:rPr>
                <w:rFonts w:ascii="Times New Roman" w:hAnsi="Times New Roman" w:hint="eastAsia"/>
                <w:kern w:val="0"/>
                <w:sz w:val="20"/>
                <w:szCs w:val="20"/>
              </w:rPr>
              <w:t>总流连续性方程。</w:t>
            </w:r>
            <w:r w:rsidRPr="00CF1222">
              <w:rPr>
                <w:rFonts w:ascii="Times New Roman" w:hAnsi="Times New Roman" w:hint="eastAsia"/>
                <w:kern w:val="0"/>
                <w:sz w:val="20"/>
                <w:szCs w:val="20"/>
              </w:rPr>
              <w:t xml:space="preserve">  </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4</w:t>
            </w:r>
            <w:r w:rsidRPr="00CF1222">
              <w:rPr>
                <w:rFonts w:ascii="Times New Roman" w:hAnsi="Times New Roman" w:hint="eastAsia"/>
                <w:kern w:val="0"/>
                <w:sz w:val="20"/>
                <w:szCs w:val="20"/>
              </w:rPr>
              <w:t>、掌握微团运动的组成，有旋流动、无旋流动的概念。</w:t>
            </w:r>
          </w:p>
        </w:tc>
      </w:tr>
      <w:tr w:rsidR="00C10776" w:rsidTr="00C10776">
        <w:trPr>
          <w:trHeight w:val="1113"/>
        </w:trPr>
        <w:tc>
          <w:tcPr>
            <w:tcW w:w="271"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lastRenderedPageBreak/>
              <w:t>4</w:t>
            </w:r>
          </w:p>
        </w:tc>
        <w:tc>
          <w:tcPr>
            <w:tcW w:w="1111" w:type="pct"/>
            <w:vAlign w:val="center"/>
          </w:tcPr>
          <w:p w:rsidR="00C10776" w:rsidRPr="00CF1222" w:rsidRDefault="00C10776" w:rsidP="00CF1222">
            <w:pPr>
              <w:ind w:firstLineChars="157" w:firstLine="314"/>
              <w:jc w:val="center"/>
              <w:rPr>
                <w:rFonts w:ascii="Times New Roman" w:hAnsi="Times New Roman"/>
                <w:kern w:val="0"/>
                <w:sz w:val="20"/>
                <w:szCs w:val="20"/>
              </w:rPr>
            </w:pPr>
            <w:r w:rsidRPr="00CF1222">
              <w:rPr>
                <w:rFonts w:ascii="Times New Roman" w:hAnsi="Times New Roman" w:hint="eastAsia"/>
                <w:kern w:val="0"/>
                <w:sz w:val="20"/>
                <w:szCs w:val="20"/>
              </w:rPr>
              <w:t>第</w:t>
            </w:r>
            <w:r w:rsidRPr="00CF1222">
              <w:rPr>
                <w:rFonts w:ascii="Times New Roman" w:hAnsi="Times New Roman" w:hint="eastAsia"/>
                <w:kern w:val="0"/>
                <w:sz w:val="20"/>
                <w:szCs w:val="20"/>
              </w:rPr>
              <w:t>4</w:t>
            </w:r>
            <w:r w:rsidRPr="00CF1222">
              <w:rPr>
                <w:rFonts w:ascii="Times New Roman" w:hAnsi="Times New Roman" w:hint="eastAsia"/>
                <w:kern w:val="0"/>
                <w:sz w:val="20"/>
                <w:szCs w:val="20"/>
              </w:rPr>
              <w:t>章</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流体动力学基础</w:t>
            </w:r>
          </w:p>
        </w:tc>
        <w:tc>
          <w:tcPr>
            <w:tcW w:w="384" w:type="pct"/>
            <w:vAlign w:val="center"/>
          </w:tcPr>
          <w:p w:rsidR="00C10776" w:rsidRPr="00CF1222" w:rsidRDefault="00C10776" w:rsidP="00CF1222">
            <w:pPr>
              <w:ind w:firstLineChars="100" w:firstLine="200"/>
              <w:jc w:val="center"/>
              <w:rPr>
                <w:rFonts w:ascii="Times New Roman" w:hAnsi="Times New Roman"/>
                <w:kern w:val="0"/>
                <w:sz w:val="20"/>
                <w:szCs w:val="20"/>
              </w:rPr>
            </w:pPr>
            <w:r w:rsidRPr="00CF1222">
              <w:rPr>
                <w:rFonts w:ascii="Times New Roman" w:hAnsi="Times New Roman" w:hint="eastAsia"/>
                <w:kern w:val="0"/>
                <w:sz w:val="20"/>
                <w:szCs w:val="20"/>
              </w:rPr>
              <w:t>6</w:t>
            </w:r>
          </w:p>
        </w:tc>
        <w:tc>
          <w:tcPr>
            <w:tcW w:w="1490"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4.1 </w:t>
            </w:r>
            <w:r w:rsidRPr="00CF1222">
              <w:rPr>
                <w:rFonts w:ascii="Times New Roman" w:hAnsi="Times New Roman" w:hint="eastAsia"/>
                <w:kern w:val="0"/>
                <w:sz w:val="20"/>
                <w:szCs w:val="20"/>
              </w:rPr>
              <w:t>无粘性流体的运动微分方程</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4.2 </w:t>
            </w:r>
            <w:r w:rsidRPr="00CF1222">
              <w:rPr>
                <w:rFonts w:ascii="Times New Roman" w:hAnsi="Times New Roman" w:hint="eastAsia"/>
                <w:kern w:val="0"/>
                <w:sz w:val="20"/>
                <w:szCs w:val="20"/>
              </w:rPr>
              <w:t>元流的伯努利方程</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4.3 </w:t>
            </w:r>
            <w:r w:rsidRPr="00CF1222">
              <w:rPr>
                <w:rFonts w:ascii="Times New Roman" w:hAnsi="Times New Roman" w:hint="eastAsia"/>
                <w:kern w:val="0"/>
                <w:sz w:val="20"/>
                <w:szCs w:val="20"/>
              </w:rPr>
              <w:t>恒定总流的伯努利方程</w:t>
            </w:r>
            <w:r w:rsidRPr="00CF1222">
              <w:rPr>
                <w:rFonts w:ascii="Times New Roman" w:hAnsi="Times New Roman" w:hint="eastAsia"/>
                <w:kern w:val="0"/>
                <w:sz w:val="20"/>
                <w:szCs w:val="20"/>
              </w:rPr>
              <w:t xml:space="preserve"> </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4.4 </w:t>
            </w:r>
            <w:r w:rsidRPr="00CF1222">
              <w:rPr>
                <w:rFonts w:ascii="Times New Roman" w:hAnsi="Times New Roman" w:hint="eastAsia"/>
                <w:kern w:val="0"/>
                <w:sz w:val="20"/>
                <w:szCs w:val="20"/>
              </w:rPr>
              <w:t>恒定总流的动量方程</w:t>
            </w:r>
          </w:p>
          <w:p w:rsidR="00C10776" w:rsidRPr="00CF1222" w:rsidRDefault="00C10776" w:rsidP="005F6318">
            <w:pPr>
              <w:numPr>
                <w:ilvl w:val="1"/>
                <w:numId w:val="91"/>
              </w:numPr>
              <w:ind w:left="640"/>
              <w:jc w:val="center"/>
              <w:rPr>
                <w:rFonts w:ascii="Times New Roman" w:hAnsi="Times New Roman"/>
                <w:kern w:val="0"/>
                <w:sz w:val="20"/>
                <w:szCs w:val="20"/>
              </w:rPr>
            </w:pPr>
            <w:r w:rsidRPr="00CF1222">
              <w:rPr>
                <w:rFonts w:ascii="Times New Roman" w:hAnsi="Times New Roman" w:hint="eastAsia"/>
                <w:kern w:val="0"/>
                <w:sz w:val="20"/>
                <w:szCs w:val="20"/>
              </w:rPr>
              <w:t>粘性流体运动微分方程</w:t>
            </w:r>
          </w:p>
        </w:tc>
        <w:tc>
          <w:tcPr>
            <w:tcW w:w="1744"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1</w:t>
            </w:r>
            <w:r w:rsidRPr="00CF1222">
              <w:rPr>
                <w:rFonts w:ascii="Times New Roman" w:hAnsi="Times New Roman" w:hint="eastAsia"/>
                <w:kern w:val="0"/>
                <w:sz w:val="20"/>
                <w:szCs w:val="20"/>
              </w:rPr>
              <w:t>、</w:t>
            </w:r>
            <w:r w:rsidRPr="00CF1222">
              <w:rPr>
                <w:rFonts w:ascii="Times New Roman" w:hAnsi="Times New Roman" w:hint="eastAsia"/>
                <w:kern w:val="0"/>
                <w:sz w:val="20"/>
                <w:szCs w:val="20"/>
              </w:rPr>
              <w:t xml:space="preserve"> </w:t>
            </w:r>
            <w:r w:rsidRPr="00CF1222">
              <w:rPr>
                <w:rFonts w:ascii="Times New Roman" w:hAnsi="Times New Roman" w:hint="eastAsia"/>
                <w:kern w:val="0"/>
                <w:sz w:val="20"/>
                <w:szCs w:val="20"/>
              </w:rPr>
              <w:t>了解无粘性流体运动微分方程。</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2</w:t>
            </w:r>
            <w:r w:rsidRPr="00CF1222">
              <w:rPr>
                <w:rFonts w:ascii="Times New Roman" w:hAnsi="Times New Roman" w:hint="eastAsia"/>
                <w:kern w:val="0"/>
                <w:sz w:val="20"/>
                <w:szCs w:val="20"/>
              </w:rPr>
              <w:t>、</w:t>
            </w:r>
            <w:r w:rsidRPr="00CF1222">
              <w:rPr>
                <w:rFonts w:ascii="Times New Roman" w:hAnsi="Times New Roman" w:hint="eastAsia"/>
                <w:kern w:val="0"/>
                <w:sz w:val="20"/>
                <w:szCs w:val="20"/>
              </w:rPr>
              <w:t xml:space="preserve"> </w:t>
            </w:r>
            <w:r w:rsidRPr="00CF1222">
              <w:rPr>
                <w:rFonts w:ascii="Times New Roman" w:hAnsi="Times New Roman" w:hint="eastAsia"/>
                <w:kern w:val="0"/>
                <w:sz w:val="20"/>
                <w:szCs w:val="20"/>
              </w:rPr>
              <w:t>掌握元流伯努利方程及其意义，会应用皮托管测量点流速。</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3</w:t>
            </w:r>
            <w:r w:rsidRPr="00CF1222">
              <w:rPr>
                <w:rFonts w:ascii="Times New Roman" w:hAnsi="Times New Roman" w:hint="eastAsia"/>
                <w:kern w:val="0"/>
                <w:sz w:val="20"/>
                <w:szCs w:val="20"/>
              </w:rPr>
              <w:t>、</w:t>
            </w:r>
            <w:r w:rsidRPr="00CF1222">
              <w:rPr>
                <w:rFonts w:ascii="Times New Roman" w:hAnsi="Times New Roman" w:hint="eastAsia"/>
                <w:kern w:val="0"/>
                <w:sz w:val="20"/>
                <w:szCs w:val="20"/>
              </w:rPr>
              <w:t xml:space="preserve"> </w:t>
            </w:r>
            <w:r w:rsidRPr="00CF1222">
              <w:rPr>
                <w:rFonts w:ascii="Times New Roman" w:hAnsi="Times New Roman" w:hint="eastAsia"/>
                <w:kern w:val="0"/>
                <w:sz w:val="20"/>
                <w:szCs w:val="20"/>
              </w:rPr>
              <w:t>掌握恒定总流的伯努利方程及其意义，会应用恒定总流的伯努利方程解决工程实际问题。</w:t>
            </w:r>
          </w:p>
          <w:p w:rsidR="00C10776" w:rsidRPr="00CF1222" w:rsidRDefault="00C10776" w:rsidP="005F6318">
            <w:pPr>
              <w:numPr>
                <w:ilvl w:val="0"/>
                <w:numId w:val="92"/>
              </w:numPr>
              <w:ind w:left="640"/>
              <w:jc w:val="center"/>
              <w:rPr>
                <w:rFonts w:ascii="Times New Roman" w:hAnsi="Times New Roman"/>
                <w:kern w:val="0"/>
                <w:sz w:val="20"/>
                <w:szCs w:val="20"/>
              </w:rPr>
            </w:pPr>
            <w:r w:rsidRPr="00CF1222">
              <w:rPr>
                <w:rFonts w:ascii="Times New Roman" w:hAnsi="Times New Roman" w:hint="eastAsia"/>
                <w:kern w:val="0"/>
                <w:sz w:val="20"/>
                <w:szCs w:val="20"/>
              </w:rPr>
              <w:t>了解恒定总流的动量方程</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5</w:t>
            </w:r>
            <w:r w:rsidRPr="00CF1222">
              <w:rPr>
                <w:rFonts w:ascii="Times New Roman" w:hAnsi="Times New Roman" w:hint="eastAsia"/>
                <w:kern w:val="0"/>
                <w:sz w:val="20"/>
                <w:szCs w:val="20"/>
              </w:rPr>
              <w:t>、了解粘性流体运动微分方程</w:t>
            </w:r>
          </w:p>
        </w:tc>
      </w:tr>
      <w:tr w:rsidR="00C10776" w:rsidTr="00C10776">
        <w:trPr>
          <w:trHeight w:val="1113"/>
        </w:trPr>
        <w:tc>
          <w:tcPr>
            <w:tcW w:w="271"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5</w:t>
            </w:r>
          </w:p>
        </w:tc>
        <w:tc>
          <w:tcPr>
            <w:tcW w:w="1111" w:type="pct"/>
            <w:vAlign w:val="center"/>
          </w:tcPr>
          <w:p w:rsidR="00C10776" w:rsidRPr="00CF1222" w:rsidRDefault="00C10776" w:rsidP="00CF1222">
            <w:pPr>
              <w:ind w:firstLineChars="257" w:firstLine="514"/>
              <w:jc w:val="center"/>
              <w:rPr>
                <w:rFonts w:ascii="Times New Roman" w:hAnsi="Times New Roman"/>
                <w:kern w:val="0"/>
                <w:sz w:val="20"/>
                <w:szCs w:val="20"/>
              </w:rPr>
            </w:pPr>
            <w:r w:rsidRPr="00CF1222">
              <w:rPr>
                <w:rFonts w:ascii="Times New Roman" w:hAnsi="Times New Roman" w:hint="eastAsia"/>
                <w:kern w:val="0"/>
                <w:sz w:val="20"/>
                <w:szCs w:val="20"/>
              </w:rPr>
              <w:t>第</w:t>
            </w:r>
            <w:r w:rsidRPr="00CF1222">
              <w:rPr>
                <w:rFonts w:ascii="Times New Roman" w:hAnsi="Times New Roman" w:hint="eastAsia"/>
                <w:kern w:val="0"/>
                <w:sz w:val="20"/>
                <w:szCs w:val="20"/>
              </w:rPr>
              <w:t>7</w:t>
            </w:r>
            <w:r w:rsidRPr="00CF1222">
              <w:rPr>
                <w:rFonts w:ascii="Times New Roman" w:hAnsi="Times New Roman" w:hint="eastAsia"/>
                <w:kern w:val="0"/>
                <w:sz w:val="20"/>
                <w:szCs w:val="20"/>
              </w:rPr>
              <w:t>章</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流动阻力和水头损失</w:t>
            </w:r>
          </w:p>
        </w:tc>
        <w:tc>
          <w:tcPr>
            <w:tcW w:w="384" w:type="pct"/>
            <w:vAlign w:val="center"/>
          </w:tcPr>
          <w:p w:rsidR="00C10776" w:rsidRPr="00CF1222" w:rsidRDefault="00C10776" w:rsidP="00CF1222">
            <w:pPr>
              <w:ind w:firstLineChars="100" w:firstLine="200"/>
              <w:jc w:val="center"/>
              <w:rPr>
                <w:rFonts w:ascii="Times New Roman" w:hAnsi="Times New Roman"/>
                <w:kern w:val="0"/>
                <w:sz w:val="20"/>
                <w:szCs w:val="20"/>
              </w:rPr>
            </w:pPr>
            <w:r w:rsidRPr="00CF1222">
              <w:rPr>
                <w:rFonts w:ascii="Times New Roman" w:hAnsi="Times New Roman" w:hint="eastAsia"/>
                <w:kern w:val="0"/>
                <w:sz w:val="20"/>
                <w:szCs w:val="20"/>
              </w:rPr>
              <w:t xml:space="preserve">8 </w:t>
            </w:r>
          </w:p>
        </w:tc>
        <w:tc>
          <w:tcPr>
            <w:tcW w:w="1490"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7.1 </w:t>
            </w:r>
            <w:r w:rsidRPr="00CF1222">
              <w:rPr>
                <w:rFonts w:ascii="Times New Roman" w:hAnsi="Times New Roman" w:hint="eastAsia"/>
                <w:kern w:val="0"/>
                <w:sz w:val="20"/>
                <w:szCs w:val="20"/>
              </w:rPr>
              <w:t>流动阻力和水头损失的分类</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7.2 </w:t>
            </w:r>
            <w:r w:rsidRPr="00CF1222">
              <w:rPr>
                <w:rFonts w:ascii="Times New Roman" w:hAnsi="Times New Roman" w:hint="eastAsia"/>
                <w:kern w:val="0"/>
                <w:sz w:val="20"/>
                <w:szCs w:val="20"/>
              </w:rPr>
              <w:t>粘性流体的两种流态</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7.3 </w:t>
            </w:r>
            <w:r w:rsidRPr="00CF1222">
              <w:rPr>
                <w:rFonts w:ascii="Times New Roman" w:hAnsi="Times New Roman" w:hint="eastAsia"/>
                <w:kern w:val="0"/>
                <w:sz w:val="20"/>
                <w:szCs w:val="20"/>
              </w:rPr>
              <w:t>沿程水头损失与切应力的关系</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7.4 </w:t>
            </w:r>
            <w:r w:rsidRPr="00CF1222">
              <w:rPr>
                <w:rFonts w:ascii="Times New Roman" w:hAnsi="Times New Roman" w:hint="eastAsia"/>
                <w:kern w:val="0"/>
                <w:sz w:val="20"/>
                <w:szCs w:val="20"/>
              </w:rPr>
              <w:t>圆管中的层流运动</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7.5 </w:t>
            </w:r>
            <w:r w:rsidRPr="00CF1222">
              <w:rPr>
                <w:rFonts w:ascii="Times New Roman" w:hAnsi="Times New Roman" w:hint="eastAsia"/>
                <w:kern w:val="0"/>
                <w:sz w:val="20"/>
                <w:szCs w:val="20"/>
              </w:rPr>
              <w:t>紊流运动</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7.6 </w:t>
            </w:r>
            <w:r w:rsidRPr="00CF1222">
              <w:rPr>
                <w:rFonts w:ascii="Times New Roman" w:hAnsi="Times New Roman" w:hint="eastAsia"/>
                <w:kern w:val="0"/>
                <w:sz w:val="20"/>
                <w:szCs w:val="20"/>
              </w:rPr>
              <w:t>紊流的沿程水头损失</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 xml:space="preserve">7.7 </w:t>
            </w:r>
            <w:r w:rsidRPr="00CF1222">
              <w:rPr>
                <w:rFonts w:ascii="Times New Roman" w:hAnsi="Times New Roman" w:hint="eastAsia"/>
                <w:kern w:val="0"/>
                <w:sz w:val="20"/>
                <w:szCs w:val="20"/>
              </w:rPr>
              <w:t>局部水头损失</w:t>
            </w:r>
          </w:p>
        </w:tc>
        <w:tc>
          <w:tcPr>
            <w:tcW w:w="1744" w:type="pct"/>
            <w:vAlign w:val="center"/>
          </w:tcPr>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1</w:t>
            </w:r>
            <w:r w:rsidRPr="00CF1222">
              <w:rPr>
                <w:rFonts w:ascii="Times New Roman" w:hAnsi="Times New Roman" w:hint="eastAsia"/>
                <w:kern w:val="0"/>
                <w:sz w:val="20"/>
                <w:szCs w:val="20"/>
              </w:rPr>
              <w:t>、掌握流动阻力和水头损失的概念及水头损失的计算公式。</w:t>
            </w:r>
          </w:p>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2</w:t>
            </w:r>
            <w:r w:rsidRPr="00CF1222">
              <w:rPr>
                <w:rFonts w:ascii="Times New Roman" w:hAnsi="Times New Roman" w:hint="eastAsia"/>
                <w:kern w:val="0"/>
                <w:sz w:val="20"/>
                <w:szCs w:val="20"/>
              </w:rPr>
              <w:t>、掌握粘性流体的两种流态及判别方法。</w:t>
            </w:r>
          </w:p>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3</w:t>
            </w:r>
            <w:r w:rsidRPr="00CF1222">
              <w:rPr>
                <w:rFonts w:ascii="Times New Roman" w:hAnsi="Times New Roman" w:hint="eastAsia"/>
                <w:kern w:val="0"/>
                <w:sz w:val="20"/>
                <w:szCs w:val="20"/>
              </w:rPr>
              <w:t>、掌握均匀流动方程式</w:t>
            </w:r>
            <w:r w:rsidRPr="00CF1222">
              <w:rPr>
                <w:rFonts w:ascii="Times New Roman" w:hAnsi="Times New Roman" w:hint="eastAsia"/>
                <w:kern w:val="0"/>
                <w:sz w:val="20"/>
                <w:szCs w:val="20"/>
              </w:rPr>
              <w:t>,</w:t>
            </w:r>
            <w:r w:rsidRPr="00CF1222">
              <w:rPr>
                <w:rFonts w:ascii="Times New Roman" w:hAnsi="Times New Roman" w:hint="eastAsia"/>
                <w:kern w:val="0"/>
                <w:sz w:val="20"/>
                <w:szCs w:val="20"/>
              </w:rPr>
              <w:t>明确沿程水头损失与剪应力的关系。</w:t>
            </w:r>
          </w:p>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4</w:t>
            </w:r>
            <w:r w:rsidRPr="00CF1222">
              <w:rPr>
                <w:rFonts w:ascii="Times New Roman" w:hAnsi="Times New Roman" w:hint="eastAsia"/>
                <w:kern w:val="0"/>
                <w:sz w:val="20"/>
                <w:szCs w:val="20"/>
              </w:rPr>
              <w:t>、掌握圆管层流流速分布规律，层流沿程摩阻系数的计算公式。</w:t>
            </w:r>
          </w:p>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5</w:t>
            </w:r>
            <w:r w:rsidRPr="00CF1222">
              <w:rPr>
                <w:rFonts w:ascii="Times New Roman" w:hAnsi="Times New Roman" w:hint="eastAsia"/>
                <w:kern w:val="0"/>
                <w:sz w:val="20"/>
                <w:szCs w:val="20"/>
              </w:rPr>
              <w:t>、掌握紊流的主要特征，紊流运动的时均化，粘性底层的概念及速度分布规律。</w:t>
            </w:r>
          </w:p>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6</w:t>
            </w:r>
            <w:r w:rsidRPr="00CF1222">
              <w:rPr>
                <w:rFonts w:ascii="Times New Roman" w:hAnsi="Times New Roman" w:hint="eastAsia"/>
                <w:kern w:val="0"/>
                <w:sz w:val="20"/>
                <w:szCs w:val="20"/>
              </w:rPr>
              <w:t>、掌握尼古拉兹实验曲线及其影响因素。</w:t>
            </w:r>
          </w:p>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7</w:t>
            </w:r>
            <w:r w:rsidRPr="00CF1222">
              <w:rPr>
                <w:rFonts w:ascii="Times New Roman" w:hAnsi="Times New Roman" w:hint="eastAsia"/>
                <w:kern w:val="0"/>
                <w:sz w:val="20"/>
                <w:szCs w:val="20"/>
              </w:rPr>
              <w:t>、了解局部水头损失产生的原因，掌握几种典型的局部水头损失系数的计算。</w:t>
            </w:r>
          </w:p>
        </w:tc>
      </w:tr>
      <w:tr w:rsidR="00C10776" w:rsidTr="00C10776">
        <w:trPr>
          <w:trHeight w:val="1113"/>
        </w:trPr>
        <w:tc>
          <w:tcPr>
            <w:tcW w:w="271"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6</w:t>
            </w:r>
          </w:p>
        </w:tc>
        <w:tc>
          <w:tcPr>
            <w:tcW w:w="1111" w:type="pct"/>
            <w:vAlign w:val="center"/>
          </w:tcPr>
          <w:p w:rsidR="00C10776" w:rsidRPr="00CF1222" w:rsidRDefault="00C10776" w:rsidP="00CF1222">
            <w:pPr>
              <w:ind w:firstLineChars="257" w:firstLine="514"/>
              <w:jc w:val="center"/>
              <w:rPr>
                <w:rFonts w:ascii="Times New Roman" w:hAnsi="Times New Roman"/>
                <w:kern w:val="0"/>
                <w:sz w:val="20"/>
                <w:szCs w:val="20"/>
              </w:rPr>
            </w:pPr>
            <w:r w:rsidRPr="00CF1222">
              <w:rPr>
                <w:rFonts w:ascii="Times New Roman" w:hAnsi="Times New Roman" w:hint="eastAsia"/>
                <w:kern w:val="0"/>
                <w:sz w:val="20"/>
                <w:szCs w:val="20"/>
              </w:rPr>
              <w:t>实验</w:t>
            </w:r>
          </w:p>
        </w:tc>
        <w:tc>
          <w:tcPr>
            <w:tcW w:w="384" w:type="pct"/>
            <w:vAlign w:val="center"/>
          </w:tcPr>
          <w:p w:rsidR="00C10776" w:rsidRPr="00CF1222" w:rsidRDefault="00C10776" w:rsidP="00CF1222">
            <w:pPr>
              <w:ind w:firstLineChars="100" w:firstLine="200"/>
              <w:jc w:val="center"/>
              <w:rPr>
                <w:rFonts w:ascii="Times New Roman" w:hAnsi="Times New Roman"/>
                <w:kern w:val="0"/>
                <w:sz w:val="20"/>
                <w:szCs w:val="20"/>
              </w:rPr>
            </w:pPr>
            <w:r w:rsidRPr="00CF1222">
              <w:rPr>
                <w:rFonts w:ascii="Times New Roman" w:hAnsi="Times New Roman" w:hint="eastAsia"/>
                <w:kern w:val="0"/>
                <w:sz w:val="20"/>
                <w:szCs w:val="20"/>
              </w:rPr>
              <w:t>2</w:t>
            </w:r>
          </w:p>
        </w:tc>
        <w:tc>
          <w:tcPr>
            <w:tcW w:w="1490"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静水压强实验</w:t>
            </w:r>
          </w:p>
        </w:tc>
        <w:tc>
          <w:tcPr>
            <w:tcW w:w="1744"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1</w:t>
            </w:r>
            <w:r w:rsidRPr="00CF1222">
              <w:rPr>
                <w:rFonts w:ascii="Times New Roman" w:hAnsi="Times New Roman" w:hint="eastAsia"/>
                <w:kern w:val="0"/>
                <w:sz w:val="20"/>
                <w:szCs w:val="20"/>
              </w:rPr>
              <w:t>、掌握用测压管测量静水压强的方法，通过对水静力学现象的实验分析，加深理解水静力学方程的物理意义和几何意义，提高解决实际问题的能力。</w:t>
            </w:r>
          </w:p>
        </w:tc>
      </w:tr>
      <w:tr w:rsidR="00C10776" w:rsidTr="00C10776">
        <w:trPr>
          <w:trHeight w:val="1113"/>
        </w:trPr>
        <w:tc>
          <w:tcPr>
            <w:tcW w:w="271"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lastRenderedPageBreak/>
              <w:t>7</w:t>
            </w:r>
          </w:p>
        </w:tc>
        <w:tc>
          <w:tcPr>
            <w:tcW w:w="1111" w:type="pct"/>
            <w:vAlign w:val="center"/>
          </w:tcPr>
          <w:p w:rsidR="00C10776" w:rsidRPr="00CF1222" w:rsidRDefault="00C10776" w:rsidP="00CF1222">
            <w:pPr>
              <w:ind w:firstLineChars="257" w:firstLine="514"/>
              <w:jc w:val="center"/>
              <w:rPr>
                <w:rFonts w:ascii="Times New Roman" w:hAnsi="Times New Roman"/>
                <w:kern w:val="0"/>
                <w:sz w:val="20"/>
                <w:szCs w:val="20"/>
              </w:rPr>
            </w:pPr>
            <w:r w:rsidRPr="00CF1222">
              <w:rPr>
                <w:rFonts w:ascii="Times New Roman" w:hAnsi="Times New Roman" w:hint="eastAsia"/>
                <w:kern w:val="0"/>
                <w:sz w:val="20"/>
                <w:szCs w:val="20"/>
              </w:rPr>
              <w:t>实验</w:t>
            </w:r>
          </w:p>
        </w:tc>
        <w:tc>
          <w:tcPr>
            <w:tcW w:w="384" w:type="pct"/>
            <w:vAlign w:val="center"/>
          </w:tcPr>
          <w:p w:rsidR="00C10776" w:rsidRPr="00CF1222" w:rsidRDefault="00C10776" w:rsidP="00CF1222">
            <w:pPr>
              <w:ind w:firstLineChars="100" w:firstLine="200"/>
              <w:jc w:val="center"/>
              <w:rPr>
                <w:rFonts w:ascii="Times New Roman" w:hAnsi="Times New Roman"/>
                <w:kern w:val="0"/>
                <w:sz w:val="20"/>
                <w:szCs w:val="20"/>
              </w:rPr>
            </w:pPr>
            <w:r w:rsidRPr="00CF1222">
              <w:rPr>
                <w:rFonts w:ascii="Times New Roman" w:hAnsi="Times New Roman" w:hint="eastAsia"/>
                <w:kern w:val="0"/>
                <w:sz w:val="20"/>
                <w:szCs w:val="20"/>
              </w:rPr>
              <w:t>2</w:t>
            </w:r>
          </w:p>
        </w:tc>
        <w:tc>
          <w:tcPr>
            <w:tcW w:w="1490"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能量方程实验</w:t>
            </w:r>
          </w:p>
        </w:tc>
        <w:tc>
          <w:tcPr>
            <w:tcW w:w="1744" w:type="pct"/>
            <w:vAlign w:val="center"/>
          </w:tcPr>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1.</w:t>
            </w:r>
            <w:r w:rsidRPr="00CF1222">
              <w:rPr>
                <w:rFonts w:ascii="Times New Roman" w:hAnsi="Times New Roman" w:hint="eastAsia"/>
                <w:kern w:val="0"/>
                <w:sz w:val="20"/>
                <w:szCs w:val="20"/>
              </w:rPr>
              <w:t>绘出各断面的测压管水头和总水头及理想液体的总水头线，比较分析，加深对能量转换、能量守恒定律的理解。</w:t>
            </w:r>
          </w:p>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2.</w:t>
            </w:r>
            <w:r w:rsidRPr="00CF1222">
              <w:rPr>
                <w:rFonts w:ascii="Times New Roman" w:hAnsi="Times New Roman" w:hint="eastAsia"/>
                <w:kern w:val="0"/>
                <w:sz w:val="20"/>
                <w:szCs w:val="20"/>
              </w:rPr>
              <w:t>建立沿程水头损失和局部水头损失的概念。</w:t>
            </w:r>
          </w:p>
        </w:tc>
      </w:tr>
      <w:tr w:rsidR="00C10776" w:rsidTr="00C10776">
        <w:trPr>
          <w:trHeight w:val="1113"/>
        </w:trPr>
        <w:tc>
          <w:tcPr>
            <w:tcW w:w="271"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8</w:t>
            </w:r>
          </w:p>
        </w:tc>
        <w:tc>
          <w:tcPr>
            <w:tcW w:w="1111" w:type="pct"/>
            <w:vAlign w:val="center"/>
          </w:tcPr>
          <w:p w:rsidR="00C10776" w:rsidRPr="00CF1222" w:rsidRDefault="00C10776" w:rsidP="00CF1222">
            <w:pPr>
              <w:ind w:firstLineChars="257" w:firstLine="514"/>
              <w:jc w:val="center"/>
              <w:rPr>
                <w:rFonts w:ascii="Times New Roman" w:hAnsi="Times New Roman"/>
                <w:kern w:val="0"/>
                <w:sz w:val="20"/>
                <w:szCs w:val="20"/>
              </w:rPr>
            </w:pPr>
            <w:r w:rsidRPr="00CF1222">
              <w:rPr>
                <w:rFonts w:ascii="Times New Roman" w:hAnsi="Times New Roman" w:hint="eastAsia"/>
                <w:kern w:val="0"/>
                <w:sz w:val="20"/>
                <w:szCs w:val="20"/>
              </w:rPr>
              <w:t>实验</w:t>
            </w:r>
          </w:p>
        </w:tc>
        <w:tc>
          <w:tcPr>
            <w:tcW w:w="384" w:type="pct"/>
            <w:vAlign w:val="center"/>
          </w:tcPr>
          <w:p w:rsidR="00C10776" w:rsidRPr="00CF1222" w:rsidRDefault="00C10776" w:rsidP="00CF1222">
            <w:pPr>
              <w:ind w:firstLineChars="100" w:firstLine="200"/>
              <w:jc w:val="center"/>
              <w:rPr>
                <w:rFonts w:ascii="Times New Roman" w:hAnsi="Times New Roman"/>
                <w:kern w:val="0"/>
                <w:sz w:val="20"/>
                <w:szCs w:val="20"/>
              </w:rPr>
            </w:pPr>
            <w:r w:rsidRPr="00CF1222">
              <w:rPr>
                <w:rFonts w:ascii="Times New Roman" w:hAnsi="Times New Roman" w:hint="eastAsia"/>
                <w:kern w:val="0"/>
                <w:sz w:val="20"/>
                <w:szCs w:val="20"/>
              </w:rPr>
              <w:t>2</w:t>
            </w:r>
          </w:p>
        </w:tc>
        <w:tc>
          <w:tcPr>
            <w:tcW w:w="1490" w:type="pct"/>
            <w:vAlign w:val="center"/>
          </w:tcPr>
          <w:p w:rsidR="00C10776" w:rsidRPr="00CF1222" w:rsidRDefault="00C10776" w:rsidP="00CF1222">
            <w:pPr>
              <w:jc w:val="center"/>
              <w:rPr>
                <w:rFonts w:ascii="Times New Roman" w:hAnsi="Times New Roman"/>
                <w:kern w:val="0"/>
                <w:sz w:val="20"/>
                <w:szCs w:val="20"/>
              </w:rPr>
            </w:pPr>
            <w:r w:rsidRPr="00CF1222">
              <w:rPr>
                <w:rFonts w:ascii="Times New Roman" w:hAnsi="Times New Roman" w:hint="eastAsia"/>
                <w:kern w:val="0"/>
                <w:sz w:val="20"/>
                <w:szCs w:val="20"/>
              </w:rPr>
              <w:t>文丘里流量系数测量实验</w:t>
            </w:r>
          </w:p>
        </w:tc>
        <w:tc>
          <w:tcPr>
            <w:tcW w:w="1744" w:type="pct"/>
            <w:vAlign w:val="center"/>
          </w:tcPr>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1.</w:t>
            </w:r>
            <w:r w:rsidRPr="00CF1222">
              <w:rPr>
                <w:rFonts w:ascii="Times New Roman" w:hAnsi="Times New Roman" w:hint="eastAsia"/>
                <w:kern w:val="0"/>
                <w:sz w:val="20"/>
                <w:szCs w:val="20"/>
              </w:rPr>
              <w:t>了解文丘里流量计的构造，原理及使用方法。</w:t>
            </w:r>
          </w:p>
          <w:p w:rsidR="00C10776" w:rsidRPr="00CF1222" w:rsidRDefault="00C10776" w:rsidP="00CF1222">
            <w:pPr>
              <w:ind w:left="200" w:hangingChars="100" w:hanging="200"/>
              <w:jc w:val="center"/>
              <w:rPr>
                <w:rFonts w:ascii="Times New Roman" w:hAnsi="Times New Roman"/>
                <w:kern w:val="0"/>
                <w:sz w:val="20"/>
                <w:szCs w:val="20"/>
              </w:rPr>
            </w:pPr>
            <w:r w:rsidRPr="00CF1222">
              <w:rPr>
                <w:rFonts w:ascii="Times New Roman" w:hAnsi="Times New Roman" w:hint="eastAsia"/>
                <w:kern w:val="0"/>
                <w:sz w:val="20"/>
                <w:szCs w:val="20"/>
              </w:rPr>
              <w:t>2.</w:t>
            </w:r>
            <w:r w:rsidRPr="00CF1222">
              <w:rPr>
                <w:rFonts w:ascii="Times New Roman" w:hAnsi="Times New Roman" w:hint="eastAsia"/>
                <w:kern w:val="0"/>
                <w:sz w:val="20"/>
                <w:szCs w:val="20"/>
              </w:rPr>
              <w:t>掌握文丘里流量计流量系数的测量方法。</w:t>
            </w:r>
          </w:p>
        </w:tc>
      </w:tr>
    </w:tbl>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10776" w:rsidRDefault="00C10776" w:rsidP="00C1077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10776" w:rsidRPr="00FE09E8" w:rsidRDefault="00C10776" w:rsidP="00C10776">
      <w:pPr>
        <w:spacing w:line="360" w:lineRule="auto"/>
        <w:ind w:firstLineChars="200" w:firstLine="560"/>
        <w:rPr>
          <w:rFonts w:ascii="仿宋_GB2312" w:hAnsi="仿宋_GB2312" w:cs="仿宋_GB2312"/>
          <w:sz w:val="28"/>
          <w:szCs w:val="28"/>
        </w:rPr>
      </w:pPr>
      <w:r w:rsidRPr="00FE09E8">
        <w:rPr>
          <w:rFonts w:ascii="仿宋_GB2312" w:hAnsi="仿宋_GB2312" w:cs="仿宋_GB2312" w:hint="eastAsia"/>
          <w:sz w:val="28"/>
          <w:szCs w:val="28"/>
        </w:rPr>
        <w:t>采用平时成绩+期末考试方式确定总评成绩，期末考试采用闭卷方式。</w:t>
      </w:r>
    </w:p>
    <w:p w:rsidR="00C10776" w:rsidRPr="008738C1" w:rsidRDefault="00C10776" w:rsidP="00C10776">
      <w:pPr>
        <w:spacing w:line="360" w:lineRule="auto"/>
        <w:ind w:firstLineChars="200" w:firstLine="422"/>
        <w:rPr>
          <w:rFonts w:ascii="宋体" w:eastAsia="宋体" w:hAnsi="宋体"/>
          <w:b/>
          <w:color w:val="FF0000"/>
          <w:sz w:val="21"/>
          <w:szCs w:val="21"/>
        </w:rPr>
      </w:pPr>
    </w:p>
    <w:p w:rsidR="00C10776" w:rsidRDefault="00C10776"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10776" w:rsidRPr="00FE09E8" w:rsidRDefault="00C10776" w:rsidP="00C10776">
      <w:pPr>
        <w:adjustRightInd w:val="0"/>
        <w:spacing w:line="360" w:lineRule="auto"/>
        <w:ind w:firstLineChars="200" w:firstLine="560"/>
        <w:rPr>
          <w:rFonts w:ascii="仿宋_GB2312" w:hAnsi="仿宋_GB2312" w:cs="仿宋_GB2312"/>
          <w:sz w:val="28"/>
          <w:szCs w:val="28"/>
        </w:rPr>
      </w:pPr>
      <w:r w:rsidRPr="00FE09E8">
        <w:rPr>
          <w:rFonts w:ascii="仿宋_GB2312" w:hAnsi="仿宋_GB2312" w:cs="仿宋_GB2312" w:hint="eastAsia"/>
          <w:sz w:val="28"/>
          <w:szCs w:val="28"/>
        </w:rPr>
        <w:t>成绩评定方式为百分制，平时成绩包括作业、讨论、出勤、实验、等内容，其中作业、讨论、出勤占</w:t>
      </w:r>
      <w:r w:rsidRPr="00FE09E8">
        <w:rPr>
          <w:rFonts w:ascii="仿宋_GB2312" w:hAnsi="仿宋_GB2312" w:cs="仿宋_GB2312"/>
          <w:sz w:val="28"/>
          <w:szCs w:val="28"/>
        </w:rPr>
        <w:t>15%</w:t>
      </w:r>
      <w:r w:rsidRPr="00FE09E8">
        <w:rPr>
          <w:rFonts w:ascii="仿宋_GB2312" w:hAnsi="仿宋_GB2312" w:cs="仿宋_GB2312" w:hint="eastAsia"/>
          <w:sz w:val="28"/>
          <w:szCs w:val="28"/>
        </w:rPr>
        <w:t>，实验成绩占</w:t>
      </w:r>
      <w:r w:rsidRPr="00FE09E8">
        <w:rPr>
          <w:rFonts w:ascii="仿宋_GB2312" w:hAnsi="仿宋_GB2312" w:cs="仿宋_GB2312"/>
          <w:sz w:val="28"/>
          <w:szCs w:val="28"/>
        </w:rPr>
        <w:t>15%</w:t>
      </w:r>
      <w:r w:rsidRPr="00FE09E8">
        <w:rPr>
          <w:rFonts w:ascii="仿宋_GB2312" w:hAnsi="仿宋_GB2312" w:cs="仿宋_GB2312" w:hint="eastAsia"/>
          <w:sz w:val="28"/>
          <w:szCs w:val="28"/>
        </w:rPr>
        <w:t>，实验成绩由负责实验的老师提供。</w:t>
      </w:r>
      <w:r w:rsidRPr="00FE09E8">
        <w:rPr>
          <w:rFonts w:ascii="仿宋_GB2312" w:hAnsi="仿宋_GB2312" w:cs="仿宋_GB2312"/>
          <w:sz w:val="28"/>
          <w:szCs w:val="28"/>
        </w:rPr>
        <w:t xml:space="preserve"> </w:t>
      </w:r>
    </w:p>
    <w:p w:rsidR="00C10776" w:rsidRPr="00FE09E8" w:rsidRDefault="00C10776" w:rsidP="00C10776">
      <w:pPr>
        <w:adjustRightInd w:val="0"/>
        <w:spacing w:line="360" w:lineRule="auto"/>
        <w:ind w:firstLineChars="200" w:firstLine="560"/>
        <w:rPr>
          <w:rFonts w:ascii="仿宋_GB2312" w:hAnsi="仿宋_GB2312" w:cs="仿宋_GB2312"/>
          <w:sz w:val="28"/>
          <w:szCs w:val="28"/>
        </w:rPr>
      </w:pPr>
      <w:r w:rsidRPr="00FE09E8">
        <w:rPr>
          <w:rFonts w:ascii="仿宋_GB2312" w:hAnsi="仿宋_GB2312" w:cs="仿宋_GB2312" w:hint="eastAsia"/>
          <w:sz w:val="28"/>
          <w:szCs w:val="28"/>
        </w:rPr>
        <w:t>课程总成绩</w:t>
      </w:r>
      <w:r w:rsidRPr="00FE09E8">
        <w:rPr>
          <w:rFonts w:ascii="仿宋_GB2312" w:hAnsi="仿宋_GB2312" w:cs="仿宋_GB2312"/>
          <w:sz w:val="28"/>
          <w:szCs w:val="28"/>
        </w:rPr>
        <w:t>=</w:t>
      </w:r>
      <w:r w:rsidRPr="00FE09E8">
        <w:rPr>
          <w:rFonts w:ascii="仿宋_GB2312" w:hAnsi="仿宋_GB2312" w:cs="仿宋_GB2312" w:hint="eastAsia"/>
          <w:sz w:val="28"/>
          <w:szCs w:val="28"/>
        </w:rPr>
        <w:t>期末成绩</w:t>
      </w:r>
      <w:r w:rsidRPr="00FE09E8">
        <w:rPr>
          <w:rFonts w:ascii="仿宋_GB2312" w:hAnsi="仿宋_GB2312" w:cs="仿宋_GB2312"/>
          <w:sz w:val="28"/>
          <w:szCs w:val="28"/>
        </w:rPr>
        <w:t>70%+</w:t>
      </w:r>
      <w:r w:rsidRPr="00FE09E8">
        <w:rPr>
          <w:rFonts w:ascii="仿宋_GB2312" w:hAnsi="仿宋_GB2312" w:cs="仿宋_GB2312" w:hint="eastAsia"/>
          <w:sz w:val="28"/>
          <w:szCs w:val="28"/>
        </w:rPr>
        <w:t>平时成绩</w:t>
      </w:r>
      <w:r w:rsidRPr="00FE09E8">
        <w:rPr>
          <w:rFonts w:ascii="仿宋_GB2312" w:hAnsi="仿宋_GB2312" w:cs="仿宋_GB2312"/>
          <w:sz w:val="28"/>
          <w:szCs w:val="28"/>
        </w:rPr>
        <w:t xml:space="preserve">30%  </w:t>
      </w:r>
    </w:p>
    <w:p w:rsidR="00C10776" w:rsidRDefault="00C10776" w:rsidP="00C107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10776" w:rsidRPr="00535EB6" w:rsidRDefault="00C10776" w:rsidP="00C10776">
      <w:pPr>
        <w:spacing w:line="360" w:lineRule="auto"/>
        <w:ind w:firstLineChars="200" w:firstLine="560"/>
        <w:rPr>
          <w:rFonts w:ascii="仿宋_GB2312" w:hAnsi="仿宋_GB2312" w:cs="仿宋_GB2312"/>
          <w:sz w:val="28"/>
          <w:szCs w:val="28"/>
        </w:rPr>
      </w:pPr>
      <w:r w:rsidRPr="00535EB6">
        <w:rPr>
          <w:rFonts w:ascii="仿宋_GB2312" w:hAnsi="仿宋_GB2312" w:cs="仿宋_GB2312" w:hint="eastAsia"/>
          <w:sz w:val="28"/>
          <w:szCs w:val="28"/>
        </w:rPr>
        <w:t>1．建议教材：</w:t>
      </w:r>
    </w:p>
    <w:p w:rsidR="00C10776" w:rsidRPr="00535EB6" w:rsidRDefault="00C10776" w:rsidP="00C10776">
      <w:pPr>
        <w:spacing w:line="400" w:lineRule="exact"/>
        <w:rPr>
          <w:rFonts w:ascii="仿宋_GB2312" w:hAnsi="仿宋_GB2312" w:cs="仿宋_GB2312"/>
          <w:sz w:val="24"/>
          <w:szCs w:val="24"/>
        </w:rPr>
      </w:pPr>
      <w:r>
        <w:rPr>
          <w:rFonts w:ascii="宋体" w:hAnsi="宋体" w:hint="eastAsia"/>
          <w:sz w:val="21"/>
          <w:szCs w:val="21"/>
        </w:rPr>
        <w:t xml:space="preserve">     </w:t>
      </w:r>
      <w:r w:rsidRPr="008738C1">
        <w:rPr>
          <w:rFonts w:ascii="仿宋_GB2312" w:hAnsi="仿宋_GB2312" w:cs="仿宋_GB2312" w:hint="eastAsia"/>
          <w:sz w:val="24"/>
          <w:szCs w:val="24"/>
        </w:rPr>
        <w:t>《流体力学》</w:t>
      </w:r>
      <w:r w:rsidRPr="00535EB6">
        <w:rPr>
          <w:rFonts w:ascii="仿宋_GB2312" w:hAnsi="仿宋_GB2312" w:cs="仿宋_GB2312"/>
          <w:sz w:val="24"/>
          <w:szCs w:val="24"/>
        </w:rPr>
        <w:t xml:space="preserve"> (</w:t>
      </w:r>
      <w:r w:rsidRPr="00535EB6">
        <w:rPr>
          <w:rFonts w:ascii="仿宋_GB2312" w:hAnsi="仿宋_GB2312" w:cs="仿宋_GB2312" w:hint="eastAsia"/>
          <w:sz w:val="24"/>
          <w:szCs w:val="24"/>
        </w:rPr>
        <w:t>第三版</w:t>
      </w:r>
      <w:r w:rsidRPr="00535EB6">
        <w:rPr>
          <w:rFonts w:ascii="仿宋_GB2312" w:hAnsi="仿宋_GB2312" w:cs="仿宋_GB2312"/>
          <w:sz w:val="24"/>
          <w:szCs w:val="24"/>
        </w:rPr>
        <w:t>)</w:t>
      </w:r>
      <w:r w:rsidRPr="00535EB6">
        <w:rPr>
          <w:rFonts w:ascii="仿宋_GB2312" w:hAnsi="仿宋_GB2312" w:cs="仿宋_GB2312" w:hint="eastAsia"/>
          <w:sz w:val="24"/>
          <w:szCs w:val="24"/>
        </w:rPr>
        <w:t>，刘鹤年、刘京编，中国建筑工业出版社，</w:t>
      </w:r>
      <w:r w:rsidRPr="00535EB6">
        <w:rPr>
          <w:rFonts w:ascii="仿宋_GB2312" w:hAnsi="仿宋_GB2312" w:cs="仿宋_GB2312"/>
          <w:sz w:val="24"/>
          <w:szCs w:val="24"/>
        </w:rPr>
        <w:t>2016</w:t>
      </w:r>
      <w:r w:rsidRPr="00535EB6">
        <w:rPr>
          <w:rFonts w:ascii="仿宋_GB2312" w:hAnsi="仿宋_GB2312" w:cs="仿宋_GB2312" w:hint="eastAsia"/>
          <w:sz w:val="24"/>
          <w:szCs w:val="24"/>
        </w:rPr>
        <w:t>年</w:t>
      </w:r>
      <w:r w:rsidRPr="00535EB6">
        <w:rPr>
          <w:rFonts w:ascii="仿宋_GB2312" w:hAnsi="仿宋_GB2312" w:cs="仿宋_GB2312"/>
          <w:sz w:val="24"/>
          <w:szCs w:val="24"/>
        </w:rPr>
        <w:t>1</w:t>
      </w:r>
      <w:r w:rsidRPr="00535EB6">
        <w:rPr>
          <w:rFonts w:ascii="仿宋_GB2312" w:hAnsi="仿宋_GB2312" w:cs="仿宋_GB2312" w:hint="eastAsia"/>
          <w:sz w:val="24"/>
          <w:szCs w:val="24"/>
        </w:rPr>
        <w:t>月出版。</w:t>
      </w:r>
    </w:p>
    <w:p w:rsidR="00C10776" w:rsidRPr="00535EB6" w:rsidRDefault="00C10776" w:rsidP="00C10776">
      <w:pPr>
        <w:spacing w:line="360" w:lineRule="auto"/>
        <w:ind w:firstLineChars="200" w:firstLine="420"/>
        <w:rPr>
          <w:rFonts w:ascii="仿宋_GB2312" w:hAnsi="仿宋_GB2312" w:cs="仿宋_GB2312"/>
          <w:sz w:val="28"/>
          <w:szCs w:val="28"/>
        </w:rPr>
      </w:pPr>
      <w:r>
        <w:rPr>
          <w:rFonts w:ascii="宋体" w:hAnsi="宋体" w:hint="eastAsia"/>
          <w:sz w:val="21"/>
          <w:szCs w:val="21"/>
        </w:rPr>
        <w:t xml:space="preserve">  </w:t>
      </w:r>
      <w:r w:rsidRPr="00535EB6">
        <w:rPr>
          <w:rFonts w:ascii="仿宋_GB2312" w:hAnsi="仿宋_GB2312" w:cs="仿宋_GB2312" w:hint="eastAsia"/>
          <w:sz w:val="28"/>
          <w:szCs w:val="28"/>
        </w:rPr>
        <w:t>2．主要参考资料：</w:t>
      </w:r>
    </w:p>
    <w:p w:rsidR="00C10776" w:rsidRPr="00535EB6" w:rsidRDefault="00C10776" w:rsidP="00C10776">
      <w:pPr>
        <w:spacing w:line="400" w:lineRule="exact"/>
        <w:ind w:firstLineChars="200" w:firstLine="480"/>
        <w:jc w:val="left"/>
        <w:rPr>
          <w:rFonts w:ascii="仿宋_GB2312" w:hAnsi="仿宋_GB2312" w:cs="仿宋_GB2312"/>
          <w:sz w:val="24"/>
          <w:szCs w:val="24"/>
        </w:rPr>
      </w:pPr>
      <w:r w:rsidRPr="00535EB6">
        <w:rPr>
          <w:rFonts w:ascii="仿宋_GB2312" w:hAnsi="仿宋_GB2312" w:cs="仿宋_GB2312" w:hint="eastAsia"/>
          <w:sz w:val="24"/>
          <w:szCs w:val="24"/>
        </w:rPr>
        <w:t>《水力学》，张维佳主编，中国建筑工业出版社，</w:t>
      </w:r>
      <w:r w:rsidRPr="00535EB6">
        <w:rPr>
          <w:rFonts w:ascii="仿宋_GB2312" w:hAnsi="仿宋_GB2312" w:cs="仿宋_GB2312"/>
          <w:sz w:val="24"/>
          <w:szCs w:val="24"/>
        </w:rPr>
        <w:t>2008</w:t>
      </w:r>
      <w:r w:rsidRPr="00535EB6">
        <w:rPr>
          <w:rFonts w:ascii="仿宋_GB2312" w:hAnsi="仿宋_GB2312" w:cs="仿宋_GB2312" w:hint="eastAsia"/>
          <w:sz w:val="24"/>
          <w:szCs w:val="24"/>
        </w:rPr>
        <w:t>年。</w:t>
      </w:r>
    </w:p>
    <w:p w:rsidR="00C10776" w:rsidRDefault="00C10776" w:rsidP="00C10776">
      <w:pPr>
        <w:spacing w:beforeLines="50" w:before="156" w:afterLines="50" w:after="156" w:line="460" w:lineRule="exact"/>
        <w:rPr>
          <w:rFonts w:ascii="黑体" w:eastAsia="黑体" w:hAnsi="黑体"/>
          <w:b/>
          <w:sz w:val="28"/>
          <w:szCs w:val="28"/>
        </w:rPr>
      </w:pPr>
    </w:p>
    <w:p w:rsidR="006A4F10" w:rsidRDefault="006A4F10" w:rsidP="00C10776">
      <w:pPr>
        <w:spacing w:beforeLines="50" w:before="156" w:afterLines="50" w:after="156" w:line="460" w:lineRule="exact"/>
        <w:rPr>
          <w:rFonts w:ascii="黑体" w:eastAsia="黑体" w:hAnsi="黑体"/>
          <w:b/>
          <w:sz w:val="28"/>
          <w:szCs w:val="28"/>
        </w:rPr>
      </w:pP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大纲撰写人：罗 璇</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r>
        <w:rPr>
          <w:rFonts w:ascii="仿宋" w:eastAsia="仿宋" w:hAnsi="仿宋"/>
          <w:sz w:val="28"/>
          <w:szCs w:val="28"/>
        </w:rPr>
        <w:t xml:space="preserve"> </w:t>
      </w:r>
    </w:p>
    <w:p w:rsidR="00C10776" w:rsidRDefault="00C10776" w:rsidP="00C1077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10776" w:rsidRDefault="00C10776" w:rsidP="00C10776">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10776" w:rsidRDefault="00C10776" w:rsidP="00C10776">
      <w:pPr>
        <w:ind w:firstLineChars="2000" w:firstLine="5600"/>
        <w:jc w:val="left"/>
        <w:rPr>
          <w:rFonts w:ascii="仿宋" w:hAnsi="仿宋"/>
          <w:sz w:val="28"/>
          <w:szCs w:val="28"/>
        </w:rPr>
      </w:pPr>
      <w:r>
        <w:rPr>
          <w:rFonts w:ascii="仿宋_GB2312" w:hAnsi="微软雅黑" w:hint="eastAsia"/>
          <w:sz w:val="28"/>
          <w:szCs w:val="28"/>
        </w:rPr>
        <w:t xml:space="preserve">    </w:t>
      </w:r>
    </w:p>
    <w:p w:rsidR="00C10776" w:rsidRDefault="00C10776" w:rsidP="00C10776">
      <w:pPr>
        <w:jc w:val="left"/>
        <w:rPr>
          <w:rFonts w:ascii="仿宋_GB2312" w:hAnsi="黑体"/>
          <w:sz w:val="28"/>
          <w:szCs w:val="28"/>
        </w:rPr>
      </w:pPr>
      <w:r>
        <w:rPr>
          <w:rFonts w:ascii="仿宋" w:eastAsia="仿宋" w:hAnsi="仿宋" w:hint="eastAsia"/>
          <w:sz w:val="28"/>
          <w:szCs w:val="28"/>
        </w:rPr>
        <w:t xml:space="preserve">                                     2021 年 4 月</w:t>
      </w:r>
    </w:p>
    <w:p w:rsidR="00C10776" w:rsidRDefault="00C10776" w:rsidP="00B70E4F"/>
    <w:p w:rsidR="006A4F10" w:rsidRDefault="006A4F10" w:rsidP="00B70E4F"/>
    <w:p w:rsidR="006A4F10" w:rsidRDefault="006A4F10" w:rsidP="00B70E4F"/>
    <w:p w:rsidR="006A4F10" w:rsidRDefault="006A4F10" w:rsidP="00B70E4F"/>
    <w:p w:rsidR="006A4F10" w:rsidRDefault="006A4F10" w:rsidP="00B70E4F"/>
    <w:p w:rsidR="006A4F10" w:rsidRDefault="006A4F10" w:rsidP="00B70E4F"/>
    <w:p w:rsidR="006A4F10" w:rsidRDefault="006A4F10" w:rsidP="00B70E4F"/>
    <w:p w:rsidR="006A4F10" w:rsidRDefault="006A4F10" w:rsidP="00B70E4F"/>
    <w:p w:rsidR="006A4F10" w:rsidRDefault="006A4F10" w:rsidP="00B70E4F"/>
    <w:p w:rsidR="006A4F10" w:rsidRDefault="006A4F10" w:rsidP="00B70E4F"/>
    <w:p w:rsidR="006A4F10" w:rsidRDefault="006A4F10" w:rsidP="00B70E4F"/>
    <w:p w:rsidR="006A4F10" w:rsidRDefault="006A4F10" w:rsidP="00B70E4F"/>
    <w:p w:rsidR="006A4F10" w:rsidRDefault="006A4F10" w:rsidP="006A4F10">
      <w:pPr>
        <w:jc w:val="center"/>
        <w:rPr>
          <w:rFonts w:ascii="黑体" w:eastAsia="黑体" w:hAnsi="黑体"/>
          <w:sz w:val="52"/>
          <w:szCs w:val="52"/>
        </w:rPr>
      </w:pPr>
    </w:p>
    <w:p w:rsidR="006A4F10" w:rsidRDefault="006A4F10" w:rsidP="006A4F10">
      <w:pPr>
        <w:jc w:val="center"/>
        <w:rPr>
          <w:rFonts w:ascii="黑体" w:eastAsia="黑体" w:hAnsi="黑体"/>
          <w:sz w:val="52"/>
          <w:szCs w:val="52"/>
        </w:rPr>
      </w:pPr>
    </w:p>
    <w:p w:rsidR="006A4F10" w:rsidRDefault="006A4F10" w:rsidP="006A4F10">
      <w:pPr>
        <w:jc w:val="center"/>
        <w:rPr>
          <w:rFonts w:ascii="黑体" w:eastAsia="黑体" w:hAnsi="黑体"/>
          <w:sz w:val="52"/>
          <w:szCs w:val="52"/>
        </w:rPr>
      </w:pPr>
    </w:p>
    <w:p w:rsidR="006A4F10" w:rsidRDefault="006A4F10" w:rsidP="006A4F10">
      <w:pPr>
        <w:jc w:val="center"/>
        <w:rPr>
          <w:rFonts w:ascii="黑体" w:eastAsia="黑体" w:hAnsi="黑体"/>
          <w:sz w:val="52"/>
          <w:szCs w:val="52"/>
        </w:rPr>
      </w:pPr>
    </w:p>
    <w:p w:rsidR="006A4F10" w:rsidRDefault="006A4F10" w:rsidP="006A4F10">
      <w:pPr>
        <w:jc w:val="center"/>
        <w:rPr>
          <w:rFonts w:ascii="黑体" w:eastAsia="黑体" w:hAnsi="黑体"/>
          <w:sz w:val="52"/>
          <w:szCs w:val="52"/>
        </w:rPr>
      </w:pPr>
    </w:p>
    <w:p w:rsidR="006A4F10" w:rsidRDefault="006A4F10" w:rsidP="006A4F10">
      <w:pPr>
        <w:jc w:val="center"/>
        <w:rPr>
          <w:rFonts w:ascii="黑体" w:eastAsia="黑体" w:hAnsi="黑体"/>
          <w:sz w:val="52"/>
          <w:szCs w:val="52"/>
        </w:rPr>
      </w:pPr>
    </w:p>
    <w:p w:rsidR="00FE09E8" w:rsidRDefault="00FE09E8" w:rsidP="006A4F10">
      <w:pPr>
        <w:jc w:val="center"/>
        <w:rPr>
          <w:rFonts w:ascii="黑体" w:eastAsia="黑体" w:hAnsi="黑体"/>
          <w:sz w:val="52"/>
          <w:szCs w:val="52"/>
        </w:rPr>
      </w:pPr>
    </w:p>
    <w:p w:rsidR="006A4F10" w:rsidRDefault="006A4F10" w:rsidP="006A4F10">
      <w:pPr>
        <w:jc w:val="center"/>
        <w:rPr>
          <w:rFonts w:ascii="黑体" w:eastAsia="黑体" w:hAnsi="黑体"/>
          <w:sz w:val="52"/>
          <w:szCs w:val="52"/>
        </w:rPr>
      </w:pPr>
      <w:r>
        <w:rPr>
          <w:rFonts w:ascii="黑体" w:eastAsia="黑体" w:hAnsi="黑体" w:hint="eastAsia"/>
          <w:sz w:val="52"/>
          <w:szCs w:val="52"/>
        </w:rPr>
        <w:t>专业发展</w:t>
      </w:r>
      <w:r>
        <w:rPr>
          <w:rFonts w:ascii="黑体" w:eastAsia="黑体" w:hAnsi="黑体"/>
          <w:sz w:val="52"/>
          <w:szCs w:val="52"/>
        </w:rPr>
        <w:t>课程</w:t>
      </w:r>
    </w:p>
    <w:p w:rsidR="006A4F10" w:rsidRDefault="006A4F10" w:rsidP="006A4F10">
      <w:pPr>
        <w:widowControl/>
        <w:spacing w:line="360" w:lineRule="auto"/>
        <w:jc w:val="center"/>
        <w:rPr>
          <w:rFonts w:ascii="方正小标宋简体" w:eastAsia="方正小标宋简体" w:hAnsi="宋体"/>
          <w:kern w:val="0"/>
          <w:szCs w:val="32"/>
        </w:rPr>
      </w:pPr>
    </w:p>
    <w:p w:rsidR="006A4F10" w:rsidRDefault="006A4F10" w:rsidP="006A4F10">
      <w:pPr>
        <w:widowControl/>
        <w:spacing w:line="360" w:lineRule="auto"/>
        <w:jc w:val="center"/>
        <w:rPr>
          <w:rFonts w:ascii="方正小标宋简体" w:eastAsia="方正小标宋简体" w:hAnsi="宋体"/>
          <w:kern w:val="0"/>
          <w:szCs w:val="32"/>
        </w:rPr>
      </w:pPr>
    </w:p>
    <w:p w:rsidR="006A4F10" w:rsidRDefault="006A4F10" w:rsidP="006A4F10">
      <w:pPr>
        <w:widowControl/>
        <w:spacing w:line="360" w:lineRule="auto"/>
        <w:jc w:val="center"/>
        <w:rPr>
          <w:rFonts w:ascii="方正小标宋简体" w:eastAsia="方正小标宋简体" w:hAnsi="宋体"/>
          <w:kern w:val="0"/>
          <w:szCs w:val="32"/>
        </w:rPr>
      </w:pPr>
    </w:p>
    <w:p w:rsidR="006A4F10" w:rsidRDefault="006A4F10" w:rsidP="006A4F10">
      <w:pPr>
        <w:widowControl/>
        <w:spacing w:line="360" w:lineRule="auto"/>
        <w:jc w:val="center"/>
        <w:rPr>
          <w:rFonts w:ascii="方正小标宋简体" w:eastAsia="方正小标宋简体" w:hAnsi="宋体"/>
          <w:kern w:val="0"/>
          <w:szCs w:val="32"/>
        </w:rPr>
      </w:pPr>
    </w:p>
    <w:p w:rsidR="006A4F10" w:rsidRDefault="006A4F10" w:rsidP="006A4F10">
      <w:pPr>
        <w:widowControl/>
        <w:spacing w:line="360" w:lineRule="auto"/>
        <w:jc w:val="center"/>
        <w:rPr>
          <w:rFonts w:ascii="方正小标宋简体" w:eastAsia="方正小标宋简体" w:hAnsi="宋体"/>
          <w:kern w:val="0"/>
          <w:szCs w:val="32"/>
        </w:rPr>
      </w:pPr>
    </w:p>
    <w:p w:rsidR="006A4F10" w:rsidRDefault="006A4F10" w:rsidP="006A4F10">
      <w:pPr>
        <w:widowControl/>
        <w:spacing w:line="360" w:lineRule="auto"/>
        <w:jc w:val="center"/>
        <w:rPr>
          <w:rFonts w:ascii="方正小标宋简体" w:eastAsia="方正小标宋简体" w:hAnsi="宋体"/>
          <w:kern w:val="0"/>
          <w:szCs w:val="32"/>
        </w:rPr>
      </w:pPr>
    </w:p>
    <w:p w:rsidR="006A4F10" w:rsidRDefault="006A4F10" w:rsidP="006A4F10">
      <w:pPr>
        <w:widowControl/>
        <w:spacing w:line="360" w:lineRule="auto"/>
        <w:jc w:val="center"/>
        <w:rPr>
          <w:rFonts w:ascii="方正小标宋简体" w:eastAsia="方正小标宋简体" w:hAnsi="宋体"/>
          <w:kern w:val="0"/>
          <w:szCs w:val="32"/>
        </w:rPr>
      </w:pPr>
    </w:p>
    <w:p w:rsidR="006A4F10" w:rsidRDefault="006A4F10" w:rsidP="006A4F10">
      <w:pPr>
        <w:widowControl/>
        <w:spacing w:line="360" w:lineRule="auto"/>
        <w:jc w:val="center"/>
        <w:rPr>
          <w:rFonts w:ascii="方正小标宋简体" w:eastAsia="方正小标宋简体" w:hAnsi="宋体"/>
          <w:kern w:val="0"/>
          <w:szCs w:val="32"/>
        </w:rPr>
      </w:pPr>
    </w:p>
    <w:p w:rsidR="006A4F10" w:rsidRDefault="006A4F10" w:rsidP="006A4F10">
      <w:pPr>
        <w:widowControl/>
        <w:spacing w:line="360" w:lineRule="auto"/>
        <w:jc w:val="center"/>
        <w:rPr>
          <w:rFonts w:ascii="方正小标宋简体" w:eastAsia="方正小标宋简体" w:hAnsi="宋体"/>
          <w:kern w:val="0"/>
          <w:szCs w:val="32"/>
        </w:rPr>
      </w:pPr>
    </w:p>
    <w:p w:rsidR="006A4F10" w:rsidRDefault="006A4F10" w:rsidP="006A4F10">
      <w:pPr>
        <w:widowControl/>
        <w:spacing w:line="360" w:lineRule="auto"/>
        <w:jc w:val="center"/>
        <w:rPr>
          <w:rFonts w:ascii="方正小标宋简体" w:eastAsia="方正小标宋简体" w:hAnsi="宋体"/>
          <w:kern w:val="0"/>
          <w:szCs w:val="32"/>
        </w:rPr>
      </w:pPr>
    </w:p>
    <w:p w:rsidR="00FE09E8" w:rsidRDefault="00FE09E8" w:rsidP="006A4F10">
      <w:pPr>
        <w:widowControl/>
        <w:spacing w:line="360" w:lineRule="auto"/>
        <w:jc w:val="center"/>
        <w:rPr>
          <w:rFonts w:ascii="方正小标宋简体" w:eastAsia="方正小标宋简体" w:hAnsi="宋体"/>
          <w:kern w:val="0"/>
          <w:szCs w:val="32"/>
        </w:rPr>
      </w:pPr>
    </w:p>
    <w:p w:rsidR="00FE09E8" w:rsidRDefault="00FE09E8" w:rsidP="006A4F10">
      <w:pPr>
        <w:widowControl/>
        <w:spacing w:line="360" w:lineRule="auto"/>
        <w:jc w:val="center"/>
        <w:rPr>
          <w:rFonts w:ascii="方正小标宋简体" w:eastAsia="方正小标宋简体" w:hAnsi="宋体"/>
          <w:kern w:val="0"/>
          <w:szCs w:val="32"/>
        </w:rPr>
      </w:pPr>
    </w:p>
    <w:p w:rsidR="00FE09E8" w:rsidRDefault="00FE09E8" w:rsidP="006A4F10">
      <w:pPr>
        <w:widowControl/>
        <w:spacing w:line="360" w:lineRule="auto"/>
        <w:jc w:val="center"/>
        <w:rPr>
          <w:rFonts w:ascii="方正小标宋简体" w:eastAsia="方正小标宋简体" w:hAnsi="宋体"/>
          <w:kern w:val="0"/>
          <w:szCs w:val="32"/>
        </w:rPr>
      </w:pPr>
    </w:p>
    <w:p w:rsidR="00CF1222" w:rsidRDefault="00CF1222" w:rsidP="00CF1222">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《土木工程概论》课程教学大纲</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F1222" w:rsidRDefault="00CF1222" w:rsidP="00CF1222">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英文名称：Introduction of Civil Engineering</w:t>
      </w:r>
    </w:p>
    <w:p w:rsidR="00CF1222" w:rsidRDefault="00CF1222" w:rsidP="00CF1222">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课程编码：Z2801010</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CF1222" w:rsidRDefault="00CF1222" w:rsidP="00CF1222">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授课方式：混合</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课程类别：专业发展课程</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分：2学分</w:t>
      </w:r>
    </w:p>
    <w:p w:rsidR="00CF1222" w:rsidRDefault="00CF1222" w:rsidP="00CF1222">
      <w:pPr>
        <w:spacing w:line="560" w:lineRule="exact"/>
        <w:ind w:leftChars="103" w:left="1779" w:hanging="1449"/>
        <w:rPr>
          <w:rFonts w:ascii="仿宋_GB2312" w:hAnsi="仿宋_GB2312" w:cs="仿宋_GB2312"/>
          <w:bCs/>
          <w:color w:val="FF0000"/>
          <w:sz w:val="28"/>
          <w:szCs w:val="28"/>
        </w:rPr>
      </w:pPr>
      <w:r>
        <w:rPr>
          <w:rFonts w:ascii="仿宋_GB2312" w:hAnsi="仿宋_GB2312" w:cs="仿宋_GB2312" w:hint="eastAsia"/>
          <w:bCs/>
          <w:sz w:val="28"/>
          <w:szCs w:val="28"/>
        </w:rPr>
        <w:t>学    时：32学时</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适用对象：土木类</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先修课程：无</w:t>
      </w:r>
    </w:p>
    <w:p w:rsidR="00CF1222" w:rsidRDefault="00CF1222" w:rsidP="00CF1222">
      <w:pPr>
        <w:spacing w:line="560" w:lineRule="exact"/>
        <w:ind w:firstLine="331"/>
        <w:rPr>
          <w:rFonts w:ascii="仿宋_GB2312" w:hAnsi="仿宋_GB2312" w:cs="仿宋_GB2312"/>
          <w:bCs/>
          <w:color w:val="000000"/>
          <w:sz w:val="28"/>
          <w:szCs w:val="28"/>
        </w:rPr>
      </w:pPr>
      <w:r>
        <w:rPr>
          <w:rFonts w:ascii="仿宋_GB2312" w:hAnsi="仿宋_GB2312" w:cs="仿宋_GB2312" w:hint="eastAsia"/>
          <w:bCs/>
          <w:sz w:val="28"/>
          <w:szCs w:val="28"/>
        </w:rPr>
        <w:t>开课院系：</w:t>
      </w:r>
      <w:r>
        <w:rPr>
          <w:rFonts w:ascii="仿宋_GB2312" w:hAnsi="仿宋_GB2312" w:cs="仿宋_GB2312" w:hint="eastAsia"/>
          <w:bCs/>
          <w:color w:val="000000"/>
          <w:sz w:val="28"/>
          <w:szCs w:val="28"/>
        </w:rPr>
        <w:t>建筑工程学院</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F1222" w:rsidRDefault="00CF1222" w:rsidP="00CF1222">
      <w:pPr>
        <w:pStyle w:val="a5"/>
        <w:spacing w:after="0" w:line="560" w:lineRule="exact"/>
        <w:ind w:leftChars="0" w:left="0" w:firstLine="560"/>
        <w:rPr>
          <w:rFonts w:ascii="Times New Roman" w:hAnsi="Times New Roman"/>
          <w:sz w:val="28"/>
          <w:szCs w:val="28"/>
        </w:rPr>
      </w:pPr>
      <w:r>
        <w:rPr>
          <w:rFonts w:ascii="Times New Roman"/>
          <w:sz w:val="28"/>
          <w:szCs w:val="28"/>
        </w:rPr>
        <w:t>《土木工程概论》是为土木类专业新生所开设的一门专业发展必修课，共</w:t>
      </w:r>
      <w:r>
        <w:rPr>
          <w:rFonts w:ascii="Times New Roman" w:hAnsi="Times New Roman"/>
          <w:sz w:val="28"/>
          <w:szCs w:val="28"/>
        </w:rPr>
        <w:t>32</w:t>
      </w:r>
      <w:r>
        <w:rPr>
          <w:rFonts w:ascii="Times New Roman"/>
          <w:sz w:val="28"/>
          <w:szCs w:val="28"/>
        </w:rPr>
        <w:t>学时，按土木工程（</w:t>
      </w:r>
      <w:r>
        <w:rPr>
          <w:rFonts w:ascii="Times New Roman" w:hAnsi="Times New Roman"/>
          <w:sz w:val="28"/>
          <w:szCs w:val="28"/>
        </w:rPr>
        <w:t>10</w:t>
      </w:r>
      <w:r>
        <w:rPr>
          <w:rFonts w:ascii="Times New Roman"/>
          <w:sz w:val="28"/>
          <w:szCs w:val="28"/>
        </w:rPr>
        <w:t>学时）、工程造价（</w:t>
      </w:r>
      <w:r>
        <w:rPr>
          <w:rFonts w:ascii="Times New Roman" w:hAnsi="Times New Roman"/>
          <w:sz w:val="28"/>
          <w:szCs w:val="28"/>
        </w:rPr>
        <w:t>6</w:t>
      </w:r>
      <w:r>
        <w:rPr>
          <w:rFonts w:ascii="Times New Roman"/>
          <w:sz w:val="28"/>
          <w:szCs w:val="28"/>
        </w:rPr>
        <w:t>学时）、给排水科学与工程（</w:t>
      </w:r>
      <w:r>
        <w:rPr>
          <w:rFonts w:ascii="Times New Roman" w:hAnsi="Times New Roman"/>
          <w:sz w:val="28"/>
          <w:szCs w:val="28"/>
        </w:rPr>
        <w:t>8</w:t>
      </w:r>
      <w:r>
        <w:rPr>
          <w:rFonts w:ascii="Times New Roman"/>
          <w:sz w:val="28"/>
          <w:szCs w:val="28"/>
        </w:rPr>
        <w:t>学时）及建筑环境与能源应用工程（</w:t>
      </w:r>
      <w:r>
        <w:rPr>
          <w:rFonts w:ascii="Times New Roman" w:hAnsi="Times New Roman"/>
          <w:sz w:val="28"/>
          <w:szCs w:val="28"/>
        </w:rPr>
        <w:t>8</w:t>
      </w:r>
      <w:r>
        <w:rPr>
          <w:rFonts w:ascii="Times New Roman"/>
          <w:sz w:val="28"/>
          <w:szCs w:val="28"/>
        </w:rPr>
        <w:t>学时）四个专业分别授课。</w:t>
      </w:r>
    </w:p>
    <w:p w:rsidR="00CF1222" w:rsidRDefault="00CF1222" w:rsidP="00CF1222">
      <w:pPr>
        <w:pStyle w:val="a5"/>
        <w:spacing w:after="0" w:line="560" w:lineRule="exact"/>
        <w:ind w:leftChars="0" w:left="0" w:firstLine="560"/>
        <w:rPr>
          <w:rFonts w:ascii="Times New Roman" w:hAnsi="Times New Roman"/>
          <w:sz w:val="28"/>
          <w:szCs w:val="28"/>
        </w:rPr>
      </w:pPr>
      <w:r>
        <w:rPr>
          <w:rFonts w:ascii="Times New Roman"/>
          <w:sz w:val="28"/>
          <w:szCs w:val="28"/>
        </w:rPr>
        <w:t>土木工程概论主要讲述土木类包括土木工程、工程造价、给排水科学与工程、建筑环境与能源应用工程专业的培养目标、课程体系、发展概况、组成内涵、发展前沿和发展趋势。旨在使学生具备土木类专业认知能力，建立专业基本概念和框架，明确学习目标和方法，培养学生对土木类专业的学习兴趣，树立从事土木类专业的决心和信心。</w:t>
      </w:r>
    </w:p>
    <w:p w:rsidR="00CF1222" w:rsidRDefault="00CF1222" w:rsidP="00CF1222">
      <w:pPr>
        <w:pStyle w:val="a5"/>
        <w:spacing w:after="0" w:line="560" w:lineRule="exact"/>
        <w:ind w:leftChars="0" w:left="0" w:firstLine="560"/>
        <w:rPr>
          <w:rFonts w:ascii="仿宋_GB2312" w:hAnsi="仿宋_GB2312" w:cs="仿宋_GB2312"/>
          <w:bCs/>
          <w:sz w:val="28"/>
          <w:szCs w:val="28"/>
        </w:rPr>
      </w:pPr>
    </w:p>
    <w:p w:rsidR="00CF1222" w:rsidRDefault="00CF1222" w:rsidP="00CF1222">
      <w:pPr>
        <w:pStyle w:val="a5"/>
        <w:spacing w:after="0" w:line="560" w:lineRule="exact"/>
        <w:ind w:leftChars="0" w:left="0" w:firstLine="560"/>
        <w:rPr>
          <w:rFonts w:ascii="仿宋_GB2312" w:hAnsi="仿宋_GB2312" w:cs="仿宋_GB2312"/>
          <w:bCs/>
          <w:sz w:val="28"/>
          <w:szCs w:val="28"/>
        </w:rPr>
      </w:pPr>
      <w:r>
        <w:rPr>
          <w:rFonts w:ascii="仿宋_GB2312" w:hAnsi="仿宋_GB2312" w:cs="仿宋_GB2312" w:hint="eastAsia"/>
          <w:bCs/>
          <w:sz w:val="28"/>
          <w:szCs w:val="28"/>
        </w:rPr>
        <w:t>教学方式采用混合式教学方法、通过线下理论授课学习、认识实习、总结，线上讨论等相结合进行授课，并结合认识实习等实践教学环节，增强学生工程意识，开阔专业视野，激发持久学习动力。</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课程任务</w:t>
      </w:r>
    </w:p>
    <w:p w:rsidR="00CF1222" w:rsidRDefault="00CF1222" w:rsidP="00CF1222">
      <w:pPr>
        <w:pStyle w:val="a5"/>
        <w:spacing w:after="0" w:line="560" w:lineRule="exact"/>
        <w:ind w:leftChars="0" w:left="0" w:firstLine="560"/>
        <w:rPr>
          <w:rFonts w:ascii="仿宋_GB2312" w:hAnsi="仿宋_GB2312" w:cs="仿宋_GB2312"/>
          <w:bCs/>
          <w:sz w:val="28"/>
          <w:szCs w:val="28"/>
        </w:rPr>
      </w:pPr>
      <w:r>
        <w:rPr>
          <w:rFonts w:ascii="仿宋_GB2312" w:hAnsi="仿宋_GB2312" w:cs="仿宋_GB2312" w:hint="eastAsia"/>
          <w:bCs/>
          <w:sz w:val="28"/>
          <w:szCs w:val="28"/>
        </w:rPr>
        <w:t>通过土木工程专业概论的学习，学生能够了解土木工程专业培养目标、课程设置和教学安排，明确学习目标和方法；初步建立土木工程材料、力学、结构的基本概念，与其它专业课程的学习打下基础；通过介绍土木工程所涉及主要学科领域的基本组成、建设程序、现状及学科前沿，使学生具备专业认知能力，培育土木工程意识，开阔土木工程视野，激发持久学习动力。</w:t>
      </w:r>
    </w:p>
    <w:p w:rsidR="00CF1222" w:rsidRDefault="00CF1222" w:rsidP="00CF1222">
      <w:pPr>
        <w:pStyle w:val="a5"/>
        <w:spacing w:after="0" w:line="560" w:lineRule="exact"/>
        <w:ind w:leftChars="0" w:left="0" w:firstLine="560"/>
        <w:rPr>
          <w:rFonts w:ascii="仿宋_GB2312" w:hAnsi="仿宋_GB2312" w:cs="仿宋_GB2312"/>
          <w:bCs/>
          <w:sz w:val="28"/>
          <w:szCs w:val="28"/>
        </w:rPr>
      </w:pPr>
      <w:r>
        <w:rPr>
          <w:rFonts w:ascii="仿宋_GB2312" w:hAnsi="仿宋_GB2312" w:cs="仿宋_GB2312" w:hint="eastAsia"/>
          <w:bCs/>
          <w:sz w:val="28"/>
          <w:szCs w:val="28"/>
        </w:rPr>
        <w:t>通过工程造价专业概论的学习，学生能够了解工程</w:t>
      </w:r>
      <w:r>
        <w:rPr>
          <w:rFonts w:ascii="仿宋_GB2312" w:hAnsi="仿宋_GB2312" w:cs="仿宋_GB2312"/>
          <w:bCs/>
          <w:sz w:val="28"/>
          <w:szCs w:val="28"/>
        </w:rPr>
        <w:t>造价管理的相关概念，及现代工程造价管理的发展</w:t>
      </w:r>
      <w:r>
        <w:rPr>
          <w:rFonts w:ascii="仿宋_GB2312" w:hAnsi="仿宋_GB2312" w:cs="仿宋_GB2312" w:hint="eastAsia"/>
          <w:bCs/>
          <w:sz w:val="28"/>
          <w:szCs w:val="28"/>
        </w:rPr>
        <w:t>；熟悉</w:t>
      </w:r>
      <w:r>
        <w:rPr>
          <w:rFonts w:ascii="仿宋_GB2312" w:hAnsi="仿宋_GB2312" w:cs="仿宋_GB2312"/>
          <w:bCs/>
          <w:sz w:val="28"/>
          <w:szCs w:val="28"/>
        </w:rPr>
        <w:t>工程造价专业的培养目标及对人才的素质要求；熟悉工程与建设工程及其相关法规</w:t>
      </w:r>
      <w:r>
        <w:rPr>
          <w:rFonts w:ascii="仿宋_GB2312" w:hAnsi="仿宋_GB2312" w:cs="仿宋_GB2312" w:hint="eastAsia"/>
          <w:bCs/>
          <w:sz w:val="28"/>
          <w:szCs w:val="28"/>
        </w:rPr>
        <w:t>；提高学生专业学习兴趣，增强专业学习信心。</w:t>
      </w:r>
    </w:p>
    <w:p w:rsidR="00CF1222" w:rsidRDefault="00CF1222" w:rsidP="00CF1222">
      <w:pPr>
        <w:pStyle w:val="a5"/>
        <w:spacing w:after="0" w:line="560" w:lineRule="exact"/>
        <w:ind w:leftChars="0" w:left="0" w:firstLine="560"/>
        <w:rPr>
          <w:rFonts w:ascii="仿宋_GB2312" w:hAnsi="仿宋_GB2312" w:cs="仿宋_GB2312"/>
          <w:bCs/>
          <w:sz w:val="28"/>
          <w:szCs w:val="28"/>
        </w:rPr>
      </w:pPr>
      <w:r>
        <w:rPr>
          <w:rFonts w:ascii="仿宋_GB2312" w:hAnsi="仿宋_GB2312" w:cs="仿宋_GB2312" w:hint="eastAsia"/>
          <w:bCs/>
          <w:sz w:val="28"/>
          <w:szCs w:val="28"/>
        </w:rPr>
        <w:t>通过给排水科学与工程专业概论的学习，使学生对给排水科学与工程的前景有一个初步的了解，以增强投身于水工业和城市水工程学科事业的决心，使学生对给排水科学与工程学科要求的基础理论、相关学科、现代学科技术，以及高新技术等丰富的科学技术内容有一个宏观的了解，以提高学习兴趣，增强学习信心。</w:t>
      </w:r>
    </w:p>
    <w:p w:rsidR="00CF1222" w:rsidRDefault="00CF1222" w:rsidP="00CF1222">
      <w:pPr>
        <w:spacing w:line="560" w:lineRule="exact"/>
        <w:ind w:firstLineChars="203" w:firstLine="568"/>
        <w:rPr>
          <w:rFonts w:ascii="仿宋_GB2312" w:hAnsi="仿宋_GB2312" w:cs="仿宋_GB2312"/>
          <w:bCs/>
          <w:sz w:val="28"/>
          <w:szCs w:val="28"/>
        </w:rPr>
      </w:pPr>
      <w:r>
        <w:rPr>
          <w:rFonts w:ascii="仿宋_GB2312" w:hAnsi="仿宋_GB2312" w:cs="仿宋_GB2312" w:hint="eastAsia"/>
          <w:bCs/>
          <w:sz w:val="28"/>
          <w:szCs w:val="28"/>
        </w:rPr>
        <w:t>通过建筑环境与能源应用工程专业概论的学习，使学生能够了解建筑环境与能源应用工程专业在社会经济发展中的应用；了解建筑环境的基本科学概念，建筑能源需求与供应；建立本专业的知识体系与</w:t>
      </w:r>
      <w:r>
        <w:rPr>
          <w:rFonts w:ascii="仿宋_GB2312" w:hAnsi="仿宋_GB2312" w:cs="仿宋_GB2312" w:hint="eastAsia"/>
          <w:bCs/>
          <w:sz w:val="28"/>
          <w:szCs w:val="28"/>
        </w:rPr>
        <w:lastRenderedPageBreak/>
        <w:t>课程体系；专业能力结构与实践教学体系，建筑环境与能源应用工程专业执业范围与执业制度，了解专业发展趋势。</w:t>
      </w:r>
    </w:p>
    <w:p w:rsidR="00CF1222" w:rsidRDefault="00CF1222" w:rsidP="00CF1222">
      <w:pPr>
        <w:spacing w:beforeLines="50" w:before="156"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2.课程基本要求</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2.1课程目标</w:t>
      </w:r>
    </w:p>
    <w:p w:rsidR="00CF1222" w:rsidRDefault="00CF1222" w:rsidP="00CF1222">
      <w:pPr>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（1）了解土木类各专业培养目标、课程设置和教学安排，形成土木类专业课程的知识脉络和框架，同时了解土木类专业的学习方法，建立终生学习意识。</w:t>
      </w:r>
    </w:p>
    <w:p w:rsidR="00CF1222" w:rsidRDefault="00CF1222" w:rsidP="00CF1222">
      <w:pPr>
        <w:pStyle w:val="a5"/>
        <w:spacing w:after="0" w:line="560" w:lineRule="exact"/>
        <w:ind w:leftChars="0" w:left="0" w:firstLine="560"/>
        <w:rPr>
          <w:rFonts w:ascii="仿宋_GB2312" w:hAnsi="仿宋_GB2312" w:cs="仿宋_GB2312"/>
          <w:bCs/>
          <w:sz w:val="28"/>
          <w:szCs w:val="28"/>
        </w:rPr>
      </w:pPr>
      <w:r>
        <w:rPr>
          <w:rFonts w:ascii="仿宋_GB2312" w:hAnsi="仿宋_GB2312" w:cs="仿宋_GB2312" w:hint="eastAsia"/>
          <w:bCs/>
          <w:sz w:val="28"/>
          <w:szCs w:val="28"/>
        </w:rPr>
        <w:t>（2）了解土木类所涉及专业的基本概况、组成、现状、及发展前沿，具备专业认知能力，建立工程责任意识和国际视野，树立为我国成为土木强国而努力学习的信心和决心。</w:t>
      </w:r>
    </w:p>
    <w:p w:rsidR="00CF1222" w:rsidRDefault="00CF1222" w:rsidP="00CF1222">
      <w:pPr>
        <w:spacing w:line="560" w:lineRule="exact"/>
        <w:ind w:firstLineChars="203" w:firstLine="568"/>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p w:rsidR="00CF1222" w:rsidRDefault="00CF1222" w:rsidP="00CF1222">
      <w:pPr>
        <w:spacing w:line="560" w:lineRule="exact"/>
        <w:ind w:firstLineChars="203" w:firstLine="568"/>
        <w:rPr>
          <w:rFonts w:ascii="仿宋_GB2312" w:hAnsi="仿宋_GB2312" w:cs="仿宋_GB2312"/>
          <w:bCs/>
          <w:sz w:val="28"/>
          <w:szCs w:val="28"/>
        </w:rPr>
      </w:pPr>
      <w:r>
        <w:rPr>
          <w:rFonts w:ascii="仿宋_GB2312" w:hAnsi="仿宋_GB2312" w:cs="仿宋_GB2312" w:hint="eastAsia"/>
          <w:bCs/>
          <w:sz w:val="28"/>
          <w:szCs w:val="28"/>
        </w:rPr>
        <w:t>2.2.1 土木工程专业概论</w:t>
      </w:r>
      <w:r>
        <w:rPr>
          <w:rFonts w:ascii="仿宋_GB2312" w:hAnsi="仿宋_GB2312" w:cs="仿宋_GB2312" w:hint="eastAsia"/>
          <w:b/>
          <w:sz w:val="28"/>
          <w:szCs w:val="28"/>
        </w:rPr>
        <w:t xml:space="preserve"> </w:t>
      </w:r>
    </w:p>
    <w:p w:rsidR="00CF1222" w:rsidRDefault="00CF1222" w:rsidP="00CF1222">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课程目标与毕业要求之间的对应关系见下表。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3889"/>
        <w:gridCol w:w="845"/>
        <w:gridCol w:w="3001"/>
      </w:tblGrid>
      <w:tr w:rsidR="00CF1222" w:rsidTr="00CF1222">
        <w:trPr>
          <w:trHeight w:val="454"/>
          <w:jc w:val="center"/>
        </w:trPr>
        <w:tc>
          <w:tcPr>
            <w:tcW w:w="338" w:type="pct"/>
            <w:vMerge w:val="restart"/>
            <w:tcBorders>
              <w:top w:val="single" w:sz="4" w:space="0" w:color="000000"/>
              <w:left w:val="single" w:sz="4" w:space="0" w:color="000000"/>
              <w:bottom w:val="single" w:sz="4" w:space="0" w:color="000000"/>
              <w:right w:val="single" w:sz="4" w:space="0" w:color="000000"/>
            </w:tcBorders>
            <w:vAlign w:val="center"/>
          </w:tcPr>
          <w:p w:rsidR="00CF1222" w:rsidRDefault="00CF1222" w:rsidP="00CF1222">
            <w:pPr>
              <w:spacing w:line="360" w:lineRule="exact"/>
              <w:jc w:val="center"/>
              <w:rPr>
                <w:rFonts w:ascii="Times New Roman" w:hAnsi="Times New Roman"/>
                <w:b/>
                <w:sz w:val="18"/>
                <w:szCs w:val="18"/>
              </w:rPr>
            </w:pPr>
            <w:r>
              <w:rPr>
                <w:rFonts w:ascii="Times New Roman"/>
                <w:b/>
                <w:sz w:val="18"/>
                <w:szCs w:val="18"/>
              </w:rPr>
              <w:t>序号</w:t>
            </w:r>
          </w:p>
        </w:tc>
        <w:tc>
          <w:tcPr>
            <w:tcW w:w="2344" w:type="pct"/>
            <w:vMerge w:val="restart"/>
            <w:tcBorders>
              <w:top w:val="single" w:sz="4" w:space="0" w:color="000000"/>
              <w:left w:val="single" w:sz="4" w:space="0" w:color="000000"/>
              <w:right w:val="single" w:sz="4" w:space="0" w:color="000000"/>
            </w:tcBorders>
            <w:vAlign w:val="center"/>
          </w:tcPr>
          <w:p w:rsidR="00CF1222" w:rsidRDefault="00CF1222" w:rsidP="00CF1222">
            <w:pPr>
              <w:spacing w:line="360" w:lineRule="exact"/>
              <w:jc w:val="center"/>
              <w:rPr>
                <w:rFonts w:ascii="Times New Roman"/>
                <w:b/>
                <w:sz w:val="18"/>
                <w:szCs w:val="18"/>
              </w:rPr>
            </w:pPr>
            <w:r>
              <w:rPr>
                <w:rFonts w:ascii="Times New Roman"/>
                <w:b/>
                <w:sz w:val="18"/>
                <w:szCs w:val="18"/>
              </w:rPr>
              <w:t>课程教学目标</w:t>
            </w:r>
          </w:p>
        </w:tc>
        <w:tc>
          <w:tcPr>
            <w:tcW w:w="2318" w:type="pct"/>
            <w:gridSpan w:val="2"/>
            <w:tcBorders>
              <w:top w:val="single" w:sz="4" w:space="0" w:color="000000"/>
              <w:left w:val="single" w:sz="4" w:space="0" w:color="000000"/>
              <w:bottom w:val="single" w:sz="4" w:space="0" w:color="auto"/>
              <w:right w:val="single" w:sz="4" w:space="0" w:color="auto"/>
            </w:tcBorders>
            <w:vAlign w:val="center"/>
          </w:tcPr>
          <w:p w:rsidR="00CF1222" w:rsidRDefault="00CF1222" w:rsidP="00CF1222">
            <w:pPr>
              <w:spacing w:line="360" w:lineRule="exact"/>
              <w:jc w:val="center"/>
              <w:rPr>
                <w:rFonts w:ascii="Times New Roman" w:hAnsi="Times New Roman"/>
                <w:b/>
                <w:sz w:val="18"/>
                <w:szCs w:val="18"/>
              </w:rPr>
            </w:pPr>
            <w:r>
              <w:rPr>
                <w:rFonts w:ascii="Times New Roman"/>
                <w:b/>
                <w:sz w:val="18"/>
                <w:szCs w:val="18"/>
              </w:rPr>
              <w:t>支撑毕业要求指标点</w:t>
            </w:r>
          </w:p>
        </w:tc>
      </w:tr>
      <w:tr w:rsidR="00CF1222" w:rsidTr="00CF1222">
        <w:trPr>
          <w:trHeight w:val="454"/>
          <w:jc w:val="center"/>
        </w:trPr>
        <w:tc>
          <w:tcPr>
            <w:tcW w:w="338" w:type="pct"/>
            <w:vMerge/>
            <w:tcBorders>
              <w:top w:val="single" w:sz="4" w:space="0" w:color="000000"/>
              <w:left w:val="single" w:sz="4" w:space="0" w:color="000000"/>
              <w:bottom w:val="single" w:sz="4" w:space="0" w:color="000000"/>
              <w:right w:val="single" w:sz="4" w:space="0" w:color="000000"/>
            </w:tcBorders>
            <w:vAlign w:val="center"/>
          </w:tcPr>
          <w:p w:rsidR="00CF1222" w:rsidRDefault="00CF1222" w:rsidP="00CF1222">
            <w:pPr>
              <w:widowControl/>
              <w:spacing w:line="360" w:lineRule="exact"/>
              <w:jc w:val="center"/>
              <w:rPr>
                <w:rFonts w:ascii="Times New Roman" w:hAnsi="Times New Roman"/>
                <w:b/>
                <w:sz w:val="18"/>
                <w:szCs w:val="18"/>
              </w:rPr>
            </w:pPr>
          </w:p>
        </w:tc>
        <w:tc>
          <w:tcPr>
            <w:tcW w:w="2344" w:type="pct"/>
            <w:vMerge/>
            <w:tcBorders>
              <w:left w:val="single" w:sz="4" w:space="0" w:color="000000"/>
              <w:bottom w:val="single" w:sz="4" w:space="0" w:color="000000"/>
              <w:right w:val="single" w:sz="4" w:space="0" w:color="000000"/>
            </w:tcBorders>
            <w:vAlign w:val="center"/>
          </w:tcPr>
          <w:p w:rsidR="00CF1222" w:rsidRDefault="00CF1222" w:rsidP="00CF1222">
            <w:pPr>
              <w:spacing w:line="360" w:lineRule="exact"/>
              <w:jc w:val="center"/>
              <w:rPr>
                <w:rFonts w:ascii="Times New Roman"/>
                <w:b/>
                <w:kern w:val="0"/>
                <w:sz w:val="18"/>
                <w:szCs w:val="18"/>
              </w:rPr>
            </w:pPr>
          </w:p>
        </w:tc>
        <w:tc>
          <w:tcPr>
            <w:tcW w:w="509" w:type="pct"/>
            <w:tcBorders>
              <w:top w:val="single" w:sz="4" w:space="0" w:color="auto"/>
              <w:left w:val="single" w:sz="4" w:space="0" w:color="000000"/>
              <w:bottom w:val="single" w:sz="4" w:space="0" w:color="000000"/>
              <w:right w:val="single" w:sz="4" w:space="0" w:color="000000"/>
            </w:tcBorders>
            <w:vAlign w:val="center"/>
          </w:tcPr>
          <w:p w:rsidR="00CF1222" w:rsidRDefault="00CF1222" w:rsidP="00CF1222">
            <w:pPr>
              <w:spacing w:line="360" w:lineRule="exact"/>
              <w:jc w:val="center"/>
              <w:rPr>
                <w:rFonts w:ascii="Times New Roman" w:hAnsi="Times New Roman"/>
                <w:b/>
                <w:sz w:val="18"/>
                <w:szCs w:val="18"/>
              </w:rPr>
            </w:pPr>
            <w:r>
              <w:rPr>
                <w:rFonts w:ascii="Times New Roman"/>
                <w:b/>
                <w:kern w:val="0"/>
                <w:sz w:val="18"/>
                <w:szCs w:val="18"/>
              </w:rPr>
              <w:t>指标点</w:t>
            </w:r>
          </w:p>
        </w:tc>
        <w:tc>
          <w:tcPr>
            <w:tcW w:w="1809" w:type="pct"/>
            <w:tcBorders>
              <w:top w:val="single" w:sz="4" w:space="0" w:color="auto"/>
              <w:left w:val="single" w:sz="4" w:space="0" w:color="000000"/>
              <w:bottom w:val="single" w:sz="4" w:space="0" w:color="000000"/>
              <w:right w:val="single" w:sz="4" w:space="0" w:color="auto"/>
            </w:tcBorders>
            <w:vAlign w:val="center"/>
          </w:tcPr>
          <w:p w:rsidR="00CF1222" w:rsidRDefault="00CF1222" w:rsidP="00CF1222">
            <w:pPr>
              <w:spacing w:line="360" w:lineRule="exact"/>
              <w:jc w:val="center"/>
              <w:rPr>
                <w:rFonts w:ascii="Times New Roman" w:hAnsi="Times New Roman"/>
                <w:b/>
                <w:kern w:val="0"/>
                <w:sz w:val="18"/>
                <w:szCs w:val="18"/>
              </w:rPr>
            </w:pPr>
            <w:r>
              <w:rPr>
                <w:rFonts w:ascii="Times New Roman" w:hint="eastAsia"/>
                <w:b/>
                <w:kern w:val="0"/>
                <w:sz w:val="18"/>
                <w:szCs w:val="18"/>
              </w:rPr>
              <w:t>指标点</w:t>
            </w:r>
            <w:r>
              <w:rPr>
                <w:rFonts w:ascii="Times New Roman"/>
                <w:b/>
                <w:kern w:val="0"/>
                <w:sz w:val="18"/>
                <w:szCs w:val="18"/>
              </w:rPr>
              <w:t>内容</w:t>
            </w:r>
          </w:p>
        </w:tc>
      </w:tr>
      <w:tr w:rsidR="00CF1222" w:rsidTr="00CF1222">
        <w:trPr>
          <w:trHeight w:val="1540"/>
          <w:jc w:val="center"/>
        </w:trPr>
        <w:tc>
          <w:tcPr>
            <w:tcW w:w="338" w:type="pct"/>
            <w:tcBorders>
              <w:left w:val="single" w:sz="4" w:space="0" w:color="000000"/>
              <w:right w:val="single" w:sz="4" w:space="0" w:color="000000"/>
            </w:tcBorders>
            <w:vAlign w:val="center"/>
          </w:tcPr>
          <w:p w:rsidR="00CF1222" w:rsidRDefault="00CF1222" w:rsidP="00CF1222">
            <w:pPr>
              <w:spacing w:line="360" w:lineRule="exact"/>
              <w:jc w:val="center"/>
              <w:rPr>
                <w:rFonts w:ascii="Times New Roman" w:hAnsi="Times New Roman"/>
                <w:sz w:val="18"/>
                <w:szCs w:val="18"/>
              </w:rPr>
            </w:pPr>
            <w:r>
              <w:rPr>
                <w:rFonts w:ascii="Times New Roman" w:hAnsi="Times New Roman" w:hint="eastAsia"/>
                <w:sz w:val="18"/>
                <w:szCs w:val="18"/>
              </w:rPr>
              <w:t>1</w:t>
            </w:r>
          </w:p>
        </w:tc>
        <w:tc>
          <w:tcPr>
            <w:tcW w:w="2344" w:type="pct"/>
            <w:tcBorders>
              <w:left w:val="single" w:sz="4" w:space="0" w:color="000000"/>
              <w:right w:val="single" w:sz="4" w:space="0" w:color="000000"/>
            </w:tcBorders>
            <w:vAlign w:val="center"/>
          </w:tcPr>
          <w:p w:rsidR="00CF1222" w:rsidRDefault="00CF1222" w:rsidP="00CF1222">
            <w:pPr>
              <w:spacing w:line="360" w:lineRule="exact"/>
              <w:ind w:firstLineChars="200" w:firstLine="360"/>
              <w:jc w:val="left"/>
              <w:rPr>
                <w:rFonts w:ascii="仿宋" w:eastAsia="仿宋" w:hAnsi="仿宋" w:cs="仿宋"/>
                <w:kern w:val="0"/>
                <w:sz w:val="18"/>
                <w:szCs w:val="18"/>
              </w:rPr>
            </w:pPr>
            <w:r>
              <w:rPr>
                <w:rFonts w:ascii="仿宋" w:eastAsia="仿宋" w:hAnsi="仿宋" w:cs="仿宋" w:hint="eastAsia"/>
                <w:kern w:val="0"/>
                <w:sz w:val="18"/>
                <w:szCs w:val="18"/>
              </w:rPr>
              <w:t>了解土木类所涉及专业的基本概况、组成、现状、及发展前沿，具备专业认知能力，建立工程责任意识和国际视野，树立为我国成为土木强国而努力学习的信心和决心。</w:t>
            </w:r>
          </w:p>
        </w:tc>
        <w:tc>
          <w:tcPr>
            <w:tcW w:w="509" w:type="pct"/>
            <w:tcBorders>
              <w:top w:val="single" w:sz="4" w:space="0" w:color="auto"/>
              <w:left w:val="single" w:sz="4" w:space="0" w:color="000000"/>
              <w:bottom w:val="single" w:sz="4" w:space="0" w:color="auto"/>
              <w:right w:val="single" w:sz="4" w:space="0" w:color="000000"/>
            </w:tcBorders>
            <w:vAlign w:val="center"/>
          </w:tcPr>
          <w:p w:rsidR="00CF1222" w:rsidRDefault="00CF1222" w:rsidP="00CF1222">
            <w:pPr>
              <w:spacing w:line="360" w:lineRule="exact"/>
              <w:ind w:firstLineChars="50" w:firstLine="90"/>
              <w:jc w:val="left"/>
              <w:rPr>
                <w:rFonts w:ascii="仿宋" w:eastAsia="仿宋" w:hAnsi="仿宋" w:cs="仿宋"/>
                <w:sz w:val="18"/>
                <w:szCs w:val="18"/>
              </w:rPr>
            </w:pPr>
            <w:r>
              <w:rPr>
                <w:rFonts w:ascii="仿宋" w:eastAsia="仿宋" w:hAnsi="仿宋" w:cs="仿宋" w:hint="eastAsia"/>
                <w:sz w:val="18"/>
                <w:szCs w:val="18"/>
              </w:rPr>
              <w:t>10.2</w:t>
            </w:r>
          </w:p>
        </w:tc>
        <w:tc>
          <w:tcPr>
            <w:tcW w:w="1809" w:type="pct"/>
            <w:tcBorders>
              <w:top w:val="single" w:sz="4" w:space="0" w:color="auto"/>
              <w:left w:val="single" w:sz="4" w:space="0" w:color="000000"/>
              <w:bottom w:val="single" w:sz="4" w:space="0" w:color="auto"/>
              <w:right w:val="single" w:sz="4" w:space="0" w:color="auto"/>
            </w:tcBorders>
            <w:vAlign w:val="center"/>
          </w:tcPr>
          <w:p w:rsidR="00CF1222" w:rsidRDefault="00CF1222" w:rsidP="00CF1222">
            <w:pPr>
              <w:spacing w:line="360" w:lineRule="exact"/>
              <w:jc w:val="left"/>
              <w:rPr>
                <w:rFonts w:ascii="仿宋" w:eastAsia="仿宋" w:hAnsi="仿宋" w:cs="仿宋"/>
                <w:kern w:val="0"/>
                <w:sz w:val="18"/>
                <w:szCs w:val="18"/>
              </w:rPr>
            </w:pPr>
            <w:r>
              <w:rPr>
                <w:rFonts w:ascii="仿宋" w:eastAsia="仿宋" w:hAnsi="仿宋" w:cs="仿宋" w:hint="eastAsia"/>
                <w:kern w:val="0"/>
                <w:sz w:val="18"/>
                <w:szCs w:val="18"/>
              </w:rPr>
              <w:t>10.2 关注全球性问题，掌握一门外语，具有一定的国际视野，熟悉土木工程专业领域国内外发展动态，能够在跨文化背景下进行专业沟通和交流。</w:t>
            </w:r>
          </w:p>
        </w:tc>
      </w:tr>
      <w:tr w:rsidR="00CF1222" w:rsidTr="00CF1222">
        <w:trPr>
          <w:trHeight w:val="1540"/>
          <w:jc w:val="center"/>
        </w:trPr>
        <w:tc>
          <w:tcPr>
            <w:tcW w:w="338" w:type="pct"/>
            <w:tcBorders>
              <w:left w:val="single" w:sz="4" w:space="0" w:color="000000"/>
              <w:bottom w:val="single" w:sz="4" w:space="0" w:color="000000"/>
              <w:right w:val="single" w:sz="4" w:space="0" w:color="000000"/>
            </w:tcBorders>
            <w:vAlign w:val="center"/>
          </w:tcPr>
          <w:p w:rsidR="00CF1222" w:rsidRDefault="00CF1222" w:rsidP="00CF1222">
            <w:pPr>
              <w:spacing w:line="360" w:lineRule="exact"/>
              <w:jc w:val="center"/>
              <w:rPr>
                <w:rFonts w:ascii="Times New Roman" w:hAnsi="Times New Roman"/>
                <w:sz w:val="18"/>
                <w:szCs w:val="18"/>
              </w:rPr>
            </w:pPr>
            <w:r>
              <w:rPr>
                <w:rFonts w:ascii="Times New Roman" w:hAnsi="Times New Roman" w:hint="eastAsia"/>
                <w:sz w:val="18"/>
                <w:szCs w:val="18"/>
              </w:rPr>
              <w:t>2</w:t>
            </w:r>
          </w:p>
        </w:tc>
        <w:tc>
          <w:tcPr>
            <w:tcW w:w="2344" w:type="pct"/>
            <w:tcBorders>
              <w:left w:val="single" w:sz="4" w:space="0" w:color="000000"/>
              <w:bottom w:val="single" w:sz="4" w:space="0" w:color="000000"/>
              <w:right w:val="single" w:sz="4" w:space="0" w:color="000000"/>
            </w:tcBorders>
            <w:vAlign w:val="center"/>
          </w:tcPr>
          <w:p w:rsidR="00CF1222" w:rsidRDefault="00CF1222" w:rsidP="00CF1222">
            <w:pPr>
              <w:spacing w:line="360" w:lineRule="auto"/>
              <w:ind w:firstLineChars="200" w:firstLine="360"/>
              <w:rPr>
                <w:rFonts w:ascii="仿宋" w:eastAsia="仿宋" w:hAnsi="仿宋" w:cs="仿宋"/>
                <w:kern w:val="0"/>
                <w:sz w:val="18"/>
                <w:szCs w:val="18"/>
              </w:rPr>
            </w:pPr>
            <w:r>
              <w:rPr>
                <w:rFonts w:ascii="仿宋" w:eastAsia="仿宋" w:hAnsi="仿宋" w:cs="仿宋" w:hint="eastAsia"/>
                <w:kern w:val="0"/>
                <w:sz w:val="18"/>
                <w:szCs w:val="18"/>
              </w:rPr>
              <w:t>了解土木工程类各专业培养目标、课程设置和教学安排，形成土木类专业课程的知识脉络和框架，同时了解土木类专业的学习方法，建立终生学习意识。</w:t>
            </w:r>
          </w:p>
        </w:tc>
        <w:tc>
          <w:tcPr>
            <w:tcW w:w="509" w:type="pct"/>
            <w:tcBorders>
              <w:top w:val="single" w:sz="4" w:space="0" w:color="auto"/>
              <w:left w:val="single" w:sz="4" w:space="0" w:color="000000"/>
              <w:bottom w:val="single" w:sz="4" w:space="0" w:color="000000"/>
              <w:right w:val="single" w:sz="4" w:space="0" w:color="000000"/>
            </w:tcBorders>
            <w:vAlign w:val="center"/>
          </w:tcPr>
          <w:p w:rsidR="00CF1222" w:rsidRDefault="00CF1222" w:rsidP="00CF1222">
            <w:pPr>
              <w:spacing w:line="360" w:lineRule="exact"/>
              <w:ind w:firstLineChars="50" w:firstLine="90"/>
              <w:rPr>
                <w:rFonts w:ascii="仿宋" w:eastAsia="仿宋" w:hAnsi="仿宋" w:cs="仿宋"/>
                <w:sz w:val="18"/>
                <w:szCs w:val="18"/>
              </w:rPr>
            </w:pPr>
            <w:r>
              <w:rPr>
                <w:rFonts w:ascii="仿宋" w:eastAsia="仿宋" w:hAnsi="仿宋" w:cs="仿宋" w:hint="eastAsia"/>
                <w:sz w:val="18"/>
                <w:szCs w:val="18"/>
              </w:rPr>
              <w:t>12.1</w:t>
            </w:r>
          </w:p>
        </w:tc>
        <w:tc>
          <w:tcPr>
            <w:tcW w:w="1809" w:type="pct"/>
            <w:tcBorders>
              <w:top w:val="single" w:sz="4" w:space="0" w:color="auto"/>
              <w:left w:val="single" w:sz="4" w:space="0" w:color="000000"/>
              <w:bottom w:val="single" w:sz="4" w:space="0" w:color="000000"/>
              <w:right w:val="single" w:sz="4" w:space="0" w:color="auto"/>
            </w:tcBorders>
            <w:vAlign w:val="center"/>
          </w:tcPr>
          <w:p w:rsidR="00CF1222" w:rsidRDefault="00CF1222" w:rsidP="00CF1222">
            <w:pPr>
              <w:spacing w:line="360" w:lineRule="exact"/>
              <w:jc w:val="left"/>
              <w:rPr>
                <w:rFonts w:ascii="仿宋" w:eastAsia="仿宋" w:hAnsi="仿宋" w:cs="仿宋"/>
                <w:kern w:val="0"/>
                <w:sz w:val="18"/>
                <w:szCs w:val="18"/>
              </w:rPr>
            </w:pPr>
            <w:r>
              <w:rPr>
                <w:rFonts w:ascii="仿宋" w:eastAsia="仿宋" w:hAnsi="仿宋" w:cs="仿宋" w:hint="eastAsia"/>
                <w:kern w:val="0"/>
                <w:sz w:val="18"/>
                <w:szCs w:val="18"/>
              </w:rPr>
              <w:t>12.1 在社会和土木工程专业发展的大背景下，能够认识到不断探索和学习的必要性，自觉跟踪土木工程专业学科前沿，具有自主学习和终身学习意识。</w:t>
            </w:r>
          </w:p>
        </w:tc>
      </w:tr>
    </w:tbl>
    <w:p w:rsidR="00CF1222" w:rsidRDefault="00CF1222" w:rsidP="00CF1222">
      <w:pPr>
        <w:spacing w:line="360" w:lineRule="auto"/>
        <w:rPr>
          <w:rFonts w:ascii="仿宋_GB2312" w:hAnsi="仿宋_GB2312" w:cs="仿宋_GB2312"/>
          <w:sz w:val="28"/>
          <w:szCs w:val="28"/>
        </w:rPr>
      </w:pPr>
    </w:p>
    <w:p w:rsidR="00CF1222" w:rsidRDefault="00CF1222" w:rsidP="00CF1222">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3.课程的重点、难点</w:t>
      </w:r>
    </w:p>
    <w:p w:rsidR="00CF1222" w:rsidRDefault="00CF1222" w:rsidP="00CF1222">
      <w:pPr>
        <w:spacing w:line="560" w:lineRule="exact"/>
        <w:rPr>
          <w:rFonts w:ascii="仿宋_GB2312" w:hAnsi="仿宋_GB2312" w:cs="仿宋_GB2312"/>
          <w:sz w:val="28"/>
          <w:szCs w:val="28"/>
        </w:rPr>
      </w:pPr>
      <w:r>
        <w:rPr>
          <w:rFonts w:ascii="仿宋_GB2312" w:hAnsi="仿宋_GB2312" w:cs="仿宋_GB2312" w:hint="eastAsia"/>
          <w:sz w:val="28"/>
          <w:szCs w:val="28"/>
        </w:rPr>
        <w:lastRenderedPageBreak/>
        <w:t xml:space="preserve">    3.1土木工程专业概论</w:t>
      </w:r>
    </w:p>
    <w:p w:rsidR="00CF1222" w:rsidRDefault="00CF1222" w:rsidP="00CF1222">
      <w:pPr>
        <w:pStyle w:val="a5"/>
        <w:spacing w:after="0" w:line="560" w:lineRule="exact"/>
        <w:ind w:leftChars="0" w:left="0" w:firstLine="560"/>
        <w:rPr>
          <w:rFonts w:ascii="仿宋_GB2312" w:hAnsi="仿宋_GB2312" w:cs="仿宋_GB2312"/>
          <w:sz w:val="28"/>
          <w:szCs w:val="28"/>
        </w:rPr>
      </w:pPr>
      <w:r>
        <w:rPr>
          <w:rFonts w:ascii="仿宋_GB2312" w:hAnsi="仿宋_GB2312" w:cs="仿宋_GB2312" w:hint="eastAsia"/>
          <w:sz w:val="28"/>
          <w:szCs w:val="28"/>
        </w:rPr>
        <w:t>重点：土木工程专业的教学安排；专业学习方法；培养目标和素质要求；土木工程的概况、类型、结构和构件受力的特点。土木工程主要领域的发展前沿和趋势。</w:t>
      </w:r>
    </w:p>
    <w:p w:rsidR="00CF1222" w:rsidRDefault="00CF1222" w:rsidP="00CF1222">
      <w:pPr>
        <w:pStyle w:val="a5"/>
        <w:spacing w:after="0" w:line="560" w:lineRule="exact"/>
        <w:ind w:leftChars="0" w:left="0" w:firstLine="560"/>
        <w:rPr>
          <w:rFonts w:ascii="仿宋_GB2312" w:hAnsi="仿宋_GB2312" w:cs="仿宋_GB2312"/>
          <w:sz w:val="28"/>
          <w:szCs w:val="28"/>
        </w:rPr>
      </w:pPr>
      <w:r>
        <w:rPr>
          <w:rFonts w:ascii="仿宋_GB2312" w:hAnsi="仿宋_GB2312" w:cs="仿宋_GB2312" w:hint="eastAsia"/>
          <w:sz w:val="28"/>
          <w:szCs w:val="28"/>
        </w:rPr>
        <w:t>难点：对土木工程专业整体框架的建立和理解；对最新出现的土木工程专业知识的接受和理解；对力学、结构、构件等基本概念的理解；学习方法的掌握。</w:t>
      </w:r>
    </w:p>
    <w:p w:rsidR="00CF1222" w:rsidRDefault="00CF1222" w:rsidP="00CF1222">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3.2 工程造价专业概论</w:t>
      </w:r>
    </w:p>
    <w:p w:rsidR="00CF1222" w:rsidRDefault="00CF1222" w:rsidP="00CF1222">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重点：工程造价专业的发展与管理体系；工程造价专业知识结构体系；专业培养目标及素质要求；工程造价专业课程体系；工程造价专业学习方法；工程造价专业发展概况；现代工程造价的管理方法与</w:t>
      </w:r>
      <w:r>
        <w:rPr>
          <w:rFonts w:ascii="仿宋_GB2312" w:hAnsi="仿宋_GB2312" w:cs="仿宋_GB2312"/>
          <w:sz w:val="28"/>
          <w:szCs w:val="28"/>
        </w:rPr>
        <w:t>专业发展趋势</w:t>
      </w:r>
      <w:r>
        <w:rPr>
          <w:rFonts w:ascii="仿宋_GB2312" w:hAnsi="仿宋_GB2312" w:cs="仿宋_GB2312" w:hint="eastAsia"/>
          <w:sz w:val="28"/>
          <w:szCs w:val="28"/>
        </w:rPr>
        <w:t xml:space="preserve">。  </w:t>
      </w:r>
    </w:p>
    <w:p w:rsidR="00CF1222" w:rsidRDefault="00CF1222" w:rsidP="00CF1222">
      <w:pPr>
        <w:spacing w:line="560" w:lineRule="exact"/>
        <w:ind w:firstLineChars="200" w:firstLine="560"/>
        <w:rPr>
          <w:rFonts w:ascii="仿宋_GB2312" w:hAnsi="仿宋_GB2312" w:cs="仿宋_GB2312"/>
          <w:bCs/>
          <w:color w:val="FF0000"/>
          <w:sz w:val="28"/>
          <w:szCs w:val="28"/>
        </w:rPr>
      </w:pPr>
      <w:r>
        <w:rPr>
          <w:rFonts w:ascii="仿宋_GB2312" w:hAnsi="仿宋_GB2312" w:cs="仿宋_GB2312" w:hint="eastAsia"/>
          <w:sz w:val="28"/>
          <w:szCs w:val="28"/>
        </w:rPr>
        <w:t>难点：工程造价专业知识框架体系的建立；工程造价管理的相关概念和基本原理；工程造价专业执业与执业道德；工程专业学习方法与专业敬畏感。</w:t>
      </w:r>
    </w:p>
    <w:p w:rsidR="00CF1222" w:rsidRDefault="00CF1222" w:rsidP="00CF1222">
      <w:pPr>
        <w:spacing w:line="560" w:lineRule="exact"/>
        <w:ind w:firstLineChars="200" w:firstLine="560"/>
        <w:rPr>
          <w:rFonts w:ascii="仿宋" w:eastAsia="仿宋" w:hAnsi="仿宋" w:cs="仿宋"/>
          <w:sz w:val="28"/>
          <w:szCs w:val="28"/>
        </w:rPr>
      </w:pPr>
      <w:r>
        <w:rPr>
          <w:rFonts w:ascii="仿宋_GB2312" w:hAnsi="仿宋_GB2312" w:cs="仿宋_GB2312" w:hint="eastAsia"/>
          <w:bCs/>
          <w:sz w:val="28"/>
          <w:szCs w:val="28"/>
        </w:rPr>
        <w:t>3.3给排水科学与工程专业概论</w:t>
      </w:r>
    </w:p>
    <w:p w:rsidR="00CF1222" w:rsidRDefault="00CF1222" w:rsidP="00CF1222">
      <w:pPr>
        <w:ind w:firstLineChars="200" w:firstLine="562"/>
        <w:jc w:val="left"/>
        <w:rPr>
          <w:sz w:val="28"/>
          <w:szCs w:val="28"/>
        </w:rPr>
      </w:pPr>
      <w:r>
        <w:rPr>
          <w:rFonts w:hint="eastAsia"/>
          <w:b/>
          <w:sz w:val="28"/>
          <w:szCs w:val="28"/>
        </w:rPr>
        <w:t>重点：</w:t>
      </w:r>
      <w:r>
        <w:rPr>
          <w:rFonts w:hint="eastAsia"/>
          <w:sz w:val="28"/>
          <w:szCs w:val="28"/>
        </w:rPr>
        <w:t>给排水科学与工程专业的教学核心内容安排；专业学习方法；培养目标和素质要求；</w:t>
      </w:r>
      <w:r>
        <w:rPr>
          <w:sz w:val="28"/>
          <w:szCs w:val="28"/>
        </w:rPr>
        <w:t>水资源保护与利用</w:t>
      </w:r>
      <w:r>
        <w:rPr>
          <w:rFonts w:hint="eastAsia"/>
          <w:sz w:val="28"/>
          <w:szCs w:val="28"/>
        </w:rPr>
        <w:t>；</w:t>
      </w:r>
      <w:r>
        <w:rPr>
          <w:sz w:val="28"/>
          <w:szCs w:val="28"/>
        </w:rPr>
        <w:t>给水排水管道系统</w:t>
      </w:r>
      <w:r>
        <w:rPr>
          <w:rFonts w:hint="eastAsia"/>
          <w:sz w:val="28"/>
          <w:szCs w:val="28"/>
        </w:rPr>
        <w:t>；</w:t>
      </w:r>
      <w:r>
        <w:rPr>
          <w:sz w:val="28"/>
          <w:szCs w:val="28"/>
        </w:rPr>
        <w:t>水质工程</w:t>
      </w:r>
      <w:r>
        <w:rPr>
          <w:rFonts w:hint="eastAsia"/>
          <w:sz w:val="28"/>
          <w:szCs w:val="28"/>
        </w:rPr>
        <w:t>；</w:t>
      </w:r>
      <w:r>
        <w:rPr>
          <w:sz w:val="28"/>
          <w:szCs w:val="28"/>
        </w:rPr>
        <w:t>建筑给水排水</w:t>
      </w:r>
      <w:r>
        <w:rPr>
          <w:rFonts w:hint="eastAsia"/>
          <w:sz w:val="28"/>
          <w:szCs w:val="28"/>
        </w:rPr>
        <w:t>及消防</w:t>
      </w:r>
      <w:r>
        <w:rPr>
          <w:sz w:val="28"/>
          <w:szCs w:val="28"/>
        </w:rPr>
        <w:t>工程</w:t>
      </w:r>
      <w:r>
        <w:rPr>
          <w:rFonts w:hint="eastAsia"/>
          <w:sz w:val="28"/>
          <w:szCs w:val="28"/>
        </w:rPr>
        <w:t>；城市排洪防涝及海绵城市建设；</w:t>
      </w:r>
    </w:p>
    <w:p w:rsidR="00CF1222" w:rsidRDefault="00CF1222" w:rsidP="00CF1222">
      <w:pPr>
        <w:spacing w:line="560" w:lineRule="exact"/>
        <w:ind w:firstLineChars="200" w:firstLine="562"/>
        <w:rPr>
          <w:rFonts w:ascii="仿宋_GB2312" w:hAnsi="仿宋_GB2312" w:cs="仿宋_GB2312"/>
          <w:bCs/>
          <w:color w:val="FF0000"/>
          <w:sz w:val="28"/>
          <w:szCs w:val="28"/>
        </w:rPr>
      </w:pPr>
      <w:r>
        <w:rPr>
          <w:rFonts w:hint="eastAsia"/>
          <w:b/>
          <w:sz w:val="28"/>
          <w:szCs w:val="28"/>
        </w:rPr>
        <w:t>难点：</w:t>
      </w:r>
      <w:r>
        <w:rPr>
          <w:rFonts w:hint="eastAsia"/>
          <w:sz w:val="28"/>
          <w:szCs w:val="28"/>
        </w:rPr>
        <w:t>了解国内外水资源短缺和水环境污染状况，使学生对我国水环境危机的严峻形势有清醒认识，以增强学习的目的性和主动性，掌握给排水科学与工程专业知识体系的内涵和外延，</w:t>
      </w:r>
      <w:r>
        <w:rPr>
          <w:sz w:val="28"/>
          <w:szCs w:val="28"/>
        </w:rPr>
        <w:t>掌握</w:t>
      </w:r>
      <w:r>
        <w:rPr>
          <w:rFonts w:hint="eastAsia"/>
          <w:sz w:val="28"/>
          <w:szCs w:val="28"/>
        </w:rPr>
        <w:t>专业</w:t>
      </w:r>
      <w:r>
        <w:rPr>
          <w:sz w:val="28"/>
          <w:szCs w:val="28"/>
        </w:rPr>
        <w:t>新工艺</w:t>
      </w:r>
      <w:r>
        <w:rPr>
          <w:rFonts w:hint="eastAsia"/>
          <w:sz w:val="28"/>
          <w:szCs w:val="28"/>
        </w:rPr>
        <w:t>、</w:t>
      </w:r>
      <w:r>
        <w:rPr>
          <w:sz w:val="28"/>
          <w:szCs w:val="28"/>
        </w:rPr>
        <w:t>新设备、新材料</w:t>
      </w:r>
      <w:r>
        <w:rPr>
          <w:rFonts w:hint="eastAsia"/>
          <w:sz w:val="28"/>
          <w:szCs w:val="28"/>
        </w:rPr>
        <w:t>等现代学科技术</w:t>
      </w:r>
      <w:r>
        <w:rPr>
          <w:sz w:val="28"/>
          <w:szCs w:val="28"/>
        </w:rPr>
        <w:t>，</w:t>
      </w:r>
      <w:r>
        <w:rPr>
          <w:rFonts w:hint="eastAsia"/>
          <w:sz w:val="28"/>
          <w:szCs w:val="28"/>
        </w:rPr>
        <w:t>了解专业发展趋势与前沿热点，以</w:t>
      </w:r>
      <w:r>
        <w:rPr>
          <w:rFonts w:hint="eastAsia"/>
          <w:sz w:val="28"/>
          <w:szCs w:val="28"/>
        </w:rPr>
        <w:lastRenderedPageBreak/>
        <w:t>增强投身于水工业和城市水工程学科事业的决心。</w:t>
      </w:r>
    </w:p>
    <w:p w:rsidR="00CF1222" w:rsidRDefault="00CF1222" w:rsidP="00CF1222">
      <w:pPr>
        <w:spacing w:line="560" w:lineRule="exact"/>
        <w:ind w:firstLineChars="200" w:firstLine="560"/>
        <w:rPr>
          <w:rFonts w:ascii="仿宋" w:eastAsia="仿宋" w:hAnsi="仿宋" w:cs="仿宋"/>
          <w:sz w:val="28"/>
          <w:szCs w:val="28"/>
        </w:rPr>
      </w:pPr>
      <w:r>
        <w:rPr>
          <w:rFonts w:ascii="仿宋_GB2312" w:hAnsi="仿宋_GB2312" w:cs="仿宋_GB2312" w:hint="eastAsia"/>
          <w:bCs/>
          <w:sz w:val="28"/>
          <w:szCs w:val="28"/>
        </w:rPr>
        <w:t>3.4 建筑环境与能源应用工程专业</w:t>
      </w:r>
    </w:p>
    <w:p w:rsidR="00CF1222" w:rsidRDefault="00CF1222" w:rsidP="00CF1222">
      <w:pPr>
        <w:spacing w:line="560" w:lineRule="exact"/>
        <w:ind w:firstLineChars="200" w:firstLine="560"/>
        <w:rPr>
          <w:sz w:val="28"/>
          <w:szCs w:val="28"/>
        </w:rPr>
      </w:pPr>
      <w:r>
        <w:rPr>
          <w:rFonts w:hint="eastAsia"/>
          <w:sz w:val="28"/>
          <w:szCs w:val="28"/>
        </w:rPr>
        <w:t>重点：建筑环境与能源应用工程专业在社会经济发展中的应用；建筑环境的基本科学概念；建筑能源需求与供应；专业知识体系与课程体系；专业能力结构与实践教学体系；建筑环境与能源应用工程专业执业范围与执业制度；专业发展趋势。</w:t>
      </w:r>
    </w:p>
    <w:p w:rsidR="00CF1222" w:rsidRDefault="00CF1222" w:rsidP="00CF1222">
      <w:pPr>
        <w:spacing w:line="560" w:lineRule="exact"/>
        <w:ind w:firstLineChars="200" w:firstLine="560"/>
        <w:rPr>
          <w:sz w:val="28"/>
          <w:szCs w:val="28"/>
        </w:rPr>
      </w:pPr>
      <w:r>
        <w:rPr>
          <w:rFonts w:hint="eastAsia"/>
          <w:sz w:val="28"/>
          <w:szCs w:val="28"/>
        </w:rPr>
        <w:t>难点：建筑环境和建筑能源供需的基本科学概念的理解；专业在社会经济发展中的最新应用的接受与理解；专业发展新趋势的理解和掌握。</w:t>
      </w:r>
    </w:p>
    <w:p w:rsidR="00CF1222" w:rsidRDefault="00CF1222" w:rsidP="00CF1222">
      <w:pPr>
        <w:spacing w:line="560" w:lineRule="exact"/>
        <w:ind w:left="331" w:firstLineChars="100" w:firstLine="280"/>
        <w:rPr>
          <w:rFonts w:ascii="仿宋_GB2312" w:hAnsi="仿宋_GB2312" w:cs="仿宋_GB2312"/>
          <w:sz w:val="28"/>
          <w:szCs w:val="28"/>
        </w:rPr>
      </w:pPr>
      <w:r>
        <w:rPr>
          <w:rFonts w:ascii="仿宋_GB2312" w:hAnsi="仿宋_GB2312" w:cs="仿宋_GB2312" w:hint="eastAsia"/>
          <w:sz w:val="28"/>
          <w:szCs w:val="28"/>
        </w:rPr>
        <w:t>4.课程思政设计</w:t>
      </w:r>
    </w:p>
    <w:p w:rsidR="00CF1222" w:rsidRDefault="00CF1222" w:rsidP="00CF1222">
      <w:pPr>
        <w:spacing w:line="560" w:lineRule="exact"/>
        <w:rPr>
          <w:rFonts w:ascii="仿宋_GB2312" w:hAnsi="仿宋_GB2312" w:cs="仿宋_GB2312"/>
          <w:sz w:val="28"/>
          <w:szCs w:val="28"/>
        </w:rPr>
      </w:pPr>
      <w:r>
        <w:rPr>
          <w:rFonts w:ascii="仿宋_GB2312" w:hAnsi="仿宋_GB2312" w:cs="仿宋_GB2312" w:hint="eastAsia"/>
          <w:sz w:val="28"/>
          <w:szCs w:val="28"/>
        </w:rPr>
        <w:t xml:space="preserve">    4.1土木工程专业概论</w:t>
      </w:r>
    </w:p>
    <w:p w:rsidR="00CF1222" w:rsidRDefault="00CF1222" w:rsidP="00CF1222">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通过讲述我国建筑工程、地下工程、桥梁工程等超级工程的建设成就，增强学生对我国土木工程发展的自豪感、责任感，引导学生建立强烈的工程责任心，激发学生的爱国热情和建设工程强国的信心。通过讲述土木工程的发展历史、前辈艰苦奋斗的历程及重大工程的建设成就，引导学生勤奋学习，树立打好专业基本功的决心，建立深耕行业的工匠精神。</w:t>
      </w:r>
    </w:p>
    <w:p w:rsidR="00CF1222" w:rsidRDefault="00CF1222" w:rsidP="00CF1222">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4.2 工程造价专业概论</w:t>
      </w:r>
    </w:p>
    <w:p w:rsidR="00CF1222" w:rsidRPr="00FE09E8" w:rsidRDefault="00CF1222" w:rsidP="00CF1222">
      <w:pPr>
        <w:spacing w:line="560" w:lineRule="exact"/>
        <w:ind w:firstLineChars="200" w:firstLine="560"/>
        <w:rPr>
          <w:rFonts w:ascii="仿宋_GB2312" w:hAnsi="仿宋_GB2312" w:cs="仿宋_GB2312"/>
          <w:sz w:val="28"/>
          <w:szCs w:val="28"/>
        </w:rPr>
      </w:pPr>
      <w:r w:rsidRPr="00FE09E8">
        <w:rPr>
          <w:rFonts w:ascii="仿宋_GB2312" w:hAnsi="仿宋_GB2312" w:cs="仿宋_GB2312" w:hint="eastAsia"/>
          <w:sz w:val="28"/>
          <w:szCs w:val="28"/>
        </w:rPr>
        <w:t>在建筑行业转型</w:t>
      </w:r>
      <w:r w:rsidRPr="00FE09E8">
        <w:rPr>
          <w:rFonts w:ascii="仿宋_GB2312" w:hAnsi="仿宋_GB2312" w:cs="仿宋_GB2312"/>
          <w:sz w:val="28"/>
          <w:szCs w:val="28"/>
        </w:rPr>
        <w:t>升级的</w:t>
      </w:r>
      <w:r w:rsidRPr="00FE09E8">
        <w:rPr>
          <w:rFonts w:ascii="仿宋_GB2312" w:hAnsi="仿宋_GB2312" w:cs="仿宋_GB2312" w:hint="eastAsia"/>
          <w:sz w:val="28"/>
          <w:szCs w:val="28"/>
        </w:rPr>
        <w:t>背景</w:t>
      </w:r>
      <w:r w:rsidRPr="00FE09E8">
        <w:rPr>
          <w:rFonts w:ascii="仿宋_GB2312" w:hAnsi="仿宋_GB2312" w:cs="仿宋_GB2312"/>
          <w:sz w:val="28"/>
          <w:szCs w:val="28"/>
        </w:rPr>
        <w:t>下，引入典型的标志性工程</w:t>
      </w:r>
      <w:r w:rsidRPr="00FE09E8">
        <w:rPr>
          <w:rFonts w:ascii="仿宋_GB2312" w:hAnsi="仿宋_GB2312" w:cs="仿宋_GB2312" w:hint="eastAsia"/>
          <w:sz w:val="28"/>
          <w:szCs w:val="28"/>
        </w:rPr>
        <w:t>，</w:t>
      </w:r>
      <w:r w:rsidRPr="00FE09E8">
        <w:rPr>
          <w:rFonts w:ascii="仿宋_GB2312" w:hAnsi="仿宋_GB2312" w:cs="仿宋_GB2312"/>
          <w:sz w:val="28"/>
          <w:szCs w:val="28"/>
        </w:rPr>
        <w:t>认识</w:t>
      </w:r>
      <w:r w:rsidRPr="00FE09E8">
        <w:rPr>
          <w:rFonts w:ascii="仿宋_GB2312" w:hAnsi="仿宋_GB2312" w:cs="仿宋_GB2312" w:hint="eastAsia"/>
          <w:sz w:val="28"/>
          <w:szCs w:val="28"/>
        </w:rPr>
        <w:t>工程</w:t>
      </w:r>
      <w:r w:rsidRPr="00FE09E8">
        <w:rPr>
          <w:rFonts w:ascii="仿宋_GB2312" w:hAnsi="仿宋_GB2312" w:cs="仿宋_GB2312"/>
          <w:sz w:val="28"/>
          <w:szCs w:val="28"/>
        </w:rPr>
        <w:t>建设的全寿命期内工程造价管理</w:t>
      </w:r>
      <w:r w:rsidRPr="00FE09E8">
        <w:rPr>
          <w:rFonts w:ascii="仿宋_GB2312" w:hAnsi="仿宋_GB2312" w:cs="仿宋_GB2312" w:hint="eastAsia"/>
          <w:sz w:val="28"/>
          <w:szCs w:val="28"/>
        </w:rPr>
        <w:t>的</w:t>
      </w:r>
      <w:r w:rsidRPr="00FE09E8">
        <w:rPr>
          <w:rFonts w:ascii="仿宋_GB2312" w:hAnsi="仿宋_GB2312" w:cs="仿宋_GB2312"/>
          <w:sz w:val="28"/>
          <w:szCs w:val="28"/>
        </w:rPr>
        <w:t>任务、意义和责任与使命</w:t>
      </w:r>
      <w:r w:rsidRPr="00FE09E8">
        <w:rPr>
          <w:rFonts w:ascii="仿宋_GB2312" w:hAnsi="仿宋_GB2312" w:cs="仿宋_GB2312" w:hint="eastAsia"/>
          <w:sz w:val="28"/>
          <w:szCs w:val="28"/>
        </w:rPr>
        <w:t>，增强学生作为土木工程学科从业人员的社会责任感。培养学生的大国工匠精神，激发学生的家国情怀。了解专业发展趋势，提高学生学习积极性。</w:t>
      </w:r>
    </w:p>
    <w:p w:rsidR="00CF1222" w:rsidRDefault="00CF1222" w:rsidP="00CF1222">
      <w:pPr>
        <w:spacing w:line="560" w:lineRule="exact"/>
        <w:ind w:firstLineChars="200" w:firstLine="560"/>
        <w:rPr>
          <w:rFonts w:ascii="仿宋" w:eastAsia="仿宋" w:hAnsi="仿宋" w:cs="仿宋"/>
          <w:sz w:val="28"/>
          <w:szCs w:val="28"/>
        </w:rPr>
      </w:pPr>
      <w:r>
        <w:rPr>
          <w:rFonts w:ascii="仿宋_GB2312" w:hAnsi="仿宋_GB2312" w:cs="仿宋_GB2312" w:hint="eastAsia"/>
          <w:bCs/>
          <w:sz w:val="28"/>
          <w:szCs w:val="28"/>
        </w:rPr>
        <w:t>4.3给排水科学与工程专业概论</w:t>
      </w:r>
    </w:p>
    <w:p w:rsidR="00CF1222" w:rsidRPr="00FE09E8" w:rsidRDefault="00CF1222" w:rsidP="00FE09E8">
      <w:pPr>
        <w:spacing w:line="560" w:lineRule="exact"/>
        <w:ind w:firstLineChars="200" w:firstLine="560"/>
        <w:rPr>
          <w:rFonts w:ascii="仿宋_GB2312" w:hAnsi="仿宋_GB2312" w:cs="仿宋_GB2312"/>
          <w:sz w:val="28"/>
          <w:szCs w:val="28"/>
        </w:rPr>
      </w:pPr>
      <w:r w:rsidRPr="00FE09E8">
        <w:rPr>
          <w:rFonts w:ascii="仿宋_GB2312" w:hAnsi="仿宋_GB2312" w:cs="仿宋_GB2312" w:hint="eastAsia"/>
          <w:sz w:val="28"/>
          <w:szCs w:val="28"/>
        </w:rPr>
        <w:lastRenderedPageBreak/>
        <w:t>通过</w:t>
      </w:r>
      <w:r w:rsidRPr="00FE09E8">
        <w:rPr>
          <w:rFonts w:ascii="仿宋_GB2312" w:hAnsi="仿宋_GB2312" w:cs="仿宋_GB2312"/>
          <w:sz w:val="28"/>
          <w:szCs w:val="28"/>
        </w:rPr>
        <w:t>举例典型事例</w:t>
      </w:r>
      <w:r w:rsidRPr="00FE09E8">
        <w:rPr>
          <w:rFonts w:ascii="仿宋_GB2312" w:hAnsi="仿宋_GB2312" w:cs="仿宋_GB2312" w:hint="eastAsia"/>
          <w:sz w:val="28"/>
          <w:szCs w:val="28"/>
        </w:rPr>
        <w:t>说明环境</w:t>
      </w:r>
      <w:r w:rsidRPr="00FE09E8">
        <w:rPr>
          <w:rFonts w:ascii="仿宋_GB2312" w:hAnsi="仿宋_GB2312" w:cs="仿宋_GB2312"/>
          <w:sz w:val="28"/>
          <w:szCs w:val="28"/>
        </w:rPr>
        <w:t>保护、水源保护、</w:t>
      </w:r>
      <w:r w:rsidRPr="00FE09E8">
        <w:rPr>
          <w:rFonts w:ascii="仿宋_GB2312" w:hAnsi="仿宋_GB2312" w:cs="仿宋_GB2312" w:hint="eastAsia"/>
          <w:sz w:val="28"/>
          <w:szCs w:val="28"/>
        </w:rPr>
        <w:t>水安全</w:t>
      </w:r>
      <w:r w:rsidRPr="00FE09E8">
        <w:rPr>
          <w:rFonts w:ascii="仿宋_GB2312" w:hAnsi="仿宋_GB2312" w:cs="仿宋_GB2312"/>
          <w:sz w:val="28"/>
          <w:szCs w:val="28"/>
        </w:rPr>
        <w:t>的重要性，</w:t>
      </w:r>
      <w:r w:rsidRPr="00FE09E8">
        <w:rPr>
          <w:rFonts w:ascii="仿宋_GB2312" w:hAnsi="仿宋_GB2312" w:cs="仿宋_GB2312" w:hint="eastAsia"/>
          <w:sz w:val="28"/>
          <w:szCs w:val="28"/>
        </w:rPr>
        <w:t>真切</w:t>
      </w:r>
      <w:r w:rsidRPr="00FE09E8">
        <w:rPr>
          <w:rFonts w:ascii="仿宋_GB2312" w:hAnsi="仿宋_GB2312" w:cs="仿宋_GB2312"/>
          <w:sz w:val="28"/>
          <w:szCs w:val="28"/>
        </w:rPr>
        <w:t>领悟</w:t>
      </w:r>
      <w:r w:rsidRPr="00FE09E8">
        <w:rPr>
          <w:rFonts w:ascii="仿宋_GB2312" w:hAnsi="仿宋_GB2312" w:cs="仿宋_GB2312" w:hint="eastAsia"/>
          <w:sz w:val="28"/>
          <w:szCs w:val="28"/>
        </w:rPr>
        <w:t>习近平</w:t>
      </w:r>
      <w:r w:rsidRPr="00FE09E8">
        <w:rPr>
          <w:rFonts w:ascii="仿宋_GB2312" w:hAnsi="仿宋_GB2312" w:cs="仿宋_GB2312"/>
          <w:sz w:val="28"/>
          <w:szCs w:val="28"/>
        </w:rPr>
        <w:t>“绿水青山就是金山银山”的深刻内涵</w:t>
      </w:r>
      <w:r w:rsidRPr="00FE09E8">
        <w:rPr>
          <w:rFonts w:ascii="仿宋_GB2312" w:hAnsi="仿宋_GB2312" w:cs="仿宋_GB2312" w:hint="eastAsia"/>
          <w:sz w:val="28"/>
          <w:szCs w:val="28"/>
        </w:rPr>
        <w:t>，推进生态文明建设，保障饮水</w:t>
      </w:r>
      <w:r w:rsidRPr="00FE09E8">
        <w:rPr>
          <w:rFonts w:ascii="仿宋_GB2312" w:hAnsi="仿宋_GB2312" w:cs="仿宋_GB2312"/>
          <w:sz w:val="28"/>
          <w:szCs w:val="28"/>
        </w:rPr>
        <w:t>安全，守护青山绿水就是守护我们的美丽中国。</w:t>
      </w:r>
      <w:r w:rsidRPr="00FE09E8">
        <w:rPr>
          <w:rFonts w:ascii="仿宋_GB2312" w:hAnsi="仿宋_GB2312" w:cs="仿宋_GB2312" w:hint="eastAsia"/>
          <w:sz w:val="28"/>
          <w:szCs w:val="28"/>
        </w:rPr>
        <w:t>为了使</w:t>
      </w:r>
      <w:r w:rsidRPr="00FE09E8">
        <w:rPr>
          <w:rFonts w:ascii="仿宋_GB2312" w:hAnsi="仿宋_GB2312" w:cs="仿宋_GB2312"/>
          <w:sz w:val="28"/>
          <w:szCs w:val="28"/>
        </w:rPr>
        <w:t>人民能喝到品质优良的洁净水</w:t>
      </w:r>
      <w:r w:rsidRPr="00FE09E8">
        <w:rPr>
          <w:rFonts w:ascii="仿宋_GB2312" w:hAnsi="仿宋_GB2312" w:cs="仿宋_GB2312" w:hint="eastAsia"/>
          <w:sz w:val="28"/>
          <w:szCs w:val="28"/>
        </w:rPr>
        <w:t>，</w:t>
      </w:r>
      <w:r w:rsidRPr="00FE09E8">
        <w:rPr>
          <w:rFonts w:ascii="仿宋_GB2312" w:hAnsi="仿宋_GB2312" w:cs="仿宋_GB2312"/>
          <w:sz w:val="28"/>
          <w:szCs w:val="28"/>
        </w:rPr>
        <w:t>为了</w:t>
      </w:r>
      <w:r w:rsidRPr="00FE09E8">
        <w:rPr>
          <w:rFonts w:ascii="仿宋_GB2312" w:hAnsi="仿宋_GB2312" w:cs="仿宋_GB2312" w:hint="eastAsia"/>
          <w:sz w:val="28"/>
          <w:szCs w:val="28"/>
        </w:rPr>
        <w:t>营造青山绿水</w:t>
      </w:r>
      <w:r w:rsidRPr="00FE09E8">
        <w:rPr>
          <w:rFonts w:ascii="仿宋_GB2312" w:hAnsi="仿宋_GB2312" w:cs="仿宋_GB2312"/>
          <w:sz w:val="28"/>
          <w:szCs w:val="28"/>
        </w:rPr>
        <w:t>舒适美好的</w:t>
      </w:r>
      <w:r w:rsidRPr="00FE09E8">
        <w:rPr>
          <w:rFonts w:ascii="仿宋_GB2312" w:hAnsi="仿宋_GB2312" w:cs="仿宋_GB2312" w:hint="eastAsia"/>
          <w:sz w:val="28"/>
          <w:szCs w:val="28"/>
        </w:rPr>
        <w:t>水</w:t>
      </w:r>
      <w:r w:rsidRPr="00FE09E8">
        <w:rPr>
          <w:rFonts w:ascii="仿宋_GB2312" w:hAnsi="仿宋_GB2312" w:cs="仿宋_GB2312"/>
          <w:sz w:val="28"/>
          <w:szCs w:val="28"/>
        </w:rPr>
        <w:t>环境，</w:t>
      </w:r>
      <w:r w:rsidRPr="00FE09E8">
        <w:rPr>
          <w:rFonts w:ascii="仿宋_GB2312" w:hAnsi="仿宋_GB2312" w:cs="仿宋_GB2312" w:hint="eastAsia"/>
          <w:sz w:val="28"/>
          <w:szCs w:val="28"/>
        </w:rPr>
        <w:t>增强学生作为土木人的社会责任感，使学生理解并坚守职业道德规范，树立和践行社会主义核心价值观。</w:t>
      </w:r>
    </w:p>
    <w:p w:rsidR="00CF1222" w:rsidRDefault="00CF1222" w:rsidP="00CF1222">
      <w:pPr>
        <w:spacing w:line="560" w:lineRule="exact"/>
        <w:ind w:firstLineChars="200" w:firstLine="560"/>
        <w:rPr>
          <w:rFonts w:ascii="仿宋" w:eastAsia="仿宋" w:hAnsi="仿宋" w:cs="仿宋"/>
          <w:sz w:val="28"/>
          <w:szCs w:val="28"/>
        </w:rPr>
      </w:pPr>
      <w:r>
        <w:rPr>
          <w:rFonts w:ascii="仿宋_GB2312" w:hAnsi="仿宋_GB2312" w:cs="仿宋_GB2312" w:hint="eastAsia"/>
          <w:bCs/>
          <w:sz w:val="28"/>
          <w:szCs w:val="28"/>
        </w:rPr>
        <w:t xml:space="preserve">4.4 </w:t>
      </w:r>
      <w:r>
        <w:rPr>
          <w:rFonts w:hint="eastAsia"/>
        </w:rPr>
        <w:t>建筑环境与能源应用工程专业</w:t>
      </w:r>
    </w:p>
    <w:p w:rsidR="00CF1222" w:rsidRPr="00FE09E8" w:rsidRDefault="00CF1222" w:rsidP="00FE09E8">
      <w:pPr>
        <w:spacing w:line="560" w:lineRule="exact"/>
        <w:ind w:firstLineChars="200" w:firstLine="560"/>
        <w:rPr>
          <w:rFonts w:ascii="仿宋_GB2312" w:hAnsi="仿宋_GB2312" w:cs="仿宋_GB2312"/>
          <w:sz w:val="28"/>
          <w:szCs w:val="28"/>
        </w:rPr>
      </w:pPr>
      <w:r w:rsidRPr="00FE09E8">
        <w:rPr>
          <w:rFonts w:ascii="仿宋_GB2312" w:hAnsi="仿宋_GB2312" w:cs="仿宋_GB2312" w:hint="eastAsia"/>
          <w:sz w:val="28"/>
          <w:szCs w:val="28"/>
        </w:rPr>
        <w:t>基于全面脱贫攻坚背景下人民对舒适、健康、节能、环保的人工环境的需求，以及在碳达峰、碳中和背景下专业人员的责任使命等元素的融入，增强学生作为土木类相关行业从业人员的社会责任感，使学生理解并坚守职业道德规范，树立和践行社会主义核心价值观，有意愿并有能力服务社会。</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686"/>
        <w:gridCol w:w="3100"/>
        <w:gridCol w:w="2755"/>
      </w:tblGrid>
      <w:tr w:rsidR="00CF1222" w:rsidTr="00CF1222">
        <w:trPr>
          <w:cantSplit/>
          <w:trHeight w:val="785"/>
        </w:trPr>
        <w:tc>
          <w:tcPr>
            <w:tcW w:w="512" w:type="dxa"/>
            <w:vAlign w:val="center"/>
          </w:tcPr>
          <w:p w:rsidR="00CF1222" w:rsidRPr="00FE09E8" w:rsidRDefault="00CF1222" w:rsidP="00CF1222">
            <w:pPr>
              <w:jc w:val="center"/>
              <w:rPr>
                <w:rFonts w:ascii="Times New Roman" w:hAnsi="Times New Roman"/>
                <w:b/>
                <w:kern w:val="0"/>
                <w:sz w:val="20"/>
                <w:szCs w:val="20"/>
              </w:rPr>
            </w:pPr>
            <w:r w:rsidRPr="00FE09E8">
              <w:rPr>
                <w:rFonts w:ascii="Times New Roman" w:hAnsi="Times New Roman" w:hint="eastAsia"/>
                <w:b/>
                <w:kern w:val="0"/>
                <w:sz w:val="20"/>
                <w:szCs w:val="20"/>
              </w:rPr>
              <w:t>序号</w:t>
            </w:r>
          </w:p>
        </w:tc>
        <w:tc>
          <w:tcPr>
            <w:tcW w:w="2102" w:type="dxa"/>
            <w:vAlign w:val="center"/>
          </w:tcPr>
          <w:p w:rsidR="00CF1222" w:rsidRPr="00FE09E8" w:rsidRDefault="00CF1222" w:rsidP="00CF1222">
            <w:pPr>
              <w:jc w:val="center"/>
              <w:rPr>
                <w:rFonts w:ascii="Times New Roman" w:hAnsi="Times New Roman"/>
                <w:b/>
                <w:kern w:val="0"/>
                <w:sz w:val="20"/>
                <w:szCs w:val="20"/>
              </w:rPr>
            </w:pPr>
            <w:r w:rsidRPr="00FE09E8">
              <w:rPr>
                <w:rFonts w:ascii="Times New Roman" w:hAnsi="Times New Roman" w:hint="eastAsia"/>
                <w:b/>
                <w:kern w:val="0"/>
                <w:sz w:val="20"/>
                <w:szCs w:val="20"/>
              </w:rPr>
              <w:t>章</w:t>
            </w:r>
            <w:r w:rsidRPr="00FE09E8">
              <w:rPr>
                <w:rFonts w:ascii="Times New Roman" w:hAnsi="Times New Roman" w:hint="eastAsia"/>
                <w:b/>
                <w:kern w:val="0"/>
                <w:sz w:val="20"/>
                <w:szCs w:val="20"/>
              </w:rPr>
              <w:t xml:space="preserve">  </w:t>
            </w:r>
            <w:r w:rsidRPr="00FE09E8">
              <w:rPr>
                <w:rFonts w:ascii="Times New Roman" w:hAnsi="Times New Roman" w:hint="eastAsia"/>
                <w:b/>
                <w:kern w:val="0"/>
                <w:sz w:val="20"/>
                <w:szCs w:val="20"/>
              </w:rPr>
              <w:t>节</w:t>
            </w:r>
          </w:p>
        </w:tc>
        <w:tc>
          <w:tcPr>
            <w:tcW w:w="686" w:type="dxa"/>
            <w:vAlign w:val="center"/>
          </w:tcPr>
          <w:p w:rsidR="00CF1222" w:rsidRPr="00FE09E8" w:rsidRDefault="00CF1222" w:rsidP="00CF1222">
            <w:pPr>
              <w:jc w:val="center"/>
              <w:rPr>
                <w:rFonts w:ascii="Times New Roman" w:hAnsi="Times New Roman"/>
                <w:b/>
                <w:kern w:val="0"/>
                <w:sz w:val="20"/>
                <w:szCs w:val="20"/>
              </w:rPr>
            </w:pPr>
            <w:r w:rsidRPr="00FE09E8">
              <w:rPr>
                <w:rFonts w:ascii="Times New Roman" w:hAnsi="Times New Roman" w:hint="eastAsia"/>
                <w:b/>
                <w:kern w:val="0"/>
                <w:sz w:val="20"/>
                <w:szCs w:val="20"/>
              </w:rPr>
              <w:t>参考学时</w:t>
            </w:r>
          </w:p>
        </w:tc>
        <w:tc>
          <w:tcPr>
            <w:tcW w:w="3100" w:type="dxa"/>
            <w:vAlign w:val="center"/>
          </w:tcPr>
          <w:p w:rsidR="00CF1222" w:rsidRPr="00FE09E8" w:rsidRDefault="00CF1222" w:rsidP="00CF1222">
            <w:pPr>
              <w:jc w:val="center"/>
              <w:rPr>
                <w:rFonts w:ascii="Times New Roman" w:hAnsi="Times New Roman"/>
                <w:b/>
                <w:kern w:val="0"/>
                <w:sz w:val="20"/>
                <w:szCs w:val="20"/>
              </w:rPr>
            </w:pPr>
            <w:r w:rsidRPr="00FE09E8">
              <w:rPr>
                <w:rFonts w:ascii="Times New Roman" w:hAnsi="Times New Roman" w:hint="eastAsia"/>
                <w:b/>
                <w:kern w:val="0"/>
                <w:sz w:val="20"/>
                <w:szCs w:val="20"/>
              </w:rPr>
              <w:t>教学内容</w:t>
            </w:r>
          </w:p>
        </w:tc>
        <w:tc>
          <w:tcPr>
            <w:tcW w:w="2755" w:type="dxa"/>
            <w:vAlign w:val="center"/>
          </w:tcPr>
          <w:p w:rsidR="00CF1222" w:rsidRPr="00FE09E8" w:rsidRDefault="00CF1222" w:rsidP="00CF1222">
            <w:pPr>
              <w:jc w:val="center"/>
              <w:rPr>
                <w:rFonts w:ascii="Times New Roman" w:hAnsi="Times New Roman"/>
                <w:b/>
                <w:kern w:val="0"/>
                <w:sz w:val="20"/>
                <w:szCs w:val="20"/>
              </w:rPr>
            </w:pPr>
            <w:r w:rsidRPr="00FE09E8">
              <w:rPr>
                <w:rFonts w:ascii="Times New Roman" w:hAnsi="Times New Roman" w:hint="eastAsia"/>
                <w:b/>
                <w:kern w:val="0"/>
                <w:sz w:val="20"/>
                <w:szCs w:val="20"/>
              </w:rPr>
              <w:t>基本要求</w:t>
            </w:r>
          </w:p>
        </w:tc>
      </w:tr>
      <w:tr w:rsidR="00CF1222" w:rsidTr="00CF1222">
        <w:trPr>
          <w:trHeight w:val="428"/>
        </w:trPr>
        <w:tc>
          <w:tcPr>
            <w:tcW w:w="2614" w:type="dxa"/>
            <w:gridSpan w:val="2"/>
            <w:vAlign w:val="center"/>
          </w:tcPr>
          <w:p w:rsidR="00CF1222" w:rsidRDefault="00CF1222" w:rsidP="00CF1222">
            <w:pPr>
              <w:jc w:val="center"/>
              <w:rPr>
                <w:rFonts w:ascii="Times New Roman" w:hAnsi="Times New Roman"/>
                <w:kern w:val="0"/>
                <w:sz w:val="20"/>
                <w:szCs w:val="20"/>
              </w:rPr>
            </w:pPr>
            <w:r>
              <w:rPr>
                <w:rFonts w:ascii="Times New Roman" w:hAnsi="Times New Roman" w:hint="eastAsia"/>
                <w:b/>
                <w:bCs/>
                <w:kern w:val="0"/>
                <w:sz w:val="21"/>
                <w:szCs w:val="21"/>
              </w:rPr>
              <w:t>第一部分</w:t>
            </w:r>
            <w:r>
              <w:rPr>
                <w:rFonts w:ascii="Times New Roman" w:hAnsi="Times New Roman" w:hint="eastAsia"/>
                <w:b/>
                <w:bCs/>
                <w:kern w:val="0"/>
                <w:sz w:val="21"/>
                <w:szCs w:val="21"/>
              </w:rPr>
              <w:t xml:space="preserve"> </w:t>
            </w:r>
            <w:r>
              <w:rPr>
                <w:rFonts w:ascii="Times New Roman" w:hAnsi="Times New Roman" w:hint="eastAsia"/>
                <w:b/>
                <w:bCs/>
                <w:kern w:val="0"/>
                <w:sz w:val="21"/>
                <w:szCs w:val="21"/>
              </w:rPr>
              <w:t>土木工程概论</w:t>
            </w:r>
          </w:p>
        </w:tc>
        <w:tc>
          <w:tcPr>
            <w:tcW w:w="686"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10</w:t>
            </w:r>
          </w:p>
        </w:tc>
        <w:tc>
          <w:tcPr>
            <w:tcW w:w="3100" w:type="dxa"/>
            <w:vAlign w:val="center"/>
          </w:tcPr>
          <w:p w:rsidR="00CF1222" w:rsidRDefault="00CF1222" w:rsidP="00CF1222">
            <w:pPr>
              <w:jc w:val="left"/>
              <w:rPr>
                <w:rFonts w:ascii="Times New Roman" w:hAnsi="Times New Roman"/>
                <w:kern w:val="0"/>
                <w:sz w:val="20"/>
                <w:szCs w:val="20"/>
              </w:rPr>
            </w:pPr>
          </w:p>
        </w:tc>
        <w:tc>
          <w:tcPr>
            <w:tcW w:w="2755" w:type="dxa"/>
            <w:vAlign w:val="center"/>
          </w:tcPr>
          <w:p w:rsidR="00CF1222" w:rsidRDefault="00CF1222" w:rsidP="00CF1222">
            <w:pPr>
              <w:jc w:val="left"/>
              <w:rPr>
                <w:rFonts w:ascii="Times New Roman" w:hAnsi="Times New Roman"/>
                <w:kern w:val="0"/>
                <w:sz w:val="20"/>
                <w:szCs w:val="20"/>
              </w:rPr>
            </w:pPr>
          </w:p>
        </w:tc>
      </w:tr>
      <w:tr w:rsidR="00CF1222" w:rsidTr="00CF1222">
        <w:trPr>
          <w:trHeight w:val="818"/>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第一章专业培养目标和教学安排</w:t>
            </w:r>
          </w:p>
        </w:tc>
        <w:tc>
          <w:tcPr>
            <w:tcW w:w="686"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 xml:space="preserve">1.1 </w:t>
            </w:r>
            <w:r>
              <w:rPr>
                <w:rFonts w:ascii="Times New Roman" w:hAnsi="Times New Roman" w:hint="eastAsia"/>
                <w:kern w:val="0"/>
                <w:sz w:val="20"/>
                <w:szCs w:val="20"/>
              </w:rPr>
              <w:t>土木工程专业</w:t>
            </w: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 xml:space="preserve">1.2 </w:t>
            </w:r>
            <w:r>
              <w:rPr>
                <w:rFonts w:ascii="Times New Roman" w:hAnsi="Times New Roman" w:hint="eastAsia"/>
                <w:kern w:val="0"/>
                <w:sz w:val="20"/>
                <w:szCs w:val="20"/>
              </w:rPr>
              <w:t>专业培养目标</w:t>
            </w: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 xml:space="preserve">1.3 </w:t>
            </w:r>
            <w:r>
              <w:rPr>
                <w:rFonts w:ascii="Times New Roman" w:hAnsi="Times New Roman" w:hint="eastAsia"/>
                <w:kern w:val="0"/>
                <w:sz w:val="20"/>
                <w:szCs w:val="20"/>
              </w:rPr>
              <w:t>专业人才的素质要求</w:t>
            </w: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 xml:space="preserve">1.4 </w:t>
            </w:r>
            <w:r>
              <w:rPr>
                <w:rFonts w:ascii="Times New Roman" w:hAnsi="Times New Roman" w:hint="eastAsia"/>
                <w:kern w:val="0"/>
                <w:sz w:val="20"/>
                <w:szCs w:val="20"/>
              </w:rPr>
              <w:t>专业教学安排</w:t>
            </w:r>
          </w:p>
        </w:tc>
        <w:tc>
          <w:tcPr>
            <w:tcW w:w="2755"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了解土木工程专业培养目标，熟悉课程设置和教学安排，明确学习方法和原理。</w:t>
            </w:r>
          </w:p>
        </w:tc>
      </w:tr>
      <w:tr w:rsidR="00CF1222" w:rsidTr="00CF1222">
        <w:trPr>
          <w:trHeight w:val="555"/>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第二章</w:t>
            </w:r>
            <w:r>
              <w:rPr>
                <w:rFonts w:ascii="Times New Roman" w:hAnsi="Times New Roman" w:hint="eastAsia"/>
                <w:kern w:val="0"/>
                <w:sz w:val="20"/>
                <w:szCs w:val="20"/>
              </w:rPr>
              <w:t xml:space="preserve"> </w:t>
            </w:r>
            <w:r>
              <w:rPr>
                <w:rFonts w:ascii="Times New Roman" w:hAnsi="Times New Roman" w:hint="eastAsia"/>
                <w:kern w:val="0"/>
                <w:sz w:val="20"/>
                <w:szCs w:val="20"/>
              </w:rPr>
              <w:t>土木工程的发展简史及材料</w:t>
            </w:r>
          </w:p>
        </w:tc>
        <w:tc>
          <w:tcPr>
            <w:tcW w:w="686"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2.1</w:t>
            </w:r>
            <w:r>
              <w:rPr>
                <w:rFonts w:ascii="Times New Roman" w:hAnsi="Times New Roman" w:hint="eastAsia"/>
                <w:kern w:val="0"/>
                <w:sz w:val="20"/>
                <w:szCs w:val="20"/>
              </w:rPr>
              <w:t>土木工程的发展简史</w:t>
            </w: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 xml:space="preserve">2.2 </w:t>
            </w:r>
            <w:r>
              <w:rPr>
                <w:rFonts w:ascii="Times New Roman" w:hAnsi="Times New Roman" w:hint="eastAsia"/>
                <w:kern w:val="0"/>
                <w:sz w:val="20"/>
                <w:szCs w:val="20"/>
              </w:rPr>
              <w:t>土木工程材料</w:t>
            </w:r>
          </w:p>
        </w:tc>
        <w:tc>
          <w:tcPr>
            <w:tcW w:w="2755"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了解古代、近代、现代、未来土木工程的发展；了解土木工程材料分类；熟悉钢筋、混凝土、木材、砌体材料的特性；了解土木工程材料的未来发展。</w:t>
            </w:r>
          </w:p>
        </w:tc>
      </w:tr>
      <w:tr w:rsidR="00CF1222" w:rsidTr="00CF1222">
        <w:trPr>
          <w:trHeight w:val="548"/>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第三章</w:t>
            </w:r>
            <w:r>
              <w:rPr>
                <w:rFonts w:ascii="Times New Roman" w:hAnsi="Times New Roman" w:hint="eastAsia"/>
                <w:kern w:val="0"/>
                <w:sz w:val="20"/>
                <w:szCs w:val="20"/>
              </w:rPr>
              <w:t xml:space="preserve"> </w:t>
            </w:r>
            <w:r>
              <w:rPr>
                <w:rFonts w:ascii="Times New Roman" w:hAnsi="Times New Roman" w:hint="eastAsia"/>
                <w:kern w:val="0"/>
                <w:sz w:val="20"/>
                <w:szCs w:val="20"/>
              </w:rPr>
              <w:t>土木工程的力学和结构概念</w:t>
            </w:r>
          </w:p>
        </w:tc>
        <w:tc>
          <w:tcPr>
            <w:tcW w:w="686"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 xml:space="preserve">3.1 </w:t>
            </w:r>
            <w:r>
              <w:rPr>
                <w:rFonts w:ascii="Times New Roman" w:hAnsi="Times New Roman" w:hint="eastAsia"/>
                <w:kern w:val="0"/>
                <w:sz w:val="20"/>
                <w:szCs w:val="20"/>
              </w:rPr>
              <w:t>力、力矩和平衡</w:t>
            </w: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 xml:space="preserve">3.2 </w:t>
            </w:r>
            <w:r>
              <w:rPr>
                <w:rFonts w:ascii="Times New Roman" w:hAnsi="Times New Roman" w:hint="eastAsia"/>
                <w:kern w:val="0"/>
                <w:sz w:val="20"/>
                <w:szCs w:val="20"/>
              </w:rPr>
              <w:t>外力、内力和反力</w:t>
            </w: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 xml:space="preserve">3.3 </w:t>
            </w:r>
            <w:r>
              <w:rPr>
                <w:rFonts w:ascii="Times New Roman" w:hAnsi="Times New Roman" w:hint="eastAsia"/>
                <w:kern w:val="0"/>
                <w:sz w:val="20"/>
                <w:szCs w:val="20"/>
              </w:rPr>
              <w:t>荷载和作用</w:t>
            </w: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 xml:space="preserve">3.4 </w:t>
            </w:r>
            <w:r>
              <w:rPr>
                <w:rFonts w:ascii="Times New Roman" w:hAnsi="Times New Roman" w:hint="eastAsia"/>
                <w:kern w:val="0"/>
                <w:sz w:val="20"/>
                <w:szCs w:val="20"/>
              </w:rPr>
              <w:t>结构和结构失效</w:t>
            </w: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 xml:space="preserve">3.5 </w:t>
            </w:r>
            <w:r>
              <w:rPr>
                <w:rFonts w:ascii="Times New Roman" w:hAnsi="Times New Roman" w:hint="eastAsia"/>
                <w:kern w:val="0"/>
                <w:sz w:val="20"/>
                <w:szCs w:val="20"/>
              </w:rPr>
              <w:t>对土木工程结构的要求</w:t>
            </w:r>
          </w:p>
        </w:tc>
        <w:tc>
          <w:tcPr>
            <w:tcW w:w="2755"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初步建立土木工程力学概念；熟悉荷载和作用的类型和作用方式；掌握结构构件类型和力学特点；了解结构和结构失效的概念。</w:t>
            </w:r>
          </w:p>
        </w:tc>
      </w:tr>
      <w:tr w:rsidR="00CF1222" w:rsidTr="00CF1222">
        <w:trPr>
          <w:trHeight w:val="1052"/>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lastRenderedPageBreak/>
              <w:t>4</w:t>
            </w:r>
          </w:p>
        </w:tc>
        <w:tc>
          <w:tcPr>
            <w:tcW w:w="2102"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第四章</w:t>
            </w:r>
            <w:r>
              <w:rPr>
                <w:rFonts w:ascii="Times New Roman" w:hAnsi="Times New Roman" w:hint="eastAsia"/>
                <w:kern w:val="0"/>
                <w:sz w:val="20"/>
                <w:szCs w:val="20"/>
              </w:rPr>
              <w:t xml:space="preserve"> </w:t>
            </w:r>
            <w:r>
              <w:rPr>
                <w:rFonts w:ascii="Times New Roman" w:hAnsi="Times New Roman" w:hint="eastAsia"/>
                <w:kern w:val="0"/>
                <w:sz w:val="20"/>
                <w:szCs w:val="20"/>
              </w:rPr>
              <w:t>建筑、地下、桥梁工程概述</w:t>
            </w:r>
          </w:p>
        </w:tc>
        <w:tc>
          <w:tcPr>
            <w:tcW w:w="686"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4.1</w:t>
            </w:r>
            <w:r>
              <w:rPr>
                <w:rFonts w:ascii="Times New Roman" w:hAnsi="Times New Roman" w:hint="eastAsia"/>
                <w:kern w:val="0"/>
                <w:sz w:val="20"/>
                <w:szCs w:val="20"/>
              </w:rPr>
              <w:t>建筑工程概述</w:t>
            </w: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4.2</w:t>
            </w:r>
            <w:r>
              <w:rPr>
                <w:rFonts w:ascii="Times New Roman" w:hAnsi="Times New Roman" w:hint="eastAsia"/>
                <w:kern w:val="0"/>
                <w:sz w:val="20"/>
                <w:szCs w:val="20"/>
              </w:rPr>
              <w:t>地下工程概述</w:t>
            </w: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4.3</w:t>
            </w:r>
            <w:r>
              <w:rPr>
                <w:rFonts w:ascii="Times New Roman" w:hAnsi="Times New Roman" w:hint="eastAsia"/>
                <w:kern w:val="0"/>
                <w:sz w:val="20"/>
                <w:szCs w:val="20"/>
              </w:rPr>
              <w:t>桥梁工程概述</w:t>
            </w:r>
          </w:p>
        </w:tc>
        <w:tc>
          <w:tcPr>
            <w:tcW w:w="2755"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了解建筑工程概况，掌握建筑物类别及结构特点；了解地下工程概况，掌握地下工程结构组成；掌握桥梁基本组成，了解桥梁概况及发展趋势。</w:t>
            </w:r>
          </w:p>
        </w:tc>
      </w:tr>
      <w:tr w:rsidR="00CF1222" w:rsidTr="00CF1222">
        <w:trPr>
          <w:trHeight w:val="1052"/>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5</w:t>
            </w:r>
          </w:p>
        </w:tc>
        <w:tc>
          <w:tcPr>
            <w:tcW w:w="2102"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第五章</w:t>
            </w:r>
            <w:r>
              <w:rPr>
                <w:rFonts w:ascii="Times New Roman" w:hAnsi="Times New Roman" w:hint="eastAsia"/>
                <w:kern w:val="0"/>
                <w:sz w:val="20"/>
                <w:szCs w:val="20"/>
              </w:rPr>
              <w:t xml:space="preserve"> </w:t>
            </w:r>
            <w:r>
              <w:rPr>
                <w:rFonts w:ascii="Times New Roman" w:hAnsi="Times New Roman" w:hint="eastAsia"/>
                <w:kern w:val="0"/>
                <w:sz w:val="20"/>
                <w:szCs w:val="20"/>
              </w:rPr>
              <w:t>土木工程的建设及灾害</w:t>
            </w:r>
          </w:p>
        </w:tc>
        <w:tc>
          <w:tcPr>
            <w:tcW w:w="686"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 xml:space="preserve">5.1  </w:t>
            </w:r>
            <w:r>
              <w:rPr>
                <w:rFonts w:ascii="Times New Roman" w:hAnsi="Times New Roman" w:hint="eastAsia"/>
                <w:kern w:val="0"/>
                <w:sz w:val="20"/>
                <w:szCs w:val="20"/>
              </w:rPr>
              <w:t>土木工程的建设</w:t>
            </w: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 xml:space="preserve">5.2  </w:t>
            </w:r>
            <w:r>
              <w:rPr>
                <w:rFonts w:ascii="Times New Roman" w:hAnsi="Times New Roman" w:hint="eastAsia"/>
                <w:kern w:val="0"/>
                <w:sz w:val="20"/>
                <w:szCs w:val="20"/>
              </w:rPr>
              <w:t>土木工程的灾害</w:t>
            </w:r>
          </w:p>
        </w:tc>
        <w:tc>
          <w:tcPr>
            <w:tcW w:w="2755"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了解建筑工程建设程序、施工方法、经营管理制度及建设法规；了解土木工程可能发生的灾害及其基本情况。</w:t>
            </w:r>
          </w:p>
        </w:tc>
      </w:tr>
      <w:tr w:rsidR="00CF1222" w:rsidTr="00CF1222">
        <w:trPr>
          <w:trHeight w:val="548"/>
        </w:trPr>
        <w:tc>
          <w:tcPr>
            <w:tcW w:w="2614" w:type="dxa"/>
            <w:gridSpan w:val="2"/>
            <w:vAlign w:val="center"/>
          </w:tcPr>
          <w:p w:rsidR="00CF1222" w:rsidRDefault="00CF1222" w:rsidP="00CF1222">
            <w:pPr>
              <w:jc w:val="center"/>
              <w:rPr>
                <w:rFonts w:ascii="Times New Roman" w:hAnsi="Times New Roman"/>
                <w:b/>
                <w:bCs/>
                <w:kern w:val="0"/>
                <w:sz w:val="21"/>
                <w:szCs w:val="21"/>
              </w:rPr>
            </w:pPr>
            <w:r>
              <w:rPr>
                <w:rFonts w:ascii="Times New Roman" w:hAnsi="Times New Roman" w:hint="eastAsia"/>
                <w:b/>
                <w:bCs/>
                <w:kern w:val="0"/>
                <w:sz w:val="21"/>
                <w:szCs w:val="21"/>
              </w:rPr>
              <w:t>第二部分</w:t>
            </w:r>
            <w:r>
              <w:rPr>
                <w:rFonts w:ascii="Times New Roman" w:hAnsi="Times New Roman" w:hint="eastAsia"/>
                <w:b/>
                <w:bCs/>
                <w:kern w:val="0"/>
                <w:sz w:val="21"/>
                <w:szCs w:val="21"/>
              </w:rPr>
              <w:t xml:space="preserve"> </w:t>
            </w:r>
            <w:r>
              <w:rPr>
                <w:rFonts w:ascii="Times New Roman" w:hAnsi="Times New Roman" w:hint="eastAsia"/>
                <w:b/>
                <w:bCs/>
                <w:kern w:val="0"/>
                <w:sz w:val="21"/>
                <w:szCs w:val="21"/>
              </w:rPr>
              <w:t>工程造价概论</w:t>
            </w:r>
          </w:p>
        </w:tc>
        <w:tc>
          <w:tcPr>
            <w:tcW w:w="686"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6</w:t>
            </w:r>
          </w:p>
        </w:tc>
        <w:tc>
          <w:tcPr>
            <w:tcW w:w="3100" w:type="dxa"/>
            <w:vAlign w:val="center"/>
          </w:tcPr>
          <w:p w:rsidR="00CF1222" w:rsidRDefault="00CF1222" w:rsidP="00CF1222">
            <w:pPr>
              <w:jc w:val="left"/>
              <w:rPr>
                <w:rFonts w:ascii="Times New Roman" w:hAnsi="Times New Roman"/>
                <w:kern w:val="0"/>
                <w:sz w:val="20"/>
                <w:szCs w:val="20"/>
              </w:rPr>
            </w:pPr>
          </w:p>
        </w:tc>
        <w:tc>
          <w:tcPr>
            <w:tcW w:w="2755" w:type="dxa"/>
            <w:vAlign w:val="center"/>
          </w:tcPr>
          <w:p w:rsidR="00CF1222" w:rsidRDefault="00CF1222" w:rsidP="00CF1222">
            <w:pPr>
              <w:jc w:val="left"/>
              <w:rPr>
                <w:rFonts w:ascii="Times New Roman" w:hAnsi="Times New Roman"/>
                <w:kern w:val="0"/>
                <w:sz w:val="20"/>
                <w:szCs w:val="20"/>
              </w:rPr>
            </w:pPr>
          </w:p>
        </w:tc>
      </w:tr>
      <w:tr w:rsidR="00CF1222" w:rsidTr="00CF1222">
        <w:trPr>
          <w:trHeight w:val="548"/>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第一章、工程与工程造价的关系</w:t>
            </w:r>
          </w:p>
        </w:tc>
        <w:tc>
          <w:tcPr>
            <w:tcW w:w="686"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rPr>
                <w:rFonts w:ascii="Times New Roman" w:hAnsi="Times New Roman"/>
                <w:kern w:val="0"/>
                <w:sz w:val="20"/>
                <w:szCs w:val="20"/>
              </w:rPr>
            </w:pPr>
            <w:r>
              <w:rPr>
                <w:rFonts w:ascii="Times New Roman" w:hAnsi="Times New Roman"/>
                <w:kern w:val="0"/>
                <w:sz w:val="20"/>
                <w:szCs w:val="20"/>
              </w:rPr>
              <w:t>1.1</w:t>
            </w:r>
            <w:r>
              <w:rPr>
                <w:rFonts w:ascii="Times New Roman" w:hAnsi="Times New Roman" w:hint="eastAsia"/>
                <w:kern w:val="0"/>
                <w:sz w:val="20"/>
                <w:szCs w:val="20"/>
              </w:rPr>
              <w:t>工程</w:t>
            </w:r>
            <w:r>
              <w:rPr>
                <w:rFonts w:ascii="Times New Roman" w:hAnsi="Times New Roman"/>
                <w:kern w:val="0"/>
                <w:sz w:val="20"/>
                <w:szCs w:val="20"/>
              </w:rPr>
              <w:t>与工程建设</w:t>
            </w:r>
            <w:r>
              <w:rPr>
                <w:rFonts w:ascii="Times New Roman" w:hAnsi="Times New Roman" w:hint="eastAsia"/>
                <w:kern w:val="0"/>
                <w:sz w:val="20"/>
                <w:szCs w:val="20"/>
              </w:rPr>
              <w:t xml:space="preserve"> </w:t>
            </w:r>
          </w:p>
          <w:p w:rsidR="00CF1222" w:rsidRDefault="00CF1222" w:rsidP="00CF1222">
            <w:pPr>
              <w:rPr>
                <w:rFonts w:ascii="Times New Roman" w:hAnsi="Times New Roman"/>
                <w:kern w:val="0"/>
                <w:sz w:val="20"/>
                <w:szCs w:val="20"/>
              </w:rPr>
            </w:pPr>
            <w:r>
              <w:rPr>
                <w:rFonts w:ascii="Times New Roman" w:hAnsi="Times New Roman"/>
                <w:kern w:val="0"/>
                <w:sz w:val="20"/>
                <w:szCs w:val="20"/>
              </w:rPr>
              <w:t>1.2</w:t>
            </w:r>
            <w:r>
              <w:rPr>
                <w:rFonts w:ascii="Times New Roman" w:hAnsi="Times New Roman"/>
                <w:kern w:val="0"/>
                <w:sz w:val="20"/>
                <w:szCs w:val="20"/>
              </w:rPr>
              <w:t>土木工程与工程造价</w:t>
            </w:r>
          </w:p>
          <w:p w:rsidR="00CF1222" w:rsidRDefault="00CF1222" w:rsidP="00CF1222">
            <w:pPr>
              <w:rPr>
                <w:rFonts w:ascii="Times New Roman" w:hAnsi="Times New Roman"/>
                <w:kern w:val="0"/>
                <w:sz w:val="20"/>
                <w:szCs w:val="20"/>
              </w:rPr>
            </w:pPr>
            <w:r>
              <w:rPr>
                <w:rFonts w:ascii="Times New Roman" w:hAnsi="Times New Roman"/>
                <w:kern w:val="0"/>
                <w:sz w:val="20"/>
                <w:szCs w:val="20"/>
              </w:rPr>
              <w:t>1.3</w:t>
            </w:r>
            <w:r>
              <w:rPr>
                <w:rFonts w:ascii="Times New Roman" w:hAnsi="Times New Roman"/>
                <w:kern w:val="0"/>
                <w:sz w:val="20"/>
                <w:szCs w:val="20"/>
              </w:rPr>
              <w:t>工程造价与工程管理</w:t>
            </w:r>
          </w:p>
        </w:tc>
        <w:tc>
          <w:tcPr>
            <w:tcW w:w="2755"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掌握本专业的内涵、发展历程以及在社会经济发展中的应用。</w:t>
            </w:r>
          </w:p>
        </w:tc>
      </w:tr>
      <w:tr w:rsidR="00CF1222" w:rsidTr="00CF1222">
        <w:trPr>
          <w:trHeight w:val="548"/>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第二章、工程造价的全过程性</w:t>
            </w:r>
          </w:p>
        </w:tc>
        <w:tc>
          <w:tcPr>
            <w:tcW w:w="686" w:type="dxa"/>
          </w:tcPr>
          <w:p w:rsidR="00CF1222" w:rsidRDefault="00CF1222" w:rsidP="00CF1222">
            <w:pPr>
              <w:ind w:firstLineChars="100" w:firstLine="200"/>
              <w:rPr>
                <w:rFonts w:ascii="Times New Roman" w:hAnsi="Times New Roman"/>
                <w:kern w:val="0"/>
                <w:sz w:val="20"/>
                <w:szCs w:val="20"/>
              </w:rPr>
            </w:pPr>
            <w:r>
              <w:rPr>
                <w:rFonts w:ascii="Times New Roman" w:hAnsi="Times New Roman" w:hint="eastAsia"/>
                <w:kern w:val="0"/>
                <w:sz w:val="20"/>
                <w:szCs w:val="20"/>
              </w:rPr>
              <w:t>2</w:t>
            </w:r>
          </w:p>
        </w:tc>
        <w:tc>
          <w:tcPr>
            <w:tcW w:w="3100" w:type="dxa"/>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kern w:val="0"/>
                <w:sz w:val="20"/>
                <w:szCs w:val="20"/>
              </w:rPr>
              <w:t>.</w:t>
            </w:r>
            <w:r>
              <w:rPr>
                <w:rFonts w:ascii="Times New Roman" w:hAnsi="Times New Roman" w:hint="eastAsia"/>
                <w:kern w:val="0"/>
                <w:sz w:val="20"/>
                <w:szCs w:val="20"/>
              </w:rPr>
              <w:t>1</w:t>
            </w:r>
            <w:r>
              <w:rPr>
                <w:rFonts w:ascii="Times New Roman" w:hAnsi="Times New Roman" w:hint="eastAsia"/>
                <w:kern w:val="0"/>
                <w:sz w:val="20"/>
                <w:szCs w:val="20"/>
              </w:rPr>
              <w:t>工程</w:t>
            </w:r>
            <w:r>
              <w:rPr>
                <w:rFonts w:ascii="Times New Roman" w:hAnsi="Times New Roman"/>
                <w:kern w:val="0"/>
                <w:sz w:val="20"/>
                <w:szCs w:val="20"/>
              </w:rPr>
              <w:t>造价</w:t>
            </w:r>
            <w:r>
              <w:rPr>
                <w:rFonts w:ascii="Times New Roman" w:hAnsi="Times New Roman" w:hint="eastAsia"/>
                <w:kern w:val="0"/>
                <w:sz w:val="20"/>
                <w:szCs w:val="20"/>
              </w:rPr>
              <w:t>的</w:t>
            </w:r>
            <w:r>
              <w:rPr>
                <w:rFonts w:ascii="Times New Roman" w:hAnsi="Times New Roman"/>
                <w:kern w:val="0"/>
                <w:sz w:val="20"/>
                <w:szCs w:val="20"/>
              </w:rPr>
              <w:t>全过程管理</w:t>
            </w:r>
            <w:r>
              <w:rPr>
                <w:rFonts w:ascii="Times New Roman" w:hAnsi="Times New Roman" w:hint="eastAsia"/>
                <w:kern w:val="0"/>
                <w:sz w:val="20"/>
                <w:szCs w:val="20"/>
              </w:rPr>
              <w:t>体系</w:t>
            </w:r>
            <w:r>
              <w:rPr>
                <w:rFonts w:ascii="Times New Roman" w:hAnsi="Times New Roman" w:hint="eastAsia"/>
                <w:kern w:val="0"/>
                <w:sz w:val="20"/>
                <w:szCs w:val="20"/>
              </w:rPr>
              <w:t xml:space="preserve"> </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kern w:val="0"/>
                <w:sz w:val="20"/>
                <w:szCs w:val="20"/>
              </w:rPr>
              <w:t>.</w:t>
            </w:r>
            <w:r>
              <w:rPr>
                <w:rFonts w:ascii="Times New Roman" w:hAnsi="Times New Roman" w:hint="eastAsia"/>
                <w:kern w:val="0"/>
                <w:sz w:val="20"/>
                <w:szCs w:val="20"/>
              </w:rPr>
              <w:t>2</w:t>
            </w:r>
            <w:r>
              <w:rPr>
                <w:rFonts w:ascii="Times New Roman" w:hAnsi="Times New Roman" w:hint="eastAsia"/>
                <w:kern w:val="0"/>
                <w:sz w:val="20"/>
                <w:szCs w:val="20"/>
              </w:rPr>
              <w:t>工程</w:t>
            </w:r>
            <w:r>
              <w:rPr>
                <w:rFonts w:ascii="Times New Roman" w:hAnsi="Times New Roman"/>
                <w:kern w:val="0"/>
                <w:sz w:val="20"/>
                <w:szCs w:val="20"/>
              </w:rPr>
              <w:t>造价的专业培养</w:t>
            </w:r>
            <w:r>
              <w:rPr>
                <w:rFonts w:ascii="Times New Roman" w:hAnsi="Times New Roman" w:hint="eastAsia"/>
                <w:kern w:val="0"/>
                <w:sz w:val="20"/>
                <w:szCs w:val="20"/>
              </w:rPr>
              <w:t>目标</w:t>
            </w:r>
            <w:r>
              <w:rPr>
                <w:rFonts w:ascii="Times New Roman" w:hAnsi="Times New Roman" w:hint="eastAsia"/>
                <w:kern w:val="0"/>
                <w:sz w:val="20"/>
                <w:szCs w:val="20"/>
              </w:rPr>
              <w:t xml:space="preserve"> </w:t>
            </w:r>
          </w:p>
        </w:tc>
        <w:tc>
          <w:tcPr>
            <w:tcW w:w="2755" w:type="dxa"/>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掌握本专业的基本科学概念。</w:t>
            </w:r>
          </w:p>
        </w:tc>
      </w:tr>
      <w:tr w:rsidR="00CF1222" w:rsidTr="00CF1222">
        <w:trPr>
          <w:trHeight w:val="548"/>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第三章、培养体系与执业</w:t>
            </w:r>
          </w:p>
        </w:tc>
        <w:tc>
          <w:tcPr>
            <w:tcW w:w="686"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3.1</w:t>
            </w:r>
            <w:r>
              <w:rPr>
                <w:rFonts w:ascii="Times New Roman" w:hAnsi="Times New Roman" w:hint="eastAsia"/>
                <w:kern w:val="0"/>
                <w:sz w:val="20"/>
                <w:szCs w:val="20"/>
              </w:rPr>
              <w:t>工程</w:t>
            </w:r>
            <w:r>
              <w:rPr>
                <w:rFonts w:ascii="Times New Roman" w:hAnsi="Times New Roman"/>
                <w:kern w:val="0"/>
                <w:sz w:val="20"/>
                <w:szCs w:val="20"/>
              </w:rPr>
              <w:t>造价专业人才培养课程</w:t>
            </w:r>
            <w:r>
              <w:rPr>
                <w:rFonts w:ascii="Times New Roman" w:hAnsi="Times New Roman" w:hint="eastAsia"/>
                <w:kern w:val="0"/>
                <w:sz w:val="20"/>
                <w:szCs w:val="20"/>
              </w:rPr>
              <w:t>体系</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3.2</w:t>
            </w:r>
            <w:r>
              <w:rPr>
                <w:rFonts w:ascii="Times New Roman" w:hAnsi="Times New Roman" w:hint="eastAsia"/>
                <w:kern w:val="0"/>
                <w:sz w:val="20"/>
                <w:szCs w:val="20"/>
              </w:rPr>
              <w:t>工程</w:t>
            </w:r>
            <w:r>
              <w:rPr>
                <w:rFonts w:ascii="Times New Roman" w:hAnsi="Times New Roman"/>
                <w:kern w:val="0"/>
                <w:sz w:val="20"/>
                <w:szCs w:val="20"/>
              </w:rPr>
              <w:t>造价</w:t>
            </w:r>
            <w:r>
              <w:rPr>
                <w:rFonts w:ascii="Times New Roman" w:hAnsi="Times New Roman" w:hint="eastAsia"/>
                <w:kern w:val="0"/>
                <w:sz w:val="20"/>
                <w:szCs w:val="20"/>
              </w:rPr>
              <w:t>专业</w:t>
            </w:r>
            <w:r>
              <w:rPr>
                <w:rFonts w:ascii="Times New Roman" w:hAnsi="Times New Roman"/>
                <w:kern w:val="0"/>
                <w:sz w:val="20"/>
                <w:szCs w:val="20"/>
              </w:rPr>
              <w:t>人士制度及人才需求</w:t>
            </w:r>
            <w:r>
              <w:rPr>
                <w:rFonts w:ascii="Times New Roman" w:hAnsi="Times New Roman"/>
                <w:kern w:val="0"/>
                <w:sz w:val="20"/>
                <w:szCs w:val="20"/>
              </w:rPr>
              <w:t xml:space="preserve"> </w:t>
            </w:r>
          </w:p>
        </w:tc>
        <w:tc>
          <w:tcPr>
            <w:tcW w:w="2755"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掌握本专业知识体系与课程体系；工程造价</w:t>
            </w:r>
            <w:r>
              <w:rPr>
                <w:rFonts w:ascii="Times New Roman" w:hAnsi="Times New Roman"/>
                <w:kern w:val="0"/>
                <w:sz w:val="20"/>
                <w:szCs w:val="20"/>
              </w:rPr>
              <w:t>专业执业人士的</w:t>
            </w:r>
            <w:r>
              <w:rPr>
                <w:rFonts w:ascii="Times New Roman" w:hAnsi="Times New Roman" w:hint="eastAsia"/>
                <w:kern w:val="0"/>
                <w:sz w:val="20"/>
                <w:szCs w:val="20"/>
              </w:rPr>
              <w:t>执业范围与执业制度</w:t>
            </w:r>
          </w:p>
        </w:tc>
      </w:tr>
      <w:tr w:rsidR="00CF1222" w:rsidTr="00CF1222">
        <w:trPr>
          <w:trHeight w:val="548"/>
        </w:trPr>
        <w:tc>
          <w:tcPr>
            <w:tcW w:w="2614" w:type="dxa"/>
            <w:gridSpan w:val="2"/>
            <w:vAlign w:val="center"/>
          </w:tcPr>
          <w:p w:rsidR="00CF1222" w:rsidRDefault="00CF1222" w:rsidP="00CF1222">
            <w:pPr>
              <w:jc w:val="center"/>
              <w:rPr>
                <w:rFonts w:ascii="Times New Roman" w:hAnsi="Times New Roman"/>
                <w:kern w:val="0"/>
                <w:sz w:val="20"/>
                <w:szCs w:val="20"/>
              </w:rPr>
            </w:pPr>
            <w:r>
              <w:rPr>
                <w:rFonts w:ascii="Times New Roman" w:hAnsi="Times New Roman" w:hint="eastAsia"/>
                <w:b/>
                <w:bCs/>
                <w:kern w:val="0"/>
                <w:sz w:val="20"/>
                <w:szCs w:val="20"/>
              </w:rPr>
              <w:t>第三部分</w:t>
            </w:r>
            <w:r>
              <w:rPr>
                <w:rFonts w:ascii="Times New Roman" w:hAnsi="Times New Roman" w:hint="eastAsia"/>
                <w:b/>
                <w:bCs/>
                <w:kern w:val="0"/>
                <w:sz w:val="20"/>
                <w:szCs w:val="20"/>
              </w:rPr>
              <w:t xml:space="preserve"> </w:t>
            </w:r>
            <w:r>
              <w:rPr>
                <w:rFonts w:ascii="Times New Roman" w:hAnsi="Times New Roman" w:hint="eastAsia"/>
                <w:b/>
                <w:bCs/>
                <w:kern w:val="0"/>
                <w:sz w:val="20"/>
                <w:szCs w:val="20"/>
              </w:rPr>
              <w:t>给排水科学与工程概论</w:t>
            </w:r>
          </w:p>
        </w:tc>
        <w:tc>
          <w:tcPr>
            <w:tcW w:w="686"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8</w:t>
            </w:r>
          </w:p>
        </w:tc>
        <w:tc>
          <w:tcPr>
            <w:tcW w:w="3100" w:type="dxa"/>
            <w:vAlign w:val="center"/>
          </w:tcPr>
          <w:p w:rsidR="00CF1222" w:rsidRDefault="00CF1222" w:rsidP="00CF1222">
            <w:pPr>
              <w:jc w:val="left"/>
              <w:rPr>
                <w:rFonts w:ascii="Times New Roman" w:hAnsi="Times New Roman"/>
                <w:kern w:val="0"/>
                <w:sz w:val="20"/>
                <w:szCs w:val="20"/>
              </w:rPr>
            </w:pPr>
          </w:p>
        </w:tc>
        <w:tc>
          <w:tcPr>
            <w:tcW w:w="2755" w:type="dxa"/>
            <w:vAlign w:val="center"/>
          </w:tcPr>
          <w:p w:rsidR="00CF1222" w:rsidRDefault="00CF1222" w:rsidP="00CF1222">
            <w:pPr>
              <w:jc w:val="left"/>
              <w:rPr>
                <w:rFonts w:ascii="Times New Roman" w:hAnsi="Times New Roman"/>
                <w:kern w:val="0"/>
                <w:sz w:val="20"/>
                <w:szCs w:val="20"/>
              </w:rPr>
            </w:pPr>
          </w:p>
        </w:tc>
      </w:tr>
      <w:tr w:rsidR="00CF1222" w:rsidTr="00CF1222">
        <w:trPr>
          <w:trHeight w:val="548"/>
        </w:trPr>
        <w:tc>
          <w:tcPr>
            <w:tcW w:w="512" w:type="dxa"/>
            <w:vAlign w:val="center"/>
          </w:tcPr>
          <w:p w:rsidR="00CF1222" w:rsidRDefault="00CF1222" w:rsidP="00CF1222">
            <w:r>
              <w:rPr>
                <w:rFonts w:ascii="Times New Roman" w:hAnsi="Times New Roman"/>
                <w:kern w:val="0"/>
                <w:sz w:val="20"/>
                <w:szCs w:val="20"/>
              </w:rPr>
              <w:fldChar w:fldCharType="begin"/>
            </w:r>
            <w:r>
              <w:rPr>
                <w:rFonts w:ascii="Times New Roman" w:hAnsi="Times New Roman"/>
                <w:kern w:val="0"/>
                <w:sz w:val="20"/>
                <w:szCs w:val="20"/>
              </w:rPr>
              <w:instrText xml:space="preserve"> </w:instrText>
            </w:r>
            <w:r>
              <w:rPr>
                <w:rFonts w:ascii="Times New Roman" w:hAnsi="Times New Roman" w:hint="eastAsia"/>
                <w:kern w:val="0"/>
                <w:sz w:val="20"/>
                <w:szCs w:val="20"/>
              </w:rPr>
              <w:instrText>AUTONUM  \* Arabic</w:instrText>
            </w:r>
            <w:r>
              <w:rPr>
                <w:rFonts w:ascii="Times New Roman" w:hAnsi="Times New Roman"/>
                <w:kern w:val="0"/>
                <w:sz w:val="20"/>
                <w:szCs w:val="20"/>
              </w:rPr>
              <w:instrText xml:space="preserve"> </w:instrText>
            </w:r>
            <w:r>
              <w:rPr>
                <w:rFonts w:ascii="Times New Roman" w:hAnsi="Times New Roman"/>
                <w:kern w:val="0"/>
                <w:sz w:val="20"/>
                <w:szCs w:val="20"/>
              </w:rPr>
              <w:fldChar w:fldCharType="end"/>
            </w:r>
          </w:p>
        </w:tc>
        <w:tc>
          <w:tcPr>
            <w:tcW w:w="2102"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第一章、专业概况、水资源利用与保护</w:t>
            </w:r>
          </w:p>
        </w:tc>
        <w:tc>
          <w:tcPr>
            <w:tcW w:w="686" w:type="dxa"/>
            <w:vAlign w:val="center"/>
          </w:tcPr>
          <w:p w:rsidR="00CF1222" w:rsidRDefault="00CF1222" w:rsidP="00CF1222">
            <w:pPr>
              <w:ind w:firstLineChars="100" w:firstLine="200"/>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rPr>
                <w:rFonts w:ascii="Times New Roman" w:hAnsi="Times New Roman"/>
                <w:kern w:val="0"/>
                <w:sz w:val="20"/>
                <w:szCs w:val="20"/>
              </w:rPr>
            </w:pPr>
            <w:r>
              <w:rPr>
                <w:rFonts w:ascii="Times New Roman" w:hAnsi="Times New Roman"/>
                <w:kern w:val="0"/>
                <w:sz w:val="20"/>
                <w:szCs w:val="20"/>
              </w:rPr>
              <w:t xml:space="preserve">1.1 </w:t>
            </w:r>
            <w:r>
              <w:rPr>
                <w:rFonts w:ascii="Times New Roman" w:hAnsi="Times New Roman" w:hint="eastAsia"/>
                <w:kern w:val="0"/>
                <w:sz w:val="20"/>
                <w:szCs w:val="20"/>
              </w:rPr>
              <w:t>专业发展历程</w:t>
            </w:r>
          </w:p>
          <w:p w:rsidR="00CF1222" w:rsidRDefault="00CF1222" w:rsidP="00CF1222">
            <w:pPr>
              <w:rPr>
                <w:rFonts w:ascii="Times New Roman" w:hAnsi="Times New Roman"/>
                <w:kern w:val="0"/>
                <w:sz w:val="20"/>
                <w:szCs w:val="20"/>
              </w:rPr>
            </w:pPr>
            <w:r>
              <w:rPr>
                <w:rFonts w:ascii="Times New Roman" w:hAnsi="Times New Roman"/>
                <w:kern w:val="0"/>
                <w:sz w:val="20"/>
                <w:szCs w:val="20"/>
              </w:rPr>
              <w:t>1.2</w:t>
            </w:r>
            <w:r>
              <w:rPr>
                <w:rFonts w:ascii="Times New Roman" w:hAnsi="Times New Roman" w:hint="eastAsia"/>
                <w:kern w:val="0"/>
                <w:sz w:val="20"/>
                <w:szCs w:val="20"/>
              </w:rPr>
              <w:t>水的自然循环和社会循环</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 xml:space="preserve">1.3 </w:t>
            </w:r>
            <w:r>
              <w:rPr>
                <w:rFonts w:ascii="Times New Roman" w:hAnsi="Times New Roman" w:hint="eastAsia"/>
                <w:kern w:val="0"/>
                <w:sz w:val="20"/>
                <w:szCs w:val="20"/>
              </w:rPr>
              <w:t>给水水源工程</w:t>
            </w:r>
          </w:p>
          <w:p w:rsidR="00CF1222" w:rsidRDefault="00CF1222" w:rsidP="00CF1222">
            <w:pPr>
              <w:snapToGrid w:val="0"/>
              <w:outlineLvl w:val="0"/>
              <w:rPr>
                <w:rFonts w:ascii="Times New Roman" w:hAnsi="Times New Roman"/>
                <w:kern w:val="0"/>
                <w:sz w:val="20"/>
                <w:szCs w:val="20"/>
              </w:rPr>
            </w:pPr>
            <w:r>
              <w:rPr>
                <w:rFonts w:ascii="Times New Roman" w:hAnsi="Times New Roman" w:hint="eastAsia"/>
                <w:kern w:val="0"/>
                <w:sz w:val="20"/>
                <w:szCs w:val="20"/>
              </w:rPr>
              <w:t xml:space="preserve">1.4 </w:t>
            </w:r>
            <w:r>
              <w:rPr>
                <w:rFonts w:ascii="Times New Roman" w:hAnsi="Times New Roman" w:hint="eastAsia"/>
                <w:kern w:val="0"/>
                <w:sz w:val="20"/>
                <w:szCs w:val="20"/>
              </w:rPr>
              <w:t>水资源保护与管理</w:t>
            </w:r>
          </w:p>
        </w:tc>
        <w:tc>
          <w:tcPr>
            <w:tcW w:w="2755"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掌握本专业的内涵、发展历程以及在社会经济发展中的应用。</w:t>
            </w:r>
          </w:p>
        </w:tc>
      </w:tr>
      <w:tr w:rsidR="00CF1222" w:rsidTr="00CF1222">
        <w:trPr>
          <w:trHeight w:val="548"/>
        </w:trPr>
        <w:tc>
          <w:tcPr>
            <w:tcW w:w="512"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第二章、给排水管网系统、水质工程</w:t>
            </w:r>
          </w:p>
        </w:tc>
        <w:tc>
          <w:tcPr>
            <w:tcW w:w="686" w:type="dxa"/>
            <w:vAlign w:val="center"/>
          </w:tcPr>
          <w:p w:rsidR="00CF1222" w:rsidRDefault="00CF1222" w:rsidP="00CF1222">
            <w:pPr>
              <w:ind w:firstLineChars="100" w:firstLine="200"/>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 xml:space="preserve">2.1 </w:t>
            </w:r>
            <w:r>
              <w:rPr>
                <w:rFonts w:ascii="Times New Roman" w:hAnsi="Times New Roman" w:hint="eastAsia"/>
                <w:kern w:val="0"/>
                <w:sz w:val="20"/>
                <w:szCs w:val="20"/>
              </w:rPr>
              <w:t>管网系统的构成</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 xml:space="preserve">2.2 </w:t>
            </w:r>
            <w:r>
              <w:rPr>
                <w:rFonts w:ascii="Times New Roman" w:hAnsi="Times New Roman" w:hint="eastAsia"/>
                <w:kern w:val="0"/>
                <w:sz w:val="20"/>
                <w:szCs w:val="20"/>
              </w:rPr>
              <w:t>管网系统规划与布置</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2.3</w:t>
            </w:r>
            <w:r>
              <w:rPr>
                <w:rFonts w:ascii="Times New Roman" w:hAnsi="Times New Roman"/>
                <w:kern w:val="0"/>
                <w:sz w:val="20"/>
                <w:szCs w:val="20"/>
              </w:rPr>
              <w:t xml:space="preserve"> </w:t>
            </w:r>
            <w:r>
              <w:rPr>
                <w:rFonts w:ascii="Times New Roman" w:hAnsi="Times New Roman" w:hint="eastAsia"/>
                <w:kern w:val="0"/>
                <w:sz w:val="20"/>
                <w:szCs w:val="20"/>
              </w:rPr>
              <w:t>水质指标与标准</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2.4</w:t>
            </w:r>
            <w:r>
              <w:rPr>
                <w:rFonts w:ascii="Times New Roman" w:hAnsi="Times New Roman"/>
                <w:kern w:val="0"/>
                <w:sz w:val="20"/>
                <w:szCs w:val="20"/>
              </w:rPr>
              <w:t xml:space="preserve"> </w:t>
            </w:r>
            <w:r>
              <w:rPr>
                <w:rFonts w:ascii="Times New Roman" w:hAnsi="Times New Roman" w:hint="eastAsia"/>
                <w:kern w:val="0"/>
                <w:sz w:val="20"/>
                <w:szCs w:val="20"/>
              </w:rPr>
              <w:t>水的处理方法</w:t>
            </w:r>
          </w:p>
        </w:tc>
        <w:tc>
          <w:tcPr>
            <w:tcW w:w="2755"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掌握城市给水、排水管网系统的构成</w:t>
            </w:r>
            <w:r>
              <w:rPr>
                <w:rFonts w:ascii="Times New Roman" w:hAnsi="Times New Roman"/>
                <w:kern w:val="0"/>
                <w:sz w:val="20"/>
                <w:szCs w:val="20"/>
              </w:rPr>
              <w:t>，</w:t>
            </w:r>
            <w:r>
              <w:rPr>
                <w:rFonts w:ascii="Times New Roman" w:hAnsi="Times New Roman" w:hint="eastAsia"/>
                <w:kern w:val="0"/>
                <w:sz w:val="20"/>
                <w:szCs w:val="20"/>
              </w:rPr>
              <w:t>了解管网系统规划与布置原则，了解常用</w:t>
            </w:r>
            <w:r>
              <w:rPr>
                <w:rFonts w:ascii="Times New Roman" w:hAnsi="Times New Roman"/>
                <w:kern w:val="0"/>
                <w:sz w:val="20"/>
                <w:szCs w:val="20"/>
              </w:rPr>
              <w:t>管材</w:t>
            </w:r>
            <w:r>
              <w:rPr>
                <w:rFonts w:ascii="Times New Roman" w:hAnsi="Times New Roman" w:hint="eastAsia"/>
                <w:kern w:val="0"/>
                <w:sz w:val="20"/>
                <w:szCs w:val="20"/>
              </w:rPr>
              <w:t>；了解水质指标与现行标准、水的处理方法与输送技术。</w:t>
            </w:r>
          </w:p>
        </w:tc>
      </w:tr>
      <w:tr w:rsidR="00CF1222" w:rsidTr="00CF1222">
        <w:trPr>
          <w:trHeight w:val="548"/>
        </w:trPr>
        <w:tc>
          <w:tcPr>
            <w:tcW w:w="512"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第三章、建筑给水排水工程、城市雨洪管理及海绵城市建设</w:t>
            </w:r>
          </w:p>
          <w:p w:rsidR="00CF1222" w:rsidRDefault="00CF1222" w:rsidP="00CF1222">
            <w:pPr>
              <w:rPr>
                <w:rFonts w:ascii="Times New Roman" w:hAnsi="Times New Roman"/>
                <w:kern w:val="0"/>
                <w:sz w:val="20"/>
                <w:szCs w:val="20"/>
              </w:rPr>
            </w:pPr>
          </w:p>
        </w:tc>
        <w:tc>
          <w:tcPr>
            <w:tcW w:w="686" w:type="dxa"/>
            <w:vAlign w:val="center"/>
          </w:tcPr>
          <w:p w:rsidR="00CF1222" w:rsidRDefault="00CF1222" w:rsidP="00CF1222">
            <w:pPr>
              <w:ind w:firstLineChars="100" w:firstLine="200"/>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 xml:space="preserve">3.1 </w:t>
            </w:r>
            <w:r>
              <w:rPr>
                <w:rFonts w:ascii="Times New Roman" w:hAnsi="Times New Roman" w:hint="eastAsia"/>
                <w:kern w:val="0"/>
                <w:sz w:val="20"/>
                <w:szCs w:val="20"/>
              </w:rPr>
              <w:t>建筑给水系统工程</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 xml:space="preserve">3.2 </w:t>
            </w:r>
            <w:r>
              <w:rPr>
                <w:rFonts w:ascii="Times New Roman" w:hAnsi="Times New Roman" w:hint="eastAsia"/>
                <w:kern w:val="0"/>
                <w:sz w:val="20"/>
                <w:szCs w:val="20"/>
              </w:rPr>
              <w:t>建筑排水系统工程</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 xml:space="preserve">3.3 </w:t>
            </w:r>
            <w:r>
              <w:rPr>
                <w:rFonts w:ascii="Times New Roman" w:hAnsi="Times New Roman" w:hint="eastAsia"/>
                <w:kern w:val="0"/>
                <w:sz w:val="20"/>
                <w:szCs w:val="20"/>
              </w:rPr>
              <w:t>建筑消防系统工程</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3.4</w:t>
            </w:r>
            <w:r>
              <w:rPr>
                <w:rFonts w:ascii="Times New Roman" w:hAnsi="Times New Roman"/>
                <w:kern w:val="0"/>
                <w:sz w:val="20"/>
                <w:szCs w:val="20"/>
              </w:rPr>
              <w:t xml:space="preserve"> </w:t>
            </w:r>
            <w:r>
              <w:rPr>
                <w:rFonts w:ascii="Times New Roman" w:hAnsi="Times New Roman" w:hint="eastAsia"/>
                <w:kern w:val="0"/>
                <w:sz w:val="20"/>
                <w:szCs w:val="20"/>
              </w:rPr>
              <w:t>城市雨洪管理及海绵城市建设</w:t>
            </w:r>
          </w:p>
        </w:tc>
        <w:tc>
          <w:tcPr>
            <w:tcW w:w="2755"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了解建筑给水系统的</w:t>
            </w:r>
            <w:r>
              <w:rPr>
                <w:rFonts w:ascii="Times New Roman" w:hAnsi="Times New Roman"/>
                <w:kern w:val="0"/>
                <w:sz w:val="20"/>
                <w:szCs w:val="20"/>
              </w:rPr>
              <w:t>组成</w:t>
            </w:r>
            <w:r>
              <w:rPr>
                <w:rFonts w:ascii="Times New Roman" w:hAnsi="Times New Roman" w:hint="eastAsia"/>
                <w:kern w:val="0"/>
                <w:sz w:val="20"/>
                <w:szCs w:val="20"/>
              </w:rPr>
              <w:t>及</w:t>
            </w:r>
            <w:r>
              <w:rPr>
                <w:rFonts w:ascii="Times New Roman" w:hAnsi="Times New Roman"/>
                <w:kern w:val="0"/>
                <w:sz w:val="20"/>
                <w:szCs w:val="20"/>
              </w:rPr>
              <w:t>分区方式</w:t>
            </w:r>
            <w:r>
              <w:rPr>
                <w:rFonts w:ascii="Times New Roman" w:hAnsi="Times New Roman" w:hint="eastAsia"/>
                <w:kern w:val="0"/>
                <w:sz w:val="20"/>
                <w:szCs w:val="20"/>
              </w:rPr>
              <w:t>、建筑排水系统的排水</w:t>
            </w:r>
            <w:r>
              <w:rPr>
                <w:rFonts w:ascii="Times New Roman" w:hAnsi="Times New Roman"/>
                <w:kern w:val="0"/>
                <w:sz w:val="20"/>
                <w:szCs w:val="20"/>
              </w:rPr>
              <w:t>体制，</w:t>
            </w:r>
            <w:r>
              <w:rPr>
                <w:rFonts w:ascii="Times New Roman" w:hAnsi="Times New Roman" w:hint="eastAsia"/>
                <w:kern w:val="0"/>
                <w:sz w:val="20"/>
                <w:szCs w:val="20"/>
              </w:rPr>
              <w:t>了解</w:t>
            </w:r>
            <w:r>
              <w:rPr>
                <w:rFonts w:ascii="Times New Roman" w:hAnsi="Times New Roman"/>
                <w:kern w:val="0"/>
                <w:sz w:val="20"/>
                <w:szCs w:val="20"/>
              </w:rPr>
              <w:t>热水供应系统的供水方式，了解</w:t>
            </w:r>
            <w:r>
              <w:rPr>
                <w:rFonts w:ascii="Times New Roman" w:hAnsi="Times New Roman" w:hint="eastAsia"/>
                <w:kern w:val="0"/>
                <w:sz w:val="20"/>
                <w:szCs w:val="20"/>
              </w:rPr>
              <w:t>城市消防设计原则以及建筑</w:t>
            </w:r>
            <w:r>
              <w:rPr>
                <w:rFonts w:ascii="Times New Roman" w:hAnsi="Times New Roman"/>
                <w:kern w:val="0"/>
                <w:sz w:val="20"/>
                <w:szCs w:val="20"/>
              </w:rPr>
              <w:t>消火栓系统和自动喷水灭火系统</w:t>
            </w:r>
            <w:r>
              <w:rPr>
                <w:rFonts w:ascii="Times New Roman" w:hAnsi="Times New Roman" w:hint="eastAsia"/>
                <w:kern w:val="0"/>
                <w:sz w:val="20"/>
                <w:szCs w:val="20"/>
              </w:rPr>
              <w:t>等。</w:t>
            </w:r>
          </w:p>
          <w:p w:rsidR="00CF1222" w:rsidRDefault="00CF1222" w:rsidP="00CF1222">
            <w:pPr>
              <w:rPr>
                <w:rFonts w:ascii="Times New Roman" w:hAnsi="Times New Roman"/>
                <w:kern w:val="0"/>
                <w:sz w:val="20"/>
                <w:szCs w:val="20"/>
              </w:rPr>
            </w:pPr>
          </w:p>
        </w:tc>
      </w:tr>
      <w:tr w:rsidR="00CF1222" w:rsidTr="00CF1222">
        <w:trPr>
          <w:trHeight w:val="548"/>
        </w:trPr>
        <w:tc>
          <w:tcPr>
            <w:tcW w:w="512"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4</w:t>
            </w:r>
          </w:p>
        </w:tc>
        <w:tc>
          <w:tcPr>
            <w:tcW w:w="2102"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第四章、给水排水设备、水工程施工与经济</w:t>
            </w:r>
          </w:p>
        </w:tc>
        <w:tc>
          <w:tcPr>
            <w:tcW w:w="686" w:type="dxa"/>
            <w:vAlign w:val="center"/>
          </w:tcPr>
          <w:p w:rsidR="00CF1222" w:rsidRDefault="00CF1222" w:rsidP="00CF1222">
            <w:pPr>
              <w:ind w:firstLineChars="100" w:firstLine="200"/>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4.1</w:t>
            </w:r>
            <w:r>
              <w:rPr>
                <w:rFonts w:ascii="Times New Roman" w:hAnsi="Times New Roman" w:hint="eastAsia"/>
                <w:kern w:val="0"/>
                <w:sz w:val="20"/>
                <w:szCs w:val="20"/>
              </w:rPr>
              <w:t>给水排水设备</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4.2</w:t>
            </w:r>
            <w:r>
              <w:rPr>
                <w:rFonts w:ascii="Times New Roman" w:hAnsi="Times New Roman" w:hint="eastAsia"/>
                <w:kern w:val="0"/>
                <w:sz w:val="20"/>
                <w:szCs w:val="20"/>
              </w:rPr>
              <w:t>水工程施工</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4.3</w:t>
            </w:r>
            <w:r>
              <w:rPr>
                <w:rFonts w:ascii="Times New Roman" w:hAnsi="Times New Roman" w:hint="eastAsia"/>
                <w:kern w:val="0"/>
                <w:sz w:val="20"/>
                <w:szCs w:val="20"/>
              </w:rPr>
              <w:t>水工程经济和法规</w:t>
            </w:r>
          </w:p>
          <w:p w:rsidR="00CF1222" w:rsidRDefault="00CF1222" w:rsidP="00CF1222">
            <w:pPr>
              <w:adjustRightInd w:val="0"/>
              <w:snapToGrid w:val="0"/>
              <w:rPr>
                <w:rFonts w:ascii="Times New Roman" w:hAnsi="Times New Roman"/>
                <w:kern w:val="0"/>
                <w:sz w:val="20"/>
                <w:szCs w:val="20"/>
              </w:rPr>
            </w:pPr>
            <w:r>
              <w:rPr>
                <w:rFonts w:ascii="Times New Roman" w:hAnsi="Times New Roman" w:hint="eastAsia"/>
                <w:kern w:val="0"/>
                <w:sz w:val="20"/>
                <w:szCs w:val="20"/>
              </w:rPr>
              <w:t>4.4</w:t>
            </w:r>
            <w:r>
              <w:rPr>
                <w:rFonts w:ascii="Times New Roman" w:hAnsi="Times New Roman" w:hint="eastAsia"/>
                <w:kern w:val="0"/>
                <w:sz w:val="20"/>
                <w:szCs w:val="20"/>
              </w:rPr>
              <w:t>专业发展趋势及前言热点</w:t>
            </w:r>
          </w:p>
        </w:tc>
        <w:tc>
          <w:tcPr>
            <w:tcW w:w="2755" w:type="dxa"/>
            <w:vAlign w:val="center"/>
          </w:tcPr>
          <w:p w:rsidR="00CF1222" w:rsidRDefault="00CF1222" w:rsidP="00CF1222">
            <w:pPr>
              <w:adjustRightInd w:val="0"/>
              <w:snapToGrid w:val="0"/>
              <w:rPr>
                <w:rFonts w:ascii="Times New Roman" w:hAnsi="Times New Roman"/>
                <w:kern w:val="0"/>
                <w:sz w:val="20"/>
                <w:szCs w:val="20"/>
              </w:rPr>
            </w:pPr>
            <w:r>
              <w:rPr>
                <w:rFonts w:ascii="Times New Roman" w:hAnsi="Times New Roman" w:hint="eastAsia"/>
                <w:kern w:val="0"/>
                <w:sz w:val="20"/>
                <w:szCs w:val="20"/>
              </w:rPr>
              <w:t>了解给水排水设备、水工程施工与经济、专业发展趋势及前沿热点，培养</w:t>
            </w:r>
            <w:r>
              <w:rPr>
                <w:rFonts w:ascii="Times New Roman" w:hAnsi="Times New Roman"/>
                <w:kern w:val="0"/>
                <w:sz w:val="20"/>
                <w:szCs w:val="20"/>
              </w:rPr>
              <w:t>专业兴趣，</w:t>
            </w:r>
            <w:r>
              <w:rPr>
                <w:rFonts w:ascii="Times New Roman" w:hAnsi="Times New Roman" w:hint="eastAsia"/>
                <w:kern w:val="0"/>
                <w:sz w:val="20"/>
                <w:szCs w:val="20"/>
              </w:rPr>
              <w:t>明确学习方向。</w:t>
            </w:r>
          </w:p>
          <w:p w:rsidR="00CF1222" w:rsidRDefault="00CF1222" w:rsidP="00CF1222">
            <w:pPr>
              <w:rPr>
                <w:rFonts w:ascii="Times New Roman" w:hAnsi="Times New Roman"/>
                <w:kern w:val="0"/>
                <w:sz w:val="20"/>
                <w:szCs w:val="20"/>
              </w:rPr>
            </w:pPr>
          </w:p>
        </w:tc>
      </w:tr>
      <w:tr w:rsidR="00CF1222" w:rsidTr="00CF1222">
        <w:trPr>
          <w:trHeight w:val="548"/>
        </w:trPr>
        <w:tc>
          <w:tcPr>
            <w:tcW w:w="2614" w:type="dxa"/>
            <w:gridSpan w:val="2"/>
            <w:vAlign w:val="center"/>
          </w:tcPr>
          <w:p w:rsidR="00CF1222" w:rsidRDefault="00CF1222" w:rsidP="00CF1222">
            <w:pPr>
              <w:jc w:val="left"/>
              <w:rPr>
                <w:rFonts w:ascii="Times New Roman" w:hAnsi="Times New Roman"/>
                <w:kern w:val="0"/>
                <w:sz w:val="20"/>
                <w:szCs w:val="20"/>
              </w:rPr>
            </w:pPr>
            <w:r>
              <w:rPr>
                <w:rFonts w:ascii="Times New Roman" w:hAnsi="Times New Roman" w:hint="eastAsia"/>
                <w:b/>
                <w:bCs/>
                <w:kern w:val="0"/>
                <w:sz w:val="20"/>
                <w:szCs w:val="20"/>
              </w:rPr>
              <w:lastRenderedPageBreak/>
              <w:t>第四部分</w:t>
            </w:r>
            <w:r>
              <w:rPr>
                <w:rFonts w:ascii="Times New Roman" w:hAnsi="Times New Roman" w:hint="eastAsia"/>
                <w:b/>
                <w:bCs/>
                <w:kern w:val="0"/>
                <w:sz w:val="20"/>
                <w:szCs w:val="20"/>
              </w:rPr>
              <w:t xml:space="preserve"> </w:t>
            </w:r>
            <w:r>
              <w:rPr>
                <w:rFonts w:ascii="Times New Roman" w:hAnsi="Times New Roman" w:hint="eastAsia"/>
                <w:b/>
                <w:bCs/>
                <w:kern w:val="0"/>
                <w:sz w:val="20"/>
                <w:szCs w:val="20"/>
              </w:rPr>
              <w:t>建筑环境与能源应用工程概论</w:t>
            </w:r>
          </w:p>
        </w:tc>
        <w:tc>
          <w:tcPr>
            <w:tcW w:w="686"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8</w:t>
            </w:r>
          </w:p>
        </w:tc>
        <w:tc>
          <w:tcPr>
            <w:tcW w:w="3100" w:type="dxa"/>
            <w:vAlign w:val="center"/>
          </w:tcPr>
          <w:p w:rsidR="00CF1222" w:rsidRDefault="00CF1222" w:rsidP="00CF1222">
            <w:pPr>
              <w:jc w:val="left"/>
              <w:rPr>
                <w:rFonts w:ascii="Times New Roman" w:hAnsi="Times New Roman"/>
                <w:kern w:val="0"/>
                <w:sz w:val="20"/>
                <w:szCs w:val="20"/>
              </w:rPr>
            </w:pPr>
          </w:p>
        </w:tc>
        <w:tc>
          <w:tcPr>
            <w:tcW w:w="2755" w:type="dxa"/>
            <w:vAlign w:val="center"/>
          </w:tcPr>
          <w:p w:rsidR="00CF1222" w:rsidRDefault="00CF1222" w:rsidP="00CF1222">
            <w:pPr>
              <w:jc w:val="left"/>
              <w:rPr>
                <w:rFonts w:ascii="Times New Roman" w:hAnsi="Times New Roman"/>
                <w:kern w:val="0"/>
                <w:sz w:val="20"/>
                <w:szCs w:val="20"/>
              </w:rPr>
            </w:pPr>
          </w:p>
        </w:tc>
      </w:tr>
      <w:tr w:rsidR="00CF1222" w:rsidTr="00CF1222">
        <w:trPr>
          <w:trHeight w:val="548"/>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第一章、专业概况</w:t>
            </w:r>
          </w:p>
        </w:tc>
        <w:tc>
          <w:tcPr>
            <w:tcW w:w="686" w:type="dxa"/>
            <w:vAlign w:val="center"/>
          </w:tcPr>
          <w:p w:rsidR="00CF1222" w:rsidRDefault="00CF1222" w:rsidP="00CF1222">
            <w:pPr>
              <w:ind w:firstLineChars="100" w:firstLine="200"/>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rPr>
                <w:rFonts w:ascii="Times New Roman" w:hAnsi="Times New Roman"/>
                <w:kern w:val="0"/>
                <w:sz w:val="20"/>
                <w:szCs w:val="20"/>
              </w:rPr>
            </w:pPr>
            <w:r>
              <w:rPr>
                <w:rFonts w:ascii="Times New Roman" w:hAnsi="Times New Roman"/>
                <w:kern w:val="0"/>
                <w:sz w:val="20"/>
                <w:szCs w:val="20"/>
              </w:rPr>
              <w:t xml:space="preserve">1.1 </w:t>
            </w:r>
            <w:r>
              <w:rPr>
                <w:rFonts w:ascii="Times New Roman" w:hAnsi="Times New Roman" w:hint="eastAsia"/>
                <w:kern w:val="0"/>
                <w:sz w:val="20"/>
                <w:szCs w:val="20"/>
              </w:rPr>
              <w:t>初识专业</w:t>
            </w:r>
          </w:p>
          <w:p w:rsidR="00CF1222" w:rsidRDefault="00CF1222" w:rsidP="00CF1222">
            <w:pPr>
              <w:rPr>
                <w:rFonts w:ascii="Times New Roman" w:hAnsi="Times New Roman"/>
                <w:kern w:val="0"/>
                <w:sz w:val="20"/>
                <w:szCs w:val="20"/>
              </w:rPr>
            </w:pPr>
            <w:r>
              <w:rPr>
                <w:rFonts w:ascii="Times New Roman" w:hAnsi="Times New Roman"/>
                <w:kern w:val="0"/>
                <w:sz w:val="20"/>
                <w:szCs w:val="20"/>
              </w:rPr>
              <w:t xml:space="preserve">1.2 </w:t>
            </w:r>
            <w:r>
              <w:rPr>
                <w:rFonts w:ascii="Times New Roman" w:hAnsi="Times New Roman" w:hint="eastAsia"/>
                <w:kern w:val="0"/>
                <w:sz w:val="20"/>
                <w:szCs w:val="20"/>
              </w:rPr>
              <w:t>专业发展历程</w:t>
            </w:r>
          </w:p>
          <w:p w:rsidR="00CF1222" w:rsidRDefault="00CF1222" w:rsidP="00CF1222">
            <w:pPr>
              <w:rPr>
                <w:rFonts w:ascii="Times New Roman" w:hAnsi="Times New Roman"/>
                <w:kern w:val="0"/>
                <w:sz w:val="20"/>
                <w:szCs w:val="20"/>
              </w:rPr>
            </w:pPr>
            <w:r>
              <w:rPr>
                <w:rFonts w:ascii="Times New Roman" w:hAnsi="Times New Roman"/>
                <w:kern w:val="0"/>
                <w:sz w:val="20"/>
                <w:szCs w:val="20"/>
              </w:rPr>
              <w:t xml:space="preserve">1.3 </w:t>
            </w:r>
            <w:r>
              <w:rPr>
                <w:rFonts w:ascii="Times New Roman" w:hAnsi="Times New Roman" w:hint="eastAsia"/>
                <w:kern w:val="0"/>
                <w:sz w:val="20"/>
                <w:szCs w:val="20"/>
              </w:rPr>
              <w:t>本专业在社会经济发展中的应用</w:t>
            </w:r>
          </w:p>
        </w:tc>
        <w:tc>
          <w:tcPr>
            <w:tcW w:w="2755"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掌握本专业的内涵、发展历程以及在社会经济发展中的应用。</w:t>
            </w:r>
          </w:p>
          <w:p w:rsidR="00CF1222" w:rsidRDefault="00CF1222" w:rsidP="00CF1222">
            <w:pPr>
              <w:rPr>
                <w:rFonts w:ascii="Times New Roman" w:hAnsi="Times New Roman"/>
                <w:kern w:val="0"/>
                <w:sz w:val="20"/>
                <w:szCs w:val="20"/>
              </w:rPr>
            </w:pPr>
          </w:p>
        </w:tc>
      </w:tr>
      <w:tr w:rsidR="00CF1222" w:rsidTr="00CF1222">
        <w:trPr>
          <w:trHeight w:val="548"/>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第二章、基本科学概念</w:t>
            </w:r>
          </w:p>
        </w:tc>
        <w:tc>
          <w:tcPr>
            <w:tcW w:w="686" w:type="dxa"/>
            <w:vAlign w:val="center"/>
          </w:tcPr>
          <w:p w:rsidR="00CF1222" w:rsidRDefault="00CF1222" w:rsidP="00CF1222">
            <w:pPr>
              <w:ind w:firstLineChars="100" w:firstLine="200"/>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kern w:val="0"/>
                <w:sz w:val="20"/>
                <w:szCs w:val="20"/>
              </w:rPr>
              <w:t>.</w:t>
            </w:r>
            <w:r>
              <w:rPr>
                <w:rFonts w:ascii="Times New Roman" w:hAnsi="Times New Roman" w:hint="eastAsia"/>
                <w:kern w:val="0"/>
                <w:sz w:val="20"/>
                <w:szCs w:val="20"/>
              </w:rPr>
              <w:t>1</w:t>
            </w:r>
            <w:r>
              <w:rPr>
                <w:rFonts w:ascii="Times New Roman" w:hAnsi="Times New Roman" w:hint="eastAsia"/>
                <w:kern w:val="0"/>
                <w:sz w:val="20"/>
                <w:szCs w:val="20"/>
              </w:rPr>
              <w:t>本专业涉及的基本科学概念</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kern w:val="0"/>
                <w:sz w:val="20"/>
                <w:szCs w:val="20"/>
              </w:rPr>
              <w:t>.</w:t>
            </w:r>
            <w:r>
              <w:rPr>
                <w:rFonts w:ascii="Times New Roman" w:hAnsi="Times New Roman" w:hint="eastAsia"/>
                <w:kern w:val="0"/>
                <w:sz w:val="20"/>
                <w:szCs w:val="20"/>
              </w:rPr>
              <w:t>2</w:t>
            </w:r>
            <w:r>
              <w:rPr>
                <w:rFonts w:ascii="Times New Roman" w:hAnsi="Times New Roman" w:hint="eastAsia"/>
                <w:kern w:val="0"/>
                <w:sz w:val="20"/>
                <w:szCs w:val="20"/>
              </w:rPr>
              <w:t>建筑环境的基本科学概念</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kern w:val="0"/>
                <w:sz w:val="20"/>
                <w:szCs w:val="20"/>
              </w:rPr>
              <w:t>.3</w:t>
            </w:r>
            <w:r>
              <w:rPr>
                <w:rFonts w:ascii="Times New Roman" w:hAnsi="Times New Roman" w:hint="eastAsia"/>
                <w:kern w:val="0"/>
                <w:sz w:val="20"/>
                <w:szCs w:val="20"/>
              </w:rPr>
              <w:t>建筑能源的基本概念</w:t>
            </w:r>
          </w:p>
        </w:tc>
        <w:tc>
          <w:tcPr>
            <w:tcW w:w="2755"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掌握本专业的基本科学概念</w:t>
            </w:r>
          </w:p>
          <w:p w:rsidR="00CF1222" w:rsidRDefault="00CF1222" w:rsidP="00CF1222">
            <w:pPr>
              <w:rPr>
                <w:rFonts w:ascii="Times New Roman" w:hAnsi="Times New Roman"/>
                <w:kern w:val="0"/>
                <w:sz w:val="20"/>
                <w:szCs w:val="20"/>
              </w:rPr>
            </w:pPr>
          </w:p>
        </w:tc>
      </w:tr>
      <w:tr w:rsidR="00CF1222" w:rsidTr="00CF1222">
        <w:trPr>
          <w:trHeight w:val="548"/>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第三章、知识体系</w:t>
            </w:r>
          </w:p>
        </w:tc>
        <w:tc>
          <w:tcPr>
            <w:tcW w:w="686" w:type="dxa"/>
            <w:vAlign w:val="center"/>
          </w:tcPr>
          <w:p w:rsidR="00CF1222" w:rsidRDefault="00CF1222" w:rsidP="00CF1222">
            <w:pPr>
              <w:ind w:firstLineChars="100" w:firstLine="200"/>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 xml:space="preserve">3.1 </w:t>
            </w:r>
            <w:r>
              <w:rPr>
                <w:rFonts w:ascii="Times New Roman" w:hAnsi="Times New Roman" w:hint="eastAsia"/>
                <w:kern w:val="0"/>
                <w:sz w:val="20"/>
                <w:szCs w:val="20"/>
              </w:rPr>
              <w:t>知识体系与课程体系</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 xml:space="preserve">3.2 </w:t>
            </w:r>
            <w:r>
              <w:rPr>
                <w:rFonts w:ascii="Times New Roman" w:hAnsi="Times New Roman" w:hint="eastAsia"/>
                <w:kern w:val="0"/>
                <w:sz w:val="20"/>
                <w:szCs w:val="20"/>
              </w:rPr>
              <w:t>专业能力结构</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 xml:space="preserve">3.3 </w:t>
            </w:r>
            <w:r>
              <w:rPr>
                <w:rFonts w:ascii="Times New Roman" w:hAnsi="Times New Roman" w:hint="eastAsia"/>
                <w:kern w:val="0"/>
                <w:sz w:val="20"/>
                <w:szCs w:val="20"/>
              </w:rPr>
              <w:t>实践教学体系</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 xml:space="preserve">3.4 </w:t>
            </w:r>
            <w:r>
              <w:rPr>
                <w:rFonts w:ascii="Times New Roman" w:hAnsi="Times New Roman" w:hint="eastAsia"/>
                <w:kern w:val="0"/>
                <w:sz w:val="20"/>
                <w:szCs w:val="20"/>
              </w:rPr>
              <w:t>执业注册体系</w:t>
            </w:r>
          </w:p>
        </w:tc>
        <w:tc>
          <w:tcPr>
            <w:tcW w:w="2755"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掌握本专业的知识体系与课程体系；专业能力结构与实践教学体系；建筑环境与能源应用工程专业执业范围与执业制度</w:t>
            </w:r>
          </w:p>
          <w:p w:rsidR="00CF1222" w:rsidRDefault="00CF1222" w:rsidP="00CF1222">
            <w:pPr>
              <w:rPr>
                <w:rFonts w:ascii="Times New Roman" w:hAnsi="Times New Roman"/>
                <w:kern w:val="0"/>
                <w:sz w:val="20"/>
                <w:szCs w:val="20"/>
              </w:rPr>
            </w:pPr>
          </w:p>
        </w:tc>
      </w:tr>
      <w:tr w:rsidR="00CF1222" w:rsidTr="00CF1222">
        <w:trPr>
          <w:trHeight w:val="548"/>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4</w:t>
            </w:r>
          </w:p>
        </w:tc>
        <w:tc>
          <w:tcPr>
            <w:tcW w:w="2102"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第四章、专业发展趋势</w:t>
            </w:r>
          </w:p>
        </w:tc>
        <w:tc>
          <w:tcPr>
            <w:tcW w:w="686" w:type="dxa"/>
            <w:vAlign w:val="center"/>
          </w:tcPr>
          <w:p w:rsidR="00CF1222" w:rsidRDefault="00CF1222" w:rsidP="00CF1222">
            <w:pPr>
              <w:ind w:firstLineChars="100" w:firstLine="200"/>
              <w:rPr>
                <w:rFonts w:ascii="Times New Roman" w:hAnsi="Times New Roman"/>
                <w:kern w:val="0"/>
                <w:sz w:val="20"/>
                <w:szCs w:val="20"/>
              </w:rPr>
            </w:pPr>
            <w:r>
              <w:rPr>
                <w:rFonts w:ascii="Times New Roman" w:hAnsi="Times New Roman" w:hint="eastAsia"/>
                <w:kern w:val="0"/>
                <w:sz w:val="20"/>
                <w:szCs w:val="20"/>
              </w:rPr>
              <w:t>2</w:t>
            </w:r>
          </w:p>
        </w:tc>
        <w:tc>
          <w:tcPr>
            <w:tcW w:w="3100" w:type="dxa"/>
            <w:vAlign w:val="center"/>
          </w:tcPr>
          <w:p w:rsidR="00CF1222" w:rsidRDefault="00CF1222" w:rsidP="00CF1222">
            <w:pPr>
              <w:rPr>
                <w:rFonts w:ascii="Times New Roman" w:hAnsi="Times New Roman"/>
                <w:kern w:val="0"/>
                <w:sz w:val="20"/>
                <w:szCs w:val="20"/>
              </w:rPr>
            </w:pPr>
          </w:p>
        </w:tc>
        <w:tc>
          <w:tcPr>
            <w:tcW w:w="2755"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了解专业发展趋势，提高学生学习积极性</w:t>
            </w:r>
          </w:p>
        </w:tc>
      </w:tr>
    </w:tbl>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本课程考核方式为考查。</w:t>
      </w:r>
    </w:p>
    <w:p w:rsidR="00CF1222" w:rsidRDefault="00CF1222"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本课程成绩评定方式为等级制，</w:t>
      </w:r>
      <w:r>
        <w:rPr>
          <w:rFonts w:ascii="仿宋_GB2312" w:hAnsi="仿宋_GB2312" w:cs="仿宋_GB2312"/>
          <w:sz w:val="28"/>
          <w:szCs w:val="28"/>
        </w:rPr>
        <w:t>课程总成绩=期末成绩</w:t>
      </w:r>
      <w:r>
        <w:rPr>
          <w:rFonts w:ascii="仿宋_GB2312" w:hAnsi="仿宋_GB2312" w:cs="仿宋_GB2312" w:hint="eastAsia"/>
          <w:sz w:val="28"/>
          <w:szCs w:val="28"/>
        </w:rPr>
        <w:t>70%+平时</w:t>
      </w:r>
      <w:r>
        <w:rPr>
          <w:rFonts w:ascii="仿宋_GB2312" w:hAnsi="仿宋_GB2312" w:cs="仿宋_GB2312"/>
          <w:sz w:val="28"/>
          <w:szCs w:val="28"/>
        </w:rPr>
        <w:t>成绩</w:t>
      </w:r>
      <w:r>
        <w:rPr>
          <w:rFonts w:ascii="仿宋_GB2312" w:hAnsi="仿宋_GB2312" w:cs="仿宋_GB2312" w:hint="eastAsia"/>
          <w:sz w:val="28"/>
          <w:szCs w:val="28"/>
        </w:rPr>
        <w:t>30%。平时成绩包括考勤、课堂参与、课后作业等环节。期末成绩包括学习总结和论文报告。</w:t>
      </w:r>
    </w:p>
    <w:p w:rsidR="00CF1222" w:rsidRDefault="00CF1222" w:rsidP="00CF1222">
      <w:pPr>
        <w:spacing w:beforeLines="50" w:before="156" w:line="360" w:lineRule="auto"/>
        <w:ind w:left="560"/>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课程目标达成度自评方式</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据学院教学管理规定，在开展课程达成度评价前，课程评价审核小组对课程的评价依据合理性进行确认，包括平时作业、实验、期终考试等考核环节。课程结束后，课程小组需要对课程进行达成度评价，课程小组由课程负责人和任课教师组成，统计课程考核数据，并填写</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混凝土结构基本理论</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报告，以</w:t>
      </w:r>
      <w:r>
        <w:rPr>
          <w:rFonts w:ascii="Times New Roman" w:hAnsi="Times New Roman"/>
          <w:sz w:val="28"/>
          <w:szCs w:val="28"/>
        </w:rPr>
        <w:lastRenderedPageBreak/>
        <w:t>便及时了解课程的达成效果，发现问题并进行持续改进，同时也为毕业要求达成度的评价提供基础数据。</w:t>
      </w:r>
    </w:p>
    <w:p w:rsidR="00CF1222" w:rsidRDefault="00CF1222" w:rsidP="00CF1222">
      <w:pPr>
        <w:adjustRightInd w:val="0"/>
        <w:snapToGrid w:val="0"/>
        <w:spacing w:afterLines="50" w:after="156" w:line="560" w:lineRule="exact"/>
        <w:ind w:firstLineChars="200" w:firstLine="560"/>
        <w:jc w:val="left"/>
        <w:rPr>
          <w:rFonts w:ascii="仿宋_GB2312" w:hAnsi="仿宋_GB2312" w:cs="仿宋_GB2312"/>
          <w:bCs/>
          <w:sz w:val="28"/>
          <w:szCs w:val="28"/>
        </w:rPr>
      </w:pPr>
      <w:r>
        <w:rPr>
          <w:rFonts w:ascii="Times New Roman" w:hAnsi="Times New Roman"/>
          <w:sz w:val="28"/>
          <w:szCs w:val="28"/>
        </w:rPr>
        <w:t>根据课程的考核形式，全部或抽样部分考核资料（应以当年修读该课程的学生为总体，至少抽取</w:t>
      </w:r>
      <w:r>
        <w:rPr>
          <w:rFonts w:ascii="Times New Roman" w:hAnsi="Times New Roman"/>
          <w:sz w:val="28"/>
          <w:szCs w:val="28"/>
        </w:rPr>
        <w:t>90%</w:t>
      </w:r>
      <w:r>
        <w:rPr>
          <w:rFonts w:ascii="Times New Roman" w:hAnsi="Times New Roman"/>
          <w:sz w:val="28"/>
          <w:szCs w:val="28"/>
        </w:rPr>
        <w:t>以上的学生样本），抽样时需覆盖优、良、中、及格和不及格等考核等级的考核资料。课程达成度的具体评价方法，详见</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混凝土结构基本理论</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报告。课程小组提交课程达成度评价数据后，课程评价审核小组对评价数据的合理性和有效性进行审核。</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建议教材</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（1）《土木工程（专业）概论》（第四版），罗福午，武汉工业大学出版社，2013年。</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（2）《工程造价</w:t>
      </w:r>
      <w:r>
        <w:rPr>
          <w:rFonts w:ascii="仿宋_GB2312" w:hAnsi="仿宋_GB2312" w:cs="仿宋_GB2312"/>
          <w:sz w:val="28"/>
          <w:szCs w:val="28"/>
        </w:rPr>
        <w:t>（专业）概论</w:t>
      </w:r>
      <w:r>
        <w:rPr>
          <w:rFonts w:ascii="仿宋_GB2312" w:hAnsi="仿宋_GB2312" w:cs="仿宋_GB2312" w:hint="eastAsia"/>
          <w:sz w:val="28"/>
          <w:szCs w:val="28"/>
        </w:rPr>
        <w:t>》，李建峰，中国机械出版社，201</w:t>
      </w:r>
      <w:r>
        <w:rPr>
          <w:rFonts w:ascii="仿宋_GB2312" w:hAnsi="仿宋_GB2312" w:cs="仿宋_GB2312"/>
          <w:sz w:val="28"/>
          <w:szCs w:val="28"/>
        </w:rPr>
        <w:t>9</w:t>
      </w:r>
      <w:r>
        <w:rPr>
          <w:rFonts w:ascii="仿宋_GB2312" w:hAnsi="仿宋_GB2312" w:cs="仿宋_GB2312" w:hint="eastAsia"/>
          <w:sz w:val="28"/>
          <w:szCs w:val="28"/>
        </w:rPr>
        <w:t>年。</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（3)</w:t>
      </w:r>
      <w:r>
        <w:rPr>
          <w:rFonts w:ascii="仿宋_GB2312" w:hAnsi="仿宋_GB2312" w:cs="仿宋_GB2312"/>
          <w:sz w:val="28"/>
          <w:szCs w:val="28"/>
        </w:rPr>
        <w:t xml:space="preserve"> </w:t>
      </w:r>
      <w:r>
        <w:rPr>
          <w:rFonts w:ascii="仿宋_GB2312" w:hAnsi="仿宋_GB2312" w:cs="仿宋_GB2312" w:hint="eastAsia"/>
          <w:sz w:val="28"/>
          <w:szCs w:val="28"/>
        </w:rPr>
        <w:t>《建筑环境与能源应用工程专业概论》，专业指导委员会组织编写，中国建筑工业出版社，2014年。</w:t>
      </w:r>
    </w:p>
    <w:p w:rsidR="00CF1222" w:rsidRDefault="00CF1222" w:rsidP="00CF1222">
      <w:pPr>
        <w:spacing w:line="400" w:lineRule="exact"/>
        <w:ind w:firstLineChars="150" w:firstLine="420"/>
        <w:rPr>
          <w:rFonts w:ascii="仿宋_GB2312" w:hAnsi="仿宋_GB2312" w:cs="仿宋_GB2312"/>
          <w:sz w:val="28"/>
          <w:szCs w:val="28"/>
        </w:rPr>
      </w:pPr>
      <w:r>
        <w:rPr>
          <w:rFonts w:ascii="仿宋_GB2312" w:hAnsi="仿宋_GB2312" w:cs="仿宋_GB2312" w:hint="eastAsia"/>
          <w:sz w:val="28"/>
          <w:szCs w:val="28"/>
        </w:rPr>
        <w:t>（4）《</w:t>
      </w:r>
      <w:r>
        <w:rPr>
          <w:rFonts w:ascii="仿宋_GB2312" w:hAnsi="仿宋_GB2312" w:cs="仿宋_GB2312"/>
          <w:sz w:val="28"/>
          <w:szCs w:val="28"/>
        </w:rPr>
        <w:t>给排水科学与工程</w:t>
      </w:r>
      <w:r>
        <w:rPr>
          <w:rFonts w:ascii="仿宋_GB2312" w:hAnsi="仿宋_GB2312" w:cs="仿宋_GB2312" w:hint="eastAsia"/>
          <w:sz w:val="28"/>
          <w:szCs w:val="28"/>
        </w:rPr>
        <w:t>概论》（第</w:t>
      </w:r>
      <w:r>
        <w:rPr>
          <w:rFonts w:ascii="仿宋_GB2312" w:hAnsi="仿宋_GB2312" w:cs="仿宋_GB2312"/>
          <w:sz w:val="28"/>
          <w:szCs w:val="28"/>
        </w:rPr>
        <w:t>三</w:t>
      </w:r>
      <w:r>
        <w:rPr>
          <w:rFonts w:ascii="仿宋_GB2312" w:hAnsi="仿宋_GB2312" w:cs="仿宋_GB2312" w:hint="eastAsia"/>
          <w:sz w:val="28"/>
          <w:szCs w:val="28"/>
        </w:rPr>
        <w:t>版</w:t>
      </w:r>
      <w:r>
        <w:rPr>
          <w:rFonts w:ascii="仿宋_GB2312" w:hAnsi="仿宋_GB2312" w:cs="仿宋_GB2312"/>
          <w:sz w:val="28"/>
          <w:szCs w:val="28"/>
        </w:rPr>
        <w:t>）</w:t>
      </w:r>
      <w:r>
        <w:rPr>
          <w:rFonts w:ascii="仿宋_GB2312" w:hAnsi="仿宋_GB2312" w:cs="仿宋_GB2312" w:hint="eastAsia"/>
          <w:sz w:val="28"/>
          <w:szCs w:val="28"/>
        </w:rPr>
        <w:t>，中国建筑工业出版社，2018年。</w:t>
      </w:r>
    </w:p>
    <w:p w:rsidR="00CF1222" w:rsidRDefault="00CF1222" w:rsidP="00CF1222">
      <w:pPr>
        <w:ind w:firstLineChars="100" w:firstLine="320"/>
        <w:rPr>
          <w:vanish/>
        </w:rPr>
      </w:pPr>
    </w:p>
    <w:p w:rsidR="00CF1222" w:rsidRDefault="00CF1222" w:rsidP="00CF1222">
      <w:pPr>
        <w:spacing w:beforeLines="50" w:before="156" w:afterLines="50" w:after="156" w:line="460" w:lineRule="exact"/>
        <w:rPr>
          <w:rFonts w:ascii="黑体" w:eastAsia="黑体" w:hAnsi="黑体"/>
          <w:b/>
          <w:sz w:val="28"/>
          <w:szCs w:val="28"/>
        </w:rPr>
      </w:pPr>
      <w:r>
        <w:rPr>
          <w:rFonts w:ascii="黑体" w:eastAsia="黑体" w:hAnsi="黑体" w:hint="eastAsia"/>
          <w:b/>
          <w:sz w:val="28"/>
          <w:szCs w:val="28"/>
        </w:rPr>
        <w:t xml:space="preserve">                      </w:t>
      </w:r>
    </w:p>
    <w:p w:rsidR="00CF1222" w:rsidRDefault="00CF1222" w:rsidP="00CF1222">
      <w:pPr>
        <w:spacing w:beforeLines="50" w:before="156" w:afterLines="50" w:after="156" w:line="460" w:lineRule="exact"/>
        <w:ind w:firstLineChars="1200" w:firstLine="3360"/>
        <w:rPr>
          <w:rFonts w:ascii="仿宋" w:eastAsia="仿宋" w:hAnsi="仿宋"/>
          <w:sz w:val="28"/>
          <w:szCs w:val="28"/>
        </w:rPr>
      </w:pPr>
      <w:r>
        <w:rPr>
          <w:rFonts w:ascii="仿宋" w:eastAsia="仿宋" w:hAnsi="仿宋" w:hint="eastAsia"/>
          <w:sz w:val="28"/>
          <w:szCs w:val="28"/>
        </w:rPr>
        <w:t>大纲撰写人：</w:t>
      </w:r>
    </w:p>
    <w:p w:rsidR="00CF1222" w:rsidRDefault="00CF1222" w:rsidP="00CF1222">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CF1222" w:rsidRDefault="00CF1222" w:rsidP="00CF1222">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6A4F10" w:rsidRPr="00FE09E8" w:rsidRDefault="00CF1222" w:rsidP="00FE09E8">
      <w:pPr>
        <w:jc w:val="left"/>
        <w:rPr>
          <w:rFonts w:ascii="仿宋_GB2312" w:hAnsi="黑体"/>
          <w:sz w:val="28"/>
          <w:szCs w:val="28"/>
        </w:rPr>
      </w:pPr>
      <w:r>
        <w:rPr>
          <w:rFonts w:ascii="仿宋" w:eastAsia="仿宋" w:hAnsi="仿宋" w:hint="eastAsia"/>
          <w:sz w:val="28"/>
          <w:szCs w:val="28"/>
        </w:rPr>
        <w:t xml:space="preserve">                                               年  </w:t>
      </w:r>
      <w:r>
        <w:rPr>
          <w:rFonts w:ascii="仿宋" w:eastAsia="仿宋" w:hAnsi="仿宋"/>
          <w:sz w:val="28"/>
          <w:szCs w:val="28"/>
        </w:rPr>
        <w:t xml:space="preserve">   </w:t>
      </w:r>
      <w:r>
        <w:rPr>
          <w:rFonts w:ascii="仿宋" w:eastAsia="仿宋" w:hAnsi="仿宋" w:hint="eastAsia"/>
          <w:sz w:val="28"/>
          <w:szCs w:val="28"/>
        </w:rPr>
        <w:t xml:space="preserve"> 月</w:t>
      </w:r>
    </w:p>
    <w:p w:rsidR="00CF1222" w:rsidRDefault="00CF1222" w:rsidP="00CF1222">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《混凝土结构基本理论》课程教学大纲</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英文名称：Fundamental Theory of Reinforced Concrete Structures</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课程编码：Z2801020</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CF1222" w:rsidRDefault="00CF1222" w:rsidP="00CF1222">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授课方式：混合（线上课程占比为14学时）</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分：4学分</w:t>
      </w:r>
    </w:p>
    <w:p w:rsidR="00CF1222" w:rsidRDefault="00CF1222" w:rsidP="00CF1222">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时：64学时（授课58学时，实验6学时）</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适用对象：土木工程专业</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Pr>
          <w:rFonts w:ascii="仿宋" w:eastAsia="仿宋" w:hAnsi="仿宋" w:cs="仿宋" w:hint="eastAsia"/>
          <w:sz w:val="28"/>
          <w:szCs w:val="28"/>
        </w:rPr>
        <w:t>画法几何与制图、土木工程材料</w:t>
      </w:r>
      <w:r>
        <w:rPr>
          <w:rFonts w:hint="eastAsia"/>
        </w:rPr>
        <w:t>、材料力学、结构力学等</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开课院系：建筑工程学院混凝土与砌体结构教研室</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混凝土结构基本理论”是土木工程专业学生的专业发展课程必修课，是一门既具有较强的理论性又具有较强的实践性的课程，在先修课程“材料力学”、“结构力学”、“土木工程材料”、“画法几何与制图”等基础上，通过本课程的学习，获得混凝土结构构件和结构的计算设计能力。</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lastRenderedPageBreak/>
        <w:t>教学内容是土木工程专业学生应当掌握的基本理论，主要讲述混凝土结构基本构件的受力性能和设计计算方法，包括钢筋和混凝土材料的力学性能、混凝土结构设计基本原理，以及基本构件的性能分析、设计计算和构造措施等。</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为了提高学生的动手能力、加深理解所学的知识、学会对试验数据的分析和判断。学生在本课程的学习过程中，要做三个与课程教学配套的试验：受弯构件正截面破坏试验、受弯构件斜截面破坏试验，受压构件破坏试验试验。</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教学方式采用线上线下混合式教学方法、通过线上学习，线下课堂讨论、总结，课后思考题和练习题等相结合进行授课，并结合试验、课程设计教学等环节，使学生具有基本构件及梁板结构的设计、计算、制图的能力以及对试验数据分析判断的能力。</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F1222" w:rsidRDefault="00CF1222" w:rsidP="00CF1222">
      <w:pPr>
        <w:spacing w:line="360" w:lineRule="auto"/>
        <w:ind w:firstLineChars="203" w:firstLine="568"/>
        <w:rPr>
          <w:rFonts w:ascii="仿宋_GB2312" w:hAnsi="仿宋_GB2312" w:cs="仿宋_GB2312"/>
          <w:sz w:val="28"/>
          <w:szCs w:val="28"/>
        </w:rPr>
      </w:pPr>
      <w:r>
        <w:rPr>
          <w:rFonts w:ascii="仿宋_GB2312" w:hAnsi="仿宋_GB2312" w:cs="仿宋_GB2312" w:hint="eastAsia"/>
          <w:bCs/>
          <w:sz w:val="28"/>
          <w:szCs w:val="28"/>
        </w:rPr>
        <w:t>“混凝土结构基本理论”课程是研究混凝土结构基本构件的受力性能、计算方法与构造要求等问题的一门专业发展课程必修课，是土木工程专业的核心课程之一，其任务就是完成混凝土结构基本构件（受弯构件、受压构件、受拉构件、受扭构件）的基本理论、受力特性、设计计算方法以及梁板结构等教学内容。</w:t>
      </w:r>
    </w:p>
    <w:p w:rsidR="00CF1222" w:rsidRDefault="00CF1222"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CF1222" w:rsidRDefault="00CF1222" w:rsidP="00CF1222">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（1）通过本课程学习，使学生掌握混凝土结构的基本概念，了</w:t>
      </w:r>
      <w:r>
        <w:rPr>
          <w:rFonts w:ascii="仿宋_GB2312" w:hAnsi="仿宋_GB2312" w:cs="仿宋_GB2312" w:hint="eastAsia"/>
          <w:bCs/>
          <w:sz w:val="28"/>
          <w:szCs w:val="28"/>
        </w:rPr>
        <w:lastRenderedPageBreak/>
        <w:t>解混凝土结构的发展状况；掌握混凝土、钢筋的物理力学性能，混凝土结构设计的一般原则与设计方法；掌握混凝土结构各类构件的受力特点、破坏形态。能够基于数学、力学等基本原理，对混凝土结构设计的关键环节和混凝土结构构件受力性能进行分析并正确表达。</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2）通过本课程学习，使学生掌握混凝土受弯、受剪、受压、受拉、受扭构件的计算原理、过程和方法；掌握混凝土结构各类构件的构造措施。能够认识混凝土结构构件设计的多样性，熟练应用各类构件基本计算原理，能够查阅《混凝土结构设计规范》等相关资料，解决复杂工程问题，获得有效结论。</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3）通过本课程学习，使学生掌握受弯、受剪、受压、受拉、受扭等构件的承载力计算；掌握混凝土构件应力、变形与裂缝宽度验算；掌握混凝土结构梁板结构的设计方法。能够运用混凝土结构基本原理，针对不同混凝土结构的受力特点，完成混凝土结构构件的设计。</w:t>
      </w:r>
    </w:p>
    <w:p w:rsidR="00CF1222" w:rsidRDefault="00CF1222" w:rsidP="00CF1222">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pPr w:leftFromText="180" w:rightFromText="180" w:vertAnchor="text" w:horzAnchor="page" w:tblpX="1702" w:tblpY="2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4490"/>
        <w:gridCol w:w="703"/>
        <w:gridCol w:w="787"/>
        <w:gridCol w:w="759"/>
      </w:tblGrid>
      <w:tr w:rsidR="00CF1222" w:rsidTr="00CF1222">
        <w:trPr>
          <w:trHeight w:val="326"/>
        </w:trPr>
        <w:tc>
          <w:tcPr>
            <w:tcW w:w="6531" w:type="dxa"/>
            <w:gridSpan w:val="2"/>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r>
              <w:rPr>
                <w:rFonts w:ascii="仿宋_GB2312" w:hAnsi="仿宋_GB2312" w:cs="仿宋_GB2312" w:hint="eastAsia"/>
                <w:b/>
                <w:sz w:val="24"/>
                <w:szCs w:val="24"/>
              </w:rPr>
              <w:t>毕业要求及其指标点</w:t>
            </w:r>
          </w:p>
        </w:tc>
        <w:tc>
          <w:tcPr>
            <w:tcW w:w="2249" w:type="dxa"/>
            <w:gridSpan w:val="3"/>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r>
              <w:rPr>
                <w:rFonts w:hint="eastAsia"/>
                <w:b/>
                <w:bCs/>
                <w:kern w:val="0"/>
                <w:sz w:val="24"/>
                <w:szCs w:val="24"/>
              </w:rPr>
              <w:t>课程</w:t>
            </w:r>
            <w:r>
              <w:rPr>
                <w:b/>
                <w:bCs/>
                <w:kern w:val="0"/>
                <w:sz w:val="24"/>
                <w:szCs w:val="24"/>
              </w:rPr>
              <w:t>目标</w:t>
            </w:r>
          </w:p>
        </w:tc>
      </w:tr>
      <w:tr w:rsidR="00CF1222" w:rsidTr="00CF1222">
        <w:trPr>
          <w:trHeight w:val="245"/>
        </w:trPr>
        <w:tc>
          <w:tcPr>
            <w:tcW w:w="6531" w:type="dxa"/>
            <w:gridSpan w:val="2"/>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r>
              <w:rPr>
                <w:kern w:val="0"/>
                <w:sz w:val="24"/>
                <w:szCs w:val="24"/>
              </w:rPr>
              <w:t>（</w:t>
            </w:r>
            <w:r>
              <w:rPr>
                <w:kern w:val="0"/>
                <w:sz w:val="24"/>
                <w:szCs w:val="24"/>
              </w:rPr>
              <w:t>1</w:t>
            </w:r>
            <w:r>
              <w:rPr>
                <w:kern w:val="0"/>
                <w:sz w:val="24"/>
                <w:szCs w:val="24"/>
              </w:rPr>
              <w:t>）</w:t>
            </w:r>
          </w:p>
        </w:tc>
        <w:tc>
          <w:tcPr>
            <w:tcW w:w="787"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r>
              <w:rPr>
                <w:kern w:val="0"/>
                <w:sz w:val="24"/>
                <w:szCs w:val="24"/>
              </w:rPr>
              <w:t>（</w:t>
            </w:r>
            <w:r>
              <w:rPr>
                <w:kern w:val="0"/>
                <w:sz w:val="24"/>
                <w:szCs w:val="24"/>
              </w:rPr>
              <w:t>2</w:t>
            </w:r>
            <w:r>
              <w:rPr>
                <w:kern w:val="0"/>
                <w:sz w:val="24"/>
                <w:szCs w:val="24"/>
              </w:rPr>
              <w:t>）</w:t>
            </w:r>
          </w:p>
        </w:tc>
        <w:tc>
          <w:tcPr>
            <w:tcW w:w="7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r>
              <w:rPr>
                <w:kern w:val="0"/>
                <w:sz w:val="24"/>
                <w:szCs w:val="24"/>
              </w:rPr>
              <w:t>（</w:t>
            </w:r>
            <w:r>
              <w:rPr>
                <w:kern w:val="0"/>
                <w:sz w:val="24"/>
                <w:szCs w:val="24"/>
              </w:rPr>
              <w:t>3</w:t>
            </w:r>
            <w:r>
              <w:rPr>
                <w:kern w:val="0"/>
                <w:sz w:val="24"/>
                <w:szCs w:val="24"/>
              </w:rPr>
              <w:t>）</w:t>
            </w:r>
          </w:p>
        </w:tc>
      </w:tr>
      <w:tr w:rsidR="00CF1222" w:rsidTr="00CF1222">
        <w:trPr>
          <w:trHeight w:val="1148"/>
        </w:trPr>
        <w:tc>
          <w:tcPr>
            <w:tcW w:w="2041"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r>
              <w:rPr>
                <w:rFonts w:hint="eastAsia"/>
                <w:kern w:val="0"/>
                <w:sz w:val="24"/>
                <w:szCs w:val="24"/>
              </w:rPr>
              <w:t>1.</w:t>
            </w:r>
            <w:r>
              <w:rPr>
                <w:rFonts w:hint="eastAsia"/>
                <w:kern w:val="0"/>
                <w:sz w:val="24"/>
                <w:szCs w:val="24"/>
              </w:rPr>
              <w:t>工程知识应用能力</w:t>
            </w:r>
          </w:p>
        </w:tc>
        <w:tc>
          <w:tcPr>
            <w:tcW w:w="4490"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left"/>
              <w:rPr>
                <w:kern w:val="0"/>
                <w:sz w:val="24"/>
                <w:szCs w:val="24"/>
              </w:rPr>
            </w:pPr>
          </w:p>
          <w:p w:rsidR="00CF1222" w:rsidRDefault="00CF1222" w:rsidP="00CF1222">
            <w:pPr>
              <w:jc w:val="left"/>
              <w:rPr>
                <w:kern w:val="0"/>
                <w:sz w:val="24"/>
                <w:szCs w:val="24"/>
              </w:rPr>
            </w:pPr>
            <w:r>
              <w:rPr>
                <w:rFonts w:hint="eastAsia"/>
                <w:kern w:val="0"/>
                <w:sz w:val="24"/>
                <w:szCs w:val="24"/>
              </w:rPr>
              <w:t xml:space="preserve">1.3 </w:t>
            </w:r>
            <w:r>
              <w:rPr>
                <w:rFonts w:hint="eastAsia"/>
                <w:kern w:val="0"/>
                <w:sz w:val="24"/>
                <w:szCs w:val="24"/>
              </w:rPr>
              <w:t>掌握相关工程基础知识，具备应用相关知识推演、分析土木工程专业复杂工程问题的专业基础能力。</w:t>
            </w:r>
          </w:p>
          <w:p w:rsidR="00CF1222" w:rsidRDefault="00CF1222" w:rsidP="00CF1222">
            <w:pPr>
              <w:rPr>
                <w:rFonts w:ascii="仿宋" w:eastAsia="仿宋" w:hAnsi="仿宋" w:cs="仿宋"/>
                <w:sz w:val="24"/>
                <w:szCs w:val="24"/>
              </w:rPr>
            </w:pPr>
            <w:r>
              <w:rPr>
                <w:rFonts w:hint="eastAsia"/>
                <w:kern w:val="0"/>
                <w:sz w:val="24"/>
                <w:szCs w:val="24"/>
              </w:rPr>
              <w:t>1.4</w:t>
            </w:r>
            <w:r>
              <w:rPr>
                <w:rFonts w:ascii="仿宋" w:eastAsia="仿宋" w:hAnsi="仿宋" w:cs="仿宋" w:hint="eastAsia"/>
                <w:sz w:val="24"/>
                <w:szCs w:val="24"/>
              </w:rPr>
              <w:t>掌握土木工程专业业知识，具备知识融合能力，应用于解决土木工程专业复杂</w:t>
            </w:r>
          </w:p>
          <w:p w:rsidR="00CF1222" w:rsidRDefault="00CF1222" w:rsidP="00CF1222">
            <w:pPr>
              <w:jc w:val="left"/>
              <w:rPr>
                <w:rFonts w:ascii="仿宋" w:eastAsia="仿宋" w:hAnsi="仿宋" w:cs="仿宋"/>
                <w:kern w:val="0"/>
                <w:sz w:val="24"/>
                <w:szCs w:val="24"/>
              </w:rPr>
            </w:pPr>
            <w:r>
              <w:rPr>
                <w:rFonts w:ascii="仿宋" w:eastAsia="仿宋" w:hAnsi="仿宋" w:cs="仿宋" w:hint="eastAsia"/>
                <w:sz w:val="24"/>
                <w:szCs w:val="24"/>
              </w:rPr>
              <w:t>工程问题。</w:t>
            </w:r>
          </w:p>
          <w:p w:rsidR="00CF1222" w:rsidRDefault="00CF1222" w:rsidP="00CF1222">
            <w:pPr>
              <w:spacing w:line="180" w:lineRule="exact"/>
              <w:jc w:val="center"/>
              <w:rPr>
                <w:kern w:val="0"/>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kern w:val="0"/>
                <w:sz w:val="24"/>
                <w:szCs w:val="24"/>
              </w:rPr>
            </w:pPr>
            <w:r>
              <w:rPr>
                <w:kern w:val="0"/>
                <w:sz w:val="24"/>
                <w:szCs w:val="24"/>
              </w:rPr>
              <w:t>√</w:t>
            </w:r>
          </w:p>
        </w:tc>
        <w:tc>
          <w:tcPr>
            <w:tcW w:w="787"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kern w:val="0"/>
                <w:sz w:val="24"/>
                <w:szCs w:val="24"/>
              </w:rPr>
            </w:pPr>
            <w:r>
              <w:rPr>
                <w:kern w:val="0"/>
                <w:sz w:val="24"/>
                <w:szCs w:val="24"/>
              </w:rPr>
              <w:t>√</w:t>
            </w:r>
          </w:p>
        </w:tc>
        <w:tc>
          <w:tcPr>
            <w:tcW w:w="7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kern w:val="0"/>
                <w:sz w:val="24"/>
                <w:szCs w:val="24"/>
              </w:rPr>
            </w:pPr>
          </w:p>
        </w:tc>
      </w:tr>
      <w:tr w:rsidR="00CF1222" w:rsidTr="00CF1222">
        <w:trPr>
          <w:trHeight w:val="1400"/>
        </w:trPr>
        <w:tc>
          <w:tcPr>
            <w:tcW w:w="2041"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sz w:val="24"/>
                <w:szCs w:val="24"/>
              </w:rPr>
            </w:pPr>
            <w:r>
              <w:rPr>
                <w:rFonts w:hint="eastAsia"/>
                <w:kern w:val="0"/>
                <w:sz w:val="24"/>
                <w:szCs w:val="24"/>
              </w:rPr>
              <w:t>2.</w:t>
            </w:r>
            <w:r>
              <w:rPr>
                <w:rFonts w:hint="eastAsia"/>
                <w:kern w:val="0"/>
                <w:sz w:val="24"/>
                <w:szCs w:val="24"/>
              </w:rPr>
              <w:t>问题分析能力</w:t>
            </w:r>
          </w:p>
        </w:tc>
        <w:tc>
          <w:tcPr>
            <w:tcW w:w="4490"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left"/>
              <w:rPr>
                <w:sz w:val="24"/>
                <w:szCs w:val="24"/>
              </w:rPr>
            </w:pPr>
            <w:r>
              <w:rPr>
                <w:rFonts w:hint="eastAsia"/>
                <w:kern w:val="0"/>
                <w:sz w:val="24"/>
                <w:szCs w:val="24"/>
              </w:rPr>
              <w:t xml:space="preserve">2.3 </w:t>
            </w:r>
            <w:r>
              <w:rPr>
                <w:rFonts w:hint="eastAsia"/>
                <w:kern w:val="0"/>
                <w:sz w:val="24"/>
                <w:szCs w:val="24"/>
              </w:rPr>
              <w:t>能够正确、合理运用专业知识，识别、判断和表达土木工程专业复杂工程问题的本质特征、关键环节，并能提供多种解决方案。</w:t>
            </w:r>
          </w:p>
        </w:tc>
        <w:tc>
          <w:tcPr>
            <w:tcW w:w="703"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sz w:val="24"/>
                <w:szCs w:val="24"/>
              </w:rPr>
            </w:pPr>
            <w:r>
              <w:rPr>
                <w:kern w:val="0"/>
                <w:sz w:val="24"/>
                <w:szCs w:val="24"/>
              </w:rPr>
              <w:t>√</w:t>
            </w:r>
          </w:p>
        </w:tc>
        <w:tc>
          <w:tcPr>
            <w:tcW w:w="787"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kern w:val="0"/>
                <w:sz w:val="24"/>
                <w:szCs w:val="24"/>
              </w:rPr>
            </w:pPr>
            <w:r>
              <w:rPr>
                <w:kern w:val="0"/>
                <w:sz w:val="24"/>
                <w:szCs w:val="24"/>
              </w:rPr>
              <w:t>√</w:t>
            </w:r>
          </w:p>
        </w:tc>
        <w:tc>
          <w:tcPr>
            <w:tcW w:w="7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kern w:val="0"/>
                <w:sz w:val="24"/>
                <w:szCs w:val="24"/>
              </w:rPr>
            </w:pPr>
          </w:p>
        </w:tc>
      </w:tr>
      <w:tr w:rsidR="00CF1222" w:rsidTr="00CF1222">
        <w:trPr>
          <w:trHeight w:val="1284"/>
        </w:trPr>
        <w:tc>
          <w:tcPr>
            <w:tcW w:w="2041"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sz w:val="24"/>
                <w:szCs w:val="24"/>
              </w:rPr>
            </w:pPr>
            <w:r>
              <w:rPr>
                <w:rFonts w:hint="eastAsia"/>
                <w:kern w:val="0"/>
                <w:sz w:val="24"/>
                <w:szCs w:val="24"/>
              </w:rPr>
              <w:lastRenderedPageBreak/>
              <w:t>3.</w:t>
            </w:r>
            <w:r>
              <w:rPr>
                <w:rFonts w:hint="eastAsia"/>
                <w:kern w:val="0"/>
                <w:sz w:val="24"/>
                <w:szCs w:val="24"/>
              </w:rPr>
              <w:t>设计</w:t>
            </w:r>
            <w:r>
              <w:rPr>
                <w:rFonts w:hint="eastAsia"/>
                <w:kern w:val="0"/>
                <w:sz w:val="24"/>
                <w:szCs w:val="24"/>
              </w:rPr>
              <w:t>/</w:t>
            </w:r>
            <w:r>
              <w:rPr>
                <w:rFonts w:hint="eastAsia"/>
                <w:kern w:val="0"/>
                <w:sz w:val="24"/>
                <w:szCs w:val="24"/>
              </w:rPr>
              <w:t>开发能力</w:t>
            </w:r>
          </w:p>
        </w:tc>
        <w:tc>
          <w:tcPr>
            <w:tcW w:w="4490"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left"/>
              <w:rPr>
                <w:kern w:val="0"/>
                <w:sz w:val="24"/>
                <w:szCs w:val="24"/>
              </w:rPr>
            </w:pPr>
          </w:p>
          <w:p w:rsidR="00CF1222" w:rsidRDefault="00CF1222" w:rsidP="00CF1222">
            <w:pPr>
              <w:jc w:val="left"/>
              <w:rPr>
                <w:kern w:val="0"/>
                <w:sz w:val="24"/>
                <w:szCs w:val="24"/>
              </w:rPr>
            </w:pPr>
            <w:r>
              <w:rPr>
                <w:rFonts w:hint="eastAsia"/>
                <w:kern w:val="0"/>
                <w:sz w:val="24"/>
                <w:szCs w:val="24"/>
              </w:rPr>
              <w:t xml:space="preserve">3.1 </w:t>
            </w:r>
            <w:r>
              <w:rPr>
                <w:rFonts w:hint="eastAsia"/>
                <w:kern w:val="0"/>
                <w:sz w:val="24"/>
                <w:szCs w:val="24"/>
              </w:rPr>
              <w:t>能够针对特定需求，确定工程基本单元的设计目标或问题解决方案，并完成设计</w:t>
            </w:r>
            <w:r>
              <w:rPr>
                <w:rFonts w:hint="eastAsia"/>
                <w:kern w:val="0"/>
                <w:sz w:val="24"/>
                <w:szCs w:val="24"/>
              </w:rPr>
              <w:t>/</w:t>
            </w:r>
            <w:r>
              <w:rPr>
                <w:rFonts w:hint="eastAsia"/>
                <w:kern w:val="0"/>
                <w:sz w:val="24"/>
                <w:szCs w:val="24"/>
              </w:rPr>
              <w:t>开发工作。</w:t>
            </w:r>
          </w:p>
          <w:p w:rsidR="00CF1222" w:rsidRDefault="00CF1222" w:rsidP="00CF1222">
            <w:pPr>
              <w:jc w:val="center"/>
              <w:rPr>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sz w:val="24"/>
                <w:szCs w:val="24"/>
              </w:rPr>
            </w:pPr>
          </w:p>
        </w:tc>
        <w:tc>
          <w:tcPr>
            <w:tcW w:w="787"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kern w:val="0"/>
                <w:sz w:val="24"/>
                <w:szCs w:val="24"/>
              </w:rPr>
            </w:pPr>
            <w:r>
              <w:rPr>
                <w:kern w:val="0"/>
                <w:sz w:val="24"/>
                <w:szCs w:val="24"/>
              </w:rPr>
              <w:t>√</w:t>
            </w:r>
          </w:p>
        </w:tc>
        <w:tc>
          <w:tcPr>
            <w:tcW w:w="7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kern w:val="0"/>
                <w:sz w:val="24"/>
                <w:szCs w:val="24"/>
              </w:rPr>
            </w:pPr>
            <w:r>
              <w:rPr>
                <w:kern w:val="0"/>
                <w:sz w:val="24"/>
                <w:szCs w:val="24"/>
              </w:rPr>
              <w:t>√</w:t>
            </w:r>
          </w:p>
        </w:tc>
      </w:tr>
    </w:tbl>
    <w:p w:rsidR="00CF1222" w:rsidRDefault="00CF1222" w:rsidP="00CF1222">
      <w:pPr>
        <w:spacing w:line="360" w:lineRule="auto"/>
        <w:jc w:val="left"/>
        <w:rPr>
          <w:rFonts w:ascii="宋体" w:eastAsia="宋体" w:hAnsi="宋体"/>
          <w:b/>
          <w:color w:val="FF0000"/>
          <w:sz w:val="21"/>
          <w:szCs w:val="21"/>
        </w:rPr>
      </w:pP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F1222" w:rsidRDefault="00CF1222" w:rsidP="00CF1222">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课程的重点：受弯构件、受压构件、受拉构件、受扭构件等基本构件的受力分析和设计计算。</w:t>
      </w:r>
    </w:p>
    <w:p w:rsidR="00CF1222" w:rsidRDefault="00CF1222" w:rsidP="00CF1222">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课程的难点：受弯构件正截面、斜截面、偏压构件的破坏全过程、破坏特点以及相应构件承载力公式的建立。</w:t>
      </w:r>
    </w:p>
    <w:p w:rsidR="00CF1222" w:rsidRDefault="00CF1222" w:rsidP="00CF1222">
      <w:pPr>
        <w:spacing w:line="400" w:lineRule="exact"/>
        <w:ind w:firstLineChars="200" w:firstLine="560"/>
        <w:jc w:val="left"/>
        <w:rPr>
          <w:rFonts w:ascii="仿宋_GB2312" w:hAnsi="仿宋_GB2312" w:cs="仿宋_GB2312"/>
          <w:sz w:val="28"/>
          <w:szCs w:val="28"/>
        </w:rPr>
      </w:pP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通过本课程的学习，增强学生严谨治学的态度，增强学生作为土木工程师的社会责任感和职业道德和素养，培养学生的大国工匠精神，激发学生的家国情怀。</w:t>
      </w:r>
    </w:p>
    <w:p w:rsidR="00CF1222" w:rsidRDefault="00CF1222" w:rsidP="00CF1222">
      <w:pPr>
        <w:spacing w:before="20" w:after="40"/>
        <w:ind w:firstLineChars="700" w:firstLine="1687"/>
        <w:rPr>
          <w:b/>
          <w:bCs/>
          <w:sz w:val="18"/>
        </w:rPr>
      </w:pPr>
      <w:r>
        <w:rPr>
          <w:rFonts w:hint="eastAsia"/>
          <w:b/>
          <w:bCs/>
          <w:kern w:val="0"/>
          <w:sz w:val="24"/>
          <w:szCs w:val="24"/>
        </w:rPr>
        <w:t>“混凝土结构基本理论”课程思政目标及主要方法</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1"/>
        <w:gridCol w:w="1350"/>
        <w:gridCol w:w="3225"/>
        <w:gridCol w:w="3925"/>
      </w:tblGrid>
      <w:tr w:rsidR="00CF1222" w:rsidTr="00CF1222">
        <w:trPr>
          <w:trHeight w:val="749"/>
        </w:trPr>
        <w:tc>
          <w:tcPr>
            <w:tcW w:w="461" w:type="dxa"/>
          </w:tcPr>
          <w:p w:rsidR="00CF1222" w:rsidRPr="00FE09E8" w:rsidRDefault="00CF1222" w:rsidP="00CF1222">
            <w:pPr>
              <w:pStyle w:val="TableParagraph"/>
              <w:spacing w:before="142" w:line="242" w:lineRule="auto"/>
              <w:ind w:left="138" w:right="130"/>
              <w:rPr>
                <w:rFonts w:ascii="仿宋_GB2312" w:eastAsia="仿宋_GB2312" w:hAnsi="仿宋_GB2312" w:cs="仿宋_GB2312"/>
                <w:b/>
                <w:bCs/>
                <w:sz w:val="24"/>
                <w:szCs w:val="24"/>
                <w:lang w:val="en-US" w:bidi="ar-SA"/>
              </w:rPr>
            </w:pPr>
            <w:r w:rsidRPr="00FE09E8">
              <w:rPr>
                <w:rFonts w:ascii="仿宋_GB2312" w:eastAsia="仿宋_GB2312" w:hAnsi="仿宋_GB2312" w:cs="仿宋_GB2312" w:hint="eastAsia"/>
                <w:b/>
                <w:bCs/>
                <w:sz w:val="24"/>
                <w:szCs w:val="24"/>
                <w:lang w:val="en-US" w:bidi="ar-SA"/>
              </w:rPr>
              <w:t>序号</w:t>
            </w:r>
          </w:p>
        </w:tc>
        <w:tc>
          <w:tcPr>
            <w:tcW w:w="1350" w:type="dxa"/>
          </w:tcPr>
          <w:p w:rsidR="00CF1222" w:rsidRPr="00FE09E8" w:rsidRDefault="00CF1222" w:rsidP="00CF1222">
            <w:pPr>
              <w:pStyle w:val="TableParagraph"/>
              <w:spacing w:before="3"/>
              <w:rPr>
                <w:rFonts w:ascii="仿宋_GB2312" w:eastAsia="仿宋_GB2312" w:hAnsi="仿宋_GB2312" w:cs="仿宋_GB2312"/>
                <w:b/>
                <w:bCs/>
                <w:sz w:val="24"/>
                <w:szCs w:val="24"/>
                <w:lang w:val="en-US" w:bidi="ar-SA"/>
              </w:rPr>
            </w:pPr>
          </w:p>
          <w:p w:rsidR="00CF1222" w:rsidRPr="00FE09E8" w:rsidRDefault="00CF1222" w:rsidP="00CF1222">
            <w:pPr>
              <w:pStyle w:val="TableParagraph"/>
              <w:ind w:left="405"/>
              <w:rPr>
                <w:rFonts w:ascii="仿宋_GB2312" w:eastAsia="仿宋_GB2312" w:hAnsi="仿宋_GB2312" w:cs="仿宋_GB2312"/>
                <w:b/>
                <w:bCs/>
                <w:sz w:val="24"/>
                <w:szCs w:val="24"/>
                <w:lang w:val="en-US" w:bidi="ar-SA"/>
              </w:rPr>
            </w:pPr>
            <w:r w:rsidRPr="00FE09E8">
              <w:rPr>
                <w:rFonts w:ascii="仿宋_GB2312" w:eastAsia="仿宋_GB2312" w:hAnsi="仿宋_GB2312" w:cs="仿宋_GB2312" w:hint="eastAsia"/>
                <w:b/>
                <w:bCs/>
                <w:sz w:val="24"/>
                <w:szCs w:val="24"/>
                <w:lang w:val="en-US" w:bidi="ar-SA"/>
              </w:rPr>
              <w:t>章 节</w:t>
            </w:r>
          </w:p>
        </w:tc>
        <w:tc>
          <w:tcPr>
            <w:tcW w:w="3225" w:type="dxa"/>
          </w:tcPr>
          <w:p w:rsidR="00CF1222" w:rsidRPr="00FE09E8" w:rsidRDefault="00CF1222" w:rsidP="00CF1222">
            <w:pPr>
              <w:pStyle w:val="TableParagraph"/>
              <w:spacing w:before="3"/>
              <w:rPr>
                <w:rFonts w:ascii="仿宋_GB2312" w:eastAsia="仿宋_GB2312" w:hAnsi="仿宋_GB2312" w:cs="仿宋_GB2312"/>
                <w:b/>
                <w:bCs/>
                <w:sz w:val="24"/>
                <w:szCs w:val="24"/>
                <w:lang w:val="en-US" w:bidi="ar-SA"/>
              </w:rPr>
            </w:pPr>
          </w:p>
          <w:p w:rsidR="00CF1222" w:rsidRPr="00FE09E8" w:rsidRDefault="00CF1222" w:rsidP="00CF1222">
            <w:pPr>
              <w:pStyle w:val="TableParagraph"/>
              <w:ind w:left="802"/>
              <w:rPr>
                <w:rFonts w:ascii="仿宋_GB2312" w:eastAsia="仿宋_GB2312" w:hAnsi="仿宋_GB2312" w:cs="仿宋_GB2312"/>
                <w:b/>
                <w:bCs/>
                <w:sz w:val="24"/>
                <w:szCs w:val="24"/>
                <w:lang w:val="en-US" w:bidi="ar-SA"/>
              </w:rPr>
            </w:pPr>
            <w:r w:rsidRPr="00FE09E8">
              <w:rPr>
                <w:rFonts w:ascii="仿宋_GB2312" w:eastAsia="仿宋_GB2312" w:hAnsi="仿宋_GB2312" w:cs="仿宋_GB2312" w:hint="eastAsia"/>
                <w:b/>
                <w:bCs/>
                <w:sz w:val="24"/>
                <w:szCs w:val="24"/>
                <w:lang w:val="en-US" w:bidi="ar-SA"/>
              </w:rPr>
              <w:t>主要内容及知识类型</w:t>
            </w:r>
          </w:p>
        </w:tc>
        <w:tc>
          <w:tcPr>
            <w:tcW w:w="3925" w:type="dxa"/>
          </w:tcPr>
          <w:p w:rsidR="00CF1222" w:rsidRPr="00FE09E8" w:rsidRDefault="00CF1222" w:rsidP="00CF1222">
            <w:pPr>
              <w:pStyle w:val="TableParagraph"/>
              <w:spacing w:before="3"/>
              <w:rPr>
                <w:rFonts w:ascii="仿宋_GB2312" w:eastAsia="仿宋_GB2312" w:hAnsi="仿宋_GB2312" w:cs="仿宋_GB2312"/>
                <w:b/>
                <w:bCs/>
                <w:sz w:val="24"/>
                <w:szCs w:val="24"/>
                <w:lang w:val="en-US" w:bidi="ar-SA"/>
              </w:rPr>
            </w:pPr>
          </w:p>
          <w:p w:rsidR="00CF1222" w:rsidRPr="00FE09E8" w:rsidRDefault="00CF1222" w:rsidP="00CF1222">
            <w:pPr>
              <w:pStyle w:val="TableParagraph"/>
              <w:ind w:left="1150"/>
              <w:rPr>
                <w:rFonts w:ascii="仿宋_GB2312" w:eastAsia="仿宋_GB2312" w:hAnsi="仿宋_GB2312" w:cs="仿宋_GB2312"/>
                <w:b/>
                <w:bCs/>
                <w:sz w:val="24"/>
                <w:szCs w:val="24"/>
                <w:lang w:val="en-US" w:bidi="ar-SA"/>
              </w:rPr>
            </w:pPr>
            <w:r w:rsidRPr="00FE09E8">
              <w:rPr>
                <w:rFonts w:ascii="仿宋_GB2312" w:eastAsia="仿宋_GB2312" w:hAnsi="仿宋_GB2312" w:cs="仿宋_GB2312" w:hint="eastAsia"/>
                <w:b/>
                <w:bCs/>
                <w:sz w:val="24"/>
                <w:szCs w:val="24"/>
                <w:lang w:val="en-US" w:bidi="ar-SA"/>
              </w:rPr>
              <w:t>思政目标及主要方法</w:t>
            </w:r>
          </w:p>
        </w:tc>
      </w:tr>
      <w:tr w:rsidR="00CF1222" w:rsidTr="00CF1222">
        <w:trPr>
          <w:trHeight w:val="933"/>
        </w:trPr>
        <w:tc>
          <w:tcPr>
            <w:tcW w:w="461" w:type="dxa"/>
          </w:tcPr>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r w:rsidRPr="00FE09E8">
              <w:rPr>
                <w:rFonts w:ascii="仿宋_GB2312" w:hAnsi="仿宋_GB2312" w:cs="仿宋_GB2312"/>
                <w:bCs/>
                <w:sz w:val="24"/>
                <w:szCs w:val="24"/>
              </w:rPr>
              <w:t>1</w:t>
            </w:r>
          </w:p>
        </w:tc>
        <w:tc>
          <w:tcPr>
            <w:tcW w:w="1350" w:type="dxa"/>
          </w:tcPr>
          <w:p w:rsidR="00CF1222" w:rsidRPr="00FE09E8" w:rsidRDefault="00CF1222" w:rsidP="00CF1222">
            <w:pPr>
              <w:jc w:val="left"/>
              <w:rPr>
                <w:rFonts w:ascii="仿宋_GB2312" w:hAnsi="仿宋_GB2312" w:cs="仿宋_GB2312"/>
                <w:bCs/>
                <w:sz w:val="24"/>
                <w:szCs w:val="24"/>
              </w:rPr>
            </w:pPr>
          </w:p>
          <w:p w:rsidR="00CF1222" w:rsidRPr="00FE09E8" w:rsidRDefault="00CF1222" w:rsidP="00CF1222">
            <w:pPr>
              <w:ind w:firstLineChars="100" w:firstLine="240"/>
              <w:jc w:val="left"/>
              <w:rPr>
                <w:rFonts w:ascii="仿宋_GB2312" w:hAnsi="仿宋_GB2312" w:cs="仿宋_GB2312"/>
                <w:bCs/>
                <w:sz w:val="24"/>
                <w:szCs w:val="24"/>
              </w:rPr>
            </w:pPr>
            <w:r w:rsidRPr="00FE09E8">
              <w:rPr>
                <w:rFonts w:ascii="仿宋_GB2312" w:hAnsi="仿宋_GB2312" w:cs="仿宋_GB2312" w:hint="eastAsia"/>
                <w:bCs/>
                <w:sz w:val="24"/>
                <w:szCs w:val="24"/>
              </w:rPr>
              <w:t>第一章</w:t>
            </w:r>
          </w:p>
          <w:p w:rsidR="00CF1222" w:rsidRPr="00FE09E8" w:rsidRDefault="00CF1222" w:rsidP="00CF1222">
            <w:pPr>
              <w:ind w:firstLineChars="100" w:firstLine="240"/>
              <w:jc w:val="left"/>
              <w:rPr>
                <w:rFonts w:ascii="仿宋_GB2312" w:hAnsi="仿宋_GB2312" w:cs="仿宋_GB2312"/>
                <w:bCs/>
                <w:sz w:val="24"/>
                <w:szCs w:val="24"/>
              </w:rPr>
            </w:pPr>
            <w:r w:rsidRPr="00FE09E8">
              <w:rPr>
                <w:rFonts w:ascii="仿宋_GB2312" w:hAnsi="仿宋_GB2312" w:cs="仿宋_GB2312" w:hint="eastAsia"/>
                <w:bCs/>
                <w:sz w:val="24"/>
                <w:szCs w:val="24"/>
              </w:rPr>
              <w:t>绪 论</w:t>
            </w:r>
          </w:p>
        </w:tc>
        <w:tc>
          <w:tcPr>
            <w:tcW w:w="32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主要内容：混凝土结构的一般概念、特点；混凝土结构的发展简况及其工程应用；本课程的特点与学习方法。</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知识类型：陈述型知识。</w:t>
            </w:r>
          </w:p>
        </w:tc>
        <w:tc>
          <w:tcPr>
            <w:tcW w:w="39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思政目标：1、爱国情怀与理想信念教育；2、科技创新教育。</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主要方法：典型工程、著名人物、最新科研成果的引入。</w:t>
            </w:r>
          </w:p>
        </w:tc>
      </w:tr>
      <w:tr w:rsidR="00CF1222" w:rsidTr="00CF1222">
        <w:trPr>
          <w:trHeight w:val="934"/>
        </w:trPr>
        <w:tc>
          <w:tcPr>
            <w:tcW w:w="461" w:type="dxa"/>
          </w:tcPr>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r w:rsidRPr="00FE09E8">
              <w:rPr>
                <w:rFonts w:ascii="仿宋_GB2312" w:hAnsi="仿宋_GB2312" w:cs="仿宋_GB2312"/>
                <w:bCs/>
                <w:sz w:val="24"/>
                <w:szCs w:val="24"/>
              </w:rPr>
              <w:t>2</w:t>
            </w:r>
          </w:p>
        </w:tc>
        <w:tc>
          <w:tcPr>
            <w:tcW w:w="1350" w:type="dxa"/>
          </w:tcPr>
          <w:p w:rsidR="00CF1222" w:rsidRPr="00FE09E8" w:rsidRDefault="00CF1222" w:rsidP="00CF1222">
            <w:pPr>
              <w:ind w:firstLineChars="100" w:firstLine="240"/>
              <w:jc w:val="left"/>
              <w:rPr>
                <w:rFonts w:ascii="仿宋_GB2312" w:hAnsi="仿宋_GB2312" w:cs="仿宋_GB2312"/>
                <w:bCs/>
                <w:sz w:val="24"/>
                <w:szCs w:val="24"/>
              </w:rPr>
            </w:pPr>
            <w:r w:rsidRPr="00FE09E8">
              <w:rPr>
                <w:rFonts w:ascii="仿宋_GB2312" w:hAnsi="仿宋_GB2312" w:cs="仿宋_GB2312" w:hint="eastAsia"/>
                <w:bCs/>
                <w:sz w:val="24"/>
                <w:szCs w:val="24"/>
              </w:rPr>
              <w:t>第二章</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混凝土结构材料的物理力学性能</w:t>
            </w:r>
          </w:p>
        </w:tc>
        <w:tc>
          <w:tcPr>
            <w:tcW w:w="32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主要内容：钢筋；混凝土；钢筋与混凝土的粘结作用。</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知识类型：分析探讨与应用型知识。</w:t>
            </w:r>
          </w:p>
        </w:tc>
        <w:tc>
          <w:tcPr>
            <w:tcW w:w="39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思政目标：1、科技创新教育；2、职业素养教育。主要方法：1、国内外同类内容的比较分析；2、规范条文解读；3、典型工程事故案例分析。</w:t>
            </w:r>
          </w:p>
        </w:tc>
      </w:tr>
      <w:tr w:rsidR="00CF1222" w:rsidTr="00CF1222">
        <w:trPr>
          <w:trHeight w:val="977"/>
        </w:trPr>
        <w:tc>
          <w:tcPr>
            <w:tcW w:w="461" w:type="dxa"/>
          </w:tcPr>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r w:rsidRPr="00FE09E8">
              <w:rPr>
                <w:rFonts w:ascii="仿宋_GB2312" w:hAnsi="仿宋_GB2312" w:cs="仿宋_GB2312"/>
                <w:bCs/>
                <w:sz w:val="24"/>
                <w:szCs w:val="24"/>
              </w:rPr>
              <w:t>3</w:t>
            </w:r>
          </w:p>
        </w:tc>
        <w:tc>
          <w:tcPr>
            <w:tcW w:w="1350" w:type="dxa"/>
          </w:tcPr>
          <w:p w:rsidR="00CF1222" w:rsidRPr="00FE09E8" w:rsidRDefault="00CF1222" w:rsidP="00CF1222">
            <w:pPr>
              <w:jc w:val="left"/>
              <w:rPr>
                <w:rFonts w:ascii="仿宋_GB2312" w:hAnsi="仿宋_GB2312" w:cs="仿宋_GB2312"/>
                <w:bCs/>
                <w:sz w:val="24"/>
                <w:szCs w:val="24"/>
              </w:rPr>
            </w:pPr>
          </w:p>
          <w:p w:rsidR="00CF1222" w:rsidRPr="00FE09E8" w:rsidRDefault="00CF1222" w:rsidP="00CF1222">
            <w:pPr>
              <w:ind w:firstLineChars="100" w:firstLine="240"/>
              <w:jc w:val="left"/>
              <w:rPr>
                <w:rFonts w:ascii="仿宋_GB2312" w:hAnsi="仿宋_GB2312" w:cs="仿宋_GB2312"/>
                <w:bCs/>
                <w:sz w:val="24"/>
                <w:szCs w:val="24"/>
              </w:rPr>
            </w:pPr>
            <w:r w:rsidRPr="00FE09E8">
              <w:rPr>
                <w:rFonts w:ascii="仿宋_GB2312" w:hAnsi="仿宋_GB2312" w:cs="仿宋_GB2312" w:hint="eastAsia"/>
                <w:bCs/>
                <w:sz w:val="24"/>
                <w:szCs w:val="24"/>
              </w:rPr>
              <w:t xml:space="preserve">第三章 </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混凝土结构设计方法</w:t>
            </w:r>
          </w:p>
        </w:tc>
        <w:tc>
          <w:tcPr>
            <w:tcW w:w="32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主要内容：极限状态设计法的基本概念；可靠度分析的基本概念；极限状态设计的实用表达式。</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知识类型：分析探讨与应用型知识。</w:t>
            </w:r>
          </w:p>
        </w:tc>
        <w:tc>
          <w:tcPr>
            <w:tcW w:w="3925" w:type="dxa"/>
          </w:tcPr>
          <w:p w:rsidR="00CF1222" w:rsidRPr="00FE09E8" w:rsidRDefault="00CF1222" w:rsidP="00CF1222">
            <w:pPr>
              <w:jc w:val="left"/>
              <w:rPr>
                <w:rFonts w:ascii="仿宋_GB2312" w:hAnsi="仿宋_GB2312" w:cs="仿宋_GB2312"/>
                <w:bCs/>
                <w:sz w:val="24"/>
                <w:szCs w:val="24"/>
              </w:rPr>
            </w:pP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思政目标：1、职业素养教育；2、科技创新教育。主要方法：1、国内外同类内容的比较分析；2、规范条文解读。</w:t>
            </w:r>
          </w:p>
        </w:tc>
      </w:tr>
      <w:tr w:rsidR="00CF1222" w:rsidTr="00CF1222">
        <w:trPr>
          <w:trHeight w:val="977"/>
        </w:trPr>
        <w:tc>
          <w:tcPr>
            <w:tcW w:w="461" w:type="dxa"/>
          </w:tcPr>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r w:rsidRPr="00FE09E8">
              <w:rPr>
                <w:rFonts w:ascii="仿宋_GB2312" w:hAnsi="仿宋_GB2312" w:cs="仿宋_GB2312"/>
                <w:bCs/>
                <w:sz w:val="24"/>
                <w:szCs w:val="24"/>
              </w:rPr>
              <w:t>4</w:t>
            </w:r>
          </w:p>
        </w:tc>
        <w:tc>
          <w:tcPr>
            <w:tcW w:w="1350" w:type="dxa"/>
          </w:tcPr>
          <w:p w:rsidR="00CF1222" w:rsidRPr="00FE09E8" w:rsidRDefault="00CF1222" w:rsidP="00CF1222">
            <w:pPr>
              <w:ind w:firstLineChars="100" w:firstLine="240"/>
              <w:jc w:val="left"/>
              <w:rPr>
                <w:rFonts w:ascii="仿宋_GB2312" w:hAnsi="仿宋_GB2312" w:cs="仿宋_GB2312"/>
                <w:bCs/>
                <w:sz w:val="24"/>
                <w:szCs w:val="24"/>
              </w:rPr>
            </w:pPr>
            <w:r w:rsidRPr="00FE09E8">
              <w:rPr>
                <w:rFonts w:ascii="仿宋_GB2312" w:hAnsi="仿宋_GB2312" w:cs="仿宋_GB2312" w:hint="eastAsia"/>
                <w:bCs/>
                <w:sz w:val="24"/>
                <w:szCs w:val="24"/>
              </w:rPr>
              <w:t xml:space="preserve">第四章 </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受弯构件正截面承载力计算</w:t>
            </w:r>
          </w:p>
        </w:tc>
        <w:tc>
          <w:tcPr>
            <w:tcW w:w="32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主要内容：单筋矩形、双筋矩形、T 形截面受弯构件正截面承载力计算。</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知识类型：分析探讨与应用型知识。</w:t>
            </w:r>
          </w:p>
        </w:tc>
        <w:tc>
          <w:tcPr>
            <w:tcW w:w="39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思政目标：1、职业素养教育；2、科技创新教育。主要方法：1、规范条文解读；2、典型工程案例分析；3、新材料混凝土受弯构件正截面承载力分析。</w:t>
            </w:r>
          </w:p>
        </w:tc>
      </w:tr>
      <w:tr w:rsidR="00CF1222" w:rsidTr="00CF1222">
        <w:trPr>
          <w:trHeight w:val="977"/>
        </w:trPr>
        <w:tc>
          <w:tcPr>
            <w:tcW w:w="461" w:type="dxa"/>
          </w:tcPr>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r w:rsidRPr="00FE09E8">
              <w:rPr>
                <w:rFonts w:ascii="仿宋_GB2312" w:hAnsi="仿宋_GB2312" w:cs="仿宋_GB2312"/>
                <w:bCs/>
                <w:sz w:val="24"/>
                <w:szCs w:val="24"/>
              </w:rPr>
              <w:t>5</w:t>
            </w:r>
          </w:p>
          <w:p w:rsidR="00CF1222" w:rsidRPr="00FE09E8" w:rsidRDefault="00CF1222" w:rsidP="00CF1222">
            <w:pPr>
              <w:jc w:val="center"/>
              <w:rPr>
                <w:rFonts w:ascii="仿宋_GB2312" w:hAnsi="仿宋_GB2312" w:cs="仿宋_GB2312"/>
                <w:bCs/>
                <w:sz w:val="24"/>
                <w:szCs w:val="24"/>
              </w:rPr>
            </w:pPr>
          </w:p>
        </w:tc>
        <w:tc>
          <w:tcPr>
            <w:tcW w:w="1350" w:type="dxa"/>
          </w:tcPr>
          <w:p w:rsidR="00CF1222" w:rsidRPr="00FE09E8" w:rsidRDefault="00CF1222" w:rsidP="00CF1222">
            <w:pPr>
              <w:jc w:val="left"/>
              <w:rPr>
                <w:rFonts w:ascii="仿宋_GB2312" w:hAnsi="仿宋_GB2312" w:cs="仿宋_GB2312"/>
                <w:bCs/>
                <w:sz w:val="24"/>
                <w:szCs w:val="24"/>
              </w:rPr>
            </w:pPr>
          </w:p>
          <w:p w:rsidR="00CF1222" w:rsidRPr="00FE09E8" w:rsidRDefault="00CF1222" w:rsidP="00CF1222">
            <w:pPr>
              <w:ind w:firstLineChars="100" w:firstLine="240"/>
              <w:jc w:val="left"/>
              <w:rPr>
                <w:rFonts w:ascii="仿宋_GB2312" w:hAnsi="仿宋_GB2312" w:cs="仿宋_GB2312"/>
                <w:bCs/>
                <w:sz w:val="24"/>
                <w:szCs w:val="24"/>
              </w:rPr>
            </w:pPr>
            <w:r w:rsidRPr="00FE09E8">
              <w:rPr>
                <w:rFonts w:ascii="仿宋_GB2312" w:hAnsi="仿宋_GB2312" w:cs="仿宋_GB2312" w:hint="eastAsia"/>
                <w:bCs/>
                <w:sz w:val="24"/>
                <w:szCs w:val="24"/>
              </w:rPr>
              <w:t xml:space="preserve">第五章 </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受弯构件斜截面承载力计算</w:t>
            </w:r>
          </w:p>
        </w:tc>
        <w:tc>
          <w:tcPr>
            <w:tcW w:w="32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主要内容：斜裂缝的形成；</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无腹筋梁与有腹筋梁的斜截面受剪性能；受弯构件斜截面受剪承载力计算； 受弯构件纵向钢筋构造要求。</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知识类型：分析探讨与应用型知识。</w:t>
            </w:r>
          </w:p>
        </w:tc>
        <w:tc>
          <w:tcPr>
            <w:tcW w:w="3925" w:type="dxa"/>
          </w:tcPr>
          <w:p w:rsidR="00CF1222" w:rsidRPr="00FE09E8" w:rsidRDefault="00CF1222" w:rsidP="00CF1222">
            <w:pPr>
              <w:jc w:val="left"/>
              <w:rPr>
                <w:rFonts w:ascii="仿宋_GB2312" w:hAnsi="仿宋_GB2312" w:cs="仿宋_GB2312"/>
                <w:bCs/>
                <w:sz w:val="24"/>
                <w:szCs w:val="24"/>
              </w:rPr>
            </w:pP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思政目标：1、职业素养教育；2、科技创新教育。主要方法：1、规范条文解读；2、国内外同类内容的比较分析；3、新材料混凝土受弯构件斜截面承载力分析。</w:t>
            </w:r>
          </w:p>
        </w:tc>
      </w:tr>
      <w:tr w:rsidR="00CF1222" w:rsidTr="00CF1222">
        <w:trPr>
          <w:trHeight w:val="977"/>
        </w:trPr>
        <w:tc>
          <w:tcPr>
            <w:tcW w:w="461" w:type="dxa"/>
          </w:tcPr>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r w:rsidRPr="00FE09E8">
              <w:rPr>
                <w:rFonts w:ascii="仿宋_GB2312" w:hAnsi="仿宋_GB2312" w:cs="仿宋_GB2312"/>
                <w:bCs/>
                <w:sz w:val="24"/>
                <w:szCs w:val="24"/>
              </w:rPr>
              <w:t>6</w:t>
            </w:r>
          </w:p>
        </w:tc>
        <w:tc>
          <w:tcPr>
            <w:tcW w:w="1350" w:type="dxa"/>
          </w:tcPr>
          <w:p w:rsidR="00CF1222" w:rsidRPr="00FE09E8" w:rsidRDefault="00CF1222" w:rsidP="00CF1222">
            <w:pPr>
              <w:ind w:firstLineChars="100" w:firstLine="240"/>
              <w:jc w:val="left"/>
              <w:rPr>
                <w:rFonts w:ascii="仿宋_GB2312" w:hAnsi="仿宋_GB2312" w:cs="仿宋_GB2312"/>
                <w:bCs/>
                <w:sz w:val="24"/>
                <w:szCs w:val="24"/>
              </w:rPr>
            </w:pPr>
          </w:p>
          <w:p w:rsidR="00CF1222" w:rsidRPr="00FE09E8" w:rsidRDefault="00CF1222" w:rsidP="00CF1222">
            <w:pPr>
              <w:ind w:firstLineChars="100" w:firstLine="240"/>
              <w:jc w:val="left"/>
              <w:rPr>
                <w:rFonts w:ascii="仿宋_GB2312" w:hAnsi="仿宋_GB2312" w:cs="仿宋_GB2312"/>
                <w:bCs/>
                <w:sz w:val="24"/>
                <w:szCs w:val="24"/>
              </w:rPr>
            </w:pPr>
            <w:r w:rsidRPr="00FE09E8">
              <w:rPr>
                <w:rFonts w:ascii="仿宋_GB2312" w:hAnsi="仿宋_GB2312" w:cs="仿宋_GB2312" w:hint="eastAsia"/>
                <w:bCs/>
                <w:sz w:val="24"/>
                <w:szCs w:val="24"/>
              </w:rPr>
              <w:t>第六章</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受扭构件承载力计算</w:t>
            </w:r>
          </w:p>
        </w:tc>
        <w:tc>
          <w:tcPr>
            <w:tcW w:w="32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主要内容：构件的开裂扭矩；纯扭构件、弯剪扭构件、压弯剪扭构件、拉弯剪扭构件受扭承载力计算与构造要求。</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知识类型：分析探讨与应用型知识。</w:t>
            </w:r>
          </w:p>
        </w:tc>
        <w:tc>
          <w:tcPr>
            <w:tcW w:w="3925" w:type="dxa"/>
          </w:tcPr>
          <w:p w:rsidR="00CF1222" w:rsidRPr="00FE09E8" w:rsidRDefault="00CF1222" w:rsidP="00CF1222">
            <w:pPr>
              <w:jc w:val="left"/>
              <w:rPr>
                <w:rFonts w:ascii="仿宋_GB2312" w:hAnsi="仿宋_GB2312" w:cs="仿宋_GB2312"/>
                <w:bCs/>
                <w:sz w:val="24"/>
                <w:szCs w:val="24"/>
              </w:rPr>
            </w:pP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思政目标：1、科技创新教育；2、职业素养教育。主要方法：1、规范条文解读；2、相关最新科研成果及研究介绍；3、工程事故案例分析。</w:t>
            </w:r>
          </w:p>
        </w:tc>
      </w:tr>
      <w:tr w:rsidR="00CF1222" w:rsidTr="00CF1222">
        <w:trPr>
          <w:trHeight w:val="402"/>
        </w:trPr>
        <w:tc>
          <w:tcPr>
            <w:tcW w:w="461" w:type="dxa"/>
          </w:tcPr>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r w:rsidRPr="00FE09E8">
              <w:rPr>
                <w:rFonts w:ascii="仿宋_GB2312" w:hAnsi="仿宋_GB2312" w:cs="仿宋_GB2312"/>
                <w:bCs/>
                <w:sz w:val="24"/>
                <w:szCs w:val="24"/>
              </w:rPr>
              <w:t>7</w:t>
            </w:r>
          </w:p>
        </w:tc>
        <w:tc>
          <w:tcPr>
            <w:tcW w:w="1350" w:type="dxa"/>
          </w:tcPr>
          <w:p w:rsidR="00CF1222" w:rsidRPr="00FE09E8" w:rsidRDefault="00CF1222" w:rsidP="00CF1222">
            <w:pPr>
              <w:ind w:firstLineChars="100" w:firstLine="240"/>
              <w:jc w:val="left"/>
              <w:rPr>
                <w:rFonts w:ascii="仿宋_GB2312" w:hAnsi="仿宋_GB2312" w:cs="仿宋_GB2312"/>
                <w:bCs/>
                <w:sz w:val="24"/>
                <w:szCs w:val="24"/>
              </w:rPr>
            </w:pPr>
          </w:p>
          <w:p w:rsidR="00CF1222" w:rsidRPr="00FE09E8" w:rsidRDefault="00CF1222" w:rsidP="00CF1222">
            <w:pPr>
              <w:ind w:firstLineChars="100" w:firstLine="240"/>
              <w:jc w:val="left"/>
              <w:rPr>
                <w:rFonts w:ascii="仿宋_GB2312" w:hAnsi="仿宋_GB2312" w:cs="仿宋_GB2312"/>
                <w:bCs/>
                <w:sz w:val="24"/>
                <w:szCs w:val="24"/>
              </w:rPr>
            </w:pPr>
            <w:r w:rsidRPr="00FE09E8">
              <w:rPr>
                <w:rFonts w:ascii="仿宋_GB2312" w:hAnsi="仿宋_GB2312" w:cs="仿宋_GB2312" w:hint="eastAsia"/>
                <w:bCs/>
                <w:sz w:val="24"/>
                <w:szCs w:val="24"/>
              </w:rPr>
              <w:t>第七章</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受压构件承载力计算</w:t>
            </w:r>
          </w:p>
        </w:tc>
        <w:tc>
          <w:tcPr>
            <w:tcW w:w="32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主要内容：受压构件的类型及一般构造要求；轴心受压构件、不对称配筋矩形截面偏心受压构件、对称配筋矩形截面偏心受压构件承载力计算。</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知识类型：分析探讨与应用型知识。</w:t>
            </w:r>
          </w:p>
        </w:tc>
        <w:tc>
          <w:tcPr>
            <w:tcW w:w="39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思政目标：1、职业素养教育；2、科技创新教育。主要方法：1、规范条文解读；2、相关最新科研成果综述与分析；3、新材料混凝土受压构件介绍；4、工程事故案例分析。</w:t>
            </w:r>
          </w:p>
        </w:tc>
      </w:tr>
      <w:tr w:rsidR="00CF1222" w:rsidTr="00CF1222">
        <w:trPr>
          <w:trHeight w:val="727"/>
        </w:trPr>
        <w:tc>
          <w:tcPr>
            <w:tcW w:w="461" w:type="dxa"/>
          </w:tcPr>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r w:rsidRPr="00FE09E8">
              <w:rPr>
                <w:rFonts w:ascii="仿宋_GB2312" w:hAnsi="仿宋_GB2312" w:cs="仿宋_GB2312"/>
                <w:bCs/>
                <w:sz w:val="24"/>
                <w:szCs w:val="24"/>
              </w:rPr>
              <w:t>8</w:t>
            </w:r>
          </w:p>
        </w:tc>
        <w:tc>
          <w:tcPr>
            <w:tcW w:w="1350" w:type="dxa"/>
          </w:tcPr>
          <w:p w:rsidR="00CF1222" w:rsidRPr="00FE09E8" w:rsidRDefault="00CF1222" w:rsidP="00CF1222">
            <w:pPr>
              <w:ind w:firstLineChars="100" w:firstLine="240"/>
              <w:jc w:val="left"/>
              <w:rPr>
                <w:rFonts w:ascii="仿宋_GB2312" w:hAnsi="仿宋_GB2312" w:cs="仿宋_GB2312"/>
                <w:bCs/>
                <w:sz w:val="24"/>
                <w:szCs w:val="24"/>
              </w:rPr>
            </w:pPr>
            <w:r w:rsidRPr="00FE09E8">
              <w:rPr>
                <w:rFonts w:ascii="仿宋_GB2312" w:hAnsi="仿宋_GB2312" w:cs="仿宋_GB2312" w:hint="eastAsia"/>
                <w:bCs/>
                <w:sz w:val="24"/>
                <w:szCs w:val="24"/>
              </w:rPr>
              <w:t xml:space="preserve">第八章 </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受拉构件承载力计算</w:t>
            </w:r>
          </w:p>
        </w:tc>
        <w:tc>
          <w:tcPr>
            <w:tcW w:w="32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主要内容：轴心受拉构件承载力计算； 偏心受拉构件正截面承载力计算；偏心受拉构件斜截面受剪承载力。</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知识类型：分析探讨与应用型知识。</w:t>
            </w:r>
          </w:p>
        </w:tc>
        <w:tc>
          <w:tcPr>
            <w:tcW w:w="3925" w:type="dxa"/>
          </w:tcPr>
          <w:p w:rsidR="00CF1222" w:rsidRPr="00FE09E8" w:rsidRDefault="00CF1222" w:rsidP="00CF1222">
            <w:pPr>
              <w:jc w:val="left"/>
              <w:rPr>
                <w:rFonts w:ascii="仿宋_GB2312" w:hAnsi="仿宋_GB2312" w:cs="仿宋_GB2312"/>
                <w:bCs/>
                <w:sz w:val="24"/>
                <w:szCs w:val="24"/>
              </w:rPr>
            </w:pP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思政目标：职业素养教育。</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主要方法：1、规范条文解读；2、典型工程案例分析。</w:t>
            </w:r>
          </w:p>
        </w:tc>
      </w:tr>
      <w:tr w:rsidR="00CF1222" w:rsidTr="00CF1222">
        <w:trPr>
          <w:trHeight w:val="977"/>
        </w:trPr>
        <w:tc>
          <w:tcPr>
            <w:tcW w:w="461" w:type="dxa"/>
          </w:tcPr>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r w:rsidRPr="00FE09E8">
              <w:rPr>
                <w:rFonts w:ascii="仿宋_GB2312" w:hAnsi="仿宋_GB2312" w:cs="仿宋_GB2312"/>
                <w:bCs/>
                <w:sz w:val="24"/>
                <w:szCs w:val="24"/>
              </w:rPr>
              <w:t>9</w:t>
            </w:r>
          </w:p>
        </w:tc>
        <w:tc>
          <w:tcPr>
            <w:tcW w:w="1350" w:type="dxa"/>
          </w:tcPr>
          <w:p w:rsidR="00CF1222" w:rsidRPr="00FE09E8" w:rsidRDefault="00CF1222" w:rsidP="00CF1222">
            <w:pPr>
              <w:ind w:firstLineChars="100" w:firstLine="240"/>
              <w:jc w:val="left"/>
              <w:rPr>
                <w:rFonts w:ascii="仿宋_GB2312" w:hAnsi="仿宋_GB2312" w:cs="仿宋_GB2312"/>
                <w:bCs/>
                <w:sz w:val="24"/>
                <w:szCs w:val="24"/>
              </w:rPr>
            </w:pPr>
            <w:r w:rsidRPr="00FE09E8">
              <w:rPr>
                <w:rFonts w:ascii="仿宋_GB2312" w:hAnsi="仿宋_GB2312" w:cs="仿宋_GB2312" w:hint="eastAsia"/>
                <w:bCs/>
                <w:sz w:val="24"/>
                <w:szCs w:val="24"/>
              </w:rPr>
              <w:t xml:space="preserve">第九章 </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钢筋混凝土构件的裂缝、变形和耐久性</w:t>
            </w:r>
          </w:p>
        </w:tc>
        <w:tc>
          <w:tcPr>
            <w:tcW w:w="32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主要内容：裂缝宽度验算；受弯构件的挠度验算；混凝土结构的耐久性。</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知识类型：分析探讨与应用型知识。</w:t>
            </w:r>
          </w:p>
        </w:tc>
        <w:tc>
          <w:tcPr>
            <w:tcW w:w="39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思政目标：1、科技创新教育；2、职业素养教育；3、理想信念教育。</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主要方法：1、规范条文解读；2、国内外同类内容的比较分析；3、知名学者及相关研究介绍。</w:t>
            </w:r>
          </w:p>
        </w:tc>
      </w:tr>
      <w:tr w:rsidR="00CF1222" w:rsidTr="00CF1222">
        <w:trPr>
          <w:trHeight w:val="977"/>
        </w:trPr>
        <w:tc>
          <w:tcPr>
            <w:tcW w:w="461" w:type="dxa"/>
          </w:tcPr>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r w:rsidRPr="00FE09E8">
              <w:rPr>
                <w:rFonts w:ascii="仿宋_GB2312" w:hAnsi="仿宋_GB2312" w:cs="仿宋_GB2312"/>
                <w:bCs/>
                <w:sz w:val="24"/>
                <w:szCs w:val="24"/>
              </w:rPr>
              <w:t>10</w:t>
            </w:r>
          </w:p>
        </w:tc>
        <w:tc>
          <w:tcPr>
            <w:tcW w:w="1350" w:type="dxa"/>
          </w:tcPr>
          <w:p w:rsidR="00CF1222" w:rsidRPr="00FE09E8" w:rsidRDefault="00CF1222" w:rsidP="00CF1222">
            <w:pPr>
              <w:jc w:val="left"/>
              <w:rPr>
                <w:rFonts w:ascii="仿宋_GB2312" w:hAnsi="仿宋_GB2312" w:cs="仿宋_GB2312"/>
                <w:bCs/>
                <w:sz w:val="24"/>
                <w:szCs w:val="24"/>
              </w:rPr>
            </w:pPr>
          </w:p>
          <w:p w:rsidR="00CF1222" w:rsidRPr="00FE09E8" w:rsidRDefault="00CF1222" w:rsidP="00CF1222">
            <w:pPr>
              <w:ind w:firstLineChars="100" w:firstLine="240"/>
              <w:jc w:val="left"/>
              <w:rPr>
                <w:rFonts w:ascii="仿宋_GB2312" w:hAnsi="仿宋_GB2312" w:cs="仿宋_GB2312"/>
                <w:bCs/>
                <w:sz w:val="24"/>
                <w:szCs w:val="24"/>
              </w:rPr>
            </w:pPr>
          </w:p>
          <w:p w:rsidR="00CF1222" w:rsidRPr="00FE09E8" w:rsidRDefault="00CF1222" w:rsidP="00CF1222">
            <w:pPr>
              <w:ind w:firstLineChars="100" w:firstLine="240"/>
              <w:jc w:val="left"/>
              <w:rPr>
                <w:rFonts w:ascii="仿宋_GB2312" w:hAnsi="仿宋_GB2312" w:cs="仿宋_GB2312"/>
                <w:bCs/>
                <w:sz w:val="24"/>
                <w:szCs w:val="24"/>
              </w:rPr>
            </w:pPr>
            <w:r w:rsidRPr="00FE09E8">
              <w:rPr>
                <w:rFonts w:ascii="仿宋_GB2312" w:hAnsi="仿宋_GB2312" w:cs="仿宋_GB2312" w:hint="eastAsia"/>
                <w:bCs/>
                <w:sz w:val="24"/>
                <w:szCs w:val="24"/>
              </w:rPr>
              <w:t xml:space="preserve">第十章 </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预应力混凝土构件</w:t>
            </w:r>
          </w:p>
        </w:tc>
        <w:tc>
          <w:tcPr>
            <w:tcW w:w="32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主要内容：预应力混凝土构件设计的一般规定；预应力损失；预应力筋的传递长度和构件端部锚固区局部受压承载力计算；预应力混凝土轴心受拉构件、受弯构件的计算与构造要求。</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知识类型：分析探讨与应用型</w:t>
            </w:r>
            <w:r w:rsidRPr="00FE09E8">
              <w:rPr>
                <w:rFonts w:ascii="仿宋_GB2312" w:hAnsi="仿宋_GB2312" w:cs="仿宋_GB2312" w:hint="eastAsia"/>
                <w:bCs/>
                <w:sz w:val="24"/>
                <w:szCs w:val="24"/>
              </w:rPr>
              <w:lastRenderedPageBreak/>
              <w:t>知识。</w:t>
            </w:r>
          </w:p>
        </w:tc>
        <w:tc>
          <w:tcPr>
            <w:tcW w:w="3925" w:type="dxa"/>
          </w:tcPr>
          <w:p w:rsidR="00CF1222" w:rsidRPr="00FE09E8" w:rsidRDefault="00CF1222" w:rsidP="00CF1222">
            <w:pPr>
              <w:jc w:val="left"/>
              <w:rPr>
                <w:rFonts w:ascii="仿宋_GB2312" w:hAnsi="仿宋_GB2312" w:cs="仿宋_GB2312"/>
                <w:bCs/>
                <w:sz w:val="24"/>
                <w:szCs w:val="24"/>
              </w:rPr>
            </w:pP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思政目标：1、科技创新教育；2、理想信念教育。主要方法：1、规范条文解读；2、知名学者及相关研究介绍；3、相关最新科研成果及研究综述与分析；4、典型工程案例分析。</w:t>
            </w:r>
          </w:p>
        </w:tc>
      </w:tr>
      <w:tr w:rsidR="00CF1222" w:rsidTr="00CF1222">
        <w:trPr>
          <w:trHeight w:val="977"/>
        </w:trPr>
        <w:tc>
          <w:tcPr>
            <w:tcW w:w="461" w:type="dxa"/>
          </w:tcPr>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p>
          <w:p w:rsidR="00CF1222" w:rsidRPr="00FE09E8" w:rsidRDefault="00CF1222" w:rsidP="00CF1222">
            <w:pPr>
              <w:jc w:val="center"/>
              <w:rPr>
                <w:rFonts w:ascii="仿宋_GB2312" w:hAnsi="仿宋_GB2312" w:cs="仿宋_GB2312"/>
                <w:bCs/>
                <w:sz w:val="24"/>
                <w:szCs w:val="24"/>
              </w:rPr>
            </w:pPr>
            <w:r w:rsidRPr="00FE09E8">
              <w:rPr>
                <w:rFonts w:ascii="仿宋_GB2312" w:hAnsi="仿宋_GB2312" w:cs="仿宋_GB2312" w:hint="eastAsia"/>
                <w:bCs/>
                <w:sz w:val="24"/>
                <w:szCs w:val="24"/>
              </w:rPr>
              <w:t>11</w:t>
            </w:r>
          </w:p>
        </w:tc>
        <w:tc>
          <w:tcPr>
            <w:tcW w:w="1350" w:type="dxa"/>
          </w:tcPr>
          <w:p w:rsidR="00CF1222" w:rsidRPr="00FE09E8" w:rsidRDefault="00CF1222" w:rsidP="00CF1222">
            <w:pPr>
              <w:ind w:firstLineChars="100" w:firstLine="240"/>
              <w:jc w:val="left"/>
              <w:rPr>
                <w:rFonts w:ascii="仿宋_GB2312" w:hAnsi="仿宋_GB2312" w:cs="仿宋_GB2312"/>
                <w:bCs/>
                <w:sz w:val="24"/>
                <w:szCs w:val="24"/>
              </w:rPr>
            </w:pPr>
          </w:p>
          <w:p w:rsidR="00CF1222" w:rsidRPr="00FE09E8" w:rsidRDefault="00CF1222" w:rsidP="00CF1222">
            <w:pPr>
              <w:ind w:firstLineChars="100" w:firstLine="240"/>
              <w:jc w:val="left"/>
              <w:rPr>
                <w:rFonts w:ascii="仿宋_GB2312" w:hAnsi="仿宋_GB2312" w:cs="仿宋_GB2312"/>
                <w:bCs/>
                <w:sz w:val="24"/>
                <w:szCs w:val="24"/>
              </w:rPr>
            </w:pPr>
            <w:r w:rsidRPr="00FE09E8">
              <w:rPr>
                <w:rFonts w:ascii="仿宋_GB2312" w:hAnsi="仿宋_GB2312" w:cs="仿宋_GB2312" w:hint="eastAsia"/>
                <w:bCs/>
                <w:sz w:val="24"/>
                <w:szCs w:val="24"/>
              </w:rPr>
              <w:t>第十一章</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 xml:space="preserve">梁板结构 </w:t>
            </w:r>
          </w:p>
          <w:p w:rsidR="00CF1222" w:rsidRPr="00FE09E8" w:rsidRDefault="00CF1222" w:rsidP="00CF1222">
            <w:pPr>
              <w:jc w:val="left"/>
              <w:rPr>
                <w:rFonts w:ascii="仿宋_GB2312" w:hAnsi="仿宋_GB2312" w:cs="仿宋_GB2312"/>
                <w:bCs/>
                <w:sz w:val="24"/>
                <w:szCs w:val="24"/>
              </w:rPr>
            </w:pPr>
          </w:p>
        </w:tc>
        <w:tc>
          <w:tcPr>
            <w:tcW w:w="32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主要内容：单向板肋梁楼盖、双向板肋梁楼盖、楼梯的设计。</w:t>
            </w:r>
          </w:p>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知识类型：分析探讨与应用型知识。</w:t>
            </w:r>
          </w:p>
        </w:tc>
        <w:tc>
          <w:tcPr>
            <w:tcW w:w="3925" w:type="dxa"/>
          </w:tcPr>
          <w:p w:rsidR="00CF1222" w:rsidRPr="00FE09E8" w:rsidRDefault="00CF1222" w:rsidP="00CF1222">
            <w:pPr>
              <w:jc w:val="left"/>
              <w:rPr>
                <w:rFonts w:ascii="仿宋_GB2312" w:hAnsi="仿宋_GB2312" w:cs="仿宋_GB2312"/>
                <w:bCs/>
                <w:sz w:val="24"/>
                <w:szCs w:val="24"/>
              </w:rPr>
            </w:pPr>
            <w:r w:rsidRPr="00FE09E8">
              <w:rPr>
                <w:rFonts w:ascii="仿宋_GB2312" w:hAnsi="仿宋_GB2312" w:cs="仿宋_GB2312" w:hint="eastAsia"/>
                <w:bCs/>
                <w:sz w:val="24"/>
                <w:szCs w:val="24"/>
              </w:rPr>
              <w:t>思政目标：1、规范条文解读；2、职业素养和道德教育。主要方法：1、规范条文解读，2、能正确运用工程语言表达设计结果，树立良好的职业道德和责任感。</w:t>
            </w:r>
          </w:p>
        </w:tc>
      </w:tr>
    </w:tbl>
    <w:p w:rsidR="00CF1222" w:rsidRDefault="00CF1222" w:rsidP="00CF1222">
      <w:pPr>
        <w:spacing w:line="242" w:lineRule="auto"/>
        <w:rPr>
          <w:sz w:val="18"/>
        </w:rPr>
      </w:pPr>
    </w:p>
    <w:p w:rsidR="00CF1222" w:rsidRDefault="00CF1222" w:rsidP="00CF1222">
      <w:pPr>
        <w:pStyle w:val="a4"/>
        <w:spacing w:before="8"/>
        <w:ind w:left="0" w:right="0" w:firstLine="0"/>
        <w:rPr>
          <w:b/>
          <w:sz w:val="20"/>
        </w:rPr>
      </w:pPr>
    </w:p>
    <w:p w:rsidR="00CF1222" w:rsidRDefault="00CF1222" w:rsidP="005F6318">
      <w:pPr>
        <w:numPr>
          <w:ilvl w:val="0"/>
          <w:numId w:val="3"/>
        </w:num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教学内容安排</w:t>
      </w:r>
    </w:p>
    <w:p w:rsidR="00CF1222" w:rsidRDefault="00CF1222" w:rsidP="00CF1222">
      <w:pPr>
        <w:spacing w:line="360" w:lineRule="auto"/>
        <w:ind w:firstLine="331"/>
        <w:rPr>
          <w:rFonts w:ascii="黑体" w:eastAsia="黑体" w:hAnsi="黑体"/>
          <w:b/>
          <w:sz w:val="28"/>
          <w:szCs w:val="28"/>
        </w:rPr>
      </w:pPr>
      <w:r>
        <w:rPr>
          <w:rFonts w:ascii="仿宋_GB2312" w:hAnsi="仿宋_GB2312" w:cs="仿宋_GB2312" w:hint="eastAsia"/>
          <w:sz w:val="28"/>
          <w:szCs w:val="28"/>
        </w:rPr>
        <w:t>1. 授课内容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984"/>
        <w:gridCol w:w="833"/>
        <w:gridCol w:w="2431"/>
        <w:gridCol w:w="2302"/>
        <w:gridCol w:w="2302"/>
      </w:tblGrid>
      <w:tr w:rsidR="00CF1222" w:rsidTr="00CF1222">
        <w:trPr>
          <w:cantSplit/>
          <w:trHeight w:val="661"/>
        </w:trPr>
        <w:tc>
          <w:tcPr>
            <w:tcW w:w="384" w:type="dxa"/>
            <w:vAlign w:val="center"/>
          </w:tcPr>
          <w:p w:rsidR="00CF1222" w:rsidRDefault="00CF1222" w:rsidP="00CF1222">
            <w:pPr>
              <w:jc w:val="center"/>
              <w:rPr>
                <w:b/>
                <w:bCs/>
                <w:kern w:val="0"/>
                <w:sz w:val="24"/>
                <w:szCs w:val="24"/>
              </w:rPr>
            </w:pPr>
            <w:r>
              <w:rPr>
                <w:rFonts w:hint="eastAsia"/>
                <w:b/>
                <w:bCs/>
                <w:kern w:val="0"/>
                <w:sz w:val="24"/>
                <w:szCs w:val="24"/>
              </w:rPr>
              <w:t>序号</w:t>
            </w:r>
          </w:p>
        </w:tc>
        <w:tc>
          <w:tcPr>
            <w:tcW w:w="984" w:type="dxa"/>
            <w:vAlign w:val="center"/>
          </w:tcPr>
          <w:p w:rsidR="00CF1222" w:rsidRDefault="00CF1222" w:rsidP="00CF1222">
            <w:pPr>
              <w:jc w:val="center"/>
              <w:rPr>
                <w:b/>
                <w:bCs/>
                <w:kern w:val="0"/>
                <w:sz w:val="24"/>
                <w:szCs w:val="24"/>
              </w:rPr>
            </w:pPr>
            <w:r>
              <w:rPr>
                <w:rFonts w:hint="eastAsia"/>
                <w:b/>
                <w:bCs/>
                <w:kern w:val="0"/>
                <w:sz w:val="24"/>
                <w:szCs w:val="24"/>
              </w:rPr>
              <w:t>章</w:t>
            </w:r>
            <w:r>
              <w:rPr>
                <w:rFonts w:hint="eastAsia"/>
                <w:b/>
                <w:bCs/>
                <w:kern w:val="0"/>
                <w:sz w:val="24"/>
                <w:szCs w:val="24"/>
              </w:rPr>
              <w:t xml:space="preserve">  </w:t>
            </w:r>
            <w:r>
              <w:rPr>
                <w:rFonts w:hint="eastAsia"/>
                <w:b/>
                <w:bCs/>
                <w:kern w:val="0"/>
                <w:sz w:val="24"/>
                <w:szCs w:val="24"/>
              </w:rPr>
              <w:t>节</w:t>
            </w:r>
          </w:p>
        </w:tc>
        <w:tc>
          <w:tcPr>
            <w:tcW w:w="833" w:type="dxa"/>
            <w:vAlign w:val="center"/>
          </w:tcPr>
          <w:p w:rsidR="00CF1222" w:rsidRDefault="00CF1222" w:rsidP="00CF1222">
            <w:pPr>
              <w:jc w:val="center"/>
              <w:rPr>
                <w:b/>
                <w:bCs/>
                <w:kern w:val="0"/>
                <w:sz w:val="24"/>
                <w:szCs w:val="24"/>
              </w:rPr>
            </w:pPr>
          </w:p>
          <w:p w:rsidR="00CF1222" w:rsidRDefault="00CF1222" w:rsidP="00CF1222">
            <w:pPr>
              <w:jc w:val="center"/>
              <w:rPr>
                <w:b/>
                <w:bCs/>
                <w:kern w:val="0"/>
                <w:sz w:val="24"/>
                <w:szCs w:val="24"/>
              </w:rPr>
            </w:pPr>
            <w:r>
              <w:rPr>
                <w:rFonts w:hint="eastAsia"/>
                <w:b/>
                <w:bCs/>
                <w:kern w:val="0"/>
                <w:sz w:val="24"/>
                <w:szCs w:val="24"/>
              </w:rPr>
              <w:t>参考</w:t>
            </w:r>
          </w:p>
          <w:p w:rsidR="00CF1222" w:rsidRDefault="00CF1222" w:rsidP="00CF1222">
            <w:pPr>
              <w:jc w:val="center"/>
              <w:rPr>
                <w:b/>
                <w:bCs/>
                <w:kern w:val="0"/>
                <w:sz w:val="24"/>
                <w:szCs w:val="24"/>
              </w:rPr>
            </w:pPr>
            <w:r>
              <w:rPr>
                <w:rFonts w:hint="eastAsia"/>
                <w:b/>
                <w:bCs/>
                <w:kern w:val="0"/>
                <w:sz w:val="24"/>
                <w:szCs w:val="24"/>
              </w:rPr>
              <w:t>学时</w:t>
            </w:r>
          </w:p>
          <w:p w:rsidR="00CF1222" w:rsidRDefault="00CF1222" w:rsidP="00CF1222">
            <w:pPr>
              <w:jc w:val="center"/>
              <w:rPr>
                <w:b/>
                <w:bCs/>
                <w:kern w:val="0"/>
                <w:sz w:val="24"/>
                <w:szCs w:val="24"/>
              </w:rPr>
            </w:pPr>
          </w:p>
        </w:tc>
        <w:tc>
          <w:tcPr>
            <w:tcW w:w="2431" w:type="dxa"/>
            <w:vAlign w:val="center"/>
          </w:tcPr>
          <w:p w:rsidR="00CF1222" w:rsidRDefault="00CF1222" w:rsidP="00CF1222">
            <w:pPr>
              <w:jc w:val="center"/>
              <w:rPr>
                <w:b/>
                <w:bCs/>
                <w:kern w:val="0"/>
                <w:sz w:val="24"/>
                <w:szCs w:val="24"/>
              </w:rPr>
            </w:pPr>
            <w:r>
              <w:rPr>
                <w:rFonts w:hint="eastAsia"/>
                <w:b/>
                <w:bCs/>
                <w:kern w:val="0"/>
                <w:sz w:val="24"/>
                <w:szCs w:val="24"/>
              </w:rPr>
              <w:t>教学内容</w:t>
            </w:r>
          </w:p>
        </w:tc>
        <w:tc>
          <w:tcPr>
            <w:tcW w:w="2302" w:type="dxa"/>
            <w:vAlign w:val="center"/>
          </w:tcPr>
          <w:p w:rsidR="00CF1222" w:rsidRDefault="00CF1222" w:rsidP="00CF1222">
            <w:pPr>
              <w:jc w:val="center"/>
              <w:rPr>
                <w:b/>
                <w:bCs/>
                <w:kern w:val="0"/>
                <w:sz w:val="24"/>
                <w:szCs w:val="24"/>
              </w:rPr>
            </w:pPr>
            <w:r>
              <w:rPr>
                <w:rFonts w:hint="eastAsia"/>
                <w:b/>
                <w:bCs/>
                <w:kern w:val="0"/>
                <w:sz w:val="24"/>
                <w:szCs w:val="24"/>
              </w:rPr>
              <w:t>基本要求</w:t>
            </w:r>
          </w:p>
        </w:tc>
        <w:tc>
          <w:tcPr>
            <w:tcW w:w="2302" w:type="dxa"/>
            <w:vAlign w:val="center"/>
          </w:tcPr>
          <w:p w:rsidR="00CF1222" w:rsidRDefault="00CF1222" w:rsidP="00CF1222">
            <w:pPr>
              <w:jc w:val="center"/>
              <w:rPr>
                <w:b/>
                <w:bCs/>
                <w:kern w:val="0"/>
                <w:sz w:val="24"/>
                <w:szCs w:val="24"/>
              </w:rPr>
            </w:pPr>
            <w:r>
              <w:rPr>
                <w:rFonts w:ascii="Times New Roman" w:hAnsi="Times New Roman" w:hint="eastAsia"/>
                <w:b/>
                <w:bCs/>
                <w:kern w:val="0"/>
                <w:sz w:val="24"/>
                <w:szCs w:val="24"/>
              </w:rPr>
              <w:t>对毕业要求的支撑</w:t>
            </w:r>
          </w:p>
        </w:tc>
      </w:tr>
      <w:tr w:rsidR="00CF1222" w:rsidTr="00CF1222">
        <w:trPr>
          <w:trHeight w:val="1952"/>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1</w:t>
            </w:r>
          </w:p>
        </w:tc>
        <w:tc>
          <w:tcPr>
            <w:tcW w:w="984" w:type="dxa"/>
            <w:vAlign w:val="center"/>
          </w:tcPr>
          <w:p w:rsidR="00CF1222" w:rsidRDefault="00CF1222" w:rsidP="00CF1222">
            <w:pPr>
              <w:jc w:val="left"/>
              <w:rPr>
                <w:kern w:val="0"/>
                <w:sz w:val="24"/>
                <w:szCs w:val="24"/>
              </w:rPr>
            </w:pPr>
            <w:r>
              <w:rPr>
                <w:rFonts w:hint="eastAsia"/>
                <w:kern w:val="0"/>
                <w:sz w:val="24"/>
                <w:szCs w:val="24"/>
              </w:rPr>
              <w:t>第一章</w:t>
            </w:r>
          </w:p>
          <w:p w:rsidR="00CF1222" w:rsidRDefault="00CF1222" w:rsidP="00CF1222">
            <w:pPr>
              <w:jc w:val="left"/>
              <w:rPr>
                <w:kern w:val="0"/>
                <w:sz w:val="24"/>
                <w:szCs w:val="24"/>
              </w:rPr>
            </w:pPr>
            <w:r>
              <w:rPr>
                <w:rFonts w:hint="eastAsia"/>
                <w:kern w:val="0"/>
                <w:sz w:val="24"/>
                <w:szCs w:val="24"/>
              </w:rPr>
              <w:t>绪</w:t>
            </w:r>
            <w:r>
              <w:rPr>
                <w:rFonts w:hint="eastAsia"/>
                <w:kern w:val="0"/>
                <w:sz w:val="24"/>
                <w:szCs w:val="24"/>
              </w:rPr>
              <w:t xml:space="preserve">  </w:t>
            </w:r>
            <w:r>
              <w:rPr>
                <w:rFonts w:hint="eastAsia"/>
                <w:kern w:val="0"/>
                <w:sz w:val="24"/>
                <w:szCs w:val="24"/>
              </w:rPr>
              <w:t>论</w:t>
            </w: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1</w:t>
            </w:r>
          </w:p>
        </w:tc>
        <w:tc>
          <w:tcPr>
            <w:tcW w:w="2431" w:type="dxa"/>
            <w:vAlign w:val="center"/>
          </w:tcPr>
          <w:p w:rsidR="00CF1222" w:rsidRDefault="00CF1222" w:rsidP="00CF1222">
            <w:pPr>
              <w:jc w:val="left"/>
              <w:rPr>
                <w:kern w:val="0"/>
                <w:sz w:val="24"/>
                <w:szCs w:val="24"/>
              </w:rPr>
            </w:pPr>
            <w:r>
              <w:rPr>
                <w:rFonts w:hint="eastAsia"/>
                <w:kern w:val="0"/>
                <w:sz w:val="24"/>
                <w:szCs w:val="24"/>
              </w:rPr>
              <w:t>1.1</w:t>
            </w:r>
            <w:r>
              <w:rPr>
                <w:rFonts w:hint="eastAsia"/>
                <w:kern w:val="0"/>
                <w:sz w:val="24"/>
                <w:szCs w:val="24"/>
              </w:rPr>
              <w:t>、混凝土结构的基本概念、特点</w:t>
            </w:r>
          </w:p>
          <w:p w:rsidR="00CF1222" w:rsidRDefault="00CF1222" w:rsidP="00CF1222">
            <w:pPr>
              <w:jc w:val="left"/>
              <w:rPr>
                <w:kern w:val="0"/>
                <w:sz w:val="24"/>
                <w:szCs w:val="24"/>
              </w:rPr>
            </w:pPr>
            <w:r>
              <w:rPr>
                <w:rFonts w:hint="eastAsia"/>
                <w:kern w:val="0"/>
                <w:sz w:val="24"/>
                <w:szCs w:val="24"/>
              </w:rPr>
              <w:t>1.2</w:t>
            </w:r>
            <w:r>
              <w:rPr>
                <w:rFonts w:hint="eastAsia"/>
                <w:kern w:val="0"/>
                <w:sz w:val="24"/>
                <w:szCs w:val="24"/>
              </w:rPr>
              <w:t>、国内外的应用与发展</w:t>
            </w:r>
          </w:p>
          <w:p w:rsidR="00CF1222" w:rsidRDefault="00CF1222" w:rsidP="00CF1222">
            <w:pPr>
              <w:jc w:val="left"/>
              <w:rPr>
                <w:kern w:val="0"/>
                <w:sz w:val="24"/>
                <w:szCs w:val="24"/>
              </w:rPr>
            </w:pPr>
            <w:r>
              <w:rPr>
                <w:rFonts w:hint="eastAsia"/>
                <w:kern w:val="0"/>
                <w:sz w:val="24"/>
                <w:szCs w:val="24"/>
              </w:rPr>
              <w:t>1.3</w:t>
            </w:r>
            <w:r>
              <w:rPr>
                <w:rFonts w:hint="eastAsia"/>
                <w:kern w:val="0"/>
                <w:sz w:val="24"/>
                <w:szCs w:val="24"/>
              </w:rPr>
              <w:t>、本课程的重要性、内容及学习方法</w:t>
            </w:r>
          </w:p>
          <w:p w:rsidR="00CF1222" w:rsidRDefault="00CF1222" w:rsidP="00CF1222">
            <w:pPr>
              <w:jc w:val="left"/>
              <w:rPr>
                <w:kern w:val="0"/>
                <w:sz w:val="24"/>
                <w:szCs w:val="24"/>
              </w:rPr>
            </w:pPr>
          </w:p>
        </w:tc>
        <w:tc>
          <w:tcPr>
            <w:tcW w:w="2302" w:type="dxa"/>
            <w:vAlign w:val="center"/>
          </w:tcPr>
          <w:p w:rsidR="00CF1222" w:rsidRDefault="00CF1222" w:rsidP="00CF1222">
            <w:pPr>
              <w:jc w:val="left"/>
              <w:rPr>
                <w:kern w:val="0"/>
                <w:sz w:val="24"/>
                <w:szCs w:val="24"/>
              </w:rPr>
            </w:pPr>
            <w:r>
              <w:rPr>
                <w:rFonts w:hint="eastAsia"/>
                <w:kern w:val="0"/>
                <w:sz w:val="24"/>
                <w:szCs w:val="24"/>
              </w:rPr>
              <w:t>1</w:t>
            </w:r>
            <w:r>
              <w:rPr>
                <w:rFonts w:hint="eastAsia"/>
                <w:kern w:val="0"/>
                <w:sz w:val="24"/>
                <w:szCs w:val="24"/>
              </w:rPr>
              <w:t>、熟悉混凝土结构的基本概念、特点。</w:t>
            </w:r>
          </w:p>
          <w:p w:rsidR="00CF1222" w:rsidRDefault="00CF1222" w:rsidP="00CF1222">
            <w:pPr>
              <w:jc w:val="left"/>
              <w:rPr>
                <w:kern w:val="0"/>
                <w:sz w:val="24"/>
                <w:szCs w:val="24"/>
              </w:rPr>
            </w:pPr>
            <w:r>
              <w:rPr>
                <w:rFonts w:hint="eastAsia"/>
                <w:kern w:val="0"/>
                <w:sz w:val="24"/>
                <w:szCs w:val="24"/>
              </w:rPr>
              <w:t>2</w:t>
            </w:r>
            <w:r>
              <w:rPr>
                <w:rFonts w:hint="eastAsia"/>
                <w:kern w:val="0"/>
                <w:sz w:val="24"/>
                <w:szCs w:val="24"/>
              </w:rPr>
              <w:t>、熟悉国内外的应用与发展。</w:t>
            </w:r>
          </w:p>
          <w:p w:rsidR="00CF1222" w:rsidRDefault="00CF1222" w:rsidP="00CF1222">
            <w:pPr>
              <w:jc w:val="left"/>
              <w:rPr>
                <w:kern w:val="0"/>
                <w:sz w:val="24"/>
                <w:szCs w:val="24"/>
              </w:rPr>
            </w:pPr>
            <w:r>
              <w:rPr>
                <w:rFonts w:hint="eastAsia"/>
                <w:kern w:val="0"/>
                <w:sz w:val="24"/>
                <w:szCs w:val="24"/>
              </w:rPr>
              <w:t>3</w:t>
            </w:r>
            <w:r>
              <w:rPr>
                <w:rFonts w:hint="eastAsia"/>
                <w:kern w:val="0"/>
                <w:sz w:val="24"/>
                <w:szCs w:val="24"/>
              </w:rPr>
              <w:t>、熟悉本课程的重要性、内容及学习方法。</w:t>
            </w:r>
          </w:p>
        </w:tc>
        <w:tc>
          <w:tcPr>
            <w:tcW w:w="2302" w:type="dxa"/>
            <w:vAlign w:val="center"/>
          </w:tcPr>
          <w:p w:rsidR="00CF1222" w:rsidRDefault="00CF1222" w:rsidP="00CF1222">
            <w:pPr>
              <w:jc w:val="left"/>
              <w:rPr>
                <w:kern w:val="0"/>
                <w:sz w:val="24"/>
                <w:szCs w:val="24"/>
              </w:rPr>
            </w:pPr>
            <w:r>
              <w:rPr>
                <w:rFonts w:hint="eastAsia"/>
                <w:kern w:val="0"/>
                <w:sz w:val="24"/>
                <w:szCs w:val="24"/>
              </w:rPr>
              <w:t xml:space="preserve">1.3 </w:t>
            </w:r>
            <w:r>
              <w:rPr>
                <w:rFonts w:hint="eastAsia"/>
                <w:kern w:val="0"/>
                <w:sz w:val="24"/>
                <w:szCs w:val="24"/>
              </w:rPr>
              <w:t>掌握相关工程基础知识，具备应用相关知识推演、分析土木工程专业复杂工程问题的专业基础能力。</w:t>
            </w:r>
          </w:p>
          <w:p w:rsidR="00CF1222" w:rsidRDefault="00CF1222" w:rsidP="00CF1222">
            <w:pPr>
              <w:jc w:val="left"/>
              <w:rPr>
                <w:kern w:val="0"/>
                <w:sz w:val="24"/>
                <w:szCs w:val="24"/>
              </w:rPr>
            </w:pPr>
          </w:p>
        </w:tc>
      </w:tr>
      <w:tr w:rsidR="00CF1222" w:rsidTr="00CF1222">
        <w:trPr>
          <w:trHeight w:val="1562"/>
        </w:trPr>
        <w:tc>
          <w:tcPr>
            <w:tcW w:w="384" w:type="dxa"/>
            <w:vAlign w:val="center"/>
          </w:tcPr>
          <w:p w:rsidR="00CF1222" w:rsidRDefault="00CF1222" w:rsidP="00CF1222">
            <w:pPr>
              <w:jc w:val="center"/>
              <w:rPr>
                <w:rFonts w:ascii="Times New Roman" w:eastAsia="仿宋" w:hAnsi="Times New Roman"/>
                <w:kern w:val="0"/>
                <w:sz w:val="24"/>
                <w:szCs w:val="24"/>
              </w:rPr>
            </w:pPr>
          </w:p>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2</w:t>
            </w:r>
          </w:p>
        </w:tc>
        <w:tc>
          <w:tcPr>
            <w:tcW w:w="984" w:type="dxa"/>
            <w:vAlign w:val="center"/>
          </w:tcPr>
          <w:p w:rsidR="00CF1222" w:rsidRDefault="00CF1222" w:rsidP="00CF1222">
            <w:pPr>
              <w:jc w:val="left"/>
              <w:rPr>
                <w:kern w:val="0"/>
                <w:sz w:val="24"/>
                <w:szCs w:val="24"/>
              </w:rPr>
            </w:pPr>
            <w:r>
              <w:rPr>
                <w:rFonts w:hint="eastAsia"/>
                <w:kern w:val="0"/>
                <w:sz w:val="24"/>
                <w:szCs w:val="24"/>
              </w:rPr>
              <w:t>第二章</w:t>
            </w:r>
          </w:p>
          <w:p w:rsidR="00CF1222" w:rsidRDefault="00CF1222" w:rsidP="00CF1222">
            <w:pPr>
              <w:jc w:val="left"/>
              <w:rPr>
                <w:kern w:val="0"/>
                <w:sz w:val="24"/>
                <w:szCs w:val="24"/>
              </w:rPr>
            </w:pPr>
            <w:r>
              <w:rPr>
                <w:rFonts w:hint="eastAsia"/>
                <w:kern w:val="0"/>
                <w:sz w:val="24"/>
                <w:szCs w:val="24"/>
              </w:rPr>
              <w:t>混凝土材料力学性能</w:t>
            </w: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4</w:t>
            </w:r>
          </w:p>
        </w:tc>
        <w:tc>
          <w:tcPr>
            <w:tcW w:w="2431" w:type="dxa"/>
            <w:vAlign w:val="center"/>
          </w:tcPr>
          <w:p w:rsidR="00CF1222" w:rsidRDefault="00CF1222" w:rsidP="00CF1222">
            <w:pPr>
              <w:jc w:val="left"/>
              <w:rPr>
                <w:kern w:val="0"/>
                <w:sz w:val="24"/>
                <w:szCs w:val="24"/>
              </w:rPr>
            </w:pPr>
            <w:r>
              <w:rPr>
                <w:rFonts w:hint="eastAsia"/>
                <w:kern w:val="0"/>
                <w:sz w:val="24"/>
                <w:szCs w:val="24"/>
              </w:rPr>
              <w:t>2.1</w:t>
            </w:r>
            <w:r>
              <w:rPr>
                <w:rFonts w:hint="eastAsia"/>
                <w:kern w:val="0"/>
                <w:sz w:val="24"/>
                <w:szCs w:val="24"/>
              </w:rPr>
              <w:t>、混凝土的力学性能（线上）</w:t>
            </w:r>
          </w:p>
          <w:p w:rsidR="00CF1222" w:rsidRDefault="00CF1222" w:rsidP="00CF1222">
            <w:pPr>
              <w:jc w:val="left"/>
              <w:rPr>
                <w:kern w:val="0"/>
                <w:sz w:val="24"/>
                <w:szCs w:val="24"/>
              </w:rPr>
            </w:pPr>
            <w:r>
              <w:rPr>
                <w:rFonts w:hint="eastAsia"/>
                <w:kern w:val="0"/>
                <w:sz w:val="24"/>
                <w:szCs w:val="24"/>
              </w:rPr>
              <w:t>2.2</w:t>
            </w:r>
            <w:r>
              <w:rPr>
                <w:rFonts w:hint="eastAsia"/>
                <w:kern w:val="0"/>
                <w:sz w:val="24"/>
                <w:szCs w:val="24"/>
              </w:rPr>
              <w:t>、钢筋的力学性能（线上）</w:t>
            </w:r>
          </w:p>
          <w:p w:rsidR="00CF1222" w:rsidRDefault="00CF1222" w:rsidP="00CF1222">
            <w:pPr>
              <w:jc w:val="left"/>
              <w:rPr>
                <w:kern w:val="0"/>
                <w:sz w:val="24"/>
                <w:szCs w:val="24"/>
              </w:rPr>
            </w:pPr>
            <w:r>
              <w:rPr>
                <w:rFonts w:hint="eastAsia"/>
                <w:kern w:val="0"/>
                <w:sz w:val="24"/>
                <w:szCs w:val="24"/>
              </w:rPr>
              <w:t>2.3</w:t>
            </w:r>
            <w:r>
              <w:rPr>
                <w:rFonts w:hint="eastAsia"/>
                <w:kern w:val="0"/>
                <w:sz w:val="24"/>
                <w:szCs w:val="24"/>
              </w:rPr>
              <w:t>、钢筋与混凝土粘结（线上）</w:t>
            </w:r>
          </w:p>
          <w:p w:rsidR="00CF1222" w:rsidRDefault="00CF1222" w:rsidP="00CF1222">
            <w:pPr>
              <w:jc w:val="left"/>
              <w:rPr>
                <w:kern w:val="0"/>
                <w:sz w:val="24"/>
                <w:szCs w:val="24"/>
              </w:rPr>
            </w:pPr>
          </w:p>
        </w:tc>
        <w:tc>
          <w:tcPr>
            <w:tcW w:w="2302" w:type="dxa"/>
            <w:vAlign w:val="center"/>
          </w:tcPr>
          <w:p w:rsidR="00CF1222" w:rsidRDefault="00CF1222" w:rsidP="00CF1222">
            <w:pPr>
              <w:jc w:val="left"/>
              <w:rPr>
                <w:kern w:val="0"/>
                <w:sz w:val="24"/>
                <w:szCs w:val="24"/>
              </w:rPr>
            </w:pPr>
            <w:r>
              <w:rPr>
                <w:rFonts w:hint="eastAsia"/>
                <w:kern w:val="0"/>
                <w:sz w:val="24"/>
                <w:szCs w:val="24"/>
              </w:rPr>
              <w:t>掌握混凝土的力学性能。</w:t>
            </w:r>
          </w:p>
          <w:p w:rsidR="00CF1222" w:rsidRDefault="00CF1222" w:rsidP="00CF1222">
            <w:pPr>
              <w:jc w:val="left"/>
              <w:rPr>
                <w:kern w:val="0"/>
                <w:sz w:val="24"/>
                <w:szCs w:val="24"/>
              </w:rPr>
            </w:pPr>
            <w:r>
              <w:rPr>
                <w:rFonts w:hint="eastAsia"/>
                <w:kern w:val="0"/>
                <w:sz w:val="24"/>
                <w:szCs w:val="24"/>
              </w:rPr>
              <w:t>掌握钢筋的力学性能。</w:t>
            </w:r>
          </w:p>
          <w:p w:rsidR="00CF1222" w:rsidRDefault="00CF1222" w:rsidP="00CF1222">
            <w:pPr>
              <w:jc w:val="left"/>
              <w:rPr>
                <w:kern w:val="0"/>
                <w:sz w:val="24"/>
                <w:szCs w:val="24"/>
              </w:rPr>
            </w:pPr>
            <w:r>
              <w:rPr>
                <w:rFonts w:hint="eastAsia"/>
                <w:kern w:val="0"/>
                <w:sz w:val="24"/>
                <w:szCs w:val="24"/>
              </w:rPr>
              <w:t>熟悉钢筋与混凝土的粘结力的概念。</w:t>
            </w:r>
          </w:p>
        </w:tc>
        <w:tc>
          <w:tcPr>
            <w:tcW w:w="2302" w:type="dxa"/>
            <w:vAlign w:val="center"/>
          </w:tcPr>
          <w:p w:rsidR="00CF1222" w:rsidRDefault="00CF1222" w:rsidP="00CF1222">
            <w:pPr>
              <w:jc w:val="left"/>
              <w:rPr>
                <w:kern w:val="0"/>
                <w:sz w:val="24"/>
                <w:szCs w:val="24"/>
              </w:rPr>
            </w:pPr>
            <w:r>
              <w:rPr>
                <w:rFonts w:hint="eastAsia"/>
                <w:kern w:val="0"/>
                <w:sz w:val="24"/>
                <w:szCs w:val="24"/>
              </w:rPr>
              <w:t xml:space="preserve">1.3 </w:t>
            </w:r>
            <w:r>
              <w:rPr>
                <w:rFonts w:hint="eastAsia"/>
                <w:kern w:val="0"/>
                <w:sz w:val="24"/>
                <w:szCs w:val="24"/>
              </w:rPr>
              <w:t>掌握相关工程基础知识，具备应用相关知识推演、分析土木工程专业复杂工程问题的专业基础能力。</w:t>
            </w:r>
          </w:p>
          <w:p w:rsidR="00CF1222" w:rsidRDefault="00CF1222" w:rsidP="00CF1222">
            <w:pPr>
              <w:jc w:val="left"/>
              <w:rPr>
                <w:kern w:val="0"/>
                <w:sz w:val="24"/>
                <w:szCs w:val="24"/>
              </w:rPr>
            </w:pPr>
          </w:p>
        </w:tc>
      </w:tr>
      <w:tr w:rsidR="00CF1222" w:rsidTr="00CF1222">
        <w:trPr>
          <w:trHeight w:val="2014"/>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3</w:t>
            </w:r>
          </w:p>
        </w:tc>
        <w:tc>
          <w:tcPr>
            <w:tcW w:w="984" w:type="dxa"/>
            <w:vAlign w:val="center"/>
          </w:tcPr>
          <w:p w:rsidR="00CF1222" w:rsidRDefault="00CF1222" w:rsidP="00CF1222">
            <w:pPr>
              <w:jc w:val="left"/>
              <w:rPr>
                <w:kern w:val="0"/>
                <w:sz w:val="24"/>
                <w:szCs w:val="24"/>
              </w:rPr>
            </w:pPr>
            <w:r>
              <w:rPr>
                <w:rFonts w:hint="eastAsia"/>
                <w:kern w:val="0"/>
                <w:sz w:val="24"/>
                <w:szCs w:val="24"/>
              </w:rPr>
              <w:t>第三章</w:t>
            </w:r>
          </w:p>
          <w:p w:rsidR="00CF1222" w:rsidRDefault="00CF1222" w:rsidP="00CF1222">
            <w:pPr>
              <w:jc w:val="left"/>
              <w:rPr>
                <w:kern w:val="0"/>
                <w:sz w:val="24"/>
                <w:szCs w:val="24"/>
              </w:rPr>
            </w:pPr>
            <w:r>
              <w:rPr>
                <w:rFonts w:hint="eastAsia"/>
                <w:kern w:val="0"/>
                <w:sz w:val="24"/>
                <w:szCs w:val="24"/>
              </w:rPr>
              <w:t>混凝土结构设计方法</w:t>
            </w: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2</w:t>
            </w:r>
          </w:p>
        </w:tc>
        <w:tc>
          <w:tcPr>
            <w:tcW w:w="2431" w:type="dxa"/>
            <w:vAlign w:val="center"/>
          </w:tcPr>
          <w:p w:rsidR="00CF1222" w:rsidRDefault="00CF1222" w:rsidP="00CF1222">
            <w:pPr>
              <w:jc w:val="left"/>
              <w:rPr>
                <w:kern w:val="0"/>
                <w:sz w:val="24"/>
                <w:szCs w:val="24"/>
              </w:rPr>
            </w:pPr>
            <w:r>
              <w:rPr>
                <w:rFonts w:hint="eastAsia"/>
                <w:kern w:val="0"/>
                <w:sz w:val="24"/>
                <w:szCs w:val="24"/>
              </w:rPr>
              <w:t>3.1</w:t>
            </w:r>
            <w:r>
              <w:rPr>
                <w:rFonts w:hint="eastAsia"/>
                <w:kern w:val="0"/>
                <w:sz w:val="24"/>
                <w:szCs w:val="24"/>
              </w:rPr>
              <w:t>、极限状态设计法的基本概念</w:t>
            </w:r>
          </w:p>
          <w:p w:rsidR="00CF1222" w:rsidRDefault="00CF1222" w:rsidP="00CF1222">
            <w:pPr>
              <w:jc w:val="left"/>
              <w:rPr>
                <w:kern w:val="0"/>
                <w:sz w:val="24"/>
                <w:szCs w:val="24"/>
              </w:rPr>
            </w:pPr>
            <w:r>
              <w:rPr>
                <w:rFonts w:hint="eastAsia"/>
                <w:kern w:val="0"/>
                <w:sz w:val="24"/>
                <w:szCs w:val="24"/>
              </w:rPr>
              <w:t>3.2</w:t>
            </w:r>
            <w:r>
              <w:rPr>
                <w:rFonts w:hint="eastAsia"/>
                <w:kern w:val="0"/>
                <w:sz w:val="24"/>
                <w:szCs w:val="24"/>
              </w:rPr>
              <w:t>、可靠度分析的基本概念</w:t>
            </w:r>
          </w:p>
          <w:p w:rsidR="00CF1222" w:rsidRDefault="00CF1222" w:rsidP="00CF1222">
            <w:pPr>
              <w:jc w:val="left"/>
              <w:rPr>
                <w:kern w:val="0"/>
                <w:sz w:val="24"/>
                <w:szCs w:val="24"/>
              </w:rPr>
            </w:pPr>
            <w:r>
              <w:rPr>
                <w:rFonts w:hint="eastAsia"/>
                <w:kern w:val="0"/>
                <w:sz w:val="24"/>
                <w:szCs w:val="24"/>
              </w:rPr>
              <w:t>3.3</w:t>
            </w:r>
            <w:r>
              <w:rPr>
                <w:rFonts w:hint="eastAsia"/>
                <w:kern w:val="0"/>
                <w:sz w:val="24"/>
                <w:szCs w:val="24"/>
              </w:rPr>
              <w:t>、极限状态设计的实用表达式</w:t>
            </w:r>
          </w:p>
          <w:p w:rsidR="00CF1222" w:rsidRDefault="00CF1222" w:rsidP="00CF1222">
            <w:pPr>
              <w:jc w:val="left"/>
              <w:rPr>
                <w:kern w:val="0"/>
                <w:sz w:val="24"/>
                <w:szCs w:val="24"/>
              </w:rPr>
            </w:pPr>
          </w:p>
        </w:tc>
        <w:tc>
          <w:tcPr>
            <w:tcW w:w="2302" w:type="dxa"/>
            <w:vAlign w:val="center"/>
          </w:tcPr>
          <w:p w:rsidR="00CF1222" w:rsidRDefault="00CF1222" w:rsidP="00CF1222">
            <w:pPr>
              <w:jc w:val="left"/>
              <w:rPr>
                <w:kern w:val="0"/>
                <w:sz w:val="24"/>
                <w:szCs w:val="24"/>
              </w:rPr>
            </w:pPr>
            <w:r>
              <w:rPr>
                <w:rFonts w:hint="eastAsia"/>
                <w:kern w:val="0"/>
                <w:sz w:val="24"/>
                <w:szCs w:val="24"/>
              </w:rPr>
              <w:t>熟悉极限状态设计法的基本概念。</w:t>
            </w:r>
          </w:p>
          <w:p w:rsidR="00CF1222" w:rsidRDefault="00CF1222" w:rsidP="00CF1222">
            <w:pPr>
              <w:jc w:val="left"/>
              <w:rPr>
                <w:kern w:val="0"/>
                <w:sz w:val="24"/>
                <w:szCs w:val="24"/>
              </w:rPr>
            </w:pPr>
            <w:r>
              <w:rPr>
                <w:rFonts w:hint="eastAsia"/>
                <w:kern w:val="0"/>
                <w:sz w:val="24"/>
                <w:szCs w:val="24"/>
              </w:rPr>
              <w:t>熟悉可靠度分析的基本概念。</w:t>
            </w:r>
          </w:p>
          <w:p w:rsidR="00CF1222" w:rsidRDefault="00CF1222" w:rsidP="00CF1222">
            <w:pPr>
              <w:jc w:val="left"/>
              <w:rPr>
                <w:kern w:val="0"/>
                <w:sz w:val="24"/>
                <w:szCs w:val="24"/>
              </w:rPr>
            </w:pPr>
            <w:r>
              <w:rPr>
                <w:rFonts w:hint="eastAsia"/>
                <w:kern w:val="0"/>
                <w:sz w:val="24"/>
                <w:szCs w:val="24"/>
              </w:rPr>
              <w:t>熟悉极限状态设计的实用表达式。</w:t>
            </w:r>
          </w:p>
        </w:tc>
        <w:tc>
          <w:tcPr>
            <w:tcW w:w="2302" w:type="dxa"/>
            <w:vAlign w:val="center"/>
          </w:tcPr>
          <w:p w:rsidR="00CF1222" w:rsidRDefault="00CF1222" w:rsidP="00CF1222">
            <w:pPr>
              <w:jc w:val="left"/>
              <w:rPr>
                <w:kern w:val="0"/>
                <w:sz w:val="24"/>
                <w:szCs w:val="24"/>
              </w:rPr>
            </w:pPr>
            <w:r>
              <w:rPr>
                <w:rFonts w:hint="eastAsia"/>
                <w:kern w:val="0"/>
                <w:sz w:val="24"/>
                <w:szCs w:val="24"/>
              </w:rPr>
              <w:t xml:space="preserve">1.3 </w:t>
            </w:r>
            <w:r>
              <w:rPr>
                <w:rFonts w:hint="eastAsia"/>
                <w:kern w:val="0"/>
                <w:sz w:val="24"/>
                <w:szCs w:val="24"/>
              </w:rPr>
              <w:t>掌握相关工程基础知识，具备应用相关知识推演、分析土木工程专业复杂工程问题的专业基础能力。</w:t>
            </w:r>
          </w:p>
          <w:p w:rsidR="00CF1222" w:rsidRDefault="00CF1222" w:rsidP="00CF1222">
            <w:pPr>
              <w:jc w:val="left"/>
              <w:rPr>
                <w:kern w:val="0"/>
                <w:sz w:val="24"/>
                <w:szCs w:val="24"/>
              </w:rPr>
            </w:pPr>
          </w:p>
        </w:tc>
      </w:tr>
      <w:tr w:rsidR="00CF1222" w:rsidTr="00CF1222">
        <w:trPr>
          <w:trHeight w:val="845"/>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4</w:t>
            </w:r>
          </w:p>
        </w:tc>
        <w:tc>
          <w:tcPr>
            <w:tcW w:w="984" w:type="dxa"/>
            <w:vAlign w:val="center"/>
          </w:tcPr>
          <w:p w:rsidR="00CF1222" w:rsidRDefault="00CF1222" w:rsidP="00CF1222">
            <w:pPr>
              <w:jc w:val="left"/>
              <w:rPr>
                <w:kern w:val="0"/>
                <w:sz w:val="24"/>
                <w:szCs w:val="24"/>
              </w:rPr>
            </w:pPr>
            <w:r>
              <w:rPr>
                <w:rFonts w:hint="eastAsia"/>
                <w:kern w:val="0"/>
                <w:sz w:val="24"/>
                <w:szCs w:val="24"/>
              </w:rPr>
              <w:t>第四章</w:t>
            </w:r>
          </w:p>
          <w:p w:rsidR="00CF1222" w:rsidRDefault="00CF1222" w:rsidP="00CF1222">
            <w:pPr>
              <w:jc w:val="left"/>
              <w:rPr>
                <w:kern w:val="0"/>
                <w:sz w:val="24"/>
                <w:szCs w:val="24"/>
              </w:rPr>
            </w:pPr>
            <w:r>
              <w:rPr>
                <w:rFonts w:hint="eastAsia"/>
                <w:kern w:val="0"/>
                <w:sz w:val="24"/>
                <w:szCs w:val="24"/>
              </w:rPr>
              <w:t>受弯构件正截</w:t>
            </w:r>
            <w:r>
              <w:rPr>
                <w:rFonts w:hint="eastAsia"/>
                <w:kern w:val="0"/>
                <w:sz w:val="24"/>
                <w:szCs w:val="24"/>
              </w:rPr>
              <w:lastRenderedPageBreak/>
              <w:t>面受弯承载力</w:t>
            </w:r>
          </w:p>
          <w:p w:rsidR="00CF1222" w:rsidRDefault="00CF1222" w:rsidP="00CF1222">
            <w:pPr>
              <w:jc w:val="left"/>
              <w:rPr>
                <w:kern w:val="0"/>
                <w:sz w:val="24"/>
                <w:szCs w:val="24"/>
              </w:rPr>
            </w:pP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lastRenderedPageBreak/>
              <w:t>9</w:t>
            </w:r>
          </w:p>
        </w:tc>
        <w:tc>
          <w:tcPr>
            <w:tcW w:w="2431" w:type="dxa"/>
            <w:vAlign w:val="center"/>
          </w:tcPr>
          <w:p w:rsidR="00CF1222" w:rsidRDefault="00CF1222" w:rsidP="00CF1222">
            <w:pPr>
              <w:jc w:val="left"/>
              <w:rPr>
                <w:kern w:val="0"/>
                <w:sz w:val="24"/>
                <w:szCs w:val="24"/>
              </w:rPr>
            </w:pPr>
            <w:r>
              <w:rPr>
                <w:rFonts w:hint="eastAsia"/>
                <w:kern w:val="0"/>
                <w:sz w:val="24"/>
                <w:szCs w:val="24"/>
              </w:rPr>
              <w:t>4.1</w:t>
            </w:r>
            <w:r>
              <w:rPr>
                <w:rFonts w:hint="eastAsia"/>
                <w:kern w:val="0"/>
                <w:sz w:val="24"/>
                <w:szCs w:val="24"/>
              </w:rPr>
              <w:t>、梁板的一般构造</w:t>
            </w:r>
          </w:p>
          <w:p w:rsidR="00CF1222" w:rsidRDefault="00CF1222" w:rsidP="00CF1222">
            <w:pPr>
              <w:jc w:val="left"/>
              <w:rPr>
                <w:kern w:val="0"/>
                <w:sz w:val="24"/>
                <w:szCs w:val="24"/>
              </w:rPr>
            </w:pPr>
            <w:r>
              <w:rPr>
                <w:rFonts w:hint="eastAsia"/>
                <w:kern w:val="0"/>
                <w:sz w:val="24"/>
                <w:szCs w:val="24"/>
              </w:rPr>
              <w:t>4.2</w:t>
            </w:r>
            <w:r>
              <w:rPr>
                <w:rFonts w:hint="eastAsia"/>
                <w:kern w:val="0"/>
                <w:sz w:val="24"/>
                <w:szCs w:val="24"/>
              </w:rPr>
              <w:t>、受弯构件正截</w:t>
            </w:r>
            <w:r>
              <w:rPr>
                <w:rFonts w:hint="eastAsia"/>
                <w:kern w:val="0"/>
                <w:sz w:val="24"/>
                <w:szCs w:val="24"/>
              </w:rPr>
              <w:lastRenderedPageBreak/>
              <w:t>面受弯的受力全过程。</w:t>
            </w:r>
          </w:p>
          <w:p w:rsidR="00CF1222" w:rsidRDefault="00CF1222" w:rsidP="00CF1222">
            <w:pPr>
              <w:jc w:val="left"/>
              <w:rPr>
                <w:kern w:val="0"/>
                <w:sz w:val="24"/>
                <w:szCs w:val="24"/>
              </w:rPr>
            </w:pPr>
            <w:r>
              <w:rPr>
                <w:rFonts w:hint="eastAsia"/>
                <w:kern w:val="0"/>
                <w:sz w:val="24"/>
                <w:szCs w:val="24"/>
              </w:rPr>
              <w:t>4.3</w:t>
            </w:r>
            <w:r>
              <w:rPr>
                <w:rFonts w:hint="eastAsia"/>
                <w:kern w:val="0"/>
                <w:sz w:val="24"/>
                <w:szCs w:val="24"/>
              </w:rPr>
              <w:t>、正截面受弯承载力计算原理</w:t>
            </w:r>
          </w:p>
          <w:p w:rsidR="00CF1222" w:rsidRDefault="00CF1222" w:rsidP="00CF1222">
            <w:pPr>
              <w:jc w:val="left"/>
              <w:rPr>
                <w:kern w:val="0"/>
                <w:sz w:val="24"/>
                <w:szCs w:val="24"/>
              </w:rPr>
            </w:pPr>
            <w:r>
              <w:rPr>
                <w:rFonts w:hint="eastAsia"/>
                <w:kern w:val="0"/>
                <w:sz w:val="24"/>
                <w:szCs w:val="24"/>
              </w:rPr>
              <w:t>4.4</w:t>
            </w:r>
            <w:r>
              <w:rPr>
                <w:rFonts w:hint="eastAsia"/>
                <w:kern w:val="0"/>
                <w:sz w:val="24"/>
                <w:szCs w:val="24"/>
              </w:rPr>
              <w:t>、单筋矩形截面承载力计算</w:t>
            </w:r>
          </w:p>
          <w:p w:rsidR="00CF1222" w:rsidRDefault="00CF1222" w:rsidP="00CF1222">
            <w:pPr>
              <w:jc w:val="left"/>
              <w:rPr>
                <w:kern w:val="0"/>
                <w:sz w:val="24"/>
                <w:szCs w:val="24"/>
              </w:rPr>
            </w:pPr>
            <w:r>
              <w:rPr>
                <w:rFonts w:hint="eastAsia"/>
                <w:kern w:val="0"/>
                <w:sz w:val="24"/>
                <w:szCs w:val="24"/>
              </w:rPr>
              <w:t>4.5</w:t>
            </w:r>
            <w:r>
              <w:rPr>
                <w:rFonts w:hint="eastAsia"/>
                <w:kern w:val="0"/>
                <w:sz w:val="24"/>
                <w:szCs w:val="24"/>
              </w:rPr>
              <w:t>、双筋矩形截面承载力计算</w:t>
            </w:r>
          </w:p>
          <w:p w:rsidR="00CF1222" w:rsidRDefault="00CF1222" w:rsidP="00CF1222">
            <w:pPr>
              <w:jc w:val="left"/>
              <w:rPr>
                <w:kern w:val="0"/>
                <w:sz w:val="24"/>
                <w:szCs w:val="24"/>
              </w:rPr>
            </w:pPr>
            <w:r>
              <w:rPr>
                <w:rFonts w:hint="eastAsia"/>
                <w:kern w:val="0"/>
                <w:sz w:val="24"/>
                <w:szCs w:val="24"/>
              </w:rPr>
              <w:t>4.6</w:t>
            </w:r>
            <w:r>
              <w:rPr>
                <w:rFonts w:hint="eastAsia"/>
                <w:kern w:val="0"/>
                <w:sz w:val="24"/>
                <w:szCs w:val="24"/>
              </w:rPr>
              <w:t>、</w:t>
            </w:r>
            <w:r>
              <w:rPr>
                <w:rFonts w:hint="eastAsia"/>
                <w:kern w:val="0"/>
                <w:sz w:val="24"/>
                <w:szCs w:val="24"/>
              </w:rPr>
              <w:t>T</w:t>
            </w:r>
            <w:r>
              <w:rPr>
                <w:rFonts w:hint="eastAsia"/>
                <w:kern w:val="0"/>
                <w:sz w:val="24"/>
                <w:szCs w:val="24"/>
              </w:rPr>
              <w:t>形截面承载力计算</w:t>
            </w:r>
          </w:p>
          <w:p w:rsidR="00CF1222" w:rsidRDefault="00CF1222" w:rsidP="00CF1222">
            <w:pPr>
              <w:jc w:val="left"/>
              <w:rPr>
                <w:kern w:val="0"/>
                <w:sz w:val="24"/>
                <w:szCs w:val="24"/>
              </w:rPr>
            </w:pPr>
          </w:p>
        </w:tc>
        <w:tc>
          <w:tcPr>
            <w:tcW w:w="2302" w:type="dxa"/>
            <w:vAlign w:val="center"/>
          </w:tcPr>
          <w:p w:rsidR="00CF1222" w:rsidRDefault="00CF1222" w:rsidP="00CF1222">
            <w:pPr>
              <w:jc w:val="left"/>
              <w:rPr>
                <w:kern w:val="0"/>
                <w:sz w:val="24"/>
                <w:szCs w:val="24"/>
              </w:rPr>
            </w:pPr>
            <w:r>
              <w:rPr>
                <w:rFonts w:hint="eastAsia"/>
                <w:kern w:val="0"/>
                <w:sz w:val="24"/>
                <w:szCs w:val="24"/>
              </w:rPr>
              <w:lastRenderedPageBreak/>
              <w:t>1</w:t>
            </w:r>
            <w:r>
              <w:rPr>
                <w:rFonts w:hint="eastAsia"/>
                <w:kern w:val="0"/>
                <w:sz w:val="24"/>
                <w:szCs w:val="24"/>
              </w:rPr>
              <w:t>、熟悉梁板的一般构造。</w:t>
            </w:r>
          </w:p>
          <w:p w:rsidR="00CF1222" w:rsidRDefault="00CF1222" w:rsidP="00CF1222">
            <w:pPr>
              <w:jc w:val="left"/>
              <w:rPr>
                <w:kern w:val="0"/>
                <w:sz w:val="24"/>
                <w:szCs w:val="24"/>
              </w:rPr>
            </w:pPr>
            <w:r>
              <w:rPr>
                <w:rFonts w:hint="eastAsia"/>
                <w:kern w:val="0"/>
                <w:sz w:val="24"/>
                <w:szCs w:val="24"/>
              </w:rPr>
              <w:t>2</w:t>
            </w:r>
            <w:r>
              <w:rPr>
                <w:rFonts w:hint="eastAsia"/>
                <w:kern w:val="0"/>
                <w:sz w:val="24"/>
                <w:szCs w:val="24"/>
              </w:rPr>
              <w:t>、掌握受弯构件正</w:t>
            </w:r>
            <w:r>
              <w:rPr>
                <w:rFonts w:hint="eastAsia"/>
                <w:kern w:val="0"/>
                <w:sz w:val="24"/>
                <w:szCs w:val="24"/>
              </w:rPr>
              <w:lastRenderedPageBreak/>
              <w:t>截面受弯的受力全过程。</w:t>
            </w:r>
          </w:p>
          <w:p w:rsidR="00CF1222" w:rsidRDefault="00CF1222" w:rsidP="00CF1222">
            <w:pPr>
              <w:jc w:val="left"/>
              <w:rPr>
                <w:kern w:val="0"/>
                <w:sz w:val="24"/>
                <w:szCs w:val="24"/>
              </w:rPr>
            </w:pPr>
            <w:r>
              <w:rPr>
                <w:rFonts w:hint="eastAsia"/>
                <w:kern w:val="0"/>
                <w:sz w:val="24"/>
                <w:szCs w:val="24"/>
              </w:rPr>
              <w:t>3</w:t>
            </w:r>
            <w:r>
              <w:rPr>
                <w:rFonts w:hint="eastAsia"/>
                <w:kern w:val="0"/>
                <w:sz w:val="24"/>
                <w:szCs w:val="24"/>
              </w:rPr>
              <w:t>、掌握正截面受弯承载力计算原理。</w:t>
            </w:r>
          </w:p>
          <w:p w:rsidR="00CF1222" w:rsidRDefault="00CF1222" w:rsidP="00CF1222">
            <w:pPr>
              <w:jc w:val="left"/>
              <w:rPr>
                <w:kern w:val="0"/>
                <w:sz w:val="24"/>
                <w:szCs w:val="24"/>
              </w:rPr>
            </w:pPr>
            <w:r>
              <w:rPr>
                <w:rFonts w:hint="eastAsia"/>
                <w:kern w:val="0"/>
                <w:sz w:val="24"/>
                <w:szCs w:val="24"/>
              </w:rPr>
              <w:t>4</w:t>
            </w:r>
            <w:r>
              <w:rPr>
                <w:rFonts w:hint="eastAsia"/>
                <w:kern w:val="0"/>
                <w:sz w:val="24"/>
                <w:szCs w:val="24"/>
              </w:rPr>
              <w:t>、掌握单筋矩形截面承载力计算</w:t>
            </w:r>
          </w:p>
          <w:p w:rsidR="00CF1222" w:rsidRDefault="00CF1222" w:rsidP="00CF1222">
            <w:pPr>
              <w:jc w:val="left"/>
              <w:rPr>
                <w:kern w:val="0"/>
                <w:sz w:val="24"/>
                <w:szCs w:val="24"/>
              </w:rPr>
            </w:pPr>
            <w:r>
              <w:rPr>
                <w:rFonts w:hint="eastAsia"/>
                <w:kern w:val="0"/>
                <w:sz w:val="24"/>
                <w:szCs w:val="24"/>
              </w:rPr>
              <w:t>5</w:t>
            </w:r>
            <w:r>
              <w:rPr>
                <w:rFonts w:hint="eastAsia"/>
                <w:kern w:val="0"/>
                <w:sz w:val="24"/>
                <w:szCs w:val="24"/>
              </w:rPr>
              <w:t>、掌握双筋矩形截面承载力计算。</w:t>
            </w:r>
          </w:p>
          <w:p w:rsidR="00CF1222" w:rsidRDefault="00CF1222" w:rsidP="00CF1222">
            <w:pPr>
              <w:jc w:val="left"/>
              <w:rPr>
                <w:kern w:val="0"/>
                <w:sz w:val="24"/>
                <w:szCs w:val="24"/>
              </w:rPr>
            </w:pPr>
            <w:r>
              <w:rPr>
                <w:rFonts w:hint="eastAsia"/>
                <w:kern w:val="0"/>
                <w:sz w:val="24"/>
                <w:szCs w:val="24"/>
              </w:rPr>
              <w:t>6</w:t>
            </w:r>
            <w:r>
              <w:rPr>
                <w:rFonts w:hint="eastAsia"/>
                <w:kern w:val="0"/>
                <w:sz w:val="24"/>
                <w:szCs w:val="24"/>
              </w:rPr>
              <w:t>、掌握</w:t>
            </w:r>
            <w:r>
              <w:rPr>
                <w:rFonts w:hint="eastAsia"/>
                <w:kern w:val="0"/>
                <w:sz w:val="24"/>
                <w:szCs w:val="24"/>
              </w:rPr>
              <w:t>T</w:t>
            </w:r>
            <w:r>
              <w:rPr>
                <w:rFonts w:hint="eastAsia"/>
                <w:kern w:val="0"/>
                <w:sz w:val="24"/>
                <w:szCs w:val="24"/>
              </w:rPr>
              <w:t>形截面承载力计算。</w:t>
            </w:r>
          </w:p>
        </w:tc>
        <w:tc>
          <w:tcPr>
            <w:tcW w:w="2302" w:type="dxa"/>
            <w:vAlign w:val="center"/>
          </w:tcPr>
          <w:p w:rsidR="00CF1222" w:rsidRDefault="00CF1222" w:rsidP="00CF1222">
            <w:pPr>
              <w:rPr>
                <w:rFonts w:ascii="仿宋" w:eastAsia="仿宋" w:hAnsi="仿宋" w:cs="仿宋"/>
                <w:kern w:val="0"/>
                <w:sz w:val="24"/>
                <w:szCs w:val="24"/>
              </w:rPr>
            </w:pPr>
            <w:r>
              <w:rPr>
                <w:rFonts w:hint="eastAsia"/>
                <w:kern w:val="0"/>
                <w:sz w:val="24"/>
                <w:szCs w:val="24"/>
              </w:rPr>
              <w:lastRenderedPageBreak/>
              <w:t>1.4</w:t>
            </w:r>
            <w:r>
              <w:rPr>
                <w:rFonts w:ascii="仿宋" w:eastAsia="仿宋" w:hAnsi="仿宋" w:cs="仿宋" w:hint="eastAsia"/>
                <w:sz w:val="24"/>
                <w:szCs w:val="24"/>
              </w:rPr>
              <w:t>掌握土木工程专业知识，具备知识融合能力，应用于解决</w:t>
            </w:r>
            <w:r>
              <w:rPr>
                <w:rFonts w:ascii="仿宋" w:eastAsia="仿宋" w:hAnsi="仿宋" w:cs="仿宋" w:hint="eastAsia"/>
                <w:sz w:val="24"/>
                <w:szCs w:val="24"/>
              </w:rPr>
              <w:lastRenderedPageBreak/>
              <w:t>土木工程专业复杂工程问题。</w:t>
            </w:r>
          </w:p>
          <w:p w:rsidR="00CF1222" w:rsidRDefault="00CF1222" w:rsidP="00CF1222">
            <w:pPr>
              <w:jc w:val="left"/>
              <w:rPr>
                <w:kern w:val="0"/>
                <w:sz w:val="24"/>
                <w:szCs w:val="24"/>
              </w:rPr>
            </w:pPr>
            <w:r>
              <w:rPr>
                <w:rFonts w:hint="eastAsia"/>
                <w:kern w:val="0"/>
                <w:sz w:val="24"/>
                <w:szCs w:val="24"/>
              </w:rPr>
              <w:t xml:space="preserve">2.3 </w:t>
            </w:r>
            <w:r>
              <w:rPr>
                <w:rFonts w:hint="eastAsia"/>
                <w:kern w:val="0"/>
                <w:sz w:val="24"/>
                <w:szCs w:val="24"/>
              </w:rPr>
              <w:t>能够正确、合理运用专业知识，识别、判断和表达土木工程专业复杂工程问题的本质特征、关键环节，并能提供多种解决方案。</w:t>
            </w:r>
          </w:p>
          <w:p w:rsidR="00CF1222" w:rsidRDefault="00CF1222" w:rsidP="00CF1222">
            <w:pPr>
              <w:jc w:val="left"/>
              <w:rPr>
                <w:kern w:val="0"/>
                <w:sz w:val="24"/>
                <w:szCs w:val="24"/>
              </w:rPr>
            </w:pPr>
            <w:r>
              <w:rPr>
                <w:rFonts w:hint="eastAsia"/>
                <w:kern w:val="0"/>
                <w:sz w:val="24"/>
                <w:szCs w:val="24"/>
              </w:rPr>
              <w:t xml:space="preserve">3.1 </w:t>
            </w:r>
            <w:r>
              <w:rPr>
                <w:rFonts w:hint="eastAsia"/>
                <w:kern w:val="0"/>
                <w:sz w:val="24"/>
                <w:szCs w:val="24"/>
              </w:rPr>
              <w:t>能够针对特定需求，确定工程基本单元的设计目标或问题解决方案，并完成设计</w:t>
            </w:r>
            <w:r>
              <w:rPr>
                <w:rFonts w:hint="eastAsia"/>
                <w:kern w:val="0"/>
                <w:sz w:val="24"/>
                <w:szCs w:val="24"/>
              </w:rPr>
              <w:t>/</w:t>
            </w:r>
            <w:r>
              <w:rPr>
                <w:rFonts w:hint="eastAsia"/>
                <w:kern w:val="0"/>
                <w:sz w:val="24"/>
                <w:szCs w:val="24"/>
              </w:rPr>
              <w:t>开发工作。</w:t>
            </w:r>
          </w:p>
          <w:p w:rsidR="00CF1222" w:rsidRDefault="00CF1222" w:rsidP="00CF1222">
            <w:pPr>
              <w:jc w:val="left"/>
              <w:rPr>
                <w:kern w:val="0"/>
                <w:sz w:val="24"/>
                <w:szCs w:val="24"/>
              </w:rPr>
            </w:pPr>
          </w:p>
        </w:tc>
      </w:tr>
      <w:tr w:rsidR="00CF1222" w:rsidTr="00CF1222">
        <w:trPr>
          <w:trHeight w:val="1269"/>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lastRenderedPageBreak/>
              <w:t>5</w:t>
            </w:r>
          </w:p>
        </w:tc>
        <w:tc>
          <w:tcPr>
            <w:tcW w:w="984" w:type="dxa"/>
            <w:vAlign w:val="center"/>
          </w:tcPr>
          <w:p w:rsidR="00CF1222" w:rsidRDefault="00CF1222" w:rsidP="00CF1222">
            <w:pPr>
              <w:jc w:val="left"/>
              <w:rPr>
                <w:kern w:val="0"/>
                <w:sz w:val="24"/>
                <w:szCs w:val="24"/>
              </w:rPr>
            </w:pPr>
            <w:r>
              <w:rPr>
                <w:rFonts w:hint="eastAsia"/>
                <w:kern w:val="0"/>
                <w:sz w:val="24"/>
                <w:szCs w:val="24"/>
              </w:rPr>
              <w:t>第五章</w:t>
            </w:r>
          </w:p>
          <w:p w:rsidR="00CF1222" w:rsidRDefault="00CF1222" w:rsidP="00CF1222">
            <w:pPr>
              <w:jc w:val="left"/>
              <w:rPr>
                <w:kern w:val="0"/>
                <w:sz w:val="24"/>
                <w:szCs w:val="24"/>
              </w:rPr>
            </w:pPr>
            <w:r>
              <w:rPr>
                <w:rFonts w:hint="eastAsia"/>
                <w:kern w:val="0"/>
                <w:sz w:val="24"/>
                <w:szCs w:val="24"/>
              </w:rPr>
              <w:t>受弯构件斜截面承载力</w:t>
            </w:r>
          </w:p>
          <w:p w:rsidR="00CF1222" w:rsidRDefault="00CF1222" w:rsidP="00CF1222">
            <w:pPr>
              <w:jc w:val="left"/>
              <w:rPr>
                <w:kern w:val="0"/>
                <w:sz w:val="24"/>
                <w:szCs w:val="24"/>
              </w:rPr>
            </w:pP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6</w:t>
            </w:r>
          </w:p>
        </w:tc>
        <w:tc>
          <w:tcPr>
            <w:tcW w:w="2431" w:type="dxa"/>
            <w:vAlign w:val="center"/>
          </w:tcPr>
          <w:p w:rsidR="00CF1222" w:rsidRDefault="00CF1222" w:rsidP="00CF1222">
            <w:pPr>
              <w:jc w:val="left"/>
              <w:rPr>
                <w:kern w:val="0"/>
                <w:sz w:val="24"/>
                <w:szCs w:val="24"/>
              </w:rPr>
            </w:pPr>
            <w:r>
              <w:rPr>
                <w:rFonts w:hint="eastAsia"/>
                <w:kern w:val="0"/>
                <w:sz w:val="24"/>
                <w:szCs w:val="24"/>
              </w:rPr>
              <w:t>5.1</w:t>
            </w:r>
            <w:r>
              <w:rPr>
                <w:rFonts w:hint="eastAsia"/>
                <w:kern w:val="0"/>
                <w:sz w:val="24"/>
                <w:szCs w:val="24"/>
              </w:rPr>
              <w:t>、概述</w:t>
            </w:r>
          </w:p>
          <w:p w:rsidR="00CF1222" w:rsidRDefault="00CF1222" w:rsidP="00CF1222">
            <w:pPr>
              <w:jc w:val="left"/>
              <w:rPr>
                <w:kern w:val="0"/>
                <w:sz w:val="24"/>
                <w:szCs w:val="24"/>
              </w:rPr>
            </w:pPr>
            <w:r>
              <w:rPr>
                <w:rFonts w:hint="eastAsia"/>
                <w:kern w:val="0"/>
                <w:sz w:val="24"/>
                <w:szCs w:val="24"/>
              </w:rPr>
              <w:t>5.2</w:t>
            </w:r>
            <w:r>
              <w:rPr>
                <w:rFonts w:hint="eastAsia"/>
                <w:kern w:val="0"/>
                <w:sz w:val="24"/>
                <w:szCs w:val="24"/>
              </w:rPr>
              <w:t>、斜截面受剪破坏形态</w:t>
            </w:r>
          </w:p>
          <w:p w:rsidR="00CF1222" w:rsidRDefault="00CF1222" w:rsidP="00CF1222">
            <w:pPr>
              <w:jc w:val="left"/>
              <w:rPr>
                <w:kern w:val="0"/>
                <w:sz w:val="24"/>
                <w:szCs w:val="24"/>
              </w:rPr>
            </w:pPr>
            <w:r>
              <w:rPr>
                <w:rFonts w:hint="eastAsia"/>
                <w:kern w:val="0"/>
                <w:sz w:val="24"/>
                <w:szCs w:val="24"/>
              </w:rPr>
              <w:t>5.3</w:t>
            </w:r>
            <w:r>
              <w:rPr>
                <w:rFonts w:hint="eastAsia"/>
                <w:kern w:val="0"/>
                <w:sz w:val="24"/>
                <w:szCs w:val="24"/>
              </w:rPr>
              <w:t>、简支梁斜截面受剪机理</w:t>
            </w:r>
          </w:p>
          <w:p w:rsidR="00CF1222" w:rsidRDefault="00CF1222" w:rsidP="00CF1222">
            <w:pPr>
              <w:jc w:val="left"/>
              <w:rPr>
                <w:kern w:val="0"/>
                <w:sz w:val="24"/>
                <w:szCs w:val="24"/>
              </w:rPr>
            </w:pPr>
            <w:r>
              <w:rPr>
                <w:rFonts w:hint="eastAsia"/>
                <w:kern w:val="0"/>
                <w:sz w:val="24"/>
                <w:szCs w:val="24"/>
              </w:rPr>
              <w:t>5.4</w:t>
            </w:r>
            <w:r>
              <w:rPr>
                <w:rFonts w:hint="eastAsia"/>
                <w:kern w:val="0"/>
                <w:sz w:val="24"/>
                <w:szCs w:val="24"/>
              </w:rPr>
              <w:t>、斜截面受剪承载力的计算公式</w:t>
            </w:r>
          </w:p>
          <w:p w:rsidR="00CF1222" w:rsidRDefault="00CF1222" w:rsidP="00CF1222">
            <w:pPr>
              <w:jc w:val="left"/>
              <w:rPr>
                <w:kern w:val="0"/>
                <w:sz w:val="24"/>
                <w:szCs w:val="24"/>
              </w:rPr>
            </w:pPr>
            <w:r>
              <w:rPr>
                <w:rFonts w:hint="eastAsia"/>
                <w:kern w:val="0"/>
                <w:sz w:val="24"/>
                <w:szCs w:val="24"/>
              </w:rPr>
              <w:t>5.5</w:t>
            </w:r>
            <w:r>
              <w:rPr>
                <w:rFonts w:hint="eastAsia"/>
                <w:kern w:val="0"/>
                <w:sz w:val="24"/>
                <w:szCs w:val="24"/>
              </w:rPr>
              <w:t>、斜截面受剪承载力的设计计算</w:t>
            </w:r>
          </w:p>
          <w:p w:rsidR="00CF1222" w:rsidRDefault="00CF1222" w:rsidP="00CF1222">
            <w:pPr>
              <w:jc w:val="left"/>
              <w:rPr>
                <w:kern w:val="0"/>
                <w:sz w:val="24"/>
                <w:szCs w:val="24"/>
              </w:rPr>
            </w:pPr>
            <w:r>
              <w:rPr>
                <w:rFonts w:hint="eastAsia"/>
                <w:kern w:val="0"/>
                <w:sz w:val="24"/>
                <w:szCs w:val="24"/>
              </w:rPr>
              <w:t>5.6</w:t>
            </w:r>
            <w:r>
              <w:rPr>
                <w:rFonts w:hint="eastAsia"/>
                <w:kern w:val="0"/>
                <w:sz w:val="24"/>
                <w:szCs w:val="24"/>
              </w:rPr>
              <w:t>、保证斜截面受弯承载力的构造措施</w:t>
            </w:r>
          </w:p>
          <w:p w:rsidR="00CF1222" w:rsidRDefault="00CF1222" w:rsidP="00CF1222">
            <w:pPr>
              <w:jc w:val="left"/>
              <w:rPr>
                <w:kern w:val="0"/>
                <w:sz w:val="24"/>
                <w:szCs w:val="24"/>
              </w:rPr>
            </w:pPr>
            <w:r>
              <w:rPr>
                <w:rFonts w:hint="eastAsia"/>
                <w:kern w:val="0"/>
                <w:sz w:val="24"/>
                <w:szCs w:val="24"/>
              </w:rPr>
              <w:t>5.7</w:t>
            </w:r>
            <w:r>
              <w:rPr>
                <w:rFonts w:hint="eastAsia"/>
                <w:kern w:val="0"/>
                <w:sz w:val="24"/>
                <w:szCs w:val="24"/>
              </w:rPr>
              <w:t>、梁板内钢筋的其他构造措施</w:t>
            </w:r>
          </w:p>
        </w:tc>
        <w:tc>
          <w:tcPr>
            <w:tcW w:w="2302" w:type="dxa"/>
            <w:vAlign w:val="center"/>
          </w:tcPr>
          <w:p w:rsidR="00CF1222" w:rsidRDefault="00CF1222" w:rsidP="00CF1222">
            <w:pPr>
              <w:jc w:val="left"/>
              <w:rPr>
                <w:kern w:val="0"/>
                <w:sz w:val="24"/>
                <w:szCs w:val="24"/>
              </w:rPr>
            </w:pPr>
            <w:r>
              <w:rPr>
                <w:rFonts w:hint="eastAsia"/>
                <w:kern w:val="0"/>
                <w:sz w:val="24"/>
                <w:szCs w:val="24"/>
              </w:rPr>
              <w:t>掌握斜截面承载力的概念。</w:t>
            </w:r>
          </w:p>
          <w:p w:rsidR="00CF1222" w:rsidRDefault="00CF1222" w:rsidP="00CF1222">
            <w:pPr>
              <w:jc w:val="left"/>
              <w:rPr>
                <w:kern w:val="0"/>
                <w:sz w:val="24"/>
                <w:szCs w:val="24"/>
              </w:rPr>
            </w:pPr>
            <w:r>
              <w:rPr>
                <w:rFonts w:hint="eastAsia"/>
                <w:kern w:val="0"/>
                <w:sz w:val="24"/>
                <w:szCs w:val="24"/>
              </w:rPr>
              <w:t>掌握斜截面受剪破坏形态。</w:t>
            </w:r>
          </w:p>
          <w:p w:rsidR="00CF1222" w:rsidRDefault="00CF1222" w:rsidP="00CF1222">
            <w:pPr>
              <w:jc w:val="left"/>
              <w:rPr>
                <w:kern w:val="0"/>
                <w:sz w:val="24"/>
                <w:szCs w:val="24"/>
              </w:rPr>
            </w:pPr>
            <w:r>
              <w:rPr>
                <w:rFonts w:hint="eastAsia"/>
                <w:kern w:val="0"/>
                <w:sz w:val="24"/>
                <w:szCs w:val="24"/>
              </w:rPr>
              <w:t>掌握斜截面受剪承载力的计算公式的建立。</w:t>
            </w:r>
          </w:p>
          <w:p w:rsidR="00CF1222" w:rsidRDefault="00CF1222" w:rsidP="00CF1222">
            <w:pPr>
              <w:jc w:val="left"/>
              <w:rPr>
                <w:kern w:val="0"/>
                <w:sz w:val="24"/>
                <w:szCs w:val="24"/>
              </w:rPr>
            </w:pPr>
            <w:r>
              <w:rPr>
                <w:rFonts w:hint="eastAsia"/>
                <w:kern w:val="0"/>
                <w:sz w:val="24"/>
                <w:szCs w:val="24"/>
              </w:rPr>
              <w:t>掌握斜截面受剪承载力的设计计算。</w:t>
            </w:r>
          </w:p>
          <w:p w:rsidR="00CF1222" w:rsidRDefault="00CF1222" w:rsidP="00CF1222">
            <w:pPr>
              <w:jc w:val="left"/>
              <w:rPr>
                <w:kern w:val="0"/>
                <w:sz w:val="24"/>
                <w:szCs w:val="24"/>
              </w:rPr>
            </w:pPr>
            <w:r>
              <w:rPr>
                <w:rFonts w:hint="eastAsia"/>
                <w:kern w:val="0"/>
                <w:sz w:val="24"/>
                <w:szCs w:val="24"/>
              </w:rPr>
              <w:t>掌握保证斜截面受弯承载力的构造措施。</w:t>
            </w:r>
          </w:p>
          <w:p w:rsidR="00CF1222" w:rsidRDefault="00CF1222" w:rsidP="00CF1222">
            <w:pPr>
              <w:jc w:val="left"/>
              <w:rPr>
                <w:kern w:val="0"/>
                <w:sz w:val="24"/>
                <w:szCs w:val="24"/>
              </w:rPr>
            </w:pPr>
            <w:r>
              <w:rPr>
                <w:rFonts w:hint="eastAsia"/>
                <w:kern w:val="0"/>
                <w:sz w:val="24"/>
                <w:szCs w:val="24"/>
              </w:rPr>
              <w:t>熟悉梁板内钢筋的其他构造措施</w:t>
            </w:r>
          </w:p>
        </w:tc>
        <w:tc>
          <w:tcPr>
            <w:tcW w:w="2302" w:type="dxa"/>
            <w:vAlign w:val="center"/>
          </w:tcPr>
          <w:p w:rsidR="00CF1222" w:rsidRDefault="00CF1222" w:rsidP="00CF1222">
            <w:pPr>
              <w:rPr>
                <w:rFonts w:ascii="仿宋" w:eastAsia="仿宋" w:hAnsi="仿宋" w:cs="仿宋"/>
                <w:kern w:val="0"/>
                <w:sz w:val="24"/>
                <w:szCs w:val="24"/>
              </w:rPr>
            </w:pPr>
            <w:r>
              <w:rPr>
                <w:rFonts w:hint="eastAsia"/>
                <w:kern w:val="0"/>
                <w:sz w:val="24"/>
                <w:szCs w:val="24"/>
              </w:rPr>
              <w:t>1.4</w:t>
            </w:r>
            <w:r>
              <w:rPr>
                <w:rFonts w:ascii="仿宋" w:eastAsia="仿宋" w:hAnsi="仿宋" w:cs="仿宋" w:hint="eastAsia"/>
                <w:sz w:val="24"/>
                <w:szCs w:val="24"/>
              </w:rPr>
              <w:t>掌握土木工程专业知识，具备知识融合能力，应用于解决土木工程专业复杂工程问题。</w:t>
            </w:r>
          </w:p>
          <w:p w:rsidR="00CF1222" w:rsidRDefault="00CF1222" w:rsidP="00CF1222">
            <w:pPr>
              <w:jc w:val="left"/>
              <w:rPr>
                <w:kern w:val="0"/>
                <w:sz w:val="24"/>
                <w:szCs w:val="24"/>
              </w:rPr>
            </w:pPr>
            <w:r>
              <w:rPr>
                <w:rFonts w:hint="eastAsia"/>
                <w:kern w:val="0"/>
                <w:sz w:val="24"/>
                <w:szCs w:val="24"/>
              </w:rPr>
              <w:t xml:space="preserve">2.3 </w:t>
            </w:r>
            <w:r>
              <w:rPr>
                <w:rFonts w:hint="eastAsia"/>
                <w:kern w:val="0"/>
                <w:sz w:val="24"/>
                <w:szCs w:val="24"/>
              </w:rPr>
              <w:t>能够正确、合理运用专业知识，识别、判断和表达土木工程专业复杂工程问题的本质特征、关键环节，并能提供多种解决方案。</w:t>
            </w:r>
          </w:p>
          <w:p w:rsidR="00CF1222" w:rsidRDefault="00CF1222" w:rsidP="00CF1222">
            <w:pPr>
              <w:jc w:val="left"/>
              <w:rPr>
                <w:kern w:val="0"/>
                <w:sz w:val="24"/>
                <w:szCs w:val="24"/>
              </w:rPr>
            </w:pPr>
            <w:r>
              <w:rPr>
                <w:rFonts w:hint="eastAsia"/>
                <w:kern w:val="0"/>
                <w:sz w:val="24"/>
                <w:szCs w:val="24"/>
              </w:rPr>
              <w:t xml:space="preserve">3.1 </w:t>
            </w:r>
            <w:r>
              <w:rPr>
                <w:rFonts w:hint="eastAsia"/>
                <w:kern w:val="0"/>
                <w:sz w:val="24"/>
                <w:szCs w:val="24"/>
              </w:rPr>
              <w:t>能够针对特定需求，确定工程基本单元的设计目标或问题解决方案，并完成设计</w:t>
            </w:r>
            <w:r>
              <w:rPr>
                <w:rFonts w:hint="eastAsia"/>
                <w:kern w:val="0"/>
                <w:sz w:val="24"/>
                <w:szCs w:val="24"/>
              </w:rPr>
              <w:t>/</w:t>
            </w:r>
            <w:r>
              <w:rPr>
                <w:rFonts w:hint="eastAsia"/>
                <w:kern w:val="0"/>
                <w:sz w:val="24"/>
                <w:szCs w:val="24"/>
              </w:rPr>
              <w:t>开发工作。</w:t>
            </w:r>
          </w:p>
          <w:p w:rsidR="00CF1222" w:rsidRDefault="00CF1222" w:rsidP="00CF1222">
            <w:pPr>
              <w:jc w:val="left"/>
              <w:rPr>
                <w:kern w:val="0"/>
                <w:sz w:val="24"/>
                <w:szCs w:val="24"/>
              </w:rPr>
            </w:pPr>
          </w:p>
        </w:tc>
      </w:tr>
      <w:tr w:rsidR="00CF1222" w:rsidTr="00CF1222">
        <w:trPr>
          <w:trHeight w:val="990"/>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6</w:t>
            </w:r>
          </w:p>
        </w:tc>
        <w:tc>
          <w:tcPr>
            <w:tcW w:w="984" w:type="dxa"/>
            <w:vAlign w:val="center"/>
          </w:tcPr>
          <w:p w:rsidR="00CF1222" w:rsidRDefault="00CF1222" w:rsidP="00CF1222">
            <w:pPr>
              <w:jc w:val="left"/>
              <w:rPr>
                <w:kern w:val="0"/>
                <w:sz w:val="24"/>
                <w:szCs w:val="24"/>
              </w:rPr>
            </w:pPr>
            <w:r>
              <w:rPr>
                <w:rFonts w:hint="eastAsia"/>
                <w:kern w:val="0"/>
                <w:sz w:val="24"/>
                <w:szCs w:val="24"/>
              </w:rPr>
              <w:t>第六章</w:t>
            </w:r>
          </w:p>
          <w:p w:rsidR="00CF1222" w:rsidRDefault="00CF1222" w:rsidP="00CF1222">
            <w:pPr>
              <w:jc w:val="left"/>
              <w:rPr>
                <w:kern w:val="0"/>
                <w:sz w:val="24"/>
                <w:szCs w:val="24"/>
              </w:rPr>
            </w:pPr>
            <w:r>
              <w:rPr>
                <w:rFonts w:hint="eastAsia"/>
                <w:kern w:val="0"/>
                <w:sz w:val="24"/>
                <w:szCs w:val="24"/>
              </w:rPr>
              <w:t>受压构件的截面承载力</w:t>
            </w:r>
          </w:p>
          <w:p w:rsidR="00CF1222" w:rsidRDefault="00CF1222" w:rsidP="00CF1222">
            <w:pPr>
              <w:jc w:val="left"/>
              <w:rPr>
                <w:kern w:val="0"/>
                <w:sz w:val="24"/>
                <w:szCs w:val="24"/>
              </w:rPr>
            </w:pP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9</w:t>
            </w:r>
          </w:p>
        </w:tc>
        <w:tc>
          <w:tcPr>
            <w:tcW w:w="2431" w:type="dxa"/>
            <w:vAlign w:val="center"/>
          </w:tcPr>
          <w:p w:rsidR="00CF1222" w:rsidRDefault="00CF1222" w:rsidP="00CF1222">
            <w:pPr>
              <w:jc w:val="left"/>
              <w:rPr>
                <w:kern w:val="0"/>
                <w:sz w:val="24"/>
                <w:szCs w:val="24"/>
              </w:rPr>
            </w:pPr>
            <w:r>
              <w:rPr>
                <w:rFonts w:hint="eastAsia"/>
                <w:kern w:val="0"/>
                <w:sz w:val="24"/>
                <w:szCs w:val="24"/>
              </w:rPr>
              <w:t>6.1</w:t>
            </w:r>
            <w:r>
              <w:rPr>
                <w:rFonts w:hint="eastAsia"/>
                <w:kern w:val="0"/>
                <w:sz w:val="24"/>
                <w:szCs w:val="24"/>
              </w:rPr>
              <w:t>、一般构造要求。</w:t>
            </w:r>
          </w:p>
          <w:p w:rsidR="00CF1222" w:rsidRDefault="00CF1222" w:rsidP="00CF1222">
            <w:pPr>
              <w:jc w:val="left"/>
              <w:rPr>
                <w:kern w:val="0"/>
                <w:sz w:val="24"/>
                <w:szCs w:val="24"/>
              </w:rPr>
            </w:pPr>
            <w:r>
              <w:rPr>
                <w:rFonts w:hint="eastAsia"/>
                <w:kern w:val="0"/>
                <w:sz w:val="24"/>
                <w:szCs w:val="24"/>
              </w:rPr>
              <w:t>6.2</w:t>
            </w:r>
            <w:r>
              <w:rPr>
                <w:rFonts w:hint="eastAsia"/>
                <w:kern w:val="0"/>
                <w:sz w:val="24"/>
                <w:szCs w:val="24"/>
              </w:rPr>
              <w:t>、轴心受压构件正截面承载力</w:t>
            </w:r>
          </w:p>
          <w:p w:rsidR="00CF1222" w:rsidRDefault="00CF1222" w:rsidP="00CF1222">
            <w:pPr>
              <w:jc w:val="left"/>
              <w:rPr>
                <w:kern w:val="0"/>
                <w:sz w:val="24"/>
                <w:szCs w:val="24"/>
              </w:rPr>
            </w:pPr>
            <w:r>
              <w:rPr>
                <w:rFonts w:hint="eastAsia"/>
                <w:kern w:val="0"/>
                <w:sz w:val="24"/>
                <w:szCs w:val="24"/>
              </w:rPr>
              <w:t>6.3</w:t>
            </w:r>
            <w:r>
              <w:rPr>
                <w:rFonts w:hint="eastAsia"/>
                <w:kern w:val="0"/>
                <w:sz w:val="24"/>
                <w:szCs w:val="24"/>
              </w:rPr>
              <w:t>、偏心受压构件正截面受压破坏形态</w:t>
            </w:r>
          </w:p>
          <w:p w:rsidR="00CF1222" w:rsidRDefault="00CF1222" w:rsidP="00CF1222">
            <w:pPr>
              <w:jc w:val="left"/>
              <w:rPr>
                <w:kern w:val="0"/>
                <w:sz w:val="24"/>
                <w:szCs w:val="24"/>
              </w:rPr>
            </w:pPr>
            <w:r>
              <w:rPr>
                <w:rFonts w:hint="eastAsia"/>
                <w:kern w:val="0"/>
                <w:sz w:val="24"/>
                <w:szCs w:val="24"/>
              </w:rPr>
              <w:t>6.4</w:t>
            </w:r>
            <w:r>
              <w:rPr>
                <w:rFonts w:hint="eastAsia"/>
                <w:kern w:val="0"/>
                <w:sz w:val="24"/>
                <w:szCs w:val="24"/>
              </w:rPr>
              <w:t>、偏心受压二阶</w:t>
            </w:r>
            <w:r>
              <w:rPr>
                <w:rFonts w:hint="eastAsia"/>
                <w:kern w:val="0"/>
                <w:sz w:val="24"/>
                <w:szCs w:val="24"/>
              </w:rPr>
              <w:lastRenderedPageBreak/>
              <w:t>弯矩</w:t>
            </w:r>
          </w:p>
          <w:p w:rsidR="00CF1222" w:rsidRDefault="00CF1222" w:rsidP="00CF1222">
            <w:pPr>
              <w:jc w:val="left"/>
              <w:rPr>
                <w:kern w:val="0"/>
                <w:sz w:val="24"/>
                <w:szCs w:val="24"/>
              </w:rPr>
            </w:pPr>
            <w:r>
              <w:rPr>
                <w:rFonts w:hint="eastAsia"/>
                <w:kern w:val="0"/>
                <w:sz w:val="24"/>
                <w:szCs w:val="24"/>
              </w:rPr>
              <w:t>6.5</w:t>
            </w:r>
            <w:r>
              <w:rPr>
                <w:rFonts w:hint="eastAsia"/>
                <w:kern w:val="0"/>
                <w:sz w:val="24"/>
                <w:szCs w:val="24"/>
              </w:rPr>
              <w:t>、矩形截面承载力计算公式</w:t>
            </w:r>
          </w:p>
          <w:p w:rsidR="00CF1222" w:rsidRDefault="00CF1222" w:rsidP="00CF1222">
            <w:pPr>
              <w:jc w:val="left"/>
              <w:rPr>
                <w:kern w:val="0"/>
                <w:sz w:val="24"/>
                <w:szCs w:val="24"/>
              </w:rPr>
            </w:pPr>
            <w:r>
              <w:rPr>
                <w:rFonts w:hint="eastAsia"/>
                <w:kern w:val="0"/>
                <w:sz w:val="24"/>
                <w:szCs w:val="24"/>
              </w:rPr>
              <w:t>6.6</w:t>
            </w:r>
            <w:r>
              <w:rPr>
                <w:rFonts w:hint="eastAsia"/>
                <w:kern w:val="0"/>
                <w:sz w:val="24"/>
                <w:szCs w:val="24"/>
              </w:rPr>
              <w:t>、不对称配筋矩形截面承载力计算</w:t>
            </w:r>
          </w:p>
          <w:p w:rsidR="00CF1222" w:rsidRDefault="00CF1222" w:rsidP="00CF1222">
            <w:pPr>
              <w:jc w:val="left"/>
              <w:rPr>
                <w:kern w:val="0"/>
                <w:sz w:val="24"/>
                <w:szCs w:val="24"/>
              </w:rPr>
            </w:pPr>
            <w:r>
              <w:rPr>
                <w:rFonts w:hint="eastAsia"/>
                <w:kern w:val="0"/>
                <w:sz w:val="24"/>
                <w:szCs w:val="24"/>
              </w:rPr>
              <w:t>6.7</w:t>
            </w:r>
            <w:r>
              <w:rPr>
                <w:rFonts w:hint="eastAsia"/>
                <w:kern w:val="0"/>
                <w:sz w:val="24"/>
                <w:szCs w:val="24"/>
              </w:rPr>
              <w:t>、对称配筋矩形截面承载力计算</w:t>
            </w:r>
          </w:p>
          <w:p w:rsidR="00CF1222" w:rsidRDefault="00CF1222" w:rsidP="00CF1222">
            <w:pPr>
              <w:jc w:val="left"/>
              <w:rPr>
                <w:kern w:val="0"/>
                <w:sz w:val="24"/>
                <w:szCs w:val="24"/>
              </w:rPr>
            </w:pPr>
            <w:r>
              <w:rPr>
                <w:rFonts w:hint="eastAsia"/>
                <w:kern w:val="0"/>
                <w:sz w:val="24"/>
                <w:szCs w:val="24"/>
              </w:rPr>
              <w:t>6.8</w:t>
            </w:r>
            <w:r>
              <w:rPr>
                <w:rFonts w:hint="eastAsia"/>
                <w:kern w:val="0"/>
                <w:sz w:val="24"/>
                <w:szCs w:val="24"/>
              </w:rPr>
              <w:t>、</w:t>
            </w:r>
            <w:r>
              <w:rPr>
                <w:rFonts w:hint="eastAsia"/>
                <w:kern w:val="0"/>
                <w:sz w:val="24"/>
                <w:szCs w:val="24"/>
              </w:rPr>
              <w:t>M-N</w:t>
            </w:r>
            <w:r>
              <w:rPr>
                <w:rFonts w:hint="eastAsia"/>
                <w:kern w:val="0"/>
                <w:sz w:val="24"/>
                <w:szCs w:val="24"/>
              </w:rPr>
              <w:t>相关曲线及应用</w:t>
            </w:r>
          </w:p>
          <w:p w:rsidR="00CF1222" w:rsidRDefault="00CF1222" w:rsidP="00CF1222">
            <w:pPr>
              <w:jc w:val="left"/>
              <w:rPr>
                <w:kern w:val="0"/>
                <w:sz w:val="24"/>
                <w:szCs w:val="24"/>
              </w:rPr>
            </w:pPr>
            <w:r>
              <w:rPr>
                <w:rFonts w:hint="eastAsia"/>
                <w:kern w:val="0"/>
                <w:sz w:val="24"/>
                <w:szCs w:val="24"/>
              </w:rPr>
              <w:t>6.9</w:t>
            </w:r>
            <w:r>
              <w:rPr>
                <w:rFonts w:hint="eastAsia"/>
                <w:kern w:val="0"/>
                <w:sz w:val="24"/>
                <w:szCs w:val="24"/>
              </w:rPr>
              <w:t>、偏心受压构件斜截面承载力</w:t>
            </w:r>
          </w:p>
          <w:p w:rsidR="00CF1222" w:rsidRDefault="00CF1222" w:rsidP="00CF1222">
            <w:pPr>
              <w:jc w:val="left"/>
              <w:rPr>
                <w:kern w:val="0"/>
                <w:sz w:val="24"/>
                <w:szCs w:val="24"/>
              </w:rPr>
            </w:pPr>
          </w:p>
          <w:p w:rsidR="00CF1222" w:rsidRDefault="00CF1222" w:rsidP="00CF1222">
            <w:pPr>
              <w:jc w:val="left"/>
              <w:rPr>
                <w:kern w:val="0"/>
                <w:sz w:val="24"/>
                <w:szCs w:val="24"/>
              </w:rPr>
            </w:pPr>
          </w:p>
        </w:tc>
        <w:tc>
          <w:tcPr>
            <w:tcW w:w="2302" w:type="dxa"/>
            <w:vAlign w:val="center"/>
          </w:tcPr>
          <w:p w:rsidR="00CF1222" w:rsidRDefault="00CF1222" w:rsidP="00CF1222">
            <w:pPr>
              <w:jc w:val="left"/>
              <w:rPr>
                <w:kern w:val="0"/>
                <w:sz w:val="24"/>
                <w:szCs w:val="24"/>
              </w:rPr>
            </w:pPr>
            <w:r>
              <w:rPr>
                <w:rFonts w:hint="eastAsia"/>
                <w:kern w:val="0"/>
                <w:sz w:val="24"/>
                <w:szCs w:val="24"/>
              </w:rPr>
              <w:lastRenderedPageBreak/>
              <w:t>熟悉受压构件的一般构造要求。</w:t>
            </w:r>
          </w:p>
          <w:p w:rsidR="00CF1222" w:rsidRDefault="00CF1222" w:rsidP="00CF1222">
            <w:pPr>
              <w:jc w:val="left"/>
              <w:rPr>
                <w:kern w:val="0"/>
                <w:sz w:val="24"/>
                <w:szCs w:val="24"/>
              </w:rPr>
            </w:pPr>
            <w:r>
              <w:rPr>
                <w:rFonts w:hint="eastAsia"/>
                <w:kern w:val="0"/>
                <w:sz w:val="24"/>
                <w:szCs w:val="24"/>
              </w:rPr>
              <w:t>掌握轴心受压构件正截面承载力。</w:t>
            </w:r>
          </w:p>
          <w:p w:rsidR="00CF1222" w:rsidRDefault="00CF1222" w:rsidP="00CF1222">
            <w:pPr>
              <w:jc w:val="left"/>
              <w:rPr>
                <w:kern w:val="0"/>
                <w:sz w:val="24"/>
                <w:szCs w:val="24"/>
              </w:rPr>
            </w:pPr>
            <w:r>
              <w:rPr>
                <w:rFonts w:hint="eastAsia"/>
                <w:kern w:val="0"/>
                <w:sz w:val="24"/>
                <w:szCs w:val="24"/>
              </w:rPr>
              <w:t>掌握偏心受压构件正截面受压破坏形态。</w:t>
            </w:r>
          </w:p>
          <w:p w:rsidR="00CF1222" w:rsidRDefault="00CF1222" w:rsidP="00CF1222">
            <w:pPr>
              <w:jc w:val="left"/>
              <w:rPr>
                <w:kern w:val="0"/>
                <w:sz w:val="24"/>
                <w:szCs w:val="24"/>
              </w:rPr>
            </w:pPr>
            <w:r>
              <w:rPr>
                <w:rFonts w:hint="eastAsia"/>
                <w:kern w:val="0"/>
                <w:sz w:val="24"/>
                <w:szCs w:val="24"/>
              </w:rPr>
              <w:lastRenderedPageBreak/>
              <w:t>掌握偏心受压二阶弯矩的概念。</w:t>
            </w:r>
          </w:p>
          <w:p w:rsidR="00CF1222" w:rsidRDefault="00CF1222" w:rsidP="00CF1222">
            <w:pPr>
              <w:jc w:val="left"/>
              <w:rPr>
                <w:kern w:val="0"/>
                <w:sz w:val="24"/>
                <w:szCs w:val="24"/>
              </w:rPr>
            </w:pPr>
            <w:r>
              <w:rPr>
                <w:rFonts w:hint="eastAsia"/>
                <w:kern w:val="0"/>
                <w:sz w:val="24"/>
                <w:szCs w:val="24"/>
              </w:rPr>
              <w:t>掌握矩形截面承载力计算公式的建立。</w:t>
            </w:r>
          </w:p>
          <w:p w:rsidR="00CF1222" w:rsidRDefault="00CF1222" w:rsidP="00CF1222">
            <w:pPr>
              <w:jc w:val="left"/>
              <w:rPr>
                <w:kern w:val="0"/>
                <w:sz w:val="24"/>
                <w:szCs w:val="24"/>
              </w:rPr>
            </w:pPr>
            <w:r>
              <w:rPr>
                <w:rFonts w:hint="eastAsia"/>
                <w:kern w:val="0"/>
                <w:sz w:val="24"/>
                <w:szCs w:val="24"/>
              </w:rPr>
              <w:t>掌握不对称配筋矩形截面承载力计算。</w:t>
            </w:r>
          </w:p>
          <w:p w:rsidR="00CF1222" w:rsidRDefault="00CF1222" w:rsidP="00CF1222">
            <w:pPr>
              <w:jc w:val="left"/>
              <w:rPr>
                <w:kern w:val="0"/>
                <w:sz w:val="24"/>
                <w:szCs w:val="24"/>
              </w:rPr>
            </w:pPr>
            <w:r>
              <w:rPr>
                <w:rFonts w:hint="eastAsia"/>
                <w:kern w:val="0"/>
                <w:sz w:val="24"/>
                <w:szCs w:val="24"/>
              </w:rPr>
              <w:t>掌握对称配筋矩形截面承载力计算。</w:t>
            </w:r>
          </w:p>
          <w:p w:rsidR="00CF1222" w:rsidRDefault="00CF1222" w:rsidP="00CF1222">
            <w:pPr>
              <w:jc w:val="left"/>
              <w:rPr>
                <w:kern w:val="0"/>
                <w:sz w:val="24"/>
                <w:szCs w:val="24"/>
              </w:rPr>
            </w:pPr>
            <w:r>
              <w:rPr>
                <w:rFonts w:hint="eastAsia"/>
                <w:kern w:val="0"/>
                <w:sz w:val="24"/>
                <w:szCs w:val="24"/>
              </w:rPr>
              <w:t>熟悉</w:t>
            </w:r>
            <w:r>
              <w:rPr>
                <w:rFonts w:hint="eastAsia"/>
                <w:kern w:val="0"/>
                <w:sz w:val="24"/>
                <w:szCs w:val="24"/>
              </w:rPr>
              <w:t>M-Nu</w:t>
            </w:r>
            <w:r>
              <w:rPr>
                <w:rFonts w:hint="eastAsia"/>
                <w:kern w:val="0"/>
                <w:sz w:val="24"/>
                <w:szCs w:val="24"/>
              </w:rPr>
              <w:t>相关曲线及应用。</w:t>
            </w:r>
          </w:p>
          <w:p w:rsidR="00CF1222" w:rsidRDefault="00CF1222" w:rsidP="00CF1222">
            <w:pPr>
              <w:jc w:val="left"/>
              <w:rPr>
                <w:kern w:val="0"/>
                <w:sz w:val="24"/>
                <w:szCs w:val="24"/>
              </w:rPr>
            </w:pPr>
            <w:r>
              <w:rPr>
                <w:rFonts w:hint="eastAsia"/>
                <w:kern w:val="0"/>
                <w:sz w:val="24"/>
                <w:szCs w:val="24"/>
              </w:rPr>
              <w:t>掌握偏心受压构件斜截面承载力。</w:t>
            </w:r>
          </w:p>
        </w:tc>
        <w:tc>
          <w:tcPr>
            <w:tcW w:w="2302" w:type="dxa"/>
            <w:vAlign w:val="center"/>
          </w:tcPr>
          <w:p w:rsidR="00CF1222" w:rsidRDefault="00CF1222" w:rsidP="00CF1222">
            <w:pPr>
              <w:rPr>
                <w:rFonts w:ascii="仿宋" w:eastAsia="仿宋" w:hAnsi="仿宋" w:cs="仿宋"/>
                <w:kern w:val="0"/>
                <w:sz w:val="24"/>
                <w:szCs w:val="24"/>
              </w:rPr>
            </w:pPr>
            <w:r>
              <w:rPr>
                <w:rFonts w:hint="eastAsia"/>
                <w:kern w:val="0"/>
                <w:sz w:val="24"/>
                <w:szCs w:val="24"/>
              </w:rPr>
              <w:lastRenderedPageBreak/>
              <w:t>1.4</w:t>
            </w:r>
            <w:r>
              <w:rPr>
                <w:rFonts w:ascii="仿宋" w:eastAsia="仿宋" w:hAnsi="仿宋" w:cs="仿宋" w:hint="eastAsia"/>
                <w:sz w:val="24"/>
                <w:szCs w:val="24"/>
              </w:rPr>
              <w:t>掌握土木工程专业知识，具备知识融合能力，应用于解决土木工程专业复杂工程问题。</w:t>
            </w:r>
          </w:p>
          <w:p w:rsidR="00CF1222" w:rsidRDefault="00CF1222" w:rsidP="00CF1222">
            <w:pPr>
              <w:jc w:val="left"/>
              <w:rPr>
                <w:kern w:val="0"/>
                <w:sz w:val="24"/>
                <w:szCs w:val="24"/>
              </w:rPr>
            </w:pPr>
            <w:r>
              <w:rPr>
                <w:rFonts w:hint="eastAsia"/>
                <w:kern w:val="0"/>
                <w:sz w:val="24"/>
                <w:szCs w:val="24"/>
              </w:rPr>
              <w:t xml:space="preserve">2.3 </w:t>
            </w:r>
            <w:r>
              <w:rPr>
                <w:rFonts w:hint="eastAsia"/>
                <w:kern w:val="0"/>
                <w:sz w:val="24"/>
                <w:szCs w:val="24"/>
              </w:rPr>
              <w:t>能够正确、合理运用专业知识，</w:t>
            </w:r>
            <w:r>
              <w:rPr>
                <w:rFonts w:hint="eastAsia"/>
                <w:kern w:val="0"/>
                <w:sz w:val="24"/>
                <w:szCs w:val="24"/>
              </w:rPr>
              <w:lastRenderedPageBreak/>
              <w:t>识别、判断和表达土木工程专业复杂工程问题的本质特征、关键环节，并能提供多种解决方案。</w:t>
            </w:r>
          </w:p>
          <w:p w:rsidR="00CF1222" w:rsidRDefault="00CF1222" w:rsidP="00CF1222">
            <w:pPr>
              <w:jc w:val="left"/>
              <w:rPr>
                <w:kern w:val="0"/>
                <w:sz w:val="24"/>
                <w:szCs w:val="24"/>
              </w:rPr>
            </w:pPr>
            <w:r>
              <w:rPr>
                <w:rFonts w:hint="eastAsia"/>
                <w:kern w:val="0"/>
                <w:sz w:val="24"/>
                <w:szCs w:val="24"/>
              </w:rPr>
              <w:t xml:space="preserve">3.1 </w:t>
            </w:r>
            <w:r>
              <w:rPr>
                <w:rFonts w:hint="eastAsia"/>
                <w:kern w:val="0"/>
                <w:sz w:val="24"/>
                <w:szCs w:val="24"/>
              </w:rPr>
              <w:t>能够针对特定需求，确定工程基本单元的设计目标或问题解决方案，并完成设计</w:t>
            </w:r>
            <w:r>
              <w:rPr>
                <w:rFonts w:hint="eastAsia"/>
                <w:kern w:val="0"/>
                <w:sz w:val="24"/>
                <w:szCs w:val="24"/>
              </w:rPr>
              <w:t>/</w:t>
            </w:r>
            <w:r>
              <w:rPr>
                <w:rFonts w:hint="eastAsia"/>
                <w:kern w:val="0"/>
                <w:sz w:val="24"/>
                <w:szCs w:val="24"/>
              </w:rPr>
              <w:t>开发工作。</w:t>
            </w:r>
          </w:p>
          <w:p w:rsidR="00CF1222" w:rsidRDefault="00CF1222" w:rsidP="00CF1222">
            <w:pPr>
              <w:jc w:val="left"/>
              <w:rPr>
                <w:kern w:val="0"/>
                <w:sz w:val="24"/>
                <w:szCs w:val="24"/>
              </w:rPr>
            </w:pPr>
          </w:p>
        </w:tc>
      </w:tr>
      <w:tr w:rsidR="00CF1222" w:rsidTr="00CF1222">
        <w:trPr>
          <w:trHeight w:val="1244"/>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lastRenderedPageBreak/>
              <w:t>7</w:t>
            </w:r>
          </w:p>
        </w:tc>
        <w:tc>
          <w:tcPr>
            <w:tcW w:w="984" w:type="dxa"/>
            <w:vAlign w:val="center"/>
          </w:tcPr>
          <w:p w:rsidR="00CF1222" w:rsidRDefault="00CF1222" w:rsidP="00CF1222">
            <w:pPr>
              <w:jc w:val="left"/>
              <w:rPr>
                <w:kern w:val="0"/>
                <w:sz w:val="24"/>
                <w:szCs w:val="24"/>
              </w:rPr>
            </w:pPr>
            <w:r>
              <w:rPr>
                <w:rFonts w:hint="eastAsia"/>
                <w:kern w:val="0"/>
                <w:sz w:val="24"/>
                <w:szCs w:val="24"/>
              </w:rPr>
              <w:t>第七章</w:t>
            </w:r>
          </w:p>
          <w:p w:rsidR="00CF1222" w:rsidRDefault="00CF1222" w:rsidP="00CF1222">
            <w:pPr>
              <w:jc w:val="left"/>
              <w:rPr>
                <w:kern w:val="0"/>
                <w:sz w:val="24"/>
                <w:szCs w:val="24"/>
              </w:rPr>
            </w:pPr>
            <w:r>
              <w:rPr>
                <w:rFonts w:hint="eastAsia"/>
                <w:kern w:val="0"/>
                <w:sz w:val="24"/>
                <w:szCs w:val="24"/>
              </w:rPr>
              <w:t>受拉构件的截面承载力</w:t>
            </w:r>
          </w:p>
          <w:p w:rsidR="00CF1222" w:rsidRDefault="00CF1222" w:rsidP="00CF1222">
            <w:pPr>
              <w:jc w:val="left"/>
              <w:rPr>
                <w:kern w:val="0"/>
                <w:sz w:val="24"/>
                <w:szCs w:val="24"/>
              </w:rPr>
            </w:pP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2</w:t>
            </w:r>
          </w:p>
        </w:tc>
        <w:tc>
          <w:tcPr>
            <w:tcW w:w="2431" w:type="dxa"/>
            <w:vAlign w:val="center"/>
          </w:tcPr>
          <w:p w:rsidR="00CF1222" w:rsidRDefault="00CF1222" w:rsidP="00CF1222">
            <w:pPr>
              <w:jc w:val="left"/>
              <w:rPr>
                <w:kern w:val="0"/>
                <w:sz w:val="24"/>
                <w:szCs w:val="24"/>
              </w:rPr>
            </w:pPr>
            <w:r>
              <w:rPr>
                <w:rFonts w:hint="eastAsia"/>
                <w:kern w:val="0"/>
                <w:sz w:val="24"/>
                <w:szCs w:val="24"/>
              </w:rPr>
              <w:t>7.1</w:t>
            </w:r>
            <w:r>
              <w:rPr>
                <w:rFonts w:hint="eastAsia"/>
                <w:kern w:val="0"/>
                <w:sz w:val="24"/>
                <w:szCs w:val="24"/>
              </w:rPr>
              <w:t>、轴心受拉构件正截面承载力</w:t>
            </w:r>
          </w:p>
          <w:p w:rsidR="00CF1222" w:rsidRDefault="00CF1222" w:rsidP="00CF1222">
            <w:pPr>
              <w:jc w:val="left"/>
              <w:rPr>
                <w:kern w:val="0"/>
                <w:sz w:val="24"/>
                <w:szCs w:val="24"/>
              </w:rPr>
            </w:pPr>
            <w:r>
              <w:rPr>
                <w:rFonts w:hint="eastAsia"/>
                <w:kern w:val="0"/>
                <w:sz w:val="24"/>
                <w:szCs w:val="24"/>
              </w:rPr>
              <w:t>7.2</w:t>
            </w:r>
            <w:r>
              <w:rPr>
                <w:rFonts w:hint="eastAsia"/>
                <w:kern w:val="0"/>
                <w:sz w:val="24"/>
                <w:szCs w:val="24"/>
              </w:rPr>
              <w:t>、偏心受拉构件正截面承载力</w:t>
            </w:r>
          </w:p>
          <w:p w:rsidR="00CF1222" w:rsidRDefault="00CF1222" w:rsidP="00CF1222">
            <w:pPr>
              <w:jc w:val="left"/>
              <w:rPr>
                <w:kern w:val="0"/>
                <w:sz w:val="24"/>
                <w:szCs w:val="24"/>
              </w:rPr>
            </w:pPr>
            <w:r>
              <w:rPr>
                <w:rFonts w:hint="eastAsia"/>
                <w:kern w:val="0"/>
                <w:sz w:val="24"/>
                <w:szCs w:val="24"/>
              </w:rPr>
              <w:t>7.3</w:t>
            </w:r>
            <w:r>
              <w:rPr>
                <w:rFonts w:hint="eastAsia"/>
                <w:kern w:val="0"/>
                <w:sz w:val="24"/>
                <w:szCs w:val="24"/>
              </w:rPr>
              <w:t>、偏心受拉构件斜面承载力</w:t>
            </w:r>
          </w:p>
          <w:p w:rsidR="00CF1222" w:rsidRDefault="00CF1222" w:rsidP="00CF1222">
            <w:pPr>
              <w:jc w:val="left"/>
              <w:rPr>
                <w:kern w:val="0"/>
                <w:sz w:val="24"/>
                <w:szCs w:val="24"/>
              </w:rPr>
            </w:pPr>
          </w:p>
        </w:tc>
        <w:tc>
          <w:tcPr>
            <w:tcW w:w="2302" w:type="dxa"/>
            <w:vAlign w:val="center"/>
          </w:tcPr>
          <w:p w:rsidR="00CF1222" w:rsidRDefault="00CF1222" w:rsidP="00CF1222">
            <w:pPr>
              <w:jc w:val="left"/>
              <w:rPr>
                <w:kern w:val="0"/>
                <w:sz w:val="24"/>
                <w:szCs w:val="24"/>
              </w:rPr>
            </w:pPr>
            <w:r>
              <w:rPr>
                <w:rFonts w:hint="eastAsia"/>
                <w:kern w:val="0"/>
                <w:sz w:val="24"/>
                <w:szCs w:val="24"/>
              </w:rPr>
              <w:t>掌握轴心受拉构件正截面承载力。</w:t>
            </w:r>
          </w:p>
          <w:p w:rsidR="00CF1222" w:rsidRDefault="00CF1222" w:rsidP="00CF1222">
            <w:pPr>
              <w:jc w:val="left"/>
              <w:rPr>
                <w:kern w:val="0"/>
                <w:sz w:val="24"/>
                <w:szCs w:val="24"/>
              </w:rPr>
            </w:pPr>
            <w:r>
              <w:rPr>
                <w:rFonts w:hint="eastAsia"/>
                <w:kern w:val="0"/>
                <w:sz w:val="24"/>
                <w:szCs w:val="24"/>
              </w:rPr>
              <w:t>掌握偏心受拉构件正截面承载力。</w:t>
            </w:r>
          </w:p>
          <w:p w:rsidR="00CF1222" w:rsidRDefault="00CF1222" w:rsidP="00CF1222">
            <w:pPr>
              <w:jc w:val="left"/>
              <w:rPr>
                <w:kern w:val="0"/>
                <w:sz w:val="24"/>
                <w:szCs w:val="24"/>
              </w:rPr>
            </w:pPr>
            <w:r>
              <w:rPr>
                <w:rFonts w:hint="eastAsia"/>
                <w:kern w:val="0"/>
                <w:sz w:val="24"/>
                <w:szCs w:val="24"/>
              </w:rPr>
              <w:t>3</w:t>
            </w:r>
            <w:r>
              <w:rPr>
                <w:rFonts w:hint="eastAsia"/>
                <w:kern w:val="0"/>
                <w:sz w:val="24"/>
                <w:szCs w:val="24"/>
              </w:rPr>
              <w:t>、掌握偏心受拉构件斜面承载力</w:t>
            </w:r>
          </w:p>
        </w:tc>
        <w:tc>
          <w:tcPr>
            <w:tcW w:w="2302" w:type="dxa"/>
            <w:vAlign w:val="center"/>
          </w:tcPr>
          <w:p w:rsidR="00CF1222" w:rsidRDefault="00CF1222" w:rsidP="00CF1222">
            <w:pPr>
              <w:rPr>
                <w:rFonts w:ascii="仿宋" w:eastAsia="仿宋" w:hAnsi="仿宋" w:cs="仿宋"/>
                <w:kern w:val="0"/>
                <w:sz w:val="24"/>
                <w:szCs w:val="24"/>
              </w:rPr>
            </w:pPr>
            <w:r>
              <w:rPr>
                <w:rFonts w:hint="eastAsia"/>
                <w:kern w:val="0"/>
                <w:sz w:val="24"/>
                <w:szCs w:val="24"/>
              </w:rPr>
              <w:t>1.4</w:t>
            </w:r>
            <w:r>
              <w:rPr>
                <w:rFonts w:ascii="仿宋" w:eastAsia="仿宋" w:hAnsi="仿宋" w:cs="仿宋" w:hint="eastAsia"/>
                <w:sz w:val="24"/>
                <w:szCs w:val="24"/>
              </w:rPr>
              <w:t>掌握土木工程专业知识，具备知识融合能力，应用于解决土木工程专业复杂工程问题。</w:t>
            </w:r>
          </w:p>
          <w:p w:rsidR="00CF1222" w:rsidRDefault="00CF1222" w:rsidP="00CF1222">
            <w:pPr>
              <w:jc w:val="left"/>
              <w:rPr>
                <w:kern w:val="0"/>
                <w:sz w:val="24"/>
                <w:szCs w:val="24"/>
              </w:rPr>
            </w:pPr>
            <w:r>
              <w:rPr>
                <w:rFonts w:hint="eastAsia"/>
                <w:kern w:val="0"/>
                <w:sz w:val="24"/>
                <w:szCs w:val="24"/>
              </w:rPr>
              <w:t xml:space="preserve">2.3 </w:t>
            </w:r>
            <w:r>
              <w:rPr>
                <w:rFonts w:hint="eastAsia"/>
                <w:kern w:val="0"/>
                <w:sz w:val="24"/>
                <w:szCs w:val="24"/>
              </w:rPr>
              <w:t>能够正确、合理运用专业知识，识别、判断和表达土木工程专业复杂工程问题的本质特征、关键环节，并能提供多种解决方案。</w:t>
            </w:r>
          </w:p>
          <w:p w:rsidR="00CF1222" w:rsidRDefault="00CF1222" w:rsidP="00CF1222">
            <w:pPr>
              <w:jc w:val="left"/>
              <w:rPr>
                <w:kern w:val="0"/>
                <w:sz w:val="24"/>
                <w:szCs w:val="24"/>
              </w:rPr>
            </w:pPr>
            <w:r>
              <w:rPr>
                <w:rFonts w:hint="eastAsia"/>
                <w:kern w:val="0"/>
                <w:sz w:val="24"/>
                <w:szCs w:val="24"/>
              </w:rPr>
              <w:t xml:space="preserve">3.1 </w:t>
            </w:r>
            <w:r>
              <w:rPr>
                <w:rFonts w:hint="eastAsia"/>
                <w:kern w:val="0"/>
                <w:sz w:val="24"/>
                <w:szCs w:val="24"/>
              </w:rPr>
              <w:t>能够针对特定需求，确定工程基本单元的设计目标或问题解决方案，并完成设计</w:t>
            </w:r>
            <w:r>
              <w:rPr>
                <w:rFonts w:hint="eastAsia"/>
                <w:kern w:val="0"/>
                <w:sz w:val="24"/>
                <w:szCs w:val="24"/>
              </w:rPr>
              <w:t>/</w:t>
            </w:r>
            <w:r>
              <w:rPr>
                <w:rFonts w:hint="eastAsia"/>
                <w:kern w:val="0"/>
                <w:sz w:val="24"/>
                <w:szCs w:val="24"/>
              </w:rPr>
              <w:t>开发工作。</w:t>
            </w:r>
          </w:p>
          <w:p w:rsidR="00CF1222" w:rsidRDefault="00CF1222" w:rsidP="00CF1222">
            <w:pPr>
              <w:jc w:val="left"/>
              <w:rPr>
                <w:kern w:val="0"/>
                <w:sz w:val="24"/>
                <w:szCs w:val="24"/>
              </w:rPr>
            </w:pPr>
          </w:p>
        </w:tc>
      </w:tr>
      <w:tr w:rsidR="00CF1222" w:rsidTr="00CF1222">
        <w:trPr>
          <w:trHeight w:val="2336"/>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8</w:t>
            </w:r>
          </w:p>
        </w:tc>
        <w:tc>
          <w:tcPr>
            <w:tcW w:w="984" w:type="dxa"/>
            <w:vAlign w:val="center"/>
          </w:tcPr>
          <w:p w:rsidR="00CF1222" w:rsidRDefault="00CF1222" w:rsidP="00CF1222">
            <w:pPr>
              <w:jc w:val="left"/>
              <w:rPr>
                <w:kern w:val="0"/>
                <w:sz w:val="24"/>
                <w:szCs w:val="24"/>
              </w:rPr>
            </w:pPr>
            <w:r>
              <w:rPr>
                <w:rFonts w:hint="eastAsia"/>
                <w:kern w:val="0"/>
                <w:sz w:val="24"/>
                <w:szCs w:val="24"/>
              </w:rPr>
              <w:t>第八章</w:t>
            </w:r>
          </w:p>
          <w:p w:rsidR="00CF1222" w:rsidRDefault="00CF1222" w:rsidP="00CF1222">
            <w:pPr>
              <w:jc w:val="left"/>
              <w:rPr>
                <w:kern w:val="0"/>
                <w:sz w:val="24"/>
                <w:szCs w:val="24"/>
              </w:rPr>
            </w:pPr>
            <w:r>
              <w:rPr>
                <w:rFonts w:hint="eastAsia"/>
                <w:kern w:val="0"/>
                <w:sz w:val="24"/>
                <w:szCs w:val="24"/>
              </w:rPr>
              <w:t>受扭构件承载力</w:t>
            </w:r>
          </w:p>
          <w:p w:rsidR="00CF1222" w:rsidRDefault="00CF1222" w:rsidP="00CF1222">
            <w:pPr>
              <w:jc w:val="left"/>
              <w:rPr>
                <w:kern w:val="0"/>
                <w:sz w:val="24"/>
                <w:szCs w:val="24"/>
              </w:rPr>
            </w:pP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5</w:t>
            </w:r>
          </w:p>
        </w:tc>
        <w:tc>
          <w:tcPr>
            <w:tcW w:w="2431" w:type="dxa"/>
            <w:vAlign w:val="center"/>
          </w:tcPr>
          <w:p w:rsidR="00CF1222" w:rsidRDefault="00CF1222" w:rsidP="00CF1222">
            <w:pPr>
              <w:jc w:val="left"/>
              <w:rPr>
                <w:kern w:val="0"/>
                <w:sz w:val="24"/>
                <w:szCs w:val="24"/>
              </w:rPr>
            </w:pPr>
            <w:r>
              <w:rPr>
                <w:rFonts w:hint="eastAsia"/>
                <w:kern w:val="0"/>
                <w:sz w:val="24"/>
                <w:szCs w:val="24"/>
              </w:rPr>
              <w:t>8.1</w:t>
            </w:r>
            <w:r>
              <w:rPr>
                <w:rFonts w:hint="eastAsia"/>
                <w:kern w:val="0"/>
                <w:sz w:val="24"/>
                <w:szCs w:val="24"/>
              </w:rPr>
              <w:t>、概述</w:t>
            </w:r>
          </w:p>
          <w:p w:rsidR="00CF1222" w:rsidRDefault="00CF1222" w:rsidP="00CF1222">
            <w:pPr>
              <w:jc w:val="left"/>
              <w:rPr>
                <w:kern w:val="0"/>
                <w:sz w:val="24"/>
                <w:szCs w:val="24"/>
              </w:rPr>
            </w:pPr>
            <w:r>
              <w:rPr>
                <w:rFonts w:hint="eastAsia"/>
                <w:kern w:val="0"/>
                <w:sz w:val="24"/>
                <w:szCs w:val="24"/>
              </w:rPr>
              <w:t>8.2</w:t>
            </w:r>
            <w:r>
              <w:rPr>
                <w:rFonts w:hint="eastAsia"/>
                <w:kern w:val="0"/>
                <w:sz w:val="24"/>
                <w:szCs w:val="24"/>
              </w:rPr>
              <w:t>、受扭构件试验研究</w:t>
            </w:r>
          </w:p>
          <w:p w:rsidR="00CF1222" w:rsidRDefault="00CF1222" w:rsidP="00CF1222">
            <w:pPr>
              <w:jc w:val="left"/>
              <w:rPr>
                <w:kern w:val="0"/>
                <w:sz w:val="24"/>
                <w:szCs w:val="24"/>
              </w:rPr>
            </w:pPr>
            <w:r>
              <w:rPr>
                <w:rFonts w:hint="eastAsia"/>
                <w:kern w:val="0"/>
                <w:sz w:val="24"/>
                <w:szCs w:val="24"/>
              </w:rPr>
              <w:t>8.3</w:t>
            </w:r>
            <w:r>
              <w:rPr>
                <w:rFonts w:hint="eastAsia"/>
                <w:kern w:val="0"/>
                <w:sz w:val="24"/>
                <w:szCs w:val="24"/>
              </w:rPr>
              <w:t>、纯扭构件承载力计算</w:t>
            </w:r>
          </w:p>
          <w:p w:rsidR="00CF1222" w:rsidRDefault="00CF1222" w:rsidP="00CF1222">
            <w:pPr>
              <w:jc w:val="left"/>
              <w:rPr>
                <w:kern w:val="0"/>
                <w:sz w:val="24"/>
                <w:szCs w:val="24"/>
              </w:rPr>
            </w:pPr>
            <w:r>
              <w:rPr>
                <w:rFonts w:hint="eastAsia"/>
                <w:kern w:val="0"/>
                <w:sz w:val="24"/>
                <w:szCs w:val="24"/>
              </w:rPr>
              <w:t>8.4</w:t>
            </w:r>
            <w:r>
              <w:rPr>
                <w:rFonts w:hint="eastAsia"/>
                <w:kern w:val="0"/>
                <w:sz w:val="24"/>
                <w:szCs w:val="24"/>
              </w:rPr>
              <w:t>、弯剪扭构件承载力计算</w:t>
            </w:r>
          </w:p>
          <w:p w:rsidR="00CF1222" w:rsidRDefault="00CF1222" w:rsidP="00CF1222">
            <w:pPr>
              <w:jc w:val="left"/>
              <w:rPr>
                <w:kern w:val="0"/>
                <w:sz w:val="24"/>
                <w:szCs w:val="24"/>
              </w:rPr>
            </w:pPr>
            <w:r>
              <w:rPr>
                <w:rFonts w:hint="eastAsia"/>
                <w:kern w:val="0"/>
                <w:sz w:val="24"/>
                <w:szCs w:val="24"/>
              </w:rPr>
              <w:t>8.5</w:t>
            </w:r>
            <w:r>
              <w:rPr>
                <w:rFonts w:hint="eastAsia"/>
                <w:kern w:val="0"/>
                <w:sz w:val="24"/>
                <w:szCs w:val="24"/>
              </w:rPr>
              <w:t>、轴压、弯、剪、扭共同作用下矩形截面框架柱承载力</w:t>
            </w:r>
            <w:r>
              <w:rPr>
                <w:rFonts w:hint="eastAsia"/>
                <w:kern w:val="0"/>
                <w:sz w:val="24"/>
                <w:szCs w:val="24"/>
              </w:rPr>
              <w:lastRenderedPageBreak/>
              <w:t>计算</w:t>
            </w:r>
          </w:p>
          <w:p w:rsidR="00CF1222" w:rsidRDefault="00CF1222" w:rsidP="00CF1222">
            <w:pPr>
              <w:jc w:val="left"/>
              <w:rPr>
                <w:kern w:val="0"/>
                <w:sz w:val="24"/>
                <w:szCs w:val="24"/>
              </w:rPr>
            </w:pPr>
            <w:r>
              <w:rPr>
                <w:rFonts w:hint="eastAsia"/>
                <w:kern w:val="0"/>
                <w:sz w:val="24"/>
                <w:szCs w:val="24"/>
              </w:rPr>
              <w:t>8.6</w:t>
            </w:r>
            <w:r>
              <w:rPr>
                <w:rFonts w:hint="eastAsia"/>
                <w:kern w:val="0"/>
                <w:sz w:val="24"/>
                <w:szCs w:val="24"/>
              </w:rPr>
              <w:t>、构造要求</w:t>
            </w:r>
          </w:p>
          <w:p w:rsidR="00CF1222" w:rsidRDefault="00CF1222" w:rsidP="00CF1222">
            <w:pPr>
              <w:jc w:val="left"/>
              <w:rPr>
                <w:kern w:val="0"/>
                <w:sz w:val="24"/>
                <w:szCs w:val="24"/>
              </w:rPr>
            </w:pPr>
          </w:p>
        </w:tc>
        <w:tc>
          <w:tcPr>
            <w:tcW w:w="2302" w:type="dxa"/>
            <w:vAlign w:val="center"/>
          </w:tcPr>
          <w:p w:rsidR="00CF1222" w:rsidRDefault="00CF1222" w:rsidP="00CF1222">
            <w:pPr>
              <w:jc w:val="left"/>
              <w:rPr>
                <w:kern w:val="0"/>
                <w:sz w:val="24"/>
                <w:szCs w:val="24"/>
              </w:rPr>
            </w:pPr>
            <w:r>
              <w:rPr>
                <w:rFonts w:hint="eastAsia"/>
                <w:kern w:val="0"/>
                <w:sz w:val="24"/>
                <w:szCs w:val="24"/>
              </w:rPr>
              <w:lastRenderedPageBreak/>
              <w:t>熟悉受扭构件试验研究。</w:t>
            </w:r>
          </w:p>
          <w:p w:rsidR="00CF1222" w:rsidRDefault="00CF1222" w:rsidP="00CF1222">
            <w:pPr>
              <w:jc w:val="left"/>
              <w:rPr>
                <w:kern w:val="0"/>
                <w:sz w:val="24"/>
                <w:szCs w:val="24"/>
              </w:rPr>
            </w:pPr>
            <w:r>
              <w:rPr>
                <w:rFonts w:hint="eastAsia"/>
                <w:kern w:val="0"/>
                <w:sz w:val="24"/>
                <w:szCs w:val="24"/>
              </w:rPr>
              <w:t>掌握纯扭构件承载力计算。</w:t>
            </w:r>
          </w:p>
          <w:p w:rsidR="00CF1222" w:rsidRDefault="00CF1222" w:rsidP="00CF1222">
            <w:pPr>
              <w:jc w:val="left"/>
              <w:rPr>
                <w:kern w:val="0"/>
                <w:sz w:val="24"/>
                <w:szCs w:val="24"/>
              </w:rPr>
            </w:pPr>
            <w:r>
              <w:rPr>
                <w:rFonts w:hint="eastAsia"/>
                <w:kern w:val="0"/>
                <w:sz w:val="24"/>
                <w:szCs w:val="24"/>
              </w:rPr>
              <w:t>掌握弯剪扭构件承载力计算。</w:t>
            </w:r>
          </w:p>
          <w:p w:rsidR="00CF1222" w:rsidRDefault="00CF1222" w:rsidP="00CF1222">
            <w:pPr>
              <w:jc w:val="left"/>
              <w:rPr>
                <w:kern w:val="0"/>
                <w:sz w:val="24"/>
                <w:szCs w:val="24"/>
              </w:rPr>
            </w:pPr>
            <w:r>
              <w:rPr>
                <w:rFonts w:hint="eastAsia"/>
                <w:kern w:val="0"/>
                <w:sz w:val="24"/>
                <w:szCs w:val="24"/>
              </w:rPr>
              <w:t>熟悉轴压、弯、剪、扭共同作用下矩形截面框架柱承载力计算。</w:t>
            </w:r>
          </w:p>
          <w:p w:rsidR="00CF1222" w:rsidRDefault="00CF1222" w:rsidP="00CF1222">
            <w:pPr>
              <w:jc w:val="left"/>
              <w:rPr>
                <w:kern w:val="0"/>
                <w:sz w:val="24"/>
                <w:szCs w:val="24"/>
              </w:rPr>
            </w:pPr>
            <w:r>
              <w:rPr>
                <w:rFonts w:hint="eastAsia"/>
                <w:kern w:val="0"/>
                <w:sz w:val="24"/>
                <w:szCs w:val="24"/>
              </w:rPr>
              <w:lastRenderedPageBreak/>
              <w:t>熟悉构造要求。</w:t>
            </w:r>
          </w:p>
        </w:tc>
        <w:tc>
          <w:tcPr>
            <w:tcW w:w="2302" w:type="dxa"/>
            <w:vAlign w:val="center"/>
          </w:tcPr>
          <w:p w:rsidR="00CF1222" w:rsidRDefault="00CF1222" w:rsidP="00CF1222">
            <w:pPr>
              <w:rPr>
                <w:rFonts w:ascii="仿宋" w:eastAsia="仿宋" w:hAnsi="仿宋" w:cs="仿宋"/>
                <w:kern w:val="0"/>
                <w:sz w:val="24"/>
                <w:szCs w:val="24"/>
              </w:rPr>
            </w:pPr>
            <w:r>
              <w:rPr>
                <w:rFonts w:hint="eastAsia"/>
                <w:kern w:val="0"/>
                <w:sz w:val="24"/>
                <w:szCs w:val="24"/>
              </w:rPr>
              <w:lastRenderedPageBreak/>
              <w:t>1.4</w:t>
            </w:r>
            <w:r>
              <w:rPr>
                <w:rFonts w:ascii="仿宋" w:eastAsia="仿宋" w:hAnsi="仿宋" w:cs="仿宋" w:hint="eastAsia"/>
                <w:sz w:val="24"/>
                <w:szCs w:val="24"/>
              </w:rPr>
              <w:t>掌握土木工程专业知识，具备知识融合能力，应用于解决土木工程专业复杂工程问题。</w:t>
            </w:r>
          </w:p>
          <w:p w:rsidR="00CF1222" w:rsidRDefault="00CF1222" w:rsidP="00CF1222">
            <w:pPr>
              <w:jc w:val="left"/>
              <w:rPr>
                <w:kern w:val="0"/>
                <w:sz w:val="24"/>
                <w:szCs w:val="24"/>
              </w:rPr>
            </w:pPr>
            <w:r>
              <w:rPr>
                <w:rFonts w:hint="eastAsia"/>
                <w:kern w:val="0"/>
                <w:sz w:val="24"/>
                <w:szCs w:val="24"/>
              </w:rPr>
              <w:t xml:space="preserve">2.3 </w:t>
            </w:r>
            <w:r>
              <w:rPr>
                <w:rFonts w:hint="eastAsia"/>
                <w:kern w:val="0"/>
                <w:sz w:val="24"/>
                <w:szCs w:val="24"/>
              </w:rPr>
              <w:t>能够正确、合理运用专业知识，识别、判断和表达土木工程专业复杂工程问题的本质特</w:t>
            </w:r>
            <w:r>
              <w:rPr>
                <w:rFonts w:hint="eastAsia"/>
                <w:kern w:val="0"/>
                <w:sz w:val="24"/>
                <w:szCs w:val="24"/>
              </w:rPr>
              <w:lastRenderedPageBreak/>
              <w:t>征、关键环节，并能提供多种解决方案。</w:t>
            </w:r>
          </w:p>
          <w:p w:rsidR="00CF1222" w:rsidRDefault="00CF1222" w:rsidP="00CF1222">
            <w:pPr>
              <w:jc w:val="left"/>
              <w:rPr>
                <w:kern w:val="0"/>
                <w:sz w:val="24"/>
                <w:szCs w:val="24"/>
              </w:rPr>
            </w:pPr>
            <w:r>
              <w:rPr>
                <w:rFonts w:hint="eastAsia"/>
                <w:kern w:val="0"/>
                <w:sz w:val="24"/>
                <w:szCs w:val="24"/>
              </w:rPr>
              <w:t xml:space="preserve">3.1 </w:t>
            </w:r>
            <w:r>
              <w:rPr>
                <w:rFonts w:hint="eastAsia"/>
                <w:kern w:val="0"/>
                <w:sz w:val="24"/>
                <w:szCs w:val="24"/>
              </w:rPr>
              <w:t>能够针对特定需求，确定工程基本单元的设计目标或问题解决方案，并完成设计</w:t>
            </w:r>
            <w:r>
              <w:rPr>
                <w:rFonts w:hint="eastAsia"/>
                <w:kern w:val="0"/>
                <w:sz w:val="24"/>
                <w:szCs w:val="24"/>
              </w:rPr>
              <w:t>/</w:t>
            </w:r>
            <w:r>
              <w:rPr>
                <w:rFonts w:hint="eastAsia"/>
                <w:kern w:val="0"/>
                <w:sz w:val="24"/>
                <w:szCs w:val="24"/>
              </w:rPr>
              <w:t>开发工作。</w:t>
            </w:r>
          </w:p>
          <w:p w:rsidR="00CF1222" w:rsidRDefault="00CF1222" w:rsidP="00CF1222">
            <w:pPr>
              <w:jc w:val="left"/>
              <w:rPr>
                <w:kern w:val="0"/>
                <w:sz w:val="24"/>
                <w:szCs w:val="24"/>
              </w:rPr>
            </w:pPr>
          </w:p>
        </w:tc>
      </w:tr>
      <w:tr w:rsidR="00CF1222" w:rsidTr="00CF1222">
        <w:trPr>
          <w:trHeight w:val="683"/>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lastRenderedPageBreak/>
              <w:t>9</w:t>
            </w:r>
          </w:p>
        </w:tc>
        <w:tc>
          <w:tcPr>
            <w:tcW w:w="984" w:type="dxa"/>
            <w:vAlign w:val="center"/>
          </w:tcPr>
          <w:p w:rsidR="00CF1222" w:rsidRDefault="00CF1222" w:rsidP="00CF1222">
            <w:pPr>
              <w:jc w:val="left"/>
              <w:rPr>
                <w:kern w:val="0"/>
                <w:sz w:val="24"/>
                <w:szCs w:val="24"/>
              </w:rPr>
            </w:pPr>
            <w:r>
              <w:rPr>
                <w:rFonts w:hint="eastAsia"/>
                <w:kern w:val="0"/>
                <w:sz w:val="24"/>
                <w:szCs w:val="24"/>
              </w:rPr>
              <w:t>第九章</w:t>
            </w:r>
          </w:p>
          <w:p w:rsidR="00CF1222" w:rsidRDefault="00CF1222" w:rsidP="00CF1222">
            <w:pPr>
              <w:jc w:val="left"/>
              <w:rPr>
                <w:kern w:val="0"/>
                <w:sz w:val="24"/>
                <w:szCs w:val="24"/>
              </w:rPr>
            </w:pPr>
            <w:r>
              <w:rPr>
                <w:rFonts w:hint="eastAsia"/>
                <w:kern w:val="0"/>
                <w:sz w:val="24"/>
                <w:szCs w:val="24"/>
              </w:rPr>
              <w:t>钢筋混凝土构件的变形、裂缝及耐久性</w:t>
            </w:r>
          </w:p>
          <w:p w:rsidR="00CF1222" w:rsidRDefault="00CF1222" w:rsidP="00CF1222">
            <w:pPr>
              <w:jc w:val="left"/>
              <w:rPr>
                <w:kern w:val="0"/>
                <w:sz w:val="24"/>
                <w:szCs w:val="24"/>
              </w:rPr>
            </w:pP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4</w:t>
            </w:r>
          </w:p>
        </w:tc>
        <w:tc>
          <w:tcPr>
            <w:tcW w:w="2431" w:type="dxa"/>
            <w:vAlign w:val="center"/>
          </w:tcPr>
          <w:p w:rsidR="00CF1222" w:rsidRDefault="00CF1222" w:rsidP="00CF1222">
            <w:pPr>
              <w:jc w:val="left"/>
              <w:rPr>
                <w:kern w:val="0"/>
                <w:sz w:val="24"/>
                <w:szCs w:val="24"/>
              </w:rPr>
            </w:pPr>
            <w:r>
              <w:rPr>
                <w:rFonts w:hint="eastAsia"/>
                <w:kern w:val="0"/>
                <w:sz w:val="24"/>
                <w:szCs w:val="24"/>
              </w:rPr>
              <w:t>9.1</w:t>
            </w:r>
            <w:r>
              <w:rPr>
                <w:rFonts w:hint="eastAsia"/>
                <w:kern w:val="0"/>
                <w:sz w:val="24"/>
                <w:szCs w:val="24"/>
              </w:rPr>
              <w:t>、混凝土构件裂缝宽度验算。（线上））</w:t>
            </w:r>
          </w:p>
          <w:p w:rsidR="00CF1222" w:rsidRDefault="00CF1222" w:rsidP="00CF1222">
            <w:pPr>
              <w:jc w:val="left"/>
              <w:rPr>
                <w:kern w:val="0"/>
                <w:sz w:val="24"/>
                <w:szCs w:val="24"/>
              </w:rPr>
            </w:pPr>
            <w:r>
              <w:rPr>
                <w:rFonts w:hint="eastAsia"/>
                <w:kern w:val="0"/>
                <w:sz w:val="24"/>
                <w:szCs w:val="24"/>
              </w:rPr>
              <w:t>9.2</w:t>
            </w:r>
            <w:r>
              <w:rPr>
                <w:rFonts w:hint="eastAsia"/>
                <w:kern w:val="0"/>
                <w:sz w:val="24"/>
                <w:szCs w:val="24"/>
              </w:rPr>
              <w:t>、混凝土受弯构件挠度验算。（线上）</w:t>
            </w:r>
          </w:p>
          <w:p w:rsidR="00CF1222" w:rsidRDefault="00CF1222" w:rsidP="00CF1222">
            <w:pPr>
              <w:jc w:val="left"/>
              <w:rPr>
                <w:kern w:val="0"/>
                <w:sz w:val="24"/>
                <w:szCs w:val="24"/>
              </w:rPr>
            </w:pPr>
            <w:r>
              <w:rPr>
                <w:rFonts w:hint="eastAsia"/>
                <w:kern w:val="0"/>
                <w:sz w:val="24"/>
                <w:szCs w:val="24"/>
              </w:rPr>
              <w:t>9.3</w:t>
            </w:r>
            <w:r>
              <w:rPr>
                <w:rFonts w:hint="eastAsia"/>
                <w:kern w:val="0"/>
                <w:sz w:val="24"/>
                <w:szCs w:val="24"/>
              </w:rPr>
              <w:t>、混凝土结构耐久性（线上）</w:t>
            </w:r>
          </w:p>
        </w:tc>
        <w:tc>
          <w:tcPr>
            <w:tcW w:w="2302" w:type="dxa"/>
            <w:vAlign w:val="center"/>
          </w:tcPr>
          <w:p w:rsidR="00CF1222" w:rsidRDefault="00CF1222" w:rsidP="00CF1222">
            <w:pPr>
              <w:jc w:val="left"/>
              <w:rPr>
                <w:kern w:val="0"/>
                <w:sz w:val="24"/>
                <w:szCs w:val="24"/>
              </w:rPr>
            </w:pPr>
            <w:r>
              <w:rPr>
                <w:rFonts w:hint="eastAsia"/>
                <w:kern w:val="0"/>
                <w:sz w:val="24"/>
                <w:szCs w:val="24"/>
              </w:rPr>
              <w:t>掌握混凝土构件裂缝宽度验算。</w:t>
            </w:r>
          </w:p>
          <w:p w:rsidR="00CF1222" w:rsidRDefault="00CF1222" w:rsidP="00CF1222">
            <w:pPr>
              <w:jc w:val="left"/>
              <w:rPr>
                <w:kern w:val="0"/>
                <w:sz w:val="24"/>
                <w:szCs w:val="24"/>
              </w:rPr>
            </w:pPr>
            <w:r>
              <w:rPr>
                <w:rFonts w:hint="eastAsia"/>
                <w:kern w:val="0"/>
                <w:sz w:val="24"/>
                <w:szCs w:val="24"/>
              </w:rPr>
              <w:t>掌握混凝土受弯构件挠度验算。</w:t>
            </w:r>
          </w:p>
          <w:p w:rsidR="00CF1222" w:rsidRDefault="00CF1222" w:rsidP="00CF1222">
            <w:pPr>
              <w:jc w:val="left"/>
              <w:rPr>
                <w:kern w:val="0"/>
                <w:sz w:val="24"/>
                <w:szCs w:val="24"/>
              </w:rPr>
            </w:pPr>
            <w:r>
              <w:rPr>
                <w:rFonts w:hint="eastAsia"/>
                <w:kern w:val="0"/>
                <w:sz w:val="24"/>
                <w:szCs w:val="24"/>
              </w:rPr>
              <w:t>熟悉混凝土结构耐久性的设计内容和相应的技术措施及防护措施。</w:t>
            </w:r>
          </w:p>
        </w:tc>
        <w:tc>
          <w:tcPr>
            <w:tcW w:w="2302" w:type="dxa"/>
            <w:vAlign w:val="center"/>
          </w:tcPr>
          <w:p w:rsidR="00CF1222" w:rsidRDefault="00CF1222" w:rsidP="00CF1222">
            <w:pPr>
              <w:rPr>
                <w:rFonts w:ascii="仿宋" w:eastAsia="仿宋" w:hAnsi="仿宋" w:cs="仿宋"/>
                <w:kern w:val="0"/>
                <w:sz w:val="24"/>
                <w:szCs w:val="24"/>
              </w:rPr>
            </w:pPr>
            <w:r>
              <w:rPr>
                <w:rFonts w:hint="eastAsia"/>
                <w:kern w:val="0"/>
                <w:sz w:val="24"/>
                <w:szCs w:val="24"/>
              </w:rPr>
              <w:t>1.4</w:t>
            </w:r>
            <w:r>
              <w:rPr>
                <w:rFonts w:ascii="仿宋" w:eastAsia="仿宋" w:hAnsi="仿宋" w:cs="仿宋" w:hint="eastAsia"/>
                <w:sz w:val="24"/>
                <w:szCs w:val="24"/>
              </w:rPr>
              <w:t>掌握土木工程专业知识，具备知识融合能力，应用于解决土木工程专业复杂工程问题。</w:t>
            </w:r>
          </w:p>
          <w:p w:rsidR="00CF1222" w:rsidRDefault="00CF1222" w:rsidP="00CF1222">
            <w:pPr>
              <w:jc w:val="left"/>
              <w:rPr>
                <w:kern w:val="0"/>
                <w:sz w:val="24"/>
                <w:szCs w:val="24"/>
              </w:rPr>
            </w:pPr>
            <w:r>
              <w:rPr>
                <w:rFonts w:hint="eastAsia"/>
                <w:kern w:val="0"/>
                <w:sz w:val="24"/>
                <w:szCs w:val="24"/>
              </w:rPr>
              <w:t xml:space="preserve">2.3 </w:t>
            </w:r>
            <w:r>
              <w:rPr>
                <w:rFonts w:hint="eastAsia"/>
                <w:kern w:val="0"/>
                <w:sz w:val="24"/>
                <w:szCs w:val="24"/>
              </w:rPr>
              <w:t>能够正确、合理运用专业知识，识别、判断和表达土木工程专业复杂工程问题的本质特征、关键环节，并能提供多种解决方案。</w:t>
            </w:r>
          </w:p>
          <w:p w:rsidR="00CF1222" w:rsidRDefault="00CF1222" w:rsidP="00CF1222">
            <w:pPr>
              <w:jc w:val="left"/>
              <w:rPr>
                <w:kern w:val="0"/>
                <w:sz w:val="24"/>
                <w:szCs w:val="24"/>
              </w:rPr>
            </w:pPr>
            <w:r>
              <w:rPr>
                <w:rFonts w:hint="eastAsia"/>
                <w:kern w:val="0"/>
                <w:sz w:val="24"/>
                <w:szCs w:val="24"/>
              </w:rPr>
              <w:t xml:space="preserve">3.1 </w:t>
            </w:r>
            <w:r>
              <w:rPr>
                <w:rFonts w:hint="eastAsia"/>
                <w:kern w:val="0"/>
                <w:sz w:val="24"/>
                <w:szCs w:val="24"/>
              </w:rPr>
              <w:t>能够针对特定需求，确定工程基本单元的设计目标或问题解决方案，并完成设计</w:t>
            </w:r>
            <w:r>
              <w:rPr>
                <w:rFonts w:hint="eastAsia"/>
                <w:kern w:val="0"/>
                <w:sz w:val="24"/>
                <w:szCs w:val="24"/>
              </w:rPr>
              <w:t>/</w:t>
            </w:r>
            <w:r>
              <w:rPr>
                <w:rFonts w:hint="eastAsia"/>
                <w:kern w:val="0"/>
                <w:sz w:val="24"/>
                <w:szCs w:val="24"/>
              </w:rPr>
              <w:t>开发工作。</w:t>
            </w:r>
          </w:p>
          <w:p w:rsidR="00CF1222" w:rsidRDefault="00CF1222" w:rsidP="00CF1222">
            <w:pPr>
              <w:jc w:val="left"/>
              <w:rPr>
                <w:kern w:val="0"/>
                <w:sz w:val="24"/>
                <w:szCs w:val="24"/>
              </w:rPr>
            </w:pPr>
          </w:p>
        </w:tc>
      </w:tr>
      <w:tr w:rsidR="00CF1222" w:rsidTr="00CF1222">
        <w:trPr>
          <w:trHeight w:val="1244"/>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10</w:t>
            </w:r>
          </w:p>
        </w:tc>
        <w:tc>
          <w:tcPr>
            <w:tcW w:w="984" w:type="dxa"/>
            <w:vAlign w:val="center"/>
          </w:tcPr>
          <w:p w:rsidR="00CF1222" w:rsidRDefault="00CF1222" w:rsidP="00CF1222">
            <w:pPr>
              <w:jc w:val="left"/>
              <w:rPr>
                <w:kern w:val="0"/>
                <w:sz w:val="24"/>
                <w:szCs w:val="24"/>
              </w:rPr>
            </w:pPr>
            <w:r>
              <w:rPr>
                <w:rFonts w:hint="eastAsia"/>
                <w:kern w:val="0"/>
                <w:sz w:val="24"/>
                <w:szCs w:val="24"/>
              </w:rPr>
              <w:t>第十章</w:t>
            </w:r>
          </w:p>
          <w:p w:rsidR="00CF1222" w:rsidRDefault="00CF1222" w:rsidP="00CF1222">
            <w:pPr>
              <w:jc w:val="left"/>
              <w:rPr>
                <w:kern w:val="0"/>
                <w:sz w:val="24"/>
                <w:szCs w:val="24"/>
              </w:rPr>
            </w:pPr>
            <w:r>
              <w:rPr>
                <w:rFonts w:hint="eastAsia"/>
                <w:kern w:val="0"/>
                <w:sz w:val="24"/>
                <w:szCs w:val="24"/>
              </w:rPr>
              <w:t>预应力混凝土构件</w:t>
            </w:r>
          </w:p>
          <w:p w:rsidR="00CF1222" w:rsidRDefault="00CF1222" w:rsidP="00CF1222">
            <w:pPr>
              <w:jc w:val="left"/>
              <w:rPr>
                <w:kern w:val="0"/>
                <w:sz w:val="24"/>
                <w:szCs w:val="24"/>
              </w:rPr>
            </w:pP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6</w:t>
            </w:r>
          </w:p>
        </w:tc>
        <w:tc>
          <w:tcPr>
            <w:tcW w:w="2431" w:type="dxa"/>
            <w:vAlign w:val="center"/>
          </w:tcPr>
          <w:p w:rsidR="00CF1222" w:rsidRDefault="00CF1222" w:rsidP="00CF1222">
            <w:pPr>
              <w:jc w:val="left"/>
              <w:rPr>
                <w:kern w:val="0"/>
                <w:sz w:val="24"/>
                <w:szCs w:val="24"/>
              </w:rPr>
            </w:pPr>
            <w:r>
              <w:rPr>
                <w:rFonts w:hint="eastAsia"/>
                <w:kern w:val="0"/>
                <w:sz w:val="24"/>
                <w:szCs w:val="24"/>
              </w:rPr>
              <w:t>10.1</w:t>
            </w:r>
            <w:r>
              <w:rPr>
                <w:rFonts w:hint="eastAsia"/>
                <w:kern w:val="0"/>
                <w:sz w:val="24"/>
                <w:szCs w:val="24"/>
              </w:rPr>
              <w:t>、概述（线上）</w:t>
            </w:r>
          </w:p>
          <w:p w:rsidR="00CF1222" w:rsidRDefault="00CF1222" w:rsidP="00CF1222">
            <w:pPr>
              <w:jc w:val="left"/>
              <w:rPr>
                <w:kern w:val="0"/>
                <w:sz w:val="24"/>
                <w:szCs w:val="24"/>
              </w:rPr>
            </w:pPr>
            <w:r>
              <w:rPr>
                <w:rFonts w:hint="eastAsia"/>
                <w:kern w:val="0"/>
                <w:sz w:val="24"/>
                <w:szCs w:val="24"/>
              </w:rPr>
              <w:t>10.2</w:t>
            </w:r>
            <w:r>
              <w:rPr>
                <w:rFonts w:hint="eastAsia"/>
                <w:kern w:val="0"/>
                <w:sz w:val="24"/>
                <w:szCs w:val="24"/>
              </w:rPr>
              <w:t>、预应力混凝土轴心受拉构件（线上）</w:t>
            </w:r>
          </w:p>
          <w:p w:rsidR="00CF1222" w:rsidRDefault="00CF1222" w:rsidP="00CF1222">
            <w:pPr>
              <w:jc w:val="left"/>
              <w:rPr>
                <w:kern w:val="0"/>
                <w:sz w:val="24"/>
                <w:szCs w:val="24"/>
              </w:rPr>
            </w:pPr>
            <w:r>
              <w:rPr>
                <w:rFonts w:hint="eastAsia"/>
                <w:kern w:val="0"/>
                <w:sz w:val="24"/>
                <w:szCs w:val="24"/>
              </w:rPr>
              <w:t>10.3</w:t>
            </w:r>
            <w:r>
              <w:rPr>
                <w:rFonts w:hint="eastAsia"/>
                <w:kern w:val="0"/>
                <w:sz w:val="24"/>
                <w:szCs w:val="24"/>
              </w:rPr>
              <w:t>、预应力混凝土受弯构件设计要点（线上）</w:t>
            </w:r>
          </w:p>
          <w:p w:rsidR="00CF1222" w:rsidRDefault="00CF1222" w:rsidP="00CF1222">
            <w:pPr>
              <w:jc w:val="left"/>
              <w:rPr>
                <w:kern w:val="0"/>
                <w:sz w:val="24"/>
                <w:szCs w:val="24"/>
              </w:rPr>
            </w:pPr>
            <w:r>
              <w:rPr>
                <w:rFonts w:hint="eastAsia"/>
                <w:kern w:val="0"/>
                <w:sz w:val="24"/>
                <w:szCs w:val="24"/>
              </w:rPr>
              <w:t>10.4</w:t>
            </w:r>
            <w:r>
              <w:rPr>
                <w:rFonts w:hint="eastAsia"/>
                <w:kern w:val="0"/>
                <w:sz w:val="24"/>
                <w:szCs w:val="24"/>
              </w:rPr>
              <w:t>、构造要求（线上）</w:t>
            </w:r>
          </w:p>
          <w:p w:rsidR="00CF1222" w:rsidRDefault="00CF1222" w:rsidP="00CF1222">
            <w:pPr>
              <w:jc w:val="left"/>
              <w:rPr>
                <w:kern w:val="0"/>
                <w:sz w:val="24"/>
                <w:szCs w:val="24"/>
              </w:rPr>
            </w:pPr>
          </w:p>
        </w:tc>
        <w:tc>
          <w:tcPr>
            <w:tcW w:w="2302" w:type="dxa"/>
            <w:vAlign w:val="center"/>
          </w:tcPr>
          <w:p w:rsidR="00CF1222" w:rsidRDefault="00CF1222" w:rsidP="00CF1222">
            <w:pPr>
              <w:jc w:val="left"/>
              <w:rPr>
                <w:kern w:val="0"/>
                <w:sz w:val="24"/>
                <w:szCs w:val="24"/>
              </w:rPr>
            </w:pPr>
            <w:r>
              <w:rPr>
                <w:rFonts w:hint="eastAsia"/>
                <w:kern w:val="0"/>
                <w:sz w:val="24"/>
                <w:szCs w:val="24"/>
              </w:rPr>
              <w:t>掌握预应力混凝土的概念和相应的规定。</w:t>
            </w:r>
          </w:p>
          <w:p w:rsidR="00CF1222" w:rsidRDefault="00CF1222" w:rsidP="00CF1222">
            <w:pPr>
              <w:jc w:val="left"/>
              <w:rPr>
                <w:kern w:val="0"/>
                <w:sz w:val="24"/>
                <w:szCs w:val="24"/>
              </w:rPr>
            </w:pPr>
            <w:r>
              <w:rPr>
                <w:rFonts w:hint="eastAsia"/>
                <w:kern w:val="0"/>
                <w:sz w:val="24"/>
                <w:szCs w:val="24"/>
              </w:rPr>
              <w:t>掌握预应力混凝土轴心受拉构件的设计计算。</w:t>
            </w:r>
          </w:p>
          <w:p w:rsidR="00CF1222" w:rsidRDefault="00CF1222" w:rsidP="00CF1222">
            <w:pPr>
              <w:jc w:val="left"/>
              <w:rPr>
                <w:kern w:val="0"/>
                <w:sz w:val="24"/>
                <w:szCs w:val="24"/>
              </w:rPr>
            </w:pPr>
            <w:r>
              <w:rPr>
                <w:rFonts w:hint="eastAsia"/>
                <w:kern w:val="0"/>
                <w:sz w:val="24"/>
                <w:szCs w:val="24"/>
              </w:rPr>
              <w:t>了解预应力混凝土受弯构件设计要点。</w:t>
            </w:r>
          </w:p>
          <w:p w:rsidR="00CF1222" w:rsidRDefault="00CF1222" w:rsidP="00CF1222">
            <w:pPr>
              <w:jc w:val="left"/>
              <w:rPr>
                <w:kern w:val="0"/>
                <w:sz w:val="24"/>
                <w:szCs w:val="24"/>
              </w:rPr>
            </w:pPr>
            <w:r>
              <w:rPr>
                <w:rFonts w:hint="eastAsia"/>
                <w:kern w:val="0"/>
                <w:sz w:val="24"/>
                <w:szCs w:val="24"/>
              </w:rPr>
              <w:t>熟悉构造要求</w:t>
            </w:r>
          </w:p>
        </w:tc>
        <w:tc>
          <w:tcPr>
            <w:tcW w:w="2302" w:type="dxa"/>
            <w:vAlign w:val="center"/>
          </w:tcPr>
          <w:p w:rsidR="00CF1222" w:rsidRDefault="00CF1222" w:rsidP="00CF1222">
            <w:pPr>
              <w:rPr>
                <w:rFonts w:ascii="仿宋" w:eastAsia="仿宋" w:hAnsi="仿宋" w:cs="仿宋"/>
                <w:kern w:val="0"/>
                <w:sz w:val="24"/>
                <w:szCs w:val="24"/>
              </w:rPr>
            </w:pPr>
            <w:r>
              <w:rPr>
                <w:rFonts w:hint="eastAsia"/>
                <w:kern w:val="0"/>
                <w:sz w:val="24"/>
                <w:szCs w:val="24"/>
              </w:rPr>
              <w:t>1.4</w:t>
            </w:r>
            <w:r>
              <w:rPr>
                <w:rFonts w:ascii="仿宋" w:eastAsia="仿宋" w:hAnsi="仿宋" w:cs="仿宋" w:hint="eastAsia"/>
                <w:sz w:val="24"/>
                <w:szCs w:val="24"/>
              </w:rPr>
              <w:t>掌握土木工程专业知识，具备知识融合能力，应用于解决土木工程专业复杂工程问题。</w:t>
            </w:r>
          </w:p>
          <w:p w:rsidR="00CF1222" w:rsidRDefault="00CF1222" w:rsidP="00CF1222">
            <w:pPr>
              <w:jc w:val="left"/>
              <w:rPr>
                <w:kern w:val="0"/>
                <w:sz w:val="24"/>
                <w:szCs w:val="24"/>
              </w:rPr>
            </w:pPr>
            <w:r>
              <w:rPr>
                <w:rFonts w:hint="eastAsia"/>
                <w:kern w:val="0"/>
                <w:sz w:val="24"/>
                <w:szCs w:val="24"/>
              </w:rPr>
              <w:t xml:space="preserve">2.3 </w:t>
            </w:r>
            <w:r>
              <w:rPr>
                <w:rFonts w:hint="eastAsia"/>
                <w:kern w:val="0"/>
                <w:sz w:val="24"/>
                <w:szCs w:val="24"/>
              </w:rPr>
              <w:t>能够正确、合理运用专业知识，识别、判断和表达土木工程专业复杂工程问题的本质特征、关键环节，并能提供多种解决方案。</w:t>
            </w:r>
          </w:p>
          <w:p w:rsidR="00CF1222" w:rsidRDefault="00CF1222" w:rsidP="00CF1222">
            <w:pPr>
              <w:jc w:val="left"/>
              <w:rPr>
                <w:kern w:val="0"/>
                <w:sz w:val="24"/>
                <w:szCs w:val="24"/>
              </w:rPr>
            </w:pPr>
            <w:r>
              <w:rPr>
                <w:rFonts w:hint="eastAsia"/>
                <w:kern w:val="0"/>
                <w:sz w:val="24"/>
                <w:szCs w:val="24"/>
              </w:rPr>
              <w:t xml:space="preserve">3.1 </w:t>
            </w:r>
            <w:r>
              <w:rPr>
                <w:rFonts w:hint="eastAsia"/>
                <w:kern w:val="0"/>
                <w:sz w:val="24"/>
                <w:szCs w:val="24"/>
              </w:rPr>
              <w:t>能够针对特定</w:t>
            </w:r>
            <w:r>
              <w:rPr>
                <w:rFonts w:hint="eastAsia"/>
                <w:kern w:val="0"/>
                <w:sz w:val="24"/>
                <w:szCs w:val="24"/>
              </w:rPr>
              <w:lastRenderedPageBreak/>
              <w:t>需求，确定工程基本单元的设计目标或问题解决方案，并完成设计</w:t>
            </w:r>
            <w:r>
              <w:rPr>
                <w:rFonts w:hint="eastAsia"/>
                <w:kern w:val="0"/>
                <w:sz w:val="24"/>
                <w:szCs w:val="24"/>
              </w:rPr>
              <w:t>/</w:t>
            </w:r>
            <w:r>
              <w:rPr>
                <w:rFonts w:hint="eastAsia"/>
                <w:kern w:val="0"/>
                <w:sz w:val="24"/>
                <w:szCs w:val="24"/>
              </w:rPr>
              <w:t>开发工作。</w:t>
            </w:r>
          </w:p>
          <w:p w:rsidR="00CF1222" w:rsidRDefault="00CF1222" w:rsidP="00CF1222">
            <w:pPr>
              <w:jc w:val="left"/>
              <w:rPr>
                <w:kern w:val="0"/>
                <w:sz w:val="24"/>
                <w:szCs w:val="24"/>
              </w:rPr>
            </w:pPr>
          </w:p>
        </w:tc>
      </w:tr>
      <w:tr w:rsidR="00CF1222" w:rsidTr="00CF1222">
        <w:trPr>
          <w:trHeight w:val="1244"/>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lastRenderedPageBreak/>
              <w:t>11</w:t>
            </w:r>
          </w:p>
        </w:tc>
        <w:tc>
          <w:tcPr>
            <w:tcW w:w="984" w:type="dxa"/>
            <w:vAlign w:val="center"/>
          </w:tcPr>
          <w:p w:rsidR="00CF1222" w:rsidRDefault="00CF1222" w:rsidP="00CF1222">
            <w:pPr>
              <w:jc w:val="left"/>
              <w:rPr>
                <w:kern w:val="0"/>
                <w:sz w:val="24"/>
                <w:szCs w:val="24"/>
              </w:rPr>
            </w:pPr>
            <w:r>
              <w:rPr>
                <w:rFonts w:hint="eastAsia"/>
                <w:kern w:val="0"/>
                <w:sz w:val="24"/>
                <w:szCs w:val="24"/>
              </w:rPr>
              <w:t>第十一章</w:t>
            </w:r>
          </w:p>
          <w:p w:rsidR="00CF1222" w:rsidRDefault="00CF1222" w:rsidP="00CF1222">
            <w:pPr>
              <w:jc w:val="left"/>
              <w:rPr>
                <w:kern w:val="0"/>
                <w:sz w:val="24"/>
                <w:szCs w:val="24"/>
              </w:rPr>
            </w:pPr>
            <w:r>
              <w:rPr>
                <w:rFonts w:hint="eastAsia"/>
                <w:kern w:val="0"/>
                <w:sz w:val="24"/>
                <w:szCs w:val="24"/>
              </w:rPr>
              <w:t>梁板结构</w:t>
            </w: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10</w:t>
            </w:r>
          </w:p>
        </w:tc>
        <w:tc>
          <w:tcPr>
            <w:tcW w:w="2431" w:type="dxa"/>
            <w:vAlign w:val="center"/>
          </w:tcPr>
          <w:p w:rsidR="00CF1222" w:rsidRDefault="00CF1222" w:rsidP="00CF1222">
            <w:pPr>
              <w:jc w:val="left"/>
              <w:rPr>
                <w:kern w:val="0"/>
                <w:sz w:val="24"/>
                <w:szCs w:val="24"/>
              </w:rPr>
            </w:pPr>
            <w:r>
              <w:rPr>
                <w:rFonts w:hint="eastAsia"/>
                <w:kern w:val="0"/>
                <w:sz w:val="24"/>
                <w:szCs w:val="24"/>
              </w:rPr>
              <w:t>11.1</w:t>
            </w:r>
            <w:r>
              <w:rPr>
                <w:rFonts w:hint="eastAsia"/>
                <w:kern w:val="0"/>
                <w:sz w:val="24"/>
                <w:szCs w:val="24"/>
              </w:rPr>
              <w:t>、概述</w:t>
            </w:r>
          </w:p>
          <w:p w:rsidR="00CF1222" w:rsidRDefault="00CF1222" w:rsidP="00CF1222">
            <w:pPr>
              <w:jc w:val="left"/>
              <w:rPr>
                <w:kern w:val="0"/>
                <w:sz w:val="24"/>
                <w:szCs w:val="24"/>
              </w:rPr>
            </w:pPr>
            <w:r>
              <w:rPr>
                <w:rFonts w:hint="eastAsia"/>
                <w:kern w:val="0"/>
                <w:sz w:val="24"/>
                <w:szCs w:val="24"/>
              </w:rPr>
              <w:t>11.2</w:t>
            </w:r>
            <w:r>
              <w:rPr>
                <w:rFonts w:hint="eastAsia"/>
                <w:kern w:val="0"/>
                <w:sz w:val="24"/>
                <w:szCs w:val="24"/>
              </w:rPr>
              <w:t>、单向板肋梁楼盖设计</w:t>
            </w:r>
          </w:p>
          <w:p w:rsidR="00CF1222" w:rsidRDefault="00CF1222" w:rsidP="00CF1222">
            <w:pPr>
              <w:jc w:val="left"/>
              <w:rPr>
                <w:kern w:val="0"/>
                <w:sz w:val="24"/>
                <w:szCs w:val="24"/>
              </w:rPr>
            </w:pPr>
            <w:r>
              <w:rPr>
                <w:rFonts w:hint="eastAsia"/>
                <w:kern w:val="0"/>
                <w:sz w:val="24"/>
                <w:szCs w:val="24"/>
              </w:rPr>
              <w:t>11.3</w:t>
            </w:r>
            <w:r>
              <w:rPr>
                <w:rFonts w:hint="eastAsia"/>
                <w:kern w:val="0"/>
                <w:sz w:val="24"/>
                <w:szCs w:val="24"/>
              </w:rPr>
              <w:t>、双向板肋梁楼盖设计</w:t>
            </w:r>
          </w:p>
          <w:p w:rsidR="00CF1222" w:rsidRDefault="00CF1222" w:rsidP="00CF1222">
            <w:pPr>
              <w:jc w:val="left"/>
              <w:rPr>
                <w:kern w:val="0"/>
                <w:sz w:val="24"/>
                <w:szCs w:val="24"/>
              </w:rPr>
            </w:pPr>
            <w:r>
              <w:rPr>
                <w:rFonts w:hint="eastAsia"/>
                <w:kern w:val="0"/>
                <w:sz w:val="24"/>
                <w:szCs w:val="24"/>
              </w:rPr>
              <w:t>11.4</w:t>
            </w:r>
            <w:r>
              <w:rPr>
                <w:rFonts w:hint="eastAsia"/>
                <w:kern w:val="0"/>
                <w:sz w:val="24"/>
                <w:szCs w:val="24"/>
              </w:rPr>
              <w:t>、楼梯设计</w:t>
            </w:r>
          </w:p>
          <w:p w:rsidR="00CF1222" w:rsidRDefault="00CF1222" w:rsidP="00CF1222">
            <w:pPr>
              <w:jc w:val="left"/>
              <w:rPr>
                <w:kern w:val="0"/>
                <w:sz w:val="24"/>
                <w:szCs w:val="24"/>
              </w:rPr>
            </w:pPr>
          </w:p>
        </w:tc>
        <w:tc>
          <w:tcPr>
            <w:tcW w:w="2302" w:type="dxa"/>
            <w:vAlign w:val="center"/>
          </w:tcPr>
          <w:p w:rsidR="00CF1222" w:rsidRDefault="00CF1222" w:rsidP="00CF1222">
            <w:pPr>
              <w:jc w:val="left"/>
              <w:rPr>
                <w:kern w:val="0"/>
                <w:sz w:val="24"/>
                <w:szCs w:val="24"/>
              </w:rPr>
            </w:pPr>
            <w:r>
              <w:rPr>
                <w:rFonts w:hint="eastAsia"/>
                <w:kern w:val="0"/>
                <w:sz w:val="24"/>
                <w:szCs w:val="24"/>
              </w:rPr>
              <w:t>熟悉梁板结构的概念，分类及工程应用。</w:t>
            </w:r>
          </w:p>
          <w:p w:rsidR="00CF1222" w:rsidRDefault="00CF1222" w:rsidP="00CF1222">
            <w:pPr>
              <w:jc w:val="left"/>
              <w:rPr>
                <w:kern w:val="0"/>
                <w:sz w:val="24"/>
                <w:szCs w:val="24"/>
              </w:rPr>
            </w:pPr>
            <w:r>
              <w:rPr>
                <w:rFonts w:hint="eastAsia"/>
                <w:kern w:val="0"/>
                <w:sz w:val="24"/>
                <w:szCs w:val="24"/>
              </w:rPr>
              <w:t>掌握单向板肋梁楼盖设计。</w:t>
            </w:r>
          </w:p>
          <w:p w:rsidR="00CF1222" w:rsidRDefault="00CF1222" w:rsidP="00CF1222">
            <w:pPr>
              <w:jc w:val="left"/>
              <w:rPr>
                <w:kern w:val="0"/>
                <w:sz w:val="24"/>
                <w:szCs w:val="24"/>
              </w:rPr>
            </w:pPr>
            <w:r>
              <w:rPr>
                <w:rFonts w:hint="eastAsia"/>
                <w:kern w:val="0"/>
                <w:sz w:val="24"/>
                <w:szCs w:val="24"/>
              </w:rPr>
              <w:t>掌握双向板肋梁楼盖设计。</w:t>
            </w:r>
          </w:p>
          <w:p w:rsidR="00CF1222" w:rsidRDefault="00CF1222" w:rsidP="00CF1222">
            <w:pPr>
              <w:jc w:val="left"/>
              <w:rPr>
                <w:kern w:val="0"/>
                <w:sz w:val="24"/>
                <w:szCs w:val="24"/>
              </w:rPr>
            </w:pPr>
            <w:r>
              <w:rPr>
                <w:rFonts w:hint="eastAsia"/>
                <w:kern w:val="0"/>
                <w:sz w:val="24"/>
                <w:szCs w:val="24"/>
              </w:rPr>
              <w:t>掌握楼梯设计。</w:t>
            </w:r>
          </w:p>
        </w:tc>
        <w:tc>
          <w:tcPr>
            <w:tcW w:w="2302" w:type="dxa"/>
            <w:vAlign w:val="center"/>
          </w:tcPr>
          <w:p w:rsidR="00CF1222" w:rsidRDefault="00CF1222" w:rsidP="00CF1222">
            <w:pPr>
              <w:rPr>
                <w:rFonts w:ascii="仿宋" w:eastAsia="仿宋" w:hAnsi="仿宋" w:cs="仿宋"/>
                <w:kern w:val="0"/>
                <w:sz w:val="24"/>
                <w:szCs w:val="24"/>
              </w:rPr>
            </w:pPr>
            <w:r>
              <w:rPr>
                <w:rFonts w:hint="eastAsia"/>
                <w:kern w:val="0"/>
                <w:sz w:val="24"/>
                <w:szCs w:val="24"/>
              </w:rPr>
              <w:t>1.4</w:t>
            </w:r>
            <w:r>
              <w:rPr>
                <w:rFonts w:ascii="仿宋" w:eastAsia="仿宋" w:hAnsi="仿宋" w:cs="仿宋" w:hint="eastAsia"/>
                <w:sz w:val="24"/>
                <w:szCs w:val="24"/>
              </w:rPr>
              <w:t>掌握土木工程专业业知识，具备知识融合能力，应用于解决土木工程专业复杂工程问题。</w:t>
            </w:r>
          </w:p>
          <w:p w:rsidR="00CF1222" w:rsidRDefault="00CF1222" w:rsidP="00CF1222">
            <w:pPr>
              <w:jc w:val="left"/>
              <w:rPr>
                <w:kern w:val="0"/>
                <w:sz w:val="24"/>
                <w:szCs w:val="24"/>
              </w:rPr>
            </w:pPr>
            <w:r>
              <w:rPr>
                <w:rFonts w:hint="eastAsia"/>
                <w:kern w:val="0"/>
                <w:sz w:val="24"/>
                <w:szCs w:val="24"/>
              </w:rPr>
              <w:t xml:space="preserve">2.3 </w:t>
            </w:r>
            <w:r>
              <w:rPr>
                <w:rFonts w:hint="eastAsia"/>
                <w:kern w:val="0"/>
                <w:sz w:val="24"/>
                <w:szCs w:val="24"/>
              </w:rPr>
              <w:t>能够正确、合理运用专业知识，识别、判断和表达土木工程专业复杂工程问题的本质特征、关键环节，并能提供多种解决方案。</w:t>
            </w:r>
          </w:p>
          <w:p w:rsidR="00CF1222" w:rsidRDefault="00CF1222" w:rsidP="00CF1222">
            <w:pPr>
              <w:jc w:val="left"/>
              <w:rPr>
                <w:kern w:val="0"/>
                <w:sz w:val="24"/>
                <w:szCs w:val="24"/>
              </w:rPr>
            </w:pPr>
            <w:r>
              <w:rPr>
                <w:rFonts w:hint="eastAsia"/>
                <w:kern w:val="0"/>
                <w:sz w:val="24"/>
                <w:szCs w:val="24"/>
              </w:rPr>
              <w:t xml:space="preserve">3.1 </w:t>
            </w:r>
            <w:r>
              <w:rPr>
                <w:rFonts w:hint="eastAsia"/>
                <w:kern w:val="0"/>
                <w:sz w:val="24"/>
                <w:szCs w:val="24"/>
              </w:rPr>
              <w:t>能够针对特定需求，确定工程基本单元的设计目标或问题解决方案，并完成设计</w:t>
            </w:r>
            <w:r>
              <w:rPr>
                <w:rFonts w:hint="eastAsia"/>
                <w:kern w:val="0"/>
                <w:sz w:val="24"/>
                <w:szCs w:val="24"/>
              </w:rPr>
              <w:t>/</w:t>
            </w:r>
            <w:r>
              <w:rPr>
                <w:rFonts w:hint="eastAsia"/>
                <w:kern w:val="0"/>
                <w:sz w:val="24"/>
                <w:szCs w:val="24"/>
              </w:rPr>
              <w:t>开发工作。</w:t>
            </w:r>
          </w:p>
          <w:p w:rsidR="00CF1222" w:rsidRDefault="00CF1222" w:rsidP="00CF1222">
            <w:pPr>
              <w:jc w:val="left"/>
              <w:rPr>
                <w:kern w:val="0"/>
                <w:sz w:val="24"/>
                <w:szCs w:val="24"/>
              </w:rPr>
            </w:pPr>
          </w:p>
        </w:tc>
      </w:tr>
    </w:tbl>
    <w:p w:rsidR="00CF1222" w:rsidRDefault="00CF1222" w:rsidP="00CF1222">
      <w:pPr>
        <w:spacing w:line="360" w:lineRule="auto"/>
        <w:ind w:firstLine="331"/>
        <w:rPr>
          <w:rFonts w:ascii="仿宋_GB2312" w:hAnsi="仿宋_GB2312" w:cs="仿宋_GB2312"/>
          <w:sz w:val="28"/>
          <w:szCs w:val="28"/>
        </w:rPr>
      </w:pPr>
    </w:p>
    <w:p w:rsidR="00CF1222" w:rsidRDefault="00CF1222" w:rsidP="00CF1222">
      <w:pPr>
        <w:spacing w:line="360" w:lineRule="auto"/>
        <w:ind w:firstLine="331"/>
        <w:rPr>
          <w:rFonts w:ascii="黑体" w:eastAsia="黑体" w:hAnsi="黑体"/>
          <w:b/>
          <w:sz w:val="28"/>
          <w:szCs w:val="28"/>
        </w:rPr>
      </w:pPr>
      <w:r>
        <w:rPr>
          <w:rFonts w:ascii="仿宋_GB2312" w:hAnsi="仿宋_GB2312" w:cs="仿宋_GB2312" w:hint="eastAsia"/>
          <w:sz w:val="28"/>
          <w:szCs w:val="28"/>
        </w:rPr>
        <w:t>2. 试验内容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654"/>
        <w:gridCol w:w="1745"/>
        <w:gridCol w:w="3141"/>
        <w:gridCol w:w="3141"/>
      </w:tblGrid>
      <w:tr w:rsidR="00CF1222" w:rsidTr="00CF1222">
        <w:trPr>
          <w:cantSplit/>
          <w:trHeight w:val="958"/>
        </w:trPr>
        <w:tc>
          <w:tcPr>
            <w:tcW w:w="557" w:type="dxa"/>
            <w:vAlign w:val="center"/>
          </w:tcPr>
          <w:p w:rsidR="00CF1222" w:rsidRPr="00FE09E8" w:rsidRDefault="00CF1222" w:rsidP="00CF1222">
            <w:pPr>
              <w:jc w:val="center"/>
              <w:rPr>
                <w:b/>
                <w:kern w:val="0"/>
                <w:sz w:val="24"/>
                <w:szCs w:val="24"/>
              </w:rPr>
            </w:pPr>
            <w:r w:rsidRPr="00FE09E8">
              <w:rPr>
                <w:rFonts w:hint="eastAsia"/>
                <w:b/>
                <w:kern w:val="0"/>
                <w:sz w:val="24"/>
                <w:szCs w:val="24"/>
              </w:rPr>
              <w:t>序号</w:t>
            </w:r>
          </w:p>
        </w:tc>
        <w:tc>
          <w:tcPr>
            <w:tcW w:w="654" w:type="dxa"/>
            <w:vAlign w:val="center"/>
          </w:tcPr>
          <w:p w:rsidR="00CF1222" w:rsidRPr="00FE09E8" w:rsidRDefault="00CF1222" w:rsidP="00CF1222">
            <w:pPr>
              <w:jc w:val="center"/>
              <w:rPr>
                <w:b/>
                <w:kern w:val="0"/>
                <w:sz w:val="24"/>
                <w:szCs w:val="24"/>
              </w:rPr>
            </w:pPr>
          </w:p>
          <w:p w:rsidR="00CF1222" w:rsidRPr="00FE09E8" w:rsidRDefault="00CF1222" w:rsidP="00CF1222">
            <w:pPr>
              <w:jc w:val="center"/>
              <w:rPr>
                <w:b/>
                <w:kern w:val="0"/>
                <w:sz w:val="24"/>
                <w:szCs w:val="24"/>
              </w:rPr>
            </w:pPr>
            <w:r w:rsidRPr="00FE09E8">
              <w:rPr>
                <w:rFonts w:hint="eastAsia"/>
                <w:b/>
                <w:kern w:val="0"/>
                <w:sz w:val="24"/>
                <w:szCs w:val="24"/>
              </w:rPr>
              <w:t>参考学时</w:t>
            </w:r>
          </w:p>
          <w:p w:rsidR="00CF1222" w:rsidRPr="00FE09E8" w:rsidRDefault="00CF1222" w:rsidP="00CF1222">
            <w:pPr>
              <w:jc w:val="center"/>
              <w:rPr>
                <w:b/>
                <w:kern w:val="0"/>
                <w:sz w:val="24"/>
                <w:szCs w:val="24"/>
              </w:rPr>
            </w:pPr>
          </w:p>
        </w:tc>
        <w:tc>
          <w:tcPr>
            <w:tcW w:w="1745" w:type="dxa"/>
            <w:vAlign w:val="center"/>
          </w:tcPr>
          <w:p w:rsidR="00CF1222" w:rsidRPr="00FE09E8" w:rsidRDefault="00CF1222" w:rsidP="00CF1222">
            <w:pPr>
              <w:jc w:val="center"/>
              <w:rPr>
                <w:b/>
                <w:kern w:val="0"/>
                <w:sz w:val="24"/>
                <w:szCs w:val="24"/>
              </w:rPr>
            </w:pPr>
            <w:r w:rsidRPr="00FE09E8">
              <w:rPr>
                <w:rFonts w:hint="eastAsia"/>
                <w:b/>
                <w:kern w:val="0"/>
                <w:sz w:val="24"/>
                <w:szCs w:val="24"/>
              </w:rPr>
              <w:t>实验（上机）名称</w:t>
            </w:r>
          </w:p>
        </w:tc>
        <w:tc>
          <w:tcPr>
            <w:tcW w:w="3141" w:type="dxa"/>
            <w:vAlign w:val="center"/>
          </w:tcPr>
          <w:p w:rsidR="00CF1222" w:rsidRPr="00FE09E8" w:rsidRDefault="00CF1222" w:rsidP="00CF1222">
            <w:pPr>
              <w:jc w:val="center"/>
              <w:rPr>
                <w:b/>
                <w:kern w:val="0"/>
                <w:sz w:val="24"/>
                <w:szCs w:val="24"/>
              </w:rPr>
            </w:pPr>
            <w:r w:rsidRPr="00FE09E8">
              <w:rPr>
                <w:rFonts w:hint="eastAsia"/>
                <w:b/>
                <w:kern w:val="0"/>
                <w:sz w:val="24"/>
                <w:szCs w:val="24"/>
              </w:rPr>
              <w:t>基本要求</w:t>
            </w:r>
          </w:p>
        </w:tc>
        <w:tc>
          <w:tcPr>
            <w:tcW w:w="3141" w:type="dxa"/>
            <w:vAlign w:val="center"/>
          </w:tcPr>
          <w:p w:rsidR="00CF1222" w:rsidRPr="00FE09E8" w:rsidRDefault="00CF1222" w:rsidP="00CF1222">
            <w:pPr>
              <w:jc w:val="center"/>
              <w:rPr>
                <w:b/>
                <w:kern w:val="0"/>
                <w:sz w:val="24"/>
                <w:szCs w:val="24"/>
              </w:rPr>
            </w:pPr>
            <w:r w:rsidRPr="00FE09E8">
              <w:rPr>
                <w:rFonts w:hint="eastAsia"/>
                <w:b/>
                <w:kern w:val="0"/>
                <w:sz w:val="24"/>
                <w:szCs w:val="24"/>
              </w:rPr>
              <w:t>对毕业要求的支撑</w:t>
            </w:r>
          </w:p>
        </w:tc>
      </w:tr>
      <w:tr w:rsidR="00CF1222" w:rsidTr="00CF1222">
        <w:trPr>
          <w:trHeight w:val="1378"/>
        </w:trPr>
        <w:tc>
          <w:tcPr>
            <w:tcW w:w="557" w:type="dxa"/>
            <w:vAlign w:val="center"/>
          </w:tcPr>
          <w:p w:rsidR="00CF1222" w:rsidRPr="00FE09E8" w:rsidRDefault="00CF1222" w:rsidP="00CF1222">
            <w:pPr>
              <w:jc w:val="center"/>
              <w:rPr>
                <w:kern w:val="0"/>
                <w:sz w:val="24"/>
                <w:szCs w:val="24"/>
              </w:rPr>
            </w:pPr>
            <w:r w:rsidRPr="00FE09E8">
              <w:rPr>
                <w:rFonts w:hint="eastAsia"/>
                <w:kern w:val="0"/>
                <w:sz w:val="24"/>
                <w:szCs w:val="24"/>
              </w:rPr>
              <w:t>1</w:t>
            </w:r>
          </w:p>
        </w:tc>
        <w:tc>
          <w:tcPr>
            <w:tcW w:w="654" w:type="dxa"/>
            <w:vAlign w:val="center"/>
          </w:tcPr>
          <w:p w:rsidR="00CF1222" w:rsidRPr="00FE09E8" w:rsidRDefault="00CF1222" w:rsidP="00CF1222">
            <w:pPr>
              <w:jc w:val="center"/>
              <w:rPr>
                <w:kern w:val="0"/>
                <w:sz w:val="24"/>
                <w:szCs w:val="24"/>
              </w:rPr>
            </w:pPr>
            <w:r w:rsidRPr="00FE09E8">
              <w:rPr>
                <w:rFonts w:hint="eastAsia"/>
                <w:kern w:val="0"/>
                <w:sz w:val="24"/>
                <w:szCs w:val="24"/>
              </w:rPr>
              <w:t>2</w:t>
            </w:r>
          </w:p>
        </w:tc>
        <w:tc>
          <w:tcPr>
            <w:tcW w:w="1745" w:type="dxa"/>
            <w:vAlign w:val="center"/>
          </w:tcPr>
          <w:p w:rsidR="00CF1222" w:rsidRPr="00FE09E8" w:rsidRDefault="00CF1222" w:rsidP="00CF1222">
            <w:pPr>
              <w:jc w:val="center"/>
              <w:rPr>
                <w:kern w:val="0"/>
                <w:sz w:val="24"/>
                <w:szCs w:val="24"/>
              </w:rPr>
            </w:pPr>
            <w:r w:rsidRPr="00FE09E8">
              <w:rPr>
                <w:rFonts w:hint="eastAsia"/>
                <w:kern w:val="0"/>
                <w:sz w:val="24"/>
                <w:szCs w:val="24"/>
              </w:rPr>
              <w:t>受弯构件正截面破坏试验</w:t>
            </w:r>
          </w:p>
        </w:tc>
        <w:tc>
          <w:tcPr>
            <w:tcW w:w="3141" w:type="dxa"/>
            <w:vAlign w:val="center"/>
          </w:tcPr>
          <w:p w:rsidR="00CF1222" w:rsidRPr="00FE09E8" w:rsidRDefault="00CF1222" w:rsidP="00CF1222">
            <w:pPr>
              <w:ind w:firstLineChars="200" w:firstLine="480"/>
              <w:rPr>
                <w:kern w:val="0"/>
                <w:sz w:val="24"/>
                <w:szCs w:val="24"/>
              </w:rPr>
            </w:pPr>
            <w:r w:rsidRPr="00FE09E8">
              <w:rPr>
                <w:rFonts w:hint="eastAsia"/>
                <w:kern w:val="0"/>
                <w:sz w:val="24"/>
                <w:szCs w:val="24"/>
              </w:rPr>
              <w:t>1</w:t>
            </w:r>
            <w:r w:rsidRPr="00FE09E8">
              <w:rPr>
                <w:rFonts w:hint="eastAsia"/>
                <w:kern w:val="0"/>
                <w:sz w:val="24"/>
                <w:szCs w:val="24"/>
              </w:rPr>
              <w:t>．了解受弯构件正截面的承载力大小、挠度变化及裂缝出现和发展过程；</w:t>
            </w:r>
          </w:p>
          <w:p w:rsidR="00CF1222" w:rsidRPr="00FE09E8" w:rsidRDefault="00CF1222" w:rsidP="00CF1222">
            <w:pPr>
              <w:rPr>
                <w:kern w:val="0"/>
                <w:sz w:val="24"/>
                <w:szCs w:val="24"/>
              </w:rPr>
            </w:pPr>
            <w:r w:rsidRPr="00FE09E8">
              <w:rPr>
                <w:rFonts w:hint="eastAsia"/>
                <w:kern w:val="0"/>
                <w:sz w:val="24"/>
                <w:szCs w:val="24"/>
              </w:rPr>
              <w:t xml:space="preserve">　</w:t>
            </w:r>
            <w:r w:rsidRPr="00FE09E8">
              <w:rPr>
                <w:rFonts w:hint="eastAsia"/>
                <w:kern w:val="0"/>
                <w:sz w:val="24"/>
                <w:szCs w:val="24"/>
              </w:rPr>
              <w:t xml:space="preserve">  2</w:t>
            </w:r>
            <w:r w:rsidRPr="00FE09E8">
              <w:rPr>
                <w:rFonts w:hint="eastAsia"/>
                <w:kern w:val="0"/>
                <w:sz w:val="24"/>
                <w:szCs w:val="24"/>
              </w:rPr>
              <w:t>．观察了解受弯构件受力和变形过程的三个工作阶段及适筋梁的破坏特征；</w:t>
            </w:r>
          </w:p>
          <w:p w:rsidR="00CF1222" w:rsidRPr="00FE09E8" w:rsidRDefault="00CF1222" w:rsidP="00CF1222">
            <w:pPr>
              <w:jc w:val="left"/>
              <w:rPr>
                <w:kern w:val="0"/>
                <w:sz w:val="24"/>
                <w:szCs w:val="24"/>
              </w:rPr>
            </w:pPr>
            <w:r w:rsidRPr="00FE09E8">
              <w:rPr>
                <w:rFonts w:hint="eastAsia"/>
                <w:kern w:val="0"/>
                <w:sz w:val="24"/>
                <w:szCs w:val="24"/>
              </w:rPr>
              <w:t xml:space="preserve">　</w:t>
            </w:r>
            <w:r w:rsidRPr="00FE09E8">
              <w:rPr>
                <w:rFonts w:hint="eastAsia"/>
                <w:kern w:val="0"/>
                <w:sz w:val="24"/>
                <w:szCs w:val="24"/>
              </w:rPr>
              <w:t xml:space="preserve">  3</w:t>
            </w:r>
            <w:r w:rsidRPr="00FE09E8">
              <w:rPr>
                <w:rFonts w:hint="eastAsia"/>
                <w:kern w:val="0"/>
                <w:sz w:val="24"/>
                <w:szCs w:val="24"/>
              </w:rPr>
              <w:t>．测定受弯构件正截面的开裂荷载和极限承载</w:t>
            </w:r>
            <w:r w:rsidRPr="00FE09E8">
              <w:rPr>
                <w:rFonts w:hint="eastAsia"/>
                <w:kern w:val="0"/>
                <w:sz w:val="24"/>
                <w:szCs w:val="24"/>
              </w:rPr>
              <w:lastRenderedPageBreak/>
              <w:t>力，验证正截面承载力计算方法。</w:t>
            </w:r>
          </w:p>
        </w:tc>
        <w:tc>
          <w:tcPr>
            <w:tcW w:w="3141" w:type="dxa"/>
            <w:vAlign w:val="center"/>
          </w:tcPr>
          <w:p w:rsidR="00CF1222" w:rsidRPr="00FE09E8" w:rsidRDefault="00CF1222" w:rsidP="00CF1222">
            <w:pPr>
              <w:rPr>
                <w:kern w:val="0"/>
                <w:sz w:val="24"/>
                <w:szCs w:val="24"/>
              </w:rPr>
            </w:pPr>
            <w:r w:rsidRPr="00FE09E8">
              <w:rPr>
                <w:rFonts w:hint="eastAsia"/>
                <w:kern w:val="0"/>
                <w:sz w:val="24"/>
                <w:szCs w:val="24"/>
              </w:rPr>
              <w:lastRenderedPageBreak/>
              <w:t>1.4</w:t>
            </w:r>
            <w:r w:rsidRPr="00FE09E8">
              <w:rPr>
                <w:rFonts w:hint="eastAsia"/>
                <w:kern w:val="0"/>
                <w:sz w:val="24"/>
                <w:szCs w:val="24"/>
              </w:rPr>
              <w:t>掌握土木工程专业知识，具备知识融合能力，应用于解决土木工程专业复杂工程问题。</w:t>
            </w:r>
          </w:p>
          <w:p w:rsidR="00CF1222" w:rsidRPr="00FE09E8" w:rsidRDefault="00CF1222" w:rsidP="00CF1222">
            <w:pPr>
              <w:jc w:val="left"/>
              <w:rPr>
                <w:kern w:val="0"/>
                <w:sz w:val="24"/>
                <w:szCs w:val="24"/>
              </w:rPr>
            </w:pPr>
            <w:r w:rsidRPr="00FE09E8">
              <w:rPr>
                <w:rFonts w:hint="eastAsia"/>
                <w:kern w:val="0"/>
                <w:sz w:val="24"/>
                <w:szCs w:val="24"/>
              </w:rPr>
              <w:t xml:space="preserve">2.3 </w:t>
            </w:r>
            <w:r w:rsidRPr="00FE09E8">
              <w:rPr>
                <w:rFonts w:hint="eastAsia"/>
                <w:kern w:val="0"/>
                <w:sz w:val="24"/>
                <w:szCs w:val="24"/>
              </w:rPr>
              <w:t>能够正确、合理运用专业知识，识别、判断和表达土木工程专业复杂工程问题的本质特征、关键环节，并</w:t>
            </w:r>
            <w:r w:rsidRPr="00FE09E8">
              <w:rPr>
                <w:rFonts w:hint="eastAsia"/>
                <w:kern w:val="0"/>
                <w:sz w:val="24"/>
                <w:szCs w:val="24"/>
              </w:rPr>
              <w:lastRenderedPageBreak/>
              <w:t>能提供多种解决方案。</w:t>
            </w:r>
          </w:p>
          <w:p w:rsidR="00CF1222" w:rsidRPr="00FE09E8" w:rsidRDefault="00CF1222" w:rsidP="00CF1222">
            <w:pPr>
              <w:jc w:val="left"/>
              <w:rPr>
                <w:kern w:val="0"/>
                <w:sz w:val="24"/>
                <w:szCs w:val="24"/>
              </w:rPr>
            </w:pPr>
          </w:p>
        </w:tc>
      </w:tr>
      <w:tr w:rsidR="00CF1222" w:rsidTr="00CF1222">
        <w:trPr>
          <w:trHeight w:val="567"/>
        </w:trPr>
        <w:tc>
          <w:tcPr>
            <w:tcW w:w="557" w:type="dxa"/>
            <w:vAlign w:val="center"/>
          </w:tcPr>
          <w:p w:rsidR="00CF1222" w:rsidRPr="00FE09E8" w:rsidRDefault="00CF1222" w:rsidP="00CF1222">
            <w:pPr>
              <w:jc w:val="center"/>
              <w:rPr>
                <w:kern w:val="0"/>
                <w:sz w:val="24"/>
                <w:szCs w:val="24"/>
              </w:rPr>
            </w:pPr>
            <w:r w:rsidRPr="00FE09E8">
              <w:rPr>
                <w:rFonts w:hint="eastAsia"/>
                <w:kern w:val="0"/>
                <w:sz w:val="24"/>
                <w:szCs w:val="24"/>
              </w:rPr>
              <w:lastRenderedPageBreak/>
              <w:t>2</w:t>
            </w:r>
          </w:p>
        </w:tc>
        <w:tc>
          <w:tcPr>
            <w:tcW w:w="654" w:type="dxa"/>
            <w:vAlign w:val="center"/>
          </w:tcPr>
          <w:p w:rsidR="00CF1222" w:rsidRPr="00FE09E8" w:rsidRDefault="00CF1222" w:rsidP="00CF1222">
            <w:pPr>
              <w:jc w:val="center"/>
              <w:rPr>
                <w:kern w:val="0"/>
                <w:sz w:val="24"/>
                <w:szCs w:val="24"/>
              </w:rPr>
            </w:pPr>
            <w:r w:rsidRPr="00FE09E8">
              <w:rPr>
                <w:rFonts w:hint="eastAsia"/>
                <w:kern w:val="0"/>
                <w:sz w:val="24"/>
                <w:szCs w:val="24"/>
              </w:rPr>
              <w:t>2</w:t>
            </w:r>
          </w:p>
        </w:tc>
        <w:tc>
          <w:tcPr>
            <w:tcW w:w="1745" w:type="dxa"/>
            <w:vAlign w:val="center"/>
          </w:tcPr>
          <w:p w:rsidR="00CF1222" w:rsidRPr="00FE09E8" w:rsidRDefault="00CF1222" w:rsidP="00CF1222">
            <w:pPr>
              <w:jc w:val="center"/>
              <w:rPr>
                <w:kern w:val="0"/>
                <w:sz w:val="24"/>
                <w:szCs w:val="24"/>
              </w:rPr>
            </w:pPr>
            <w:r w:rsidRPr="00FE09E8">
              <w:rPr>
                <w:rFonts w:hint="eastAsia"/>
                <w:kern w:val="0"/>
                <w:sz w:val="24"/>
                <w:szCs w:val="24"/>
              </w:rPr>
              <w:t>受弯构件斜截面破坏试验</w:t>
            </w:r>
          </w:p>
        </w:tc>
        <w:tc>
          <w:tcPr>
            <w:tcW w:w="3141" w:type="dxa"/>
            <w:vAlign w:val="center"/>
          </w:tcPr>
          <w:p w:rsidR="00CF1222" w:rsidRPr="00FE09E8" w:rsidRDefault="00CF1222" w:rsidP="00CF1222">
            <w:pPr>
              <w:rPr>
                <w:kern w:val="0"/>
                <w:sz w:val="24"/>
                <w:szCs w:val="24"/>
              </w:rPr>
            </w:pPr>
            <w:r w:rsidRPr="00FE09E8">
              <w:rPr>
                <w:rFonts w:hint="eastAsia"/>
                <w:kern w:val="0"/>
                <w:sz w:val="24"/>
                <w:szCs w:val="24"/>
              </w:rPr>
              <w:t xml:space="preserve">    1</w:t>
            </w:r>
            <w:r w:rsidRPr="00FE09E8">
              <w:rPr>
                <w:rFonts w:hint="eastAsia"/>
                <w:kern w:val="0"/>
                <w:sz w:val="24"/>
                <w:szCs w:val="24"/>
              </w:rPr>
              <w:t>．了解无腹筋受弯构件裂缝的出现及发展过程；</w:t>
            </w:r>
          </w:p>
          <w:p w:rsidR="00CF1222" w:rsidRPr="00FE09E8" w:rsidRDefault="00CF1222" w:rsidP="00CF1222">
            <w:pPr>
              <w:rPr>
                <w:kern w:val="0"/>
                <w:sz w:val="24"/>
                <w:szCs w:val="24"/>
              </w:rPr>
            </w:pPr>
            <w:r w:rsidRPr="00FE09E8">
              <w:rPr>
                <w:rFonts w:hint="eastAsia"/>
                <w:kern w:val="0"/>
                <w:sz w:val="24"/>
                <w:szCs w:val="24"/>
              </w:rPr>
              <w:t xml:space="preserve">  </w:t>
            </w:r>
            <w:r w:rsidRPr="00FE09E8">
              <w:rPr>
                <w:rFonts w:hint="eastAsia"/>
                <w:kern w:val="0"/>
                <w:sz w:val="24"/>
                <w:szCs w:val="24"/>
              </w:rPr>
              <w:t xml:space="preserve">　</w:t>
            </w:r>
            <w:r w:rsidRPr="00FE09E8">
              <w:rPr>
                <w:rFonts w:hint="eastAsia"/>
                <w:kern w:val="0"/>
                <w:sz w:val="24"/>
                <w:szCs w:val="24"/>
              </w:rPr>
              <w:t>2</w:t>
            </w:r>
            <w:r w:rsidRPr="00FE09E8">
              <w:rPr>
                <w:rFonts w:hint="eastAsia"/>
                <w:kern w:val="0"/>
                <w:sz w:val="24"/>
                <w:szCs w:val="24"/>
              </w:rPr>
              <w:t>．观察斜截面“剪压破坏”和“斜压破坏”的破坏过程及破坏特征；</w:t>
            </w:r>
          </w:p>
          <w:p w:rsidR="00CF1222" w:rsidRPr="00FE09E8" w:rsidRDefault="00CF1222" w:rsidP="00CF1222">
            <w:pPr>
              <w:rPr>
                <w:kern w:val="0"/>
                <w:sz w:val="24"/>
                <w:szCs w:val="24"/>
              </w:rPr>
            </w:pPr>
            <w:r w:rsidRPr="00FE09E8">
              <w:rPr>
                <w:rFonts w:hint="eastAsia"/>
                <w:kern w:val="0"/>
                <w:sz w:val="24"/>
                <w:szCs w:val="24"/>
              </w:rPr>
              <w:t xml:space="preserve">　</w:t>
            </w:r>
            <w:r w:rsidRPr="00FE09E8">
              <w:rPr>
                <w:rFonts w:hint="eastAsia"/>
                <w:kern w:val="0"/>
                <w:sz w:val="24"/>
                <w:szCs w:val="24"/>
              </w:rPr>
              <w:t xml:space="preserve">  3</w:t>
            </w:r>
            <w:r w:rsidRPr="00FE09E8">
              <w:rPr>
                <w:rFonts w:hint="eastAsia"/>
                <w:kern w:val="0"/>
                <w:sz w:val="24"/>
                <w:szCs w:val="24"/>
              </w:rPr>
              <w:t>．观察了解控制截面主应力的分布状态；</w:t>
            </w:r>
          </w:p>
          <w:p w:rsidR="00CF1222" w:rsidRPr="00FE09E8" w:rsidRDefault="00CF1222" w:rsidP="00CF1222">
            <w:pPr>
              <w:rPr>
                <w:kern w:val="0"/>
                <w:sz w:val="24"/>
                <w:szCs w:val="24"/>
              </w:rPr>
            </w:pPr>
            <w:r w:rsidRPr="00FE09E8">
              <w:rPr>
                <w:rFonts w:hint="eastAsia"/>
                <w:kern w:val="0"/>
                <w:sz w:val="24"/>
                <w:szCs w:val="24"/>
              </w:rPr>
              <w:t xml:space="preserve">　</w:t>
            </w:r>
            <w:r w:rsidRPr="00FE09E8">
              <w:rPr>
                <w:rFonts w:hint="eastAsia"/>
                <w:kern w:val="0"/>
                <w:sz w:val="24"/>
                <w:szCs w:val="24"/>
              </w:rPr>
              <w:t xml:space="preserve">  4</w:t>
            </w:r>
            <w:r w:rsidRPr="00FE09E8">
              <w:rPr>
                <w:rFonts w:hint="eastAsia"/>
                <w:kern w:val="0"/>
                <w:sz w:val="24"/>
                <w:szCs w:val="24"/>
              </w:rPr>
              <w:t>．测定斜截面极限承载力，验证无腹筋受弯构件斜截面承载力计算方法。</w:t>
            </w:r>
          </w:p>
        </w:tc>
        <w:tc>
          <w:tcPr>
            <w:tcW w:w="3141" w:type="dxa"/>
            <w:vAlign w:val="center"/>
          </w:tcPr>
          <w:p w:rsidR="00CF1222" w:rsidRPr="00FE09E8" w:rsidRDefault="00CF1222" w:rsidP="00CF1222">
            <w:pPr>
              <w:rPr>
                <w:kern w:val="0"/>
                <w:sz w:val="24"/>
                <w:szCs w:val="24"/>
              </w:rPr>
            </w:pPr>
            <w:r w:rsidRPr="00FE09E8">
              <w:rPr>
                <w:rFonts w:hint="eastAsia"/>
                <w:kern w:val="0"/>
                <w:sz w:val="24"/>
                <w:szCs w:val="24"/>
              </w:rPr>
              <w:t>1.4</w:t>
            </w:r>
            <w:r w:rsidRPr="00FE09E8">
              <w:rPr>
                <w:rFonts w:hint="eastAsia"/>
                <w:kern w:val="0"/>
                <w:sz w:val="24"/>
                <w:szCs w:val="24"/>
              </w:rPr>
              <w:t>掌握土木工程专业知识，具备知识融合能力，应用于解决土木工程专业复杂工程问题。</w:t>
            </w:r>
          </w:p>
          <w:p w:rsidR="00CF1222" w:rsidRPr="00FE09E8" w:rsidRDefault="00CF1222" w:rsidP="00CF1222">
            <w:pPr>
              <w:jc w:val="left"/>
              <w:rPr>
                <w:kern w:val="0"/>
                <w:sz w:val="24"/>
                <w:szCs w:val="24"/>
              </w:rPr>
            </w:pPr>
            <w:r w:rsidRPr="00FE09E8">
              <w:rPr>
                <w:rFonts w:hint="eastAsia"/>
                <w:kern w:val="0"/>
                <w:sz w:val="24"/>
                <w:szCs w:val="24"/>
              </w:rPr>
              <w:t xml:space="preserve">2.3 </w:t>
            </w:r>
            <w:r w:rsidRPr="00FE09E8">
              <w:rPr>
                <w:rFonts w:hint="eastAsia"/>
                <w:kern w:val="0"/>
                <w:sz w:val="24"/>
                <w:szCs w:val="24"/>
              </w:rPr>
              <w:t>能够正确、合理运用专业知识，识别、判断和表达土木工程专业复杂工程问题的本质特征、关键环节，并能提供多种解决方案。</w:t>
            </w:r>
          </w:p>
          <w:p w:rsidR="00CF1222" w:rsidRPr="00FE09E8" w:rsidRDefault="00CF1222" w:rsidP="00CF1222">
            <w:pPr>
              <w:rPr>
                <w:kern w:val="0"/>
                <w:sz w:val="24"/>
                <w:szCs w:val="24"/>
              </w:rPr>
            </w:pPr>
          </w:p>
        </w:tc>
      </w:tr>
      <w:tr w:rsidR="00CF1222" w:rsidTr="00CF1222">
        <w:trPr>
          <w:trHeight w:val="567"/>
        </w:trPr>
        <w:tc>
          <w:tcPr>
            <w:tcW w:w="557" w:type="dxa"/>
            <w:vAlign w:val="center"/>
          </w:tcPr>
          <w:p w:rsidR="00CF1222" w:rsidRPr="00FE09E8" w:rsidRDefault="00CF1222" w:rsidP="00CF1222">
            <w:pPr>
              <w:jc w:val="center"/>
              <w:rPr>
                <w:kern w:val="0"/>
                <w:sz w:val="24"/>
                <w:szCs w:val="24"/>
              </w:rPr>
            </w:pPr>
            <w:r w:rsidRPr="00FE09E8">
              <w:rPr>
                <w:rFonts w:hint="eastAsia"/>
                <w:kern w:val="0"/>
                <w:sz w:val="24"/>
                <w:szCs w:val="24"/>
              </w:rPr>
              <w:t>3</w:t>
            </w:r>
          </w:p>
        </w:tc>
        <w:tc>
          <w:tcPr>
            <w:tcW w:w="654" w:type="dxa"/>
            <w:vAlign w:val="center"/>
          </w:tcPr>
          <w:p w:rsidR="00CF1222" w:rsidRPr="00FE09E8" w:rsidRDefault="00CF1222" w:rsidP="00CF1222">
            <w:pPr>
              <w:jc w:val="center"/>
              <w:rPr>
                <w:kern w:val="0"/>
                <w:sz w:val="24"/>
                <w:szCs w:val="24"/>
              </w:rPr>
            </w:pPr>
            <w:r w:rsidRPr="00FE09E8">
              <w:rPr>
                <w:rFonts w:hint="eastAsia"/>
                <w:kern w:val="0"/>
                <w:sz w:val="24"/>
                <w:szCs w:val="24"/>
              </w:rPr>
              <w:t>2</w:t>
            </w:r>
          </w:p>
        </w:tc>
        <w:tc>
          <w:tcPr>
            <w:tcW w:w="1745" w:type="dxa"/>
            <w:vAlign w:val="center"/>
          </w:tcPr>
          <w:p w:rsidR="00CF1222" w:rsidRPr="00FE09E8" w:rsidRDefault="00CF1222" w:rsidP="00CF1222">
            <w:pPr>
              <w:jc w:val="center"/>
              <w:rPr>
                <w:kern w:val="0"/>
                <w:sz w:val="24"/>
                <w:szCs w:val="24"/>
              </w:rPr>
            </w:pPr>
            <w:r w:rsidRPr="00FE09E8">
              <w:rPr>
                <w:rFonts w:hint="eastAsia"/>
                <w:kern w:val="0"/>
                <w:sz w:val="24"/>
                <w:szCs w:val="24"/>
              </w:rPr>
              <w:t>受压构件破坏试验</w:t>
            </w:r>
          </w:p>
        </w:tc>
        <w:tc>
          <w:tcPr>
            <w:tcW w:w="3141" w:type="dxa"/>
            <w:vAlign w:val="center"/>
          </w:tcPr>
          <w:p w:rsidR="00CF1222" w:rsidRPr="00FE09E8" w:rsidRDefault="00CF1222" w:rsidP="00CF1222">
            <w:pPr>
              <w:rPr>
                <w:kern w:val="0"/>
                <w:sz w:val="24"/>
                <w:szCs w:val="24"/>
              </w:rPr>
            </w:pPr>
            <w:r w:rsidRPr="00FE09E8">
              <w:rPr>
                <w:rFonts w:hint="eastAsia"/>
                <w:kern w:val="0"/>
                <w:sz w:val="24"/>
                <w:szCs w:val="24"/>
              </w:rPr>
              <w:t xml:space="preserve">    1</w:t>
            </w:r>
            <w:r w:rsidRPr="00FE09E8">
              <w:rPr>
                <w:rFonts w:hint="eastAsia"/>
                <w:kern w:val="0"/>
                <w:sz w:val="24"/>
                <w:szCs w:val="24"/>
              </w:rPr>
              <w:t>．通过试验观察钢筋混凝土短柱偏心受压承载过程及破坏特征；</w:t>
            </w:r>
          </w:p>
          <w:p w:rsidR="00CF1222" w:rsidRPr="00FE09E8" w:rsidRDefault="00CF1222" w:rsidP="00CF1222">
            <w:pPr>
              <w:rPr>
                <w:kern w:val="0"/>
                <w:sz w:val="24"/>
                <w:szCs w:val="24"/>
              </w:rPr>
            </w:pPr>
            <w:r w:rsidRPr="00FE09E8">
              <w:rPr>
                <w:rFonts w:hint="eastAsia"/>
                <w:kern w:val="0"/>
                <w:sz w:val="24"/>
                <w:szCs w:val="24"/>
              </w:rPr>
              <w:t xml:space="preserve">　</w:t>
            </w:r>
            <w:r w:rsidRPr="00FE09E8">
              <w:rPr>
                <w:rFonts w:hint="eastAsia"/>
                <w:kern w:val="0"/>
                <w:sz w:val="24"/>
                <w:szCs w:val="24"/>
              </w:rPr>
              <w:t xml:space="preserve">  2</w:t>
            </w:r>
            <w:r w:rsidRPr="00FE09E8">
              <w:rPr>
                <w:rFonts w:hint="eastAsia"/>
                <w:kern w:val="0"/>
                <w:sz w:val="24"/>
                <w:szCs w:val="24"/>
              </w:rPr>
              <w:t>．了解偏心受压短柱中央截面应力分布状态、侧向弯曲及裂缝分布和开展过程；</w:t>
            </w:r>
          </w:p>
          <w:p w:rsidR="00CF1222" w:rsidRPr="00FE09E8" w:rsidRDefault="00CF1222" w:rsidP="00CF1222">
            <w:pPr>
              <w:rPr>
                <w:kern w:val="0"/>
                <w:sz w:val="24"/>
                <w:szCs w:val="24"/>
              </w:rPr>
            </w:pPr>
            <w:r w:rsidRPr="00FE09E8">
              <w:rPr>
                <w:rFonts w:hint="eastAsia"/>
                <w:kern w:val="0"/>
                <w:sz w:val="24"/>
                <w:szCs w:val="24"/>
              </w:rPr>
              <w:t xml:space="preserve">　</w:t>
            </w:r>
            <w:r w:rsidRPr="00FE09E8">
              <w:rPr>
                <w:rFonts w:hint="eastAsia"/>
                <w:kern w:val="0"/>
                <w:sz w:val="24"/>
                <w:szCs w:val="24"/>
              </w:rPr>
              <w:t xml:space="preserve">  3</w:t>
            </w:r>
            <w:r w:rsidRPr="00FE09E8">
              <w:rPr>
                <w:rFonts w:hint="eastAsia"/>
                <w:kern w:val="0"/>
                <w:sz w:val="24"/>
                <w:szCs w:val="24"/>
              </w:rPr>
              <w:t>．测定偏心受压短柱极限承载力，并验证钢筋混凝土短柱偏心受压承载力计算方法；</w:t>
            </w:r>
          </w:p>
          <w:p w:rsidR="00CF1222" w:rsidRPr="00FE09E8" w:rsidRDefault="00CF1222" w:rsidP="00CF1222">
            <w:pPr>
              <w:rPr>
                <w:kern w:val="0"/>
                <w:sz w:val="24"/>
                <w:szCs w:val="24"/>
              </w:rPr>
            </w:pPr>
            <w:r w:rsidRPr="00FE09E8">
              <w:rPr>
                <w:rFonts w:hint="eastAsia"/>
                <w:kern w:val="0"/>
                <w:sz w:val="24"/>
                <w:szCs w:val="24"/>
              </w:rPr>
              <w:t xml:space="preserve">　</w:t>
            </w:r>
            <w:r w:rsidRPr="00FE09E8">
              <w:rPr>
                <w:rFonts w:hint="eastAsia"/>
                <w:kern w:val="0"/>
                <w:sz w:val="24"/>
                <w:szCs w:val="24"/>
              </w:rPr>
              <w:t xml:space="preserve">  4</w:t>
            </w:r>
            <w:r w:rsidRPr="00FE09E8">
              <w:rPr>
                <w:rFonts w:hint="eastAsia"/>
                <w:kern w:val="0"/>
                <w:sz w:val="24"/>
                <w:szCs w:val="24"/>
              </w:rPr>
              <w:t>．初步掌握偏心受压柱静载试验的一般过程和测试方法。</w:t>
            </w:r>
          </w:p>
        </w:tc>
        <w:tc>
          <w:tcPr>
            <w:tcW w:w="3141" w:type="dxa"/>
            <w:vAlign w:val="center"/>
          </w:tcPr>
          <w:p w:rsidR="00CF1222" w:rsidRPr="00FE09E8" w:rsidRDefault="00CF1222" w:rsidP="00CF1222">
            <w:pPr>
              <w:rPr>
                <w:kern w:val="0"/>
                <w:sz w:val="24"/>
                <w:szCs w:val="24"/>
              </w:rPr>
            </w:pPr>
            <w:r w:rsidRPr="00FE09E8">
              <w:rPr>
                <w:rFonts w:hint="eastAsia"/>
                <w:kern w:val="0"/>
                <w:sz w:val="24"/>
                <w:szCs w:val="24"/>
              </w:rPr>
              <w:t>1.4</w:t>
            </w:r>
            <w:r w:rsidRPr="00FE09E8">
              <w:rPr>
                <w:rFonts w:hint="eastAsia"/>
                <w:kern w:val="0"/>
                <w:sz w:val="24"/>
                <w:szCs w:val="24"/>
              </w:rPr>
              <w:t>掌握土木工程专业知识，具备知识融合能力，应用于解决土木工程专业复杂工程问题。</w:t>
            </w:r>
          </w:p>
          <w:p w:rsidR="00CF1222" w:rsidRPr="00FE09E8" w:rsidRDefault="00CF1222" w:rsidP="00CF1222">
            <w:pPr>
              <w:jc w:val="left"/>
              <w:rPr>
                <w:kern w:val="0"/>
                <w:sz w:val="24"/>
                <w:szCs w:val="24"/>
              </w:rPr>
            </w:pPr>
            <w:r w:rsidRPr="00FE09E8">
              <w:rPr>
                <w:rFonts w:hint="eastAsia"/>
                <w:kern w:val="0"/>
                <w:sz w:val="24"/>
                <w:szCs w:val="24"/>
              </w:rPr>
              <w:t xml:space="preserve">2.3 </w:t>
            </w:r>
            <w:r w:rsidRPr="00FE09E8">
              <w:rPr>
                <w:rFonts w:hint="eastAsia"/>
                <w:kern w:val="0"/>
                <w:sz w:val="24"/>
                <w:szCs w:val="24"/>
              </w:rPr>
              <w:t>能够正确、合理运用专业知识，识别、判断和表达土木工程专业复杂工程问题的本质特征、关键环节，并能提供多种解决方案。</w:t>
            </w:r>
          </w:p>
          <w:p w:rsidR="00CF1222" w:rsidRPr="00FE09E8" w:rsidRDefault="00CF1222" w:rsidP="00CF1222">
            <w:pPr>
              <w:rPr>
                <w:kern w:val="0"/>
                <w:sz w:val="24"/>
                <w:szCs w:val="24"/>
              </w:rPr>
            </w:pPr>
          </w:p>
        </w:tc>
      </w:tr>
    </w:tbl>
    <w:p w:rsidR="00CF1222" w:rsidRDefault="00CF1222" w:rsidP="00CF1222">
      <w:pPr>
        <w:spacing w:beforeLines="50" w:before="156" w:afterLines="50" w:after="156" w:line="560" w:lineRule="exact"/>
        <w:rPr>
          <w:rFonts w:ascii="黑体" w:eastAsia="黑体" w:hAnsi="黑体"/>
          <w:b/>
          <w:sz w:val="24"/>
          <w:szCs w:val="24"/>
        </w:rPr>
      </w:pP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F1222" w:rsidRDefault="00CF1222" w:rsidP="00CF1222">
      <w:pPr>
        <w:adjustRightInd w:val="0"/>
        <w:snapToGrid w:val="0"/>
        <w:spacing w:afterLines="50" w:after="156" w:line="560" w:lineRule="exact"/>
        <w:ind w:firstLineChars="200" w:firstLine="560"/>
        <w:jc w:val="left"/>
        <w:rPr>
          <w:rFonts w:ascii="仿宋_GB2312" w:hAnsi="仿宋_GB2312" w:cs="仿宋_GB2312"/>
          <w:sz w:val="28"/>
          <w:szCs w:val="28"/>
        </w:rPr>
      </w:pPr>
      <w:r>
        <w:rPr>
          <w:rFonts w:ascii="Times New Roman" w:hAnsi="Times New Roman"/>
          <w:sz w:val="28"/>
          <w:szCs w:val="28"/>
        </w:rPr>
        <w:t>课程总评成绩由平时成绩和期终考试</w:t>
      </w:r>
      <w:r>
        <w:rPr>
          <w:rFonts w:ascii="Times New Roman" w:hAnsi="Times New Roman" w:hint="eastAsia"/>
          <w:sz w:val="28"/>
          <w:szCs w:val="28"/>
        </w:rPr>
        <w:t>2</w:t>
      </w:r>
      <w:r>
        <w:rPr>
          <w:rFonts w:ascii="Times New Roman" w:hAnsi="Times New Roman"/>
          <w:sz w:val="28"/>
          <w:szCs w:val="28"/>
        </w:rPr>
        <w:t>个考核环节综合评定产生。</w:t>
      </w:r>
    </w:p>
    <w:p w:rsidR="00CF1222" w:rsidRDefault="00CF1222"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F1222" w:rsidRDefault="00CF1222" w:rsidP="00CF1222">
      <w:pPr>
        <w:adjustRightInd w:val="0"/>
        <w:spacing w:line="360" w:lineRule="auto"/>
        <w:ind w:firstLineChars="200" w:firstLine="560"/>
        <w:rPr>
          <w:rFonts w:ascii="宋体" w:eastAsia="宋体" w:hAnsi="宋体"/>
          <w:b/>
          <w:color w:val="FF0000"/>
          <w:sz w:val="21"/>
          <w:szCs w:val="21"/>
        </w:rPr>
      </w:pPr>
      <w:r>
        <w:rPr>
          <w:rFonts w:ascii="仿宋_GB2312" w:hAnsi="仿宋_GB2312" w:cs="仿宋_GB2312" w:hint="eastAsia"/>
          <w:sz w:val="28"/>
          <w:szCs w:val="28"/>
        </w:rPr>
        <w:t>本课程成绩评定方式为百分制。</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bCs/>
          <w:sz w:val="28"/>
          <w:szCs w:val="28"/>
        </w:rPr>
        <w:lastRenderedPageBreak/>
        <w:t>课程总成绩=期末成绩</w:t>
      </w:r>
      <w:r>
        <w:rPr>
          <w:rFonts w:ascii="仿宋_GB2312" w:hAnsi="仿宋_GB2312" w:cs="仿宋_GB2312" w:hint="eastAsia"/>
          <w:bCs/>
          <w:sz w:val="28"/>
          <w:szCs w:val="28"/>
        </w:rPr>
        <w:t>60%+平时</w:t>
      </w:r>
      <w:r>
        <w:rPr>
          <w:rFonts w:ascii="仿宋_GB2312" w:hAnsi="仿宋_GB2312" w:cs="仿宋_GB2312"/>
          <w:bCs/>
          <w:sz w:val="28"/>
          <w:szCs w:val="28"/>
        </w:rPr>
        <w:t>成绩</w:t>
      </w:r>
      <w:r>
        <w:rPr>
          <w:rFonts w:ascii="仿宋_GB2312" w:hAnsi="仿宋_GB2312" w:cs="仿宋_GB2312" w:hint="eastAsia"/>
          <w:bCs/>
          <w:sz w:val="28"/>
          <w:szCs w:val="28"/>
        </w:rPr>
        <w:t xml:space="preserve">40%  </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其中平时成绩包括作业、试验、讨论、线上学习、出勤等情况综合评定，期末考试可采用闭卷或开卷等方式进行评定。</w:t>
      </w:r>
    </w:p>
    <w:p w:rsidR="00CF1222" w:rsidRDefault="00CF1222" w:rsidP="00CF1222">
      <w:pPr>
        <w:spacing w:line="360" w:lineRule="auto"/>
        <w:ind w:firstLineChars="203" w:firstLine="568"/>
        <w:rPr>
          <w:rFonts w:ascii="仿宋_GB2312" w:hAnsi="仿宋_GB2312" w:cs="仿宋_GB2312"/>
          <w:bCs/>
          <w:sz w:val="28"/>
          <w:szCs w:val="28"/>
        </w:rPr>
      </w:pPr>
      <w:r>
        <w:rPr>
          <w:rFonts w:ascii="Times New Roman" w:hAnsi="Times New Roman"/>
          <w:sz w:val="28"/>
          <w:szCs w:val="28"/>
        </w:rPr>
        <w:t>各考核环节与课程目标的对应关系如下：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5191"/>
        <w:gridCol w:w="1866"/>
      </w:tblGrid>
      <w:tr w:rsidR="00CF1222" w:rsidTr="00CF1222">
        <w:trPr>
          <w:jc w:val="center"/>
        </w:trPr>
        <w:tc>
          <w:tcPr>
            <w:tcW w:w="7420" w:type="dxa"/>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考核环节</w:t>
            </w:r>
          </w:p>
        </w:tc>
        <w:tc>
          <w:tcPr>
            <w:tcW w:w="1866" w:type="dxa"/>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教学目标</w:t>
            </w:r>
          </w:p>
        </w:tc>
      </w:tr>
      <w:tr w:rsidR="00CF1222" w:rsidTr="00CF1222">
        <w:trPr>
          <w:jc w:val="center"/>
        </w:trPr>
        <w:tc>
          <w:tcPr>
            <w:tcW w:w="222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分项比例</w:t>
            </w:r>
          </w:p>
        </w:tc>
        <w:tc>
          <w:tcPr>
            <w:tcW w:w="5191"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考核要求</w:t>
            </w:r>
          </w:p>
        </w:tc>
        <w:tc>
          <w:tcPr>
            <w:tcW w:w="1866" w:type="dxa"/>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p>
        </w:tc>
      </w:tr>
      <w:tr w:rsidR="00CF1222" w:rsidTr="00CF1222">
        <w:trPr>
          <w:trHeight w:val="1500"/>
          <w:jc w:val="center"/>
        </w:trPr>
        <w:tc>
          <w:tcPr>
            <w:tcW w:w="222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平时成绩</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40</w:t>
            </w:r>
            <w:r>
              <w:rPr>
                <w:rFonts w:ascii="Times New Roman" w:hAnsi="Times New Roman"/>
                <w:sz w:val="24"/>
                <w:szCs w:val="24"/>
              </w:rPr>
              <w:t>%</w:t>
            </w:r>
            <w:r>
              <w:rPr>
                <w:rFonts w:ascii="Times New Roman" w:hAnsi="Times New Roman"/>
                <w:sz w:val="24"/>
                <w:szCs w:val="24"/>
              </w:rPr>
              <w:t>）</w:t>
            </w:r>
          </w:p>
        </w:tc>
        <w:tc>
          <w:tcPr>
            <w:tcW w:w="5191" w:type="dxa"/>
            <w:tcBorders>
              <w:top w:val="single" w:sz="4" w:space="0" w:color="auto"/>
              <w:left w:val="single" w:sz="4" w:space="0" w:color="auto"/>
              <w:right w:val="single" w:sz="4" w:space="0" w:color="auto"/>
            </w:tcBorders>
            <w:vAlign w:val="center"/>
          </w:tcPr>
          <w:p w:rsidR="00CF1222" w:rsidRDefault="00CF1222" w:rsidP="00CF1222">
            <w:pPr>
              <w:rPr>
                <w:rFonts w:ascii="Times New Roman" w:hAnsi="Times New Roman"/>
                <w:sz w:val="24"/>
                <w:szCs w:val="24"/>
              </w:rPr>
            </w:pPr>
            <w:r>
              <w:rPr>
                <w:rFonts w:ascii="Times New Roman" w:hAnsi="Times New Roman"/>
                <w:sz w:val="24"/>
                <w:szCs w:val="24"/>
              </w:rPr>
              <w:t>出勤统计不少于授课次数的</w:t>
            </w:r>
            <w:r>
              <w:rPr>
                <w:rFonts w:ascii="Times New Roman" w:hAnsi="Times New Roman"/>
                <w:sz w:val="24"/>
                <w:szCs w:val="24"/>
              </w:rPr>
              <w:t xml:space="preserve"> 2/3</w:t>
            </w:r>
            <w:r>
              <w:rPr>
                <w:rFonts w:ascii="Times New Roman" w:hAnsi="Times New Roman"/>
                <w:sz w:val="24"/>
                <w:szCs w:val="24"/>
              </w:rPr>
              <w:t>，重点考察学生的课堂表现，占</w:t>
            </w:r>
            <w:r>
              <w:rPr>
                <w:rFonts w:ascii="Times New Roman" w:hAnsi="Times New Roman"/>
                <w:sz w:val="24"/>
                <w:szCs w:val="24"/>
              </w:rPr>
              <w:t xml:space="preserve"> </w:t>
            </w:r>
            <w:r>
              <w:rPr>
                <w:rFonts w:ascii="Times New Roman" w:hAnsi="Times New Roman" w:hint="eastAsia"/>
                <w:sz w:val="24"/>
                <w:szCs w:val="24"/>
              </w:rPr>
              <w:t>1</w:t>
            </w:r>
            <w:r>
              <w:rPr>
                <w:rFonts w:ascii="Times New Roman" w:hAnsi="Times New Roman"/>
                <w:sz w:val="24"/>
                <w:szCs w:val="24"/>
              </w:rPr>
              <w:t>0%</w:t>
            </w:r>
            <w:r>
              <w:rPr>
                <w:rFonts w:ascii="Times New Roman" w:hAnsi="Times New Roman" w:hint="eastAsia"/>
                <w:sz w:val="24"/>
                <w:szCs w:val="24"/>
              </w:rPr>
              <w:t>；</w:t>
            </w:r>
            <w:r>
              <w:rPr>
                <w:rFonts w:ascii="Times New Roman" w:hAnsi="Times New Roman"/>
                <w:sz w:val="24"/>
                <w:szCs w:val="24"/>
              </w:rPr>
              <w:t>通过课后作业</w:t>
            </w:r>
            <w:r>
              <w:rPr>
                <w:rFonts w:ascii="Times New Roman" w:hAnsi="Times New Roman" w:hint="eastAsia"/>
                <w:sz w:val="24"/>
                <w:szCs w:val="24"/>
              </w:rPr>
              <w:t>、讨论、线上学习，</w:t>
            </w:r>
            <w:r>
              <w:rPr>
                <w:rFonts w:ascii="Times New Roman" w:hAnsi="Times New Roman"/>
                <w:sz w:val="24"/>
                <w:szCs w:val="24"/>
              </w:rPr>
              <w:t>考核学生对</w:t>
            </w:r>
            <w:r>
              <w:rPr>
                <w:rFonts w:ascii="Times New Roman" w:hAnsi="Times New Roman" w:hint="eastAsia"/>
                <w:sz w:val="24"/>
                <w:szCs w:val="24"/>
              </w:rPr>
              <w:t>各章节内容学习以及基本构件设计计算能力</w:t>
            </w:r>
            <w:r>
              <w:rPr>
                <w:rFonts w:ascii="Times New Roman" w:hAnsi="Times New Roman"/>
                <w:sz w:val="24"/>
                <w:szCs w:val="24"/>
              </w:rPr>
              <w:t>掌握</w:t>
            </w:r>
            <w:r>
              <w:rPr>
                <w:rFonts w:ascii="Times New Roman" w:hAnsi="Times New Roman" w:hint="eastAsia"/>
                <w:sz w:val="24"/>
                <w:szCs w:val="24"/>
              </w:rPr>
              <w:t>的</w:t>
            </w:r>
            <w:r>
              <w:rPr>
                <w:rFonts w:ascii="Times New Roman" w:hAnsi="Times New Roman"/>
                <w:sz w:val="24"/>
                <w:szCs w:val="24"/>
              </w:rPr>
              <w:t>情况，占</w:t>
            </w:r>
            <w:r>
              <w:rPr>
                <w:rFonts w:ascii="Times New Roman" w:hAnsi="Times New Roman"/>
                <w:sz w:val="24"/>
                <w:szCs w:val="24"/>
              </w:rPr>
              <w:t xml:space="preserve"> </w:t>
            </w:r>
            <w:r>
              <w:rPr>
                <w:rFonts w:ascii="Times New Roman" w:hAnsi="Times New Roman" w:hint="eastAsia"/>
                <w:sz w:val="24"/>
                <w:szCs w:val="24"/>
              </w:rPr>
              <w:t>7</w:t>
            </w:r>
            <w:r>
              <w:rPr>
                <w:rFonts w:ascii="Times New Roman" w:hAnsi="Times New Roman"/>
                <w:sz w:val="24"/>
                <w:szCs w:val="24"/>
              </w:rPr>
              <w:t>0%</w:t>
            </w:r>
            <w:r>
              <w:rPr>
                <w:rFonts w:ascii="Times New Roman" w:hAnsi="Times New Roman" w:hint="eastAsia"/>
                <w:sz w:val="24"/>
                <w:szCs w:val="24"/>
              </w:rPr>
              <w:t>；通过试验，考核学生</w:t>
            </w:r>
            <w:r>
              <w:rPr>
                <w:rFonts w:ascii="Times New Roman" w:hAnsi="Times New Roman"/>
                <w:sz w:val="24"/>
                <w:szCs w:val="24"/>
              </w:rPr>
              <w:t>细致观察和操作动手能力，以及利用所学知识分析评价</w:t>
            </w:r>
            <w:r>
              <w:rPr>
                <w:rFonts w:ascii="Times New Roman" w:hAnsi="Times New Roman" w:hint="eastAsia"/>
                <w:sz w:val="24"/>
                <w:szCs w:val="24"/>
              </w:rPr>
              <w:t>试</w:t>
            </w:r>
            <w:r>
              <w:rPr>
                <w:rFonts w:ascii="Times New Roman" w:hAnsi="Times New Roman"/>
                <w:sz w:val="24"/>
                <w:szCs w:val="24"/>
              </w:rPr>
              <w:t>验结果和文字表达能力</w:t>
            </w:r>
            <w:r>
              <w:rPr>
                <w:rFonts w:ascii="Times New Roman" w:hAnsi="Times New Roman" w:hint="eastAsia"/>
                <w:sz w:val="24"/>
                <w:szCs w:val="24"/>
              </w:rPr>
              <w:t>，占</w:t>
            </w:r>
            <w:r>
              <w:rPr>
                <w:rFonts w:ascii="Times New Roman" w:hAnsi="Times New Roman" w:hint="eastAsia"/>
                <w:sz w:val="24"/>
                <w:szCs w:val="24"/>
              </w:rPr>
              <w:t>20%</w:t>
            </w:r>
            <w:r>
              <w:rPr>
                <w:rFonts w:ascii="Times New Roman" w:hAnsi="Times New Roman" w:hint="eastAsia"/>
                <w:sz w:val="24"/>
                <w:szCs w:val="24"/>
              </w:rPr>
              <w:t>。</w:t>
            </w:r>
          </w:p>
        </w:tc>
        <w:tc>
          <w:tcPr>
            <w:tcW w:w="1866" w:type="dxa"/>
            <w:tcBorders>
              <w:top w:val="single" w:sz="4" w:space="0" w:color="auto"/>
              <w:left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CF1222" w:rsidTr="00CF1222">
        <w:trPr>
          <w:trHeight w:val="900"/>
          <w:jc w:val="center"/>
        </w:trPr>
        <w:tc>
          <w:tcPr>
            <w:tcW w:w="222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期终考试</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6</w:t>
            </w:r>
            <w:r>
              <w:rPr>
                <w:rFonts w:ascii="Times New Roman" w:hAnsi="Times New Roman"/>
                <w:sz w:val="24"/>
                <w:szCs w:val="24"/>
              </w:rPr>
              <w:t>0%</w:t>
            </w:r>
            <w:r>
              <w:rPr>
                <w:rFonts w:ascii="Times New Roman" w:hAnsi="Times New Roman"/>
                <w:sz w:val="24"/>
                <w:szCs w:val="24"/>
              </w:rPr>
              <w:t>）</w:t>
            </w:r>
          </w:p>
        </w:tc>
        <w:tc>
          <w:tcPr>
            <w:tcW w:w="5191" w:type="dxa"/>
            <w:tcBorders>
              <w:top w:val="single" w:sz="4" w:space="0" w:color="auto"/>
              <w:left w:val="single" w:sz="4" w:space="0" w:color="auto"/>
              <w:right w:val="single" w:sz="4" w:space="0" w:color="auto"/>
            </w:tcBorders>
            <w:vAlign w:val="center"/>
          </w:tcPr>
          <w:p w:rsidR="00CF1222" w:rsidRDefault="00CF1222" w:rsidP="00CF1222">
            <w:pPr>
              <w:rPr>
                <w:rFonts w:ascii="Times New Roman" w:hAnsi="Times New Roman"/>
                <w:sz w:val="24"/>
                <w:szCs w:val="24"/>
              </w:rPr>
            </w:pPr>
            <w:r>
              <w:rPr>
                <w:rFonts w:ascii="Times New Roman" w:hAnsi="Times New Roman"/>
                <w:sz w:val="24"/>
                <w:szCs w:val="24"/>
              </w:rPr>
              <w:t>期末考试采用闭卷</w:t>
            </w:r>
            <w:r>
              <w:rPr>
                <w:rFonts w:ascii="Times New Roman" w:hAnsi="Times New Roman" w:hint="eastAsia"/>
                <w:sz w:val="24"/>
                <w:szCs w:val="24"/>
              </w:rPr>
              <w:t>或开卷等</w:t>
            </w:r>
            <w:r>
              <w:rPr>
                <w:rFonts w:ascii="Times New Roman" w:hAnsi="Times New Roman"/>
                <w:sz w:val="24"/>
                <w:szCs w:val="24"/>
              </w:rPr>
              <w:t>形式。考试范围基本涵盖所有讲授内容，考试内容主要反映学生对本课程计算和分析问题方法等理解和掌握的程度，以及综合运用的能力。</w:t>
            </w:r>
          </w:p>
        </w:tc>
        <w:tc>
          <w:tcPr>
            <w:tcW w:w="1866" w:type="dxa"/>
            <w:tcBorders>
              <w:top w:val="single" w:sz="4" w:space="0" w:color="auto"/>
              <w:left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bl>
    <w:p w:rsidR="00CF1222" w:rsidRDefault="00CF1222" w:rsidP="00CF1222">
      <w:pPr>
        <w:spacing w:beforeLines="50" w:before="156" w:line="360" w:lineRule="auto"/>
        <w:ind w:left="560"/>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课程目标达成度自评方式</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据学院教学管理规定，在开展课程达成度评价前，课程评价审核小组对课程的评价依据合理性进行确认，包括平时作业、实验、期终考试等考核环节。课程结束后，课程小组需要对课程进行达成度评价，课程小组由课程负责人和任课教师组成，统计课程考核数据，并填写</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混凝土结构基本理论</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报告，以便及时了解课程的达成效果，发现问题并进行持续改进，同时也为毕业要求达成度的评价提供基础数据。</w:t>
      </w:r>
    </w:p>
    <w:p w:rsidR="00CF1222" w:rsidRDefault="00CF1222" w:rsidP="00CF1222">
      <w:pPr>
        <w:adjustRightInd w:val="0"/>
        <w:snapToGrid w:val="0"/>
        <w:spacing w:afterLines="50" w:after="156" w:line="560" w:lineRule="exact"/>
        <w:ind w:firstLineChars="200" w:firstLine="560"/>
        <w:jc w:val="left"/>
        <w:rPr>
          <w:rFonts w:ascii="仿宋_GB2312" w:hAnsi="仿宋_GB2312" w:cs="仿宋_GB2312"/>
          <w:bCs/>
          <w:sz w:val="28"/>
          <w:szCs w:val="28"/>
        </w:rPr>
      </w:pPr>
      <w:r>
        <w:rPr>
          <w:rFonts w:ascii="Times New Roman" w:hAnsi="Times New Roman"/>
          <w:sz w:val="28"/>
          <w:szCs w:val="28"/>
        </w:rPr>
        <w:t>根据课程的考核形式，全部或抽样部分考核资料（应以当年修读该课程的学生为总体，至少抽取</w:t>
      </w:r>
      <w:r>
        <w:rPr>
          <w:rFonts w:ascii="Times New Roman" w:hAnsi="Times New Roman"/>
          <w:sz w:val="28"/>
          <w:szCs w:val="28"/>
        </w:rPr>
        <w:t>90%</w:t>
      </w:r>
      <w:r>
        <w:rPr>
          <w:rFonts w:ascii="Times New Roman" w:hAnsi="Times New Roman"/>
          <w:sz w:val="28"/>
          <w:szCs w:val="28"/>
        </w:rPr>
        <w:t>以上的学生样本），抽样时需覆盖优、良、中、及格和不及格等考核等级的考核资料。课程达成度的具体评价方法，详见</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混凝土结构基本理论</w:t>
      </w:r>
      <w:r>
        <w:rPr>
          <w:rFonts w:ascii="Times New Roman" w:hAnsi="Times New Roman"/>
          <w:sz w:val="28"/>
          <w:szCs w:val="28"/>
        </w:rPr>
        <w:t>》课程达成情况评</w:t>
      </w:r>
      <w:r>
        <w:rPr>
          <w:rFonts w:ascii="Times New Roman" w:hAnsi="Times New Roman"/>
          <w:sz w:val="28"/>
          <w:szCs w:val="28"/>
        </w:rPr>
        <w:lastRenderedPageBreak/>
        <w:t>价</w:t>
      </w:r>
      <w:r>
        <w:rPr>
          <w:rFonts w:ascii="Times New Roman" w:hAnsi="Times New Roman"/>
          <w:sz w:val="28"/>
          <w:szCs w:val="28"/>
        </w:rPr>
        <w:t>”</w:t>
      </w:r>
      <w:r>
        <w:rPr>
          <w:rFonts w:ascii="Times New Roman" w:hAnsi="Times New Roman"/>
          <w:sz w:val="28"/>
          <w:szCs w:val="28"/>
        </w:rPr>
        <w:t>报告。课程小组提交课程达成度评价数据后，课程评价审核小组对评价数据的合理性和有效性进行审核。</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 混凝土结构原理，刘立新，杨万庆主编，武汉理工大学出版社，2018年5月出版。</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 混凝土结构设计，白国良，王毅红主编，武汉理工大学出版社，2011年11月出版。</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 混凝土结构上册，混凝土结构设计原理，东南大学，天津大学，同济大学合编，中国建筑工业出版社，2016年2月出版。</w:t>
      </w:r>
    </w:p>
    <w:p w:rsidR="00CF1222" w:rsidRDefault="00CF1222" w:rsidP="00CF1222">
      <w:pPr>
        <w:spacing w:beforeLines="50" w:before="156" w:afterLines="50" w:after="156" w:line="460" w:lineRule="exact"/>
        <w:ind w:firstLineChars="100" w:firstLine="280"/>
        <w:rPr>
          <w:rFonts w:ascii="黑体" w:eastAsia="黑体" w:hAnsi="黑体"/>
          <w:b/>
          <w:sz w:val="28"/>
          <w:szCs w:val="28"/>
        </w:rPr>
      </w:pPr>
      <w:r>
        <w:rPr>
          <w:rFonts w:ascii="仿宋_GB2312" w:hAnsi="仿宋_GB2312" w:cs="仿宋_GB2312" w:hint="eastAsia"/>
          <w:sz w:val="28"/>
          <w:szCs w:val="28"/>
        </w:rPr>
        <w:t xml:space="preserve"> [2] 混凝土结构中册，混凝土结构与砌体结构设计，东南大学，天津大学，同济大学合编，中国建筑工业出版社，2016年3月出版。</w:t>
      </w:r>
    </w:p>
    <w:p w:rsidR="00CF1222" w:rsidRDefault="00CF1222" w:rsidP="00CF1222">
      <w:pPr>
        <w:spacing w:beforeLines="50" w:before="156" w:afterLines="50" w:after="156" w:line="460" w:lineRule="exact"/>
        <w:rPr>
          <w:rFonts w:ascii="黑体" w:eastAsia="黑体" w:hAnsi="黑体"/>
          <w:b/>
          <w:sz w:val="28"/>
          <w:szCs w:val="28"/>
        </w:rPr>
      </w:pPr>
    </w:p>
    <w:p w:rsidR="00CF1222" w:rsidRDefault="00CF1222" w:rsidP="00CF1222">
      <w:pPr>
        <w:spacing w:beforeLines="50" w:before="156" w:afterLines="50" w:after="156" w:line="460" w:lineRule="exact"/>
        <w:rPr>
          <w:rFonts w:ascii="黑体" w:eastAsia="黑体" w:hAnsi="黑体"/>
          <w:b/>
          <w:sz w:val="28"/>
          <w:szCs w:val="28"/>
        </w:rPr>
      </w:pPr>
    </w:p>
    <w:p w:rsidR="00CF1222" w:rsidRDefault="00CF1222" w:rsidP="00CF1222">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大纲撰写人：李红  王博</w:t>
      </w:r>
    </w:p>
    <w:p w:rsidR="00CF1222" w:rsidRDefault="00CF1222" w:rsidP="00CF1222">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课程负责人：王博</w:t>
      </w:r>
    </w:p>
    <w:p w:rsidR="00CF1222" w:rsidRDefault="00CF1222" w:rsidP="00CF1222">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F1222" w:rsidRDefault="00CF1222" w:rsidP="00CF1222">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F1222" w:rsidRDefault="00CF1222" w:rsidP="00CF1222">
      <w:pPr>
        <w:ind w:firstLineChars="2000" w:firstLine="5600"/>
        <w:jc w:val="left"/>
        <w:rPr>
          <w:rFonts w:ascii="仿宋" w:hAnsi="仿宋"/>
          <w:sz w:val="28"/>
          <w:szCs w:val="28"/>
        </w:rPr>
      </w:pPr>
      <w:r>
        <w:rPr>
          <w:rFonts w:ascii="仿宋_GB2312" w:hAnsi="微软雅黑" w:hint="eastAsia"/>
          <w:sz w:val="28"/>
          <w:szCs w:val="28"/>
        </w:rPr>
        <w:t xml:space="preserve">    </w:t>
      </w:r>
    </w:p>
    <w:p w:rsidR="00CF1222" w:rsidRDefault="00CF1222" w:rsidP="00CF1222">
      <w:pPr>
        <w:jc w:val="left"/>
        <w:rPr>
          <w:rFonts w:ascii="仿宋" w:eastAsia="仿宋" w:hAnsi="仿宋"/>
          <w:sz w:val="28"/>
          <w:szCs w:val="28"/>
        </w:rPr>
      </w:pPr>
      <w:r>
        <w:rPr>
          <w:rFonts w:ascii="仿宋" w:eastAsia="仿宋" w:hAnsi="仿宋" w:hint="eastAsia"/>
          <w:sz w:val="28"/>
          <w:szCs w:val="28"/>
        </w:rPr>
        <w:t xml:space="preserve">                                         2021年 3 月</w:t>
      </w:r>
    </w:p>
    <w:p w:rsidR="00CF1222" w:rsidRDefault="00CF1222" w:rsidP="00CF1222">
      <w:pPr>
        <w:jc w:val="left"/>
        <w:rPr>
          <w:rFonts w:ascii="仿宋" w:eastAsia="仿宋" w:hAnsi="仿宋"/>
          <w:sz w:val="28"/>
          <w:szCs w:val="28"/>
        </w:rPr>
      </w:pPr>
    </w:p>
    <w:p w:rsidR="00CF1222" w:rsidRDefault="00CF1222" w:rsidP="006E57E0">
      <w:pPr>
        <w:widowControl/>
        <w:spacing w:line="360" w:lineRule="auto"/>
        <w:rPr>
          <w:rFonts w:ascii="方正小标宋简体" w:eastAsia="方正小标宋简体" w:hAnsi="宋体"/>
          <w:kern w:val="0"/>
          <w:szCs w:val="32"/>
        </w:rPr>
      </w:pPr>
    </w:p>
    <w:p w:rsidR="00CF1222" w:rsidRDefault="00CF1222" w:rsidP="00CF1222">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《结构检验》课程实验教学大纲</w:t>
      </w:r>
    </w:p>
    <w:p w:rsidR="00CF1222" w:rsidRDefault="00CF1222" w:rsidP="00CF1222">
      <w:pPr>
        <w:spacing w:line="360" w:lineRule="auto"/>
        <w:rPr>
          <w:rFonts w:ascii="黑体" w:eastAsia="黑体" w:hAnsi="黑体"/>
          <w:b/>
          <w:sz w:val="28"/>
          <w:szCs w:val="28"/>
        </w:rPr>
      </w:pPr>
      <w:r>
        <w:rPr>
          <w:rFonts w:ascii="黑体" w:eastAsia="黑体" w:hAnsi="黑体" w:hint="eastAsia"/>
          <w:b/>
          <w:sz w:val="28"/>
          <w:szCs w:val="28"/>
        </w:rPr>
        <w:t>一、实验课程信息</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实验课程名称：  结构检验</w:t>
      </w:r>
    </w:p>
    <w:p w:rsidR="00CF1222" w:rsidRDefault="00CF1222" w:rsidP="00CF1222">
      <w:pPr>
        <w:spacing w:line="360" w:lineRule="auto"/>
        <w:ind w:firstLineChars="907" w:firstLine="2540"/>
        <w:rPr>
          <w:rFonts w:ascii="仿宋_GB2312" w:hAnsi="仿宋_GB2312" w:cs="仿宋_GB2312"/>
          <w:bCs/>
          <w:sz w:val="28"/>
          <w:szCs w:val="28"/>
        </w:rPr>
      </w:pPr>
      <w:r>
        <w:rPr>
          <w:rFonts w:ascii="仿宋_GB2312" w:hAnsi="仿宋_GB2312" w:cs="仿宋_GB2312"/>
          <w:bCs/>
          <w:sz w:val="28"/>
          <w:szCs w:val="28"/>
        </w:rPr>
        <w:t>Structure Inspection</w:t>
      </w:r>
    </w:p>
    <w:p w:rsidR="00CF1222" w:rsidRDefault="00CF1222" w:rsidP="00CF1222">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课程编码：Z2801030、28090030Y</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CF1222" w:rsidRDefault="00CF1222" w:rsidP="00CF1222">
      <w:pPr>
        <w:spacing w:line="360" w:lineRule="auto"/>
        <w:ind w:firstLine="331"/>
        <w:rPr>
          <w:rFonts w:ascii="仿宋_GB2312" w:hAnsi="仿宋_GB2312" w:cs="仿宋_GB2312"/>
          <w:bCs/>
          <w:color w:val="FF0000"/>
          <w:sz w:val="28"/>
          <w:szCs w:val="28"/>
        </w:rPr>
      </w:pPr>
      <w:r>
        <w:rPr>
          <w:rFonts w:ascii="仿宋_GB2312" w:hAnsi="仿宋_GB2312" w:cs="仿宋_GB2312" w:hint="eastAsia"/>
          <w:bCs/>
          <w:sz w:val="28"/>
          <w:szCs w:val="28"/>
        </w:rPr>
        <w:t>实验课性质：非独立设课</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适用专业：土木工程、土木工程(留学生)</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学时学分：结构检验课程总学时：</w:t>
      </w:r>
      <w:r>
        <w:rPr>
          <w:rFonts w:ascii="仿宋_GB2312" w:hAnsi="仿宋_GB2312" w:cs="仿宋_GB2312"/>
          <w:bCs/>
          <w:sz w:val="28"/>
          <w:szCs w:val="28"/>
        </w:rPr>
        <w:t>24</w:t>
      </w:r>
      <w:r>
        <w:rPr>
          <w:rFonts w:ascii="仿宋_GB2312" w:hAnsi="仿宋_GB2312" w:cs="仿宋_GB2312" w:hint="eastAsia"/>
          <w:bCs/>
          <w:sz w:val="28"/>
          <w:szCs w:val="28"/>
        </w:rPr>
        <w:t>；总学分：</w:t>
      </w:r>
      <w:r>
        <w:rPr>
          <w:rFonts w:ascii="仿宋_GB2312" w:hAnsi="仿宋_GB2312" w:cs="仿宋_GB2312"/>
          <w:bCs/>
          <w:sz w:val="28"/>
          <w:szCs w:val="28"/>
        </w:rPr>
        <w:t>1.5</w:t>
      </w:r>
      <w:r>
        <w:rPr>
          <w:rFonts w:ascii="仿宋_GB2312" w:hAnsi="仿宋_GB2312" w:cs="仿宋_GB2312" w:hint="eastAsia"/>
          <w:bCs/>
          <w:sz w:val="28"/>
          <w:szCs w:val="28"/>
        </w:rPr>
        <w:t>；实验课总学时：</w:t>
      </w:r>
      <w:r>
        <w:rPr>
          <w:rFonts w:ascii="仿宋_GB2312" w:hAnsi="仿宋_GB2312" w:cs="仿宋_GB2312"/>
          <w:bCs/>
          <w:sz w:val="28"/>
          <w:szCs w:val="28"/>
        </w:rPr>
        <w:t>12</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实验项目名称和学时分配：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1895"/>
        <w:gridCol w:w="685"/>
        <w:gridCol w:w="685"/>
        <w:gridCol w:w="685"/>
        <w:gridCol w:w="747"/>
        <w:gridCol w:w="685"/>
        <w:gridCol w:w="858"/>
        <w:gridCol w:w="685"/>
        <w:gridCol w:w="858"/>
      </w:tblGrid>
      <w:tr w:rsidR="00CF1222" w:rsidTr="00CF1222">
        <w:tc>
          <w:tcPr>
            <w:tcW w:w="0" w:type="auto"/>
            <w:vAlign w:val="center"/>
          </w:tcPr>
          <w:p w:rsidR="00CF1222" w:rsidRDefault="00CF1222" w:rsidP="00CF1222">
            <w:pPr>
              <w:jc w:val="center"/>
              <w:rPr>
                <w:rFonts w:ascii="Times New Roman" w:eastAsia="华文中宋" w:hAnsi="Times New Roman"/>
                <w:sz w:val="21"/>
                <w:szCs w:val="21"/>
              </w:rPr>
            </w:pPr>
            <w:r>
              <w:rPr>
                <w:rFonts w:ascii="Times New Roman" w:eastAsia="华文中宋" w:hAnsi="Times New Roman" w:hint="eastAsia"/>
                <w:sz w:val="21"/>
                <w:szCs w:val="21"/>
              </w:rPr>
              <w:t>序号</w:t>
            </w:r>
          </w:p>
        </w:tc>
        <w:tc>
          <w:tcPr>
            <w:tcW w:w="0" w:type="auto"/>
            <w:vAlign w:val="center"/>
          </w:tcPr>
          <w:p w:rsidR="00CF1222" w:rsidRDefault="00CF1222" w:rsidP="00CF1222">
            <w:pPr>
              <w:jc w:val="center"/>
              <w:rPr>
                <w:rFonts w:ascii="Times New Roman" w:eastAsia="华文中宋" w:hAnsi="Times New Roman"/>
                <w:sz w:val="21"/>
                <w:szCs w:val="21"/>
              </w:rPr>
            </w:pPr>
            <w:r>
              <w:rPr>
                <w:rFonts w:ascii="Times New Roman" w:eastAsia="华文中宋" w:hAnsi="Times New Roman" w:hint="eastAsia"/>
                <w:sz w:val="21"/>
                <w:szCs w:val="21"/>
              </w:rPr>
              <w:t>实验项目名称</w:t>
            </w:r>
          </w:p>
        </w:tc>
        <w:tc>
          <w:tcPr>
            <w:tcW w:w="0" w:type="auto"/>
            <w:vAlign w:val="center"/>
          </w:tcPr>
          <w:p w:rsidR="00CF1222" w:rsidRDefault="00CF1222" w:rsidP="00CF1222">
            <w:pPr>
              <w:jc w:val="center"/>
              <w:rPr>
                <w:rFonts w:ascii="Times New Roman" w:eastAsia="华文中宋" w:hAnsi="Times New Roman"/>
                <w:sz w:val="21"/>
                <w:szCs w:val="21"/>
              </w:rPr>
            </w:pPr>
            <w:r>
              <w:rPr>
                <w:rFonts w:ascii="Times New Roman" w:eastAsia="华文中宋" w:hAnsi="Times New Roman" w:hint="eastAsia"/>
                <w:sz w:val="21"/>
                <w:szCs w:val="21"/>
              </w:rPr>
              <w:t>学时分配</w:t>
            </w:r>
          </w:p>
        </w:tc>
        <w:tc>
          <w:tcPr>
            <w:tcW w:w="0" w:type="auto"/>
            <w:vAlign w:val="center"/>
          </w:tcPr>
          <w:p w:rsidR="00CF1222" w:rsidRDefault="00CF1222" w:rsidP="00CF1222">
            <w:pPr>
              <w:jc w:val="center"/>
              <w:rPr>
                <w:rFonts w:ascii="Times New Roman" w:eastAsia="华文中宋" w:hAnsi="Times New Roman"/>
                <w:sz w:val="21"/>
                <w:szCs w:val="21"/>
              </w:rPr>
            </w:pPr>
            <w:r>
              <w:rPr>
                <w:rFonts w:ascii="Times New Roman" w:eastAsia="华文中宋" w:hAnsi="Times New Roman" w:hint="eastAsia"/>
                <w:sz w:val="21"/>
                <w:szCs w:val="21"/>
              </w:rPr>
              <w:t>实验属性</w:t>
            </w:r>
          </w:p>
        </w:tc>
        <w:tc>
          <w:tcPr>
            <w:tcW w:w="0" w:type="auto"/>
            <w:vAlign w:val="center"/>
          </w:tcPr>
          <w:p w:rsidR="00CF1222" w:rsidRDefault="00CF1222" w:rsidP="00CF1222">
            <w:pPr>
              <w:jc w:val="center"/>
              <w:rPr>
                <w:rFonts w:ascii="Times New Roman" w:eastAsia="华文中宋" w:hAnsi="Times New Roman"/>
                <w:sz w:val="21"/>
                <w:szCs w:val="21"/>
              </w:rPr>
            </w:pPr>
            <w:r>
              <w:rPr>
                <w:rFonts w:ascii="Times New Roman" w:eastAsia="华文中宋" w:hAnsi="Times New Roman" w:hint="eastAsia"/>
                <w:sz w:val="21"/>
                <w:szCs w:val="21"/>
              </w:rPr>
              <w:t>实验类型</w:t>
            </w:r>
          </w:p>
        </w:tc>
        <w:tc>
          <w:tcPr>
            <w:tcW w:w="0" w:type="auto"/>
            <w:vAlign w:val="center"/>
          </w:tcPr>
          <w:p w:rsidR="00CF1222" w:rsidRDefault="00CF1222" w:rsidP="00CF1222">
            <w:pPr>
              <w:jc w:val="center"/>
              <w:rPr>
                <w:rFonts w:ascii="Times New Roman" w:eastAsia="华文中宋" w:hAnsi="Times New Roman"/>
                <w:sz w:val="21"/>
                <w:szCs w:val="21"/>
              </w:rPr>
            </w:pPr>
            <w:r>
              <w:rPr>
                <w:rFonts w:ascii="Times New Roman" w:eastAsia="华文中宋" w:hAnsi="Times New Roman" w:hint="eastAsia"/>
                <w:sz w:val="21"/>
                <w:szCs w:val="21"/>
              </w:rPr>
              <w:t>每组人数</w:t>
            </w:r>
          </w:p>
        </w:tc>
        <w:tc>
          <w:tcPr>
            <w:tcW w:w="0" w:type="auto"/>
            <w:vAlign w:val="center"/>
          </w:tcPr>
          <w:p w:rsidR="00CF1222" w:rsidRDefault="00CF1222" w:rsidP="00CF1222">
            <w:pPr>
              <w:jc w:val="center"/>
              <w:rPr>
                <w:rFonts w:ascii="Times New Roman" w:eastAsia="华文中宋" w:hAnsi="Times New Roman"/>
                <w:sz w:val="21"/>
                <w:szCs w:val="21"/>
              </w:rPr>
            </w:pPr>
            <w:r>
              <w:rPr>
                <w:rFonts w:ascii="Times New Roman" w:eastAsia="华文中宋" w:hAnsi="Times New Roman" w:hint="eastAsia"/>
                <w:sz w:val="21"/>
                <w:szCs w:val="21"/>
              </w:rPr>
              <w:t>实验性质</w:t>
            </w:r>
          </w:p>
        </w:tc>
        <w:tc>
          <w:tcPr>
            <w:tcW w:w="0" w:type="auto"/>
            <w:vAlign w:val="center"/>
          </w:tcPr>
          <w:p w:rsidR="00CF1222" w:rsidRDefault="00CF1222" w:rsidP="00CF1222">
            <w:pPr>
              <w:jc w:val="center"/>
              <w:rPr>
                <w:rFonts w:ascii="Times New Roman" w:eastAsia="华文中宋" w:hAnsi="Times New Roman"/>
                <w:sz w:val="21"/>
                <w:szCs w:val="21"/>
              </w:rPr>
            </w:pPr>
            <w:r>
              <w:rPr>
                <w:rFonts w:ascii="Times New Roman" w:eastAsia="华文中宋" w:hAnsi="Times New Roman" w:hint="eastAsia"/>
                <w:sz w:val="21"/>
                <w:szCs w:val="21"/>
              </w:rPr>
              <w:t>虚拟仿真实验</w:t>
            </w:r>
          </w:p>
        </w:tc>
        <w:tc>
          <w:tcPr>
            <w:tcW w:w="0" w:type="auto"/>
            <w:vAlign w:val="center"/>
          </w:tcPr>
          <w:p w:rsidR="00CF1222" w:rsidRDefault="00CF1222" w:rsidP="00CF1222">
            <w:pPr>
              <w:jc w:val="center"/>
              <w:rPr>
                <w:rFonts w:ascii="Times New Roman" w:eastAsia="华文中宋" w:hAnsi="Times New Roman"/>
                <w:sz w:val="21"/>
                <w:szCs w:val="21"/>
              </w:rPr>
            </w:pPr>
            <w:r>
              <w:rPr>
                <w:rFonts w:ascii="Times New Roman" w:eastAsia="华文中宋" w:hAnsi="Times New Roman" w:hint="eastAsia"/>
                <w:sz w:val="21"/>
                <w:szCs w:val="21"/>
              </w:rPr>
              <w:t>开放实验</w:t>
            </w:r>
          </w:p>
        </w:tc>
        <w:tc>
          <w:tcPr>
            <w:tcW w:w="0" w:type="auto"/>
            <w:vAlign w:val="center"/>
          </w:tcPr>
          <w:p w:rsidR="00CF1222" w:rsidRDefault="00CF1222" w:rsidP="00CF1222">
            <w:pPr>
              <w:jc w:val="center"/>
              <w:rPr>
                <w:rFonts w:ascii="Times New Roman" w:eastAsia="华文中宋" w:hAnsi="Times New Roman"/>
                <w:sz w:val="21"/>
                <w:szCs w:val="21"/>
              </w:rPr>
            </w:pPr>
            <w:r>
              <w:rPr>
                <w:rFonts w:ascii="Times New Roman" w:eastAsia="华文中宋" w:hAnsi="Times New Roman" w:hint="eastAsia"/>
                <w:sz w:val="21"/>
                <w:szCs w:val="21"/>
              </w:rPr>
              <w:t>指导教师人数</w:t>
            </w:r>
          </w:p>
        </w:tc>
      </w:tr>
      <w:tr w:rsidR="00CF1222" w:rsidTr="00CF1222">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1</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静载实验常用量测仪表的安装与使用</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2</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专业</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验证</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4～6</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必修</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否</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否</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5</w:t>
            </w:r>
          </w:p>
        </w:tc>
      </w:tr>
      <w:tr w:rsidR="00CF1222" w:rsidTr="00CF1222">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2</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电阻应变片贴片工艺</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2</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专业</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验证</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4～6</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必修</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否</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否</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5</w:t>
            </w:r>
          </w:p>
        </w:tc>
      </w:tr>
      <w:tr w:rsidR="00CF1222" w:rsidTr="00CF1222">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3</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应变仪使用方法及电阻应变测量技术应用</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2</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专业</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验证</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4～6</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必修</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否</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否</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5</w:t>
            </w:r>
          </w:p>
        </w:tc>
      </w:tr>
      <w:tr w:rsidR="00CF1222" w:rsidTr="00CF1222">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4</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钢桁架静载实验</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2</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专业</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验证</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4～6</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必修</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否</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否</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5</w:t>
            </w:r>
          </w:p>
        </w:tc>
      </w:tr>
      <w:tr w:rsidR="00CF1222" w:rsidTr="00CF1222">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5</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结构动载实验</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2</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专业</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综合</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4～6</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必修</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否</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否</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5</w:t>
            </w:r>
          </w:p>
        </w:tc>
      </w:tr>
      <w:tr w:rsidR="00CF1222" w:rsidTr="00CF1222">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6</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砼结构非破损检测技术的应用</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2</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专业</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验证</w:t>
            </w:r>
          </w:p>
        </w:tc>
        <w:tc>
          <w:tcPr>
            <w:tcW w:w="0" w:type="auto"/>
            <w:vAlign w:val="center"/>
          </w:tcPr>
          <w:p w:rsidR="00CF1222" w:rsidRDefault="00CF1222" w:rsidP="00CF1222">
            <w:pPr>
              <w:jc w:val="center"/>
              <w:rPr>
                <w:rFonts w:ascii="仿宋_GB2312" w:hAnsi="Times New Roman"/>
                <w:sz w:val="21"/>
                <w:szCs w:val="21"/>
              </w:rPr>
            </w:pPr>
            <w:r>
              <w:rPr>
                <w:rFonts w:ascii="仿宋_GB2312" w:hint="eastAsia"/>
                <w:sz w:val="21"/>
                <w:szCs w:val="21"/>
              </w:rPr>
              <w:t>4～6</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必修</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否</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否</w:t>
            </w:r>
          </w:p>
        </w:tc>
        <w:tc>
          <w:tcPr>
            <w:tcW w:w="0" w:type="auto"/>
            <w:vAlign w:val="center"/>
          </w:tcPr>
          <w:p w:rsidR="00CF1222" w:rsidRDefault="00CF1222" w:rsidP="00CF1222">
            <w:pPr>
              <w:jc w:val="center"/>
              <w:rPr>
                <w:rFonts w:ascii="仿宋_GB2312" w:hAnsi="Times New Roman"/>
                <w:sz w:val="21"/>
                <w:szCs w:val="21"/>
              </w:rPr>
            </w:pPr>
            <w:r>
              <w:rPr>
                <w:rFonts w:ascii="仿宋_GB2312" w:hAnsi="Times New Roman" w:hint="eastAsia"/>
                <w:sz w:val="21"/>
                <w:szCs w:val="21"/>
              </w:rPr>
              <w:t>5</w:t>
            </w:r>
          </w:p>
        </w:tc>
      </w:tr>
    </w:tbl>
    <w:p w:rsidR="00CF1222" w:rsidRDefault="00CF1222" w:rsidP="00CF1222">
      <w:pPr>
        <w:spacing w:line="360" w:lineRule="auto"/>
        <w:rPr>
          <w:rFonts w:ascii="黑体" w:eastAsia="黑体" w:hAnsi="黑体"/>
          <w:b/>
          <w:sz w:val="28"/>
          <w:szCs w:val="28"/>
        </w:rPr>
      </w:pPr>
      <w:r>
        <w:rPr>
          <w:rFonts w:ascii="黑体" w:eastAsia="黑体" w:hAnsi="黑体" w:hint="eastAsia"/>
          <w:b/>
          <w:sz w:val="28"/>
          <w:szCs w:val="28"/>
        </w:rPr>
        <w:t>二、实验课程简介</w:t>
      </w:r>
    </w:p>
    <w:p w:rsidR="00CF1222" w:rsidRDefault="00CF1222" w:rsidP="00CF1222">
      <w:pPr>
        <w:spacing w:beforeLines="50" w:before="156" w:afterLines="50" w:after="156"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本实验课是土木工程专业一门专业技术课。通过对结构物受作用后的性能观测和对测量参数进行分析，从而对结构物的工作性能</w:t>
      </w:r>
      <w:r>
        <w:rPr>
          <w:rFonts w:ascii="仿宋_GB2312" w:hAnsi="仿宋_GB2312" w:cs="仿宋_GB2312" w:hint="eastAsia"/>
          <w:sz w:val="28"/>
          <w:szCs w:val="28"/>
        </w:rPr>
        <w:lastRenderedPageBreak/>
        <w:t>进行评价，对结构的承载能力作出正确估计，并为验证和发展结构的计算理论提出可靠的依据。通过对实验仪器、设备的使用操作，熟悉其工作原理和使用方法，掌握实验方案设计方法，并了解结构实验的组织实施过程和注意事项，通过对实验数据的测试、分析和处理，掌握一般结构实验数据分析处理方法和实验结果评定中应注意的问题。</w:t>
      </w:r>
    </w:p>
    <w:p w:rsidR="00CF1222" w:rsidRDefault="00CF1222" w:rsidP="00CF1222">
      <w:pPr>
        <w:spacing w:beforeLines="50" w:before="156" w:afterLines="50" w:after="156" w:line="360" w:lineRule="auto"/>
        <w:jc w:val="left"/>
        <w:rPr>
          <w:rFonts w:ascii="黑体" w:eastAsia="黑体" w:hAnsi="黑体"/>
          <w:b/>
          <w:sz w:val="28"/>
          <w:szCs w:val="28"/>
        </w:rPr>
      </w:pPr>
      <w:r>
        <w:rPr>
          <w:rFonts w:ascii="黑体" w:eastAsia="黑体" w:hAnsi="黑体" w:hint="eastAsia"/>
          <w:b/>
          <w:sz w:val="28"/>
          <w:szCs w:val="28"/>
        </w:rPr>
        <w:t>三、实验课程目标与要求</w:t>
      </w:r>
    </w:p>
    <w:p w:rsidR="00CF1222" w:rsidRDefault="00CF1222" w:rsidP="00CF1222">
      <w:pPr>
        <w:spacing w:line="360" w:lineRule="auto"/>
        <w:ind w:firstLine="331"/>
        <w:rPr>
          <w:rFonts w:ascii="仿宋_GB2312" w:hAnsi="仿宋_GB2312" w:cs="仿宋_GB2312"/>
          <w:b/>
          <w:sz w:val="28"/>
          <w:szCs w:val="28"/>
        </w:rPr>
      </w:pPr>
      <w:r>
        <w:rPr>
          <w:rFonts w:ascii="仿宋_GB2312" w:hAnsi="仿宋_GB2312" w:cs="仿宋_GB2312" w:hint="eastAsia"/>
          <w:sz w:val="28"/>
          <w:szCs w:val="28"/>
        </w:rPr>
        <w:t>1.实验课程目标</w:t>
      </w:r>
    </w:p>
    <w:p w:rsidR="00CF1222" w:rsidRDefault="00CF1222" w:rsidP="00CF1222">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通过本课程的学习与训练，学生应具备以下几方面的能力:</w:t>
      </w:r>
    </w:p>
    <w:p w:rsidR="00CF1222" w:rsidRDefault="00CF1222" w:rsidP="00CF1222">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（1）熟悉实验仪器、设备工作原理和使用方法</w:t>
      </w:r>
    </w:p>
    <w:p w:rsidR="00CF1222" w:rsidRDefault="00CF1222" w:rsidP="00CF1222">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（2）掌握实验方案设计方法</w:t>
      </w:r>
    </w:p>
    <w:p w:rsidR="00CF1222" w:rsidRDefault="00CF1222" w:rsidP="00CF1222">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（3）掌握一般结构实验数据分析处理方法</w:t>
      </w:r>
    </w:p>
    <w:p w:rsidR="00CF1222" w:rsidRDefault="00CF1222" w:rsidP="00CF1222">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sz w:val="28"/>
          <w:szCs w:val="28"/>
        </w:rPr>
        <w:t>4</w:t>
      </w:r>
      <w:r>
        <w:rPr>
          <w:rFonts w:ascii="仿宋_GB2312" w:hAnsi="仿宋_GB2312" w:cs="仿宋_GB2312" w:hint="eastAsia"/>
          <w:sz w:val="28"/>
          <w:szCs w:val="28"/>
        </w:rPr>
        <w:t>）了解结构实验的组织实施过程和注意事项</w:t>
      </w: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2.实验课程要求</w:t>
      </w: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理论力学、材料力学、结构力学、建筑材料、混凝土结构基本理论、混凝土及砌体结构、钢结构及与试验技术有关的课程</w:t>
      </w: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3.实验课程思政设计</w:t>
      </w:r>
    </w:p>
    <w:p w:rsidR="00CF1222" w:rsidRDefault="00CF1222" w:rsidP="00CF1222">
      <w:pPr>
        <w:spacing w:line="360" w:lineRule="auto"/>
        <w:ind w:firstLine="331"/>
        <w:rPr>
          <w:rFonts w:ascii="仿宋_GB2312" w:hAnsi="仿宋_GB2312" w:cs="仿宋_GB2312"/>
          <w:b/>
          <w:color w:val="FF0000"/>
          <w:sz w:val="21"/>
          <w:szCs w:val="21"/>
        </w:rPr>
      </w:pPr>
      <w:r>
        <w:rPr>
          <w:rFonts w:ascii="仿宋_GB2312" w:hAnsi="仿宋_GB2312" w:cs="仿宋_GB2312" w:hint="eastAsia"/>
          <w:bCs/>
          <w:sz w:val="28"/>
          <w:szCs w:val="28"/>
        </w:rPr>
        <w:t>《结构检验》是土木工程专业的一门专业基础课程，它是以试验技术为手段对结构物受力性能和破坏现象进行观测，对测量参数（如位移、应力、振幅、频率等）进行分析处理，从而评定结构物的承载能力和破坏机理。采用科学的检测方法对既有结构物的安全性、可靠性进行评定，为结构计算理论的验证和发展提供可靠的依据，为新型结</w:t>
      </w:r>
      <w:r>
        <w:rPr>
          <w:rFonts w:ascii="仿宋_GB2312" w:hAnsi="仿宋_GB2312" w:cs="仿宋_GB2312" w:hint="eastAsia"/>
          <w:bCs/>
          <w:sz w:val="28"/>
          <w:szCs w:val="28"/>
        </w:rPr>
        <w:lastRenderedPageBreak/>
        <w:t>构体系的探索与研发提供条件。通过结构检验学习，牢固树立“结构安全第一”的职业素养，严谨求实，生命至上，准确及时获得结构状态，做出准确评定。引导学生透过现象看本质，去伪存真，探索关键科学问题和失效机理，培养唯物主义价值观，坚持“实践是检验真理的唯一标准”，将理论知识灵活辩证地运用于工程结构，注重土木工程领域的人文精神，树立工程伦理道德和哲学思想，更好地服务于建筑工程领域。</w:t>
      </w:r>
    </w:p>
    <w:p w:rsidR="00CF1222" w:rsidRDefault="00CF1222" w:rsidP="00CF1222">
      <w:pPr>
        <w:spacing w:beforeLines="50" w:before="156" w:afterLines="50" w:after="156"/>
        <w:jc w:val="left"/>
        <w:rPr>
          <w:rFonts w:ascii="黑体" w:eastAsia="黑体" w:hAnsi="黑体"/>
          <w:b/>
          <w:sz w:val="28"/>
          <w:szCs w:val="28"/>
        </w:rPr>
      </w:pPr>
      <w:r>
        <w:rPr>
          <w:rFonts w:ascii="黑体" w:eastAsia="黑体" w:hAnsi="黑体" w:hint="eastAsia"/>
          <w:b/>
          <w:sz w:val="28"/>
          <w:szCs w:val="28"/>
        </w:rPr>
        <w:t>四、单项实验的内容和要求</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1</w:t>
      </w:r>
      <w:r>
        <w:rPr>
          <w:rFonts w:ascii="仿宋_GB2312" w:hAnsi="仿宋_GB2312" w:cs="仿宋_GB2312" w:hint="eastAsia"/>
          <w:sz w:val="28"/>
          <w:szCs w:val="28"/>
        </w:rPr>
        <w:t>）实验项目名称：静载实验常用量测仪表的安装与使用</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（1）实验内容：</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①用百分表、千分表测量荷载作用下悬臂标准钢梁上不同位置处的挠度；②用手持式应变仪测量荷载作用下悬臂标准钢梁上不同位置处的应变值。</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（2）实验要求：</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①通过实验，掌握机械式量测仪表的工作原理及使用方法；②熟悉实验加载程序及加载过程；③掌握实验数据处理的方法。</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（3）应配备的主要设备名称和台套数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036"/>
        <w:gridCol w:w="1779"/>
        <w:gridCol w:w="1342"/>
        <w:gridCol w:w="1357"/>
      </w:tblGrid>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序号</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设备名称</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每组应配台套数</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现有台套数</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备注</w:t>
            </w: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1</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悬臂钢梁</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8</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百分表</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20</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3</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千分表</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10</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4</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手持式应变仪</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1</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bl>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2）实验项目名称：电阻应变片的贴片工艺</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lastRenderedPageBreak/>
        <w:t>（1）实验内容：</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fldChar w:fldCharType="begin"/>
      </w:r>
      <w:r>
        <w:rPr>
          <w:rFonts w:ascii="仿宋_GB2312" w:hAnsi="仿宋_GB2312" w:cs="仿宋_GB2312"/>
          <w:sz w:val="28"/>
          <w:szCs w:val="28"/>
        </w:rPr>
        <w:instrText xml:space="preserve"> = 1 \* GB3 </w:instrText>
      </w:r>
      <w:r>
        <w:rPr>
          <w:rFonts w:ascii="仿宋_GB2312" w:hAnsi="仿宋_GB2312" w:cs="仿宋_GB2312"/>
          <w:sz w:val="28"/>
          <w:szCs w:val="28"/>
        </w:rPr>
        <w:fldChar w:fldCharType="separate"/>
      </w:r>
      <w:r>
        <w:rPr>
          <w:rFonts w:ascii="仿宋_GB2312" w:hAnsi="仿宋_GB2312" w:cs="仿宋_GB2312"/>
          <w:sz w:val="28"/>
          <w:szCs w:val="28"/>
        </w:rPr>
        <w:t>①</w:t>
      </w:r>
      <w:r>
        <w:rPr>
          <w:rFonts w:ascii="仿宋_GB2312" w:hAnsi="仿宋_GB2312" w:cs="仿宋_GB2312"/>
          <w:sz w:val="28"/>
          <w:szCs w:val="28"/>
        </w:rPr>
        <w:fldChar w:fldCharType="end"/>
      </w:r>
      <w:r>
        <w:rPr>
          <w:rFonts w:ascii="仿宋_GB2312" w:hAnsi="仿宋_GB2312" w:cs="仿宋_GB2312"/>
          <w:sz w:val="28"/>
          <w:szCs w:val="28"/>
        </w:rPr>
        <w:t>用万用表检查电阻应变片的阻值；</w:t>
      </w:r>
      <w:r>
        <w:rPr>
          <w:rFonts w:ascii="仿宋_GB2312" w:hAnsi="仿宋_GB2312" w:cs="仿宋_GB2312"/>
          <w:sz w:val="28"/>
          <w:szCs w:val="28"/>
        </w:rPr>
        <w:fldChar w:fldCharType="begin"/>
      </w:r>
      <w:r>
        <w:rPr>
          <w:rFonts w:ascii="仿宋_GB2312" w:hAnsi="仿宋_GB2312" w:cs="仿宋_GB2312"/>
          <w:sz w:val="28"/>
          <w:szCs w:val="28"/>
        </w:rPr>
        <w:instrText xml:space="preserve"> = 2 \* GB3 </w:instrText>
      </w:r>
      <w:r>
        <w:rPr>
          <w:rFonts w:ascii="仿宋_GB2312" w:hAnsi="仿宋_GB2312" w:cs="仿宋_GB2312"/>
          <w:sz w:val="28"/>
          <w:szCs w:val="28"/>
        </w:rPr>
        <w:fldChar w:fldCharType="separate"/>
      </w:r>
      <w:r>
        <w:rPr>
          <w:rFonts w:ascii="仿宋_GB2312" w:hAnsi="仿宋_GB2312" w:cs="仿宋_GB2312"/>
          <w:sz w:val="28"/>
          <w:szCs w:val="28"/>
        </w:rPr>
        <w:t>②</w:t>
      </w:r>
      <w:r>
        <w:rPr>
          <w:rFonts w:ascii="仿宋_GB2312" w:hAnsi="仿宋_GB2312" w:cs="仿宋_GB2312"/>
          <w:sz w:val="28"/>
          <w:szCs w:val="28"/>
        </w:rPr>
        <w:fldChar w:fldCharType="end"/>
      </w:r>
      <w:r>
        <w:rPr>
          <w:rFonts w:ascii="仿宋_GB2312" w:hAnsi="仿宋_GB2312" w:cs="仿宋_GB2312"/>
          <w:sz w:val="28"/>
          <w:szCs w:val="28"/>
        </w:rPr>
        <w:t>对试件表面的测点进行清洁处理；</w:t>
      </w:r>
      <w:r>
        <w:rPr>
          <w:rFonts w:ascii="仿宋_GB2312" w:hAnsi="仿宋_GB2312" w:cs="仿宋_GB2312"/>
          <w:sz w:val="28"/>
          <w:szCs w:val="28"/>
        </w:rPr>
        <w:fldChar w:fldCharType="begin"/>
      </w:r>
      <w:r>
        <w:rPr>
          <w:rFonts w:ascii="仿宋_GB2312" w:hAnsi="仿宋_GB2312" w:cs="仿宋_GB2312"/>
          <w:sz w:val="28"/>
          <w:szCs w:val="28"/>
        </w:rPr>
        <w:instrText xml:space="preserve"> = 3 \* GB3 </w:instrText>
      </w:r>
      <w:r>
        <w:rPr>
          <w:rFonts w:ascii="仿宋_GB2312" w:hAnsi="仿宋_GB2312" w:cs="仿宋_GB2312"/>
          <w:sz w:val="28"/>
          <w:szCs w:val="28"/>
        </w:rPr>
        <w:fldChar w:fldCharType="separate"/>
      </w:r>
      <w:r>
        <w:rPr>
          <w:rFonts w:ascii="仿宋_GB2312" w:hAnsi="仿宋_GB2312" w:cs="仿宋_GB2312"/>
          <w:sz w:val="28"/>
          <w:szCs w:val="28"/>
        </w:rPr>
        <w:t>③</w:t>
      </w:r>
      <w:r>
        <w:rPr>
          <w:rFonts w:ascii="仿宋_GB2312" w:hAnsi="仿宋_GB2312" w:cs="仿宋_GB2312"/>
          <w:sz w:val="28"/>
          <w:szCs w:val="28"/>
        </w:rPr>
        <w:fldChar w:fldCharType="end"/>
      </w:r>
      <w:r>
        <w:rPr>
          <w:rFonts w:ascii="仿宋_GB2312" w:hAnsi="仿宋_GB2312" w:cs="仿宋_GB2312"/>
          <w:sz w:val="28"/>
          <w:szCs w:val="28"/>
        </w:rPr>
        <w:t>粘贴电阻应变片，用电烙铁将引出线与固定端子焊接牢固；</w:t>
      </w:r>
      <w:r>
        <w:rPr>
          <w:rFonts w:ascii="仿宋_GB2312" w:hAnsi="仿宋_GB2312" w:cs="仿宋_GB2312"/>
          <w:sz w:val="28"/>
          <w:szCs w:val="28"/>
        </w:rPr>
        <w:fldChar w:fldCharType="begin"/>
      </w:r>
      <w:r>
        <w:rPr>
          <w:rFonts w:ascii="仿宋_GB2312" w:hAnsi="仿宋_GB2312" w:cs="仿宋_GB2312"/>
          <w:sz w:val="28"/>
          <w:szCs w:val="28"/>
        </w:rPr>
        <w:instrText xml:space="preserve"> = 4 \* GB3 </w:instrText>
      </w:r>
      <w:r>
        <w:rPr>
          <w:rFonts w:ascii="仿宋_GB2312" w:hAnsi="仿宋_GB2312" w:cs="仿宋_GB2312"/>
          <w:sz w:val="28"/>
          <w:szCs w:val="28"/>
        </w:rPr>
        <w:fldChar w:fldCharType="separate"/>
      </w:r>
      <w:r>
        <w:rPr>
          <w:rFonts w:ascii="仿宋_GB2312" w:hAnsi="仿宋_GB2312" w:cs="仿宋_GB2312"/>
          <w:sz w:val="28"/>
          <w:szCs w:val="28"/>
        </w:rPr>
        <w:t>④</w:t>
      </w:r>
      <w:r>
        <w:rPr>
          <w:rFonts w:ascii="仿宋_GB2312" w:hAnsi="仿宋_GB2312" w:cs="仿宋_GB2312"/>
          <w:sz w:val="28"/>
          <w:szCs w:val="28"/>
        </w:rPr>
        <w:fldChar w:fldCharType="end"/>
      </w:r>
      <w:r>
        <w:rPr>
          <w:rFonts w:ascii="仿宋_GB2312" w:hAnsi="仿宋_GB2312" w:cs="仿宋_GB2312"/>
          <w:sz w:val="28"/>
          <w:szCs w:val="28"/>
        </w:rPr>
        <w:t>用兆欧表检查应变片与试件的绝缘度。</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（2）实验要求：</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fldChar w:fldCharType="begin"/>
      </w:r>
      <w:r>
        <w:rPr>
          <w:rFonts w:ascii="仿宋_GB2312" w:hAnsi="仿宋_GB2312" w:cs="仿宋_GB2312"/>
          <w:sz w:val="28"/>
          <w:szCs w:val="28"/>
        </w:rPr>
        <w:instrText xml:space="preserve"> = 1 \* GB3 </w:instrText>
      </w:r>
      <w:r>
        <w:rPr>
          <w:rFonts w:ascii="仿宋_GB2312" w:hAnsi="仿宋_GB2312" w:cs="仿宋_GB2312"/>
          <w:sz w:val="28"/>
          <w:szCs w:val="28"/>
        </w:rPr>
        <w:fldChar w:fldCharType="separate"/>
      </w:r>
      <w:r>
        <w:rPr>
          <w:rFonts w:ascii="仿宋_GB2312" w:hAnsi="仿宋_GB2312" w:cs="仿宋_GB2312"/>
          <w:sz w:val="28"/>
          <w:szCs w:val="28"/>
        </w:rPr>
        <w:t>①</w:t>
      </w:r>
      <w:r>
        <w:rPr>
          <w:rFonts w:ascii="仿宋_GB2312" w:hAnsi="仿宋_GB2312" w:cs="仿宋_GB2312"/>
          <w:sz w:val="28"/>
          <w:szCs w:val="28"/>
        </w:rPr>
        <w:fldChar w:fldCharType="end"/>
      </w:r>
      <w:r>
        <w:rPr>
          <w:rFonts w:ascii="仿宋_GB2312" w:hAnsi="仿宋_GB2312" w:cs="仿宋_GB2312"/>
          <w:sz w:val="28"/>
          <w:szCs w:val="28"/>
        </w:rPr>
        <w:t>要求每个同学粘贴一个电阻应变片；</w:t>
      </w:r>
      <w:r>
        <w:rPr>
          <w:rFonts w:ascii="仿宋_GB2312" w:hAnsi="仿宋_GB2312" w:cs="仿宋_GB2312"/>
          <w:sz w:val="28"/>
          <w:szCs w:val="28"/>
        </w:rPr>
        <w:fldChar w:fldCharType="begin"/>
      </w:r>
      <w:r>
        <w:rPr>
          <w:rFonts w:ascii="仿宋_GB2312" w:hAnsi="仿宋_GB2312" w:cs="仿宋_GB2312"/>
          <w:sz w:val="28"/>
          <w:szCs w:val="28"/>
        </w:rPr>
        <w:instrText xml:space="preserve"> = 2 \* GB3 </w:instrText>
      </w:r>
      <w:r>
        <w:rPr>
          <w:rFonts w:ascii="仿宋_GB2312" w:hAnsi="仿宋_GB2312" w:cs="仿宋_GB2312"/>
          <w:sz w:val="28"/>
          <w:szCs w:val="28"/>
        </w:rPr>
        <w:fldChar w:fldCharType="separate"/>
      </w:r>
      <w:r>
        <w:rPr>
          <w:rFonts w:ascii="仿宋_GB2312" w:hAnsi="仿宋_GB2312" w:cs="仿宋_GB2312"/>
          <w:sz w:val="28"/>
          <w:szCs w:val="28"/>
        </w:rPr>
        <w:t>②</w:t>
      </w:r>
      <w:r>
        <w:rPr>
          <w:rFonts w:ascii="仿宋_GB2312" w:hAnsi="仿宋_GB2312" w:cs="仿宋_GB2312"/>
          <w:sz w:val="28"/>
          <w:szCs w:val="28"/>
        </w:rPr>
        <w:fldChar w:fldCharType="end"/>
      </w:r>
      <w:r>
        <w:rPr>
          <w:rFonts w:ascii="仿宋_GB2312" w:hAnsi="仿宋_GB2312" w:cs="仿宋_GB2312"/>
          <w:sz w:val="28"/>
          <w:szCs w:val="28"/>
        </w:rPr>
        <w:t>进一步了解应变片的构造及工作原理；</w:t>
      </w:r>
      <w:r>
        <w:rPr>
          <w:rFonts w:ascii="仿宋_GB2312" w:hAnsi="仿宋_GB2312" w:cs="仿宋_GB2312"/>
          <w:sz w:val="28"/>
          <w:szCs w:val="28"/>
        </w:rPr>
        <w:fldChar w:fldCharType="begin"/>
      </w:r>
      <w:r>
        <w:rPr>
          <w:rFonts w:ascii="仿宋_GB2312" w:hAnsi="仿宋_GB2312" w:cs="仿宋_GB2312"/>
          <w:sz w:val="28"/>
          <w:szCs w:val="28"/>
        </w:rPr>
        <w:instrText xml:space="preserve"> = 3 \* GB3 </w:instrText>
      </w:r>
      <w:r>
        <w:rPr>
          <w:rFonts w:ascii="仿宋_GB2312" w:hAnsi="仿宋_GB2312" w:cs="仿宋_GB2312"/>
          <w:sz w:val="28"/>
          <w:szCs w:val="28"/>
        </w:rPr>
        <w:fldChar w:fldCharType="separate"/>
      </w:r>
      <w:r>
        <w:rPr>
          <w:rFonts w:ascii="仿宋_GB2312" w:hAnsi="仿宋_GB2312" w:cs="仿宋_GB2312"/>
          <w:sz w:val="28"/>
          <w:szCs w:val="28"/>
        </w:rPr>
        <w:t>③</w:t>
      </w:r>
      <w:r>
        <w:rPr>
          <w:rFonts w:ascii="仿宋_GB2312" w:hAnsi="仿宋_GB2312" w:cs="仿宋_GB2312"/>
          <w:sz w:val="28"/>
          <w:szCs w:val="28"/>
        </w:rPr>
        <w:fldChar w:fldCharType="end"/>
      </w:r>
      <w:r>
        <w:rPr>
          <w:rFonts w:ascii="仿宋_GB2312" w:hAnsi="仿宋_GB2312" w:cs="仿宋_GB2312"/>
          <w:sz w:val="28"/>
          <w:szCs w:val="28"/>
        </w:rPr>
        <w:t>过贴片实验，掌握应变片的贴片工艺及技术要求。</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（3）应配备的主要设备名称和台套数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036"/>
        <w:gridCol w:w="1779"/>
        <w:gridCol w:w="1342"/>
        <w:gridCol w:w="1357"/>
      </w:tblGrid>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序号</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设备名称</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每组应配台套数</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现有台套数</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备注</w:t>
            </w: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悬臂钢梁</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8</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2</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万用表</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10</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3</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兆欧表</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6</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4</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电烙铁</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10</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bl>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3）实验项目名称：应变仪的使用方法及电阻应变测量技术的应用</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（1）实验内容：</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fldChar w:fldCharType="begin"/>
      </w:r>
      <w:r>
        <w:rPr>
          <w:rFonts w:ascii="仿宋_GB2312" w:hAnsi="仿宋_GB2312" w:cs="仿宋_GB2312"/>
          <w:sz w:val="28"/>
          <w:szCs w:val="28"/>
        </w:rPr>
        <w:instrText xml:space="preserve"> = 1 \* GB3 </w:instrText>
      </w:r>
      <w:r>
        <w:rPr>
          <w:rFonts w:ascii="仿宋_GB2312" w:hAnsi="仿宋_GB2312" w:cs="仿宋_GB2312"/>
          <w:sz w:val="28"/>
          <w:szCs w:val="28"/>
        </w:rPr>
        <w:fldChar w:fldCharType="separate"/>
      </w:r>
      <w:r>
        <w:rPr>
          <w:rFonts w:ascii="仿宋_GB2312" w:hAnsi="仿宋_GB2312" w:cs="仿宋_GB2312"/>
          <w:sz w:val="28"/>
          <w:szCs w:val="28"/>
        </w:rPr>
        <w:t>①</w:t>
      </w:r>
      <w:r>
        <w:rPr>
          <w:rFonts w:ascii="仿宋_GB2312" w:hAnsi="仿宋_GB2312" w:cs="仿宋_GB2312"/>
          <w:sz w:val="28"/>
          <w:szCs w:val="28"/>
        </w:rPr>
        <w:fldChar w:fldCharType="end"/>
      </w:r>
      <w:r>
        <w:rPr>
          <w:rFonts w:ascii="仿宋_GB2312" w:hAnsi="仿宋_GB2312" w:cs="仿宋_GB2312"/>
          <w:sz w:val="28"/>
          <w:szCs w:val="28"/>
        </w:rPr>
        <w:t>调节“灵敏度”使之符合测量要求；</w:t>
      </w:r>
      <w:r>
        <w:rPr>
          <w:rFonts w:ascii="仿宋_GB2312" w:hAnsi="仿宋_GB2312" w:cs="仿宋_GB2312"/>
          <w:sz w:val="28"/>
          <w:szCs w:val="28"/>
        </w:rPr>
        <w:fldChar w:fldCharType="begin"/>
      </w:r>
      <w:r>
        <w:rPr>
          <w:rFonts w:ascii="仿宋_GB2312" w:hAnsi="仿宋_GB2312" w:cs="仿宋_GB2312"/>
          <w:sz w:val="28"/>
          <w:szCs w:val="28"/>
        </w:rPr>
        <w:instrText xml:space="preserve"> = 2 \* GB3 </w:instrText>
      </w:r>
      <w:r>
        <w:rPr>
          <w:rFonts w:ascii="仿宋_GB2312" w:hAnsi="仿宋_GB2312" w:cs="仿宋_GB2312"/>
          <w:sz w:val="28"/>
          <w:szCs w:val="28"/>
        </w:rPr>
        <w:fldChar w:fldCharType="separate"/>
      </w:r>
      <w:r>
        <w:rPr>
          <w:rFonts w:ascii="仿宋_GB2312" w:hAnsi="仿宋_GB2312" w:cs="仿宋_GB2312"/>
          <w:sz w:val="28"/>
          <w:szCs w:val="28"/>
        </w:rPr>
        <w:t>②</w:t>
      </w:r>
      <w:r>
        <w:rPr>
          <w:rFonts w:ascii="仿宋_GB2312" w:hAnsi="仿宋_GB2312" w:cs="仿宋_GB2312"/>
          <w:sz w:val="28"/>
          <w:szCs w:val="28"/>
        </w:rPr>
        <w:fldChar w:fldCharType="end"/>
      </w:r>
      <w:r>
        <w:rPr>
          <w:rFonts w:ascii="仿宋_GB2312" w:hAnsi="仿宋_GB2312" w:cs="仿宋_GB2312"/>
          <w:sz w:val="28"/>
          <w:szCs w:val="28"/>
        </w:rPr>
        <w:t>利用上次实验贴好的应变片，根据不同桥路的连接方法与应变仪连接并进行测试；</w:t>
      </w:r>
      <w:r>
        <w:rPr>
          <w:rFonts w:ascii="仿宋_GB2312" w:hAnsi="仿宋_GB2312" w:cs="仿宋_GB2312"/>
          <w:sz w:val="28"/>
          <w:szCs w:val="28"/>
        </w:rPr>
        <w:fldChar w:fldCharType="begin"/>
      </w:r>
      <w:r>
        <w:rPr>
          <w:rFonts w:ascii="仿宋_GB2312" w:hAnsi="仿宋_GB2312" w:cs="仿宋_GB2312"/>
          <w:sz w:val="28"/>
          <w:szCs w:val="28"/>
        </w:rPr>
        <w:instrText xml:space="preserve"> = 3 \* GB3 </w:instrText>
      </w:r>
      <w:r>
        <w:rPr>
          <w:rFonts w:ascii="仿宋_GB2312" w:hAnsi="仿宋_GB2312" w:cs="仿宋_GB2312"/>
          <w:sz w:val="28"/>
          <w:szCs w:val="28"/>
        </w:rPr>
        <w:fldChar w:fldCharType="separate"/>
      </w:r>
      <w:r>
        <w:rPr>
          <w:rFonts w:ascii="仿宋_GB2312" w:hAnsi="仿宋_GB2312" w:cs="仿宋_GB2312"/>
          <w:sz w:val="28"/>
          <w:szCs w:val="28"/>
        </w:rPr>
        <w:t>③</w:t>
      </w:r>
      <w:r>
        <w:rPr>
          <w:rFonts w:ascii="仿宋_GB2312" w:hAnsi="仿宋_GB2312" w:cs="仿宋_GB2312"/>
          <w:sz w:val="28"/>
          <w:szCs w:val="28"/>
        </w:rPr>
        <w:fldChar w:fldCharType="end"/>
      </w:r>
      <w:r>
        <w:rPr>
          <w:rFonts w:ascii="仿宋_GB2312" w:hAnsi="仿宋_GB2312" w:cs="仿宋_GB2312"/>
          <w:sz w:val="28"/>
          <w:szCs w:val="28"/>
        </w:rPr>
        <w:t>详细记录每个测点的测量数据。</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（2）实验要求：</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fldChar w:fldCharType="begin"/>
      </w:r>
      <w:r>
        <w:rPr>
          <w:rFonts w:ascii="仿宋_GB2312" w:hAnsi="仿宋_GB2312" w:cs="仿宋_GB2312"/>
          <w:sz w:val="28"/>
          <w:szCs w:val="28"/>
        </w:rPr>
        <w:instrText xml:space="preserve"> = 1 \* GB3 </w:instrText>
      </w:r>
      <w:r>
        <w:rPr>
          <w:rFonts w:ascii="仿宋_GB2312" w:hAnsi="仿宋_GB2312" w:cs="仿宋_GB2312"/>
          <w:sz w:val="28"/>
          <w:szCs w:val="28"/>
        </w:rPr>
        <w:fldChar w:fldCharType="separate"/>
      </w:r>
      <w:r>
        <w:rPr>
          <w:rFonts w:ascii="仿宋_GB2312" w:hAnsi="仿宋_GB2312" w:cs="仿宋_GB2312"/>
          <w:sz w:val="28"/>
          <w:szCs w:val="28"/>
        </w:rPr>
        <w:t>①</w:t>
      </w:r>
      <w:r>
        <w:rPr>
          <w:rFonts w:ascii="仿宋_GB2312" w:hAnsi="仿宋_GB2312" w:cs="仿宋_GB2312"/>
          <w:sz w:val="28"/>
          <w:szCs w:val="28"/>
        </w:rPr>
        <w:fldChar w:fldCharType="end"/>
      </w:r>
      <w:r>
        <w:rPr>
          <w:rFonts w:ascii="仿宋_GB2312" w:hAnsi="仿宋_GB2312" w:cs="仿宋_GB2312"/>
          <w:sz w:val="28"/>
          <w:szCs w:val="28"/>
        </w:rPr>
        <w:t>通过实验熟悉静态电阻应变仪的工作原理及操作方法；</w:t>
      </w:r>
      <w:r>
        <w:rPr>
          <w:rFonts w:ascii="仿宋_GB2312" w:hAnsi="仿宋_GB2312" w:cs="仿宋_GB2312"/>
          <w:sz w:val="28"/>
          <w:szCs w:val="28"/>
        </w:rPr>
        <w:fldChar w:fldCharType="begin"/>
      </w:r>
      <w:r>
        <w:rPr>
          <w:rFonts w:ascii="仿宋_GB2312" w:hAnsi="仿宋_GB2312" w:cs="仿宋_GB2312"/>
          <w:sz w:val="28"/>
          <w:szCs w:val="28"/>
        </w:rPr>
        <w:instrText xml:space="preserve"> = 2 \* GB3 </w:instrText>
      </w:r>
      <w:r>
        <w:rPr>
          <w:rFonts w:ascii="仿宋_GB2312" w:hAnsi="仿宋_GB2312" w:cs="仿宋_GB2312"/>
          <w:sz w:val="28"/>
          <w:szCs w:val="28"/>
        </w:rPr>
        <w:fldChar w:fldCharType="separate"/>
      </w:r>
      <w:r>
        <w:rPr>
          <w:rFonts w:ascii="仿宋_GB2312" w:hAnsi="仿宋_GB2312" w:cs="仿宋_GB2312"/>
          <w:sz w:val="28"/>
          <w:szCs w:val="28"/>
        </w:rPr>
        <w:t>②</w:t>
      </w:r>
      <w:r>
        <w:rPr>
          <w:rFonts w:ascii="仿宋_GB2312" w:hAnsi="仿宋_GB2312" w:cs="仿宋_GB2312"/>
          <w:sz w:val="28"/>
          <w:szCs w:val="28"/>
        </w:rPr>
        <w:fldChar w:fldCharType="end"/>
      </w:r>
      <w:r>
        <w:rPr>
          <w:rFonts w:ascii="仿宋_GB2312" w:hAnsi="仿宋_GB2312" w:cs="仿宋_GB2312"/>
          <w:sz w:val="28"/>
          <w:szCs w:val="28"/>
        </w:rPr>
        <w:t>掌握电阻应变仪测量桥路的各种连接方法及实际应变与读数间的关系；</w:t>
      </w:r>
      <w:r>
        <w:rPr>
          <w:rFonts w:ascii="仿宋_GB2312" w:hAnsi="仿宋_GB2312" w:cs="仿宋_GB2312"/>
          <w:sz w:val="28"/>
          <w:szCs w:val="28"/>
        </w:rPr>
        <w:fldChar w:fldCharType="begin"/>
      </w:r>
      <w:r>
        <w:rPr>
          <w:rFonts w:ascii="仿宋_GB2312" w:hAnsi="仿宋_GB2312" w:cs="仿宋_GB2312"/>
          <w:sz w:val="28"/>
          <w:szCs w:val="28"/>
        </w:rPr>
        <w:instrText xml:space="preserve"> = 3 \* GB3 </w:instrText>
      </w:r>
      <w:r>
        <w:rPr>
          <w:rFonts w:ascii="仿宋_GB2312" w:hAnsi="仿宋_GB2312" w:cs="仿宋_GB2312"/>
          <w:sz w:val="28"/>
          <w:szCs w:val="28"/>
        </w:rPr>
        <w:fldChar w:fldCharType="separate"/>
      </w:r>
      <w:r>
        <w:rPr>
          <w:rFonts w:ascii="仿宋_GB2312" w:hAnsi="仿宋_GB2312" w:cs="仿宋_GB2312"/>
          <w:sz w:val="28"/>
          <w:szCs w:val="28"/>
        </w:rPr>
        <w:t>③</w:t>
      </w:r>
      <w:r>
        <w:rPr>
          <w:rFonts w:ascii="仿宋_GB2312" w:hAnsi="仿宋_GB2312" w:cs="仿宋_GB2312"/>
          <w:sz w:val="28"/>
          <w:szCs w:val="28"/>
        </w:rPr>
        <w:fldChar w:fldCharType="end"/>
      </w:r>
      <w:r>
        <w:rPr>
          <w:rFonts w:ascii="仿宋_GB2312" w:hAnsi="仿宋_GB2312" w:cs="仿宋_GB2312"/>
          <w:sz w:val="28"/>
          <w:szCs w:val="28"/>
        </w:rPr>
        <w:t>学会电阻应变片进行半桥及全桥测量时的组桥方法。</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（3）应配备的主要设备名称和台套数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036"/>
        <w:gridCol w:w="1779"/>
        <w:gridCol w:w="1342"/>
        <w:gridCol w:w="1357"/>
      </w:tblGrid>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lastRenderedPageBreak/>
              <w:t>序号</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设备名称</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每组应配台套数</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现有台套数</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备注</w:t>
            </w: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悬臂钢梁</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8</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2</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DH-3818</w:t>
            </w:r>
            <w:r>
              <w:rPr>
                <w:rFonts w:ascii="Times New Roman" w:eastAsia="华文中宋" w:hAnsi="Times New Roman"/>
                <w:sz w:val="21"/>
                <w:szCs w:val="21"/>
              </w:rPr>
              <w:t>静态应变仪</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10</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3</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万用表</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10</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4</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兆欧表</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6</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bl>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4）实验项目名称：钢桁架静力实验</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（1）实验内容：</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fldChar w:fldCharType="begin"/>
      </w:r>
      <w:r>
        <w:rPr>
          <w:rFonts w:ascii="仿宋_GB2312" w:hAnsi="仿宋_GB2312" w:cs="仿宋_GB2312"/>
          <w:sz w:val="28"/>
          <w:szCs w:val="28"/>
        </w:rPr>
        <w:instrText xml:space="preserve"> = 1 \* GB3 </w:instrText>
      </w:r>
      <w:r>
        <w:rPr>
          <w:rFonts w:ascii="仿宋_GB2312" w:hAnsi="仿宋_GB2312" w:cs="仿宋_GB2312"/>
          <w:sz w:val="28"/>
          <w:szCs w:val="28"/>
        </w:rPr>
        <w:fldChar w:fldCharType="separate"/>
      </w:r>
      <w:r>
        <w:rPr>
          <w:rFonts w:ascii="仿宋_GB2312" w:hAnsi="仿宋_GB2312" w:cs="仿宋_GB2312"/>
          <w:sz w:val="28"/>
          <w:szCs w:val="28"/>
        </w:rPr>
        <w:t>①</w:t>
      </w:r>
      <w:r>
        <w:rPr>
          <w:rFonts w:ascii="仿宋_GB2312" w:hAnsi="仿宋_GB2312" w:cs="仿宋_GB2312"/>
          <w:sz w:val="28"/>
          <w:szCs w:val="28"/>
        </w:rPr>
        <w:fldChar w:fldCharType="end"/>
      </w:r>
      <w:r>
        <w:rPr>
          <w:rFonts w:ascii="仿宋_GB2312" w:hAnsi="仿宋_GB2312" w:cs="仿宋_GB2312"/>
          <w:sz w:val="28"/>
          <w:szCs w:val="28"/>
        </w:rPr>
        <w:t>用百分表测量下弦各节点的挠度；</w:t>
      </w:r>
      <w:r>
        <w:rPr>
          <w:rFonts w:ascii="仿宋_GB2312" w:hAnsi="仿宋_GB2312" w:cs="仿宋_GB2312"/>
          <w:sz w:val="28"/>
          <w:szCs w:val="28"/>
        </w:rPr>
        <w:fldChar w:fldCharType="begin"/>
      </w:r>
      <w:r>
        <w:rPr>
          <w:rFonts w:ascii="仿宋_GB2312" w:hAnsi="仿宋_GB2312" w:cs="仿宋_GB2312"/>
          <w:sz w:val="28"/>
          <w:szCs w:val="28"/>
        </w:rPr>
        <w:instrText xml:space="preserve"> = 2 \* GB3 </w:instrText>
      </w:r>
      <w:r>
        <w:rPr>
          <w:rFonts w:ascii="仿宋_GB2312" w:hAnsi="仿宋_GB2312" w:cs="仿宋_GB2312"/>
          <w:sz w:val="28"/>
          <w:szCs w:val="28"/>
        </w:rPr>
        <w:fldChar w:fldCharType="separate"/>
      </w:r>
      <w:r>
        <w:rPr>
          <w:rFonts w:ascii="仿宋_GB2312" w:hAnsi="仿宋_GB2312" w:cs="仿宋_GB2312"/>
          <w:sz w:val="28"/>
          <w:szCs w:val="28"/>
        </w:rPr>
        <w:t>②</w:t>
      </w:r>
      <w:r>
        <w:rPr>
          <w:rFonts w:ascii="仿宋_GB2312" w:hAnsi="仿宋_GB2312" w:cs="仿宋_GB2312"/>
          <w:sz w:val="28"/>
          <w:szCs w:val="28"/>
        </w:rPr>
        <w:fldChar w:fldCharType="end"/>
      </w:r>
      <w:r>
        <w:rPr>
          <w:rFonts w:ascii="仿宋_GB2312" w:hAnsi="仿宋_GB2312" w:cs="仿宋_GB2312"/>
          <w:sz w:val="28"/>
          <w:szCs w:val="28"/>
        </w:rPr>
        <w:t>用百分表测量两支座的下沉变形；</w:t>
      </w:r>
      <w:r>
        <w:rPr>
          <w:rFonts w:ascii="仿宋_GB2312" w:hAnsi="仿宋_GB2312" w:cs="仿宋_GB2312"/>
          <w:sz w:val="28"/>
          <w:szCs w:val="28"/>
        </w:rPr>
        <w:fldChar w:fldCharType="begin"/>
      </w:r>
      <w:r>
        <w:rPr>
          <w:rFonts w:ascii="仿宋_GB2312" w:hAnsi="仿宋_GB2312" w:cs="仿宋_GB2312"/>
          <w:sz w:val="28"/>
          <w:szCs w:val="28"/>
        </w:rPr>
        <w:instrText xml:space="preserve"> = 3 \* GB3 </w:instrText>
      </w:r>
      <w:r>
        <w:rPr>
          <w:rFonts w:ascii="仿宋_GB2312" w:hAnsi="仿宋_GB2312" w:cs="仿宋_GB2312"/>
          <w:sz w:val="28"/>
          <w:szCs w:val="28"/>
        </w:rPr>
        <w:fldChar w:fldCharType="separate"/>
      </w:r>
      <w:r>
        <w:rPr>
          <w:rFonts w:ascii="仿宋_GB2312" w:hAnsi="仿宋_GB2312" w:cs="仿宋_GB2312"/>
          <w:sz w:val="28"/>
          <w:szCs w:val="28"/>
        </w:rPr>
        <w:t>③</w:t>
      </w:r>
      <w:r>
        <w:rPr>
          <w:rFonts w:ascii="仿宋_GB2312" w:hAnsi="仿宋_GB2312" w:cs="仿宋_GB2312"/>
          <w:sz w:val="28"/>
          <w:szCs w:val="28"/>
        </w:rPr>
        <w:fldChar w:fldCharType="end"/>
      </w:r>
      <w:r>
        <w:rPr>
          <w:rFonts w:ascii="仿宋_GB2312" w:hAnsi="仿宋_GB2312" w:cs="仿宋_GB2312"/>
          <w:sz w:val="28"/>
          <w:szCs w:val="28"/>
        </w:rPr>
        <w:t>用百分表测量桁架平面的侧向变形；</w:t>
      </w:r>
      <w:r>
        <w:rPr>
          <w:rFonts w:ascii="仿宋_GB2312" w:hAnsi="仿宋_GB2312" w:cs="仿宋_GB2312"/>
          <w:sz w:val="28"/>
          <w:szCs w:val="28"/>
        </w:rPr>
        <w:fldChar w:fldCharType="begin"/>
      </w:r>
      <w:r>
        <w:rPr>
          <w:rFonts w:ascii="仿宋_GB2312" w:hAnsi="仿宋_GB2312" w:cs="仿宋_GB2312"/>
          <w:sz w:val="28"/>
          <w:szCs w:val="28"/>
        </w:rPr>
        <w:instrText xml:space="preserve"> = 4 \* GB3 </w:instrText>
      </w:r>
      <w:r>
        <w:rPr>
          <w:rFonts w:ascii="仿宋_GB2312" w:hAnsi="仿宋_GB2312" w:cs="仿宋_GB2312"/>
          <w:sz w:val="28"/>
          <w:szCs w:val="28"/>
        </w:rPr>
        <w:fldChar w:fldCharType="separate"/>
      </w:r>
      <w:r>
        <w:rPr>
          <w:rFonts w:ascii="仿宋_GB2312" w:hAnsi="仿宋_GB2312" w:cs="仿宋_GB2312"/>
          <w:sz w:val="28"/>
          <w:szCs w:val="28"/>
        </w:rPr>
        <w:t>④</w:t>
      </w:r>
      <w:r>
        <w:rPr>
          <w:rFonts w:ascii="仿宋_GB2312" w:hAnsi="仿宋_GB2312" w:cs="仿宋_GB2312"/>
          <w:sz w:val="28"/>
          <w:szCs w:val="28"/>
        </w:rPr>
        <w:fldChar w:fldCharType="end"/>
      </w:r>
      <w:r>
        <w:rPr>
          <w:rFonts w:ascii="仿宋_GB2312" w:hAnsi="仿宋_GB2312" w:cs="仿宋_GB2312"/>
          <w:sz w:val="28"/>
          <w:szCs w:val="28"/>
        </w:rPr>
        <w:t>用电阻应变仪及电阻应变计测量桁架各杆件的应变及内力。</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（2）实验要求：</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fldChar w:fldCharType="begin"/>
      </w:r>
      <w:r>
        <w:rPr>
          <w:rFonts w:ascii="仿宋_GB2312" w:hAnsi="仿宋_GB2312" w:cs="仿宋_GB2312"/>
          <w:sz w:val="28"/>
          <w:szCs w:val="28"/>
        </w:rPr>
        <w:instrText xml:space="preserve"> = 1 \* GB3 </w:instrText>
      </w:r>
      <w:r>
        <w:rPr>
          <w:rFonts w:ascii="仿宋_GB2312" w:hAnsi="仿宋_GB2312" w:cs="仿宋_GB2312"/>
          <w:sz w:val="28"/>
          <w:szCs w:val="28"/>
        </w:rPr>
        <w:fldChar w:fldCharType="separate"/>
      </w:r>
      <w:r>
        <w:rPr>
          <w:rFonts w:ascii="仿宋_GB2312" w:hAnsi="仿宋_GB2312" w:cs="仿宋_GB2312"/>
          <w:sz w:val="28"/>
          <w:szCs w:val="28"/>
        </w:rPr>
        <w:t>①</w:t>
      </w:r>
      <w:r>
        <w:rPr>
          <w:rFonts w:ascii="仿宋_GB2312" w:hAnsi="仿宋_GB2312" w:cs="仿宋_GB2312"/>
          <w:sz w:val="28"/>
          <w:szCs w:val="28"/>
        </w:rPr>
        <w:fldChar w:fldCharType="end"/>
      </w:r>
      <w:r>
        <w:rPr>
          <w:rFonts w:ascii="仿宋_GB2312" w:hAnsi="仿宋_GB2312" w:cs="仿宋_GB2312"/>
          <w:sz w:val="28"/>
          <w:szCs w:val="28"/>
        </w:rPr>
        <w:t>通过实验进一步掌握常用仪器仪表的性能、安装及使用方法；</w:t>
      </w:r>
      <w:r>
        <w:rPr>
          <w:rFonts w:ascii="仿宋_GB2312" w:hAnsi="仿宋_GB2312" w:cs="仿宋_GB2312"/>
          <w:sz w:val="28"/>
          <w:szCs w:val="28"/>
        </w:rPr>
        <w:fldChar w:fldCharType="begin"/>
      </w:r>
      <w:r>
        <w:rPr>
          <w:rFonts w:ascii="仿宋_GB2312" w:hAnsi="仿宋_GB2312" w:cs="仿宋_GB2312"/>
          <w:sz w:val="28"/>
          <w:szCs w:val="28"/>
        </w:rPr>
        <w:instrText xml:space="preserve"> = 2 \* GB3 </w:instrText>
      </w:r>
      <w:r>
        <w:rPr>
          <w:rFonts w:ascii="仿宋_GB2312" w:hAnsi="仿宋_GB2312" w:cs="仿宋_GB2312"/>
          <w:sz w:val="28"/>
          <w:szCs w:val="28"/>
        </w:rPr>
        <w:fldChar w:fldCharType="separate"/>
      </w:r>
      <w:r>
        <w:rPr>
          <w:rFonts w:ascii="仿宋_GB2312" w:hAnsi="仿宋_GB2312" w:cs="仿宋_GB2312"/>
          <w:sz w:val="28"/>
          <w:szCs w:val="28"/>
        </w:rPr>
        <w:t>②</w:t>
      </w:r>
      <w:r>
        <w:rPr>
          <w:rFonts w:ascii="仿宋_GB2312" w:hAnsi="仿宋_GB2312" w:cs="仿宋_GB2312"/>
          <w:sz w:val="28"/>
          <w:szCs w:val="28"/>
        </w:rPr>
        <w:fldChar w:fldCharType="end"/>
      </w:r>
      <w:r>
        <w:rPr>
          <w:rFonts w:ascii="仿宋_GB2312" w:hAnsi="仿宋_GB2312" w:cs="仿宋_GB2312"/>
          <w:sz w:val="28"/>
          <w:szCs w:val="28"/>
        </w:rPr>
        <w:t>熟悉一般结构静载实验加载方案及观察方案的制定；</w:t>
      </w:r>
      <w:r>
        <w:rPr>
          <w:rFonts w:ascii="仿宋_GB2312" w:hAnsi="仿宋_GB2312" w:cs="仿宋_GB2312"/>
          <w:sz w:val="28"/>
          <w:szCs w:val="28"/>
        </w:rPr>
        <w:fldChar w:fldCharType="begin"/>
      </w:r>
      <w:r>
        <w:rPr>
          <w:rFonts w:ascii="仿宋_GB2312" w:hAnsi="仿宋_GB2312" w:cs="仿宋_GB2312"/>
          <w:sz w:val="28"/>
          <w:szCs w:val="28"/>
        </w:rPr>
        <w:instrText xml:space="preserve"> = 3 \* GB3 </w:instrText>
      </w:r>
      <w:r>
        <w:rPr>
          <w:rFonts w:ascii="仿宋_GB2312" w:hAnsi="仿宋_GB2312" w:cs="仿宋_GB2312"/>
          <w:sz w:val="28"/>
          <w:szCs w:val="28"/>
        </w:rPr>
        <w:fldChar w:fldCharType="separate"/>
      </w:r>
      <w:r>
        <w:rPr>
          <w:rFonts w:ascii="仿宋_GB2312" w:hAnsi="仿宋_GB2312" w:cs="仿宋_GB2312"/>
          <w:sz w:val="28"/>
          <w:szCs w:val="28"/>
        </w:rPr>
        <w:t>③</w:t>
      </w:r>
      <w:r>
        <w:rPr>
          <w:rFonts w:ascii="仿宋_GB2312" w:hAnsi="仿宋_GB2312" w:cs="仿宋_GB2312"/>
          <w:sz w:val="28"/>
          <w:szCs w:val="28"/>
        </w:rPr>
        <w:fldChar w:fldCharType="end"/>
      </w:r>
      <w:r>
        <w:rPr>
          <w:rFonts w:ascii="仿宋_GB2312" w:hAnsi="仿宋_GB2312" w:cs="仿宋_GB2312"/>
          <w:sz w:val="28"/>
          <w:szCs w:val="28"/>
        </w:rPr>
        <w:t>掌握桁架应变及位移测点布置的方法和要求；</w:t>
      </w:r>
      <w:r>
        <w:rPr>
          <w:rFonts w:ascii="仿宋_GB2312" w:hAnsi="仿宋_GB2312" w:cs="仿宋_GB2312"/>
          <w:sz w:val="28"/>
          <w:szCs w:val="28"/>
        </w:rPr>
        <w:fldChar w:fldCharType="begin"/>
      </w:r>
      <w:r>
        <w:rPr>
          <w:rFonts w:ascii="仿宋_GB2312" w:hAnsi="仿宋_GB2312" w:cs="仿宋_GB2312"/>
          <w:sz w:val="28"/>
          <w:szCs w:val="28"/>
        </w:rPr>
        <w:instrText xml:space="preserve"> = 4 \* GB3 </w:instrText>
      </w:r>
      <w:r>
        <w:rPr>
          <w:rFonts w:ascii="仿宋_GB2312" w:hAnsi="仿宋_GB2312" w:cs="仿宋_GB2312"/>
          <w:sz w:val="28"/>
          <w:szCs w:val="28"/>
        </w:rPr>
        <w:fldChar w:fldCharType="separate"/>
      </w:r>
      <w:r>
        <w:rPr>
          <w:rFonts w:ascii="仿宋_GB2312" w:hAnsi="仿宋_GB2312" w:cs="仿宋_GB2312"/>
          <w:sz w:val="28"/>
          <w:szCs w:val="28"/>
        </w:rPr>
        <w:t>④</w:t>
      </w:r>
      <w:r>
        <w:rPr>
          <w:rFonts w:ascii="仿宋_GB2312" w:hAnsi="仿宋_GB2312" w:cs="仿宋_GB2312"/>
          <w:sz w:val="28"/>
          <w:szCs w:val="28"/>
        </w:rPr>
        <w:fldChar w:fldCharType="end"/>
      </w:r>
      <w:r>
        <w:rPr>
          <w:rFonts w:ascii="仿宋_GB2312" w:hAnsi="仿宋_GB2312" w:cs="仿宋_GB2312"/>
          <w:sz w:val="28"/>
          <w:szCs w:val="28"/>
        </w:rPr>
        <w:t>通过实验对桁架结构性能进行分析，并验证理论计算的准确性。</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（3）应配备的主要设备名称和台套数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036"/>
        <w:gridCol w:w="1779"/>
        <w:gridCol w:w="1342"/>
        <w:gridCol w:w="1357"/>
      </w:tblGrid>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序号</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设备名称</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每组应配台套数</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现有台套数</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备注</w:t>
            </w: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DH-3818</w:t>
            </w:r>
            <w:r>
              <w:rPr>
                <w:rFonts w:ascii="Times New Roman" w:eastAsia="华文中宋" w:hAnsi="Times New Roman"/>
                <w:sz w:val="21"/>
                <w:szCs w:val="21"/>
              </w:rPr>
              <w:t>静态应变仪</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4</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10</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2</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邦威</w:t>
            </w:r>
            <w:r>
              <w:rPr>
                <w:rFonts w:ascii="Times New Roman" w:eastAsia="华文中宋" w:hAnsi="Times New Roman" w:hint="eastAsia"/>
                <w:sz w:val="21"/>
                <w:szCs w:val="21"/>
              </w:rPr>
              <w:t>5</w:t>
            </w:r>
            <w:r>
              <w:rPr>
                <w:rFonts w:ascii="Times New Roman" w:eastAsia="华文中宋" w:hAnsi="Times New Roman"/>
                <w:sz w:val="21"/>
                <w:szCs w:val="21"/>
              </w:rPr>
              <w:t>0</w:t>
            </w:r>
            <w:r>
              <w:rPr>
                <w:rFonts w:ascii="Times New Roman" w:eastAsia="华文中宋" w:hAnsi="Times New Roman" w:hint="eastAsia"/>
                <w:sz w:val="21"/>
                <w:szCs w:val="21"/>
              </w:rPr>
              <w:t>t</w:t>
            </w:r>
            <w:r>
              <w:rPr>
                <w:rFonts w:ascii="Times New Roman" w:eastAsia="华文中宋" w:hAnsi="Times New Roman" w:hint="eastAsia"/>
                <w:sz w:val="21"/>
                <w:szCs w:val="21"/>
              </w:rPr>
              <w:t>电液伺服作动器</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2</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3</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百分表</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8</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20</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bl>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5）实验项目名称：结构动载实验</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（1）实验内容：</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fldChar w:fldCharType="begin"/>
      </w:r>
      <w:r>
        <w:rPr>
          <w:rFonts w:ascii="仿宋_GB2312" w:hAnsi="仿宋_GB2312" w:cs="仿宋_GB2312"/>
          <w:sz w:val="28"/>
          <w:szCs w:val="28"/>
        </w:rPr>
        <w:instrText xml:space="preserve"> = 1 \* GB3 </w:instrText>
      </w:r>
      <w:r>
        <w:rPr>
          <w:rFonts w:ascii="仿宋_GB2312" w:hAnsi="仿宋_GB2312" w:cs="仿宋_GB2312"/>
          <w:sz w:val="28"/>
          <w:szCs w:val="28"/>
        </w:rPr>
        <w:fldChar w:fldCharType="separate"/>
      </w:r>
      <w:r>
        <w:rPr>
          <w:rFonts w:ascii="仿宋_GB2312" w:hAnsi="仿宋_GB2312" w:cs="仿宋_GB2312"/>
          <w:sz w:val="28"/>
          <w:szCs w:val="28"/>
        </w:rPr>
        <w:t>①</w:t>
      </w:r>
      <w:r>
        <w:rPr>
          <w:rFonts w:ascii="仿宋_GB2312" w:hAnsi="仿宋_GB2312" w:cs="仿宋_GB2312"/>
          <w:sz w:val="28"/>
          <w:szCs w:val="28"/>
        </w:rPr>
        <w:fldChar w:fldCharType="end"/>
      </w:r>
      <w:r>
        <w:rPr>
          <w:rFonts w:ascii="仿宋_GB2312" w:hAnsi="仿宋_GB2312" w:cs="仿宋_GB2312"/>
          <w:sz w:val="28"/>
          <w:szCs w:val="28"/>
        </w:rPr>
        <w:t>采用自由振动方法，通过粘贴在试件上的应变传感器来感受振动信号，把应变传感器输出的应变信号，输入到动态数据采集系统，</w:t>
      </w:r>
      <w:r>
        <w:rPr>
          <w:rFonts w:ascii="仿宋_GB2312" w:hAnsi="仿宋_GB2312" w:cs="仿宋_GB2312"/>
          <w:sz w:val="28"/>
          <w:szCs w:val="28"/>
        </w:rPr>
        <w:lastRenderedPageBreak/>
        <w:t>经放大后将实验构件的振动曲线记录下来，根据实验记录曲线计算出实验构件的自振频率及阻尼比；</w:t>
      </w:r>
      <w:r>
        <w:rPr>
          <w:rFonts w:ascii="仿宋_GB2312" w:hAnsi="仿宋_GB2312" w:cs="仿宋_GB2312"/>
          <w:sz w:val="28"/>
          <w:szCs w:val="28"/>
        </w:rPr>
        <w:fldChar w:fldCharType="begin"/>
      </w:r>
      <w:r>
        <w:rPr>
          <w:rFonts w:ascii="仿宋_GB2312" w:hAnsi="仿宋_GB2312" w:cs="仿宋_GB2312"/>
          <w:sz w:val="28"/>
          <w:szCs w:val="28"/>
        </w:rPr>
        <w:instrText xml:space="preserve"> = 2 \* GB3 </w:instrText>
      </w:r>
      <w:r>
        <w:rPr>
          <w:rFonts w:ascii="仿宋_GB2312" w:hAnsi="仿宋_GB2312" w:cs="仿宋_GB2312"/>
          <w:sz w:val="28"/>
          <w:szCs w:val="28"/>
        </w:rPr>
        <w:fldChar w:fldCharType="separate"/>
      </w:r>
      <w:r>
        <w:rPr>
          <w:rFonts w:ascii="仿宋_GB2312" w:hAnsi="仿宋_GB2312" w:cs="仿宋_GB2312"/>
          <w:sz w:val="28"/>
          <w:szCs w:val="28"/>
        </w:rPr>
        <w:t>②</w:t>
      </w:r>
      <w:r>
        <w:rPr>
          <w:rFonts w:ascii="仿宋_GB2312" w:hAnsi="仿宋_GB2312" w:cs="仿宋_GB2312"/>
          <w:sz w:val="28"/>
          <w:szCs w:val="28"/>
        </w:rPr>
        <w:fldChar w:fldCharType="end"/>
      </w:r>
      <w:r>
        <w:rPr>
          <w:rFonts w:ascii="仿宋_GB2312" w:hAnsi="仿宋_GB2312" w:cs="仿宋_GB2312"/>
          <w:sz w:val="28"/>
          <w:szCs w:val="28"/>
        </w:rPr>
        <w:t>采用强迫共振法，利用激振器带动结构模型作强迫振动，将加速度计所采集到的结构共振信号输入到动态数据采集系统，根据采集系统记录的结构共振曲线，再利用分析软件计算出结构模型自振频率、阻尼比及振型。</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（2）实验要求：</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fldChar w:fldCharType="begin"/>
      </w:r>
      <w:r>
        <w:rPr>
          <w:rFonts w:ascii="仿宋_GB2312" w:hAnsi="仿宋_GB2312" w:cs="仿宋_GB2312"/>
          <w:sz w:val="28"/>
          <w:szCs w:val="28"/>
        </w:rPr>
        <w:instrText xml:space="preserve"> = 1 \* GB3 </w:instrText>
      </w:r>
      <w:r>
        <w:rPr>
          <w:rFonts w:ascii="仿宋_GB2312" w:hAnsi="仿宋_GB2312" w:cs="仿宋_GB2312"/>
          <w:sz w:val="28"/>
          <w:szCs w:val="28"/>
        </w:rPr>
        <w:fldChar w:fldCharType="separate"/>
      </w:r>
      <w:r>
        <w:rPr>
          <w:rFonts w:ascii="仿宋_GB2312" w:hAnsi="仿宋_GB2312" w:cs="仿宋_GB2312"/>
          <w:sz w:val="28"/>
          <w:szCs w:val="28"/>
        </w:rPr>
        <w:t>①</w:t>
      </w:r>
      <w:r>
        <w:rPr>
          <w:rFonts w:ascii="仿宋_GB2312" w:hAnsi="仿宋_GB2312" w:cs="仿宋_GB2312"/>
          <w:sz w:val="28"/>
          <w:szCs w:val="28"/>
        </w:rPr>
        <w:fldChar w:fldCharType="end"/>
      </w:r>
      <w:r>
        <w:rPr>
          <w:rFonts w:ascii="仿宋_GB2312" w:hAnsi="仿宋_GB2312" w:cs="仿宋_GB2312"/>
          <w:sz w:val="28"/>
          <w:szCs w:val="28"/>
        </w:rPr>
        <w:t>通过实验掌握动载实验测量系统的组成、仪器操作和联机使用方法；</w:t>
      </w:r>
      <w:r>
        <w:rPr>
          <w:rFonts w:ascii="仿宋_GB2312" w:hAnsi="仿宋_GB2312" w:cs="仿宋_GB2312"/>
          <w:sz w:val="28"/>
          <w:szCs w:val="28"/>
        </w:rPr>
        <w:fldChar w:fldCharType="begin"/>
      </w:r>
      <w:r>
        <w:rPr>
          <w:rFonts w:ascii="仿宋_GB2312" w:hAnsi="仿宋_GB2312" w:cs="仿宋_GB2312"/>
          <w:sz w:val="28"/>
          <w:szCs w:val="28"/>
        </w:rPr>
        <w:instrText xml:space="preserve"> = 2 \* GB3 </w:instrText>
      </w:r>
      <w:r>
        <w:rPr>
          <w:rFonts w:ascii="仿宋_GB2312" w:hAnsi="仿宋_GB2312" w:cs="仿宋_GB2312"/>
          <w:sz w:val="28"/>
          <w:szCs w:val="28"/>
        </w:rPr>
        <w:fldChar w:fldCharType="separate"/>
      </w:r>
      <w:r>
        <w:rPr>
          <w:rFonts w:ascii="仿宋_GB2312" w:hAnsi="仿宋_GB2312" w:cs="仿宋_GB2312"/>
          <w:sz w:val="28"/>
          <w:szCs w:val="28"/>
        </w:rPr>
        <w:t>②</w:t>
      </w:r>
      <w:r>
        <w:rPr>
          <w:rFonts w:ascii="仿宋_GB2312" w:hAnsi="仿宋_GB2312" w:cs="仿宋_GB2312"/>
          <w:sz w:val="28"/>
          <w:szCs w:val="28"/>
        </w:rPr>
        <w:fldChar w:fldCharType="end"/>
      </w:r>
      <w:r>
        <w:rPr>
          <w:rFonts w:ascii="仿宋_GB2312" w:hAnsi="仿宋_GB2312" w:cs="仿宋_GB2312"/>
          <w:sz w:val="28"/>
          <w:szCs w:val="28"/>
        </w:rPr>
        <w:t>掌握用自由振动和强迫振动法（共振法）测定结构的动力特性，并分析振动曲线求解结构体系的自振频率及阻尼比；</w:t>
      </w:r>
      <w:r>
        <w:rPr>
          <w:rFonts w:ascii="仿宋_GB2312" w:hAnsi="仿宋_GB2312" w:cs="仿宋_GB2312"/>
          <w:sz w:val="28"/>
          <w:szCs w:val="28"/>
        </w:rPr>
        <w:fldChar w:fldCharType="begin"/>
      </w:r>
      <w:r>
        <w:rPr>
          <w:rFonts w:ascii="仿宋_GB2312" w:hAnsi="仿宋_GB2312" w:cs="仿宋_GB2312"/>
          <w:sz w:val="28"/>
          <w:szCs w:val="28"/>
        </w:rPr>
        <w:instrText xml:space="preserve"> = 3 \* GB3 </w:instrText>
      </w:r>
      <w:r>
        <w:rPr>
          <w:rFonts w:ascii="仿宋_GB2312" w:hAnsi="仿宋_GB2312" w:cs="仿宋_GB2312"/>
          <w:sz w:val="28"/>
          <w:szCs w:val="28"/>
        </w:rPr>
        <w:fldChar w:fldCharType="separate"/>
      </w:r>
      <w:r>
        <w:rPr>
          <w:rFonts w:ascii="仿宋_GB2312" w:hAnsi="仿宋_GB2312" w:cs="仿宋_GB2312"/>
          <w:sz w:val="28"/>
          <w:szCs w:val="28"/>
        </w:rPr>
        <w:t>③</w:t>
      </w:r>
      <w:r>
        <w:rPr>
          <w:rFonts w:ascii="仿宋_GB2312" w:hAnsi="仿宋_GB2312" w:cs="仿宋_GB2312"/>
          <w:sz w:val="28"/>
          <w:szCs w:val="28"/>
        </w:rPr>
        <w:fldChar w:fldCharType="end"/>
      </w:r>
      <w:r>
        <w:rPr>
          <w:rFonts w:ascii="仿宋_GB2312" w:hAnsi="仿宋_GB2312" w:cs="仿宋_GB2312"/>
          <w:sz w:val="28"/>
          <w:szCs w:val="28"/>
        </w:rPr>
        <w:t>通过实验掌握结构力学中柔度计算方法、自振频率以及阻尼比的计算方法。</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（3）应配备的主要设备名称和台套数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036"/>
        <w:gridCol w:w="1779"/>
        <w:gridCol w:w="1342"/>
        <w:gridCol w:w="1357"/>
      </w:tblGrid>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序号</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设备名称</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每组应配台套数</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现有台套数</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备注</w:t>
            </w: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动态信号测试分析系统</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2</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4</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2</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应变适调器</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3</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ICP</w:t>
            </w:r>
            <w:r>
              <w:rPr>
                <w:rFonts w:ascii="Times New Roman" w:eastAsia="华文中宋" w:hAnsi="Times New Roman"/>
                <w:sz w:val="21"/>
                <w:szCs w:val="21"/>
              </w:rPr>
              <w:t>加速度计</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4</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DH1301</w:t>
            </w:r>
            <w:r>
              <w:rPr>
                <w:rFonts w:ascii="Times New Roman" w:eastAsia="华文中宋" w:hAnsi="Times New Roman"/>
                <w:sz w:val="21"/>
                <w:szCs w:val="21"/>
              </w:rPr>
              <w:t>扫描信号发生器</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5</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JZ-5</w:t>
            </w:r>
            <w:r>
              <w:rPr>
                <w:rFonts w:ascii="Times New Roman" w:eastAsia="华文中宋" w:hAnsi="Times New Roman"/>
                <w:sz w:val="21"/>
                <w:szCs w:val="21"/>
              </w:rPr>
              <w:t>型电磁式激振器</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6</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HEAS-10</w:t>
            </w:r>
            <w:r>
              <w:rPr>
                <w:rFonts w:ascii="Times New Roman" w:eastAsia="华文中宋" w:hAnsi="Times New Roman"/>
                <w:sz w:val="21"/>
                <w:szCs w:val="21"/>
              </w:rPr>
              <w:t>功率放大器</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bl>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6）实验项目名称：砼结构非破损检测技术的应用</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（1）实验内容：</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fldChar w:fldCharType="begin"/>
      </w:r>
      <w:r>
        <w:rPr>
          <w:rFonts w:ascii="仿宋_GB2312" w:hAnsi="仿宋_GB2312" w:cs="仿宋_GB2312"/>
          <w:sz w:val="28"/>
          <w:szCs w:val="28"/>
        </w:rPr>
        <w:instrText xml:space="preserve"> = 1 \* GB3 </w:instrText>
      </w:r>
      <w:r>
        <w:rPr>
          <w:rFonts w:ascii="仿宋_GB2312" w:hAnsi="仿宋_GB2312" w:cs="仿宋_GB2312"/>
          <w:sz w:val="28"/>
          <w:szCs w:val="28"/>
        </w:rPr>
        <w:fldChar w:fldCharType="separate"/>
      </w:r>
      <w:r>
        <w:rPr>
          <w:rFonts w:ascii="仿宋_GB2312" w:hAnsi="仿宋_GB2312" w:cs="仿宋_GB2312"/>
          <w:sz w:val="28"/>
          <w:szCs w:val="28"/>
        </w:rPr>
        <w:t>①</w:t>
      </w:r>
      <w:r>
        <w:rPr>
          <w:rFonts w:ascii="仿宋_GB2312" w:hAnsi="仿宋_GB2312" w:cs="仿宋_GB2312"/>
          <w:sz w:val="28"/>
          <w:szCs w:val="28"/>
        </w:rPr>
        <w:fldChar w:fldCharType="end"/>
      </w:r>
      <w:r>
        <w:rPr>
          <w:rFonts w:ascii="仿宋_GB2312" w:hAnsi="仿宋_GB2312" w:cs="仿宋_GB2312"/>
          <w:sz w:val="28"/>
          <w:szCs w:val="28"/>
        </w:rPr>
        <w:t>回弹法</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回弹法测试并评定混凝土抗压强度是工程中应用较多的一种方法，适用于混凝土龄期14～1000天，抗压强度为10～60MPa，自然养护的普通混凝土。其方法是用专用回弹仪在混凝土表面进行回弹测试，</w:t>
      </w:r>
      <w:r>
        <w:rPr>
          <w:rFonts w:ascii="仿宋_GB2312" w:hAnsi="仿宋_GB2312" w:cs="仿宋_GB2312"/>
          <w:sz w:val="28"/>
          <w:szCs w:val="28"/>
        </w:rPr>
        <w:lastRenderedPageBreak/>
        <w:t>测出混凝土的回弹值，同时用浓度为1%的酚酞溶液测出混凝土的碳化深度值。根据回弹值和碳化深度值，结合专用的测强曲线或强度换算表，即可得到混凝土抗压强度测试值。</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fldChar w:fldCharType="begin"/>
      </w:r>
      <w:r>
        <w:rPr>
          <w:rFonts w:ascii="仿宋_GB2312" w:hAnsi="仿宋_GB2312" w:cs="仿宋_GB2312"/>
          <w:sz w:val="28"/>
          <w:szCs w:val="28"/>
        </w:rPr>
        <w:instrText xml:space="preserve"> = 2 \* GB3 </w:instrText>
      </w:r>
      <w:r>
        <w:rPr>
          <w:rFonts w:ascii="仿宋_GB2312" w:hAnsi="仿宋_GB2312" w:cs="仿宋_GB2312"/>
          <w:sz w:val="28"/>
          <w:szCs w:val="28"/>
        </w:rPr>
        <w:fldChar w:fldCharType="separate"/>
      </w:r>
      <w:r>
        <w:rPr>
          <w:rFonts w:ascii="仿宋_GB2312" w:hAnsi="仿宋_GB2312" w:cs="仿宋_GB2312"/>
          <w:sz w:val="28"/>
          <w:szCs w:val="28"/>
        </w:rPr>
        <w:t>②</w:t>
      </w:r>
      <w:r>
        <w:rPr>
          <w:rFonts w:ascii="仿宋_GB2312" w:hAnsi="仿宋_GB2312" w:cs="仿宋_GB2312"/>
          <w:sz w:val="28"/>
          <w:szCs w:val="28"/>
        </w:rPr>
        <w:fldChar w:fldCharType="end"/>
      </w:r>
      <w:r>
        <w:rPr>
          <w:rFonts w:ascii="仿宋_GB2312" w:hAnsi="仿宋_GB2312" w:cs="仿宋_GB2312"/>
          <w:sz w:val="28"/>
          <w:szCs w:val="28"/>
        </w:rPr>
        <w:t>超声回弹综合法</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超声回弹综合法检测混凝土强度是一种利用回弹仪测得混凝土的回弹值和非金属超声波探测仪测地超声波在混凝土中的传播速度，即波速，并根据已知的测强曲线及推算公式来评定混凝土的抗压强度。</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fldChar w:fldCharType="begin"/>
      </w:r>
      <w:r>
        <w:rPr>
          <w:rFonts w:ascii="仿宋_GB2312" w:hAnsi="仿宋_GB2312" w:cs="仿宋_GB2312"/>
          <w:sz w:val="28"/>
          <w:szCs w:val="28"/>
        </w:rPr>
        <w:instrText xml:space="preserve"> = 3 \* GB3 </w:instrText>
      </w:r>
      <w:r>
        <w:rPr>
          <w:rFonts w:ascii="仿宋_GB2312" w:hAnsi="仿宋_GB2312" w:cs="仿宋_GB2312"/>
          <w:sz w:val="28"/>
          <w:szCs w:val="28"/>
        </w:rPr>
        <w:fldChar w:fldCharType="separate"/>
      </w:r>
      <w:r>
        <w:rPr>
          <w:rFonts w:ascii="仿宋_GB2312" w:hAnsi="仿宋_GB2312" w:cs="仿宋_GB2312"/>
          <w:sz w:val="28"/>
          <w:szCs w:val="28"/>
        </w:rPr>
        <w:t>③</w:t>
      </w:r>
      <w:r>
        <w:rPr>
          <w:rFonts w:ascii="仿宋_GB2312" w:hAnsi="仿宋_GB2312" w:cs="仿宋_GB2312"/>
          <w:sz w:val="28"/>
          <w:szCs w:val="28"/>
        </w:rPr>
        <w:fldChar w:fldCharType="end"/>
      </w:r>
      <w:r>
        <w:rPr>
          <w:rFonts w:ascii="仿宋_GB2312" w:hAnsi="仿宋_GB2312" w:cs="仿宋_GB2312"/>
          <w:sz w:val="28"/>
          <w:szCs w:val="28"/>
        </w:rPr>
        <w:t>钻芯法</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钻芯法是在混凝土结构有代表性部位，用混凝土钻芯机取芯样，经加工处理后，制作成标准试样，测定其抗压强度，经换算可得相应龄期的150mm立方体试块的抗压强度。</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（2）实验要求：</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fldChar w:fldCharType="begin"/>
      </w:r>
      <w:r>
        <w:rPr>
          <w:rFonts w:ascii="仿宋_GB2312" w:hAnsi="仿宋_GB2312" w:cs="仿宋_GB2312"/>
          <w:sz w:val="28"/>
          <w:szCs w:val="28"/>
        </w:rPr>
        <w:instrText xml:space="preserve"> = 1 \* GB3 </w:instrText>
      </w:r>
      <w:r>
        <w:rPr>
          <w:rFonts w:ascii="仿宋_GB2312" w:hAnsi="仿宋_GB2312" w:cs="仿宋_GB2312"/>
          <w:sz w:val="28"/>
          <w:szCs w:val="28"/>
        </w:rPr>
        <w:fldChar w:fldCharType="separate"/>
      </w:r>
      <w:r>
        <w:rPr>
          <w:rFonts w:ascii="仿宋_GB2312" w:hAnsi="仿宋_GB2312" w:cs="仿宋_GB2312"/>
          <w:sz w:val="28"/>
          <w:szCs w:val="28"/>
        </w:rPr>
        <w:t>①</w:t>
      </w:r>
      <w:r>
        <w:rPr>
          <w:rFonts w:ascii="仿宋_GB2312" w:hAnsi="仿宋_GB2312" w:cs="仿宋_GB2312"/>
          <w:sz w:val="28"/>
          <w:szCs w:val="28"/>
        </w:rPr>
        <w:fldChar w:fldCharType="end"/>
      </w:r>
      <w:r>
        <w:rPr>
          <w:rFonts w:ascii="仿宋_GB2312" w:hAnsi="仿宋_GB2312" w:cs="仿宋_GB2312"/>
          <w:sz w:val="28"/>
          <w:szCs w:val="28"/>
        </w:rPr>
        <w:t>通过实验掌握构件混凝土强度无损检测技术的应用范围、方法及仪器设备；</w:t>
      </w:r>
      <w:r>
        <w:rPr>
          <w:rFonts w:ascii="仿宋_GB2312" w:hAnsi="仿宋_GB2312" w:cs="仿宋_GB2312"/>
          <w:sz w:val="28"/>
          <w:szCs w:val="28"/>
        </w:rPr>
        <w:fldChar w:fldCharType="begin"/>
      </w:r>
      <w:r>
        <w:rPr>
          <w:rFonts w:ascii="仿宋_GB2312" w:hAnsi="仿宋_GB2312" w:cs="仿宋_GB2312"/>
          <w:sz w:val="28"/>
          <w:szCs w:val="28"/>
        </w:rPr>
        <w:instrText xml:space="preserve"> = 2 \* GB3 </w:instrText>
      </w:r>
      <w:r>
        <w:rPr>
          <w:rFonts w:ascii="仿宋_GB2312" w:hAnsi="仿宋_GB2312" w:cs="仿宋_GB2312"/>
          <w:sz w:val="28"/>
          <w:szCs w:val="28"/>
        </w:rPr>
        <w:fldChar w:fldCharType="separate"/>
      </w:r>
      <w:r>
        <w:rPr>
          <w:rFonts w:ascii="仿宋_GB2312" w:hAnsi="仿宋_GB2312" w:cs="仿宋_GB2312"/>
          <w:sz w:val="28"/>
          <w:szCs w:val="28"/>
        </w:rPr>
        <w:t>②</w:t>
      </w:r>
      <w:r>
        <w:rPr>
          <w:rFonts w:ascii="仿宋_GB2312" w:hAnsi="仿宋_GB2312" w:cs="仿宋_GB2312"/>
          <w:sz w:val="28"/>
          <w:szCs w:val="28"/>
        </w:rPr>
        <w:fldChar w:fldCharType="end"/>
      </w:r>
      <w:r>
        <w:rPr>
          <w:rFonts w:ascii="仿宋_GB2312" w:hAnsi="仿宋_GB2312" w:cs="仿宋_GB2312"/>
          <w:sz w:val="28"/>
          <w:szCs w:val="28"/>
        </w:rPr>
        <w:t>掌握用回弹法检测和评定混凝土强度的方法，并熟悉其具体测试步骤；</w:t>
      </w:r>
      <w:r>
        <w:rPr>
          <w:rFonts w:ascii="仿宋_GB2312" w:hAnsi="仿宋_GB2312" w:cs="仿宋_GB2312"/>
          <w:sz w:val="28"/>
          <w:szCs w:val="28"/>
        </w:rPr>
        <w:fldChar w:fldCharType="begin"/>
      </w:r>
      <w:r>
        <w:rPr>
          <w:rFonts w:ascii="仿宋_GB2312" w:hAnsi="仿宋_GB2312" w:cs="仿宋_GB2312"/>
          <w:sz w:val="28"/>
          <w:szCs w:val="28"/>
        </w:rPr>
        <w:instrText xml:space="preserve"> = 3 \* GB3 </w:instrText>
      </w:r>
      <w:r>
        <w:rPr>
          <w:rFonts w:ascii="仿宋_GB2312" w:hAnsi="仿宋_GB2312" w:cs="仿宋_GB2312"/>
          <w:sz w:val="28"/>
          <w:szCs w:val="28"/>
        </w:rPr>
        <w:fldChar w:fldCharType="separate"/>
      </w:r>
      <w:r>
        <w:rPr>
          <w:rFonts w:ascii="仿宋_GB2312" w:hAnsi="仿宋_GB2312" w:cs="仿宋_GB2312"/>
          <w:sz w:val="28"/>
          <w:szCs w:val="28"/>
        </w:rPr>
        <w:t>③</w:t>
      </w:r>
      <w:r>
        <w:rPr>
          <w:rFonts w:ascii="仿宋_GB2312" w:hAnsi="仿宋_GB2312" w:cs="仿宋_GB2312"/>
          <w:sz w:val="28"/>
          <w:szCs w:val="28"/>
        </w:rPr>
        <w:fldChar w:fldCharType="end"/>
      </w:r>
      <w:r>
        <w:rPr>
          <w:rFonts w:ascii="仿宋_GB2312" w:hAnsi="仿宋_GB2312" w:cs="仿宋_GB2312"/>
          <w:sz w:val="28"/>
          <w:szCs w:val="28"/>
        </w:rPr>
        <w:t>熟悉超声回弹综合法和钻芯法检测混凝土强度的主要设备及测试强度评定方法。</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（3）应配备的主要设备名称和台套数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036"/>
        <w:gridCol w:w="1779"/>
        <w:gridCol w:w="1342"/>
        <w:gridCol w:w="1357"/>
      </w:tblGrid>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序号</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设备名称</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每组应配台套数</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现有台套数</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备注</w:t>
            </w: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ZC3-A</w:t>
            </w:r>
            <w:r>
              <w:rPr>
                <w:rFonts w:ascii="Times New Roman" w:eastAsia="华文中宋" w:hAnsi="Times New Roman"/>
                <w:sz w:val="21"/>
                <w:szCs w:val="21"/>
              </w:rPr>
              <w:t>型回弹仪</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4</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6</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2</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非金属超声检测分析仪</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3</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HZQ-150B</w:t>
            </w:r>
            <w:r>
              <w:rPr>
                <w:rFonts w:ascii="Times New Roman" w:eastAsia="华文中宋" w:hAnsi="Times New Roman"/>
                <w:sz w:val="21"/>
                <w:szCs w:val="21"/>
              </w:rPr>
              <w:t>混凝土钻孔取样机</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r w:rsidR="00CF1222" w:rsidTr="00CF1222">
        <w:trPr>
          <w:trHeight w:val="227"/>
          <w:jc w:val="center"/>
        </w:trPr>
        <w:tc>
          <w:tcPr>
            <w:tcW w:w="471"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4</w:t>
            </w:r>
          </w:p>
        </w:tc>
        <w:tc>
          <w:tcPr>
            <w:tcW w:w="1830"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ø100</w:t>
            </w:r>
            <w:r>
              <w:rPr>
                <w:rFonts w:ascii="Times New Roman" w:eastAsia="华文中宋" w:hAnsi="Times New Roman"/>
                <w:sz w:val="21"/>
                <w:szCs w:val="21"/>
              </w:rPr>
              <w:t>金刚石薄壁钻头</w:t>
            </w:r>
          </w:p>
        </w:tc>
        <w:tc>
          <w:tcPr>
            <w:tcW w:w="1072"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09" w:type="pct"/>
            <w:vAlign w:val="center"/>
          </w:tcPr>
          <w:p w:rsidR="00CF1222" w:rsidRDefault="00CF1222" w:rsidP="00CF1222">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818" w:type="pct"/>
            <w:vAlign w:val="center"/>
          </w:tcPr>
          <w:p w:rsidR="00CF1222" w:rsidRDefault="00CF1222" w:rsidP="00CF1222">
            <w:pPr>
              <w:spacing w:line="360" w:lineRule="auto"/>
              <w:jc w:val="center"/>
              <w:rPr>
                <w:rFonts w:ascii="Times New Roman" w:eastAsia="华文中宋" w:hAnsi="Times New Roman"/>
                <w:sz w:val="21"/>
                <w:szCs w:val="21"/>
              </w:rPr>
            </w:pPr>
          </w:p>
        </w:tc>
      </w:tr>
    </w:tbl>
    <w:p w:rsidR="00CF1222" w:rsidRDefault="00CF1222" w:rsidP="00CF1222">
      <w:pPr>
        <w:spacing w:beforeLines="50" w:before="156" w:afterLines="50" w:after="156"/>
        <w:jc w:val="left"/>
        <w:rPr>
          <w:rFonts w:ascii="黑体" w:eastAsia="黑体" w:hAnsi="黑体"/>
          <w:b/>
          <w:sz w:val="28"/>
          <w:szCs w:val="28"/>
        </w:rPr>
      </w:pPr>
      <w:r>
        <w:rPr>
          <w:rFonts w:ascii="黑体" w:eastAsia="黑体" w:hAnsi="黑体" w:hint="eastAsia"/>
          <w:b/>
          <w:sz w:val="28"/>
          <w:szCs w:val="28"/>
        </w:rPr>
        <w:t>五、实验课程考核方式</w:t>
      </w:r>
    </w:p>
    <w:p w:rsidR="00CF1222" w:rsidRDefault="00CF1222" w:rsidP="00CF1222">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lastRenderedPageBreak/>
        <w:t>（1）实验报告</w:t>
      </w:r>
    </w:p>
    <w:p w:rsidR="00CF1222" w:rsidRDefault="00CF1222" w:rsidP="00CF1222">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实验</w:t>
      </w:r>
      <w:r>
        <w:rPr>
          <w:rFonts w:ascii="仿宋_GB2312" w:hAnsi="仿宋_GB2312" w:cs="仿宋_GB2312"/>
          <w:sz w:val="28"/>
          <w:szCs w:val="28"/>
        </w:rPr>
        <w:t>课后学生提交实验报告，实验报告包含实验项目名称、实验目的、实验原理简述、实验操作、原始实验数据记录及计算分析、结论等内容。</w:t>
      </w:r>
      <w:r>
        <w:rPr>
          <w:rFonts w:ascii="仿宋_GB2312" w:hAnsi="仿宋_GB2312" w:cs="仿宋_GB2312" w:hint="eastAsia"/>
          <w:sz w:val="28"/>
          <w:szCs w:val="28"/>
        </w:rPr>
        <w:t>实验现象观察记录有助于学生深入认识结构受力性能和工作机理，数据处理能够反映学生逻辑思维能力和基本原理掌握程度，通过必要的讨论，进一步理清思路，查找问题和误差原因，最后形成结论，巩固和灵活运用所学知识。</w:t>
      </w:r>
    </w:p>
    <w:p w:rsidR="00CF1222" w:rsidRDefault="00CF1222" w:rsidP="00CF1222">
      <w:pPr>
        <w:spacing w:line="360" w:lineRule="auto"/>
        <w:ind w:firstLineChars="200" w:firstLine="560"/>
        <w:jc w:val="left"/>
        <w:rPr>
          <w:rStyle w:val="fontstyle11"/>
          <w:rFonts w:ascii="仿宋_GB2312" w:hAnsi="仿宋_GB2312" w:cs="仿宋_GB2312"/>
          <w:sz w:val="28"/>
        </w:rPr>
      </w:pPr>
      <w:r>
        <w:rPr>
          <w:rFonts w:ascii="仿宋_GB2312" w:hAnsi="仿宋_GB2312" w:cs="仿宋_GB2312" w:hint="eastAsia"/>
          <w:sz w:val="28"/>
        </w:rPr>
        <w:t>（2）考核方式</w:t>
      </w:r>
    </w:p>
    <w:p w:rsidR="00CF1222" w:rsidRDefault="00CF1222" w:rsidP="00CF1222">
      <w:pPr>
        <w:spacing w:line="360" w:lineRule="auto"/>
        <w:ind w:firstLineChars="150" w:firstLine="420"/>
        <w:rPr>
          <w:rFonts w:ascii="仿宋_GB2312" w:hAnsi="仿宋_GB2312" w:cs="仿宋_GB2312"/>
          <w:b/>
          <w:color w:val="FF0000"/>
          <w:sz w:val="21"/>
          <w:szCs w:val="21"/>
        </w:rPr>
      </w:pPr>
      <w:r>
        <w:rPr>
          <w:rFonts w:ascii="仿宋_GB2312" w:hAnsi="仿宋_GB2312" w:cs="仿宋_GB2312"/>
          <w:sz w:val="28"/>
          <w:szCs w:val="28"/>
        </w:rPr>
        <w:t>本实验课程不单独考核，实验指导教师根据学生实验课程表现（出勤率、动手能力）和实验报告质量进行综合考评，按百分制给定实验课成绩，实验课成绩占课程总成绩的10%。</w:t>
      </w:r>
    </w:p>
    <w:p w:rsidR="00CF1222" w:rsidRDefault="00CF1222" w:rsidP="00CF1222">
      <w:pPr>
        <w:spacing w:line="360" w:lineRule="auto"/>
        <w:rPr>
          <w:rFonts w:ascii="黑体" w:eastAsia="黑体" w:hAnsi="黑体"/>
          <w:b/>
          <w:sz w:val="28"/>
          <w:szCs w:val="28"/>
        </w:rPr>
      </w:pPr>
      <w:r>
        <w:rPr>
          <w:rFonts w:ascii="黑体" w:eastAsia="黑体" w:hAnsi="黑体" w:hint="eastAsia"/>
          <w:b/>
          <w:sz w:val="28"/>
          <w:szCs w:val="28"/>
        </w:rPr>
        <w:t>六、实验课程建议教材及主要参考资料</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黄华, 段留省, 王博. 结构试验. 北京: 中国建筑工业出版社, 2019</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冀德学,</w:t>
      </w:r>
      <w:r>
        <w:rPr>
          <w:rFonts w:ascii="仿宋_GB2312" w:hAnsi="仿宋_GB2312" w:cs="仿宋_GB2312"/>
          <w:sz w:val="28"/>
          <w:szCs w:val="28"/>
        </w:rPr>
        <w:t xml:space="preserve"> </w:t>
      </w:r>
      <w:r>
        <w:rPr>
          <w:rFonts w:ascii="仿宋_GB2312" w:hAnsi="仿宋_GB2312" w:cs="仿宋_GB2312" w:hint="eastAsia"/>
          <w:sz w:val="28"/>
          <w:szCs w:val="28"/>
        </w:rPr>
        <w:t>石晶.</w:t>
      </w:r>
      <w:r>
        <w:rPr>
          <w:rFonts w:ascii="仿宋_GB2312" w:hAnsi="仿宋_GB2312" w:cs="仿宋_GB2312"/>
          <w:sz w:val="28"/>
          <w:szCs w:val="28"/>
        </w:rPr>
        <w:t xml:space="preserve"> </w:t>
      </w:r>
      <w:r>
        <w:rPr>
          <w:rFonts w:ascii="仿宋_GB2312" w:hAnsi="仿宋_GB2312" w:cs="仿宋_GB2312" w:hint="eastAsia"/>
          <w:sz w:val="28"/>
          <w:szCs w:val="28"/>
        </w:rPr>
        <w:t>建筑结构试验指导.西安：陕西科学技术出版社,</w:t>
      </w:r>
      <w:r>
        <w:rPr>
          <w:rFonts w:ascii="仿宋_GB2312" w:hAnsi="仿宋_GB2312" w:cs="仿宋_GB2312"/>
          <w:sz w:val="28"/>
          <w:szCs w:val="28"/>
        </w:rPr>
        <w:t xml:space="preserve"> 2012</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周明华</w:t>
      </w:r>
      <w:r>
        <w:rPr>
          <w:rFonts w:ascii="仿宋_GB2312" w:hAnsi="仿宋_GB2312" w:cs="仿宋_GB2312" w:hint="eastAsia"/>
          <w:sz w:val="28"/>
          <w:szCs w:val="28"/>
        </w:rPr>
        <w:t xml:space="preserve">. </w:t>
      </w:r>
      <w:r>
        <w:rPr>
          <w:rFonts w:ascii="仿宋_GB2312" w:hAnsi="仿宋_GB2312" w:cs="仿宋_GB2312"/>
          <w:sz w:val="28"/>
          <w:szCs w:val="28"/>
        </w:rPr>
        <w:t>土木工程结构试验与检测</w:t>
      </w:r>
      <w:r>
        <w:rPr>
          <w:rFonts w:ascii="仿宋_GB2312" w:hAnsi="仿宋_GB2312" w:cs="仿宋_GB2312" w:hint="eastAsia"/>
          <w:sz w:val="28"/>
          <w:szCs w:val="28"/>
        </w:rPr>
        <w:t xml:space="preserve">. 南京: </w:t>
      </w:r>
      <w:r>
        <w:rPr>
          <w:rFonts w:ascii="仿宋_GB2312" w:hAnsi="仿宋_GB2312" w:cs="仿宋_GB2312"/>
          <w:sz w:val="28"/>
          <w:szCs w:val="28"/>
        </w:rPr>
        <w:t>东南大学出版社</w:t>
      </w:r>
      <w:r>
        <w:rPr>
          <w:rFonts w:ascii="仿宋_GB2312" w:hAnsi="仿宋_GB2312" w:cs="仿宋_GB2312" w:hint="eastAsia"/>
          <w:sz w:val="28"/>
          <w:szCs w:val="28"/>
        </w:rPr>
        <w:t xml:space="preserve">, </w:t>
      </w:r>
      <w:r>
        <w:rPr>
          <w:rFonts w:ascii="仿宋_GB2312" w:hAnsi="仿宋_GB2312" w:cs="仿宋_GB2312"/>
          <w:sz w:val="28"/>
          <w:szCs w:val="28"/>
        </w:rPr>
        <w:t>2002</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王娴明</w:t>
      </w:r>
      <w:r>
        <w:rPr>
          <w:rFonts w:ascii="仿宋_GB2312" w:hAnsi="仿宋_GB2312" w:cs="仿宋_GB2312" w:hint="eastAsia"/>
          <w:sz w:val="28"/>
          <w:szCs w:val="28"/>
        </w:rPr>
        <w:t xml:space="preserve">. </w:t>
      </w:r>
      <w:r>
        <w:rPr>
          <w:rFonts w:ascii="仿宋_GB2312" w:hAnsi="仿宋_GB2312" w:cs="仿宋_GB2312"/>
          <w:sz w:val="28"/>
          <w:szCs w:val="28"/>
        </w:rPr>
        <w:t>建筑结构试验</w:t>
      </w:r>
      <w:r>
        <w:rPr>
          <w:rFonts w:ascii="仿宋_GB2312" w:hAnsi="仿宋_GB2312" w:cs="仿宋_GB2312" w:hint="eastAsia"/>
          <w:sz w:val="28"/>
          <w:szCs w:val="28"/>
        </w:rPr>
        <w:t xml:space="preserve">. 北京: </w:t>
      </w:r>
      <w:r>
        <w:rPr>
          <w:rFonts w:ascii="仿宋_GB2312" w:hAnsi="仿宋_GB2312" w:cs="仿宋_GB2312"/>
          <w:sz w:val="28"/>
          <w:szCs w:val="28"/>
        </w:rPr>
        <w:t>清华大学出版社, 1988</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吴慧敏</w:t>
      </w:r>
      <w:r>
        <w:rPr>
          <w:rFonts w:ascii="仿宋_GB2312" w:hAnsi="仿宋_GB2312" w:cs="仿宋_GB2312" w:hint="eastAsia"/>
          <w:sz w:val="28"/>
          <w:szCs w:val="28"/>
        </w:rPr>
        <w:t xml:space="preserve">. </w:t>
      </w:r>
      <w:r>
        <w:rPr>
          <w:rFonts w:ascii="仿宋_GB2312" w:hAnsi="仿宋_GB2312" w:cs="仿宋_GB2312"/>
          <w:sz w:val="28"/>
          <w:szCs w:val="28"/>
        </w:rPr>
        <w:t>结构混凝土现场检测技术</w:t>
      </w:r>
      <w:r>
        <w:rPr>
          <w:rFonts w:ascii="仿宋_GB2312" w:hAnsi="仿宋_GB2312" w:cs="仿宋_GB2312" w:hint="eastAsia"/>
          <w:sz w:val="28"/>
          <w:szCs w:val="28"/>
        </w:rPr>
        <w:t xml:space="preserve">. 长沙: </w:t>
      </w:r>
      <w:r>
        <w:rPr>
          <w:rFonts w:ascii="仿宋_GB2312" w:hAnsi="仿宋_GB2312" w:cs="仿宋_GB2312"/>
          <w:sz w:val="28"/>
          <w:szCs w:val="28"/>
        </w:rPr>
        <w:t>湖南大学出版社, 1989</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lastRenderedPageBreak/>
        <w:t>朱伯龙</w:t>
      </w:r>
      <w:r>
        <w:rPr>
          <w:rFonts w:ascii="仿宋_GB2312" w:hAnsi="仿宋_GB2312" w:cs="仿宋_GB2312" w:hint="eastAsia"/>
          <w:sz w:val="28"/>
          <w:szCs w:val="28"/>
        </w:rPr>
        <w:t xml:space="preserve">. </w:t>
      </w:r>
      <w:r>
        <w:rPr>
          <w:rFonts w:ascii="仿宋_GB2312" w:hAnsi="仿宋_GB2312" w:cs="仿宋_GB2312"/>
          <w:sz w:val="28"/>
          <w:szCs w:val="28"/>
        </w:rPr>
        <w:t>结构抗震试验</w:t>
      </w:r>
      <w:r>
        <w:rPr>
          <w:rFonts w:ascii="仿宋_GB2312" w:hAnsi="仿宋_GB2312" w:cs="仿宋_GB2312" w:hint="eastAsia"/>
          <w:sz w:val="28"/>
          <w:szCs w:val="28"/>
        </w:rPr>
        <w:t xml:space="preserve">. 北京: </w:t>
      </w:r>
      <w:r>
        <w:rPr>
          <w:rFonts w:ascii="仿宋_GB2312" w:hAnsi="仿宋_GB2312" w:cs="仿宋_GB2312"/>
          <w:sz w:val="28"/>
          <w:szCs w:val="28"/>
        </w:rPr>
        <w:t xml:space="preserve">地震出版社, 1989 </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 xml:space="preserve">建筑抗震试验规程JGJT 101-2015. 北京: 中国建筑工业出版社, </w:t>
      </w:r>
      <w:r>
        <w:rPr>
          <w:rFonts w:ascii="仿宋_GB2312" w:hAnsi="仿宋_GB2312" w:cs="仿宋_GB2312"/>
          <w:sz w:val="28"/>
          <w:szCs w:val="28"/>
        </w:rPr>
        <w:t>2015</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易伟建</w:t>
      </w:r>
      <w:r>
        <w:rPr>
          <w:rFonts w:ascii="仿宋_GB2312" w:hAnsi="仿宋_GB2312" w:cs="仿宋_GB2312" w:hint="eastAsia"/>
          <w:sz w:val="28"/>
          <w:szCs w:val="28"/>
        </w:rPr>
        <w:t xml:space="preserve">, </w:t>
      </w:r>
      <w:r>
        <w:rPr>
          <w:rFonts w:ascii="仿宋_GB2312" w:hAnsi="仿宋_GB2312" w:cs="仿宋_GB2312"/>
          <w:sz w:val="28"/>
          <w:szCs w:val="28"/>
        </w:rPr>
        <w:t>张望喜</w:t>
      </w:r>
      <w:r>
        <w:rPr>
          <w:rFonts w:ascii="仿宋_GB2312" w:hAnsi="仿宋_GB2312" w:cs="仿宋_GB2312" w:hint="eastAsia"/>
          <w:sz w:val="28"/>
          <w:szCs w:val="28"/>
        </w:rPr>
        <w:t xml:space="preserve">. </w:t>
      </w:r>
      <w:r>
        <w:rPr>
          <w:rFonts w:ascii="仿宋_GB2312" w:hAnsi="仿宋_GB2312" w:cs="仿宋_GB2312"/>
          <w:sz w:val="28"/>
          <w:szCs w:val="28"/>
        </w:rPr>
        <w:t>建筑结构试验</w:t>
      </w:r>
      <w:r>
        <w:rPr>
          <w:rFonts w:ascii="仿宋_GB2312" w:hAnsi="仿宋_GB2312" w:cs="仿宋_GB2312" w:hint="eastAsia"/>
          <w:sz w:val="28"/>
          <w:szCs w:val="28"/>
        </w:rPr>
        <w:t xml:space="preserve">. 北京: </w:t>
      </w:r>
      <w:r>
        <w:rPr>
          <w:rFonts w:ascii="仿宋_GB2312" w:hAnsi="仿宋_GB2312" w:cs="仿宋_GB2312"/>
          <w:sz w:val="28"/>
          <w:szCs w:val="28"/>
        </w:rPr>
        <w:t>中国建筑工业出版社, 2005</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姚谦峰</w:t>
      </w:r>
      <w:r>
        <w:rPr>
          <w:rFonts w:ascii="仿宋_GB2312" w:hAnsi="仿宋_GB2312" w:cs="仿宋_GB2312" w:hint="eastAsia"/>
          <w:sz w:val="28"/>
          <w:szCs w:val="28"/>
        </w:rPr>
        <w:t xml:space="preserve">, 陈平. </w:t>
      </w:r>
      <w:r>
        <w:rPr>
          <w:rFonts w:ascii="仿宋_GB2312" w:hAnsi="仿宋_GB2312" w:cs="仿宋_GB2312"/>
          <w:sz w:val="28"/>
          <w:szCs w:val="28"/>
        </w:rPr>
        <w:t>土木工程结构试验</w:t>
      </w:r>
      <w:r>
        <w:rPr>
          <w:rFonts w:ascii="仿宋_GB2312" w:hAnsi="仿宋_GB2312" w:cs="仿宋_GB2312" w:hint="eastAsia"/>
          <w:sz w:val="28"/>
          <w:szCs w:val="28"/>
        </w:rPr>
        <w:t>.</w:t>
      </w:r>
      <w:r>
        <w:rPr>
          <w:rFonts w:ascii="仿宋_GB2312" w:hAnsi="仿宋_GB2312" w:cs="仿宋_GB2312"/>
          <w:sz w:val="28"/>
          <w:szCs w:val="28"/>
        </w:rPr>
        <w:t xml:space="preserve"> </w:t>
      </w:r>
      <w:r>
        <w:rPr>
          <w:rFonts w:ascii="仿宋_GB2312" w:hAnsi="仿宋_GB2312" w:cs="仿宋_GB2312" w:hint="eastAsia"/>
          <w:sz w:val="28"/>
          <w:szCs w:val="28"/>
        </w:rPr>
        <w:t xml:space="preserve">北京: </w:t>
      </w:r>
      <w:r>
        <w:rPr>
          <w:rFonts w:ascii="仿宋_GB2312" w:hAnsi="仿宋_GB2312" w:cs="仿宋_GB2312"/>
          <w:sz w:val="28"/>
          <w:szCs w:val="28"/>
        </w:rPr>
        <w:t>中国建筑工业出版社, 2008</w:t>
      </w:r>
    </w:p>
    <w:p w:rsidR="00CF1222" w:rsidRDefault="00CF1222" w:rsidP="00CF1222">
      <w:pPr>
        <w:spacing w:beforeLines="50" w:before="156" w:afterLines="50" w:after="156" w:line="460" w:lineRule="exact"/>
        <w:rPr>
          <w:rFonts w:ascii="黑体" w:eastAsia="黑体" w:hAnsi="黑体"/>
          <w:b/>
          <w:sz w:val="28"/>
          <w:szCs w:val="28"/>
        </w:rPr>
      </w:pPr>
    </w:p>
    <w:p w:rsidR="00CF1222" w:rsidRDefault="00CF1222" w:rsidP="00CF1222">
      <w:pPr>
        <w:spacing w:beforeLines="50" w:before="156" w:afterLines="50" w:after="156" w:line="460" w:lineRule="exact"/>
        <w:rPr>
          <w:rFonts w:ascii="黑体" w:eastAsia="黑体" w:hAnsi="黑体"/>
          <w:b/>
          <w:sz w:val="28"/>
          <w:szCs w:val="28"/>
        </w:rPr>
      </w:pPr>
    </w:p>
    <w:p w:rsidR="00CF1222" w:rsidRDefault="00CF1222" w:rsidP="00CF1222">
      <w:pPr>
        <w:spacing w:beforeLines="50" w:before="156" w:afterLines="50" w:after="156" w:line="460" w:lineRule="exact"/>
        <w:rPr>
          <w:rFonts w:ascii="黑体" w:eastAsia="黑体" w:hAnsi="黑体"/>
          <w:b/>
          <w:sz w:val="28"/>
          <w:szCs w:val="28"/>
        </w:rPr>
      </w:pPr>
    </w:p>
    <w:p w:rsidR="00CF1222" w:rsidRDefault="00CF1222" w:rsidP="00CF1222">
      <w:pPr>
        <w:spacing w:beforeLines="50" w:before="156" w:afterLines="50" w:after="156" w:line="460" w:lineRule="exact"/>
        <w:rPr>
          <w:rFonts w:ascii="黑体" w:eastAsia="黑体" w:hAnsi="黑体"/>
          <w:b/>
          <w:sz w:val="28"/>
          <w:szCs w:val="28"/>
        </w:rPr>
      </w:pPr>
    </w:p>
    <w:p w:rsidR="00CF1222" w:rsidRDefault="00CF1222" w:rsidP="00CF1222">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大纲撰写人：段留省</w:t>
      </w:r>
    </w:p>
    <w:p w:rsidR="00CF1222" w:rsidRDefault="00CF1222" w:rsidP="00CF1222">
      <w:pPr>
        <w:spacing w:line="360" w:lineRule="auto"/>
        <w:ind w:firstLineChars="1200" w:firstLine="3360"/>
        <w:rPr>
          <w:rFonts w:ascii="仿宋" w:eastAsia="仿宋" w:hAnsi="仿宋"/>
          <w:sz w:val="28"/>
          <w:szCs w:val="28"/>
        </w:rPr>
      </w:pPr>
      <w:r>
        <w:rPr>
          <w:rFonts w:ascii="仿宋" w:eastAsia="仿宋" w:hAnsi="仿宋" w:hint="eastAsia"/>
          <w:sz w:val="28"/>
          <w:szCs w:val="28"/>
        </w:rPr>
        <w:t xml:space="preserve">负责人：白 </w:t>
      </w:r>
      <w:r>
        <w:rPr>
          <w:rFonts w:ascii="仿宋" w:eastAsia="仿宋" w:hAnsi="仿宋"/>
          <w:sz w:val="28"/>
          <w:szCs w:val="28"/>
        </w:rPr>
        <w:t xml:space="preserve"> </w:t>
      </w:r>
      <w:r>
        <w:rPr>
          <w:rFonts w:ascii="仿宋" w:eastAsia="仿宋" w:hAnsi="仿宋" w:hint="eastAsia"/>
          <w:sz w:val="28"/>
          <w:szCs w:val="28"/>
        </w:rPr>
        <w:t>亮</w:t>
      </w:r>
    </w:p>
    <w:p w:rsidR="00CF1222" w:rsidRDefault="00CF1222" w:rsidP="00CF1222">
      <w:pPr>
        <w:spacing w:line="360" w:lineRule="auto"/>
        <w:ind w:firstLineChars="1200" w:firstLine="3360"/>
        <w:rPr>
          <w:rFonts w:ascii="仿宋" w:eastAsia="仿宋" w:hAnsi="仿宋"/>
          <w:sz w:val="28"/>
          <w:szCs w:val="28"/>
        </w:rPr>
      </w:pPr>
      <w:r>
        <w:rPr>
          <w:rFonts w:ascii="仿宋" w:eastAsia="仿宋" w:hAnsi="仿宋" w:hint="eastAsia"/>
          <w:sz w:val="28"/>
          <w:szCs w:val="28"/>
        </w:rPr>
        <w:t>审核人：胡志平</w:t>
      </w:r>
    </w:p>
    <w:p w:rsidR="00CF1222" w:rsidRDefault="00CF1222" w:rsidP="00CF1222">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F1222" w:rsidRDefault="00CF1222" w:rsidP="00CF1222">
      <w:pPr>
        <w:ind w:firstLineChars="2000" w:firstLine="5600"/>
        <w:jc w:val="left"/>
        <w:rPr>
          <w:rFonts w:ascii="仿宋" w:hAnsi="仿宋"/>
          <w:sz w:val="28"/>
          <w:szCs w:val="28"/>
        </w:rPr>
      </w:pPr>
      <w:r>
        <w:rPr>
          <w:rFonts w:ascii="仿宋_GB2312" w:hAnsi="微软雅黑" w:hint="eastAsia"/>
          <w:sz w:val="28"/>
          <w:szCs w:val="28"/>
        </w:rPr>
        <w:t xml:space="preserve">    </w:t>
      </w:r>
    </w:p>
    <w:p w:rsidR="00CF1222" w:rsidRDefault="00CF1222" w:rsidP="00CF1222">
      <w:pPr>
        <w:jc w:val="left"/>
        <w:rPr>
          <w:rFonts w:ascii="仿宋" w:eastAsia="仿宋" w:hAnsi="仿宋"/>
          <w:szCs w:val="32"/>
        </w:rPr>
      </w:pPr>
      <w:r>
        <w:rPr>
          <w:rFonts w:ascii="仿宋" w:eastAsia="仿宋" w:hAnsi="仿宋" w:hint="eastAsia"/>
          <w:sz w:val="28"/>
          <w:szCs w:val="28"/>
        </w:rPr>
        <w:t xml:space="preserve">                                         年    月</w:t>
      </w:r>
    </w:p>
    <w:p w:rsidR="00CF1222" w:rsidRDefault="00CF1222" w:rsidP="00CF1222"/>
    <w:p w:rsidR="00CF1222" w:rsidRDefault="00CF1222"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CF1222" w:rsidRDefault="00CF1222" w:rsidP="00CF1222">
      <w:pPr>
        <w:widowControl/>
        <w:spacing w:line="360" w:lineRule="auto"/>
        <w:jc w:val="center"/>
        <w:rPr>
          <w:rFonts w:ascii="Times New Roman" w:eastAsia="方正小标宋简体" w:hAnsi="Times New Roman"/>
          <w:kern w:val="0"/>
          <w:szCs w:val="32"/>
        </w:rPr>
      </w:pPr>
      <w:r>
        <w:rPr>
          <w:rFonts w:ascii="Times New Roman" w:eastAsia="方正小标宋简体" w:hAnsi="Times New Roman"/>
          <w:kern w:val="0"/>
          <w:szCs w:val="32"/>
        </w:rPr>
        <w:lastRenderedPageBreak/>
        <w:t>《</w:t>
      </w:r>
      <w:r>
        <w:rPr>
          <w:rFonts w:ascii="Times New Roman" w:eastAsia="方正小标宋简体" w:hAnsi="Times New Roman" w:hint="eastAsia"/>
          <w:kern w:val="0"/>
          <w:szCs w:val="32"/>
        </w:rPr>
        <w:t>专业外语</w:t>
      </w:r>
      <w:r>
        <w:rPr>
          <w:rFonts w:ascii="Times New Roman" w:eastAsia="方正小标宋简体" w:hAnsi="Times New Roman"/>
          <w:kern w:val="0"/>
          <w:szCs w:val="32"/>
        </w:rPr>
        <w:t>》课程教学大纲</w:t>
      </w:r>
    </w:p>
    <w:p w:rsidR="00CF1222" w:rsidRDefault="00CF1222" w:rsidP="00CF1222">
      <w:pPr>
        <w:snapToGrid w:val="0"/>
        <w:spacing w:line="360" w:lineRule="auto"/>
        <w:rPr>
          <w:rFonts w:ascii="Times New Roman" w:eastAsia="黑体" w:hAnsi="Times New Roman"/>
          <w:b/>
          <w:sz w:val="28"/>
          <w:szCs w:val="28"/>
        </w:rPr>
      </w:pPr>
      <w:r>
        <w:rPr>
          <w:rFonts w:ascii="Times New Roman" w:eastAsia="黑体" w:hAnsi="Times New Roman"/>
          <w:b/>
          <w:sz w:val="28"/>
          <w:szCs w:val="28"/>
        </w:rPr>
        <w:t>一、课程信息</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英文名称：</w:t>
      </w:r>
      <w:r>
        <w:rPr>
          <w:rFonts w:ascii="Times New Roman" w:hAnsi="Times New Roman"/>
          <w:bCs/>
          <w:sz w:val="28"/>
          <w:szCs w:val="28"/>
        </w:rPr>
        <w:t>Special English for Civil Engineering</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课程编码：</w:t>
      </w:r>
      <w:r>
        <w:rPr>
          <w:rFonts w:ascii="Times New Roman" w:hAnsi="Times New Roman"/>
          <w:bCs/>
          <w:sz w:val="28"/>
          <w:szCs w:val="28"/>
        </w:rPr>
        <w:t>Z2801040</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授课语言：</w:t>
      </w:r>
      <w:r>
        <w:rPr>
          <w:rFonts w:ascii="Times New Roman" w:hAnsi="Times New Roman" w:hint="eastAsia"/>
          <w:bCs/>
          <w:sz w:val="28"/>
          <w:szCs w:val="28"/>
        </w:rPr>
        <w:t>双语</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授课方式：线下</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课程类别：</w:t>
      </w:r>
      <w:r>
        <w:rPr>
          <w:rFonts w:ascii="Times New Roman" w:hAnsi="Times New Roman" w:hint="eastAsia"/>
          <w:bCs/>
          <w:sz w:val="28"/>
          <w:szCs w:val="28"/>
        </w:rPr>
        <w:t>专业发展课程</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课程性质：</w:t>
      </w:r>
      <w:r>
        <w:rPr>
          <w:rFonts w:ascii="Times New Roman" w:hAnsi="Times New Roman" w:hint="eastAsia"/>
          <w:bCs/>
          <w:sz w:val="28"/>
          <w:szCs w:val="28"/>
        </w:rPr>
        <w:t>选</w:t>
      </w:r>
      <w:r>
        <w:rPr>
          <w:rFonts w:ascii="Times New Roman" w:hAnsi="Times New Roman"/>
          <w:bCs/>
          <w:sz w:val="28"/>
          <w:szCs w:val="28"/>
        </w:rPr>
        <w:t>修</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分：</w:t>
      </w:r>
      <w:r>
        <w:rPr>
          <w:rFonts w:ascii="Times New Roman" w:hAnsi="Times New Roman"/>
          <w:bCs/>
          <w:sz w:val="28"/>
          <w:szCs w:val="28"/>
        </w:rPr>
        <w:t>1.5</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时：</w:t>
      </w:r>
      <w:r>
        <w:rPr>
          <w:rFonts w:ascii="Times New Roman" w:hAnsi="Times New Roman" w:hint="eastAsia"/>
          <w:bCs/>
          <w:sz w:val="28"/>
          <w:szCs w:val="28"/>
        </w:rPr>
        <w:t>24</w:t>
      </w:r>
      <w:r>
        <w:rPr>
          <w:rFonts w:ascii="Times New Roman" w:hAnsi="Times New Roman" w:hint="eastAsia"/>
          <w:bCs/>
          <w:sz w:val="28"/>
          <w:szCs w:val="28"/>
        </w:rPr>
        <w:t>学时（授课</w:t>
      </w:r>
      <w:r>
        <w:rPr>
          <w:rFonts w:ascii="Times New Roman" w:hAnsi="Times New Roman" w:hint="eastAsia"/>
          <w:bCs/>
          <w:sz w:val="28"/>
          <w:szCs w:val="28"/>
        </w:rPr>
        <w:t>24</w:t>
      </w:r>
      <w:r>
        <w:rPr>
          <w:rFonts w:ascii="Times New Roman" w:hAnsi="Times New Roman" w:hint="eastAsia"/>
          <w:bCs/>
          <w:sz w:val="28"/>
          <w:szCs w:val="28"/>
        </w:rPr>
        <w:t>学时，实验</w:t>
      </w:r>
      <w:r>
        <w:rPr>
          <w:rFonts w:ascii="Times New Roman" w:hAnsi="Times New Roman" w:hint="eastAsia"/>
          <w:bCs/>
          <w:sz w:val="28"/>
          <w:szCs w:val="28"/>
        </w:rPr>
        <w:t>0</w:t>
      </w:r>
      <w:r>
        <w:rPr>
          <w:rFonts w:ascii="Times New Roman" w:hAnsi="Times New Roman" w:hint="eastAsia"/>
          <w:bCs/>
          <w:sz w:val="28"/>
          <w:szCs w:val="28"/>
        </w:rPr>
        <w:t>，上机</w:t>
      </w:r>
      <w:r>
        <w:rPr>
          <w:rFonts w:ascii="Times New Roman" w:hAnsi="Times New Roman" w:hint="eastAsia"/>
          <w:bCs/>
          <w:sz w:val="28"/>
          <w:szCs w:val="28"/>
        </w:rPr>
        <w:t>0</w:t>
      </w:r>
      <w:r>
        <w:rPr>
          <w:rFonts w:ascii="Times New Roman" w:hAnsi="Times New Roman" w:hint="eastAsia"/>
          <w:bCs/>
          <w:sz w:val="28"/>
          <w:szCs w:val="28"/>
        </w:rPr>
        <w:t>，课外</w:t>
      </w:r>
      <w:r>
        <w:rPr>
          <w:rFonts w:ascii="Times New Roman" w:hAnsi="Times New Roman" w:hint="eastAsia"/>
          <w:bCs/>
          <w:sz w:val="28"/>
          <w:szCs w:val="28"/>
        </w:rPr>
        <w:t>0</w:t>
      </w:r>
      <w:r>
        <w:rPr>
          <w:rFonts w:ascii="Times New Roman" w:hAnsi="Times New Roman" w:hint="eastAsia"/>
          <w:bCs/>
          <w:sz w:val="28"/>
          <w:szCs w:val="28"/>
        </w:rPr>
        <w:t>）</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适用对象：</w:t>
      </w:r>
      <w:r>
        <w:rPr>
          <w:rFonts w:ascii="Times New Roman" w:hAnsi="Times New Roman" w:hint="eastAsia"/>
          <w:bCs/>
          <w:sz w:val="28"/>
          <w:szCs w:val="28"/>
        </w:rPr>
        <w:t>土木工程专业</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先修课程：</w:t>
      </w:r>
      <w:r>
        <w:rPr>
          <w:rFonts w:ascii="Times New Roman" w:hAnsi="Times New Roman" w:hint="eastAsia"/>
          <w:bCs/>
          <w:sz w:val="28"/>
          <w:szCs w:val="28"/>
        </w:rPr>
        <w:t>房屋建筑学、理论力学、材料力学、结构力学、土木工程材料、混凝土结构基本理论</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开课院系：</w:t>
      </w:r>
      <w:r>
        <w:rPr>
          <w:rFonts w:ascii="Times New Roman" w:hAnsi="Times New Roman" w:hint="eastAsia"/>
          <w:bCs/>
          <w:sz w:val="28"/>
          <w:szCs w:val="28"/>
        </w:rPr>
        <w:t>建筑工程学院混凝土与砌体结构教研室</w:t>
      </w:r>
    </w:p>
    <w:p w:rsidR="00CF1222" w:rsidRDefault="00CF1222" w:rsidP="00CF1222">
      <w:pPr>
        <w:spacing w:line="360" w:lineRule="auto"/>
        <w:rPr>
          <w:rFonts w:ascii="Times New Roman" w:eastAsia="黑体" w:hAnsi="Times New Roman"/>
          <w:b/>
          <w:sz w:val="28"/>
          <w:szCs w:val="28"/>
        </w:rPr>
      </w:pPr>
      <w:r>
        <w:rPr>
          <w:rFonts w:ascii="Times New Roman" w:eastAsia="黑体" w:hAnsi="Times New Roman"/>
          <w:b/>
          <w:sz w:val="28"/>
          <w:szCs w:val="28"/>
        </w:rPr>
        <w:t>二、课程简介</w:t>
      </w:r>
    </w:p>
    <w:p w:rsidR="00CF1222" w:rsidRDefault="00CF1222" w:rsidP="00CF1222">
      <w:pPr>
        <w:spacing w:beforeLines="50" w:before="156" w:line="360" w:lineRule="auto"/>
        <w:ind w:firstLineChars="200" w:firstLine="560"/>
        <w:rPr>
          <w:rFonts w:ascii="Times New Roman" w:hAnsi="Times New Roman"/>
          <w:bCs/>
          <w:sz w:val="28"/>
          <w:szCs w:val="28"/>
        </w:rPr>
      </w:pPr>
      <w:r>
        <w:rPr>
          <w:rFonts w:ascii="Times New Roman" w:hAnsi="Times New Roman" w:hint="eastAsia"/>
          <w:bCs/>
          <w:sz w:val="28"/>
          <w:szCs w:val="28"/>
        </w:rPr>
        <w:t>《专业外语》作为一门专业发展选修课程，是高校英语教学和专业教学的重要组成部分和重要教学环节。课程主要通过讲授科技英语的语法特点和文体结构，以及科技英语文献的翻译方法和技巧，使学生掌握一定数量的土木工程专业英语常用词汇、专业术语，能够基本正确地阅读和理解本专业英语书籍和文献，让学生能够利用外语这个工具，通过阅读去获取国外与本专业相关的科技信息。</w:t>
      </w:r>
    </w:p>
    <w:p w:rsidR="006E57E0" w:rsidRDefault="00CF1222" w:rsidP="00CF1222">
      <w:pPr>
        <w:spacing w:beforeLines="50" w:before="156" w:line="360" w:lineRule="auto"/>
        <w:ind w:firstLineChars="200" w:firstLine="560"/>
        <w:rPr>
          <w:rFonts w:ascii="Times New Roman" w:hAnsi="Times New Roman"/>
          <w:bCs/>
          <w:sz w:val="28"/>
          <w:szCs w:val="28"/>
        </w:rPr>
      </w:pPr>
      <w:r>
        <w:rPr>
          <w:rFonts w:ascii="Times New Roman" w:hAnsi="Times New Roman" w:hint="eastAsia"/>
          <w:bCs/>
          <w:sz w:val="28"/>
          <w:szCs w:val="28"/>
        </w:rPr>
        <w:t>本课程是基础英语与专业教学的融合，通过讲授土木工程专业相关基本知识，帮助学生巩固基础英语并进行实践应用，从而掌握科技</w:t>
      </w:r>
      <w:r>
        <w:rPr>
          <w:rFonts w:ascii="Times New Roman" w:hAnsi="Times New Roman" w:hint="eastAsia"/>
          <w:bCs/>
          <w:sz w:val="28"/>
          <w:szCs w:val="28"/>
        </w:rPr>
        <w:lastRenderedPageBreak/>
        <w:t>英语技能，使学生能够熟练阅读国外相关的专业文献，以掌握本专业发展的最新动态，并具有一定的科技英语写作能力，为更好地从事本专业打下较扎实的基础。</w:t>
      </w:r>
    </w:p>
    <w:p w:rsidR="00CF1222" w:rsidRDefault="00CF1222" w:rsidP="006E57E0">
      <w:pPr>
        <w:spacing w:beforeLines="50" w:before="156" w:line="360" w:lineRule="auto"/>
        <w:rPr>
          <w:rFonts w:ascii="Times New Roman" w:eastAsia="黑体" w:hAnsi="Times New Roman"/>
          <w:b/>
          <w:sz w:val="28"/>
          <w:szCs w:val="28"/>
        </w:rPr>
      </w:pPr>
      <w:r>
        <w:rPr>
          <w:rFonts w:ascii="Times New Roman" w:eastAsia="黑体" w:hAnsi="Times New Roman"/>
          <w:b/>
          <w:sz w:val="28"/>
          <w:szCs w:val="28"/>
        </w:rPr>
        <w:t>三、课程任务、目标与要求</w:t>
      </w:r>
    </w:p>
    <w:p w:rsidR="00CF1222" w:rsidRDefault="00CF1222" w:rsidP="00CF1222">
      <w:pPr>
        <w:snapToGrid w:val="0"/>
        <w:spacing w:line="360" w:lineRule="auto"/>
        <w:ind w:firstLine="329"/>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课程任务</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hint="eastAsia"/>
          <w:sz w:val="28"/>
          <w:szCs w:val="28"/>
        </w:rPr>
        <w:t>通过本课程的学习，帮助土木工程专业学生掌握科技英语的语法特点和文体结构，在专业的应用提高阶段进一步发展、巩固和强化土木工程专业英语的读、写、译等能力和技巧。</w:t>
      </w:r>
    </w:p>
    <w:p w:rsidR="00CF1222" w:rsidRDefault="00CF1222" w:rsidP="00CF1222">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2. </w:t>
      </w:r>
      <w:r>
        <w:rPr>
          <w:rFonts w:ascii="Times New Roman" w:hAnsi="Times New Roman"/>
          <w:sz w:val="28"/>
          <w:szCs w:val="28"/>
        </w:rPr>
        <w:t>课程基本要求</w:t>
      </w:r>
    </w:p>
    <w:p w:rsidR="00CF1222" w:rsidRDefault="00CF1222" w:rsidP="00CF1222">
      <w:pPr>
        <w:spacing w:line="360" w:lineRule="auto"/>
        <w:ind w:firstLine="331"/>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课程目标</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hint="eastAsia"/>
          <w:sz w:val="28"/>
          <w:szCs w:val="28"/>
        </w:rPr>
        <w:t>（</w:t>
      </w:r>
      <w:r>
        <w:rPr>
          <w:rFonts w:ascii="Times New Roman" w:hAnsi="Times New Roman" w:hint="eastAsia"/>
          <w:sz w:val="28"/>
          <w:szCs w:val="28"/>
        </w:rPr>
        <w:t>1</w:t>
      </w:r>
      <w:r>
        <w:rPr>
          <w:rFonts w:ascii="Times New Roman" w:hAnsi="Times New Roman" w:hint="eastAsia"/>
          <w:sz w:val="28"/>
          <w:szCs w:val="28"/>
        </w:rPr>
        <w:t>）掌握外文资料阅读及翻译技巧，了解土木工程专业外语的语法特点、文体结构和科技论文体系；</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hint="eastAsia"/>
          <w:sz w:val="28"/>
          <w:szCs w:val="28"/>
        </w:rPr>
        <w:t>（</w:t>
      </w:r>
      <w:r>
        <w:rPr>
          <w:rFonts w:ascii="Times New Roman" w:hAnsi="Times New Roman" w:hint="eastAsia"/>
          <w:sz w:val="28"/>
          <w:szCs w:val="28"/>
        </w:rPr>
        <w:t>2</w:t>
      </w:r>
      <w:r>
        <w:rPr>
          <w:rFonts w:ascii="Times New Roman" w:hAnsi="Times New Roman" w:hint="eastAsia"/>
          <w:sz w:val="28"/>
          <w:szCs w:val="28"/>
        </w:rPr>
        <w:t>）掌握土木工程专业外语常用词汇及专业术语，具备一定的检索、阅读、理解和分析英文文献的能力和初步的专业科技英语写作能力；</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hint="eastAsia"/>
          <w:sz w:val="28"/>
          <w:szCs w:val="28"/>
        </w:rPr>
        <w:t>（</w:t>
      </w:r>
      <w:r>
        <w:rPr>
          <w:rFonts w:ascii="Times New Roman" w:hAnsi="Times New Roman" w:hint="eastAsia"/>
          <w:sz w:val="28"/>
          <w:szCs w:val="28"/>
        </w:rPr>
        <w:t>3</w:t>
      </w:r>
      <w:r>
        <w:rPr>
          <w:rFonts w:ascii="Times New Roman" w:hAnsi="Times New Roman" w:hint="eastAsia"/>
          <w:sz w:val="28"/>
          <w:szCs w:val="28"/>
        </w:rPr>
        <w:t>）掌握拓展知识的途径与方法，具备一定的专业沟通和交流能力，培养自主学习和终身学习的意识。</w:t>
      </w:r>
    </w:p>
    <w:p w:rsidR="00CF1222" w:rsidRDefault="00CF1222" w:rsidP="00CF1222">
      <w:pPr>
        <w:spacing w:beforeLines="50" w:before="156" w:line="360" w:lineRule="auto"/>
        <w:ind w:firstLine="329"/>
        <w:rPr>
          <w:rFonts w:ascii="Times New Roman" w:hAnsi="Times New Roman"/>
          <w:bCs/>
          <w:sz w:val="28"/>
          <w:szCs w:val="28"/>
        </w:rPr>
      </w:pPr>
      <w:r>
        <w:rPr>
          <w:rFonts w:ascii="Times New Roman" w:hAnsi="Times New Roman"/>
          <w:bCs/>
          <w:sz w:val="28"/>
          <w:szCs w:val="28"/>
        </w:rPr>
        <w:t xml:space="preserve">2.2 </w:t>
      </w:r>
      <w:r>
        <w:rPr>
          <w:rFonts w:ascii="Times New Roman" w:hAnsi="Times New Roman"/>
          <w:bCs/>
          <w:sz w:val="28"/>
          <w:szCs w:val="28"/>
        </w:rPr>
        <w:t>课程目标与毕业要求之间的对应关系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3907"/>
        <w:gridCol w:w="840"/>
        <w:gridCol w:w="840"/>
        <w:gridCol w:w="841"/>
      </w:tblGrid>
      <w:tr w:rsidR="00CF1222" w:rsidTr="00CF1222">
        <w:tc>
          <w:tcPr>
            <w:tcW w:w="3481" w:type="pct"/>
            <w:gridSpan w:val="2"/>
            <w:vMerge w:val="restart"/>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毕业要求及其指标点</w:t>
            </w:r>
          </w:p>
        </w:tc>
        <w:tc>
          <w:tcPr>
            <w:tcW w:w="1519" w:type="pct"/>
            <w:gridSpan w:val="3"/>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教学目标</w:t>
            </w:r>
          </w:p>
        </w:tc>
      </w:tr>
      <w:tr w:rsidR="00CF1222" w:rsidTr="00CF1222">
        <w:tc>
          <w:tcPr>
            <w:tcW w:w="3481" w:type="pct"/>
            <w:gridSpan w:val="2"/>
            <w:vMerge/>
            <w:vAlign w:val="center"/>
          </w:tcPr>
          <w:p w:rsidR="00CF1222" w:rsidRDefault="00CF1222" w:rsidP="00CF1222">
            <w:pPr>
              <w:rPr>
                <w:rFonts w:ascii="Times New Roman" w:hAnsi="Times New Roman"/>
                <w:sz w:val="24"/>
                <w:szCs w:val="24"/>
              </w:rPr>
            </w:pPr>
          </w:p>
        </w:tc>
        <w:tc>
          <w:tcPr>
            <w:tcW w:w="506" w:type="pct"/>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tc>
        <w:tc>
          <w:tcPr>
            <w:tcW w:w="506" w:type="pct"/>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c>
          <w:tcPr>
            <w:tcW w:w="507" w:type="pct"/>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CF1222" w:rsidTr="00CF1222">
        <w:tc>
          <w:tcPr>
            <w:tcW w:w="1126" w:type="pct"/>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 xml:space="preserve">10. </w:t>
            </w:r>
            <w:r>
              <w:rPr>
                <w:rFonts w:ascii="Times New Roman" w:hAnsi="Times New Roman" w:hint="eastAsia"/>
                <w:sz w:val="24"/>
                <w:szCs w:val="24"/>
              </w:rPr>
              <w:t>沟通能力</w:t>
            </w:r>
          </w:p>
        </w:tc>
        <w:tc>
          <w:tcPr>
            <w:tcW w:w="2354" w:type="pct"/>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 xml:space="preserve">10.2 </w:t>
            </w:r>
            <w:r>
              <w:rPr>
                <w:rFonts w:ascii="Times New Roman" w:hAnsi="Times New Roman" w:hint="eastAsia"/>
                <w:sz w:val="24"/>
                <w:szCs w:val="24"/>
              </w:rPr>
              <w:t>关注全球性问题，掌握一门外语，具有一定的国际视野，熟悉土木工程专业领域国内外发展动态，能够在跨文化背景下进行专业沟通和交流。</w:t>
            </w:r>
          </w:p>
        </w:tc>
        <w:tc>
          <w:tcPr>
            <w:tcW w:w="506" w:type="pct"/>
            <w:vAlign w:val="center"/>
          </w:tcPr>
          <w:p w:rsidR="00CF1222" w:rsidRDefault="00CF1222" w:rsidP="00CF1222">
            <w:pPr>
              <w:jc w:val="center"/>
              <w:rPr>
                <w:rFonts w:ascii="Times New Roman" w:hAnsi="Times New Roman"/>
                <w:sz w:val="24"/>
                <w:szCs w:val="24"/>
              </w:rPr>
            </w:pPr>
          </w:p>
        </w:tc>
        <w:tc>
          <w:tcPr>
            <w:tcW w:w="506"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507"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r>
      <w:tr w:rsidR="00CF1222" w:rsidTr="00CF1222">
        <w:tc>
          <w:tcPr>
            <w:tcW w:w="1126" w:type="pct"/>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 xml:space="preserve">12. </w:t>
            </w:r>
            <w:r>
              <w:rPr>
                <w:rFonts w:ascii="Times New Roman" w:hAnsi="Times New Roman" w:hint="eastAsia"/>
                <w:sz w:val="24"/>
                <w:szCs w:val="24"/>
              </w:rPr>
              <w:t>终身学习能力</w:t>
            </w:r>
          </w:p>
        </w:tc>
        <w:tc>
          <w:tcPr>
            <w:tcW w:w="2354" w:type="pct"/>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 xml:space="preserve">12.1 </w:t>
            </w:r>
            <w:r>
              <w:rPr>
                <w:rFonts w:ascii="Times New Roman" w:hAnsi="Times New Roman" w:hint="eastAsia"/>
                <w:sz w:val="24"/>
                <w:szCs w:val="24"/>
              </w:rPr>
              <w:t>在社会和土木工程专业发展的大背景下，能够认识到不断探索和</w:t>
            </w:r>
            <w:r>
              <w:rPr>
                <w:rFonts w:ascii="Times New Roman" w:hAnsi="Times New Roman" w:hint="eastAsia"/>
                <w:sz w:val="24"/>
                <w:szCs w:val="24"/>
              </w:rPr>
              <w:lastRenderedPageBreak/>
              <w:t>学习的必要性，自觉跟踪土木工程专业学科前沿，具有自主学习和终身学习意识。</w:t>
            </w:r>
          </w:p>
        </w:tc>
        <w:tc>
          <w:tcPr>
            <w:tcW w:w="506"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lastRenderedPageBreak/>
              <w:t>√</w:t>
            </w:r>
          </w:p>
        </w:tc>
        <w:tc>
          <w:tcPr>
            <w:tcW w:w="506"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507"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r>
    </w:tbl>
    <w:p w:rsidR="00CF1222" w:rsidRDefault="00CF1222" w:rsidP="00CF1222">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3. </w:t>
      </w:r>
      <w:r>
        <w:rPr>
          <w:rFonts w:ascii="Times New Roman" w:hAnsi="Times New Roman"/>
          <w:sz w:val="28"/>
          <w:szCs w:val="28"/>
        </w:rPr>
        <w:t>课程的重点、难点</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sz w:val="28"/>
          <w:szCs w:val="28"/>
        </w:rPr>
        <w:t>重点：</w:t>
      </w:r>
      <w:r>
        <w:rPr>
          <w:rFonts w:ascii="Times New Roman" w:hAnsi="Times New Roman" w:hint="eastAsia"/>
          <w:sz w:val="28"/>
          <w:szCs w:val="28"/>
        </w:rPr>
        <w:t>土木工程专业英语中的常见材料词汇；材料的基本力学性能抗拉强度、梁和板等受弯构件、桁架构件、受压构件稳定理论、结构分析基本原理、建筑结构受力性能、钢筋混凝土、混凝土受压性能、钢结构设计和地基基础设计等方面专业术语的表达。</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sz w:val="28"/>
          <w:szCs w:val="28"/>
        </w:rPr>
        <w:t>难点：</w:t>
      </w:r>
      <w:r>
        <w:rPr>
          <w:rFonts w:ascii="Times New Roman" w:hAnsi="Times New Roman" w:hint="eastAsia"/>
          <w:sz w:val="28"/>
          <w:szCs w:val="28"/>
        </w:rPr>
        <w:t>掌握词义的选择和引申、词类转换、句子成分的转换、增词和减词、数词的译法、否定的译法、分译法、合译法、名词性从句的译法和</w:t>
      </w:r>
      <w:r>
        <w:rPr>
          <w:rFonts w:ascii="Times New Roman" w:hAnsi="Times New Roman" w:hint="eastAsia"/>
          <w:sz w:val="28"/>
          <w:szCs w:val="28"/>
        </w:rPr>
        <w:t>it</w:t>
      </w:r>
      <w:r>
        <w:rPr>
          <w:rFonts w:ascii="Times New Roman" w:hAnsi="Times New Roman" w:hint="eastAsia"/>
          <w:sz w:val="28"/>
          <w:szCs w:val="28"/>
        </w:rPr>
        <w:t>的用法和译法等翻译技巧。</w:t>
      </w:r>
    </w:p>
    <w:p w:rsidR="00CF1222" w:rsidRDefault="00CF1222" w:rsidP="00CF1222">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rPr>
        <w:t>课程思政设计</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hint="eastAsia"/>
          <w:sz w:val="28"/>
          <w:szCs w:val="28"/>
        </w:rPr>
        <w:t>通过本课程学习，使学生掌握本专业常用使土木工程专业英语术语和表达，提高阅读、理解、翻译英语文献的能力，初步培养专业英语的表达能力和写作能力。在教学过程中，强化师生互动、生生互动环节，培养学生良好的人际交往、协作配合能力。引导和鼓励学生通过学校图书馆、互联网等渠道了解土木工程学科前沿和动态以及我国和国际在本领域的相关研究，开阔学生视野，让学生明白课程的重要性，提升学生的学习积极性，培养学生在在今后的学习和工作过程中，根据需要及时、准确地学习、查阅、借鉴国内外相关领域的新知识、新成果和新动态的能力。在课堂授课过程中，结合中国历史上的著名建筑，宣扬我国在本领域的发展状况，提升学生的文化自信和培养学生的和爱国情怀。以授课内容中的结构稳定基本理论、钢结构设计和地基基础设计等相关知识为引例，提高学生的分析问题能力，为学生后续的专业学习和职业需要提供支撑，同时提高学生在工程设计、施</w:t>
      </w:r>
      <w:r>
        <w:rPr>
          <w:rFonts w:ascii="Times New Roman" w:hAnsi="Times New Roman" w:hint="eastAsia"/>
          <w:sz w:val="28"/>
          <w:szCs w:val="28"/>
        </w:rPr>
        <w:lastRenderedPageBreak/>
        <w:t>工等过程中责任意识和安全意识，培养良好的职业精神。</w:t>
      </w:r>
    </w:p>
    <w:p w:rsidR="00CF1222" w:rsidRDefault="00CF1222" w:rsidP="00CF1222">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四、教学内容安排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470"/>
        <w:gridCol w:w="784"/>
        <w:gridCol w:w="1150"/>
        <w:gridCol w:w="1262"/>
        <w:gridCol w:w="3173"/>
      </w:tblGrid>
      <w:tr w:rsidR="00CF1222" w:rsidTr="00CF1222">
        <w:trPr>
          <w:cantSplit/>
          <w:trHeight w:val="785"/>
          <w:tblHeader/>
        </w:trPr>
        <w:tc>
          <w:tcPr>
            <w:tcW w:w="0" w:type="auto"/>
            <w:vAlign w:val="center"/>
          </w:tcPr>
          <w:p w:rsidR="00CF1222" w:rsidRDefault="00CF1222" w:rsidP="00CF1222">
            <w:pPr>
              <w:jc w:val="center"/>
              <w:rPr>
                <w:rFonts w:ascii="Times New Roman" w:hAnsi="Times New Roman"/>
                <w:b/>
                <w:kern w:val="0"/>
                <w:sz w:val="24"/>
                <w:szCs w:val="24"/>
              </w:rPr>
            </w:pPr>
            <w:bookmarkStart w:id="7" w:name="_Hlk75276589"/>
            <w:r>
              <w:rPr>
                <w:rFonts w:ascii="Times New Roman" w:hAnsi="Times New Roman"/>
                <w:b/>
                <w:kern w:val="0"/>
                <w:sz w:val="24"/>
                <w:szCs w:val="24"/>
              </w:rPr>
              <w:t>序号</w:t>
            </w:r>
          </w:p>
        </w:tc>
        <w:tc>
          <w:tcPr>
            <w:tcW w:w="1470" w:type="dxa"/>
            <w:vAlign w:val="center"/>
          </w:tcPr>
          <w:p w:rsidR="00CF1222" w:rsidRDefault="00CF1222" w:rsidP="00CF1222">
            <w:pPr>
              <w:jc w:val="center"/>
              <w:rPr>
                <w:rFonts w:ascii="Times New Roman" w:hAnsi="Times New Roman"/>
                <w:b/>
                <w:kern w:val="0"/>
                <w:sz w:val="24"/>
                <w:szCs w:val="24"/>
              </w:rPr>
            </w:pPr>
            <w:r>
              <w:rPr>
                <w:rFonts w:ascii="Times New Roman" w:hAnsi="Times New Roman"/>
                <w:b/>
                <w:kern w:val="0"/>
                <w:sz w:val="24"/>
                <w:szCs w:val="24"/>
              </w:rPr>
              <w:t>章节</w:t>
            </w:r>
          </w:p>
        </w:tc>
        <w:tc>
          <w:tcPr>
            <w:tcW w:w="875" w:type="dxa"/>
            <w:vAlign w:val="center"/>
          </w:tcPr>
          <w:p w:rsidR="00CF1222" w:rsidRDefault="00CF1222" w:rsidP="00CF1222">
            <w:pPr>
              <w:jc w:val="center"/>
              <w:rPr>
                <w:rFonts w:ascii="Times New Roman" w:hAnsi="Times New Roman"/>
                <w:b/>
                <w:kern w:val="0"/>
                <w:sz w:val="24"/>
                <w:szCs w:val="24"/>
              </w:rPr>
            </w:pPr>
            <w:r>
              <w:rPr>
                <w:rFonts w:ascii="Times New Roman" w:hAnsi="Times New Roman"/>
                <w:b/>
                <w:kern w:val="0"/>
                <w:sz w:val="24"/>
                <w:szCs w:val="24"/>
              </w:rPr>
              <w:t>参考学时</w:t>
            </w:r>
          </w:p>
        </w:tc>
        <w:tc>
          <w:tcPr>
            <w:tcW w:w="1275" w:type="dxa"/>
            <w:vAlign w:val="center"/>
          </w:tcPr>
          <w:p w:rsidR="00CF1222" w:rsidRDefault="00CF1222" w:rsidP="00CF1222">
            <w:pPr>
              <w:rPr>
                <w:rFonts w:ascii="Times New Roman" w:hAnsi="Times New Roman"/>
                <w:b/>
                <w:kern w:val="0"/>
                <w:sz w:val="24"/>
                <w:szCs w:val="24"/>
              </w:rPr>
            </w:pPr>
            <w:r>
              <w:rPr>
                <w:rFonts w:ascii="Times New Roman" w:hAnsi="Times New Roman"/>
                <w:b/>
                <w:kern w:val="0"/>
                <w:sz w:val="24"/>
                <w:szCs w:val="24"/>
              </w:rPr>
              <w:t>教学内容</w:t>
            </w:r>
          </w:p>
        </w:tc>
        <w:tc>
          <w:tcPr>
            <w:tcW w:w="1418" w:type="dxa"/>
            <w:vAlign w:val="center"/>
          </w:tcPr>
          <w:p w:rsidR="00CF1222" w:rsidRDefault="00CF1222" w:rsidP="00CF1222">
            <w:pPr>
              <w:rPr>
                <w:rFonts w:ascii="Times New Roman" w:hAnsi="Times New Roman"/>
                <w:b/>
                <w:kern w:val="0"/>
                <w:sz w:val="24"/>
                <w:szCs w:val="24"/>
              </w:rPr>
            </w:pPr>
            <w:r>
              <w:rPr>
                <w:rFonts w:ascii="Times New Roman" w:hAnsi="Times New Roman"/>
                <w:b/>
                <w:kern w:val="0"/>
                <w:sz w:val="24"/>
                <w:szCs w:val="24"/>
              </w:rPr>
              <w:t>基本要求</w:t>
            </w:r>
          </w:p>
        </w:tc>
        <w:tc>
          <w:tcPr>
            <w:tcW w:w="3791" w:type="dxa"/>
            <w:vAlign w:val="center"/>
          </w:tcPr>
          <w:p w:rsidR="00CF1222" w:rsidRDefault="00CF1222" w:rsidP="00CF1222">
            <w:pPr>
              <w:jc w:val="center"/>
              <w:rPr>
                <w:rFonts w:ascii="Times New Roman" w:hAnsi="Times New Roman"/>
                <w:b/>
                <w:kern w:val="0"/>
                <w:sz w:val="24"/>
                <w:szCs w:val="24"/>
              </w:rPr>
            </w:pPr>
            <w:r>
              <w:rPr>
                <w:rFonts w:ascii="Times New Roman" w:hAnsi="Times New Roman" w:hint="eastAsia"/>
                <w:b/>
                <w:kern w:val="0"/>
                <w:sz w:val="24"/>
                <w:szCs w:val="24"/>
              </w:rPr>
              <w:t>对毕业要求的支撑</w:t>
            </w:r>
          </w:p>
        </w:tc>
      </w:tr>
      <w:tr w:rsidR="00CF1222" w:rsidTr="00CF1222">
        <w:trPr>
          <w:trHeight w:val="428"/>
        </w:trPr>
        <w:tc>
          <w:tcPr>
            <w:tcW w:w="0" w:type="auto"/>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1</w:t>
            </w:r>
          </w:p>
        </w:tc>
        <w:tc>
          <w:tcPr>
            <w:tcW w:w="1470"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Lesson 1 Manmade building materials</w:t>
            </w:r>
          </w:p>
        </w:tc>
        <w:tc>
          <w:tcPr>
            <w:tcW w:w="875"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2</w:t>
            </w:r>
          </w:p>
        </w:tc>
        <w:tc>
          <w:tcPr>
            <w:tcW w:w="127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土木工程材料方面的英语读写译知识</w:t>
            </w:r>
          </w:p>
        </w:tc>
        <w:tc>
          <w:tcPr>
            <w:tcW w:w="1418"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了解专业外语的基本翻译方法：直译和意译</w:t>
            </w:r>
          </w:p>
        </w:tc>
        <w:tc>
          <w:tcPr>
            <w:tcW w:w="3791"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10.2</w:t>
            </w:r>
            <w:r>
              <w:rPr>
                <w:rFonts w:ascii="Times New Roman" w:hAnsi="Times New Roman" w:hint="eastAsia"/>
                <w:kern w:val="0"/>
                <w:sz w:val="24"/>
                <w:szCs w:val="24"/>
              </w:rPr>
              <w:t>：关注全球性问题，掌握一门外语，具有一定的国际视野，熟悉土木工程专业领域国内外发展动态，能够在跨文化背景下进行专业沟通和交流。”和“指标点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CF1222" w:rsidTr="00CF1222">
        <w:trPr>
          <w:trHeight w:val="519"/>
        </w:trPr>
        <w:tc>
          <w:tcPr>
            <w:tcW w:w="0" w:type="auto"/>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2</w:t>
            </w:r>
          </w:p>
        </w:tc>
        <w:tc>
          <w:tcPr>
            <w:tcW w:w="1470"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Lesson 2 Tensile strength</w:t>
            </w:r>
          </w:p>
        </w:tc>
        <w:tc>
          <w:tcPr>
            <w:tcW w:w="875"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2</w:t>
            </w:r>
          </w:p>
        </w:tc>
        <w:tc>
          <w:tcPr>
            <w:tcW w:w="127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讲授材料强度理论方面的英语读写译知识</w:t>
            </w:r>
          </w:p>
        </w:tc>
        <w:tc>
          <w:tcPr>
            <w:tcW w:w="1418"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掌握专业外语的翻译技巧：词义的选择和引申</w:t>
            </w:r>
          </w:p>
        </w:tc>
        <w:tc>
          <w:tcPr>
            <w:tcW w:w="3791"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10.2</w:t>
            </w:r>
            <w:r>
              <w:rPr>
                <w:rFonts w:ascii="Times New Roman" w:hAnsi="Times New Roman" w:hint="eastAsia"/>
                <w:kern w:val="0"/>
                <w:sz w:val="24"/>
                <w:szCs w:val="24"/>
              </w:rPr>
              <w:t>：关注全球性问题，掌握一门外语，具有一定的国际视野，熟悉土木工程专业领域国内外发展动态，能够在跨文化背景下进行专业沟通和交流。”和“指标点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CF1222" w:rsidTr="00CF1222">
        <w:trPr>
          <w:trHeight w:val="555"/>
        </w:trPr>
        <w:tc>
          <w:tcPr>
            <w:tcW w:w="0" w:type="auto"/>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3</w:t>
            </w:r>
          </w:p>
        </w:tc>
        <w:tc>
          <w:tcPr>
            <w:tcW w:w="1470"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Lesson 3 Beam</w:t>
            </w:r>
          </w:p>
        </w:tc>
        <w:tc>
          <w:tcPr>
            <w:tcW w:w="875"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2</w:t>
            </w:r>
          </w:p>
        </w:tc>
        <w:tc>
          <w:tcPr>
            <w:tcW w:w="127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受弯构件受力性能如梁、板等方面的英语读写译知识</w:t>
            </w:r>
          </w:p>
        </w:tc>
        <w:tc>
          <w:tcPr>
            <w:tcW w:w="1418"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掌握专业外语的翻译技巧：词类转换</w:t>
            </w:r>
          </w:p>
        </w:tc>
        <w:tc>
          <w:tcPr>
            <w:tcW w:w="3791"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10.2</w:t>
            </w:r>
            <w:r>
              <w:rPr>
                <w:rFonts w:ascii="Times New Roman" w:hAnsi="Times New Roman" w:hint="eastAsia"/>
                <w:kern w:val="0"/>
                <w:sz w:val="24"/>
                <w:szCs w:val="24"/>
              </w:rPr>
              <w:t>：关注全球性问题，掌握一门外语，具有一定的国际视野，熟悉土木工程专业领域国内外发展动态，能够在跨文化背景下进行专业沟通和交流。”和“指标点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w:t>
            </w:r>
            <w:r>
              <w:rPr>
                <w:rFonts w:ascii="Times New Roman" w:hAnsi="Times New Roman" w:hint="eastAsia"/>
                <w:kern w:val="0"/>
                <w:sz w:val="24"/>
                <w:szCs w:val="24"/>
              </w:rPr>
              <w:lastRenderedPageBreak/>
              <w:t>木工程专业学科前沿，具有自主学习和终身学习意识”。</w:t>
            </w:r>
          </w:p>
        </w:tc>
      </w:tr>
      <w:tr w:rsidR="00CF1222" w:rsidTr="00CF1222">
        <w:trPr>
          <w:trHeight w:val="548"/>
        </w:trPr>
        <w:tc>
          <w:tcPr>
            <w:tcW w:w="0" w:type="auto"/>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lastRenderedPageBreak/>
              <w:t>4</w:t>
            </w:r>
          </w:p>
        </w:tc>
        <w:tc>
          <w:tcPr>
            <w:tcW w:w="1470"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Lesson 4 Truss</w:t>
            </w:r>
          </w:p>
        </w:tc>
        <w:tc>
          <w:tcPr>
            <w:tcW w:w="875" w:type="dxa"/>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127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架构件方面的英语读写译知识</w:t>
            </w:r>
          </w:p>
        </w:tc>
        <w:tc>
          <w:tcPr>
            <w:tcW w:w="1418"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掌握专业外语翻译中句子成分的转换</w:t>
            </w:r>
          </w:p>
        </w:tc>
        <w:tc>
          <w:tcPr>
            <w:tcW w:w="3791"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10.2</w:t>
            </w:r>
            <w:r>
              <w:rPr>
                <w:rFonts w:ascii="Times New Roman" w:hAnsi="Times New Roman" w:hint="eastAsia"/>
                <w:kern w:val="0"/>
                <w:sz w:val="24"/>
                <w:szCs w:val="24"/>
              </w:rPr>
              <w:t>：关注全球性问题，掌握一门外语，具有一定的国际视野，熟悉土木工程专业领域国内外发展动态，能够在跨文化背景下进行专业沟通和交流。”和“指标点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CF1222" w:rsidTr="00CF1222">
        <w:trPr>
          <w:trHeight w:val="548"/>
        </w:trPr>
        <w:tc>
          <w:tcPr>
            <w:tcW w:w="0" w:type="auto"/>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t>5</w:t>
            </w:r>
          </w:p>
        </w:tc>
        <w:tc>
          <w:tcPr>
            <w:tcW w:w="1470"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Lesson 5 Buckling theory for columns</w:t>
            </w:r>
          </w:p>
        </w:tc>
        <w:tc>
          <w:tcPr>
            <w:tcW w:w="875" w:type="dxa"/>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127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受压构件稳定理论方面的英语读写译知识</w:t>
            </w:r>
          </w:p>
        </w:tc>
        <w:tc>
          <w:tcPr>
            <w:tcW w:w="1418"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掌握专业外语翻译中增词和减词的技巧</w:t>
            </w:r>
          </w:p>
        </w:tc>
        <w:tc>
          <w:tcPr>
            <w:tcW w:w="3791"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10.2</w:t>
            </w:r>
            <w:r>
              <w:rPr>
                <w:rFonts w:ascii="Times New Roman" w:hAnsi="Times New Roman" w:hint="eastAsia"/>
                <w:kern w:val="0"/>
                <w:sz w:val="24"/>
                <w:szCs w:val="24"/>
              </w:rPr>
              <w:t>：关注全球性问题，掌握一门外语，具有一定的国际视野，熟悉土木工程专业领域国内外发展动态，能够在跨文化背景下进行专业沟通和交流。”和“指标点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CF1222" w:rsidTr="00CF1222">
        <w:trPr>
          <w:trHeight w:val="548"/>
        </w:trPr>
        <w:tc>
          <w:tcPr>
            <w:tcW w:w="0" w:type="auto"/>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t>6</w:t>
            </w:r>
          </w:p>
        </w:tc>
        <w:tc>
          <w:tcPr>
            <w:tcW w:w="1470"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Lesson 6 Fundamental principle of structural analysis</w:t>
            </w:r>
          </w:p>
        </w:tc>
        <w:tc>
          <w:tcPr>
            <w:tcW w:w="875" w:type="dxa"/>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127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结构分析基本原理方面的英语读写译知识</w:t>
            </w:r>
          </w:p>
        </w:tc>
        <w:tc>
          <w:tcPr>
            <w:tcW w:w="1418"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掌握专业外语翻译中数词的译法</w:t>
            </w:r>
          </w:p>
        </w:tc>
        <w:tc>
          <w:tcPr>
            <w:tcW w:w="3791"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10.2</w:t>
            </w:r>
            <w:r>
              <w:rPr>
                <w:rFonts w:ascii="Times New Roman" w:hAnsi="Times New Roman" w:hint="eastAsia"/>
                <w:kern w:val="0"/>
                <w:sz w:val="24"/>
                <w:szCs w:val="24"/>
              </w:rPr>
              <w:t>：关注全球性问题，掌握一门外语，具有一定的国际视野，熟悉土木工程专业领域国内外发展动态，能够在跨文化背景下进行专业沟通和交流。”和“指标点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CF1222" w:rsidTr="00CF1222">
        <w:trPr>
          <w:trHeight w:val="548"/>
        </w:trPr>
        <w:tc>
          <w:tcPr>
            <w:tcW w:w="0" w:type="auto"/>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lastRenderedPageBreak/>
              <w:t>7</w:t>
            </w:r>
          </w:p>
        </w:tc>
        <w:tc>
          <w:tcPr>
            <w:tcW w:w="1470"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Lesson 7 Building frame</w:t>
            </w:r>
          </w:p>
        </w:tc>
        <w:tc>
          <w:tcPr>
            <w:tcW w:w="875" w:type="dxa"/>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127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建筑结构受力性能方面的英语读写译知识</w:t>
            </w:r>
          </w:p>
        </w:tc>
        <w:tc>
          <w:tcPr>
            <w:tcW w:w="1418"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掌握专业外语翻译中否定译法的技巧</w:t>
            </w:r>
          </w:p>
        </w:tc>
        <w:tc>
          <w:tcPr>
            <w:tcW w:w="3791"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10.2</w:t>
            </w:r>
            <w:r>
              <w:rPr>
                <w:rFonts w:ascii="Times New Roman" w:hAnsi="Times New Roman" w:hint="eastAsia"/>
                <w:kern w:val="0"/>
                <w:sz w:val="24"/>
                <w:szCs w:val="24"/>
              </w:rPr>
              <w:t>：关注全球性问题，掌握一门外语，具有一定的国际视野，熟悉土木工程专业领域国内外发展动态，能够在跨文化背景下进行专业沟通和交流。”和“指标点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CF1222" w:rsidTr="00CF1222">
        <w:trPr>
          <w:trHeight w:val="548"/>
        </w:trPr>
        <w:tc>
          <w:tcPr>
            <w:tcW w:w="0" w:type="auto"/>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t>8</w:t>
            </w:r>
          </w:p>
        </w:tc>
        <w:tc>
          <w:tcPr>
            <w:tcW w:w="1470"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Lesson 9 Reinforced concrete</w:t>
            </w:r>
          </w:p>
        </w:tc>
        <w:tc>
          <w:tcPr>
            <w:tcW w:w="875" w:type="dxa"/>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127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钢筋混凝土等方面的英语读写译知识</w:t>
            </w:r>
          </w:p>
        </w:tc>
        <w:tc>
          <w:tcPr>
            <w:tcW w:w="1418"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掌握专业外语分译法翻译的技巧</w:t>
            </w:r>
          </w:p>
        </w:tc>
        <w:tc>
          <w:tcPr>
            <w:tcW w:w="3791"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10.2</w:t>
            </w:r>
            <w:r>
              <w:rPr>
                <w:rFonts w:ascii="Times New Roman" w:hAnsi="Times New Roman" w:hint="eastAsia"/>
                <w:kern w:val="0"/>
                <w:sz w:val="24"/>
                <w:szCs w:val="24"/>
              </w:rPr>
              <w:t>：关注全球性问题，掌握一门外语，具有一定的国际视野，熟悉土木工程专业领域国内外发展动态，能够在跨文化背景下进行专业沟通和交流。”和“指标点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CF1222" w:rsidTr="00CF1222">
        <w:trPr>
          <w:trHeight w:val="548"/>
        </w:trPr>
        <w:tc>
          <w:tcPr>
            <w:tcW w:w="0" w:type="auto"/>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t>9</w:t>
            </w:r>
          </w:p>
        </w:tc>
        <w:tc>
          <w:tcPr>
            <w:tcW w:w="1470"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Lesson 10 Compressive strength of concrete</w:t>
            </w:r>
          </w:p>
        </w:tc>
        <w:tc>
          <w:tcPr>
            <w:tcW w:w="875" w:type="dxa"/>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127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混凝土受压性能等方面的英语读写译知识</w:t>
            </w:r>
          </w:p>
        </w:tc>
        <w:tc>
          <w:tcPr>
            <w:tcW w:w="1418"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掌握专业外语合译法翻译的技巧</w:t>
            </w:r>
          </w:p>
        </w:tc>
        <w:tc>
          <w:tcPr>
            <w:tcW w:w="3791"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10.2</w:t>
            </w:r>
            <w:r>
              <w:rPr>
                <w:rFonts w:ascii="Times New Roman" w:hAnsi="Times New Roman" w:hint="eastAsia"/>
                <w:kern w:val="0"/>
                <w:sz w:val="24"/>
                <w:szCs w:val="24"/>
              </w:rPr>
              <w:t>：关注全球性问题，掌握一门外语，具有一定的国际视野，熟悉土木工程专业领域国内外发展动态，能够在跨文化背景下进行专业沟通和交流。”和“指标点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CF1222" w:rsidTr="00CF1222">
        <w:trPr>
          <w:trHeight w:val="548"/>
        </w:trPr>
        <w:tc>
          <w:tcPr>
            <w:tcW w:w="0" w:type="auto"/>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t>10</w:t>
            </w:r>
          </w:p>
        </w:tc>
        <w:tc>
          <w:tcPr>
            <w:tcW w:w="1470"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 xml:space="preserve">Lesson 11 Steel structure </w:t>
            </w:r>
            <w:r>
              <w:rPr>
                <w:rFonts w:ascii="Times New Roman" w:hAnsi="Times New Roman"/>
                <w:kern w:val="0"/>
                <w:sz w:val="24"/>
                <w:szCs w:val="24"/>
              </w:rPr>
              <w:lastRenderedPageBreak/>
              <w:t>design formats</w:t>
            </w:r>
          </w:p>
        </w:tc>
        <w:tc>
          <w:tcPr>
            <w:tcW w:w="875" w:type="dxa"/>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hint="eastAsia"/>
                <w:sz w:val="24"/>
                <w:szCs w:val="24"/>
              </w:rPr>
              <w:lastRenderedPageBreak/>
              <w:t>2</w:t>
            </w:r>
          </w:p>
        </w:tc>
        <w:tc>
          <w:tcPr>
            <w:tcW w:w="127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钢结构设计等方面的</w:t>
            </w:r>
            <w:r>
              <w:rPr>
                <w:rFonts w:ascii="Times New Roman" w:hAnsi="Times New Roman" w:hint="eastAsia"/>
                <w:kern w:val="0"/>
                <w:sz w:val="24"/>
                <w:szCs w:val="24"/>
              </w:rPr>
              <w:lastRenderedPageBreak/>
              <w:t>英语读写译知识</w:t>
            </w:r>
          </w:p>
        </w:tc>
        <w:tc>
          <w:tcPr>
            <w:tcW w:w="1418"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lastRenderedPageBreak/>
              <w:t>掌握专业外语名词性从句的</w:t>
            </w:r>
            <w:r>
              <w:rPr>
                <w:rFonts w:ascii="Times New Roman" w:hAnsi="Times New Roman" w:hint="eastAsia"/>
                <w:kern w:val="0"/>
                <w:sz w:val="24"/>
                <w:szCs w:val="24"/>
              </w:rPr>
              <w:lastRenderedPageBreak/>
              <w:t>译法</w:t>
            </w:r>
          </w:p>
        </w:tc>
        <w:tc>
          <w:tcPr>
            <w:tcW w:w="3791"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lastRenderedPageBreak/>
              <w:t>本章知识点的讲授和学习，可支撑“指标点</w:t>
            </w:r>
            <w:r>
              <w:rPr>
                <w:rFonts w:ascii="Times New Roman" w:hAnsi="Times New Roman" w:hint="eastAsia"/>
                <w:kern w:val="0"/>
                <w:sz w:val="24"/>
                <w:szCs w:val="24"/>
              </w:rPr>
              <w:t>10.2</w:t>
            </w:r>
            <w:r>
              <w:rPr>
                <w:rFonts w:ascii="Times New Roman" w:hAnsi="Times New Roman" w:hint="eastAsia"/>
                <w:kern w:val="0"/>
                <w:sz w:val="24"/>
                <w:szCs w:val="24"/>
              </w:rPr>
              <w:t>：关注全球性问题，掌握一门外语，具</w:t>
            </w:r>
            <w:r>
              <w:rPr>
                <w:rFonts w:ascii="Times New Roman" w:hAnsi="Times New Roman" w:hint="eastAsia"/>
                <w:kern w:val="0"/>
                <w:sz w:val="24"/>
                <w:szCs w:val="24"/>
              </w:rPr>
              <w:lastRenderedPageBreak/>
              <w:t>有一定的国际视野，熟悉土木工程专业领域国内外发展动态，能够在跨文化背景下进行专业沟通和交流。”和“指标点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CF1222" w:rsidTr="00CF1222">
        <w:trPr>
          <w:trHeight w:val="548"/>
        </w:trPr>
        <w:tc>
          <w:tcPr>
            <w:tcW w:w="0" w:type="auto"/>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lastRenderedPageBreak/>
              <w:t>11</w:t>
            </w:r>
          </w:p>
        </w:tc>
        <w:tc>
          <w:tcPr>
            <w:tcW w:w="1470"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Lesson 14 Footings</w:t>
            </w:r>
          </w:p>
        </w:tc>
        <w:tc>
          <w:tcPr>
            <w:tcW w:w="875" w:type="dxa"/>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127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地基基础设计等方面的英语读写译知识</w:t>
            </w:r>
          </w:p>
        </w:tc>
        <w:tc>
          <w:tcPr>
            <w:tcW w:w="1418"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掌握专业外语状语从句的译法；掌握</w:t>
            </w:r>
            <w:r>
              <w:rPr>
                <w:rFonts w:ascii="Times New Roman" w:hAnsi="Times New Roman" w:hint="eastAsia"/>
                <w:kern w:val="0"/>
                <w:sz w:val="24"/>
                <w:szCs w:val="24"/>
              </w:rPr>
              <w:t>it</w:t>
            </w:r>
            <w:r>
              <w:rPr>
                <w:rFonts w:ascii="Times New Roman" w:hAnsi="Times New Roman" w:hint="eastAsia"/>
                <w:kern w:val="0"/>
                <w:sz w:val="24"/>
                <w:szCs w:val="24"/>
              </w:rPr>
              <w:t>的用法和译法</w:t>
            </w:r>
          </w:p>
        </w:tc>
        <w:tc>
          <w:tcPr>
            <w:tcW w:w="3791"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10.2</w:t>
            </w:r>
            <w:r>
              <w:rPr>
                <w:rFonts w:ascii="Times New Roman" w:hAnsi="Times New Roman" w:hint="eastAsia"/>
                <w:kern w:val="0"/>
                <w:sz w:val="24"/>
                <w:szCs w:val="24"/>
              </w:rPr>
              <w:t>：关注全球性问题，掌握一门外语，具有一定的国际视野，熟悉土木工程专业领域国内外发展动态，能够在跨文化背景下进行专业沟通和交流。”和“指标点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CF1222" w:rsidTr="00CF1222">
        <w:trPr>
          <w:trHeight w:val="548"/>
        </w:trPr>
        <w:tc>
          <w:tcPr>
            <w:tcW w:w="0" w:type="auto"/>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hint="eastAsia"/>
                <w:sz w:val="24"/>
                <w:szCs w:val="24"/>
              </w:rPr>
              <w:t>12</w:t>
            </w:r>
          </w:p>
        </w:tc>
        <w:tc>
          <w:tcPr>
            <w:tcW w:w="1470"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复习、答疑</w:t>
            </w:r>
          </w:p>
        </w:tc>
        <w:tc>
          <w:tcPr>
            <w:tcW w:w="875" w:type="dxa"/>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1275" w:type="dxa"/>
            <w:vAlign w:val="center"/>
          </w:tcPr>
          <w:p w:rsidR="00CF1222" w:rsidRDefault="00CF1222" w:rsidP="00CF1222">
            <w:pPr>
              <w:rPr>
                <w:rFonts w:ascii="Times New Roman" w:hAnsi="Times New Roman"/>
                <w:kern w:val="0"/>
                <w:sz w:val="24"/>
                <w:szCs w:val="24"/>
              </w:rPr>
            </w:pPr>
          </w:p>
        </w:tc>
        <w:tc>
          <w:tcPr>
            <w:tcW w:w="1418" w:type="dxa"/>
            <w:vAlign w:val="center"/>
          </w:tcPr>
          <w:p w:rsidR="00CF1222" w:rsidRDefault="00CF1222" w:rsidP="00CF1222">
            <w:pPr>
              <w:rPr>
                <w:rFonts w:ascii="Times New Roman" w:hAnsi="Times New Roman"/>
                <w:kern w:val="0"/>
                <w:sz w:val="24"/>
                <w:szCs w:val="24"/>
              </w:rPr>
            </w:pPr>
          </w:p>
        </w:tc>
        <w:tc>
          <w:tcPr>
            <w:tcW w:w="3791" w:type="dxa"/>
            <w:vAlign w:val="center"/>
          </w:tcPr>
          <w:p w:rsidR="00CF1222" w:rsidRDefault="00CF1222" w:rsidP="00CF1222">
            <w:pPr>
              <w:rPr>
                <w:rFonts w:ascii="Times New Roman" w:hAnsi="Times New Roman"/>
                <w:kern w:val="0"/>
                <w:sz w:val="24"/>
                <w:szCs w:val="24"/>
              </w:rPr>
            </w:pPr>
          </w:p>
        </w:tc>
      </w:tr>
    </w:tbl>
    <w:bookmarkEnd w:id="7"/>
    <w:p w:rsidR="00CF1222" w:rsidRDefault="00CF1222" w:rsidP="00CF1222">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五、课程考核方式与成绩评定</w:t>
      </w:r>
    </w:p>
    <w:p w:rsidR="00CF1222" w:rsidRDefault="00CF1222" w:rsidP="00CF1222">
      <w:pPr>
        <w:snapToGrid w:val="0"/>
        <w:spacing w:line="360" w:lineRule="auto"/>
        <w:ind w:firstLineChars="200" w:firstLine="560"/>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课程考核</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课程的考核方式为考试，课程总评成绩由平时成绩和期终考试（闭卷）</w:t>
      </w:r>
      <w:r>
        <w:rPr>
          <w:rFonts w:ascii="Times New Roman" w:hAnsi="Times New Roman" w:hint="eastAsia"/>
          <w:sz w:val="28"/>
          <w:szCs w:val="28"/>
        </w:rPr>
        <w:t>2</w:t>
      </w:r>
      <w:r>
        <w:rPr>
          <w:rFonts w:ascii="Times New Roman" w:hAnsi="Times New Roman" w:hint="eastAsia"/>
          <w:sz w:val="28"/>
          <w:szCs w:val="28"/>
        </w:rPr>
        <w:t>个考核环节综合评定产生。</w:t>
      </w:r>
    </w:p>
    <w:p w:rsidR="00CF1222" w:rsidRDefault="00CF1222" w:rsidP="005F6318">
      <w:pPr>
        <w:numPr>
          <w:ilvl w:val="0"/>
          <w:numId w:val="2"/>
        </w:numPr>
        <w:spacing w:beforeLines="50" w:before="156" w:line="360" w:lineRule="auto"/>
        <w:ind w:firstLineChars="200" w:firstLine="560"/>
        <w:rPr>
          <w:rFonts w:ascii="Times New Roman" w:hAnsi="Times New Roman"/>
          <w:sz w:val="28"/>
          <w:szCs w:val="28"/>
        </w:rPr>
      </w:pPr>
      <w:r>
        <w:rPr>
          <w:rFonts w:ascii="Times New Roman" w:hAnsi="Times New Roman"/>
          <w:sz w:val="28"/>
          <w:szCs w:val="28"/>
        </w:rPr>
        <w:t>成绩评定</w:t>
      </w:r>
    </w:p>
    <w:p w:rsidR="00CF1222" w:rsidRDefault="00CF1222" w:rsidP="00CF1222">
      <w:pPr>
        <w:spacing w:line="360" w:lineRule="auto"/>
        <w:ind w:firstLineChars="200" w:firstLine="560"/>
        <w:rPr>
          <w:rFonts w:ascii="Times New Roman" w:hAnsi="Times New Roman"/>
          <w:sz w:val="28"/>
          <w:szCs w:val="28"/>
        </w:rPr>
      </w:pPr>
      <w:r>
        <w:rPr>
          <w:rFonts w:ascii="Times New Roman" w:hAnsi="Times New Roman" w:hint="eastAsia"/>
          <w:sz w:val="28"/>
          <w:szCs w:val="28"/>
        </w:rPr>
        <w:t>成绩评定方式为百分制</w:t>
      </w:r>
    </w:p>
    <w:p w:rsidR="00CF1222" w:rsidRDefault="00CF1222" w:rsidP="00CF1222">
      <w:pPr>
        <w:spacing w:line="360" w:lineRule="auto"/>
        <w:ind w:firstLineChars="200" w:firstLine="560"/>
        <w:rPr>
          <w:rFonts w:ascii="Times New Roman" w:hAnsi="Times New Roman"/>
          <w:sz w:val="28"/>
          <w:szCs w:val="28"/>
        </w:rPr>
      </w:pPr>
      <w:r>
        <w:rPr>
          <w:rFonts w:ascii="Times New Roman" w:hAnsi="Times New Roman" w:hint="eastAsia"/>
          <w:sz w:val="28"/>
          <w:szCs w:val="28"/>
        </w:rPr>
        <w:t>课程总成绩</w:t>
      </w:r>
      <w:r>
        <w:rPr>
          <w:rFonts w:ascii="Times New Roman" w:hAnsi="Times New Roman" w:hint="eastAsia"/>
          <w:sz w:val="28"/>
          <w:szCs w:val="28"/>
        </w:rPr>
        <w:t>=</w:t>
      </w:r>
      <w:r>
        <w:rPr>
          <w:rFonts w:ascii="Times New Roman" w:hAnsi="Times New Roman" w:hint="eastAsia"/>
          <w:sz w:val="28"/>
          <w:szCs w:val="28"/>
        </w:rPr>
        <w:t>期末成绩</w:t>
      </w:r>
      <w:r>
        <w:rPr>
          <w:rFonts w:ascii="Times New Roman" w:hAnsi="Times New Roman" w:hint="eastAsia"/>
          <w:sz w:val="28"/>
          <w:szCs w:val="28"/>
        </w:rPr>
        <w:t>30%+</w:t>
      </w:r>
      <w:r>
        <w:rPr>
          <w:rFonts w:ascii="Times New Roman" w:hAnsi="Times New Roman" w:hint="eastAsia"/>
          <w:sz w:val="28"/>
          <w:szCs w:val="28"/>
        </w:rPr>
        <w:t>平时成绩</w:t>
      </w:r>
      <w:r>
        <w:rPr>
          <w:rFonts w:ascii="Times New Roman" w:hAnsi="Times New Roman" w:hint="eastAsia"/>
          <w:sz w:val="28"/>
          <w:szCs w:val="28"/>
        </w:rPr>
        <w:t>70%</w:t>
      </w:r>
    </w:p>
    <w:p w:rsidR="00CF1222" w:rsidRDefault="00CF1222" w:rsidP="00CF1222">
      <w:pPr>
        <w:spacing w:line="360" w:lineRule="auto"/>
        <w:ind w:firstLineChars="200" w:firstLine="560"/>
        <w:rPr>
          <w:rFonts w:ascii="Times New Roman" w:hAnsi="Times New Roman"/>
          <w:sz w:val="28"/>
          <w:szCs w:val="28"/>
        </w:rPr>
      </w:pPr>
      <w:r>
        <w:rPr>
          <w:rFonts w:ascii="Times New Roman" w:hAnsi="Times New Roman"/>
          <w:sz w:val="28"/>
          <w:szCs w:val="28"/>
        </w:rPr>
        <w:t>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4637"/>
        <w:gridCol w:w="1667"/>
      </w:tblGrid>
      <w:tr w:rsidR="00CF1222" w:rsidTr="00CF1222">
        <w:trPr>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lastRenderedPageBreak/>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教学目标</w:t>
            </w:r>
          </w:p>
        </w:tc>
      </w:tr>
      <w:tr w:rsidR="00CF1222" w:rsidTr="00CF1222">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分项比例</w:t>
            </w:r>
          </w:p>
        </w:tc>
        <w:tc>
          <w:tcPr>
            <w:tcW w:w="2795"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考核要求</w:t>
            </w:r>
          </w:p>
        </w:tc>
        <w:tc>
          <w:tcPr>
            <w:tcW w:w="1005"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p>
        </w:tc>
      </w:tr>
      <w:tr w:rsidR="00CF1222" w:rsidTr="00CF1222">
        <w:trPr>
          <w:trHeight w:val="1500"/>
          <w:jc w:val="center"/>
        </w:trPr>
        <w:tc>
          <w:tcPr>
            <w:tcW w:w="12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平时成绩</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3</w:t>
            </w:r>
            <w:r>
              <w:rPr>
                <w:rFonts w:ascii="Times New Roman" w:hAnsi="Times New Roman"/>
                <w:sz w:val="24"/>
                <w:szCs w:val="24"/>
              </w:rPr>
              <w:t>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出勤统计不少于授课次数的</w:t>
            </w:r>
            <w:r>
              <w:rPr>
                <w:rFonts w:ascii="Times New Roman" w:hAnsi="Times New Roman" w:hint="eastAsia"/>
                <w:sz w:val="24"/>
                <w:szCs w:val="24"/>
              </w:rPr>
              <w:t>3/4</w:t>
            </w:r>
            <w:r>
              <w:rPr>
                <w:rFonts w:ascii="Times New Roman" w:hAnsi="Times New Roman" w:hint="eastAsia"/>
                <w:sz w:val="24"/>
                <w:szCs w:val="24"/>
              </w:rPr>
              <w:t>，考察学生的重视度和参与度，占</w:t>
            </w:r>
            <w:r>
              <w:rPr>
                <w:rFonts w:ascii="Times New Roman" w:hAnsi="Times New Roman" w:hint="eastAsia"/>
                <w:sz w:val="24"/>
                <w:szCs w:val="24"/>
              </w:rPr>
              <w:t>20%</w:t>
            </w:r>
            <w:r>
              <w:rPr>
                <w:rFonts w:ascii="Times New Roman" w:hAnsi="Times New Roman" w:hint="eastAsia"/>
                <w:sz w:val="24"/>
                <w:szCs w:val="24"/>
              </w:rPr>
              <w:t>；随堂提问及讨论，授课过程中，让学生先自行翻译部分内容，其他学生给予改正或补充，重点考察学生课堂积极性、专业外语表达能力及知识掌握度，占</w:t>
            </w:r>
            <w:r>
              <w:rPr>
                <w:rFonts w:ascii="Times New Roman" w:hAnsi="Times New Roman" w:hint="eastAsia"/>
                <w:sz w:val="24"/>
                <w:szCs w:val="24"/>
              </w:rPr>
              <w:t>50%</w:t>
            </w:r>
            <w:r>
              <w:rPr>
                <w:rFonts w:ascii="Times New Roman" w:hAnsi="Times New Roman" w:hint="eastAsia"/>
                <w:sz w:val="24"/>
                <w:szCs w:val="24"/>
              </w:rPr>
              <w:t>；</w:t>
            </w:r>
            <w:r>
              <w:rPr>
                <w:rFonts w:ascii="Times New Roman" w:hAnsi="Times New Roman"/>
                <w:sz w:val="24"/>
                <w:szCs w:val="24"/>
              </w:rPr>
              <w:t>通过课后作业考核学生对</w:t>
            </w:r>
            <w:r>
              <w:rPr>
                <w:rFonts w:ascii="Times New Roman" w:hAnsi="Times New Roman" w:hint="eastAsia"/>
                <w:sz w:val="24"/>
                <w:szCs w:val="24"/>
              </w:rPr>
              <w:t>课本拓展阅读内容的阅读和翻译能力，</w:t>
            </w:r>
            <w:r>
              <w:rPr>
                <w:rFonts w:ascii="Times New Roman" w:hAnsi="Times New Roman"/>
                <w:sz w:val="24"/>
                <w:szCs w:val="24"/>
              </w:rPr>
              <w:t>占</w:t>
            </w:r>
            <w:r>
              <w:rPr>
                <w:rFonts w:ascii="Times New Roman" w:hAnsi="Times New Roman" w:hint="eastAsia"/>
                <w:sz w:val="24"/>
                <w:szCs w:val="24"/>
              </w:rPr>
              <w:t>3</w:t>
            </w:r>
            <w:r>
              <w:rPr>
                <w:rFonts w:ascii="Times New Roman" w:hAnsi="Times New Roman"/>
                <w:sz w:val="24"/>
                <w:szCs w:val="24"/>
              </w:rPr>
              <w:t>0%</w:t>
            </w:r>
            <w:r>
              <w:rPr>
                <w:rFonts w:ascii="Times New Roman" w:hAnsi="Times New Roman"/>
                <w:sz w:val="24"/>
                <w:szCs w:val="24"/>
              </w:rPr>
              <w:t>。</w:t>
            </w:r>
          </w:p>
        </w:tc>
        <w:tc>
          <w:tcPr>
            <w:tcW w:w="1005" w:type="pct"/>
            <w:tcBorders>
              <w:top w:val="single" w:sz="4" w:space="0" w:color="auto"/>
              <w:left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CF1222" w:rsidTr="00CF1222">
        <w:trPr>
          <w:trHeight w:val="900"/>
          <w:jc w:val="center"/>
        </w:trPr>
        <w:tc>
          <w:tcPr>
            <w:tcW w:w="12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期终考试</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70%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CF1222" w:rsidRDefault="00CF1222" w:rsidP="00CF1222">
            <w:pPr>
              <w:rPr>
                <w:rFonts w:ascii="Times New Roman" w:hAnsi="Times New Roman"/>
                <w:sz w:val="24"/>
                <w:szCs w:val="24"/>
              </w:rPr>
            </w:pPr>
            <w:r>
              <w:rPr>
                <w:rFonts w:ascii="Times New Roman" w:hAnsi="Times New Roman"/>
                <w:sz w:val="24"/>
                <w:szCs w:val="24"/>
              </w:rPr>
              <w:t>期末考试采用闭卷形式。考试范围基本涵盖所有讲授内容，考试内容主要反映学生对</w:t>
            </w:r>
            <w:r>
              <w:rPr>
                <w:rFonts w:ascii="Times New Roman" w:hAnsi="Times New Roman" w:hint="eastAsia"/>
                <w:sz w:val="24"/>
                <w:szCs w:val="24"/>
              </w:rPr>
              <w:t>课程专业词汇和翻译技巧</w:t>
            </w:r>
            <w:r>
              <w:rPr>
                <w:rFonts w:ascii="Times New Roman" w:hAnsi="Times New Roman"/>
                <w:sz w:val="24"/>
                <w:szCs w:val="24"/>
              </w:rPr>
              <w:t>等</w:t>
            </w:r>
            <w:r>
              <w:rPr>
                <w:rFonts w:ascii="Times New Roman" w:hAnsi="Times New Roman" w:hint="eastAsia"/>
                <w:sz w:val="24"/>
                <w:szCs w:val="24"/>
              </w:rPr>
              <w:t>内容的</w:t>
            </w:r>
            <w:r>
              <w:rPr>
                <w:rFonts w:ascii="Times New Roman" w:hAnsi="Times New Roman"/>
                <w:sz w:val="24"/>
                <w:szCs w:val="24"/>
              </w:rPr>
              <w:t>理解和掌握程度，以及</w:t>
            </w:r>
            <w:r>
              <w:rPr>
                <w:rFonts w:ascii="Times New Roman" w:hAnsi="Times New Roman" w:hint="eastAsia"/>
                <w:sz w:val="24"/>
                <w:szCs w:val="24"/>
              </w:rPr>
              <w:t>知识转化</w:t>
            </w:r>
            <w:r>
              <w:rPr>
                <w:rFonts w:ascii="Times New Roman" w:hAnsi="Times New Roman"/>
                <w:sz w:val="24"/>
                <w:szCs w:val="24"/>
              </w:rPr>
              <w:t>能力。</w:t>
            </w:r>
          </w:p>
        </w:tc>
        <w:tc>
          <w:tcPr>
            <w:tcW w:w="1005" w:type="pct"/>
            <w:tcBorders>
              <w:top w:val="single" w:sz="4" w:space="0" w:color="auto"/>
              <w:left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p>
        </w:tc>
      </w:tr>
    </w:tbl>
    <w:p w:rsidR="00CF1222" w:rsidRDefault="00CF1222" w:rsidP="00CF1222">
      <w:pPr>
        <w:spacing w:beforeLines="50" w:before="156" w:line="360" w:lineRule="auto"/>
        <w:ind w:left="560"/>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课程目标达成度自评方式</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据学院教学管理规定，在开展课程达成度评价前，课程评价审核小组对课程的评价依据合理性进行确认，包括平时作业、随堂测验、期终考试等考核环节。课程结束后，课程小组需要对课程进行达成度评价，课程小组由课程负责人和任课教师组成，统计课程考核数据，并填写“《专业外语》课程达成情况评价”报告，以便及时了解课程的达成效果，发现问题并进行持续改进，同时也为毕业要求达成度的评价提供基础数据。</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根据课程的考核形式，全部或抽样部分考核资料（应以当年修读该课程的学生为总体，至少抽取</w:t>
      </w:r>
      <w:r>
        <w:rPr>
          <w:rFonts w:ascii="Times New Roman" w:hAnsi="Times New Roman" w:hint="eastAsia"/>
          <w:sz w:val="28"/>
          <w:szCs w:val="28"/>
        </w:rPr>
        <w:t>85%</w:t>
      </w:r>
      <w:r>
        <w:rPr>
          <w:rFonts w:ascii="Times New Roman" w:hAnsi="Times New Roman" w:hint="eastAsia"/>
          <w:sz w:val="28"/>
          <w:szCs w:val="28"/>
        </w:rPr>
        <w:t>以上的学生样本），抽样时需覆盖优、良、中、及格和不及格等考核等级的考核资料。</w:t>
      </w:r>
    </w:p>
    <w:p w:rsidR="00CF1222" w:rsidRDefault="00CF1222" w:rsidP="00CF1222">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1.</w:t>
      </w:r>
      <w:r>
        <w:rPr>
          <w:rFonts w:ascii="Times New Roman" w:hAnsi="Times New Roman" w:hint="eastAsia"/>
          <w:sz w:val="28"/>
          <w:szCs w:val="28"/>
        </w:rPr>
        <w:t>建议教材</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土木工程专业英语，雷自学主编，知识产权出版社，</w:t>
      </w:r>
      <w:r>
        <w:rPr>
          <w:rFonts w:ascii="Times New Roman" w:hAnsi="Times New Roman" w:hint="eastAsia"/>
          <w:sz w:val="28"/>
          <w:szCs w:val="28"/>
        </w:rPr>
        <w:t>201</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2.</w:t>
      </w:r>
      <w:r>
        <w:rPr>
          <w:rFonts w:ascii="Times New Roman" w:hAnsi="Times New Roman" w:hint="eastAsia"/>
          <w:sz w:val="28"/>
          <w:szCs w:val="28"/>
        </w:rPr>
        <w:t>主要参考资料</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lastRenderedPageBreak/>
        <w:t>1</w:t>
      </w:r>
      <w:r>
        <w:rPr>
          <w:rFonts w:ascii="Times New Roman" w:hAnsi="Times New Roman" w:hint="eastAsia"/>
          <w:sz w:val="28"/>
          <w:szCs w:val="28"/>
        </w:rPr>
        <w:t>、科技英语翻译技巧，王泉水主编，天津科学技术出版社，</w:t>
      </w:r>
      <w:r>
        <w:rPr>
          <w:rFonts w:ascii="Times New Roman" w:hAnsi="Times New Roman" w:hint="eastAsia"/>
          <w:sz w:val="28"/>
          <w:szCs w:val="28"/>
        </w:rPr>
        <w:t>1991</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2</w:t>
      </w:r>
      <w:r>
        <w:rPr>
          <w:rFonts w:ascii="Times New Roman" w:hAnsi="Times New Roman" w:hint="eastAsia"/>
          <w:sz w:val="28"/>
          <w:szCs w:val="28"/>
        </w:rPr>
        <w:t>、土木工程专业英语，徐永丽等，清华大学出版社，</w:t>
      </w:r>
      <w:r>
        <w:rPr>
          <w:rFonts w:ascii="Times New Roman" w:hAnsi="Times New Roman" w:hint="eastAsia"/>
          <w:sz w:val="28"/>
          <w:szCs w:val="28"/>
        </w:rPr>
        <w:t>2013</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3</w:t>
      </w:r>
      <w:r>
        <w:rPr>
          <w:rFonts w:ascii="Times New Roman" w:hAnsi="Times New Roman" w:hint="eastAsia"/>
          <w:sz w:val="28"/>
          <w:szCs w:val="28"/>
        </w:rPr>
        <w:t>、土木工程专业英语，崔春义主编，中国建筑工业出版社，</w:t>
      </w:r>
      <w:r>
        <w:rPr>
          <w:rFonts w:ascii="Times New Roman" w:hAnsi="Times New Roman" w:hint="eastAsia"/>
          <w:sz w:val="28"/>
          <w:szCs w:val="28"/>
        </w:rPr>
        <w:t>2015</w:t>
      </w:r>
    </w:p>
    <w:p w:rsidR="00CF1222" w:rsidRDefault="00CF1222" w:rsidP="00CF1222">
      <w:pPr>
        <w:spacing w:line="440" w:lineRule="exact"/>
        <w:rPr>
          <w:rFonts w:ascii="Times New Roman" w:eastAsia="黑体" w:hAnsi="Times New Roman"/>
          <w:b/>
          <w:sz w:val="28"/>
          <w:szCs w:val="28"/>
        </w:rPr>
      </w:pPr>
      <w:r>
        <w:rPr>
          <w:rFonts w:ascii="Times New Roman" w:eastAsia="黑体" w:hAnsi="Times New Roman" w:hint="eastAsia"/>
          <w:b/>
          <w:sz w:val="28"/>
          <w:szCs w:val="28"/>
        </w:rPr>
        <w:t>七</w:t>
      </w:r>
      <w:r>
        <w:rPr>
          <w:rFonts w:ascii="Times New Roman" w:eastAsia="黑体" w:hAnsi="Times New Roman"/>
          <w:b/>
          <w:sz w:val="28"/>
          <w:szCs w:val="28"/>
        </w:rPr>
        <w:t>、执行大纲应注意的问题</w:t>
      </w:r>
    </w:p>
    <w:p w:rsidR="00CF1222" w:rsidRDefault="00CF1222" w:rsidP="00CF1222">
      <w:pPr>
        <w:adjustRightInd w:val="0"/>
        <w:snapToGrid w:val="0"/>
        <w:spacing w:line="560" w:lineRule="exact"/>
        <w:ind w:firstLineChars="200" w:firstLine="560"/>
        <w:jc w:val="left"/>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、教学中应注重基本知识、基本理论和方法的讲授，注意精讲多练。</w:t>
      </w:r>
    </w:p>
    <w:p w:rsidR="00CF1222" w:rsidRPr="00B5637B" w:rsidRDefault="00CF1222" w:rsidP="00CF1222">
      <w:pPr>
        <w:adjustRightInd w:val="0"/>
        <w:snapToGrid w:val="0"/>
        <w:spacing w:line="560" w:lineRule="exact"/>
        <w:ind w:firstLineChars="200" w:firstLine="560"/>
        <w:jc w:val="left"/>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、教学内容的顺序及其安排仅供参考，教师可根据情况作适当调整。</w:t>
      </w:r>
    </w:p>
    <w:p w:rsidR="00CF1222" w:rsidRDefault="00CF1222" w:rsidP="00CF1222">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大纲撰写人：</w:t>
      </w:r>
    </w:p>
    <w:p w:rsidR="00CF1222" w:rsidRDefault="00CF1222" w:rsidP="00CF1222">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课程负责人：</w:t>
      </w:r>
    </w:p>
    <w:p w:rsidR="00CF1222" w:rsidRPr="00B5637B" w:rsidRDefault="00CF1222" w:rsidP="00CF1222">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审核人：</w:t>
      </w:r>
    </w:p>
    <w:p w:rsidR="00CF1222" w:rsidRDefault="00CF1222" w:rsidP="00CF1222">
      <w:pPr>
        <w:jc w:val="left"/>
        <w:rPr>
          <w:rFonts w:ascii="Times New Roman" w:eastAsia="仿宋" w:hAnsi="Times New Roman"/>
          <w:sz w:val="28"/>
          <w:szCs w:val="28"/>
        </w:rPr>
      </w:pPr>
      <w:r>
        <w:rPr>
          <w:rFonts w:ascii="Times New Roman" w:eastAsia="仿宋" w:hAnsi="Times New Roman"/>
          <w:sz w:val="28"/>
          <w:szCs w:val="28"/>
        </w:rPr>
        <w:t xml:space="preserve">                                         </w:t>
      </w:r>
      <w:r>
        <w:rPr>
          <w:rFonts w:ascii="Times New Roman" w:eastAsia="仿宋" w:hAnsi="Times New Roman"/>
          <w:sz w:val="28"/>
          <w:szCs w:val="28"/>
        </w:rPr>
        <w:t>年</w:t>
      </w:r>
      <w:r>
        <w:rPr>
          <w:rFonts w:ascii="Times New Roman" w:eastAsia="仿宋" w:hAnsi="Times New Roman"/>
          <w:sz w:val="28"/>
          <w:szCs w:val="28"/>
        </w:rPr>
        <w:t xml:space="preserve">    </w:t>
      </w:r>
      <w:r>
        <w:rPr>
          <w:rFonts w:ascii="Times New Roman" w:eastAsia="仿宋" w:hAnsi="Times New Roman"/>
          <w:sz w:val="28"/>
          <w:szCs w:val="28"/>
        </w:rPr>
        <w:t>月</w:t>
      </w:r>
    </w:p>
    <w:p w:rsidR="00CF1222" w:rsidRDefault="00CF1222"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CF1222" w:rsidRDefault="00CF1222" w:rsidP="00CF1222">
      <w:pPr>
        <w:widowControl/>
        <w:spacing w:line="360" w:lineRule="auto"/>
        <w:jc w:val="center"/>
        <w:rPr>
          <w:rFonts w:ascii="Times New Roman" w:eastAsia="方正小标宋简体" w:hAnsi="Times New Roman"/>
          <w:kern w:val="0"/>
          <w:szCs w:val="32"/>
        </w:rPr>
      </w:pPr>
      <w:r>
        <w:rPr>
          <w:rFonts w:ascii="Times New Roman" w:eastAsia="方正小标宋简体" w:hAnsi="Times New Roman" w:hint="eastAsia"/>
          <w:kern w:val="0"/>
          <w:szCs w:val="32"/>
        </w:rPr>
        <w:lastRenderedPageBreak/>
        <w:t>《</w:t>
      </w:r>
      <w:r>
        <w:rPr>
          <w:rFonts w:ascii="Times New Roman" w:eastAsia="方正小标宋简体" w:hAnsi="Times New Roman"/>
          <w:kern w:val="0"/>
          <w:szCs w:val="32"/>
        </w:rPr>
        <w:t>混凝土与砌体结构</w:t>
      </w:r>
      <w:r>
        <w:rPr>
          <w:rFonts w:ascii="Times New Roman" w:eastAsia="方正小标宋简体" w:hAnsi="Times New Roman" w:hint="eastAsia"/>
          <w:kern w:val="0"/>
          <w:szCs w:val="32"/>
        </w:rPr>
        <w:t>》课程教学大纲</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F1222" w:rsidRDefault="00CF1222" w:rsidP="00CF1222">
      <w:pPr>
        <w:spacing w:line="560" w:lineRule="exact"/>
        <w:ind w:firstLine="331"/>
        <w:rPr>
          <w:rFonts w:ascii="Times New Roman" w:hAnsi="Times New Roman"/>
          <w:bCs/>
          <w:sz w:val="28"/>
          <w:szCs w:val="28"/>
        </w:rPr>
      </w:pPr>
      <w:r>
        <w:rPr>
          <w:rFonts w:ascii="Times New Roman" w:hAnsi="Times New Roman" w:hint="eastAsia"/>
          <w:bCs/>
          <w:sz w:val="28"/>
          <w:szCs w:val="28"/>
        </w:rPr>
        <w:t>英文名称：</w:t>
      </w:r>
      <w:r>
        <w:rPr>
          <w:rFonts w:ascii="Times New Roman" w:hAnsi="Times New Roman" w:hint="eastAsia"/>
          <w:bCs/>
          <w:sz w:val="28"/>
          <w:szCs w:val="28"/>
        </w:rPr>
        <w:t>Design of Concrete and Masonry Structures</w:t>
      </w:r>
    </w:p>
    <w:p w:rsidR="00CF1222" w:rsidRDefault="00CF1222" w:rsidP="00CF1222">
      <w:pPr>
        <w:spacing w:line="560" w:lineRule="exact"/>
        <w:ind w:firstLine="331"/>
        <w:jc w:val="left"/>
        <w:rPr>
          <w:rFonts w:ascii="Times New Roman" w:hAnsi="Times New Roman"/>
          <w:bCs/>
          <w:sz w:val="28"/>
          <w:szCs w:val="28"/>
        </w:rPr>
      </w:pPr>
      <w:r>
        <w:rPr>
          <w:rFonts w:ascii="Times New Roman" w:hAnsi="Times New Roman" w:hint="eastAsia"/>
          <w:bCs/>
          <w:sz w:val="28"/>
          <w:szCs w:val="28"/>
        </w:rPr>
        <w:t>课程编码：</w:t>
      </w:r>
      <w:r>
        <w:rPr>
          <w:rFonts w:ascii="Times New Roman" w:hAnsi="Times New Roman"/>
          <w:bCs/>
          <w:sz w:val="28"/>
          <w:szCs w:val="28"/>
        </w:rPr>
        <w:t>Z2801050</w:t>
      </w:r>
    </w:p>
    <w:p w:rsidR="00CF1222" w:rsidRDefault="00CF1222" w:rsidP="00CF1222">
      <w:pPr>
        <w:spacing w:line="560" w:lineRule="exact"/>
        <w:ind w:firstLine="331"/>
        <w:rPr>
          <w:rFonts w:ascii="Times New Roman" w:hAnsi="Times New Roman"/>
          <w:bCs/>
          <w:sz w:val="28"/>
          <w:szCs w:val="28"/>
        </w:rPr>
      </w:pPr>
      <w:r>
        <w:rPr>
          <w:rFonts w:ascii="Times New Roman" w:hAnsi="Times New Roman" w:hint="eastAsia"/>
          <w:bCs/>
          <w:sz w:val="28"/>
          <w:szCs w:val="28"/>
        </w:rPr>
        <w:t>授课语言：中文</w:t>
      </w:r>
    </w:p>
    <w:p w:rsidR="00CF1222" w:rsidRDefault="00CF1222" w:rsidP="00CF1222">
      <w:pPr>
        <w:spacing w:line="560" w:lineRule="exact"/>
        <w:ind w:leftChars="103" w:left="1779" w:hanging="1449"/>
        <w:rPr>
          <w:rFonts w:ascii="Times New Roman" w:hAnsi="Times New Roman"/>
          <w:bCs/>
          <w:sz w:val="28"/>
          <w:szCs w:val="28"/>
        </w:rPr>
      </w:pPr>
      <w:r>
        <w:rPr>
          <w:rFonts w:ascii="Times New Roman" w:hAnsi="Times New Roman" w:hint="eastAsia"/>
          <w:bCs/>
          <w:sz w:val="28"/>
          <w:szCs w:val="28"/>
        </w:rPr>
        <w:t>授课方式：混合</w:t>
      </w:r>
    </w:p>
    <w:p w:rsidR="00CF1222" w:rsidRDefault="00CF1222" w:rsidP="00CF1222">
      <w:pPr>
        <w:spacing w:line="560" w:lineRule="exact"/>
        <w:ind w:firstLine="331"/>
        <w:rPr>
          <w:rFonts w:ascii="Times New Roman" w:hAnsi="Times New Roman"/>
          <w:bCs/>
          <w:sz w:val="28"/>
          <w:szCs w:val="28"/>
        </w:rPr>
      </w:pPr>
      <w:r>
        <w:rPr>
          <w:rFonts w:ascii="Times New Roman" w:hAnsi="Times New Roman" w:hint="eastAsia"/>
          <w:bCs/>
          <w:sz w:val="28"/>
          <w:szCs w:val="28"/>
        </w:rPr>
        <w:t>课程类别：专业发展课程</w:t>
      </w:r>
    </w:p>
    <w:p w:rsidR="00CF1222" w:rsidRDefault="00CF1222" w:rsidP="00CF1222">
      <w:pPr>
        <w:spacing w:line="560" w:lineRule="exact"/>
        <w:ind w:firstLine="331"/>
        <w:rPr>
          <w:rFonts w:ascii="Times New Roman" w:hAnsi="Times New Roman"/>
          <w:bCs/>
          <w:sz w:val="28"/>
          <w:szCs w:val="28"/>
        </w:rPr>
      </w:pPr>
      <w:r>
        <w:rPr>
          <w:rFonts w:ascii="Times New Roman" w:hAnsi="Times New Roman" w:hint="eastAsia"/>
          <w:bCs/>
          <w:sz w:val="28"/>
          <w:szCs w:val="28"/>
        </w:rPr>
        <w:t>课程性质：必修</w:t>
      </w:r>
    </w:p>
    <w:p w:rsidR="00CF1222" w:rsidRDefault="00CF1222" w:rsidP="00CF1222">
      <w:pPr>
        <w:spacing w:line="560" w:lineRule="exact"/>
        <w:ind w:firstLine="331"/>
        <w:rPr>
          <w:rFonts w:ascii="Times New Roman" w:hAnsi="Times New Roman"/>
          <w:bCs/>
          <w:sz w:val="28"/>
          <w:szCs w:val="28"/>
        </w:rPr>
      </w:pPr>
      <w:r>
        <w:rPr>
          <w:rFonts w:ascii="Times New Roman" w:hAnsi="Times New Roman" w:hint="eastAsia"/>
          <w:bCs/>
          <w:sz w:val="28"/>
          <w:szCs w:val="28"/>
        </w:rPr>
        <w:t>学</w:t>
      </w:r>
      <w:r>
        <w:rPr>
          <w:rFonts w:ascii="Times New Roman" w:hAnsi="Times New Roman" w:hint="eastAsia"/>
          <w:bCs/>
          <w:sz w:val="28"/>
          <w:szCs w:val="28"/>
        </w:rPr>
        <w:t xml:space="preserve">    </w:t>
      </w:r>
      <w:r>
        <w:rPr>
          <w:rFonts w:ascii="Times New Roman" w:hAnsi="Times New Roman" w:hint="eastAsia"/>
          <w:bCs/>
          <w:sz w:val="28"/>
          <w:szCs w:val="28"/>
        </w:rPr>
        <w:t>分：</w:t>
      </w:r>
      <w:r>
        <w:rPr>
          <w:rFonts w:ascii="Times New Roman" w:hAnsi="Times New Roman" w:hint="eastAsia"/>
          <w:bCs/>
          <w:sz w:val="28"/>
          <w:szCs w:val="28"/>
        </w:rPr>
        <w:t>2</w:t>
      </w:r>
    </w:p>
    <w:p w:rsidR="00CF1222" w:rsidRDefault="00CF1222" w:rsidP="00CF1222">
      <w:pPr>
        <w:spacing w:line="560" w:lineRule="exact"/>
        <w:ind w:leftChars="103" w:left="1779" w:hanging="1449"/>
        <w:rPr>
          <w:rFonts w:ascii="Times New Roman" w:hAnsi="Times New Roman"/>
          <w:bCs/>
          <w:sz w:val="28"/>
          <w:szCs w:val="28"/>
        </w:rPr>
      </w:pPr>
      <w:r>
        <w:rPr>
          <w:rFonts w:ascii="Times New Roman" w:hAnsi="Times New Roman" w:hint="eastAsia"/>
          <w:bCs/>
          <w:sz w:val="28"/>
          <w:szCs w:val="28"/>
        </w:rPr>
        <w:t>学</w:t>
      </w:r>
      <w:r>
        <w:rPr>
          <w:rFonts w:ascii="Times New Roman" w:hAnsi="Times New Roman" w:hint="eastAsia"/>
          <w:bCs/>
          <w:sz w:val="28"/>
          <w:szCs w:val="28"/>
        </w:rPr>
        <w:t xml:space="preserve">    </w:t>
      </w:r>
      <w:r>
        <w:rPr>
          <w:rFonts w:ascii="Times New Roman" w:hAnsi="Times New Roman" w:hint="eastAsia"/>
          <w:bCs/>
          <w:sz w:val="28"/>
          <w:szCs w:val="28"/>
        </w:rPr>
        <w:t>时：</w:t>
      </w:r>
      <w:r>
        <w:rPr>
          <w:rFonts w:ascii="Times New Roman" w:hAnsi="Times New Roman" w:hint="eastAsia"/>
          <w:bCs/>
          <w:sz w:val="28"/>
          <w:szCs w:val="28"/>
        </w:rPr>
        <w:t>32</w:t>
      </w:r>
      <w:r>
        <w:rPr>
          <w:rFonts w:ascii="Times New Roman" w:hAnsi="Times New Roman" w:hint="eastAsia"/>
          <w:bCs/>
          <w:sz w:val="28"/>
          <w:szCs w:val="28"/>
        </w:rPr>
        <w:t>学时（授课</w:t>
      </w:r>
      <w:r>
        <w:rPr>
          <w:rFonts w:ascii="Times New Roman" w:hAnsi="Times New Roman" w:hint="eastAsia"/>
          <w:bCs/>
          <w:sz w:val="28"/>
          <w:szCs w:val="28"/>
        </w:rPr>
        <w:t>32</w:t>
      </w:r>
      <w:r>
        <w:rPr>
          <w:rFonts w:ascii="Times New Roman" w:hAnsi="Times New Roman" w:hint="eastAsia"/>
          <w:bCs/>
          <w:sz w:val="28"/>
          <w:szCs w:val="28"/>
        </w:rPr>
        <w:t>学时，实验</w:t>
      </w:r>
      <w:r>
        <w:rPr>
          <w:rFonts w:ascii="Times New Roman" w:hAnsi="Times New Roman" w:hint="eastAsia"/>
          <w:bCs/>
          <w:sz w:val="28"/>
          <w:szCs w:val="28"/>
        </w:rPr>
        <w:t>0</w:t>
      </w:r>
      <w:r>
        <w:rPr>
          <w:rFonts w:ascii="Times New Roman" w:hAnsi="Times New Roman" w:hint="eastAsia"/>
          <w:bCs/>
          <w:sz w:val="28"/>
          <w:szCs w:val="28"/>
        </w:rPr>
        <w:t>学时）</w:t>
      </w:r>
    </w:p>
    <w:p w:rsidR="00CF1222" w:rsidRDefault="00CF1222" w:rsidP="00CF1222">
      <w:pPr>
        <w:spacing w:line="560" w:lineRule="exact"/>
        <w:ind w:firstLine="331"/>
        <w:rPr>
          <w:rFonts w:ascii="Times New Roman" w:hAnsi="Times New Roman"/>
          <w:bCs/>
          <w:sz w:val="28"/>
          <w:szCs w:val="28"/>
        </w:rPr>
      </w:pPr>
      <w:r>
        <w:rPr>
          <w:rFonts w:ascii="Times New Roman" w:hAnsi="Times New Roman" w:hint="eastAsia"/>
          <w:bCs/>
          <w:sz w:val="28"/>
          <w:szCs w:val="28"/>
        </w:rPr>
        <w:t>适用对象：土木工程专业</w:t>
      </w:r>
    </w:p>
    <w:p w:rsidR="00CF1222" w:rsidRDefault="00CF1222" w:rsidP="00CF1222">
      <w:pPr>
        <w:spacing w:line="560" w:lineRule="exact"/>
        <w:ind w:firstLine="331"/>
        <w:rPr>
          <w:rFonts w:ascii="Times New Roman" w:hAnsi="Times New Roman"/>
          <w:bCs/>
          <w:sz w:val="28"/>
          <w:szCs w:val="28"/>
        </w:rPr>
      </w:pPr>
      <w:r>
        <w:rPr>
          <w:rFonts w:ascii="Times New Roman" w:hAnsi="Times New Roman" w:hint="eastAsia"/>
          <w:bCs/>
          <w:sz w:val="28"/>
          <w:szCs w:val="28"/>
        </w:rPr>
        <w:t>先修课程：土木工程材料、材料力学、结构力学、混凝土结构基本理论。</w:t>
      </w:r>
    </w:p>
    <w:p w:rsidR="00CF1222" w:rsidRDefault="00CF1222" w:rsidP="00CF1222">
      <w:pPr>
        <w:spacing w:line="560" w:lineRule="exact"/>
        <w:ind w:firstLine="331"/>
        <w:rPr>
          <w:rFonts w:ascii="Times New Roman" w:hAnsi="Times New Roman"/>
          <w:bCs/>
          <w:sz w:val="28"/>
          <w:szCs w:val="28"/>
        </w:rPr>
      </w:pPr>
      <w:r>
        <w:rPr>
          <w:rFonts w:ascii="Times New Roman" w:hAnsi="Times New Roman" w:hint="eastAsia"/>
          <w:bCs/>
          <w:sz w:val="28"/>
          <w:szCs w:val="28"/>
        </w:rPr>
        <w:t>开课院系：建筑工程学院混凝土与砌体结构教研室</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F1222" w:rsidRDefault="00CF1222" w:rsidP="00CF1222">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《混凝土与砌体结构》课程是土木工程专业的一门核心必修课，</w:t>
      </w:r>
      <w:r>
        <w:rPr>
          <w:rFonts w:ascii="仿宋_GB2312" w:hAnsi="仿宋_GB2312" w:cs="仿宋_GB2312"/>
          <w:bCs/>
          <w:sz w:val="28"/>
          <w:szCs w:val="28"/>
        </w:rPr>
        <w:t>通过本课程</w:t>
      </w:r>
      <w:r>
        <w:rPr>
          <w:rFonts w:ascii="仿宋_GB2312" w:hAnsi="仿宋_GB2312" w:cs="仿宋_GB2312" w:hint="eastAsia"/>
          <w:bCs/>
          <w:sz w:val="28"/>
          <w:szCs w:val="28"/>
        </w:rPr>
        <w:t>的理论教学和</w:t>
      </w:r>
      <w:r>
        <w:rPr>
          <w:rFonts w:ascii="仿宋_GB2312" w:hAnsi="仿宋_GB2312" w:cs="仿宋_GB2312"/>
          <w:bCs/>
          <w:sz w:val="28"/>
          <w:szCs w:val="28"/>
        </w:rPr>
        <w:t>实践性教学环节</w:t>
      </w:r>
      <w:r>
        <w:rPr>
          <w:rFonts w:ascii="仿宋_GB2312" w:hAnsi="仿宋_GB2312" w:cs="仿宋_GB2312" w:hint="eastAsia"/>
          <w:bCs/>
          <w:sz w:val="28"/>
          <w:szCs w:val="28"/>
        </w:rPr>
        <w:t>，使学生掌握钢筋混凝土单层工业厂房结构、多层框架结构、砌体结构房屋的设计方法及构造要求，帮助学生建立起从单一基本构件的设计过渡到整体房屋结构的设计。培养学生综合运用理论知识解决实际工程问题的能力；并且培养学生理论联系实际的作风和工程意识。</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F1222" w:rsidRDefault="00CF1222" w:rsidP="00CF1222">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CF1222" w:rsidRDefault="00CF1222" w:rsidP="00CF1222">
      <w:pPr>
        <w:spacing w:line="560" w:lineRule="exact"/>
        <w:ind w:firstLineChars="200" w:firstLine="560"/>
        <w:rPr>
          <w:rFonts w:ascii="华文中宋" w:eastAsia="华文中宋" w:hAnsi="华文中宋"/>
          <w:color w:val="000000"/>
          <w:sz w:val="28"/>
          <w:szCs w:val="28"/>
        </w:rPr>
      </w:pPr>
      <w:r>
        <w:rPr>
          <w:rFonts w:ascii="仿宋_GB2312" w:hAnsi="仿宋_GB2312" w:cs="仿宋_GB2312" w:hint="eastAsia"/>
          <w:bCs/>
          <w:sz w:val="28"/>
          <w:szCs w:val="28"/>
        </w:rPr>
        <w:lastRenderedPageBreak/>
        <w:t>本课程学习完毕后使学生</w:t>
      </w:r>
      <w:r>
        <w:rPr>
          <w:rFonts w:ascii="仿宋_GB2312" w:hAnsi="仿宋_GB2312" w:cs="仿宋_GB2312"/>
          <w:bCs/>
          <w:sz w:val="28"/>
          <w:szCs w:val="28"/>
        </w:rPr>
        <w:t>能够进行一般民用与工业建筑混凝土结构</w:t>
      </w:r>
      <w:r>
        <w:rPr>
          <w:rFonts w:ascii="仿宋_GB2312" w:hAnsi="仿宋_GB2312" w:cs="仿宋_GB2312" w:hint="eastAsia"/>
          <w:bCs/>
          <w:sz w:val="28"/>
          <w:szCs w:val="28"/>
        </w:rPr>
        <w:t>及砌体结构</w:t>
      </w:r>
      <w:r>
        <w:rPr>
          <w:rFonts w:ascii="仿宋_GB2312" w:hAnsi="仿宋_GB2312" w:cs="仿宋_GB2312"/>
          <w:bCs/>
          <w:sz w:val="28"/>
          <w:szCs w:val="28"/>
        </w:rPr>
        <w:t>的方案设计、结构布置，建立结构计算模型和进行内力分析，并能按国家相关规范正确进行</w:t>
      </w:r>
      <w:r>
        <w:rPr>
          <w:rFonts w:ascii="仿宋_GB2312" w:hAnsi="仿宋_GB2312" w:cs="仿宋_GB2312" w:hint="eastAsia"/>
          <w:bCs/>
          <w:sz w:val="28"/>
          <w:szCs w:val="28"/>
        </w:rPr>
        <w:t>混凝土结构、砌体结构</w:t>
      </w:r>
      <w:r>
        <w:rPr>
          <w:rFonts w:ascii="仿宋_GB2312" w:hAnsi="仿宋_GB2312" w:cs="仿宋_GB2312"/>
          <w:bCs/>
          <w:sz w:val="28"/>
          <w:szCs w:val="28"/>
        </w:rPr>
        <w:t>设计和构造处理，</w:t>
      </w:r>
      <w:r>
        <w:rPr>
          <w:rFonts w:ascii="仿宋_GB2312" w:hAnsi="仿宋_GB2312" w:cs="仿宋_GB2312" w:hint="eastAsia"/>
          <w:bCs/>
          <w:sz w:val="28"/>
          <w:szCs w:val="28"/>
        </w:rPr>
        <w:t>为毕业设计和实际工程设计、施工管理奠定基础。</w:t>
      </w:r>
    </w:p>
    <w:p w:rsidR="00CF1222" w:rsidRDefault="00CF1222"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CF1222" w:rsidRDefault="00CF1222" w:rsidP="00CF1222">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CF1222" w:rsidRDefault="00CF1222" w:rsidP="00CF1222">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w:t>
      </w:r>
      <w:r>
        <w:rPr>
          <w:rFonts w:ascii="仿宋_GB2312" w:hAnsi="仿宋_GB2312" w:cs="仿宋_GB2312" w:hint="eastAsia"/>
          <w:bCs/>
          <w:sz w:val="28"/>
          <w:szCs w:val="28"/>
        </w:rPr>
        <w:t>1</w:t>
      </w:r>
      <w:r>
        <w:rPr>
          <w:rFonts w:ascii="仿宋_GB2312" w:hAnsi="仿宋_GB2312" w:cs="仿宋_GB2312"/>
          <w:bCs/>
          <w:sz w:val="28"/>
          <w:szCs w:val="28"/>
        </w:rPr>
        <w:t>）</w:t>
      </w:r>
      <w:r>
        <w:rPr>
          <w:rFonts w:ascii="仿宋_GB2312" w:hAnsi="仿宋_GB2312" w:cs="仿宋_GB2312" w:hint="eastAsia"/>
          <w:bCs/>
          <w:sz w:val="28"/>
          <w:szCs w:val="28"/>
        </w:rPr>
        <w:t>通过本课程学习，使学生掌握混凝土结构、砌体结构设计的基本概念和方法，具备扎实基础理论和坚实专业知识</w:t>
      </w:r>
    </w:p>
    <w:p w:rsidR="00CF1222" w:rsidRDefault="00CF1222" w:rsidP="00CF1222">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w:t>
      </w:r>
      <w:r>
        <w:rPr>
          <w:rFonts w:ascii="仿宋_GB2312" w:hAnsi="仿宋_GB2312" w:cs="仿宋_GB2312" w:hint="eastAsia"/>
          <w:bCs/>
          <w:sz w:val="28"/>
          <w:szCs w:val="28"/>
        </w:rPr>
        <w:t>2</w:t>
      </w:r>
      <w:r>
        <w:rPr>
          <w:rFonts w:ascii="仿宋_GB2312" w:hAnsi="仿宋_GB2312" w:cs="仿宋_GB2312"/>
          <w:bCs/>
          <w:sz w:val="28"/>
          <w:szCs w:val="28"/>
        </w:rPr>
        <w:t>）</w:t>
      </w:r>
      <w:r>
        <w:rPr>
          <w:rFonts w:ascii="仿宋_GB2312" w:hAnsi="仿宋_GB2312" w:cs="仿宋_GB2312" w:hint="eastAsia"/>
          <w:bCs/>
          <w:sz w:val="28"/>
          <w:szCs w:val="28"/>
        </w:rPr>
        <w:t>通过本课程学习，使学生能够熟练应用基本计算方法，通过查阅《混凝土结构设计规范》、《砌体结构设计规范》等相关资料，较好解决混凝土、砌体结构复杂工程问题。</w:t>
      </w:r>
    </w:p>
    <w:p w:rsidR="00CF1222" w:rsidRDefault="00CF1222" w:rsidP="00CF1222">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w:t>
      </w:r>
      <w:r>
        <w:rPr>
          <w:rFonts w:ascii="仿宋_GB2312" w:hAnsi="仿宋_GB2312" w:cs="仿宋_GB2312" w:hint="eastAsia"/>
          <w:bCs/>
          <w:sz w:val="28"/>
          <w:szCs w:val="28"/>
        </w:rPr>
        <w:t>3</w:t>
      </w:r>
      <w:r>
        <w:rPr>
          <w:rFonts w:ascii="仿宋_GB2312" w:hAnsi="仿宋_GB2312" w:cs="仿宋_GB2312"/>
          <w:bCs/>
          <w:sz w:val="28"/>
          <w:szCs w:val="28"/>
        </w:rPr>
        <w:t>）</w:t>
      </w:r>
      <w:r>
        <w:rPr>
          <w:rFonts w:ascii="仿宋_GB2312" w:hAnsi="仿宋_GB2312" w:cs="仿宋_GB2312" w:hint="eastAsia"/>
          <w:bCs/>
          <w:sz w:val="28"/>
          <w:szCs w:val="28"/>
        </w:rPr>
        <w:t>掌握排架结构内力分析、框架结构内力计算，能胜任独立承担混凝土结构的设计工作，具有较强的创新能力。</w:t>
      </w:r>
    </w:p>
    <w:p w:rsidR="00CF1222" w:rsidRDefault="00CF1222" w:rsidP="00CF1222">
      <w:pPr>
        <w:spacing w:line="560" w:lineRule="exact"/>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pPr w:leftFromText="180" w:rightFromText="180" w:vertAnchor="text" w:horzAnchor="page" w:tblpX="1702" w:tblpY="2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4490"/>
        <w:gridCol w:w="703"/>
        <w:gridCol w:w="787"/>
        <w:gridCol w:w="759"/>
      </w:tblGrid>
      <w:tr w:rsidR="00CF1222" w:rsidTr="00CF1222">
        <w:trPr>
          <w:trHeight w:val="326"/>
        </w:trPr>
        <w:tc>
          <w:tcPr>
            <w:tcW w:w="6531" w:type="dxa"/>
            <w:gridSpan w:val="2"/>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r>
              <w:rPr>
                <w:rFonts w:ascii="仿宋_GB2312" w:hAnsi="仿宋_GB2312" w:cs="仿宋_GB2312" w:hint="eastAsia"/>
                <w:bCs/>
                <w:sz w:val="24"/>
                <w:szCs w:val="24"/>
              </w:rPr>
              <w:t>毕业要求及其指标点</w:t>
            </w:r>
          </w:p>
        </w:tc>
        <w:tc>
          <w:tcPr>
            <w:tcW w:w="2249" w:type="dxa"/>
            <w:gridSpan w:val="3"/>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r>
              <w:rPr>
                <w:rFonts w:hint="eastAsia"/>
                <w:b/>
                <w:bCs/>
                <w:kern w:val="0"/>
                <w:sz w:val="24"/>
                <w:szCs w:val="24"/>
              </w:rPr>
              <w:t>课程</w:t>
            </w:r>
            <w:r>
              <w:rPr>
                <w:b/>
                <w:bCs/>
                <w:kern w:val="0"/>
                <w:sz w:val="24"/>
                <w:szCs w:val="24"/>
              </w:rPr>
              <w:t>目标</w:t>
            </w:r>
          </w:p>
        </w:tc>
      </w:tr>
      <w:tr w:rsidR="00CF1222" w:rsidTr="00CF1222">
        <w:trPr>
          <w:trHeight w:val="245"/>
        </w:trPr>
        <w:tc>
          <w:tcPr>
            <w:tcW w:w="6531" w:type="dxa"/>
            <w:gridSpan w:val="2"/>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r>
              <w:rPr>
                <w:kern w:val="0"/>
                <w:sz w:val="24"/>
                <w:szCs w:val="24"/>
              </w:rPr>
              <w:t>（</w:t>
            </w:r>
            <w:r>
              <w:rPr>
                <w:kern w:val="0"/>
                <w:sz w:val="24"/>
                <w:szCs w:val="24"/>
              </w:rPr>
              <w:t>1</w:t>
            </w:r>
            <w:r>
              <w:rPr>
                <w:kern w:val="0"/>
                <w:sz w:val="24"/>
                <w:szCs w:val="24"/>
              </w:rPr>
              <w:t>）</w:t>
            </w:r>
          </w:p>
        </w:tc>
        <w:tc>
          <w:tcPr>
            <w:tcW w:w="787"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r>
              <w:rPr>
                <w:kern w:val="0"/>
                <w:sz w:val="24"/>
                <w:szCs w:val="24"/>
              </w:rPr>
              <w:t>（</w:t>
            </w:r>
            <w:r>
              <w:rPr>
                <w:kern w:val="0"/>
                <w:sz w:val="24"/>
                <w:szCs w:val="24"/>
              </w:rPr>
              <w:t>2</w:t>
            </w:r>
            <w:r>
              <w:rPr>
                <w:kern w:val="0"/>
                <w:sz w:val="24"/>
                <w:szCs w:val="24"/>
              </w:rPr>
              <w:t>）</w:t>
            </w:r>
          </w:p>
        </w:tc>
        <w:tc>
          <w:tcPr>
            <w:tcW w:w="7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r>
              <w:rPr>
                <w:kern w:val="0"/>
                <w:sz w:val="24"/>
                <w:szCs w:val="24"/>
              </w:rPr>
              <w:t>（</w:t>
            </w:r>
            <w:r>
              <w:rPr>
                <w:kern w:val="0"/>
                <w:sz w:val="24"/>
                <w:szCs w:val="24"/>
              </w:rPr>
              <w:t>3</w:t>
            </w:r>
            <w:r>
              <w:rPr>
                <w:kern w:val="0"/>
                <w:sz w:val="24"/>
                <w:szCs w:val="24"/>
              </w:rPr>
              <w:t>）</w:t>
            </w:r>
          </w:p>
        </w:tc>
      </w:tr>
      <w:tr w:rsidR="00CF1222" w:rsidTr="00CF1222">
        <w:trPr>
          <w:trHeight w:val="1284"/>
        </w:trPr>
        <w:tc>
          <w:tcPr>
            <w:tcW w:w="2041"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sz w:val="24"/>
                <w:szCs w:val="24"/>
              </w:rPr>
            </w:pPr>
            <w:r>
              <w:rPr>
                <w:rFonts w:hint="eastAsia"/>
                <w:kern w:val="0"/>
                <w:sz w:val="24"/>
                <w:szCs w:val="24"/>
              </w:rPr>
              <w:t>3.</w:t>
            </w:r>
            <w:r>
              <w:rPr>
                <w:rFonts w:hint="eastAsia"/>
                <w:kern w:val="0"/>
                <w:sz w:val="24"/>
                <w:szCs w:val="24"/>
              </w:rPr>
              <w:t>设计</w:t>
            </w:r>
            <w:r>
              <w:rPr>
                <w:rFonts w:hint="eastAsia"/>
                <w:kern w:val="0"/>
                <w:sz w:val="24"/>
                <w:szCs w:val="24"/>
              </w:rPr>
              <w:t>/</w:t>
            </w:r>
            <w:r>
              <w:rPr>
                <w:rFonts w:hint="eastAsia"/>
                <w:kern w:val="0"/>
                <w:sz w:val="24"/>
                <w:szCs w:val="24"/>
              </w:rPr>
              <w:t>开发能力</w:t>
            </w:r>
          </w:p>
        </w:tc>
        <w:tc>
          <w:tcPr>
            <w:tcW w:w="4490"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left"/>
              <w:rPr>
                <w:kern w:val="0"/>
                <w:sz w:val="24"/>
                <w:szCs w:val="24"/>
              </w:rPr>
            </w:pPr>
          </w:p>
          <w:p w:rsidR="00CF1222" w:rsidRDefault="00CF1222" w:rsidP="00CF1222">
            <w:pPr>
              <w:jc w:val="left"/>
              <w:rPr>
                <w:kern w:val="0"/>
                <w:sz w:val="24"/>
                <w:szCs w:val="24"/>
              </w:rPr>
            </w:pPr>
            <w:r>
              <w:rPr>
                <w:rFonts w:hint="eastAsia"/>
                <w:kern w:val="0"/>
                <w:sz w:val="24"/>
                <w:szCs w:val="24"/>
              </w:rPr>
              <w:t xml:space="preserve">3.1 </w:t>
            </w:r>
            <w:r>
              <w:rPr>
                <w:rFonts w:hint="eastAsia"/>
                <w:kern w:val="0"/>
                <w:sz w:val="24"/>
                <w:szCs w:val="24"/>
              </w:rPr>
              <w:t>能够针对特定需求，确定工程基本单元的设计目标或问题解决方案，并完成设计</w:t>
            </w:r>
            <w:r>
              <w:rPr>
                <w:rFonts w:hint="eastAsia"/>
                <w:kern w:val="0"/>
                <w:sz w:val="24"/>
                <w:szCs w:val="24"/>
              </w:rPr>
              <w:t>/</w:t>
            </w:r>
            <w:r>
              <w:rPr>
                <w:rFonts w:hint="eastAsia"/>
                <w:kern w:val="0"/>
                <w:sz w:val="24"/>
                <w:szCs w:val="24"/>
              </w:rPr>
              <w:t>开发工作；</w:t>
            </w:r>
          </w:p>
          <w:p w:rsidR="00CF1222" w:rsidRDefault="00CF1222" w:rsidP="00CF1222">
            <w:pPr>
              <w:jc w:val="center"/>
              <w:rPr>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sz w:val="24"/>
                <w:szCs w:val="24"/>
              </w:rPr>
            </w:pPr>
            <w:r>
              <w:rPr>
                <w:kern w:val="0"/>
                <w:sz w:val="24"/>
                <w:szCs w:val="24"/>
              </w:rPr>
              <w:t>√</w:t>
            </w:r>
          </w:p>
        </w:tc>
        <w:tc>
          <w:tcPr>
            <w:tcW w:w="787"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kern w:val="0"/>
                <w:sz w:val="24"/>
                <w:szCs w:val="24"/>
              </w:rPr>
            </w:pPr>
            <w:r>
              <w:rPr>
                <w:kern w:val="0"/>
                <w:sz w:val="24"/>
                <w:szCs w:val="24"/>
              </w:rPr>
              <w:t>√</w:t>
            </w:r>
          </w:p>
        </w:tc>
        <w:tc>
          <w:tcPr>
            <w:tcW w:w="7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kern w:val="0"/>
                <w:sz w:val="24"/>
                <w:szCs w:val="24"/>
              </w:rPr>
            </w:pPr>
            <w:r>
              <w:rPr>
                <w:kern w:val="0"/>
                <w:sz w:val="24"/>
                <w:szCs w:val="24"/>
              </w:rPr>
              <w:t>√</w:t>
            </w:r>
          </w:p>
        </w:tc>
      </w:tr>
      <w:tr w:rsidR="00CF1222" w:rsidTr="00CF1222">
        <w:trPr>
          <w:trHeight w:val="276"/>
        </w:trPr>
        <w:tc>
          <w:tcPr>
            <w:tcW w:w="2041"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r>
              <w:rPr>
                <w:rFonts w:hint="eastAsia"/>
                <w:kern w:val="0"/>
                <w:sz w:val="24"/>
                <w:szCs w:val="24"/>
              </w:rPr>
              <w:t>5.</w:t>
            </w:r>
            <w:r>
              <w:rPr>
                <w:rFonts w:hint="eastAsia"/>
                <w:kern w:val="0"/>
                <w:sz w:val="24"/>
                <w:szCs w:val="24"/>
              </w:rPr>
              <w:t>现代工具使用能力</w:t>
            </w:r>
          </w:p>
        </w:tc>
        <w:tc>
          <w:tcPr>
            <w:tcW w:w="4490"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kern w:val="0"/>
                <w:sz w:val="24"/>
                <w:szCs w:val="24"/>
              </w:rPr>
            </w:pPr>
          </w:p>
          <w:p w:rsidR="00CF1222" w:rsidRDefault="00CF1222" w:rsidP="00CF1222">
            <w:pPr>
              <w:jc w:val="left"/>
              <w:rPr>
                <w:kern w:val="0"/>
                <w:sz w:val="24"/>
                <w:szCs w:val="24"/>
              </w:rPr>
            </w:pPr>
            <w:r>
              <w:rPr>
                <w:kern w:val="0"/>
                <w:sz w:val="24"/>
                <w:szCs w:val="24"/>
              </w:rPr>
              <w:t xml:space="preserve">5.2 </w:t>
            </w:r>
            <w:r>
              <w:rPr>
                <w:kern w:val="0"/>
                <w:sz w:val="24"/>
                <w:szCs w:val="24"/>
              </w:rPr>
              <w:t>能够选择与使用勘测、制图、检测、计算、设计等恰当的技术和资源，对土木工程专业复杂工程问题进行分析、计算和设计，并理解其局限性；</w:t>
            </w:r>
          </w:p>
          <w:p w:rsidR="00CF1222" w:rsidRDefault="00CF1222" w:rsidP="00CF1222">
            <w:pPr>
              <w:jc w:val="center"/>
              <w:rPr>
                <w:kern w:val="0"/>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kern w:val="0"/>
                <w:sz w:val="24"/>
                <w:szCs w:val="24"/>
              </w:rPr>
            </w:pPr>
          </w:p>
        </w:tc>
        <w:tc>
          <w:tcPr>
            <w:tcW w:w="787"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rFonts w:ascii="仿宋" w:eastAsia="仿宋" w:hAnsi="仿宋" w:cs="仿宋"/>
                <w:kern w:val="0"/>
                <w:sz w:val="24"/>
                <w:szCs w:val="24"/>
              </w:rPr>
            </w:pPr>
            <w:r>
              <w:rPr>
                <w:kern w:val="0"/>
                <w:sz w:val="24"/>
                <w:szCs w:val="24"/>
              </w:rPr>
              <w:t>√</w:t>
            </w:r>
          </w:p>
        </w:tc>
        <w:tc>
          <w:tcPr>
            <w:tcW w:w="7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60" w:lineRule="exact"/>
              <w:jc w:val="center"/>
              <w:rPr>
                <w:kern w:val="0"/>
                <w:sz w:val="24"/>
                <w:szCs w:val="24"/>
              </w:rPr>
            </w:pPr>
            <w:r>
              <w:rPr>
                <w:kern w:val="0"/>
                <w:sz w:val="24"/>
                <w:szCs w:val="24"/>
              </w:rPr>
              <w:t>√</w:t>
            </w:r>
          </w:p>
        </w:tc>
      </w:tr>
    </w:tbl>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F1222" w:rsidRDefault="00CF1222" w:rsidP="00CF1222">
      <w:pPr>
        <w:spacing w:line="360" w:lineRule="exact"/>
        <w:rPr>
          <w:rFonts w:ascii="Times New Roman" w:hAnsi="Times New Roman"/>
          <w:sz w:val="28"/>
          <w:szCs w:val="28"/>
        </w:rPr>
      </w:pPr>
      <w:r>
        <w:rPr>
          <w:rFonts w:ascii="仿宋_GB2312" w:hAnsi="仿宋_GB2312" w:cs="仿宋_GB2312" w:hint="eastAsia"/>
          <w:sz w:val="28"/>
          <w:szCs w:val="28"/>
        </w:rPr>
        <w:t xml:space="preserve">     重点：</w:t>
      </w:r>
      <w:r>
        <w:rPr>
          <w:rFonts w:ascii="Times New Roman" w:hAnsi="Times New Roman" w:hint="eastAsia"/>
          <w:sz w:val="28"/>
          <w:szCs w:val="28"/>
        </w:rPr>
        <w:t>工业厂房的类型和结构体系；排架结构内力分析。框架结构的结构布置、框架结构的计算简图及荷载；</w:t>
      </w:r>
      <w:r>
        <w:rPr>
          <w:rFonts w:ascii="Times New Roman" w:hAnsi="Times New Roman"/>
          <w:sz w:val="28"/>
          <w:szCs w:val="28"/>
        </w:rPr>
        <w:t>砌体受压破坏的全过</w:t>
      </w:r>
      <w:r>
        <w:rPr>
          <w:rFonts w:ascii="Times New Roman" w:hAnsi="Times New Roman"/>
          <w:sz w:val="28"/>
          <w:szCs w:val="28"/>
        </w:rPr>
        <w:lastRenderedPageBreak/>
        <w:t>程、砌体受压时的应力状态和影响砌体抗压强度的主要因素</w:t>
      </w:r>
      <w:r>
        <w:rPr>
          <w:rFonts w:ascii="Times New Roman" w:hAnsi="Times New Roman" w:hint="eastAsia"/>
          <w:sz w:val="28"/>
          <w:szCs w:val="28"/>
        </w:rPr>
        <w:t>；</w:t>
      </w:r>
      <w:r>
        <w:rPr>
          <w:rFonts w:ascii="Times New Roman" w:hAnsi="Times New Roman"/>
          <w:sz w:val="28"/>
          <w:szCs w:val="28"/>
        </w:rPr>
        <w:t>无筋砌体受压构件的承载力计算方法</w:t>
      </w:r>
      <w:r>
        <w:rPr>
          <w:rFonts w:ascii="Times New Roman" w:hAnsi="Times New Roman" w:hint="eastAsia"/>
          <w:sz w:val="28"/>
          <w:szCs w:val="28"/>
        </w:rPr>
        <w:t>；</w:t>
      </w:r>
      <w:r>
        <w:rPr>
          <w:rFonts w:ascii="Times New Roman" w:hAnsi="Times New Roman"/>
          <w:sz w:val="28"/>
          <w:szCs w:val="28"/>
        </w:rPr>
        <w:t>墙、柱高厚比的计算方法</w:t>
      </w:r>
      <w:r>
        <w:rPr>
          <w:rFonts w:ascii="Times New Roman" w:hAnsi="Times New Roman" w:hint="eastAsia"/>
          <w:sz w:val="28"/>
          <w:szCs w:val="28"/>
        </w:rPr>
        <w:t>、</w:t>
      </w:r>
      <w:r>
        <w:rPr>
          <w:rFonts w:ascii="Times New Roman" w:hAnsi="Times New Roman"/>
          <w:sz w:val="28"/>
          <w:szCs w:val="28"/>
        </w:rPr>
        <w:t>刚性方案多层混合结构房屋的墙体设计</w:t>
      </w:r>
      <w:r>
        <w:rPr>
          <w:rFonts w:ascii="Times New Roman" w:hAnsi="Times New Roman" w:hint="eastAsia"/>
          <w:sz w:val="28"/>
          <w:szCs w:val="28"/>
        </w:rPr>
        <w:t>。</w:t>
      </w:r>
    </w:p>
    <w:p w:rsidR="00CF1222" w:rsidRDefault="00CF1222" w:rsidP="00CF1222">
      <w:pPr>
        <w:spacing w:line="360" w:lineRule="exact"/>
        <w:ind w:firstLineChars="200" w:firstLine="560"/>
        <w:rPr>
          <w:rFonts w:ascii="Times New Roman" w:hAnsi="Times New Roman"/>
          <w:sz w:val="28"/>
          <w:szCs w:val="28"/>
        </w:rPr>
      </w:pPr>
      <w:r>
        <w:rPr>
          <w:rFonts w:ascii="Times New Roman" w:hAnsi="Times New Roman" w:hint="eastAsia"/>
          <w:sz w:val="28"/>
          <w:szCs w:val="28"/>
        </w:rPr>
        <w:t>难点：排架结构内力分析；竖向荷载作用下框架结构的内力计算；水平荷载作用下框架结构内力和侧移的近似计算；砌体结构构件承载力计算。</w:t>
      </w: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F1222" w:rsidRDefault="00CF1222" w:rsidP="00CF1222">
      <w:pPr>
        <w:spacing w:line="360" w:lineRule="exact"/>
        <w:ind w:firstLineChars="200" w:firstLine="560"/>
        <w:rPr>
          <w:rFonts w:ascii="Times New Roman" w:hAnsi="Times New Roman"/>
          <w:sz w:val="28"/>
          <w:szCs w:val="28"/>
        </w:rPr>
      </w:pPr>
      <w:r>
        <w:rPr>
          <w:rFonts w:ascii="Times New Roman" w:hAnsi="Times New Roman"/>
          <w:sz w:val="28"/>
          <w:szCs w:val="28"/>
        </w:rPr>
        <w:t>以</w:t>
      </w:r>
      <w:r>
        <w:rPr>
          <w:rFonts w:ascii="Times New Roman" w:hAnsi="Times New Roman" w:hint="eastAsia"/>
          <w:sz w:val="28"/>
          <w:szCs w:val="28"/>
        </w:rPr>
        <w:t>钢筋混凝土框架结构设计为引例，通过讲述与其有关的工程问题，增强学生在毕业工作后确保工程设施安全的底线意识，</w:t>
      </w:r>
      <w:r>
        <w:rPr>
          <w:rFonts w:ascii="Times New Roman" w:hAnsi="Times New Roman"/>
          <w:sz w:val="28"/>
          <w:szCs w:val="28"/>
        </w:rPr>
        <w:t>增强学生的土木工程师职业责任感</w:t>
      </w:r>
      <w:r>
        <w:rPr>
          <w:rFonts w:ascii="Times New Roman" w:hAnsi="Times New Roman" w:hint="eastAsia"/>
          <w:sz w:val="28"/>
          <w:szCs w:val="28"/>
        </w:rPr>
        <w:t>；通过讲述框架结构设计的具体过程及应用实例，培养学生的大国工匠精神，激发学生的家国情怀。</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w:t>
      </w:r>
    </w:p>
    <w:p w:rsidR="00CF1222" w:rsidRDefault="00CF1222" w:rsidP="00CF1222">
      <w:pPr>
        <w:spacing w:before="20" w:after="40"/>
        <w:ind w:firstLineChars="700" w:firstLine="1687"/>
        <w:rPr>
          <w:b/>
          <w:bCs/>
          <w:sz w:val="18"/>
        </w:rPr>
      </w:pPr>
      <w:r>
        <w:rPr>
          <w:rFonts w:hint="eastAsia"/>
          <w:b/>
          <w:bCs/>
          <w:kern w:val="0"/>
          <w:sz w:val="24"/>
          <w:szCs w:val="24"/>
        </w:rPr>
        <w:t>“混凝土结构基本理论”课程思政目标及主要方法</w:t>
      </w:r>
    </w:p>
    <w:tbl>
      <w:tblPr>
        <w:tblW w:w="896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1"/>
        <w:gridCol w:w="1350"/>
        <w:gridCol w:w="3225"/>
        <w:gridCol w:w="3925"/>
      </w:tblGrid>
      <w:tr w:rsidR="00CF1222" w:rsidTr="00CF1222">
        <w:trPr>
          <w:trHeight w:val="749"/>
        </w:trPr>
        <w:tc>
          <w:tcPr>
            <w:tcW w:w="461" w:type="dxa"/>
          </w:tcPr>
          <w:p w:rsidR="00CF1222" w:rsidRDefault="00CF1222" w:rsidP="00CF1222">
            <w:pPr>
              <w:pStyle w:val="TableParagraph"/>
              <w:spacing w:before="142" w:line="242" w:lineRule="auto"/>
              <w:ind w:left="138" w:right="130"/>
              <w:rPr>
                <w:rFonts w:ascii="Calibri" w:eastAsia="仿宋_GB2312" w:hAnsi="Calibri" w:cs="Times New Roman"/>
                <w:b/>
                <w:bCs/>
                <w:kern w:val="0"/>
                <w:sz w:val="24"/>
                <w:szCs w:val="24"/>
                <w:lang w:val="en-US" w:bidi="ar-SA"/>
              </w:rPr>
            </w:pPr>
            <w:r>
              <w:rPr>
                <w:rFonts w:ascii="Calibri" w:eastAsia="仿宋_GB2312" w:hAnsi="Calibri" w:cs="Times New Roman" w:hint="eastAsia"/>
                <w:b/>
                <w:bCs/>
                <w:kern w:val="0"/>
                <w:sz w:val="24"/>
                <w:szCs w:val="24"/>
                <w:lang w:val="en-US" w:bidi="ar-SA"/>
              </w:rPr>
              <w:t>序号</w:t>
            </w:r>
          </w:p>
        </w:tc>
        <w:tc>
          <w:tcPr>
            <w:tcW w:w="1350" w:type="dxa"/>
          </w:tcPr>
          <w:p w:rsidR="00CF1222" w:rsidRDefault="00CF1222" w:rsidP="00CF1222">
            <w:pPr>
              <w:pStyle w:val="TableParagraph"/>
              <w:spacing w:before="3"/>
              <w:rPr>
                <w:rFonts w:ascii="Calibri" w:eastAsia="仿宋_GB2312" w:hAnsi="Calibri" w:cs="Times New Roman"/>
                <w:b/>
                <w:bCs/>
                <w:kern w:val="0"/>
                <w:sz w:val="24"/>
                <w:szCs w:val="24"/>
                <w:lang w:val="en-US" w:bidi="ar-SA"/>
              </w:rPr>
            </w:pPr>
          </w:p>
          <w:p w:rsidR="00CF1222" w:rsidRDefault="00CF1222" w:rsidP="00CF1222">
            <w:pPr>
              <w:pStyle w:val="TableParagraph"/>
              <w:ind w:left="405"/>
              <w:rPr>
                <w:rFonts w:ascii="Calibri" w:eastAsia="仿宋_GB2312" w:hAnsi="Calibri" w:cs="Times New Roman"/>
                <w:b/>
                <w:bCs/>
                <w:kern w:val="0"/>
                <w:sz w:val="24"/>
                <w:szCs w:val="24"/>
                <w:lang w:val="en-US" w:bidi="ar-SA"/>
              </w:rPr>
            </w:pPr>
            <w:r>
              <w:rPr>
                <w:rFonts w:ascii="Calibri" w:eastAsia="仿宋_GB2312" w:hAnsi="Calibri" w:cs="Times New Roman" w:hint="eastAsia"/>
                <w:b/>
                <w:bCs/>
                <w:kern w:val="0"/>
                <w:sz w:val="24"/>
                <w:szCs w:val="24"/>
                <w:lang w:val="en-US" w:bidi="ar-SA"/>
              </w:rPr>
              <w:t>章</w:t>
            </w:r>
            <w:r>
              <w:rPr>
                <w:rFonts w:ascii="Calibri" w:eastAsia="仿宋_GB2312" w:hAnsi="Calibri" w:cs="Times New Roman" w:hint="eastAsia"/>
                <w:b/>
                <w:bCs/>
                <w:kern w:val="0"/>
                <w:sz w:val="24"/>
                <w:szCs w:val="24"/>
                <w:lang w:val="en-US" w:bidi="ar-SA"/>
              </w:rPr>
              <w:t xml:space="preserve"> </w:t>
            </w:r>
            <w:r>
              <w:rPr>
                <w:rFonts w:ascii="Calibri" w:eastAsia="仿宋_GB2312" w:hAnsi="Calibri" w:cs="Times New Roman" w:hint="eastAsia"/>
                <w:b/>
                <w:bCs/>
                <w:kern w:val="0"/>
                <w:sz w:val="24"/>
                <w:szCs w:val="24"/>
                <w:lang w:val="en-US" w:bidi="ar-SA"/>
              </w:rPr>
              <w:t>节</w:t>
            </w:r>
          </w:p>
        </w:tc>
        <w:tc>
          <w:tcPr>
            <w:tcW w:w="3225" w:type="dxa"/>
          </w:tcPr>
          <w:p w:rsidR="00CF1222" w:rsidRDefault="00CF1222" w:rsidP="00CF1222">
            <w:pPr>
              <w:pStyle w:val="TableParagraph"/>
              <w:spacing w:before="3"/>
              <w:rPr>
                <w:rFonts w:ascii="Calibri" w:eastAsia="仿宋_GB2312" w:hAnsi="Calibri" w:cs="Times New Roman"/>
                <w:b/>
                <w:bCs/>
                <w:kern w:val="0"/>
                <w:sz w:val="24"/>
                <w:szCs w:val="24"/>
                <w:lang w:val="en-US" w:bidi="ar-SA"/>
              </w:rPr>
            </w:pPr>
          </w:p>
          <w:p w:rsidR="00CF1222" w:rsidRDefault="00CF1222" w:rsidP="00CF1222">
            <w:pPr>
              <w:pStyle w:val="TableParagraph"/>
              <w:ind w:left="802"/>
              <w:rPr>
                <w:rFonts w:ascii="Calibri" w:eastAsia="仿宋_GB2312" w:hAnsi="Calibri" w:cs="Times New Roman"/>
                <w:b/>
                <w:bCs/>
                <w:kern w:val="0"/>
                <w:sz w:val="24"/>
                <w:szCs w:val="24"/>
                <w:lang w:val="en-US" w:bidi="ar-SA"/>
              </w:rPr>
            </w:pPr>
            <w:r>
              <w:rPr>
                <w:rFonts w:ascii="Calibri" w:eastAsia="仿宋_GB2312" w:hAnsi="Calibri" w:cs="Times New Roman" w:hint="eastAsia"/>
                <w:b/>
                <w:bCs/>
                <w:kern w:val="0"/>
                <w:sz w:val="24"/>
                <w:szCs w:val="24"/>
                <w:lang w:val="en-US" w:bidi="ar-SA"/>
              </w:rPr>
              <w:t>主要内容及知识类型</w:t>
            </w:r>
          </w:p>
        </w:tc>
        <w:tc>
          <w:tcPr>
            <w:tcW w:w="3925" w:type="dxa"/>
          </w:tcPr>
          <w:p w:rsidR="00CF1222" w:rsidRDefault="00CF1222" w:rsidP="00CF1222">
            <w:pPr>
              <w:pStyle w:val="TableParagraph"/>
              <w:spacing w:before="3"/>
              <w:rPr>
                <w:rFonts w:ascii="Calibri" w:eastAsia="仿宋_GB2312" w:hAnsi="Calibri" w:cs="Times New Roman"/>
                <w:b/>
                <w:bCs/>
                <w:kern w:val="0"/>
                <w:sz w:val="24"/>
                <w:szCs w:val="24"/>
                <w:lang w:val="en-US" w:bidi="ar-SA"/>
              </w:rPr>
            </w:pPr>
          </w:p>
          <w:p w:rsidR="00CF1222" w:rsidRDefault="00CF1222" w:rsidP="00CF1222">
            <w:pPr>
              <w:pStyle w:val="TableParagraph"/>
              <w:ind w:left="1150"/>
              <w:rPr>
                <w:rFonts w:ascii="Calibri" w:eastAsia="仿宋_GB2312" w:hAnsi="Calibri" w:cs="Times New Roman"/>
                <w:b/>
                <w:bCs/>
                <w:kern w:val="0"/>
                <w:sz w:val="24"/>
                <w:szCs w:val="24"/>
                <w:lang w:val="en-US" w:bidi="ar-SA"/>
              </w:rPr>
            </w:pPr>
            <w:r>
              <w:rPr>
                <w:rFonts w:ascii="Calibri" w:eastAsia="仿宋_GB2312" w:hAnsi="Calibri" w:cs="Times New Roman" w:hint="eastAsia"/>
                <w:b/>
                <w:bCs/>
                <w:kern w:val="0"/>
                <w:sz w:val="24"/>
                <w:szCs w:val="24"/>
                <w:lang w:val="en-US" w:bidi="ar-SA"/>
              </w:rPr>
              <w:t>思政目标及主要方法</w:t>
            </w:r>
          </w:p>
        </w:tc>
      </w:tr>
      <w:tr w:rsidR="00CF1222" w:rsidTr="00CF1222">
        <w:trPr>
          <w:trHeight w:val="933"/>
        </w:trPr>
        <w:tc>
          <w:tcPr>
            <w:tcW w:w="461" w:type="dxa"/>
          </w:tcPr>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1</w:t>
            </w:r>
          </w:p>
        </w:tc>
        <w:tc>
          <w:tcPr>
            <w:tcW w:w="1350" w:type="dxa"/>
          </w:tcPr>
          <w:p w:rsidR="00CF1222" w:rsidRDefault="00CF1222" w:rsidP="00CF1222">
            <w:pPr>
              <w:jc w:val="left"/>
              <w:rPr>
                <w:kern w:val="0"/>
                <w:sz w:val="24"/>
                <w:szCs w:val="24"/>
              </w:rPr>
            </w:pPr>
          </w:p>
          <w:p w:rsidR="00CF1222" w:rsidRDefault="00CF1222" w:rsidP="00CF1222">
            <w:pPr>
              <w:jc w:val="left"/>
              <w:rPr>
                <w:kern w:val="0"/>
                <w:sz w:val="24"/>
                <w:szCs w:val="24"/>
              </w:rPr>
            </w:pPr>
            <w:r>
              <w:rPr>
                <w:rFonts w:hint="eastAsia"/>
                <w:kern w:val="0"/>
                <w:sz w:val="24"/>
                <w:szCs w:val="24"/>
              </w:rPr>
              <w:t>第一章</w:t>
            </w:r>
          </w:p>
          <w:p w:rsidR="00CF1222" w:rsidRDefault="00CF1222" w:rsidP="00CF1222">
            <w:pPr>
              <w:jc w:val="left"/>
              <w:rPr>
                <w:kern w:val="0"/>
                <w:sz w:val="24"/>
                <w:szCs w:val="24"/>
              </w:rPr>
            </w:pPr>
            <w:r>
              <w:rPr>
                <w:rFonts w:hint="eastAsia"/>
                <w:kern w:val="0"/>
                <w:sz w:val="24"/>
                <w:szCs w:val="24"/>
              </w:rPr>
              <w:t>单层厂房</w:t>
            </w:r>
          </w:p>
          <w:p w:rsidR="00CF1222" w:rsidRDefault="00CF1222" w:rsidP="00CF1222">
            <w:pPr>
              <w:jc w:val="left"/>
              <w:rPr>
                <w:kern w:val="0"/>
                <w:sz w:val="24"/>
                <w:szCs w:val="24"/>
              </w:rPr>
            </w:pPr>
            <w:r>
              <w:rPr>
                <w:rFonts w:hint="eastAsia"/>
                <w:kern w:val="0"/>
                <w:sz w:val="24"/>
                <w:szCs w:val="24"/>
              </w:rPr>
              <w:t>结构</w:t>
            </w:r>
          </w:p>
        </w:tc>
        <w:tc>
          <w:tcPr>
            <w:tcW w:w="3225" w:type="dxa"/>
          </w:tcPr>
          <w:p w:rsidR="00CF1222" w:rsidRDefault="00CF1222" w:rsidP="00CF1222">
            <w:pPr>
              <w:jc w:val="left"/>
              <w:rPr>
                <w:kern w:val="0"/>
                <w:sz w:val="24"/>
                <w:szCs w:val="24"/>
              </w:rPr>
            </w:pPr>
            <w:r>
              <w:rPr>
                <w:rFonts w:hint="eastAsia"/>
                <w:kern w:val="0"/>
                <w:sz w:val="24"/>
                <w:szCs w:val="24"/>
              </w:rPr>
              <w:t>主要内容：工业厂房的类型和结构体系、组成及传力路线；结构布置及构件选型；排架结构内力分析；柱的设计；柱下独立基础的设计；其它主要构件的设计要点。</w:t>
            </w:r>
          </w:p>
          <w:p w:rsidR="00CF1222" w:rsidRDefault="00CF1222" w:rsidP="00CF1222">
            <w:pPr>
              <w:jc w:val="left"/>
              <w:rPr>
                <w:kern w:val="0"/>
                <w:sz w:val="24"/>
                <w:szCs w:val="24"/>
              </w:rPr>
            </w:pPr>
            <w:r>
              <w:rPr>
                <w:rFonts w:hint="eastAsia"/>
                <w:kern w:val="0"/>
                <w:sz w:val="24"/>
                <w:szCs w:val="24"/>
              </w:rPr>
              <w:t>知识类型：分析探讨与应用型知识。</w:t>
            </w:r>
          </w:p>
        </w:tc>
        <w:tc>
          <w:tcPr>
            <w:tcW w:w="3925" w:type="dxa"/>
          </w:tcPr>
          <w:p w:rsidR="00CF1222" w:rsidRDefault="00CF1222" w:rsidP="00CF1222">
            <w:pPr>
              <w:jc w:val="left"/>
              <w:rPr>
                <w:kern w:val="0"/>
                <w:sz w:val="24"/>
                <w:szCs w:val="24"/>
              </w:rPr>
            </w:pPr>
            <w:r>
              <w:rPr>
                <w:rFonts w:hint="eastAsia"/>
                <w:kern w:val="0"/>
                <w:sz w:val="24"/>
                <w:szCs w:val="24"/>
              </w:rPr>
              <w:t>思政目标：</w:t>
            </w:r>
            <w:r>
              <w:rPr>
                <w:rFonts w:hint="eastAsia"/>
                <w:kern w:val="0"/>
                <w:sz w:val="24"/>
                <w:szCs w:val="24"/>
              </w:rPr>
              <w:t>1</w:t>
            </w:r>
            <w:r>
              <w:rPr>
                <w:rFonts w:hint="eastAsia"/>
                <w:kern w:val="0"/>
                <w:sz w:val="24"/>
                <w:szCs w:val="24"/>
              </w:rPr>
              <w:t>、职业素养教育；</w:t>
            </w:r>
            <w:r>
              <w:rPr>
                <w:rFonts w:hint="eastAsia"/>
                <w:kern w:val="0"/>
                <w:sz w:val="24"/>
                <w:szCs w:val="24"/>
              </w:rPr>
              <w:t>2</w:t>
            </w:r>
            <w:r>
              <w:rPr>
                <w:rFonts w:hint="eastAsia"/>
                <w:kern w:val="0"/>
                <w:sz w:val="24"/>
                <w:szCs w:val="24"/>
              </w:rPr>
              <w:t>、科技创新教育。</w:t>
            </w:r>
          </w:p>
          <w:p w:rsidR="00CF1222" w:rsidRDefault="00CF1222" w:rsidP="00CF1222">
            <w:pPr>
              <w:jc w:val="left"/>
              <w:rPr>
                <w:kern w:val="0"/>
                <w:sz w:val="24"/>
                <w:szCs w:val="24"/>
              </w:rPr>
            </w:pPr>
            <w:r>
              <w:rPr>
                <w:rFonts w:hint="eastAsia"/>
                <w:kern w:val="0"/>
                <w:sz w:val="24"/>
                <w:szCs w:val="24"/>
              </w:rPr>
              <w:t>主要方法：</w:t>
            </w:r>
            <w:r>
              <w:rPr>
                <w:rFonts w:hint="eastAsia"/>
                <w:kern w:val="0"/>
                <w:sz w:val="24"/>
                <w:szCs w:val="24"/>
              </w:rPr>
              <w:t>1</w:t>
            </w:r>
            <w:r>
              <w:rPr>
                <w:rFonts w:hint="eastAsia"/>
                <w:kern w:val="0"/>
                <w:sz w:val="24"/>
                <w:szCs w:val="24"/>
              </w:rPr>
              <w:t>、典型工程；</w:t>
            </w:r>
            <w:r>
              <w:rPr>
                <w:rFonts w:hint="eastAsia"/>
                <w:kern w:val="0"/>
                <w:sz w:val="24"/>
                <w:szCs w:val="24"/>
              </w:rPr>
              <w:t>2</w:t>
            </w:r>
            <w:r>
              <w:rPr>
                <w:rFonts w:hint="eastAsia"/>
                <w:kern w:val="0"/>
                <w:sz w:val="24"/>
                <w:szCs w:val="24"/>
              </w:rPr>
              <w:t>、规范条文解读；</w:t>
            </w:r>
            <w:r>
              <w:rPr>
                <w:rFonts w:hint="eastAsia"/>
                <w:kern w:val="0"/>
                <w:sz w:val="24"/>
                <w:szCs w:val="24"/>
              </w:rPr>
              <w:t>3</w:t>
            </w:r>
            <w:r>
              <w:rPr>
                <w:rFonts w:hint="eastAsia"/>
                <w:kern w:val="0"/>
                <w:sz w:val="24"/>
                <w:szCs w:val="24"/>
              </w:rPr>
              <w:t>、最新科研成果的引入。</w:t>
            </w:r>
          </w:p>
        </w:tc>
      </w:tr>
      <w:tr w:rsidR="00CF1222" w:rsidTr="00CF1222">
        <w:trPr>
          <w:trHeight w:val="933"/>
        </w:trPr>
        <w:tc>
          <w:tcPr>
            <w:tcW w:w="461" w:type="dxa"/>
          </w:tcPr>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2</w:t>
            </w:r>
          </w:p>
        </w:tc>
        <w:tc>
          <w:tcPr>
            <w:tcW w:w="1350" w:type="dxa"/>
            <w:vAlign w:val="center"/>
          </w:tcPr>
          <w:p w:rsidR="00CF1222" w:rsidRDefault="00CF1222" w:rsidP="00CF1222">
            <w:pPr>
              <w:tabs>
                <w:tab w:val="right" w:pos="8222"/>
              </w:tabs>
              <w:spacing w:line="360" w:lineRule="exact"/>
              <w:rPr>
                <w:kern w:val="0"/>
                <w:sz w:val="24"/>
                <w:szCs w:val="24"/>
              </w:rPr>
            </w:pPr>
            <w:r>
              <w:rPr>
                <w:rFonts w:hint="eastAsia"/>
                <w:kern w:val="0"/>
                <w:sz w:val="24"/>
                <w:szCs w:val="24"/>
              </w:rPr>
              <w:t>第二章</w:t>
            </w:r>
          </w:p>
          <w:p w:rsidR="00CF1222" w:rsidRDefault="00CF1222" w:rsidP="00CF1222">
            <w:pPr>
              <w:tabs>
                <w:tab w:val="right" w:pos="8222"/>
              </w:tabs>
              <w:spacing w:line="360" w:lineRule="exact"/>
              <w:rPr>
                <w:kern w:val="0"/>
                <w:sz w:val="24"/>
                <w:szCs w:val="24"/>
              </w:rPr>
            </w:pPr>
            <w:r>
              <w:rPr>
                <w:rFonts w:hint="eastAsia"/>
                <w:kern w:val="0"/>
                <w:sz w:val="24"/>
                <w:szCs w:val="24"/>
              </w:rPr>
              <w:t>多层框架</w:t>
            </w:r>
          </w:p>
          <w:p w:rsidR="00CF1222" w:rsidRDefault="00CF1222" w:rsidP="00CF1222">
            <w:pPr>
              <w:tabs>
                <w:tab w:val="right" w:pos="8222"/>
              </w:tabs>
              <w:spacing w:line="360" w:lineRule="exact"/>
              <w:rPr>
                <w:rFonts w:eastAsia="楷体"/>
                <w:sz w:val="20"/>
                <w:szCs w:val="20"/>
              </w:rPr>
            </w:pPr>
            <w:r>
              <w:rPr>
                <w:rFonts w:hint="eastAsia"/>
                <w:kern w:val="0"/>
                <w:sz w:val="24"/>
                <w:szCs w:val="24"/>
              </w:rPr>
              <w:t>结构</w:t>
            </w:r>
          </w:p>
        </w:tc>
        <w:tc>
          <w:tcPr>
            <w:tcW w:w="3225" w:type="dxa"/>
            <w:vAlign w:val="center"/>
          </w:tcPr>
          <w:p w:rsidR="00CF1222" w:rsidRDefault="00CF1222" w:rsidP="00CF1222">
            <w:pPr>
              <w:spacing w:line="360" w:lineRule="exact"/>
              <w:rPr>
                <w:rFonts w:ascii="华文中宋" w:eastAsia="华文中宋" w:hAnsi="华文中宋"/>
                <w:sz w:val="20"/>
                <w:szCs w:val="20"/>
              </w:rPr>
            </w:pPr>
            <w:r>
              <w:rPr>
                <w:rFonts w:hint="eastAsia"/>
                <w:kern w:val="0"/>
                <w:sz w:val="24"/>
                <w:szCs w:val="24"/>
              </w:rPr>
              <w:t>主要内容：框架结构布置、计算简图及荷载；竖向荷载作用下框架结构的内力计算；水平荷载作用下框架结构内力和侧移的近似计算；构件设计及构造要求。</w:t>
            </w:r>
          </w:p>
          <w:p w:rsidR="00CF1222" w:rsidRDefault="00CF1222" w:rsidP="00CF1222">
            <w:pPr>
              <w:rPr>
                <w:rFonts w:ascii="Times New Roman" w:hAnsi="Times New Roman"/>
                <w:kern w:val="0"/>
                <w:sz w:val="20"/>
                <w:szCs w:val="20"/>
              </w:rPr>
            </w:pPr>
            <w:r>
              <w:rPr>
                <w:rFonts w:hint="eastAsia"/>
                <w:kern w:val="0"/>
                <w:sz w:val="24"/>
                <w:szCs w:val="24"/>
              </w:rPr>
              <w:t>知识类型：分析探讨与应用型知识。</w:t>
            </w:r>
          </w:p>
        </w:tc>
        <w:tc>
          <w:tcPr>
            <w:tcW w:w="3925" w:type="dxa"/>
            <w:vAlign w:val="center"/>
          </w:tcPr>
          <w:p w:rsidR="00CF1222" w:rsidRDefault="00CF1222" w:rsidP="00CF1222">
            <w:pPr>
              <w:spacing w:line="360" w:lineRule="exact"/>
              <w:rPr>
                <w:kern w:val="0"/>
                <w:sz w:val="24"/>
                <w:szCs w:val="24"/>
              </w:rPr>
            </w:pPr>
            <w:r>
              <w:rPr>
                <w:rFonts w:hint="eastAsia"/>
                <w:kern w:val="0"/>
                <w:sz w:val="24"/>
                <w:szCs w:val="24"/>
              </w:rPr>
              <w:t>思政目标：</w:t>
            </w:r>
            <w:r>
              <w:rPr>
                <w:rFonts w:hint="eastAsia"/>
                <w:kern w:val="0"/>
                <w:sz w:val="24"/>
                <w:szCs w:val="24"/>
              </w:rPr>
              <w:t>1</w:t>
            </w:r>
            <w:r>
              <w:rPr>
                <w:rFonts w:hint="eastAsia"/>
                <w:kern w:val="0"/>
                <w:sz w:val="24"/>
                <w:szCs w:val="24"/>
              </w:rPr>
              <w:t>、科技创新教育；</w:t>
            </w:r>
            <w:r>
              <w:rPr>
                <w:rFonts w:hint="eastAsia"/>
                <w:kern w:val="0"/>
                <w:sz w:val="24"/>
                <w:szCs w:val="24"/>
              </w:rPr>
              <w:t>2</w:t>
            </w:r>
            <w:r>
              <w:rPr>
                <w:rFonts w:hint="eastAsia"/>
                <w:kern w:val="0"/>
                <w:sz w:val="24"/>
                <w:szCs w:val="24"/>
              </w:rPr>
              <w:t>、职业素养教育。</w:t>
            </w:r>
          </w:p>
          <w:p w:rsidR="00CF1222" w:rsidRDefault="00CF1222" w:rsidP="00CF1222">
            <w:pPr>
              <w:spacing w:line="360" w:lineRule="exact"/>
              <w:rPr>
                <w:rFonts w:ascii="华文中宋" w:eastAsia="华文中宋" w:hAnsi="华文中宋"/>
                <w:sz w:val="20"/>
                <w:szCs w:val="20"/>
              </w:rPr>
            </w:pPr>
            <w:r>
              <w:rPr>
                <w:rFonts w:hint="eastAsia"/>
                <w:kern w:val="0"/>
                <w:sz w:val="24"/>
                <w:szCs w:val="24"/>
              </w:rPr>
              <w:t>主要方法：</w:t>
            </w:r>
            <w:r>
              <w:rPr>
                <w:rFonts w:hint="eastAsia"/>
                <w:kern w:val="0"/>
                <w:sz w:val="24"/>
                <w:szCs w:val="24"/>
              </w:rPr>
              <w:t>1</w:t>
            </w:r>
            <w:r>
              <w:rPr>
                <w:rFonts w:hint="eastAsia"/>
                <w:kern w:val="0"/>
                <w:sz w:val="24"/>
                <w:szCs w:val="24"/>
              </w:rPr>
              <w:t>、国内外同类内容的比较分析；</w:t>
            </w:r>
            <w:r>
              <w:rPr>
                <w:rFonts w:hint="eastAsia"/>
                <w:kern w:val="0"/>
                <w:sz w:val="24"/>
                <w:szCs w:val="24"/>
              </w:rPr>
              <w:t>2</w:t>
            </w:r>
            <w:r>
              <w:rPr>
                <w:rFonts w:hint="eastAsia"/>
                <w:kern w:val="0"/>
                <w:sz w:val="24"/>
                <w:szCs w:val="24"/>
              </w:rPr>
              <w:t>、规范条文解读；</w:t>
            </w:r>
            <w:r>
              <w:rPr>
                <w:rFonts w:hint="eastAsia"/>
                <w:kern w:val="0"/>
                <w:sz w:val="24"/>
                <w:szCs w:val="24"/>
              </w:rPr>
              <w:t>3</w:t>
            </w:r>
            <w:r>
              <w:rPr>
                <w:rFonts w:hint="eastAsia"/>
                <w:kern w:val="0"/>
                <w:sz w:val="24"/>
                <w:szCs w:val="24"/>
              </w:rPr>
              <w:t>、典型工程案例分析；</w:t>
            </w:r>
            <w:r>
              <w:rPr>
                <w:rFonts w:hint="eastAsia"/>
                <w:kern w:val="0"/>
                <w:sz w:val="24"/>
                <w:szCs w:val="24"/>
              </w:rPr>
              <w:t>4</w:t>
            </w:r>
            <w:r>
              <w:rPr>
                <w:rFonts w:hint="eastAsia"/>
                <w:kern w:val="0"/>
                <w:sz w:val="24"/>
                <w:szCs w:val="24"/>
              </w:rPr>
              <w:t>、能正确运用工程语言表达设计结果，树立良好的职业道德和责任感。</w:t>
            </w:r>
          </w:p>
        </w:tc>
      </w:tr>
      <w:tr w:rsidR="00CF1222" w:rsidTr="00CF1222">
        <w:trPr>
          <w:trHeight w:val="933"/>
        </w:trPr>
        <w:tc>
          <w:tcPr>
            <w:tcW w:w="461" w:type="dxa"/>
          </w:tcPr>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3</w:t>
            </w:r>
          </w:p>
        </w:tc>
        <w:tc>
          <w:tcPr>
            <w:tcW w:w="1350" w:type="dxa"/>
            <w:vAlign w:val="center"/>
          </w:tcPr>
          <w:p w:rsidR="00CF1222" w:rsidRDefault="00CF1222" w:rsidP="00CF1222">
            <w:pPr>
              <w:tabs>
                <w:tab w:val="right" w:pos="8222"/>
              </w:tabs>
              <w:spacing w:line="360" w:lineRule="exact"/>
              <w:rPr>
                <w:kern w:val="0"/>
                <w:sz w:val="24"/>
                <w:szCs w:val="24"/>
              </w:rPr>
            </w:pPr>
            <w:r>
              <w:rPr>
                <w:rFonts w:hint="eastAsia"/>
                <w:kern w:val="0"/>
                <w:sz w:val="24"/>
                <w:szCs w:val="24"/>
              </w:rPr>
              <w:t>第三章</w:t>
            </w:r>
          </w:p>
          <w:p w:rsidR="00CF1222" w:rsidRDefault="00CF1222" w:rsidP="00CF1222">
            <w:pPr>
              <w:spacing w:line="360" w:lineRule="exact"/>
              <w:rPr>
                <w:rFonts w:ascii="Times New Roman" w:hAnsi="Times New Roman"/>
                <w:kern w:val="0"/>
                <w:sz w:val="20"/>
                <w:szCs w:val="20"/>
              </w:rPr>
            </w:pPr>
            <w:r>
              <w:rPr>
                <w:rFonts w:hint="eastAsia"/>
                <w:kern w:val="0"/>
                <w:sz w:val="24"/>
                <w:szCs w:val="24"/>
              </w:rPr>
              <w:t>砌体结构</w:t>
            </w:r>
          </w:p>
        </w:tc>
        <w:tc>
          <w:tcPr>
            <w:tcW w:w="3225" w:type="dxa"/>
            <w:vAlign w:val="center"/>
          </w:tcPr>
          <w:p w:rsidR="00CF1222" w:rsidRDefault="00CF1222" w:rsidP="00CF1222">
            <w:pPr>
              <w:spacing w:line="360" w:lineRule="exact"/>
              <w:rPr>
                <w:kern w:val="0"/>
                <w:sz w:val="24"/>
                <w:szCs w:val="24"/>
              </w:rPr>
            </w:pPr>
            <w:r>
              <w:rPr>
                <w:rFonts w:hint="eastAsia"/>
                <w:kern w:val="0"/>
                <w:sz w:val="24"/>
                <w:szCs w:val="24"/>
              </w:rPr>
              <w:t>主要内容：砌体及其基本材料力学性能；砌体结构构件承载力计算；墙体设计；构件及墙体构造。</w:t>
            </w:r>
          </w:p>
          <w:p w:rsidR="00CF1222" w:rsidRDefault="00CF1222" w:rsidP="00CF1222">
            <w:pPr>
              <w:spacing w:line="360" w:lineRule="exact"/>
              <w:rPr>
                <w:rFonts w:ascii="华文中宋" w:eastAsia="华文中宋" w:hAnsi="华文中宋"/>
                <w:sz w:val="20"/>
                <w:szCs w:val="20"/>
              </w:rPr>
            </w:pPr>
            <w:r>
              <w:rPr>
                <w:rFonts w:hint="eastAsia"/>
                <w:kern w:val="0"/>
                <w:sz w:val="24"/>
                <w:szCs w:val="24"/>
              </w:rPr>
              <w:t>知识类型：分析探讨与应用型知识。</w:t>
            </w:r>
          </w:p>
        </w:tc>
        <w:tc>
          <w:tcPr>
            <w:tcW w:w="3925" w:type="dxa"/>
            <w:vAlign w:val="center"/>
          </w:tcPr>
          <w:p w:rsidR="00CF1222" w:rsidRDefault="00CF1222" w:rsidP="00CF1222">
            <w:pPr>
              <w:spacing w:line="360" w:lineRule="exact"/>
              <w:rPr>
                <w:kern w:val="0"/>
                <w:sz w:val="24"/>
                <w:szCs w:val="24"/>
              </w:rPr>
            </w:pPr>
            <w:r>
              <w:rPr>
                <w:rFonts w:hint="eastAsia"/>
                <w:kern w:val="0"/>
                <w:sz w:val="24"/>
                <w:szCs w:val="24"/>
              </w:rPr>
              <w:t>思政目标：</w:t>
            </w:r>
            <w:r>
              <w:rPr>
                <w:rFonts w:hint="eastAsia"/>
                <w:kern w:val="0"/>
                <w:sz w:val="24"/>
                <w:szCs w:val="24"/>
              </w:rPr>
              <w:t>1</w:t>
            </w:r>
            <w:r>
              <w:rPr>
                <w:rFonts w:hint="eastAsia"/>
                <w:kern w:val="0"/>
                <w:sz w:val="24"/>
                <w:szCs w:val="24"/>
              </w:rPr>
              <w:t>、科技创新教育；</w:t>
            </w:r>
            <w:r>
              <w:rPr>
                <w:rFonts w:hint="eastAsia"/>
                <w:kern w:val="0"/>
                <w:sz w:val="24"/>
                <w:szCs w:val="24"/>
              </w:rPr>
              <w:t>2</w:t>
            </w:r>
            <w:r>
              <w:rPr>
                <w:rFonts w:hint="eastAsia"/>
                <w:kern w:val="0"/>
                <w:sz w:val="24"/>
                <w:szCs w:val="24"/>
              </w:rPr>
              <w:t>、职业素养教育。</w:t>
            </w:r>
          </w:p>
          <w:p w:rsidR="00CF1222" w:rsidRDefault="00CF1222" w:rsidP="00CF1222">
            <w:pPr>
              <w:spacing w:line="360" w:lineRule="exact"/>
              <w:rPr>
                <w:rFonts w:ascii="华文中宋" w:eastAsia="华文中宋" w:hAnsi="华文中宋"/>
                <w:sz w:val="20"/>
                <w:szCs w:val="20"/>
              </w:rPr>
            </w:pPr>
            <w:r>
              <w:rPr>
                <w:rFonts w:hint="eastAsia"/>
                <w:kern w:val="0"/>
                <w:sz w:val="24"/>
                <w:szCs w:val="24"/>
              </w:rPr>
              <w:t>主要方法：</w:t>
            </w:r>
            <w:r>
              <w:rPr>
                <w:rFonts w:hint="eastAsia"/>
                <w:kern w:val="0"/>
                <w:sz w:val="24"/>
                <w:szCs w:val="24"/>
              </w:rPr>
              <w:t>1</w:t>
            </w:r>
            <w:r>
              <w:rPr>
                <w:rFonts w:hint="eastAsia"/>
                <w:kern w:val="0"/>
                <w:sz w:val="24"/>
                <w:szCs w:val="24"/>
              </w:rPr>
              <w:t>、规范条文解读；</w:t>
            </w:r>
            <w:r>
              <w:rPr>
                <w:rFonts w:hint="eastAsia"/>
                <w:kern w:val="0"/>
                <w:sz w:val="24"/>
                <w:szCs w:val="24"/>
              </w:rPr>
              <w:t>2</w:t>
            </w:r>
            <w:r>
              <w:rPr>
                <w:rFonts w:hint="eastAsia"/>
                <w:kern w:val="0"/>
                <w:sz w:val="24"/>
                <w:szCs w:val="24"/>
              </w:rPr>
              <w:t>、相关最新科研成果及研究介绍；</w:t>
            </w:r>
            <w:r>
              <w:rPr>
                <w:rFonts w:hint="eastAsia"/>
                <w:kern w:val="0"/>
                <w:sz w:val="24"/>
                <w:szCs w:val="24"/>
              </w:rPr>
              <w:t>3</w:t>
            </w:r>
            <w:r>
              <w:rPr>
                <w:rFonts w:hint="eastAsia"/>
                <w:kern w:val="0"/>
                <w:sz w:val="24"/>
                <w:szCs w:val="24"/>
              </w:rPr>
              <w:t>、典型工程案例分析。</w:t>
            </w:r>
          </w:p>
        </w:tc>
      </w:tr>
    </w:tbl>
    <w:p w:rsidR="00CF1222" w:rsidRDefault="00CF1222" w:rsidP="00CF1222">
      <w:pPr>
        <w:spacing w:line="360" w:lineRule="auto"/>
        <w:jc w:val="left"/>
        <w:rPr>
          <w:rFonts w:ascii="宋体" w:eastAsia="宋体" w:hAnsi="宋体"/>
          <w:b/>
          <w:color w:val="FF0000"/>
          <w:sz w:val="21"/>
          <w:szCs w:val="21"/>
        </w:rPr>
      </w:pP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014"/>
        <w:gridCol w:w="1134"/>
        <w:gridCol w:w="2693"/>
        <w:gridCol w:w="3802"/>
      </w:tblGrid>
      <w:tr w:rsidR="00CF1222" w:rsidTr="00CF1222">
        <w:trPr>
          <w:cantSplit/>
          <w:trHeight w:val="785"/>
        </w:trPr>
        <w:tc>
          <w:tcPr>
            <w:tcW w:w="51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序号</w:t>
            </w:r>
          </w:p>
        </w:tc>
        <w:tc>
          <w:tcPr>
            <w:tcW w:w="1014"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1134"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2693"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3802"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CF1222" w:rsidTr="00CF1222">
        <w:trPr>
          <w:trHeight w:val="428"/>
        </w:trPr>
        <w:tc>
          <w:tcPr>
            <w:tcW w:w="512" w:type="dxa"/>
            <w:vAlign w:val="center"/>
          </w:tcPr>
          <w:p w:rsidR="00CF1222" w:rsidRDefault="00CF1222" w:rsidP="00CF1222">
            <w:pPr>
              <w:jc w:val="center"/>
              <w:rPr>
                <w:kern w:val="0"/>
                <w:sz w:val="24"/>
                <w:szCs w:val="24"/>
              </w:rPr>
            </w:pPr>
            <w:r>
              <w:rPr>
                <w:rFonts w:hint="eastAsia"/>
                <w:kern w:val="0"/>
                <w:sz w:val="24"/>
                <w:szCs w:val="24"/>
              </w:rPr>
              <w:t>1</w:t>
            </w:r>
          </w:p>
        </w:tc>
        <w:tc>
          <w:tcPr>
            <w:tcW w:w="1014" w:type="dxa"/>
            <w:vAlign w:val="center"/>
          </w:tcPr>
          <w:p w:rsidR="00CF1222" w:rsidRDefault="00CF1222" w:rsidP="00CF1222">
            <w:pPr>
              <w:rPr>
                <w:kern w:val="0"/>
                <w:sz w:val="24"/>
                <w:szCs w:val="24"/>
              </w:rPr>
            </w:pPr>
            <w:r>
              <w:rPr>
                <w:rFonts w:hint="eastAsia"/>
                <w:kern w:val="0"/>
                <w:sz w:val="24"/>
                <w:szCs w:val="24"/>
              </w:rPr>
              <w:t>单层厂房结构</w:t>
            </w:r>
          </w:p>
        </w:tc>
        <w:tc>
          <w:tcPr>
            <w:tcW w:w="1134" w:type="dxa"/>
            <w:vAlign w:val="center"/>
          </w:tcPr>
          <w:p w:rsidR="00CF1222" w:rsidRDefault="00CF1222" w:rsidP="00CF1222">
            <w:pPr>
              <w:rPr>
                <w:kern w:val="0"/>
                <w:sz w:val="24"/>
                <w:szCs w:val="24"/>
              </w:rPr>
            </w:pPr>
            <w:r>
              <w:rPr>
                <w:rFonts w:hint="eastAsia"/>
                <w:kern w:val="0"/>
                <w:sz w:val="24"/>
                <w:szCs w:val="24"/>
              </w:rPr>
              <w:t>10</w:t>
            </w:r>
          </w:p>
        </w:tc>
        <w:tc>
          <w:tcPr>
            <w:tcW w:w="2693" w:type="dxa"/>
            <w:vAlign w:val="center"/>
          </w:tcPr>
          <w:p w:rsidR="00CF1222" w:rsidRDefault="00CF1222" w:rsidP="00CF1222">
            <w:pPr>
              <w:spacing w:line="360" w:lineRule="exact"/>
              <w:rPr>
                <w:kern w:val="0"/>
                <w:sz w:val="24"/>
                <w:szCs w:val="24"/>
              </w:rPr>
            </w:pPr>
            <w:r>
              <w:rPr>
                <w:rFonts w:hint="eastAsia"/>
                <w:kern w:val="0"/>
                <w:sz w:val="24"/>
                <w:szCs w:val="24"/>
              </w:rPr>
              <w:t>1.</w:t>
            </w:r>
            <w:r>
              <w:rPr>
                <w:rFonts w:hint="eastAsia"/>
                <w:kern w:val="0"/>
                <w:sz w:val="24"/>
                <w:szCs w:val="24"/>
              </w:rPr>
              <w:t>工业厂房的类型和结构体系</w:t>
            </w:r>
          </w:p>
          <w:p w:rsidR="00CF1222" w:rsidRDefault="00CF1222" w:rsidP="00CF1222">
            <w:pPr>
              <w:spacing w:line="360" w:lineRule="exact"/>
              <w:rPr>
                <w:kern w:val="0"/>
                <w:sz w:val="24"/>
                <w:szCs w:val="24"/>
              </w:rPr>
            </w:pPr>
            <w:r>
              <w:rPr>
                <w:rFonts w:hint="eastAsia"/>
                <w:kern w:val="0"/>
                <w:sz w:val="24"/>
                <w:szCs w:val="24"/>
              </w:rPr>
              <w:t>2.</w:t>
            </w:r>
            <w:r>
              <w:rPr>
                <w:rFonts w:hint="eastAsia"/>
                <w:kern w:val="0"/>
                <w:sz w:val="24"/>
                <w:szCs w:val="24"/>
              </w:rPr>
              <w:t>单层厂房的结构组成及传力路线</w:t>
            </w:r>
          </w:p>
          <w:p w:rsidR="00CF1222" w:rsidRDefault="00CF1222" w:rsidP="00CF1222">
            <w:pPr>
              <w:spacing w:line="360" w:lineRule="exact"/>
              <w:rPr>
                <w:kern w:val="0"/>
                <w:sz w:val="24"/>
                <w:szCs w:val="24"/>
              </w:rPr>
            </w:pPr>
            <w:r>
              <w:rPr>
                <w:rFonts w:hint="eastAsia"/>
                <w:kern w:val="0"/>
                <w:sz w:val="24"/>
                <w:szCs w:val="24"/>
              </w:rPr>
              <w:t>3.</w:t>
            </w:r>
            <w:r>
              <w:rPr>
                <w:rFonts w:hint="eastAsia"/>
                <w:kern w:val="0"/>
                <w:sz w:val="24"/>
                <w:szCs w:val="24"/>
              </w:rPr>
              <w:t>结构布置及构件选型</w:t>
            </w:r>
          </w:p>
          <w:p w:rsidR="00CF1222" w:rsidRDefault="00CF1222" w:rsidP="00CF1222">
            <w:pPr>
              <w:spacing w:line="360" w:lineRule="exact"/>
              <w:rPr>
                <w:kern w:val="0"/>
                <w:sz w:val="24"/>
                <w:szCs w:val="24"/>
              </w:rPr>
            </w:pPr>
            <w:r>
              <w:rPr>
                <w:rFonts w:hint="eastAsia"/>
                <w:kern w:val="0"/>
                <w:sz w:val="24"/>
                <w:szCs w:val="24"/>
              </w:rPr>
              <w:t>4.</w:t>
            </w:r>
            <w:r>
              <w:rPr>
                <w:rFonts w:hint="eastAsia"/>
                <w:kern w:val="0"/>
                <w:sz w:val="24"/>
                <w:szCs w:val="24"/>
              </w:rPr>
              <w:t>排架结构内力分析</w:t>
            </w:r>
          </w:p>
          <w:p w:rsidR="00CF1222" w:rsidRDefault="00CF1222" w:rsidP="00CF1222">
            <w:pPr>
              <w:spacing w:line="360" w:lineRule="exact"/>
              <w:rPr>
                <w:kern w:val="0"/>
                <w:sz w:val="24"/>
                <w:szCs w:val="24"/>
              </w:rPr>
            </w:pPr>
            <w:r>
              <w:rPr>
                <w:rFonts w:hint="eastAsia"/>
                <w:kern w:val="0"/>
                <w:sz w:val="24"/>
                <w:szCs w:val="24"/>
              </w:rPr>
              <w:t>5.</w:t>
            </w:r>
            <w:r>
              <w:rPr>
                <w:rFonts w:hint="eastAsia"/>
                <w:kern w:val="0"/>
                <w:sz w:val="24"/>
                <w:szCs w:val="24"/>
              </w:rPr>
              <w:t>柱的设计</w:t>
            </w:r>
          </w:p>
          <w:p w:rsidR="00CF1222" w:rsidRDefault="00CF1222" w:rsidP="00CF1222">
            <w:pPr>
              <w:spacing w:line="360" w:lineRule="exact"/>
              <w:rPr>
                <w:kern w:val="0"/>
                <w:sz w:val="24"/>
                <w:szCs w:val="24"/>
              </w:rPr>
            </w:pPr>
            <w:r>
              <w:rPr>
                <w:rFonts w:hint="eastAsia"/>
                <w:kern w:val="0"/>
                <w:sz w:val="24"/>
                <w:szCs w:val="24"/>
              </w:rPr>
              <w:t>6.</w:t>
            </w:r>
            <w:r>
              <w:rPr>
                <w:rFonts w:hint="eastAsia"/>
                <w:kern w:val="0"/>
                <w:sz w:val="24"/>
                <w:szCs w:val="24"/>
              </w:rPr>
              <w:t>柱下独立基础的设计</w:t>
            </w:r>
          </w:p>
          <w:p w:rsidR="00CF1222" w:rsidRDefault="00CF1222" w:rsidP="00CF1222">
            <w:pPr>
              <w:spacing w:line="360" w:lineRule="exact"/>
              <w:rPr>
                <w:kern w:val="0"/>
                <w:sz w:val="24"/>
                <w:szCs w:val="24"/>
              </w:rPr>
            </w:pPr>
            <w:r>
              <w:rPr>
                <w:rFonts w:hint="eastAsia"/>
                <w:kern w:val="0"/>
                <w:sz w:val="24"/>
                <w:szCs w:val="24"/>
              </w:rPr>
              <w:t>7.</w:t>
            </w:r>
            <w:r>
              <w:rPr>
                <w:rFonts w:hint="eastAsia"/>
                <w:kern w:val="0"/>
                <w:sz w:val="24"/>
                <w:szCs w:val="24"/>
              </w:rPr>
              <w:t>单层厂房结构中其它主要构件的设计要点</w:t>
            </w:r>
          </w:p>
        </w:tc>
        <w:tc>
          <w:tcPr>
            <w:tcW w:w="3802" w:type="dxa"/>
            <w:vAlign w:val="center"/>
          </w:tcPr>
          <w:p w:rsidR="00CF1222" w:rsidRDefault="00CF1222" w:rsidP="00CF1222">
            <w:pPr>
              <w:spacing w:line="360" w:lineRule="exact"/>
              <w:rPr>
                <w:kern w:val="0"/>
                <w:sz w:val="24"/>
                <w:szCs w:val="24"/>
              </w:rPr>
            </w:pPr>
            <w:r>
              <w:rPr>
                <w:rFonts w:hint="eastAsia"/>
                <w:kern w:val="0"/>
                <w:sz w:val="24"/>
                <w:szCs w:val="24"/>
              </w:rPr>
              <w:t>1</w:t>
            </w:r>
            <w:r>
              <w:rPr>
                <w:rFonts w:hint="eastAsia"/>
                <w:kern w:val="0"/>
                <w:sz w:val="24"/>
                <w:szCs w:val="24"/>
              </w:rPr>
              <w:t>、对单层厂房的认识，了解厂房的功能、形式、结构类型。</w:t>
            </w:r>
          </w:p>
          <w:p w:rsidR="00CF1222" w:rsidRDefault="00CF1222" w:rsidP="00CF1222">
            <w:pPr>
              <w:spacing w:line="360" w:lineRule="exact"/>
              <w:rPr>
                <w:kern w:val="0"/>
                <w:sz w:val="24"/>
                <w:szCs w:val="24"/>
              </w:rPr>
            </w:pPr>
            <w:r>
              <w:rPr>
                <w:rFonts w:hint="eastAsia"/>
                <w:kern w:val="0"/>
                <w:sz w:val="24"/>
                <w:szCs w:val="24"/>
              </w:rPr>
              <w:t>2</w:t>
            </w:r>
            <w:r>
              <w:rPr>
                <w:rFonts w:hint="eastAsia"/>
                <w:kern w:val="0"/>
                <w:sz w:val="24"/>
                <w:szCs w:val="24"/>
              </w:rPr>
              <w:t>、掌握单层厂房结构的组成、布置及构件选型。</w:t>
            </w:r>
          </w:p>
          <w:p w:rsidR="00CF1222" w:rsidRDefault="00CF1222" w:rsidP="00CF1222">
            <w:pPr>
              <w:spacing w:line="360" w:lineRule="exact"/>
              <w:rPr>
                <w:kern w:val="0"/>
                <w:sz w:val="24"/>
                <w:szCs w:val="24"/>
              </w:rPr>
            </w:pPr>
            <w:r>
              <w:rPr>
                <w:rFonts w:hint="eastAsia"/>
                <w:kern w:val="0"/>
                <w:sz w:val="24"/>
                <w:szCs w:val="24"/>
              </w:rPr>
              <w:t>3</w:t>
            </w:r>
            <w:r>
              <w:rPr>
                <w:rFonts w:hint="eastAsia"/>
                <w:kern w:val="0"/>
                <w:sz w:val="24"/>
                <w:szCs w:val="24"/>
              </w:rPr>
              <w:t>、掌握排架结构的计算，包括：计算简图，排架荷载计算，内力计算及内力组合。</w:t>
            </w:r>
          </w:p>
          <w:p w:rsidR="00CF1222" w:rsidRDefault="00CF1222" w:rsidP="00CF1222">
            <w:pPr>
              <w:spacing w:line="360" w:lineRule="exact"/>
              <w:rPr>
                <w:kern w:val="0"/>
                <w:sz w:val="24"/>
                <w:szCs w:val="24"/>
              </w:rPr>
            </w:pPr>
            <w:r>
              <w:rPr>
                <w:rFonts w:hint="eastAsia"/>
                <w:kern w:val="0"/>
                <w:sz w:val="24"/>
                <w:szCs w:val="24"/>
              </w:rPr>
              <w:t>4</w:t>
            </w:r>
            <w:r>
              <w:rPr>
                <w:rFonts w:hint="eastAsia"/>
                <w:kern w:val="0"/>
                <w:sz w:val="24"/>
                <w:szCs w:val="24"/>
              </w:rPr>
              <w:t>、掌握柱的设计。</w:t>
            </w:r>
          </w:p>
          <w:p w:rsidR="00CF1222" w:rsidRDefault="00CF1222" w:rsidP="00CF1222">
            <w:pPr>
              <w:spacing w:line="360" w:lineRule="exact"/>
              <w:rPr>
                <w:kern w:val="0"/>
                <w:sz w:val="24"/>
                <w:szCs w:val="24"/>
              </w:rPr>
            </w:pPr>
            <w:r>
              <w:rPr>
                <w:rFonts w:hint="eastAsia"/>
                <w:kern w:val="0"/>
                <w:sz w:val="24"/>
                <w:szCs w:val="24"/>
              </w:rPr>
              <w:t>5</w:t>
            </w:r>
            <w:r>
              <w:rPr>
                <w:rFonts w:hint="eastAsia"/>
                <w:kern w:val="0"/>
                <w:sz w:val="24"/>
                <w:szCs w:val="24"/>
              </w:rPr>
              <w:t>、掌握柱下独立基础的计算与设计。</w:t>
            </w:r>
          </w:p>
          <w:p w:rsidR="00CF1222" w:rsidRDefault="00CF1222" w:rsidP="00CF1222">
            <w:pPr>
              <w:spacing w:line="360" w:lineRule="exact"/>
              <w:rPr>
                <w:kern w:val="0"/>
                <w:sz w:val="24"/>
                <w:szCs w:val="24"/>
              </w:rPr>
            </w:pPr>
            <w:r>
              <w:rPr>
                <w:rFonts w:hint="eastAsia"/>
                <w:kern w:val="0"/>
                <w:sz w:val="24"/>
                <w:szCs w:val="24"/>
              </w:rPr>
              <w:t>6</w:t>
            </w:r>
            <w:r>
              <w:rPr>
                <w:rFonts w:hint="eastAsia"/>
                <w:kern w:val="0"/>
                <w:sz w:val="24"/>
                <w:szCs w:val="24"/>
              </w:rPr>
              <w:t>、了解厂房整体空间作用的概念以及单层厂房结构中其它主要构件的设计要点</w:t>
            </w:r>
          </w:p>
        </w:tc>
      </w:tr>
      <w:tr w:rsidR="00CF1222" w:rsidTr="00CF1222">
        <w:trPr>
          <w:trHeight w:val="428"/>
        </w:trPr>
        <w:tc>
          <w:tcPr>
            <w:tcW w:w="512" w:type="dxa"/>
            <w:vAlign w:val="center"/>
          </w:tcPr>
          <w:p w:rsidR="00CF1222" w:rsidRDefault="00CF1222" w:rsidP="00CF1222">
            <w:pPr>
              <w:jc w:val="center"/>
              <w:rPr>
                <w:kern w:val="0"/>
                <w:sz w:val="24"/>
                <w:szCs w:val="24"/>
              </w:rPr>
            </w:pPr>
            <w:r>
              <w:rPr>
                <w:rFonts w:hint="eastAsia"/>
                <w:kern w:val="0"/>
                <w:sz w:val="24"/>
                <w:szCs w:val="24"/>
              </w:rPr>
              <w:t>2</w:t>
            </w:r>
          </w:p>
        </w:tc>
        <w:tc>
          <w:tcPr>
            <w:tcW w:w="1014" w:type="dxa"/>
            <w:vAlign w:val="center"/>
          </w:tcPr>
          <w:p w:rsidR="00CF1222" w:rsidRDefault="00CF1222" w:rsidP="00CF1222">
            <w:pPr>
              <w:tabs>
                <w:tab w:val="right" w:pos="8222"/>
              </w:tabs>
              <w:spacing w:line="360" w:lineRule="exact"/>
              <w:rPr>
                <w:kern w:val="0"/>
                <w:sz w:val="24"/>
                <w:szCs w:val="24"/>
              </w:rPr>
            </w:pPr>
            <w:r>
              <w:rPr>
                <w:rFonts w:hint="eastAsia"/>
                <w:kern w:val="0"/>
                <w:sz w:val="24"/>
                <w:szCs w:val="24"/>
              </w:rPr>
              <w:t>多层框架结构</w:t>
            </w:r>
          </w:p>
        </w:tc>
        <w:tc>
          <w:tcPr>
            <w:tcW w:w="1134" w:type="dxa"/>
            <w:vAlign w:val="center"/>
          </w:tcPr>
          <w:p w:rsidR="00CF1222" w:rsidRDefault="00CF1222" w:rsidP="00CF1222">
            <w:pPr>
              <w:rPr>
                <w:kern w:val="0"/>
                <w:sz w:val="24"/>
                <w:szCs w:val="24"/>
              </w:rPr>
            </w:pPr>
            <w:r>
              <w:rPr>
                <w:rFonts w:hint="eastAsia"/>
                <w:kern w:val="0"/>
                <w:sz w:val="24"/>
                <w:szCs w:val="24"/>
              </w:rPr>
              <w:t>8</w:t>
            </w:r>
          </w:p>
        </w:tc>
        <w:tc>
          <w:tcPr>
            <w:tcW w:w="2693" w:type="dxa"/>
            <w:vAlign w:val="center"/>
          </w:tcPr>
          <w:p w:rsidR="00CF1222" w:rsidRDefault="00CF1222" w:rsidP="00CF1222">
            <w:pPr>
              <w:spacing w:line="360" w:lineRule="exact"/>
              <w:rPr>
                <w:kern w:val="0"/>
                <w:sz w:val="24"/>
                <w:szCs w:val="24"/>
              </w:rPr>
            </w:pPr>
            <w:r>
              <w:rPr>
                <w:rFonts w:hint="eastAsia"/>
                <w:kern w:val="0"/>
                <w:sz w:val="24"/>
                <w:szCs w:val="24"/>
              </w:rPr>
              <w:t>1</w:t>
            </w:r>
            <w:r>
              <w:rPr>
                <w:rFonts w:hint="eastAsia"/>
                <w:kern w:val="0"/>
                <w:sz w:val="24"/>
                <w:szCs w:val="24"/>
              </w:rPr>
              <w:t>、框架结构的结构布置</w:t>
            </w:r>
          </w:p>
          <w:p w:rsidR="00CF1222" w:rsidRDefault="00CF1222" w:rsidP="00CF1222">
            <w:pPr>
              <w:spacing w:line="360" w:lineRule="exact"/>
              <w:rPr>
                <w:kern w:val="0"/>
                <w:sz w:val="24"/>
                <w:szCs w:val="24"/>
              </w:rPr>
            </w:pPr>
            <w:r>
              <w:rPr>
                <w:rFonts w:hint="eastAsia"/>
                <w:kern w:val="0"/>
                <w:sz w:val="24"/>
                <w:szCs w:val="24"/>
              </w:rPr>
              <w:t>2</w:t>
            </w:r>
            <w:r>
              <w:rPr>
                <w:rFonts w:hint="eastAsia"/>
                <w:kern w:val="0"/>
                <w:sz w:val="24"/>
                <w:szCs w:val="24"/>
              </w:rPr>
              <w:t>、框架结构的计算简图及荷载</w:t>
            </w:r>
          </w:p>
          <w:p w:rsidR="00CF1222" w:rsidRDefault="00CF1222" w:rsidP="00CF1222">
            <w:pPr>
              <w:spacing w:line="360" w:lineRule="exact"/>
              <w:rPr>
                <w:kern w:val="0"/>
                <w:sz w:val="24"/>
                <w:szCs w:val="24"/>
              </w:rPr>
            </w:pPr>
            <w:r>
              <w:rPr>
                <w:rFonts w:hint="eastAsia"/>
                <w:kern w:val="0"/>
                <w:sz w:val="24"/>
                <w:szCs w:val="24"/>
              </w:rPr>
              <w:t>3</w:t>
            </w:r>
            <w:r>
              <w:rPr>
                <w:rFonts w:hint="eastAsia"/>
                <w:kern w:val="0"/>
                <w:sz w:val="24"/>
                <w:szCs w:val="24"/>
              </w:rPr>
              <w:t>、竖向荷载作用下框架结构的内力计算</w:t>
            </w:r>
          </w:p>
          <w:p w:rsidR="00CF1222" w:rsidRDefault="00CF1222" w:rsidP="00CF1222">
            <w:pPr>
              <w:spacing w:line="360" w:lineRule="exact"/>
              <w:rPr>
                <w:kern w:val="0"/>
                <w:sz w:val="24"/>
                <w:szCs w:val="24"/>
              </w:rPr>
            </w:pPr>
            <w:r>
              <w:rPr>
                <w:rFonts w:hint="eastAsia"/>
                <w:kern w:val="0"/>
                <w:sz w:val="24"/>
                <w:szCs w:val="24"/>
              </w:rPr>
              <w:t>4</w:t>
            </w:r>
            <w:r>
              <w:rPr>
                <w:rFonts w:hint="eastAsia"/>
                <w:kern w:val="0"/>
                <w:sz w:val="24"/>
                <w:szCs w:val="24"/>
              </w:rPr>
              <w:t>、水平荷载作用下框架结构内力和侧移的近似计算</w:t>
            </w:r>
          </w:p>
          <w:p w:rsidR="00CF1222" w:rsidRDefault="00CF1222" w:rsidP="00CF1222">
            <w:pPr>
              <w:spacing w:line="360" w:lineRule="exact"/>
              <w:rPr>
                <w:kern w:val="0"/>
                <w:sz w:val="24"/>
                <w:szCs w:val="24"/>
              </w:rPr>
            </w:pPr>
            <w:r>
              <w:rPr>
                <w:rFonts w:hint="eastAsia"/>
                <w:kern w:val="0"/>
                <w:sz w:val="24"/>
                <w:szCs w:val="24"/>
              </w:rPr>
              <w:t>5</w:t>
            </w:r>
            <w:r>
              <w:rPr>
                <w:rFonts w:hint="eastAsia"/>
                <w:kern w:val="0"/>
                <w:sz w:val="24"/>
                <w:szCs w:val="24"/>
              </w:rPr>
              <w:t>、荷载效应组合与构件设计</w:t>
            </w:r>
          </w:p>
          <w:p w:rsidR="00CF1222" w:rsidRDefault="00CF1222" w:rsidP="00CF1222">
            <w:pPr>
              <w:spacing w:line="360" w:lineRule="exact"/>
              <w:rPr>
                <w:kern w:val="0"/>
                <w:sz w:val="24"/>
                <w:szCs w:val="24"/>
              </w:rPr>
            </w:pPr>
            <w:r>
              <w:rPr>
                <w:rFonts w:hint="eastAsia"/>
                <w:kern w:val="0"/>
                <w:sz w:val="24"/>
                <w:szCs w:val="24"/>
              </w:rPr>
              <w:t>6</w:t>
            </w:r>
            <w:r>
              <w:rPr>
                <w:rFonts w:hint="eastAsia"/>
                <w:kern w:val="0"/>
                <w:sz w:val="24"/>
                <w:szCs w:val="24"/>
              </w:rPr>
              <w:t>、框架结构的构造要求</w:t>
            </w:r>
          </w:p>
        </w:tc>
        <w:tc>
          <w:tcPr>
            <w:tcW w:w="3802" w:type="dxa"/>
            <w:vAlign w:val="center"/>
          </w:tcPr>
          <w:p w:rsidR="00CF1222" w:rsidRDefault="00CF1222" w:rsidP="00CF1222">
            <w:pPr>
              <w:spacing w:line="360" w:lineRule="exact"/>
              <w:rPr>
                <w:kern w:val="0"/>
                <w:sz w:val="24"/>
                <w:szCs w:val="24"/>
              </w:rPr>
            </w:pPr>
            <w:r>
              <w:rPr>
                <w:rFonts w:hint="eastAsia"/>
                <w:kern w:val="0"/>
                <w:sz w:val="24"/>
                <w:szCs w:val="24"/>
              </w:rPr>
              <w:t>1</w:t>
            </w:r>
            <w:r>
              <w:rPr>
                <w:rFonts w:hint="eastAsia"/>
                <w:kern w:val="0"/>
                <w:sz w:val="24"/>
                <w:szCs w:val="24"/>
              </w:rPr>
              <w:t>、掌握框架结构的布置与组成。</w:t>
            </w:r>
          </w:p>
          <w:p w:rsidR="00CF1222" w:rsidRDefault="00CF1222" w:rsidP="00CF1222">
            <w:pPr>
              <w:spacing w:line="360" w:lineRule="exact"/>
              <w:rPr>
                <w:kern w:val="0"/>
                <w:sz w:val="24"/>
                <w:szCs w:val="24"/>
              </w:rPr>
            </w:pPr>
            <w:r>
              <w:rPr>
                <w:rFonts w:hint="eastAsia"/>
                <w:kern w:val="0"/>
                <w:sz w:val="24"/>
                <w:szCs w:val="24"/>
              </w:rPr>
              <w:t>2</w:t>
            </w:r>
            <w:r>
              <w:rPr>
                <w:rFonts w:hint="eastAsia"/>
                <w:kern w:val="0"/>
                <w:sz w:val="24"/>
                <w:szCs w:val="24"/>
              </w:rPr>
              <w:t>、掌握框架结构计算单元的选取及计算简图的确定。</w:t>
            </w:r>
          </w:p>
          <w:p w:rsidR="00CF1222" w:rsidRDefault="00CF1222" w:rsidP="00CF1222">
            <w:pPr>
              <w:spacing w:line="360" w:lineRule="exact"/>
              <w:rPr>
                <w:kern w:val="0"/>
                <w:sz w:val="24"/>
                <w:szCs w:val="24"/>
              </w:rPr>
            </w:pPr>
            <w:r>
              <w:rPr>
                <w:rFonts w:hint="eastAsia"/>
                <w:kern w:val="0"/>
                <w:sz w:val="24"/>
                <w:szCs w:val="24"/>
              </w:rPr>
              <w:t>3</w:t>
            </w:r>
            <w:r>
              <w:rPr>
                <w:rFonts w:hint="eastAsia"/>
                <w:kern w:val="0"/>
                <w:sz w:val="24"/>
                <w:szCs w:val="24"/>
              </w:rPr>
              <w:t>、掌握框架结构内力和侧移的近似计算方法。</w:t>
            </w:r>
          </w:p>
          <w:p w:rsidR="00CF1222" w:rsidRDefault="00CF1222" w:rsidP="00CF1222">
            <w:pPr>
              <w:spacing w:line="360" w:lineRule="exact"/>
              <w:rPr>
                <w:kern w:val="0"/>
                <w:sz w:val="24"/>
                <w:szCs w:val="24"/>
              </w:rPr>
            </w:pPr>
            <w:r>
              <w:rPr>
                <w:rFonts w:hint="eastAsia"/>
                <w:kern w:val="0"/>
                <w:sz w:val="24"/>
                <w:szCs w:val="24"/>
              </w:rPr>
              <w:t>4</w:t>
            </w:r>
            <w:r>
              <w:rPr>
                <w:rFonts w:hint="eastAsia"/>
                <w:kern w:val="0"/>
                <w:sz w:val="24"/>
                <w:szCs w:val="24"/>
              </w:rPr>
              <w:t>、掌握框架结构设计要点：包括控制截面的选择，内力组合，截面设计结构及构件的构造要求</w:t>
            </w:r>
          </w:p>
          <w:p w:rsidR="00CF1222" w:rsidRDefault="00CF1222" w:rsidP="00CF1222">
            <w:pPr>
              <w:spacing w:line="360" w:lineRule="exact"/>
              <w:rPr>
                <w:kern w:val="0"/>
                <w:sz w:val="24"/>
                <w:szCs w:val="24"/>
              </w:rPr>
            </w:pPr>
          </w:p>
        </w:tc>
      </w:tr>
      <w:tr w:rsidR="00CF1222" w:rsidTr="00CF1222">
        <w:trPr>
          <w:trHeight w:val="519"/>
        </w:trPr>
        <w:tc>
          <w:tcPr>
            <w:tcW w:w="512" w:type="dxa"/>
            <w:vAlign w:val="center"/>
          </w:tcPr>
          <w:p w:rsidR="00CF1222" w:rsidRDefault="00CF1222" w:rsidP="00CF1222">
            <w:pPr>
              <w:jc w:val="center"/>
              <w:rPr>
                <w:kern w:val="0"/>
                <w:sz w:val="24"/>
                <w:szCs w:val="24"/>
              </w:rPr>
            </w:pPr>
            <w:r>
              <w:rPr>
                <w:rFonts w:hint="eastAsia"/>
                <w:kern w:val="0"/>
                <w:sz w:val="24"/>
                <w:szCs w:val="24"/>
              </w:rPr>
              <w:t>3</w:t>
            </w:r>
          </w:p>
        </w:tc>
        <w:tc>
          <w:tcPr>
            <w:tcW w:w="1014" w:type="dxa"/>
            <w:vAlign w:val="center"/>
          </w:tcPr>
          <w:p w:rsidR="00CF1222" w:rsidRDefault="00CF1222" w:rsidP="00CF1222">
            <w:pPr>
              <w:spacing w:line="360" w:lineRule="exact"/>
              <w:rPr>
                <w:kern w:val="0"/>
                <w:sz w:val="24"/>
                <w:szCs w:val="24"/>
              </w:rPr>
            </w:pPr>
            <w:r>
              <w:rPr>
                <w:rFonts w:hint="eastAsia"/>
                <w:kern w:val="0"/>
                <w:sz w:val="24"/>
                <w:szCs w:val="24"/>
              </w:rPr>
              <w:t>砌体结构</w:t>
            </w:r>
          </w:p>
        </w:tc>
        <w:tc>
          <w:tcPr>
            <w:tcW w:w="1134" w:type="dxa"/>
            <w:vAlign w:val="center"/>
          </w:tcPr>
          <w:p w:rsidR="00CF1222" w:rsidRDefault="00CF1222" w:rsidP="00CF1222">
            <w:pPr>
              <w:rPr>
                <w:kern w:val="0"/>
                <w:sz w:val="24"/>
                <w:szCs w:val="24"/>
              </w:rPr>
            </w:pPr>
            <w:r>
              <w:rPr>
                <w:rFonts w:hint="eastAsia"/>
                <w:kern w:val="0"/>
                <w:sz w:val="24"/>
                <w:szCs w:val="24"/>
              </w:rPr>
              <w:t>14</w:t>
            </w:r>
          </w:p>
        </w:tc>
        <w:tc>
          <w:tcPr>
            <w:tcW w:w="2693" w:type="dxa"/>
            <w:vAlign w:val="center"/>
          </w:tcPr>
          <w:p w:rsidR="00CF1222" w:rsidRDefault="00CF1222" w:rsidP="00CF1222">
            <w:pPr>
              <w:spacing w:line="360" w:lineRule="exact"/>
              <w:rPr>
                <w:kern w:val="0"/>
                <w:sz w:val="24"/>
                <w:szCs w:val="24"/>
              </w:rPr>
            </w:pPr>
            <w:r>
              <w:rPr>
                <w:rFonts w:hint="eastAsia"/>
                <w:kern w:val="0"/>
                <w:sz w:val="24"/>
                <w:szCs w:val="24"/>
              </w:rPr>
              <w:t>1</w:t>
            </w:r>
            <w:r>
              <w:rPr>
                <w:rFonts w:hint="eastAsia"/>
                <w:kern w:val="0"/>
                <w:sz w:val="24"/>
                <w:szCs w:val="24"/>
              </w:rPr>
              <w:t>、绪论</w:t>
            </w:r>
          </w:p>
          <w:p w:rsidR="00CF1222" w:rsidRDefault="00CF1222" w:rsidP="00CF1222">
            <w:pPr>
              <w:spacing w:line="360" w:lineRule="exact"/>
              <w:rPr>
                <w:kern w:val="0"/>
                <w:sz w:val="24"/>
                <w:szCs w:val="24"/>
              </w:rPr>
            </w:pPr>
            <w:r>
              <w:rPr>
                <w:rFonts w:hint="eastAsia"/>
                <w:kern w:val="0"/>
                <w:sz w:val="24"/>
                <w:szCs w:val="24"/>
              </w:rPr>
              <w:t>2</w:t>
            </w:r>
            <w:r>
              <w:rPr>
                <w:rFonts w:hint="eastAsia"/>
                <w:kern w:val="0"/>
                <w:sz w:val="24"/>
                <w:szCs w:val="24"/>
              </w:rPr>
              <w:t>、砌体及其基本材料力学性能</w:t>
            </w:r>
          </w:p>
          <w:p w:rsidR="00CF1222" w:rsidRDefault="00CF1222" w:rsidP="00CF1222">
            <w:pPr>
              <w:spacing w:line="360" w:lineRule="exact"/>
              <w:rPr>
                <w:kern w:val="0"/>
                <w:sz w:val="24"/>
                <w:szCs w:val="24"/>
              </w:rPr>
            </w:pPr>
            <w:r>
              <w:rPr>
                <w:rFonts w:hint="eastAsia"/>
                <w:kern w:val="0"/>
                <w:sz w:val="24"/>
                <w:szCs w:val="24"/>
              </w:rPr>
              <w:t>3</w:t>
            </w:r>
            <w:r>
              <w:rPr>
                <w:rFonts w:hint="eastAsia"/>
                <w:kern w:val="0"/>
                <w:sz w:val="24"/>
                <w:szCs w:val="24"/>
              </w:rPr>
              <w:t>、砌体结构构件承载力的计算</w:t>
            </w:r>
          </w:p>
          <w:p w:rsidR="00CF1222" w:rsidRDefault="00CF1222" w:rsidP="00CF1222">
            <w:pPr>
              <w:spacing w:line="360" w:lineRule="exact"/>
              <w:rPr>
                <w:kern w:val="0"/>
                <w:sz w:val="24"/>
                <w:szCs w:val="24"/>
              </w:rPr>
            </w:pPr>
            <w:r>
              <w:rPr>
                <w:rFonts w:hint="eastAsia"/>
                <w:kern w:val="0"/>
                <w:sz w:val="24"/>
                <w:szCs w:val="24"/>
              </w:rPr>
              <w:t>4</w:t>
            </w:r>
            <w:r>
              <w:rPr>
                <w:rFonts w:hint="eastAsia"/>
                <w:kern w:val="0"/>
                <w:sz w:val="24"/>
                <w:szCs w:val="24"/>
              </w:rPr>
              <w:t>、混合结构房屋墙体设计</w:t>
            </w:r>
          </w:p>
          <w:p w:rsidR="00CF1222" w:rsidRDefault="00CF1222" w:rsidP="00CF1222">
            <w:pPr>
              <w:spacing w:line="360" w:lineRule="exact"/>
              <w:rPr>
                <w:kern w:val="0"/>
                <w:sz w:val="24"/>
                <w:szCs w:val="24"/>
              </w:rPr>
            </w:pPr>
            <w:r>
              <w:rPr>
                <w:rFonts w:hint="eastAsia"/>
                <w:kern w:val="0"/>
                <w:sz w:val="24"/>
                <w:szCs w:val="24"/>
              </w:rPr>
              <w:t>5</w:t>
            </w:r>
            <w:r>
              <w:rPr>
                <w:rFonts w:hint="eastAsia"/>
                <w:kern w:val="0"/>
                <w:sz w:val="24"/>
                <w:szCs w:val="24"/>
              </w:rPr>
              <w:t>、过梁、圈梁、悬挑构件及墙体的构造措施</w:t>
            </w:r>
          </w:p>
        </w:tc>
        <w:tc>
          <w:tcPr>
            <w:tcW w:w="3802" w:type="dxa"/>
            <w:vAlign w:val="center"/>
          </w:tcPr>
          <w:p w:rsidR="00CF1222" w:rsidRDefault="00CF1222" w:rsidP="00CF1222">
            <w:pPr>
              <w:spacing w:line="360" w:lineRule="exact"/>
              <w:rPr>
                <w:kern w:val="0"/>
                <w:sz w:val="24"/>
                <w:szCs w:val="24"/>
              </w:rPr>
            </w:pPr>
            <w:r>
              <w:rPr>
                <w:rFonts w:hint="eastAsia"/>
                <w:kern w:val="0"/>
                <w:sz w:val="24"/>
                <w:szCs w:val="24"/>
              </w:rPr>
              <w:t>1</w:t>
            </w:r>
            <w:r>
              <w:rPr>
                <w:rFonts w:hint="eastAsia"/>
                <w:kern w:val="0"/>
                <w:sz w:val="24"/>
                <w:szCs w:val="24"/>
              </w:rPr>
              <w:t>、熟悉砌体结构的概念、应用和发展。</w:t>
            </w:r>
          </w:p>
          <w:p w:rsidR="00CF1222" w:rsidRDefault="00CF1222" w:rsidP="00CF1222">
            <w:pPr>
              <w:spacing w:line="360" w:lineRule="exact"/>
              <w:rPr>
                <w:kern w:val="0"/>
                <w:sz w:val="24"/>
                <w:szCs w:val="24"/>
              </w:rPr>
            </w:pPr>
            <w:r>
              <w:rPr>
                <w:rFonts w:hint="eastAsia"/>
                <w:kern w:val="0"/>
                <w:sz w:val="24"/>
                <w:szCs w:val="24"/>
              </w:rPr>
              <w:t>2</w:t>
            </w:r>
            <w:r>
              <w:rPr>
                <w:rFonts w:hint="eastAsia"/>
                <w:kern w:val="0"/>
                <w:sz w:val="24"/>
                <w:szCs w:val="24"/>
              </w:rPr>
              <w:t>、掌握砌体结构材料的力学性能。</w:t>
            </w:r>
          </w:p>
          <w:p w:rsidR="00CF1222" w:rsidRDefault="00CF1222" w:rsidP="00CF1222">
            <w:pPr>
              <w:spacing w:line="360" w:lineRule="exact"/>
              <w:rPr>
                <w:kern w:val="0"/>
                <w:sz w:val="24"/>
                <w:szCs w:val="24"/>
              </w:rPr>
            </w:pPr>
            <w:r>
              <w:rPr>
                <w:rFonts w:hint="eastAsia"/>
                <w:kern w:val="0"/>
                <w:sz w:val="24"/>
                <w:szCs w:val="24"/>
              </w:rPr>
              <w:t>3</w:t>
            </w:r>
            <w:r>
              <w:rPr>
                <w:rFonts w:hint="eastAsia"/>
                <w:kern w:val="0"/>
                <w:sz w:val="24"/>
                <w:szCs w:val="24"/>
              </w:rPr>
              <w:t>、掌握无筋砌体的受压、受弯、受剪承载力计算。</w:t>
            </w:r>
          </w:p>
          <w:p w:rsidR="00CF1222" w:rsidRDefault="00CF1222" w:rsidP="00CF1222">
            <w:pPr>
              <w:spacing w:line="360" w:lineRule="exact"/>
              <w:rPr>
                <w:kern w:val="0"/>
                <w:sz w:val="24"/>
                <w:szCs w:val="24"/>
              </w:rPr>
            </w:pPr>
            <w:r>
              <w:rPr>
                <w:rFonts w:hint="eastAsia"/>
                <w:kern w:val="0"/>
                <w:sz w:val="24"/>
                <w:szCs w:val="24"/>
              </w:rPr>
              <w:t>4</w:t>
            </w:r>
            <w:r>
              <w:rPr>
                <w:rFonts w:hint="eastAsia"/>
                <w:kern w:val="0"/>
                <w:sz w:val="24"/>
                <w:szCs w:val="24"/>
              </w:rPr>
              <w:t>、掌握网状配筋砌体构件的设计计算。</w:t>
            </w:r>
          </w:p>
          <w:p w:rsidR="00CF1222" w:rsidRDefault="00CF1222" w:rsidP="00CF1222">
            <w:pPr>
              <w:spacing w:line="360" w:lineRule="exact"/>
              <w:rPr>
                <w:kern w:val="0"/>
                <w:sz w:val="24"/>
                <w:szCs w:val="24"/>
              </w:rPr>
            </w:pPr>
            <w:r>
              <w:rPr>
                <w:rFonts w:hint="eastAsia"/>
                <w:kern w:val="0"/>
                <w:sz w:val="24"/>
                <w:szCs w:val="24"/>
              </w:rPr>
              <w:t>5</w:t>
            </w:r>
            <w:r>
              <w:rPr>
                <w:rFonts w:hint="eastAsia"/>
                <w:kern w:val="0"/>
                <w:sz w:val="24"/>
                <w:szCs w:val="24"/>
              </w:rPr>
              <w:t>、掌握混合房屋墙体的设计计算。</w:t>
            </w:r>
          </w:p>
          <w:p w:rsidR="00CF1222" w:rsidRDefault="00CF1222" w:rsidP="00CF1222">
            <w:pPr>
              <w:spacing w:line="360" w:lineRule="exact"/>
              <w:rPr>
                <w:kern w:val="0"/>
                <w:sz w:val="24"/>
                <w:szCs w:val="24"/>
              </w:rPr>
            </w:pPr>
            <w:r>
              <w:rPr>
                <w:rFonts w:hint="eastAsia"/>
                <w:kern w:val="0"/>
                <w:sz w:val="24"/>
                <w:szCs w:val="24"/>
              </w:rPr>
              <w:t>6</w:t>
            </w:r>
            <w:r>
              <w:rPr>
                <w:rFonts w:hint="eastAsia"/>
                <w:kern w:val="0"/>
                <w:sz w:val="24"/>
                <w:szCs w:val="24"/>
              </w:rPr>
              <w:t>、掌握挑梁、过梁设计计算。</w:t>
            </w:r>
          </w:p>
          <w:p w:rsidR="00CF1222" w:rsidRDefault="00CF1222" w:rsidP="00CF1222">
            <w:pPr>
              <w:spacing w:line="360" w:lineRule="exact"/>
              <w:rPr>
                <w:kern w:val="0"/>
                <w:sz w:val="24"/>
                <w:szCs w:val="24"/>
              </w:rPr>
            </w:pPr>
            <w:r>
              <w:rPr>
                <w:rFonts w:hint="eastAsia"/>
                <w:kern w:val="0"/>
                <w:sz w:val="24"/>
                <w:szCs w:val="24"/>
              </w:rPr>
              <w:t>7</w:t>
            </w:r>
            <w:r>
              <w:rPr>
                <w:rFonts w:hint="eastAsia"/>
                <w:kern w:val="0"/>
                <w:sz w:val="24"/>
                <w:szCs w:val="24"/>
              </w:rPr>
              <w:t>、了解墙体的构造措施</w:t>
            </w:r>
          </w:p>
        </w:tc>
      </w:tr>
    </w:tbl>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五、课程考核方式与成绩评定</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F1222" w:rsidRDefault="00CF1222" w:rsidP="00CF1222">
      <w:pPr>
        <w:adjustRightInd w:val="0"/>
        <w:snapToGrid w:val="0"/>
        <w:spacing w:afterLines="50" w:after="156" w:line="560" w:lineRule="exact"/>
        <w:ind w:firstLineChars="200" w:firstLine="560"/>
        <w:jc w:val="left"/>
        <w:rPr>
          <w:rFonts w:ascii="仿宋_GB2312" w:hAnsi="仿宋_GB2312" w:cs="仿宋_GB2312"/>
          <w:sz w:val="28"/>
          <w:szCs w:val="28"/>
        </w:rPr>
      </w:pPr>
      <w:r>
        <w:rPr>
          <w:rFonts w:ascii="Times New Roman" w:hAnsi="Times New Roman"/>
          <w:sz w:val="28"/>
          <w:szCs w:val="28"/>
        </w:rPr>
        <w:t>课程总评成绩由平时成绩和期终考试</w:t>
      </w:r>
      <w:r>
        <w:rPr>
          <w:rFonts w:ascii="Times New Roman" w:hAnsi="Times New Roman" w:hint="eastAsia"/>
          <w:sz w:val="28"/>
          <w:szCs w:val="28"/>
        </w:rPr>
        <w:t>2</w:t>
      </w:r>
      <w:r>
        <w:rPr>
          <w:rFonts w:ascii="Times New Roman" w:hAnsi="Times New Roman"/>
          <w:sz w:val="28"/>
          <w:szCs w:val="28"/>
        </w:rPr>
        <w:t>个考核环节综合评定产生。</w:t>
      </w:r>
    </w:p>
    <w:p w:rsidR="00CF1222" w:rsidRDefault="00CF1222"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F1222" w:rsidRDefault="00CF1222" w:rsidP="00CF1222">
      <w:pPr>
        <w:adjustRightInd w:val="0"/>
        <w:spacing w:line="360" w:lineRule="auto"/>
        <w:ind w:firstLineChars="200" w:firstLine="560"/>
        <w:rPr>
          <w:rFonts w:ascii="宋体" w:eastAsia="宋体" w:hAnsi="宋体"/>
          <w:b/>
          <w:color w:val="FF0000"/>
          <w:sz w:val="21"/>
          <w:szCs w:val="21"/>
        </w:rPr>
      </w:pPr>
      <w:r>
        <w:rPr>
          <w:rFonts w:ascii="仿宋_GB2312" w:hAnsi="仿宋_GB2312" w:cs="仿宋_GB2312" w:hint="eastAsia"/>
          <w:sz w:val="28"/>
          <w:szCs w:val="28"/>
        </w:rPr>
        <w:t>本课程成绩评定方式为百分制。</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bCs/>
          <w:sz w:val="28"/>
          <w:szCs w:val="28"/>
        </w:rPr>
        <w:t>课程总成绩=期末成绩</w:t>
      </w:r>
      <w:r>
        <w:rPr>
          <w:rFonts w:ascii="仿宋_GB2312" w:hAnsi="仿宋_GB2312" w:cs="仿宋_GB2312" w:hint="eastAsia"/>
          <w:bCs/>
          <w:sz w:val="28"/>
          <w:szCs w:val="28"/>
        </w:rPr>
        <w:t>70%+平时</w:t>
      </w:r>
      <w:r>
        <w:rPr>
          <w:rFonts w:ascii="仿宋_GB2312" w:hAnsi="仿宋_GB2312" w:cs="仿宋_GB2312"/>
          <w:bCs/>
          <w:sz w:val="28"/>
          <w:szCs w:val="28"/>
        </w:rPr>
        <w:t>成绩</w:t>
      </w:r>
      <w:r>
        <w:rPr>
          <w:rFonts w:ascii="仿宋_GB2312" w:hAnsi="仿宋_GB2312" w:cs="仿宋_GB2312" w:hint="eastAsia"/>
          <w:bCs/>
          <w:sz w:val="28"/>
          <w:szCs w:val="28"/>
        </w:rPr>
        <w:t xml:space="preserve">30%  </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其中平时成绩包括作业、试验、讨论、线上学习、出勤等情况综合评定，期末考试可采用闭卷或开卷等方式进行评定。</w:t>
      </w:r>
    </w:p>
    <w:p w:rsidR="00CF1222" w:rsidRDefault="00CF1222" w:rsidP="00CF1222">
      <w:pPr>
        <w:spacing w:line="360" w:lineRule="auto"/>
        <w:ind w:firstLineChars="203" w:firstLine="568"/>
        <w:rPr>
          <w:rFonts w:ascii="仿宋_GB2312" w:hAnsi="仿宋_GB2312" w:cs="仿宋_GB2312"/>
          <w:bCs/>
          <w:sz w:val="28"/>
          <w:szCs w:val="28"/>
        </w:rPr>
      </w:pPr>
      <w:r>
        <w:rPr>
          <w:rFonts w:ascii="Times New Roman" w:hAnsi="Times New Roman"/>
          <w:sz w:val="28"/>
          <w:szCs w:val="28"/>
        </w:rPr>
        <w:t>各考核环节与课程目标的对应关系如下：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5191"/>
        <w:gridCol w:w="1866"/>
      </w:tblGrid>
      <w:tr w:rsidR="00CF1222" w:rsidTr="00CF1222">
        <w:trPr>
          <w:jc w:val="center"/>
        </w:trPr>
        <w:tc>
          <w:tcPr>
            <w:tcW w:w="7420" w:type="dxa"/>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考核环节</w:t>
            </w:r>
          </w:p>
        </w:tc>
        <w:tc>
          <w:tcPr>
            <w:tcW w:w="1866" w:type="dxa"/>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教学目标</w:t>
            </w:r>
          </w:p>
        </w:tc>
      </w:tr>
      <w:tr w:rsidR="00CF1222" w:rsidTr="00CF1222">
        <w:trPr>
          <w:jc w:val="center"/>
        </w:trPr>
        <w:tc>
          <w:tcPr>
            <w:tcW w:w="222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分项比例</w:t>
            </w:r>
          </w:p>
        </w:tc>
        <w:tc>
          <w:tcPr>
            <w:tcW w:w="5191"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考核要求</w:t>
            </w:r>
          </w:p>
        </w:tc>
        <w:tc>
          <w:tcPr>
            <w:tcW w:w="1866" w:type="dxa"/>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p>
        </w:tc>
      </w:tr>
      <w:tr w:rsidR="00CF1222" w:rsidTr="00CF1222">
        <w:trPr>
          <w:trHeight w:val="1500"/>
          <w:jc w:val="center"/>
        </w:trPr>
        <w:tc>
          <w:tcPr>
            <w:tcW w:w="222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平时成绩</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30</w:t>
            </w:r>
            <w:r>
              <w:rPr>
                <w:rFonts w:ascii="Times New Roman" w:hAnsi="Times New Roman"/>
                <w:sz w:val="24"/>
                <w:szCs w:val="24"/>
              </w:rPr>
              <w:t>%</w:t>
            </w:r>
            <w:r>
              <w:rPr>
                <w:rFonts w:ascii="Times New Roman" w:hAnsi="Times New Roman"/>
                <w:sz w:val="24"/>
                <w:szCs w:val="24"/>
              </w:rPr>
              <w:t>）</w:t>
            </w:r>
          </w:p>
        </w:tc>
        <w:tc>
          <w:tcPr>
            <w:tcW w:w="5191" w:type="dxa"/>
            <w:tcBorders>
              <w:top w:val="single" w:sz="4" w:space="0" w:color="auto"/>
              <w:left w:val="single" w:sz="4" w:space="0" w:color="auto"/>
              <w:right w:val="single" w:sz="4" w:space="0" w:color="auto"/>
            </w:tcBorders>
            <w:vAlign w:val="center"/>
          </w:tcPr>
          <w:p w:rsidR="00CF1222" w:rsidRDefault="00CF1222" w:rsidP="00CF1222">
            <w:pPr>
              <w:rPr>
                <w:rFonts w:ascii="Times New Roman" w:hAnsi="Times New Roman"/>
                <w:sz w:val="24"/>
                <w:szCs w:val="24"/>
              </w:rPr>
            </w:pPr>
            <w:r>
              <w:rPr>
                <w:rFonts w:ascii="Times New Roman" w:hAnsi="Times New Roman"/>
                <w:sz w:val="24"/>
                <w:szCs w:val="24"/>
              </w:rPr>
              <w:t>出勤统计不少于授课次数的</w:t>
            </w:r>
            <w:r>
              <w:rPr>
                <w:rFonts w:ascii="Times New Roman" w:hAnsi="Times New Roman"/>
                <w:sz w:val="24"/>
                <w:szCs w:val="24"/>
              </w:rPr>
              <w:t xml:space="preserve"> 2/3</w:t>
            </w:r>
            <w:r>
              <w:rPr>
                <w:rFonts w:ascii="Times New Roman" w:hAnsi="Times New Roman"/>
                <w:sz w:val="24"/>
                <w:szCs w:val="24"/>
              </w:rPr>
              <w:t>，重点考察学生的课堂表现，占</w:t>
            </w:r>
            <w:r>
              <w:rPr>
                <w:rFonts w:ascii="Times New Roman" w:hAnsi="Times New Roman"/>
                <w:sz w:val="24"/>
                <w:szCs w:val="24"/>
              </w:rPr>
              <w:t xml:space="preserve"> </w:t>
            </w:r>
            <w:r>
              <w:rPr>
                <w:rFonts w:ascii="Times New Roman" w:hAnsi="Times New Roman" w:hint="eastAsia"/>
                <w:sz w:val="24"/>
                <w:szCs w:val="24"/>
              </w:rPr>
              <w:t>2</w:t>
            </w:r>
            <w:r>
              <w:rPr>
                <w:rFonts w:ascii="Times New Roman" w:hAnsi="Times New Roman"/>
                <w:sz w:val="24"/>
                <w:szCs w:val="24"/>
              </w:rPr>
              <w:t>0%</w:t>
            </w:r>
            <w:r>
              <w:rPr>
                <w:rFonts w:ascii="Times New Roman" w:hAnsi="Times New Roman" w:hint="eastAsia"/>
                <w:sz w:val="24"/>
                <w:szCs w:val="24"/>
              </w:rPr>
              <w:t>；</w:t>
            </w:r>
            <w:r>
              <w:rPr>
                <w:rFonts w:ascii="Times New Roman" w:hAnsi="Times New Roman"/>
                <w:sz w:val="24"/>
                <w:szCs w:val="24"/>
              </w:rPr>
              <w:t>通过课后作业</w:t>
            </w:r>
            <w:r>
              <w:rPr>
                <w:rFonts w:ascii="Times New Roman" w:hAnsi="Times New Roman" w:hint="eastAsia"/>
                <w:sz w:val="24"/>
                <w:szCs w:val="24"/>
              </w:rPr>
              <w:t>、讨论、线上学习，</w:t>
            </w:r>
            <w:r>
              <w:rPr>
                <w:rFonts w:ascii="Times New Roman" w:hAnsi="Times New Roman"/>
                <w:sz w:val="24"/>
                <w:szCs w:val="24"/>
              </w:rPr>
              <w:t>考核学生对</w:t>
            </w:r>
            <w:r>
              <w:rPr>
                <w:rFonts w:ascii="Times New Roman" w:hAnsi="Times New Roman" w:hint="eastAsia"/>
                <w:sz w:val="24"/>
                <w:szCs w:val="24"/>
              </w:rPr>
              <w:t>各章节内容学习</w:t>
            </w:r>
            <w:r>
              <w:rPr>
                <w:rFonts w:ascii="Times New Roman" w:hAnsi="Times New Roman"/>
                <w:sz w:val="24"/>
                <w:szCs w:val="24"/>
              </w:rPr>
              <w:t>，占</w:t>
            </w:r>
            <w:r>
              <w:rPr>
                <w:rFonts w:ascii="Times New Roman" w:hAnsi="Times New Roman"/>
                <w:sz w:val="24"/>
                <w:szCs w:val="24"/>
              </w:rPr>
              <w:t xml:space="preserve"> </w:t>
            </w:r>
            <w:r>
              <w:rPr>
                <w:rFonts w:ascii="Times New Roman" w:hAnsi="Times New Roman" w:hint="eastAsia"/>
                <w:sz w:val="24"/>
                <w:szCs w:val="24"/>
              </w:rPr>
              <w:t>80</w:t>
            </w:r>
            <w:r>
              <w:rPr>
                <w:rFonts w:ascii="Times New Roman" w:hAnsi="Times New Roman"/>
                <w:sz w:val="24"/>
                <w:szCs w:val="24"/>
              </w:rPr>
              <w:t>%</w:t>
            </w:r>
            <w:r>
              <w:rPr>
                <w:rFonts w:ascii="Times New Roman" w:hAnsi="Times New Roman" w:hint="eastAsia"/>
                <w:sz w:val="24"/>
                <w:szCs w:val="24"/>
              </w:rPr>
              <w:t>。</w:t>
            </w:r>
          </w:p>
        </w:tc>
        <w:tc>
          <w:tcPr>
            <w:tcW w:w="1866" w:type="dxa"/>
            <w:tcBorders>
              <w:top w:val="single" w:sz="4" w:space="0" w:color="auto"/>
              <w:left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CF1222" w:rsidTr="00CF1222">
        <w:trPr>
          <w:trHeight w:val="900"/>
          <w:jc w:val="center"/>
        </w:trPr>
        <w:tc>
          <w:tcPr>
            <w:tcW w:w="222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期终考试</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70</w:t>
            </w:r>
            <w:r>
              <w:rPr>
                <w:rFonts w:ascii="Times New Roman" w:hAnsi="Times New Roman"/>
                <w:sz w:val="24"/>
                <w:szCs w:val="24"/>
              </w:rPr>
              <w:t>%</w:t>
            </w:r>
            <w:r>
              <w:rPr>
                <w:rFonts w:ascii="Times New Roman" w:hAnsi="Times New Roman"/>
                <w:sz w:val="24"/>
                <w:szCs w:val="24"/>
              </w:rPr>
              <w:t>）</w:t>
            </w:r>
          </w:p>
        </w:tc>
        <w:tc>
          <w:tcPr>
            <w:tcW w:w="5191" w:type="dxa"/>
            <w:tcBorders>
              <w:top w:val="single" w:sz="4" w:space="0" w:color="auto"/>
              <w:left w:val="single" w:sz="4" w:space="0" w:color="auto"/>
              <w:right w:val="single" w:sz="4" w:space="0" w:color="auto"/>
            </w:tcBorders>
            <w:vAlign w:val="center"/>
          </w:tcPr>
          <w:p w:rsidR="00CF1222" w:rsidRDefault="00CF1222" w:rsidP="00CF1222">
            <w:pPr>
              <w:rPr>
                <w:rFonts w:ascii="Times New Roman" w:hAnsi="Times New Roman"/>
                <w:sz w:val="24"/>
                <w:szCs w:val="24"/>
              </w:rPr>
            </w:pPr>
            <w:r>
              <w:rPr>
                <w:rFonts w:ascii="Times New Roman" w:hAnsi="Times New Roman"/>
                <w:sz w:val="24"/>
                <w:szCs w:val="24"/>
              </w:rPr>
              <w:t>期末考试采用闭卷</w:t>
            </w:r>
            <w:r>
              <w:rPr>
                <w:rFonts w:ascii="Times New Roman" w:hAnsi="Times New Roman" w:hint="eastAsia"/>
                <w:sz w:val="24"/>
                <w:szCs w:val="24"/>
              </w:rPr>
              <w:t>或开卷等</w:t>
            </w:r>
            <w:r>
              <w:rPr>
                <w:rFonts w:ascii="Times New Roman" w:hAnsi="Times New Roman"/>
                <w:sz w:val="24"/>
                <w:szCs w:val="24"/>
              </w:rPr>
              <w:t>形式。考试范围基本涵盖所有讲授内容，考试内容主要反映学生对本课程计算和分析问题方法等理解和掌握的程度，以及综合运用的能力。</w:t>
            </w:r>
          </w:p>
        </w:tc>
        <w:tc>
          <w:tcPr>
            <w:tcW w:w="1866" w:type="dxa"/>
            <w:tcBorders>
              <w:top w:val="single" w:sz="4" w:space="0" w:color="auto"/>
              <w:left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bl>
    <w:p w:rsidR="00CF1222" w:rsidRDefault="00CF1222" w:rsidP="00CF1222">
      <w:pPr>
        <w:ind w:left="561"/>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课程目标达成度自评方式</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据学院教学管理规定，在开展课程达成度评价前，课程评价审核小组对课程的评价依据合理性进行确认，包括平时作业、实验、期终考试等考核环节。课程结束后，课程小组需要对课程进行达成度评价，课程小组由课程负责人和任课教师组成，统计课程考核数据，并填写</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混凝土与砌体结构</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报告，以便及时了解课程的达成效果，发现问题并进行持续改进，同时也为毕</w:t>
      </w:r>
      <w:r>
        <w:rPr>
          <w:rFonts w:ascii="Times New Roman" w:hAnsi="Times New Roman"/>
          <w:sz w:val="28"/>
          <w:szCs w:val="28"/>
        </w:rPr>
        <w:lastRenderedPageBreak/>
        <w:t>业要求达成度的评价提供基础数据。</w:t>
      </w:r>
    </w:p>
    <w:p w:rsidR="00CF1222" w:rsidRDefault="00CF1222" w:rsidP="00CF1222">
      <w:pPr>
        <w:adjustRightInd w:val="0"/>
        <w:snapToGrid w:val="0"/>
        <w:spacing w:afterLines="50" w:after="156" w:line="560" w:lineRule="exact"/>
        <w:ind w:firstLineChars="200" w:firstLine="560"/>
        <w:jc w:val="left"/>
        <w:rPr>
          <w:rFonts w:ascii="仿宋_GB2312" w:hAnsi="仿宋_GB2312" w:cs="仿宋_GB2312"/>
          <w:bCs/>
          <w:sz w:val="28"/>
          <w:szCs w:val="28"/>
        </w:rPr>
      </w:pPr>
      <w:r>
        <w:rPr>
          <w:rFonts w:ascii="Times New Roman" w:hAnsi="Times New Roman"/>
          <w:sz w:val="28"/>
          <w:szCs w:val="28"/>
        </w:rPr>
        <w:t>根据课程的考核形式，全部或抽样部分考核资料（应以当年修读该课程的学生为总体，至少抽取</w:t>
      </w:r>
      <w:r>
        <w:rPr>
          <w:rFonts w:ascii="Times New Roman" w:hAnsi="Times New Roman"/>
          <w:sz w:val="28"/>
          <w:szCs w:val="28"/>
        </w:rPr>
        <w:t>90%</w:t>
      </w:r>
      <w:r>
        <w:rPr>
          <w:rFonts w:ascii="Times New Roman" w:hAnsi="Times New Roman"/>
          <w:sz w:val="28"/>
          <w:szCs w:val="28"/>
        </w:rPr>
        <w:t>以上的学生样本），抽样时需覆盖优、良、中、及格和不及格等考核等级的考核资料。课程达成度的具体评价方法，详见</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混凝土与砌体结构</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报告。课程小组提交课程达成度评价数据后，课程评价审核小组对评价数据的合理性和有效性进行审核。</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F1222" w:rsidRDefault="00CF1222" w:rsidP="00CF1222">
      <w:pPr>
        <w:spacing w:beforeLines="50" w:before="156" w:afterLines="50" w:after="156" w:line="460" w:lineRule="exact"/>
        <w:rPr>
          <w:rFonts w:ascii="仿宋_GB2312" w:hAnsi="仿宋_GB2312" w:cs="仿宋_GB2312"/>
          <w:sz w:val="28"/>
          <w:szCs w:val="28"/>
        </w:rPr>
      </w:pPr>
      <w:r>
        <w:rPr>
          <w:rFonts w:ascii="仿宋_GB2312" w:hAnsi="仿宋_GB2312" w:cs="仿宋_GB2312" w:hint="eastAsia"/>
          <w:sz w:val="28"/>
          <w:szCs w:val="28"/>
        </w:rPr>
        <w:t>1.建议教材</w:t>
      </w:r>
    </w:p>
    <w:p w:rsidR="00CF1222" w:rsidRDefault="00CF1222" w:rsidP="00CF1222">
      <w:pPr>
        <w:snapToGrid w:val="0"/>
        <w:rPr>
          <w:rFonts w:ascii="仿宋_GB2312" w:hAnsi="仿宋_GB2312" w:cs="仿宋_GB2312"/>
          <w:sz w:val="28"/>
          <w:szCs w:val="28"/>
        </w:rPr>
      </w:pPr>
      <w:r>
        <w:rPr>
          <w:rFonts w:ascii="仿宋_GB2312" w:hAnsi="仿宋_GB2312" w:cs="仿宋_GB2312" w:hint="eastAsia"/>
          <w:sz w:val="28"/>
          <w:szCs w:val="28"/>
        </w:rPr>
        <w:t>[1</w:t>
      </w:r>
      <w:r>
        <w:rPr>
          <w:rFonts w:ascii="仿宋_GB2312" w:hAnsi="仿宋_GB2312" w:cs="仿宋_GB2312"/>
          <w:sz w:val="28"/>
          <w:szCs w:val="28"/>
        </w:rPr>
        <w:t>]</w:t>
      </w:r>
      <w:r>
        <w:rPr>
          <w:rFonts w:ascii="仿宋_GB2312" w:hAnsi="仿宋_GB2312" w:cs="仿宋_GB2312" w:hint="eastAsia"/>
          <w:sz w:val="28"/>
          <w:szCs w:val="28"/>
        </w:rPr>
        <w:t xml:space="preserve"> 混凝土结构设计（新1版），白国良、王毅红主编，武汉理工大学出版社，2011年11月出版。</w:t>
      </w:r>
    </w:p>
    <w:p w:rsidR="00CF1222" w:rsidRDefault="00CF1222" w:rsidP="00CF1222">
      <w:pPr>
        <w:snapToGrid w:val="0"/>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w:t>
      </w:r>
      <w:r>
        <w:rPr>
          <w:rFonts w:ascii="仿宋_GB2312" w:hAnsi="仿宋_GB2312" w:cs="仿宋_GB2312" w:hint="eastAsia"/>
          <w:sz w:val="28"/>
          <w:szCs w:val="28"/>
        </w:rPr>
        <w:t xml:space="preserve"> 砌体结构（第四版），刘立新主编，武汉理工大学出版社，2012年8月出版。</w:t>
      </w:r>
    </w:p>
    <w:p w:rsidR="00CF1222" w:rsidRDefault="00CF1222" w:rsidP="00CF1222">
      <w:pPr>
        <w:spacing w:beforeLines="50" w:before="156" w:afterLines="50" w:after="156" w:line="460" w:lineRule="exact"/>
        <w:rPr>
          <w:rFonts w:ascii="仿宋_GB2312" w:hAnsi="仿宋_GB2312" w:cs="仿宋_GB2312"/>
          <w:sz w:val="28"/>
          <w:szCs w:val="28"/>
        </w:rPr>
      </w:pPr>
      <w:r>
        <w:rPr>
          <w:rFonts w:ascii="仿宋_GB2312" w:hAnsi="仿宋_GB2312" w:cs="仿宋_GB2312" w:hint="eastAsia"/>
          <w:sz w:val="28"/>
          <w:szCs w:val="28"/>
        </w:rPr>
        <w:t>2.主要参考资料</w:t>
      </w:r>
    </w:p>
    <w:p w:rsidR="00CF1222" w:rsidRDefault="00CF1222" w:rsidP="00CF1222">
      <w:pPr>
        <w:snapToGrid w:val="0"/>
        <w:rPr>
          <w:rFonts w:ascii="仿宋_GB2312" w:hAnsi="仿宋_GB2312" w:cs="仿宋_GB2312"/>
          <w:sz w:val="28"/>
          <w:szCs w:val="28"/>
        </w:rPr>
      </w:pPr>
      <w:r>
        <w:rPr>
          <w:rFonts w:ascii="仿宋_GB2312" w:hAnsi="仿宋_GB2312" w:cs="仿宋_GB2312" w:hint="eastAsia"/>
          <w:sz w:val="28"/>
          <w:szCs w:val="28"/>
        </w:rPr>
        <w:t>[1] 混凝土结构中册.混凝土结构与砌体结构设计（第6版），东南大学、同济大学、天津大学合编，清华大学主审，中国建筑工业出版社，2016年3月出版。</w:t>
      </w:r>
    </w:p>
    <w:p w:rsidR="00CF1222" w:rsidRDefault="00CF1222" w:rsidP="00CF1222">
      <w:pPr>
        <w:spacing w:beforeLines="50" w:before="156" w:afterLines="50" w:after="156" w:line="460" w:lineRule="exact"/>
        <w:rPr>
          <w:rFonts w:ascii="黑体" w:eastAsia="黑体" w:hAnsi="黑体"/>
          <w:b/>
          <w:sz w:val="28"/>
          <w:szCs w:val="28"/>
        </w:rPr>
      </w:pPr>
    </w:p>
    <w:p w:rsidR="00CF1222" w:rsidRDefault="00CF1222" w:rsidP="00CF1222">
      <w:pPr>
        <w:spacing w:beforeLines="50" w:before="156" w:afterLines="50" w:after="156" w:line="460" w:lineRule="exact"/>
        <w:rPr>
          <w:rFonts w:ascii="黑体" w:eastAsia="黑体" w:hAnsi="黑体"/>
          <w:b/>
          <w:sz w:val="28"/>
          <w:szCs w:val="28"/>
        </w:rPr>
      </w:pPr>
    </w:p>
    <w:p w:rsidR="00CF1222" w:rsidRDefault="00CF1222" w:rsidP="00CF1222">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w:t>
      </w:r>
    </w:p>
    <w:p w:rsidR="00CF1222" w:rsidRDefault="00CF1222" w:rsidP="00CF1222">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CF1222" w:rsidRDefault="00CF1222" w:rsidP="00CF1222">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F1222" w:rsidRDefault="00CF1222" w:rsidP="006E57E0">
      <w:pPr>
        <w:jc w:val="center"/>
        <w:rPr>
          <w:rFonts w:ascii="仿宋" w:hAnsi="仿宋"/>
          <w:sz w:val="28"/>
          <w:szCs w:val="28"/>
        </w:rPr>
      </w:pPr>
      <w:r>
        <w:rPr>
          <w:rFonts w:ascii="仿宋" w:eastAsia="仿宋" w:hAnsi="仿宋" w:hint="eastAsia"/>
          <w:sz w:val="28"/>
          <w:szCs w:val="28"/>
        </w:rPr>
        <w:t xml:space="preserve">           </w:t>
      </w:r>
    </w:p>
    <w:p w:rsidR="00CF1222" w:rsidRDefault="00CF1222" w:rsidP="00CF1222">
      <w:pPr>
        <w:jc w:val="left"/>
        <w:rPr>
          <w:rFonts w:ascii="仿宋_GB2312" w:hAnsi="黑体"/>
          <w:sz w:val="28"/>
          <w:szCs w:val="28"/>
        </w:rPr>
      </w:pPr>
      <w:r>
        <w:rPr>
          <w:rFonts w:ascii="仿宋" w:eastAsia="仿宋" w:hAnsi="仿宋" w:hint="eastAsia"/>
          <w:sz w:val="28"/>
          <w:szCs w:val="28"/>
        </w:rPr>
        <w:t xml:space="preserve">                                         年    月</w:t>
      </w:r>
    </w:p>
    <w:p w:rsidR="00CF1222" w:rsidRDefault="00CF1222" w:rsidP="00CF1222">
      <w:pPr>
        <w:jc w:val="left"/>
        <w:rPr>
          <w:rFonts w:ascii="Times New Roman" w:hAnsi="Times New Roman"/>
          <w:sz w:val="28"/>
          <w:szCs w:val="28"/>
        </w:rPr>
      </w:pPr>
    </w:p>
    <w:p w:rsidR="00CF1222" w:rsidRDefault="00CF1222" w:rsidP="00CF1222">
      <w:pPr>
        <w:widowControl/>
        <w:spacing w:line="360" w:lineRule="auto"/>
        <w:jc w:val="center"/>
        <w:rPr>
          <w:rFonts w:ascii="Times New Roman" w:eastAsia="方正小标宋简体" w:hAnsi="Times New Roman"/>
          <w:kern w:val="0"/>
          <w:szCs w:val="32"/>
        </w:rPr>
      </w:pPr>
      <w:r>
        <w:rPr>
          <w:rFonts w:ascii="Times New Roman" w:eastAsia="方正小标宋简体" w:hAnsi="Times New Roman"/>
          <w:kern w:val="0"/>
          <w:szCs w:val="32"/>
        </w:rPr>
        <w:lastRenderedPageBreak/>
        <w:t>《</w:t>
      </w:r>
      <w:r>
        <w:rPr>
          <w:rFonts w:ascii="Times New Roman" w:eastAsia="方正小标宋简体" w:hAnsi="Times New Roman" w:hint="eastAsia"/>
          <w:kern w:val="0"/>
          <w:szCs w:val="32"/>
        </w:rPr>
        <w:t>工程事故分析及处理</w:t>
      </w:r>
      <w:r>
        <w:rPr>
          <w:rFonts w:ascii="Times New Roman" w:eastAsia="方正小标宋简体" w:hAnsi="Times New Roman"/>
          <w:kern w:val="0"/>
          <w:szCs w:val="32"/>
        </w:rPr>
        <w:t>》课程教学大纲</w:t>
      </w:r>
    </w:p>
    <w:p w:rsidR="00CF1222" w:rsidRDefault="00CF1222" w:rsidP="00CF1222">
      <w:pPr>
        <w:snapToGrid w:val="0"/>
        <w:spacing w:line="360" w:lineRule="auto"/>
        <w:rPr>
          <w:rFonts w:ascii="Times New Roman" w:eastAsia="黑体" w:hAnsi="Times New Roman"/>
          <w:b/>
          <w:sz w:val="28"/>
          <w:szCs w:val="28"/>
        </w:rPr>
      </w:pPr>
      <w:r>
        <w:rPr>
          <w:rFonts w:ascii="Times New Roman" w:eastAsia="黑体" w:hAnsi="Times New Roman"/>
          <w:b/>
          <w:sz w:val="28"/>
          <w:szCs w:val="28"/>
        </w:rPr>
        <w:t>一、课程信息</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英文名称：</w:t>
      </w:r>
      <w:r>
        <w:rPr>
          <w:rFonts w:ascii="Times New Roman" w:hAnsi="Times New Roman"/>
          <w:bCs/>
          <w:sz w:val="28"/>
          <w:szCs w:val="28"/>
        </w:rPr>
        <w:t>Analysis and Processing of Engineering Accident</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课程编码：</w:t>
      </w:r>
      <w:r>
        <w:rPr>
          <w:rFonts w:ascii="Times New Roman" w:hAnsi="Times New Roman"/>
          <w:bCs/>
          <w:sz w:val="28"/>
          <w:szCs w:val="28"/>
        </w:rPr>
        <w:t>Z2801060</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授课语言：中文</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授课方式：线下</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课程类别：</w:t>
      </w:r>
      <w:r>
        <w:rPr>
          <w:rFonts w:ascii="Times New Roman" w:hAnsi="Times New Roman" w:hint="eastAsia"/>
          <w:bCs/>
          <w:sz w:val="28"/>
          <w:szCs w:val="28"/>
        </w:rPr>
        <w:t>专业发展课程</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课程性质：</w:t>
      </w:r>
      <w:r>
        <w:rPr>
          <w:rFonts w:ascii="Times New Roman" w:hAnsi="Times New Roman" w:hint="eastAsia"/>
          <w:bCs/>
          <w:sz w:val="28"/>
          <w:szCs w:val="28"/>
        </w:rPr>
        <w:t>选修</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分：</w:t>
      </w:r>
      <w:r>
        <w:rPr>
          <w:rFonts w:ascii="Times New Roman" w:hAnsi="Times New Roman"/>
          <w:bCs/>
          <w:sz w:val="28"/>
          <w:szCs w:val="28"/>
        </w:rPr>
        <w:t>1.5</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时：</w:t>
      </w:r>
      <w:r>
        <w:rPr>
          <w:rFonts w:ascii="Times New Roman" w:hAnsi="Times New Roman" w:hint="eastAsia"/>
          <w:bCs/>
          <w:sz w:val="28"/>
          <w:szCs w:val="28"/>
        </w:rPr>
        <w:t>24</w:t>
      </w:r>
      <w:r>
        <w:rPr>
          <w:rFonts w:ascii="Times New Roman" w:hAnsi="Times New Roman" w:hint="eastAsia"/>
          <w:bCs/>
          <w:sz w:val="28"/>
          <w:szCs w:val="28"/>
        </w:rPr>
        <w:t>学时（授课</w:t>
      </w:r>
      <w:r>
        <w:rPr>
          <w:rFonts w:ascii="Times New Roman" w:hAnsi="Times New Roman" w:hint="eastAsia"/>
          <w:bCs/>
          <w:sz w:val="28"/>
          <w:szCs w:val="28"/>
        </w:rPr>
        <w:t>24</w:t>
      </w:r>
      <w:r>
        <w:rPr>
          <w:rFonts w:ascii="Times New Roman" w:hAnsi="Times New Roman" w:hint="eastAsia"/>
          <w:bCs/>
          <w:sz w:val="28"/>
          <w:szCs w:val="28"/>
        </w:rPr>
        <w:t>学时，实验</w:t>
      </w:r>
      <w:r>
        <w:rPr>
          <w:rFonts w:ascii="Times New Roman" w:hAnsi="Times New Roman" w:hint="eastAsia"/>
          <w:bCs/>
          <w:sz w:val="28"/>
          <w:szCs w:val="28"/>
        </w:rPr>
        <w:t>0</w:t>
      </w:r>
      <w:r>
        <w:rPr>
          <w:rFonts w:ascii="Times New Roman" w:hAnsi="Times New Roman" w:hint="eastAsia"/>
          <w:bCs/>
          <w:sz w:val="28"/>
          <w:szCs w:val="28"/>
        </w:rPr>
        <w:t>，上机</w:t>
      </w:r>
      <w:r>
        <w:rPr>
          <w:rFonts w:ascii="Times New Roman" w:hAnsi="Times New Roman" w:hint="eastAsia"/>
          <w:bCs/>
          <w:sz w:val="28"/>
          <w:szCs w:val="28"/>
        </w:rPr>
        <w:t>0</w:t>
      </w:r>
      <w:r>
        <w:rPr>
          <w:rFonts w:ascii="Times New Roman" w:hAnsi="Times New Roman" w:hint="eastAsia"/>
          <w:bCs/>
          <w:sz w:val="28"/>
          <w:szCs w:val="28"/>
        </w:rPr>
        <w:t>，课外</w:t>
      </w:r>
      <w:r>
        <w:rPr>
          <w:rFonts w:ascii="Times New Roman" w:hAnsi="Times New Roman" w:hint="eastAsia"/>
          <w:bCs/>
          <w:sz w:val="28"/>
          <w:szCs w:val="28"/>
        </w:rPr>
        <w:t>0</w:t>
      </w:r>
      <w:r>
        <w:rPr>
          <w:rFonts w:ascii="Times New Roman" w:hAnsi="Times New Roman" w:hint="eastAsia"/>
          <w:bCs/>
          <w:sz w:val="28"/>
          <w:szCs w:val="28"/>
        </w:rPr>
        <w:t>）</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适用对象：</w:t>
      </w:r>
      <w:r>
        <w:rPr>
          <w:rFonts w:ascii="Times New Roman" w:hAnsi="Times New Roman" w:hint="eastAsia"/>
          <w:bCs/>
          <w:sz w:val="28"/>
          <w:szCs w:val="28"/>
        </w:rPr>
        <w:t>土木工程专业</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先修课程：</w:t>
      </w:r>
      <w:r>
        <w:rPr>
          <w:rFonts w:ascii="Times New Roman" w:hAnsi="Times New Roman" w:hint="eastAsia"/>
          <w:bCs/>
          <w:sz w:val="28"/>
          <w:szCs w:val="28"/>
        </w:rPr>
        <w:t>混凝土结构基本理论、土木工程施工技术、钢结构基本理论、混凝土与砌体结构、基础工程、结构力学、土木工程材料</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开课院系：建筑工程学院</w:t>
      </w:r>
      <w:r>
        <w:rPr>
          <w:rFonts w:ascii="Times New Roman" w:hAnsi="Times New Roman" w:hint="eastAsia"/>
          <w:bCs/>
          <w:sz w:val="28"/>
          <w:szCs w:val="28"/>
        </w:rPr>
        <w:t>混凝土与砌体结构教研室</w:t>
      </w:r>
    </w:p>
    <w:p w:rsidR="00CF1222" w:rsidRDefault="00CF1222" w:rsidP="00CF1222">
      <w:pPr>
        <w:snapToGrid w:val="0"/>
        <w:spacing w:line="360" w:lineRule="auto"/>
        <w:rPr>
          <w:rFonts w:ascii="Times New Roman" w:eastAsia="黑体" w:hAnsi="Times New Roman"/>
          <w:b/>
          <w:sz w:val="28"/>
          <w:szCs w:val="28"/>
        </w:rPr>
      </w:pPr>
      <w:r>
        <w:rPr>
          <w:rFonts w:ascii="Times New Roman" w:eastAsia="黑体" w:hAnsi="Times New Roman"/>
          <w:b/>
          <w:sz w:val="28"/>
          <w:szCs w:val="28"/>
        </w:rPr>
        <w:t>二、课程简介</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土木工程建设者既肩负着重大而光荣的任务，也面临着严峻的挑战。所谓任务，即全国城乡开展的大规模的工程建设，可为我国经济的迅速发展作重大贡献；所谓挑战，即各种工程的质量事故会给国家财产造成重大损失并危及人民生命安全。《工程事故分析及处理》是土木工程专业的一门专业发展选修课程，本课程通过大量典型工程事故实例，介绍钢筋混凝土结构、钢结构、砌体结构、地基与基础工程中易出现的各种质量缺陷、事故的调查、分析、处理和预防的原则与基本方法，理论阐述与工程缺陷事故分析紧密结合，针对问题要善于利用专业知识进行分析和处理。</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lastRenderedPageBreak/>
        <w:t>本课程主要以线下授课和随堂交流讨论为主，通过本课程的学习，从工程事故中吸取教训、防止重蹈覆辙，以改进设计、施工和管理工作，为以后从事土木工程的研究、设计、施工奠定基础，从而防止同类事故的发生。此外，学校中安排的土木工程建设的有关课程，绝大部分是从正面学习，自成体系。而事故的发生，造成经济损失，有时还引起人员伤亡，从反面给我们以深刻的教训。让学生从事故发生的根源去寻找其产生的原因，从反面案例中探讨事故产生的规律和教训，提高学生的综合素质。</w:t>
      </w:r>
    </w:p>
    <w:p w:rsidR="00CF1222" w:rsidRDefault="00CF1222" w:rsidP="00CF1222">
      <w:pPr>
        <w:spacing w:beforeLines="50" w:before="156" w:line="360" w:lineRule="auto"/>
        <w:rPr>
          <w:rFonts w:ascii="Times New Roman" w:eastAsia="黑体" w:hAnsi="Times New Roman"/>
          <w:b/>
          <w:sz w:val="28"/>
          <w:szCs w:val="28"/>
        </w:rPr>
      </w:pPr>
      <w:r>
        <w:rPr>
          <w:rFonts w:ascii="Times New Roman" w:eastAsia="黑体" w:hAnsi="Times New Roman"/>
          <w:b/>
          <w:sz w:val="28"/>
          <w:szCs w:val="28"/>
        </w:rPr>
        <w:t>三、课程任务、目标与要求</w:t>
      </w:r>
    </w:p>
    <w:p w:rsidR="00CF1222" w:rsidRDefault="00CF1222" w:rsidP="00CF1222">
      <w:pPr>
        <w:snapToGrid w:val="0"/>
        <w:spacing w:line="360" w:lineRule="auto"/>
        <w:ind w:firstLine="329"/>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课程任务</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hint="eastAsia"/>
          <w:sz w:val="28"/>
          <w:szCs w:val="28"/>
        </w:rPr>
        <w:t>通过本课程的学习，使学生对土木工程各类质量事故有较为系统、深入的认识，掌握各类建筑工程常见质量事故的调查、分析与处理方法，培养学生较强的判断、分析并解决实际工程问题的专业能力和良好的职业适应与职业发展能力。</w:t>
      </w:r>
    </w:p>
    <w:p w:rsidR="00CF1222" w:rsidRDefault="00CF1222" w:rsidP="00CF1222">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2. </w:t>
      </w:r>
      <w:r>
        <w:rPr>
          <w:rFonts w:ascii="Times New Roman" w:hAnsi="Times New Roman"/>
          <w:sz w:val="28"/>
          <w:szCs w:val="28"/>
        </w:rPr>
        <w:t>课程基本要求</w:t>
      </w:r>
    </w:p>
    <w:p w:rsidR="00CF1222" w:rsidRDefault="00CF1222" w:rsidP="00CF1222">
      <w:pPr>
        <w:spacing w:line="360" w:lineRule="auto"/>
        <w:ind w:firstLine="331"/>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课程目标</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hint="eastAsia"/>
          <w:sz w:val="28"/>
          <w:szCs w:val="28"/>
        </w:rPr>
        <w:t>（</w:t>
      </w:r>
      <w:r>
        <w:rPr>
          <w:rFonts w:ascii="Times New Roman" w:hAnsi="Times New Roman" w:hint="eastAsia"/>
          <w:sz w:val="28"/>
          <w:szCs w:val="28"/>
        </w:rPr>
        <w:t>1</w:t>
      </w:r>
      <w:r>
        <w:rPr>
          <w:rFonts w:ascii="Times New Roman" w:hAnsi="Times New Roman" w:hint="eastAsia"/>
          <w:sz w:val="28"/>
          <w:szCs w:val="28"/>
        </w:rPr>
        <w:t>）掌握土木工程质量事故的基本概念、产生原因、事故性质和工程事故调查、分析及处理的原则、步骤和方法，具备应用所学专业知识分析问题、解决问题的能力；</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hint="eastAsia"/>
          <w:sz w:val="28"/>
          <w:szCs w:val="28"/>
        </w:rPr>
        <w:t>（</w:t>
      </w:r>
      <w:r>
        <w:rPr>
          <w:rFonts w:ascii="Times New Roman" w:hAnsi="Times New Roman" w:hint="eastAsia"/>
          <w:sz w:val="28"/>
          <w:szCs w:val="28"/>
        </w:rPr>
        <w:t>2</w:t>
      </w:r>
      <w:r>
        <w:rPr>
          <w:rFonts w:ascii="Times New Roman" w:hAnsi="Times New Roman" w:hint="eastAsia"/>
          <w:sz w:val="28"/>
          <w:szCs w:val="28"/>
        </w:rPr>
        <w:t>）掌握混凝土结构、砌体结构、钢结构和地基与基础等工程中常见的质量缺陷、事故类型及事故原因，具备联系其他土木工程专业课程知识，从结构材料性能和受力特点等方面出发，提出可行的预防或修复加固措施；</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hint="eastAsia"/>
          <w:sz w:val="28"/>
          <w:szCs w:val="28"/>
        </w:rPr>
        <w:t>（</w:t>
      </w:r>
      <w:r>
        <w:rPr>
          <w:rFonts w:ascii="Times New Roman" w:hAnsi="Times New Roman" w:hint="eastAsia"/>
          <w:sz w:val="28"/>
          <w:szCs w:val="28"/>
        </w:rPr>
        <w:t>3</w:t>
      </w:r>
      <w:r>
        <w:rPr>
          <w:rFonts w:ascii="Times New Roman" w:hAnsi="Times New Roman" w:hint="eastAsia"/>
          <w:sz w:val="28"/>
          <w:szCs w:val="28"/>
        </w:rPr>
        <w:t>）吸取工程事故案例经验教训，明白遵循专业规范的重要性</w:t>
      </w:r>
      <w:r>
        <w:rPr>
          <w:rFonts w:ascii="Times New Roman" w:hAnsi="Times New Roman" w:hint="eastAsia"/>
          <w:sz w:val="28"/>
          <w:szCs w:val="28"/>
        </w:rPr>
        <w:lastRenderedPageBreak/>
        <w:t>和土木从业者所肩负的责任，具备强烈的底线意识和社会责任感，树立崇高的职业理想、职业道德和职业精神。</w:t>
      </w:r>
    </w:p>
    <w:p w:rsidR="00CF1222" w:rsidRDefault="00CF1222" w:rsidP="00CF1222">
      <w:pPr>
        <w:spacing w:beforeLines="50" w:before="156" w:line="360" w:lineRule="auto"/>
        <w:ind w:firstLine="329"/>
        <w:rPr>
          <w:rFonts w:ascii="Times New Roman" w:hAnsi="Times New Roman"/>
          <w:bCs/>
          <w:sz w:val="28"/>
          <w:szCs w:val="28"/>
        </w:rPr>
      </w:pPr>
      <w:r>
        <w:rPr>
          <w:rFonts w:ascii="Times New Roman" w:hAnsi="Times New Roman"/>
          <w:bCs/>
          <w:sz w:val="28"/>
          <w:szCs w:val="28"/>
        </w:rPr>
        <w:t xml:space="preserve">2.2 </w:t>
      </w:r>
      <w:r>
        <w:rPr>
          <w:rFonts w:ascii="Times New Roman" w:hAnsi="Times New Roman"/>
          <w:bCs/>
          <w:sz w:val="28"/>
          <w:szCs w:val="28"/>
        </w:rPr>
        <w:t>课程目标与毕业要求之间的对应关系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8"/>
        <w:gridCol w:w="3527"/>
        <w:gridCol w:w="840"/>
        <w:gridCol w:w="840"/>
        <w:gridCol w:w="841"/>
      </w:tblGrid>
      <w:tr w:rsidR="00CF1222" w:rsidTr="00CF1222">
        <w:tc>
          <w:tcPr>
            <w:tcW w:w="3481" w:type="pct"/>
            <w:gridSpan w:val="2"/>
            <w:vMerge w:val="restart"/>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毕业要求及其指标点</w:t>
            </w:r>
          </w:p>
        </w:tc>
        <w:tc>
          <w:tcPr>
            <w:tcW w:w="1519" w:type="pct"/>
            <w:gridSpan w:val="3"/>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教学目标</w:t>
            </w:r>
          </w:p>
        </w:tc>
      </w:tr>
      <w:tr w:rsidR="00CF1222" w:rsidTr="00CF1222">
        <w:tc>
          <w:tcPr>
            <w:tcW w:w="3481" w:type="pct"/>
            <w:gridSpan w:val="2"/>
            <w:vMerge/>
            <w:shd w:val="clear" w:color="auto" w:fill="auto"/>
            <w:vAlign w:val="center"/>
          </w:tcPr>
          <w:p w:rsidR="00CF1222" w:rsidRDefault="00CF1222" w:rsidP="00CF1222">
            <w:pPr>
              <w:rPr>
                <w:rFonts w:ascii="Times New Roman" w:hAnsi="Times New Roman"/>
                <w:sz w:val="24"/>
                <w:szCs w:val="24"/>
              </w:rPr>
            </w:pPr>
          </w:p>
        </w:tc>
        <w:tc>
          <w:tcPr>
            <w:tcW w:w="506" w:type="pct"/>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tc>
        <w:tc>
          <w:tcPr>
            <w:tcW w:w="506" w:type="pct"/>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c>
          <w:tcPr>
            <w:tcW w:w="507" w:type="pct"/>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CF1222" w:rsidTr="00CF1222">
        <w:tc>
          <w:tcPr>
            <w:tcW w:w="1355" w:type="pct"/>
            <w:vMerge w:val="restart"/>
            <w:shd w:val="clear" w:color="auto" w:fill="auto"/>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 xml:space="preserve"> </w:t>
            </w:r>
            <w:r>
              <w:rPr>
                <w:rFonts w:ascii="Times New Roman" w:hAnsi="Times New Roman" w:hint="eastAsia"/>
                <w:sz w:val="24"/>
                <w:szCs w:val="24"/>
              </w:rPr>
              <w:t>工程知识应用能力</w:t>
            </w:r>
          </w:p>
        </w:tc>
        <w:tc>
          <w:tcPr>
            <w:tcW w:w="2126" w:type="pct"/>
            <w:shd w:val="clear" w:color="auto" w:fill="auto"/>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w:t>
            </w:r>
            <w:r>
              <w:rPr>
                <w:rFonts w:ascii="Times New Roman" w:hAnsi="Times New Roman" w:hint="eastAsia"/>
                <w:sz w:val="24"/>
                <w:szCs w:val="24"/>
              </w:rPr>
              <w:t>3</w:t>
            </w:r>
            <w:r>
              <w:rPr>
                <w:rFonts w:ascii="Times New Roman" w:hAnsi="Times New Roman" w:hint="eastAsia"/>
                <w:sz w:val="24"/>
                <w:szCs w:val="24"/>
              </w:rPr>
              <w:t>：掌握相关工程基础知识，具备应用相关知识推演、分析土木工程专业复杂工程问题的专业基础能力</w:t>
            </w:r>
          </w:p>
        </w:tc>
        <w:tc>
          <w:tcPr>
            <w:tcW w:w="506" w:type="pct"/>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506" w:type="pct"/>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CF1222" w:rsidRDefault="00CF1222" w:rsidP="00CF1222">
            <w:pPr>
              <w:jc w:val="center"/>
              <w:rPr>
                <w:rFonts w:ascii="Times New Roman" w:hAnsi="Times New Roman"/>
                <w:sz w:val="24"/>
                <w:szCs w:val="24"/>
              </w:rPr>
            </w:pPr>
          </w:p>
        </w:tc>
      </w:tr>
      <w:tr w:rsidR="00CF1222" w:rsidTr="00CF1222">
        <w:tc>
          <w:tcPr>
            <w:tcW w:w="1355" w:type="pct"/>
            <w:vMerge/>
            <w:shd w:val="clear" w:color="auto" w:fill="auto"/>
            <w:vAlign w:val="center"/>
          </w:tcPr>
          <w:p w:rsidR="00CF1222" w:rsidRDefault="00CF1222" w:rsidP="00CF1222">
            <w:pPr>
              <w:rPr>
                <w:rFonts w:ascii="Times New Roman" w:hAnsi="Times New Roman"/>
                <w:sz w:val="24"/>
                <w:szCs w:val="24"/>
              </w:rPr>
            </w:pPr>
          </w:p>
        </w:tc>
        <w:tc>
          <w:tcPr>
            <w:tcW w:w="2126" w:type="pct"/>
            <w:shd w:val="clear" w:color="auto" w:fill="auto"/>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w:t>
            </w:r>
            <w:r>
              <w:rPr>
                <w:rFonts w:ascii="Times New Roman" w:hAnsi="Times New Roman" w:hint="eastAsia"/>
                <w:sz w:val="24"/>
                <w:szCs w:val="24"/>
              </w:rPr>
              <w:t>4</w:t>
            </w:r>
            <w:r>
              <w:rPr>
                <w:rFonts w:ascii="Times New Roman" w:hAnsi="Times New Roman" w:hint="eastAsia"/>
                <w:sz w:val="24"/>
                <w:szCs w:val="24"/>
              </w:rPr>
              <w:t>：掌握土木工程专业知识，具备知识交叉融合能力，应用于解决土木工程专业复杂工程问题</w:t>
            </w:r>
          </w:p>
        </w:tc>
        <w:tc>
          <w:tcPr>
            <w:tcW w:w="506" w:type="pct"/>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506" w:type="pct"/>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CF1222" w:rsidRDefault="00CF1222" w:rsidP="00CF1222">
            <w:pPr>
              <w:jc w:val="center"/>
              <w:rPr>
                <w:rFonts w:ascii="Times New Roman" w:hAnsi="Times New Roman"/>
                <w:sz w:val="24"/>
                <w:szCs w:val="24"/>
              </w:rPr>
            </w:pPr>
          </w:p>
        </w:tc>
      </w:tr>
      <w:tr w:rsidR="00CF1222" w:rsidTr="00CF1222">
        <w:tc>
          <w:tcPr>
            <w:tcW w:w="1355" w:type="pct"/>
            <w:shd w:val="clear" w:color="auto" w:fill="auto"/>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 xml:space="preserve"> </w:t>
            </w:r>
            <w:r>
              <w:rPr>
                <w:rFonts w:ascii="Times New Roman" w:hAnsi="Times New Roman" w:hint="eastAsia"/>
                <w:sz w:val="24"/>
                <w:szCs w:val="24"/>
              </w:rPr>
              <w:t>问题分析能力</w:t>
            </w:r>
          </w:p>
        </w:tc>
        <w:tc>
          <w:tcPr>
            <w:tcW w:w="2126" w:type="pct"/>
            <w:shd w:val="clear" w:color="auto" w:fill="auto"/>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w:t>
            </w:r>
            <w:r>
              <w:rPr>
                <w:rFonts w:ascii="Times New Roman" w:hAnsi="Times New Roman" w:hint="eastAsia"/>
                <w:sz w:val="24"/>
                <w:szCs w:val="24"/>
              </w:rPr>
              <w:t>3</w:t>
            </w:r>
            <w:r>
              <w:rPr>
                <w:rFonts w:ascii="Times New Roman" w:hAnsi="Times New Roman" w:hint="eastAsia"/>
                <w:sz w:val="24"/>
                <w:szCs w:val="24"/>
              </w:rPr>
              <w:t>：能够正确、合理运用专业知识，识别、判断和表达土木工程专业复杂工程问题的本质特征、关键环节，并能提供多种解决方案</w:t>
            </w:r>
          </w:p>
        </w:tc>
        <w:tc>
          <w:tcPr>
            <w:tcW w:w="506" w:type="pct"/>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506" w:type="pct"/>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CF1222" w:rsidRDefault="00CF1222" w:rsidP="00CF1222">
            <w:pPr>
              <w:jc w:val="center"/>
              <w:rPr>
                <w:rFonts w:ascii="Times New Roman" w:hAnsi="Times New Roman"/>
                <w:sz w:val="24"/>
                <w:szCs w:val="24"/>
              </w:rPr>
            </w:pPr>
          </w:p>
        </w:tc>
      </w:tr>
      <w:tr w:rsidR="00CF1222" w:rsidTr="00CF1222">
        <w:tc>
          <w:tcPr>
            <w:tcW w:w="1355" w:type="pct"/>
            <w:shd w:val="clear" w:color="auto" w:fill="auto"/>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8.</w:t>
            </w:r>
            <w:r>
              <w:rPr>
                <w:rFonts w:ascii="Times New Roman" w:hAnsi="Times New Roman"/>
                <w:sz w:val="24"/>
                <w:szCs w:val="24"/>
              </w:rPr>
              <w:t xml:space="preserve"> </w:t>
            </w:r>
            <w:r>
              <w:rPr>
                <w:rFonts w:ascii="Times New Roman" w:hAnsi="Times New Roman" w:hint="eastAsia"/>
                <w:sz w:val="24"/>
                <w:szCs w:val="24"/>
              </w:rPr>
              <w:t>职业规范素养</w:t>
            </w:r>
          </w:p>
        </w:tc>
        <w:tc>
          <w:tcPr>
            <w:tcW w:w="2126" w:type="pct"/>
            <w:shd w:val="clear" w:color="auto" w:fill="auto"/>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 xml:space="preserve">8.3 </w:t>
            </w:r>
            <w:r>
              <w:rPr>
                <w:rFonts w:ascii="Times New Roman" w:hAnsi="Times New Roman" w:hint="eastAsia"/>
                <w:sz w:val="24"/>
                <w:szCs w:val="24"/>
              </w:rPr>
              <w:t>理解土木工程师对公众的安全、健康和福祉，以及环境保护的社会责任，并能够在工程实践中自觉履行</w:t>
            </w:r>
          </w:p>
        </w:tc>
        <w:tc>
          <w:tcPr>
            <w:tcW w:w="506" w:type="pct"/>
            <w:shd w:val="clear" w:color="auto" w:fill="auto"/>
            <w:vAlign w:val="center"/>
          </w:tcPr>
          <w:p w:rsidR="00CF1222" w:rsidRDefault="00CF1222" w:rsidP="00CF1222">
            <w:pPr>
              <w:jc w:val="center"/>
              <w:rPr>
                <w:rFonts w:ascii="Times New Roman" w:hAnsi="Times New Roman"/>
                <w:sz w:val="24"/>
                <w:szCs w:val="24"/>
              </w:rPr>
            </w:pPr>
          </w:p>
        </w:tc>
        <w:tc>
          <w:tcPr>
            <w:tcW w:w="506" w:type="pct"/>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r>
    </w:tbl>
    <w:p w:rsidR="00CF1222" w:rsidRDefault="00CF1222" w:rsidP="00CF1222">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3. </w:t>
      </w:r>
      <w:r>
        <w:rPr>
          <w:rFonts w:ascii="Times New Roman" w:hAnsi="Times New Roman"/>
          <w:sz w:val="28"/>
          <w:szCs w:val="28"/>
        </w:rPr>
        <w:t>课程的重点、难点</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sz w:val="28"/>
          <w:szCs w:val="28"/>
        </w:rPr>
        <w:t>重点：</w:t>
      </w:r>
      <w:r>
        <w:rPr>
          <w:rFonts w:ascii="Times New Roman" w:hAnsi="Times New Roman" w:hint="eastAsia"/>
          <w:sz w:val="28"/>
          <w:szCs w:val="28"/>
        </w:rPr>
        <w:t>土木工程质量缺陷事故基本概念及性质；工程质量缺陷事故调查、分析及处理的原则和步骤，建筑结构现场检测方法。混凝土结构、砌体结构、钢结构、地基与基础等工程中常见质量缺陷、事故的类型、原因、预防措施及加固方法的原理和设计。</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sz w:val="28"/>
          <w:szCs w:val="28"/>
        </w:rPr>
        <w:t>难点：</w:t>
      </w:r>
      <w:r>
        <w:rPr>
          <w:rFonts w:ascii="Times New Roman" w:hAnsi="Times New Roman" w:hint="eastAsia"/>
          <w:sz w:val="28"/>
          <w:szCs w:val="28"/>
        </w:rPr>
        <w:t>土木工程质量缺陷事故检测方法；工程结构缺陷处理方法分类及使用范围。工程结构的加固原则；混凝土结构、砌体结构、钢结构、地基与基础等工程质量控制和修复加固的具体措施和设计施工要点。</w:t>
      </w:r>
    </w:p>
    <w:p w:rsidR="00CF1222" w:rsidRDefault="00CF1222" w:rsidP="00CF1222">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rPr>
        <w:t>课程思政设计</w:t>
      </w:r>
    </w:p>
    <w:p w:rsidR="00CF1222" w:rsidRDefault="00CF1222" w:rsidP="00CF1222">
      <w:pPr>
        <w:spacing w:line="560" w:lineRule="exact"/>
        <w:ind w:firstLineChars="200" w:firstLine="560"/>
        <w:rPr>
          <w:rFonts w:ascii="Times New Roman" w:hAnsi="Times New Roman"/>
          <w:sz w:val="28"/>
          <w:szCs w:val="28"/>
        </w:rPr>
      </w:pPr>
      <w:r>
        <w:rPr>
          <w:rFonts w:ascii="Times New Roman" w:hAnsi="Times New Roman" w:hint="eastAsia"/>
          <w:sz w:val="28"/>
          <w:szCs w:val="28"/>
        </w:rPr>
        <w:lastRenderedPageBreak/>
        <w:t>本课程以工程事故结构类型为明线，以材料特征—构件类型—结构性能为隐线，通过问题提出、方法思考、内容归纳、案例示范等教学环节，帮助学生掌握基础知识和专业理论，培养学生融合运用所学知识，正确识别、分析并解决常见工程质量缺陷问题的能力，增强学生职业适应性和职业发展力。课程结合大量的混凝土结构、砌体结构、钢结构和地基与基础等工程中常见的质量缺陷事故案例，激发学生学习兴趣，提高学生课堂讨论参与热情，引导学生切身思考，强化学生毕业后在工作中确保工程建设的安全底线意识、质量标准意识、产品高端意识和社会担当意识，将工匠精神与工程质量的保障相融合，培养学生精益求精、严谨求实的职业态度和职业素养，塑造学生的大国工匠精神，为未来我国建造更多卓越的工程产品注入精神原动力。</w:t>
      </w:r>
    </w:p>
    <w:p w:rsidR="00CF1222" w:rsidRDefault="00CF1222" w:rsidP="00CF1222">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四、教学内容安排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76"/>
        <w:gridCol w:w="467"/>
        <w:gridCol w:w="2258"/>
        <w:gridCol w:w="1137"/>
        <w:gridCol w:w="3001"/>
      </w:tblGrid>
      <w:tr w:rsidR="00CF1222" w:rsidTr="00CF1222">
        <w:trPr>
          <w:cantSplit/>
          <w:trHeight w:val="785"/>
          <w:tblHeader/>
        </w:trPr>
        <w:tc>
          <w:tcPr>
            <w:tcW w:w="258" w:type="pct"/>
            <w:vAlign w:val="center"/>
          </w:tcPr>
          <w:p w:rsidR="00CF1222" w:rsidRDefault="00CF1222" w:rsidP="00CF1222">
            <w:pPr>
              <w:jc w:val="center"/>
              <w:rPr>
                <w:rFonts w:ascii="Times New Roman" w:hAnsi="Times New Roman"/>
                <w:b/>
                <w:kern w:val="0"/>
                <w:sz w:val="24"/>
                <w:szCs w:val="24"/>
              </w:rPr>
            </w:pPr>
            <w:r>
              <w:rPr>
                <w:rFonts w:ascii="Times New Roman" w:hAnsi="Times New Roman"/>
                <w:b/>
                <w:kern w:val="0"/>
                <w:sz w:val="24"/>
                <w:szCs w:val="24"/>
              </w:rPr>
              <w:t>序号</w:t>
            </w:r>
          </w:p>
        </w:tc>
        <w:tc>
          <w:tcPr>
            <w:tcW w:w="592" w:type="pct"/>
            <w:vAlign w:val="center"/>
          </w:tcPr>
          <w:p w:rsidR="00CF1222" w:rsidRDefault="00CF1222" w:rsidP="00CF1222">
            <w:pPr>
              <w:jc w:val="center"/>
              <w:rPr>
                <w:rFonts w:ascii="Times New Roman" w:hAnsi="Times New Roman"/>
                <w:b/>
                <w:kern w:val="0"/>
                <w:sz w:val="24"/>
                <w:szCs w:val="24"/>
              </w:rPr>
            </w:pPr>
            <w:r>
              <w:rPr>
                <w:rFonts w:ascii="Times New Roman" w:hAnsi="Times New Roman"/>
                <w:b/>
                <w:kern w:val="0"/>
                <w:sz w:val="24"/>
                <w:szCs w:val="24"/>
              </w:rPr>
              <w:t>章节</w:t>
            </w:r>
          </w:p>
        </w:tc>
        <w:tc>
          <w:tcPr>
            <w:tcW w:w="285" w:type="pct"/>
            <w:vAlign w:val="center"/>
          </w:tcPr>
          <w:p w:rsidR="00CF1222" w:rsidRDefault="00CF1222" w:rsidP="00CF1222">
            <w:pPr>
              <w:jc w:val="center"/>
              <w:rPr>
                <w:rFonts w:ascii="Times New Roman" w:hAnsi="Times New Roman"/>
                <w:b/>
                <w:kern w:val="0"/>
                <w:sz w:val="24"/>
                <w:szCs w:val="24"/>
              </w:rPr>
            </w:pPr>
            <w:r>
              <w:rPr>
                <w:rFonts w:ascii="Times New Roman" w:hAnsi="Times New Roman"/>
                <w:b/>
                <w:kern w:val="0"/>
                <w:sz w:val="24"/>
                <w:szCs w:val="24"/>
              </w:rPr>
              <w:t>参考学时</w:t>
            </w:r>
          </w:p>
        </w:tc>
        <w:tc>
          <w:tcPr>
            <w:tcW w:w="1364" w:type="pct"/>
            <w:vAlign w:val="center"/>
          </w:tcPr>
          <w:p w:rsidR="00CF1222" w:rsidRDefault="00CF1222" w:rsidP="00CF1222">
            <w:pPr>
              <w:jc w:val="center"/>
              <w:rPr>
                <w:rFonts w:ascii="Times New Roman" w:hAnsi="Times New Roman"/>
                <w:b/>
                <w:kern w:val="0"/>
                <w:sz w:val="24"/>
                <w:szCs w:val="24"/>
              </w:rPr>
            </w:pPr>
            <w:r>
              <w:rPr>
                <w:rFonts w:ascii="Times New Roman" w:hAnsi="Times New Roman"/>
                <w:b/>
                <w:kern w:val="0"/>
                <w:sz w:val="24"/>
                <w:szCs w:val="24"/>
              </w:rPr>
              <w:t>教学内容</w:t>
            </w:r>
          </w:p>
        </w:tc>
        <w:tc>
          <w:tcPr>
            <w:tcW w:w="688" w:type="pct"/>
            <w:vAlign w:val="center"/>
          </w:tcPr>
          <w:p w:rsidR="00CF1222" w:rsidRDefault="00CF1222" w:rsidP="00CF1222">
            <w:pPr>
              <w:jc w:val="center"/>
              <w:rPr>
                <w:rFonts w:ascii="Times New Roman" w:hAnsi="Times New Roman"/>
                <w:b/>
                <w:kern w:val="0"/>
                <w:sz w:val="24"/>
                <w:szCs w:val="24"/>
              </w:rPr>
            </w:pPr>
            <w:r>
              <w:rPr>
                <w:rFonts w:ascii="Times New Roman" w:hAnsi="Times New Roman"/>
                <w:b/>
                <w:kern w:val="0"/>
                <w:sz w:val="24"/>
                <w:szCs w:val="24"/>
              </w:rPr>
              <w:t>基本要求</w:t>
            </w:r>
          </w:p>
        </w:tc>
        <w:tc>
          <w:tcPr>
            <w:tcW w:w="1812" w:type="pct"/>
            <w:vAlign w:val="center"/>
          </w:tcPr>
          <w:p w:rsidR="00CF1222" w:rsidRDefault="00CF1222" w:rsidP="00CF1222">
            <w:pPr>
              <w:jc w:val="center"/>
              <w:rPr>
                <w:rFonts w:ascii="Times New Roman" w:hAnsi="Times New Roman"/>
                <w:b/>
                <w:kern w:val="0"/>
                <w:sz w:val="24"/>
                <w:szCs w:val="24"/>
              </w:rPr>
            </w:pPr>
            <w:r>
              <w:rPr>
                <w:rFonts w:ascii="Times New Roman" w:hAnsi="Times New Roman" w:hint="eastAsia"/>
                <w:b/>
                <w:kern w:val="0"/>
                <w:sz w:val="24"/>
                <w:szCs w:val="24"/>
              </w:rPr>
              <w:t>对毕业要求的支撑</w:t>
            </w:r>
          </w:p>
        </w:tc>
      </w:tr>
      <w:tr w:rsidR="00CF1222" w:rsidTr="00CF1222">
        <w:trPr>
          <w:trHeight w:val="428"/>
        </w:trPr>
        <w:tc>
          <w:tcPr>
            <w:tcW w:w="258" w:type="pct"/>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1</w:t>
            </w:r>
          </w:p>
        </w:tc>
        <w:tc>
          <w:tcPr>
            <w:tcW w:w="592" w:type="pct"/>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第一章</w:t>
            </w:r>
          </w:p>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绪论</w:t>
            </w:r>
          </w:p>
        </w:tc>
        <w:tc>
          <w:tcPr>
            <w:tcW w:w="285" w:type="pct"/>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8</w:t>
            </w:r>
          </w:p>
        </w:tc>
        <w:tc>
          <w:tcPr>
            <w:tcW w:w="1364"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）本门课程的必要性和工程意义，本课程的主要内容、任务、要求；</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）建筑工程的质量特性；</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）建筑工程中缺陷、破坏、倒塌、事故的概念；</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）质量事故分析的过程、性质和基本原则；</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5</w:t>
            </w:r>
            <w:r>
              <w:rPr>
                <w:rFonts w:ascii="Times New Roman" w:hAnsi="Times New Roman" w:hint="eastAsia"/>
                <w:kern w:val="0"/>
                <w:sz w:val="24"/>
                <w:szCs w:val="24"/>
              </w:rPr>
              <w:t>）建筑结构现场检测方法。</w:t>
            </w:r>
          </w:p>
        </w:tc>
        <w:tc>
          <w:tcPr>
            <w:tcW w:w="688"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了解本课程的主要内容、任务、要求，事故的分类、调查的步骤和内容，掌握现场检测的方法及原理。</w:t>
            </w:r>
          </w:p>
        </w:tc>
        <w:tc>
          <w:tcPr>
            <w:tcW w:w="1812"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kern w:val="0"/>
                <w:sz w:val="24"/>
                <w:szCs w:val="24"/>
              </w:rPr>
              <w:t>1.</w:t>
            </w:r>
            <w:r>
              <w:rPr>
                <w:rFonts w:ascii="Times New Roman" w:hAnsi="Times New Roman" w:hint="eastAsia"/>
                <w:kern w:val="0"/>
                <w:sz w:val="24"/>
                <w:szCs w:val="24"/>
              </w:rPr>
              <w:t>3</w:t>
            </w:r>
            <w:r>
              <w:rPr>
                <w:rFonts w:ascii="Times New Roman" w:hAnsi="Times New Roman" w:hint="eastAsia"/>
                <w:kern w:val="0"/>
                <w:sz w:val="24"/>
                <w:szCs w:val="24"/>
              </w:rPr>
              <w:t>：掌握相关工程基础知识</w:t>
            </w:r>
            <w:r>
              <w:rPr>
                <w:rFonts w:ascii="Times New Roman" w:hAnsi="Times New Roman" w:hint="eastAsia"/>
                <w:kern w:val="0"/>
                <w:sz w:val="24"/>
                <w:szCs w:val="24"/>
              </w:rPr>
              <w:t>,</w:t>
            </w:r>
            <w:r>
              <w:rPr>
                <w:rFonts w:ascii="Times New Roman" w:hAnsi="Times New Roman" w:hint="eastAsia"/>
                <w:kern w:val="0"/>
                <w:sz w:val="24"/>
                <w:szCs w:val="24"/>
              </w:rPr>
              <w:t>具备应用相关知识推演、分析土木工程专业复杂工程问题的专业基础能力”。</w:t>
            </w:r>
          </w:p>
        </w:tc>
      </w:tr>
      <w:tr w:rsidR="00CF1222" w:rsidTr="00CF1222">
        <w:trPr>
          <w:trHeight w:val="519"/>
        </w:trPr>
        <w:tc>
          <w:tcPr>
            <w:tcW w:w="258" w:type="pct"/>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2</w:t>
            </w:r>
          </w:p>
        </w:tc>
        <w:tc>
          <w:tcPr>
            <w:tcW w:w="592" w:type="pct"/>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第二章</w:t>
            </w:r>
          </w:p>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混凝土结构工程中的</w:t>
            </w:r>
            <w:r>
              <w:rPr>
                <w:rFonts w:ascii="Times New Roman" w:hAnsi="Times New Roman" w:hint="eastAsia"/>
                <w:kern w:val="0"/>
                <w:sz w:val="24"/>
                <w:szCs w:val="24"/>
              </w:rPr>
              <w:lastRenderedPageBreak/>
              <w:t>质量控制、缺陷和事故</w:t>
            </w:r>
          </w:p>
        </w:tc>
        <w:tc>
          <w:tcPr>
            <w:tcW w:w="285" w:type="pct"/>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lastRenderedPageBreak/>
              <w:t>6</w:t>
            </w:r>
          </w:p>
        </w:tc>
        <w:tc>
          <w:tcPr>
            <w:tcW w:w="1364"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）混凝土工程质量控制要点；</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）引起混凝土工程缺陷常见因素和主</w:t>
            </w:r>
            <w:r>
              <w:rPr>
                <w:rFonts w:ascii="Times New Roman" w:hAnsi="Times New Roman" w:hint="eastAsia"/>
                <w:kern w:val="0"/>
                <w:sz w:val="24"/>
                <w:szCs w:val="24"/>
              </w:rPr>
              <w:lastRenderedPageBreak/>
              <w:t>要表现；</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）混凝土工程常见缺陷和事故的案例分析；</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）预制混凝土构件常见裂缝的形成及其治理；</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5</w:t>
            </w:r>
            <w:r>
              <w:rPr>
                <w:rFonts w:ascii="Times New Roman" w:hAnsi="Times New Roman" w:hint="eastAsia"/>
                <w:kern w:val="0"/>
                <w:sz w:val="24"/>
                <w:szCs w:val="24"/>
              </w:rPr>
              <w:t>）若干典型混凝土结构质量事故分析及处理。</w:t>
            </w:r>
          </w:p>
        </w:tc>
        <w:tc>
          <w:tcPr>
            <w:tcW w:w="688"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lastRenderedPageBreak/>
              <w:t>掌握混凝土结构工程常见质</w:t>
            </w:r>
            <w:r>
              <w:rPr>
                <w:rFonts w:ascii="Times New Roman" w:hAnsi="Times New Roman" w:hint="eastAsia"/>
                <w:kern w:val="0"/>
                <w:sz w:val="24"/>
                <w:szCs w:val="24"/>
              </w:rPr>
              <w:lastRenderedPageBreak/>
              <w:t>量缺陷、事故的类型、原因、预防措施及加固方法的原理和设计</w:t>
            </w:r>
            <w:r>
              <w:rPr>
                <w:rFonts w:ascii="Times New Roman" w:hAnsi="Times New Roman"/>
                <w:kern w:val="0"/>
                <w:sz w:val="24"/>
                <w:szCs w:val="24"/>
              </w:rPr>
              <w:t>。</w:t>
            </w:r>
          </w:p>
        </w:tc>
        <w:tc>
          <w:tcPr>
            <w:tcW w:w="1812"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lastRenderedPageBreak/>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：掌握土木工程专业知识，具备知识交叉融合能力，应用于解</w:t>
            </w:r>
            <w:r>
              <w:rPr>
                <w:rFonts w:ascii="Times New Roman" w:hAnsi="Times New Roman" w:hint="eastAsia"/>
                <w:kern w:val="0"/>
                <w:sz w:val="24"/>
                <w:szCs w:val="24"/>
              </w:rPr>
              <w:lastRenderedPageBreak/>
              <w:t>决土木工程专业复杂工程问题”。和“指标点</w:t>
            </w:r>
            <w:r>
              <w:rPr>
                <w:rFonts w:ascii="Times New Roman" w:hAnsi="Times New Roman" w:hint="eastAsia"/>
                <w:kern w:val="0"/>
                <w:sz w:val="24"/>
                <w:szCs w:val="24"/>
              </w:rPr>
              <w:t>2.3</w:t>
            </w:r>
            <w:r>
              <w:rPr>
                <w:rFonts w:ascii="Times New Roman" w:hAnsi="Times New Roman" w:hint="eastAsia"/>
                <w:kern w:val="0"/>
                <w:sz w:val="24"/>
                <w:szCs w:val="24"/>
              </w:rPr>
              <w:t>：能够正确、合理运用专业知识，识别、判断和表达土木工程专业复杂工程问题的本质特征、关键环节，并能提供多种解决方案”。</w:t>
            </w:r>
          </w:p>
        </w:tc>
      </w:tr>
      <w:tr w:rsidR="00CF1222" w:rsidTr="00CF1222">
        <w:trPr>
          <w:trHeight w:val="555"/>
        </w:trPr>
        <w:tc>
          <w:tcPr>
            <w:tcW w:w="258" w:type="pct"/>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lastRenderedPageBreak/>
              <w:t>3</w:t>
            </w:r>
          </w:p>
        </w:tc>
        <w:tc>
          <w:tcPr>
            <w:tcW w:w="592" w:type="pct"/>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第三章</w:t>
            </w:r>
          </w:p>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砌体结构工程中的质量控制、缺陷和事故</w:t>
            </w:r>
          </w:p>
        </w:tc>
        <w:tc>
          <w:tcPr>
            <w:tcW w:w="285" w:type="pct"/>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2</w:t>
            </w:r>
          </w:p>
        </w:tc>
        <w:tc>
          <w:tcPr>
            <w:tcW w:w="1364"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）砌体工程质量控制要点；</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）引起砌体结构工程缺陷常见因素、主要表现和防治措施；</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）砌体结构工程中常见的几类质量缺陷事故及其处理。</w:t>
            </w:r>
          </w:p>
        </w:tc>
        <w:tc>
          <w:tcPr>
            <w:tcW w:w="688"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掌握砌体结构工程常见质量缺陷、事故的类型、原因、预防措施及加固方法的原理和设计</w:t>
            </w:r>
            <w:r>
              <w:rPr>
                <w:rFonts w:ascii="Times New Roman" w:hAnsi="Times New Roman"/>
                <w:kern w:val="0"/>
                <w:sz w:val="24"/>
                <w:szCs w:val="24"/>
              </w:rPr>
              <w:t>。</w:t>
            </w:r>
          </w:p>
        </w:tc>
        <w:tc>
          <w:tcPr>
            <w:tcW w:w="1812"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：掌握土木工程专业知识，具备知识交叉融合能力，应用于解决土木工程专业复杂工程问题”。和“指标点</w:t>
            </w:r>
            <w:r>
              <w:rPr>
                <w:rFonts w:ascii="Times New Roman" w:hAnsi="Times New Roman" w:hint="eastAsia"/>
                <w:kern w:val="0"/>
                <w:sz w:val="24"/>
                <w:szCs w:val="24"/>
              </w:rPr>
              <w:t>2.3</w:t>
            </w:r>
            <w:r>
              <w:rPr>
                <w:rFonts w:ascii="Times New Roman" w:hAnsi="Times New Roman" w:hint="eastAsia"/>
                <w:kern w:val="0"/>
                <w:sz w:val="24"/>
                <w:szCs w:val="24"/>
              </w:rPr>
              <w:t>：能够正确、合理运用专业知识，识别、判断和表达土木工程专业复杂工程问题的本质特征、关键环节，并能提供多种解决方案”。</w:t>
            </w:r>
          </w:p>
        </w:tc>
      </w:tr>
      <w:tr w:rsidR="00CF1222" w:rsidTr="00CF1222">
        <w:trPr>
          <w:trHeight w:val="548"/>
        </w:trPr>
        <w:tc>
          <w:tcPr>
            <w:tcW w:w="258" w:type="pct"/>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t>4</w:t>
            </w:r>
          </w:p>
        </w:tc>
        <w:tc>
          <w:tcPr>
            <w:tcW w:w="592" w:type="pct"/>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第四章</w:t>
            </w:r>
          </w:p>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钢结构工程中的质量控制、缺陷和事故</w:t>
            </w:r>
          </w:p>
        </w:tc>
        <w:tc>
          <w:tcPr>
            <w:tcW w:w="285" w:type="pct"/>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t>4</w:t>
            </w:r>
          </w:p>
        </w:tc>
        <w:tc>
          <w:tcPr>
            <w:tcW w:w="1364"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）钢结构缺陷的形成；</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）钢结构工程施工质量控制要点；</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）钢结构失稳事故；</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）钢结构脆性断裂及疲劳破坏；</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5</w:t>
            </w:r>
            <w:r>
              <w:rPr>
                <w:rFonts w:ascii="Times New Roman" w:hAnsi="Times New Roman" w:hint="eastAsia"/>
                <w:kern w:val="0"/>
                <w:sz w:val="24"/>
                <w:szCs w:val="24"/>
              </w:rPr>
              <w:t>）钢结构腐蚀破坏及火灾破坏；</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6</w:t>
            </w:r>
            <w:r>
              <w:rPr>
                <w:rFonts w:ascii="Times New Roman" w:hAnsi="Times New Roman" w:hint="eastAsia"/>
                <w:kern w:val="0"/>
                <w:sz w:val="24"/>
                <w:szCs w:val="24"/>
              </w:rPr>
              <w:t>）事故实例分析。</w:t>
            </w:r>
          </w:p>
        </w:tc>
        <w:tc>
          <w:tcPr>
            <w:tcW w:w="688"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掌握钢结构结构工程常见质量缺陷、事故的类型、原因、预防措施及加固方法的原理和设计。</w:t>
            </w:r>
          </w:p>
        </w:tc>
        <w:tc>
          <w:tcPr>
            <w:tcW w:w="1812"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：掌握土木工程专业知识，具备知识交叉融合能力，应用于解决土木工程专业复杂工程问题”。和“指标点</w:t>
            </w:r>
            <w:r>
              <w:rPr>
                <w:rFonts w:ascii="Times New Roman" w:hAnsi="Times New Roman" w:hint="eastAsia"/>
                <w:kern w:val="0"/>
                <w:sz w:val="24"/>
                <w:szCs w:val="24"/>
              </w:rPr>
              <w:t>2.3</w:t>
            </w:r>
            <w:r>
              <w:rPr>
                <w:rFonts w:ascii="Times New Roman" w:hAnsi="Times New Roman" w:hint="eastAsia"/>
                <w:kern w:val="0"/>
                <w:sz w:val="24"/>
                <w:szCs w:val="24"/>
              </w:rPr>
              <w:t>：能够正确、合理运用专业知识，识别、判断和表达土木工程专业复杂工程问题的本质特征、关键环节，并能提供多种解决方案”。</w:t>
            </w:r>
          </w:p>
        </w:tc>
      </w:tr>
      <w:tr w:rsidR="00CF1222" w:rsidTr="00CF1222">
        <w:trPr>
          <w:trHeight w:val="548"/>
        </w:trPr>
        <w:tc>
          <w:tcPr>
            <w:tcW w:w="258" w:type="pct"/>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t>5</w:t>
            </w:r>
          </w:p>
        </w:tc>
        <w:tc>
          <w:tcPr>
            <w:tcW w:w="592" w:type="pct"/>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第五章</w:t>
            </w:r>
          </w:p>
          <w:p w:rsidR="00CF1222" w:rsidRDefault="00CF1222" w:rsidP="00CF1222">
            <w:pPr>
              <w:jc w:val="center"/>
              <w:rPr>
                <w:rFonts w:ascii="Times New Roman" w:eastAsia="华文中宋" w:hAnsi="Times New Roman"/>
                <w:sz w:val="24"/>
                <w:szCs w:val="24"/>
              </w:rPr>
            </w:pPr>
            <w:r>
              <w:rPr>
                <w:rFonts w:ascii="Times New Roman" w:hAnsi="Times New Roman" w:hint="eastAsia"/>
                <w:kern w:val="0"/>
                <w:sz w:val="24"/>
                <w:szCs w:val="24"/>
              </w:rPr>
              <w:t>地基与基础工程中的</w:t>
            </w:r>
            <w:r>
              <w:rPr>
                <w:rFonts w:ascii="Times New Roman" w:hAnsi="Times New Roman" w:hint="eastAsia"/>
                <w:kern w:val="0"/>
                <w:sz w:val="24"/>
                <w:szCs w:val="24"/>
              </w:rPr>
              <w:lastRenderedPageBreak/>
              <w:t>质量控制、缺陷和事故</w:t>
            </w:r>
          </w:p>
        </w:tc>
        <w:tc>
          <w:tcPr>
            <w:tcW w:w="285" w:type="pct"/>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lastRenderedPageBreak/>
              <w:t>2</w:t>
            </w:r>
          </w:p>
        </w:tc>
        <w:tc>
          <w:tcPr>
            <w:tcW w:w="1364" w:type="pct"/>
            <w:vAlign w:val="center"/>
          </w:tcPr>
          <w:p w:rsidR="00CF1222" w:rsidRDefault="00CF1222" w:rsidP="00CF1222">
            <w:pPr>
              <w:rPr>
                <w:rFonts w:ascii="Times New Roman" w:hAnsi="Times New Roman"/>
                <w:kern w:val="0"/>
                <w:sz w:val="24"/>
                <w:szCs w:val="24"/>
              </w:rPr>
            </w:pPr>
            <w:r>
              <w:rPr>
                <w:rFonts w:ascii="Times New Roman" w:hAnsi="Times New Roman"/>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）地基与基础工程施工质量控制要点；</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）常见的地基基础</w:t>
            </w:r>
            <w:r>
              <w:rPr>
                <w:rFonts w:ascii="Times New Roman" w:hAnsi="Times New Roman" w:hint="eastAsia"/>
                <w:kern w:val="0"/>
                <w:sz w:val="24"/>
                <w:szCs w:val="24"/>
              </w:rPr>
              <w:lastRenderedPageBreak/>
              <w:t>工程缺陷、事故及实例；</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）深基坑事故多发的原因及对策。</w:t>
            </w:r>
          </w:p>
        </w:tc>
        <w:tc>
          <w:tcPr>
            <w:tcW w:w="688"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lastRenderedPageBreak/>
              <w:t>掌握地基与基础工程常见质</w:t>
            </w:r>
            <w:r>
              <w:rPr>
                <w:rFonts w:ascii="Times New Roman" w:hAnsi="Times New Roman" w:hint="eastAsia"/>
                <w:kern w:val="0"/>
                <w:sz w:val="24"/>
                <w:szCs w:val="24"/>
              </w:rPr>
              <w:lastRenderedPageBreak/>
              <w:t>量缺陷、事故的类型、原因、预防措施及加固方法的原理和设计。</w:t>
            </w:r>
          </w:p>
        </w:tc>
        <w:tc>
          <w:tcPr>
            <w:tcW w:w="1812"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lastRenderedPageBreak/>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：掌握土木工程专业知识，具备知识交叉融合能力，应用于解</w:t>
            </w:r>
            <w:r>
              <w:rPr>
                <w:rFonts w:ascii="Times New Roman" w:hAnsi="Times New Roman" w:hint="eastAsia"/>
                <w:kern w:val="0"/>
                <w:sz w:val="24"/>
                <w:szCs w:val="24"/>
              </w:rPr>
              <w:lastRenderedPageBreak/>
              <w:t>决土木工程专业复杂工程问题”。和“指标点</w:t>
            </w:r>
            <w:r>
              <w:rPr>
                <w:rFonts w:ascii="Times New Roman" w:hAnsi="Times New Roman" w:hint="eastAsia"/>
                <w:kern w:val="0"/>
                <w:sz w:val="24"/>
                <w:szCs w:val="24"/>
              </w:rPr>
              <w:t>2.3</w:t>
            </w:r>
            <w:r>
              <w:rPr>
                <w:rFonts w:ascii="Times New Roman" w:hAnsi="Times New Roman" w:hint="eastAsia"/>
                <w:kern w:val="0"/>
                <w:sz w:val="24"/>
                <w:szCs w:val="24"/>
              </w:rPr>
              <w:t>：能够正确、合理运用专业知识，识别、判断和表达土木工程专业复杂工程问题的本质特征、关键环节，并能提供多种解决方案”。</w:t>
            </w:r>
          </w:p>
        </w:tc>
      </w:tr>
      <w:tr w:rsidR="00CF1222" w:rsidTr="00CF1222">
        <w:trPr>
          <w:trHeight w:val="548"/>
        </w:trPr>
        <w:tc>
          <w:tcPr>
            <w:tcW w:w="258" w:type="pct"/>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lastRenderedPageBreak/>
              <w:t>6</w:t>
            </w:r>
          </w:p>
        </w:tc>
        <w:tc>
          <w:tcPr>
            <w:tcW w:w="592" w:type="pct"/>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第九章</w:t>
            </w:r>
          </w:p>
          <w:p w:rsidR="00CF1222" w:rsidRDefault="00CF1222" w:rsidP="00CF1222">
            <w:pPr>
              <w:jc w:val="center"/>
              <w:rPr>
                <w:rFonts w:ascii="Times New Roman" w:eastAsia="华文中宋" w:hAnsi="Times New Roman"/>
                <w:sz w:val="24"/>
                <w:szCs w:val="24"/>
              </w:rPr>
            </w:pPr>
            <w:r>
              <w:rPr>
                <w:rFonts w:ascii="Times New Roman" w:hAnsi="Times New Roman" w:hint="eastAsia"/>
                <w:kern w:val="0"/>
                <w:sz w:val="24"/>
                <w:szCs w:val="24"/>
              </w:rPr>
              <w:t>工程结构缺陷处理方法提要</w:t>
            </w:r>
          </w:p>
        </w:tc>
        <w:tc>
          <w:tcPr>
            <w:tcW w:w="285" w:type="pct"/>
            <w:vAlign w:val="center"/>
          </w:tcPr>
          <w:p w:rsidR="00CF1222" w:rsidRDefault="00CF1222" w:rsidP="00CF1222">
            <w:pPr>
              <w:jc w:val="center"/>
              <w:rPr>
                <w:rFonts w:ascii="Times New Roman" w:eastAsia="华文中宋" w:hAnsi="Times New Roman"/>
                <w:sz w:val="24"/>
                <w:szCs w:val="24"/>
              </w:rPr>
            </w:pPr>
            <w:r>
              <w:rPr>
                <w:rFonts w:ascii="Times New Roman" w:eastAsia="华文中宋" w:hAnsi="Times New Roman"/>
                <w:sz w:val="24"/>
                <w:szCs w:val="24"/>
              </w:rPr>
              <w:t>2</w:t>
            </w:r>
          </w:p>
        </w:tc>
        <w:tc>
          <w:tcPr>
            <w:tcW w:w="1364"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）工程结构缺陷处理方法分类及使用范围；</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）工程结构的加固原则；</w:t>
            </w:r>
          </w:p>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）建筑结构加固的设计施工要点。</w:t>
            </w:r>
          </w:p>
        </w:tc>
        <w:tc>
          <w:tcPr>
            <w:tcW w:w="688"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了解各类工程缺陷处理的方法和基本原理。</w:t>
            </w:r>
          </w:p>
        </w:tc>
        <w:tc>
          <w:tcPr>
            <w:tcW w:w="1812" w:type="pct"/>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2.3</w:t>
            </w:r>
            <w:r>
              <w:rPr>
                <w:rFonts w:ascii="Times New Roman" w:hAnsi="Times New Roman" w:hint="eastAsia"/>
                <w:kern w:val="0"/>
                <w:sz w:val="24"/>
                <w:szCs w:val="24"/>
              </w:rPr>
              <w:t>：能够正确、合理运用专业知识，识别、判断和表达土木工程专业复杂工程问题的本质特征、关键环节，并能提供多种解决方案”和“指标点</w:t>
            </w:r>
            <w:r>
              <w:rPr>
                <w:rFonts w:ascii="Times New Roman" w:hAnsi="Times New Roman" w:hint="eastAsia"/>
                <w:kern w:val="0"/>
                <w:sz w:val="24"/>
                <w:szCs w:val="24"/>
              </w:rPr>
              <w:t>8.3</w:t>
            </w:r>
            <w:r>
              <w:rPr>
                <w:rFonts w:ascii="Times New Roman" w:hAnsi="Times New Roman" w:hint="eastAsia"/>
                <w:kern w:val="0"/>
                <w:sz w:val="24"/>
                <w:szCs w:val="24"/>
              </w:rPr>
              <w:t>：理解土木工程师对公众的安全、健康和福祉，以及环境保护的社会责任，并能够在工程实践中自觉履行”</w:t>
            </w:r>
          </w:p>
        </w:tc>
      </w:tr>
    </w:tbl>
    <w:p w:rsidR="00CF1222" w:rsidRDefault="00CF1222" w:rsidP="00CF1222">
      <w:pPr>
        <w:spacing w:beforeLines="50" w:before="156" w:afterLines="50" w:after="156" w:line="560" w:lineRule="exact"/>
        <w:rPr>
          <w:rFonts w:ascii="Times New Roman" w:eastAsia="黑体" w:hAnsi="Times New Roman"/>
          <w:b/>
          <w:sz w:val="28"/>
          <w:szCs w:val="28"/>
        </w:rPr>
      </w:pPr>
    </w:p>
    <w:p w:rsidR="00CF1222" w:rsidRDefault="00CF1222" w:rsidP="00CF1222">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五、课程考核方式与成绩评定</w:t>
      </w:r>
    </w:p>
    <w:p w:rsidR="00CF1222" w:rsidRDefault="00CF1222" w:rsidP="00CF1222">
      <w:pPr>
        <w:snapToGrid w:val="0"/>
        <w:spacing w:line="360" w:lineRule="auto"/>
        <w:ind w:firstLineChars="200" w:firstLine="560"/>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课程考核</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课程的考核方式为考试，</w:t>
      </w:r>
      <w:r>
        <w:rPr>
          <w:rFonts w:ascii="Times New Roman" w:hAnsi="Times New Roman"/>
          <w:sz w:val="28"/>
          <w:szCs w:val="28"/>
        </w:rPr>
        <w:t>课程总评成绩由平时成绩、和期终考试（闭卷）</w:t>
      </w:r>
      <w:r>
        <w:rPr>
          <w:rFonts w:ascii="Times New Roman" w:hAnsi="Times New Roman"/>
          <w:sz w:val="28"/>
          <w:szCs w:val="28"/>
        </w:rPr>
        <w:t>2</w:t>
      </w:r>
      <w:r>
        <w:rPr>
          <w:rFonts w:ascii="Times New Roman" w:hAnsi="Times New Roman"/>
          <w:sz w:val="28"/>
          <w:szCs w:val="28"/>
        </w:rPr>
        <w:t>个考核环节综合评定产生。</w:t>
      </w:r>
    </w:p>
    <w:p w:rsidR="00CF1222" w:rsidRDefault="00CF1222" w:rsidP="005F6318">
      <w:pPr>
        <w:numPr>
          <w:ilvl w:val="0"/>
          <w:numId w:val="2"/>
        </w:numPr>
        <w:spacing w:beforeLines="50" w:before="156" w:line="360" w:lineRule="auto"/>
        <w:ind w:firstLineChars="200" w:firstLine="560"/>
        <w:rPr>
          <w:rFonts w:ascii="Times New Roman" w:hAnsi="Times New Roman"/>
          <w:sz w:val="28"/>
          <w:szCs w:val="28"/>
        </w:rPr>
      </w:pPr>
      <w:r>
        <w:rPr>
          <w:rFonts w:ascii="Times New Roman" w:hAnsi="Times New Roman"/>
          <w:sz w:val="28"/>
          <w:szCs w:val="28"/>
        </w:rPr>
        <w:t>成绩评定</w:t>
      </w:r>
    </w:p>
    <w:p w:rsidR="00CF1222" w:rsidRDefault="00CF1222" w:rsidP="00CF1222">
      <w:pPr>
        <w:spacing w:line="360" w:lineRule="auto"/>
        <w:ind w:firstLineChars="200" w:firstLine="560"/>
        <w:rPr>
          <w:rFonts w:ascii="Times New Roman" w:hAnsi="Times New Roman"/>
          <w:sz w:val="28"/>
          <w:szCs w:val="28"/>
        </w:rPr>
      </w:pPr>
      <w:r>
        <w:rPr>
          <w:rFonts w:ascii="Times New Roman" w:hAnsi="Times New Roman"/>
          <w:sz w:val="28"/>
          <w:szCs w:val="28"/>
        </w:rPr>
        <w:t>成绩评定方式</w:t>
      </w:r>
      <w:r>
        <w:rPr>
          <w:rFonts w:ascii="Times New Roman" w:hAnsi="Times New Roman" w:hint="eastAsia"/>
          <w:sz w:val="28"/>
          <w:szCs w:val="28"/>
        </w:rPr>
        <w:t>为百分制</w:t>
      </w:r>
    </w:p>
    <w:p w:rsidR="00CF1222" w:rsidRDefault="00CF1222" w:rsidP="00CF1222">
      <w:pPr>
        <w:spacing w:line="360" w:lineRule="auto"/>
        <w:ind w:firstLineChars="200" w:firstLine="560"/>
        <w:rPr>
          <w:sz w:val="28"/>
          <w:szCs w:val="28"/>
        </w:rPr>
      </w:pPr>
      <w:r>
        <w:rPr>
          <w:rFonts w:hint="eastAsia"/>
          <w:sz w:val="28"/>
          <w:szCs w:val="28"/>
        </w:rPr>
        <w:t>课程总成绩</w:t>
      </w:r>
      <w:r>
        <w:rPr>
          <w:rFonts w:hint="eastAsia"/>
          <w:sz w:val="28"/>
          <w:szCs w:val="28"/>
        </w:rPr>
        <w:t>=</w:t>
      </w:r>
      <w:r>
        <w:rPr>
          <w:rFonts w:hint="eastAsia"/>
          <w:sz w:val="28"/>
          <w:szCs w:val="28"/>
        </w:rPr>
        <w:t>期末成绩</w:t>
      </w:r>
      <w:r>
        <w:rPr>
          <w:rFonts w:ascii="Times New Roman" w:hAnsi="Times New Roman"/>
          <w:sz w:val="28"/>
          <w:szCs w:val="28"/>
        </w:rPr>
        <w:t>30%+</w:t>
      </w:r>
      <w:r>
        <w:rPr>
          <w:rFonts w:ascii="Times New Roman" w:hAnsi="Times New Roman"/>
          <w:sz w:val="28"/>
          <w:szCs w:val="28"/>
        </w:rPr>
        <w:t>平时成绩</w:t>
      </w:r>
      <w:r>
        <w:rPr>
          <w:rFonts w:ascii="Times New Roman" w:hAnsi="Times New Roman"/>
          <w:sz w:val="28"/>
          <w:szCs w:val="28"/>
        </w:rPr>
        <w:t>70%</w:t>
      </w:r>
    </w:p>
    <w:p w:rsidR="00CF1222" w:rsidRDefault="00CF1222" w:rsidP="00CF1222">
      <w:pPr>
        <w:spacing w:line="360" w:lineRule="auto"/>
        <w:ind w:firstLineChars="200" w:firstLine="560"/>
        <w:rPr>
          <w:rFonts w:ascii="Times New Roman" w:hAnsi="Times New Roman"/>
          <w:sz w:val="28"/>
          <w:szCs w:val="28"/>
        </w:rPr>
      </w:pPr>
      <w:r>
        <w:rPr>
          <w:rFonts w:ascii="Times New Roman" w:hAnsi="Times New Roman"/>
          <w:sz w:val="28"/>
          <w:szCs w:val="28"/>
        </w:rPr>
        <w:t>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253"/>
        <w:gridCol w:w="1667"/>
      </w:tblGrid>
      <w:tr w:rsidR="00CF1222" w:rsidTr="00CF1222">
        <w:trPr>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lastRenderedPageBreak/>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教学目标</w:t>
            </w:r>
          </w:p>
        </w:tc>
      </w:tr>
      <w:tr w:rsidR="00CF1222" w:rsidTr="00CF1222">
        <w:trPr>
          <w:jc w:val="center"/>
        </w:trPr>
        <w:tc>
          <w:tcPr>
            <w:tcW w:w="1432"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分项比例</w:t>
            </w:r>
          </w:p>
        </w:tc>
        <w:tc>
          <w:tcPr>
            <w:tcW w:w="2563"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考核要求</w:t>
            </w:r>
          </w:p>
        </w:tc>
        <w:tc>
          <w:tcPr>
            <w:tcW w:w="1005"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p>
        </w:tc>
      </w:tr>
      <w:tr w:rsidR="00CF1222" w:rsidTr="00CF1222">
        <w:trPr>
          <w:trHeight w:val="1500"/>
          <w:jc w:val="center"/>
        </w:trPr>
        <w:tc>
          <w:tcPr>
            <w:tcW w:w="1432"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平时成绩</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30%</w:t>
            </w:r>
            <w:r>
              <w:rPr>
                <w:rFonts w:ascii="Times New Roman" w:hAnsi="Times New Roman"/>
                <w:sz w:val="24"/>
                <w:szCs w:val="24"/>
              </w:rPr>
              <w:t>）</w:t>
            </w:r>
          </w:p>
        </w:tc>
        <w:tc>
          <w:tcPr>
            <w:tcW w:w="2563" w:type="pct"/>
            <w:tcBorders>
              <w:top w:val="single" w:sz="4" w:space="0" w:color="auto"/>
              <w:left w:val="single" w:sz="4" w:space="0" w:color="auto"/>
              <w:right w:val="single" w:sz="4" w:space="0" w:color="auto"/>
            </w:tcBorders>
            <w:vAlign w:val="center"/>
          </w:tcPr>
          <w:p w:rsidR="00CF1222" w:rsidRDefault="00CF1222" w:rsidP="00CF1222">
            <w:pPr>
              <w:rPr>
                <w:rFonts w:ascii="Times New Roman" w:hAnsi="Times New Roman"/>
                <w:sz w:val="24"/>
                <w:szCs w:val="24"/>
              </w:rPr>
            </w:pPr>
            <w:r>
              <w:rPr>
                <w:rFonts w:ascii="Times New Roman" w:hAnsi="Times New Roman"/>
                <w:sz w:val="24"/>
                <w:szCs w:val="24"/>
              </w:rPr>
              <w:t>出勤统计不少于授课次数的</w:t>
            </w:r>
            <w:r>
              <w:rPr>
                <w:rFonts w:ascii="Times New Roman" w:hAnsi="Times New Roman"/>
                <w:sz w:val="24"/>
                <w:szCs w:val="24"/>
              </w:rPr>
              <w:t>3/4</w:t>
            </w:r>
            <w:r>
              <w:rPr>
                <w:rFonts w:ascii="Times New Roman" w:hAnsi="Times New Roman"/>
                <w:sz w:val="24"/>
                <w:szCs w:val="24"/>
              </w:rPr>
              <w:t>，考察学生的</w:t>
            </w:r>
            <w:r>
              <w:rPr>
                <w:rFonts w:ascii="Times New Roman" w:hAnsi="Times New Roman" w:hint="eastAsia"/>
                <w:sz w:val="24"/>
                <w:szCs w:val="24"/>
              </w:rPr>
              <w:t>重视度和参与度</w:t>
            </w:r>
            <w:r>
              <w:rPr>
                <w:rFonts w:ascii="Times New Roman" w:hAnsi="Times New Roman"/>
                <w:sz w:val="24"/>
                <w:szCs w:val="24"/>
              </w:rPr>
              <w:t>，占</w:t>
            </w:r>
            <w:r>
              <w:rPr>
                <w:rFonts w:ascii="Times New Roman" w:hAnsi="Times New Roman"/>
                <w:sz w:val="24"/>
                <w:szCs w:val="24"/>
              </w:rPr>
              <w:t>20%</w:t>
            </w:r>
            <w:r>
              <w:rPr>
                <w:rFonts w:ascii="Times New Roman" w:hAnsi="Times New Roman"/>
                <w:sz w:val="24"/>
                <w:szCs w:val="24"/>
              </w:rPr>
              <w:t>；</w:t>
            </w:r>
            <w:r>
              <w:rPr>
                <w:rFonts w:ascii="Times New Roman" w:hAnsi="Times New Roman" w:hint="eastAsia"/>
                <w:sz w:val="24"/>
                <w:szCs w:val="24"/>
              </w:rPr>
              <w:t>随堂提问及讨论，考察学生课堂积极性及知识掌握度，占</w:t>
            </w:r>
            <w:r>
              <w:rPr>
                <w:rFonts w:ascii="Times New Roman" w:hAnsi="Times New Roman" w:hint="eastAsia"/>
                <w:sz w:val="24"/>
                <w:szCs w:val="24"/>
              </w:rPr>
              <w:t>3</w:t>
            </w:r>
            <w:r>
              <w:rPr>
                <w:rFonts w:ascii="Times New Roman" w:hAnsi="Times New Roman"/>
                <w:sz w:val="24"/>
                <w:szCs w:val="24"/>
              </w:rPr>
              <w:t>0%</w:t>
            </w:r>
            <w:r>
              <w:rPr>
                <w:rFonts w:ascii="Times New Roman" w:hAnsi="Times New Roman" w:hint="eastAsia"/>
                <w:sz w:val="24"/>
                <w:szCs w:val="24"/>
              </w:rPr>
              <w:t>；小组汇报，建立学生小组，以课本内容为基础，拓展工程质量事故案例并分析，考察学生的知识掌握度及运用专业性术语进行沟通和表达的能力，占</w:t>
            </w:r>
            <w:r>
              <w:rPr>
                <w:rFonts w:ascii="Times New Roman" w:hAnsi="Times New Roman" w:hint="eastAsia"/>
                <w:sz w:val="24"/>
                <w:szCs w:val="24"/>
              </w:rPr>
              <w:t>5</w:t>
            </w:r>
            <w:r>
              <w:rPr>
                <w:rFonts w:ascii="Times New Roman" w:hAnsi="Times New Roman"/>
                <w:sz w:val="24"/>
                <w:szCs w:val="24"/>
              </w:rPr>
              <w:t>0%</w:t>
            </w:r>
            <w:r>
              <w:rPr>
                <w:rFonts w:ascii="Times New Roman" w:hAnsi="Times New Roman" w:hint="eastAsia"/>
                <w:sz w:val="24"/>
                <w:szCs w:val="24"/>
              </w:rPr>
              <w:t>。</w:t>
            </w:r>
          </w:p>
        </w:tc>
        <w:tc>
          <w:tcPr>
            <w:tcW w:w="1005" w:type="pct"/>
            <w:tcBorders>
              <w:top w:val="single" w:sz="4" w:space="0" w:color="auto"/>
              <w:left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CF1222" w:rsidTr="00CF1222">
        <w:trPr>
          <w:trHeight w:val="900"/>
          <w:jc w:val="center"/>
        </w:trPr>
        <w:tc>
          <w:tcPr>
            <w:tcW w:w="1432"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期终考试</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70%</w:t>
            </w:r>
            <w:r>
              <w:rPr>
                <w:rFonts w:ascii="Times New Roman" w:hAnsi="Times New Roman"/>
                <w:sz w:val="24"/>
                <w:szCs w:val="24"/>
              </w:rPr>
              <w:t>）</w:t>
            </w:r>
          </w:p>
        </w:tc>
        <w:tc>
          <w:tcPr>
            <w:tcW w:w="2563" w:type="pct"/>
            <w:tcBorders>
              <w:top w:val="single" w:sz="4" w:space="0" w:color="auto"/>
              <w:left w:val="single" w:sz="4" w:space="0" w:color="auto"/>
              <w:right w:val="single" w:sz="4" w:space="0" w:color="auto"/>
            </w:tcBorders>
            <w:vAlign w:val="center"/>
          </w:tcPr>
          <w:p w:rsidR="00CF1222" w:rsidRDefault="00CF1222" w:rsidP="00CF1222">
            <w:pPr>
              <w:rPr>
                <w:rFonts w:ascii="Times New Roman" w:hAnsi="Times New Roman"/>
                <w:sz w:val="24"/>
                <w:szCs w:val="24"/>
              </w:rPr>
            </w:pPr>
            <w:r>
              <w:rPr>
                <w:rFonts w:ascii="Times New Roman" w:hAnsi="Times New Roman"/>
                <w:sz w:val="24"/>
                <w:szCs w:val="24"/>
              </w:rPr>
              <w:t>期末考试采用闭卷形式。考试范围基本涵盖所有讲授内容，考试内容主要反映学生对</w:t>
            </w:r>
            <w:r>
              <w:rPr>
                <w:rFonts w:ascii="Times New Roman" w:hAnsi="Times New Roman" w:hint="eastAsia"/>
                <w:sz w:val="24"/>
                <w:szCs w:val="24"/>
              </w:rPr>
              <w:t>课程内容的理解和掌握程度，以及综合运用相关知识进行分析并解决问题的能力</w:t>
            </w:r>
            <w:r>
              <w:rPr>
                <w:rFonts w:ascii="Times New Roman" w:hAnsi="Times New Roman"/>
                <w:sz w:val="24"/>
                <w:szCs w:val="24"/>
              </w:rPr>
              <w:t>。</w:t>
            </w:r>
          </w:p>
        </w:tc>
        <w:tc>
          <w:tcPr>
            <w:tcW w:w="1005" w:type="pct"/>
            <w:tcBorders>
              <w:top w:val="single" w:sz="4" w:space="0" w:color="auto"/>
              <w:left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w:t>
            </w:r>
          </w:p>
        </w:tc>
      </w:tr>
    </w:tbl>
    <w:p w:rsidR="00CF1222" w:rsidRDefault="00CF1222" w:rsidP="00CF1222">
      <w:pPr>
        <w:spacing w:beforeLines="50" w:before="156" w:line="360" w:lineRule="auto"/>
        <w:ind w:left="560"/>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课程目标达成度自评方式</w:t>
      </w:r>
    </w:p>
    <w:p w:rsidR="00CF1222" w:rsidRDefault="00CF1222" w:rsidP="00CF1222">
      <w:pPr>
        <w:adjustRightInd w:val="0"/>
        <w:snapToGrid w:val="0"/>
        <w:spacing w:afterLines="50" w:after="156" w:line="560" w:lineRule="exact"/>
        <w:ind w:firstLineChars="200" w:firstLine="560"/>
        <w:rPr>
          <w:rFonts w:ascii="Times New Roman" w:hAnsi="Times New Roman"/>
          <w:sz w:val="28"/>
          <w:szCs w:val="28"/>
        </w:rPr>
      </w:pPr>
      <w:r>
        <w:rPr>
          <w:rFonts w:ascii="Times New Roman" w:hAnsi="Times New Roman"/>
          <w:sz w:val="28"/>
          <w:szCs w:val="28"/>
        </w:rPr>
        <w:t>据学院教学管理规定，在开展课程达成度评价前，课程评价审核小组对课程的评价依据合理性进行确认，包括平时作业、</w:t>
      </w:r>
      <w:r>
        <w:rPr>
          <w:rFonts w:ascii="Times New Roman" w:hAnsi="Times New Roman" w:hint="eastAsia"/>
          <w:sz w:val="28"/>
          <w:szCs w:val="28"/>
        </w:rPr>
        <w:t>随堂测验</w:t>
      </w:r>
      <w:r>
        <w:rPr>
          <w:rFonts w:ascii="Times New Roman" w:hAnsi="Times New Roman"/>
          <w:sz w:val="28"/>
          <w:szCs w:val="28"/>
        </w:rPr>
        <w:t>、期终考试等考核环节。课程结束后，课程小组需要对课程进行达成度评价，课程小组由课程负责人和任课教师组成，统计课程考核数据，并填写</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工程事故分析及处理</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报告，以便及时了解课程的达成效果，发现问题并进行持续改进，同时也为毕业要求达成度的评价提供基础数据。</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根据课程的考核形式，全部或抽样部分考核资料（应以当年修读该课程的学生为总体，至少抽取</w:t>
      </w:r>
      <w:r>
        <w:rPr>
          <w:rFonts w:ascii="Times New Roman" w:hAnsi="Times New Roman"/>
          <w:sz w:val="28"/>
          <w:szCs w:val="28"/>
        </w:rPr>
        <w:t>85%</w:t>
      </w:r>
      <w:r>
        <w:rPr>
          <w:rFonts w:ascii="Times New Roman" w:hAnsi="Times New Roman"/>
          <w:sz w:val="28"/>
          <w:szCs w:val="28"/>
        </w:rPr>
        <w:t>以上的学生样本），抽样时需覆盖优、良、中、及格和不及格等考核等级的考核资料。</w:t>
      </w:r>
    </w:p>
    <w:p w:rsidR="00CF1222" w:rsidRDefault="00CF1222" w:rsidP="00CF1222">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1.</w:t>
      </w:r>
      <w:r>
        <w:rPr>
          <w:rFonts w:ascii="Times New Roman" w:hAnsi="Times New Roman" w:hint="eastAsia"/>
          <w:sz w:val="28"/>
          <w:szCs w:val="28"/>
        </w:rPr>
        <w:t>建议教材</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土木工程质量缺陷事故分析及处理，罗福午、王毅红主编，武汉</w:t>
      </w:r>
      <w:r>
        <w:rPr>
          <w:rFonts w:ascii="Times New Roman" w:hAnsi="Times New Roman" w:hint="eastAsia"/>
          <w:sz w:val="28"/>
          <w:szCs w:val="28"/>
        </w:rPr>
        <w:lastRenderedPageBreak/>
        <w:t>理工大学出版社，</w:t>
      </w:r>
      <w:r>
        <w:rPr>
          <w:rFonts w:ascii="Times New Roman" w:hAnsi="Times New Roman" w:hint="eastAsia"/>
          <w:sz w:val="28"/>
          <w:szCs w:val="28"/>
        </w:rPr>
        <w:t>2012.07</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2.</w:t>
      </w:r>
      <w:r>
        <w:rPr>
          <w:rFonts w:ascii="Times New Roman" w:hAnsi="Times New Roman" w:hint="eastAsia"/>
          <w:sz w:val="28"/>
          <w:szCs w:val="28"/>
        </w:rPr>
        <w:t>主要参考资料</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1</w:t>
      </w:r>
      <w:r>
        <w:rPr>
          <w:rFonts w:ascii="Times New Roman" w:hAnsi="Times New Roman" w:hint="eastAsia"/>
          <w:sz w:val="28"/>
          <w:szCs w:val="28"/>
        </w:rPr>
        <w:t>、钢结构施工，杜绍堂主编，高等教育出版社，</w:t>
      </w:r>
      <w:r>
        <w:rPr>
          <w:rFonts w:ascii="Times New Roman" w:hAnsi="Times New Roman" w:hint="eastAsia"/>
          <w:sz w:val="28"/>
          <w:szCs w:val="28"/>
        </w:rPr>
        <w:t>2009</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2</w:t>
      </w:r>
      <w:r>
        <w:rPr>
          <w:rFonts w:ascii="Times New Roman" w:hAnsi="Times New Roman" w:hint="eastAsia"/>
          <w:sz w:val="28"/>
          <w:szCs w:val="28"/>
        </w:rPr>
        <w:t>、地基基础工程技术，朱永祥主编，中国科学技术大学出版，</w:t>
      </w:r>
      <w:r>
        <w:rPr>
          <w:rFonts w:ascii="Times New Roman" w:hAnsi="Times New Roman" w:hint="eastAsia"/>
          <w:sz w:val="28"/>
          <w:szCs w:val="28"/>
        </w:rPr>
        <w:t>2008</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3</w:t>
      </w:r>
      <w:r>
        <w:rPr>
          <w:rFonts w:ascii="Times New Roman" w:hAnsi="Times New Roman" w:hint="eastAsia"/>
          <w:sz w:val="28"/>
          <w:szCs w:val="28"/>
        </w:rPr>
        <w:t>、建筑工程事故分析与处理，江见鲸等，中国建筑工业出版社，</w:t>
      </w:r>
      <w:r>
        <w:rPr>
          <w:rFonts w:ascii="Times New Roman" w:hAnsi="Times New Roman" w:hint="eastAsia"/>
          <w:sz w:val="28"/>
          <w:szCs w:val="28"/>
        </w:rPr>
        <w:t>2011</w:t>
      </w:r>
    </w:p>
    <w:p w:rsidR="00CF1222" w:rsidRDefault="00CF1222" w:rsidP="00CF1222">
      <w:pPr>
        <w:spacing w:line="440" w:lineRule="exact"/>
        <w:rPr>
          <w:rFonts w:ascii="Times New Roman" w:eastAsia="黑体" w:hAnsi="Times New Roman"/>
          <w:b/>
          <w:sz w:val="28"/>
          <w:szCs w:val="28"/>
        </w:rPr>
      </w:pPr>
      <w:r>
        <w:rPr>
          <w:rFonts w:ascii="Times New Roman" w:eastAsia="黑体" w:hAnsi="Times New Roman" w:hint="eastAsia"/>
          <w:b/>
          <w:sz w:val="28"/>
          <w:szCs w:val="28"/>
        </w:rPr>
        <w:t>七</w:t>
      </w:r>
      <w:r>
        <w:rPr>
          <w:rFonts w:ascii="Times New Roman" w:eastAsia="黑体" w:hAnsi="Times New Roman"/>
          <w:b/>
          <w:sz w:val="28"/>
          <w:szCs w:val="28"/>
        </w:rPr>
        <w:t>、执行大纲应注意的问题</w:t>
      </w:r>
    </w:p>
    <w:p w:rsidR="00CF1222" w:rsidRDefault="00CF1222" w:rsidP="00CF1222">
      <w:pPr>
        <w:adjustRightInd w:val="0"/>
        <w:snapToGrid w:val="0"/>
        <w:spacing w:line="560" w:lineRule="exact"/>
        <w:ind w:firstLineChars="200" w:firstLine="560"/>
        <w:jc w:val="left"/>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、教学中应注重基本知识、基本理论和方法的讲授，注意精讲多练。</w:t>
      </w:r>
    </w:p>
    <w:p w:rsidR="00CF1222" w:rsidRDefault="00CF1222" w:rsidP="00CF1222">
      <w:pPr>
        <w:adjustRightInd w:val="0"/>
        <w:snapToGrid w:val="0"/>
        <w:spacing w:line="560" w:lineRule="exact"/>
        <w:ind w:firstLineChars="200" w:firstLine="560"/>
        <w:jc w:val="left"/>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、教学内容的顺序及其安排仅供参考，教师可根据情况作适当调整。</w:t>
      </w:r>
    </w:p>
    <w:p w:rsidR="00CF1222" w:rsidRDefault="00CF1222" w:rsidP="00CF1222">
      <w:pPr>
        <w:spacing w:line="360" w:lineRule="auto"/>
        <w:ind w:firstLineChars="1200" w:firstLine="3360"/>
        <w:rPr>
          <w:rFonts w:ascii="Times New Roman" w:eastAsia="仿宋" w:hAnsi="Times New Roman"/>
          <w:sz w:val="28"/>
          <w:szCs w:val="28"/>
        </w:rPr>
      </w:pPr>
    </w:p>
    <w:p w:rsidR="00CF1222" w:rsidRPr="006E57E0" w:rsidRDefault="00CF1222" w:rsidP="00CF1222">
      <w:pPr>
        <w:spacing w:line="360" w:lineRule="auto"/>
        <w:ind w:firstLineChars="1200" w:firstLine="3360"/>
        <w:rPr>
          <w:rFonts w:ascii="Times New Roman" w:eastAsia="仿宋" w:hAnsi="Times New Roman"/>
          <w:sz w:val="28"/>
          <w:szCs w:val="28"/>
        </w:rPr>
      </w:pPr>
      <w:r w:rsidRPr="006E57E0">
        <w:rPr>
          <w:rFonts w:ascii="Times New Roman" w:eastAsia="仿宋" w:hAnsi="Times New Roman"/>
          <w:sz w:val="28"/>
          <w:szCs w:val="28"/>
        </w:rPr>
        <w:t>大纲撰写人：</w:t>
      </w:r>
    </w:p>
    <w:p w:rsidR="00CF1222" w:rsidRDefault="00CF1222" w:rsidP="00CF1222">
      <w:pPr>
        <w:spacing w:line="360" w:lineRule="auto"/>
        <w:ind w:firstLineChars="1200" w:firstLine="3360"/>
        <w:rPr>
          <w:rFonts w:ascii="Times New Roman" w:eastAsia="仿宋" w:hAnsi="Times New Roman"/>
          <w:sz w:val="28"/>
          <w:szCs w:val="28"/>
        </w:rPr>
      </w:pPr>
      <w:r w:rsidRPr="006E57E0">
        <w:rPr>
          <w:rFonts w:ascii="Times New Roman" w:eastAsia="仿宋" w:hAnsi="Times New Roman"/>
          <w:sz w:val="28"/>
          <w:szCs w:val="28"/>
        </w:rPr>
        <w:t>课程负责人：</w:t>
      </w:r>
    </w:p>
    <w:p w:rsidR="00CF1222" w:rsidRDefault="00CF1222" w:rsidP="00CF1222">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审核人：</w:t>
      </w:r>
    </w:p>
    <w:p w:rsidR="00CF1222" w:rsidRDefault="00CF1222" w:rsidP="00CF1222">
      <w:pPr>
        <w:jc w:val="center"/>
        <w:rPr>
          <w:rFonts w:ascii="Times New Roman" w:hAnsi="Times New Roman"/>
          <w:color w:val="000000"/>
          <w:sz w:val="28"/>
          <w:szCs w:val="28"/>
        </w:rPr>
      </w:pPr>
      <w:r>
        <w:rPr>
          <w:rFonts w:ascii="Times New Roman" w:eastAsia="仿宋" w:hAnsi="Times New Roman"/>
          <w:sz w:val="28"/>
          <w:szCs w:val="28"/>
        </w:rPr>
        <w:t xml:space="preserve">                  </w:t>
      </w:r>
      <w:r>
        <w:rPr>
          <w:rFonts w:ascii="Times New Roman" w:hAnsi="Times New Roman"/>
          <w:sz w:val="28"/>
          <w:szCs w:val="28"/>
        </w:rPr>
        <w:t xml:space="preserve">       </w:t>
      </w:r>
    </w:p>
    <w:p w:rsidR="00CF1222" w:rsidRDefault="00CF1222" w:rsidP="00CF1222">
      <w:pPr>
        <w:ind w:firstLineChars="2000" w:firstLine="5600"/>
        <w:jc w:val="left"/>
        <w:rPr>
          <w:rFonts w:ascii="Times New Roman" w:hAnsi="Times New Roman"/>
          <w:sz w:val="28"/>
          <w:szCs w:val="28"/>
        </w:rPr>
      </w:pPr>
      <w:r>
        <w:rPr>
          <w:rFonts w:ascii="Times New Roman" w:hAnsi="Times New Roman"/>
          <w:sz w:val="28"/>
          <w:szCs w:val="28"/>
        </w:rPr>
        <w:t xml:space="preserve">    </w:t>
      </w:r>
    </w:p>
    <w:p w:rsidR="00CF1222" w:rsidRDefault="00CF1222" w:rsidP="00CF1222">
      <w:pPr>
        <w:jc w:val="left"/>
        <w:rPr>
          <w:rFonts w:ascii="Times New Roman" w:hAnsi="Times New Roman"/>
          <w:sz w:val="28"/>
          <w:szCs w:val="28"/>
        </w:rPr>
      </w:pPr>
      <w:r>
        <w:rPr>
          <w:rFonts w:ascii="Times New Roman" w:eastAsia="仿宋" w:hAnsi="Times New Roman"/>
          <w:sz w:val="28"/>
          <w:szCs w:val="28"/>
        </w:rPr>
        <w:t xml:space="preserve">                                         </w:t>
      </w:r>
      <w:r>
        <w:rPr>
          <w:rFonts w:ascii="Times New Roman" w:eastAsia="仿宋" w:hAnsi="Times New Roman"/>
          <w:sz w:val="28"/>
          <w:szCs w:val="28"/>
        </w:rPr>
        <w:t>年</w:t>
      </w:r>
      <w:r>
        <w:rPr>
          <w:rFonts w:ascii="Times New Roman" w:eastAsia="仿宋" w:hAnsi="Times New Roman"/>
          <w:sz w:val="28"/>
          <w:szCs w:val="28"/>
        </w:rPr>
        <w:t xml:space="preserve">    </w:t>
      </w:r>
      <w:r>
        <w:rPr>
          <w:rFonts w:ascii="Times New Roman" w:eastAsia="仿宋" w:hAnsi="Times New Roman"/>
          <w:sz w:val="28"/>
          <w:szCs w:val="28"/>
        </w:rPr>
        <w:t>月</w:t>
      </w:r>
    </w:p>
    <w:p w:rsidR="00CF1222" w:rsidRDefault="00CF1222" w:rsidP="00CF1222">
      <w:pPr>
        <w:rPr>
          <w:rFonts w:ascii="Times New Roman" w:hAnsi="Times New Roman"/>
        </w:rPr>
      </w:pPr>
    </w:p>
    <w:p w:rsidR="00CF1222" w:rsidRDefault="00CF1222"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CF1222" w:rsidRDefault="00CF1222" w:rsidP="00CF1222">
      <w:pPr>
        <w:widowControl/>
        <w:spacing w:line="360" w:lineRule="auto"/>
        <w:jc w:val="center"/>
        <w:rPr>
          <w:rFonts w:ascii="Times New Roman" w:eastAsia="方正小标宋简体" w:hAnsi="Times New Roman"/>
          <w:kern w:val="0"/>
          <w:szCs w:val="32"/>
        </w:rPr>
      </w:pPr>
      <w:r>
        <w:rPr>
          <w:rFonts w:ascii="Times New Roman" w:eastAsia="方正小标宋简体" w:hAnsi="Times New Roman"/>
          <w:kern w:val="0"/>
          <w:szCs w:val="32"/>
        </w:rPr>
        <w:lastRenderedPageBreak/>
        <w:t>《</w:t>
      </w:r>
      <w:r>
        <w:rPr>
          <w:rFonts w:ascii="Times New Roman" w:eastAsia="方正小标宋简体" w:hAnsi="Times New Roman" w:hint="eastAsia"/>
          <w:kern w:val="0"/>
          <w:szCs w:val="32"/>
        </w:rPr>
        <w:t>结构概念与体系</w:t>
      </w:r>
      <w:r>
        <w:rPr>
          <w:rFonts w:ascii="Times New Roman" w:eastAsia="方正小标宋简体" w:hAnsi="Times New Roman"/>
          <w:kern w:val="0"/>
          <w:szCs w:val="32"/>
        </w:rPr>
        <w:t>》课程教学大纲</w:t>
      </w:r>
    </w:p>
    <w:p w:rsidR="00CF1222" w:rsidRDefault="00CF1222" w:rsidP="00CF1222">
      <w:pPr>
        <w:snapToGrid w:val="0"/>
        <w:spacing w:line="360" w:lineRule="auto"/>
        <w:rPr>
          <w:rFonts w:ascii="Times New Roman" w:eastAsia="黑体" w:hAnsi="Times New Roman"/>
          <w:b/>
          <w:sz w:val="28"/>
          <w:szCs w:val="28"/>
        </w:rPr>
      </w:pPr>
      <w:r>
        <w:rPr>
          <w:rFonts w:ascii="Times New Roman" w:eastAsia="黑体" w:hAnsi="Times New Roman"/>
          <w:b/>
          <w:sz w:val="28"/>
          <w:szCs w:val="28"/>
        </w:rPr>
        <w:t>一、课程信息</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英文名称：</w:t>
      </w:r>
      <w:r>
        <w:rPr>
          <w:rFonts w:ascii="Times New Roman" w:eastAsia="华文中宋" w:hAnsi="Times New Roman"/>
          <w:sz w:val="28"/>
          <w:szCs w:val="28"/>
        </w:rPr>
        <w:t>Structural Concepts and Systems</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课程编码：</w:t>
      </w:r>
      <w:r>
        <w:rPr>
          <w:rFonts w:ascii="Times New Roman" w:eastAsia="宋体" w:hAnsi="Times New Roman"/>
          <w:color w:val="000000"/>
          <w:kern w:val="0"/>
          <w:sz w:val="28"/>
          <w:szCs w:val="28"/>
        </w:rPr>
        <w:t>Z2801070</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授课语言：中文</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授课方式：线下</w:t>
      </w:r>
    </w:p>
    <w:p w:rsidR="00CF1222" w:rsidRDefault="00CF1222" w:rsidP="00CF1222">
      <w:pPr>
        <w:spacing w:line="560" w:lineRule="exact"/>
        <w:ind w:firstLineChars="200" w:firstLine="560"/>
        <w:rPr>
          <w:rFonts w:ascii="Times New Roman" w:hAnsi="Times New Roman"/>
          <w:bCs/>
          <w:sz w:val="28"/>
          <w:szCs w:val="28"/>
        </w:rPr>
      </w:pPr>
      <w:r w:rsidRPr="00BB6F6A">
        <w:rPr>
          <w:rFonts w:ascii="Times New Roman" w:hAnsi="Times New Roman"/>
          <w:bCs/>
          <w:sz w:val="28"/>
          <w:szCs w:val="28"/>
        </w:rPr>
        <w:t>课程类别：</w:t>
      </w:r>
      <w:r w:rsidRPr="00BB6F6A">
        <w:rPr>
          <w:rFonts w:ascii="仿宋_GB2312" w:hAnsi="仿宋_GB2312" w:cs="仿宋_GB2312" w:hint="eastAsia"/>
          <w:bCs/>
          <w:sz w:val="28"/>
          <w:szCs w:val="28"/>
        </w:rPr>
        <w:t>专业发展</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课程性质：</w:t>
      </w:r>
      <w:r>
        <w:rPr>
          <w:rFonts w:ascii="仿宋_GB2312" w:hAnsi="仿宋_GB2312" w:cs="仿宋_GB2312" w:hint="eastAsia"/>
          <w:bCs/>
          <w:sz w:val="28"/>
          <w:szCs w:val="28"/>
        </w:rPr>
        <w:t>选修</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分：</w:t>
      </w:r>
      <w:r>
        <w:rPr>
          <w:rFonts w:ascii="Times New Roman" w:hAnsi="Times New Roman" w:hint="eastAsia"/>
          <w:bCs/>
          <w:sz w:val="28"/>
          <w:szCs w:val="28"/>
        </w:rPr>
        <w:t>1</w:t>
      </w:r>
      <w:r>
        <w:rPr>
          <w:rFonts w:ascii="Times New Roman" w:hAnsi="Times New Roman"/>
          <w:bCs/>
          <w:sz w:val="28"/>
          <w:szCs w:val="28"/>
        </w:rPr>
        <w:t>.5</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时：</w:t>
      </w:r>
      <w:r>
        <w:rPr>
          <w:rFonts w:ascii="Times New Roman" w:hAnsi="Times New Roman" w:hint="eastAsia"/>
          <w:bCs/>
          <w:sz w:val="28"/>
          <w:szCs w:val="28"/>
        </w:rPr>
        <w:t>24</w:t>
      </w:r>
      <w:r>
        <w:rPr>
          <w:rFonts w:ascii="Times New Roman" w:hAnsi="Times New Roman"/>
          <w:bCs/>
          <w:sz w:val="28"/>
          <w:szCs w:val="28"/>
        </w:rPr>
        <w:t>学时</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bCs/>
          <w:sz w:val="28"/>
          <w:szCs w:val="28"/>
        </w:rPr>
        <w:t>适用对象：</w:t>
      </w:r>
      <w:r>
        <w:rPr>
          <w:rFonts w:ascii="仿宋_GB2312" w:hAnsi="仿宋_GB2312" w:cs="仿宋_GB2312" w:hint="eastAsia"/>
          <w:bCs/>
          <w:sz w:val="28"/>
          <w:szCs w:val="28"/>
        </w:rPr>
        <w:t>土木工程专业</w:t>
      </w:r>
    </w:p>
    <w:p w:rsidR="00CF1222" w:rsidRDefault="00CF1222" w:rsidP="00CF1222">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先修课程：结构力学，混凝土与砌体结构，钢结构设计</w:t>
      </w:r>
    </w:p>
    <w:p w:rsidR="00CF1222" w:rsidRDefault="00CF1222" w:rsidP="00CF1222">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开课院系：建筑工程学院建工系</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结构概念与体系》是土木工程专业学生的专业发展选修课，阐述了结构方案设计中应掌握的基本思路、基本做法、常用的结构概念及设计原则，介绍了工程中常用的各种结构体系及概念设计案例，主要包括建筑结构概念设计概述、托罗哈结构概念设计作品案例、高层建筑结构概念设计案例以及其他结构体系概念设计案例等内容。</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本课程涉及诸多力学和结构知识，课堂信息量大，采用多媒体课件教学。因课时较少，教材部分章节指导学生自学。</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lastRenderedPageBreak/>
        <w:t>掌握概念设计的方法和要领</w:t>
      </w:r>
      <w:r>
        <w:rPr>
          <w:rFonts w:ascii="仿宋_GB2312" w:hAnsi="仿宋_GB2312" w:cs="仿宋_GB2312" w:hint="eastAsia"/>
          <w:sz w:val="28"/>
          <w:szCs w:val="28"/>
        </w:rPr>
        <w:t>，</w:t>
      </w:r>
      <w:r>
        <w:rPr>
          <w:rFonts w:ascii="仿宋_GB2312" w:hAnsi="仿宋_GB2312" w:cs="仿宋_GB2312"/>
          <w:sz w:val="28"/>
          <w:szCs w:val="28"/>
        </w:rPr>
        <w:t>提高对不同结构体系的总体方案进行规划与设计的能力</w:t>
      </w:r>
      <w:r>
        <w:rPr>
          <w:rFonts w:ascii="仿宋_GB2312" w:hAnsi="仿宋_GB2312" w:cs="仿宋_GB2312" w:hint="eastAsia"/>
          <w:sz w:val="28"/>
          <w:szCs w:val="28"/>
        </w:rPr>
        <w:t>。</w:t>
      </w:r>
    </w:p>
    <w:p w:rsidR="00CF1222" w:rsidRDefault="00CF1222"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CF1222" w:rsidRDefault="00CF1222" w:rsidP="00CF1222">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bCs/>
          <w:sz w:val="28"/>
          <w:szCs w:val="28"/>
        </w:rPr>
        <w:t>（</w:t>
      </w:r>
      <w:r>
        <w:rPr>
          <w:rFonts w:ascii="仿宋_GB2312" w:hAnsi="仿宋_GB2312" w:cs="仿宋_GB2312" w:hint="eastAsia"/>
          <w:bCs/>
          <w:sz w:val="28"/>
          <w:szCs w:val="28"/>
        </w:rPr>
        <w:t>1</w:t>
      </w:r>
      <w:r>
        <w:rPr>
          <w:rFonts w:ascii="仿宋_GB2312" w:hAnsi="仿宋_GB2312" w:cs="仿宋_GB2312"/>
          <w:bCs/>
          <w:sz w:val="28"/>
          <w:szCs w:val="28"/>
        </w:rPr>
        <w:t>）学习和掌握建筑结构概念设计的基本原则和方法，对学生进行结构设计概念和原则方面的训练；</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bCs/>
          <w:sz w:val="28"/>
          <w:szCs w:val="28"/>
        </w:rPr>
        <w:t>（</w:t>
      </w:r>
      <w:r>
        <w:rPr>
          <w:rFonts w:ascii="仿宋_GB2312" w:hAnsi="仿宋_GB2312" w:cs="仿宋_GB2312" w:hint="eastAsia"/>
          <w:bCs/>
          <w:sz w:val="28"/>
          <w:szCs w:val="28"/>
        </w:rPr>
        <w:t>2</w:t>
      </w:r>
      <w:r>
        <w:rPr>
          <w:rFonts w:ascii="仿宋_GB2312" w:hAnsi="仿宋_GB2312" w:cs="仿宋_GB2312"/>
          <w:bCs/>
          <w:sz w:val="28"/>
          <w:szCs w:val="28"/>
        </w:rPr>
        <w:t>）理解托罗哈等国际著名结构大师的概念设计作品案例，领会如何将结构概念设计的原则和方法应用于实际工程；</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bCs/>
          <w:sz w:val="28"/>
          <w:szCs w:val="28"/>
        </w:rPr>
        <w:t>（</w:t>
      </w:r>
      <w:r>
        <w:rPr>
          <w:rFonts w:ascii="仿宋_GB2312" w:hAnsi="仿宋_GB2312" w:cs="仿宋_GB2312" w:hint="eastAsia"/>
          <w:bCs/>
          <w:sz w:val="28"/>
          <w:szCs w:val="28"/>
        </w:rPr>
        <w:t>3</w:t>
      </w:r>
      <w:r>
        <w:rPr>
          <w:rFonts w:ascii="仿宋_GB2312" w:hAnsi="仿宋_GB2312" w:cs="仿宋_GB2312"/>
          <w:bCs/>
          <w:sz w:val="28"/>
          <w:szCs w:val="28"/>
        </w:rPr>
        <w:t>）掌握工程中常用结构体系（如刚架、框架、拱、悬索等）的概念设计方法及要点；提高对结构方案的设计、理解和评判能力，能够较合理地进行结构选型及结构布置。</w:t>
      </w:r>
    </w:p>
    <w:p w:rsidR="00CF1222" w:rsidRDefault="00CF1222" w:rsidP="00CF1222">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4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989"/>
        <w:gridCol w:w="1112"/>
        <w:gridCol w:w="1112"/>
        <w:gridCol w:w="1091"/>
      </w:tblGrid>
      <w:tr w:rsidR="00CF1222" w:rsidTr="00CF1222">
        <w:trPr>
          <w:trHeight w:val="371"/>
          <w:jc w:val="center"/>
        </w:trPr>
        <w:tc>
          <w:tcPr>
            <w:tcW w:w="4745" w:type="dxa"/>
            <w:gridSpan w:val="2"/>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kern w:val="0"/>
                <w:sz w:val="24"/>
                <w:szCs w:val="24"/>
              </w:rPr>
              <w:t>毕业要求及其指标点</w:t>
            </w:r>
          </w:p>
        </w:tc>
        <w:tc>
          <w:tcPr>
            <w:tcW w:w="3529" w:type="dxa"/>
            <w:gridSpan w:val="3"/>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kern w:val="0"/>
                <w:sz w:val="24"/>
                <w:szCs w:val="24"/>
              </w:rPr>
              <w:t>课程目标</w:t>
            </w:r>
          </w:p>
        </w:tc>
      </w:tr>
      <w:tr w:rsidR="00CF1222" w:rsidTr="00CF1222">
        <w:trPr>
          <w:trHeight w:val="491"/>
          <w:jc w:val="center"/>
        </w:trPr>
        <w:tc>
          <w:tcPr>
            <w:tcW w:w="4745" w:type="dxa"/>
            <w:gridSpan w:val="2"/>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kern w:val="0"/>
                <w:sz w:val="24"/>
                <w:szCs w:val="24"/>
              </w:rPr>
              <w:t>（</w:t>
            </w:r>
            <w:r>
              <w:rPr>
                <w:kern w:val="0"/>
                <w:sz w:val="24"/>
                <w:szCs w:val="24"/>
              </w:rPr>
              <w:t>1</w:t>
            </w:r>
            <w:r>
              <w:rPr>
                <w:kern w:val="0"/>
                <w:sz w:val="24"/>
                <w:szCs w:val="24"/>
              </w:rPr>
              <w:t>）</w:t>
            </w:r>
          </w:p>
        </w:tc>
        <w:tc>
          <w:tcPr>
            <w:tcW w:w="1185"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kern w:val="0"/>
                <w:sz w:val="24"/>
                <w:szCs w:val="24"/>
              </w:rPr>
              <w:t>（</w:t>
            </w:r>
            <w:r>
              <w:rPr>
                <w:kern w:val="0"/>
                <w:sz w:val="24"/>
                <w:szCs w:val="24"/>
              </w:rPr>
              <w:t>2</w:t>
            </w:r>
            <w:r>
              <w:rPr>
                <w:kern w:val="0"/>
                <w:sz w:val="24"/>
                <w:szCs w:val="24"/>
              </w:rPr>
              <w:t>）</w:t>
            </w:r>
          </w:p>
        </w:tc>
        <w:tc>
          <w:tcPr>
            <w:tcW w:w="11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kern w:val="0"/>
                <w:sz w:val="24"/>
                <w:szCs w:val="24"/>
              </w:rPr>
              <w:t>（</w:t>
            </w:r>
            <w:r>
              <w:rPr>
                <w:kern w:val="0"/>
                <w:sz w:val="24"/>
                <w:szCs w:val="24"/>
              </w:rPr>
              <w:t>3</w:t>
            </w:r>
            <w:r>
              <w:rPr>
                <w:kern w:val="0"/>
                <w:sz w:val="24"/>
                <w:szCs w:val="24"/>
              </w:rPr>
              <w:t>）</w:t>
            </w:r>
          </w:p>
        </w:tc>
      </w:tr>
      <w:tr w:rsidR="00CF1222" w:rsidTr="00CF1222">
        <w:trPr>
          <w:trHeight w:val="545"/>
          <w:jc w:val="center"/>
        </w:trPr>
        <w:tc>
          <w:tcPr>
            <w:tcW w:w="2480"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sz w:val="24"/>
                <w:szCs w:val="24"/>
              </w:rPr>
              <w:t xml:space="preserve">1. </w:t>
            </w:r>
            <w:r>
              <w:rPr>
                <w:sz w:val="24"/>
                <w:szCs w:val="24"/>
              </w:rPr>
              <w:t>工程知识应用能力</w:t>
            </w:r>
          </w:p>
        </w:tc>
        <w:tc>
          <w:tcPr>
            <w:tcW w:w="2265"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sz w:val="24"/>
                <w:szCs w:val="24"/>
              </w:rPr>
              <w:t>1</w:t>
            </w:r>
            <w:r>
              <w:rPr>
                <w:rFonts w:hint="eastAsia"/>
                <w:sz w:val="24"/>
                <w:szCs w:val="24"/>
              </w:rPr>
              <w:t>.3</w:t>
            </w:r>
            <w:r>
              <w:rPr>
                <w:sz w:val="24"/>
                <w:szCs w:val="24"/>
              </w:rPr>
              <w:t>：工程建造能力</w:t>
            </w:r>
          </w:p>
        </w:tc>
        <w:tc>
          <w:tcPr>
            <w:tcW w:w="1185"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kern w:val="0"/>
                <w:sz w:val="24"/>
                <w:szCs w:val="24"/>
              </w:rPr>
              <w:t>√</w:t>
            </w:r>
          </w:p>
        </w:tc>
        <w:tc>
          <w:tcPr>
            <w:tcW w:w="1185"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kern w:val="0"/>
                <w:sz w:val="24"/>
                <w:szCs w:val="24"/>
              </w:rPr>
              <w:t>√</w:t>
            </w:r>
          </w:p>
        </w:tc>
        <w:tc>
          <w:tcPr>
            <w:tcW w:w="11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p>
        </w:tc>
      </w:tr>
      <w:tr w:rsidR="00CF1222" w:rsidTr="00CF1222">
        <w:trPr>
          <w:trHeight w:val="276"/>
          <w:jc w:val="center"/>
        </w:trPr>
        <w:tc>
          <w:tcPr>
            <w:tcW w:w="2480"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sz w:val="24"/>
                <w:szCs w:val="24"/>
              </w:rPr>
            </w:pPr>
            <w:r>
              <w:rPr>
                <w:rFonts w:hint="eastAsia"/>
                <w:sz w:val="24"/>
                <w:szCs w:val="24"/>
              </w:rPr>
              <w:t>3</w:t>
            </w:r>
            <w:r>
              <w:rPr>
                <w:sz w:val="24"/>
                <w:szCs w:val="24"/>
              </w:rPr>
              <w:t xml:space="preserve">. </w:t>
            </w:r>
            <w:r>
              <w:rPr>
                <w:rFonts w:hint="eastAsia"/>
                <w:sz w:val="24"/>
                <w:szCs w:val="24"/>
              </w:rPr>
              <w:t>设计</w:t>
            </w:r>
            <w:r>
              <w:rPr>
                <w:rFonts w:hint="eastAsia"/>
                <w:sz w:val="24"/>
                <w:szCs w:val="24"/>
              </w:rPr>
              <w:t>/</w:t>
            </w:r>
            <w:r>
              <w:rPr>
                <w:rFonts w:hint="eastAsia"/>
                <w:sz w:val="24"/>
                <w:szCs w:val="24"/>
              </w:rPr>
              <w:t>开发能力</w:t>
            </w:r>
          </w:p>
        </w:tc>
        <w:tc>
          <w:tcPr>
            <w:tcW w:w="2265"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sz w:val="24"/>
                <w:szCs w:val="24"/>
              </w:rPr>
            </w:pPr>
            <w:r>
              <w:rPr>
                <w:rFonts w:hint="eastAsia"/>
                <w:sz w:val="24"/>
                <w:szCs w:val="24"/>
              </w:rPr>
              <w:t>3.</w:t>
            </w:r>
            <w:r>
              <w:rPr>
                <w:sz w:val="24"/>
                <w:szCs w:val="24"/>
              </w:rPr>
              <w:t>1</w:t>
            </w:r>
            <w:r>
              <w:rPr>
                <w:sz w:val="24"/>
                <w:szCs w:val="24"/>
              </w:rPr>
              <w:t>：</w:t>
            </w:r>
            <w:r>
              <w:rPr>
                <w:rFonts w:hint="eastAsia"/>
                <w:sz w:val="24"/>
                <w:szCs w:val="24"/>
              </w:rPr>
              <w:t>工程环境认知能力</w:t>
            </w:r>
          </w:p>
        </w:tc>
        <w:tc>
          <w:tcPr>
            <w:tcW w:w="1185"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kern w:val="0"/>
                <w:sz w:val="24"/>
                <w:szCs w:val="24"/>
              </w:rPr>
              <w:t>√</w:t>
            </w:r>
          </w:p>
        </w:tc>
        <w:tc>
          <w:tcPr>
            <w:tcW w:w="11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kern w:val="0"/>
                <w:sz w:val="24"/>
                <w:szCs w:val="24"/>
              </w:rPr>
              <w:t>√</w:t>
            </w:r>
          </w:p>
        </w:tc>
      </w:tr>
      <w:tr w:rsidR="00CF1222" w:rsidTr="00CF1222">
        <w:trPr>
          <w:trHeight w:val="426"/>
          <w:jc w:val="center"/>
        </w:trPr>
        <w:tc>
          <w:tcPr>
            <w:tcW w:w="2480"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rFonts w:hint="eastAsia"/>
                <w:kern w:val="0"/>
                <w:sz w:val="24"/>
                <w:szCs w:val="24"/>
              </w:rPr>
              <w:t xml:space="preserve">12. </w:t>
            </w:r>
            <w:r>
              <w:rPr>
                <w:rFonts w:hint="eastAsia"/>
                <w:kern w:val="0"/>
                <w:sz w:val="24"/>
                <w:szCs w:val="24"/>
              </w:rPr>
              <w:t>终身学习</w:t>
            </w:r>
          </w:p>
        </w:tc>
        <w:tc>
          <w:tcPr>
            <w:tcW w:w="2265"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sz w:val="24"/>
                <w:szCs w:val="24"/>
              </w:rPr>
            </w:pPr>
            <w:r>
              <w:rPr>
                <w:rFonts w:hint="eastAsia"/>
                <w:sz w:val="24"/>
                <w:szCs w:val="24"/>
              </w:rPr>
              <w:t>12.1</w:t>
            </w:r>
            <w:r>
              <w:rPr>
                <w:rFonts w:hint="eastAsia"/>
                <w:sz w:val="24"/>
                <w:szCs w:val="24"/>
              </w:rPr>
              <w:t>：学习能力</w:t>
            </w:r>
          </w:p>
        </w:tc>
        <w:tc>
          <w:tcPr>
            <w:tcW w:w="1185"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kern w:val="0"/>
                <w:sz w:val="24"/>
                <w:szCs w:val="24"/>
              </w:rPr>
              <w:t>√</w:t>
            </w:r>
          </w:p>
        </w:tc>
        <w:tc>
          <w:tcPr>
            <w:tcW w:w="1185"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kern w:val="0"/>
                <w:sz w:val="24"/>
                <w:szCs w:val="24"/>
              </w:rPr>
              <w:t>√</w:t>
            </w:r>
          </w:p>
        </w:tc>
        <w:tc>
          <w:tcPr>
            <w:tcW w:w="11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0" w:lineRule="atLeast"/>
              <w:jc w:val="center"/>
              <w:rPr>
                <w:kern w:val="0"/>
                <w:sz w:val="24"/>
                <w:szCs w:val="24"/>
              </w:rPr>
            </w:pPr>
            <w:r>
              <w:rPr>
                <w:kern w:val="0"/>
                <w:sz w:val="24"/>
                <w:szCs w:val="24"/>
              </w:rPr>
              <w:t>√</w:t>
            </w:r>
          </w:p>
        </w:tc>
      </w:tr>
    </w:tbl>
    <w:p w:rsidR="00CF1222" w:rsidRDefault="00CF1222" w:rsidP="00CF1222">
      <w:pPr>
        <w:spacing w:line="360" w:lineRule="auto"/>
        <w:ind w:firstLineChars="200" w:firstLine="422"/>
        <w:jc w:val="left"/>
        <w:rPr>
          <w:rFonts w:ascii="宋体" w:eastAsia="宋体" w:hAnsi="宋体"/>
          <w:b/>
          <w:color w:val="FF0000"/>
          <w:sz w:val="21"/>
          <w:szCs w:val="21"/>
        </w:rPr>
      </w:pP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F1222" w:rsidRDefault="00CF1222" w:rsidP="00CF1222">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重点是理解和把握工程设计中所需的主要结构概念。难点是如何正确运用概念设计的原则和方法进行结构总体方案的规划与设计。</w:t>
      </w: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930"/>
        <w:gridCol w:w="3217"/>
      </w:tblGrid>
      <w:tr w:rsidR="00CF1222" w:rsidTr="00CF1222">
        <w:trPr>
          <w:trHeight w:val="454"/>
          <w:jc w:val="center"/>
        </w:trPr>
        <w:tc>
          <w:tcPr>
            <w:tcW w:w="343" w:type="pct"/>
            <w:vAlign w:val="center"/>
          </w:tcPr>
          <w:p w:rsidR="00CF1222" w:rsidRDefault="00CF1222" w:rsidP="00CF1222">
            <w:pPr>
              <w:jc w:val="center"/>
              <w:rPr>
                <w:rFonts w:ascii="Times New Roman" w:hAnsi="Times New Roman"/>
                <w:b/>
                <w:kern w:val="0"/>
                <w:sz w:val="24"/>
                <w:szCs w:val="24"/>
              </w:rPr>
            </w:pPr>
            <w:r>
              <w:rPr>
                <w:rFonts w:ascii="Times New Roman" w:hAnsi="Times New Roman" w:hint="eastAsia"/>
                <w:b/>
                <w:kern w:val="0"/>
                <w:sz w:val="24"/>
                <w:szCs w:val="24"/>
              </w:rPr>
              <w:t>序号</w:t>
            </w:r>
          </w:p>
        </w:tc>
        <w:tc>
          <w:tcPr>
            <w:tcW w:w="1555" w:type="pct"/>
            <w:vAlign w:val="center"/>
          </w:tcPr>
          <w:p w:rsidR="00CF1222" w:rsidRDefault="00CF1222" w:rsidP="00CF1222">
            <w:pPr>
              <w:jc w:val="center"/>
              <w:rPr>
                <w:rFonts w:ascii="Times New Roman" w:hAnsi="Times New Roman"/>
                <w:b/>
                <w:kern w:val="0"/>
                <w:sz w:val="24"/>
                <w:szCs w:val="24"/>
              </w:rPr>
            </w:pPr>
            <w:r>
              <w:rPr>
                <w:rFonts w:ascii="Times New Roman" w:hAnsi="Times New Roman" w:hint="eastAsia"/>
                <w:b/>
                <w:kern w:val="0"/>
                <w:sz w:val="24"/>
                <w:szCs w:val="24"/>
              </w:rPr>
              <w:t>课程思政教学目标</w:t>
            </w:r>
          </w:p>
        </w:tc>
        <w:tc>
          <w:tcPr>
            <w:tcW w:w="1163" w:type="pct"/>
            <w:vAlign w:val="center"/>
          </w:tcPr>
          <w:p w:rsidR="00CF1222" w:rsidRDefault="00CF1222" w:rsidP="00CF1222">
            <w:pPr>
              <w:jc w:val="center"/>
              <w:rPr>
                <w:rFonts w:ascii="Times New Roman" w:hAnsi="Times New Roman"/>
                <w:b/>
                <w:kern w:val="0"/>
                <w:sz w:val="24"/>
                <w:szCs w:val="24"/>
              </w:rPr>
            </w:pPr>
            <w:r>
              <w:rPr>
                <w:rFonts w:ascii="Times New Roman" w:hAnsi="Times New Roman" w:hint="eastAsia"/>
                <w:b/>
                <w:kern w:val="0"/>
                <w:sz w:val="24"/>
                <w:szCs w:val="24"/>
              </w:rPr>
              <w:t>授课章节</w:t>
            </w:r>
          </w:p>
        </w:tc>
        <w:tc>
          <w:tcPr>
            <w:tcW w:w="1939" w:type="pct"/>
            <w:vAlign w:val="center"/>
          </w:tcPr>
          <w:p w:rsidR="00CF1222" w:rsidRDefault="00CF1222" w:rsidP="00CF1222">
            <w:pPr>
              <w:jc w:val="center"/>
              <w:rPr>
                <w:rFonts w:ascii="Times New Roman" w:hAnsi="Times New Roman"/>
                <w:b/>
                <w:kern w:val="0"/>
                <w:sz w:val="24"/>
                <w:szCs w:val="24"/>
              </w:rPr>
            </w:pPr>
            <w:r>
              <w:rPr>
                <w:rFonts w:ascii="Times New Roman" w:hAnsi="Times New Roman" w:hint="eastAsia"/>
                <w:b/>
                <w:kern w:val="0"/>
                <w:sz w:val="24"/>
                <w:szCs w:val="24"/>
              </w:rPr>
              <w:t>课程思政融入点</w:t>
            </w:r>
          </w:p>
        </w:tc>
      </w:tr>
      <w:tr w:rsidR="00CF1222" w:rsidTr="00CF1222">
        <w:trPr>
          <w:trHeight w:val="675"/>
          <w:jc w:val="center"/>
        </w:trPr>
        <w:tc>
          <w:tcPr>
            <w:tcW w:w="343" w:type="pct"/>
            <w:vMerge w:val="restart"/>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lastRenderedPageBreak/>
              <w:t>1</w:t>
            </w:r>
          </w:p>
        </w:tc>
        <w:tc>
          <w:tcPr>
            <w:tcW w:w="1555" w:type="pct"/>
            <w:vMerge w:val="restart"/>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弘扬社会主义核心价值观，厚植爱国主义情怀，增强学生的文化自信，培养学生的家国情怀</w:t>
            </w:r>
          </w:p>
        </w:tc>
        <w:tc>
          <w:tcPr>
            <w:tcW w:w="1163" w:type="pct"/>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3.3知名高层建筑结构设计案例</w:t>
            </w:r>
          </w:p>
        </w:tc>
        <w:tc>
          <w:tcPr>
            <w:tcW w:w="1939" w:type="pct"/>
            <w:vAlign w:val="center"/>
          </w:tcPr>
          <w:p w:rsidR="00CF1222" w:rsidRDefault="00CF1222" w:rsidP="00CF1222">
            <w:pPr>
              <w:rPr>
                <w:rFonts w:ascii="仿宋" w:eastAsia="仿宋" w:hAnsi="仿宋" w:cs="仿宋"/>
                <w:kern w:val="0"/>
                <w:sz w:val="24"/>
                <w:szCs w:val="24"/>
              </w:rPr>
            </w:pPr>
            <w:r>
              <w:rPr>
                <w:rFonts w:ascii="仿宋" w:eastAsia="仿宋" w:hAnsi="仿宋" w:cs="仿宋" w:hint="eastAsia"/>
                <w:kern w:val="0"/>
                <w:sz w:val="24"/>
                <w:szCs w:val="24"/>
              </w:rPr>
              <w:t>案例分析：世界知名华裔设计大师生平，以及中国传统文化在结构体系创新中的运用——领略中国智慧，厚植爱国情怀</w:t>
            </w:r>
          </w:p>
        </w:tc>
      </w:tr>
      <w:tr w:rsidR="00CF1222" w:rsidTr="00CF1222">
        <w:trPr>
          <w:trHeight w:val="486"/>
          <w:jc w:val="center"/>
        </w:trPr>
        <w:tc>
          <w:tcPr>
            <w:tcW w:w="343" w:type="pct"/>
            <w:vMerge/>
            <w:vAlign w:val="center"/>
          </w:tcPr>
          <w:p w:rsidR="00CF1222" w:rsidRDefault="00CF1222" w:rsidP="00CF1222">
            <w:pPr>
              <w:jc w:val="center"/>
              <w:rPr>
                <w:rFonts w:ascii="Times New Roman" w:hAnsi="Times New Roman"/>
                <w:kern w:val="0"/>
                <w:sz w:val="24"/>
                <w:szCs w:val="24"/>
              </w:rPr>
            </w:pPr>
          </w:p>
        </w:tc>
        <w:tc>
          <w:tcPr>
            <w:tcW w:w="1555" w:type="pct"/>
            <w:vMerge/>
            <w:vAlign w:val="center"/>
          </w:tcPr>
          <w:p w:rsidR="00CF1222" w:rsidRDefault="00CF1222" w:rsidP="00CF1222">
            <w:pPr>
              <w:jc w:val="center"/>
              <w:rPr>
                <w:rFonts w:ascii="仿宋" w:eastAsia="仿宋" w:hAnsi="仿宋" w:cs="仿宋"/>
                <w:kern w:val="0"/>
                <w:sz w:val="24"/>
                <w:szCs w:val="24"/>
              </w:rPr>
            </w:pPr>
          </w:p>
        </w:tc>
        <w:tc>
          <w:tcPr>
            <w:tcW w:w="1163" w:type="pct"/>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4.3拱结构</w:t>
            </w:r>
          </w:p>
        </w:tc>
        <w:tc>
          <w:tcPr>
            <w:tcW w:w="1939" w:type="pct"/>
            <w:vAlign w:val="center"/>
          </w:tcPr>
          <w:p w:rsidR="00CF1222" w:rsidRDefault="00CF1222" w:rsidP="00CF1222">
            <w:pPr>
              <w:rPr>
                <w:rFonts w:ascii="仿宋" w:eastAsia="仿宋" w:hAnsi="仿宋" w:cs="仿宋"/>
                <w:kern w:val="0"/>
                <w:sz w:val="24"/>
                <w:szCs w:val="24"/>
              </w:rPr>
            </w:pPr>
            <w:r>
              <w:rPr>
                <w:rFonts w:ascii="仿宋" w:eastAsia="仿宋" w:hAnsi="仿宋" w:cs="仿宋" w:hint="eastAsia"/>
                <w:kern w:val="0"/>
                <w:sz w:val="24"/>
                <w:szCs w:val="24"/>
              </w:rPr>
              <w:t>案例分析：古代劳动人民的的智慧</w:t>
            </w:r>
          </w:p>
        </w:tc>
      </w:tr>
      <w:tr w:rsidR="00CF1222" w:rsidTr="00CF1222">
        <w:trPr>
          <w:trHeight w:val="454"/>
          <w:jc w:val="center"/>
        </w:trPr>
        <w:tc>
          <w:tcPr>
            <w:tcW w:w="343" w:type="pct"/>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2</w:t>
            </w:r>
          </w:p>
        </w:tc>
        <w:tc>
          <w:tcPr>
            <w:tcW w:w="1555" w:type="pct"/>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培养学生求真务实、精益求精的精神，塑造学生踏实严谨、追求卓越的优秀品质</w:t>
            </w:r>
          </w:p>
        </w:tc>
        <w:tc>
          <w:tcPr>
            <w:tcW w:w="1163" w:type="pct"/>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第2章</w:t>
            </w:r>
          </w:p>
        </w:tc>
        <w:tc>
          <w:tcPr>
            <w:tcW w:w="1939" w:type="pct"/>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案例分析：结构大师对结构的理解和感</w:t>
            </w:r>
          </w:p>
          <w:p w:rsidR="00CF1222" w:rsidRDefault="00CF1222" w:rsidP="00CF1222">
            <w:pPr>
              <w:rPr>
                <w:rFonts w:ascii="仿宋" w:eastAsia="仿宋" w:hAnsi="仿宋" w:cs="仿宋"/>
                <w:kern w:val="0"/>
                <w:sz w:val="24"/>
                <w:szCs w:val="24"/>
              </w:rPr>
            </w:pPr>
            <w:r>
              <w:rPr>
                <w:rFonts w:ascii="仿宋" w:eastAsia="仿宋" w:hAnsi="仿宋" w:cs="仿宋" w:hint="eastAsia"/>
                <w:kern w:val="0"/>
                <w:sz w:val="24"/>
                <w:szCs w:val="24"/>
              </w:rPr>
              <w:t>觉，对精确的追求。</w:t>
            </w:r>
          </w:p>
        </w:tc>
      </w:tr>
      <w:tr w:rsidR="00CF1222" w:rsidTr="00CF1222">
        <w:trPr>
          <w:trHeight w:val="916"/>
          <w:jc w:val="center"/>
        </w:trPr>
        <w:tc>
          <w:tcPr>
            <w:tcW w:w="343" w:type="pct"/>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3</w:t>
            </w:r>
          </w:p>
        </w:tc>
        <w:tc>
          <w:tcPr>
            <w:tcW w:w="1555" w:type="pct"/>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加强认识论和方法论教育，使学生建立起科学态度和科学素养，提高学生缘事析理、勇于质疑的探索与创新意识</w:t>
            </w:r>
          </w:p>
        </w:tc>
        <w:tc>
          <w:tcPr>
            <w:tcW w:w="1163" w:type="pct"/>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第2、3、4章</w:t>
            </w:r>
          </w:p>
        </w:tc>
        <w:tc>
          <w:tcPr>
            <w:tcW w:w="1939" w:type="pct"/>
            <w:vAlign w:val="center"/>
          </w:tcPr>
          <w:p w:rsidR="00CF1222" w:rsidRDefault="00CF1222" w:rsidP="00CF1222">
            <w:pPr>
              <w:rPr>
                <w:rFonts w:ascii="仿宋" w:eastAsia="仿宋" w:hAnsi="仿宋" w:cs="仿宋"/>
                <w:kern w:val="0"/>
                <w:sz w:val="24"/>
                <w:szCs w:val="24"/>
              </w:rPr>
            </w:pPr>
            <w:r>
              <w:rPr>
                <w:rFonts w:ascii="仿宋" w:eastAsia="仿宋" w:hAnsi="仿宋" w:cs="仿宋" w:hint="eastAsia"/>
                <w:kern w:val="0"/>
                <w:sz w:val="24"/>
                <w:szCs w:val="24"/>
              </w:rPr>
              <w:t>案例分析：各种结构的产生和发展</w:t>
            </w:r>
          </w:p>
        </w:tc>
      </w:tr>
    </w:tbl>
    <w:p w:rsidR="00CF1222" w:rsidRDefault="00CF1222" w:rsidP="00CF1222">
      <w:pPr>
        <w:spacing w:line="360" w:lineRule="auto"/>
        <w:ind w:firstLineChars="200" w:firstLine="422"/>
        <w:jc w:val="left"/>
        <w:rPr>
          <w:rFonts w:ascii="宋体" w:eastAsia="宋体" w:hAnsi="宋体"/>
          <w:b/>
          <w:color w:val="FF0000"/>
          <w:sz w:val="21"/>
          <w:szCs w:val="21"/>
        </w:rPr>
      </w:pP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256"/>
        <w:gridCol w:w="735"/>
        <w:gridCol w:w="2835"/>
        <w:gridCol w:w="3465"/>
      </w:tblGrid>
      <w:tr w:rsidR="00CF1222" w:rsidTr="00CF1222">
        <w:trPr>
          <w:cantSplit/>
          <w:trHeight w:val="801"/>
        </w:trPr>
        <w:tc>
          <w:tcPr>
            <w:tcW w:w="424" w:type="dxa"/>
            <w:vAlign w:val="center"/>
          </w:tcPr>
          <w:p w:rsidR="00CF1222" w:rsidRDefault="00CF1222" w:rsidP="00CF1222">
            <w:pPr>
              <w:jc w:val="center"/>
              <w:rPr>
                <w:rFonts w:ascii="Times New Roman" w:hAnsi="Times New Roman"/>
                <w:b/>
                <w:kern w:val="0"/>
                <w:sz w:val="24"/>
                <w:szCs w:val="24"/>
              </w:rPr>
            </w:pPr>
            <w:r>
              <w:rPr>
                <w:rFonts w:ascii="Times New Roman" w:hAnsi="Times New Roman" w:hint="eastAsia"/>
                <w:b/>
                <w:kern w:val="0"/>
                <w:sz w:val="24"/>
                <w:szCs w:val="24"/>
              </w:rPr>
              <w:t>序号</w:t>
            </w:r>
          </w:p>
        </w:tc>
        <w:tc>
          <w:tcPr>
            <w:tcW w:w="1256" w:type="dxa"/>
            <w:vAlign w:val="center"/>
          </w:tcPr>
          <w:p w:rsidR="00CF1222" w:rsidRDefault="00CF1222" w:rsidP="00CF1222">
            <w:pPr>
              <w:jc w:val="center"/>
              <w:rPr>
                <w:rFonts w:ascii="Times New Roman" w:hAnsi="Times New Roman"/>
                <w:b/>
                <w:kern w:val="0"/>
                <w:sz w:val="24"/>
                <w:szCs w:val="24"/>
              </w:rPr>
            </w:pPr>
            <w:r>
              <w:rPr>
                <w:rFonts w:ascii="Times New Roman" w:hAnsi="Times New Roman" w:hint="eastAsia"/>
                <w:b/>
                <w:kern w:val="0"/>
                <w:sz w:val="24"/>
                <w:szCs w:val="24"/>
              </w:rPr>
              <w:t>章</w:t>
            </w:r>
            <w:r>
              <w:rPr>
                <w:rFonts w:ascii="Times New Roman" w:hAnsi="Times New Roman" w:hint="eastAsia"/>
                <w:b/>
                <w:kern w:val="0"/>
                <w:sz w:val="24"/>
                <w:szCs w:val="24"/>
              </w:rPr>
              <w:t xml:space="preserve">  </w:t>
            </w:r>
            <w:r>
              <w:rPr>
                <w:rFonts w:ascii="Times New Roman" w:hAnsi="Times New Roman" w:hint="eastAsia"/>
                <w:b/>
                <w:kern w:val="0"/>
                <w:sz w:val="24"/>
                <w:szCs w:val="24"/>
              </w:rPr>
              <w:t>节</w:t>
            </w:r>
          </w:p>
        </w:tc>
        <w:tc>
          <w:tcPr>
            <w:tcW w:w="735" w:type="dxa"/>
            <w:vAlign w:val="center"/>
          </w:tcPr>
          <w:p w:rsidR="00CF1222" w:rsidRDefault="00CF1222" w:rsidP="00CF1222">
            <w:pPr>
              <w:jc w:val="center"/>
              <w:rPr>
                <w:rFonts w:ascii="Times New Roman" w:hAnsi="Times New Roman"/>
                <w:b/>
                <w:kern w:val="0"/>
                <w:sz w:val="24"/>
                <w:szCs w:val="24"/>
              </w:rPr>
            </w:pPr>
            <w:r>
              <w:rPr>
                <w:rFonts w:ascii="Times New Roman" w:hAnsi="Times New Roman" w:hint="eastAsia"/>
                <w:b/>
                <w:kern w:val="0"/>
                <w:sz w:val="24"/>
                <w:szCs w:val="24"/>
              </w:rPr>
              <w:t>参考</w:t>
            </w:r>
          </w:p>
          <w:p w:rsidR="00CF1222" w:rsidRDefault="00CF1222" w:rsidP="00CF1222">
            <w:pPr>
              <w:jc w:val="center"/>
              <w:rPr>
                <w:rFonts w:ascii="Times New Roman" w:hAnsi="Times New Roman"/>
                <w:b/>
                <w:kern w:val="0"/>
                <w:sz w:val="24"/>
                <w:szCs w:val="24"/>
              </w:rPr>
            </w:pPr>
            <w:r>
              <w:rPr>
                <w:rFonts w:ascii="Times New Roman" w:hAnsi="Times New Roman" w:hint="eastAsia"/>
                <w:b/>
                <w:kern w:val="0"/>
                <w:sz w:val="24"/>
                <w:szCs w:val="24"/>
              </w:rPr>
              <w:t>学时</w:t>
            </w:r>
          </w:p>
        </w:tc>
        <w:tc>
          <w:tcPr>
            <w:tcW w:w="2835" w:type="dxa"/>
            <w:vAlign w:val="center"/>
          </w:tcPr>
          <w:p w:rsidR="00CF1222" w:rsidRDefault="00CF1222" w:rsidP="00CF1222">
            <w:pPr>
              <w:jc w:val="center"/>
              <w:rPr>
                <w:rFonts w:ascii="Times New Roman" w:hAnsi="Times New Roman"/>
                <w:b/>
                <w:kern w:val="0"/>
                <w:sz w:val="24"/>
                <w:szCs w:val="24"/>
              </w:rPr>
            </w:pPr>
            <w:r>
              <w:rPr>
                <w:rFonts w:ascii="Times New Roman" w:hAnsi="Times New Roman" w:hint="eastAsia"/>
                <w:b/>
                <w:kern w:val="0"/>
                <w:sz w:val="24"/>
                <w:szCs w:val="24"/>
              </w:rPr>
              <w:t>教学内容</w:t>
            </w:r>
          </w:p>
        </w:tc>
        <w:tc>
          <w:tcPr>
            <w:tcW w:w="3465" w:type="dxa"/>
            <w:vAlign w:val="center"/>
          </w:tcPr>
          <w:p w:rsidR="00CF1222" w:rsidRDefault="00CF1222" w:rsidP="00CF1222">
            <w:pPr>
              <w:jc w:val="center"/>
              <w:rPr>
                <w:rFonts w:ascii="Times New Roman" w:hAnsi="Times New Roman"/>
                <w:b/>
                <w:kern w:val="0"/>
                <w:sz w:val="24"/>
                <w:szCs w:val="24"/>
              </w:rPr>
            </w:pPr>
            <w:r>
              <w:rPr>
                <w:rFonts w:ascii="Times New Roman" w:hAnsi="Times New Roman" w:hint="eastAsia"/>
                <w:b/>
                <w:kern w:val="0"/>
                <w:sz w:val="24"/>
                <w:szCs w:val="24"/>
              </w:rPr>
              <w:t>基本要求</w:t>
            </w:r>
          </w:p>
        </w:tc>
      </w:tr>
      <w:tr w:rsidR="00CF1222" w:rsidTr="00CF1222">
        <w:trPr>
          <w:trHeight w:val="1954"/>
        </w:trPr>
        <w:tc>
          <w:tcPr>
            <w:tcW w:w="424"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1</w:t>
            </w:r>
          </w:p>
        </w:tc>
        <w:tc>
          <w:tcPr>
            <w:tcW w:w="1256" w:type="dxa"/>
            <w:vAlign w:val="center"/>
          </w:tcPr>
          <w:p w:rsidR="00CF1222" w:rsidRDefault="00CF1222" w:rsidP="005F6318">
            <w:pPr>
              <w:numPr>
                <w:ilvl w:val="0"/>
                <w:numId w:val="4"/>
              </w:numPr>
              <w:jc w:val="center"/>
              <w:rPr>
                <w:rFonts w:ascii="仿宋" w:eastAsia="仿宋" w:hAnsi="仿宋" w:cs="仿宋"/>
                <w:kern w:val="0"/>
                <w:sz w:val="24"/>
                <w:szCs w:val="24"/>
              </w:rPr>
            </w:pPr>
          </w:p>
          <w:p w:rsidR="00CF1222" w:rsidRDefault="00CF1222" w:rsidP="00CF1222">
            <w:pPr>
              <w:rPr>
                <w:rFonts w:ascii="仿宋" w:eastAsia="仿宋" w:hAnsi="仿宋" w:cs="仿宋"/>
                <w:kern w:val="0"/>
                <w:sz w:val="24"/>
                <w:szCs w:val="24"/>
              </w:rPr>
            </w:pPr>
            <w:r>
              <w:rPr>
                <w:rFonts w:ascii="仿宋" w:eastAsia="仿宋" w:hAnsi="仿宋" w:cs="仿宋" w:hint="eastAsia"/>
                <w:kern w:val="0"/>
                <w:sz w:val="24"/>
                <w:szCs w:val="24"/>
              </w:rPr>
              <w:t>建筑结构概念设计概述</w:t>
            </w:r>
          </w:p>
        </w:tc>
        <w:tc>
          <w:tcPr>
            <w:tcW w:w="735"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8</w:t>
            </w:r>
          </w:p>
        </w:tc>
        <w:tc>
          <w:tcPr>
            <w:tcW w:w="2835" w:type="dxa"/>
            <w:vAlign w:val="center"/>
          </w:tcPr>
          <w:p w:rsidR="00CF1222" w:rsidRDefault="00CF1222" w:rsidP="00CF1222">
            <w:pPr>
              <w:jc w:val="left"/>
              <w:rPr>
                <w:rFonts w:ascii="Times New Roman" w:hAnsi="Times New Roman"/>
                <w:kern w:val="0"/>
                <w:sz w:val="24"/>
                <w:szCs w:val="24"/>
              </w:rPr>
            </w:pPr>
            <w:r>
              <w:rPr>
                <w:rFonts w:ascii="Times New Roman" w:hAnsi="Times New Roman"/>
                <w:kern w:val="0"/>
                <w:sz w:val="24"/>
                <w:szCs w:val="24"/>
              </w:rPr>
              <w:t>建筑结构的作用；结构概念设计；建筑结构的基本构件类型；建筑结构的几个基本概念；结构概念设计的原则。</w:t>
            </w:r>
          </w:p>
        </w:tc>
        <w:tc>
          <w:tcPr>
            <w:tcW w:w="3465" w:type="dxa"/>
            <w:vAlign w:val="center"/>
          </w:tcPr>
          <w:p w:rsidR="00CF1222" w:rsidRDefault="00CF1222" w:rsidP="00CF1222">
            <w:pPr>
              <w:pStyle w:val="a6"/>
              <w:jc w:val="left"/>
              <w:rPr>
                <w:rFonts w:ascii="Times New Roman" w:eastAsia="仿宋_GB2312" w:hAnsi="Times New Roman"/>
                <w:sz w:val="24"/>
                <w:szCs w:val="24"/>
              </w:rPr>
            </w:pPr>
            <w:r>
              <w:rPr>
                <w:rFonts w:ascii="Times New Roman" w:eastAsia="仿宋_GB2312" w:hAnsi="Times New Roman"/>
                <w:sz w:val="24"/>
                <w:szCs w:val="24"/>
              </w:rPr>
              <w:t>明确概念设计在工程建设中的重要地位和作用；熟悉建筑结构基本构件的类型、区别与联系；巩固和强化建筑结构设计的若干基本概念（如：结构的三个基本分体系、梁柱框架、预应力和预应力结构等）；掌握结构概念设计的主要原则。</w:t>
            </w:r>
          </w:p>
        </w:tc>
      </w:tr>
      <w:tr w:rsidR="00CF1222" w:rsidTr="00CF1222">
        <w:trPr>
          <w:trHeight w:val="1520"/>
        </w:trPr>
        <w:tc>
          <w:tcPr>
            <w:tcW w:w="424"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2</w:t>
            </w:r>
          </w:p>
        </w:tc>
        <w:tc>
          <w:tcPr>
            <w:tcW w:w="1256"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第2章</w:t>
            </w:r>
          </w:p>
          <w:p w:rsidR="00CF1222" w:rsidRDefault="00CF1222" w:rsidP="00CF1222">
            <w:pPr>
              <w:rPr>
                <w:rFonts w:ascii="仿宋" w:eastAsia="仿宋" w:hAnsi="仿宋" w:cs="仿宋"/>
                <w:kern w:val="0"/>
                <w:sz w:val="24"/>
                <w:szCs w:val="24"/>
              </w:rPr>
            </w:pPr>
            <w:r>
              <w:rPr>
                <w:rFonts w:ascii="仿宋" w:eastAsia="仿宋" w:hAnsi="仿宋" w:cs="仿宋" w:hint="eastAsia"/>
                <w:kern w:val="0"/>
                <w:sz w:val="24"/>
                <w:szCs w:val="24"/>
              </w:rPr>
              <w:t>托罗哈结构概念设计作品案例</w:t>
            </w:r>
          </w:p>
        </w:tc>
        <w:tc>
          <w:tcPr>
            <w:tcW w:w="735"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4</w:t>
            </w:r>
          </w:p>
        </w:tc>
        <w:tc>
          <w:tcPr>
            <w:tcW w:w="283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运动场旁有轨电车站；圆形手术教室；阿罗斯渡槽；马德里赛马场等。</w:t>
            </w:r>
          </w:p>
        </w:tc>
        <w:tc>
          <w:tcPr>
            <w:tcW w:w="3465" w:type="dxa"/>
            <w:vAlign w:val="center"/>
          </w:tcPr>
          <w:p w:rsidR="00CF1222" w:rsidRDefault="00CF1222" w:rsidP="00CF1222">
            <w:pPr>
              <w:rPr>
                <w:rFonts w:ascii="Times New Roman" w:hAnsi="Times New Roman"/>
                <w:kern w:val="0"/>
                <w:sz w:val="24"/>
                <w:szCs w:val="24"/>
              </w:rPr>
            </w:pPr>
            <w:r>
              <w:rPr>
                <w:rFonts w:ascii="Times New Roman" w:hAnsi="Times New Roman"/>
                <w:kern w:val="0"/>
                <w:sz w:val="24"/>
                <w:szCs w:val="24"/>
              </w:rPr>
              <w:t>理解结构大师托罗哈设计作品</w:t>
            </w:r>
            <w:r>
              <w:rPr>
                <w:rFonts w:ascii="Times New Roman" w:hAnsi="Times New Roman" w:hint="eastAsia"/>
                <w:kern w:val="0"/>
                <w:sz w:val="24"/>
                <w:szCs w:val="24"/>
              </w:rPr>
              <w:t>的</w:t>
            </w:r>
            <w:r>
              <w:rPr>
                <w:rFonts w:ascii="Times New Roman" w:hAnsi="Times New Roman"/>
                <w:kern w:val="0"/>
                <w:sz w:val="24"/>
                <w:szCs w:val="24"/>
              </w:rPr>
              <w:t>概念</w:t>
            </w:r>
            <w:r>
              <w:rPr>
                <w:rFonts w:ascii="Times New Roman" w:hAnsi="Times New Roman" w:hint="eastAsia"/>
                <w:kern w:val="0"/>
                <w:sz w:val="24"/>
                <w:szCs w:val="24"/>
              </w:rPr>
              <w:t>设计特点，从中</w:t>
            </w:r>
            <w:r>
              <w:rPr>
                <w:rFonts w:ascii="Times New Roman" w:hAnsi="Times New Roman"/>
                <w:kern w:val="0"/>
                <w:sz w:val="24"/>
                <w:szCs w:val="24"/>
              </w:rPr>
              <w:t>领会结构</w:t>
            </w:r>
            <w:r>
              <w:rPr>
                <w:rFonts w:ascii="Times New Roman" w:hAnsi="Times New Roman" w:hint="eastAsia"/>
                <w:kern w:val="0"/>
                <w:sz w:val="24"/>
                <w:szCs w:val="24"/>
              </w:rPr>
              <w:t>概念</w:t>
            </w:r>
            <w:r>
              <w:rPr>
                <w:rFonts w:ascii="Times New Roman" w:hAnsi="Times New Roman"/>
                <w:kern w:val="0"/>
                <w:sz w:val="24"/>
                <w:szCs w:val="24"/>
              </w:rPr>
              <w:t>设计</w:t>
            </w:r>
            <w:r>
              <w:rPr>
                <w:rFonts w:ascii="Times New Roman" w:hAnsi="Times New Roman" w:hint="eastAsia"/>
                <w:kern w:val="0"/>
                <w:sz w:val="24"/>
                <w:szCs w:val="24"/>
              </w:rPr>
              <w:t>的基本</w:t>
            </w:r>
            <w:r>
              <w:rPr>
                <w:rFonts w:ascii="Times New Roman" w:hAnsi="Times New Roman"/>
                <w:kern w:val="0"/>
                <w:sz w:val="24"/>
                <w:szCs w:val="24"/>
              </w:rPr>
              <w:t>方法</w:t>
            </w:r>
            <w:r>
              <w:rPr>
                <w:rFonts w:ascii="Times New Roman" w:hAnsi="Times New Roman" w:hint="eastAsia"/>
                <w:kern w:val="0"/>
                <w:sz w:val="24"/>
                <w:szCs w:val="24"/>
              </w:rPr>
              <w:t>和具体应用；培养对结构总体方案进行规划和设计的能力。</w:t>
            </w:r>
          </w:p>
        </w:tc>
      </w:tr>
      <w:tr w:rsidR="00CF1222" w:rsidTr="00CF1222">
        <w:trPr>
          <w:trHeight w:val="1551"/>
        </w:trPr>
        <w:tc>
          <w:tcPr>
            <w:tcW w:w="424"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3</w:t>
            </w:r>
          </w:p>
        </w:tc>
        <w:tc>
          <w:tcPr>
            <w:tcW w:w="1256"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第3章</w:t>
            </w:r>
          </w:p>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高层建筑结构概念和设计案例</w:t>
            </w:r>
          </w:p>
        </w:tc>
        <w:tc>
          <w:tcPr>
            <w:tcW w:w="735"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4</w:t>
            </w:r>
          </w:p>
        </w:tc>
        <w:tc>
          <w:tcPr>
            <w:tcW w:w="2835" w:type="dxa"/>
            <w:vAlign w:val="center"/>
          </w:tcPr>
          <w:p w:rsidR="00CF1222" w:rsidRDefault="00CF1222" w:rsidP="00CF1222">
            <w:pPr>
              <w:rPr>
                <w:rFonts w:ascii="Times New Roman" w:hAnsi="Times New Roman"/>
                <w:kern w:val="0"/>
                <w:sz w:val="24"/>
                <w:szCs w:val="24"/>
              </w:rPr>
            </w:pPr>
            <w:r>
              <w:rPr>
                <w:rFonts w:ascii="Times New Roman" w:hAnsi="Times New Roman"/>
                <w:kern w:val="0"/>
                <w:sz w:val="24"/>
                <w:szCs w:val="24"/>
              </w:rPr>
              <w:t>高层建筑</w:t>
            </w:r>
            <w:r>
              <w:rPr>
                <w:rFonts w:ascii="Times New Roman" w:hAnsi="Times New Roman" w:hint="eastAsia"/>
                <w:kern w:val="0"/>
                <w:sz w:val="24"/>
                <w:szCs w:val="24"/>
              </w:rPr>
              <w:t>的</w:t>
            </w:r>
            <w:r>
              <w:rPr>
                <w:rFonts w:ascii="Times New Roman" w:hAnsi="Times New Roman"/>
                <w:kern w:val="0"/>
                <w:sz w:val="24"/>
                <w:szCs w:val="24"/>
              </w:rPr>
              <w:t>结构体系</w:t>
            </w:r>
            <w:r>
              <w:rPr>
                <w:rFonts w:ascii="Times New Roman" w:hAnsi="Times New Roman" w:hint="eastAsia"/>
                <w:kern w:val="0"/>
                <w:sz w:val="24"/>
                <w:szCs w:val="24"/>
              </w:rPr>
              <w:t>；高层建筑</w:t>
            </w:r>
            <w:r>
              <w:rPr>
                <w:rFonts w:ascii="Times New Roman" w:hAnsi="Times New Roman"/>
                <w:kern w:val="0"/>
                <w:sz w:val="24"/>
                <w:szCs w:val="24"/>
              </w:rPr>
              <w:t>结构</w:t>
            </w:r>
            <w:r>
              <w:rPr>
                <w:rFonts w:ascii="Times New Roman" w:hAnsi="Times New Roman" w:hint="eastAsia"/>
                <w:kern w:val="0"/>
                <w:sz w:val="24"/>
                <w:szCs w:val="24"/>
              </w:rPr>
              <w:t>受力</w:t>
            </w:r>
            <w:r>
              <w:rPr>
                <w:rFonts w:ascii="Times New Roman" w:hAnsi="Times New Roman"/>
                <w:kern w:val="0"/>
                <w:sz w:val="24"/>
                <w:szCs w:val="24"/>
              </w:rPr>
              <w:t>概念</w:t>
            </w:r>
            <w:r>
              <w:rPr>
                <w:rFonts w:ascii="Times New Roman" w:hAnsi="Times New Roman" w:hint="eastAsia"/>
                <w:kern w:val="0"/>
                <w:sz w:val="24"/>
                <w:szCs w:val="24"/>
              </w:rPr>
              <w:t>；知名高层建筑</w:t>
            </w:r>
            <w:r>
              <w:rPr>
                <w:rFonts w:ascii="Times New Roman" w:hAnsi="Times New Roman"/>
                <w:kern w:val="0"/>
                <w:sz w:val="24"/>
                <w:szCs w:val="24"/>
              </w:rPr>
              <w:t>结构设计案例</w:t>
            </w:r>
            <w:r>
              <w:rPr>
                <w:rFonts w:ascii="Times New Roman" w:hAnsi="Times New Roman" w:hint="eastAsia"/>
                <w:kern w:val="0"/>
                <w:sz w:val="24"/>
                <w:szCs w:val="24"/>
              </w:rPr>
              <w:t>。</w:t>
            </w:r>
          </w:p>
        </w:tc>
        <w:tc>
          <w:tcPr>
            <w:tcW w:w="346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熟悉</w:t>
            </w:r>
            <w:r>
              <w:rPr>
                <w:rFonts w:ascii="Times New Roman" w:hAnsi="Times New Roman"/>
                <w:kern w:val="0"/>
                <w:sz w:val="24"/>
                <w:szCs w:val="24"/>
              </w:rPr>
              <w:t>高层建筑</w:t>
            </w:r>
            <w:r>
              <w:rPr>
                <w:rFonts w:ascii="Times New Roman" w:hAnsi="Times New Roman" w:hint="eastAsia"/>
                <w:kern w:val="0"/>
                <w:sz w:val="24"/>
                <w:szCs w:val="24"/>
              </w:rPr>
              <w:t>常用的</w:t>
            </w:r>
            <w:r>
              <w:rPr>
                <w:rFonts w:ascii="Times New Roman" w:hAnsi="Times New Roman"/>
                <w:kern w:val="0"/>
                <w:sz w:val="24"/>
                <w:szCs w:val="24"/>
              </w:rPr>
              <w:t>结构体系</w:t>
            </w:r>
            <w:r>
              <w:rPr>
                <w:rFonts w:ascii="Times New Roman" w:hAnsi="Times New Roman" w:hint="eastAsia"/>
                <w:kern w:val="0"/>
                <w:sz w:val="24"/>
                <w:szCs w:val="24"/>
              </w:rPr>
              <w:t>；建立高层建筑</w:t>
            </w:r>
            <w:r>
              <w:rPr>
                <w:rFonts w:ascii="Times New Roman" w:hAnsi="Times New Roman"/>
                <w:kern w:val="0"/>
                <w:sz w:val="24"/>
                <w:szCs w:val="24"/>
              </w:rPr>
              <w:t>结构</w:t>
            </w:r>
            <w:r>
              <w:rPr>
                <w:rFonts w:ascii="Times New Roman" w:hAnsi="Times New Roman" w:hint="eastAsia"/>
                <w:kern w:val="0"/>
                <w:sz w:val="24"/>
                <w:szCs w:val="24"/>
              </w:rPr>
              <w:t>设计的基本</w:t>
            </w:r>
            <w:r>
              <w:rPr>
                <w:rFonts w:ascii="Times New Roman" w:hAnsi="Times New Roman"/>
                <w:kern w:val="0"/>
                <w:sz w:val="24"/>
                <w:szCs w:val="24"/>
              </w:rPr>
              <w:t>概念</w:t>
            </w:r>
            <w:r>
              <w:rPr>
                <w:rFonts w:ascii="Times New Roman" w:hAnsi="Times New Roman" w:hint="eastAsia"/>
                <w:kern w:val="0"/>
                <w:sz w:val="24"/>
                <w:szCs w:val="24"/>
              </w:rPr>
              <w:t>；了解知名高层建筑</w:t>
            </w:r>
            <w:r>
              <w:rPr>
                <w:rFonts w:ascii="Times New Roman" w:hAnsi="Times New Roman"/>
                <w:kern w:val="0"/>
                <w:sz w:val="24"/>
                <w:szCs w:val="24"/>
              </w:rPr>
              <w:t>结构设计案例</w:t>
            </w:r>
            <w:r>
              <w:rPr>
                <w:rFonts w:ascii="Times New Roman" w:hAnsi="Times New Roman" w:hint="eastAsia"/>
                <w:kern w:val="0"/>
                <w:sz w:val="24"/>
                <w:szCs w:val="24"/>
              </w:rPr>
              <w:t>及概念设计要点。</w:t>
            </w:r>
          </w:p>
        </w:tc>
      </w:tr>
      <w:tr w:rsidR="00CF1222" w:rsidTr="00CF1222">
        <w:trPr>
          <w:trHeight w:val="2012"/>
        </w:trPr>
        <w:tc>
          <w:tcPr>
            <w:tcW w:w="424"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lastRenderedPageBreak/>
              <w:t>4</w:t>
            </w:r>
          </w:p>
        </w:tc>
        <w:tc>
          <w:tcPr>
            <w:tcW w:w="1256"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第4章</w:t>
            </w:r>
          </w:p>
          <w:p w:rsidR="00CF1222" w:rsidRDefault="00CF1222" w:rsidP="00CF1222">
            <w:pPr>
              <w:rPr>
                <w:rFonts w:ascii="仿宋" w:eastAsia="仿宋" w:hAnsi="仿宋" w:cs="仿宋"/>
                <w:kern w:val="0"/>
                <w:sz w:val="24"/>
                <w:szCs w:val="24"/>
              </w:rPr>
            </w:pPr>
            <w:r>
              <w:rPr>
                <w:rFonts w:ascii="仿宋" w:eastAsia="仿宋" w:hAnsi="仿宋" w:cs="仿宋" w:hint="eastAsia"/>
                <w:kern w:val="0"/>
                <w:sz w:val="24"/>
                <w:szCs w:val="24"/>
              </w:rPr>
              <w:t>其他建筑结构概念设计案例</w:t>
            </w:r>
          </w:p>
        </w:tc>
        <w:tc>
          <w:tcPr>
            <w:tcW w:w="735"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6</w:t>
            </w:r>
          </w:p>
        </w:tc>
        <w:tc>
          <w:tcPr>
            <w:tcW w:w="2835" w:type="dxa"/>
            <w:vAlign w:val="center"/>
          </w:tcPr>
          <w:p w:rsidR="00CF1222" w:rsidRDefault="00CF1222" w:rsidP="00CF1222">
            <w:pPr>
              <w:rPr>
                <w:rFonts w:ascii="Times New Roman" w:hAnsi="Times New Roman"/>
                <w:kern w:val="0"/>
                <w:sz w:val="24"/>
                <w:szCs w:val="24"/>
              </w:rPr>
            </w:pPr>
            <w:r>
              <w:rPr>
                <w:rFonts w:ascii="Times New Roman" w:hAnsi="Times New Roman"/>
                <w:kern w:val="0"/>
                <w:sz w:val="24"/>
                <w:szCs w:val="24"/>
              </w:rPr>
              <w:t>一般肋形楼盖结构；</w:t>
            </w:r>
            <w:r>
              <w:rPr>
                <w:rFonts w:ascii="Times New Roman" w:hAnsi="Times New Roman" w:hint="eastAsia"/>
                <w:kern w:val="0"/>
                <w:sz w:val="24"/>
                <w:szCs w:val="24"/>
              </w:rPr>
              <w:t>盒子结构；</w:t>
            </w:r>
            <w:r>
              <w:rPr>
                <w:rFonts w:ascii="Times New Roman" w:hAnsi="Times New Roman"/>
                <w:kern w:val="0"/>
                <w:sz w:val="24"/>
                <w:szCs w:val="24"/>
              </w:rPr>
              <w:t>穹顶结构；拱结构；悬索结构</w:t>
            </w:r>
            <w:r>
              <w:rPr>
                <w:rFonts w:ascii="Times New Roman" w:hAnsi="Times New Roman" w:hint="eastAsia"/>
                <w:kern w:val="0"/>
                <w:sz w:val="24"/>
                <w:szCs w:val="24"/>
              </w:rPr>
              <w:t>等</w:t>
            </w:r>
            <w:r>
              <w:rPr>
                <w:rFonts w:ascii="Times New Roman" w:hAnsi="Times New Roman"/>
                <w:kern w:val="0"/>
                <w:sz w:val="24"/>
                <w:szCs w:val="24"/>
              </w:rPr>
              <w:t>。</w:t>
            </w:r>
          </w:p>
        </w:tc>
        <w:tc>
          <w:tcPr>
            <w:tcW w:w="346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熟悉</w:t>
            </w:r>
            <w:r>
              <w:rPr>
                <w:rFonts w:ascii="Times New Roman" w:hAnsi="Times New Roman"/>
                <w:kern w:val="0"/>
                <w:sz w:val="24"/>
                <w:szCs w:val="24"/>
              </w:rPr>
              <w:t>一般肋形楼盖结构、</w:t>
            </w:r>
            <w:r>
              <w:rPr>
                <w:rFonts w:ascii="Times New Roman" w:hAnsi="Times New Roman" w:hint="eastAsia"/>
                <w:kern w:val="0"/>
                <w:sz w:val="24"/>
                <w:szCs w:val="24"/>
              </w:rPr>
              <w:t>盒子结构及</w:t>
            </w:r>
            <w:r>
              <w:rPr>
                <w:rFonts w:ascii="Times New Roman" w:hAnsi="Times New Roman"/>
                <w:kern w:val="0"/>
                <w:sz w:val="24"/>
                <w:szCs w:val="24"/>
              </w:rPr>
              <w:t>拱结构</w:t>
            </w:r>
            <w:r>
              <w:rPr>
                <w:rFonts w:ascii="Times New Roman" w:hAnsi="Times New Roman" w:hint="eastAsia"/>
                <w:kern w:val="0"/>
                <w:sz w:val="24"/>
                <w:szCs w:val="24"/>
              </w:rPr>
              <w:t>等</w:t>
            </w:r>
            <w:r>
              <w:rPr>
                <w:rFonts w:ascii="Times New Roman" w:hAnsi="Times New Roman"/>
                <w:kern w:val="0"/>
                <w:sz w:val="24"/>
                <w:szCs w:val="24"/>
              </w:rPr>
              <w:t>常用结构体系</w:t>
            </w:r>
            <w:r>
              <w:rPr>
                <w:rFonts w:ascii="Times New Roman" w:hAnsi="Times New Roman" w:hint="eastAsia"/>
                <w:kern w:val="0"/>
                <w:sz w:val="24"/>
                <w:szCs w:val="24"/>
              </w:rPr>
              <w:t>的受力特点和设计原则；加深理解</w:t>
            </w:r>
            <w:r>
              <w:rPr>
                <w:rFonts w:ascii="Times New Roman" w:hAnsi="Times New Roman"/>
                <w:kern w:val="0"/>
                <w:sz w:val="24"/>
                <w:szCs w:val="24"/>
              </w:rPr>
              <w:t>结构</w:t>
            </w:r>
            <w:r>
              <w:rPr>
                <w:rFonts w:ascii="Times New Roman" w:hAnsi="Times New Roman" w:hint="eastAsia"/>
                <w:kern w:val="0"/>
                <w:sz w:val="24"/>
                <w:szCs w:val="24"/>
              </w:rPr>
              <w:t>概念</w:t>
            </w:r>
            <w:r>
              <w:rPr>
                <w:rFonts w:ascii="Times New Roman" w:hAnsi="Times New Roman"/>
                <w:kern w:val="0"/>
                <w:sz w:val="24"/>
                <w:szCs w:val="24"/>
              </w:rPr>
              <w:t>设计</w:t>
            </w:r>
            <w:r>
              <w:rPr>
                <w:rFonts w:ascii="Times New Roman" w:hAnsi="Times New Roman" w:hint="eastAsia"/>
                <w:kern w:val="0"/>
                <w:sz w:val="24"/>
                <w:szCs w:val="24"/>
              </w:rPr>
              <w:t>的工程应用价值；提高对</w:t>
            </w:r>
            <w:r>
              <w:rPr>
                <w:rFonts w:ascii="Times New Roman" w:hAnsi="Times New Roman"/>
                <w:kern w:val="0"/>
                <w:sz w:val="24"/>
                <w:szCs w:val="24"/>
              </w:rPr>
              <w:t>常用结构体系</w:t>
            </w:r>
            <w:r>
              <w:rPr>
                <w:rFonts w:ascii="Times New Roman" w:hAnsi="Times New Roman" w:hint="eastAsia"/>
                <w:kern w:val="0"/>
                <w:sz w:val="24"/>
                <w:szCs w:val="24"/>
              </w:rPr>
              <w:t>进行概念设计的</w:t>
            </w:r>
            <w:r>
              <w:rPr>
                <w:rFonts w:ascii="Times New Roman" w:hAnsi="Times New Roman"/>
                <w:kern w:val="0"/>
                <w:sz w:val="24"/>
                <w:szCs w:val="24"/>
              </w:rPr>
              <w:t>实践能力。</w:t>
            </w:r>
          </w:p>
        </w:tc>
      </w:tr>
      <w:tr w:rsidR="00CF1222" w:rsidTr="00CF1222">
        <w:trPr>
          <w:trHeight w:val="1544"/>
        </w:trPr>
        <w:tc>
          <w:tcPr>
            <w:tcW w:w="424"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5</w:t>
            </w:r>
          </w:p>
        </w:tc>
        <w:tc>
          <w:tcPr>
            <w:tcW w:w="1256" w:type="dxa"/>
            <w:vAlign w:val="center"/>
          </w:tcPr>
          <w:p w:rsidR="00CF1222" w:rsidRDefault="00CF1222" w:rsidP="00CF1222">
            <w:pPr>
              <w:rPr>
                <w:rFonts w:ascii="仿宋" w:eastAsia="仿宋" w:hAnsi="仿宋" w:cs="仿宋"/>
                <w:kern w:val="0"/>
                <w:sz w:val="24"/>
                <w:szCs w:val="24"/>
              </w:rPr>
            </w:pPr>
            <w:r>
              <w:rPr>
                <w:rFonts w:ascii="仿宋" w:eastAsia="仿宋" w:hAnsi="仿宋" w:cs="仿宋" w:hint="eastAsia"/>
                <w:kern w:val="0"/>
                <w:sz w:val="24"/>
                <w:szCs w:val="24"/>
              </w:rPr>
              <w:t>测验</w:t>
            </w:r>
          </w:p>
        </w:tc>
        <w:tc>
          <w:tcPr>
            <w:tcW w:w="735" w:type="dxa"/>
            <w:vAlign w:val="center"/>
          </w:tcPr>
          <w:p w:rsidR="00CF1222" w:rsidRDefault="00CF1222" w:rsidP="00CF1222">
            <w:pPr>
              <w:ind w:firstLineChars="100" w:firstLine="240"/>
              <w:rPr>
                <w:rFonts w:ascii="Times New Roman" w:hAnsi="Times New Roman"/>
                <w:kern w:val="0"/>
                <w:sz w:val="24"/>
                <w:szCs w:val="24"/>
              </w:rPr>
            </w:pPr>
            <w:r>
              <w:rPr>
                <w:rFonts w:ascii="Times New Roman" w:hAnsi="Times New Roman" w:hint="eastAsia"/>
                <w:kern w:val="0"/>
                <w:sz w:val="24"/>
                <w:szCs w:val="24"/>
              </w:rPr>
              <w:t>2</w:t>
            </w:r>
          </w:p>
        </w:tc>
        <w:tc>
          <w:tcPr>
            <w:tcW w:w="283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考核建筑</w:t>
            </w:r>
            <w:r>
              <w:rPr>
                <w:rFonts w:ascii="Times New Roman" w:hAnsi="Times New Roman"/>
                <w:kern w:val="0"/>
                <w:sz w:val="24"/>
                <w:szCs w:val="24"/>
              </w:rPr>
              <w:t>结构</w:t>
            </w:r>
            <w:r>
              <w:rPr>
                <w:rFonts w:ascii="Times New Roman" w:hAnsi="Times New Roman" w:hint="eastAsia"/>
                <w:kern w:val="0"/>
                <w:sz w:val="24"/>
                <w:szCs w:val="24"/>
              </w:rPr>
              <w:t>设计的基本</w:t>
            </w:r>
            <w:r>
              <w:rPr>
                <w:rFonts w:ascii="Times New Roman" w:hAnsi="Times New Roman"/>
                <w:kern w:val="0"/>
                <w:sz w:val="24"/>
                <w:szCs w:val="24"/>
              </w:rPr>
              <w:t>概念</w:t>
            </w:r>
            <w:r>
              <w:rPr>
                <w:rFonts w:ascii="Times New Roman" w:hAnsi="Times New Roman" w:hint="eastAsia"/>
                <w:kern w:val="0"/>
                <w:sz w:val="24"/>
                <w:szCs w:val="24"/>
              </w:rPr>
              <w:t>和概念</w:t>
            </w:r>
            <w:r>
              <w:rPr>
                <w:rFonts w:ascii="Times New Roman" w:hAnsi="Times New Roman"/>
                <w:kern w:val="0"/>
                <w:sz w:val="24"/>
                <w:szCs w:val="24"/>
              </w:rPr>
              <w:t>设计</w:t>
            </w:r>
            <w:r>
              <w:rPr>
                <w:rFonts w:ascii="Times New Roman" w:hAnsi="Times New Roman" w:hint="eastAsia"/>
                <w:kern w:val="0"/>
                <w:sz w:val="24"/>
                <w:szCs w:val="24"/>
              </w:rPr>
              <w:t>的主要原则</w:t>
            </w:r>
            <w:r>
              <w:rPr>
                <w:rFonts w:ascii="Times New Roman" w:hAnsi="Times New Roman"/>
                <w:kern w:val="0"/>
                <w:sz w:val="24"/>
                <w:szCs w:val="24"/>
              </w:rPr>
              <w:t>、方法</w:t>
            </w:r>
            <w:r>
              <w:rPr>
                <w:rFonts w:ascii="Times New Roman" w:hAnsi="Times New Roman" w:hint="eastAsia"/>
                <w:kern w:val="0"/>
                <w:sz w:val="24"/>
                <w:szCs w:val="24"/>
              </w:rPr>
              <w:t>及</w:t>
            </w:r>
            <w:r>
              <w:rPr>
                <w:rFonts w:ascii="Times New Roman" w:hAnsi="Times New Roman"/>
                <w:kern w:val="0"/>
                <w:sz w:val="24"/>
                <w:szCs w:val="24"/>
              </w:rPr>
              <w:t>要领</w:t>
            </w:r>
            <w:r>
              <w:rPr>
                <w:rFonts w:ascii="Times New Roman" w:hAnsi="Times New Roman" w:hint="eastAsia"/>
                <w:kern w:val="0"/>
                <w:sz w:val="24"/>
                <w:szCs w:val="24"/>
              </w:rPr>
              <w:t>；评判学生对结构</w:t>
            </w:r>
            <w:r>
              <w:rPr>
                <w:rFonts w:ascii="Times New Roman" w:hAnsi="Times New Roman"/>
                <w:kern w:val="0"/>
                <w:sz w:val="24"/>
                <w:szCs w:val="24"/>
              </w:rPr>
              <w:t>总体方案</w:t>
            </w:r>
            <w:r>
              <w:rPr>
                <w:rFonts w:ascii="Times New Roman" w:hAnsi="Times New Roman" w:hint="eastAsia"/>
                <w:kern w:val="0"/>
                <w:sz w:val="24"/>
                <w:szCs w:val="24"/>
              </w:rPr>
              <w:t>进行</w:t>
            </w:r>
            <w:r>
              <w:rPr>
                <w:rFonts w:ascii="Times New Roman" w:hAnsi="Times New Roman"/>
                <w:kern w:val="0"/>
                <w:sz w:val="24"/>
                <w:szCs w:val="24"/>
              </w:rPr>
              <w:t>规划和设计的实践能力</w:t>
            </w:r>
            <w:r>
              <w:rPr>
                <w:rFonts w:ascii="Times New Roman" w:hAnsi="Times New Roman" w:hint="eastAsia"/>
                <w:kern w:val="0"/>
                <w:sz w:val="24"/>
                <w:szCs w:val="24"/>
              </w:rPr>
              <w:t>。</w:t>
            </w:r>
          </w:p>
        </w:tc>
        <w:tc>
          <w:tcPr>
            <w:tcW w:w="3465" w:type="dxa"/>
            <w:vAlign w:val="center"/>
          </w:tcPr>
          <w:p w:rsidR="00CF1222" w:rsidRDefault="00CF1222" w:rsidP="00CF1222">
            <w:pPr>
              <w:rPr>
                <w:rFonts w:ascii="Times New Roman" w:hAnsi="Times New Roman"/>
                <w:kern w:val="0"/>
                <w:sz w:val="24"/>
                <w:szCs w:val="24"/>
              </w:rPr>
            </w:pPr>
            <w:r>
              <w:rPr>
                <w:rFonts w:ascii="Times New Roman" w:hAnsi="Times New Roman" w:hint="eastAsia"/>
                <w:kern w:val="0"/>
                <w:sz w:val="24"/>
                <w:szCs w:val="24"/>
              </w:rPr>
              <w:t>独立完成测验题目。</w:t>
            </w:r>
          </w:p>
        </w:tc>
      </w:tr>
    </w:tbl>
    <w:p w:rsidR="00CF1222" w:rsidRDefault="00CF1222" w:rsidP="00CF1222">
      <w:pPr>
        <w:spacing w:beforeLines="50" w:before="156" w:afterLines="50" w:after="156" w:line="560" w:lineRule="exact"/>
        <w:rPr>
          <w:rFonts w:ascii="黑体" w:eastAsia="黑体" w:hAnsi="黑体"/>
          <w:b/>
          <w:sz w:val="28"/>
          <w:szCs w:val="28"/>
        </w:rPr>
      </w:pP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F1222" w:rsidRDefault="00CF1222" w:rsidP="00CF1222">
      <w:pPr>
        <w:adjustRightInd w:val="0"/>
        <w:snapToGrid w:val="0"/>
        <w:spacing w:line="360" w:lineRule="exact"/>
        <w:ind w:firstLineChars="200" w:firstLine="560"/>
        <w:jc w:val="left"/>
        <w:rPr>
          <w:sz w:val="28"/>
          <w:szCs w:val="28"/>
        </w:rPr>
      </w:pPr>
      <w:r>
        <w:rPr>
          <w:rFonts w:hint="eastAsia"/>
          <w:sz w:val="28"/>
          <w:szCs w:val="28"/>
        </w:rPr>
        <w:t>课程考核方式为考试。</w:t>
      </w:r>
    </w:p>
    <w:p w:rsidR="00CF1222" w:rsidRDefault="00CF1222" w:rsidP="00CF1222">
      <w:pPr>
        <w:spacing w:line="360" w:lineRule="auto"/>
        <w:ind w:firstLineChars="200" w:firstLine="422"/>
        <w:rPr>
          <w:rFonts w:ascii="宋体" w:eastAsia="宋体" w:hAnsi="宋体"/>
          <w:b/>
          <w:color w:val="FF0000"/>
          <w:sz w:val="21"/>
          <w:szCs w:val="21"/>
        </w:rPr>
      </w:pPr>
    </w:p>
    <w:p w:rsidR="00CF1222" w:rsidRDefault="00CF1222"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课程总成绩=期末成绩</w:t>
      </w:r>
      <w:r>
        <w:rPr>
          <w:rFonts w:ascii="仿宋_GB2312" w:hAnsi="仿宋_GB2312" w:cs="仿宋_GB2312" w:hint="eastAsia"/>
          <w:sz w:val="28"/>
          <w:szCs w:val="28"/>
        </w:rPr>
        <w:t>80%+平时</w:t>
      </w:r>
      <w:r>
        <w:rPr>
          <w:rFonts w:ascii="仿宋_GB2312" w:hAnsi="仿宋_GB2312" w:cs="仿宋_GB2312"/>
          <w:sz w:val="28"/>
          <w:szCs w:val="28"/>
        </w:rPr>
        <w:t>成绩20</w:t>
      </w:r>
      <w:r>
        <w:rPr>
          <w:rFonts w:ascii="仿宋_GB2312" w:hAnsi="仿宋_GB2312" w:cs="仿宋_GB2312" w:hint="eastAsia"/>
          <w:sz w:val="28"/>
          <w:szCs w:val="28"/>
        </w:rPr>
        <w:t>%</w:t>
      </w:r>
      <w:r>
        <w:rPr>
          <w:rFonts w:ascii="仿宋_GB2312" w:hAnsi="仿宋_GB2312" w:cs="仿宋_GB2312"/>
          <w:sz w:val="28"/>
          <w:szCs w:val="28"/>
        </w:rPr>
        <w:t xml:space="preserve">  </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课程总评成绩由平时成绩、实验成绩和期终考试（闭卷）3个考核环节综合评定产生。各考核环节与课程目标的对应关系如下：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399"/>
        <w:gridCol w:w="3240"/>
        <w:gridCol w:w="1666"/>
      </w:tblGrid>
      <w:tr w:rsidR="00CF1222" w:rsidTr="00CF1222">
        <w:trPr>
          <w:jc w:val="center"/>
        </w:trPr>
        <w:tc>
          <w:tcPr>
            <w:tcW w:w="3996" w:type="pct"/>
            <w:gridSpan w:val="3"/>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考核环节</w:t>
            </w:r>
          </w:p>
        </w:tc>
        <w:tc>
          <w:tcPr>
            <w:tcW w:w="1004" w:type="pct"/>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课程目标</w:t>
            </w:r>
          </w:p>
        </w:tc>
      </w:tr>
      <w:tr w:rsidR="00CF1222" w:rsidTr="00CF1222">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分项比例</w:t>
            </w:r>
          </w:p>
        </w:tc>
        <w:tc>
          <w:tcPr>
            <w:tcW w:w="2796" w:type="pct"/>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分项内容</w:t>
            </w:r>
          </w:p>
        </w:tc>
        <w:tc>
          <w:tcPr>
            <w:tcW w:w="1004"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p>
        </w:tc>
      </w:tr>
      <w:tr w:rsidR="00CF1222" w:rsidTr="00CF1222">
        <w:trPr>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平时成绩</w:t>
            </w:r>
          </w:p>
          <w:p w:rsidR="00CF1222" w:rsidRDefault="00CF1222" w:rsidP="00CF1222">
            <w:pPr>
              <w:spacing w:line="300" w:lineRule="exact"/>
              <w:jc w:val="center"/>
              <w:rPr>
                <w:sz w:val="24"/>
                <w:szCs w:val="24"/>
              </w:rPr>
            </w:pPr>
            <w:r>
              <w:rPr>
                <w:sz w:val="24"/>
                <w:szCs w:val="24"/>
              </w:rPr>
              <w:t>（</w:t>
            </w:r>
            <w:r>
              <w:rPr>
                <w:rFonts w:hint="eastAsia"/>
                <w:sz w:val="24"/>
                <w:szCs w:val="24"/>
              </w:rPr>
              <w:t>2</w:t>
            </w:r>
            <w:r>
              <w:rPr>
                <w:sz w:val="24"/>
                <w:szCs w:val="24"/>
              </w:rPr>
              <w:t>0%</w:t>
            </w:r>
            <w:r>
              <w:rPr>
                <w:sz w:val="24"/>
                <w:szCs w:val="24"/>
              </w:rPr>
              <w:t>）</w:t>
            </w:r>
          </w:p>
        </w:tc>
        <w:tc>
          <w:tcPr>
            <w:tcW w:w="843" w:type="pct"/>
            <w:vMerge w:val="restart"/>
            <w:tcBorders>
              <w:top w:val="single" w:sz="4" w:space="0" w:color="auto"/>
              <w:left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平时作业</w:t>
            </w:r>
          </w:p>
        </w:tc>
        <w:tc>
          <w:tcPr>
            <w:tcW w:w="1953"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概念与原理题</w:t>
            </w:r>
          </w:p>
        </w:tc>
        <w:tc>
          <w:tcPr>
            <w:tcW w:w="1004"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w:t>
            </w:r>
            <w:r>
              <w:rPr>
                <w:sz w:val="24"/>
                <w:szCs w:val="24"/>
              </w:rPr>
              <w:t>1</w:t>
            </w:r>
            <w:r>
              <w:rPr>
                <w:sz w:val="24"/>
                <w:szCs w:val="24"/>
              </w:rPr>
              <w:t>）、（</w:t>
            </w:r>
            <w:r>
              <w:rPr>
                <w:rFonts w:hint="eastAsia"/>
                <w:sz w:val="24"/>
                <w:szCs w:val="24"/>
              </w:rPr>
              <w:t>2</w:t>
            </w:r>
            <w:r>
              <w:rPr>
                <w:sz w:val="24"/>
                <w:szCs w:val="24"/>
              </w:rPr>
              <w:t>）</w:t>
            </w:r>
          </w:p>
        </w:tc>
      </w:tr>
      <w:tr w:rsidR="00CF1222" w:rsidTr="00CF1222">
        <w:trPr>
          <w:trHeight w:val="236"/>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p>
        </w:tc>
        <w:tc>
          <w:tcPr>
            <w:tcW w:w="843" w:type="pct"/>
            <w:vMerge/>
            <w:tcBorders>
              <w:left w:val="single" w:sz="4" w:space="0" w:color="auto"/>
              <w:right w:val="single" w:sz="4" w:space="0" w:color="auto"/>
            </w:tcBorders>
            <w:vAlign w:val="center"/>
          </w:tcPr>
          <w:p w:rsidR="00CF1222" w:rsidRDefault="00CF1222" w:rsidP="00CF1222">
            <w:pPr>
              <w:spacing w:line="300" w:lineRule="exact"/>
              <w:jc w:val="center"/>
              <w:rPr>
                <w:sz w:val="24"/>
                <w:szCs w:val="24"/>
              </w:rPr>
            </w:pPr>
          </w:p>
        </w:tc>
        <w:tc>
          <w:tcPr>
            <w:tcW w:w="1953" w:type="pct"/>
            <w:tcBorders>
              <w:top w:val="single" w:sz="4" w:space="0" w:color="auto"/>
              <w:left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计算题</w:t>
            </w:r>
          </w:p>
        </w:tc>
        <w:tc>
          <w:tcPr>
            <w:tcW w:w="1004" w:type="pct"/>
            <w:tcBorders>
              <w:top w:val="single" w:sz="4" w:space="0" w:color="auto"/>
              <w:left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w:t>
            </w:r>
            <w:r>
              <w:rPr>
                <w:sz w:val="24"/>
                <w:szCs w:val="24"/>
              </w:rPr>
              <w:t>3</w:t>
            </w:r>
            <w:r>
              <w:rPr>
                <w:sz w:val="24"/>
                <w:szCs w:val="24"/>
              </w:rPr>
              <w:t>）</w:t>
            </w:r>
          </w:p>
        </w:tc>
      </w:tr>
      <w:tr w:rsidR="00CF1222" w:rsidTr="00CF1222">
        <w:trPr>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期终考试</w:t>
            </w:r>
          </w:p>
          <w:p w:rsidR="00CF1222" w:rsidRDefault="00CF1222" w:rsidP="00CF1222">
            <w:pPr>
              <w:spacing w:line="300" w:lineRule="exact"/>
              <w:jc w:val="center"/>
              <w:rPr>
                <w:sz w:val="24"/>
                <w:szCs w:val="24"/>
              </w:rPr>
            </w:pPr>
            <w:r>
              <w:rPr>
                <w:sz w:val="24"/>
                <w:szCs w:val="24"/>
              </w:rPr>
              <w:t>（</w:t>
            </w:r>
            <w:r>
              <w:rPr>
                <w:rFonts w:hint="eastAsia"/>
                <w:sz w:val="24"/>
                <w:szCs w:val="24"/>
              </w:rPr>
              <w:t>8</w:t>
            </w:r>
            <w:r>
              <w:rPr>
                <w:sz w:val="24"/>
                <w:szCs w:val="24"/>
              </w:rPr>
              <w:t>0%</w:t>
            </w:r>
            <w:r>
              <w:rPr>
                <w:sz w:val="24"/>
                <w:szCs w:val="24"/>
              </w:rPr>
              <w:t>）</w:t>
            </w:r>
          </w:p>
        </w:tc>
        <w:tc>
          <w:tcPr>
            <w:tcW w:w="2796" w:type="pct"/>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概念与原理题</w:t>
            </w:r>
          </w:p>
        </w:tc>
        <w:tc>
          <w:tcPr>
            <w:tcW w:w="1004"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w:t>
            </w:r>
            <w:r>
              <w:rPr>
                <w:sz w:val="24"/>
                <w:szCs w:val="24"/>
              </w:rPr>
              <w:t>1</w:t>
            </w:r>
            <w:r>
              <w:rPr>
                <w:sz w:val="24"/>
                <w:szCs w:val="24"/>
              </w:rPr>
              <w:t>）、（</w:t>
            </w:r>
            <w:r>
              <w:rPr>
                <w:rFonts w:hint="eastAsia"/>
                <w:sz w:val="24"/>
                <w:szCs w:val="24"/>
              </w:rPr>
              <w:t>2</w:t>
            </w:r>
            <w:r>
              <w:rPr>
                <w:sz w:val="24"/>
                <w:szCs w:val="24"/>
              </w:rPr>
              <w:t>）</w:t>
            </w:r>
          </w:p>
        </w:tc>
      </w:tr>
      <w:tr w:rsidR="00CF1222" w:rsidTr="00CF1222">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p>
        </w:tc>
        <w:tc>
          <w:tcPr>
            <w:tcW w:w="2796" w:type="pct"/>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计算题</w:t>
            </w:r>
          </w:p>
        </w:tc>
        <w:tc>
          <w:tcPr>
            <w:tcW w:w="1004"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24"/>
                <w:szCs w:val="24"/>
              </w:rPr>
            </w:pPr>
            <w:r>
              <w:rPr>
                <w:sz w:val="24"/>
                <w:szCs w:val="24"/>
              </w:rPr>
              <w:t>（</w:t>
            </w:r>
            <w:r>
              <w:rPr>
                <w:sz w:val="24"/>
                <w:szCs w:val="24"/>
              </w:rPr>
              <w:t>3</w:t>
            </w:r>
            <w:r>
              <w:rPr>
                <w:sz w:val="24"/>
                <w:szCs w:val="24"/>
              </w:rPr>
              <w:t>）</w:t>
            </w:r>
          </w:p>
        </w:tc>
      </w:tr>
    </w:tbl>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据学院教学管理规定，在开展课程达成度评价前，课程评价审核小组对课程的评价依据合理性进行确认，包括平时作业、随堂测验、实验、期终考试等考核环节。课程结束后，课程小组需要对课程进行达成度评价，课程小组由课程负责人和任课教师组成，统计课程考核</w:t>
      </w:r>
      <w:r>
        <w:rPr>
          <w:rFonts w:ascii="仿宋_GB2312" w:hAnsi="仿宋_GB2312" w:cs="仿宋_GB2312"/>
          <w:sz w:val="28"/>
          <w:szCs w:val="28"/>
        </w:rPr>
        <w:lastRenderedPageBreak/>
        <w:t>数据，并填写“《</w:t>
      </w:r>
      <w:r>
        <w:rPr>
          <w:rFonts w:ascii="仿宋_GB2312" w:hAnsi="仿宋_GB2312" w:cs="仿宋_GB2312" w:hint="eastAsia"/>
          <w:sz w:val="28"/>
          <w:szCs w:val="28"/>
        </w:rPr>
        <w:t>结构概念与体系</w:t>
      </w:r>
      <w:r>
        <w:rPr>
          <w:rFonts w:ascii="仿宋_GB2312" w:hAnsi="仿宋_GB2312" w:cs="仿宋_GB2312"/>
          <w:sz w:val="28"/>
          <w:szCs w:val="28"/>
        </w:rPr>
        <w:t>》课程达成情况评价”报告，以便及时了解课程的达成效果，发现问题并进行持续改进，同时也为毕业要求达成度的评价提供基础数据。</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根据课程的考核形式，全部或抽样部分考核资料（应以当年修读该课程的学生为总体，至少抽取</w:t>
      </w:r>
      <w:r>
        <w:rPr>
          <w:rFonts w:ascii="仿宋_GB2312" w:hAnsi="仿宋_GB2312" w:cs="仿宋_GB2312" w:hint="eastAsia"/>
          <w:sz w:val="28"/>
          <w:szCs w:val="28"/>
        </w:rPr>
        <w:t>6</w:t>
      </w:r>
      <w:r>
        <w:rPr>
          <w:rFonts w:ascii="仿宋_GB2312" w:hAnsi="仿宋_GB2312" w:cs="仿宋_GB2312"/>
          <w:sz w:val="28"/>
          <w:szCs w:val="28"/>
        </w:rPr>
        <w:t>1%以上的学生样本），抽样时需覆盖优、良、中、及格和不及格等考核等级的考核资料。课程达成度的具体评价方法，详见“《</w:t>
      </w:r>
      <w:r>
        <w:rPr>
          <w:rFonts w:ascii="仿宋_GB2312" w:hAnsi="仿宋_GB2312" w:cs="仿宋_GB2312" w:hint="eastAsia"/>
          <w:sz w:val="28"/>
          <w:szCs w:val="28"/>
        </w:rPr>
        <w:t>结构概念与体系</w:t>
      </w:r>
      <w:r>
        <w:rPr>
          <w:rFonts w:ascii="仿宋_GB2312" w:hAnsi="仿宋_GB2312" w:cs="仿宋_GB2312"/>
          <w:sz w:val="28"/>
          <w:szCs w:val="28"/>
        </w:rPr>
        <w:t>》课程达成情况评价”报告。</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课程小组提交课程达成度评价数据后，课程评价审核小组对评价数据的合理性和有效性进行审核。</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1</w:t>
      </w:r>
      <w:r>
        <w:rPr>
          <w:rFonts w:ascii="Times New Roman" w:hAnsi="Times New Roman" w:hint="eastAsia"/>
          <w:sz w:val="28"/>
          <w:szCs w:val="28"/>
        </w:rPr>
        <w:t>、建筑结构概念设计及案例</w:t>
      </w:r>
      <w:r>
        <w:rPr>
          <w:rFonts w:ascii="Times New Roman" w:hAnsi="Times New Roman" w:hint="eastAsia"/>
          <w:sz w:val="28"/>
          <w:szCs w:val="28"/>
        </w:rPr>
        <w:t xml:space="preserve">[M]. </w:t>
      </w:r>
      <w:r>
        <w:rPr>
          <w:rFonts w:ascii="Times New Roman" w:hAnsi="Times New Roman" w:hint="eastAsia"/>
          <w:sz w:val="28"/>
          <w:szCs w:val="28"/>
        </w:rPr>
        <w:t>北京：清华大学出版社。</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2</w:t>
      </w:r>
      <w:r>
        <w:rPr>
          <w:rFonts w:ascii="Times New Roman" w:hAnsi="Times New Roman" w:hint="eastAsia"/>
          <w:sz w:val="28"/>
          <w:szCs w:val="28"/>
        </w:rPr>
        <w:t>、感知结构概念</w:t>
      </w:r>
      <w:r>
        <w:rPr>
          <w:rFonts w:ascii="Times New Roman" w:hAnsi="Times New Roman" w:hint="eastAsia"/>
          <w:sz w:val="28"/>
          <w:szCs w:val="28"/>
        </w:rPr>
        <w:t xml:space="preserve"> [M].</w:t>
      </w:r>
      <w:r>
        <w:rPr>
          <w:rFonts w:ascii="Times New Roman" w:hAnsi="Times New Roman" w:hint="eastAsia"/>
          <w:sz w:val="28"/>
          <w:szCs w:val="28"/>
        </w:rPr>
        <w:t>北京：高等教育出版社，</w:t>
      </w:r>
      <w:r>
        <w:rPr>
          <w:rFonts w:ascii="Times New Roman" w:hAnsi="Times New Roman" w:hint="eastAsia"/>
          <w:sz w:val="28"/>
          <w:szCs w:val="28"/>
        </w:rPr>
        <w:t>2009</w:t>
      </w:r>
      <w:r>
        <w:rPr>
          <w:rFonts w:ascii="Times New Roman" w:hAnsi="Times New Roman" w:hint="eastAsia"/>
          <w:sz w:val="28"/>
          <w:szCs w:val="28"/>
        </w:rPr>
        <w:t>；</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3</w:t>
      </w:r>
      <w:r>
        <w:rPr>
          <w:rFonts w:ascii="Times New Roman" w:hAnsi="Times New Roman" w:hint="eastAsia"/>
          <w:sz w:val="28"/>
          <w:szCs w:val="28"/>
        </w:rPr>
        <w:t>、工程结构体系创新——法兹勒·</w:t>
      </w:r>
      <w:r>
        <w:rPr>
          <w:rFonts w:ascii="Times New Roman" w:hAnsi="Times New Roman" w:hint="eastAsia"/>
          <w:sz w:val="28"/>
          <w:szCs w:val="28"/>
        </w:rPr>
        <w:t>R</w:t>
      </w:r>
      <w:r>
        <w:rPr>
          <w:rFonts w:ascii="Times New Roman" w:hAnsi="Times New Roman" w:hint="eastAsia"/>
          <w:sz w:val="28"/>
          <w:szCs w:val="28"/>
        </w:rPr>
        <w:t>·汗传</w:t>
      </w:r>
      <w:r>
        <w:rPr>
          <w:rFonts w:ascii="Times New Roman" w:hAnsi="Times New Roman" w:hint="eastAsia"/>
          <w:sz w:val="28"/>
          <w:szCs w:val="28"/>
        </w:rPr>
        <w:t>.</w:t>
      </w:r>
      <w:r>
        <w:rPr>
          <w:rFonts w:ascii="Times New Roman" w:hAnsi="Times New Roman" w:hint="eastAsia"/>
          <w:sz w:val="28"/>
          <w:szCs w:val="28"/>
        </w:rPr>
        <w:t>北京：中国建筑工业出版社，</w:t>
      </w:r>
      <w:r>
        <w:rPr>
          <w:rFonts w:ascii="Times New Roman" w:hAnsi="Times New Roman" w:hint="eastAsia"/>
          <w:sz w:val="28"/>
          <w:szCs w:val="28"/>
        </w:rPr>
        <w:t>2019</w:t>
      </w:r>
      <w:r>
        <w:rPr>
          <w:rFonts w:ascii="Times New Roman" w:hAnsi="Times New Roman" w:hint="eastAsia"/>
          <w:sz w:val="28"/>
          <w:szCs w:val="28"/>
        </w:rPr>
        <w:t>；</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4</w:t>
      </w:r>
      <w:r>
        <w:rPr>
          <w:rFonts w:ascii="Times New Roman" w:hAnsi="Times New Roman" w:hint="eastAsia"/>
          <w:sz w:val="28"/>
          <w:szCs w:val="28"/>
        </w:rPr>
        <w:t>、</w:t>
      </w:r>
      <w:r>
        <w:rPr>
          <w:rFonts w:ascii="Times New Roman" w:hAnsi="Times New Roman" w:hint="eastAsia"/>
          <w:sz w:val="28"/>
          <w:szCs w:val="28"/>
        </w:rPr>
        <w:t xml:space="preserve">2009JSCS </w:t>
      </w:r>
      <w:r>
        <w:rPr>
          <w:rFonts w:ascii="Times New Roman" w:hAnsi="Times New Roman" w:hint="eastAsia"/>
          <w:sz w:val="28"/>
          <w:szCs w:val="28"/>
        </w:rPr>
        <w:t>全国民用建筑工程设计技术措施</w:t>
      </w:r>
      <w:r>
        <w:rPr>
          <w:rFonts w:ascii="Times New Roman" w:hAnsi="Times New Roman" w:hint="eastAsia"/>
          <w:sz w:val="28"/>
          <w:szCs w:val="28"/>
        </w:rPr>
        <w:t xml:space="preserve"> </w:t>
      </w:r>
      <w:r>
        <w:rPr>
          <w:rFonts w:ascii="Times New Roman" w:hAnsi="Times New Roman" w:hint="eastAsia"/>
          <w:sz w:val="28"/>
          <w:szCs w:val="28"/>
        </w:rPr>
        <w:t>结构</w:t>
      </w:r>
      <w:r>
        <w:rPr>
          <w:rFonts w:ascii="Times New Roman" w:hAnsi="Times New Roman" w:hint="eastAsia"/>
          <w:sz w:val="28"/>
          <w:szCs w:val="28"/>
        </w:rPr>
        <w:t>(</w:t>
      </w:r>
      <w:r>
        <w:rPr>
          <w:rFonts w:ascii="Times New Roman" w:hAnsi="Times New Roman" w:hint="eastAsia"/>
          <w:sz w:val="28"/>
          <w:szCs w:val="28"/>
        </w:rPr>
        <w:t>结构体系</w:t>
      </w:r>
      <w:r>
        <w:rPr>
          <w:rFonts w:ascii="Times New Roman" w:hAnsi="Times New Roman" w:hint="eastAsia"/>
          <w:sz w:val="28"/>
          <w:szCs w:val="28"/>
        </w:rPr>
        <w:t>)</w:t>
      </w:r>
      <w:r>
        <w:rPr>
          <w:rFonts w:ascii="Times New Roman" w:hAnsi="Times New Roman" w:hint="eastAsia"/>
          <w:sz w:val="28"/>
          <w:szCs w:val="28"/>
        </w:rPr>
        <w:t>；</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5</w:t>
      </w:r>
      <w:r>
        <w:rPr>
          <w:rFonts w:ascii="Times New Roman" w:hAnsi="Times New Roman" w:hint="eastAsia"/>
          <w:sz w:val="28"/>
          <w:szCs w:val="28"/>
        </w:rPr>
        <w:t>、建筑工程设计文件编制深度规定（</w:t>
      </w:r>
      <w:r>
        <w:rPr>
          <w:rFonts w:ascii="Times New Roman" w:hAnsi="Times New Roman" w:hint="eastAsia"/>
          <w:sz w:val="28"/>
          <w:szCs w:val="28"/>
        </w:rPr>
        <w:t>2016</w:t>
      </w:r>
      <w:r>
        <w:rPr>
          <w:rFonts w:ascii="Times New Roman" w:hAnsi="Times New Roman" w:hint="eastAsia"/>
          <w:sz w:val="28"/>
          <w:szCs w:val="28"/>
        </w:rPr>
        <w:t>版）；</w:t>
      </w:r>
      <w:r>
        <w:rPr>
          <w:rFonts w:ascii="Times New Roman" w:hAnsi="Times New Roman" w:hint="eastAsia"/>
          <w:sz w:val="28"/>
          <w:szCs w:val="28"/>
        </w:rPr>
        <w:t xml:space="preserve"> </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6</w:t>
      </w:r>
      <w:r>
        <w:rPr>
          <w:rFonts w:ascii="Times New Roman" w:hAnsi="Times New Roman" w:hint="eastAsia"/>
          <w:sz w:val="28"/>
          <w:szCs w:val="28"/>
        </w:rPr>
        <w:t>、房屋建筑学（第四版）</w:t>
      </w:r>
      <w:r>
        <w:rPr>
          <w:rFonts w:ascii="Times New Roman" w:hAnsi="Times New Roman" w:hint="eastAsia"/>
          <w:sz w:val="28"/>
          <w:szCs w:val="28"/>
        </w:rPr>
        <w:t>[M].</w:t>
      </w:r>
      <w:r>
        <w:rPr>
          <w:rFonts w:ascii="Times New Roman" w:hAnsi="Times New Roman" w:hint="eastAsia"/>
          <w:sz w:val="28"/>
          <w:szCs w:val="28"/>
        </w:rPr>
        <w:t>北京：中国建筑工业出版社，</w:t>
      </w:r>
      <w:r>
        <w:rPr>
          <w:rFonts w:ascii="Times New Roman" w:hAnsi="Times New Roman" w:hint="eastAsia"/>
          <w:sz w:val="28"/>
          <w:szCs w:val="28"/>
        </w:rPr>
        <w:t>2006</w:t>
      </w:r>
      <w:r>
        <w:rPr>
          <w:rFonts w:ascii="Times New Roman" w:hAnsi="Times New Roman" w:hint="eastAsia"/>
          <w:sz w:val="28"/>
          <w:szCs w:val="28"/>
        </w:rPr>
        <w:t>；</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7</w:t>
      </w:r>
      <w:r>
        <w:rPr>
          <w:rFonts w:ascii="Times New Roman" w:hAnsi="Times New Roman" w:hint="eastAsia"/>
          <w:sz w:val="28"/>
          <w:szCs w:val="28"/>
        </w:rPr>
        <w:t>、建筑结构静力计算手册</w:t>
      </w:r>
      <w:r>
        <w:rPr>
          <w:rFonts w:ascii="Times New Roman" w:hAnsi="Times New Roman" w:hint="eastAsia"/>
          <w:sz w:val="28"/>
          <w:szCs w:val="28"/>
        </w:rPr>
        <w:t>[M].</w:t>
      </w:r>
      <w:r>
        <w:rPr>
          <w:rFonts w:ascii="Times New Roman" w:hAnsi="Times New Roman" w:hint="eastAsia"/>
          <w:sz w:val="28"/>
          <w:szCs w:val="28"/>
        </w:rPr>
        <w:t>北京：中国建筑工业出版社，</w:t>
      </w:r>
      <w:r>
        <w:rPr>
          <w:rFonts w:ascii="Times New Roman" w:hAnsi="Times New Roman" w:hint="eastAsia"/>
          <w:sz w:val="28"/>
          <w:szCs w:val="28"/>
        </w:rPr>
        <w:t>2001</w:t>
      </w:r>
      <w:r>
        <w:rPr>
          <w:rFonts w:ascii="Times New Roman" w:hAnsi="Times New Roman" w:hint="eastAsia"/>
          <w:sz w:val="28"/>
          <w:szCs w:val="28"/>
        </w:rPr>
        <w:t>；</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8</w:t>
      </w:r>
      <w:r>
        <w:rPr>
          <w:rFonts w:ascii="Times New Roman" w:hAnsi="Times New Roman" w:hint="eastAsia"/>
          <w:sz w:val="28"/>
          <w:szCs w:val="28"/>
        </w:rPr>
        <w:t>、建筑结构设计常见及疑难问题解析</w:t>
      </w:r>
      <w:r>
        <w:rPr>
          <w:rFonts w:ascii="Times New Roman" w:hAnsi="Times New Roman" w:hint="eastAsia"/>
          <w:sz w:val="28"/>
          <w:szCs w:val="28"/>
        </w:rPr>
        <w:t>[M].</w:t>
      </w:r>
      <w:r>
        <w:rPr>
          <w:rFonts w:ascii="Times New Roman" w:hAnsi="Times New Roman" w:hint="eastAsia"/>
          <w:sz w:val="28"/>
          <w:szCs w:val="28"/>
        </w:rPr>
        <w:t>北京：中国建筑工业出版社，</w:t>
      </w:r>
      <w:r>
        <w:rPr>
          <w:rFonts w:ascii="Times New Roman" w:hAnsi="Times New Roman" w:hint="eastAsia"/>
          <w:sz w:val="28"/>
          <w:szCs w:val="28"/>
        </w:rPr>
        <w:t>2007</w:t>
      </w:r>
      <w:r>
        <w:rPr>
          <w:rFonts w:ascii="Times New Roman" w:hAnsi="Times New Roman" w:hint="eastAsia"/>
          <w:sz w:val="28"/>
          <w:szCs w:val="28"/>
        </w:rPr>
        <w:t>；</w:t>
      </w:r>
    </w:p>
    <w:p w:rsidR="00CF1222" w:rsidRDefault="00CF1222" w:rsidP="00CF1222">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9</w:t>
      </w:r>
      <w:r>
        <w:rPr>
          <w:rFonts w:ascii="Times New Roman" w:hAnsi="Times New Roman" w:hint="eastAsia"/>
          <w:sz w:val="28"/>
          <w:szCs w:val="28"/>
        </w:rPr>
        <w:t>、</w:t>
      </w:r>
      <w:r>
        <w:rPr>
          <w:rFonts w:ascii="Times New Roman" w:hAnsi="Times New Roman"/>
          <w:sz w:val="28"/>
          <w:szCs w:val="28"/>
        </w:rPr>
        <w:t>Nilson</w:t>
      </w:r>
      <w:r>
        <w:rPr>
          <w:rFonts w:ascii="Times New Roman" w:hAnsi="Times New Roman" w:hint="eastAsia"/>
          <w:sz w:val="28"/>
          <w:szCs w:val="28"/>
        </w:rPr>
        <w:t>.</w:t>
      </w:r>
      <w:r>
        <w:rPr>
          <w:rFonts w:ascii="Times New Roman" w:hAnsi="Times New Roman"/>
          <w:sz w:val="28"/>
          <w:szCs w:val="28"/>
        </w:rPr>
        <w:t>Design of concrete structures</w:t>
      </w:r>
      <w:r>
        <w:rPr>
          <w:rFonts w:ascii="Times New Roman" w:hAnsi="Times New Roman" w:hint="eastAsia"/>
          <w:sz w:val="28"/>
          <w:szCs w:val="28"/>
        </w:rPr>
        <w:t>（</w:t>
      </w:r>
      <w:r>
        <w:rPr>
          <w:rFonts w:ascii="Times New Roman" w:hAnsi="Times New Roman"/>
          <w:sz w:val="28"/>
          <w:szCs w:val="28"/>
        </w:rPr>
        <w:t>14th</w:t>
      </w:r>
      <w:r>
        <w:rPr>
          <w:rFonts w:ascii="Times New Roman" w:hAnsi="Times New Roman" w:hint="eastAsia"/>
          <w:sz w:val="28"/>
          <w:szCs w:val="28"/>
        </w:rPr>
        <w:t>）</w:t>
      </w:r>
      <w:r>
        <w:rPr>
          <w:rFonts w:ascii="Times New Roman" w:hAnsi="Times New Roman" w:hint="eastAsia"/>
          <w:sz w:val="28"/>
          <w:szCs w:val="28"/>
        </w:rPr>
        <w:t>.</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七、其他</w:t>
      </w:r>
    </w:p>
    <w:p w:rsidR="00CF1222" w:rsidRDefault="00CF1222" w:rsidP="00CF1222">
      <w:pPr>
        <w:spacing w:line="400" w:lineRule="exact"/>
        <w:ind w:firstLineChars="200" w:firstLine="560"/>
        <w:jc w:val="left"/>
        <w:rPr>
          <w:rFonts w:ascii="黑体" w:eastAsia="黑体" w:hAnsi="黑体"/>
          <w:b/>
          <w:sz w:val="28"/>
          <w:szCs w:val="28"/>
        </w:rPr>
      </w:pPr>
      <w:r>
        <w:rPr>
          <w:rFonts w:ascii="仿宋_GB2312" w:hAnsi="仿宋_GB2312" w:cs="仿宋_GB2312" w:hint="eastAsia"/>
          <w:sz w:val="28"/>
          <w:szCs w:val="28"/>
        </w:rPr>
        <w:t>无</w:t>
      </w:r>
    </w:p>
    <w:p w:rsidR="00CF1222" w:rsidRDefault="00CF1222" w:rsidP="00CF1222">
      <w:pPr>
        <w:spacing w:beforeLines="50" w:before="156" w:afterLines="50" w:after="156" w:line="460" w:lineRule="exact"/>
        <w:rPr>
          <w:rFonts w:ascii="黑体" w:eastAsia="黑体" w:hAnsi="黑体"/>
          <w:b/>
          <w:sz w:val="28"/>
          <w:szCs w:val="28"/>
        </w:rPr>
      </w:pPr>
    </w:p>
    <w:p w:rsidR="00CF1222" w:rsidRDefault="00CF1222" w:rsidP="00CF1222">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大纲撰写人：杨 坤</w:t>
      </w:r>
    </w:p>
    <w:p w:rsidR="00CF1222" w:rsidRDefault="00CF1222" w:rsidP="00CF1222">
      <w:pPr>
        <w:spacing w:line="360" w:lineRule="auto"/>
        <w:ind w:firstLineChars="1200" w:firstLine="3360"/>
        <w:rPr>
          <w:rFonts w:ascii="仿宋" w:eastAsia="仿宋" w:hAnsi="仿宋"/>
          <w:sz w:val="28"/>
          <w:szCs w:val="28"/>
        </w:rPr>
      </w:pPr>
      <w:r w:rsidRPr="006E57E0">
        <w:rPr>
          <w:rFonts w:ascii="仿宋" w:eastAsia="仿宋" w:hAnsi="仿宋" w:hint="eastAsia"/>
          <w:sz w:val="28"/>
          <w:szCs w:val="28"/>
        </w:rPr>
        <w:t>课程负责人：</w:t>
      </w:r>
    </w:p>
    <w:p w:rsidR="00CF1222" w:rsidRDefault="00CF1222" w:rsidP="00CF1222">
      <w:pPr>
        <w:spacing w:line="360" w:lineRule="auto"/>
        <w:ind w:firstLineChars="1200" w:firstLine="3360"/>
        <w:rPr>
          <w:rFonts w:ascii="仿宋" w:hAnsi="仿宋"/>
          <w:sz w:val="28"/>
          <w:szCs w:val="28"/>
        </w:rPr>
      </w:pPr>
      <w:r>
        <w:rPr>
          <w:rFonts w:ascii="仿宋" w:eastAsia="仿宋" w:hAnsi="仿宋" w:hint="eastAsia"/>
          <w:sz w:val="28"/>
          <w:szCs w:val="28"/>
        </w:rPr>
        <w:t xml:space="preserve">审核人：                  </w:t>
      </w:r>
      <w:r>
        <w:rPr>
          <w:rFonts w:ascii="仿宋_GB2312" w:hAnsi="微软雅黑" w:hint="eastAsia"/>
          <w:sz w:val="28"/>
          <w:szCs w:val="28"/>
        </w:rPr>
        <w:t xml:space="preserve">           </w:t>
      </w:r>
    </w:p>
    <w:p w:rsidR="00CF1222" w:rsidRDefault="00CF1222" w:rsidP="00CF1222">
      <w:pPr>
        <w:jc w:val="left"/>
        <w:rPr>
          <w:rFonts w:ascii="仿宋" w:eastAsia="仿宋" w:hAnsi="仿宋"/>
          <w:sz w:val="28"/>
          <w:szCs w:val="28"/>
        </w:rPr>
      </w:pPr>
      <w:r>
        <w:rPr>
          <w:rFonts w:ascii="仿宋" w:eastAsia="仿宋" w:hAnsi="仿宋" w:hint="eastAsia"/>
          <w:sz w:val="28"/>
          <w:szCs w:val="28"/>
        </w:rPr>
        <w:t xml:space="preserve">                                    2021 年6月</w:t>
      </w: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6E57E0" w:rsidRDefault="006E57E0" w:rsidP="00CF1222">
      <w:pPr>
        <w:widowControl/>
        <w:spacing w:line="360" w:lineRule="auto"/>
        <w:jc w:val="center"/>
        <w:rPr>
          <w:rFonts w:ascii="方正小标宋简体" w:eastAsia="方正小标宋简体" w:hAnsi="宋体"/>
          <w:kern w:val="0"/>
          <w:szCs w:val="32"/>
        </w:rPr>
      </w:pPr>
    </w:p>
    <w:p w:rsidR="00CF1222" w:rsidRDefault="00CF1222" w:rsidP="00CF1222">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《公路桥梁工程概论》课程教学大纲</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F1222" w:rsidRDefault="00CF1222" w:rsidP="00CF1222">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英文名称：Introduction of Highway and Bridge Engineering</w:t>
      </w:r>
    </w:p>
    <w:p w:rsidR="00CF1222" w:rsidRDefault="00CF1222" w:rsidP="00CF1222">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课程编码：Z2801080</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CF1222" w:rsidRDefault="00CF1222" w:rsidP="00CF1222">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授课方式：混合（线上课程占20%）</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分：1.5</w:t>
      </w:r>
    </w:p>
    <w:p w:rsidR="00CF1222" w:rsidRDefault="00CF1222" w:rsidP="00CF1222">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时：24学时（授课24学时）</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适用对象：土木工程专业</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先修课程：土力学，材料力学、结构力学，混凝土结构基本理论等</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开课院系：建工学院混凝土与砌体结构教研室</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F1222" w:rsidRDefault="00CF1222" w:rsidP="00CF1222">
      <w:pPr>
        <w:snapToGrid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公路桥梁工程概论》是土木工程专业（建筑工程方向）的专业发展选修课，与其它专业课程具有一定的交叉性。本课程可拓宽土木工程专业学生的知识面，提高学生对道路工程和桥梁工程的认知和分析能力，为土木工程学生今后从事与道路和桥梁工程相关的工作打下初步基础。</w:t>
      </w:r>
    </w:p>
    <w:p w:rsidR="00CF1222" w:rsidRDefault="00CF1222" w:rsidP="00CF1222">
      <w:pPr>
        <w:snapToGrid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本课程系统扼要地阐述道路路线设计、路基路面构造原理及设计理论与方法、公路混凝土桥梁的类型、构造特点、设计和计算方法，注重基本知识体系的构建、基本概念的说明并着重于实际问题的解决。并与土木工程专业涉及到的相关知识进行对比分析，提高学生学生应对不同工程问题的适应能力和创新能力。</w:t>
      </w:r>
    </w:p>
    <w:p w:rsidR="00CF1222" w:rsidRDefault="00CF1222" w:rsidP="00CF1222">
      <w:pPr>
        <w:snapToGrid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lastRenderedPageBreak/>
        <w:t>本课程主要采用多媒体授课，将信息技术融入课堂教学，以学生为中心进行教学设计，通过课前预习、课中互动、课后习题巩固相结合的方式实行过程学习督促，并注重学习效果分析和改进。</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课程任务</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通过本课程的学习，学生应熟悉公路路线、路基路面的设计理论及设计方法；掌握公路钢筋混凝土简支梁、预应力混凝土简支梁和钢筋混凝土拱桥的基本特点、计算理论和计算方法，具备中小跨径桥梁的识图及分析能力；了解连续梁桥、刚构桥、斜拉桥、悬索桥等大跨径桥梁的受力特点、结构构造以及设计要点。</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2.课程基本要求</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2.1课程目标</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1)掌握公路工程和桥梁工程的相关概念和基本组成，熟悉其设计理论和设计方法。了解公路与桥梁工程的发展现状和发展前沿，拓展思维的同时引导学生找到与土木工程其它专业课的知识交叉点，提高学生知识交叉融合能力和面对不同专业领域的和适应能力。</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(2)掌握中小跨径桥梁的结构构造、计算理论和计算方法，使学生在本专业基础课程学习的基础上，合理构建桥梁结构知识体系，提高和拓展结构分析能力和计算能力，培养学生面对不同工程结构问题的解决能力和创新能力，增强竞争力。</w:t>
      </w:r>
    </w:p>
    <w:p w:rsidR="00CF1222" w:rsidRDefault="00CF1222" w:rsidP="00CF1222">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 xml:space="preserve">2.2 课程目标与毕业要求之间的对应关系 </w:t>
      </w:r>
    </w:p>
    <w:p w:rsidR="00CF1222" w:rsidRDefault="00CF1222" w:rsidP="00CF1222">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课程目标与毕业要求之间的对应关系见下表。</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7"/>
        <w:gridCol w:w="3086"/>
        <w:gridCol w:w="932"/>
        <w:gridCol w:w="932"/>
        <w:gridCol w:w="7"/>
      </w:tblGrid>
      <w:tr w:rsidR="00CF1222" w:rsidTr="00CF1222">
        <w:tc>
          <w:tcPr>
            <w:tcW w:w="3871" w:type="pct"/>
            <w:gridSpan w:val="2"/>
            <w:vMerge w:val="restart"/>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毕业要求及其指标点</w:t>
            </w:r>
          </w:p>
        </w:tc>
        <w:tc>
          <w:tcPr>
            <w:tcW w:w="1128" w:type="pct"/>
            <w:gridSpan w:val="3"/>
            <w:tcBorders>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教学目标</w:t>
            </w:r>
          </w:p>
        </w:tc>
      </w:tr>
      <w:tr w:rsidR="00CF1222" w:rsidTr="00CF1222">
        <w:trPr>
          <w:gridAfter w:val="1"/>
          <w:wAfter w:w="2" w:type="pct"/>
        </w:trPr>
        <w:tc>
          <w:tcPr>
            <w:tcW w:w="3871" w:type="pct"/>
            <w:gridSpan w:val="2"/>
            <w:vMerge/>
            <w:vAlign w:val="center"/>
          </w:tcPr>
          <w:p w:rsidR="00CF1222" w:rsidRDefault="00CF1222" w:rsidP="00CF1222">
            <w:pPr>
              <w:rPr>
                <w:rFonts w:ascii="Times New Roman" w:hAnsi="Times New Roman"/>
                <w:sz w:val="24"/>
                <w:szCs w:val="24"/>
              </w:rPr>
            </w:pPr>
          </w:p>
        </w:tc>
        <w:tc>
          <w:tcPr>
            <w:tcW w:w="562" w:type="pct"/>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tc>
        <w:tc>
          <w:tcPr>
            <w:tcW w:w="562" w:type="pct"/>
            <w:tcBorders>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r>
      <w:tr w:rsidR="00CF1222" w:rsidTr="00CF1222">
        <w:trPr>
          <w:gridAfter w:val="1"/>
          <w:wAfter w:w="2" w:type="pct"/>
        </w:trPr>
        <w:tc>
          <w:tcPr>
            <w:tcW w:w="2011" w:type="pct"/>
            <w:vAlign w:val="center"/>
          </w:tcPr>
          <w:p w:rsidR="00CF1222" w:rsidRDefault="00CF1222" w:rsidP="00CF1222">
            <w:pPr>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工程知识</w:t>
            </w:r>
            <w:r>
              <w:rPr>
                <w:rFonts w:ascii="Times New Roman" w:hAnsi="Times New Roman" w:hint="eastAsia"/>
                <w:sz w:val="24"/>
                <w:szCs w:val="24"/>
              </w:rPr>
              <w:t>应用能力</w:t>
            </w:r>
          </w:p>
        </w:tc>
        <w:tc>
          <w:tcPr>
            <w:tcW w:w="1859" w:type="pct"/>
            <w:vAlign w:val="center"/>
          </w:tcPr>
          <w:p w:rsidR="00CF1222" w:rsidRDefault="00CF1222" w:rsidP="00CF1222">
            <w:pPr>
              <w:rPr>
                <w:rFonts w:ascii="Times New Roman" w:hAnsi="Times New Roman"/>
                <w:sz w:val="24"/>
                <w:szCs w:val="24"/>
              </w:rPr>
            </w:pPr>
            <w:r>
              <w:rPr>
                <w:rFonts w:ascii="仿宋" w:eastAsia="仿宋" w:hAnsi="仿宋" w:cs="仿宋" w:hint="eastAsia"/>
                <w:kern w:val="0"/>
                <w:sz w:val="24"/>
                <w:szCs w:val="24"/>
              </w:rPr>
              <w:t>1.4 掌握土木工程专业知识，具备知识交叉融合能力，应用于解决土木工程专业复杂工程问题。</w:t>
            </w:r>
          </w:p>
        </w:tc>
        <w:tc>
          <w:tcPr>
            <w:tcW w:w="562"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562" w:type="pct"/>
            <w:tcBorders>
              <w:right w:val="single" w:sz="4" w:space="0" w:color="auto"/>
            </w:tcBorders>
            <w:vAlign w:val="center"/>
          </w:tcPr>
          <w:p w:rsidR="00CF1222" w:rsidRDefault="00CF1222" w:rsidP="00CF1222">
            <w:pPr>
              <w:jc w:val="center"/>
              <w:rPr>
                <w:rFonts w:ascii="Times New Roman" w:hAnsi="Times New Roman"/>
                <w:sz w:val="24"/>
                <w:szCs w:val="24"/>
              </w:rPr>
            </w:pPr>
          </w:p>
        </w:tc>
      </w:tr>
      <w:tr w:rsidR="00CF1222" w:rsidTr="00CF1222">
        <w:trPr>
          <w:gridAfter w:val="1"/>
          <w:wAfter w:w="2" w:type="pct"/>
        </w:trPr>
        <w:tc>
          <w:tcPr>
            <w:tcW w:w="2011" w:type="pct"/>
            <w:vAlign w:val="center"/>
          </w:tcPr>
          <w:p w:rsidR="00CF1222" w:rsidRDefault="00CF1222" w:rsidP="00CF1222">
            <w:pPr>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设计（开发）</w:t>
            </w:r>
            <w:r>
              <w:rPr>
                <w:rFonts w:ascii="Times New Roman" w:hAnsi="Times New Roman" w:hint="eastAsia"/>
                <w:sz w:val="24"/>
                <w:szCs w:val="24"/>
              </w:rPr>
              <w:t>能力</w:t>
            </w:r>
          </w:p>
        </w:tc>
        <w:tc>
          <w:tcPr>
            <w:tcW w:w="1859" w:type="pct"/>
            <w:vAlign w:val="center"/>
          </w:tcPr>
          <w:p w:rsidR="00CF1222" w:rsidRDefault="00CF1222" w:rsidP="00CF1222">
            <w:pPr>
              <w:spacing w:line="360" w:lineRule="auto"/>
              <w:rPr>
                <w:rFonts w:ascii="仿宋" w:eastAsia="仿宋" w:hAnsi="仿宋" w:cs="仿宋"/>
                <w:kern w:val="0"/>
                <w:sz w:val="24"/>
                <w:szCs w:val="24"/>
              </w:rPr>
            </w:pPr>
            <w:r>
              <w:rPr>
                <w:rFonts w:ascii="仿宋" w:eastAsia="仿宋" w:hAnsi="仿宋" w:cs="仿宋" w:hint="eastAsia"/>
                <w:kern w:val="0"/>
                <w:sz w:val="24"/>
                <w:szCs w:val="24"/>
              </w:rPr>
              <w:t>3.1 能够针对特定需求，确定工程基本单元的设计目标或问题解决方案。</w:t>
            </w:r>
          </w:p>
          <w:p w:rsidR="00CF1222" w:rsidRDefault="00CF1222" w:rsidP="00CF1222">
            <w:pPr>
              <w:rPr>
                <w:rFonts w:ascii="Times New Roman" w:hAnsi="Times New Roman"/>
                <w:sz w:val="24"/>
                <w:szCs w:val="24"/>
              </w:rPr>
            </w:pPr>
          </w:p>
        </w:tc>
        <w:tc>
          <w:tcPr>
            <w:tcW w:w="562" w:type="pct"/>
            <w:vAlign w:val="center"/>
          </w:tcPr>
          <w:p w:rsidR="00CF1222" w:rsidRDefault="00CF1222" w:rsidP="00CF1222">
            <w:pPr>
              <w:jc w:val="center"/>
              <w:rPr>
                <w:rFonts w:ascii="Times New Roman" w:hAnsi="Times New Roman"/>
                <w:sz w:val="24"/>
                <w:szCs w:val="24"/>
              </w:rPr>
            </w:pPr>
          </w:p>
        </w:tc>
        <w:tc>
          <w:tcPr>
            <w:tcW w:w="562"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r>
      <w:tr w:rsidR="00CF1222" w:rsidTr="00CF1222">
        <w:trPr>
          <w:gridAfter w:val="1"/>
          <w:wAfter w:w="2" w:type="pct"/>
        </w:trPr>
        <w:tc>
          <w:tcPr>
            <w:tcW w:w="2011" w:type="pct"/>
            <w:vAlign w:val="center"/>
          </w:tcPr>
          <w:p w:rsidR="00CF1222" w:rsidRDefault="00CF1222" w:rsidP="00CF1222">
            <w:pPr>
              <w:rPr>
                <w:rFonts w:ascii="Times New Roman" w:hAnsi="Times New Roman"/>
                <w:sz w:val="24"/>
                <w:szCs w:val="24"/>
              </w:rPr>
            </w:pPr>
            <w:r>
              <w:rPr>
                <w:rFonts w:ascii="Times New Roman" w:hAnsi="Times New Roman" w:hint="eastAsia"/>
                <w:sz w:val="24"/>
                <w:szCs w:val="24"/>
              </w:rPr>
              <w:t>12</w:t>
            </w:r>
            <w:r>
              <w:rPr>
                <w:rFonts w:ascii="Times New Roman" w:hAnsi="Times New Roman"/>
                <w:sz w:val="24"/>
                <w:szCs w:val="24"/>
              </w:rPr>
              <w:t xml:space="preserve">. </w:t>
            </w:r>
            <w:r>
              <w:rPr>
                <w:rFonts w:ascii="Times New Roman" w:hAnsi="Times New Roman"/>
                <w:sz w:val="24"/>
                <w:szCs w:val="24"/>
              </w:rPr>
              <w:t>终身学习</w:t>
            </w:r>
            <w:r>
              <w:rPr>
                <w:rFonts w:ascii="Times New Roman" w:hAnsi="Times New Roman" w:hint="eastAsia"/>
                <w:sz w:val="24"/>
                <w:szCs w:val="24"/>
              </w:rPr>
              <w:t>能力</w:t>
            </w:r>
          </w:p>
        </w:tc>
        <w:tc>
          <w:tcPr>
            <w:tcW w:w="1859" w:type="pct"/>
            <w:vAlign w:val="center"/>
          </w:tcPr>
          <w:p w:rsidR="00CF1222" w:rsidRDefault="00CF1222" w:rsidP="00CF1222">
            <w:pPr>
              <w:rPr>
                <w:rFonts w:ascii="Times New Roman" w:hAnsi="Times New Roman"/>
                <w:sz w:val="24"/>
                <w:szCs w:val="24"/>
              </w:rPr>
            </w:pPr>
            <w:r>
              <w:rPr>
                <w:rFonts w:ascii="仿宋" w:eastAsia="仿宋" w:hAnsi="仿宋" w:cs="仿宋" w:hint="eastAsia"/>
                <w:kern w:val="0"/>
                <w:sz w:val="24"/>
                <w:szCs w:val="24"/>
              </w:rPr>
              <w:t>12.2 掌握拓展新知识的途径与方法，具有不断学习和适应技术、经济与社会可持续发展的能力。</w:t>
            </w:r>
          </w:p>
        </w:tc>
        <w:tc>
          <w:tcPr>
            <w:tcW w:w="562"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562" w:type="pct"/>
            <w:vAlign w:val="center"/>
          </w:tcPr>
          <w:p w:rsidR="00CF1222" w:rsidRDefault="00CF1222" w:rsidP="00CF1222">
            <w:pPr>
              <w:jc w:val="center"/>
              <w:rPr>
                <w:rFonts w:ascii="Times New Roman" w:hAnsi="Times New Roman"/>
                <w:sz w:val="24"/>
                <w:szCs w:val="24"/>
              </w:rPr>
            </w:pPr>
          </w:p>
        </w:tc>
      </w:tr>
    </w:tbl>
    <w:p w:rsidR="00CF1222" w:rsidRDefault="00CF1222" w:rsidP="00CF1222">
      <w:pPr>
        <w:spacing w:line="360" w:lineRule="auto"/>
        <w:ind w:firstLine="331"/>
        <w:rPr>
          <w:rFonts w:ascii="仿宋_GB2312" w:hAnsi="仿宋_GB2312" w:cs="仿宋_GB2312"/>
          <w:sz w:val="28"/>
          <w:szCs w:val="28"/>
        </w:rPr>
      </w:pP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F1222" w:rsidRDefault="00CF1222" w:rsidP="00CF1222">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本课程的重点内容包括：公路路线平面、纵断面、横断面的构成要素基本概念；路基工程基本概念、路基路基横断面的组成及设计；路面结构组成及各结构层要求；公路桥梁上的作用；钢筋混凝土和预应力混凝土简支板桥、简支梁桥的构造、行车道板内力计算、主梁内力计算；拱桥的类型及构造特点；斜拉桥、悬索桥的受力特点和构造特点。</w:t>
      </w:r>
    </w:p>
    <w:p w:rsidR="00CF1222" w:rsidRDefault="00CF1222" w:rsidP="00CF1222">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本课程的难点内容包括：路基边坡稳定性分析；沥青路面和水泥路面的设计理论和指标体系；行车道板内力计算、主梁内力计算；拱桥的设计及计算；斜拉桥和悬索桥的结构构造。</w:t>
      </w: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F1222" w:rsidRDefault="00CF1222" w:rsidP="00CF1222">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在公路工程概论中，通过讲述我国公路特别是高速公路的修建里程、道路质量以及发展趋势，增强学生对我国公路工程发展的自豪感、责任感，激发学生的爱国热情和建设工程强国的信心。通过讲述公路</w:t>
      </w:r>
      <w:r>
        <w:rPr>
          <w:rFonts w:ascii="仿宋_GB2312" w:hAnsi="仿宋_GB2312" w:cs="仿宋_GB2312" w:hint="eastAsia"/>
          <w:sz w:val="28"/>
          <w:szCs w:val="28"/>
        </w:rPr>
        <w:lastRenderedPageBreak/>
        <w:t>路基和建筑地基在土质学、土力学、边坡稳定分析、挡土墙设计等方面的异同和交叉点，引导学生触类旁通，扎实学好专业基础课程，拓宽专业方向，增强社会适应能力和职业信心。通过讲述路面工程新技术、我校路面工程方面的成就及前辈艰苦奋斗的历程，引导学生勤奋学习，建立深耕行业的工匠精神。</w:t>
      </w:r>
    </w:p>
    <w:p w:rsidR="00CF1222" w:rsidRDefault="00CF1222" w:rsidP="00CF1222">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桥梁工程概论中，讲述港珠澳大桥、杭州湾跨海大桥、苏通长江公路大桥、虎门大桥风振控制、重庆朝天门大桥等我国桥梁建设的成就，增强学生对我国桥梁工程发展的自豪感、激发学生的爱国热情和建设超级工程强国的信心，引导学生建立强烈的工程责任心，树立打好专业基本功的决心。通过举例说明我国大跨度斜拉桥、悬索桥的建造成就，增强学生的民族自豪感和主人翁意识。通过举例说明武汉长江大桥基础和墩台施工的难度和技术突破，增强学生吃苦耐劳和自主独立研发、建设桥梁强国的责任感。</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2955"/>
        <w:gridCol w:w="2859"/>
      </w:tblGrid>
      <w:tr w:rsidR="00CF1222" w:rsidTr="00CF1222">
        <w:trPr>
          <w:cantSplit/>
          <w:trHeight w:val="785"/>
        </w:trPr>
        <w:tc>
          <w:tcPr>
            <w:tcW w:w="51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序号</w:t>
            </w:r>
          </w:p>
        </w:tc>
        <w:tc>
          <w:tcPr>
            <w:tcW w:w="210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章  节</w:t>
            </w:r>
          </w:p>
        </w:tc>
        <w:tc>
          <w:tcPr>
            <w:tcW w:w="727"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参考学时</w:t>
            </w:r>
          </w:p>
        </w:tc>
        <w:tc>
          <w:tcPr>
            <w:tcW w:w="2955"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教学内容</w:t>
            </w:r>
          </w:p>
        </w:tc>
        <w:tc>
          <w:tcPr>
            <w:tcW w:w="2859"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基本要求</w:t>
            </w:r>
          </w:p>
        </w:tc>
      </w:tr>
      <w:tr w:rsidR="00CF1222" w:rsidTr="00CF1222">
        <w:trPr>
          <w:trHeight w:val="428"/>
        </w:trPr>
        <w:tc>
          <w:tcPr>
            <w:tcW w:w="2614" w:type="dxa"/>
            <w:gridSpan w:val="2"/>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b/>
                <w:bCs/>
                <w:kern w:val="0"/>
                <w:sz w:val="24"/>
                <w:szCs w:val="24"/>
              </w:rPr>
              <w:t>第一篇 道路工程概论</w:t>
            </w:r>
          </w:p>
        </w:tc>
        <w:tc>
          <w:tcPr>
            <w:tcW w:w="727"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共7学时</w:t>
            </w:r>
          </w:p>
        </w:tc>
        <w:tc>
          <w:tcPr>
            <w:tcW w:w="2955" w:type="dxa"/>
            <w:vAlign w:val="center"/>
          </w:tcPr>
          <w:p w:rsidR="00CF1222" w:rsidRDefault="00CF1222" w:rsidP="00CF1222">
            <w:pPr>
              <w:jc w:val="left"/>
              <w:rPr>
                <w:rFonts w:ascii="仿宋" w:eastAsia="仿宋" w:hAnsi="仿宋" w:cs="仿宋"/>
                <w:kern w:val="0"/>
                <w:sz w:val="24"/>
                <w:szCs w:val="24"/>
              </w:rPr>
            </w:pPr>
          </w:p>
        </w:tc>
        <w:tc>
          <w:tcPr>
            <w:tcW w:w="2859" w:type="dxa"/>
            <w:vAlign w:val="center"/>
          </w:tcPr>
          <w:p w:rsidR="00CF1222" w:rsidRDefault="00CF1222" w:rsidP="00CF1222">
            <w:pPr>
              <w:jc w:val="left"/>
              <w:rPr>
                <w:rFonts w:ascii="仿宋" w:eastAsia="仿宋" w:hAnsi="仿宋" w:cs="仿宋"/>
                <w:kern w:val="0"/>
                <w:sz w:val="24"/>
                <w:szCs w:val="24"/>
              </w:rPr>
            </w:pPr>
          </w:p>
        </w:tc>
      </w:tr>
      <w:tr w:rsidR="00CF1222" w:rsidTr="00CF1222">
        <w:trPr>
          <w:trHeight w:val="818"/>
        </w:trPr>
        <w:tc>
          <w:tcPr>
            <w:tcW w:w="51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2102" w:type="dxa"/>
            <w:vAlign w:val="center"/>
          </w:tcPr>
          <w:p w:rsidR="00CF1222" w:rsidRDefault="00CF1222" w:rsidP="005F6318">
            <w:pPr>
              <w:numPr>
                <w:ilvl w:val="0"/>
                <w:numId w:val="12"/>
              </w:numPr>
              <w:rPr>
                <w:rFonts w:ascii="仿宋" w:eastAsia="仿宋" w:hAnsi="仿宋" w:cs="仿宋"/>
                <w:kern w:val="0"/>
                <w:sz w:val="24"/>
                <w:szCs w:val="24"/>
              </w:rPr>
            </w:pPr>
            <w:r>
              <w:rPr>
                <w:rFonts w:ascii="仿宋" w:eastAsia="仿宋" w:hAnsi="仿宋" w:cs="仿宋" w:hint="eastAsia"/>
                <w:kern w:val="0"/>
                <w:sz w:val="24"/>
                <w:szCs w:val="24"/>
              </w:rPr>
              <w:t>绪论</w:t>
            </w:r>
          </w:p>
          <w:p w:rsidR="00CF1222" w:rsidRDefault="00CF1222" w:rsidP="00CF1222">
            <w:pPr>
              <w:rPr>
                <w:rFonts w:ascii="仿宋" w:eastAsia="仿宋" w:hAnsi="仿宋" w:cs="仿宋"/>
                <w:kern w:val="0"/>
                <w:sz w:val="24"/>
                <w:szCs w:val="24"/>
              </w:rPr>
            </w:pPr>
            <w:r>
              <w:rPr>
                <w:rFonts w:ascii="仿宋" w:eastAsia="仿宋" w:hAnsi="仿宋" w:cs="仿宋" w:hint="eastAsia"/>
                <w:kern w:val="0"/>
                <w:sz w:val="24"/>
                <w:szCs w:val="24"/>
              </w:rPr>
              <w:t>第二章 道路路线设计</w:t>
            </w:r>
          </w:p>
        </w:tc>
        <w:tc>
          <w:tcPr>
            <w:tcW w:w="727"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2955"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1.1道路分级与技术标准</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1.2车辆与交通特征</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2.1路线平面设计</w:t>
            </w:r>
          </w:p>
          <w:p w:rsidR="00CF1222" w:rsidRDefault="00CF1222" w:rsidP="00CF1222">
            <w:pPr>
              <w:jc w:val="left"/>
              <w:rPr>
                <w:rFonts w:ascii="仿宋" w:eastAsia="仿宋" w:hAnsi="仿宋" w:cs="仿宋"/>
                <w:kern w:val="0"/>
                <w:sz w:val="24"/>
                <w:szCs w:val="24"/>
              </w:rPr>
            </w:pPr>
          </w:p>
        </w:tc>
        <w:tc>
          <w:tcPr>
            <w:tcW w:w="2859"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掌握道路分类及技术标准，了解道路车辆与交通特征。</w:t>
            </w:r>
          </w:p>
        </w:tc>
      </w:tr>
      <w:tr w:rsidR="00CF1222" w:rsidTr="00CF1222">
        <w:trPr>
          <w:trHeight w:val="555"/>
        </w:trPr>
        <w:tc>
          <w:tcPr>
            <w:tcW w:w="51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210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第二章 道路路线设计</w:t>
            </w:r>
          </w:p>
        </w:tc>
        <w:tc>
          <w:tcPr>
            <w:tcW w:w="727"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2955"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2.2纵断面设计</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2.3横断面设计</w:t>
            </w:r>
          </w:p>
        </w:tc>
        <w:tc>
          <w:tcPr>
            <w:tcW w:w="2859"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熟悉平面、纵断面、横断面的构成要素、设计标准及设计成果。</w:t>
            </w:r>
          </w:p>
        </w:tc>
      </w:tr>
      <w:tr w:rsidR="00CF1222" w:rsidTr="00CF1222">
        <w:trPr>
          <w:trHeight w:val="1939"/>
        </w:trPr>
        <w:tc>
          <w:tcPr>
            <w:tcW w:w="51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lastRenderedPageBreak/>
              <w:t>3</w:t>
            </w:r>
          </w:p>
        </w:tc>
        <w:tc>
          <w:tcPr>
            <w:tcW w:w="210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第三章 路基工程</w:t>
            </w:r>
          </w:p>
        </w:tc>
        <w:tc>
          <w:tcPr>
            <w:tcW w:w="727"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2955"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3.1概述</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3.2一般路基设计</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3.3路基排水设计</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3.4路基防护与加固</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3.5挡土墙</w:t>
            </w:r>
          </w:p>
        </w:tc>
        <w:tc>
          <w:tcPr>
            <w:tcW w:w="2859"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掌握路基的结构组成、一般路基设计原则和方法，了解路基排水设计、路基稳定性分析、路基防护加固工程形式及挡土墙构造。</w:t>
            </w:r>
          </w:p>
          <w:p w:rsidR="00CF1222" w:rsidRDefault="00CF1222" w:rsidP="00CF1222">
            <w:pPr>
              <w:jc w:val="left"/>
              <w:rPr>
                <w:rFonts w:ascii="仿宋" w:eastAsia="仿宋" w:hAnsi="仿宋" w:cs="仿宋"/>
                <w:kern w:val="0"/>
                <w:sz w:val="24"/>
                <w:szCs w:val="24"/>
              </w:rPr>
            </w:pPr>
          </w:p>
        </w:tc>
      </w:tr>
      <w:tr w:rsidR="00CF1222" w:rsidTr="00CF1222">
        <w:trPr>
          <w:trHeight w:val="1052"/>
        </w:trPr>
        <w:tc>
          <w:tcPr>
            <w:tcW w:w="51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210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第四章 路面工程</w:t>
            </w:r>
          </w:p>
        </w:tc>
        <w:tc>
          <w:tcPr>
            <w:tcW w:w="727"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2955"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4.1概述</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4.2沥青路面</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4.3水泥路面</w:t>
            </w:r>
          </w:p>
        </w:tc>
        <w:tc>
          <w:tcPr>
            <w:tcW w:w="2859"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掌握路面的结构组成及路面荷载形式；熟悉沥青路面、水泥路面的设计理论和计算方法。</w:t>
            </w:r>
          </w:p>
        </w:tc>
      </w:tr>
      <w:tr w:rsidR="00CF1222" w:rsidTr="00CF1222">
        <w:trPr>
          <w:trHeight w:val="548"/>
        </w:trPr>
        <w:tc>
          <w:tcPr>
            <w:tcW w:w="2614" w:type="dxa"/>
            <w:gridSpan w:val="2"/>
            <w:vAlign w:val="center"/>
          </w:tcPr>
          <w:p w:rsidR="00CF1222" w:rsidRDefault="00CF1222" w:rsidP="00CF1222">
            <w:pPr>
              <w:jc w:val="center"/>
              <w:rPr>
                <w:rFonts w:ascii="仿宋" w:eastAsia="仿宋" w:hAnsi="仿宋" w:cs="仿宋"/>
                <w:b/>
                <w:bCs/>
                <w:kern w:val="0"/>
                <w:sz w:val="24"/>
                <w:szCs w:val="24"/>
              </w:rPr>
            </w:pPr>
            <w:r>
              <w:rPr>
                <w:rFonts w:ascii="仿宋" w:eastAsia="仿宋" w:hAnsi="仿宋" w:cs="仿宋" w:hint="eastAsia"/>
                <w:b/>
                <w:bCs/>
                <w:kern w:val="0"/>
                <w:sz w:val="24"/>
                <w:szCs w:val="24"/>
              </w:rPr>
              <w:t>第二篇 桥梁工程概论</w:t>
            </w:r>
          </w:p>
        </w:tc>
        <w:tc>
          <w:tcPr>
            <w:tcW w:w="727"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共17学时</w:t>
            </w:r>
          </w:p>
        </w:tc>
        <w:tc>
          <w:tcPr>
            <w:tcW w:w="2955" w:type="dxa"/>
            <w:vAlign w:val="center"/>
          </w:tcPr>
          <w:p w:rsidR="00CF1222" w:rsidRDefault="00CF1222" w:rsidP="00CF1222">
            <w:pPr>
              <w:jc w:val="left"/>
              <w:rPr>
                <w:rFonts w:ascii="仿宋" w:eastAsia="仿宋" w:hAnsi="仿宋" w:cs="仿宋"/>
                <w:kern w:val="0"/>
                <w:sz w:val="24"/>
                <w:szCs w:val="24"/>
              </w:rPr>
            </w:pPr>
          </w:p>
        </w:tc>
        <w:tc>
          <w:tcPr>
            <w:tcW w:w="2859" w:type="dxa"/>
            <w:vAlign w:val="center"/>
          </w:tcPr>
          <w:p w:rsidR="00CF1222" w:rsidRDefault="00CF1222" w:rsidP="00CF1222">
            <w:pPr>
              <w:jc w:val="left"/>
              <w:rPr>
                <w:rFonts w:ascii="仿宋" w:eastAsia="仿宋" w:hAnsi="仿宋" w:cs="仿宋"/>
                <w:kern w:val="0"/>
                <w:sz w:val="24"/>
                <w:szCs w:val="24"/>
              </w:rPr>
            </w:pPr>
          </w:p>
        </w:tc>
      </w:tr>
      <w:tr w:rsidR="00CF1222" w:rsidTr="00CF1222">
        <w:trPr>
          <w:trHeight w:val="548"/>
        </w:trPr>
        <w:tc>
          <w:tcPr>
            <w:tcW w:w="51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210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第一章 绪论</w:t>
            </w:r>
          </w:p>
        </w:tc>
        <w:tc>
          <w:tcPr>
            <w:tcW w:w="727"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2955"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桥梁总体规划</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公路桥梁上的作用</w:t>
            </w:r>
          </w:p>
        </w:tc>
        <w:tc>
          <w:tcPr>
            <w:tcW w:w="2859"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掌握桥梁上的作用，了解桥梁总体规划</w:t>
            </w:r>
          </w:p>
        </w:tc>
      </w:tr>
      <w:tr w:rsidR="00CF1222" w:rsidTr="00CF1222">
        <w:trPr>
          <w:trHeight w:val="548"/>
        </w:trPr>
        <w:tc>
          <w:tcPr>
            <w:tcW w:w="51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5</w:t>
            </w:r>
          </w:p>
        </w:tc>
        <w:tc>
          <w:tcPr>
            <w:tcW w:w="210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第二章混凝土梁桥</w:t>
            </w:r>
          </w:p>
        </w:tc>
        <w:tc>
          <w:tcPr>
            <w:tcW w:w="727"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8</w:t>
            </w:r>
          </w:p>
        </w:tc>
        <w:tc>
          <w:tcPr>
            <w:tcW w:w="2955"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2.1混凝土梁桥构造</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2.2 梁桥桥面构造</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2.3 简支梁桥的设计方法简介</w:t>
            </w:r>
          </w:p>
          <w:p w:rsidR="00CF1222" w:rsidRDefault="00CF1222" w:rsidP="00CF1222">
            <w:pPr>
              <w:jc w:val="left"/>
              <w:rPr>
                <w:rFonts w:ascii="仿宋" w:eastAsia="仿宋" w:hAnsi="仿宋" w:cs="仿宋"/>
                <w:kern w:val="0"/>
                <w:sz w:val="24"/>
                <w:szCs w:val="24"/>
              </w:rPr>
            </w:pPr>
          </w:p>
        </w:tc>
        <w:tc>
          <w:tcPr>
            <w:tcW w:w="2859"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掌握装配式钢筋混凝土和预应力混凝土T型截面梁桥的构造及配筋方法，掌握桥面板、主梁内力计算方法，了解桥面构造。</w:t>
            </w:r>
          </w:p>
        </w:tc>
      </w:tr>
      <w:tr w:rsidR="00CF1222" w:rsidTr="00CF1222">
        <w:trPr>
          <w:trHeight w:val="548"/>
        </w:trPr>
        <w:tc>
          <w:tcPr>
            <w:tcW w:w="51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6</w:t>
            </w:r>
          </w:p>
        </w:tc>
        <w:tc>
          <w:tcPr>
            <w:tcW w:w="210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第三章 拱桥</w:t>
            </w:r>
          </w:p>
        </w:tc>
        <w:tc>
          <w:tcPr>
            <w:tcW w:w="727"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2955"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3.1拱桥的构造</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3.2拱桥设计简介</w:t>
            </w:r>
          </w:p>
        </w:tc>
        <w:tc>
          <w:tcPr>
            <w:tcW w:w="2859"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掌握拱桥的特点、类型及构造，熟悉拱桥的设计及计算方法。</w:t>
            </w:r>
          </w:p>
        </w:tc>
      </w:tr>
      <w:tr w:rsidR="00CF1222" w:rsidTr="00CF1222">
        <w:trPr>
          <w:trHeight w:val="548"/>
        </w:trPr>
        <w:tc>
          <w:tcPr>
            <w:tcW w:w="51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7</w:t>
            </w:r>
          </w:p>
        </w:tc>
        <w:tc>
          <w:tcPr>
            <w:tcW w:w="210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第四章 其他体系桥梁简介</w:t>
            </w:r>
          </w:p>
        </w:tc>
        <w:tc>
          <w:tcPr>
            <w:tcW w:w="727"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2955"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4.1 刚架桥</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4.2 斜拉桥</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4.3 悬索桥</w:t>
            </w:r>
          </w:p>
        </w:tc>
        <w:tc>
          <w:tcPr>
            <w:tcW w:w="2859"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了解刚构桥、斜拉桥、悬索桥等其他体系桥梁的基本概念、受力特征、主要类型及构造特点。</w:t>
            </w:r>
          </w:p>
        </w:tc>
      </w:tr>
      <w:tr w:rsidR="00CF1222" w:rsidTr="00CF1222">
        <w:trPr>
          <w:trHeight w:val="548"/>
        </w:trPr>
        <w:tc>
          <w:tcPr>
            <w:tcW w:w="51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8</w:t>
            </w:r>
          </w:p>
        </w:tc>
        <w:tc>
          <w:tcPr>
            <w:tcW w:w="2102"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第五章 桥梁墩台与基础</w:t>
            </w:r>
          </w:p>
        </w:tc>
        <w:tc>
          <w:tcPr>
            <w:tcW w:w="727" w:type="dxa"/>
            <w:vAlign w:val="center"/>
          </w:tcPr>
          <w:p w:rsidR="00CF1222" w:rsidRDefault="00CF1222" w:rsidP="00CF1222">
            <w:pPr>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2955"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5.1桥梁墩台与基础构造</w:t>
            </w:r>
          </w:p>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5.2桥梁墩台与基础设计简述</w:t>
            </w:r>
          </w:p>
        </w:tc>
        <w:tc>
          <w:tcPr>
            <w:tcW w:w="2859" w:type="dxa"/>
            <w:vAlign w:val="center"/>
          </w:tcPr>
          <w:p w:rsidR="00CF1222" w:rsidRDefault="00CF1222" w:rsidP="00CF1222">
            <w:pPr>
              <w:jc w:val="left"/>
              <w:rPr>
                <w:rFonts w:ascii="仿宋" w:eastAsia="仿宋" w:hAnsi="仿宋" w:cs="仿宋"/>
                <w:kern w:val="0"/>
                <w:sz w:val="24"/>
                <w:szCs w:val="24"/>
              </w:rPr>
            </w:pPr>
            <w:r>
              <w:rPr>
                <w:rFonts w:ascii="仿宋" w:eastAsia="仿宋" w:hAnsi="仿宋" w:cs="仿宋" w:hint="eastAsia"/>
                <w:kern w:val="0"/>
                <w:sz w:val="24"/>
                <w:szCs w:val="24"/>
              </w:rPr>
              <w:t>桥梁墩台的类型和构造设计、计算方法。</w:t>
            </w:r>
          </w:p>
          <w:p w:rsidR="00CF1222" w:rsidRDefault="00CF1222" w:rsidP="00CF1222">
            <w:pPr>
              <w:jc w:val="left"/>
              <w:rPr>
                <w:rFonts w:ascii="仿宋" w:eastAsia="仿宋" w:hAnsi="仿宋" w:cs="仿宋"/>
                <w:kern w:val="0"/>
                <w:sz w:val="24"/>
                <w:szCs w:val="24"/>
              </w:rPr>
            </w:pPr>
          </w:p>
        </w:tc>
      </w:tr>
    </w:tbl>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本课程考核方式为考查。</w:t>
      </w:r>
    </w:p>
    <w:p w:rsidR="00CF1222" w:rsidRDefault="00CF1222"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F1222" w:rsidRDefault="00CF1222" w:rsidP="00CF1222">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本课程成绩评定方式为百分制，</w:t>
      </w:r>
      <w:r>
        <w:rPr>
          <w:rFonts w:ascii="仿宋_GB2312" w:hAnsi="仿宋_GB2312" w:cs="仿宋_GB2312"/>
          <w:sz w:val="28"/>
          <w:szCs w:val="28"/>
        </w:rPr>
        <w:t>课程总成绩=期末成绩</w:t>
      </w:r>
      <w:r>
        <w:rPr>
          <w:rFonts w:ascii="仿宋_GB2312" w:hAnsi="仿宋_GB2312" w:cs="仿宋_GB2312" w:hint="eastAsia"/>
          <w:sz w:val="28"/>
          <w:szCs w:val="28"/>
        </w:rPr>
        <w:t>50%+平时</w:t>
      </w:r>
      <w:r>
        <w:rPr>
          <w:rFonts w:ascii="仿宋_GB2312" w:hAnsi="仿宋_GB2312" w:cs="仿宋_GB2312"/>
          <w:sz w:val="28"/>
          <w:szCs w:val="28"/>
        </w:rPr>
        <w:t>成绩</w:t>
      </w:r>
      <w:r>
        <w:rPr>
          <w:rFonts w:ascii="仿宋_GB2312" w:hAnsi="仿宋_GB2312" w:cs="仿宋_GB2312" w:hint="eastAsia"/>
          <w:sz w:val="28"/>
          <w:szCs w:val="28"/>
        </w:rPr>
        <w:t>50%。平时成绩包括考勤、课堂参与、课后作业等环节。</w:t>
      </w:r>
    </w:p>
    <w:p w:rsidR="00CF1222" w:rsidRDefault="00CF1222" w:rsidP="00CF1222">
      <w:pPr>
        <w:spacing w:line="360" w:lineRule="auto"/>
        <w:ind w:firstLineChars="200" w:firstLine="560"/>
        <w:rPr>
          <w:rFonts w:ascii="Times New Roman" w:hAnsi="Times New Roman"/>
          <w:sz w:val="28"/>
          <w:szCs w:val="28"/>
        </w:rPr>
      </w:pPr>
      <w:r>
        <w:rPr>
          <w:rFonts w:ascii="Times New Roman" w:hAnsi="Times New Roman"/>
          <w:sz w:val="28"/>
          <w:szCs w:val="28"/>
        </w:rPr>
        <w:lastRenderedPageBreak/>
        <w:t>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4639"/>
        <w:gridCol w:w="1666"/>
      </w:tblGrid>
      <w:tr w:rsidR="00CF1222" w:rsidTr="00CF1222">
        <w:trPr>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考核环节</w:t>
            </w:r>
          </w:p>
        </w:tc>
        <w:tc>
          <w:tcPr>
            <w:tcW w:w="1004" w:type="pct"/>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教学目标</w:t>
            </w:r>
          </w:p>
        </w:tc>
      </w:tr>
      <w:tr w:rsidR="00CF1222" w:rsidTr="00CF1222">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分项比例</w:t>
            </w:r>
          </w:p>
        </w:tc>
        <w:tc>
          <w:tcPr>
            <w:tcW w:w="2795"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b/>
                <w:sz w:val="24"/>
                <w:szCs w:val="24"/>
              </w:rPr>
            </w:pPr>
            <w:r>
              <w:rPr>
                <w:rFonts w:ascii="Times New Roman" w:hAnsi="Times New Roman"/>
                <w:b/>
                <w:sz w:val="24"/>
                <w:szCs w:val="24"/>
              </w:rPr>
              <w:t>考核要求</w:t>
            </w:r>
          </w:p>
        </w:tc>
        <w:tc>
          <w:tcPr>
            <w:tcW w:w="1004"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p>
        </w:tc>
      </w:tr>
      <w:tr w:rsidR="00CF1222" w:rsidTr="00CF1222">
        <w:trPr>
          <w:trHeight w:val="1500"/>
          <w:jc w:val="center"/>
        </w:trPr>
        <w:tc>
          <w:tcPr>
            <w:tcW w:w="12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平时成绩</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50</w:t>
            </w:r>
            <w:r>
              <w:rPr>
                <w:rFonts w:ascii="Times New Roman" w:hAnsi="Times New Roman"/>
                <w:sz w:val="24"/>
                <w:szCs w:val="24"/>
              </w:rPr>
              <w:t>%</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CF1222" w:rsidRDefault="00CF1222" w:rsidP="00CF1222">
            <w:pPr>
              <w:rPr>
                <w:rFonts w:ascii="Times New Roman" w:hAnsi="Times New Roman"/>
                <w:sz w:val="24"/>
                <w:szCs w:val="24"/>
              </w:rPr>
            </w:pPr>
            <w:r>
              <w:rPr>
                <w:rFonts w:ascii="Times New Roman" w:hAnsi="Times New Roman"/>
                <w:sz w:val="24"/>
                <w:szCs w:val="24"/>
              </w:rPr>
              <w:t>出勤统计不少于授课次数的</w:t>
            </w:r>
            <w:r>
              <w:rPr>
                <w:rFonts w:ascii="Times New Roman" w:hAnsi="Times New Roman"/>
                <w:sz w:val="24"/>
                <w:szCs w:val="24"/>
              </w:rPr>
              <w:t xml:space="preserve"> 2/3</w:t>
            </w:r>
            <w:r>
              <w:rPr>
                <w:rFonts w:ascii="Times New Roman" w:hAnsi="Times New Roman"/>
                <w:sz w:val="24"/>
                <w:szCs w:val="24"/>
              </w:rPr>
              <w:t>，重点考察学生的课堂表现，占</w:t>
            </w:r>
            <w:r>
              <w:rPr>
                <w:rFonts w:ascii="Times New Roman" w:hAnsi="Times New Roman"/>
                <w:sz w:val="24"/>
                <w:szCs w:val="24"/>
              </w:rPr>
              <w:t xml:space="preserve"> </w:t>
            </w:r>
            <w:r>
              <w:rPr>
                <w:rFonts w:ascii="Times New Roman" w:hAnsi="Times New Roman" w:hint="eastAsia"/>
                <w:sz w:val="24"/>
                <w:szCs w:val="24"/>
              </w:rPr>
              <w:t>40</w:t>
            </w:r>
            <w:r>
              <w:rPr>
                <w:rFonts w:ascii="Times New Roman" w:hAnsi="Times New Roman"/>
                <w:sz w:val="24"/>
                <w:szCs w:val="24"/>
              </w:rPr>
              <w:t>%</w:t>
            </w:r>
            <w:r>
              <w:rPr>
                <w:rFonts w:ascii="Times New Roman" w:hAnsi="Times New Roman"/>
                <w:sz w:val="24"/>
                <w:szCs w:val="24"/>
              </w:rPr>
              <w:t>；课后作业布置</w:t>
            </w:r>
            <w:r>
              <w:rPr>
                <w:rFonts w:ascii="Times New Roman" w:hAnsi="Times New Roman" w:hint="eastAsia"/>
                <w:sz w:val="24"/>
                <w:szCs w:val="24"/>
              </w:rPr>
              <w:t>6</w:t>
            </w:r>
            <w:r>
              <w:rPr>
                <w:rFonts w:ascii="Times New Roman" w:hAnsi="Times New Roman"/>
                <w:sz w:val="24"/>
                <w:szCs w:val="24"/>
              </w:rPr>
              <w:t>次；通过课后作业考核学生对</w:t>
            </w:r>
            <w:r>
              <w:rPr>
                <w:rFonts w:ascii="Times New Roman" w:hAnsi="Times New Roman" w:hint="eastAsia"/>
                <w:sz w:val="24"/>
                <w:szCs w:val="24"/>
              </w:rPr>
              <w:t>路线、路基、路面、桥梁</w:t>
            </w:r>
            <w:r>
              <w:rPr>
                <w:rFonts w:ascii="Times New Roman" w:hAnsi="Times New Roman"/>
                <w:sz w:val="24"/>
                <w:szCs w:val="24"/>
              </w:rPr>
              <w:t>的</w:t>
            </w:r>
            <w:r>
              <w:rPr>
                <w:rFonts w:ascii="Times New Roman" w:hAnsi="Times New Roman" w:hint="eastAsia"/>
                <w:sz w:val="24"/>
                <w:szCs w:val="24"/>
              </w:rPr>
              <w:t>基本概念和基本分析方法的</w:t>
            </w:r>
            <w:r>
              <w:rPr>
                <w:rFonts w:ascii="Times New Roman" w:hAnsi="Times New Roman"/>
                <w:sz w:val="24"/>
                <w:szCs w:val="24"/>
              </w:rPr>
              <w:t>掌握情况</w:t>
            </w:r>
            <w:r>
              <w:rPr>
                <w:rFonts w:ascii="Times New Roman" w:hAnsi="Times New Roman" w:hint="eastAsia"/>
                <w:sz w:val="24"/>
                <w:szCs w:val="24"/>
              </w:rPr>
              <w:t>，</w:t>
            </w:r>
            <w:r>
              <w:rPr>
                <w:rFonts w:ascii="Times New Roman" w:hAnsi="Times New Roman"/>
                <w:sz w:val="24"/>
                <w:szCs w:val="24"/>
              </w:rPr>
              <w:t>占</w:t>
            </w:r>
            <w:r>
              <w:rPr>
                <w:rFonts w:ascii="Times New Roman" w:hAnsi="Times New Roman" w:hint="eastAsia"/>
                <w:sz w:val="24"/>
                <w:szCs w:val="24"/>
              </w:rPr>
              <w:t>60</w:t>
            </w:r>
            <w:r>
              <w:rPr>
                <w:rFonts w:ascii="Times New Roman" w:hAnsi="Times New Roman"/>
                <w:sz w:val="24"/>
                <w:szCs w:val="24"/>
              </w:rPr>
              <w:t>%</w:t>
            </w:r>
            <w:r>
              <w:rPr>
                <w:rFonts w:ascii="Times New Roman" w:hAnsi="Times New Roman"/>
                <w:sz w:val="24"/>
                <w:szCs w:val="24"/>
              </w:rPr>
              <w:t>。</w:t>
            </w:r>
          </w:p>
        </w:tc>
        <w:tc>
          <w:tcPr>
            <w:tcW w:w="1004" w:type="pct"/>
            <w:tcBorders>
              <w:top w:val="single" w:sz="4" w:space="0" w:color="auto"/>
              <w:left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p>
        </w:tc>
      </w:tr>
      <w:tr w:rsidR="00CF1222" w:rsidTr="00CF1222">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hint="eastAsia"/>
                <w:sz w:val="24"/>
                <w:szCs w:val="24"/>
              </w:rPr>
              <w:t>期末</w:t>
            </w:r>
            <w:r>
              <w:rPr>
                <w:rFonts w:ascii="Times New Roman" w:hAnsi="Times New Roman"/>
                <w:sz w:val="24"/>
                <w:szCs w:val="24"/>
              </w:rPr>
              <w:t>成绩</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50</w:t>
            </w:r>
            <w:r>
              <w:rPr>
                <w:rFonts w:ascii="Times New Roman" w:hAnsi="Times New Roman"/>
                <w:sz w:val="24"/>
                <w:szCs w:val="24"/>
              </w:rPr>
              <w:t>%</w:t>
            </w:r>
            <w:r>
              <w:rPr>
                <w:rFonts w:ascii="Times New Roman" w:hAnsi="Times New Roman"/>
                <w:sz w:val="24"/>
                <w:szCs w:val="24"/>
              </w:rPr>
              <w:t>）</w:t>
            </w:r>
          </w:p>
        </w:tc>
        <w:tc>
          <w:tcPr>
            <w:tcW w:w="2795"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rPr>
                <w:rFonts w:ascii="Times New Roman" w:hAnsi="Times New Roman"/>
                <w:sz w:val="24"/>
                <w:szCs w:val="24"/>
              </w:rPr>
            </w:pPr>
            <w:r>
              <w:rPr>
                <w:rFonts w:ascii="Times New Roman" w:hAnsi="Times New Roman"/>
                <w:sz w:val="24"/>
                <w:szCs w:val="24"/>
              </w:rPr>
              <w:t>期末考试采用</w:t>
            </w:r>
            <w:r>
              <w:rPr>
                <w:rFonts w:ascii="Times New Roman" w:hAnsi="Times New Roman" w:hint="eastAsia"/>
                <w:sz w:val="24"/>
                <w:szCs w:val="24"/>
              </w:rPr>
              <w:t>开卷</w:t>
            </w:r>
            <w:r>
              <w:rPr>
                <w:rFonts w:ascii="Times New Roman" w:hAnsi="Times New Roman"/>
                <w:sz w:val="24"/>
                <w:szCs w:val="24"/>
              </w:rPr>
              <w:t>形式。考试范围基本涵盖所有讲授内容，考试内容主要反映学生对本课程</w:t>
            </w:r>
            <w:r>
              <w:rPr>
                <w:rFonts w:ascii="Times New Roman" w:hAnsi="Times New Roman" w:hint="eastAsia"/>
                <w:sz w:val="24"/>
                <w:szCs w:val="24"/>
              </w:rPr>
              <w:t>主要内容的</w:t>
            </w:r>
            <w:r>
              <w:rPr>
                <w:rFonts w:ascii="Times New Roman" w:hAnsi="Times New Roman"/>
                <w:sz w:val="24"/>
                <w:szCs w:val="24"/>
              </w:rPr>
              <w:t>理解和掌握程度，以及</w:t>
            </w:r>
            <w:r>
              <w:rPr>
                <w:rFonts w:ascii="Times New Roman" w:hAnsi="Times New Roman" w:hint="eastAsia"/>
                <w:sz w:val="24"/>
                <w:szCs w:val="24"/>
              </w:rPr>
              <w:t>灵活</w:t>
            </w:r>
            <w:r>
              <w:rPr>
                <w:rFonts w:ascii="Times New Roman" w:hAnsi="Times New Roman"/>
                <w:sz w:val="24"/>
                <w:szCs w:val="24"/>
              </w:rPr>
              <w:t>运用的能力。</w:t>
            </w:r>
          </w:p>
        </w:tc>
        <w:tc>
          <w:tcPr>
            <w:tcW w:w="1004"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r>
    </w:tbl>
    <w:p w:rsidR="00CF1222" w:rsidRPr="006E57E0" w:rsidRDefault="00CF1222" w:rsidP="00CF1222">
      <w:pPr>
        <w:spacing w:beforeLines="50" w:before="156" w:line="360" w:lineRule="auto"/>
        <w:ind w:left="560"/>
        <w:rPr>
          <w:rFonts w:ascii="Times New Roman" w:hAnsi="Times New Roman"/>
          <w:color w:val="000000" w:themeColor="text1"/>
          <w:sz w:val="28"/>
          <w:szCs w:val="28"/>
        </w:rPr>
      </w:pPr>
      <w:r w:rsidRPr="006E57E0">
        <w:rPr>
          <w:rFonts w:ascii="Times New Roman" w:hAnsi="Times New Roman" w:hint="eastAsia"/>
          <w:color w:val="000000" w:themeColor="text1"/>
          <w:sz w:val="28"/>
          <w:szCs w:val="28"/>
        </w:rPr>
        <w:t>3.</w:t>
      </w:r>
      <w:r w:rsidRPr="006E57E0">
        <w:rPr>
          <w:rFonts w:ascii="Times New Roman" w:hAnsi="Times New Roman"/>
          <w:color w:val="000000" w:themeColor="text1"/>
          <w:sz w:val="28"/>
          <w:szCs w:val="28"/>
        </w:rPr>
        <w:t>课程目标达成度自评方式</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据学院教学管理规定，在开展课程达成度评价前，课程评价审核小组对课程的评价依据合理性进行确认，包括平时作业、期</w:t>
      </w:r>
      <w:r>
        <w:rPr>
          <w:rFonts w:ascii="Times New Roman" w:hAnsi="Times New Roman" w:hint="eastAsia"/>
          <w:sz w:val="28"/>
          <w:szCs w:val="28"/>
        </w:rPr>
        <w:t>末</w:t>
      </w:r>
      <w:r>
        <w:rPr>
          <w:rFonts w:ascii="Times New Roman" w:hAnsi="Times New Roman"/>
          <w:sz w:val="28"/>
          <w:szCs w:val="28"/>
        </w:rPr>
        <w:t>考试等考核环节。课程结束后，课程小组需要对课程进行达成度评价，课程小组由课程负责人和任课教师组成，统计课程考核数据，并填写</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公路桥梁工程概论</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报告，以便及时了解课程的达成效果，发现问题并进行持续改进，同时也为毕业要求达成度的评价提供基础数据。</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根据课程的考核形式，全部或抽样部分考核资料（应以当年修读该课程的学生为总体，至少抽取</w:t>
      </w:r>
      <w:r>
        <w:rPr>
          <w:rFonts w:ascii="Times New Roman" w:hAnsi="Times New Roman" w:hint="eastAsia"/>
          <w:sz w:val="28"/>
          <w:szCs w:val="28"/>
        </w:rPr>
        <w:t>80</w:t>
      </w:r>
      <w:r>
        <w:rPr>
          <w:rFonts w:ascii="Times New Roman" w:hAnsi="Times New Roman"/>
          <w:sz w:val="28"/>
          <w:szCs w:val="28"/>
        </w:rPr>
        <w:t>%</w:t>
      </w:r>
      <w:r>
        <w:rPr>
          <w:rFonts w:ascii="Times New Roman" w:hAnsi="Times New Roman"/>
          <w:sz w:val="28"/>
          <w:szCs w:val="28"/>
        </w:rPr>
        <w:t>以上的学生样本），抽样时需覆盖优、良、中、及格和不及格等考核等级的考核资料。课程达成度的具体评价方法，详见</w:t>
      </w:r>
      <w:r>
        <w:rPr>
          <w:rFonts w:ascii="Times New Roman" w:hAnsi="Times New Roman"/>
          <w:sz w:val="28"/>
          <w:szCs w:val="28"/>
        </w:rPr>
        <w:t>“</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报告。课程小组提交课程达成度评价数据后，课程评价审核小组对评价数据的合理性和有效性进行审核。</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F1222" w:rsidRDefault="00CF1222" w:rsidP="00CF1222">
      <w:pPr>
        <w:spacing w:beforeLines="50" w:before="156" w:afterLines="50" w:after="156" w:line="460" w:lineRule="exact"/>
        <w:ind w:firstLineChars="200" w:firstLine="560"/>
        <w:rPr>
          <w:rFonts w:ascii="仿宋_GB2312" w:hAnsi="仿宋_GB2312" w:cs="仿宋_GB2312"/>
          <w:sz w:val="28"/>
          <w:szCs w:val="28"/>
        </w:rPr>
      </w:pPr>
      <w:r>
        <w:rPr>
          <w:rFonts w:ascii="仿宋_GB2312" w:hAnsi="仿宋_GB2312" w:cs="仿宋_GB2312" w:hint="eastAsia"/>
          <w:sz w:val="28"/>
          <w:szCs w:val="28"/>
        </w:rPr>
        <w:lastRenderedPageBreak/>
        <w:t>道路与桥梁工程概论（第2版），张新天、吴金荣、王毅娟主编，人民交通出版社股份有限公司，2016年。</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（1）桥梁工程，邵旭东、金晓勤主编，武汉理工大学出版社，2016年。</w:t>
      </w:r>
    </w:p>
    <w:p w:rsidR="00CF1222" w:rsidRDefault="00CF1222" w:rsidP="00CF1222">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（2）道路与桥梁设计概论，</w:t>
      </w:r>
      <w:hyperlink r:id="rId10" w:tgtFrame="https://item.jd.com/_blank" w:history="1">
        <w:r>
          <w:rPr>
            <w:rFonts w:ascii="仿宋_GB2312" w:hAnsi="仿宋_GB2312" w:cs="仿宋_GB2312" w:hint="eastAsia"/>
            <w:sz w:val="28"/>
            <w:szCs w:val="28"/>
          </w:rPr>
          <w:t>程国柱</w:t>
        </w:r>
      </w:hyperlink>
      <w:r>
        <w:rPr>
          <w:rFonts w:ascii="仿宋_GB2312" w:hAnsi="仿宋_GB2312" w:cs="仿宋_GB2312" w:hint="eastAsia"/>
          <w:sz w:val="28"/>
          <w:szCs w:val="28"/>
        </w:rPr>
        <w:t>，</w:t>
      </w:r>
      <w:hyperlink r:id="rId11" w:tgtFrame="https://item.jd.com/_blank" w:history="1">
        <w:r>
          <w:rPr>
            <w:rFonts w:ascii="仿宋_GB2312" w:hAnsi="仿宋_GB2312" w:cs="仿宋_GB2312" w:hint="eastAsia"/>
            <w:sz w:val="28"/>
            <w:szCs w:val="28"/>
          </w:rPr>
          <w:t>吴立新</w:t>
        </w:r>
      </w:hyperlink>
      <w:r>
        <w:rPr>
          <w:rFonts w:ascii="仿宋_GB2312" w:hAnsi="仿宋_GB2312" w:cs="仿宋_GB2312" w:hint="eastAsia"/>
          <w:sz w:val="28"/>
          <w:szCs w:val="28"/>
        </w:rPr>
        <w:t>主编，</w:t>
      </w:r>
      <w:hyperlink r:id="rId12" w:tgtFrame="https://item.jd.com/_blank" w:tooltip="人民交通出版社" w:history="1">
        <w:r>
          <w:rPr>
            <w:rFonts w:ascii="仿宋_GB2312" w:hAnsi="仿宋_GB2312" w:cs="仿宋_GB2312" w:hint="eastAsia"/>
            <w:sz w:val="28"/>
            <w:szCs w:val="28"/>
          </w:rPr>
          <w:t>人民交通出版社</w:t>
        </w:r>
      </w:hyperlink>
      <w:r>
        <w:rPr>
          <w:rFonts w:ascii="仿宋_GB2312" w:hAnsi="仿宋_GB2312" w:cs="仿宋_GB2312" w:hint="eastAsia"/>
          <w:sz w:val="28"/>
          <w:szCs w:val="28"/>
        </w:rPr>
        <w:t>，2013年。</w:t>
      </w:r>
    </w:p>
    <w:p w:rsidR="00CF1222" w:rsidRDefault="00CF1222" w:rsidP="00CF1222">
      <w:pPr>
        <w:spacing w:line="440" w:lineRule="exact"/>
        <w:rPr>
          <w:rFonts w:ascii="Times New Roman" w:eastAsia="黑体" w:hAnsi="Times New Roman"/>
          <w:b/>
          <w:sz w:val="28"/>
          <w:szCs w:val="28"/>
        </w:rPr>
      </w:pPr>
      <w:r>
        <w:rPr>
          <w:rFonts w:ascii="Times New Roman" w:eastAsia="黑体" w:hAnsi="Times New Roman" w:hint="eastAsia"/>
          <w:b/>
          <w:sz w:val="28"/>
          <w:szCs w:val="28"/>
        </w:rPr>
        <w:t>七</w:t>
      </w:r>
      <w:r>
        <w:rPr>
          <w:rFonts w:ascii="Times New Roman" w:eastAsia="黑体" w:hAnsi="Times New Roman"/>
          <w:b/>
          <w:sz w:val="28"/>
          <w:szCs w:val="28"/>
        </w:rPr>
        <w:t>、执行大纲应注意的问题</w:t>
      </w:r>
    </w:p>
    <w:p w:rsidR="00CF1222" w:rsidRDefault="00CF1222" w:rsidP="00CF1222">
      <w:pPr>
        <w:adjustRightInd w:val="0"/>
        <w:snapToGrid w:val="0"/>
        <w:spacing w:line="560" w:lineRule="exact"/>
        <w:ind w:firstLineChars="200" w:firstLine="560"/>
        <w:jc w:val="left"/>
        <w:rPr>
          <w:sz w:val="28"/>
          <w:szCs w:val="28"/>
        </w:rPr>
      </w:pPr>
      <w:r>
        <w:rPr>
          <w:sz w:val="28"/>
          <w:szCs w:val="28"/>
        </w:rPr>
        <w:t>1</w:t>
      </w:r>
      <w:r>
        <w:rPr>
          <w:sz w:val="28"/>
          <w:szCs w:val="28"/>
        </w:rPr>
        <w:t>、教学中应注重基本知识、基本理论和基本方法的讲授。</w:t>
      </w:r>
    </w:p>
    <w:p w:rsidR="00CF1222" w:rsidRDefault="00CF1222" w:rsidP="00CF1222">
      <w:pPr>
        <w:adjustRightInd w:val="0"/>
        <w:snapToGrid w:val="0"/>
        <w:spacing w:line="560" w:lineRule="exact"/>
        <w:ind w:firstLineChars="200" w:firstLine="560"/>
        <w:jc w:val="left"/>
        <w:rPr>
          <w:sz w:val="28"/>
          <w:szCs w:val="28"/>
        </w:rPr>
      </w:pPr>
      <w:r>
        <w:rPr>
          <w:sz w:val="28"/>
          <w:szCs w:val="28"/>
        </w:rPr>
        <w:t>2</w:t>
      </w:r>
      <w:r>
        <w:rPr>
          <w:sz w:val="28"/>
          <w:szCs w:val="28"/>
        </w:rPr>
        <w:t>、教学内容的顺序及其安排仅供参考，教师可根据情况作适当调整。</w:t>
      </w:r>
    </w:p>
    <w:p w:rsidR="00CF1222" w:rsidRDefault="00CF1222" w:rsidP="00CF1222">
      <w:pPr>
        <w:spacing w:beforeLines="50" w:before="156" w:afterLines="50" w:after="156" w:line="460" w:lineRule="exact"/>
        <w:rPr>
          <w:rFonts w:ascii="仿宋" w:eastAsia="仿宋" w:hAnsi="仿宋"/>
          <w:sz w:val="28"/>
          <w:szCs w:val="28"/>
        </w:rPr>
      </w:pPr>
      <w:r>
        <w:rPr>
          <w:rFonts w:ascii="黑体" w:eastAsia="黑体" w:hAnsi="黑体" w:hint="eastAsia"/>
          <w:b/>
          <w:sz w:val="28"/>
          <w:szCs w:val="28"/>
        </w:rPr>
        <w:t xml:space="preserve">                            </w:t>
      </w:r>
      <w:r>
        <w:rPr>
          <w:rFonts w:ascii="仿宋" w:eastAsia="仿宋" w:hAnsi="仿宋" w:hint="eastAsia"/>
          <w:sz w:val="28"/>
          <w:szCs w:val="28"/>
        </w:rPr>
        <w:t>大纲撰写人：武贤慧</w:t>
      </w:r>
    </w:p>
    <w:p w:rsidR="00CF1222" w:rsidRDefault="00CF1222" w:rsidP="00CF1222">
      <w:pPr>
        <w:spacing w:line="360" w:lineRule="auto"/>
        <w:ind w:firstLineChars="1400" w:firstLine="3920"/>
        <w:rPr>
          <w:rFonts w:ascii="仿宋" w:eastAsia="仿宋" w:hAnsi="仿宋"/>
          <w:sz w:val="28"/>
          <w:szCs w:val="28"/>
        </w:rPr>
      </w:pPr>
      <w:r>
        <w:rPr>
          <w:rFonts w:ascii="仿宋" w:eastAsia="仿宋" w:hAnsi="仿宋" w:hint="eastAsia"/>
          <w:sz w:val="28"/>
          <w:szCs w:val="28"/>
        </w:rPr>
        <w:t>课程负责人：</w:t>
      </w:r>
    </w:p>
    <w:p w:rsidR="00CF1222" w:rsidRDefault="00CF1222" w:rsidP="00CF1222">
      <w:pPr>
        <w:spacing w:line="360" w:lineRule="auto"/>
        <w:ind w:firstLineChars="1400" w:firstLine="3920"/>
        <w:rPr>
          <w:rFonts w:ascii="仿宋" w:hAnsi="仿宋"/>
          <w:sz w:val="28"/>
          <w:szCs w:val="28"/>
        </w:rPr>
      </w:pPr>
      <w:r>
        <w:rPr>
          <w:rFonts w:ascii="仿宋" w:eastAsia="仿宋" w:hAnsi="仿宋" w:hint="eastAsia"/>
          <w:sz w:val="28"/>
          <w:szCs w:val="28"/>
        </w:rPr>
        <w:t>审核人：</w:t>
      </w:r>
      <w:r>
        <w:rPr>
          <w:rFonts w:ascii="仿宋_GB2312" w:hAnsi="微软雅黑" w:hint="eastAsia"/>
          <w:sz w:val="28"/>
          <w:szCs w:val="28"/>
        </w:rPr>
        <w:t xml:space="preserve">  </w:t>
      </w:r>
    </w:p>
    <w:p w:rsidR="00CF1222" w:rsidRDefault="00CF1222" w:rsidP="00CF1222">
      <w:pPr>
        <w:jc w:val="left"/>
        <w:rPr>
          <w:rFonts w:ascii="仿宋_GB2312" w:hAnsi="黑体"/>
          <w:sz w:val="28"/>
          <w:szCs w:val="28"/>
        </w:rPr>
      </w:pPr>
      <w:r>
        <w:rPr>
          <w:rFonts w:ascii="仿宋" w:eastAsia="仿宋" w:hAnsi="仿宋" w:hint="eastAsia"/>
          <w:sz w:val="28"/>
          <w:szCs w:val="28"/>
        </w:rPr>
        <w:t xml:space="preserve">                                         年    月</w:t>
      </w:r>
    </w:p>
    <w:p w:rsidR="00CF1222" w:rsidRDefault="00CF1222"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CF1222" w:rsidRDefault="00CF1222" w:rsidP="00CF1222">
      <w:pPr>
        <w:widowControl/>
        <w:spacing w:line="360" w:lineRule="auto"/>
        <w:jc w:val="center"/>
        <w:rPr>
          <w:rFonts w:ascii="Times New Roman" w:eastAsia="方正小标宋简体" w:hAnsi="Times New Roman"/>
          <w:kern w:val="0"/>
          <w:szCs w:val="32"/>
        </w:rPr>
      </w:pPr>
      <w:r>
        <w:rPr>
          <w:rFonts w:ascii="Times New Roman" w:eastAsia="方正小标宋简体" w:hAnsi="Times New Roman" w:hint="eastAsia"/>
          <w:kern w:val="0"/>
          <w:szCs w:val="32"/>
        </w:rPr>
        <w:lastRenderedPageBreak/>
        <w:t>《工程结构抗震》课程大纲</w:t>
      </w:r>
    </w:p>
    <w:p w:rsidR="00CF1222" w:rsidRDefault="00CF1222" w:rsidP="00CF1222">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一、</w:t>
      </w:r>
      <w:r>
        <w:rPr>
          <w:rFonts w:ascii="Times New Roman" w:eastAsia="黑体" w:hAnsi="Times New Roman"/>
          <w:b/>
          <w:sz w:val="28"/>
          <w:szCs w:val="28"/>
        </w:rPr>
        <w:t>课程信息</w:t>
      </w:r>
    </w:p>
    <w:p w:rsidR="00CF1222" w:rsidRDefault="00CF1222" w:rsidP="00CF1222">
      <w:pPr>
        <w:autoSpaceDE w:val="0"/>
        <w:autoSpaceDN w:val="0"/>
        <w:adjustRightInd w:val="0"/>
        <w:spacing w:line="560" w:lineRule="exact"/>
        <w:ind w:left="510"/>
        <w:jc w:val="left"/>
        <w:rPr>
          <w:rFonts w:ascii="Times New Roman" w:hAnsi="Times New Roman"/>
          <w:bCs/>
          <w:sz w:val="28"/>
          <w:szCs w:val="28"/>
        </w:rPr>
      </w:pPr>
      <w:r>
        <w:rPr>
          <w:rFonts w:ascii="Times New Roman" w:hAnsi="Times New Roman" w:hint="eastAsia"/>
          <w:bCs/>
          <w:sz w:val="28"/>
          <w:szCs w:val="28"/>
        </w:rPr>
        <w:t>英文名称：</w:t>
      </w:r>
      <w:r>
        <w:rPr>
          <w:rFonts w:ascii="Times New Roman" w:hAnsi="Times New Roman" w:hint="eastAsia"/>
          <w:bCs/>
          <w:sz w:val="28"/>
          <w:szCs w:val="28"/>
        </w:rPr>
        <w:t>Seismic Design of Buildings</w:t>
      </w:r>
    </w:p>
    <w:p w:rsidR="00CF1222" w:rsidRDefault="00CF1222" w:rsidP="00CF1222">
      <w:pPr>
        <w:autoSpaceDE w:val="0"/>
        <w:autoSpaceDN w:val="0"/>
        <w:adjustRightInd w:val="0"/>
        <w:spacing w:line="560" w:lineRule="exact"/>
        <w:ind w:left="510"/>
        <w:jc w:val="left"/>
        <w:rPr>
          <w:rFonts w:ascii="Times New Roman" w:hAnsi="Times New Roman"/>
          <w:bCs/>
          <w:sz w:val="28"/>
          <w:szCs w:val="28"/>
        </w:rPr>
      </w:pPr>
      <w:r>
        <w:rPr>
          <w:rFonts w:ascii="Times New Roman" w:hAnsi="Times New Roman" w:hint="eastAsia"/>
          <w:bCs/>
          <w:sz w:val="28"/>
          <w:szCs w:val="28"/>
        </w:rPr>
        <w:t>课程编码：</w:t>
      </w:r>
      <w:r>
        <w:rPr>
          <w:rFonts w:ascii="Times New Roman" w:hAnsi="Times New Roman" w:hint="eastAsia"/>
          <w:bCs/>
          <w:sz w:val="28"/>
          <w:szCs w:val="28"/>
        </w:rPr>
        <w:t>Z2</w:t>
      </w:r>
      <w:r>
        <w:rPr>
          <w:rFonts w:ascii="Times New Roman" w:hAnsi="Times New Roman"/>
          <w:bCs/>
          <w:sz w:val="28"/>
          <w:szCs w:val="28"/>
        </w:rPr>
        <w:t>801</w:t>
      </w:r>
      <w:r>
        <w:rPr>
          <w:rFonts w:ascii="Times New Roman" w:hAnsi="Times New Roman" w:hint="eastAsia"/>
          <w:bCs/>
          <w:sz w:val="28"/>
          <w:szCs w:val="28"/>
        </w:rPr>
        <w:t>090</w:t>
      </w:r>
    </w:p>
    <w:p w:rsidR="00CF1222" w:rsidRDefault="00CF1222" w:rsidP="00CF1222">
      <w:pPr>
        <w:autoSpaceDE w:val="0"/>
        <w:autoSpaceDN w:val="0"/>
        <w:adjustRightInd w:val="0"/>
        <w:spacing w:line="560" w:lineRule="exact"/>
        <w:ind w:left="510"/>
        <w:jc w:val="left"/>
        <w:rPr>
          <w:rFonts w:ascii="Times New Roman" w:hAnsi="Times New Roman"/>
          <w:bCs/>
          <w:sz w:val="28"/>
          <w:szCs w:val="28"/>
        </w:rPr>
      </w:pPr>
      <w:r>
        <w:rPr>
          <w:rFonts w:ascii="Times New Roman" w:hAnsi="Times New Roman" w:hint="eastAsia"/>
          <w:bCs/>
          <w:sz w:val="28"/>
          <w:szCs w:val="28"/>
        </w:rPr>
        <w:t>授课语言：中文</w:t>
      </w:r>
    </w:p>
    <w:p w:rsidR="00CF1222" w:rsidRDefault="00CF1222" w:rsidP="00CF1222">
      <w:pPr>
        <w:autoSpaceDE w:val="0"/>
        <w:autoSpaceDN w:val="0"/>
        <w:adjustRightInd w:val="0"/>
        <w:spacing w:line="560" w:lineRule="exact"/>
        <w:ind w:left="510"/>
        <w:jc w:val="left"/>
        <w:rPr>
          <w:rFonts w:ascii="Times New Roman" w:hAnsi="Times New Roman"/>
          <w:bCs/>
          <w:sz w:val="28"/>
          <w:szCs w:val="28"/>
        </w:rPr>
      </w:pPr>
      <w:r>
        <w:rPr>
          <w:rFonts w:ascii="Times New Roman" w:hAnsi="Times New Roman" w:hint="eastAsia"/>
          <w:bCs/>
          <w:sz w:val="28"/>
          <w:szCs w:val="28"/>
        </w:rPr>
        <w:t>授课方式：线下</w:t>
      </w:r>
    </w:p>
    <w:p w:rsidR="00CF1222" w:rsidRDefault="00CF1222" w:rsidP="00CF1222">
      <w:pPr>
        <w:autoSpaceDE w:val="0"/>
        <w:autoSpaceDN w:val="0"/>
        <w:adjustRightInd w:val="0"/>
        <w:spacing w:line="560" w:lineRule="exact"/>
        <w:ind w:left="510"/>
        <w:jc w:val="left"/>
        <w:rPr>
          <w:rFonts w:ascii="Times New Roman" w:hAnsi="Times New Roman"/>
          <w:bCs/>
          <w:sz w:val="28"/>
          <w:szCs w:val="28"/>
        </w:rPr>
      </w:pPr>
      <w:r>
        <w:rPr>
          <w:rFonts w:ascii="Times New Roman" w:hAnsi="Times New Roman" w:hint="eastAsia"/>
          <w:bCs/>
          <w:sz w:val="28"/>
          <w:szCs w:val="28"/>
        </w:rPr>
        <w:t>课程类别：专业发展</w:t>
      </w:r>
    </w:p>
    <w:p w:rsidR="00CF1222" w:rsidRDefault="00CF1222" w:rsidP="00CF1222">
      <w:pPr>
        <w:autoSpaceDE w:val="0"/>
        <w:autoSpaceDN w:val="0"/>
        <w:adjustRightInd w:val="0"/>
        <w:spacing w:line="560" w:lineRule="exact"/>
        <w:ind w:left="510"/>
        <w:jc w:val="left"/>
        <w:rPr>
          <w:rFonts w:ascii="Times New Roman" w:hAnsi="Times New Roman"/>
          <w:bCs/>
          <w:sz w:val="28"/>
          <w:szCs w:val="28"/>
        </w:rPr>
      </w:pPr>
      <w:r>
        <w:rPr>
          <w:rFonts w:ascii="Times New Roman" w:hAnsi="Times New Roman" w:hint="eastAsia"/>
          <w:bCs/>
          <w:sz w:val="28"/>
          <w:szCs w:val="28"/>
        </w:rPr>
        <w:t>课程性质：必修</w:t>
      </w:r>
    </w:p>
    <w:p w:rsidR="00CF1222" w:rsidRDefault="00CF1222" w:rsidP="00CF1222">
      <w:pPr>
        <w:autoSpaceDE w:val="0"/>
        <w:autoSpaceDN w:val="0"/>
        <w:adjustRightInd w:val="0"/>
        <w:spacing w:line="560" w:lineRule="exact"/>
        <w:ind w:left="510"/>
        <w:jc w:val="left"/>
        <w:rPr>
          <w:rFonts w:ascii="Times New Roman" w:hAnsi="Times New Roman"/>
          <w:bCs/>
          <w:sz w:val="28"/>
          <w:szCs w:val="28"/>
        </w:rPr>
      </w:pPr>
      <w:r>
        <w:rPr>
          <w:rFonts w:ascii="Times New Roman" w:hAnsi="Times New Roman" w:hint="eastAsia"/>
          <w:bCs/>
          <w:sz w:val="28"/>
          <w:szCs w:val="28"/>
        </w:rPr>
        <w:t>学</w:t>
      </w:r>
      <w:r>
        <w:rPr>
          <w:rFonts w:ascii="Times New Roman" w:hAnsi="Times New Roman" w:hint="eastAsia"/>
          <w:bCs/>
          <w:sz w:val="28"/>
          <w:szCs w:val="28"/>
        </w:rPr>
        <w:t xml:space="preserve"> </w:t>
      </w:r>
      <w:r>
        <w:rPr>
          <w:rFonts w:ascii="Times New Roman" w:hAnsi="Times New Roman" w:hint="eastAsia"/>
          <w:bCs/>
          <w:sz w:val="28"/>
          <w:szCs w:val="28"/>
        </w:rPr>
        <w:t>分：</w:t>
      </w:r>
      <w:r>
        <w:rPr>
          <w:rFonts w:ascii="Times New Roman" w:hAnsi="Times New Roman" w:hint="eastAsia"/>
          <w:bCs/>
          <w:sz w:val="28"/>
          <w:szCs w:val="28"/>
        </w:rPr>
        <w:t>2</w:t>
      </w:r>
    </w:p>
    <w:p w:rsidR="00CF1222" w:rsidRDefault="00CF1222" w:rsidP="00CF1222">
      <w:pPr>
        <w:autoSpaceDE w:val="0"/>
        <w:autoSpaceDN w:val="0"/>
        <w:adjustRightInd w:val="0"/>
        <w:spacing w:line="560" w:lineRule="exact"/>
        <w:ind w:left="510"/>
        <w:jc w:val="left"/>
        <w:rPr>
          <w:rFonts w:ascii="Times New Roman" w:hAnsi="Times New Roman"/>
          <w:bCs/>
          <w:sz w:val="28"/>
          <w:szCs w:val="28"/>
        </w:rPr>
      </w:pPr>
      <w:r>
        <w:rPr>
          <w:rFonts w:ascii="Times New Roman" w:hAnsi="Times New Roman" w:hint="eastAsia"/>
          <w:bCs/>
          <w:sz w:val="28"/>
          <w:szCs w:val="28"/>
        </w:rPr>
        <w:t>学</w:t>
      </w:r>
      <w:r>
        <w:rPr>
          <w:rFonts w:ascii="Times New Roman" w:hAnsi="Times New Roman" w:hint="eastAsia"/>
          <w:bCs/>
          <w:sz w:val="28"/>
          <w:szCs w:val="28"/>
        </w:rPr>
        <w:t xml:space="preserve"> </w:t>
      </w:r>
      <w:r>
        <w:rPr>
          <w:rFonts w:ascii="Times New Roman" w:hAnsi="Times New Roman" w:hint="eastAsia"/>
          <w:bCs/>
          <w:sz w:val="28"/>
          <w:szCs w:val="28"/>
        </w:rPr>
        <w:t>时：</w:t>
      </w:r>
      <w:r>
        <w:rPr>
          <w:rFonts w:ascii="Times New Roman" w:hAnsi="Times New Roman" w:hint="eastAsia"/>
          <w:bCs/>
          <w:sz w:val="28"/>
          <w:szCs w:val="28"/>
        </w:rPr>
        <w:t>32</w:t>
      </w:r>
    </w:p>
    <w:p w:rsidR="00CF1222" w:rsidRDefault="00CF1222" w:rsidP="00CF1222">
      <w:pPr>
        <w:autoSpaceDE w:val="0"/>
        <w:autoSpaceDN w:val="0"/>
        <w:adjustRightInd w:val="0"/>
        <w:spacing w:line="560" w:lineRule="exact"/>
        <w:ind w:left="510"/>
        <w:jc w:val="left"/>
        <w:rPr>
          <w:rFonts w:ascii="Times New Roman" w:hAnsi="Times New Roman"/>
          <w:bCs/>
          <w:sz w:val="28"/>
          <w:szCs w:val="28"/>
        </w:rPr>
      </w:pPr>
      <w:r>
        <w:rPr>
          <w:rFonts w:ascii="Times New Roman" w:hAnsi="Times New Roman" w:hint="eastAsia"/>
          <w:bCs/>
          <w:sz w:val="28"/>
          <w:szCs w:val="28"/>
        </w:rPr>
        <w:t>适用对象：土木工程专业</w:t>
      </w:r>
    </w:p>
    <w:p w:rsidR="00CF1222" w:rsidRDefault="00CF1222" w:rsidP="00CF1222">
      <w:pPr>
        <w:autoSpaceDE w:val="0"/>
        <w:autoSpaceDN w:val="0"/>
        <w:adjustRightInd w:val="0"/>
        <w:spacing w:line="560" w:lineRule="exact"/>
        <w:ind w:left="510"/>
        <w:jc w:val="left"/>
      </w:pPr>
      <w:r>
        <w:rPr>
          <w:rFonts w:ascii="Times New Roman" w:hAnsi="Times New Roman" w:hint="eastAsia"/>
          <w:bCs/>
          <w:sz w:val="28"/>
          <w:szCs w:val="28"/>
        </w:rPr>
        <w:t>先修课程：高等数学、线性代学、理论力学、材料力学、结构力学、土力学与基础工程、土木工程材料、钢结构、钢筋混凝土结构基本理论、混凝土与砌体结构、结构试验等，并完成混凝土基本原理、单层厂房和砌体结构等课程设计。</w:t>
      </w:r>
    </w:p>
    <w:p w:rsidR="00CF1222" w:rsidRDefault="00CF1222" w:rsidP="00CF1222">
      <w:pPr>
        <w:autoSpaceDE w:val="0"/>
        <w:autoSpaceDN w:val="0"/>
        <w:adjustRightInd w:val="0"/>
        <w:spacing w:line="560" w:lineRule="exact"/>
        <w:ind w:left="510"/>
        <w:jc w:val="left"/>
        <w:rPr>
          <w:rFonts w:ascii="Times New Roman" w:hAnsi="Times New Roman"/>
          <w:bCs/>
          <w:sz w:val="28"/>
          <w:szCs w:val="28"/>
        </w:rPr>
      </w:pPr>
      <w:r>
        <w:rPr>
          <w:rFonts w:ascii="Times New Roman" w:hAnsi="Times New Roman" w:hint="eastAsia"/>
          <w:bCs/>
          <w:sz w:val="28"/>
          <w:szCs w:val="28"/>
        </w:rPr>
        <w:t>开课院系：建筑工程学院，混凝土与砌体结构教研室</w:t>
      </w:r>
    </w:p>
    <w:p w:rsidR="00CF1222" w:rsidRDefault="00CF1222" w:rsidP="00CF1222">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二、课程简介</w:t>
      </w:r>
    </w:p>
    <w:p w:rsidR="00CF1222" w:rsidRDefault="00CF1222" w:rsidP="00CF1222">
      <w:pPr>
        <w:autoSpaceDE w:val="0"/>
        <w:autoSpaceDN w:val="0"/>
        <w:adjustRightInd w:val="0"/>
        <w:spacing w:line="560" w:lineRule="exact"/>
        <w:ind w:left="510"/>
        <w:jc w:val="left"/>
        <w:rPr>
          <w:rFonts w:ascii="Times New Roman" w:hAnsi="Times New Roman"/>
          <w:bCs/>
          <w:sz w:val="28"/>
          <w:szCs w:val="28"/>
        </w:rPr>
      </w:pPr>
      <w:r>
        <w:rPr>
          <w:rFonts w:hint="eastAsia"/>
        </w:rPr>
        <w:t xml:space="preserve"> </w:t>
      </w:r>
      <w:r>
        <w:t xml:space="preserve">    </w:t>
      </w:r>
      <w:r>
        <w:rPr>
          <w:rFonts w:ascii="Times New Roman" w:hAnsi="Times New Roman" w:hint="eastAsia"/>
          <w:bCs/>
          <w:sz w:val="28"/>
          <w:szCs w:val="28"/>
        </w:rPr>
        <w:t>“工程结构抗震”课程是面向土木工程专业开设的重要学科方向专业必修课程。本课程</w:t>
      </w:r>
      <w:r>
        <w:rPr>
          <w:rFonts w:ascii="仿宋_GB2312" w:hAnsi="仿宋_GB2312" w:cs="仿宋_GB2312" w:hint="eastAsia"/>
          <w:bCs/>
          <w:sz w:val="28"/>
          <w:szCs w:val="28"/>
        </w:rPr>
        <w:t>是一门既具有较强的理论性又具有较强实践性的课程，在先修课程“高等数学”“材料力学”、“结构力学”“钢结构”、“混凝土与砌体结构”、“土力学与基础工程”等基础上，通过本课程的学习，获得混凝土结构构件和结构的计算设计能力。</w:t>
      </w:r>
    </w:p>
    <w:p w:rsidR="00CF1222" w:rsidRDefault="00CF1222" w:rsidP="00CF1222">
      <w:pPr>
        <w:autoSpaceDE w:val="0"/>
        <w:autoSpaceDN w:val="0"/>
        <w:adjustRightInd w:val="0"/>
        <w:spacing w:line="560" w:lineRule="exact"/>
        <w:ind w:left="510" w:firstLine="560"/>
        <w:jc w:val="left"/>
        <w:rPr>
          <w:rFonts w:ascii="Times New Roman" w:hAnsi="Times New Roman"/>
          <w:bCs/>
          <w:sz w:val="28"/>
          <w:szCs w:val="28"/>
        </w:rPr>
      </w:pPr>
      <w:r>
        <w:rPr>
          <w:rFonts w:ascii="Times New Roman" w:hAnsi="Times New Roman" w:hint="eastAsia"/>
          <w:bCs/>
          <w:sz w:val="28"/>
          <w:szCs w:val="28"/>
        </w:rPr>
        <w:t>通过本课程的学习，使学生建立地震工程学和工程抗震学</w:t>
      </w:r>
      <w:r>
        <w:rPr>
          <w:rFonts w:ascii="Times New Roman" w:hAnsi="Times New Roman" w:hint="eastAsia"/>
          <w:bCs/>
          <w:sz w:val="28"/>
          <w:szCs w:val="28"/>
        </w:rPr>
        <w:lastRenderedPageBreak/>
        <w:t>的基本知识体系，掌握地基基础抗震、地震作用计算原理的基本概念、基本理论和基本方法，深刻理解常见结构体系的抗震设计理论与抗震构造措施，了解隔震、减震基本原理和设计方法，培养学生应对复杂工程问题的综合分析能力和创新能力。结合课程专业知识教学的同时，培养学生的工程责任意识和社会责任意识，以便为将来从事建筑工程抗震设计工作和科学研究打下基础。</w:t>
      </w:r>
    </w:p>
    <w:p w:rsidR="00CF1222" w:rsidRDefault="00CF1222" w:rsidP="00CF1222">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三、课程任务、目标及要求</w:t>
      </w:r>
    </w:p>
    <w:p w:rsidR="00CF1222" w:rsidRDefault="00CF1222" w:rsidP="00CF1222">
      <w:pPr>
        <w:snapToGrid w:val="0"/>
        <w:spacing w:line="360" w:lineRule="auto"/>
        <w:ind w:firstLine="329"/>
        <w:rPr>
          <w:rFonts w:ascii="Times New Roman" w:hAnsi="Times New Roman"/>
          <w:sz w:val="28"/>
          <w:szCs w:val="28"/>
        </w:rPr>
      </w:pPr>
      <w:r>
        <w:rPr>
          <w:rFonts w:ascii="Times New Roman" w:hAnsi="Times New Roman" w:hint="eastAsia"/>
          <w:sz w:val="28"/>
          <w:szCs w:val="28"/>
        </w:rPr>
        <w:t>1</w:t>
      </w:r>
      <w:r>
        <w:rPr>
          <w:rFonts w:ascii="Times New Roman" w:hAnsi="Times New Roman" w:hint="eastAsia"/>
          <w:sz w:val="28"/>
          <w:szCs w:val="28"/>
        </w:rPr>
        <w:t>、课程任务</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“工程结构抗震”课程学习使学生掌握结构抗震的基本概念、设计计算方法、构造措施及要求，掌握结构的耗能减震、震动控制技术的一般知识，达到利用结构抗震基本原理和方法解决工程实际问题的能力。</w:t>
      </w:r>
    </w:p>
    <w:p w:rsidR="00CF1222" w:rsidRDefault="00CF1222" w:rsidP="005F6318">
      <w:pPr>
        <w:numPr>
          <w:ilvl w:val="0"/>
          <w:numId w:val="5"/>
        </w:numPr>
        <w:snapToGrid w:val="0"/>
        <w:spacing w:line="360" w:lineRule="auto"/>
        <w:ind w:firstLine="329"/>
        <w:rPr>
          <w:rFonts w:ascii="Times New Roman" w:hAnsi="Times New Roman"/>
          <w:sz w:val="28"/>
          <w:szCs w:val="28"/>
        </w:rPr>
      </w:pPr>
      <w:r>
        <w:rPr>
          <w:rFonts w:ascii="Times New Roman" w:hAnsi="Times New Roman" w:hint="eastAsia"/>
          <w:sz w:val="28"/>
          <w:szCs w:val="28"/>
        </w:rPr>
        <w:t>教学目标对毕业要求的支撑矩阵</w:t>
      </w:r>
    </w:p>
    <w:p w:rsidR="00CF1222" w:rsidRDefault="00CF1222" w:rsidP="00CF1222">
      <w:pPr>
        <w:snapToGrid w:val="0"/>
        <w:spacing w:line="360" w:lineRule="auto"/>
        <w:rPr>
          <w:rFonts w:ascii="Times New Roman" w:hAnsi="Times New Roman"/>
          <w:sz w:val="28"/>
          <w:szCs w:val="28"/>
        </w:rPr>
      </w:pPr>
      <w:r>
        <w:rPr>
          <w:rFonts w:ascii="Times New Roman" w:hAnsi="Times New Roman" w:hint="eastAsia"/>
          <w:sz w:val="28"/>
          <w:szCs w:val="28"/>
        </w:rPr>
        <w:t>2.1</w:t>
      </w:r>
      <w:r>
        <w:rPr>
          <w:rFonts w:ascii="Times New Roman" w:hAnsi="Times New Roman" w:hint="eastAsia"/>
          <w:sz w:val="28"/>
          <w:szCs w:val="28"/>
        </w:rPr>
        <w:t>课程目标</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（1）通过本课程学习，使学生掌握地震工程学的基本知识、工程结构抗震设防目标和方法、场地和地基基础抗震、地震作用计算原理与方法、以及常见结构体系的抗震设计理论与构造措施等。</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（2）通过本课程学习，使学生掌握根据建筑功能和造型的要求，结合所选结构材料和结构形式的特性，进行结构概念设计并综合分析其受力性能，确定合理的抗震结构方案并进行抗震设计的能力。</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（3）通过本课程学习，使学生掌握结构隔振、耗能减震、结构震动控制技术的基本概念和设计要求及要点。</w:t>
      </w:r>
    </w:p>
    <w:p w:rsidR="00CF1222" w:rsidRDefault="00CF1222" w:rsidP="00CF1222">
      <w:pPr>
        <w:snapToGrid w:val="0"/>
        <w:spacing w:line="360" w:lineRule="auto"/>
        <w:rPr>
          <w:rFonts w:ascii="Times New Roman" w:hAnsi="Times New Roman"/>
          <w:sz w:val="28"/>
          <w:szCs w:val="28"/>
        </w:rPr>
      </w:pPr>
      <w:r>
        <w:rPr>
          <w:rFonts w:ascii="Times New Roman" w:hAnsi="Times New Roman" w:hint="eastAsia"/>
          <w:sz w:val="28"/>
          <w:szCs w:val="28"/>
        </w:rPr>
        <w:t xml:space="preserve">2.2 </w:t>
      </w:r>
      <w:r>
        <w:rPr>
          <w:rFonts w:ascii="Times New Roman" w:hAnsi="Times New Roman" w:hint="eastAsia"/>
          <w:sz w:val="28"/>
          <w:szCs w:val="28"/>
        </w:rPr>
        <w:t>课程目标与毕业要求之间的对应关系</w:t>
      </w:r>
      <w:r>
        <w:rPr>
          <w:rFonts w:ascii="仿宋_GB2312" w:hAnsi="仿宋_GB2312" w:cs="仿宋_GB2312" w:hint="eastAsia"/>
          <w:b/>
          <w:sz w:val="28"/>
          <w:szCs w:val="2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1"/>
        <w:gridCol w:w="3507"/>
        <w:gridCol w:w="599"/>
        <w:gridCol w:w="592"/>
        <w:gridCol w:w="597"/>
      </w:tblGrid>
      <w:tr w:rsidR="00CF1222" w:rsidTr="00CF1222">
        <w:tc>
          <w:tcPr>
            <w:tcW w:w="3921" w:type="pct"/>
            <w:gridSpan w:val="2"/>
            <w:vMerge w:val="restart"/>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lastRenderedPageBreak/>
              <w:t>毕业要求及其指标点</w:t>
            </w:r>
          </w:p>
        </w:tc>
        <w:tc>
          <w:tcPr>
            <w:tcW w:w="1078" w:type="pct"/>
            <w:gridSpan w:val="3"/>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教学目标</w:t>
            </w:r>
          </w:p>
        </w:tc>
      </w:tr>
      <w:tr w:rsidR="00CF1222" w:rsidTr="00CF1222">
        <w:tc>
          <w:tcPr>
            <w:tcW w:w="3921" w:type="pct"/>
            <w:gridSpan w:val="2"/>
            <w:vMerge/>
            <w:vAlign w:val="center"/>
          </w:tcPr>
          <w:p w:rsidR="00CF1222" w:rsidRDefault="00CF1222" w:rsidP="00CF1222">
            <w:pPr>
              <w:rPr>
                <w:rFonts w:ascii="Times New Roman" w:hAnsi="Times New Roman"/>
                <w:sz w:val="24"/>
                <w:szCs w:val="24"/>
              </w:rPr>
            </w:pPr>
          </w:p>
        </w:tc>
        <w:tc>
          <w:tcPr>
            <w:tcW w:w="361" w:type="pct"/>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tc>
        <w:tc>
          <w:tcPr>
            <w:tcW w:w="357" w:type="pct"/>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c>
          <w:tcPr>
            <w:tcW w:w="359" w:type="pct"/>
            <w:vAlign w:val="center"/>
          </w:tcPr>
          <w:p w:rsidR="00CF1222" w:rsidRDefault="00CF1222" w:rsidP="00CF1222">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CF1222" w:rsidTr="00CF1222">
        <w:tc>
          <w:tcPr>
            <w:tcW w:w="1808" w:type="pct"/>
            <w:vAlign w:val="center"/>
          </w:tcPr>
          <w:p w:rsidR="00CF1222" w:rsidRDefault="00CF1222" w:rsidP="00CF1222">
            <w:pPr>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工程知识</w:t>
            </w:r>
          </w:p>
        </w:tc>
        <w:tc>
          <w:tcPr>
            <w:tcW w:w="2112" w:type="pct"/>
            <w:vAlign w:val="center"/>
          </w:tcPr>
          <w:p w:rsidR="00CF1222" w:rsidRDefault="00CF1222" w:rsidP="00CF1222">
            <w:pPr>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4</w:t>
            </w:r>
            <w:r>
              <w:rPr>
                <w:rFonts w:ascii="Times New Roman" w:hAnsi="Times New Roman"/>
                <w:sz w:val="24"/>
                <w:szCs w:val="24"/>
              </w:rPr>
              <w:t>：</w:t>
            </w:r>
            <w:r>
              <w:rPr>
                <w:rFonts w:ascii="Times New Roman" w:hAnsi="Times New Roman" w:hint="eastAsia"/>
                <w:sz w:val="24"/>
                <w:szCs w:val="24"/>
              </w:rPr>
              <w:t>工程专业知识、交叉融合能力，应用解决专业复杂问题能力</w:t>
            </w:r>
          </w:p>
        </w:tc>
        <w:tc>
          <w:tcPr>
            <w:tcW w:w="361"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357"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359" w:type="pct"/>
            <w:vAlign w:val="center"/>
          </w:tcPr>
          <w:p w:rsidR="00CF1222" w:rsidRDefault="00CF1222" w:rsidP="00CF1222">
            <w:pPr>
              <w:jc w:val="center"/>
              <w:rPr>
                <w:rFonts w:ascii="Times New Roman" w:hAnsi="Times New Roman"/>
                <w:sz w:val="24"/>
                <w:szCs w:val="24"/>
              </w:rPr>
            </w:pPr>
          </w:p>
        </w:tc>
      </w:tr>
      <w:tr w:rsidR="00CF1222" w:rsidTr="00CF1222">
        <w:tc>
          <w:tcPr>
            <w:tcW w:w="1808" w:type="pct"/>
            <w:vAlign w:val="center"/>
          </w:tcPr>
          <w:p w:rsidR="00CF1222" w:rsidRDefault="00CF1222" w:rsidP="00CF1222">
            <w:pPr>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设计（开发）解决方案</w:t>
            </w:r>
          </w:p>
        </w:tc>
        <w:tc>
          <w:tcPr>
            <w:tcW w:w="2112" w:type="pct"/>
            <w:vAlign w:val="center"/>
          </w:tcPr>
          <w:p w:rsidR="00CF1222" w:rsidRDefault="00CF1222" w:rsidP="00CF1222">
            <w:pPr>
              <w:rPr>
                <w:rFonts w:ascii="Times New Roman" w:hAnsi="Times New Roman"/>
                <w:sz w:val="24"/>
                <w:szCs w:val="24"/>
              </w:rPr>
            </w:pPr>
            <w:r>
              <w:rPr>
                <w:rFonts w:ascii="Times New Roman" w:hAnsi="Times New Roman"/>
                <w:sz w:val="24"/>
                <w:szCs w:val="24"/>
              </w:rPr>
              <w:t>3-</w:t>
            </w:r>
            <w:r>
              <w:rPr>
                <w:rFonts w:ascii="Times New Roman" w:hAnsi="Times New Roman" w:hint="eastAsia"/>
                <w:sz w:val="24"/>
                <w:szCs w:val="24"/>
              </w:rPr>
              <w:t>2</w:t>
            </w:r>
            <w:r>
              <w:rPr>
                <w:rFonts w:ascii="Times New Roman" w:hAnsi="Times New Roman"/>
                <w:sz w:val="24"/>
                <w:szCs w:val="24"/>
              </w:rPr>
              <w:t>：</w:t>
            </w:r>
            <w:r>
              <w:rPr>
                <w:rFonts w:ascii="Times New Roman" w:hAnsi="Times New Roman" w:hint="eastAsia"/>
                <w:sz w:val="24"/>
                <w:szCs w:val="24"/>
              </w:rPr>
              <w:t>工程体系系统分析、优化设计、创新意识</w:t>
            </w:r>
          </w:p>
        </w:tc>
        <w:tc>
          <w:tcPr>
            <w:tcW w:w="361" w:type="pct"/>
            <w:vAlign w:val="center"/>
          </w:tcPr>
          <w:p w:rsidR="00CF1222" w:rsidRDefault="00CF1222" w:rsidP="00CF1222">
            <w:pPr>
              <w:jc w:val="center"/>
              <w:rPr>
                <w:rFonts w:ascii="Times New Roman" w:hAnsi="Times New Roman"/>
                <w:sz w:val="24"/>
                <w:szCs w:val="24"/>
              </w:rPr>
            </w:pPr>
          </w:p>
        </w:tc>
        <w:tc>
          <w:tcPr>
            <w:tcW w:w="357"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359"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r>
      <w:tr w:rsidR="00CF1222" w:rsidTr="00CF1222">
        <w:tc>
          <w:tcPr>
            <w:tcW w:w="1808" w:type="pct"/>
            <w:vAlign w:val="center"/>
          </w:tcPr>
          <w:p w:rsidR="00CF1222" w:rsidRDefault="00CF1222" w:rsidP="00CF1222">
            <w:pPr>
              <w:rPr>
                <w:rFonts w:ascii="Times New Roman" w:hAnsi="Times New Roman"/>
                <w:sz w:val="24"/>
                <w:szCs w:val="24"/>
              </w:rPr>
            </w:pPr>
            <w:r>
              <w:rPr>
                <w:rFonts w:ascii="Times New Roman" w:hAnsi="Times New Roman"/>
                <w:sz w:val="24"/>
                <w:szCs w:val="24"/>
              </w:rPr>
              <w:t xml:space="preserve">10. </w:t>
            </w:r>
            <w:r>
              <w:rPr>
                <w:rFonts w:ascii="Times New Roman" w:hAnsi="Times New Roman"/>
                <w:sz w:val="24"/>
                <w:szCs w:val="24"/>
              </w:rPr>
              <w:t>终身学习</w:t>
            </w:r>
          </w:p>
        </w:tc>
        <w:tc>
          <w:tcPr>
            <w:tcW w:w="2112" w:type="pct"/>
            <w:vAlign w:val="center"/>
          </w:tcPr>
          <w:p w:rsidR="00CF1222" w:rsidRDefault="00CF1222" w:rsidP="00CF1222">
            <w:pPr>
              <w:rPr>
                <w:rFonts w:ascii="Times New Roman" w:hAnsi="Times New Roman"/>
                <w:sz w:val="24"/>
                <w:szCs w:val="24"/>
              </w:rPr>
            </w:pPr>
            <w:r>
              <w:rPr>
                <w:rFonts w:ascii="Times New Roman" w:hAnsi="Times New Roman"/>
                <w:sz w:val="24"/>
                <w:szCs w:val="24"/>
              </w:rPr>
              <w:t>10-1</w:t>
            </w:r>
            <w:r>
              <w:rPr>
                <w:rFonts w:ascii="Times New Roman" w:hAnsi="Times New Roman"/>
                <w:sz w:val="24"/>
                <w:szCs w:val="24"/>
              </w:rPr>
              <w:t>：学习能力</w:t>
            </w:r>
          </w:p>
        </w:tc>
        <w:tc>
          <w:tcPr>
            <w:tcW w:w="361"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357"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c>
          <w:tcPr>
            <w:tcW w:w="359" w:type="pct"/>
            <w:vAlign w:val="center"/>
          </w:tcPr>
          <w:p w:rsidR="00CF1222" w:rsidRDefault="00CF1222" w:rsidP="00CF1222">
            <w:pPr>
              <w:jc w:val="center"/>
              <w:rPr>
                <w:rFonts w:ascii="Times New Roman" w:hAnsi="Times New Roman"/>
                <w:sz w:val="24"/>
                <w:szCs w:val="24"/>
              </w:rPr>
            </w:pPr>
            <w:r>
              <w:rPr>
                <w:rFonts w:ascii="Times New Roman" w:hAnsi="Times New Roman"/>
                <w:kern w:val="0"/>
                <w:sz w:val="24"/>
                <w:szCs w:val="24"/>
              </w:rPr>
              <w:t>√</w:t>
            </w:r>
          </w:p>
        </w:tc>
      </w:tr>
    </w:tbl>
    <w:p w:rsidR="00CF1222" w:rsidRDefault="00CF1222" w:rsidP="00CF1222">
      <w:pPr>
        <w:snapToGrid w:val="0"/>
        <w:spacing w:line="360" w:lineRule="auto"/>
        <w:ind w:firstLine="329"/>
        <w:rPr>
          <w:rFonts w:ascii="Times New Roman" w:hAnsi="Times New Roman"/>
          <w:sz w:val="28"/>
          <w:szCs w:val="28"/>
        </w:rPr>
      </w:pPr>
    </w:p>
    <w:p w:rsidR="00CF1222" w:rsidRDefault="00CF1222" w:rsidP="00CF1222">
      <w:pPr>
        <w:spacing w:line="360" w:lineRule="auto"/>
        <w:rPr>
          <w:rFonts w:ascii="仿宋_GB2312" w:hAnsi="仿宋_GB2312" w:cs="仿宋_GB2312"/>
          <w:sz w:val="28"/>
          <w:szCs w:val="28"/>
        </w:rPr>
      </w:pPr>
      <w:r>
        <w:rPr>
          <w:rFonts w:ascii="仿宋_GB2312" w:hAnsi="仿宋_GB2312" w:cs="仿宋_GB2312" w:hint="eastAsia"/>
          <w:sz w:val="28"/>
          <w:szCs w:val="28"/>
        </w:rPr>
        <w:t>3. 课程的重点、难点</w:t>
      </w:r>
    </w:p>
    <w:p w:rsidR="00CF1222" w:rsidRDefault="00CF1222" w:rsidP="00CF1222">
      <w:pPr>
        <w:snapToGrid w:val="0"/>
        <w:spacing w:line="360" w:lineRule="auto"/>
        <w:rPr>
          <w:rFonts w:ascii="Times New Roman" w:hAnsi="Times New Roman"/>
          <w:sz w:val="28"/>
          <w:szCs w:val="28"/>
        </w:rPr>
      </w:pPr>
      <w:r>
        <w:rPr>
          <w:rFonts w:ascii="Times New Roman" w:hAnsi="Times New Roman" w:hint="eastAsia"/>
          <w:sz w:val="28"/>
          <w:szCs w:val="28"/>
        </w:rPr>
        <w:t>3.1</w:t>
      </w:r>
      <w:r>
        <w:rPr>
          <w:rFonts w:ascii="Times New Roman" w:hAnsi="Times New Roman" w:hint="eastAsia"/>
          <w:sz w:val="28"/>
          <w:szCs w:val="28"/>
        </w:rPr>
        <w:t>课程的重点</w:t>
      </w:r>
    </w:p>
    <w:p w:rsidR="00CF1222" w:rsidRDefault="00CF1222" w:rsidP="00CF1222">
      <w:pPr>
        <w:spacing w:line="400" w:lineRule="exact"/>
        <w:ind w:firstLineChars="200" w:firstLine="560"/>
        <w:jc w:val="left"/>
        <w:rPr>
          <w:rFonts w:ascii="Times New Roman" w:hAnsi="Times New Roman"/>
          <w:bCs/>
          <w:sz w:val="28"/>
          <w:szCs w:val="28"/>
        </w:rPr>
      </w:pPr>
      <w:r>
        <w:rPr>
          <w:rFonts w:ascii="Times New Roman" w:hAnsi="Times New Roman" w:hint="eastAsia"/>
          <w:bCs/>
          <w:sz w:val="28"/>
          <w:szCs w:val="28"/>
        </w:rPr>
        <w:t>我国建筑结构抗震设防目标和要求，建筑重要性类别的划分及相应的抗震设防标准；概念设计的基本原则；建筑结构抗震验算的一般原则和要求；地震作用的计算，振型分解反应谱法、底部剪力法；各结构体系的抗震概念、抗震计算及构造措施；结构隔震及耗能减震概念。</w:t>
      </w:r>
    </w:p>
    <w:p w:rsidR="00CF1222" w:rsidRDefault="00CF1222" w:rsidP="00CF1222">
      <w:pPr>
        <w:spacing w:line="400" w:lineRule="exact"/>
        <w:ind w:firstLineChars="200" w:firstLine="560"/>
        <w:jc w:val="left"/>
        <w:rPr>
          <w:rFonts w:ascii="Times New Roman" w:hAnsi="Times New Roman"/>
          <w:bCs/>
          <w:sz w:val="28"/>
          <w:szCs w:val="28"/>
        </w:rPr>
      </w:pPr>
    </w:p>
    <w:p w:rsidR="00CF1222" w:rsidRDefault="00CF1222" w:rsidP="00CF1222">
      <w:pPr>
        <w:snapToGrid w:val="0"/>
        <w:spacing w:line="360" w:lineRule="auto"/>
        <w:rPr>
          <w:rFonts w:ascii="Times New Roman" w:hAnsi="Times New Roman"/>
          <w:sz w:val="28"/>
          <w:szCs w:val="28"/>
        </w:rPr>
      </w:pPr>
      <w:r>
        <w:rPr>
          <w:rFonts w:ascii="Times New Roman" w:hAnsi="Times New Roman" w:hint="eastAsia"/>
          <w:sz w:val="28"/>
          <w:szCs w:val="28"/>
        </w:rPr>
        <w:t xml:space="preserve">3.2 </w:t>
      </w:r>
      <w:r>
        <w:rPr>
          <w:rFonts w:ascii="Times New Roman" w:hAnsi="Times New Roman" w:hint="eastAsia"/>
          <w:sz w:val="28"/>
          <w:szCs w:val="28"/>
        </w:rPr>
        <w:t>课程的难点</w:t>
      </w:r>
    </w:p>
    <w:p w:rsidR="00CF1222" w:rsidRDefault="00CF1222" w:rsidP="00CF1222">
      <w:pPr>
        <w:spacing w:line="400" w:lineRule="exact"/>
        <w:ind w:firstLineChars="200" w:firstLine="560"/>
        <w:jc w:val="left"/>
        <w:rPr>
          <w:rFonts w:ascii="Times New Roman" w:hAnsi="Times New Roman"/>
          <w:bCs/>
          <w:sz w:val="28"/>
          <w:szCs w:val="28"/>
        </w:rPr>
      </w:pPr>
      <w:r>
        <w:rPr>
          <w:rFonts w:ascii="Times New Roman" w:hAnsi="Times New Roman" w:hint="eastAsia"/>
          <w:bCs/>
          <w:sz w:val="28"/>
          <w:szCs w:val="28"/>
        </w:rPr>
        <w:t>单自由度体系和多自由度体系运动微分方程的建立及求解；地震作用的计算；振型分解反应谱法；底部剪力法。</w:t>
      </w:r>
    </w:p>
    <w:p w:rsidR="00CF1222" w:rsidRDefault="00CF1222" w:rsidP="00CF1222">
      <w:pPr>
        <w:spacing w:line="400" w:lineRule="exact"/>
        <w:ind w:firstLineChars="200" w:firstLine="560"/>
        <w:jc w:val="left"/>
        <w:rPr>
          <w:rFonts w:ascii="Times New Roman" w:hAnsi="Times New Roman"/>
          <w:bCs/>
          <w:sz w:val="28"/>
          <w:szCs w:val="28"/>
        </w:rPr>
      </w:pPr>
    </w:p>
    <w:p w:rsidR="00CF1222" w:rsidRDefault="00CF1222" w:rsidP="00CF122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F1222" w:rsidRDefault="00CF1222" w:rsidP="00CF1222">
      <w:pPr>
        <w:spacing w:line="360" w:lineRule="auto"/>
        <w:ind w:firstLineChars="203" w:firstLine="568"/>
        <w:rPr>
          <w:rFonts w:ascii="仿宋_GB2312" w:hAnsi="仿宋_GB2312" w:cs="仿宋_GB2312"/>
          <w:bCs/>
          <w:sz w:val="28"/>
          <w:szCs w:val="28"/>
        </w:rPr>
      </w:pPr>
      <w:r>
        <w:rPr>
          <w:rFonts w:ascii="仿宋_GB2312" w:hAnsi="仿宋_GB2312" w:cs="仿宋_GB2312" w:hint="eastAsia"/>
          <w:bCs/>
          <w:sz w:val="28"/>
          <w:szCs w:val="28"/>
        </w:rPr>
        <w:t>通过本课程的学习，增强学生严谨治学的态度，增强学生作为土木工程师的社会责任感和职业道德和素养，培养学生的大国工匠精神，激发学生的家国情怀。</w:t>
      </w:r>
    </w:p>
    <w:p w:rsidR="00CF1222" w:rsidRDefault="00CF1222" w:rsidP="00CF1222">
      <w:pPr>
        <w:spacing w:before="20" w:after="40"/>
        <w:ind w:firstLineChars="700" w:firstLine="1687"/>
        <w:rPr>
          <w:b/>
          <w:bCs/>
          <w:sz w:val="18"/>
        </w:rPr>
      </w:pPr>
      <w:r>
        <w:rPr>
          <w:rFonts w:hint="eastAsia"/>
          <w:b/>
          <w:bCs/>
          <w:kern w:val="0"/>
          <w:sz w:val="24"/>
          <w:szCs w:val="24"/>
        </w:rPr>
        <w:t>“工程结构抗震”课程思政目标及主要方法</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1"/>
        <w:gridCol w:w="1350"/>
        <w:gridCol w:w="3225"/>
        <w:gridCol w:w="3925"/>
      </w:tblGrid>
      <w:tr w:rsidR="00CF1222" w:rsidTr="00CF1222">
        <w:trPr>
          <w:trHeight w:val="749"/>
        </w:trPr>
        <w:tc>
          <w:tcPr>
            <w:tcW w:w="461" w:type="dxa"/>
          </w:tcPr>
          <w:p w:rsidR="00CF1222" w:rsidRDefault="00CF1222" w:rsidP="00CF1222">
            <w:pPr>
              <w:spacing w:before="142" w:line="242" w:lineRule="auto"/>
              <w:ind w:left="138" w:right="130"/>
              <w:rPr>
                <w:b/>
                <w:bCs/>
                <w:kern w:val="0"/>
                <w:sz w:val="24"/>
                <w:szCs w:val="24"/>
              </w:rPr>
            </w:pPr>
            <w:r>
              <w:rPr>
                <w:rFonts w:hint="eastAsia"/>
                <w:b/>
                <w:bCs/>
                <w:kern w:val="0"/>
                <w:sz w:val="24"/>
                <w:szCs w:val="24"/>
              </w:rPr>
              <w:t>序号</w:t>
            </w:r>
          </w:p>
        </w:tc>
        <w:tc>
          <w:tcPr>
            <w:tcW w:w="1350" w:type="dxa"/>
          </w:tcPr>
          <w:p w:rsidR="00CF1222" w:rsidRDefault="00CF1222" w:rsidP="00CF1222">
            <w:pPr>
              <w:spacing w:before="3"/>
              <w:rPr>
                <w:b/>
                <w:bCs/>
                <w:kern w:val="0"/>
                <w:sz w:val="24"/>
                <w:szCs w:val="24"/>
              </w:rPr>
            </w:pPr>
          </w:p>
          <w:p w:rsidR="00CF1222" w:rsidRDefault="00CF1222" w:rsidP="00CF1222">
            <w:pPr>
              <w:ind w:left="405"/>
              <w:rPr>
                <w:b/>
                <w:bCs/>
                <w:kern w:val="0"/>
                <w:sz w:val="24"/>
                <w:szCs w:val="24"/>
              </w:rPr>
            </w:pPr>
            <w:r>
              <w:rPr>
                <w:rFonts w:hint="eastAsia"/>
                <w:b/>
                <w:bCs/>
                <w:kern w:val="0"/>
                <w:sz w:val="24"/>
                <w:szCs w:val="24"/>
              </w:rPr>
              <w:t>章</w:t>
            </w:r>
            <w:r>
              <w:rPr>
                <w:rFonts w:hint="eastAsia"/>
                <w:b/>
                <w:bCs/>
                <w:kern w:val="0"/>
                <w:sz w:val="24"/>
                <w:szCs w:val="24"/>
              </w:rPr>
              <w:t xml:space="preserve"> </w:t>
            </w:r>
            <w:r>
              <w:rPr>
                <w:rFonts w:hint="eastAsia"/>
                <w:b/>
                <w:bCs/>
                <w:kern w:val="0"/>
                <w:sz w:val="24"/>
                <w:szCs w:val="24"/>
              </w:rPr>
              <w:t>节</w:t>
            </w:r>
          </w:p>
        </w:tc>
        <w:tc>
          <w:tcPr>
            <w:tcW w:w="3225" w:type="dxa"/>
          </w:tcPr>
          <w:p w:rsidR="00CF1222" w:rsidRDefault="00CF1222" w:rsidP="00CF1222">
            <w:pPr>
              <w:spacing w:before="3"/>
              <w:rPr>
                <w:b/>
                <w:bCs/>
                <w:kern w:val="0"/>
                <w:sz w:val="24"/>
                <w:szCs w:val="24"/>
              </w:rPr>
            </w:pPr>
          </w:p>
          <w:p w:rsidR="00CF1222" w:rsidRDefault="00CF1222" w:rsidP="00CF1222">
            <w:pPr>
              <w:ind w:left="802"/>
              <w:rPr>
                <w:b/>
                <w:bCs/>
                <w:kern w:val="0"/>
                <w:sz w:val="24"/>
                <w:szCs w:val="24"/>
              </w:rPr>
            </w:pPr>
            <w:r>
              <w:rPr>
                <w:rFonts w:hint="eastAsia"/>
                <w:b/>
                <w:bCs/>
                <w:kern w:val="0"/>
                <w:sz w:val="24"/>
                <w:szCs w:val="24"/>
              </w:rPr>
              <w:t>主要内容及知识类型</w:t>
            </w:r>
          </w:p>
        </w:tc>
        <w:tc>
          <w:tcPr>
            <w:tcW w:w="3925" w:type="dxa"/>
          </w:tcPr>
          <w:p w:rsidR="00CF1222" w:rsidRDefault="00CF1222" w:rsidP="00CF1222">
            <w:pPr>
              <w:spacing w:before="3"/>
              <w:rPr>
                <w:b/>
                <w:bCs/>
                <w:kern w:val="0"/>
                <w:sz w:val="24"/>
                <w:szCs w:val="24"/>
              </w:rPr>
            </w:pPr>
          </w:p>
          <w:p w:rsidR="00CF1222" w:rsidRDefault="00CF1222" w:rsidP="00CF1222">
            <w:pPr>
              <w:ind w:left="1150"/>
              <w:rPr>
                <w:b/>
                <w:bCs/>
                <w:kern w:val="0"/>
                <w:sz w:val="24"/>
                <w:szCs w:val="24"/>
              </w:rPr>
            </w:pPr>
            <w:r>
              <w:rPr>
                <w:rFonts w:hint="eastAsia"/>
                <w:b/>
                <w:bCs/>
                <w:kern w:val="0"/>
                <w:sz w:val="24"/>
                <w:szCs w:val="24"/>
              </w:rPr>
              <w:t>思政目标及主要方法</w:t>
            </w:r>
          </w:p>
        </w:tc>
      </w:tr>
      <w:tr w:rsidR="00CF1222" w:rsidTr="00CF1222">
        <w:trPr>
          <w:trHeight w:val="933"/>
        </w:trPr>
        <w:tc>
          <w:tcPr>
            <w:tcW w:w="461" w:type="dxa"/>
          </w:tcPr>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1</w:t>
            </w:r>
          </w:p>
        </w:tc>
        <w:tc>
          <w:tcPr>
            <w:tcW w:w="1350" w:type="dxa"/>
          </w:tcPr>
          <w:p w:rsidR="00CF1222" w:rsidRDefault="00CF1222" w:rsidP="00CF1222">
            <w:pPr>
              <w:jc w:val="left"/>
              <w:rPr>
                <w:kern w:val="0"/>
                <w:sz w:val="24"/>
                <w:szCs w:val="24"/>
              </w:rPr>
            </w:pPr>
          </w:p>
          <w:p w:rsidR="00CF1222" w:rsidRDefault="00CF1222" w:rsidP="00CF1222">
            <w:pPr>
              <w:ind w:firstLineChars="100" w:firstLine="240"/>
              <w:jc w:val="left"/>
              <w:rPr>
                <w:kern w:val="0"/>
                <w:sz w:val="24"/>
                <w:szCs w:val="24"/>
              </w:rPr>
            </w:pPr>
            <w:r>
              <w:rPr>
                <w:rFonts w:hint="eastAsia"/>
                <w:kern w:val="0"/>
                <w:sz w:val="24"/>
                <w:szCs w:val="24"/>
              </w:rPr>
              <w:t>第一章</w:t>
            </w:r>
          </w:p>
          <w:p w:rsidR="00CF1222" w:rsidRDefault="00CF1222" w:rsidP="00CF1222">
            <w:pPr>
              <w:ind w:firstLineChars="100" w:firstLine="240"/>
              <w:jc w:val="left"/>
              <w:rPr>
                <w:kern w:val="0"/>
                <w:sz w:val="24"/>
                <w:szCs w:val="24"/>
              </w:rPr>
            </w:pPr>
            <w:r>
              <w:rPr>
                <w:rFonts w:hint="eastAsia"/>
                <w:kern w:val="0"/>
                <w:sz w:val="24"/>
                <w:szCs w:val="24"/>
              </w:rPr>
              <w:t>绪</w:t>
            </w:r>
            <w:r>
              <w:rPr>
                <w:rFonts w:hint="eastAsia"/>
                <w:kern w:val="0"/>
                <w:sz w:val="24"/>
                <w:szCs w:val="24"/>
              </w:rPr>
              <w:t xml:space="preserve"> </w:t>
            </w:r>
            <w:r>
              <w:rPr>
                <w:rFonts w:hint="eastAsia"/>
                <w:kern w:val="0"/>
                <w:sz w:val="24"/>
                <w:szCs w:val="24"/>
              </w:rPr>
              <w:t>论</w:t>
            </w:r>
          </w:p>
        </w:tc>
        <w:tc>
          <w:tcPr>
            <w:tcW w:w="3225" w:type="dxa"/>
          </w:tcPr>
          <w:p w:rsidR="00CF1222" w:rsidRDefault="00CF1222" w:rsidP="00CF1222">
            <w:pPr>
              <w:jc w:val="left"/>
              <w:rPr>
                <w:kern w:val="0"/>
                <w:sz w:val="24"/>
                <w:szCs w:val="24"/>
              </w:rPr>
            </w:pPr>
            <w:r>
              <w:rPr>
                <w:rFonts w:hint="eastAsia"/>
                <w:kern w:val="0"/>
                <w:sz w:val="24"/>
                <w:szCs w:val="24"/>
              </w:rPr>
              <w:t>主要内容：地震基本知识；地震灾害概述；工程抗震设防。</w:t>
            </w:r>
          </w:p>
          <w:p w:rsidR="00CF1222" w:rsidRDefault="00CF1222" w:rsidP="00CF1222">
            <w:pPr>
              <w:jc w:val="left"/>
              <w:rPr>
                <w:kern w:val="0"/>
                <w:sz w:val="24"/>
                <w:szCs w:val="24"/>
              </w:rPr>
            </w:pPr>
            <w:r>
              <w:rPr>
                <w:rFonts w:hint="eastAsia"/>
                <w:kern w:val="0"/>
                <w:sz w:val="24"/>
                <w:szCs w:val="24"/>
              </w:rPr>
              <w:t>知识类型：陈述型知识。</w:t>
            </w:r>
          </w:p>
        </w:tc>
        <w:tc>
          <w:tcPr>
            <w:tcW w:w="3925" w:type="dxa"/>
          </w:tcPr>
          <w:p w:rsidR="00CF1222" w:rsidRDefault="00CF1222" w:rsidP="00CF1222">
            <w:pPr>
              <w:jc w:val="left"/>
              <w:rPr>
                <w:kern w:val="0"/>
                <w:sz w:val="24"/>
                <w:szCs w:val="24"/>
              </w:rPr>
            </w:pPr>
            <w:r>
              <w:rPr>
                <w:rFonts w:hint="eastAsia"/>
                <w:kern w:val="0"/>
                <w:sz w:val="24"/>
                <w:szCs w:val="24"/>
              </w:rPr>
              <w:t>思政目标：</w:t>
            </w:r>
            <w:r>
              <w:rPr>
                <w:rFonts w:hint="eastAsia"/>
                <w:kern w:val="0"/>
                <w:sz w:val="24"/>
                <w:szCs w:val="24"/>
              </w:rPr>
              <w:t>1</w:t>
            </w:r>
            <w:r>
              <w:rPr>
                <w:rFonts w:hint="eastAsia"/>
                <w:kern w:val="0"/>
                <w:sz w:val="24"/>
                <w:szCs w:val="24"/>
              </w:rPr>
              <w:t>、爱国情怀与理想信念教育；</w:t>
            </w:r>
            <w:r>
              <w:rPr>
                <w:rFonts w:hint="eastAsia"/>
                <w:kern w:val="0"/>
                <w:sz w:val="24"/>
                <w:szCs w:val="24"/>
              </w:rPr>
              <w:t>2</w:t>
            </w:r>
            <w:r>
              <w:rPr>
                <w:rFonts w:hint="eastAsia"/>
                <w:kern w:val="0"/>
                <w:sz w:val="24"/>
                <w:szCs w:val="24"/>
              </w:rPr>
              <w:t>、科技创新教育。</w:t>
            </w:r>
          </w:p>
          <w:p w:rsidR="00CF1222" w:rsidRDefault="00CF1222" w:rsidP="00CF1222">
            <w:pPr>
              <w:jc w:val="left"/>
              <w:rPr>
                <w:kern w:val="0"/>
                <w:sz w:val="24"/>
                <w:szCs w:val="24"/>
              </w:rPr>
            </w:pPr>
            <w:r>
              <w:rPr>
                <w:rFonts w:hint="eastAsia"/>
                <w:kern w:val="0"/>
                <w:sz w:val="24"/>
                <w:szCs w:val="24"/>
              </w:rPr>
              <w:t>主要方法：典型工程、抗震及震害实例、著名人物、最新科研成果的引入。</w:t>
            </w:r>
          </w:p>
        </w:tc>
      </w:tr>
      <w:tr w:rsidR="00CF1222" w:rsidTr="00CF1222">
        <w:trPr>
          <w:trHeight w:val="934"/>
        </w:trPr>
        <w:tc>
          <w:tcPr>
            <w:tcW w:w="461" w:type="dxa"/>
          </w:tcPr>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2</w:t>
            </w:r>
          </w:p>
        </w:tc>
        <w:tc>
          <w:tcPr>
            <w:tcW w:w="1350" w:type="dxa"/>
          </w:tcPr>
          <w:p w:rsidR="00CF1222" w:rsidRDefault="00CF1222" w:rsidP="00CF1222">
            <w:pPr>
              <w:ind w:firstLineChars="100" w:firstLine="240"/>
              <w:jc w:val="left"/>
              <w:rPr>
                <w:kern w:val="0"/>
                <w:sz w:val="24"/>
                <w:szCs w:val="24"/>
              </w:rPr>
            </w:pPr>
            <w:r>
              <w:rPr>
                <w:rFonts w:hint="eastAsia"/>
                <w:kern w:val="0"/>
                <w:sz w:val="24"/>
                <w:szCs w:val="24"/>
              </w:rPr>
              <w:t>第二章</w:t>
            </w:r>
          </w:p>
          <w:p w:rsidR="00CF1222" w:rsidRDefault="00CF1222" w:rsidP="00CF1222">
            <w:pPr>
              <w:jc w:val="left"/>
              <w:rPr>
                <w:kern w:val="0"/>
                <w:sz w:val="24"/>
                <w:szCs w:val="24"/>
              </w:rPr>
            </w:pPr>
            <w:r>
              <w:rPr>
                <w:rFonts w:hint="eastAsia"/>
                <w:kern w:val="0"/>
                <w:sz w:val="24"/>
                <w:szCs w:val="24"/>
              </w:rPr>
              <w:t>建筑抗震概念设计</w:t>
            </w:r>
          </w:p>
        </w:tc>
        <w:tc>
          <w:tcPr>
            <w:tcW w:w="3225" w:type="dxa"/>
          </w:tcPr>
          <w:p w:rsidR="00CF1222" w:rsidRDefault="00CF1222" w:rsidP="00CF1222">
            <w:pPr>
              <w:jc w:val="left"/>
              <w:rPr>
                <w:kern w:val="0"/>
                <w:sz w:val="24"/>
                <w:szCs w:val="24"/>
              </w:rPr>
            </w:pPr>
            <w:r>
              <w:rPr>
                <w:rFonts w:hint="eastAsia"/>
                <w:kern w:val="0"/>
                <w:sz w:val="24"/>
                <w:szCs w:val="24"/>
              </w:rPr>
              <w:t>主要内容：建筑概念设计的意义；建筑场地选择；建筑体型选择；结构体系选择；提高结构抗震性能的措施；非结构构件的处理；结构材料与施工；建筑抗震性能化设计。</w:t>
            </w:r>
          </w:p>
          <w:p w:rsidR="00CF1222" w:rsidRDefault="00CF1222" w:rsidP="00CF1222">
            <w:pPr>
              <w:jc w:val="left"/>
              <w:rPr>
                <w:kern w:val="0"/>
                <w:sz w:val="24"/>
                <w:szCs w:val="24"/>
              </w:rPr>
            </w:pPr>
            <w:r>
              <w:rPr>
                <w:rFonts w:hint="eastAsia"/>
                <w:kern w:val="0"/>
                <w:sz w:val="24"/>
                <w:szCs w:val="24"/>
              </w:rPr>
              <w:t>知识类型：分析探讨与应用型知识。</w:t>
            </w:r>
          </w:p>
        </w:tc>
        <w:tc>
          <w:tcPr>
            <w:tcW w:w="3925" w:type="dxa"/>
          </w:tcPr>
          <w:p w:rsidR="00CF1222" w:rsidRDefault="00CF1222" w:rsidP="00CF1222">
            <w:pPr>
              <w:jc w:val="left"/>
              <w:rPr>
                <w:kern w:val="0"/>
                <w:sz w:val="24"/>
                <w:szCs w:val="24"/>
              </w:rPr>
            </w:pPr>
            <w:r>
              <w:rPr>
                <w:rFonts w:hint="eastAsia"/>
                <w:kern w:val="0"/>
                <w:sz w:val="24"/>
                <w:szCs w:val="24"/>
              </w:rPr>
              <w:t>思政目标：</w:t>
            </w:r>
            <w:r>
              <w:rPr>
                <w:rFonts w:hint="eastAsia"/>
                <w:kern w:val="0"/>
                <w:sz w:val="24"/>
                <w:szCs w:val="24"/>
              </w:rPr>
              <w:t>1</w:t>
            </w:r>
            <w:r>
              <w:rPr>
                <w:rFonts w:hint="eastAsia"/>
                <w:kern w:val="0"/>
                <w:sz w:val="24"/>
                <w:szCs w:val="24"/>
              </w:rPr>
              <w:t>、科技创新教育；</w:t>
            </w:r>
            <w:r>
              <w:rPr>
                <w:rFonts w:hint="eastAsia"/>
                <w:kern w:val="0"/>
                <w:sz w:val="24"/>
                <w:szCs w:val="24"/>
              </w:rPr>
              <w:t>2</w:t>
            </w:r>
            <w:r>
              <w:rPr>
                <w:rFonts w:hint="eastAsia"/>
                <w:kern w:val="0"/>
                <w:sz w:val="24"/>
                <w:szCs w:val="24"/>
              </w:rPr>
              <w:t>、职业素养教育。</w:t>
            </w:r>
          </w:p>
          <w:p w:rsidR="00CF1222" w:rsidRDefault="00CF1222" w:rsidP="00CF1222">
            <w:pPr>
              <w:jc w:val="left"/>
              <w:rPr>
                <w:kern w:val="0"/>
                <w:sz w:val="24"/>
                <w:szCs w:val="24"/>
              </w:rPr>
            </w:pPr>
            <w:r>
              <w:rPr>
                <w:rFonts w:hint="eastAsia"/>
                <w:kern w:val="0"/>
                <w:sz w:val="24"/>
                <w:szCs w:val="24"/>
              </w:rPr>
              <w:t>主要方法：</w:t>
            </w:r>
            <w:r>
              <w:rPr>
                <w:rFonts w:hint="eastAsia"/>
                <w:kern w:val="0"/>
                <w:sz w:val="24"/>
                <w:szCs w:val="24"/>
              </w:rPr>
              <w:t>1</w:t>
            </w:r>
            <w:r>
              <w:rPr>
                <w:rFonts w:hint="eastAsia"/>
                <w:kern w:val="0"/>
                <w:sz w:val="24"/>
                <w:szCs w:val="24"/>
              </w:rPr>
              <w:t>、国内外同类内容的比较分析；</w:t>
            </w:r>
            <w:r>
              <w:rPr>
                <w:rFonts w:hint="eastAsia"/>
                <w:kern w:val="0"/>
                <w:sz w:val="24"/>
                <w:szCs w:val="24"/>
              </w:rPr>
              <w:t>2</w:t>
            </w:r>
            <w:r>
              <w:rPr>
                <w:rFonts w:hint="eastAsia"/>
                <w:kern w:val="0"/>
                <w:sz w:val="24"/>
                <w:szCs w:val="24"/>
              </w:rPr>
              <w:t>、规范条文解读；</w:t>
            </w:r>
            <w:r>
              <w:rPr>
                <w:rFonts w:hint="eastAsia"/>
                <w:kern w:val="0"/>
                <w:sz w:val="24"/>
                <w:szCs w:val="24"/>
              </w:rPr>
              <w:t>3</w:t>
            </w:r>
            <w:r>
              <w:rPr>
                <w:rFonts w:hint="eastAsia"/>
                <w:kern w:val="0"/>
                <w:sz w:val="24"/>
                <w:szCs w:val="24"/>
              </w:rPr>
              <w:t>、典型工程案例分析。</w:t>
            </w:r>
          </w:p>
        </w:tc>
      </w:tr>
      <w:tr w:rsidR="00CF1222" w:rsidTr="00CF1222">
        <w:trPr>
          <w:trHeight w:val="977"/>
        </w:trPr>
        <w:tc>
          <w:tcPr>
            <w:tcW w:w="461" w:type="dxa"/>
          </w:tcPr>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3</w:t>
            </w:r>
          </w:p>
        </w:tc>
        <w:tc>
          <w:tcPr>
            <w:tcW w:w="1350" w:type="dxa"/>
          </w:tcPr>
          <w:p w:rsidR="00CF1222" w:rsidRDefault="00CF1222" w:rsidP="00CF1222">
            <w:pPr>
              <w:jc w:val="left"/>
              <w:rPr>
                <w:kern w:val="0"/>
                <w:sz w:val="24"/>
                <w:szCs w:val="24"/>
              </w:rPr>
            </w:pPr>
          </w:p>
          <w:p w:rsidR="00CF1222" w:rsidRDefault="00CF1222" w:rsidP="00CF1222">
            <w:pPr>
              <w:ind w:firstLineChars="100" w:firstLine="240"/>
              <w:jc w:val="left"/>
              <w:rPr>
                <w:kern w:val="0"/>
                <w:sz w:val="24"/>
                <w:szCs w:val="24"/>
              </w:rPr>
            </w:pPr>
            <w:r>
              <w:rPr>
                <w:rFonts w:hint="eastAsia"/>
                <w:kern w:val="0"/>
                <w:sz w:val="24"/>
                <w:szCs w:val="24"/>
              </w:rPr>
              <w:t>第三章</w:t>
            </w:r>
            <w:r>
              <w:rPr>
                <w:rFonts w:hint="eastAsia"/>
                <w:kern w:val="0"/>
                <w:sz w:val="24"/>
                <w:szCs w:val="24"/>
              </w:rPr>
              <w:t xml:space="preserve"> </w:t>
            </w:r>
          </w:p>
          <w:p w:rsidR="00CF1222" w:rsidRDefault="00CF1222" w:rsidP="00CF1222">
            <w:pPr>
              <w:jc w:val="left"/>
              <w:rPr>
                <w:kern w:val="0"/>
                <w:sz w:val="24"/>
                <w:szCs w:val="24"/>
              </w:rPr>
            </w:pPr>
            <w:r>
              <w:rPr>
                <w:rFonts w:hint="eastAsia"/>
                <w:kern w:val="0"/>
                <w:sz w:val="24"/>
                <w:szCs w:val="24"/>
              </w:rPr>
              <w:t>建筑场地、地基与基础</w:t>
            </w:r>
          </w:p>
        </w:tc>
        <w:tc>
          <w:tcPr>
            <w:tcW w:w="3225" w:type="dxa"/>
          </w:tcPr>
          <w:p w:rsidR="00CF1222" w:rsidRDefault="00CF1222" w:rsidP="00CF1222">
            <w:pPr>
              <w:jc w:val="left"/>
              <w:rPr>
                <w:kern w:val="0"/>
                <w:sz w:val="24"/>
                <w:szCs w:val="24"/>
              </w:rPr>
            </w:pPr>
            <w:r>
              <w:rPr>
                <w:rFonts w:hint="eastAsia"/>
                <w:kern w:val="0"/>
                <w:sz w:val="24"/>
                <w:szCs w:val="24"/>
              </w:rPr>
              <w:t>主要内容：建筑场地；地基与基础的抗震验算；地基土的液化。</w:t>
            </w:r>
          </w:p>
          <w:p w:rsidR="00CF1222" w:rsidRDefault="00CF1222" w:rsidP="00CF1222">
            <w:pPr>
              <w:jc w:val="left"/>
              <w:rPr>
                <w:kern w:val="0"/>
                <w:sz w:val="24"/>
                <w:szCs w:val="24"/>
              </w:rPr>
            </w:pPr>
            <w:r>
              <w:rPr>
                <w:rFonts w:hint="eastAsia"/>
                <w:kern w:val="0"/>
                <w:sz w:val="24"/>
                <w:szCs w:val="24"/>
              </w:rPr>
              <w:t>知识类型：分析探讨与应用型知识。</w:t>
            </w:r>
          </w:p>
        </w:tc>
        <w:tc>
          <w:tcPr>
            <w:tcW w:w="3925" w:type="dxa"/>
          </w:tcPr>
          <w:p w:rsidR="00CF1222" w:rsidRDefault="00CF1222" w:rsidP="00CF1222">
            <w:pPr>
              <w:jc w:val="left"/>
              <w:rPr>
                <w:kern w:val="0"/>
                <w:sz w:val="24"/>
                <w:szCs w:val="24"/>
              </w:rPr>
            </w:pPr>
          </w:p>
          <w:p w:rsidR="00CF1222" w:rsidRDefault="00CF1222" w:rsidP="00CF1222">
            <w:pPr>
              <w:jc w:val="left"/>
              <w:rPr>
                <w:kern w:val="0"/>
                <w:sz w:val="24"/>
                <w:szCs w:val="24"/>
              </w:rPr>
            </w:pPr>
            <w:r>
              <w:rPr>
                <w:rFonts w:hint="eastAsia"/>
                <w:kern w:val="0"/>
                <w:sz w:val="24"/>
                <w:szCs w:val="24"/>
              </w:rPr>
              <w:t>思政目标：</w:t>
            </w:r>
            <w:r>
              <w:rPr>
                <w:rFonts w:hint="eastAsia"/>
                <w:kern w:val="0"/>
                <w:sz w:val="24"/>
                <w:szCs w:val="24"/>
              </w:rPr>
              <w:t>1</w:t>
            </w:r>
            <w:r>
              <w:rPr>
                <w:rFonts w:hint="eastAsia"/>
                <w:kern w:val="0"/>
                <w:sz w:val="24"/>
                <w:szCs w:val="24"/>
              </w:rPr>
              <w:t>、职业素养教育；</w:t>
            </w:r>
            <w:r>
              <w:rPr>
                <w:rFonts w:hint="eastAsia"/>
                <w:kern w:val="0"/>
                <w:sz w:val="24"/>
                <w:szCs w:val="24"/>
              </w:rPr>
              <w:t>2</w:t>
            </w:r>
            <w:r>
              <w:rPr>
                <w:rFonts w:hint="eastAsia"/>
                <w:kern w:val="0"/>
                <w:sz w:val="24"/>
                <w:szCs w:val="24"/>
              </w:rPr>
              <w:t>、科技创新教育。主</w:t>
            </w:r>
          </w:p>
          <w:p w:rsidR="00CF1222" w:rsidRDefault="00CF1222" w:rsidP="00CF1222">
            <w:pPr>
              <w:jc w:val="left"/>
              <w:rPr>
                <w:kern w:val="0"/>
                <w:sz w:val="24"/>
                <w:szCs w:val="24"/>
              </w:rPr>
            </w:pPr>
            <w:r>
              <w:rPr>
                <w:rFonts w:hint="eastAsia"/>
                <w:kern w:val="0"/>
                <w:sz w:val="24"/>
                <w:szCs w:val="24"/>
              </w:rPr>
              <w:t>要方法：</w:t>
            </w:r>
            <w:r>
              <w:rPr>
                <w:rFonts w:hint="eastAsia"/>
                <w:kern w:val="0"/>
                <w:sz w:val="24"/>
                <w:szCs w:val="24"/>
              </w:rPr>
              <w:t>1</w:t>
            </w:r>
            <w:r>
              <w:rPr>
                <w:rFonts w:hint="eastAsia"/>
                <w:kern w:val="0"/>
                <w:sz w:val="24"/>
                <w:szCs w:val="24"/>
              </w:rPr>
              <w:t>、国内外同类内容的比较分析；</w:t>
            </w:r>
            <w:r>
              <w:rPr>
                <w:rFonts w:hint="eastAsia"/>
                <w:kern w:val="0"/>
                <w:sz w:val="24"/>
                <w:szCs w:val="24"/>
              </w:rPr>
              <w:t>2</w:t>
            </w:r>
            <w:r>
              <w:rPr>
                <w:rFonts w:hint="eastAsia"/>
                <w:kern w:val="0"/>
                <w:sz w:val="24"/>
                <w:szCs w:val="24"/>
              </w:rPr>
              <w:t>、规范条文解读。</w:t>
            </w:r>
          </w:p>
        </w:tc>
      </w:tr>
      <w:tr w:rsidR="00CF1222" w:rsidTr="00CF1222">
        <w:trPr>
          <w:trHeight w:val="977"/>
        </w:trPr>
        <w:tc>
          <w:tcPr>
            <w:tcW w:w="461" w:type="dxa"/>
          </w:tcPr>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4</w:t>
            </w:r>
          </w:p>
        </w:tc>
        <w:tc>
          <w:tcPr>
            <w:tcW w:w="1350" w:type="dxa"/>
          </w:tcPr>
          <w:p w:rsidR="00CF1222" w:rsidRDefault="00CF1222" w:rsidP="00CF1222">
            <w:pPr>
              <w:ind w:firstLineChars="100" w:firstLine="240"/>
              <w:jc w:val="left"/>
              <w:rPr>
                <w:kern w:val="0"/>
                <w:sz w:val="24"/>
                <w:szCs w:val="24"/>
              </w:rPr>
            </w:pPr>
            <w:r>
              <w:rPr>
                <w:rFonts w:hint="eastAsia"/>
                <w:kern w:val="0"/>
                <w:sz w:val="24"/>
                <w:szCs w:val="24"/>
              </w:rPr>
              <w:t>第四章</w:t>
            </w:r>
            <w:r>
              <w:rPr>
                <w:rFonts w:hint="eastAsia"/>
                <w:kern w:val="0"/>
                <w:sz w:val="24"/>
                <w:szCs w:val="24"/>
              </w:rPr>
              <w:t xml:space="preserve"> </w:t>
            </w:r>
          </w:p>
          <w:p w:rsidR="00CF1222" w:rsidRDefault="00CF1222" w:rsidP="00CF1222">
            <w:pPr>
              <w:jc w:val="left"/>
              <w:rPr>
                <w:kern w:val="0"/>
                <w:sz w:val="24"/>
                <w:szCs w:val="24"/>
              </w:rPr>
            </w:pPr>
            <w:r>
              <w:rPr>
                <w:rFonts w:hint="eastAsia"/>
                <w:kern w:val="0"/>
                <w:sz w:val="24"/>
                <w:szCs w:val="24"/>
              </w:rPr>
              <w:t>结构地震反应分析和抗震验算</w:t>
            </w:r>
          </w:p>
        </w:tc>
        <w:tc>
          <w:tcPr>
            <w:tcW w:w="3225" w:type="dxa"/>
          </w:tcPr>
          <w:p w:rsidR="00CF1222" w:rsidRDefault="00CF1222" w:rsidP="00CF1222">
            <w:pPr>
              <w:jc w:val="left"/>
              <w:rPr>
                <w:kern w:val="0"/>
                <w:sz w:val="24"/>
                <w:szCs w:val="24"/>
              </w:rPr>
            </w:pPr>
            <w:r>
              <w:rPr>
                <w:rFonts w:hint="eastAsia"/>
                <w:kern w:val="0"/>
                <w:sz w:val="24"/>
                <w:szCs w:val="24"/>
              </w:rPr>
              <w:t>主要内容：概述；单质点弹性体系的地震反应；单质点弹性体系的水平地震作用；多质点弹性体系的地震反应；多自由度体系的水平地震作用；结构基本周期的近似计算方法；竖向地震作用；结构抗震验算。</w:t>
            </w:r>
          </w:p>
          <w:p w:rsidR="00CF1222" w:rsidRDefault="00CF1222" w:rsidP="00CF1222">
            <w:pPr>
              <w:jc w:val="left"/>
              <w:rPr>
                <w:kern w:val="0"/>
                <w:sz w:val="24"/>
                <w:szCs w:val="24"/>
              </w:rPr>
            </w:pPr>
            <w:r>
              <w:rPr>
                <w:rFonts w:hint="eastAsia"/>
                <w:kern w:val="0"/>
                <w:sz w:val="24"/>
                <w:szCs w:val="24"/>
              </w:rPr>
              <w:t>知识类型：分析探讨型与应用型知识。</w:t>
            </w:r>
          </w:p>
        </w:tc>
        <w:tc>
          <w:tcPr>
            <w:tcW w:w="3925" w:type="dxa"/>
          </w:tcPr>
          <w:p w:rsidR="00CF1222" w:rsidRDefault="00CF1222" w:rsidP="00CF1222">
            <w:pPr>
              <w:jc w:val="left"/>
              <w:rPr>
                <w:kern w:val="0"/>
                <w:sz w:val="24"/>
                <w:szCs w:val="24"/>
              </w:rPr>
            </w:pPr>
            <w:r>
              <w:rPr>
                <w:rFonts w:hint="eastAsia"/>
                <w:kern w:val="0"/>
                <w:sz w:val="24"/>
                <w:szCs w:val="24"/>
              </w:rPr>
              <w:t>思政目标：</w:t>
            </w:r>
            <w:r>
              <w:rPr>
                <w:rFonts w:hint="eastAsia"/>
                <w:kern w:val="0"/>
                <w:sz w:val="24"/>
                <w:szCs w:val="24"/>
              </w:rPr>
              <w:t>1</w:t>
            </w:r>
            <w:r>
              <w:rPr>
                <w:rFonts w:hint="eastAsia"/>
                <w:kern w:val="0"/>
                <w:sz w:val="24"/>
                <w:szCs w:val="24"/>
              </w:rPr>
              <w:t>、职业素养教育；</w:t>
            </w:r>
            <w:r>
              <w:rPr>
                <w:rFonts w:hint="eastAsia"/>
                <w:kern w:val="0"/>
                <w:sz w:val="24"/>
                <w:szCs w:val="24"/>
              </w:rPr>
              <w:t>2</w:t>
            </w:r>
            <w:r>
              <w:rPr>
                <w:rFonts w:hint="eastAsia"/>
                <w:kern w:val="0"/>
                <w:sz w:val="24"/>
                <w:szCs w:val="24"/>
              </w:rPr>
              <w:t>、科技创新教育。</w:t>
            </w:r>
          </w:p>
          <w:p w:rsidR="00CF1222" w:rsidRDefault="00CF1222" w:rsidP="00CF1222">
            <w:pPr>
              <w:jc w:val="left"/>
              <w:rPr>
                <w:kern w:val="0"/>
                <w:sz w:val="24"/>
                <w:szCs w:val="24"/>
              </w:rPr>
            </w:pPr>
            <w:r>
              <w:rPr>
                <w:rFonts w:hint="eastAsia"/>
                <w:kern w:val="0"/>
                <w:sz w:val="24"/>
                <w:szCs w:val="24"/>
              </w:rPr>
              <w:t>主要方法：</w:t>
            </w:r>
            <w:r>
              <w:rPr>
                <w:rFonts w:hint="eastAsia"/>
                <w:kern w:val="0"/>
                <w:sz w:val="24"/>
                <w:szCs w:val="24"/>
              </w:rPr>
              <w:t>1</w:t>
            </w:r>
            <w:r>
              <w:rPr>
                <w:rFonts w:hint="eastAsia"/>
                <w:kern w:val="0"/>
                <w:sz w:val="24"/>
                <w:szCs w:val="24"/>
              </w:rPr>
              <w:t>、建立运动微分方程；</w:t>
            </w:r>
            <w:r>
              <w:rPr>
                <w:rFonts w:hint="eastAsia"/>
                <w:kern w:val="0"/>
                <w:sz w:val="24"/>
                <w:szCs w:val="24"/>
              </w:rPr>
              <w:t>2</w:t>
            </w:r>
            <w:r>
              <w:rPr>
                <w:rFonts w:hint="eastAsia"/>
                <w:kern w:val="0"/>
                <w:sz w:val="24"/>
                <w:szCs w:val="24"/>
              </w:rPr>
              <w:t>、地震作用计算及地震影响系数。</w:t>
            </w:r>
          </w:p>
        </w:tc>
      </w:tr>
      <w:tr w:rsidR="00CF1222" w:rsidTr="00CF1222">
        <w:trPr>
          <w:trHeight w:val="977"/>
        </w:trPr>
        <w:tc>
          <w:tcPr>
            <w:tcW w:w="461" w:type="dxa"/>
          </w:tcPr>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5</w:t>
            </w:r>
          </w:p>
          <w:p w:rsidR="00CF1222" w:rsidRDefault="00CF1222" w:rsidP="00CF1222">
            <w:pPr>
              <w:jc w:val="center"/>
              <w:rPr>
                <w:rFonts w:ascii="Times New Roman" w:hAnsi="Times New Roman"/>
                <w:kern w:val="0"/>
                <w:sz w:val="24"/>
                <w:szCs w:val="24"/>
              </w:rPr>
            </w:pPr>
          </w:p>
        </w:tc>
        <w:tc>
          <w:tcPr>
            <w:tcW w:w="1350" w:type="dxa"/>
          </w:tcPr>
          <w:p w:rsidR="00CF1222" w:rsidRDefault="00CF1222" w:rsidP="00CF1222">
            <w:pPr>
              <w:jc w:val="left"/>
              <w:rPr>
                <w:kern w:val="0"/>
                <w:sz w:val="24"/>
                <w:szCs w:val="24"/>
              </w:rPr>
            </w:pPr>
          </w:p>
          <w:p w:rsidR="00CF1222" w:rsidRDefault="00CF1222" w:rsidP="00CF1222">
            <w:pPr>
              <w:ind w:firstLineChars="100" w:firstLine="240"/>
              <w:jc w:val="left"/>
              <w:rPr>
                <w:kern w:val="0"/>
                <w:sz w:val="24"/>
                <w:szCs w:val="24"/>
              </w:rPr>
            </w:pPr>
            <w:r>
              <w:rPr>
                <w:rFonts w:hint="eastAsia"/>
                <w:kern w:val="0"/>
                <w:sz w:val="24"/>
                <w:szCs w:val="24"/>
              </w:rPr>
              <w:t>第五章</w:t>
            </w:r>
            <w:r>
              <w:rPr>
                <w:rFonts w:hint="eastAsia"/>
                <w:kern w:val="0"/>
                <w:sz w:val="24"/>
                <w:szCs w:val="24"/>
              </w:rPr>
              <w:t xml:space="preserve"> </w:t>
            </w:r>
          </w:p>
          <w:p w:rsidR="00CF1222" w:rsidRDefault="00CF1222" w:rsidP="00CF1222">
            <w:pPr>
              <w:jc w:val="left"/>
              <w:rPr>
                <w:kern w:val="0"/>
                <w:sz w:val="24"/>
                <w:szCs w:val="24"/>
              </w:rPr>
            </w:pPr>
            <w:r>
              <w:rPr>
                <w:rFonts w:hint="eastAsia"/>
                <w:kern w:val="0"/>
                <w:sz w:val="24"/>
                <w:szCs w:val="24"/>
              </w:rPr>
              <w:t>多层砌体结构抗震设计</w:t>
            </w:r>
          </w:p>
        </w:tc>
        <w:tc>
          <w:tcPr>
            <w:tcW w:w="3225" w:type="dxa"/>
          </w:tcPr>
          <w:p w:rsidR="00CF1222" w:rsidRDefault="00CF1222" w:rsidP="00CF1222">
            <w:pPr>
              <w:jc w:val="left"/>
              <w:rPr>
                <w:kern w:val="0"/>
                <w:sz w:val="24"/>
                <w:szCs w:val="24"/>
              </w:rPr>
            </w:pPr>
            <w:r>
              <w:rPr>
                <w:rFonts w:hint="eastAsia"/>
                <w:kern w:val="0"/>
                <w:sz w:val="24"/>
                <w:szCs w:val="24"/>
              </w:rPr>
              <w:t>主要内容：结构震害及分析；建筑布置与结构选型；多层砌体结构的抗震计算；多层砌体房屋抗震构造措施。</w:t>
            </w:r>
          </w:p>
          <w:p w:rsidR="00CF1222" w:rsidRDefault="00CF1222" w:rsidP="00CF1222">
            <w:pPr>
              <w:jc w:val="left"/>
              <w:rPr>
                <w:kern w:val="0"/>
                <w:sz w:val="24"/>
                <w:szCs w:val="24"/>
              </w:rPr>
            </w:pPr>
            <w:r>
              <w:rPr>
                <w:rFonts w:hint="eastAsia"/>
                <w:kern w:val="0"/>
                <w:sz w:val="24"/>
                <w:szCs w:val="24"/>
              </w:rPr>
              <w:t>知识类型：分析探讨与应用型知识。</w:t>
            </w:r>
          </w:p>
        </w:tc>
        <w:tc>
          <w:tcPr>
            <w:tcW w:w="3925" w:type="dxa"/>
          </w:tcPr>
          <w:p w:rsidR="00CF1222" w:rsidRDefault="00CF1222" w:rsidP="00CF1222">
            <w:pPr>
              <w:jc w:val="left"/>
              <w:rPr>
                <w:kern w:val="0"/>
                <w:sz w:val="24"/>
                <w:szCs w:val="24"/>
              </w:rPr>
            </w:pPr>
            <w:r>
              <w:rPr>
                <w:rFonts w:hint="eastAsia"/>
                <w:kern w:val="0"/>
                <w:sz w:val="24"/>
                <w:szCs w:val="24"/>
              </w:rPr>
              <w:t>思政目标：</w:t>
            </w:r>
            <w:r>
              <w:rPr>
                <w:rFonts w:hint="eastAsia"/>
                <w:kern w:val="0"/>
                <w:sz w:val="24"/>
                <w:szCs w:val="24"/>
              </w:rPr>
              <w:t>1</w:t>
            </w:r>
            <w:r>
              <w:rPr>
                <w:rFonts w:hint="eastAsia"/>
                <w:kern w:val="0"/>
                <w:sz w:val="24"/>
                <w:szCs w:val="24"/>
              </w:rPr>
              <w:t>、职业素养教育；</w:t>
            </w:r>
            <w:r>
              <w:rPr>
                <w:rFonts w:hint="eastAsia"/>
                <w:kern w:val="0"/>
                <w:sz w:val="24"/>
                <w:szCs w:val="24"/>
              </w:rPr>
              <w:t>2</w:t>
            </w:r>
            <w:r>
              <w:rPr>
                <w:rFonts w:hint="eastAsia"/>
                <w:kern w:val="0"/>
                <w:sz w:val="24"/>
                <w:szCs w:val="24"/>
              </w:rPr>
              <w:t>、科技创新教育。</w:t>
            </w:r>
          </w:p>
          <w:p w:rsidR="00CF1222" w:rsidRDefault="00CF1222" w:rsidP="00CF1222">
            <w:pPr>
              <w:jc w:val="left"/>
              <w:rPr>
                <w:kern w:val="0"/>
                <w:sz w:val="24"/>
                <w:szCs w:val="24"/>
              </w:rPr>
            </w:pPr>
            <w:r>
              <w:rPr>
                <w:rFonts w:hint="eastAsia"/>
                <w:kern w:val="0"/>
                <w:sz w:val="24"/>
                <w:szCs w:val="24"/>
              </w:rPr>
              <w:t>主要方法：</w:t>
            </w:r>
            <w:r>
              <w:rPr>
                <w:rFonts w:hint="eastAsia"/>
                <w:kern w:val="0"/>
                <w:sz w:val="24"/>
                <w:szCs w:val="24"/>
              </w:rPr>
              <w:t>1</w:t>
            </w:r>
            <w:r>
              <w:rPr>
                <w:rFonts w:hint="eastAsia"/>
                <w:kern w:val="0"/>
                <w:sz w:val="24"/>
                <w:szCs w:val="24"/>
              </w:rPr>
              <w:t>、规范条文解读；</w:t>
            </w:r>
            <w:r>
              <w:rPr>
                <w:rFonts w:hint="eastAsia"/>
                <w:kern w:val="0"/>
                <w:sz w:val="24"/>
                <w:szCs w:val="24"/>
              </w:rPr>
              <w:t>2</w:t>
            </w:r>
            <w:r>
              <w:rPr>
                <w:rFonts w:hint="eastAsia"/>
                <w:kern w:val="0"/>
                <w:sz w:val="24"/>
                <w:szCs w:val="24"/>
              </w:rPr>
              <w:t>、国内外同类内容的比较分析；</w:t>
            </w:r>
            <w:r>
              <w:rPr>
                <w:rFonts w:hint="eastAsia"/>
                <w:kern w:val="0"/>
                <w:sz w:val="24"/>
                <w:szCs w:val="24"/>
              </w:rPr>
              <w:t>3</w:t>
            </w:r>
            <w:r>
              <w:rPr>
                <w:rFonts w:hint="eastAsia"/>
                <w:kern w:val="0"/>
                <w:sz w:val="24"/>
                <w:szCs w:val="24"/>
              </w:rPr>
              <w:t>、典型工程案例分析。</w:t>
            </w:r>
          </w:p>
        </w:tc>
      </w:tr>
      <w:tr w:rsidR="00CF1222" w:rsidTr="00CF1222">
        <w:trPr>
          <w:trHeight w:val="977"/>
        </w:trPr>
        <w:tc>
          <w:tcPr>
            <w:tcW w:w="461" w:type="dxa"/>
          </w:tcPr>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6</w:t>
            </w:r>
          </w:p>
        </w:tc>
        <w:tc>
          <w:tcPr>
            <w:tcW w:w="1350" w:type="dxa"/>
          </w:tcPr>
          <w:p w:rsidR="00CF1222" w:rsidRDefault="00CF1222" w:rsidP="00CF1222">
            <w:pPr>
              <w:ind w:firstLineChars="100" w:firstLine="240"/>
              <w:jc w:val="left"/>
              <w:rPr>
                <w:kern w:val="0"/>
                <w:sz w:val="24"/>
                <w:szCs w:val="24"/>
              </w:rPr>
            </w:pPr>
          </w:p>
          <w:p w:rsidR="00CF1222" w:rsidRDefault="00CF1222" w:rsidP="00CF1222">
            <w:pPr>
              <w:ind w:firstLineChars="100" w:firstLine="240"/>
              <w:jc w:val="left"/>
              <w:rPr>
                <w:kern w:val="0"/>
                <w:sz w:val="24"/>
                <w:szCs w:val="24"/>
              </w:rPr>
            </w:pPr>
            <w:r>
              <w:rPr>
                <w:rFonts w:hint="eastAsia"/>
                <w:kern w:val="0"/>
                <w:sz w:val="24"/>
                <w:szCs w:val="24"/>
              </w:rPr>
              <w:t>第六章</w:t>
            </w:r>
          </w:p>
          <w:p w:rsidR="00CF1222" w:rsidRDefault="00CF1222" w:rsidP="00CF1222">
            <w:pPr>
              <w:jc w:val="left"/>
              <w:rPr>
                <w:kern w:val="0"/>
                <w:sz w:val="24"/>
                <w:szCs w:val="24"/>
              </w:rPr>
            </w:pPr>
            <w:r>
              <w:rPr>
                <w:rFonts w:hint="eastAsia"/>
                <w:kern w:val="0"/>
                <w:sz w:val="24"/>
                <w:szCs w:val="24"/>
              </w:rPr>
              <w:t>钢筋混凝土</w:t>
            </w:r>
            <w:r>
              <w:rPr>
                <w:rFonts w:hint="eastAsia"/>
                <w:kern w:val="0"/>
                <w:sz w:val="24"/>
                <w:szCs w:val="24"/>
              </w:rPr>
              <w:t>(RC)</w:t>
            </w:r>
            <w:r>
              <w:rPr>
                <w:rFonts w:hint="eastAsia"/>
                <w:kern w:val="0"/>
                <w:sz w:val="24"/>
                <w:szCs w:val="24"/>
              </w:rPr>
              <w:t>结构抗震设计</w:t>
            </w:r>
          </w:p>
        </w:tc>
        <w:tc>
          <w:tcPr>
            <w:tcW w:w="3225" w:type="dxa"/>
          </w:tcPr>
          <w:p w:rsidR="00CF1222" w:rsidRDefault="00CF1222" w:rsidP="00CF1222">
            <w:pPr>
              <w:jc w:val="left"/>
              <w:rPr>
                <w:kern w:val="0"/>
                <w:sz w:val="24"/>
                <w:szCs w:val="24"/>
              </w:rPr>
            </w:pPr>
            <w:r>
              <w:rPr>
                <w:rFonts w:hint="eastAsia"/>
                <w:kern w:val="0"/>
                <w:sz w:val="24"/>
                <w:szCs w:val="24"/>
              </w:rPr>
              <w:t>主要内容：</w:t>
            </w:r>
            <w:r>
              <w:rPr>
                <w:rFonts w:hint="eastAsia"/>
                <w:kern w:val="0"/>
                <w:sz w:val="24"/>
                <w:szCs w:val="24"/>
              </w:rPr>
              <w:t>RC</w:t>
            </w:r>
            <w:r>
              <w:rPr>
                <w:rFonts w:hint="eastAsia"/>
                <w:kern w:val="0"/>
                <w:sz w:val="24"/>
                <w:szCs w:val="24"/>
              </w:rPr>
              <w:t>结构震害及其分析；</w:t>
            </w:r>
            <w:r>
              <w:rPr>
                <w:rFonts w:hint="eastAsia"/>
                <w:kern w:val="0"/>
                <w:sz w:val="24"/>
                <w:szCs w:val="24"/>
              </w:rPr>
              <w:t>RC</w:t>
            </w:r>
            <w:r>
              <w:rPr>
                <w:rFonts w:hint="eastAsia"/>
                <w:kern w:val="0"/>
                <w:sz w:val="24"/>
                <w:szCs w:val="24"/>
              </w:rPr>
              <w:t>抗震设计的一般规定；抗震计算；</w:t>
            </w:r>
            <w:r>
              <w:rPr>
                <w:rFonts w:hint="eastAsia"/>
                <w:kern w:val="0"/>
                <w:sz w:val="24"/>
                <w:szCs w:val="24"/>
              </w:rPr>
              <w:t>RC</w:t>
            </w:r>
            <w:r>
              <w:rPr>
                <w:rFonts w:hint="eastAsia"/>
                <w:kern w:val="0"/>
                <w:sz w:val="24"/>
                <w:szCs w:val="24"/>
              </w:rPr>
              <w:t>抗震构造措施。</w:t>
            </w:r>
          </w:p>
          <w:p w:rsidR="00CF1222" w:rsidRDefault="00CF1222" w:rsidP="00CF1222">
            <w:pPr>
              <w:jc w:val="left"/>
              <w:rPr>
                <w:kern w:val="0"/>
                <w:sz w:val="24"/>
                <w:szCs w:val="24"/>
              </w:rPr>
            </w:pPr>
            <w:r>
              <w:rPr>
                <w:rFonts w:hint="eastAsia"/>
                <w:kern w:val="0"/>
                <w:sz w:val="24"/>
                <w:szCs w:val="24"/>
              </w:rPr>
              <w:t>知识类型：分析探讨与应用型知识。</w:t>
            </w:r>
          </w:p>
        </w:tc>
        <w:tc>
          <w:tcPr>
            <w:tcW w:w="3925" w:type="dxa"/>
          </w:tcPr>
          <w:p w:rsidR="00CF1222" w:rsidRDefault="00CF1222" w:rsidP="00CF1222">
            <w:pPr>
              <w:jc w:val="left"/>
              <w:rPr>
                <w:kern w:val="0"/>
                <w:sz w:val="24"/>
                <w:szCs w:val="24"/>
              </w:rPr>
            </w:pPr>
            <w:r>
              <w:rPr>
                <w:rFonts w:hint="eastAsia"/>
                <w:kern w:val="0"/>
                <w:sz w:val="24"/>
                <w:szCs w:val="24"/>
              </w:rPr>
              <w:t>思政目标：</w:t>
            </w:r>
            <w:r>
              <w:rPr>
                <w:rFonts w:hint="eastAsia"/>
                <w:kern w:val="0"/>
                <w:sz w:val="24"/>
                <w:szCs w:val="24"/>
              </w:rPr>
              <w:t>1</w:t>
            </w:r>
            <w:r>
              <w:rPr>
                <w:rFonts w:hint="eastAsia"/>
                <w:kern w:val="0"/>
                <w:sz w:val="24"/>
                <w:szCs w:val="24"/>
              </w:rPr>
              <w:t>、职业素养教育；</w:t>
            </w:r>
            <w:r>
              <w:rPr>
                <w:rFonts w:hint="eastAsia"/>
                <w:kern w:val="0"/>
                <w:sz w:val="24"/>
                <w:szCs w:val="24"/>
              </w:rPr>
              <w:t>2</w:t>
            </w:r>
            <w:r>
              <w:rPr>
                <w:rFonts w:hint="eastAsia"/>
                <w:kern w:val="0"/>
                <w:sz w:val="24"/>
                <w:szCs w:val="24"/>
              </w:rPr>
              <w:t>、科技创新教育。</w:t>
            </w:r>
          </w:p>
          <w:p w:rsidR="00CF1222" w:rsidRDefault="00CF1222" w:rsidP="00CF1222">
            <w:pPr>
              <w:jc w:val="left"/>
              <w:rPr>
                <w:kern w:val="0"/>
                <w:sz w:val="24"/>
                <w:szCs w:val="24"/>
              </w:rPr>
            </w:pPr>
            <w:r>
              <w:rPr>
                <w:rFonts w:hint="eastAsia"/>
                <w:kern w:val="0"/>
                <w:sz w:val="24"/>
                <w:szCs w:val="24"/>
              </w:rPr>
              <w:t>主要方法：</w:t>
            </w:r>
            <w:r>
              <w:rPr>
                <w:rFonts w:hint="eastAsia"/>
                <w:kern w:val="0"/>
                <w:sz w:val="24"/>
                <w:szCs w:val="24"/>
              </w:rPr>
              <w:t>1</w:t>
            </w:r>
            <w:r>
              <w:rPr>
                <w:rFonts w:hint="eastAsia"/>
                <w:kern w:val="0"/>
                <w:sz w:val="24"/>
                <w:szCs w:val="24"/>
              </w:rPr>
              <w:t>、规范条文解读；</w:t>
            </w:r>
            <w:r>
              <w:rPr>
                <w:rFonts w:hint="eastAsia"/>
                <w:kern w:val="0"/>
                <w:sz w:val="24"/>
                <w:szCs w:val="24"/>
              </w:rPr>
              <w:t>2</w:t>
            </w:r>
            <w:r>
              <w:rPr>
                <w:rFonts w:hint="eastAsia"/>
                <w:kern w:val="0"/>
                <w:sz w:val="24"/>
                <w:szCs w:val="24"/>
              </w:rPr>
              <w:t>、国内外同类内容的比较分析；</w:t>
            </w:r>
            <w:r>
              <w:rPr>
                <w:rFonts w:hint="eastAsia"/>
                <w:kern w:val="0"/>
                <w:sz w:val="24"/>
                <w:szCs w:val="24"/>
              </w:rPr>
              <w:t>3</w:t>
            </w:r>
            <w:r>
              <w:rPr>
                <w:rFonts w:hint="eastAsia"/>
                <w:kern w:val="0"/>
                <w:sz w:val="24"/>
                <w:szCs w:val="24"/>
              </w:rPr>
              <w:t>、典型工程案例分析。</w:t>
            </w:r>
          </w:p>
        </w:tc>
      </w:tr>
      <w:tr w:rsidR="00CF1222" w:rsidTr="00CF1222">
        <w:trPr>
          <w:trHeight w:val="402"/>
        </w:trPr>
        <w:tc>
          <w:tcPr>
            <w:tcW w:w="461" w:type="dxa"/>
          </w:tcPr>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p>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7</w:t>
            </w:r>
          </w:p>
        </w:tc>
        <w:tc>
          <w:tcPr>
            <w:tcW w:w="1350" w:type="dxa"/>
          </w:tcPr>
          <w:p w:rsidR="00CF1222" w:rsidRDefault="00CF1222" w:rsidP="00CF1222">
            <w:pPr>
              <w:ind w:firstLineChars="100" w:firstLine="240"/>
              <w:jc w:val="left"/>
              <w:rPr>
                <w:kern w:val="0"/>
                <w:sz w:val="24"/>
                <w:szCs w:val="24"/>
              </w:rPr>
            </w:pPr>
          </w:p>
          <w:p w:rsidR="00CF1222" w:rsidRDefault="00CF1222" w:rsidP="00CF1222">
            <w:pPr>
              <w:ind w:firstLineChars="100" w:firstLine="240"/>
              <w:jc w:val="left"/>
              <w:rPr>
                <w:kern w:val="0"/>
                <w:sz w:val="24"/>
                <w:szCs w:val="24"/>
              </w:rPr>
            </w:pPr>
            <w:r>
              <w:rPr>
                <w:rFonts w:hint="eastAsia"/>
                <w:kern w:val="0"/>
                <w:sz w:val="24"/>
                <w:szCs w:val="24"/>
              </w:rPr>
              <w:t>第七章</w:t>
            </w:r>
          </w:p>
          <w:p w:rsidR="00CF1222" w:rsidRDefault="00CF1222" w:rsidP="00CF1222">
            <w:pPr>
              <w:jc w:val="left"/>
              <w:rPr>
                <w:kern w:val="0"/>
                <w:sz w:val="24"/>
                <w:szCs w:val="24"/>
              </w:rPr>
            </w:pPr>
            <w:r>
              <w:rPr>
                <w:rFonts w:hint="eastAsia"/>
                <w:kern w:val="0"/>
                <w:sz w:val="24"/>
                <w:szCs w:val="24"/>
              </w:rPr>
              <w:t>结构隔振与消能减震</w:t>
            </w:r>
          </w:p>
        </w:tc>
        <w:tc>
          <w:tcPr>
            <w:tcW w:w="3225" w:type="dxa"/>
          </w:tcPr>
          <w:p w:rsidR="00CF1222" w:rsidRDefault="00CF1222" w:rsidP="00CF1222">
            <w:pPr>
              <w:jc w:val="left"/>
              <w:rPr>
                <w:kern w:val="0"/>
                <w:sz w:val="24"/>
                <w:szCs w:val="24"/>
              </w:rPr>
            </w:pPr>
            <w:r>
              <w:rPr>
                <w:rFonts w:hint="eastAsia"/>
                <w:kern w:val="0"/>
                <w:sz w:val="24"/>
                <w:szCs w:val="24"/>
              </w:rPr>
              <w:t>主要内容：结构减震设计概述；结构隔震原理与方法；结构消能减震原理及方法。</w:t>
            </w:r>
          </w:p>
          <w:p w:rsidR="00CF1222" w:rsidRDefault="00CF1222" w:rsidP="00CF1222">
            <w:pPr>
              <w:jc w:val="left"/>
              <w:rPr>
                <w:kern w:val="0"/>
                <w:sz w:val="24"/>
                <w:szCs w:val="24"/>
              </w:rPr>
            </w:pPr>
            <w:r>
              <w:rPr>
                <w:rFonts w:hint="eastAsia"/>
                <w:kern w:val="0"/>
                <w:sz w:val="24"/>
                <w:szCs w:val="24"/>
              </w:rPr>
              <w:t>知识类型：分析探讨与应用型知识。</w:t>
            </w:r>
          </w:p>
        </w:tc>
        <w:tc>
          <w:tcPr>
            <w:tcW w:w="3925" w:type="dxa"/>
          </w:tcPr>
          <w:p w:rsidR="00CF1222" w:rsidRDefault="00CF1222" w:rsidP="00CF1222">
            <w:pPr>
              <w:jc w:val="left"/>
              <w:rPr>
                <w:kern w:val="0"/>
                <w:sz w:val="24"/>
                <w:szCs w:val="24"/>
              </w:rPr>
            </w:pPr>
            <w:r>
              <w:rPr>
                <w:rFonts w:hint="eastAsia"/>
                <w:kern w:val="0"/>
                <w:sz w:val="24"/>
                <w:szCs w:val="24"/>
              </w:rPr>
              <w:t>思政目标：</w:t>
            </w:r>
            <w:r>
              <w:rPr>
                <w:rFonts w:hint="eastAsia"/>
                <w:kern w:val="0"/>
                <w:sz w:val="24"/>
                <w:szCs w:val="24"/>
              </w:rPr>
              <w:t>1</w:t>
            </w:r>
            <w:r>
              <w:rPr>
                <w:rFonts w:hint="eastAsia"/>
                <w:kern w:val="0"/>
                <w:sz w:val="24"/>
                <w:szCs w:val="24"/>
              </w:rPr>
              <w:t>、职业素养教育；</w:t>
            </w:r>
            <w:r>
              <w:rPr>
                <w:rFonts w:hint="eastAsia"/>
                <w:kern w:val="0"/>
                <w:sz w:val="24"/>
                <w:szCs w:val="24"/>
              </w:rPr>
              <w:t>2</w:t>
            </w:r>
            <w:r>
              <w:rPr>
                <w:rFonts w:hint="eastAsia"/>
                <w:kern w:val="0"/>
                <w:sz w:val="24"/>
                <w:szCs w:val="24"/>
              </w:rPr>
              <w:t>、科技创新教育。</w:t>
            </w:r>
          </w:p>
          <w:p w:rsidR="00CF1222" w:rsidRDefault="00CF1222" w:rsidP="00CF1222">
            <w:pPr>
              <w:jc w:val="left"/>
              <w:rPr>
                <w:kern w:val="0"/>
                <w:sz w:val="24"/>
                <w:szCs w:val="24"/>
              </w:rPr>
            </w:pPr>
            <w:r>
              <w:rPr>
                <w:rFonts w:hint="eastAsia"/>
                <w:kern w:val="0"/>
                <w:sz w:val="24"/>
                <w:szCs w:val="24"/>
              </w:rPr>
              <w:t>主要方法：</w:t>
            </w:r>
            <w:r>
              <w:rPr>
                <w:rFonts w:hint="eastAsia"/>
                <w:kern w:val="0"/>
                <w:sz w:val="24"/>
                <w:szCs w:val="24"/>
              </w:rPr>
              <w:t>1</w:t>
            </w:r>
            <w:r>
              <w:rPr>
                <w:rFonts w:hint="eastAsia"/>
                <w:kern w:val="0"/>
                <w:sz w:val="24"/>
                <w:szCs w:val="24"/>
              </w:rPr>
              <w:t>、规范条文解读；</w:t>
            </w:r>
            <w:r>
              <w:rPr>
                <w:rFonts w:hint="eastAsia"/>
                <w:kern w:val="0"/>
                <w:sz w:val="24"/>
                <w:szCs w:val="24"/>
              </w:rPr>
              <w:t>2</w:t>
            </w:r>
            <w:r>
              <w:rPr>
                <w:rFonts w:hint="eastAsia"/>
                <w:kern w:val="0"/>
                <w:sz w:val="24"/>
                <w:szCs w:val="24"/>
              </w:rPr>
              <w:t>、国内外同类内容的比较分析；</w:t>
            </w:r>
            <w:r>
              <w:rPr>
                <w:rFonts w:hint="eastAsia"/>
                <w:kern w:val="0"/>
                <w:sz w:val="24"/>
                <w:szCs w:val="24"/>
              </w:rPr>
              <w:t>3</w:t>
            </w:r>
            <w:r>
              <w:rPr>
                <w:rFonts w:hint="eastAsia"/>
                <w:kern w:val="0"/>
                <w:sz w:val="24"/>
                <w:szCs w:val="24"/>
              </w:rPr>
              <w:t>、典型工程案例分析。</w:t>
            </w:r>
          </w:p>
        </w:tc>
      </w:tr>
    </w:tbl>
    <w:p w:rsidR="00CF1222" w:rsidRDefault="00CF1222" w:rsidP="00CF1222">
      <w:pPr>
        <w:snapToGrid w:val="0"/>
        <w:spacing w:line="360" w:lineRule="auto"/>
        <w:rPr>
          <w:rFonts w:ascii="Times New Roman" w:eastAsia="黑体" w:hAnsi="Times New Roman"/>
          <w:b/>
          <w:sz w:val="28"/>
          <w:szCs w:val="28"/>
        </w:rPr>
      </w:pPr>
    </w:p>
    <w:p w:rsidR="00CF1222" w:rsidRDefault="00CF1222" w:rsidP="00CF1222">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四、教学内容</w:t>
      </w:r>
    </w:p>
    <w:p w:rsidR="00CF1222" w:rsidRDefault="00CF1222" w:rsidP="00CF1222">
      <w:pPr>
        <w:spacing w:line="560" w:lineRule="exact"/>
        <w:ind w:firstLineChars="200" w:firstLine="562"/>
        <w:rPr>
          <w:rFonts w:ascii="Times New Roman" w:hAnsi="Times New Roman"/>
          <w:b/>
          <w:sz w:val="28"/>
          <w:szCs w:val="28"/>
        </w:rPr>
      </w:pPr>
      <w:r>
        <w:rPr>
          <w:rFonts w:ascii="Times New Roman" w:hAnsi="Times New Roman" w:hint="eastAsia"/>
          <w:b/>
          <w:sz w:val="28"/>
          <w:szCs w:val="28"/>
        </w:rPr>
        <w:t>授课内容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984"/>
        <w:gridCol w:w="833"/>
        <w:gridCol w:w="2829"/>
        <w:gridCol w:w="2534"/>
        <w:gridCol w:w="1672"/>
      </w:tblGrid>
      <w:tr w:rsidR="00CF1222" w:rsidTr="00CF1222">
        <w:trPr>
          <w:cantSplit/>
          <w:trHeight w:val="661"/>
        </w:trPr>
        <w:tc>
          <w:tcPr>
            <w:tcW w:w="384" w:type="dxa"/>
            <w:vAlign w:val="center"/>
          </w:tcPr>
          <w:p w:rsidR="00CF1222" w:rsidRDefault="00CF1222" w:rsidP="00CF1222">
            <w:pPr>
              <w:jc w:val="center"/>
              <w:rPr>
                <w:b/>
                <w:bCs/>
                <w:kern w:val="0"/>
                <w:sz w:val="24"/>
                <w:szCs w:val="24"/>
              </w:rPr>
            </w:pPr>
            <w:r>
              <w:rPr>
                <w:rFonts w:hint="eastAsia"/>
                <w:b/>
                <w:bCs/>
                <w:kern w:val="0"/>
                <w:sz w:val="24"/>
                <w:szCs w:val="24"/>
              </w:rPr>
              <w:lastRenderedPageBreak/>
              <w:t>序号</w:t>
            </w:r>
          </w:p>
        </w:tc>
        <w:tc>
          <w:tcPr>
            <w:tcW w:w="984" w:type="dxa"/>
            <w:vAlign w:val="center"/>
          </w:tcPr>
          <w:p w:rsidR="00CF1222" w:rsidRDefault="00CF1222" w:rsidP="00CF1222">
            <w:pPr>
              <w:jc w:val="center"/>
              <w:rPr>
                <w:b/>
                <w:bCs/>
                <w:kern w:val="0"/>
                <w:sz w:val="24"/>
                <w:szCs w:val="24"/>
              </w:rPr>
            </w:pPr>
            <w:r>
              <w:rPr>
                <w:rFonts w:hint="eastAsia"/>
                <w:b/>
                <w:bCs/>
                <w:kern w:val="0"/>
                <w:sz w:val="24"/>
                <w:szCs w:val="24"/>
              </w:rPr>
              <w:t>章</w:t>
            </w:r>
            <w:r>
              <w:rPr>
                <w:rFonts w:hint="eastAsia"/>
                <w:b/>
                <w:bCs/>
                <w:kern w:val="0"/>
                <w:sz w:val="24"/>
                <w:szCs w:val="24"/>
              </w:rPr>
              <w:t xml:space="preserve">  </w:t>
            </w:r>
            <w:r>
              <w:rPr>
                <w:rFonts w:hint="eastAsia"/>
                <w:b/>
                <w:bCs/>
                <w:kern w:val="0"/>
                <w:sz w:val="24"/>
                <w:szCs w:val="24"/>
              </w:rPr>
              <w:t>节</w:t>
            </w:r>
          </w:p>
        </w:tc>
        <w:tc>
          <w:tcPr>
            <w:tcW w:w="833" w:type="dxa"/>
            <w:vAlign w:val="center"/>
          </w:tcPr>
          <w:p w:rsidR="00CF1222" w:rsidRDefault="00CF1222" w:rsidP="00CF1222">
            <w:pPr>
              <w:jc w:val="center"/>
              <w:rPr>
                <w:b/>
                <w:bCs/>
                <w:kern w:val="0"/>
                <w:sz w:val="24"/>
                <w:szCs w:val="24"/>
              </w:rPr>
            </w:pPr>
          </w:p>
          <w:p w:rsidR="00CF1222" w:rsidRDefault="00CF1222" w:rsidP="00CF1222">
            <w:pPr>
              <w:jc w:val="center"/>
              <w:rPr>
                <w:b/>
                <w:bCs/>
                <w:kern w:val="0"/>
                <w:sz w:val="24"/>
                <w:szCs w:val="24"/>
              </w:rPr>
            </w:pPr>
            <w:r>
              <w:rPr>
                <w:rFonts w:hint="eastAsia"/>
                <w:b/>
                <w:bCs/>
                <w:kern w:val="0"/>
                <w:sz w:val="24"/>
                <w:szCs w:val="24"/>
              </w:rPr>
              <w:t>参考</w:t>
            </w:r>
          </w:p>
          <w:p w:rsidR="00CF1222" w:rsidRDefault="00CF1222" w:rsidP="00CF1222">
            <w:pPr>
              <w:jc w:val="center"/>
              <w:rPr>
                <w:b/>
                <w:bCs/>
                <w:kern w:val="0"/>
                <w:sz w:val="24"/>
                <w:szCs w:val="24"/>
              </w:rPr>
            </w:pPr>
            <w:r>
              <w:rPr>
                <w:rFonts w:hint="eastAsia"/>
                <w:b/>
                <w:bCs/>
                <w:kern w:val="0"/>
                <w:sz w:val="24"/>
                <w:szCs w:val="24"/>
              </w:rPr>
              <w:t>学时</w:t>
            </w:r>
          </w:p>
          <w:p w:rsidR="00CF1222" w:rsidRDefault="00CF1222" w:rsidP="00CF1222">
            <w:pPr>
              <w:jc w:val="center"/>
              <w:rPr>
                <w:b/>
                <w:bCs/>
                <w:kern w:val="0"/>
                <w:sz w:val="24"/>
                <w:szCs w:val="24"/>
              </w:rPr>
            </w:pPr>
          </w:p>
        </w:tc>
        <w:tc>
          <w:tcPr>
            <w:tcW w:w="2829" w:type="dxa"/>
            <w:vAlign w:val="center"/>
          </w:tcPr>
          <w:p w:rsidR="00CF1222" w:rsidRDefault="00CF1222" w:rsidP="00CF1222">
            <w:pPr>
              <w:jc w:val="center"/>
              <w:rPr>
                <w:b/>
                <w:bCs/>
                <w:kern w:val="0"/>
                <w:sz w:val="24"/>
                <w:szCs w:val="24"/>
              </w:rPr>
            </w:pPr>
            <w:r>
              <w:rPr>
                <w:rFonts w:hint="eastAsia"/>
                <w:b/>
                <w:bCs/>
                <w:kern w:val="0"/>
                <w:sz w:val="24"/>
                <w:szCs w:val="24"/>
              </w:rPr>
              <w:t>教学内容</w:t>
            </w:r>
          </w:p>
        </w:tc>
        <w:tc>
          <w:tcPr>
            <w:tcW w:w="2534" w:type="dxa"/>
            <w:vAlign w:val="center"/>
          </w:tcPr>
          <w:p w:rsidR="00CF1222" w:rsidRDefault="00CF1222" w:rsidP="00CF1222">
            <w:pPr>
              <w:jc w:val="center"/>
              <w:rPr>
                <w:b/>
                <w:bCs/>
                <w:kern w:val="0"/>
                <w:sz w:val="24"/>
                <w:szCs w:val="24"/>
              </w:rPr>
            </w:pPr>
            <w:r>
              <w:rPr>
                <w:rFonts w:hint="eastAsia"/>
                <w:b/>
                <w:bCs/>
                <w:kern w:val="0"/>
                <w:sz w:val="24"/>
                <w:szCs w:val="24"/>
              </w:rPr>
              <w:t>基本要求</w:t>
            </w:r>
          </w:p>
        </w:tc>
        <w:tc>
          <w:tcPr>
            <w:tcW w:w="1672" w:type="dxa"/>
            <w:vAlign w:val="center"/>
          </w:tcPr>
          <w:p w:rsidR="00CF1222" w:rsidRDefault="00CF1222" w:rsidP="00CF1222">
            <w:pPr>
              <w:jc w:val="center"/>
              <w:rPr>
                <w:rFonts w:ascii="Times New Roman" w:hAnsi="Times New Roman"/>
                <w:b/>
                <w:bCs/>
                <w:kern w:val="0"/>
                <w:sz w:val="24"/>
                <w:szCs w:val="24"/>
              </w:rPr>
            </w:pPr>
            <w:r>
              <w:rPr>
                <w:rFonts w:ascii="Times New Roman" w:hAnsi="Times New Roman" w:hint="eastAsia"/>
                <w:b/>
                <w:bCs/>
                <w:kern w:val="0"/>
                <w:sz w:val="24"/>
                <w:szCs w:val="24"/>
              </w:rPr>
              <w:t>对毕业要</w:t>
            </w:r>
          </w:p>
          <w:p w:rsidR="00CF1222" w:rsidRDefault="00CF1222" w:rsidP="00CF1222">
            <w:pPr>
              <w:jc w:val="center"/>
              <w:rPr>
                <w:b/>
                <w:bCs/>
                <w:kern w:val="0"/>
                <w:sz w:val="24"/>
                <w:szCs w:val="24"/>
              </w:rPr>
            </w:pPr>
            <w:r>
              <w:rPr>
                <w:rFonts w:ascii="Times New Roman" w:hAnsi="Times New Roman" w:hint="eastAsia"/>
                <w:b/>
                <w:bCs/>
                <w:kern w:val="0"/>
                <w:sz w:val="24"/>
                <w:szCs w:val="24"/>
              </w:rPr>
              <w:t>求的支撑</w:t>
            </w:r>
          </w:p>
        </w:tc>
      </w:tr>
      <w:tr w:rsidR="00CF1222" w:rsidTr="00CF1222">
        <w:trPr>
          <w:trHeight w:val="1952"/>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1</w:t>
            </w:r>
          </w:p>
        </w:tc>
        <w:tc>
          <w:tcPr>
            <w:tcW w:w="984" w:type="dxa"/>
            <w:vAlign w:val="center"/>
          </w:tcPr>
          <w:p w:rsidR="00CF1222" w:rsidRDefault="00CF1222" w:rsidP="00CF1222">
            <w:pPr>
              <w:jc w:val="left"/>
              <w:rPr>
                <w:kern w:val="0"/>
                <w:sz w:val="24"/>
                <w:szCs w:val="24"/>
              </w:rPr>
            </w:pPr>
            <w:r>
              <w:rPr>
                <w:rFonts w:hint="eastAsia"/>
                <w:kern w:val="0"/>
                <w:sz w:val="24"/>
                <w:szCs w:val="24"/>
              </w:rPr>
              <w:t>第一章</w:t>
            </w:r>
          </w:p>
          <w:p w:rsidR="00CF1222" w:rsidRDefault="00CF1222" w:rsidP="00CF1222">
            <w:pPr>
              <w:jc w:val="left"/>
              <w:rPr>
                <w:kern w:val="0"/>
                <w:sz w:val="24"/>
                <w:szCs w:val="24"/>
              </w:rPr>
            </w:pPr>
            <w:r>
              <w:rPr>
                <w:rFonts w:hint="eastAsia"/>
                <w:kern w:val="0"/>
                <w:sz w:val="24"/>
                <w:szCs w:val="24"/>
              </w:rPr>
              <w:t>绪</w:t>
            </w:r>
            <w:r>
              <w:rPr>
                <w:rFonts w:hint="eastAsia"/>
                <w:kern w:val="0"/>
                <w:sz w:val="24"/>
                <w:szCs w:val="24"/>
              </w:rPr>
              <w:t xml:space="preserve">  </w:t>
            </w:r>
            <w:r>
              <w:rPr>
                <w:rFonts w:hint="eastAsia"/>
                <w:kern w:val="0"/>
                <w:sz w:val="24"/>
                <w:szCs w:val="24"/>
              </w:rPr>
              <w:t>论</w:t>
            </w: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2</w:t>
            </w:r>
          </w:p>
        </w:tc>
        <w:tc>
          <w:tcPr>
            <w:tcW w:w="2829" w:type="dxa"/>
            <w:vAlign w:val="center"/>
          </w:tcPr>
          <w:p w:rsidR="00CF1222" w:rsidRDefault="00CF1222" w:rsidP="00CF1222">
            <w:pPr>
              <w:jc w:val="left"/>
              <w:rPr>
                <w:kern w:val="0"/>
                <w:sz w:val="24"/>
                <w:szCs w:val="24"/>
              </w:rPr>
            </w:pPr>
            <w:r>
              <w:rPr>
                <w:rFonts w:hint="eastAsia"/>
                <w:kern w:val="0"/>
                <w:sz w:val="24"/>
                <w:szCs w:val="24"/>
              </w:rPr>
              <w:t>1.1</w:t>
            </w:r>
            <w:r>
              <w:rPr>
                <w:rFonts w:hint="eastAsia"/>
                <w:kern w:val="0"/>
                <w:sz w:val="24"/>
                <w:szCs w:val="24"/>
              </w:rPr>
              <w:t>、地震基本知识（线上）</w:t>
            </w:r>
          </w:p>
          <w:p w:rsidR="00CF1222" w:rsidRDefault="00CF1222" w:rsidP="00CF1222">
            <w:pPr>
              <w:jc w:val="left"/>
              <w:rPr>
                <w:kern w:val="0"/>
                <w:sz w:val="24"/>
                <w:szCs w:val="24"/>
              </w:rPr>
            </w:pPr>
            <w:r>
              <w:rPr>
                <w:rFonts w:hint="eastAsia"/>
                <w:kern w:val="0"/>
                <w:sz w:val="24"/>
                <w:szCs w:val="24"/>
              </w:rPr>
              <w:t>1.2</w:t>
            </w:r>
            <w:r>
              <w:rPr>
                <w:rFonts w:hint="eastAsia"/>
                <w:kern w:val="0"/>
                <w:sz w:val="24"/>
                <w:szCs w:val="24"/>
              </w:rPr>
              <w:t>、地震灾害概述（线上）</w:t>
            </w:r>
          </w:p>
          <w:p w:rsidR="00CF1222" w:rsidRDefault="00CF1222" w:rsidP="00CF1222">
            <w:pPr>
              <w:jc w:val="left"/>
              <w:rPr>
                <w:kern w:val="0"/>
                <w:sz w:val="24"/>
                <w:szCs w:val="24"/>
              </w:rPr>
            </w:pPr>
            <w:r>
              <w:rPr>
                <w:rFonts w:hint="eastAsia"/>
                <w:kern w:val="0"/>
                <w:sz w:val="24"/>
                <w:szCs w:val="24"/>
              </w:rPr>
              <w:t>1.3</w:t>
            </w:r>
            <w:r>
              <w:rPr>
                <w:rFonts w:hint="eastAsia"/>
                <w:kern w:val="0"/>
                <w:sz w:val="24"/>
                <w:szCs w:val="24"/>
              </w:rPr>
              <w:t>、工程抗震设防</w:t>
            </w:r>
          </w:p>
          <w:p w:rsidR="00CF1222" w:rsidRDefault="00CF1222" w:rsidP="00CF1222">
            <w:pPr>
              <w:jc w:val="left"/>
              <w:rPr>
                <w:kern w:val="0"/>
                <w:sz w:val="24"/>
                <w:szCs w:val="24"/>
              </w:rPr>
            </w:pPr>
          </w:p>
        </w:tc>
        <w:tc>
          <w:tcPr>
            <w:tcW w:w="2534" w:type="dxa"/>
            <w:vAlign w:val="center"/>
          </w:tcPr>
          <w:p w:rsidR="00CF1222" w:rsidRDefault="00CF1222" w:rsidP="00CF1222">
            <w:pPr>
              <w:jc w:val="left"/>
              <w:rPr>
                <w:kern w:val="0"/>
                <w:sz w:val="24"/>
                <w:szCs w:val="24"/>
              </w:rPr>
            </w:pPr>
            <w:r>
              <w:rPr>
                <w:rFonts w:hint="eastAsia"/>
                <w:kern w:val="0"/>
                <w:sz w:val="24"/>
                <w:szCs w:val="24"/>
              </w:rPr>
              <w:t>1</w:t>
            </w:r>
            <w:r>
              <w:rPr>
                <w:rFonts w:hint="eastAsia"/>
                <w:kern w:val="0"/>
                <w:sz w:val="24"/>
                <w:szCs w:val="24"/>
              </w:rPr>
              <w:t>、了解地震的成因，地震波、震级及烈度。</w:t>
            </w:r>
          </w:p>
          <w:p w:rsidR="00CF1222" w:rsidRDefault="00CF1222" w:rsidP="00CF1222">
            <w:pPr>
              <w:jc w:val="left"/>
              <w:rPr>
                <w:kern w:val="0"/>
                <w:sz w:val="24"/>
                <w:szCs w:val="24"/>
              </w:rPr>
            </w:pPr>
            <w:r>
              <w:rPr>
                <w:rFonts w:hint="eastAsia"/>
                <w:kern w:val="0"/>
                <w:sz w:val="24"/>
                <w:szCs w:val="24"/>
              </w:rPr>
              <w:t>2</w:t>
            </w:r>
            <w:r>
              <w:rPr>
                <w:rFonts w:hint="eastAsia"/>
                <w:kern w:val="0"/>
                <w:sz w:val="24"/>
                <w:szCs w:val="24"/>
              </w:rPr>
              <w:t>、了解中国地震背景，地震的破坏作用。</w:t>
            </w:r>
          </w:p>
          <w:p w:rsidR="00CF1222" w:rsidRDefault="00CF1222" w:rsidP="00CF1222">
            <w:pPr>
              <w:jc w:val="left"/>
              <w:rPr>
                <w:kern w:val="0"/>
                <w:sz w:val="24"/>
                <w:szCs w:val="24"/>
              </w:rPr>
            </w:pPr>
            <w:r>
              <w:rPr>
                <w:rFonts w:hint="eastAsia"/>
                <w:kern w:val="0"/>
                <w:sz w:val="24"/>
                <w:szCs w:val="24"/>
              </w:rPr>
              <w:t>3</w:t>
            </w:r>
            <w:r>
              <w:rPr>
                <w:rFonts w:hint="eastAsia"/>
                <w:kern w:val="0"/>
                <w:sz w:val="24"/>
                <w:szCs w:val="24"/>
              </w:rPr>
              <w:t>、掌握抗震设防的目标和要求；抗震设计方法；建筑的重要性类别与设防标准</w:t>
            </w:r>
          </w:p>
          <w:p w:rsidR="00CF1222" w:rsidRDefault="00CF1222" w:rsidP="00CF1222">
            <w:pPr>
              <w:jc w:val="left"/>
              <w:rPr>
                <w:kern w:val="0"/>
                <w:sz w:val="24"/>
                <w:szCs w:val="24"/>
              </w:rPr>
            </w:pPr>
            <w:r>
              <w:rPr>
                <w:rFonts w:hint="eastAsia"/>
                <w:kern w:val="0"/>
                <w:sz w:val="24"/>
                <w:szCs w:val="24"/>
              </w:rPr>
              <w:t>4</w:t>
            </w:r>
            <w:r>
              <w:rPr>
                <w:rFonts w:hint="eastAsia"/>
                <w:kern w:val="0"/>
                <w:sz w:val="24"/>
                <w:szCs w:val="24"/>
              </w:rPr>
              <w:t>、熟悉本课程的重要性、内容及学习方法。</w:t>
            </w:r>
          </w:p>
        </w:tc>
        <w:tc>
          <w:tcPr>
            <w:tcW w:w="1672" w:type="dxa"/>
            <w:vAlign w:val="center"/>
          </w:tcPr>
          <w:p w:rsidR="00CF1222" w:rsidRDefault="00CF1222" w:rsidP="00CF1222">
            <w:pPr>
              <w:jc w:val="left"/>
              <w:rPr>
                <w:kern w:val="0"/>
                <w:sz w:val="24"/>
                <w:szCs w:val="24"/>
              </w:rPr>
            </w:pPr>
            <w:r>
              <w:rPr>
                <w:rFonts w:hint="eastAsia"/>
                <w:kern w:val="0"/>
                <w:sz w:val="24"/>
                <w:szCs w:val="24"/>
              </w:rPr>
              <w:t>1-4</w:t>
            </w:r>
          </w:p>
          <w:p w:rsidR="00CF1222" w:rsidRDefault="00CF1222" w:rsidP="00CF1222">
            <w:pPr>
              <w:jc w:val="left"/>
              <w:rPr>
                <w:kern w:val="0"/>
                <w:sz w:val="24"/>
                <w:szCs w:val="24"/>
              </w:rPr>
            </w:pPr>
          </w:p>
        </w:tc>
      </w:tr>
      <w:tr w:rsidR="00CF1222" w:rsidTr="00CF1222">
        <w:trPr>
          <w:trHeight w:val="1562"/>
        </w:trPr>
        <w:tc>
          <w:tcPr>
            <w:tcW w:w="384" w:type="dxa"/>
            <w:vAlign w:val="center"/>
          </w:tcPr>
          <w:p w:rsidR="00CF1222" w:rsidRDefault="00CF1222" w:rsidP="00CF1222">
            <w:pPr>
              <w:jc w:val="center"/>
              <w:rPr>
                <w:rFonts w:ascii="Times New Roman" w:eastAsia="仿宋" w:hAnsi="Times New Roman"/>
                <w:kern w:val="0"/>
                <w:sz w:val="24"/>
                <w:szCs w:val="24"/>
              </w:rPr>
            </w:pPr>
          </w:p>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2</w:t>
            </w:r>
          </w:p>
        </w:tc>
        <w:tc>
          <w:tcPr>
            <w:tcW w:w="984" w:type="dxa"/>
            <w:vAlign w:val="center"/>
          </w:tcPr>
          <w:p w:rsidR="00CF1222" w:rsidRDefault="00CF1222" w:rsidP="00CF1222">
            <w:pPr>
              <w:jc w:val="left"/>
              <w:rPr>
                <w:kern w:val="0"/>
                <w:sz w:val="24"/>
                <w:szCs w:val="24"/>
              </w:rPr>
            </w:pPr>
            <w:r>
              <w:rPr>
                <w:rFonts w:hint="eastAsia"/>
                <w:kern w:val="0"/>
                <w:sz w:val="24"/>
                <w:szCs w:val="24"/>
              </w:rPr>
              <w:t>第二章</w:t>
            </w:r>
          </w:p>
          <w:p w:rsidR="00CF1222" w:rsidRDefault="00CF1222" w:rsidP="00CF1222">
            <w:pPr>
              <w:jc w:val="left"/>
              <w:rPr>
                <w:kern w:val="0"/>
                <w:sz w:val="24"/>
                <w:szCs w:val="24"/>
              </w:rPr>
            </w:pPr>
            <w:r>
              <w:rPr>
                <w:rFonts w:hint="eastAsia"/>
                <w:kern w:val="0"/>
                <w:sz w:val="24"/>
                <w:szCs w:val="24"/>
              </w:rPr>
              <w:t>建筑抗震概念设计</w:t>
            </w: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2</w:t>
            </w:r>
          </w:p>
        </w:tc>
        <w:tc>
          <w:tcPr>
            <w:tcW w:w="2829" w:type="dxa"/>
            <w:vAlign w:val="center"/>
          </w:tcPr>
          <w:p w:rsidR="00CF1222" w:rsidRDefault="00CF1222" w:rsidP="00CF1222">
            <w:pPr>
              <w:jc w:val="left"/>
              <w:rPr>
                <w:kern w:val="0"/>
                <w:sz w:val="24"/>
                <w:szCs w:val="24"/>
              </w:rPr>
            </w:pPr>
            <w:r>
              <w:rPr>
                <w:rFonts w:hint="eastAsia"/>
                <w:kern w:val="0"/>
                <w:sz w:val="24"/>
                <w:szCs w:val="24"/>
              </w:rPr>
              <w:t>2.1</w:t>
            </w:r>
            <w:r>
              <w:rPr>
                <w:rFonts w:hint="eastAsia"/>
                <w:kern w:val="0"/>
                <w:sz w:val="24"/>
                <w:szCs w:val="24"/>
              </w:rPr>
              <w:t>、建筑概念设计的意义</w:t>
            </w:r>
          </w:p>
          <w:p w:rsidR="00CF1222" w:rsidRDefault="00CF1222" w:rsidP="00CF1222">
            <w:pPr>
              <w:jc w:val="left"/>
              <w:rPr>
                <w:kern w:val="0"/>
                <w:sz w:val="24"/>
                <w:szCs w:val="24"/>
              </w:rPr>
            </w:pPr>
            <w:r>
              <w:rPr>
                <w:rFonts w:hint="eastAsia"/>
                <w:kern w:val="0"/>
                <w:sz w:val="24"/>
                <w:szCs w:val="24"/>
              </w:rPr>
              <w:t>2.2</w:t>
            </w:r>
            <w:r>
              <w:rPr>
                <w:rFonts w:hint="eastAsia"/>
                <w:kern w:val="0"/>
                <w:sz w:val="24"/>
                <w:szCs w:val="24"/>
              </w:rPr>
              <w:t>、建筑场地选择</w:t>
            </w:r>
          </w:p>
          <w:p w:rsidR="00CF1222" w:rsidRDefault="00CF1222" w:rsidP="00CF1222">
            <w:pPr>
              <w:jc w:val="left"/>
              <w:rPr>
                <w:kern w:val="0"/>
                <w:sz w:val="24"/>
                <w:szCs w:val="24"/>
              </w:rPr>
            </w:pPr>
            <w:r>
              <w:rPr>
                <w:rFonts w:hint="eastAsia"/>
                <w:kern w:val="0"/>
                <w:sz w:val="24"/>
                <w:szCs w:val="24"/>
              </w:rPr>
              <w:t>2.3</w:t>
            </w:r>
            <w:r>
              <w:rPr>
                <w:rFonts w:hint="eastAsia"/>
                <w:kern w:val="0"/>
                <w:sz w:val="24"/>
                <w:szCs w:val="24"/>
              </w:rPr>
              <w:t>、建筑体型选择</w:t>
            </w:r>
          </w:p>
          <w:p w:rsidR="00CF1222" w:rsidRDefault="00CF1222" w:rsidP="00CF1222">
            <w:pPr>
              <w:jc w:val="left"/>
              <w:rPr>
                <w:kern w:val="0"/>
                <w:sz w:val="24"/>
                <w:szCs w:val="24"/>
              </w:rPr>
            </w:pPr>
            <w:r>
              <w:rPr>
                <w:rFonts w:hint="eastAsia"/>
                <w:kern w:val="0"/>
                <w:sz w:val="24"/>
                <w:szCs w:val="24"/>
              </w:rPr>
              <w:t>2.4</w:t>
            </w:r>
            <w:r>
              <w:rPr>
                <w:rFonts w:hint="eastAsia"/>
                <w:kern w:val="0"/>
                <w:sz w:val="24"/>
                <w:szCs w:val="24"/>
              </w:rPr>
              <w:t>、结构体系选择</w:t>
            </w:r>
          </w:p>
          <w:p w:rsidR="00CF1222" w:rsidRDefault="00CF1222" w:rsidP="00CF1222">
            <w:pPr>
              <w:jc w:val="left"/>
              <w:rPr>
                <w:kern w:val="0"/>
                <w:sz w:val="24"/>
                <w:szCs w:val="24"/>
              </w:rPr>
            </w:pPr>
            <w:r>
              <w:rPr>
                <w:rFonts w:hint="eastAsia"/>
                <w:kern w:val="0"/>
                <w:sz w:val="24"/>
                <w:szCs w:val="24"/>
              </w:rPr>
              <w:t>2.5</w:t>
            </w:r>
            <w:r>
              <w:rPr>
                <w:rFonts w:hint="eastAsia"/>
                <w:kern w:val="0"/>
                <w:sz w:val="24"/>
                <w:szCs w:val="24"/>
              </w:rPr>
              <w:t>提高结构抗震性能的措施</w:t>
            </w:r>
          </w:p>
          <w:p w:rsidR="00CF1222" w:rsidRDefault="00CF1222" w:rsidP="00CF1222">
            <w:pPr>
              <w:jc w:val="left"/>
              <w:rPr>
                <w:kern w:val="0"/>
                <w:sz w:val="24"/>
                <w:szCs w:val="24"/>
              </w:rPr>
            </w:pPr>
            <w:r>
              <w:rPr>
                <w:rFonts w:hint="eastAsia"/>
                <w:kern w:val="0"/>
                <w:sz w:val="24"/>
                <w:szCs w:val="24"/>
              </w:rPr>
              <w:t>2.6</w:t>
            </w:r>
            <w:r>
              <w:rPr>
                <w:rFonts w:hint="eastAsia"/>
                <w:kern w:val="0"/>
                <w:sz w:val="24"/>
                <w:szCs w:val="24"/>
              </w:rPr>
              <w:t>、非结构构件的处理（线上）</w:t>
            </w:r>
          </w:p>
          <w:p w:rsidR="00CF1222" w:rsidRDefault="00CF1222" w:rsidP="00CF1222">
            <w:pPr>
              <w:jc w:val="left"/>
              <w:rPr>
                <w:kern w:val="0"/>
                <w:sz w:val="24"/>
                <w:szCs w:val="24"/>
              </w:rPr>
            </w:pPr>
            <w:r>
              <w:rPr>
                <w:rFonts w:hint="eastAsia"/>
                <w:kern w:val="0"/>
                <w:sz w:val="24"/>
                <w:szCs w:val="24"/>
              </w:rPr>
              <w:t>2.7</w:t>
            </w:r>
            <w:r>
              <w:rPr>
                <w:rFonts w:hint="eastAsia"/>
                <w:kern w:val="0"/>
                <w:sz w:val="24"/>
                <w:szCs w:val="24"/>
              </w:rPr>
              <w:t>、结构材料与施工（线上）</w:t>
            </w:r>
          </w:p>
          <w:p w:rsidR="00CF1222" w:rsidRDefault="00CF1222" w:rsidP="00CF1222">
            <w:pPr>
              <w:jc w:val="left"/>
              <w:rPr>
                <w:kern w:val="0"/>
                <w:sz w:val="24"/>
                <w:szCs w:val="24"/>
              </w:rPr>
            </w:pPr>
            <w:r>
              <w:rPr>
                <w:rFonts w:hint="eastAsia"/>
                <w:kern w:val="0"/>
                <w:sz w:val="24"/>
                <w:szCs w:val="24"/>
              </w:rPr>
              <w:t>2.8</w:t>
            </w:r>
            <w:r>
              <w:rPr>
                <w:rFonts w:hint="eastAsia"/>
                <w:kern w:val="0"/>
                <w:sz w:val="24"/>
                <w:szCs w:val="24"/>
              </w:rPr>
              <w:t>、建筑抗震性能化设计</w:t>
            </w:r>
          </w:p>
          <w:p w:rsidR="00CF1222" w:rsidRDefault="00CF1222" w:rsidP="00CF1222">
            <w:pPr>
              <w:jc w:val="left"/>
              <w:rPr>
                <w:kern w:val="0"/>
                <w:sz w:val="24"/>
                <w:szCs w:val="24"/>
              </w:rPr>
            </w:pPr>
          </w:p>
        </w:tc>
        <w:tc>
          <w:tcPr>
            <w:tcW w:w="2534" w:type="dxa"/>
            <w:vAlign w:val="center"/>
          </w:tcPr>
          <w:p w:rsidR="00CF1222" w:rsidRDefault="00CF1222" w:rsidP="00CF1222">
            <w:pPr>
              <w:jc w:val="left"/>
              <w:rPr>
                <w:kern w:val="0"/>
                <w:sz w:val="24"/>
                <w:szCs w:val="24"/>
              </w:rPr>
            </w:pPr>
            <w:r>
              <w:rPr>
                <w:rFonts w:hint="eastAsia"/>
                <w:kern w:val="0"/>
                <w:sz w:val="24"/>
                <w:szCs w:val="24"/>
              </w:rPr>
              <w:t>1</w:t>
            </w:r>
            <w:r>
              <w:rPr>
                <w:rFonts w:hint="eastAsia"/>
                <w:kern w:val="0"/>
                <w:sz w:val="24"/>
                <w:szCs w:val="24"/>
              </w:rPr>
              <w:t>、了解建筑抗震概念设计的意义；</w:t>
            </w:r>
          </w:p>
          <w:p w:rsidR="00CF1222" w:rsidRDefault="00CF1222" w:rsidP="00CF1222">
            <w:pPr>
              <w:jc w:val="left"/>
              <w:rPr>
                <w:kern w:val="0"/>
                <w:sz w:val="24"/>
                <w:szCs w:val="24"/>
              </w:rPr>
            </w:pPr>
            <w:r>
              <w:rPr>
                <w:rFonts w:hint="eastAsia"/>
                <w:kern w:val="0"/>
                <w:sz w:val="24"/>
                <w:szCs w:val="24"/>
              </w:rPr>
              <w:t>2</w:t>
            </w:r>
            <w:r>
              <w:rPr>
                <w:rFonts w:hint="eastAsia"/>
                <w:kern w:val="0"/>
                <w:sz w:val="24"/>
                <w:szCs w:val="24"/>
              </w:rPr>
              <w:t>、掌握场地选择、建筑平面、立面的确定、结构及体系、抗震性能化设计等概念设计的基本原则</w:t>
            </w:r>
          </w:p>
          <w:p w:rsidR="00CF1222" w:rsidRDefault="00CF1222" w:rsidP="00CF1222">
            <w:pPr>
              <w:jc w:val="left"/>
              <w:rPr>
                <w:kern w:val="0"/>
                <w:sz w:val="24"/>
                <w:szCs w:val="24"/>
              </w:rPr>
            </w:pPr>
          </w:p>
        </w:tc>
        <w:tc>
          <w:tcPr>
            <w:tcW w:w="1672" w:type="dxa"/>
            <w:vAlign w:val="center"/>
          </w:tcPr>
          <w:p w:rsidR="00CF1222" w:rsidRDefault="00CF1222" w:rsidP="00CF1222">
            <w:pPr>
              <w:jc w:val="left"/>
              <w:rPr>
                <w:kern w:val="0"/>
                <w:sz w:val="24"/>
                <w:szCs w:val="24"/>
              </w:rPr>
            </w:pPr>
            <w:r>
              <w:rPr>
                <w:rFonts w:hint="eastAsia"/>
                <w:kern w:val="0"/>
                <w:sz w:val="24"/>
                <w:szCs w:val="24"/>
              </w:rPr>
              <w:t>3-2</w:t>
            </w:r>
          </w:p>
          <w:p w:rsidR="00CF1222" w:rsidRDefault="00CF1222" w:rsidP="00CF1222">
            <w:pPr>
              <w:jc w:val="left"/>
              <w:rPr>
                <w:kern w:val="0"/>
                <w:sz w:val="24"/>
                <w:szCs w:val="24"/>
              </w:rPr>
            </w:pPr>
            <w:r>
              <w:rPr>
                <w:rFonts w:hint="eastAsia"/>
                <w:kern w:val="0"/>
                <w:sz w:val="24"/>
                <w:szCs w:val="24"/>
              </w:rPr>
              <w:t>10-1</w:t>
            </w:r>
          </w:p>
          <w:p w:rsidR="00CF1222" w:rsidRDefault="00CF1222" w:rsidP="00CF1222">
            <w:pPr>
              <w:jc w:val="left"/>
              <w:rPr>
                <w:kern w:val="0"/>
                <w:sz w:val="24"/>
                <w:szCs w:val="24"/>
              </w:rPr>
            </w:pPr>
          </w:p>
        </w:tc>
      </w:tr>
      <w:tr w:rsidR="00CF1222" w:rsidTr="00CF1222">
        <w:trPr>
          <w:trHeight w:val="2014"/>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3</w:t>
            </w:r>
          </w:p>
        </w:tc>
        <w:tc>
          <w:tcPr>
            <w:tcW w:w="984" w:type="dxa"/>
            <w:vAlign w:val="center"/>
          </w:tcPr>
          <w:p w:rsidR="00CF1222" w:rsidRDefault="00CF1222" w:rsidP="00CF1222">
            <w:pPr>
              <w:jc w:val="left"/>
              <w:rPr>
                <w:kern w:val="0"/>
                <w:sz w:val="24"/>
                <w:szCs w:val="24"/>
              </w:rPr>
            </w:pPr>
            <w:r>
              <w:rPr>
                <w:rFonts w:hint="eastAsia"/>
                <w:kern w:val="0"/>
                <w:sz w:val="24"/>
                <w:szCs w:val="24"/>
              </w:rPr>
              <w:t>第三章</w:t>
            </w:r>
          </w:p>
          <w:p w:rsidR="00CF1222" w:rsidRDefault="00CF1222" w:rsidP="00CF1222">
            <w:pPr>
              <w:jc w:val="left"/>
              <w:rPr>
                <w:kern w:val="0"/>
                <w:sz w:val="24"/>
                <w:szCs w:val="24"/>
              </w:rPr>
            </w:pPr>
            <w:r>
              <w:rPr>
                <w:rFonts w:hint="eastAsia"/>
                <w:kern w:val="0"/>
                <w:sz w:val="24"/>
                <w:szCs w:val="24"/>
              </w:rPr>
              <w:t>建筑场地、地基与基础</w:t>
            </w: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kern w:val="0"/>
                <w:sz w:val="24"/>
                <w:szCs w:val="24"/>
              </w:rPr>
              <w:t>2</w:t>
            </w:r>
          </w:p>
        </w:tc>
        <w:tc>
          <w:tcPr>
            <w:tcW w:w="2829" w:type="dxa"/>
            <w:vAlign w:val="center"/>
          </w:tcPr>
          <w:p w:rsidR="00CF1222" w:rsidRDefault="00CF1222" w:rsidP="00CF1222">
            <w:pPr>
              <w:jc w:val="left"/>
              <w:rPr>
                <w:kern w:val="0"/>
                <w:sz w:val="24"/>
                <w:szCs w:val="24"/>
              </w:rPr>
            </w:pPr>
            <w:r>
              <w:rPr>
                <w:rFonts w:hint="eastAsia"/>
                <w:kern w:val="0"/>
                <w:sz w:val="24"/>
                <w:szCs w:val="24"/>
              </w:rPr>
              <w:t>3.1</w:t>
            </w:r>
            <w:r>
              <w:rPr>
                <w:rFonts w:hint="eastAsia"/>
                <w:kern w:val="0"/>
                <w:sz w:val="24"/>
                <w:szCs w:val="24"/>
              </w:rPr>
              <w:t>、建筑场地</w:t>
            </w:r>
          </w:p>
          <w:p w:rsidR="00CF1222" w:rsidRDefault="00CF1222" w:rsidP="00CF1222">
            <w:pPr>
              <w:jc w:val="left"/>
              <w:rPr>
                <w:kern w:val="0"/>
                <w:sz w:val="24"/>
                <w:szCs w:val="24"/>
              </w:rPr>
            </w:pPr>
            <w:r>
              <w:rPr>
                <w:rFonts w:hint="eastAsia"/>
                <w:kern w:val="0"/>
                <w:sz w:val="24"/>
                <w:szCs w:val="24"/>
              </w:rPr>
              <w:t>3.2</w:t>
            </w:r>
            <w:r>
              <w:rPr>
                <w:rFonts w:hint="eastAsia"/>
                <w:kern w:val="0"/>
                <w:sz w:val="24"/>
                <w:szCs w:val="24"/>
              </w:rPr>
              <w:t>、地基与基础的抗震验算</w:t>
            </w:r>
          </w:p>
          <w:p w:rsidR="00CF1222" w:rsidRDefault="00CF1222" w:rsidP="00CF1222">
            <w:pPr>
              <w:jc w:val="left"/>
              <w:rPr>
                <w:kern w:val="0"/>
                <w:sz w:val="24"/>
                <w:szCs w:val="24"/>
              </w:rPr>
            </w:pPr>
            <w:r>
              <w:rPr>
                <w:rFonts w:hint="eastAsia"/>
                <w:kern w:val="0"/>
                <w:sz w:val="24"/>
                <w:szCs w:val="24"/>
              </w:rPr>
              <w:t>3.3</w:t>
            </w:r>
            <w:r>
              <w:rPr>
                <w:rFonts w:hint="eastAsia"/>
                <w:kern w:val="0"/>
                <w:sz w:val="24"/>
                <w:szCs w:val="24"/>
              </w:rPr>
              <w:t>、地基土的液化</w:t>
            </w:r>
          </w:p>
          <w:p w:rsidR="00CF1222" w:rsidRDefault="00CF1222" w:rsidP="00CF1222">
            <w:pPr>
              <w:jc w:val="left"/>
              <w:rPr>
                <w:kern w:val="0"/>
                <w:sz w:val="24"/>
                <w:szCs w:val="24"/>
              </w:rPr>
            </w:pPr>
          </w:p>
        </w:tc>
        <w:tc>
          <w:tcPr>
            <w:tcW w:w="2534" w:type="dxa"/>
            <w:vAlign w:val="center"/>
          </w:tcPr>
          <w:p w:rsidR="00CF1222" w:rsidRDefault="00CF1222" w:rsidP="005F6318">
            <w:pPr>
              <w:numPr>
                <w:ilvl w:val="0"/>
                <w:numId w:val="6"/>
              </w:numPr>
              <w:jc w:val="left"/>
              <w:rPr>
                <w:kern w:val="0"/>
                <w:sz w:val="24"/>
                <w:szCs w:val="24"/>
              </w:rPr>
            </w:pPr>
            <w:r>
              <w:rPr>
                <w:rFonts w:hint="eastAsia"/>
                <w:kern w:val="0"/>
                <w:sz w:val="24"/>
                <w:szCs w:val="24"/>
              </w:rPr>
              <w:t>了解场地条件对建筑抗震的影响；</w:t>
            </w:r>
          </w:p>
          <w:p w:rsidR="00CF1222" w:rsidRDefault="00CF1222" w:rsidP="005F6318">
            <w:pPr>
              <w:numPr>
                <w:ilvl w:val="0"/>
                <w:numId w:val="6"/>
              </w:numPr>
              <w:jc w:val="left"/>
              <w:rPr>
                <w:kern w:val="0"/>
                <w:sz w:val="24"/>
                <w:szCs w:val="24"/>
              </w:rPr>
            </w:pPr>
            <w:r>
              <w:rPr>
                <w:rFonts w:hint="eastAsia"/>
                <w:kern w:val="0"/>
                <w:sz w:val="24"/>
                <w:szCs w:val="24"/>
              </w:rPr>
              <w:t>掌握建筑场地类别的划分标准及其影响因素；</w:t>
            </w:r>
          </w:p>
          <w:p w:rsidR="00CF1222" w:rsidRDefault="00CF1222" w:rsidP="005F6318">
            <w:pPr>
              <w:numPr>
                <w:ilvl w:val="0"/>
                <w:numId w:val="6"/>
              </w:numPr>
              <w:jc w:val="left"/>
              <w:rPr>
                <w:kern w:val="0"/>
                <w:sz w:val="24"/>
                <w:szCs w:val="24"/>
              </w:rPr>
            </w:pPr>
            <w:r>
              <w:rPr>
                <w:rFonts w:hint="eastAsia"/>
                <w:kern w:val="0"/>
                <w:sz w:val="24"/>
                <w:szCs w:val="24"/>
              </w:rPr>
              <w:t>掌握地基、基础抗震验算的原则以及天然地基抗震承载力验算方法，了解地基土液化概念、液化等级判断及处理措施。</w:t>
            </w:r>
          </w:p>
        </w:tc>
        <w:tc>
          <w:tcPr>
            <w:tcW w:w="1672" w:type="dxa"/>
            <w:vAlign w:val="center"/>
          </w:tcPr>
          <w:p w:rsidR="00CF1222" w:rsidRDefault="00CF1222" w:rsidP="00CF1222">
            <w:pPr>
              <w:jc w:val="left"/>
              <w:rPr>
                <w:kern w:val="0"/>
                <w:sz w:val="24"/>
                <w:szCs w:val="24"/>
              </w:rPr>
            </w:pPr>
            <w:r>
              <w:rPr>
                <w:rFonts w:hint="eastAsia"/>
                <w:kern w:val="0"/>
                <w:sz w:val="24"/>
                <w:szCs w:val="24"/>
              </w:rPr>
              <w:t>1-4</w:t>
            </w:r>
          </w:p>
          <w:p w:rsidR="00CF1222" w:rsidRDefault="00CF1222" w:rsidP="00CF1222">
            <w:pPr>
              <w:jc w:val="left"/>
              <w:rPr>
                <w:kern w:val="0"/>
                <w:sz w:val="24"/>
                <w:szCs w:val="24"/>
              </w:rPr>
            </w:pPr>
            <w:r>
              <w:rPr>
                <w:rFonts w:hint="eastAsia"/>
                <w:kern w:val="0"/>
                <w:sz w:val="24"/>
                <w:szCs w:val="24"/>
              </w:rPr>
              <w:t>3-2</w:t>
            </w:r>
          </w:p>
          <w:p w:rsidR="00CF1222" w:rsidRDefault="00CF1222" w:rsidP="00CF1222">
            <w:pPr>
              <w:jc w:val="left"/>
              <w:rPr>
                <w:kern w:val="0"/>
                <w:sz w:val="24"/>
                <w:szCs w:val="24"/>
              </w:rPr>
            </w:pPr>
          </w:p>
        </w:tc>
      </w:tr>
      <w:tr w:rsidR="00CF1222" w:rsidTr="00CF1222">
        <w:trPr>
          <w:trHeight w:val="845"/>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lastRenderedPageBreak/>
              <w:t>4</w:t>
            </w:r>
          </w:p>
        </w:tc>
        <w:tc>
          <w:tcPr>
            <w:tcW w:w="984" w:type="dxa"/>
            <w:vAlign w:val="center"/>
          </w:tcPr>
          <w:p w:rsidR="00CF1222" w:rsidRDefault="00CF1222" w:rsidP="00CF1222">
            <w:pPr>
              <w:jc w:val="left"/>
              <w:rPr>
                <w:kern w:val="0"/>
                <w:sz w:val="24"/>
                <w:szCs w:val="24"/>
              </w:rPr>
            </w:pPr>
            <w:r>
              <w:rPr>
                <w:rFonts w:hint="eastAsia"/>
                <w:kern w:val="0"/>
                <w:sz w:val="24"/>
                <w:szCs w:val="24"/>
              </w:rPr>
              <w:t>第四章</w:t>
            </w:r>
          </w:p>
          <w:p w:rsidR="00CF1222" w:rsidRDefault="00CF1222" w:rsidP="00CF1222">
            <w:pPr>
              <w:jc w:val="left"/>
              <w:rPr>
                <w:kern w:val="0"/>
                <w:sz w:val="24"/>
                <w:szCs w:val="24"/>
              </w:rPr>
            </w:pPr>
            <w:r>
              <w:rPr>
                <w:rFonts w:hint="eastAsia"/>
                <w:kern w:val="0"/>
                <w:sz w:val="24"/>
                <w:szCs w:val="24"/>
              </w:rPr>
              <w:t>结构地震反应分析和抗震验算</w:t>
            </w:r>
          </w:p>
          <w:p w:rsidR="00CF1222" w:rsidRDefault="00CF1222" w:rsidP="00CF1222">
            <w:pPr>
              <w:jc w:val="left"/>
              <w:rPr>
                <w:kern w:val="0"/>
                <w:sz w:val="24"/>
                <w:szCs w:val="24"/>
              </w:rPr>
            </w:pP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10</w:t>
            </w:r>
          </w:p>
        </w:tc>
        <w:tc>
          <w:tcPr>
            <w:tcW w:w="2829" w:type="dxa"/>
            <w:vAlign w:val="center"/>
          </w:tcPr>
          <w:p w:rsidR="00CF1222" w:rsidRDefault="00CF1222" w:rsidP="00CF1222">
            <w:pPr>
              <w:jc w:val="left"/>
              <w:rPr>
                <w:kern w:val="0"/>
                <w:sz w:val="24"/>
                <w:szCs w:val="24"/>
              </w:rPr>
            </w:pPr>
            <w:r>
              <w:rPr>
                <w:rFonts w:hint="eastAsia"/>
                <w:kern w:val="0"/>
                <w:sz w:val="24"/>
                <w:szCs w:val="24"/>
              </w:rPr>
              <w:t>4.1</w:t>
            </w:r>
            <w:r>
              <w:rPr>
                <w:rFonts w:hint="eastAsia"/>
                <w:kern w:val="0"/>
                <w:sz w:val="24"/>
                <w:szCs w:val="24"/>
              </w:rPr>
              <w:t>、概述</w:t>
            </w:r>
          </w:p>
          <w:p w:rsidR="00CF1222" w:rsidRDefault="00CF1222" w:rsidP="00CF1222">
            <w:pPr>
              <w:jc w:val="left"/>
              <w:rPr>
                <w:kern w:val="0"/>
                <w:sz w:val="24"/>
                <w:szCs w:val="24"/>
              </w:rPr>
            </w:pPr>
            <w:r>
              <w:rPr>
                <w:rFonts w:hint="eastAsia"/>
                <w:kern w:val="0"/>
                <w:sz w:val="24"/>
                <w:szCs w:val="24"/>
              </w:rPr>
              <w:t>4.2</w:t>
            </w:r>
            <w:r>
              <w:rPr>
                <w:rFonts w:hint="eastAsia"/>
                <w:kern w:val="0"/>
                <w:sz w:val="24"/>
                <w:szCs w:val="24"/>
              </w:rPr>
              <w:t>、单质点弹性体系的地震反应</w:t>
            </w:r>
          </w:p>
          <w:p w:rsidR="00CF1222" w:rsidRDefault="00CF1222" w:rsidP="00CF1222">
            <w:pPr>
              <w:jc w:val="left"/>
              <w:rPr>
                <w:kern w:val="0"/>
                <w:sz w:val="24"/>
                <w:szCs w:val="24"/>
              </w:rPr>
            </w:pPr>
            <w:r>
              <w:rPr>
                <w:rFonts w:hint="eastAsia"/>
                <w:kern w:val="0"/>
                <w:sz w:val="24"/>
                <w:szCs w:val="24"/>
              </w:rPr>
              <w:t>4.3</w:t>
            </w:r>
            <w:r>
              <w:rPr>
                <w:rFonts w:hint="eastAsia"/>
                <w:kern w:val="0"/>
                <w:sz w:val="24"/>
                <w:szCs w:val="24"/>
              </w:rPr>
              <w:t>、单质点弹性体系的水平地震作用</w:t>
            </w:r>
          </w:p>
          <w:p w:rsidR="00CF1222" w:rsidRDefault="00CF1222" w:rsidP="00CF1222">
            <w:pPr>
              <w:jc w:val="left"/>
              <w:rPr>
                <w:kern w:val="0"/>
                <w:sz w:val="24"/>
                <w:szCs w:val="24"/>
              </w:rPr>
            </w:pPr>
            <w:r>
              <w:rPr>
                <w:rFonts w:hint="eastAsia"/>
                <w:kern w:val="0"/>
                <w:sz w:val="24"/>
                <w:szCs w:val="24"/>
              </w:rPr>
              <w:t>4.4</w:t>
            </w:r>
            <w:r>
              <w:rPr>
                <w:rFonts w:hint="eastAsia"/>
                <w:kern w:val="0"/>
                <w:sz w:val="24"/>
                <w:szCs w:val="24"/>
              </w:rPr>
              <w:t>、多质点弹性体系的地震反应</w:t>
            </w:r>
          </w:p>
          <w:p w:rsidR="00CF1222" w:rsidRDefault="00CF1222" w:rsidP="00CF1222">
            <w:pPr>
              <w:jc w:val="left"/>
              <w:rPr>
                <w:kern w:val="0"/>
                <w:sz w:val="24"/>
                <w:szCs w:val="24"/>
              </w:rPr>
            </w:pPr>
            <w:r>
              <w:rPr>
                <w:rFonts w:hint="eastAsia"/>
                <w:kern w:val="0"/>
                <w:sz w:val="24"/>
                <w:szCs w:val="24"/>
              </w:rPr>
              <w:t>4.5</w:t>
            </w:r>
            <w:r>
              <w:rPr>
                <w:rFonts w:hint="eastAsia"/>
                <w:kern w:val="0"/>
                <w:sz w:val="24"/>
                <w:szCs w:val="24"/>
              </w:rPr>
              <w:t>、多自由度体系的水平地震作用</w:t>
            </w:r>
          </w:p>
          <w:p w:rsidR="00CF1222" w:rsidRDefault="00CF1222" w:rsidP="00CF1222">
            <w:pPr>
              <w:jc w:val="left"/>
              <w:rPr>
                <w:kern w:val="0"/>
                <w:sz w:val="24"/>
                <w:szCs w:val="24"/>
              </w:rPr>
            </w:pPr>
            <w:r>
              <w:rPr>
                <w:rFonts w:hint="eastAsia"/>
                <w:kern w:val="0"/>
                <w:sz w:val="24"/>
                <w:szCs w:val="24"/>
              </w:rPr>
              <w:t>4.6</w:t>
            </w:r>
            <w:r>
              <w:rPr>
                <w:rFonts w:hint="eastAsia"/>
                <w:kern w:val="0"/>
                <w:sz w:val="24"/>
                <w:szCs w:val="24"/>
              </w:rPr>
              <w:t>、结构基本周期的近似计算方法</w:t>
            </w:r>
          </w:p>
          <w:p w:rsidR="00CF1222" w:rsidRDefault="00CF1222" w:rsidP="00CF1222">
            <w:pPr>
              <w:jc w:val="left"/>
              <w:rPr>
                <w:kern w:val="0"/>
                <w:sz w:val="24"/>
                <w:szCs w:val="24"/>
              </w:rPr>
            </w:pPr>
            <w:r>
              <w:rPr>
                <w:rFonts w:hint="eastAsia"/>
                <w:kern w:val="0"/>
                <w:sz w:val="24"/>
                <w:szCs w:val="24"/>
              </w:rPr>
              <w:t>4.7</w:t>
            </w:r>
            <w:r>
              <w:rPr>
                <w:rFonts w:hint="eastAsia"/>
                <w:kern w:val="0"/>
                <w:sz w:val="24"/>
                <w:szCs w:val="24"/>
              </w:rPr>
              <w:t>、竖向地震作用</w:t>
            </w:r>
          </w:p>
          <w:p w:rsidR="00CF1222" w:rsidRDefault="00CF1222" w:rsidP="00CF1222">
            <w:pPr>
              <w:jc w:val="left"/>
              <w:rPr>
                <w:kern w:val="0"/>
                <w:sz w:val="24"/>
                <w:szCs w:val="24"/>
              </w:rPr>
            </w:pPr>
            <w:r>
              <w:rPr>
                <w:rFonts w:hint="eastAsia"/>
                <w:kern w:val="0"/>
                <w:sz w:val="24"/>
                <w:szCs w:val="24"/>
              </w:rPr>
              <w:t>4.8</w:t>
            </w:r>
            <w:r>
              <w:rPr>
                <w:rFonts w:hint="eastAsia"/>
                <w:kern w:val="0"/>
                <w:sz w:val="24"/>
                <w:szCs w:val="24"/>
              </w:rPr>
              <w:t>、结构抗震验算</w:t>
            </w:r>
          </w:p>
          <w:p w:rsidR="00CF1222" w:rsidRDefault="00CF1222" w:rsidP="00CF1222">
            <w:pPr>
              <w:jc w:val="left"/>
              <w:rPr>
                <w:kern w:val="0"/>
                <w:sz w:val="24"/>
                <w:szCs w:val="24"/>
              </w:rPr>
            </w:pPr>
          </w:p>
        </w:tc>
        <w:tc>
          <w:tcPr>
            <w:tcW w:w="2534" w:type="dxa"/>
            <w:vAlign w:val="center"/>
          </w:tcPr>
          <w:p w:rsidR="00CF1222" w:rsidRDefault="00CF1222" w:rsidP="005F6318">
            <w:pPr>
              <w:numPr>
                <w:ilvl w:val="0"/>
                <w:numId w:val="7"/>
              </w:numPr>
              <w:jc w:val="left"/>
              <w:rPr>
                <w:kern w:val="0"/>
                <w:sz w:val="24"/>
                <w:szCs w:val="24"/>
              </w:rPr>
            </w:pPr>
            <w:r>
              <w:rPr>
                <w:rFonts w:hint="eastAsia"/>
                <w:kern w:val="0"/>
                <w:sz w:val="24"/>
                <w:szCs w:val="24"/>
              </w:rPr>
              <w:t>掌握地震作用的基本概念，熟悉结构动力特性对结构动力反应的影响；</w:t>
            </w:r>
          </w:p>
          <w:p w:rsidR="00CF1222" w:rsidRDefault="00CF1222" w:rsidP="005F6318">
            <w:pPr>
              <w:numPr>
                <w:ilvl w:val="0"/>
                <w:numId w:val="7"/>
              </w:numPr>
              <w:jc w:val="left"/>
              <w:rPr>
                <w:kern w:val="0"/>
                <w:sz w:val="24"/>
                <w:szCs w:val="24"/>
              </w:rPr>
            </w:pPr>
            <w:r>
              <w:rPr>
                <w:rFonts w:hint="eastAsia"/>
                <w:kern w:val="0"/>
                <w:sz w:val="24"/>
                <w:szCs w:val="24"/>
              </w:rPr>
              <w:t>掌握单自由度体系和多自由度体系抗震计算原理和方法，熟练掌握地震作用的计算，振型分解反应谱法、底部剪力法的应用。</w:t>
            </w:r>
          </w:p>
          <w:p w:rsidR="00CF1222" w:rsidRDefault="00CF1222" w:rsidP="005F6318">
            <w:pPr>
              <w:numPr>
                <w:ilvl w:val="0"/>
                <w:numId w:val="7"/>
              </w:numPr>
              <w:jc w:val="left"/>
              <w:rPr>
                <w:kern w:val="0"/>
                <w:sz w:val="24"/>
                <w:szCs w:val="24"/>
              </w:rPr>
            </w:pPr>
            <w:r>
              <w:rPr>
                <w:rFonts w:hint="eastAsia"/>
                <w:kern w:val="0"/>
                <w:sz w:val="24"/>
                <w:szCs w:val="24"/>
              </w:rPr>
              <w:t>掌握建筑结构抗震验算的一般原则和要求，了解结构非弹性分析基本方法。</w:t>
            </w:r>
          </w:p>
        </w:tc>
        <w:tc>
          <w:tcPr>
            <w:tcW w:w="1672" w:type="dxa"/>
            <w:vAlign w:val="center"/>
          </w:tcPr>
          <w:p w:rsidR="00CF1222" w:rsidRDefault="00CF1222" w:rsidP="00CF1222">
            <w:pPr>
              <w:jc w:val="left"/>
              <w:rPr>
                <w:kern w:val="0"/>
                <w:sz w:val="24"/>
                <w:szCs w:val="24"/>
              </w:rPr>
            </w:pPr>
            <w:r>
              <w:rPr>
                <w:rFonts w:hint="eastAsia"/>
                <w:kern w:val="0"/>
                <w:sz w:val="24"/>
                <w:szCs w:val="24"/>
              </w:rPr>
              <w:t>1-4</w:t>
            </w:r>
          </w:p>
          <w:p w:rsidR="00CF1222" w:rsidRDefault="00CF1222" w:rsidP="00CF1222">
            <w:pPr>
              <w:jc w:val="left"/>
              <w:rPr>
                <w:kern w:val="0"/>
                <w:sz w:val="24"/>
                <w:szCs w:val="24"/>
              </w:rPr>
            </w:pPr>
            <w:r>
              <w:rPr>
                <w:rFonts w:hint="eastAsia"/>
                <w:kern w:val="0"/>
                <w:sz w:val="24"/>
                <w:szCs w:val="24"/>
              </w:rPr>
              <w:t>3-2</w:t>
            </w:r>
          </w:p>
          <w:p w:rsidR="00CF1222" w:rsidRDefault="00CF1222" w:rsidP="00CF1222">
            <w:pPr>
              <w:jc w:val="left"/>
              <w:rPr>
                <w:kern w:val="0"/>
                <w:sz w:val="24"/>
                <w:szCs w:val="24"/>
              </w:rPr>
            </w:pPr>
            <w:r>
              <w:rPr>
                <w:rFonts w:hint="eastAsia"/>
                <w:kern w:val="0"/>
                <w:sz w:val="24"/>
                <w:szCs w:val="24"/>
              </w:rPr>
              <w:t>10-1</w:t>
            </w:r>
          </w:p>
        </w:tc>
      </w:tr>
      <w:tr w:rsidR="00CF1222" w:rsidTr="00CF1222">
        <w:trPr>
          <w:trHeight w:val="1269"/>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5</w:t>
            </w:r>
          </w:p>
        </w:tc>
        <w:tc>
          <w:tcPr>
            <w:tcW w:w="984" w:type="dxa"/>
            <w:vAlign w:val="center"/>
          </w:tcPr>
          <w:p w:rsidR="00CF1222" w:rsidRDefault="00CF1222" w:rsidP="00CF1222">
            <w:pPr>
              <w:jc w:val="left"/>
              <w:rPr>
                <w:kern w:val="0"/>
                <w:sz w:val="24"/>
                <w:szCs w:val="24"/>
              </w:rPr>
            </w:pPr>
            <w:r>
              <w:rPr>
                <w:rFonts w:hint="eastAsia"/>
                <w:kern w:val="0"/>
                <w:sz w:val="24"/>
                <w:szCs w:val="24"/>
              </w:rPr>
              <w:t>第五章</w:t>
            </w:r>
          </w:p>
          <w:p w:rsidR="00CF1222" w:rsidRDefault="00CF1222" w:rsidP="00CF1222">
            <w:pPr>
              <w:jc w:val="left"/>
              <w:rPr>
                <w:kern w:val="0"/>
                <w:sz w:val="24"/>
                <w:szCs w:val="24"/>
              </w:rPr>
            </w:pPr>
            <w:r>
              <w:rPr>
                <w:rFonts w:hint="eastAsia"/>
                <w:kern w:val="0"/>
                <w:sz w:val="24"/>
                <w:szCs w:val="24"/>
              </w:rPr>
              <w:t>多层砌体结构抗震设计</w:t>
            </w:r>
          </w:p>
          <w:p w:rsidR="00CF1222" w:rsidRDefault="00CF1222" w:rsidP="00CF1222">
            <w:pPr>
              <w:jc w:val="left"/>
              <w:rPr>
                <w:kern w:val="0"/>
                <w:sz w:val="24"/>
                <w:szCs w:val="24"/>
              </w:rPr>
            </w:pP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4</w:t>
            </w:r>
          </w:p>
        </w:tc>
        <w:tc>
          <w:tcPr>
            <w:tcW w:w="2829" w:type="dxa"/>
            <w:vAlign w:val="center"/>
          </w:tcPr>
          <w:p w:rsidR="00CF1222" w:rsidRDefault="00CF1222" w:rsidP="00CF1222">
            <w:pPr>
              <w:jc w:val="left"/>
              <w:rPr>
                <w:kern w:val="0"/>
                <w:sz w:val="24"/>
                <w:szCs w:val="24"/>
              </w:rPr>
            </w:pPr>
            <w:r>
              <w:rPr>
                <w:rFonts w:hint="eastAsia"/>
                <w:kern w:val="0"/>
                <w:sz w:val="24"/>
                <w:szCs w:val="24"/>
              </w:rPr>
              <w:t>5.1</w:t>
            </w:r>
            <w:r>
              <w:rPr>
                <w:rFonts w:hint="eastAsia"/>
                <w:kern w:val="0"/>
                <w:sz w:val="24"/>
                <w:szCs w:val="24"/>
              </w:rPr>
              <w:t>、概述</w:t>
            </w:r>
          </w:p>
          <w:p w:rsidR="00CF1222" w:rsidRDefault="00CF1222" w:rsidP="00CF1222">
            <w:pPr>
              <w:jc w:val="left"/>
              <w:rPr>
                <w:kern w:val="0"/>
                <w:sz w:val="24"/>
                <w:szCs w:val="24"/>
              </w:rPr>
            </w:pPr>
            <w:r>
              <w:rPr>
                <w:rFonts w:hint="eastAsia"/>
                <w:kern w:val="0"/>
                <w:sz w:val="24"/>
                <w:szCs w:val="24"/>
              </w:rPr>
              <w:t>5.2</w:t>
            </w:r>
            <w:r>
              <w:rPr>
                <w:rFonts w:hint="eastAsia"/>
                <w:kern w:val="0"/>
                <w:sz w:val="24"/>
                <w:szCs w:val="24"/>
              </w:rPr>
              <w:t>、建筑布置与结构选型</w:t>
            </w:r>
          </w:p>
          <w:p w:rsidR="00CF1222" w:rsidRDefault="00CF1222" w:rsidP="00CF1222">
            <w:pPr>
              <w:jc w:val="left"/>
              <w:rPr>
                <w:kern w:val="0"/>
                <w:sz w:val="24"/>
                <w:szCs w:val="24"/>
              </w:rPr>
            </w:pPr>
            <w:r>
              <w:rPr>
                <w:rFonts w:hint="eastAsia"/>
                <w:kern w:val="0"/>
                <w:sz w:val="24"/>
                <w:szCs w:val="24"/>
              </w:rPr>
              <w:t>5.3</w:t>
            </w:r>
            <w:r>
              <w:rPr>
                <w:rFonts w:hint="eastAsia"/>
                <w:kern w:val="0"/>
                <w:sz w:val="24"/>
                <w:szCs w:val="24"/>
              </w:rPr>
              <w:t>、多层砌体结构的抗震计算</w:t>
            </w:r>
          </w:p>
          <w:p w:rsidR="00CF1222" w:rsidRDefault="00CF1222" w:rsidP="00CF1222">
            <w:pPr>
              <w:jc w:val="left"/>
              <w:rPr>
                <w:kern w:val="0"/>
                <w:sz w:val="24"/>
                <w:szCs w:val="24"/>
              </w:rPr>
            </w:pPr>
            <w:r>
              <w:rPr>
                <w:rFonts w:hint="eastAsia"/>
                <w:kern w:val="0"/>
                <w:sz w:val="24"/>
                <w:szCs w:val="24"/>
              </w:rPr>
              <w:t>5.4</w:t>
            </w:r>
            <w:r>
              <w:rPr>
                <w:rFonts w:hint="eastAsia"/>
                <w:kern w:val="0"/>
                <w:sz w:val="24"/>
                <w:szCs w:val="24"/>
              </w:rPr>
              <w:t>、多层砌体房屋抗震构造措施</w:t>
            </w:r>
          </w:p>
          <w:p w:rsidR="00CF1222" w:rsidRDefault="00CF1222" w:rsidP="00CF1222">
            <w:pPr>
              <w:jc w:val="left"/>
              <w:rPr>
                <w:kern w:val="0"/>
                <w:sz w:val="24"/>
                <w:szCs w:val="24"/>
              </w:rPr>
            </w:pPr>
          </w:p>
        </w:tc>
        <w:tc>
          <w:tcPr>
            <w:tcW w:w="2534" w:type="dxa"/>
            <w:vAlign w:val="center"/>
          </w:tcPr>
          <w:p w:rsidR="00CF1222" w:rsidRDefault="00CF1222" w:rsidP="005F6318">
            <w:pPr>
              <w:numPr>
                <w:ilvl w:val="0"/>
                <w:numId w:val="8"/>
              </w:numPr>
              <w:jc w:val="left"/>
              <w:rPr>
                <w:kern w:val="0"/>
                <w:sz w:val="24"/>
                <w:szCs w:val="24"/>
              </w:rPr>
            </w:pPr>
            <w:r>
              <w:rPr>
                <w:rFonts w:hint="eastAsia"/>
                <w:kern w:val="0"/>
                <w:sz w:val="24"/>
                <w:szCs w:val="24"/>
              </w:rPr>
              <w:t>了解砌体结构房屋震害特点及其原因；</w:t>
            </w:r>
          </w:p>
          <w:p w:rsidR="00CF1222" w:rsidRDefault="00CF1222" w:rsidP="005F6318">
            <w:pPr>
              <w:numPr>
                <w:ilvl w:val="0"/>
                <w:numId w:val="8"/>
              </w:numPr>
              <w:jc w:val="left"/>
              <w:rPr>
                <w:kern w:val="0"/>
                <w:sz w:val="24"/>
                <w:szCs w:val="24"/>
              </w:rPr>
            </w:pPr>
            <w:r>
              <w:rPr>
                <w:rFonts w:hint="eastAsia"/>
                <w:kern w:val="0"/>
                <w:sz w:val="24"/>
                <w:szCs w:val="24"/>
              </w:rPr>
              <w:t>掌握砌体结构房屋抗震概念设计原则；</w:t>
            </w:r>
          </w:p>
          <w:p w:rsidR="00CF1222" w:rsidRDefault="00CF1222" w:rsidP="005F6318">
            <w:pPr>
              <w:numPr>
                <w:ilvl w:val="0"/>
                <w:numId w:val="8"/>
              </w:numPr>
              <w:jc w:val="left"/>
              <w:rPr>
                <w:kern w:val="0"/>
                <w:sz w:val="24"/>
                <w:szCs w:val="24"/>
              </w:rPr>
            </w:pPr>
            <w:r>
              <w:rPr>
                <w:rFonts w:hint="eastAsia"/>
                <w:kern w:val="0"/>
                <w:sz w:val="24"/>
                <w:szCs w:val="24"/>
              </w:rPr>
              <w:t>掌握砌体结构房屋地震剪力计算方法及抗震承载力验算方法，熟悉相关构造措施</w:t>
            </w:r>
          </w:p>
        </w:tc>
        <w:tc>
          <w:tcPr>
            <w:tcW w:w="1672" w:type="dxa"/>
            <w:vAlign w:val="center"/>
          </w:tcPr>
          <w:p w:rsidR="00CF1222" w:rsidRDefault="00CF1222" w:rsidP="00CF1222">
            <w:pPr>
              <w:jc w:val="left"/>
              <w:rPr>
                <w:kern w:val="0"/>
                <w:sz w:val="24"/>
                <w:szCs w:val="24"/>
              </w:rPr>
            </w:pPr>
            <w:r>
              <w:rPr>
                <w:rFonts w:hint="eastAsia"/>
                <w:kern w:val="0"/>
                <w:sz w:val="24"/>
                <w:szCs w:val="24"/>
              </w:rPr>
              <w:t>1-4</w:t>
            </w:r>
          </w:p>
          <w:p w:rsidR="00CF1222" w:rsidRDefault="00CF1222" w:rsidP="00CF1222">
            <w:pPr>
              <w:jc w:val="left"/>
              <w:rPr>
                <w:kern w:val="0"/>
                <w:sz w:val="24"/>
                <w:szCs w:val="24"/>
              </w:rPr>
            </w:pPr>
            <w:r>
              <w:rPr>
                <w:rFonts w:hint="eastAsia"/>
                <w:kern w:val="0"/>
                <w:sz w:val="24"/>
                <w:szCs w:val="24"/>
              </w:rPr>
              <w:t>3-2</w:t>
            </w:r>
          </w:p>
          <w:p w:rsidR="00CF1222" w:rsidRDefault="00CF1222" w:rsidP="00CF1222">
            <w:pPr>
              <w:jc w:val="left"/>
              <w:rPr>
                <w:kern w:val="0"/>
                <w:sz w:val="24"/>
                <w:szCs w:val="24"/>
              </w:rPr>
            </w:pPr>
          </w:p>
        </w:tc>
      </w:tr>
      <w:tr w:rsidR="00CF1222" w:rsidTr="00CF1222">
        <w:trPr>
          <w:trHeight w:val="990"/>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6</w:t>
            </w:r>
          </w:p>
        </w:tc>
        <w:tc>
          <w:tcPr>
            <w:tcW w:w="984" w:type="dxa"/>
            <w:vAlign w:val="center"/>
          </w:tcPr>
          <w:p w:rsidR="00CF1222" w:rsidRDefault="00CF1222" w:rsidP="00CF1222">
            <w:pPr>
              <w:jc w:val="left"/>
              <w:rPr>
                <w:kern w:val="0"/>
                <w:sz w:val="24"/>
                <w:szCs w:val="24"/>
              </w:rPr>
            </w:pPr>
            <w:r>
              <w:rPr>
                <w:rFonts w:hint="eastAsia"/>
                <w:kern w:val="0"/>
                <w:sz w:val="24"/>
                <w:szCs w:val="24"/>
              </w:rPr>
              <w:t>第六章</w:t>
            </w:r>
          </w:p>
          <w:p w:rsidR="00CF1222" w:rsidRDefault="00CF1222" w:rsidP="00CF1222">
            <w:pPr>
              <w:jc w:val="left"/>
              <w:rPr>
                <w:kern w:val="0"/>
                <w:sz w:val="24"/>
                <w:szCs w:val="24"/>
              </w:rPr>
            </w:pPr>
            <w:r>
              <w:rPr>
                <w:rFonts w:hint="eastAsia"/>
                <w:kern w:val="0"/>
                <w:sz w:val="24"/>
                <w:szCs w:val="24"/>
              </w:rPr>
              <w:t>钢筋混凝土结构抗震设计</w:t>
            </w: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6</w:t>
            </w:r>
          </w:p>
        </w:tc>
        <w:tc>
          <w:tcPr>
            <w:tcW w:w="2829" w:type="dxa"/>
            <w:vAlign w:val="center"/>
          </w:tcPr>
          <w:p w:rsidR="00CF1222" w:rsidRDefault="00CF1222" w:rsidP="00CF1222">
            <w:pPr>
              <w:jc w:val="left"/>
              <w:rPr>
                <w:kern w:val="0"/>
                <w:sz w:val="24"/>
                <w:szCs w:val="24"/>
              </w:rPr>
            </w:pPr>
            <w:r>
              <w:rPr>
                <w:rFonts w:hint="eastAsia"/>
                <w:kern w:val="0"/>
                <w:sz w:val="24"/>
                <w:szCs w:val="24"/>
              </w:rPr>
              <w:t>6.1</w:t>
            </w:r>
            <w:r>
              <w:rPr>
                <w:rFonts w:hint="eastAsia"/>
                <w:kern w:val="0"/>
                <w:sz w:val="24"/>
                <w:szCs w:val="24"/>
              </w:rPr>
              <w:t>、钢筋混凝土结构震害及其分析</w:t>
            </w:r>
          </w:p>
          <w:p w:rsidR="00CF1222" w:rsidRDefault="00CF1222" w:rsidP="00CF1222">
            <w:pPr>
              <w:jc w:val="left"/>
              <w:rPr>
                <w:kern w:val="0"/>
                <w:sz w:val="24"/>
                <w:szCs w:val="24"/>
              </w:rPr>
            </w:pPr>
            <w:r>
              <w:rPr>
                <w:rFonts w:hint="eastAsia"/>
                <w:kern w:val="0"/>
                <w:sz w:val="24"/>
                <w:szCs w:val="24"/>
              </w:rPr>
              <w:t>6.2</w:t>
            </w:r>
            <w:r>
              <w:rPr>
                <w:rFonts w:hint="eastAsia"/>
                <w:kern w:val="0"/>
                <w:sz w:val="24"/>
                <w:szCs w:val="24"/>
              </w:rPr>
              <w:t>、钢筋混凝土结构抗震设计的一般规定</w:t>
            </w:r>
          </w:p>
          <w:p w:rsidR="00CF1222" w:rsidRDefault="00CF1222" w:rsidP="00CF1222">
            <w:pPr>
              <w:jc w:val="left"/>
              <w:rPr>
                <w:kern w:val="0"/>
                <w:sz w:val="24"/>
                <w:szCs w:val="24"/>
              </w:rPr>
            </w:pPr>
            <w:r>
              <w:rPr>
                <w:rFonts w:hint="eastAsia"/>
                <w:kern w:val="0"/>
                <w:sz w:val="24"/>
                <w:szCs w:val="24"/>
              </w:rPr>
              <w:t>6.3</w:t>
            </w:r>
            <w:r>
              <w:rPr>
                <w:rFonts w:hint="eastAsia"/>
                <w:kern w:val="0"/>
                <w:sz w:val="24"/>
                <w:szCs w:val="24"/>
              </w:rPr>
              <w:t>、钢筋混凝土框架结构的抗震计算与构造措施</w:t>
            </w:r>
          </w:p>
          <w:p w:rsidR="00CF1222" w:rsidRDefault="00CF1222" w:rsidP="00CF1222">
            <w:pPr>
              <w:jc w:val="left"/>
              <w:rPr>
                <w:kern w:val="0"/>
                <w:sz w:val="24"/>
                <w:szCs w:val="24"/>
              </w:rPr>
            </w:pPr>
          </w:p>
        </w:tc>
        <w:tc>
          <w:tcPr>
            <w:tcW w:w="2534" w:type="dxa"/>
            <w:vAlign w:val="center"/>
          </w:tcPr>
          <w:p w:rsidR="00CF1222" w:rsidRDefault="00CF1222" w:rsidP="005F6318">
            <w:pPr>
              <w:numPr>
                <w:ilvl w:val="0"/>
                <w:numId w:val="9"/>
              </w:numPr>
              <w:jc w:val="left"/>
              <w:rPr>
                <w:kern w:val="0"/>
                <w:sz w:val="24"/>
                <w:szCs w:val="24"/>
              </w:rPr>
            </w:pPr>
            <w:r>
              <w:rPr>
                <w:rFonts w:hint="eastAsia"/>
                <w:kern w:val="0"/>
                <w:sz w:val="24"/>
                <w:szCs w:val="24"/>
              </w:rPr>
              <w:t>了解钢筋混凝土结构房屋震害特点及其原因，掌握其抗震概念设计原则；</w:t>
            </w:r>
          </w:p>
          <w:p w:rsidR="00CF1222" w:rsidRDefault="00CF1222" w:rsidP="005F6318">
            <w:pPr>
              <w:numPr>
                <w:ilvl w:val="0"/>
                <w:numId w:val="9"/>
              </w:numPr>
              <w:jc w:val="left"/>
              <w:rPr>
                <w:kern w:val="0"/>
                <w:sz w:val="24"/>
                <w:szCs w:val="24"/>
              </w:rPr>
            </w:pPr>
            <w:r>
              <w:rPr>
                <w:rFonts w:hint="eastAsia"/>
                <w:kern w:val="0"/>
                <w:sz w:val="24"/>
                <w:szCs w:val="24"/>
              </w:rPr>
              <w:t>熟练掌握钢筋混凝土结构抗震设计内容及方法步骤，熟悉相关构造措施；</w:t>
            </w:r>
          </w:p>
          <w:p w:rsidR="00CF1222" w:rsidRDefault="00CF1222" w:rsidP="00CF1222">
            <w:pPr>
              <w:jc w:val="left"/>
              <w:rPr>
                <w:kern w:val="0"/>
                <w:sz w:val="24"/>
                <w:szCs w:val="24"/>
              </w:rPr>
            </w:pPr>
            <w:r>
              <w:rPr>
                <w:rFonts w:hint="eastAsia"/>
                <w:kern w:val="0"/>
                <w:sz w:val="24"/>
                <w:szCs w:val="24"/>
              </w:rPr>
              <w:t>了解钢筋混凝土抗震墙结构的抗震计算和构造措施。</w:t>
            </w:r>
          </w:p>
        </w:tc>
        <w:tc>
          <w:tcPr>
            <w:tcW w:w="1672" w:type="dxa"/>
            <w:vAlign w:val="center"/>
          </w:tcPr>
          <w:p w:rsidR="00CF1222" w:rsidRDefault="00CF1222" w:rsidP="00CF1222">
            <w:pPr>
              <w:rPr>
                <w:rFonts w:ascii="仿宋" w:eastAsia="仿宋" w:hAnsi="仿宋" w:cs="仿宋"/>
                <w:kern w:val="0"/>
                <w:sz w:val="24"/>
                <w:szCs w:val="24"/>
              </w:rPr>
            </w:pPr>
            <w:r>
              <w:rPr>
                <w:rFonts w:hint="eastAsia"/>
                <w:kern w:val="0"/>
                <w:sz w:val="24"/>
                <w:szCs w:val="24"/>
              </w:rPr>
              <w:t>1-4</w:t>
            </w:r>
          </w:p>
          <w:p w:rsidR="00CF1222" w:rsidRDefault="00CF1222" w:rsidP="00CF1222">
            <w:pPr>
              <w:jc w:val="left"/>
              <w:rPr>
                <w:kern w:val="0"/>
                <w:sz w:val="24"/>
                <w:szCs w:val="24"/>
              </w:rPr>
            </w:pPr>
            <w:r>
              <w:rPr>
                <w:rFonts w:hint="eastAsia"/>
                <w:kern w:val="0"/>
                <w:sz w:val="24"/>
                <w:szCs w:val="24"/>
              </w:rPr>
              <w:t xml:space="preserve">3-2 </w:t>
            </w:r>
          </w:p>
          <w:p w:rsidR="00CF1222" w:rsidRDefault="00CF1222" w:rsidP="00CF1222">
            <w:pPr>
              <w:jc w:val="left"/>
              <w:rPr>
                <w:kern w:val="0"/>
                <w:sz w:val="24"/>
                <w:szCs w:val="24"/>
              </w:rPr>
            </w:pPr>
          </w:p>
        </w:tc>
      </w:tr>
      <w:tr w:rsidR="00CF1222" w:rsidTr="00CF1222">
        <w:trPr>
          <w:trHeight w:val="1244"/>
        </w:trPr>
        <w:tc>
          <w:tcPr>
            <w:tcW w:w="384" w:type="dxa"/>
            <w:vAlign w:val="center"/>
          </w:tcPr>
          <w:p w:rsidR="00CF1222" w:rsidRDefault="00CF1222" w:rsidP="00CF1222">
            <w:pPr>
              <w:jc w:val="center"/>
              <w:rPr>
                <w:rFonts w:ascii="Times New Roman" w:eastAsia="仿宋" w:hAnsi="Times New Roman"/>
                <w:kern w:val="0"/>
                <w:sz w:val="24"/>
                <w:szCs w:val="24"/>
              </w:rPr>
            </w:pPr>
            <w:r>
              <w:rPr>
                <w:rFonts w:ascii="Times New Roman" w:eastAsia="仿宋" w:hAnsi="Times New Roman"/>
                <w:kern w:val="0"/>
                <w:sz w:val="24"/>
                <w:szCs w:val="24"/>
              </w:rPr>
              <w:t>7</w:t>
            </w:r>
          </w:p>
        </w:tc>
        <w:tc>
          <w:tcPr>
            <w:tcW w:w="984" w:type="dxa"/>
            <w:vAlign w:val="center"/>
          </w:tcPr>
          <w:p w:rsidR="00CF1222" w:rsidRDefault="00CF1222" w:rsidP="00CF1222">
            <w:pPr>
              <w:jc w:val="left"/>
              <w:rPr>
                <w:kern w:val="0"/>
                <w:sz w:val="24"/>
                <w:szCs w:val="24"/>
              </w:rPr>
            </w:pPr>
            <w:r>
              <w:rPr>
                <w:rFonts w:hint="eastAsia"/>
                <w:kern w:val="0"/>
                <w:sz w:val="24"/>
                <w:szCs w:val="24"/>
              </w:rPr>
              <w:t>第七章</w:t>
            </w:r>
          </w:p>
          <w:p w:rsidR="00CF1222" w:rsidRDefault="00CF1222" w:rsidP="00CF1222">
            <w:pPr>
              <w:jc w:val="left"/>
              <w:rPr>
                <w:kern w:val="0"/>
                <w:sz w:val="24"/>
                <w:szCs w:val="24"/>
              </w:rPr>
            </w:pPr>
            <w:r>
              <w:rPr>
                <w:rFonts w:hint="eastAsia"/>
                <w:kern w:val="0"/>
                <w:sz w:val="24"/>
                <w:szCs w:val="24"/>
              </w:rPr>
              <w:t>结构隔振与消能减震</w:t>
            </w:r>
          </w:p>
          <w:p w:rsidR="00CF1222" w:rsidRDefault="00CF1222" w:rsidP="00CF1222">
            <w:pPr>
              <w:jc w:val="left"/>
              <w:rPr>
                <w:kern w:val="0"/>
                <w:sz w:val="24"/>
                <w:szCs w:val="24"/>
              </w:rPr>
            </w:pPr>
          </w:p>
        </w:tc>
        <w:tc>
          <w:tcPr>
            <w:tcW w:w="833" w:type="dxa"/>
            <w:vAlign w:val="center"/>
          </w:tcPr>
          <w:p w:rsidR="00CF1222" w:rsidRDefault="00CF1222" w:rsidP="00CF1222">
            <w:pPr>
              <w:jc w:val="center"/>
              <w:rPr>
                <w:rFonts w:ascii="Times New Roman" w:hAnsi="Times New Roman"/>
                <w:kern w:val="0"/>
                <w:sz w:val="24"/>
                <w:szCs w:val="24"/>
              </w:rPr>
            </w:pPr>
            <w:r>
              <w:rPr>
                <w:rFonts w:ascii="Times New Roman" w:hAnsi="Times New Roman" w:hint="eastAsia"/>
                <w:kern w:val="0"/>
                <w:sz w:val="24"/>
                <w:szCs w:val="24"/>
              </w:rPr>
              <w:t>4</w:t>
            </w:r>
          </w:p>
        </w:tc>
        <w:tc>
          <w:tcPr>
            <w:tcW w:w="2829" w:type="dxa"/>
            <w:vAlign w:val="center"/>
          </w:tcPr>
          <w:p w:rsidR="00CF1222" w:rsidRDefault="00CF1222" w:rsidP="00CF1222">
            <w:pPr>
              <w:jc w:val="left"/>
              <w:rPr>
                <w:kern w:val="0"/>
                <w:sz w:val="24"/>
                <w:szCs w:val="24"/>
              </w:rPr>
            </w:pPr>
            <w:r>
              <w:rPr>
                <w:rFonts w:hint="eastAsia"/>
                <w:kern w:val="0"/>
                <w:sz w:val="24"/>
                <w:szCs w:val="24"/>
              </w:rPr>
              <w:t>7.1</w:t>
            </w:r>
            <w:r>
              <w:rPr>
                <w:rFonts w:hint="eastAsia"/>
                <w:kern w:val="0"/>
                <w:sz w:val="24"/>
                <w:szCs w:val="24"/>
              </w:rPr>
              <w:t>、结构减震设计概述</w:t>
            </w:r>
          </w:p>
          <w:p w:rsidR="00CF1222" w:rsidRDefault="00CF1222" w:rsidP="00CF1222">
            <w:pPr>
              <w:jc w:val="left"/>
              <w:rPr>
                <w:kern w:val="0"/>
                <w:sz w:val="24"/>
                <w:szCs w:val="24"/>
              </w:rPr>
            </w:pPr>
            <w:r>
              <w:rPr>
                <w:rFonts w:hint="eastAsia"/>
                <w:kern w:val="0"/>
                <w:sz w:val="24"/>
                <w:szCs w:val="24"/>
              </w:rPr>
              <w:t>7.2</w:t>
            </w:r>
            <w:r>
              <w:rPr>
                <w:rFonts w:hint="eastAsia"/>
                <w:kern w:val="0"/>
                <w:sz w:val="24"/>
                <w:szCs w:val="24"/>
              </w:rPr>
              <w:t>、结构隔震原理与方法</w:t>
            </w:r>
          </w:p>
          <w:p w:rsidR="00CF1222" w:rsidRDefault="00CF1222" w:rsidP="00CF1222">
            <w:pPr>
              <w:jc w:val="left"/>
              <w:rPr>
                <w:kern w:val="0"/>
                <w:sz w:val="24"/>
                <w:szCs w:val="24"/>
              </w:rPr>
            </w:pPr>
            <w:r>
              <w:rPr>
                <w:rFonts w:hint="eastAsia"/>
                <w:kern w:val="0"/>
                <w:sz w:val="24"/>
                <w:szCs w:val="24"/>
              </w:rPr>
              <w:t>7.3</w:t>
            </w:r>
            <w:r>
              <w:rPr>
                <w:rFonts w:hint="eastAsia"/>
                <w:kern w:val="0"/>
                <w:sz w:val="24"/>
                <w:szCs w:val="24"/>
              </w:rPr>
              <w:t>、结构消能减震原理及方法</w:t>
            </w:r>
          </w:p>
          <w:p w:rsidR="00CF1222" w:rsidRDefault="00CF1222" w:rsidP="00CF1222">
            <w:pPr>
              <w:jc w:val="left"/>
              <w:rPr>
                <w:kern w:val="0"/>
                <w:sz w:val="24"/>
                <w:szCs w:val="24"/>
              </w:rPr>
            </w:pPr>
          </w:p>
        </w:tc>
        <w:tc>
          <w:tcPr>
            <w:tcW w:w="2534" w:type="dxa"/>
            <w:vAlign w:val="center"/>
          </w:tcPr>
          <w:p w:rsidR="00CF1222" w:rsidRDefault="00CF1222" w:rsidP="005F6318">
            <w:pPr>
              <w:numPr>
                <w:ilvl w:val="0"/>
                <w:numId w:val="10"/>
              </w:numPr>
              <w:jc w:val="left"/>
              <w:rPr>
                <w:kern w:val="0"/>
                <w:sz w:val="24"/>
                <w:szCs w:val="24"/>
              </w:rPr>
            </w:pPr>
            <w:r>
              <w:rPr>
                <w:rFonts w:hint="eastAsia"/>
                <w:kern w:val="0"/>
                <w:sz w:val="24"/>
                <w:szCs w:val="24"/>
              </w:rPr>
              <w:t>掌握结构隔震与消能减震原理；</w:t>
            </w:r>
          </w:p>
          <w:p w:rsidR="00CF1222" w:rsidRDefault="00CF1222" w:rsidP="005F6318">
            <w:pPr>
              <w:numPr>
                <w:ilvl w:val="0"/>
                <w:numId w:val="10"/>
              </w:numPr>
              <w:jc w:val="left"/>
              <w:rPr>
                <w:kern w:val="0"/>
                <w:sz w:val="24"/>
                <w:szCs w:val="24"/>
              </w:rPr>
            </w:pPr>
            <w:r>
              <w:rPr>
                <w:rFonts w:hint="eastAsia"/>
                <w:kern w:val="0"/>
                <w:sz w:val="24"/>
                <w:szCs w:val="24"/>
              </w:rPr>
              <w:t>掌握常用的隔振和消能减震装置类型及特点，了解隔震及消能减震设计方法，了解相关构造要求</w:t>
            </w:r>
          </w:p>
        </w:tc>
        <w:tc>
          <w:tcPr>
            <w:tcW w:w="1672" w:type="dxa"/>
            <w:vAlign w:val="center"/>
          </w:tcPr>
          <w:p w:rsidR="00CF1222" w:rsidRDefault="00CF1222" w:rsidP="00CF1222">
            <w:pPr>
              <w:rPr>
                <w:rFonts w:ascii="仿宋" w:eastAsia="仿宋" w:hAnsi="仿宋" w:cs="仿宋"/>
                <w:kern w:val="0"/>
                <w:sz w:val="24"/>
                <w:szCs w:val="24"/>
              </w:rPr>
            </w:pPr>
            <w:r>
              <w:rPr>
                <w:rFonts w:hint="eastAsia"/>
                <w:kern w:val="0"/>
                <w:sz w:val="24"/>
                <w:szCs w:val="24"/>
              </w:rPr>
              <w:t>1-4</w:t>
            </w:r>
          </w:p>
          <w:p w:rsidR="00CF1222" w:rsidRDefault="00CF1222" w:rsidP="00CF1222">
            <w:pPr>
              <w:jc w:val="left"/>
              <w:rPr>
                <w:kern w:val="0"/>
                <w:sz w:val="24"/>
                <w:szCs w:val="24"/>
              </w:rPr>
            </w:pPr>
            <w:r>
              <w:rPr>
                <w:rFonts w:hint="eastAsia"/>
                <w:kern w:val="0"/>
                <w:sz w:val="24"/>
                <w:szCs w:val="24"/>
              </w:rPr>
              <w:t xml:space="preserve">3-2 </w:t>
            </w:r>
          </w:p>
          <w:p w:rsidR="00CF1222" w:rsidRDefault="00CF1222" w:rsidP="00CF1222">
            <w:pPr>
              <w:jc w:val="left"/>
              <w:rPr>
                <w:kern w:val="0"/>
                <w:sz w:val="24"/>
                <w:szCs w:val="24"/>
              </w:rPr>
            </w:pPr>
            <w:r>
              <w:rPr>
                <w:rFonts w:hint="eastAsia"/>
                <w:kern w:val="0"/>
                <w:sz w:val="24"/>
                <w:szCs w:val="24"/>
              </w:rPr>
              <w:t xml:space="preserve">10-1 </w:t>
            </w:r>
          </w:p>
          <w:p w:rsidR="00CF1222" w:rsidRDefault="00CF1222" w:rsidP="00CF1222">
            <w:pPr>
              <w:jc w:val="left"/>
              <w:rPr>
                <w:kern w:val="0"/>
                <w:sz w:val="24"/>
                <w:szCs w:val="24"/>
              </w:rPr>
            </w:pPr>
          </w:p>
        </w:tc>
      </w:tr>
    </w:tbl>
    <w:p w:rsidR="00CF1222" w:rsidRDefault="00CF1222" w:rsidP="00CF1222">
      <w:pPr>
        <w:spacing w:line="560" w:lineRule="exact"/>
        <w:rPr>
          <w:rFonts w:ascii="Times New Roman" w:hAnsi="Times New Roman"/>
          <w:bCs/>
          <w:sz w:val="28"/>
          <w:szCs w:val="28"/>
        </w:rPr>
      </w:pPr>
    </w:p>
    <w:p w:rsidR="00CF1222" w:rsidRDefault="00CF1222" w:rsidP="00CF1222">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lastRenderedPageBreak/>
        <w:t>五、教学方法</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课程教学采用传统教学和多媒体相结合的方式，以课堂讲授为主，通过课内实验、平时作业及随堂测验等多环节训练和督促检查，巩固学习成果。本课程安排</w:t>
      </w:r>
      <w:r>
        <w:rPr>
          <w:rFonts w:ascii="Times New Roman" w:hAnsi="Times New Roman" w:hint="eastAsia"/>
          <w:bCs/>
          <w:sz w:val="28"/>
          <w:szCs w:val="28"/>
        </w:rPr>
        <w:t>2</w:t>
      </w:r>
      <w:r>
        <w:rPr>
          <w:rFonts w:ascii="Times New Roman" w:hAnsi="Times New Roman" w:hint="eastAsia"/>
          <w:bCs/>
          <w:sz w:val="28"/>
          <w:szCs w:val="28"/>
        </w:rPr>
        <w:t>次学习讨论，</w:t>
      </w:r>
      <w:r>
        <w:rPr>
          <w:rFonts w:ascii="Times New Roman" w:hAnsi="Times New Roman" w:hint="eastAsia"/>
          <w:bCs/>
          <w:sz w:val="28"/>
          <w:szCs w:val="28"/>
        </w:rPr>
        <w:t>6</w:t>
      </w:r>
      <w:r>
        <w:rPr>
          <w:rFonts w:ascii="Times New Roman" w:hAnsi="Times New Roman" w:hint="eastAsia"/>
          <w:bCs/>
          <w:sz w:val="28"/>
          <w:szCs w:val="28"/>
        </w:rPr>
        <w:t>次平时作业，</w:t>
      </w:r>
      <w:r>
        <w:rPr>
          <w:rFonts w:ascii="Times New Roman" w:hAnsi="Times New Roman" w:hint="eastAsia"/>
          <w:bCs/>
          <w:sz w:val="28"/>
          <w:szCs w:val="28"/>
        </w:rPr>
        <w:t>2</w:t>
      </w:r>
      <w:r>
        <w:rPr>
          <w:rFonts w:ascii="Times New Roman" w:hAnsi="Times New Roman" w:hint="eastAsia"/>
          <w:bCs/>
          <w:sz w:val="28"/>
          <w:szCs w:val="28"/>
        </w:rPr>
        <w:t>次随堂测验。</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本课程采用的教学方法与课程目标的对应关系如下：</w:t>
      </w:r>
    </w:p>
    <w:tbl>
      <w:tblPr>
        <w:tblW w:w="41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3329"/>
        <w:gridCol w:w="1508"/>
      </w:tblGrid>
      <w:tr w:rsidR="00CF1222" w:rsidTr="00CF1222">
        <w:trPr>
          <w:jc w:val="center"/>
        </w:trPr>
        <w:tc>
          <w:tcPr>
            <w:tcW w:w="1472"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教学方法</w:t>
            </w:r>
          </w:p>
        </w:tc>
        <w:tc>
          <w:tcPr>
            <w:tcW w:w="2428"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具体实施方式</w:t>
            </w:r>
          </w:p>
        </w:tc>
        <w:tc>
          <w:tcPr>
            <w:tcW w:w="11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rPr>
                <w:rFonts w:ascii="Times New Roman" w:hAnsi="Times New Roman"/>
                <w:bCs/>
                <w:sz w:val="28"/>
                <w:szCs w:val="28"/>
              </w:rPr>
            </w:pPr>
            <w:r>
              <w:rPr>
                <w:rFonts w:ascii="Times New Roman" w:hAnsi="Times New Roman" w:hint="eastAsia"/>
                <w:bCs/>
                <w:sz w:val="28"/>
                <w:szCs w:val="28"/>
              </w:rPr>
              <w:t>教学目标</w:t>
            </w:r>
          </w:p>
        </w:tc>
      </w:tr>
      <w:tr w:rsidR="00CF1222" w:rsidTr="00CF1222">
        <w:trPr>
          <w:trHeight w:val="920"/>
          <w:jc w:val="center"/>
        </w:trPr>
        <w:tc>
          <w:tcPr>
            <w:tcW w:w="1472"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学习讨论</w:t>
            </w:r>
          </w:p>
        </w:tc>
        <w:tc>
          <w:tcPr>
            <w:tcW w:w="2428" w:type="pct"/>
            <w:tcBorders>
              <w:top w:val="single" w:sz="4" w:space="0" w:color="auto"/>
              <w:left w:val="single" w:sz="4" w:space="0" w:color="auto"/>
              <w:right w:val="single" w:sz="4" w:space="0" w:color="auto"/>
            </w:tcBorders>
            <w:vAlign w:val="center"/>
          </w:tcPr>
          <w:p w:rsidR="00CF1222" w:rsidRDefault="00CF1222" w:rsidP="00CF1222">
            <w:pPr>
              <w:spacing w:line="560" w:lineRule="exact"/>
              <w:rPr>
                <w:rFonts w:ascii="Times New Roman" w:hAnsi="Times New Roman"/>
                <w:bCs/>
                <w:sz w:val="28"/>
                <w:szCs w:val="28"/>
              </w:rPr>
            </w:pPr>
            <w:r>
              <w:rPr>
                <w:rFonts w:ascii="Times New Roman" w:hAnsi="Times New Roman" w:hint="eastAsia"/>
                <w:bCs/>
                <w:sz w:val="28"/>
                <w:szCs w:val="28"/>
              </w:rPr>
              <w:t>学生课外阅读、老师引导，</w:t>
            </w:r>
          </w:p>
          <w:p w:rsidR="00CF1222" w:rsidRDefault="00CF1222" w:rsidP="00CF1222">
            <w:pPr>
              <w:spacing w:line="560" w:lineRule="exact"/>
              <w:rPr>
                <w:rFonts w:ascii="Times New Roman" w:hAnsi="Times New Roman"/>
                <w:bCs/>
                <w:sz w:val="28"/>
                <w:szCs w:val="28"/>
              </w:rPr>
            </w:pPr>
            <w:r>
              <w:rPr>
                <w:rFonts w:ascii="Times New Roman" w:hAnsi="Times New Roman" w:hint="eastAsia"/>
                <w:bCs/>
                <w:sz w:val="28"/>
                <w:szCs w:val="28"/>
              </w:rPr>
              <w:t>利用网络平台发言讨论</w:t>
            </w:r>
          </w:p>
        </w:tc>
        <w:tc>
          <w:tcPr>
            <w:tcW w:w="1100" w:type="pct"/>
            <w:tcBorders>
              <w:top w:val="single" w:sz="4" w:space="0" w:color="auto"/>
              <w:left w:val="single" w:sz="4" w:space="0" w:color="auto"/>
              <w:right w:val="single" w:sz="4" w:space="0" w:color="auto"/>
            </w:tcBorders>
            <w:vAlign w:val="center"/>
          </w:tcPr>
          <w:p w:rsidR="00CF1222" w:rsidRDefault="00CF1222" w:rsidP="00CF1222">
            <w:pPr>
              <w:spacing w:line="560" w:lineRule="exact"/>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1</w:t>
            </w:r>
            <w:r>
              <w:rPr>
                <w:rFonts w:ascii="Times New Roman" w:hAnsi="Times New Roman" w:hint="eastAsia"/>
                <w:bCs/>
                <w:sz w:val="28"/>
                <w:szCs w:val="28"/>
              </w:rPr>
              <w:t>）（</w:t>
            </w:r>
            <w:r>
              <w:rPr>
                <w:rFonts w:ascii="Times New Roman" w:hAnsi="Times New Roman" w:hint="eastAsia"/>
                <w:bCs/>
                <w:sz w:val="28"/>
                <w:szCs w:val="28"/>
              </w:rPr>
              <w:t>3</w:t>
            </w:r>
            <w:r>
              <w:rPr>
                <w:rFonts w:ascii="Times New Roman" w:hAnsi="Times New Roman" w:hint="eastAsia"/>
                <w:bCs/>
                <w:sz w:val="28"/>
                <w:szCs w:val="28"/>
              </w:rPr>
              <w:t>）</w:t>
            </w:r>
          </w:p>
        </w:tc>
      </w:tr>
      <w:tr w:rsidR="00CF1222" w:rsidTr="00CF1222">
        <w:trPr>
          <w:jc w:val="center"/>
        </w:trPr>
        <w:tc>
          <w:tcPr>
            <w:tcW w:w="1472" w:type="pct"/>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平时作业</w:t>
            </w:r>
          </w:p>
        </w:tc>
        <w:tc>
          <w:tcPr>
            <w:tcW w:w="2428"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rPr>
                <w:rFonts w:ascii="Times New Roman" w:hAnsi="Times New Roman"/>
                <w:bCs/>
                <w:sz w:val="28"/>
                <w:szCs w:val="28"/>
              </w:rPr>
            </w:pPr>
            <w:r>
              <w:rPr>
                <w:rFonts w:ascii="Times New Roman" w:hAnsi="Times New Roman" w:hint="eastAsia"/>
                <w:bCs/>
                <w:sz w:val="28"/>
                <w:szCs w:val="28"/>
              </w:rPr>
              <w:t>网络提交作业</w:t>
            </w:r>
            <w:r>
              <w:rPr>
                <w:rFonts w:ascii="Times New Roman" w:hAnsi="Times New Roman" w:hint="eastAsia"/>
                <w:bCs/>
                <w:sz w:val="28"/>
                <w:szCs w:val="28"/>
              </w:rPr>
              <w:t>4</w:t>
            </w:r>
            <w:r>
              <w:rPr>
                <w:rFonts w:ascii="Times New Roman" w:hAnsi="Times New Roman" w:hint="eastAsia"/>
                <w:bCs/>
                <w:sz w:val="28"/>
                <w:szCs w:val="28"/>
              </w:rPr>
              <w:t>次</w:t>
            </w:r>
          </w:p>
        </w:tc>
        <w:tc>
          <w:tcPr>
            <w:tcW w:w="1100" w:type="pct"/>
            <w:vMerge w:val="restart"/>
            <w:tcBorders>
              <w:top w:val="single" w:sz="4" w:space="0" w:color="auto"/>
              <w:left w:val="single" w:sz="4" w:space="0" w:color="auto"/>
              <w:right w:val="single" w:sz="4" w:space="0" w:color="auto"/>
            </w:tcBorders>
            <w:vAlign w:val="center"/>
          </w:tcPr>
          <w:p w:rsidR="00CF1222" w:rsidRDefault="00CF1222" w:rsidP="00CF1222">
            <w:pPr>
              <w:spacing w:line="560" w:lineRule="exact"/>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1</w:t>
            </w:r>
            <w:r>
              <w:rPr>
                <w:rFonts w:ascii="Times New Roman" w:hAnsi="Times New Roman" w:hint="eastAsia"/>
                <w:bCs/>
                <w:sz w:val="28"/>
                <w:szCs w:val="28"/>
              </w:rPr>
              <w:t>）（</w:t>
            </w:r>
            <w:r>
              <w:rPr>
                <w:rFonts w:ascii="Times New Roman" w:hAnsi="Times New Roman" w:hint="eastAsia"/>
                <w:bCs/>
                <w:sz w:val="28"/>
                <w:szCs w:val="28"/>
              </w:rPr>
              <w:t>2</w:t>
            </w:r>
            <w:r>
              <w:rPr>
                <w:rFonts w:ascii="Times New Roman" w:hAnsi="Times New Roman" w:hint="eastAsia"/>
                <w:bCs/>
                <w:sz w:val="28"/>
                <w:szCs w:val="28"/>
              </w:rPr>
              <w:t>）（</w:t>
            </w:r>
            <w:r>
              <w:rPr>
                <w:rFonts w:ascii="Times New Roman" w:hAnsi="Times New Roman" w:hint="eastAsia"/>
                <w:bCs/>
                <w:sz w:val="28"/>
                <w:szCs w:val="28"/>
              </w:rPr>
              <w:t>3</w:t>
            </w:r>
            <w:r>
              <w:rPr>
                <w:rFonts w:ascii="Times New Roman" w:hAnsi="Times New Roman" w:hint="eastAsia"/>
                <w:bCs/>
                <w:sz w:val="28"/>
                <w:szCs w:val="28"/>
              </w:rPr>
              <w:t>）</w:t>
            </w:r>
          </w:p>
        </w:tc>
      </w:tr>
      <w:tr w:rsidR="00CF1222" w:rsidTr="00CF1222">
        <w:trPr>
          <w:jc w:val="center"/>
        </w:trPr>
        <w:tc>
          <w:tcPr>
            <w:tcW w:w="1472"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p>
        </w:tc>
        <w:tc>
          <w:tcPr>
            <w:tcW w:w="2428"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rPr>
                <w:rFonts w:ascii="Times New Roman" w:hAnsi="Times New Roman"/>
                <w:bCs/>
                <w:sz w:val="28"/>
                <w:szCs w:val="28"/>
              </w:rPr>
            </w:pPr>
            <w:r>
              <w:rPr>
                <w:rFonts w:ascii="Times New Roman" w:hAnsi="Times New Roman" w:hint="eastAsia"/>
                <w:bCs/>
                <w:sz w:val="28"/>
                <w:szCs w:val="28"/>
              </w:rPr>
              <w:t>纸质作业</w:t>
            </w:r>
            <w:r>
              <w:rPr>
                <w:rFonts w:ascii="Times New Roman" w:hAnsi="Times New Roman" w:hint="eastAsia"/>
                <w:bCs/>
                <w:sz w:val="28"/>
                <w:szCs w:val="28"/>
              </w:rPr>
              <w:t>2</w:t>
            </w:r>
            <w:r>
              <w:rPr>
                <w:rFonts w:ascii="Times New Roman" w:hAnsi="Times New Roman" w:hint="eastAsia"/>
                <w:bCs/>
                <w:sz w:val="28"/>
                <w:szCs w:val="28"/>
              </w:rPr>
              <w:t>次</w:t>
            </w:r>
          </w:p>
        </w:tc>
        <w:tc>
          <w:tcPr>
            <w:tcW w:w="1100" w:type="pct"/>
            <w:vMerge/>
            <w:tcBorders>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18"/>
                <w:szCs w:val="18"/>
              </w:rPr>
            </w:pPr>
          </w:p>
        </w:tc>
      </w:tr>
      <w:tr w:rsidR="00CF1222" w:rsidTr="00CF1222">
        <w:trPr>
          <w:jc w:val="center"/>
        </w:trPr>
        <w:tc>
          <w:tcPr>
            <w:tcW w:w="1472"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随堂测验</w:t>
            </w:r>
          </w:p>
        </w:tc>
        <w:tc>
          <w:tcPr>
            <w:tcW w:w="2428"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p>
        </w:tc>
        <w:tc>
          <w:tcPr>
            <w:tcW w:w="11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sz w:val="18"/>
                <w:szCs w:val="18"/>
              </w:rPr>
            </w:pPr>
            <w:r>
              <w:rPr>
                <w:rFonts w:ascii="Times New Roman" w:hAnsi="Times New Roman" w:hint="eastAsia"/>
                <w:bCs/>
                <w:sz w:val="28"/>
                <w:szCs w:val="28"/>
              </w:rPr>
              <w:t>（</w:t>
            </w:r>
            <w:r>
              <w:rPr>
                <w:rFonts w:ascii="Times New Roman" w:hAnsi="Times New Roman" w:hint="eastAsia"/>
                <w:bCs/>
                <w:sz w:val="28"/>
                <w:szCs w:val="28"/>
              </w:rPr>
              <w:t>1</w:t>
            </w:r>
            <w:r>
              <w:rPr>
                <w:rFonts w:ascii="Times New Roman" w:hAnsi="Times New Roman" w:hint="eastAsia"/>
                <w:bCs/>
                <w:sz w:val="28"/>
                <w:szCs w:val="28"/>
              </w:rPr>
              <w:t>）（</w:t>
            </w:r>
            <w:r>
              <w:rPr>
                <w:rFonts w:ascii="Times New Roman" w:hAnsi="Times New Roman" w:hint="eastAsia"/>
                <w:bCs/>
                <w:sz w:val="28"/>
                <w:szCs w:val="28"/>
              </w:rPr>
              <w:t>2</w:t>
            </w:r>
            <w:r>
              <w:rPr>
                <w:rFonts w:ascii="Times New Roman" w:hAnsi="Times New Roman" w:hint="eastAsia"/>
                <w:bCs/>
                <w:sz w:val="28"/>
                <w:szCs w:val="28"/>
              </w:rPr>
              <w:t>）</w:t>
            </w:r>
          </w:p>
        </w:tc>
      </w:tr>
    </w:tbl>
    <w:p w:rsidR="00CF1222" w:rsidRDefault="00CF1222" w:rsidP="00CF1222">
      <w:pPr>
        <w:adjustRightInd w:val="0"/>
        <w:snapToGrid w:val="0"/>
        <w:spacing w:line="360" w:lineRule="exact"/>
        <w:ind w:firstLineChars="200" w:firstLine="640"/>
        <w:jc w:val="left"/>
      </w:pPr>
    </w:p>
    <w:p w:rsidR="00CF1222" w:rsidRDefault="00CF1222" w:rsidP="005F6318">
      <w:pPr>
        <w:numPr>
          <w:ilvl w:val="0"/>
          <w:numId w:val="11"/>
        </w:num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课程的考核环节及课程目标达成度自评方式</w:t>
      </w:r>
    </w:p>
    <w:p w:rsidR="00CF1222" w:rsidRDefault="00CF1222" w:rsidP="00CF1222">
      <w:pPr>
        <w:snapToGrid w:val="0"/>
        <w:spacing w:line="360" w:lineRule="auto"/>
        <w:rPr>
          <w:rFonts w:ascii="Times New Roman" w:hAnsi="Times New Roman"/>
          <w:sz w:val="28"/>
          <w:szCs w:val="28"/>
        </w:rPr>
      </w:pPr>
      <w:r>
        <w:rPr>
          <w:rFonts w:ascii="Times New Roman" w:hAnsi="Times New Roman" w:hint="eastAsia"/>
          <w:sz w:val="28"/>
          <w:szCs w:val="28"/>
        </w:rPr>
        <w:t>1</w:t>
      </w:r>
      <w:r>
        <w:rPr>
          <w:rFonts w:ascii="Times New Roman" w:hAnsi="Times New Roman" w:hint="eastAsia"/>
          <w:sz w:val="28"/>
          <w:szCs w:val="28"/>
        </w:rPr>
        <w:t>、课程的考核环节</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课程总评成绩由平时成绩、实验成绩和期终考试（闭卷）</w:t>
      </w:r>
      <w:r>
        <w:rPr>
          <w:rFonts w:ascii="Times New Roman" w:hAnsi="Times New Roman" w:hint="eastAsia"/>
          <w:bCs/>
          <w:sz w:val="28"/>
          <w:szCs w:val="28"/>
        </w:rPr>
        <w:t>3</w:t>
      </w:r>
      <w:r>
        <w:rPr>
          <w:rFonts w:ascii="Times New Roman" w:hAnsi="Times New Roman" w:hint="eastAsia"/>
          <w:bCs/>
          <w:sz w:val="28"/>
          <w:szCs w:val="28"/>
        </w:rPr>
        <w:t>个考核环节综合评定产生。各考核环节与课程目标的对应关系如下：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399"/>
        <w:gridCol w:w="3239"/>
        <w:gridCol w:w="1667"/>
      </w:tblGrid>
      <w:tr w:rsidR="00CF1222" w:rsidTr="00CF1222">
        <w:trPr>
          <w:jc w:val="center"/>
        </w:trPr>
        <w:tc>
          <w:tcPr>
            <w:tcW w:w="3995" w:type="pct"/>
            <w:gridSpan w:val="3"/>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教学目标</w:t>
            </w:r>
          </w:p>
        </w:tc>
      </w:tr>
      <w:tr w:rsidR="00CF1222" w:rsidTr="00CF1222">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分项比例</w:t>
            </w:r>
          </w:p>
        </w:tc>
        <w:tc>
          <w:tcPr>
            <w:tcW w:w="2795" w:type="pct"/>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分项内容</w:t>
            </w:r>
          </w:p>
        </w:tc>
        <w:tc>
          <w:tcPr>
            <w:tcW w:w="1005"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p>
        </w:tc>
      </w:tr>
      <w:tr w:rsidR="00CF1222" w:rsidTr="00CF1222">
        <w:trPr>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平时成绩</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20%</w:t>
            </w:r>
            <w:r>
              <w:rPr>
                <w:rFonts w:ascii="Times New Roman" w:hAnsi="Times New Roman" w:hint="eastAsia"/>
                <w:bCs/>
                <w:sz w:val="28"/>
                <w:szCs w:val="28"/>
              </w:rPr>
              <w:t>）</w:t>
            </w:r>
          </w:p>
        </w:tc>
        <w:tc>
          <w:tcPr>
            <w:tcW w:w="843" w:type="pct"/>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平时作业</w:t>
            </w:r>
          </w:p>
        </w:tc>
        <w:tc>
          <w:tcPr>
            <w:tcW w:w="1952"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概念与原理题</w:t>
            </w:r>
          </w:p>
        </w:tc>
        <w:tc>
          <w:tcPr>
            <w:tcW w:w="1005"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1</w:t>
            </w:r>
            <w:r>
              <w:rPr>
                <w:rFonts w:ascii="Times New Roman" w:hAnsi="Times New Roman" w:hint="eastAsia"/>
                <w:bCs/>
                <w:sz w:val="28"/>
                <w:szCs w:val="28"/>
              </w:rPr>
              <w:t>）（</w:t>
            </w:r>
            <w:r>
              <w:rPr>
                <w:rFonts w:ascii="Times New Roman" w:hAnsi="Times New Roman" w:hint="eastAsia"/>
                <w:bCs/>
                <w:sz w:val="28"/>
                <w:szCs w:val="28"/>
              </w:rPr>
              <w:t>2</w:t>
            </w:r>
            <w:r>
              <w:rPr>
                <w:rFonts w:ascii="Times New Roman" w:hAnsi="Times New Roman" w:hint="eastAsia"/>
                <w:bCs/>
                <w:sz w:val="28"/>
                <w:szCs w:val="28"/>
              </w:rPr>
              <w:t>）（</w:t>
            </w:r>
            <w:r>
              <w:rPr>
                <w:rFonts w:ascii="Times New Roman" w:hAnsi="Times New Roman" w:hint="eastAsia"/>
                <w:bCs/>
                <w:sz w:val="28"/>
                <w:szCs w:val="28"/>
              </w:rPr>
              <w:t>3</w:t>
            </w:r>
            <w:r>
              <w:rPr>
                <w:rFonts w:ascii="Times New Roman" w:hAnsi="Times New Roman" w:hint="eastAsia"/>
                <w:bCs/>
                <w:sz w:val="28"/>
                <w:szCs w:val="28"/>
              </w:rPr>
              <w:t>）</w:t>
            </w:r>
          </w:p>
        </w:tc>
      </w:tr>
      <w:tr w:rsidR="00CF1222" w:rsidTr="00CF1222">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p>
        </w:tc>
        <w:tc>
          <w:tcPr>
            <w:tcW w:w="843"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p>
        </w:tc>
        <w:tc>
          <w:tcPr>
            <w:tcW w:w="1952"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计算题</w:t>
            </w:r>
          </w:p>
        </w:tc>
        <w:tc>
          <w:tcPr>
            <w:tcW w:w="1005"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1</w:t>
            </w:r>
            <w:r>
              <w:rPr>
                <w:rFonts w:ascii="Times New Roman" w:hAnsi="Times New Roman" w:hint="eastAsia"/>
                <w:bCs/>
                <w:sz w:val="28"/>
                <w:szCs w:val="28"/>
              </w:rPr>
              <w:t>）</w:t>
            </w:r>
          </w:p>
        </w:tc>
      </w:tr>
      <w:tr w:rsidR="00CF1222" w:rsidTr="00CF1222">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p>
        </w:tc>
        <w:tc>
          <w:tcPr>
            <w:tcW w:w="2795" w:type="pct"/>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随堂测验：概念与原理题</w:t>
            </w:r>
          </w:p>
        </w:tc>
        <w:tc>
          <w:tcPr>
            <w:tcW w:w="1005"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1</w:t>
            </w:r>
            <w:r>
              <w:rPr>
                <w:rFonts w:ascii="Times New Roman" w:hAnsi="Times New Roman" w:hint="eastAsia"/>
                <w:bCs/>
                <w:sz w:val="28"/>
                <w:szCs w:val="28"/>
              </w:rPr>
              <w:t>）（</w:t>
            </w:r>
            <w:r>
              <w:rPr>
                <w:rFonts w:ascii="Times New Roman" w:hAnsi="Times New Roman" w:hint="eastAsia"/>
                <w:bCs/>
                <w:sz w:val="28"/>
                <w:szCs w:val="28"/>
              </w:rPr>
              <w:t>2</w:t>
            </w:r>
            <w:r>
              <w:rPr>
                <w:rFonts w:ascii="Times New Roman" w:hAnsi="Times New Roman" w:hint="eastAsia"/>
                <w:bCs/>
                <w:sz w:val="28"/>
                <w:szCs w:val="28"/>
              </w:rPr>
              <w:t>）（</w:t>
            </w:r>
            <w:r>
              <w:rPr>
                <w:rFonts w:ascii="Times New Roman" w:hAnsi="Times New Roman" w:hint="eastAsia"/>
                <w:bCs/>
                <w:sz w:val="28"/>
                <w:szCs w:val="28"/>
              </w:rPr>
              <w:t>3</w:t>
            </w:r>
            <w:r>
              <w:rPr>
                <w:rFonts w:ascii="Times New Roman" w:hAnsi="Times New Roman" w:hint="eastAsia"/>
                <w:bCs/>
                <w:sz w:val="28"/>
                <w:szCs w:val="28"/>
              </w:rPr>
              <w:t>）</w:t>
            </w:r>
          </w:p>
        </w:tc>
      </w:tr>
      <w:tr w:rsidR="00CF1222" w:rsidTr="00CF1222">
        <w:trPr>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期终考试</w:t>
            </w:r>
          </w:p>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80%</w:t>
            </w:r>
            <w:r>
              <w:rPr>
                <w:rFonts w:ascii="Times New Roman" w:hAnsi="Times New Roman" w:hint="eastAsia"/>
                <w:bCs/>
                <w:sz w:val="28"/>
                <w:szCs w:val="28"/>
              </w:rPr>
              <w:t>）</w:t>
            </w:r>
          </w:p>
        </w:tc>
        <w:tc>
          <w:tcPr>
            <w:tcW w:w="2795" w:type="pct"/>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概念与原理题</w:t>
            </w:r>
          </w:p>
        </w:tc>
        <w:tc>
          <w:tcPr>
            <w:tcW w:w="1005"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1</w:t>
            </w:r>
            <w:r>
              <w:rPr>
                <w:rFonts w:ascii="Times New Roman" w:hAnsi="Times New Roman" w:hint="eastAsia"/>
                <w:bCs/>
                <w:sz w:val="28"/>
                <w:szCs w:val="28"/>
              </w:rPr>
              <w:t>）（</w:t>
            </w:r>
            <w:r>
              <w:rPr>
                <w:rFonts w:ascii="Times New Roman" w:hAnsi="Times New Roman" w:hint="eastAsia"/>
                <w:bCs/>
                <w:sz w:val="28"/>
                <w:szCs w:val="28"/>
              </w:rPr>
              <w:t>2</w:t>
            </w:r>
            <w:r>
              <w:rPr>
                <w:rFonts w:ascii="Times New Roman" w:hAnsi="Times New Roman" w:hint="eastAsia"/>
                <w:bCs/>
                <w:sz w:val="28"/>
                <w:szCs w:val="28"/>
              </w:rPr>
              <w:t>）</w:t>
            </w:r>
          </w:p>
        </w:tc>
      </w:tr>
      <w:tr w:rsidR="00CF1222" w:rsidTr="00CF1222">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p>
        </w:tc>
        <w:tc>
          <w:tcPr>
            <w:tcW w:w="2795" w:type="pct"/>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计算题</w:t>
            </w:r>
          </w:p>
        </w:tc>
        <w:tc>
          <w:tcPr>
            <w:tcW w:w="1005"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560" w:lineRule="exact"/>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1</w:t>
            </w:r>
            <w:r>
              <w:rPr>
                <w:rFonts w:ascii="Times New Roman" w:hAnsi="Times New Roman" w:hint="eastAsia"/>
                <w:bCs/>
                <w:sz w:val="28"/>
                <w:szCs w:val="28"/>
              </w:rPr>
              <w:t>）（</w:t>
            </w:r>
            <w:r>
              <w:rPr>
                <w:rFonts w:ascii="Times New Roman" w:hAnsi="Times New Roman" w:hint="eastAsia"/>
                <w:bCs/>
                <w:sz w:val="28"/>
                <w:szCs w:val="28"/>
              </w:rPr>
              <w:t>2</w:t>
            </w:r>
            <w:r>
              <w:rPr>
                <w:rFonts w:ascii="Times New Roman" w:hAnsi="Times New Roman" w:hint="eastAsia"/>
                <w:bCs/>
                <w:sz w:val="28"/>
                <w:szCs w:val="28"/>
              </w:rPr>
              <w:t>）</w:t>
            </w:r>
          </w:p>
        </w:tc>
      </w:tr>
    </w:tbl>
    <w:p w:rsidR="00CF1222" w:rsidRDefault="00CF1222" w:rsidP="00CF1222">
      <w:pPr>
        <w:snapToGrid w:val="0"/>
        <w:spacing w:line="360" w:lineRule="auto"/>
        <w:rPr>
          <w:rFonts w:ascii="Times New Roman" w:hAnsi="Times New Roman"/>
          <w:sz w:val="28"/>
          <w:szCs w:val="28"/>
        </w:rPr>
      </w:pPr>
      <w:r>
        <w:rPr>
          <w:rFonts w:ascii="Times New Roman" w:hAnsi="Times New Roman" w:hint="eastAsia"/>
          <w:sz w:val="28"/>
          <w:szCs w:val="28"/>
        </w:rPr>
        <w:t>2</w:t>
      </w:r>
      <w:r>
        <w:rPr>
          <w:rFonts w:ascii="Times New Roman" w:hAnsi="Times New Roman" w:hint="eastAsia"/>
          <w:sz w:val="28"/>
          <w:szCs w:val="28"/>
        </w:rPr>
        <w:t>、课程目标达成度自评方式</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据学院教学管理规定，在开展课程达成度评价前，课程评价审</w:t>
      </w:r>
      <w:r>
        <w:rPr>
          <w:rFonts w:ascii="Times New Roman" w:hAnsi="Times New Roman"/>
          <w:sz w:val="28"/>
          <w:szCs w:val="28"/>
        </w:rPr>
        <w:lastRenderedPageBreak/>
        <w:t>核小组对课程的评价依据合理性进行确认，包括平时作业、实验、期终考试等考核环节。课程结束后，课程小组需要对课程进行达成度评价，课程小组由课程负责人和任课教师组成，统计课程考核数据，并填写</w:t>
      </w:r>
      <w:r>
        <w:rPr>
          <w:rFonts w:ascii="Times New Roman" w:hAnsi="Times New Roman"/>
          <w:sz w:val="28"/>
          <w:szCs w:val="28"/>
        </w:rPr>
        <w:t>“</w:t>
      </w:r>
      <w:r>
        <w:rPr>
          <w:rFonts w:ascii="Times New Roman" w:hAnsi="Times New Roman" w:hint="eastAsia"/>
          <w:sz w:val="28"/>
          <w:szCs w:val="28"/>
        </w:rPr>
        <w:t>工程结构抗震</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报告，以便及时了解课程的达成效果，发现问题并进行持续改进，同时也为毕业要求达成度的评价提供基础数据。</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根据课程的考核形式，全部或抽样部分考核资料（应以当年修读该课程的学生为总体，至少抽取</w:t>
      </w:r>
      <w:r>
        <w:rPr>
          <w:rFonts w:ascii="Times New Roman" w:hAnsi="Times New Roman"/>
          <w:sz w:val="28"/>
          <w:szCs w:val="28"/>
        </w:rPr>
        <w:t>90%</w:t>
      </w:r>
      <w:r>
        <w:rPr>
          <w:rFonts w:ascii="Times New Roman" w:hAnsi="Times New Roman"/>
          <w:sz w:val="28"/>
          <w:szCs w:val="28"/>
        </w:rPr>
        <w:t>以上的学生样本），抽样时需覆盖优、良、中、及格和不及格等考核等级的考核资料。课程达成度的具体评价方法，详见</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工程结构抗震</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报告。课程小组提交课程达成度评价数据后，课程评价审核小组对评价数据的合理性和有效性进行审核</w:t>
      </w:r>
      <w:r>
        <w:rPr>
          <w:rFonts w:ascii="Times New Roman" w:hAnsi="Times New Roman" w:hint="eastAsia"/>
          <w:sz w:val="28"/>
          <w:szCs w:val="28"/>
        </w:rPr>
        <w:t>。</w:t>
      </w:r>
    </w:p>
    <w:p w:rsidR="00CF1222" w:rsidRDefault="00CF1222" w:rsidP="00CF1222">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七、教学进程（详见授课日历）</w:t>
      </w:r>
    </w:p>
    <w:p w:rsidR="00CF1222" w:rsidRDefault="00CF1222" w:rsidP="00CF1222">
      <w:pPr>
        <w:spacing w:line="500" w:lineRule="exact"/>
        <w:rPr>
          <w:sz w:val="24"/>
          <w:szCs w:val="24"/>
        </w:rPr>
      </w:pPr>
      <w:r>
        <w:rPr>
          <w:rFonts w:ascii="Times New Roman" w:hAnsi="Times New Roman" w:hint="eastAsia"/>
          <w:sz w:val="28"/>
          <w:szCs w:val="28"/>
        </w:rPr>
        <w:t>1</w:t>
      </w:r>
      <w:r>
        <w:rPr>
          <w:rFonts w:ascii="Times New Roman" w:hAnsi="Times New Roman" w:hint="eastAsia"/>
          <w:sz w:val="28"/>
          <w:szCs w:val="28"/>
        </w:rPr>
        <w:t>、学时分配表</w:t>
      </w:r>
      <w:r>
        <w:rPr>
          <w:rFonts w:ascii="Times New Roman" w:hAnsi="Times New Roman" w:hint="eastAsia"/>
          <w:sz w:val="28"/>
          <w:szCs w:val="28"/>
        </w:rPr>
        <w:t xml:space="preserve"> </w:t>
      </w:r>
      <w:r>
        <w:rPr>
          <w:rFonts w:hint="eastAsia"/>
          <w:sz w:val="24"/>
          <w:szCs w:val="24"/>
        </w:rPr>
        <w:t xml:space="preserve"> </w:t>
      </w:r>
    </w:p>
    <w:tbl>
      <w:tblPr>
        <w:tblW w:w="8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3194"/>
        <w:gridCol w:w="962"/>
        <w:gridCol w:w="962"/>
        <w:gridCol w:w="962"/>
        <w:gridCol w:w="963"/>
        <w:gridCol w:w="1148"/>
      </w:tblGrid>
      <w:tr w:rsidR="00CF1222" w:rsidTr="00CF1222">
        <w:trPr>
          <w:cantSplit/>
          <w:trHeight w:val="159"/>
        </w:trPr>
        <w:tc>
          <w:tcPr>
            <w:tcW w:w="3528" w:type="dxa"/>
            <w:gridSpan w:val="2"/>
            <w:vMerge w:val="restart"/>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课程内容</w:t>
            </w:r>
          </w:p>
        </w:tc>
        <w:tc>
          <w:tcPr>
            <w:tcW w:w="3865" w:type="dxa"/>
            <w:gridSpan w:val="4"/>
            <w:vAlign w:val="center"/>
          </w:tcPr>
          <w:p w:rsidR="00CF1222" w:rsidRDefault="00CF1222" w:rsidP="00CF1222">
            <w:pPr>
              <w:spacing w:line="500" w:lineRule="exact"/>
              <w:ind w:firstLineChars="300" w:firstLine="840"/>
              <w:rPr>
                <w:rFonts w:ascii="Times New Roman" w:hAnsi="Times New Roman"/>
                <w:sz w:val="28"/>
                <w:szCs w:val="28"/>
              </w:rPr>
            </w:pPr>
            <w:r>
              <w:rPr>
                <w:rFonts w:ascii="Times New Roman" w:hAnsi="Times New Roman" w:hint="eastAsia"/>
                <w:sz w:val="28"/>
                <w:szCs w:val="28"/>
              </w:rPr>
              <w:t>学</w:t>
            </w:r>
            <w:r>
              <w:rPr>
                <w:rFonts w:ascii="Times New Roman" w:hAnsi="Times New Roman" w:hint="eastAsia"/>
                <w:sz w:val="28"/>
                <w:szCs w:val="28"/>
              </w:rPr>
              <w:t xml:space="preserve">    </w:t>
            </w:r>
            <w:r>
              <w:rPr>
                <w:rFonts w:ascii="Times New Roman" w:hAnsi="Times New Roman" w:hint="eastAsia"/>
                <w:sz w:val="28"/>
                <w:szCs w:val="28"/>
              </w:rPr>
              <w:t>时</w:t>
            </w:r>
            <w:r>
              <w:rPr>
                <w:rFonts w:ascii="Times New Roman" w:hAnsi="Times New Roman" w:hint="eastAsia"/>
                <w:sz w:val="28"/>
                <w:szCs w:val="28"/>
              </w:rPr>
              <w:t xml:space="preserve">    </w:t>
            </w:r>
            <w:r>
              <w:rPr>
                <w:rFonts w:ascii="Times New Roman" w:hAnsi="Times New Roman" w:hint="eastAsia"/>
                <w:sz w:val="28"/>
                <w:szCs w:val="28"/>
              </w:rPr>
              <w:t>数</w:t>
            </w:r>
          </w:p>
        </w:tc>
        <w:tc>
          <w:tcPr>
            <w:tcW w:w="1154" w:type="dxa"/>
            <w:vMerge w:val="restart"/>
            <w:vAlign w:val="center"/>
          </w:tcPr>
          <w:p w:rsidR="00CF1222" w:rsidRDefault="00CF1222" w:rsidP="00CF1222">
            <w:pPr>
              <w:spacing w:line="300" w:lineRule="auto"/>
              <w:jc w:val="center"/>
              <w:rPr>
                <w:rFonts w:ascii="宋体" w:hAnsi="宋体"/>
                <w:szCs w:val="21"/>
              </w:rPr>
            </w:pPr>
            <w:r>
              <w:rPr>
                <w:rFonts w:ascii="Times New Roman" w:hAnsi="Times New Roman" w:hint="eastAsia"/>
                <w:sz w:val="28"/>
                <w:szCs w:val="28"/>
              </w:rPr>
              <w:t>备注</w:t>
            </w:r>
          </w:p>
        </w:tc>
      </w:tr>
      <w:tr w:rsidR="00CF1222" w:rsidTr="00CF1222">
        <w:trPr>
          <w:cantSplit/>
          <w:trHeight w:val="159"/>
        </w:trPr>
        <w:tc>
          <w:tcPr>
            <w:tcW w:w="3528" w:type="dxa"/>
            <w:gridSpan w:val="2"/>
            <w:vMerge/>
            <w:vAlign w:val="center"/>
          </w:tcPr>
          <w:p w:rsidR="00CF1222" w:rsidRDefault="00CF1222" w:rsidP="00CF1222">
            <w:pPr>
              <w:spacing w:line="500" w:lineRule="exact"/>
              <w:rPr>
                <w:rFonts w:ascii="Times New Roman" w:hAnsi="Times New Roman"/>
                <w:sz w:val="28"/>
                <w:szCs w:val="28"/>
              </w:rPr>
            </w:pPr>
          </w:p>
        </w:tc>
        <w:tc>
          <w:tcPr>
            <w:tcW w:w="966"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总学时</w:t>
            </w:r>
          </w:p>
        </w:tc>
        <w:tc>
          <w:tcPr>
            <w:tcW w:w="966"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讲授</w:t>
            </w:r>
          </w:p>
        </w:tc>
        <w:tc>
          <w:tcPr>
            <w:tcW w:w="966"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实验</w:t>
            </w:r>
          </w:p>
        </w:tc>
        <w:tc>
          <w:tcPr>
            <w:tcW w:w="967"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上机</w:t>
            </w:r>
          </w:p>
        </w:tc>
        <w:tc>
          <w:tcPr>
            <w:tcW w:w="1154" w:type="dxa"/>
            <w:vMerge/>
            <w:vAlign w:val="center"/>
          </w:tcPr>
          <w:p w:rsidR="00CF1222" w:rsidRDefault="00CF1222" w:rsidP="00CF1222">
            <w:pPr>
              <w:spacing w:line="300" w:lineRule="auto"/>
              <w:jc w:val="center"/>
              <w:rPr>
                <w:rFonts w:ascii="宋体" w:hAnsi="宋体"/>
                <w:szCs w:val="21"/>
              </w:rPr>
            </w:pPr>
          </w:p>
        </w:tc>
      </w:tr>
      <w:tr w:rsidR="00CF1222" w:rsidTr="00CF1222">
        <w:trPr>
          <w:trHeight w:val="435"/>
        </w:trPr>
        <w:tc>
          <w:tcPr>
            <w:tcW w:w="321"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1</w:t>
            </w:r>
          </w:p>
        </w:tc>
        <w:tc>
          <w:tcPr>
            <w:tcW w:w="3207"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绪论、结构概念设计</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4</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4</w:t>
            </w:r>
          </w:p>
        </w:tc>
        <w:tc>
          <w:tcPr>
            <w:tcW w:w="966" w:type="dxa"/>
          </w:tcPr>
          <w:p w:rsidR="00CF1222" w:rsidRDefault="00CF1222" w:rsidP="00CF1222">
            <w:pPr>
              <w:spacing w:line="500" w:lineRule="exact"/>
              <w:rPr>
                <w:rFonts w:ascii="Times New Roman" w:hAnsi="Times New Roman"/>
                <w:sz w:val="28"/>
                <w:szCs w:val="28"/>
              </w:rPr>
            </w:pPr>
          </w:p>
        </w:tc>
        <w:tc>
          <w:tcPr>
            <w:tcW w:w="967" w:type="dxa"/>
          </w:tcPr>
          <w:p w:rsidR="00CF1222" w:rsidRDefault="00CF1222" w:rsidP="00CF1222">
            <w:pPr>
              <w:spacing w:line="500" w:lineRule="exact"/>
              <w:rPr>
                <w:rFonts w:ascii="Times New Roman" w:hAnsi="Times New Roman"/>
                <w:sz w:val="28"/>
                <w:szCs w:val="28"/>
              </w:rPr>
            </w:pPr>
          </w:p>
        </w:tc>
        <w:tc>
          <w:tcPr>
            <w:tcW w:w="1154" w:type="dxa"/>
          </w:tcPr>
          <w:p w:rsidR="00CF1222" w:rsidRDefault="00CF1222" w:rsidP="00CF1222">
            <w:pPr>
              <w:spacing w:line="300" w:lineRule="auto"/>
              <w:jc w:val="center"/>
              <w:rPr>
                <w:rFonts w:ascii="宋体" w:hAnsi="宋体"/>
                <w:szCs w:val="21"/>
              </w:rPr>
            </w:pPr>
          </w:p>
        </w:tc>
      </w:tr>
      <w:tr w:rsidR="00CF1222" w:rsidTr="00CF1222">
        <w:trPr>
          <w:trHeight w:val="251"/>
        </w:trPr>
        <w:tc>
          <w:tcPr>
            <w:tcW w:w="321"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2</w:t>
            </w:r>
          </w:p>
        </w:tc>
        <w:tc>
          <w:tcPr>
            <w:tcW w:w="3207"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场地、地基和基础</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2</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2</w:t>
            </w:r>
          </w:p>
        </w:tc>
        <w:tc>
          <w:tcPr>
            <w:tcW w:w="966" w:type="dxa"/>
          </w:tcPr>
          <w:p w:rsidR="00CF1222" w:rsidRDefault="00CF1222" w:rsidP="00CF1222">
            <w:pPr>
              <w:spacing w:line="500" w:lineRule="exact"/>
              <w:rPr>
                <w:rFonts w:ascii="Times New Roman" w:hAnsi="Times New Roman"/>
                <w:sz w:val="28"/>
                <w:szCs w:val="28"/>
              </w:rPr>
            </w:pPr>
          </w:p>
        </w:tc>
        <w:tc>
          <w:tcPr>
            <w:tcW w:w="967" w:type="dxa"/>
          </w:tcPr>
          <w:p w:rsidR="00CF1222" w:rsidRDefault="00CF1222" w:rsidP="00CF1222">
            <w:pPr>
              <w:spacing w:line="500" w:lineRule="exact"/>
              <w:rPr>
                <w:rFonts w:ascii="Times New Roman" w:hAnsi="Times New Roman"/>
                <w:sz w:val="28"/>
                <w:szCs w:val="28"/>
              </w:rPr>
            </w:pPr>
          </w:p>
        </w:tc>
        <w:tc>
          <w:tcPr>
            <w:tcW w:w="1154" w:type="dxa"/>
          </w:tcPr>
          <w:p w:rsidR="00CF1222" w:rsidRDefault="00CF1222" w:rsidP="00CF1222">
            <w:pPr>
              <w:spacing w:line="300" w:lineRule="auto"/>
              <w:jc w:val="center"/>
              <w:rPr>
                <w:rFonts w:ascii="宋体" w:hAnsi="宋体"/>
                <w:szCs w:val="21"/>
              </w:rPr>
            </w:pPr>
          </w:p>
        </w:tc>
      </w:tr>
      <w:tr w:rsidR="00CF1222" w:rsidTr="00CF1222">
        <w:trPr>
          <w:trHeight w:val="251"/>
        </w:trPr>
        <w:tc>
          <w:tcPr>
            <w:tcW w:w="321"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3</w:t>
            </w:r>
          </w:p>
        </w:tc>
        <w:tc>
          <w:tcPr>
            <w:tcW w:w="3207"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结构地震反应分析和抗震验算</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10</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10</w:t>
            </w:r>
          </w:p>
        </w:tc>
        <w:tc>
          <w:tcPr>
            <w:tcW w:w="966" w:type="dxa"/>
          </w:tcPr>
          <w:p w:rsidR="00CF1222" w:rsidRDefault="00CF1222" w:rsidP="00CF1222">
            <w:pPr>
              <w:spacing w:line="500" w:lineRule="exact"/>
              <w:rPr>
                <w:rFonts w:ascii="Times New Roman" w:hAnsi="Times New Roman"/>
                <w:sz w:val="28"/>
                <w:szCs w:val="28"/>
              </w:rPr>
            </w:pPr>
          </w:p>
        </w:tc>
        <w:tc>
          <w:tcPr>
            <w:tcW w:w="967" w:type="dxa"/>
          </w:tcPr>
          <w:p w:rsidR="00CF1222" w:rsidRDefault="00CF1222" w:rsidP="00CF1222">
            <w:pPr>
              <w:spacing w:line="500" w:lineRule="exact"/>
              <w:rPr>
                <w:rFonts w:ascii="Times New Roman" w:hAnsi="Times New Roman"/>
                <w:sz w:val="28"/>
                <w:szCs w:val="28"/>
              </w:rPr>
            </w:pPr>
          </w:p>
        </w:tc>
        <w:tc>
          <w:tcPr>
            <w:tcW w:w="1154" w:type="dxa"/>
          </w:tcPr>
          <w:p w:rsidR="00CF1222" w:rsidRDefault="00CF1222" w:rsidP="00CF1222">
            <w:pPr>
              <w:spacing w:line="300" w:lineRule="auto"/>
              <w:jc w:val="center"/>
              <w:rPr>
                <w:rFonts w:ascii="宋体" w:hAnsi="宋体"/>
                <w:szCs w:val="21"/>
              </w:rPr>
            </w:pPr>
          </w:p>
        </w:tc>
      </w:tr>
      <w:tr w:rsidR="00CF1222" w:rsidTr="00CF1222">
        <w:trPr>
          <w:trHeight w:val="251"/>
        </w:trPr>
        <w:tc>
          <w:tcPr>
            <w:tcW w:w="321"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4</w:t>
            </w:r>
          </w:p>
        </w:tc>
        <w:tc>
          <w:tcPr>
            <w:tcW w:w="3207"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多层砌体结构抗震设计</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4</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4</w:t>
            </w:r>
          </w:p>
        </w:tc>
        <w:tc>
          <w:tcPr>
            <w:tcW w:w="966" w:type="dxa"/>
          </w:tcPr>
          <w:p w:rsidR="00CF1222" w:rsidRDefault="00CF1222" w:rsidP="00CF1222">
            <w:pPr>
              <w:spacing w:line="500" w:lineRule="exact"/>
              <w:rPr>
                <w:rFonts w:ascii="Times New Roman" w:hAnsi="Times New Roman"/>
                <w:sz w:val="28"/>
                <w:szCs w:val="28"/>
              </w:rPr>
            </w:pPr>
          </w:p>
        </w:tc>
        <w:tc>
          <w:tcPr>
            <w:tcW w:w="967" w:type="dxa"/>
          </w:tcPr>
          <w:p w:rsidR="00CF1222" w:rsidRDefault="00CF1222" w:rsidP="00CF1222">
            <w:pPr>
              <w:spacing w:line="500" w:lineRule="exact"/>
              <w:rPr>
                <w:rFonts w:ascii="Times New Roman" w:hAnsi="Times New Roman"/>
                <w:sz w:val="28"/>
                <w:szCs w:val="28"/>
              </w:rPr>
            </w:pPr>
          </w:p>
        </w:tc>
        <w:tc>
          <w:tcPr>
            <w:tcW w:w="1154" w:type="dxa"/>
          </w:tcPr>
          <w:p w:rsidR="00CF1222" w:rsidRDefault="00CF1222" w:rsidP="00CF1222">
            <w:pPr>
              <w:spacing w:line="300" w:lineRule="auto"/>
              <w:jc w:val="center"/>
              <w:rPr>
                <w:rFonts w:ascii="宋体" w:hAnsi="宋体"/>
                <w:szCs w:val="21"/>
              </w:rPr>
            </w:pPr>
          </w:p>
        </w:tc>
      </w:tr>
      <w:tr w:rsidR="00CF1222" w:rsidTr="00CF1222">
        <w:trPr>
          <w:trHeight w:val="401"/>
        </w:trPr>
        <w:tc>
          <w:tcPr>
            <w:tcW w:w="321"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5</w:t>
            </w:r>
          </w:p>
        </w:tc>
        <w:tc>
          <w:tcPr>
            <w:tcW w:w="3207"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多高层钢筋混凝土房屋抗震设计</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6</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6</w:t>
            </w:r>
          </w:p>
        </w:tc>
        <w:tc>
          <w:tcPr>
            <w:tcW w:w="966" w:type="dxa"/>
          </w:tcPr>
          <w:p w:rsidR="00CF1222" w:rsidRDefault="00CF1222" w:rsidP="00CF1222">
            <w:pPr>
              <w:spacing w:line="500" w:lineRule="exact"/>
              <w:rPr>
                <w:rFonts w:ascii="Times New Roman" w:hAnsi="Times New Roman"/>
                <w:sz w:val="28"/>
                <w:szCs w:val="28"/>
              </w:rPr>
            </w:pPr>
          </w:p>
        </w:tc>
        <w:tc>
          <w:tcPr>
            <w:tcW w:w="967" w:type="dxa"/>
          </w:tcPr>
          <w:p w:rsidR="00CF1222" w:rsidRDefault="00CF1222" w:rsidP="00CF1222">
            <w:pPr>
              <w:spacing w:line="500" w:lineRule="exact"/>
              <w:rPr>
                <w:rFonts w:ascii="Times New Roman" w:hAnsi="Times New Roman"/>
                <w:sz w:val="28"/>
                <w:szCs w:val="28"/>
              </w:rPr>
            </w:pPr>
          </w:p>
        </w:tc>
        <w:tc>
          <w:tcPr>
            <w:tcW w:w="1154" w:type="dxa"/>
          </w:tcPr>
          <w:p w:rsidR="00CF1222" w:rsidRDefault="00CF1222" w:rsidP="00CF1222">
            <w:pPr>
              <w:spacing w:line="300" w:lineRule="auto"/>
              <w:jc w:val="center"/>
              <w:rPr>
                <w:rFonts w:ascii="宋体" w:hAnsi="宋体"/>
                <w:szCs w:val="21"/>
              </w:rPr>
            </w:pPr>
          </w:p>
        </w:tc>
      </w:tr>
      <w:tr w:rsidR="00CF1222" w:rsidTr="00CF1222">
        <w:trPr>
          <w:trHeight w:val="235"/>
        </w:trPr>
        <w:tc>
          <w:tcPr>
            <w:tcW w:w="321"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lastRenderedPageBreak/>
              <w:t>6</w:t>
            </w:r>
          </w:p>
        </w:tc>
        <w:tc>
          <w:tcPr>
            <w:tcW w:w="3207"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隔震、减震初步</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4</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4</w:t>
            </w:r>
          </w:p>
        </w:tc>
        <w:tc>
          <w:tcPr>
            <w:tcW w:w="966" w:type="dxa"/>
          </w:tcPr>
          <w:p w:rsidR="00CF1222" w:rsidRDefault="00CF1222" w:rsidP="00CF1222">
            <w:pPr>
              <w:spacing w:line="500" w:lineRule="exact"/>
              <w:rPr>
                <w:rFonts w:ascii="Times New Roman" w:hAnsi="Times New Roman"/>
                <w:sz w:val="28"/>
                <w:szCs w:val="28"/>
              </w:rPr>
            </w:pPr>
          </w:p>
        </w:tc>
        <w:tc>
          <w:tcPr>
            <w:tcW w:w="967" w:type="dxa"/>
          </w:tcPr>
          <w:p w:rsidR="00CF1222" w:rsidRDefault="00CF1222" w:rsidP="00CF1222">
            <w:pPr>
              <w:spacing w:line="500" w:lineRule="exact"/>
              <w:rPr>
                <w:rFonts w:ascii="Times New Roman" w:hAnsi="Times New Roman"/>
                <w:sz w:val="28"/>
                <w:szCs w:val="28"/>
              </w:rPr>
            </w:pPr>
          </w:p>
        </w:tc>
        <w:tc>
          <w:tcPr>
            <w:tcW w:w="1154" w:type="dxa"/>
          </w:tcPr>
          <w:p w:rsidR="00CF1222" w:rsidRDefault="00CF1222" w:rsidP="00CF1222">
            <w:pPr>
              <w:spacing w:line="300" w:lineRule="auto"/>
              <w:jc w:val="center"/>
              <w:rPr>
                <w:rFonts w:ascii="宋体" w:hAnsi="宋体"/>
                <w:szCs w:val="21"/>
              </w:rPr>
            </w:pPr>
          </w:p>
        </w:tc>
      </w:tr>
      <w:tr w:rsidR="00CF1222" w:rsidTr="00CF1222">
        <w:trPr>
          <w:trHeight w:val="235"/>
        </w:trPr>
        <w:tc>
          <w:tcPr>
            <w:tcW w:w="321" w:type="dxa"/>
            <w:vAlign w:val="center"/>
          </w:tcPr>
          <w:p w:rsidR="00CF1222" w:rsidRDefault="00CF1222" w:rsidP="00CF1222">
            <w:pPr>
              <w:spacing w:line="500" w:lineRule="exact"/>
              <w:rPr>
                <w:rFonts w:ascii="Times New Roman" w:hAnsi="Times New Roman"/>
                <w:sz w:val="28"/>
                <w:szCs w:val="28"/>
              </w:rPr>
            </w:pPr>
          </w:p>
        </w:tc>
        <w:tc>
          <w:tcPr>
            <w:tcW w:w="3207" w:type="dxa"/>
            <w:vAlign w:val="center"/>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复习</w:t>
            </w:r>
            <w:r>
              <w:rPr>
                <w:rFonts w:ascii="Times New Roman" w:hAnsi="Times New Roman" w:hint="eastAsia"/>
                <w:sz w:val="28"/>
                <w:szCs w:val="28"/>
              </w:rPr>
              <w:t>+</w:t>
            </w:r>
            <w:r>
              <w:rPr>
                <w:rFonts w:ascii="Times New Roman" w:hAnsi="Times New Roman" w:hint="eastAsia"/>
                <w:sz w:val="28"/>
                <w:szCs w:val="28"/>
              </w:rPr>
              <w:t>机动</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2</w:t>
            </w:r>
          </w:p>
        </w:tc>
        <w:tc>
          <w:tcPr>
            <w:tcW w:w="966" w:type="dxa"/>
          </w:tcPr>
          <w:p w:rsidR="00CF1222" w:rsidRDefault="00CF1222" w:rsidP="00CF1222">
            <w:pPr>
              <w:spacing w:line="500" w:lineRule="exact"/>
              <w:rPr>
                <w:rFonts w:ascii="Times New Roman" w:hAnsi="Times New Roman"/>
                <w:sz w:val="28"/>
                <w:szCs w:val="28"/>
              </w:rPr>
            </w:pPr>
          </w:p>
        </w:tc>
        <w:tc>
          <w:tcPr>
            <w:tcW w:w="966" w:type="dxa"/>
          </w:tcPr>
          <w:p w:rsidR="00CF1222" w:rsidRDefault="00CF1222" w:rsidP="00CF1222">
            <w:pPr>
              <w:spacing w:line="500" w:lineRule="exact"/>
              <w:rPr>
                <w:rFonts w:ascii="Times New Roman" w:hAnsi="Times New Roman"/>
                <w:sz w:val="28"/>
                <w:szCs w:val="28"/>
              </w:rPr>
            </w:pPr>
          </w:p>
        </w:tc>
        <w:tc>
          <w:tcPr>
            <w:tcW w:w="967" w:type="dxa"/>
          </w:tcPr>
          <w:p w:rsidR="00CF1222" w:rsidRDefault="00CF1222" w:rsidP="00CF1222">
            <w:pPr>
              <w:spacing w:line="500" w:lineRule="exact"/>
              <w:rPr>
                <w:rFonts w:ascii="Times New Roman" w:hAnsi="Times New Roman"/>
                <w:sz w:val="28"/>
                <w:szCs w:val="28"/>
              </w:rPr>
            </w:pPr>
          </w:p>
        </w:tc>
        <w:tc>
          <w:tcPr>
            <w:tcW w:w="1154" w:type="dxa"/>
          </w:tcPr>
          <w:p w:rsidR="00CF1222" w:rsidRDefault="00CF1222" w:rsidP="00CF1222">
            <w:pPr>
              <w:spacing w:line="300" w:lineRule="auto"/>
              <w:jc w:val="center"/>
              <w:rPr>
                <w:rFonts w:ascii="宋体" w:hAnsi="宋体"/>
                <w:szCs w:val="21"/>
              </w:rPr>
            </w:pPr>
          </w:p>
        </w:tc>
      </w:tr>
      <w:tr w:rsidR="00CF1222" w:rsidTr="00CF1222">
        <w:trPr>
          <w:cantSplit/>
          <w:trHeight w:val="234"/>
        </w:trPr>
        <w:tc>
          <w:tcPr>
            <w:tcW w:w="3528" w:type="dxa"/>
            <w:gridSpan w:val="2"/>
            <w:vAlign w:val="center"/>
          </w:tcPr>
          <w:p w:rsidR="00CF1222" w:rsidRDefault="00CF1222" w:rsidP="00CF1222">
            <w:pPr>
              <w:spacing w:line="500" w:lineRule="exact"/>
              <w:ind w:firstLineChars="600" w:firstLine="1680"/>
              <w:rPr>
                <w:rFonts w:ascii="Times New Roman" w:hAnsi="Times New Roman"/>
                <w:sz w:val="28"/>
                <w:szCs w:val="28"/>
              </w:rPr>
            </w:pPr>
            <w:r>
              <w:rPr>
                <w:rFonts w:ascii="Times New Roman" w:hAnsi="Times New Roman" w:hint="eastAsia"/>
                <w:sz w:val="28"/>
                <w:szCs w:val="28"/>
              </w:rPr>
              <w:t>合</w:t>
            </w:r>
            <w:r>
              <w:rPr>
                <w:rFonts w:ascii="Times New Roman" w:hAnsi="Times New Roman" w:hint="eastAsia"/>
                <w:sz w:val="28"/>
                <w:szCs w:val="28"/>
              </w:rPr>
              <w:t xml:space="preserve"> </w:t>
            </w:r>
            <w:r>
              <w:rPr>
                <w:rFonts w:ascii="Times New Roman" w:hAnsi="Times New Roman" w:hint="eastAsia"/>
                <w:sz w:val="28"/>
                <w:szCs w:val="28"/>
              </w:rPr>
              <w:t>计</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32</w:t>
            </w:r>
          </w:p>
        </w:tc>
        <w:tc>
          <w:tcPr>
            <w:tcW w:w="966" w:type="dxa"/>
          </w:tcPr>
          <w:p w:rsidR="00CF1222" w:rsidRDefault="00CF1222" w:rsidP="00CF1222">
            <w:pPr>
              <w:spacing w:line="500" w:lineRule="exact"/>
              <w:rPr>
                <w:rFonts w:ascii="Times New Roman" w:hAnsi="Times New Roman"/>
                <w:sz w:val="28"/>
                <w:szCs w:val="28"/>
              </w:rPr>
            </w:pPr>
            <w:r>
              <w:rPr>
                <w:rFonts w:ascii="Times New Roman" w:hAnsi="Times New Roman" w:hint="eastAsia"/>
                <w:sz w:val="28"/>
                <w:szCs w:val="28"/>
              </w:rPr>
              <w:t>30</w:t>
            </w:r>
          </w:p>
        </w:tc>
        <w:tc>
          <w:tcPr>
            <w:tcW w:w="966" w:type="dxa"/>
          </w:tcPr>
          <w:p w:rsidR="00CF1222" w:rsidRDefault="00CF1222" w:rsidP="00CF1222">
            <w:pPr>
              <w:spacing w:line="500" w:lineRule="exact"/>
              <w:rPr>
                <w:rFonts w:ascii="Times New Roman" w:hAnsi="Times New Roman"/>
                <w:sz w:val="28"/>
                <w:szCs w:val="28"/>
              </w:rPr>
            </w:pPr>
          </w:p>
        </w:tc>
        <w:tc>
          <w:tcPr>
            <w:tcW w:w="967" w:type="dxa"/>
          </w:tcPr>
          <w:p w:rsidR="00CF1222" w:rsidRDefault="00CF1222" w:rsidP="00CF1222">
            <w:pPr>
              <w:spacing w:line="500" w:lineRule="exact"/>
              <w:rPr>
                <w:rFonts w:ascii="Times New Roman" w:hAnsi="Times New Roman"/>
                <w:sz w:val="28"/>
                <w:szCs w:val="28"/>
              </w:rPr>
            </w:pPr>
          </w:p>
        </w:tc>
        <w:tc>
          <w:tcPr>
            <w:tcW w:w="1154" w:type="dxa"/>
          </w:tcPr>
          <w:p w:rsidR="00CF1222" w:rsidRDefault="00CF1222" w:rsidP="00CF1222">
            <w:pPr>
              <w:spacing w:line="300" w:lineRule="auto"/>
              <w:jc w:val="center"/>
              <w:rPr>
                <w:rFonts w:ascii="宋体" w:hAnsi="宋体"/>
                <w:szCs w:val="21"/>
              </w:rPr>
            </w:pPr>
          </w:p>
        </w:tc>
      </w:tr>
    </w:tbl>
    <w:p w:rsidR="00CF1222" w:rsidRDefault="00CF1222" w:rsidP="00CF1222">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八、教材及参考书</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《建筑结构抗震设计》．刘伯权，吴涛编著．机械工业出版社．</w:t>
      </w:r>
      <w:r>
        <w:rPr>
          <w:rFonts w:ascii="Times New Roman" w:hAnsi="Times New Roman" w:hint="eastAsia"/>
          <w:sz w:val="28"/>
          <w:szCs w:val="28"/>
        </w:rPr>
        <w:t>2011.</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《建筑结构抗震设计》（第四版）．李国强</w:t>
      </w:r>
      <w:r>
        <w:rPr>
          <w:rFonts w:ascii="Times New Roman" w:hAnsi="Times New Roman" w:hint="eastAsia"/>
          <w:sz w:val="28"/>
          <w:szCs w:val="28"/>
        </w:rPr>
        <w:t xml:space="preserve"> </w:t>
      </w:r>
      <w:r>
        <w:rPr>
          <w:rFonts w:ascii="Times New Roman" w:hAnsi="Times New Roman" w:hint="eastAsia"/>
          <w:sz w:val="28"/>
          <w:szCs w:val="28"/>
        </w:rPr>
        <w:t>李杰</w:t>
      </w:r>
      <w:r>
        <w:rPr>
          <w:rFonts w:ascii="Times New Roman" w:hAnsi="Times New Roman" w:hint="eastAsia"/>
          <w:sz w:val="28"/>
          <w:szCs w:val="28"/>
        </w:rPr>
        <w:t xml:space="preserve"> </w:t>
      </w:r>
      <w:r>
        <w:rPr>
          <w:rFonts w:ascii="Times New Roman" w:hAnsi="Times New Roman" w:hint="eastAsia"/>
          <w:sz w:val="28"/>
          <w:szCs w:val="28"/>
        </w:rPr>
        <w:t>等编著．中国建筑工业出版社．</w:t>
      </w:r>
      <w:r>
        <w:rPr>
          <w:rFonts w:ascii="Times New Roman" w:hAnsi="Times New Roman" w:hint="eastAsia"/>
          <w:sz w:val="28"/>
          <w:szCs w:val="28"/>
        </w:rPr>
        <w:t>2014.</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《建筑抗震设计规范（</w:t>
      </w:r>
      <w:r>
        <w:rPr>
          <w:rFonts w:ascii="Times New Roman" w:hAnsi="Times New Roman" w:hint="eastAsia"/>
          <w:sz w:val="28"/>
          <w:szCs w:val="28"/>
        </w:rPr>
        <w:t>2016</w:t>
      </w:r>
      <w:r>
        <w:rPr>
          <w:rFonts w:ascii="Times New Roman" w:hAnsi="Times New Roman" w:hint="eastAsia"/>
          <w:sz w:val="28"/>
          <w:szCs w:val="28"/>
        </w:rPr>
        <w:t>年版）》（</w:t>
      </w:r>
      <w:r>
        <w:rPr>
          <w:rFonts w:ascii="Times New Roman" w:hAnsi="Times New Roman" w:hint="eastAsia"/>
          <w:sz w:val="28"/>
          <w:szCs w:val="28"/>
        </w:rPr>
        <w:t>GB50011-2010</w:t>
      </w:r>
      <w:r>
        <w:rPr>
          <w:rFonts w:ascii="Times New Roman" w:hAnsi="Times New Roman" w:hint="eastAsia"/>
          <w:sz w:val="28"/>
          <w:szCs w:val="28"/>
        </w:rPr>
        <w:t>），中国建筑工业出版社，</w:t>
      </w:r>
      <w:r>
        <w:rPr>
          <w:rFonts w:ascii="Times New Roman" w:hAnsi="Times New Roman" w:hint="eastAsia"/>
          <w:sz w:val="28"/>
          <w:szCs w:val="28"/>
        </w:rPr>
        <w:t>2016.5</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《岩土工程勘察规范（</w:t>
      </w:r>
      <w:r>
        <w:rPr>
          <w:rFonts w:ascii="Times New Roman" w:hAnsi="Times New Roman" w:hint="eastAsia"/>
          <w:sz w:val="28"/>
          <w:szCs w:val="28"/>
        </w:rPr>
        <w:t>2009</w:t>
      </w:r>
      <w:r>
        <w:rPr>
          <w:rFonts w:ascii="Times New Roman" w:hAnsi="Times New Roman" w:hint="eastAsia"/>
          <w:sz w:val="28"/>
          <w:szCs w:val="28"/>
        </w:rPr>
        <w:t>年版）》（</w:t>
      </w:r>
      <w:r>
        <w:rPr>
          <w:rFonts w:ascii="Times New Roman" w:hAnsi="Times New Roman" w:hint="eastAsia"/>
          <w:sz w:val="28"/>
          <w:szCs w:val="28"/>
        </w:rPr>
        <w:t>GB50021-2001</w:t>
      </w:r>
      <w:r>
        <w:rPr>
          <w:rFonts w:ascii="Times New Roman" w:hAnsi="Times New Roman" w:hint="eastAsia"/>
          <w:sz w:val="28"/>
          <w:szCs w:val="28"/>
        </w:rPr>
        <w:t>），中国建筑工业出版社，</w:t>
      </w:r>
      <w:r>
        <w:rPr>
          <w:rFonts w:ascii="Times New Roman" w:hAnsi="Times New Roman" w:hint="eastAsia"/>
          <w:sz w:val="28"/>
          <w:szCs w:val="28"/>
        </w:rPr>
        <w:t>2009.10</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《中国地震动参数区划图》（</w:t>
      </w:r>
      <w:r>
        <w:rPr>
          <w:rFonts w:ascii="Times New Roman" w:hAnsi="Times New Roman" w:hint="eastAsia"/>
          <w:sz w:val="28"/>
          <w:szCs w:val="28"/>
        </w:rPr>
        <w:t>GB18306-2015</w:t>
      </w:r>
      <w:r>
        <w:rPr>
          <w:rFonts w:ascii="Times New Roman" w:hAnsi="Times New Roman" w:hint="eastAsia"/>
          <w:sz w:val="28"/>
          <w:szCs w:val="28"/>
        </w:rPr>
        <w:t>），中国建筑工业出版社，</w:t>
      </w:r>
      <w:r>
        <w:rPr>
          <w:rFonts w:ascii="Times New Roman" w:hAnsi="Times New Roman" w:hint="eastAsia"/>
          <w:sz w:val="28"/>
          <w:szCs w:val="28"/>
        </w:rPr>
        <w:t>2015.5</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《建筑工程抗震设防分类标准》（</w:t>
      </w:r>
      <w:r>
        <w:rPr>
          <w:rFonts w:ascii="Times New Roman" w:hAnsi="Times New Roman" w:hint="eastAsia"/>
          <w:sz w:val="28"/>
          <w:szCs w:val="28"/>
        </w:rPr>
        <w:t>GB50223-2008</w:t>
      </w:r>
      <w:r>
        <w:rPr>
          <w:rFonts w:ascii="Times New Roman" w:hAnsi="Times New Roman" w:hint="eastAsia"/>
          <w:sz w:val="28"/>
          <w:szCs w:val="28"/>
        </w:rPr>
        <w:t>），中国建筑工业出版社，</w:t>
      </w:r>
      <w:r>
        <w:rPr>
          <w:rFonts w:ascii="Times New Roman" w:hAnsi="Times New Roman" w:hint="eastAsia"/>
          <w:sz w:val="28"/>
          <w:szCs w:val="28"/>
        </w:rPr>
        <w:t>2008.7</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Seismic design of buildings and bridges</w:t>
      </w:r>
      <w:r>
        <w:rPr>
          <w:rFonts w:ascii="Times New Roman" w:hAnsi="Times New Roman" w:hint="eastAsia"/>
          <w:sz w:val="28"/>
          <w:szCs w:val="28"/>
        </w:rPr>
        <w:t>，</w:t>
      </w:r>
      <w:r>
        <w:rPr>
          <w:rFonts w:ascii="Times New Roman" w:hAnsi="Times New Roman" w:hint="eastAsia"/>
          <w:sz w:val="28"/>
          <w:szCs w:val="28"/>
        </w:rPr>
        <w:t>Williams A</w:t>
      </w:r>
      <w:r>
        <w:rPr>
          <w:rFonts w:ascii="Times New Roman" w:hAnsi="Times New Roman" w:hint="eastAsia"/>
          <w:sz w:val="28"/>
          <w:szCs w:val="28"/>
        </w:rPr>
        <w:t>，</w:t>
      </w:r>
      <w:r>
        <w:rPr>
          <w:rFonts w:ascii="Times New Roman" w:hAnsi="Times New Roman" w:hint="eastAsia"/>
          <w:sz w:val="28"/>
          <w:szCs w:val="28"/>
        </w:rPr>
        <w:t>3rd edition</w:t>
      </w:r>
      <w:r>
        <w:rPr>
          <w:rFonts w:ascii="Times New Roman" w:hAnsi="Times New Roman" w:hint="eastAsia"/>
          <w:sz w:val="28"/>
          <w:szCs w:val="28"/>
        </w:rPr>
        <w:t>，</w:t>
      </w:r>
      <w:r>
        <w:rPr>
          <w:rFonts w:ascii="Times New Roman" w:hAnsi="Times New Roman" w:hint="eastAsia"/>
          <w:sz w:val="28"/>
          <w:szCs w:val="28"/>
        </w:rPr>
        <w:t>Engineering Press</w:t>
      </w:r>
      <w:r>
        <w:rPr>
          <w:rFonts w:ascii="Times New Roman" w:hAnsi="Times New Roman" w:hint="eastAsia"/>
          <w:sz w:val="28"/>
          <w:szCs w:val="28"/>
        </w:rPr>
        <w:t>，</w:t>
      </w:r>
      <w:r>
        <w:rPr>
          <w:rFonts w:ascii="Times New Roman" w:hAnsi="Times New Roman" w:hint="eastAsia"/>
          <w:sz w:val="28"/>
          <w:szCs w:val="28"/>
        </w:rPr>
        <w:t>2002</w:t>
      </w:r>
    </w:p>
    <w:p w:rsidR="00CF1222" w:rsidRDefault="00CF1222" w:rsidP="00CF1222">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九、执行大纲应注意的问题</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1</w:t>
      </w:r>
      <w:r>
        <w:rPr>
          <w:rFonts w:ascii="Times New Roman" w:hAnsi="Times New Roman" w:hint="eastAsia"/>
          <w:sz w:val="28"/>
          <w:szCs w:val="28"/>
        </w:rPr>
        <w:t>、教学中应注重基本知识、基本理论和基本方法的讲授，注意精讲多练。</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2</w:t>
      </w:r>
      <w:r>
        <w:rPr>
          <w:rFonts w:ascii="Times New Roman" w:hAnsi="Times New Roman" w:hint="eastAsia"/>
          <w:sz w:val="28"/>
          <w:szCs w:val="28"/>
        </w:rPr>
        <w:t>、做好实验，重视学生实践能力的培养。要求学生亲自动手进</w:t>
      </w:r>
      <w:r>
        <w:rPr>
          <w:rFonts w:ascii="Times New Roman" w:hAnsi="Times New Roman" w:hint="eastAsia"/>
          <w:sz w:val="28"/>
          <w:szCs w:val="28"/>
        </w:rPr>
        <w:lastRenderedPageBreak/>
        <w:t>行实验，并认真完成实验指导书上规定的内容。</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3</w:t>
      </w:r>
      <w:r>
        <w:rPr>
          <w:rFonts w:ascii="Times New Roman" w:hAnsi="Times New Roman" w:hint="eastAsia"/>
          <w:sz w:val="28"/>
          <w:szCs w:val="28"/>
        </w:rPr>
        <w:t>、教学内容的顺序及其安排仅供参考，教师可根据情况作适当调整。</w:t>
      </w:r>
    </w:p>
    <w:p w:rsidR="00CF1222" w:rsidRDefault="00CF1222" w:rsidP="00CF1222">
      <w:pPr>
        <w:adjustRightInd w:val="0"/>
        <w:snapToGrid w:val="0"/>
        <w:spacing w:line="360" w:lineRule="exact"/>
        <w:ind w:firstLineChars="200" w:firstLine="640"/>
        <w:jc w:val="left"/>
      </w:pPr>
    </w:p>
    <w:p w:rsidR="00494448" w:rsidRDefault="00494448" w:rsidP="00494448">
      <w:pPr>
        <w:tabs>
          <w:tab w:val="left" w:pos="3328"/>
        </w:tabs>
        <w:spacing w:line="560" w:lineRule="exact"/>
        <w:ind w:firstLineChars="1500" w:firstLine="4200"/>
        <w:rPr>
          <w:rFonts w:ascii="仿宋" w:eastAsia="仿宋" w:hAnsi="仿宋"/>
          <w:sz w:val="28"/>
          <w:szCs w:val="28"/>
        </w:rPr>
      </w:pPr>
      <w:r>
        <w:rPr>
          <w:rFonts w:ascii="仿宋" w:eastAsia="仿宋" w:hAnsi="仿宋" w:hint="eastAsia"/>
          <w:sz w:val="28"/>
          <w:szCs w:val="28"/>
        </w:rPr>
        <w:t>大纲撰写人：</w:t>
      </w:r>
      <w:r>
        <w:rPr>
          <w:rFonts w:ascii="仿宋" w:eastAsia="仿宋" w:hAnsi="仿宋"/>
          <w:sz w:val="28"/>
          <w:szCs w:val="28"/>
        </w:rPr>
        <w:t xml:space="preserve"> </w:t>
      </w:r>
    </w:p>
    <w:p w:rsidR="00494448" w:rsidRDefault="00494448" w:rsidP="00494448">
      <w:pPr>
        <w:spacing w:line="560" w:lineRule="exact"/>
        <w:ind w:firstLineChars="1500" w:firstLine="4200"/>
        <w:rPr>
          <w:rFonts w:ascii="仿宋" w:eastAsia="仿宋" w:hAnsi="仿宋"/>
          <w:sz w:val="28"/>
          <w:szCs w:val="28"/>
        </w:rPr>
      </w:pPr>
      <w:r>
        <w:rPr>
          <w:rFonts w:ascii="仿宋" w:eastAsia="仿宋" w:hAnsi="仿宋" w:hint="eastAsia"/>
          <w:sz w:val="28"/>
          <w:szCs w:val="28"/>
        </w:rPr>
        <w:t>课程负责人：</w:t>
      </w:r>
      <w:r>
        <w:rPr>
          <w:rFonts w:ascii="仿宋" w:eastAsia="仿宋" w:hAnsi="仿宋"/>
          <w:sz w:val="28"/>
          <w:szCs w:val="28"/>
        </w:rPr>
        <w:t xml:space="preserve"> </w:t>
      </w:r>
    </w:p>
    <w:p w:rsidR="00494448" w:rsidRDefault="00494448" w:rsidP="00494448">
      <w:pPr>
        <w:spacing w:line="560" w:lineRule="exact"/>
        <w:ind w:firstLineChars="1500" w:firstLine="4200"/>
        <w:rPr>
          <w:rFonts w:ascii="仿宋_GB2312"/>
          <w:color w:val="000000"/>
          <w:sz w:val="28"/>
          <w:szCs w:val="28"/>
        </w:rPr>
      </w:pPr>
      <w:r>
        <w:rPr>
          <w:rFonts w:ascii="仿宋" w:eastAsia="仿宋" w:hAnsi="仿宋" w:hint="eastAsia"/>
          <w:sz w:val="28"/>
          <w:szCs w:val="28"/>
        </w:rPr>
        <w:t xml:space="preserve">审核人：                </w:t>
      </w:r>
      <w:r>
        <w:rPr>
          <w:rFonts w:ascii="仿宋_GB2312" w:hAnsi="微软雅黑" w:hint="eastAsia"/>
          <w:sz w:val="28"/>
          <w:szCs w:val="28"/>
        </w:rPr>
        <w:t xml:space="preserve">       </w:t>
      </w:r>
    </w:p>
    <w:p w:rsidR="00494448" w:rsidRDefault="00494448" w:rsidP="00494448">
      <w:pPr>
        <w:spacing w:line="560" w:lineRule="exact"/>
        <w:ind w:firstLineChars="2000" w:firstLine="5600"/>
        <w:jc w:val="left"/>
        <w:rPr>
          <w:rFonts w:ascii="仿宋" w:hAnsi="仿宋"/>
          <w:sz w:val="28"/>
          <w:szCs w:val="28"/>
        </w:rPr>
      </w:pPr>
      <w:r>
        <w:rPr>
          <w:rFonts w:ascii="仿宋_GB2312" w:hAnsi="微软雅黑" w:hint="eastAsia"/>
          <w:sz w:val="28"/>
          <w:szCs w:val="28"/>
        </w:rPr>
        <w:t xml:space="preserve">    </w:t>
      </w:r>
    </w:p>
    <w:p w:rsidR="00494448" w:rsidRDefault="00494448" w:rsidP="00494448">
      <w:pPr>
        <w:spacing w:line="560" w:lineRule="exact"/>
        <w:jc w:val="left"/>
      </w:pPr>
      <w:r>
        <w:rPr>
          <w:rFonts w:ascii="仿宋" w:eastAsia="仿宋" w:hAnsi="仿宋" w:hint="eastAsia"/>
          <w:sz w:val="28"/>
          <w:szCs w:val="28"/>
        </w:rPr>
        <w:t xml:space="preserve">                                         年   月</w:t>
      </w:r>
    </w:p>
    <w:p w:rsidR="00CF1222" w:rsidRDefault="00CF1222" w:rsidP="00CF1222">
      <w:pPr>
        <w:jc w:val="left"/>
        <w:rPr>
          <w:rFonts w:ascii="仿宋" w:eastAsia="仿宋" w:hAnsi="仿宋"/>
          <w:sz w:val="28"/>
          <w:szCs w:val="28"/>
        </w:rPr>
      </w:pPr>
    </w:p>
    <w:p w:rsidR="00CF1222" w:rsidRDefault="00CF1222" w:rsidP="00CF1222"/>
    <w:p w:rsidR="00CF1222" w:rsidRDefault="00CF1222"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6E57E0" w:rsidRDefault="006E57E0" w:rsidP="00CF1222">
      <w:pPr>
        <w:jc w:val="left"/>
        <w:rPr>
          <w:rFonts w:ascii="仿宋" w:eastAsia="仿宋" w:hAnsi="仿宋"/>
          <w:sz w:val="28"/>
          <w:szCs w:val="28"/>
        </w:rPr>
      </w:pPr>
    </w:p>
    <w:p w:rsidR="00CF1222" w:rsidRDefault="00CF1222" w:rsidP="00CF1222">
      <w:pPr>
        <w:jc w:val="left"/>
        <w:rPr>
          <w:rFonts w:ascii="仿宋" w:eastAsia="仿宋" w:hAnsi="仿宋"/>
          <w:sz w:val="28"/>
          <w:szCs w:val="28"/>
        </w:rPr>
      </w:pPr>
    </w:p>
    <w:p w:rsidR="00CF1222" w:rsidRDefault="00CF1222" w:rsidP="00CF1222">
      <w:pPr>
        <w:widowControl/>
        <w:spacing w:line="560" w:lineRule="exact"/>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《高层建筑结构》课程教学大纲</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Tall Building Structures</w:t>
      </w:r>
    </w:p>
    <w:p w:rsidR="00CF1222" w:rsidRDefault="00CF1222" w:rsidP="00CF1222">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课程编码：Z2801120</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CF1222" w:rsidRDefault="00CF1222" w:rsidP="00CF1222">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分：1.5</w:t>
      </w:r>
    </w:p>
    <w:p w:rsidR="00CF1222" w:rsidRDefault="00CF1222" w:rsidP="00CF1222">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时：24学时（授课24学时）</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适用对象：土木工程专业</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先修课程：结构力学，混凝土与砌体结构，工程结构抗震</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开课院系：建筑工程学院混凝土与砌体结构教研室</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F1222" w:rsidRDefault="00CF1222" w:rsidP="00CF1222">
      <w:pPr>
        <w:spacing w:beforeLines="50" w:before="156" w:afterLines="50" w:after="156"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《高层建筑结构》是土木工程专业学生的一门专业发展选修课，主要包括高层建筑的结构体系及适用范围</w:t>
      </w:r>
      <w:r>
        <w:rPr>
          <w:rFonts w:ascii="微软雅黑" w:eastAsia="微软雅黑" w:hAnsi="微软雅黑" w:cs="微软雅黑" w:hint="eastAsia"/>
          <w:bCs/>
          <w:sz w:val="28"/>
          <w:szCs w:val="28"/>
        </w:rPr>
        <w:t>､</w:t>
      </w:r>
      <w:r>
        <w:rPr>
          <w:rFonts w:ascii="仿宋_GB2312" w:hAnsi="仿宋_GB2312" w:cs="仿宋_GB2312" w:hint="eastAsia"/>
          <w:bCs/>
          <w:sz w:val="28"/>
          <w:szCs w:val="28"/>
        </w:rPr>
        <w:t>高层建筑结构的设计要求</w:t>
      </w:r>
      <w:r>
        <w:rPr>
          <w:rFonts w:ascii="微软雅黑" w:eastAsia="微软雅黑" w:hAnsi="微软雅黑" w:cs="微软雅黑" w:hint="eastAsia"/>
          <w:bCs/>
          <w:sz w:val="28"/>
          <w:szCs w:val="28"/>
        </w:rPr>
        <w:t>､</w:t>
      </w:r>
      <w:r>
        <w:rPr>
          <w:rFonts w:ascii="仿宋_GB2312" w:hAnsi="仿宋_GB2312" w:cs="仿宋_GB2312" w:hint="eastAsia"/>
          <w:bCs/>
          <w:sz w:val="28"/>
          <w:szCs w:val="28"/>
        </w:rPr>
        <w:t>剪力墙结构设计及框架-剪力墙结构设计等教学内容，具有较强的理论性和实践性，采用多媒体教学方式。通过本课程学习，使学生掌握高层混凝土结构设计的基本概念</w:t>
      </w:r>
      <w:r>
        <w:rPr>
          <w:rFonts w:ascii="仿宋_GB2312" w:hAnsi="仿宋_GB2312" w:cs="仿宋_GB2312" w:hint="eastAsia"/>
          <w:b/>
          <w:sz w:val="28"/>
          <w:szCs w:val="28"/>
        </w:rPr>
        <w:t>､</w:t>
      </w:r>
      <w:r>
        <w:rPr>
          <w:rFonts w:ascii="仿宋_GB2312" w:hAnsi="仿宋_GB2312" w:cs="仿宋_GB2312" w:hint="eastAsia"/>
          <w:bCs/>
          <w:sz w:val="28"/>
          <w:szCs w:val="28"/>
        </w:rPr>
        <w:t>理论及方法，培养学生分析和解决工程结构问题的能力，同时强化工程责任意识和社会责任感，为从事高层建筑结构设计和相关技术工作奠定基础。</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F1222" w:rsidRDefault="00CF1222" w:rsidP="00CF1222">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CF1222" w:rsidRDefault="00CF1222" w:rsidP="00CF1222">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lastRenderedPageBreak/>
        <w:t>学习和掌握高层建筑结构设计的概念</w:t>
      </w:r>
      <w:r>
        <w:rPr>
          <w:rFonts w:ascii="仿宋_GB2312" w:hAnsi="仿宋_GB2312" w:cs="仿宋_GB2312" w:hint="eastAsia"/>
          <w:b/>
          <w:sz w:val="28"/>
          <w:szCs w:val="28"/>
        </w:rPr>
        <w:t>､</w:t>
      </w:r>
      <w:r>
        <w:rPr>
          <w:rFonts w:ascii="仿宋_GB2312" w:hAnsi="仿宋_GB2312" w:cs="仿宋_GB2312" w:hint="eastAsia"/>
          <w:sz w:val="28"/>
          <w:szCs w:val="28"/>
        </w:rPr>
        <w:t>理论及基本方法。</w:t>
      </w:r>
    </w:p>
    <w:p w:rsidR="00CF1222" w:rsidRDefault="00CF1222"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CF1222" w:rsidRDefault="00CF1222" w:rsidP="00CF1222">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（1）熟悉高层建筑的结构体系</w:t>
      </w:r>
      <w:r>
        <w:rPr>
          <w:rFonts w:ascii="仿宋_GB2312" w:hAnsi="仿宋_GB2312" w:cs="仿宋_GB2312" w:hint="eastAsia"/>
          <w:b/>
          <w:sz w:val="28"/>
          <w:szCs w:val="28"/>
        </w:rPr>
        <w:t>､</w:t>
      </w:r>
      <w:r>
        <w:rPr>
          <w:rFonts w:ascii="仿宋_GB2312" w:hAnsi="仿宋_GB2312" w:cs="仿宋_GB2312" w:hint="eastAsia"/>
          <w:bCs/>
          <w:sz w:val="28"/>
          <w:szCs w:val="28"/>
        </w:rPr>
        <w:t>适用范围及总体布置原则</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（2）理解高层建筑结构的计算分析原则和设计要求</w:t>
      </w:r>
    </w:p>
    <w:p w:rsidR="00CF1222" w:rsidRDefault="00CF1222" w:rsidP="00CF1222">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（3）掌握高层混凝土结构体系的设计方法及工程应用</w:t>
      </w:r>
    </w:p>
    <w:p w:rsidR="00CF1222" w:rsidRDefault="00CF1222" w:rsidP="00CF1222">
      <w:pPr>
        <w:spacing w:line="560" w:lineRule="exact"/>
        <w:ind w:firstLineChars="200" w:firstLine="560"/>
        <w:jc w:val="left"/>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pPr w:leftFromText="180" w:rightFromText="180" w:vertAnchor="text" w:horzAnchor="page" w:tblpX="1695" w:tblpY="2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4490"/>
        <w:gridCol w:w="703"/>
        <w:gridCol w:w="787"/>
        <w:gridCol w:w="759"/>
      </w:tblGrid>
      <w:tr w:rsidR="00CF1222" w:rsidTr="00CF1222">
        <w:trPr>
          <w:trHeight w:val="646"/>
        </w:trPr>
        <w:tc>
          <w:tcPr>
            <w:tcW w:w="6531" w:type="dxa"/>
            <w:gridSpan w:val="2"/>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kern w:val="0"/>
                <w:sz w:val="21"/>
                <w:szCs w:val="21"/>
              </w:rPr>
            </w:pPr>
            <w:r>
              <w:rPr>
                <w:rFonts w:ascii="Times New Roman" w:hAnsi="Times New Roman" w:hint="eastAsia"/>
                <w:kern w:val="0"/>
                <w:sz w:val="20"/>
                <w:szCs w:val="20"/>
              </w:rPr>
              <w:t>毕业要求及其指标点</w:t>
            </w:r>
          </w:p>
        </w:tc>
        <w:tc>
          <w:tcPr>
            <w:tcW w:w="2249" w:type="dxa"/>
            <w:gridSpan w:val="3"/>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kern w:val="0"/>
                <w:sz w:val="21"/>
                <w:szCs w:val="21"/>
              </w:rPr>
            </w:pPr>
            <w:r>
              <w:rPr>
                <w:rFonts w:ascii="Times New Roman" w:hAnsi="Times New Roman" w:hint="eastAsia"/>
                <w:kern w:val="0"/>
                <w:sz w:val="20"/>
                <w:szCs w:val="20"/>
              </w:rPr>
              <w:t>课程目标</w:t>
            </w:r>
          </w:p>
        </w:tc>
      </w:tr>
      <w:tr w:rsidR="00CF1222" w:rsidTr="00CF1222">
        <w:trPr>
          <w:trHeight w:val="628"/>
        </w:trPr>
        <w:tc>
          <w:tcPr>
            <w:tcW w:w="6531" w:type="dxa"/>
            <w:gridSpan w:val="2"/>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kern w:val="0"/>
                <w:sz w:val="21"/>
                <w:szCs w:val="21"/>
              </w:rPr>
            </w:pPr>
          </w:p>
        </w:tc>
        <w:tc>
          <w:tcPr>
            <w:tcW w:w="703"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1</w:t>
            </w:r>
            <w:r>
              <w:rPr>
                <w:rFonts w:ascii="Times New Roman" w:hAnsi="Times New Roman" w:hint="eastAsia"/>
                <w:kern w:val="0"/>
                <w:sz w:val="20"/>
                <w:szCs w:val="20"/>
              </w:rPr>
              <w:t>）</w:t>
            </w:r>
          </w:p>
        </w:tc>
        <w:tc>
          <w:tcPr>
            <w:tcW w:w="787"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2</w:t>
            </w:r>
            <w:r>
              <w:rPr>
                <w:rFonts w:ascii="Times New Roman" w:hAnsi="Times New Roman" w:hint="eastAsia"/>
                <w:kern w:val="0"/>
                <w:sz w:val="20"/>
                <w:szCs w:val="20"/>
              </w:rPr>
              <w:t>）</w:t>
            </w:r>
          </w:p>
        </w:tc>
        <w:tc>
          <w:tcPr>
            <w:tcW w:w="7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3</w:t>
            </w:r>
            <w:r>
              <w:rPr>
                <w:rFonts w:ascii="Times New Roman" w:hAnsi="Times New Roman" w:hint="eastAsia"/>
                <w:kern w:val="0"/>
                <w:sz w:val="20"/>
                <w:szCs w:val="20"/>
              </w:rPr>
              <w:t>）</w:t>
            </w:r>
          </w:p>
        </w:tc>
      </w:tr>
      <w:tr w:rsidR="00CF1222" w:rsidTr="00CF1222">
        <w:trPr>
          <w:trHeight w:val="882"/>
        </w:trPr>
        <w:tc>
          <w:tcPr>
            <w:tcW w:w="2041"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left"/>
              <w:rPr>
                <w:kern w:val="0"/>
                <w:sz w:val="21"/>
                <w:szCs w:val="21"/>
              </w:rPr>
            </w:pPr>
            <w:r>
              <w:rPr>
                <w:rFonts w:ascii="Times New Roman" w:hAnsi="Times New Roman" w:hint="eastAsia"/>
                <w:kern w:val="0"/>
                <w:sz w:val="20"/>
                <w:szCs w:val="20"/>
              </w:rPr>
              <w:t>1.</w:t>
            </w:r>
            <w:r>
              <w:rPr>
                <w:rFonts w:ascii="Times New Roman" w:hAnsi="Times New Roman" w:hint="eastAsia"/>
                <w:kern w:val="0"/>
                <w:sz w:val="20"/>
                <w:szCs w:val="20"/>
              </w:rPr>
              <w:t>工程知识应用能力</w:t>
            </w:r>
          </w:p>
        </w:tc>
        <w:tc>
          <w:tcPr>
            <w:tcW w:w="4490"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rPr>
                <w:kern w:val="0"/>
                <w:sz w:val="21"/>
                <w:szCs w:val="21"/>
              </w:rPr>
            </w:pP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1.4</w:t>
            </w:r>
            <w:r>
              <w:rPr>
                <w:rFonts w:ascii="Times New Roman" w:hAnsi="Times New Roman" w:hint="eastAsia"/>
                <w:kern w:val="0"/>
                <w:sz w:val="20"/>
                <w:szCs w:val="20"/>
              </w:rPr>
              <w:t>：工程问题解决能力</w:t>
            </w:r>
          </w:p>
          <w:p w:rsidR="00CF1222" w:rsidRDefault="00CF1222" w:rsidP="00CF1222">
            <w:pPr>
              <w:rPr>
                <w:kern w:val="0"/>
                <w:sz w:val="21"/>
                <w:szCs w:val="21"/>
              </w:rPr>
            </w:pPr>
          </w:p>
        </w:tc>
        <w:tc>
          <w:tcPr>
            <w:tcW w:w="703"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r>
              <w:rPr>
                <w:rFonts w:ascii="Times New Roman" w:hAnsi="Times New Roman" w:hint="eastAsia"/>
                <w:kern w:val="0"/>
                <w:sz w:val="20"/>
                <w:szCs w:val="20"/>
              </w:rPr>
              <w:t>√</w:t>
            </w:r>
          </w:p>
        </w:tc>
        <w:tc>
          <w:tcPr>
            <w:tcW w:w="7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r>
              <w:rPr>
                <w:rFonts w:ascii="Times New Roman" w:hAnsi="Times New Roman" w:hint="eastAsia"/>
                <w:kern w:val="0"/>
                <w:sz w:val="20"/>
                <w:szCs w:val="20"/>
              </w:rPr>
              <w:t>√</w:t>
            </w:r>
          </w:p>
        </w:tc>
      </w:tr>
      <w:tr w:rsidR="00CF1222" w:rsidTr="00CF1222">
        <w:trPr>
          <w:trHeight w:val="846"/>
        </w:trPr>
        <w:tc>
          <w:tcPr>
            <w:tcW w:w="2041"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left"/>
              <w:rPr>
                <w:sz w:val="21"/>
                <w:szCs w:val="21"/>
              </w:rPr>
            </w:pPr>
            <w:r>
              <w:rPr>
                <w:rFonts w:ascii="Times New Roman" w:hAnsi="Times New Roman" w:hint="eastAsia"/>
                <w:kern w:val="0"/>
                <w:sz w:val="20"/>
                <w:szCs w:val="20"/>
              </w:rPr>
              <w:t>2.</w:t>
            </w:r>
            <w:r>
              <w:rPr>
                <w:rFonts w:ascii="Times New Roman" w:hAnsi="Times New Roman" w:hint="eastAsia"/>
                <w:kern w:val="0"/>
                <w:sz w:val="20"/>
                <w:szCs w:val="20"/>
              </w:rPr>
              <w:t>问题分析能力</w:t>
            </w:r>
          </w:p>
        </w:tc>
        <w:tc>
          <w:tcPr>
            <w:tcW w:w="4490"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left"/>
              <w:rPr>
                <w:sz w:val="21"/>
                <w:szCs w:val="21"/>
              </w:rPr>
            </w:pPr>
            <w:r>
              <w:rPr>
                <w:rFonts w:ascii="Times New Roman" w:hAnsi="Times New Roman" w:hint="eastAsia"/>
                <w:kern w:val="0"/>
                <w:sz w:val="20"/>
                <w:szCs w:val="20"/>
              </w:rPr>
              <w:t>2.3</w:t>
            </w:r>
            <w:r>
              <w:rPr>
                <w:rFonts w:ascii="Times New Roman" w:hAnsi="Times New Roman" w:hint="eastAsia"/>
                <w:kern w:val="0"/>
                <w:sz w:val="20"/>
                <w:szCs w:val="20"/>
              </w:rPr>
              <w:t>：工程问题分析能力</w:t>
            </w:r>
          </w:p>
        </w:tc>
        <w:tc>
          <w:tcPr>
            <w:tcW w:w="703"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r>
              <w:rPr>
                <w:rFonts w:ascii="Times New Roman" w:hAnsi="Times New Roman" w:hint="eastAsia"/>
                <w:kern w:val="0"/>
                <w:sz w:val="20"/>
                <w:szCs w:val="20"/>
              </w:rPr>
              <w:t>√</w:t>
            </w:r>
          </w:p>
        </w:tc>
        <w:tc>
          <w:tcPr>
            <w:tcW w:w="7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r>
              <w:rPr>
                <w:rFonts w:ascii="Times New Roman" w:hAnsi="Times New Roman" w:hint="eastAsia"/>
                <w:kern w:val="0"/>
                <w:sz w:val="20"/>
                <w:szCs w:val="20"/>
              </w:rPr>
              <w:t>√</w:t>
            </w:r>
          </w:p>
        </w:tc>
      </w:tr>
      <w:tr w:rsidR="00CF1222" w:rsidTr="00CF1222">
        <w:trPr>
          <w:trHeight w:val="852"/>
        </w:trPr>
        <w:tc>
          <w:tcPr>
            <w:tcW w:w="2041"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left"/>
              <w:rPr>
                <w:sz w:val="21"/>
                <w:szCs w:val="21"/>
              </w:rPr>
            </w:pPr>
            <w:r>
              <w:rPr>
                <w:rFonts w:ascii="Times New Roman" w:hAnsi="Times New Roman" w:hint="eastAsia"/>
                <w:kern w:val="0"/>
                <w:sz w:val="20"/>
                <w:szCs w:val="20"/>
              </w:rPr>
              <w:t>3.</w:t>
            </w:r>
            <w:r>
              <w:rPr>
                <w:rFonts w:ascii="Times New Roman" w:hAnsi="Times New Roman" w:hint="eastAsia"/>
                <w:kern w:val="0"/>
                <w:sz w:val="20"/>
                <w:szCs w:val="20"/>
              </w:rPr>
              <w:t>设计</w:t>
            </w:r>
            <w:r>
              <w:rPr>
                <w:rFonts w:ascii="Times New Roman" w:hAnsi="Times New Roman" w:hint="eastAsia"/>
                <w:kern w:val="0"/>
                <w:sz w:val="20"/>
                <w:szCs w:val="20"/>
              </w:rPr>
              <w:t>/</w:t>
            </w:r>
            <w:r>
              <w:rPr>
                <w:rFonts w:ascii="Times New Roman" w:hAnsi="Times New Roman" w:hint="eastAsia"/>
                <w:kern w:val="0"/>
                <w:sz w:val="20"/>
                <w:szCs w:val="20"/>
              </w:rPr>
              <w:t>开发能力</w:t>
            </w:r>
          </w:p>
        </w:tc>
        <w:tc>
          <w:tcPr>
            <w:tcW w:w="4490"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jc w:val="left"/>
              <w:rPr>
                <w:kern w:val="0"/>
                <w:sz w:val="21"/>
                <w:szCs w:val="21"/>
              </w:rPr>
            </w:pPr>
          </w:p>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3.1</w:t>
            </w:r>
            <w:r>
              <w:rPr>
                <w:rFonts w:ascii="Times New Roman" w:hAnsi="Times New Roman" w:hint="eastAsia"/>
                <w:kern w:val="0"/>
                <w:sz w:val="20"/>
                <w:szCs w:val="20"/>
              </w:rPr>
              <w:t>：工程设计能力</w:t>
            </w:r>
          </w:p>
          <w:p w:rsidR="00CF1222" w:rsidRDefault="00CF1222" w:rsidP="00CF1222">
            <w:pPr>
              <w:jc w:val="center"/>
              <w:rPr>
                <w:sz w:val="21"/>
                <w:szCs w:val="21"/>
              </w:rPr>
            </w:pPr>
          </w:p>
        </w:tc>
        <w:tc>
          <w:tcPr>
            <w:tcW w:w="703"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r>
              <w:rPr>
                <w:rFonts w:ascii="Times New Roman" w:hAnsi="Times New Roman" w:hint="eastAsia"/>
                <w:kern w:val="0"/>
                <w:sz w:val="20"/>
                <w:szCs w:val="20"/>
              </w:rPr>
              <w:t>√</w:t>
            </w:r>
          </w:p>
        </w:tc>
        <w:tc>
          <w:tcPr>
            <w:tcW w:w="787"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r>
              <w:rPr>
                <w:rFonts w:ascii="Times New Roman" w:hAnsi="Times New Roman" w:hint="eastAsia"/>
                <w:kern w:val="0"/>
                <w:sz w:val="20"/>
                <w:szCs w:val="20"/>
              </w:rPr>
              <w:t>√</w:t>
            </w:r>
          </w:p>
        </w:tc>
        <w:tc>
          <w:tcPr>
            <w:tcW w:w="7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r>
              <w:rPr>
                <w:rFonts w:ascii="Times New Roman" w:hAnsi="Times New Roman" w:hint="eastAsia"/>
                <w:kern w:val="0"/>
                <w:sz w:val="20"/>
                <w:szCs w:val="20"/>
              </w:rPr>
              <w:t>√</w:t>
            </w:r>
          </w:p>
        </w:tc>
      </w:tr>
      <w:tr w:rsidR="00CF1222" w:rsidTr="00CF1222">
        <w:trPr>
          <w:trHeight w:val="821"/>
        </w:trPr>
        <w:tc>
          <w:tcPr>
            <w:tcW w:w="2041"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left"/>
              <w:rPr>
                <w:kern w:val="0"/>
                <w:sz w:val="21"/>
                <w:szCs w:val="21"/>
              </w:rPr>
            </w:pPr>
            <w:r>
              <w:rPr>
                <w:rFonts w:ascii="Times New Roman" w:hAnsi="Times New Roman" w:hint="eastAsia"/>
                <w:kern w:val="0"/>
                <w:sz w:val="20"/>
                <w:szCs w:val="20"/>
              </w:rPr>
              <w:t>8.</w:t>
            </w:r>
            <w:r>
              <w:rPr>
                <w:rFonts w:ascii="Times New Roman" w:hAnsi="Times New Roman" w:hint="eastAsia"/>
                <w:kern w:val="0"/>
                <w:sz w:val="20"/>
                <w:szCs w:val="20"/>
              </w:rPr>
              <w:t>职业规范素养</w:t>
            </w:r>
          </w:p>
        </w:tc>
        <w:tc>
          <w:tcPr>
            <w:tcW w:w="4490"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rPr>
                <w:sz w:val="21"/>
                <w:szCs w:val="21"/>
              </w:rPr>
            </w:pPr>
            <w:r>
              <w:rPr>
                <w:rFonts w:ascii="Times New Roman" w:hAnsi="Times New Roman" w:hint="eastAsia"/>
                <w:kern w:val="0"/>
                <w:sz w:val="20"/>
                <w:szCs w:val="20"/>
              </w:rPr>
              <w:t>8.2</w:t>
            </w:r>
            <w:r>
              <w:rPr>
                <w:rFonts w:ascii="Times New Roman" w:hAnsi="Times New Roman" w:hint="eastAsia"/>
                <w:kern w:val="0"/>
                <w:sz w:val="20"/>
                <w:szCs w:val="20"/>
              </w:rPr>
              <w:t>：诚信守则等职业道德</w:t>
            </w:r>
          </w:p>
        </w:tc>
        <w:tc>
          <w:tcPr>
            <w:tcW w:w="703"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r>
              <w:rPr>
                <w:rFonts w:ascii="Times New Roman" w:hAnsi="Times New Roman" w:hint="eastAsia"/>
                <w:kern w:val="0"/>
                <w:sz w:val="20"/>
                <w:szCs w:val="20"/>
              </w:rPr>
              <w:t>√</w:t>
            </w:r>
          </w:p>
        </w:tc>
        <w:tc>
          <w:tcPr>
            <w:tcW w:w="787"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p>
        </w:tc>
        <w:tc>
          <w:tcPr>
            <w:tcW w:w="759" w:type="dxa"/>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180" w:lineRule="exact"/>
              <w:jc w:val="center"/>
              <w:rPr>
                <w:rFonts w:ascii="Times New Roman" w:hAnsi="Times New Roman"/>
                <w:kern w:val="0"/>
                <w:sz w:val="20"/>
                <w:szCs w:val="20"/>
              </w:rPr>
            </w:pPr>
            <w:r>
              <w:rPr>
                <w:rFonts w:ascii="Times New Roman" w:hAnsi="Times New Roman" w:hint="eastAsia"/>
                <w:kern w:val="0"/>
                <w:sz w:val="20"/>
                <w:szCs w:val="20"/>
              </w:rPr>
              <w:t>√</w:t>
            </w:r>
          </w:p>
        </w:tc>
      </w:tr>
    </w:tbl>
    <w:p w:rsidR="00CF1222" w:rsidRDefault="00CF1222" w:rsidP="00CF1222">
      <w:pPr>
        <w:spacing w:line="560" w:lineRule="exact"/>
        <w:ind w:firstLineChars="100" w:firstLine="280"/>
        <w:rPr>
          <w:rFonts w:ascii="仿宋_GB2312" w:hAnsi="仿宋_GB2312" w:cs="仿宋_GB2312"/>
          <w:sz w:val="28"/>
          <w:szCs w:val="28"/>
        </w:rPr>
      </w:pPr>
      <w:r>
        <w:rPr>
          <w:rFonts w:ascii="仿宋_GB2312" w:hAnsi="仿宋_GB2312" w:cs="仿宋_GB2312" w:hint="eastAsia"/>
          <w:sz w:val="28"/>
          <w:szCs w:val="28"/>
        </w:rPr>
        <w:t>3. 课程的重点、难点</w:t>
      </w:r>
    </w:p>
    <w:p w:rsidR="00CF1222" w:rsidRDefault="00CF1222" w:rsidP="00CF1222">
      <w:pPr>
        <w:spacing w:line="560" w:lineRule="exact"/>
        <w:ind w:firstLineChars="100" w:firstLine="280"/>
        <w:jc w:val="left"/>
        <w:rPr>
          <w:rFonts w:ascii="仿宋_GB2312" w:hAnsi="仿宋_GB2312" w:cs="仿宋_GB2312"/>
          <w:sz w:val="28"/>
          <w:szCs w:val="28"/>
        </w:rPr>
      </w:pPr>
      <w:r>
        <w:rPr>
          <w:rFonts w:ascii="仿宋_GB2312" w:hAnsi="仿宋_GB2312" w:cs="仿宋_GB2312" w:hint="eastAsia"/>
          <w:bCs/>
          <w:sz w:val="28"/>
          <w:szCs w:val="28"/>
        </w:rPr>
        <w:t>3.1课程</w:t>
      </w:r>
      <w:r>
        <w:rPr>
          <w:rFonts w:ascii="仿宋_GB2312" w:hAnsi="仿宋_GB2312" w:cs="仿宋_GB2312" w:hint="eastAsia"/>
          <w:sz w:val="28"/>
          <w:szCs w:val="28"/>
        </w:rPr>
        <w:t>重点</w:t>
      </w:r>
    </w:p>
    <w:p w:rsidR="00CF1222" w:rsidRDefault="00CF1222" w:rsidP="00CF1222">
      <w:pPr>
        <w:spacing w:line="560" w:lineRule="exact"/>
        <w:ind w:firstLineChars="100" w:firstLine="280"/>
        <w:jc w:val="left"/>
        <w:rPr>
          <w:rFonts w:ascii="仿宋_GB2312" w:hAnsi="仿宋_GB2312" w:cs="仿宋_GB2312"/>
          <w:bCs/>
          <w:sz w:val="28"/>
          <w:szCs w:val="28"/>
        </w:rPr>
      </w:pPr>
      <w:r>
        <w:rPr>
          <w:rFonts w:ascii="仿宋_GB2312" w:hAnsi="仿宋_GB2312" w:cs="仿宋_GB2312" w:hint="eastAsia"/>
          <w:bCs/>
          <w:sz w:val="28"/>
          <w:szCs w:val="28"/>
        </w:rPr>
        <w:t>（1）高层建筑的结构体系与结构布置</w:t>
      </w:r>
    </w:p>
    <w:p w:rsidR="00CF1222" w:rsidRDefault="00CF1222" w:rsidP="00CF1222">
      <w:pPr>
        <w:spacing w:line="560" w:lineRule="exact"/>
        <w:ind w:firstLineChars="100" w:firstLine="280"/>
        <w:jc w:val="left"/>
        <w:rPr>
          <w:rFonts w:ascii="仿宋_GB2312" w:hAnsi="仿宋_GB2312" w:cs="仿宋_GB2312"/>
          <w:bCs/>
          <w:sz w:val="28"/>
          <w:szCs w:val="28"/>
        </w:rPr>
      </w:pPr>
      <w:r>
        <w:rPr>
          <w:rFonts w:ascii="仿宋_GB2312" w:hAnsi="仿宋_GB2312" w:cs="仿宋_GB2312" w:hint="eastAsia"/>
          <w:bCs/>
          <w:sz w:val="28"/>
          <w:szCs w:val="28"/>
        </w:rPr>
        <w:t>（2）剪力墙结构设计</w:t>
      </w:r>
    </w:p>
    <w:p w:rsidR="00CF1222" w:rsidRDefault="00CF1222" w:rsidP="00CF1222">
      <w:pPr>
        <w:spacing w:line="560" w:lineRule="exact"/>
        <w:ind w:firstLineChars="100" w:firstLine="280"/>
        <w:jc w:val="left"/>
        <w:rPr>
          <w:rFonts w:ascii="仿宋_GB2312" w:hAnsi="仿宋_GB2312" w:cs="仿宋_GB2312"/>
          <w:bCs/>
          <w:sz w:val="28"/>
          <w:szCs w:val="28"/>
        </w:rPr>
      </w:pPr>
      <w:r>
        <w:rPr>
          <w:rFonts w:ascii="仿宋_GB2312" w:hAnsi="仿宋_GB2312" w:cs="仿宋_GB2312" w:hint="eastAsia"/>
          <w:sz w:val="28"/>
          <w:szCs w:val="28"/>
        </w:rPr>
        <w:t>（3）框架-剪力墙结构设计</w:t>
      </w:r>
    </w:p>
    <w:p w:rsidR="00CF1222" w:rsidRDefault="00CF1222" w:rsidP="00CF1222">
      <w:pPr>
        <w:spacing w:line="56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3.2课程难点</w:t>
      </w:r>
    </w:p>
    <w:p w:rsidR="00CF1222" w:rsidRDefault="00CF1222" w:rsidP="00CF1222">
      <w:pPr>
        <w:spacing w:line="560" w:lineRule="exact"/>
        <w:ind w:firstLineChars="100" w:firstLine="280"/>
        <w:jc w:val="left"/>
        <w:rPr>
          <w:rFonts w:ascii="仿宋_GB2312" w:hAnsi="仿宋_GB2312" w:cs="仿宋_GB2312"/>
          <w:bCs/>
          <w:sz w:val="28"/>
          <w:szCs w:val="28"/>
        </w:rPr>
      </w:pPr>
      <w:r>
        <w:rPr>
          <w:rFonts w:ascii="仿宋_GB2312" w:hAnsi="仿宋_GB2312" w:cs="仿宋_GB2312" w:hint="eastAsia"/>
          <w:bCs/>
          <w:sz w:val="28"/>
          <w:szCs w:val="28"/>
        </w:rPr>
        <w:t>（1）高层建筑结构的计算分析和设计要求</w:t>
      </w:r>
    </w:p>
    <w:p w:rsidR="00CF1222" w:rsidRDefault="00CF1222" w:rsidP="00CF1222">
      <w:pPr>
        <w:spacing w:line="560" w:lineRule="exact"/>
        <w:ind w:firstLineChars="100" w:firstLine="280"/>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hint="eastAsia"/>
          <w:bCs/>
          <w:sz w:val="28"/>
          <w:szCs w:val="28"/>
        </w:rPr>
        <w:t>筒体结构设计</w:t>
      </w:r>
    </w:p>
    <w:p w:rsidR="00CF1222" w:rsidRDefault="00CF1222" w:rsidP="00CF1222">
      <w:pPr>
        <w:spacing w:afterLines="50" w:after="156" w:line="560" w:lineRule="exact"/>
        <w:ind w:firstLineChars="100" w:firstLine="280"/>
        <w:rPr>
          <w:rFonts w:ascii="仿宋_GB2312" w:hAnsi="仿宋_GB2312" w:cs="仿宋_GB2312"/>
          <w:sz w:val="28"/>
          <w:szCs w:val="28"/>
        </w:rPr>
      </w:pPr>
      <w:r>
        <w:rPr>
          <w:rFonts w:ascii="仿宋_GB2312" w:hAnsi="仿宋_GB2312" w:cs="仿宋_GB2312" w:hint="eastAsia"/>
          <w:sz w:val="28"/>
          <w:szCs w:val="28"/>
        </w:rPr>
        <w:lastRenderedPageBreak/>
        <w:t>4. 课程思政设计</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28"/>
        <w:gridCol w:w="4404"/>
      </w:tblGrid>
      <w:tr w:rsidR="00CF1222" w:rsidTr="00CF1222">
        <w:trPr>
          <w:trHeight w:val="1110"/>
          <w:jc w:val="center"/>
        </w:trPr>
        <w:tc>
          <w:tcPr>
            <w:tcW w:w="346" w:type="pct"/>
            <w:vAlign w:val="center"/>
          </w:tcPr>
          <w:p w:rsidR="00CF1222" w:rsidRDefault="00CF1222" w:rsidP="00CF1222">
            <w:pPr>
              <w:spacing w:line="360" w:lineRule="exact"/>
              <w:jc w:val="center"/>
              <w:rPr>
                <w:rFonts w:ascii="Times New Roman" w:hAnsi="Times New Roman"/>
                <w:kern w:val="0"/>
                <w:sz w:val="20"/>
                <w:szCs w:val="20"/>
              </w:rPr>
            </w:pPr>
            <w:r>
              <w:rPr>
                <w:rFonts w:ascii="Times New Roman" w:hAnsi="Times New Roman" w:hint="eastAsia"/>
                <w:kern w:val="0"/>
                <w:sz w:val="20"/>
                <w:szCs w:val="20"/>
              </w:rPr>
              <w:t>序</w:t>
            </w:r>
          </w:p>
          <w:p w:rsidR="00CF1222" w:rsidRDefault="00CF1222" w:rsidP="00CF1222">
            <w:pPr>
              <w:spacing w:line="360" w:lineRule="exact"/>
              <w:jc w:val="center"/>
              <w:rPr>
                <w:rFonts w:ascii="宋体" w:hAnsi="宋体"/>
                <w:b/>
                <w:sz w:val="21"/>
                <w:szCs w:val="21"/>
              </w:rPr>
            </w:pPr>
            <w:r>
              <w:rPr>
                <w:rFonts w:ascii="Times New Roman" w:hAnsi="Times New Roman" w:hint="eastAsia"/>
                <w:kern w:val="0"/>
                <w:sz w:val="20"/>
                <w:szCs w:val="20"/>
              </w:rPr>
              <w:t>号</w:t>
            </w:r>
          </w:p>
        </w:tc>
        <w:tc>
          <w:tcPr>
            <w:tcW w:w="1933" w:type="pct"/>
            <w:vAlign w:val="center"/>
          </w:tcPr>
          <w:p w:rsidR="00CF1222" w:rsidRDefault="00CF1222" w:rsidP="00CF1222">
            <w:pPr>
              <w:spacing w:line="360" w:lineRule="exact"/>
              <w:jc w:val="center"/>
              <w:rPr>
                <w:rFonts w:ascii="宋体" w:hAnsi="宋体"/>
                <w:b/>
                <w:sz w:val="21"/>
                <w:szCs w:val="21"/>
              </w:rPr>
            </w:pPr>
            <w:r>
              <w:rPr>
                <w:rFonts w:ascii="Times New Roman" w:hAnsi="Times New Roman" w:hint="eastAsia"/>
                <w:kern w:val="0"/>
                <w:sz w:val="20"/>
                <w:szCs w:val="20"/>
              </w:rPr>
              <w:t>授课章节</w:t>
            </w:r>
          </w:p>
        </w:tc>
        <w:tc>
          <w:tcPr>
            <w:tcW w:w="2720" w:type="pct"/>
            <w:vAlign w:val="center"/>
          </w:tcPr>
          <w:p w:rsidR="00CF1222" w:rsidRDefault="00CF1222" w:rsidP="00CF1222">
            <w:pPr>
              <w:spacing w:line="360" w:lineRule="exact"/>
              <w:jc w:val="center"/>
              <w:rPr>
                <w:rFonts w:ascii="宋体" w:hAnsi="宋体"/>
                <w:b/>
                <w:sz w:val="21"/>
                <w:szCs w:val="21"/>
              </w:rPr>
            </w:pPr>
            <w:r>
              <w:rPr>
                <w:rFonts w:ascii="Times New Roman" w:hAnsi="Times New Roman" w:hint="eastAsia"/>
                <w:kern w:val="0"/>
                <w:sz w:val="20"/>
                <w:szCs w:val="20"/>
              </w:rPr>
              <w:t>课程思政育人要素</w:t>
            </w:r>
          </w:p>
        </w:tc>
      </w:tr>
      <w:tr w:rsidR="00CF1222" w:rsidTr="00CF1222">
        <w:trPr>
          <w:trHeight w:val="1644"/>
          <w:jc w:val="center"/>
        </w:trPr>
        <w:tc>
          <w:tcPr>
            <w:tcW w:w="346" w:type="pct"/>
            <w:vAlign w:val="center"/>
          </w:tcPr>
          <w:p w:rsidR="00CF1222" w:rsidRDefault="00CF1222" w:rsidP="00CF1222">
            <w:pPr>
              <w:jc w:val="center"/>
              <w:rPr>
                <w:rFonts w:ascii="Times New Roman" w:hAnsi="Times New Roman"/>
                <w:sz w:val="21"/>
                <w:szCs w:val="21"/>
              </w:rPr>
            </w:pPr>
            <w:r>
              <w:rPr>
                <w:rFonts w:ascii="Times New Roman" w:hAnsi="Times New Roman"/>
                <w:sz w:val="21"/>
                <w:szCs w:val="21"/>
              </w:rPr>
              <w:t>1</w:t>
            </w:r>
          </w:p>
        </w:tc>
        <w:tc>
          <w:tcPr>
            <w:tcW w:w="1933" w:type="pct"/>
            <w:vAlign w:val="center"/>
          </w:tcPr>
          <w:p w:rsidR="00CF1222" w:rsidRDefault="00CF1222" w:rsidP="00CF1222">
            <w:pPr>
              <w:jc w:val="center"/>
              <w:rPr>
                <w:rFonts w:ascii="Times New Roman" w:hAnsi="Times New Roman"/>
                <w:sz w:val="21"/>
                <w:szCs w:val="21"/>
              </w:rPr>
            </w:pPr>
            <w:r>
              <w:rPr>
                <w:rFonts w:ascii="Times New Roman" w:hAnsi="Times New Roman" w:hint="eastAsia"/>
                <w:kern w:val="0"/>
                <w:sz w:val="20"/>
                <w:szCs w:val="20"/>
              </w:rPr>
              <w:t>第</w:t>
            </w:r>
            <w:r>
              <w:rPr>
                <w:rFonts w:ascii="Times New Roman" w:hAnsi="Times New Roman" w:hint="eastAsia"/>
                <w:kern w:val="0"/>
                <w:sz w:val="20"/>
                <w:szCs w:val="20"/>
              </w:rPr>
              <w:t>1</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绪论</w:t>
            </w:r>
          </w:p>
        </w:tc>
        <w:tc>
          <w:tcPr>
            <w:tcW w:w="2720" w:type="pct"/>
            <w:vAlign w:val="center"/>
          </w:tcPr>
          <w:p w:rsidR="00CF1222" w:rsidRDefault="00CF1222" w:rsidP="00CF1222">
            <w:pPr>
              <w:rPr>
                <w:rFonts w:ascii="Times New Roman" w:hAnsi="Times New Roman"/>
                <w:sz w:val="21"/>
                <w:szCs w:val="21"/>
              </w:rPr>
            </w:pPr>
            <w:r>
              <w:rPr>
                <w:rFonts w:ascii="Times New Roman" w:hAnsi="Times New Roman" w:hint="eastAsia"/>
                <w:kern w:val="0"/>
                <w:sz w:val="20"/>
                <w:szCs w:val="20"/>
              </w:rPr>
              <w:t>通过讲述我国高层建筑的重大标志性工程及伟大成就，展现我国的制度优势，引导学生坚定“四个自信”，提升民族自豪感和爱国情怀。</w:t>
            </w:r>
          </w:p>
        </w:tc>
      </w:tr>
      <w:tr w:rsidR="00CF1222" w:rsidTr="00CF1222">
        <w:trPr>
          <w:trHeight w:val="1644"/>
          <w:jc w:val="center"/>
        </w:trPr>
        <w:tc>
          <w:tcPr>
            <w:tcW w:w="346" w:type="pct"/>
            <w:vAlign w:val="center"/>
          </w:tcPr>
          <w:p w:rsidR="00CF1222" w:rsidRDefault="00CF1222" w:rsidP="00CF1222">
            <w:pPr>
              <w:jc w:val="center"/>
              <w:rPr>
                <w:rFonts w:ascii="Times New Roman" w:hAnsi="Times New Roman"/>
                <w:sz w:val="21"/>
                <w:szCs w:val="21"/>
              </w:rPr>
            </w:pPr>
            <w:r>
              <w:rPr>
                <w:rFonts w:ascii="Times New Roman" w:hAnsi="Times New Roman" w:hint="eastAsia"/>
                <w:sz w:val="21"/>
                <w:szCs w:val="21"/>
              </w:rPr>
              <w:t>2</w:t>
            </w:r>
          </w:p>
        </w:tc>
        <w:tc>
          <w:tcPr>
            <w:tcW w:w="1933" w:type="pct"/>
            <w:vAlign w:val="center"/>
          </w:tcPr>
          <w:p w:rsidR="00CF1222" w:rsidRDefault="00CF1222" w:rsidP="00CF1222">
            <w:pPr>
              <w:ind w:leftChars="65" w:left="1408" w:hangingChars="600" w:hanging="1200"/>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2</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高层建筑的结构体系与</w:t>
            </w:r>
          </w:p>
          <w:p w:rsidR="00CF1222" w:rsidRDefault="00CF1222" w:rsidP="00CF1222">
            <w:pPr>
              <w:ind w:leftChars="65" w:left="1408" w:hangingChars="600" w:hanging="1200"/>
              <w:rPr>
                <w:rFonts w:ascii="Times New Roman" w:hAnsi="Times New Roman"/>
                <w:sz w:val="21"/>
                <w:szCs w:val="21"/>
              </w:rPr>
            </w:pPr>
            <w:r>
              <w:rPr>
                <w:rFonts w:ascii="Times New Roman" w:hAnsi="Times New Roman" w:hint="eastAsia"/>
                <w:kern w:val="0"/>
                <w:sz w:val="20"/>
                <w:szCs w:val="20"/>
              </w:rPr>
              <w:t xml:space="preserve">           </w:t>
            </w:r>
            <w:r>
              <w:rPr>
                <w:rFonts w:ascii="Times New Roman" w:hAnsi="Times New Roman" w:hint="eastAsia"/>
                <w:kern w:val="0"/>
                <w:sz w:val="20"/>
                <w:szCs w:val="20"/>
              </w:rPr>
              <w:t>结构布置</w:t>
            </w:r>
          </w:p>
        </w:tc>
        <w:tc>
          <w:tcPr>
            <w:tcW w:w="2720" w:type="pct"/>
            <w:vAlign w:val="center"/>
          </w:tcPr>
          <w:p w:rsidR="00CF1222" w:rsidRDefault="00CF1222" w:rsidP="00CF1222">
            <w:pPr>
              <w:jc w:val="left"/>
              <w:rPr>
                <w:sz w:val="21"/>
                <w:szCs w:val="21"/>
              </w:rPr>
            </w:pPr>
            <w:r>
              <w:rPr>
                <w:rFonts w:ascii="Times New Roman" w:hAnsi="Times New Roman" w:hint="eastAsia"/>
                <w:kern w:val="0"/>
                <w:sz w:val="20"/>
                <w:szCs w:val="20"/>
              </w:rPr>
              <w:t>明确高层建筑的结构选型和总体布置是高层建筑结构设计的首要任务，且对高层建筑的经济合理性有重要影响，强化学生严谨治学的态度，提高职业道德与素养。</w:t>
            </w:r>
          </w:p>
        </w:tc>
      </w:tr>
      <w:tr w:rsidR="00CF1222" w:rsidTr="00CF1222">
        <w:trPr>
          <w:trHeight w:val="1644"/>
          <w:jc w:val="center"/>
        </w:trPr>
        <w:tc>
          <w:tcPr>
            <w:tcW w:w="346" w:type="pct"/>
            <w:vAlign w:val="center"/>
          </w:tcPr>
          <w:p w:rsidR="00CF1222" w:rsidRDefault="00CF1222" w:rsidP="00CF1222">
            <w:pPr>
              <w:jc w:val="center"/>
              <w:rPr>
                <w:rFonts w:ascii="Times New Roman" w:hAnsi="Times New Roman"/>
                <w:sz w:val="21"/>
                <w:szCs w:val="21"/>
              </w:rPr>
            </w:pPr>
            <w:r>
              <w:rPr>
                <w:rFonts w:ascii="Times New Roman" w:hAnsi="Times New Roman" w:hint="eastAsia"/>
                <w:sz w:val="21"/>
                <w:szCs w:val="21"/>
              </w:rPr>
              <w:t>3</w:t>
            </w:r>
          </w:p>
        </w:tc>
        <w:tc>
          <w:tcPr>
            <w:tcW w:w="1933" w:type="pct"/>
            <w:vAlign w:val="center"/>
          </w:tcPr>
          <w:p w:rsidR="00CF1222" w:rsidRDefault="00CF1222" w:rsidP="00CF1222">
            <w:pPr>
              <w:ind w:leftChars="65" w:left="1408" w:hangingChars="600" w:hanging="1200"/>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3</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高层建筑结构的荷载和</w:t>
            </w:r>
          </w:p>
          <w:p w:rsidR="00CF1222" w:rsidRDefault="00CF1222" w:rsidP="00CF1222">
            <w:pPr>
              <w:ind w:leftChars="65" w:left="1408" w:hangingChars="600" w:hanging="1200"/>
              <w:rPr>
                <w:rFonts w:ascii="Times New Roman" w:hAnsi="Times New Roman"/>
                <w:sz w:val="21"/>
                <w:szCs w:val="21"/>
              </w:rPr>
            </w:pPr>
            <w:r>
              <w:rPr>
                <w:rFonts w:ascii="Times New Roman" w:hAnsi="Times New Roman" w:hint="eastAsia"/>
                <w:kern w:val="0"/>
                <w:sz w:val="20"/>
                <w:szCs w:val="20"/>
              </w:rPr>
              <w:t xml:space="preserve">           </w:t>
            </w:r>
            <w:r>
              <w:rPr>
                <w:rFonts w:ascii="Times New Roman" w:hAnsi="Times New Roman" w:hint="eastAsia"/>
                <w:kern w:val="0"/>
                <w:sz w:val="20"/>
                <w:szCs w:val="20"/>
              </w:rPr>
              <w:t>地震作用</w:t>
            </w:r>
          </w:p>
        </w:tc>
        <w:tc>
          <w:tcPr>
            <w:tcW w:w="2720" w:type="pct"/>
            <w:vAlign w:val="center"/>
          </w:tcPr>
          <w:p w:rsidR="00CF1222" w:rsidRDefault="00CF1222" w:rsidP="00CF1222">
            <w:pPr>
              <w:jc w:val="left"/>
              <w:rPr>
                <w:rFonts w:ascii="Times New Roman" w:hAnsi="Times New Roman"/>
                <w:sz w:val="21"/>
                <w:szCs w:val="21"/>
              </w:rPr>
            </w:pPr>
            <w:r>
              <w:rPr>
                <w:rFonts w:ascii="Times New Roman" w:hAnsi="Times New Roman" w:hint="eastAsia"/>
                <w:kern w:val="0"/>
                <w:sz w:val="20"/>
                <w:szCs w:val="20"/>
              </w:rPr>
              <w:t>各类荷载的考虑和计算将直接影响结构设计结果，讲授本章内容时，注意强调荷载计算过程应认真细致，基础数据应具有科学性和真实性，加强学生诚信踏实意识，引导学生注重行为规范，增强社会责任感。</w:t>
            </w:r>
          </w:p>
        </w:tc>
      </w:tr>
      <w:tr w:rsidR="00CF1222" w:rsidTr="00CF1222">
        <w:trPr>
          <w:trHeight w:val="1644"/>
          <w:jc w:val="center"/>
        </w:trPr>
        <w:tc>
          <w:tcPr>
            <w:tcW w:w="346" w:type="pct"/>
            <w:vAlign w:val="center"/>
          </w:tcPr>
          <w:p w:rsidR="00CF1222" w:rsidRDefault="00CF1222" w:rsidP="00CF1222">
            <w:pPr>
              <w:jc w:val="center"/>
              <w:rPr>
                <w:rFonts w:ascii="Times New Roman" w:hAnsi="Times New Roman"/>
                <w:sz w:val="21"/>
                <w:szCs w:val="21"/>
              </w:rPr>
            </w:pPr>
            <w:r>
              <w:rPr>
                <w:rFonts w:ascii="Times New Roman" w:hAnsi="Times New Roman" w:hint="eastAsia"/>
                <w:sz w:val="21"/>
                <w:szCs w:val="21"/>
              </w:rPr>
              <w:t>4</w:t>
            </w:r>
          </w:p>
        </w:tc>
        <w:tc>
          <w:tcPr>
            <w:tcW w:w="1933" w:type="pct"/>
            <w:vAlign w:val="center"/>
          </w:tcPr>
          <w:p w:rsidR="00CF1222" w:rsidRDefault="00CF1222" w:rsidP="00CF1222">
            <w:pPr>
              <w:ind w:leftChars="65" w:left="1408" w:hangingChars="600" w:hanging="1200"/>
              <w:rPr>
                <w:rFonts w:ascii="Times New Roman" w:hAnsi="Times New Roman"/>
                <w:sz w:val="21"/>
                <w:szCs w:val="21"/>
              </w:rPr>
            </w:pPr>
            <w:r>
              <w:rPr>
                <w:rFonts w:ascii="Times New Roman" w:hAnsi="Times New Roman" w:hint="eastAsia"/>
                <w:kern w:val="0"/>
                <w:sz w:val="20"/>
                <w:szCs w:val="20"/>
              </w:rPr>
              <w:t>第</w:t>
            </w:r>
            <w:r>
              <w:rPr>
                <w:rFonts w:ascii="Times New Roman" w:hAnsi="Times New Roman" w:hint="eastAsia"/>
                <w:kern w:val="0"/>
                <w:sz w:val="20"/>
                <w:szCs w:val="20"/>
              </w:rPr>
              <w:t>4</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高层建筑结构的计算分析和设计要求</w:t>
            </w:r>
          </w:p>
        </w:tc>
        <w:tc>
          <w:tcPr>
            <w:tcW w:w="2720" w:type="pct"/>
            <w:vAlign w:val="center"/>
          </w:tcPr>
          <w:p w:rsidR="00CF1222" w:rsidRDefault="00CF1222" w:rsidP="00CF1222">
            <w:pPr>
              <w:rPr>
                <w:sz w:val="21"/>
                <w:szCs w:val="21"/>
              </w:rPr>
            </w:pPr>
            <w:r>
              <w:rPr>
                <w:rFonts w:ascii="Times New Roman" w:hAnsi="Times New Roman" w:hint="eastAsia"/>
                <w:kern w:val="0"/>
                <w:sz w:val="20"/>
                <w:szCs w:val="20"/>
              </w:rPr>
              <w:t>强调高层结构的计算理论、设计要求及相关规范对工程实践具有指导和约束作用，且随科技和实践的发展在不断更新和完善，指导学生在掌握理论的同时重视其实践应用，努力将理论和实践结合起来。</w:t>
            </w:r>
          </w:p>
        </w:tc>
      </w:tr>
      <w:tr w:rsidR="00CF1222" w:rsidTr="00CF1222">
        <w:trPr>
          <w:trHeight w:val="1644"/>
          <w:jc w:val="center"/>
        </w:trPr>
        <w:tc>
          <w:tcPr>
            <w:tcW w:w="346" w:type="pct"/>
            <w:vAlign w:val="center"/>
          </w:tcPr>
          <w:p w:rsidR="00CF1222" w:rsidRDefault="00CF1222" w:rsidP="00CF1222">
            <w:pPr>
              <w:jc w:val="center"/>
              <w:rPr>
                <w:rFonts w:ascii="Times New Roman" w:hAnsi="Times New Roman"/>
                <w:sz w:val="21"/>
                <w:szCs w:val="21"/>
              </w:rPr>
            </w:pPr>
            <w:r>
              <w:rPr>
                <w:rFonts w:ascii="Times New Roman" w:hAnsi="Times New Roman" w:hint="eastAsia"/>
                <w:sz w:val="21"/>
                <w:szCs w:val="21"/>
              </w:rPr>
              <w:t>5</w:t>
            </w:r>
          </w:p>
        </w:tc>
        <w:tc>
          <w:tcPr>
            <w:tcW w:w="1933" w:type="pct"/>
            <w:vAlign w:val="center"/>
          </w:tcPr>
          <w:p w:rsidR="00CF1222" w:rsidRDefault="00CF1222" w:rsidP="00CF1222">
            <w:pPr>
              <w:jc w:val="center"/>
              <w:rPr>
                <w:rFonts w:ascii="Times New Roman" w:hAnsi="Times New Roman"/>
                <w:sz w:val="21"/>
                <w:szCs w:val="21"/>
              </w:rPr>
            </w:pPr>
            <w:r>
              <w:rPr>
                <w:rFonts w:ascii="Times New Roman" w:hAnsi="Times New Roman" w:hint="eastAsia"/>
                <w:kern w:val="0"/>
                <w:sz w:val="20"/>
                <w:szCs w:val="20"/>
              </w:rPr>
              <w:t>第</w:t>
            </w:r>
            <w:r>
              <w:rPr>
                <w:rFonts w:ascii="Times New Roman" w:hAnsi="Times New Roman" w:hint="eastAsia"/>
                <w:kern w:val="0"/>
                <w:sz w:val="20"/>
                <w:szCs w:val="20"/>
              </w:rPr>
              <w:t>6</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剪力墙结构设计</w:t>
            </w:r>
          </w:p>
        </w:tc>
        <w:tc>
          <w:tcPr>
            <w:tcW w:w="2720" w:type="pct"/>
            <w:vAlign w:val="center"/>
          </w:tcPr>
          <w:p w:rsidR="00CF1222" w:rsidRDefault="00CF1222" w:rsidP="00CF1222">
            <w:pPr>
              <w:rPr>
                <w:rFonts w:ascii="Times New Roman" w:hAnsi="Times New Roman"/>
                <w:sz w:val="21"/>
                <w:szCs w:val="21"/>
              </w:rPr>
            </w:pPr>
            <w:r>
              <w:rPr>
                <w:rFonts w:ascii="Times New Roman" w:hAnsi="Times New Roman" w:hint="eastAsia"/>
                <w:kern w:val="0"/>
                <w:sz w:val="20"/>
                <w:szCs w:val="20"/>
              </w:rPr>
              <w:t>通过讲解剪力墙连续化分析方法的严谨推演绎过程，促使学生理解工匠精神所包含的社会责任和职业品格，培养学生的敬业精神。</w:t>
            </w:r>
          </w:p>
        </w:tc>
      </w:tr>
      <w:tr w:rsidR="00CF1222" w:rsidTr="00CF1222">
        <w:trPr>
          <w:trHeight w:val="1644"/>
          <w:jc w:val="center"/>
        </w:trPr>
        <w:tc>
          <w:tcPr>
            <w:tcW w:w="346" w:type="pct"/>
            <w:vAlign w:val="center"/>
          </w:tcPr>
          <w:p w:rsidR="00CF1222" w:rsidRDefault="00CF1222" w:rsidP="00CF1222">
            <w:pPr>
              <w:jc w:val="center"/>
              <w:rPr>
                <w:rFonts w:ascii="Times New Roman" w:hAnsi="Times New Roman"/>
                <w:sz w:val="21"/>
                <w:szCs w:val="21"/>
              </w:rPr>
            </w:pPr>
            <w:r>
              <w:rPr>
                <w:rFonts w:ascii="Times New Roman" w:hAnsi="Times New Roman" w:hint="eastAsia"/>
                <w:sz w:val="21"/>
                <w:szCs w:val="21"/>
              </w:rPr>
              <w:t>6</w:t>
            </w:r>
          </w:p>
        </w:tc>
        <w:tc>
          <w:tcPr>
            <w:tcW w:w="1933" w:type="pct"/>
            <w:vAlign w:val="center"/>
          </w:tcPr>
          <w:p w:rsidR="00CF1222" w:rsidRDefault="00CF1222" w:rsidP="00CF1222">
            <w:pPr>
              <w:jc w:val="center"/>
              <w:rPr>
                <w:rFonts w:ascii="Times New Roman" w:hAnsi="Times New Roman"/>
                <w:sz w:val="21"/>
                <w:szCs w:val="21"/>
              </w:rPr>
            </w:pPr>
            <w:r>
              <w:rPr>
                <w:rFonts w:ascii="Times New Roman" w:hAnsi="Times New Roman" w:hint="eastAsia"/>
                <w:kern w:val="0"/>
                <w:sz w:val="20"/>
                <w:szCs w:val="20"/>
              </w:rPr>
              <w:t>第</w:t>
            </w:r>
            <w:r>
              <w:rPr>
                <w:rFonts w:ascii="Times New Roman" w:hAnsi="Times New Roman" w:hint="eastAsia"/>
                <w:kern w:val="0"/>
                <w:sz w:val="20"/>
                <w:szCs w:val="20"/>
              </w:rPr>
              <w:t>7</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框架</w:t>
            </w:r>
            <w:r>
              <w:rPr>
                <w:rFonts w:ascii="Times New Roman" w:hAnsi="Times New Roman" w:hint="eastAsia"/>
                <w:kern w:val="0"/>
                <w:sz w:val="20"/>
                <w:szCs w:val="20"/>
              </w:rPr>
              <w:t>-</w:t>
            </w:r>
            <w:r>
              <w:rPr>
                <w:rFonts w:ascii="Times New Roman" w:hAnsi="Times New Roman" w:hint="eastAsia"/>
                <w:kern w:val="0"/>
                <w:sz w:val="20"/>
                <w:szCs w:val="20"/>
              </w:rPr>
              <w:t>剪力墙结构设计</w:t>
            </w:r>
          </w:p>
        </w:tc>
        <w:tc>
          <w:tcPr>
            <w:tcW w:w="2720" w:type="pct"/>
            <w:vAlign w:val="center"/>
          </w:tcPr>
          <w:p w:rsidR="00CF1222" w:rsidRDefault="00CF1222" w:rsidP="00CF1222">
            <w:pPr>
              <w:jc w:val="left"/>
              <w:rPr>
                <w:sz w:val="21"/>
                <w:szCs w:val="21"/>
              </w:rPr>
            </w:pPr>
            <w:r>
              <w:rPr>
                <w:rFonts w:ascii="Times New Roman" w:hAnsi="Times New Roman" w:hint="eastAsia"/>
                <w:kern w:val="0"/>
                <w:sz w:val="20"/>
                <w:szCs w:val="20"/>
              </w:rPr>
              <w:t>通过讲解框架</w:t>
            </w:r>
            <w:r>
              <w:rPr>
                <w:rFonts w:ascii="Times New Roman" w:hAnsi="Times New Roman" w:hint="eastAsia"/>
                <w:kern w:val="0"/>
                <w:sz w:val="20"/>
                <w:szCs w:val="20"/>
              </w:rPr>
              <w:t>-</w:t>
            </w:r>
            <w:r>
              <w:rPr>
                <w:rFonts w:ascii="Times New Roman" w:hAnsi="Times New Roman" w:hint="eastAsia"/>
                <w:kern w:val="0"/>
                <w:sz w:val="20"/>
                <w:szCs w:val="20"/>
              </w:rPr>
              <w:t>剪力墙铰接体系的连续化计算方法及其推演绎过程，使学生进一步理解工匠精神的深刻内涵，不断增强严谨的治学态度和敬业精神。</w:t>
            </w:r>
          </w:p>
        </w:tc>
      </w:tr>
      <w:tr w:rsidR="00CF1222" w:rsidTr="00CF1222">
        <w:trPr>
          <w:trHeight w:val="1644"/>
          <w:jc w:val="center"/>
        </w:trPr>
        <w:tc>
          <w:tcPr>
            <w:tcW w:w="346" w:type="pct"/>
            <w:vAlign w:val="center"/>
          </w:tcPr>
          <w:p w:rsidR="00CF1222" w:rsidRDefault="00CF1222" w:rsidP="00CF1222">
            <w:pPr>
              <w:jc w:val="center"/>
              <w:rPr>
                <w:rFonts w:ascii="Times New Roman" w:hAnsi="Times New Roman"/>
                <w:sz w:val="21"/>
                <w:szCs w:val="21"/>
              </w:rPr>
            </w:pPr>
            <w:r>
              <w:rPr>
                <w:rFonts w:ascii="Times New Roman" w:hAnsi="Times New Roman" w:hint="eastAsia"/>
                <w:sz w:val="21"/>
                <w:szCs w:val="21"/>
              </w:rPr>
              <w:t>7</w:t>
            </w:r>
          </w:p>
        </w:tc>
        <w:tc>
          <w:tcPr>
            <w:tcW w:w="1933" w:type="pct"/>
            <w:vAlign w:val="center"/>
          </w:tcPr>
          <w:p w:rsidR="00CF1222" w:rsidRDefault="00CF1222" w:rsidP="00CF1222">
            <w:pPr>
              <w:jc w:val="center"/>
              <w:rPr>
                <w:rFonts w:ascii="Times New Roman" w:hAnsi="Times New Roman"/>
                <w:sz w:val="21"/>
                <w:szCs w:val="21"/>
              </w:rPr>
            </w:pPr>
            <w:r>
              <w:rPr>
                <w:rFonts w:ascii="Times New Roman" w:hAnsi="Times New Roman" w:hint="eastAsia"/>
                <w:kern w:val="0"/>
                <w:sz w:val="20"/>
                <w:szCs w:val="20"/>
              </w:rPr>
              <w:t>第</w:t>
            </w:r>
            <w:r>
              <w:rPr>
                <w:rFonts w:ascii="Times New Roman" w:hAnsi="Times New Roman" w:hint="eastAsia"/>
                <w:kern w:val="0"/>
                <w:sz w:val="20"/>
                <w:szCs w:val="20"/>
              </w:rPr>
              <w:t>8</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筒体结构设计</w:t>
            </w:r>
          </w:p>
        </w:tc>
        <w:tc>
          <w:tcPr>
            <w:tcW w:w="2720" w:type="pct"/>
            <w:vAlign w:val="center"/>
          </w:tcPr>
          <w:p w:rsidR="00CF1222" w:rsidRDefault="00CF1222" w:rsidP="00CF1222">
            <w:pPr>
              <w:rPr>
                <w:sz w:val="21"/>
                <w:szCs w:val="21"/>
              </w:rPr>
            </w:pPr>
            <w:r>
              <w:rPr>
                <w:rFonts w:ascii="Times New Roman" w:hAnsi="Times New Roman" w:hint="eastAsia"/>
                <w:kern w:val="0"/>
                <w:sz w:val="20"/>
                <w:szCs w:val="20"/>
              </w:rPr>
              <w:t>通过介绍筒体结构创始人、美国著名结构大师坎恩的优秀作品和对高层建筑发展的杰出贡献，培养学生不断探索、追求卓越的品质和精神，塑造学生的人生观和价值观，通过榜样的力量，帮助学生增强创新意识，树立远大理想。</w:t>
            </w:r>
          </w:p>
        </w:tc>
      </w:tr>
    </w:tbl>
    <w:p w:rsidR="00CF1222" w:rsidRDefault="00CF1222" w:rsidP="00CF1222">
      <w:pPr>
        <w:spacing w:beforeLines="50" w:before="156" w:afterLines="50" w:after="156"/>
        <w:rPr>
          <w:rFonts w:ascii="黑体" w:eastAsia="黑体" w:hAnsi="黑体"/>
          <w:b/>
          <w:sz w:val="28"/>
          <w:szCs w:val="28"/>
        </w:rPr>
      </w:pPr>
      <w:r>
        <w:rPr>
          <w:rFonts w:ascii="黑体" w:eastAsia="黑体" w:hAnsi="黑体" w:hint="eastAsia"/>
          <w:b/>
          <w:sz w:val="28"/>
          <w:szCs w:val="28"/>
        </w:rPr>
        <w:lastRenderedPageBreak/>
        <w:t>四、教学内容安排</w:t>
      </w:r>
    </w:p>
    <w:tbl>
      <w:tblPr>
        <w:tblW w:w="906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39"/>
        <w:gridCol w:w="735"/>
        <w:gridCol w:w="2296"/>
        <w:gridCol w:w="2160"/>
        <w:gridCol w:w="1713"/>
      </w:tblGrid>
      <w:tr w:rsidR="00CF1222" w:rsidTr="00CF1222">
        <w:trPr>
          <w:cantSplit/>
          <w:trHeight w:val="705"/>
        </w:trPr>
        <w:tc>
          <w:tcPr>
            <w:tcW w:w="421" w:type="dxa"/>
            <w:vAlign w:val="center"/>
          </w:tcPr>
          <w:p w:rsidR="00CF1222" w:rsidRDefault="00CF1222" w:rsidP="00CF1222">
            <w:pPr>
              <w:spacing w:line="360" w:lineRule="exact"/>
              <w:jc w:val="center"/>
              <w:rPr>
                <w:rFonts w:ascii="Times New Roman" w:hAnsi="Times New Roman"/>
                <w:kern w:val="0"/>
                <w:sz w:val="20"/>
                <w:szCs w:val="20"/>
              </w:rPr>
            </w:pPr>
            <w:r>
              <w:rPr>
                <w:rFonts w:ascii="Times New Roman" w:hAnsi="Times New Roman" w:hint="eastAsia"/>
                <w:kern w:val="0"/>
                <w:sz w:val="20"/>
                <w:szCs w:val="20"/>
              </w:rPr>
              <w:t>序号</w:t>
            </w:r>
          </w:p>
        </w:tc>
        <w:tc>
          <w:tcPr>
            <w:tcW w:w="1739" w:type="dxa"/>
            <w:vAlign w:val="center"/>
          </w:tcPr>
          <w:p w:rsidR="00CF1222" w:rsidRDefault="00CF1222" w:rsidP="00CF1222">
            <w:pPr>
              <w:spacing w:line="560" w:lineRule="exact"/>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35" w:type="dxa"/>
            <w:vAlign w:val="center"/>
          </w:tcPr>
          <w:p w:rsidR="00CF1222" w:rsidRDefault="00CF1222" w:rsidP="00CF1222">
            <w:pPr>
              <w:spacing w:line="360" w:lineRule="exact"/>
              <w:jc w:val="center"/>
              <w:rPr>
                <w:rFonts w:ascii="Times New Roman" w:hAnsi="Times New Roman"/>
                <w:kern w:val="0"/>
                <w:sz w:val="20"/>
                <w:szCs w:val="20"/>
              </w:rPr>
            </w:pPr>
            <w:r>
              <w:rPr>
                <w:rFonts w:ascii="Times New Roman" w:hAnsi="Times New Roman" w:hint="eastAsia"/>
                <w:kern w:val="0"/>
                <w:sz w:val="20"/>
                <w:szCs w:val="20"/>
              </w:rPr>
              <w:t>参考学时</w:t>
            </w:r>
          </w:p>
        </w:tc>
        <w:tc>
          <w:tcPr>
            <w:tcW w:w="2296" w:type="dxa"/>
            <w:vAlign w:val="center"/>
          </w:tcPr>
          <w:p w:rsidR="00CF1222" w:rsidRDefault="00CF1222" w:rsidP="00CF1222">
            <w:pPr>
              <w:spacing w:line="560" w:lineRule="exact"/>
              <w:jc w:val="center"/>
              <w:rPr>
                <w:rFonts w:ascii="Times New Roman" w:hAnsi="Times New Roman"/>
                <w:kern w:val="0"/>
                <w:sz w:val="20"/>
                <w:szCs w:val="20"/>
              </w:rPr>
            </w:pPr>
            <w:r>
              <w:rPr>
                <w:rFonts w:ascii="Times New Roman" w:hAnsi="Times New Roman" w:hint="eastAsia"/>
                <w:kern w:val="0"/>
                <w:sz w:val="20"/>
                <w:szCs w:val="20"/>
              </w:rPr>
              <w:t>教学内容</w:t>
            </w:r>
          </w:p>
        </w:tc>
        <w:tc>
          <w:tcPr>
            <w:tcW w:w="2160" w:type="dxa"/>
            <w:vAlign w:val="center"/>
          </w:tcPr>
          <w:p w:rsidR="00CF1222" w:rsidRDefault="00CF1222" w:rsidP="00CF1222">
            <w:pPr>
              <w:spacing w:line="560" w:lineRule="exact"/>
              <w:jc w:val="center"/>
              <w:rPr>
                <w:rFonts w:ascii="Times New Roman" w:hAnsi="Times New Roman"/>
                <w:kern w:val="0"/>
                <w:sz w:val="20"/>
                <w:szCs w:val="20"/>
              </w:rPr>
            </w:pPr>
            <w:r>
              <w:rPr>
                <w:rFonts w:ascii="Times New Roman" w:hAnsi="Times New Roman" w:hint="eastAsia"/>
                <w:kern w:val="0"/>
                <w:sz w:val="20"/>
                <w:szCs w:val="20"/>
              </w:rPr>
              <w:t>基本要求</w:t>
            </w:r>
          </w:p>
        </w:tc>
        <w:tc>
          <w:tcPr>
            <w:tcW w:w="1713" w:type="dxa"/>
            <w:vAlign w:val="center"/>
          </w:tcPr>
          <w:p w:rsidR="00CF1222" w:rsidRDefault="00CF1222" w:rsidP="00CF1222">
            <w:pPr>
              <w:spacing w:line="360" w:lineRule="exact"/>
              <w:jc w:val="center"/>
              <w:rPr>
                <w:rFonts w:ascii="Times New Roman" w:hAnsi="Times New Roman"/>
                <w:kern w:val="0"/>
                <w:sz w:val="20"/>
                <w:szCs w:val="20"/>
              </w:rPr>
            </w:pPr>
            <w:r>
              <w:rPr>
                <w:rFonts w:ascii="Times New Roman" w:hAnsi="Times New Roman" w:hint="eastAsia"/>
                <w:kern w:val="0"/>
                <w:sz w:val="20"/>
                <w:szCs w:val="20"/>
              </w:rPr>
              <w:t>对毕业要求的</w:t>
            </w:r>
          </w:p>
          <w:p w:rsidR="00CF1222" w:rsidRDefault="00CF1222" w:rsidP="00CF1222">
            <w:pPr>
              <w:spacing w:line="360" w:lineRule="exact"/>
              <w:jc w:val="center"/>
              <w:rPr>
                <w:rFonts w:ascii="Times New Roman" w:hAnsi="Times New Roman"/>
                <w:kern w:val="0"/>
                <w:sz w:val="20"/>
                <w:szCs w:val="20"/>
              </w:rPr>
            </w:pPr>
            <w:r>
              <w:rPr>
                <w:rFonts w:ascii="Times New Roman" w:hAnsi="Times New Roman" w:hint="eastAsia"/>
                <w:kern w:val="0"/>
                <w:sz w:val="20"/>
                <w:szCs w:val="20"/>
              </w:rPr>
              <w:t>支撑</w:t>
            </w:r>
          </w:p>
        </w:tc>
      </w:tr>
      <w:tr w:rsidR="00CF1222" w:rsidTr="00CF1222">
        <w:trPr>
          <w:trHeight w:val="1267"/>
        </w:trPr>
        <w:tc>
          <w:tcPr>
            <w:tcW w:w="421" w:type="dxa"/>
            <w:vAlign w:val="center"/>
          </w:tcPr>
          <w:p w:rsidR="00CF1222" w:rsidRDefault="00CF1222" w:rsidP="00CF1222">
            <w:pPr>
              <w:spacing w:line="560" w:lineRule="exact"/>
              <w:jc w:val="center"/>
              <w:rPr>
                <w:rFonts w:ascii="Times New Roman" w:hAnsi="Times New Roman"/>
                <w:kern w:val="0"/>
                <w:sz w:val="20"/>
                <w:szCs w:val="20"/>
              </w:rPr>
            </w:pPr>
            <w:r>
              <w:rPr>
                <w:rFonts w:ascii="Times New Roman" w:hAnsi="Times New Roman" w:hint="eastAsia"/>
                <w:kern w:val="0"/>
                <w:sz w:val="20"/>
                <w:szCs w:val="20"/>
              </w:rPr>
              <w:t>1</w:t>
            </w:r>
          </w:p>
        </w:tc>
        <w:tc>
          <w:tcPr>
            <w:tcW w:w="1739" w:type="dxa"/>
            <w:vAlign w:val="center"/>
          </w:tcPr>
          <w:p w:rsidR="00CF1222" w:rsidRDefault="00CF1222" w:rsidP="00CF1222">
            <w:pPr>
              <w:spacing w:line="360" w:lineRule="auto"/>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w:t>
            </w:r>
            <w:r>
              <w:rPr>
                <w:rFonts w:ascii="Times New Roman" w:hAnsi="Times New Roman" w:hint="eastAsia"/>
                <w:kern w:val="0"/>
                <w:sz w:val="20"/>
                <w:szCs w:val="20"/>
              </w:rPr>
              <w:t>章</w:t>
            </w:r>
            <w:r>
              <w:rPr>
                <w:rFonts w:ascii="Times New Roman" w:hAnsi="Times New Roman" w:hint="eastAsia"/>
                <w:kern w:val="0"/>
                <w:sz w:val="20"/>
                <w:szCs w:val="20"/>
              </w:rPr>
              <w:t xml:space="preserve"> </w:t>
            </w:r>
          </w:p>
          <w:p w:rsidR="00CF1222" w:rsidRDefault="00CF1222" w:rsidP="00CF1222">
            <w:pPr>
              <w:spacing w:line="360" w:lineRule="auto"/>
              <w:jc w:val="center"/>
              <w:rPr>
                <w:rFonts w:ascii="Times New Roman" w:hAnsi="Times New Roman"/>
                <w:kern w:val="0"/>
                <w:sz w:val="20"/>
                <w:szCs w:val="20"/>
              </w:rPr>
            </w:pPr>
            <w:r>
              <w:rPr>
                <w:rFonts w:ascii="Times New Roman" w:hAnsi="Times New Roman" w:hint="eastAsia"/>
                <w:kern w:val="0"/>
                <w:sz w:val="20"/>
                <w:szCs w:val="20"/>
              </w:rPr>
              <w:t>绪论</w:t>
            </w:r>
          </w:p>
        </w:tc>
        <w:tc>
          <w:tcPr>
            <w:tcW w:w="735" w:type="dxa"/>
            <w:vAlign w:val="center"/>
          </w:tcPr>
          <w:p w:rsidR="00CF1222" w:rsidRDefault="00CF1222" w:rsidP="00CF1222">
            <w:pPr>
              <w:spacing w:line="560" w:lineRule="exact"/>
              <w:jc w:val="center"/>
              <w:rPr>
                <w:rFonts w:ascii="Times New Roman" w:hAnsi="Times New Roman"/>
                <w:kern w:val="0"/>
                <w:sz w:val="20"/>
                <w:szCs w:val="20"/>
              </w:rPr>
            </w:pPr>
            <w:r>
              <w:rPr>
                <w:rFonts w:ascii="Times New Roman" w:hAnsi="Times New Roman" w:hint="eastAsia"/>
                <w:kern w:val="0"/>
                <w:sz w:val="20"/>
                <w:szCs w:val="20"/>
              </w:rPr>
              <w:t>2</w:t>
            </w:r>
          </w:p>
        </w:tc>
        <w:tc>
          <w:tcPr>
            <w:tcW w:w="2296"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1.1</w:t>
            </w:r>
            <w:r>
              <w:rPr>
                <w:rFonts w:ascii="Times New Roman" w:hAnsi="Times New Roman" w:hint="eastAsia"/>
                <w:kern w:val="0"/>
                <w:sz w:val="20"/>
                <w:szCs w:val="20"/>
              </w:rPr>
              <w:t>高层建筑的界定</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1.2</w:t>
            </w:r>
            <w:r>
              <w:rPr>
                <w:rFonts w:ascii="Times New Roman" w:hAnsi="Times New Roman" w:hint="eastAsia"/>
                <w:kern w:val="0"/>
                <w:sz w:val="20"/>
                <w:szCs w:val="20"/>
              </w:rPr>
              <w:t>高层建筑结构设计特点</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1.3</w:t>
            </w:r>
            <w:r>
              <w:rPr>
                <w:rFonts w:ascii="Times New Roman" w:hAnsi="Times New Roman" w:hint="eastAsia"/>
                <w:kern w:val="0"/>
                <w:sz w:val="20"/>
                <w:szCs w:val="20"/>
              </w:rPr>
              <w:t>高层建筑结构的类型</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1.4</w:t>
            </w:r>
            <w:r>
              <w:rPr>
                <w:rFonts w:ascii="Times New Roman" w:hAnsi="Times New Roman" w:hint="eastAsia"/>
                <w:kern w:val="0"/>
                <w:sz w:val="20"/>
                <w:szCs w:val="20"/>
              </w:rPr>
              <w:t>高层建筑的发展概况</w:t>
            </w:r>
          </w:p>
        </w:tc>
        <w:tc>
          <w:tcPr>
            <w:tcW w:w="2160"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了解高层建筑的的发展概况及本课程的主要内容和要求；理解高层结构的设计特点。</w:t>
            </w:r>
          </w:p>
        </w:tc>
        <w:tc>
          <w:tcPr>
            <w:tcW w:w="1713" w:type="dxa"/>
            <w:vAlign w:val="center"/>
          </w:tcPr>
          <w:p w:rsidR="00CF1222" w:rsidRDefault="00CF1222" w:rsidP="00CF1222">
            <w:pPr>
              <w:jc w:val="left"/>
              <w:rPr>
                <w:rFonts w:ascii="Times New Roman" w:hAnsi="Times New Roman"/>
                <w:kern w:val="0"/>
                <w:sz w:val="20"/>
                <w:szCs w:val="20"/>
              </w:rPr>
            </w:pPr>
            <w:r>
              <w:rPr>
                <w:rFonts w:ascii="Times New Roman" w:hAnsi="Times New Roman" w:hint="eastAsia"/>
                <w:kern w:val="0"/>
                <w:sz w:val="20"/>
                <w:szCs w:val="20"/>
              </w:rPr>
              <w:t>指标点</w:t>
            </w:r>
            <w:r>
              <w:rPr>
                <w:rFonts w:ascii="Times New Roman" w:hAnsi="Times New Roman" w:hint="eastAsia"/>
                <w:kern w:val="0"/>
                <w:sz w:val="20"/>
                <w:szCs w:val="20"/>
              </w:rPr>
              <w:t>3.1</w:t>
            </w:r>
            <w:r>
              <w:rPr>
                <w:rFonts w:ascii="Times New Roman" w:hAnsi="Times New Roman" w:hint="eastAsia"/>
                <w:kern w:val="0"/>
                <w:sz w:val="20"/>
                <w:szCs w:val="20"/>
              </w:rPr>
              <w:t>：工程设计能力：指标点</w:t>
            </w:r>
            <w:r>
              <w:rPr>
                <w:rFonts w:ascii="Times New Roman" w:hAnsi="Times New Roman" w:hint="eastAsia"/>
                <w:kern w:val="0"/>
                <w:sz w:val="20"/>
                <w:szCs w:val="20"/>
              </w:rPr>
              <w:t>8.2</w:t>
            </w:r>
            <w:r>
              <w:rPr>
                <w:rFonts w:ascii="Times New Roman" w:hAnsi="Times New Roman" w:hint="eastAsia"/>
                <w:kern w:val="0"/>
                <w:sz w:val="20"/>
                <w:szCs w:val="20"/>
              </w:rPr>
              <w:t>：诚信守则等职业道德。</w:t>
            </w:r>
          </w:p>
        </w:tc>
      </w:tr>
      <w:tr w:rsidR="00CF1222" w:rsidTr="00CF1222">
        <w:trPr>
          <w:trHeight w:val="1282"/>
        </w:trPr>
        <w:tc>
          <w:tcPr>
            <w:tcW w:w="421" w:type="dxa"/>
            <w:vAlign w:val="center"/>
          </w:tcPr>
          <w:p w:rsidR="00CF1222" w:rsidRDefault="00CF1222" w:rsidP="00CF1222">
            <w:pPr>
              <w:spacing w:line="560" w:lineRule="exact"/>
              <w:jc w:val="center"/>
              <w:rPr>
                <w:rFonts w:ascii="Times New Roman" w:hAnsi="Times New Roman"/>
                <w:kern w:val="0"/>
                <w:sz w:val="20"/>
                <w:szCs w:val="20"/>
              </w:rPr>
            </w:pPr>
            <w:r>
              <w:rPr>
                <w:rFonts w:ascii="Times New Roman" w:hAnsi="Times New Roman" w:hint="eastAsia"/>
                <w:kern w:val="0"/>
                <w:sz w:val="20"/>
                <w:szCs w:val="20"/>
              </w:rPr>
              <w:t>2</w:t>
            </w:r>
          </w:p>
        </w:tc>
        <w:tc>
          <w:tcPr>
            <w:tcW w:w="1739" w:type="dxa"/>
            <w:vAlign w:val="center"/>
          </w:tcPr>
          <w:p w:rsidR="00CF1222" w:rsidRDefault="00CF1222" w:rsidP="00CF1222">
            <w:pPr>
              <w:jc w:val="center"/>
              <w:rPr>
                <w:rFonts w:ascii="Times New Roman" w:hAnsi="Times New Roman"/>
                <w:kern w:val="0"/>
                <w:sz w:val="20"/>
                <w:szCs w:val="20"/>
              </w:rPr>
            </w:pPr>
          </w:p>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2</w:t>
            </w:r>
            <w:r>
              <w:rPr>
                <w:rFonts w:ascii="Times New Roman" w:hAnsi="Times New Roman" w:hint="eastAsia"/>
                <w:kern w:val="0"/>
                <w:sz w:val="20"/>
                <w:szCs w:val="20"/>
              </w:rPr>
              <w:t>章</w:t>
            </w:r>
            <w:r>
              <w:rPr>
                <w:rFonts w:ascii="Times New Roman" w:hAnsi="Times New Roman" w:hint="eastAsia"/>
                <w:kern w:val="0"/>
                <w:sz w:val="20"/>
                <w:szCs w:val="20"/>
              </w:rPr>
              <w:t xml:space="preserve"> </w:t>
            </w:r>
          </w:p>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高层建筑的结构体系与结构布置</w:t>
            </w:r>
          </w:p>
        </w:tc>
        <w:tc>
          <w:tcPr>
            <w:tcW w:w="735"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2</w:t>
            </w:r>
          </w:p>
        </w:tc>
        <w:tc>
          <w:tcPr>
            <w:tcW w:w="2296"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2.1</w:t>
            </w:r>
            <w:r>
              <w:rPr>
                <w:rFonts w:ascii="Times New Roman" w:hAnsi="Times New Roman" w:hint="eastAsia"/>
                <w:kern w:val="0"/>
                <w:sz w:val="20"/>
                <w:szCs w:val="20"/>
              </w:rPr>
              <w:t>结构体系</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2.2</w:t>
            </w:r>
            <w:r>
              <w:rPr>
                <w:rFonts w:ascii="Times New Roman" w:hAnsi="Times New Roman" w:hint="eastAsia"/>
                <w:kern w:val="0"/>
                <w:sz w:val="20"/>
                <w:szCs w:val="20"/>
              </w:rPr>
              <w:t>结构总体布置</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2.3</w:t>
            </w:r>
            <w:r>
              <w:rPr>
                <w:rFonts w:ascii="Times New Roman" w:hAnsi="Times New Roman" w:hint="eastAsia"/>
                <w:kern w:val="0"/>
                <w:sz w:val="20"/>
                <w:szCs w:val="20"/>
              </w:rPr>
              <w:t>高层建筑的楼盖结构及基础</w:t>
            </w:r>
          </w:p>
        </w:tc>
        <w:tc>
          <w:tcPr>
            <w:tcW w:w="2160" w:type="dxa"/>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了解高层混凝土结构体系</w:t>
            </w:r>
            <w:r>
              <w:rPr>
                <w:rFonts w:ascii="宋体" w:eastAsia="宋体" w:hAnsi="宋体" w:cs="宋体" w:hint="eastAsia"/>
                <w:kern w:val="0"/>
                <w:sz w:val="20"/>
                <w:szCs w:val="20"/>
              </w:rPr>
              <w:t>﹑</w:t>
            </w:r>
            <w:r>
              <w:rPr>
                <w:rFonts w:ascii="Times New Roman" w:hAnsi="Times New Roman" w:hint="eastAsia"/>
                <w:kern w:val="0"/>
                <w:sz w:val="20"/>
                <w:szCs w:val="20"/>
              </w:rPr>
              <w:t>受力特点及适用范围；理解结构布置原则和要求；了解楼盖及基础的选型要求。</w:t>
            </w:r>
          </w:p>
        </w:tc>
        <w:tc>
          <w:tcPr>
            <w:tcW w:w="1713"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指标点</w:t>
            </w:r>
            <w:r>
              <w:rPr>
                <w:rFonts w:ascii="Times New Roman" w:hAnsi="Times New Roman" w:hint="eastAsia"/>
                <w:kern w:val="0"/>
                <w:sz w:val="20"/>
                <w:szCs w:val="20"/>
              </w:rPr>
              <w:t>3.1</w:t>
            </w:r>
            <w:r>
              <w:rPr>
                <w:rFonts w:ascii="Times New Roman" w:hAnsi="Times New Roman" w:hint="eastAsia"/>
                <w:kern w:val="0"/>
                <w:sz w:val="20"/>
                <w:szCs w:val="20"/>
              </w:rPr>
              <w:t>：工程设计能力：指标点</w:t>
            </w:r>
            <w:r>
              <w:rPr>
                <w:rFonts w:ascii="Times New Roman" w:hAnsi="Times New Roman" w:hint="eastAsia"/>
                <w:kern w:val="0"/>
                <w:sz w:val="20"/>
                <w:szCs w:val="20"/>
              </w:rPr>
              <w:t>8.2</w:t>
            </w:r>
            <w:r>
              <w:rPr>
                <w:rFonts w:ascii="Times New Roman" w:hAnsi="Times New Roman" w:hint="eastAsia"/>
                <w:kern w:val="0"/>
                <w:sz w:val="20"/>
                <w:szCs w:val="20"/>
              </w:rPr>
              <w:t>：诚信守则等职业道德。</w:t>
            </w:r>
          </w:p>
        </w:tc>
      </w:tr>
      <w:tr w:rsidR="00CF1222" w:rsidTr="00CF1222">
        <w:trPr>
          <w:trHeight w:val="1282"/>
        </w:trPr>
        <w:tc>
          <w:tcPr>
            <w:tcW w:w="421" w:type="dxa"/>
            <w:vAlign w:val="center"/>
          </w:tcPr>
          <w:p w:rsidR="00CF1222" w:rsidRDefault="00CF1222" w:rsidP="00CF1222">
            <w:pPr>
              <w:spacing w:line="560" w:lineRule="exact"/>
              <w:jc w:val="center"/>
              <w:rPr>
                <w:rFonts w:ascii="Times New Roman" w:hAnsi="Times New Roman"/>
                <w:kern w:val="0"/>
                <w:sz w:val="20"/>
                <w:szCs w:val="20"/>
              </w:rPr>
            </w:pPr>
            <w:r>
              <w:rPr>
                <w:rFonts w:ascii="Times New Roman" w:hAnsi="Times New Roman" w:hint="eastAsia"/>
                <w:kern w:val="0"/>
                <w:sz w:val="20"/>
                <w:szCs w:val="20"/>
              </w:rPr>
              <w:t>3</w:t>
            </w:r>
          </w:p>
        </w:tc>
        <w:tc>
          <w:tcPr>
            <w:tcW w:w="1739"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3</w:t>
            </w:r>
            <w:r>
              <w:rPr>
                <w:rFonts w:ascii="Times New Roman" w:hAnsi="Times New Roman" w:hint="eastAsia"/>
                <w:kern w:val="0"/>
                <w:sz w:val="20"/>
                <w:szCs w:val="20"/>
              </w:rPr>
              <w:t>章</w:t>
            </w:r>
            <w:r>
              <w:rPr>
                <w:rFonts w:ascii="Times New Roman" w:hAnsi="Times New Roman" w:hint="eastAsia"/>
                <w:kern w:val="0"/>
                <w:sz w:val="20"/>
                <w:szCs w:val="20"/>
              </w:rPr>
              <w:t xml:space="preserve"> </w:t>
            </w:r>
          </w:p>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高层结构的荷载和地震作用</w:t>
            </w:r>
          </w:p>
        </w:tc>
        <w:tc>
          <w:tcPr>
            <w:tcW w:w="735"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2</w:t>
            </w:r>
          </w:p>
        </w:tc>
        <w:tc>
          <w:tcPr>
            <w:tcW w:w="2296"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3.1</w:t>
            </w:r>
            <w:r>
              <w:rPr>
                <w:rFonts w:ascii="Times New Roman" w:hAnsi="Times New Roman" w:hint="eastAsia"/>
                <w:kern w:val="0"/>
                <w:sz w:val="20"/>
                <w:szCs w:val="20"/>
              </w:rPr>
              <w:t>竖向荷载</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3.2</w:t>
            </w:r>
            <w:r>
              <w:rPr>
                <w:rFonts w:ascii="Times New Roman" w:hAnsi="Times New Roman" w:hint="eastAsia"/>
                <w:kern w:val="0"/>
                <w:sz w:val="20"/>
                <w:szCs w:val="20"/>
              </w:rPr>
              <w:t>风荷载</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3.3</w:t>
            </w:r>
            <w:r>
              <w:rPr>
                <w:rFonts w:ascii="Times New Roman" w:hAnsi="Times New Roman" w:hint="eastAsia"/>
                <w:kern w:val="0"/>
                <w:sz w:val="20"/>
                <w:szCs w:val="20"/>
              </w:rPr>
              <w:t>地震作用</w:t>
            </w:r>
          </w:p>
        </w:tc>
        <w:tc>
          <w:tcPr>
            <w:tcW w:w="2160"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掌握高层结构竖向荷载及风荷载的计算方法；了解地震作用的计算原则。</w:t>
            </w:r>
            <w:r>
              <w:rPr>
                <w:rFonts w:ascii="Times New Roman" w:hAnsi="Times New Roman" w:hint="eastAsia"/>
                <w:kern w:val="0"/>
                <w:sz w:val="20"/>
                <w:szCs w:val="20"/>
              </w:rPr>
              <w:t xml:space="preserve"> </w:t>
            </w:r>
          </w:p>
        </w:tc>
        <w:tc>
          <w:tcPr>
            <w:tcW w:w="1713"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指标点</w:t>
            </w:r>
            <w:r>
              <w:rPr>
                <w:rFonts w:ascii="Times New Roman" w:hAnsi="Times New Roman" w:hint="eastAsia"/>
                <w:kern w:val="0"/>
                <w:sz w:val="20"/>
                <w:szCs w:val="20"/>
              </w:rPr>
              <w:t>1.4</w:t>
            </w:r>
            <w:r>
              <w:rPr>
                <w:rFonts w:ascii="Times New Roman" w:hAnsi="Times New Roman" w:hint="eastAsia"/>
                <w:kern w:val="0"/>
                <w:sz w:val="20"/>
                <w:szCs w:val="20"/>
              </w:rPr>
              <w:t>：工程问题解决能力；指标点</w:t>
            </w:r>
            <w:r>
              <w:rPr>
                <w:rFonts w:ascii="Times New Roman" w:hAnsi="Times New Roman" w:hint="eastAsia"/>
                <w:kern w:val="0"/>
                <w:sz w:val="20"/>
                <w:szCs w:val="20"/>
              </w:rPr>
              <w:t>3.1</w:t>
            </w:r>
            <w:r>
              <w:rPr>
                <w:rFonts w:ascii="Times New Roman" w:hAnsi="Times New Roman" w:hint="eastAsia"/>
                <w:kern w:val="0"/>
                <w:sz w:val="20"/>
                <w:szCs w:val="20"/>
              </w:rPr>
              <w:t>：工程设计能力。</w:t>
            </w:r>
          </w:p>
        </w:tc>
      </w:tr>
      <w:tr w:rsidR="00CF1222" w:rsidTr="00CF1222">
        <w:trPr>
          <w:trHeight w:val="1332"/>
        </w:trPr>
        <w:tc>
          <w:tcPr>
            <w:tcW w:w="421" w:type="dxa"/>
            <w:vAlign w:val="center"/>
          </w:tcPr>
          <w:p w:rsidR="00CF1222" w:rsidRDefault="00CF1222" w:rsidP="00CF1222">
            <w:pPr>
              <w:spacing w:line="560" w:lineRule="exact"/>
              <w:jc w:val="center"/>
              <w:rPr>
                <w:rFonts w:ascii="华文中宋" w:eastAsia="华文中宋" w:hAnsi="华文中宋"/>
                <w:szCs w:val="21"/>
              </w:rPr>
            </w:pPr>
            <w:r>
              <w:rPr>
                <w:rFonts w:ascii="Times New Roman" w:hAnsi="Times New Roman" w:hint="eastAsia"/>
                <w:kern w:val="0"/>
                <w:sz w:val="20"/>
                <w:szCs w:val="20"/>
              </w:rPr>
              <w:t>4</w:t>
            </w:r>
          </w:p>
        </w:tc>
        <w:tc>
          <w:tcPr>
            <w:tcW w:w="1739" w:type="dxa"/>
            <w:vAlign w:val="center"/>
          </w:tcPr>
          <w:p w:rsidR="00CF1222" w:rsidRDefault="00CF1222" w:rsidP="00CF1222">
            <w:pPr>
              <w:jc w:val="center"/>
              <w:rPr>
                <w:rFonts w:ascii="Times New Roman" w:hAnsi="Times New Roman"/>
                <w:kern w:val="0"/>
                <w:sz w:val="20"/>
                <w:szCs w:val="20"/>
              </w:rPr>
            </w:pPr>
          </w:p>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4</w:t>
            </w:r>
            <w:r>
              <w:rPr>
                <w:rFonts w:ascii="Times New Roman" w:hAnsi="Times New Roman" w:hint="eastAsia"/>
                <w:kern w:val="0"/>
                <w:sz w:val="20"/>
                <w:szCs w:val="20"/>
              </w:rPr>
              <w:t>章</w:t>
            </w:r>
            <w:r>
              <w:rPr>
                <w:rFonts w:ascii="Times New Roman" w:hAnsi="Times New Roman" w:hint="eastAsia"/>
                <w:kern w:val="0"/>
                <w:sz w:val="20"/>
                <w:szCs w:val="20"/>
              </w:rPr>
              <w:t xml:space="preserve"> </w:t>
            </w:r>
          </w:p>
          <w:p w:rsidR="00CF1222" w:rsidRDefault="00CF1222" w:rsidP="00CF1222">
            <w:pPr>
              <w:jc w:val="center"/>
              <w:rPr>
                <w:rFonts w:ascii="华文中宋" w:eastAsia="华文中宋" w:hAnsi="华文中宋"/>
                <w:szCs w:val="21"/>
              </w:rPr>
            </w:pPr>
            <w:r>
              <w:rPr>
                <w:rFonts w:ascii="Times New Roman" w:hAnsi="Times New Roman" w:hint="eastAsia"/>
                <w:kern w:val="0"/>
                <w:sz w:val="20"/>
                <w:szCs w:val="20"/>
              </w:rPr>
              <w:t>高层结构的计算分析和设计要求</w:t>
            </w:r>
          </w:p>
        </w:tc>
        <w:tc>
          <w:tcPr>
            <w:tcW w:w="735" w:type="dxa"/>
            <w:vAlign w:val="center"/>
          </w:tcPr>
          <w:p w:rsidR="00CF1222" w:rsidRDefault="00CF1222" w:rsidP="00CF1222">
            <w:pPr>
              <w:jc w:val="center"/>
              <w:rPr>
                <w:rFonts w:ascii="华文中宋" w:eastAsia="华文中宋" w:hAnsi="华文中宋"/>
                <w:szCs w:val="21"/>
              </w:rPr>
            </w:pPr>
            <w:r>
              <w:rPr>
                <w:rFonts w:ascii="Times New Roman" w:hAnsi="Times New Roman" w:hint="eastAsia"/>
                <w:kern w:val="0"/>
                <w:sz w:val="20"/>
                <w:szCs w:val="20"/>
              </w:rPr>
              <w:t>2</w:t>
            </w:r>
          </w:p>
        </w:tc>
        <w:tc>
          <w:tcPr>
            <w:tcW w:w="2296"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4.1</w:t>
            </w:r>
            <w:r>
              <w:rPr>
                <w:rFonts w:ascii="Times New Roman" w:hAnsi="Times New Roman" w:hint="eastAsia"/>
                <w:kern w:val="0"/>
                <w:sz w:val="20"/>
                <w:szCs w:val="20"/>
              </w:rPr>
              <w:t>高层结构计算分析</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4.2</w:t>
            </w:r>
            <w:r>
              <w:rPr>
                <w:rFonts w:ascii="Times New Roman" w:hAnsi="Times New Roman" w:hint="eastAsia"/>
                <w:kern w:val="0"/>
                <w:sz w:val="20"/>
                <w:szCs w:val="20"/>
              </w:rPr>
              <w:t>荷载及地震作用组合的效应设计值</w:t>
            </w:r>
          </w:p>
          <w:p w:rsidR="00CF1222" w:rsidRDefault="00CF1222" w:rsidP="00CF1222">
            <w:pPr>
              <w:rPr>
                <w:rFonts w:ascii="华文中宋" w:eastAsia="华文中宋" w:hAnsi="华文中宋"/>
                <w:szCs w:val="21"/>
              </w:rPr>
            </w:pPr>
            <w:r>
              <w:rPr>
                <w:rFonts w:ascii="Times New Roman" w:hAnsi="Times New Roman" w:hint="eastAsia"/>
                <w:kern w:val="0"/>
                <w:sz w:val="20"/>
                <w:szCs w:val="20"/>
              </w:rPr>
              <w:t>4.3</w:t>
            </w:r>
            <w:r>
              <w:rPr>
                <w:rFonts w:ascii="Times New Roman" w:hAnsi="Times New Roman" w:hint="eastAsia"/>
                <w:kern w:val="0"/>
                <w:sz w:val="20"/>
                <w:szCs w:val="20"/>
              </w:rPr>
              <w:t>高层结构设计要求</w:t>
            </w:r>
          </w:p>
        </w:tc>
        <w:tc>
          <w:tcPr>
            <w:tcW w:w="2160"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了解高层结构计算分析方法；理解高层结构设计要求；掌握荷载及地震作用组合的效应设计值计算方法。</w:t>
            </w:r>
          </w:p>
        </w:tc>
        <w:tc>
          <w:tcPr>
            <w:tcW w:w="1713"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指标点</w:t>
            </w:r>
            <w:r>
              <w:rPr>
                <w:rFonts w:ascii="Times New Roman" w:hAnsi="Times New Roman" w:hint="eastAsia"/>
                <w:kern w:val="0"/>
                <w:sz w:val="20"/>
                <w:szCs w:val="20"/>
              </w:rPr>
              <w:t>2.3</w:t>
            </w:r>
            <w:r>
              <w:rPr>
                <w:rFonts w:ascii="Times New Roman" w:hAnsi="Times New Roman" w:hint="eastAsia"/>
                <w:kern w:val="0"/>
                <w:sz w:val="20"/>
                <w:szCs w:val="20"/>
              </w:rPr>
              <w:t>：工程问题分析能力；指标点</w:t>
            </w:r>
            <w:r>
              <w:rPr>
                <w:rFonts w:ascii="Times New Roman" w:hAnsi="Times New Roman" w:hint="eastAsia"/>
                <w:kern w:val="0"/>
                <w:sz w:val="20"/>
                <w:szCs w:val="20"/>
              </w:rPr>
              <w:t>3.1</w:t>
            </w:r>
            <w:r>
              <w:rPr>
                <w:rFonts w:ascii="Times New Roman" w:hAnsi="Times New Roman" w:hint="eastAsia"/>
                <w:kern w:val="0"/>
                <w:sz w:val="20"/>
                <w:szCs w:val="20"/>
              </w:rPr>
              <w:t>：工程设计能力。</w:t>
            </w:r>
          </w:p>
        </w:tc>
      </w:tr>
      <w:tr w:rsidR="00CF1222" w:rsidTr="00CF1222">
        <w:trPr>
          <w:trHeight w:val="2299"/>
        </w:trPr>
        <w:tc>
          <w:tcPr>
            <w:tcW w:w="421" w:type="dxa"/>
            <w:vAlign w:val="center"/>
          </w:tcPr>
          <w:p w:rsidR="00CF1222" w:rsidRDefault="00CF1222" w:rsidP="00CF1222">
            <w:pPr>
              <w:spacing w:line="560" w:lineRule="exact"/>
              <w:jc w:val="center"/>
              <w:rPr>
                <w:rFonts w:ascii="Times New Roman" w:hAnsi="Times New Roman"/>
                <w:kern w:val="0"/>
                <w:sz w:val="20"/>
                <w:szCs w:val="20"/>
              </w:rPr>
            </w:pPr>
            <w:r>
              <w:rPr>
                <w:rFonts w:ascii="Times New Roman" w:hAnsi="Times New Roman" w:hint="eastAsia"/>
                <w:kern w:val="0"/>
                <w:sz w:val="20"/>
                <w:szCs w:val="20"/>
              </w:rPr>
              <w:t>5</w:t>
            </w:r>
          </w:p>
        </w:tc>
        <w:tc>
          <w:tcPr>
            <w:tcW w:w="1739" w:type="dxa"/>
            <w:vAlign w:val="center"/>
          </w:tcPr>
          <w:p w:rsidR="00CF1222" w:rsidRDefault="00CF1222" w:rsidP="00CF1222">
            <w:pPr>
              <w:jc w:val="center"/>
              <w:rPr>
                <w:rFonts w:ascii="Times New Roman" w:hAnsi="Times New Roman"/>
                <w:kern w:val="0"/>
                <w:sz w:val="20"/>
                <w:szCs w:val="20"/>
              </w:rPr>
            </w:pPr>
          </w:p>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6</w:t>
            </w:r>
            <w:r>
              <w:rPr>
                <w:rFonts w:ascii="Times New Roman" w:hAnsi="Times New Roman" w:hint="eastAsia"/>
                <w:kern w:val="0"/>
                <w:sz w:val="20"/>
                <w:szCs w:val="20"/>
              </w:rPr>
              <w:t>章</w:t>
            </w:r>
            <w:r>
              <w:rPr>
                <w:rFonts w:ascii="Times New Roman" w:hAnsi="Times New Roman" w:hint="eastAsia"/>
                <w:kern w:val="0"/>
                <w:sz w:val="20"/>
                <w:szCs w:val="20"/>
              </w:rPr>
              <w:t xml:space="preserve"> </w:t>
            </w:r>
          </w:p>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剪力墙结构设计</w:t>
            </w:r>
          </w:p>
        </w:tc>
        <w:tc>
          <w:tcPr>
            <w:tcW w:w="735"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8</w:t>
            </w:r>
          </w:p>
        </w:tc>
        <w:tc>
          <w:tcPr>
            <w:tcW w:w="2296"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6.1</w:t>
            </w:r>
            <w:r>
              <w:rPr>
                <w:rFonts w:ascii="Times New Roman" w:hAnsi="Times New Roman" w:hint="eastAsia"/>
                <w:kern w:val="0"/>
                <w:sz w:val="20"/>
                <w:szCs w:val="20"/>
              </w:rPr>
              <w:t>结构布置</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6.2</w:t>
            </w:r>
            <w:r>
              <w:rPr>
                <w:rFonts w:ascii="Times New Roman" w:hAnsi="Times New Roman" w:hint="eastAsia"/>
                <w:kern w:val="0"/>
                <w:sz w:val="20"/>
                <w:szCs w:val="20"/>
              </w:rPr>
              <w:t>剪力墙结构平面协同工作分析</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6.3</w:t>
            </w:r>
            <w:r>
              <w:rPr>
                <w:rFonts w:ascii="Times New Roman" w:hAnsi="Times New Roman" w:hint="eastAsia"/>
                <w:kern w:val="0"/>
                <w:sz w:val="20"/>
                <w:szCs w:val="20"/>
              </w:rPr>
              <w:t>整截面墙、联肢墙等各类剪力墙内力和位移计算</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6.4</w:t>
            </w:r>
            <w:r>
              <w:rPr>
                <w:rFonts w:ascii="Times New Roman" w:hAnsi="Times New Roman" w:hint="eastAsia"/>
                <w:kern w:val="0"/>
                <w:sz w:val="20"/>
                <w:szCs w:val="20"/>
              </w:rPr>
              <w:t>剪力墙的分类与判别</w:t>
            </w:r>
            <w:r>
              <w:rPr>
                <w:rFonts w:ascii="Times New Roman" w:hAnsi="Times New Roman" w:hint="eastAsia"/>
                <w:kern w:val="0"/>
                <w:sz w:val="20"/>
                <w:szCs w:val="20"/>
              </w:rPr>
              <w:t>6.5</w:t>
            </w:r>
            <w:r>
              <w:rPr>
                <w:rFonts w:ascii="Times New Roman" w:hAnsi="Times New Roman" w:hint="eastAsia"/>
                <w:kern w:val="0"/>
                <w:sz w:val="20"/>
                <w:szCs w:val="20"/>
              </w:rPr>
              <w:t>剪力墙截面设计和构造要求</w:t>
            </w:r>
          </w:p>
        </w:tc>
        <w:tc>
          <w:tcPr>
            <w:tcW w:w="2160"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了解剪力墙结构布置要求；理解剪力墙结构平面协同工作简图、各类剪力墙受力特点、等效刚度等概念；掌握剪力墙的分类判别、各类剪力墙内力和位移计算方法、剪力墙截面设计和构造要求。</w:t>
            </w:r>
          </w:p>
        </w:tc>
        <w:tc>
          <w:tcPr>
            <w:tcW w:w="1713"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指标点</w:t>
            </w:r>
            <w:r>
              <w:rPr>
                <w:rFonts w:ascii="Times New Roman" w:hAnsi="Times New Roman" w:hint="eastAsia"/>
                <w:kern w:val="0"/>
                <w:sz w:val="20"/>
                <w:szCs w:val="20"/>
              </w:rPr>
              <w:t>1.4</w:t>
            </w:r>
            <w:r>
              <w:rPr>
                <w:rFonts w:ascii="Times New Roman" w:hAnsi="Times New Roman" w:hint="eastAsia"/>
                <w:kern w:val="0"/>
                <w:sz w:val="20"/>
                <w:szCs w:val="20"/>
              </w:rPr>
              <w:t>：工程问题解决能力；指标点</w:t>
            </w:r>
            <w:r>
              <w:rPr>
                <w:rFonts w:ascii="Times New Roman" w:hAnsi="Times New Roman" w:hint="eastAsia"/>
                <w:kern w:val="0"/>
                <w:sz w:val="20"/>
                <w:szCs w:val="20"/>
              </w:rPr>
              <w:t>2.3</w:t>
            </w:r>
            <w:r>
              <w:rPr>
                <w:rFonts w:ascii="Times New Roman" w:hAnsi="Times New Roman" w:hint="eastAsia"/>
                <w:kern w:val="0"/>
                <w:sz w:val="20"/>
                <w:szCs w:val="20"/>
              </w:rPr>
              <w:t>：工程问题分析能力；指标点</w:t>
            </w:r>
            <w:r>
              <w:rPr>
                <w:rFonts w:ascii="Times New Roman" w:hAnsi="Times New Roman" w:hint="eastAsia"/>
                <w:kern w:val="0"/>
                <w:sz w:val="20"/>
                <w:szCs w:val="20"/>
              </w:rPr>
              <w:t>3.1</w:t>
            </w:r>
            <w:r>
              <w:rPr>
                <w:rFonts w:ascii="Times New Roman" w:hAnsi="Times New Roman" w:hint="eastAsia"/>
                <w:kern w:val="0"/>
                <w:sz w:val="20"/>
                <w:szCs w:val="20"/>
              </w:rPr>
              <w:t>：工程设计能力。</w:t>
            </w:r>
          </w:p>
        </w:tc>
      </w:tr>
      <w:tr w:rsidR="00CF1222" w:rsidTr="00CF1222">
        <w:trPr>
          <w:trHeight w:val="2589"/>
        </w:trPr>
        <w:tc>
          <w:tcPr>
            <w:tcW w:w="421" w:type="dxa"/>
            <w:vAlign w:val="center"/>
          </w:tcPr>
          <w:p w:rsidR="00CF1222" w:rsidRDefault="00CF1222" w:rsidP="00CF1222">
            <w:pPr>
              <w:spacing w:line="560" w:lineRule="exact"/>
              <w:jc w:val="center"/>
              <w:rPr>
                <w:rFonts w:ascii="Times New Roman" w:hAnsi="Times New Roman"/>
                <w:kern w:val="0"/>
                <w:sz w:val="20"/>
                <w:szCs w:val="20"/>
              </w:rPr>
            </w:pPr>
            <w:r>
              <w:rPr>
                <w:rFonts w:ascii="Times New Roman" w:hAnsi="Times New Roman" w:hint="eastAsia"/>
                <w:kern w:val="0"/>
                <w:sz w:val="20"/>
                <w:szCs w:val="20"/>
              </w:rPr>
              <w:t>6</w:t>
            </w:r>
          </w:p>
        </w:tc>
        <w:tc>
          <w:tcPr>
            <w:tcW w:w="1739"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7</w:t>
            </w:r>
            <w:r>
              <w:rPr>
                <w:rFonts w:ascii="Times New Roman" w:hAnsi="Times New Roman" w:hint="eastAsia"/>
                <w:kern w:val="0"/>
                <w:sz w:val="20"/>
                <w:szCs w:val="20"/>
              </w:rPr>
              <w:t>章</w:t>
            </w:r>
            <w:r>
              <w:rPr>
                <w:rFonts w:ascii="Times New Roman" w:hAnsi="Times New Roman" w:hint="eastAsia"/>
                <w:kern w:val="0"/>
                <w:sz w:val="20"/>
                <w:szCs w:val="20"/>
              </w:rPr>
              <w:t xml:space="preserve"> </w:t>
            </w:r>
          </w:p>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框架</w:t>
            </w:r>
            <w:r>
              <w:rPr>
                <w:rFonts w:ascii="Times New Roman" w:hAnsi="Times New Roman" w:hint="eastAsia"/>
                <w:kern w:val="0"/>
                <w:sz w:val="20"/>
                <w:szCs w:val="20"/>
              </w:rPr>
              <w:t>-</w:t>
            </w:r>
            <w:r>
              <w:rPr>
                <w:rFonts w:ascii="Times New Roman" w:hAnsi="Times New Roman" w:hint="eastAsia"/>
                <w:kern w:val="0"/>
                <w:sz w:val="20"/>
                <w:szCs w:val="20"/>
              </w:rPr>
              <w:t>剪力墙结构设计</w:t>
            </w:r>
          </w:p>
        </w:tc>
        <w:tc>
          <w:tcPr>
            <w:tcW w:w="735"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4</w:t>
            </w:r>
          </w:p>
        </w:tc>
        <w:tc>
          <w:tcPr>
            <w:tcW w:w="2296"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7.1</w:t>
            </w:r>
            <w:r>
              <w:rPr>
                <w:rFonts w:ascii="Times New Roman" w:hAnsi="Times New Roman" w:hint="eastAsia"/>
                <w:kern w:val="0"/>
                <w:sz w:val="20"/>
                <w:szCs w:val="20"/>
              </w:rPr>
              <w:t>结构布置</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7.2</w:t>
            </w:r>
            <w:r>
              <w:rPr>
                <w:rFonts w:ascii="Times New Roman" w:hAnsi="Times New Roman" w:hint="eastAsia"/>
                <w:kern w:val="0"/>
                <w:sz w:val="20"/>
                <w:szCs w:val="20"/>
              </w:rPr>
              <w:t>框架</w:t>
            </w:r>
            <w:r>
              <w:rPr>
                <w:rFonts w:ascii="Times New Roman" w:hAnsi="Times New Roman" w:hint="eastAsia"/>
                <w:kern w:val="0"/>
                <w:sz w:val="20"/>
                <w:szCs w:val="20"/>
              </w:rPr>
              <w:t>-</w:t>
            </w:r>
            <w:r>
              <w:rPr>
                <w:rFonts w:ascii="Times New Roman" w:hAnsi="Times New Roman" w:hint="eastAsia"/>
                <w:kern w:val="0"/>
                <w:sz w:val="20"/>
                <w:szCs w:val="20"/>
              </w:rPr>
              <w:t>剪力墙结构的设计方法和协同工作</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7.3</w:t>
            </w:r>
            <w:r>
              <w:rPr>
                <w:rFonts w:ascii="Times New Roman" w:hAnsi="Times New Roman" w:hint="eastAsia"/>
                <w:kern w:val="0"/>
                <w:sz w:val="20"/>
                <w:szCs w:val="20"/>
              </w:rPr>
              <w:t>框架</w:t>
            </w:r>
            <w:r>
              <w:rPr>
                <w:rFonts w:ascii="Times New Roman" w:hAnsi="Times New Roman" w:hint="eastAsia"/>
                <w:kern w:val="0"/>
                <w:sz w:val="20"/>
                <w:szCs w:val="20"/>
              </w:rPr>
              <w:t>-</w:t>
            </w:r>
            <w:r>
              <w:rPr>
                <w:rFonts w:ascii="Times New Roman" w:hAnsi="Times New Roman" w:hint="eastAsia"/>
                <w:kern w:val="0"/>
                <w:sz w:val="20"/>
                <w:szCs w:val="20"/>
              </w:rPr>
              <w:t>剪力墙铰接与刚接体系的结构分析</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7.4</w:t>
            </w:r>
            <w:r>
              <w:rPr>
                <w:rFonts w:ascii="Times New Roman" w:hAnsi="Times New Roman" w:hint="eastAsia"/>
                <w:kern w:val="0"/>
                <w:sz w:val="20"/>
                <w:szCs w:val="20"/>
              </w:rPr>
              <w:t>框架</w:t>
            </w:r>
            <w:r>
              <w:rPr>
                <w:rFonts w:ascii="Times New Roman" w:hAnsi="Times New Roman" w:hint="eastAsia"/>
                <w:kern w:val="0"/>
                <w:sz w:val="20"/>
                <w:szCs w:val="20"/>
              </w:rPr>
              <w:t>-</w:t>
            </w:r>
            <w:r>
              <w:rPr>
                <w:rFonts w:ascii="Times New Roman" w:hAnsi="Times New Roman" w:hint="eastAsia"/>
                <w:kern w:val="0"/>
                <w:sz w:val="20"/>
                <w:szCs w:val="20"/>
              </w:rPr>
              <w:t>剪力墙结构的截面设计和构造要求</w:t>
            </w:r>
          </w:p>
        </w:tc>
        <w:tc>
          <w:tcPr>
            <w:tcW w:w="2160"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了解框架</w:t>
            </w:r>
            <w:r>
              <w:rPr>
                <w:rFonts w:ascii="Times New Roman" w:hAnsi="Times New Roman" w:hint="eastAsia"/>
                <w:kern w:val="0"/>
                <w:sz w:val="20"/>
                <w:szCs w:val="20"/>
              </w:rPr>
              <w:t>-</w:t>
            </w:r>
            <w:r>
              <w:rPr>
                <w:rFonts w:ascii="Times New Roman" w:hAnsi="Times New Roman" w:hint="eastAsia"/>
                <w:kern w:val="0"/>
                <w:sz w:val="20"/>
                <w:szCs w:val="20"/>
              </w:rPr>
              <w:t>剪力墙结构布置要求、截面设计和构造要求；理解框架</w:t>
            </w:r>
            <w:r>
              <w:rPr>
                <w:rFonts w:ascii="Times New Roman" w:hAnsi="Times New Roman" w:hint="eastAsia"/>
                <w:kern w:val="0"/>
                <w:sz w:val="20"/>
                <w:szCs w:val="20"/>
              </w:rPr>
              <w:t>-</w:t>
            </w:r>
            <w:r>
              <w:rPr>
                <w:rFonts w:ascii="Times New Roman" w:hAnsi="Times New Roman" w:hint="eastAsia"/>
                <w:kern w:val="0"/>
                <w:sz w:val="20"/>
                <w:szCs w:val="20"/>
              </w:rPr>
              <w:t>剪力墙结构设计方法、协同工作简图、内力分布及侧移特点、刚度特征值</w:t>
            </w:r>
            <w:r>
              <w:rPr>
                <w:rFonts w:ascii="Times New Roman" w:hAnsi="Times New Roman"/>
                <w:kern w:val="0"/>
                <w:sz w:val="20"/>
                <w:szCs w:val="20"/>
              </w:rPr>
              <w:t>λ</w:t>
            </w:r>
            <w:r>
              <w:rPr>
                <w:rFonts w:ascii="Times New Roman" w:hAnsi="Times New Roman" w:hint="eastAsia"/>
                <w:kern w:val="0"/>
                <w:sz w:val="20"/>
                <w:szCs w:val="20"/>
              </w:rPr>
              <w:t>对其内力及荷载分配影响；掌握框架</w:t>
            </w:r>
            <w:r>
              <w:rPr>
                <w:rFonts w:ascii="Times New Roman" w:hAnsi="Times New Roman" w:hint="eastAsia"/>
                <w:kern w:val="0"/>
                <w:sz w:val="20"/>
                <w:szCs w:val="20"/>
              </w:rPr>
              <w:t>-</w:t>
            </w:r>
            <w:r>
              <w:rPr>
                <w:rFonts w:ascii="Times New Roman" w:hAnsi="Times New Roman" w:hint="eastAsia"/>
                <w:kern w:val="0"/>
                <w:sz w:val="20"/>
                <w:szCs w:val="20"/>
              </w:rPr>
              <w:t>剪力墙铰接体系连续化计算方法。</w:t>
            </w:r>
          </w:p>
        </w:tc>
        <w:tc>
          <w:tcPr>
            <w:tcW w:w="1713"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指标点</w:t>
            </w:r>
            <w:r>
              <w:rPr>
                <w:rFonts w:ascii="Times New Roman" w:hAnsi="Times New Roman" w:hint="eastAsia"/>
                <w:kern w:val="0"/>
                <w:sz w:val="20"/>
                <w:szCs w:val="20"/>
              </w:rPr>
              <w:t>1.4</w:t>
            </w:r>
            <w:r>
              <w:rPr>
                <w:rFonts w:ascii="Times New Roman" w:hAnsi="Times New Roman" w:hint="eastAsia"/>
                <w:kern w:val="0"/>
                <w:sz w:val="20"/>
                <w:szCs w:val="20"/>
              </w:rPr>
              <w:t>：工程问题解决能力；指标点</w:t>
            </w:r>
            <w:r>
              <w:rPr>
                <w:rFonts w:ascii="Times New Roman" w:hAnsi="Times New Roman" w:hint="eastAsia"/>
                <w:kern w:val="0"/>
                <w:sz w:val="20"/>
                <w:szCs w:val="20"/>
              </w:rPr>
              <w:t>2.3</w:t>
            </w:r>
            <w:r>
              <w:rPr>
                <w:rFonts w:ascii="Times New Roman" w:hAnsi="Times New Roman" w:hint="eastAsia"/>
                <w:kern w:val="0"/>
                <w:sz w:val="20"/>
                <w:szCs w:val="20"/>
              </w:rPr>
              <w:t>：工程问题分析能力；指标点</w:t>
            </w:r>
            <w:r>
              <w:rPr>
                <w:rFonts w:ascii="Times New Roman" w:hAnsi="Times New Roman" w:hint="eastAsia"/>
                <w:kern w:val="0"/>
                <w:sz w:val="20"/>
                <w:szCs w:val="20"/>
              </w:rPr>
              <w:t>3.1</w:t>
            </w:r>
            <w:r>
              <w:rPr>
                <w:rFonts w:ascii="Times New Roman" w:hAnsi="Times New Roman" w:hint="eastAsia"/>
                <w:kern w:val="0"/>
                <w:sz w:val="20"/>
                <w:szCs w:val="20"/>
              </w:rPr>
              <w:t>：工程设计能力。</w:t>
            </w:r>
          </w:p>
        </w:tc>
      </w:tr>
      <w:tr w:rsidR="00CF1222" w:rsidTr="00CF1222">
        <w:trPr>
          <w:trHeight w:val="2055"/>
        </w:trPr>
        <w:tc>
          <w:tcPr>
            <w:tcW w:w="421" w:type="dxa"/>
            <w:vAlign w:val="center"/>
          </w:tcPr>
          <w:p w:rsidR="00CF1222" w:rsidRDefault="00CF1222" w:rsidP="00CF1222">
            <w:pPr>
              <w:spacing w:line="560" w:lineRule="exact"/>
              <w:jc w:val="center"/>
              <w:rPr>
                <w:rFonts w:ascii="Times New Roman" w:hAnsi="Times New Roman"/>
                <w:kern w:val="0"/>
                <w:sz w:val="20"/>
                <w:szCs w:val="20"/>
              </w:rPr>
            </w:pPr>
            <w:r>
              <w:rPr>
                <w:rFonts w:ascii="Times New Roman" w:hAnsi="Times New Roman" w:hint="eastAsia"/>
                <w:kern w:val="0"/>
                <w:sz w:val="20"/>
                <w:szCs w:val="20"/>
              </w:rPr>
              <w:lastRenderedPageBreak/>
              <w:t>7</w:t>
            </w:r>
          </w:p>
        </w:tc>
        <w:tc>
          <w:tcPr>
            <w:tcW w:w="1739"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8</w:t>
            </w:r>
            <w:r>
              <w:rPr>
                <w:rFonts w:ascii="Times New Roman" w:hAnsi="Times New Roman" w:hint="eastAsia"/>
                <w:kern w:val="0"/>
                <w:sz w:val="20"/>
                <w:szCs w:val="20"/>
              </w:rPr>
              <w:t>章</w:t>
            </w:r>
            <w:r>
              <w:rPr>
                <w:rFonts w:ascii="Times New Roman" w:hAnsi="Times New Roman" w:hint="eastAsia"/>
                <w:kern w:val="0"/>
                <w:sz w:val="20"/>
                <w:szCs w:val="20"/>
              </w:rPr>
              <w:t xml:space="preserve"> </w:t>
            </w:r>
          </w:p>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筒体结构设计</w:t>
            </w:r>
          </w:p>
        </w:tc>
        <w:tc>
          <w:tcPr>
            <w:tcW w:w="735" w:type="dxa"/>
            <w:vAlign w:val="center"/>
          </w:tcPr>
          <w:p w:rsidR="00CF1222" w:rsidRDefault="00CF1222" w:rsidP="00CF1222">
            <w:pPr>
              <w:jc w:val="center"/>
              <w:rPr>
                <w:rFonts w:ascii="Times New Roman" w:hAnsi="Times New Roman"/>
                <w:kern w:val="0"/>
                <w:sz w:val="20"/>
                <w:szCs w:val="20"/>
              </w:rPr>
            </w:pPr>
            <w:r>
              <w:rPr>
                <w:rFonts w:ascii="Times New Roman" w:hAnsi="Times New Roman" w:hint="eastAsia"/>
                <w:kern w:val="0"/>
                <w:sz w:val="20"/>
                <w:szCs w:val="20"/>
              </w:rPr>
              <w:t>4</w:t>
            </w:r>
          </w:p>
        </w:tc>
        <w:tc>
          <w:tcPr>
            <w:tcW w:w="2296"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8.1</w:t>
            </w:r>
            <w:r>
              <w:rPr>
                <w:rFonts w:ascii="Times New Roman" w:hAnsi="Times New Roman" w:hint="eastAsia"/>
                <w:kern w:val="0"/>
                <w:sz w:val="20"/>
                <w:szCs w:val="20"/>
              </w:rPr>
              <w:t>框筒、筒中筒及束筒结构的布置</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8.2</w:t>
            </w:r>
            <w:r>
              <w:rPr>
                <w:rFonts w:ascii="Times New Roman" w:hAnsi="Times New Roman" w:hint="eastAsia"/>
                <w:kern w:val="0"/>
                <w:sz w:val="20"/>
                <w:szCs w:val="20"/>
              </w:rPr>
              <w:t>框架</w:t>
            </w:r>
            <w:r>
              <w:rPr>
                <w:rFonts w:ascii="Times New Roman" w:hAnsi="Times New Roman" w:hint="eastAsia"/>
                <w:kern w:val="0"/>
                <w:sz w:val="20"/>
                <w:szCs w:val="20"/>
              </w:rPr>
              <w:t>-</w:t>
            </w:r>
            <w:r>
              <w:rPr>
                <w:rFonts w:ascii="Times New Roman" w:hAnsi="Times New Roman" w:hint="eastAsia"/>
                <w:kern w:val="0"/>
                <w:sz w:val="20"/>
                <w:szCs w:val="20"/>
              </w:rPr>
              <w:t>核心筒结构布置</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8.3</w:t>
            </w:r>
            <w:r>
              <w:rPr>
                <w:rFonts w:ascii="Times New Roman" w:hAnsi="Times New Roman" w:hint="eastAsia"/>
                <w:kern w:val="0"/>
                <w:sz w:val="20"/>
                <w:szCs w:val="20"/>
              </w:rPr>
              <w:t>筒体结构计算方法</w:t>
            </w:r>
          </w:p>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8.4</w:t>
            </w:r>
            <w:r>
              <w:rPr>
                <w:rFonts w:ascii="Times New Roman" w:hAnsi="Times New Roman" w:hint="eastAsia"/>
                <w:kern w:val="0"/>
                <w:sz w:val="20"/>
                <w:szCs w:val="20"/>
              </w:rPr>
              <w:t>筒体结构的设计要点及构造要求</w:t>
            </w:r>
          </w:p>
        </w:tc>
        <w:tc>
          <w:tcPr>
            <w:tcW w:w="2160"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了解筒中筒和框架</w:t>
            </w:r>
            <w:r>
              <w:rPr>
                <w:rFonts w:ascii="Times New Roman" w:hAnsi="Times New Roman" w:hint="eastAsia"/>
                <w:kern w:val="0"/>
                <w:sz w:val="20"/>
                <w:szCs w:val="20"/>
              </w:rPr>
              <w:t>-</w:t>
            </w:r>
            <w:r>
              <w:rPr>
                <w:rFonts w:ascii="Times New Roman" w:hAnsi="Times New Roman" w:hint="eastAsia"/>
                <w:kern w:val="0"/>
                <w:sz w:val="20"/>
                <w:szCs w:val="20"/>
              </w:rPr>
              <w:t>核心筒结构布置要求；理解筒体结构空间受力性能、框筒剪力滞后现象、筒中筒与框架</w:t>
            </w:r>
            <w:r>
              <w:rPr>
                <w:rFonts w:ascii="Times New Roman" w:hAnsi="Times New Roman" w:hint="eastAsia"/>
                <w:kern w:val="0"/>
                <w:sz w:val="20"/>
                <w:szCs w:val="20"/>
              </w:rPr>
              <w:t>-</w:t>
            </w:r>
            <w:r>
              <w:rPr>
                <w:rFonts w:ascii="Times New Roman" w:hAnsi="Times New Roman" w:hint="eastAsia"/>
                <w:kern w:val="0"/>
                <w:sz w:val="20"/>
                <w:szCs w:val="20"/>
              </w:rPr>
              <w:t>核心筒结构受力区别；了解筒体结构的近似计算、设计及构造要求。</w:t>
            </w:r>
          </w:p>
        </w:tc>
        <w:tc>
          <w:tcPr>
            <w:tcW w:w="1713" w:type="dxa"/>
            <w:vAlign w:val="center"/>
          </w:tcPr>
          <w:p w:rsidR="00CF1222" w:rsidRDefault="00CF1222" w:rsidP="00CF1222">
            <w:pPr>
              <w:rPr>
                <w:rFonts w:ascii="Times New Roman" w:hAnsi="Times New Roman"/>
                <w:kern w:val="0"/>
                <w:sz w:val="20"/>
                <w:szCs w:val="20"/>
              </w:rPr>
            </w:pPr>
            <w:r>
              <w:rPr>
                <w:rFonts w:ascii="Times New Roman" w:hAnsi="Times New Roman" w:hint="eastAsia"/>
                <w:kern w:val="0"/>
                <w:sz w:val="20"/>
                <w:szCs w:val="20"/>
              </w:rPr>
              <w:t>指标点</w:t>
            </w:r>
            <w:r>
              <w:rPr>
                <w:rFonts w:ascii="Times New Roman" w:hAnsi="Times New Roman" w:hint="eastAsia"/>
                <w:kern w:val="0"/>
                <w:sz w:val="20"/>
                <w:szCs w:val="20"/>
              </w:rPr>
              <w:t>1.4</w:t>
            </w:r>
            <w:r>
              <w:rPr>
                <w:rFonts w:ascii="Times New Roman" w:hAnsi="Times New Roman" w:hint="eastAsia"/>
                <w:kern w:val="0"/>
                <w:sz w:val="20"/>
                <w:szCs w:val="20"/>
              </w:rPr>
              <w:t>：工程问题解决能力；指标点</w:t>
            </w:r>
            <w:r>
              <w:rPr>
                <w:rFonts w:ascii="Times New Roman" w:hAnsi="Times New Roman" w:hint="eastAsia"/>
                <w:kern w:val="0"/>
                <w:sz w:val="20"/>
                <w:szCs w:val="20"/>
              </w:rPr>
              <w:t>2.3</w:t>
            </w:r>
            <w:r>
              <w:rPr>
                <w:rFonts w:ascii="Times New Roman" w:hAnsi="Times New Roman" w:hint="eastAsia"/>
                <w:kern w:val="0"/>
                <w:sz w:val="20"/>
                <w:szCs w:val="20"/>
              </w:rPr>
              <w:t>：工程问题分析能力；指标点</w:t>
            </w:r>
            <w:r>
              <w:rPr>
                <w:rFonts w:ascii="Times New Roman" w:hAnsi="Times New Roman" w:hint="eastAsia"/>
                <w:kern w:val="0"/>
                <w:sz w:val="20"/>
                <w:szCs w:val="20"/>
              </w:rPr>
              <w:t>3.1</w:t>
            </w:r>
            <w:r>
              <w:rPr>
                <w:rFonts w:ascii="Times New Roman" w:hAnsi="Times New Roman" w:hint="eastAsia"/>
                <w:kern w:val="0"/>
                <w:sz w:val="20"/>
                <w:szCs w:val="20"/>
              </w:rPr>
              <w:t>：工程设计能力。</w:t>
            </w:r>
          </w:p>
        </w:tc>
      </w:tr>
    </w:tbl>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F1222" w:rsidRDefault="00CF1222" w:rsidP="00CF1222">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F1222" w:rsidRDefault="00CF1222" w:rsidP="00CF1222">
      <w:pPr>
        <w:spacing w:afterLines="50" w:after="156"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本课程的总评成绩由平时成绩和期末考查（开卷）两个考核环节综合评定产生，其中平时成绩包括考勤、作业和讨论等环节。</w:t>
      </w:r>
    </w:p>
    <w:p w:rsidR="00CF1222" w:rsidRDefault="00CF1222"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F1222" w:rsidRDefault="00CF1222" w:rsidP="00CF1222">
      <w:pPr>
        <w:adjustRightInd w:val="0"/>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本课程的成绩评定方式采用等级制，按优、良、中、及格、不及格五级评分。</w:t>
      </w:r>
    </w:p>
    <w:p w:rsidR="00CF1222" w:rsidRDefault="00CF1222" w:rsidP="00CF1222">
      <w:pPr>
        <w:spacing w:line="560" w:lineRule="exact"/>
        <w:ind w:firstLineChars="200" w:firstLine="560"/>
        <w:rPr>
          <w:rStyle w:val="fontstyle11"/>
          <w:rFonts w:ascii="宋体" w:eastAsia="宋体" w:hAnsi="宋体" w:cs="宋体"/>
          <w:color w:val="FF0000"/>
          <w:sz w:val="21"/>
          <w:szCs w:val="21"/>
        </w:rPr>
      </w:pPr>
      <w:r>
        <w:rPr>
          <w:rFonts w:ascii="仿宋_GB2312" w:hAnsi="仿宋_GB2312" w:cs="仿宋_GB2312"/>
          <w:sz w:val="28"/>
          <w:szCs w:val="28"/>
        </w:rPr>
        <w:t>课程总成绩=期末成绩</w:t>
      </w:r>
      <w:r>
        <w:rPr>
          <w:rFonts w:ascii="仿宋_GB2312" w:hAnsi="仿宋_GB2312" w:cs="仿宋_GB2312" w:hint="eastAsia"/>
          <w:sz w:val="24"/>
          <w:szCs w:val="24"/>
        </w:rPr>
        <w:t>70%</w:t>
      </w:r>
      <w:r>
        <w:rPr>
          <w:rFonts w:ascii="仿宋_GB2312" w:hAnsi="仿宋_GB2312" w:cs="仿宋_GB2312" w:hint="eastAsia"/>
          <w:sz w:val="28"/>
          <w:szCs w:val="28"/>
        </w:rPr>
        <w:t>+平时</w:t>
      </w:r>
      <w:r>
        <w:rPr>
          <w:rFonts w:ascii="仿宋_GB2312" w:hAnsi="仿宋_GB2312" w:cs="仿宋_GB2312"/>
          <w:sz w:val="28"/>
          <w:szCs w:val="28"/>
        </w:rPr>
        <w:t>成绩</w:t>
      </w:r>
      <w:r>
        <w:rPr>
          <w:rFonts w:ascii="仿宋_GB2312" w:hAnsi="仿宋_GB2312" w:cs="仿宋_GB2312" w:hint="eastAsia"/>
          <w:sz w:val="24"/>
          <w:szCs w:val="24"/>
        </w:rPr>
        <w:t>30%</w:t>
      </w:r>
      <w:r>
        <w:rPr>
          <w:rStyle w:val="fontstyle11"/>
          <w:rFonts w:ascii="宋体" w:eastAsia="宋体" w:hAnsi="宋体" w:cs="宋体"/>
          <w:color w:val="FF0000"/>
          <w:sz w:val="21"/>
          <w:szCs w:val="21"/>
        </w:rPr>
        <w:t xml:space="preserve">  </w:t>
      </w:r>
    </w:p>
    <w:p w:rsidR="00CF1222" w:rsidRDefault="00CF1222" w:rsidP="00CF1222">
      <w:pPr>
        <w:spacing w:afterLines="50" w:after="156" w:line="560" w:lineRule="exact"/>
        <w:ind w:firstLineChars="200" w:firstLine="560"/>
        <w:rPr>
          <w:rFonts w:ascii="Times New Roman" w:hAnsi="Times New Roman"/>
          <w:sz w:val="28"/>
          <w:szCs w:val="28"/>
        </w:rPr>
      </w:pPr>
      <w:r>
        <w:rPr>
          <w:rFonts w:ascii="Times New Roman" w:hAnsi="Times New Roman"/>
          <w:sz w:val="28"/>
          <w:szCs w:val="28"/>
        </w:rPr>
        <w:t>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4639"/>
        <w:gridCol w:w="1666"/>
      </w:tblGrid>
      <w:tr w:rsidR="00CF1222" w:rsidTr="00CF1222">
        <w:trPr>
          <w:trHeight w:val="350"/>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rFonts w:ascii="Times New Roman" w:hAnsi="Times New Roman"/>
                <w:kern w:val="0"/>
                <w:sz w:val="20"/>
                <w:szCs w:val="20"/>
              </w:rPr>
            </w:pPr>
            <w:r>
              <w:rPr>
                <w:rFonts w:ascii="Times New Roman" w:hAnsi="Times New Roman" w:hint="eastAsia"/>
                <w:kern w:val="0"/>
                <w:sz w:val="20"/>
                <w:szCs w:val="20"/>
              </w:rPr>
              <w:t>考核环节</w:t>
            </w:r>
          </w:p>
        </w:tc>
        <w:tc>
          <w:tcPr>
            <w:tcW w:w="1004" w:type="pct"/>
            <w:vMerge w:val="restar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rFonts w:ascii="Times New Roman" w:hAnsi="Times New Roman"/>
                <w:kern w:val="0"/>
                <w:sz w:val="20"/>
                <w:szCs w:val="20"/>
              </w:rPr>
            </w:pPr>
            <w:r>
              <w:rPr>
                <w:rFonts w:ascii="Times New Roman" w:hAnsi="Times New Roman" w:hint="eastAsia"/>
                <w:kern w:val="0"/>
                <w:sz w:val="20"/>
                <w:szCs w:val="20"/>
              </w:rPr>
              <w:t>教学目标</w:t>
            </w:r>
          </w:p>
        </w:tc>
      </w:tr>
      <w:tr w:rsidR="00CF1222" w:rsidTr="00CF1222">
        <w:trPr>
          <w:trHeight w:val="380"/>
          <w:jc w:val="center"/>
        </w:trPr>
        <w:tc>
          <w:tcPr>
            <w:tcW w:w="12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rFonts w:ascii="Times New Roman" w:hAnsi="Times New Roman"/>
                <w:kern w:val="0"/>
                <w:sz w:val="20"/>
                <w:szCs w:val="20"/>
              </w:rPr>
            </w:pPr>
            <w:r>
              <w:rPr>
                <w:rFonts w:ascii="Times New Roman" w:hAnsi="Times New Roman" w:hint="eastAsia"/>
                <w:kern w:val="0"/>
                <w:sz w:val="20"/>
                <w:szCs w:val="20"/>
              </w:rPr>
              <w:t>分项比例</w:t>
            </w:r>
          </w:p>
        </w:tc>
        <w:tc>
          <w:tcPr>
            <w:tcW w:w="2795"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rFonts w:ascii="Times New Roman" w:hAnsi="Times New Roman"/>
                <w:kern w:val="0"/>
                <w:sz w:val="20"/>
                <w:szCs w:val="20"/>
              </w:rPr>
            </w:pPr>
            <w:r>
              <w:rPr>
                <w:rFonts w:ascii="Times New Roman" w:hAnsi="Times New Roman" w:hint="eastAsia"/>
                <w:kern w:val="0"/>
                <w:sz w:val="20"/>
                <w:szCs w:val="20"/>
              </w:rPr>
              <w:t>考核要求</w:t>
            </w:r>
          </w:p>
        </w:tc>
        <w:tc>
          <w:tcPr>
            <w:tcW w:w="1004" w:type="pct"/>
            <w:vMerge/>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rFonts w:ascii="Times New Roman" w:hAnsi="Times New Roman"/>
                <w:kern w:val="0"/>
                <w:sz w:val="20"/>
                <w:szCs w:val="20"/>
              </w:rPr>
            </w:pPr>
          </w:p>
        </w:tc>
      </w:tr>
      <w:tr w:rsidR="00CF1222" w:rsidTr="00CF1222">
        <w:trPr>
          <w:trHeight w:val="1655"/>
          <w:jc w:val="center"/>
        </w:trPr>
        <w:tc>
          <w:tcPr>
            <w:tcW w:w="12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rFonts w:ascii="Times New Roman" w:hAnsi="Times New Roman"/>
                <w:kern w:val="0"/>
                <w:sz w:val="20"/>
                <w:szCs w:val="20"/>
              </w:rPr>
            </w:pPr>
            <w:r>
              <w:rPr>
                <w:rFonts w:ascii="Times New Roman" w:hAnsi="Times New Roman" w:hint="eastAsia"/>
                <w:kern w:val="0"/>
                <w:sz w:val="20"/>
                <w:szCs w:val="20"/>
              </w:rPr>
              <w:t>平时成绩</w:t>
            </w:r>
          </w:p>
          <w:p w:rsidR="00CF1222" w:rsidRDefault="00CF1222" w:rsidP="00CF1222">
            <w:pPr>
              <w:spacing w:line="300" w:lineRule="exact"/>
              <w:jc w:val="cente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30%</w:t>
            </w:r>
            <w:r>
              <w:rPr>
                <w:rFonts w:ascii="Times New Roman" w:hAnsi="Times New Roman" w:hint="eastAsia"/>
                <w:kern w:val="0"/>
                <w:sz w:val="20"/>
                <w:szCs w:val="20"/>
              </w:rPr>
              <w:t>）</w:t>
            </w:r>
          </w:p>
        </w:tc>
        <w:tc>
          <w:tcPr>
            <w:tcW w:w="2795" w:type="pct"/>
            <w:tcBorders>
              <w:top w:val="single" w:sz="4" w:space="0" w:color="auto"/>
              <w:left w:val="single" w:sz="4" w:space="0" w:color="auto"/>
              <w:right w:val="single" w:sz="4" w:space="0" w:color="auto"/>
            </w:tcBorders>
            <w:vAlign w:val="center"/>
          </w:tcPr>
          <w:p w:rsidR="00CF1222" w:rsidRDefault="00CF1222" w:rsidP="00CF1222">
            <w:pPr>
              <w:spacing w:line="300" w:lineRule="exact"/>
              <w:rPr>
                <w:rFonts w:ascii="Times New Roman" w:hAnsi="Times New Roman"/>
                <w:kern w:val="0"/>
                <w:sz w:val="20"/>
                <w:szCs w:val="20"/>
              </w:rPr>
            </w:pPr>
            <w:r>
              <w:rPr>
                <w:rFonts w:ascii="Times New Roman" w:hAnsi="Times New Roman" w:hint="eastAsia"/>
                <w:kern w:val="0"/>
                <w:sz w:val="20"/>
                <w:szCs w:val="20"/>
              </w:rPr>
              <w:t>出勤统计不少于授课次数的</w:t>
            </w:r>
            <w:r>
              <w:rPr>
                <w:rFonts w:ascii="Times New Roman" w:hAnsi="Times New Roman" w:hint="eastAsia"/>
                <w:kern w:val="0"/>
                <w:sz w:val="20"/>
                <w:szCs w:val="20"/>
              </w:rPr>
              <w:t xml:space="preserve"> 2/3</w:t>
            </w:r>
            <w:r>
              <w:rPr>
                <w:rFonts w:ascii="Times New Roman" w:hAnsi="Times New Roman" w:hint="eastAsia"/>
                <w:kern w:val="0"/>
                <w:sz w:val="20"/>
                <w:szCs w:val="20"/>
              </w:rPr>
              <w:t>，考查学生的课堂表现，占</w:t>
            </w:r>
            <w:r>
              <w:rPr>
                <w:rFonts w:ascii="Times New Roman" w:hAnsi="Times New Roman" w:hint="eastAsia"/>
                <w:kern w:val="0"/>
                <w:sz w:val="20"/>
                <w:szCs w:val="20"/>
              </w:rPr>
              <w:t>30%</w:t>
            </w:r>
            <w:r>
              <w:rPr>
                <w:rFonts w:ascii="Times New Roman" w:hAnsi="Times New Roman" w:hint="eastAsia"/>
                <w:kern w:val="0"/>
                <w:sz w:val="20"/>
                <w:szCs w:val="20"/>
              </w:rPr>
              <w:t>；课后作业分概念思考题和计算分析题两类，考核学生对高层结构设计的基本概念、受力分析及设计方法的掌握情况，占</w:t>
            </w:r>
            <w:r>
              <w:rPr>
                <w:rFonts w:ascii="Times New Roman" w:hAnsi="Times New Roman" w:hint="eastAsia"/>
                <w:kern w:val="0"/>
                <w:sz w:val="20"/>
                <w:szCs w:val="20"/>
              </w:rPr>
              <w:t>50%</w:t>
            </w:r>
            <w:r>
              <w:rPr>
                <w:rFonts w:ascii="Times New Roman" w:hAnsi="Times New Roman" w:hint="eastAsia"/>
                <w:kern w:val="0"/>
                <w:sz w:val="20"/>
                <w:szCs w:val="20"/>
              </w:rPr>
              <w:t>；课堂提问及讨论不超过授课时间的</w:t>
            </w:r>
            <w:r>
              <w:rPr>
                <w:rFonts w:ascii="Times New Roman" w:hAnsi="Times New Roman" w:hint="eastAsia"/>
                <w:kern w:val="0"/>
                <w:sz w:val="20"/>
                <w:szCs w:val="20"/>
              </w:rPr>
              <w:t>1/10</w:t>
            </w:r>
            <w:r>
              <w:rPr>
                <w:rFonts w:ascii="Times New Roman" w:hAnsi="Times New Roman" w:hint="eastAsia"/>
                <w:kern w:val="0"/>
                <w:sz w:val="20"/>
                <w:szCs w:val="20"/>
              </w:rPr>
              <w:t>，检查学生对课程知识要点的理解程度，占</w:t>
            </w:r>
            <w:r>
              <w:rPr>
                <w:rFonts w:ascii="Times New Roman" w:hAnsi="Times New Roman" w:hint="eastAsia"/>
                <w:kern w:val="0"/>
                <w:sz w:val="20"/>
                <w:szCs w:val="20"/>
              </w:rPr>
              <w:t>20%</w:t>
            </w:r>
            <w:r>
              <w:rPr>
                <w:rFonts w:ascii="Times New Roman" w:hAnsi="Times New Roman" w:hint="eastAsia"/>
                <w:kern w:val="0"/>
                <w:sz w:val="20"/>
                <w:szCs w:val="20"/>
              </w:rPr>
              <w:t>。</w:t>
            </w:r>
          </w:p>
        </w:tc>
        <w:tc>
          <w:tcPr>
            <w:tcW w:w="1004" w:type="pct"/>
            <w:tcBorders>
              <w:top w:val="single" w:sz="4" w:space="0" w:color="auto"/>
              <w:left w:val="single" w:sz="4" w:space="0" w:color="auto"/>
              <w:right w:val="single" w:sz="4" w:space="0" w:color="auto"/>
            </w:tcBorders>
            <w:vAlign w:val="center"/>
          </w:tcPr>
          <w:p w:rsidR="00CF1222" w:rsidRDefault="00CF1222" w:rsidP="00CF1222">
            <w:pPr>
              <w:spacing w:line="300" w:lineRule="exact"/>
              <w:jc w:val="cente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1</w:t>
            </w:r>
            <w:r>
              <w:rPr>
                <w:rFonts w:ascii="Times New Roman" w:hAnsi="Times New Roman" w:hint="eastAsia"/>
                <w:kern w:val="0"/>
                <w:sz w:val="20"/>
                <w:szCs w:val="20"/>
              </w:rPr>
              <w:t>）</w:t>
            </w:r>
            <w:r>
              <w:rPr>
                <w:rFonts w:ascii="宋体" w:eastAsia="宋体" w:hAnsi="宋体" w:cs="宋体" w:hint="eastAsia"/>
                <w:kern w:val="0"/>
                <w:sz w:val="20"/>
                <w:szCs w:val="20"/>
              </w:rPr>
              <w:t>～</w:t>
            </w:r>
            <w:r>
              <w:rPr>
                <w:rFonts w:ascii="Times New Roman" w:hAnsi="Times New Roman" w:hint="eastAsia"/>
                <w:kern w:val="0"/>
                <w:sz w:val="20"/>
                <w:szCs w:val="20"/>
              </w:rPr>
              <w:t>（</w:t>
            </w:r>
            <w:r>
              <w:rPr>
                <w:rFonts w:ascii="Times New Roman" w:hAnsi="Times New Roman" w:hint="eastAsia"/>
                <w:kern w:val="0"/>
                <w:sz w:val="20"/>
                <w:szCs w:val="20"/>
              </w:rPr>
              <w:t>3</w:t>
            </w:r>
            <w:r>
              <w:rPr>
                <w:rFonts w:ascii="Times New Roman" w:hAnsi="Times New Roman" w:hint="eastAsia"/>
                <w:kern w:val="0"/>
                <w:sz w:val="20"/>
                <w:szCs w:val="20"/>
              </w:rPr>
              <w:t>）</w:t>
            </w:r>
          </w:p>
        </w:tc>
      </w:tr>
      <w:tr w:rsidR="00CF1222" w:rsidTr="00CF1222">
        <w:trPr>
          <w:trHeight w:val="1155"/>
          <w:jc w:val="center"/>
        </w:trPr>
        <w:tc>
          <w:tcPr>
            <w:tcW w:w="1200" w:type="pct"/>
            <w:tcBorders>
              <w:top w:val="single" w:sz="4" w:space="0" w:color="auto"/>
              <w:left w:val="single" w:sz="4" w:space="0" w:color="auto"/>
              <w:bottom w:val="single" w:sz="4" w:space="0" w:color="auto"/>
              <w:right w:val="single" w:sz="4" w:space="0" w:color="auto"/>
            </w:tcBorders>
            <w:vAlign w:val="center"/>
          </w:tcPr>
          <w:p w:rsidR="00CF1222" w:rsidRDefault="00CF1222" w:rsidP="00CF1222">
            <w:pPr>
              <w:spacing w:line="300" w:lineRule="exact"/>
              <w:jc w:val="center"/>
              <w:rPr>
                <w:rFonts w:ascii="Times New Roman" w:hAnsi="Times New Roman"/>
                <w:kern w:val="0"/>
                <w:sz w:val="20"/>
                <w:szCs w:val="20"/>
              </w:rPr>
            </w:pPr>
            <w:r>
              <w:rPr>
                <w:rFonts w:ascii="Times New Roman" w:hAnsi="Times New Roman" w:hint="eastAsia"/>
                <w:kern w:val="0"/>
                <w:sz w:val="20"/>
                <w:szCs w:val="20"/>
              </w:rPr>
              <w:t>期末考查</w:t>
            </w:r>
          </w:p>
          <w:p w:rsidR="00CF1222" w:rsidRDefault="00CF1222" w:rsidP="00CF1222">
            <w:pPr>
              <w:spacing w:line="300" w:lineRule="exact"/>
              <w:jc w:val="cente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70%</w:t>
            </w:r>
            <w:r>
              <w:rPr>
                <w:rFonts w:ascii="Times New Roman" w:hAnsi="Times New Roman" w:hint="eastAsia"/>
                <w:kern w:val="0"/>
                <w:sz w:val="20"/>
                <w:szCs w:val="20"/>
              </w:rPr>
              <w:t>）</w:t>
            </w:r>
          </w:p>
        </w:tc>
        <w:tc>
          <w:tcPr>
            <w:tcW w:w="2795" w:type="pct"/>
            <w:tcBorders>
              <w:top w:val="single" w:sz="4" w:space="0" w:color="auto"/>
              <w:left w:val="single" w:sz="4" w:space="0" w:color="auto"/>
              <w:right w:val="single" w:sz="4" w:space="0" w:color="auto"/>
            </w:tcBorders>
            <w:vAlign w:val="center"/>
          </w:tcPr>
          <w:p w:rsidR="00CF1222" w:rsidRDefault="00CF1222" w:rsidP="00CF1222">
            <w:pPr>
              <w:spacing w:line="300" w:lineRule="exact"/>
              <w:rPr>
                <w:rFonts w:ascii="Times New Roman" w:hAnsi="Times New Roman"/>
                <w:kern w:val="0"/>
                <w:sz w:val="20"/>
                <w:szCs w:val="20"/>
              </w:rPr>
            </w:pPr>
            <w:r>
              <w:rPr>
                <w:rFonts w:ascii="Times New Roman" w:hAnsi="Times New Roman" w:hint="eastAsia"/>
                <w:kern w:val="0"/>
                <w:sz w:val="20"/>
                <w:szCs w:val="20"/>
              </w:rPr>
              <w:t>期末考查采用开卷形式，考核范围基本涵盖所有讲授内容，考题分为概念原理题和计算分析题两类，主要考查学生对本课程结构设计概念和计算理论的理解和掌握程度。</w:t>
            </w:r>
          </w:p>
        </w:tc>
        <w:tc>
          <w:tcPr>
            <w:tcW w:w="1004" w:type="pct"/>
            <w:tcBorders>
              <w:top w:val="single" w:sz="4" w:space="0" w:color="auto"/>
              <w:left w:val="single" w:sz="4" w:space="0" w:color="auto"/>
              <w:right w:val="single" w:sz="4" w:space="0" w:color="auto"/>
            </w:tcBorders>
            <w:vAlign w:val="center"/>
          </w:tcPr>
          <w:p w:rsidR="00CF1222" w:rsidRDefault="00CF1222" w:rsidP="00CF1222">
            <w:pPr>
              <w:spacing w:line="300" w:lineRule="exact"/>
              <w:jc w:val="center"/>
              <w:rPr>
                <w:rFonts w:ascii="Times New Roman" w:hAnsi="Times New Roman"/>
                <w:kern w:val="0"/>
                <w:sz w:val="20"/>
                <w:szCs w:val="20"/>
              </w:rPr>
            </w:pPr>
            <w:r>
              <w:rPr>
                <w:rFonts w:ascii="Times New Roman" w:hAnsi="Times New Roman" w:hint="eastAsia"/>
                <w:kern w:val="0"/>
                <w:sz w:val="20"/>
                <w:szCs w:val="20"/>
              </w:rPr>
              <w:t>（</w:t>
            </w:r>
            <w:r>
              <w:rPr>
                <w:rFonts w:ascii="Times New Roman" w:hAnsi="Times New Roman" w:hint="eastAsia"/>
                <w:kern w:val="0"/>
                <w:sz w:val="20"/>
                <w:szCs w:val="20"/>
              </w:rPr>
              <w:t>1</w:t>
            </w:r>
            <w:r>
              <w:rPr>
                <w:rFonts w:ascii="Times New Roman" w:hAnsi="Times New Roman" w:hint="eastAsia"/>
                <w:kern w:val="0"/>
                <w:sz w:val="20"/>
                <w:szCs w:val="20"/>
              </w:rPr>
              <w:t>）</w:t>
            </w:r>
            <w:r>
              <w:rPr>
                <w:rFonts w:ascii="宋体" w:eastAsia="宋体" w:hAnsi="宋体" w:cs="宋体" w:hint="eastAsia"/>
                <w:kern w:val="0"/>
                <w:sz w:val="20"/>
                <w:szCs w:val="20"/>
              </w:rPr>
              <w:t>～</w:t>
            </w:r>
            <w:r>
              <w:rPr>
                <w:rFonts w:ascii="Times New Roman" w:hAnsi="Times New Roman" w:hint="eastAsia"/>
                <w:kern w:val="0"/>
                <w:sz w:val="20"/>
                <w:szCs w:val="20"/>
              </w:rPr>
              <w:t>（</w:t>
            </w:r>
            <w:r>
              <w:rPr>
                <w:rFonts w:ascii="Times New Roman" w:hAnsi="Times New Roman" w:hint="eastAsia"/>
                <w:kern w:val="0"/>
                <w:sz w:val="20"/>
                <w:szCs w:val="20"/>
              </w:rPr>
              <w:t>3</w:t>
            </w:r>
            <w:r>
              <w:rPr>
                <w:rFonts w:ascii="Times New Roman" w:hAnsi="Times New Roman" w:hint="eastAsia"/>
                <w:kern w:val="0"/>
                <w:sz w:val="20"/>
                <w:szCs w:val="20"/>
              </w:rPr>
              <w:t>）</w:t>
            </w:r>
          </w:p>
        </w:tc>
      </w:tr>
    </w:tbl>
    <w:p w:rsidR="00CF1222" w:rsidRDefault="00CF1222" w:rsidP="00CF1222">
      <w:pPr>
        <w:spacing w:beforeLines="50" w:before="156" w:line="560" w:lineRule="exact"/>
        <w:ind w:left="560"/>
        <w:rPr>
          <w:rFonts w:ascii="Times New Roman" w:hAnsi="Times New Roman"/>
          <w:color w:val="FF0000"/>
          <w:sz w:val="28"/>
          <w:szCs w:val="28"/>
        </w:rPr>
      </w:pPr>
      <w:r>
        <w:rPr>
          <w:rFonts w:ascii="仿宋_GB2312" w:hAnsi="仿宋_GB2312" w:cs="仿宋_GB2312" w:hint="eastAsia"/>
          <w:sz w:val="28"/>
          <w:szCs w:val="28"/>
        </w:rPr>
        <w:t xml:space="preserve">3. </w:t>
      </w:r>
      <w:r>
        <w:rPr>
          <w:rFonts w:ascii="Times New Roman" w:hAnsi="Times New Roman"/>
          <w:sz w:val="28"/>
          <w:szCs w:val="28"/>
        </w:rPr>
        <w:t>课程目标达成度自评方式</w:t>
      </w:r>
    </w:p>
    <w:p w:rsidR="00CF1222" w:rsidRDefault="00CF1222" w:rsidP="00CF1222">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据学院教学管理规定，在开展课程达成度评价前，课程评价审核小组对课程的评价依据合理性进行确认，包括平时</w:t>
      </w:r>
      <w:r>
        <w:rPr>
          <w:rFonts w:ascii="仿宋_GB2312" w:hAnsi="仿宋_GB2312" w:cs="仿宋_GB2312" w:hint="eastAsia"/>
          <w:sz w:val="28"/>
          <w:szCs w:val="28"/>
        </w:rPr>
        <w:t>考勤、作业</w:t>
      </w:r>
      <w:r>
        <w:rPr>
          <w:rFonts w:ascii="Times New Roman" w:hAnsi="Times New Roman"/>
          <w:sz w:val="28"/>
          <w:szCs w:val="28"/>
        </w:rPr>
        <w:t>作</w:t>
      </w:r>
      <w:r>
        <w:rPr>
          <w:rFonts w:ascii="Times New Roman" w:hAnsi="Times New Roman"/>
          <w:sz w:val="28"/>
          <w:szCs w:val="28"/>
        </w:rPr>
        <w:lastRenderedPageBreak/>
        <w:t>业、实验、</w:t>
      </w:r>
      <w:r>
        <w:rPr>
          <w:rFonts w:ascii="仿宋_GB2312" w:hAnsi="仿宋_GB2312" w:cs="仿宋_GB2312" w:hint="eastAsia"/>
          <w:sz w:val="28"/>
          <w:szCs w:val="28"/>
        </w:rPr>
        <w:t>期末考查</w:t>
      </w:r>
      <w:r>
        <w:rPr>
          <w:rFonts w:ascii="Times New Roman" w:hAnsi="Times New Roman"/>
          <w:sz w:val="28"/>
          <w:szCs w:val="28"/>
        </w:rPr>
        <w:t>等考核环节。课程结束后，课程小组需要对课程进行达成度评价，课程小组由课程负责人和任课教师组成，统计课程考核数据，并填写</w:t>
      </w:r>
      <w:r>
        <w:rPr>
          <w:rFonts w:ascii="Times New Roman" w:hAnsi="Times New Roman" w:hint="eastAsia"/>
          <w:sz w:val="28"/>
          <w:szCs w:val="28"/>
        </w:rPr>
        <w:t>“</w:t>
      </w:r>
      <w:r>
        <w:rPr>
          <w:rFonts w:ascii="Times New Roman" w:hAnsi="Times New Roman"/>
          <w:sz w:val="28"/>
          <w:szCs w:val="28"/>
        </w:rPr>
        <w:t>《</w:t>
      </w:r>
      <w:r>
        <w:rPr>
          <w:rFonts w:ascii="Times New Roman" w:hAnsi="Times New Roman" w:hint="eastAsia"/>
          <w:sz w:val="28"/>
          <w:szCs w:val="28"/>
        </w:rPr>
        <w:t>高层建筑结构</w:t>
      </w:r>
      <w:r>
        <w:rPr>
          <w:rFonts w:ascii="Times New Roman" w:hAnsi="Times New Roman"/>
          <w:sz w:val="28"/>
          <w:szCs w:val="28"/>
        </w:rPr>
        <w:t>》课程达成情况评价</w:t>
      </w:r>
      <w:r>
        <w:rPr>
          <w:rFonts w:ascii="Times New Roman" w:hAnsi="Times New Roman" w:hint="eastAsia"/>
          <w:sz w:val="28"/>
          <w:szCs w:val="28"/>
        </w:rPr>
        <w:t>”</w:t>
      </w:r>
      <w:r>
        <w:rPr>
          <w:rFonts w:ascii="Times New Roman" w:hAnsi="Times New Roman"/>
          <w:sz w:val="28"/>
          <w:szCs w:val="28"/>
        </w:rPr>
        <w:t>报告，以便及时了解课程的达成效果，发现问题并进行持续改进，同时也为毕业要求达成度的评价提供基础数据。</w:t>
      </w:r>
    </w:p>
    <w:p w:rsidR="00CF1222" w:rsidRDefault="00CF1222" w:rsidP="00CF1222">
      <w:pPr>
        <w:adjustRightInd w:val="0"/>
        <w:snapToGrid w:val="0"/>
        <w:spacing w:line="560" w:lineRule="exact"/>
        <w:ind w:firstLineChars="200" w:firstLine="560"/>
        <w:jc w:val="left"/>
        <w:rPr>
          <w:rFonts w:ascii="Times New Roman" w:hAnsi="Times New Roman"/>
          <w:sz w:val="28"/>
          <w:szCs w:val="28"/>
        </w:rPr>
      </w:pPr>
      <w:r>
        <w:rPr>
          <w:rFonts w:ascii="Times New Roman" w:hAnsi="Times New Roman"/>
          <w:sz w:val="28"/>
          <w:szCs w:val="28"/>
        </w:rPr>
        <w:t>根据课程的考核形式，全部或抽样部分考核资料（应以当年修读该课程的学生为总体，至少抽取</w:t>
      </w:r>
      <w:r>
        <w:rPr>
          <w:rFonts w:ascii="Times New Roman" w:hAnsi="Times New Roman"/>
          <w:sz w:val="28"/>
          <w:szCs w:val="28"/>
        </w:rPr>
        <w:t>90%</w:t>
      </w:r>
      <w:r>
        <w:rPr>
          <w:rFonts w:ascii="Times New Roman" w:hAnsi="Times New Roman"/>
          <w:sz w:val="28"/>
          <w:szCs w:val="28"/>
        </w:rPr>
        <w:t>以上的学生样本），抽样时需覆盖优、良、中、及格和不及格等考核等级的考核资料。课程达成度的具体评价方法详见</w:t>
      </w:r>
      <w:r>
        <w:rPr>
          <w:rFonts w:ascii="Times New Roman" w:hAnsi="Times New Roman" w:hint="eastAsia"/>
          <w:sz w:val="28"/>
          <w:szCs w:val="28"/>
        </w:rPr>
        <w:t>“</w:t>
      </w:r>
      <w:r>
        <w:rPr>
          <w:rFonts w:ascii="Times New Roman" w:hAnsi="Times New Roman"/>
          <w:sz w:val="28"/>
          <w:szCs w:val="28"/>
        </w:rPr>
        <w:t>《</w:t>
      </w:r>
      <w:r>
        <w:rPr>
          <w:rFonts w:ascii="Times New Roman" w:hAnsi="Times New Roman" w:hint="eastAsia"/>
          <w:sz w:val="28"/>
          <w:szCs w:val="28"/>
        </w:rPr>
        <w:t>高层建筑结构</w:t>
      </w:r>
      <w:r>
        <w:rPr>
          <w:rFonts w:ascii="Times New Roman" w:hAnsi="Times New Roman"/>
          <w:sz w:val="28"/>
          <w:szCs w:val="28"/>
        </w:rPr>
        <w:t>》课程达成情况评价</w:t>
      </w:r>
      <w:r>
        <w:rPr>
          <w:rFonts w:ascii="Times New Roman" w:hAnsi="Times New Roman" w:hint="eastAsia"/>
          <w:sz w:val="28"/>
          <w:szCs w:val="28"/>
        </w:rPr>
        <w:t>”</w:t>
      </w:r>
      <w:r>
        <w:rPr>
          <w:rFonts w:ascii="Times New Roman" w:hAnsi="Times New Roman"/>
          <w:sz w:val="28"/>
          <w:szCs w:val="28"/>
        </w:rPr>
        <w:t>报告。课程小组提交课程达成度评价数据后，课程评价审核小组对评价数据的合理性和有效性进行审核。</w:t>
      </w:r>
    </w:p>
    <w:p w:rsidR="00CF1222" w:rsidRDefault="00CF1222" w:rsidP="00CF122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F1222" w:rsidRDefault="00CF1222" w:rsidP="00CF1222">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1.《高层建筑结构设计》，史庆轩、梁兴文主编（第三版），科学出版社；</w:t>
      </w:r>
      <w:r>
        <w:rPr>
          <w:rFonts w:ascii="Times New Roman" w:hAnsi="Times New Roman"/>
          <w:sz w:val="28"/>
          <w:szCs w:val="28"/>
        </w:rPr>
        <w:t>（本课程教材）</w:t>
      </w:r>
    </w:p>
    <w:p w:rsidR="00CF1222" w:rsidRDefault="00CF1222" w:rsidP="00CF1222">
      <w:pPr>
        <w:spacing w:beforeLines="50" w:before="156" w:afterLines="50" w:after="156" w:line="560" w:lineRule="exact"/>
        <w:ind w:firstLineChars="200" w:firstLine="560"/>
        <w:rPr>
          <w:rFonts w:ascii="Times New Roman" w:hAnsi="Times New Roman"/>
        </w:rPr>
      </w:pPr>
      <w:r>
        <w:rPr>
          <w:rFonts w:ascii="仿宋_GB2312" w:hAnsi="仿宋_GB2312" w:cs="仿宋_GB2312" w:hint="eastAsia"/>
          <w:sz w:val="28"/>
          <w:szCs w:val="28"/>
        </w:rPr>
        <w:t>2.</w:t>
      </w:r>
      <w:r>
        <w:rPr>
          <w:rFonts w:ascii="Times New Roman" w:hAnsi="Times New Roman" w:hint="eastAsia"/>
        </w:rPr>
        <w:t>《</w:t>
      </w:r>
      <w:r>
        <w:rPr>
          <w:rFonts w:ascii="Times New Roman" w:hAnsi="Times New Roman"/>
        </w:rPr>
        <w:t>高层建筑结构设计</w:t>
      </w:r>
      <w:r>
        <w:rPr>
          <w:rFonts w:ascii="Times New Roman" w:hAnsi="Times New Roman" w:hint="eastAsia"/>
        </w:rPr>
        <w:t>》，吕西林主编，</w:t>
      </w:r>
      <w:r>
        <w:rPr>
          <w:rFonts w:ascii="Times New Roman" w:hAnsi="Times New Roman"/>
        </w:rPr>
        <w:t>武汉理工大学出版社</w:t>
      </w:r>
      <w:r>
        <w:rPr>
          <w:rFonts w:ascii="Times New Roman" w:hAnsi="Times New Roman" w:hint="eastAsia"/>
        </w:rPr>
        <w:t>；</w:t>
      </w:r>
    </w:p>
    <w:p w:rsidR="00CF1222" w:rsidRDefault="00CF1222" w:rsidP="00CF1222">
      <w:pPr>
        <w:spacing w:line="560" w:lineRule="exact"/>
        <w:ind w:firstLineChars="200" w:firstLine="560"/>
        <w:jc w:val="left"/>
        <w:rPr>
          <w:rFonts w:ascii="Times New Roman" w:hAnsi="Times New Roman"/>
        </w:rPr>
      </w:pPr>
      <w:r>
        <w:rPr>
          <w:rFonts w:ascii="仿宋_GB2312" w:hAnsi="仿宋_GB2312" w:cs="仿宋_GB2312" w:hint="eastAsia"/>
          <w:sz w:val="28"/>
          <w:szCs w:val="28"/>
        </w:rPr>
        <w:t>3.《</w:t>
      </w:r>
      <w:r>
        <w:rPr>
          <w:rFonts w:ascii="Times New Roman" w:hAnsi="Times New Roman" w:hint="eastAsia"/>
        </w:rPr>
        <w:t>高层建筑钢筋混凝土结构概念设计</w:t>
      </w:r>
      <w:r>
        <w:rPr>
          <w:rFonts w:ascii="仿宋_GB2312" w:hAnsi="仿宋_GB2312" w:cs="仿宋_GB2312" w:hint="eastAsia"/>
          <w:sz w:val="28"/>
          <w:szCs w:val="28"/>
        </w:rPr>
        <w:t>》</w:t>
      </w:r>
      <w:r>
        <w:rPr>
          <w:rFonts w:ascii="Times New Roman" w:hAnsi="Times New Roman" w:hint="eastAsia"/>
        </w:rPr>
        <w:t>，方鄂华主编，机械工业出版社。</w:t>
      </w:r>
    </w:p>
    <w:p w:rsidR="00CF1222" w:rsidRDefault="00CF1222" w:rsidP="00CF1222">
      <w:pPr>
        <w:spacing w:beforeLines="50" w:before="156" w:afterLines="50" w:after="156" w:line="560" w:lineRule="exact"/>
        <w:rPr>
          <w:rFonts w:ascii="Times New Roman" w:eastAsia="黑体" w:hAnsi="Times New Roman"/>
          <w:b/>
          <w:sz w:val="28"/>
          <w:szCs w:val="28"/>
        </w:rPr>
      </w:pPr>
      <w:r>
        <w:rPr>
          <w:rFonts w:ascii="黑体" w:eastAsia="黑体" w:hAnsi="黑体" w:hint="eastAsia"/>
          <w:b/>
          <w:sz w:val="28"/>
          <w:szCs w:val="28"/>
        </w:rPr>
        <w:t>七、</w:t>
      </w:r>
      <w:r>
        <w:rPr>
          <w:rFonts w:ascii="Times New Roman" w:eastAsia="黑体" w:hAnsi="Times New Roman"/>
          <w:b/>
          <w:sz w:val="28"/>
          <w:szCs w:val="28"/>
        </w:rPr>
        <w:t>执行大纲应注意的问题</w:t>
      </w:r>
    </w:p>
    <w:p w:rsidR="00CF1222" w:rsidRDefault="00CF1222" w:rsidP="00CF1222">
      <w:pPr>
        <w:adjustRightInd w:val="0"/>
        <w:snapToGrid w:val="0"/>
        <w:spacing w:line="560" w:lineRule="exact"/>
        <w:ind w:firstLineChars="200" w:firstLine="560"/>
        <w:jc w:val="left"/>
        <w:rPr>
          <w:sz w:val="28"/>
          <w:szCs w:val="28"/>
        </w:rPr>
      </w:pPr>
      <w:r>
        <w:rPr>
          <w:rFonts w:ascii="仿宋_GB2312" w:hAnsi="仿宋_GB2312" w:cs="仿宋_GB2312" w:hint="eastAsia"/>
          <w:sz w:val="28"/>
          <w:szCs w:val="28"/>
        </w:rPr>
        <w:t>1.</w:t>
      </w:r>
      <w:r>
        <w:rPr>
          <w:sz w:val="28"/>
          <w:szCs w:val="28"/>
        </w:rPr>
        <w:t>注重基本</w:t>
      </w:r>
      <w:r>
        <w:rPr>
          <w:rFonts w:hint="eastAsia"/>
          <w:sz w:val="28"/>
          <w:szCs w:val="28"/>
        </w:rPr>
        <w:t>概念</w:t>
      </w:r>
      <w:r>
        <w:rPr>
          <w:sz w:val="28"/>
          <w:szCs w:val="28"/>
        </w:rPr>
        <w:t>、基本理论和基本方法的讲授，注意精讲多练。</w:t>
      </w:r>
    </w:p>
    <w:p w:rsidR="00CF1222" w:rsidRDefault="00CF1222" w:rsidP="00CF1222">
      <w:pPr>
        <w:adjustRightInd w:val="0"/>
        <w:snapToGrid w:val="0"/>
        <w:spacing w:line="560" w:lineRule="exact"/>
        <w:ind w:firstLineChars="200" w:firstLine="560"/>
        <w:jc w:val="left"/>
        <w:rPr>
          <w:sz w:val="28"/>
          <w:szCs w:val="28"/>
        </w:rPr>
      </w:pPr>
      <w:r>
        <w:rPr>
          <w:rFonts w:ascii="仿宋_GB2312" w:hAnsi="仿宋_GB2312" w:cs="仿宋_GB2312" w:hint="eastAsia"/>
          <w:sz w:val="28"/>
          <w:szCs w:val="28"/>
        </w:rPr>
        <w:t>2.</w:t>
      </w:r>
      <w:r>
        <w:rPr>
          <w:sz w:val="28"/>
          <w:szCs w:val="28"/>
        </w:rPr>
        <w:t>重视</w:t>
      </w:r>
      <w:r>
        <w:rPr>
          <w:rFonts w:hint="eastAsia"/>
          <w:sz w:val="28"/>
          <w:szCs w:val="28"/>
        </w:rPr>
        <w:t>提高</w:t>
      </w:r>
      <w:r>
        <w:rPr>
          <w:sz w:val="28"/>
          <w:szCs w:val="28"/>
        </w:rPr>
        <w:t>学生</w:t>
      </w:r>
      <w:r>
        <w:rPr>
          <w:rFonts w:hint="eastAsia"/>
          <w:sz w:val="28"/>
          <w:szCs w:val="28"/>
        </w:rPr>
        <w:t>理论联系实际和分析解决工程问题的能力，要</w:t>
      </w:r>
      <w:r>
        <w:rPr>
          <w:rFonts w:hint="eastAsia"/>
          <w:sz w:val="28"/>
          <w:szCs w:val="28"/>
        </w:rPr>
        <w:lastRenderedPageBreak/>
        <w:t>求学生严格按照相关计算方法及步骤独立完成计算分析题作业的全过程，并对所得结果的可靠性进行判断和评价</w:t>
      </w:r>
      <w:r>
        <w:rPr>
          <w:sz w:val="28"/>
          <w:szCs w:val="28"/>
        </w:rPr>
        <w:t>。</w:t>
      </w:r>
    </w:p>
    <w:p w:rsidR="00CF1222" w:rsidRDefault="00CF1222" w:rsidP="00CF1222">
      <w:pPr>
        <w:adjustRightInd w:val="0"/>
        <w:snapToGrid w:val="0"/>
        <w:spacing w:line="560" w:lineRule="exact"/>
        <w:ind w:firstLineChars="200" w:firstLine="560"/>
        <w:jc w:val="left"/>
        <w:rPr>
          <w:sz w:val="28"/>
          <w:szCs w:val="28"/>
        </w:rPr>
      </w:pPr>
      <w:r>
        <w:rPr>
          <w:rFonts w:ascii="仿宋_GB2312" w:hAnsi="仿宋_GB2312" w:cs="仿宋_GB2312" w:hint="eastAsia"/>
          <w:sz w:val="28"/>
          <w:szCs w:val="28"/>
        </w:rPr>
        <w:t>3.</w:t>
      </w:r>
      <w:r>
        <w:rPr>
          <w:sz w:val="28"/>
          <w:szCs w:val="28"/>
        </w:rPr>
        <w:t>教学内容的顺序及其安排仅供参考，教师可根据</w:t>
      </w:r>
      <w:r>
        <w:rPr>
          <w:rFonts w:hint="eastAsia"/>
          <w:sz w:val="28"/>
          <w:szCs w:val="28"/>
        </w:rPr>
        <w:t>具体</w:t>
      </w:r>
      <w:r>
        <w:rPr>
          <w:sz w:val="28"/>
          <w:szCs w:val="28"/>
        </w:rPr>
        <w:t>情况适当调整。</w:t>
      </w:r>
    </w:p>
    <w:p w:rsidR="00CF1222" w:rsidRDefault="00CF1222" w:rsidP="00CF1222">
      <w:pPr>
        <w:adjustRightInd w:val="0"/>
        <w:snapToGrid w:val="0"/>
        <w:spacing w:line="560" w:lineRule="exact"/>
        <w:ind w:firstLineChars="200" w:firstLine="560"/>
        <w:jc w:val="left"/>
        <w:rPr>
          <w:sz w:val="28"/>
          <w:szCs w:val="28"/>
        </w:rPr>
      </w:pPr>
    </w:p>
    <w:p w:rsidR="00CF1222" w:rsidRDefault="00CF1222" w:rsidP="00CF1222">
      <w:pPr>
        <w:tabs>
          <w:tab w:val="left" w:pos="3328"/>
        </w:tabs>
        <w:spacing w:line="560" w:lineRule="exact"/>
        <w:ind w:firstLineChars="1200" w:firstLine="3360"/>
        <w:rPr>
          <w:rFonts w:ascii="仿宋" w:eastAsia="仿宋" w:hAnsi="仿宋"/>
          <w:sz w:val="28"/>
          <w:szCs w:val="28"/>
        </w:rPr>
      </w:pPr>
      <w:r>
        <w:rPr>
          <w:rFonts w:ascii="仿宋" w:eastAsia="仿宋" w:hAnsi="仿宋" w:hint="eastAsia"/>
          <w:sz w:val="28"/>
          <w:szCs w:val="28"/>
        </w:rPr>
        <w:tab/>
      </w:r>
    </w:p>
    <w:p w:rsidR="00CF1222" w:rsidRDefault="00CF1222" w:rsidP="00CF1222">
      <w:pPr>
        <w:tabs>
          <w:tab w:val="left" w:pos="3328"/>
        </w:tabs>
        <w:spacing w:line="560" w:lineRule="exact"/>
        <w:ind w:firstLineChars="1500" w:firstLine="4200"/>
        <w:rPr>
          <w:rFonts w:ascii="仿宋" w:eastAsia="仿宋" w:hAnsi="仿宋"/>
          <w:sz w:val="28"/>
          <w:szCs w:val="28"/>
        </w:rPr>
      </w:pPr>
      <w:r>
        <w:rPr>
          <w:rFonts w:ascii="仿宋" w:eastAsia="仿宋" w:hAnsi="仿宋" w:hint="eastAsia"/>
          <w:sz w:val="28"/>
          <w:szCs w:val="28"/>
        </w:rPr>
        <w:t>大纲撰写人：郭军庆</w:t>
      </w:r>
    </w:p>
    <w:p w:rsidR="00CF1222" w:rsidRDefault="00CF1222" w:rsidP="00CF1222">
      <w:pPr>
        <w:spacing w:line="560" w:lineRule="exact"/>
        <w:ind w:firstLineChars="1500" w:firstLine="4200"/>
        <w:rPr>
          <w:rFonts w:ascii="仿宋" w:eastAsia="仿宋" w:hAnsi="仿宋"/>
          <w:sz w:val="28"/>
          <w:szCs w:val="28"/>
        </w:rPr>
      </w:pPr>
      <w:r>
        <w:rPr>
          <w:rFonts w:ascii="仿宋" w:eastAsia="仿宋" w:hAnsi="仿宋" w:hint="eastAsia"/>
          <w:sz w:val="28"/>
          <w:szCs w:val="28"/>
        </w:rPr>
        <w:t>课程负责人：郭军庆</w:t>
      </w:r>
    </w:p>
    <w:p w:rsidR="00CF1222" w:rsidRDefault="00CF1222" w:rsidP="00CF1222">
      <w:pPr>
        <w:spacing w:line="560" w:lineRule="exact"/>
        <w:ind w:firstLineChars="1500" w:firstLine="4200"/>
        <w:rPr>
          <w:rFonts w:ascii="仿宋_GB2312"/>
          <w:color w:val="000000"/>
          <w:sz w:val="28"/>
          <w:szCs w:val="28"/>
        </w:rPr>
      </w:pPr>
      <w:r>
        <w:rPr>
          <w:rFonts w:ascii="仿宋" w:eastAsia="仿宋" w:hAnsi="仿宋" w:hint="eastAsia"/>
          <w:sz w:val="28"/>
          <w:szCs w:val="28"/>
        </w:rPr>
        <w:t xml:space="preserve">审核人：                </w:t>
      </w:r>
      <w:r>
        <w:rPr>
          <w:rFonts w:ascii="仿宋_GB2312" w:hAnsi="微软雅黑" w:hint="eastAsia"/>
          <w:sz w:val="28"/>
          <w:szCs w:val="28"/>
        </w:rPr>
        <w:t xml:space="preserve">       </w:t>
      </w:r>
    </w:p>
    <w:p w:rsidR="00CF1222" w:rsidRDefault="00CF1222" w:rsidP="00CF1222">
      <w:pPr>
        <w:spacing w:line="560" w:lineRule="exact"/>
        <w:ind w:firstLineChars="2000" w:firstLine="5600"/>
        <w:jc w:val="left"/>
        <w:rPr>
          <w:rFonts w:ascii="仿宋" w:hAnsi="仿宋"/>
          <w:sz w:val="28"/>
          <w:szCs w:val="28"/>
        </w:rPr>
      </w:pPr>
      <w:r>
        <w:rPr>
          <w:rFonts w:ascii="仿宋_GB2312" w:hAnsi="微软雅黑" w:hint="eastAsia"/>
          <w:sz w:val="28"/>
          <w:szCs w:val="28"/>
        </w:rPr>
        <w:t xml:space="preserve">    </w:t>
      </w:r>
    </w:p>
    <w:p w:rsidR="00CF1222" w:rsidRDefault="00CF1222" w:rsidP="00CF1222">
      <w:pPr>
        <w:spacing w:line="560" w:lineRule="exact"/>
        <w:jc w:val="left"/>
      </w:pPr>
      <w:r>
        <w:rPr>
          <w:rFonts w:ascii="仿宋" w:eastAsia="仿宋" w:hAnsi="仿宋" w:hint="eastAsia"/>
          <w:sz w:val="28"/>
          <w:szCs w:val="28"/>
        </w:rPr>
        <w:t xml:space="preserve">                                         2021 年  6  月</w:t>
      </w:r>
    </w:p>
    <w:p w:rsidR="00CF1222" w:rsidRDefault="00CF1222" w:rsidP="00CF1222">
      <w:pPr>
        <w:widowControl/>
        <w:spacing w:line="360" w:lineRule="auto"/>
        <w:jc w:val="center"/>
        <w:rPr>
          <w:rFonts w:ascii="方正小标宋简体" w:eastAsia="方正小标宋简体" w:hAnsi="宋体"/>
          <w:kern w:val="0"/>
          <w:szCs w:val="32"/>
        </w:rPr>
      </w:pPr>
    </w:p>
    <w:p w:rsidR="00CF1222" w:rsidRDefault="00CF1222" w:rsidP="00CF1222">
      <w:pPr>
        <w:widowControl/>
        <w:spacing w:line="360" w:lineRule="auto"/>
        <w:jc w:val="center"/>
        <w:rPr>
          <w:rFonts w:ascii="方正小标宋简体" w:eastAsia="方正小标宋简体" w:hAnsi="宋体"/>
          <w:kern w:val="0"/>
          <w:szCs w:val="32"/>
        </w:rPr>
      </w:pPr>
    </w:p>
    <w:p w:rsidR="00CF1222" w:rsidRDefault="00CF1222" w:rsidP="00CF1222">
      <w:pPr>
        <w:widowControl/>
        <w:spacing w:line="360" w:lineRule="auto"/>
        <w:jc w:val="center"/>
        <w:rPr>
          <w:rFonts w:ascii="方正小标宋简体" w:eastAsia="方正小标宋简体" w:hAnsi="宋体"/>
          <w:kern w:val="0"/>
          <w:szCs w:val="32"/>
        </w:rPr>
      </w:pPr>
    </w:p>
    <w:p w:rsidR="00CF1222" w:rsidRDefault="00CF1222" w:rsidP="00CF1222">
      <w:pPr>
        <w:widowControl/>
        <w:spacing w:line="360" w:lineRule="auto"/>
        <w:jc w:val="center"/>
        <w:rPr>
          <w:rFonts w:ascii="方正小标宋简体" w:eastAsia="方正小标宋简体" w:hAnsi="宋体"/>
          <w:kern w:val="0"/>
          <w:szCs w:val="32"/>
        </w:rPr>
      </w:pPr>
    </w:p>
    <w:p w:rsidR="00CF1222" w:rsidRDefault="00CF1222" w:rsidP="00CF1222">
      <w:pPr>
        <w:widowControl/>
        <w:spacing w:line="360" w:lineRule="auto"/>
        <w:jc w:val="center"/>
        <w:rPr>
          <w:rFonts w:ascii="方正小标宋简体" w:eastAsia="方正小标宋简体" w:hAnsi="宋体"/>
          <w:kern w:val="0"/>
          <w:szCs w:val="32"/>
        </w:rPr>
      </w:pPr>
    </w:p>
    <w:p w:rsidR="00CF1222" w:rsidRDefault="00CF1222" w:rsidP="00CF1222">
      <w:pPr>
        <w:jc w:val="left"/>
        <w:rPr>
          <w:rFonts w:ascii="仿宋" w:eastAsia="仿宋" w:hAnsi="仿宋"/>
          <w:sz w:val="28"/>
          <w:szCs w:val="28"/>
        </w:rPr>
      </w:pPr>
    </w:p>
    <w:p w:rsidR="00CF1222" w:rsidRDefault="00CF1222" w:rsidP="006A4F10">
      <w:pPr>
        <w:widowControl/>
        <w:spacing w:line="360" w:lineRule="auto"/>
        <w:jc w:val="center"/>
        <w:rPr>
          <w:rFonts w:ascii="方正小标宋简体" w:eastAsia="方正小标宋简体" w:hAnsi="宋体"/>
          <w:kern w:val="0"/>
          <w:szCs w:val="32"/>
        </w:rPr>
      </w:pPr>
    </w:p>
    <w:p w:rsidR="006A4F10" w:rsidRDefault="006A4F10" w:rsidP="00B70E4F"/>
    <w:p w:rsidR="00494448" w:rsidRDefault="00494448" w:rsidP="00B70E4F"/>
    <w:p w:rsidR="00494448" w:rsidRDefault="00494448" w:rsidP="00B70E4F"/>
    <w:p w:rsidR="00494448" w:rsidRDefault="00494448" w:rsidP="00B70E4F"/>
    <w:p w:rsidR="00494448" w:rsidRDefault="00494448" w:rsidP="00B70E4F"/>
    <w:p w:rsidR="00494448" w:rsidRDefault="00494448" w:rsidP="00494448">
      <w:pPr>
        <w:widowControl/>
        <w:spacing w:line="360" w:lineRule="auto"/>
        <w:jc w:val="center"/>
        <w:rPr>
          <w:rFonts w:ascii="Times New Roman" w:eastAsia="方正小标宋简体" w:hAnsi="Times New Roman"/>
          <w:kern w:val="0"/>
          <w:szCs w:val="32"/>
        </w:rPr>
      </w:pPr>
      <w:r>
        <w:rPr>
          <w:rFonts w:ascii="Times New Roman" w:eastAsia="方正小标宋简体" w:hAnsi="Times New Roman"/>
          <w:kern w:val="0"/>
          <w:szCs w:val="32"/>
        </w:rPr>
        <w:lastRenderedPageBreak/>
        <w:t>《结构稳定理论》课程教学大纲</w:t>
      </w:r>
    </w:p>
    <w:p w:rsidR="00494448" w:rsidRDefault="00494448" w:rsidP="0049444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一、课程信息</w:t>
      </w:r>
    </w:p>
    <w:p w:rsidR="00494448" w:rsidRDefault="00494448" w:rsidP="00494448">
      <w:pPr>
        <w:spacing w:line="360" w:lineRule="auto"/>
        <w:ind w:firstLine="331"/>
        <w:rPr>
          <w:rFonts w:ascii="Times New Roman" w:hAnsi="Times New Roman"/>
          <w:bCs/>
          <w:sz w:val="28"/>
          <w:szCs w:val="28"/>
        </w:rPr>
      </w:pPr>
      <w:r>
        <w:rPr>
          <w:rFonts w:ascii="Times New Roman" w:hAnsi="Times New Roman"/>
          <w:bCs/>
          <w:sz w:val="28"/>
          <w:szCs w:val="28"/>
        </w:rPr>
        <w:t>英文名称：</w:t>
      </w:r>
      <w:r>
        <w:rPr>
          <w:rFonts w:ascii="Times New Roman" w:hAnsi="Times New Roman"/>
          <w:bCs/>
          <w:sz w:val="28"/>
          <w:szCs w:val="28"/>
        </w:rPr>
        <w:t>Theory of Structural Stability</w:t>
      </w:r>
    </w:p>
    <w:p w:rsidR="00494448" w:rsidRDefault="00494448" w:rsidP="00494448">
      <w:pPr>
        <w:spacing w:line="360" w:lineRule="auto"/>
        <w:ind w:firstLine="331"/>
        <w:jc w:val="left"/>
        <w:rPr>
          <w:rFonts w:ascii="Times New Roman" w:hAnsi="Times New Roman"/>
          <w:bCs/>
          <w:sz w:val="28"/>
          <w:szCs w:val="28"/>
        </w:rPr>
      </w:pPr>
      <w:r>
        <w:rPr>
          <w:rFonts w:ascii="Times New Roman" w:hAnsi="Times New Roman"/>
          <w:bCs/>
          <w:sz w:val="28"/>
          <w:szCs w:val="28"/>
        </w:rPr>
        <w:t>课程编码：</w:t>
      </w:r>
      <w:r>
        <w:rPr>
          <w:rFonts w:ascii="Times New Roman" w:hAnsi="Times New Roman"/>
          <w:bCs/>
          <w:sz w:val="28"/>
          <w:szCs w:val="28"/>
        </w:rPr>
        <w:t>Z2802010.06</w:t>
      </w:r>
    </w:p>
    <w:p w:rsidR="00494448" w:rsidRDefault="00494448" w:rsidP="00494448">
      <w:pPr>
        <w:spacing w:line="360" w:lineRule="auto"/>
        <w:ind w:firstLine="331"/>
        <w:rPr>
          <w:rFonts w:ascii="Times New Roman" w:hAnsi="Times New Roman"/>
          <w:bCs/>
          <w:sz w:val="28"/>
          <w:szCs w:val="28"/>
        </w:rPr>
      </w:pPr>
      <w:r>
        <w:rPr>
          <w:rFonts w:ascii="Times New Roman" w:hAnsi="Times New Roman"/>
          <w:bCs/>
          <w:sz w:val="28"/>
          <w:szCs w:val="28"/>
        </w:rPr>
        <w:t>授课语言：中文</w:t>
      </w:r>
    </w:p>
    <w:p w:rsidR="00494448" w:rsidRDefault="00494448" w:rsidP="00494448">
      <w:pPr>
        <w:spacing w:line="360" w:lineRule="auto"/>
        <w:ind w:leftChars="103" w:left="1779" w:hanging="1449"/>
        <w:rPr>
          <w:rFonts w:ascii="Times New Roman" w:hAnsi="Times New Roman"/>
          <w:bCs/>
          <w:sz w:val="28"/>
          <w:szCs w:val="28"/>
        </w:rPr>
      </w:pPr>
      <w:r>
        <w:rPr>
          <w:rFonts w:ascii="Times New Roman" w:hAnsi="Times New Roman"/>
          <w:bCs/>
          <w:sz w:val="28"/>
          <w:szCs w:val="28"/>
        </w:rPr>
        <w:t>授课方式：线下</w:t>
      </w:r>
    </w:p>
    <w:p w:rsidR="00494448" w:rsidRDefault="00494448" w:rsidP="00494448">
      <w:pPr>
        <w:spacing w:line="360" w:lineRule="auto"/>
        <w:ind w:firstLine="331"/>
        <w:rPr>
          <w:rFonts w:ascii="Times New Roman" w:hAnsi="Times New Roman"/>
          <w:bCs/>
          <w:sz w:val="28"/>
          <w:szCs w:val="28"/>
        </w:rPr>
      </w:pPr>
      <w:r>
        <w:rPr>
          <w:rFonts w:ascii="Times New Roman" w:hAnsi="Times New Roman"/>
          <w:bCs/>
          <w:sz w:val="28"/>
          <w:szCs w:val="28"/>
        </w:rPr>
        <w:t>课程类别：专业发展</w:t>
      </w:r>
    </w:p>
    <w:p w:rsidR="00494448" w:rsidRDefault="00494448" w:rsidP="00494448">
      <w:pPr>
        <w:spacing w:line="360" w:lineRule="auto"/>
        <w:ind w:firstLine="331"/>
        <w:rPr>
          <w:rFonts w:ascii="Times New Roman" w:hAnsi="Times New Roman"/>
          <w:bCs/>
          <w:sz w:val="28"/>
          <w:szCs w:val="28"/>
        </w:rPr>
      </w:pPr>
      <w:r>
        <w:rPr>
          <w:rFonts w:ascii="Times New Roman" w:hAnsi="Times New Roman"/>
          <w:bCs/>
          <w:sz w:val="28"/>
          <w:szCs w:val="28"/>
        </w:rPr>
        <w:t>课程性质：必修</w:t>
      </w:r>
    </w:p>
    <w:p w:rsidR="00494448" w:rsidRDefault="00494448" w:rsidP="00494448">
      <w:pPr>
        <w:spacing w:line="360" w:lineRule="auto"/>
        <w:ind w:firstLine="331"/>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分：</w:t>
      </w:r>
      <w:r>
        <w:rPr>
          <w:rFonts w:ascii="Times New Roman" w:hAnsi="Times New Roman" w:hint="eastAsia"/>
          <w:bCs/>
          <w:sz w:val="28"/>
          <w:szCs w:val="28"/>
        </w:rPr>
        <w:t>1.5</w:t>
      </w:r>
    </w:p>
    <w:p w:rsidR="00494448" w:rsidRDefault="00494448" w:rsidP="00494448">
      <w:pPr>
        <w:spacing w:line="360" w:lineRule="auto"/>
        <w:ind w:leftChars="103" w:left="1779" w:hanging="1449"/>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时：</w:t>
      </w:r>
      <w:r>
        <w:rPr>
          <w:rFonts w:ascii="Times New Roman" w:hAnsi="Times New Roman" w:hint="eastAsia"/>
          <w:bCs/>
          <w:sz w:val="28"/>
          <w:szCs w:val="28"/>
        </w:rPr>
        <w:t>24</w:t>
      </w:r>
      <w:r>
        <w:rPr>
          <w:rFonts w:ascii="Times New Roman" w:hAnsi="Times New Roman"/>
          <w:bCs/>
          <w:sz w:val="28"/>
          <w:szCs w:val="28"/>
        </w:rPr>
        <w:t>学时（授课</w:t>
      </w:r>
      <w:r>
        <w:rPr>
          <w:rFonts w:ascii="Times New Roman" w:hAnsi="Times New Roman" w:hint="eastAsia"/>
          <w:bCs/>
          <w:sz w:val="28"/>
          <w:szCs w:val="28"/>
        </w:rPr>
        <w:t>24</w:t>
      </w:r>
      <w:r>
        <w:rPr>
          <w:rFonts w:ascii="Times New Roman" w:hAnsi="Times New Roman"/>
          <w:bCs/>
          <w:sz w:val="28"/>
          <w:szCs w:val="28"/>
        </w:rPr>
        <w:t>学时）</w:t>
      </w:r>
    </w:p>
    <w:p w:rsidR="00494448" w:rsidRDefault="00494448" w:rsidP="00494448">
      <w:pPr>
        <w:spacing w:line="360" w:lineRule="auto"/>
        <w:ind w:firstLine="331"/>
        <w:rPr>
          <w:rFonts w:ascii="Times New Roman" w:hAnsi="Times New Roman"/>
          <w:bCs/>
          <w:sz w:val="28"/>
          <w:szCs w:val="28"/>
        </w:rPr>
      </w:pPr>
      <w:r>
        <w:rPr>
          <w:rFonts w:ascii="Times New Roman" w:hAnsi="Times New Roman"/>
          <w:bCs/>
          <w:sz w:val="28"/>
          <w:szCs w:val="28"/>
        </w:rPr>
        <w:t>适用对象：土木工程专业</w:t>
      </w:r>
    </w:p>
    <w:p w:rsidR="00494448" w:rsidRDefault="00494448" w:rsidP="00494448">
      <w:pPr>
        <w:spacing w:line="360" w:lineRule="auto"/>
        <w:ind w:firstLine="331"/>
        <w:rPr>
          <w:rFonts w:ascii="Times New Roman" w:hAnsi="Times New Roman"/>
          <w:bCs/>
          <w:sz w:val="28"/>
          <w:szCs w:val="28"/>
        </w:rPr>
      </w:pPr>
      <w:r>
        <w:rPr>
          <w:rFonts w:ascii="Times New Roman" w:hAnsi="Times New Roman"/>
          <w:bCs/>
          <w:sz w:val="28"/>
          <w:szCs w:val="28"/>
        </w:rPr>
        <w:t>先修课程：高等数学、工程数学、理论力学、材料力学、结构力学、弹性力学等</w:t>
      </w:r>
    </w:p>
    <w:p w:rsidR="00494448" w:rsidRDefault="00494448" w:rsidP="00494448">
      <w:pPr>
        <w:spacing w:line="360" w:lineRule="auto"/>
        <w:ind w:firstLine="331"/>
        <w:rPr>
          <w:rFonts w:ascii="Times New Roman" w:hAnsi="Times New Roman"/>
          <w:bCs/>
          <w:sz w:val="28"/>
          <w:szCs w:val="28"/>
        </w:rPr>
      </w:pPr>
      <w:r>
        <w:rPr>
          <w:rFonts w:ascii="Times New Roman" w:hAnsi="Times New Roman"/>
          <w:bCs/>
          <w:sz w:val="28"/>
          <w:szCs w:val="28"/>
        </w:rPr>
        <w:t>开课院系：建筑工程学院建筑工程系</w:t>
      </w:r>
    </w:p>
    <w:p w:rsidR="00494448" w:rsidRDefault="00494448" w:rsidP="0049444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二、课程简介</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稳定问题是工程结构理论中的重要问题之一，在结构分析中对结构的安全性能有重要的影响，尤其是对钢结构，稳定理论更是对其承载力有决定性的影响。</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钢结构基本理论包括多方面的内容，其中稳定问题占有较大的比重，因此学习有关的稳定理论，对于掌握钢结构的设计与计算至为重要。本课程正是针对钢结构所涉及的稳定问题，并照顾到稳定理论自身的系统性进行教学，以帮助学生掌握有关稳定的基本理论及工程应</w:t>
      </w:r>
      <w:r>
        <w:rPr>
          <w:rFonts w:ascii="Times New Roman" w:hAnsi="Times New Roman"/>
          <w:bCs/>
          <w:sz w:val="28"/>
          <w:szCs w:val="28"/>
        </w:rPr>
        <w:lastRenderedPageBreak/>
        <w:t>用。此外，随着工程技术的进步，钢结构所涉及到的稳定理论在不断扩展与深化，故为使学生能全面认识并掌握有关结构稳定的知识，本课程将在分析一维杆件弯曲失稳的基础上，对实际情况中常发生的扭转失稳、弯扭失稳等形式进行介绍，使学生掌握全面的稳定分析。且包括二维的板件和框架结构的整体稳定分析。并介绍关于杆件的初始缺陷以及残余应力对杆件稳定性的影响，避免学生形成</w:t>
      </w:r>
      <w:r>
        <w:rPr>
          <w:rFonts w:ascii="Times New Roman" w:hAnsi="Times New Roman"/>
          <w:bCs/>
          <w:sz w:val="28"/>
          <w:szCs w:val="28"/>
        </w:rPr>
        <w:t>“</w:t>
      </w:r>
      <w:r>
        <w:rPr>
          <w:rFonts w:ascii="Times New Roman" w:hAnsi="Times New Roman"/>
          <w:bCs/>
          <w:sz w:val="28"/>
          <w:szCs w:val="28"/>
        </w:rPr>
        <w:t>应用公式易，掌握理论难</w:t>
      </w:r>
      <w:r>
        <w:rPr>
          <w:rFonts w:ascii="Times New Roman" w:hAnsi="Times New Roman"/>
          <w:bCs/>
          <w:sz w:val="28"/>
          <w:szCs w:val="28"/>
        </w:rPr>
        <w:t>”</w:t>
      </w:r>
      <w:r>
        <w:rPr>
          <w:rFonts w:ascii="Times New Roman" w:hAnsi="Times New Roman"/>
          <w:bCs/>
          <w:sz w:val="28"/>
          <w:szCs w:val="28"/>
        </w:rPr>
        <w:t>的脱节现象，使学生达到在熟悉理论知识的基础上更好地理解并应用公式，培养学生分析问题、解决问题的能力，为学生今后学习钢结构专业知识奠定必要的基础。</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课程教学以课堂讲授结合课堂讨论及学生课后自学相结合的方式进行教学。</w:t>
      </w:r>
    </w:p>
    <w:p w:rsidR="00494448" w:rsidRDefault="00494448" w:rsidP="0049444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三、课程任务、目标与要求</w:t>
      </w:r>
    </w:p>
    <w:p w:rsidR="00494448" w:rsidRDefault="00494448" w:rsidP="00494448">
      <w:pPr>
        <w:spacing w:line="360" w:lineRule="auto"/>
        <w:ind w:firstLine="331"/>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课程任务</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hint="eastAsia"/>
          <w:sz w:val="28"/>
          <w:szCs w:val="28"/>
        </w:rPr>
        <w:t>稳定问题是工程结构理论中的重要问题。钢结构理论包括多方面的内容，其中稳定问题占有较大比重，这是钢结构有别于其它结构的一个特点。因此学习有关的稳定理论，对于掌握钢结构设计及计算至关重要。《结构稳定理论》课程是土木工程专业重要的专业选修课程之一，本课程主要讲授轴心受压构件、压弯构件、梁、板及框架结构的稳定分析。通过对本课程的学习，使学生对结构及构件的稳定问题予以特别重视，掌握稳定问题的特点和规律以及正确的分析方法，分清强度与稳定计算的实质，从而避免工程中的失稳破坏。</w:t>
      </w:r>
    </w:p>
    <w:p w:rsidR="00494448" w:rsidRDefault="00494448" w:rsidP="005F6318">
      <w:pPr>
        <w:numPr>
          <w:ilvl w:val="0"/>
          <w:numId w:val="1"/>
        </w:numPr>
        <w:spacing w:beforeLines="50" w:before="156" w:line="360" w:lineRule="auto"/>
        <w:ind w:firstLine="329"/>
        <w:rPr>
          <w:rFonts w:ascii="Times New Roman" w:hAnsi="Times New Roman"/>
          <w:sz w:val="28"/>
          <w:szCs w:val="28"/>
        </w:rPr>
      </w:pPr>
      <w:r>
        <w:rPr>
          <w:rFonts w:ascii="Times New Roman" w:hAnsi="Times New Roman"/>
          <w:sz w:val="28"/>
          <w:szCs w:val="28"/>
        </w:rPr>
        <w:t>课程基本要求</w:t>
      </w:r>
    </w:p>
    <w:p w:rsidR="00494448" w:rsidRDefault="00494448" w:rsidP="00494448">
      <w:pPr>
        <w:spacing w:line="360" w:lineRule="auto"/>
        <w:ind w:firstLine="331"/>
        <w:rPr>
          <w:rFonts w:ascii="Times New Roman" w:hAnsi="Times New Roman"/>
          <w:b/>
          <w:color w:val="FF0000"/>
          <w:sz w:val="28"/>
          <w:szCs w:val="28"/>
        </w:rPr>
      </w:pPr>
      <w:r>
        <w:rPr>
          <w:rFonts w:ascii="Times New Roman" w:hAnsi="Times New Roman"/>
          <w:bCs/>
          <w:sz w:val="28"/>
          <w:szCs w:val="28"/>
        </w:rPr>
        <w:t>2.1</w:t>
      </w:r>
      <w:r>
        <w:rPr>
          <w:rFonts w:ascii="Times New Roman" w:hAnsi="Times New Roman"/>
          <w:bCs/>
          <w:sz w:val="28"/>
          <w:szCs w:val="28"/>
        </w:rPr>
        <w:t>课程目标</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lastRenderedPageBreak/>
        <w:t>通过本课程的学习，使学生能够清楚认识稳定问题与强度问题的区别与联系，掌握稳定问题的分析方法和了解其在结构设计理论中的具体应用，逐步培养准确、灵活运用稳定理论解决实际工程问题的能力，教学目标具体要求如下：</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1</w:t>
      </w:r>
      <w:r>
        <w:rPr>
          <w:rFonts w:ascii="Times New Roman" w:hAnsi="Times New Roman"/>
          <w:sz w:val="28"/>
          <w:szCs w:val="28"/>
        </w:rPr>
        <w:t>）掌握</w:t>
      </w:r>
      <w:r>
        <w:rPr>
          <w:rFonts w:ascii="Times New Roman" w:hAnsi="Times New Roman" w:hint="eastAsia"/>
          <w:sz w:val="28"/>
          <w:szCs w:val="28"/>
        </w:rPr>
        <w:t>稳定问题的概念和结构失稳的类型；</w:t>
      </w:r>
      <w:r>
        <w:rPr>
          <w:rFonts w:ascii="Times New Roman" w:hAnsi="Times New Roman"/>
          <w:sz w:val="28"/>
          <w:szCs w:val="28"/>
        </w:rPr>
        <w:t>掌握</w:t>
      </w:r>
      <w:r>
        <w:rPr>
          <w:rFonts w:ascii="Times New Roman" w:hAnsi="Times New Roman" w:hint="eastAsia"/>
          <w:sz w:val="28"/>
          <w:szCs w:val="28"/>
        </w:rPr>
        <w:t>中性平衡法、理想长柱的弹性失稳和稳定问题分析特点；掌握理想中短柱非弹性失稳、初始缺陷对稳定的影响</w:t>
      </w:r>
      <w:r>
        <w:rPr>
          <w:rFonts w:ascii="Times New Roman" w:hAnsi="Times New Roman"/>
          <w:sz w:val="28"/>
          <w:szCs w:val="28"/>
        </w:rPr>
        <w:t>。教育引导学生深刻理解并自觉实践</w:t>
      </w:r>
      <w:r>
        <w:rPr>
          <w:rFonts w:ascii="Times New Roman" w:hAnsi="Times New Roman" w:hint="eastAsia"/>
          <w:sz w:val="28"/>
          <w:szCs w:val="28"/>
        </w:rPr>
        <w:t>结构稳定理论</w:t>
      </w:r>
      <w:r>
        <w:rPr>
          <w:rFonts w:ascii="Times New Roman" w:hAnsi="Times New Roman"/>
          <w:sz w:val="28"/>
          <w:szCs w:val="28"/>
        </w:rPr>
        <w:t>领域的</w:t>
      </w:r>
      <w:r>
        <w:rPr>
          <w:rFonts w:ascii="Times New Roman" w:hAnsi="Times New Roman" w:hint="eastAsia"/>
          <w:sz w:val="28"/>
          <w:szCs w:val="28"/>
        </w:rPr>
        <w:t>科学素养和</w:t>
      </w:r>
      <w:r>
        <w:rPr>
          <w:rFonts w:ascii="Times New Roman" w:hAnsi="Times New Roman"/>
          <w:sz w:val="28"/>
          <w:szCs w:val="28"/>
        </w:rPr>
        <w:t>职业</w:t>
      </w:r>
      <w:r>
        <w:rPr>
          <w:rFonts w:ascii="Times New Roman" w:hAnsi="Times New Roman" w:hint="eastAsia"/>
          <w:sz w:val="28"/>
          <w:szCs w:val="28"/>
        </w:rPr>
        <w:t>道德</w:t>
      </w:r>
      <w:r>
        <w:rPr>
          <w:rFonts w:ascii="Times New Roman" w:hAnsi="Times New Roman"/>
          <w:sz w:val="28"/>
          <w:szCs w:val="28"/>
        </w:rPr>
        <w:t>。</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2</w:t>
      </w:r>
      <w:r>
        <w:rPr>
          <w:rFonts w:ascii="Times New Roman" w:hAnsi="Times New Roman"/>
          <w:sz w:val="28"/>
          <w:szCs w:val="28"/>
        </w:rPr>
        <w:t>）掌握</w:t>
      </w:r>
      <w:r>
        <w:rPr>
          <w:rFonts w:ascii="Times New Roman" w:hAnsi="Times New Roman" w:hint="eastAsia"/>
          <w:sz w:val="28"/>
          <w:szCs w:val="28"/>
        </w:rPr>
        <w:t>实际轴心压杆的整体稳定计算</w:t>
      </w:r>
      <w:r>
        <w:rPr>
          <w:rFonts w:ascii="Times New Roman" w:hAnsi="Times New Roman"/>
          <w:sz w:val="28"/>
          <w:szCs w:val="28"/>
        </w:rPr>
        <w:t>方法</w:t>
      </w:r>
      <w:r>
        <w:rPr>
          <w:rFonts w:ascii="Times New Roman" w:hAnsi="Times New Roman" w:hint="eastAsia"/>
          <w:sz w:val="28"/>
          <w:szCs w:val="28"/>
        </w:rPr>
        <w:t>和压杆稳定分析的近似方法。</w:t>
      </w:r>
      <w:r>
        <w:rPr>
          <w:rFonts w:ascii="Times New Roman" w:hAnsi="Times New Roman"/>
          <w:sz w:val="28"/>
          <w:szCs w:val="28"/>
        </w:rPr>
        <w:t>教育引导学生</w:t>
      </w:r>
      <w:r>
        <w:rPr>
          <w:rFonts w:ascii="Times New Roman" w:hAnsi="Times New Roman" w:hint="eastAsia"/>
          <w:sz w:val="28"/>
          <w:szCs w:val="28"/>
        </w:rPr>
        <w:t>能紧密结合工程实际综合运用专业理论知识，具有综合运用相关知识解决土木工程及相关领域工程问题的能力。</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3</w:t>
      </w:r>
      <w:r>
        <w:rPr>
          <w:rFonts w:ascii="Times New Roman" w:hAnsi="Times New Roman"/>
          <w:sz w:val="28"/>
          <w:szCs w:val="28"/>
        </w:rPr>
        <w:t>）掌握</w:t>
      </w:r>
      <w:r>
        <w:rPr>
          <w:rFonts w:ascii="Times New Roman" w:hAnsi="Times New Roman" w:hint="eastAsia"/>
          <w:sz w:val="28"/>
          <w:szCs w:val="28"/>
        </w:rPr>
        <w:t>轴心受压杆件、受弯杆件、压弯杆件、板、框架的失稳概念、失稳现象及相应的计算理论和设计方法，</w:t>
      </w:r>
      <w:r>
        <w:rPr>
          <w:rFonts w:ascii="Times New Roman" w:hAnsi="Times New Roman"/>
          <w:sz w:val="28"/>
          <w:szCs w:val="28"/>
        </w:rPr>
        <w:t>能结合实际土木工程建设涉及的</w:t>
      </w:r>
      <w:r>
        <w:rPr>
          <w:rFonts w:ascii="Times New Roman" w:hAnsi="Times New Roman" w:hint="eastAsia"/>
          <w:sz w:val="28"/>
          <w:szCs w:val="28"/>
        </w:rPr>
        <w:t>结构稳定理论</w:t>
      </w:r>
      <w:r>
        <w:rPr>
          <w:rFonts w:ascii="Times New Roman" w:hAnsi="Times New Roman"/>
          <w:sz w:val="28"/>
          <w:szCs w:val="28"/>
        </w:rPr>
        <w:t>特点，</w:t>
      </w:r>
      <w:r>
        <w:rPr>
          <w:rFonts w:ascii="Times New Roman" w:hAnsi="Times New Roman" w:hint="eastAsia"/>
          <w:sz w:val="28"/>
          <w:szCs w:val="28"/>
        </w:rPr>
        <w:t>提出提高和保证不同受力构件整体稳定的措施。</w:t>
      </w:r>
      <w:r>
        <w:rPr>
          <w:rFonts w:ascii="Times New Roman" w:hAnsi="Times New Roman"/>
          <w:sz w:val="28"/>
          <w:szCs w:val="28"/>
        </w:rPr>
        <w:t>增强学生在毕业工作后确保</w:t>
      </w:r>
      <w:r>
        <w:rPr>
          <w:rFonts w:ascii="Times New Roman" w:hAnsi="Times New Roman" w:hint="eastAsia"/>
          <w:sz w:val="28"/>
          <w:szCs w:val="28"/>
        </w:rPr>
        <w:t>建筑结构稳定、</w:t>
      </w:r>
      <w:r>
        <w:rPr>
          <w:rFonts w:ascii="Times New Roman" w:hAnsi="Times New Roman"/>
          <w:sz w:val="28"/>
          <w:szCs w:val="28"/>
        </w:rPr>
        <w:t>安全的底线意识，增强学生的土木工程师职业责任感，培养学生的大国工匠精神，激发学生的家国情怀。</w:t>
      </w:r>
    </w:p>
    <w:p w:rsidR="00494448" w:rsidRDefault="00494448" w:rsidP="00494448">
      <w:pPr>
        <w:spacing w:beforeLines="50" w:before="156" w:line="360" w:lineRule="auto"/>
        <w:ind w:firstLine="329"/>
        <w:rPr>
          <w:rFonts w:ascii="Times New Roman" w:hAnsi="Times New Roman"/>
          <w:b/>
          <w:color w:val="FF0000"/>
          <w:sz w:val="28"/>
          <w:szCs w:val="28"/>
        </w:rPr>
      </w:pPr>
      <w:r>
        <w:rPr>
          <w:rFonts w:ascii="Times New Roman" w:hAnsi="Times New Roman"/>
          <w:bCs/>
          <w:sz w:val="28"/>
          <w:szCs w:val="28"/>
        </w:rPr>
        <w:t xml:space="preserve">2.2 </w:t>
      </w:r>
      <w:r>
        <w:rPr>
          <w:rFonts w:ascii="Times New Roman" w:hAnsi="Times New Roman"/>
          <w:bCs/>
          <w:sz w:val="28"/>
          <w:szCs w:val="28"/>
        </w:rPr>
        <w:t>课程目标与毕业要求之间的对应关系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1"/>
        <w:gridCol w:w="2774"/>
        <w:gridCol w:w="840"/>
        <w:gridCol w:w="840"/>
        <w:gridCol w:w="841"/>
      </w:tblGrid>
      <w:tr w:rsidR="00494448" w:rsidTr="00BE5664">
        <w:tc>
          <w:tcPr>
            <w:tcW w:w="3481" w:type="pct"/>
            <w:gridSpan w:val="2"/>
            <w:vMerge w:val="restart"/>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毕业要求及其指标点</w:t>
            </w:r>
          </w:p>
        </w:tc>
        <w:tc>
          <w:tcPr>
            <w:tcW w:w="1519" w:type="pct"/>
            <w:gridSpan w:val="3"/>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教学目标</w:t>
            </w:r>
          </w:p>
        </w:tc>
      </w:tr>
      <w:tr w:rsidR="00494448" w:rsidTr="00BE5664">
        <w:tc>
          <w:tcPr>
            <w:tcW w:w="3481" w:type="pct"/>
            <w:gridSpan w:val="2"/>
            <w:vMerge/>
            <w:vAlign w:val="center"/>
          </w:tcPr>
          <w:p w:rsidR="00494448" w:rsidRDefault="00494448" w:rsidP="00BE5664">
            <w:pPr>
              <w:rPr>
                <w:rFonts w:ascii="Times New Roman" w:hAnsi="Times New Roman"/>
                <w:sz w:val="24"/>
                <w:szCs w:val="24"/>
              </w:rPr>
            </w:pPr>
          </w:p>
        </w:tc>
        <w:tc>
          <w:tcPr>
            <w:tcW w:w="506" w:type="pct"/>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tc>
        <w:tc>
          <w:tcPr>
            <w:tcW w:w="506" w:type="pct"/>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c>
          <w:tcPr>
            <w:tcW w:w="506" w:type="pct"/>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494448" w:rsidTr="00BE5664">
        <w:tc>
          <w:tcPr>
            <w:tcW w:w="1809" w:type="pct"/>
            <w:vAlign w:val="center"/>
          </w:tcPr>
          <w:p w:rsidR="00494448" w:rsidRDefault="00494448" w:rsidP="00BE5664">
            <w:pPr>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工程知识</w:t>
            </w:r>
          </w:p>
        </w:tc>
        <w:tc>
          <w:tcPr>
            <w:tcW w:w="1672" w:type="pct"/>
            <w:vAlign w:val="center"/>
          </w:tcPr>
          <w:p w:rsidR="00494448" w:rsidRDefault="00494448" w:rsidP="00BE5664">
            <w:pPr>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4</w:t>
            </w:r>
            <w:r>
              <w:rPr>
                <w:rFonts w:ascii="Times New Roman" w:hAnsi="Times New Roman"/>
                <w:sz w:val="24"/>
                <w:szCs w:val="24"/>
              </w:rPr>
              <w:t>：</w:t>
            </w:r>
            <w:r>
              <w:rPr>
                <w:rFonts w:ascii="Times New Roman" w:hAnsi="Times New Roman" w:hint="eastAsia"/>
                <w:sz w:val="24"/>
                <w:szCs w:val="24"/>
              </w:rPr>
              <w:t>掌握土木工程专业知识，具备知识融合能力，应用于解决土木工程专业复杂</w:t>
            </w:r>
          </w:p>
          <w:p w:rsidR="00494448" w:rsidRDefault="00494448" w:rsidP="00BE5664">
            <w:pPr>
              <w:rPr>
                <w:rFonts w:ascii="Times New Roman" w:hAnsi="Times New Roman"/>
                <w:sz w:val="24"/>
                <w:szCs w:val="24"/>
              </w:rPr>
            </w:pPr>
            <w:r>
              <w:rPr>
                <w:rFonts w:ascii="Times New Roman" w:hAnsi="Times New Roman" w:hint="eastAsia"/>
                <w:sz w:val="24"/>
                <w:szCs w:val="24"/>
              </w:rPr>
              <w:t>工程问题。</w:t>
            </w:r>
          </w:p>
        </w:tc>
        <w:tc>
          <w:tcPr>
            <w:tcW w:w="506" w:type="pct"/>
            <w:vAlign w:val="center"/>
          </w:tcPr>
          <w:p w:rsidR="00494448" w:rsidRDefault="00494448" w:rsidP="00BE5664">
            <w:pPr>
              <w:jc w:val="center"/>
              <w:rPr>
                <w:rFonts w:ascii="Times New Roman" w:hAnsi="Times New Roman"/>
                <w:sz w:val="24"/>
                <w:szCs w:val="24"/>
              </w:rPr>
            </w:pPr>
            <w:r>
              <w:rPr>
                <w:rFonts w:ascii="Times New Roman" w:hAnsi="Times New Roman"/>
                <w:kern w:val="0"/>
                <w:sz w:val="24"/>
                <w:szCs w:val="24"/>
              </w:rPr>
              <w:t>√</w:t>
            </w:r>
          </w:p>
        </w:tc>
        <w:tc>
          <w:tcPr>
            <w:tcW w:w="506" w:type="pct"/>
            <w:vAlign w:val="center"/>
          </w:tcPr>
          <w:p w:rsidR="00494448" w:rsidRDefault="00494448" w:rsidP="00BE5664">
            <w:pPr>
              <w:jc w:val="center"/>
              <w:rPr>
                <w:rFonts w:ascii="Times New Roman" w:hAnsi="Times New Roman"/>
                <w:sz w:val="24"/>
                <w:szCs w:val="24"/>
              </w:rPr>
            </w:pPr>
            <w:r>
              <w:rPr>
                <w:rFonts w:ascii="Times New Roman" w:hAnsi="Times New Roman"/>
                <w:kern w:val="0"/>
                <w:sz w:val="24"/>
                <w:szCs w:val="24"/>
              </w:rPr>
              <w:t>√</w:t>
            </w:r>
          </w:p>
        </w:tc>
        <w:tc>
          <w:tcPr>
            <w:tcW w:w="506" w:type="pct"/>
            <w:vAlign w:val="center"/>
          </w:tcPr>
          <w:p w:rsidR="00494448" w:rsidRDefault="00494448" w:rsidP="00BE5664">
            <w:pPr>
              <w:jc w:val="center"/>
              <w:rPr>
                <w:rFonts w:ascii="Times New Roman" w:hAnsi="Times New Roman"/>
                <w:sz w:val="24"/>
                <w:szCs w:val="24"/>
              </w:rPr>
            </w:pPr>
            <w:r>
              <w:rPr>
                <w:rFonts w:ascii="Times New Roman" w:hAnsi="Times New Roman"/>
                <w:kern w:val="0"/>
                <w:sz w:val="24"/>
                <w:szCs w:val="24"/>
              </w:rPr>
              <w:t>√</w:t>
            </w:r>
          </w:p>
        </w:tc>
      </w:tr>
      <w:tr w:rsidR="00494448" w:rsidTr="00BE5664">
        <w:tc>
          <w:tcPr>
            <w:tcW w:w="1809" w:type="pct"/>
            <w:vAlign w:val="center"/>
          </w:tcPr>
          <w:p w:rsidR="00494448" w:rsidRDefault="00494448" w:rsidP="00BE5664">
            <w:pPr>
              <w:rPr>
                <w:rFonts w:ascii="Times New Roman" w:hAnsi="Times New Roman"/>
                <w:sz w:val="24"/>
                <w:szCs w:val="24"/>
              </w:rPr>
            </w:pPr>
            <w:r>
              <w:rPr>
                <w:rFonts w:ascii="Times New Roman" w:hAnsi="Times New Roman" w:hint="eastAsia"/>
                <w:sz w:val="24"/>
                <w:szCs w:val="24"/>
              </w:rPr>
              <w:t xml:space="preserve">2. </w:t>
            </w:r>
            <w:r>
              <w:rPr>
                <w:rFonts w:ascii="Times New Roman" w:hAnsi="Times New Roman" w:hint="eastAsia"/>
                <w:sz w:val="24"/>
                <w:szCs w:val="24"/>
              </w:rPr>
              <w:t>问题分析</w:t>
            </w:r>
          </w:p>
        </w:tc>
        <w:tc>
          <w:tcPr>
            <w:tcW w:w="1672" w:type="pct"/>
            <w:vAlign w:val="center"/>
          </w:tcPr>
          <w:p w:rsidR="00494448" w:rsidRDefault="00494448" w:rsidP="00BE5664">
            <w:pPr>
              <w:rPr>
                <w:rFonts w:ascii="Times New Roman" w:hAnsi="Times New Roman"/>
                <w:sz w:val="24"/>
                <w:szCs w:val="24"/>
              </w:rPr>
            </w:pPr>
            <w:r>
              <w:rPr>
                <w:rFonts w:ascii="Times New Roman" w:hAnsi="Times New Roman" w:hint="eastAsia"/>
                <w:sz w:val="24"/>
                <w:szCs w:val="24"/>
              </w:rPr>
              <w:t>2-4</w:t>
            </w:r>
            <w:r>
              <w:rPr>
                <w:rFonts w:ascii="Times New Roman" w:hAnsi="Times New Roman" w:hint="eastAsia"/>
                <w:sz w:val="24"/>
                <w:szCs w:val="24"/>
              </w:rPr>
              <w:t>：应用土木工程相关原理和方法，具备综合判断能力，能够通过对比、推理、分析及文献研究</w:t>
            </w:r>
            <w:r>
              <w:rPr>
                <w:rFonts w:ascii="Times New Roman" w:hAnsi="Times New Roman" w:hint="eastAsia"/>
                <w:sz w:val="24"/>
                <w:szCs w:val="24"/>
              </w:rPr>
              <w:lastRenderedPageBreak/>
              <w:t>等，获得有效结论</w:t>
            </w:r>
          </w:p>
        </w:tc>
        <w:tc>
          <w:tcPr>
            <w:tcW w:w="506" w:type="pct"/>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lastRenderedPageBreak/>
              <w:t>√</w:t>
            </w:r>
          </w:p>
        </w:tc>
        <w:tc>
          <w:tcPr>
            <w:tcW w:w="506" w:type="pct"/>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t>√</w:t>
            </w:r>
          </w:p>
        </w:tc>
        <w:tc>
          <w:tcPr>
            <w:tcW w:w="506" w:type="pct"/>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t>√</w:t>
            </w:r>
          </w:p>
        </w:tc>
      </w:tr>
      <w:tr w:rsidR="00494448" w:rsidTr="00BE5664">
        <w:tc>
          <w:tcPr>
            <w:tcW w:w="1809" w:type="pct"/>
            <w:vAlign w:val="center"/>
          </w:tcPr>
          <w:p w:rsidR="00494448" w:rsidRDefault="00494448" w:rsidP="00BE5664">
            <w:pPr>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设计（开发）解决方案</w:t>
            </w:r>
          </w:p>
        </w:tc>
        <w:tc>
          <w:tcPr>
            <w:tcW w:w="1672" w:type="pct"/>
            <w:vAlign w:val="center"/>
          </w:tcPr>
          <w:p w:rsidR="00494448" w:rsidRDefault="00494448" w:rsidP="00BE5664">
            <w:pPr>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w:t>
            </w:r>
            <w:r>
              <w:rPr>
                <w:rFonts w:ascii="Times New Roman" w:hAnsi="Times New Roman" w:hint="eastAsia"/>
                <w:sz w:val="24"/>
                <w:szCs w:val="24"/>
              </w:rPr>
              <w:t>能够针对特定需求，确定工程基本单元的设计目标或问题解决方案，并完成设计</w:t>
            </w:r>
            <w:r>
              <w:rPr>
                <w:rFonts w:ascii="Times New Roman" w:hAnsi="Times New Roman" w:hint="eastAsia"/>
                <w:sz w:val="24"/>
                <w:szCs w:val="24"/>
              </w:rPr>
              <w:t>/</w:t>
            </w:r>
            <w:r>
              <w:rPr>
                <w:rFonts w:ascii="Times New Roman" w:hAnsi="Times New Roman" w:hint="eastAsia"/>
                <w:sz w:val="24"/>
                <w:szCs w:val="24"/>
              </w:rPr>
              <w:t>开发工作</w:t>
            </w:r>
          </w:p>
        </w:tc>
        <w:tc>
          <w:tcPr>
            <w:tcW w:w="506" w:type="pct"/>
            <w:vAlign w:val="center"/>
          </w:tcPr>
          <w:p w:rsidR="00494448" w:rsidRDefault="00494448" w:rsidP="00BE5664">
            <w:pPr>
              <w:jc w:val="center"/>
              <w:rPr>
                <w:rFonts w:ascii="Times New Roman" w:hAnsi="Times New Roman"/>
                <w:sz w:val="24"/>
                <w:szCs w:val="24"/>
              </w:rPr>
            </w:pPr>
          </w:p>
        </w:tc>
        <w:tc>
          <w:tcPr>
            <w:tcW w:w="506" w:type="pct"/>
            <w:vAlign w:val="center"/>
          </w:tcPr>
          <w:p w:rsidR="00494448" w:rsidRDefault="00494448" w:rsidP="00BE5664">
            <w:pPr>
              <w:jc w:val="center"/>
              <w:rPr>
                <w:rFonts w:ascii="Times New Roman" w:hAnsi="Times New Roman"/>
                <w:sz w:val="24"/>
                <w:szCs w:val="24"/>
              </w:rPr>
            </w:pPr>
            <w:r>
              <w:rPr>
                <w:rFonts w:ascii="Times New Roman" w:hAnsi="Times New Roman"/>
                <w:kern w:val="0"/>
                <w:sz w:val="24"/>
                <w:szCs w:val="24"/>
              </w:rPr>
              <w:t>√</w:t>
            </w:r>
          </w:p>
        </w:tc>
        <w:tc>
          <w:tcPr>
            <w:tcW w:w="506" w:type="pct"/>
            <w:vAlign w:val="center"/>
          </w:tcPr>
          <w:p w:rsidR="00494448" w:rsidRDefault="00494448" w:rsidP="00BE5664">
            <w:pPr>
              <w:jc w:val="center"/>
              <w:rPr>
                <w:rFonts w:ascii="Times New Roman" w:hAnsi="Times New Roman"/>
                <w:sz w:val="24"/>
                <w:szCs w:val="24"/>
              </w:rPr>
            </w:pPr>
            <w:r>
              <w:rPr>
                <w:rFonts w:ascii="Times New Roman" w:hAnsi="Times New Roman"/>
                <w:kern w:val="0"/>
                <w:sz w:val="24"/>
                <w:szCs w:val="24"/>
              </w:rPr>
              <w:t>√</w:t>
            </w:r>
          </w:p>
        </w:tc>
      </w:tr>
      <w:tr w:rsidR="00494448" w:rsidTr="00BE5664">
        <w:tc>
          <w:tcPr>
            <w:tcW w:w="1809" w:type="pct"/>
            <w:vAlign w:val="center"/>
          </w:tcPr>
          <w:p w:rsidR="00494448" w:rsidRDefault="00494448" w:rsidP="005F6318">
            <w:pPr>
              <w:numPr>
                <w:ilvl w:val="0"/>
                <w:numId w:val="13"/>
              </w:numPr>
              <w:rPr>
                <w:rFonts w:ascii="Times New Roman" w:hAnsi="Times New Roman"/>
                <w:sz w:val="24"/>
                <w:szCs w:val="24"/>
              </w:rPr>
            </w:pPr>
            <w:r>
              <w:rPr>
                <w:rFonts w:ascii="Times New Roman" w:hAnsi="Times New Roman" w:hint="eastAsia"/>
                <w:sz w:val="24"/>
                <w:szCs w:val="24"/>
              </w:rPr>
              <w:t>职业规范</w:t>
            </w:r>
          </w:p>
        </w:tc>
        <w:tc>
          <w:tcPr>
            <w:tcW w:w="1672" w:type="pct"/>
            <w:vAlign w:val="center"/>
          </w:tcPr>
          <w:p w:rsidR="00494448" w:rsidRDefault="00494448" w:rsidP="00BE5664">
            <w:pPr>
              <w:rPr>
                <w:rFonts w:ascii="Times New Roman" w:hAnsi="Times New Roman"/>
                <w:sz w:val="24"/>
                <w:szCs w:val="24"/>
              </w:rPr>
            </w:pPr>
            <w:r>
              <w:rPr>
                <w:rFonts w:ascii="Times New Roman" w:hAnsi="Times New Roman" w:hint="eastAsia"/>
                <w:sz w:val="24"/>
                <w:szCs w:val="24"/>
              </w:rPr>
              <w:t>8-2</w:t>
            </w:r>
            <w:r>
              <w:rPr>
                <w:rFonts w:ascii="Times New Roman" w:hAnsi="Times New Roman" w:hint="eastAsia"/>
                <w:sz w:val="24"/>
                <w:szCs w:val="24"/>
              </w:rPr>
              <w:t>：理解诚实公正、诚信守则的土木工程职业道德和行为规范，并能够在工程实践中自觉遵守，具有法律意识</w:t>
            </w:r>
          </w:p>
        </w:tc>
        <w:tc>
          <w:tcPr>
            <w:tcW w:w="506" w:type="pct"/>
            <w:vAlign w:val="center"/>
          </w:tcPr>
          <w:p w:rsidR="00494448" w:rsidRDefault="00494448" w:rsidP="00BE5664">
            <w:pPr>
              <w:jc w:val="center"/>
              <w:rPr>
                <w:rFonts w:ascii="Times New Roman" w:hAnsi="Times New Roman"/>
                <w:sz w:val="24"/>
                <w:szCs w:val="24"/>
              </w:rPr>
            </w:pPr>
            <w:r>
              <w:rPr>
                <w:rFonts w:ascii="Times New Roman" w:hAnsi="Times New Roman"/>
                <w:kern w:val="0"/>
                <w:sz w:val="24"/>
                <w:szCs w:val="24"/>
              </w:rPr>
              <w:t>√</w:t>
            </w:r>
          </w:p>
        </w:tc>
        <w:tc>
          <w:tcPr>
            <w:tcW w:w="506" w:type="pct"/>
            <w:vAlign w:val="center"/>
          </w:tcPr>
          <w:p w:rsidR="00494448" w:rsidRDefault="00494448" w:rsidP="00BE5664">
            <w:pPr>
              <w:jc w:val="center"/>
              <w:rPr>
                <w:rFonts w:ascii="Times New Roman" w:hAnsi="Times New Roman"/>
                <w:kern w:val="0"/>
                <w:sz w:val="24"/>
                <w:szCs w:val="24"/>
              </w:rPr>
            </w:pPr>
          </w:p>
        </w:tc>
        <w:tc>
          <w:tcPr>
            <w:tcW w:w="506" w:type="pct"/>
            <w:vAlign w:val="center"/>
          </w:tcPr>
          <w:p w:rsidR="00494448" w:rsidRDefault="00494448" w:rsidP="00BE5664">
            <w:pPr>
              <w:jc w:val="center"/>
              <w:rPr>
                <w:rFonts w:ascii="Times New Roman" w:hAnsi="Times New Roman"/>
                <w:kern w:val="0"/>
                <w:sz w:val="24"/>
                <w:szCs w:val="24"/>
              </w:rPr>
            </w:pPr>
          </w:p>
        </w:tc>
      </w:tr>
      <w:tr w:rsidR="00494448" w:rsidTr="00BE5664">
        <w:tc>
          <w:tcPr>
            <w:tcW w:w="1809" w:type="pct"/>
            <w:vAlign w:val="center"/>
          </w:tcPr>
          <w:p w:rsidR="00494448" w:rsidRDefault="00494448" w:rsidP="00BE5664">
            <w:pPr>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2</w:t>
            </w:r>
            <w:r>
              <w:rPr>
                <w:rFonts w:ascii="Times New Roman" w:hAnsi="Times New Roman"/>
                <w:sz w:val="24"/>
                <w:szCs w:val="24"/>
              </w:rPr>
              <w:t xml:space="preserve">. </w:t>
            </w:r>
            <w:r>
              <w:rPr>
                <w:rFonts w:ascii="Times New Roman" w:hAnsi="Times New Roman"/>
                <w:sz w:val="24"/>
                <w:szCs w:val="24"/>
              </w:rPr>
              <w:t>终身学习</w:t>
            </w:r>
          </w:p>
        </w:tc>
        <w:tc>
          <w:tcPr>
            <w:tcW w:w="1672" w:type="pct"/>
            <w:vAlign w:val="center"/>
          </w:tcPr>
          <w:p w:rsidR="00494448" w:rsidRDefault="00494448" w:rsidP="00BE5664">
            <w:pPr>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2</w:t>
            </w:r>
            <w:r>
              <w:rPr>
                <w:rFonts w:ascii="Times New Roman" w:hAnsi="Times New Roman"/>
                <w:sz w:val="24"/>
                <w:szCs w:val="24"/>
              </w:rPr>
              <w:t>-1</w:t>
            </w:r>
            <w:r>
              <w:rPr>
                <w:rFonts w:ascii="Times New Roman" w:hAnsi="Times New Roman"/>
                <w:sz w:val="24"/>
                <w:szCs w:val="24"/>
              </w:rPr>
              <w:t>：</w:t>
            </w:r>
            <w:r>
              <w:rPr>
                <w:rFonts w:ascii="Times New Roman" w:hAnsi="Times New Roman" w:hint="eastAsia"/>
                <w:sz w:val="24"/>
                <w:szCs w:val="24"/>
              </w:rPr>
              <w:t>在社会和土木工程专业发展的大背景下，能够认识到不断探索和学习的必要性，自觉跟踪土木工程专业学科前沿，具有自主学习和终身学习意识</w:t>
            </w:r>
          </w:p>
        </w:tc>
        <w:tc>
          <w:tcPr>
            <w:tcW w:w="506" w:type="pct"/>
            <w:vAlign w:val="center"/>
          </w:tcPr>
          <w:p w:rsidR="00494448" w:rsidRDefault="00494448" w:rsidP="00BE5664">
            <w:pPr>
              <w:jc w:val="center"/>
              <w:rPr>
                <w:rFonts w:ascii="Times New Roman" w:hAnsi="Times New Roman"/>
                <w:sz w:val="24"/>
                <w:szCs w:val="24"/>
              </w:rPr>
            </w:pPr>
            <w:r>
              <w:rPr>
                <w:rFonts w:ascii="Times New Roman" w:hAnsi="Times New Roman"/>
                <w:kern w:val="0"/>
                <w:sz w:val="24"/>
                <w:szCs w:val="24"/>
              </w:rPr>
              <w:t>√</w:t>
            </w:r>
          </w:p>
        </w:tc>
        <w:tc>
          <w:tcPr>
            <w:tcW w:w="506" w:type="pct"/>
            <w:vAlign w:val="center"/>
          </w:tcPr>
          <w:p w:rsidR="00494448" w:rsidRDefault="00494448" w:rsidP="00BE5664">
            <w:pPr>
              <w:jc w:val="center"/>
              <w:rPr>
                <w:rFonts w:ascii="Times New Roman" w:hAnsi="Times New Roman"/>
                <w:sz w:val="24"/>
                <w:szCs w:val="24"/>
              </w:rPr>
            </w:pPr>
            <w:r>
              <w:rPr>
                <w:rFonts w:ascii="Times New Roman" w:hAnsi="Times New Roman"/>
                <w:kern w:val="0"/>
                <w:sz w:val="24"/>
                <w:szCs w:val="24"/>
              </w:rPr>
              <w:t>√</w:t>
            </w:r>
          </w:p>
        </w:tc>
        <w:tc>
          <w:tcPr>
            <w:tcW w:w="506" w:type="pct"/>
            <w:vAlign w:val="center"/>
          </w:tcPr>
          <w:p w:rsidR="00494448" w:rsidRDefault="00494448" w:rsidP="00BE5664">
            <w:pPr>
              <w:jc w:val="center"/>
              <w:rPr>
                <w:rFonts w:ascii="Times New Roman" w:hAnsi="Times New Roman"/>
                <w:sz w:val="24"/>
                <w:szCs w:val="24"/>
              </w:rPr>
            </w:pPr>
            <w:r>
              <w:rPr>
                <w:rFonts w:ascii="Times New Roman" w:hAnsi="Times New Roman"/>
                <w:kern w:val="0"/>
                <w:sz w:val="24"/>
                <w:szCs w:val="24"/>
              </w:rPr>
              <w:t>√</w:t>
            </w:r>
          </w:p>
        </w:tc>
      </w:tr>
    </w:tbl>
    <w:p w:rsidR="00494448" w:rsidRDefault="00494448" w:rsidP="0049444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3. </w:t>
      </w:r>
      <w:r>
        <w:rPr>
          <w:rFonts w:ascii="Times New Roman" w:hAnsi="Times New Roman"/>
          <w:sz w:val="28"/>
          <w:szCs w:val="28"/>
        </w:rPr>
        <w:t>课程的重点、难点</w:t>
      </w:r>
    </w:p>
    <w:p w:rsid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sz w:val="28"/>
          <w:szCs w:val="28"/>
        </w:rPr>
        <w:t>本课程的重点：稳定问题的分类及临界力的求法；理想轴心受压构件的三种失稳类型，缺陷对稳定性能的影响；受弯构件的弯扭失稳及其影响因素；压弯构件在平面内、平面外失稳及临界力的确定方法；薄板失稳的概念及薄板临界力的确定方法；框架柱的整体稳定分析。</w:t>
      </w:r>
    </w:p>
    <w:p w:rsid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sz w:val="28"/>
          <w:szCs w:val="28"/>
        </w:rPr>
        <w:t>本课程的难点：临界力的求解方法；初始缺陷对稳定承载力的影响；弹塑性稳定问题的求解方法；稳定理论如何应用钢结构设计。</w:t>
      </w:r>
    </w:p>
    <w:p w:rsidR="00494448" w:rsidRDefault="00494448" w:rsidP="0049444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rPr>
        <w:t>课程思政设计</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促进思想政治理论课与专业课的有效融合，以</w:t>
      </w:r>
      <w:r>
        <w:rPr>
          <w:rFonts w:ascii="Times New Roman" w:hAnsi="Times New Roman"/>
          <w:sz w:val="28"/>
          <w:szCs w:val="28"/>
        </w:rPr>
        <w:t>“</w:t>
      </w:r>
      <w:r>
        <w:rPr>
          <w:rFonts w:ascii="Times New Roman" w:hAnsi="Times New Roman"/>
          <w:sz w:val="28"/>
          <w:szCs w:val="28"/>
        </w:rPr>
        <w:t>课程思政</w:t>
      </w:r>
      <w:r>
        <w:rPr>
          <w:rFonts w:ascii="Times New Roman" w:hAnsi="Times New Roman"/>
          <w:sz w:val="28"/>
          <w:szCs w:val="28"/>
        </w:rPr>
        <w:t>”</w:t>
      </w:r>
      <w:r>
        <w:rPr>
          <w:rFonts w:ascii="Times New Roman" w:hAnsi="Times New Roman"/>
          <w:sz w:val="28"/>
          <w:szCs w:val="28"/>
        </w:rPr>
        <w:t>为契合点增强教学的育人功效，与此同时，加强专业课教师角色转变，发挥与思政课教师联动作用，将思想政治教育的要素融入育人方案之中。</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）加强课堂教学管理，认真讲好每一堂课，遵守党和国家大政</w:t>
      </w:r>
      <w:r>
        <w:rPr>
          <w:rFonts w:ascii="Times New Roman" w:hAnsi="Times New Roman"/>
          <w:sz w:val="28"/>
          <w:szCs w:val="28"/>
        </w:rPr>
        <w:lastRenderedPageBreak/>
        <w:t>方针，弘扬社会主义核心价值观，基于课程教学要求和严谨、认真的研究讲授知识、提出观点。</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）积极开展教学方法改革，注重理论联系实际，使用案例教学，加强课堂师生互动、生生互动，组织学生以讨论、研讨、发言、演讲的形式参与到课堂中，促进学生独立思考、勇敢表达。</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）优化教学手段，深度融合现代信息技术与课堂教学，建立课程网站，实现线上、线下，课前、课中、课后全过程教育。</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充分挖掘和运用各学科蕴含的思想政治教育资源，促进思想政治教育与专业知识教育的紧密结合，使课程教学与思想政治理论课同向同行，形成协同效应。</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为了增加思政课融入课堂的理念，又避免课程的乏味，在上课过程中穿插着将思政内容有机融入课堂里，让学生动手去实践，去感受国家的强大，以及自己作为国家一份子的骄傲。这不但增加了同学们的家国情怀而且很好的将思政理念融入其中。</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由于理工类的课程单靠课堂讲解非常难以让学生理解，可带领学生参观工厂，实地考察，请专家在试验基地进行现场解说。为了增加学生的成就感与开拓学生的国际视野，可进行项目式教学，带领学生进行结构分析，讲工程细节，做模型，让学生亲身体会工程类课程的乐趣，并且对专业有更深入了解以及能力提升。从而让学生感觉到我国已进入钢结构大国水平，但是未来要向钢结构强国发展，这中间的过程体现着经济实力的发展，这才能够更好地实现中国梦。</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）在课程中讲述著名钢结构专家的科研事迹，如我国著名结构工程专家和教育家，我国钢结构事业的开拓者陈绍蕃教授。矢志不移、勤勉踏实、实事求是、勇于创新是陈绍蕃从事科研工作的一贯作风。</w:t>
      </w:r>
      <w:r>
        <w:rPr>
          <w:rFonts w:ascii="Times New Roman" w:hAnsi="Times New Roman"/>
          <w:sz w:val="28"/>
          <w:szCs w:val="28"/>
        </w:rPr>
        <w:lastRenderedPageBreak/>
        <w:t>他说：</w:t>
      </w:r>
      <w:r>
        <w:rPr>
          <w:rFonts w:ascii="Times New Roman" w:hAnsi="Times New Roman"/>
          <w:sz w:val="28"/>
          <w:szCs w:val="28"/>
        </w:rPr>
        <w:t>“</w:t>
      </w:r>
      <w:r>
        <w:rPr>
          <w:rFonts w:ascii="Times New Roman" w:hAnsi="Times New Roman"/>
          <w:sz w:val="28"/>
          <w:szCs w:val="28"/>
        </w:rPr>
        <w:t>跟着感觉走，迷信和依赖权威而不愿多动脑筋，这对学者来说是绝对不允许的。勤奋是成功的催化剂，而持之以恒、滴水穿石更是抵达成功彼岸最近的通道。</w:t>
      </w:r>
      <w:r>
        <w:rPr>
          <w:rFonts w:ascii="Times New Roman" w:hAnsi="Times New Roman"/>
          <w:sz w:val="28"/>
          <w:szCs w:val="28"/>
        </w:rPr>
        <w:t>”</w:t>
      </w:r>
      <w:r>
        <w:rPr>
          <w:rFonts w:ascii="Times New Roman" w:hAnsi="Times New Roman"/>
          <w:sz w:val="28"/>
          <w:szCs w:val="28"/>
        </w:rPr>
        <w:t>正是由于陈绍蕃和他同时代专家学者的开创性工作，以及几代建筑领域科技工作者的不懈努力，我国钢结构领域的科研和推广工作才取得了一定的成绩，才能在改革开放后迅速适应市场的急剧变化，迎来钢结构事业发展的春天。</w:t>
      </w:r>
    </w:p>
    <w:p w:rsidR="00494448" w:rsidRDefault="00494448" w:rsidP="0049444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四、教学内容安排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57"/>
        <w:gridCol w:w="457"/>
        <w:gridCol w:w="1900"/>
        <w:gridCol w:w="1565"/>
        <w:gridCol w:w="3460"/>
      </w:tblGrid>
      <w:tr w:rsidR="00494448" w:rsidTr="00BE5664">
        <w:trPr>
          <w:cantSplit/>
          <w:trHeight w:val="785"/>
          <w:tblHeader/>
        </w:trPr>
        <w:tc>
          <w:tcPr>
            <w:tcW w:w="0" w:type="auto"/>
            <w:vAlign w:val="center"/>
          </w:tcPr>
          <w:p w:rsidR="00494448" w:rsidRDefault="00494448" w:rsidP="00BE5664">
            <w:pPr>
              <w:jc w:val="center"/>
              <w:rPr>
                <w:rFonts w:ascii="Times New Roman" w:hAnsi="Times New Roman"/>
                <w:b/>
                <w:kern w:val="0"/>
                <w:sz w:val="24"/>
                <w:szCs w:val="24"/>
              </w:rPr>
            </w:pPr>
            <w:r>
              <w:rPr>
                <w:rFonts w:ascii="Times New Roman" w:hAnsi="Times New Roman"/>
                <w:b/>
                <w:kern w:val="0"/>
                <w:sz w:val="24"/>
                <w:szCs w:val="24"/>
              </w:rPr>
              <w:t>序号</w:t>
            </w:r>
          </w:p>
        </w:tc>
        <w:tc>
          <w:tcPr>
            <w:tcW w:w="0" w:type="auto"/>
            <w:vAlign w:val="center"/>
          </w:tcPr>
          <w:p w:rsidR="00494448" w:rsidRDefault="00494448" w:rsidP="00BE5664">
            <w:pPr>
              <w:jc w:val="center"/>
              <w:rPr>
                <w:rFonts w:ascii="Times New Roman" w:hAnsi="Times New Roman"/>
                <w:b/>
                <w:kern w:val="0"/>
                <w:sz w:val="24"/>
                <w:szCs w:val="24"/>
              </w:rPr>
            </w:pPr>
            <w:r>
              <w:rPr>
                <w:rFonts w:ascii="Times New Roman" w:hAnsi="Times New Roman"/>
                <w:b/>
                <w:kern w:val="0"/>
                <w:sz w:val="24"/>
                <w:szCs w:val="24"/>
              </w:rPr>
              <w:t>章节</w:t>
            </w:r>
          </w:p>
        </w:tc>
        <w:tc>
          <w:tcPr>
            <w:tcW w:w="0" w:type="auto"/>
            <w:vAlign w:val="center"/>
          </w:tcPr>
          <w:p w:rsidR="00494448" w:rsidRDefault="00494448" w:rsidP="00BE5664">
            <w:pPr>
              <w:jc w:val="center"/>
              <w:rPr>
                <w:rFonts w:ascii="Times New Roman" w:hAnsi="Times New Roman"/>
                <w:b/>
                <w:kern w:val="0"/>
                <w:sz w:val="24"/>
                <w:szCs w:val="24"/>
              </w:rPr>
            </w:pPr>
            <w:r>
              <w:rPr>
                <w:rFonts w:ascii="Times New Roman" w:hAnsi="Times New Roman"/>
                <w:b/>
                <w:kern w:val="0"/>
                <w:sz w:val="24"/>
                <w:szCs w:val="24"/>
              </w:rPr>
              <w:t>参考学时</w:t>
            </w:r>
          </w:p>
        </w:tc>
        <w:tc>
          <w:tcPr>
            <w:tcW w:w="2010" w:type="dxa"/>
            <w:vAlign w:val="center"/>
          </w:tcPr>
          <w:p w:rsidR="00494448" w:rsidRDefault="00494448" w:rsidP="00BE5664">
            <w:pPr>
              <w:jc w:val="center"/>
              <w:rPr>
                <w:rFonts w:ascii="Times New Roman" w:hAnsi="Times New Roman"/>
                <w:b/>
                <w:kern w:val="0"/>
                <w:sz w:val="24"/>
                <w:szCs w:val="24"/>
              </w:rPr>
            </w:pPr>
            <w:r>
              <w:rPr>
                <w:rFonts w:ascii="Times New Roman" w:hAnsi="Times New Roman"/>
                <w:b/>
                <w:kern w:val="0"/>
                <w:sz w:val="24"/>
                <w:szCs w:val="24"/>
              </w:rPr>
              <w:t>教学内容</w:t>
            </w:r>
          </w:p>
        </w:tc>
        <w:tc>
          <w:tcPr>
            <w:tcW w:w="1677" w:type="dxa"/>
            <w:vAlign w:val="center"/>
          </w:tcPr>
          <w:p w:rsidR="00494448" w:rsidRDefault="00494448" w:rsidP="00BE5664">
            <w:pPr>
              <w:jc w:val="center"/>
              <w:rPr>
                <w:rFonts w:ascii="Times New Roman" w:hAnsi="Times New Roman"/>
                <w:b/>
                <w:kern w:val="0"/>
                <w:sz w:val="24"/>
                <w:szCs w:val="24"/>
              </w:rPr>
            </w:pPr>
            <w:r>
              <w:rPr>
                <w:rFonts w:ascii="Times New Roman" w:hAnsi="Times New Roman"/>
                <w:b/>
                <w:kern w:val="0"/>
                <w:sz w:val="24"/>
                <w:szCs w:val="24"/>
              </w:rPr>
              <w:t>基本要求</w:t>
            </w:r>
          </w:p>
        </w:tc>
        <w:tc>
          <w:tcPr>
            <w:tcW w:w="3786" w:type="dxa"/>
            <w:vAlign w:val="center"/>
          </w:tcPr>
          <w:p w:rsidR="00494448" w:rsidRDefault="00494448" w:rsidP="00BE5664">
            <w:pPr>
              <w:jc w:val="center"/>
              <w:rPr>
                <w:rFonts w:ascii="Times New Roman" w:hAnsi="Times New Roman"/>
                <w:b/>
                <w:kern w:val="0"/>
                <w:sz w:val="24"/>
                <w:szCs w:val="24"/>
              </w:rPr>
            </w:pPr>
            <w:r>
              <w:rPr>
                <w:rFonts w:ascii="Times New Roman" w:hAnsi="Times New Roman" w:hint="eastAsia"/>
                <w:b/>
                <w:kern w:val="0"/>
                <w:sz w:val="24"/>
                <w:szCs w:val="24"/>
              </w:rPr>
              <w:t>对毕业要求的支撑</w:t>
            </w:r>
          </w:p>
        </w:tc>
      </w:tr>
      <w:tr w:rsidR="00494448" w:rsidTr="00BE5664">
        <w:trPr>
          <w:trHeight w:val="428"/>
        </w:trPr>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t>1</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hint="eastAsia"/>
                <w:kern w:val="0"/>
                <w:sz w:val="24"/>
                <w:szCs w:val="24"/>
              </w:rPr>
              <w:t>结构稳定问题概述</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hint="eastAsia"/>
                <w:kern w:val="0"/>
                <w:sz w:val="24"/>
                <w:szCs w:val="24"/>
              </w:rPr>
              <w:t>2</w:t>
            </w:r>
          </w:p>
        </w:tc>
        <w:tc>
          <w:tcPr>
            <w:tcW w:w="2010" w:type="dxa"/>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w:t>
            </w:r>
            <w:r>
              <w:rPr>
                <w:rFonts w:ascii="Times New Roman" w:hAnsi="Times New Roman" w:hint="eastAsia"/>
                <w:kern w:val="0"/>
                <w:sz w:val="24"/>
                <w:szCs w:val="24"/>
              </w:rPr>
              <w:t>结构稳定问题及其分类</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）判断平衡的稳定性准则与确定临界荷载的基本方法</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）钢结构稳定问题与强度问题的区别</w:t>
            </w:r>
          </w:p>
        </w:tc>
        <w:tc>
          <w:tcPr>
            <w:tcW w:w="1677" w:type="dxa"/>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w:t>
            </w:r>
            <w:r>
              <w:rPr>
                <w:rFonts w:ascii="Times New Roman" w:hAnsi="Times New Roman" w:hint="eastAsia"/>
                <w:kern w:val="0"/>
                <w:sz w:val="24"/>
                <w:szCs w:val="24"/>
              </w:rPr>
              <w:t>两类稳定问题、静力准则与静力法、能量准则与能量法以及稳定与强度的区别，</w:t>
            </w:r>
            <w:r>
              <w:rPr>
                <w:rFonts w:ascii="Times New Roman" w:hAnsi="Times New Roman"/>
                <w:kern w:val="0"/>
                <w:sz w:val="24"/>
                <w:szCs w:val="24"/>
              </w:rPr>
              <w:t>了解国内外的发展现状及本课程的主要内容要求及学习方法。</w:t>
            </w:r>
          </w:p>
        </w:tc>
        <w:tc>
          <w:tcPr>
            <w:tcW w:w="3786"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：掌握土木工程专业知识，具备知识融合能力，应用于解决土木工程专业复杂工程问题”；“指标点</w:t>
            </w:r>
            <w:r>
              <w:rPr>
                <w:rFonts w:ascii="Times New Roman" w:hAnsi="Times New Roman" w:hint="eastAsia"/>
                <w:kern w:val="0"/>
                <w:sz w:val="24"/>
                <w:szCs w:val="24"/>
              </w:rPr>
              <w:t>2.4</w:t>
            </w:r>
            <w:r>
              <w:rPr>
                <w:rFonts w:ascii="Times New Roman" w:hAnsi="Times New Roman" w:hint="eastAsia"/>
                <w:kern w:val="0"/>
                <w:sz w:val="24"/>
                <w:szCs w:val="24"/>
              </w:rPr>
              <w:t>：应用土木工程相关原理和方法，具备综合判断能力，能够通过对比、推理、分析及文献研究等，获得有效结论”；“指标点</w:t>
            </w:r>
            <w:r>
              <w:rPr>
                <w:rFonts w:ascii="Times New Roman" w:hAnsi="Times New Roman" w:hint="eastAsia"/>
                <w:kern w:val="0"/>
                <w:sz w:val="24"/>
                <w:szCs w:val="24"/>
              </w:rPr>
              <w:t>8.2</w:t>
            </w:r>
            <w:r>
              <w:rPr>
                <w:rFonts w:ascii="Times New Roman" w:hAnsi="Times New Roman" w:hint="eastAsia"/>
                <w:kern w:val="0"/>
                <w:sz w:val="24"/>
                <w:szCs w:val="24"/>
              </w:rPr>
              <w:t>：理解诚实公正、诚信守则的土木工程职业道德和行为规范，并能够在工程实践中自觉遵守，具有法律意识”；“指标点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494448" w:rsidTr="00BE5664">
        <w:trPr>
          <w:trHeight w:val="428"/>
        </w:trPr>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t>2</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hint="eastAsia"/>
                <w:kern w:val="0"/>
                <w:sz w:val="24"/>
                <w:szCs w:val="24"/>
              </w:rPr>
              <w:t>结构稳定计算的能量</w:t>
            </w:r>
            <w:r>
              <w:rPr>
                <w:rFonts w:ascii="Times New Roman" w:hAnsi="Times New Roman" w:hint="eastAsia"/>
                <w:kern w:val="0"/>
                <w:sz w:val="24"/>
                <w:szCs w:val="24"/>
              </w:rPr>
              <w:lastRenderedPageBreak/>
              <w:t>法</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hint="eastAsia"/>
                <w:kern w:val="0"/>
                <w:sz w:val="24"/>
                <w:szCs w:val="24"/>
              </w:rPr>
              <w:lastRenderedPageBreak/>
              <w:t>2</w:t>
            </w:r>
          </w:p>
        </w:tc>
        <w:tc>
          <w:tcPr>
            <w:tcW w:w="2010"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）铁摩辛柯能量法</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）势能驻值原理和最小势能原理</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）瑞利</w:t>
            </w:r>
            <w:r>
              <w:rPr>
                <w:rFonts w:ascii="Times New Roman" w:hAnsi="Times New Roman" w:hint="eastAsia"/>
                <w:kern w:val="0"/>
                <w:sz w:val="24"/>
                <w:szCs w:val="24"/>
              </w:rPr>
              <w:t>-</w:t>
            </w:r>
            <w:r>
              <w:rPr>
                <w:rFonts w:ascii="Times New Roman" w:hAnsi="Times New Roman" w:hint="eastAsia"/>
                <w:kern w:val="0"/>
                <w:sz w:val="24"/>
                <w:szCs w:val="24"/>
              </w:rPr>
              <w:t>里兹法</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4</w:t>
            </w:r>
            <w:r>
              <w:rPr>
                <w:rFonts w:ascii="Times New Roman" w:hAnsi="Times New Roman" w:hint="eastAsia"/>
                <w:kern w:val="0"/>
                <w:sz w:val="24"/>
                <w:szCs w:val="24"/>
              </w:rPr>
              <w:t>）迦辽金法</w:t>
            </w:r>
          </w:p>
        </w:tc>
        <w:tc>
          <w:tcPr>
            <w:tcW w:w="1677" w:type="dxa"/>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w:t>
            </w:r>
            <w:r>
              <w:rPr>
                <w:rFonts w:ascii="Times New Roman" w:hAnsi="Times New Roman" w:hint="eastAsia"/>
                <w:kern w:val="0"/>
                <w:sz w:val="24"/>
                <w:szCs w:val="24"/>
              </w:rPr>
              <w:t>铁摩辛柯能量法、瑞利</w:t>
            </w:r>
            <w:r>
              <w:rPr>
                <w:rFonts w:ascii="Times New Roman" w:hAnsi="Times New Roman" w:hint="eastAsia"/>
                <w:kern w:val="0"/>
                <w:sz w:val="24"/>
                <w:szCs w:val="24"/>
              </w:rPr>
              <w:t>-</w:t>
            </w:r>
            <w:r>
              <w:rPr>
                <w:rFonts w:ascii="Times New Roman" w:hAnsi="Times New Roman" w:hint="eastAsia"/>
                <w:kern w:val="0"/>
                <w:sz w:val="24"/>
                <w:szCs w:val="24"/>
              </w:rPr>
              <w:t>里兹法和迦辽金法的特点、异同及计算临界荷载的方法。</w:t>
            </w:r>
          </w:p>
        </w:tc>
        <w:tc>
          <w:tcPr>
            <w:tcW w:w="3786"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：掌握土木工程专业知识，具备知识融合能力，应用于解决土木工程专业复杂工程问题”；“指标点</w:t>
            </w:r>
            <w:r>
              <w:rPr>
                <w:rFonts w:ascii="Times New Roman" w:hAnsi="Times New Roman" w:hint="eastAsia"/>
                <w:kern w:val="0"/>
                <w:sz w:val="24"/>
                <w:szCs w:val="24"/>
              </w:rPr>
              <w:t>2.4</w:t>
            </w:r>
            <w:r>
              <w:rPr>
                <w:rFonts w:ascii="Times New Roman" w:hAnsi="Times New Roman" w:hint="eastAsia"/>
                <w:kern w:val="0"/>
                <w:sz w:val="24"/>
                <w:szCs w:val="24"/>
              </w:rPr>
              <w:t>：应用土木工程相关原理和方法，具备综合判断能力，能够通过对比、推理、分析及文献研究等，获得有效结论”；“指标点</w:t>
            </w:r>
            <w:r>
              <w:rPr>
                <w:rFonts w:ascii="Times New Roman" w:hAnsi="Times New Roman" w:hint="eastAsia"/>
                <w:kern w:val="0"/>
                <w:sz w:val="24"/>
                <w:szCs w:val="24"/>
              </w:rPr>
              <w:t>3.1</w:t>
            </w:r>
            <w:r>
              <w:rPr>
                <w:rFonts w:ascii="Times New Roman" w:hAnsi="Times New Roman" w:hint="eastAsia"/>
                <w:kern w:val="0"/>
                <w:sz w:val="24"/>
                <w:szCs w:val="24"/>
              </w:rPr>
              <w:t>：</w:t>
            </w:r>
            <w:r>
              <w:rPr>
                <w:rFonts w:ascii="Times New Roman" w:hAnsi="Times New Roman" w:hint="eastAsia"/>
                <w:kern w:val="0"/>
                <w:sz w:val="24"/>
                <w:szCs w:val="24"/>
              </w:rPr>
              <w:lastRenderedPageBreak/>
              <w:t>能够针对特定需求，确定工程基本单元的设计目标或问题解决方案，并完成设计</w:t>
            </w:r>
            <w:r>
              <w:rPr>
                <w:rFonts w:ascii="Times New Roman" w:hAnsi="Times New Roman" w:hint="eastAsia"/>
                <w:kern w:val="0"/>
                <w:sz w:val="24"/>
                <w:szCs w:val="24"/>
              </w:rPr>
              <w:t>/</w:t>
            </w:r>
            <w:r>
              <w:rPr>
                <w:rFonts w:ascii="Times New Roman" w:hAnsi="Times New Roman" w:hint="eastAsia"/>
                <w:kern w:val="0"/>
                <w:sz w:val="24"/>
                <w:szCs w:val="24"/>
              </w:rPr>
              <w:t>开发工作”；“指标点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494448" w:rsidTr="00BE5664">
        <w:trPr>
          <w:trHeight w:val="519"/>
        </w:trPr>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hint="eastAsia"/>
                <w:kern w:val="0"/>
                <w:sz w:val="24"/>
                <w:szCs w:val="24"/>
              </w:rPr>
              <w:lastRenderedPageBreak/>
              <w:t>3</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hint="eastAsia"/>
                <w:kern w:val="0"/>
                <w:sz w:val="24"/>
                <w:szCs w:val="24"/>
              </w:rPr>
              <w:t>轴心受压杆件的整体失稳</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hint="eastAsia"/>
                <w:kern w:val="0"/>
                <w:sz w:val="24"/>
                <w:szCs w:val="24"/>
              </w:rPr>
              <w:t>4</w:t>
            </w:r>
          </w:p>
        </w:tc>
        <w:tc>
          <w:tcPr>
            <w:tcW w:w="2010" w:type="dxa"/>
            <w:vAlign w:val="center"/>
          </w:tcPr>
          <w:p w:rsidR="00494448" w:rsidRDefault="00494448" w:rsidP="005F6318">
            <w:pPr>
              <w:numPr>
                <w:ilvl w:val="0"/>
                <w:numId w:val="14"/>
              </w:numPr>
              <w:rPr>
                <w:rFonts w:ascii="Times New Roman" w:hAnsi="Times New Roman"/>
                <w:kern w:val="0"/>
                <w:sz w:val="24"/>
                <w:szCs w:val="24"/>
              </w:rPr>
            </w:pPr>
            <w:r>
              <w:rPr>
                <w:rFonts w:ascii="Times New Roman" w:hAnsi="Times New Roman" w:hint="eastAsia"/>
                <w:kern w:val="0"/>
                <w:sz w:val="24"/>
                <w:szCs w:val="24"/>
              </w:rPr>
              <w:t>轴心受压杆件的弯曲失稳</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）格构式轴心受压杆件的稳定</w:t>
            </w:r>
          </w:p>
        </w:tc>
        <w:tc>
          <w:tcPr>
            <w:tcW w:w="1677" w:type="dxa"/>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w:t>
            </w:r>
            <w:r>
              <w:rPr>
                <w:rFonts w:ascii="Times New Roman" w:hAnsi="Times New Roman" w:hint="eastAsia"/>
                <w:kern w:val="0"/>
                <w:sz w:val="24"/>
                <w:szCs w:val="24"/>
              </w:rPr>
              <w:t>理想轴心受压杆件弯曲失稳的临界荷载、弹塑性弯曲失稳、初弯曲</w:t>
            </w:r>
            <w:r>
              <w:rPr>
                <w:rFonts w:ascii="Times New Roman" w:hAnsi="Times New Roman" w:hint="eastAsia"/>
                <w:kern w:val="0"/>
                <w:sz w:val="24"/>
                <w:szCs w:val="24"/>
              </w:rPr>
              <w:t>(</w:t>
            </w:r>
            <w:r>
              <w:rPr>
                <w:rFonts w:ascii="Times New Roman" w:hAnsi="Times New Roman" w:hint="eastAsia"/>
                <w:kern w:val="0"/>
                <w:sz w:val="24"/>
                <w:szCs w:val="24"/>
              </w:rPr>
              <w:t>初挠度</w:t>
            </w:r>
            <w:r>
              <w:rPr>
                <w:rFonts w:ascii="Times New Roman" w:hAnsi="Times New Roman" w:hint="eastAsia"/>
                <w:kern w:val="0"/>
                <w:sz w:val="24"/>
                <w:szCs w:val="24"/>
              </w:rPr>
              <w:t>)</w:t>
            </w:r>
            <w:r>
              <w:rPr>
                <w:rFonts w:ascii="Times New Roman" w:hAnsi="Times New Roman" w:hint="eastAsia"/>
                <w:kern w:val="0"/>
                <w:sz w:val="24"/>
                <w:szCs w:val="24"/>
              </w:rPr>
              <w:t>的影响、初偏心的影响、残余应力的影响、有弹性支承的轴心受压杆件的稳定、变截面轴心压杆的稳定。</w:t>
            </w:r>
          </w:p>
        </w:tc>
        <w:tc>
          <w:tcPr>
            <w:tcW w:w="3786"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：掌握土木工程专业知识，具备知识融合能力，应用于解决土木工程专业复杂工程问题”；“指标点</w:t>
            </w:r>
            <w:r>
              <w:rPr>
                <w:rFonts w:ascii="Times New Roman" w:hAnsi="Times New Roman" w:hint="eastAsia"/>
                <w:kern w:val="0"/>
                <w:sz w:val="24"/>
                <w:szCs w:val="24"/>
              </w:rPr>
              <w:t>2.4</w:t>
            </w:r>
            <w:r>
              <w:rPr>
                <w:rFonts w:ascii="Times New Roman" w:hAnsi="Times New Roman" w:hint="eastAsia"/>
                <w:kern w:val="0"/>
                <w:sz w:val="24"/>
                <w:szCs w:val="24"/>
              </w:rPr>
              <w:t>：应用土木工程相关原理和方法，具备综合判断能力，能够通过对比、推理、分析及文献研究等，获得有效结论”；“指标点</w:t>
            </w:r>
            <w:r>
              <w:rPr>
                <w:rFonts w:ascii="Times New Roman" w:hAnsi="Times New Roman" w:hint="eastAsia"/>
                <w:kern w:val="0"/>
                <w:sz w:val="24"/>
                <w:szCs w:val="24"/>
              </w:rPr>
              <w:t>8.2</w:t>
            </w:r>
            <w:r>
              <w:rPr>
                <w:rFonts w:ascii="Times New Roman" w:hAnsi="Times New Roman" w:hint="eastAsia"/>
                <w:kern w:val="0"/>
                <w:sz w:val="24"/>
                <w:szCs w:val="24"/>
              </w:rPr>
              <w:t>：理解诚实公正、诚信守则的土木工程职业道德和行为规范，并能够在工程实践中自觉遵守，具有法律意识”；“指标点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4</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hAnsi="Times New Roman" w:hint="eastAsia"/>
                <w:kern w:val="0"/>
                <w:sz w:val="24"/>
                <w:szCs w:val="24"/>
              </w:rPr>
              <w:t>杆件的扭转与梁的弯扭屈曲</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hint="eastAsia"/>
                <w:sz w:val="24"/>
                <w:szCs w:val="24"/>
              </w:rPr>
              <w:t>4</w:t>
            </w:r>
          </w:p>
        </w:tc>
        <w:tc>
          <w:tcPr>
            <w:tcW w:w="2010"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）自由扭转</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）约束扭转</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）梁的弯扭屈曲</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4</w:t>
            </w:r>
            <w:r>
              <w:rPr>
                <w:rFonts w:ascii="Times New Roman" w:hAnsi="Times New Roman" w:hint="eastAsia"/>
                <w:kern w:val="0"/>
                <w:sz w:val="24"/>
                <w:szCs w:val="24"/>
              </w:rPr>
              <w:t>）用能量法计算工字梁的弯扭屈曲临界荷载</w:t>
            </w:r>
          </w:p>
        </w:tc>
        <w:tc>
          <w:tcPr>
            <w:tcW w:w="1677" w:type="dxa"/>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w:t>
            </w:r>
            <w:r>
              <w:rPr>
                <w:rFonts w:ascii="Times New Roman" w:hAnsi="Times New Roman" w:hint="eastAsia"/>
                <w:kern w:val="0"/>
                <w:sz w:val="24"/>
                <w:szCs w:val="24"/>
              </w:rPr>
              <w:t>自由扭转、约束扭转的平衡微分方程、约束扭转的翘曲正应力与翘曲切应力计算方法、梁整体失稳的临界弯矩公式。</w:t>
            </w:r>
          </w:p>
        </w:tc>
        <w:tc>
          <w:tcPr>
            <w:tcW w:w="3786"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：掌握土木工程专业知识，具备知识融合能力，应用于解决土木工程专业复杂工程问题”；“指标点</w:t>
            </w:r>
            <w:r>
              <w:rPr>
                <w:rFonts w:ascii="Times New Roman" w:hAnsi="Times New Roman" w:hint="eastAsia"/>
                <w:kern w:val="0"/>
                <w:sz w:val="24"/>
                <w:szCs w:val="24"/>
              </w:rPr>
              <w:t>2.4</w:t>
            </w:r>
            <w:r>
              <w:rPr>
                <w:rFonts w:ascii="Times New Roman" w:hAnsi="Times New Roman" w:hint="eastAsia"/>
                <w:kern w:val="0"/>
                <w:sz w:val="24"/>
                <w:szCs w:val="24"/>
              </w:rPr>
              <w:t>：应用土木工程相关原理和方法，具备综合判断能力，能够通过对比、推理、分析及文献研究等，获得有效结论”；“指标点</w:t>
            </w:r>
            <w:r>
              <w:rPr>
                <w:rFonts w:ascii="Times New Roman" w:hAnsi="Times New Roman" w:hint="eastAsia"/>
                <w:kern w:val="0"/>
                <w:sz w:val="24"/>
                <w:szCs w:val="24"/>
              </w:rPr>
              <w:t>3.1</w:t>
            </w:r>
            <w:r>
              <w:rPr>
                <w:rFonts w:ascii="Times New Roman" w:hAnsi="Times New Roman" w:hint="eastAsia"/>
                <w:kern w:val="0"/>
                <w:sz w:val="24"/>
                <w:szCs w:val="24"/>
              </w:rPr>
              <w:t>：能够针对特定需求，确定工程基本单元的设计目标或问题解决方案，并完成设计</w:t>
            </w:r>
            <w:r>
              <w:rPr>
                <w:rFonts w:ascii="Times New Roman" w:hAnsi="Times New Roman" w:hint="eastAsia"/>
                <w:kern w:val="0"/>
                <w:sz w:val="24"/>
                <w:szCs w:val="24"/>
              </w:rPr>
              <w:t>/</w:t>
            </w:r>
            <w:r>
              <w:rPr>
                <w:rFonts w:ascii="Times New Roman" w:hAnsi="Times New Roman" w:hint="eastAsia"/>
                <w:kern w:val="0"/>
                <w:sz w:val="24"/>
                <w:szCs w:val="24"/>
              </w:rPr>
              <w:t>开发工作”；“指标点</w:t>
            </w:r>
            <w:r>
              <w:rPr>
                <w:rFonts w:ascii="Times New Roman" w:hAnsi="Times New Roman" w:hint="eastAsia"/>
                <w:kern w:val="0"/>
                <w:sz w:val="24"/>
                <w:szCs w:val="24"/>
              </w:rPr>
              <w:t>12.1</w:t>
            </w:r>
            <w:r>
              <w:rPr>
                <w:rFonts w:ascii="Times New Roman" w:hAnsi="Times New Roman" w:hint="eastAsia"/>
                <w:kern w:val="0"/>
                <w:sz w:val="24"/>
                <w:szCs w:val="24"/>
              </w:rPr>
              <w:t>：在社会和土木工</w:t>
            </w:r>
            <w:r>
              <w:rPr>
                <w:rFonts w:ascii="Times New Roman" w:hAnsi="Times New Roman" w:hint="eastAsia"/>
                <w:kern w:val="0"/>
                <w:sz w:val="24"/>
                <w:szCs w:val="24"/>
              </w:rPr>
              <w:lastRenderedPageBreak/>
              <w:t>程专业发展的大背景下，能够认识到不断探索和学习的必要性，自觉跟踪土木工程专业学科前沿，具有自主学习和终身学习意识”。</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lastRenderedPageBreak/>
              <w:t>5</w:t>
            </w:r>
          </w:p>
        </w:tc>
        <w:tc>
          <w:tcPr>
            <w:tcW w:w="0" w:type="auto"/>
            <w:vAlign w:val="center"/>
          </w:tcPr>
          <w:p w:rsidR="00494448" w:rsidRDefault="00494448" w:rsidP="00BE5664">
            <w:pPr>
              <w:rPr>
                <w:rFonts w:ascii="Times New Roman" w:eastAsia="华文中宋" w:hAnsi="Times New Roman"/>
                <w:sz w:val="24"/>
                <w:szCs w:val="24"/>
              </w:rPr>
            </w:pPr>
            <w:r>
              <w:rPr>
                <w:rFonts w:ascii="Times New Roman" w:hAnsi="Times New Roman" w:hint="eastAsia"/>
                <w:kern w:val="0"/>
                <w:sz w:val="24"/>
                <w:szCs w:val="24"/>
              </w:rPr>
              <w:t>受压杆件的扭转屈曲与弯扭屈曲</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2</w:t>
            </w:r>
          </w:p>
        </w:tc>
        <w:tc>
          <w:tcPr>
            <w:tcW w:w="2010"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）轴心压杆的扭转屈曲和弯扭屈曲</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）偏心压杆的弯扭屈曲</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）用能量法计算开口薄壁轴心压杆的屈曲荷载</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4</w:t>
            </w:r>
            <w:r>
              <w:rPr>
                <w:rFonts w:ascii="Times New Roman" w:hAnsi="Times New Roman" w:hint="eastAsia"/>
                <w:kern w:val="0"/>
                <w:sz w:val="24"/>
                <w:szCs w:val="24"/>
              </w:rPr>
              <w:t>）用能量法计算开口薄壁偏心压杆的屈曲荷载</w:t>
            </w:r>
          </w:p>
        </w:tc>
        <w:tc>
          <w:tcPr>
            <w:tcW w:w="1677" w:type="dxa"/>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w:t>
            </w:r>
            <w:r>
              <w:rPr>
                <w:rFonts w:ascii="Times New Roman" w:hAnsi="Times New Roman" w:hint="eastAsia"/>
                <w:kern w:val="0"/>
                <w:sz w:val="24"/>
                <w:szCs w:val="24"/>
              </w:rPr>
              <w:t>扭转屈曲、弯扭屈曲、计算弯扭屈曲的换算长细比法的计算方法，以及偏心压杆的弯扭屈曲。</w:t>
            </w:r>
          </w:p>
        </w:tc>
        <w:tc>
          <w:tcPr>
            <w:tcW w:w="3786"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：掌握土木工程专业知识，具备知识融合能力，应用于解决土木工程专业复杂工程问题”；“指标点</w:t>
            </w:r>
            <w:r>
              <w:rPr>
                <w:rFonts w:ascii="Times New Roman" w:hAnsi="Times New Roman" w:hint="eastAsia"/>
                <w:kern w:val="0"/>
                <w:sz w:val="24"/>
                <w:szCs w:val="24"/>
              </w:rPr>
              <w:t>2.4</w:t>
            </w:r>
            <w:r>
              <w:rPr>
                <w:rFonts w:ascii="Times New Roman" w:hAnsi="Times New Roman" w:hint="eastAsia"/>
                <w:kern w:val="0"/>
                <w:sz w:val="24"/>
                <w:szCs w:val="24"/>
              </w:rPr>
              <w:t>：应用土木工程相关原理和方法，具备综合判断能力，能够通过对比、推理、分析及文献研究等，获得有效结论”；“指标点</w:t>
            </w:r>
            <w:r>
              <w:rPr>
                <w:rFonts w:ascii="Times New Roman" w:hAnsi="Times New Roman" w:hint="eastAsia"/>
                <w:kern w:val="0"/>
                <w:sz w:val="24"/>
                <w:szCs w:val="24"/>
              </w:rPr>
              <w:t>3.1</w:t>
            </w:r>
            <w:r>
              <w:rPr>
                <w:rFonts w:ascii="Times New Roman" w:hAnsi="Times New Roman" w:hint="eastAsia"/>
                <w:kern w:val="0"/>
                <w:sz w:val="24"/>
                <w:szCs w:val="24"/>
              </w:rPr>
              <w:t>：能够针对特定需求，确定工程基本单元的设计目标或问题解决方案，并完成设计</w:t>
            </w:r>
            <w:r>
              <w:rPr>
                <w:rFonts w:ascii="Times New Roman" w:hAnsi="Times New Roman" w:hint="eastAsia"/>
                <w:kern w:val="0"/>
                <w:sz w:val="24"/>
                <w:szCs w:val="24"/>
              </w:rPr>
              <w:t>/</w:t>
            </w:r>
            <w:r>
              <w:rPr>
                <w:rFonts w:ascii="Times New Roman" w:hAnsi="Times New Roman" w:hint="eastAsia"/>
                <w:kern w:val="0"/>
                <w:sz w:val="24"/>
                <w:szCs w:val="24"/>
              </w:rPr>
              <w:t>开发工作”；“指标点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6</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压弯杆件在弯矩作用平面内的稳定</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2</w:t>
            </w:r>
          </w:p>
        </w:tc>
        <w:tc>
          <w:tcPr>
            <w:tcW w:w="2010"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）横向均布荷载作用的压弯杆件</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）横向集中荷载作用的压弯杆件</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）两端等弯矩作用的压弯杆件</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4</w:t>
            </w:r>
            <w:r>
              <w:rPr>
                <w:rFonts w:ascii="Times New Roman" w:hAnsi="Times New Roman" w:hint="eastAsia"/>
                <w:kern w:val="0"/>
                <w:sz w:val="24"/>
                <w:szCs w:val="24"/>
              </w:rPr>
              <w:t>）压弯杆件的等效弯矩系数</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5</w:t>
            </w:r>
            <w:r>
              <w:rPr>
                <w:rFonts w:ascii="Times New Roman" w:hAnsi="Times New Roman" w:hint="eastAsia"/>
                <w:kern w:val="0"/>
                <w:sz w:val="24"/>
                <w:szCs w:val="24"/>
              </w:rPr>
              <w:t>）压弯杆件在弯矩作用平面内的稳定计算</w:t>
            </w:r>
          </w:p>
        </w:tc>
        <w:tc>
          <w:tcPr>
            <w:tcW w:w="1677" w:type="dxa"/>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w:t>
            </w:r>
            <w:r>
              <w:rPr>
                <w:rFonts w:ascii="Times New Roman" w:hAnsi="Times New Roman" w:hint="eastAsia"/>
                <w:kern w:val="0"/>
                <w:sz w:val="24"/>
                <w:szCs w:val="24"/>
              </w:rPr>
              <w:t>压弯杆件的等效弯矩系数的概念、等效原则及计算方法，压弯杆件平面内的失稳和压弯杆件平面内失稳的相关公式。</w:t>
            </w:r>
          </w:p>
        </w:tc>
        <w:tc>
          <w:tcPr>
            <w:tcW w:w="3786"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：掌握土木工程专业知识，具备知识融合能力，应用于解决土木工程专业复杂工程问题”；“指标点</w:t>
            </w:r>
            <w:r>
              <w:rPr>
                <w:rFonts w:ascii="Times New Roman" w:hAnsi="Times New Roman" w:hint="eastAsia"/>
                <w:kern w:val="0"/>
                <w:sz w:val="24"/>
                <w:szCs w:val="24"/>
              </w:rPr>
              <w:t>2.4</w:t>
            </w:r>
            <w:r>
              <w:rPr>
                <w:rFonts w:ascii="Times New Roman" w:hAnsi="Times New Roman" w:hint="eastAsia"/>
                <w:kern w:val="0"/>
                <w:sz w:val="24"/>
                <w:szCs w:val="24"/>
              </w:rPr>
              <w:t>：应用土木工程相关原理和方法，具备综合判断能力，能够通过对比、推理、分析及文献研究等，获得有效结论”；“指标点</w:t>
            </w:r>
            <w:r>
              <w:rPr>
                <w:rFonts w:ascii="Times New Roman" w:hAnsi="Times New Roman" w:hint="eastAsia"/>
                <w:kern w:val="0"/>
                <w:sz w:val="24"/>
                <w:szCs w:val="24"/>
              </w:rPr>
              <w:t>3.1</w:t>
            </w:r>
            <w:r>
              <w:rPr>
                <w:rFonts w:ascii="Times New Roman" w:hAnsi="Times New Roman" w:hint="eastAsia"/>
                <w:kern w:val="0"/>
                <w:sz w:val="24"/>
                <w:szCs w:val="24"/>
              </w:rPr>
              <w:t>：能够针对特定需求，确定工程基本单元的设计目标或问题解决方案，并完成设计</w:t>
            </w:r>
            <w:r>
              <w:rPr>
                <w:rFonts w:ascii="Times New Roman" w:hAnsi="Times New Roman" w:hint="eastAsia"/>
                <w:kern w:val="0"/>
                <w:sz w:val="24"/>
                <w:szCs w:val="24"/>
              </w:rPr>
              <w:t>/</w:t>
            </w:r>
            <w:r>
              <w:rPr>
                <w:rFonts w:ascii="Times New Roman" w:hAnsi="Times New Roman" w:hint="eastAsia"/>
                <w:kern w:val="0"/>
                <w:sz w:val="24"/>
                <w:szCs w:val="24"/>
              </w:rPr>
              <w:t>开发工作”；“指标点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w:t>
            </w:r>
            <w:r>
              <w:rPr>
                <w:rFonts w:ascii="Times New Roman" w:hAnsi="Times New Roman" w:hint="eastAsia"/>
                <w:kern w:val="0"/>
                <w:sz w:val="24"/>
                <w:szCs w:val="24"/>
              </w:rPr>
              <w:lastRenderedPageBreak/>
              <w:t>识”。</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lastRenderedPageBreak/>
              <w:t>7</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刚架的稳定</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2010" w:type="dxa"/>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w:t>
            </w:r>
            <w:r>
              <w:rPr>
                <w:rFonts w:ascii="Times New Roman" w:hAnsi="Times New Roman" w:hint="eastAsia"/>
                <w:kern w:val="0"/>
                <w:sz w:val="24"/>
                <w:szCs w:val="24"/>
              </w:rPr>
              <w:t>平衡法计算刚架的临界荷载</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）考虑轴力效应的转角位移方程</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）用位移法计算刚架的临界荷载</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4</w:t>
            </w:r>
            <w:r>
              <w:rPr>
                <w:rFonts w:ascii="Times New Roman" w:hAnsi="Times New Roman" w:hint="eastAsia"/>
                <w:kern w:val="0"/>
                <w:sz w:val="24"/>
                <w:szCs w:val="24"/>
              </w:rPr>
              <w:t>）单层刚架柱的计算长度系数</w:t>
            </w:r>
          </w:p>
        </w:tc>
        <w:tc>
          <w:tcPr>
            <w:tcW w:w="1677" w:type="dxa"/>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要求学生掌握运用</w:t>
            </w:r>
            <w:r>
              <w:rPr>
                <w:rFonts w:ascii="Times New Roman" w:hAnsi="Times New Roman" w:hint="eastAsia"/>
                <w:kern w:val="0"/>
                <w:sz w:val="24"/>
                <w:szCs w:val="24"/>
              </w:rPr>
              <w:t>平衡法、无侧移弹性压弯杆件的转角位移方程、有侧移弹性压弯杆件的转角位移方程位移法来计算刚架的临界荷载。</w:t>
            </w:r>
          </w:p>
        </w:tc>
        <w:tc>
          <w:tcPr>
            <w:tcW w:w="3786"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：掌握土木工程专业知识，具备知识融合能力，应用于解决土木工程专业复杂工程问题”；“指标点</w:t>
            </w:r>
            <w:r>
              <w:rPr>
                <w:rFonts w:ascii="Times New Roman" w:hAnsi="Times New Roman" w:hint="eastAsia"/>
                <w:kern w:val="0"/>
                <w:sz w:val="24"/>
                <w:szCs w:val="24"/>
              </w:rPr>
              <w:t>2.4</w:t>
            </w:r>
            <w:r>
              <w:rPr>
                <w:rFonts w:ascii="Times New Roman" w:hAnsi="Times New Roman" w:hint="eastAsia"/>
                <w:kern w:val="0"/>
                <w:sz w:val="24"/>
                <w:szCs w:val="24"/>
              </w:rPr>
              <w:t>：应用土木工程相关原理和方法，具备综合判断能力，能够通过对比、推理、分析及文献研究等，获得有效结论”；“指标点</w:t>
            </w:r>
            <w:r>
              <w:rPr>
                <w:rFonts w:ascii="Times New Roman" w:hAnsi="Times New Roman" w:hint="eastAsia"/>
                <w:kern w:val="0"/>
                <w:sz w:val="24"/>
                <w:szCs w:val="24"/>
              </w:rPr>
              <w:t>3.1</w:t>
            </w:r>
            <w:r>
              <w:rPr>
                <w:rFonts w:ascii="Times New Roman" w:hAnsi="Times New Roman" w:hint="eastAsia"/>
                <w:kern w:val="0"/>
                <w:sz w:val="24"/>
                <w:szCs w:val="24"/>
              </w:rPr>
              <w:t>：能够针对特定需求，确定工程基本单元的设计目标或问题解决方案，并完成设计</w:t>
            </w:r>
            <w:r>
              <w:rPr>
                <w:rFonts w:ascii="Times New Roman" w:hAnsi="Times New Roman" w:hint="eastAsia"/>
                <w:kern w:val="0"/>
                <w:sz w:val="24"/>
                <w:szCs w:val="24"/>
              </w:rPr>
              <w:t>/</w:t>
            </w:r>
            <w:r>
              <w:rPr>
                <w:rFonts w:ascii="Times New Roman" w:hAnsi="Times New Roman" w:hint="eastAsia"/>
                <w:kern w:val="0"/>
                <w:sz w:val="24"/>
                <w:szCs w:val="24"/>
              </w:rPr>
              <w:t>开发工作”；“指标点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8</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hint="eastAsia"/>
                <w:kern w:val="0"/>
                <w:sz w:val="24"/>
                <w:szCs w:val="24"/>
              </w:rPr>
              <w:t>薄板的屈曲</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hint="eastAsia"/>
                <w:kern w:val="0"/>
                <w:sz w:val="24"/>
                <w:szCs w:val="24"/>
              </w:rPr>
              <w:t>2</w:t>
            </w:r>
          </w:p>
        </w:tc>
        <w:tc>
          <w:tcPr>
            <w:tcW w:w="2010"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）薄板屈曲的小挠度理论</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）平衡法求解单向均匀受压四边简支板的临界荷载</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）用瑞利</w:t>
            </w:r>
            <w:r>
              <w:rPr>
                <w:rFonts w:ascii="Times New Roman" w:hAnsi="Times New Roman" w:hint="eastAsia"/>
                <w:kern w:val="0"/>
                <w:sz w:val="24"/>
                <w:szCs w:val="24"/>
              </w:rPr>
              <w:t>-</w:t>
            </w:r>
            <w:r>
              <w:rPr>
                <w:rFonts w:ascii="Times New Roman" w:hAnsi="Times New Roman" w:hint="eastAsia"/>
                <w:kern w:val="0"/>
                <w:sz w:val="24"/>
                <w:szCs w:val="24"/>
              </w:rPr>
              <w:t>里兹法计算薄板的临界荷载</w:t>
            </w:r>
          </w:p>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4</w:t>
            </w:r>
            <w:r>
              <w:rPr>
                <w:rFonts w:ascii="Times New Roman" w:hAnsi="Times New Roman" w:hint="eastAsia"/>
                <w:kern w:val="0"/>
                <w:sz w:val="24"/>
                <w:szCs w:val="24"/>
              </w:rPr>
              <w:t>）用迦辽金法计算薄板的临界荷载</w:t>
            </w:r>
          </w:p>
        </w:tc>
        <w:tc>
          <w:tcPr>
            <w:tcW w:w="1677" w:type="dxa"/>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w:t>
            </w:r>
            <w:r>
              <w:rPr>
                <w:rFonts w:ascii="Times New Roman" w:hAnsi="Times New Roman" w:hint="eastAsia"/>
                <w:kern w:val="0"/>
                <w:sz w:val="24"/>
                <w:szCs w:val="24"/>
              </w:rPr>
              <w:t>采用小挠度理论的三个假定、薄板的力矩位移方程、薄板屈曲的平衡微分方程，以及用平衡法求解单向均匀受压四边简支板的临界荷载的方法。</w:t>
            </w:r>
          </w:p>
        </w:tc>
        <w:tc>
          <w:tcPr>
            <w:tcW w:w="3786"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：掌握土木工程专业知识，具备知识融合能力，应用于解决土木工程专业复杂工程问题”；“指标点</w:t>
            </w:r>
            <w:r>
              <w:rPr>
                <w:rFonts w:ascii="Times New Roman" w:hAnsi="Times New Roman" w:hint="eastAsia"/>
                <w:kern w:val="0"/>
                <w:sz w:val="24"/>
                <w:szCs w:val="24"/>
              </w:rPr>
              <w:t>2.4</w:t>
            </w:r>
            <w:r>
              <w:rPr>
                <w:rFonts w:ascii="Times New Roman" w:hAnsi="Times New Roman" w:hint="eastAsia"/>
                <w:kern w:val="0"/>
                <w:sz w:val="24"/>
                <w:szCs w:val="24"/>
              </w:rPr>
              <w:t>：应用土木工程相关原理和方法，具备综合判断能力，能够通过对比、推理、分析及文献研究等，获得有效结论”；“指标点</w:t>
            </w:r>
            <w:r>
              <w:rPr>
                <w:rFonts w:ascii="Times New Roman" w:hAnsi="Times New Roman" w:hint="eastAsia"/>
                <w:kern w:val="0"/>
                <w:sz w:val="24"/>
                <w:szCs w:val="24"/>
              </w:rPr>
              <w:t>3.1</w:t>
            </w:r>
            <w:r>
              <w:rPr>
                <w:rFonts w:ascii="Times New Roman" w:hAnsi="Times New Roman" w:hint="eastAsia"/>
                <w:kern w:val="0"/>
                <w:sz w:val="24"/>
                <w:szCs w:val="24"/>
              </w:rPr>
              <w:t>：能够针对特定需求，确定工程基本单元的设计目标或问题解决方案，并完成设计</w:t>
            </w:r>
            <w:r>
              <w:rPr>
                <w:rFonts w:ascii="Times New Roman" w:hAnsi="Times New Roman" w:hint="eastAsia"/>
                <w:kern w:val="0"/>
                <w:sz w:val="24"/>
                <w:szCs w:val="24"/>
              </w:rPr>
              <w:t>/</w:t>
            </w:r>
            <w:r>
              <w:rPr>
                <w:rFonts w:ascii="Times New Roman" w:hAnsi="Times New Roman" w:hint="eastAsia"/>
                <w:kern w:val="0"/>
                <w:sz w:val="24"/>
                <w:szCs w:val="24"/>
              </w:rPr>
              <w:t>开发工作”；“指标点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9</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hint="eastAsia"/>
                <w:kern w:val="0"/>
                <w:sz w:val="24"/>
                <w:szCs w:val="24"/>
              </w:rPr>
              <w:t>习题</w:t>
            </w:r>
            <w:r>
              <w:rPr>
                <w:rFonts w:ascii="Times New Roman" w:hAnsi="Times New Roman" w:hint="eastAsia"/>
                <w:kern w:val="0"/>
                <w:sz w:val="24"/>
                <w:szCs w:val="24"/>
              </w:rPr>
              <w:lastRenderedPageBreak/>
              <w:t>课</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hint="eastAsia"/>
                <w:sz w:val="24"/>
                <w:szCs w:val="24"/>
              </w:rPr>
              <w:lastRenderedPageBreak/>
              <w:t>4</w:t>
            </w:r>
          </w:p>
        </w:tc>
        <w:tc>
          <w:tcPr>
            <w:tcW w:w="2010" w:type="dxa"/>
            <w:vAlign w:val="center"/>
          </w:tcPr>
          <w:p w:rsidR="00494448" w:rsidRDefault="00494448" w:rsidP="00BE5664">
            <w:pPr>
              <w:jc w:val="center"/>
              <w:rPr>
                <w:rFonts w:ascii="Times New Roman" w:hAnsi="Times New Roman"/>
                <w:kern w:val="0"/>
                <w:sz w:val="24"/>
                <w:szCs w:val="24"/>
              </w:rPr>
            </w:pPr>
            <w:r>
              <w:rPr>
                <w:rFonts w:ascii="Times New Roman" w:hAnsi="Times New Roman" w:hint="eastAsia"/>
                <w:kern w:val="0"/>
                <w:sz w:val="24"/>
                <w:szCs w:val="24"/>
              </w:rPr>
              <w:t>讲授课后习题</w:t>
            </w:r>
          </w:p>
        </w:tc>
        <w:tc>
          <w:tcPr>
            <w:tcW w:w="1677" w:type="dxa"/>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w:t>
            </w:r>
            <w:r>
              <w:rPr>
                <w:rFonts w:ascii="Times New Roman" w:hAnsi="Times New Roman" w:hint="eastAsia"/>
                <w:kern w:val="0"/>
                <w:sz w:val="24"/>
                <w:szCs w:val="24"/>
              </w:rPr>
              <w:t>熟练</w:t>
            </w:r>
            <w:r>
              <w:rPr>
                <w:rFonts w:ascii="Times New Roman" w:hAnsi="Times New Roman"/>
                <w:kern w:val="0"/>
                <w:sz w:val="24"/>
                <w:szCs w:val="24"/>
              </w:rPr>
              <w:t>掌握</w:t>
            </w:r>
            <w:r>
              <w:rPr>
                <w:rFonts w:ascii="Times New Roman" w:hAnsi="Times New Roman" w:hint="eastAsia"/>
                <w:kern w:val="0"/>
                <w:sz w:val="24"/>
                <w:szCs w:val="24"/>
              </w:rPr>
              <w:t>各章</w:t>
            </w:r>
            <w:r>
              <w:rPr>
                <w:rFonts w:ascii="Times New Roman" w:hAnsi="Times New Roman" w:hint="eastAsia"/>
                <w:kern w:val="0"/>
                <w:sz w:val="24"/>
                <w:szCs w:val="24"/>
              </w:rPr>
              <w:lastRenderedPageBreak/>
              <w:t>的知识要点，以及采用静力法、能量法来计算轴心受压杆件、受弯杆件、压弯杆件、刚架、薄板的稳定临界荷载。</w:t>
            </w:r>
          </w:p>
        </w:tc>
        <w:tc>
          <w:tcPr>
            <w:tcW w:w="3786" w:type="dxa"/>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lastRenderedPageBreak/>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w:t>
            </w:r>
            <w:r>
              <w:rPr>
                <w:rFonts w:ascii="Times New Roman" w:hAnsi="Times New Roman" w:hint="eastAsia"/>
                <w:kern w:val="0"/>
                <w:sz w:val="24"/>
                <w:szCs w:val="24"/>
              </w:rPr>
              <w:lastRenderedPageBreak/>
              <w:t>专业知识，具备知识融合能力，应用于解决土木工程专业复杂工程问题”；“指标点</w:t>
            </w:r>
            <w:r>
              <w:rPr>
                <w:rFonts w:ascii="Times New Roman" w:hAnsi="Times New Roman" w:hint="eastAsia"/>
                <w:kern w:val="0"/>
                <w:sz w:val="24"/>
                <w:szCs w:val="24"/>
              </w:rPr>
              <w:t>2.4</w:t>
            </w:r>
            <w:r>
              <w:rPr>
                <w:rFonts w:ascii="Times New Roman" w:hAnsi="Times New Roman" w:hint="eastAsia"/>
                <w:kern w:val="0"/>
                <w:sz w:val="24"/>
                <w:szCs w:val="24"/>
              </w:rPr>
              <w:t>：应用土木工程相关原理和方法，具备综合判断能力，能够通过对比、推理、分析及文献研究等，获得有效结论”；“指标点</w:t>
            </w:r>
            <w:r>
              <w:rPr>
                <w:rFonts w:ascii="Times New Roman" w:hAnsi="Times New Roman" w:hint="eastAsia"/>
                <w:kern w:val="0"/>
                <w:sz w:val="24"/>
                <w:szCs w:val="24"/>
              </w:rPr>
              <w:t>3.1</w:t>
            </w:r>
            <w:r>
              <w:rPr>
                <w:rFonts w:ascii="Times New Roman" w:hAnsi="Times New Roman" w:hint="eastAsia"/>
                <w:kern w:val="0"/>
                <w:sz w:val="24"/>
                <w:szCs w:val="24"/>
              </w:rPr>
              <w:t>：能够针对特定需求，确定工程基本单元的设计目标或问题解决方案，并完成设计</w:t>
            </w:r>
            <w:r>
              <w:rPr>
                <w:rFonts w:ascii="Times New Roman" w:hAnsi="Times New Roman" w:hint="eastAsia"/>
                <w:kern w:val="0"/>
                <w:sz w:val="24"/>
                <w:szCs w:val="24"/>
              </w:rPr>
              <w:t>/</w:t>
            </w:r>
            <w:r>
              <w:rPr>
                <w:rFonts w:ascii="Times New Roman" w:hAnsi="Times New Roman" w:hint="eastAsia"/>
                <w:kern w:val="0"/>
                <w:sz w:val="24"/>
                <w:szCs w:val="24"/>
              </w:rPr>
              <w:t>开发工作”；“指标点</w:t>
            </w:r>
            <w:r>
              <w:rPr>
                <w:rFonts w:ascii="Times New Roman" w:hAnsi="Times New Roman" w:hint="eastAsia"/>
                <w:kern w:val="0"/>
                <w:sz w:val="24"/>
                <w:szCs w:val="24"/>
              </w:rPr>
              <w:t>12.1</w:t>
            </w:r>
            <w:r>
              <w:rPr>
                <w:rFonts w:ascii="Times New Roman" w:hAnsi="Times New Roman" w:hint="eastAsia"/>
                <w:kern w:val="0"/>
                <w:sz w:val="24"/>
                <w:szCs w:val="24"/>
              </w:rPr>
              <w:t>：在社会和土木工程专业发展的大背景下，能够认识到不断探索和学习的必要性，自觉跟踪土木工程专业学科前沿，具有自主学习和终身学习意识”。</w:t>
            </w:r>
          </w:p>
        </w:tc>
      </w:tr>
    </w:tbl>
    <w:p w:rsidR="00494448" w:rsidRDefault="00494448" w:rsidP="0049444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lastRenderedPageBreak/>
        <w:t>五、课程考核方式与成绩评定</w:t>
      </w:r>
    </w:p>
    <w:p w:rsidR="00494448" w:rsidRDefault="00494448" w:rsidP="00494448">
      <w:pPr>
        <w:spacing w:line="360" w:lineRule="auto"/>
        <w:ind w:firstLineChars="200" w:firstLine="560"/>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课程考核</w:t>
      </w:r>
    </w:p>
    <w:p w:rsidR="00494448" w:rsidRDefault="00494448" w:rsidP="00494448">
      <w:pPr>
        <w:adjustRightInd w:val="0"/>
        <w:snapToGrid w:val="0"/>
        <w:spacing w:afterLines="50" w:after="156" w:line="560" w:lineRule="exact"/>
        <w:ind w:firstLineChars="200" w:firstLine="560"/>
        <w:jc w:val="left"/>
        <w:rPr>
          <w:rFonts w:ascii="Times New Roman" w:eastAsia="宋体" w:hAnsi="Times New Roman"/>
          <w:b/>
          <w:color w:val="FF0000"/>
          <w:sz w:val="21"/>
          <w:szCs w:val="21"/>
        </w:rPr>
      </w:pPr>
      <w:r>
        <w:rPr>
          <w:rFonts w:ascii="Times New Roman" w:hAnsi="Times New Roman"/>
          <w:sz w:val="28"/>
          <w:szCs w:val="28"/>
        </w:rPr>
        <w:t>课程总评成绩由平时成绩和期终考试</w:t>
      </w:r>
      <w:r>
        <w:rPr>
          <w:rFonts w:ascii="Times New Roman" w:hAnsi="Times New Roman"/>
          <w:sz w:val="28"/>
          <w:szCs w:val="28"/>
        </w:rPr>
        <w:t>2</w:t>
      </w:r>
      <w:r>
        <w:rPr>
          <w:rFonts w:ascii="Times New Roman" w:hAnsi="Times New Roman"/>
          <w:sz w:val="28"/>
          <w:szCs w:val="28"/>
        </w:rPr>
        <w:t>个考核环节综合评定产生。</w:t>
      </w:r>
    </w:p>
    <w:p w:rsidR="00494448" w:rsidRDefault="00494448" w:rsidP="005F6318">
      <w:pPr>
        <w:numPr>
          <w:ilvl w:val="0"/>
          <w:numId w:val="2"/>
        </w:numPr>
        <w:spacing w:line="360" w:lineRule="auto"/>
        <w:ind w:firstLineChars="200" w:firstLine="560"/>
        <w:rPr>
          <w:rFonts w:ascii="Times New Roman" w:hAnsi="Times New Roman"/>
          <w:sz w:val="28"/>
          <w:szCs w:val="28"/>
        </w:rPr>
      </w:pPr>
      <w:r>
        <w:rPr>
          <w:rFonts w:ascii="Times New Roman" w:hAnsi="Times New Roman"/>
          <w:sz w:val="28"/>
          <w:szCs w:val="28"/>
        </w:rPr>
        <w:t>成绩评定</w:t>
      </w:r>
    </w:p>
    <w:p w:rsidR="00494448" w:rsidRDefault="00494448" w:rsidP="00494448">
      <w:pPr>
        <w:spacing w:line="360" w:lineRule="auto"/>
        <w:ind w:firstLineChars="200" w:firstLine="560"/>
        <w:rPr>
          <w:rFonts w:ascii="Times New Roman" w:hAnsi="Times New Roman"/>
          <w:sz w:val="28"/>
          <w:szCs w:val="28"/>
        </w:rPr>
      </w:pPr>
      <w:r>
        <w:rPr>
          <w:rFonts w:ascii="Times New Roman" w:hAnsi="Times New Roman"/>
          <w:sz w:val="28"/>
          <w:szCs w:val="28"/>
        </w:rPr>
        <w:t>成绩评定方式为百分制</w:t>
      </w:r>
    </w:p>
    <w:p w:rsidR="00494448" w:rsidRDefault="00494448" w:rsidP="00494448">
      <w:pPr>
        <w:spacing w:line="360" w:lineRule="auto"/>
        <w:ind w:firstLineChars="200" w:firstLine="560"/>
        <w:rPr>
          <w:rFonts w:ascii="Times New Roman" w:hAnsi="Times New Roman"/>
          <w:sz w:val="28"/>
          <w:szCs w:val="28"/>
        </w:rPr>
      </w:pPr>
      <w:r>
        <w:rPr>
          <w:rFonts w:ascii="Times New Roman" w:hAnsi="Times New Roman"/>
          <w:sz w:val="28"/>
          <w:szCs w:val="28"/>
        </w:rPr>
        <w:t>课程总成绩</w:t>
      </w:r>
      <w:r>
        <w:rPr>
          <w:rFonts w:ascii="Times New Roman" w:hAnsi="Times New Roman"/>
          <w:sz w:val="28"/>
          <w:szCs w:val="28"/>
        </w:rPr>
        <w:t>=</w:t>
      </w:r>
      <w:r>
        <w:rPr>
          <w:rFonts w:ascii="Times New Roman" w:hAnsi="Times New Roman"/>
          <w:sz w:val="28"/>
          <w:szCs w:val="28"/>
        </w:rPr>
        <w:t>期末成绩</w:t>
      </w:r>
      <w:r>
        <w:rPr>
          <w:rFonts w:ascii="Times New Roman" w:hAnsi="Times New Roman" w:hint="eastAsia"/>
          <w:sz w:val="28"/>
          <w:szCs w:val="28"/>
        </w:rPr>
        <w:t>5</w:t>
      </w:r>
      <w:r>
        <w:rPr>
          <w:rFonts w:ascii="Times New Roman" w:hAnsi="Times New Roman"/>
          <w:sz w:val="28"/>
          <w:szCs w:val="28"/>
        </w:rPr>
        <w:t>0%+</w:t>
      </w:r>
      <w:r>
        <w:rPr>
          <w:rFonts w:ascii="Times New Roman" w:hAnsi="Times New Roman"/>
          <w:sz w:val="28"/>
          <w:szCs w:val="28"/>
        </w:rPr>
        <w:t>平时成绩</w:t>
      </w:r>
      <w:r>
        <w:rPr>
          <w:rFonts w:ascii="Times New Roman" w:hAnsi="Times New Roman" w:hint="eastAsia"/>
          <w:sz w:val="28"/>
          <w:szCs w:val="28"/>
        </w:rPr>
        <w:t>5</w:t>
      </w:r>
      <w:r>
        <w:rPr>
          <w:rFonts w:ascii="Times New Roman" w:hAnsi="Times New Roman"/>
          <w:sz w:val="28"/>
          <w:szCs w:val="28"/>
        </w:rPr>
        <w:t>0%</w:t>
      </w:r>
    </w:p>
    <w:p w:rsidR="00494448" w:rsidRDefault="00494448" w:rsidP="00494448">
      <w:pPr>
        <w:spacing w:line="360" w:lineRule="auto"/>
        <w:ind w:firstLineChars="200" w:firstLine="560"/>
        <w:rPr>
          <w:rFonts w:ascii="Times New Roman" w:hAnsi="Times New Roman"/>
          <w:sz w:val="28"/>
          <w:szCs w:val="28"/>
        </w:rPr>
      </w:pPr>
      <w:r>
        <w:rPr>
          <w:rFonts w:ascii="Times New Roman" w:hAnsi="Times New Roman"/>
          <w:sz w:val="28"/>
          <w:szCs w:val="28"/>
        </w:rPr>
        <w:t>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4639"/>
        <w:gridCol w:w="1666"/>
      </w:tblGrid>
      <w:tr w:rsidR="00494448" w:rsidTr="00BE5664">
        <w:trPr>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b/>
                <w:sz w:val="24"/>
                <w:szCs w:val="24"/>
              </w:rPr>
            </w:pPr>
            <w:r>
              <w:rPr>
                <w:rFonts w:ascii="Times New Roman" w:hAnsi="Times New Roman"/>
                <w:b/>
                <w:sz w:val="24"/>
                <w:szCs w:val="24"/>
              </w:rPr>
              <w:t>考核环节</w:t>
            </w:r>
          </w:p>
        </w:tc>
        <w:tc>
          <w:tcPr>
            <w:tcW w:w="1004" w:type="pct"/>
            <w:vMerge w:val="restart"/>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b/>
                <w:sz w:val="24"/>
                <w:szCs w:val="24"/>
              </w:rPr>
            </w:pPr>
            <w:r>
              <w:rPr>
                <w:rFonts w:ascii="Times New Roman" w:hAnsi="Times New Roman"/>
                <w:b/>
                <w:sz w:val="24"/>
                <w:szCs w:val="24"/>
              </w:rPr>
              <w:t>教学目标</w:t>
            </w:r>
          </w:p>
        </w:tc>
      </w:tr>
      <w:tr w:rsidR="00494448" w:rsidTr="00BE5664">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b/>
                <w:sz w:val="24"/>
                <w:szCs w:val="24"/>
              </w:rPr>
            </w:pPr>
            <w:r>
              <w:rPr>
                <w:rFonts w:ascii="Times New Roman" w:hAnsi="Times New Roman"/>
                <w:b/>
                <w:sz w:val="24"/>
                <w:szCs w:val="24"/>
              </w:rPr>
              <w:t>分项比例</w:t>
            </w:r>
          </w:p>
        </w:tc>
        <w:tc>
          <w:tcPr>
            <w:tcW w:w="2795" w:type="pct"/>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b/>
                <w:sz w:val="24"/>
                <w:szCs w:val="24"/>
              </w:rPr>
            </w:pPr>
            <w:r>
              <w:rPr>
                <w:rFonts w:ascii="Times New Roman" w:hAnsi="Times New Roman"/>
                <w:b/>
                <w:sz w:val="24"/>
                <w:szCs w:val="24"/>
              </w:rPr>
              <w:t>考核要求</w:t>
            </w:r>
          </w:p>
        </w:tc>
        <w:tc>
          <w:tcPr>
            <w:tcW w:w="1004" w:type="pct"/>
            <w:vMerge/>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sz w:val="24"/>
                <w:szCs w:val="24"/>
              </w:rPr>
            </w:pPr>
          </w:p>
        </w:tc>
      </w:tr>
      <w:tr w:rsidR="00494448" w:rsidTr="00BE5664">
        <w:trPr>
          <w:trHeight w:val="1500"/>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平时成绩</w:t>
            </w:r>
          </w:p>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5</w:t>
            </w:r>
            <w:r>
              <w:rPr>
                <w:rFonts w:ascii="Times New Roman" w:hAnsi="Times New Roman"/>
                <w:sz w:val="24"/>
                <w:szCs w:val="24"/>
              </w:rPr>
              <w:t>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494448" w:rsidRDefault="00494448" w:rsidP="00BE5664">
            <w:pPr>
              <w:rPr>
                <w:rFonts w:ascii="Times New Roman" w:hAnsi="Times New Roman"/>
                <w:sz w:val="24"/>
                <w:szCs w:val="24"/>
              </w:rPr>
            </w:pPr>
            <w:r>
              <w:rPr>
                <w:rFonts w:ascii="Times New Roman" w:hAnsi="Times New Roman"/>
                <w:sz w:val="24"/>
                <w:szCs w:val="24"/>
              </w:rPr>
              <w:t>出勤统计不少于授课次数的</w:t>
            </w:r>
            <w:r>
              <w:rPr>
                <w:rFonts w:ascii="Times New Roman" w:hAnsi="Times New Roman"/>
                <w:sz w:val="24"/>
                <w:szCs w:val="24"/>
              </w:rPr>
              <w:t>2/3</w:t>
            </w:r>
            <w:r>
              <w:rPr>
                <w:rFonts w:ascii="Times New Roman" w:hAnsi="Times New Roman"/>
                <w:sz w:val="24"/>
                <w:szCs w:val="24"/>
              </w:rPr>
              <w:t>，重点考察学生的课堂表现，占</w:t>
            </w:r>
            <w:r>
              <w:rPr>
                <w:rFonts w:ascii="Times New Roman" w:hAnsi="Times New Roman"/>
                <w:sz w:val="24"/>
                <w:szCs w:val="24"/>
              </w:rPr>
              <w:t>20%</w:t>
            </w:r>
            <w:r>
              <w:rPr>
                <w:rFonts w:ascii="Times New Roman" w:hAnsi="Times New Roman"/>
                <w:sz w:val="24"/>
                <w:szCs w:val="24"/>
              </w:rPr>
              <w:t>；课后作业布置</w:t>
            </w:r>
            <w:r>
              <w:rPr>
                <w:rFonts w:ascii="Times New Roman" w:hAnsi="Times New Roman" w:hint="eastAsia"/>
                <w:sz w:val="24"/>
                <w:szCs w:val="24"/>
              </w:rPr>
              <w:t>4</w:t>
            </w:r>
            <w:r>
              <w:rPr>
                <w:rFonts w:ascii="Times New Roman" w:hAnsi="Times New Roman"/>
                <w:sz w:val="24"/>
                <w:szCs w:val="24"/>
              </w:rPr>
              <w:t>次；通过课后作业考核学生对</w:t>
            </w:r>
            <w:r>
              <w:rPr>
                <w:rFonts w:ascii="Times New Roman" w:hAnsi="Times New Roman" w:hint="eastAsia"/>
                <w:sz w:val="24"/>
                <w:szCs w:val="24"/>
              </w:rPr>
              <w:t>结构稳定概念及其分类，采用</w:t>
            </w:r>
            <w:r>
              <w:rPr>
                <w:rFonts w:ascii="Times New Roman" w:hAnsi="Times New Roman" w:hint="eastAsia"/>
                <w:kern w:val="0"/>
                <w:sz w:val="24"/>
                <w:szCs w:val="24"/>
              </w:rPr>
              <w:t>静力法、能量法来计算轴心受压杆件、受弯杆件、压弯杆件、刚架、</w:t>
            </w:r>
            <w:r>
              <w:rPr>
                <w:rFonts w:ascii="Times New Roman" w:hAnsi="Times New Roman" w:hint="eastAsia"/>
                <w:kern w:val="0"/>
                <w:sz w:val="24"/>
                <w:szCs w:val="24"/>
              </w:rPr>
              <w:lastRenderedPageBreak/>
              <w:t>薄板的稳定临界荷载</w:t>
            </w:r>
            <w:r>
              <w:rPr>
                <w:rFonts w:ascii="Times New Roman" w:hAnsi="Times New Roman"/>
                <w:sz w:val="24"/>
                <w:szCs w:val="24"/>
              </w:rPr>
              <w:t>的掌握情况，以及运用图表、文字等准确表达复杂工程问题的能力，占</w:t>
            </w:r>
            <w:r>
              <w:rPr>
                <w:rFonts w:ascii="Times New Roman" w:hAnsi="Times New Roman"/>
                <w:sz w:val="24"/>
                <w:szCs w:val="24"/>
              </w:rPr>
              <w:t>80%</w:t>
            </w:r>
            <w:r>
              <w:rPr>
                <w:rFonts w:ascii="Times New Roman" w:hAnsi="Times New Roman"/>
                <w:sz w:val="24"/>
                <w:szCs w:val="24"/>
              </w:rPr>
              <w:t>。</w:t>
            </w:r>
          </w:p>
        </w:tc>
        <w:tc>
          <w:tcPr>
            <w:tcW w:w="1004" w:type="pct"/>
            <w:tcBorders>
              <w:top w:val="single" w:sz="4" w:space="0" w:color="auto"/>
              <w:left w:val="single" w:sz="4" w:space="0" w:color="auto"/>
              <w:right w:val="single" w:sz="4" w:space="0" w:color="auto"/>
            </w:tcBorders>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1</w:t>
            </w:r>
            <w:r>
              <w:rPr>
                <w:rFonts w:ascii="Times New Roman" w:hAnsi="Times New Roman"/>
                <w:sz w:val="24"/>
                <w:szCs w:val="24"/>
              </w:rPr>
              <w:t>）</w:t>
            </w:r>
          </w:p>
          <w:p w:rsidR="00494448" w:rsidRDefault="00494448" w:rsidP="00BE5664">
            <w:pPr>
              <w:jc w:val="center"/>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w:t>
            </w:r>
          </w:p>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494448" w:rsidTr="00BE5664">
        <w:trPr>
          <w:trHeight w:val="900"/>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期终考试</w:t>
            </w:r>
          </w:p>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5</w:t>
            </w:r>
            <w:r>
              <w:rPr>
                <w:rFonts w:ascii="Times New Roman" w:hAnsi="Times New Roman"/>
                <w:sz w:val="24"/>
                <w:szCs w:val="24"/>
              </w:rPr>
              <w:t>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494448" w:rsidRDefault="00494448" w:rsidP="00BE5664">
            <w:pPr>
              <w:rPr>
                <w:rFonts w:ascii="Times New Roman" w:hAnsi="Times New Roman"/>
                <w:sz w:val="24"/>
                <w:szCs w:val="24"/>
              </w:rPr>
            </w:pPr>
            <w:r>
              <w:rPr>
                <w:rFonts w:ascii="Times New Roman" w:hAnsi="Times New Roman"/>
                <w:sz w:val="24"/>
                <w:szCs w:val="24"/>
              </w:rPr>
              <w:t>期末考试采用闭卷形式。考试范围基本涵盖所有讲授内容，考试内容主要反映学生对本课程计算和分析问题方法等理解和掌握的程度，以及综合运用的能力。</w:t>
            </w:r>
          </w:p>
        </w:tc>
        <w:tc>
          <w:tcPr>
            <w:tcW w:w="1004" w:type="pct"/>
            <w:tcBorders>
              <w:top w:val="single" w:sz="4" w:space="0" w:color="auto"/>
              <w:left w:val="single" w:sz="4" w:space="0" w:color="auto"/>
              <w:right w:val="single" w:sz="4" w:space="0" w:color="auto"/>
            </w:tcBorders>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494448" w:rsidRDefault="00494448" w:rsidP="00BE5664">
            <w:pPr>
              <w:jc w:val="center"/>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w:t>
            </w:r>
          </w:p>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bl>
    <w:p w:rsidR="00494448" w:rsidRDefault="00494448" w:rsidP="00494448">
      <w:pPr>
        <w:spacing w:beforeLines="50" w:before="156" w:line="360" w:lineRule="auto"/>
        <w:ind w:left="560"/>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课程目标达成度自评方式</w:t>
      </w:r>
    </w:p>
    <w:p w:rsidR="00494448" w:rsidRDefault="00494448" w:rsidP="0049444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据学院教学管理规定，在开展课程达成度评价前，课程评价审核小组对课程的评价依据合理性进行确认，包括平时作业、期终考试等考核环节。课程结束后，课程小组需要对课程进行达成度评价，课程小组由课程负责人和任课教师组成，统计课程考核数据，并填写</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结构稳定理论</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报告，以便及时了解课程的达成效果，发现问题并进行持续改进，同时也为毕业要求达成度的评价提供基础数据。</w:t>
      </w:r>
    </w:p>
    <w:p w:rsidR="00494448" w:rsidRDefault="00494448" w:rsidP="0049444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根据课程的考核形式，全部或抽样部分考核资料（应以当年修读该课程的学生为总体，至少抽取</w:t>
      </w:r>
      <w:r>
        <w:rPr>
          <w:rFonts w:ascii="Times New Roman" w:hAnsi="Times New Roman"/>
          <w:sz w:val="28"/>
          <w:szCs w:val="28"/>
        </w:rPr>
        <w:t>90%</w:t>
      </w:r>
      <w:r>
        <w:rPr>
          <w:rFonts w:ascii="Times New Roman" w:hAnsi="Times New Roman"/>
          <w:sz w:val="28"/>
          <w:szCs w:val="28"/>
        </w:rPr>
        <w:t>以上的学生样本），抽样时需覆盖优、良、中、及格和不及格等考核等级的考核资料。课程达成度的具体评价方法，详见</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结构稳定理论</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报告。课程小组提交课程达成度评价数据后，课程评价审核小组对评价数据的合理性和有效性进行审核。</w:t>
      </w:r>
    </w:p>
    <w:p w:rsidR="00494448" w:rsidRDefault="00494448" w:rsidP="0049444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494448" w:rsidRDefault="00494448" w:rsidP="00494448">
      <w:pPr>
        <w:spacing w:beforeLines="50" w:before="156" w:afterLines="50" w:after="156" w:line="460" w:lineRule="exact"/>
        <w:ind w:firstLineChars="147" w:firstLine="412"/>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建议教材</w:t>
      </w:r>
    </w:p>
    <w:p w:rsidR="00494448" w:rsidRDefault="00494448" w:rsidP="00494448">
      <w:pPr>
        <w:spacing w:line="400" w:lineRule="exact"/>
        <w:ind w:firstLineChars="200" w:firstLine="560"/>
        <w:jc w:val="left"/>
        <w:rPr>
          <w:rFonts w:ascii="Times New Roman" w:hAnsi="Times New Roman"/>
          <w:sz w:val="28"/>
          <w:szCs w:val="28"/>
        </w:rPr>
      </w:pPr>
      <w:r>
        <w:rPr>
          <w:rFonts w:ascii="Times New Roman" w:hAnsi="Times New Roman"/>
          <w:sz w:val="28"/>
          <w:szCs w:val="28"/>
        </w:rPr>
        <w:t>《结构稳定理论》</w:t>
      </w:r>
      <w:r>
        <w:rPr>
          <w:rFonts w:ascii="Times New Roman" w:hAnsi="Times New Roman"/>
          <w:sz w:val="28"/>
          <w:szCs w:val="28"/>
        </w:rPr>
        <w:t xml:space="preserve">. </w:t>
      </w:r>
      <w:r>
        <w:rPr>
          <w:rFonts w:ascii="Times New Roman" w:hAnsi="Times New Roman"/>
          <w:sz w:val="28"/>
          <w:szCs w:val="28"/>
        </w:rPr>
        <w:t>周绪红，郑宏编著</w:t>
      </w:r>
      <w:r>
        <w:rPr>
          <w:rFonts w:ascii="Times New Roman" w:hAnsi="Times New Roman"/>
          <w:sz w:val="28"/>
          <w:szCs w:val="28"/>
        </w:rPr>
        <w:t xml:space="preserve">. </w:t>
      </w:r>
      <w:r>
        <w:rPr>
          <w:rFonts w:ascii="Times New Roman" w:hAnsi="Times New Roman"/>
          <w:sz w:val="28"/>
          <w:szCs w:val="28"/>
        </w:rPr>
        <w:t>北京：高等教育出版社，</w:t>
      </w:r>
      <w:r>
        <w:rPr>
          <w:rFonts w:ascii="Times New Roman" w:hAnsi="Times New Roman"/>
          <w:sz w:val="28"/>
          <w:szCs w:val="28"/>
        </w:rPr>
        <w:t>2010</w:t>
      </w:r>
    </w:p>
    <w:p w:rsidR="00494448" w:rsidRDefault="00494448" w:rsidP="00494448">
      <w:pPr>
        <w:spacing w:beforeLines="50" w:before="156" w:afterLines="50" w:after="156" w:line="460" w:lineRule="exact"/>
        <w:ind w:firstLineChars="147" w:firstLine="412"/>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主要参考资料</w:t>
      </w:r>
    </w:p>
    <w:p w:rsid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sz w:val="28"/>
          <w:szCs w:val="28"/>
        </w:rPr>
        <w:lastRenderedPageBreak/>
        <w:t>1</w:t>
      </w:r>
      <w:r>
        <w:rPr>
          <w:rFonts w:ascii="Times New Roman" w:hAnsi="Times New Roman"/>
          <w:sz w:val="28"/>
          <w:szCs w:val="28"/>
        </w:rPr>
        <w:t>、李开禧，魏明钟编</w:t>
      </w:r>
      <w:r>
        <w:rPr>
          <w:rFonts w:ascii="Times New Roman" w:hAnsi="Times New Roman"/>
          <w:sz w:val="28"/>
          <w:szCs w:val="28"/>
        </w:rPr>
        <w:t xml:space="preserve">. </w:t>
      </w:r>
      <w:r>
        <w:rPr>
          <w:rFonts w:ascii="Times New Roman" w:hAnsi="Times New Roman"/>
          <w:sz w:val="28"/>
          <w:szCs w:val="28"/>
        </w:rPr>
        <w:t>钢结构稳定</w:t>
      </w:r>
      <w:r>
        <w:rPr>
          <w:rFonts w:ascii="Times New Roman" w:hAnsi="Times New Roman"/>
          <w:sz w:val="28"/>
          <w:szCs w:val="28"/>
        </w:rPr>
        <w:t xml:space="preserve">. </w:t>
      </w:r>
      <w:r>
        <w:rPr>
          <w:rFonts w:ascii="Times New Roman" w:hAnsi="Times New Roman"/>
          <w:sz w:val="28"/>
          <w:szCs w:val="28"/>
        </w:rPr>
        <w:t>四川：四川人民出版社，</w:t>
      </w:r>
      <w:r>
        <w:rPr>
          <w:rFonts w:ascii="Times New Roman" w:hAnsi="Times New Roman"/>
          <w:sz w:val="28"/>
          <w:szCs w:val="28"/>
        </w:rPr>
        <w:t>1988</w:t>
      </w:r>
    </w:p>
    <w:p w:rsid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hint="eastAsia"/>
          <w:sz w:val="28"/>
          <w:szCs w:val="28"/>
        </w:rPr>
        <w:t>2</w:t>
      </w:r>
      <w:r>
        <w:rPr>
          <w:rFonts w:ascii="Times New Roman" w:hAnsi="Times New Roman"/>
          <w:sz w:val="28"/>
          <w:szCs w:val="28"/>
        </w:rPr>
        <w:t>、永毓栋，王志骞编</w:t>
      </w:r>
      <w:r>
        <w:rPr>
          <w:rFonts w:ascii="Times New Roman" w:hAnsi="Times New Roman"/>
          <w:sz w:val="28"/>
          <w:szCs w:val="28"/>
        </w:rPr>
        <w:t xml:space="preserve">. </w:t>
      </w:r>
      <w:r>
        <w:rPr>
          <w:rFonts w:ascii="Times New Roman" w:hAnsi="Times New Roman"/>
          <w:sz w:val="28"/>
          <w:szCs w:val="28"/>
        </w:rPr>
        <w:t>钢结构稳定原理</w:t>
      </w:r>
      <w:r>
        <w:rPr>
          <w:rFonts w:ascii="Times New Roman" w:hAnsi="Times New Roman"/>
          <w:sz w:val="28"/>
          <w:szCs w:val="28"/>
        </w:rPr>
        <w:t xml:space="preserve">. </w:t>
      </w:r>
      <w:r>
        <w:rPr>
          <w:rFonts w:ascii="Times New Roman" w:hAnsi="Times New Roman"/>
          <w:sz w:val="28"/>
          <w:szCs w:val="28"/>
        </w:rPr>
        <w:t>西安：西安交通大学出版社，</w:t>
      </w:r>
      <w:r>
        <w:rPr>
          <w:rFonts w:ascii="Times New Roman" w:hAnsi="Times New Roman"/>
          <w:sz w:val="28"/>
          <w:szCs w:val="28"/>
        </w:rPr>
        <w:t>1991</w:t>
      </w:r>
    </w:p>
    <w:p w:rsid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、王仕统编</w:t>
      </w:r>
      <w:r>
        <w:rPr>
          <w:rFonts w:ascii="Times New Roman" w:hAnsi="Times New Roman"/>
          <w:sz w:val="28"/>
          <w:szCs w:val="28"/>
        </w:rPr>
        <w:t xml:space="preserve">. </w:t>
      </w:r>
      <w:r>
        <w:rPr>
          <w:rFonts w:ascii="Times New Roman" w:hAnsi="Times New Roman"/>
          <w:sz w:val="28"/>
          <w:szCs w:val="28"/>
        </w:rPr>
        <w:t>结构稳定</w:t>
      </w:r>
      <w:r>
        <w:rPr>
          <w:rFonts w:ascii="Times New Roman" w:hAnsi="Times New Roman"/>
          <w:sz w:val="28"/>
          <w:szCs w:val="28"/>
        </w:rPr>
        <w:t xml:space="preserve">. </w:t>
      </w:r>
      <w:r>
        <w:rPr>
          <w:rFonts w:ascii="Times New Roman" w:hAnsi="Times New Roman"/>
          <w:sz w:val="28"/>
          <w:szCs w:val="28"/>
        </w:rPr>
        <w:t>广州：华南理工大学出版社，</w:t>
      </w:r>
      <w:r>
        <w:rPr>
          <w:rFonts w:ascii="Times New Roman" w:hAnsi="Times New Roman"/>
          <w:sz w:val="28"/>
          <w:szCs w:val="28"/>
        </w:rPr>
        <w:t>1997</w:t>
      </w:r>
    </w:p>
    <w:p w:rsid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hint="eastAsia"/>
          <w:sz w:val="28"/>
          <w:szCs w:val="28"/>
        </w:rPr>
        <w:t>4</w:t>
      </w:r>
      <w:r>
        <w:rPr>
          <w:rFonts w:ascii="Times New Roman" w:hAnsi="Times New Roman"/>
          <w:sz w:val="28"/>
          <w:szCs w:val="28"/>
        </w:rPr>
        <w:t>、周绪红，王世纪著</w:t>
      </w:r>
      <w:r>
        <w:rPr>
          <w:rFonts w:ascii="Times New Roman" w:hAnsi="Times New Roman"/>
          <w:sz w:val="28"/>
          <w:szCs w:val="28"/>
        </w:rPr>
        <w:t xml:space="preserve">. </w:t>
      </w:r>
      <w:r>
        <w:rPr>
          <w:rFonts w:ascii="Times New Roman" w:hAnsi="Times New Roman"/>
          <w:sz w:val="28"/>
          <w:szCs w:val="28"/>
        </w:rPr>
        <w:t>薄壁杆件稳定理论及其应用</w:t>
      </w:r>
      <w:r>
        <w:rPr>
          <w:rFonts w:ascii="Times New Roman" w:hAnsi="Times New Roman"/>
          <w:sz w:val="28"/>
          <w:szCs w:val="28"/>
        </w:rPr>
        <w:t xml:space="preserve">. </w:t>
      </w:r>
      <w:r>
        <w:rPr>
          <w:rFonts w:ascii="Times New Roman" w:hAnsi="Times New Roman"/>
          <w:sz w:val="28"/>
          <w:szCs w:val="28"/>
        </w:rPr>
        <w:t>北京：科学出版社，</w:t>
      </w:r>
      <w:r>
        <w:rPr>
          <w:rFonts w:ascii="Times New Roman" w:hAnsi="Times New Roman"/>
          <w:sz w:val="28"/>
          <w:szCs w:val="28"/>
        </w:rPr>
        <w:t>2009</w:t>
      </w:r>
    </w:p>
    <w:p w:rsid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hint="eastAsia"/>
          <w:sz w:val="28"/>
          <w:szCs w:val="28"/>
        </w:rPr>
        <w:t>5</w:t>
      </w:r>
      <w:r>
        <w:rPr>
          <w:rFonts w:ascii="Times New Roman" w:hAnsi="Times New Roman"/>
          <w:sz w:val="28"/>
          <w:szCs w:val="28"/>
        </w:rPr>
        <w:t>、夏志斌，潘有昌编</w:t>
      </w:r>
      <w:r>
        <w:rPr>
          <w:rFonts w:ascii="Times New Roman" w:hAnsi="Times New Roman"/>
          <w:sz w:val="28"/>
          <w:szCs w:val="28"/>
        </w:rPr>
        <w:t xml:space="preserve">. </w:t>
      </w:r>
      <w:r>
        <w:rPr>
          <w:rFonts w:ascii="Times New Roman" w:hAnsi="Times New Roman"/>
          <w:sz w:val="28"/>
          <w:szCs w:val="28"/>
        </w:rPr>
        <w:t>结构稳定理论</w:t>
      </w:r>
      <w:r>
        <w:rPr>
          <w:rFonts w:ascii="Times New Roman" w:hAnsi="Times New Roman"/>
          <w:sz w:val="28"/>
          <w:szCs w:val="28"/>
        </w:rPr>
        <w:t xml:space="preserve">. </w:t>
      </w:r>
      <w:r>
        <w:rPr>
          <w:rFonts w:ascii="Times New Roman" w:hAnsi="Times New Roman"/>
          <w:sz w:val="28"/>
          <w:szCs w:val="28"/>
        </w:rPr>
        <w:t>北京：高等教育出版社，</w:t>
      </w:r>
      <w:r>
        <w:rPr>
          <w:rFonts w:ascii="Times New Roman" w:hAnsi="Times New Roman"/>
          <w:sz w:val="28"/>
          <w:szCs w:val="28"/>
        </w:rPr>
        <w:t>1988</w:t>
      </w:r>
    </w:p>
    <w:p w:rsid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hint="eastAsia"/>
          <w:sz w:val="28"/>
          <w:szCs w:val="28"/>
        </w:rPr>
        <w:t>6</w:t>
      </w:r>
      <w:r>
        <w:rPr>
          <w:rFonts w:ascii="Times New Roman" w:hAnsi="Times New Roman"/>
          <w:sz w:val="28"/>
          <w:szCs w:val="28"/>
        </w:rPr>
        <w:t>、陈骥</w:t>
      </w:r>
      <w:r>
        <w:rPr>
          <w:rFonts w:ascii="Times New Roman" w:hAnsi="Times New Roman"/>
          <w:sz w:val="28"/>
          <w:szCs w:val="28"/>
        </w:rPr>
        <w:t xml:space="preserve">. </w:t>
      </w:r>
      <w:r>
        <w:rPr>
          <w:rFonts w:ascii="Times New Roman" w:hAnsi="Times New Roman"/>
          <w:sz w:val="28"/>
          <w:szCs w:val="28"/>
        </w:rPr>
        <w:t>钢结构稳定理论与设计</w:t>
      </w:r>
      <w:r>
        <w:rPr>
          <w:rFonts w:ascii="Times New Roman" w:hAnsi="Times New Roman"/>
          <w:sz w:val="28"/>
          <w:szCs w:val="28"/>
        </w:rPr>
        <w:t xml:space="preserve">. </w:t>
      </w:r>
      <w:r>
        <w:rPr>
          <w:rFonts w:ascii="Times New Roman" w:hAnsi="Times New Roman"/>
          <w:sz w:val="28"/>
          <w:szCs w:val="28"/>
        </w:rPr>
        <w:t>北京：科学出版社，</w:t>
      </w:r>
      <w:r>
        <w:rPr>
          <w:rFonts w:ascii="Times New Roman" w:hAnsi="Times New Roman"/>
          <w:sz w:val="28"/>
          <w:szCs w:val="28"/>
        </w:rPr>
        <w:t>2001</w:t>
      </w:r>
    </w:p>
    <w:p w:rsid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hint="eastAsia"/>
          <w:sz w:val="28"/>
          <w:szCs w:val="28"/>
        </w:rPr>
        <w:t>7</w:t>
      </w:r>
      <w:r>
        <w:rPr>
          <w:rFonts w:ascii="Times New Roman" w:hAnsi="Times New Roman"/>
          <w:sz w:val="28"/>
          <w:szCs w:val="28"/>
        </w:rPr>
        <w:t>、陈绍蕃</w:t>
      </w:r>
      <w:r>
        <w:rPr>
          <w:rFonts w:ascii="Times New Roman" w:hAnsi="Times New Roman"/>
          <w:sz w:val="28"/>
          <w:szCs w:val="28"/>
        </w:rPr>
        <w:t xml:space="preserve">. </w:t>
      </w:r>
      <w:r>
        <w:rPr>
          <w:rFonts w:ascii="Times New Roman" w:hAnsi="Times New Roman"/>
          <w:sz w:val="28"/>
          <w:szCs w:val="28"/>
        </w:rPr>
        <w:t>钢结构稳定设计指南</w:t>
      </w:r>
      <w:r>
        <w:rPr>
          <w:rFonts w:ascii="Times New Roman" w:hAnsi="Times New Roman"/>
          <w:sz w:val="28"/>
          <w:szCs w:val="28"/>
        </w:rPr>
        <w:t xml:space="preserve">. </w:t>
      </w:r>
      <w:r>
        <w:rPr>
          <w:rFonts w:ascii="Times New Roman" w:hAnsi="Times New Roman"/>
          <w:sz w:val="28"/>
          <w:szCs w:val="28"/>
        </w:rPr>
        <w:t>北京：中国建筑工业出版社，</w:t>
      </w:r>
      <w:r>
        <w:rPr>
          <w:rFonts w:ascii="Times New Roman" w:hAnsi="Times New Roman"/>
          <w:sz w:val="28"/>
          <w:szCs w:val="28"/>
        </w:rPr>
        <w:t>1996</w:t>
      </w:r>
    </w:p>
    <w:p w:rsid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hint="eastAsia"/>
          <w:sz w:val="28"/>
          <w:szCs w:val="28"/>
        </w:rPr>
        <w:t>8</w:t>
      </w:r>
      <w:r>
        <w:rPr>
          <w:rFonts w:ascii="Times New Roman" w:hAnsi="Times New Roman"/>
          <w:sz w:val="28"/>
          <w:szCs w:val="28"/>
        </w:rPr>
        <w:t>、陈绍蕃</w:t>
      </w:r>
      <w:r>
        <w:rPr>
          <w:rFonts w:ascii="Times New Roman" w:hAnsi="Times New Roman"/>
          <w:sz w:val="28"/>
          <w:szCs w:val="28"/>
        </w:rPr>
        <w:t xml:space="preserve">. </w:t>
      </w:r>
      <w:r>
        <w:rPr>
          <w:rFonts w:ascii="Times New Roman" w:hAnsi="Times New Roman"/>
          <w:sz w:val="28"/>
          <w:szCs w:val="28"/>
        </w:rPr>
        <w:t>钢结构</w:t>
      </w:r>
      <w:r>
        <w:rPr>
          <w:rFonts w:ascii="Times New Roman" w:hAnsi="Times New Roman"/>
          <w:sz w:val="28"/>
          <w:szCs w:val="28"/>
        </w:rPr>
        <w:t xml:space="preserve">. </w:t>
      </w:r>
      <w:r>
        <w:rPr>
          <w:rFonts w:ascii="Times New Roman" w:hAnsi="Times New Roman"/>
          <w:sz w:val="28"/>
          <w:szCs w:val="28"/>
        </w:rPr>
        <w:t>北京：中国建筑工业出版社，</w:t>
      </w:r>
      <w:r>
        <w:rPr>
          <w:rFonts w:ascii="Times New Roman" w:hAnsi="Times New Roman"/>
          <w:sz w:val="28"/>
          <w:szCs w:val="28"/>
        </w:rPr>
        <w:t>1994</w:t>
      </w:r>
    </w:p>
    <w:p w:rsid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hint="eastAsia"/>
          <w:sz w:val="28"/>
          <w:szCs w:val="28"/>
        </w:rPr>
        <w:t>9</w:t>
      </w:r>
      <w:r>
        <w:rPr>
          <w:rFonts w:ascii="Times New Roman" w:hAnsi="Times New Roman"/>
          <w:sz w:val="28"/>
          <w:szCs w:val="28"/>
        </w:rPr>
        <w:t>、唐家祥</w:t>
      </w:r>
      <w:r>
        <w:rPr>
          <w:rFonts w:ascii="Times New Roman" w:hAnsi="Times New Roman"/>
          <w:sz w:val="28"/>
          <w:szCs w:val="28"/>
        </w:rPr>
        <w:t xml:space="preserve">. </w:t>
      </w:r>
      <w:r>
        <w:rPr>
          <w:rFonts w:ascii="Times New Roman" w:hAnsi="Times New Roman"/>
          <w:sz w:val="28"/>
          <w:szCs w:val="28"/>
        </w:rPr>
        <w:t>结构稳定原理</w:t>
      </w:r>
      <w:r>
        <w:rPr>
          <w:rFonts w:ascii="Times New Roman" w:hAnsi="Times New Roman"/>
          <w:sz w:val="28"/>
          <w:szCs w:val="28"/>
        </w:rPr>
        <w:t xml:space="preserve">. </w:t>
      </w:r>
      <w:r>
        <w:rPr>
          <w:rFonts w:ascii="Times New Roman" w:hAnsi="Times New Roman"/>
          <w:sz w:val="28"/>
          <w:szCs w:val="28"/>
        </w:rPr>
        <w:t>北京：中国铁道出版社，</w:t>
      </w:r>
      <w:r>
        <w:rPr>
          <w:rFonts w:ascii="Times New Roman" w:hAnsi="Times New Roman"/>
          <w:sz w:val="28"/>
          <w:szCs w:val="28"/>
        </w:rPr>
        <w:t>1989</w:t>
      </w:r>
    </w:p>
    <w:p w:rsidR="00494448" w:rsidRDefault="00494448" w:rsidP="0049444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七、执行大纲应注意的问题</w:t>
      </w:r>
    </w:p>
    <w:p w:rsid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、教学中应注重基本知识、基本理论和基本方法的讲授，注意精讲多练。</w:t>
      </w:r>
    </w:p>
    <w:p w:rsidR="00494448" w:rsidRPr="00494448" w:rsidRDefault="00494448" w:rsidP="00494448">
      <w:pPr>
        <w:spacing w:line="560" w:lineRule="exact"/>
        <w:ind w:firstLineChars="200" w:firstLine="560"/>
        <w:jc w:val="left"/>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、教学内容的顺序及其安排仅供参考，教师可根据情况作适当调整。</w:t>
      </w:r>
    </w:p>
    <w:p w:rsidR="00494448" w:rsidRDefault="00494448" w:rsidP="0049444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大纲撰写人：</w:t>
      </w:r>
    </w:p>
    <w:p w:rsidR="00494448" w:rsidRDefault="00494448" w:rsidP="0049444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课程负责人：</w:t>
      </w:r>
    </w:p>
    <w:p w:rsidR="00494448" w:rsidRDefault="00494448" w:rsidP="006E57E0">
      <w:pPr>
        <w:spacing w:line="360" w:lineRule="auto"/>
        <w:ind w:firstLineChars="1200" w:firstLine="3360"/>
        <w:rPr>
          <w:rFonts w:ascii="Times New Roman" w:hAnsi="Times New Roman"/>
          <w:sz w:val="28"/>
          <w:szCs w:val="28"/>
        </w:rPr>
      </w:pPr>
      <w:r>
        <w:rPr>
          <w:rFonts w:ascii="Times New Roman" w:eastAsia="仿宋" w:hAnsi="Times New Roman"/>
          <w:sz w:val="28"/>
          <w:szCs w:val="28"/>
        </w:rPr>
        <w:t>审核人：</w:t>
      </w:r>
      <w:r>
        <w:rPr>
          <w:rFonts w:ascii="Times New Roman" w:hAnsi="Times New Roman"/>
          <w:sz w:val="28"/>
          <w:szCs w:val="28"/>
        </w:rPr>
        <w:t xml:space="preserve"> </w:t>
      </w:r>
    </w:p>
    <w:p w:rsidR="00494448" w:rsidRDefault="00494448" w:rsidP="00494448">
      <w:pPr>
        <w:jc w:val="right"/>
        <w:rPr>
          <w:rFonts w:ascii="Times New Roman" w:eastAsia="仿宋" w:hAnsi="Times New Roman"/>
          <w:sz w:val="28"/>
          <w:szCs w:val="28"/>
        </w:rPr>
      </w:pPr>
      <w:r>
        <w:rPr>
          <w:rFonts w:ascii="Times New Roman" w:eastAsia="仿宋" w:hAnsi="Times New Roman"/>
          <w:sz w:val="28"/>
          <w:szCs w:val="28"/>
        </w:rPr>
        <w:t xml:space="preserve">                                         </w:t>
      </w:r>
      <w:r>
        <w:rPr>
          <w:rFonts w:ascii="Times New Roman" w:eastAsia="仿宋" w:hAnsi="Times New Roman"/>
          <w:sz w:val="28"/>
          <w:szCs w:val="28"/>
        </w:rPr>
        <w:t>年</w:t>
      </w:r>
      <w:r>
        <w:rPr>
          <w:rFonts w:ascii="Times New Roman" w:eastAsia="仿宋" w:hAnsi="Times New Roman"/>
          <w:sz w:val="28"/>
          <w:szCs w:val="28"/>
        </w:rPr>
        <w:t xml:space="preserve">    </w:t>
      </w:r>
      <w:r>
        <w:rPr>
          <w:rFonts w:ascii="Times New Roman" w:eastAsia="仿宋" w:hAnsi="Times New Roman"/>
          <w:sz w:val="28"/>
          <w:szCs w:val="28"/>
        </w:rPr>
        <w:t>月</w:t>
      </w:r>
    </w:p>
    <w:p w:rsidR="00494448" w:rsidRDefault="00494448" w:rsidP="00B70E4F"/>
    <w:p w:rsidR="00494448" w:rsidRDefault="00494448" w:rsidP="00494448">
      <w:pPr>
        <w:pStyle w:val="ab"/>
      </w:pPr>
      <w:r>
        <w:rPr>
          <w:rFonts w:hint="eastAsia"/>
        </w:rPr>
        <w:lastRenderedPageBreak/>
        <w:t>《钢结构基本理论》课程教学大纲</w:t>
      </w:r>
    </w:p>
    <w:p w:rsidR="00494448" w:rsidRPr="006E57E0" w:rsidRDefault="00494448" w:rsidP="006E57E0">
      <w:pPr>
        <w:spacing w:beforeLines="50" w:before="156" w:afterLines="50" w:after="156" w:line="560" w:lineRule="exact"/>
        <w:rPr>
          <w:rFonts w:ascii="黑体" w:eastAsia="黑体" w:hAnsi="黑体"/>
          <w:b/>
          <w:sz w:val="28"/>
          <w:szCs w:val="28"/>
        </w:rPr>
      </w:pPr>
      <w:r w:rsidRPr="006E57E0">
        <w:rPr>
          <w:rFonts w:ascii="黑体" w:eastAsia="黑体" w:hAnsi="黑体" w:hint="eastAsia"/>
          <w:b/>
          <w:sz w:val="28"/>
          <w:szCs w:val="28"/>
        </w:rPr>
        <w:t>一、课程信息</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英文名称：Theory of Steel Structures</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课程编码：Z2802020</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授课语言：中文</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授课方式： 线下</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课程类别： 专业发展课</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bCs/>
          <w:sz w:val="28"/>
          <w:szCs w:val="28"/>
        </w:rPr>
        <w:t>课程性质</w:t>
      </w:r>
      <w:r w:rsidRPr="006E57E0">
        <w:rPr>
          <w:rFonts w:ascii="仿宋_GB2312" w:hAnsi="仿宋_GB2312" w:cs="仿宋_GB2312" w:hint="eastAsia"/>
          <w:bCs/>
          <w:sz w:val="28"/>
          <w:szCs w:val="28"/>
        </w:rPr>
        <w:t>： 必修</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学　　分：2.5学分</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学    时：40学时（授课40，实验0，上机0，课外0）</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适用对象：土木工程专业</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先修课程：材料力学、结构力学、结构稳定理论。</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开课院系：　建筑工程学院钢结构教研室</w:t>
      </w:r>
    </w:p>
    <w:p w:rsidR="00494448" w:rsidRDefault="00494448" w:rsidP="00494448">
      <w:pPr>
        <w:spacing w:line="276" w:lineRule="auto"/>
        <w:ind w:firstLineChars="157" w:firstLine="503"/>
        <w:rPr>
          <w:rFonts w:ascii="华文中宋" w:eastAsia="华文中宋" w:hAnsi="华文中宋"/>
          <w:b/>
          <w:szCs w:val="21"/>
        </w:rPr>
      </w:pPr>
    </w:p>
    <w:p w:rsidR="00494448" w:rsidRPr="006E57E0" w:rsidRDefault="00494448" w:rsidP="006E57E0">
      <w:pPr>
        <w:spacing w:beforeLines="50" w:before="156" w:afterLines="50" w:after="156" w:line="560" w:lineRule="exact"/>
        <w:rPr>
          <w:rFonts w:ascii="黑体" w:eastAsia="黑体" w:hAnsi="黑体"/>
          <w:b/>
          <w:sz w:val="28"/>
          <w:szCs w:val="28"/>
        </w:rPr>
      </w:pPr>
      <w:r w:rsidRPr="006E57E0">
        <w:rPr>
          <w:rFonts w:ascii="黑体" w:eastAsia="黑体" w:hAnsi="黑体" w:hint="eastAsia"/>
          <w:b/>
          <w:sz w:val="28"/>
          <w:szCs w:val="28"/>
        </w:rPr>
        <w:t>二、</w:t>
      </w:r>
      <w:r w:rsidRPr="006E57E0">
        <w:rPr>
          <w:rFonts w:ascii="黑体" w:eastAsia="黑体" w:hAnsi="黑体"/>
          <w:b/>
          <w:sz w:val="28"/>
          <w:szCs w:val="28"/>
        </w:rPr>
        <w:t>课程简介</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钢结构具有强度高、自重轻、抗震性能好、施工速度快、地基费用省、工业化程度高、外形美观等一系列优点。与其它结构相比它是环保型和可以再次利用的结构。《中国建筑技术政策》特别提出要大力发展钢结构在我国土木工程专业中的应用，由此促进了建筑钢结构得到迅速发展，开创了钢结构在建筑中应用的新时期，对钢结构技术人才的需求也日益增长。因此，加强钢结构专业知识相关课程的的教学，</w:t>
      </w:r>
      <w:r w:rsidRPr="006E57E0">
        <w:rPr>
          <w:rFonts w:ascii="仿宋_GB2312" w:hAnsi="仿宋_GB2312" w:cs="仿宋_GB2312" w:hint="eastAsia"/>
          <w:bCs/>
          <w:sz w:val="28"/>
          <w:szCs w:val="28"/>
        </w:rPr>
        <w:lastRenderedPageBreak/>
        <w:t>保证行业对专业化技术人才的需求，是土木工程专业《钢结构基本理论》课程主要工作。</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钢结构基本理论》课程是土木工程专业的主要专业课之一，是一门理论性强且要求与实践紧密结合的专业课。《钢结构基本理论》是后续课程《钢结构设计》的先修课程，教学内容包括：概述、材料、连接、轴心受力构件、受弯构件、拉弯与压弯构件。</w:t>
      </w:r>
    </w:p>
    <w:p w:rsidR="00494448" w:rsidRPr="006E57E0" w:rsidRDefault="00494448" w:rsidP="006E57E0">
      <w:pPr>
        <w:spacing w:line="360" w:lineRule="auto"/>
        <w:ind w:firstLine="331"/>
        <w:rPr>
          <w:rFonts w:ascii="仿宋_GB2312" w:hAnsi="仿宋_GB2312" w:cs="仿宋_GB2312"/>
          <w:bCs/>
          <w:sz w:val="28"/>
          <w:szCs w:val="28"/>
        </w:rPr>
      </w:pPr>
      <w:r w:rsidRPr="006E57E0">
        <w:rPr>
          <w:rFonts w:ascii="仿宋_GB2312" w:hAnsi="仿宋_GB2312" w:cs="仿宋_GB2312" w:hint="eastAsia"/>
          <w:bCs/>
          <w:sz w:val="28"/>
          <w:szCs w:val="28"/>
        </w:rPr>
        <w:t>课程的主要任务是，使学生了解钢结构的特点与应用，熟悉钢结构材料的基本性能，掌握钢结构基本构件与连接的工作性能，理解钢结构构件整体稳定、局部稳定的基本概念及钢结构构件稳定承载力的计算方法。掌握承载力计算基本原理和满足正常使用要求的基本设计方法，为今后从事相关钢结构的设计、制造、施工、创新研究等工作打下坚实的基础。</w:t>
      </w:r>
    </w:p>
    <w:p w:rsidR="00494448" w:rsidRPr="006E57E0" w:rsidRDefault="00494448" w:rsidP="006E57E0">
      <w:pPr>
        <w:spacing w:beforeLines="50" w:before="156" w:afterLines="50" w:after="156" w:line="560" w:lineRule="exact"/>
        <w:rPr>
          <w:rFonts w:ascii="黑体" w:eastAsia="黑体" w:hAnsi="黑体"/>
          <w:b/>
          <w:sz w:val="28"/>
          <w:szCs w:val="28"/>
        </w:rPr>
      </w:pPr>
      <w:r w:rsidRPr="006E57E0">
        <w:rPr>
          <w:rFonts w:ascii="黑体" w:eastAsia="黑体" w:hAnsi="黑体" w:hint="eastAsia"/>
          <w:b/>
          <w:sz w:val="28"/>
          <w:szCs w:val="28"/>
        </w:rPr>
        <w:t>三、课程</w:t>
      </w:r>
      <w:r w:rsidRPr="006E57E0">
        <w:rPr>
          <w:rFonts w:ascii="黑体" w:eastAsia="黑体" w:hAnsi="黑体"/>
          <w:b/>
          <w:sz w:val="28"/>
          <w:szCs w:val="28"/>
        </w:rPr>
        <w:t>任务</w:t>
      </w:r>
      <w:r w:rsidRPr="006E57E0">
        <w:rPr>
          <w:rFonts w:ascii="黑体" w:eastAsia="黑体" w:hAnsi="黑体" w:hint="eastAsia"/>
          <w:b/>
          <w:sz w:val="28"/>
          <w:szCs w:val="28"/>
        </w:rPr>
        <w:t>、目标与要求</w:t>
      </w:r>
    </w:p>
    <w:p w:rsidR="00494448" w:rsidRPr="006E57E0" w:rsidRDefault="00494448" w:rsidP="00494448">
      <w:pPr>
        <w:spacing w:line="360" w:lineRule="auto"/>
        <w:ind w:firstLine="331"/>
        <w:rPr>
          <w:rFonts w:ascii="仿宋_GB2312" w:hAnsi="仿宋_GB2312" w:cs="仿宋_GB2312"/>
          <w:b/>
          <w:bCs/>
          <w:sz w:val="28"/>
          <w:szCs w:val="28"/>
        </w:rPr>
      </w:pPr>
      <w:r w:rsidRPr="006E57E0">
        <w:rPr>
          <w:rFonts w:ascii="仿宋_GB2312" w:hAnsi="仿宋_GB2312" w:cs="仿宋_GB2312" w:hint="eastAsia"/>
          <w:b/>
          <w:bCs/>
          <w:sz w:val="28"/>
          <w:szCs w:val="28"/>
        </w:rPr>
        <w:t>1.课程任务</w:t>
      </w:r>
    </w:p>
    <w:p w:rsidR="00494448" w:rsidRPr="006E57E0" w:rsidRDefault="00494448" w:rsidP="00494448">
      <w:pPr>
        <w:spacing w:line="360" w:lineRule="auto"/>
        <w:ind w:left="315"/>
        <w:rPr>
          <w:rFonts w:ascii="仿宋_GB2312" w:hAnsi="仿宋_GB2312" w:cs="仿宋_GB2312"/>
          <w:bCs/>
          <w:sz w:val="28"/>
          <w:szCs w:val="28"/>
        </w:rPr>
      </w:pPr>
      <w:r w:rsidRPr="006E57E0">
        <w:rPr>
          <w:rFonts w:ascii="仿宋_GB2312" w:hAnsi="仿宋_GB2312" w:cs="仿宋_GB2312" w:hint="eastAsia"/>
          <w:bCs/>
          <w:sz w:val="28"/>
          <w:szCs w:val="28"/>
        </w:rPr>
        <w:t xml:space="preserve">    通过本课程学习，学生掌握钢结构基本构件及连接等相关的专业基础知识，掌握钢结构经济性能的优越性和钢结构结构性能的优越性；掌握钢材的主要性能，影响钢材性能的主要因素。能够正确合理选用钢材并掌握使用钢材的变通原则，具有处理因材质引起的技术问题的能力；掌握钢结构基本构件的工作特点、基本原理，并具有正确设计基本构件的能力；掌握钢结构常用连接方法、连接形式、工作性能及设计方法；较好的掌握构件之间的连接方法、力的传递方式及构造原理；能正确使用结构设计规范进行相应构件及连</w:t>
      </w:r>
      <w:r w:rsidRPr="006E57E0">
        <w:rPr>
          <w:rFonts w:ascii="仿宋_GB2312" w:hAnsi="仿宋_GB2312" w:cs="仿宋_GB2312" w:hint="eastAsia"/>
          <w:bCs/>
          <w:sz w:val="28"/>
          <w:szCs w:val="28"/>
        </w:rPr>
        <w:lastRenderedPageBreak/>
        <w:t>接设计。。达到土木工程专业毕业生对学生需掌握的钢结构基础专业知识的基本要求。为学生毕业后在相关行业从事钢结构专业技术工作奠定必备的基本理论知识。</w:t>
      </w:r>
    </w:p>
    <w:p w:rsidR="00494448" w:rsidRPr="006E57E0" w:rsidRDefault="00494448" w:rsidP="00494448">
      <w:pPr>
        <w:spacing w:line="276" w:lineRule="auto"/>
        <w:ind w:left="315"/>
        <w:rPr>
          <w:rFonts w:ascii="仿宋_GB2312" w:hAnsi="仿宋_GB2312" w:cs="仿宋_GB2312"/>
          <w:b/>
          <w:bCs/>
          <w:sz w:val="28"/>
          <w:szCs w:val="28"/>
        </w:rPr>
      </w:pPr>
      <w:r w:rsidRPr="006E57E0">
        <w:rPr>
          <w:rFonts w:ascii="仿宋_GB2312" w:hAnsi="仿宋_GB2312" w:cs="仿宋_GB2312" w:hint="eastAsia"/>
          <w:b/>
          <w:bCs/>
          <w:sz w:val="28"/>
          <w:szCs w:val="28"/>
        </w:rPr>
        <w:t>2.课程基本要求</w:t>
      </w:r>
    </w:p>
    <w:p w:rsidR="00494448" w:rsidRPr="006E57E0" w:rsidRDefault="00494448" w:rsidP="00494448">
      <w:pPr>
        <w:spacing w:line="360" w:lineRule="auto"/>
        <w:ind w:firstLine="331"/>
        <w:rPr>
          <w:rFonts w:ascii="仿宋_GB2312" w:hAnsi="仿宋_GB2312" w:cs="仿宋_GB2312"/>
          <w:b/>
          <w:bCs/>
          <w:sz w:val="28"/>
          <w:szCs w:val="28"/>
        </w:rPr>
      </w:pPr>
      <w:r w:rsidRPr="006E57E0">
        <w:rPr>
          <w:rFonts w:ascii="仿宋_GB2312" w:hAnsi="仿宋_GB2312" w:cs="仿宋_GB2312" w:hint="eastAsia"/>
          <w:b/>
          <w:bCs/>
          <w:sz w:val="28"/>
          <w:szCs w:val="28"/>
        </w:rPr>
        <w:t>2.1 课程目标</w:t>
      </w:r>
    </w:p>
    <w:p w:rsidR="00494448" w:rsidRPr="006E57E0" w:rsidRDefault="00494448" w:rsidP="00494448">
      <w:pPr>
        <w:spacing w:line="360" w:lineRule="auto"/>
        <w:ind w:firstLineChars="200" w:firstLine="560"/>
        <w:rPr>
          <w:rFonts w:ascii="仿宋_GB2312" w:hAnsi="仿宋_GB2312" w:cs="仿宋_GB2312"/>
          <w:bCs/>
          <w:sz w:val="28"/>
          <w:szCs w:val="28"/>
        </w:rPr>
      </w:pPr>
      <w:r w:rsidRPr="006E57E0">
        <w:rPr>
          <w:rFonts w:ascii="仿宋_GB2312" w:hAnsi="仿宋_GB2312" w:cs="仿宋_GB2312"/>
          <w:bCs/>
          <w:sz w:val="28"/>
          <w:szCs w:val="28"/>
        </w:rPr>
        <w:t>通过本课程的理论教学与，使学生具备解决与</w:t>
      </w:r>
      <w:r w:rsidRPr="006E57E0">
        <w:rPr>
          <w:rFonts w:ascii="仿宋_GB2312" w:hAnsi="仿宋_GB2312" w:cs="仿宋_GB2312" w:hint="eastAsia"/>
          <w:bCs/>
          <w:sz w:val="28"/>
          <w:szCs w:val="28"/>
        </w:rPr>
        <w:t>钢结构</w:t>
      </w:r>
      <w:r w:rsidRPr="006E57E0">
        <w:rPr>
          <w:rFonts w:ascii="仿宋_GB2312" w:hAnsi="仿宋_GB2312" w:cs="仿宋_GB2312"/>
          <w:bCs/>
          <w:sz w:val="28"/>
          <w:szCs w:val="28"/>
        </w:rPr>
        <w:t>相关的复杂土木工程问题的基本知识以及实践和工程应用能力，教学目标具体要求如下：</w:t>
      </w:r>
    </w:p>
    <w:p w:rsidR="00494448" w:rsidRPr="006E57E0" w:rsidRDefault="00494448" w:rsidP="00494448">
      <w:pPr>
        <w:spacing w:line="360" w:lineRule="auto"/>
        <w:rPr>
          <w:rFonts w:ascii="仿宋_GB2312" w:hAnsi="仿宋_GB2312" w:cs="仿宋_GB2312"/>
          <w:bCs/>
          <w:sz w:val="28"/>
          <w:szCs w:val="28"/>
        </w:rPr>
      </w:pPr>
      <w:r w:rsidRPr="006E57E0">
        <w:rPr>
          <w:rFonts w:ascii="仿宋_GB2312" w:hAnsi="仿宋_GB2312" w:cs="仿宋_GB2312" w:hint="eastAsia"/>
          <w:bCs/>
          <w:sz w:val="28"/>
          <w:szCs w:val="28"/>
        </w:rPr>
        <w:t xml:space="preserve">   （1）通过课程学习，学生需掌握钢材基本性能，熟悉钢结构的基本构件的受力性能，掌握基本构件的设计计算；熟悉钢结构连接形式的性能，掌握钢结构连接的设计与计算。通过课程学习，掌握资料查询、归类、综合等基本方法，提高获取知识的能力；</w:t>
      </w:r>
      <w:r w:rsidRPr="006E57E0">
        <w:rPr>
          <w:rFonts w:ascii="仿宋_GB2312" w:hAnsi="仿宋_GB2312" w:cs="仿宋_GB2312"/>
          <w:bCs/>
          <w:sz w:val="28"/>
          <w:szCs w:val="28"/>
        </w:rPr>
        <w:t xml:space="preserve"> </w:t>
      </w:r>
    </w:p>
    <w:p w:rsidR="00494448" w:rsidRPr="006E57E0" w:rsidRDefault="00494448" w:rsidP="00494448">
      <w:pPr>
        <w:spacing w:line="360" w:lineRule="auto"/>
        <w:rPr>
          <w:rFonts w:ascii="仿宋_GB2312" w:hAnsi="仿宋_GB2312" w:cs="仿宋_GB2312"/>
          <w:bCs/>
          <w:sz w:val="28"/>
          <w:szCs w:val="28"/>
        </w:rPr>
      </w:pPr>
      <w:r w:rsidRPr="006E57E0">
        <w:rPr>
          <w:rFonts w:ascii="仿宋_GB2312" w:hAnsi="仿宋_GB2312" w:cs="仿宋_GB2312" w:hint="eastAsia"/>
          <w:bCs/>
          <w:sz w:val="28"/>
          <w:szCs w:val="28"/>
        </w:rPr>
        <w:t xml:space="preserve">  （2）通过完成习题、思考题、研究报告等教学环节提高学生对知识的理解和综合应用能力；通过文献阅读、提出观点、小组讨论、辩论提高逻辑思维能力和思辨能力；通过工程实践学习提高学生实践能力、发现问题及解决问题的能力；通过实地参观、结合课程教学的大学生创新实践活动和导师指导下的科研活动，强调系统思维和创新思维的重要性，提高学生的创新能力；通过工程实践与科研小组活动，培养个体的自主学习能力和在集体中的交流合作能力，同时培养学生的组织协调与管理能力；</w:t>
      </w:r>
    </w:p>
    <w:p w:rsidR="00494448" w:rsidRPr="006E57E0" w:rsidRDefault="00494448" w:rsidP="00494448">
      <w:pPr>
        <w:spacing w:line="360" w:lineRule="auto"/>
        <w:rPr>
          <w:rFonts w:ascii="仿宋_GB2312" w:hAnsi="仿宋_GB2312" w:cs="仿宋_GB2312"/>
          <w:bCs/>
          <w:sz w:val="28"/>
          <w:szCs w:val="28"/>
        </w:rPr>
      </w:pPr>
      <w:r w:rsidRPr="006E57E0">
        <w:rPr>
          <w:rFonts w:ascii="仿宋_GB2312" w:hAnsi="仿宋_GB2312" w:cs="仿宋_GB2312" w:hint="eastAsia"/>
          <w:bCs/>
          <w:sz w:val="28"/>
          <w:szCs w:val="28"/>
        </w:rPr>
        <w:t xml:space="preserve">  （3）以教师的知识与行为，以校园的文化氛围及土木工程对国计民生的重大影响感染学生和影响学生，在教学中潜移默化地渗入职业</w:t>
      </w:r>
      <w:r w:rsidRPr="006E57E0">
        <w:rPr>
          <w:rFonts w:ascii="仿宋_GB2312" w:hAnsi="仿宋_GB2312" w:cs="仿宋_GB2312" w:hint="eastAsia"/>
          <w:bCs/>
          <w:sz w:val="28"/>
          <w:szCs w:val="28"/>
        </w:rPr>
        <w:lastRenderedPageBreak/>
        <w:t>道德的熏陶；通过专家讲座，学习和感受大师的科学态度与工作精神；通过作业和实验的训练养成认真负责的态度；运用科学的思维方式，引导学生解决抽象和复杂问题；以理论知识和工程经验的结合构建专业知识框架，以贯穿整个教学过程的知识传授和实践训练建立教学模式，培养学生对工程知识的理解能力和应用能力；通过工程分析、人物介绍等激发爱国主义热情，坚定追求卓越的人生态度。</w:t>
      </w:r>
    </w:p>
    <w:p w:rsidR="00494448" w:rsidRPr="006E57E0" w:rsidRDefault="00494448" w:rsidP="00494448">
      <w:pPr>
        <w:spacing w:line="360" w:lineRule="auto"/>
        <w:ind w:firstLine="331"/>
        <w:rPr>
          <w:rFonts w:ascii="仿宋_GB2312" w:hAnsi="仿宋_GB2312" w:cs="仿宋_GB2312"/>
          <w:b/>
          <w:bCs/>
          <w:sz w:val="28"/>
          <w:szCs w:val="28"/>
        </w:rPr>
      </w:pPr>
      <w:r w:rsidRPr="006E57E0">
        <w:rPr>
          <w:rFonts w:ascii="仿宋_GB2312" w:hAnsi="仿宋_GB2312" w:cs="仿宋_GB2312" w:hint="eastAsia"/>
          <w:b/>
          <w:bCs/>
          <w:sz w:val="28"/>
          <w:szCs w:val="28"/>
        </w:rPr>
        <w:t>2.2课程目标与毕业要求之间的对应关系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4"/>
        <w:gridCol w:w="4694"/>
        <w:gridCol w:w="689"/>
        <w:gridCol w:w="692"/>
        <w:gridCol w:w="737"/>
      </w:tblGrid>
      <w:tr w:rsidR="00494448" w:rsidRPr="006E57E0" w:rsidTr="00BE5664">
        <w:tc>
          <w:tcPr>
            <w:tcW w:w="3724" w:type="pct"/>
            <w:gridSpan w:val="2"/>
            <w:vMerge w:val="restart"/>
            <w:shd w:val="clear" w:color="auto" w:fill="auto"/>
            <w:vAlign w:val="center"/>
          </w:tcPr>
          <w:p w:rsidR="00494448" w:rsidRPr="006E57E0" w:rsidRDefault="00494448" w:rsidP="00BE5664">
            <w:pPr>
              <w:spacing w:line="276" w:lineRule="auto"/>
              <w:jc w:val="center"/>
              <w:rPr>
                <w:rFonts w:ascii="仿宋_GB2312" w:hAnsi="仿宋_GB2312" w:cs="仿宋_GB2312"/>
                <w:bCs/>
                <w:sz w:val="28"/>
                <w:szCs w:val="28"/>
              </w:rPr>
            </w:pPr>
            <w:r w:rsidRPr="006E57E0">
              <w:rPr>
                <w:rFonts w:ascii="仿宋_GB2312" w:hAnsi="仿宋_GB2312" w:cs="仿宋_GB2312"/>
                <w:bCs/>
                <w:sz w:val="28"/>
                <w:szCs w:val="28"/>
              </w:rPr>
              <w:t>毕业要求及其指标点</w:t>
            </w:r>
          </w:p>
        </w:tc>
        <w:tc>
          <w:tcPr>
            <w:tcW w:w="1276" w:type="pct"/>
            <w:gridSpan w:val="3"/>
            <w:shd w:val="clear" w:color="auto" w:fill="auto"/>
            <w:vAlign w:val="center"/>
          </w:tcPr>
          <w:p w:rsidR="00494448" w:rsidRPr="006E57E0" w:rsidRDefault="00494448" w:rsidP="00BE5664">
            <w:pPr>
              <w:jc w:val="center"/>
              <w:rPr>
                <w:rFonts w:ascii="仿宋_GB2312" w:hAnsi="仿宋_GB2312" w:cs="仿宋_GB2312"/>
                <w:bCs/>
                <w:sz w:val="28"/>
                <w:szCs w:val="28"/>
              </w:rPr>
            </w:pPr>
            <w:r w:rsidRPr="006E57E0">
              <w:rPr>
                <w:rFonts w:ascii="仿宋_GB2312" w:hAnsi="仿宋_GB2312" w:cs="仿宋_GB2312"/>
                <w:bCs/>
                <w:sz w:val="28"/>
                <w:szCs w:val="28"/>
              </w:rPr>
              <w:t>教学目标</w:t>
            </w:r>
          </w:p>
        </w:tc>
      </w:tr>
      <w:tr w:rsidR="00494448" w:rsidRPr="006E57E0" w:rsidTr="00BE5664">
        <w:tc>
          <w:tcPr>
            <w:tcW w:w="3724" w:type="pct"/>
            <w:gridSpan w:val="2"/>
            <w:vMerge/>
            <w:shd w:val="clear" w:color="auto" w:fill="auto"/>
            <w:vAlign w:val="center"/>
          </w:tcPr>
          <w:p w:rsidR="00494448" w:rsidRPr="006E57E0" w:rsidRDefault="00494448" w:rsidP="00BE5664">
            <w:pPr>
              <w:spacing w:line="276" w:lineRule="auto"/>
              <w:rPr>
                <w:rFonts w:ascii="仿宋_GB2312" w:hAnsi="仿宋_GB2312" w:cs="仿宋_GB2312"/>
                <w:bCs/>
                <w:sz w:val="28"/>
                <w:szCs w:val="28"/>
              </w:rPr>
            </w:pPr>
          </w:p>
        </w:tc>
        <w:tc>
          <w:tcPr>
            <w:tcW w:w="415" w:type="pct"/>
            <w:shd w:val="clear" w:color="auto" w:fill="auto"/>
            <w:vAlign w:val="center"/>
          </w:tcPr>
          <w:p w:rsidR="00494448" w:rsidRPr="006E57E0" w:rsidRDefault="00494448" w:rsidP="00BE5664">
            <w:pPr>
              <w:jc w:val="center"/>
              <w:rPr>
                <w:rFonts w:ascii="仿宋_GB2312" w:hAnsi="仿宋_GB2312" w:cs="仿宋_GB2312"/>
                <w:bCs/>
                <w:sz w:val="28"/>
                <w:szCs w:val="28"/>
              </w:rPr>
            </w:pPr>
            <w:r w:rsidRPr="006E57E0">
              <w:rPr>
                <w:rFonts w:ascii="仿宋_GB2312" w:hAnsi="仿宋_GB2312" w:cs="仿宋_GB2312"/>
                <w:bCs/>
                <w:sz w:val="28"/>
                <w:szCs w:val="28"/>
              </w:rPr>
              <w:t>（1）</w:t>
            </w:r>
          </w:p>
        </w:tc>
        <w:tc>
          <w:tcPr>
            <w:tcW w:w="417" w:type="pct"/>
            <w:shd w:val="clear" w:color="auto" w:fill="auto"/>
            <w:vAlign w:val="center"/>
          </w:tcPr>
          <w:p w:rsidR="00494448" w:rsidRPr="006E57E0" w:rsidRDefault="00494448" w:rsidP="00BE5664">
            <w:pPr>
              <w:jc w:val="center"/>
              <w:rPr>
                <w:rFonts w:ascii="仿宋_GB2312" w:hAnsi="仿宋_GB2312" w:cs="仿宋_GB2312"/>
                <w:bCs/>
                <w:sz w:val="28"/>
                <w:szCs w:val="28"/>
              </w:rPr>
            </w:pPr>
            <w:r w:rsidRPr="006E57E0">
              <w:rPr>
                <w:rFonts w:ascii="仿宋_GB2312" w:hAnsi="仿宋_GB2312" w:cs="仿宋_GB2312"/>
                <w:bCs/>
                <w:sz w:val="28"/>
                <w:szCs w:val="28"/>
              </w:rPr>
              <w:t>（2）</w:t>
            </w:r>
          </w:p>
        </w:tc>
        <w:tc>
          <w:tcPr>
            <w:tcW w:w="444" w:type="pct"/>
            <w:shd w:val="clear" w:color="auto" w:fill="auto"/>
            <w:vAlign w:val="center"/>
          </w:tcPr>
          <w:p w:rsidR="00494448" w:rsidRPr="006E57E0" w:rsidRDefault="00494448" w:rsidP="00BE5664">
            <w:pPr>
              <w:jc w:val="center"/>
              <w:rPr>
                <w:rFonts w:ascii="仿宋_GB2312" w:hAnsi="仿宋_GB2312" w:cs="仿宋_GB2312"/>
                <w:bCs/>
                <w:sz w:val="28"/>
                <w:szCs w:val="28"/>
              </w:rPr>
            </w:pPr>
            <w:r w:rsidRPr="006E57E0">
              <w:rPr>
                <w:rFonts w:ascii="仿宋_GB2312" w:hAnsi="仿宋_GB2312" w:cs="仿宋_GB2312"/>
                <w:bCs/>
                <w:sz w:val="28"/>
                <w:szCs w:val="28"/>
              </w:rPr>
              <w:t>（3）</w:t>
            </w:r>
          </w:p>
        </w:tc>
      </w:tr>
      <w:tr w:rsidR="00494448" w:rsidRPr="006E57E0" w:rsidTr="00BE5664">
        <w:tc>
          <w:tcPr>
            <w:tcW w:w="895" w:type="pct"/>
            <w:shd w:val="clear" w:color="auto" w:fill="auto"/>
            <w:vAlign w:val="center"/>
          </w:tcPr>
          <w:p w:rsidR="00494448" w:rsidRPr="006E57E0" w:rsidRDefault="00494448" w:rsidP="00BE5664">
            <w:pPr>
              <w:rPr>
                <w:rFonts w:ascii="仿宋_GB2312" w:hAnsi="仿宋_GB2312" w:cs="仿宋_GB2312"/>
                <w:bCs/>
                <w:sz w:val="28"/>
                <w:szCs w:val="28"/>
              </w:rPr>
            </w:pPr>
            <w:r w:rsidRPr="006E57E0">
              <w:rPr>
                <w:rFonts w:ascii="仿宋_GB2312" w:hAnsi="仿宋_GB2312" w:cs="仿宋_GB2312"/>
                <w:bCs/>
                <w:sz w:val="28"/>
                <w:szCs w:val="28"/>
              </w:rPr>
              <w:t>1. 工程知识</w:t>
            </w:r>
            <w:r w:rsidRPr="006E57E0">
              <w:rPr>
                <w:rFonts w:ascii="仿宋_GB2312" w:hAnsi="仿宋_GB2312" w:cs="仿宋_GB2312" w:hint="eastAsia"/>
                <w:bCs/>
                <w:sz w:val="28"/>
                <w:szCs w:val="28"/>
              </w:rPr>
              <w:t>应用能力</w:t>
            </w:r>
          </w:p>
        </w:tc>
        <w:tc>
          <w:tcPr>
            <w:tcW w:w="2829" w:type="pct"/>
            <w:shd w:val="clear" w:color="auto" w:fill="auto"/>
            <w:vAlign w:val="center"/>
          </w:tcPr>
          <w:p w:rsidR="00494448" w:rsidRPr="006E57E0" w:rsidRDefault="00494448" w:rsidP="00BE5664">
            <w:pPr>
              <w:spacing w:line="276" w:lineRule="auto"/>
              <w:rPr>
                <w:rFonts w:ascii="仿宋_GB2312" w:hAnsi="仿宋_GB2312" w:cs="仿宋_GB2312"/>
                <w:bCs/>
                <w:sz w:val="28"/>
                <w:szCs w:val="28"/>
              </w:rPr>
            </w:pPr>
            <w:r w:rsidRPr="006E57E0">
              <w:rPr>
                <w:rFonts w:ascii="仿宋_GB2312" w:hAnsi="仿宋_GB2312" w:cs="仿宋_GB2312"/>
                <w:bCs/>
                <w:sz w:val="28"/>
                <w:szCs w:val="28"/>
              </w:rPr>
              <w:t>1</w:t>
            </w:r>
            <w:r w:rsidRPr="006E57E0">
              <w:rPr>
                <w:rFonts w:ascii="仿宋_GB2312" w:hAnsi="仿宋_GB2312" w:cs="仿宋_GB2312" w:hint="eastAsia"/>
                <w:bCs/>
                <w:sz w:val="28"/>
                <w:szCs w:val="28"/>
              </w:rPr>
              <w:t>.</w:t>
            </w:r>
            <w:r w:rsidRPr="006E57E0">
              <w:rPr>
                <w:rFonts w:ascii="仿宋_GB2312" w:hAnsi="仿宋_GB2312" w:cs="仿宋_GB2312"/>
                <w:bCs/>
                <w:sz w:val="28"/>
                <w:szCs w:val="28"/>
              </w:rPr>
              <w:t>3 掌握相关工程基础知识，具备应用相关知识推演、分析土木工程专业复杂工程问题的专业基础能力；</w:t>
            </w:r>
          </w:p>
        </w:tc>
        <w:tc>
          <w:tcPr>
            <w:tcW w:w="415" w:type="pct"/>
            <w:shd w:val="clear" w:color="auto" w:fill="auto"/>
            <w:vAlign w:val="center"/>
          </w:tcPr>
          <w:p w:rsidR="00494448" w:rsidRPr="006E57E0" w:rsidRDefault="00494448" w:rsidP="00BE5664">
            <w:pPr>
              <w:jc w:val="center"/>
              <w:rPr>
                <w:rFonts w:ascii="仿宋_GB2312" w:hAnsi="仿宋_GB2312" w:cs="仿宋_GB2312"/>
                <w:bCs/>
                <w:sz w:val="28"/>
                <w:szCs w:val="28"/>
              </w:rPr>
            </w:pPr>
            <w:r w:rsidRPr="006E57E0">
              <w:rPr>
                <w:rFonts w:ascii="仿宋_GB2312" w:hAnsi="仿宋_GB2312" w:cs="仿宋_GB2312"/>
                <w:bCs/>
                <w:sz w:val="28"/>
                <w:szCs w:val="28"/>
              </w:rPr>
              <w:t>√</w:t>
            </w:r>
          </w:p>
        </w:tc>
        <w:tc>
          <w:tcPr>
            <w:tcW w:w="417" w:type="pct"/>
            <w:shd w:val="clear" w:color="auto" w:fill="auto"/>
            <w:vAlign w:val="center"/>
          </w:tcPr>
          <w:p w:rsidR="00494448" w:rsidRPr="006E57E0" w:rsidRDefault="00494448" w:rsidP="00BE5664">
            <w:pPr>
              <w:jc w:val="center"/>
              <w:rPr>
                <w:rFonts w:ascii="仿宋_GB2312" w:hAnsi="仿宋_GB2312" w:cs="仿宋_GB2312"/>
                <w:bCs/>
                <w:sz w:val="28"/>
                <w:szCs w:val="28"/>
              </w:rPr>
            </w:pPr>
            <w:r w:rsidRPr="006E57E0">
              <w:rPr>
                <w:rFonts w:ascii="仿宋_GB2312" w:hAnsi="仿宋_GB2312" w:cs="仿宋_GB2312"/>
                <w:bCs/>
                <w:sz w:val="28"/>
                <w:szCs w:val="28"/>
              </w:rPr>
              <w:t>√</w:t>
            </w:r>
          </w:p>
        </w:tc>
        <w:tc>
          <w:tcPr>
            <w:tcW w:w="444" w:type="pct"/>
            <w:shd w:val="clear" w:color="auto" w:fill="auto"/>
            <w:vAlign w:val="center"/>
          </w:tcPr>
          <w:p w:rsidR="00494448" w:rsidRPr="006E57E0" w:rsidRDefault="00494448" w:rsidP="00BE5664">
            <w:pPr>
              <w:jc w:val="center"/>
              <w:rPr>
                <w:rFonts w:ascii="仿宋_GB2312" w:hAnsi="仿宋_GB2312" w:cs="仿宋_GB2312"/>
                <w:bCs/>
                <w:sz w:val="28"/>
                <w:szCs w:val="28"/>
              </w:rPr>
            </w:pPr>
          </w:p>
        </w:tc>
      </w:tr>
      <w:tr w:rsidR="00494448" w:rsidRPr="006E57E0" w:rsidTr="00BE5664">
        <w:tc>
          <w:tcPr>
            <w:tcW w:w="895" w:type="pct"/>
            <w:shd w:val="clear" w:color="auto" w:fill="auto"/>
            <w:vAlign w:val="center"/>
          </w:tcPr>
          <w:p w:rsidR="00494448" w:rsidRPr="006E57E0" w:rsidRDefault="00494448" w:rsidP="00BE5664">
            <w:pPr>
              <w:rPr>
                <w:rFonts w:ascii="仿宋_GB2312" w:hAnsi="仿宋_GB2312" w:cs="仿宋_GB2312"/>
                <w:bCs/>
                <w:sz w:val="28"/>
                <w:szCs w:val="28"/>
              </w:rPr>
            </w:pPr>
            <w:r w:rsidRPr="006E57E0">
              <w:rPr>
                <w:rFonts w:ascii="仿宋_GB2312" w:hAnsi="仿宋_GB2312" w:cs="仿宋_GB2312" w:hint="eastAsia"/>
                <w:bCs/>
                <w:sz w:val="28"/>
                <w:szCs w:val="28"/>
              </w:rPr>
              <w:t>2. 问题分析能力</w:t>
            </w:r>
          </w:p>
        </w:tc>
        <w:tc>
          <w:tcPr>
            <w:tcW w:w="2829" w:type="pct"/>
            <w:shd w:val="clear" w:color="auto" w:fill="auto"/>
            <w:vAlign w:val="center"/>
          </w:tcPr>
          <w:p w:rsidR="00494448" w:rsidRPr="006E57E0" w:rsidRDefault="00494448" w:rsidP="00BE5664">
            <w:pPr>
              <w:spacing w:line="276" w:lineRule="auto"/>
              <w:rPr>
                <w:rFonts w:ascii="仿宋_GB2312" w:hAnsi="仿宋_GB2312" w:cs="仿宋_GB2312"/>
                <w:bCs/>
                <w:sz w:val="28"/>
                <w:szCs w:val="28"/>
              </w:rPr>
            </w:pPr>
            <w:r w:rsidRPr="006E57E0">
              <w:rPr>
                <w:rFonts w:ascii="仿宋_GB2312" w:hAnsi="仿宋_GB2312" w:cs="仿宋_GB2312"/>
                <w:bCs/>
                <w:sz w:val="28"/>
                <w:szCs w:val="28"/>
              </w:rPr>
              <w:t>2.3 能够正确、合理运用专业知识，识别、判断和表达土木工程专业复杂工程问题的本质特征、关键环节，并能提供多种解决方案；</w:t>
            </w:r>
          </w:p>
        </w:tc>
        <w:tc>
          <w:tcPr>
            <w:tcW w:w="415" w:type="pct"/>
            <w:shd w:val="clear" w:color="auto" w:fill="auto"/>
            <w:vAlign w:val="center"/>
          </w:tcPr>
          <w:p w:rsidR="00494448" w:rsidRPr="006E57E0" w:rsidRDefault="00494448" w:rsidP="00BE5664">
            <w:pPr>
              <w:jc w:val="center"/>
              <w:rPr>
                <w:rFonts w:ascii="仿宋_GB2312" w:hAnsi="仿宋_GB2312" w:cs="仿宋_GB2312"/>
                <w:bCs/>
                <w:sz w:val="28"/>
                <w:szCs w:val="28"/>
              </w:rPr>
            </w:pPr>
          </w:p>
        </w:tc>
        <w:tc>
          <w:tcPr>
            <w:tcW w:w="417" w:type="pct"/>
            <w:shd w:val="clear" w:color="auto" w:fill="auto"/>
            <w:vAlign w:val="center"/>
          </w:tcPr>
          <w:p w:rsidR="00494448" w:rsidRPr="006E57E0" w:rsidRDefault="00494448" w:rsidP="00BE5664">
            <w:pPr>
              <w:jc w:val="center"/>
              <w:rPr>
                <w:rFonts w:ascii="仿宋_GB2312" w:hAnsi="仿宋_GB2312" w:cs="仿宋_GB2312"/>
                <w:bCs/>
                <w:sz w:val="28"/>
                <w:szCs w:val="28"/>
              </w:rPr>
            </w:pPr>
            <w:r w:rsidRPr="006E57E0">
              <w:rPr>
                <w:rFonts w:ascii="仿宋_GB2312" w:hAnsi="仿宋_GB2312" w:cs="仿宋_GB2312"/>
                <w:bCs/>
                <w:sz w:val="28"/>
                <w:szCs w:val="28"/>
              </w:rPr>
              <w:t>√</w:t>
            </w:r>
          </w:p>
        </w:tc>
        <w:tc>
          <w:tcPr>
            <w:tcW w:w="444" w:type="pct"/>
            <w:shd w:val="clear" w:color="auto" w:fill="auto"/>
            <w:vAlign w:val="center"/>
          </w:tcPr>
          <w:p w:rsidR="00494448" w:rsidRPr="006E57E0" w:rsidRDefault="00494448" w:rsidP="00BE5664">
            <w:pPr>
              <w:jc w:val="center"/>
              <w:rPr>
                <w:rFonts w:ascii="仿宋_GB2312" w:hAnsi="仿宋_GB2312" w:cs="仿宋_GB2312"/>
                <w:bCs/>
                <w:sz w:val="28"/>
                <w:szCs w:val="28"/>
              </w:rPr>
            </w:pPr>
            <w:r w:rsidRPr="006E57E0">
              <w:rPr>
                <w:rFonts w:ascii="仿宋_GB2312" w:hAnsi="仿宋_GB2312" w:cs="仿宋_GB2312"/>
                <w:bCs/>
                <w:sz w:val="28"/>
                <w:szCs w:val="28"/>
              </w:rPr>
              <w:t>√</w:t>
            </w:r>
          </w:p>
        </w:tc>
      </w:tr>
      <w:tr w:rsidR="00494448" w:rsidRPr="006E57E0" w:rsidTr="00BE5664">
        <w:tc>
          <w:tcPr>
            <w:tcW w:w="895" w:type="pct"/>
            <w:shd w:val="clear" w:color="auto" w:fill="auto"/>
            <w:vAlign w:val="center"/>
          </w:tcPr>
          <w:p w:rsidR="00494448" w:rsidRPr="006E57E0" w:rsidRDefault="00494448" w:rsidP="00BE5664">
            <w:pPr>
              <w:rPr>
                <w:rFonts w:ascii="仿宋_GB2312" w:hAnsi="仿宋_GB2312" w:cs="仿宋_GB2312"/>
                <w:bCs/>
                <w:sz w:val="28"/>
                <w:szCs w:val="28"/>
              </w:rPr>
            </w:pPr>
            <w:r w:rsidRPr="006E57E0">
              <w:rPr>
                <w:rFonts w:ascii="仿宋_GB2312" w:hAnsi="仿宋_GB2312" w:cs="仿宋_GB2312"/>
                <w:bCs/>
                <w:sz w:val="28"/>
                <w:szCs w:val="28"/>
              </w:rPr>
              <w:t>3. 设计（开发）</w:t>
            </w:r>
            <w:r w:rsidRPr="006E57E0">
              <w:rPr>
                <w:rFonts w:ascii="仿宋_GB2312" w:hAnsi="仿宋_GB2312" w:cs="仿宋_GB2312" w:hint="eastAsia"/>
                <w:bCs/>
                <w:sz w:val="28"/>
                <w:szCs w:val="28"/>
              </w:rPr>
              <w:t>能力</w:t>
            </w:r>
          </w:p>
        </w:tc>
        <w:tc>
          <w:tcPr>
            <w:tcW w:w="2829" w:type="pct"/>
            <w:shd w:val="clear" w:color="auto" w:fill="auto"/>
            <w:vAlign w:val="center"/>
          </w:tcPr>
          <w:p w:rsidR="00494448" w:rsidRPr="006E57E0" w:rsidRDefault="00494448" w:rsidP="00BE5664">
            <w:pPr>
              <w:spacing w:line="276" w:lineRule="auto"/>
              <w:rPr>
                <w:rFonts w:ascii="仿宋_GB2312" w:hAnsi="仿宋_GB2312" w:cs="仿宋_GB2312"/>
                <w:bCs/>
                <w:sz w:val="28"/>
                <w:szCs w:val="28"/>
              </w:rPr>
            </w:pPr>
            <w:r w:rsidRPr="006E57E0">
              <w:rPr>
                <w:rFonts w:ascii="仿宋_GB2312" w:hAnsi="仿宋_GB2312" w:cs="仿宋_GB2312" w:hint="eastAsia"/>
                <w:bCs/>
                <w:sz w:val="28"/>
                <w:szCs w:val="28"/>
              </w:rPr>
              <w:t>3.1</w:t>
            </w:r>
            <w:r w:rsidRPr="006E57E0">
              <w:rPr>
                <w:rFonts w:ascii="仿宋_GB2312" w:hAnsi="仿宋_GB2312" w:cs="仿宋_GB2312"/>
                <w:bCs/>
                <w:sz w:val="28"/>
                <w:szCs w:val="28"/>
              </w:rPr>
              <w:t>能够针对特定需求，确定工程基本单元的设计目标或问题解决方案，并完成设计/开发工作；</w:t>
            </w:r>
          </w:p>
        </w:tc>
        <w:tc>
          <w:tcPr>
            <w:tcW w:w="415" w:type="pct"/>
            <w:shd w:val="clear" w:color="auto" w:fill="auto"/>
            <w:vAlign w:val="center"/>
          </w:tcPr>
          <w:p w:rsidR="00494448" w:rsidRPr="006E57E0" w:rsidRDefault="00494448" w:rsidP="00BE5664">
            <w:pPr>
              <w:jc w:val="center"/>
              <w:rPr>
                <w:rFonts w:ascii="仿宋_GB2312" w:hAnsi="仿宋_GB2312" w:cs="仿宋_GB2312"/>
                <w:bCs/>
                <w:sz w:val="28"/>
                <w:szCs w:val="28"/>
              </w:rPr>
            </w:pPr>
            <w:r w:rsidRPr="006E57E0">
              <w:rPr>
                <w:rFonts w:ascii="仿宋_GB2312" w:hAnsi="仿宋_GB2312" w:cs="仿宋_GB2312"/>
                <w:bCs/>
                <w:sz w:val="28"/>
                <w:szCs w:val="28"/>
              </w:rPr>
              <w:t>√</w:t>
            </w:r>
          </w:p>
        </w:tc>
        <w:tc>
          <w:tcPr>
            <w:tcW w:w="417" w:type="pct"/>
            <w:shd w:val="clear" w:color="auto" w:fill="auto"/>
            <w:vAlign w:val="center"/>
          </w:tcPr>
          <w:p w:rsidR="00494448" w:rsidRPr="006E57E0" w:rsidRDefault="00494448" w:rsidP="00BE5664">
            <w:pPr>
              <w:jc w:val="center"/>
              <w:rPr>
                <w:rFonts w:ascii="仿宋_GB2312" w:hAnsi="仿宋_GB2312" w:cs="仿宋_GB2312"/>
                <w:bCs/>
                <w:sz w:val="28"/>
                <w:szCs w:val="28"/>
              </w:rPr>
            </w:pPr>
            <w:r w:rsidRPr="006E57E0">
              <w:rPr>
                <w:rFonts w:ascii="仿宋_GB2312" w:hAnsi="仿宋_GB2312" w:cs="仿宋_GB2312"/>
                <w:bCs/>
                <w:sz w:val="28"/>
                <w:szCs w:val="28"/>
              </w:rPr>
              <w:t>√</w:t>
            </w:r>
          </w:p>
        </w:tc>
        <w:tc>
          <w:tcPr>
            <w:tcW w:w="444" w:type="pct"/>
            <w:shd w:val="clear" w:color="auto" w:fill="auto"/>
            <w:vAlign w:val="center"/>
          </w:tcPr>
          <w:p w:rsidR="00494448" w:rsidRPr="006E57E0" w:rsidRDefault="00494448" w:rsidP="00BE5664">
            <w:pPr>
              <w:jc w:val="center"/>
              <w:rPr>
                <w:rFonts w:ascii="仿宋_GB2312" w:hAnsi="仿宋_GB2312" w:cs="仿宋_GB2312"/>
                <w:bCs/>
                <w:sz w:val="28"/>
                <w:szCs w:val="28"/>
              </w:rPr>
            </w:pPr>
            <w:r w:rsidRPr="006E57E0">
              <w:rPr>
                <w:rFonts w:ascii="仿宋_GB2312" w:hAnsi="仿宋_GB2312" w:cs="仿宋_GB2312"/>
                <w:bCs/>
                <w:sz w:val="28"/>
                <w:szCs w:val="28"/>
              </w:rPr>
              <w:t>√</w:t>
            </w:r>
          </w:p>
        </w:tc>
      </w:tr>
    </w:tbl>
    <w:p w:rsidR="00494448" w:rsidRPr="006E57E0" w:rsidRDefault="00494448" w:rsidP="00494448">
      <w:pPr>
        <w:spacing w:line="360" w:lineRule="auto"/>
        <w:ind w:firstLine="331"/>
        <w:rPr>
          <w:rFonts w:ascii="仿宋_GB2312" w:hAnsi="仿宋_GB2312" w:cs="仿宋_GB2312"/>
          <w:bCs/>
          <w:sz w:val="28"/>
          <w:szCs w:val="28"/>
        </w:rPr>
      </w:pPr>
    </w:p>
    <w:p w:rsidR="00494448" w:rsidRPr="006E57E0" w:rsidRDefault="00494448" w:rsidP="00494448">
      <w:pPr>
        <w:spacing w:line="360" w:lineRule="auto"/>
        <w:rPr>
          <w:rFonts w:ascii="仿宋_GB2312" w:hAnsi="仿宋_GB2312" w:cs="仿宋_GB2312"/>
          <w:b/>
          <w:bCs/>
          <w:sz w:val="28"/>
          <w:szCs w:val="28"/>
        </w:rPr>
      </w:pPr>
      <w:r w:rsidRPr="006E57E0">
        <w:rPr>
          <w:rFonts w:ascii="仿宋_GB2312" w:hAnsi="仿宋_GB2312" w:cs="仿宋_GB2312" w:hint="eastAsia"/>
          <w:b/>
          <w:bCs/>
          <w:sz w:val="28"/>
          <w:szCs w:val="28"/>
        </w:rPr>
        <w:t>3.本课程的重点、难点</w:t>
      </w:r>
    </w:p>
    <w:p w:rsidR="00494448" w:rsidRPr="006E57E0" w:rsidRDefault="00494448" w:rsidP="005F6318">
      <w:pPr>
        <w:pStyle w:val="ae"/>
        <w:numPr>
          <w:ilvl w:val="0"/>
          <w:numId w:val="15"/>
        </w:numPr>
        <w:spacing w:line="360" w:lineRule="auto"/>
        <w:ind w:firstLineChars="0"/>
        <w:rPr>
          <w:rFonts w:ascii="仿宋_GB2312" w:hAnsi="仿宋_GB2312" w:cs="仿宋_GB2312"/>
          <w:bCs/>
          <w:sz w:val="28"/>
          <w:szCs w:val="28"/>
        </w:rPr>
      </w:pPr>
      <w:r w:rsidRPr="006E57E0">
        <w:rPr>
          <w:rFonts w:ascii="仿宋_GB2312" w:hAnsi="仿宋_GB2312" w:cs="仿宋_GB2312" w:hint="eastAsia"/>
          <w:bCs/>
          <w:sz w:val="28"/>
          <w:szCs w:val="28"/>
        </w:rPr>
        <w:lastRenderedPageBreak/>
        <w:t>理解以概率理论为基础的极限状态设计方法的实质、现行规范采用的设计表达式，各分项系数取值依据和含义。</w:t>
      </w:r>
    </w:p>
    <w:p w:rsidR="00494448" w:rsidRPr="006E57E0" w:rsidRDefault="00494448" w:rsidP="005F6318">
      <w:pPr>
        <w:pStyle w:val="ae"/>
        <w:numPr>
          <w:ilvl w:val="0"/>
          <w:numId w:val="15"/>
        </w:numPr>
        <w:spacing w:line="360" w:lineRule="auto"/>
        <w:ind w:firstLineChars="0"/>
        <w:rPr>
          <w:rFonts w:ascii="仿宋_GB2312" w:hAnsi="仿宋_GB2312" w:cs="仿宋_GB2312"/>
          <w:bCs/>
          <w:sz w:val="28"/>
          <w:szCs w:val="28"/>
        </w:rPr>
      </w:pPr>
      <w:r w:rsidRPr="006E57E0">
        <w:rPr>
          <w:rFonts w:ascii="仿宋_GB2312" w:hAnsi="仿宋_GB2312" w:cs="仿宋_GB2312" w:hint="eastAsia"/>
          <w:bCs/>
          <w:sz w:val="28"/>
          <w:szCs w:val="28"/>
        </w:rPr>
        <w:t>钢材及其性能是课程重点之一。难点在于理解钢材的冲击韧性、防止钢结构脆性断裂的设计要求。</w:t>
      </w:r>
    </w:p>
    <w:p w:rsidR="00494448" w:rsidRPr="006E57E0" w:rsidRDefault="00494448" w:rsidP="005F6318">
      <w:pPr>
        <w:pStyle w:val="ae"/>
        <w:numPr>
          <w:ilvl w:val="0"/>
          <w:numId w:val="15"/>
        </w:numPr>
        <w:spacing w:line="360" w:lineRule="auto"/>
        <w:ind w:firstLineChars="0"/>
        <w:rPr>
          <w:rFonts w:ascii="仿宋_GB2312" w:hAnsi="仿宋_GB2312" w:cs="仿宋_GB2312"/>
          <w:bCs/>
          <w:sz w:val="28"/>
          <w:szCs w:val="28"/>
        </w:rPr>
      </w:pPr>
      <w:r w:rsidRPr="006E57E0">
        <w:rPr>
          <w:rFonts w:ascii="仿宋_GB2312" w:hAnsi="仿宋_GB2312" w:cs="仿宋_GB2312" w:hint="eastAsia"/>
          <w:bCs/>
          <w:sz w:val="28"/>
          <w:szCs w:val="28"/>
        </w:rPr>
        <w:t>钢结构连接是课程重点之一。应将重点放在各种连接受力、可能的破坏方式及在此基础上建立起来的计算方法和构造要求。难点是焊接残余应力的产生及其残余应力、残余变形对结构的影响。</w:t>
      </w:r>
    </w:p>
    <w:p w:rsidR="00494448" w:rsidRPr="006E57E0" w:rsidRDefault="00494448" w:rsidP="005F6318">
      <w:pPr>
        <w:pStyle w:val="ae"/>
        <w:numPr>
          <w:ilvl w:val="0"/>
          <w:numId w:val="15"/>
        </w:numPr>
        <w:spacing w:line="360" w:lineRule="auto"/>
        <w:ind w:firstLineChars="0"/>
        <w:rPr>
          <w:rFonts w:ascii="仿宋_GB2312" w:hAnsi="仿宋_GB2312" w:cs="仿宋_GB2312"/>
          <w:bCs/>
          <w:sz w:val="28"/>
          <w:szCs w:val="28"/>
        </w:rPr>
      </w:pPr>
      <w:r w:rsidRPr="006E57E0">
        <w:rPr>
          <w:rFonts w:ascii="仿宋_GB2312" w:hAnsi="仿宋_GB2312" w:cs="仿宋_GB2312" w:hint="eastAsia"/>
          <w:bCs/>
          <w:sz w:val="28"/>
          <w:szCs w:val="28"/>
        </w:rPr>
        <w:t>轴心受力构件的工作性能、整体稳定、局部稳定是重点。各种缺陷是如何影响临界力、影响程度，从而掌握多柱子曲线的理论依据。正确设计轴心受力构件。难点是整体稳定、局部稳定的概念建立，设计中如何计及扭转效应对临界力的影响。</w:t>
      </w:r>
    </w:p>
    <w:p w:rsidR="00494448" w:rsidRPr="006E57E0" w:rsidRDefault="00494448" w:rsidP="005F6318">
      <w:pPr>
        <w:pStyle w:val="ae"/>
        <w:numPr>
          <w:ilvl w:val="0"/>
          <w:numId w:val="15"/>
        </w:numPr>
        <w:spacing w:line="360" w:lineRule="auto"/>
        <w:ind w:firstLineChars="0"/>
        <w:rPr>
          <w:rFonts w:ascii="仿宋_GB2312" w:hAnsi="仿宋_GB2312" w:cs="仿宋_GB2312"/>
          <w:bCs/>
          <w:sz w:val="28"/>
          <w:szCs w:val="28"/>
        </w:rPr>
      </w:pPr>
      <w:r w:rsidRPr="006E57E0">
        <w:rPr>
          <w:rFonts w:ascii="仿宋_GB2312" w:hAnsi="仿宋_GB2312" w:cs="仿宋_GB2312" w:hint="eastAsia"/>
          <w:bCs/>
          <w:sz w:val="28"/>
          <w:szCs w:val="28"/>
        </w:rPr>
        <w:t>受弯构件整体稳定、局部稳定是重点。影响临界弯矩的主要因素，设计中梁腹板局部稳定的保证方法及措施。难点是梁的稳定和板件局部稳定计算式的建立。</w:t>
      </w:r>
    </w:p>
    <w:p w:rsidR="00494448" w:rsidRPr="006E57E0" w:rsidRDefault="00494448" w:rsidP="006E57E0">
      <w:pPr>
        <w:pStyle w:val="ae"/>
        <w:numPr>
          <w:ilvl w:val="0"/>
          <w:numId w:val="15"/>
        </w:numPr>
        <w:spacing w:line="360" w:lineRule="auto"/>
        <w:ind w:firstLineChars="0"/>
        <w:rPr>
          <w:rFonts w:ascii="仿宋_GB2312" w:hAnsi="仿宋_GB2312" w:cs="仿宋_GB2312"/>
          <w:bCs/>
          <w:sz w:val="28"/>
          <w:szCs w:val="28"/>
        </w:rPr>
      </w:pPr>
      <w:r w:rsidRPr="006E57E0">
        <w:rPr>
          <w:rFonts w:ascii="仿宋_GB2312" w:hAnsi="仿宋_GB2312" w:cs="仿宋_GB2312" w:hint="eastAsia"/>
          <w:bCs/>
          <w:sz w:val="28"/>
          <w:szCs w:val="28"/>
        </w:rPr>
        <w:t>压弯构件的重点在于建立弯矩作用平面内、平面外稳定的物理概念及理解整体稳定计算公式。难点在于正确理解等效弯矩系数和构件计算长度的物理意义。</w:t>
      </w:r>
    </w:p>
    <w:p w:rsidR="00494448" w:rsidRPr="006E57E0" w:rsidRDefault="00494448" w:rsidP="00494448">
      <w:pPr>
        <w:spacing w:line="360" w:lineRule="auto"/>
        <w:rPr>
          <w:rFonts w:ascii="仿宋_GB2312" w:hAnsi="仿宋_GB2312" w:cs="仿宋_GB2312"/>
          <w:b/>
          <w:bCs/>
          <w:sz w:val="28"/>
          <w:szCs w:val="28"/>
        </w:rPr>
      </w:pPr>
      <w:r w:rsidRPr="006E57E0">
        <w:rPr>
          <w:rFonts w:ascii="仿宋_GB2312" w:hAnsi="仿宋_GB2312" w:cs="仿宋_GB2312" w:hint="eastAsia"/>
          <w:b/>
          <w:bCs/>
          <w:sz w:val="28"/>
          <w:szCs w:val="28"/>
        </w:rPr>
        <w:t>4.课程思政切入</w:t>
      </w:r>
    </w:p>
    <w:p w:rsidR="00494448" w:rsidRPr="006E57E0" w:rsidRDefault="00494448" w:rsidP="00494448">
      <w:pPr>
        <w:spacing w:line="276" w:lineRule="auto"/>
        <w:rPr>
          <w:rFonts w:ascii="仿宋_GB2312" w:hAnsi="仿宋_GB2312" w:cs="仿宋_GB2312"/>
          <w:bCs/>
          <w:sz w:val="28"/>
          <w:szCs w:val="28"/>
        </w:rPr>
      </w:pPr>
      <w:r w:rsidRPr="006E57E0">
        <w:rPr>
          <w:rFonts w:ascii="仿宋_GB2312" w:hAnsi="仿宋_GB2312" w:cs="仿宋_GB2312" w:hint="eastAsia"/>
          <w:bCs/>
          <w:sz w:val="28"/>
          <w:szCs w:val="28"/>
        </w:rPr>
        <w:t xml:space="preserve">    通过专业课程的学习，</w:t>
      </w:r>
      <w:r w:rsidRPr="006E57E0">
        <w:rPr>
          <w:rFonts w:ascii="仿宋_GB2312" w:hAnsi="仿宋_GB2312" w:cs="仿宋_GB2312"/>
          <w:bCs/>
          <w:sz w:val="28"/>
          <w:szCs w:val="28"/>
        </w:rPr>
        <w:t>使学生热爱专业、喜欢课程：</w:t>
      </w:r>
      <w:r w:rsidRPr="006E57E0">
        <w:rPr>
          <w:rFonts w:ascii="仿宋_GB2312" w:hAnsi="仿宋_GB2312" w:cs="仿宋_GB2312" w:hint="eastAsia"/>
          <w:bCs/>
          <w:sz w:val="28"/>
          <w:szCs w:val="28"/>
        </w:rPr>
        <w:t>了解</w:t>
      </w:r>
      <w:r w:rsidRPr="006E57E0">
        <w:rPr>
          <w:rFonts w:ascii="仿宋_GB2312" w:hAnsi="仿宋_GB2312" w:cs="仿宋_GB2312"/>
          <w:bCs/>
          <w:sz w:val="28"/>
          <w:szCs w:val="28"/>
        </w:rPr>
        <w:t>专业特点、</w:t>
      </w:r>
      <w:r w:rsidRPr="006E57E0">
        <w:rPr>
          <w:rFonts w:ascii="仿宋_GB2312" w:hAnsi="仿宋_GB2312" w:cs="仿宋_GB2312" w:hint="eastAsia"/>
          <w:bCs/>
          <w:sz w:val="28"/>
          <w:szCs w:val="28"/>
        </w:rPr>
        <w:t>及</w:t>
      </w:r>
      <w:r w:rsidRPr="006E57E0">
        <w:rPr>
          <w:rFonts w:ascii="仿宋_GB2312" w:hAnsi="仿宋_GB2312" w:cs="仿宋_GB2312"/>
          <w:bCs/>
          <w:sz w:val="28"/>
          <w:szCs w:val="28"/>
        </w:rPr>
        <w:t>专业情况，热爱本专业。只有了解专业、热爱专业、对专业产生兴趣，学习才有动力、才能学好专业知识。</w:t>
      </w:r>
    </w:p>
    <w:p w:rsidR="00494448" w:rsidRPr="006E57E0" w:rsidRDefault="00494448" w:rsidP="00494448">
      <w:pPr>
        <w:spacing w:line="360" w:lineRule="auto"/>
        <w:rPr>
          <w:rFonts w:ascii="仿宋_GB2312" w:hAnsi="仿宋_GB2312" w:cs="仿宋_GB2312"/>
          <w:bCs/>
          <w:sz w:val="28"/>
          <w:szCs w:val="28"/>
        </w:rPr>
      </w:pPr>
      <w:r w:rsidRPr="006E57E0">
        <w:rPr>
          <w:rFonts w:ascii="仿宋_GB2312" w:hAnsi="仿宋_GB2312" w:cs="仿宋_GB2312" w:hint="eastAsia"/>
          <w:bCs/>
          <w:sz w:val="28"/>
          <w:szCs w:val="28"/>
        </w:rPr>
        <w:t xml:space="preserve">    </w:t>
      </w:r>
      <w:r w:rsidRPr="006E57E0">
        <w:rPr>
          <w:rFonts w:ascii="仿宋_GB2312" w:hAnsi="仿宋_GB2312" w:cs="仿宋_GB2312"/>
          <w:bCs/>
          <w:sz w:val="28"/>
          <w:szCs w:val="28"/>
        </w:rPr>
        <w:t>励志教育：列举本专业</w:t>
      </w:r>
      <w:r w:rsidRPr="006E57E0">
        <w:rPr>
          <w:rFonts w:ascii="仿宋_GB2312" w:hAnsi="仿宋_GB2312" w:cs="仿宋_GB2312" w:hint="eastAsia"/>
          <w:bCs/>
          <w:sz w:val="28"/>
          <w:szCs w:val="28"/>
        </w:rPr>
        <w:t>内知名专家、学者，了解</w:t>
      </w:r>
      <w:r w:rsidRPr="006E57E0">
        <w:rPr>
          <w:rFonts w:ascii="仿宋_GB2312" w:hAnsi="仿宋_GB2312" w:cs="仿宋_GB2312"/>
          <w:bCs/>
          <w:sz w:val="28"/>
          <w:szCs w:val="28"/>
        </w:rPr>
        <w:t>他（她）们认真</w:t>
      </w:r>
      <w:r w:rsidRPr="006E57E0">
        <w:rPr>
          <w:rFonts w:ascii="仿宋_GB2312" w:hAnsi="仿宋_GB2312" w:cs="仿宋_GB2312"/>
          <w:bCs/>
          <w:sz w:val="28"/>
          <w:szCs w:val="28"/>
        </w:rPr>
        <w:lastRenderedPageBreak/>
        <w:t>学习本专业的知识和努力工作以后取得的成绩及</w:t>
      </w:r>
      <w:r w:rsidRPr="006E57E0">
        <w:rPr>
          <w:rFonts w:ascii="仿宋_GB2312" w:hAnsi="仿宋_GB2312" w:cs="仿宋_GB2312" w:hint="eastAsia"/>
          <w:bCs/>
          <w:sz w:val="28"/>
          <w:szCs w:val="28"/>
        </w:rPr>
        <w:t>对我国钢结构工程应用及发展做出的贡献</w:t>
      </w:r>
      <w:r w:rsidRPr="006E57E0">
        <w:rPr>
          <w:rFonts w:ascii="仿宋_GB2312" w:hAnsi="仿宋_GB2312" w:cs="仿宋_GB2312"/>
          <w:bCs/>
          <w:sz w:val="28"/>
          <w:szCs w:val="28"/>
        </w:rPr>
        <w:t>，使学生</w:t>
      </w:r>
      <w:r w:rsidRPr="006E57E0">
        <w:rPr>
          <w:rFonts w:ascii="仿宋_GB2312" w:hAnsi="仿宋_GB2312" w:cs="仿宋_GB2312" w:hint="eastAsia"/>
          <w:bCs/>
          <w:sz w:val="28"/>
          <w:szCs w:val="28"/>
        </w:rPr>
        <w:t>树立正确的学习目标和为祖国建设事业做贡献的远大理想</w:t>
      </w:r>
      <w:r w:rsidRPr="006E57E0">
        <w:rPr>
          <w:rFonts w:ascii="仿宋_GB2312" w:hAnsi="仿宋_GB2312" w:cs="仿宋_GB2312"/>
          <w:bCs/>
          <w:sz w:val="28"/>
          <w:szCs w:val="28"/>
        </w:rPr>
        <w:t>。</w:t>
      </w:r>
      <w:r w:rsidRPr="006E57E0">
        <w:rPr>
          <w:rFonts w:ascii="仿宋_GB2312" w:hAnsi="仿宋_GB2312" w:cs="仿宋_GB2312" w:hint="eastAsia"/>
          <w:bCs/>
          <w:sz w:val="28"/>
          <w:szCs w:val="28"/>
        </w:rPr>
        <w:t xml:space="preserve"> </w:t>
      </w:r>
    </w:p>
    <w:p w:rsidR="00494448" w:rsidRPr="006E57E0" w:rsidRDefault="00494448" w:rsidP="00494448">
      <w:pPr>
        <w:spacing w:line="360" w:lineRule="auto"/>
        <w:rPr>
          <w:rFonts w:ascii="仿宋_GB2312" w:hAnsi="仿宋_GB2312" w:cs="仿宋_GB2312"/>
          <w:bCs/>
          <w:sz w:val="28"/>
          <w:szCs w:val="28"/>
        </w:rPr>
      </w:pPr>
      <w:r w:rsidRPr="006E57E0">
        <w:rPr>
          <w:rFonts w:ascii="仿宋_GB2312" w:hAnsi="仿宋_GB2312" w:cs="仿宋_GB2312" w:hint="eastAsia"/>
          <w:bCs/>
          <w:sz w:val="28"/>
          <w:szCs w:val="28"/>
        </w:rPr>
        <w:t xml:space="preserve">    培养学生</w:t>
      </w:r>
      <w:r w:rsidRPr="006E57E0">
        <w:rPr>
          <w:rFonts w:ascii="仿宋_GB2312" w:hAnsi="仿宋_GB2312" w:cs="仿宋_GB2312"/>
          <w:bCs/>
          <w:sz w:val="28"/>
          <w:szCs w:val="28"/>
        </w:rPr>
        <w:t>敬业爱岗、认真学习和</w:t>
      </w:r>
      <w:r w:rsidRPr="006E57E0">
        <w:rPr>
          <w:rFonts w:ascii="仿宋_GB2312" w:hAnsi="仿宋_GB2312" w:cs="仿宋_GB2312" w:hint="eastAsia"/>
          <w:bCs/>
          <w:sz w:val="28"/>
          <w:szCs w:val="28"/>
        </w:rPr>
        <w:t>规范</w:t>
      </w:r>
      <w:r w:rsidRPr="006E57E0">
        <w:rPr>
          <w:rFonts w:ascii="仿宋_GB2312" w:hAnsi="仿宋_GB2312" w:cs="仿宋_GB2312"/>
          <w:bCs/>
          <w:sz w:val="28"/>
          <w:szCs w:val="28"/>
        </w:rPr>
        <w:t>工作</w:t>
      </w:r>
      <w:r w:rsidRPr="006E57E0">
        <w:rPr>
          <w:rFonts w:ascii="仿宋_GB2312" w:hAnsi="仿宋_GB2312" w:cs="仿宋_GB2312" w:hint="eastAsia"/>
          <w:bCs/>
          <w:sz w:val="28"/>
          <w:szCs w:val="28"/>
        </w:rPr>
        <w:t>的态度，以及</w:t>
      </w:r>
      <w:r w:rsidRPr="006E57E0">
        <w:rPr>
          <w:rFonts w:ascii="仿宋_GB2312" w:hAnsi="仿宋_GB2312" w:cs="仿宋_GB2312"/>
          <w:bCs/>
          <w:sz w:val="28"/>
          <w:szCs w:val="28"/>
        </w:rPr>
        <w:t>良好的学习、生活和工作习惯</w:t>
      </w:r>
      <w:r w:rsidRPr="006E57E0">
        <w:rPr>
          <w:rFonts w:ascii="仿宋_GB2312" w:hAnsi="仿宋_GB2312" w:cs="仿宋_GB2312" w:hint="eastAsia"/>
          <w:bCs/>
          <w:sz w:val="28"/>
          <w:szCs w:val="28"/>
        </w:rPr>
        <w:t>。在</w:t>
      </w:r>
      <w:r w:rsidRPr="006E57E0">
        <w:rPr>
          <w:rFonts w:ascii="仿宋_GB2312" w:hAnsi="仿宋_GB2312" w:cs="仿宋_GB2312"/>
          <w:bCs/>
          <w:sz w:val="28"/>
          <w:szCs w:val="28"/>
        </w:rPr>
        <w:t>学生走上工作岗位后，</w:t>
      </w:r>
      <w:r w:rsidRPr="006E57E0">
        <w:rPr>
          <w:rFonts w:ascii="仿宋_GB2312" w:hAnsi="仿宋_GB2312" w:cs="仿宋_GB2312" w:hint="eastAsia"/>
          <w:bCs/>
          <w:sz w:val="28"/>
          <w:szCs w:val="28"/>
        </w:rPr>
        <w:t>能</w:t>
      </w:r>
      <w:r w:rsidRPr="006E57E0">
        <w:rPr>
          <w:rFonts w:ascii="仿宋_GB2312" w:hAnsi="仿宋_GB2312" w:cs="仿宋_GB2312"/>
          <w:bCs/>
          <w:sz w:val="28"/>
          <w:szCs w:val="28"/>
        </w:rPr>
        <w:t>继续勤奋学习、认真</w:t>
      </w:r>
      <w:r w:rsidRPr="006E57E0">
        <w:rPr>
          <w:rFonts w:ascii="仿宋_GB2312" w:hAnsi="仿宋_GB2312" w:cs="仿宋_GB2312" w:hint="eastAsia"/>
          <w:bCs/>
          <w:sz w:val="28"/>
          <w:szCs w:val="28"/>
        </w:rPr>
        <w:t>规范</w:t>
      </w:r>
      <w:r w:rsidRPr="006E57E0">
        <w:rPr>
          <w:rFonts w:ascii="仿宋_GB2312" w:hAnsi="仿宋_GB2312" w:cs="仿宋_GB2312"/>
          <w:bCs/>
          <w:sz w:val="28"/>
          <w:szCs w:val="28"/>
        </w:rPr>
        <w:t>做事，兢兢业业工作，创造美好的明天。</w:t>
      </w:r>
      <w:r w:rsidRPr="006E57E0">
        <w:rPr>
          <w:rFonts w:ascii="仿宋_GB2312" w:hAnsi="仿宋_GB2312" w:cs="仿宋_GB2312" w:hint="eastAsia"/>
          <w:bCs/>
          <w:sz w:val="28"/>
          <w:szCs w:val="28"/>
        </w:rPr>
        <w:t xml:space="preserve">   </w:t>
      </w:r>
    </w:p>
    <w:p w:rsidR="00494448" w:rsidRPr="006E57E0" w:rsidRDefault="00494448" w:rsidP="00494448">
      <w:pPr>
        <w:spacing w:line="360" w:lineRule="auto"/>
        <w:rPr>
          <w:rFonts w:ascii="仿宋_GB2312" w:hAnsi="仿宋_GB2312" w:cs="仿宋_GB2312"/>
          <w:bCs/>
          <w:sz w:val="28"/>
          <w:szCs w:val="28"/>
        </w:rPr>
      </w:pPr>
      <w:r w:rsidRPr="006E57E0">
        <w:rPr>
          <w:rFonts w:ascii="仿宋_GB2312" w:hAnsi="仿宋_GB2312" w:cs="仿宋_GB2312" w:hint="eastAsia"/>
          <w:bCs/>
          <w:sz w:val="28"/>
          <w:szCs w:val="28"/>
        </w:rPr>
        <w:t xml:space="preserve">    </w:t>
      </w:r>
      <w:r w:rsidRPr="006E57E0">
        <w:rPr>
          <w:rFonts w:ascii="仿宋_GB2312" w:hAnsi="仿宋_GB2312" w:cs="仿宋_GB2312"/>
          <w:bCs/>
          <w:sz w:val="28"/>
          <w:szCs w:val="28"/>
        </w:rPr>
        <w:t>爱国主义教育：通过钢结构有关的工程案例和国内大型工程项目的建设情况，</w:t>
      </w:r>
      <w:r w:rsidRPr="006E57E0">
        <w:rPr>
          <w:rFonts w:ascii="仿宋_GB2312" w:hAnsi="仿宋_GB2312" w:cs="仿宋_GB2312" w:hint="eastAsia"/>
          <w:bCs/>
          <w:sz w:val="28"/>
          <w:szCs w:val="28"/>
        </w:rPr>
        <w:t>了解我国</w:t>
      </w:r>
      <w:r w:rsidRPr="006E57E0">
        <w:rPr>
          <w:rFonts w:ascii="仿宋_GB2312" w:hAnsi="仿宋_GB2312" w:cs="仿宋_GB2312"/>
          <w:bCs/>
          <w:sz w:val="28"/>
          <w:szCs w:val="28"/>
        </w:rPr>
        <w:t>钢结构技术的发展</w:t>
      </w:r>
      <w:r w:rsidRPr="006E57E0">
        <w:rPr>
          <w:rFonts w:ascii="仿宋_GB2312" w:hAnsi="仿宋_GB2312" w:cs="仿宋_GB2312" w:hint="eastAsia"/>
          <w:bCs/>
          <w:sz w:val="28"/>
          <w:szCs w:val="28"/>
        </w:rPr>
        <w:t>。以</w:t>
      </w:r>
      <w:r w:rsidRPr="006E57E0">
        <w:rPr>
          <w:rFonts w:ascii="仿宋_GB2312" w:hAnsi="仿宋_GB2312" w:cs="仿宋_GB2312"/>
          <w:bCs/>
          <w:sz w:val="28"/>
          <w:szCs w:val="28"/>
        </w:rPr>
        <w:t>科学技术的发展和取得的成就</w:t>
      </w:r>
      <w:r w:rsidRPr="006E57E0">
        <w:rPr>
          <w:rFonts w:ascii="仿宋_GB2312" w:hAnsi="仿宋_GB2312" w:cs="仿宋_GB2312" w:hint="eastAsia"/>
          <w:bCs/>
          <w:sz w:val="28"/>
          <w:szCs w:val="28"/>
        </w:rPr>
        <w:t>，</w:t>
      </w:r>
      <w:r w:rsidRPr="006E57E0">
        <w:rPr>
          <w:rFonts w:ascii="仿宋_GB2312" w:hAnsi="仿宋_GB2312" w:cs="仿宋_GB2312"/>
          <w:bCs/>
          <w:sz w:val="28"/>
          <w:szCs w:val="28"/>
        </w:rPr>
        <w:t>说明我国由贫穷落后的国家变成为较为富强国家的过程</w:t>
      </w:r>
      <w:r w:rsidRPr="006E57E0">
        <w:rPr>
          <w:rFonts w:ascii="仿宋_GB2312" w:hAnsi="仿宋_GB2312" w:cs="仿宋_GB2312" w:hint="eastAsia"/>
          <w:bCs/>
          <w:sz w:val="28"/>
          <w:szCs w:val="28"/>
        </w:rPr>
        <w:t>，培养学生的爱国主义情怀。</w:t>
      </w:r>
    </w:p>
    <w:p w:rsidR="00494448" w:rsidRPr="006E57E0" w:rsidRDefault="00494448" w:rsidP="006E57E0">
      <w:pPr>
        <w:spacing w:beforeLines="50" w:before="156" w:afterLines="50" w:after="156" w:line="560" w:lineRule="exact"/>
        <w:rPr>
          <w:rFonts w:ascii="黑体" w:eastAsia="黑体" w:hAnsi="黑体"/>
          <w:b/>
          <w:sz w:val="28"/>
          <w:szCs w:val="28"/>
        </w:rPr>
      </w:pPr>
      <w:r w:rsidRPr="006E57E0">
        <w:rPr>
          <w:rFonts w:ascii="黑体" w:eastAsia="黑体" w:hAnsi="黑体" w:hint="eastAsia"/>
          <w:b/>
          <w:sz w:val="28"/>
          <w:szCs w:val="28"/>
        </w:rPr>
        <w:t>四、教学内容安排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57"/>
        <w:gridCol w:w="457"/>
        <w:gridCol w:w="1854"/>
        <w:gridCol w:w="2334"/>
        <w:gridCol w:w="2737"/>
      </w:tblGrid>
      <w:tr w:rsidR="00494448" w:rsidTr="00BE5664">
        <w:trPr>
          <w:cantSplit/>
          <w:trHeight w:val="661"/>
        </w:trPr>
        <w:tc>
          <w:tcPr>
            <w:tcW w:w="251" w:type="pct"/>
            <w:vAlign w:val="center"/>
          </w:tcPr>
          <w:p w:rsidR="00494448" w:rsidRPr="006E57E0" w:rsidRDefault="00494448" w:rsidP="00BE5664">
            <w:pPr>
              <w:jc w:val="center"/>
              <w:rPr>
                <w:rFonts w:ascii="仿宋_GB2312" w:hAnsi="仿宋_GB2312" w:cs="仿宋_GB2312"/>
                <w:b/>
                <w:bCs/>
                <w:sz w:val="24"/>
                <w:szCs w:val="24"/>
              </w:rPr>
            </w:pPr>
            <w:r w:rsidRPr="006E57E0">
              <w:rPr>
                <w:rFonts w:ascii="仿宋_GB2312" w:hAnsi="仿宋_GB2312" w:cs="仿宋_GB2312" w:hint="eastAsia"/>
                <w:b/>
                <w:bCs/>
                <w:sz w:val="24"/>
                <w:szCs w:val="24"/>
              </w:rPr>
              <w:t>序号</w:t>
            </w:r>
          </w:p>
        </w:tc>
        <w:tc>
          <w:tcPr>
            <w:tcW w:w="250" w:type="pct"/>
            <w:vAlign w:val="center"/>
          </w:tcPr>
          <w:p w:rsidR="00494448" w:rsidRPr="006E57E0" w:rsidRDefault="00494448" w:rsidP="00BE5664">
            <w:pPr>
              <w:jc w:val="center"/>
              <w:rPr>
                <w:rFonts w:ascii="仿宋_GB2312" w:hAnsi="仿宋_GB2312" w:cs="仿宋_GB2312"/>
                <w:b/>
                <w:bCs/>
                <w:sz w:val="24"/>
                <w:szCs w:val="24"/>
              </w:rPr>
            </w:pPr>
            <w:r w:rsidRPr="006E57E0">
              <w:rPr>
                <w:rFonts w:ascii="仿宋_GB2312" w:hAnsi="仿宋_GB2312" w:cs="仿宋_GB2312" w:hint="eastAsia"/>
                <w:b/>
                <w:bCs/>
                <w:sz w:val="24"/>
                <w:szCs w:val="24"/>
              </w:rPr>
              <w:t>章  节</w:t>
            </w:r>
          </w:p>
        </w:tc>
        <w:tc>
          <w:tcPr>
            <w:tcW w:w="250" w:type="pct"/>
            <w:vAlign w:val="center"/>
          </w:tcPr>
          <w:p w:rsidR="00494448" w:rsidRPr="006E57E0" w:rsidRDefault="00494448" w:rsidP="00BE5664">
            <w:pPr>
              <w:jc w:val="center"/>
              <w:rPr>
                <w:rFonts w:ascii="仿宋_GB2312" w:hAnsi="仿宋_GB2312" w:cs="仿宋_GB2312"/>
                <w:b/>
                <w:bCs/>
                <w:sz w:val="24"/>
                <w:szCs w:val="24"/>
              </w:rPr>
            </w:pPr>
            <w:r w:rsidRPr="006E57E0">
              <w:rPr>
                <w:rFonts w:ascii="仿宋_GB2312" w:hAnsi="仿宋_GB2312" w:cs="仿宋_GB2312" w:hint="eastAsia"/>
                <w:b/>
                <w:bCs/>
                <w:sz w:val="24"/>
                <w:szCs w:val="24"/>
              </w:rPr>
              <w:t>参考学时</w:t>
            </w:r>
          </w:p>
        </w:tc>
        <w:tc>
          <w:tcPr>
            <w:tcW w:w="1143" w:type="pct"/>
            <w:vAlign w:val="center"/>
          </w:tcPr>
          <w:p w:rsidR="00494448" w:rsidRPr="006E57E0" w:rsidRDefault="00494448" w:rsidP="00BE5664">
            <w:pPr>
              <w:jc w:val="center"/>
              <w:rPr>
                <w:rFonts w:ascii="仿宋_GB2312" w:hAnsi="仿宋_GB2312" w:cs="仿宋_GB2312"/>
                <w:b/>
                <w:bCs/>
                <w:sz w:val="24"/>
                <w:szCs w:val="24"/>
              </w:rPr>
            </w:pPr>
            <w:r w:rsidRPr="006E57E0">
              <w:rPr>
                <w:rFonts w:ascii="仿宋_GB2312" w:hAnsi="仿宋_GB2312" w:cs="仿宋_GB2312" w:hint="eastAsia"/>
                <w:b/>
                <w:bCs/>
                <w:sz w:val="24"/>
                <w:szCs w:val="24"/>
              </w:rPr>
              <w:t>教学内容</w:t>
            </w:r>
          </w:p>
        </w:tc>
        <w:tc>
          <w:tcPr>
            <w:tcW w:w="1432" w:type="pct"/>
            <w:vAlign w:val="center"/>
          </w:tcPr>
          <w:p w:rsidR="00494448" w:rsidRPr="006E57E0" w:rsidRDefault="00494448" w:rsidP="00BE5664">
            <w:pPr>
              <w:jc w:val="center"/>
              <w:rPr>
                <w:rFonts w:ascii="仿宋_GB2312" w:hAnsi="仿宋_GB2312" w:cs="仿宋_GB2312"/>
                <w:b/>
                <w:bCs/>
                <w:sz w:val="24"/>
                <w:szCs w:val="24"/>
              </w:rPr>
            </w:pPr>
            <w:r w:rsidRPr="006E57E0">
              <w:rPr>
                <w:rFonts w:ascii="仿宋_GB2312" w:hAnsi="仿宋_GB2312" w:cs="仿宋_GB2312" w:hint="eastAsia"/>
                <w:b/>
                <w:bCs/>
                <w:sz w:val="24"/>
                <w:szCs w:val="24"/>
              </w:rPr>
              <w:t>基本要求</w:t>
            </w:r>
          </w:p>
        </w:tc>
        <w:tc>
          <w:tcPr>
            <w:tcW w:w="1675" w:type="pct"/>
            <w:vAlign w:val="center"/>
          </w:tcPr>
          <w:p w:rsidR="00494448" w:rsidRPr="006E57E0" w:rsidRDefault="00494448" w:rsidP="00BE5664">
            <w:pPr>
              <w:jc w:val="center"/>
              <w:rPr>
                <w:rFonts w:ascii="仿宋_GB2312" w:hAnsi="仿宋_GB2312" w:cs="仿宋_GB2312"/>
                <w:b/>
                <w:bCs/>
                <w:sz w:val="24"/>
                <w:szCs w:val="24"/>
              </w:rPr>
            </w:pPr>
            <w:r w:rsidRPr="006E57E0">
              <w:rPr>
                <w:rFonts w:ascii="仿宋_GB2312" w:hAnsi="仿宋_GB2312" w:cs="仿宋_GB2312" w:hint="eastAsia"/>
                <w:b/>
                <w:bCs/>
                <w:sz w:val="24"/>
                <w:szCs w:val="24"/>
              </w:rPr>
              <w:t>对毕业要求的支撑</w:t>
            </w:r>
          </w:p>
        </w:tc>
      </w:tr>
      <w:tr w:rsidR="00494448" w:rsidTr="00BE5664">
        <w:trPr>
          <w:trHeight w:val="1237"/>
        </w:trPr>
        <w:tc>
          <w:tcPr>
            <w:tcW w:w="251" w:type="pct"/>
            <w:vAlign w:val="center"/>
          </w:tcPr>
          <w:p w:rsidR="00494448" w:rsidRPr="006E57E0" w:rsidRDefault="00494448" w:rsidP="00BE5664">
            <w:pPr>
              <w:ind w:firstLineChars="157" w:firstLine="377"/>
              <w:rPr>
                <w:rFonts w:ascii="仿宋_GB2312" w:hAnsi="仿宋_GB2312" w:cs="仿宋_GB2312"/>
                <w:bCs/>
                <w:sz w:val="24"/>
                <w:szCs w:val="24"/>
              </w:rPr>
            </w:pPr>
          </w:p>
        </w:tc>
        <w:tc>
          <w:tcPr>
            <w:tcW w:w="250" w:type="pct"/>
            <w:vAlign w:val="center"/>
          </w:tcPr>
          <w:p w:rsidR="00494448" w:rsidRPr="006E57E0" w:rsidRDefault="00494448" w:rsidP="00BE5664">
            <w:pPr>
              <w:jc w:val="center"/>
              <w:rPr>
                <w:rFonts w:ascii="仿宋_GB2312" w:hAnsi="仿宋_GB2312" w:cs="仿宋_GB2312"/>
                <w:bCs/>
                <w:sz w:val="24"/>
                <w:szCs w:val="24"/>
              </w:rPr>
            </w:pPr>
          </w:p>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绪</w:t>
            </w:r>
          </w:p>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论</w:t>
            </w:r>
          </w:p>
        </w:tc>
        <w:tc>
          <w:tcPr>
            <w:tcW w:w="250" w:type="pct"/>
            <w:vAlign w:val="center"/>
          </w:tcPr>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2</w:t>
            </w:r>
          </w:p>
        </w:tc>
        <w:tc>
          <w:tcPr>
            <w:tcW w:w="1143" w:type="pct"/>
            <w:vAlign w:val="center"/>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hint="eastAsia"/>
                <w:bCs/>
                <w:sz w:val="24"/>
                <w:szCs w:val="24"/>
              </w:rPr>
              <w:t>钢结构的特点和应用范围，钢结构的计算原理，钢结构的发展。</w:t>
            </w:r>
          </w:p>
        </w:tc>
        <w:tc>
          <w:tcPr>
            <w:tcW w:w="1432" w:type="pct"/>
            <w:vAlign w:val="center"/>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hint="eastAsia"/>
                <w:bCs/>
                <w:sz w:val="24"/>
                <w:szCs w:val="24"/>
              </w:rPr>
              <w:t>了解钢结构的特点、应用，常见结构体系的形式和组成，掌握现行钢结构的设计方法。</w:t>
            </w:r>
          </w:p>
        </w:tc>
        <w:tc>
          <w:tcPr>
            <w:tcW w:w="1675" w:type="pct"/>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bCs/>
                <w:sz w:val="24"/>
                <w:szCs w:val="24"/>
              </w:rPr>
              <w:t>1</w:t>
            </w:r>
            <w:r w:rsidRPr="006E57E0">
              <w:rPr>
                <w:rFonts w:ascii="仿宋_GB2312" w:hAnsi="仿宋_GB2312" w:cs="仿宋_GB2312" w:hint="eastAsia"/>
                <w:bCs/>
                <w:sz w:val="24"/>
                <w:szCs w:val="24"/>
              </w:rPr>
              <w:t>.</w:t>
            </w:r>
            <w:r w:rsidRPr="006E57E0">
              <w:rPr>
                <w:rFonts w:ascii="仿宋_GB2312" w:hAnsi="仿宋_GB2312" w:cs="仿宋_GB2312"/>
                <w:bCs/>
                <w:sz w:val="24"/>
                <w:szCs w:val="24"/>
              </w:rPr>
              <w:t>3 掌握相关工程基础知识，具备应用相关知识推演、分析土木工程专业复杂工程问题的专业基础能力；</w:t>
            </w:r>
          </w:p>
        </w:tc>
      </w:tr>
      <w:tr w:rsidR="00494448" w:rsidTr="00BE5664">
        <w:trPr>
          <w:trHeight w:val="1113"/>
        </w:trPr>
        <w:tc>
          <w:tcPr>
            <w:tcW w:w="251" w:type="pct"/>
            <w:vAlign w:val="center"/>
          </w:tcPr>
          <w:p w:rsidR="00494448" w:rsidRPr="006E57E0" w:rsidRDefault="00494448" w:rsidP="00BE5664">
            <w:pPr>
              <w:ind w:firstLineChars="157" w:firstLine="377"/>
              <w:rPr>
                <w:rFonts w:ascii="仿宋_GB2312" w:hAnsi="仿宋_GB2312" w:cs="仿宋_GB2312"/>
                <w:bCs/>
                <w:sz w:val="24"/>
                <w:szCs w:val="24"/>
              </w:rPr>
            </w:pPr>
          </w:p>
        </w:tc>
        <w:tc>
          <w:tcPr>
            <w:tcW w:w="250" w:type="pct"/>
            <w:vAlign w:val="center"/>
          </w:tcPr>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钢结构的材料</w:t>
            </w:r>
          </w:p>
        </w:tc>
        <w:tc>
          <w:tcPr>
            <w:tcW w:w="250" w:type="pct"/>
            <w:vAlign w:val="center"/>
          </w:tcPr>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4</w:t>
            </w:r>
          </w:p>
        </w:tc>
        <w:tc>
          <w:tcPr>
            <w:tcW w:w="1143" w:type="pct"/>
            <w:vAlign w:val="center"/>
          </w:tcPr>
          <w:p w:rsidR="00494448" w:rsidRPr="006E57E0" w:rsidRDefault="00494448" w:rsidP="00BE5664">
            <w:pPr>
              <w:spacing w:line="276" w:lineRule="auto"/>
              <w:ind w:firstLineChars="157" w:firstLine="377"/>
              <w:rPr>
                <w:rFonts w:ascii="仿宋_GB2312" w:hAnsi="仿宋_GB2312" w:cs="仿宋_GB2312"/>
                <w:bCs/>
                <w:sz w:val="24"/>
                <w:szCs w:val="24"/>
              </w:rPr>
            </w:pPr>
            <w:r w:rsidRPr="006E57E0">
              <w:rPr>
                <w:rFonts w:ascii="仿宋_GB2312" w:hAnsi="仿宋_GB2312" w:cs="仿宋_GB2312" w:hint="eastAsia"/>
                <w:bCs/>
                <w:sz w:val="24"/>
                <w:szCs w:val="24"/>
              </w:rPr>
              <w:t>钢结构对材料的要求及钢材的破坏形式，钢材静力工作性能，钢材的动力工作性能，影响钢材性能的因素，钢结构的疲劳设计，钢材牌号、选择及规</w:t>
            </w:r>
            <w:r w:rsidRPr="006E57E0">
              <w:rPr>
                <w:rFonts w:ascii="仿宋_GB2312" w:hAnsi="仿宋_GB2312" w:cs="仿宋_GB2312" w:hint="eastAsia"/>
                <w:bCs/>
                <w:sz w:val="24"/>
                <w:szCs w:val="24"/>
              </w:rPr>
              <w:lastRenderedPageBreak/>
              <w:t>格。</w:t>
            </w:r>
          </w:p>
        </w:tc>
        <w:tc>
          <w:tcPr>
            <w:tcW w:w="1432" w:type="pct"/>
            <w:vAlign w:val="center"/>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hint="eastAsia"/>
                <w:bCs/>
                <w:sz w:val="24"/>
                <w:szCs w:val="24"/>
              </w:rPr>
              <w:lastRenderedPageBreak/>
              <w:t>掌握钢结构对材料的要求及影响钢材性能的因素，掌握钢材的疲劳计算；了解钢材种类、规格、型号并掌握钢材选择标准与方法。</w:t>
            </w:r>
          </w:p>
        </w:tc>
        <w:tc>
          <w:tcPr>
            <w:tcW w:w="1675" w:type="pct"/>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bCs/>
                <w:sz w:val="24"/>
                <w:szCs w:val="24"/>
              </w:rPr>
              <w:t>2.3 能够正确、合理运用专业知识，识别、判断和表达土木工程专业复杂工程问题的本质特征、关键环节，并能提供多种解决方案；</w:t>
            </w:r>
          </w:p>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hint="eastAsia"/>
                <w:bCs/>
                <w:sz w:val="24"/>
                <w:szCs w:val="24"/>
              </w:rPr>
              <w:t>3.1</w:t>
            </w:r>
            <w:r w:rsidRPr="006E57E0">
              <w:rPr>
                <w:rFonts w:ascii="仿宋_GB2312" w:hAnsi="仿宋_GB2312" w:cs="仿宋_GB2312"/>
                <w:bCs/>
                <w:sz w:val="24"/>
                <w:szCs w:val="24"/>
              </w:rPr>
              <w:t>能够针对特定需求，确定工程基本单元的设计目标或问题解决方案，并完成设计/开发工作；</w:t>
            </w:r>
          </w:p>
        </w:tc>
      </w:tr>
      <w:tr w:rsidR="00494448" w:rsidTr="00BE5664">
        <w:trPr>
          <w:trHeight w:val="1113"/>
        </w:trPr>
        <w:tc>
          <w:tcPr>
            <w:tcW w:w="251" w:type="pct"/>
            <w:vAlign w:val="center"/>
          </w:tcPr>
          <w:p w:rsidR="00494448" w:rsidRPr="006E57E0" w:rsidRDefault="00494448" w:rsidP="00BE5664">
            <w:pPr>
              <w:ind w:firstLineChars="157" w:firstLine="377"/>
              <w:rPr>
                <w:rFonts w:ascii="仿宋_GB2312" w:hAnsi="仿宋_GB2312" w:cs="仿宋_GB2312"/>
                <w:bCs/>
                <w:sz w:val="24"/>
                <w:szCs w:val="24"/>
              </w:rPr>
            </w:pPr>
          </w:p>
        </w:tc>
        <w:tc>
          <w:tcPr>
            <w:tcW w:w="250" w:type="pct"/>
            <w:vAlign w:val="center"/>
          </w:tcPr>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钢结构连接</w:t>
            </w:r>
          </w:p>
        </w:tc>
        <w:tc>
          <w:tcPr>
            <w:tcW w:w="250" w:type="pct"/>
            <w:vAlign w:val="center"/>
          </w:tcPr>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12</w:t>
            </w:r>
          </w:p>
        </w:tc>
        <w:tc>
          <w:tcPr>
            <w:tcW w:w="1143" w:type="pct"/>
            <w:vAlign w:val="center"/>
          </w:tcPr>
          <w:p w:rsidR="00494448" w:rsidRPr="006E57E0" w:rsidRDefault="00494448" w:rsidP="00BE5664">
            <w:pPr>
              <w:spacing w:line="276" w:lineRule="auto"/>
              <w:ind w:firstLineChars="150" w:firstLine="360"/>
              <w:rPr>
                <w:rFonts w:ascii="仿宋_GB2312" w:hAnsi="仿宋_GB2312" w:cs="仿宋_GB2312"/>
                <w:bCs/>
                <w:sz w:val="24"/>
                <w:szCs w:val="24"/>
              </w:rPr>
            </w:pPr>
            <w:r w:rsidRPr="006E57E0">
              <w:rPr>
                <w:rFonts w:ascii="仿宋_GB2312" w:hAnsi="仿宋_GB2312" w:cs="仿宋_GB2312" w:hint="eastAsia"/>
                <w:bCs/>
                <w:sz w:val="24"/>
                <w:szCs w:val="24"/>
              </w:rPr>
              <w:t>连接形式及方法，焊接连接，角焊缝的构造和计算，对接焊缝的构造和计算，焊接残余应力和残余变形，普通螺栓和铆钉连接和构造和计算，高强度螺栓连接的计算。</w:t>
            </w:r>
          </w:p>
        </w:tc>
        <w:tc>
          <w:tcPr>
            <w:tcW w:w="1432" w:type="pct"/>
            <w:vAlign w:val="center"/>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hint="eastAsia"/>
                <w:bCs/>
                <w:sz w:val="24"/>
                <w:szCs w:val="24"/>
              </w:rPr>
              <w:t>了解钢结构连接的方法，掌握角焊缝、对接焊缝的构造与设计计算，掌握焊接应力与焊接变形对结构的影响，掌握普通螺栓连接的构造与计算，掌握高强螺栓连接的构造与计算。</w:t>
            </w:r>
          </w:p>
        </w:tc>
        <w:tc>
          <w:tcPr>
            <w:tcW w:w="1675" w:type="pct"/>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bCs/>
                <w:sz w:val="24"/>
                <w:szCs w:val="24"/>
              </w:rPr>
              <w:t>1</w:t>
            </w:r>
            <w:r w:rsidRPr="006E57E0">
              <w:rPr>
                <w:rFonts w:ascii="仿宋_GB2312" w:hAnsi="仿宋_GB2312" w:cs="仿宋_GB2312" w:hint="eastAsia"/>
                <w:bCs/>
                <w:sz w:val="24"/>
                <w:szCs w:val="24"/>
              </w:rPr>
              <w:t>.</w:t>
            </w:r>
            <w:r w:rsidRPr="006E57E0">
              <w:rPr>
                <w:rFonts w:ascii="仿宋_GB2312" w:hAnsi="仿宋_GB2312" w:cs="仿宋_GB2312"/>
                <w:bCs/>
                <w:sz w:val="24"/>
                <w:szCs w:val="24"/>
              </w:rPr>
              <w:t>3 掌握相关工程基础知识，具备应用相关知识推演、分析土木工程专业复杂工程问题的专业基础能力；</w:t>
            </w:r>
          </w:p>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bCs/>
                <w:sz w:val="24"/>
                <w:szCs w:val="24"/>
              </w:rPr>
              <w:t>2.3 能够正确、合理运用专业知识，识别、判断和表达土木工程专业复杂工程问题的本质特征、关键环节，并能提供多种解决方案；</w:t>
            </w:r>
          </w:p>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hint="eastAsia"/>
                <w:bCs/>
                <w:sz w:val="24"/>
                <w:szCs w:val="24"/>
              </w:rPr>
              <w:t>3.1</w:t>
            </w:r>
            <w:r w:rsidRPr="006E57E0">
              <w:rPr>
                <w:rFonts w:ascii="仿宋_GB2312" w:hAnsi="仿宋_GB2312" w:cs="仿宋_GB2312"/>
                <w:bCs/>
                <w:sz w:val="24"/>
                <w:szCs w:val="24"/>
              </w:rPr>
              <w:t>能够针对特定需求，确定工程基本单元的设计目标或问题解决方案，并完成设计/开发工作；</w:t>
            </w:r>
          </w:p>
        </w:tc>
      </w:tr>
      <w:tr w:rsidR="00494448" w:rsidTr="00BE5664">
        <w:trPr>
          <w:trHeight w:val="1113"/>
        </w:trPr>
        <w:tc>
          <w:tcPr>
            <w:tcW w:w="251" w:type="pct"/>
            <w:vAlign w:val="center"/>
          </w:tcPr>
          <w:p w:rsidR="00494448" w:rsidRPr="006E57E0" w:rsidRDefault="00494448" w:rsidP="00BE5664">
            <w:pPr>
              <w:ind w:firstLineChars="157" w:firstLine="377"/>
              <w:rPr>
                <w:rFonts w:ascii="仿宋_GB2312" w:hAnsi="仿宋_GB2312" w:cs="仿宋_GB2312"/>
                <w:bCs/>
                <w:sz w:val="24"/>
                <w:szCs w:val="24"/>
              </w:rPr>
            </w:pPr>
          </w:p>
        </w:tc>
        <w:tc>
          <w:tcPr>
            <w:tcW w:w="250" w:type="pct"/>
            <w:vAlign w:val="center"/>
          </w:tcPr>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轴心受力构件</w:t>
            </w:r>
          </w:p>
        </w:tc>
        <w:tc>
          <w:tcPr>
            <w:tcW w:w="250" w:type="pct"/>
            <w:vAlign w:val="center"/>
          </w:tcPr>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8</w:t>
            </w:r>
          </w:p>
        </w:tc>
        <w:tc>
          <w:tcPr>
            <w:tcW w:w="1143" w:type="pct"/>
            <w:vAlign w:val="center"/>
          </w:tcPr>
          <w:p w:rsidR="00494448" w:rsidRPr="006E57E0" w:rsidRDefault="00494448" w:rsidP="00BE5664">
            <w:pPr>
              <w:spacing w:line="276" w:lineRule="auto"/>
              <w:ind w:firstLineChars="157" w:firstLine="377"/>
              <w:rPr>
                <w:rFonts w:ascii="仿宋_GB2312" w:hAnsi="仿宋_GB2312" w:cs="仿宋_GB2312"/>
                <w:bCs/>
                <w:sz w:val="24"/>
                <w:szCs w:val="24"/>
              </w:rPr>
            </w:pPr>
            <w:r w:rsidRPr="006E57E0">
              <w:rPr>
                <w:rFonts w:ascii="仿宋_GB2312" w:hAnsi="仿宋_GB2312" w:cs="仿宋_GB2312" w:hint="eastAsia"/>
                <w:bCs/>
                <w:sz w:val="24"/>
                <w:szCs w:val="24"/>
              </w:rPr>
              <w:t>概述，轴心受力构件的强度及刚度，轴心受压构件的整体稳定，轴心受压构件的局部稳定，实腹式轴心受压构件设计，格构式轴心受压构件设计，柱头和柱脚。</w:t>
            </w:r>
          </w:p>
        </w:tc>
        <w:tc>
          <w:tcPr>
            <w:tcW w:w="1432" w:type="pct"/>
            <w:vAlign w:val="center"/>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hint="eastAsia"/>
                <w:bCs/>
                <w:sz w:val="24"/>
                <w:szCs w:val="24"/>
              </w:rPr>
              <w:t>理解轴心受压构件整体稳定、局部稳定的概念，掌握实腹式轴心受压构件的设计计算，掌握格构轴心受压构件的受力特点、设计计算与构造要求，</w:t>
            </w:r>
          </w:p>
        </w:tc>
        <w:tc>
          <w:tcPr>
            <w:tcW w:w="1675" w:type="pct"/>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bCs/>
                <w:sz w:val="24"/>
                <w:szCs w:val="24"/>
              </w:rPr>
              <w:t>1</w:t>
            </w:r>
            <w:r w:rsidRPr="006E57E0">
              <w:rPr>
                <w:rFonts w:ascii="仿宋_GB2312" w:hAnsi="仿宋_GB2312" w:cs="仿宋_GB2312" w:hint="eastAsia"/>
                <w:bCs/>
                <w:sz w:val="24"/>
                <w:szCs w:val="24"/>
              </w:rPr>
              <w:t>.</w:t>
            </w:r>
            <w:r w:rsidRPr="006E57E0">
              <w:rPr>
                <w:rFonts w:ascii="仿宋_GB2312" w:hAnsi="仿宋_GB2312" w:cs="仿宋_GB2312"/>
                <w:bCs/>
                <w:sz w:val="24"/>
                <w:szCs w:val="24"/>
              </w:rPr>
              <w:t>3 掌握相关工程基础知识，具备应用相关知识推演、分析土木工程专业复杂工程问题的专业基础能力；</w:t>
            </w:r>
          </w:p>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bCs/>
                <w:sz w:val="24"/>
                <w:szCs w:val="24"/>
              </w:rPr>
              <w:t xml:space="preserve"> 2.3 能够正确、合理运用专业知识，识别、判断和表达土木工程专业复杂工程问题的本质特征、关键环节，并能提供多种解决方案；</w:t>
            </w:r>
            <w:r w:rsidRPr="006E57E0">
              <w:rPr>
                <w:rFonts w:ascii="仿宋_GB2312" w:hAnsi="仿宋_GB2312" w:cs="仿宋_GB2312" w:hint="eastAsia"/>
                <w:bCs/>
                <w:sz w:val="24"/>
                <w:szCs w:val="24"/>
              </w:rPr>
              <w:t xml:space="preserve"> </w:t>
            </w:r>
          </w:p>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hint="eastAsia"/>
                <w:bCs/>
                <w:sz w:val="24"/>
                <w:szCs w:val="24"/>
              </w:rPr>
              <w:t>3.1</w:t>
            </w:r>
            <w:r w:rsidRPr="006E57E0">
              <w:rPr>
                <w:rFonts w:ascii="仿宋_GB2312" w:hAnsi="仿宋_GB2312" w:cs="仿宋_GB2312"/>
                <w:bCs/>
                <w:sz w:val="24"/>
                <w:szCs w:val="24"/>
              </w:rPr>
              <w:t>能够针对特定需求，确定工程基本单元的设计目标或问题解决方案，并完成设计/开发工作；</w:t>
            </w:r>
          </w:p>
        </w:tc>
      </w:tr>
      <w:tr w:rsidR="00494448" w:rsidTr="00BE5664">
        <w:trPr>
          <w:trHeight w:val="4535"/>
        </w:trPr>
        <w:tc>
          <w:tcPr>
            <w:tcW w:w="251" w:type="pct"/>
            <w:vAlign w:val="center"/>
          </w:tcPr>
          <w:p w:rsidR="00494448" w:rsidRPr="006E57E0" w:rsidRDefault="00494448" w:rsidP="00BE5664">
            <w:pPr>
              <w:ind w:firstLineChars="157" w:firstLine="377"/>
              <w:rPr>
                <w:rFonts w:ascii="仿宋_GB2312" w:hAnsi="仿宋_GB2312" w:cs="仿宋_GB2312"/>
                <w:bCs/>
                <w:sz w:val="24"/>
                <w:szCs w:val="24"/>
              </w:rPr>
            </w:pPr>
          </w:p>
        </w:tc>
        <w:tc>
          <w:tcPr>
            <w:tcW w:w="250" w:type="pct"/>
            <w:vAlign w:val="center"/>
          </w:tcPr>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受弯构件</w:t>
            </w:r>
          </w:p>
        </w:tc>
        <w:tc>
          <w:tcPr>
            <w:tcW w:w="250" w:type="pct"/>
            <w:vAlign w:val="center"/>
          </w:tcPr>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8</w:t>
            </w:r>
          </w:p>
        </w:tc>
        <w:tc>
          <w:tcPr>
            <w:tcW w:w="1143" w:type="pct"/>
            <w:vAlign w:val="center"/>
          </w:tcPr>
          <w:p w:rsidR="00494448" w:rsidRPr="006E57E0" w:rsidRDefault="00494448" w:rsidP="00BE5664">
            <w:pPr>
              <w:spacing w:line="276" w:lineRule="auto"/>
              <w:ind w:firstLineChars="157" w:firstLine="377"/>
              <w:rPr>
                <w:rFonts w:ascii="仿宋_GB2312" w:hAnsi="仿宋_GB2312" w:cs="仿宋_GB2312"/>
                <w:bCs/>
                <w:sz w:val="24"/>
                <w:szCs w:val="24"/>
              </w:rPr>
            </w:pPr>
            <w:r w:rsidRPr="006E57E0">
              <w:rPr>
                <w:rFonts w:ascii="仿宋_GB2312" w:hAnsi="仿宋_GB2312" w:cs="仿宋_GB2312" w:hint="eastAsia"/>
                <w:bCs/>
                <w:sz w:val="24"/>
                <w:szCs w:val="24"/>
              </w:rPr>
              <w:t>梁的种类和截面形式，梁的强度计算，梁的刚度计算，梁的整体稳定，梁的截面设计，梁截面沿长度的变化，梁的局部稳定，实腹式梁的构造，吊车梁的受力特点。</w:t>
            </w:r>
          </w:p>
        </w:tc>
        <w:tc>
          <w:tcPr>
            <w:tcW w:w="1432" w:type="pct"/>
            <w:vAlign w:val="center"/>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hint="eastAsia"/>
                <w:bCs/>
                <w:sz w:val="24"/>
                <w:szCs w:val="24"/>
              </w:rPr>
              <w:t>掌握钢梁的强度、刚度计算方法，理解钢梁整体稳定的概念，掌握保证梁整体稳定、局部稳定的措施，掌握钢梁的设计计算与构造。</w:t>
            </w:r>
          </w:p>
        </w:tc>
        <w:tc>
          <w:tcPr>
            <w:tcW w:w="1675" w:type="pct"/>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bCs/>
                <w:sz w:val="24"/>
                <w:szCs w:val="24"/>
              </w:rPr>
              <w:t>1</w:t>
            </w:r>
            <w:r w:rsidRPr="006E57E0">
              <w:rPr>
                <w:rFonts w:ascii="仿宋_GB2312" w:hAnsi="仿宋_GB2312" w:cs="仿宋_GB2312" w:hint="eastAsia"/>
                <w:bCs/>
                <w:sz w:val="24"/>
                <w:szCs w:val="24"/>
              </w:rPr>
              <w:t>.</w:t>
            </w:r>
            <w:r w:rsidRPr="006E57E0">
              <w:rPr>
                <w:rFonts w:ascii="仿宋_GB2312" w:hAnsi="仿宋_GB2312" w:cs="仿宋_GB2312"/>
                <w:bCs/>
                <w:sz w:val="24"/>
                <w:szCs w:val="24"/>
              </w:rPr>
              <w:t>3 掌握相关工程基础知识，具备应用相关知识推演、分析土木工程专业复杂工程问题的专业基础能力；</w:t>
            </w:r>
          </w:p>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bCs/>
                <w:sz w:val="24"/>
                <w:szCs w:val="24"/>
              </w:rPr>
              <w:t xml:space="preserve"> 2.3 能够正确、合理运用专业知识，识别、判断和表达土木工程专业复杂工程问题的本质特征、关键环节，并能提供多种解决方案；</w:t>
            </w:r>
          </w:p>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hint="eastAsia"/>
                <w:bCs/>
                <w:sz w:val="24"/>
                <w:szCs w:val="24"/>
              </w:rPr>
              <w:t>3.1</w:t>
            </w:r>
            <w:r w:rsidRPr="006E57E0">
              <w:rPr>
                <w:rFonts w:ascii="仿宋_GB2312" w:hAnsi="仿宋_GB2312" w:cs="仿宋_GB2312"/>
                <w:bCs/>
                <w:sz w:val="24"/>
                <w:szCs w:val="24"/>
              </w:rPr>
              <w:t>能够针对特定需求，确定工程基本单元的设计目标或问题解决方案，并完成设计/开发工作；</w:t>
            </w:r>
          </w:p>
        </w:tc>
      </w:tr>
      <w:tr w:rsidR="00494448" w:rsidTr="00BE5664">
        <w:trPr>
          <w:trHeight w:val="274"/>
        </w:trPr>
        <w:tc>
          <w:tcPr>
            <w:tcW w:w="251" w:type="pct"/>
            <w:vAlign w:val="center"/>
          </w:tcPr>
          <w:p w:rsidR="00494448" w:rsidRPr="006E57E0" w:rsidRDefault="00494448" w:rsidP="00BE5664">
            <w:pPr>
              <w:ind w:firstLineChars="157" w:firstLine="377"/>
              <w:rPr>
                <w:rFonts w:ascii="仿宋_GB2312" w:hAnsi="仿宋_GB2312" w:cs="仿宋_GB2312"/>
                <w:bCs/>
                <w:sz w:val="24"/>
                <w:szCs w:val="24"/>
              </w:rPr>
            </w:pPr>
          </w:p>
        </w:tc>
        <w:tc>
          <w:tcPr>
            <w:tcW w:w="250" w:type="pct"/>
            <w:vAlign w:val="center"/>
          </w:tcPr>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拉弯及压弯构件</w:t>
            </w:r>
          </w:p>
        </w:tc>
        <w:tc>
          <w:tcPr>
            <w:tcW w:w="250" w:type="pct"/>
            <w:vAlign w:val="center"/>
          </w:tcPr>
          <w:p w:rsidR="00494448" w:rsidRPr="006E57E0" w:rsidRDefault="00494448" w:rsidP="00BE5664">
            <w:pPr>
              <w:jc w:val="center"/>
              <w:rPr>
                <w:rFonts w:ascii="仿宋_GB2312" w:hAnsi="仿宋_GB2312" w:cs="仿宋_GB2312"/>
                <w:bCs/>
                <w:sz w:val="24"/>
                <w:szCs w:val="24"/>
              </w:rPr>
            </w:pPr>
            <w:r w:rsidRPr="006E57E0">
              <w:rPr>
                <w:rFonts w:ascii="仿宋_GB2312" w:hAnsi="仿宋_GB2312" w:cs="仿宋_GB2312" w:hint="eastAsia"/>
                <w:bCs/>
                <w:sz w:val="24"/>
                <w:szCs w:val="24"/>
              </w:rPr>
              <w:t>6</w:t>
            </w:r>
          </w:p>
        </w:tc>
        <w:tc>
          <w:tcPr>
            <w:tcW w:w="1143" w:type="pct"/>
            <w:vAlign w:val="center"/>
          </w:tcPr>
          <w:p w:rsidR="00494448" w:rsidRPr="006E57E0" w:rsidRDefault="00494448" w:rsidP="00BE5664">
            <w:pPr>
              <w:spacing w:line="276" w:lineRule="auto"/>
              <w:ind w:firstLineChars="150" w:firstLine="360"/>
              <w:rPr>
                <w:rFonts w:ascii="仿宋_GB2312" w:hAnsi="仿宋_GB2312" w:cs="仿宋_GB2312"/>
                <w:bCs/>
                <w:sz w:val="24"/>
                <w:szCs w:val="24"/>
              </w:rPr>
            </w:pPr>
            <w:r w:rsidRPr="006E57E0">
              <w:rPr>
                <w:rFonts w:ascii="仿宋_GB2312" w:hAnsi="仿宋_GB2312" w:cs="仿宋_GB2312" w:hint="eastAsia"/>
                <w:bCs/>
                <w:sz w:val="24"/>
                <w:szCs w:val="24"/>
              </w:rPr>
              <w:t>概述，拉弯、压弯构件强度和刚度，实腹式压弯构件的整体稳定，实腹式压弯构件的局部稳定，压弯构件的计算长度，压弯构件的截面设计，压弯构件的柱头、梁柱连接和柱脚。</w:t>
            </w:r>
          </w:p>
        </w:tc>
        <w:tc>
          <w:tcPr>
            <w:tcW w:w="1432" w:type="pct"/>
            <w:vAlign w:val="center"/>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hint="eastAsia"/>
                <w:bCs/>
                <w:sz w:val="24"/>
                <w:szCs w:val="24"/>
              </w:rPr>
              <w:t>掌握拉、压弯构件的强度计算，理解压弯构件平面内稳定、平面外稳定的概念，掌握实腹式压弯构件的局部稳定设计，理解格构式压弯构件组成形式及受力特点，掌握实腹式、格构式压弯构件的设计计算及构造。</w:t>
            </w:r>
          </w:p>
        </w:tc>
        <w:tc>
          <w:tcPr>
            <w:tcW w:w="1675" w:type="pct"/>
          </w:tcPr>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bCs/>
                <w:sz w:val="24"/>
                <w:szCs w:val="24"/>
              </w:rPr>
              <w:t>1</w:t>
            </w:r>
            <w:r w:rsidRPr="006E57E0">
              <w:rPr>
                <w:rFonts w:ascii="仿宋_GB2312" w:hAnsi="仿宋_GB2312" w:cs="仿宋_GB2312" w:hint="eastAsia"/>
                <w:bCs/>
                <w:sz w:val="24"/>
                <w:szCs w:val="24"/>
              </w:rPr>
              <w:t>.</w:t>
            </w:r>
            <w:r w:rsidRPr="006E57E0">
              <w:rPr>
                <w:rFonts w:ascii="仿宋_GB2312" w:hAnsi="仿宋_GB2312" w:cs="仿宋_GB2312"/>
                <w:bCs/>
                <w:sz w:val="24"/>
                <w:szCs w:val="24"/>
              </w:rPr>
              <w:t>3 掌握相关工程基础知识，具备应用相关知识推演、分析土木工程专业复杂工程问题的专业基础能力；</w:t>
            </w:r>
          </w:p>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bCs/>
                <w:sz w:val="24"/>
                <w:szCs w:val="24"/>
              </w:rPr>
              <w:t>2.3 能够正确、合理运用专业知识，识别、判断和表达土木工程专业复杂工程问题的本质特征、关键环节，并能提供多种解决方案；</w:t>
            </w:r>
          </w:p>
          <w:p w:rsidR="00494448" w:rsidRPr="006E57E0" w:rsidRDefault="00494448" w:rsidP="00BE5664">
            <w:pPr>
              <w:spacing w:line="276" w:lineRule="auto"/>
              <w:rPr>
                <w:rFonts w:ascii="仿宋_GB2312" w:hAnsi="仿宋_GB2312" w:cs="仿宋_GB2312"/>
                <w:bCs/>
                <w:sz w:val="24"/>
                <w:szCs w:val="24"/>
              </w:rPr>
            </w:pPr>
            <w:r w:rsidRPr="006E57E0">
              <w:rPr>
                <w:rFonts w:ascii="仿宋_GB2312" w:hAnsi="仿宋_GB2312" w:cs="仿宋_GB2312" w:hint="eastAsia"/>
                <w:bCs/>
                <w:sz w:val="24"/>
                <w:szCs w:val="24"/>
              </w:rPr>
              <w:t>3.1</w:t>
            </w:r>
            <w:r w:rsidRPr="006E57E0">
              <w:rPr>
                <w:rFonts w:ascii="仿宋_GB2312" w:hAnsi="仿宋_GB2312" w:cs="仿宋_GB2312"/>
                <w:bCs/>
                <w:sz w:val="24"/>
                <w:szCs w:val="24"/>
              </w:rPr>
              <w:t>能够针对特定需求，确定工程基本单元的设计目标或问题解决方案，并完成设计/开发工作；</w:t>
            </w:r>
          </w:p>
        </w:tc>
      </w:tr>
    </w:tbl>
    <w:p w:rsidR="00494448" w:rsidRPr="006E57E0" w:rsidRDefault="00494448" w:rsidP="006E57E0">
      <w:pPr>
        <w:spacing w:beforeLines="50" w:before="156" w:afterLines="50" w:after="156" w:line="560" w:lineRule="exact"/>
        <w:rPr>
          <w:rFonts w:ascii="黑体" w:eastAsia="黑体" w:hAnsi="黑体"/>
          <w:b/>
          <w:sz w:val="28"/>
          <w:szCs w:val="28"/>
        </w:rPr>
      </w:pPr>
    </w:p>
    <w:p w:rsidR="00494448" w:rsidRPr="006E57E0" w:rsidRDefault="00494448" w:rsidP="006E57E0">
      <w:pPr>
        <w:spacing w:beforeLines="50" w:before="156" w:afterLines="50" w:after="156" w:line="560" w:lineRule="exact"/>
        <w:rPr>
          <w:rFonts w:ascii="黑体" w:eastAsia="黑体" w:hAnsi="黑体"/>
          <w:b/>
          <w:sz w:val="28"/>
          <w:szCs w:val="28"/>
        </w:rPr>
      </w:pPr>
      <w:r w:rsidRPr="006E57E0">
        <w:rPr>
          <w:rFonts w:ascii="黑体" w:eastAsia="黑体" w:hAnsi="黑体" w:hint="eastAsia"/>
          <w:b/>
          <w:sz w:val="28"/>
          <w:szCs w:val="28"/>
        </w:rPr>
        <w:t>五、课程考核方式与成绩评定</w:t>
      </w:r>
    </w:p>
    <w:p w:rsidR="00494448" w:rsidRPr="006E57E0" w:rsidRDefault="00494448" w:rsidP="006E57E0">
      <w:pPr>
        <w:spacing w:line="276" w:lineRule="auto"/>
        <w:ind w:firstLineChars="150" w:firstLine="422"/>
        <w:rPr>
          <w:rFonts w:ascii="仿宋_GB2312" w:hAnsi="仿宋_GB2312" w:cs="仿宋_GB2312"/>
          <w:b/>
          <w:bCs/>
          <w:sz w:val="28"/>
          <w:szCs w:val="28"/>
        </w:rPr>
      </w:pPr>
      <w:r w:rsidRPr="006E57E0">
        <w:rPr>
          <w:rFonts w:ascii="仿宋_GB2312" w:hAnsi="仿宋_GB2312" w:cs="仿宋_GB2312" w:hint="eastAsia"/>
          <w:b/>
          <w:bCs/>
          <w:sz w:val="28"/>
          <w:szCs w:val="28"/>
        </w:rPr>
        <w:t>1.课程考核：</w:t>
      </w:r>
    </w:p>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hint="eastAsia"/>
          <w:bCs/>
          <w:sz w:val="28"/>
          <w:szCs w:val="28"/>
        </w:rPr>
        <w:t>本课程考核方式为平时考核与期末考试考试综合评定的考核方法，</w:t>
      </w:r>
      <w:r w:rsidRPr="006E57E0">
        <w:rPr>
          <w:rFonts w:ascii="仿宋_GB2312" w:hAnsi="仿宋_GB2312" w:cs="仿宋_GB2312" w:hint="eastAsia"/>
          <w:bCs/>
          <w:sz w:val="28"/>
          <w:szCs w:val="28"/>
        </w:rPr>
        <w:lastRenderedPageBreak/>
        <w:t>成绩评定方式为百分制。</w:t>
      </w:r>
    </w:p>
    <w:p w:rsidR="00494448" w:rsidRPr="006E57E0" w:rsidRDefault="00494448" w:rsidP="006E57E0">
      <w:pPr>
        <w:spacing w:line="276" w:lineRule="auto"/>
        <w:ind w:firstLineChars="150" w:firstLine="422"/>
        <w:rPr>
          <w:rFonts w:ascii="仿宋_GB2312" w:hAnsi="仿宋_GB2312" w:cs="仿宋_GB2312"/>
          <w:b/>
          <w:bCs/>
          <w:sz w:val="28"/>
          <w:szCs w:val="28"/>
        </w:rPr>
      </w:pPr>
      <w:r w:rsidRPr="006E57E0">
        <w:rPr>
          <w:rFonts w:ascii="仿宋_GB2312" w:hAnsi="仿宋_GB2312" w:cs="仿宋_GB2312" w:hint="eastAsia"/>
          <w:b/>
          <w:bCs/>
          <w:sz w:val="28"/>
          <w:szCs w:val="28"/>
        </w:rPr>
        <w:t>2.成绩评定：</w:t>
      </w:r>
    </w:p>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课程总成绩=期末成绩</w:t>
      </w:r>
      <w:r w:rsidRPr="006E57E0">
        <w:rPr>
          <w:rFonts w:ascii="仿宋_GB2312" w:hAnsi="仿宋_GB2312" w:cs="仿宋_GB2312" w:hint="eastAsia"/>
          <w:bCs/>
          <w:sz w:val="28"/>
          <w:szCs w:val="28"/>
        </w:rPr>
        <w:t>70%+平时</w:t>
      </w:r>
      <w:r w:rsidRPr="006E57E0">
        <w:rPr>
          <w:rFonts w:ascii="仿宋_GB2312" w:hAnsi="仿宋_GB2312" w:cs="仿宋_GB2312"/>
          <w:bCs/>
          <w:sz w:val="28"/>
          <w:szCs w:val="28"/>
        </w:rPr>
        <w:t>成绩30</w:t>
      </w:r>
      <w:r w:rsidRPr="006E57E0">
        <w:rPr>
          <w:rFonts w:ascii="仿宋_GB2312" w:hAnsi="仿宋_GB2312" w:cs="仿宋_GB2312" w:hint="eastAsia"/>
          <w:bCs/>
          <w:sz w:val="28"/>
          <w:szCs w:val="28"/>
        </w:rPr>
        <w:t>%</w:t>
      </w:r>
      <w:r w:rsidRPr="006E57E0">
        <w:rPr>
          <w:rFonts w:ascii="仿宋_GB2312" w:hAnsi="仿宋_GB2312" w:cs="仿宋_GB2312"/>
          <w:bCs/>
          <w:sz w:val="28"/>
          <w:szCs w:val="28"/>
        </w:rPr>
        <w:t xml:space="preserve">  </w:t>
      </w:r>
    </w:p>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hint="eastAsia"/>
          <w:bCs/>
          <w:sz w:val="28"/>
          <w:szCs w:val="28"/>
        </w:rPr>
        <w:t>（1）期末成绩根据期末考试成绩按百分制确定。期末考试采用闭卷考试方式。</w:t>
      </w:r>
    </w:p>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hint="eastAsia"/>
          <w:bCs/>
          <w:sz w:val="28"/>
          <w:szCs w:val="28"/>
        </w:rPr>
        <w:t>（2）平时成绩包括：课程作业、课堂考勤、课堂讨论和随堂测试等环节。按综合情况以百分制给出平时成绩。其中，课程作业占50%，课堂考勤占20%，课堂讨论占10%，随堂测试占20%。</w:t>
      </w:r>
    </w:p>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hint="eastAsia"/>
          <w:bCs/>
          <w:sz w:val="28"/>
          <w:szCs w:val="28"/>
        </w:rPr>
        <w:t xml:space="preserve">    </w:t>
      </w:r>
      <w:r w:rsidRPr="006E57E0">
        <w:rPr>
          <w:rFonts w:ascii="仿宋_GB2312" w:hAnsi="仿宋_GB2312" w:cs="仿宋_GB2312"/>
          <w:bCs/>
          <w:sz w:val="28"/>
          <w:szCs w:val="28"/>
        </w:rPr>
        <w:t>各考核环节与课程目标的对应关系如下：</w:t>
      </w:r>
    </w:p>
    <w:p w:rsidR="00494448" w:rsidRPr="006E57E0" w:rsidRDefault="00494448" w:rsidP="006E57E0">
      <w:pPr>
        <w:spacing w:line="276" w:lineRule="auto"/>
        <w:ind w:firstLineChars="150" w:firstLine="420"/>
        <w:rPr>
          <w:rFonts w:ascii="仿宋_GB2312" w:hAnsi="仿宋_GB2312" w:cs="仿宋_GB2312"/>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4637"/>
        <w:gridCol w:w="1667"/>
      </w:tblGrid>
      <w:tr w:rsidR="00494448" w:rsidRPr="006E57E0" w:rsidTr="00BE5664">
        <w:trPr>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教学目标</w:t>
            </w:r>
          </w:p>
        </w:tc>
      </w:tr>
      <w:tr w:rsidR="00494448" w:rsidRPr="006E57E0" w:rsidTr="00BE5664">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分项比例</w:t>
            </w:r>
          </w:p>
        </w:tc>
        <w:tc>
          <w:tcPr>
            <w:tcW w:w="2795" w:type="pct"/>
            <w:tcBorders>
              <w:top w:val="single" w:sz="4" w:space="0" w:color="auto"/>
              <w:left w:val="single" w:sz="4" w:space="0" w:color="auto"/>
              <w:bottom w:val="single" w:sz="4" w:space="0" w:color="auto"/>
              <w:right w:val="single" w:sz="4" w:space="0" w:color="auto"/>
            </w:tcBorders>
            <w:vAlign w:val="center"/>
          </w:tcPr>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考核要求</w:t>
            </w:r>
          </w:p>
        </w:tc>
        <w:tc>
          <w:tcPr>
            <w:tcW w:w="1005" w:type="pct"/>
            <w:vMerge/>
            <w:tcBorders>
              <w:top w:val="single" w:sz="4" w:space="0" w:color="auto"/>
              <w:left w:val="single" w:sz="4" w:space="0" w:color="auto"/>
              <w:bottom w:val="single" w:sz="4" w:space="0" w:color="auto"/>
              <w:right w:val="single" w:sz="4" w:space="0" w:color="auto"/>
            </w:tcBorders>
            <w:vAlign w:val="center"/>
          </w:tcPr>
          <w:p w:rsidR="00494448" w:rsidRPr="006E57E0" w:rsidRDefault="00494448" w:rsidP="006E57E0">
            <w:pPr>
              <w:spacing w:line="276" w:lineRule="auto"/>
              <w:ind w:firstLineChars="150" w:firstLine="420"/>
              <w:rPr>
                <w:rFonts w:ascii="仿宋_GB2312" w:hAnsi="仿宋_GB2312" w:cs="仿宋_GB2312"/>
                <w:bCs/>
                <w:sz w:val="28"/>
                <w:szCs w:val="28"/>
              </w:rPr>
            </w:pPr>
          </w:p>
        </w:tc>
      </w:tr>
      <w:tr w:rsidR="00494448" w:rsidRPr="006E57E0" w:rsidTr="00BE5664">
        <w:trPr>
          <w:trHeight w:val="1500"/>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平时成绩</w:t>
            </w:r>
          </w:p>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w:t>
            </w:r>
            <w:r w:rsidRPr="006E57E0">
              <w:rPr>
                <w:rFonts w:ascii="仿宋_GB2312" w:hAnsi="仿宋_GB2312" w:cs="仿宋_GB2312" w:hint="eastAsia"/>
                <w:bCs/>
                <w:sz w:val="28"/>
                <w:szCs w:val="28"/>
              </w:rPr>
              <w:t>3</w:t>
            </w:r>
            <w:r w:rsidRPr="006E57E0">
              <w:rPr>
                <w:rFonts w:ascii="仿宋_GB2312" w:hAnsi="仿宋_GB2312" w:cs="仿宋_GB2312"/>
                <w:bCs/>
                <w:sz w:val="28"/>
                <w:szCs w:val="28"/>
              </w:rPr>
              <w:t>0%）</w:t>
            </w:r>
          </w:p>
        </w:tc>
        <w:tc>
          <w:tcPr>
            <w:tcW w:w="2795" w:type="pct"/>
            <w:tcBorders>
              <w:top w:val="single" w:sz="4" w:space="0" w:color="auto"/>
              <w:left w:val="single" w:sz="4" w:space="0" w:color="auto"/>
              <w:right w:val="single" w:sz="4" w:space="0" w:color="auto"/>
            </w:tcBorders>
            <w:vAlign w:val="center"/>
          </w:tcPr>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出勤统计不少于授课次数的 2/3，重点考察学生的课堂表现，占 20%；课后作业布置8次；通过课后作业考核学生对应力计算、沉降计算、强度计算、土压力计算、地基承载力计算的掌握情况，以及运用图表、文字等准确表达复杂工程问题的能力，占 80%。</w:t>
            </w:r>
          </w:p>
        </w:tc>
        <w:tc>
          <w:tcPr>
            <w:tcW w:w="1005" w:type="pct"/>
            <w:tcBorders>
              <w:top w:val="single" w:sz="4" w:space="0" w:color="auto"/>
              <w:left w:val="single" w:sz="4" w:space="0" w:color="auto"/>
              <w:right w:val="single" w:sz="4" w:space="0" w:color="auto"/>
            </w:tcBorders>
            <w:vAlign w:val="center"/>
          </w:tcPr>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（1）</w:t>
            </w:r>
          </w:p>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（3）</w:t>
            </w:r>
          </w:p>
        </w:tc>
      </w:tr>
      <w:tr w:rsidR="00494448" w:rsidRPr="006E57E0" w:rsidTr="00BE5664">
        <w:trPr>
          <w:trHeight w:val="900"/>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期终考试</w:t>
            </w:r>
          </w:p>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（70%）</w:t>
            </w:r>
          </w:p>
        </w:tc>
        <w:tc>
          <w:tcPr>
            <w:tcW w:w="2795" w:type="pct"/>
            <w:tcBorders>
              <w:top w:val="single" w:sz="4" w:space="0" w:color="auto"/>
              <w:left w:val="single" w:sz="4" w:space="0" w:color="auto"/>
              <w:right w:val="single" w:sz="4" w:space="0" w:color="auto"/>
            </w:tcBorders>
            <w:vAlign w:val="center"/>
          </w:tcPr>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期末考试采用闭卷形式。考试范围基本涵盖所有讲授内容，考试内容</w:t>
            </w:r>
            <w:r w:rsidRPr="006E57E0">
              <w:rPr>
                <w:rFonts w:ascii="仿宋_GB2312" w:hAnsi="仿宋_GB2312" w:cs="仿宋_GB2312"/>
                <w:bCs/>
                <w:sz w:val="28"/>
                <w:szCs w:val="28"/>
              </w:rPr>
              <w:lastRenderedPageBreak/>
              <w:t>主要反映学生对本课程计算和分析问题方法等理解和掌握的程度，以及综合运用的能力。</w:t>
            </w:r>
          </w:p>
        </w:tc>
        <w:tc>
          <w:tcPr>
            <w:tcW w:w="1005" w:type="pct"/>
            <w:tcBorders>
              <w:top w:val="single" w:sz="4" w:space="0" w:color="auto"/>
              <w:left w:val="single" w:sz="4" w:space="0" w:color="auto"/>
              <w:right w:val="single" w:sz="4" w:space="0" w:color="auto"/>
            </w:tcBorders>
            <w:vAlign w:val="center"/>
          </w:tcPr>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lastRenderedPageBreak/>
              <w:t>（1）</w:t>
            </w:r>
          </w:p>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（3）</w:t>
            </w:r>
          </w:p>
        </w:tc>
      </w:tr>
    </w:tbl>
    <w:p w:rsidR="00494448" w:rsidRPr="006E57E0" w:rsidRDefault="00494448" w:rsidP="006E57E0">
      <w:pPr>
        <w:spacing w:line="276" w:lineRule="auto"/>
        <w:ind w:firstLineChars="150" w:firstLine="420"/>
        <w:rPr>
          <w:rFonts w:ascii="仿宋_GB2312" w:hAnsi="仿宋_GB2312" w:cs="仿宋_GB2312"/>
          <w:bCs/>
          <w:sz w:val="28"/>
          <w:szCs w:val="28"/>
        </w:rPr>
      </w:pPr>
    </w:p>
    <w:p w:rsidR="00494448" w:rsidRPr="006E57E0" w:rsidRDefault="00494448" w:rsidP="006E57E0">
      <w:pPr>
        <w:spacing w:line="276" w:lineRule="auto"/>
        <w:ind w:firstLineChars="150" w:firstLine="422"/>
        <w:rPr>
          <w:rFonts w:ascii="仿宋_GB2312" w:hAnsi="仿宋_GB2312" w:cs="仿宋_GB2312"/>
          <w:b/>
          <w:bCs/>
          <w:sz w:val="28"/>
          <w:szCs w:val="28"/>
        </w:rPr>
      </w:pPr>
      <w:r w:rsidRPr="006E57E0">
        <w:rPr>
          <w:rFonts w:ascii="仿宋_GB2312" w:hAnsi="仿宋_GB2312" w:cs="仿宋_GB2312" w:hint="eastAsia"/>
          <w:b/>
          <w:bCs/>
          <w:sz w:val="28"/>
          <w:szCs w:val="28"/>
        </w:rPr>
        <w:t>3.</w:t>
      </w:r>
      <w:r w:rsidRPr="006E57E0">
        <w:rPr>
          <w:rFonts w:ascii="仿宋_GB2312" w:hAnsi="仿宋_GB2312" w:cs="仿宋_GB2312"/>
          <w:b/>
          <w:bCs/>
          <w:sz w:val="28"/>
          <w:szCs w:val="28"/>
        </w:rPr>
        <w:t>课程目标达成度自评方式</w:t>
      </w:r>
    </w:p>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据学院教学管理规定，在开展课程达成度评价前，课程评价审核小组对课程的评价依据合理性进行确认，包括</w:t>
      </w:r>
      <w:r w:rsidRPr="006E57E0">
        <w:rPr>
          <w:rFonts w:ascii="仿宋_GB2312" w:hAnsi="仿宋_GB2312" w:cs="仿宋_GB2312" w:hint="eastAsia"/>
          <w:bCs/>
          <w:sz w:val="28"/>
          <w:szCs w:val="28"/>
        </w:rPr>
        <w:t>课堂教学效果、学生完成的</w:t>
      </w:r>
      <w:r w:rsidRPr="006E57E0">
        <w:rPr>
          <w:rFonts w:ascii="仿宋_GB2312" w:hAnsi="仿宋_GB2312" w:cs="仿宋_GB2312"/>
          <w:bCs/>
          <w:sz w:val="28"/>
          <w:szCs w:val="28"/>
        </w:rPr>
        <w:t>平时作业、</w:t>
      </w:r>
      <w:r w:rsidRPr="006E57E0">
        <w:rPr>
          <w:rFonts w:ascii="仿宋_GB2312" w:hAnsi="仿宋_GB2312" w:cs="仿宋_GB2312" w:hint="eastAsia"/>
          <w:bCs/>
          <w:sz w:val="28"/>
          <w:szCs w:val="28"/>
        </w:rPr>
        <w:t>报告</w:t>
      </w:r>
      <w:r w:rsidRPr="006E57E0">
        <w:rPr>
          <w:rFonts w:ascii="仿宋_GB2312" w:hAnsi="仿宋_GB2312" w:cs="仿宋_GB2312"/>
          <w:bCs/>
          <w:sz w:val="28"/>
          <w:szCs w:val="28"/>
        </w:rPr>
        <w:t>、期终考试等考核环节。课程结束后，课程小组需要对课程进行达成度评价，课程小组由课程负责人和任课教师组成，统计课程考核数据，并填写“《</w:t>
      </w:r>
      <w:r w:rsidRPr="006E57E0">
        <w:rPr>
          <w:rFonts w:ascii="仿宋_GB2312" w:hAnsi="仿宋_GB2312" w:cs="仿宋_GB2312" w:hint="eastAsia"/>
          <w:bCs/>
          <w:sz w:val="28"/>
          <w:szCs w:val="28"/>
        </w:rPr>
        <w:t>钢结构基本理论</w:t>
      </w:r>
      <w:r w:rsidRPr="006E57E0">
        <w:rPr>
          <w:rFonts w:ascii="仿宋_GB2312" w:hAnsi="仿宋_GB2312" w:cs="仿宋_GB2312"/>
          <w:bCs/>
          <w:sz w:val="28"/>
          <w:szCs w:val="28"/>
        </w:rPr>
        <w:t>》课程达成情况评价”报告，以便及时了解课程的达成效果，发现问题并进行持续改进，同时也为毕业要求达成度的评价提供基础数据。</w:t>
      </w:r>
    </w:p>
    <w:p w:rsidR="00494448" w:rsidRPr="006E57E0" w:rsidRDefault="00494448" w:rsidP="006E57E0">
      <w:pPr>
        <w:spacing w:line="276" w:lineRule="auto"/>
        <w:ind w:firstLineChars="150" w:firstLine="420"/>
        <w:rPr>
          <w:rFonts w:ascii="仿宋_GB2312" w:hAnsi="仿宋_GB2312" w:cs="仿宋_GB2312"/>
          <w:bCs/>
          <w:sz w:val="28"/>
          <w:szCs w:val="28"/>
        </w:rPr>
      </w:pPr>
      <w:r w:rsidRPr="006E57E0">
        <w:rPr>
          <w:rFonts w:ascii="仿宋_GB2312" w:hAnsi="仿宋_GB2312" w:cs="仿宋_GB2312"/>
          <w:bCs/>
          <w:sz w:val="28"/>
          <w:szCs w:val="28"/>
        </w:rPr>
        <w:t>根据课程的考核形式，全部或抽样部分考核资料（应以当年修读该课程的学生为总体，至少抽取90%以上的学生样本），抽样时需覆盖优、良、中、及格和不及格等考核等级的考核资料。课程达成度的具体评价方法，详见“《</w:t>
      </w:r>
      <w:r w:rsidRPr="006E57E0">
        <w:rPr>
          <w:rFonts w:ascii="仿宋_GB2312" w:hAnsi="仿宋_GB2312" w:cs="仿宋_GB2312" w:hint="eastAsia"/>
          <w:bCs/>
          <w:sz w:val="28"/>
          <w:szCs w:val="28"/>
        </w:rPr>
        <w:t>钢结构基本理论</w:t>
      </w:r>
      <w:r w:rsidRPr="006E57E0">
        <w:rPr>
          <w:rFonts w:ascii="仿宋_GB2312" w:hAnsi="仿宋_GB2312" w:cs="仿宋_GB2312"/>
          <w:bCs/>
          <w:sz w:val="28"/>
          <w:szCs w:val="28"/>
        </w:rPr>
        <w:t>》课程达成情况评价”报告。课程小组提交课程达成度评价数据后，课程评价审核小组对评价数据的合理性和有效性进行审核。</w:t>
      </w:r>
    </w:p>
    <w:p w:rsidR="00494448" w:rsidRPr="00D24ABE" w:rsidRDefault="00494448" w:rsidP="00D24ABE">
      <w:pPr>
        <w:spacing w:beforeLines="50" w:before="156" w:afterLines="50" w:after="156" w:line="560" w:lineRule="exact"/>
        <w:rPr>
          <w:rFonts w:ascii="黑体" w:eastAsia="黑体" w:hAnsi="黑体"/>
          <w:b/>
          <w:sz w:val="28"/>
          <w:szCs w:val="28"/>
        </w:rPr>
      </w:pPr>
      <w:r w:rsidRPr="00D24ABE">
        <w:rPr>
          <w:rFonts w:ascii="黑体" w:eastAsia="黑体" w:hAnsi="黑体"/>
          <w:b/>
          <w:sz w:val="28"/>
          <w:szCs w:val="28"/>
        </w:rPr>
        <w:t>六、课程建议教材及主要参考资料</w:t>
      </w:r>
    </w:p>
    <w:p w:rsidR="00494448" w:rsidRPr="00D24ABE" w:rsidRDefault="00494448" w:rsidP="00494448">
      <w:pPr>
        <w:spacing w:afterLines="50" w:after="156" w:line="360" w:lineRule="auto"/>
        <w:ind w:firstLineChars="147" w:firstLine="412"/>
        <w:rPr>
          <w:rFonts w:ascii="仿宋_GB2312" w:hAnsi="仿宋_GB2312" w:cs="仿宋_GB2312"/>
          <w:bCs/>
          <w:sz w:val="28"/>
          <w:szCs w:val="28"/>
        </w:rPr>
      </w:pPr>
      <w:r w:rsidRPr="00D24ABE">
        <w:rPr>
          <w:rFonts w:ascii="仿宋_GB2312" w:hAnsi="仿宋_GB2312" w:cs="仿宋_GB2312"/>
          <w:bCs/>
          <w:sz w:val="28"/>
          <w:szCs w:val="28"/>
        </w:rPr>
        <w:t>1、《</w:t>
      </w:r>
      <w:r w:rsidRPr="00D24ABE">
        <w:rPr>
          <w:rFonts w:ascii="仿宋_GB2312" w:hAnsi="仿宋_GB2312" w:cs="仿宋_GB2312" w:hint="eastAsia"/>
          <w:bCs/>
          <w:sz w:val="28"/>
          <w:szCs w:val="28"/>
        </w:rPr>
        <w:t>钢结构</w:t>
      </w:r>
      <w:r w:rsidRPr="00D24ABE">
        <w:rPr>
          <w:rFonts w:ascii="仿宋_GB2312" w:hAnsi="仿宋_GB2312" w:cs="仿宋_GB2312"/>
          <w:bCs/>
          <w:sz w:val="28"/>
          <w:szCs w:val="28"/>
        </w:rPr>
        <w:t>》（第</w:t>
      </w:r>
      <w:r w:rsidRPr="00D24ABE">
        <w:rPr>
          <w:rFonts w:ascii="仿宋_GB2312" w:hAnsi="仿宋_GB2312" w:cs="仿宋_GB2312" w:hint="eastAsia"/>
          <w:bCs/>
          <w:sz w:val="28"/>
          <w:szCs w:val="28"/>
        </w:rPr>
        <w:t>5</w:t>
      </w:r>
      <w:r w:rsidRPr="00D24ABE">
        <w:rPr>
          <w:rFonts w:ascii="仿宋_GB2312" w:hAnsi="仿宋_GB2312" w:cs="仿宋_GB2312"/>
          <w:bCs/>
          <w:sz w:val="28"/>
          <w:szCs w:val="28"/>
        </w:rPr>
        <w:t>版），</w:t>
      </w:r>
      <w:r w:rsidRPr="00D24ABE">
        <w:rPr>
          <w:rFonts w:ascii="仿宋_GB2312" w:hAnsi="仿宋_GB2312" w:cs="仿宋_GB2312" w:hint="eastAsia"/>
          <w:bCs/>
          <w:sz w:val="28"/>
          <w:szCs w:val="28"/>
        </w:rPr>
        <w:t>戴国欣</w:t>
      </w:r>
      <w:r w:rsidRPr="00D24ABE">
        <w:rPr>
          <w:rFonts w:ascii="仿宋_GB2312" w:hAnsi="仿宋_GB2312" w:cs="仿宋_GB2312"/>
          <w:bCs/>
          <w:sz w:val="28"/>
          <w:szCs w:val="28"/>
        </w:rPr>
        <w:t>主编，</w:t>
      </w:r>
      <w:r w:rsidRPr="00D24ABE">
        <w:rPr>
          <w:rFonts w:ascii="仿宋_GB2312" w:hAnsi="仿宋_GB2312" w:cs="仿宋_GB2312" w:hint="eastAsia"/>
          <w:bCs/>
          <w:sz w:val="28"/>
          <w:szCs w:val="28"/>
        </w:rPr>
        <w:t>武汉理工大学</w:t>
      </w:r>
      <w:r w:rsidRPr="00D24ABE">
        <w:rPr>
          <w:rFonts w:ascii="仿宋_GB2312" w:hAnsi="仿宋_GB2312" w:cs="仿宋_GB2312"/>
          <w:bCs/>
          <w:sz w:val="28"/>
          <w:szCs w:val="28"/>
        </w:rPr>
        <w:t>出版社；（本课程教材）；</w:t>
      </w:r>
    </w:p>
    <w:p w:rsidR="00494448" w:rsidRPr="00D24ABE" w:rsidRDefault="00494448" w:rsidP="00494448">
      <w:pPr>
        <w:spacing w:afterLines="50" w:after="156" w:line="360" w:lineRule="auto"/>
        <w:ind w:firstLineChars="147" w:firstLine="412"/>
        <w:rPr>
          <w:rFonts w:ascii="仿宋_GB2312" w:hAnsi="仿宋_GB2312" w:cs="仿宋_GB2312"/>
          <w:bCs/>
          <w:sz w:val="28"/>
          <w:szCs w:val="28"/>
        </w:rPr>
      </w:pPr>
      <w:r w:rsidRPr="00D24ABE">
        <w:rPr>
          <w:rFonts w:ascii="仿宋_GB2312" w:hAnsi="仿宋_GB2312" w:cs="仿宋_GB2312"/>
          <w:bCs/>
          <w:sz w:val="28"/>
          <w:szCs w:val="28"/>
        </w:rPr>
        <w:lastRenderedPageBreak/>
        <w:t>2、《</w:t>
      </w:r>
      <w:r w:rsidRPr="00D24ABE">
        <w:rPr>
          <w:rFonts w:ascii="仿宋_GB2312" w:hAnsi="仿宋_GB2312" w:cs="仿宋_GB2312" w:hint="eastAsia"/>
          <w:bCs/>
          <w:sz w:val="28"/>
          <w:szCs w:val="28"/>
        </w:rPr>
        <w:t>钢结构基本原理</w:t>
      </w:r>
      <w:r w:rsidRPr="00D24ABE">
        <w:rPr>
          <w:rFonts w:ascii="仿宋_GB2312" w:hAnsi="仿宋_GB2312" w:cs="仿宋_GB2312"/>
          <w:bCs/>
          <w:sz w:val="28"/>
          <w:szCs w:val="28"/>
        </w:rPr>
        <w:t>》（第二版），</w:t>
      </w:r>
      <w:r w:rsidRPr="00D24ABE">
        <w:rPr>
          <w:rFonts w:ascii="仿宋_GB2312" w:hAnsi="仿宋_GB2312" w:cs="仿宋_GB2312" w:hint="eastAsia"/>
          <w:bCs/>
          <w:sz w:val="28"/>
          <w:szCs w:val="28"/>
        </w:rPr>
        <w:t>何若全</w:t>
      </w:r>
      <w:r w:rsidRPr="00D24ABE">
        <w:rPr>
          <w:rFonts w:ascii="仿宋_GB2312" w:hAnsi="仿宋_GB2312" w:cs="仿宋_GB2312"/>
          <w:bCs/>
          <w:sz w:val="28"/>
          <w:szCs w:val="28"/>
        </w:rPr>
        <w:t>主编，</w:t>
      </w:r>
      <w:r w:rsidRPr="00D24ABE">
        <w:rPr>
          <w:rFonts w:ascii="仿宋_GB2312" w:hAnsi="仿宋_GB2312" w:cs="仿宋_GB2312" w:hint="eastAsia"/>
          <w:bCs/>
          <w:sz w:val="28"/>
          <w:szCs w:val="28"/>
        </w:rPr>
        <w:t>中国建筑工业</w:t>
      </w:r>
      <w:r w:rsidRPr="00D24ABE">
        <w:rPr>
          <w:rFonts w:ascii="仿宋_GB2312" w:hAnsi="仿宋_GB2312" w:cs="仿宋_GB2312"/>
          <w:bCs/>
          <w:sz w:val="28"/>
          <w:szCs w:val="28"/>
        </w:rPr>
        <w:t>出版社；</w:t>
      </w:r>
      <w:r w:rsidRPr="00D24ABE">
        <w:rPr>
          <w:rFonts w:ascii="仿宋_GB2312" w:hAnsi="仿宋_GB2312" w:cs="仿宋_GB2312" w:hint="eastAsia"/>
          <w:bCs/>
          <w:sz w:val="28"/>
          <w:szCs w:val="28"/>
        </w:rPr>
        <w:t>（参考教材）</w:t>
      </w:r>
    </w:p>
    <w:p w:rsidR="00494448" w:rsidRPr="00D24ABE" w:rsidRDefault="00494448" w:rsidP="00494448">
      <w:pPr>
        <w:spacing w:afterLines="50" w:after="156" w:line="360" w:lineRule="auto"/>
        <w:ind w:firstLineChars="147" w:firstLine="412"/>
        <w:rPr>
          <w:rFonts w:ascii="仿宋_GB2312" w:hAnsi="仿宋_GB2312" w:cs="仿宋_GB2312"/>
          <w:bCs/>
          <w:sz w:val="28"/>
          <w:szCs w:val="28"/>
        </w:rPr>
      </w:pPr>
      <w:r w:rsidRPr="00D24ABE">
        <w:rPr>
          <w:rFonts w:ascii="仿宋_GB2312" w:hAnsi="仿宋_GB2312" w:cs="仿宋_GB2312"/>
          <w:bCs/>
          <w:sz w:val="28"/>
          <w:szCs w:val="28"/>
        </w:rPr>
        <w:t>3、《</w:t>
      </w:r>
      <w:r w:rsidRPr="00D24ABE">
        <w:rPr>
          <w:rFonts w:ascii="仿宋_GB2312" w:hAnsi="仿宋_GB2312" w:cs="仿宋_GB2312" w:hint="eastAsia"/>
          <w:bCs/>
          <w:sz w:val="28"/>
          <w:szCs w:val="28"/>
        </w:rPr>
        <w:t>钢结构设计手册</w:t>
      </w:r>
      <w:r w:rsidRPr="00D24ABE">
        <w:rPr>
          <w:rFonts w:ascii="仿宋_GB2312" w:hAnsi="仿宋_GB2312" w:cs="仿宋_GB2312"/>
          <w:bCs/>
          <w:sz w:val="28"/>
          <w:szCs w:val="28"/>
        </w:rPr>
        <w:t>》，</w:t>
      </w:r>
      <w:r w:rsidRPr="00D24ABE">
        <w:rPr>
          <w:rFonts w:ascii="仿宋_GB2312" w:hAnsi="仿宋_GB2312" w:cs="仿宋_GB2312" w:hint="eastAsia"/>
          <w:bCs/>
          <w:sz w:val="28"/>
          <w:szCs w:val="28"/>
        </w:rPr>
        <w:t>（第四版）</w:t>
      </w:r>
      <w:r w:rsidRPr="00D24ABE">
        <w:rPr>
          <w:rFonts w:ascii="仿宋_GB2312" w:hAnsi="仿宋_GB2312" w:cs="仿宋_GB2312"/>
          <w:bCs/>
          <w:sz w:val="28"/>
          <w:szCs w:val="28"/>
        </w:rPr>
        <w:t>，</w:t>
      </w:r>
      <w:r w:rsidRPr="00D24ABE">
        <w:rPr>
          <w:rFonts w:ascii="仿宋_GB2312" w:hAnsi="仿宋_GB2312" w:cs="仿宋_GB2312" w:hint="eastAsia"/>
          <w:bCs/>
          <w:sz w:val="28"/>
          <w:szCs w:val="28"/>
        </w:rPr>
        <w:t>但泽义主编，中国建筑工业</w:t>
      </w:r>
      <w:r w:rsidRPr="00D24ABE">
        <w:rPr>
          <w:rFonts w:ascii="仿宋_GB2312" w:hAnsi="仿宋_GB2312" w:cs="仿宋_GB2312"/>
          <w:bCs/>
          <w:sz w:val="28"/>
          <w:szCs w:val="28"/>
        </w:rPr>
        <w:t>出版社。</w:t>
      </w:r>
      <w:r w:rsidRPr="00D24ABE">
        <w:rPr>
          <w:rFonts w:ascii="仿宋_GB2312" w:hAnsi="仿宋_GB2312" w:cs="仿宋_GB2312" w:hint="eastAsia"/>
          <w:bCs/>
          <w:sz w:val="28"/>
          <w:szCs w:val="28"/>
        </w:rPr>
        <w:t>（参考资料）</w:t>
      </w:r>
    </w:p>
    <w:p w:rsidR="00494448" w:rsidRDefault="00494448" w:rsidP="00494448">
      <w:pPr>
        <w:spacing w:line="440" w:lineRule="exact"/>
        <w:rPr>
          <w:rFonts w:eastAsia="黑体"/>
          <w:b/>
          <w:sz w:val="28"/>
          <w:szCs w:val="28"/>
        </w:rPr>
      </w:pPr>
      <w:r>
        <w:rPr>
          <w:rFonts w:eastAsia="黑体" w:hint="eastAsia"/>
          <w:b/>
          <w:sz w:val="28"/>
          <w:szCs w:val="28"/>
        </w:rPr>
        <w:t>七</w:t>
      </w:r>
      <w:r>
        <w:rPr>
          <w:rFonts w:eastAsia="黑体"/>
          <w:b/>
          <w:sz w:val="28"/>
          <w:szCs w:val="28"/>
        </w:rPr>
        <w:t>、执行大纲应注意的问题</w:t>
      </w:r>
    </w:p>
    <w:p w:rsidR="00494448" w:rsidRDefault="00494448" w:rsidP="00494448">
      <w:pPr>
        <w:spacing w:line="440" w:lineRule="exact"/>
        <w:rPr>
          <w:rFonts w:eastAsia="黑体"/>
          <w:b/>
          <w:sz w:val="28"/>
          <w:szCs w:val="28"/>
        </w:rPr>
      </w:pPr>
    </w:p>
    <w:p w:rsidR="00494448" w:rsidRPr="00D24ABE" w:rsidRDefault="00494448" w:rsidP="00D24ABE">
      <w:pPr>
        <w:spacing w:afterLines="50" w:after="156" w:line="360" w:lineRule="auto"/>
        <w:ind w:firstLineChars="147" w:firstLine="412"/>
        <w:rPr>
          <w:rFonts w:ascii="仿宋_GB2312" w:hAnsi="仿宋_GB2312" w:cs="仿宋_GB2312"/>
          <w:bCs/>
          <w:sz w:val="28"/>
          <w:szCs w:val="28"/>
        </w:rPr>
      </w:pPr>
      <w:r w:rsidRPr="00D24ABE">
        <w:rPr>
          <w:rFonts w:ascii="仿宋_GB2312" w:hAnsi="仿宋_GB2312" w:cs="仿宋_GB2312"/>
          <w:bCs/>
          <w:sz w:val="28"/>
          <w:szCs w:val="28"/>
        </w:rPr>
        <w:t>1、教学中应注重基本知识、基本理论和基本方法的讲授，注意精讲多练。</w:t>
      </w:r>
    </w:p>
    <w:p w:rsidR="00494448" w:rsidRPr="00D24ABE" w:rsidRDefault="00494448" w:rsidP="00D24ABE">
      <w:pPr>
        <w:spacing w:afterLines="50" w:after="156" w:line="360" w:lineRule="auto"/>
        <w:ind w:firstLineChars="147" w:firstLine="412"/>
        <w:rPr>
          <w:rFonts w:ascii="仿宋_GB2312" w:hAnsi="仿宋_GB2312" w:cs="仿宋_GB2312"/>
          <w:bCs/>
          <w:sz w:val="28"/>
          <w:szCs w:val="28"/>
        </w:rPr>
      </w:pPr>
      <w:r w:rsidRPr="00D24ABE">
        <w:rPr>
          <w:rFonts w:ascii="仿宋_GB2312" w:hAnsi="仿宋_GB2312" w:cs="仿宋_GB2312"/>
          <w:bCs/>
          <w:sz w:val="28"/>
          <w:szCs w:val="28"/>
        </w:rPr>
        <w:t>2、</w:t>
      </w:r>
      <w:r w:rsidRPr="00D24ABE">
        <w:rPr>
          <w:rFonts w:ascii="仿宋_GB2312" w:hAnsi="仿宋_GB2312" w:cs="仿宋_GB2312" w:hint="eastAsia"/>
          <w:bCs/>
          <w:sz w:val="28"/>
          <w:szCs w:val="28"/>
        </w:rPr>
        <w:t>注重理论联系实践</w:t>
      </w:r>
      <w:r w:rsidRPr="00D24ABE">
        <w:rPr>
          <w:rFonts w:ascii="仿宋_GB2312" w:hAnsi="仿宋_GB2312" w:cs="仿宋_GB2312"/>
          <w:bCs/>
          <w:sz w:val="28"/>
          <w:szCs w:val="28"/>
        </w:rPr>
        <w:t>，重视学生实践能力的培养。要求学生</w:t>
      </w:r>
      <w:r w:rsidRPr="00D24ABE">
        <w:rPr>
          <w:rFonts w:ascii="仿宋_GB2312" w:hAnsi="仿宋_GB2312" w:cs="仿宋_GB2312" w:hint="eastAsia"/>
          <w:bCs/>
          <w:sz w:val="28"/>
          <w:szCs w:val="28"/>
        </w:rPr>
        <w:t>主动了解实际的钢结构工程</w:t>
      </w:r>
      <w:r w:rsidRPr="00D24ABE">
        <w:rPr>
          <w:rFonts w:ascii="仿宋_GB2312" w:hAnsi="仿宋_GB2312" w:cs="仿宋_GB2312"/>
          <w:bCs/>
          <w:sz w:val="28"/>
          <w:szCs w:val="28"/>
        </w:rPr>
        <w:t>，</w:t>
      </w:r>
      <w:r w:rsidRPr="00D24ABE">
        <w:rPr>
          <w:rFonts w:ascii="仿宋_GB2312" w:hAnsi="仿宋_GB2312" w:cs="仿宋_GB2312" w:hint="eastAsia"/>
          <w:bCs/>
          <w:sz w:val="28"/>
          <w:szCs w:val="28"/>
        </w:rPr>
        <w:t>通过过实践工程的调研，加强对理论知识的理解，并提高知识的应用能力</w:t>
      </w:r>
      <w:r w:rsidRPr="00D24ABE">
        <w:rPr>
          <w:rFonts w:ascii="仿宋_GB2312" w:hAnsi="仿宋_GB2312" w:cs="仿宋_GB2312"/>
          <w:bCs/>
          <w:sz w:val="28"/>
          <w:szCs w:val="28"/>
        </w:rPr>
        <w:t>。</w:t>
      </w:r>
    </w:p>
    <w:p w:rsidR="00494448" w:rsidRPr="00D24ABE" w:rsidRDefault="00494448" w:rsidP="00D24ABE">
      <w:pPr>
        <w:spacing w:afterLines="50" w:after="156" w:line="360" w:lineRule="auto"/>
        <w:ind w:firstLineChars="147" w:firstLine="412"/>
        <w:rPr>
          <w:rFonts w:ascii="仿宋_GB2312" w:hAnsi="仿宋_GB2312" w:cs="仿宋_GB2312"/>
          <w:bCs/>
          <w:sz w:val="28"/>
          <w:szCs w:val="28"/>
        </w:rPr>
      </w:pPr>
      <w:r w:rsidRPr="00D24ABE">
        <w:rPr>
          <w:rFonts w:ascii="仿宋_GB2312" w:hAnsi="仿宋_GB2312" w:cs="仿宋_GB2312"/>
          <w:bCs/>
          <w:sz w:val="28"/>
          <w:szCs w:val="28"/>
        </w:rPr>
        <w:t>3、教学内容的顺序及其安排仅供参考，教师可根据情况作适当调整。</w:t>
      </w:r>
    </w:p>
    <w:p w:rsidR="00494448" w:rsidRDefault="00494448" w:rsidP="00494448">
      <w:pPr>
        <w:spacing w:line="360" w:lineRule="auto"/>
        <w:ind w:firstLineChars="1200" w:firstLine="3360"/>
        <w:rPr>
          <w:rFonts w:eastAsia="仿宋"/>
          <w:sz w:val="28"/>
          <w:szCs w:val="28"/>
        </w:rPr>
      </w:pPr>
    </w:p>
    <w:p w:rsidR="00494448" w:rsidRDefault="00494448" w:rsidP="00494448">
      <w:pPr>
        <w:spacing w:line="360" w:lineRule="auto"/>
        <w:ind w:firstLineChars="1200" w:firstLine="3360"/>
        <w:rPr>
          <w:rFonts w:eastAsia="仿宋"/>
          <w:sz w:val="28"/>
          <w:szCs w:val="28"/>
        </w:rPr>
      </w:pPr>
      <w:r>
        <w:rPr>
          <w:rFonts w:eastAsia="仿宋"/>
          <w:sz w:val="28"/>
          <w:szCs w:val="28"/>
        </w:rPr>
        <w:t>大纲撰写人：</w:t>
      </w:r>
    </w:p>
    <w:p w:rsidR="00494448" w:rsidRDefault="00494448" w:rsidP="00494448">
      <w:pPr>
        <w:spacing w:line="360" w:lineRule="auto"/>
        <w:ind w:firstLineChars="1200" w:firstLine="3360"/>
        <w:rPr>
          <w:rFonts w:eastAsia="仿宋"/>
          <w:sz w:val="28"/>
          <w:szCs w:val="28"/>
        </w:rPr>
      </w:pPr>
      <w:r>
        <w:rPr>
          <w:rFonts w:eastAsia="仿宋"/>
          <w:sz w:val="28"/>
          <w:szCs w:val="28"/>
        </w:rPr>
        <w:t>课程负责人：</w:t>
      </w:r>
    </w:p>
    <w:p w:rsidR="00494448" w:rsidRDefault="00494448" w:rsidP="00494448">
      <w:pPr>
        <w:spacing w:line="360" w:lineRule="auto"/>
        <w:ind w:firstLineChars="1200" w:firstLine="3360"/>
        <w:rPr>
          <w:rFonts w:eastAsia="仿宋"/>
          <w:sz w:val="28"/>
          <w:szCs w:val="28"/>
        </w:rPr>
      </w:pPr>
      <w:r>
        <w:rPr>
          <w:rFonts w:eastAsia="仿宋"/>
          <w:sz w:val="28"/>
          <w:szCs w:val="28"/>
        </w:rPr>
        <w:t>审核人：</w:t>
      </w:r>
    </w:p>
    <w:p w:rsidR="00494448" w:rsidRDefault="00494448" w:rsidP="00494448">
      <w:pPr>
        <w:jc w:val="center"/>
        <w:rPr>
          <w:color w:val="000000"/>
          <w:sz w:val="28"/>
          <w:szCs w:val="28"/>
        </w:rPr>
      </w:pPr>
      <w:r>
        <w:rPr>
          <w:rFonts w:eastAsia="仿宋"/>
          <w:sz w:val="28"/>
          <w:szCs w:val="28"/>
        </w:rPr>
        <w:t xml:space="preserve">                  </w:t>
      </w:r>
      <w:r>
        <w:rPr>
          <w:sz w:val="28"/>
          <w:szCs w:val="28"/>
        </w:rPr>
        <w:t xml:space="preserve">       </w:t>
      </w:r>
    </w:p>
    <w:p w:rsidR="00494448" w:rsidRDefault="00494448" w:rsidP="00494448">
      <w:pPr>
        <w:jc w:val="right"/>
        <w:rPr>
          <w:sz w:val="28"/>
          <w:szCs w:val="28"/>
        </w:rPr>
      </w:pPr>
      <w:r>
        <w:rPr>
          <w:rFonts w:eastAsia="仿宋"/>
          <w:sz w:val="28"/>
          <w:szCs w:val="28"/>
        </w:rPr>
        <w:t xml:space="preserve">                                      </w:t>
      </w:r>
      <w:r>
        <w:rPr>
          <w:rFonts w:eastAsia="仿宋"/>
          <w:sz w:val="28"/>
          <w:szCs w:val="28"/>
        </w:rPr>
        <w:t>年</w:t>
      </w:r>
      <w:r>
        <w:rPr>
          <w:rFonts w:eastAsia="仿宋"/>
          <w:sz w:val="28"/>
          <w:szCs w:val="28"/>
        </w:rPr>
        <w:t xml:space="preserve">    </w:t>
      </w:r>
      <w:r>
        <w:rPr>
          <w:rFonts w:eastAsia="仿宋"/>
          <w:sz w:val="28"/>
          <w:szCs w:val="28"/>
        </w:rPr>
        <w:t>月</w:t>
      </w:r>
    </w:p>
    <w:p w:rsidR="00494448" w:rsidRDefault="00494448" w:rsidP="00494448">
      <w:pPr>
        <w:snapToGrid w:val="0"/>
        <w:ind w:firstLineChars="2400" w:firstLine="7710"/>
        <w:rPr>
          <w:rFonts w:ascii="宋体" w:hAnsi="宋体"/>
          <w:b/>
          <w:szCs w:val="21"/>
        </w:rPr>
      </w:pPr>
    </w:p>
    <w:p w:rsidR="00D24ABE" w:rsidRDefault="00D24ABE" w:rsidP="00494448">
      <w:pPr>
        <w:snapToGrid w:val="0"/>
        <w:ind w:firstLineChars="2400" w:firstLine="7710"/>
        <w:rPr>
          <w:rFonts w:ascii="宋体" w:hAnsi="宋体"/>
          <w:b/>
          <w:szCs w:val="21"/>
        </w:rPr>
      </w:pPr>
    </w:p>
    <w:p w:rsidR="00D24ABE" w:rsidRDefault="00D24ABE" w:rsidP="00494448">
      <w:pPr>
        <w:snapToGrid w:val="0"/>
        <w:ind w:firstLineChars="2400" w:firstLine="7710"/>
        <w:rPr>
          <w:rFonts w:ascii="宋体" w:hAnsi="宋体"/>
          <w:b/>
          <w:szCs w:val="21"/>
        </w:rPr>
      </w:pPr>
    </w:p>
    <w:p w:rsidR="00494448" w:rsidRPr="00D24ABE" w:rsidRDefault="00494448" w:rsidP="00494448">
      <w:pPr>
        <w:ind w:firstLineChars="895" w:firstLine="2864"/>
        <w:rPr>
          <w:rFonts w:ascii="方正小标宋简体" w:eastAsia="方正小标宋简体" w:hAnsi="宋体"/>
          <w:kern w:val="0"/>
          <w:szCs w:val="32"/>
        </w:rPr>
      </w:pPr>
      <w:r w:rsidRPr="00D24ABE">
        <w:rPr>
          <w:rFonts w:ascii="方正小标宋简体" w:eastAsia="方正小标宋简体" w:hAnsi="宋体"/>
          <w:kern w:val="0"/>
          <w:szCs w:val="32"/>
        </w:rPr>
        <w:lastRenderedPageBreak/>
        <w:t>《钢结构设计》课程教学大纲</w:t>
      </w:r>
    </w:p>
    <w:p w:rsidR="00494448" w:rsidRPr="00D24ABE" w:rsidRDefault="00494448" w:rsidP="00D24ABE">
      <w:pPr>
        <w:spacing w:beforeLines="50" w:before="156" w:afterLines="50" w:after="156" w:line="560" w:lineRule="exact"/>
        <w:rPr>
          <w:rFonts w:ascii="黑体" w:eastAsia="黑体" w:hAnsi="黑体"/>
          <w:b/>
          <w:sz w:val="28"/>
          <w:szCs w:val="28"/>
        </w:rPr>
      </w:pPr>
      <w:r w:rsidRPr="00D24ABE">
        <w:rPr>
          <w:rFonts w:ascii="黑体" w:eastAsia="黑体" w:hAnsi="黑体"/>
          <w:b/>
          <w:sz w:val="28"/>
          <w:szCs w:val="28"/>
        </w:rPr>
        <w:t>一、课程信息</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t>英文名称：Design of Steel Structures</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t>课程编码：Z2802030</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t>授课语言：汉语</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t>授课方式：线下</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t>课程类别：专业发展</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t>课程性质：必修</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t>学　　分：1.5</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t>学    时：24学时（授课24，实验0，上机0，课外0）</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t>适用对象：土木工程</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t>先修课程：结构力学，结构稳定理论，钢结构基本理论。</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t>开课院系：</w:t>
      </w:r>
      <w:bookmarkStart w:id="8" w:name="OLE_LINK2"/>
      <w:bookmarkStart w:id="9" w:name="OLE_LINK1"/>
      <w:r w:rsidRPr="00D24ABE">
        <w:rPr>
          <w:rFonts w:ascii="仿宋_GB2312" w:hAnsi="仿宋_GB2312" w:cs="仿宋_GB2312"/>
          <w:bCs/>
          <w:sz w:val="28"/>
          <w:szCs w:val="28"/>
        </w:rPr>
        <w:t>建筑工程</w:t>
      </w:r>
      <w:bookmarkEnd w:id="8"/>
      <w:bookmarkEnd w:id="9"/>
      <w:r w:rsidRPr="00D24ABE">
        <w:rPr>
          <w:rFonts w:ascii="仿宋_GB2312" w:hAnsi="仿宋_GB2312" w:cs="仿宋_GB2312"/>
          <w:bCs/>
          <w:sz w:val="28"/>
          <w:szCs w:val="28"/>
        </w:rPr>
        <w:t xml:space="preserve">学院钢结构教研室 </w:t>
      </w:r>
    </w:p>
    <w:p w:rsidR="00494448" w:rsidRPr="00D24ABE" w:rsidRDefault="00494448" w:rsidP="00D24ABE">
      <w:pPr>
        <w:spacing w:beforeLines="50" w:before="156" w:afterLines="50" w:after="156" w:line="560" w:lineRule="exact"/>
        <w:rPr>
          <w:rFonts w:ascii="黑体" w:eastAsia="黑体" w:hAnsi="黑体"/>
          <w:b/>
          <w:sz w:val="28"/>
          <w:szCs w:val="28"/>
        </w:rPr>
      </w:pPr>
      <w:r w:rsidRPr="00D24ABE">
        <w:rPr>
          <w:rFonts w:ascii="黑体" w:eastAsia="黑体" w:hAnsi="黑体"/>
          <w:b/>
          <w:sz w:val="28"/>
          <w:szCs w:val="28"/>
        </w:rPr>
        <w:t>二、课程简介</w:t>
      </w:r>
    </w:p>
    <w:p w:rsidR="00494448" w:rsidRPr="00D24ABE" w:rsidRDefault="00494448" w:rsidP="00D24ABE">
      <w:pPr>
        <w:spacing w:line="360" w:lineRule="auto"/>
        <w:ind w:firstLine="331"/>
        <w:rPr>
          <w:rFonts w:ascii="仿宋_GB2312" w:hAnsi="仿宋_GB2312" w:cs="仿宋_GB2312"/>
          <w:bCs/>
          <w:sz w:val="28"/>
          <w:szCs w:val="28"/>
        </w:rPr>
      </w:pPr>
      <w:r>
        <w:rPr>
          <w:rFonts w:ascii="Times New Roman" w:eastAsia="华文中宋" w:hAnsi="Times New Roman"/>
          <w:szCs w:val="21"/>
        </w:rPr>
        <w:t xml:space="preserve"> </w:t>
      </w:r>
      <w:r w:rsidRPr="00D24ABE">
        <w:rPr>
          <w:rFonts w:ascii="仿宋_GB2312" w:hAnsi="仿宋_GB2312" w:cs="仿宋_GB2312"/>
          <w:bCs/>
          <w:sz w:val="28"/>
          <w:szCs w:val="28"/>
        </w:rPr>
        <w:t>《钢结构设计》课程属土木工程专业必修的专业主干课，是一门实践性很强，与现行的规范、规程等密切相关的专业课程。</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t>在掌握钢结构基本理论的基础上，通过该课程的学习，了解钢结构在民用建筑和工业建筑领域内的常用结构形式和特点，全面掌握这些常用结构的工程设计的基本原理和方法，能绘制常见结构的计算简图，并能做整体结构的内力分析，为毕业设计以及毕业后在钢结构学科领域继续深造或从事设计等工作提供坚实的基础。</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bCs/>
          <w:sz w:val="28"/>
          <w:szCs w:val="28"/>
        </w:rPr>
        <w:lastRenderedPageBreak/>
        <w:t>教学方式采用授课（概念、计算、设计方法、构造与工程应用）、课后思考题和练习题等相结合进行授课，并结合课程设计教学环节，使学生具备典型钢结构体系的设计、计算和绘图能力。</w:t>
      </w:r>
    </w:p>
    <w:p w:rsidR="00494448" w:rsidRPr="00D24ABE" w:rsidRDefault="00494448" w:rsidP="00D24ABE">
      <w:pPr>
        <w:spacing w:beforeLines="50" w:before="156" w:afterLines="50" w:after="156" w:line="560" w:lineRule="exact"/>
        <w:rPr>
          <w:rFonts w:ascii="黑体" w:eastAsia="黑体" w:hAnsi="黑体"/>
          <w:b/>
          <w:sz w:val="28"/>
          <w:szCs w:val="28"/>
        </w:rPr>
      </w:pPr>
      <w:r w:rsidRPr="00D24ABE">
        <w:rPr>
          <w:rFonts w:ascii="黑体" w:eastAsia="黑体" w:hAnsi="黑体"/>
          <w:b/>
          <w:sz w:val="28"/>
          <w:szCs w:val="28"/>
        </w:rPr>
        <w:t>三、课程任务、目的与要求</w:t>
      </w:r>
    </w:p>
    <w:p w:rsidR="00494448" w:rsidRPr="00D24ABE" w:rsidRDefault="00494448" w:rsidP="00494448">
      <w:pPr>
        <w:spacing w:line="360" w:lineRule="auto"/>
        <w:ind w:firstLine="331"/>
        <w:rPr>
          <w:rFonts w:ascii="仿宋_GB2312" w:hAnsi="仿宋_GB2312" w:cs="仿宋_GB2312"/>
          <w:b/>
          <w:bCs/>
          <w:sz w:val="28"/>
          <w:szCs w:val="28"/>
        </w:rPr>
      </w:pPr>
      <w:r w:rsidRPr="00D24ABE">
        <w:rPr>
          <w:rFonts w:ascii="仿宋_GB2312" w:hAnsi="仿宋_GB2312" w:cs="仿宋_GB2312"/>
          <w:b/>
          <w:bCs/>
          <w:sz w:val="28"/>
          <w:szCs w:val="28"/>
        </w:rPr>
        <w:t>1.课程任务与目的</w:t>
      </w:r>
    </w:p>
    <w:p w:rsidR="00494448" w:rsidRPr="00D24ABE" w:rsidRDefault="00494448" w:rsidP="00494448">
      <w:pPr>
        <w:pStyle w:val="3"/>
        <w:spacing w:after="0" w:line="360" w:lineRule="auto"/>
        <w:ind w:leftChars="0" w:left="0" w:firstLineChars="200" w:firstLine="560"/>
        <w:rPr>
          <w:rFonts w:ascii="仿宋_GB2312" w:hAnsi="仿宋_GB2312" w:cs="仿宋_GB2312"/>
          <w:bCs/>
          <w:sz w:val="28"/>
          <w:szCs w:val="28"/>
        </w:rPr>
      </w:pPr>
      <w:r w:rsidRPr="00D24ABE">
        <w:rPr>
          <w:rFonts w:ascii="仿宋_GB2312" w:hAnsi="仿宋_GB2312" w:cs="仿宋_GB2312"/>
          <w:bCs/>
          <w:sz w:val="28"/>
          <w:szCs w:val="28"/>
        </w:rPr>
        <w:t>通过本课程学习，学生掌握钢结构设计的专业基础知识，达到土木工程专业毕业生对学生需掌握的钢结构设计相关专业知识的基本要求。为学生毕业后在相关行业从事钢结构专业技术工作奠定必备的设计理论知识。</w:t>
      </w:r>
    </w:p>
    <w:p w:rsidR="00494448" w:rsidRPr="00D24ABE" w:rsidRDefault="00494448" w:rsidP="00494448">
      <w:pPr>
        <w:pStyle w:val="3"/>
        <w:spacing w:after="0" w:line="360" w:lineRule="auto"/>
        <w:ind w:leftChars="0" w:left="0" w:firstLineChars="200" w:firstLine="560"/>
        <w:jc w:val="left"/>
        <w:rPr>
          <w:rFonts w:ascii="仿宋_GB2312" w:hAnsi="仿宋_GB2312" w:cs="仿宋_GB2312"/>
          <w:bCs/>
          <w:sz w:val="28"/>
          <w:szCs w:val="28"/>
        </w:rPr>
      </w:pPr>
      <w:r w:rsidRPr="00D24ABE">
        <w:rPr>
          <w:rFonts w:ascii="仿宋_GB2312" w:hAnsi="仿宋_GB2312" w:cs="仿宋_GB2312"/>
          <w:bCs/>
          <w:sz w:val="28"/>
          <w:szCs w:val="28"/>
        </w:rPr>
        <w:t xml:space="preserve">通过课程学习，掌握工程结构设计的方法、设计规范、结构设计原理及设计表达方式等，提高应用专业知识的能力；通过完成习题、思考题、研究报告等教学环节提高学生对知识的理解和综合应用能力；通过工程实践的设计学习，提高学生实践能力、发现问题及解决问题的能力； </w:t>
      </w:r>
    </w:p>
    <w:p w:rsidR="00494448" w:rsidRPr="00D24ABE" w:rsidRDefault="00494448" w:rsidP="00D24ABE">
      <w:pPr>
        <w:pStyle w:val="3"/>
        <w:spacing w:after="0" w:line="360" w:lineRule="auto"/>
        <w:ind w:leftChars="0" w:left="0"/>
        <w:jc w:val="left"/>
        <w:rPr>
          <w:rFonts w:ascii="仿宋_GB2312" w:hAnsi="仿宋_GB2312" w:cs="仿宋_GB2312"/>
          <w:b/>
          <w:bCs/>
          <w:sz w:val="28"/>
          <w:szCs w:val="28"/>
        </w:rPr>
      </w:pPr>
      <w:r w:rsidRPr="00D24ABE">
        <w:rPr>
          <w:rFonts w:ascii="仿宋_GB2312" w:hAnsi="仿宋_GB2312" w:cs="仿宋_GB2312"/>
          <w:b/>
          <w:bCs/>
          <w:sz w:val="28"/>
          <w:szCs w:val="28"/>
        </w:rPr>
        <w:t>2.课程基本要求</w:t>
      </w:r>
    </w:p>
    <w:p w:rsidR="00494448" w:rsidRPr="00D24ABE" w:rsidRDefault="00494448" w:rsidP="00D24ABE">
      <w:pPr>
        <w:spacing w:line="360" w:lineRule="auto"/>
        <w:rPr>
          <w:rFonts w:ascii="仿宋_GB2312" w:hAnsi="仿宋_GB2312" w:cs="仿宋_GB2312"/>
          <w:b/>
          <w:bCs/>
          <w:sz w:val="28"/>
          <w:szCs w:val="28"/>
        </w:rPr>
      </w:pPr>
      <w:r w:rsidRPr="00D24ABE">
        <w:rPr>
          <w:rFonts w:ascii="仿宋_GB2312" w:hAnsi="仿宋_GB2312" w:cs="仿宋_GB2312" w:hint="eastAsia"/>
          <w:b/>
          <w:bCs/>
          <w:sz w:val="28"/>
          <w:szCs w:val="28"/>
        </w:rPr>
        <w:t>2</w:t>
      </w:r>
      <w:r w:rsidRPr="00D24ABE">
        <w:rPr>
          <w:rFonts w:ascii="仿宋_GB2312" w:hAnsi="仿宋_GB2312" w:cs="仿宋_GB2312"/>
          <w:b/>
          <w:bCs/>
          <w:sz w:val="28"/>
          <w:szCs w:val="28"/>
        </w:rPr>
        <w:t>.1课程目标</w:t>
      </w:r>
    </w:p>
    <w:p w:rsidR="00494448" w:rsidRPr="00D24ABE" w:rsidRDefault="00494448" w:rsidP="00494448">
      <w:pPr>
        <w:spacing w:line="360" w:lineRule="auto"/>
        <w:ind w:firstLineChars="200" w:firstLine="560"/>
        <w:rPr>
          <w:rFonts w:ascii="仿宋_GB2312" w:hAnsi="仿宋_GB2312" w:cs="仿宋_GB2312"/>
          <w:bCs/>
          <w:sz w:val="28"/>
          <w:szCs w:val="28"/>
        </w:rPr>
      </w:pPr>
      <w:r w:rsidRPr="00D24ABE">
        <w:rPr>
          <w:rFonts w:cs="Calibri"/>
          <w:bCs/>
          <w:sz w:val="28"/>
          <w:szCs w:val="28"/>
        </w:rPr>
        <w:t> </w:t>
      </w:r>
      <w:r w:rsidRPr="00D24ABE">
        <w:rPr>
          <w:rFonts w:ascii="仿宋_GB2312" w:hAnsi="仿宋_GB2312" w:cs="仿宋_GB2312"/>
          <w:bCs/>
          <w:sz w:val="28"/>
          <w:szCs w:val="28"/>
        </w:rPr>
        <w:t>通过这门课程的学习，使学生掌握普通厂房钢结构、门式刚架轻型房屋钢结构和多高层钢结构等典型钢结构体系的结构形式与特点。掌握上述结构形式的适用范围、结构组成、受力机理、概念设计、计算原理、设计方法及相应的构造措施；并能按有关专业规范或规程进行上述钢结构体系的整体设计、构件和节点验算以及构造处理，并施工图绘制。</w:t>
      </w:r>
      <w:r w:rsidRPr="00D24ABE">
        <w:rPr>
          <w:rFonts w:ascii="仿宋_GB2312" w:hAnsi="仿宋_GB2312" w:cs="仿宋_GB2312" w:hint="eastAsia"/>
          <w:bCs/>
          <w:sz w:val="28"/>
          <w:szCs w:val="28"/>
        </w:rPr>
        <w:t>教学目标具体如下：</w:t>
      </w:r>
    </w:p>
    <w:p w:rsidR="00494448" w:rsidRPr="00D24ABE" w:rsidRDefault="00494448" w:rsidP="00494448">
      <w:pPr>
        <w:snapToGrid w:val="0"/>
        <w:spacing w:line="360" w:lineRule="auto"/>
        <w:ind w:firstLineChars="200" w:firstLine="560"/>
        <w:rPr>
          <w:rFonts w:ascii="仿宋_GB2312" w:hAnsi="仿宋_GB2312" w:cs="仿宋_GB2312"/>
          <w:bCs/>
          <w:sz w:val="28"/>
          <w:szCs w:val="28"/>
        </w:rPr>
      </w:pPr>
      <w:r w:rsidRPr="00D24ABE">
        <w:rPr>
          <w:rFonts w:ascii="仿宋_GB2312" w:hAnsi="仿宋_GB2312" w:cs="仿宋_GB2312" w:hint="eastAsia"/>
          <w:bCs/>
          <w:sz w:val="28"/>
          <w:szCs w:val="28"/>
        </w:rPr>
        <w:lastRenderedPageBreak/>
        <w:t>（1）</w:t>
      </w:r>
      <w:r w:rsidRPr="00D24ABE">
        <w:rPr>
          <w:rFonts w:ascii="仿宋_GB2312" w:hAnsi="仿宋_GB2312" w:cs="仿宋_GB2312"/>
          <w:bCs/>
          <w:sz w:val="28"/>
          <w:szCs w:val="28"/>
        </w:rPr>
        <w:t>通过普通厂房钢结构的学习，了解单层厂房结构的组成形式，单层厂房的设计步骤及柱网伸缩缝的布置，厂房框架柱的类型及柱间支撑，屋盖的形式和支撑，厂房排架柱与其他构件的连接方式，吊车梁的组成及荷载；掌握单层厂房横向框（排）架的计算；简支屋架的设计；厂房排架柱的构造特点和计算方法；吊车梁的计算。</w:t>
      </w:r>
    </w:p>
    <w:p w:rsidR="00494448" w:rsidRPr="00D24ABE" w:rsidRDefault="00494448" w:rsidP="00494448">
      <w:pPr>
        <w:snapToGrid w:val="0"/>
        <w:spacing w:line="360" w:lineRule="auto"/>
        <w:ind w:firstLineChars="200" w:firstLine="560"/>
        <w:rPr>
          <w:rFonts w:ascii="仿宋_GB2312" w:hAnsi="仿宋_GB2312" w:cs="仿宋_GB2312"/>
          <w:bCs/>
          <w:sz w:val="28"/>
          <w:szCs w:val="28"/>
        </w:rPr>
      </w:pPr>
      <w:r w:rsidRPr="00D24ABE">
        <w:rPr>
          <w:rFonts w:ascii="仿宋_GB2312" w:hAnsi="仿宋_GB2312" w:cs="仿宋_GB2312" w:hint="eastAsia"/>
          <w:bCs/>
          <w:sz w:val="28"/>
          <w:szCs w:val="28"/>
        </w:rPr>
        <w:t>（2）</w:t>
      </w:r>
      <w:r w:rsidRPr="00D24ABE">
        <w:rPr>
          <w:rFonts w:ascii="仿宋_GB2312" w:hAnsi="仿宋_GB2312" w:cs="仿宋_GB2312"/>
          <w:bCs/>
          <w:sz w:val="28"/>
          <w:szCs w:val="28"/>
        </w:rPr>
        <w:t>通过门式刚架轻型房屋钢结构的学习，了解轻型门式刚架的形式和布置，轻型门式刚架的屋面系统和墙面系统的组成和构造；掌握轻型门式刚架的计算、檩条的计算和墙梁的计算方法。</w:t>
      </w:r>
    </w:p>
    <w:p w:rsidR="00494448" w:rsidRPr="00D24ABE" w:rsidRDefault="00494448" w:rsidP="00494448">
      <w:pPr>
        <w:snapToGrid w:val="0"/>
        <w:spacing w:line="360" w:lineRule="auto"/>
        <w:ind w:firstLineChars="200" w:firstLine="560"/>
        <w:rPr>
          <w:rFonts w:ascii="仿宋_GB2312" w:hAnsi="仿宋_GB2312" w:cs="仿宋_GB2312"/>
          <w:bCs/>
          <w:sz w:val="28"/>
          <w:szCs w:val="28"/>
        </w:rPr>
      </w:pPr>
      <w:r w:rsidRPr="00D24ABE">
        <w:rPr>
          <w:rFonts w:ascii="仿宋_GB2312" w:hAnsi="仿宋_GB2312" w:cs="仿宋_GB2312" w:hint="eastAsia"/>
          <w:bCs/>
          <w:sz w:val="28"/>
          <w:szCs w:val="28"/>
        </w:rPr>
        <w:t>（3）</w:t>
      </w:r>
      <w:r w:rsidRPr="00D24ABE">
        <w:rPr>
          <w:rFonts w:ascii="仿宋_GB2312" w:hAnsi="仿宋_GB2312" w:cs="仿宋_GB2312"/>
          <w:bCs/>
          <w:sz w:val="28"/>
          <w:szCs w:val="28"/>
        </w:rPr>
        <w:t>通过多高层钢结构的学习，掌握多高层钢结构典型的结构体系和特点，钢框架结构的节点形式，多高层钢框架结构在地震作用和风荷载作用下的内力计算方法以及钢框架结构柱、梁和节点的设计方法以及钢框架结构的抗震设计要求。</w:t>
      </w:r>
    </w:p>
    <w:p w:rsidR="00494448" w:rsidRPr="00D24ABE" w:rsidRDefault="00494448" w:rsidP="00D24ABE">
      <w:pPr>
        <w:spacing w:line="360" w:lineRule="auto"/>
        <w:rPr>
          <w:rFonts w:ascii="仿宋_GB2312" w:hAnsi="仿宋_GB2312" w:cs="仿宋_GB2312"/>
          <w:b/>
          <w:bCs/>
          <w:sz w:val="28"/>
          <w:szCs w:val="28"/>
        </w:rPr>
      </w:pPr>
      <w:r w:rsidRPr="00D24ABE">
        <w:rPr>
          <w:rFonts w:ascii="仿宋_GB2312" w:hAnsi="仿宋_GB2312" w:cs="仿宋_GB2312"/>
          <w:b/>
          <w:bCs/>
          <w:sz w:val="28"/>
          <w:szCs w:val="28"/>
        </w:rPr>
        <w:t>2.2 课程目标与毕业要求之间的对应关系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2851"/>
        <w:gridCol w:w="819"/>
        <w:gridCol w:w="819"/>
        <w:gridCol w:w="819"/>
      </w:tblGrid>
      <w:tr w:rsidR="00494448" w:rsidRPr="00D24ABE" w:rsidTr="00BE5664">
        <w:trPr>
          <w:jc w:val="center"/>
        </w:trPr>
        <w:tc>
          <w:tcPr>
            <w:tcW w:w="6401" w:type="dxa"/>
            <w:gridSpan w:val="2"/>
            <w:vMerge w:val="restart"/>
            <w:shd w:val="clear" w:color="auto" w:fill="auto"/>
            <w:vAlign w:val="center"/>
          </w:tcPr>
          <w:p w:rsidR="00494448" w:rsidRPr="00D24ABE" w:rsidRDefault="00494448" w:rsidP="00BE5664">
            <w:pPr>
              <w:jc w:val="center"/>
              <w:rPr>
                <w:rFonts w:ascii="仿宋_GB2312" w:hAnsi="仿宋_GB2312" w:cs="仿宋_GB2312"/>
                <w:b/>
                <w:bCs/>
                <w:sz w:val="24"/>
                <w:szCs w:val="24"/>
              </w:rPr>
            </w:pPr>
            <w:r w:rsidRPr="00D24ABE">
              <w:rPr>
                <w:rFonts w:ascii="仿宋_GB2312" w:hAnsi="仿宋_GB2312" w:cs="仿宋_GB2312"/>
                <w:b/>
                <w:bCs/>
                <w:sz w:val="24"/>
                <w:szCs w:val="24"/>
              </w:rPr>
              <w:t>毕业要求及其指标点</w:t>
            </w:r>
          </w:p>
        </w:tc>
        <w:tc>
          <w:tcPr>
            <w:tcW w:w="0" w:type="auto"/>
            <w:gridSpan w:val="3"/>
            <w:shd w:val="clear" w:color="auto" w:fill="auto"/>
            <w:vAlign w:val="center"/>
          </w:tcPr>
          <w:p w:rsidR="00494448" w:rsidRPr="00D24ABE" w:rsidRDefault="00494448" w:rsidP="00BE5664">
            <w:pPr>
              <w:jc w:val="center"/>
              <w:rPr>
                <w:rFonts w:ascii="仿宋_GB2312" w:hAnsi="仿宋_GB2312" w:cs="仿宋_GB2312"/>
                <w:b/>
                <w:bCs/>
                <w:sz w:val="24"/>
                <w:szCs w:val="24"/>
              </w:rPr>
            </w:pPr>
            <w:r w:rsidRPr="00D24ABE">
              <w:rPr>
                <w:rFonts w:ascii="仿宋_GB2312" w:hAnsi="仿宋_GB2312" w:cs="仿宋_GB2312"/>
                <w:b/>
                <w:bCs/>
                <w:sz w:val="24"/>
                <w:szCs w:val="24"/>
              </w:rPr>
              <w:t>教学目标</w:t>
            </w:r>
          </w:p>
        </w:tc>
      </w:tr>
      <w:tr w:rsidR="00494448" w:rsidRPr="00D24ABE" w:rsidTr="00BE5664">
        <w:trPr>
          <w:jc w:val="center"/>
        </w:trPr>
        <w:tc>
          <w:tcPr>
            <w:tcW w:w="6401" w:type="dxa"/>
            <w:gridSpan w:val="2"/>
            <w:vMerge/>
            <w:shd w:val="clear" w:color="auto" w:fill="auto"/>
            <w:vAlign w:val="center"/>
          </w:tcPr>
          <w:p w:rsidR="00494448" w:rsidRPr="00D24ABE" w:rsidRDefault="00494448" w:rsidP="00BE5664">
            <w:pPr>
              <w:rPr>
                <w:rFonts w:ascii="仿宋_GB2312" w:hAnsi="仿宋_GB2312" w:cs="仿宋_GB2312"/>
                <w:b/>
                <w:bCs/>
                <w:sz w:val="24"/>
                <w:szCs w:val="24"/>
              </w:rPr>
            </w:pPr>
          </w:p>
        </w:tc>
        <w:tc>
          <w:tcPr>
            <w:tcW w:w="0" w:type="auto"/>
            <w:shd w:val="clear" w:color="auto" w:fill="auto"/>
            <w:vAlign w:val="center"/>
          </w:tcPr>
          <w:p w:rsidR="00494448" w:rsidRPr="00D24ABE" w:rsidRDefault="00494448" w:rsidP="00BE5664">
            <w:pPr>
              <w:jc w:val="center"/>
              <w:rPr>
                <w:rFonts w:ascii="仿宋_GB2312" w:hAnsi="仿宋_GB2312" w:cs="仿宋_GB2312"/>
                <w:b/>
                <w:bCs/>
                <w:sz w:val="24"/>
                <w:szCs w:val="24"/>
              </w:rPr>
            </w:pPr>
            <w:r w:rsidRPr="00D24ABE">
              <w:rPr>
                <w:rFonts w:ascii="仿宋_GB2312" w:hAnsi="仿宋_GB2312" w:cs="仿宋_GB2312"/>
                <w:b/>
                <w:bCs/>
                <w:sz w:val="24"/>
                <w:szCs w:val="24"/>
              </w:rPr>
              <w:t>（1）</w:t>
            </w:r>
          </w:p>
        </w:tc>
        <w:tc>
          <w:tcPr>
            <w:tcW w:w="0" w:type="auto"/>
            <w:shd w:val="clear" w:color="auto" w:fill="auto"/>
            <w:vAlign w:val="center"/>
          </w:tcPr>
          <w:p w:rsidR="00494448" w:rsidRPr="00D24ABE" w:rsidRDefault="00494448" w:rsidP="00BE5664">
            <w:pPr>
              <w:jc w:val="center"/>
              <w:rPr>
                <w:rFonts w:ascii="仿宋_GB2312" w:hAnsi="仿宋_GB2312" w:cs="仿宋_GB2312"/>
                <w:b/>
                <w:bCs/>
                <w:sz w:val="24"/>
                <w:szCs w:val="24"/>
              </w:rPr>
            </w:pPr>
            <w:r w:rsidRPr="00D24ABE">
              <w:rPr>
                <w:rFonts w:ascii="仿宋_GB2312" w:hAnsi="仿宋_GB2312" w:cs="仿宋_GB2312"/>
                <w:b/>
                <w:bCs/>
                <w:sz w:val="24"/>
                <w:szCs w:val="24"/>
              </w:rPr>
              <w:t>（2）</w:t>
            </w:r>
          </w:p>
        </w:tc>
        <w:tc>
          <w:tcPr>
            <w:tcW w:w="0" w:type="auto"/>
            <w:shd w:val="clear" w:color="auto" w:fill="auto"/>
            <w:vAlign w:val="center"/>
          </w:tcPr>
          <w:p w:rsidR="00494448" w:rsidRPr="00D24ABE" w:rsidRDefault="00494448" w:rsidP="00BE5664">
            <w:pPr>
              <w:jc w:val="center"/>
              <w:rPr>
                <w:rFonts w:ascii="仿宋_GB2312" w:hAnsi="仿宋_GB2312" w:cs="仿宋_GB2312"/>
                <w:b/>
                <w:bCs/>
                <w:sz w:val="24"/>
                <w:szCs w:val="24"/>
              </w:rPr>
            </w:pPr>
            <w:r w:rsidRPr="00D24ABE">
              <w:rPr>
                <w:rFonts w:ascii="仿宋_GB2312" w:hAnsi="仿宋_GB2312" w:cs="仿宋_GB2312"/>
                <w:b/>
                <w:bCs/>
                <w:sz w:val="24"/>
                <w:szCs w:val="24"/>
              </w:rPr>
              <w:t>（3）</w:t>
            </w:r>
          </w:p>
        </w:tc>
      </w:tr>
      <w:tr w:rsidR="00494448" w:rsidRPr="00D24ABE" w:rsidTr="00BE5664">
        <w:trPr>
          <w:jc w:val="center"/>
        </w:trPr>
        <w:tc>
          <w:tcPr>
            <w:tcW w:w="3292" w:type="dxa"/>
            <w:shd w:val="clear" w:color="auto" w:fill="auto"/>
            <w:vAlign w:val="center"/>
          </w:tcPr>
          <w:p w:rsidR="00494448" w:rsidRPr="00D24ABE" w:rsidRDefault="00494448" w:rsidP="00BE5664">
            <w:pPr>
              <w:rPr>
                <w:rFonts w:ascii="仿宋_GB2312" w:hAnsi="仿宋_GB2312" w:cs="仿宋_GB2312"/>
                <w:bCs/>
                <w:sz w:val="24"/>
                <w:szCs w:val="24"/>
              </w:rPr>
            </w:pPr>
            <w:r w:rsidRPr="00D24ABE">
              <w:rPr>
                <w:rFonts w:ascii="仿宋_GB2312" w:hAnsi="仿宋_GB2312" w:cs="仿宋_GB2312"/>
                <w:bCs/>
                <w:sz w:val="24"/>
                <w:szCs w:val="24"/>
              </w:rPr>
              <w:t>2.</w:t>
            </w:r>
            <w:r w:rsidRPr="00D24ABE">
              <w:rPr>
                <w:rFonts w:ascii="仿宋_GB2312" w:hAnsi="仿宋_GB2312" w:cs="仿宋_GB2312" w:hint="eastAsia"/>
                <w:bCs/>
                <w:sz w:val="24"/>
                <w:szCs w:val="24"/>
              </w:rPr>
              <w:t>问题分析能力</w:t>
            </w:r>
          </w:p>
        </w:tc>
        <w:tc>
          <w:tcPr>
            <w:tcW w:w="3109" w:type="dxa"/>
            <w:shd w:val="clear" w:color="auto" w:fill="auto"/>
            <w:vAlign w:val="center"/>
          </w:tcPr>
          <w:p w:rsidR="00494448" w:rsidRPr="00D24ABE" w:rsidRDefault="00494448" w:rsidP="00BE5664">
            <w:pPr>
              <w:rPr>
                <w:rFonts w:ascii="仿宋_GB2312" w:hAnsi="仿宋_GB2312" w:cs="仿宋_GB2312"/>
                <w:bCs/>
                <w:sz w:val="24"/>
                <w:szCs w:val="24"/>
              </w:rPr>
            </w:pPr>
            <w:r w:rsidRPr="00D24ABE">
              <w:rPr>
                <w:rFonts w:ascii="仿宋_GB2312" w:hAnsi="仿宋_GB2312" w:cs="仿宋_GB2312"/>
                <w:bCs/>
                <w:sz w:val="24"/>
                <w:szCs w:val="24"/>
              </w:rPr>
              <w:t xml:space="preserve">2.4 </w:t>
            </w:r>
            <w:bookmarkStart w:id="10" w:name="_Hlk75354702"/>
            <w:r w:rsidRPr="00D24ABE">
              <w:rPr>
                <w:rFonts w:ascii="仿宋_GB2312" w:hAnsi="仿宋_GB2312" w:cs="仿宋_GB2312"/>
                <w:bCs/>
                <w:sz w:val="24"/>
                <w:szCs w:val="24"/>
              </w:rPr>
              <w:t>应用土木工程相关原理和方法，具备综合判断能力，能够通过对比、推理、分析及文献研究等，获得有效结论</w:t>
            </w:r>
            <w:bookmarkEnd w:id="10"/>
          </w:p>
        </w:tc>
        <w:tc>
          <w:tcPr>
            <w:tcW w:w="0" w:type="auto"/>
            <w:shd w:val="clear" w:color="auto" w:fill="auto"/>
            <w:vAlign w:val="center"/>
          </w:tcPr>
          <w:p w:rsidR="00494448" w:rsidRPr="00D24ABE" w:rsidRDefault="00494448" w:rsidP="00BE5664">
            <w:pPr>
              <w:jc w:val="center"/>
              <w:rPr>
                <w:rFonts w:ascii="仿宋_GB2312" w:hAnsi="仿宋_GB2312" w:cs="仿宋_GB2312"/>
                <w:bCs/>
                <w:sz w:val="24"/>
                <w:szCs w:val="24"/>
              </w:rPr>
            </w:pPr>
            <w:r w:rsidRPr="00D24ABE">
              <w:rPr>
                <w:rFonts w:ascii="仿宋_GB2312" w:hAnsi="仿宋_GB2312" w:cs="仿宋_GB2312"/>
                <w:bCs/>
                <w:sz w:val="24"/>
                <w:szCs w:val="24"/>
              </w:rPr>
              <w:t>√</w:t>
            </w:r>
          </w:p>
        </w:tc>
        <w:tc>
          <w:tcPr>
            <w:tcW w:w="0" w:type="auto"/>
            <w:shd w:val="clear" w:color="auto" w:fill="auto"/>
            <w:vAlign w:val="center"/>
          </w:tcPr>
          <w:p w:rsidR="00494448" w:rsidRPr="00D24ABE" w:rsidRDefault="00494448" w:rsidP="00BE5664">
            <w:pPr>
              <w:jc w:val="center"/>
              <w:rPr>
                <w:rFonts w:ascii="仿宋_GB2312" w:hAnsi="仿宋_GB2312" w:cs="仿宋_GB2312"/>
                <w:bCs/>
                <w:sz w:val="24"/>
                <w:szCs w:val="24"/>
              </w:rPr>
            </w:pPr>
            <w:r w:rsidRPr="00D24ABE">
              <w:rPr>
                <w:rFonts w:ascii="仿宋_GB2312" w:hAnsi="仿宋_GB2312" w:cs="仿宋_GB2312"/>
                <w:bCs/>
                <w:sz w:val="24"/>
                <w:szCs w:val="24"/>
              </w:rPr>
              <w:t>√</w:t>
            </w:r>
          </w:p>
        </w:tc>
        <w:tc>
          <w:tcPr>
            <w:tcW w:w="0" w:type="auto"/>
            <w:shd w:val="clear" w:color="auto" w:fill="auto"/>
            <w:vAlign w:val="center"/>
          </w:tcPr>
          <w:p w:rsidR="00494448" w:rsidRPr="00D24ABE" w:rsidRDefault="00494448" w:rsidP="00BE5664">
            <w:pPr>
              <w:jc w:val="center"/>
              <w:rPr>
                <w:rFonts w:ascii="仿宋_GB2312" w:hAnsi="仿宋_GB2312" w:cs="仿宋_GB2312"/>
                <w:bCs/>
                <w:sz w:val="24"/>
                <w:szCs w:val="24"/>
              </w:rPr>
            </w:pPr>
            <w:r w:rsidRPr="00D24ABE">
              <w:rPr>
                <w:rFonts w:ascii="仿宋_GB2312" w:hAnsi="仿宋_GB2312" w:cs="仿宋_GB2312"/>
                <w:bCs/>
                <w:sz w:val="24"/>
                <w:szCs w:val="24"/>
              </w:rPr>
              <w:t>√</w:t>
            </w:r>
          </w:p>
        </w:tc>
      </w:tr>
      <w:tr w:rsidR="00494448" w:rsidRPr="00D24ABE" w:rsidTr="00BE5664">
        <w:trPr>
          <w:jc w:val="center"/>
        </w:trPr>
        <w:tc>
          <w:tcPr>
            <w:tcW w:w="3292" w:type="dxa"/>
            <w:vMerge w:val="restart"/>
            <w:shd w:val="clear" w:color="auto" w:fill="auto"/>
            <w:vAlign w:val="center"/>
          </w:tcPr>
          <w:p w:rsidR="00494448" w:rsidRPr="00D24ABE" w:rsidRDefault="00494448" w:rsidP="00BE5664">
            <w:pPr>
              <w:rPr>
                <w:rFonts w:ascii="仿宋_GB2312" w:hAnsi="仿宋_GB2312" w:cs="仿宋_GB2312"/>
                <w:bCs/>
                <w:sz w:val="24"/>
                <w:szCs w:val="24"/>
              </w:rPr>
            </w:pPr>
            <w:r w:rsidRPr="00D24ABE">
              <w:rPr>
                <w:rFonts w:ascii="仿宋_GB2312" w:hAnsi="仿宋_GB2312" w:cs="仿宋_GB2312"/>
                <w:bCs/>
                <w:sz w:val="24"/>
                <w:szCs w:val="24"/>
              </w:rPr>
              <w:t>3.设计</w:t>
            </w:r>
            <w:r w:rsidRPr="00D24ABE">
              <w:rPr>
                <w:rFonts w:ascii="仿宋_GB2312" w:hAnsi="仿宋_GB2312" w:cs="仿宋_GB2312" w:hint="eastAsia"/>
                <w:bCs/>
                <w:sz w:val="24"/>
                <w:szCs w:val="24"/>
              </w:rPr>
              <w:t>/开发能力</w:t>
            </w:r>
          </w:p>
        </w:tc>
        <w:tc>
          <w:tcPr>
            <w:tcW w:w="3109" w:type="dxa"/>
            <w:shd w:val="clear" w:color="auto" w:fill="auto"/>
            <w:vAlign w:val="center"/>
          </w:tcPr>
          <w:p w:rsidR="00494448" w:rsidRPr="00D24ABE" w:rsidRDefault="00494448" w:rsidP="00BE5664">
            <w:pPr>
              <w:rPr>
                <w:rFonts w:ascii="仿宋_GB2312" w:hAnsi="仿宋_GB2312" w:cs="仿宋_GB2312"/>
                <w:bCs/>
                <w:sz w:val="24"/>
                <w:szCs w:val="24"/>
              </w:rPr>
            </w:pPr>
            <w:r w:rsidRPr="00D24ABE">
              <w:rPr>
                <w:rFonts w:ascii="仿宋_GB2312" w:hAnsi="仿宋_GB2312" w:cs="仿宋_GB2312"/>
                <w:bCs/>
                <w:sz w:val="24"/>
                <w:szCs w:val="24"/>
              </w:rPr>
              <w:t xml:space="preserve">3.2 </w:t>
            </w:r>
            <w:bookmarkStart w:id="11" w:name="_Hlk75354758"/>
            <w:r w:rsidRPr="00D24ABE">
              <w:rPr>
                <w:rFonts w:ascii="仿宋_GB2312" w:hAnsi="仿宋_GB2312" w:cs="仿宋_GB2312"/>
                <w:bCs/>
                <w:sz w:val="24"/>
                <w:szCs w:val="24"/>
              </w:rPr>
              <w:t>能够进行工程体系的系统分析和优化设计，并体现创新意识</w:t>
            </w:r>
            <w:bookmarkEnd w:id="11"/>
          </w:p>
        </w:tc>
        <w:tc>
          <w:tcPr>
            <w:tcW w:w="0" w:type="auto"/>
            <w:shd w:val="clear" w:color="auto" w:fill="auto"/>
            <w:vAlign w:val="center"/>
          </w:tcPr>
          <w:p w:rsidR="00494448" w:rsidRPr="00D24ABE" w:rsidRDefault="00494448" w:rsidP="00BE5664">
            <w:pPr>
              <w:jc w:val="center"/>
              <w:rPr>
                <w:rFonts w:ascii="仿宋_GB2312" w:hAnsi="仿宋_GB2312" w:cs="仿宋_GB2312"/>
                <w:bCs/>
                <w:sz w:val="24"/>
                <w:szCs w:val="24"/>
              </w:rPr>
            </w:pPr>
            <w:r w:rsidRPr="00D24ABE">
              <w:rPr>
                <w:rFonts w:ascii="仿宋_GB2312" w:hAnsi="仿宋_GB2312" w:cs="仿宋_GB2312"/>
                <w:bCs/>
                <w:sz w:val="24"/>
                <w:szCs w:val="24"/>
              </w:rPr>
              <w:t>√</w:t>
            </w:r>
          </w:p>
        </w:tc>
        <w:tc>
          <w:tcPr>
            <w:tcW w:w="0" w:type="auto"/>
            <w:shd w:val="clear" w:color="auto" w:fill="auto"/>
            <w:vAlign w:val="center"/>
          </w:tcPr>
          <w:p w:rsidR="00494448" w:rsidRPr="00D24ABE" w:rsidRDefault="00494448" w:rsidP="00BE5664">
            <w:pPr>
              <w:jc w:val="center"/>
              <w:rPr>
                <w:rFonts w:ascii="仿宋_GB2312" w:hAnsi="仿宋_GB2312" w:cs="仿宋_GB2312"/>
                <w:bCs/>
                <w:sz w:val="24"/>
                <w:szCs w:val="24"/>
              </w:rPr>
            </w:pPr>
            <w:r w:rsidRPr="00D24ABE">
              <w:rPr>
                <w:rFonts w:ascii="仿宋_GB2312" w:hAnsi="仿宋_GB2312" w:cs="仿宋_GB2312"/>
                <w:bCs/>
                <w:sz w:val="24"/>
                <w:szCs w:val="24"/>
              </w:rPr>
              <w:t>√</w:t>
            </w:r>
          </w:p>
        </w:tc>
        <w:tc>
          <w:tcPr>
            <w:tcW w:w="0" w:type="auto"/>
            <w:shd w:val="clear" w:color="auto" w:fill="auto"/>
            <w:vAlign w:val="center"/>
          </w:tcPr>
          <w:p w:rsidR="00494448" w:rsidRPr="00D24ABE" w:rsidRDefault="00494448" w:rsidP="00BE5664">
            <w:pPr>
              <w:jc w:val="center"/>
              <w:rPr>
                <w:rFonts w:ascii="仿宋_GB2312" w:hAnsi="仿宋_GB2312" w:cs="仿宋_GB2312"/>
                <w:bCs/>
                <w:sz w:val="24"/>
                <w:szCs w:val="24"/>
              </w:rPr>
            </w:pPr>
            <w:r w:rsidRPr="00D24ABE">
              <w:rPr>
                <w:rFonts w:ascii="仿宋_GB2312" w:hAnsi="仿宋_GB2312" w:cs="仿宋_GB2312"/>
                <w:bCs/>
                <w:sz w:val="24"/>
                <w:szCs w:val="24"/>
              </w:rPr>
              <w:t>√</w:t>
            </w:r>
          </w:p>
        </w:tc>
      </w:tr>
      <w:tr w:rsidR="00494448" w:rsidRPr="00D24ABE" w:rsidTr="00BE5664">
        <w:trPr>
          <w:jc w:val="center"/>
        </w:trPr>
        <w:tc>
          <w:tcPr>
            <w:tcW w:w="3292" w:type="dxa"/>
            <w:vMerge/>
            <w:shd w:val="clear" w:color="auto" w:fill="auto"/>
            <w:vAlign w:val="center"/>
          </w:tcPr>
          <w:p w:rsidR="00494448" w:rsidRPr="00D24ABE" w:rsidRDefault="00494448" w:rsidP="00BE5664">
            <w:pPr>
              <w:rPr>
                <w:rFonts w:ascii="仿宋_GB2312" w:hAnsi="仿宋_GB2312" w:cs="仿宋_GB2312"/>
                <w:bCs/>
                <w:sz w:val="24"/>
                <w:szCs w:val="24"/>
              </w:rPr>
            </w:pPr>
          </w:p>
        </w:tc>
        <w:tc>
          <w:tcPr>
            <w:tcW w:w="3109" w:type="dxa"/>
            <w:shd w:val="clear" w:color="auto" w:fill="auto"/>
            <w:vAlign w:val="center"/>
          </w:tcPr>
          <w:p w:rsidR="00494448" w:rsidRPr="00D24ABE" w:rsidRDefault="00494448" w:rsidP="00BE5664">
            <w:pPr>
              <w:rPr>
                <w:rFonts w:ascii="仿宋_GB2312" w:hAnsi="仿宋_GB2312" w:cs="仿宋_GB2312"/>
                <w:bCs/>
                <w:sz w:val="24"/>
                <w:szCs w:val="24"/>
              </w:rPr>
            </w:pPr>
            <w:r w:rsidRPr="00D24ABE">
              <w:rPr>
                <w:rFonts w:ascii="仿宋_GB2312" w:hAnsi="仿宋_GB2312" w:cs="仿宋_GB2312"/>
                <w:bCs/>
                <w:sz w:val="24"/>
                <w:szCs w:val="24"/>
              </w:rPr>
              <w:t>3.4</w:t>
            </w:r>
            <w:bookmarkStart w:id="12" w:name="_Hlk75354787"/>
            <w:r w:rsidRPr="00D24ABE">
              <w:rPr>
                <w:rFonts w:ascii="仿宋_GB2312" w:hAnsi="仿宋_GB2312" w:cs="仿宋_GB2312"/>
                <w:bCs/>
                <w:sz w:val="24"/>
                <w:szCs w:val="24"/>
              </w:rPr>
              <w:t xml:space="preserve"> 在设计/开发工作中能够综合考虑社会、健康、安全、法律、文化以及环境等因素</w:t>
            </w:r>
            <w:bookmarkEnd w:id="12"/>
          </w:p>
        </w:tc>
        <w:tc>
          <w:tcPr>
            <w:tcW w:w="0" w:type="auto"/>
            <w:shd w:val="clear" w:color="auto" w:fill="auto"/>
            <w:vAlign w:val="center"/>
          </w:tcPr>
          <w:p w:rsidR="00494448" w:rsidRPr="00D24ABE" w:rsidRDefault="00494448" w:rsidP="00BE5664">
            <w:pPr>
              <w:jc w:val="center"/>
              <w:rPr>
                <w:rFonts w:ascii="仿宋_GB2312" w:hAnsi="仿宋_GB2312" w:cs="仿宋_GB2312"/>
                <w:bCs/>
                <w:sz w:val="24"/>
                <w:szCs w:val="24"/>
              </w:rPr>
            </w:pPr>
            <w:r w:rsidRPr="00D24ABE">
              <w:rPr>
                <w:rFonts w:ascii="仿宋_GB2312" w:hAnsi="仿宋_GB2312" w:cs="仿宋_GB2312"/>
                <w:bCs/>
                <w:sz w:val="24"/>
                <w:szCs w:val="24"/>
              </w:rPr>
              <w:t>√</w:t>
            </w:r>
          </w:p>
        </w:tc>
        <w:tc>
          <w:tcPr>
            <w:tcW w:w="0" w:type="auto"/>
            <w:shd w:val="clear" w:color="auto" w:fill="auto"/>
            <w:vAlign w:val="center"/>
          </w:tcPr>
          <w:p w:rsidR="00494448" w:rsidRPr="00D24ABE" w:rsidRDefault="00494448" w:rsidP="00BE5664">
            <w:pPr>
              <w:jc w:val="center"/>
              <w:rPr>
                <w:rFonts w:ascii="仿宋_GB2312" w:hAnsi="仿宋_GB2312" w:cs="仿宋_GB2312"/>
                <w:bCs/>
                <w:sz w:val="24"/>
                <w:szCs w:val="24"/>
              </w:rPr>
            </w:pPr>
            <w:r w:rsidRPr="00D24ABE">
              <w:rPr>
                <w:rFonts w:ascii="仿宋_GB2312" w:hAnsi="仿宋_GB2312" w:cs="仿宋_GB2312"/>
                <w:bCs/>
                <w:sz w:val="24"/>
                <w:szCs w:val="24"/>
              </w:rPr>
              <w:t>√</w:t>
            </w:r>
          </w:p>
        </w:tc>
        <w:tc>
          <w:tcPr>
            <w:tcW w:w="0" w:type="auto"/>
            <w:shd w:val="clear" w:color="auto" w:fill="auto"/>
            <w:vAlign w:val="center"/>
          </w:tcPr>
          <w:p w:rsidR="00494448" w:rsidRPr="00D24ABE" w:rsidRDefault="00494448" w:rsidP="00BE5664">
            <w:pPr>
              <w:jc w:val="center"/>
              <w:rPr>
                <w:rFonts w:ascii="仿宋_GB2312" w:hAnsi="仿宋_GB2312" w:cs="仿宋_GB2312"/>
                <w:bCs/>
                <w:sz w:val="24"/>
                <w:szCs w:val="24"/>
              </w:rPr>
            </w:pPr>
            <w:r w:rsidRPr="00D24ABE">
              <w:rPr>
                <w:rFonts w:ascii="仿宋_GB2312" w:hAnsi="仿宋_GB2312" w:cs="仿宋_GB2312"/>
                <w:bCs/>
                <w:sz w:val="24"/>
                <w:szCs w:val="24"/>
              </w:rPr>
              <w:t>√</w:t>
            </w:r>
          </w:p>
        </w:tc>
      </w:tr>
      <w:tr w:rsidR="00494448" w:rsidRPr="00D24ABE" w:rsidTr="00BE5664">
        <w:trPr>
          <w:jc w:val="center"/>
        </w:trPr>
        <w:tc>
          <w:tcPr>
            <w:tcW w:w="3292" w:type="dxa"/>
            <w:shd w:val="clear" w:color="auto" w:fill="auto"/>
            <w:vAlign w:val="center"/>
          </w:tcPr>
          <w:p w:rsidR="00494448" w:rsidRPr="00D24ABE" w:rsidRDefault="00494448" w:rsidP="00BE5664">
            <w:pPr>
              <w:rPr>
                <w:rFonts w:ascii="仿宋_GB2312" w:hAnsi="仿宋_GB2312" w:cs="仿宋_GB2312"/>
                <w:bCs/>
                <w:sz w:val="24"/>
                <w:szCs w:val="24"/>
              </w:rPr>
            </w:pPr>
            <w:r w:rsidRPr="00D24ABE">
              <w:rPr>
                <w:rFonts w:ascii="仿宋_GB2312" w:hAnsi="仿宋_GB2312" w:cs="仿宋_GB2312"/>
                <w:bCs/>
                <w:sz w:val="24"/>
                <w:szCs w:val="24"/>
              </w:rPr>
              <w:t>4.</w:t>
            </w:r>
            <w:r w:rsidRPr="00D24ABE">
              <w:rPr>
                <w:rFonts w:ascii="仿宋_GB2312" w:hAnsi="仿宋_GB2312" w:cs="仿宋_GB2312" w:hint="eastAsia"/>
                <w:bCs/>
                <w:sz w:val="24"/>
                <w:szCs w:val="24"/>
              </w:rPr>
              <w:t>研究能力</w:t>
            </w:r>
          </w:p>
        </w:tc>
        <w:tc>
          <w:tcPr>
            <w:tcW w:w="3109" w:type="dxa"/>
            <w:shd w:val="clear" w:color="auto" w:fill="auto"/>
            <w:vAlign w:val="center"/>
          </w:tcPr>
          <w:p w:rsidR="00494448" w:rsidRPr="00D24ABE" w:rsidRDefault="00494448" w:rsidP="00BE5664">
            <w:pPr>
              <w:rPr>
                <w:rFonts w:ascii="仿宋_GB2312" w:hAnsi="仿宋_GB2312" w:cs="仿宋_GB2312"/>
                <w:bCs/>
                <w:sz w:val="24"/>
                <w:szCs w:val="24"/>
              </w:rPr>
            </w:pPr>
            <w:r w:rsidRPr="00D24ABE">
              <w:rPr>
                <w:rFonts w:ascii="仿宋_GB2312" w:hAnsi="仿宋_GB2312" w:cs="仿宋_GB2312"/>
                <w:bCs/>
                <w:sz w:val="24"/>
                <w:szCs w:val="24"/>
              </w:rPr>
              <w:t xml:space="preserve">4.1 </w:t>
            </w:r>
            <w:bookmarkStart w:id="13" w:name="_Hlk75354818"/>
            <w:r w:rsidRPr="00D24ABE">
              <w:rPr>
                <w:rFonts w:ascii="仿宋_GB2312" w:hAnsi="仿宋_GB2312" w:cs="仿宋_GB2312"/>
                <w:bCs/>
                <w:sz w:val="24"/>
                <w:szCs w:val="24"/>
              </w:rPr>
              <w:t>能够基于土木工程科学原理，通过文献研究，调研和分析解决土木工程专业复杂工程问题的方案</w:t>
            </w:r>
            <w:bookmarkEnd w:id="13"/>
          </w:p>
        </w:tc>
        <w:tc>
          <w:tcPr>
            <w:tcW w:w="0" w:type="auto"/>
            <w:shd w:val="clear" w:color="auto" w:fill="auto"/>
            <w:vAlign w:val="center"/>
          </w:tcPr>
          <w:p w:rsidR="00494448" w:rsidRPr="00D24ABE" w:rsidRDefault="00494448" w:rsidP="00BE5664">
            <w:pPr>
              <w:jc w:val="center"/>
              <w:rPr>
                <w:rFonts w:ascii="仿宋_GB2312" w:hAnsi="仿宋_GB2312" w:cs="仿宋_GB2312"/>
                <w:bCs/>
                <w:sz w:val="24"/>
                <w:szCs w:val="24"/>
              </w:rPr>
            </w:pPr>
            <w:r w:rsidRPr="00D24ABE">
              <w:rPr>
                <w:rFonts w:ascii="仿宋_GB2312" w:hAnsi="仿宋_GB2312" w:cs="仿宋_GB2312"/>
                <w:bCs/>
                <w:sz w:val="24"/>
                <w:szCs w:val="24"/>
              </w:rPr>
              <w:t>√</w:t>
            </w:r>
          </w:p>
        </w:tc>
        <w:tc>
          <w:tcPr>
            <w:tcW w:w="0" w:type="auto"/>
            <w:shd w:val="clear" w:color="auto" w:fill="auto"/>
            <w:vAlign w:val="center"/>
          </w:tcPr>
          <w:p w:rsidR="00494448" w:rsidRPr="00D24ABE" w:rsidRDefault="00494448" w:rsidP="00BE5664">
            <w:pPr>
              <w:jc w:val="center"/>
              <w:rPr>
                <w:rFonts w:ascii="仿宋_GB2312" w:hAnsi="仿宋_GB2312" w:cs="仿宋_GB2312"/>
                <w:bCs/>
                <w:sz w:val="24"/>
                <w:szCs w:val="24"/>
              </w:rPr>
            </w:pPr>
            <w:r w:rsidRPr="00D24ABE">
              <w:rPr>
                <w:rFonts w:ascii="仿宋_GB2312" w:hAnsi="仿宋_GB2312" w:cs="仿宋_GB2312"/>
                <w:bCs/>
                <w:sz w:val="24"/>
                <w:szCs w:val="24"/>
              </w:rPr>
              <w:t>√</w:t>
            </w:r>
          </w:p>
        </w:tc>
        <w:tc>
          <w:tcPr>
            <w:tcW w:w="0" w:type="auto"/>
            <w:shd w:val="clear" w:color="auto" w:fill="auto"/>
            <w:vAlign w:val="center"/>
          </w:tcPr>
          <w:p w:rsidR="00494448" w:rsidRPr="00D24ABE" w:rsidRDefault="00494448" w:rsidP="00BE5664">
            <w:pPr>
              <w:jc w:val="center"/>
              <w:rPr>
                <w:rFonts w:ascii="仿宋_GB2312" w:hAnsi="仿宋_GB2312" w:cs="仿宋_GB2312"/>
                <w:bCs/>
                <w:sz w:val="24"/>
                <w:szCs w:val="24"/>
              </w:rPr>
            </w:pPr>
            <w:r w:rsidRPr="00D24ABE">
              <w:rPr>
                <w:rFonts w:ascii="仿宋_GB2312" w:hAnsi="仿宋_GB2312" w:cs="仿宋_GB2312"/>
                <w:bCs/>
                <w:sz w:val="24"/>
                <w:szCs w:val="24"/>
              </w:rPr>
              <w:t>√</w:t>
            </w:r>
          </w:p>
        </w:tc>
      </w:tr>
    </w:tbl>
    <w:p w:rsidR="00494448" w:rsidRPr="00D24ABE" w:rsidRDefault="00494448" w:rsidP="00D24ABE">
      <w:pPr>
        <w:pStyle w:val="3"/>
        <w:spacing w:after="0" w:line="360" w:lineRule="auto"/>
        <w:ind w:leftChars="0" w:left="0"/>
        <w:jc w:val="left"/>
        <w:rPr>
          <w:rFonts w:ascii="仿宋_GB2312" w:hAnsi="仿宋_GB2312" w:cs="仿宋_GB2312"/>
          <w:b/>
          <w:bCs/>
          <w:sz w:val="28"/>
          <w:szCs w:val="28"/>
        </w:rPr>
      </w:pPr>
      <w:r w:rsidRPr="00D24ABE">
        <w:rPr>
          <w:rFonts w:ascii="仿宋_GB2312" w:hAnsi="仿宋_GB2312" w:cs="仿宋_GB2312"/>
          <w:b/>
          <w:bCs/>
          <w:sz w:val="28"/>
          <w:szCs w:val="28"/>
        </w:rPr>
        <w:t>3.本课程的重点、难点</w:t>
      </w:r>
    </w:p>
    <w:p w:rsidR="00494448" w:rsidRPr="00D24ABE" w:rsidRDefault="00494448" w:rsidP="005F6318">
      <w:pPr>
        <w:pStyle w:val="ae"/>
        <w:numPr>
          <w:ilvl w:val="0"/>
          <w:numId w:val="15"/>
        </w:numPr>
        <w:spacing w:line="360" w:lineRule="auto"/>
        <w:ind w:firstLineChars="0"/>
        <w:rPr>
          <w:rFonts w:ascii="仿宋_GB2312" w:hAnsi="仿宋_GB2312" w:cs="仿宋_GB2312"/>
          <w:bCs/>
          <w:sz w:val="28"/>
          <w:szCs w:val="28"/>
        </w:rPr>
      </w:pPr>
      <w:r w:rsidRPr="00D24ABE">
        <w:rPr>
          <w:rFonts w:ascii="仿宋_GB2312" w:hAnsi="仿宋_GB2312" w:cs="仿宋_GB2312"/>
          <w:bCs/>
          <w:sz w:val="28"/>
          <w:szCs w:val="28"/>
        </w:rPr>
        <w:lastRenderedPageBreak/>
        <w:t>理解以概率理论为基础的极限状态设计方法的实质、现行规范采用的设计表达式，各分项系数取值依据和含义。</w:t>
      </w:r>
    </w:p>
    <w:p w:rsidR="00494448" w:rsidRPr="00D24ABE" w:rsidRDefault="00494448" w:rsidP="005F6318">
      <w:pPr>
        <w:pStyle w:val="ae"/>
        <w:numPr>
          <w:ilvl w:val="0"/>
          <w:numId w:val="15"/>
        </w:numPr>
        <w:spacing w:line="360" w:lineRule="auto"/>
        <w:ind w:firstLineChars="0"/>
        <w:rPr>
          <w:rFonts w:ascii="仿宋_GB2312" w:hAnsi="仿宋_GB2312" w:cs="仿宋_GB2312"/>
          <w:bCs/>
          <w:sz w:val="28"/>
          <w:szCs w:val="28"/>
        </w:rPr>
      </w:pPr>
      <w:r w:rsidRPr="00D24ABE">
        <w:rPr>
          <w:rFonts w:ascii="仿宋_GB2312" w:hAnsi="仿宋_GB2312" w:cs="仿宋_GB2312"/>
          <w:bCs/>
          <w:sz w:val="28"/>
          <w:szCs w:val="28"/>
        </w:rPr>
        <w:t>重点是熟悉普通重型钢结构厂房、轻型门式刚架结构、多高屋钢结构建筑等的设计内容、结构计算方法及相应构造设计。</w:t>
      </w:r>
    </w:p>
    <w:p w:rsidR="00494448" w:rsidRPr="00D24ABE" w:rsidRDefault="00494448" w:rsidP="005F6318">
      <w:pPr>
        <w:pStyle w:val="ae"/>
        <w:numPr>
          <w:ilvl w:val="0"/>
          <w:numId w:val="15"/>
        </w:numPr>
        <w:spacing w:line="360" w:lineRule="auto"/>
        <w:ind w:firstLineChars="0"/>
        <w:rPr>
          <w:rFonts w:ascii="仿宋_GB2312" w:hAnsi="仿宋_GB2312" w:cs="仿宋_GB2312"/>
          <w:bCs/>
          <w:sz w:val="28"/>
          <w:szCs w:val="28"/>
        </w:rPr>
      </w:pPr>
      <w:r w:rsidRPr="00D24ABE">
        <w:rPr>
          <w:rFonts w:ascii="仿宋_GB2312" w:hAnsi="仿宋_GB2312" w:cs="仿宋_GB2312"/>
          <w:bCs/>
          <w:sz w:val="28"/>
          <w:szCs w:val="28"/>
        </w:rPr>
        <w:t>难点在于：重型钢结构厂房支撑系统的设计及吊车梁的设计与计算；轻型门式刚架结构风荷载的分析与计算；高层建筑钢结构的概念设计及结构布置；以及各类结构的抗震分析与设计。</w:t>
      </w:r>
    </w:p>
    <w:p w:rsidR="00494448" w:rsidRPr="00D24ABE" w:rsidRDefault="00494448" w:rsidP="00D24ABE">
      <w:pPr>
        <w:spacing w:line="360" w:lineRule="auto"/>
        <w:rPr>
          <w:rFonts w:ascii="仿宋_GB2312" w:hAnsi="仿宋_GB2312" w:cs="仿宋_GB2312"/>
          <w:b/>
          <w:bCs/>
          <w:sz w:val="28"/>
          <w:szCs w:val="28"/>
        </w:rPr>
      </w:pPr>
      <w:r w:rsidRPr="00D24ABE">
        <w:rPr>
          <w:rFonts w:ascii="仿宋_GB2312" w:hAnsi="仿宋_GB2312" w:cs="仿宋_GB2312" w:hint="eastAsia"/>
          <w:b/>
          <w:bCs/>
          <w:sz w:val="28"/>
          <w:szCs w:val="28"/>
        </w:rPr>
        <w:t>4</w:t>
      </w:r>
      <w:r w:rsidRPr="00D24ABE">
        <w:rPr>
          <w:rFonts w:ascii="仿宋_GB2312" w:hAnsi="仿宋_GB2312" w:cs="仿宋_GB2312"/>
          <w:b/>
          <w:bCs/>
          <w:sz w:val="28"/>
          <w:szCs w:val="28"/>
        </w:rPr>
        <w:t>.课程思政切入</w:t>
      </w:r>
    </w:p>
    <w:p w:rsidR="00494448" w:rsidRPr="00D24ABE" w:rsidRDefault="00494448" w:rsidP="005F6318">
      <w:pPr>
        <w:pStyle w:val="ae"/>
        <w:numPr>
          <w:ilvl w:val="0"/>
          <w:numId w:val="16"/>
        </w:numPr>
        <w:spacing w:line="360" w:lineRule="auto"/>
        <w:ind w:firstLineChars="0"/>
        <w:rPr>
          <w:rFonts w:ascii="仿宋_GB2312" w:hAnsi="仿宋_GB2312" w:cs="仿宋_GB2312"/>
          <w:bCs/>
          <w:sz w:val="28"/>
          <w:szCs w:val="28"/>
        </w:rPr>
      </w:pPr>
      <w:r w:rsidRPr="00D24ABE">
        <w:rPr>
          <w:rFonts w:ascii="仿宋_GB2312" w:hAnsi="仿宋_GB2312" w:cs="仿宋_GB2312"/>
          <w:bCs/>
          <w:sz w:val="28"/>
          <w:szCs w:val="28"/>
        </w:rPr>
        <w:t>通过钢结构设计课程的学习，培养学生敬业爱岗、认真学习和规范工作的态度，以及良好的学习、生活和工作习惯。为学生在今后的工作岗位中，树立勤奋学习、规范做事，兢兢业业工作的良好品质并且为国家建设事业做出贡献打下良好基础。</w:t>
      </w:r>
    </w:p>
    <w:p w:rsidR="00494448" w:rsidRPr="00D24ABE" w:rsidRDefault="00494448" w:rsidP="005F6318">
      <w:pPr>
        <w:pStyle w:val="ae"/>
        <w:numPr>
          <w:ilvl w:val="0"/>
          <w:numId w:val="16"/>
        </w:numPr>
        <w:spacing w:line="360" w:lineRule="auto"/>
        <w:ind w:firstLineChars="0"/>
        <w:rPr>
          <w:rFonts w:ascii="仿宋_GB2312" w:hAnsi="仿宋_GB2312" w:cs="仿宋_GB2312"/>
          <w:bCs/>
          <w:sz w:val="28"/>
          <w:szCs w:val="28"/>
        </w:rPr>
      </w:pPr>
      <w:r w:rsidRPr="00D24ABE">
        <w:rPr>
          <w:rFonts w:ascii="仿宋_GB2312" w:hAnsi="仿宋_GB2312" w:cs="仿宋_GB2312"/>
          <w:bCs/>
          <w:sz w:val="28"/>
          <w:szCs w:val="28"/>
        </w:rPr>
        <w:t>爱国主义教育：通过钢结构有关的工程案例和国内大型工程项目的建设情况，了解我国钢结构技术的发展和进步。以此促进学生对我国由贫穷落后的国家发展成为富强国家的历程具有更好理解，培养学生的爱国主义情怀。</w:t>
      </w:r>
    </w:p>
    <w:p w:rsidR="00494448" w:rsidRPr="00D24ABE" w:rsidRDefault="00494448" w:rsidP="00D24ABE">
      <w:pPr>
        <w:spacing w:beforeLines="50" w:before="156" w:afterLines="50" w:after="156" w:line="560" w:lineRule="exact"/>
        <w:rPr>
          <w:rFonts w:ascii="黑体" w:eastAsia="黑体" w:hAnsi="黑体"/>
          <w:b/>
          <w:sz w:val="28"/>
          <w:szCs w:val="28"/>
        </w:rPr>
      </w:pPr>
      <w:r w:rsidRPr="00D24ABE">
        <w:rPr>
          <w:rFonts w:ascii="黑体" w:eastAsia="黑体" w:hAnsi="黑体" w:hint="eastAsia"/>
          <w:b/>
          <w:sz w:val="28"/>
          <w:szCs w:val="28"/>
        </w:rPr>
        <w:t>四</w:t>
      </w:r>
      <w:r w:rsidRPr="00D24ABE">
        <w:rPr>
          <w:rFonts w:ascii="黑体" w:eastAsia="黑体" w:hAnsi="黑体"/>
          <w:b/>
          <w:sz w:val="28"/>
          <w:szCs w:val="28"/>
        </w:rPr>
        <w:t>、教学内容及要求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349"/>
        <w:gridCol w:w="825"/>
        <w:gridCol w:w="2909"/>
        <w:gridCol w:w="2754"/>
      </w:tblGrid>
      <w:tr w:rsidR="00494448" w:rsidTr="00BE5664">
        <w:trPr>
          <w:cantSplit/>
          <w:trHeight w:val="661"/>
          <w:jc w:val="center"/>
        </w:trPr>
        <w:tc>
          <w:tcPr>
            <w:tcW w:w="277" w:type="pct"/>
            <w:vAlign w:val="center"/>
          </w:tcPr>
          <w:p w:rsidR="00494448" w:rsidRPr="00D24ABE" w:rsidRDefault="00494448" w:rsidP="00BE5664">
            <w:pPr>
              <w:jc w:val="center"/>
              <w:rPr>
                <w:rFonts w:ascii="仿宋_GB2312" w:hAnsi="仿宋_GB2312" w:cs="仿宋_GB2312"/>
                <w:b/>
                <w:bCs/>
                <w:sz w:val="24"/>
                <w:szCs w:val="24"/>
              </w:rPr>
            </w:pPr>
            <w:r w:rsidRPr="00D24ABE">
              <w:rPr>
                <w:rFonts w:ascii="仿宋_GB2312" w:hAnsi="仿宋_GB2312" w:cs="仿宋_GB2312"/>
                <w:b/>
                <w:bCs/>
                <w:sz w:val="24"/>
                <w:szCs w:val="24"/>
              </w:rPr>
              <w:t>序号</w:t>
            </w:r>
          </w:p>
        </w:tc>
        <w:tc>
          <w:tcPr>
            <w:tcW w:w="813" w:type="pct"/>
            <w:vAlign w:val="center"/>
          </w:tcPr>
          <w:p w:rsidR="00494448" w:rsidRPr="00D24ABE" w:rsidRDefault="00494448" w:rsidP="00BE5664">
            <w:pPr>
              <w:jc w:val="center"/>
              <w:rPr>
                <w:rFonts w:ascii="仿宋_GB2312" w:hAnsi="仿宋_GB2312" w:cs="仿宋_GB2312"/>
                <w:b/>
                <w:bCs/>
                <w:sz w:val="24"/>
                <w:szCs w:val="24"/>
              </w:rPr>
            </w:pPr>
            <w:r w:rsidRPr="00D24ABE">
              <w:rPr>
                <w:rFonts w:ascii="仿宋_GB2312" w:hAnsi="仿宋_GB2312" w:cs="仿宋_GB2312"/>
                <w:b/>
                <w:bCs/>
                <w:sz w:val="24"/>
                <w:szCs w:val="24"/>
              </w:rPr>
              <w:t>章  节</w:t>
            </w:r>
          </w:p>
        </w:tc>
        <w:tc>
          <w:tcPr>
            <w:tcW w:w="497" w:type="pct"/>
            <w:vAlign w:val="center"/>
          </w:tcPr>
          <w:p w:rsidR="00494448" w:rsidRPr="00D24ABE" w:rsidRDefault="00494448" w:rsidP="00BE5664">
            <w:pPr>
              <w:jc w:val="center"/>
              <w:rPr>
                <w:rFonts w:ascii="仿宋_GB2312" w:hAnsi="仿宋_GB2312" w:cs="仿宋_GB2312"/>
                <w:b/>
                <w:bCs/>
                <w:sz w:val="24"/>
                <w:szCs w:val="24"/>
              </w:rPr>
            </w:pPr>
            <w:r w:rsidRPr="00D24ABE">
              <w:rPr>
                <w:rFonts w:ascii="仿宋_GB2312" w:hAnsi="仿宋_GB2312" w:cs="仿宋_GB2312"/>
                <w:b/>
                <w:bCs/>
                <w:sz w:val="24"/>
                <w:szCs w:val="24"/>
              </w:rPr>
              <w:t>参考</w:t>
            </w:r>
          </w:p>
          <w:p w:rsidR="00494448" w:rsidRPr="00D24ABE" w:rsidRDefault="00494448" w:rsidP="00BE5664">
            <w:pPr>
              <w:jc w:val="center"/>
              <w:rPr>
                <w:rFonts w:ascii="仿宋_GB2312" w:hAnsi="仿宋_GB2312" w:cs="仿宋_GB2312"/>
                <w:b/>
                <w:bCs/>
                <w:sz w:val="24"/>
                <w:szCs w:val="24"/>
              </w:rPr>
            </w:pPr>
            <w:r w:rsidRPr="00D24ABE">
              <w:rPr>
                <w:rFonts w:ascii="仿宋_GB2312" w:hAnsi="仿宋_GB2312" w:cs="仿宋_GB2312"/>
                <w:b/>
                <w:bCs/>
                <w:sz w:val="24"/>
                <w:szCs w:val="24"/>
              </w:rPr>
              <w:t>学时</w:t>
            </w:r>
          </w:p>
        </w:tc>
        <w:tc>
          <w:tcPr>
            <w:tcW w:w="1753" w:type="pct"/>
            <w:vAlign w:val="center"/>
          </w:tcPr>
          <w:p w:rsidR="00494448" w:rsidRPr="00D24ABE" w:rsidRDefault="00494448" w:rsidP="00BE5664">
            <w:pPr>
              <w:ind w:firstLineChars="600" w:firstLine="1446"/>
              <w:rPr>
                <w:rFonts w:ascii="仿宋_GB2312" w:hAnsi="仿宋_GB2312" w:cs="仿宋_GB2312"/>
                <w:b/>
                <w:bCs/>
                <w:sz w:val="24"/>
                <w:szCs w:val="24"/>
              </w:rPr>
            </w:pPr>
            <w:r w:rsidRPr="00D24ABE">
              <w:rPr>
                <w:rFonts w:ascii="仿宋_GB2312" w:hAnsi="仿宋_GB2312" w:cs="仿宋_GB2312"/>
                <w:b/>
                <w:bCs/>
                <w:sz w:val="24"/>
                <w:szCs w:val="24"/>
              </w:rPr>
              <w:t>教学内容</w:t>
            </w:r>
          </w:p>
        </w:tc>
        <w:tc>
          <w:tcPr>
            <w:tcW w:w="1660" w:type="pct"/>
            <w:vAlign w:val="center"/>
          </w:tcPr>
          <w:p w:rsidR="00494448" w:rsidRPr="00D24ABE" w:rsidRDefault="00494448" w:rsidP="00BE5664">
            <w:pPr>
              <w:jc w:val="center"/>
              <w:rPr>
                <w:rFonts w:ascii="仿宋_GB2312" w:hAnsi="仿宋_GB2312" w:cs="仿宋_GB2312"/>
                <w:b/>
                <w:bCs/>
                <w:sz w:val="24"/>
                <w:szCs w:val="24"/>
              </w:rPr>
            </w:pPr>
            <w:r w:rsidRPr="00D24ABE">
              <w:rPr>
                <w:rFonts w:ascii="仿宋_GB2312" w:hAnsi="仿宋_GB2312" w:cs="仿宋_GB2312"/>
                <w:b/>
                <w:bCs/>
                <w:sz w:val="24"/>
                <w:szCs w:val="24"/>
              </w:rPr>
              <w:t>基本要求</w:t>
            </w:r>
          </w:p>
        </w:tc>
      </w:tr>
      <w:tr w:rsidR="00494448" w:rsidTr="00BE5664">
        <w:trPr>
          <w:trHeight w:val="1514"/>
          <w:jc w:val="center"/>
        </w:trPr>
        <w:tc>
          <w:tcPr>
            <w:tcW w:w="277"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1</w:t>
            </w:r>
          </w:p>
        </w:tc>
        <w:tc>
          <w:tcPr>
            <w:tcW w:w="813"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第一篇</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绪论</w:t>
            </w:r>
          </w:p>
        </w:tc>
        <w:tc>
          <w:tcPr>
            <w:tcW w:w="497"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2</w:t>
            </w:r>
          </w:p>
        </w:tc>
        <w:tc>
          <w:tcPr>
            <w:tcW w:w="1753"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1-1钢结构的应用范围</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1-2钢结构的主要结构体系</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1-3钢结构设计与设计规范</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lastRenderedPageBreak/>
              <w:t>1-4钢结构的发展现状与趋势</w:t>
            </w:r>
          </w:p>
        </w:tc>
        <w:tc>
          <w:tcPr>
            <w:tcW w:w="1660"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lastRenderedPageBreak/>
              <w:t>了解钢结构特点，主要结构体系，和钢结构相关设计规范</w:t>
            </w:r>
          </w:p>
        </w:tc>
      </w:tr>
      <w:tr w:rsidR="00494448" w:rsidTr="00BE5664">
        <w:trPr>
          <w:trHeight w:val="2825"/>
          <w:jc w:val="center"/>
        </w:trPr>
        <w:tc>
          <w:tcPr>
            <w:tcW w:w="277" w:type="pct"/>
            <w:vAlign w:val="center"/>
          </w:tcPr>
          <w:p w:rsidR="00494448" w:rsidRPr="00D24ABE" w:rsidRDefault="00494448" w:rsidP="00BE5664">
            <w:pPr>
              <w:spacing w:line="360" w:lineRule="auto"/>
              <w:rPr>
                <w:rFonts w:ascii="仿宋_GB2312" w:hAnsi="仿宋_GB2312" w:cs="仿宋_GB2312"/>
                <w:bCs/>
                <w:sz w:val="24"/>
                <w:szCs w:val="24"/>
              </w:rPr>
            </w:pP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2</w:t>
            </w:r>
          </w:p>
        </w:tc>
        <w:tc>
          <w:tcPr>
            <w:tcW w:w="813"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第二篇</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普通厂房钢结构</w:t>
            </w:r>
          </w:p>
        </w:tc>
        <w:tc>
          <w:tcPr>
            <w:tcW w:w="497"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8</w:t>
            </w:r>
          </w:p>
        </w:tc>
        <w:tc>
          <w:tcPr>
            <w:tcW w:w="1753"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2-1厂房结构体系</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2-2厂房结构的支撑体系</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2-3钢屋盖结构形式及分析</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2-4 钢屋盖结构杆件与节点设计</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2-5排架的荷载、受力分析和设计</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2-6吊车梁设计</w:t>
            </w:r>
          </w:p>
        </w:tc>
        <w:tc>
          <w:tcPr>
            <w:tcW w:w="1660"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1、掌握钢结构厂房支撑布置原则</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2、掌握屋盖设计方法</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3、通过例题详解，达到能够设计屋盖并绘制施工图</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4、掌握排架荷载组合原则和复习排架计算方法，掌握排架柱的设计方法</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5、掌握吊车梁的设计方法</w:t>
            </w:r>
          </w:p>
        </w:tc>
      </w:tr>
      <w:tr w:rsidR="00494448" w:rsidTr="00BE5664">
        <w:trPr>
          <w:trHeight w:val="2324"/>
          <w:jc w:val="center"/>
        </w:trPr>
        <w:tc>
          <w:tcPr>
            <w:tcW w:w="277"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3</w:t>
            </w:r>
          </w:p>
        </w:tc>
        <w:tc>
          <w:tcPr>
            <w:tcW w:w="813"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第三篇</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门式刚架轻型房屋钢结构</w:t>
            </w:r>
          </w:p>
        </w:tc>
        <w:tc>
          <w:tcPr>
            <w:tcW w:w="497"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6</w:t>
            </w:r>
          </w:p>
        </w:tc>
        <w:tc>
          <w:tcPr>
            <w:tcW w:w="1753"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3.1  门式刚架的结构形式与布置</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3.2  作用效应与结构分析</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3.3  门式刚架构件设计</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3.4  门式刚架连接与节点设计</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3.5  围护系统</w:t>
            </w:r>
          </w:p>
        </w:tc>
        <w:tc>
          <w:tcPr>
            <w:tcW w:w="1660"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1、掌握门式刚架荷载效应的分析方法；</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2、学会门式刚架构件的设计方法</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3、掌握门式刚架节点的构造要求和设计方法</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4、了解门式刚架的围护系统</w:t>
            </w:r>
          </w:p>
        </w:tc>
      </w:tr>
      <w:tr w:rsidR="00494448" w:rsidTr="00BE5664">
        <w:trPr>
          <w:trHeight w:val="1380"/>
          <w:jc w:val="center"/>
        </w:trPr>
        <w:tc>
          <w:tcPr>
            <w:tcW w:w="277"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4</w:t>
            </w:r>
          </w:p>
        </w:tc>
        <w:tc>
          <w:tcPr>
            <w:tcW w:w="813"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第四篇</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多高层钢结构</w:t>
            </w:r>
          </w:p>
        </w:tc>
        <w:tc>
          <w:tcPr>
            <w:tcW w:w="497"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8</w:t>
            </w:r>
          </w:p>
        </w:tc>
        <w:tc>
          <w:tcPr>
            <w:tcW w:w="1753"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4.1  结构类型与体系</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4.2  多高层钢结构的概念设计</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4.3  荷载、作用及结构分析</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4.4  构件及节点设计</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4.5  防火与防腐设计</w:t>
            </w:r>
          </w:p>
        </w:tc>
        <w:tc>
          <w:tcPr>
            <w:tcW w:w="1660" w:type="pct"/>
            <w:vAlign w:val="center"/>
          </w:tcPr>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1、了解主要的多高层建筑钢结构的体系及其受力特征</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2、掌握概念设计方法</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3、掌握各类荷载及作用</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4、了解多高层建筑钢结构的设计方法和各类简</w:t>
            </w:r>
            <w:r w:rsidRPr="00D24ABE">
              <w:rPr>
                <w:rFonts w:ascii="仿宋_GB2312" w:hAnsi="仿宋_GB2312" w:cs="仿宋_GB2312"/>
                <w:bCs/>
                <w:sz w:val="24"/>
                <w:szCs w:val="24"/>
              </w:rPr>
              <w:lastRenderedPageBreak/>
              <w:t>化计算方法</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5、掌握多高层建筑钢结构的主要构件和节点连接设计</w:t>
            </w:r>
          </w:p>
          <w:p w:rsidR="00494448" w:rsidRPr="00D24ABE" w:rsidRDefault="00494448" w:rsidP="00BE5664">
            <w:pPr>
              <w:spacing w:line="360" w:lineRule="auto"/>
              <w:rPr>
                <w:rFonts w:ascii="仿宋_GB2312" w:hAnsi="仿宋_GB2312" w:cs="仿宋_GB2312"/>
                <w:bCs/>
                <w:sz w:val="24"/>
                <w:szCs w:val="24"/>
              </w:rPr>
            </w:pPr>
            <w:r w:rsidRPr="00D24ABE">
              <w:rPr>
                <w:rFonts w:ascii="仿宋_GB2312" w:hAnsi="仿宋_GB2312" w:cs="仿宋_GB2312"/>
                <w:bCs/>
                <w:sz w:val="24"/>
                <w:szCs w:val="24"/>
              </w:rPr>
              <w:t>6、了解防火与防腐设计特点</w:t>
            </w:r>
          </w:p>
        </w:tc>
      </w:tr>
    </w:tbl>
    <w:p w:rsidR="00494448" w:rsidRDefault="00494448" w:rsidP="00494448">
      <w:pPr>
        <w:jc w:val="center"/>
        <w:rPr>
          <w:rFonts w:ascii="Times New Roman" w:eastAsia="华文中宋" w:hAnsi="Times New Roman"/>
          <w:szCs w:val="21"/>
        </w:rPr>
      </w:pPr>
    </w:p>
    <w:p w:rsidR="00494448" w:rsidRPr="00D24ABE" w:rsidRDefault="00494448" w:rsidP="00D24ABE">
      <w:pPr>
        <w:spacing w:beforeLines="50" w:before="156" w:afterLines="50" w:after="156" w:line="560" w:lineRule="exact"/>
        <w:rPr>
          <w:rFonts w:ascii="黑体" w:eastAsia="黑体" w:hAnsi="黑体"/>
          <w:b/>
          <w:sz w:val="28"/>
          <w:szCs w:val="28"/>
        </w:rPr>
      </w:pPr>
      <w:r w:rsidRPr="00D24ABE">
        <w:rPr>
          <w:rFonts w:ascii="黑体" w:eastAsia="黑体" w:hAnsi="黑体"/>
          <w:b/>
          <w:sz w:val="28"/>
          <w:szCs w:val="28"/>
        </w:rPr>
        <w:t>五、课程考核和评价方式</w:t>
      </w:r>
    </w:p>
    <w:p w:rsidR="00494448" w:rsidRPr="00D24ABE" w:rsidRDefault="00494448" w:rsidP="00D24ABE">
      <w:pPr>
        <w:spacing w:line="360" w:lineRule="auto"/>
        <w:rPr>
          <w:rFonts w:ascii="仿宋_GB2312" w:hAnsi="仿宋_GB2312" w:cs="仿宋_GB2312"/>
          <w:b/>
          <w:bCs/>
          <w:sz w:val="28"/>
          <w:szCs w:val="28"/>
        </w:rPr>
      </w:pPr>
      <w:r w:rsidRPr="00D24ABE">
        <w:rPr>
          <w:rFonts w:ascii="仿宋_GB2312" w:hAnsi="仿宋_GB2312" w:cs="仿宋_GB2312"/>
          <w:b/>
          <w:bCs/>
          <w:sz w:val="28"/>
          <w:szCs w:val="28"/>
        </w:rPr>
        <w:t>1.课程考核：</w:t>
      </w:r>
    </w:p>
    <w:p w:rsidR="00494448" w:rsidRPr="00D24ABE" w:rsidRDefault="00494448" w:rsidP="00D24ABE">
      <w:pPr>
        <w:spacing w:line="360" w:lineRule="auto"/>
        <w:ind w:firstLineChars="100" w:firstLine="280"/>
        <w:rPr>
          <w:rFonts w:ascii="仿宋_GB2312" w:hAnsi="仿宋_GB2312" w:cs="仿宋_GB2312"/>
          <w:bCs/>
          <w:sz w:val="28"/>
          <w:szCs w:val="28"/>
        </w:rPr>
      </w:pPr>
      <w:r w:rsidRPr="00D24ABE">
        <w:rPr>
          <w:rFonts w:ascii="仿宋_GB2312" w:hAnsi="仿宋_GB2312" w:cs="仿宋_GB2312"/>
          <w:bCs/>
          <w:sz w:val="28"/>
          <w:szCs w:val="28"/>
        </w:rPr>
        <w:t>本课程考核方式为平时考核与期末考试考试综合评定的考核方法，成绩评定方式为百分制。</w:t>
      </w:r>
    </w:p>
    <w:p w:rsidR="00494448" w:rsidRPr="00D24ABE" w:rsidRDefault="00494448" w:rsidP="00D24ABE">
      <w:pPr>
        <w:spacing w:line="360" w:lineRule="auto"/>
        <w:rPr>
          <w:rFonts w:ascii="仿宋_GB2312" w:hAnsi="仿宋_GB2312" w:cs="仿宋_GB2312"/>
          <w:b/>
          <w:bCs/>
          <w:sz w:val="28"/>
          <w:szCs w:val="28"/>
        </w:rPr>
      </w:pPr>
      <w:r w:rsidRPr="00D24ABE">
        <w:rPr>
          <w:rFonts w:ascii="仿宋_GB2312" w:hAnsi="仿宋_GB2312" w:cs="仿宋_GB2312"/>
          <w:b/>
          <w:bCs/>
          <w:sz w:val="28"/>
          <w:szCs w:val="28"/>
        </w:rPr>
        <w:t>2.成绩评定：</w:t>
      </w:r>
    </w:p>
    <w:p w:rsidR="00494448" w:rsidRPr="00D24ABE" w:rsidRDefault="00494448" w:rsidP="00D24ABE">
      <w:pPr>
        <w:spacing w:line="360" w:lineRule="auto"/>
        <w:ind w:firstLineChars="100" w:firstLine="280"/>
        <w:rPr>
          <w:rFonts w:ascii="仿宋_GB2312" w:hAnsi="仿宋_GB2312" w:cs="仿宋_GB2312"/>
          <w:bCs/>
          <w:sz w:val="28"/>
          <w:szCs w:val="28"/>
        </w:rPr>
      </w:pPr>
      <w:r w:rsidRPr="00D24ABE">
        <w:rPr>
          <w:rFonts w:ascii="仿宋_GB2312" w:hAnsi="仿宋_GB2312" w:cs="仿宋_GB2312"/>
          <w:bCs/>
          <w:sz w:val="28"/>
          <w:szCs w:val="28"/>
        </w:rPr>
        <w:t xml:space="preserve">课程总成绩=期末成绩50%+平时成绩50%  </w:t>
      </w:r>
    </w:p>
    <w:p w:rsidR="00494448" w:rsidRPr="00D24ABE" w:rsidRDefault="00494448" w:rsidP="00D24ABE">
      <w:pPr>
        <w:spacing w:line="360" w:lineRule="auto"/>
        <w:rPr>
          <w:rFonts w:ascii="仿宋_GB2312" w:hAnsi="仿宋_GB2312" w:cs="仿宋_GB2312"/>
          <w:bCs/>
          <w:sz w:val="28"/>
          <w:szCs w:val="28"/>
        </w:rPr>
      </w:pPr>
      <w:r w:rsidRPr="00D24ABE">
        <w:rPr>
          <w:rFonts w:ascii="仿宋_GB2312" w:hAnsi="仿宋_GB2312" w:cs="仿宋_GB2312"/>
          <w:bCs/>
          <w:sz w:val="28"/>
          <w:szCs w:val="28"/>
        </w:rPr>
        <w:t>（1）期末成绩根据期末考试成绩按百分制确定。期末考试采用开卷考试方式。</w:t>
      </w:r>
    </w:p>
    <w:p w:rsidR="00494448" w:rsidRPr="00D24ABE" w:rsidRDefault="00494448" w:rsidP="00D24ABE">
      <w:pPr>
        <w:spacing w:line="360" w:lineRule="auto"/>
        <w:rPr>
          <w:rFonts w:ascii="仿宋_GB2312" w:hAnsi="仿宋_GB2312" w:cs="仿宋_GB2312"/>
          <w:bCs/>
          <w:sz w:val="28"/>
          <w:szCs w:val="28"/>
        </w:rPr>
      </w:pPr>
      <w:r w:rsidRPr="00D24ABE">
        <w:rPr>
          <w:rFonts w:ascii="仿宋_GB2312" w:hAnsi="仿宋_GB2312" w:cs="仿宋_GB2312"/>
          <w:bCs/>
          <w:sz w:val="28"/>
          <w:szCs w:val="28"/>
        </w:rPr>
        <w:t>（2）平时成绩包括：课程作业、课堂考勤、课堂讨论和随堂测试等环节。按综合情况以百分制给出平时成绩。其中，课程作业占50%，课堂考勤占20%，课堂讨论占10%，随堂测试占20%。</w:t>
      </w:r>
    </w:p>
    <w:p w:rsidR="00494448" w:rsidRPr="00D24ABE" w:rsidRDefault="00494448" w:rsidP="00D24ABE">
      <w:pPr>
        <w:spacing w:line="360" w:lineRule="auto"/>
        <w:rPr>
          <w:rFonts w:ascii="仿宋_GB2312" w:hAnsi="仿宋_GB2312" w:cs="仿宋_GB2312"/>
          <w:b/>
          <w:bCs/>
          <w:sz w:val="28"/>
          <w:szCs w:val="28"/>
        </w:rPr>
      </w:pPr>
      <w:r w:rsidRPr="00D24ABE">
        <w:rPr>
          <w:rFonts w:ascii="仿宋_GB2312" w:hAnsi="仿宋_GB2312" w:cs="仿宋_GB2312" w:hint="eastAsia"/>
          <w:b/>
          <w:bCs/>
          <w:sz w:val="28"/>
          <w:szCs w:val="28"/>
        </w:rPr>
        <w:t>3.</w:t>
      </w:r>
      <w:r w:rsidRPr="00D24ABE">
        <w:rPr>
          <w:rFonts w:ascii="仿宋_GB2312" w:hAnsi="仿宋_GB2312" w:cs="仿宋_GB2312"/>
          <w:b/>
          <w:bCs/>
          <w:sz w:val="28"/>
          <w:szCs w:val="28"/>
        </w:rPr>
        <w:t>课程目标达成度自评方式</w:t>
      </w:r>
    </w:p>
    <w:p w:rsidR="00494448" w:rsidRPr="00D24ABE" w:rsidRDefault="00494448" w:rsidP="00D24ABE">
      <w:pPr>
        <w:spacing w:line="360" w:lineRule="auto"/>
        <w:ind w:firstLineChars="100" w:firstLine="280"/>
        <w:rPr>
          <w:rFonts w:ascii="仿宋_GB2312" w:hAnsi="仿宋_GB2312" w:cs="仿宋_GB2312"/>
          <w:bCs/>
          <w:sz w:val="28"/>
          <w:szCs w:val="28"/>
        </w:rPr>
      </w:pPr>
      <w:r w:rsidRPr="00D24ABE">
        <w:rPr>
          <w:rFonts w:ascii="仿宋_GB2312" w:hAnsi="仿宋_GB2312" w:cs="仿宋_GB2312"/>
          <w:bCs/>
          <w:sz w:val="28"/>
          <w:szCs w:val="28"/>
        </w:rPr>
        <w:t>据学院教学管理规定，在开展课程达成度评价前，课程评价审核小组对课程的评价依据合理性进行确认，包括平时作业、实验、期终考试等考核环节。课程结束后，课程小组需要对课程进行达成度评价，课程小组由课程负责人和任课教师组成，统计课程考核数据，并填写</w:t>
      </w:r>
      <w:r w:rsidRPr="00D24ABE">
        <w:rPr>
          <w:rFonts w:ascii="仿宋_GB2312" w:hAnsi="仿宋_GB2312" w:cs="仿宋_GB2312"/>
          <w:bCs/>
          <w:sz w:val="28"/>
          <w:szCs w:val="28"/>
        </w:rPr>
        <w:lastRenderedPageBreak/>
        <w:t>“《</w:t>
      </w:r>
      <w:r w:rsidRPr="00D24ABE">
        <w:rPr>
          <w:rFonts w:ascii="仿宋_GB2312" w:hAnsi="仿宋_GB2312" w:cs="仿宋_GB2312" w:hint="eastAsia"/>
          <w:bCs/>
          <w:sz w:val="28"/>
          <w:szCs w:val="28"/>
        </w:rPr>
        <w:t>钢结构设计</w:t>
      </w:r>
      <w:r w:rsidRPr="00D24ABE">
        <w:rPr>
          <w:rFonts w:ascii="仿宋_GB2312" w:hAnsi="仿宋_GB2312" w:cs="仿宋_GB2312"/>
          <w:bCs/>
          <w:sz w:val="28"/>
          <w:szCs w:val="28"/>
        </w:rPr>
        <w:t>》课程达成情况评价”报告，以便及时了解课程的达成效果，发现问题并进行持续改进，同时也为毕业要求达成度的评价提供基础数据。</w:t>
      </w:r>
    </w:p>
    <w:p w:rsidR="00494448" w:rsidRDefault="00494448" w:rsidP="00D24ABE">
      <w:pPr>
        <w:spacing w:line="360" w:lineRule="auto"/>
        <w:ind w:firstLineChars="200" w:firstLine="560"/>
        <w:rPr>
          <w:rFonts w:ascii="仿宋_GB2312" w:hAnsi="仿宋_GB2312" w:cs="仿宋_GB2312"/>
          <w:bCs/>
          <w:sz w:val="28"/>
          <w:szCs w:val="28"/>
        </w:rPr>
      </w:pPr>
      <w:r w:rsidRPr="00D24ABE">
        <w:rPr>
          <w:rFonts w:ascii="仿宋_GB2312" w:hAnsi="仿宋_GB2312" w:cs="仿宋_GB2312"/>
          <w:bCs/>
          <w:sz w:val="28"/>
          <w:szCs w:val="28"/>
        </w:rPr>
        <w:t>根据课程的考核形式，全部或抽样部分考核资料（应以当年修读该课程的学生为总体，至少抽取90%以上的学生样本），抽样时需覆盖优、良、中、及格和不及格等考核等级的考核资料。课程达成度的具体评价方法，详见“《</w:t>
      </w:r>
      <w:r w:rsidRPr="00D24ABE">
        <w:rPr>
          <w:rFonts w:ascii="仿宋_GB2312" w:hAnsi="仿宋_GB2312" w:cs="仿宋_GB2312" w:hint="eastAsia"/>
          <w:bCs/>
          <w:sz w:val="28"/>
          <w:szCs w:val="28"/>
        </w:rPr>
        <w:t>钢结构设计</w:t>
      </w:r>
      <w:r w:rsidRPr="00D24ABE">
        <w:rPr>
          <w:rFonts w:ascii="仿宋_GB2312" w:hAnsi="仿宋_GB2312" w:cs="仿宋_GB2312"/>
          <w:bCs/>
          <w:sz w:val="28"/>
          <w:szCs w:val="28"/>
        </w:rPr>
        <w:t>》课程达成情况评价”报告。课程小组提交课程达成度评价数据后，课程评价审核小组对评价数据的合理性和有效性进行审核。</w:t>
      </w:r>
    </w:p>
    <w:p w:rsidR="00D24ABE" w:rsidRDefault="00D24ABE" w:rsidP="00D24ABE">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大纲撰写人：李新忠</w:t>
      </w:r>
    </w:p>
    <w:p w:rsidR="00D24ABE" w:rsidRDefault="00D24ABE" w:rsidP="00D24ABE">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D24ABE" w:rsidRDefault="00D24ABE" w:rsidP="00D24ABE">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494448" w:rsidRDefault="00494448" w:rsidP="00494448">
      <w:pPr>
        <w:spacing w:line="560" w:lineRule="exact"/>
        <w:jc w:val="righ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 年  </w:t>
      </w:r>
      <w:r>
        <w:rPr>
          <w:rFonts w:ascii="仿宋" w:eastAsia="仿宋" w:hAnsi="仿宋"/>
          <w:sz w:val="28"/>
          <w:szCs w:val="28"/>
        </w:rPr>
        <w:t>4</w:t>
      </w:r>
      <w:r>
        <w:rPr>
          <w:rFonts w:ascii="仿宋" w:eastAsia="仿宋" w:hAnsi="仿宋" w:hint="eastAsia"/>
          <w:sz w:val="28"/>
          <w:szCs w:val="28"/>
        </w:rPr>
        <w:t xml:space="preserve">  月</w:t>
      </w:r>
    </w:p>
    <w:p w:rsidR="00494448" w:rsidRDefault="00494448" w:rsidP="00B70E4F"/>
    <w:p w:rsidR="00D24ABE" w:rsidRDefault="00D24ABE" w:rsidP="00B70E4F"/>
    <w:p w:rsidR="00D24ABE" w:rsidRDefault="00D24ABE" w:rsidP="00B70E4F"/>
    <w:p w:rsidR="00D24ABE" w:rsidRDefault="00D24ABE" w:rsidP="00B70E4F"/>
    <w:p w:rsidR="00D24ABE" w:rsidRDefault="00D24ABE" w:rsidP="00B70E4F"/>
    <w:p w:rsidR="00D24ABE" w:rsidRDefault="00D24ABE" w:rsidP="00B70E4F"/>
    <w:p w:rsidR="00D24ABE" w:rsidRDefault="00D24ABE" w:rsidP="00B70E4F"/>
    <w:p w:rsidR="00D24ABE" w:rsidRDefault="00D24ABE" w:rsidP="00B70E4F"/>
    <w:p w:rsidR="00D24ABE" w:rsidRDefault="00D24ABE" w:rsidP="00B70E4F"/>
    <w:p w:rsidR="00494448" w:rsidRPr="00D24ABE" w:rsidRDefault="00494448" w:rsidP="00D24ABE">
      <w:pPr>
        <w:widowControl/>
        <w:spacing w:line="360" w:lineRule="auto"/>
        <w:jc w:val="center"/>
        <w:rPr>
          <w:rFonts w:ascii="方正小标宋简体" w:eastAsia="方正小标宋简体" w:hAnsi="宋体"/>
          <w:kern w:val="0"/>
          <w:szCs w:val="32"/>
        </w:rPr>
      </w:pPr>
      <w:r w:rsidRPr="00D24ABE">
        <w:rPr>
          <w:rFonts w:ascii="方正小标宋简体" w:eastAsia="方正小标宋简体" w:hAnsi="宋体" w:hint="eastAsia"/>
          <w:kern w:val="0"/>
          <w:szCs w:val="32"/>
        </w:rPr>
        <w:lastRenderedPageBreak/>
        <w:t>《工程地质》课程教学大纲</w:t>
      </w:r>
    </w:p>
    <w:p w:rsidR="00494448" w:rsidRDefault="00494448" w:rsidP="00494448">
      <w:pPr>
        <w:snapToGrid w:val="0"/>
        <w:spacing w:line="360" w:lineRule="auto"/>
        <w:outlineLvl w:val="0"/>
        <w:rPr>
          <w:rFonts w:ascii="Times New Roman" w:eastAsia="华文中宋" w:hAnsi="Times New Roman"/>
          <w:b/>
          <w:sz w:val="24"/>
          <w:szCs w:val="24"/>
        </w:rPr>
      </w:pPr>
    </w:p>
    <w:p w:rsidR="00494448" w:rsidRDefault="00494448" w:rsidP="00494448">
      <w:pPr>
        <w:snapToGrid w:val="0"/>
        <w:spacing w:line="360" w:lineRule="auto"/>
        <w:outlineLvl w:val="0"/>
        <w:rPr>
          <w:rFonts w:ascii="Times New Roman" w:eastAsia="黑体" w:hAnsi="Times New Roman"/>
          <w:b/>
          <w:sz w:val="28"/>
          <w:szCs w:val="28"/>
        </w:rPr>
      </w:pPr>
      <w:r>
        <w:rPr>
          <w:rFonts w:ascii="Times New Roman" w:eastAsia="黑体" w:hAnsi="Times New Roman" w:hint="eastAsia"/>
          <w:b/>
          <w:sz w:val="28"/>
          <w:szCs w:val="28"/>
        </w:rPr>
        <w:t>一、课程信息</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英文名称：Engineering Geology</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课程编码：Z</w:t>
      </w:r>
      <w:r w:rsidRPr="00D24ABE">
        <w:rPr>
          <w:rFonts w:ascii="仿宋_GB2312" w:hAnsi="仿宋_GB2312" w:cs="仿宋_GB2312"/>
          <w:bCs/>
          <w:sz w:val="28"/>
          <w:szCs w:val="28"/>
        </w:rPr>
        <w:t>2</w:t>
      </w:r>
      <w:r w:rsidRPr="00D24ABE">
        <w:rPr>
          <w:rFonts w:ascii="仿宋_GB2312" w:hAnsi="仿宋_GB2312" w:cs="仿宋_GB2312" w:hint="eastAsia"/>
          <w:bCs/>
          <w:sz w:val="28"/>
          <w:szCs w:val="28"/>
        </w:rPr>
        <w:t>803010</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授课语言：汉语</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授课方式：线下</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课程类别：专业发展</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课程性质：必修</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学　　分：1.5</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学    时：24学时（授课22，实验2，上机0，课外0）</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适用对象：土木工程/城市地下空间方向</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先修课程：本课程为工程地质的基本理论学习与实践，对先修课程没有特别要求。</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开课院系：建筑工程学院地基基础教研室</w:t>
      </w:r>
    </w:p>
    <w:p w:rsidR="00494448" w:rsidRDefault="00494448" w:rsidP="00494448">
      <w:pPr>
        <w:spacing w:line="560" w:lineRule="exact"/>
        <w:ind w:firstLineChars="200" w:firstLine="640"/>
        <w:jc w:val="left"/>
        <w:rPr>
          <w:rFonts w:ascii="Times New Roman" w:eastAsia="华文中宋" w:hAnsi="Times New Roman"/>
          <w:szCs w:val="21"/>
        </w:rPr>
      </w:pPr>
    </w:p>
    <w:p w:rsidR="00494448" w:rsidRDefault="00494448" w:rsidP="00494448">
      <w:pPr>
        <w:snapToGrid w:val="0"/>
        <w:spacing w:line="360" w:lineRule="auto"/>
        <w:outlineLvl w:val="0"/>
        <w:rPr>
          <w:rFonts w:ascii="Times New Roman" w:eastAsia="黑体" w:hAnsi="Times New Roman"/>
          <w:b/>
          <w:sz w:val="28"/>
          <w:szCs w:val="28"/>
        </w:rPr>
      </w:pPr>
      <w:r>
        <w:rPr>
          <w:rFonts w:ascii="Times New Roman" w:eastAsia="黑体" w:hAnsi="Times New Roman" w:hint="eastAsia"/>
          <w:b/>
          <w:sz w:val="28"/>
          <w:szCs w:val="28"/>
        </w:rPr>
        <w:t>二、</w:t>
      </w:r>
      <w:r>
        <w:rPr>
          <w:rFonts w:ascii="Times New Roman" w:eastAsia="黑体" w:hAnsi="Times New Roman"/>
          <w:b/>
          <w:sz w:val="28"/>
          <w:szCs w:val="28"/>
        </w:rPr>
        <w:t>课程简介</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《工程地质》是土木工程专业的一门主要专业基础课，其基本任务是学习工程地质的基本概念和基本原理，探究地质与工程相互作用规律，了解工程地质问题的评价方法。</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教学内容包括基础地质知识：包括地质作用、矿物与岩石、地质构造、第四纪地质与地貌、地下水）；岩土工程性质（工程地质课程仅讲授岩石与岩土工程地质性质，土与土体的工程地质性质在《土力学》</w:t>
      </w:r>
      <w:r w:rsidRPr="00D24ABE">
        <w:rPr>
          <w:rFonts w:ascii="仿宋_GB2312" w:hAnsi="仿宋_GB2312" w:cs="仿宋_GB2312" w:hint="eastAsia"/>
          <w:bCs/>
          <w:sz w:val="28"/>
          <w:szCs w:val="28"/>
        </w:rPr>
        <w:lastRenderedPageBreak/>
        <w:t>课程中重点讲授）；工程地质勘查与评价：包括工程地质勘察、地质灾害体评价。</w:t>
      </w:r>
    </w:p>
    <w:p w:rsidR="00494448" w:rsidRPr="00D24ABE" w:rsidRDefault="00494448" w:rsidP="00D24ABE">
      <w:pPr>
        <w:spacing w:line="360" w:lineRule="auto"/>
        <w:ind w:firstLine="331"/>
        <w:rPr>
          <w:rFonts w:ascii="仿宋_GB2312" w:hAnsi="仿宋_GB2312" w:cs="仿宋_GB2312"/>
          <w:bCs/>
          <w:sz w:val="28"/>
          <w:szCs w:val="28"/>
        </w:rPr>
      </w:pPr>
      <w:r w:rsidRPr="00D24ABE">
        <w:rPr>
          <w:rFonts w:ascii="仿宋_GB2312" w:hAnsi="仿宋_GB2312" w:cs="仿宋_GB2312" w:hint="eastAsia"/>
          <w:bCs/>
          <w:sz w:val="28"/>
          <w:szCs w:val="28"/>
        </w:rPr>
        <w:t>本课程以课堂讲授为主，采用多媒体教学和板书授课相结合的方式，结合土木工程及地下空间方向常见的工程案例进行分析及课堂讨论，综合提升课堂教学效果。课堂讨论中有机融入思政内容，塑造学生正确的人生观、价值观、世界观，提高学生的综合素养。</w:t>
      </w:r>
    </w:p>
    <w:p w:rsidR="00494448" w:rsidRDefault="00494448" w:rsidP="00494448">
      <w:pPr>
        <w:snapToGrid w:val="0"/>
        <w:spacing w:line="360" w:lineRule="auto"/>
        <w:outlineLvl w:val="0"/>
        <w:rPr>
          <w:rFonts w:ascii="Times New Roman" w:eastAsia="黑体" w:hAnsi="Times New Roman"/>
          <w:b/>
          <w:sz w:val="28"/>
          <w:szCs w:val="28"/>
        </w:rPr>
      </w:pPr>
      <w:r>
        <w:rPr>
          <w:rFonts w:ascii="Times New Roman" w:eastAsia="黑体" w:hAnsi="Times New Roman" w:hint="eastAsia"/>
          <w:b/>
          <w:sz w:val="28"/>
          <w:szCs w:val="28"/>
        </w:rPr>
        <w:t>三、课程</w:t>
      </w:r>
      <w:r>
        <w:rPr>
          <w:rFonts w:ascii="Times New Roman" w:eastAsia="黑体" w:hAnsi="Times New Roman"/>
          <w:b/>
          <w:sz w:val="28"/>
          <w:szCs w:val="28"/>
        </w:rPr>
        <w:t>任务</w:t>
      </w:r>
      <w:r>
        <w:rPr>
          <w:rFonts w:ascii="Times New Roman" w:eastAsia="黑体" w:hAnsi="Times New Roman" w:hint="eastAsia"/>
          <w:b/>
          <w:sz w:val="28"/>
          <w:szCs w:val="28"/>
        </w:rPr>
        <w:t>、目的与要求</w:t>
      </w:r>
    </w:p>
    <w:p w:rsidR="00494448" w:rsidRDefault="00494448" w:rsidP="00494448">
      <w:pPr>
        <w:snapToGrid w:val="0"/>
        <w:spacing w:line="360" w:lineRule="auto"/>
        <w:rPr>
          <w:rFonts w:ascii="Times New Roman" w:eastAsia="华文中宋" w:hAnsi="Times New Roman"/>
          <w:b/>
          <w:sz w:val="24"/>
          <w:szCs w:val="24"/>
        </w:rPr>
      </w:pPr>
      <w:r>
        <w:rPr>
          <w:rFonts w:ascii="Times New Roman" w:eastAsia="黑体" w:hAnsi="Times New Roman" w:hint="eastAsia"/>
          <w:b/>
          <w:sz w:val="28"/>
          <w:szCs w:val="28"/>
        </w:rPr>
        <w:t xml:space="preserve">1. </w:t>
      </w:r>
      <w:r>
        <w:rPr>
          <w:rFonts w:ascii="Times New Roman" w:eastAsia="黑体" w:hAnsi="Times New Roman" w:hint="eastAsia"/>
          <w:b/>
          <w:sz w:val="28"/>
          <w:szCs w:val="28"/>
        </w:rPr>
        <w:t>课程任务与目的</w:t>
      </w:r>
    </w:p>
    <w:p w:rsidR="00494448" w:rsidRPr="00D24ABE" w:rsidRDefault="00494448" w:rsidP="00494448">
      <w:pPr>
        <w:spacing w:line="560" w:lineRule="exact"/>
        <w:ind w:firstLineChars="200" w:firstLine="560"/>
        <w:jc w:val="left"/>
        <w:rPr>
          <w:rFonts w:ascii="仿宋_GB2312" w:hAnsi="仿宋_GB2312" w:cs="仿宋_GB2312"/>
          <w:bCs/>
          <w:sz w:val="28"/>
          <w:szCs w:val="28"/>
        </w:rPr>
      </w:pPr>
      <w:r w:rsidRPr="00D24ABE">
        <w:rPr>
          <w:rFonts w:ascii="仿宋_GB2312" w:hAnsi="仿宋_GB2312" w:cs="仿宋_GB2312" w:hint="eastAsia"/>
          <w:bCs/>
          <w:sz w:val="28"/>
          <w:szCs w:val="28"/>
        </w:rPr>
        <w:t>《工程地质》课程是土木工程（城市地下空间方向）的一门专业必修课，通过课程的学习，使学生掌握工程地质的基本理论和知识，树立正确的工程观，运用科学的方法分析和解决实际工程中存在的地质问题，了解常见的不良地质灾害体对建筑物和地质环境的影响和危害，掌握防治不良地质现象的措施，拓展社会应急能力，树立正确的工程观。从工程地质的发展历史及趋势中，树立为国家在新时期纵深发展奉献力量的决心。</w:t>
      </w:r>
    </w:p>
    <w:p w:rsidR="00494448" w:rsidRDefault="00494448" w:rsidP="00494448">
      <w:pPr>
        <w:spacing w:line="560" w:lineRule="exact"/>
        <w:ind w:firstLineChars="200" w:firstLine="640"/>
        <w:jc w:val="left"/>
        <w:rPr>
          <w:rFonts w:ascii="Times New Roman" w:eastAsia="华文中宋" w:hAnsi="Times New Roman"/>
          <w:szCs w:val="21"/>
        </w:rPr>
      </w:pPr>
    </w:p>
    <w:p w:rsidR="00494448" w:rsidRDefault="00494448" w:rsidP="00494448">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 xml:space="preserve">2. </w:t>
      </w:r>
      <w:r>
        <w:rPr>
          <w:rFonts w:ascii="Times New Roman" w:eastAsia="黑体" w:hAnsi="Times New Roman" w:hint="eastAsia"/>
          <w:b/>
          <w:sz w:val="28"/>
          <w:szCs w:val="28"/>
        </w:rPr>
        <w:t>课程基本要求</w:t>
      </w:r>
    </w:p>
    <w:p w:rsidR="00494448" w:rsidRDefault="00494448" w:rsidP="00494448">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2</w:t>
      </w:r>
      <w:r>
        <w:rPr>
          <w:rFonts w:ascii="Times New Roman" w:eastAsia="黑体" w:hAnsi="Times New Roman"/>
          <w:b/>
          <w:sz w:val="28"/>
          <w:szCs w:val="28"/>
        </w:rPr>
        <w:t>.1</w:t>
      </w:r>
      <w:r>
        <w:rPr>
          <w:rFonts w:ascii="Times New Roman" w:eastAsia="黑体" w:hAnsi="Times New Roman" w:hint="eastAsia"/>
          <w:b/>
          <w:sz w:val="28"/>
          <w:szCs w:val="28"/>
        </w:rPr>
        <w:t>课程目标</w:t>
      </w:r>
    </w:p>
    <w:p w:rsidR="00494448" w:rsidRPr="00D24ABE" w:rsidRDefault="00494448" w:rsidP="00494448">
      <w:pPr>
        <w:snapToGrid w:val="0"/>
        <w:spacing w:line="560" w:lineRule="exact"/>
        <w:ind w:firstLineChars="200" w:firstLine="560"/>
        <w:rPr>
          <w:rFonts w:ascii="仿宋_GB2312" w:hAnsi="仿宋_GB2312" w:cs="仿宋_GB2312"/>
          <w:bCs/>
          <w:sz w:val="28"/>
          <w:szCs w:val="28"/>
        </w:rPr>
      </w:pPr>
      <w:r w:rsidRPr="00D24ABE">
        <w:rPr>
          <w:rFonts w:ascii="仿宋_GB2312" w:hAnsi="仿宋_GB2312" w:cs="仿宋_GB2312" w:hint="eastAsia"/>
          <w:bCs/>
          <w:sz w:val="28"/>
          <w:szCs w:val="28"/>
        </w:rPr>
        <w:t>通过本课程的理论教学与实验教学，使学生掌握与工程地质相关的土木工程问题的基本知识以及增强实践和工程应用能力，增强环境保护和可持续发展的意识，培养学生的大国工匠精神，激发学生的家国情怀。课程目标具体要求如下：</w:t>
      </w:r>
    </w:p>
    <w:p w:rsidR="00494448" w:rsidRPr="00D24ABE" w:rsidRDefault="00494448" w:rsidP="00494448">
      <w:pPr>
        <w:snapToGrid w:val="0"/>
        <w:spacing w:line="560" w:lineRule="exact"/>
        <w:ind w:firstLineChars="100" w:firstLine="280"/>
        <w:rPr>
          <w:rFonts w:ascii="仿宋_GB2312" w:hAnsi="仿宋_GB2312" w:cs="仿宋_GB2312"/>
          <w:bCs/>
          <w:sz w:val="28"/>
          <w:szCs w:val="28"/>
        </w:rPr>
      </w:pPr>
      <w:r w:rsidRPr="00D24ABE">
        <w:rPr>
          <w:rFonts w:ascii="仿宋_GB2312" w:hAnsi="仿宋_GB2312" w:cs="仿宋_GB2312"/>
          <w:bCs/>
          <w:sz w:val="28"/>
          <w:szCs w:val="28"/>
        </w:rPr>
        <w:t>（1）</w:t>
      </w:r>
      <w:r w:rsidRPr="00D24ABE">
        <w:rPr>
          <w:rFonts w:ascii="仿宋_GB2312" w:hAnsi="仿宋_GB2312" w:cs="仿宋_GB2312" w:hint="eastAsia"/>
          <w:bCs/>
          <w:sz w:val="28"/>
          <w:szCs w:val="28"/>
        </w:rPr>
        <w:t>掌握地形地貌、地质作用、地质构造、地层岩性等工程地质条件内涵，理解工程建设与地质环境的互馈关系，知晓和理解环境保</w:t>
      </w:r>
      <w:r w:rsidRPr="00D24ABE">
        <w:rPr>
          <w:rFonts w:ascii="仿宋_GB2312" w:hAnsi="仿宋_GB2312" w:cs="仿宋_GB2312" w:hint="eastAsia"/>
          <w:bCs/>
          <w:sz w:val="28"/>
          <w:szCs w:val="28"/>
        </w:rPr>
        <w:lastRenderedPageBreak/>
        <w:t>护与可持续发展的理念和内涵。</w:t>
      </w:r>
    </w:p>
    <w:p w:rsidR="00494448" w:rsidRPr="00D24ABE" w:rsidRDefault="00494448" w:rsidP="00D24ABE">
      <w:pPr>
        <w:snapToGrid w:val="0"/>
        <w:spacing w:line="360" w:lineRule="auto"/>
        <w:ind w:firstLineChars="100" w:firstLine="280"/>
        <w:rPr>
          <w:rFonts w:ascii="仿宋_GB2312" w:hAnsi="仿宋_GB2312" w:cs="仿宋_GB2312"/>
          <w:bCs/>
          <w:sz w:val="28"/>
          <w:szCs w:val="28"/>
        </w:rPr>
      </w:pPr>
      <w:r w:rsidRPr="00D24ABE">
        <w:rPr>
          <w:rFonts w:ascii="仿宋_GB2312" w:hAnsi="仿宋_GB2312" w:cs="仿宋_GB2312" w:hint="eastAsia"/>
          <w:bCs/>
          <w:sz w:val="28"/>
          <w:szCs w:val="28"/>
        </w:rPr>
        <w:t>（2）掌握岩石和岩体的工程地质特征、工程地质问题分析方法、岩土工程勘察原则和方法，了解常见的不良地质灾害体对建筑物和地质环境的影响和危害，掌握防治不良地质现象的原则和措施，从环境保护和社会可持续发展角度思考土木工程专业工程实践的可持续性，评价其可能对人类和环境造成损害和隐患，践行绿色环保理念。</w:t>
      </w:r>
    </w:p>
    <w:p w:rsidR="00494448" w:rsidRDefault="00494448" w:rsidP="00D24ABE">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2</w:t>
      </w:r>
      <w:r>
        <w:rPr>
          <w:rFonts w:ascii="Times New Roman" w:eastAsia="黑体" w:hAnsi="Times New Roman"/>
          <w:b/>
          <w:sz w:val="28"/>
          <w:szCs w:val="28"/>
        </w:rPr>
        <w:t>.2</w:t>
      </w:r>
      <w:r>
        <w:rPr>
          <w:rFonts w:ascii="Times New Roman" w:eastAsia="黑体" w:hAnsi="Times New Roman" w:hint="eastAsia"/>
          <w:b/>
          <w:sz w:val="28"/>
          <w:szCs w:val="28"/>
        </w:rPr>
        <w:t xml:space="preserve"> </w:t>
      </w:r>
      <w:r>
        <w:rPr>
          <w:rFonts w:ascii="Times New Roman" w:eastAsia="黑体" w:hAnsi="Times New Roman" w:hint="eastAsia"/>
          <w:b/>
          <w:sz w:val="28"/>
          <w:szCs w:val="28"/>
        </w:rPr>
        <w:t>课程目标与毕业要求之间的对应关系</w:t>
      </w:r>
    </w:p>
    <w:p w:rsidR="00494448" w:rsidRDefault="00494448" w:rsidP="00494448">
      <w:pPr>
        <w:snapToGrid w:val="0"/>
        <w:spacing w:line="360" w:lineRule="auto"/>
        <w:ind w:firstLineChars="200" w:firstLine="562"/>
        <w:jc w:val="center"/>
        <w:rPr>
          <w:rFonts w:ascii="Times New Roman" w:eastAsia="黑体" w:hAnsi="Times New Roman"/>
          <w:b/>
          <w:sz w:val="28"/>
          <w:szCs w:val="28"/>
        </w:rPr>
      </w:pPr>
      <w:r>
        <w:rPr>
          <w:rFonts w:ascii="Times New Roman" w:eastAsia="黑体" w:hAnsi="Times New Roman" w:hint="eastAsia"/>
          <w:b/>
          <w:sz w:val="28"/>
          <w:szCs w:val="28"/>
        </w:rPr>
        <w:t>表</w:t>
      </w:r>
      <w:r>
        <w:rPr>
          <w:rFonts w:ascii="Times New Roman" w:eastAsia="黑体" w:hAnsi="Times New Roman" w:hint="eastAsia"/>
          <w:b/>
          <w:sz w:val="28"/>
          <w:szCs w:val="28"/>
        </w:rPr>
        <w:t>1</w:t>
      </w:r>
      <w:r>
        <w:rPr>
          <w:rFonts w:ascii="Times New Roman" w:eastAsia="仿宋" w:hAnsi="Times New Roman"/>
          <w:sz w:val="28"/>
          <w:szCs w:val="28"/>
        </w:rPr>
        <w:t xml:space="preserve"> </w:t>
      </w:r>
      <w:r>
        <w:rPr>
          <w:rFonts w:ascii="Times New Roman" w:eastAsia="黑体" w:hAnsi="Times New Roman" w:hint="eastAsia"/>
          <w:b/>
          <w:sz w:val="28"/>
          <w:szCs w:val="28"/>
        </w:rPr>
        <w:t>课程目标与毕业要求有如下对应关系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603"/>
        <w:gridCol w:w="1854"/>
        <w:gridCol w:w="1476"/>
      </w:tblGrid>
      <w:tr w:rsidR="00494448" w:rsidTr="00BE5664">
        <w:trPr>
          <w:jc w:val="center"/>
        </w:trPr>
        <w:tc>
          <w:tcPr>
            <w:tcW w:w="5386" w:type="dxa"/>
            <w:gridSpan w:val="2"/>
            <w:vMerge w:val="restart"/>
            <w:shd w:val="clear" w:color="auto" w:fill="auto"/>
            <w:vAlign w:val="center"/>
          </w:tcPr>
          <w:p w:rsidR="00494448" w:rsidRPr="00D24ABE" w:rsidRDefault="00494448" w:rsidP="00BE5664">
            <w:pPr>
              <w:jc w:val="center"/>
              <w:rPr>
                <w:rFonts w:ascii="Times New Roman" w:hAnsi="Times New Roman"/>
                <w:b/>
                <w:kern w:val="0"/>
                <w:sz w:val="24"/>
                <w:szCs w:val="24"/>
              </w:rPr>
            </w:pPr>
            <w:r w:rsidRPr="00D24ABE">
              <w:rPr>
                <w:rFonts w:ascii="Times New Roman" w:eastAsia="黑体" w:hAnsi="Times New Roman" w:hint="eastAsia"/>
                <w:b/>
                <w:sz w:val="24"/>
                <w:szCs w:val="24"/>
              </w:rPr>
              <w:t xml:space="preserve"> </w:t>
            </w:r>
            <w:r w:rsidRPr="00D24ABE">
              <w:rPr>
                <w:rFonts w:ascii="Times New Roman" w:eastAsia="黑体" w:hAnsi="Times New Roman"/>
                <w:b/>
                <w:sz w:val="24"/>
                <w:szCs w:val="24"/>
              </w:rPr>
              <w:t xml:space="preserve"> </w:t>
            </w:r>
            <w:r w:rsidRPr="00D24ABE">
              <w:rPr>
                <w:rFonts w:ascii="Times New Roman" w:hAnsi="Times New Roman"/>
                <w:b/>
                <w:kern w:val="0"/>
                <w:sz w:val="24"/>
                <w:szCs w:val="24"/>
              </w:rPr>
              <w:t>毕业要求及其指标点</w:t>
            </w:r>
          </w:p>
        </w:tc>
        <w:tc>
          <w:tcPr>
            <w:tcW w:w="3544" w:type="dxa"/>
            <w:gridSpan w:val="2"/>
            <w:shd w:val="clear" w:color="auto" w:fill="auto"/>
            <w:vAlign w:val="center"/>
          </w:tcPr>
          <w:p w:rsidR="00494448" w:rsidRPr="00D24ABE" w:rsidRDefault="00494448" w:rsidP="00BE5664">
            <w:pPr>
              <w:jc w:val="center"/>
              <w:rPr>
                <w:rFonts w:ascii="Times New Roman" w:hAnsi="Times New Roman"/>
                <w:b/>
                <w:kern w:val="0"/>
                <w:sz w:val="24"/>
                <w:szCs w:val="24"/>
              </w:rPr>
            </w:pPr>
            <w:r w:rsidRPr="00D24ABE">
              <w:rPr>
                <w:rFonts w:ascii="Times New Roman" w:hAnsi="Times New Roman" w:hint="eastAsia"/>
                <w:b/>
                <w:kern w:val="0"/>
                <w:sz w:val="24"/>
                <w:szCs w:val="24"/>
              </w:rPr>
              <w:t>课程</w:t>
            </w:r>
            <w:r w:rsidRPr="00D24ABE">
              <w:rPr>
                <w:rFonts w:ascii="Times New Roman" w:hAnsi="Times New Roman"/>
                <w:b/>
                <w:kern w:val="0"/>
                <w:sz w:val="24"/>
                <w:szCs w:val="24"/>
              </w:rPr>
              <w:t>目标</w:t>
            </w:r>
          </w:p>
        </w:tc>
      </w:tr>
      <w:tr w:rsidR="00494448" w:rsidTr="00BE5664">
        <w:trPr>
          <w:jc w:val="center"/>
        </w:trPr>
        <w:tc>
          <w:tcPr>
            <w:tcW w:w="5386" w:type="dxa"/>
            <w:gridSpan w:val="2"/>
            <w:vMerge/>
            <w:shd w:val="clear" w:color="auto" w:fill="auto"/>
            <w:vAlign w:val="center"/>
          </w:tcPr>
          <w:p w:rsidR="00494448" w:rsidRPr="00D24ABE" w:rsidRDefault="00494448" w:rsidP="00BE5664">
            <w:pPr>
              <w:jc w:val="center"/>
              <w:rPr>
                <w:rFonts w:ascii="Times New Roman" w:hAnsi="Times New Roman"/>
                <w:b/>
                <w:kern w:val="0"/>
                <w:sz w:val="24"/>
                <w:szCs w:val="24"/>
              </w:rPr>
            </w:pPr>
          </w:p>
        </w:tc>
        <w:tc>
          <w:tcPr>
            <w:tcW w:w="1985" w:type="dxa"/>
            <w:shd w:val="clear" w:color="auto" w:fill="auto"/>
            <w:vAlign w:val="center"/>
          </w:tcPr>
          <w:p w:rsidR="00494448" w:rsidRPr="00D24ABE" w:rsidRDefault="00494448" w:rsidP="00BE5664">
            <w:pPr>
              <w:jc w:val="center"/>
              <w:rPr>
                <w:rFonts w:ascii="Times New Roman" w:hAnsi="Times New Roman"/>
                <w:b/>
                <w:kern w:val="0"/>
                <w:sz w:val="24"/>
                <w:szCs w:val="24"/>
              </w:rPr>
            </w:pPr>
            <w:r w:rsidRPr="00D24ABE">
              <w:rPr>
                <w:rFonts w:ascii="Times New Roman" w:hAnsi="Times New Roman" w:hint="eastAsia"/>
                <w:b/>
                <w:kern w:val="0"/>
                <w:sz w:val="24"/>
                <w:szCs w:val="24"/>
              </w:rPr>
              <w:t>（</w:t>
            </w:r>
            <w:r w:rsidRPr="00D24ABE">
              <w:rPr>
                <w:rFonts w:ascii="Times New Roman" w:hAnsi="Times New Roman" w:hint="eastAsia"/>
                <w:b/>
                <w:kern w:val="0"/>
                <w:sz w:val="24"/>
                <w:szCs w:val="24"/>
              </w:rPr>
              <w:t>1</w:t>
            </w:r>
            <w:r w:rsidRPr="00D24ABE">
              <w:rPr>
                <w:rFonts w:ascii="Times New Roman" w:hAnsi="Times New Roman" w:hint="eastAsia"/>
                <w:b/>
                <w:kern w:val="0"/>
                <w:sz w:val="24"/>
                <w:szCs w:val="24"/>
              </w:rPr>
              <w:t>）</w:t>
            </w:r>
          </w:p>
        </w:tc>
        <w:tc>
          <w:tcPr>
            <w:tcW w:w="1559" w:type="dxa"/>
            <w:shd w:val="clear" w:color="auto" w:fill="auto"/>
            <w:vAlign w:val="center"/>
          </w:tcPr>
          <w:p w:rsidR="00494448" w:rsidRPr="00D24ABE" w:rsidRDefault="00494448" w:rsidP="00BE5664">
            <w:pPr>
              <w:jc w:val="center"/>
              <w:rPr>
                <w:rFonts w:ascii="Times New Roman" w:hAnsi="Times New Roman"/>
                <w:b/>
                <w:kern w:val="0"/>
                <w:sz w:val="24"/>
                <w:szCs w:val="24"/>
              </w:rPr>
            </w:pPr>
            <w:r w:rsidRPr="00D24ABE">
              <w:rPr>
                <w:rFonts w:ascii="Times New Roman" w:hAnsi="Times New Roman" w:hint="eastAsia"/>
                <w:b/>
                <w:kern w:val="0"/>
                <w:sz w:val="24"/>
                <w:szCs w:val="24"/>
              </w:rPr>
              <w:t>（</w:t>
            </w:r>
            <w:r w:rsidRPr="00D24ABE">
              <w:rPr>
                <w:rFonts w:ascii="Times New Roman" w:hAnsi="Times New Roman" w:hint="eastAsia"/>
                <w:b/>
                <w:kern w:val="0"/>
                <w:sz w:val="24"/>
                <w:szCs w:val="24"/>
              </w:rPr>
              <w:t>2</w:t>
            </w:r>
            <w:r w:rsidRPr="00D24ABE">
              <w:rPr>
                <w:rFonts w:ascii="Times New Roman" w:hAnsi="Times New Roman" w:hint="eastAsia"/>
                <w:b/>
                <w:kern w:val="0"/>
                <w:sz w:val="24"/>
                <w:szCs w:val="24"/>
              </w:rPr>
              <w:t>）</w:t>
            </w:r>
          </w:p>
        </w:tc>
      </w:tr>
      <w:tr w:rsidR="00494448" w:rsidTr="00BE5664">
        <w:trPr>
          <w:jc w:val="center"/>
        </w:trPr>
        <w:tc>
          <w:tcPr>
            <w:tcW w:w="1417" w:type="dxa"/>
            <w:vMerge w:val="restart"/>
            <w:shd w:val="clear" w:color="auto" w:fill="auto"/>
            <w:vAlign w:val="center"/>
          </w:tcPr>
          <w:p w:rsidR="00494448" w:rsidRPr="00D24ABE" w:rsidRDefault="00494448" w:rsidP="00BE5664">
            <w:pPr>
              <w:jc w:val="center"/>
              <w:rPr>
                <w:rFonts w:ascii="Times New Roman" w:hAnsi="Times New Roman"/>
                <w:sz w:val="24"/>
                <w:szCs w:val="24"/>
              </w:rPr>
            </w:pPr>
            <w:bookmarkStart w:id="14" w:name="_Hlk78729106"/>
            <w:r w:rsidRPr="00D24ABE">
              <w:rPr>
                <w:rFonts w:ascii="Times New Roman" w:hAnsi="Times New Roman"/>
                <w:sz w:val="24"/>
                <w:szCs w:val="24"/>
              </w:rPr>
              <w:t>7</w:t>
            </w:r>
            <w:r w:rsidRPr="00D24ABE">
              <w:rPr>
                <w:rFonts w:ascii="Times New Roman" w:hAnsi="Times New Roman"/>
                <w:sz w:val="24"/>
                <w:szCs w:val="24"/>
              </w:rPr>
              <w:t>．</w:t>
            </w:r>
            <w:r w:rsidRPr="00D24ABE">
              <w:rPr>
                <w:rFonts w:ascii="Times New Roman" w:hAnsi="Times New Roman"/>
                <w:sz w:val="24"/>
                <w:szCs w:val="24"/>
              </w:rPr>
              <w:t xml:space="preserve"> </w:t>
            </w:r>
            <w:r w:rsidRPr="00D24ABE">
              <w:rPr>
                <w:rFonts w:ascii="Times New Roman" w:hAnsi="Times New Roman"/>
                <w:sz w:val="24"/>
                <w:szCs w:val="24"/>
              </w:rPr>
              <w:t>可持续发展意识</w:t>
            </w:r>
          </w:p>
        </w:tc>
        <w:tc>
          <w:tcPr>
            <w:tcW w:w="3969" w:type="dxa"/>
            <w:shd w:val="clear" w:color="auto" w:fill="auto"/>
            <w:vAlign w:val="center"/>
          </w:tcPr>
          <w:p w:rsidR="00494448" w:rsidRPr="00D24ABE" w:rsidRDefault="00494448" w:rsidP="00BE5664">
            <w:pPr>
              <w:rPr>
                <w:rFonts w:ascii="Times New Roman" w:hAnsi="Times New Roman"/>
                <w:kern w:val="0"/>
                <w:sz w:val="24"/>
                <w:szCs w:val="24"/>
              </w:rPr>
            </w:pPr>
            <w:r w:rsidRPr="00D24ABE">
              <w:rPr>
                <w:rFonts w:ascii="Times New Roman" w:hAnsi="Times New Roman"/>
                <w:sz w:val="24"/>
                <w:szCs w:val="24"/>
              </w:rPr>
              <w:t xml:space="preserve">7.1 </w:t>
            </w:r>
            <w:r w:rsidRPr="00D24ABE">
              <w:rPr>
                <w:rFonts w:ascii="Times New Roman" w:hAnsi="Times New Roman"/>
                <w:sz w:val="24"/>
                <w:szCs w:val="24"/>
              </w:rPr>
              <w:t>知晓和理解环境保护和可持续发展的理念和内涵；</w:t>
            </w:r>
          </w:p>
        </w:tc>
        <w:tc>
          <w:tcPr>
            <w:tcW w:w="1985" w:type="dxa"/>
            <w:shd w:val="clear" w:color="auto" w:fill="auto"/>
            <w:vAlign w:val="center"/>
          </w:tcPr>
          <w:p w:rsidR="00494448" w:rsidRPr="00D24ABE" w:rsidRDefault="00494448" w:rsidP="00BE5664">
            <w:pPr>
              <w:jc w:val="center"/>
              <w:rPr>
                <w:rFonts w:ascii="Times New Roman" w:hAnsi="Times New Roman"/>
                <w:kern w:val="0"/>
                <w:sz w:val="24"/>
                <w:szCs w:val="24"/>
              </w:rPr>
            </w:pPr>
            <w:r w:rsidRPr="00D24ABE">
              <w:rPr>
                <w:rFonts w:ascii="Times New Roman" w:hAnsi="Times New Roman"/>
                <w:kern w:val="0"/>
                <w:sz w:val="24"/>
                <w:szCs w:val="24"/>
              </w:rPr>
              <w:t>√</w:t>
            </w:r>
          </w:p>
        </w:tc>
        <w:tc>
          <w:tcPr>
            <w:tcW w:w="1559" w:type="dxa"/>
            <w:shd w:val="clear" w:color="auto" w:fill="auto"/>
            <w:vAlign w:val="center"/>
          </w:tcPr>
          <w:p w:rsidR="00494448" w:rsidRPr="00D24ABE" w:rsidRDefault="00494448" w:rsidP="00BE5664">
            <w:pPr>
              <w:jc w:val="center"/>
              <w:rPr>
                <w:rFonts w:ascii="Times New Roman" w:hAnsi="Times New Roman"/>
                <w:kern w:val="0"/>
                <w:sz w:val="24"/>
                <w:szCs w:val="24"/>
              </w:rPr>
            </w:pPr>
          </w:p>
        </w:tc>
      </w:tr>
      <w:tr w:rsidR="00494448" w:rsidTr="00BE5664">
        <w:trPr>
          <w:jc w:val="center"/>
        </w:trPr>
        <w:tc>
          <w:tcPr>
            <w:tcW w:w="1417" w:type="dxa"/>
            <w:vMerge/>
            <w:shd w:val="clear" w:color="auto" w:fill="auto"/>
            <w:vAlign w:val="center"/>
          </w:tcPr>
          <w:p w:rsidR="00494448" w:rsidRPr="00D24ABE" w:rsidRDefault="00494448" w:rsidP="00BE5664">
            <w:pPr>
              <w:jc w:val="center"/>
              <w:rPr>
                <w:rFonts w:ascii="Times New Roman" w:hAnsi="Times New Roman"/>
                <w:kern w:val="0"/>
                <w:sz w:val="24"/>
                <w:szCs w:val="24"/>
              </w:rPr>
            </w:pPr>
            <w:bookmarkStart w:id="15" w:name="_Hlk78729118"/>
            <w:bookmarkEnd w:id="14"/>
          </w:p>
        </w:tc>
        <w:tc>
          <w:tcPr>
            <w:tcW w:w="3969" w:type="dxa"/>
            <w:shd w:val="clear" w:color="auto" w:fill="auto"/>
            <w:vAlign w:val="center"/>
          </w:tcPr>
          <w:p w:rsidR="00494448" w:rsidRPr="00D24ABE" w:rsidRDefault="00494448" w:rsidP="00BE5664">
            <w:pPr>
              <w:rPr>
                <w:rFonts w:ascii="Times New Roman" w:hAnsi="Times New Roman"/>
                <w:kern w:val="0"/>
                <w:sz w:val="24"/>
                <w:szCs w:val="24"/>
              </w:rPr>
            </w:pPr>
            <w:r w:rsidRPr="00D24ABE">
              <w:rPr>
                <w:rFonts w:ascii="Times New Roman" w:hAnsi="Times New Roman"/>
                <w:sz w:val="24"/>
                <w:szCs w:val="24"/>
              </w:rPr>
              <w:t xml:space="preserve">7.2 </w:t>
            </w:r>
            <w:r w:rsidRPr="00D24ABE">
              <w:rPr>
                <w:rFonts w:ascii="Times New Roman" w:hAnsi="Times New Roman"/>
                <w:sz w:val="24"/>
                <w:szCs w:val="24"/>
              </w:rPr>
              <w:t>从环境保护和社会可持续发展角度思考土木工程专业工程实践的可持续性，评价其可能对人类和环境造成损害和隐患，践行绿色环保理念。</w:t>
            </w:r>
          </w:p>
        </w:tc>
        <w:tc>
          <w:tcPr>
            <w:tcW w:w="1985" w:type="dxa"/>
            <w:shd w:val="clear" w:color="auto" w:fill="auto"/>
            <w:vAlign w:val="center"/>
          </w:tcPr>
          <w:p w:rsidR="00494448" w:rsidRPr="00D24ABE" w:rsidRDefault="00494448" w:rsidP="00BE5664">
            <w:pPr>
              <w:jc w:val="center"/>
              <w:rPr>
                <w:rFonts w:ascii="Times New Roman" w:hAnsi="Times New Roman"/>
                <w:kern w:val="0"/>
                <w:sz w:val="24"/>
                <w:szCs w:val="24"/>
              </w:rPr>
            </w:pPr>
          </w:p>
        </w:tc>
        <w:tc>
          <w:tcPr>
            <w:tcW w:w="1559" w:type="dxa"/>
            <w:shd w:val="clear" w:color="auto" w:fill="auto"/>
            <w:vAlign w:val="center"/>
          </w:tcPr>
          <w:p w:rsidR="00494448" w:rsidRPr="00D24ABE" w:rsidRDefault="00494448" w:rsidP="00BE5664">
            <w:pPr>
              <w:jc w:val="center"/>
              <w:rPr>
                <w:rFonts w:ascii="Times New Roman" w:hAnsi="Times New Roman"/>
                <w:kern w:val="0"/>
                <w:sz w:val="24"/>
                <w:szCs w:val="24"/>
              </w:rPr>
            </w:pPr>
            <w:r w:rsidRPr="00D24ABE">
              <w:rPr>
                <w:rFonts w:ascii="Times New Roman" w:hAnsi="Times New Roman"/>
                <w:kern w:val="0"/>
                <w:sz w:val="24"/>
                <w:szCs w:val="24"/>
              </w:rPr>
              <w:t>√</w:t>
            </w:r>
          </w:p>
        </w:tc>
      </w:tr>
      <w:bookmarkEnd w:id="15"/>
    </w:tbl>
    <w:p w:rsidR="00494448" w:rsidRDefault="00494448" w:rsidP="00494448">
      <w:pPr>
        <w:jc w:val="center"/>
        <w:rPr>
          <w:rFonts w:ascii="Times New Roman" w:hAnsi="Times New Roman"/>
          <w:kern w:val="0"/>
          <w:sz w:val="18"/>
          <w:szCs w:val="18"/>
        </w:rPr>
      </w:pPr>
    </w:p>
    <w:p w:rsidR="00494448" w:rsidRDefault="00494448" w:rsidP="00494448">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2</w:t>
      </w:r>
      <w:r>
        <w:rPr>
          <w:rFonts w:ascii="Times New Roman" w:eastAsia="黑体" w:hAnsi="Times New Roman"/>
          <w:b/>
          <w:sz w:val="28"/>
          <w:szCs w:val="28"/>
        </w:rPr>
        <w:t xml:space="preserve">.3 </w:t>
      </w:r>
      <w:r>
        <w:rPr>
          <w:rFonts w:ascii="Times New Roman" w:eastAsia="黑体" w:hAnsi="Times New Roman" w:hint="eastAsia"/>
          <w:b/>
          <w:sz w:val="28"/>
          <w:szCs w:val="28"/>
        </w:rPr>
        <w:t>课程的重点、难点</w:t>
      </w:r>
    </w:p>
    <w:p w:rsidR="00494448" w:rsidRPr="00D24ABE" w:rsidRDefault="00494448" w:rsidP="00494448">
      <w:pPr>
        <w:spacing w:line="560" w:lineRule="exact"/>
        <w:ind w:firstLineChars="200" w:firstLine="560"/>
        <w:jc w:val="left"/>
        <w:rPr>
          <w:rFonts w:ascii="仿宋_GB2312" w:hAnsi="仿宋_GB2312" w:cs="仿宋_GB2312"/>
          <w:bCs/>
          <w:sz w:val="28"/>
          <w:szCs w:val="28"/>
        </w:rPr>
      </w:pPr>
      <w:r w:rsidRPr="00D24ABE">
        <w:rPr>
          <w:rFonts w:ascii="仿宋_GB2312" w:hAnsi="仿宋_GB2312" w:cs="仿宋_GB2312" w:hint="eastAsia"/>
          <w:bCs/>
          <w:sz w:val="28"/>
          <w:szCs w:val="28"/>
        </w:rPr>
        <w:t>本课程的重点在于掌握工程地质基本原理，包括基本地质构造的类型和特点，常见岩土、矿物的特征和分类，地下水的类型及其地质作用，岩石与岩体的工程地质特征，工程勘察基本原则与方法，不良地质现象类型、危害及其预防措施。</w:t>
      </w:r>
    </w:p>
    <w:p w:rsidR="00494448" w:rsidRPr="00D24ABE" w:rsidRDefault="00494448" w:rsidP="00494448">
      <w:pPr>
        <w:spacing w:line="560" w:lineRule="exact"/>
        <w:ind w:firstLineChars="200" w:firstLine="560"/>
        <w:jc w:val="left"/>
        <w:rPr>
          <w:rFonts w:ascii="仿宋_GB2312" w:hAnsi="仿宋_GB2312" w:cs="仿宋_GB2312"/>
          <w:bCs/>
          <w:sz w:val="28"/>
          <w:szCs w:val="28"/>
        </w:rPr>
      </w:pPr>
      <w:r w:rsidRPr="00D24ABE">
        <w:rPr>
          <w:rFonts w:ascii="仿宋_GB2312" w:hAnsi="仿宋_GB2312" w:cs="仿宋_GB2312" w:hint="eastAsia"/>
          <w:bCs/>
          <w:sz w:val="28"/>
          <w:szCs w:val="28"/>
        </w:rPr>
        <w:t>工程地质学是一门实践性很强的科学，本课程的难点在于应用工程地质基本原理分析工程地质问题并对不良地质灾害体的进行分析判断。</w:t>
      </w:r>
    </w:p>
    <w:p w:rsidR="00494448" w:rsidRDefault="00494448" w:rsidP="00494448">
      <w:pPr>
        <w:snapToGrid w:val="0"/>
        <w:spacing w:line="360" w:lineRule="auto"/>
        <w:rPr>
          <w:rFonts w:ascii="Times New Roman" w:eastAsia="黑体" w:hAnsi="Times New Roman"/>
          <w:b/>
          <w:sz w:val="28"/>
          <w:szCs w:val="28"/>
        </w:rPr>
      </w:pPr>
      <w:r>
        <w:rPr>
          <w:rFonts w:ascii="Times New Roman" w:eastAsia="黑体" w:hAnsi="Times New Roman" w:hint="eastAsia"/>
          <w:b/>
          <w:sz w:val="28"/>
          <w:szCs w:val="28"/>
        </w:rPr>
        <w:t>2</w:t>
      </w:r>
      <w:r>
        <w:rPr>
          <w:rFonts w:ascii="Times New Roman" w:eastAsia="黑体" w:hAnsi="Times New Roman"/>
          <w:b/>
          <w:sz w:val="28"/>
          <w:szCs w:val="28"/>
        </w:rPr>
        <w:t xml:space="preserve">.4 </w:t>
      </w:r>
      <w:r>
        <w:rPr>
          <w:rFonts w:ascii="Times New Roman" w:eastAsia="黑体" w:hAnsi="Times New Roman" w:hint="eastAsia"/>
          <w:b/>
          <w:sz w:val="28"/>
          <w:szCs w:val="28"/>
        </w:rPr>
        <w:t>课程思政切入</w:t>
      </w:r>
    </w:p>
    <w:p w:rsidR="00494448" w:rsidRDefault="00494448" w:rsidP="00494448">
      <w:pPr>
        <w:spacing w:line="560" w:lineRule="exact"/>
        <w:ind w:firstLineChars="100" w:firstLine="280"/>
        <w:jc w:val="left"/>
        <w:rPr>
          <w:rFonts w:ascii="Times New Roman" w:eastAsia="仿宋" w:hAnsi="Times New Roman"/>
          <w:sz w:val="28"/>
          <w:szCs w:val="28"/>
        </w:rPr>
      </w:pPr>
      <w:r>
        <w:rPr>
          <w:rFonts w:ascii="Times New Roman" w:eastAsia="仿宋" w:hAnsi="Times New Roman" w:hint="eastAsia"/>
          <w:sz w:val="28"/>
          <w:szCs w:val="28"/>
        </w:rPr>
        <w:t>（</w:t>
      </w:r>
      <w:r>
        <w:rPr>
          <w:rFonts w:ascii="Times New Roman" w:eastAsia="仿宋" w:hAnsi="Times New Roman" w:hint="eastAsia"/>
          <w:sz w:val="28"/>
          <w:szCs w:val="28"/>
        </w:rPr>
        <w:t>1</w:t>
      </w:r>
      <w:r>
        <w:rPr>
          <w:rFonts w:ascii="Times New Roman" w:eastAsia="仿宋" w:hAnsi="Times New Roman" w:hint="eastAsia"/>
          <w:sz w:val="28"/>
          <w:szCs w:val="28"/>
        </w:rPr>
        <w:t>）讲述工程地质学在中国的发展历史，从老一辈工程地质学家开创区域稳定性问题的研究到年轻一代的工程地质学者为新世纪工</w:t>
      </w:r>
      <w:r>
        <w:rPr>
          <w:rFonts w:ascii="Times New Roman" w:eastAsia="仿宋" w:hAnsi="Times New Roman" w:hint="eastAsia"/>
          <w:sz w:val="28"/>
          <w:szCs w:val="28"/>
        </w:rPr>
        <w:lastRenderedPageBreak/>
        <w:t>程提供新方法新思路和新手段，激励学生喜爱本专业的自豪感，激发学生的家国情怀。</w:t>
      </w:r>
    </w:p>
    <w:p w:rsidR="00494448" w:rsidRDefault="00494448" w:rsidP="00494448">
      <w:pPr>
        <w:spacing w:line="560" w:lineRule="exact"/>
        <w:ind w:firstLineChars="100" w:firstLine="280"/>
        <w:jc w:val="left"/>
        <w:rPr>
          <w:rFonts w:ascii="Times New Roman" w:eastAsia="仿宋" w:hAnsi="Times New Roman"/>
          <w:sz w:val="28"/>
          <w:szCs w:val="28"/>
        </w:rPr>
      </w:pPr>
      <w:r>
        <w:rPr>
          <w:rFonts w:ascii="Times New Roman" w:eastAsia="仿宋" w:hAnsi="Times New Roman" w:hint="eastAsia"/>
          <w:sz w:val="28"/>
          <w:szCs w:val="28"/>
        </w:rPr>
        <w:t>（</w:t>
      </w:r>
      <w:r>
        <w:rPr>
          <w:rFonts w:ascii="Times New Roman" w:eastAsia="仿宋" w:hAnsi="Times New Roman"/>
          <w:sz w:val="28"/>
          <w:szCs w:val="28"/>
        </w:rPr>
        <w:t>2</w:t>
      </w:r>
      <w:r>
        <w:rPr>
          <w:rFonts w:ascii="Times New Roman" w:eastAsia="仿宋" w:hAnsi="Times New Roman" w:hint="eastAsia"/>
          <w:sz w:val="28"/>
          <w:szCs w:val="28"/>
        </w:rPr>
        <w:t>）工程地质学本质上是研究工程与地质、人与地球关系的学科，通篇贯穿人地调谐观念，增强环境伦理意识，培养学生土木工程职业责任感。</w:t>
      </w:r>
    </w:p>
    <w:p w:rsidR="00494448" w:rsidRDefault="00494448" w:rsidP="00494448">
      <w:pPr>
        <w:spacing w:line="560" w:lineRule="exact"/>
        <w:ind w:firstLineChars="100" w:firstLine="280"/>
        <w:jc w:val="left"/>
        <w:rPr>
          <w:rFonts w:ascii="Times New Roman" w:eastAsia="仿宋" w:hAnsi="Times New Roman"/>
          <w:sz w:val="28"/>
          <w:szCs w:val="28"/>
        </w:rPr>
      </w:pPr>
      <w:r>
        <w:rPr>
          <w:rFonts w:ascii="Times New Roman" w:eastAsia="仿宋" w:hAnsi="Times New Roman" w:hint="eastAsia"/>
          <w:sz w:val="28"/>
          <w:szCs w:val="28"/>
        </w:rPr>
        <w:t>（</w:t>
      </w:r>
      <w:r>
        <w:rPr>
          <w:rFonts w:ascii="Times New Roman" w:eastAsia="仿宋" w:hAnsi="Times New Roman"/>
          <w:sz w:val="28"/>
          <w:szCs w:val="28"/>
        </w:rPr>
        <w:t>3</w:t>
      </w:r>
      <w:r>
        <w:rPr>
          <w:rFonts w:ascii="Times New Roman" w:eastAsia="仿宋" w:hAnsi="Times New Roman" w:hint="eastAsia"/>
          <w:sz w:val="28"/>
          <w:szCs w:val="28"/>
        </w:rPr>
        <w:t>）以常见的边坡失稳现象为引导案例，讲述不良地质体造成的危害，分析原因，增强学生在从事相关专业后确保工程安全的底线意识，增强学生的土木工程师的职业责任感。</w:t>
      </w:r>
    </w:p>
    <w:p w:rsidR="00494448" w:rsidRDefault="00494448" w:rsidP="00494448">
      <w:pPr>
        <w:spacing w:line="560" w:lineRule="exact"/>
        <w:ind w:firstLineChars="100" w:firstLine="280"/>
        <w:jc w:val="left"/>
        <w:rPr>
          <w:rFonts w:ascii="Times New Roman" w:eastAsia="华文中宋" w:hAnsi="Times New Roman"/>
          <w:szCs w:val="21"/>
        </w:rPr>
      </w:pPr>
      <w:r>
        <w:rPr>
          <w:rFonts w:ascii="Times New Roman" w:eastAsia="仿宋" w:hAnsi="Times New Roman" w:hint="eastAsia"/>
          <w:sz w:val="28"/>
          <w:szCs w:val="28"/>
        </w:rPr>
        <w:t>（</w:t>
      </w:r>
      <w:r>
        <w:rPr>
          <w:rFonts w:ascii="Times New Roman" w:eastAsia="仿宋" w:hAnsi="Times New Roman"/>
          <w:sz w:val="28"/>
          <w:szCs w:val="28"/>
        </w:rPr>
        <w:t>4</w:t>
      </w:r>
      <w:r>
        <w:rPr>
          <w:rFonts w:ascii="Times New Roman" w:eastAsia="仿宋" w:hAnsi="Times New Roman" w:hint="eastAsia"/>
          <w:sz w:val="28"/>
          <w:szCs w:val="28"/>
        </w:rPr>
        <w:t>）以港珠澳工程为引导案例，讲述工程地质的应用，培养学生的大国情怀的工匠精神，激发学生为国家建设奉献力量的决心。</w:t>
      </w:r>
    </w:p>
    <w:p w:rsidR="00494448" w:rsidRDefault="00494448" w:rsidP="00494448">
      <w:pPr>
        <w:snapToGrid w:val="0"/>
        <w:spacing w:line="360" w:lineRule="auto"/>
        <w:ind w:firstLineChars="200" w:firstLine="640"/>
        <w:rPr>
          <w:rFonts w:ascii="Times New Roman" w:eastAsia="华文中宋" w:hAnsi="Times New Roman"/>
          <w:szCs w:val="21"/>
        </w:rPr>
      </w:pPr>
    </w:p>
    <w:p w:rsidR="00494448" w:rsidRDefault="00494448" w:rsidP="00494448">
      <w:pPr>
        <w:snapToGrid w:val="0"/>
        <w:spacing w:line="360" w:lineRule="auto"/>
        <w:outlineLvl w:val="0"/>
        <w:rPr>
          <w:rFonts w:ascii="Times New Roman" w:eastAsia="黑体" w:hAnsi="Times New Roman"/>
          <w:b/>
          <w:sz w:val="28"/>
          <w:szCs w:val="28"/>
        </w:rPr>
      </w:pPr>
      <w:r>
        <w:rPr>
          <w:rFonts w:ascii="Times New Roman" w:eastAsia="黑体" w:hAnsi="Times New Roman" w:hint="eastAsia"/>
          <w:b/>
          <w:sz w:val="28"/>
          <w:szCs w:val="28"/>
        </w:rPr>
        <w:t>四、教学内容安排</w:t>
      </w:r>
    </w:p>
    <w:p w:rsidR="00494448" w:rsidRDefault="00494448" w:rsidP="00494448">
      <w:pPr>
        <w:snapToGrid w:val="0"/>
        <w:spacing w:line="360" w:lineRule="auto"/>
        <w:jc w:val="center"/>
        <w:outlineLvl w:val="0"/>
        <w:rPr>
          <w:rFonts w:ascii="Times New Roman" w:eastAsia="黑体" w:hAnsi="Times New Roman"/>
          <w:b/>
          <w:sz w:val="28"/>
          <w:szCs w:val="28"/>
        </w:rPr>
      </w:pPr>
    </w:p>
    <w:p w:rsidR="00494448" w:rsidRDefault="00494448" w:rsidP="00494448">
      <w:pPr>
        <w:snapToGrid w:val="0"/>
        <w:spacing w:line="360" w:lineRule="auto"/>
        <w:jc w:val="center"/>
        <w:outlineLvl w:val="0"/>
        <w:rPr>
          <w:rFonts w:ascii="Times New Roman" w:eastAsia="黑体" w:hAnsi="Times New Roman"/>
          <w:b/>
          <w:sz w:val="28"/>
          <w:szCs w:val="28"/>
        </w:rPr>
      </w:pPr>
      <w:r>
        <w:rPr>
          <w:rFonts w:ascii="Times New Roman" w:eastAsia="黑体" w:hAnsi="Times New Roman" w:hint="eastAsia"/>
          <w:b/>
          <w:sz w:val="28"/>
          <w:szCs w:val="28"/>
        </w:rPr>
        <w:t>表</w:t>
      </w:r>
      <w:r>
        <w:rPr>
          <w:rFonts w:ascii="Times New Roman" w:eastAsia="黑体" w:hAnsi="Times New Roman" w:hint="eastAsia"/>
          <w:b/>
          <w:sz w:val="28"/>
          <w:szCs w:val="28"/>
        </w:rPr>
        <w:t>2</w:t>
      </w:r>
      <w:r>
        <w:rPr>
          <w:rFonts w:ascii="Times New Roman" w:eastAsia="仿宋" w:hAnsi="Times New Roman"/>
          <w:sz w:val="28"/>
          <w:szCs w:val="28"/>
        </w:rPr>
        <w:t xml:space="preserve"> </w:t>
      </w:r>
      <w:r>
        <w:rPr>
          <w:rFonts w:ascii="Times New Roman" w:eastAsia="黑体" w:hAnsi="Times New Roman" w:hint="eastAsia"/>
          <w:b/>
          <w:sz w:val="28"/>
          <w:szCs w:val="28"/>
        </w:rPr>
        <w:t>教学内容安排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687"/>
        <w:gridCol w:w="816"/>
        <w:gridCol w:w="2113"/>
        <w:gridCol w:w="1466"/>
        <w:gridCol w:w="2275"/>
      </w:tblGrid>
      <w:tr w:rsidR="00494448" w:rsidTr="00BE5664">
        <w:trPr>
          <w:jc w:val="center"/>
        </w:trPr>
        <w:tc>
          <w:tcPr>
            <w:tcW w:w="534" w:type="dxa"/>
            <w:shd w:val="clear" w:color="auto" w:fill="auto"/>
            <w:vAlign w:val="center"/>
          </w:tcPr>
          <w:p w:rsidR="00494448" w:rsidRPr="00D24ABE" w:rsidRDefault="00494448" w:rsidP="00D24ABE">
            <w:pPr>
              <w:spacing w:line="560" w:lineRule="exact"/>
              <w:ind w:firstLineChars="200" w:firstLine="482"/>
              <w:jc w:val="left"/>
              <w:rPr>
                <w:rFonts w:ascii="仿宋_GB2312" w:hAnsi="仿宋_GB2312" w:cs="仿宋_GB2312"/>
                <w:b/>
                <w:bCs/>
                <w:sz w:val="24"/>
                <w:szCs w:val="24"/>
              </w:rPr>
            </w:pPr>
            <w:r w:rsidRPr="00D24ABE">
              <w:rPr>
                <w:rFonts w:ascii="仿宋_GB2312" w:hAnsi="仿宋_GB2312" w:cs="仿宋_GB2312" w:hint="eastAsia"/>
                <w:b/>
                <w:bCs/>
                <w:sz w:val="24"/>
                <w:szCs w:val="24"/>
              </w:rPr>
              <w:t>序</w:t>
            </w:r>
          </w:p>
          <w:p w:rsidR="00494448" w:rsidRPr="00D24ABE" w:rsidRDefault="00494448" w:rsidP="00D24ABE">
            <w:pPr>
              <w:spacing w:line="560" w:lineRule="exact"/>
              <w:ind w:firstLineChars="200" w:firstLine="482"/>
              <w:jc w:val="left"/>
              <w:rPr>
                <w:rFonts w:ascii="仿宋_GB2312" w:hAnsi="仿宋_GB2312" w:cs="仿宋_GB2312"/>
                <w:b/>
                <w:bCs/>
                <w:sz w:val="24"/>
                <w:szCs w:val="24"/>
              </w:rPr>
            </w:pPr>
            <w:r w:rsidRPr="00D24ABE">
              <w:rPr>
                <w:rFonts w:ascii="仿宋_GB2312" w:hAnsi="仿宋_GB2312" w:cs="仿宋_GB2312" w:hint="eastAsia"/>
                <w:b/>
                <w:bCs/>
                <w:sz w:val="24"/>
                <w:szCs w:val="24"/>
              </w:rPr>
              <w:t>号</w:t>
            </w:r>
          </w:p>
        </w:tc>
        <w:tc>
          <w:tcPr>
            <w:tcW w:w="850" w:type="dxa"/>
            <w:shd w:val="clear" w:color="auto" w:fill="auto"/>
            <w:vAlign w:val="center"/>
          </w:tcPr>
          <w:p w:rsidR="00494448" w:rsidRPr="00D24ABE" w:rsidRDefault="00494448" w:rsidP="00D24ABE">
            <w:pPr>
              <w:spacing w:line="560" w:lineRule="exact"/>
              <w:jc w:val="left"/>
              <w:rPr>
                <w:rFonts w:ascii="仿宋_GB2312" w:hAnsi="仿宋_GB2312" w:cs="仿宋_GB2312"/>
                <w:b/>
                <w:bCs/>
                <w:sz w:val="24"/>
                <w:szCs w:val="24"/>
              </w:rPr>
            </w:pPr>
            <w:r w:rsidRPr="00D24ABE">
              <w:rPr>
                <w:rFonts w:ascii="仿宋_GB2312" w:hAnsi="仿宋_GB2312" w:cs="仿宋_GB2312" w:hint="eastAsia"/>
                <w:b/>
                <w:bCs/>
                <w:sz w:val="24"/>
                <w:szCs w:val="24"/>
              </w:rPr>
              <w:t>章  节</w:t>
            </w:r>
          </w:p>
        </w:tc>
        <w:tc>
          <w:tcPr>
            <w:tcW w:w="709" w:type="dxa"/>
            <w:shd w:val="clear" w:color="auto" w:fill="auto"/>
            <w:vAlign w:val="center"/>
          </w:tcPr>
          <w:p w:rsidR="00494448" w:rsidRPr="00D24ABE" w:rsidRDefault="00494448" w:rsidP="00D24ABE">
            <w:pPr>
              <w:spacing w:line="560" w:lineRule="exact"/>
              <w:jc w:val="left"/>
              <w:rPr>
                <w:rFonts w:ascii="仿宋_GB2312" w:hAnsi="仿宋_GB2312" w:cs="仿宋_GB2312"/>
                <w:b/>
                <w:bCs/>
                <w:sz w:val="24"/>
                <w:szCs w:val="24"/>
              </w:rPr>
            </w:pPr>
            <w:r w:rsidRPr="00D24ABE">
              <w:rPr>
                <w:rFonts w:ascii="仿宋_GB2312" w:hAnsi="仿宋_GB2312" w:cs="仿宋_GB2312" w:hint="eastAsia"/>
                <w:b/>
                <w:bCs/>
                <w:sz w:val="24"/>
                <w:szCs w:val="24"/>
              </w:rPr>
              <w:t>参考学时</w:t>
            </w:r>
          </w:p>
          <w:p w:rsidR="00494448" w:rsidRPr="00D24ABE" w:rsidRDefault="00494448" w:rsidP="00D24ABE">
            <w:pPr>
              <w:spacing w:line="560" w:lineRule="exact"/>
              <w:ind w:firstLineChars="200" w:firstLine="482"/>
              <w:jc w:val="left"/>
              <w:rPr>
                <w:rFonts w:ascii="仿宋_GB2312" w:hAnsi="仿宋_GB2312" w:cs="仿宋_GB2312"/>
                <w:b/>
                <w:bCs/>
                <w:sz w:val="24"/>
                <w:szCs w:val="24"/>
              </w:rPr>
            </w:pPr>
          </w:p>
        </w:tc>
        <w:tc>
          <w:tcPr>
            <w:tcW w:w="2693" w:type="dxa"/>
            <w:shd w:val="clear" w:color="auto" w:fill="auto"/>
            <w:vAlign w:val="center"/>
          </w:tcPr>
          <w:p w:rsidR="00494448" w:rsidRPr="00D24ABE" w:rsidRDefault="00494448" w:rsidP="00D24ABE">
            <w:pPr>
              <w:spacing w:line="560" w:lineRule="exact"/>
              <w:ind w:firstLineChars="200" w:firstLine="482"/>
              <w:jc w:val="left"/>
              <w:rPr>
                <w:rFonts w:ascii="仿宋_GB2312" w:hAnsi="仿宋_GB2312" w:cs="仿宋_GB2312"/>
                <w:b/>
                <w:bCs/>
                <w:sz w:val="24"/>
                <w:szCs w:val="24"/>
              </w:rPr>
            </w:pPr>
            <w:r w:rsidRPr="00D24ABE">
              <w:rPr>
                <w:rFonts w:ascii="仿宋_GB2312" w:hAnsi="仿宋_GB2312" w:cs="仿宋_GB2312" w:hint="eastAsia"/>
                <w:b/>
                <w:bCs/>
                <w:sz w:val="24"/>
                <w:szCs w:val="24"/>
              </w:rPr>
              <w:t>教学内容</w:t>
            </w:r>
          </w:p>
        </w:tc>
        <w:tc>
          <w:tcPr>
            <w:tcW w:w="1843" w:type="dxa"/>
            <w:shd w:val="clear" w:color="auto" w:fill="auto"/>
            <w:vAlign w:val="center"/>
          </w:tcPr>
          <w:p w:rsidR="00494448" w:rsidRPr="00D24ABE" w:rsidRDefault="00494448" w:rsidP="00D24ABE">
            <w:pPr>
              <w:spacing w:line="560" w:lineRule="exact"/>
              <w:jc w:val="left"/>
              <w:rPr>
                <w:rFonts w:ascii="仿宋_GB2312" w:hAnsi="仿宋_GB2312" w:cs="仿宋_GB2312"/>
                <w:b/>
                <w:bCs/>
                <w:sz w:val="24"/>
                <w:szCs w:val="24"/>
              </w:rPr>
            </w:pPr>
            <w:r w:rsidRPr="00D24ABE">
              <w:rPr>
                <w:rFonts w:ascii="仿宋_GB2312" w:hAnsi="仿宋_GB2312" w:cs="仿宋_GB2312" w:hint="eastAsia"/>
                <w:b/>
                <w:bCs/>
                <w:sz w:val="24"/>
                <w:szCs w:val="24"/>
              </w:rPr>
              <w:t>基本要求</w:t>
            </w:r>
          </w:p>
        </w:tc>
        <w:tc>
          <w:tcPr>
            <w:tcW w:w="3225" w:type="dxa"/>
            <w:shd w:val="clear" w:color="auto" w:fill="auto"/>
            <w:vAlign w:val="center"/>
          </w:tcPr>
          <w:p w:rsidR="00494448" w:rsidRPr="00D24ABE" w:rsidRDefault="00494448" w:rsidP="00D24ABE">
            <w:pPr>
              <w:spacing w:line="560" w:lineRule="exact"/>
              <w:jc w:val="left"/>
              <w:rPr>
                <w:rFonts w:ascii="仿宋_GB2312" w:hAnsi="仿宋_GB2312" w:cs="仿宋_GB2312"/>
                <w:b/>
                <w:bCs/>
                <w:sz w:val="24"/>
                <w:szCs w:val="24"/>
              </w:rPr>
            </w:pPr>
            <w:r w:rsidRPr="00D24ABE">
              <w:rPr>
                <w:rFonts w:ascii="仿宋_GB2312" w:hAnsi="仿宋_GB2312" w:cs="仿宋_GB2312" w:hint="eastAsia"/>
                <w:b/>
                <w:bCs/>
                <w:sz w:val="24"/>
                <w:szCs w:val="24"/>
              </w:rPr>
              <w:t>对毕业要求的支撑</w:t>
            </w:r>
          </w:p>
        </w:tc>
      </w:tr>
      <w:tr w:rsidR="00494448" w:rsidTr="00BE5664">
        <w:trPr>
          <w:jc w:val="center"/>
        </w:trPr>
        <w:tc>
          <w:tcPr>
            <w:tcW w:w="534"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1</w:t>
            </w:r>
          </w:p>
        </w:tc>
        <w:tc>
          <w:tcPr>
            <w:tcW w:w="850"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绪论</w:t>
            </w:r>
          </w:p>
        </w:tc>
        <w:tc>
          <w:tcPr>
            <w:tcW w:w="709"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1</w:t>
            </w:r>
          </w:p>
        </w:tc>
        <w:tc>
          <w:tcPr>
            <w:tcW w:w="269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（1</w:t>
            </w:r>
            <w:r w:rsidRPr="00D24ABE">
              <w:rPr>
                <w:rFonts w:ascii="仿宋_GB2312" w:hAnsi="仿宋_GB2312" w:cs="仿宋_GB2312"/>
                <w:bCs/>
                <w:sz w:val="24"/>
                <w:szCs w:val="24"/>
              </w:rPr>
              <w:t>）工程地质问题及工程地质条件的基本概念</w:t>
            </w:r>
            <w:r w:rsidRPr="00D24ABE">
              <w:rPr>
                <w:rFonts w:ascii="仿宋_GB2312" w:hAnsi="仿宋_GB2312" w:cs="仿宋_GB2312" w:hint="eastAsia"/>
                <w:bCs/>
                <w:sz w:val="24"/>
                <w:szCs w:val="24"/>
              </w:rPr>
              <w:t>；</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（2）了解国内外的发展现状；</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（3）本课程</w:t>
            </w:r>
            <w:r w:rsidRPr="00D24ABE">
              <w:rPr>
                <w:rFonts w:ascii="仿宋_GB2312" w:hAnsi="仿宋_GB2312" w:cs="仿宋_GB2312" w:hint="eastAsia"/>
                <w:bCs/>
                <w:sz w:val="24"/>
                <w:szCs w:val="24"/>
              </w:rPr>
              <w:lastRenderedPageBreak/>
              <w:t>的主要内容要求及学习方法。</w:t>
            </w:r>
          </w:p>
        </w:tc>
        <w:tc>
          <w:tcPr>
            <w:tcW w:w="184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lastRenderedPageBreak/>
              <w:t>要求学生掌握工程地质学、工程地质问题及工程地质条件的基本概念、了解国内外的发</w:t>
            </w:r>
            <w:r w:rsidRPr="00D24ABE">
              <w:rPr>
                <w:rFonts w:ascii="仿宋_GB2312" w:hAnsi="仿宋_GB2312" w:cs="仿宋_GB2312" w:hint="eastAsia"/>
                <w:bCs/>
                <w:sz w:val="24"/>
                <w:szCs w:val="24"/>
              </w:rPr>
              <w:lastRenderedPageBreak/>
              <w:t>展现状及本课程的主要内容要求及学习方法。</w:t>
            </w:r>
          </w:p>
        </w:tc>
        <w:tc>
          <w:tcPr>
            <w:tcW w:w="3225"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bookmarkStart w:id="16" w:name="_Hlk75206015"/>
            <w:r w:rsidRPr="00D24ABE">
              <w:rPr>
                <w:rFonts w:ascii="仿宋_GB2312" w:hAnsi="仿宋_GB2312" w:cs="仿宋_GB2312"/>
                <w:bCs/>
                <w:sz w:val="24"/>
                <w:szCs w:val="24"/>
              </w:rPr>
              <w:lastRenderedPageBreak/>
              <w:t>可支撑 “指标点</w:t>
            </w:r>
            <w:r w:rsidRPr="00D24ABE">
              <w:rPr>
                <w:rFonts w:ascii="仿宋_GB2312" w:hAnsi="仿宋_GB2312" w:cs="仿宋_GB2312" w:hint="eastAsia"/>
                <w:bCs/>
                <w:sz w:val="24"/>
                <w:szCs w:val="24"/>
              </w:rPr>
              <w:t>7.2：从环境保护和社会可持续发展角度思考土木工程专业工程实践的可持续性，评价其可能对人类和环境造成损害和隐患，</w:t>
            </w:r>
            <w:r w:rsidRPr="00D24ABE">
              <w:rPr>
                <w:rFonts w:ascii="仿宋_GB2312" w:hAnsi="仿宋_GB2312" w:cs="仿宋_GB2312" w:hint="eastAsia"/>
                <w:bCs/>
                <w:sz w:val="24"/>
                <w:szCs w:val="24"/>
              </w:rPr>
              <w:lastRenderedPageBreak/>
              <w:t>践行绿色环保理念”</w:t>
            </w:r>
            <w:r w:rsidRPr="00D24ABE">
              <w:rPr>
                <w:rFonts w:ascii="仿宋_GB2312" w:hAnsi="仿宋_GB2312" w:cs="仿宋_GB2312"/>
                <w:bCs/>
                <w:sz w:val="24"/>
                <w:szCs w:val="24"/>
              </w:rPr>
              <w:t>。</w:t>
            </w:r>
            <w:bookmarkEnd w:id="16"/>
          </w:p>
        </w:tc>
      </w:tr>
      <w:tr w:rsidR="00494448" w:rsidTr="00BE5664">
        <w:trPr>
          <w:jc w:val="center"/>
        </w:trPr>
        <w:tc>
          <w:tcPr>
            <w:tcW w:w="534"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lastRenderedPageBreak/>
              <w:t>2</w:t>
            </w:r>
          </w:p>
        </w:tc>
        <w:tc>
          <w:tcPr>
            <w:tcW w:w="850"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第一章</w:t>
            </w:r>
          </w:p>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地质作用</w:t>
            </w:r>
          </w:p>
        </w:tc>
        <w:tc>
          <w:tcPr>
            <w:tcW w:w="709"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2</w:t>
            </w:r>
          </w:p>
        </w:tc>
        <w:tc>
          <w:tcPr>
            <w:tcW w:w="269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（1）地质作用的概念。</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（2）内、外动力地质作用的概念及分类。</w:t>
            </w:r>
          </w:p>
        </w:tc>
        <w:tc>
          <w:tcPr>
            <w:tcW w:w="184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要求学生掌握内动力地质作用、外动力地质作用的概念及分类，了解内、外动力地质作用的相互关系。</w:t>
            </w:r>
          </w:p>
        </w:tc>
        <w:tc>
          <w:tcPr>
            <w:tcW w:w="3225"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bCs/>
                <w:sz w:val="24"/>
                <w:szCs w:val="24"/>
              </w:rPr>
              <w:t>可支撑“指标点</w:t>
            </w:r>
            <w:r w:rsidRPr="00D24ABE">
              <w:rPr>
                <w:rFonts w:ascii="仿宋_GB2312" w:hAnsi="仿宋_GB2312" w:cs="仿宋_GB2312" w:hint="eastAsia"/>
                <w:bCs/>
                <w:sz w:val="24"/>
                <w:szCs w:val="24"/>
              </w:rPr>
              <w:t>7.1：知晓和理解环境保护和可持续发展的理念和内涵”</w:t>
            </w:r>
            <w:r w:rsidRPr="00D24ABE">
              <w:rPr>
                <w:rFonts w:ascii="仿宋_GB2312" w:hAnsi="仿宋_GB2312" w:cs="仿宋_GB2312"/>
                <w:bCs/>
                <w:sz w:val="24"/>
                <w:szCs w:val="24"/>
              </w:rPr>
              <w:t>。</w:t>
            </w:r>
          </w:p>
        </w:tc>
      </w:tr>
      <w:tr w:rsidR="00494448" w:rsidTr="00BE5664">
        <w:trPr>
          <w:jc w:val="center"/>
        </w:trPr>
        <w:tc>
          <w:tcPr>
            <w:tcW w:w="534"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3</w:t>
            </w:r>
          </w:p>
        </w:tc>
        <w:tc>
          <w:tcPr>
            <w:tcW w:w="850"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第二章矿物与岩石</w:t>
            </w:r>
          </w:p>
        </w:tc>
        <w:tc>
          <w:tcPr>
            <w:tcW w:w="709"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2</w:t>
            </w:r>
          </w:p>
        </w:tc>
        <w:tc>
          <w:tcPr>
            <w:tcW w:w="2693"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（1）造岩矿物的物理力学性质。</w:t>
            </w:r>
          </w:p>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（2）三大岩类的分类及特征。</w:t>
            </w:r>
          </w:p>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（3）初步学会鉴定矿物。</w:t>
            </w:r>
          </w:p>
        </w:tc>
        <w:tc>
          <w:tcPr>
            <w:tcW w:w="184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要求学生掌握矿物的物理力学性质及三大岩类的分类及特征，初步学会鉴定矿物。</w:t>
            </w:r>
          </w:p>
        </w:tc>
        <w:tc>
          <w:tcPr>
            <w:tcW w:w="3225"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可支撑“指标点4.2：掌握工程基础和专业实验、测试和检测的基本原理、方法和技能”和“</w:t>
            </w:r>
            <w:r w:rsidRPr="00D24ABE">
              <w:rPr>
                <w:rFonts w:ascii="仿宋_GB2312" w:hAnsi="仿宋_GB2312" w:cs="仿宋_GB2312"/>
                <w:bCs/>
                <w:sz w:val="24"/>
                <w:szCs w:val="24"/>
              </w:rPr>
              <w:t>指标点</w:t>
            </w:r>
            <w:r w:rsidRPr="00D24ABE">
              <w:rPr>
                <w:rFonts w:ascii="仿宋_GB2312" w:hAnsi="仿宋_GB2312" w:cs="仿宋_GB2312" w:hint="eastAsia"/>
                <w:bCs/>
                <w:sz w:val="24"/>
                <w:szCs w:val="24"/>
              </w:rPr>
              <w:t>7.1：知晓和理解环境保护和可持续发展的理念和内涵”。</w:t>
            </w:r>
          </w:p>
        </w:tc>
      </w:tr>
      <w:tr w:rsidR="00494448" w:rsidTr="00BE5664">
        <w:trPr>
          <w:jc w:val="center"/>
        </w:trPr>
        <w:tc>
          <w:tcPr>
            <w:tcW w:w="534"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4</w:t>
            </w:r>
          </w:p>
        </w:tc>
        <w:tc>
          <w:tcPr>
            <w:tcW w:w="850"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第</w:t>
            </w:r>
            <w:r w:rsidRPr="00D24ABE">
              <w:rPr>
                <w:rFonts w:ascii="仿宋_GB2312" w:hAnsi="仿宋_GB2312" w:cs="仿宋_GB2312" w:hint="eastAsia"/>
                <w:bCs/>
                <w:sz w:val="24"/>
                <w:szCs w:val="24"/>
              </w:rPr>
              <w:lastRenderedPageBreak/>
              <w:t>三章地质构造</w:t>
            </w:r>
          </w:p>
        </w:tc>
        <w:tc>
          <w:tcPr>
            <w:tcW w:w="709"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lastRenderedPageBreak/>
              <w:t>6</w:t>
            </w:r>
          </w:p>
        </w:tc>
        <w:tc>
          <w:tcPr>
            <w:tcW w:w="2693"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（1）地质构造的</w:t>
            </w:r>
            <w:r w:rsidRPr="00D24ABE">
              <w:rPr>
                <w:rFonts w:ascii="仿宋_GB2312" w:hAnsi="仿宋_GB2312" w:cs="仿宋_GB2312" w:hint="eastAsia"/>
                <w:bCs/>
                <w:sz w:val="24"/>
                <w:szCs w:val="24"/>
              </w:rPr>
              <w:lastRenderedPageBreak/>
              <w:t>概念。</w:t>
            </w:r>
          </w:p>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（2）褶皱和断裂构造的基本要素和基本形态，及其工程地质性质评价。</w:t>
            </w:r>
          </w:p>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（3）掌握地质罗盘的使用。</w:t>
            </w:r>
          </w:p>
        </w:tc>
        <w:tc>
          <w:tcPr>
            <w:tcW w:w="184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lastRenderedPageBreak/>
              <w:t>要求学</w:t>
            </w:r>
            <w:r w:rsidRPr="00D24ABE">
              <w:rPr>
                <w:rFonts w:ascii="仿宋_GB2312" w:hAnsi="仿宋_GB2312" w:cs="仿宋_GB2312" w:hint="eastAsia"/>
                <w:bCs/>
                <w:sz w:val="24"/>
                <w:szCs w:val="24"/>
              </w:rPr>
              <w:lastRenderedPageBreak/>
              <w:t>生掌握地质构造的概念、分类及工程地质评价，熟悉掌握地质罗盘的使用。</w:t>
            </w:r>
          </w:p>
        </w:tc>
        <w:tc>
          <w:tcPr>
            <w:tcW w:w="3225"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lastRenderedPageBreak/>
              <w:t>可支撑“指标点</w:t>
            </w:r>
            <w:r w:rsidRPr="00D24ABE">
              <w:rPr>
                <w:rFonts w:ascii="仿宋_GB2312" w:hAnsi="仿宋_GB2312" w:cs="仿宋_GB2312" w:hint="eastAsia"/>
                <w:bCs/>
                <w:sz w:val="24"/>
                <w:szCs w:val="24"/>
              </w:rPr>
              <w:lastRenderedPageBreak/>
              <w:t>4.2：掌握工程基础和专业实验、测试和检测的基本原理、方法和技能”和“</w:t>
            </w:r>
            <w:r w:rsidRPr="00D24ABE">
              <w:rPr>
                <w:rFonts w:ascii="仿宋_GB2312" w:hAnsi="仿宋_GB2312" w:cs="仿宋_GB2312"/>
                <w:bCs/>
                <w:sz w:val="24"/>
                <w:szCs w:val="24"/>
              </w:rPr>
              <w:t>指标点</w:t>
            </w:r>
            <w:r w:rsidRPr="00D24ABE">
              <w:rPr>
                <w:rFonts w:ascii="仿宋_GB2312" w:hAnsi="仿宋_GB2312" w:cs="仿宋_GB2312" w:hint="eastAsia"/>
                <w:bCs/>
                <w:sz w:val="24"/>
                <w:szCs w:val="24"/>
              </w:rPr>
              <w:t>7.1：知晓和理解环境保护和可持续发展的理念和内涵”。</w:t>
            </w:r>
          </w:p>
        </w:tc>
      </w:tr>
      <w:tr w:rsidR="00494448" w:rsidTr="00BE5664">
        <w:trPr>
          <w:jc w:val="center"/>
        </w:trPr>
        <w:tc>
          <w:tcPr>
            <w:tcW w:w="534"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lastRenderedPageBreak/>
              <w:t>5</w:t>
            </w:r>
          </w:p>
        </w:tc>
        <w:tc>
          <w:tcPr>
            <w:tcW w:w="850"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第四章第四纪地质与地貌</w:t>
            </w:r>
          </w:p>
        </w:tc>
        <w:tc>
          <w:tcPr>
            <w:tcW w:w="709"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2</w:t>
            </w:r>
          </w:p>
        </w:tc>
        <w:tc>
          <w:tcPr>
            <w:tcW w:w="269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（1）掌握第四纪沉积物的特征，沉积层的主要类型。</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（2）掌握第四纪地貌的特点。</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（3）掌握山岭地貌、平原地貌和河谷地貌。</w:t>
            </w:r>
          </w:p>
        </w:tc>
        <w:tc>
          <w:tcPr>
            <w:tcW w:w="184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要求学生掌握第四纪沉积物的特征，沉积层的主要类型，掌握第四纪地貌的特点。</w:t>
            </w:r>
          </w:p>
        </w:tc>
        <w:tc>
          <w:tcPr>
            <w:tcW w:w="3225"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bCs/>
                <w:sz w:val="24"/>
                <w:szCs w:val="24"/>
              </w:rPr>
              <w:t>可支撑 “指标点</w:t>
            </w:r>
            <w:r w:rsidRPr="00D24ABE">
              <w:rPr>
                <w:rFonts w:ascii="仿宋_GB2312" w:hAnsi="仿宋_GB2312" w:cs="仿宋_GB2312" w:hint="eastAsia"/>
                <w:bCs/>
                <w:sz w:val="24"/>
                <w:szCs w:val="24"/>
              </w:rPr>
              <w:t>7.1：知晓和理解环境保护和可持续发展的理念和内涵”</w:t>
            </w:r>
            <w:r w:rsidRPr="00D24ABE">
              <w:rPr>
                <w:rFonts w:ascii="仿宋_GB2312" w:hAnsi="仿宋_GB2312" w:cs="仿宋_GB2312"/>
                <w:bCs/>
                <w:sz w:val="24"/>
                <w:szCs w:val="24"/>
              </w:rPr>
              <w:t>。</w:t>
            </w:r>
          </w:p>
        </w:tc>
      </w:tr>
      <w:tr w:rsidR="00494448" w:rsidTr="00BE5664">
        <w:trPr>
          <w:jc w:val="center"/>
        </w:trPr>
        <w:tc>
          <w:tcPr>
            <w:tcW w:w="534"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6</w:t>
            </w:r>
          </w:p>
        </w:tc>
        <w:tc>
          <w:tcPr>
            <w:tcW w:w="850"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第五章地下</w:t>
            </w:r>
            <w:r w:rsidRPr="00D24ABE">
              <w:rPr>
                <w:rFonts w:ascii="仿宋_GB2312" w:hAnsi="仿宋_GB2312" w:cs="仿宋_GB2312" w:hint="eastAsia"/>
                <w:bCs/>
                <w:sz w:val="24"/>
                <w:szCs w:val="24"/>
              </w:rPr>
              <w:lastRenderedPageBreak/>
              <w:t>水</w:t>
            </w:r>
          </w:p>
        </w:tc>
        <w:tc>
          <w:tcPr>
            <w:tcW w:w="709"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lastRenderedPageBreak/>
              <w:t>2</w:t>
            </w:r>
          </w:p>
        </w:tc>
        <w:tc>
          <w:tcPr>
            <w:tcW w:w="269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（1）掌握地下水类型及其主要特征。</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（2）掌握地下水的运动及达</w:t>
            </w:r>
            <w:r w:rsidRPr="00D24ABE">
              <w:rPr>
                <w:rFonts w:ascii="仿宋_GB2312" w:hAnsi="仿宋_GB2312" w:cs="仿宋_GB2312" w:hint="eastAsia"/>
                <w:bCs/>
                <w:sz w:val="24"/>
                <w:szCs w:val="24"/>
              </w:rPr>
              <w:lastRenderedPageBreak/>
              <w:t>西定律。</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（3）掌握地下水与工程建设的关系。</w:t>
            </w:r>
          </w:p>
        </w:tc>
        <w:tc>
          <w:tcPr>
            <w:tcW w:w="184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lastRenderedPageBreak/>
              <w:t>要求学生掌握地下水的类型、特征，掌握地下水对建</w:t>
            </w:r>
            <w:r w:rsidRPr="00D24ABE">
              <w:rPr>
                <w:rFonts w:ascii="仿宋_GB2312" w:hAnsi="仿宋_GB2312" w:cs="仿宋_GB2312" w:hint="eastAsia"/>
                <w:bCs/>
                <w:sz w:val="24"/>
                <w:szCs w:val="24"/>
              </w:rPr>
              <w:lastRenderedPageBreak/>
              <w:t>筑工程的影响。</w:t>
            </w:r>
          </w:p>
        </w:tc>
        <w:tc>
          <w:tcPr>
            <w:tcW w:w="3225"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bCs/>
                <w:sz w:val="24"/>
                <w:szCs w:val="24"/>
              </w:rPr>
              <w:lastRenderedPageBreak/>
              <w:t>可支撑“指标点1.3：掌握相关工程基础知识,具备应用相关知识推演、分析土木工程专业复</w:t>
            </w:r>
            <w:r w:rsidRPr="00D24ABE">
              <w:rPr>
                <w:rFonts w:ascii="仿宋_GB2312" w:hAnsi="仿宋_GB2312" w:cs="仿宋_GB2312"/>
                <w:bCs/>
                <w:sz w:val="24"/>
                <w:szCs w:val="24"/>
              </w:rPr>
              <w:lastRenderedPageBreak/>
              <w:t>杂工程问题的专业基础能力</w:t>
            </w:r>
            <w:r w:rsidRPr="00D24ABE">
              <w:rPr>
                <w:rFonts w:ascii="仿宋_GB2312" w:hAnsi="仿宋_GB2312" w:cs="仿宋_GB2312" w:hint="eastAsia"/>
                <w:bCs/>
                <w:sz w:val="24"/>
                <w:szCs w:val="24"/>
              </w:rPr>
              <w:t>”和</w:t>
            </w:r>
            <w:r w:rsidRPr="00D24ABE">
              <w:rPr>
                <w:rFonts w:ascii="仿宋_GB2312" w:hAnsi="仿宋_GB2312" w:cs="仿宋_GB2312"/>
                <w:bCs/>
                <w:sz w:val="24"/>
                <w:szCs w:val="24"/>
              </w:rPr>
              <w:t>“指标点</w:t>
            </w:r>
            <w:r w:rsidRPr="00D24ABE">
              <w:rPr>
                <w:rFonts w:ascii="仿宋_GB2312" w:hAnsi="仿宋_GB2312" w:cs="仿宋_GB2312" w:hint="eastAsia"/>
                <w:bCs/>
                <w:sz w:val="24"/>
                <w:szCs w:val="24"/>
              </w:rPr>
              <w:t>7.2：从环境保护和社会可持续发展角度思考土木工程专业工程实践的可持续性，评价其可能对人类和环境造成损害和隐患，践行绿色环保理念”</w:t>
            </w:r>
            <w:r w:rsidRPr="00D24ABE">
              <w:rPr>
                <w:rFonts w:ascii="仿宋_GB2312" w:hAnsi="仿宋_GB2312" w:cs="仿宋_GB2312"/>
                <w:bCs/>
                <w:sz w:val="24"/>
                <w:szCs w:val="24"/>
              </w:rPr>
              <w:t>。</w:t>
            </w:r>
          </w:p>
        </w:tc>
      </w:tr>
      <w:tr w:rsidR="00494448" w:rsidTr="00BE5664">
        <w:trPr>
          <w:jc w:val="center"/>
        </w:trPr>
        <w:tc>
          <w:tcPr>
            <w:tcW w:w="534"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lastRenderedPageBreak/>
              <w:t>7</w:t>
            </w:r>
          </w:p>
        </w:tc>
        <w:tc>
          <w:tcPr>
            <w:tcW w:w="850"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第七章岩石和岩体的工程地质</w:t>
            </w:r>
            <w:r w:rsidRPr="00D24ABE">
              <w:rPr>
                <w:rFonts w:ascii="仿宋_GB2312" w:hAnsi="仿宋_GB2312" w:cs="仿宋_GB2312" w:hint="eastAsia"/>
                <w:bCs/>
                <w:sz w:val="24"/>
                <w:szCs w:val="24"/>
              </w:rPr>
              <w:lastRenderedPageBreak/>
              <w:t>特征</w:t>
            </w:r>
          </w:p>
        </w:tc>
        <w:tc>
          <w:tcPr>
            <w:tcW w:w="709"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lastRenderedPageBreak/>
              <w:t>2</w:t>
            </w:r>
          </w:p>
        </w:tc>
        <w:tc>
          <w:tcPr>
            <w:tcW w:w="269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（1）掌握岩石的工程地质性质。</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（2）掌握岩体的工程地质性质。</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（3）掌握工程岩体的分级依据。</w:t>
            </w:r>
          </w:p>
        </w:tc>
        <w:tc>
          <w:tcPr>
            <w:tcW w:w="184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要求学生掌握岩石与岩体的工程地质性质并理解其区别，理解工程岩土分级的原则。</w:t>
            </w:r>
          </w:p>
        </w:tc>
        <w:tc>
          <w:tcPr>
            <w:tcW w:w="3225"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可支撑“指标点7.2：从环境保护和社会可持续发展角度思考土木工程专业工程实践的可持续性，评价其可能对人类和环境造成损害和隐患，践行绿色环保理念”。</w:t>
            </w:r>
          </w:p>
        </w:tc>
      </w:tr>
      <w:tr w:rsidR="00494448" w:rsidTr="00BE5664">
        <w:trPr>
          <w:jc w:val="center"/>
        </w:trPr>
        <w:tc>
          <w:tcPr>
            <w:tcW w:w="534"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8</w:t>
            </w:r>
          </w:p>
        </w:tc>
        <w:tc>
          <w:tcPr>
            <w:tcW w:w="850"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第八章工程地质勘察</w:t>
            </w:r>
          </w:p>
        </w:tc>
        <w:tc>
          <w:tcPr>
            <w:tcW w:w="709"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2</w:t>
            </w:r>
          </w:p>
        </w:tc>
        <w:tc>
          <w:tcPr>
            <w:tcW w:w="269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（1）工程地质原位测试的目的和方法。</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（2）阅读工程地质勘查报告书及图件。</w:t>
            </w:r>
          </w:p>
        </w:tc>
        <w:tc>
          <w:tcPr>
            <w:tcW w:w="184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要求学生了解工程地质原位测试的目的和方法，基本学会阅读工程地质勘查报告书及图件。</w:t>
            </w:r>
          </w:p>
        </w:tc>
        <w:tc>
          <w:tcPr>
            <w:tcW w:w="3225"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可支撑“指标点4.2：掌握工程基础和专业实验、测试和检测的基本原理、方法和技能”和“</w:t>
            </w:r>
            <w:r w:rsidRPr="00D24ABE">
              <w:rPr>
                <w:rFonts w:ascii="仿宋_GB2312" w:hAnsi="仿宋_GB2312" w:cs="仿宋_GB2312"/>
                <w:bCs/>
                <w:sz w:val="24"/>
                <w:szCs w:val="24"/>
              </w:rPr>
              <w:t>指标点</w:t>
            </w:r>
            <w:r w:rsidRPr="00D24ABE">
              <w:rPr>
                <w:rFonts w:ascii="仿宋_GB2312" w:hAnsi="仿宋_GB2312" w:cs="仿宋_GB2312" w:hint="eastAsia"/>
                <w:bCs/>
                <w:sz w:val="24"/>
                <w:szCs w:val="24"/>
              </w:rPr>
              <w:t>7.1：知晓和理解环境保护和可持续发展的理念和内涵”。</w:t>
            </w:r>
          </w:p>
        </w:tc>
      </w:tr>
      <w:tr w:rsidR="00494448" w:rsidTr="00BE5664">
        <w:trPr>
          <w:jc w:val="center"/>
        </w:trPr>
        <w:tc>
          <w:tcPr>
            <w:tcW w:w="534"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9</w:t>
            </w:r>
          </w:p>
        </w:tc>
        <w:tc>
          <w:tcPr>
            <w:tcW w:w="850" w:type="dxa"/>
            <w:shd w:val="clear" w:color="auto" w:fill="auto"/>
            <w:vAlign w:val="center"/>
          </w:tcPr>
          <w:p w:rsidR="00494448" w:rsidRPr="00D24ABE" w:rsidRDefault="00494448" w:rsidP="00D24ABE">
            <w:pPr>
              <w:spacing w:line="560" w:lineRule="exact"/>
              <w:jc w:val="left"/>
              <w:rPr>
                <w:rFonts w:ascii="仿宋_GB2312" w:hAnsi="仿宋_GB2312" w:cs="仿宋_GB2312"/>
                <w:bCs/>
                <w:sz w:val="24"/>
                <w:szCs w:val="24"/>
              </w:rPr>
            </w:pPr>
            <w:r w:rsidRPr="00D24ABE">
              <w:rPr>
                <w:rFonts w:ascii="仿宋_GB2312" w:hAnsi="仿宋_GB2312" w:cs="仿宋_GB2312" w:hint="eastAsia"/>
                <w:bCs/>
                <w:sz w:val="24"/>
                <w:szCs w:val="24"/>
              </w:rPr>
              <w:t>第九章地质灾害体勘察与评价</w:t>
            </w:r>
          </w:p>
        </w:tc>
        <w:tc>
          <w:tcPr>
            <w:tcW w:w="709"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3</w:t>
            </w:r>
          </w:p>
        </w:tc>
        <w:tc>
          <w:tcPr>
            <w:tcW w:w="269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（1）岩溶与土洞的工程地质勘察与评价。</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（2）崩塌和滑坡的工程地质勘察与评价。</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（3）泥石流的工程地质勘察与评价。</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（4）地面沉降的工程地质勘察与评价。</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（5）地震区</w:t>
            </w:r>
            <w:r w:rsidRPr="00D24ABE">
              <w:rPr>
                <w:rFonts w:ascii="仿宋_GB2312" w:hAnsi="仿宋_GB2312" w:cs="仿宋_GB2312" w:hint="eastAsia"/>
                <w:bCs/>
                <w:sz w:val="24"/>
                <w:szCs w:val="24"/>
              </w:rPr>
              <w:lastRenderedPageBreak/>
              <w:t>的工程地质勘察与评价</w:t>
            </w:r>
          </w:p>
        </w:tc>
        <w:tc>
          <w:tcPr>
            <w:tcW w:w="1843"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lastRenderedPageBreak/>
              <w:t>要求学生了解不良地质灾害的勘察与评价，掌握不良地质灾害体的防范措施。</w:t>
            </w:r>
          </w:p>
        </w:tc>
        <w:tc>
          <w:tcPr>
            <w:tcW w:w="3225" w:type="dxa"/>
            <w:shd w:val="clear" w:color="auto" w:fill="auto"/>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可支撑“指标点1.3：掌握相关工程基础知识,具备应用相关知识推演、分析土木工程专业复杂工程问题的专业基础能力”和 “指标点7.2：从环境保护和社会可持续发展角度思考土木工程专业工程实践的可持续性，评价其可能对</w:t>
            </w:r>
            <w:r w:rsidRPr="00D24ABE">
              <w:rPr>
                <w:rFonts w:ascii="仿宋_GB2312" w:hAnsi="仿宋_GB2312" w:cs="仿宋_GB2312" w:hint="eastAsia"/>
                <w:bCs/>
                <w:sz w:val="24"/>
                <w:szCs w:val="24"/>
              </w:rPr>
              <w:lastRenderedPageBreak/>
              <w:t>人类和环境造成损害和隐患，践行绿色环保理念”。</w:t>
            </w:r>
          </w:p>
        </w:tc>
      </w:tr>
    </w:tbl>
    <w:p w:rsidR="00494448" w:rsidRDefault="00494448" w:rsidP="00494448">
      <w:pPr>
        <w:spacing w:line="440" w:lineRule="exact"/>
        <w:rPr>
          <w:rFonts w:ascii="Times New Roman" w:eastAsia="华文中宋" w:hAnsi="Times New Roman"/>
          <w:b/>
          <w:sz w:val="24"/>
          <w:szCs w:val="24"/>
        </w:rPr>
      </w:pPr>
    </w:p>
    <w:p w:rsidR="00494448" w:rsidRDefault="00494448" w:rsidP="00494448">
      <w:pPr>
        <w:jc w:val="center"/>
        <w:rPr>
          <w:rFonts w:ascii="Times New Roman" w:eastAsia="华文中宋" w:hAnsi="Times New Roman"/>
          <w:szCs w:val="21"/>
        </w:rPr>
      </w:pPr>
    </w:p>
    <w:p w:rsidR="00494448" w:rsidRDefault="00494448" w:rsidP="00494448">
      <w:pPr>
        <w:snapToGrid w:val="0"/>
        <w:spacing w:line="360" w:lineRule="auto"/>
        <w:outlineLvl w:val="0"/>
        <w:rPr>
          <w:rFonts w:ascii="Times New Roman" w:eastAsia="黑体" w:hAnsi="Times New Roman"/>
          <w:b/>
          <w:sz w:val="28"/>
          <w:szCs w:val="28"/>
        </w:rPr>
      </w:pPr>
      <w:r>
        <w:rPr>
          <w:rFonts w:ascii="Times New Roman" w:eastAsia="黑体" w:hAnsi="Times New Roman" w:hint="eastAsia"/>
          <w:b/>
          <w:sz w:val="28"/>
          <w:szCs w:val="28"/>
        </w:rPr>
        <w:t>五、课程考核与成绩评定</w:t>
      </w:r>
    </w:p>
    <w:p w:rsidR="00494448" w:rsidRDefault="00494448" w:rsidP="00494448">
      <w:pPr>
        <w:snapToGrid w:val="0"/>
        <w:spacing w:line="360" w:lineRule="auto"/>
        <w:rPr>
          <w:rFonts w:ascii="Times New Roman" w:eastAsia="华文中宋" w:hAnsi="Times New Roman"/>
          <w:b/>
          <w:sz w:val="24"/>
          <w:szCs w:val="24"/>
        </w:rPr>
      </w:pPr>
      <w:r>
        <w:rPr>
          <w:rFonts w:ascii="Times New Roman" w:eastAsia="黑体" w:hAnsi="Times New Roman" w:hint="eastAsia"/>
          <w:b/>
          <w:sz w:val="28"/>
          <w:szCs w:val="28"/>
        </w:rPr>
        <w:t>1.</w:t>
      </w:r>
      <w:r>
        <w:rPr>
          <w:rFonts w:ascii="Times New Roman" w:eastAsia="黑体" w:hAnsi="Times New Roman" w:hint="eastAsia"/>
          <w:b/>
          <w:sz w:val="28"/>
          <w:szCs w:val="28"/>
        </w:rPr>
        <w:t>课程考核</w:t>
      </w:r>
    </w:p>
    <w:p w:rsidR="00494448" w:rsidRPr="00D24ABE" w:rsidRDefault="00494448" w:rsidP="00D24ABE">
      <w:pPr>
        <w:spacing w:line="560" w:lineRule="exact"/>
        <w:ind w:firstLineChars="200" w:firstLine="560"/>
        <w:jc w:val="left"/>
        <w:rPr>
          <w:rFonts w:ascii="仿宋_GB2312" w:hAnsi="仿宋_GB2312" w:cs="仿宋_GB2312"/>
          <w:bCs/>
          <w:sz w:val="28"/>
          <w:szCs w:val="28"/>
        </w:rPr>
      </w:pPr>
      <w:r w:rsidRPr="00D24ABE">
        <w:rPr>
          <w:rFonts w:ascii="仿宋_GB2312" w:hAnsi="仿宋_GB2312" w:cs="仿宋_GB2312" w:hint="eastAsia"/>
          <w:bCs/>
          <w:sz w:val="28"/>
          <w:szCs w:val="28"/>
        </w:rPr>
        <w:t>本课程不设课外学时，课程采用平时考核、实验考核和期末考核。其中平时成绩由课前资料查询、课堂讨论、出勤、实验成绩等构成，课堂平时成绩由任课老师评定；实验成绩由实验室老师依据实验操作和实验报告评定，期末考试采用闭卷方式，学生最终课程成绩由平时成绩和期末考试成绩综合确定。平时成绩占</w:t>
      </w:r>
      <w:r w:rsidRPr="00D24ABE">
        <w:rPr>
          <w:rFonts w:ascii="仿宋_GB2312" w:hAnsi="仿宋_GB2312" w:cs="仿宋_GB2312"/>
          <w:bCs/>
          <w:sz w:val="28"/>
          <w:szCs w:val="28"/>
        </w:rPr>
        <w:t>2</w:t>
      </w:r>
      <w:r w:rsidRPr="00D24ABE">
        <w:rPr>
          <w:rFonts w:ascii="仿宋_GB2312" w:hAnsi="仿宋_GB2312" w:cs="仿宋_GB2312" w:hint="eastAsia"/>
          <w:bCs/>
          <w:sz w:val="28"/>
          <w:szCs w:val="28"/>
        </w:rPr>
        <w:t>0%（实验成绩在平时成绩中计入），期末考试成绩占</w:t>
      </w:r>
      <w:r w:rsidRPr="00D24ABE">
        <w:rPr>
          <w:rFonts w:ascii="仿宋_GB2312" w:hAnsi="仿宋_GB2312" w:cs="仿宋_GB2312"/>
          <w:bCs/>
          <w:sz w:val="28"/>
          <w:szCs w:val="28"/>
        </w:rPr>
        <w:t>8</w:t>
      </w:r>
      <w:r w:rsidRPr="00D24ABE">
        <w:rPr>
          <w:rFonts w:ascii="仿宋_GB2312" w:hAnsi="仿宋_GB2312" w:cs="仿宋_GB2312" w:hint="eastAsia"/>
          <w:bCs/>
          <w:sz w:val="28"/>
          <w:szCs w:val="28"/>
        </w:rPr>
        <w:t>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4637"/>
        <w:gridCol w:w="1667"/>
      </w:tblGrid>
      <w:tr w:rsidR="00494448" w:rsidRPr="00D24ABE" w:rsidTr="00BE5664">
        <w:trPr>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494448" w:rsidRPr="00D24ABE" w:rsidRDefault="00494448" w:rsidP="00D24ABE">
            <w:pPr>
              <w:spacing w:line="560" w:lineRule="exact"/>
              <w:ind w:firstLineChars="200" w:firstLine="482"/>
              <w:jc w:val="left"/>
              <w:rPr>
                <w:rFonts w:ascii="仿宋_GB2312" w:hAnsi="仿宋_GB2312" w:cs="仿宋_GB2312"/>
                <w:b/>
                <w:bCs/>
                <w:sz w:val="24"/>
                <w:szCs w:val="24"/>
              </w:rPr>
            </w:pPr>
            <w:r w:rsidRPr="00D24ABE">
              <w:rPr>
                <w:rFonts w:ascii="仿宋_GB2312" w:hAnsi="仿宋_GB2312" w:cs="仿宋_GB2312"/>
                <w:b/>
                <w:bCs/>
                <w:sz w:val="24"/>
                <w:szCs w:val="24"/>
              </w:rPr>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494448" w:rsidRPr="00D24ABE" w:rsidRDefault="00494448" w:rsidP="00D24ABE">
            <w:pPr>
              <w:spacing w:line="560" w:lineRule="exact"/>
              <w:ind w:firstLineChars="200" w:firstLine="482"/>
              <w:jc w:val="left"/>
              <w:rPr>
                <w:rFonts w:ascii="仿宋_GB2312" w:hAnsi="仿宋_GB2312" w:cs="仿宋_GB2312"/>
                <w:b/>
                <w:bCs/>
                <w:sz w:val="24"/>
                <w:szCs w:val="24"/>
              </w:rPr>
            </w:pPr>
            <w:r w:rsidRPr="00D24ABE">
              <w:rPr>
                <w:rFonts w:ascii="仿宋_GB2312" w:hAnsi="仿宋_GB2312" w:cs="仿宋_GB2312"/>
                <w:b/>
                <w:bCs/>
                <w:sz w:val="24"/>
                <w:szCs w:val="24"/>
              </w:rPr>
              <w:t>教学目标</w:t>
            </w:r>
          </w:p>
        </w:tc>
      </w:tr>
      <w:tr w:rsidR="00494448" w:rsidRPr="00D24ABE" w:rsidTr="00BE5664">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Pr="00D24ABE" w:rsidRDefault="00494448" w:rsidP="00D24ABE">
            <w:pPr>
              <w:spacing w:line="560" w:lineRule="exact"/>
              <w:ind w:firstLineChars="200" w:firstLine="482"/>
              <w:jc w:val="left"/>
              <w:rPr>
                <w:rFonts w:ascii="仿宋_GB2312" w:hAnsi="仿宋_GB2312" w:cs="仿宋_GB2312"/>
                <w:b/>
                <w:bCs/>
                <w:sz w:val="24"/>
                <w:szCs w:val="24"/>
              </w:rPr>
            </w:pPr>
            <w:r w:rsidRPr="00D24ABE">
              <w:rPr>
                <w:rFonts w:ascii="仿宋_GB2312" w:hAnsi="仿宋_GB2312" w:cs="仿宋_GB2312"/>
                <w:b/>
                <w:bCs/>
                <w:sz w:val="24"/>
                <w:szCs w:val="24"/>
              </w:rPr>
              <w:t>分项比例</w:t>
            </w:r>
          </w:p>
        </w:tc>
        <w:tc>
          <w:tcPr>
            <w:tcW w:w="2795" w:type="pct"/>
            <w:tcBorders>
              <w:top w:val="single" w:sz="4" w:space="0" w:color="auto"/>
              <w:left w:val="single" w:sz="4" w:space="0" w:color="auto"/>
              <w:bottom w:val="single" w:sz="4" w:space="0" w:color="auto"/>
              <w:right w:val="single" w:sz="4" w:space="0" w:color="auto"/>
            </w:tcBorders>
            <w:vAlign w:val="center"/>
          </w:tcPr>
          <w:p w:rsidR="00494448" w:rsidRPr="00D24ABE" w:rsidRDefault="00494448" w:rsidP="00D24ABE">
            <w:pPr>
              <w:spacing w:line="560" w:lineRule="exact"/>
              <w:ind w:firstLineChars="200" w:firstLine="482"/>
              <w:jc w:val="left"/>
              <w:rPr>
                <w:rFonts w:ascii="仿宋_GB2312" w:hAnsi="仿宋_GB2312" w:cs="仿宋_GB2312"/>
                <w:b/>
                <w:bCs/>
                <w:sz w:val="24"/>
                <w:szCs w:val="24"/>
              </w:rPr>
            </w:pPr>
            <w:r w:rsidRPr="00D24ABE">
              <w:rPr>
                <w:rFonts w:ascii="仿宋_GB2312" w:hAnsi="仿宋_GB2312" w:cs="仿宋_GB2312" w:hint="eastAsia"/>
                <w:b/>
                <w:bCs/>
                <w:sz w:val="24"/>
                <w:szCs w:val="24"/>
              </w:rPr>
              <w:t>考核要求</w:t>
            </w:r>
          </w:p>
        </w:tc>
        <w:tc>
          <w:tcPr>
            <w:tcW w:w="1005" w:type="pct"/>
            <w:vMerge/>
            <w:tcBorders>
              <w:top w:val="single" w:sz="4" w:space="0" w:color="auto"/>
              <w:left w:val="single" w:sz="4" w:space="0" w:color="auto"/>
              <w:bottom w:val="single" w:sz="4" w:space="0" w:color="auto"/>
              <w:right w:val="single" w:sz="4" w:space="0" w:color="auto"/>
            </w:tcBorders>
            <w:vAlign w:val="center"/>
          </w:tcPr>
          <w:p w:rsidR="00494448" w:rsidRPr="00D24ABE" w:rsidRDefault="00494448" w:rsidP="00D24ABE">
            <w:pPr>
              <w:spacing w:line="560" w:lineRule="exact"/>
              <w:ind w:firstLineChars="200" w:firstLine="482"/>
              <w:jc w:val="left"/>
              <w:rPr>
                <w:rFonts w:ascii="仿宋_GB2312" w:hAnsi="仿宋_GB2312" w:cs="仿宋_GB2312"/>
                <w:b/>
                <w:bCs/>
                <w:sz w:val="24"/>
                <w:szCs w:val="24"/>
              </w:rPr>
            </w:pPr>
          </w:p>
        </w:tc>
      </w:tr>
      <w:tr w:rsidR="00494448" w:rsidTr="00BE5664">
        <w:trPr>
          <w:trHeight w:val="610"/>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bCs/>
                <w:sz w:val="24"/>
                <w:szCs w:val="24"/>
              </w:rPr>
              <w:t>平时成绩</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bCs/>
                <w:sz w:val="24"/>
                <w:szCs w:val="24"/>
              </w:rPr>
              <w:t>（20%）</w:t>
            </w:r>
          </w:p>
        </w:tc>
        <w:tc>
          <w:tcPr>
            <w:tcW w:w="2795" w:type="pct"/>
            <w:tcBorders>
              <w:top w:val="single" w:sz="4" w:space="0" w:color="auto"/>
              <w:left w:val="single" w:sz="4" w:space="0" w:color="auto"/>
              <w:right w:val="single" w:sz="4" w:space="0" w:color="auto"/>
            </w:tcBorders>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出勤统计不少于授课次数的 2/3，课前资料查询、课堂讨论占8</w:t>
            </w:r>
            <w:r w:rsidRPr="00D24ABE">
              <w:rPr>
                <w:rFonts w:ascii="仿宋_GB2312" w:hAnsi="仿宋_GB2312" w:cs="仿宋_GB2312"/>
                <w:bCs/>
                <w:sz w:val="24"/>
                <w:szCs w:val="24"/>
              </w:rPr>
              <w:t>0%</w:t>
            </w:r>
            <w:r w:rsidRPr="00D24ABE">
              <w:rPr>
                <w:rFonts w:ascii="仿宋_GB2312" w:hAnsi="仿宋_GB2312" w:cs="仿宋_GB2312" w:hint="eastAsia"/>
                <w:bCs/>
                <w:sz w:val="24"/>
                <w:szCs w:val="24"/>
              </w:rPr>
              <w:t>，实验成绩由实验操作和实验报告组成，占平时成绩的2</w:t>
            </w:r>
            <w:r w:rsidRPr="00D24ABE">
              <w:rPr>
                <w:rFonts w:ascii="仿宋_GB2312" w:hAnsi="仿宋_GB2312" w:cs="仿宋_GB2312"/>
                <w:bCs/>
                <w:sz w:val="24"/>
                <w:szCs w:val="24"/>
              </w:rPr>
              <w:t>0%</w:t>
            </w:r>
            <w:r w:rsidRPr="00D24ABE">
              <w:rPr>
                <w:rFonts w:ascii="仿宋_GB2312" w:hAnsi="仿宋_GB2312" w:cs="仿宋_GB2312" w:hint="eastAsia"/>
                <w:bCs/>
                <w:sz w:val="24"/>
                <w:szCs w:val="24"/>
              </w:rPr>
              <w:t>。</w:t>
            </w:r>
          </w:p>
        </w:tc>
        <w:tc>
          <w:tcPr>
            <w:tcW w:w="1005" w:type="pct"/>
            <w:tcBorders>
              <w:top w:val="single" w:sz="4" w:space="0" w:color="auto"/>
              <w:left w:val="single" w:sz="4" w:space="0" w:color="auto"/>
              <w:right w:val="single" w:sz="4" w:space="0" w:color="auto"/>
            </w:tcBorders>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bCs/>
                <w:sz w:val="24"/>
                <w:szCs w:val="24"/>
              </w:rPr>
              <w:t>（1）</w:t>
            </w:r>
            <w:r w:rsidRPr="00D24ABE">
              <w:rPr>
                <w:rFonts w:ascii="仿宋_GB2312" w:hAnsi="仿宋_GB2312" w:cs="仿宋_GB2312" w:hint="eastAsia"/>
                <w:bCs/>
                <w:sz w:val="24"/>
                <w:szCs w:val="24"/>
              </w:rPr>
              <w:t>-</w:t>
            </w:r>
            <w:r w:rsidRPr="00D24ABE">
              <w:rPr>
                <w:rFonts w:ascii="仿宋_GB2312" w:hAnsi="仿宋_GB2312" w:cs="仿宋_GB2312"/>
                <w:bCs/>
                <w:sz w:val="24"/>
                <w:szCs w:val="24"/>
              </w:rPr>
              <w:t>（2）</w:t>
            </w:r>
          </w:p>
        </w:tc>
      </w:tr>
      <w:tr w:rsidR="00494448" w:rsidTr="00BE5664">
        <w:trPr>
          <w:trHeight w:val="610"/>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bCs/>
                <w:sz w:val="24"/>
                <w:szCs w:val="24"/>
              </w:rPr>
              <w:t>期</w:t>
            </w:r>
            <w:r w:rsidRPr="00D24ABE">
              <w:rPr>
                <w:rFonts w:ascii="仿宋_GB2312" w:hAnsi="仿宋_GB2312" w:cs="仿宋_GB2312" w:hint="eastAsia"/>
                <w:bCs/>
                <w:sz w:val="24"/>
                <w:szCs w:val="24"/>
              </w:rPr>
              <w:t>末</w:t>
            </w:r>
            <w:r w:rsidRPr="00D24ABE">
              <w:rPr>
                <w:rFonts w:ascii="仿宋_GB2312" w:hAnsi="仿宋_GB2312" w:cs="仿宋_GB2312"/>
                <w:bCs/>
                <w:sz w:val="24"/>
                <w:szCs w:val="24"/>
              </w:rPr>
              <w:t>考试</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bCs/>
                <w:sz w:val="24"/>
                <w:szCs w:val="24"/>
              </w:rPr>
              <w:t>（80%）</w:t>
            </w:r>
          </w:p>
        </w:tc>
        <w:tc>
          <w:tcPr>
            <w:tcW w:w="2795" w:type="pct"/>
            <w:tcBorders>
              <w:top w:val="single" w:sz="4" w:space="0" w:color="auto"/>
              <w:left w:val="single" w:sz="4" w:space="0" w:color="auto"/>
              <w:right w:val="single" w:sz="4" w:space="0" w:color="auto"/>
            </w:tcBorders>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期末考试采用闭卷形式。考试范围基本涵盖所有讲授内</w:t>
            </w:r>
          </w:p>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hint="eastAsia"/>
                <w:bCs/>
                <w:sz w:val="24"/>
                <w:szCs w:val="24"/>
              </w:rPr>
              <w:t>容，考试内容主要反映学生对本课程基本原理的理解及综合运用基本原理分析实际问题的能力。</w:t>
            </w:r>
          </w:p>
        </w:tc>
        <w:tc>
          <w:tcPr>
            <w:tcW w:w="1005" w:type="pct"/>
            <w:tcBorders>
              <w:top w:val="single" w:sz="4" w:space="0" w:color="auto"/>
              <w:left w:val="single" w:sz="4" w:space="0" w:color="auto"/>
              <w:right w:val="single" w:sz="4" w:space="0" w:color="auto"/>
            </w:tcBorders>
            <w:vAlign w:val="center"/>
          </w:tcPr>
          <w:p w:rsidR="00494448" w:rsidRPr="00D24ABE" w:rsidRDefault="00494448" w:rsidP="00D24ABE">
            <w:pPr>
              <w:spacing w:line="560" w:lineRule="exact"/>
              <w:ind w:firstLineChars="200" w:firstLine="480"/>
              <w:jc w:val="left"/>
              <w:rPr>
                <w:rFonts w:ascii="仿宋_GB2312" w:hAnsi="仿宋_GB2312" w:cs="仿宋_GB2312"/>
                <w:bCs/>
                <w:sz w:val="24"/>
                <w:szCs w:val="24"/>
              </w:rPr>
            </w:pPr>
            <w:r w:rsidRPr="00D24ABE">
              <w:rPr>
                <w:rFonts w:ascii="仿宋_GB2312" w:hAnsi="仿宋_GB2312" w:cs="仿宋_GB2312"/>
                <w:bCs/>
                <w:sz w:val="24"/>
                <w:szCs w:val="24"/>
              </w:rPr>
              <w:t>（1</w:t>
            </w:r>
            <w:r w:rsidRPr="00D24ABE">
              <w:rPr>
                <w:rFonts w:ascii="仿宋_GB2312" w:hAnsi="仿宋_GB2312" w:cs="仿宋_GB2312" w:hint="eastAsia"/>
                <w:bCs/>
                <w:sz w:val="24"/>
                <w:szCs w:val="24"/>
              </w:rPr>
              <w:t>）-</w:t>
            </w:r>
            <w:r w:rsidRPr="00D24ABE">
              <w:rPr>
                <w:rFonts w:ascii="仿宋_GB2312" w:hAnsi="仿宋_GB2312" w:cs="仿宋_GB2312"/>
                <w:bCs/>
                <w:sz w:val="24"/>
                <w:szCs w:val="24"/>
              </w:rPr>
              <w:t>（2）</w:t>
            </w:r>
          </w:p>
        </w:tc>
      </w:tr>
    </w:tbl>
    <w:p w:rsidR="00494448" w:rsidRDefault="00494448" w:rsidP="00494448">
      <w:pPr>
        <w:ind w:firstLineChars="200" w:firstLine="640"/>
        <w:jc w:val="left"/>
        <w:rPr>
          <w:rFonts w:ascii="Times New Roman" w:eastAsia="华文中宋" w:hAnsi="Times New Roman"/>
          <w:szCs w:val="21"/>
        </w:rPr>
      </w:pPr>
      <w:r>
        <w:rPr>
          <w:rFonts w:ascii="Times New Roman" w:eastAsia="华文中宋" w:hAnsi="Times New Roman" w:hint="eastAsia"/>
          <w:szCs w:val="21"/>
        </w:rPr>
        <w:t xml:space="preserve">                                                   </w:t>
      </w:r>
    </w:p>
    <w:p w:rsidR="00494448" w:rsidRDefault="00494448" w:rsidP="00494448">
      <w:pPr>
        <w:snapToGrid w:val="0"/>
        <w:spacing w:line="360" w:lineRule="auto"/>
        <w:outlineLvl w:val="0"/>
        <w:rPr>
          <w:rFonts w:ascii="Times New Roman" w:eastAsia="黑体" w:hAnsi="Times New Roman"/>
          <w:b/>
          <w:sz w:val="28"/>
          <w:szCs w:val="28"/>
        </w:rPr>
      </w:pPr>
      <w:bookmarkStart w:id="17" w:name="_Hlk68105188"/>
      <w:r>
        <w:rPr>
          <w:rFonts w:ascii="Times New Roman" w:eastAsia="黑体" w:hAnsi="Times New Roman" w:hint="eastAsia"/>
          <w:b/>
          <w:sz w:val="28"/>
          <w:szCs w:val="28"/>
        </w:rPr>
        <w:lastRenderedPageBreak/>
        <w:t>2.</w:t>
      </w:r>
      <w:r>
        <w:rPr>
          <w:rFonts w:ascii="Times New Roman" w:eastAsia="黑体" w:hAnsi="Times New Roman" w:hint="eastAsia"/>
          <w:b/>
          <w:sz w:val="28"/>
          <w:szCs w:val="28"/>
        </w:rPr>
        <w:t>成绩评定</w:t>
      </w:r>
    </w:p>
    <w:bookmarkEnd w:id="17"/>
    <w:p w:rsidR="00494448" w:rsidRDefault="00494448" w:rsidP="00494448">
      <w:pPr>
        <w:spacing w:line="560" w:lineRule="exact"/>
        <w:ind w:firstLineChars="200" w:firstLine="560"/>
        <w:jc w:val="left"/>
        <w:rPr>
          <w:rFonts w:ascii="Times New Roman" w:eastAsia="仿宋" w:hAnsi="Times New Roman"/>
          <w:sz w:val="28"/>
          <w:szCs w:val="28"/>
        </w:rPr>
      </w:pPr>
      <w:r>
        <w:rPr>
          <w:rFonts w:ascii="Times New Roman" w:eastAsia="仿宋" w:hAnsi="Times New Roman" w:hint="eastAsia"/>
          <w:sz w:val="28"/>
          <w:szCs w:val="28"/>
        </w:rPr>
        <w:t>课程成绩按百分制评定。</w:t>
      </w:r>
    </w:p>
    <w:p w:rsidR="00494448" w:rsidRDefault="00494448" w:rsidP="00494448">
      <w:pPr>
        <w:spacing w:line="560" w:lineRule="exact"/>
        <w:ind w:firstLineChars="200" w:firstLine="560"/>
        <w:jc w:val="left"/>
        <w:rPr>
          <w:rFonts w:ascii="Times New Roman" w:eastAsia="仿宋" w:hAnsi="Times New Roman"/>
          <w:sz w:val="28"/>
          <w:szCs w:val="28"/>
        </w:rPr>
      </w:pPr>
      <w:r>
        <w:rPr>
          <w:rFonts w:ascii="Times New Roman" w:eastAsia="仿宋" w:hAnsi="Times New Roman" w:hint="eastAsia"/>
          <w:sz w:val="28"/>
          <w:szCs w:val="28"/>
        </w:rPr>
        <w:t>课程总成绩</w:t>
      </w:r>
      <w:r>
        <w:rPr>
          <w:rFonts w:ascii="Times New Roman" w:eastAsia="仿宋" w:hAnsi="Times New Roman" w:hint="eastAsia"/>
          <w:sz w:val="28"/>
          <w:szCs w:val="28"/>
        </w:rPr>
        <w:t>=</w:t>
      </w:r>
      <w:r>
        <w:rPr>
          <w:rFonts w:ascii="Times New Roman" w:eastAsia="仿宋" w:hAnsi="Times New Roman" w:hint="eastAsia"/>
          <w:sz w:val="28"/>
          <w:szCs w:val="28"/>
        </w:rPr>
        <w:t>平时成绩×</w:t>
      </w:r>
      <w:r>
        <w:rPr>
          <w:rFonts w:ascii="Times New Roman" w:eastAsia="仿宋" w:hAnsi="Times New Roman"/>
          <w:sz w:val="28"/>
          <w:szCs w:val="28"/>
        </w:rPr>
        <w:t>2</w:t>
      </w:r>
      <w:r>
        <w:rPr>
          <w:rFonts w:ascii="Times New Roman" w:eastAsia="仿宋" w:hAnsi="Times New Roman" w:hint="eastAsia"/>
          <w:sz w:val="28"/>
          <w:szCs w:val="28"/>
        </w:rPr>
        <w:t>0%+</w:t>
      </w:r>
      <w:r>
        <w:rPr>
          <w:rFonts w:ascii="Times New Roman" w:eastAsia="仿宋" w:hAnsi="Times New Roman" w:hint="eastAsia"/>
          <w:sz w:val="28"/>
          <w:szCs w:val="28"/>
        </w:rPr>
        <w:t>期末成绩×</w:t>
      </w:r>
      <w:r>
        <w:rPr>
          <w:rFonts w:ascii="Times New Roman" w:eastAsia="仿宋" w:hAnsi="Times New Roman" w:hint="eastAsia"/>
          <w:sz w:val="28"/>
          <w:szCs w:val="28"/>
        </w:rPr>
        <w:t>80%</w:t>
      </w:r>
      <w:r>
        <w:rPr>
          <w:rFonts w:ascii="Times New Roman" w:eastAsia="仿宋" w:hAnsi="Times New Roman" w:hint="eastAsia"/>
          <w:sz w:val="28"/>
          <w:szCs w:val="28"/>
        </w:rPr>
        <w:t>。</w:t>
      </w:r>
    </w:p>
    <w:p w:rsidR="00494448" w:rsidRDefault="00494448" w:rsidP="00494448">
      <w:pPr>
        <w:spacing w:line="560" w:lineRule="exact"/>
        <w:ind w:firstLineChars="200" w:firstLine="560"/>
        <w:jc w:val="left"/>
        <w:rPr>
          <w:rFonts w:ascii="Times New Roman" w:eastAsia="仿宋" w:hAnsi="Times New Roman"/>
          <w:sz w:val="28"/>
          <w:szCs w:val="28"/>
        </w:rPr>
      </w:pPr>
      <w:r>
        <w:rPr>
          <w:rFonts w:ascii="Times New Roman" w:eastAsia="仿宋" w:hAnsi="Times New Roman" w:hint="eastAsia"/>
          <w:sz w:val="28"/>
          <w:szCs w:val="28"/>
        </w:rPr>
        <w:t>（</w:t>
      </w:r>
      <w:r>
        <w:rPr>
          <w:rFonts w:ascii="Times New Roman" w:eastAsia="仿宋" w:hAnsi="Times New Roman" w:hint="eastAsia"/>
          <w:sz w:val="28"/>
          <w:szCs w:val="28"/>
        </w:rPr>
        <w:t>1</w:t>
      </w:r>
      <w:r>
        <w:rPr>
          <w:rFonts w:ascii="Times New Roman" w:eastAsia="仿宋" w:hAnsi="Times New Roman" w:hint="eastAsia"/>
          <w:sz w:val="28"/>
          <w:szCs w:val="28"/>
        </w:rPr>
        <w:t>）平时成绩评分标准</w:t>
      </w:r>
    </w:p>
    <w:p w:rsidR="00494448" w:rsidRDefault="00494448" w:rsidP="00494448">
      <w:pPr>
        <w:spacing w:line="560" w:lineRule="exact"/>
        <w:ind w:firstLineChars="200" w:firstLine="560"/>
        <w:jc w:val="left"/>
        <w:rPr>
          <w:rFonts w:ascii="Times New Roman" w:eastAsia="华文中宋" w:hAnsi="Times New Roman"/>
          <w:szCs w:val="21"/>
        </w:rPr>
      </w:pPr>
      <w:r>
        <w:rPr>
          <w:rFonts w:ascii="Times New Roman" w:eastAsia="仿宋" w:hAnsi="Times New Roman" w:hint="eastAsia"/>
          <w:sz w:val="28"/>
          <w:szCs w:val="28"/>
        </w:rPr>
        <w:t>平时成绩考核以学生个体为考核对象，满分</w:t>
      </w:r>
      <w:r>
        <w:rPr>
          <w:rFonts w:ascii="Times New Roman" w:eastAsia="仿宋" w:hAnsi="Times New Roman" w:hint="eastAsia"/>
          <w:sz w:val="28"/>
          <w:szCs w:val="28"/>
        </w:rPr>
        <w:t>100</w:t>
      </w:r>
      <w:r>
        <w:rPr>
          <w:rFonts w:ascii="Times New Roman" w:eastAsia="仿宋" w:hAnsi="Times New Roman" w:hint="eastAsia"/>
          <w:sz w:val="28"/>
          <w:szCs w:val="28"/>
        </w:rPr>
        <w:t>分。总分数按照</w:t>
      </w:r>
      <w:r>
        <w:rPr>
          <w:rFonts w:ascii="Times New Roman" w:eastAsia="仿宋" w:hAnsi="Times New Roman" w:hint="eastAsia"/>
          <w:sz w:val="28"/>
          <w:szCs w:val="28"/>
        </w:rPr>
        <w:t>0.</w:t>
      </w:r>
      <w:r>
        <w:rPr>
          <w:rFonts w:ascii="Times New Roman" w:eastAsia="仿宋" w:hAnsi="Times New Roman"/>
          <w:sz w:val="28"/>
          <w:szCs w:val="28"/>
        </w:rPr>
        <w:t>2</w:t>
      </w:r>
      <w:r>
        <w:rPr>
          <w:rFonts w:ascii="Times New Roman" w:eastAsia="仿宋" w:hAnsi="Times New Roman" w:hint="eastAsia"/>
          <w:sz w:val="28"/>
          <w:szCs w:val="28"/>
        </w:rPr>
        <w:t>0</w:t>
      </w:r>
      <w:r>
        <w:rPr>
          <w:rFonts w:ascii="Times New Roman" w:eastAsia="仿宋" w:hAnsi="Times New Roman" w:hint="eastAsia"/>
          <w:sz w:val="28"/>
          <w:szCs w:val="28"/>
        </w:rPr>
        <w:t>的权重折算成学生该部分的最终成绩</w:t>
      </w:r>
    </w:p>
    <w:p w:rsidR="00494448" w:rsidRDefault="00494448" w:rsidP="00494448">
      <w:pPr>
        <w:spacing w:line="560" w:lineRule="exact"/>
        <w:ind w:firstLineChars="200" w:firstLine="560"/>
        <w:jc w:val="left"/>
        <w:rPr>
          <w:rFonts w:ascii="Times New Roman" w:eastAsia="仿宋" w:hAnsi="Times New Roman"/>
          <w:sz w:val="28"/>
          <w:szCs w:val="28"/>
        </w:rPr>
      </w:pPr>
      <w:r>
        <w:rPr>
          <w:rFonts w:ascii="Times New Roman" w:eastAsia="仿宋" w:hAnsi="Times New Roman" w:hint="eastAsia"/>
          <w:sz w:val="28"/>
          <w:szCs w:val="28"/>
        </w:rPr>
        <w:t>（</w:t>
      </w:r>
      <w:r>
        <w:rPr>
          <w:rFonts w:ascii="Times New Roman" w:eastAsia="仿宋" w:hAnsi="Times New Roman" w:hint="eastAsia"/>
          <w:sz w:val="28"/>
          <w:szCs w:val="28"/>
        </w:rPr>
        <w:t>3</w:t>
      </w:r>
      <w:r>
        <w:rPr>
          <w:rFonts w:ascii="Times New Roman" w:eastAsia="仿宋" w:hAnsi="Times New Roman" w:hint="eastAsia"/>
          <w:sz w:val="28"/>
          <w:szCs w:val="28"/>
        </w:rPr>
        <w:t>）期末成绩评分标准</w:t>
      </w:r>
    </w:p>
    <w:p w:rsidR="00494448" w:rsidRDefault="00494448" w:rsidP="00D24ABE">
      <w:pPr>
        <w:spacing w:line="360" w:lineRule="auto"/>
        <w:ind w:firstLineChars="200" w:firstLine="560"/>
        <w:jc w:val="left"/>
        <w:rPr>
          <w:rFonts w:ascii="Times New Roman" w:eastAsia="华文中宋" w:hAnsi="Times New Roman"/>
          <w:szCs w:val="21"/>
        </w:rPr>
      </w:pPr>
      <w:r>
        <w:rPr>
          <w:rFonts w:ascii="Times New Roman" w:eastAsia="仿宋" w:hAnsi="Times New Roman" w:hint="eastAsia"/>
          <w:sz w:val="28"/>
          <w:szCs w:val="28"/>
        </w:rPr>
        <w:t>期末考试实行百分制，所得分数按照</w:t>
      </w:r>
      <w:r>
        <w:rPr>
          <w:rFonts w:ascii="Times New Roman" w:eastAsia="仿宋" w:hAnsi="Times New Roman" w:hint="eastAsia"/>
          <w:sz w:val="28"/>
          <w:szCs w:val="28"/>
        </w:rPr>
        <w:t>0.8</w:t>
      </w:r>
      <w:r>
        <w:rPr>
          <w:rFonts w:ascii="Times New Roman" w:eastAsia="仿宋" w:hAnsi="Times New Roman" w:hint="eastAsia"/>
          <w:sz w:val="28"/>
          <w:szCs w:val="28"/>
        </w:rPr>
        <w:t>的权重折算成学生期末考试的最终成绩。期末考试试卷由名词解释、填空题、判断题、简答题、论述题、读图题等全部或部分组成，要求试卷内容覆盖基本概念、基本原理、基本应用。</w:t>
      </w:r>
    </w:p>
    <w:p w:rsidR="00494448" w:rsidRDefault="00494448" w:rsidP="00D24ABE">
      <w:pPr>
        <w:snapToGrid w:val="0"/>
        <w:spacing w:line="360" w:lineRule="auto"/>
        <w:outlineLvl w:val="0"/>
        <w:rPr>
          <w:rFonts w:ascii="Times New Roman" w:eastAsia="黑体" w:hAnsi="Times New Roman"/>
          <w:b/>
          <w:sz w:val="28"/>
          <w:szCs w:val="28"/>
        </w:rPr>
      </w:pPr>
      <w:r>
        <w:rPr>
          <w:rFonts w:ascii="Times New Roman" w:eastAsia="黑体" w:hAnsi="Times New Roman" w:hint="eastAsia"/>
          <w:b/>
          <w:sz w:val="28"/>
          <w:szCs w:val="28"/>
        </w:rPr>
        <w:t>3.</w:t>
      </w:r>
      <w:r>
        <w:rPr>
          <w:rFonts w:ascii="Times New Roman" w:eastAsia="黑体" w:hAnsi="Times New Roman" w:hint="eastAsia"/>
          <w:b/>
          <w:sz w:val="28"/>
          <w:szCs w:val="28"/>
        </w:rPr>
        <w:t>课程目标达成度评价</w:t>
      </w:r>
    </w:p>
    <w:p w:rsidR="00494448" w:rsidRDefault="00494448" w:rsidP="00494448">
      <w:pPr>
        <w:spacing w:line="560" w:lineRule="exact"/>
        <w:ind w:firstLineChars="200" w:firstLine="560"/>
        <w:jc w:val="left"/>
        <w:rPr>
          <w:rFonts w:ascii="Times New Roman" w:eastAsia="仿宋" w:hAnsi="Times New Roman"/>
          <w:sz w:val="28"/>
          <w:szCs w:val="28"/>
        </w:rPr>
      </w:pPr>
      <w:r>
        <w:rPr>
          <w:rFonts w:ascii="Times New Roman" w:eastAsia="仿宋" w:hAnsi="Times New Roman" w:hint="eastAsia"/>
          <w:sz w:val="28"/>
          <w:szCs w:val="28"/>
        </w:rPr>
        <w:t>据学院教学管理规定，在开展课程达成度评价前，课程评价审核小组对课程的评价依据合理性进行确认，包括平时作业、随堂测验、实验、期终考试等考核环节。课程结束后，课程小组需要对课程进行达成度评价，课程小组由课程负责人和任课教师组成，统计课程考核数据，并填写“《工程地质》课程达成情况评价”报告，以便及时了解课程的达成效果，发现问题并进行持续改进，同时也为毕业要求达成度的评价提供基础数据。</w:t>
      </w:r>
    </w:p>
    <w:p w:rsidR="00494448" w:rsidRDefault="00494448" w:rsidP="00494448">
      <w:pPr>
        <w:spacing w:line="560" w:lineRule="exact"/>
        <w:ind w:firstLineChars="200" w:firstLine="560"/>
        <w:jc w:val="left"/>
        <w:rPr>
          <w:rFonts w:ascii="Times New Roman" w:eastAsia="仿宋" w:hAnsi="Times New Roman"/>
          <w:sz w:val="28"/>
          <w:szCs w:val="28"/>
        </w:rPr>
      </w:pPr>
      <w:r>
        <w:rPr>
          <w:rFonts w:ascii="Times New Roman" w:eastAsia="仿宋" w:hAnsi="Times New Roman" w:hint="eastAsia"/>
          <w:sz w:val="28"/>
          <w:szCs w:val="28"/>
        </w:rPr>
        <w:t>根据课程的考核形式，全部或抽样部分考核资料（应以当年修读该课程的学生为总体，至少抽取</w:t>
      </w:r>
      <w:r>
        <w:rPr>
          <w:rFonts w:ascii="Times New Roman" w:eastAsia="仿宋" w:hAnsi="Times New Roman"/>
          <w:sz w:val="28"/>
          <w:szCs w:val="28"/>
        </w:rPr>
        <w:t>90</w:t>
      </w:r>
      <w:r>
        <w:rPr>
          <w:rFonts w:ascii="Times New Roman" w:eastAsia="仿宋" w:hAnsi="Times New Roman" w:hint="eastAsia"/>
          <w:sz w:val="28"/>
          <w:szCs w:val="28"/>
        </w:rPr>
        <w:t>%</w:t>
      </w:r>
      <w:r>
        <w:rPr>
          <w:rFonts w:ascii="Times New Roman" w:eastAsia="仿宋" w:hAnsi="Times New Roman" w:hint="eastAsia"/>
          <w:sz w:val="28"/>
          <w:szCs w:val="28"/>
        </w:rPr>
        <w:t>以上的学生样本），抽样时需覆盖优、良、中、及格和不及格等考核等级的考核资料。</w:t>
      </w:r>
    </w:p>
    <w:p w:rsidR="00494448" w:rsidRDefault="00494448" w:rsidP="00494448">
      <w:pPr>
        <w:spacing w:line="560" w:lineRule="exact"/>
        <w:ind w:firstLineChars="200" w:firstLine="560"/>
        <w:jc w:val="left"/>
        <w:rPr>
          <w:rFonts w:ascii="Times New Roman" w:eastAsia="仿宋" w:hAnsi="Times New Roman"/>
          <w:sz w:val="28"/>
          <w:szCs w:val="28"/>
        </w:rPr>
      </w:pPr>
      <w:r>
        <w:rPr>
          <w:rFonts w:ascii="Times New Roman" w:eastAsia="仿宋" w:hAnsi="Times New Roman" w:hint="eastAsia"/>
          <w:sz w:val="28"/>
          <w:szCs w:val="28"/>
        </w:rPr>
        <w:t>课程小组提交课程达成度评价数据后，课程评价审核小组对评价数据的合理性和有效性进行审核。</w:t>
      </w:r>
    </w:p>
    <w:p w:rsidR="00494448" w:rsidRDefault="00494448" w:rsidP="00494448">
      <w:pPr>
        <w:jc w:val="left"/>
        <w:rPr>
          <w:rFonts w:ascii="Times New Roman" w:eastAsia="华文中宋" w:hAnsi="Times New Roman"/>
          <w:b/>
          <w:sz w:val="24"/>
          <w:szCs w:val="24"/>
        </w:rPr>
      </w:pPr>
    </w:p>
    <w:p w:rsidR="00494448" w:rsidRDefault="00494448" w:rsidP="00494448">
      <w:pPr>
        <w:snapToGrid w:val="0"/>
        <w:spacing w:line="360" w:lineRule="auto"/>
        <w:outlineLvl w:val="0"/>
        <w:rPr>
          <w:rFonts w:ascii="Times New Roman" w:eastAsia="黑体" w:hAnsi="Times New Roman"/>
          <w:b/>
          <w:sz w:val="28"/>
          <w:szCs w:val="28"/>
        </w:rPr>
      </w:pPr>
      <w:r>
        <w:rPr>
          <w:rFonts w:ascii="Times New Roman" w:eastAsia="黑体" w:hAnsi="Times New Roman" w:hint="eastAsia"/>
          <w:b/>
          <w:sz w:val="28"/>
          <w:szCs w:val="28"/>
        </w:rPr>
        <w:t>七、教学进程（详见授课日历）</w:t>
      </w:r>
    </w:p>
    <w:p w:rsidR="00494448" w:rsidRDefault="00494448" w:rsidP="00494448">
      <w:pPr>
        <w:snapToGrid w:val="0"/>
        <w:spacing w:line="360" w:lineRule="auto"/>
        <w:outlineLvl w:val="0"/>
        <w:rPr>
          <w:rFonts w:ascii="Times New Roman" w:eastAsia="黑体" w:hAnsi="Times New Roman"/>
          <w:b/>
          <w:sz w:val="28"/>
          <w:szCs w:val="28"/>
        </w:rPr>
      </w:pPr>
      <w:r>
        <w:rPr>
          <w:rFonts w:ascii="Times New Roman" w:eastAsia="黑体" w:hAnsi="Times New Roman" w:hint="eastAsia"/>
          <w:b/>
          <w:sz w:val="28"/>
          <w:szCs w:val="28"/>
        </w:rPr>
        <w:t>八、教材及参考书</w:t>
      </w:r>
    </w:p>
    <w:p w:rsidR="00494448" w:rsidRDefault="00494448" w:rsidP="00494448">
      <w:pPr>
        <w:spacing w:line="560" w:lineRule="exact"/>
        <w:jc w:val="left"/>
        <w:rPr>
          <w:rFonts w:ascii="Times New Roman" w:eastAsia="仿宋" w:hAnsi="Times New Roman"/>
          <w:sz w:val="28"/>
          <w:szCs w:val="28"/>
        </w:rPr>
      </w:pPr>
      <w:r>
        <w:rPr>
          <w:rFonts w:ascii="Times New Roman" w:eastAsia="仿宋" w:hAnsi="Times New Roman" w:hint="eastAsia"/>
          <w:sz w:val="28"/>
          <w:szCs w:val="28"/>
        </w:rPr>
        <w:t>1</w:t>
      </w:r>
      <w:r>
        <w:rPr>
          <w:rFonts w:ascii="Times New Roman" w:eastAsia="仿宋" w:hAnsi="Times New Roman" w:hint="eastAsia"/>
          <w:sz w:val="28"/>
          <w:szCs w:val="28"/>
        </w:rPr>
        <w:t>、《工程地质学》，赵法锁、李相然主编，地质出版社；（本课程教材）；</w:t>
      </w:r>
    </w:p>
    <w:p w:rsidR="00494448" w:rsidRDefault="00494448" w:rsidP="00494448">
      <w:pPr>
        <w:spacing w:line="560" w:lineRule="exact"/>
        <w:jc w:val="left"/>
        <w:rPr>
          <w:rFonts w:ascii="Times New Roman" w:eastAsia="仿宋" w:hAnsi="Times New Roman"/>
          <w:sz w:val="28"/>
          <w:szCs w:val="28"/>
        </w:rPr>
      </w:pPr>
      <w:r>
        <w:rPr>
          <w:rFonts w:ascii="Times New Roman" w:eastAsia="仿宋" w:hAnsi="Times New Roman" w:hint="eastAsia"/>
          <w:sz w:val="28"/>
          <w:szCs w:val="28"/>
        </w:rPr>
        <w:t>2</w:t>
      </w:r>
      <w:r>
        <w:rPr>
          <w:rFonts w:ascii="Times New Roman" w:eastAsia="仿宋" w:hAnsi="Times New Roman" w:hint="eastAsia"/>
          <w:sz w:val="28"/>
          <w:szCs w:val="28"/>
        </w:rPr>
        <w:t>、《工程地质学》，孔宪立，石振明主编，中国建筑工业出版社。</w:t>
      </w:r>
    </w:p>
    <w:p w:rsidR="00494448" w:rsidRDefault="00494448" w:rsidP="00494448">
      <w:pPr>
        <w:snapToGrid w:val="0"/>
        <w:spacing w:line="360" w:lineRule="auto"/>
        <w:outlineLvl w:val="0"/>
        <w:rPr>
          <w:rFonts w:ascii="Times New Roman" w:eastAsia="黑体" w:hAnsi="Times New Roman"/>
          <w:b/>
          <w:sz w:val="28"/>
          <w:szCs w:val="28"/>
        </w:rPr>
      </w:pPr>
      <w:r>
        <w:rPr>
          <w:rFonts w:ascii="Times New Roman" w:eastAsia="黑体" w:hAnsi="Times New Roman" w:hint="eastAsia"/>
          <w:b/>
          <w:sz w:val="28"/>
          <w:szCs w:val="28"/>
        </w:rPr>
        <w:t>九、执行大纲应注意的问题</w:t>
      </w:r>
    </w:p>
    <w:p w:rsidR="00494448" w:rsidRDefault="00494448" w:rsidP="00494448">
      <w:pPr>
        <w:spacing w:line="560" w:lineRule="exact"/>
        <w:jc w:val="left"/>
        <w:rPr>
          <w:rFonts w:ascii="Times New Roman" w:eastAsia="仿宋" w:hAnsi="Times New Roman"/>
          <w:sz w:val="28"/>
          <w:szCs w:val="28"/>
        </w:rPr>
      </w:pPr>
      <w:r>
        <w:rPr>
          <w:rFonts w:ascii="Times New Roman" w:eastAsia="仿宋" w:hAnsi="Times New Roman" w:hint="eastAsia"/>
          <w:sz w:val="28"/>
          <w:szCs w:val="28"/>
        </w:rPr>
        <w:t>1</w:t>
      </w:r>
      <w:r>
        <w:rPr>
          <w:rFonts w:ascii="Times New Roman" w:eastAsia="仿宋" w:hAnsi="Times New Roman" w:hint="eastAsia"/>
          <w:sz w:val="28"/>
          <w:szCs w:val="28"/>
        </w:rPr>
        <w:t>、教学中应注重基本知识、基本理论和基本方法的讲授，注意理论联系实际。</w:t>
      </w:r>
    </w:p>
    <w:p w:rsidR="00494448" w:rsidRDefault="00494448" w:rsidP="00494448">
      <w:pPr>
        <w:spacing w:line="560" w:lineRule="exact"/>
        <w:jc w:val="left"/>
        <w:rPr>
          <w:rFonts w:ascii="Times New Roman" w:eastAsia="仿宋" w:hAnsi="Times New Roman"/>
          <w:sz w:val="28"/>
          <w:szCs w:val="28"/>
        </w:rPr>
      </w:pPr>
      <w:r>
        <w:rPr>
          <w:rFonts w:ascii="Times New Roman" w:eastAsia="仿宋" w:hAnsi="Times New Roman" w:hint="eastAsia"/>
          <w:sz w:val="28"/>
          <w:szCs w:val="28"/>
        </w:rPr>
        <w:t>2</w:t>
      </w:r>
      <w:r>
        <w:rPr>
          <w:rFonts w:ascii="Times New Roman" w:eastAsia="仿宋" w:hAnsi="Times New Roman" w:hint="eastAsia"/>
          <w:sz w:val="28"/>
          <w:szCs w:val="28"/>
        </w:rPr>
        <w:t>、做好实验，重视学生实践能力的培养。由于实验课需要分班分次安排，具体实验时间由实验室老师统一协调安排。</w:t>
      </w:r>
    </w:p>
    <w:p w:rsidR="00494448" w:rsidRDefault="00494448" w:rsidP="00494448">
      <w:pPr>
        <w:spacing w:line="560" w:lineRule="exact"/>
        <w:jc w:val="left"/>
        <w:rPr>
          <w:rFonts w:ascii="Times New Roman" w:eastAsia="仿宋" w:hAnsi="Times New Roman"/>
          <w:sz w:val="28"/>
          <w:szCs w:val="28"/>
        </w:rPr>
      </w:pPr>
      <w:r>
        <w:rPr>
          <w:rFonts w:ascii="Times New Roman" w:eastAsia="仿宋" w:hAnsi="Times New Roman" w:hint="eastAsia"/>
          <w:sz w:val="28"/>
          <w:szCs w:val="28"/>
        </w:rPr>
        <w:t>3</w:t>
      </w:r>
      <w:r>
        <w:rPr>
          <w:rFonts w:ascii="Times New Roman" w:eastAsia="仿宋" w:hAnsi="Times New Roman" w:hint="eastAsia"/>
          <w:sz w:val="28"/>
          <w:szCs w:val="28"/>
        </w:rPr>
        <w:t>、教学内容的顺序及其安排仅供参考，教师可根据情况作适当调整。</w:t>
      </w:r>
    </w:p>
    <w:p w:rsidR="00494448" w:rsidRDefault="00494448" w:rsidP="00494448">
      <w:pPr>
        <w:spacing w:line="560" w:lineRule="exact"/>
        <w:ind w:firstLineChars="200" w:firstLine="640"/>
        <w:jc w:val="left"/>
        <w:rPr>
          <w:rFonts w:ascii="Times New Roman" w:eastAsia="华文中宋" w:hAnsi="Times New Roman"/>
          <w:szCs w:val="21"/>
        </w:rPr>
      </w:pPr>
    </w:p>
    <w:p w:rsidR="00494448" w:rsidRDefault="00494448" w:rsidP="0049444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大纲撰写人：</w:t>
      </w:r>
      <w:r>
        <w:rPr>
          <w:rFonts w:ascii="Times New Roman" w:eastAsia="仿宋" w:hAnsi="Times New Roman" w:hint="eastAsia"/>
          <w:sz w:val="28"/>
          <w:szCs w:val="28"/>
        </w:rPr>
        <w:t>罗丽娟</w:t>
      </w:r>
    </w:p>
    <w:p w:rsidR="00494448" w:rsidRDefault="00494448" w:rsidP="0049444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课程负责人：</w:t>
      </w:r>
    </w:p>
    <w:p w:rsidR="00494448" w:rsidRDefault="00494448" w:rsidP="0049444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审核人：</w:t>
      </w:r>
    </w:p>
    <w:p w:rsidR="00494448" w:rsidRDefault="00494448" w:rsidP="00494448">
      <w:pPr>
        <w:jc w:val="center"/>
        <w:rPr>
          <w:rFonts w:ascii="Times New Roman" w:eastAsia="仿宋" w:hAnsi="Times New Roman"/>
          <w:sz w:val="28"/>
          <w:szCs w:val="28"/>
        </w:rPr>
      </w:pPr>
      <w:r>
        <w:rPr>
          <w:rFonts w:ascii="Times New Roman" w:eastAsia="仿宋" w:hAnsi="Times New Roman"/>
          <w:sz w:val="28"/>
          <w:szCs w:val="28"/>
        </w:rPr>
        <w:t xml:space="preserve">    </w:t>
      </w:r>
      <w:r>
        <w:rPr>
          <w:rFonts w:ascii="Times New Roman" w:hAnsi="Times New Roman"/>
          <w:sz w:val="28"/>
          <w:szCs w:val="28"/>
        </w:rPr>
        <w:t xml:space="preserve"> </w:t>
      </w:r>
      <w:r>
        <w:rPr>
          <w:rFonts w:ascii="Times New Roman" w:eastAsia="仿宋" w:hAnsi="Times New Roman"/>
          <w:sz w:val="28"/>
          <w:szCs w:val="28"/>
        </w:rPr>
        <w:t xml:space="preserve">                                         </w:t>
      </w:r>
      <w:r>
        <w:rPr>
          <w:rFonts w:ascii="Times New Roman" w:eastAsia="仿宋" w:hAnsi="Times New Roman"/>
          <w:sz w:val="28"/>
          <w:szCs w:val="28"/>
        </w:rPr>
        <w:t>年</w:t>
      </w:r>
      <w:r>
        <w:rPr>
          <w:rFonts w:ascii="Times New Roman" w:eastAsia="仿宋" w:hAnsi="Times New Roman"/>
          <w:sz w:val="28"/>
          <w:szCs w:val="28"/>
        </w:rPr>
        <w:t xml:space="preserve">    </w:t>
      </w:r>
      <w:r>
        <w:rPr>
          <w:rFonts w:ascii="Times New Roman" w:eastAsia="仿宋" w:hAnsi="Times New Roman"/>
          <w:sz w:val="28"/>
          <w:szCs w:val="28"/>
        </w:rPr>
        <w:t>月</w:t>
      </w:r>
    </w:p>
    <w:p w:rsidR="00494448" w:rsidRDefault="00494448" w:rsidP="00494448">
      <w:pPr>
        <w:widowControl/>
        <w:spacing w:line="360" w:lineRule="auto"/>
        <w:jc w:val="center"/>
        <w:rPr>
          <w:rFonts w:ascii="Times New Roman" w:eastAsia="方正小标宋简体" w:hAnsi="Times New Roman"/>
          <w:kern w:val="0"/>
          <w:szCs w:val="32"/>
        </w:rPr>
      </w:pPr>
    </w:p>
    <w:p w:rsidR="00494448" w:rsidRDefault="00494448" w:rsidP="00494448">
      <w:pPr>
        <w:widowControl/>
        <w:spacing w:line="360" w:lineRule="auto"/>
        <w:jc w:val="center"/>
        <w:rPr>
          <w:rFonts w:ascii="Times New Roman" w:eastAsia="方正小标宋简体" w:hAnsi="Times New Roman"/>
          <w:kern w:val="0"/>
          <w:szCs w:val="32"/>
        </w:rPr>
      </w:pPr>
    </w:p>
    <w:p w:rsidR="00494448" w:rsidRDefault="00494448" w:rsidP="00494448">
      <w:pPr>
        <w:widowControl/>
        <w:spacing w:line="360" w:lineRule="auto"/>
        <w:jc w:val="center"/>
        <w:rPr>
          <w:rFonts w:ascii="Times New Roman" w:eastAsia="方正小标宋简体" w:hAnsi="Times New Roman"/>
          <w:kern w:val="0"/>
          <w:szCs w:val="32"/>
        </w:rPr>
      </w:pPr>
    </w:p>
    <w:p w:rsidR="00EE2D67" w:rsidRDefault="00EE2D67" w:rsidP="00494448">
      <w:pPr>
        <w:widowControl/>
        <w:spacing w:line="360" w:lineRule="auto"/>
        <w:jc w:val="center"/>
        <w:rPr>
          <w:rFonts w:ascii="Times New Roman" w:eastAsia="方正小标宋简体" w:hAnsi="Times New Roman"/>
          <w:kern w:val="0"/>
          <w:szCs w:val="32"/>
        </w:rPr>
      </w:pPr>
    </w:p>
    <w:p w:rsidR="00EE2D67" w:rsidRDefault="00EE2D67" w:rsidP="00494448">
      <w:pPr>
        <w:widowControl/>
        <w:spacing w:line="360" w:lineRule="auto"/>
        <w:jc w:val="center"/>
        <w:rPr>
          <w:rFonts w:ascii="Times New Roman" w:eastAsia="方正小标宋简体" w:hAnsi="Times New Roman"/>
          <w:kern w:val="0"/>
          <w:szCs w:val="32"/>
        </w:rPr>
      </w:pPr>
    </w:p>
    <w:p w:rsidR="00EE2D67" w:rsidRDefault="00EE2D67" w:rsidP="00494448">
      <w:pPr>
        <w:widowControl/>
        <w:spacing w:line="360" w:lineRule="auto"/>
        <w:jc w:val="center"/>
        <w:rPr>
          <w:rFonts w:ascii="Times New Roman" w:eastAsia="方正小标宋简体" w:hAnsi="Times New Roman"/>
          <w:kern w:val="0"/>
          <w:szCs w:val="32"/>
        </w:rPr>
      </w:pPr>
    </w:p>
    <w:p w:rsidR="00494448" w:rsidRDefault="00494448" w:rsidP="00494448">
      <w:pPr>
        <w:widowControl/>
        <w:spacing w:line="360" w:lineRule="auto"/>
        <w:jc w:val="center"/>
        <w:rPr>
          <w:rFonts w:ascii="Times New Roman" w:eastAsia="方正小标宋简体" w:hAnsi="Times New Roman"/>
          <w:kern w:val="0"/>
          <w:szCs w:val="32"/>
        </w:rPr>
      </w:pPr>
      <w:r>
        <w:rPr>
          <w:rFonts w:ascii="Times New Roman" w:eastAsia="方正小标宋简体" w:hAnsi="Times New Roman"/>
          <w:kern w:val="0"/>
          <w:szCs w:val="32"/>
        </w:rPr>
        <w:lastRenderedPageBreak/>
        <w:t>《土力学》课程教学大纲</w:t>
      </w:r>
    </w:p>
    <w:p w:rsidR="00494448" w:rsidRDefault="00494448" w:rsidP="00494448">
      <w:pPr>
        <w:snapToGrid w:val="0"/>
        <w:spacing w:line="360" w:lineRule="auto"/>
        <w:rPr>
          <w:rFonts w:ascii="Times New Roman" w:eastAsia="黑体" w:hAnsi="Times New Roman"/>
          <w:b/>
          <w:sz w:val="28"/>
          <w:szCs w:val="28"/>
        </w:rPr>
      </w:pPr>
      <w:r>
        <w:rPr>
          <w:rFonts w:ascii="Times New Roman" w:eastAsia="黑体" w:hAnsi="Times New Roman"/>
          <w:b/>
          <w:sz w:val="28"/>
          <w:szCs w:val="28"/>
        </w:rPr>
        <w:t>一、课程信息</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英文名称：</w:t>
      </w:r>
      <w:r>
        <w:rPr>
          <w:rFonts w:ascii="Times New Roman" w:hAnsi="Times New Roman"/>
          <w:bCs/>
          <w:sz w:val="28"/>
          <w:szCs w:val="28"/>
        </w:rPr>
        <w:t>Soil Mechanics</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课程编码：</w:t>
      </w:r>
      <w:r>
        <w:rPr>
          <w:rFonts w:ascii="Times New Roman" w:hAnsi="Times New Roman"/>
          <w:bCs/>
          <w:sz w:val="28"/>
          <w:szCs w:val="28"/>
        </w:rPr>
        <w:t>Z2803030</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授课语言：中文</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授课方式：线下</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课程类别：</w:t>
      </w:r>
      <w:r>
        <w:rPr>
          <w:rFonts w:ascii="Times New Roman" w:hAnsi="Times New Roman" w:hint="eastAsia"/>
          <w:bCs/>
          <w:sz w:val="28"/>
          <w:szCs w:val="28"/>
        </w:rPr>
        <w:t>专业基础</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课程性质：必修</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分：</w:t>
      </w:r>
      <w:r>
        <w:rPr>
          <w:rFonts w:ascii="Times New Roman" w:hAnsi="Times New Roman"/>
          <w:bCs/>
          <w:sz w:val="28"/>
          <w:szCs w:val="28"/>
        </w:rPr>
        <w:t>2.5</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时：</w:t>
      </w:r>
      <w:r>
        <w:rPr>
          <w:rFonts w:ascii="Times New Roman" w:hAnsi="Times New Roman"/>
          <w:bCs/>
          <w:sz w:val="28"/>
          <w:szCs w:val="28"/>
        </w:rPr>
        <w:t>40</w:t>
      </w:r>
      <w:r>
        <w:rPr>
          <w:rFonts w:ascii="Times New Roman" w:hAnsi="Times New Roman"/>
          <w:bCs/>
          <w:sz w:val="28"/>
          <w:szCs w:val="28"/>
        </w:rPr>
        <w:t>学时（授课</w:t>
      </w:r>
      <w:r>
        <w:rPr>
          <w:rFonts w:ascii="Times New Roman" w:hAnsi="Times New Roman"/>
          <w:bCs/>
          <w:sz w:val="28"/>
          <w:szCs w:val="28"/>
        </w:rPr>
        <w:t>32</w:t>
      </w:r>
      <w:r>
        <w:rPr>
          <w:rFonts w:ascii="Times New Roman" w:hAnsi="Times New Roman"/>
          <w:bCs/>
          <w:sz w:val="28"/>
          <w:szCs w:val="28"/>
        </w:rPr>
        <w:t>学时，实验</w:t>
      </w:r>
      <w:r>
        <w:rPr>
          <w:rFonts w:ascii="Times New Roman" w:hAnsi="Times New Roman"/>
          <w:bCs/>
          <w:sz w:val="28"/>
          <w:szCs w:val="28"/>
        </w:rPr>
        <w:t>6</w:t>
      </w:r>
      <w:r>
        <w:rPr>
          <w:rFonts w:ascii="Times New Roman" w:hAnsi="Times New Roman"/>
          <w:bCs/>
          <w:sz w:val="28"/>
          <w:szCs w:val="28"/>
        </w:rPr>
        <w:t>学时）</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适用对象：</w:t>
      </w:r>
      <w:r>
        <w:rPr>
          <w:rFonts w:ascii="Times New Roman" w:hAnsi="Times New Roman" w:hint="eastAsia"/>
          <w:bCs/>
          <w:sz w:val="28"/>
          <w:szCs w:val="28"/>
        </w:rPr>
        <w:t>土木工程专业（</w:t>
      </w:r>
      <w:r>
        <w:rPr>
          <w:rFonts w:ascii="Times New Roman" w:hAnsi="Times New Roman"/>
          <w:bCs/>
          <w:sz w:val="28"/>
          <w:szCs w:val="28"/>
        </w:rPr>
        <w:t>城市地下空间</w:t>
      </w:r>
      <w:r>
        <w:rPr>
          <w:rFonts w:ascii="Times New Roman" w:hAnsi="Times New Roman" w:hint="eastAsia"/>
          <w:bCs/>
          <w:sz w:val="28"/>
          <w:szCs w:val="28"/>
        </w:rPr>
        <w:t>方向）</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先修课程：理论力学、材料力学、结构力学、弹性力学、土木工程地质学。</w:t>
      </w:r>
    </w:p>
    <w:p w:rsidR="00494448" w:rsidRDefault="00494448" w:rsidP="00494448">
      <w:pPr>
        <w:spacing w:line="360" w:lineRule="auto"/>
        <w:ind w:firstLineChars="200" w:firstLine="560"/>
        <w:rPr>
          <w:rFonts w:ascii="Times New Roman" w:hAnsi="Times New Roman"/>
          <w:bCs/>
          <w:sz w:val="28"/>
          <w:szCs w:val="28"/>
        </w:rPr>
      </w:pPr>
      <w:r>
        <w:rPr>
          <w:rFonts w:ascii="Times New Roman" w:hAnsi="Times New Roman"/>
          <w:bCs/>
          <w:sz w:val="28"/>
          <w:szCs w:val="28"/>
        </w:rPr>
        <w:t>开课院系：建筑工程学院地基基础教研室</w:t>
      </w:r>
    </w:p>
    <w:p w:rsidR="00494448" w:rsidRDefault="00494448" w:rsidP="00494448">
      <w:pPr>
        <w:spacing w:line="360" w:lineRule="auto"/>
        <w:rPr>
          <w:rFonts w:ascii="Times New Roman" w:eastAsia="黑体" w:hAnsi="Times New Roman"/>
          <w:b/>
          <w:sz w:val="28"/>
          <w:szCs w:val="28"/>
        </w:rPr>
      </w:pPr>
      <w:r>
        <w:rPr>
          <w:rFonts w:ascii="Times New Roman" w:eastAsia="黑体" w:hAnsi="Times New Roman"/>
          <w:b/>
          <w:sz w:val="28"/>
          <w:szCs w:val="28"/>
        </w:rPr>
        <w:t>二、课程简介</w:t>
      </w:r>
    </w:p>
    <w:p w:rsidR="00494448" w:rsidRDefault="00494448" w:rsidP="00494448">
      <w:pPr>
        <w:spacing w:line="560" w:lineRule="exact"/>
        <w:ind w:firstLineChars="200" w:firstLine="560"/>
        <w:rPr>
          <w:rFonts w:ascii="Times New Roman" w:hAnsi="Times New Roman"/>
          <w:bCs/>
          <w:sz w:val="28"/>
          <w:szCs w:val="28"/>
        </w:rPr>
      </w:pPr>
      <w:r>
        <w:rPr>
          <w:rFonts w:ascii="Times New Roman" w:hAnsi="Times New Roman"/>
          <w:bCs/>
          <w:sz w:val="28"/>
          <w:szCs w:val="28"/>
        </w:rPr>
        <w:t>土力学是土木工程等相关专业的重要基础课程之一，它研究土的形成、组成、结构、物理性质、土体渗流、土的压缩、固结和强度等，是力学的一个分支，是以土为研究对象的学科。通过本课程的学习，学生能掌握土力学的相关基础知识，为将来从事岩土工程领域相关工作打下坚实的基础。</w:t>
      </w:r>
    </w:p>
    <w:p w:rsidR="00494448" w:rsidRDefault="00494448" w:rsidP="00494448">
      <w:pPr>
        <w:spacing w:beforeLines="50" w:before="156" w:line="360" w:lineRule="auto"/>
        <w:rPr>
          <w:rFonts w:ascii="Times New Roman" w:eastAsia="黑体" w:hAnsi="Times New Roman"/>
          <w:b/>
          <w:sz w:val="28"/>
          <w:szCs w:val="28"/>
        </w:rPr>
      </w:pPr>
      <w:r>
        <w:rPr>
          <w:rFonts w:ascii="Times New Roman" w:eastAsia="黑体" w:hAnsi="Times New Roman"/>
          <w:b/>
          <w:sz w:val="28"/>
          <w:szCs w:val="28"/>
        </w:rPr>
        <w:t>三、课程任务、目标与要求</w:t>
      </w:r>
    </w:p>
    <w:p w:rsidR="00494448" w:rsidRDefault="00494448" w:rsidP="00494448">
      <w:pPr>
        <w:snapToGrid w:val="0"/>
        <w:spacing w:line="360" w:lineRule="auto"/>
        <w:ind w:firstLine="329"/>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课程任务</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通过本课程的学习，使学生了解土的成因和分类方法，熟悉土的基本物理力学性质，掌握土的渗透、变形、强度三大基础理论，掌握</w:t>
      </w:r>
      <w:r>
        <w:rPr>
          <w:rFonts w:ascii="Times New Roman" w:hAnsi="Times New Roman"/>
          <w:sz w:val="28"/>
          <w:szCs w:val="28"/>
        </w:rPr>
        <w:lastRenderedPageBreak/>
        <w:t>地基沉降及其承载力、土压力和土坡稳定性的计算及分析方法，掌握一般土力学试验的基本原理、操作步骤和数据分析方法，达到能应用土力学的基本原理和方法解决实际工程中渗流、变形和稳定等问题的能力。</w:t>
      </w:r>
    </w:p>
    <w:p w:rsidR="00494448" w:rsidRDefault="00494448" w:rsidP="0049444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2. </w:t>
      </w:r>
      <w:r>
        <w:rPr>
          <w:rFonts w:ascii="Times New Roman" w:hAnsi="Times New Roman"/>
          <w:sz w:val="28"/>
          <w:szCs w:val="28"/>
        </w:rPr>
        <w:t>课程基本要求</w:t>
      </w:r>
    </w:p>
    <w:p w:rsidR="00494448" w:rsidRDefault="00494448" w:rsidP="00494448">
      <w:pPr>
        <w:spacing w:line="360" w:lineRule="auto"/>
        <w:ind w:firstLine="331"/>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课程目标</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通过本课程的理论教学与实验教学，使学生具备解决与土力学相关的复杂土木工程问题的基本知识以及实践和工程应用能力，教学目标具体要求如下：</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1</w:t>
      </w:r>
      <w:r>
        <w:rPr>
          <w:rFonts w:ascii="Times New Roman" w:hAnsi="Times New Roman"/>
          <w:sz w:val="28"/>
          <w:szCs w:val="28"/>
        </w:rPr>
        <w:t>）掌握土的物理性质及工程分类；掌握土的渗透、变形、强度三种基础理论的基本原理、适用条件和计算方法。教育引导学生深刻理解并自觉实践土力学领域的职业精神和职业规范。</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2</w:t>
      </w:r>
      <w:r>
        <w:rPr>
          <w:rFonts w:ascii="Times New Roman" w:hAnsi="Times New Roman"/>
          <w:sz w:val="28"/>
          <w:szCs w:val="28"/>
        </w:rPr>
        <w:t>）掌握界限含水率、压缩、直接剪切等土力学实验的原理、操作和分析方法，具备测定、评价和选取与复杂土工结构物相关的土材料参数的实践应用能力。</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3</w:t>
      </w:r>
      <w:r>
        <w:rPr>
          <w:rFonts w:ascii="Times New Roman" w:hAnsi="Times New Roman"/>
          <w:sz w:val="28"/>
          <w:szCs w:val="28"/>
        </w:rPr>
        <w:t>）掌握土压力、地基承载力和土坡稳定性的计算分析方法，能结合实际土木工程建设涉及的土力学特点，提出满足稳定性和沉降特定要求的复杂土工结构物设计及其施工方案。增强学生在毕业工作后确保工程设施安全的底线意识，增强学生的土木工程师职业责任感，培养学生的大国工匠精神，激发学生的家国情怀。</w:t>
      </w:r>
    </w:p>
    <w:p w:rsidR="00494448" w:rsidRDefault="00494448" w:rsidP="00494448">
      <w:pPr>
        <w:spacing w:beforeLines="50" w:before="156" w:line="360" w:lineRule="auto"/>
        <w:ind w:firstLine="329"/>
        <w:rPr>
          <w:rFonts w:ascii="Times New Roman" w:hAnsi="Times New Roman"/>
          <w:bCs/>
          <w:sz w:val="28"/>
          <w:szCs w:val="28"/>
        </w:rPr>
      </w:pPr>
      <w:r>
        <w:rPr>
          <w:rFonts w:ascii="Times New Roman" w:hAnsi="Times New Roman"/>
          <w:bCs/>
          <w:sz w:val="28"/>
          <w:szCs w:val="28"/>
        </w:rPr>
        <w:t xml:space="preserve">2.2 </w:t>
      </w:r>
      <w:r>
        <w:rPr>
          <w:rFonts w:ascii="Times New Roman" w:hAnsi="Times New Roman"/>
          <w:bCs/>
          <w:sz w:val="28"/>
          <w:szCs w:val="28"/>
        </w:rPr>
        <w:t>课程目标与毕业要求之间的对应关系</w:t>
      </w:r>
    </w:p>
    <w:tbl>
      <w:tblPr>
        <w:tblW w:w="4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73"/>
        <w:gridCol w:w="1216"/>
        <w:gridCol w:w="1181"/>
        <w:gridCol w:w="1107"/>
      </w:tblGrid>
      <w:tr w:rsidR="00494448" w:rsidTr="00BE5664">
        <w:trPr>
          <w:trHeight w:val="276"/>
          <w:jc w:val="center"/>
        </w:trPr>
        <w:tc>
          <w:tcPr>
            <w:tcW w:w="4526" w:type="dxa"/>
            <w:gridSpan w:val="2"/>
            <w:vMerge w:val="restart"/>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r>
              <w:rPr>
                <w:kern w:val="0"/>
                <w:sz w:val="24"/>
                <w:szCs w:val="24"/>
              </w:rPr>
              <w:t>毕业要求及其指标点</w:t>
            </w:r>
          </w:p>
        </w:tc>
        <w:tc>
          <w:tcPr>
            <w:tcW w:w="3748" w:type="dxa"/>
            <w:gridSpan w:val="3"/>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r>
              <w:rPr>
                <w:kern w:val="0"/>
                <w:sz w:val="24"/>
                <w:szCs w:val="24"/>
              </w:rPr>
              <w:t>教学目标</w:t>
            </w:r>
          </w:p>
        </w:tc>
      </w:tr>
      <w:tr w:rsidR="00494448" w:rsidTr="00BE5664">
        <w:trPr>
          <w:trHeight w:val="276"/>
          <w:jc w:val="center"/>
        </w:trPr>
        <w:tc>
          <w:tcPr>
            <w:tcW w:w="4526" w:type="dxa"/>
            <w:gridSpan w:val="2"/>
            <w:vMerge/>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p>
        </w:tc>
        <w:tc>
          <w:tcPr>
            <w:tcW w:w="1309"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r>
              <w:rPr>
                <w:kern w:val="0"/>
                <w:sz w:val="24"/>
                <w:szCs w:val="24"/>
              </w:rPr>
              <w:t>（</w:t>
            </w:r>
            <w:r>
              <w:rPr>
                <w:kern w:val="0"/>
                <w:sz w:val="24"/>
                <w:szCs w:val="24"/>
              </w:rPr>
              <w:t>1</w:t>
            </w:r>
            <w:r>
              <w:rPr>
                <w:kern w:val="0"/>
                <w:sz w:val="24"/>
                <w:szCs w:val="24"/>
              </w:rPr>
              <w:t>）</w:t>
            </w:r>
          </w:p>
        </w:tc>
        <w:tc>
          <w:tcPr>
            <w:tcW w:w="1265"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r>
              <w:rPr>
                <w:kern w:val="0"/>
                <w:sz w:val="24"/>
                <w:szCs w:val="24"/>
              </w:rPr>
              <w:t>（</w:t>
            </w:r>
            <w:r>
              <w:rPr>
                <w:kern w:val="0"/>
                <w:sz w:val="24"/>
                <w:szCs w:val="24"/>
              </w:rPr>
              <w:t>2</w:t>
            </w:r>
            <w:r>
              <w:rPr>
                <w:kern w:val="0"/>
                <w:sz w:val="24"/>
                <w:szCs w:val="24"/>
              </w:rPr>
              <w:t>）</w:t>
            </w:r>
          </w:p>
        </w:tc>
        <w:tc>
          <w:tcPr>
            <w:tcW w:w="1174"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r>
              <w:rPr>
                <w:kern w:val="0"/>
                <w:sz w:val="24"/>
                <w:szCs w:val="24"/>
              </w:rPr>
              <w:t>（</w:t>
            </w:r>
            <w:r>
              <w:rPr>
                <w:kern w:val="0"/>
                <w:sz w:val="24"/>
                <w:szCs w:val="24"/>
              </w:rPr>
              <w:t>3</w:t>
            </w:r>
            <w:r>
              <w:rPr>
                <w:kern w:val="0"/>
                <w:sz w:val="24"/>
                <w:szCs w:val="24"/>
              </w:rPr>
              <w:t>）</w:t>
            </w:r>
          </w:p>
        </w:tc>
      </w:tr>
      <w:tr w:rsidR="00494448" w:rsidTr="00BE5664">
        <w:trPr>
          <w:trHeight w:val="276"/>
          <w:jc w:val="center"/>
        </w:trPr>
        <w:tc>
          <w:tcPr>
            <w:tcW w:w="2132"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sz w:val="24"/>
                <w:szCs w:val="24"/>
              </w:rPr>
            </w:pPr>
            <w:r>
              <w:rPr>
                <w:sz w:val="24"/>
                <w:szCs w:val="24"/>
              </w:rPr>
              <w:t xml:space="preserve">1. </w:t>
            </w:r>
            <w:r>
              <w:rPr>
                <w:sz w:val="24"/>
                <w:szCs w:val="24"/>
              </w:rPr>
              <w:t>工程知识应用能力</w:t>
            </w:r>
          </w:p>
        </w:tc>
        <w:tc>
          <w:tcPr>
            <w:tcW w:w="2394"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rPr>
                <w:kern w:val="0"/>
                <w:sz w:val="24"/>
                <w:szCs w:val="24"/>
              </w:rPr>
            </w:pPr>
            <w:r>
              <w:rPr>
                <w:sz w:val="24"/>
                <w:szCs w:val="24"/>
              </w:rPr>
              <w:t xml:space="preserve">1.2 </w:t>
            </w:r>
            <w:r>
              <w:rPr>
                <w:sz w:val="24"/>
                <w:szCs w:val="24"/>
              </w:rPr>
              <w:t>掌握力学原理和方法，具备面</w:t>
            </w:r>
            <w:r>
              <w:rPr>
                <w:sz w:val="24"/>
                <w:szCs w:val="24"/>
              </w:rPr>
              <w:lastRenderedPageBreak/>
              <w:t>向土木工程专业复杂工程问题的抽象分析和建模求解能力；</w:t>
            </w:r>
          </w:p>
        </w:tc>
        <w:tc>
          <w:tcPr>
            <w:tcW w:w="1309"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r>
              <w:rPr>
                <w:kern w:val="0"/>
                <w:sz w:val="24"/>
                <w:szCs w:val="24"/>
              </w:rPr>
              <w:lastRenderedPageBreak/>
              <w:t>√</w:t>
            </w:r>
          </w:p>
        </w:tc>
        <w:tc>
          <w:tcPr>
            <w:tcW w:w="1265"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r>
              <w:rPr>
                <w:kern w:val="0"/>
                <w:sz w:val="24"/>
                <w:szCs w:val="24"/>
              </w:rPr>
              <w:t>√</w:t>
            </w:r>
          </w:p>
        </w:tc>
        <w:tc>
          <w:tcPr>
            <w:tcW w:w="1174"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p>
        </w:tc>
      </w:tr>
      <w:tr w:rsidR="00494448" w:rsidTr="00BE5664">
        <w:trPr>
          <w:trHeight w:val="276"/>
          <w:jc w:val="center"/>
        </w:trPr>
        <w:tc>
          <w:tcPr>
            <w:tcW w:w="2132"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sz w:val="24"/>
                <w:szCs w:val="24"/>
              </w:rPr>
            </w:pPr>
            <w:r>
              <w:rPr>
                <w:rFonts w:hint="eastAsia"/>
                <w:sz w:val="24"/>
                <w:szCs w:val="24"/>
              </w:rPr>
              <w:t>2</w:t>
            </w:r>
            <w:r>
              <w:rPr>
                <w:sz w:val="24"/>
                <w:szCs w:val="24"/>
              </w:rPr>
              <w:t xml:space="preserve">. </w:t>
            </w:r>
            <w:r>
              <w:rPr>
                <w:sz w:val="24"/>
                <w:szCs w:val="24"/>
              </w:rPr>
              <w:t>问题分析能力</w:t>
            </w:r>
          </w:p>
        </w:tc>
        <w:tc>
          <w:tcPr>
            <w:tcW w:w="2394"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rPr>
                <w:sz w:val="24"/>
                <w:szCs w:val="24"/>
              </w:rPr>
            </w:pPr>
            <w:r>
              <w:rPr>
                <w:sz w:val="24"/>
                <w:szCs w:val="24"/>
              </w:rPr>
              <w:t xml:space="preserve">2.2 </w:t>
            </w:r>
            <w:r>
              <w:rPr>
                <w:sz w:val="24"/>
                <w:szCs w:val="24"/>
              </w:rPr>
              <w:t>能够应用力学基础知识和方法，正确识别和表达土木工程专业复杂工程问题，并能选择合适的方法进行分析和求解；</w:t>
            </w:r>
          </w:p>
        </w:tc>
        <w:tc>
          <w:tcPr>
            <w:tcW w:w="1309"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sz w:val="24"/>
                <w:szCs w:val="24"/>
              </w:rPr>
            </w:pPr>
          </w:p>
        </w:tc>
        <w:tc>
          <w:tcPr>
            <w:tcW w:w="1265"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r>
              <w:rPr>
                <w:kern w:val="0"/>
                <w:sz w:val="24"/>
                <w:szCs w:val="24"/>
              </w:rPr>
              <w:t>√</w:t>
            </w:r>
          </w:p>
        </w:tc>
        <w:tc>
          <w:tcPr>
            <w:tcW w:w="1174"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r>
              <w:rPr>
                <w:kern w:val="0"/>
                <w:sz w:val="24"/>
                <w:szCs w:val="24"/>
              </w:rPr>
              <w:t>√</w:t>
            </w:r>
          </w:p>
        </w:tc>
      </w:tr>
      <w:tr w:rsidR="00494448" w:rsidTr="00BE5664">
        <w:trPr>
          <w:trHeight w:val="276"/>
          <w:jc w:val="center"/>
        </w:trPr>
        <w:tc>
          <w:tcPr>
            <w:tcW w:w="2132"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sz w:val="24"/>
                <w:szCs w:val="24"/>
              </w:rPr>
            </w:pPr>
            <w:r>
              <w:rPr>
                <w:rFonts w:hint="eastAsia"/>
                <w:sz w:val="24"/>
                <w:szCs w:val="24"/>
              </w:rPr>
              <w:t xml:space="preserve">3. </w:t>
            </w:r>
            <w:r>
              <w:rPr>
                <w:sz w:val="24"/>
                <w:szCs w:val="24"/>
              </w:rPr>
              <w:t>设计</w:t>
            </w:r>
            <w:r>
              <w:rPr>
                <w:sz w:val="24"/>
                <w:szCs w:val="24"/>
              </w:rPr>
              <w:t>/</w:t>
            </w:r>
            <w:r>
              <w:rPr>
                <w:sz w:val="24"/>
                <w:szCs w:val="24"/>
              </w:rPr>
              <w:t>开发能力</w:t>
            </w:r>
          </w:p>
        </w:tc>
        <w:tc>
          <w:tcPr>
            <w:tcW w:w="2394"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rPr>
                <w:sz w:val="24"/>
                <w:szCs w:val="24"/>
              </w:rPr>
            </w:pPr>
            <w:r>
              <w:rPr>
                <w:sz w:val="24"/>
                <w:szCs w:val="24"/>
              </w:rPr>
              <w:t xml:space="preserve">3.2 </w:t>
            </w:r>
            <w:r>
              <w:rPr>
                <w:sz w:val="24"/>
                <w:szCs w:val="24"/>
              </w:rPr>
              <w:t>能够进行工程体系的系统分析和优化设计，并体现创新意识；</w:t>
            </w:r>
          </w:p>
        </w:tc>
        <w:tc>
          <w:tcPr>
            <w:tcW w:w="1309"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r>
              <w:rPr>
                <w:kern w:val="0"/>
                <w:sz w:val="24"/>
                <w:szCs w:val="24"/>
              </w:rPr>
              <w:t>√</w:t>
            </w:r>
          </w:p>
        </w:tc>
        <w:tc>
          <w:tcPr>
            <w:tcW w:w="1265"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r>
              <w:rPr>
                <w:kern w:val="0"/>
                <w:sz w:val="24"/>
                <w:szCs w:val="24"/>
              </w:rPr>
              <w:t>√</w:t>
            </w:r>
          </w:p>
        </w:tc>
        <w:tc>
          <w:tcPr>
            <w:tcW w:w="1174" w:type="dxa"/>
            <w:tcBorders>
              <w:top w:val="single" w:sz="4" w:space="0" w:color="auto"/>
              <w:left w:val="single" w:sz="4" w:space="0" w:color="auto"/>
              <w:bottom w:val="single" w:sz="4" w:space="0" w:color="auto"/>
              <w:right w:val="single" w:sz="4" w:space="0" w:color="auto"/>
            </w:tcBorders>
            <w:vAlign w:val="center"/>
          </w:tcPr>
          <w:p w:rsidR="00494448" w:rsidRDefault="00494448" w:rsidP="00BE5664">
            <w:pPr>
              <w:spacing w:line="400" w:lineRule="exact"/>
              <w:jc w:val="center"/>
              <w:rPr>
                <w:kern w:val="0"/>
                <w:sz w:val="24"/>
                <w:szCs w:val="24"/>
              </w:rPr>
            </w:pPr>
            <w:r>
              <w:rPr>
                <w:kern w:val="0"/>
                <w:sz w:val="24"/>
                <w:szCs w:val="24"/>
              </w:rPr>
              <w:t>√</w:t>
            </w:r>
          </w:p>
        </w:tc>
      </w:tr>
    </w:tbl>
    <w:p w:rsidR="00494448" w:rsidRDefault="00494448" w:rsidP="0049444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3. </w:t>
      </w:r>
      <w:r>
        <w:rPr>
          <w:rFonts w:ascii="Times New Roman" w:hAnsi="Times New Roman"/>
          <w:sz w:val="28"/>
          <w:szCs w:val="28"/>
        </w:rPr>
        <w:t>课程的重点、难点</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重点：土、地基、基础的概念及特点、本课程的学习方法。土的物质组成、判别土体颗粒级配是否良好、土的结构。土的物理性质指标、土的物理状态指标、土的压实性、土的工程分类。土的渗透性及其测定、渗透破坏及其控制。有效应力原理、基底压力及地基附加应力。土的压缩性、压缩性指标。地基最终沉降量计算、地基沉降量与时间的关系。土的极限平衡条件、抗剪强度的测定方法。朗肯和库伦土压力理论；有超载、成层土、有地下水情况下的土压力计算。地基的临塑荷载、临界荷载和极限承载力计算方法。瑞典圆弧法、条分法、</w:t>
      </w:r>
      <w:r>
        <w:rPr>
          <w:rFonts w:ascii="Times New Roman" w:hAnsi="Times New Roman"/>
          <w:sz w:val="28"/>
          <w:szCs w:val="28"/>
        </w:rPr>
        <w:t>Bishop</w:t>
      </w:r>
      <w:r>
        <w:rPr>
          <w:rFonts w:ascii="Times New Roman" w:hAnsi="Times New Roman"/>
          <w:sz w:val="28"/>
          <w:szCs w:val="28"/>
        </w:rPr>
        <w:t>法。</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难点：土力学学习中应注意的问题。土体颗粒级配良好判别。土的物理性质指标，土的物理状态指标。二维渗流、流网。有效应力原理、附加应力计算。土的压缩特性和土体压缩性指标。饱和土的渗透</w:t>
      </w:r>
      <w:r>
        <w:rPr>
          <w:rFonts w:ascii="Times New Roman" w:hAnsi="Times New Roman"/>
          <w:sz w:val="28"/>
          <w:szCs w:val="28"/>
        </w:rPr>
        <w:lastRenderedPageBreak/>
        <w:t>固结理论。不同固结和排水条件下土的抗剪强度指标的含义、应力路径。有超载、成层土、有地下水情况下的土压力计算。地基的临塑荷载、临界荷载和极限承载力计算方法。条分法、</w:t>
      </w:r>
      <w:r>
        <w:rPr>
          <w:rFonts w:ascii="Times New Roman" w:hAnsi="Times New Roman"/>
          <w:sz w:val="28"/>
          <w:szCs w:val="28"/>
        </w:rPr>
        <w:t>Bishop</w:t>
      </w:r>
      <w:r>
        <w:rPr>
          <w:rFonts w:ascii="Times New Roman" w:hAnsi="Times New Roman"/>
          <w:sz w:val="28"/>
          <w:szCs w:val="28"/>
        </w:rPr>
        <w:t>法。</w:t>
      </w:r>
    </w:p>
    <w:p w:rsidR="00494448" w:rsidRDefault="00494448" w:rsidP="0049444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rPr>
        <w:t>课程思政设计</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课程在绪论中以上海</w:t>
      </w:r>
      <w:r>
        <w:rPr>
          <w:rFonts w:ascii="Times New Roman" w:hAnsi="Times New Roman"/>
          <w:sz w:val="28"/>
          <w:szCs w:val="28"/>
        </w:rPr>
        <w:t>“</w:t>
      </w:r>
      <w:r>
        <w:rPr>
          <w:rFonts w:ascii="Times New Roman" w:hAnsi="Times New Roman"/>
          <w:sz w:val="28"/>
          <w:szCs w:val="28"/>
        </w:rPr>
        <w:t>莲花河畔景苑</w:t>
      </w:r>
      <w:r>
        <w:rPr>
          <w:rFonts w:ascii="Times New Roman" w:hAnsi="Times New Roman"/>
          <w:sz w:val="28"/>
          <w:szCs w:val="28"/>
        </w:rPr>
        <w:t>”7</w:t>
      </w:r>
      <w:r>
        <w:rPr>
          <w:rFonts w:ascii="Times New Roman" w:hAnsi="Times New Roman"/>
          <w:sz w:val="28"/>
          <w:szCs w:val="28"/>
        </w:rPr>
        <w:t>号楼倾覆事故和杭州地铁基坑事故为引例，通过讲述与土有关的工程问题，增强学生在毕业工作后确保工程设施安全的底线意识，增强学生的土木工程师职业责任感；以半坡遗址的土台和土基、万里长城与赵州桥为引例，通过讲述土的工程应用，培养学生的大国工匠精神，激发学生的家国情怀。</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在土的组成讲解中以土的性质因其成因、沉积环境、沉积时间和气候条件的不同而呈现千差万别的特点，培养学生以全面的、历史的、实事求是的科学态度分析问题和解决问题；在土的物理性质及分类章节中以工程实际中面临土的工程分类工作为引例，教育引导学生深刻理解并自觉实践遵照土的物理性质及其状态指标进行分类的职业规范。在土的渗透性与渗流讲解中通过讲解管涌与流土的判别方法，教育引导学生深刻理解并自觉实践土体渗流稳定性分析的职业精神和职业规范，增强学生在毕业工作后确保工程设施安全的底线意识。</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土中的应力及压缩性讲解中以</w:t>
      </w:r>
      <w:r>
        <w:rPr>
          <w:rFonts w:ascii="Times New Roman" w:hAnsi="Times New Roman"/>
          <w:sz w:val="28"/>
          <w:szCs w:val="28"/>
        </w:rPr>
        <w:t>20</w:t>
      </w:r>
      <w:r>
        <w:rPr>
          <w:rFonts w:ascii="Times New Roman" w:hAnsi="Times New Roman"/>
          <w:sz w:val="28"/>
          <w:szCs w:val="28"/>
        </w:rPr>
        <w:t>世纪七八十年代西安大雁塔向北倾斜问题和学生认识实习时参观的建筑基坑降水设施为引例，讲解渗流作用下的有效应力，教育引导学生深刻理解并自觉实践土体应力分析的职业精神和职业规范。在土样单向压缩试验时土样的高度、孔隙比随加载大小产生非线性变化，但土粒体积是始终不变的，经此可建立等式求得土样高度、孔隙比与加载值之间的函数关系，鼓励学生在复杂多变的因素中找到内在联系，抓住事物现象的本质，掌握科学</w:t>
      </w:r>
      <w:r>
        <w:rPr>
          <w:rFonts w:ascii="Times New Roman" w:hAnsi="Times New Roman"/>
          <w:sz w:val="28"/>
          <w:szCs w:val="28"/>
        </w:rPr>
        <w:lastRenderedPageBreak/>
        <w:t>分析问题方法；同时这也提示我们应坚持信念、不忘初心、方为始终</w:t>
      </w:r>
    </w:p>
    <w:p w:rsidR="00494448" w:rsidRDefault="00494448" w:rsidP="00494448">
      <w:pPr>
        <w:spacing w:line="560" w:lineRule="exact"/>
        <w:ind w:firstLineChars="200" w:firstLine="560"/>
        <w:rPr>
          <w:rFonts w:ascii="Times New Roman" w:hAnsi="Times New Roman"/>
          <w:sz w:val="28"/>
          <w:szCs w:val="28"/>
        </w:rPr>
      </w:pPr>
      <w:r>
        <w:rPr>
          <w:rFonts w:ascii="Times New Roman" w:hAnsi="Times New Roman"/>
          <w:sz w:val="28"/>
          <w:szCs w:val="28"/>
        </w:rPr>
        <w:t>在土的抗剪强度以及土压力讲解中通过讲解土抗剪强度指标的工程应用，教育引导学生深刻理解并自觉实践不同工程中选取不同抗剪强度指标的职业精神和职业规范，增强学生在毕业工作后确保工程设施安全的底线意识，增强学生的土木工程师职业责任感。以加拿大特朗斯康谷仓倾覆事故为引例，通过讲解地基的失稳破坏形式，增强学生在毕业工作后确保地基与基础设施安全的底线意识，增强学生的土木工程师职业责任感。以</w:t>
      </w:r>
      <w:r>
        <w:rPr>
          <w:rFonts w:ascii="Times New Roman" w:hAnsi="Times New Roman"/>
          <w:sz w:val="28"/>
          <w:szCs w:val="28"/>
        </w:rPr>
        <w:t>12·20</w:t>
      </w:r>
      <w:r>
        <w:rPr>
          <w:rFonts w:ascii="Times New Roman" w:hAnsi="Times New Roman"/>
          <w:sz w:val="28"/>
          <w:szCs w:val="28"/>
        </w:rPr>
        <w:t>深圳滑坡为引例，通过讲解土坡失稳的原理与诱因，增强学生在毕业工作后确保边坡工程设施安全的底线意识，增强学生的土木工程师职业责任感。</w:t>
      </w:r>
    </w:p>
    <w:p w:rsidR="00494448" w:rsidRDefault="00494448" w:rsidP="0049444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四、教学内容安排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582"/>
        <w:gridCol w:w="504"/>
        <w:gridCol w:w="2090"/>
        <w:gridCol w:w="1700"/>
        <w:gridCol w:w="2946"/>
      </w:tblGrid>
      <w:tr w:rsidR="00494448" w:rsidTr="00BE5664">
        <w:trPr>
          <w:cantSplit/>
          <w:trHeight w:val="785"/>
          <w:tblHeader/>
        </w:trPr>
        <w:tc>
          <w:tcPr>
            <w:tcW w:w="0" w:type="auto"/>
            <w:vAlign w:val="center"/>
          </w:tcPr>
          <w:p w:rsidR="00494448" w:rsidRDefault="00494448" w:rsidP="00BE5664">
            <w:pPr>
              <w:jc w:val="center"/>
              <w:rPr>
                <w:rFonts w:ascii="Times New Roman" w:hAnsi="Times New Roman"/>
                <w:b/>
                <w:kern w:val="0"/>
                <w:sz w:val="24"/>
                <w:szCs w:val="24"/>
              </w:rPr>
            </w:pPr>
            <w:r>
              <w:rPr>
                <w:rFonts w:ascii="Times New Roman" w:hAnsi="Times New Roman"/>
                <w:b/>
                <w:kern w:val="0"/>
                <w:sz w:val="24"/>
                <w:szCs w:val="24"/>
              </w:rPr>
              <w:t>序号</w:t>
            </w:r>
          </w:p>
        </w:tc>
        <w:tc>
          <w:tcPr>
            <w:tcW w:w="0" w:type="auto"/>
            <w:vAlign w:val="center"/>
          </w:tcPr>
          <w:p w:rsidR="00494448" w:rsidRDefault="00494448" w:rsidP="00BE5664">
            <w:pPr>
              <w:jc w:val="center"/>
              <w:rPr>
                <w:rFonts w:ascii="Times New Roman" w:hAnsi="Times New Roman"/>
                <w:b/>
                <w:kern w:val="0"/>
                <w:sz w:val="24"/>
                <w:szCs w:val="24"/>
              </w:rPr>
            </w:pPr>
            <w:r>
              <w:rPr>
                <w:rFonts w:ascii="Times New Roman" w:hAnsi="Times New Roman"/>
                <w:b/>
                <w:kern w:val="0"/>
                <w:sz w:val="24"/>
                <w:szCs w:val="24"/>
              </w:rPr>
              <w:t>章节</w:t>
            </w:r>
          </w:p>
        </w:tc>
        <w:tc>
          <w:tcPr>
            <w:tcW w:w="0" w:type="auto"/>
            <w:vAlign w:val="center"/>
          </w:tcPr>
          <w:p w:rsidR="00494448" w:rsidRDefault="00494448" w:rsidP="00BE5664">
            <w:pPr>
              <w:jc w:val="center"/>
              <w:rPr>
                <w:rFonts w:ascii="Times New Roman" w:hAnsi="Times New Roman"/>
                <w:b/>
                <w:kern w:val="0"/>
                <w:sz w:val="24"/>
                <w:szCs w:val="24"/>
              </w:rPr>
            </w:pPr>
            <w:r>
              <w:rPr>
                <w:rFonts w:ascii="Times New Roman" w:hAnsi="Times New Roman"/>
                <w:b/>
                <w:kern w:val="0"/>
                <w:sz w:val="24"/>
                <w:szCs w:val="24"/>
              </w:rPr>
              <w:t>参考学时</w:t>
            </w:r>
          </w:p>
        </w:tc>
        <w:tc>
          <w:tcPr>
            <w:tcW w:w="0" w:type="auto"/>
            <w:vAlign w:val="center"/>
          </w:tcPr>
          <w:p w:rsidR="00494448" w:rsidRDefault="00494448" w:rsidP="00BE5664">
            <w:pPr>
              <w:jc w:val="center"/>
              <w:rPr>
                <w:rFonts w:ascii="Times New Roman" w:hAnsi="Times New Roman"/>
                <w:b/>
                <w:kern w:val="0"/>
                <w:sz w:val="24"/>
                <w:szCs w:val="24"/>
              </w:rPr>
            </w:pPr>
            <w:r>
              <w:rPr>
                <w:rFonts w:ascii="Times New Roman" w:hAnsi="Times New Roman"/>
                <w:b/>
                <w:kern w:val="0"/>
                <w:sz w:val="24"/>
                <w:szCs w:val="24"/>
              </w:rPr>
              <w:t>教学内容</w:t>
            </w:r>
          </w:p>
        </w:tc>
        <w:tc>
          <w:tcPr>
            <w:tcW w:w="0" w:type="auto"/>
            <w:vAlign w:val="center"/>
          </w:tcPr>
          <w:p w:rsidR="00494448" w:rsidRDefault="00494448" w:rsidP="00BE5664">
            <w:pPr>
              <w:jc w:val="center"/>
              <w:rPr>
                <w:rFonts w:ascii="Times New Roman" w:hAnsi="Times New Roman"/>
                <w:b/>
                <w:kern w:val="0"/>
                <w:sz w:val="24"/>
                <w:szCs w:val="24"/>
              </w:rPr>
            </w:pPr>
            <w:r>
              <w:rPr>
                <w:rFonts w:ascii="Times New Roman" w:hAnsi="Times New Roman"/>
                <w:b/>
                <w:kern w:val="0"/>
                <w:sz w:val="24"/>
                <w:szCs w:val="24"/>
              </w:rPr>
              <w:t>基本要求</w:t>
            </w:r>
          </w:p>
        </w:tc>
        <w:tc>
          <w:tcPr>
            <w:tcW w:w="0" w:type="auto"/>
            <w:vAlign w:val="center"/>
          </w:tcPr>
          <w:p w:rsidR="00494448" w:rsidRDefault="00494448" w:rsidP="00BE5664">
            <w:pPr>
              <w:jc w:val="center"/>
              <w:rPr>
                <w:rFonts w:ascii="Times New Roman" w:hAnsi="Times New Roman"/>
                <w:b/>
                <w:kern w:val="0"/>
                <w:sz w:val="24"/>
                <w:szCs w:val="24"/>
              </w:rPr>
            </w:pPr>
            <w:r>
              <w:rPr>
                <w:rFonts w:ascii="Times New Roman" w:hAnsi="Times New Roman" w:hint="eastAsia"/>
                <w:b/>
                <w:kern w:val="0"/>
                <w:sz w:val="24"/>
                <w:szCs w:val="24"/>
              </w:rPr>
              <w:t>对毕业要求的支撑</w:t>
            </w:r>
          </w:p>
        </w:tc>
      </w:tr>
      <w:tr w:rsidR="00494448" w:rsidTr="00BE5664">
        <w:trPr>
          <w:trHeight w:val="428"/>
        </w:trPr>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t>1</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t>绪论</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t>1</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）土、地基、基础的基本概念及特点。</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）土力学在国内外土木工程中的发展和应用概况。</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）本课程的主要内容、要求及学习方法。</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要求学生掌握土、地基、基础的基本概念及特点、了解国内外的发展现状及本课程的主要内容要求及学习方法。</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w:t>
            </w:r>
          </w:p>
        </w:tc>
      </w:tr>
      <w:tr w:rsidR="00494448" w:rsidTr="00BE5664">
        <w:trPr>
          <w:trHeight w:val="519"/>
        </w:trPr>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t>2</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t>土的组成</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t>2</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）土的成因和组成：土粒、水和气体的特点及其对土物理性质的影响，土粒的矿物成分，粘土矿物的结构特征，土粒的粒度分析方法。</w:t>
            </w:r>
          </w:p>
          <w:p w:rsidR="00494448" w:rsidRDefault="00494448" w:rsidP="00BE5664">
            <w:pPr>
              <w:rPr>
                <w:rFonts w:ascii="Times New Roman" w:hAnsi="Times New Roman"/>
                <w:kern w:val="0"/>
                <w:sz w:val="24"/>
                <w:szCs w:val="24"/>
              </w:rPr>
            </w:pPr>
            <w:r>
              <w:rPr>
                <w:rFonts w:ascii="Times New Roman" w:hAnsi="Times New Roman"/>
                <w:kern w:val="0"/>
                <w:sz w:val="24"/>
                <w:szCs w:val="24"/>
              </w:rPr>
              <w:lastRenderedPageBreak/>
              <w:t>（</w:t>
            </w:r>
            <w:r>
              <w:rPr>
                <w:rFonts w:ascii="Times New Roman" w:hAnsi="Times New Roman"/>
                <w:kern w:val="0"/>
                <w:sz w:val="24"/>
                <w:szCs w:val="24"/>
              </w:rPr>
              <w:t>2</w:t>
            </w:r>
            <w:r>
              <w:rPr>
                <w:rFonts w:ascii="Times New Roman" w:hAnsi="Times New Roman"/>
                <w:kern w:val="0"/>
                <w:sz w:val="24"/>
                <w:szCs w:val="24"/>
              </w:rPr>
              <w:t>）土的颗粒级配，土中的结合水与自由水，土的结构和构造。</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lastRenderedPageBreak/>
              <w:t>要求学生掌握土的物质组成、掌握判别土体颗粒级配是否良好的方法、了解土中水气特征、掌握粘土与水的</w:t>
            </w:r>
            <w:r>
              <w:rPr>
                <w:rFonts w:ascii="Times New Roman" w:hAnsi="Times New Roman"/>
                <w:kern w:val="0"/>
                <w:sz w:val="24"/>
                <w:szCs w:val="24"/>
              </w:rPr>
              <w:lastRenderedPageBreak/>
              <w:t>相互作用对土性质的影响、掌握土的结构。</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lastRenderedPageBreak/>
              <w:t>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w:t>
            </w:r>
            <w:r>
              <w:rPr>
                <w:rFonts w:ascii="Times New Roman" w:hAnsi="Times New Roman" w:hint="eastAsia"/>
                <w:kern w:val="0"/>
                <w:sz w:val="24"/>
                <w:szCs w:val="24"/>
              </w:rPr>
              <w:lastRenderedPageBreak/>
              <w:t>达土木工程专业复杂工程问题，并能选择合适的方法进行分析和求解”；</w:t>
            </w:r>
          </w:p>
        </w:tc>
      </w:tr>
      <w:tr w:rsidR="00494448" w:rsidTr="00BE5664">
        <w:trPr>
          <w:trHeight w:val="555"/>
        </w:trPr>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lastRenderedPageBreak/>
              <w:t>3</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t>土的物理性质及分类</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hAnsi="Times New Roman"/>
                <w:kern w:val="0"/>
                <w:sz w:val="24"/>
                <w:szCs w:val="24"/>
              </w:rPr>
              <w:t>3</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）土的物理性质指标：土的三相草图，物理性质指标的定义及换算。</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）土的物理状态指标：无粘性土的密实度；粘性土的稠度（液限、塑限、塑性指数、液性指数）、结构性（灵敏度）、触变性等基本概念；粘性土液限和塑限的室内测定。</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）土的压实性：土的击实原理，影响粘性土压实性的因素，压实度，无粘性土的压实性。</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）土的工程分类：土的工程分类原则，土的类别与其工程性质的关系。</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要求学生掌握土的物理性质指标、物理状态指标、压实性及工程分类。</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4</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土的渗透性</w:t>
            </w:r>
            <w:r>
              <w:rPr>
                <w:rFonts w:ascii="Times New Roman" w:eastAsia="华文中宋" w:hAnsi="Times New Roman"/>
                <w:sz w:val="24"/>
                <w:szCs w:val="24"/>
              </w:rPr>
              <w:lastRenderedPageBreak/>
              <w:t>与渗流</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lastRenderedPageBreak/>
              <w:t>3</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）土的渗透性：达西定律。</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）渗透系数的测定及其影响因素。</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）二维渗流、流网及工程应用。</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）渗透力与渗透破坏。</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要求学生掌握土的渗透规律、二维渗流及流网、渗透力与渗透破坏，能够熟练运用本章知识进行渗流计算与分析。</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w:t>
            </w:r>
            <w:r>
              <w:rPr>
                <w:rFonts w:ascii="Times New Roman" w:hAnsi="Times New Roman" w:hint="eastAsia"/>
                <w:kern w:val="0"/>
                <w:sz w:val="24"/>
                <w:szCs w:val="24"/>
              </w:rPr>
              <w:lastRenderedPageBreak/>
              <w:t>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lastRenderedPageBreak/>
              <w:t>5</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土中的应力</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4</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）饱和土的有效应力原理。</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）自重应力的概念及其计算方法。</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）基底压力、基底附加压力的概念及简化计算。</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）地基附加应力的概念及其计算方法、角点法。</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要求学生能够熟练运用本章知识计算地基中的应力。</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6</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土的压缩性</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2</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）土的压缩性：压缩试验、压缩性指标、天然土层的固结状态。</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）地基最终沉降量计算（采用</w:t>
            </w:r>
            <w:r>
              <w:rPr>
                <w:rFonts w:ascii="Times New Roman" w:hAnsi="Times New Roman"/>
                <w:kern w:val="0"/>
                <w:sz w:val="24"/>
                <w:szCs w:val="24"/>
              </w:rPr>
              <w:t>e~p</w:t>
            </w:r>
            <w:r>
              <w:rPr>
                <w:rFonts w:ascii="Times New Roman" w:hAnsi="Times New Roman"/>
                <w:kern w:val="0"/>
                <w:sz w:val="24"/>
                <w:szCs w:val="24"/>
              </w:rPr>
              <w:t>曲线和</w:t>
            </w:r>
            <w:r>
              <w:rPr>
                <w:rFonts w:ascii="Times New Roman" w:hAnsi="Times New Roman"/>
                <w:kern w:val="0"/>
                <w:sz w:val="24"/>
                <w:szCs w:val="24"/>
              </w:rPr>
              <w:t>e~lgp</w:t>
            </w:r>
            <w:r>
              <w:rPr>
                <w:rFonts w:ascii="Times New Roman" w:hAnsi="Times New Roman"/>
                <w:kern w:val="0"/>
                <w:sz w:val="24"/>
                <w:szCs w:val="24"/>
              </w:rPr>
              <w:t>曲线）。</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掌握土的压缩特性和土体压缩性指标</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7</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eastAsia="华文中宋" w:hAnsi="Times New Roman"/>
                <w:sz w:val="24"/>
                <w:szCs w:val="24"/>
              </w:rPr>
              <w:t>地基变形</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4</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）地基最终沉降量计算（采用</w:t>
            </w:r>
            <w:r>
              <w:rPr>
                <w:rFonts w:ascii="Times New Roman" w:hAnsi="Times New Roman"/>
                <w:kern w:val="0"/>
                <w:sz w:val="24"/>
                <w:szCs w:val="24"/>
              </w:rPr>
              <w:t>e~p</w:t>
            </w:r>
            <w:r>
              <w:rPr>
                <w:rFonts w:ascii="Times New Roman" w:hAnsi="Times New Roman"/>
                <w:kern w:val="0"/>
                <w:sz w:val="24"/>
                <w:szCs w:val="24"/>
              </w:rPr>
              <w:t>曲线和</w:t>
            </w:r>
            <w:r>
              <w:rPr>
                <w:rFonts w:ascii="Times New Roman" w:hAnsi="Times New Roman"/>
                <w:kern w:val="0"/>
                <w:sz w:val="24"/>
                <w:szCs w:val="24"/>
              </w:rPr>
              <w:t>e~lgp</w:t>
            </w:r>
            <w:r>
              <w:rPr>
                <w:rFonts w:ascii="Times New Roman" w:hAnsi="Times New Roman"/>
                <w:kern w:val="0"/>
                <w:sz w:val="24"/>
                <w:szCs w:val="24"/>
              </w:rPr>
              <w:t>曲线）。</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）地基沉降量与时间的关系，饱和土的渗透固结理论。</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要求学生能够熟练运用本章知识进行地基沉降计算。</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w:t>
            </w:r>
            <w:r>
              <w:rPr>
                <w:rFonts w:ascii="Times New Roman" w:hAnsi="Times New Roman" w:hint="eastAsia"/>
                <w:kern w:val="0"/>
                <w:sz w:val="24"/>
                <w:szCs w:val="24"/>
              </w:rPr>
              <w:lastRenderedPageBreak/>
              <w:t>识和方法，正确识别和表达土木工程专业复杂工程问题，并能选择合适的方法进行分析和求解”和“指标点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lastRenderedPageBreak/>
              <w:t>8</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土的抗剪强度</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4</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）土的抗剪强度的概念，莫尔</w:t>
            </w:r>
            <w:r>
              <w:rPr>
                <w:rFonts w:ascii="Times New Roman" w:hAnsi="Times New Roman"/>
                <w:kern w:val="0"/>
                <w:sz w:val="24"/>
                <w:szCs w:val="24"/>
              </w:rPr>
              <w:t>-</w:t>
            </w:r>
            <w:r>
              <w:rPr>
                <w:rFonts w:ascii="Times New Roman" w:hAnsi="Times New Roman"/>
                <w:kern w:val="0"/>
                <w:sz w:val="24"/>
                <w:szCs w:val="24"/>
              </w:rPr>
              <w:t>库伦强度准则，土的极限平衡条件。</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）抗剪强度的测定方法：直接剪切试验、三轴剪切试验、无侧限抗压强度试验。</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）不同固结和排水条件下土的抗剪强度指标。</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）应力路径的概念。</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要求学生掌握土的抗剪强度的基本理论及测定方法。</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9</w:t>
            </w:r>
          </w:p>
        </w:tc>
        <w:tc>
          <w:tcPr>
            <w:tcW w:w="0" w:type="auto"/>
            <w:vAlign w:val="center"/>
          </w:tcPr>
          <w:p w:rsidR="00494448" w:rsidRDefault="00494448" w:rsidP="00BE5664">
            <w:pPr>
              <w:jc w:val="center"/>
              <w:rPr>
                <w:rFonts w:ascii="Times New Roman" w:hAnsi="Times New Roman"/>
                <w:kern w:val="0"/>
                <w:sz w:val="24"/>
                <w:szCs w:val="24"/>
              </w:rPr>
            </w:pPr>
            <w:r>
              <w:rPr>
                <w:rFonts w:ascii="Times New Roman" w:eastAsia="华文中宋" w:hAnsi="Times New Roman"/>
                <w:sz w:val="24"/>
                <w:szCs w:val="24"/>
              </w:rPr>
              <w:t>土压力</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6</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）静止土压力、主动土压力、被动土压力的形成条件。</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）朗肯和库伦土压力理论。</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）有超载、成层土、有地下水情况下的土压力计算。</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要求学生能够计算作用于挡土墙背上的三种土压力。</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10</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地基承载</w:t>
            </w:r>
            <w:r>
              <w:rPr>
                <w:rFonts w:ascii="Times New Roman" w:eastAsia="华文中宋" w:hAnsi="Times New Roman"/>
                <w:sz w:val="24"/>
                <w:szCs w:val="24"/>
              </w:rPr>
              <w:lastRenderedPageBreak/>
              <w:t>力</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lastRenderedPageBreak/>
              <w:t>2</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）地基的失稳破坏形式及其影响因素。</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）地基的临塑荷载和临界荷载计算方法。</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）地基的极限承载力计算方法。</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要求学生能够利用本章知识计算地基承载力。</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w:t>
            </w:r>
            <w:r>
              <w:rPr>
                <w:rFonts w:ascii="Times New Roman" w:hAnsi="Times New Roman" w:hint="eastAsia"/>
                <w:kern w:val="0"/>
                <w:sz w:val="24"/>
                <w:szCs w:val="24"/>
              </w:rPr>
              <w:lastRenderedPageBreak/>
              <w:t>达土木工程专业复杂工程问题，并能选择合适的方法进行分析和求解”；</w:t>
            </w:r>
          </w:p>
        </w:tc>
      </w:tr>
      <w:tr w:rsidR="00494448" w:rsidTr="00BE5664">
        <w:trPr>
          <w:trHeight w:val="548"/>
        </w:trPr>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lastRenderedPageBreak/>
              <w:t>11</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土坡和地基的稳定性</w:t>
            </w:r>
          </w:p>
        </w:tc>
        <w:tc>
          <w:tcPr>
            <w:tcW w:w="0" w:type="auto"/>
            <w:vAlign w:val="center"/>
          </w:tcPr>
          <w:p w:rsidR="00494448" w:rsidRDefault="00494448" w:rsidP="00BE5664">
            <w:pPr>
              <w:jc w:val="center"/>
              <w:rPr>
                <w:rFonts w:ascii="Times New Roman" w:eastAsia="华文中宋" w:hAnsi="Times New Roman"/>
                <w:sz w:val="24"/>
                <w:szCs w:val="24"/>
              </w:rPr>
            </w:pPr>
            <w:r>
              <w:rPr>
                <w:rFonts w:ascii="Times New Roman" w:eastAsia="华文中宋" w:hAnsi="Times New Roman"/>
                <w:sz w:val="24"/>
                <w:szCs w:val="24"/>
              </w:rPr>
              <w:t>3</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）无粘性土坡的稳定性分析方法。</w:t>
            </w:r>
          </w:p>
          <w:p w:rsidR="00494448" w:rsidRDefault="0049444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）粘性土坡的稳定性分析方法：瑞典圆弧法、条分法、</w:t>
            </w:r>
            <w:r>
              <w:rPr>
                <w:rFonts w:ascii="Times New Roman" w:hAnsi="Times New Roman"/>
                <w:kern w:val="0"/>
                <w:sz w:val="24"/>
                <w:szCs w:val="24"/>
              </w:rPr>
              <w:t>Bishop</w:t>
            </w:r>
            <w:r>
              <w:rPr>
                <w:rFonts w:ascii="Times New Roman" w:hAnsi="Times New Roman"/>
                <w:kern w:val="0"/>
                <w:sz w:val="24"/>
                <w:szCs w:val="24"/>
              </w:rPr>
              <w:t>法等其它常用分析方法。</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kern w:val="0"/>
                <w:sz w:val="24"/>
                <w:szCs w:val="24"/>
              </w:rPr>
              <w:t>要求学生掌握土坡稳定性分析的基本理论及方法。</w:t>
            </w:r>
          </w:p>
        </w:tc>
        <w:tc>
          <w:tcPr>
            <w:tcW w:w="0" w:type="auto"/>
            <w:vAlign w:val="center"/>
          </w:tcPr>
          <w:p w:rsidR="00494448" w:rsidRDefault="0049444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bl>
    <w:p w:rsidR="00494448" w:rsidRDefault="00494448" w:rsidP="0049444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五、课程考核方式与成绩评定</w:t>
      </w:r>
    </w:p>
    <w:p w:rsidR="00494448" w:rsidRDefault="00494448" w:rsidP="00494448">
      <w:pPr>
        <w:snapToGrid w:val="0"/>
        <w:spacing w:line="360" w:lineRule="auto"/>
        <w:ind w:firstLineChars="200" w:firstLine="560"/>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课程考核</w:t>
      </w:r>
    </w:p>
    <w:p w:rsidR="00494448" w:rsidRDefault="00494448" w:rsidP="0049444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课程总评成绩由平时成绩、实验成绩和期终考试（闭卷）</w:t>
      </w:r>
      <w:r>
        <w:rPr>
          <w:rFonts w:ascii="Times New Roman" w:hAnsi="Times New Roman"/>
          <w:sz w:val="28"/>
          <w:szCs w:val="28"/>
        </w:rPr>
        <w:t>3</w:t>
      </w:r>
      <w:r>
        <w:rPr>
          <w:rFonts w:ascii="Times New Roman" w:hAnsi="Times New Roman"/>
          <w:sz w:val="28"/>
          <w:szCs w:val="28"/>
        </w:rPr>
        <w:t>个考核环节综合评定产生。</w:t>
      </w:r>
    </w:p>
    <w:p w:rsidR="00494448" w:rsidRDefault="00494448" w:rsidP="005F6318">
      <w:pPr>
        <w:numPr>
          <w:ilvl w:val="0"/>
          <w:numId w:val="2"/>
        </w:numPr>
        <w:spacing w:beforeLines="50" w:before="156" w:line="360" w:lineRule="auto"/>
        <w:ind w:firstLineChars="200" w:firstLine="560"/>
        <w:rPr>
          <w:rFonts w:ascii="Times New Roman" w:hAnsi="Times New Roman"/>
          <w:sz w:val="28"/>
          <w:szCs w:val="28"/>
        </w:rPr>
      </w:pPr>
      <w:r>
        <w:rPr>
          <w:rFonts w:ascii="Times New Roman" w:hAnsi="Times New Roman"/>
          <w:sz w:val="28"/>
          <w:szCs w:val="28"/>
        </w:rPr>
        <w:t>成绩评定</w:t>
      </w:r>
    </w:p>
    <w:p w:rsidR="00494448" w:rsidRDefault="00494448" w:rsidP="00494448">
      <w:pPr>
        <w:spacing w:line="360" w:lineRule="auto"/>
        <w:ind w:firstLineChars="200" w:firstLine="560"/>
        <w:rPr>
          <w:sz w:val="28"/>
          <w:szCs w:val="28"/>
        </w:rPr>
      </w:pPr>
      <w:r>
        <w:rPr>
          <w:rFonts w:ascii="Times New Roman" w:hAnsi="Times New Roman"/>
          <w:sz w:val="28"/>
          <w:szCs w:val="28"/>
        </w:rPr>
        <w:t>成绩评定方式</w:t>
      </w:r>
      <w:r>
        <w:rPr>
          <w:rFonts w:ascii="Times New Roman" w:hAnsi="Times New Roman" w:hint="eastAsia"/>
          <w:sz w:val="28"/>
          <w:szCs w:val="28"/>
        </w:rPr>
        <w:t>为百分制</w:t>
      </w:r>
    </w:p>
    <w:p w:rsidR="00494448" w:rsidRDefault="00494448" w:rsidP="00494448">
      <w:pPr>
        <w:spacing w:line="360" w:lineRule="auto"/>
        <w:ind w:firstLineChars="200" w:firstLine="560"/>
        <w:rPr>
          <w:sz w:val="28"/>
          <w:szCs w:val="28"/>
        </w:rPr>
      </w:pPr>
      <w:r>
        <w:rPr>
          <w:sz w:val="28"/>
          <w:szCs w:val="28"/>
        </w:rPr>
        <w:t>课程总成绩</w:t>
      </w:r>
      <w:r>
        <w:rPr>
          <w:sz w:val="28"/>
          <w:szCs w:val="28"/>
        </w:rPr>
        <w:t>=</w:t>
      </w:r>
      <w:r>
        <w:rPr>
          <w:sz w:val="28"/>
          <w:szCs w:val="28"/>
        </w:rPr>
        <w:t>期末成绩</w:t>
      </w:r>
      <w:r>
        <w:rPr>
          <w:sz w:val="28"/>
          <w:szCs w:val="28"/>
        </w:rPr>
        <w:t>70</w:t>
      </w:r>
      <w:r>
        <w:rPr>
          <w:rFonts w:hint="eastAsia"/>
          <w:sz w:val="28"/>
          <w:szCs w:val="28"/>
        </w:rPr>
        <w:t>%+</w:t>
      </w:r>
      <w:r>
        <w:rPr>
          <w:rFonts w:hint="eastAsia"/>
          <w:sz w:val="28"/>
          <w:szCs w:val="28"/>
        </w:rPr>
        <w:t>平时</w:t>
      </w:r>
      <w:r>
        <w:rPr>
          <w:sz w:val="28"/>
          <w:szCs w:val="28"/>
        </w:rPr>
        <w:t>成绩</w:t>
      </w:r>
      <w:r>
        <w:rPr>
          <w:sz w:val="28"/>
          <w:szCs w:val="28"/>
        </w:rPr>
        <w:t>20</w:t>
      </w:r>
      <w:r>
        <w:rPr>
          <w:rFonts w:hint="eastAsia"/>
          <w:sz w:val="28"/>
          <w:szCs w:val="28"/>
        </w:rPr>
        <w:t>%+</w:t>
      </w:r>
      <w:r>
        <w:rPr>
          <w:rFonts w:hint="eastAsia"/>
          <w:sz w:val="28"/>
          <w:szCs w:val="28"/>
        </w:rPr>
        <w:t>实验成绩</w:t>
      </w:r>
      <w:r>
        <w:rPr>
          <w:rFonts w:hint="eastAsia"/>
          <w:sz w:val="28"/>
          <w:szCs w:val="28"/>
        </w:rPr>
        <w:t>1</w:t>
      </w:r>
      <w:r>
        <w:rPr>
          <w:sz w:val="28"/>
          <w:szCs w:val="28"/>
        </w:rPr>
        <w:t>0%</w:t>
      </w:r>
    </w:p>
    <w:p w:rsidR="00494448" w:rsidRDefault="00494448" w:rsidP="00494448">
      <w:pPr>
        <w:spacing w:line="360" w:lineRule="auto"/>
        <w:ind w:firstLineChars="200" w:firstLine="560"/>
        <w:rPr>
          <w:rFonts w:ascii="Times New Roman" w:hAnsi="Times New Roman"/>
          <w:sz w:val="28"/>
          <w:szCs w:val="28"/>
        </w:rPr>
      </w:pPr>
      <w:r>
        <w:rPr>
          <w:rFonts w:ascii="Times New Roman" w:hAnsi="Times New Roman"/>
          <w:sz w:val="28"/>
          <w:szCs w:val="28"/>
        </w:rPr>
        <w:t>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4637"/>
        <w:gridCol w:w="1667"/>
      </w:tblGrid>
      <w:tr w:rsidR="00494448" w:rsidTr="00BE5664">
        <w:trPr>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b/>
                <w:sz w:val="24"/>
                <w:szCs w:val="24"/>
              </w:rPr>
            </w:pPr>
            <w:r>
              <w:rPr>
                <w:rFonts w:ascii="Times New Roman" w:hAnsi="Times New Roman"/>
                <w:b/>
                <w:sz w:val="24"/>
                <w:szCs w:val="24"/>
              </w:rPr>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b/>
                <w:sz w:val="24"/>
                <w:szCs w:val="24"/>
              </w:rPr>
            </w:pPr>
            <w:r>
              <w:rPr>
                <w:rFonts w:ascii="Times New Roman" w:hAnsi="Times New Roman"/>
                <w:b/>
                <w:sz w:val="24"/>
                <w:szCs w:val="24"/>
              </w:rPr>
              <w:t>教学目标</w:t>
            </w:r>
          </w:p>
        </w:tc>
      </w:tr>
      <w:tr w:rsidR="00494448" w:rsidTr="00BE5664">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b/>
                <w:sz w:val="24"/>
                <w:szCs w:val="24"/>
              </w:rPr>
            </w:pPr>
            <w:r>
              <w:rPr>
                <w:rFonts w:ascii="Times New Roman" w:hAnsi="Times New Roman"/>
                <w:b/>
                <w:sz w:val="24"/>
                <w:szCs w:val="24"/>
              </w:rPr>
              <w:t>分项比例</w:t>
            </w:r>
          </w:p>
        </w:tc>
        <w:tc>
          <w:tcPr>
            <w:tcW w:w="2795" w:type="pct"/>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b/>
                <w:sz w:val="24"/>
                <w:szCs w:val="24"/>
              </w:rPr>
            </w:pPr>
            <w:r>
              <w:rPr>
                <w:rFonts w:ascii="Times New Roman" w:hAnsi="Times New Roman"/>
                <w:b/>
                <w:sz w:val="24"/>
                <w:szCs w:val="24"/>
              </w:rPr>
              <w:t>考核要求</w:t>
            </w:r>
          </w:p>
        </w:tc>
        <w:tc>
          <w:tcPr>
            <w:tcW w:w="1005" w:type="pct"/>
            <w:vMerge/>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sz w:val="24"/>
                <w:szCs w:val="24"/>
              </w:rPr>
            </w:pPr>
          </w:p>
        </w:tc>
      </w:tr>
      <w:tr w:rsidR="00494448" w:rsidTr="00BE5664">
        <w:trPr>
          <w:trHeight w:val="1500"/>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lastRenderedPageBreak/>
              <w:t>平时成绩</w:t>
            </w:r>
          </w:p>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494448" w:rsidRDefault="00494448" w:rsidP="00BE5664">
            <w:pPr>
              <w:rPr>
                <w:rFonts w:ascii="Times New Roman" w:hAnsi="Times New Roman"/>
                <w:sz w:val="24"/>
                <w:szCs w:val="24"/>
              </w:rPr>
            </w:pPr>
            <w:r>
              <w:rPr>
                <w:rFonts w:ascii="Times New Roman" w:hAnsi="Times New Roman"/>
                <w:sz w:val="24"/>
                <w:szCs w:val="24"/>
              </w:rPr>
              <w:t>出勤统计不少于授课次数的</w:t>
            </w:r>
            <w:r>
              <w:rPr>
                <w:rFonts w:ascii="Times New Roman" w:hAnsi="Times New Roman"/>
                <w:sz w:val="24"/>
                <w:szCs w:val="24"/>
              </w:rPr>
              <w:t xml:space="preserve"> 2/3</w:t>
            </w:r>
            <w:r>
              <w:rPr>
                <w:rFonts w:ascii="Times New Roman" w:hAnsi="Times New Roman"/>
                <w:sz w:val="24"/>
                <w:szCs w:val="24"/>
              </w:rPr>
              <w:t>，重点考察学生的课堂表现，占</w:t>
            </w:r>
            <w:r>
              <w:rPr>
                <w:rFonts w:ascii="Times New Roman" w:hAnsi="Times New Roman"/>
                <w:sz w:val="24"/>
                <w:szCs w:val="24"/>
              </w:rPr>
              <w:t xml:space="preserve"> 20%</w:t>
            </w:r>
            <w:r>
              <w:rPr>
                <w:rFonts w:ascii="Times New Roman" w:hAnsi="Times New Roman"/>
                <w:sz w:val="24"/>
                <w:szCs w:val="24"/>
              </w:rPr>
              <w:t>；课后作业布置</w:t>
            </w:r>
            <w:r>
              <w:rPr>
                <w:rFonts w:ascii="Times New Roman" w:hAnsi="Times New Roman"/>
                <w:sz w:val="24"/>
                <w:szCs w:val="24"/>
              </w:rPr>
              <w:t>8</w:t>
            </w:r>
            <w:r>
              <w:rPr>
                <w:rFonts w:ascii="Times New Roman" w:hAnsi="Times New Roman"/>
                <w:sz w:val="24"/>
                <w:szCs w:val="24"/>
              </w:rPr>
              <w:t>次；通过课后作业考核学生对应力计算、沉降计算、强度计算、土压力计算、地基承载力计算的掌握情况，以及运用图表、文字等准确表达复杂工程问题的能力，占</w:t>
            </w:r>
            <w:r>
              <w:rPr>
                <w:rFonts w:ascii="Times New Roman" w:hAnsi="Times New Roman"/>
                <w:sz w:val="24"/>
                <w:szCs w:val="24"/>
              </w:rPr>
              <w:t xml:space="preserve"> 80%</w:t>
            </w:r>
            <w:r>
              <w:rPr>
                <w:rFonts w:ascii="Times New Roman" w:hAnsi="Times New Roman"/>
                <w:sz w:val="24"/>
                <w:szCs w:val="24"/>
              </w:rPr>
              <w:t>。</w:t>
            </w:r>
          </w:p>
        </w:tc>
        <w:tc>
          <w:tcPr>
            <w:tcW w:w="1005" w:type="pct"/>
            <w:tcBorders>
              <w:top w:val="single" w:sz="4" w:space="0" w:color="auto"/>
              <w:left w:val="single" w:sz="4" w:space="0" w:color="auto"/>
              <w:right w:val="single" w:sz="4" w:space="0" w:color="auto"/>
            </w:tcBorders>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494448" w:rsidTr="00BE5664">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实验成绩</w:t>
            </w:r>
          </w:p>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10%</w:t>
            </w:r>
            <w:r>
              <w:rPr>
                <w:rFonts w:ascii="Times New Roman" w:hAnsi="Times New Roman"/>
                <w:sz w:val="24"/>
                <w:szCs w:val="24"/>
              </w:rPr>
              <w:t>）</w:t>
            </w:r>
          </w:p>
        </w:tc>
        <w:tc>
          <w:tcPr>
            <w:tcW w:w="2795" w:type="pct"/>
            <w:tcBorders>
              <w:top w:val="single" w:sz="4" w:space="0" w:color="auto"/>
              <w:left w:val="single" w:sz="4" w:space="0" w:color="auto"/>
              <w:bottom w:val="single" w:sz="4" w:space="0" w:color="auto"/>
              <w:right w:val="single" w:sz="4" w:space="0" w:color="auto"/>
            </w:tcBorders>
            <w:vAlign w:val="center"/>
          </w:tcPr>
          <w:p w:rsidR="00494448" w:rsidRDefault="00494448" w:rsidP="00BE5664">
            <w:pPr>
              <w:rPr>
                <w:rFonts w:ascii="Times New Roman" w:hAnsi="Times New Roman"/>
                <w:sz w:val="24"/>
                <w:szCs w:val="24"/>
              </w:rPr>
            </w:pPr>
            <w:r>
              <w:rPr>
                <w:rFonts w:ascii="Times New Roman" w:hAnsi="Times New Roman"/>
                <w:sz w:val="24"/>
                <w:szCs w:val="24"/>
              </w:rPr>
              <w:t>课内实验共计</w:t>
            </w:r>
            <w:r>
              <w:rPr>
                <w:rFonts w:ascii="Times New Roman" w:hAnsi="Times New Roman"/>
                <w:sz w:val="24"/>
                <w:szCs w:val="24"/>
              </w:rPr>
              <w:t xml:space="preserve">3 </w:t>
            </w:r>
            <w:r>
              <w:rPr>
                <w:rFonts w:ascii="Times New Roman" w:hAnsi="Times New Roman"/>
                <w:sz w:val="24"/>
                <w:szCs w:val="24"/>
              </w:rPr>
              <w:t>项；通过实验操作以及实验报告整理，考核学生对土压缩和强度实验的细致观察和操作动手能力，以及利用所学知识分析评价实验结果和文字表达能力。</w:t>
            </w:r>
          </w:p>
        </w:tc>
        <w:tc>
          <w:tcPr>
            <w:tcW w:w="1005" w:type="pct"/>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r>
      <w:tr w:rsidR="00494448" w:rsidTr="00BE5664">
        <w:trPr>
          <w:trHeight w:val="900"/>
          <w:jc w:val="center"/>
        </w:trPr>
        <w:tc>
          <w:tcPr>
            <w:tcW w:w="1200" w:type="pct"/>
            <w:tcBorders>
              <w:top w:val="single" w:sz="4" w:space="0" w:color="auto"/>
              <w:left w:val="single" w:sz="4" w:space="0" w:color="auto"/>
              <w:bottom w:val="single" w:sz="4" w:space="0" w:color="auto"/>
              <w:right w:val="single" w:sz="4" w:space="0" w:color="auto"/>
            </w:tcBorders>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期终考试</w:t>
            </w:r>
          </w:p>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70%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494448" w:rsidRDefault="00494448" w:rsidP="00BE5664">
            <w:pPr>
              <w:rPr>
                <w:rFonts w:ascii="Times New Roman" w:hAnsi="Times New Roman"/>
                <w:sz w:val="24"/>
                <w:szCs w:val="24"/>
              </w:rPr>
            </w:pPr>
            <w:r>
              <w:rPr>
                <w:rFonts w:ascii="Times New Roman" w:hAnsi="Times New Roman"/>
                <w:sz w:val="24"/>
                <w:szCs w:val="24"/>
              </w:rPr>
              <w:t>期末考试采用闭卷形式。考试范围基本涵盖所有讲授内容，考试内容主要反映学生对本课程计算和分析问题方法等理解和掌握的程度，以及综合运用的能力。</w:t>
            </w:r>
          </w:p>
        </w:tc>
        <w:tc>
          <w:tcPr>
            <w:tcW w:w="1005" w:type="pct"/>
            <w:tcBorders>
              <w:top w:val="single" w:sz="4" w:space="0" w:color="auto"/>
              <w:left w:val="single" w:sz="4" w:space="0" w:color="auto"/>
              <w:right w:val="single" w:sz="4" w:space="0" w:color="auto"/>
            </w:tcBorders>
            <w:vAlign w:val="center"/>
          </w:tcPr>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494448" w:rsidRDefault="0049444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bl>
    <w:p w:rsidR="00494448" w:rsidRDefault="00494448" w:rsidP="00494448">
      <w:pPr>
        <w:spacing w:beforeLines="50" w:before="156" w:line="360" w:lineRule="auto"/>
        <w:ind w:left="560"/>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课程目标达成度自评方式</w:t>
      </w:r>
    </w:p>
    <w:p w:rsidR="00494448" w:rsidRDefault="00494448" w:rsidP="0049444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据学院教学管理规定，在开展课程达成度评价前，课程评价审核小组对课程的评价依据合理性进行确认，包括平时作业、实验、期终考试等考核环节。课程结束后，课程小组需要对课程进行达成度评价，课程小组由课程负责人和任课教师组成，统计课程考核数据，并填写</w:t>
      </w:r>
      <w:r>
        <w:rPr>
          <w:rFonts w:ascii="Times New Roman" w:hAnsi="Times New Roman"/>
          <w:sz w:val="28"/>
          <w:szCs w:val="28"/>
        </w:rPr>
        <w:t>“</w:t>
      </w:r>
      <w:r>
        <w:rPr>
          <w:rFonts w:ascii="Times New Roman" w:hAnsi="Times New Roman"/>
          <w:sz w:val="28"/>
          <w:szCs w:val="28"/>
        </w:rPr>
        <w:t>《土力学》课程达成情况评价</w:t>
      </w:r>
      <w:r>
        <w:rPr>
          <w:rFonts w:ascii="Times New Roman" w:hAnsi="Times New Roman"/>
          <w:sz w:val="28"/>
          <w:szCs w:val="28"/>
        </w:rPr>
        <w:t>”</w:t>
      </w:r>
      <w:r>
        <w:rPr>
          <w:rFonts w:ascii="Times New Roman" w:hAnsi="Times New Roman"/>
          <w:sz w:val="28"/>
          <w:szCs w:val="28"/>
        </w:rPr>
        <w:t>报告，以便及时了解课程的达成效果，发现问题并进行持续改进，同时也为毕业要求达成度的评价提供基础数据。</w:t>
      </w:r>
    </w:p>
    <w:p w:rsidR="00494448" w:rsidRDefault="00494448" w:rsidP="0049444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根据课程的考核形式，全部或抽样部分考核资料（应以当年修读该课程的学生为总体，至少抽取</w:t>
      </w:r>
      <w:r>
        <w:rPr>
          <w:rFonts w:ascii="Times New Roman" w:hAnsi="Times New Roman"/>
          <w:sz w:val="28"/>
          <w:szCs w:val="28"/>
        </w:rPr>
        <w:t>90%</w:t>
      </w:r>
      <w:r>
        <w:rPr>
          <w:rFonts w:ascii="Times New Roman" w:hAnsi="Times New Roman"/>
          <w:sz w:val="28"/>
          <w:szCs w:val="28"/>
        </w:rPr>
        <w:t>以上的学生样本），抽样时需覆盖优、良、中、及格和不及格等考核等级的考核资料。课程达成度的具体评价方法，详见</w:t>
      </w:r>
      <w:r>
        <w:rPr>
          <w:rFonts w:ascii="Times New Roman" w:hAnsi="Times New Roman"/>
          <w:sz w:val="28"/>
          <w:szCs w:val="28"/>
        </w:rPr>
        <w:t>“</w:t>
      </w:r>
      <w:r>
        <w:rPr>
          <w:rFonts w:ascii="Times New Roman" w:hAnsi="Times New Roman"/>
          <w:sz w:val="28"/>
          <w:szCs w:val="28"/>
        </w:rPr>
        <w:t>《土力学》课程达成情况评价</w:t>
      </w:r>
      <w:r>
        <w:rPr>
          <w:rFonts w:ascii="Times New Roman" w:hAnsi="Times New Roman"/>
          <w:sz w:val="28"/>
          <w:szCs w:val="28"/>
        </w:rPr>
        <w:t>”</w:t>
      </w:r>
      <w:r>
        <w:rPr>
          <w:rFonts w:ascii="Times New Roman" w:hAnsi="Times New Roman"/>
          <w:sz w:val="28"/>
          <w:szCs w:val="28"/>
        </w:rPr>
        <w:t>报告。课程小组提交课程达成度评价数据后，课程评价审核小组对评价数据的合理性和有效性进行审核。</w:t>
      </w:r>
    </w:p>
    <w:p w:rsidR="00494448" w:rsidRDefault="00494448" w:rsidP="00494448">
      <w:pPr>
        <w:adjustRightInd w:val="0"/>
        <w:snapToGrid w:val="0"/>
        <w:spacing w:afterLines="50" w:after="156" w:line="560" w:lineRule="exact"/>
        <w:ind w:firstLineChars="200" w:firstLine="560"/>
        <w:jc w:val="left"/>
        <w:rPr>
          <w:rFonts w:ascii="Times New Roman" w:hAnsi="Times New Roman"/>
          <w:sz w:val="28"/>
          <w:szCs w:val="28"/>
        </w:rPr>
      </w:pPr>
    </w:p>
    <w:p w:rsidR="00494448" w:rsidRDefault="00494448" w:rsidP="00494448">
      <w:pPr>
        <w:adjustRightInd w:val="0"/>
        <w:snapToGrid w:val="0"/>
        <w:spacing w:afterLines="50" w:after="156" w:line="560" w:lineRule="exact"/>
        <w:ind w:firstLineChars="200" w:firstLine="560"/>
        <w:jc w:val="left"/>
        <w:rPr>
          <w:rFonts w:ascii="Times New Roman" w:hAnsi="Times New Roman"/>
          <w:sz w:val="28"/>
          <w:szCs w:val="28"/>
        </w:rPr>
      </w:pPr>
    </w:p>
    <w:p w:rsidR="00494448" w:rsidRDefault="00494448" w:rsidP="0049444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494448" w:rsidRDefault="00494448" w:rsidP="00494448">
      <w:pPr>
        <w:spacing w:afterLines="50" w:after="156" w:line="560" w:lineRule="exact"/>
        <w:ind w:firstLineChars="147" w:firstLine="412"/>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、《土力学》，刘松玉主编，东南大学、浙江大学、湖南大学、苏州大学合编（第四版），中国建筑工业出版社；（本课程教材）；</w:t>
      </w:r>
    </w:p>
    <w:p w:rsidR="00494448" w:rsidRDefault="00494448" w:rsidP="00494448">
      <w:pPr>
        <w:spacing w:afterLines="50" w:after="156" w:line="560" w:lineRule="exact"/>
        <w:ind w:firstLineChars="147" w:firstLine="412"/>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、《土力学》（第二版），钱家欢主编，河海大学出版社；</w:t>
      </w:r>
    </w:p>
    <w:p w:rsidR="00494448" w:rsidRDefault="00494448" w:rsidP="00494448">
      <w:pPr>
        <w:spacing w:afterLines="50" w:after="156" w:line="560" w:lineRule="exact"/>
        <w:ind w:firstLineChars="147" w:firstLine="412"/>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w:t>
      </w:r>
      <w:r>
        <w:rPr>
          <w:rFonts w:ascii="Times New Roman" w:hAnsi="Times New Roman"/>
          <w:sz w:val="28"/>
          <w:szCs w:val="28"/>
        </w:rPr>
        <w:t>SOIL MECHANICS</w:t>
      </w:r>
      <w:r>
        <w:rPr>
          <w:rFonts w:ascii="Times New Roman" w:hAnsi="Times New Roman"/>
          <w:sz w:val="28"/>
          <w:szCs w:val="28"/>
        </w:rPr>
        <w:t>》，施建勇等，人民交通出版社。</w:t>
      </w:r>
    </w:p>
    <w:p w:rsidR="00494448" w:rsidRDefault="00494448" w:rsidP="00494448">
      <w:pPr>
        <w:spacing w:line="440" w:lineRule="exact"/>
        <w:rPr>
          <w:rFonts w:ascii="Times New Roman" w:eastAsia="黑体" w:hAnsi="Times New Roman"/>
          <w:b/>
          <w:sz w:val="28"/>
          <w:szCs w:val="28"/>
        </w:rPr>
      </w:pPr>
      <w:r>
        <w:rPr>
          <w:rFonts w:ascii="Times New Roman" w:eastAsia="黑体" w:hAnsi="Times New Roman" w:hint="eastAsia"/>
          <w:b/>
          <w:sz w:val="28"/>
          <w:szCs w:val="28"/>
        </w:rPr>
        <w:t>七</w:t>
      </w:r>
      <w:r>
        <w:rPr>
          <w:rFonts w:ascii="Times New Roman" w:eastAsia="黑体" w:hAnsi="Times New Roman"/>
          <w:b/>
          <w:sz w:val="28"/>
          <w:szCs w:val="28"/>
        </w:rPr>
        <w:t>、执行大纲应注意的问题</w:t>
      </w:r>
    </w:p>
    <w:p w:rsidR="00494448" w:rsidRDefault="00494448" w:rsidP="00494448">
      <w:pPr>
        <w:adjustRightInd w:val="0"/>
        <w:snapToGrid w:val="0"/>
        <w:spacing w:line="560" w:lineRule="exact"/>
        <w:ind w:firstLineChars="200" w:firstLine="560"/>
        <w:jc w:val="left"/>
        <w:rPr>
          <w:sz w:val="28"/>
          <w:szCs w:val="28"/>
        </w:rPr>
      </w:pPr>
      <w:r>
        <w:rPr>
          <w:sz w:val="28"/>
          <w:szCs w:val="28"/>
        </w:rPr>
        <w:t>1</w:t>
      </w:r>
      <w:r>
        <w:rPr>
          <w:sz w:val="28"/>
          <w:szCs w:val="28"/>
        </w:rPr>
        <w:t>、教学中应注重基本知识、基本理论和基本方法的讲授，注意精讲多练。</w:t>
      </w:r>
    </w:p>
    <w:p w:rsidR="00494448" w:rsidRDefault="00494448" w:rsidP="00494448">
      <w:pPr>
        <w:adjustRightInd w:val="0"/>
        <w:snapToGrid w:val="0"/>
        <w:spacing w:line="560" w:lineRule="exact"/>
        <w:ind w:firstLineChars="200" w:firstLine="560"/>
        <w:jc w:val="left"/>
        <w:rPr>
          <w:sz w:val="28"/>
          <w:szCs w:val="28"/>
        </w:rPr>
      </w:pPr>
      <w:r>
        <w:rPr>
          <w:sz w:val="28"/>
          <w:szCs w:val="28"/>
        </w:rPr>
        <w:t>2</w:t>
      </w:r>
      <w:r>
        <w:rPr>
          <w:sz w:val="28"/>
          <w:szCs w:val="28"/>
        </w:rPr>
        <w:t>、做好实验，重视学生实践能力的培养。要求学生亲自动手进行实验，并认真完成实验指导书上规定的内容。</w:t>
      </w:r>
    </w:p>
    <w:p w:rsidR="00494448" w:rsidRDefault="00494448" w:rsidP="00494448">
      <w:pPr>
        <w:adjustRightInd w:val="0"/>
        <w:snapToGrid w:val="0"/>
        <w:spacing w:line="560" w:lineRule="exact"/>
        <w:ind w:firstLineChars="200" w:firstLine="560"/>
        <w:jc w:val="left"/>
        <w:rPr>
          <w:sz w:val="28"/>
          <w:szCs w:val="28"/>
        </w:rPr>
      </w:pPr>
      <w:r>
        <w:rPr>
          <w:sz w:val="28"/>
          <w:szCs w:val="28"/>
        </w:rPr>
        <w:t>3</w:t>
      </w:r>
      <w:r>
        <w:rPr>
          <w:sz w:val="28"/>
          <w:szCs w:val="28"/>
        </w:rPr>
        <w:t>、教学内容的顺序及其安排仅供参考，教师可根据情况作适当调整。</w:t>
      </w:r>
    </w:p>
    <w:p w:rsidR="00494448" w:rsidRDefault="00494448" w:rsidP="00494448">
      <w:pPr>
        <w:spacing w:line="360" w:lineRule="auto"/>
        <w:ind w:firstLineChars="1200" w:firstLine="3360"/>
        <w:rPr>
          <w:rFonts w:ascii="Times New Roman" w:eastAsia="仿宋" w:hAnsi="Times New Roman"/>
          <w:sz w:val="28"/>
          <w:szCs w:val="28"/>
        </w:rPr>
      </w:pPr>
    </w:p>
    <w:p w:rsidR="00494448" w:rsidRDefault="00494448" w:rsidP="0049444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大纲撰写人：</w:t>
      </w:r>
    </w:p>
    <w:p w:rsidR="00494448" w:rsidRDefault="00494448" w:rsidP="0049444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课程负责人：</w:t>
      </w:r>
    </w:p>
    <w:p w:rsidR="00494448" w:rsidRDefault="00494448" w:rsidP="00EE2D67">
      <w:pPr>
        <w:spacing w:line="360" w:lineRule="auto"/>
        <w:ind w:firstLineChars="1200" w:firstLine="3360"/>
        <w:rPr>
          <w:rFonts w:ascii="Times New Roman" w:hAnsi="Times New Roman"/>
          <w:sz w:val="28"/>
          <w:szCs w:val="28"/>
        </w:rPr>
      </w:pPr>
      <w:r>
        <w:rPr>
          <w:rFonts w:ascii="Times New Roman" w:eastAsia="仿宋" w:hAnsi="Times New Roman"/>
          <w:sz w:val="28"/>
          <w:szCs w:val="28"/>
        </w:rPr>
        <w:t>审核人：</w:t>
      </w:r>
      <w:r>
        <w:rPr>
          <w:rFonts w:ascii="Times New Roman" w:hAnsi="Times New Roman"/>
          <w:sz w:val="28"/>
          <w:szCs w:val="28"/>
        </w:rPr>
        <w:t xml:space="preserve"> </w:t>
      </w:r>
    </w:p>
    <w:p w:rsidR="00494448" w:rsidRDefault="00494448" w:rsidP="00494448">
      <w:pPr>
        <w:jc w:val="left"/>
        <w:rPr>
          <w:rFonts w:ascii="Times New Roman" w:hAnsi="Times New Roman"/>
          <w:sz w:val="28"/>
          <w:szCs w:val="28"/>
        </w:rPr>
      </w:pPr>
      <w:r>
        <w:rPr>
          <w:rFonts w:ascii="Times New Roman" w:eastAsia="仿宋" w:hAnsi="Times New Roman"/>
          <w:sz w:val="28"/>
          <w:szCs w:val="28"/>
        </w:rPr>
        <w:t xml:space="preserve">                                         </w:t>
      </w:r>
      <w:r>
        <w:rPr>
          <w:rFonts w:ascii="Times New Roman" w:eastAsia="仿宋" w:hAnsi="Times New Roman"/>
          <w:sz w:val="28"/>
          <w:szCs w:val="28"/>
        </w:rPr>
        <w:t>年</w:t>
      </w:r>
      <w:r>
        <w:rPr>
          <w:rFonts w:ascii="Times New Roman" w:eastAsia="仿宋" w:hAnsi="Times New Roman"/>
          <w:sz w:val="28"/>
          <w:szCs w:val="28"/>
        </w:rPr>
        <w:t xml:space="preserve">    </w:t>
      </w:r>
      <w:r>
        <w:rPr>
          <w:rFonts w:ascii="Times New Roman" w:eastAsia="仿宋" w:hAnsi="Times New Roman"/>
          <w:sz w:val="28"/>
          <w:szCs w:val="28"/>
        </w:rPr>
        <w:t>月</w:t>
      </w:r>
    </w:p>
    <w:p w:rsidR="00EE2D67" w:rsidRDefault="00EE2D67" w:rsidP="00374D88">
      <w:pPr>
        <w:widowControl/>
        <w:spacing w:line="360" w:lineRule="auto"/>
        <w:jc w:val="center"/>
        <w:rPr>
          <w:rFonts w:ascii="方正小标宋简体" w:eastAsia="方正小标宋简体" w:hAnsi="宋体"/>
          <w:kern w:val="0"/>
          <w:szCs w:val="32"/>
        </w:rPr>
      </w:pPr>
    </w:p>
    <w:p w:rsidR="00EE2D67" w:rsidRDefault="00EE2D67" w:rsidP="00374D88">
      <w:pPr>
        <w:widowControl/>
        <w:spacing w:line="360" w:lineRule="auto"/>
        <w:jc w:val="center"/>
        <w:rPr>
          <w:rFonts w:ascii="方正小标宋简体" w:eastAsia="方正小标宋简体" w:hAnsi="宋体"/>
          <w:kern w:val="0"/>
          <w:szCs w:val="32"/>
        </w:rPr>
      </w:pPr>
    </w:p>
    <w:p w:rsidR="00EE2D67" w:rsidRDefault="00EE2D67" w:rsidP="00374D88">
      <w:pPr>
        <w:widowControl/>
        <w:spacing w:line="360" w:lineRule="auto"/>
        <w:jc w:val="center"/>
        <w:rPr>
          <w:rFonts w:ascii="方正小标宋简体" w:eastAsia="方正小标宋简体" w:hAnsi="宋体"/>
          <w:kern w:val="0"/>
          <w:szCs w:val="32"/>
        </w:rPr>
      </w:pPr>
    </w:p>
    <w:p w:rsidR="00EE2D67" w:rsidRDefault="00EE2D67" w:rsidP="00374D88">
      <w:pPr>
        <w:widowControl/>
        <w:spacing w:line="360" w:lineRule="auto"/>
        <w:jc w:val="center"/>
        <w:rPr>
          <w:rFonts w:ascii="方正小标宋简体" w:eastAsia="方正小标宋简体" w:hAnsi="宋体"/>
          <w:kern w:val="0"/>
          <w:szCs w:val="32"/>
        </w:rPr>
      </w:pPr>
    </w:p>
    <w:p w:rsidR="00374D88" w:rsidRDefault="00374D88" w:rsidP="00374D88">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《基础工程》课程教学大纲</w:t>
      </w:r>
    </w:p>
    <w:p w:rsidR="00374D88" w:rsidRDefault="00374D88" w:rsidP="00374D88">
      <w:pPr>
        <w:spacing w:line="360" w:lineRule="auto"/>
        <w:rPr>
          <w:rFonts w:ascii="黑体" w:eastAsia="黑体" w:hAnsi="黑体"/>
          <w:b/>
          <w:sz w:val="28"/>
          <w:szCs w:val="28"/>
        </w:rPr>
      </w:pPr>
      <w:r>
        <w:rPr>
          <w:rFonts w:ascii="黑体" w:eastAsia="黑体" w:hAnsi="黑体" w:hint="eastAsia"/>
          <w:b/>
          <w:sz w:val="28"/>
          <w:szCs w:val="28"/>
        </w:rPr>
        <w:t>一、课程信息</w:t>
      </w:r>
    </w:p>
    <w:p w:rsidR="00374D88" w:rsidRDefault="00374D88" w:rsidP="00374D88">
      <w:pPr>
        <w:spacing w:line="360" w:lineRule="auto"/>
        <w:ind w:firstLine="331"/>
        <w:rPr>
          <w:rFonts w:ascii="仿宋_GB2312" w:hAnsi="仿宋_GB2312" w:cs="仿宋_GB2312"/>
          <w:bCs/>
          <w:sz w:val="28"/>
          <w:szCs w:val="28"/>
        </w:rPr>
      </w:pPr>
      <w:r>
        <w:rPr>
          <w:rFonts w:ascii="仿宋_GB2312" w:hAnsi="仿宋_GB2312" w:cs="仿宋_GB2312"/>
          <w:bCs/>
          <w:sz w:val="28"/>
          <w:szCs w:val="28"/>
        </w:rPr>
        <w:t>英文名称：Foundation Engineering</w:t>
      </w:r>
    </w:p>
    <w:p w:rsidR="00374D88" w:rsidRDefault="00374D88" w:rsidP="00374D88">
      <w:pPr>
        <w:spacing w:line="360" w:lineRule="auto"/>
        <w:ind w:firstLine="331"/>
        <w:rPr>
          <w:rFonts w:ascii="仿宋_GB2312" w:hAnsi="仿宋_GB2312" w:cs="仿宋_GB2312"/>
          <w:bCs/>
          <w:sz w:val="28"/>
          <w:szCs w:val="28"/>
        </w:rPr>
      </w:pPr>
      <w:r>
        <w:rPr>
          <w:rFonts w:ascii="仿宋_GB2312" w:hAnsi="仿宋_GB2312" w:cs="仿宋_GB2312"/>
          <w:bCs/>
          <w:sz w:val="28"/>
          <w:szCs w:val="28"/>
        </w:rPr>
        <w:t>课程编码：Z2803040</w:t>
      </w:r>
    </w:p>
    <w:p w:rsidR="00374D88" w:rsidRDefault="00374D88" w:rsidP="00374D88">
      <w:pPr>
        <w:spacing w:line="360" w:lineRule="auto"/>
        <w:ind w:firstLine="331"/>
        <w:rPr>
          <w:rFonts w:ascii="仿宋_GB2312" w:hAnsi="仿宋_GB2312" w:cs="仿宋_GB2312"/>
          <w:bCs/>
          <w:sz w:val="28"/>
          <w:szCs w:val="28"/>
        </w:rPr>
      </w:pPr>
      <w:r>
        <w:rPr>
          <w:rFonts w:ascii="仿宋_GB2312" w:hAnsi="仿宋_GB2312" w:cs="仿宋_GB2312"/>
          <w:bCs/>
          <w:sz w:val="28"/>
          <w:szCs w:val="28"/>
        </w:rPr>
        <w:t>授课语言：</w:t>
      </w:r>
      <w:r>
        <w:rPr>
          <w:rFonts w:ascii="仿宋_GB2312" w:hAnsi="仿宋_GB2312" w:cs="仿宋_GB2312" w:hint="eastAsia"/>
          <w:bCs/>
          <w:sz w:val="28"/>
          <w:szCs w:val="28"/>
        </w:rPr>
        <w:t>汉语</w:t>
      </w:r>
    </w:p>
    <w:p w:rsidR="00374D88" w:rsidRDefault="00374D88" w:rsidP="00374D88">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授课方式：线下</w:t>
      </w:r>
    </w:p>
    <w:p w:rsidR="00374D88" w:rsidRDefault="00374D88" w:rsidP="00374D88">
      <w:pPr>
        <w:spacing w:line="360" w:lineRule="auto"/>
        <w:ind w:firstLine="331"/>
        <w:rPr>
          <w:rFonts w:ascii="仿宋_GB2312" w:hAnsi="仿宋_GB2312" w:cs="仿宋_GB2312"/>
          <w:bCs/>
          <w:sz w:val="28"/>
          <w:szCs w:val="28"/>
        </w:rPr>
      </w:pPr>
      <w:r>
        <w:rPr>
          <w:rFonts w:ascii="仿宋_GB2312" w:hAnsi="仿宋_GB2312" w:cs="仿宋_GB2312"/>
          <w:bCs/>
          <w:sz w:val="28"/>
          <w:szCs w:val="28"/>
        </w:rPr>
        <w:t>课程</w:t>
      </w:r>
      <w:r>
        <w:rPr>
          <w:rFonts w:ascii="仿宋_GB2312" w:hAnsi="仿宋_GB2312" w:cs="仿宋_GB2312" w:hint="eastAsia"/>
          <w:bCs/>
          <w:sz w:val="28"/>
          <w:szCs w:val="28"/>
        </w:rPr>
        <w:t>类别</w:t>
      </w:r>
      <w:r>
        <w:rPr>
          <w:rFonts w:ascii="仿宋_GB2312" w:hAnsi="仿宋_GB2312" w:cs="仿宋_GB2312"/>
          <w:bCs/>
          <w:sz w:val="28"/>
          <w:szCs w:val="28"/>
        </w:rPr>
        <w:t>：</w:t>
      </w:r>
      <w:r>
        <w:rPr>
          <w:rFonts w:ascii="仿宋_GB2312" w:hAnsi="仿宋_GB2312" w:cs="仿宋_GB2312" w:hint="eastAsia"/>
          <w:bCs/>
          <w:sz w:val="28"/>
          <w:szCs w:val="28"/>
        </w:rPr>
        <w:t>专业发展</w:t>
      </w:r>
    </w:p>
    <w:p w:rsidR="00374D88" w:rsidRDefault="00374D88" w:rsidP="00374D88">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374D88" w:rsidRDefault="00374D88" w:rsidP="00374D88">
      <w:pPr>
        <w:spacing w:line="360" w:lineRule="auto"/>
        <w:ind w:firstLine="331"/>
        <w:rPr>
          <w:rFonts w:ascii="仿宋_GB2312" w:hAnsi="仿宋_GB2312" w:cs="仿宋_GB2312"/>
          <w:bCs/>
          <w:sz w:val="28"/>
          <w:szCs w:val="28"/>
        </w:rPr>
      </w:pPr>
      <w:r>
        <w:rPr>
          <w:rFonts w:ascii="仿宋_GB2312" w:hAnsi="仿宋_GB2312" w:cs="仿宋_GB2312"/>
          <w:bCs/>
          <w:sz w:val="28"/>
          <w:szCs w:val="28"/>
        </w:rPr>
        <w:t>学分：2.0</w:t>
      </w:r>
    </w:p>
    <w:p w:rsidR="00374D88" w:rsidRDefault="00374D88" w:rsidP="00374D88">
      <w:pPr>
        <w:spacing w:line="360" w:lineRule="auto"/>
        <w:ind w:firstLine="331"/>
        <w:rPr>
          <w:rFonts w:ascii="仿宋_GB2312" w:hAnsi="仿宋_GB2312" w:cs="仿宋_GB2312"/>
          <w:bCs/>
          <w:sz w:val="28"/>
          <w:szCs w:val="28"/>
        </w:rPr>
      </w:pPr>
      <w:r>
        <w:rPr>
          <w:rFonts w:ascii="仿宋_GB2312" w:hAnsi="仿宋_GB2312" w:cs="仿宋_GB2312"/>
          <w:bCs/>
          <w:sz w:val="28"/>
          <w:szCs w:val="28"/>
        </w:rPr>
        <w:t>学时：32学时（授课32学时</w:t>
      </w:r>
      <w:r>
        <w:rPr>
          <w:rFonts w:ascii="仿宋_GB2312" w:hAnsi="仿宋_GB2312" w:cs="仿宋_GB2312" w:hint="eastAsia"/>
          <w:bCs/>
          <w:sz w:val="28"/>
          <w:szCs w:val="28"/>
        </w:rPr>
        <w:t>，实验</w:t>
      </w:r>
      <w:r>
        <w:rPr>
          <w:rFonts w:ascii="仿宋_GB2312" w:hAnsi="仿宋_GB2312" w:cs="仿宋_GB2312"/>
          <w:bCs/>
          <w:sz w:val="28"/>
          <w:szCs w:val="28"/>
        </w:rPr>
        <w:t>0学时</w:t>
      </w:r>
      <w:r>
        <w:rPr>
          <w:rFonts w:ascii="仿宋_GB2312" w:hAnsi="仿宋_GB2312" w:cs="仿宋_GB2312" w:hint="eastAsia"/>
          <w:bCs/>
          <w:sz w:val="28"/>
          <w:szCs w:val="28"/>
        </w:rPr>
        <w:t>，上机</w:t>
      </w:r>
      <w:r>
        <w:rPr>
          <w:rFonts w:ascii="仿宋_GB2312" w:hAnsi="仿宋_GB2312" w:cs="仿宋_GB2312"/>
          <w:bCs/>
          <w:sz w:val="28"/>
          <w:szCs w:val="28"/>
        </w:rPr>
        <w:t>0学时</w:t>
      </w:r>
      <w:r>
        <w:rPr>
          <w:rFonts w:ascii="仿宋_GB2312" w:hAnsi="仿宋_GB2312" w:cs="仿宋_GB2312" w:hint="eastAsia"/>
          <w:bCs/>
          <w:sz w:val="28"/>
          <w:szCs w:val="28"/>
        </w:rPr>
        <w:t>，课外</w:t>
      </w:r>
      <w:r>
        <w:rPr>
          <w:rFonts w:ascii="仿宋_GB2312" w:hAnsi="仿宋_GB2312" w:cs="仿宋_GB2312"/>
          <w:bCs/>
          <w:sz w:val="28"/>
          <w:szCs w:val="28"/>
        </w:rPr>
        <w:t>0学时）</w:t>
      </w:r>
    </w:p>
    <w:p w:rsidR="00374D88" w:rsidRDefault="00374D88" w:rsidP="00374D88">
      <w:pPr>
        <w:spacing w:line="360" w:lineRule="auto"/>
        <w:ind w:firstLine="331"/>
        <w:rPr>
          <w:rFonts w:ascii="仿宋_GB2312" w:hAnsi="仿宋_GB2312" w:cs="仿宋_GB2312"/>
          <w:bCs/>
          <w:sz w:val="28"/>
          <w:szCs w:val="28"/>
        </w:rPr>
      </w:pPr>
      <w:r>
        <w:rPr>
          <w:rFonts w:ascii="仿宋_GB2312" w:hAnsi="仿宋_GB2312" w:cs="仿宋_GB2312"/>
          <w:bCs/>
          <w:sz w:val="28"/>
          <w:szCs w:val="28"/>
        </w:rPr>
        <w:t>适用对象：</w:t>
      </w:r>
      <w:r>
        <w:rPr>
          <w:rFonts w:ascii="仿宋_GB2312" w:hAnsi="仿宋_GB2312" w:cs="仿宋_GB2312" w:hint="eastAsia"/>
          <w:bCs/>
          <w:sz w:val="28"/>
          <w:szCs w:val="28"/>
        </w:rPr>
        <w:t>四年制本科土木工程（建筑工程/地下空间方向）</w:t>
      </w:r>
      <w:r>
        <w:rPr>
          <w:rFonts w:ascii="仿宋_GB2312" w:hAnsi="仿宋_GB2312" w:cs="仿宋_GB2312"/>
          <w:bCs/>
          <w:sz w:val="28"/>
          <w:szCs w:val="28"/>
        </w:rPr>
        <w:t>专业</w:t>
      </w:r>
    </w:p>
    <w:p w:rsidR="00374D88" w:rsidRDefault="00374D88" w:rsidP="00374D88">
      <w:pPr>
        <w:spacing w:line="360" w:lineRule="auto"/>
        <w:ind w:firstLine="331"/>
        <w:rPr>
          <w:rFonts w:ascii="仿宋_GB2312" w:hAnsi="仿宋_GB2312" w:cs="仿宋_GB2312"/>
          <w:bCs/>
          <w:sz w:val="28"/>
          <w:szCs w:val="28"/>
        </w:rPr>
      </w:pPr>
      <w:r>
        <w:rPr>
          <w:rFonts w:ascii="仿宋_GB2312" w:hAnsi="仿宋_GB2312" w:cs="仿宋_GB2312"/>
          <w:bCs/>
          <w:sz w:val="28"/>
          <w:szCs w:val="28"/>
        </w:rPr>
        <w:t>先修课程：</w:t>
      </w:r>
      <w:r>
        <w:rPr>
          <w:rFonts w:ascii="仿宋_GB2312" w:hAnsi="仿宋_GB2312" w:cs="仿宋_GB2312" w:hint="eastAsia"/>
          <w:bCs/>
          <w:sz w:val="28"/>
          <w:szCs w:val="28"/>
        </w:rPr>
        <w:t>房屋建筑学、工程地质、理论力学、材料力学、结构力学、弹性力学、钢筋混凝土、土力学</w:t>
      </w:r>
    </w:p>
    <w:p w:rsidR="00374D88" w:rsidRDefault="00374D88" w:rsidP="00374D88">
      <w:pPr>
        <w:spacing w:line="360" w:lineRule="auto"/>
        <w:ind w:firstLine="331"/>
        <w:rPr>
          <w:rFonts w:ascii="仿宋_GB2312" w:hAnsi="仿宋_GB2312" w:cs="仿宋_GB2312"/>
          <w:bCs/>
          <w:sz w:val="28"/>
          <w:szCs w:val="28"/>
        </w:rPr>
      </w:pPr>
      <w:r>
        <w:rPr>
          <w:rFonts w:ascii="仿宋_GB2312" w:hAnsi="仿宋_GB2312" w:cs="仿宋_GB2312"/>
          <w:bCs/>
          <w:sz w:val="28"/>
          <w:szCs w:val="28"/>
        </w:rPr>
        <w:t>开课院系：</w:t>
      </w:r>
      <w:r>
        <w:rPr>
          <w:rFonts w:ascii="仿宋_GB2312" w:hAnsi="仿宋_GB2312" w:cs="仿宋_GB2312" w:hint="eastAsia"/>
          <w:bCs/>
          <w:sz w:val="28"/>
          <w:szCs w:val="28"/>
        </w:rPr>
        <w:t>建筑工程</w:t>
      </w:r>
      <w:r>
        <w:rPr>
          <w:rFonts w:ascii="仿宋_GB2312" w:hAnsi="仿宋_GB2312" w:cs="仿宋_GB2312"/>
          <w:bCs/>
          <w:sz w:val="28"/>
          <w:szCs w:val="28"/>
        </w:rPr>
        <w:t>学院</w:t>
      </w:r>
      <w:r>
        <w:rPr>
          <w:rFonts w:ascii="仿宋_GB2312" w:hAnsi="仿宋_GB2312" w:cs="仿宋_GB2312" w:hint="eastAsia"/>
          <w:bCs/>
          <w:sz w:val="28"/>
          <w:szCs w:val="28"/>
        </w:rPr>
        <w:t>建筑工程系</w:t>
      </w:r>
    </w:p>
    <w:p w:rsidR="00374D88" w:rsidRDefault="00374D88" w:rsidP="00374D88">
      <w:pPr>
        <w:spacing w:line="360" w:lineRule="auto"/>
        <w:rPr>
          <w:rFonts w:ascii="黑体" w:eastAsia="黑体" w:hAnsi="黑体"/>
          <w:b/>
          <w:sz w:val="28"/>
          <w:szCs w:val="28"/>
        </w:rPr>
      </w:pPr>
      <w:r>
        <w:rPr>
          <w:rFonts w:ascii="黑体" w:eastAsia="黑体" w:hAnsi="黑体" w:hint="eastAsia"/>
          <w:b/>
          <w:sz w:val="28"/>
          <w:szCs w:val="28"/>
        </w:rPr>
        <w:t>二、课程简介</w:t>
      </w:r>
    </w:p>
    <w:p w:rsidR="00374D88" w:rsidRDefault="00374D88" w:rsidP="00374D88">
      <w:pPr>
        <w:spacing w:line="360" w:lineRule="auto"/>
        <w:ind w:firstLineChars="200" w:firstLine="560"/>
        <w:rPr>
          <w:rFonts w:ascii="仿宋_GB2312" w:hAnsi="仿宋_GB2312" w:cs="仿宋_GB2312"/>
          <w:bCs/>
          <w:sz w:val="28"/>
          <w:szCs w:val="28"/>
        </w:rPr>
      </w:pPr>
      <w:r>
        <w:rPr>
          <w:rFonts w:ascii="仿宋_GB2312" w:hAnsi="仿宋_GB2312" w:cs="仿宋_GB2312"/>
          <w:bCs/>
          <w:sz w:val="28"/>
          <w:szCs w:val="28"/>
        </w:rPr>
        <w:t>本课程是一门专业发展必修课，课程系统阐述了基础工程的基本原理，主要介绍</w:t>
      </w:r>
      <w:bookmarkStart w:id="18" w:name="_Hlk68775543"/>
      <w:r>
        <w:rPr>
          <w:rFonts w:ascii="仿宋_GB2312" w:hAnsi="仿宋_GB2312" w:cs="仿宋_GB2312"/>
          <w:bCs/>
          <w:sz w:val="28"/>
          <w:szCs w:val="28"/>
        </w:rPr>
        <w:t>浅基础、连续基础、桩基础、地基处理、挡土墙、基坑工程等</w:t>
      </w:r>
      <w:bookmarkEnd w:id="18"/>
      <w:r>
        <w:rPr>
          <w:rFonts w:ascii="仿宋_GB2312" w:hAnsi="仿宋_GB2312" w:cs="仿宋_GB2312"/>
          <w:bCs/>
          <w:sz w:val="28"/>
          <w:szCs w:val="28"/>
        </w:rPr>
        <w:t>内容，在讲授基础工程成熟观点和成果的同时，也结合学科发展介绍了新的技术和方法，课程内容与专业需求联系紧密。课程教学体系完整，内容充实凝练，学时分配合理，授课内容简明扼要，重点突出。适合高等学校土木工程专业（</w:t>
      </w:r>
      <w:r>
        <w:rPr>
          <w:rFonts w:ascii="仿宋_GB2312" w:hAnsi="仿宋_GB2312" w:cs="仿宋_GB2312" w:hint="eastAsia"/>
          <w:bCs/>
          <w:sz w:val="28"/>
          <w:szCs w:val="28"/>
        </w:rPr>
        <w:t>建筑工程/</w:t>
      </w:r>
      <w:r>
        <w:rPr>
          <w:rFonts w:ascii="仿宋_GB2312" w:hAnsi="仿宋_GB2312" w:cs="仿宋_GB2312"/>
          <w:bCs/>
          <w:sz w:val="28"/>
          <w:szCs w:val="28"/>
        </w:rPr>
        <w:t>城市地下空间工程</w:t>
      </w:r>
      <w:r>
        <w:rPr>
          <w:rFonts w:ascii="仿宋_GB2312" w:hAnsi="仿宋_GB2312" w:cs="仿宋_GB2312"/>
          <w:bCs/>
          <w:sz w:val="28"/>
          <w:szCs w:val="28"/>
        </w:rPr>
        <w:lastRenderedPageBreak/>
        <w:t>方向）高年级学生学习。 教学方式采用 PPT、板书、课堂提问、课后思考题和练习题等多手段结合方式进行授课，使学生能够掌握基础工程的基本概念，熟悉基础工程的设计内容及方法，具备一定的设计计算能力。</w:t>
      </w:r>
    </w:p>
    <w:p w:rsidR="00374D88" w:rsidRDefault="00374D88" w:rsidP="00374D88">
      <w:pPr>
        <w:spacing w:beforeLines="50" w:before="156" w:afterLines="50" w:after="156" w:line="360" w:lineRule="auto"/>
        <w:rPr>
          <w:rFonts w:ascii="黑体" w:eastAsia="黑体" w:hAnsi="黑体"/>
          <w:b/>
          <w:sz w:val="28"/>
          <w:szCs w:val="28"/>
        </w:rPr>
      </w:pPr>
      <w:r>
        <w:rPr>
          <w:rFonts w:ascii="黑体" w:eastAsia="黑体" w:hAnsi="黑体" w:hint="eastAsia"/>
          <w:b/>
          <w:sz w:val="28"/>
          <w:szCs w:val="28"/>
        </w:rPr>
        <w:t>三、课程任务、目的与要求</w:t>
      </w:r>
    </w:p>
    <w:p w:rsidR="00374D88" w:rsidRDefault="00374D88" w:rsidP="00374D88">
      <w:pPr>
        <w:spacing w:line="360" w:lineRule="auto"/>
        <w:ind w:firstLine="331"/>
        <w:rPr>
          <w:rFonts w:ascii="仿宋_GB2312" w:hAnsi="仿宋"/>
          <w:b/>
          <w:sz w:val="28"/>
          <w:szCs w:val="28"/>
        </w:rPr>
      </w:pPr>
      <w:r>
        <w:rPr>
          <w:rFonts w:ascii="仿宋_GB2312" w:hAnsi="仿宋" w:hint="eastAsia"/>
          <w:b/>
          <w:sz w:val="28"/>
          <w:szCs w:val="28"/>
        </w:rPr>
        <w:t>1.课程任务与目的</w:t>
      </w:r>
    </w:p>
    <w:p w:rsidR="00374D88" w:rsidRDefault="00374D88" w:rsidP="00374D88">
      <w:pPr>
        <w:spacing w:line="360" w:lineRule="auto"/>
        <w:ind w:firstLineChars="200" w:firstLine="560"/>
        <w:rPr>
          <w:rFonts w:ascii="仿宋_GB2312" w:hAnsi="仿宋"/>
          <w:sz w:val="28"/>
          <w:szCs w:val="28"/>
        </w:rPr>
      </w:pPr>
      <w:r>
        <w:rPr>
          <w:rFonts w:ascii="仿宋_GB2312" w:hAnsi="仿宋" w:hint="eastAsia"/>
          <w:sz w:val="28"/>
          <w:szCs w:val="28"/>
        </w:rPr>
        <w:t>本课程的基本任务是讲授基础工程的基本原理、设计原则和计算方法。通过课程的学习，使学生能运用土力学及基础工程的基本原理和概念，结合结构设计理论，分析和解决地基基础问题，进行常见基础工程的设计计算，达到学以致用的目的。</w:t>
      </w:r>
    </w:p>
    <w:p w:rsidR="00374D88" w:rsidRDefault="00374D88" w:rsidP="00374D88">
      <w:pPr>
        <w:spacing w:line="360" w:lineRule="auto"/>
        <w:ind w:firstLine="331"/>
        <w:rPr>
          <w:rFonts w:ascii="仿宋_GB2312" w:hAnsi="仿宋"/>
          <w:b/>
          <w:sz w:val="28"/>
          <w:szCs w:val="28"/>
        </w:rPr>
      </w:pPr>
      <w:r>
        <w:rPr>
          <w:rFonts w:ascii="仿宋_GB2312" w:hAnsi="仿宋" w:hint="eastAsia"/>
          <w:b/>
          <w:sz w:val="28"/>
          <w:szCs w:val="28"/>
        </w:rPr>
        <w:t>2.课程基本要求</w:t>
      </w:r>
    </w:p>
    <w:p w:rsidR="00374D88" w:rsidRDefault="00374D88" w:rsidP="00374D88">
      <w:pPr>
        <w:spacing w:line="360" w:lineRule="auto"/>
        <w:ind w:firstLine="331"/>
        <w:rPr>
          <w:rFonts w:ascii="仿宋_GB2312" w:hAnsi="仿宋"/>
          <w:b/>
          <w:sz w:val="28"/>
          <w:szCs w:val="28"/>
        </w:rPr>
      </w:pPr>
      <w:r>
        <w:rPr>
          <w:rFonts w:ascii="仿宋_GB2312" w:hAnsi="仿宋" w:hint="eastAsia"/>
          <w:b/>
          <w:sz w:val="28"/>
          <w:szCs w:val="28"/>
        </w:rPr>
        <w:t>（1）课程目标</w:t>
      </w:r>
    </w:p>
    <w:p w:rsidR="00374D88" w:rsidRDefault="00374D88" w:rsidP="00374D88">
      <w:pPr>
        <w:spacing w:line="360" w:lineRule="auto"/>
        <w:ind w:firstLineChars="200" w:firstLine="560"/>
        <w:rPr>
          <w:rFonts w:ascii="仿宋_GB2312" w:hAnsi="仿宋"/>
          <w:sz w:val="28"/>
          <w:szCs w:val="28"/>
        </w:rPr>
      </w:pPr>
      <w:r>
        <w:rPr>
          <w:rFonts w:ascii="仿宋_GB2312" w:hAnsi="仿宋" w:hint="eastAsia"/>
          <w:sz w:val="28"/>
          <w:szCs w:val="28"/>
        </w:rPr>
        <w:t>通过本课程的学习，学生应具备以下几方面的能力：</w:t>
      </w:r>
    </w:p>
    <w:p w:rsidR="00374D88" w:rsidRDefault="00374D88" w:rsidP="00374D88">
      <w:pPr>
        <w:spacing w:line="360" w:lineRule="auto"/>
        <w:ind w:firstLineChars="200" w:firstLine="560"/>
        <w:rPr>
          <w:rFonts w:ascii="仿宋_GB2312" w:hAnsi="仿宋"/>
          <w:sz w:val="28"/>
          <w:szCs w:val="28"/>
        </w:rPr>
      </w:pPr>
      <w:r>
        <w:rPr>
          <w:rFonts w:ascii="仿宋_GB2312" w:hAnsi="仿宋" w:hint="eastAsia"/>
          <w:sz w:val="28"/>
          <w:szCs w:val="28"/>
        </w:rPr>
        <w:t>1. 通过本课程学习，学生能初步掌握</w:t>
      </w:r>
      <w:bookmarkStart w:id="19" w:name="_Hlk68771171"/>
      <w:r>
        <w:rPr>
          <w:rFonts w:ascii="仿宋_GB2312" w:hAnsi="仿宋" w:hint="eastAsia"/>
          <w:sz w:val="28"/>
          <w:szCs w:val="28"/>
        </w:rPr>
        <w:t>浅基础、连续基础、桩基础、地基处理、挡土墙、基坑工程等基础工程学科</w:t>
      </w:r>
      <w:bookmarkEnd w:id="19"/>
      <w:r>
        <w:rPr>
          <w:rFonts w:ascii="仿宋_GB2312" w:hAnsi="仿宋" w:hint="eastAsia"/>
          <w:sz w:val="28"/>
          <w:szCs w:val="28"/>
        </w:rPr>
        <w:t>的主要基本概念和原理等专业知识；</w:t>
      </w:r>
    </w:p>
    <w:p w:rsidR="00374D88" w:rsidRDefault="00374D88" w:rsidP="00374D88">
      <w:pPr>
        <w:spacing w:line="360" w:lineRule="auto"/>
        <w:ind w:firstLineChars="200" w:firstLine="560"/>
        <w:rPr>
          <w:rFonts w:ascii="仿宋_GB2312" w:hAnsi="仿宋"/>
          <w:sz w:val="28"/>
          <w:szCs w:val="28"/>
        </w:rPr>
      </w:pPr>
      <w:r>
        <w:rPr>
          <w:rFonts w:ascii="仿宋_GB2312" w:hAnsi="仿宋" w:hint="eastAsia"/>
          <w:sz w:val="28"/>
          <w:szCs w:val="28"/>
        </w:rPr>
        <w:t>2. 通过本课程学习，学生能够正确合理运用基础工程的专业知识去识别、判断和解决基础工程中的常见问题，并能提供多种解决方案;</w:t>
      </w:r>
    </w:p>
    <w:p w:rsidR="00374D88" w:rsidRDefault="00374D88" w:rsidP="00374D88">
      <w:pPr>
        <w:spacing w:line="360" w:lineRule="auto"/>
        <w:ind w:firstLineChars="200" w:firstLine="560"/>
        <w:rPr>
          <w:rFonts w:ascii="仿宋_GB2312" w:hAnsi="仿宋"/>
          <w:sz w:val="28"/>
          <w:szCs w:val="28"/>
        </w:rPr>
      </w:pPr>
      <w:r>
        <w:rPr>
          <w:rFonts w:ascii="仿宋_GB2312" w:hAnsi="仿宋" w:hint="eastAsia"/>
          <w:sz w:val="28"/>
          <w:szCs w:val="28"/>
        </w:rPr>
        <w:t>3. 通过本课程学习，学生能够根据工程条件和特定需求，确定适宜的基础工程设计目标和方案，并能通过基础工程的常规设计计算，完成相关设计工作；同时教育树立认真严谨认真和实事求是的设计态</w:t>
      </w:r>
      <w:r>
        <w:rPr>
          <w:rFonts w:ascii="仿宋_GB2312" w:hAnsi="仿宋" w:hint="eastAsia"/>
          <w:sz w:val="28"/>
          <w:szCs w:val="28"/>
        </w:rPr>
        <w:lastRenderedPageBreak/>
        <w:t>度，培养学生遵守规范规程、注重工程安全的底线意识，增强学生的土木工程师职业责任感，培养学生的大国工匠精神，激发学生的家国情怀。</w:t>
      </w:r>
    </w:p>
    <w:p w:rsidR="00374D88" w:rsidRDefault="00374D88" w:rsidP="00374D88">
      <w:pPr>
        <w:spacing w:beforeLines="50" w:before="156" w:line="360" w:lineRule="auto"/>
        <w:ind w:firstLine="329"/>
        <w:rPr>
          <w:rFonts w:ascii="Times New Roman" w:hAnsi="Times New Roman"/>
          <w:bCs/>
          <w:sz w:val="28"/>
          <w:szCs w:val="28"/>
        </w:rPr>
      </w:pPr>
      <w:r>
        <w:rPr>
          <w:rFonts w:ascii="Times New Roman" w:hAnsi="Times New Roman" w:hint="eastAsia"/>
          <w:bCs/>
          <w:sz w:val="28"/>
          <w:szCs w:val="28"/>
        </w:rPr>
        <w:t>（</w:t>
      </w:r>
      <w:r>
        <w:rPr>
          <w:rFonts w:ascii="Times New Roman" w:hAnsi="Times New Roman"/>
          <w:bCs/>
          <w:sz w:val="28"/>
          <w:szCs w:val="28"/>
        </w:rPr>
        <w:t>2</w:t>
      </w:r>
      <w:r>
        <w:rPr>
          <w:rFonts w:ascii="Times New Roman" w:hAnsi="Times New Roman" w:hint="eastAsia"/>
          <w:bCs/>
          <w:sz w:val="28"/>
          <w:szCs w:val="28"/>
        </w:rPr>
        <w:t>）</w:t>
      </w:r>
      <w:r>
        <w:rPr>
          <w:rFonts w:ascii="Times New Roman" w:hAnsi="Times New Roman"/>
          <w:bCs/>
          <w:sz w:val="28"/>
          <w:szCs w:val="28"/>
        </w:rPr>
        <w:t xml:space="preserve"> </w:t>
      </w:r>
      <w:r>
        <w:rPr>
          <w:rFonts w:ascii="Times New Roman" w:hAnsi="Times New Roman"/>
          <w:bCs/>
          <w:sz w:val="28"/>
          <w:szCs w:val="28"/>
        </w:rPr>
        <w:t>课程目标与毕业要求之间的对应关系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1"/>
        <w:gridCol w:w="2774"/>
        <w:gridCol w:w="840"/>
        <w:gridCol w:w="840"/>
        <w:gridCol w:w="841"/>
      </w:tblGrid>
      <w:tr w:rsidR="00374D88" w:rsidTr="00BE5664">
        <w:tc>
          <w:tcPr>
            <w:tcW w:w="3481" w:type="pct"/>
            <w:gridSpan w:val="2"/>
            <w:vMerge w:val="restar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毕业要求及其指标点</w:t>
            </w:r>
          </w:p>
        </w:tc>
        <w:tc>
          <w:tcPr>
            <w:tcW w:w="1519" w:type="pct"/>
            <w:gridSpan w:val="3"/>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教学目标</w:t>
            </w:r>
          </w:p>
        </w:tc>
      </w:tr>
      <w:tr w:rsidR="00374D88" w:rsidTr="00BE5664">
        <w:tc>
          <w:tcPr>
            <w:tcW w:w="3481" w:type="pct"/>
            <w:gridSpan w:val="2"/>
            <w:vMerge/>
            <w:shd w:val="clear" w:color="auto" w:fill="auto"/>
            <w:vAlign w:val="center"/>
          </w:tcPr>
          <w:p w:rsidR="00374D88" w:rsidRDefault="00374D88" w:rsidP="00BE5664">
            <w:pPr>
              <w:rPr>
                <w:rFonts w:ascii="Times New Roman" w:hAnsi="Times New Roman"/>
                <w:sz w:val="24"/>
                <w:szCs w:val="24"/>
              </w:rPr>
            </w:pP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c>
          <w:tcPr>
            <w:tcW w:w="507"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374D88" w:rsidTr="00BE5664">
        <w:tc>
          <w:tcPr>
            <w:tcW w:w="1809"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 xml:space="preserve">1. </w:t>
            </w:r>
            <w:r>
              <w:rPr>
                <w:rFonts w:ascii="Times New Roman" w:hAnsi="Times New Roman" w:hint="eastAsia"/>
                <w:sz w:val="24"/>
                <w:szCs w:val="24"/>
              </w:rPr>
              <w:t>工程知识应用能力</w:t>
            </w:r>
          </w:p>
        </w:tc>
        <w:tc>
          <w:tcPr>
            <w:tcW w:w="1672"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w:t>
            </w:r>
            <w:r>
              <w:rPr>
                <w:rFonts w:ascii="Times New Roman" w:hAnsi="Times New Roman"/>
                <w:sz w:val="24"/>
                <w:szCs w:val="24"/>
              </w:rPr>
              <w:t>3</w:t>
            </w:r>
            <w:r>
              <w:rPr>
                <w:rFonts w:ascii="Times New Roman" w:hAnsi="Times New Roman"/>
                <w:sz w:val="24"/>
                <w:szCs w:val="24"/>
              </w:rPr>
              <w:t>：</w:t>
            </w:r>
            <w:r>
              <w:rPr>
                <w:rFonts w:ascii="Times New Roman" w:hAnsi="Times New Roman" w:hint="eastAsia"/>
                <w:sz w:val="24"/>
                <w:szCs w:val="24"/>
              </w:rPr>
              <w:t>掌握相关工程基础知识</w:t>
            </w:r>
            <w:r>
              <w:rPr>
                <w:rFonts w:ascii="Times New Roman" w:hAnsi="Times New Roman" w:hint="eastAsia"/>
                <w:sz w:val="24"/>
                <w:szCs w:val="24"/>
              </w:rPr>
              <w:t>,</w:t>
            </w:r>
            <w:r>
              <w:rPr>
                <w:rFonts w:ascii="Times New Roman" w:hAnsi="Times New Roman" w:hint="eastAsia"/>
                <w:sz w:val="24"/>
                <w:szCs w:val="24"/>
              </w:rPr>
              <w:t>具备应用相关知识推演、分析土木工程专业复杂工程问题的专业基础能力</w:t>
            </w: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374D88" w:rsidRDefault="00374D88" w:rsidP="00BE5664">
            <w:pPr>
              <w:jc w:val="center"/>
              <w:rPr>
                <w:rFonts w:ascii="Times New Roman" w:hAnsi="Times New Roman"/>
                <w:sz w:val="24"/>
                <w:szCs w:val="24"/>
              </w:rPr>
            </w:pPr>
          </w:p>
        </w:tc>
      </w:tr>
      <w:tr w:rsidR="00374D88" w:rsidTr="00BE5664">
        <w:tc>
          <w:tcPr>
            <w:tcW w:w="1809"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 xml:space="preserve">2. </w:t>
            </w:r>
            <w:bookmarkStart w:id="20" w:name="_Hlk75463196"/>
            <w:r>
              <w:rPr>
                <w:rFonts w:ascii="Times New Roman" w:hAnsi="Times New Roman" w:hint="eastAsia"/>
                <w:sz w:val="24"/>
                <w:szCs w:val="24"/>
              </w:rPr>
              <w:t>问题分析能力</w:t>
            </w:r>
            <w:bookmarkEnd w:id="20"/>
          </w:p>
        </w:tc>
        <w:tc>
          <w:tcPr>
            <w:tcW w:w="1672"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w:t>
            </w:r>
            <w:r>
              <w:rPr>
                <w:rFonts w:ascii="Times New Roman" w:hAnsi="Times New Roman" w:hint="eastAsia"/>
                <w:sz w:val="24"/>
                <w:szCs w:val="24"/>
              </w:rPr>
              <w:t>能够正确、合理运用专业知识，识别、判断和表达土木工程专业复杂工程问题的本质特征、关键环节，并能提供多种解决方案</w:t>
            </w:r>
          </w:p>
        </w:tc>
        <w:tc>
          <w:tcPr>
            <w:tcW w:w="506" w:type="pct"/>
            <w:shd w:val="clear" w:color="auto" w:fill="auto"/>
            <w:vAlign w:val="center"/>
          </w:tcPr>
          <w:p w:rsidR="00374D88" w:rsidRDefault="00374D88" w:rsidP="00BE5664">
            <w:pPr>
              <w:jc w:val="center"/>
              <w:rPr>
                <w:rFonts w:ascii="Times New Roman" w:hAnsi="Times New Roman"/>
                <w:sz w:val="24"/>
                <w:szCs w:val="24"/>
              </w:rPr>
            </w:pP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r>
      <w:tr w:rsidR="00374D88" w:rsidTr="00BE5664">
        <w:tc>
          <w:tcPr>
            <w:tcW w:w="1809" w:type="pct"/>
            <w:vMerge w:val="restart"/>
            <w:shd w:val="clear" w:color="auto" w:fill="auto"/>
            <w:vAlign w:val="center"/>
          </w:tcPr>
          <w:p w:rsidR="00374D88" w:rsidRDefault="00374D88" w:rsidP="00BE5664">
            <w:pPr>
              <w:rPr>
                <w:rFonts w:ascii="Times New Roman" w:hAnsi="Times New Roman"/>
                <w:sz w:val="24"/>
                <w:szCs w:val="24"/>
              </w:rPr>
            </w:pPr>
            <w:bookmarkStart w:id="21" w:name="_Hlk75463140"/>
            <w:r>
              <w:rPr>
                <w:rFonts w:ascii="Times New Roman" w:hAnsi="Times New Roman"/>
                <w:sz w:val="24"/>
                <w:szCs w:val="24"/>
              </w:rPr>
              <w:t xml:space="preserve">3. </w:t>
            </w:r>
            <w:r>
              <w:rPr>
                <w:rFonts w:ascii="Times New Roman" w:hAnsi="Times New Roman" w:hint="eastAsia"/>
                <w:sz w:val="24"/>
                <w:szCs w:val="24"/>
              </w:rPr>
              <w:t>设计</w:t>
            </w:r>
            <w:r>
              <w:rPr>
                <w:rFonts w:ascii="Times New Roman" w:hAnsi="Times New Roman" w:hint="eastAsia"/>
                <w:sz w:val="24"/>
                <w:szCs w:val="24"/>
              </w:rPr>
              <w:t>/</w:t>
            </w:r>
            <w:r>
              <w:rPr>
                <w:rFonts w:ascii="Times New Roman" w:hAnsi="Times New Roman" w:hint="eastAsia"/>
                <w:sz w:val="24"/>
                <w:szCs w:val="24"/>
              </w:rPr>
              <w:t>开发能力</w:t>
            </w:r>
          </w:p>
        </w:tc>
        <w:tc>
          <w:tcPr>
            <w:tcW w:w="1672"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w:t>
            </w:r>
            <w:r>
              <w:rPr>
                <w:rFonts w:ascii="Times New Roman" w:hAnsi="Times New Roman" w:hint="eastAsia"/>
                <w:sz w:val="24"/>
                <w:szCs w:val="24"/>
              </w:rPr>
              <w:t>能够针对特定需求，确定工程基本单元的设计目标或问题解决方案，并完成设计</w:t>
            </w:r>
            <w:r>
              <w:rPr>
                <w:rFonts w:ascii="Times New Roman" w:hAnsi="Times New Roman" w:hint="eastAsia"/>
                <w:sz w:val="24"/>
                <w:szCs w:val="24"/>
              </w:rPr>
              <w:t>/</w:t>
            </w:r>
            <w:r>
              <w:rPr>
                <w:rFonts w:ascii="Times New Roman" w:hAnsi="Times New Roman" w:hint="eastAsia"/>
                <w:sz w:val="24"/>
                <w:szCs w:val="24"/>
              </w:rPr>
              <w:t>开发工作</w:t>
            </w: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r>
      <w:tr w:rsidR="00374D88" w:rsidTr="00BE5664">
        <w:tc>
          <w:tcPr>
            <w:tcW w:w="1809" w:type="pct"/>
            <w:vMerge/>
            <w:shd w:val="clear" w:color="auto" w:fill="auto"/>
            <w:vAlign w:val="center"/>
          </w:tcPr>
          <w:p w:rsidR="00374D88" w:rsidRDefault="00374D88" w:rsidP="00BE5664">
            <w:pPr>
              <w:rPr>
                <w:rFonts w:ascii="Times New Roman" w:hAnsi="Times New Roman"/>
                <w:sz w:val="24"/>
                <w:szCs w:val="24"/>
              </w:rPr>
            </w:pPr>
          </w:p>
        </w:tc>
        <w:tc>
          <w:tcPr>
            <w:tcW w:w="1672"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hint="eastAsia"/>
                <w:sz w:val="24"/>
                <w:szCs w:val="24"/>
              </w:rPr>
              <w:t>3</w:t>
            </w:r>
            <w:r>
              <w:rPr>
                <w:rFonts w:ascii="Times New Roman" w:hAnsi="Times New Roman"/>
                <w:sz w:val="24"/>
                <w:szCs w:val="24"/>
              </w:rPr>
              <w:t>.2</w:t>
            </w:r>
            <w:r>
              <w:rPr>
                <w:rFonts w:ascii="Times New Roman" w:hAnsi="Times New Roman" w:hint="eastAsia"/>
                <w:sz w:val="24"/>
                <w:szCs w:val="24"/>
              </w:rPr>
              <w:t>：能够进行工程体系的系统分析和优化设计，并体现创新意识</w:t>
            </w: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r>
      <w:bookmarkEnd w:id="21"/>
    </w:tbl>
    <w:p w:rsidR="00374D88" w:rsidRDefault="00374D88" w:rsidP="00374D88">
      <w:pPr>
        <w:spacing w:line="360" w:lineRule="auto"/>
        <w:ind w:firstLineChars="200" w:firstLine="560"/>
        <w:rPr>
          <w:rFonts w:ascii="仿宋_GB2312" w:hAnsi="仿宋"/>
          <w:sz w:val="28"/>
          <w:szCs w:val="28"/>
        </w:rPr>
      </w:pPr>
    </w:p>
    <w:p w:rsidR="00374D88" w:rsidRDefault="00374D88" w:rsidP="00374D88">
      <w:pPr>
        <w:spacing w:line="360" w:lineRule="auto"/>
        <w:ind w:firstLine="331"/>
        <w:rPr>
          <w:rFonts w:ascii="仿宋_GB2312" w:hAnsi="仿宋"/>
          <w:b/>
          <w:sz w:val="28"/>
          <w:szCs w:val="28"/>
        </w:rPr>
      </w:pPr>
      <w:r>
        <w:rPr>
          <w:rFonts w:ascii="仿宋_GB2312" w:hAnsi="仿宋" w:hint="eastAsia"/>
          <w:b/>
          <w:sz w:val="28"/>
          <w:szCs w:val="28"/>
        </w:rPr>
        <w:t>（3）</w:t>
      </w:r>
      <w:bookmarkStart w:id="22" w:name="_Hlk68730004"/>
      <w:r>
        <w:rPr>
          <w:rFonts w:ascii="仿宋_GB2312" w:hAnsi="仿宋" w:hint="eastAsia"/>
          <w:b/>
          <w:sz w:val="28"/>
          <w:szCs w:val="28"/>
        </w:rPr>
        <w:t>本课程的重点、难点</w:t>
      </w:r>
      <w:bookmarkEnd w:id="22"/>
    </w:p>
    <w:p w:rsidR="00374D88" w:rsidRDefault="00374D88" w:rsidP="00374D88">
      <w:pPr>
        <w:spacing w:line="360" w:lineRule="auto"/>
        <w:ind w:firstLineChars="200" w:firstLine="560"/>
        <w:rPr>
          <w:rFonts w:ascii="仿宋_GB2312" w:hAnsi="仿宋"/>
          <w:b/>
          <w:color w:val="FF0000"/>
          <w:sz w:val="28"/>
          <w:szCs w:val="28"/>
        </w:rPr>
      </w:pPr>
      <w:r>
        <w:rPr>
          <w:rFonts w:ascii="仿宋_GB2312" w:hAnsi="仿宋" w:hint="eastAsia"/>
          <w:sz w:val="28"/>
          <w:szCs w:val="28"/>
        </w:rPr>
        <w:t>本课程的重点是浅基础和桩基础的基本理论、计算和常规设计。本课程的难点是浅基础的地基承载力确定、按地基承载力确定基底尺寸、扩展基础设计、文克勒地基上梁的计算、桩的竖向承载力计算和桩承台的设计。</w:t>
      </w:r>
    </w:p>
    <w:p w:rsidR="00374D88" w:rsidRDefault="00374D88" w:rsidP="00374D88">
      <w:pPr>
        <w:spacing w:line="360" w:lineRule="auto"/>
        <w:ind w:firstLine="331"/>
        <w:rPr>
          <w:rFonts w:ascii="仿宋_GB2312" w:hAnsi="仿宋"/>
          <w:b/>
          <w:sz w:val="28"/>
          <w:szCs w:val="28"/>
        </w:rPr>
      </w:pPr>
      <w:r>
        <w:rPr>
          <w:rFonts w:ascii="仿宋_GB2312" w:hAnsi="仿宋" w:hint="eastAsia"/>
          <w:b/>
          <w:sz w:val="28"/>
          <w:szCs w:val="28"/>
        </w:rPr>
        <w:t>（4）课程思政切入</w:t>
      </w:r>
    </w:p>
    <w:p w:rsidR="00374D88" w:rsidRDefault="00374D88" w:rsidP="00374D88">
      <w:pPr>
        <w:spacing w:line="360" w:lineRule="auto"/>
        <w:ind w:firstLineChars="200" w:firstLine="560"/>
        <w:rPr>
          <w:rFonts w:ascii="仿宋_GB2312" w:hAnsi="仿宋"/>
          <w:sz w:val="28"/>
          <w:szCs w:val="28"/>
        </w:rPr>
      </w:pPr>
      <w:r>
        <w:rPr>
          <w:rFonts w:ascii="仿宋_GB2312" w:hAnsi="仿宋" w:hint="eastAsia"/>
          <w:sz w:val="28"/>
          <w:szCs w:val="28"/>
        </w:rPr>
        <w:fldChar w:fldCharType="begin"/>
      </w:r>
      <w:r>
        <w:rPr>
          <w:rFonts w:ascii="仿宋_GB2312" w:hAnsi="仿宋" w:hint="eastAsia"/>
          <w:sz w:val="28"/>
          <w:szCs w:val="28"/>
        </w:rPr>
        <w:instrText xml:space="preserve"> = 1 \* GB3 </w:instrText>
      </w:r>
      <w:r>
        <w:rPr>
          <w:rFonts w:ascii="仿宋_GB2312" w:hAnsi="仿宋" w:hint="eastAsia"/>
          <w:sz w:val="28"/>
          <w:szCs w:val="28"/>
        </w:rPr>
        <w:fldChar w:fldCharType="separate"/>
      </w:r>
      <w:r>
        <w:rPr>
          <w:rFonts w:ascii="仿宋_GB2312" w:hAnsi="仿宋" w:hint="eastAsia"/>
          <w:sz w:val="28"/>
          <w:szCs w:val="28"/>
        </w:rPr>
        <w:t>①</w:t>
      </w:r>
      <w:r>
        <w:rPr>
          <w:rFonts w:ascii="仿宋_GB2312" w:hAnsi="仿宋" w:hint="eastAsia"/>
          <w:sz w:val="28"/>
          <w:szCs w:val="28"/>
        </w:rPr>
        <w:fldChar w:fldCharType="end"/>
      </w:r>
      <w:r>
        <w:rPr>
          <w:rFonts w:ascii="仿宋_GB2312" w:hAnsi="仿宋" w:hint="eastAsia"/>
          <w:sz w:val="28"/>
          <w:szCs w:val="28"/>
        </w:rPr>
        <w:t xml:space="preserve"> 积极介绍我国在基础工程领域的最新研究成果以及所解决的</w:t>
      </w:r>
      <w:r>
        <w:rPr>
          <w:rFonts w:ascii="仿宋_GB2312" w:hAnsi="仿宋" w:hint="eastAsia"/>
          <w:sz w:val="28"/>
          <w:szCs w:val="28"/>
        </w:rPr>
        <w:lastRenderedPageBreak/>
        <w:t>重大工程项目问题，激发同学们的自豪感和进取心。</w:t>
      </w:r>
    </w:p>
    <w:p w:rsidR="00374D88" w:rsidRDefault="00374D88" w:rsidP="00374D88">
      <w:pPr>
        <w:spacing w:line="360" w:lineRule="auto"/>
        <w:ind w:firstLineChars="200" w:firstLine="560"/>
        <w:rPr>
          <w:rFonts w:ascii="仿宋_GB2312" w:hAnsi="仿宋"/>
          <w:sz w:val="28"/>
          <w:szCs w:val="28"/>
        </w:rPr>
      </w:pPr>
      <w:r>
        <w:rPr>
          <w:rFonts w:ascii="仿宋_GB2312" w:hAnsi="仿宋" w:hint="eastAsia"/>
          <w:sz w:val="28"/>
          <w:szCs w:val="28"/>
        </w:rPr>
        <w:fldChar w:fldCharType="begin"/>
      </w:r>
      <w:r>
        <w:rPr>
          <w:rFonts w:ascii="仿宋_GB2312" w:hAnsi="仿宋" w:hint="eastAsia"/>
          <w:sz w:val="28"/>
          <w:szCs w:val="28"/>
        </w:rPr>
        <w:instrText xml:space="preserve"> = 2 \* GB3 </w:instrText>
      </w:r>
      <w:r>
        <w:rPr>
          <w:rFonts w:ascii="仿宋_GB2312" w:hAnsi="仿宋" w:hint="eastAsia"/>
          <w:sz w:val="28"/>
          <w:szCs w:val="28"/>
        </w:rPr>
        <w:fldChar w:fldCharType="separate"/>
      </w:r>
      <w:r>
        <w:rPr>
          <w:rFonts w:ascii="仿宋_GB2312" w:hAnsi="仿宋" w:hint="eastAsia"/>
          <w:sz w:val="28"/>
          <w:szCs w:val="28"/>
        </w:rPr>
        <w:t>②</w:t>
      </w:r>
      <w:r>
        <w:rPr>
          <w:rFonts w:ascii="仿宋_GB2312" w:hAnsi="仿宋" w:hint="eastAsia"/>
          <w:sz w:val="28"/>
          <w:szCs w:val="28"/>
        </w:rPr>
        <w:fldChar w:fldCharType="end"/>
      </w:r>
      <w:r>
        <w:rPr>
          <w:rFonts w:ascii="仿宋_GB2312" w:hAnsi="仿宋" w:hint="eastAsia"/>
          <w:sz w:val="28"/>
          <w:szCs w:val="28"/>
        </w:rPr>
        <w:t xml:space="preserve"> 在浅基础和连续基础的教学中，结合浅基础选型的例子，引导同学们在实际工程中遵循实事求是和因地制宜指导思想来开展工作。</w:t>
      </w:r>
    </w:p>
    <w:p w:rsidR="00374D88" w:rsidRDefault="00374D88" w:rsidP="00374D88">
      <w:pPr>
        <w:spacing w:line="360" w:lineRule="auto"/>
        <w:ind w:firstLineChars="200" w:firstLine="560"/>
        <w:rPr>
          <w:rFonts w:ascii="仿宋_GB2312" w:hAnsi="仿宋"/>
          <w:sz w:val="28"/>
          <w:szCs w:val="28"/>
        </w:rPr>
      </w:pPr>
      <w:r>
        <w:rPr>
          <w:rFonts w:ascii="仿宋_GB2312" w:hAnsi="仿宋" w:hint="eastAsia"/>
          <w:sz w:val="28"/>
          <w:szCs w:val="28"/>
        </w:rPr>
        <w:fldChar w:fldCharType="begin"/>
      </w:r>
      <w:r>
        <w:rPr>
          <w:rFonts w:ascii="仿宋_GB2312" w:hAnsi="仿宋" w:hint="eastAsia"/>
          <w:sz w:val="28"/>
          <w:szCs w:val="28"/>
        </w:rPr>
        <w:instrText xml:space="preserve"> = 3 \* GB3 </w:instrText>
      </w:r>
      <w:r>
        <w:rPr>
          <w:rFonts w:ascii="仿宋_GB2312" w:hAnsi="仿宋" w:hint="eastAsia"/>
          <w:sz w:val="28"/>
          <w:szCs w:val="28"/>
        </w:rPr>
        <w:fldChar w:fldCharType="separate"/>
      </w:r>
      <w:r>
        <w:rPr>
          <w:rFonts w:ascii="仿宋_GB2312" w:hAnsi="仿宋" w:hint="eastAsia"/>
          <w:sz w:val="28"/>
          <w:szCs w:val="28"/>
        </w:rPr>
        <w:t>③</w:t>
      </w:r>
      <w:r>
        <w:rPr>
          <w:rFonts w:ascii="仿宋_GB2312" w:hAnsi="仿宋" w:hint="eastAsia"/>
          <w:sz w:val="28"/>
          <w:szCs w:val="28"/>
        </w:rPr>
        <w:fldChar w:fldCharType="end"/>
      </w:r>
      <w:r>
        <w:rPr>
          <w:rFonts w:ascii="仿宋_GB2312" w:hAnsi="仿宋" w:hint="eastAsia"/>
          <w:sz w:val="28"/>
          <w:szCs w:val="28"/>
        </w:rPr>
        <w:t xml:space="preserve"> 在桩基础的内容中，结合隐蔽工程的特点以及典型的工程案例，对同学们加强质量安全教育，帮助同学们提升责任心，牢固树立安全意识。</w:t>
      </w:r>
    </w:p>
    <w:p w:rsidR="00374D88" w:rsidRDefault="00374D88" w:rsidP="00374D88">
      <w:pPr>
        <w:spacing w:line="360" w:lineRule="auto"/>
        <w:ind w:firstLineChars="200" w:firstLine="560"/>
        <w:rPr>
          <w:rFonts w:ascii="仿宋" w:eastAsia="仿宋" w:hAnsi="仿宋"/>
          <w:sz w:val="28"/>
          <w:szCs w:val="28"/>
        </w:rPr>
      </w:pPr>
      <w:r>
        <w:rPr>
          <w:rFonts w:ascii="仿宋_GB2312" w:hAnsi="仿宋" w:hint="eastAsia"/>
          <w:sz w:val="28"/>
          <w:szCs w:val="28"/>
        </w:rPr>
        <w:fldChar w:fldCharType="begin"/>
      </w:r>
      <w:r>
        <w:rPr>
          <w:rFonts w:ascii="仿宋_GB2312" w:hAnsi="仿宋" w:hint="eastAsia"/>
          <w:sz w:val="28"/>
          <w:szCs w:val="28"/>
        </w:rPr>
        <w:instrText xml:space="preserve"> = 4 \* GB3 </w:instrText>
      </w:r>
      <w:r>
        <w:rPr>
          <w:rFonts w:ascii="仿宋_GB2312" w:hAnsi="仿宋" w:hint="eastAsia"/>
          <w:sz w:val="28"/>
          <w:szCs w:val="28"/>
        </w:rPr>
        <w:fldChar w:fldCharType="separate"/>
      </w:r>
      <w:r>
        <w:rPr>
          <w:rFonts w:ascii="仿宋_GB2312" w:hAnsi="仿宋" w:hint="eastAsia"/>
          <w:sz w:val="28"/>
          <w:szCs w:val="28"/>
        </w:rPr>
        <w:t>④</w:t>
      </w:r>
      <w:r>
        <w:rPr>
          <w:rFonts w:ascii="仿宋_GB2312" w:hAnsi="仿宋" w:hint="eastAsia"/>
          <w:sz w:val="28"/>
          <w:szCs w:val="28"/>
        </w:rPr>
        <w:fldChar w:fldCharType="end"/>
      </w:r>
      <w:r>
        <w:rPr>
          <w:rFonts w:ascii="仿宋_GB2312" w:hAnsi="仿宋" w:hint="eastAsia"/>
          <w:sz w:val="28"/>
          <w:szCs w:val="28"/>
        </w:rPr>
        <w:t xml:space="preserve"> 在地基处理、挡土墙和基坑工程的授课中，通过讲解我国利用卫星定位系统进行大面积土方压实控制以及边坡失稳监测预警等技术，鼓励同学们要与时俱进，开拓创新，利用最新科学技术来解决传统行业的问题。</w:t>
      </w:r>
    </w:p>
    <w:p w:rsidR="00374D88" w:rsidRDefault="00374D88" w:rsidP="00374D88">
      <w:pPr>
        <w:spacing w:beforeLines="50" w:before="156" w:afterLines="50" w:after="156"/>
        <w:rPr>
          <w:rFonts w:ascii="黑体" w:eastAsia="黑体" w:hAnsi="黑体"/>
          <w:b/>
          <w:sz w:val="28"/>
          <w:szCs w:val="28"/>
        </w:rPr>
      </w:pPr>
      <w:r>
        <w:rPr>
          <w:rFonts w:ascii="黑体" w:eastAsia="黑体" w:hAnsi="黑体" w:hint="eastAsia"/>
          <w:b/>
          <w:sz w:val="28"/>
          <w:szCs w:val="28"/>
        </w:rPr>
        <w:t>四、教学内容安排</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156"/>
        <w:gridCol w:w="708"/>
        <w:gridCol w:w="2410"/>
        <w:gridCol w:w="2693"/>
        <w:gridCol w:w="1985"/>
      </w:tblGrid>
      <w:tr w:rsidR="00374D88" w:rsidTr="00BE5664">
        <w:trPr>
          <w:cantSplit/>
          <w:trHeight w:val="785"/>
          <w:jc w:val="center"/>
        </w:trPr>
        <w:tc>
          <w:tcPr>
            <w:tcW w:w="512" w:type="dxa"/>
            <w:vAlign w:val="center"/>
          </w:tcPr>
          <w:p w:rsidR="00374D88" w:rsidRDefault="00374D88" w:rsidP="00BE5664">
            <w:pPr>
              <w:jc w:val="center"/>
              <w:rPr>
                <w:rFonts w:ascii="仿宋_GB2312" w:hAnsi="仿宋"/>
                <w:kern w:val="0"/>
                <w:sz w:val="20"/>
                <w:szCs w:val="20"/>
              </w:rPr>
            </w:pPr>
            <w:bookmarkStart w:id="23" w:name="_Hlk75466461"/>
            <w:r>
              <w:rPr>
                <w:rFonts w:ascii="仿宋_GB2312" w:hAnsi="仿宋" w:hint="eastAsia"/>
                <w:kern w:val="0"/>
                <w:sz w:val="20"/>
                <w:szCs w:val="20"/>
              </w:rPr>
              <w:t>序号</w:t>
            </w:r>
          </w:p>
        </w:tc>
        <w:tc>
          <w:tcPr>
            <w:tcW w:w="1156"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章  节</w:t>
            </w:r>
          </w:p>
        </w:tc>
        <w:tc>
          <w:tcPr>
            <w:tcW w:w="708"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参考学时</w:t>
            </w:r>
          </w:p>
        </w:tc>
        <w:tc>
          <w:tcPr>
            <w:tcW w:w="2410"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教学内容</w:t>
            </w:r>
          </w:p>
        </w:tc>
        <w:tc>
          <w:tcPr>
            <w:tcW w:w="2693"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基本要求</w:t>
            </w:r>
          </w:p>
        </w:tc>
        <w:tc>
          <w:tcPr>
            <w:tcW w:w="1985"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对毕业要求的支撑</w:t>
            </w:r>
          </w:p>
        </w:tc>
      </w:tr>
      <w:tr w:rsidR="00374D88" w:rsidTr="00BE5664">
        <w:trPr>
          <w:trHeight w:val="428"/>
          <w:jc w:val="center"/>
        </w:trPr>
        <w:tc>
          <w:tcPr>
            <w:tcW w:w="512"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1</w:t>
            </w:r>
          </w:p>
        </w:tc>
        <w:tc>
          <w:tcPr>
            <w:tcW w:w="1156"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第一章 绪论</w:t>
            </w:r>
          </w:p>
        </w:tc>
        <w:tc>
          <w:tcPr>
            <w:tcW w:w="708"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2</w:t>
            </w:r>
          </w:p>
        </w:tc>
        <w:tc>
          <w:tcPr>
            <w:tcW w:w="2410"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基础工程的概念；课程的内容、任务及特点；课程的重要性 及学习要求。</w:t>
            </w:r>
          </w:p>
        </w:tc>
        <w:tc>
          <w:tcPr>
            <w:tcW w:w="2693"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了解</w:t>
            </w:r>
            <w:bookmarkStart w:id="24" w:name="_Hlk68770577"/>
            <w:r>
              <w:rPr>
                <w:rFonts w:ascii="仿宋_GB2312" w:hAnsi="仿宋" w:hint="eastAsia"/>
                <w:kern w:val="0"/>
                <w:sz w:val="20"/>
                <w:szCs w:val="20"/>
              </w:rPr>
              <w:t>基础工程的基本概念；课程的内容、任务及特点；课程的重要性及学习要求。</w:t>
            </w:r>
            <w:bookmarkEnd w:id="24"/>
          </w:p>
        </w:tc>
        <w:tc>
          <w:tcPr>
            <w:tcW w:w="1985" w:type="dxa"/>
            <w:vAlign w:val="center"/>
          </w:tcPr>
          <w:p w:rsidR="00374D88" w:rsidRDefault="00374D88" w:rsidP="00BE5664">
            <w:pPr>
              <w:jc w:val="center"/>
              <w:rPr>
                <w:rFonts w:ascii="仿宋_GB2312" w:hAnsi="仿宋"/>
                <w:kern w:val="0"/>
                <w:sz w:val="20"/>
                <w:szCs w:val="20"/>
              </w:rPr>
            </w:pPr>
            <w:r>
              <w:rPr>
                <w:rFonts w:ascii="仿宋_GB2312" w:hAnsi="仿宋"/>
                <w:kern w:val="0"/>
                <w:sz w:val="20"/>
                <w:szCs w:val="20"/>
              </w:rPr>
              <w:t>1.3</w:t>
            </w:r>
          </w:p>
        </w:tc>
      </w:tr>
      <w:tr w:rsidR="00374D88" w:rsidTr="00BE5664">
        <w:trPr>
          <w:trHeight w:val="519"/>
          <w:jc w:val="center"/>
        </w:trPr>
        <w:tc>
          <w:tcPr>
            <w:tcW w:w="512"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2</w:t>
            </w:r>
          </w:p>
        </w:tc>
        <w:tc>
          <w:tcPr>
            <w:tcW w:w="1156"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 xml:space="preserve">第二章 </w:t>
            </w:r>
            <w:bookmarkStart w:id="25" w:name="_Hlk68732956"/>
            <w:r>
              <w:rPr>
                <w:rFonts w:ascii="仿宋_GB2312" w:hAnsi="仿宋" w:hint="eastAsia"/>
                <w:kern w:val="0"/>
                <w:sz w:val="20"/>
                <w:szCs w:val="20"/>
              </w:rPr>
              <w:t>浅基础</w:t>
            </w:r>
            <w:bookmarkEnd w:id="25"/>
          </w:p>
        </w:tc>
        <w:tc>
          <w:tcPr>
            <w:tcW w:w="708"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6</w:t>
            </w:r>
          </w:p>
        </w:tc>
        <w:tc>
          <w:tcPr>
            <w:tcW w:w="2410"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 xml:space="preserve">浅基础的若干类型；基础埋置深度的选择；浅基础的地基承载力；按地基承载力确定基底尺寸；扩展基础设计；联合基础设计；减轻不均匀沉降危害的措施。 </w:t>
            </w:r>
          </w:p>
        </w:tc>
        <w:tc>
          <w:tcPr>
            <w:tcW w:w="2693"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了解浅基础的若干类型；基础埋置深度的选择；</w:t>
            </w:r>
            <w:bookmarkStart w:id="26" w:name="_Hlk69330661"/>
            <w:r>
              <w:rPr>
                <w:rFonts w:ascii="仿宋_GB2312" w:hAnsi="仿宋" w:hint="eastAsia"/>
                <w:kern w:val="0"/>
                <w:sz w:val="20"/>
                <w:szCs w:val="20"/>
              </w:rPr>
              <w:t>浅基础的地基承载力；按地基承载力确定基底尺寸；扩展基础设计；</w:t>
            </w:r>
            <w:bookmarkEnd w:id="26"/>
            <w:r>
              <w:rPr>
                <w:rFonts w:ascii="仿宋_GB2312" w:hAnsi="仿宋" w:hint="eastAsia"/>
                <w:kern w:val="0"/>
                <w:sz w:val="20"/>
                <w:szCs w:val="20"/>
              </w:rPr>
              <w:t>联合基础设计；减轻不均匀沉降危害的措施。</w:t>
            </w:r>
          </w:p>
        </w:tc>
        <w:tc>
          <w:tcPr>
            <w:tcW w:w="1985" w:type="dxa"/>
            <w:vAlign w:val="center"/>
          </w:tcPr>
          <w:p w:rsidR="00374D88" w:rsidRDefault="00374D88" w:rsidP="00BE5664">
            <w:pPr>
              <w:jc w:val="center"/>
              <w:rPr>
                <w:rFonts w:ascii="仿宋_GB2312" w:hAnsi="仿宋"/>
                <w:kern w:val="0"/>
                <w:sz w:val="20"/>
                <w:szCs w:val="20"/>
              </w:rPr>
            </w:pPr>
            <w:r>
              <w:rPr>
                <w:rFonts w:ascii="仿宋_GB2312" w:hAnsi="仿宋"/>
                <w:kern w:val="0"/>
                <w:sz w:val="20"/>
                <w:szCs w:val="20"/>
              </w:rPr>
              <w:t>1.3</w:t>
            </w:r>
            <w:r>
              <w:rPr>
                <w:rFonts w:ascii="仿宋_GB2312" w:hAnsi="仿宋" w:hint="eastAsia"/>
                <w:kern w:val="0"/>
                <w:sz w:val="20"/>
                <w:szCs w:val="20"/>
              </w:rPr>
              <w:t>，2</w:t>
            </w:r>
            <w:r>
              <w:rPr>
                <w:rFonts w:ascii="仿宋_GB2312" w:hAnsi="仿宋"/>
                <w:kern w:val="0"/>
                <w:sz w:val="20"/>
                <w:szCs w:val="20"/>
              </w:rPr>
              <w:t>.3</w:t>
            </w:r>
          </w:p>
        </w:tc>
      </w:tr>
      <w:tr w:rsidR="00374D88" w:rsidTr="00BE5664">
        <w:trPr>
          <w:trHeight w:val="555"/>
          <w:jc w:val="center"/>
        </w:trPr>
        <w:tc>
          <w:tcPr>
            <w:tcW w:w="512"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3</w:t>
            </w:r>
          </w:p>
        </w:tc>
        <w:tc>
          <w:tcPr>
            <w:tcW w:w="1156"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第三章 连续基础</w:t>
            </w:r>
          </w:p>
        </w:tc>
        <w:tc>
          <w:tcPr>
            <w:tcW w:w="708"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6</w:t>
            </w:r>
          </w:p>
        </w:tc>
        <w:tc>
          <w:tcPr>
            <w:tcW w:w="2410"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 xml:space="preserve">地基、基础与上部结构相互作用的概念；地基计算模型；文克勒地基上梁的计算；地基上梁的数值分析；柱下条形基础；柱下交叉条形基础、筏形基础和箱形基础。 </w:t>
            </w:r>
          </w:p>
        </w:tc>
        <w:tc>
          <w:tcPr>
            <w:tcW w:w="2693"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了解并掌握地基、基础与上部 结构相互作用的概念；地基计算模型；</w:t>
            </w:r>
            <w:bookmarkStart w:id="27" w:name="_Hlk69330687"/>
            <w:r>
              <w:rPr>
                <w:rFonts w:ascii="仿宋_GB2312" w:hAnsi="仿宋" w:hint="eastAsia"/>
                <w:kern w:val="0"/>
                <w:sz w:val="20"/>
                <w:szCs w:val="20"/>
              </w:rPr>
              <w:t>文克勒地基上梁的计算；</w:t>
            </w:r>
            <w:bookmarkEnd w:id="27"/>
            <w:r>
              <w:rPr>
                <w:rFonts w:ascii="仿宋_GB2312" w:hAnsi="仿宋" w:hint="eastAsia"/>
                <w:kern w:val="0"/>
                <w:sz w:val="20"/>
                <w:szCs w:val="20"/>
              </w:rPr>
              <w:t>地基上梁的数值分析；柱下基础类型等。</w:t>
            </w:r>
          </w:p>
        </w:tc>
        <w:tc>
          <w:tcPr>
            <w:tcW w:w="1985"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1.3，2.3，3.1，3</w:t>
            </w:r>
            <w:r>
              <w:rPr>
                <w:rFonts w:ascii="仿宋_GB2312" w:hAnsi="仿宋"/>
                <w:kern w:val="0"/>
                <w:sz w:val="20"/>
                <w:szCs w:val="20"/>
              </w:rPr>
              <w:t>.2</w:t>
            </w:r>
          </w:p>
        </w:tc>
      </w:tr>
      <w:tr w:rsidR="00374D88" w:rsidTr="00BE5664">
        <w:trPr>
          <w:trHeight w:val="555"/>
          <w:jc w:val="center"/>
        </w:trPr>
        <w:tc>
          <w:tcPr>
            <w:tcW w:w="512"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lastRenderedPageBreak/>
              <w:t>4</w:t>
            </w:r>
          </w:p>
        </w:tc>
        <w:tc>
          <w:tcPr>
            <w:tcW w:w="1156"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 xml:space="preserve">第四章 </w:t>
            </w:r>
            <w:bookmarkStart w:id="28" w:name="_Hlk68733120"/>
            <w:r>
              <w:rPr>
                <w:rFonts w:ascii="仿宋_GB2312" w:hAnsi="仿宋" w:hint="eastAsia"/>
                <w:kern w:val="0"/>
                <w:sz w:val="20"/>
                <w:szCs w:val="20"/>
              </w:rPr>
              <w:t>桩基础</w:t>
            </w:r>
            <w:bookmarkEnd w:id="28"/>
          </w:p>
        </w:tc>
        <w:tc>
          <w:tcPr>
            <w:tcW w:w="708"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8</w:t>
            </w:r>
          </w:p>
        </w:tc>
        <w:tc>
          <w:tcPr>
            <w:tcW w:w="2410"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 xml:space="preserve">桩的类型；桩的竖向承载力；桩基础沉降的计算；桩的负摩擦问题；桩的水平承载力；桩的平面布置原则；桩承台的设计；桩基础设计的一般步骤。 </w:t>
            </w:r>
          </w:p>
        </w:tc>
        <w:tc>
          <w:tcPr>
            <w:tcW w:w="2693"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了解并掌握桩的类型；</w:t>
            </w:r>
            <w:bookmarkStart w:id="29" w:name="_Hlk69330720"/>
            <w:r>
              <w:rPr>
                <w:rFonts w:ascii="仿宋_GB2312" w:hAnsi="仿宋" w:hint="eastAsia"/>
                <w:kern w:val="0"/>
                <w:sz w:val="20"/>
                <w:szCs w:val="20"/>
              </w:rPr>
              <w:t>桩的竖向承载力；</w:t>
            </w:r>
            <w:bookmarkEnd w:id="29"/>
            <w:r>
              <w:rPr>
                <w:rFonts w:ascii="仿宋_GB2312" w:hAnsi="仿宋" w:hint="eastAsia"/>
                <w:kern w:val="0"/>
                <w:sz w:val="20"/>
                <w:szCs w:val="20"/>
              </w:rPr>
              <w:t>桩基础沉降的计算；桩的负摩擦问题；桩的水平承载力；桩的平面布置原则；桩承台的设计；桩基础设计的一般步骤。</w:t>
            </w:r>
          </w:p>
        </w:tc>
        <w:tc>
          <w:tcPr>
            <w:tcW w:w="1985"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1.3，2.3，3.1，3.2</w:t>
            </w:r>
          </w:p>
        </w:tc>
      </w:tr>
      <w:bookmarkEnd w:id="23"/>
      <w:tr w:rsidR="00374D88" w:rsidTr="00BE5664">
        <w:trPr>
          <w:trHeight w:val="555"/>
          <w:jc w:val="center"/>
        </w:trPr>
        <w:tc>
          <w:tcPr>
            <w:tcW w:w="512"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5</w:t>
            </w:r>
          </w:p>
        </w:tc>
        <w:tc>
          <w:tcPr>
            <w:tcW w:w="1156"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第五章 地基处理</w:t>
            </w:r>
          </w:p>
        </w:tc>
        <w:tc>
          <w:tcPr>
            <w:tcW w:w="708"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4</w:t>
            </w:r>
          </w:p>
        </w:tc>
        <w:tc>
          <w:tcPr>
            <w:tcW w:w="2410"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 xml:space="preserve">垫层法；排水固结法；深层水泥搅拌法；高压喷射注浆法；强夯法；振冲法。 </w:t>
            </w:r>
          </w:p>
        </w:tc>
        <w:tc>
          <w:tcPr>
            <w:tcW w:w="2693"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熟悉并掌握垫层法、排水固结法、深层水泥搅拌法、高压喷射注浆法、强夯法和振冲法的内容。</w:t>
            </w:r>
          </w:p>
        </w:tc>
        <w:tc>
          <w:tcPr>
            <w:tcW w:w="1985"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1.3，2.3</w:t>
            </w:r>
          </w:p>
        </w:tc>
      </w:tr>
      <w:tr w:rsidR="00374D88" w:rsidTr="00BE5664">
        <w:trPr>
          <w:trHeight w:val="555"/>
          <w:jc w:val="center"/>
        </w:trPr>
        <w:tc>
          <w:tcPr>
            <w:tcW w:w="512"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6</w:t>
            </w:r>
          </w:p>
        </w:tc>
        <w:tc>
          <w:tcPr>
            <w:tcW w:w="1156"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第六章 挡土墙</w:t>
            </w:r>
          </w:p>
        </w:tc>
        <w:tc>
          <w:tcPr>
            <w:tcW w:w="708"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2</w:t>
            </w:r>
          </w:p>
        </w:tc>
        <w:tc>
          <w:tcPr>
            <w:tcW w:w="2410"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 xml:space="preserve">挡土墙的类型；作用在挡土墙上的土压力，重力式挡土墙；悬臂式挡土墙；扶壁式挡土墙。 </w:t>
            </w:r>
          </w:p>
        </w:tc>
        <w:tc>
          <w:tcPr>
            <w:tcW w:w="2693"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熟悉挡土墙的类型。熟练掌握 作用在挡土墙上的土压力的计算方法。了解重力式挡土墙、悬臂式挡土墙和扶壁式挡土墙。</w:t>
            </w:r>
          </w:p>
        </w:tc>
        <w:tc>
          <w:tcPr>
            <w:tcW w:w="1985"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1.3，2.3</w:t>
            </w:r>
          </w:p>
        </w:tc>
      </w:tr>
      <w:tr w:rsidR="00374D88" w:rsidTr="00BE5664">
        <w:trPr>
          <w:trHeight w:val="555"/>
          <w:jc w:val="center"/>
        </w:trPr>
        <w:tc>
          <w:tcPr>
            <w:tcW w:w="512"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7</w:t>
            </w:r>
          </w:p>
        </w:tc>
        <w:tc>
          <w:tcPr>
            <w:tcW w:w="1156"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第七章 基坑工程</w:t>
            </w:r>
          </w:p>
        </w:tc>
        <w:tc>
          <w:tcPr>
            <w:tcW w:w="708"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4</w:t>
            </w:r>
          </w:p>
        </w:tc>
        <w:tc>
          <w:tcPr>
            <w:tcW w:w="2410"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 xml:space="preserve">围护结构形式及适用范围；支护结构上的荷载；悬臂式围护结构内力分析；单锚式围护结构内力分析；基坑的稳定验算。 </w:t>
            </w:r>
          </w:p>
        </w:tc>
        <w:tc>
          <w:tcPr>
            <w:tcW w:w="2693" w:type="dxa"/>
            <w:vAlign w:val="center"/>
          </w:tcPr>
          <w:p w:rsidR="00374D88" w:rsidRDefault="00374D88" w:rsidP="00BE5664">
            <w:pPr>
              <w:rPr>
                <w:rFonts w:ascii="仿宋_GB2312" w:hAnsi="仿宋"/>
                <w:kern w:val="0"/>
                <w:sz w:val="20"/>
                <w:szCs w:val="20"/>
              </w:rPr>
            </w:pPr>
            <w:r>
              <w:rPr>
                <w:rFonts w:ascii="仿宋_GB2312" w:hAnsi="仿宋" w:hint="eastAsia"/>
                <w:kern w:val="0"/>
                <w:sz w:val="20"/>
                <w:szCs w:val="20"/>
              </w:rPr>
              <w:t>了解并掌握围护结构形式及 适用范围；支护结构上的荷载；悬臂式围护结构内力分析；单锚式围护结构内力分析；基坑的稳定验算。</w:t>
            </w:r>
          </w:p>
        </w:tc>
        <w:tc>
          <w:tcPr>
            <w:tcW w:w="1985" w:type="dxa"/>
            <w:vAlign w:val="center"/>
          </w:tcPr>
          <w:p w:rsidR="00374D88" w:rsidRDefault="00374D88" w:rsidP="00BE5664">
            <w:pPr>
              <w:jc w:val="center"/>
              <w:rPr>
                <w:rFonts w:ascii="仿宋_GB2312" w:hAnsi="仿宋"/>
                <w:kern w:val="0"/>
                <w:sz w:val="20"/>
                <w:szCs w:val="20"/>
              </w:rPr>
            </w:pPr>
            <w:r>
              <w:rPr>
                <w:rFonts w:ascii="仿宋_GB2312" w:hAnsi="仿宋" w:hint="eastAsia"/>
                <w:kern w:val="0"/>
                <w:sz w:val="20"/>
                <w:szCs w:val="20"/>
              </w:rPr>
              <w:t>1.3，2.3</w:t>
            </w:r>
          </w:p>
        </w:tc>
      </w:tr>
    </w:tbl>
    <w:p w:rsidR="00374D88" w:rsidRDefault="00374D88" w:rsidP="00374D88">
      <w:pPr>
        <w:spacing w:beforeLines="50" w:before="156" w:afterLines="50" w:after="156" w:line="360" w:lineRule="auto"/>
        <w:rPr>
          <w:rFonts w:ascii="黑体" w:eastAsia="黑体" w:hAnsi="黑体"/>
          <w:b/>
          <w:sz w:val="28"/>
          <w:szCs w:val="28"/>
        </w:rPr>
      </w:pPr>
      <w:r>
        <w:rPr>
          <w:rFonts w:ascii="黑体" w:eastAsia="黑体" w:hAnsi="黑体" w:hint="eastAsia"/>
          <w:b/>
          <w:sz w:val="28"/>
          <w:szCs w:val="28"/>
        </w:rPr>
        <w:t>五、课程考核和评价方式</w:t>
      </w:r>
    </w:p>
    <w:p w:rsidR="00374D88" w:rsidRDefault="00374D88" w:rsidP="00374D88">
      <w:pPr>
        <w:spacing w:beforeLines="50" w:before="156" w:afterLines="50" w:after="156" w:line="460" w:lineRule="exact"/>
        <w:ind w:firstLineChars="101" w:firstLine="284"/>
        <w:rPr>
          <w:rFonts w:ascii="仿宋_GB2312" w:hAnsi="仿宋"/>
          <w:b/>
          <w:sz w:val="28"/>
          <w:szCs w:val="28"/>
        </w:rPr>
      </w:pPr>
      <w:r>
        <w:rPr>
          <w:rFonts w:ascii="仿宋_GB2312" w:hAnsi="仿宋" w:hint="eastAsia"/>
          <w:b/>
          <w:sz w:val="28"/>
          <w:szCs w:val="28"/>
        </w:rPr>
        <w:t>1.课程考核</w:t>
      </w:r>
    </w:p>
    <w:p w:rsidR="00374D88" w:rsidRPr="00EE2D67" w:rsidRDefault="00374D88" w:rsidP="00EE2D67">
      <w:pPr>
        <w:spacing w:line="360" w:lineRule="auto"/>
        <w:ind w:firstLineChars="200" w:firstLine="560"/>
        <w:rPr>
          <w:rFonts w:ascii="仿宋_GB2312" w:hAnsi="仿宋"/>
          <w:sz w:val="28"/>
          <w:szCs w:val="28"/>
        </w:rPr>
      </w:pPr>
      <w:r w:rsidRPr="00EE2D67">
        <w:rPr>
          <w:rFonts w:ascii="仿宋_GB2312" w:hAnsi="仿宋"/>
          <w:sz w:val="28"/>
          <w:szCs w:val="28"/>
        </w:rPr>
        <w:t>本课程考核方式为考试，成绩评定为百分率制。</w:t>
      </w:r>
    </w:p>
    <w:p w:rsidR="00374D88" w:rsidRDefault="00374D88" w:rsidP="00374D88">
      <w:pPr>
        <w:spacing w:beforeLines="50" w:before="156" w:afterLines="50" w:after="156" w:line="460" w:lineRule="exact"/>
        <w:ind w:firstLineChars="101" w:firstLine="284"/>
        <w:rPr>
          <w:b/>
        </w:rPr>
      </w:pPr>
      <w:r>
        <w:rPr>
          <w:rFonts w:ascii="仿宋_GB2312" w:hAnsi="仿宋" w:hint="eastAsia"/>
          <w:b/>
          <w:sz w:val="28"/>
          <w:szCs w:val="28"/>
        </w:rPr>
        <w:t>2.成绩评定</w:t>
      </w:r>
    </w:p>
    <w:p w:rsidR="00374D88" w:rsidRPr="00EE2D67" w:rsidRDefault="00374D88" w:rsidP="00EE2D67">
      <w:pPr>
        <w:spacing w:line="360" w:lineRule="auto"/>
        <w:ind w:firstLineChars="200" w:firstLine="640"/>
      </w:pPr>
      <w:r w:rsidRPr="00EE2D67">
        <w:t>课程总成绩</w:t>
      </w:r>
      <w:r w:rsidRPr="00EE2D67">
        <w:t>=</w:t>
      </w:r>
      <w:r w:rsidRPr="00EE2D67">
        <w:t>期末成绩</w:t>
      </w:r>
      <w:r w:rsidRPr="00EE2D67">
        <w:t>80%+</w:t>
      </w:r>
      <w:r w:rsidRPr="00EE2D67">
        <w:t>平时成绩</w:t>
      </w:r>
      <w:r w:rsidRPr="00EE2D67">
        <w:t>20%</w:t>
      </w:r>
    </w:p>
    <w:p w:rsidR="00374D88" w:rsidRPr="00EE2D67" w:rsidRDefault="00374D88" w:rsidP="00374D88">
      <w:pPr>
        <w:spacing w:line="360" w:lineRule="auto"/>
        <w:ind w:firstLineChars="200" w:firstLine="640"/>
        <w:rPr>
          <w:rFonts w:ascii="仿宋_GB2312" w:hAnsi="仿宋"/>
          <w:sz w:val="28"/>
          <w:szCs w:val="28"/>
        </w:rPr>
      </w:pPr>
      <w:r w:rsidRPr="00EE2D67">
        <w:t>学生在本课程学习阶段应能够达到自主讨论，自主学习，课下针对老师布置的作业或课后思考应积极完成，掌握良好的学习方法，对基础工程这门课在教学的基础上能有更深的认识，能运用土力学及基础工程的基本原理和概念，结合结构设计理论，联系实际，分析和解决地基基础问题。</w:t>
      </w:r>
      <w:r w:rsidRPr="00EE2D67">
        <w:cr/>
      </w:r>
      <w:r w:rsidRPr="00EE2D67">
        <w:rPr>
          <w:rFonts w:ascii="仿宋_GB2312" w:hAnsi="仿宋" w:hint="eastAsia"/>
          <w:sz w:val="28"/>
          <w:szCs w:val="28"/>
        </w:rPr>
        <w:t xml:space="preserve">    </w:t>
      </w:r>
      <w:r w:rsidRPr="00EE2D67">
        <w:t>平时成绩包括考勤（</w:t>
      </w:r>
      <w:r w:rsidRPr="00EE2D67">
        <w:t>30%</w:t>
      </w:r>
      <w:r w:rsidRPr="00EE2D67">
        <w:t>）和作业（</w:t>
      </w:r>
      <w:r w:rsidRPr="00EE2D67">
        <w:t>70%</w:t>
      </w:r>
      <w:r w:rsidRPr="00EE2D67">
        <w:t>）环节。本课</w:t>
      </w:r>
      <w:r w:rsidRPr="00EE2D67">
        <w:rPr>
          <w:rFonts w:ascii="仿宋_GB2312" w:hAnsi="仿宋" w:hint="eastAsia"/>
          <w:sz w:val="28"/>
          <w:szCs w:val="28"/>
        </w:rPr>
        <w:t>程</w:t>
      </w:r>
      <w:r w:rsidRPr="00EE2D67">
        <w:rPr>
          <w:rFonts w:ascii="仿宋_GB2312" w:hAnsi="仿宋" w:hint="eastAsia"/>
          <w:sz w:val="28"/>
          <w:szCs w:val="28"/>
        </w:rPr>
        <w:lastRenderedPageBreak/>
        <w:t>的课外作业包括地基承载力计算；浅基础常规设计；桩基础设计计算；地基处理；挡土墙设计计算；基坑工程设计计算。</w:t>
      </w:r>
    </w:p>
    <w:p w:rsidR="00374D88" w:rsidRPr="00EE2D67" w:rsidRDefault="00374D88" w:rsidP="00374D88">
      <w:pPr>
        <w:spacing w:line="360" w:lineRule="auto"/>
        <w:ind w:firstLineChars="200" w:firstLine="560"/>
        <w:rPr>
          <w:rFonts w:ascii="仿宋_GB2312" w:hAnsi="仿宋"/>
          <w:sz w:val="28"/>
          <w:szCs w:val="28"/>
        </w:rPr>
      </w:pPr>
      <w:r w:rsidRPr="00EE2D67">
        <w:rPr>
          <w:rFonts w:ascii="仿宋_GB2312" w:hAnsi="仿宋"/>
          <w:sz w:val="28"/>
          <w:szCs w:val="28"/>
        </w:rPr>
        <w:t>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4637"/>
        <w:gridCol w:w="1667"/>
      </w:tblGrid>
      <w:tr w:rsidR="00374D88" w:rsidTr="00BE5664">
        <w:trPr>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374D88" w:rsidRPr="00EE2D67" w:rsidRDefault="00374D88" w:rsidP="00EE2D67">
            <w:pPr>
              <w:spacing w:line="360" w:lineRule="auto"/>
              <w:ind w:firstLineChars="200" w:firstLine="482"/>
              <w:rPr>
                <w:b/>
                <w:sz w:val="24"/>
                <w:szCs w:val="24"/>
              </w:rPr>
            </w:pPr>
            <w:r w:rsidRPr="00EE2D67">
              <w:rPr>
                <w:b/>
                <w:sz w:val="24"/>
                <w:szCs w:val="24"/>
              </w:rPr>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374D88" w:rsidRPr="00EE2D67" w:rsidRDefault="00374D88" w:rsidP="00EE2D67">
            <w:pPr>
              <w:spacing w:line="360" w:lineRule="auto"/>
              <w:ind w:firstLineChars="200" w:firstLine="482"/>
              <w:rPr>
                <w:b/>
                <w:sz w:val="24"/>
                <w:szCs w:val="24"/>
              </w:rPr>
            </w:pPr>
            <w:r w:rsidRPr="00EE2D67">
              <w:rPr>
                <w:b/>
                <w:sz w:val="24"/>
                <w:szCs w:val="24"/>
              </w:rPr>
              <w:t>教学目标</w:t>
            </w:r>
          </w:p>
        </w:tc>
      </w:tr>
      <w:tr w:rsidR="00374D88" w:rsidTr="00BE5664">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374D88" w:rsidRPr="00EE2D67" w:rsidRDefault="00374D88" w:rsidP="00BE5664">
            <w:pPr>
              <w:jc w:val="center"/>
              <w:rPr>
                <w:rFonts w:ascii="Times New Roman" w:hAnsi="Times New Roman"/>
                <w:sz w:val="24"/>
                <w:szCs w:val="24"/>
              </w:rPr>
            </w:pPr>
            <w:r w:rsidRPr="00EE2D67">
              <w:rPr>
                <w:rFonts w:ascii="Times New Roman" w:hAnsi="Times New Roman"/>
                <w:sz w:val="24"/>
                <w:szCs w:val="24"/>
              </w:rPr>
              <w:t>分项比例</w:t>
            </w:r>
          </w:p>
        </w:tc>
        <w:tc>
          <w:tcPr>
            <w:tcW w:w="2795" w:type="pct"/>
            <w:tcBorders>
              <w:top w:val="single" w:sz="4" w:space="0" w:color="auto"/>
              <w:left w:val="single" w:sz="4" w:space="0" w:color="auto"/>
              <w:bottom w:val="single" w:sz="4" w:space="0" w:color="auto"/>
              <w:right w:val="single" w:sz="4" w:space="0" w:color="auto"/>
            </w:tcBorders>
            <w:vAlign w:val="center"/>
          </w:tcPr>
          <w:p w:rsidR="00374D88" w:rsidRPr="00EE2D67" w:rsidRDefault="00374D88" w:rsidP="00EE2D67">
            <w:pPr>
              <w:spacing w:line="360" w:lineRule="auto"/>
              <w:ind w:firstLineChars="200" w:firstLine="480"/>
              <w:rPr>
                <w:sz w:val="24"/>
                <w:szCs w:val="24"/>
              </w:rPr>
            </w:pPr>
            <w:r w:rsidRPr="00EE2D67">
              <w:rPr>
                <w:sz w:val="24"/>
                <w:szCs w:val="24"/>
              </w:rPr>
              <w:t>考核要求</w:t>
            </w:r>
          </w:p>
        </w:tc>
        <w:tc>
          <w:tcPr>
            <w:tcW w:w="1005" w:type="pct"/>
            <w:vMerge/>
            <w:tcBorders>
              <w:top w:val="single" w:sz="4" w:space="0" w:color="auto"/>
              <w:left w:val="single" w:sz="4" w:space="0" w:color="auto"/>
              <w:bottom w:val="single" w:sz="4" w:space="0" w:color="auto"/>
              <w:right w:val="single" w:sz="4" w:space="0" w:color="auto"/>
            </w:tcBorders>
            <w:vAlign w:val="center"/>
          </w:tcPr>
          <w:p w:rsidR="00374D88" w:rsidRPr="00EE2D67" w:rsidRDefault="00374D88" w:rsidP="00EE2D67">
            <w:pPr>
              <w:spacing w:line="360" w:lineRule="auto"/>
              <w:ind w:firstLineChars="200" w:firstLine="480"/>
              <w:rPr>
                <w:sz w:val="24"/>
                <w:szCs w:val="24"/>
              </w:rPr>
            </w:pPr>
          </w:p>
        </w:tc>
      </w:tr>
      <w:tr w:rsidR="00374D88" w:rsidTr="00BE5664">
        <w:trPr>
          <w:trHeight w:val="1500"/>
          <w:jc w:val="center"/>
        </w:trPr>
        <w:tc>
          <w:tcPr>
            <w:tcW w:w="1200"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平时成绩</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374D88" w:rsidRPr="00EE2D67" w:rsidRDefault="00374D88" w:rsidP="00EE2D67">
            <w:pPr>
              <w:spacing w:line="360" w:lineRule="auto"/>
              <w:ind w:firstLineChars="200" w:firstLine="480"/>
              <w:rPr>
                <w:sz w:val="24"/>
                <w:szCs w:val="24"/>
              </w:rPr>
            </w:pPr>
            <w:r w:rsidRPr="00EE2D67">
              <w:rPr>
                <w:sz w:val="24"/>
                <w:szCs w:val="24"/>
              </w:rPr>
              <w:t>出勤统计不少于授课次数的</w:t>
            </w:r>
            <w:r w:rsidRPr="00EE2D67">
              <w:rPr>
                <w:sz w:val="24"/>
                <w:szCs w:val="24"/>
              </w:rPr>
              <w:t xml:space="preserve"> 2/3</w:t>
            </w:r>
            <w:r w:rsidRPr="00EE2D67">
              <w:rPr>
                <w:sz w:val="24"/>
                <w:szCs w:val="24"/>
              </w:rPr>
              <w:t>，重点考察学生的课堂表现，占</w:t>
            </w:r>
            <w:r w:rsidRPr="00EE2D67">
              <w:rPr>
                <w:rFonts w:hint="eastAsia"/>
                <w:sz w:val="24"/>
                <w:szCs w:val="24"/>
              </w:rPr>
              <w:t>平时成绩的</w:t>
            </w:r>
            <w:r w:rsidRPr="00EE2D67">
              <w:rPr>
                <w:sz w:val="24"/>
                <w:szCs w:val="24"/>
              </w:rPr>
              <w:t>30%</w:t>
            </w:r>
            <w:r w:rsidRPr="00EE2D67">
              <w:rPr>
                <w:sz w:val="24"/>
                <w:szCs w:val="24"/>
              </w:rPr>
              <w:t>；课后作业布置</w:t>
            </w:r>
            <w:r w:rsidRPr="00EE2D67">
              <w:rPr>
                <w:sz w:val="24"/>
                <w:szCs w:val="24"/>
              </w:rPr>
              <w:t>6</w:t>
            </w:r>
            <w:r w:rsidRPr="00EE2D67">
              <w:rPr>
                <w:sz w:val="24"/>
                <w:szCs w:val="24"/>
              </w:rPr>
              <w:t>次；通过课后作业考核学生对</w:t>
            </w:r>
            <w:r w:rsidRPr="00EE2D67">
              <w:rPr>
                <w:rFonts w:hint="eastAsia"/>
                <w:sz w:val="24"/>
                <w:szCs w:val="24"/>
              </w:rPr>
              <w:t>浅基础</w:t>
            </w:r>
            <w:r w:rsidRPr="00EE2D67">
              <w:rPr>
                <w:sz w:val="24"/>
                <w:szCs w:val="24"/>
              </w:rPr>
              <w:t>、</w:t>
            </w:r>
            <w:r w:rsidRPr="00EE2D67">
              <w:rPr>
                <w:rFonts w:hint="eastAsia"/>
                <w:sz w:val="24"/>
                <w:szCs w:val="24"/>
              </w:rPr>
              <w:t>连续基础</w:t>
            </w:r>
            <w:r w:rsidRPr="00EE2D67">
              <w:rPr>
                <w:sz w:val="24"/>
                <w:szCs w:val="24"/>
              </w:rPr>
              <w:t>、</w:t>
            </w:r>
            <w:r w:rsidRPr="00EE2D67">
              <w:rPr>
                <w:rFonts w:hint="eastAsia"/>
                <w:sz w:val="24"/>
                <w:szCs w:val="24"/>
              </w:rPr>
              <w:t>桩基础得基本概念和</w:t>
            </w:r>
            <w:r w:rsidRPr="00EE2D67">
              <w:rPr>
                <w:sz w:val="24"/>
                <w:szCs w:val="24"/>
              </w:rPr>
              <w:t>计算</w:t>
            </w:r>
            <w:r w:rsidRPr="00EE2D67">
              <w:rPr>
                <w:rFonts w:hint="eastAsia"/>
                <w:sz w:val="24"/>
                <w:szCs w:val="24"/>
              </w:rPr>
              <w:t>能力</w:t>
            </w:r>
            <w:r w:rsidRPr="00EE2D67">
              <w:rPr>
                <w:sz w:val="24"/>
                <w:szCs w:val="24"/>
              </w:rPr>
              <w:t>的掌握情况，</w:t>
            </w:r>
            <w:r w:rsidRPr="00EE2D67">
              <w:rPr>
                <w:rFonts w:hint="eastAsia"/>
                <w:sz w:val="24"/>
                <w:szCs w:val="24"/>
              </w:rPr>
              <w:t>同时也通过作业来考查学生运用所学知识来解决实际</w:t>
            </w:r>
            <w:r w:rsidRPr="00EE2D67">
              <w:rPr>
                <w:sz w:val="24"/>
                <w:szCs w:val="24"/>
              </w:rPr>
              <w:t>工程问题的能力，占</w:t>
            </w:r>
            <w:r w:rsidRPr="00EE2D67">
              <w:rPr>
                <w:rFonts w:hint="eastAsia"/>
                <w:sz w:val="24"/>
                <w:szCs w:val="24"/>
              </w:rPr>
              <w:t>平时成绩的</w:t>
            </w:r>
            <w:r w:rsidRPr="00EE2D67">
              <w:rPr>
                <w:sz w:val="24"/>
                <w:szCs w:val="24"/>
              </w:rPr>
              <w:t>70%</w:t>
            </w:r>
            <w:r w:rsidRPr="00EE2D67">
              <w:rPr>
                <w:sz w:val="24"/>
                <w:szCs w:val="24"/>
              </w:rPr>
              <w:t>。</w:t>
            </w:r>
          </w:p>
        </w:tc>
        <w:tc>
          <w:tcPr>
            <w:tcW w:w="1005" w:type="pct"/>
            <w:tcBorders>
              <w:top w:val="single" w:sz="4" w:space="0" w:color="auto"/>
              <w:left w:val="single" w:sz="4" w:space="0" w:color="auto"/>
              <w:right w:val="single" w:sz="4" w:space="0" w:color="auto"/>
            </w:tcBorders>
            <w:vAlign w:val="center"/>
          </w:tcPr>
          <w:p w:rsidR="00374D88" w:rsidRPr="00EE2D67" w:rsidRDefault="00374D88" w:rsidP="00EE2D67">
            <w:pPr>
              <w:spacing w:line="360" w:lineRule="auto"/>
              <w:ind w:firstLineChars="200" w:firstLine="480"/>
              <w:jc w:val="center"/>
              <w:rPr>
                <w:sz w:val="24"/>
                <w:szCs w:val="24"/>
              </w:rPr>
            </w:pPr>
            <w:r w:rsidRPr="00EE2D67">
              <w:rPr>
                <w:sz w:val="24"/>
                <w:szCs w:val="24"/>
              </w:rPr>
              <w:t>（</w:t>
            </w:r>
            <w:r w:rsidRPr="00EE2D67">
              <w:rPr>
                <w:sz w:val="24"/>
                <w:szCs w:val="24"/>
              </w:rPr>
              <w:t>1</w:t>
            </w:r>
            <w:r w:rsidRPr="00EE2D67">
              <w:rPr>
                <w:sz w:val="24"/>
                <w:szCs w:val="24"/>
              </w:rPr>
              <w:t>）</w:t>
            </w:r>
          </w:p>
          <w:p w:rsidR="00374D88" w:rsidRPr="00EE2D67" w:rsidRDefault="00374D88" w:rsidP="00EE2D67">
            <w:pPr>
              <w:spacing w:line="360" w:lineRule="auto"/>
              <w:ind w:firstLineChars="200" w:firstLine="480"/>
              <w:jc w:val="center"/>
              <w:rPr>
                <w:sz w:val="24"/>
                <w:szCs w:val="24"/>
              </w:rPr>
            </w:pPr>
            <w:r w:rsidRPr="00EE2D67">
              <w:rPr>
                <w:sz w:val="24"/>
                <w:szCs w:val="24"/>
              </w:rPr>
              <w:t>（</w:t>
            </w:r>
            <w:r w:rsidRPr="00EE2D67">
              <w:rPr>
                <w:sz w:val="24"/>
                <w:szCs w:val="24"/>
              </w:rPr>
              <w:t>2</w:t>
            </w:r>
            <w:r w:rsidRPr="00EE2D67">
              <w:rPr>
                <w:sz w:val="24"/>
                <w:szCs w:val="24"/>
              </w:rPr>
              <w:t>）</w:t>
            </w:r>
          </w:p>
          <w:p w:rsidR="00374D88" w:rsidRPr="00EE2D67" w:rsidRDefault="00374D88" w:rsidP="00EE2D67">
            <w:pPr>
              <w:spacing w:line="360" w:lineRule="auto"/>
              <w:ind w:firstLineChars="200" w:firstLine="480"/>
              <w:jc w:val="center"/>
              <w:rPr>
                <w:sz w:val="24"/>
                <w:szCs w:val="24"/>
              </w:rPr>
            </w:pPr>
            <w:r w:rsidRPr="00EE2D67">
              <w:rPr>
                <w:rFonts w:hint="eastAsia"/>
                <w:sz w:val="24"/>
                <w:szCs w:val="24"/>
              </w:rPr>
              <w:t>（</w:t>
            </w:r>
            <w:r w:rsidRPr="00EE2D67">
              <w:rPr>
                <w:rFonts w:hint="eastAsia"/>
                <w:sz w:val="24"/>
                <w:szCs w:val="24"/>
              </w:rPr>
              <w:t>3</w:t>
            </w:r>
            <w:r w:rsidRPr="00EE2D67">
              <w:rPr>
                <w:rFonts w:hint="eastAsia"/>
                <w:sz w:val="24"/>
                <w:szCs w:val="24"/>
              </w:rPr>
              <w:t>）</w:t>
            </w:r>
          </w:p>
        </w:tc>
      </w:tr>
      <w:tr w:rsidR="00374D88" w:rsidTr="00BE5664">
        <w:trPr>
          <w:trHeight w:val="900"/>
          <w:jc w:val="center"/>
        </w:trPr>
        <w:tc>
          <w:tcPr>
            <w:tcW w:w="1200"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期终考试</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80%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374D88" w:rsidRPr="00EE2D67" w:rsidRDefault="00374D88" w:rsidP="00EE2D67">
            <w:pPr>
              <w:spacing w:line="360" w:lineRule="auto"/>
              <w:ind w:firstLineChars="200" w:firstLine="480"/>
              <w:rPr>
                <w:sz w:val="24"/>
                <w:szCs w:val="24"/>
              </w:rPr>
            </w:pPr>
            <w:r w:rsidRPr="00EE2D67">
              <w:rPr>
                <w:sz w:val="24"/>
                <w:szCs w:val="24"/>
              </w:rPr>
              <w:t>期末考试采用闭卷形式。考试范围基本涵盖所有讲授内容，考试内容主要反映学生对本课程计算和分析问题方法等理解和掌握的程度，以及综合运用的能力。</w:t>
            </w:r>
          </w:p>
        </w:tc>
        <w:tc>
          <w:tcPr>
            <w:tcW w:w="1005" w:type="pct"/>
            <w:tcBorders>
              <w:top w:val="single" w:sz="4" w:space="0" w:color="auto"/>
              <w:left w:val="single" w:sz="4" w:space="0" w:color="auto"/>
              <w:right w:val="single" w:sz="4" w:space="0" w:color="auto"/>
            </w:tcBorders>
            <w:vAlign w:val="center"/>
          </w:tcPr>
          <w:p w:rsidR="00374D88" w:rsidRPr="00EE2D67" w:rsidRDefault="00374D88" w:rsidP="00EE2D67">
            <w:pPr>
              <w:spacing w:line="360" w:lineRule="auto"/>
              <w:ind w:firstLineChars="200" w:firstLine="480"/>
              <w:jc w:val="center"/>
              <w:rPr>
                <w:sz w:val="24"/>
                <w:szCs w:val="24"/>
              </w:rPr>
            </w:pPr>
            <w:r w:rsidRPr="00EE2D67">
              <w:rPr>
                <w:sz w:val="24"/>
                <w:szCs w:val="24"/>
              </w:rPr>
              <w:t>（</w:t>
            </w:r>
            <w:r w:rsidRPr="00EE2D67">
              <w:rPr>
                <w:sz w:val="24"/>
                <w:szCs w:val="24"/>
              </w:rPr>
              <w:t>1</w:t>
            </w:r>
            <w:r w:rsidRPr="00EE2D67">
              <w:rPr>
                <w:sz w:val="24"/>
                <w:szCs w:val="24"/>
              </w:rPr>
              <w:t>）</w:t>
            </w:r>
          </w:p>
          <w:p w:rsidR="00374D88" w:rsidRPr="00EE2D67" w:rsidRDefault="00374D88" w:rsidP="00EE2D67">
            <w:pPr>
              <w:spacing w:line="360" w:lineRule="auto"/>
              <w:ind w:firstLineChars="200" w:firstLine="480"/>
              <w:jc w:val="center"/>
              <w:rPr>
                <w:sz w:val="24"/>
                <w:szCs w:val="24"/>
              </w:rPr>
            </w:pPr>
            <w:r w:rsidRPr="00EE2D67">
              <w:rPr>
                <w:rFonts w:hint="eastAsia"/>
                <w:sz w:val="24"/>
                <w:szCs w:val="24"/>
              </w:rPr>
              <w:t>（</w:t>
            </w:r>
            <w:r w:rsidRPr="00EE2D67">
              <w:rPr>
                <w:rFonts w:hint="eastAsia"/>
                <w:sz w:val="24"/>
                <w:szCs w:val="24"/>
              </w:rPr>
              <w:t>2</w:t>
            </w:r>
            <w:r w:rsidRPr="00EE2D67">
              <w:rPr>
                <w:rFonts w:hint="eastAsia"/>
                <w:sz w:val="24"/>
                <w:szCs w:val="24"/>
              </w:rPr>
              <w:t>）</w:t>
            </w:r>
          </w:p>
          <w:p w:rsidR="00374D88" w:rsidRPr="00EE2D67" w:rsidRDefault="00374D88" w:rsidP="00EE2D67">
            <w:pPr>
              <w:spacing w:line="360" w:lineRule="auto"/>
              <w:ind w:firstLineChars="200" w:firstLine="480"/>
              <w:jc w:val="center"/>
              <w:rPr>
                <w:sz w:val="24"/>
                <w:szCs w:val="24"/>
              </w:rPr>
            </w:pPr>
            <w:r w:rsidRPr="00EE2D67">
              <w:rPr>
                <w:sz w:val="24"/>
                <w:szCs w:val="24"/>
              </w:rPr>
              <w:t>（</w:t>
            </w:r>
            <w:r w:rsidRPr="00EE2D67">
              <w:rPr>
                <w:sz w:val="24"/>
                <w:szCs w:val="24"/>
              </w:rPr>
              <w:t>3</w:t>
            </w:r>
            <w:r w:rsidRPr="00EE2D67">
              <w:rPr>
                <w:sz w:val="24"/>
                <w:szCs w:val="24"/>
              </w:rPr>
              <w:t>）</w:t>
            </w:r>
          </w:p>
        </w:tc>
      </w:tr>
    </w:tbl>
    <w:p w:rsidR="00374D88" w:rsidRDefault="00374D88" w:rsidP="00374D88">
      <w:pPr>
        <w:spacing w:line="360" w:lineRule="auto"/>
        <w:ind w:firstLineChars="200" w:firstLine="560"/>
        <w:rPr>
          <w:rFonts w:ascii="仿宋_GB2312" w:hAnsi="仿宋" w:cs="宋体"/>
          <w:color w:val="000000"/>
          <w:sz w:val="28"/>
          <w:szCs w:val="28"/>
        </w:rPr>
      </w:pPr>
      <w:r>
        <w:rPr>
          <w:rFonts w:ascii="仿宋_GB2312" w:hAnsi="仿宋" w:cs="宋体" w:hint="eastAsia"/>
          <w:color w:val="000000"/>
          <w:sz w:val="28"/>
          <w:szCs w:val="28"/>
        </w:rPr>
        <w:t>3.</w:t>
      </w:r>
      <w:r>
        <w:rPr>
          <w:rFonts w:ascii="仿宋_GB2312" w:hAnsi="仿宋" w:cs="宋体"/>
          <w:color w:val="000000"/>
          <w:sz w:val="28"/>
          <w:szCs w:val="28"/>
        </w:rPr>
        <w:t>课程目标达成度自评方式</w:t>
      </w:r>
    </w:p>
    <w:p w:rsidR="00374D88" w:rsidRDefault="00374D88" w:rsidP="00374D88">
      <w:pPr>
        <w:spacing w:line="360" w:lineRule="auto"/>
        <w:ind w:firstLineChars="200" w:firstLine="560"/>
        <w:rPr>
          <w:rFonts w:ascii="仿宋_GB2312" w:hAnsi="仿宋" w:cs="宋体"/>
          <w:color w:val="000000"/>
          <w:sz w:val="28"/>
          <w:szCs w:val="28"/>
        </w:rPr>
      </w:pPr>
      <w:r>
        <w:rPr>
          <w:rFonts w:ascii="仿宋_GB2312" w:hAnsi="仿宋" w:cs="宋体"/>
          <w:color w:val="000000"/>
          <w:sz w:val="28"/>
          <w:szCs w:val="28"/>
        </w:rPr>
        <w:t>据学院教学管理规定，在开展课程达成度评价前，课程评价审核小组对课程的评价依据合理性进行确认，包括平时作业</w:t>
      </w:r>
      <w:r>
        <w:rPr>
          <w:rFonts w:ascii="仿宋_GB2312" w:hAnsi="仿宋" w:cs="宋体" w:hint="eastAsia"/>
          <w:color w:val="000000"/>
          <w:sz w:val="28"/>
          <w:szCs w:val="28"/>
        </w:rPr>
        <w:t>和</w:t>
      </w:r>
      <w:r>
        <w:rPr>
          <w:rFonts w:ascii="仿宋_GB2312" w:hAnsi="仿宋" w:cs="宋体"/>
          <w:color w:val="000000"/>
          <w:sz w:val="28"/>
          <w:szCs w:val="28"/>
        </w:rPr>
        <w:t>期终考试等考核环节。课程结束后，课程小组需要对课程进行达成度评价，课程小组由课程负责人和任课教师组成，统计课程考核数据，并填写</w:t>
      </w:r>
      <w:r>
        <w:rPr>
          <w:rFonts w:ascii="仿宋_GB2312" w:hAnsi="仿宋" w:cs="宋体"/>
          <w:color w:val="000000"/>
          <w:sz w:val="28"/>
          <w:szCs w:val="28"/>
        </w:rPr>
        <w:t>“</w:t>
      </w:r>
      <w:r>
        <w:rPr>
          <w:rFonts w:ascii="仿宋_GB2312" w:hAnsi="仿宋" w:cs="宋体"/>
          <w:color w:val="000000"/>
          <w:sz w:val="28"/>
          <w:szCs w:val="28"/>
        </w:rPr>
        <w:t>《</w:t>
      </w:r>
      <w:r>
        <w:rPr>
          <w:rFonts w:ascii="仿宋_GB2312" w:hAnsi="仿宋" w:cs="宋体" w:hint="eastAsia"/>
          <w:color w:val="000000"/>
          <w:sz w:val="28"/>
          <w:szCs w:val="28"/>
        </w:rPr>
        <w:t>基础工程</w:t>
      </w:r>
      <w:r>
        <w:rPr>
          <w:rFonts w:ascii="仿宋_GB2312" w:hAnsi="仿宋" w:cs="宋体"/>
          <w:color w:val="000000"/>
          <w:sz w:val="28"/>
          <w:szCs w:val="28"/>
        </w:rPr>
        <w:t>》课程达成情况评价</w:t>
      </w:r>
      <w:r>
        <w:rPr>
          <w:rFonts w:ascii="仿宋_GB2312" w:hAnsi="仿宋" w:cs="宋体"/>
          <w:color w:val="000000"/>
          <w:sz w:val="28"/>
          <w:szCs w:val="28"/>
        </w:rPr>
        <w:t>”</w:t>
      </w:r>
      <w:r>
        <w:rPr>
          <w:rFonts w:ascii="仿宋_GB2312" w:hAnsi="仿宋" w:cs="宋体"/>
          <w:color w:val="000000"/>
          <w:sz w:val="28"/>
          <w:szCs w:val="28"/>
        </w:rPr>
        <w:t>报告，以便及时了解课程的达成效果，发现问题并进行持续改进，同时也为毕业要求达成度的评价提供基础数据。</w:t>
      </w:r>
    </w:p>
    <w:p w:rsidR="00374D88" w:rsidRDefault="00374D88" w:rsidP="00374D88">
      <w:pPr>
        <w:spacing w:line="360" w:lineRule="auto"/>
        <w:ind w:firstLineChars="200" w:firstLine="560"/>
        <w:rPr>
          <w:rFonts w:ascii="仿宋_GB2312" w:hAnsi="仿宋" w:cs="宋体"/>
          <w:color w:val="000000"/>
          <w:sz w:val="28"/>
          <w:szCs w:val="28"/>
        </w:rPr>
      </w:pPr>
      <w:r>
        <w:rPr>
          <w:rFonts w:ascii="仿宋_GB2312" w:hAnsi="仿宋" w:cs="宋体"/>
          <w:color w:val="000000"/>
          <w:sz w:val="28"/>
          <w:szCs w:val="28"/>
        </w:rPr>
        <w:t>根据课程的考核形式，全部或抽样部分考核资料（应以当年修读</w:t>
      </w:r>
      <w:r>
        <w:rPr>
          <w:rFonts w:ascii="仿宋_GB2312" w:hAnsi="仿宋" w:cs="宋体"/>
          <w:color w:val="000000"/>
          <w:sz w:val="28"/>
          <w:szCs w:val="28"/>
        </w:rPr>
        <w:lastRenderedPageBreak/>
        <w:t>该课程的学生为总体，至少抽取90%以上的学生样本），抽样时需覆盖优、良、中、及格和不及格等考核等级的考核资料。课程达成度的具体评价方法，详见</w:t>
      </w:r>
      <w:r>
        <w:rPr>
          <w:rFonts w:ascii="仿宋_GB2312" w:hAnsi="仿宋" w:cs="宋体"/>
          <w:color w:val="000000"/>
          <w:sz w:val="28"/>
          <w:szCs w:val="28"/>
        </w:rPr>
        <w:t>“</w:t>
      </w:r>
      <w:r>
        <w:rPr>
          <w:rFonts w:ascii="仿宋_GB2312" w:hAnsi="仿宋" w:cs="宋体"/>
          <w:color w:val="000000"/>
          <w:sz w:val="28"/>
          <w:szCs w:val="28"/>
        </w:rPr>
        <w:t>《</w:t>
      </w:r>
      <w:r>
        <w:rPr>
          <w:rFonts w:ascii="仿宋_GB2312" w:hAnsi="仿宋" w:cs="宋体" w:hint="eastAsia"/>
          <w:color w:val="000000"/>
          <w:sz w:val="28"/>
          <w:szCs w:val="28"/>
        </w:rPr>
        <w:t>基础工程</w:t>
      </w:r>
      <w:r>
        <w:rPr>
          <w:rFonts w:ascii="仿宋_GB2312" w:hAnsi="仿宋" w:cs="宋体"/>
          <w:color w:val="000000"/>
          <w:sz w:val="28"/>
          <w:szCs w:val="28"/>
        </w:rPr>
        <w:t>》课程达成情况评价</w:t>
      </w:r>
      <w:r>
        <w:rPr>
          <w:rFonts w:ascii="仿宋_GB2312" w:hAnsi="仿宋" w:cs="宋体"/>
          <w:color w:val="000000"/>
          <w:sz w:val="28"/>
          <w:szCs w:val="28"/>
        </w:rPr>
        <w:t>”</w:t>
      </w:r>
      <w:r>
        <w:rPr>
          <w:rFonts w:ascii="仿宋_GB2312" w:hAnsi="仿宋" w:cs="宋体"/>
          <w:color w:val="000000"/>
          <w:sz w:val="28"/>
          <w:szCs w:val="28"/>
        </w:rPr>
        <w:t>报告。课程小组提交课程达成度评价数据后，课程评价审核小组对评价数据的合理性和有效性进行审核。</w:t>
      </w:r>
    </w:p>
    <w:p w:rsidR="00374D88" w:rsidRDefault="00374D88" w:rsidP="00374D88">
      <w:pPr>
        <w:spacing w:beforeLines="50" w:before="156" w:afterLines="50" w:after="156" w:line="360" w:lineRule="auto"/>
        <w:rPr>
          <w:rFonts w:ascii="黑体" w:eastAsia="黑体" w:hAnsi="黑体"/>
          <w:b/>
          <w:sz w:val="28"/>
          <w:szCs w:val="28"/>
        </w:rPr>
      </w:pPr>
      <w:r>
        <w:rPr>
          <w:rFonts w:ascii="黑体" w:eastAsia="黑体" w:hAnsi="黑体" w:hint="eastAsia"/>
          <w:b/>
          <w:sz w:val="28"/>
          <w:szCs w:val="28"/>
        </w:rPr>
        <w:t>六、课程建议教材及主要参考资料</w:t>
      </w:r>
    </w:p>
    <w:p w:rsidR="00374D88" w:rsidRDefault="00374D88" w:rsidP="00374D88">
      <w:pPr>
        <w:spacing w:beforeLines="50" w:before="156" w:afterLines="50" w:after="156" w:line="460" w:lineRule="exact"/>
        <w:ind w:firstLineChars="101" w:firstLine="284"/>
        <w:rPr>
          <w:rFonts w:ascii="仿宋_GB2312" w:hAnsi="仿宋"/>
          <w:b/>
          <w:sz w:val="28"/>
          <w:szCs w:val="28"/>
        </w:rPr>
      </w:pPr>
      <w:r>
        <w:rPr>
          <w:rFonts w:ascii="仿宋_GB2312" w:hAnsi="仿宋" w:hint="eastAsia"/>
          <w:b/>
          <w:sz w:val="28"/>
          <w:szCs w:val="28"/>
        </w:rPr>
        <w:t>1.建议教材</w:t>
      </w:r>
    </w:p>
    <w:p w:rsidR="00374D88" w:rsidRDefault="00374D88" w:rsidP="00374D88">
      <w:pPr>
        <w:spacing w:line="400" w:lineRule="exact"/>
        <w:ind w:firstLineChars="200" w:firstLine="560"/>
        <w:rPr>
          <w:rFonts w:ascii="仿宋_GB2312" w:hAnsi="仿宋"/>
          <w:sz w:val="28"/>
          <w:szCs w:val="28"/>
        </w:rPr>
      </w:pPr>
      <w:r>
        <w:rPr>
          <w:rFonts w:ascii="仿宋_GB2312" w:hAnsi="仿宋" w:hint="eastAsia"/>
          <w:sz w:val="28"/>
          <w:szCs w:val="28"/>
        </w:rPr>
        <w:t>《基础工程》，华南理工大学、浙江大学、湖南大学合编，中国建筑工业出版社，第四版，2019 年。</w:t>
      </w:r>
    </w:p>
    <w:p w:rsidR="00374D88" w:rsidRDefault="00374D88" w:rsidP="00374D88">
      <w:pPr>
        <w:spacing w:beforeLines="50" w:before="156" w:afterLines="50" w:after="156" w:line="460" w:lineRule="exact"/>
        <w:ind w:firstLineChars="101" w:firstLine="284"/>
        <w:rPr>
          <w:rFonts w:ascii="仿宋_GB2312" w:hAnsi="仿宋"/>
          <w:b/>
          <w:sz w:val="28"/>
          <w:szCs w:val="28"/>
        </w:rPr>
      </w:pPr>
      <w:r>
        <w:rPr>
          <w:rFonts w:ascii="仿宋_GB2312" w:hAnsi="仿宋" w:hint="eastAsia"/>
          <w:b/>
          <w:sz w:val="28"/>
          <w:szCs w:val="28"/>
        </w:rPr>
        <w:t>2.主要参考资料</w:t>
      </w:r>
    </w:p>
    <w:p w:rsidR="00374D88" w:rsidRDefault="00374D88" w:rsidP="00374D88">
      <w:pPr>
        <w:spacing w:line="400" w:lineRule="exact"/>
        <w:ind w:firstLineChars="200" w:firstLine="560"/>
        <w:rPr>
          <w:rFonts w:ascii="仿宋_GB2312" w:hAnsi="仿宋"/>
          <w:sz w:val="28"/>
          <w:szCs w:val="28"/>
        </w:rPr>
      </w:pPr>
      <w:r>
        <w:rPr>
          <w:rFonts w:ascii="仿宋_GB2312" w:hAnsi="仿宋" w:hint="eastAsia"/>
          <w:sz w:val="28"/>
          <w:szCs w:val="28"/>
        </w:rPr>
        <w:t>（1）《土力学与基础工程》，赵明华主编，武汉理工大学出版社（第四版），2014年；</w:t>
      </w:r>
    </w:p>
    <w:p w:rsidR="00374D88" w:rsidRDefault="00374D88" w:rsidP="00374D88">
      <w:pPr>
        <w:spacing w:line="400" w:lineRule="exact"/>
        <w:ind w:firstLineChars="200" w:firstLine="560"/>
        <w:rPr>
          <w:rFonts w:ascii="仿宋_GB2312" w:hAnsi="仿宋"/>
          <w:sz w:val="28"/>
          <w:szCs w:val="28"/>
        </w:rPr>
      </w:pPr>
      <w:r>
        <w:rPr>
          <w:rFonts w:ascii="仿宋_GB2312" w:hAnsi="仿宋" w:hint="eastAsia"/>
          <w:sz w:val="28"/>
          <w:szCs w:val="28"/>
        </w:rPr>
        <w:t>（2）《基础工程学》，陈仲颐主编，中国建筑工业出版社，1991年；</w:t>
      </w:r>
    </w:p>
    <w:p w:rsidR="00374D88" w:rsidRDefault="00374D88" w:rsidP="00374D88">
      <w:pPr>
        <w:spacing w:line="400" w:lineRule="exact"/>
        <w:ind w:firstLineChars="200" w:firstLine="560"/>
        <w:rPr>
          <w:rFonts w:ascii="仿宋_GB2312" w:hAnsi="仿宋"/>
          <w:sz w:val="28"/>
          <w:szCs w:val="28"/>
        </w:rPr>
      </w:pPr>
      <w:r>
        <w:rPr>
          <w:rFonts w:ascii="仿宋_GB2312" w:hAnsi="仿宋" w:hint="eastAsia"/>
          <w:sz w:val="28"/>
          <w:szCs w:val="28"/>
        </w:rPr>
        <w:t>（3）《建筑地基基础设计规范》(GB50007-2011)，中国建筑工业出版社 2011年；</w:t>
      </w:r>
    </w:p>
    <w:p w:rsidR="00374D88" w:rsidRDefault="00374D88" w:rsidP="00374D88">
      <w:pPr>
        <w:spacing w:line="400" w:lineRule="exact"/>
        <w:ind w:firstLineChars="200" w:firstLine="560"/>
        <w:rPr>
          <w:rFonts w:ascii="仿宋_GB2312" w:hAnsi="仿宋"/>
          <w:sz w:val="28"/>
          <w:szCs w:val="28"/>
        </w:rPr>
      </w:pPr>
      <w:r>
        <w:rPr>
          <w:rFonts w:ascii="仿宋_GB2312" w:hAnsi="仿宋" w:hint="eastAsia"/>
          <w:sz w:val="28"/>
          <w:szCs w:val="28"/>
        </w:rPr>
        <w:t>（4）《建筑桩基技术规范》 (JGJ 94-2008)，中国建筑工业出版社，2008年；</w:t>
      </w:r>
    </w:p>
    <w:p w:rsidR="00374D88" w:rsidRDefault="00374D88" w:rsidP="00374D88">
      <w:pPr>
        <w:spacing w:line="400" w:lineRule="exact"/>
        <w:ind w:firstLineChars="200" w:firstLine="560"/>
        <w:rPr>
          <w:rFonts w:ascii="仿宋_GB2312" w:hAnsi="仿宋"/>
          <w:sz w:val="28"/>
          <w:szCs w:val="28"/>
        </w:rPr>
      </w:pPr>
      <w:r>
        <w:rPr>
          <w:rFonts w:ascii="仿宋_GB2312" w:hAnsi="仿宋" w:hint="eastAsia"/>
          <w:sz w:val="28"/>
          <w:szCs w:val="28"/>
        </w:rPr>
        <w:t>（5）《建筑地基处理技术规范》JGJ79—2012，中国建筑工业出版社，2012年；</w:t>
      </w:r>
    </w:p>
    <w:p w:rsidR="00374D88" w:rsidRDefault="00374D88" w:rsidP="00374D88">
      <w:pPr>
        <w:spacing w:line="400" w:lineRule="exact"/>
        <w:ind w:firstLineChars="200" w:firstLine="560"/>
        <w:rPr>
          <w:rFonts w:ascii="仿宋_GB2312" w:hAnsi="仿宋"/>
          <w:sz w:val="28"/>
          <w:szCs w:val="28"/>
        </w:rPr>
      </w:pPr>
      <w:r>
        <w:rPr>
          <w:rFonts w:ascii="仿宋_GB2312" w:hAnsi="仿宋" w:hint="eastAsia"/>
          <w:sz w:val="28"/>
          <w:szCs w:val="28"/>
        </w:rPr>
        <w:t>（6）《复合地基技术规范》GB/T 50783-2012，中国建筑工业出版社，2012年。</w:t>
      </w:r>
    </w:p>
    <w:p w:rsidR="00374D88" w:rsidRDefault="00374D88" w:rsidP="00374D88">
      <w:pPr>
        <w:spacing w:beforeLines="50" w:before="156" w:afterLines="50" w:after="156" w:line="360" w:lineRule="auto"/>
        <w:rPr>
          <w:rFonts w:ascii="黑体" w:eastAsia="黑体" w:hAnsi="黑体"/>
          <w:b/>
          <w:sz w:val="28"/>
          <w:szCs w:val="28"/>
        </w:rPr>
      </w:pPr>
      <w:r>
        <w:rPr>
          <w:rFonts w:ascii="黑体" w:eastAsia="黑体" w:hAnsi="黑体" w:hint="eastAsia"/>
          <w:b/>
          <w:sz w:val="28"/>
          <w:szCs w:val="28"/>
        </w:rPr>
        <w:t>七、</w:t>
      </w:r>
      <w:r>
        <w:rPr>
          <w:rFonts w:ascii="黑体" w:eastAsia="黑体" w:hAnsi="黑体"/>
          <w:b/>
          <w:sz w:val="28"/>
          <w:szCs w:val="28"/>
        </w:rPr>
        <w:t>执行大纲应注意的问题</w:t>
      </w:r>
    </w:p>
    <w:p w:rsidR="00374D88" w:rsidRDefault="00374D88" w:rsidP="00374D88">
      <w:pPr>
        <w:spacing w:line="400" w:lineRule="exact"/>
        <w:ind w:firstLineChars="200" w:firstLine="560"/>
        <w:rPr>
          <w:rFonts w:ascii="仿宋_GB2312" w:hAnsi="仿宋"/>
          <w:sz w:val="28"/>
          <w:szCs w:val="28"/>
        </w:rPr>
      </w:pPr>
      <w:r>
        <w:rPr>
          <w:rFonts w:ascii="仿宋_GB2312" w:hAnsi="仿宋"/>
          <w:sz w:val="28"/>
          <w:szCs w:val="28"/>
        </w:rPr>
        <w:t>1、教学中应注重基本知识、基本理论和基本方法的讲授，注意精讲多练。</w:t>
      </w:r>
    </w:p>
    <w:p w:rsidR="00374D88" w:rsidRDefault="00374D88" w:rsidP="00374D88">
      <w:pPr>
        <w:spacing w:line="400" w:lineRule="exact"/>
        <w:ind w:firstLineChars="200" w:firstLine="560"/>
        <w:rPr>
          <w:rFonts w:ascii="仿宋_GB2312" w:hAnsi="仿宋"/>
          <w:sz w:val="28"/>
          <w:szCs w:val="28"/>
        </w:rPr>
      </w:pPr>
      <w:r>
        <w:rPr>
          <w:rFonts w:ascii="仿宋_GB2312" w:hAnsi="仿宋"/>
          <w:sz w:val="28"/>
          <w:szCs w:val="28"/>
        </w:rPr>
        <w:t>2、做好实验，重视学生实践能力的培养。要求学生亲自动手进行实验，并认真完成实验指导书上规定的内容。</w:t>
      </w:r>
    </w:p>
    <w:p w:rsidR="00374D88" w:rsidRDefault="00374D88" w:rsidP="00374D88">
      <w:pPr>
        <w:spacing w:line="400" w:lineRule="exact"/>
        <w:ind w:firstLineChars="200" w:firstLine="560"/>
        <w:rPr>
          <w:rFonts w:ascii="仿宋_GB2312" w:hAnsi="仿宋"/>
          <w:sz w:val="28"/>
          <w:szCs w:val="28"/>
        </w:rPr>
      </w:pPr>
      <w:r>
        <w:rPr>
          <w:rFonts w:ascii="仿宋_GB2312" w:hAnsi="仿宋"/>
          <w:sz w:val="28"/>
          <w:szCs w:val="28"/>
        </w:rPr>
        <w:lastRenderedPageBreak/>
        <w:t>3、教学内容的顺序及其安排仅供参考，教师可根据情况作适当调整。</w:t>
      </w:r>
    </w:p>
    <w:p w:rsidR="00374D88" w:rsidRDefault="00374D88" w:rsidP="00374D88">
      <w:pPr>
        <w:spacing w:beforeLines="50" w:before="156" w:afterLines="50" w:after="156" w:line="460" w:lineRule="exact"/>
        <w:rPr>
          <w:rFonts w:ascii="黑体" w:eastAsia="黑体" w:hAnsi="黑体"/>
          <w:b/>
          <w:sz w:val="28"/>
          <w:szCs w:val="28"/>
        </w:rPr>
      </w:pPr>
    </w:p>
    <w:p w:rsidR="00374D88" w:rsidRDefault="00374D88" w:rsidP="00374D88">
      <w:pPr>
        <w:ind w:firstLineChars="1200" w:firstLine="3360"/>
        <w:rPr>
          <w:rFonts w:ascii="仿宋_GB2312" w:hAnsi="仿宋"/>
          <w:sz w:val="28"/>
          <w:szCs w:val="28"/>
        </w:rPr>
      </w:pPr>
      <w:r>
        <w:rPr>
          <w:rFonts w:ascii="仿宋_GB2312" w:hAnsi="仿宋" w:hint="eastAsia"/>
          <w:sz w:val="28"/>
          <w:szCs w:val="28"/>
        </w:rPr>
        <w:t>大纲撰写人：孔德泉</w:t>
      </w:r>
    </w:p>
    <w:p w:rsidR="00374D88" w:rsidRDefault="00374D88" w:rsidP="00374D88">
      <w:pPr>
        <w:ind w:firstLineChars="1200" w:firstLine="3360"/>
        <w:rPr>
          <w:rFonts w:ascii="仿宋_GB2312" w:hAnsi="仿宋"/>
          <w:sz w:val="28"/>
          <w:szCs w:val="28"/>
        </w:rPr>
      </w:pPr>
      <w:r>
        <w:rPr>
          <w:rFonts w:ascii="仿宋_GB2312" w:hAnsi="仿宋" w:hint="eastAsia"/>
          <w:sz w:val="28"/>
          <w:szCs w:val="28"/>
        </w:rPr>
        <w:t>课程负责人：</w:t>
      </w:r>
    </w:p>
    <w:p w:rsidR="00374D88" w:rsidRDefault="00374D88" w:rsidP="00EE2D67">
      <w:pPr>
        <w:ind w:firstLineChars="1200" w:firstLine="3360"/>
        <w:rPr>
          <w:rFonts w:ascii="仿宋_GB2312" w:hAnsi="仿宋"/>
          <w:sz w:val="28"/>
          <w:szCs w:val="28"/>
        </w:rPr>
      </w:pPr>
      <w:r>
        <w:rPr>
          <w:rFonts w:ascii="仿宋_GB2312" w:hAnsi="仿宋" w:hint="eastAsia"/>
          <w:sz w:val="28"/>
          <w:szCs w:val="28"/>
        </w:rPr>
        <w:t>审核人：</w:t>
      </w:r>
      <w:r>
        <w:rPr>
          <w:rFonts w:ascii="仿宋_GB2312" w:hAnsi="微软雅黑" w:hint="eastAsia"/>
          <w:sz w:val="28"/>
          <w:szCs w:val="28"/>
        </w:rPr>
        <w:t xml:space="preserve"> </w:t>
      </w:r>
    </w:p>
    <w:p w:rsidR="00374D88" w:rsidRDefault="00374D88" w:rsidP="00374D88">
      <w:pPr>
        <w:spacing w:line="360" w:lineRule="auto"/>
        <w:jc w:val="left"/>
        <w:rPr>
          <w:rFonts w:ascii="仿宋_GB2312" w:hAnsi="仿宋"/>
          <w:sz w:val="28"/>
          <w:szCs w:val="28"/>
        </w:rPr>
      </w:pPr>
      <w:r>
        <w:rPr>
          <w:rFonts w:ascii="仿宋_GB2312" w:hAnsi="仿宋" w:hint="eastAsia"/>
          <w:sz w:val="28"/>
          <w:szCs w:val="28"/>
        </w:rPr>
        <w:t xml:space="preserve">                                         2021年</w:t>
      </w:r>
      <w:r>
        <w:rPr>
          <w:rFonts w:ascii="仿宋_GB2312" w:hAnsi="仿宋"/>
          <w:sz w:val="28"/>
          <w:szCs w:val="28"/>
        </w:rPr>
        <w:t>6</w:t>
      </w:r>
      <w:r>
        <w:rPr>
          <w:rFonts w:ascii="仿宋_GB2312" w:hAnsi="仿宋" w:hint="eastAsia"/>
          <w:sz w:val="28"/>
          <w:szCs w:val="28"/>
        </w:rPr>
        <w:t>月</w:t>
      </w:r>
    </w:p>
    <w:p w:rsidR="00374D88" w:rsidRDefault="00374D88" w:rsidP="00374D88"/>
    <w:p w:rsidR="00EE2D67" w:rsidRDefault="00EE2D67" w:rsidP="00374D88"/>
    <w:p w:rsidR="00EE2D67" w:rsidRDefault="00EE2D67" w:rsidP="00374D88"/>
    <w:p w:rsidR="00EE2D67" w:rsidRDefault="00EE2D67" w:rsidP="00374D88"/>
    <w:p w:rsidR="00EE2D67" w:rsidRDefault="00EE2D67" w:rsidP="00374D88"/>
    <w:p w:rsidR="00EE2D67" w:rsidRDefault="00EE2D67" w:rsidP="00374D88"/>
    <w:p w:rsidR="00EE2D67" w:rsidRDefault="00EE2D67" w:rsidP="00374D88"/>
    <w:p w:rsidR="00EE2D67" w:rsidRDefault="00EE2D67" w:rsidP="00374D88"/>
    <w:p w:rsidR="00EE2D67" w:rsidRDefault="00EE2D67" w:rsidP="00374D88"/>
    <w:p w:rsidR="00EE2D67" w:rsidRDefault="00EE2D67" w:rsidP="00374D88"/>
    <w:p w:rsidR="00EE2D67" w:rsidRDefault="00EE2D67" w:rsidP="00374D88"/>
    <w:p w:rsidR="00EE2D67" w:rsidRDefault="00EE2D67" w:rsidP="00374D88"/>
    <w:p w:rsidR="00EE2D67" w:rsidRDefault="00EE2D67" w:rsidP="00374D88"/>
    <w:p w:rsidR="00EE2D67" w:rsidRDefault="00EE2D67" w:rsidP="00374D88"/>
    <w:p w:rsidR="00EE2D67" w:rsidRDefault="00EE2D67" w:rsidP="00374D88"/>
    <w:p w:rsidR="00EE2D67" w:rsidRDefault="00EE2D67" w:rsidP="00374D88"/>
    <w:p w:rsidR="00374D88" w:rsidRDefault="00374D88" w:rsidP="00374D88">
      <w:pPr>
        <w:jc w:val="center"/>
        <w:rPr>
          <w:rFonts w:ascii="Times New Roman" w:eastAsia="仿宋" w:hAnsi="Times New Roman"/>
          <w:sz w:val="28"/>
          <w:szCs w:val="28"/>
        </w:rPr>
      </w:pPr>
    </w:p>
    <w:p w:rsidR="00374D88" w:rsidRDefault="00374D88" w:rsidP="00374D88">
      <w:pPr>
        <w:widowControl/>
        <w:spacing w:line="360" w:lineRule="auto"/>
        <w:jc w:val="center"/>
        <w:rPr>
          <w:rFonts w:ascii="方正小标宋简体" w:eastAsia="方正小标宋简体" w:hAnsi="宋体"/>
          <w:b/>
          <w:kern w:val="0"/>
          <w:szCs w:val="32"/>
        </w:rPr>
      </w:pPr>
      <w:r>
        <w:rPr>
          <w:rFonts w:ascii="方正小标宋简体" w:eastAsia="方正小标宋简体" w:hAnsi="宋体" w:hint="eastAsia"/>
          <w:b/>
          <w:kern w:val="0"/>
          <w:szCs w:val="32"/>
        </w:rPr>
        <w:t>《地下结构设计原理与方法》课程教学大纲</w:t>
      </w:r>
    </w:p>
    <w:p w:rsidR="00374D88" w:rsidRDefault="00374D88" w:rsidP="00374D88">
      <w:pPr>
        <w:snapToGrid w:val="0"/>
        <w:spacing w:line="360" w:lineRule="auto"/>
        <w:rPr>
          <w:rFonts w:ascii="Times New Roman" w:eastAsia="黑体" w:hAnsi="Times New Roman"/>
          <w:b/>
          <w:sz w:val="28"/>
          <w:szCs w:val="28"/>
        </w:rPr>
      </w:pPr>
      <w:r>
        <w:rPr>
          <w:rFonts w:ascii="Times New Roman" w:eastAsia="黑体" w:hAnsi="Times New Roman"/>
          <w:b/>
          <w:sz w:val="28"/>
          <w:szCs w:val="28"/>
        </w:rPr>
        <w:t>一、课程信息</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英文名称：</w:t>
      </w:r>
      <w:r>
        <w:rPr>
          <w:rFonts w:ascii="Times New Roman" w:hAnsi="Times New Roman"/>
          <w:bCs/>
          <w:sz w:val="28"/>
          <w:szCs w:val="28"/>
        </w:rPr>
        <w:t>Principles and Methods of Underground Structure Design</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课程编码：</w:t>
      </w:r>
      <w:r>
        <w:rPr>
          <w:rFonts w:ascii="Times New Roman" w:hAnsi="Times New Roman"/>
          <w:bCs/>
          <w:sz w:val="28"/>
          <w:szCs w:val="28"/>
        </w:rPr>
        <w:t>Z2803050</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授课语言：中文</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授课方式：线下</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课程类别：学科基础</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课程性质：必修</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分：</w:t>
      </w:r>
      <w:r>
        <w:rPr>
          <w:rFonts w:ascii="Times New Roman" w:hAnsi="Times New Roman"/>
          <w:bCs/>
          <w:sz w:val="28"/>
          <w:szCs w:val="28"/>
        </w:rPr>
        <w:t>1.5</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时：</w:t>
      </w:r>
      <w:r>
        <w:rPr>
          <w:rFonts w:ascii="Times New Roman" w:hAnsi="Times New Roman"/>
          <w:bCs/>
          <w:sz w:val="28"/>
          <w:szCs w:val="28"/>
        </w:rPr>
        <w:t>24</w:t>
      </w:r>
      <w:r>
        <w:rPr>
          <w:rFonts w:ascii="Times New Roman" w:hAnsi="Times New Roman"/>
          <w:bCs/>
          <w:sz w:val="28"/>
          <w:szCs w:val="28"/>
        </w:rPr>
        <w:t>学时（授课</w:t>
      </w:r>
      <w:r>
        <w:rPr>
          <w:rFonts w:ascii="Times New Roman" w:hAnsi="Times New Roman"/>
          <w:bCs/>
          <w:sz w:val="28"/>
          <w:szCs w:val="28"/>
        </w:rPr>
        <w:t>24</w:t>
      </w:r>
      <w:r>
        <w:rPr>
          <w:rFonts w:ascii="Times New Roman" w:hAnsi="Times New Roman"/>
          <w:bCs/>
          <w:sz w:val="28"/>
          <w:szCs w:val="28"/>
        </w:rPr>
        <w:t>学时）</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适用对象：</w:t>
      </w:r>
      <w:r>
        <w:rPr>
          <w:rFonts w:ascii="Times New Roman" w:hAnsi="Times New Roman" w:hint="eastAsia"/>
          <w:bCs/>
          <w:sz w:val="28"/>
          <w:szCs w:val="28"/>
        </w:rPr>
        <w:t>土木工程专业（城市地下空间工程方向）</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先修课程：</w:t>
      </w:r>
      <w:r>
        <w:rPr>
          <w:rFonts w:ascii="Times New Roman" w:hAnsi="Times New Roman" w:hint="eastAsia"/>
          <w:bCs/>
          <w:sz w:val="28"/>
          <w:szCs w:val="28"/>
        </w:rPr>
        <w:t>土木工程材料、工程地质、土力学、材料力学、结构力学、混凝土结构基本理论</w:t>
      </w:r>
      <w:r>
        <w:rPr>
          <w:rFonts w:ascii="Times New Roman" w:hAnsi="Times New Roman"/>
          <w:bCs/>
          <w:sz w:val="28"/>
          <w:szCs w:val="28"/>
        </w:rPr>
        <w:t>。</w:t>
      </w:r>
    </w:p>
    <w:p w:rsidR="00374D88" w:rsidRDefault="00374D88" w:rsidP="00374D88">
      <w:pPr>
        <w:spacing w:line="360" w:lineRule="auto"/>
        <w:ind w:firstLineChars="200" w:firstLine="560"/>
        <w:rPr>
          <w:rFonts w:ascii="Times New Roman" w:hAnsi="Times New Roman"/>
          <w:bCs/>
          <w:sz w:val="28"/>
          <w:szCs w:val="28"/>
        </w:rPr>
      </w:pPr>
      <w:r>
        <w:rPr>
          <w:rFonts w:ascii="Times New Roman" w:hAnsi="Times New Roman"/>
          <w:bCs/>
          <w:sz w:val="28"/>
          <w:szCs w:val="28"/>
        </w:rPr>
        <w:t>开课院系：建筑工程学院地基基础教研室</w:t>
      </w:r>
    </w:p>
    <w:p w:rsidR="00374D88" w:rsidRDefault="00374D88" w:rsidP="00374D88">
      <w:pPr>
        <w:spacing w:line="360" w:lineRule="auto"/>
        <w:rPr>
          <w:rFonts w:ascii="Times New Roman" w:eastAsia="黑体" w:hAnsi="Times New Roman"/>
          <w:b/>
          <w:sz w:val="28"/>
          <w:szCs w:val="28"/>
        </w:rPr>
      </w:pPr>
      <w:r>
        <w:rPr>
          <w:rFonts w:ascii="Times New Roman" w:eastAsia="黑体" w:hAnsi="Times New Roman"/>
          <w:b/>
          <w:sz w:val="28"/>
          <w:szCs w:val="28"/>
        </w:rPr>
        <w:t>二、课程简介</w:t>
      </w:r>
    </w:p>
    <w:p w:rsidR="00374D88" w:rsidRDefault="00374D88" w:rsidP="00374D88">
      <w:pPr>
        <w:spacing w:line="560" w:lineRule="exact"/>
        <w:ind w:firstLineChars="200" w:firstLine="560"/>
        <w:rPr>
          <w:rFonts w:ascii="Times New Roman" w:hAnsi="Times New Roman"/>
          <w:bCs/>
          <w:sz w:val="28"/>
          <w:szCs w:val="28"/>
        </w:rPr>
      </w:pPr>
      <w:r>
        <w:rPr>
          <w:rFonts w:ascii="仿宋" w:eastAsia="仿宋" w:hAnsi="仿宋" w:hint="eastAsia"/>
          <w:sz w:val="28"/>
          <w:szCs w:val="21"/>
        </w:rPr>
        <w:t>《地下结构设计原理与方法》是讲授地下结构的受力特征、设计原理与方法、耐久性和构造要求等问题的一门专业课，是土木工程专业（城市地下空间工程方向）的主干课程之一，为必修课程</w:t>
      </w:r>
      <w:r>
        <w:rPr>
          <w:rFonts w:ascii="Times New Roman" w:hAnsi="Times New Roman"/>
          <w:bCs/>
          <w:sz w:val="28"/>
          <w:szCs w:val="28"/>
        </w:rPr>
        <w:t>。</w:t>
      </w:r>
    </w:p>
    <w:p w:rsidR="00374D88" w:rsidRDefault="00374D88" w:rsidP="00374D88">
      <w:pPr>
        <w:spacing w:line="560" w:lineRule="exact"/>
        <w:ind w:firstLineChars="200" w:firstLine="560"/>
        <w:rPr>
          <w:rFonts w:ascii="Times New Roman" w:hAnsi="Times New Roman"/>
          <w:bCs/>
          <w:sz w:val="28"/>
          <w:szCs w:val="28"/>
        </w:rPr>
      </w:pPr>
      <w:r>
        <w:rPr>
          <w:rFonts w:ascii="仿宋" w:eastAsia="仿宋" w:hAnsi="仿宋" w:hint="eastAsia"/>
          <w:sz w:val="28"/>
          <w:szCs w:val="21"/>
        </w:rPr>
        <w:t>教学内容包括地下结构荷载计算，弹性地基梁理论，地下结构的计算方法以及地下结构的耐久性设计，浅埋式结构、盾构隧道和顶管隧道以及地下连续墙结构等。</w:t>
      </w:r>
      <w:r>
        <w:rPr>
          <w:rFonts w:ascii="仿宋" w:eastAsia="仿宋" w:hAnsi="仿宋"/>
          <w:sz w:val="28"/>
          <w:szCs w:val="21"/>
        </w:rPr>
        <w:t>教学方式</w:t>
      </w:r>
      <w:r>
        <w:rPr>
          <w:rFonts w:ascii="仿宋" w:eastAsia="仿宋" w:hAnsi="仿宋" w:hint="eastAsia"/>
          <w:sz w:val="28"/>
          <w:szCs w:val="21"/>
        </w:rPr>
        <w:t>采用</w:t>
      </w:r>
      <w:r>
        <w:rPr>
          <w:rFonts w:ascii="仿宋" w:eastAsia="仿宋" w:hAnsi="仿宋"/>
          <w:sz w:val="28"/>
          <w:szCs w:val="21"/>
        </w:rPr>
        <w:t>PPT</w:t>
      </w:r>
      <w:r>
        <w:rPr>
          <w:rFonts w:ascii="仿宋" w:eastAsia="仿宋" w:hAnsi="仿宋" w:hint="eastAsia"/>
          <w:sz w:val="28"/>
          <w:szCs w:val="21"/>
        </w:rPr>
        <w:t>、板书、短视频、作业与课后思考题等方式相结合进行讲授。</w:t>
      </w:r>
    </w:p>
    <w:p w:rsidR="00374D88" w:rsidRDefault="00374D88" w:rsidP="00374D88">
      <w:pPr>
        <w:spacing w:beforeLines="50" w:before="156" w:line="360" w:lineRule="auto"/>
        <w:rPr>
          <w:rFonts w:ascii="Times New Roman" w:eastAsia="黑体" w:hAnsi="Times New Roman"/>
          <w:b/>
          <w:sz w:val="28"/>
          <w:szCs w:val="28"/>
        </w:rPr>
      </w:pPr>
      <w:r>
        <w:rPr>
          <w:rFonts w:ascii="Times New Roman" w:eastAsia="黑体" w:hAnsi="Times New Roman"/>
          <w:b/>
          <w:sz w:val="28"/>
          <w:szCs w:val="28"/>
        </w:rPr>
        <w:t>三、课程任务、目标与要求</w:t>
      </w:r>
    </w:p>
    <w:p w:rsidR="00374D88" w:rsidRDefault="00374D88" w:rsidP="00374D88">
      <w:pPr>
        <w:snapToGrid w:val="0"/>
        <w:spacing w:line="360" w:lineRule="auto"/>
        <w:ind w:firstLine="329"/>
        <w:rPr>
          <w:rFonts w:ascii="Times New Roman" w:hAnsi="Times New Roman"/>
          <w:sz w:val="28"/>
          <w:szCs w:val="28"/>
        </w:rPr>
      </w:pPr>
      <w:r>
        <w:rPr>
          <w:rFonts w:ascii="Times New Roman" w:hAnsi="Times New Roman"/>
          <w:sz w:val="28"/>
          <w:szCs w:val="28"/>
        </w:rPr>
        <w:lastRenderedPageBreak/>
        <w:t xml:space="preserve">1. </w:t>
      </w:r>
      <w:r>
        <w:rPr>
          <w:rFonts w:ascii="Times New Roman" w:hAnsi="Times New Roman"/>
          <w:sz w:val="28"/>
          <w:szCs w:val="28"/>
        </w:rPr>
        <w:t>课程任务</w:t>
      </w:r>
    </w:p>
    <w:p w:rsidR="00374D88" w:rsidRDefault="00374D88" w:rsidP="00374D88">
      <w:pPr>
        <w:spacing w:line="360" w:lineRule="auto"/>
        <w:ind w:firstLineChars="218" w:firstLine="610"/>
        <w:rPr>
          <w:rFonts w:ascii="仿宋" w:eastAsia="仿宋" w:hAnsi="仿宋"/>
          <w:sz w:val="28"/>
          <w:szCs w:val="21"/>
        </w:rPr>
      </w:pPr>
      <w:r>
        <w:rPr>
          <w:rFonts w:ascii="仿宋" w:eastAsia="仿宋" w:hAnsi="仿宋" w:hint="eastAsia"/>
          <w:sz w:val="28"/>
          <w:szCs w:val="21"/>
        </w:rPr>
        <w:t>《地下工程设计原理与方法》课程是土木工程专业城市地下空间工程方向学生的专业必修课。通过这门课程的学习，使学生掌握地下结构设计的基本原理和方法；具有地下建筑结构设计与计算的能力，为学习后续课程和深入研究地下结构的力学行为等奠定基础。</w:t>
      </w:r>
    </w:p>
    <w:p w:rsidR="00374D88" w:rsidRDefault="00374D88" w:rsidP="00374D88">
      <w:pPr>
        <w:spacing w:line="560" w:lineRule="exact"/>
        <w:ind w:firstLineChars="200" w:firstLine="560"/>
        <w:rPr>
          <w:rFonts w:ascii="Times New Roman" w:hAnsi="Times New Roman"/>
          <w:sz w:val="28"/>
          <w:szCs w:val="28"/>
        </w:rPr>
      </w:pPr>
      <w:r>
        <w:rPr>
          <w:rFonts w:ascii="仿宋" w:eastAsia="仿宋" w:hAnsi="仿宋" w:hint="eastAsia"/>
          <w:sz w:val="28"/>
          <w:szCs w:val="21"/>
        </w:rPr>
        <w:t>通过地下结构荷载的学习，应掌握地下结构荷载的类型、组合原则和方法。通过弹性地基梁理论的学习，应掌握弹性地基梁原理及工程应用。通过对地下结构计算方法的学习，应熟悉共同作用的概念、分析方法的现状。掌握荷载-结构法和地层-结构法。通过浅埋式结构、盾构隧道与顶管隧道、地下连续墙结构的学习，应重点掌握这三类地下结构的常用设计计算方法。</w:t>
      </w:r>
    </w:p>
    <w:p w:rsidR="00374D88" w:rsidRDefault="00374D88" w:rsidP="00374D8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2. </w:t>
      </w:r>
      <w:r>
        <w:rPr>
          <w:rFonts w:ascii="Times New Roman" w:hAnsi="Times New Roman"/>
          <w:sz w:val="28"/>
          <w:szCs w:val="28"/>
        </w:rPr>
        <w:t>课程基本要求</w:t>
      </w:r>
    </w:p>
    <w:p w:rsidR="00374D88" w:rsidRDefault="00374D88" w:rsidP="00374D88">
      <w:pPr>
        <w:spacing w:line="360" w:lineRule="auto"/>
        <w:ind w:firstLine="331"/>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课程目标</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通过本课程的教学，使学生具备解决与</w:t>
      </w:r>
      <w:r>
        <w:rPr>
          <w:rFonts w:ascii="Times New Roman" w:hAnsi="Times New Roman" w:hint="eastAsia"/>
          <w:sz w:val="28"/>
          <w:szCs w:val="28"/>
        </w:rPr>
        <w:t>地下结构设计问题的基本知识以及实践和工程应用能力</w:t>
      </w:r>
      <w:r>
        <w:rPr>
          <w:rFonts w:ascii="Times New Roman" w:hAnsi="Times New Roman"/>
          <w:sz w:val="28"/>
          <w:szCs w:val="28"/>
        </w:rPr>
        <w:t>，教学目标具体要求如下：</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1</w:t>
      </w:r>
      <w:r>
        <w:rPr>
          <w:rFonts w:ascii="Times New Roman" w:hAnsi="Times New Roman"/>
          <w:sz w:val="28"/>
          <w:szCs w:val="28"/>
        </w:rPr>
        <w:t>）</w:t>
      </w:r>
      <w:r>
        <w:rPr>
          <w:rFonts w:ascii="仿宋" w:eastAsia="仿宋" w:hAnsi="仿宋" w:hint="eastAsia"/>
          <w:sz w:val="28"/>
          <w:szCs w:val="21"/>
        </w:rPr>
        <w:t>通过本课程学习，使学生掌握地下结构的荷载类型、组合原则和方式；掌握土压力、岩石围岩压力的计算方法；掌握局部变形理论和共同变形理论的基本思想和假定。教育引导学生深刻理解地下结构的特点并自觉实践地下结构设计领域的职业精神和职业规范</w:t>
      </w:r>
      <w:r>
        <w:rPr>
          <w:rFonts w:ascii="Times New Roman" w:hAnsi="Times New Roman"/>
          <w:sz w:val="28"/>
          <w:szCs w:val="28"/>
        </w:rPr>
        <w:t>。</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2</w:t>
      </w:r>
      <w:r>
        <w:rPr>
          <w:rFonts w:ascii="Times New Roman" w:hAnsi="Times New Roman"/>
          <w:sz w:val="28"/>
          <w:szCs w:val="28"/>
        </w:rPr>
        <w:t>）</w:t>
      </w:r>
      <w:r>
        <w:rPr>
          <w:rFonts w:ascii="仿宋" w:eastAsia="仿宋" w:hAnsi="仿宋" w:hint="eastAsia"/>
          <w:sz w:val="28"/>
          <w:szCs w:val="21"/>
        </w:rPr>
        <w:t>通过本课程学习，使学生掌握弹性地基梁原理及工程应用，掌握荷载-结构法和地层-结构法等地下结构的主流计算方法，掌握地下结构耐久性设计的内涵，具备从事地下结构设计的基本理论基础</w:t>
      </w:r>
      <w:r>
        <w:rPr>
          <w:rFonts w:ascii="Times New Roman" w:hAnsi="Times New Roman"/>
          <w:sz w:val="28"/>
          <w:szCs w:val="28"/>
        </w:rPr>
        <w:t>。</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3</w:t>
      </w:r>
      <w:r>
        <w:rPr>
          <w:rFonts w:ascii="Times New Roman" w:hAnsi="Times New Roman"/>
          <w:sz w:val="28"/>
          <w:szCs w:val="28"/>
        </w:rPr>
        <w:t>）</w:t>
      </w:r>
      <w:r>
        <w:rPr>
          <w:rFonts w:ascii="仿宋" w:eastAsia="仿宋" w:hAnsi="仿宋" w:hint="eastAsia"/>
          <w:sz w:val="28"/>
          <w:szCs w:val="21"/>
        </w:rPr>
        <w:t>通过本课程学习，使学生</w:t>
      </w:r>
      <w:r>
        <w:rPr>
          <w:rFonts w:ascii="Times New Roman" w:hAnsi="Times New Roman" w:hint="eastAsia"/>
          <w:sz w:val="28"/>
          <w:szCs w:val="28"/>
        </w:rPr>
        <w:t>掌握浅埋式结构、盾构隧道、地</w:t>
      </w:r>
      <w:r>
        <w:rPr>
          <w:rFonts w:ascii="Times New Roman" w:hAnsi="Times New Roman" w:hint="eastAsia"/>
          <w:sz w:val="28"/>
          <w:szCs w:val="28"/>
        </w:rPr>
        <w:lastRenderedPageBreak/>
        <w:t>下连续墙结构的功能、特点、设计计算内容和设计计算方法，能结合实际地下工程结构特点，提出相应的设计方案，并能进行相应的结构设计计算。增强学生毕业后在工作中确保工程设施安全的底线意识，增强学生的土木工程师职业责任感，培养学生的大国工匠精神，激发学生的家国情怀</w:t>
      </w:r>
      <w:r>
        <w:rPr>
          <w:rFonts w:ascii="Times New Roman" w:hAnsi="Times New Roman"/>
          <w:sz w:val="28"/>
          <w:szCs w:val="28"/>
        </w:rPr>
        <w:t>。</w:t>
      </w:r>
    </w:p>
    <w:p w:rsidR="00374D88" w:rsidRDefault="00374D88" w:rsidP="00374D88">
      <w:pPr>
        <w:spacing w:beforeLines="50" w:before="156" w:line="360" w:lineRule="auto"/>
        <w:ind w:firstLine="329"/>
        <w:rPr>
          <w:rFonts w:ascii="Times New Roman" w:hAnsi="Times New Roman"/>
          <w:bCs/>
          <w:sz w:val="28"/>
          <w:szCs w:val="28"/>
        </w:rPr>
      </w:pPr>
      <w:r>
        <w:rPr>
          <w:rFonts w:ascii="Times New Roman" w:hAnsi="Times New Roman"/>
          <w:bCs/>
          <w:sz w:val="28"/>
          <w:szCs w:val="28"/>
        </w:rPr>
        <w:t xml:space="preserve">2.2 </w:t>
      </w:r>
      <w:r>
        <w:rPr>
          <w:rFonts w:ascii="Times New Roman" w:hAnsi="Times New Roman"/>
          <w:bCs/>
          <w:sz w:val="28"/>
          <w:szCs w:val="28"/>
        </w:rPr>
        <w:t>课程目标与毕业要求之间的对应关系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1"/>
        <w:gridCol w:w="2774"/>
        <w:gridCol w:w="840"/>
        <w:gridCol w:w="840"/>
        <w:gridCol w:w="841"/>
      </w:tblGrid>
      <w:tr w:rsidR="00374D88" w:rsidTr="00BE5664">
        <w:tc>
          <w:tcPr>
            <w:tcW w:w="3481" w:type="pct"/>
            <w:gridSpan w:val="2"/>
            <w:vMerge w:val="restar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毕业要求及其指标点</w:t>
            </w:r>
          </w:p>
        </w:tc>
        <w:tc>
          <w:tcPr>
            <w:tcW w:w="1519" w:type="pct"/>
            <w:gridSpan w:val="3"/>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教学目标</w:t>
            </w:r>
          </w:p>
        </w:tc>
      </w:tr>
      <w:tr w:rsidR="00374D88" w:rsidTr="00BE5664">
        <w:tc>
          <w:tcPr>
            <w:tcW w:w="3481" w:type="pct"/>
            <w:gridSpan w:val="2"/>
            <w:vMerge/>
            <w:shd w:val="clear" w:color="auto" w:fill="auto"/>
            <w:vAlign w:val="center"/>
          </w:tcPr>
          <w:p w:rsidR="00374D88" w:rsidRDefault="00374D88" w:rsidP="00BE5664">
            <w:pPr>
              <w:rPr>
                <w:rFonts w:ascii="Times New Roman" w:hAnsi="Times New Roman"/>
                <w:sz w:val="24"/>
                <w:szCs w:val="24"/>
              </w:rPr>
            </w:pP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c>
          <w:tcPr>
            <w:tcW w:w="507"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374D88" w:rsidTr="00BE5664">
        <w:tc>
          <w:tcPr>
            <w:tcW w:w="1809"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工程知识</w:t>
            </w:r>
          </w:p>
        </w:tc>
        <w:tc>
          <w:tcPr>
            <w:tcW w:w="1672"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hint="eastAsia"/>
                <w:sz w:val="24"/>
                <w:szCs w:val="24"/>
              </w:rPr>
              <w:t>1-4</w:t>
            </w:r>
            <w:r>
              <w:rPr>
                <w:rFonts w:ascii="Times New Roman" w:hAnsi="Times New Roman" w:hint="eastAsia"/>
                <w:sz w:val="24"/>
                <w:szCs w:val="24"/>
              </w:rPr>
              <w:t>：掌握土木工程专业知识，具备知识融合能力，应用于解决土木工程专业复杂工程问题</w:t>
            </w:r>
          </w:p>
        </w:tc>
        <w:tc>
          <w:tcPr>
            <w:tcW w:w="506" w:type="pct"/>
            <w:shd w:val="clear" w:color="auto" w:fill="auto"/>
            <w:vAlign w:val="center"/>
          </w:tcPr>
          <w:p w:rsidR="00374D88" w:rsidRDefault="00374D88" w:rsidP="00BE5664">
            <w:pPr>
              <w:spacing w:line="160" w:lineRule="exact"/>
              <w:jc w:val="center"/>
              <w:rPr>
                <w:kern w:val="0"/>
                <w:sz w:val="18"/>
                <w:szCs w:val="18"/>
              </w:rPr>
            </w:pPr>
            <w:r>
              <w:rPr>
                <w:kern w:val="0"/>
                <w:sz w:val="18"/>
                <w:szCs w:val="18"/>
              </w:rPr>
              <w:t>√</w:t>
            </w:r>
          </w:p>
        </w:tc>
        <w:tc>
          <w:tcPr>
            <w:tcW w:w="506" w:type="pct"/>
            <w:shd w:val="clear" w:color="auto" w:fill="auto"/>
            <w:vAlign w:val="center"/>
          </w:tcPr>
          <w:p w:rsidR="00374D88" w:rsidRDefault="00374D88" w:rsidP="00BE5664">
            <w:pPr>
              <w:spacing w:line="160" w:lineRule="exact"/>
              <w:jc w:val="center"/>
              <w:rPr>
                <w:kern w:val="0"/>
                <w:sz w:val="18"/>
                <w:szCs w:val="18"/>
              </w:rPr>
            </w:pPr>
            <w:r>
              <w:rPr>
                <w:kern w:val="0"/>
                <w:sz w:val="18"/>
                <w:szCs w:val="18"/>
              </w:rPr>
              <w:t>√</w:t>
            </w:r>
          </w:p>
        </w:tc>
        <w:tc>
          <w:tcPr>
            <w:tcW w:w="507" w:type="pct"/>
            <w:shd w:val="clear" w:color="auto" w:fill="auto"/>
            <w:vAlign w:val="center"/>
          </w:tcPr>
          <w:p w:rsidR="00374D88" w:rsidRDefault="00374D88" w:rsidP="00BE5664">
            <w:pPr>
              <w:spacing w:line="160" w:lineRule="exact"/>
              <w:jc w:val="center"/>
              <w:rPr>
                <w:kern w:val="0"/>
                <w:sz w:val="18"/>
                <w:szCs w:val="18"/>
              </w:rPr>
            </w:pPr>
            <w:r>
              <w:rPr>
                <w:kern w:val="0"/>
                <w:sz w:val="18"/>
                <w:szCs w:val="18"/>
              </w:rPr>
              <w:t>√</w:t>
            </w:r>
          </w:p>
        </w:tc>
      </w:tr>
      <w:tr w:rsidR="00374D88" w:rsidTr="00BE5664">
        <w:tc>
          <w:tcPr>
            <w:tcW w:w="1809"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 xml:space="preserve">3. </w:t>
            </w:r>
            <w:r>
              <w:rPr>
                <w:rFonts w:ascii="Times New Roman" w:hAnsi="Times New Roman" w:hint="eastAsia"/>
                <w:sz w:val="24"/>
                <w:szCs w:val="24"/>
              </w:rPr>
              <w:t>现代工具使用能力</w:t>
            </w:r>
          </w:p>
        </w:tc>
        <w:tc>
          <w:tcPr>
            <w:tcW w:w="1672"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hint="eastAsia"/>
                <w:sz w:val="24"/>
                <w:szCs w:val="24"/>
              </w:rPr>
              <w:t>5-2</w:t>
            </w:r>
            <w:r>
              <w:rPr>
                <w:rFonts w:ascii="Times New Roman" w:hAnsi="Times New Roman" w:hint="eastAsia"/>
                <w:sz w:val="24"/>
                <w:szCs w:val="24"/>
              </w:rPr>
              <w:t>：能够选择与使用勘测、制图、检测、计算、设计等恰当的技术和资源，对土木工程专业复</w:t>
            </w:r>
          </w:p>
        </w:tc>
        <w:tc>
          <w:tcPr>
            <w:tcW w:w="506" w:type="pct"/>
            <w:shd w:val="clear" w:color="auto" w:fill="auto"/>
            <w:vAlign w:val="center"/>
          </w:tcPr>
          <w:p w:rsidR="00374D88" w:rsidRDefault="00374D88" w:rsidP="00BE5664">
            <w:pPr>
              <w:spacing w:line="160" w:lineRule="exact"/>
              <w:jc w:val="center"/>
              <w:rPr>
                <w:sz w:val="18"/>
                <w:szCs w:val="18"/>
              </w:rPr>
            </w:pPr>
          </w:p>
        </w:tc>
        <w:tc>
          <w:tcPr>
            <w:tcW w:w="506" w:type="pct"/>
            <w:shd w:val="clear" w:color="auto" w:fill="auto"/>
            <w:vAlign w:val="center"/>
          </w:tcPr>
          <w:p w:rsidR="00374D88" w:rsidRDefault="00374D88" w:rsidP="00BE5664">
            <w:pPr>
              <w:spacing w:line="160" w:lineRule="exact"/>
              <w:jc w:val="center"/>
              <w:rPr>
                <w:kern w:val="0"/>
                <w:sz w:val="18"/>
                <w:szCs w:val="18"/>
              </w:rPr>
            </w:pPr>
            <w:r>
              <w:rPr>
                <w:kern w:val="0"/>
                <w:sz w:val="18"/>
                <w:szCs w:val="18"/>
              </w:rPr>
              <w:t>√</w:t>
            </w:r>
          </w:p>
        </w:tc>
        <w:tc>
          <w:tcPr>
            <w:tcW w:w="507" w:type="pct"/>
            <w:shd w:val="clear" w:color="auto" w:fill="auto"/>
            <w:vAlign w:val="center"/>
          </w:tcPr>
          <w:p w:rsidR="00374D88" w:rsidRDefault="00374D88" w:rsidP="00BE5664">
            <w:pPr>
              <w:spacing w:line="160" w:lineRule="exact"/>
              <w:jc w:val="center"/>
              <w:rPr>
                <w:kern w:val="0"/>
                <w:sz w:val="18"/>
                <w:szCs w:val="18"/>
              </w:rPr>
            </w:pPr>
            <w:r>
              <w:rPr>
                <w:kern w:val="0"/>
                <w:sz w:val="18"/>
                <w:szCs w:val="18"/>
              </w:rPr>
              <w:t>√</w:t>
            </w:r>
          </w:p>
        </w:tc>
      </w:tr>
    </w:tbl>
    <w:p w:rsidR="00374D88" w:rsidRDefault="00374D88" w:rsidP="00374D8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3. </w:t>
      </w:r>
      <w:r>
        <w:rPr>
          <w:rFonts w:ascii="Times New Roman" w:hAnsi="Times New Roman"/>
          <w:sz w:val="28"/>
          <w:szCs w:val="28"/>
        </w:rPr>
        <w:t>课程的重点、难点</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重点：</w:t>
      </w:r>
      <w:r>
        <w:rPr>
          <w:rFonts w:ascii="Times New Roman" w:hAnsi="Times New Roman" w:hint="eastAsia"/>
          <w:sz w:val="28"/>
          <w:szCs w:val="28"/>
        </w:rPr>
        <w:t>地下结构的形式；地下结构的荷载类型、组合原则和方式；土压力、岩石围岩压力的计算方法；弹性地基梁原理及工程应用；荷载</w:t>
      </w:r>
      <w:r>
        <w:rPr>
          <w:rFonts w:ascii="Times New Roman" w:hAnsi="Times New Roman" w:hint="eastAsia"/>
          <w:sz w:val="28"/>
          <w:szCs w:val="28"/>
        </w:rPr>
        <w:t>-</w:t>
      </w:r>
      <w:r>
        <w:rPr>
          <w:rFonts w:ascii="Times New Roman" w:hAnsi="Times New Roman" w:hint="eastAsia"/>
          <w:sz w:val="28"/>
          <w:szCs w:val="28"/>
        </w:rPr>
        <w:t>结构法、地层</w:t>
      </w:r>
      <w:r>
        <w:rPr>
          <w:rFonts w:ascii="Times New Roman" w:hAnsi="Times New Roman" w:hint="eastAsia"/>
          <w:sz w:val="28"/>
          <w:szCs w:val="28"/>
        </w:rPr>
        <w:t>-</w:t>
      </w:r>
      <w:r>
        <w:rPr>
          <w:rFonts w:ascii="Times New Roman" w:hAnsi="Times New Roman" w:hint="eastAsia"/>
          <w:sz w:val="28"/>
          <w:szCs w:val="28"/>
        </w:rPr>
        <w:t>结构法的基本理论；地下结构耐久性设计的内涵；矩形闭合框架结构的内力计算方法；盾构隧道的设计流程及计算方法；连续墙结构的荷载计算、计算简图和内力计算方法。</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难点：</w:t>
      </w:r>
      <w:r>
        <w:rPr>
          <w:rFonts w:ascii="Times New Roman" w:hAnsi="Times New Roman" w:hint="eastAsia"/>
          <w:sz w:val="28"/>
          <w:szCs w:val="28"/>
        </w:rPr>
        <w:t>地下结构设计学习中应注意的问题；局部变形理论和共同变形理论；弹性半无限平面体计算理论；荷载</w:t>
      </w:r>
      <w:r>
        <w:rPr>
          <w:rFonts w:ascii="Times New Roman" w:hAnsi="Times New Roman" w:hint="eastAsia"/>
          <w:sz w:val="28"/>
          <w:szCs w:val="28"/>
        </w:rPr>
        <w:t>-</w:t>
      </w:r>
      <w:r>
        <w:rPr>
          <w:rFonts w:ascii="Times New Roman" w:hAnsi="Times New Roman" w:hint="eastAsia"/>
          <w:sz w:val="28"/>
          <w:szCs w:val="28"/>
        </w:rPr>
        <w:t>结构法和地层</w:t>
      </w:r>
      <w:r>
        <w:rPr>
          <w:rFonts w:ascii="Times New Roman" w:hAnsi="Times New Roman" w:hint="eastAsia"/>
          <w:sz w:val="28"/>
          <w:szCs w:val="28"/>
        </w:rPr>
        <w:t>-</w:t>
      </w:r>
      <w:r>
        <w:rPr>
          <w:rFonts w:ascii="Times New Roman" w:hAnsi="Times New Roman" w:hint="eastAsia"/>
          <w:sz w:val="28"/>
          <w:szCs w:val="28"/>
        </w:rPr>
        <w:t>结构法的理论及实际应用；地下结构可靠度分析的近似方法；矩形闭合框架结构实际案例计算与设计；盾构隧道的实际案例计算与设计；地下连续墙结构的实际案例计算与设计。</w:t>
      </w:r>
    </w:p>
    <w:p w:rsidR="00374D88" w:rsidRDefault="00374D88" w:rsidP="00374D8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rPr>
        <w:t>课程思政设计</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lastRenderedPageBreak/>
        <w:t>以几个地下结构工程事故案例为引例，增强学生在毕业工作后确保工程设施安全的底线意识；以“向地球深部进军”的国家科技战略为引例，通过讲述地下结构发展的战略意义，培养学生要以发展的眼光看问题，增强学生从事地下结构发展的职业责任感；以上海虹桥深层地下综合交通为例，讲授目前我国在城市地下结构方面的发展情况，培养学生的大国工匠精神，激发学生的家国情怀。</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地下结构所处的地质环境不同、地下结构类型不同、地下结构的功能不同等因素会使得地下结构的荷载及荷载组合呈现不同的特点，培养学生以全面的、历史的、实事求是的科学态度分析问题和解决问题。</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通过讲解静力法、倒梁法以及弹性地基梁法的思路及发展过程，教育引导学生深刻理解并自觉实践地基对地下结构作用的职业精神和职业规范，增强学生毕业后在工作中确保工程设施安全的底线意识。</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通过讲解荷载</w:t>
      </w:r>
      <w:r>
        <w:rPr>
          <w:rFonts w:ascii="Times New Roman" w:hAnsi="Times New Roman" w:hint="eastAsia"/>
          <w:sz w:val="28"/>
          <w:szCs w:val="28"/>
        </w:rPr>
        <w:t>-</w:t>
      </w:r>
      <w:r>
        <w:rPr>
          <w:rFonts w:ascii="Times New Roman" w:hAnsi="Times New Roman" w:hint="eastAsia"/>
          <w:sz w:val="28"/>
          <w:szCs w:val="28"/>
        </w:rPr>
        <w:t>结构法、地层</w:t>
      </w:r>
      <w:r>
        <w:rPr>
          <w:rFonts w:ascii="Times New Roman" w:hAnsi="Times New Roman" w:hint="eastAsia"/>
          <w:sz w:val="28"/>
          <w:szCs w:val="28"/>
        </w:rPr>
        <w:t>-</w:t>
      </w:r>
      <w:r>
        <w:rPr>
          <w:rFonts w:ascii="Times New Roman" w:hAnsi="Times New Roman" w:hint="eastAsia"/>
          <w:sz w:val="28"/>
          <w:szCs w:val="28"/>
        </w:rPr>
        <w:t>结构等地下结构的设计方法，教育引导学生深刻理解并自觉实践地下结构设计方法的职业精神和职业规范，增强学生在毕业工作后确保工程设施安全的底线意识。</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以核电工程、地铁工程、国防工程等百年工程为例，讲解地下结构耐久性的意义及内涵，教育引导学生深刻理解并自觉实践地下工程耐久性分析的职业精神和职业规范。</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浅埋式矩形闭合框架结构的设计思路与地上框架式结构的设计思路接近，但浅埋式地下结构中要考虑围岩压力、地应力、水压力等荷载作用，而不再考虑风荷载；并且地下结构底部与底层接触段要考虑到结构与土体的共同作用。鼓励学生在复杂地下结构设计问题中能够分析多变的因素、梳理设计思路、对比寻找内在联系，抓住事物现</w:t>
      </w:r>
      <w:r>
        <w:rPr>
          <w:rFonts w:ascii="Times New Roman" w:hAnsi="Times New Roman" w:hint="eastAsia"/>
          <w:sz w:val="28"/>
          <w:szCs w:val="28"/>
        </w:rPr>
        <w:lastRenderedPageBreak/>
        <w:t>象的本质，掌握科学分析问题方法；同时这也提示我们应坚持信念、不忘初心、方为始终。</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以港珠澳大桥沉管段的设计为引例，教育引导学生深刻理解并自觉实践隧道结构设计的专业能力和职业规范，培养学生的爱国情怀和大国工匠精神。隧道结构所处环境是千变万化的，培养学生以联系的、发展的观点看问题，不要以片面的、静止的观点看问题。</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通过讲解地下连续墙的设计方法和工程应用，教育引导学生深刻理解并自觉实践不同工况下的地下连续墙设计的专业能力和职业规范，增强学生在毕业工作后确保工程设施安全的底线意识，增强学生的土木工程师职业责任感</w:t>
      </w:r>
      <w:r>
        <w:rPr>
          <w:rFonts w:ascii="Times New Roman" w:hAnsi="Times New Roman"/>
          <w:sz w:val="28"/>
          <w:szCs w:val="28"/>
        </w:rPr>
        <w:t>。</w:t>
      </w:r>
    </w:p>
    <w:p w:rsidR="00374D88" w:rsidRDefault="00374D88" w:rsidP="00374D8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四、教学内容安排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57"/>
        <w:gridCol w:w="457"/>
        <w:gridCol w:w="2210"/>
        <w:gridCol w:w="2418"/>
        <w:gridCol w:w="2297"/>
      </w:tblGrid>
      <w:tr w:rsidR="00374D88" w:rsidTr="00BE5664">
        <w:trPr>
          <w:cantSplit/>
          <w:trHeight w:val="785"/>
          <w:tblHeader/>
        </w:trPr>
        <w:tc>
          <w:tcPr>
            <w:tcW w:w="0" w:type="auto"/>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序号</w:t>
            </w:r>
          </w:p>
        </w:tc>
        <w:tc>
          <w:tcPr>
            <w:tcW w:w="0" w:type="auto"/>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章节</w:t>
            </w:r>
          </w:p>
        </w:tc>
        <w:tc>
          <w:tcPr>
            <w:tcW w:w="0" w:type="auto"/>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参考学时</w:t>
            </w:r>
          </w:p>
        </w:tc>
        <w:tc>
          <w:tcPr>
            <w:tcW w:w="2452" w:type="dxa"/>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教学内容</w:t>
            </w:r>
          </w:p>
        </w:tc>
        <w:tc>
          <w:tcPr>
            <w:tcW w:w="2694" w:type="dxa"/>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基本要求</w:t>
            </w:r>
          </w:p>
        </w:tc>
        <w:tc>
          <w:tcPr>
            <w:tcW w:w="2515" w:type="dxa"/>
            <w:vAlign w:val="center"/>
          </w:tcPr>
          <w:p w:rsidR="00374D88" w:rsidRDefault="00374D88" w:rsidP="00BE5664">
            <w:pPr>
              <w:jc w:val="center"/>
              <w:rPr>
                <w:rFonts w:ascii="Times New Roman" w:hAnsi="Times New Roman"/>
                <w:b/>
                <w:kern w:val="0"/>
                <w:sz w:val="24"/>
                <w:szCs w:val="24"/>
              </w:rPr>
            </w:pPr>
            <w:r>
              <w:rPr>
                <w:rFonts w:ascii="Times New Roman" w:hAnsi="Times New Roman" w:hint="eastAsia"/>
                <w:b/>
                <w:kern w:val="0"/>
                <w:sz w:val="24"/>
                <w:szCs w:val="24"/>
              </w:rPr>
              <w:t>对毕业要求的支撑</w:t>
            </w:r>
          </w:p>
        </w:tc>
      </w:tr>
      <w:tr w:rsidR="00374D88" w:rsidTr="00BE5664">
        <w:trPr>
          <w:trHeight w:val="428"/>
        </w:trPr>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1</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绪论</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2</w:t>
            </w:r>
          </w:p>
        </w:tc>
        <w:tc>
          <w:tcPr>
            <w:tcW w:w="2452"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1.1</w:t>
            </w:r>
            <w:r>
              <w:rPr>
                <w:rFonts w:ascii="Times New Roman" w:hAnsi="Times New Roman" w:hint="eastAsia"/>
                <w:kern w:val="0"/>
                <w:sz w:val="24"/>
                <w:szCs w:val="24"/>
              </w:rPr>
              <w:tab/>
            </w:r>
            <w:r>
              <w:rPr>
                <w:rFonts w:ascii="Times New Roman" w:hAnsi="Times New Roman" w:hint="eastAsia"/>
                <w:kern w:val="0"/>
                <w:sz w:val="24"/>
                <w:szCs w:val="24"/>
              </w:rPr>
              <w:t>概述</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1.2</w:t>
            </w:r>
            <w:r>
              <w:rPr>
                <w:rFonts w:ascii="Times New Roman" w:hAnsi="Times New Roman" w:hint="eastAsia"/>
                <w:kern w:val="0"/>
                <w:sz w:val="24"/>
                <w:szCs w:val="24"/>
              </w:rPr>
              <w:tab/>
            </w:r>
            <w:r>
              <w:rPr>
                <w:rFonts w:ascii="Times New Roman" w:hAnsi="Times New Roman" w:hint="eastAsia"/>
                <w:kern w:val="0"/>
                <w:sz w:val="24"/>
                <w:szCs w:val="24"/>
              </w:rPr>
              <w:t>地下结构的分类和形式</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1.3</w:t>
            </w:r>
            <w:r>
              <w:rPr>
                <w:rFonts w:ascii="Times New Roman" w:hAnsi="Times New Roman" w:hint="eastAsia"/>
                <w:kern w:val="0"/>
                <w:sz w:val="24"/>
                <w:szCs w:val="24"/>
              </w:rPr>
              <w:tab/>
            </w:r>
            <w:r>
              <w:rPr>
                <w:rFonts w:ascii="Times New Roman" w:hAnsi="Times New Roman" w:hint="eastAsia"/>
                <w:kern w:val="0"/>
                <w:sz w:val="24"/>
                <w:szCs w:val="24"/>
              </w:rPr>
              <w:t>地下结构的特点</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1.4</w:t>
            </w:r>
            <w:r>
              <w:rPr>
                <w:rFonts w:ascii="Times New Roman" w:hAnsi="Times New Roman" w:hint="eastAsia"/>
                <w:kern w:val="0"/>
                <w:sz w:val="24"/>
                <w:szCs w:val="24"/>
              </w:rPr>
              <w:tab/>
            </w:r>
            <w:r>
              <w:rPr>
                <w:rFonts w:ascii="Times New Roman" w:hAnsi="Times New Roman" w:hint="eastAsia"/>
                <w:kern w:val="0"/>
                <w:sz w:val="24"/>
                <w:szCs w:val="24"/>
              </w:rPr>
              <w:t>地下结构的设计程序及内容</w:t>
            </w:r>
          </w:p>
        </w:tc>
        <w:tc>
          <w:tcPr>
            <w:tcW w:w="2694"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、了解地下结构的概念、功能和特点；掌握地下结构的形式。</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、了解地下结构的国内外发展趋势；了解地下结构的设计程序及内容；了解本课程的重要性、内容及学习方法。</w:t>
            </w:r>
          </w:p>
        </w:tc>
        <w:tc>
          <w:tcPr>
            <w:tcW w:w="2515"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w:t>
            </w:r>
          </w:p>
        </w:tc>
      </w:tr>
      <w:tr w:rsidR="00374D88" w:rsidTr="00BE5664">
        <w:trPr>
          <w:trHeight w:val="519"/>
        </w:trPr>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2</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地下结构的荷载</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4</w:t>
            </w:r>
          </w:p>
        </w:tc>
        <w:tc>
          <w:tcPr>
            <w:tcW w:w="2452"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2.1</w:t>
            </w:r>
            <w:r>
              <w:rPr>
                <w:rFonts w:ascii="Times New Roman" w:hAnsi="Times New Roman" w:hint="eastAsia"/>
                <w:kern w:val="0"/>
                <w:sz w:val="24"/>
                <w:szCs w:val="24"/>
              </w:rPr>
              <w:t>荷载种类、组合及确定方法</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2.2</w:t>
            </w:r>
            <w:r>
              <w:rPr>
                <w:rFonts w:ascii="Times New Roman" w:hAnsi="Times New Roman" w:hint="eastAsia"/>
                <w:kern w:val="0"/>
                <w:sz w:val="24"/>
                <w:szCs w:val="24"/>
              </w:rPr>
              <w:t>岩土体压力的计算</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2.3</w:t>
            </w:r>
            <w:r>
              <w:rPr>
                <w:rFonts w:ascii="Times New Roman" w:hAnsi="Times New Roman" w:hint="eastAsia"/>
                <w:kern w:val="0"/>
                <w:sz w:val="24"/>
                <w:szCs w:val="24"/>
              </w:rPr>
              <w:t>初始地应力、释放荷载与开挖</w:t>
            </w:r>
            <w:r>
              <w:rPr>
                <w:rFonts w:ascii="Times New Roman" w:hAnsi="Times New Roman" w:hint="eastAsia"/>
                <w:kern w:val="0"/>
                <w:sz w:val="24"/>
                <w:szCs w:val="24"/>
              </w:rPr>
              <w:t xml:space="preserve">  </w:t>
            </w:r>
            <w:r>
              <w:rPr>
                <w:rFonts w:ascii="Times New Roman" w:hAnsi="Times New Roman" w:hint="eastAsia"/>
                <w:kern w:val="0"/>
                <w:sz w:val="24"/>
                <w:szCs w:val="24"/>
              </w:rPr>
              <w:t>效应</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2.4</w:t>
            </w:r>
            <w:r>
              <w:rPr>
                <w:rFonts w:ascii="Times New Roman" w:hAnsi="Times New Roman" w:hint="eastAsia"/>
                <w:kern w:val="0"/>
                <w:sz w:val="24"/>
                <w:szCs w:val="24"/>
              </w:rPr>
              <w:t>地层弹性抗力</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2.5</w:t>
            </w:r>
            <w:r>
              <w:rPr>
                <w:rFonts w:ascii="Times New Roman" w:hAnsi="Times New Roman" w:hint="eastAsia"/>
                <w:kern w:val="0"/>
                <w:sz w:val="24"/>
                <w:szCs w:val="24"/>
              </w:rPr>
              <w:t>结构自重及其</w:t>
            </w:r>
            <w:r>
              <w:rPr>
                <w:rFonts w:ascii="Times New Roman" w:hAnsi="Times New Roman" w:hint="eastAsia"/>
                <w:kern w:val="0"/>
                <w:sz w:val="24"/>
                <w:szCs w:val="24"/>
              </w:rPr>
              <w:lastRenderedPageBreak/>
              <w:t>他荷载</w:t>
            </w:r>
          </w:p>
        </w:tc>
        <w:tc>
          <w:tcPr>
            <w:tcW w:w="2694"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lastRenderedPageBreak/>
              <w:t>1</w:t>
            </w:r>
            <w:r>
              <w:rPr>
                <w:rFonts w:ascii="Times New Roman" w:hAnsi="Times New Roman" w:hint="eastAsia"/>
                <w:kern w:val="0"/>
                <w:sz w:val="24"/>
                <w:szCs w:val="24"/>
              </w:rPr>
              <w:t>、掌握地下结构的荷载类型、组合原则和方式。</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、掌握土压力、岩石围岩压力的计算方法。</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、掌握局部变形理论和共同变形理论的基本思想和假定。</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lastRenderedPageBreak/>
              <w:t>4</w:t>
            </w:r>
            <w:r>
              <w:rPr>
                <w:rFonts w:ascii="Times New Roman" w:hAnsi="Times New Roman" w:hint="eastAsia"/>
                <w:kern w:val="0"/>
                <w:sz w:val="24"/>
                <w:szCs w:val="24"/>
              </w:rPr>
              <w:t>、掌握地层弹性抗力、水压力、地震作用和人防动荷载等的计算。</w:t>
            </w:r>
          </w:p>
        </w:tc>
        <w:tc>
          <w:tcPr>
            <w:tcW w:w="2515"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lastRenderedPageBreak/>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w:t>
            </w:r>
          </w:p>
        </w:tc>
      </w:tr>
      <w:tr w:rsidR="00374D88" w:rsidTr="00BE5664">
        <w:trPr>
          <w:trHeight w:val="555"/>
        </w:trPr>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3</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弹性地基梁理论</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4</w:t>
            </w:r>
          </w:p>
        </w:tc>
        <w:tc>
          <w:tcPr>
            <w:tcW w:w="2452"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 xml:space="preserve">3.1 </w:t>
            </w:r>
            <w:r>
              <w:rPr>
                <w:rFonts w:ascii="Times New Roman" w:hAnsi="Times New Roman" w:hint="eastAsia"/>
                <w:kern w:val="0"/>
                <w:sz w:val="24"/>
                <w:szCs w:val="24"/>
              </w:rPr>
              <w:t>概述</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3.2</w:t>
            </w:r>
            <w:r>
              <w:rPr>
                <w:rFonts w:ascii="Times New Roman" w:hAnsi="Times New Roman" w:hint="eastAsia"/>
                <w:kern w:val="0"/>
                <w:sz w:val="24"/>
                <w:szCs w:val="24"/>
              </w:rPr>
              <w:t>按温克尔假定计算弹性地基梁</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3.3</w:t>
            </w:r>
            <w:r>
              <w:rPr>
                <w:rFonts w:ascii="Times New Roman" w:hAnsi="Times New Roman" w:hint="eastAsia"/>
                <w:kern w:val="0"/>
                <w:sz w:val="24"/>
                <w:szCs w:val="24"/>
              </w:rPr>
              <w:t>按地基为弹性半无限平面体</w:t>
            </w:r>
          </w:p>
        </w:tc>
        <w:tc>
          <w:tcPr>
            <w:tcW w:w="2694"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、熟悉弹性地基理论的概念、优缺点与适用场合、解析解与数值方法；</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、掌握弹性地基梁原理及工程应用。</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、掌握地下框架结构的有限元表达式。</w:t>
            </w:r>
          </w:p>
        </w:tc>
        <w:tc>
          <w:tcPr>
            <w:tcW w:w="2515"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w:t>
            </w:r>
          </w:p>
        </w:tc>
      </w:tr>
      <w:tr w:rsidR="00374D88" w:rsidTr="00BE5664">
        <w:trPr>
          <w:trHeight w:val="548"/>
        </w:trPr>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4</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地下结构的计算方法</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2</w:t>
            </w:r>
          </w:p>
        </w:tc>
        <w:tc>
          <w:tcPr>
            <w:tcW w:w="2452"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 xml:space="preserve">4.1 </w:t>
            </w:r>
            <w:r>
              <w:rPr>
                <w:rFonts w:ascii="Times New Roman" w:hAnsi="Times New Roman" w:hint="eastAsia"/>
                <w:kern w:val="0"/>
                <w:sz w:val="24"/>
                <w:szCs w:val="24"/>
              </w:rPr>
              <w:t>概述</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4.2</w:t>
            </w:r>
            <w:r>
              <w:rPr>
                <w:rFonts w:ascii="Times New Roman" w:hAnsi="Times New Roman" w:hint="eastAsia"/>
                <w:kern w:val="0"/>
                <w:sz w:val="24"/>
                <w:szCs w:val="24"/>
              </w:rPr>
              <w:t>荷载一结构法</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4.3</w:t>
            </w:r>
            <w:r>
              <w:rPr>
                <w:rFonts w:ascii="Times New Roman" w:hAnsi="Times New Roman" w:hint="eastAsia"/>
                <w:kern w:val="0"/>
                <w:sz w:val="24"/>
                <w:szCs w:val="24"/>
              </w:rPr>
              <w:t>地层一结构法</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4.4</w:t>
            </w:r>
            <w:r>
              <w:rPr>
                <w:rFonts w:ascii="Times New Roman" w:hAnsi="Times New Roman" w:hint="eastAsia"/>
                <w:kern w:val="0"/>
                <w:sz w:val="24"/>
                <w:szCs w:val="24"/>
              </w:rPr>
              <w:t>算例</w:t>
            </w:r>
          </w:p>
        </w:tc>
        <w:tc>
          <w:tcPr>
            <w:tcW w:w="2694"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、熟悉共同作用的概念、分析方法的现状。</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、掌握地下结构的合理计算方法。</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、掌握荷载</w:t>
            </w:r>
            <w:r>
              <w:rPr>
                <w:rFonts w:ascii="Times New Roman" w:hAnsi="Times New Roman" w:hint="eastAsia"/>
                <w:kern w:val="0"/>
                <w:sz w:val="24"/>
                <w:szCs w:val="24"/>
              </w:rPr>
              <w:t>-</w:t>
            </w:r>
            <w:r>
              <w:rPr>
                <w:rFonts w:ascii="Times New Roman" w:hAnsi="Times New Roman" w:hint="eastAsia"/>
                <w:kern w:val="0"/>
                <w:sz w:val="24"/>
                <w:szCs w:val="24"/>
              </w:rPr>
              <w:t>结构法。</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、掌握地层</w:t>
            </w:r>
            <w:r>
              <w:rPr>
                <w:rFonts w:ascii="Times New Roman" w:hAnsi="Times New Roman" w:hint="eastAsia"/>
                <w:kern w:val="0"/>
                <w:sz w:val="24"/>
                <w:szCs w:val="24"/>
              </w:rPr>
              <w:t>-</w:t>
            </w:r>
            <w:r>
              <w:rPr>
                <w:rFonts w:ascii="Times New Roman" w:hAnsi="Times New Roman" w:hint="eastAsia"/>
                <w:kern w:val="0"/>
                <w:sz w:val="24"/>
                <w:szCs w:val="24"/>
              </w:rPr>
              <w:t>结构法。</w:t>
            </w:r>
          </w:p>
        </w:tc>
        <w:tc>
          <w:tcPr>
            <w:tcW w:w="2515"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：掌握土木工程专业知识，具备知识融合能力，应用于解决土木工程专业复杂工程问题”和“指标点</w:t>
            </w:r>
            <w:r>
              <w:rPr>
                <w:rFonts w:ascii="Times New Roman" w:hAnsi="Times New Roman" w:hint="eastAsia"/>
                <w:kern w:val="0"/>
                <w:sz w:val="24"/>
                <w:szCs w:val="24"/>
              </w:rPr>
              <w:t>5-2</w:t>
            </w:r>
            <w:r>
              <w:rPr>
                <w:rFonts w:ascii="Times New Roman" w:hAnsi="Times New Roman" w:hint="eastAsia"/>
                <w:kern w:val="0"/>
                <w:sz w:val="24"/>
                <w:szCs w:val="24"/>
              </w:rPr>
              <w:t>：能够选择与使用勘测、制图、检测、计算、设计等恰当的技术和资源，对土木工程专业复杂工程问题进行分析、计算和设计，并理解其局限性”；</w:t>
            </w:r>
          </w:p>
        </w:tc>
      </w:tr>
      <w:tr w:rsidR="00374D88" w:rsidTr="00BE5664">
        <w:trPr>
          <w:trHeight w:val="548"/>
        </w:trPr>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5</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地下结构的耐久性设计</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2</w:t>
            </w:r>
          </w:p>
        </w:tc>
        <w:tc>
          <w:tcPr>
            <w:tcW w:w="2452"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 xml:space="preserve">5.1 </w:t>
            </w:r>
            <w:r>
              <w:rPr>
                <w:rFonts w:ascii="Times New Roman" w:hAnsi="Times New Roman" w:hint="eastAsia"/>
                <w:kern w:val="0"/>
                <w:sz w:val="24"/>
                <w:szCs w:val="24"/>
              </w:rPr>
              <w:t>概述</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5.2</w:t>
            </w:r>
            <w:r>
              <w:rPr>
                <w:rFonts w:ascii="Times New Roman" w:hAnsi="Times New Roman" w:hint="eastAsia"/>
                <w:kern w:val="0"/>
                <w:sz w:val="24"/>
                <w:szCs w:val="24"/>
              </w:rPr>
              <w:t>可靠度分析的基本原理</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5.3</w:t>
            </w:r>
            <w:r>
              <w:rPr>
                <w:rFonts w:ascii="Times New Roman" w:hAnsi="Times New Roman" w:hint="eastAsia"/>
                <w:kern w:val="0"/>
                <w:sz w:val="24"/>
                <w:szCs w:val="24"/>
              </w:rPr>
              <w:t>可靠度分析的近似方法</w:t>
            </w:r>
          </w:p>
        </w:tc>
        <w:tc>
          <w:tcPr>
            <w:tcW w:w="2694"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、掌握地下结构耐久性设计的内涵。</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、熟悉荷载代表值、材料与保护层厚度、结构构造措施等方面的要求。</w:t>
            </w:r>
          </w:p>
        </w:tc>
        <w:tc>
          <w:tcPr>
            <w:tcW w:w="2515"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w:t>
            </w:r>
          </w:p>
        </w:tc>
      </w:tr>
      <w:tr w:rsidR="00374D88" w:rsidTr="00BE5664">
        <w:trPr>
          <w:trHeight w:val="548"/>
        </w:trPr>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lastRenderedPageBreak/>
              <w:t>6</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浅埋式结构</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4</w:t>
            </w:r>
          </w:p>
        </w:tc>
        <w:tc>
          <w:tcPr>
            <w:tcW w:w="2452"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 xml:space="preserve">6.1 </w:t>
            </w:r>
            <w:r>
              <w:rPr>
                <w:rFonts w:ascii="Times New Roman" w:hAnsi="Times New Roman" w:hint="eastAsia"/>
                <w:kern w:val="0"/>
                <w:sz w:val="24"/>
                <w:szCs w:val="24"/>
              </w:rPr>
              <w:t>概述</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6.2</w:t>
            </w:r>
            <w:r>
              <w:rPr>
                <w:rFonts w:ascii="Times New Roman" w:hAnsi="Times New Roman" w:hint="eastAsia"/>
                <w:kern w:val="0"/>
                <w:sz w:val="24"/>
                <w:szCs w:val="24"/>
              </w:rPr>
              <w:t>矩形闭合框架的计算</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6.3</w:t>
            </w:r>
            <w:r>
              <w:rPr>
                <w:rFonts w:ascii="Times New Roman" w:hAnsi="Times New Roman" w:hint="eastAsia"/>
                <w:kern w:val="0"/>
                <w:sz w:val="24"/>
                <w:szCs w:val="24"/>
              </w:rPr>
              <w:t>截面设计</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6.4</w:t>
            </w:r>
            <w:r>
              <w:rPr>
                <w:rFonts w:ascii="Times New Roman" w:hAnsi="Times New Roman" w:hint="eastAsia"/>
                <w:kern w:val="0"/>
                <w:sz w:val="24"/>
                <w:szCs w:val="24"/>
              </w:rPr>
              <w:t>构造要求</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6.5</w:t>
            </w:r>
            <w:r>
              <w:rPr>
                <w:rFonts w:ascii="Times New Roman" w:hAnsi="Times New Roman" w:hint="eastAsia"/>
                <w:kern w:val="0"/>
                <w:sz w:val="24"/>
                <w:szCs w:val="24"/>
              </w:rPr>
              <w:t>弹性地基上矩形闭合框架设计计算</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6.6</w:t>
            </w:r>
            <w:r>
              <w:rPr>
                <w:rFonts w:ascii="Times New Roman" w:hAnsi="Times New Roman" w:hint="eastAsia"/>
                <w:kern w:val="0"/>
                <w:sz w:val="24"/>
                <w:szCs w:val="24"/>
              </w:rPr>
              <w:t>算例</w:t>
            </w:r>
          </w:p>
        </w:tc>
        <w:tc>
          <w:tcPr>
            <w:tcW w:w="2694"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、熟悉盾浅埋式结构的型式、应用、设计计算内容及要求。</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、掌握矩形闭合框架结构的内力计算方法。</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、熟悉地铁车站结构的内力计算、截面设计及构造要求</w:t>
            </w:r>
          </w:p>
        </w:tc>
        <w:tc>
          <w:tcPr>
            <w:tcW w:w="2515"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：掌握土木工程专业知识，具备知识融合能力，应用于解决土木工程专业复杂工程问题”和“指标点</w:t>
            </w:r>
            <w:r>
              <w:rPr>
                <w:rFonts w:ascii="Times New Roman" w:hAnsi="Times New Roman" w:hint="eastAsia"/>
                <w:kern w:val="0"/>
                <w:sz w:val="24"/>
                <w:szCs w:val="24"/>
              </w:rPr>
              <w:t>5-2</w:t>
            </w:r>
            <w:r>
              <w:rPr>
                <w:rFonts w:ascii="Times New Roman" w:hAnsi="Times New Roman" w:hint="eastAsia"/>
                <w:kern w:val="0"/>
                <w:sz w:val="24"/>
                <w:szCs w:val="24"/>
              </w:rPr>
              <w:t>：能够选择与使用勘测、制图、检测、计算、设计等恰当的技术和资源，对土木工程专业复杂工程问题进行分析、计算和设计，并理解其局限性”；</w:t>
            </w:r>
          </w:p>
        </w:tc>
      </w:tr>
      <w:tr w:rsidR="00374D88" w:rsidTr="00BE5664">
        <w:trPr>
          <w:trHeight w:val="548"/>
        </w:trPr>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7</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盾构隧道和顶管隧道</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4</w:t>
            </w:r>
          </w:p>
        </w:tc>
        <w:tc>
          <w:tcPr>
            <w:tcW w:w="2452"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 xml:space="preserve">7.1 </w:t>
            </w:r>
            <w:r>
              <w:rPr>
                <w:rFonts w:ascii="Times New Roman" w:hAnsi="Times New Roman" w:hint="eastAsia"/>
                <w:kern w:val="0"/>
                <w:sz w:val="24"/>
                <w:szCs w:val="24"/>
              </w:rPr>
              <w:t>概述</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7.2</w:t>
            </w:r>
            <w:r>
              <w:rPr>
                <w:rFonts w:ascii="Times New Roman" w:hAnsi="Times New Roman" w:hint="eastAsia"/>
                <w:kern w:val="0"/>
                <w:sz w:val="24"/>
                <w:szCs w:val="24"/>
              </w:rPr>
              <w:t>盾构法隧道衬砌结构设计流程</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7.3</w:t>
            </w:r>
            <w:r>
              <w:rPr>
                <w:rFonts w:ascii="Times New Roman" w:hAnsi="Times New Roman" w:hint="eastAsia"/>
                <w:kern w:val="0"/>
                <w:sz w:val="24"/>
                <w:szCs w:val="24"/>
              </w:rPr>
              <w:t>装配式钢筋混凝土管片</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7.4</w:t>
            </w:r>
            <w:r>
              <w:rPr>
                <w:rFonts w:ascii="Times New Roman" w:hAnsi="Times New Roman" w:hint="eastAsia"/>
                <w:kern w:val="0"/>
                <w:sz w:val="24"/>
                <w:szCs w:val="24"/>
              </w:rPr>
              <w:t>隧道防水及处理</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7.5</w:t>
            </w:r>
            <w:r>
              <w:rPr>
                <w:rFonts w:ascii="Times New Roman" w:hAnsi="Times New Roman" w:hint="eastAsia"/>
                <w:kern w:val="0"/>
                <w:sz w:val="24"/>
                <w:szCs w:val="24"/>
              </w:rPr>
              <w:t>盾构法隧道结构设计算例</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7.6</w:t>
            </w:r>
            <w:r>
              <w:rPr>
                <w:rFonts w:ascii="Times New Roman" w:hAnsi="Times New Roman" w:hint="eastAsia"/>
                <w:kern w:val="0"/>
                <w:sz w:val="24"/>
                <w:szCs w:val="24"/>
              </w:rPr>
              <w:t>有限单元法在隧道计算模型中的应用</w:t>
            </w:r>
          </w:p>
        </w:tc>
        <w:tc>
          <w:tcPr>
            <w:tcW w:w="2694"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、熟悉盾构隧道和顶管隧道的功能、特点、应用、设计计算内容及要求。</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、掌握圆形柔性衬砌结构的内力计算方法。</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、熟悉盾构隧道衬砌结构的内力计算、截面设计及构造要求；熟悉顶管隧道衬砌结构的内力计算、截面设计及构造要求。</w:t>
            </w:r>
          </w:p>
        </w:tc>
        <w:tc>
          <w:tcPr>
            <w:tcW w:w="2515"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：掌握土木工程专业知识，具备知识融合能力，应用于解决土木工程专业复杂工程问题”和“指标点</w:t>
            </w:r>
            <w:r>
              <w:rPr>
                <w:rFonts w:ascii="Times New Roman" w:hAnsi="Times New Roman" w:hint="eastAsia"/>
                <w:kern w:val="0"/>
                <w:sz w:val="24"/>
                <w:szCs w:val="24"/>
              </w:rPr>
              <w:t>5-2</w:t>
            </w:r>
            <w:r>
              <w:rPr>
                <w:rFonts w:ascii="Times New Roman" w:hAnsi="Times New Roman" w:hint="eastAsia"/>
                <w:kern w:val="0"/>
                <w:sz w:val="24"/>
                <w:szCs w:val="24"/>
              </w:rPr>
              <w:t>：能够选择与使用勘测、制图、检测、计算、设计等恰当的技术和资源，对土木工程专业复杂工程问题进行分析、计算和设计，并理解其局限性”；</w:t>
            </w:r>
          </w:p>
        </w:tc>
      </w:tr>
      <w:tr w:rsidR="00374D88" w:rsidTr="00BE5664">
        <w:trPr>
          <w:trHeight w:val="548"/>
        </w:trPr>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8</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地下连续墙结</w:t>
            </w:r>
            <w:r>
              <w:rPr>
                <w:rFonts w:ascii="Times New Roman" w:hAnsi="Times New Roman" w:hint="eastAsia"/>
                <w:kern w:val="0"/>
                <w:sz w:val="24"/>
                <w:szCs w:val="24"/>
              </w:rPr>
              <w:lastRenderedPageBreak/>
              <w:t>构</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lastRenderedPageBreak/>
              <w:t>2</w:t>
            </w:r>
          </w:p>
        </w:tc>
        <w:tc>
          <w:tcPr>
            <w:tcW w:w="2452"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8.1</w:t>
            </w:r>
            <w:r>
              <w:rPr>
                <w:rFonts w:ascii="Times New Roman" w:hAnsi="Times New Roman" w:hint="eastAsia"/>
                <w:kern w:val="0"/>
                <w:sz w:val="24"/>
                <w:szCs w:val="24"/>
              </w:rPr>
              <w:t>概述</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8.2</w:t>
            </w:r>
            <w:r>
              <w:rPr>
                <w:rFonts w:ascii="Times New Roman" w:hAnsi="Times New Roman" w:hint="eastAsia"/>
                <w:kern w:val="0"/>
                <w:sz w:val="24"/>
                <w:szCs w:val="24"/>
              </w:rPr>
              <w:t>地下连续墙的设计</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8.3</w:t>
            </w:r>
            <w:r>
              <w:rPr>
                <w:rFonts w:ascii="Times New Roman" w:hAnsi="Times New Roman" w:hint="eastAsia"/>
                <w:kern w:val="0"/>
                <w:sz w:val="24"/>
                <w:szCs w:val="24"/>
              </w:rPr>
              <w:t>地下连续墙细部设计</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8.4</w:t>
            </w:r>
            <w:r>
              <w:rPr>
                <w:rFonts w:ascii="Times New Roman" w:hAnsi="Times New Roman" w:hint="eastAsia"/>
                <w:kern w:val="0"/>
                <w:sz w:val="24"/>
                <w:szCs w:val="24"/>
              </w:rPr>
              <w:t>地下连续墙设</w:t>
            </w:r>
            <w:r>
              <w:rPr>
                <w:rFonts w:ascii="Times New Roman" w:hAnsi="Times New Roman" w:hint="eastAsia"/>
                <w:kern w:val="0"/>
                <w:sz w:val="24"/>
                <w:szCs w:val="24"/>
              </w:rPr>
              <w:lastRenderedPageBreak/>
              <w:t>计算例</w:t>
            </w:r>
          </w:p>
        </w:tc>
        <w:tc>
          <w:tcPr>
            <w:tcW w:w="2694"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lastRenderedPageBreak/>
              <w:t>1</w:t>
            </w:r>
            <w:r>
              <w:rPr>
                <w:rFonts w:ascii="Times New Roman" w:hAnsi="Times New Roman" w:hint="eastAsia"/>
                <w:kern w:val="0"/>
                <w:sz w:val="24"/>
                <w:szCs w:val="24"/>
              </w:rPr>
              <w:t>、熟悉地下连续墙结构的概念、适用范围和特点。</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、掌握连续墙结构的荷载计算、计算简图和内力计算方法，</w:t>
            </w:r>
            <w:r>
              <w:rPr>
                <w:rFonts w:ascii="Times New Roman" w:hAnsi="Times New Roman" w:hint="eastAsia"/>
                <w:kern w:val="0"/>
                <w:sz w:val="24"/>
                <w:szCs w:val="24"/>
              </w:rPr>
              <w:lastRenderedPageBreak/>
              <w:t>连续墙接头设计方法。</w:t>
            </w:r>
          </w:p>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、熟悉连续墙作为地下结构外墙时的设计方法。</w:t>
            </w:r>
          </w:p>
        </w:tc>
        <w:tc>
          <w:tcPr>
            <w:tcW w:w="2515"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lastRenderedPageBreak/>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：掌握土木工程专业知识，具备知识融合能力，应用于解决</w:t>
            </w:r>
            <w:r>
              <w:rPr>
                <w:rFonts w:ascii="Times New Roman" w:hAnsi="Times New Roman" w:hint="eastAsia"/>
                <w:kern w:val="0"/>
                <w:sz w:val="24"/>
                <w:szCs w:val="24"/>
              </w:rPr>
              <w:lastRenderedPageBreak/>
              <w:t>土木工程专业复杂工程问题”和“指标点</w:t>
            </w:r>
            <w:r>
              <w:rPr>
                <w:rFonts w:ascii="Times New Roman" w:hAnsi="Times New Roman" w:hint="eastAsia"/>
                <w:kern w:val="0"/>
                <w:sz w:val="24"/>
                <w:szCs w:val="24"/>
              </w:rPr>
              <w:t>5-2</w:t>
            </w:r>
            <w:r>
              <w:rPr>
                <w:rFonts w:ascii="Times New Roman" w:hAnsi="Times New Roman" w:hint="eastAsia"/>
                <w:kern w:val="0"/>
                <w:sz w:val="24"/>
                <w:szCs w:val="24"/>
              </w:rPr>
              <w:t>：能够选择与使用勘测、制图、检测、计算、设计等恰当的技术和资源，对土木工程专业复杂工程问题进行分析、计算和设计，并理解其局限性”。</w:t>
            </w:r>
          </w:p>
        </w:tc>
      </w:tr>
    </w:tbl>
    <w:p w:rsidR="00374D88" w:rsidRDefault="00374D88" w:rsidP="00374D8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lastRenderedPageBreak/>
        <w:t>五、课程考核方式与成绩评定</w:t>
      </w:r>
    </w:p>
    <w:p w:rsidR="00374D88" w:rsidRDefault="00374D88" w:rsidP="00374D88">
      <w:pPr>
        <w:snapToGrid w:val="0"/>
        <w:spacing w:line="360" w:lineRule="auto"/>
        <w:ind w:firstLineChars="200" w:firstLine="560"/>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课程考核</w:t>
      </w:r>
    </w:p>
    <w:p w:rsidR="00374D88" w:rsidRDefault="00374D88" w:rsidP="00374D8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课程总评成绩由平时成绩、和期终考试（闭卷）</w:t>
      </w:r>
      <w:r>
        <w:rPr>
          <w:rFonts w:ascii="Times New Roman" w:hAnsi="Times New Roman"/>
          <w:sz w:val="28"/>
          <w:szCs w:val="28"/>
        </w:rPr>
        <w:t>2</w:t>
      </w:r>
      <w:r>
        <w:rPr>
          <w:rFonts w:ascii="Times New Roman" w:hAnsi="Times New Roman"/>
          <w:sz w:val="28"/>
          <w:szCs w:val="28"/>
        </w:rPr>
        <w:t>个考核环节综合评定产生。</w:t>
      </w:r>
    </w:p>
    <w:p w:rsidR="00374D88" w:rsidRDefault="00374D88" w:rsidP="005F6318">
      <w:pPr>
        <w:numPr>
          <w:ilvl w:val="0"/>
          <w:numId w:val="2"/>
        </w:numPr>
        <w:spacing w:beforeLines="50" w:before="156" w:line="360" w:lineRule="auto"/>
        <w:ind w:firstLineChars="200" w:firstLine="560"/>
        <w:rPr>
          <w:rFonts w:ascii="Times New Roman" w:hAnsi="Times New Roman"/>
          <w:sz w:val="28"/>
          <w:szCs w:val="28"/>
        </w:rPr>
      </w:pPr>
      <w:r>
        <w:rPr>
          <w:rFonts w:ascii="Times New Roman" w:hAnsi="Times New Roman"/>
          <w:sz w:val="28"/>
          <w:szCs w:val="28"/>
        </w:rPr>
        <w:t>成绩评定</w:t>
      </w:r>
    </w:p>
    <w:p w:rsidR="00374D88" w:rsidRDefault="00374D88" w:rsidP="00374D88">
      <w:pPr>
        <w:spacing w:line="360" w:lineRule="auto"/>
        <w:ind w:firstLineChars="200" w:firstLine="560"/>
        <w:rPr>
          <w:sz w:val="28"/>
          <w:szCs w:val="28"/>
        </w:rPr>
      </w:pPr>
      <w:r>
        <w:rPr>
          <w:rFonts w:ascii="Times New Roman" w:hAnsi="Times New Roman"/>
          <w:sz w:val="28"/>
          <w:szCs w:val="28"/>
        </w:rPr>
        <w:t>成绩评定方式</w:t>
      </w:r>
      <w:r>
        <w:rPr>
          <w:rFonts w:ascii="Times New Roman" w:hAnsi="Times New Roman" w:hint="eastAsia"/>
          <w:sz w:val="28"/>
          <w:szCs w:val="28"/>
        </w:rPr>
        <w:t>为百分制</w:t>
      </w:r>
    </w:p>
    <w:p w:rsidR="00374D88" w:rsidRDefault="00374D88" w:rsidP="00374D88">
      <w:pPr>
        <w:spacing w:line="360" w:lineRule="auto"/>
        <w:ind w:firstLineChars="200" w:firstLine="560"/>
        <w:rPr>
          <w:sz w:val="28"/>
          <w:szCs w:val="28"/>
        </w:rPr>
      </w:pPr>
      <w:r>
        <w:rPr>
          <w:sz w:val="28"/>
          <w:szCs w:val="28"/>
        </w:rPr>
        <w:t>课程总成绩</w:t>
      </w:r>
      <w:r>
        <w:rPr>
          <w:sz w:val="28"/>
          <w:szCs w:val="28"/>
        </w:rPr>
        <w:t>=</w:t>
      </w:r>
      <w:r>
        <w:rPr>
          <w:sz w:val="28"/>
          <w:szCs w:val="28"/>
        </w:rPr>
        <w:t>期末成绩</w:t>
      </w:r>
      <w:r>
        <w:rPr>
          <w:sz w:val="28"/>
          <w:szCs w:val="28"/>
        </w:rPr>
        <w:t>80</w:t>
      </w:r>
      <w:r>
        <w:rPr>
          <w:rFonts w:hint="eastAsia"/>
          <w:sz w:val="28"/>
          <w:szCs w:val="28"/>
        </w:rPr>
        <w:t>%+</w:t>
      </w:r>
      <w:r>
        <w:rPr>
          <w:rFonts w:hint="eastAsia"/>
          <w:sz w:val="28"/>
          <w:szCs w:val="28"/>
        </w:rPr>
        <w:t>平时</w:t>
      </w:r>
      <w:r>
        <w:rPr>
          <w:sz w:val="28"/>
          <w:szCs w:val="28"/>
        </w:rPr>
        <w:t>成绩</w:t>
      </w:r>
      <w:r>
        <w:rPr>
          <w:sz w:val="28"/>
          <w:szCs w:val="28"/>
        </w:rPr>
        <w:t>20</w:t>
      </w:r>
      <w:r>
        <w:rPr>
          <w:rFonts w:hint="eastAsia"/>
          <w:sz w:val="28"/>
          <w:szCs w:val="28"/>
        </w:rPr>
        <w:t>%</w:t>
      </w:r>
    </w:p>
    <w:p w:rsidR="00374D88" w:rsidRDefault="00374D88" w:rsidP="00374D88">
      <w:pPr>
        <w:spacing w:line="360" w:lineRule="auto"/>
        <w:ind w:firstLineChars="200" w:firstLine="560"/>
        <w:rPr>
          <w:rFonts w:ascii="Times New Roman" w:hAnsi="Times New Roman"/>
          <w:sz w:val="28"/>
          <w:szCs w:val="28"/>
        </w:rPr>
      </w:pPr>
      <w:r>
        <w:rPr>
          <w:rFonts w:ascii="Times New Roman" w:hAnsi="Times New Roman"/>
          <w:sz w:val="28"/>
          <w:szCs w:val="28"/>
        </w:rPr>
        <w:t>各考核环节与课程目标的对应关系如下：</w:t>
      </w:r>
    </w:p>
    <w:p w:rsidR="00374D88" w:rsidRDefault="00374D88" w:rsidP="00374D88">
      <w:pPr>
        <w:spacing w:line="360" w:lineRule="auto"/>
        <w:ind w:firstLineChars="200" w:firstLine="560"/>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4637"/>
        <w:gridCol w:w="1667"/>
      </w:tblGrid>
      <w:tr w:rsidR="00374D88" w:rsidTr="00BE5664">
        <w:trPr>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b/>
                <w:sz w:val="24"/>
                <w:szCs w:val="24"/>
              </w:rPr>
            </w:pPr>
            <w:r>
              <w:rPr>
                <w:rFonts w:ascii="Times New Roman" w:hAnsi="Times New Roman"/>
                <w:b/>
                <w:sz w:val="24"/>
                <w:szCs w:val="24"/>
              </w:rPr>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b/>
                <w:sz w:val="24"/>
                <w:szCs w:val="24"/>
              </w:rPr>
            </w:pPr>
            <w:r>
              <w:rPr>
                <w:rFonts w:ascii="Times New Roman" w:hAnsi="Times New Roman"/>
                <w:b/>
                <w:sz w:val="24"/>
                <w:szCs w:val="24"/>
              </w:rPr>
              <w:t>教学目标</w:t>
            </w:r>
          </w:p>
        </w:tc>
      </w:tr>
      <w:tr w:rsidR="00374D88" w:rsidTr="00BE5664">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b/>
                <w:sz w:val="24"/>
                <w:szCs w:val="24"/>
              </w:rPr>
            </w:pPr>
            <w:r>
              <w:rPr>
                <w:rFonts w:ascii="Times New Roman" w:hAnsi="Times New Roman"/>
                <w:b/>
                <w:sz w:val="24"/>
                <w:szCs w:val="24"/>
              </w:rPr>
              <w:t>分项比例</w:t>
            </w:r>
          </w:p>
        </w:tc>
        <w:tc>
          <w:tcPr>
            <w:tcW w:w="2795"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b/>
                <w:sz w:val="24"/>
                <w:szCs w:val="24"/>
              </w:rPr>
            </w:pPr>
            <w:r>
              <w:rPr>
                <w:rFonts w:ascii="Times New Roman" w:hAnsi="Times New Roman"/>
                <w:b/>
                <w:sz w:val="24"/>
                <w:szCs w:val="24"/>
              </w:rPr>
              <w:t>考核要求</w:t>
            </w:r>
          </w:p>
        </w:tc>
        <w:tc>
          <w:tcPr>
            <w:tcW w:w="1005" w:type="pct"/>
            <w:vMerge/>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p>
        </w:tc>
      </w:tr>
      <w:tr w:rsidR="00374D88" w:rsidTr="00BE5664">
        <w:trPr>
          <w:trHeight w:val="1500"/>
          <w:jc w:val="center"/>
        </w:trPr>
        <w:tc>
          <w:tcPr>
            <w:tcW w:w="1200"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平时成绩</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374D88" w:rsidRDefault="00374D88" w:rsidP="00BE5664">
            <w:pPr>
              <w:rPr>
                <w:rFonts w:ascii="Times New Roman" w:hAnsi="Times New Roman"/>
                <w:sz w:val="24"/>
                <w:szCs w:val="24"/>
              </w:rPr>
            </w:pPr>
            <w:r>
              <w:rPr>
                <w:rFonts w:ascii="Times New Roman" w:hAnsi="Times New Roman"/>
                <w:sz w:val="24"/>
                <w:szCs w:val="24"/>
              </w:rPr>
              <w:t>出勤统计不少于授课次数的</w:t>
            </w:r>
            <w:r>
              <w:rPr>
                <w:rFonts w:ascii="Times New Roman" w:hAnsi="Times New Roman"/>
                <w:sz w:val="24"/>
                <w:szCs w:val="24"/>
              </w:rPr>
              <w:t xml:space="preserve"> 2/3</w:t>
            </w:r>
            <w:r>
              <w:rPr>
                <w:rFonts w:ascii="Times New Roman" w:hAnsi="Times New Roman"/>
                <w:sz w:val="24"/>
                <w:szCs w:val="24"/>
              </w:rPr>
              <w:t>，重点考察学生的课堂表现，占</w:t>
            </w:r>
            <w:r>
              <w:rPr>
                <w:rFonts w:ascii="Times New Roman" w:hAnsi="Times New Roman"/>
                <w:sz w:val="24"/>
                <w:szCs w:val="24"/>
              </w:rPr>
              <w:t xml:space="preserve"> 20%</w:t>
            </w:r>
            <w:r>
              <w:rPr>
                <w:rFonts w:ascii="Times New Roman" w:hAnsi="Times New Roman"/>
                <w:sz w:val="24"/>
                <w:szCs w:val="24"/>
              </w:rPr>
              <w:t>；课后作业布置</w:t>
            </w:r>
            <w:r>
              <w:rPr>
                <w:rFonts w:ascii="Times New Roman" w:hAnsi="Times New Roman"/>
                <w:sz w:val="24"/>
                <w:szCs w:val="24"/>
              </w:rPr>
              <w:t>4</w:t>
            </w:r>
            <w:r>
              <w:rPr>
                <w:rFonts w:ascii="Times New Roman" w:hAnsi="Times New Roman"/>
                <w:sz w:val="24"/>
                <w:szCs w:val="24"/>
              </w:rPr>
              <w:t>次；通过课后作业考核学生对</w:t>
            </w:r>
            <w:r>
              <w:rPr>
                <w:rFonts w:ascii="Times New Roman" w:hAnsi="Times New Roman" w:hint="eastAsia"/>
                <w:sz w:val="24"/>
                <w:szCs w:val="24"/>
              </w:rPr>
              <w:t>地下结构荷载</w:t>
            </w:r>
            <w:r>
              <w:rPr>
                <w:rFonts w:ascii="Times New Roman" w:hAnsi="Times New Roman"/>
                <w:sz w:val="24"/>
                <w:szCs w:val="24"/>
              </w:rPr>
              <w:t>计算、</w:t>
            </w:r>
            <w:r>
              <w:rPr>
                <w:rFonts w:ascii="Times New Roman" w:hAnsi="Times New Roman" w:hint="eastAsia"/>
                <w:sz w:val="24"/>
                <w:szCs w:val="24"/>
              </w:rPr>
              <w:t>荷载组合计算、</w:t>
            </w:r>
            <w:r>
              <w:rPr>
                <w:rFonts w:ascii="Times New Roman" w:hAnsi="Times New Roman"/>
                <w:sz w:val="24"/>
                <w:szCs w:val="24"/>
              </w:rPr>
              <w:t>土压力计算、</w:t>
            </w:r>
            <w:r>
              <w:rPr>
                <w:rFonts w:ascii="Times New Roman" w:hAnsi="Times New Roman" w:hint="eastAsia"/>
                <w:sz w:val="24"/>
                <w:szCs w:val="24"/>
              </w:rPr>
              <w:t>地下结构内力</w:t>
            </w:r>
            <w:r>
              <w:rPr>
                <w:rFonts w:ascii="Times New Roman" w:hAnsi="Times New Roman"/>
                <w:sz w:val="24"/>
                <w:szCs w:val="24"/>
              </w:rPr>
              <w:t>计算的掌握情况，以及运用图表、文字等准确表达复杂工程问题的能力，占</w:t>
            </w:r>
            <w:r>
              <w:rPr>
                <w:rFonts w:ascii="Times New Roman" w:hAnsi="Times New Roman"/>
                <w:sz w:val="24"/>
                <w:szCs w:val="24"/>
              </w:rPr>
              <w:t>80%</w:t>
            </w:r>
            <w:r>
              <w:rPr>
                <w:rFonts w:ascii="Times New Roman" w:hAnsi="Times New Roman"/>
                <w:sz w:val="24"/>
                <w:szCs w:val="24"/>
              </w:rPr>
              <w:t>。</w:t>
            </w:r>
          </w:p>
        </w:tc>
        <w:tc>
          <w:tcPr>
            <w:tcW w:w="1005" w:type="pct"/>
            <w:tcBorders>
              <w:top w:val="single" w:sz="4" w:space="0" w:color="auto"/>
              <w:left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374D88" w:rsidRDefault="00374D88" w:rsidP="00BE5664">
            <w:pPr>
              <w:jc w:val="center"/>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sz w:val="24"/>
                <w:szCs w:val="24"/>
              </w:rPr>
              <w:t>）</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374D88" w:rsidTr="00BE5664">
        <w:trPr>
          <w:trHeight w:val="900"/>
          <w:jc w:val="center"/>
        </w:trPr>
        <w:tc>
          <w:tcPr>
            <w:tcW w:w="1200"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lastRenderedPageBreak/>
              <w:t>期终考试</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80%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374D88" w:rsidRDefault="00374D88" w:rsidP="00BE5664">
            <w:pPr>
              <w:rPr>
                <w:rFonts w:ascii="Times New Roman" w:hAnsi="Times New Roman"/>
                <w:sz w:val="24"/>
                <w:szCs w:val="24"/>
              </w:rPr>
            </w:pPr>
            <w:r>
              <w:rPr>
                <w:rFonts w:ascii="Times New Roman" w:hAnsi="Times New Roman"/>
                <w:sz w:val="24"/>
                <w:szCs w:val="24"/>
              </w:rPr>
              <w:t>期末考试采用闭卷形式。考试范围基本涵盖所有讲授内容，考试内容主要反映学生对本课程计算和分析问题方法等理解和掌握的程度，以及综合运用的能力。</w:t>
            </w:r>
          </w:p>
        </w:tc>
        <w:tc>
          <w:tcPr>
            <w:tcW w:w="1005" w:type="pct"/>
            <w:tcBorders>
              <w:top w:val="single" w:sz="4" w:space="0" w:color="auto"/>
              <w:left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bl>
    <w:p w:rsidR="00374D88" w:rsidRDefault="00374D88" w:rsidP="00374D88">
      <w:pPr>
        <w:spacing w:beforeLines="50" w:before="156" w:line="360" w:lineRule="auto"/>
        <w:ind w:left="560"/>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课程目标达成度自评方式</w:t>
      </w:r>
    </w:p>
    <w:p w:rsidR="00374D88" w:rsidRDefault="00374D88" w:rsidP="00374D8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据学院教学管理规定，在开展课程达成度评价前，课程评价审核小组对课程的评价依据合理性进行确认，包括平时作业、期终考试等考核环节。课程结束后，课程小组需要对课程进行达成度评价，课程小组由课程负责人和任课教师组成，统计课程考核数据，并填写“《地下结构设计原理与方法》课程达成情况评价”报告，以便及时了解课程的达成效果，发现问题并进行持续改进，同时也为毕业要求达成度的评价提供基础数据。</w:t>
      </w:r>
    </w:p>
    <w:p w:rsidR="00374D88" w:rsidRDefault="00374D88" w:rsidP="00374D8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根据课程的考核形式，全部或抽样部分考核资料（应以当年修读该课程的学生为总体，至少抽取</w:t>
      </w:r>
      <w:r>
        <w:rPr>
          <w:rFonts w:ascii="Times New Roman" w:hAnsi="Times New Roman" w:hint="eastAsia"/>
          <w:sz w:val="28"/>
          <w:szCs w:val="28"/>
        </w:rPr>
        <w:t>61%</w:t>
      </w:r>
      <w:r>
        <w:rPr>
          <w:rFonts w:ascii="Times New Roman" w:hAnsi="Times New Roman" w:hint="eastAsia"/>
          <w:sz w:val="28"/>
          <w:szCs w:val="28"/>
        </w:rPr>
        <w:t>以上的学生样本），抽样时需覆盖优、良、中、及格和不及格等考核等级的考核资料。课程达成度的具体评价方法，详见“《地下结构设计原理与方法》课程达成情况评价”报告。</w:t>
      </w:r>
    </w:p>
    <w:p w:rsidR="00374D88" w:rsidRDefault="00374D88" w:rsidP="00374D8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课程小组提交课程达成度评价数据后，课程评价审核小组对评价数据的合理性和有效性进行审核</w:t>
      </w:r>
      <w:r>
        <w:rPr>
          <w:rFonts w:ascii="Times New Roman" w:hAnsi="Times New Roman"/>
          <w:sz w:val="28"/>
          <w:szCs w:val="28"/>
        </w:rPr>
        <w:t>。</w:t>
      </w:r>
    </w:p>
    <w:p w:rsidR="00374D88" w:rsidRDefault="00374D88" w:rsidP="00374D88">
      <w:pPr>
        <w:adjustRightInd w:val="0"/>
        <w:snapToGrid w:val="0"/>
        <w:spacing w:afterLines="50" w:after="156" w:line="560" w:lineRule="exact"/>
        <w:ind w:firstLineChars="200" w:firstLine="560"/>
        <w:jc w:val="left"/>
        <w:rPr>
          <w:rFonts w:ascii="Times New Roman" w:hAnsi="Times New Roman"/>
          <w:sz w:val="28"/>
          <w:szCs w:val="28"/>
        </w:rPr>
      </w:pPr>
    </w:p>
    <w:p w:rsidR="00374D88" w:rsidRDefault="00374D88" w:rsidP="00374D8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374D88" w:rsidRDefault="00374D88" w:rsidP="00374D88">
      <w:pPr>
        <w:spacing w:afterLines="50" w:after="156" w:line="560" w:lineRule="exact"/>
        <w:ind w:firstLineChars="147" w:firstLine="412"/>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w:t>
      </w:r>
      <w:r>
        <w:rPr>
          <w:rFonts w:ascii="Times New Roman" w:hAnsi="Times New Roman" w:hint="eastAsia"/>
          <w:sz w:val="28"/>
          <w:szCs w:val="28"/>
        </w:rPr>
        <w:t>《地下结构设计》，崔振东主编，中国建筑工业出版社，</w:t>
      </w:r>
      <w:r>
        <w:rPr>
          <w:rFonts w:ascii="Times New Roman" w:hAnsi="Times New Roman" w:hint="eastAsia"/>
          <w:sz w:val="28"/>
          <w:szCs w:val="28"/>
        </w:rPr>
        <w:t>2017</w:t>
      </w:r>
      <w:r>
        <w:rPr>
          <w:rFonts w:ascii="Times New Roman" w:hAnsi="Times New Roman" w:hint="eastAsia"/>
          <w:sz w:val="28"/>
          <w:szCs w:val="28"/>
        </w:rPr>
        <w:t>年</w:t>
      </w:r>
      <w:r>
        <w:rPr>
          <w:rFonts w:ascii="Times New Roman" w:hAnsi="Times New Roman"/>
          <w:sz w:val="28"/>
          <w:szCs w:val="28"/>
        </w:rPr>
        <w:t>；（本课程教材）；</w:t>
      </w:r>
    </w:p>
    <w:p w:rsidR="00374D88" w:rsidRDefault="00374D88" w:rsidP="00374D88">
      <w:pPr>
        <w:spacing w:afterLines="50" w:after="156" w:line="560" w:lineRule="exact"/>
        <w:ind w:firstLineChars="147" w:firstLine="412"/>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w:t>
      </w:r>
      <w:r>
        <w:rPr>
          <w:rFonts w:ascii="Times New Roman" w:hAnsi="Times New Roman" w:hint="eastAsia"/>
          <w:sz w:val="28"/>
          <w:szCs w:val="28"/>
        </w:rPr>
        <w:t>《地下建筑结构（第</w:t>
      </w:r>
      <w:r>
        <w:rPr>
          <w:rFonts w:ascii="Times New Roman" w:hAnsi="Times New Roman" w:hint="eastAsia"/>
          <w:sz w:val="28"/>
          <w:szCs w:val="28"/>
        </w:rPr>
        <w:t>3</w:t>
      </w:r>
      <w:r>
        <w:rPr>
          <w:rFonts w:ascii="Times New Roman" w:hAnsi="Times New Roman" w:hint="eastAsia"/>
          <w:sz w:val="28"/>
          <w:szCs w:val="28"/>
        </w:rPr>
        <w:t>版）》，朱合华主编，中国建筑工业出版</w:t>
      </w:r>
      <w:r>
        <w:rPr>
          <w:rFonts w:ascii="Times New Roman" w:hAnsi="Times New Roman" w:hint="eastAsia"/>
          <w:sz w:val="28"/>
          <w:szCs w:val="28"/>
        </w:rPr>
        <w:lastRenderedPageBreak/>
        <w:t>社，</w:t>
      </w:r>
      <w:r>
        <w:rPr>
          <w:rFonts w:ascii="Times New Roman" w:hAnsi="Times New Roman" w:hint="eastAsia"/>
          <w:sz w:val="28"/>
          <w:szCs w:val="28"/>
        </w:rPr>
        <w:t>2016</w:t>
      </w:r>
      <w:r>
        <w:rPr>
          <w:rFonts w:ascii="Times New Roman" w:hAnsi="Times New Roman" w:hint="eastAsia"/>
          <w:sz w:val="28"/>
          <w:szCs w:val="28"/>
        </w:rPr>
        <w:t>年</w:t>
      </w:r>
      <w:r>
        <w:rPr>
          <w:rFonts w:ascii="Times New Roman" w:hAnsi="Times New Roman"/>
          <w:sz w:val="28"/>
          <w:szCs w:val="28"/>
        </w:rPr>
        <w:t>；</w:t>
      </w:r>
    </w:p>
    <w:p w:rsidR="00374D88" w:rsidRDefault="00374D88" w:rsidP="00374D88">
      <w:pPr>
        <w:spacing w:afterLines="50" w:after="156" w:line="560" w:lineRule="exact"/>
        <w:ind w:firstLineChars="147" w:firstLine="412"/>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w:t>
      </w:r>
      <w:r>
        <w:rPr>
          <w:rFonts w:ascii="Times New Roman" w:hAnsi="Times New Roman" w:hint="eastAsia"/>
          <w:sz w:val="28"/>
          <w:szCs w:val="28"/>
        </w:rPr>
        <w:t>《地下建筑结构设计</w:t>
      </w:r>
      <w:r>
        <w:rPr>
          <w:rFonts w:ascii="Times New Roman" w:hAnsi="Times New Roman" w:hint="eastAsia"/>
          <w:sz w:val="28"/>
          <w:szCs w:val="28"/>
        </w:rPr>
        <w:t xml:space="preserve"> (</w:t>
      </w:r>
      <w:r>
        <w:rPr>
          <w:rFonts w:ascii="Times New Roman" w:hAnsi="Times New Roman" w:hint="eastAsia"/>
          <w:sz w:val="28"/>
          <w:szCs w:val="28"/>
        </w:rPr>
        <w:t>第</w:t>
      </w:r>
      <w:r>
        <w:rPr>
          <w:rFonts w:ascii="Times New Roman" w:hAnsi="Times New Roman" w:hint="eastAsia"/>
          <w:sz w:val="28"/>
          <w:szCs w:val="28"/>
        </w:rPr>
        <w:t>3</w:t>
      </w:r>
      <w:r>
        <w:rPr>
          <w:rFonts w:ascii="Times New Roman" w:hAnsi="Times New Roman" w:hint="eastAsia"/>
          <w:sz w:val="28"/>
          <w:szCs w:val="28"/>
        </w:rPr>
        <w:t>版）》，王树理主编，清华大学出版社，</w:t>
      </w:r>
      <w:r>
        <w:rPr>
          <w:rFonts w:ascii="Times New Roman" w:hAnsi="Times New Roman" w:hint="eastAsia"/>
          <w:sz w:val="28"/>
          <w:szCs w:val="28"/>
        </w:rPr>
        <w:t>2015</w:t>
      </w:r>
      <w:r>
        <w:rPr>
          <w:rFonts w:ascii="Times New Roman" w:hAnsi="Times New Roman" w:hint="eastAsia"/>
          <w:sz w:val="28"/>
          <w:szCs w:val="28"/>
        </w:rPr>
        <w:t>年</w:t>
      </w:r>
      <w:r>
        <w:rPr>
          <w:rFonts w:ascii="Times New Roman" w:hAnsi="Times New Roman"/>
          <w:sz w:val="28"/>
          <w:szCs w:val="28"/>
        </w:rPr>
        <w:t>。</w:t>
      </w:r>
    </w:p>
    <w:p w:rsidR="00374D88" w:rsidRDefault="00374D88" w:rsidP="00374D88">
      <w:pPr>
        <w:spacing w:line="440" w:lineRule="exact"/>
        <w:rPr>
          <w:rFonts w:ascii="Times New Roman" w:eastAsia="黑体" w:hAnsi="Times New Roman"/>
          <w:b/>
          <w:sz w:val="28"/>
          <w:szCs w:val="28"/>
        </w:rPr>
      </w:pPr>
      <w:r>
        <w:rPr>
          <w:rFonts w:ascii="Times New Roman" w:eastAsia="黑体" w:hAnsi="Times New Roman" w:hint="eastAsia"/>
          <w:b/>
          <w:sz w:val="28"/>
          <w:szCs w:val="28"/>
        </w:rPr>
        <w:t>七</w:t>
      </w:r>
      <w:r>
        <w:rPr>
          <w:rFonts w:ascii="Times New Roman" w:eastAsia="黑体" w:hAnsi="Times New Roman"/>
          <w:b/>
          <w:sz w:val="28"/>
          <w:szCs w:val="28"/>
        </w:rPr>
        <w:t>、执行大纲应注意的问题</w:t>
      </w:r>
    </w:p>
    <w:p w:rsidR="00374D88" w:rsidRDefault="00374D88" w:rsidP="00374D88">
      <w:pPr>
        <w:adjustRightInd w:val="0"/>
        <w:snapToGrid w:val="0"/>
        <w:spacing w:line="560" w:lineRule="exact"/>
        <w:ind w:firstLineChars="200" w:firstLine="560"/>
        <w:jc w:val="left"/>
        <w:rPr>
          <w:sz w:val="28"/>
          <w:szCs w:val="28"/>
        </w:rPr>
      </w:pPr>
      <w:r>
        <w:rPr>
          <w:sz w:val="28"/>
          <w:szCs w:val="28"/>
        </w:rPr>
        <w:t>1</w:t>
      </w:r>
      <w:r>
        <w:rPr>
          <w:sz w:val="28"/>
          <w:szCs w:val="28"/>
        </w:rPr>
        <w:t>、</w:t>
      </w:r>
      <w:r>
        <w:rPr>
          <w:rFonts w:hint="eastAsia"/>
          <w:sz w:val="28"/>
          <w:szCs w:val="28"/>
        </w:rPr>
        <w:t>教学中应注重基本知识、基本理论和基本方法的讲授，注意精讲多练</w:t>
      </w:r>
      <w:r>
        <w:rPr>
          <w:sz w:val="28"/>
          <w:szCs w:val="28"/>
        </w:rPr>
        <w:t>。</w:t>
      </w:r>
    </w:p>
    <w:p w:rsidR="00374D88" w:rsidRDefault="00374D88" w:rsidP="00374D88">
      <w:pPr>
        <w:adjustRightInd w:val="0"/>
        <w:snapToGrid w:val="0"/>
        <w:spacing w:line="560" w:lineRule="exact"/>
        <w:ind w:firstLineChars="200" w:firstLine="560"/>
        <w:jc w:val="left"/>
        <w:rPr>
          <w:sz w:val="28"/>
          <w:szCs w:val="28"/>
        </w:rPr>
      </w:pPr>
      <w:r>
        <w:rPr>
          <w:rFonts w:hint="eastAsia"/>
          <w:sz w:val="28"/>
          <w:szCs w:val="28"/>
        </w:rPr>
        <w:t>2</w:t>
      </w:r>
      <w:r>
        <w:rPr>
          <w:sz w:val="28"/>
          <w:szCs w:val="28"/>
        </w:rPr>
        <w:t>、教学内容的顺序及其安排仅供参考，教师可根据情况作适当调整。</w:t>
      </w:r>
    </w:p>
    <w:p w:rsidR="00374D88" w:rsidRDefault="00374D88" w:rsidP="00374D88">
      <w:pPr>
        <w:spacing w:line="360" w:lineRule="auto"/>
        <w:ind w:firstLineChars="1200" w:firstLine="3360"/>
        <w:rPr>
          <w:rFonts w:ascii="Times New Roman" w:eastAsia="仿宋" w:hAnsi="Times New Roman"/>
          <w:sz w:val="28"/>
          <w:szCs w:val="28"/>
        </w:rPr>
      </w:pPr>
    </w:p>
    <w:p w:rsidR="00374D88" w:rsidRDefault="00374D88" w:rsidP="00374D8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大纲撰写人：</w:t>
      </w:r>
      <w:r>
        <w:rPr>
          <w:rFonts w:ascii="Times New Roman" w:eastAsia="仿宋" w:hAnsi="Times New Roman" w:hint="eastAsia"/>
          <w:sz w:val="28"/>
          <w:szCs w:val="28"/>
        </w:rPr>
        <w:t>胡志平、柴少波</w:t>
      </w:r>
    </w:p>
    <w:p w:rsidR="00374D88" w:rsidRDefault="00374D88" w:rsidP="00374D8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课程负责人：</w:t>
      </w:r>
      <w:r>
        <w:rPr>
          <w:rFonts w:ascii="Times New Roman" w:eastAsia="仿宋" w:hAnsi="Times New Roman" w:hint="eastAsia"/>
          <w:sz w:val="28"/>
          <w:szCs w:val="28"/>
        </w:rPr>
        <w:t>胡志平</w:t>
      </w:r>
    </w:p>
    <w:p w:rsidR="00374D88" w:rsidRDefault="00374D88" w:rsidP="00EE2D67">
      <w:pPr>
        <w:spacing w:line="360" w:lineRule="auto"/>
        <w:ind w:firstLineChars="1200" w:firstLine="3360"/>
        <w:rPr>
          <w:rFonts w:ascii="Times New Roman" w:hAnsi="Times New Roman"/>
          <w:sz w:val="28"/>
          <w:szCs w:val="28"/>
        </w:rPr>
      </w:pPr>
      <w:r>
        <w:rPr>
          <w:rFonts w:ascii="Times New Roman" w:eastAsia="仿宋" w:hAnsi="Times New Roman"/>
          <w:sz w:val="28"/>
          <w:szCs w:val="28"/>
        </w:rPr>
        <w:t>审核人：</w:t>
      </w:r>
      <w:r>
        <w:rPr>
          <w:rFonts w:ascii="Times New Roman" w:hAnsi="Times New Roman"/>
          <w:sz w:val="28"/>
          <w:szCs w:val="28"/>
        </w:rPr>
        <w:t xml:space="preserve"> </w:t>
      </w:r>
    </w:p>
    <w:p w:rsidR="00374D88" w:rsidRDefault="00374D88" w:rsidP="00374D88">
      <w:pPr>
        <w:jc w:val="left"/>
        <w:rPr>
          <w:rFonts w:ascii="Times New Roman" w:hAnsi="Times New Roman"/>
          <w:sz w:val="28"/>
          <w:szCs w:val="28"/>
        </w:rPr>
      </w:pPr>
      <w:r>
        <w:rPr>
          <w:rFonts w:ascii="Times New Roman" w:eastAsia="仿宋" w:hAnsi="Times New Roman"/>
          <w:sz w:val="28"/>
          <w:szCs w:val="28"/>
        </w:rPr>
        <w:t xml:space="preserve">                                         </w:t>
      </w:r>
      <w:r>
        <w:rPr>
          <w:rFonts w:ascii="Times New Roman" w:eastAsia="仿宋" w:hAnsi="Times New Roman"/>
          <w:sz w:val="28"/>
          <w:szCs w:val="28"/>
        </w:rPr>
        <w:t>年</w:t>
      </w:r>
      <w:r>
        <w:rPr>
          <w:rFonts w:ascii="Times New Roman" w:eastAsia="仿宋" w:hAnsi="Times New Roman"/>
          <w:sz w:val="28"/>
          <w:szCs w:val="28"/>
        </w:rPr>
        <w:t xml:space="preserve">    </w:t>
      </w:r>
      <w:r>
        <w:rPr>
          <w:rFonts w:ascii="Times New Roman" w:eastAsia="仿宋" w:hAnsi="Times New Roman"/>
          <w:sz w:val="28"/>
          <w:szCs w:val="28"/>
        </w:rPr>
        <w:t>月</w:t>
      </w:r>
    </w:p>
    <w:p w:rsidR="00374D88" w:rsidRDefault="00374D88" w:rsidP="00374D88">
      <w:pPr>
        <w:jc w:val="center"/>
        <w:rPr>
          <w:rFonts w:ascii="Times New Roman" w:eastAsia="仿宋" w:hAnsi="Times New Roman"/>
          <w:sz w:val="28"/>
          <w:szCs w:val="28"/>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374D88" w:rsidRDefault="00374D88" w:rsidP="00374D88">
      <w:pPr>
        <w:widowControl/>
        <w:spacing w:line="360" w:lineRule="auto"/>
        <w:jc w:val="center"/>
        <w:rPr>
          <w:rFonts w:ascii="Times New Roman" w:eastAsia="方正小标宋简体" w:hAnsi="Times New Roman"/>
          <w:kern w:val="0"/>
          <w:szCs w:val="32"/>
        </w:rPr>
      </w:pPr>
      <w:r>
        <w:rPr>
          <w:rFonts w:ascii="Times New Roman" w:eastAsia="方正小标宋简体" w:hAnsi="Times New Roman" w:hint="eastAsia"/>
          <w:kern w:val="0"/>
          <w:szCs w:val="32"/>
        </w:rPr>
        <w:lastRenderedPageBreak/>
        <w:t>《城市地下空间规划理论》</w:t>
      </w:r>
      <w:r>
        <w:rPr>
          <w:rFonts w:ascii="Times New Roman" w:eastAsia="方正小标宋简体" w:hAnsi="Times New Roman"/>
          <w:kern w:val="0"/>
          <w:szCs w:val="32"/>
        </w:rPr>
        <w:t>课程教学大纲</w:t>
      </w:r>
    </w:p>
    <w:p w:rsidR="00374D88" w:rsidRDefault="00374D88" w:rsidP="00374D88">
      <w:pPr>
        <w:snapToGrid w:val="0"/>
        <w:spacing w:line="360" w:lineRule="auto"/>
        <w:rPr>
          <w:rFonts w:ascii="Times New Roman" w:eastAsia="黑体" w:hAnsi="Times New Roman"/>
          <w:b/>
          <w:sz w:val="28"/>
          <w:szCs w:val="28"/>
        </w:rPr>
      </w:pPr>
      <w:r>
        <w:rPr>
          <w:rFonts w:ascii="Times New Roman" w:eastAsia="黑体" w:hAnsi="Times New Roman"/>
          <w:b/>
          <w:sz w:val="28"/>
          <w:szCs w:val="28"/>
        </w:rPr>
        <w:t>一、课程信息</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英文名称：</w:t>
      </w:r>
      <w:r>
        <w:rPr>
          <w:rFonts w:ascii="Times New Roman" w:hAnsi="Times New Roman"/>
          <w:bCs/>
          <w:sz w:val="28"/>
          <w:szCs w:val="28"/>
        </w:rPr>
        <w:t>Planning theory of urban underground space</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课程编码：</w:t>
      </w:r>
      <w:r>
        <w:rPr>
          <w:rFonts w:ascii="Times New Roman" w:hAnsi="Times New Roman"/>
          <w:bCs/>
          <w:sz w:val="28"/>
          <w:szCs w:val="28"/>
        </w:rPr>
        <w:t>Z2803060</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授课语言：中文</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授课方式：</w:t>
      </w:r>
      <w:r>
        <w:rPr>
          <w:rFonts w:ascii="Times New Roman" w:hAnsi="Times New Roman" w:hint="eastAsia"/>
          <w:bCs/>
          <w:sz w:val="28"/>
          <w:szCs w:val="28"/>
        </w:rPr>
        <w:t>线上线下混合</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课程类别：</w:t>
      </w:r>
      <w:r>
        <w:rPr>
          <w:rFonts w:ascii="Times New Roman" w:hAnsi="Times New Roman" w:hint="eastAsia"/>
          <w:bCs/>
          <w:sz w:val="28"/>
          <w:szCs w:val="28"/>
        </w:rPr>
        <w:t>专业发展课</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课程性质：必修</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分：</w:t>
      </w:r>
      <w:r>
        <w:rPr>
          <w:rFonts w:ascii="Times New Roman" w:hAnsi="Times New Roman" w:hint="eastAsia"/>
          <w:bCs/>
          <w:sz w:val="28"/>
          <w:szCs w:val="28"/>
        </w:rPr>
        <w:t>1</w:t>
      </w:r>
      <w:r>
        <w:rPr>
          <w:rFonts w:ascii="Times New Roman" w:hAnsi="Times New Roman"/>
          <w:bCs/>
          <w:sz w:val="28"/>
          <w:szCs w:val="28"/>
        </w:rPr>
        <w:t>.5</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时：</w:t>
      </w:r>
      <w:r>
        <w:rPr>
          <w:rFonts w:ascii="Times New Roman" w:hAnsi="Times New Roman" w:hint="eastAsia"/>
          <w:bCs/>
          <w:sz w:val="28"/>
          <w:szCs w:val="28"/>
        </w:rPr>
        <w:t>24</w:t>
      </w:r>
      <w:r>
        <w:rPr>
          <w:rFonts w:ascii="Times New Roman" w:hAnsi="Times New Roman" w:hint="eastAsia"/>
          <w:bCs/>
          <w:sz w:val="28"/>
          <w:szCs w:val="28"/>
        </w:rPr>
        <w:t>学时（授课</w:t>
      </w:r>
      <w:r>
        <w:rPr>
          <w:rFonts w:ascii="Times New Roman" w:hAnsi="Times New Roman" w:hint="eastAsia"/>
          <w:bCs/>
          <w:sz w:val="28"/>
          <w:szCs w:val="28"/>
        </w:rPr>
        <w:t>24</w:t>
      </w:r>
      <w:r>
        <w:rPr>
          <w:rFonts w:ascii="Times New Roman" w:hAnsi="Times New Roman" w:hint="eastAsia"/>
          <w:bCs/>
          <w:sz w:val="28"/>
          <w:szCs w:val="28"/>
        </w:rPr>
        <w:t>学时）</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适用对象：</w:t>
      </w:r>
      <w:r>
        <w:rPr>
          <w:rFonts w:ascii="Times New Roman" w:hAnsi="Times New Roman" w:hint="eastAsia"/>
          <w:bCs/>
          <w:sz w:val="28"/>
          <w:szCs w:val="28"/>
        </w:rPr>
        <w:t>土木工程专业（城市地下空间工程方向）</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先修课程：</w:t>
      </w:r>
      <w:r>
        <w:rPr>
          <w:rFonts w:ascii="Times New Roman" w:hAnsi="Times New Roman" w:hint="eastAsia"/>
          <w:bCs/>
          <w:sz w:val="28"/>
          <w:szCs w:val="28"/>
        </w:rPr>
        <w:t>土木工程概论，工程地质，建设法规，土木工程施工技术与组织</w:t>
      </w:r>
      <w:r>
        <w:rPr>
          <w:rFonts w:ascii="Times New Roman" w:hAnsi="Times New Roman"/>
          <w:bCs/>
          <w:sz w:val="28"/>
          <w:szCs w:val="28"/>
        </w:rPr>
        <w:t>。</w:t>
      </w:r>
    </w:p>
    <w:p w:rsidR="00374D88" w:rsidRDefault="00374D88" w:rsidP="00374D88">
      <w:pPr>
        <w:spacing w:line="360" w:lineRule="auto"/>
        <w:ind w:firstLineChars="200" w:firstLine="560"/>
        <w:rPr>
          <w:rFonts w:ascii="Times New Roman" w:hAnsi="Times New Roman"/>
          <w:bCs/>
          <w:sz w:val="28"/>
          <w:szCs w:val="28"/>
        </w:rPr>
      </w:pPr>
      <w:r>
        <w:rPr>
          <w:rFonts w:ascii="Times New Roman" w:hAnsi="Times New Roman"/>
          <w:bCs/>
          <w:sz w:val="28"/>
          <w:szCs w:val="28"/>
        </w:rPr>
        <w:t>开课院系：</w:t>
      </w:r>
      <w:r>
        <w:rPr>
          <w:rFonts w:ascii="Times New Roman" w:hAnsi="Times New Roman" w:hint="eastAsia"/>
          <w:bCs/>
          <w:sz w:val="28"/>
          <w:szCs w:val="28"/>
        </w:rPr>
        <w:t>建筑工程学院地基基础教研室</w:t>
      </w:r>
    </w:p>
    <w:p w:rsidR="00374D88" w:rsidRDefault="00374D88" w:rsidP="00374D88">
      <w:pPr>
        <w:spacing w:line="360" w:lineRule="auto"/>
        <w:rPr>
          <w:rFonts w:ascii="Times New Roman" w:eastAsia="黑体" w:hAnsi="Times New Roman"/>
          <w:b/>
          <w:sz w:val="28"/>
          <w:szCs w:val="28"/>
        </w:rPr>
      </w:pPr>
      <w:r>
        <w:rPr>
          <w:rFonts w:ascii="Times New Roman" w:eastAsia="黑体" w:hAnsi="Times New Roman"/>
          <w:b/>
          <w:sz w:val="28"/>
          <w:szCs w:val="28"/>
        </w:rPr>
        <w:t>二、课程简介</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城市地下空间规划理论》是土木工程专业（城市地下空间工程方向）的一门重要专业发展课，主要介绍城市地下空间的规划层次划分、总体规划的方法和原则、以及各专项规划的具体内容和步骤。通过本课程学习，可以使学生对地下交通、地下商业、地下居住、地下市政等城市地下空间有较为全面的认识，了解城市地下空间规划的内容和方法，初步达到对一般的城市地下空间能进行合理评价和正确规划设计的能力。</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hint="eastAsia"/>
          <w:bCs/>
          <w:sz w:val="28"/>
          <w:szCs w:val="28"/>
        </w:rPr>
        <w:t>本课程采用线上线下混合教学模式，线下课堂使用</w:t>
      </w:r>
      <w:r>
        <w:rPr>
          <w:rFonts w:ascii="Times New Roman" w:hAnsi="Times New Roman" w:hint="eastAsia"/>
          <w:bCs/>
          <w:sz w:val="28"/>
          <w:szCs w:val="28"/>
        </w:rPr>
        <w:t>PPT</w:t>
      </w:r>
      <w:r>
        <w:rPr>
          <w:rFonts w:ascii="Times New Roman" w:hAnsi="Times New Roman" w:hint="eastAsia"/>
          <w:bCs/>
          <w:sz w:val="28"/>
          <w:szCs w:val="28"/>
        </w:rPr>
        <w:t>教学，线上使用学校的在线学习平台。通过课堂提问、课后作业等方式引导和</w:t>
      </w:r>
      <w:r>
        <w:rPr>
          <w:rFonts w:ascii="Times New Roman" w:hAnsi="Times New Roman" w:hint="eastAsia"/>
          <w:bCs/>
          <w:sz w:val="28"/>
          <w:szCs w:val="28"/>
        </w:rPr>
        <w:lastRenderedPageBreak/>
        <w:t>激发学生的学习热情，培养学生自主学习、创新思维的能力。</w:t>
      </w:r>
    </w:p>
    <w:p w:rsidR="00374D88" w:rsidRDefault="00374D88" w:rsidP="00374D88">
      <w:pPr>
        <w:spacing w:beforeLines="50" w:before="156" w:line="360" w:lineRule="auto"/>
        <w:rPr>
          <w:rFonts w:ascii="Times New Roman" w:eastAsia="黑体" w:hAnsi="Times New Roman"/>
          <w:b/>
          <w:sz w:val="28"/>
          <w:szCs w:val="28"/>
        </w:rPr>
      </w:pPr>
      <w:r>
        <w:rPr>
          <w:rFonts w:ascii="Times New Roman" w:eastAsia="黑体" w:hAnsi="Times New Roman"/>
          <w:b/>
          <w:sz w:val="28"/>
          <w:szCs w:val="28"/>
        </w:rPr>
        <w:t>三、课程任务、目标与要求</w:t>
      </w:r>
    </w:p>
    <w:p w:rsidR="00374D88" w:rsidRDefault="00374D88" w:rsidP="00374D88">
      <w:pPr>
        <w:snapToGrid w:val="0"/>
        <w:spacing w:line="360" w:lineRule="auto"/>
        <w:ind w:firstLine="329"/>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课程任务</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本课程的任务是讲授城市地下空间规划的背景知识、基本概念，地下空间规划的内容、基本原理和编制方法，以及各分项城市地下空间的规划。目的是使学生通过学习，掌握与地下空间有关的规划和设计的基本知识，能够阅读分析地下空间资料，对一般的地下空间能进行评价和正确合理的设计，具备初步地下空间规划工作的能力。</w:t>
      </w:r>
    </w:p>
    <w:p w:rsidR="00374D88" w:rsidRDefault="00374D88" w:rsidP="00374D8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2. </w:t>
      </w:r>
      <w:r>
        <w:rPr>
          <w:rFonts w:ascii="Times New Roman" w:hAnsi="Times New Roman"/>
          <w:sz w:val="28"/>
          <w:szCs w:val="28"/>
        </w:rPr>
        <w:t>课程基本要求</w:t>
      </w:r>
    </w:p>
    <w:p w:rsidR="00374D88" w:rsidRDefault="00374D88" w:rsidP="00374D88">
      <w:pPr>
        <w:spacing w:line="360" w:lineRule="auto"/>
        <w:ind w:firstLine="331"/>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课程目标</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通过本课程的学习，使学生了解并掌握城市地下空间规划相关的基本概念、理念和步骤，教学目标具体要求如下：</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1</w:t>
      </w:r>
      <w:r>
        <w:rPr>
          <w:rFonts w:ascii="Times New Roman" w:hAnsi="Times New Roman"/>
          <w:sz w:val="28"/>
          <w:szCs w:val="28"/>
        </w:rPr>
        <w:t>）</w:t>
      </w:r>
      <w:r>
        <w:rPr>
          <w:rFonts w:ascii="Times New Roman" w:hAnsi="Times New Roman" w:hint="eastAsia"/>
          <w:sz w:val="28"/>
          <w:szCs w:val="28"/>
        </w:rPr>
        <w:t>了解城市地下空间规划学科发展历史，掌握城市地下空间的基本内涵；深刻理解地下空间资源的资源属性，知晓城市地下空间可持续性开发利用的趋势；了解城市地下空间资源评估及需求预测的方法，掌握地下空间资源调查评估的基本步骤和内容；</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hint="eastAsia"/>
          <w:sz w:val="28"/>
          <w:szCs w:val="28"/>
        </w:rPr>
        <w:t>2</w:t>
      </w:r>
      <w:r>
        <w:rPr>
          <w:rFonts w:ascii="Times New Roman" w:hAnsi="Times New Roman"/>
          <w:sz w:val="28"/>
          <w:szCs w:val="28"/>
        </w:rPr>
        <w:t>）</w:t>
      </w:r>
      <w:r>
        <w:rPr>
          <w:rFonts w:ascii="Times New Roman" w:hAnsi="Times New Roman" w:hint="eastAsia"/>
          <w:sz w:val="28"/>
          <w:szCs w:val="28"/>
        </w:rPr>
        <w:t>了解城市地下空间总体规划的任务、主要工作内容和步骤；熟悉城市地下空间各分项规划的主要内容和注意事项；了解地下空间规划编制的程序及需要遵循的法律法规。</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hint="eastAsia"/>
          <w:sz w:val="28"/>
          <w:szCs w:val="28"/>
        </w:rPr>
        <w:t>3</w:t>
      </w:r>
      <w:r>
        <w:rPr>
          <w:rFonts w:ascii="Times New Roman" w:hAnsi="Times New Roman"/>
          <w:sz w:val="28"/>
          <w:szCs w:val="28"/>
        </w:rPr>
        <w:t>）</w:t>
      </w:r>
      <w:r>
        <w:rPr>
          <w:rFonts w:ascii="Times New Roman" w:hAnsi="Times New Roman" w:hint="eastAsia"/>
          <w:sz w:val="28"/>
          <w:szCs w:val="28"/>
        </w:rPr>
        <w:t>了解地下空间在城市主动防空防灾中的重要作用，理解土木工程师对公众的安全、健康的社会责任。</w:t>
      </w:r>
    </w:p>
    <w:p w:rsidR="00374D88" w:rsidRDefault="00374D88" w:rsidP="00374D88">
      <w:pPr>
        <w:spacing w:line="360" w:lineRule="auto"/>
        <w:ind w:firstLine="331"/>
        <w:rPr>
          <w:rFonts w:ascii="Times New Roman" w:hAnsi="Times New Roman"/>
          <w:bCs/>
          <w:sz w:val="28"/>
          <w:szCs w:val="28"/>
        </w:rPr>
      </w:pPr>
      <w:r>
        <w:rPr>
          <w:rFonts w:ascii="Times New Roman" w:hAnsi="Times New Roman"/>
          <w:bCs/>
          <w:sz w:val="28"/>
          <w:szCs w:val="28"/>
        </w:rPr>
        <w:t xml:space="preserve">2.2 </w:t>
      </w:r>
      <w:r>
        <w:rPr>
          <w:rFonts w:ascii="Times New Roman" w:hAnsi="Times New Roman"/>
          <w:bCs/>
          <w:sz w:val="28"/>
          <w:szCs w:val="28"/>
        </w:rPr>
        <w:t>课程目标与毕业要求之间的对应关系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9"/>
        <w:gridCol w:w="3526"/>
        <w:gridCol w:w="840"/>
        <w:gridCol w:w="840"/>
        <w:gridCol w:w="841"/>
      </w:tblGrid>
      <w:tr w:rsidR="00374D88" w:rsidTr="00BE5664">
        <w:tc>
          <w:tcPr>
            <w:tcW w:w="3481" w:type="pct"/>
            <w:gridSpan w:val="2"/>
            <w:vMerge w:val="restar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毕业要求及其指标点</w:t>
            </w:r>
          </w:p>
        </w:tc>
        <w:tc>
          <w:tcPr>
            <w:tcW w:w="1519" w:type="pct"/>
            <w:gridSpan w:val="3"/>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教学目标</w:t>
            </w:r>
          </w:p>
        </w:tc>
      </w:tr>
      <w:tr w:rsidR="00374D88" w:rsidTr="00BE5664">
        <w:tc>
          <w:tcPr>
            <w:tcW w:w="3481" w:type="pct"/>
            <w:gridSpan w:val="2"/>
            <w:vMerge/>
            <w:shd w:val="clear" w:color="auto" w:fill="auto"/>
            <w:vAlign w:val="center"/>
          </w:tcPr>
          <w:p w:rsidR="00374D88" w:rsidRDefault="00374D88" w:rsidP="00BE5664">
            <w:pPr>
              <w:rPr>
                <w:rFonts w:ascii="Times New Roman" w:hAnsi="Times New Roman"/>
                <w:sz w:val="24"/>
                <w:szCs w:val="24"/>
              </w:rPr>
            </w:pP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c>
          <w:tcPr>
            <w:tcW w:w="507"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374D88" w:rsidTr="00BE5664">
        <w:tc>
          <w:tcPr>
            <w:tcW w:w="1356"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 xml:space="preserve">1. </w:t>
            </w:r>
            <w:r>
              <w:rPr>
                <w:rFonts w:ascii="Times New Roman" w:hAnsi="Times New Roman" w:hint="eastAsia"/>
                <w:sz w:val="24"/>
                <w:szCs w:val="24"/>
              </w:rPr>
              <w:t>工程知识应用能</w:t>
            </w:r>
            <w:r>
              <w:rPr>
                <w:rFonts w:ascii="Times New Roman" w:hAnsi="Times New Roman" w:hint="eastAsia"/>
                <w:sz w:val="24"/>
                <w:szCs w:val="24"/>
              </w:rPr>
              <w:lastRenderedPageBreak/>
              <w:t>力</w:t>
            </w:r>
          </w:p>
        </w:tc>
        <w:tc>
          <w:tcPr>
            <w:tcW w:w="2125"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hint="eastAsia"/>
                <w:sz w:val="24"/>
                <w:szCs w:val="24"/>
              </w:rPr>
              <w:lastRenderedPageBreak/>
              <w:t>1</w:t>
            </w:r>
            <w:r>
              <w:rPr>
                <w:rFonts w:ascii="Times New Roman" w:hAnsi="Times New Roman"/>
                <w:sz w:val="24"/>
                <w:szCs w:val="24"/>
              </w:rPr>
              <w:t xml:space="preserve">.4 </w:t>
            </w:r>
            <w:r>
              <w:rPr>
                <w:rFonts w:ascii="Times New Roman" w:hAnsi="Times New Roman" w:hint="eastAsia"/>
                <w:sz w:val="24"/>
                <w:szCs w:val="24"/>
              </w:rPr>
              <w:t>掌握土木工程专业知识，具</w:t>
            </w:r>
            <w:r>
              <w:rPr>
                <w:rFonts w:ascii="Times New Roman" w:hAnsi="Times New Roman" w:hint="eastAsia"/>
                <w:sz w:val="24"/>
                <w:szCs w:val="24"/>
              </w:rPr>
              <w:lastRenderedPageBreak/>
              <w:t>备知识交叉融合能力，应用于解决土木工程专业复杂工程问题。</w:t>
            </w:r>
          </w:p>
        </w:tc>
        <w:tc>
          <w:tcPr>
            <w:tcW w:w="506" w:type="pct"/>
            <w:shd w:val="clear" w:color="auto" w:fill="auto"/>
            <w:vAlign w:val="center"/>
          </w:tcPr>
          <w:p w:rsidR="00374D88" w:rsidRDefault="00374D88" w:rsidP="00BE5664">
            <w:pPr>
              <w:jc w:val="center"/>
              <w:rPr>
                <w:rFonts w:ascii="Times New Roman" w:hAnsi="Times New Roman"/>
                <w:sz w:val="24"/>
                <w:szCs w:val="24"/>
              </w:rPr>
            </w:pP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374D88" w:rsidRDefault="00374D88" w:rsidP="00BE5664">
            <w:pPr>
              <w:jc w:val="center"/>
              <w:rPr>
                <w:rFonts w:ascii="Times New Roman" w:hAnsi="Times New Roman"/>
                <w:sz w:val="24"/>
                <w:szCs w:val="24"/>
              </w:rPr>
            </w:pPr>
          </w:p>
        </w:tc>
      </w:tr>
      <w:tr w:rsidR="00374D88" w:rsidTr="00BE5664">
        <w:tc>
          <w:tcPr>
            <w:tcW w:w="1356"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hint="eastAsia"/>
                <w:sz w:val="24"/>
                <w:szCs w:val="24"/>
              </w:rPr>
              <w:t>4</w:t>
            </w:r>
            <w:r>
              <w:rPr>
                <w:rFonts w:ascii="Times New Roman" w:hAnsi="Times New Roman"/>
                <w:sz w:val="24"/>
                <w:szCs w:val="24"/>
              </w:rPr>
              <w:t xml:space="preserve">. </w:t>
            </w:r>
            <w:r>
              <w:rPr>
                <w:rFonts w:ascii="Times New Roman" w:hAnsi="Times New Roman" w:hint="eastAsia"/>
                <w:sz w:val="24"/>
                <w:szCs w:val="24"/>
              </w:rPr>
              <w:t>研究能力</w:t>
            </w:r>
          </w:p>
        </w:tc>
        <w:tc>
          <w:tcPr>
            <w:tcW w:w="2125"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hint="eastAsia"/>
                <w:sz w:val="24"/>
                <w:szCs w:val="24"/>
              </w:rPr>
              <w:t xml:space="preserve">4.3 </w:t>
            </w:r>
            <w:r>
              <w:rPr>
                <w:rFonts w:ascii="Times New Roman" w:hAnsi="Times New Roman" w:hint="eastAsia"/>
                <w:sz w:val="24"/>
                <w:szCs w:val="24"/>
              </w:rPr>
              <w:t>根据土木工程专业复杂工程问题的特征，选择研究路线，设计实验方案并正确进行实验操作，正确收集、处理、分析与解释实验数据，通过信息综合获得合理有效的结论。</w:t>
            </w:r>
          </w:p>
        </w:tc>
        <w:tc>
          <w:tcPr>
            <w:tcW w:w="506" w:type="pct"/>
            <w:shd w:val="clear" w:color="auto" w:fill="auto"/>
            <w:vAlign w:val="center"/>
          </w:tcPr>
          <w:p w:rsidR="00374D88" w:rsidRDefault="00374D88" w:rsidP="00BE5664">
            <w:pPr>
              <w:jc w:val="center"/>
              <w:rPr>
                <w:rFonts w:ascii="Times New Roman" w:hAnsi="Times New Roman"/>
                <w:sz w:val="24"/>
                <w:szCs w:val="24"/>
              </w:rPr>
            </w:pP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374D88" w:rsidRDefault="00374D88" w:rsidP="00BE5664">
            <w:pPr>
              <w:jc w:val="center"/>
              <w:rPr>
                <w:rFonts w:ascii="Times New Roman" w:hAnsi="Times New Roman"/>
                <w:sz w:val="24"/>
                <w:szCs w:val="24"/>
              </w:rPr>
            </w:pPr>
          </w:p>
        </w:tc>
      </w:tr>
      <w:tr w:rsidR="00374D88" w:rsidTr="00BE5664">
        <w:tc>
          <w:tcPr>
            <w:tcW w:w="1356" w:type="pct"/>
            <w:vMerge w:val="restart"/>
            <w:shd w:val="clear" w:color="auto" w:fill="auto"/>
            <w:vAlign w:val="center"/>
          </w:tcPr>
          <w:p w:rsidR="00374D88" w:rsidRDefault="00374D88" w:rsidP="00BE5664">
            <w:pPr>
              <w:rPr>
                <w:rFonts w:ascii="Times New Roman" w:hAnsi="Times New Roman"/>
                <w:sz w:val="24"/>
                <w:szCs w:val="24"/>
              </w:rPr>
            </w:pPr>
            <w:r>
              <w:rPr>
                <w:rFonts w:ascii="Times New Roman" w:hAnsi="Times New Roman" w:hint="eastAsia"/>
                <w:sz w:val="24"/>
                <w:szCs w:val="24"/>
              </w:rPr>
              <w:t>5.</w:t>
            </w:r>
            <w:r>
              <w:rPr>
                <w:rFonts w:ascii="Times New Roman" w:hAnsi="Times New Roman" w:hint="eastAsia"/>
                <w:sz w:val="24"/>
                <w:szCs w:val="24"/>
              </w:rPr>
              <w:t>现代工具使用能力</w:t>
            </w:r>
          </w:p>
        </w:tc>
        <w:tc>
          <w:tcPr>
            <w:tcW w:w="2125"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hint="eastAsia"/>
                <w:sz w:val="24"/>
                <w:szCs w:val="24"/>
              </w:rPr>
              <w:t xml:space="preserve">5.1 </w:t>
            </w:r>
            <w:r>
              <w:rPr>
                <w:rFonts w:ascii="Times New Roman" w:hAnsi="Times New Roman" w:hint="eastAsia"/>
                <w:sz w:val="24"/>
                <w:szCs w:val="24"/>
              </w:rPr>
              <w:t>了解土木工程常用的现代仪器、工程工具、信息技术工具等的使用原理和方法，并理解其局限性。</w:t>
            </w: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r>
      <w:tr w:rsidR="00374D88" w:rsidTr="00BE5664">
        <w:tc>
          <w:tcPr>
            <w:tcW w:w="1356" w:type="pct"/>
            <w:vMerge/>
            <w:shd w:val="clear" w:color="auto" w:fill="auto"/>
            <w:vAlign w:val="center"/>
          </w:tcPr>
          <w:p w:rsidR="00374D88" w:rsidRDefault="00374D88" w:rsidP="00BE5664">
            <w:pPr>
              <w:rPr>
                <w:rFonts w:ascii="Times New Roman" w:hAnsi="Times New Roman"/>
                <w:sz w:val="24"/>
                <w:szCs w:val="24"/>
              </w:rPr>
            </w:pPr>
          </w:p>
        </w:tc>
        <w:tc>
          <w:tcPr>
            <w:tcW w:w="2125" w:type="pct"/>
            <w:shd w:val="clear" w:color="auto" w:fill="auto"/>
            <w:vAlign w:val="center"/>
          </w:tcPr>
          <w:p w:rsidR="00374D88" w:rsidRDefault="00374D88" w:rsidP="00BE5664">
            <w:pPr>
              <w:rPr>
                <w:rFonts w:ascii="Times New Roman" w:hAnsi="Times New Roman"/>
                <w:sz w:val="24"/>
                <w:szCs w:val="24"/>
              </w:rPr>
            </w:pPr>
            <w:r>
              <w:rPr>
                <w:rFonts w:ascii="Times New Roman" w:hAnsi="Times New Roman" w:hint="eastAsia"/>
                <w:sz w:val="24"/>
                <w:szCs w:val="24"/>
              </w:rPr>
              <w:t>5</w:t>
            </w:r>
            <w:r>
              <w:rPr>
                <w:rFonts w:ascii="Times New Roman" w:hAnsi="Times New Roman"/>
                <w:sz w:val="24"/>
                <w:szCs w:val="24"/>
              </w:rPr>
              <w:t>.2</w:t>
            </w:r>
            <w:r>
              <w:rPr>
                <w:rFonts w:ascii="Times New Roman" w:hAnsi="Times New Roman" w:hint="eastAsia"/>
                <w:sz w:val="24"/>
                <w:szCs w:val="24"/>
              </w:rPr>
              <w:t xml:space="preserve"> </w:t>
            </w:r>
            <w:r>
              <w:rPr>
                <w:rFonts w:ascii="Times New Roman" w:hAnsi="Times New Roman" w:hint="eastAsia"/>
                <w:sz w:val="24"/>
                <w:szCs w:val="24"/>
              </w:rPr>
              <w:t>能够选择与使用勘测、制图、检测、计算、设计等恰当的技术和资源，对土木工程专业复杂工程问题进行分析、计算和设计，并理解其局限性。</w:t>
            </w:r>
          </w:p>
        </w:tc>
        <w:tc>
          <w:tcPr>
            <w:tcW w:w="506"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506" w:type="pct"/>
            <w:shd w:val="clear" w:color="auto" w:fill="auto"/>
            <w:vAlign w:val="center"/>
          </w:tcPr>
          <w:p w:rsidR="00374D88" w:rsidRDefault="00374D88" w:rsidP="00BE5664">
            <w:pPr>
              <w:jc w:val="center"/>
              <w:rPr>
                <w:rFonts w:ascii="Times New Roman" w:hAnsi="Times New Roman"/>
                <w:sz w:val="24"/>
                <w:szCs w:val="24"/>
              </w:rPr>
            </w:pPr>
          </w:p>
        </w:tc>
        <w:tc>
          <w:tcPr>
            <w:tcW w:w="507" w:type="pc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r>
    </w:tbl>
    <w:p w:rsidR="00374D88" w:rsidRDefault="00374D88" w:rsidP="00374D88">
      <w:pPr>
        <w:spacing w:line="360" w:lineRule="auto"/>
        <w:rPr>
          <w:rFonts w:ascii="Times New Roman" w:eastAsia="宋体" w:hAnsi="Times New Roman"/>
          <w:b/>
          <w:sz w:val="21"/>
          <w:szCs w:val="21"/>
        </w:rPr>
      </w:pPr>
    </w:p>
    <w:p w:rsidR="00374D88" w:rsidRDefault="00374D88" w:rsidP="00374D8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3. </w:t>
      </w:r>
      <w:r>
        <w:rPr>
          <w:rFonts w:ascii="Times New Roman" w:hAnsi="Times New Roman"/>
          <w:sz w:val="28"/>
          <w:szCs w:val="28"/>
        </w:rPr>
        <w:t>课程的重点、难点</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重点：城市地下空间资源预测与评价，城市地下空间总体布局，城市地下交通设施系统规划，城市地下空间综合防灾规划。</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难点：城市地下空间的资源属性和空间效应使得其规划设计与常规的城市地面规划有很大的不同，其难点包括如何正确认识城市地下空间的内涵，如何理解四个相结合的指导思想，如何贯彻考虑竖向分层的地上地下一体化设计理念等。</w:t>
      </w:r>
    </w:p>
    <w:p w:rsidR="00374D88" w:rsidRDefault="00374D88" w:rsidP="00374D8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rPr>
        <w:t>课程思政设计</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绪论部分</w:t>
      </w:r>
      <w:r>
        <w:rPr>
          <w:rFonts w:ascii="Times New Roman" w:hAnsi="Times New Roman" w:hint="eastAsia"/>
          <w:sz w:val="28"/>
          <w:szCs w:val="28"/>
        </w:rPr>
        <w:t>，通过对城市及城市地下空间规划学科的发展历史、现状和前景的介绍，以历史的辉煌培育同学对中国文化的自信；以近代的落后鼓励同学树立奋发向上，建功立业的决心；以现代的追赶超越建立对国家制度优越性的自信。</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第二章中</w:t>
      </w:r>
      <w:r>
        <w:rPr>
          <w:rFonts w:ascii="Times New Roman" w:hAnsi="Times New Roman" w:hint="eastAsia"/>
          <w:sz w:val="28"/>
          <w:szCs w:val="28"/>
        </w:rPr>
        <w:t>，通过讲解地下空间开发利用中遇到的生理效应和心理</w:t>
      </w:r>
      <w:r>
        <w:rPr>
          <w:rFonts w:ascii="Times New Roman" w:hAnsi="Times New Roman" w:hint="eastAsia"/>
          <w:sz w:val="28"/>
          <w:szCs w:val="28"/>
        </w:rPr>
        <w:lastRenderedPageBreak/>
        <w:t>问题来说明城市地下空间规划设计的重要性，建立城市地下空间规划与人民美好生活之间的联系。</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第三章中，结合城市地下空间确定的“以人为本原则”，促使学生理解土木工程师对公众的安全、健康、以及环境保护的社会责任。</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第五章、第六章</w:t>
      </w:r>
      <w:r>
        <w:rPr>
          <w:rFonts w:ascii="Times New Roman" w:hAnsi="Times New Roman"/>
          <w:sz w:val="28"/>
          <w:szCs w:val="28"/>
        </w:rPr>
        <w:t>中</w:t>
      </w:r>
      <w:r>
        <w:rPr>
          <w:rFonts w:ascii="Times New Roman" w:hAnsi="Times New Roman" w:hint="eastAsia"/>
          <w:sz w:val="28"/>
          <w:szCs w:val="28"/>
        </w:rPr>
        <w:t>，通过对我国地铁及城市地下综合管廊快速发展的介绍，了解我国基建大国的地位及背后的意义，从而增强学生对国家制度的自信、以及对本专业工作的自信。</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第八章中</w:t>
      </w:r>
      <w:r>
        <w:rPr>
          <w:rFonts w:ascii="Times New Roman" w:hAnsi="Times New Roman" w:hint="eastAsia"/>
          <w:sz w:val="28"/>
          <w:szCs w:val="28"/>
        </w:rPr>
        <w:t>，</w:t>
      </w:r>
      <w:r>
        <w:rPr>
          <w:rFonts w:ascii="Times New Roman" w:hAnsi="Times New Roman"/>
          <w:sz w:val="28"/>
          <w:szCs w:val="28"/>
        </w:rPr>
        <w:t>通过讲解城市地下空间灾害的特点</w:t>
      </w:r>
      <w:r>
        <w:rPr>
          <w:rFonts w:ascii="Times New Roman" w:hAnsi="Times New Roman" w:hint="eastAsia"/>
          <w:sz w:val="28"/>
          <w:szCs w:val="28"/>
        </w:rPr>
        <w:t>，</w:t>
      </w:r>
      <w:r>
        <w:rPr>
          <w:rFonts w:ascii="Times New Roman" w:hAnsi="Times New Roman"/>
          <w:sz w:val="28"/>
          <w:szCs w:val="28"/>
        </w:rPr>
        <w:t>以及灾害实例来说明地下空间在防灾</w:t>
      </w:r>
      <w:r>
        <w:rPr>
          <w:rFonts w:ascii="Times New Roman" w:hAnsi="Times New Roman" w:hint="eastAsia"/>
          <w:sz w:val="28"/>
          <w:szCs w:val="28"/>
        </w:rPr>
        <w:t>、</w:t>
      </w:r>
      <w:r>
        <w:rPr>
          <w:rFonts w:ascii="Times New Roman" w:hAnsi="Times New Roman"/>
          <w:sz w:val="28"/>
          <w:szCs w:val="28"/>
        </w:rPr>
        <w:t>防空和防暴中的重要性</w:t>
      </w:r>
      <w:r>
        <w:rPr>
          <w:rFonts w:ascii="Times New Roman" w:hAnsi="Times New Roman" w:hint="eastAsia"/>
          <w:sz w:val="28"/>
          <w:szCs w:val="28"/>
        </w:rPr>
        <w:t>，从而培养学生的安全意识。</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第九章中</w:t>
      </w:r>
      <w:r>
        <w:rPr>
          <w:rFonts w:ascii="Times New Roman" w:hAnsi="Times New Roman" w:hint="eastAsia"/>
          <w:sz w:val="28"/>
          <w:szCs w:val="28"/>
        </w:rPr>
        <w:t>，</w:t>
      </w:r>
      <w:r>
        <w:rPr>
          <w:rFonts w:ascii="Times New Roman" w:hAnsi="Times New Roman"/>
          <w:sz w:val="28"/>
          <w:szCs w:val="28"/>
        </w:rPr>
        <w:t>通过讲解地下空间详细规划的编制程序</w:t>
      </w:r>
      <w:r>
        <w:rPr>
          <w:rFonts w:ascii="Times New Roman" w:hAnsi="Times New Roman" w:hint="eastAsia"/>
          <w:sz w:val="28"/>
          <w:szCs w:val="28"/>
        </w:rPr>
        <w:t>和地下控规的表达，结合与地下空间规划相关的三部法规的解读，使学生理解并遵守土木工程职业道德和行为规范，做到责任担当、贡献国家、服务社会，具有法律意识。</w:t>
      </w:r>
    </w:p>
    <w:p w:rsidR="00374D88" w:rsidRDefault="00374D88" w:rsidP="00374D8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四、教学内容安排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582"/>
        <w:gridCol w:w="488"/>
        <w:gridCol w:w="1045"/>
        <w:gridCol w:w="2206"/>
        <w:gridCol w:w="3508"/>
      </w:tblGrid>
      <w:tr w:rsidR="00374D88" w:rsidTr="00BE5664">
        <w:trPr>
          <w:cantSplit/>
          <w:trHeight w:val="785"/>
          <w:tblHeader/>
        </w:trPr>
        <w:tc>
          <w:tcPr>
            <w:tcW w:w="0" w:type="auto"/>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序号</w:t>
            </w:r>
          </w:p>
        </w:tc>
        <w:tc>
          <w:tcPr>
            <w:tcW w:w="0" w:type="auto"/>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章节</w:t>
            </w:r>
          </w:p>
        </w:tc>
        <w:tc>
          <w:tcPr>
            <w:tcW w:w="0" w:type="auto"/>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参考学时</w:t>
            </w:r>
          </w:p>
        </w:tc>
        <w:tc>
          <w:tcPr>
            <w:tcW w:w="0" w:type="auto"/>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教学内容</w:t>
            </w:r>
          </w:p>
        </w:tc>
        <w:tc>
          <w:tcPr>
            <w:tcW w:w="2206" w:type="dxa"/>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基本要求</w:t>
            </w:r>
          </w:p>
        </w:tc>
        <w:tc>
          <w:tcPr>
            <w:tcW w:w="3508" w:type="dxa"/>
            <w:vAlign w:val="center"/>
          </w:tcPr>
          <w:p w:rsidR="00374D88" w:rsidRDefault="00374D88" w:rsidP="00BE5664">
            <w:pPr>
              <w:jc w:val="center"/>
              <w:rPr>
                <w:rFonts w:ascii="Times New Roman" w:hAnsi="Times New Roman"/>
                <w:b/>
                <w:kern w:val="0"/>
                <w:sz w:val="24"/>
                <w:szCs w:val="24"/>
              </w:rPr>
            </w:pPr>
            <w:r>
              <w:rPr>
                <w:rFonts w:ascii="Times New Roman" w:hAnsi="Times New Roman" w:hint="eastAsia"/>
                <w:b/>
                <w:kern w:val="0"/>
                <w:sz w:val="24"/>
                <w:szCs w:val="24"/>
              </w:rPr>
              <w:t>对毕业要求的支撑</w:t>
            </w:r>
          </w:p>
        </w:tc>
      </w:tr>
      <w:tr w:rsidR="00374D88" w:rsidTr="00BE5664">
        <w:trPr>
          <w:trHeight w:val="428"/>
        </w:trPr>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1</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绪论</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w:t>
            </w:r>
          </w:p>
        </w:tc>
        <w:tc>
          <w:tcPr>
            <w:tcW w:w="0" w:type="auto"/>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、城市地下空间与城市地下空间规划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、城市地下空间规划的现状与发展</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、本课</w:t>
            </w:r>
            <w:r>
              <w:rPr>
                <w:rFonts w:ascii="Times New Roman" w:hAnsi="Times New Roman" w:hint="eastAsia"/>
                <w:kern w:val="0"/>
                <w:sz w:val="24"/>
                <w:szCs w:val="24"/>
              </w:rPr>
              <w:lastRenderedPageBreak/>
              <w:t>程的内容和学习要求</w:t>
            </w:r>
          </w:p>
        </w:tc>
        <w:tc>
          <w:tcPr>
            <w:tcW w:w="2206"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lastRenderedPageBreak/>
              <w:t>1</w:t>
            </w:r>
            <w:r>
              <w:rPr>
                <w:rFonts w:ascii="Times New Roman" w:hAnsi="Times New Roman" w:hint="eastAsia"/>
                <w:kern w:val="0"/>
                <w:sz w:val="24"/>
                <w:szCs w:val="24"/>
              </w:rPr>
              <w:t>、掌握城市地下空间规划的基本内涵。</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、了解城市地下空间规划的发展历史。</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、了解本课程的基本内容和学习方法。</w:t>
            </w:r>
          </w:p>
        </w:tc>
        <w:tc>
          <w:tcPr>
            <w:tcW w:w="350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：掌握土木工程专业知识，具备知识交叉融合能力，应用于解决土木工程专业复杂工程问题”；和“指标点</w:t>
            </w:r>
            <w:r>
              <w:rPr>
                <w:rFonts w:ascii="Times New Roman" w:hAnsi="Times New Roman" w:hint="eastAsia"/>
                <w:kern w:val="0"/>
                <w:sz w:val="24"/>
                <w:szCs w:val="24"/>
              </w:rPr>
              <w:t>5.2</w:t>
            </w:r>
            <w:r>
              <w:rPr>
                <w:rFonts w:ascii="Times New Roman" w:hAnsi="Times New Roman" w:hint="eastAsia"/>
                <w:kern w:val="0"/>
                <w:sz w:val="24"/>
                <w:szCs w:val="24"/>
              </w:rPr>
              <w:t>：理解土木工程师对公众的安全、健康和福祉，以及环境保护的社会责任，并能够在工程实践中自觉履行”；</w:t>
            </w:r>
          </w:p>
        </w:tc>
      </w:tr>
      <w:tr w:rsidR="00374D88" w:rsidTr="00BE5664">
        <w:trPr>
          <w:trHeight w:val="519"/>
        </w:trPr>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2</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城市地下空间规划的基本原理</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2</w:t>
            </w:r>
          </w:p>
        </w:tc>
        <w:tc>
          <w:tcPr>
            <w:tcW w:w="0" w:type="auto"/>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、城市地下空间资源评估方法</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、城市地下空间需求预测方法</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、城市地下空间规划基础</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、案例分析</w:t>
            </w:r>
          </w:p>
        </w:tc>
        <w:tc>
          <w:tcPr>
            <w:tcW w:w="2206"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、掌握城市地下空间资源评估方法，需求预测方法</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、熟悉城市地下空间功能分类、规划的理论原则</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、了解案例列出的实例。</w:t>
            </w:r>
          </w:p>
        </w:tc>
        <w:tc>
          <w:tcPr>
            <w:tcW w:w="350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4.3</w:t>
            </w:r>
            <w:r>
              <w:rPr>
                <w:rFonts w:ascii="Times New Roman" w:hAnsi="Times New Roman" w:hint="eastAsia"/>
                <w:kern w:val="0"/>
                <w:sz w:val="24"/>
                <w:szCs w:val="24"/>
              </w:rPr>
              <w:t>：根据土木工程专业复杂工程问题的特征，选择研究路线，设计实验方案并正确进行实验操作，正确收集、处理、分析与解释实验数据，通过信息综合获得合理有效的结论”；和“指标点</w:t>
            </w:r>
            <w:r>
              <w:rPr>
                <w:rFonts w:ascii="Times New Roman" w:hAnsi="Times New Roman" w:hint="eastAsia"/>
                <w:kern w:val="0"/>
                <w:sz w:val="24"/>
                <w:szCs w:val="24"/>
              </w:rPr>
              <w:t>5.1</w:t>
            </w:r>
            <w:r>
              <w:rPr>
                <w:rFonts w:ascii="Times New Roman" w:hAnsi="Times New Roman" w:hint="eastAsia"/>
                <w:kern w:val="0"/>
                <w:sz w:val="24"/>
                <w:szCs w:val="24"/>
              </w:rPr>
              <w:t>：了解土木工程常用的现代仪器、工程工具、信息技术工具等的使用原理和方法，并理解其局限性”；</w:t>
            </w:r>
          </w:p>
        </w:tc>
      </w:tr>
      <w:tr w:rsidR="00374D88" w:rsidTr="00BE5664">
        <w:trPr>
          <w:trHeight w:val="555"/>
        </w:trPr>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3</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城市地下空间总体规划</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w:t>
            </w:r>
          </w:p>
        </w:tc>
        <w:tc>
          <w:tcPr>
            <w:tcW w:w="0" w:type="auto"/>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、城市地下空间总体规划的编制</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、城市地面地下空间结构的关系</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、城市地下空间结构的功能</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、城市地下空间结构的布局</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5</w:t>
            </w:r>
            <w:r>
              <w:rPr>
                <w:rFonts w:ascii="Times New Roman" w:hAnsi="Times New Roman" w:hint="eastAsia"/>
                <w:kern w:val="0"/>
                <w:sz w:val="24"/>
                <w:szCs w:val="24"/>
              </w:rPr>
              <w:t>、案例分析</w:t>
            </w:r>
          </w:p>
        </w:tc>
        <w:tc>
          <w:tcPr>
            <w:tcW w:w="2206"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、重点掌握总体规划的特点、内容和流程。</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、掌握城市地下空间布局的原则和方法。</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、熟悉城市地下空间功能定位。</w:t>
            </w:r>
          </w:p>
        </w:tc>
        <w:tc>
          <w:tcPr>
            <w:tcW w:w="350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4.3</w:t>
            </w:r>
            <w:r>
              <w:rPr>
                <w:rFonts w:ascii="Times New Roman" w:hAnsi="Times New Roman" w:hint="eastAsia"/>
                <w:kern w:val="0"/>
                <w:sz w:val="24"/>
                <w:szCs w:val="24"/>
              </w:rPr>
              <w:t>：根据土木工程专业复杂工程问题的特征，选择研究路线，设计实验方案并正确进行实验操作，正确收集、处理、分析与解释实验数据，通过信息综合获得合理有效的结论”；和“指标点</w:t>
            </w:r>
            <w:r>
              <w:rPr>
                <w:rFonts w:ascii="Times New Roman" w:hAnsi="Times New Roman" w:hint="eastAsia"/>
                <w:kern w:val="0"/>
                <w:sz w:val="24"/>
                <w:szCs w:val="24"/>
              </w:rPr>
              <w:t>5.1</w:t>
            </w:r>
            <w:r>
              <w:rPr>
                <w:rFonts w:ascii="Times New Roman" w:hAnsi="Times New Roman" w:hint="eastAsia"/>
                <w:kern w:val="0"/>
                <w:sz w:val="24"/>
                <w:szCs w:val="24"/>
              </w:rPr>
              <w:t>：了解土木工程常用的现代仪器、工程工具、信息技术工具等的使用原理和方法，并理解其局限性”；</w:t>
            </w:r>
          </w:p>
        </w:tc>
      </w:tr>
      <w:tr w:rsidR="00374D88" w:rsidTr="00BE5664">
        <w:trPr>
          <w:trHeight w:val="548"/>
        </w:trPr>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lastRenderedPageBreak/>
              <w:t>4</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城市地下公共空间规划</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0" w:type="auto"/>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、地下公共空间及设施</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、地下商业设施规划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、地下公共空间系统规划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、案例分析</w:t>
            </w:r>
          </w:p>
        </w:tc>
        <w:tc>
          <w:tcPr>
            <w:tcW w:w="2206"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、了解地下公共设施的分类，掌握地下公共设施规划原则。</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、了解地下商业设施的特点，熟悉地下商业设施规划方法。</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、掌握城市重点地区的划分及地下空间开发的规划。</w:t>
            </w:r>
          </w:p>
        </w:tc>
        <w:tc>
          <w:tcPr>
            <w:tcW w:w="350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4.3</w:t>
            </w:r>
            <w:r>
              <w:rPr>
                <w:rFonts w:ascii="Times New Roman" w:hAnsi="Times New Roman" w:hint="eastAsia"/>
                <w:kern w:val="0"/>
                <w:sz w:val="24"/>
                <w:szCs w:val="24"/>
              </w:rPr>
              <w:t>：根据土木工程专业复杂工程问题的特征，选择研究路线，设计实验方案并正确进行实验操作，正确收集、处理、分析与解释实验数据，通过信息综合获得合理有效的结论”；和“指标点</w:t>
            </w:r>
            <w:r>
              <w:rPr>
                <w:rFonts w:ascii="Times New Roman" w:hAnsi="Times New Roman" w:hint="eastAsia"/>
                <w:kern w:val="0"/>
                <w:sz w:val="24"/>
                <w:szCs w:val="24"/>
              </w:rPr>
              <w:t>5.1</w:t>
            </w:r>
            <w:r>
              <w:rPr>
                <w:rFonts w:ascii="Times New Roman" w:hAnsi="Times New Roman" w:hint="eastAsia"/>
                <w:kern w:val="0"/>
                <w:sz w:val="24"/>
                <w:szCs w:val="24"/>
              </w:rPr>
              <w:t>：了解土木工程常用的现代仪器、工程工具、信息技术工具等的使用原理和方法，并理解其局限性”；</w:t>
            </w:r>
          </w:p>
        </w:tc>
      </w:tr>
      <w:tr w:rsidR="00374D88" w:rsidTr="00BE5664">
        <w:trPr>
          <w:trHeight w:val="548"/>
        </w:trPr>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5</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城市地下交通设施系统规划</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4</w:t>
            </w:r>
          </w:p>
        </w:tc>
        <w:tc>
          <w:tcPr>
            <w:tcW w:w="0" w:type="auto"/>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、地下交通设施分类和规划原则</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、地下铁路系统</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、地下车行道路系统</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、地下步行道路系统</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5</w:t>
            </w:r>
            <w:r>
              <w:rPr>
                <w:rFonts w:ascii="Times New Roman" w:hAnsi="Times New Roman" w:hint="eastAsia"/>
                <w:kern w:val="0"/>
                <w:sz w:val="24"/>
                <w:szCs w:val="24"/>
              </w:rPr>
              <w:t>、地下停车设施系统</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6</w:t>
            </w:r>
            <w:r>
              <w:rPr>
                <w:rFonts w:ascii="Times New Roman" w:hAnsi="Times New Roman" w:hint="eastAsia"/>
                <w:kern w:val="0"/>
                <w:sz w:val="24"/>
                <w:szCs w:val="24"/>
              </w:rPr>
              <w:t>、城市地下物流系统规划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7</w:t>
            </w:r>
            <w:r>
              <w:rPr>
                <w:rFonts w:ascii="Times New Roman" w:hAnsi="Times New Roman" w:hint="eastAsia"/>
                <w:kern w:val="0"/>
                <w:sz w:val="24"/>
                <w:szCs w:val="24"/>
              </w:rPr>
              <w:t>、案例分析</w:t>
            </w:r>
          </w:p>
        </w:tc>
        <w:tc>
          <w:tcPr>
            <w:tcW w:w="2206"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、了解地下交通设施分类和规划原则。</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、掌握地铁线网规划原则和方法。</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、熟悉地下车行道路系统、地下步行道路系统、地下停车设施系统、城市地下物流系统等的规划。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、了解案例列出的石家庄市地下交通设施系统规划。</w:t>
            </w:r>
          </w:p>
        </w:tc>
        <w:tc>
          <w:tcPr>
            <w:tcW w:w="350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4.3</w:t>
            </w:r>
            <w:r>
              <w:rPr>
                <w:rFonts w:ascii="Times New Roman" w:hAnsi="Times New Roman" w:hint="eastAsia"/>
                <w:kern w:val="0"/>
                <w:sz w:val="24"/>
                <w:szCs w:val="24"/>
              </w:rPr>
              <w:t>：根据土木工程专业复杂工程问题的特征，选择研究路线，设计实验方案并正确进行实验操作，正确收集、处理、分析与解释实验数据，通过信息综合获得合理有效的结论”；和“指标点</w:t>
            </w:r>
            <w:r>
              <w:rPr>
                <w:rFonts w:ascii="Times New Roman" w:hAnsi="Times New Roman" w:hint="eastAsia"/>
                <w:kern w:val="0"/>
                <w:sz w:val="24"/>
                <w:szCs w:val="24"/>
              </w:rPr>
              <w:t>5.2</w:t>
            </w:r>
            <w:r>
              <w:rPr>
                <w:rFonts w:ascii="Times New Roman" w:hAnsi="Times New Roman" w:hint="eastAsia"/>
                <w:kern w:val="0"/>
                <w:sz w:val="24"/>
                <w:szCs w:val="24"/>
              </w:rPr>
              <w:t>：能够选择与使用勘测、制图、检测、计算、设计等恰当的技术和资源，对土木工程专业复杂工程问题进行分析、计算和设计，并理解其局限性”；</w:t>
            </w:r>
          </w:p>
        </w:tc>
      </w:tr>
      <w:tr w:rsidR="00374D88" w:rsidTr="00BE5664">
        <w:trPr>
          <w:trHeight w:val="548"/>
        </w:trPr>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6</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hAnsi="Times New Roman" w:hint="eastAsia"/>
                <w:kern w:val="0"/>
                <w:sz w:val="24"/>
                <w:szCs w:val="24"/>
              </w:rPr>
              <w:t>城市地下</w:t>
            </w:r>
            <w:r>
              <w:rPr>
                <w:rFonts w:ascii="Times New Roman" w:hAnsi="Times New Roman" w:hint="eastAsia"/>
                <w:kern w:val="0"/>
                <w:sz w:val="24"/>
                <w:szCs w:val="24"/>
              </w:rPr>
              <w:lastRenderedPageBreak/>
              <w:t>市政设施系统规划</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lastRenderedPageBreak/>
              <w:t>4</w:t>
            </w:r>
          </w:p>
        </w:tc>
        <w:tc>
          <w:tcPr>
            <w:tcW w:w="0" w:type="auto"/>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、城市市政设施概述</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、城市</w:t>
            </w:r>
            <w:r>
              <w:rPr>
                <w:rFonts w:ascii="Times New Roman" w:hAnsi="Times New Roman" w:hint="eastAsia"/>
                <w:kern w:val="0"/>
                <w:sz w:val="24"/>
                <w:szCs w:val="24"/>
              </w:rPr>
              <w:lastRenderedPageBreak/>
              <w:t>地下市政管线分类和规划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、地下综合管沟规划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、地下市政站场规划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5</w:t>
            </w:r>
            <w:r>
              <w:rPr>
                <w:rFonts w:ascii="Times New Roman" w:hAnsi="Times New Roman" w:hint="eastAsia"/>
                <w:kern w:val="0"/>
                <w:sz w:val="24"/>
                <w:szCs w:val="24"/>
              </w:rPr>
              <w:t>、案例分析</w:t>
            </w:r>
          </w:p>
        </w:tc>
        <w:tc>
          <w:tcPr>
            <w:tcW w:w="2206"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lastRenderedPageBreak/>
              <w:t>1</w:t>
            </w:r>
            <w:r>
              <w:rPr>
                <w:rFonts w:ascii="Times New Roman" w:hAnsi="Times New Roman" w:hint="eastAsia"/>
                <w:kern w:val="0"/>
                <w:sz w:val="24"/>
                <w:szCs w:val="24"/>
              </w:rPr>
              <w:t>、了解城市市政设施的概况。</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、熟悉城市地下市政管线分类和规划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lastRenderedPageBreak/>
              <w:t>3</w:t>
            </w:r>
            <w:r>
              <w:rPr>
                <w:rFonts w:ascii="Times New Roman" w:hAnsi="Times New Roman" w:hint="eastAsia"/>
                <w:kern w:val="0"/>
                <w:sz w:val="24"/>
                <w:szCs w:val="24"/>
              </w:rPr>
              <w:t>、掌握地下综合管沟的概念、分类及规划设计要求</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、熟悉地下市政站场分类和规划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5</w:t>
            </w:r>
            <w:r>
              <w:rPr>
                <w:rFonts w:ascii="Times New Roman" w:hAnsi="Times New Roman" w:hint="eastAsia"/>
                <w:kern w:val="0"/>
                <w:sz w:val="24"/>
                <w:szCs w:val="24"/>
              </w:rPr>
              <w:t>、了解广州大学城综合管沟规划</w:t>
            </w:r>
          </w:p>
        </w:tc>
        <w:tc>
          <w:tcPr>
            <w:tcW w:w="350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lastRenderedPageBreak/>
              <w:t>本章知识点的讲授和学习，可支撑“指标点</w:t>
            </w:r>
            <w:r>
              <w:rPr>
                <w:rFonts w:ascii="Times New Roman" w:hAnsi="Times New Roman" w:hint="eastAsia"/>
                <w:kern w:val="0"/>
                <w:sz w:val="24"/>
                <w:szCs w:val="24"/>
              </w:rPr>
              <w:t>4.3</w:t>
            </w:r>
            <w:r>
              <w:rPr>
                <w:rFonts w:ascii="Times New Roman" w:hAnsi="Times New Roman" w:hint="eastAsia"/>
                <w:kern w:val="0"/>
                <w:sz w:val="24"/>
                <w:szCs w:val="24"/>
              </w:rPr>
              <w:t>：根据土木工程专业复杂工程问题的特征，选择研究路线，设计实验方案并正确</w:t>
            </w:r>
            <w:r>
              <w:rPr>
                <w:rFonts w:ascii="Times New Roman" w:hAnsi="Times New Roman" w:hint="eastAsia"/>
                <w:kern w:val="0"/>
                <w:sz w:val="24"/>
                <w:szCs w:val="24"/>
              </w:rPr>
              <w:lastRenderedPageBreak/>
              <w:t>进行实验操作，正确收集、处理、分析与解释实验数据，通过信息综合获得合理有效的结论”；和“指标点</w:t>
            </w:r>
            <w:r>
              <w:rPr>
                <w:rFonts w:ascii="Times New Roman" w:hAnsi="Times New Roman" w:hint="eastAsia"/>
                <w:kern w:val="0"/>
                <w:sz w:val="24"/>
                <w:szCs w:val="24"/>
              </w:rPr>
              <w:t>5.2</w:t>
            </w:r>
            <w:r>
              <w:rPr>
                <w:rFonts w:ascii="Times New Roman" w:hAnsi="Times New Roman" w:hint="eastAsia"/>
                <w:kern w:val="0"/>
                <w:sz w:val="24"/>
                <w:szCs w:val="24"/>
              </w:rPr>
              <w:t>：能够选择与使用勘测、制图、检测、计算、设计等恰当的技术和资源，对土木工程专业复杂工程问题进行分析、计算和设计，并理解其局限性”；</w:t>
            </w:r>
          </w:p>
        </w:tc>
      </w:tr>
      <w:tr w:rsidR="00374D88" w:rsidTr="00BE5664">
        <w:trPr>
          <w:trHeight w:val="548"/>
        </w:trPr>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lastRenderedPageBreak/>
              <w:t>7</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城市地下居住设施规划</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0" w:type="auto"/>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、地下居住的传统与类型</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、地下居住设施规划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、案例分析</w:t>
            </w:r>
          </w:p>
        </w:tc>
        <w:tc>
          <w:tcPr>
            <w:tcW w:w="2206"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、了解地下居住的传统与类型。</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、掌握地下居住设施规划的原则、内容和方法。</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、了解案例列出的小区规划。</w:t>
            </w:r>
          </w:p>
        </w:tc>
        <w:tc>
          <w:tcPr>
            <w:tcW w:w="350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4.3</w:t>
            </w:r>
            <w:r>
              <w:rPr>
                <w:rFonts w:ascii="Times New Roman" w:hAnsi="Times New Roman" w:hint="eastAsia"/>
                <w:kern w:val="0"/>
                <w:sz w:val="24"/>
                <w:szCs w:val="24"/>
              </w:rPr>
              <w:t>：根据土木工程专业复杂工程问题的特征，选择研究路线，设计实验方案并正确进行实验操作，正确收集、处理、分析与解释实验数据，通过信息综合获得合理有效的结论”；和“指标点</w:t>
            </w:r>
            <w:r>
              <w:rPr>
                <w:rFonts w:ascii="Times New Roman" w:hAnsi="Times New Roman" w:hint="eastAsia"/>
                <w:kern w:val="0"/>
                <w:sz w:val="24"/>
                <w:szCs w:val="24"/>
              </w:rPr>
              <w:t>5.2</w:t>
            </w:r>
            <w:r>
              <w:rPr>
                <w:rFonts w:ascii="Times New Roman" w:hAnsi="Times New Roman" w:hint="eastAsia"/>
                <w:kern w:val="0"/>
                <w:sz w:val="24"/>
                <w:szCs w:val="24"/>
              </w:rPr>
              <w:t>：能够选择与使用勘测、制图、检测、计算、设计等恰当的技术和资源，对土木工程专业复杂工程问题进行分析、计算和设计，并理解其局限性”；</w:t>
            </w:r>
          </w:p>
        </w:tc>
      </w:tr>
      <w:tr w:rsidR="00374D88" w:rsidTr="00BE5664">
        <w:trPr>
          <w:trHeight w:val="548"/>
        </w:trPr>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8</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城市地下综合防灾系统规划</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0" w:type="auto"/>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、城市灾害与地下空间灾害的特点</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、城市防灾与防空防灾功能的统一</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、地下空间在城市主动防空防灾中</w:t>
            </w:r>
            <w:r>
              <w:rPr>
                <w:rFonts w:ascii="Times New Roman" w:hAnsi="Times New Roman" w:hint="eastAsia"/>
                <w:kern w:val="0"/>
                <w:sz w:val="24"/>
                <w:szCs w:val="24"/>
              </w:rPr>
              <w:lastRenderedPageBreak/>
              <w:t>的重要作用</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、城市地下空间综合防灾规划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5</w:t>
            </w:r>
            <w:r>
              <w:rPr>
                <w:rFonts w:ascii="Times New Roman" w:hAnsi="Times New Roman" w:hint="eastAsia"/>
                <w:kern w:val="0"/>
                <w:sz w:val="24"/>
                <w:szCs w:val="24"/>
              </w:rPr>
              <w:t>、案例分析</w:t>
            </w:r>
          </w:p>
        </w:tc>
        <w:tc>
          <w:tcPr>
            <w:tcW w:w="2206"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lastRenderedPageBreak/>
              <w:t>1</w:t>
            </w:r>
            <w:r>
              <w:rPr>
                <w:rFonts w:ascii="Times New Roman" w:hAnsi="Times New Roman" w:hint="eastAsia"/>
                <w:kern w:val="0"/>
                <w:sz w:val="24"/>
                <w:szCs w:val="24"/>
              </w:rPr>
              <w:t>、了解城市灾害与地下空间灾害的特点。</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、了解城市防灾的重要性。</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、熟悉地下空间在城市主动防空防灾中的重要作用。</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、熟悉城市地下空间综合防灾规划的原则、目标和依据。</w:t>
            </w:r>
          </w:p>
        </w:tc>
        <w:tc>
          <w:tcPr>
            <w:tcW w:w="350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1.4</w:t>
            </w:r>
            <w:r>
              <w:rPr>
                <w:rFonts w:ascii="Times New Roman" w:hAnsi="Times New Roman" w:hint="eastAsia"/>
                <w:kern w:val="0"/>
                <w:sz w:val="24"/>
                <w:szCs w:val="24"/>
              </w:rPr>
              <w:t>：根据土木工程专业复杂工程问题的特征，选择研究路线，设计实验方案并正确进行实验操作，正确收集、处理、分析与解释实验数据，通过信息综合获得合理有效的结论”；“指标点</w:t>
            </w:r>
            <w:r>
              <w:rPr>
                <w:rFonts w:ascii="Times New Roman" w:hAnsi="Times New Roman" w:hint="eastAsia"/>
                <w:kern w:val="0"/>
                <w:sz w:val="24"/>
                <w:szCs w:val="24"/>
              </w:rPr>
              <w:t>4.3</w:t>
            </w:r>
            <w:r>
              <w:rPr>
                <w:rFonts w:ascii="Times New Roman" w:hAnsi="Times New Roman" w:hint="eastAsia"/>
                <w:kern w:val="0"/>
                <w:sz w:val="24"/>
                <w:szCs w:val="24"/>
              </w:rPr>
              <w:t>：根据土木工程专业复杂工程问题的特征，选择研究路线，设计实验方案并正确进行实验操作，正确收集、处理、分析与解释实验数据，通过信息综合获得合理有效的结论”；</w:t>
            </w:r>
          </w:p>
        </w:tc>
      </w:tr>
      <w:tr w:rsidR="00374D88" w:rsidTr="00BE5664">
        <w:trPr>
          <w:trHeight w:val="548"/>
        </w:trPr>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9</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城市地下储库设施规划</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0" w:type="auto"/>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、地下储库的分类与布局</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、地下能源储库</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、地下冷库</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、其他用途的地下储藏设施</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5</w:t>
            </w:r>
            <w:r>
              <w:rPr>
                <w:rFonts w:ascii="Times New Roman" w:hAnsi="Times New Roman" w:hint="eastAsia"/>
                <w:kern w:val="0"/>
                <w:sz w:val="24"/>
                <w:szCs w:val="24"/>
              </w:rPr>
              <w:t>、案例分析</w:t>
            </w:r>
          </w:p>
        </w:tc>
        <w:tc>
          <w:tcPr>
            <w:tcW w:w="2206"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、掌握地下储库的分类与布局。</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、了解地下能源储库、地下冷库和其他用途的地下储藏设施的特点</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、了解案例列出的规划实例。</w:t>
            </w:r>
          </w:p>
        </w:tc>
        <w:tc>
          <w:tcPr>
            <w:tcW w:w="350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4.3</w:t>
            </w:r>
            <w:r>
              <w:rPr>
                <w:rFonts w:ascii="Times New Roman" w:hAnsi="Times New Roman" w:hint="eastAsia"/>
                <w:kern w:val="0"/>
                <w:sz w:val="24"/>
                <w:szCs w:val="24"/>
              </w:rPr>
              <w:t>：根据土木工程专业复杂工程问题的特征，选择研究路线，设计实验方案并正确进行实验操作，正确收集、处理、分析与解释实验数据，通过信息综合获得合理有效的结论”；和“指标点</w:t>
            </w:r>
            <w:r>
              <w:rPr>
                <w:rFonts w:ascii="Times New Roman" w:hAnsi="Times New Roman" w:hint="eastAsia"/>
                <w:kern w:val="0"/>
                <w:sz w:val="24"/>
                <w:szCs w:val="24"/>
              </w:rPr>
              <w:t>5.2</w:t>
            </w:r>
            <w:r>
              <w:rPr>
                <w:rFonts w:ascii="Times New Roman" w:hAnsi="Times New Roman" w:hint="eastAsia"/>
                <w:kern w:val="0"/>
                <w:sz w:val="24"/>
                <w:szCs w:val="24"/>
              </w:rPr>
              <w:t>：能够选择与使用勘测、制图、检测、计算、设计等恰当的技术和资源，对土木工程专业复杂工程问题进行分析、计算和设计，并理解其局限性”；</w:t>
            </w:r>
          </w:p>
        </w:tc>
      </w:tr>
      <w:tr w:rsidR="00374D88" w:rsidTr="00BE5664">
        <w:trPr>
          <w:trHeight w:val="548"/>
        </w:trPr>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10</w:t>
            </w:r>
          </w:p>
        </w:tc>
        <w:tc>
          <w:tcPr>
            <w:tcW w:w="0" w:type="auto"/>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城市地下空间详细规划</w:t>
            </w:r>
          </w:p>
        </w:tc>
        <w:tc>
          <w:tcPr>
            <w:tcW w:w="0" w:type="auto"/>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2</w:t>
            </w:r>
          </w:p>
        </w:tc>
        <w:tc>
          <w:tcPr>
            <w:tcW w:w="0" w:type="auto"/>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hint="eastAsia"/>
                <w:kern w:val="0"/>
                <w:sz w:val="24"/>
                <w:szCs w:val="24"/>
              </w:rPr>
              <w:t>、城市地下空间详细规划的基本原理与方法</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、城市地下空间详细规划的编制程序</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、城市地下空间控制</w:t>
            </w:r>
            <w:r>
              <w:rPr>
                <w:rFonts w:ascii="Times New Roman" w:hAnsi="Times New Roman" w:hint="eastAsia"/>
                <w:kern w:val="0"/>
                <w:sz w:val="24"/>
                <w:szCs w:val="24"/>
              </w:rPr>
              <w:lastRenderedPageBreak/>
              <w:t>性详细规划</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、城市地下空间修建性详细规划城市地下空间城市设计</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5</w:t>
            </w:r>
            <w:r>
              <w:rPr>
                <w:rFonts w:ascii="Times New Roman" w:hAnsi="Times New Roman" w:hint="eastAsia"/>
                <w:kern w:val="0"/>
                <w:sz w:val="24"/>
                <w:szCs w:val="24"/>
              </w:rPr>
              <w:t>、案例分析</w:t>
            </w:r>
          </w:p>
        </w:tc>
        <w:tc>
          <w:tcPr>
            <w:tcW w:w="2206"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lastRenderedPageBreak/>
              <w:t>1</w:t>
            </w:r>
            <w:r>
              <w:rPr>
                <w:rFonts w:ascii="Times New Roman" w:hAnsi="Times New Roman" w:hint="eastAsia"/>
                <w:kern w:val="0"/>
                <w:sz w:val="24"/>
                <w:szCs w:val="24"/>
              </w:rPr>
              <w:t>、熟悉规划的目标任务。</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、掌握城市地下空间详细规划的编制程序。</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hint="eastAsia"/>
                <w:kern w:val="0"/>
                <w:sz w:val="24"/>
                <w:szCs w:val="24"/>
              </w:rPr>
              <w:t>、了解控规的内容框架、控制指标、表达和协调。</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hint="eastAsia"/>
                <w:kern w:val="0"/>
                <w:sz w:val="24"/>
                <w:szCs w:val="24"/>
              </w:rPr>
              <w:t>、了解地上、地下空间一体化设计的概念。</w:t>
            </w:r>
          </w:p>
        </w:tc>
        <w:tc>
          <w:tcPr>
            <w:tcW w:w="350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4.3</w:t>
            </w:r>
            <w:r>
              <w:rPr>
                <w:rFonts w:ascii="Times New Roman" w:hAnsi="Times New Roman" w:hint="eastAsia"/>
                <w:kern w:val="0"/>
                <w:sz w:val="24"/>
                <w:szCs w:val="24"/>
              </w:rPr>
              <w:t>：根据土木工程专业复杂工程问题的特征，选择研究路线，设计实验方案并正确进行实验操作，正确收集、处理、分析与解释实验数据，通过信息综合获得合理有效的结论”；和“指标点</w:t>
            </w:r>
            <w:r>
              <w:rPr>
                <w:rFonts w:ascii="Times New Roman" w:hAnsi="Times New Roman" w:hint="eastAsia"/>
                <w:kern w:val="0"/>
                <w:sz w:val="24"/>
                <w:szCs w:val="24"/>
              </w:rPr>
              <w:t>5.1</w:t>
            </w:r>
            <w:r>
              <w:rPr>
                <w:rFonts w:ascii="Times New Roman" w:hAnsi="Times New Roman" w:hint="eastAsia"/>
                <w:kern w:val="0"/>
                <w:sz w:val="24"/>
                <w:szCs w:val="24"/>
              </w:rPr>
              <w:t>：了解土木工程常用的现代仪器、工程工具、信息技术工具等的使用原理和方法，并理解其局限性”；</w:t>
            </w:r>
          </w:p>
        </w:tc>
      </w:tr>
    </w:tbl>
    <w:p w:rsidR="00374D88" w:rsidRDefault="00374D88" w:rsidP="00374D8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五、课程考核方式与成绩评定</w:t>
      </w:r>
    </w:p>
    <w:p w:rsidR="00374D88" w:rsidRDefault="00374D88" w:rsidP="00374D88">
      <w:pPr>
        <w:snapToGrid w:val="0"/>
        <w:spacing w:line="360" w:lineRule="auto"/>
        <w:ind w:firstLineChars="200" w:firstLine="560"/>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课程考核</w:t>
      </w:r>
    </w:p>
    <w:p w:rsidR="00374D88" w:rsidRDefault="00374D88" w:rsidP="00374D8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hint="eastAsia"/>
          <w:sz w:val="28"/>
          <w:szCs w:val="28"/>
        </w:rPr>
        <w:t>采用平时成绩</w:t>
      </w:r>
      <w:r>
        <w:rPr>
          <w:rFonts w:ascii="Times New Roman" w:hAnsi="Times New Roman" w:hint="eastAsia"/>
          <w:sz w:val="28"/>
          <w:szCs w:val="28"/>
        </w:rPr>
        <w:t>+</w:t>
      </w:r>
      <w:r>
        <w:rPr>
          <w:rFonts w:ascii="Times New Roman" w:hAnsi="Times New Roman" w:hint="eastAsia"/>
          <w:sz w:val="28"/>
          <w:szCs w:val="28"/>
        </w:rPr>
        <w:t>期末考试的方式来确定总评成绩。其中平时成绩占</w:t>
      </w:r>
      <w:r>
        <w:rPr>
          <w:rFonts w:ascii="Times New Roman" w:hAnsi="Times New Roman" w:hint="eastAsia"/>
          <w:sz w:val="28"/>
          <w:szCs w:val="28"/>
        </w:rPr>
        <w:t>30%</w:t>
      </w:r>
      <w:r>
        <w:rPr>
          <w:rFonts w:ascii="Times New Roman" w:hAnsi="Times New Roman" w:hint="eastAsia"/>
          <w:sz w:val="28"/>
          <w:szCs w:val="28"/>
        </w:rPr>
        <w:t>，期末考试成绩占</w:t>
      </w:r>
      <w:r>
        <w:rPr>
          <w:rFonts w:ascii="Times New Roman" w:hAnsi="Times New Roman" w:hint="eastAsia"/>
          <w:sz w:val="28"/>
          <w:szCs w:val="28"/>
        </w:rPr>
        <w:t>70%</w:t>
      </w:r>
      <w:r>
        <w:rPr>
          <w:rFonts w:ascii="Times New Roman" w:hAnsi="Times New Roman" w:hint="eastAsia"/>
          <w:sz w:val="28"/>
          <w:szCs w:val="28"/>
        </w:rPr>
        <w:t>。平时成绩考核包括作业、课堂提问、出勤等内容。</w:t>
      </w:r>
    </w:p>
    <w:p w:rsidR="00374D88" w:rsidRDefault="00374D88" w:rsidP="005F6318">
      <w:pPr>
        <w:numPr>
          <w:ilvl w:val="0"/>
          <w:numId w:val="2"/>
        </w:numPr>
        <w:spacing w:beforeLines="50" w:before="156" w:line="360" w:lineRule="auto"/>
        <w:ind w:firstLineChars="200" w:firstLine="560"/>
        <w:rPr>
          <w:rFonts w:ascii="Times New Roman" w:hAnsi="Times New Roman"/>
          <w:sz w:val="28"/>
          <w:szCs w:val="28"/>
        </w:rPr>
      </w:pPr>
      <w:r>
        <w:rPr>
          <w:rFonts w:ascii="Times New Roman" w:hAnsi="Times New Roman"/>
          <w:sz w:val="28"/>
          <w:szCs w:val="28"/>
        </w:rPr>
        <w:t>成绩评定</w:t>
      </w:r>
    </w:p>
    <w:p w:rsidR="00374D88" w:rsidRDefault="00374D88" w:rsidP="00374D88">
      <w:pPr>
        <w:spacing w:line="360" w:lineRule="auto"/>
        <w:ind w:firstLineChars="200" w:firstLine="560"/>
        <w:rPr>
          <w:sz w:val="28"/>
          <w:szCs w:val="28"/>
        </w:rPr>
      </w:pPr>
      <w:r>
        <w:rPr>
          <w:rFonts w:ascii="Times New Roman" w:hAnsi="Times New Roman"/>
          <w:sz w:val="28"/>
          <w:szCs w:val="28"/>
        </w:rPr>
        <w:t>成绩评定方式</w:t>
      </w:r>
      <w:r>
        <w:rPr>
          <w:rFonts w:ascii="Times New Roman" w:hAnsi="Times New Roman" w:hint="eastAsia"/>
          <w:sz w:val="28"/>
          <w:szCs w:val="28"/>
        </w:rPr>
        <w:t>为百分制</w:t>
      </w:r>
    </w:p>
    <w:p w:rsidR="00374D88" w:rsidRDefault="00374D88" w:rsidP="00374D88">
      <w:pPr>
        <w:spacing w:line="360" w:lineRule="auto"/>
        <w:ind w:firstLineChars="200" w:firstLine="560"/>
        <w:rPr>
          <w:sz w:val="28"/>
          <w:szCs w:val="28"/>
        </w:rPr>
      </w:pPr>
      <w:r>
        <w:rPr>
          <w:sz w:val="28"/>
          <w:szCs w:val="28"/>
        </w:rPr>
        <w:t>课程总成绩</w:t>
      </w:r>
      <w:r>
        <w:rPr>
          <w:sz w:val="28"/>
          <w:szCs w:val="28"/>
        </w:rPr>
        <w:t>=</w:t>
      </w:r>
      <w:r>
        <w:rPr>
          <w:rFonts w:hint="eastAsia"/>
          <w:sz w:val="28"/>
          <w:szCs w:val="28"/>
        </w:rPr>
        <w:t>期末成绩</w:t>
      </w:r>
      <w:r>
        <w:rPr>
          <w:rFonts w:hint="eastAsia"/>
          <w:sz w:val="28"/>
          <w:szCs w:val="28"/>
        </w:rPr>
        <w:t>70%+</w:t>
      </w:r>
      <w:r>
        <w:rPr>
          <w:rFonts w:hint="eastAsia"/>
          <w:sz w:val="28"/>
          <w:szCs w:val="28"/>
        </w:rPr>
        <w:t>平时成绩</w:t>
      </w:r>
      <w:r>
        <w:rPr>
          <w:rFonts w:hint="eastAsia"/>
          <w:sz w:val="28"/>
          <w:szCs w:val="28"/>
        </w:rPr>
        <w:t>30%</w:t>
      </w:r>
    </w:p>
    <w:p w:rsidR="00374D88" w:rsidRDefault="00374D88" w:rsidP="00374D88">
      <w:pPr>
        <w:spacing w:line="360" w:lineRule="auto"/>
        <w:ind w:firstLineChars="200" w:firstLine="560"/>
        <w:rPr>
          <w:rFonts w:ascii="Times New Roman" w:hAnsi="Times New Roman"/>
          <w:sz w:val="28"/>
          <w:szCs w:val="28"/>
        </w:rPr>
      </w:pPr>
      <w:r>
        <w:rPr>
          <w:rFonts w:ascii="Times New Roman" w:hAnsi="Times New Roman"/>
          <w:sz w:val="28"/>
          <w:szCs w:val="28"/>
        </w:rPr>
        <w:t>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4637"/>
        <w:gridCol w:w="1667"/>
      </w:tblGrid>
      <w:tr w:rsidR="00374D88" w:rsidTr="00BE5664">
        <w:trPr>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b/>
                <w:sz w:val="24"/>
                <w:szCs w:val="24"/>
              </w:rPr>
            </w:pPr>
            <w:r>
              <w:rPr>
                <w:rFonts w:ascii="Times New Roman" w:hAnsi="Times New Roman"/>
                <w:b/>
                <w:sz w:val="24"/>
                <w:szCs w:val="24"/>
              </w:rPr>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b/>
                <w:sz w:val="24"/>
                <w:szCs w:val="24"/>
              </w:rPr>
            </w:pPr>
            <w:r>
              <w:rPr>
                <w:rFonts w:ascii="Times New Roman" w:hAnsi="Times New Roman"/>
                <w:b/>
                <w:sz w:val="24"/>
                <w:szCs w:val="24"/>
              </w:rPr>
              <w:t>教学目标</w:t>
            </w:r>
          </w:p>
        </w:tc>
      </w:tr>
      <w:tr w:rsidR="00374D88" w:rsidTr="00BE5664">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b/>
                <w:sz w:val="24"/>
                <w:szCs w:val="24"/>
              </w:rPr>
            </w:pPr>
            <w:r>
              <w:rPr>
                <w:rFonts w:ascii="Times New Roman" w:hAnsi="Times New Roman"/>
                <w:b/>
                <w:sz w:val="24"/>
                <w:szCs w:val="24"/>
              </w:rPr>
              <w:t>分项比例</w:t>
            </w:r>
          </w:p>
        </w:tc>
        <w:tc>
          <w:tcPr>
            <w:tcW w:w="2795"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b/>
                <w:sz w:val="24"/>
                <w:szCs w:val="24"/>
              </w:rPr>
            </w:pPr>
            <w:r>
              <w:rPr>
                <w:rFonts w:ascii="Times New Roman" w:hAnsi="Times New Roman"/>
                <w:b/>
                <w:sz w:val="24"/>
                <w:szCs w:val="24"/>
              </w:rPr>
              <w:t>考核要求</w:t>
            </w:r>
          </w:p>
        </w:tc>
        <w:tc>
          <w:tcPr>
            <w:tcW w:w="1005" w:type="pct"/>
            <w:vMerge/>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p>
        </w:tc>
      </w:tr>
      <w:tr w:rsidR="00374D88" w:rsidTr="00BE5664">
        <w:trPr>
          <w:trHeight w:val="1500"/>
          <w:jc w:val="center"/>
        </w:trPr>
        <w:tc>
          <w:tcPr>
            <w:tcW w:w="1200"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平时成绩</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3</w:t>
            </w:r>
            <w:r>
              <w:rPr>
                <w:rFonts w:ascii="Times New Roman" w:hAnsi="Times New Roman"/>
                <w:sz w:val="24"/>
                <w:szCs w:val="24"/>
              </w:rPr>
              <w:t>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374D88" w:rsidRDefault="00374D88" w:rsidP="00BE5664">
            <w:pPr>
              <w:rPr>
                <w:rFonts w:ascii="Times New Roman" w:hAnsi="Times New Roman"/>
                <w:sz w:val="24"/>
                <w:szCs w:val="24"/>
              </w:rPr>
            </w:pPr>
            <w:r>
              <w:rPr>
                <w:rFonts w:ascii="Times New Roman" w:hAnsi="Times New Roman"/>
                <w:sz w:val="24"/>
                <w:szCs w:val="24"/>
              </w:rPr>
              <w:t>出勤统计不少于授课次数的</w:t>
            </w:r>
            <w:r>
              <w:rPr>
                <w:rFonts w:ascii="Times New Roman" w:hAnsi="Times New Roman"/>
                <w:sz w:val="24"/>
                <w:szCs w:val="24"/>
              </w:rPr>
              <w:t>2/3</w:t>
            </w:r>
            <w:r>
              <w:rPr>
                <w:rFonts w:ascii="Times New Roman" w:hAnsi="Times New Roman"/>
                <w:sz w:val="24"/>
                <w:szCs w:val="24"/>
              </w:rPr>
              <w:t>，重点考察学生的课堂表现，占</w:t>
            </w:r>
            <w:r>
              <w:rPr>
                <w:rFonts w:ascii="Times New Roman" w:hAnsi="Times New Roman"/>
                <w:sz w:val="24"/>
                <w:szCs w:val="24"/>
              </w:rPr>
              <w:t>20%</w:t>
            </w:r>
            <w:r>
              <w:rPr>
                <w:rFonts w:ascii="Times New Roman" w:hAnsi="Times New Roman"/>
                <w:sz w:val="24"/>
                <w:szCs w:val="24"/>
              </w:rPr>
              <w:t>；课后作业布置</w:t>
            </w:r>
            <w:r>
              <w:rPr>
                <w:rFonts w:ascii="Times New Roman" w:hAnsi="Times New Roman" w:hint="eastAsia"/>
                <w:sz w:val="24"/>
                <w:szCs w:val="24"/>
              </w:rPr>
              <w:t>4</w:t>
            </w:r>
            <w:r>
              <w:rPr>
                <w:rFonts w:ascii="Times New Roman" w:hAnsi="Times New Roman"/>
                <w:sz w:val="24"/>
                <w:szCs w:val="24"/>
              </w:rPr>
              <w:t>次；通过课后作业考核学生对</w:t>
            </w:r>
            <w:r>
              <w:rPr>
                <w:rFonts w:ascii="Times New Roman" w:hAnsi="Times New Roman" w:hint="eastAsia"/>
                <w:sz w:val="24"/>
                <w:szCs w:val="24"/>
              </w:rPr>
              <w:t>城市地下空间规划概念</w:t>
            </w:r>
            <w:r>
              <w:rPr>
                <w:rFonts w:ascii="Times New Roman" w:hAnsi="Times New Roman"/>
                <w:sz w:val="24"/>
                <w:szCs w:val="24"/>
              </w:rPr>
              <w:t>的</w:t>
            </w:r>
            <w:r>
              <w:rPr>
                <w:rFonts w:ascii="Times New Roman" w:hAnsi="Times New Roman" w:hint="eastAsia"/>
                <w:sz w:val="24"/>
                <w:szCs w:val="24"/>
              </w:rPr>
              <w:t>理解</w:t>
            </w:r>
            <w:r>
              <w:rPr>
                <w:rFonts w:ascii="Times New Roman" w:hAnsi="Times New Roman"/>
                <w:sz w:val="24"/>
                <w:szCs w:val="24"/>
              </w:rPr>
              <w:t>情况</w:t>
            </w:r>
            <w:r>
              <w:rPr>
                <w:rFonts w:ascii="Times New Roman" w:hAnsi="Times New Roman" w:hint="eastAsia"/>
                <w:sz w:val="24"/>
                <w:szCs w:val="24"/>
              </w:rPr>
              <w:t>及其对城市市政、交通设施和城市防灾规划基本理论的运用情况</w:t>
            </w:r>
            <w:r>
              <w:rPr>
                <w:rFonts w:ascii="Times New Roman" w:hAnsi="Times New Roman"/>
                <w:sz w:val="24"/>
                <w:szCs w:val="24"/>
              </w:rPr>
              <w:t>，占</w:t>
            </w:r>
            <w:r>
              <w:rPr>
                <w:rFonts w:ascii="Times New Roman" w:hAnsi="Times New Roman"/>
                <w:sz w:val="24"/>
                <w:szCs w:val="24"/>
              </w:rPr>
              <w:t>80%</w:t>
            </w:r>
            <w:r>
              <w:rPr>
                <w:rFonts w:ascii="Times New Roman" w:hAnsi="Times New Roman"/>
                <w:sz w:val="24"/>
                <w:szCs w:val="24"/>
              </w:rPr>
              <w:t>。</w:t>
            </w:r>
          </w:p>
        </w:tc>
        <w:tc>
          <w:tcPr>
            <w:tcW w:w="1005" w:type="pct"/>
            <w:tcBorders>
              <w:top w:val="single" w:sz="4" w:space="0" w:color="auto"/>
              <w:left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w:t>
            </w:r>
          </w:p>
        </w:tc>
      </w:tr>
      <w:tr w:rsidR="00374D88" w:rsidTr="00BE5664">
        <w:trPr>
          <w:trHeight w:val="900"/>
          <w:jc w:val="center"/>
        </w:trPr>
        <w:tc>
          <w:tcPr>
            <w:tcW w:w="1200"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lastRenderedPageBreak/>
              <w:t>期终考试</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70%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374D88" w:rsidRDefault="00374D88" w:rsidP="00BE5664">
            <w:pPr>
              <w:rPr>
                <w:rFonts w:ascii="Times New Roman" w:hAnsi="Times New Roman"/>
                <w:sz w:val="24"/>
                <w:szCs w:val="24"/>
              </w:rPr>
            </w:pPr>
            <w:r>
              <w:rPr>
                <w:rFonts w:ascii="Times New Roman" w:hAnsi="Times New Roman"/>
                <w:sz w:val="24"/>
                <w:szCs w:val="24"/>
              </w:rPr>
              <w:t>期末考试采用闭卷形式。考试范围基本涵盖所有讲授内容，考试内容主要反映学生对本课程</w:t>
            </w:r>
            <w:r>
              <w:rPr>
                <w:rFonts w:ascii="Times New Roman" w:hAnsi="Times New Roman" w:hint="eastAsia"/>
                <w:sz w:val="24"/>
                <w:szCs w:val="24"/>
              </w:rPr>
              <w:t>基本概念和设计评价</w:t>
            </w:r>
            <w:r>
              <w:rPr>
                <w:rFonts w:ascii="Times New Roman" w:hAnsi="Times New Roman"/>
                <w:sz w:val="24"/>
                <w:szCs w:val="24"/>
              </w:rPr>
              <w:t>方法等理解和掌握的程度，以及综合运用的能力。</w:t>
            </w:r>
          </w:p>
        </w:tc>
        <w:tc>
          <w:tcPr>
            <w:tcW w:w="1005" w:type="pct"/>
            <w:tcBorders>
              <w:top w:val="single" w:sz="4" w:space="0" w:color="auto"/>
              <w:left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w:t>
            </w: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p>
        </w:tc>
      </w:tr>
    </w:tbl>
    <w:p w:rsidR="00374D88" w:rsidRDefault="00374D88" w:rsidP="00374D88">
      <w:pPr>
        <w:spacing w:beforeLines="50" w:before="156" w:line="360" w:lineRule="auto"/>
        <w:ind w:left="560"/>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课程目标达成度自评方式</w:t>
      </w:r>
    </w:p>
    <w:p w:rsidR="00374D88" w:rsidRDefault="00374D88" w:rsidP="00374D8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据学院教学管理规定，在开展课程达成度评价前，课程评价审核小组对课程的评价依据合理性进行确认，包括平时作业、期终考试等考核环节。课程结束后，课程小组需要对课程进行达成度评价，课程小组由课程负责人和任课教师组成，统计课程考核数据，并填写</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城市地下空间规划理论</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报告，以便及时了解课程的达成效果，发现问题并进行持续改进，同时也为毕业要求达成度的评价提供基础数据。</w:t>
      </w:r>
    </w:p>
    <w:p w:rsidR="00374D88" w:rsidRDefault="00374D88" w:rsidP="00374D8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根据课程的考核形式，全部或抽样部分考核资料（应以当年修读该课程的学生为总体，至少抽取</w:t>
      </w:r>
      <w:r>
        <w:rPr>
          <w:rFonts w:ascii="Times New Roman" w:hAnsi="Times New Roman"/>
          <w:sz w:val="28"/>
          <w:szCs w:val="28"/>
        </w:rPr>
        <w:t>90%</w:t>
      </w:r>
      <w:r>
        <w:rPr>
          <w:rFonts w:ascii="Times New Roman" w:hAnsi="Times New Roman"/>
          <w:sz w:val="28"/>
          <w:szCs w:val="28"/>
        </w:rPr>
        <w:t>以上的学生样本），抽样时需覆盖优、良、中、及格和不及格等考核等级的考核资料。课程达成度的具体评价方法，详见</w:t>
      </w:r>
      <w:r>
        <w:rPr>
          <w:rFonts w:ascii="Times New Roman" w:hAnsi="Times New Roman"/>
          <w:sz w:val="28"/>
          <w:szCs w:val="28"/>
        </w:rPr>
        <w:t>“</w:t>
      </w:r>
      <w:r>
        <w:rPr>
          <w:rFonts w:ascii="Times New Roman" w:hAnsi="Times New Roman"/>
          <w:sz w:val="28"/>
          <w:szCs w:val="28"/>
        </w:rPr>
        <w:t>《</w:t>
      </w:r>
      <w:r>
        <w:rPr>
          <w:rFonts w:ascii="Times New Roman" w:hAnsi="Times New Roman" w:hint="eastAsia"/>
          <w:sz w:val="28"/>
          <w:szCs w:val="28"/>
        </w:rPr>
        <w:t>城市地下空间规划理论</w:t>
      </w:r>
      <w:r>
        <w:rPr>
          <w:rFonts w:ascii="Times New Roman" w:hAnsi="Times New Roman"/>
          <w:sz w:val="28"/>
          <w:szCs w:val="28"/>
        </w:rPr>
        <w:t>》课程达成情况评价</w:t>
      </w:r>
      <w:r>
        <w:rPr>
          <w:rFonts w:ascii="Times New Roman" w:hAnsi="Times New Roman"/>
          <w:sz w:val="28"/>
          <w:szCs w:val="28"/>
        </w:rPr>
        <w:t>”</w:t>
      </w:r>
      <w:r>
        <w:rPr>
          <w:rFonts w:ascii="Times New Roman" w:hAnsi="Times New Roman"/>
          <w:sz w:val="28"/>
          <w:szCs w:val="28"/>
        </w:rPr>
        <w:t>报告。课程小组提交课程达成度评价数据后，课程评价审核小组对评价数据的合理性和有效性进行审核。</w:t>
      </w:r>
    </w:p>
    <w:p w:rsidR="00374D88" w:rsidRDefault="00374D88" w:rsidP="00374D8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374D88" w:rsidRDefault="00374D88" w:rsidP="00374D88">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1.</w:t>
      </w:r>
      <w:r>
        <w:rPr>
          <w:rFonts w:ascii="Times New Roman" w:hAnsi="Times New Roman" w:hint="eastAsia"/>
          <w:sz w:val="28"/>
          <w:szCs w:val="28"/>
        </w:rPr>
        <w:t>建议教材</w:t>
      </w:r>
    </w:p>
    <w:p w:rsidR="00374D88" w:rsidRDefault="00374D88" w:rsidP="00374D88">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城市地下空间规划，朱建明、宋玉香等编著，中国水利水电出版社，</w:t>
      </w:r>
      <w:r>
        <w:rPr>
          <w:rFonts w:ascii="Times New Roman" w:hAnsi="Times New Roman" w:hint="eastAsia"/>
          <w:sz w:val="28"/>
          <w:szCs w:val="28"/>
        </w:rPr>
        <w:t>2015</w:t>
      </w:r>
      <w:r>
        <w:rPr>
          <w:rFonts w:ascii="Times New Roman" w:hAnsi="Times New Roman" w:hint="eastAsia"/>
          <w:sz w:val="28"/>
          <w:szCs w:val="28"/>
        </w:rPr>
        <w:t>年。</w:t>
      </w:r>
    </w:p>
    <w:p w:rsidR="00374D88" w:rsidRDefault="00374D88" w:rsidP="00374D88">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2.</w:t>
      </w:r>
      <w:r>
        <w:rPr>
          <w:rFonts w:ascii="Times New Roman" w:hAnsi="Times New Roman" w:hint="eastAsia"/>
          <w:sz w:val="28"/>
          <w:szCs w:val="28"/>
        </w:rPr>
        <w:t>主要参考资料</w:t>
      </w:r>
    </w:p>
    <w:p w:rsidR="00374D88" w:rsidRDefault="00374D88" w:rsidP="00374D88">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w:t>
      </w:r>
      <w:r>
        <w:rPr>
          <w:rFonts w:ascii="Times New Roman" w:hAnsi="Times New Roman" w:hint="eastAsia"/>
          <w:sz w:val="28"/>
          <w:szCs w:val="28"/>
        </w:rPr>
        <w:t>1</w:t>
      </w:r>
      <w:r>
        <w:rPr>
          <w:rFonts w:ascii="Times New Roman" w:hAnsi="Times New Roman" w:hint="eastAsia"/>
          <w:sz w:val="28"/>
          <w:szCs w:val="28"/>
        </w:rPr>
        <w:t>）城市地下空间总体规划，陈志龙，刘宏编著，东南大学出版</w:t>
      </w:r>
      <w:r>
        <w:rPr>
          <w:rFonts w:ascii="Times New Roman" w:hAnsi="Times New Roman" w:hint="eastAsia"/>
          <w:sz w:val="28"/>
          <w:szCs w:val="28"/>
        </w:rPr>
        <w:lastRenderedPageBreak/>
        <w:t>社，</w:t>
      </w:r>
      <w:r>
        <w:rPr>
          <w:rFonts w:ascii="Times New Roman" w:hAnsi="Times New Roman" w:hint="eastAsia"/>
          <w:sz w:val="28"/>
          <w:szCs w:val="28"/>
        </w:rPr>
        <w:t>2011</w:t>
      </w:r>
      <w:r>
        <w:rPr>
          <w:rFonts w:ascii="Times New Roman" w:hAnsi="Times New Roman" w:hint="eastAsia"/>
          <w:sz w:val="28"/>
          <w:szCs w:val="28"/>
        </w:rPr>
        <w:t>年。</w:t>
      </w:r>
      <w:r>
        <w:rPr>
          <w:rFonts w:ascii="Times New Roman" w:hAnsi="Times New Roman" w:hint="eastAsia"/>
          <w:sz w:val="28"/>
          <w:szCs w:val="28"/>
        </w:rPr>
        <w:t xml:space="preserve"> </w:t>
      </w:r>
    </w:p>
    <w:p w:rsidR="00374D88" w:rsidRDefault="00374D88" w:rsidP="00374D88">
      <w:pPr>
        <w:spacing w:afterLines="50" w:after="156" w:line="560" w:lineRule="exact"/>
        <w:ind w:firstLineChars="147" w:firstLine="412"/>
        <w:rPr>
          <w:rFonts w:ascii="Times New Roman" w:hAnsi="Times New Roman"/>
          <w:sz w:val="28"/>
          <w:szCs w:val="28"/>
        </w:rPr>
      </w:pPr>
      <w:r>
        <w:rPr>
          <w:rFonts w:ascii="Times New Roman" w:hAnsi="Times New Roman" w:hint="eastAsia"/>
          <w:sz w:val="28"/>
          <w:szCs w:val="28"/>
        </w:rPr>
        <w:t>（</w:t>
      </w:r>
      <w:r>
        <w:rPr>
          <w:rFonts w:ascii="Times New Roman" w:hAnsi="Times New Roman" w:hint="eastAsia"/>
          <w:sz w:val="28"/>
          <w:szCs w:val="28"/>
        </w:rPr>
        <w:t>2</w:t>
      </w:r>
      <w:r>
        <w:rPr>
          <w:rFonts w:ascii="Times New Roman" w:hAnsi="Times New Roman" w:hint="eastAsia"/>
          <w:sz w:val="28"/>
          <w:szCs w:val="28"/>
        </w:rPr>
        <w:t>）城市地下空间规划与设计，王文卿编著，东南大学出版社，</w:t>
      </w:r>
      <w:r>
        <w:rPr>
          <w:rFonts w:ascii="Times New Roman" w:hAnsi="Times New Roman" w:hint="eastAsia"/>
          <w:sz w:val="28"/>
          <w:szCs w:val="28"/>
        </w:rPr>
        <w:t>2000</w:t>
      </w:r>
      <w:r>
        <w:rPr>
          <w:rFonts w:ascii="Times New Roman" w:hAnsi="Times New Roman" w:hint="eastAsia"/>
          <w:sz w:val="28"/>
          <w:szCs w:val="28"/>
        </w:rPr>
        <w:t>年。</w:t>
      </w:r>
    </w:p>
    <w:p w:rsidR="00374D88" w:rsidRDefault="00374D88" w:rsidP="00374D88">
      <w:pPr>
        <w:spacing w:afterLines="50" w:after="156" w:line="560" w:lineRule="exact"/>
        <w:ind w:firstLineChars="147" w:firstLine="412"/>
        <w:rPr>
          <w:rFonts w:ascii="Times New Roman" w:hAnsi="Times New Roman"/>
          <w:sz w:val="28"/>
          <w:szCs w:val="28"/>
        </w:rPr>
      </w:pPr>
    </w:p>
    <w:p w:rsidR="00374D88" w:rsidRDefault="00374D88" w:rsidP="00374D88">
      <w:pPr>
        <w:spacing w:line="440" w:lineRule="exact"/>
        <w:rPr>
          <w:rFonts w:ascii="Times New Roman" w:eastAsia="黑体" w:hAnsi="Times New Roman"/>
          <w:b/>
          <w:sz w:val="28"/>
          <w:szCs w:val="28"/>
        </w:rPr>
      </w:pPr>
      <w:r>
        <w:rPr>
          <w:rFonts w:ascii="Times New Roman" w:eastAsia="黑体" w:hAnsi="Times New Roman" w:hint="eastAsia"/>
          <w:b/>
          <w:sz w:val="28"/>
          <w:szCs w:val="28"/>
        </w:rPr>
        <w:t>七</w:t>
      </w:r>
      <w:r>
        <w:rPr>
          <w:rFonts w:ascii="Times New Roman" w:eastAsia="黑体" w:hAnsi="Times New Roman"/>
          <w:b/>
          <w:sz w:val="28"/>
          <w:szCs w:val="28"/>
        </w:rPr>
        <w:t>、执行大纲应注意的问题</w:t>
      </w:r>
    </w:p>
    <w:p w:rsidR="00374D88" w:rsidRDefault="00374D88" w:rsidP="00374D88">
      <w:pPr>
        <w:adjustRightInd w:val="0"/>
        <w:snapToGrid w:val="0"/>
        <w:spacing w:line="560" w:lineRule="exact"/>
        <w:ind w:firstLineChars="200" w:firstLine="560"/>
        <w:jc w:val="left"/>
        <w:rPr>
          <w:sz w:val="28"/>
          <w:szCs w:val="28"/>
        </w:rPr>
      </w:pPr>
      <w:r>
        <w:rPr>
          <w:rFonts w:hint="eastAsia"/>
          <w:sz w:val="28"/>
          <w:szCs w:val="28"/>
        </w:rPr>
        <w:t>本课程涉及较多城市地下空间资源评价及规划相关概念，讲授过程中应结合城市地下空间开发现状，从科技检索平台及网络平台适当吸取相关典型素材，充实课程内容体系</w:t>
      </w:r>
      <w:r>
        <w:rPr>
          <w:sz w:val="28"/>
          <w:szCs w:val="28"/>
        </w:rPr>
        <w:t>。</w:t>
      </w:r>
    </w:p>
    <w:p w:rsidR="00374D88" w:rsidRDefault="00374D88" w:rsidP="00374D88">
      <w:pPr>
        <w:spacing w:line="360" w:lineRule="auto"/>
        <w:ind w:firstLineChars="1200" w:firstLine="3360"/>
        <w:rPr>
          <w:rFonts w:ascii="Times New Roman" w:eastAsia="仿宋" w:hAnsi="Times New Roman"/>
          <w:sz w:val="28"/>
          <w:szCs w:val="28"/>
        </w:rPr>
      </w:pPr>
    </w:p>
    <w:p w:rsidR="00374D88" w:rsidRDefault="00374D88" w:rsidP="00374D8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大纲撰写人：</w:t>
      </w:r>
      <w:r>
        <w:rPr>
          <w:rFonts w:ascii="Times New Roman" w:eastAsia="仿宋" w:hAnsi="Times New Roman" w:hint="eastAsia"/>
          <w:sz w:val="28"/>
          <w:szCs w:val="28"/>
        </w:rPr>
        <w:t>王启耀</w:t>
      </w:r>
    </w:p>
    <w:p w:rsidR="00374D88" w:rsidRDefault="00374D88" w:rsidP="00374D8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课程负责人：</w:t>
      </w:r>
      <w:r>
        <w:rPr>
          <w:rFonts w:ascii="Times New Roman" w:eastAsia="仿宋" w:hAnsi="Times New Roman" w:hint="eastAsia"/>
          <w:sz w:val="28"/>
          <w:szCs w:val="28"/>
        </w:rPr>
        <w:t>王启耀</w:t>
      </w:r>
    </w:p>
    <w:p w:rsidR="00374D88" w:rsidRDefault="00374D88" w:rsidP="00EE2D67">
      <w:pPr>
        <w:spacing w:line="360" w:lineRule="auto"/>
        <w:ind w:firstLineChars="1200" w:firstLine="3360"/>
        <w:rPr>
          <w:rFonts w:ascii="Times New Roman" w:hAnsi="Times New Roman"/>
          <w:sz w:val="28"/>
          <w:szCs w:val="28"/>
        </w:rPr>
      </w:pPr>
      <w:r>
        <w:rPr>
          <w:rFonts w:ascii="Times New Roman" w:eastAsia="仿宋" w:hAnsi="Times New Roman"/>
          <w:sz w:val="28"/>
          <w:szCs w:val="28"/>
        </w:rPr>
        <w:t>审核人：</w:t>
      </w:r>
      <w:r>
        <w:rPr>
          <w:rFonts w:ascii="Times New Roman" w:hAnsi="Times New Roman"/>
          <w:sz w:val="28"/>
          <w:szCs w:val="28"/>
        </w:rPr>
        <w:t xml:space="preserve"> </w:t>
      </w:r>
    </w:p>
    <w:p w:rsidR="00374D88" w:rsidRDefault="00374D88" w:rsidP="00374D88">
      <w:pPr>
        <w:jc w:val="left"/>
        <w:rPr>
          <w:rFonts w:ascii="Times New Roman" w:hAnsi="Times New Roman"/>
          <w:sz w:val="28"/>
          <w:szCs w:val="28"/>
        </w:rPr>
      </w:pPr>
      <w:r>
        <w:rPr>
          <w:rFonts w:ascii="Times New Roman" w:eastAsia="仿宋" w:hAnsi="Times New Roman"/>
          <w:sz w:val="28"/>
          <w:szCs w:val="28"/>
        </w:rPr>
        <w:t xml:space="preserve">                                        </w:t>
      </w:r>
      <w:r>
        <w:rPr>
          <w:rFonts w:ascii="Times New Roman" w:eastAsia="仿宋" w:hAnsi="Times New Roman" w:hint="eastAsia"/>
          <w:sz w:val="28"/>
          <w:szCs w:val="28"/>
        </w:rPr>
        <w:t>2021</w:t>
      </w:r>
      <w:r>
        <w:rPr>
          <w:rFonts w:ascii="Times New Roman" w:eastAsia="仿宋" w:hAnsi="Times New Roman"/>
          <w:sz w:val="28"/>
          <w:szCs w:val="28"/>
        </w:rPr>
        <w:t xml:space="preserve"> </w:t>
      </w:r>
      <w:r>
        <w:rPr>
          <w:rFonts w:ascii="Times New Roman" w:eastAsia="仿宋" w:hAnsi="Times New Roman"/>
          <w:sz w:val="28"/>
          <w:szCs w:val="28"/>
        </w:rPr>
        <w:t>年</w:t>
      </w:r>
      <w:r>
        <w:rPr>
          <w:rFonts w:ascii="Times New Roman" w:eastAsia="仿宋" w:hAnsi="Times New Roman"/>
          <w:sz w:val="28"/>
          <w:szCs w:val="28"/>
        </w:rPr>
        <w:t xml:space="preserve"> </w:t>
      </w:r>
      <w:r>
        <w:rPr>
          <w:rFonts w:ascii="Times New Roman" w:eastAsia="仿宋" w:hAnsi="Times New Roman" w:hint="eastAsia"/>
          <w:sz w:val="28"/>
          <w:szCs w:val="28"/>
        </w:rPr>
        <w:t>6</w:t>
      </w:r>
      <w:r>
        <w:rPr>
          <w:rFonts w:ascii="Times New Roman" w:eastAsia="仿宋" w:hAnsi="Times New Roman"/>
          <w:sz w:val="28"/>
          <w:szCs w:val="28"/>
        </w:rPr>
        <w:t>月</w:t>
      </w:r>
    </w:p>
    <w:p w:rsidR="00374D88" w:rsidRDefault="00374D88"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374D88" w:rsidRDefault="00374D88" w:rsidP="00374D88">
      <w:pPr>
        <w:widowControl/>
        <w:spacing w:line="360" w:lineRule="auto"/>
        <w:jc w:val="center"/>
        <w:rPr>
          <w:rFonts w:eastAsia="方正小标宋简体"/>
          <w:kern w:val="0"/>
          <w:szCs w:val="32"/>
        </w:rPr>
      </w:pPr>
      <w:r>
        <w:rPr>
          <w:rFonts w:eastAsia="方正小标宋简体" w:hint="eastAsia"/>
          <w:kern w:val="0"/>
          <w:szCs w:val="32"/>
        </w:rPr>
        <w:lastRenderedPageBreak/>
        <w:t>《岩体力学》课程教学大纲</w:t>
      </w:r>
      <w:r>
        <w:rPr>
          <w:rFonts w:eastAsia="方正小标宋简体"/>
          <w:kern w:val="0"/>
          <w:szCs w:val="32"/>
        </w:rPr>
        <w:t>  </w:t>
      </w:r>
    </w:p>
    <w:p w:rsidR="00374D88" w:rsidRDefault="00374D88" w:rsidP="005F6318">
      <w:pPr>
        <w:numPr>
          <w:ilvl w:val="0"/>
          <w:numId w:val="17"/>
        </w:numPr>
        <w:snapToGrid w:val="0"/>
        <w:spacing w:line="360" w:lineRule="auto"/>
        <w:ind w:left="0" w:firstLine="0"/>
        <w:rPr>
          <w:rFonts w:eastAsia="黑体"/>
          <w:b/>
          <w:sz w:val="28"/>
          <w:szCs w:val="28"/>
        </w:rPr>
      </w:pPr>
      <w:r>
        <w:rPr>
          <w:rFonts w:eastAsia="黑体"/>
          <w:b/>
          <w:sz w:val="28"/>
          <w:szCs w:val="28"/>
        </w:rPr>
        <w:t>课程基本信息</w:t>
      </w:r>
    </w:p>
    <w:p w:rsidR="00374D88" w:rsidRDefault="00374D88" w:rsidP="00374D88">
      <w:pPr>
        <w:autoSpaceDE w:val="0"/>
        <w:autoSpaceDN w:val="0"/>
        <w:adjustRightInd w:val="0"/>
        <w:spacing w:line="360" w:lineRule="auto"/>
        <w:ind w:firstLineChars="152" w:firstLine="426"/>
        <w:jc w:val="left"/>
        <w:rPr>
          <w:rFonts w:ascii="仿宋" w:eastAsia="仿宋" w:hAnsi="仿宋"/>
          <w:sz w:val="28"/>
          <w:szCs w:val="28"/>
        </w:rPr>
      </w:pPr>
      <w:r>
        <w:rPr>
          <w:rFonts w:ascii="仿宋" w:eastAsia="仿宋" w:hAnsi="仿宋" w:hint="eastAsia"/>
          <w:sz w:val="28"/>
          <w:szCs w:val="28"/>
        </w:rPr>
        <w:t>课程编码：</w:t>
      </w:r>
      <w:r>
        <w:rPr>
          <w:rFonts w:ascii="仿宋" w:eastAsia="仿宋" w:hAnsi="仿宋"/>
          <w:sz w:val="28"/>
          <w:szCs w:val="28"/>
        </w:rPr>
        <w:t>Z</w:t>
      </w:r>
      <w:r>
        <w:rPr>
          <w:rFonts w:ascii="仿宋" w:eastAsia="仿宋" w:hAnsi="仿宋" w:hint="eastAsia"/>
          <w:sz w:val="28"/>
          <w:szCs w:val="28"/>
        </w:rPr>
        <w:t>2803090</w:t>
      </w:r>
    </w:p>
    <w:p w:rsidR="00374D88" w:rsidRDefault="00374D88" w:rsidP="00374D88">
      <w:pPr>
        <w:autoSpaceDE w:val="0"/>
        <w:autoSpaceDN w:val="0"/>
        <w:adjustRightInd w:val="0"/>
        <w:spacing w:line="360" w:lineRule="auto"/>
        <w:ind w:firstLineChars="152" w:firstLine="426"/>
        <w:jc w:val="left"/>
        <w:rPr>
          <w:rFonts w:ascii="仿宋" w:eastAsia="仿宋" w:hAnsi="仿宋"/>
          <w:sz w:val="28"/>
          <w:szCs w:val="28"/>
        </w:rPr>
      </w:pPr>
      <w:r>
        <w:rPr>
          <w:rFonts w:ascii="仿宋" w:eastAsia="仿宋" w:hAnsi="仿宋" w:hint="eastAsia"/>
          <w:sz w:val="28"/>
          <w:szCs w:val="28"/>
        </w:rPr>
        <w:t>英文名称：Rock</w:t>
      </w:r>
      <w:r>
        <w:rPr>
          <w:rFonts w:ascii="仿宋" w:eastAsia="仿宋" w:hAnsi="仿宋"/>
          <w:sz w:val="28"/>
          <w:szCs w:val="28"/>
        </w:rPr>
        <w:t xml:space="preserve"> Mechanics</w:t>
      </w:r>
    </w:p>
    <w:p w:rsidR="00374D88" w:rsidRDefault="00374D88" w:rsidP="00374D88">
      <w:pPr>
        <w:autoSpaceDE w:val="0"/>
        <w:autoSpaceDN w:val="0"/>
        <w:adjustRightInd w:val="0"/>
        <w:spacing w:line="360" w:lineRule="auto"/>
        <w:ind w:firstLineChars="152" w:firstLine="426"/>
        <w:jc w:val="left"/>
        <w:rPr>
          <w:rFonts w:ascii="仿宋" w:eastAsia="仿宋" w:hAnsi="仿宋"/>
          <w:sz w:val="28"/>
          <w:szCs w:val="28"/>
        </w:rPr>
      </w:pPr>
      <w:r>
        <w:rPr>
          <w:rFonts w:ascii="仿宋" w:eastAsia="仿宋" w:hAnsi="仿宋" w:hint="eastAsia"/>
          <w:sz w:val="28"/>
          <w:szCs w:val="28"/>
        </w:rPr>
        <w:t>授课语言：中文</w:t>
      </w:r>
    </w:p>
    <w:p w:rsidR="00374D88" w:rsidRDefault="00374D88" w:rsidP="00374D88">
      <w:pPr>
        <w:autoSpaceDE w:val="0"/>
        <w:autoSpaceDN w:val="0"/>
        <w:adjustRightInd w:val="0"/>
        <w:spacing w:line="360" w:lineRule="auto"/>
        <w:ind w:firstLineChars="152" w:firstLine="426"/>
        <w:jc w:val="left"/>
        <w:rPr>
          <w:rFonts w:ascii="仿宋" w:eastAsia="仿宋" w:hAnsi="仿宋"/>
          <w:sz w:val="28"/>
          <w:szCs w:val="28"/>
        </w:rPr>
      </w:pPr>
      <w:r>
        <w:rPr>
          <w:rFonts w:ascii="仿宋" w:eastAsia="仿宋" w:hAnsi="仿宋" w:hint="eastAsia"/>
          <w:sz w:val="28"/>
          <w:szCs w:val="28"/>
        </w:rPr>
        <w:t>授课方式：线下</w:t>
      </w:r>
    </w:p>
    <w:p w:rsidR="00374D88" w:rsidRDefault="00374D88" w:rsidP="00374D88">
      <w:pPr>
        <w:autoSpaceDE w:val="0"/>
        <w:autoSpaceDN w:val="0"/>
        <w:adjustRightInd w:val="0"/>
        <w:spacing w:line="360" w:lineRule="auto"/>
        <w:ind w:firstLineChars="152" w:firstLine="426"/>
        <w:jc w:val="left"/>
        <w:rPr>
          <w:rFonts w:ascii="仿宋" w:eastAsia="仿宋" w:hAnsi="仿宋"/>
          <w:sz w:val="28"/>
          <w:szCs w:val="28"/>
        </w:rPr>
      </w:pPr>
      <w:r>
        <w:rPr>
          <w:rFonts w:ascii="仿宋" w:eastAsia="仿宋" w:hAnsi="仿宋" w:hint="eastAsia"/>
          <w:sz w:val="28"/>
          <w:szCs w:val="28"/>
        </w:rPr>
        <w:t>课程类别：学科基础</w:t>
      </w:r>
    </w:p>
    <w:p w:rsidR="00374D88" w:rsidRDefault="00374D88" w:rsidP="00374D88">
      <w:pPr>
        <w:autoSpaceDE w:val="0"/>
        <w:autoSpaceDN w:val="0"/>
        <w:adjustRightInd w:val="0"/>
        <w:spacing w:line="360" w:lineRule="auto"/>
        <w:ind w:firstLineChars="152" w:firstLine="426"/>
        <w:jc w:val="left"/>
        <w:rPr>
          <w:rFonts w:ascii="仿宋" w:eastAsia="仿宋" w:hAnsi="仿宋"/>
          <w:sz w:val="28"/>
          <w:szCs w:val="28"/>
        </w:rPr>
      </w:pPr>
      <w:r>
        <w:rPr>
          <w:rFonts w:ascii="仿宋" w:eastAsia="仿宋" w:hAnsi="仿宋" w:hint="eastAsia"/>
          <w:sz w:val="28"/>
          <w:szCs w:val="28"/>
        </w:rPr>
        <w:t>课程性质：必修</w:t>
      </w:r>
    </w:p>
    <w:p w:rsidR="00374D88" w:rsidRDefault="00374D88" w:rsidP="00374D88">
      <w:pPr>
        <w:autoSpaceDE w:val="0"/>
        <w:autoSpaceDN w:val="0"/>
        <w:adjustRightInd w:val="0"/>
        <w:spacing w:line="360" w:lineRule="auto"/>
        <w:ind w:firstLineChars="152" w:firstLine="426"/>
        <w:jc w:val="left"/>
        <w:rPr>
          <w:rFonts w:ascii="仿宋" w:eastAsia="仿宋" w:hAnsi="仿宋"/>
          <w:sz w:val="28"/>
          <w:szCs w:val="28"/>
        </w:rPr>
      </w:pPr>
      <w:r>
        <w:rPr>
          <w:rFonts w:ascii="仿宋" w:eastAsia="仿宋" w:hAnsi="仿宋" w:hint="eastAsia"/>
          <w:sz w:val="28"/>
          <w:szCs w:val="28"/>
        </w:rPr>
        <w:t>学</w:t>
      </w:r>
      <w:r>
        <w:rPr>
          <w:rFonts w:ascii="仿宋" w:eastAsia="仿宋" w:hAnsi="仿宋"/>
          <w:sz w:val="28"/>
          <w:szCs w:val="28"/>
        </w:rPr>
        <w:t xml:space="preserve"> </w:t>
      </w:r>
      <w:r>
        <w:rPr>
          <w:rFonts w:ascii="仿宋" w:eastAsia="仿宋" w:hAnsi="仿宋" w:hint="eastAsia"/>
          <w:sz w:val="28"/>
          <w:szCs w:val="28"/>
        </w:rPr>
        <w:t>分：</w:t>
      </w:r>
      <w:r>
        <w:rPr>
          <w:rFonts w:ascii="仿宋" w:eastAsia="仿宋" w:hAnsi="仿宋"/>
          <w:sz w:val="28"/>
          <w:szCs w:val="28"/>
        </w:rPr>
        <w:t>1.5</w:t>
      </w:r>
    </w:p>
    <w:p w:rsidR="00374D88" w:rsidRDefault="00374D88" w:rsidP="00374D88">
      <w:pPr>
        <w:autoSpaceDE w:val="0"/>
        <w:autoSpaceDN w:val="0"/>
        <w:adjustRightInd w:val="0"/>
        <w:spacing w:line="360" w:lineRule="auto"/>
        <w:ind w:firstLineChars="152" w:firstLine="426"/>
        <w:jc w:val="left"/>
        <w:rPr>
          <w:rFonts w:ascii="仿宋" w:eastAsia="仿宋" w:hAnsi="仿宋"/>
          <w:sz w:val="28"/>
          <w:szCs w:val="28"/>
        </w:rPr>
      </w:pPr>
      <w:r>
        <w:rPr>
          <w:rFonts w:ascii="仿宋" w:eastAsia="仿宋" w:hAnsi="仿宋" w:hint="eastAsia"/>
          <w:sz w:val="28"/>
          <w:szCs w:val="28"/>
        </w:rPr>
        <w:t>学</w:t>
      </w:r>
      <w:r>
        <w:rPr>
          <w:rFonts w:ascii="仿宋" w:eastAsia="仿宋" w:hAnsi="仿宋"/>
          <w:sz w:val="28"/>
          <w:szCs w:val="28"/>
        </w:rPr>
        <w:t xml:space="preserve"> </w:t>
      </w:r>
      <w:r>
        <w:rPr>
          <w:rFonts w:ascii="仿宋" w:eastAsia="仿宋" w:hAnsi="仿宋" w:hint="eastAsia"/>
          <w:sz w:val="28"/>
          <w:szCs w:val="28"/>
        </w:rPr>
        <w:t>时：</w:t>
      </w:r>
      <w:r>
        <w:rPr>
          <w:rFonts w:ascii="仿宋" w:eastAsia="仿宋" w:hAnsi="仿宋"/>
          <w:sz w:val="28"/>
          <w:szCs w:val="28"/>
        </w:rPr>
        <w:t xml:space="preserve">24 </w:t>
      </w:r>
      <w:r>
        <w:rPr>
          <w:rFonts w:ascii="仿宋" w:eastAsia="仿宋" w:hAnsi="仿宋" w:hint="eastAsia"/>
          <w:sz w:val="28"/>
          <w:szCs w:val="28"/>
        </w:rPr>
        <w:t>学时（授课</w:t>
      </w:r>
      <w:r>
        <w:rPr>
          <w:rFonts w:ascii="仿宋" w:eastAsia="仿宋" w:hAnsi="仿宋"/>
          <w:sz w:val="28"/>
          <w:szCs w:val="28"/>
        </w:rPr>
        <w:t>24</w:t>
      </w:r>
      <w:r>
        <w:rPr>
          <w:rFonts w:ascii="仿宋" w:eastAsia="仿宋" w:hAnsi="仿宋" w:hint="eastAsia"/>
          <w:sz w:val="28"/>
          <w:szCs w:val="28"/>
        </w:rPr>
        <w:t>学时）</w:t>
      </w:r>
    </w:p>
    <w:p w:rsidR="00374D88" w:rsidRDefault="00374D88" w:rsidP="00374D88">
      <w:pPr>
        <w:autoSpaceDE w:val="0"/>
        <w:autoSpaceDN w:val="0"/>
        <w:adjustRightInd w:val="0"/>
        <w:spacing w:line="360" w:lineRule="auto"/>
        <w:ind w:firstLineChars="152" w:firstLine="426"/>
        <w:jc w:val="left"/>
        <w:rPr>
          <w:rFonts w:ascii="仿宋" w:eastAsia="仿宋" w:hAnsi="仿宋"/>
          <w:sz w:val="28"/>
          <w:szCs w:val="28"/>
        </w:rPr>
      </w:pPr>
      <w:r>
        <w:rPr>
          <w:rFonts w:ascii="仿宋" w:eastAsia="仿宋" w:hAnsi="仿宋" w:hint="eastAsia"/>
          <w:sz w:val="28"/>
          <w:szCs w:val="28"/>
        </w:rPr>
        <w:t>适用对象：土木工程专业（城市地下空间方向）</w:t>
      </w:r>
    </w:p>
    <w:p w:rsidR="00374D88" w:rsidRDefault="00374D88" w:rsidP="00374D88">
      <w:pPr>
        <w:autoSpaceDE w:val="0"/>
        <w:autoSpaceDN w:val="0"/>
        <w:adjustRightInd w:val="0"/>
        <w:spacing w:line="360" w:lineRule="auto"/>
        <w:ind w:firstLineChars="152" w:firstLine="426"/>
        <w:jc w:val="left"/>
        <w:rPr>
          <w:rFonts w:ascii="仿宋" w:eastAsia="仿宋" w:hAnsi="仿宋"/>
          <w:sz w:val="28"/>
          <w:szCs w:val="28"/>
        </w:rPr>
      </w:pPr>
      <w:r>
        <w:rPr>
          <w:rFonts w:ascii="仿宋" w:eastAsia="仿宋" w:hAnsi="仿宋" w:hint="eastAsia"/>
          <w:sz w:val="28"/>
          <w:szCs w:val="28"/>
        </w:rPr>
        <w:t>先修课程：材料力学、弹性力学、土木工程地质学、土力学。</w:t>
      </w:r>
    </w:p>
    <w:p w:rsidR="00374D88" w:rsidRDefault="00374D88" w:rsidP="00374D88">
      <w:pPr>
        <w:spacing w:line="360" w:lineRule="auto"/>
        <w:ind w:firstLineChars="152" w:firstLine="426"/>
        <w:rPr>
          <w:rFonts w:ascii="仿宋" w:eastAsia="仿宋" w:hAnsi="仿宋"/>
          <w:sz w:val="28"/>
          <w:szCs w:val="28"/>
        </w:rPr>
      </w:pPr>
      <w:r>
        <w:rPr>
          <w:rFonts w:ascii="仿宋" w:eastAsia="仿宋" w:hAnsi="仿宋" w:hint="eastAsia"/>
          <w:sz w:val="28"/>
          <w:szCs w:val="28"/>
        </w:rPr>
        <w:t>开课院系：建筑工程学院地基基础教研室</w:t>
      </w:r>
    </w:p>
    <w:p w:rsidR="00374D88" w:rsidRDefault="00374D88" w:rsidP="00374D88">
      <w:pPr>
        <w:snapToGrid w:val="0"/>
        <w:spacing w:line="360" w:lineRule="auto"/>
        <w:rPr>
          <w:rFonts w:eastAsia="黑体"/>
          <w:b/>
          <w:sz w:val="28"/>
          <w:szCs w:val="28"/>
        </w:rPr>
      </w:pPr>
      <w:r>
        <w:rPr>
          <w:rFonts w:eastAsia="黑体"/>
          <w:b/>
          <w:sz w:val="28"/>
          <w:szCs w:val="28"/>
        </w:rPr>
        <w:t>二、课程</w:t>
      </w:r>
      <w:r>
        <w:rPr>
          <w:rFonts w:eastAsia="黑体" w:hint="eastAsia"/>
          <w:b/>
          <w:sz w:val="28"/>
          <w:szCs w:val="28"/>
        </w:rPr>
        <w:t>简介</w:t>
      </w:r>
    </w:p>
    <w:p w:rsidR="00374D88" w:rsidRDefault="00374D88" w:rsidP="00374D88">
      <w:pPr>
        <w:pStyle w:val="a5"/>
        <w:spacing w:after="0" w:line="360" w:lineRule="auto"/>
        <w:ind w:leftChars="0" w:left="0" w:firstLine="560"/>
        <w:rPr>
          <w:rFonts w:ascii="仿宋" w:eastAsia="仿宋" w:hAnsi="仿宋"/>
          <w:sz w:val="28"/>
          <w:szCs w:val="28"/>
        </w:rPr>
      </w:pPr>
      <w:r>
        <w:rPr>
          <w:rFonts w:ascii="仿宋" w:eastAsia="仿宋" w:hAnsi="仿宋"/>
          <w:sz w:val="28"/>
          <w:szCs w:val="28"/>
        </w:rPr>
        <w:t>《</w:t>
      </w:r>
      <w:r>
        <w:rPr>
          <w:rFonts w:ascii="仿宋" w:eastAsia="仿宋" w:hAnsi="仿宋" w:hint="eastAsia"/>
          <w:sz w:val="28"/>
          <w:szCs w:val="28"/>
        </w:rPr>
        <w:t>岩体</w:t>
      </w:r>
      <w:r>
        <w:rPr>
          <w:rFonts w:ascii="仿宋" w:eastAsia="仿宋" w:hAnsi="仿宋"/>
          <w:sz w:val="28"/>
          <w:szCs w:val="28"/>
        </w:rPr>
        <w:t>力学》</w:t>
      </w:r>
      <w:r>
        <w:rPr>
          <w:rFonts w:ascii="仿宋" w:eastAsia="仿宋" w:hAnsi="仿宋" w:hint="eastAsia"/>
          <w:sz w:val="28"/>
          <w:szCs w:val="28"/>
        </w:rPr>
        <w:t>是土木工程专业城市地下空间工程方向的专业发展课，课程的任务是使学生学习岩体工程的基本特点，掌握岩体力学的基础知识，掌握岩石和结构面各自力学变形的计算方法，了解岩体力学在地下工程中的应用，以便在今后的工程实践中能正确开展相关问题的分析和计算</w:t>
      </w:r>
      <w:r>
        <w:rPr>
          <w:rFonts w:ascii="仿宋" w:eastAsia="仿宋" w:hAnsi="仿宋"/>
          <w:sz w:val="28"/>
          <w:szCs w:val="28"/>
        </w:rPr>
        <w:t>。</w:t>
      </w:r>
    </w:p>
    <w:p w:rsidR="00374D88" w:rsidRDefault="00374D88" w:rsidP="00374D88">
      <w:pPr>
        <w:snapToGrid w:val="0"/>
        <w:spacing w:line="360" w:lineRule="auto"/>
        <w:rPr>
          <w:rFonts w:eastAsia="黑体"/>
          <w:b/>
          <w:sz w:val="28"/>
          <w:szCs w:val="28"/>
        </w:rPr>
      </w:pPr>
      <w:r>
        <w:rPr>
          <w:rFonts w:eastAsia="黑体"/>
          <w:b/>
          <w:sz w:val="28"/>
          <w:szCs w:val="28"/>
        </w:rPr>
        <w:t>三、</w:t>
      </w:r>
      <w:r>
        <w:rPr>
          <w:rFonts w:eastAsia="黑体" w:hint="eastAsia"/>
          <w:b/>
          <w:sz w:val="28"/>
          <w:szCs w:val="28"/>
        </w:rPr>
        <w:t>课程任务、目标与要求</w:t>
      </w:r>
    </w:p>
    <w:p w:rsidR="00374D88" w:rsidRDefault="00374D88" w:rsidP="00374D88">
      <w:pPr>
        <w:snapToGrid w:val="0"/>
        <w:spacing w:line="360" w:lineRule="auto"/>
        <w:ind w:firstLine="329"/>
        <w:rPr>
          <w:rFonts w:eastAsia="黑体"/>
          <w:b/>
          <w:sz w:val="28"/>
          <w:szCs w:val="28"/>
        </w:rPr>
      </w:pPr>
      <w:r>
        <w:rPr>
          <w:rFonts w:hint="eastAsia"/>
          <w:sz w:val="28"/>
          <w:szCs w:val="28"/>
        </w:rPr>
        <w:t>1</w:t>
      </w:r>
      <w:r>
        <w:rPr>
          <w:sz w:val="28"/>
          <w:szCs w:val="28"/>
        </w:rPr>
        <w:t>.</w:t>
      </w:r>
      <w:r>
        <w:rPr>
          <w:rFonts w:hint="eastAsia"/>
          <w:sz w:val="28"/>
          <w:szCs w:val="28"/>
        </w:rPr>
        <w:t>课程任务</w:t>
      </w:r>
    </w:p>
    <w:p w:rsidR="00374D88" w:rsidRDefault="00374D88" w:rsidP="00374D88">
      <w:pPr>
        <w:spacing w:line="360" w:lineRule="auto"/>
        <w:ind w:firstLineChars="200" w:firstLine="560"/>
        <w:rPr>
          <w:rFonts w:ascii="仿宋" w:eastAsia="仿宋" w:hAnsi="仿宋"/>
          <w:sz w:val="28"/>
          <w:szCs w:val="28"/>
        </w:rPr>
      </w:pPr>
      <w:r>
        <w:rPr>
          <w:rFonts w:ascii="仿宋" w:eastAsia="仿宋" w:hAnsi="仿宋"/>
          <w:sz w:val="28"/>
          <w:szCs w:val="28"/>
        </w:rPr>
        <w:t>通过本课程的理论教学，使学生</w:t>
      </w:r>
      <w:r>
        <w:rPr>
          <w:rFonts w:ascii="仿宋" w:eastAsia="仿宋" w:hAnsi="仿宋" w:hint="eastAsia"/>
          <w:sz w:val="28"/>
          <w:szCs w:val="28"/>
        </w:rPr>
        <w:t>掌握岩石和岩体的基本物理力学性质，熟悉岩体的基本力学性能，掌握岩体的分类原则和标准，同时</w:t>
      </w:r>
      <w:r>
        <w:rPr>
          <w:rFonts w:ascii="仿宋" w:eastAsia="仿宋" w:hAnsi="仿宋" w:hint="eastAsia"/>
          <w:sz w:val="28"/>
          <w:szCs w:val="28"/>
        </w:rPr>
        <w:lastRenderedPageBreak/>
        <w:t>了解岩体中初始地应力的规律和测量。</w:t>
      </w:r>
    </w:p>
    <w:p w:rsidR="00374D88" w:rsidRDefault="00374D88" w:rsidP="00374D88">
      <w:pPr>
        <w:spacing w:line="360"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w:t>
      </w:r>
      <w:r>
        <w:rPr>
          <w:rFonts w:hint="eastAsia"/>
        </w:rPr>
        <w:t xml:space="preserve"> </w:t>
      </w:r>
      <w:r>
        <w:rPr>
          <w:rFonts w:ascii="仿宋" w:eastAsia="仿宋" w:hAnsi="仿宋" w:hint="eastAsia"/>
          <w:sz w:val="28"/>
          <w:szCs w:val="28"/>
        </w:rPr>
        <w:t>课程基本要求</w:t>
      </w:r>
    </w:p>
    <w:p w:rsidR="00374D88" w:rsidRDefault="00374D88" w:rsidP="00374D88">
      <w:pPr>
        <w:spacing w:line="360" w:lineRule="auto"/>
        <w:ind w:firstLineChars="200" w:firstLine="560"/>
        <w:rPr>
          <w:rFonts w:ascii="仿宋" w:eastAsia="仿宋" w:hAnsi="仿宋"/>
          <w:sz w:val="28"/>
          <w:szCs w:val="28"/>
        </w:rPr>
      </w:pPr>
      <w:r>
        <w:rPr>
          <w:rFonts w:ascii="仿宋" w:eastAsia="仿宋" w:hAnsi="仿宋" w:hint="eastAsia"/>
          <w:sz w:val="28"/>
          <w:szCs w:val="28"/>
        </w:rPr>
        <w:t>2.1课程目标</w:t>
      </w:r>
    </w:p>
    <w:p w:rsidR="00374D88" w:rsidRDefault="00374D88" w:rsidP="00374D88">
      <w:pPr>
        <w:spacing w:line="360" w:lineRule="auto"/>
        <w:ind w:firstLineChars="200" w:firstLine="560"/>
        <w:rPr>
          <w:rFonts w:ascii="仿宋" w:eastAsia="仿宋" w:hAnsi="仿宋"/>
          <w:sz w:val="28"/>
          <w:szCs w:val="28"/>
        </w:rPr>
      </w:pPr>
      <w:r>
        <w:rPr>
          <w:rFonts w:ascii="仿宋" w:eastAsia="仿宋" w:hAnsi="仿宋"/>
          <w:sz w:val="28"/>
          <w:szCs w:val="28"/>
        </w:rPr>
        <w:t>教学目标</w:t>
      </w:r>
      <w:r>
        <w:rPr>
          <w:rFonts w:ascii="仿宋" w:eastAsia="仿宋" w:hAnsi="仿宋" w:hint="eastAsia"/>
          <w:sz w:val="28"/>
          <w:szCs w:val="28"/>
        </w:rPr>
        <w:t>具体要求</w:t>
      </w:r>
      <w:r>
        <w:rPr>
          <w:rFonts w:ascii="仿宋" w:eastAsia="仿宋" w:hAnsi="仿宋"/>
          <w:sz w:val="28"/>
          <w:szCs w:val="28"/>
        </w:rPr>
        <w:t>如下：</w:t>
      </w:r>
    </w:p>
    <w:p w:rsidR="00374D88" w:rsidRDefault="00374D88" w:rsidP="00374D88">
      <w:pPr>
        <w:pStyle w:val="aa"/>
        <w:shd w:val="clear" w:color="auto" w:fill="FFFFFF"/>
        <w:spacing w:before="0" w:beforeAutospacing="0" w:after="0" w:line="360" w:lineRule="auto"/>
        <w:ind w:firstLineChars="202" w:firstLine="566"/>
        <w:rPr>
          <w:rFonts w:ascii="仿宋" w:eastAsia="仿宋" w:hAnsi="仿宋"/>
          <w:color w:val="000000"/>
          <w:sz w:val="28"/>
          <w:szCs w:val="28"/>
        </w:rPr>
      </w:pPr>
      <w:r>
        <w:rPr>
          <w:rFonts w:ascii="仿宋" w:eastAsia="仿宋" w:hAnsi="仿宋" w:hint="eastAsia"/>
          <w:color w:val="000000"/>
          <w:sz w:val="28"/>
          <w:szCs w:val="28"/>
        </w:rPr>
        <w:t>（1）了解岩体力学包括的学习内容，掌握岩体力学的力学特征；掌握岩石的基本物理力学性质，包括物理性质、强度特性、变形特性和强度特性。</w:t>
      </w:r>
    </w:p>
    <w:p w:rsidR="00374D88" w:rsidRDefault="00374D88" w:rsidP="00374D88">
      <w:pPr>
        <w:pStyle w:val="aa"/>
        <w:shd w:val="clear" w:color="auto" w:fill="FFFFFF"/>
        <w:spacing w:before="0" w:beforeAutospacing="0" w:after="0" w:line="360" w:lineRule="auto"/>
        <w:ind w:firstLineChars="202" w:firstLine="566"/>
        <w:rPr>
          <w:rFonts w:ascii="仿宋" w:eastAsia="仿宋" w:hAnsi="仿宋"/>
          <w:color w:val="000000"/>
          <w:sz w:val="28"/>
          <w:szCs w:val="28"/>
        </w:rPr>
      </w:pPr>
      <w:r>
        <w:rPr>
          <w:rFonts w:ascii="仿宋" w:eastAsia="仿宋" w:hAnsi="仿宋" w:hint="eastAsia"/>
          <w:color w:val="000000"/>
          <w:sz w:val="28"/>
          <w:szCs w:val="28"/>
        </w:rPr>
        <w:t>（2）了解岩体的动力学性质，掌握隧道的基本力学性能，包括结构面的变形与强度特性、结构面的力学效应、岩体的破坏过程以及岩体的应力应变分析，熟悉岩体力学性能的现场测试方法。</w:t>
      </w:r>
    </w:p>
    <w:p w:rsidR="00374D88" w:rsidRDefault="00374D88" w:rsidP="00374D88">
      <w:pPr>
        <w:pStyle w:val="aa"/>
        <w:shd w:val="clear" w:color="auto" w:fill="FFFFFF"/>
        <w:spacing w:before="0" w:beforeAutospacing="0" w:after="0" w:line="360" w:lineRule="auto"/>
        <w:ind w:firstLineChars="202" w:firstLine="566"/>
        <w:rPr>
          <w:rFonts w:ascii="仿宋" w:eastAsia="仿宋" w:hAnsi="仿宋"/>
          <w:color w:val="000000"/>
          <w:sz w:val="28"/>
          <w:szCs w:val="28"/>
        </w:rPr>
      </w:pPr>
      <w:r>
        <w:rPr>
          <w:rFonts w:ascii="仿宋" w:eastAsia="仿宋" w:hAnsi="仿宋" w:hint="eastAsia"/>
          <w:color w:val="000000"/>
          <w:sz w:val="28"/>
          <w:szCs w:val="28"/>
        </w:rPr>
        <w:t>（3）掌握隧道围岩的分类标准和分类细节，掌握我国岩土分级标准的技术细节，并进行应用，了解岩体初始应力场的分布规律、测量方法和影响因素。</w:t>
      </w:r>
    </w:p>
    <w:p w:rsidR="00374D88" w:rsidRDefault="00374D88" w:rsidP="00374D88">
      <w:pPr>
        <w:pStyle w:val="aa"/>
        <w:shd w:val="clear" w:color="auto" w:fill="FFFFFF"/>
        <w:spacing w:before="0" w:beforeAutospacing="0" w:after="0" w:line="360" w:lineRule="auto"/>
        <w:ind w:firstLineChars="202" w:firstLine="566"/>
        <w:rPr>
          <w:rFonts w:ascii="仿宋" w:eastAsia="仿宋" w:hAnsi="仿宋"/>
          <w:color w:val="000000"/>
          <w:sz w:val="28"/>
          <w:szCs w:val="28"/>
        </w:rPr>
      </w:pPr>
      <w:r>
        <w:rPr>
          <w:rFonts w:ascii="仿宋" w:eastAsia="仿宋" w:hAnsi="仿宋" w:hint="eastAsia"/>
          <w:color w:val="000000"/>
          <w:sz w:val="28"/>
          <w:szCs w:val="28"/>
        </w:rPr>
        <w:t>2</w:t>
      </w:r>
      <w:r>
        <w:rPr>
          <w:rFonts w:ascii="仿宋" w:eastAsia="仿宋" w:hAnsi="仿宋"/>
          <w:color w:val="000000"/>
          <w:sz w:val="28"/>
          <w:szCs w:val="28"/>
        </w:rPr>
        <w:t xml:space="preserve">.2 </w:t>
      </w:r>
      <w:r>
        <w:rPr>
          <w:rFonts w:ascii="仿宋" w:eastAsia="仿宋" w:hAnsi="仿宋" w:hint="eastAsia"/>
          <w:color w:val="000000"/>
          <w:sz w:val="28"/>
          <w:szCs w:val="28"/>
        </w:rPr>
        <w:t>课程目标与毕业要求之间的对应关系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4251"/>
        <w:gridCol w:w="819"/>
        <w:gridCol w:w="7"/>
        <w:gridCol w:w="812"/>
        <w:gridCol w:w="819"/>
      </w:tblGrid>
      <w:tr w:rsidR="00374D88" w:rsidTr="00BE5664">
        <w:trPr>
          <w:trHeight w:val="251"/>
        </w:trPr>
        <w:tc>
          <w:tcPr>
            <w:tcW w:w="3558" w:type="pct"/>
            <w:gridSpan w:val="2"/>
            <w:vMerge w:val="restart"/>
            <w:tcBorders>
              <w:top w:val="single" w:sz="4" w:space="0" w:color="auto"/>
              <w:left w:val="single" w:sz="4" w:space="0" w:color="auto"/>
              <w:right w:val="single" w:sz="4" w:space="0" w:color="auto"/>
            </w:tcBorders>
            <w:vAlign w:val="center"/>
          </w:tcPr>
          <w:p w:rsidR="00374D88" w:rsidRDefault="00374D88" w:rsidP="00BE5664">
            <w:pPr>
              <w:jc w:val="center"/>
              <w:rPr>
                <w:rFonts w:ascii="仿宋" w:eastAsia="仿宋" w:hAnsi="仿宋"/>
                <w:b/>
                <w:sz w:val="24"/>
              </w:rPr>
            </w:pPr>
            <w:r>
              <w:rPr>
                <w:rFonts w:ascii="仿宋" w:eastAsia="仿宋" w:hAnsi="仿宋"/>
                <w:b/>
                <w:sz w:val="24"/>
              </w:rPr>
              <w:t>毕业要求</w:t>
            </w:r>
            <w:r>
              <w:rPr>
                <w:rFonts w:ascii="仿宋" w:eastAsia="仿宋" w:hAnsi="仿宋" w:hint="eastAsia"/>
                <w:b/>
                <w:sz w:val="24"/>
              </w:rPr>
              <w:t>及</w:t>
            </w:r>
            <w:r>
              <w:rPr>
                <w:rFonts w:ascii="仿宋" w:eastAsia="仿宋" w:hAnsi="仿宋"/>
                <w:b/>
                <w:sz w:val="24"/>
              </w:rPr>
              <w:t>指标点</w:t>
            </w:r>
          </w:p>
        </w:tc>
        <w:tc>
          <w:tcPr>
            <w:tcW w:w="1442" w:type="pct"/>
            <w:gridSpan w:val="4"/>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b/>
                <w:sz w:val="24"/>
              </w:rPr>
            </w:pPr>
            <w:r>
              <w:rPr>
                <w:rFonts w:ascii="仿宋" w:eastAsia="仿宋" w:hAnsi="仿宋" w:hint="eastAsia"/>
                <w:b/>
                <w:sz w:val="24"/>
              </w:rPr>
              <w:t>教学</w:t>
            </w:r>
            <w:r>
              <w:rPr>
                <w:rFonts w:ascii="仿宋" w:eastAsia="仿宋" w:hAnsi="仿宋"/>
                <w:b/>
                <w:sz w:val="24"/>
              </w:rPr>
              <w:t>目标</w:t>
            </w:r>
          </w:p>
        </w:tc>
      </w:tr>
      <w:tr w:rsidR="00374D88" w:rsidTr="00BE5664">
        <w:trPr>
          <w:trHeight w:val="294"/>
        </w:trPr>
        <w:tc>
          <w:tcPr>
            <w:tcW w:w="3558" w:type="pct"/>
            <w:gridSpan w:val="2"/>
            <w:vMerge/>
            <w:tcBorders>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b/>
                <w:sz w:val="24"/>
              </w:rPr>
            </w:pPr>
          </w:p>
        </w:tc>
        <w:tc>
          <w:tcPr>
            <w:tcW w:w="481"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b/>
                <w:sz w:val="24"/>
              </w:rPr>
            </w:pPr>
            <w:r>
              <w:rPr>
                <w:rFonts w:ascii="仿宋" w:eastAsia="仿宋" w:hAnsi="仿宋"/>
                <w:b/>
                <w:sz w:val="24"/>
              </w:rPr>
              <w:t>（1）</w:t>
            </w:r>
          </w:p>
        </w:tc>
        <w:tc>
          <w:tcPr>
            <w:tcW w:w="481" w:type="pct"/>
            <w:gridSpan w:val="2"/>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b/>
                <w:sz w:val="24"/>
              </w:rPr>
            </w:pPr>
            <w:r>
              <w:rPr>
                <w:rFonts w:ascii="仿宋" w:eastAsia="仿宋" w:hAnsi="仿宋"/>
                <w:b/>
                <w:sz w:val="24"/>
              </w:rPr>
              <w:t>（2）</w:t>
            </w:r>
          </w:p>
        </w:tc>
        <w:tc>
          <w:tcPr>
            <w:tcW w:w="481"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b/>
                <w:sz w:val="24"/>
              </w:rPr>
            </w:pPr>
            <w:r>
              <w:rPr>
                <w:rFonts w:ascii="仿宋" w:eastAsia="仿宋" w:hAnsi="仿宋"/>
                <w:b/>
                <w:sz w:val="24"/>
              </w:rPr>
              <w:t>（3）</w:t>
            </w:r>
          </w:p>
        </w:tc>
      </w:tr>
      <w:tr w:rsidR="00374D88" w:rsidTr="00BE5664">
        <w:trPr>
          <w:trHeight w:val="379"/>
        </w:trPr>
        <w:tc>
          <w:tcPr>
            <w:tcW w:w="977" w:type="pct"/>
            <w:tcBorders>
              <w:top w:val="single" w:sz="4" w:space="0" w:color="auto"/>
              <w:left w:val="single" w:sz="4" w:space="0" w:color="auto"/>
              <w:right w:val="single" w:sz="4" w:space="0" w:color="auto"/>
            </w:tcBorders>
            <w:vAlign w:val="center"/>
          </w:tcPr>
          <w:p w:rsidR="00374D88" w:rsidRDefault="00374D88" w:rsidP="00BE5664">
            <w:pPr>
              <w:jc w:val="center"/>
              <w:rPr>
                <w:rFonts w:ascii="仿宋" w:eastAsia="仿宋" w:hAnsi="仿宋"/>
                <w:bCs/>
                <w:sz w:val="20"/>
                <w:szCs w:val="20"/>
              </w:rPr>
            </w:pPr>
            <w:r>
              <w:rPr>
                <w:rFonts w:ascii="仿宋" w:eastAsia="仿宋" w:hAnsi="仿宋"/>
                <w:bCs/>
                <w:sz w:val="20"/>
                <w:szCs w:val="20"/>
              </w:rPr>
              <w:t>1工程知识</w:t>
            </w:r>
          </w:p>
        </w:tc>
        <w:tc>
          <w:tcPr>
            <w:tcW w:w="2582" w:type="pct"/>
            <w:tcBorders>
              <w:top w:val="single" w:sz="4" w:space="0" w:color="auto"/>
              <w:left w:val="single" w:sz="4" w:space="0" w:color="auto"/>
              <w:right w:val="single" w:sz="4" w:space="0" w:color="auto"/>
            </w:tcBorders>
            <w:vAlign w:val="center"/>
          </w:tcPr>
          <w:p w:rsidR="00374D88" w:rsidRDefault="00374D88" w:rsidP="00BE5664">
            <w:pPr>
              <w:ind w:firstLineChars="200" w:firstLine="400"/>
              <w:rPr>
                <w:rFonts w:ascii="仿宋" w:eastAsia="仿宋" w:hAnsi="仿宋"/>
                <w:bCs/>
                <w:sz w:val="20"/>
                <w:szCs w:val="20"/>
              </w:rPr>
            </w:pPr>
            <w:r>
              <w:rPr>
                <w:rFonts w:ascii="仿宋" w:eastAsia="仿宋" w:hAnsi="仿宋" w:hint="eastAsia"/>
                <w:bCs/>
                <w:sz w:val="20"/>
                <w:szCs w:val="20"/>
              </w:rPr>
              <w:t>1.4 掌握土木工程专业知识，具备知识交叉融合能力，应用于解决土木工程专业复杂工程问题。</w:t>
            </w:r>
          </w:p>
        </w:tc>
        <w:tc>
          <w:tcPr>
            <w:tcW w:w="485" w:type="pct"/>
            <w:gridSpan w:val="2"/>
            <w:tcBorders>
              <w:top w:val="single" w:sz="4" w:space="0" w:color="auto"/>
              <w:left w:val="single" w:sz="4" w:space="0" w:color="auto"/>
              <w:right w:val="single" w:sz="4" w:space="0" w:color="auto"/>
            </w:tcBorders>
            <w:vAlign w:val="center"/>
          </w:tcPr>
          <w:p w:rsidR="00374D88" w:rsidRDefault="00374D88" w:rsidP="00BE5664">
            <w:pPr>
              <w:jc w:val="center"/>
              <w:rPr>
                <w:rFonts w:ascii="仿宋" w:eastAsia="仿宋" w:hAnsi="仿宋"/>
                <w:sz w:val="24"/>
              </w:rPr>
            </w:pPr>
            <w:r>
              <w:rPr>
                <w:rFonts w:ascii="仿宋" w:eastAsia="仿宋" w:hAnsi="仿宋"/>
                <w:kern w:val="0"/>
                <w:sz w:val="24"/>
              </w:rPr>
              <w:t>√</w:t>
            </w:r>
          </w:p>
        </w:tc>
        <w:tc>
          <w:tcPr>
            <w:tcW w:w="476" w:type="pct"/>
            <w:tcBorders>
              <w:top w:val="single" w:sz="4" w:space="0" w:color="auto"/>
              <w:left w:val="single" w:sz="4" w:space="0" w:color="auto"/>
              <w:right w:val="single" w:sz="4" w:space="0" w:color="auto"/>
            </w:tcBorders>
            <w:vAlign w:val="center"/>
          </w:tcPr>
          <w:p w:rsidR="00374D88" w:rsidRDefault="00374D88" w:rsidP="00BE5664">
            <w:pPr>
              <w:jc w:val="center"/>
              <w:rPr>
                <w:rFonts w:ascii="仿宋" w:eastAsia="仿宋" w:hAnsi="仿宋"/>
                <w:sz w:val="24"/>
              </w:rPr>
            </w:pPr>
            <w:r>
              <w:rPr>
                <w:rFonts w:ascii="仿宋" w:eastAsia="仿宋" w:hAnsi="仿宋"/>
                <w:kern w:val="0"/>
                <w:sz w:val="24"/>
              </w:rPr>
              <w:t>√</w:t>
            </w:r>
          </w:p>
        </w:tc>
        <w:tc>
          <w:tcPr>
            <w:tcW w:w="481" w:type="pct"/>
            <w:tcBorders>
              <w:top w:val="single" w:sz="4" w:space="0" w:color="auto"/>
              <w:left w:val="single" w:sz="4" w:space="0" w:color="auto"/>
              <w:right w:val="single" w:sz="4" w:space="0" w:color="auto"/>
            </w:tcBorders>
            <w:vAlign w:val="center"/>
          </w:tcPr>
          <w:p w:rsidR="00374D88" w:rsidRDefault="00374D88" w:rsidP="00BE5664">
            <w:pPr>
              <w:jc w:val="center"/>
              <w:rPr>
                <w:rFonts w:ascii="仿宋" w:eastAsia="仿宋" w:hAnsi="仿宋"/>
                <w:sz w:val="24"/>
              </w:rPr>
            </w:pPr>
            <w:r>
              <w:rPr>
                <w:rFonts w:ascii="仿宋" w:eastAsia="仿宋" w:hAnsi="仿宋"/>
                <w:kern w:val="0"/>
                <w:sz w:val="24"/>
              </w:rPr>
              <w:t>√</w:t>
            </w:r>
          </w:p>
        </w:tc>
      </w:tr>
      <w:tr w:rsidR="00374D88" w:rsidTr="00BE5664">
        <w:trPr>
          <w:trHeight w:val="373"/>
        </w:trPr>
        <w:tc>
          <w:tcPr>
            <w:tcW w:w="977" w:type="pct"/>
            <w:tcBorders>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bCs/>
                <w:sz w:val="20"/>
                <w:szCs w:val="20"/>
              </w:rPr>
            </w:pPr>
            <w:r>
              <w:rPr>
                <w:rFonts w:ascii="仿宋" w:eastAsia="仿宋" w:hAnsi="仿宋"/>
                <w:bCs/>
                <w:sz w:val="20"/>
                <w:szCs w:val="20"/>
              </w:rPr>
              <w:t>5</w:t>
            </w:r>
            <w:r>
              <w:rPr>
                <w:rFonts w:ascii="仿宋" w:eastAsia="仿宋" w:hAnsi="仿宋" w:hint="eastAsia"/>
                <w:bCs/>
                <w:sz w:val="20"/>
                <w:szCs w:val="20"/>
              </w:rPr>
              <w:t>现代工具使用能力</w:t>
            </w:r>
          </w:p>
        </w:tc>
        <w:tc>
          <w:tcPr>
            <w:tcW w:w="2582"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ind w:firstLineChars="200" w:firstLine="400"/>
              <w:jc w:val="center"/>
              <w:rPr>
                <w:rFonts w:ascii="仿宋" w:eastAsia="仿宋" w:hAnsi="仿宋"/>
                <w:bCs/>
                <w:sz w:val="20"/>
                <w:szCs w:val="20"/>
              </w:rPr>
            </w:pPr>
            <w:r>
              <w:rPr>
                <w:rFonts w:ascii="仿宋" w:eastAsia="仿宋" w:hAnsi="仿宋" w:hint="eastAsia"/>
                <w:bCs/>
                <w:sz w:val="20"/>
                <w:szCs w:val="20"/>
              </w:rPr>
              <w:t>5</w:t>
            </w:r>
            <w:r>
              <w:rPr>
                <w:rFonts w:ascii="仿宋" w:eastAsia="仿宋" w:hAnsi="仿宋"/>
                <w:bCs/>
                <w:sz w:val="20"/>
                <w:szCs w:val="20"/>
              </w:rPr>
              <w:t>.2</w:t>
            </w:r>
            <w:r>
              <w:rPr>
                <w:rFonts w:ascii="仿宋" w:eastAsia="仿宋" w:hAnsi="仿宋" w:hint="eastAsia"/>
                <w:bCs/>
                <w:sz w:val="20"/>
                <w:szCs w:val="20"/>
              </w:rPr>
              <w:t>能够选择与使用勘测、制图、检测、计算、设计等恰当的技术和资源，对土木工程专业复杂工程问题进行分析、计算和设计，并理解其局限性；</w:t>
            </w:r>
          </w:p>
        </w:tc>
        <w:tc>
          <w:tcPr>
            <w:tcW w:w="485" w:type="pct"/>
            <w:gridSpan w:val="2"/>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rPr>
            </w:pPr>
          </w:p>
        </w:tc>
        <w:tc>
          <w:tcPr>
            <w:tcW w:w="476"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rPr>
            </w:pPr>
            <w:r>
              <w:rPr>
                <w:rFonts w:ascii="仿宋" w:eastAsia="仿宋" w:hAnsi="仿宋"/>
                <w:kern w:val="0"/>
                <w:sz w:val="24"/>
              </w:rPr>
              <w:t>√</w:t>
            </w:r>
          </w:p>
        </w:tc>
        <w:tc>
          <w:tcPr>
            <w:tcW w:w="481"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rPr>
            </w:pPr>
            <w:r>
              <w:rPr>
                <w:rFonts w:ascii="仿宋" w:eastAsia="仿宋" w:hAnsi="仿宋"/>
                <w:kern w:val="0"/>
                <w:sz w:val="24"/>
              </w:rPr>
              <w:t>√</w:t>
            </w:r>
          </w:p>
        </w:tc>
      </w:tr>
    </w:tbl>
    <w:p w:rsidR="00374D88" w:rsidRDefault="00374D88" w:rsidP="00374D88">
      <w:pPr>
        <w:spacing w:beforeLines="50" w:before="156" w:line="360" w:lineRule="auto"/>
        <w:ind w:firstLine="329"/>
        <w:rPr>
          <w:sz w:val="28"/>
          <w:szCs w:val="28"/>
        </w:rPr>
      </w:pPr>
      <w:r>
        <w:rPr>
          <w:sz w:val="28"/>
          <w:szCs w:val="28"/>
        </w:rPr>
        <w:t xml:space="preserve">3. </w:t>
      </w:r>
      <w:r>
        <w:rPr>
          <w:sz w:val="28"/>
          <w:szCs w:val="28"/>
        </w:rPr>
        <w:t>课程的重点、难点</w:t>
      </w:r>
    </w:p>
    <w:p w:rsidR="00374D88" w:rsidRDefault="00374D88" w:rsidP="00374D88">
      <w:pPr>
        <w:pStyle w:val="aa"/>
        <w:shd w:val="clear" w:color="auto" w:fill="FFFFFF"/>
        <w:spacing w:before="0" w:beforeAutospacing="0" w:after="0" w:line="36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（1）重点内容：岩石的基本物理性质指标及其获得方法；岩石的抗压、抗拉及抗剪强度特性的概念、影响因素、试验测试、计算方</w:t>
      </w:r>
      <w:r>
        <w:rPr>
          <w:rFonts w:ascii="仿宋" w:eastAsia="仿宋" w:hAnsi="仿宋" w:cs="Times New Roman" w:hint="eastAsia"/>
          <w:sz w:val="28"/>
          <w:szCs w:val="28"/>
        </w:rPr>
        <w:lastRenderedPageBreak/>
        <w:t>法等；岩石的变形特性以及岩石介质的力学模型；岩石的破坏机理以及强度理论。</w:t>
      </w:r>
    </w:p>
    <w:p w:rsidR="00374D88" w:rsidRDefault="00374D88" w:rsidP="00374D88">
      <w:pPr>
        <w:pStyle w:val="aa"/>
        <w:shd w:val="clear" w:color="auto" w:fill="FFFFFF"/>
        <w:spacing w:before="0" w:beforeAutospacing="0" w:after="0" w:line="36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（2）难点内容：岩体结构面的概念、分类以及特征；结构面的变形特性；结构面的剪切强度特性、力学效应；岩体的应力-应变分析；岩体力学性质的现场测试。</w:t>
      </w:r>
    </w:p>
    <w:p w:rsidR="00374D88" w:rsidRDefault="00374D88" w:rsidP="00374D88">
      <w:pPr>
        <w:spacing w:beforeLines="50" w:before="156" w:line="360" w:lineRule="auto"/>
        <w:ind w:firstLine="329"/>
        <w:rPr>
          <w:sz w:val="28"/>
          <w:szCs w:val="28"/>
        </w:rPr>
      </w:pPr>
      <w:r>
        <w:rPr>
          <w:sz w:val="28"/>
          <w:szCs w:val="28"/>
        </w:rPr>
        <w:t xml:space="preserve">4. </w:t>
      </w:r>
      <w:r>
        <w:rPr>
          <w:sz w:val="28"/>
          <w:szCs w:val="28"/>
        </w:rPr>
        <w:t>课程思政设计</w:t>
      </w:r>
    </w:p>
    <w:p w:rsidR="00374D88" w:rsidRDefault="00374D88" w:rsidP="00374D88">
      <w:pPr>
        <w:pStyle w:val="aa"/>
        <w:shd w:val="clear" w:color="auto" w:fill="FFFFFF"/>
        <w:spacing w:before="0" w:beforeAutospacing="0" w:after="0" w:line="360" w:lineRule="auto"/>
        <w:ind w:firstLineChars="152" w:firstLine="426"/>
        <w:rPr>
          <w:rFonts w:ascii="仿宋" w:eastAsia="仿宋" w:hAnsi="仿宋"/>
          <w:color w:val="000000"/>
          <w:sz w:val="28"/>
          <w:szCs w:val="28"/>
        </w:rPr>
      </w:pPr>
      <w:r>
        <w:rPr>
          <w:rFonts w:ascii="仿宋" w:eastAsia="仿宋" w:hAnsi="仿宋" w:hint="eastAsia"/>
          <w:color w:val="000000"/>
          <w:sz w:val="28"/>
          <w:szCs w:val="28"/>
        </w:rPr>
        <w:t>（1）</w:t>
      </w:r>
      <w:r>
        <w:rPr>
          <w:rFonts w:ascii="仿宋" w:eastAsia="仿宋" w:hAnsi="仿宋"/>
          <w:color w:val="000000"/>
          <w:sz w:val="28"/>
          <w:szCs w:val="28"/>
        </w:rPr>
        <w:t>第一章</w:t>
      </w:r>
      <w:r>
        <w:rPr>
          <w:rFonts w:ascii="仿宋" w:eastAsia="仿宋" w:hAnsi="仿宋" w:hint="eastAsia"/>
          <w:color w:val="000000"/>
          <w:sz w:val="28"/>
          <w:szCs w:val="28"/>
        </w:rPr>
        <w:t xml:space="preserve"> 绪论</w:t>
      </w:r>
    </w:p>
    <w:p w:rsidR="00374D88" w:rsidRDefault="00374D88" w:rsidP="00374D88">
      <w:pPr>
        <w:pStyle w:val="aa"/>
        <w:shd w:val="clear" w:color="auto" w:fill="FFFFFF"/>
        <w:spacing w:before="0" w:beforeAutospacing="0" w:after="0" w:line="360" w:lineRule="auto"/>
        <w:ind w:firstLineChars="200" w:firstLine="560"/>
        <w:rPr>
          <w:rFonts w:ascii="仿宋" w:eastAsia="仿宋" w:hAnsi="仿宋" w:cs="Times New Roman"/>
          <w:sz w:val="28"/>
          <w:szCs w:val="28"/>
        </w:rPr>
      </w:pPr>
      <w:r>
        <w:rPr>
          <w:rFonts w:ascii="仿宋" w:eastAsia="仿宋" w:hAnsi="仿宋" w:hint="eastAsia"/>
          <w:color w:val="000000"/>
          <w:sz w:val="28"/>
          <w:szCs w:val="28"/>
        </w:rPr>
        <w:t>从岩体力学的发展引导学生了解人类对自然事物的理解和解释的自然过程，进而对个人认识、学习自然事物的自然过程进行讨论。</w:t>
      </w:r>
    </w:p>
    <w:p w:rsidR="00374D88" w:rsidRDefault="00374D88" w:rsidP="00374D88">
      <w:pPr>
        <w:pStyle w:val="aa"/>
        <w:shd w:val="clear" w:color="auto" w:fill="FFFFFF"/>
        <w:spacing w:before="0" w:beforeAutospacing="0" w:after="0" w:line="360" w:lineRule="auto"/>
        <w:ind w:firstLineChars="152" w:firstLine="426"/>
        <w:rPr>
          <w:rFonts w:ascii="仿宋" w:eastAsia="仿宋" w:hAnsi="仿宋"/>
          <w:color w:val="000000"/>
          <w:sz w:val="28"/>
          <w:szCs w:val="28"/>
        </w:rPr>
      </w:pPr>
      <w:r>
        <w:rPr>
          <w:rFonts w:ascii="仿宋" w:eastAsia="仿宋" w:hAnsi="仿宋" w:cs="Times New Roman" w:hint="eastAsia"/>
          <w:sz w:val="28"/>
          <w:szCs w:val="28"/>
        </w:rPr>
        <w:t>（2）</w:t>
      </w:r>
      <w:r>
        <w:rPr>
          <w:rFonts w:ascii="仿宋" w:eastAsia="仿宋" w:hAnsi="仿宋"/>
          <w:color w:val="000000"/>
          <w:sz w:val="28"/>
          <w:szCs w:val="28"/>
        </w:rPr>
        <w:t>第二章</w:t>
      </w:r>
      <w:r>
        <w:rPr>
          <w:rFonts w:ascii="仿宋" w:eastAsia="仿宋" w:hAnsi="仿宋" w:hint="eastAsia"/>
          <w:color w:val="000000"/>
          <w:sz w:val="28"/>
          <w:szCs w:val="28"/>
        </w:rPr>
        <w:t xml:space="preserve"> 岩石的基本物理力学性质</w:t>
      </w:r>
    </w:p>
    <w:p w:rsidR="00374D88" w:rsidRDefault="00374D88" w:rsidP="00374D88">
      <w:pPr>
        <w:pStyle w:val="aa"/>
        <w:shd w:val="clear" w:color="auto" w:fill="FFFFFF"/>
        <w:spacing w:before="0" w:beforeAutospacing="0" w:after="0" w:line="36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以岩石强度理论为切入点，对比各个强度理论创建时的思想根源，鼓励学生发散思维，了解到不是所有的理论知识都高深莫测，对课本知识要举一反三的学习，既要尊重知识，也要学会客观分析先进与否，进行批判和革新。</w:t>
      </w:r>
    </w:p>
    <w:p w:rsidR="00374D88" w:rsidRDefault="00374D88" w:rsidP="00374D88">
      <w:pPr>
        <w:pStyle w:val="aa"/>
        <w:shd w:val="clear" w:color="auto" w:fill="FFFFFF"/>
        <w:spacing w:before="0" w:beforeAutospacing="0" w:after="0" w:line="360" w:lineRule="auto"/>
        <w:ind w:firstLineChars="152" w:firstLine="426"/>
        <w:rPr>
          <w:rFonts w:ascii="仿宋" w:eastAsia="仿宋" w:hAnsi="仿宋"/>
          <w:color w:val="000000"/>
          <w:sz w:val="28"/>
          <w:szCs w:val="28"/>
        </w:rPr>
      </w:pPr>
      <w:r>
        <w:rPr>
          <w:rFonts w:ascii="仿宋" w:eastAsia="仿宋" w:hAnsi="仿宋" w:cs="Times New Roman" w:hint="eastAsia"/>
          <w:sz w:val="28"/>
          <w:szCs w:val="28"/>
        </w:rPr>
        <w:t>（3）</w:t>
      </w:r>
      <w:r>
        <w:rPr>
          <w:rFonts w:ascii="仿宋" w:eastAsia="仿宋" w:hAnsi="仿宋"/>
          <w:color w:val="000000"/>
          <w:sz w:val="28"/>
          <w:szCs w:val="28"/>
        </w:rPr>
        <w:t>第三章</w:t>
      </w:r>
      <w:r>
        <w:rPr>
          <w:rFonts w:ascii="仿宋" w:eastAsia="仿宋" w:hAnsi="仿宋" w:hint="eastAsia"/>
          <w:color w:val="000000"/>
          <w:sz w:val="28"/>
          <w:szCs w:val="28"/>
        </w:rPr>
        <w:t xml:space="preserve"> 岩体的动力学性质</w:t>
      </w:r>
    </w:p>
    <w:p w:rsidR="00374D88" w:rsidRDefault="00374D88" w:rsidP="00374D88">
      <w:pPr>
        <w:pStyle w:val="aa"/>
        <w:shd w:val="clear" w:color="auto" w:fill="FFFFFF"/>
        <w:spacing w:before="0" w:beforeAutospacing="0" w:after="0" w:line="36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从动力学和静力学的区别出发，统一问题在不同临界条件下的会引发不同的问题，引导同学们思考一件事情的两面性，不同条件下对事物的辩证思考。</w:t>
      </w:r>
    </w:p>
    <w:p w:rsidR="00374D88" w:rsidRDefault="00374D88" w:rsidP="00374D88">
      <w:pPr>
        <w:pStyle w:val="aa"/>
        <w:shd w:val="clear" w:color="auto" w:fill="FFFFFF"/>
        <w:spacing w:before="0" w:beforeAutospacing="0" w:after="0" w:line="360" w:lineRule="auto"/>
        <w:ind w:firstLineChars="152" w:firstLine="426"/>
        <w:rPr>
          <w:rFonts w:ascii="仿宋" w:eastAsia="仿宋" w:hAnsi="仿宋" w:cs="Times New Roman"/>
          <w:sz w:val="28"/>
          <w:szCs w:val="28"/>
        </w:rPr>
      </w:pPr>
      <w:r>
        <w:rPr>
          <w:rFonts w:ascii="仿宋" w:eastAsia="仿宋" w:hAnsi="仿宋" w:cs="Times New Roman" w:hint="eastAsia"/>
          <w:sz w:val="28"/>
          <w:szCs w:val="28"/>
        </w:rPr>
        <w:t>（4）</w:t>
      </w:r>
      <w:r>
        <w:rPr>
          <w:rFonts w:ascii="仿宋" w:eastAsia="仿宋" w:hAnsi="仿宋"/>
          <w:color w:val="000000"/>
          <w:sz w:val="28"/>
          <w:szCs w:val="28"/>
        </w:rPr>
        <w:t>第四章</w:t>
      </w:r>
      <w:r>
        <w:rPr>
          <w:rFonts w:ascii="仿宋" w:eastAsia="仿宋" w:hAnsi="仿宋" w:hint="eastAsia"/>
          <w:color w:val="000000"/>
          <w:sz w:val="28"/>
          <w:szCs w:val="28"/>
        </w:rPr>
        <w:t xml:space="preserve"> 岩体的基本力学性质</w:t>
      </w:r>
    </w:p>
    <w:p w:rsidR="00374D88" w:rsidRDefault="00374D88" w:rsidP="00374D88">
      <w:pPr>
        <w:pStyle w:val="aa"/>
        <w:shd w:val="clear" w:color="auto" w:fill="FFFFFF"/>
        <w:spacing w:before="0" w:beforeAutospacing="0" w:after="0" w:line="360" w:lineRule="auto"/>
        <w:ind w:firstLineChars="200" w:firstLine="560"/>
        <w:rPr>
          <w:rFonts w:ascii="仿宋" w:eastAsia="仿宋" w:hAnsi="仿宋" w:cs="Times New Roman"/>
          <w:sz w:val="28"/>
          <w:szCs w:val="28"/>
        </w:rPr>
      </w:pPr>
      <w:r>
        <w:rPr>
          <w:rFonts w:ascii="仿宋" w:eastAsia="仿宋" w:hAnsi="仿宋" w:cs="Times New Roman"/>
          <w:sz w:val="28"/>
          <w:szCs w:val="28"/>
        </w:rPr>
        <w:t>从加载速度对岩体强度的影响规律</w:t>
      </w:r>
      <w:r>
        <w:rPr>
          <w:rFonts w:ascii="仿宋" w:eastAsia="仿宋" w:hAnsi="仿宋" w:cs="Times New Roman" w:hint="eastAsia"/>
          <w:sz w:val="28"/>
          <w:szCs w:val="28"/>
        </w:rPr>
        <w:t>出发，带领同学们分析为人处世的道理，为了达到信息沟通的目的，有些时候过于激烈的交锋会带来各自心里上的抗拒，效果适得其反。</w:t>
      </w:r>
    </w:p>
    <w:p w:rsidR="00374D88" w:rsidRDefault="00374D88" w:rsidP="00374D88">
      <w:pPr>
        <w:pStyle w:val="aa"/>
        <w:shd w:val="clear" w:color="auto" w:fill="FFFFFF"/>
        <w:spacing w:before="0" w:beforeAutospacing="0" w:after="0" w:line="360" w:lineRule="auto"/>
        <w:ind w:firstLineChars="202" w:firstLine="566"/>
        <w:rPr>
          <w:rFonts w:ascii="仿宋" w:eastAsia="仿宋" w:hAnsi="仿宋" w:cs="Times New Roman"/>
          <w:sz w:val="28"/>
          <w:szCs w:val="28"/>
        </w:rPr>
      </w:pPr>
      <w:r>
        <w:rPr>
          <w:rFonts w:ascii="仿宋" w:eastAsia="仿宋" w:hAnsi="仿宋" w:cs="Times New Roman" w:hint="eastAsia"/>
          <w:sz w:val="28"/>
          <w:szCs w:val="28"/>
        </w:rPr>
        <w:lastRenderedPageBreak/>
        <w:t>（5）</w:t>
      </w:r>
      <w:r>
        <w:rPr>
          <w:rFonts w:ascii="仿宋" w:eastAsia="仿宋" w:hAnsi="仿宋"/>
          <w:color w:val="000000"/>
          <w:sz w:val="28"/>
          <w:szCs w:val="28"/>
        </w:rPr>
        <w:t>第五章</w:t>
      </w:r>
      <w:r>
        <w:rPr>
          <w:rFonts w:ascii="仿宋" w:eastAsia="仿宋" w:hAnsi="仿宋" w:hint="eastAsia"/>
          <w:color w:val="000000"/>
          <w:sz w:val="28"/>
          <w:szCs w:val="28"/>
        </w:rPr>
        <w:t xml:space="preserve"> 工程岩体分类</w:t>
      </w:r>
    </w:p>
    <w:p w:rsidR="00374D88" w:rsidRDefault="00374D88" w:rsidP="00374D88">
      <w:pPr>
        <w:pStyle w:val="aa"/>
        <w:shd w:val="clear" w:color="auto" w:fill="FFFFFF"/>
        <w:spacing w:before="0" w:beforeAutospacing="0" w:after="0" w:line="36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通过分析岩体分类中涉及到的众多指标因素，讲解这些指标被先后重视并加以利用的过程，是同学们认识到“科学的发展是发现和创新”的深刻含义。</w:t>
      </w:r>
    </w:p>
    <w:p w:rsidR="00374D88" w:rsidRDefault="00374D88" w:rsidP="00374D88">
      <w:pPr>
        <w:pStyle w:val="aa"/>
        <w:shd w:val="clear" w:color="auto" w:fill="FFFFFF"/>
        <w:spacing w:before="0" w:beforeAutospacing="0" w:after="0" w:line="360" w:lineRule="auto"/>
        <w:ind w:firstLineChars="152" w:firstLine="426"/>
        <w:rPr>
          <w:rFonts w:ascii="仿宋" w:eastAsia="仿宋" w:hAnsi="仿宋" w:cs="Times New Roman"/>
          <w:sz w:val="28"/>
          <w:szCs w:val="28"/>
        </w:rPr>
      </w:pPr>
      <w:r>
        <w:rPr>
          <w:rFonts w:ascii="仿宋" w:eastAsia="仿宋" w:hAnsi="仿宋" w:cs="Times New Roman" w:hint="eastAsia"/>
          <w:sz w:val="28"/>
          <w:szCs w:val="28"/>
        </w:rPr>
        <w:t>（6）</w:t>
      </w:r>
      <w:r>
        <w:rPr>
          <w:rFonts w:ascii="仿宋" w:eastAsia="仿宋" w:hAnsi="仿宋"/>
          <w:color w:val="000000"/>
          <w:sz w:val="28"/>
          <w:szCs w:val="28"/>
        </w:rPr>
        <w:t>第六章</w:t>
      </w:r>
      <w:r>
        <w:rPr>
          <w:rFonts w:ascii="仿宋" w:eastAsia="仿宋" w:hAnsi="仿宋" w:hint="eastAsia"/>
          <w:color w:val="000000"/>
          <w:sz w:val="28"/>
          <w:szCs w:val="28"/>
        </w:rPr>
        <w:t xml:space="preserve"> 岩体的初始应力状态</w:t>
      </w:r>
    </w:p>
    <w:p w:rsidR="00374D88" w:rsidRDefault="00374D88" w:rsidP="00374D88">
      <w:pPr>
        <w:pStyle w:val="aa"/>
        <w:shd w:val="clear" w:color="auto" w:fill="FFFFFF"/>
        <w:spacing w:before="0" w:beforeAutospacing="0" w:after="0"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从岩体初始应力场的知识框架引申至先分后总的学习方法，对于复杂的事物，可以先局部分析，后进行整合，总体分析。</w:t>
      </w:r>
    </w:p>
    <w:p w:rsidR="00374D88" w:rsidRDefault="00374D88" w:rsidP="00374D88">
      <w:pPr>
        <w:snapToGrid w:val="0"/>
        <w:spacing w:line="360" w:lineRule="auto"/>
        <w:rPr>
          <w:rFonts w:eastAsia="黑体"/>
          <w:b/>
          <w:sz w:val="28"/>
          <w:szCs w:val="28"/>
        </w:rPr>
      </w:pPr>
      <w:r>
        <w:rPr>
          <w:rFonts w:eastAsia="黑体"/>
          <w:b/>
          <w:sz w:val="28"/>
          <w:szCs w:val="28"/>
        </w:rPr>
        <w:t>四、教学内容</w:t>
      </w:r>
      <w:r>
        <w:rPr>
          <w:rFonts w:eastAsia="黑体" w:hint="eastAsia"/>
          <w:b/>
          <w:sz w:val="28"/>
          <w:szCs w:val="28"/>
        </w:rPr>
        <w:t>安排</w:t>
      </w:r>
    </w:p>
    <w:tbl>
      <w:tblPr>
        <w:tblW w:w="8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698"/>
        <w:gridCol w:w="698"/>
        <w:gridCol w:w="1970"/>
        <w:gridCol w:w="2410"/>
        <w:gridCol w:w="2344"/>
      </w:tblGrid>
      <w:tr w:rsidR="00374D88" w:rsidTr="00BE5664">
        <w:trPr>
          <w:jc w:val="center"/>
        </w:trPr>
        <w:tc>
          <w:tcPr>
            <w:tcW w:w="454"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b/>
                <w:color w:val="000000"/>
                <w:szCs w:val="28"/>
              </w:rPr>
            </w:pPr>
            <w:r>
              <w:rPr>
                <w:rFonts w:ascii="仿宋" w:eastAsia="仿宋" w:hAnsi="仿宋"/>
                <w:b/>
                <w:color w:val="000000"/>
                <w:szCs w:val="28"/>
              </w:rPr>
              <w:t>序号</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b/>
                <w:color w:val="000000"/>
                <w:szCs w:val="28"/>
              </w:rPr>
            </w:pPr>
            <w:r>
              <w:rPr>
                <w:rFonts w:ascii="仿宋" w:eastAsia="仿宋" w:hAnsi="仿宋"/>
                <w:b/>
                <w:color w:val="000000"/>
                <w:szCs w:val="28"/>
              </w:rPr>
              <w:t>章节</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b/>
                <w:color w:val="000000"/>
                <w:szCs w:val="28"/>
              </w:rPr>
            </w:pPr>
            <w:r>
              <w:rPr>
                <w:rFonts w:ascii="仿宋" w:eastAsia="仿宋" w:hAnsi="仿宋"/>
                <w:b/>
                <w:color w:val="000000"/>
                <w:szCs w:val="28"/>
              </w:rPr>
              <w:t>参考学时</w:t>
            </w:r>
          </w:p>
        </w:tc>
        <w:tc>
          <w:tcPr>
            <w:tcW w:w="1970"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b/>
                <w:color w:val="000000"/>
                <w:szCs w:val="28"/>
              </w:rPr>
            </w:pPr>
            <w:r>
              <w:rPr>
                <w:rFonts w:ascii="仿宋" w:eastAsia="仿宋" w:hAnsi="仿宋"/>
                <w:b/>
                <w:color w:val="000000"/>
                <w:szCs w:val="28"/>
              </w:rPr>
              <w:t>教学内容</w:t>
            </w:r>
          </w:p>
        </w:tc>
        <w:tc>
          <w:tcPr>
            <w:tcW w:w="2410"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b/>
                <w:color w:val="000000"/>
                <w:szCs w:val="28"/>
              </w:rPr>
            </w:pPr>
            <w:r>
              <w:rPr>
                <w:rFonts w:ascii="仿宋" w:eastAsia="仿宋" w:hAnsi="仿宋"/>
                <w:b/>
                <w:color w:val="000000"/>
                <w:szCs w:val="28"/>
              </w:rPr>
              <w:t>基本要求</w:t>
            </w:r>
          </w:p>
        </w:tc>
        <w:tc>
          <w:tcPr>
            <w:tcW w:w="2344"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b/>
                <w:color w:val="000000"/>
                <w:szCs w:val="28"/>
              </w:rPr>
            </w:pPr>
            <w:r>
              <w:rPr>
                <w:rFonts w:ascii="仿宋" w:eastAsia="仿宋" w:hAnsi="仿宋" w:hint="eastAsia"/>
                <w:b/>
                <w:color w:val="000000"/>
                <w:szCs w:val="28"/>
              </w:rPr>
              <w:t>对毕业要求的支撑</w:t>
            </w:r>
          </w:p>
        </w:tc>
      </w:tr>
      <w:tr w:rsidR="00374D88" w:rsidTr="00BE5664">
        <w:trPr>
          <w:jc w:val="center"/>
        </w:trPr>
        <w:tc>
          <w:tcPr>
            <w:tcW w:w="454"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hint="eastAsia"/>
                <w:color w:val="000000"/>
                <w:szCs w:val="28"/>
              </w:rPr>
              <w:t>1</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color w:val="000000"/>
                <w:szCs w:val="28"/>
              </w:rPr>
              <w:t>第一章</w:t>
            </w:r>
            <w:r>
              <w:rPr>
                <w:rFonts w:ascii="仿宋" w:eastAsia="仿宋" w:hAnsi="仿宋" w:hint="eastAsia"/>
                <w:color w:val="000000"/>
                <w:szCs w:val="28"/>
              </w:rPr>
              <w:t xml:space="preserve"> 绪论</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hint="eastAsia"/>
                <w:color w:val="000000"/>
                <w:szCs w:val="28"/>
              </w:rPr>
              <w:t>2</w:t>
            </w:r>
          </w:p>
        </w:tc>
        <w:tc>
          <w:tcPr>
            <w:tcW w:w="1970" w:type="dxa"/>
            <w:shd w:val="clear" w:color="auto" w:fill="auto"/>
            <w:vAlign w:val="center"/>
          </w:tcPr>
          <w:p w:rsidR="00374D88" w:rsidRDefault="00374D88" w:rsidP="00BE5664">
            <w:pPr>
              <w:pStyle w:val="a5"/>
              <w:spacing w:after="0"/>
              <w:ind w:leftChars="0" w:left="0"/>
              <w:rPr>
                <w:rFonts w:ascii="仿宋" w:eastAsia="仿宋" w:hAnsi="仿宋"/>
                <w:szCs w:val="28"/>
              </w:rPr>
            </w:pPr>
            <w:r>
              <w:rPr>
                <w:rFonts w:ascii="仿宋" w:eastAsia="仿宋" w:hAnsi="仿宋" w:hint="eastAsia"/>
                <w:szCs w:val="28"/>
              </w:rPr>
              <w:t>岩体力学</w:t>
            </w:r>
            <w:r>
              <w:rPr>
                <w:rFonts w:ascii="仿宋" w:eastAsia="仿宋" w:hAnsi="仿宋"/>
                <w:szCs w:val="28"/>
              </w:rPr>
              <w:t>的研究任务与内容</w:t>
            </w:r>
            <w:r>
              <w:rPr>
                <w:rFonts w:ascii="仿宋" w:eastAsia="仿宋" w:hAnsi="仿宋" w:hint="eastAsia"/>
                <w:szCs w:val="28"/>
              </w:rPr>
              <w:t>；岩体力学</w:t>
            </w:r>
            <w:r>
              <w:rPr>
                <w:rFonts w:ascii="仿宋" w:eastAsia="仿宋" w:hAnsi="仿宋"/>
                <w:szCs w:val="28"/>
              </w:rPr>
              <w:t>的研究方法</w:t>
            </w:r>
            <w:r>
              <w:rPr>
                <w:rFonts w:ascii="仿宋" w:eastAsia="仿宋" w:hAnsi="仿宋" w:hint="eastAsia"/>
                <w:szCs w:val="28"/>
              </w:rPr>
              <w:t>；岩体力学发展史</w:t>
            </w:r>
            <w:r>
              <w:rPr>
                <w:rFonts w:ascii="仿宋" w:eastAsia="仿宋" w:hAnsi="仿宋"/>
                <w:szCs w:val="28"/>
              </w:rPr>
              <w:t>及在</w:t>
            </w:r>
            <w:r>
              <w:rPr>
                <w:rFonts w:ascii="仿宋" w:eastAsia="仿宋" w:hAnsi="仿宋" w:hint="eastAsia"/>
                <w:szCs w:val="28"/>
              </w:rPr>
              <w:t>地下</w:t>
            </w:r>
            <w:r>
              <w:rPr>
                <w:rFonts w:ascii="仿宋" w:eastAsia="仿宋" w:hAnsi="仿宋"/>
                <w:szCs w:val="28"/>
              </w:rPr>
              <w:t>空间结构专业的地位</w:t>
            </w:r>
            <w:r>
              <w:rPr>
                <w:rFonts w:ascii="仿宋" w:eastAsia="仿宋" w:hAnsi="仿宋" w:hint="eastAsia"/>
                <w:szCs w:val="28"/>
              </w:rPr>
              <w:t>。</w:t>
            </w:r>
          </w:p>
        </w:tc>
        <w:tc>
          <w:tcPr>
            <w:tcW w:w="2410" w:type="dxa"/>
            <w:shd w:val="clear" w:color="auto" w:fill="auto"/>
            <w:vAlign w:val="center"/>
          </w:tcPr>
          <w:p w:rsidR="00374D88" w:rsidRDefault="00374D88" w:rsidP="00BE5664">
            <w:pPr>
              <w:pStyle w:val="aa"/>
              <w:shd w:val="clear" w:color="auto" w:fill="FFFFFF"/>
              <w:spacing w:before="0" w:beforeAutospacing="0" w:after="0" w:line="240" w:lineRule="auto"/>
              <w:rPr>
                <w:rFonts w:ascii="仿宋" w:eastAsia="仿宋" w:hAnsi="仿宋"/>
                <w:szCs w:val="28"/>
              </w:rPr>
            </w:pPr>
            <w:r>
              <w:rPr>
                <w:rFonts w:ascii="仿宋" w:eastAsia="仿宋" w:hAnsi="仿宋" w:hint="eastAsia"/>
                <w:szCs w:val="28"/>
              </w:rPr>
              <w:t>了解课程的目的、内容及要求；掌握岩体力学在学科中的定位。</w:t>
            </w:r>
          </w:p>
        </w:tc>
        <w:tc>
          <w:tcPr>
            <w:tcW w:w="2344" w:type="dxa"/>
            <w:shd w:val="clear" w:color="auto" w:fill="auto"/>
            <w:vAlign w:val="center"/>
          </w:tcPr>
          <w:p w:rsidR="00374D88" w:rsidRDefault="00374D88" w:rsidP="00BE5664">
            <w:pPr>
              <w:widowControl/>
              <w:jc w:val="left"/>
              <w:rPr>
                <w:rFonts w:ascii="仿宋" w:eastAsia="仿宋" w:hAnsi="仿宋"/>
                <w:sz w:val="24"/>
                <w:szCs w:val="28"/>
              </w:rPr>
            </w:pPr>
            <w:r>
              <w:rPr>
                <w:rFonts w:ascii="仿宋" w:eastAsia="仿宋" w:hAnsi="仿宋" w:hint="eastAsia"/>
                <w:sz w:val="24"/>
                <w:szCs w:val="28"/>
              </w:rPr>
              <w:t>1.4 掌握土木工程专业知识，具备知识交叉融合能力，应用于解决土木工程专业复杂工程问题。</w:t>
            </w:r>
          </w:p>
        </w:tc>
      </w:tr>
      <w:tr w:rsidR="00374D88" w:rsidTr="00BE5664">
        <w:trPr>
          <w:jc w:val="center"/>
        </w:trPr>
        <w:tc>
          <w:tcPr>
            <w:tcW w:w="454"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hint="eastAsia"/>
                <w:color w:val="000000"/>
                <w:szCs w:val="28"/>
              </w:rPr>
              <w:t>2</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color w:val="000000"/>
                <w:szCs w:val="28"/>
              </w:rPr>
              <w:t>第二章</w:t>
            </w:r>
            <w:r>
              <w:rPr>
                <w:rFonts w:ascii="仿宋" w:eastAsia="仿宋" w:hAnsi="仿宋" w:hint="eastAsia"/>
                <w:szCs w:val="28"/>
              </w:rPr>
              <w:t>岩石的基本物理力学性质</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color w:val="000000"/>
                <w:szCs w:val="28"/>
              </w:rPr>
              <w:t>5</w:t>
            </w:r>
          </w:p>
        </w:tc>
        <w:tc>
          <w:tcPr>
            <w:tcW w:w="1970" w:type="dxa"/>
            <w:shd w:val="clear" w:color="auto" w:fill="auto"/>
            <w:vAlign w:val="center"/>
          </w:tcPr>
          <w:p w:rsidR="00374D88" w:rsidRDefault="00374D88" w:rsidP="00BE5664">
            <w:pPr>
              <w:pStyle w:val="a5"/>
              <w:spacing w:after="0"/>
              <w:ind w:leftChars="0" w:left="0"/>
              <w:rPr>
                <w:rFonts w:ascii="仿宋" w:eastAsia="仿宋" w:hAnsi="仿宋"/>
                <w:szCs w:val="28"/>
              </w:rPr>
            </w:pPr>
            <w:r>
              <w:rPr>
                <w:rFonts w:ascii="仿宋" w:eastAsia="仿宋" w:hAnsi="仿宋" w:hint="eastAsia"/>
                <w:szCs w:val="28"/>
              </w:rPr>
              <w:t>岩石</w:t>
            </w:r>
            <w:r>
              <w:rPr>
                <w:rFonts w:ascii="仿宋" w:eastAsia="仿宋" w:hAnsi="仿宋"/>
                <w:szCs w:val="28"/>
              </w:rPr>
              <w:t>的基本</w:t>
            </w:r>
            <w:r>
              <w:rPr>
                <w:rFonts w:ascii="仿宋" w:eastAsia="仿宋" w:hAnsi="仿宋" w:hint="eastAsia"/>
                <w:szCs w:val="28"/>
              </w:rPr>
              <w:t>物理性质</w:t>
            </w:r>
            <w:r>
              <w:rPr>
                <w:rFonts w:ascii="仿宋" w:eastAsia="仿宋" w:hAnsi="仿宋"/>
                <w:szCs w:val="28"/>
              </w:rPr>
              <w:t>指标及</w:t>
            </w:r>
            <w:r>
              <w:rPr>
                <w:rFonts w:ascii="仿宋" w:eastAsia="仿宋" w:hAnsi="仿宋" w:hint="eastAsia"/>
                <w:szCs w:val="28"/>
              </w:rPr>
              <w:t>其</w:t>
            </w:r>
            <w:r>
              <w:rPr>
                <w:rFonts w:ascii="仿宋" w:eastAsia="仿宋" w:hAnsi="仿宋"/>
                <w:szCs w:val="28"/>
              </w:rPr>
              <w:t>获得方法；</w:t>
            </w:r>
            <w:r>
              <w:rPr>
                <w:rFonts w:ascii="仿宋" w:eastAsia="仿宋" w:hAnsi="仿宋" w:hint="eastAsia"/>
                <w:szCs w:val="28"/>
              </w:rPr>
              <w:t>岩石</w:t>
            </w:r>
            <w:r>
              <w:rPr>
                <w:rFonts w:ascii="仿宋" w:eastAsia="仿宋" w:hAnsi="仿宋"/>
                <w:szCs w:val="28"/>
              </w:rPr>
              <w:t>的抗压</w:t>
            </w:r>
            <w:r>
              <w:rPr>
                <w:rFonts w:ascii="仿宋" w:eastAsia="仿宋" w:hAnsi="仿宋" w:hint="eastAsia"/>
                <w:szCs w:val="28"/>
              </w:rPr>
              <w:t>、</w:t>
            </w:r>
            <w:r>
              <w:rPr>
                <w:rFonts w:ascii="仿宋" w:eastAsia="仿宋" w:hAnsi="仿宋"/>
                <w:szCs w:val="28"/>
              </w:rPr>
              <w:t>抗拉及抗剪强度特性的概念</w:t>
            </w:r>
            <w:r>
              <w:rPr>
                <w:rFonts w:ascii="仿宋" w:eastAsia="仿宋" w:hAnsi="仿宋" w:hint="eastAsia"/>
                <w:szCs w:val="28"/>
              </w:rPr>
              <w:t>、</w:t>
            </w:r>
            <w:r>
              <w:rPr>
                <w:rFonts w:ascii="仿宋" w:eastAsia="仿宋" w:hAnsi="仿宋"/>
                <w:szCs w:val="28"/>
              </w:rPr>
              <w:t>影响因素</w:t>
            </w:r>
            <w:r>
              <w:rPr>
                <w:rFonts w:ascii="仿宋" w:eastAsia="仿宋" w:hAnsi="仿宋" w:hint="eastAsia"/>
                <w:szCs w:val="28"/>
              </w:rPr>
              <w:t>、</w:t>
            </w:r>
            <w:r>
              <w:rPr>
                <w:rFonts w:ascii="仿宋" w:eastAsia="仿宋" w:hAnsi="仿宋"/>
                <w:szCs w:val="28"/>
              </w:rPr>
              <w:t>试验测试</w:t>
            </w:r>
            <w:r>
              <w:rPr>
                <w:rFonts w:ascii="仿宋" w:eastAsia="仿宋" w:hAnsi="仿宋" w:hint="eastAsia"/>
                <w:szCs w:val="28"/>
              </w:rPr>
              <w:t>、</w:t>
            </w:r>
            <w:r>
              <w:rPr>
                <w:rFonts w:ascii="仿宋" w:eastAsia="仿宋" w:hAnsi="仿宋"/>
                <w:szCs w:val="28"/>
              </w:rPr>
              <w:t>计算方法等；</w:t>
            </w:r>
            <w:r>
              <w:rPr>
                <w:rFonts w:ascii="仿宋" w:eastAsia="仿宋" w:hAnsi="仿宋" w:hint="eastAsia"/>
                <w:szCs w:val="28"/>
              </w:rPr>
              <w:t>岩石</w:t>
            </w:r>
            <w:r>
              <w:rPr>
                <w:rFonts w:ascii="仿宋" w:eastAsia="仿宋" w:hAnsi="仿宋"/>
                <w:szCs w:val="28"/>
              </w:rPr>
              <w:t>的变形特性以及岩石介质的力学模型</w:t>
            </w:r>
            <w:r>
              <w:rPr>
                <w:rFonts w:ascii="仿宋" w:eastAsia="仿宋" w:hAnsi="仿宋" w:hint="eastAsia"/>
                <w:szCs w:val="28"/>
              </w:rPr>
              <w:t>；岩石</w:t>
            </w:r>
            <w:r>
              <w:rPr>
                <w:rFonts w:ascii="仿宋" w:eastAsia="仿宋" w:hAnsi="仿宋"/>
                <w:szCs w:val="28"/>
              </w:rPr>
              <w:t>的破坏机理以及强度理论</w:t>
            </w:r>
            <w:r>
              <w:rPr>
                <w:rFonts w:ascii="仿宋" w:eastAsia="仿宋" w:hAnsi="仿宋" w:hint="eastAsia"/>
                <w:szCs w:val="28"/>
              </w:rPr>
              <w:t>。</w:t>
            </w:r>
          </w:p>
        </w:tc>
        <w:tc>
          <w:tcPr>
            <w:tcW w:w="2410" w:type="dxa"/>
            <w:shd w:val="clear" w:color="auto" w:fill="auto"/>
            <w:vAlign w:val="center"/>
          </w:tcPr>
          <w:p w:rsidR="00374D88" w:rsidRDefault="00374D88" w:rsidP="00BE5664">
            <w:pPr>
              <w:pStyle w:val="aa"/>
              <w:shd w:val="clear" w:color="auto" w:fill="FFFFFF"/>
              <w:spacing w:before="0" w:beforeAutospacing="0" w:after="0" w:line="240" w:lineRule="auto"/>
              <w:rPr>
                <w:rFonts w:ascii="仿宋" w:eastAsia="仿宋" w:hAnsi="仿宋"/>
                <w:szCs w:val="28"/>
              </w:rPr>
            </w:pPr>
            <w:r>
              <w:rPr>
                <w:rFonts w:ascii="仿宋" w:eastAsia="仿宋" w:hAnsi="仿宋" w:hint="eastAsia"/>
                <w:szCs w:val="28"/>
              </w:rPr>
              <w:t>掌握岩石的基本物理性质和强度特性，分清不同强度类型。掌握岩石的变形特性，并对岩石的强度理论能都区分，明确原理。</w:t>
            </w:r>
          </w:p>
        </w:tc>
        <w:tc>
          <w:tcPr>
            <w:tcW w:w="2344" w:type="dxa"/>
            <w:shd w:val="clear" w:color="auto" w:fill="auto"/>
            <w:vAlign w:val="center"/>
          </w:tcPr>
          <w:p w:rsidR="00374D88" w:rsidRDefault="00374D88" w:rsidP="00BE5664">
            <w:pPr>
              <w:pStyle w:val="aa"/>
              <w:shd w:val="clear" w:color="auto" w:fill="FFFFFF"/>
              <w:spacing w:before="0" w:beforeAutospacing="0" w:after="0" w:line="240" w:lineRule="auto"/>
              <w:rPr>
                <w:rFonts w:ascii="仿宋" w:eastAsia="仿宋" w:hAnsi="仿宋"/>
                <w:szCs w:val="28"/>
              </w:rPr>
            </w:pPr>
            <w:r>
              <w:rPr>
                <w:rFonts w:ascii="仿宋" w:eastAsia="仿宋" w:hAnsi="仿宋" w:hint="eastAsia"/>
                <w:szCs w:val="28"/>
              </w:rPr>
              <w:t>1.4 掌握土木工程专业知识，具备知识交叉融合能力，应用于解决土木工程专业复杂工程问题。</w:t>
            </w:r>
          </w:p>
        </w:tc>
      </w:tr>
      <w:tr w:rsidR="00374D88" w:rsidTr="00BE5664">
        <w:trPr>
          <w:jc w:val="center"/>
        </w:trPr>
        <w:tc>
          <w:tcPr>
            <w:tcW w:w="454"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hint="eastAsia"/>
                <w:color w:val="000000"/>
                <w:szCs w:val="28"/>
              </w:rPr>
              <w:t>3</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color w:val="000000"/>
                <w:szCs w:val="28"/>
              </w:rPr>
              <w:t>第三章</w:t>
            </w:r>
            <w:r>
              <w:rPr>
                <w:rFonts w:ascii="仿宋" w:eastAsia="仿宋" w:hAnsi="仿宋" w:hint="eastAsia"/>
                <w:color w:val="000000"/>
                <w:szCs w:val="28"/>
              </w:rPr>
              <w:t xml:space="preserve"> </w:t>
            </w:r>
            <w:r>
              <w:rPr>
                <w:rFonts w:ascii="仿宋" w:eastAsia="仿宋" w:hAnsi="仿宋" w:hint="eastAsia"/>
                <w:szCs w:val="28"/>
              </w:rPr>
              <w:t>岩石</w:t>
            </w:r>
            <w:r>
              <w:rPr>
                <w:rFonts w:ascii="仿宋" w:eastAsia="仿宋" w:hAnsi="仿宋"/>
                <w:szCs w:val="28"/>
              </w:rPr>
              <w:t>的动力学性质</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color w:val="000000"/>
                <w:szCs w:val="28"/>
              </w:rPr>
              <w:t>4</w:t>
            </w:r>
          </w:p>
        </w:tc>
        <w:tc>
          <w:tcPr>
            <w:tcW w:w="1970" w:type="dxa"/>
            <w:shd w:val="clear" w:color="auto" w:fill="auto"/>
            <w:vAlign w:val="center"/>
          </w:tcPr>
          <w:p w:rsidR="00374D88" w:rsidRDefault="00374D88" w:rsidP="00BE5664">
            <w:pPr>
              <w:pStyle w:val="a5"/>
              <w:spacing w:after="0"/>
              <w:ind w:leftChars="0" w:left="0"/>
              <w:rPr>
                <w:rFonts w:ascii="仿宋" w:eastAsia="仿宋" w:hAnsi="仿宋"/>
                <w:szCs w:val="28"/>
              </w:rPr>
            </w:pPr>
            <w:r>
              <w:rPr>
                <w:rFonts w:ascii="仿宋" w:eastAsia="仿宋" w:hAnsi="仿宋" w:hint="eastAsia"/>
                <w:szCs w:val="28"/>
              </w:rPr>
              <w:t>岩石</w:t>
            </w:r>
            <w:r>
              <w:rPr>
                <w:rFonts w:ascii="仿宋" w:eastAsia="仿宋" w:hAnsi="仿宋"/>
                <w:szCs w:val="28"/>
              </w:rPr>
              <w:t>中应力波的概念</w:t>
            </w:r>
            <w:r>
              <w:rPr>
                <w:rFonts w:ascii="仿宋" w:eastAsia="仿宋" w:hAnsi="仿宋" w:hint="eastAsia"/>
                <w:szCs w:val="28"/>
              </w:rPr>
              <w:t>、</w:t>
            </w:r>
            <w:r>
              <w:rPr>
                <w:rFonts w:ascii="仿宋" w:eastAsia="仿宋" w:hAnsi="仿宋"/>
                <w:szCs w:val="28"/>
              </w:rPr>
              <w:t>类型以及波在岩体中的传播特性。</w:t>
            </w:r>
          </w:p>
        </w:tc>
        <w:tc>
          <w:tcPr>
            <w:tcW w:w="2410" w:type="dxa"/>
            <w:shd w:val="clear" w:color="auto" w:fill="auto"/>
            <w:vAlign w:val="center"/>
          </w:tcPr>
          <w:p w:rsidR="00374D88" w:rsidRDefault="00374D88" w:rsidP="00BE5664">
            <w:pPr>
              <w:pStyle w:val="aa"/>
              <w:shd w:val="clear" w:color="auto" w:fill="FFFFFF"/>
              <w:spacing w:before="0" w:beforeAutospacing="0" w:after="0" w:line="240" w:lineRule="auto"/>
              <w:rPr>
                <w:rFonts w:ascii="仿宋" w:eastAsia="仿宋" w:hAnsi="仿宋"/>
                <w:szCs w:val="28"/>
              </w:rPr>
            </w:pPr>
            <w:r>
              <w:rPr>
                <w:rFonts w:ascii="仿宋" w:eastAsia="仿宋" w:hAnsi="仿宋" w:hint="eastAsia"/>
                <w:szCs w:val="28"/>
              </w:rPr>
              <w:t>掌握岩石动力学特性，为后期岩体的初始应力状态学习奠定基础。</w:t>
            </w:r>
          </w:p>
        </w:tc>
        <w:tc>
          <w:tcPr>
            <w:tcW w:w="2344" w:type="dxa"/>
            <w:shd w:val="clear" w:color="auto" w:fill="auto"/>
            <w:vAlign w:val="center"/>
          </w:tcPr>
          <w:p w:rsidR="00374D88" w:rsidRDefault="00374D88" w:rsidP="00BE5664">
            <w:pPr>
              <w:widowControl/>
              <w:jc w:val="left"/>
              <w:rPr>
                <w:rFonts w:ascii="仿宋" w:eastAsia="仿宋" w:hAnsi="仿宋"/>
                <w:sz w:val="24"/>
                <w:szCs w:val="28"/>
              </w:rPr>
            </w:pPr>
            <w:r>
              <w:rPr>
                <w:rFonts w:ascii="仿宋" w:eastAsia="仿宋" w:hAnsi="仿宋" w:hint="eastAsia"/>
                <w:sz w:val="24"/>
                <w:szCs w:val="28"/>
              </w:rPr>
              <w:t>1.4 掌握土木工程专业知识，具备知识交叉融合能力，应用于解决土木工程专业复杂工程问题。</w:t>
            </w:r>
          </w:p>
        </w:tc>
      </w:tr>
      <w:tr w:rsidR="00374D88" w:rsidTr="00BE5664">
        <w:trPr>
          <w:jc w:val="center"/>
        </w:trPr>
        <w:tc>
          <w:tcPr>
            <w:tcW w:w="454"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hint="eastAsia"/>
                <w:color w:val="000000"/>
                <w:szCs w:val="28"/>
              </w:rPr>
              <w:lastRenderedPageBreak/>
              <w:t>4</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color w:val="000000"/>
                <w:szCs w:val="28"/>
              </w:rPr>
              <w:t>第四章</w:t>
            </w:r>
            <w:r>
              <w:rPr>
                <w:rFonts w:ascii="仿宋" w:eastAsia="仿宋" w:hAnsi="仿宋" w:hint="eastAsia"/>
                <w:szCs w:val="28"/>
              </w:rPr>
              <w:t>岩体</w:t>
            </w:r>
            <w:r>
              <w:rPr>
                <w:rFonts w:ascii="仿宋" w:eastAsia="仿宋" w:hAnsi="仿宋"/>
                <w:szCs w:val="28"/>
              </w:rPr>
              <w:t>的基本力学性质</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color w:val="000000"/>
                <w:szCs w:val="28"/>
              </w:rPr>
              <w:t>5</w:t>
            </w:r>
          </w:p>
        </w:tc>
        <w:tc>
          <w:tcPr>
            <w:tcW w:w="1970"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hint="eastAsia"/>
                <w:szCs w:val="28"/>
              </w:rPr>
              <w:t>岩体</w:t>
            </w:r>
            <w:r>
              <w:rPr>
                <w:rFonts w:ascii="仿宋" w:eastAsia="仿宋" w:hAnsi="仿宋"/>
                <w:szCs w:val="28"/>
              </w:rPr>
              <w:t>结构面的概念</w:t>
            </w:r>
            <w:r>
              <w:rPr>
                <w:rFonts w:ascii="仿宋" w:eastAsia="仿宋" w:hAnsi="仿宋" w:hint="eastAsia"/>
                <w:szCs w:val="28"/>
              </w:rPr>
              <w:t>、</w:t>
            </w:r>
            <w:r>
              <w:rPr>
                <w:rFonts w:ascii="仿宋" w:eastAsia="仿宋" w:hAnsi="仿宋"/>
                <w:szCs w:val="28"/>
              </w:rPr>
              <w:t>分类以及</w:t>
            </w:r>
            <w:r>
              <w:rPr>
                <w:rFonts w:ascii="仿宋" w:eastAsia="仿宋" w:hAnsi="仿宋" w:hint="eastAsia"/>
                <w:szCs w:val="28"/>
              </w:rPr>
              <w:t>特征；结构面</w:t>
            </w:r>
            <w:r>
              <w:rPr>
                <w:rFonts w:ascii="仿宋" w:eastAsia="仿宋" w:hAnsi="仿宋"/>
                <w:szCs w:val="28"/>
              </w:rPr>
              <w:t>的变形特性</w:t>
            </w:r>
            <w:r>
              <w:rPr>
                <w:rFonts w:ascii="仿宋" w:eastAsia="仿宋" w:hAnsi="仿宋" w:hint="eastAsia"/>
                <w:szCs w:val="28"/>
              </w:rPr>
              <w:t>；结构面</w:t>
            </w:r>
            <w:r>
              <w:rPr>
                <w:rFonts w:ascii="仿宋" w:eastAsia="仿宋" w:hAnsi="仿宋"/>
                <w:szCs w:val="28"/>
              </w:rPr>
              <w:t>的剪切强度特性</w:t>
            </w:r>
            <w:r>
              <w:rPr>
                <w:rFonts w:ascii="仿宋" w:eastAsia="仿宋" w:hAnsi="仿宋" w:hint="eastAsia"/>
                <w:szCs w:val="28"/>
              </w:rPr>
              <w:t>、力学</w:t>
            </w:r>
            <w:r>
              <w:rPr>
                <w:rFonts w:ascii="仿宋" w:eastAsia="仿宋" w:hAnsi="仿宋"/>
                <w:szCs w:val="28"/>
              </w:rPr>
              <w:t>效应</w:t>
            </w:r>
            <w:r>
              <w:rPr>
                <w:rFonts w:ascii="仿宋" w:eastAsia="仿宋" w:hAnsi="仿宋" w:hint="eastAsia"/>
                <w:szCs w:val="28"/>
              </w:rPr>
              <w:t>；</w:t>
            </w:r>
            <w:r>
              <w:rPr>
                <w:rFonts w:ascii="仿宋" w:eastAsia="仿宋" w:hAnsi="仿宋"/>
                <w:szCs w:val="28"/>
              </w:rPr>
              <w:t>岩体的应力</w:t>
            </w:r>
            <w:r>
              <w:rPr>
                <w:rFonts w:ascii="仿宋" w:eastAsia="仿宋" w:hAnsi="仿宋" w:hint="eastAsia"/>
                <w:szCs w:val="28"/>
              </w:rPr>
              <w:t>-</w:t>
            </w:r>
            <w:r>
              <w:rPr>
                <w:rFonts w:ascii="仿宋" w:eastAsia="仿宋" w:hAnsi="仿宋"/>
                <w:szCs w:val="28"/>
              </w:rPr>
              <w:t>应变分析</w:t>
            </w:r>
            <w:r>
              <w:rPr>
                <w:rFonts w:ascii="仿宋" w:eastAsia="仿宋" w:hAnsi="仿宋" w:hint="eastAsia"/>
                <w:szCs w:val="28"/>
              </w:rPr>
              <w:t>；</w:t>
            </w:r>
            <w:r>
              <w:rPr>
                <w:rFonts w:ascii="仿宋" w:eastAsia="仿宋" w:hAnsi="仿宋"/>
                <w:szCs w:val="28"/>
              </w:rPr>
              <w:t>岩体力学性质的现场测试</w:t>
            </w:r>
            <w:r>
              <w:rPr>
                <w:rFonts w:ascii="仿宋" w:eastAsia="仿宋" w:hAnsi="仿宋" w:hint="eastAsia"/>
                <w:szCs w:val="28"/>
              </w:rPr>
              <w:t>。</w:t>
            </w:r>
          </w:p>
        </w:tc>
        <w:tc>
          <w:tcPr>
            <w:tcW w:w="2410"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hint="eastAsia"/>
                <w:szCs w:val="28"/>
              </w:rPr>
              <w:t>掌握岩体结构面的基本类型、变形特性和强度特性。掌握岩体结构面的强度特性和力学效应。掌握岩体的应力应变曲线和岩体的变形模量，了解岩体力学性能的现场测试方法。</w:t>
            </w:r>
          </w:p>
        </w:tc>
        <w:tc>
          <w:tcPr>
            <w:tcW w:w="2344" w:type="dxa"/>
            <w:shd w:val="clear" w:color="auto" w:fill="auto"/>
            <w:vAlign w:val="center"/>
          </w:tcPr>
          <w:p w:rsidR="00374D88" w:rsidRDefault="00374D88" w:rsidP="00BE5664">
            <w:pPr>
              <w:widowControl/>
              <w:jc w:val="left"/>
              <w:rPr>
                <w:rFonts w:ascii="仿宋" w:eastAsia="仿宋" w:hAnsi="仿宋"/>
                <w:color w:val="000000"/>
                <w:sz w:val="24"/>
                <w:szCs w:val="28"/>
              </w:rPr>
            </w:pPr>
            <w:r>
              <w:rPr>
                <w:rFonts w:ascii="仿宋" w:eastAsia="仿宋" w:hAnsi="仿宋" w:hint="eastAsia"/>
                <w:color w:val="000000"/>
                <w:sz w:val="24"/>
                <w:szCs w:val="28"/>
              </w:rPr>
              <w:t>1.4 掌握土木工程专业知识，具备知识交叉融合能力，应用于解决土木工程专业复杂工程问题。</w:t>
            </w:r>
          </w:p>
        </w:tc>
      </w:tr>
      <w:tr w:rsidR="00374D88" w:rsidTr="00BE5664">
        <w:trPr>
          <w:jc w:val="center"/>
        </w:trPr>
        <w:tc>
          <w:tcPr>
            <w:tcW w:w="454"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hint="eastAsia"/>
                <w:color w:val="000000"/>
                <w:szCs w:val="28"/>
              </w:rPr>
              <w:t>5</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color w:val="000000"/>
                <w:szCs w:val="28"/>
              </w:rPr>
              <w:t>第五章</w:t>
            </w:r>
            <w:r>
              <w:rPr>
                <w:rFonts w:ascii="仿宋" w:eastAsia="仿宋" w:hAnsi="仿宋" w:hint="eastAsia"/>
                <w:color w:val="000000"/>
                <w:szCs w:val="28"/>
              </w:rPr>
              <w:t xml:space="preserve"> </w:t>
            </w:r>
            <w:r>
              <w:rPr>
                <w:rFonts w:ascii="仿宋" w:eastAsia="仿宋" w:hAnsi="仿宋" w:hint="eastAsia"/>
                <w:szCs w:val="28"/>
              </w:rPr>
              <w:t>工程岩体分类</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color w:val="000000"/>
                <w:szCs w:val="28"/>
              </w:rPr>
              <w:t>4</w:t>
            </w:r>
          </w:p>
        </w:tc>
        <w:tc>
          <w:tcPr>
            <w:tcW w:w="1970" w:type="dxa"/>
            <w:shd w:val="clear" w:color="auto" w:fill="auto"/>
            <w:vAlign w:val="center"/>
          </w:tcPr>
          <w:p w:rsidR="00374D88" w:rsidRDefault="00374D88" w:rsidP="00BE5664">
            <w:pPr>
              <w:pStyle w:val="a5"/>
              <w:spacing w:after="0"/>
              <w:ind w:leftChars="0" w:left="0"/>
              <w:rPr>
                <w:rFonts w:ascii="仿宋" w:eastAsia="仿宋" w:hAnsi="仿宋"/>
                <w:szCs w:val="28"/>
              </w:rPr>
            </w:pPr>
            <w:r>
              <w:rPr>
                <w:rFonts w:ascii="仿宋" w:eastAsia="仿宋" w:hAnsi="仿宋" w:hint="eastAsia"/>
                <w:szCs w:val="28"/>
              </w:rPr>
              <w:t>岩体分类的目标和原则；工程岩体代表性分类以及我国岩体工程分类标准。</w:t>
            </w:r>
          </w:p>
        </w:tc>
        <w:tc>
          <w:tcPr>
            <w:tcW w:w="2410" w:type="dxa"/>
            <w:shd w:val="clear" w:color="auto" w:fill="auto"/>
            <w:vAlign w:val="center"/>
          </w:tcPr>
          <w:p w:rsidR="00374D88" w:rsidRDefault="00374D88" w:rsidP="00BE5664">
            <w:pPr>
              <w:pStyle w:val="aa"/>
              <w:shd w:val="clear" w:color="auto" w:fill="FFFFFF"/>
              <w:spacing w:before="0" w:beforeAutospacing="0" w:after="0" w:line="240" w:lineRule="auto"/>
              <w:rPr>
                <w:rFonts w:ascii="仿宋" w:eastAsia="仿宋" w:hAnsi="仿宋"/>
                <w:szCs w:val="28"/>
              </w:rPr>
            </w:pPr>
            <w:r>
              <w:rPr>
                <w:rFonts w:ascii="仿宋" w:eastAsia="仿宋" w:hAnsi="仿宋" w:hint="eastAsia"/>
                <w:szCs w:val="28"/>
              </w:rPr>
              <w:t>掌握工程岩体代表性分类及其分类的原则。掌握我国岩体分类的标准。</w:t>
            </w:r>
          </w:p>
        </w:tc>
        <w:tc>
          <w:tcPr>
            <w:tcW w:w="2344" w:type="dxa"/>
            <w:shd w:val="clear" w:color="auto" w:fill="auto"/>
            <w:vAlign w:val="center"/>
          </w:tcPr>
          <w:p w:rsidR="00374D88" w:rsidRDefault="00374D88" w:rsidP="00BE5664">
            <w:pPr>
              <w:widowControl/>
              <w:jc w:val="left"/>
              <w:rPr>
                <w:rFonts w:ascii="仿宋" w:eastAsia="仿宋" w:hAnsi="仿宋"/>
                <w:sz w:val="24"/>
                <w:szCs w:val="28"/>
              </w:rPr>
            </w:pPr>
            <w:r>
              <w:rPr>
                <w:rFonts w:ascii="仿宋" w:eastAsia="仿宋" w:hAnsi="仿宋" w:hint="eastAsia"/>
                <w:sz w:val="24"/>
                <w:szCs w:val="28"/>
              </w:rPr>
              <w:t>5.2 能够选择与使用勘测、制图、检测、计算、设计等恰当的技术和资源，对土木工程专业复杂工程问题进行分析、计算和设计，并理解其局限性。</w:t>
            </w:r>
          </w:p>
        </w:tc>
      </w:tr>
      <w:tr w:rsidR="00374D88" w:rsidTr="00BE5664">
        <w:trPr>
          <w:jc w:val="center"/>
        </w:trPr>
        <w:tc>
          <w:tcPr>
            <w:tcW w:w="454"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hint="eastAsia"/>
                <w:color w:val="000000"/>
                <w:szCs w:val="28"/>
              </w:rPr>
              <w:t>6</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color w:val="000000"/>
                <w:szCs w:val="28"/>
              </w:rPr>
              <w:t>第六章</w:t>
            </w:r>
            <w:r>
              <w:rPr>
                <w:rFonts w:ascii="仿宋" w:eastAsia="仿宋" w:hAnsi="仿宋" w:hint="eastAsia"/>
                <w:szCs w:val="28"/>
              </w:rPr>
              <w:t>岩体</w:t>
            </w:r>
            <w:r>
              <w:rPr>
                <w:rFonts w:ascii="仿宋" w:eastAsia="仿宋" w:hAnsi="仿宋"/>
                <w:szCs w:val="28"/>
              </w:rPr>
              <w:t>的初始应力状态</w:t>
            </w:r>
          </w:p>
        </w:tc>
        <w:tc>
          <w:tcPr>
            <w:tcW w:w="698" w:type="dxa"/>
            <w:shd w:val="clear" w:color="auto" w:fill="auto"/>
            <w:vAlign w:val="center"/>
          </w:tcPr>
          <w:p w:rsidR="00374D88" w:rsidRDefault="00374D88" w:rsidP="00BE5664">
            <w:pPr>
              <w:pStyle w:val="aa"/>
              <w:spacing w:before="0" w:beforeAutospacing="0" w:after="0" w:line="240" w:lineRule="auto"/>
              <w:jc w:val="center"/>
              <w:rPr>
                <w:rFonts w:ascii="仿宋" w:eastAsia="仿宋" w:hAnsi="仿宋"/>
                <w:color w:val="000000"/>
                <w:szCs w:val="28"/>
              </w:rPr>
            </w:pPr>
            <w:r>
              <w:rPr>
                <w:rFonts w:ascii="仿宋" w:eastAsia="仿宋" w:hAnsi="仿宋"/>
                <w:color w:val="000000"/>
                <w:szCs w:val="28"/>
              </w:rPr>
              <w:t>4</w:t>
            </w:r>
          </w:p>
        </w:tc>
        <w:tc>
          <w:tcPr>
            <w:tcW w:w="1970" w:type="dxa"/>
            <w:shd w:val="clear" w:color="auto" w:fill="auto"/>
            <w:vAlign w:val="center"/>
          </w:tcPr>
          <w:p w:rsidR="00374D88" w:rsidRDefault="00374D88" w:rsidP="00BE5664">
            <w:pPr>
              <w:pStyle w:val="a5"/>
              <w:spacing w:after="0"/>
              <w:ind w:leftChars="0" w:left="0"/>
              <w:rPr>
                <w:rFonts w:ascii="仿宋" w:eastAsia="仿宋" w:hAnsi="仿宋"/>
                <w:szCs w:val="28"/>
              </w:rPr>
            </w:pPr>
            <w:r>
              <w:rPr>
                <w:rFonts w:ascii="仿宋" w:eastAsia="仿宋" w:hAnsi="仿宋"/>
                <w:szCs w:val="28"/>
              </w:rPr>
              <w:t>岩体的初始应力场的基本概念、分布</w:t>
            </w:r>
            <w:r>
              <w:rPr>
                <w:rFonts w:ascii="仿宋" w:eastAsia="仿宋" w:hAnsi="仿宋" w:hint="eastAsia"/>
                <w:szCs w:val="28"/>
              </w:rPr>
              <w:t>、</w:t>
            </w:r>
            <w:r>
              <w:rPr>
                <w:rFonts w:ascii="仿宋" w:eastAsia="仿宋" w:hAnsi="仿宋"/>
                <w:szCs w:val="28"/>
              </w:rPr>
              <w:t>影响因素及量测方法</w:t>
            </w:r>
            <w:r>
              <w:rPr>
                <w:rFonts w:ascii="仿宋" w:eastAsia="仿宋" w:hAnsi="仿宋" w:hint="eastAsia"/>
                <w:szCs w:val="28"/>
              </w:rPr>
              <w:t>；高应力</w:t>
            </w:r>
            <w:r>
              <w:rPr>
                <w:rFonts w:ascii="仿宋" w:eastAsia="仿宋" w:hAnsi="仿宋"/>
                <w:szCs w:val="28"/>
              </w:rPr>
              <w:t>地区主要岩体力学问题以及研究进展</w:t>
            </w:r>
            <w:r>
              <w:rPr>
                <w:rFonts w:ascii="仿宋" w:eastAsia="仿宋" w:hAnsi="仿宋" w:hint="eastAsia"/>
                <w:szCs w:val="28"/>
              </w:rPr>
              <w:t>。</w:t>
            </w:r>
          </w:p>
        </w:tc>
        <w:tc>
          <w:tcPr>
            <w:tcW w:w="2410" w:type="dxa"/>
            <w:shd w:val="clear" w:color="auto" w:fill="auto"/>
            <w:vAlign w:val="center"/>
          </w:tcPr>
          <w:p w:rsidR="00374D88" w:rsidRDefault="00374D88" w:rsidP="00BE5664">
            <w:pPr>
              <w:pStyle w:val="aa"/>
              <w:shd w:val="clear" w:color="auto" w:fill="FFFFFF"/>
              <w:spacing w:before="0" w:beforeAutospacing="0" w:after="0" w:line="240" w:lineRule="auto"/>
              <w:rPr>
                <w:rFonts w:ascii="仿宋" w:eastAsia="仿宋" w:hAnsi="仿宋"/>
                <w:szCs w:val="28"/>
              </w:rPr>
            </w:pPr>
            <w:r>
              <w:rPr>
                <w:rFonts w:ascii="仿宋" w:eastAsia="仿宋" w:hAnsi="仿宋" w:hint="eastAsia"/>
                <w:szCs w:val="28"/>
              </w:rPr>
              <w:t>了解初始应力场的影响因素，掌握初始应力场的分布规律和现场测试方法。</w:t>
            </w:r>
          </w:p>
        </w:tc>
        <w:tc>
          <w:tcPr>
            <w:tcW w:w="2344" w:type="dxa"/>
            <w:shd w:val="clear" w:color="auto" w:fill="auto"/>
            <w:vAlign w:val="center"/>
          </w:tcPr>
          <w:p w:rsidR="00374D88" w:rsidRDefault="00374D88" w:rsidP="00BE5664">
            <w:pPr>
              <w:widowControl/>
              <w:jc w:val="left"/>
              <w:rPr>
                <w:rFonts w:ascii="仿宋" w:eastAsia="仿宋" w:hAnsi="仿宋"/>
                <w:sz w:val="24"/>
                <w:szCs w:val="28"/>
              </w:rPr>
            </w:pPr>
            <w:r>
              <w:rPr>
                <w:rFonts w:ascii="仿宋" w:eastAsia="仿宋" w:hAnsi="仿宋" w:hint="eastAsia"/>
                <w:sz w:val="24"/>
                <w:szCs w:val="28"/>
              </w:rPr>
              <w:t>5.2 能够选择与使用勘测、制图、检测、计算、设计等恰当的技术和资源，对土木工程专业复杂工程问题进行分析、计算和设计，并理解其局限性。</w:t>
            </w:r>
          </w:p>
        </w:tc>
      </w:tr>
    </w:tbl>
    <w:p w:rsidR="00374D88" w:rsidRDefault="00374D88" w:rsidP="00374D88">
      <w:pPr>
        <w:snapToGrid w:val="0"/>
        <w:spacing w:beforeLines="50" w:before="156" w:line="360" w:lineRule="auto"/>
        <w:rPr>
          <w:rFonts w:eastAsia="黑体"/>
          <w:b/>
          <w:sz w:val="28"/>
          <w:szCs w:val="28"/>
        </w:rPr>
      </w:pPr>
      <w:r>
        <w:rPr>
          <w:rFonts w:eastAsia="黑体"/>
          <w:b/>
          <w:sz w:val="28"/>
          <w:szCs w:val="28"/>
        </w:rPr>
        <w:t>五、</w:t>
      </w:r>
      <w:r>
        <w:rPr>
          <w:rFonts w:eastAsia="黑体" w:hint="eastAsia"/>
          <w:b/>
          <w:sz w:val="28"/>
          <w:szCs w:val="28"/>
        </w:rPr>
        <w:t>课程考核方式与成绩评定</w:t>
      </w:r>
    </w:p>
    <w:p w:rsidR="00374D88" w:rsidRDefault="00374D88" w:rsidP="00374D88">
      <w:pPr>
        <w:snapToGrid w:val="0"/>
        <w:spacing w:line="360" w:lineRule="auto"/>
        <w:ind w:firstLineChars="200" w:firstLine="560"/>
        <w:rPr>
          <w:sz w:val="28"/>
          <w:szCs w:val="28"/>
        </w:rPr>
      </w:pPr>
      <w:r>
        <w:rPr>
          <w:sz w:val="28"/>
          <w:szCs w:val="28"/>
        </w:rPr>
        <w:t xml:space="preserve">1. </w:t>
      </w:r>
      <w:r>
        <w:rPr>
          <w:sz w:val="28"/>
          <w:szCs w:val="28"/>
        </w:rPr>
        <w:t>课程考核</w:t>
      </w:r>
    </w:p>
    <w:p w:rsidR="00374D88" w:rsidRDefault="00374D88" w:rsidP="00374D88">
      <w:pPr>
        <w:adjustRightInd w:val="0"/>
        <w:snapToGrid w:val="0"/>
        <w:spacing w:line="360" w:lineRule="auto"/>
        <w:ind w:firstLineChars="200" w:firstLine="560"/>
        <w:jc w:val="left"/>
        <w:rPr>
          <w:rFonts w:ascii="仿宋" w:eastAsia="仿宋" w:hAnsi="仿宋"/>
          <w:sz w:val="28"/>
          <w:szCs w:val="28"/>
        </w:rPr>
      </w:pPr>
      <w:r>
        <w:rPr>
          <w:rFonts w:ascii="仿宋" w:eastAsia="仿宋" w:hAnsi="仿宋"/>
          <w:sz w:val="28"/>
          <w:szCs w:val="28"/>
        </w:rPr>
        <w:t>课程总评成绩由平时成绩、实验成绩和期终考试（闭卷）3个考核环节综合评定产生</w:t>
      </w:r>
      <w:r>
        <w:rPr>
          <w:rFonts w:ascii="仿宋" w:eastAsia="仿宋" w:hAnsi="仿宋" w:hint="eastAsia"/>
          <w:sz w:val="28"/>
          <w:szCs w:val="28"/>
        </w:rPr>
        <w:t>。</w:t>
      </w:r>
    </w:p>
    <w:p w:rsidR="00374D88" w:rsidRDefault="00374D88" w:rsidP="00374D88">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2. 成绩评定</w:t>
      </w:r>
    </w:p>
    <w:p w:rsidR="00374D88" w:rsidRDefault="00374D88" w:rsidP="00374D88">
      <w:pPr>
        <w:adjustRightInd w:val="0"/>
        <w:snapToGrid w:val="0"/>
        <w:spacing w:line="360" w:lineRule="auto"/>
        <w:ind w:firstLineChars="200" w:firstLine="560"/>
        <w:jc w:val="left"/>
        <w:rPr>
          <w:rFonts w:ascii="仿宋" w:eastAsia="仿宋" w:hAnsi="仿宋"/>
          <w:sz w:val="28"/>
          <w:szCs w:val="28"/>
        </w:rPr>
      </w:pPr>
      <w:r>
        <w:rPr>
          <w:rFonts w:ascii="仿宋" w:eastAsia="仿宋" w:hAnsi="仿宋"/>
          <w:sz w:val="28"/>
          <w:szCs w:val="28"/>
        </w:rPr>
        <w:t>考核方式为考试</w:t>
      </w:r>
      <w:r>
        <w:rPr>
          <w:rFonts w:ascii="仿宋" w:eastAsia="仿宋" w:hAnsi="仿宋" w:hint="eastAsia"/>
          <w:sz w:val="28"/>
          <w:szCs w:val="28"/>
        </w:rPr>
        <w:t>，</w:t>
      </w:r>
      <w:r>
        <w:rPr>
          <w:rFonts w:ascii="仿宋" w:eastAsia="仿宋" w:hAnsi="仿宋"/>
          <w:sz w:val="28"/>
          <w:szCs w:val="28"/>
        </w:rPr>
        <w:t>成绩评定为百分制。</w:t>
      </w:r>
    </w:p>
    <w:p w:rsidR="00374D88" w:rsidRDefault="00374D88" w:rsidP="00374D88">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课程总成绩=期末成绩</w:t>
      </w:r>
      <w:r>
        <w:rPr>
          <w:rFonts w:ascii="仿宋" w:eastAsia="仿宋" w:hAnsi="仿宋"/>
          <w:sz w:val="28"/>
          <w:szCs w:val="28"/>
        </w:rPr>
        <w:t>8</w:t>
      </w:r>
      <w:r>
        <w:rPr>
          <w:rFonts w:ascii="仿宋" w:eastAsia="仿宋" w:hAnsi="仿宋" w:hint="eastAsia"/>
          <w:sz w:val="28"/>
          <w:szCs w:val="28"/>
        </w:rPr>
        <w:t>0%+平时成绩20%</w:t>
      </w:r>
    </w:p>
    <w:p w:rsidR="00374D88" w:rsidRDefault="00374D88" w:rsidP="00374D88">
      <w:pPr>
        <w:adjustRightInd w:val="0"/>
        <w:snapToGrid w:val="0"/>
        <w:spacing w:line="360" w:lineRule="auto"/>
        <w:ind w:firstLineChars="200" w:firstLine="560"/>
        <w:jc w:val="left"/>
        <w:rPr>
          <w:rFonts w:ascii="仿宋" w:eastAsia="仿宋" w:hAnsi="仿宋"/>
          <w:sz w:val="28"/>
          <w:szCs w:val="28"/>
        </w:rPr>
      </w:pPr>
      <w:r>
        <w:rPr>
          <w:rFonts w:ascii="仿宋" w:eastAsia="仿宋" w:hAnsi="仿宋"/>
          <w:sz w:val="28"/>
          <w:szCs w:val="28"/>
        </w:rPr>
        <w:t>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4637"/>
        <w:gridCol w:w="1667"/>
      </w:tblGrid>
      <w:tr w:rsidR="00374D88" w:rsidTr="00BE5664">
        <w:trPr>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b/>
                <w:sz w:val="24"/>
                <w:szCs w:val="20"/>
              </w:rPr>
            </w:pPr>
            <w:r>
              <w:rPr>
                <w:rFonts w:ascii="仿宋" w:eastAsia="仿宋" w:hAnsi="仿宋"/>
                <w:b/>
                <w:sz w:val="24"/>
                <w:szCs w:val="20"/>
              </w:rPr>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b/>
                <w:sz w:val="24"/>
                <w:szCs w:val="20"/>
              </w:rPr>
            </w:pPr>
            <w:r>
              <w:rPr>
                <w:rFonts w:ascii="仿宋" w:eastAsia="仿宋" w:hAnsi="仿宋"/>
                <w:b/>
                <w:sz w:val="24"/>
                <w:szCs w:val="20"/>
              </w:rPr>
              <w:t>教学目标</w:t>
            </w:r>
          </w:p>
        </w:tc>
      </w:tr>
      <w:tr w:rsidR="00374D88" w:rsidTr="00BE5664">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b/>
                <w:sz w:val="24"/>
                <w:szCs w:val="20"/>
              </w:rPr>
            </w:pPr>
            <w:r>
              <w:rPr>
                <w:rFonts w:ascii="仿宋" w:eastAsia="仿宋" w:hAnsi="仿宋"/>
                <w:b/>
                <w:sz w:val="24"/>
                <w:szCs w:val="20"/>
              </w:rPr>
              <w:t>分项比例</w:t>
            </w:r>
          </w:p>
        </w:tc>
        <w:tc>
          <w:tcPr>
            <w:tcW w:w="2795"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b/>
                <w:sz w:val="24"/>
                <w:szCs w:val="20"/>
              </w:rPr>
            </w:pPr>
            <w:r>
              <w:rPr>
                <w:rFonts w:ascii="仿宋" w:eastAsia="仿宋" w:hAnsi="仿宋" w:hint="eastAsia"/>
                <w:b/>
                <w:sz w:val="24"/>
                <w:szCs w:val="20"/>
              </w:rPr>
              <w:t>考核要求</w:t>
            </w:r>
          </w:p>
        </w:tc>
        <w:tc>
          <w:tcPr>
            <w:tcW w:w="1005" w:type="pct"/>
            <w:vMerge/>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szCs w:val="20"/>
              </w:rPr>
            </w:pPr>
          </w:p>
        </w:tc>
      </w:tr>
      <w:tr w:rsidR="00374D88" w:rsidTr="00BE5664">
        <w:trPr>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szCs w:val="20"/>
              </w:rPr>
            </w:pPr>
            <w:r>
              <w:rPr>
                <w:rFonts w:ascii="仿宋" w:eastAsia="仿宋" w:hAnsi="仿宋"/>
                <w:sz w:val="24"/>
                <w:szCs w:val="20"/>
              </w:rPr>
              <w:lastRenderedPageBreak/>
              <w:t>平时成绩</w:t>
            </w:r>
          </w:p>
          <w:p w:rsidR="00374D88" w:rsidRDefault="00374D88" w:rsidP="00BE5664">
            <w:pPr>
              <w:jc w:val="center"/>
              <w:rPr>
                <w:rFonts w:ascii="仿宋" w:eastAsia="仿宋" w:hAnsi="仿宋"/>
                <w:sz w:val="24"/>
                <w:szCs w:val="20"/>
              </w:rPr>
            </w:pPr>
            <w:r>
              <w:rPr>
                <w:rFonts w:ascii="仿宋" w:eastAsia="仿宋" w:hAnsi="仿宋"/>
                <w:sz w:val="24"/>
                <w:szCs w:val="20"/>
              </w:rPr>
              <w:t>（20%）</w:t>
            </w:r>
          </w:p>
        </w:tc>
        <w:tc>
          <w:tcPr>
            <w:tcW w:w="2795" w:type="pct"/>
            <w:vMerge w:val="restart"/>
            <w:tcBorders>
              <w:top w:val="single" w:sz="4" w:space="0" w:color="auto"/>
              <w:left w:val="single" w:sz="4" w:space="0" w:color="auto"/>
              <w:right w:val="single" w:sz="4" w:space="0" w:color="auto"/>
            </w:tcBorders>
            <w:vAlign w:val="center"/>
          </w:tcPr>
          <w:p w:rsidR="00374D88" w:rsidRDefault="00374D88" w:rsidP="00BE5664">
            <w:pPr>
              <w:rPr>
                <w:rFonts w:ascii="仿宋" w:eastAsia="仿宋" w:hAnsi="仿宋"/>
                <w:sz w:val="24"/>
                <w:szCs w:val="20"/>
              </w:rPr>
            </w:pPr>
            <w:r>
              <w:rPr>
                <w:rFonts w:ascii="仿宋" w:eastAsia="仿宋" w:hAnsi="仿宋" w:hint="eastAsia"/>
                <w:sz w:val="24"/>
                <w:szCs w:val="20"/>
              </w:rPr>
              <w:t>出勤统计不少于授课次数的 2/3，重点考察学生的课堂表现，占 20%；课后作业布置</w:t>
            </w:r>
            <w:r>
              <w:rPr>
                <w:rFonts w:ascii="仿宋" w:eastAsia="仿宋" w:hAnsi="仿宋"/>
                <w:sz w:val="24"/>
                <w:szCs w:val="20"/>
              </w:rPr>
              <w:t>4</w:t>
            </w:r>
            <w:r>
              <w:rPr>
                <w:rFonts w:ascii="仿宋" w:eastAsia="仿宋" w:hAnsi="仿宋" w:hint="eastAsia"/>
                <w:sz w:val="24"/>
                <w:szCs w:val="20"/>
              </w:rPr>
              <w:t>次；通过课后作业考核学生对基本物理性质指标计算，岩石的变形特性，岩石介质的力学模型构架思路，结构面的剪切强度特性、力学效应以及岩体的应力-应变分析的掌握情况，占 80%。</w:t>
            </w:r>
          </w:p>
        </w:tc>
        <w:tc>
          <w:tcPr>
            <w:tcW w:w="1005"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szCs w:val="20"/>
              </w:rPr>
            </w:pPr>
            <w:r>
              <w:rPr>
                <w:rFonts w:ascii="仿宋" w:eastAsia="仿宋" w:hAnsi="仿宋"/>
                <w:sz w:val="24"/>
                <w:szCs w:val="20"/>
              </w:rPr>
              <w:t>（1）</w:t>
            </w:r>
            <w:r>
              <w:rPr>
                <w:rFonts w:ascii="仿宋" w:eastAsia="仿宋" w:hAnsi="仿宋" w:hint="eastAsia"/>
                <w:sz w:val="24"/>
                <w:szCs w:val="20"/>
              </w:rPr>
              <w:t>（</w:t>
            </w:r>
            <w:r>
              <w:rPr>
                <w:rFonts w:ascii="仿宋" w:eastAsia="仿宋" w:hAnsi="仿宋"/>
                <w:sz w:val="24"/>
                <w:szCs w:val="20"/>
              </w:rPr>
              <w:t>3</w:t>
            </w:r>
            <w:r>
              <w:rPr>
                <w:rFonts w:ascii="仿宋" w:eastAsia="仿宋" w:hAnsi="仿宋" w:hint="eastAsia"/>
                <w:sz w:val="24"/>
                <w:szCs w:val="20"/>
              </w:rPr>
              <w:t>）</w:t>
            </w:r>
          </w:p>
        </w:tc>
      </w:tr>
      <w:tr w:rsidR="00374D88" w:rsidTr="00BE5664">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szCs w:val="20"/>
              </w:rPr>
            </w:pPr>
          </w:p>
        </w:tc>
        <w:tc>
          <w:tcPr>
            <w:tcW w:w="2795" w:type="pct"/>
            <w:vMerge/>
            <w:tcBorders>
              <w:left w:val="single" w:sz="4" w:space="0" w:color="auto"/>
              <w:right w:val="single" w:sz="4" w:space="0" w:color="auto"/>
            </w:tcBorders>
            <w:vAlign w:val="center"/>
          </w:tcPr>
          <w:p w:rsidR="00374D88" w:rsidRDefault="00374D88" w:rsidP="00BE5664">
            <w:pPr>
              <w:rPr>
                <w:rFonts w:ascii="仿宋" w:eastAsia="仿宋" w:hAnsi="仿宋"/>
                <w:sz w:val="24"/>
                <w:szCs w:val="20"/>
              </w:rPr>
            </w:pPr>
          </w:p>
        </w:tc>
        <w:tc>
          <w:tcPr>
            <w:tcW w:w="1005"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szCs w:val="20"/>
              </w:rPr>
            </w:pPr>
            <w:r>
              <w:rPr>
                <w:rFonts w:ascii="仿宋" w:eastAsia="仿宋" w:hAnsi="仿宋" w:hint="eastAsia"/>
                <w:sz w:val="24"/>
                <w:szCs w:val="20"/>
              </w:rPr>
              <w:t>（</w:t>
            </w:r>
            <w:r>
              <w:rPr>
                <w:rFonts w:ascii="仿宋" w:eastAsia="仿宋" w:hAnsi="仿宋"/>
                <w:sz w:val="24"/>
                <w:szCs w:val="20"/>
              </w:rPr>
              <w:t>1</w:t>
            </w:r>
            <w:r>
              <w:rPr>
                <w:rFonts w:ascii="仿宋" w:eastAsia="仿宋" w:hAnsi="仿宋" w:hint="eastAsia"/>
                <w:sz w:val="24"/>
                <w:szCs w:val="20"/>
              </w:rPr>
              <w:t>）</w:t>
            </w:r>
            <w:r>
              <w:rPr>
                <w:rFonts w:ascii="仿宋" w:eastAsia="仿宋" w:hAnsi="仿宋"/>
                <w:sz w:val="24"/>
                <w:szCs w:val="20"/>
              </w:rPr>
              <w:t>（2）</w:t>
            </w:r>
          </w:p>
        </w:tc>
      </w:tr>
      <w:tr w:rsidR="00374D88" w:rsidTr="00BE5664">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szCs w:val="20"/>
              </w:rPr>
            </w:pPr>
          </w:p>
        </w:tc>
        <w:tc>
          <w:tcPr>
            <w:tcW w:w="2795" w:type="pct"/>
            <w:vMerge/>
            <w:tcBorders>
              <w:left w:val="single" w:sz="4" w:space="0" w:color="auto"/>
              <w:bottom w:val="single" w:sz="4" w:space="0" w:color="auto"/>
              <w:right w:val="single" w:sz="4" w:space="0" w:color="auto"/>
            </w:tcBorders>
            <w:vAlign w:val="center"/>
          </w:tcPr>
          <w:p w:rsidR="00374D88" w:rsidRDefault="00374D88" w:rsidP="00BE5664">
            <w:pPr>
              <w:rPr>
                <w:rFonts w:ascii="仿宋" w:eastAsia="仿宋" w:hAnsi="仿宋"/>
                <w:sz w:val="24"/>
                <w:szCs w:val="20"/>
              </w:rPr>
            </w:pPr>
          </w:p>
        </w:tc>
        <w:tc>
          <w:tcPr>
            <w:tcW w:w="1005"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szCs w:val="20"/>
              </w:rPr>
            </w:pPr>
            <w:r>
              <w:rPr>
                <w:rFonts w:ascii="仿宋" w:eastAsia="仿宋" w:hAnsi="仿宋"/>
                <w:sz w:val="24"/>
                <w:szCs w:val="20"/>
              </w:rPr>
              <w:t>（1）（2）</w:t>
            </w:r>
            <w:r>
              <w:rPr>
                <w:rFonts w:ascii="仿宋" w:eastAsia="仿宋" w:hAnsi="仿宋" w:hint="eastAsia"/>
                <w:sz w:val="24"/>
                <w:szCs w:val="20"/>
              </w:rPr>
              <w:t>（3）</w:t>
            </w:r>
          </w:p>
        </w:tc>
      </w:tr>
      <w:tr w:rsidR="00374D88" w:rsidTr="00BE5664">
        <w:trPr>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szCs w:val="20"/>
              </w:rPr>
            </w:pPr>
            <w:r>
              <w:rPr>
                <w:rFonts w:ascii="仿宋" w:eastAsia="仿宋" w:hAnsi="仿宋"/>
                <w:sz w:val="24"/>
                <w:szCs w:val="20"/>
              </w:rPr>
              <w:t>期终考试</w:t>
            </w:r>
          </w:p>
          <w:p w:rsidR="00374D88" w:rsidRDefault="00374D88" w:rsidP="00BE5664">
            <w:pPr>
              <w:jc w:val="center"/>
              <w:rPr>
                <w:rFonts w:ascii="仿宋" w:eastAsia="仿宋" w:hAnsi="仿宋"/>
                <w:sz w:val="24"/>
                <w:szCs w:val="20"/>
              </w:rPr>
            </w:pPr>
            <w:r>
              <w:rPr>
                <w:rFonts w:ascii="仿宋" w:eastAsia="仿宋" w:hAnsi="仿宋"/>
                <w:sz w:val="24"/>
                <w:szCs w:val="20"/>
              </w:rPr>
              <w:t>（80%）</w:t>
            </w:r>
          </w:p>
        </w:tc>
        <w:tc>
          <w:tcPr>
            <w:tcW w:w="2795" w:type="pct"/>
            <w:vMerge w:val="restart"/>
            <w:tcBorders>
              <w:top w:val="single" w:sz="4" w:space="0" w:color="auto"/>
              <w:left w:val="single" w:sz="4" w:space="0" w:color="auto"/>
              <w:right w:val="single" w:sz="4" w:space="0" w:color="auto"/>
            </w:tcBorders>
            <w:vAlign w:val="center"/>
          </w:tcPr>
          <w:p w:rsidR="00374D88" w:rsidRDefault="00374D88" w:rsidP="00BE5664">
            <w:pPr>
              <w:rPr>
                <w:rFonts w:ascii="仿宋" w:eastAsia="仿宋" w:hAnsi="仿宋"/>
                <w:sz w:val="24"/>
                <w:szCs w:val="20"/>
              </w:rPr>
            </w:pPr>
            <w:r>
              <w:rPr>
                <w:rFonts w:ascii="仿宋" w:eastAsia="仿宋" w:hAnsi="仿宋" w:hint="eastAsia"/>
                <w:sz w:val="24"/>
                <w:szCs w:val="20"/>
              </w:rPr>
              <w:t>期末考试采用闭卷形式。考试范围基本涵盖所有讲授内容，考试内容主要反映学生对本课程概念理解与计算，以及分析问题方法的能力。</w:t>
            </w:r>
          </w:p>
        </w:tc>
        <w:tc>
          <w:tcPr>
            <w:tcW w:w="1005"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szCs w:val="20"/>
              </w:rPr>
            </w:pPr>
            <w:r>
              <w:rPr>
                <w:rFonts w:ascii="仿宋" w:eastAsia="仿宋" w:hAnsi="仿宋"/>
                <w:sz w:val="24"/>
                <w:szCs w:val="20"/>
              </w:rPr>
              <w:t>（1）</w:t>
            </w:r>
            <w:r>
              <w:rPr>
                <w:rFonts w:ascii="仿宋" w:eastAsia="仿宋" w:hAnsi="仿宋" w:hint="eastAsia"/>
                <w:sz w:val="24"/>
                <w:szCs w:val="20"/>
              </w:rPr>
              <w:t>（</w:t>
            </w:r>
            <w:r>
              <w:rPr>
                <w:rFonts w:ascii="仿宋" w:eastAsia="仿宋" w:hAnsi="仿宋"/>
                <w:sz w:val="24"/>
                <w:szCs w:val="20"/>
              </w:rPr>
              <w:t>3</w:t>
            </w:r>
            <w:r>
              <w:rPr>
                <w:rFonts w:ascii="仿宋" w:eastAsia="仿宋" w:hAnsi="仿宋" w:hint="eastAsia"/>
                <w:sz w:val="24"/>
                <w:szCs w:val="20"/>
              </w:rPr>
              <w:t>）</w:t>
            </w:r>
          </w:p>
        </w:tc>
      </w:tr>
      <w:tr w:rsidR="00374D88" w:rsidTr="00BE5664">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szCs w:val="20"/>
              </w:rPr>
            </w:pPr>
          </w:p>
        </w:tc>
        <w:tc>
          <w:tcPr>
            <w:tcW w:w="2795" w:type="pct"/>
            <w:vMerge/>
            <w:tcBorders>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szCs w:val="20"/>
              </w:rPr>
            </w:pPr>
          </w:p>
        </w:tc>
        <w:tc>
          <w:tcPr>
            <w:tcW w:w="1005"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仿宋" w:eastAsia="仿宋" w:hAnsi="仿宋"/>
                <w:sz w:val="24"/>
                <w:szCs w:val="20"/>
              </w:rPr>
            </w:pPr>
            <w:r>
              <w:rPr>
                <w:rFonts w:ascii="仿宋" w:eastAsia="仿宋" w:hAnsi="仿宋" w:hint="eastAsia"/>
                <w:sz w:val="24"/>
                <w:szCs w:val="20"/>
              </w:rPr>
              <w:t>（</w:t>
            </w:r>
            <w:r>
              <w:rPr>
                <w:rFonts w:ascii="仿宋" w:eastAsia="仿宋" w:hAnsi="仿宋"/>
                <w:sz w:val="24"/>
                <w:szCs w:val="20"/>
              </w:rPr>
              <w:t>1</w:t>
            </w:r>
            <w:r>
              <w:rPr>
                <w:rFonts w:ascii="仿宋" w:eastAsia="仿宋" w:hAnsi="仿宋" w:hint="eastAsia"/>
                <w:sz w:val="24"/>
                <w:szCs w:val="20"/>
              </w:rPr>
              <w:t>）</w:t>
            </w:r>
            <w:r>
              <w:rPr>
                <w:rFonts w:ascii="仿宋" w:eastAsia="仿宋" w:hAnsi="仿宋"/>
                <w:sz w:val="24"/>
                <w:szCs w:val="20"/>
              </w:rPr>
              <w:t>（2）</w:t>
            </w:r>
          </w:p>
        </w:tc>
      </w:tr>
    </w:tbl>
    <w:p w:rsidR="00374D88" w:rsidRDefault="00374D88" w:rsidP="00374D88">
      <w:pPr>
        <w:spacing w:beforeLines="50" w:before="156" w:line="360" w:lineRule="auto"/>
        <w:ind w:left="560"/>
        <w:rPr>
          <w:sz w:val="28"/>
          <w:szCs w:val="28"/>
        </w:rPr>
      </w:pPr>
      <w:r>
        <w:rPr>
          <w:rFonts w:hint="eastAsia"/>
          <w:sz w:val="28"/>
          <w:szCs w:val="28"/>
        </w:rPr>
        <w:t>3.</w:t>
      </w:r>
      <w:r>
        <w:rPr>
          <w:sz w:val="28"/>
          <w:szCs w:val="28"/>
        </w:rPr>
        <w:t>课程目标达成度自评方式</w:t>
      </w:r>
    </w:p>
    <w:p w:rsidR="00374D88" w:rsidRDefault="00374D88" w:rsidP="00374D88">
      <w:pPr>
        <w:spacing w:line="360" w:lineRule="auto"/>
        <w:ind w:firstLineChars="200" w:firstLine="560"/>
        <w:rPr>
          <w:rFonts w:ascii="仿宋" w:eastAsia="仿宋" w:hAnsi="仿宋"/>
          <w:sz w:val="28"/>
          <w:szCs w:val="28"/>
        </w:rPr>
      </w:pPr>
      <w:r>
        <w:rPr>
          <w:rFonts w:ascii="仿宋" w:eastAsia="仿宋" w:hAnsi="仿宋"/>
          <w:sz w:val="28"/>
          <w:szCs w:val="28"/>
        </w:rPr>
        <w:t>据学院教学管理规定，在开展课程达成度评价前，课程评价审核小组对课程的评价依据合理性进行确认，包括平时作业、随堂测验、期终考试等考核环节。课程结束后，课程小组需要对课程进行达成度评价，课程小组由课程负责人和任课教师组成，统计课程考核数据，并填写“《</w:t>
      </w:r>
      <w:r>
        <w:rPr>
          <w:rFonts w:ascii="仿宋" w:eastAsia="仿宋" w:hAnsi="仿宋" w:hint="eastAsia"/>
          <w:sz w:val="28"/>
          <w:szCs w:val="28"/>
        </w:rPr>
        <w:t>岩体力学</w:t>
      </w:r>
      <w:r>
        <w:rPr>
          <w:rFonts w:ascii="仿宋" w:eastAsia="仿宋" w:hAnsi="仿宋"/>
          <w:sz w:val="28"/>
          <w:szCs w:val="28"/>
        </w:rPr>
        <w:t>》课程达成情况评价”报告，以便及时了解课程的达成效果，发现问题并进行持续改进，同时也为毕业要求达成度的评价提供基础数据。</w:t>
      </w:r>
    </w:p>
    <w:p w:rsidR="00374D88" w:rsidRDefault="00374D88" w:rsidP="00374D88">
      <w:pPr>
        <w:spacing w:line="360" w:lineRule="auto"/>
        <w:ind w:firstLine="480"/>
        <w:rPr>
          <w:rFonts w:ascii="仿宋" w:eastAsia="仿宋" w:hAnsi="仿宋"/>
          <w:sz w:val="28"/>
          <w:szCs w:val="28"/>
        </w:rPr>
      </w:pPr>
      <w:r>
        <w:rPr>
          <w:rFonts w:ascii="仿宋" w:eastAsia="仿宋" w:hAnsi="仿宋"/>
          <w:sz w:val="28"/>
          <w:szCs w:val="28"/>
        </w:rPr>
        <w:t>根据课程的考核形式，全部或抽样部分考核资料（应以当年修读该课程的学生为总体，至少抽取90%以上的学生样本），抽样时需覆盖优、良、中、及格和不及格等考核等级的考核资料。课程达成度的具体评价方法，详见“《</w:t>
      </w:r>
      <w:r>
        <w:rPr>
          <w:rFonts w:ascii="仿宋" w:eastAsia="仿宋" w:hAnsi="仿宋" w:hint="eastAsia"/>
          <w:sz w:val="28"/>
          <w:szCs w:val="28"/>
        </w:rPr>
        <w:t>岩体力学</w:t>
      </w:r>
      <w:r>
        <w:rPr>
          <w:rFonts w:ascii="仿宋" w:eastAsia="仿宋" w:hAnsi="仿宋"/>
          <w:sz w:val="28"/>
          <w:szCs w:val="28"/>
        </w:rPr>
        <w:t>》课程达成情况评价”报告。</w:t>
      </w:r>
    </w:p>
    <w:p w:rsidR="00374D88" w:rsidRDefault="00374D88" w:rsidP="00374D88">
      <w:pPr>
        <w:adjustRightInd w:val="0"/>
        <w:snapToGrid w:val="0"/>
        <w:spacing w:line="360" w:lineRule="auto"/>
        <w:ind w:firstLineChars="200" w:firstLine="560"/>
        <w:jc w:val="left"/>
        <w:rPr>
          <w:rFonts w:ascii="仿宋" w:eastAsia="仿宋" w:hAnsi="仿宋"/>
          <w:sz w:val="28"/>
          <w:szCs w:val="28"/>
        </w:rPr>
      </w:pPr>
      <w:r>
        <w:rPr>
          <w:rFonts w:ascii="仿宋" w:eastAsia="仿宋" w:hAnsi="仿宋"/>
          <w:sz w:val="28"/>
          <w:szCs w:val="28"/>
        </w:rPr>
        <w:t>课程小组提交课程达成度评价数据后，课程评价审核小组对评价数据的合理性和有效性进行审核。</w:t>
      </w:r>
    </w:p>
    <w:p w:rsidR="00374D88" w:rsidRDefault="00374D88" w:rsidP="00374D88">
      <w:pPr>
        <w:spacing w:beforeLines="50" w:before="156" w:afterLines="50" w:after="156" w:line="560" w:lineRule="exact"/>
        <w:rPr>
          <w:rFonts w:eastAsia="黑体"/>
          <w:b/>
          <w:sz w:val="28"/>
          <w:szCs w:val="28"/>
        </w:rPr>
      </w:pPr>
      <w:r>
        <w:rPr>
          <w:rFonts w:eastAsia="黑体"/>
          <w:b/>
          <w:sz w:val="28"/>
          <w:szCs w:val="28"/>
        </w:rPr>
        <w:t>六、课程建议教材及主要参考资料</w:t>
      </w:r>
    </w:p>
    <w:p w:rsidR="00374D88" w:rsidRDefault="00374D88" w:rsidP="00374D88">
      <w:pPr>
        <w:pStyle w:val="a5"/>
        <w:spacing w:after="0" w:line="360" w:lineRule="auto"/>
        <w:ind w:leftChars="0" w:left="0" w:firstLine="560"/>
        <w:rPr>
          <w:rFonts w:ascii="仿宋" w:eastAsia="仿宋" w:hAnsi="仿宋"/>
          <w:sz w:val="28"/>
          <w:szCs w:val="28"/>
        </w:rPr>
      </w:pPr>
      <w:r>
        <w:rPr>
          <w:rFonts w:ascii="仿宋" w:eastAsia="仿宋" w:hAnsi="仿宋" w:hint="eastAsia"/>
          <w:sz w:val="28"/>
          <w:szCs w:val="28"/>
        </w:rPr>
        <w:t>1、选用教材</w:t>
      </w:r>
    </w:p>
    <w:p w:rsidR="00374D88" w:rsidRDefault="00374D88" w:rsidP="00374D88">
      <w:pPr>
        <w:pStyle w:val="a5"/>
        <w:spacing w:after="0" w:line="360" w:lineRule="auto"/>
        <w:ind w:leftChars="0" w:left="0" w:firstLine="560"/>
        <w:rPr>
          <w:rFonts w:ascii="仿宋" w:eastAsia="仿宋" w:hAnsi="仿宋"/>
          <w:sz w:val="28"/>
          <w:szCs w:val="28"/>
        </w:rPr>
      </w:pPr>
      <w:r>
        <w:rPr>
          <w:rFonts w:ascii="仿宋" w:eastAsia="仿宋" w:hAnsi="仿宋" w:hint="eastAsia"/>
          <w:sz w:val="28"/>
          <w:szCs w:val="28"/>
        </w:rPr>
        <w:lastRenderedPageBreak/>
        <w:t>《岩体力学》（第二版），沈明荣、陈建峰主编，同济大学出版社，2015年。</w:t>
      </w:r>
    </w:p>
    <w:p w:rsidR="00374D88" w:rsidRDefault="00374D88" w:rsidP="00374D88">
      <w:pPr>
        <w:pStyle w:val="a5"/>
        <w:spacing w:after="0" w:line="360" w:lineRule="auto"/>
        <w:ind w:leftChars="0" w:left="0" w:firstLine="560"/>
        <w:rPr>
          <w:rFonts w:ascii="仿宋" w:eastAsia="仿宋" w:hAnsi="仿宋"/>
          <w:sz w:val="28"/>
          <w:szCs w:val="28"/>
        </w:rPr>
      </w:pPr>
      <w:r>
        <w:rPr>
          <w:rFonts w:ascii="仿宋" w:eastAsia="仿宋" w:hAnsi="仿宋" w:hint="eastAsia"/>
          <w:sz w:val="28"/>
          <w:szCs w:val="28"/>
        </w:rPr>
        <w:t>2、主要参考书</w:t>
      </w:r>
    </w:p>
    <w:p w:rsidR="00374D88" w:rsidRDefault="00374D88" w:rsidP="00374D88">
      <w:pPr>
        <w:pStyle w:val="a5"/>
        <w:spacing w:after="0" w:line="360" w:lineRule="auto"/>
        <w:ind w:leftChars="0" w:left="0" w:firstLine="560"/>
        <w:rPr>
          <w:rFonts w:ascii="仿宋" w:eastAsia="仿宋" w:hAnsi="仿宋"/>
          <w:sz w:val="28"/>
          <w:szCs w:val="28"/>
        </w:rPr>
      </w:pPr>
      <w:r>
        <w:rPr>
          <w:rFonts w:ascii="仿宋" w:eastAsia="仿宋" w:hAnsi="仿宋" w:hint="eastAsia"/>
          <w:sz w:val="28"/>
          <w:szCs w:val="28"/>
        </w:rPr>
        <w:t>（1）《岩体力学》, 晏长根、许江波编著,人民交通出版社,2017年。</w:t>
      </w:r>
    </w:p>
    <w:p w:rsidR="00374D88" w:rsidRDefault="00374D88" w:rsidP="00374D88">
      <w:pPr>
        <w:pStyle w:val="a5"/>
        <w:spacing w:after="0" w:line="360" w:lineRule="auto"/>
        <w:ind w:leftChars="0" w:left="0" w:firstLine="560"/>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岩石力学与工程</w:t>
      </w:r>
      <w:r>
        <w:rPr>
          <w:rFonts w:ascii="仿宋" w:eastAsia="仿宋" w:hAnsi="仿宋" w:hint="eastAsia"/>
          <w:sz w:val="28"/>
          <w:szCs w:val="28"/>
        </w:rPr>
        <w:t>》，蔡美峰主编，科学出版社，2002年。</w:t>
      </w:r>
    </w:p>
    <w:p w:rsidR="00374D88" w:rsidRDefault="00374D88" w:rsidP="00374D88">
      <w:pPr>
        <w:pStyle w:val="a5"/>
        <w:spacing w:after="0" w:line="360" w:lineRule="auto"/>
        <w:ind w:leftChars="0" w:left="0" w:firstLine="560"/>
        <w:rPr>
          <w:rFonts w:ascii="仿宋" w:eastAsia="仿宋" w:hAnsi="仿宋"/>
          <w:sz w:val="28"/>
          <w:szCs w:val="28"/>
        </w:rPr>
      </w:pPr>
      <w:r>
        <w:rPr>
          <w:rFonts w:ascii="仿宋" w:eastAsia="仿宋" w:hAnsi="仿宋" w:hint="eastAsia"/>
          <w:sz w:val="28"/>
          <w:szCs w:val="28"/>
        </w:rPr>
        <w:t>（3）《岩体力学》,张向东、马芹永编著,人民交通出版社,2017年。</w:t>
      </w:r>
    </w:p>
    <w:p w:rsidR="00374D88" w:rsidRDefault="00374D88" w:rsidP="00374D88">
      <w:pPr>
        <w:spacing w:line="440" w:lineRule="exact"/>
        <w:rPr>
          <w:rFonts w:eastAsia="黑体"/>
          <w:b/>
          <w:sz w:val="28"/>
          <w:szCs w:val="28"/>
        </w:rPr>
      </w:pPr>
      <w:r>
        <w:rPr>
          <w:rFonts w:eastAsia="黑体" w:hint="eastAsia"/>
          <w:b/>
          <w:sz w:val="28"/>
          <w:szCs w:val="28"/>
        </w:rPr>
        <w:t>七</w:t>
      </w:r>
      <w:r>
        <w:rPr>
          <w:rFonts w:eastAsia="黑体"/>
          <w:b/>
          <w:sz w:val="28"/>
          <w:szCs w:val="28"/>
        </w:rPr>
        <w:t>、执行大纲应注意的问题</w:t>
      </w:r>
    </w:p>
    <w:p w:rsidR="00374D88" w:rsidRDefault="00374D88" w:rsidP="00374D88">
      <w:pPr>
        <w:pStyle w:val="aa"/>
        <w:shd w:val="clear" w:color="auto" w:fill="FFFFFF"/>
        <w:spacing w:before="0" w:beforeAutospacing="0" w:after="0" w:line="360" w:lineRule="auto"/>
        <w:ind w:firstLineChars="152" w:firstLine="426"/>
        <w:rPr>
          <w:rFonts w:ascii="仿宋" w:eastAsia="仿宋" w:hAnsi="仿宋"/>
          <w:color w:val="000000"/>
          <w:sz w:val="28"/>
          <w:szCs w:val="28"/>
        </w:rPr>
      </w:pPr>
      <w:r>
        <w:rPr>
          <w:rFonts w:ascii="仿宋" w:eastAsia="仿宋" w:hAnsi="仿宋"/>
          <w:color w:val="000000"/>
          <w:sz w:val="28"/>
          <w:szCs w:val="28"/>
        </w:rPr>
        <w:t>1、教学中应注重基本知识、基本理论和基本方法的讲授，注意精讲多练。</w:t>
      </w:r>
    </w:p>
    <w:p w:rsidR="00374D88" w:rsidRDefault="00374D88" w:rsidP="00374D88">
      <w:pPr>
        <w:pStyle w:val="aa"/>
        <w:shd w:val="clear" w:color="auto" w:fill="FFFFFF"/>
        <w:spacing w:before="0" w:beforeAutospacing="0" w:after="0" w:line="360" w:lineRule="auto"/>
        <w:ind w:firstLineChars="152" w:firstLine="426"/>
        <w:rPr>
          <w:rFonts w:ascii="仿宋" w:eastAsia="仿宋" w:hAnsi="仿宋"/>
          <w:color w:val="000000"/>
          <w:sz w:val="28"/>
          <w:szCs w:val="28"/>
        </w:rPr>
      </w:pPr>
      <w:r>
        <w:rPr>
          <w:rFonts w:ascii="仿宋" w:eastAsia="仿宋" w:hAnsi="仿宋"/>
          <w:color w:val="000000"/>
          <w:sz w:val="28"/>
          <w:szCs w:val="28"/>
        </w:rPr>
        <w:t>2、</w:t>
      </w:r>
      <w:r>
        <w:rPr>
          <w:rFonts w:ascii="仿宋" w:eastAsia="仿宋" w:hAnsi="仿宋" w:hint="eastAsia"/>
          <w:color w:val="000000"/>
          <w:sz w:val="28"/>
          <w:szCs w:val="28"/>
        </w:rPr>
        <w:t>注意讲解重点知识的来龙去脉，特别是发现和研究过程中的思路和思想的转变，以此带动学生思考</w:t>
      </w:r>
      <w:r>
        <w:rPr>
          <w:rFonts w:ascii="仿宋" w:eastAsia="仿宋" w:hAnsi="仿宋"/>
          <w:color w:val="000000"/>
          <w:sz w:val="28"/>
          <w:szCs w:val="28"/>
        </w:rPr>
        <w:t>。</w:t>
      </w:r>
    </w:p>
    <w:p w:rsidR="00374D88" w:rsidRDefault="00374D88" w:rsidP="00374D88">
      <w:pPr>
        <w:pStyle w:val="aa"/>
        <w:shd w:val="clear" w:color="auto" w:fill="FFFFFF"/>
        <w:spacing w:before="0" w:beforeAutospacing="0" w:after="0" w:line="360" w:lineRule="auto"/>
        <w:ind w:firstLineChars="152" w:firstLine="426"/>
        <w:rPr>
          <w:rFonts w:ascii="仿宋" w:eastAsia="仿宋" w:hAnsi="仿宋"/>
          <w:color w:val="000000"/>
          <w:sz w:val="28"/>
          <w:szCs w:val="28"/>
        </w:rPr>
      </w:pPr>
      <w:r>
        <w:rPr>
          <w:rFonts w:ascii="仿宋" w:eastAsia="仿宋" w:hAnsi="仿宋"/>
          <w:color w:val="000000"/>
          <w:sz w:val="28"/>
          <w:szCs w:val="28"/>
        </w:rPr>
        <w:t>3、教学内容的顺序及其安排仅供参考，教师可根据情况作适当调整。</w:t>
      </w:r>
    </w:p>
    <w:p w:rsidR="00374D88" w:rsidRDefault="00374D88" w:rsidP="00374D88">
      <w:pPr>
        <w:adjustRightInd w:val="0"/>
        <w:snapToGrid w:val="0"/>
        <w:spacing w:line="360" w:lineRule="auto"/>
        <w:jc w:val="right"/>
        <w:rPr>
          <w:rFonts w:ascii="仿宋" w:eastAsia="仿宋" w:hAnsi="仿宋"/>
          <w:sz w:val="28"/>
          <w:szCs w:val="28"/>
        </w:rPr>
      </w:pPr>
      <w:r>
        <w:rPr>
          <w:rFonts w:ascii="仿宋" w:eastAsia="仿宋" w:hAnsi="仿宋" w:hint="eastAsia"/>
          <w:sz w:val="28"/>
          <w:szCs w:val="28"/>
        </w:rPr>
        <w:t>大纲撰写人：刘禹阳</w:t>
      </w:r>
    </w:p>
    <w:p w:rsidR="00374D88" w:rsidRDefault="00374D88" w:rsidP="00374D88">
      <w:pPr>
        <w:wordWrap w:val="0"/>
        <w:adjustRightInd w:val="0"/>
        <w:snapToGrid w:val="0"/>
        <w:spacing w:line="360" w:lineRule="auto"/>
        <w:jc w:val="right"/>
        <w:rPr>
          <w:rFonts w:ascii="仿宋" w:eastAsia="仿宋" w:hAnsi="仿宋"/>
          <w:sz w:val="28"/>
          <w:szCs w:val="28"/>
        </w:rPr>
      </w:pPr>
      <w:r>
        <w:rPr>
          <w:rFonts w:ascii="仿宋" w:eastAsia="仿宋" w:hAnsi="仿宋" w:hint="eastAsia"/>
          <w:sz w:val="28"/>
          <w:szCs w:val="28"/>
        </w:rPr>
        <w:t>课程负责人：</w:t>
      </w:r>
      <w:r>
        <w:rPr>
          <w:rFonts w:ascii="仿宋" w:eastAsia="仿宋" w:hAnsi="仿宋"/>
          <w:sz w:val="28"/>
          <w:szCs w:val="28"/>
        </w:rPr>
        <w:t xml:space="preserve">     </w:t>
      </w:r>
    </w:p>
    <w:p w:rsidR="00374D88" w:rsidRDefault="00374D88" w:rsidP="00374D88">
      <w:pPr>
        <w:wordWrap w:val="0"/>
        <w:adjustRightInd w:val="0"/>
        <w:snapToGrid w:val="0"/>
        <w:spacing w:line="360" w:lineRule="auto"/>
        <w:jc w:val="right"/>
        <w:rPr>
          <w:rFonts w:ascii="仿宋" w:eastAsia="仿宋" w:hAnsi="仿宋"/>
          <w:sz w:val="28"/>
          <w:szCs w:val="28"/>
        </w:rPr>
      </w:pPr>
      <w:r>
        <w:rPr>
          <w:rFonts w:ascii="仿宋" w:eastAsia="仿宋" w:hAnsi="仿宋" w:hint="eastAsia"/>
          <w:sz w:val="28"/>
          <w:szCs w:val="28"/>
        </w:rPr>
        <w:t>审核人：</w:t>
      </w:r>
      <w:r>
        <w:rPr>
          <w:rFonts w:ascii="仿宋" w:eastAsia="仿宋" w:hAnsi="仿宋"/>
          <w:sz w:val="28"/>
          <w:szCs w:val="28"/>
        </w:rPr>
        <w:t xml:space="preserve">     </w:t>
      </w:r>
    </w:p>
    <w:p w:rsidR="00374D88" w:rsidRDefault="00374D88" w:rsidP="00374D88">
      <w:pPr>
        <w:adjustRightInd w:val="0"/>
        <w:snapToGrid w:val="0"/>
        <w:spacing w:line="360" w:lineRule="auto"/>
        <w:jc w:val="right"/>
        <w:rPr>
          <w:rFonts w:ascii="仿宋" w:eastAsia="仿宋" w:hAnsi="仿宋"/>
          <w:sz w:val="28"/>
          <w:szCs w:val="28"/>
        </w:rPr>
      </w:pPr>
      <w:r>
        <w:rPr>
          <w:rFonts w:ascii="仿宋" w:eastAsia="仿宋" w:hAnsi="仿宋" w:hint="eastAsia"/>
          <w:sz w:val="28"/>
          <w:szCs w:val="28"/>
        </w:rPr>
        <w:t>2021年</w:t>
      </w:r>
      <w:r>
        <w:rPr>
          <w:rFonts w:ascii="仿宋" w:eastAsia="仿宋" w:hAnsi="仿宋"/>
          <w:sz w:val="28"/>
          <w:szCs w:val="28"/>
        </w:rPr>
        <w:t>6</w:t>
      </w:r>
      <w:r>
        <w:rPr>
          <w:rFonts w:ascii="仿宋" w:eastAsia="仿宋" w:hAnsi="仿宋" w:hint="eastAsia"/>
          <w:sz w:val="28"/>
          <w:szCs w:val="28"/>
        </w:rPr>
        <w:t>月</w:t>
      </w:r>
    </w:p>
    <w:p w:rsidR="00374D88" w:rsidRDefault="00374D88" w:rsidP="00374D88">
      <w:pPr>
        <w:spacing w:line="440" w:lineRule="exact"/>
        <w:jc w:val="center"/>
        <w:outlineLvl w:val="0"/>
        <w:rPr>
          <w:rFonts w:eastAsia="黑体"/>
          <w:b/>
          <w:sz w:val="30"/>
          <w:szCs w:val="30"/>
        </w:rPr>
      </w:pPr>
    </w:p>
    <w:p w:rsidR="00EE2D67" w:rsidRDefault="00EE2D67" w:rsidP="00374D88">
      <w:pPr>
        <w:spacing w:line="440" w:lineRule="exact"/>
        <w:jc w:val="center"/>
        <w:outlineLvl w:val="0"/>
        <w:rPr>
          <w:rFonts w:eastAsia="黑体"/>
          <w:b/>
          <w:sz w:val="30"/>
          <w:szCs w:val="30"/>
        </w:rPr>
      </w:pPr>
    </w:p>
    <w:p w:rsidR="00EE2D67" w:rsidRDefault="00EE2D67" w:rsidP="00374D88">
      <w:pPr>
        <w:spacing w:line="440" w:lineRule="exact"/>
        <w:jc w:val="center"/>
        <w:outlineLvl w:val="0"/>
        <w:rPr>
          <w:rFonts w:eastAsia="黑体"/>
          <w:b/>
          <w:sz w:val="30"/>
          <w:szCs w:val="30"/>
        </w:rPr>
      </w:pPr>
    </w:p>
    <w:p w:rsidR="00EE2D67" w:rsidRDefault="00EE2D67" w:rsidP="00374D88">
      <w:pPr>
        <w:spacing w:line="440" w:lineRule="exact"/>
        <w:jc w:val="center"/>
        <w:outlineLvl w:val="0"/>
        <w:rPr>
          <w:rFonts w:eastAsia="黑体"/>
          <w:b/>
          <w:sz w:val="30"/>
          <w:szCs w:val="30"/>
        </w:rPr>
      </w:pPr>
    </w:p>
    <w:p w:rsidR="00EE2D67" w:rsidRDefault="00EE2D67" w:rsidP="00374D88">
      <w:pPr>
        <w:spacing w:line="440" w:lineRule="exact"/>
        <w:jc w:val="center"/>
        <w:outlineLvl w:val="0"/>
        <w:rPr>
          <w:rFonts w:eastAsia="黑体"/>
          <w:b/>
          <w:sz w:val="30"/>
          <w:szCs w:val="30"/>
        </w:rPr>
      </w:pPr>
    </w:p>
    <w:p w:rsidR="00374D88" w:rsidRDefault="00374D88" w:rsidP="00374D88">
      <w:pPr>
        <w:widowControl/>
        <w:spacing w:line="360" w:lineRule="auto"/>
        <w:jc w:val="center"/>
        <w:rPr>
          <w:rFonts w:ascii="Times New Roman" w:eastAsia="方正小标宋简体" w:hAnsi="Times New Roman"/>
          <w:kern w:val="0"/>
          <w:szCs w:val="32"/>
        </w:rPr>
      </w:pPr>
      <w:r>
        <w:rPr>
          <w:rFonts w:ascii="Times New Roman" w:eastAsia="方正小标宋简体" w:hAnsi="Times New Roman"/>
          <w:kern w:val="0"/>
          <w:szCs w:val="32"/>
        </w:rPr>
        <w:lastRenderedPageBreak/>
        <w:t>《土力学</w:t>
      </w:r>
      <w:r>
        <w:rPr>
          <w:rFonts w:ascii="Times New Roman" w:eastAsia="方正小标宋简体" w:hAnsi="Times New Roman" w:hint="eastAsia"/>
          <w:kern w:val="0"/>
          <w:szCs w:val="32"/>
        </w:rPr>
        <w:t>与基础工程</w:t>
      </w:r>
      <w:r>
        <w:rPr>
          <w:rFonts w:ascii="Times New Roman" w:eastAsia="方正小标宋简体" w:hAnsi="Times New Roman"/>
          <w:kern w:val="0"/>
          <w:szCs w:val="32"/>
        </w:rPr>
        <w:t>》课程教学大纲</w:t>
      </w:r>
    </w:p>
    <w:p w:rsidR="00374D88" w:rsidRDefault="00374D88" w:rsidP="00374D88">
      <w:pPr>
        <w:snapToGrid w:val="0"/>
        <w:spacing w:line="360" w:lineRule="auto"/>
        <w:rPr>
          <w:rFonts w:ascii="Times New Roman" w:eastAsia="黑体" w:hAnsi="Times New Roman"/>
          <w:b/>
          <w:sz w:val="28"/>
          <w:szCs w:val="28"/>
        </w:rPr>
      </w:pPr>
      <w:r>
        <w:rPr>
          <w:rFonts w:ascii="Times New Roman" w:eastAsia="黑体" w:hAnsi="Times New Roman"/>
          <w:b/>
          <w:sz w:val="28"/>
          <w:szCs w:val="28"/>
        </w:rPr>
        <w:t>一、课程信息</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英文名称：</w:t>
      </w:r>
      <w:r>
        <w:rPr>
          <w:rFonts w:ascii="Times New Roman" w:hAnsi="Times New Roman"/>
          <w:bCs/>
          <w:sz w:val="28"/>
          <w:szCs w:val="28"/>
        </w:rPr>
        <w:t>Soil Mechanics</w:t>
      </w:r>
      <w:r>
        <w:rPr>
          <w:rFonts w:ascii="Times New Roman" w:hAnsi="Times New Roman" w:hint="eastAsia"/>
          <w:bCs/>
          <w:sz w:val="28"/>
          <w:szCs w:val="28"/>
        </w:rPr>
        <w:t xml:space="preserve"> and </w:t>
      </w:r>
      <w:r>
        <w:rPr>
          <w:rFonts w:ascii="Times New Roman" w:hAnsi="Times New Roman"/>
          <w:bCs/>
          <w:sz w:val="28"/>
          <w:szCs w:val="28"/>
        </w:rPr>
        <w:t>Foundation Engineering</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课程编码：</w:t>
      </w:r>
      <w:r>
        <w:rPr>
          <w:rFonts w:ascii="Times New Roman" w:hAnsi="Times New Roman"/>
          <w:bCs/>
          <w:sz w:val="28"/>
          <w:szCs w:val="28"/>
        </w:rPr>
        <w:t>Z2803020</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授课语言：中文</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授课方式：线下</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课程类别：学科基础</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课程性质：必修</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分：</w:t>
      </w:r>
      <w:r>
        <w:rPr>
          <w:rFonts w:ascii="Times New Roman" w:hAnsi="Times New Roman" w:hint="eastAsia"/>
          <w:bCs/>
          <w:sz w:val="28"/>
          <w:szCs w:val="28"/>
        </w:rPr>
        <w:t>3</w:t>
      </w:r>
      <w:r>
        <w:rPr>
          <w:rFonts w:ascii="Times New Roman" w:hAnsi="Times New Roman"/>
          <w:bCs/>
          <w:sz w:val="28"/>
          <w:szCs w:val="28"/>
        </w:rPr>
        <w:t>.5</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学</w:t>
      </w:r>
      <w:r>
        <w:rPr>
          <w:rFonts w:ascii="Times New Roman" w:hAnsi="Times New Roman"/>
          <w:bCs/>
          <w:sz w:val="28"/>
          <w:szCs w:val="28"/>
        </w:rPr>
        <w:t xml:space="preserve">    </w:t>
      </w:r>
      <w:r>
        <w:rPr>
          <w:rFonts w:ascii="Times New Roman" w:hAnsi="Times New Roman"/>
          <w:bCs/>
          <w:sz w:val="28"/>
          <w:szCs w:val="28"/>
        </w:rPr>
        <w:t>时：</w:t>
      </w:r>
      <w:r>
        <w:rPr>
          <w:rFonts w:ascii="Times New Roman" w:hAnsi="Times New Roman" w:hint="eastAsia"/>
          <w:bCs/>
          <w:sz w:val="28"/>
          <w:szCs w:val="28"/>
        </w:rPr>
        <w:t>56</w:t>
      </w:r>
      <w:r>
        <w:rPr>
          <w:rFonts w:ascii="Times New Roman" w:hAnsi="Times New Roman"/>
          <w:bCs/>
          <w:sz w:val="28"/>
          <w:szCs w:val="28"/>
        </w:rPr>
        <w:t>学时（授课</w:t>
      </w:r>
      <w:r>
        <w:rPr>
          <w:rFonts w:ascii="Times New Roman" w:hAnsi="Times New Roman" w:hint="eastAsia"/>
          <w:bCs/>
          <w:sz w:val="28"/>
          <w:szCs w:val="28"/>
        </w:rPr>
        <w:t>48</w:t>
      </w:r>
      <w:r>
        <w:rPr>
          <w:rFonts w:ascii="Times New Roman" w:hAnsi="Times New Roman"/>
          <w:bCs/>
          <w:sz w:val="28"/>
          <w:szCs w:val="28"/>
        </w:rPr>
        <w:t>学时，实验</w:t>
      </w:r>
      <w:r>
        <w:rPr>
          <w:rFonts w:ascii="Times New Roman" w:hAnsi="Times New Roman" w:hint="eastAsia"/>
          <w:bCs/>
          <w:sz w:val="28"/>
          <w:szCs w:val="28"/>
        </w:rPr>
        <w:t>8</w:t>
      </w:r>
      <w:r>
        <w:rPr>
          <w:rFonts w:ascii="Times New Roman" w:hAnsi="Times New Roman"/>
          <w:bCs/>
          <w:sz w:val="28"/>
          <w:szCs w:val="28"/>
        </w:rPr>
        <w:t>学时）</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适用对象：</w:t>
      </w:r>
      <w:r>
        <w:rPr>
          <w:rFonts w:ascii="Times New Roman" w:hAnsi="Times New Roman" w:hint="eastAsia"/>
          <w:bCs/>
          <w:sz w:val="28"/>
          <w:szCs w:val="28"/>
        </w:rPr>
        <w:t>土木工程</w:t>
      </w:r>
      <w:r>
        <w:rPr>
          <w:rFonts w:ascii="Times New Roman" w:hAnsi="Times New Roman"/>
          <w:bCs/>
          <w:sz w:val="28"/>
          <w:szCs w:val="28"/>
        </w:rPr>
        <w:t>专业</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先修课程：理论力学、材料力学、结构力学、弹性力学、工程地质。</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开课院系：建筑工程学院地基基础教研室</w:t>
      </w:r>
    </w:p>
    <w:p w:rsidR="00374D88" w:rsidRDefault="00374D88" w:rsidP="00374D88">
      <w:pPr>
        <w:spacing w:beforeLines="50" w:before="156" w:line="360" w:lineRule="auto"/>
        <w:rPr>
          <w:rFonts w:ascii="Times New Roman" w:eastAsia="黑体" w:hAnsi="Times New Roman"/>
          <w:b/>
          <w:sz w:val="28"/>
          <w:szCs w:val="28"/>
        </w:rPr>
      </w:pPr>
      <w:r>
        <w:rPr>
          <w:rFonts w:ascii="Times New Roman" w:eastAsia="黑体" w:hAnsi="Times New Roman"/>
          <w:b/>
          <w:sz w:val="28"/>
          <w:szCs w:val="28"/>
        </w:rPr>
        <w:t>二、课程简介</w:t>
      </w:r>
    </w:p>
    <w:p w:rsidR="00374D88" w:rsidRDefault="00374D88" w:rsidP="00374D88">
      <w:pPr>
        <w:spacing w:line="560" w:lineRule="exact"/>
        <w:ind w:firstLineChars="200" w:firstLine="560"/>
        <w:rPr>
          <w:rFonts w:ascii="Times New Roman" w:hAnsi="Times New Roman"/>
          <w:bCs/>
          <w:sz w:val="28"/>
          <w:szCs w:val="28"/>
        </w:rPr>
      </w:pPr>
      <w:r>
        <w:rPr>
          <w:rFonts w:ascii="Times New Roman" w:hAnsi="Times New Roman"/>
          <w:bCs/>
          <w:sz w:val="28"/>
          <w:szCs w:val="28"/>
        </w:rPr>
        <w:t>土力学</w:t>
      </w:r>
      <w:r>
        <w:rPr>
          <w:rFonts w:ascii="Times New Roman" w:hAnsi="Times New Roman" w:hint="eastAsia"/>
          <w:bCs/>
          <w:sz w:val="28"/>
          <w:szCs w:val="28"/>
        </w:rPr>
        <w:t>与基础工程</w:t>
      </w:r>
      <w:r>
        <w:rPr>
          <w:rFonts w:ascii="Times New Roman" w:hAnsi="Times New Roman"/>
          <w:bCs/>
          <w:sz w:val="28"/>
          <w:szCs w:val="28"/>
        </w:rPr>
        <w:t>是土木工程等相关专业的重要基础课程之一，它研究土的形成、组成、结构、物理性质、土体渗流、土的压缩、固结和强度</w:t>
      </w:r>
      <w:r>
        <w:rPr>
          <w:rFonts w:ascii="Times New Roman" w:hAnsi="Times New Roman" w:hint="eastAsia"/>
          <w:bCs/>
          <w:sz w:val="28"/>
          <w:szCs w:val="28"/>
        </w:rPr>
        <w:t>，土压力</w:t>
      </w:r>
      <w:r>
        <w:rPr>
          <w:rFonts w:ascii="Times New Roman" w:hAnsi="Times New Roman"/>
          <w:bCs/>
          <w:sz w:val="28"/>
          <w:szCs w:val="28"/>
        </w:rPr>
        <w:t>，</w:t>
      </w:r>
      <w:r>
        <w:rPr>
          <w:rFonts w:ascii="Times New Roman" w:hAnsi="Times New Roman" w:hint="eastAsia"/>
          <w:bCs/>
          <w:sz w:val="28"/>
          <w:szCs w:val="28"/>
        </w:rPr>
        <w:t>浅基础，桩基础，特殊土和地基处理等，</w:t>
      </w:r>
      <w:r>
        <w:rPr>
          <w:rFonts w:ascii="Times New Roman" w:hAnsi="Times New Roman"/>
          <w:bCs/>
          <w:sz w:val="28"/>
          <w:szCs w:val="28"/>
        </w:rPr>
        <w:t>是力学的一个分支，</w:t>
      </w:r>
      <w:r>
        <w:rPr>
          <w:rFonts w:ascii="Times New Roman" w:hAnsi="Times New Roman" w:hint="eastAsia"/>
          <w:bCs/>
          <w:sz w:val="28"/>
          <w:szCs w:val="28"/>
        </w:rPr>
        <w:t>主要</w:t>
      </w:r>
      <w:r>
        <w:rPr>
          <w:rFonts w:ascii="Times New Roman" w:hAnsi="Times New Roman"/>
          <w:bCs/>
          <w:sz w:val="28"/>
          <w:szCs w:val="28"/>
        </w:rPr>
        <w:t>以土</w:t>
      </w:r>
      <w:r>
        <w:rPr>
          <w:rFonts w:ascii="Times New Roman" w:hAnsi="Times New Roman" w:hint="eastAsia"/>
          <w:bCs/>
          <w:sz w:val="28"/>
          <w:szCs w:val="28"/>
        </w:rPr>
        <w:t>体和地基</w:t>
      </w:r>
      <w:r>
        <w:rPr>
          <w:rFonts w:ascii="Times New Roman" w:hAnsi="Times New Roman"/>
          <w:bCs/>
          <w:sz w:val="28"/>
          <w:szCs w:val="28"/>
        </w:rPr>
        <w:t>基础为研究对象的学科。通过本课程的学习，学生能掌握土力学</w:t>
      </w:r>
      <w:r>
        <w:rPr>
          <w:rFonts w:ascii="Times New Roman" w:hAnsi="Times New Roman" w:hint="eastAsia"/>
          <w:bCs/>
          <w:sz w:val="28"/>
          <w:szCs w:val="28"/>
        </w:rPr>
        <w:t>和基础工程</w:t>
      </w:r>
      <w:r>
        <w:rPr>
          <w:rFonts w:ascii="Times New Roman" w:hAnsi="Times New Roman"/>
          <w:bCs/>
          <w:sz w:val="28"/>
          <w:szCs w:val="28"/>
        </w:rPr>
        <w:t>的相关基础知识，为将来从事岩土工程领域相关工作打下坚实的基础。</w:t>
      </w:r>
    </w:p>
    <w:p w:rsidR="00374D88" w:rsidRDefault="00374D88" w:rsidP="00374D88">
      <w:pPr>
        <w:spacing w:beforeLines="50" w:before="156" w:line="360" w:lineRule="auto"/>
        <w:rPr>
          <w:rFonts w:ascii="Times New Roman" w:eastAsia="黑体" w:hAnsi="Times New Roman"/>
          <w:b/>
          <w:sz w:val="28"/>
          <w:szCs w:val="28"/>
        </w:rPr>
      </w:pPr>
      <w:r>
        <w:rPr>
          <w:rFonts w:ascii="Times New Roman" w:eastAsia="黑体" w:hAnsi="Times New Roman"/>
          <w:b/>
          <w:sz w:val="28"/>
          <w:szCs w:val="28"/>
        </w:rPr>
        <w:t>三、课程任务、目标与要求</w:t>
      </w:r>
    </w:p>
    <w:p w:rsidR="00374D88" w:rsidRDefault="00374D88" w:rsidP="00374D88">
      <w:pPr>
        <w:snapToGrid w:val="0"/>
        <w:spacing w:line="360" w:lineRule="auto"/>
        <w:ind w:firstLine="329"/>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课程任务</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通过本课程的学习，使学生了解土的成因和分类方法，熟悉土的</w:t>
      </w:r>
      <w:r>
        <w:rPr>
          <w:rFonts w:ascii="Times New Roman" w:hAnsi="Times New Roman"/>
          <w:sz w:val="28"/>
          <w:szCs w:val="28"/>
        </w:rPr>
        <w:lastRenderedPageBreak/>
        <w:t>基本物理力学性质，掌握土的渗透、变形、强度三大基础理论，掌握地基沉降及其承载力、土压力和土坡稳定性的计算及分析方法，掌握一般土力学试验的基本原理、操作步骤和数据分析方法，</w:t>
      </w:r>
      <w:r>
        <w:rPr>
          <w:rFonts w:ascii="Times New Roman" w:hAnsi="Times New Roman" w:hint="eastAsia"/>
          <w:sz w:val="28"/>
          <w:szCs w:val="28"/>
        </w:rPr>
        <w:t>掌握浅基础和桩基础的受力特性和承载能力计算方法及设计方法，掌握区域性地基基本特征及常见地基处理方法，</w:t>
      </w:r>
      <w:r>
        <w:rPr>
          <w:rFonts w:ascii="Times New Roman" w:hAnsi="Times New Roman"/>
          <w:sz w:val="28"/>
          <w:szCs w:val="28"/>
        </w:rPr>
        <w:t>达到能应用土力学的基本原理和方法解决实际工程中渗流、变形和稳定等问题的能力</w:t>
      </w:r>
      <w:r>
        <w:rPr>
          <w:rFonts w:ascii="Times New Roman" w:hAnsi="Times New Roman" w:hint="eastAsia"/>
          <w:sz w:val="28"/>
          <w:szCs w:val="28"/>
        </w:rPr>
        <w:t>，</w:t>
      </w:r>
      <w:r>
        <w:rPr>
          <w:rFonts w:ascii="仿宋_GB2312" w:hAnsi="仿宋" w:hint="eastAsia"/>
          <w:sz w:val="28"/>
          <w:szCs w:val="28"/>
        </w:rPr>
        <w:t>使学生能运用土力学及基础工程的基本原理和概念，分析和解决地基基础问题，进行常见基础工程的设计计算，达到学以致用的目的。</w:t>
      </w:r>
    </w:p>
    <w:p w:rsidR="00374D88" w:rsidRDefault="00374D88" w:rsidP="00374D8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2. </w:t>
      </w:r>
      <w:r>
        <w:rPr>
          <w:rFonts w:ascii="Times New Roman" w:hAnsi="Times New Roman"/>
          <w:sz w:val="28"/>
          <w:szCs w:val="28"/>
        </w:rPr>
        <w:t>课程基本要求</w:t>
      </w:r>
    </w:p>
    <w:p w:rsidR="00374D88" w:rsidRDefault="00374D88" w:rsidP="00374D88">
      <w:pPr>
        <w:spacing w:line="360" w:lineRule="auto"/>
        <w:ind w:firstLine="331"/>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课程目标</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通过本课程的理论教学与实验教学，使学生具备解决与土力学相关的复杂土木工程问题的基本知识以及实践和工程应用能力，教学目标具体要求如下：</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1</w:t>
      </w:r>
      <w:r>
        <w:rPr>
          <w:rFonts w:ascii="Times New Roman" w:hAnsi="Times New Roman"/>
          <w:sz w:val="28"/>
          <w:szCs w:val="28"/>
        </w:rPr>
        <w:t>）掌握土的物理性质及工程分类；掌握土的渗透、变形、强度三种基础理论的基本原理、适用条件和计算方法。教育引导学生深刻理解并自觉实践土力学领域的职业精神和职业规范。</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2</w:t>
      </w:r>
      <w:r>
        <w:rPr>
          <w:rFonts w:ascii="Times New Roman" w:hAnsi="Times New Roman"/>
          <w:sz w:val="28"/>
          <w:szCs w:val="28"/>
        </w:rPr>
        <w:t>）掌握界限含水率、压缩、直接剪切等土力学实验的原理、操作和分析方法，具备测定、评价和选取与复杂土工结构物相关的土材料参数的实践应用能力。</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3</w:t>
      </w:r>
      <w:r>
        <w:rPr>
          <w:rFonts w:ascii="Times New Roman" w:hAnsi="Times New Roman"/>
          <w:sz w:val="28"/>
          <w:szCs w:val="28"/>
        </w:rPr>
        <w:t>）掌握土压力、地基承载力和土坡稳定性的计算分析方法，能结合实际土木工程建设涉及的土力学特点，提出满足稳定性和沉降特定要求的复杂土工结构物设计及其施工方案。增强学生在毕业工作后确保工程设施安全的底线意识，增强学生的土木工程师职业责任感，培养学生的大国工匠精神，激发学生的家国情怀。</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lastRenderedPageBreak/>
        <w:t>（</w:t>
      </w:r>
      <w:r>
        <w:rPr>
          <w:rFonts w:ascii="Times New Roman" w:hAnsi="Times New Roman" w:hint="eastAsia"/>
          <w:sz w:val="28"/>
          <w:szCs w:val="28"/>
        </w:rPr>
        <w:t>4</w:t>
      </w:r>
      <w:r>
        <w:rPr>
          <w:rFonts w:ascii="Times New Roman" w:hAnsi="Times New Roman"/>
          <w:sz w:val="28"/>
          <w:szCs w:val="28"/>
        </w:rPr>
        <w:t>）</w:t>
      </w:r>
      <w:r>
        <w:rPr>
          <w:rFonts w:ascii="Times New Roman" w:hAnsi="Times New Roman" w:hint="eastAsia"/>
          <w:sz w:val="28"/>
          <w:szCs w:val="28"/>
        </w:rPr>
        <w:t>掌握浅基础和桩基础的特征和设计计算方法，具备应用相关知识推演、分析基础工程专业问题的专业基础能力，能对常规土体和特殊土能结合实际工程问题选择合适的基础形式，对承载能力较低的土体可以结合实际情况选择合适的地基处理方法。</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w:t>
      </w:r>
      <w:r>
        <w:rPr>
          <w:rFonts w:ascii="Times New Roman" w:hAnsi="Times New Roman" w:hint="eastAsia"/>
          <w:sz w:val="28"/>
          <w:szCs w:val="28"/>
        </w:rPr>
        <w:t>5</w:t>
      </w:r>
      <w:r>
        <w:rPr>
          <w:rFonts w:ascii="Times New Roman" w:hAnsi="Times New Roman" w:hint="eastAsia"/>
          <w:sz w:val="28"/>
          <w:szCs w:val="28"/>
        </w:rPr>
        <w:t>）通过本课程学习，使学生对我国古代长城、敦煌壁画、大雁塔等大型工程有深入的了解，对我国目前港珠澳大桥基础工程、大规模地铁建设项目等大型工程有较深的了解，了解我给基础工程的发展历史和发展现状，增强学生爱岗敬业精神、民族自豪感和家国情怀。同时通过启发式教学引导，提升学生自主学习和终身学习的能力，培养勇于善于创新的意识，初步具备基础工程学科的职业规范素养和科学研究能力。</w:t>
      </w:r>
    </w:p>
    <w:p w:rsidR="00374D88" w:rsidRDefault="00374D88" w:rsidP="00374D88">
      <w:pPr>
        <w:spacing w:beforeLines="50" w:before="156" w:line="360" w:lineRule="auto"/>
        <w:ind w:firstLine="329"/>
        <w:rPr>
          <w:rFonts w:ascii="Times New Roman" w:hAnsi="Times New Roman"/>
          <w:bCs/>
          <w:sz w:val="28"/>
          <w:szCs w:val="28"/>
        </w:rPr>
      </w:pPr>
      <w:r>
        <w:rPr>
          <w:rFonts w:ascii="Times New Roman" w:hAnsi="Times New Roman"/>
          <w:bCs/>
          <w:sz w:val="28"/>
          <w:szCs w:val="28"/>
        </w:rPr>
        <w:t xml:space="preserve">2.2 </w:t>
      </w:r>
      <w:r>
        <w:rPr>
          <w:rFonts w:ascii="Times New Roman" w:hAnsi="Times New Roman"/>
          <w:bCs/>
          <w:sz w:val="28"/>
          <w:szCs w:val="28"/>
        </w:rPr>
        <w:t>课程目标与毕业要求之间的对应关系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414"/>
        <w:gridCol w:w="2312"/>
        <w:gridCol w:w="714"/>
        <w:gridCol w:w="714"/>
        <w:gridCol w:w="714"/>
        <w:gridCol w:w="714"/>
        <w:gridCol w:w="714"/>
      </w:tblGrid>
      <w:tr w:rsidR="00374D88" w:rsidTr="00BE5664">
        <w:trPr>
          <w:jc w:val="center"/>
        </w:trPr>
        <w:tc>
          <w:tcPr>
            <w:tcW w:w="0" w:type="auto"/>
            <w:gridSpan w:val="2"/>
            <w:vMerge w:val="restart"/>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毕业要求及其指标点</w:t>
            </w:r>
          </w:p>
        </w:tc>
        <w:tc>
          <w:tcPr>
            <w:tcW w:w="0" w:type="auto"/>
            <w:gridSpan w:val="5"/>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教学目标</w:t>
            </w:r>
          </w:p>
        </w:tc>
      </w:tr>
      <w:tr w:rsidR="00374D88" w:rsidTr="00BE5664">
        <w:trPr>
          <w:jc w:val="center"/>
        </w:trPr>
        <w:tc>
          <w:tcPr>
            <w:tcW w:w="0" w:type="auto"/>
            <w:gridSpan w:val="2"/>
            <w:vMerge/>
            <w:shd w:val="clear" w:color="auto" w:fill="auto"/>
            <w:vAlign w:val="center"/>
          </w:tcPr>
          <w:p w:rsidR="00374D88" w:rsidRDefault="00374D88" w:rsidP="00BE5664">
            <w:pPr>
              <w:rPr>
                <w:rFonts w:ascii="Times New Roman" w:hAnsi="Times New Roman"/>
                <w:sz w:val="24"/>
                <w:szCs w:val="24"/>
              </w:rPr>
            </w:pPr>
          </w:p>
        </w:tc>
        <w:tc>
          <w:tcPr>
            <w:tcW w:w="0" w:type="auto"/>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tc>
        <w:tc>
          <w:tcPr>
            <w:tcW w:w="0" w:type="auto"/>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c>
          <w:tcPr>
            <w:tcW w:w="0" w:type="auto"/>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c>
          <w:tcPr>
            <w:tcW w:w="0" w:type="auto"/>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4</w:t>
            </w:r>
            <w:r>
              <w:rPr>
                <w:rFonts w:ascii="Times New Roman" w:hAnsi="Times New Roman"/>
                <w:sz w:val="24"/>
                <w:szCs w:val="24"/>
              </w:rPr>
              <w:t>）</w:t>
            </w:r>
          </w:p>
        </w:tc>
        <w:tc>
          <w:tcPr>
            <w:tcW w:w="0" w:type="auto"/>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5</w:t>
            </w:r>
            <w:r>
              <w:rPr>
                <w:rFonts w:ascii="Times New Roman" w:hAnsi="Times New Roman"/>
                <w:sz w:val="24"/>
                <w:szCs w:val="24"/>
              </w:rPr>
              <w:t>）</w:t>
            </w:r>
          </w:p>
        </w:tc>
      </w:tr>
      <w:tr w:rsidR="00374D88" w:rsidTr="00BE5664">
        <w:trPr>
          <w:jc w:val="center"/>
        </w:trPr>
        <w:tc>
          <w:tcPr>
            <w:tcW w:w="0" w:type="auto"/>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工程知识</w:t>
            </w:r>
          </w:p>
        </w:tc>
        <w:tc>
          <w:tcPr>
            <w:tcW w:w="0" w:type="auto"/>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：工程建造能力</w:t>
            </w:r>
          </w:p>
        </w:tc>
        <w:tc>
          <w:tcPr>
            <w:tcW w:w="0" w:type="auto"/>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0" w:type="auto"/>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0" w:type="auto"/>
            <w:shd w:val="clear" w:color="auto" w:fill="auto"/>
            <w:vAlign w:val="center"/>
          </w:tcPr>
          <w:p w:rsidR="00374D88" w:rsidRDefault="00374D88" w:rsidP="00BE5664">
            <w:pPr>
              <w:jc w:val="center"/>
              <w:rPr>
                <w:rFonts w:ascii="Times New Roman" w:hAnsi="Times New Roman"/>
                <w:sz w:val="24"/>
                <w:szCs w:val="24"/>
              </w:rPr>
            </w:pPr>
          </w:p>
        </w:tc>
        <w:tc>
          <w:tcPr>
            <w:tcW w:w="0" w:type="auto"/>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0" w:type="auto"/>
          </w:tcPr>
          <w:p w:rsidR="00374D88" w:rsidRDefault="00374D88" w:rsidP="00BE5664">
            <w:pPr>
              <w:jc w:val="center"/>
              <w:rPr>
                <w:rFonts w:ascii="Times New Roman" w:hAnsi="Times New Roman"/>
                <w:sz w:val="24"/>
                <w:szCs w:val="24"/>
              </w:rPr>
            </w:pPr>
          </w:p>
        </w:tc>
      </w:tr>
      <w:tr w:rsidR="00374D88" w:rsidTr="00BE5664">
        <w:trPr>
          <w:jc w:val="center"/>
        </w:trPr>
        <w:tc>
          <w:tcPr>
            <w:tcW w:w="0" w:type="auto"/>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设计（开发）解决方案</w:t>
            </w:r>
          </w:p>
        </w:tc>
        <w:tc>
          <w:tcPr>
            <w:tcW w:w="0" w:type="auto"/>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：工程环境认识能力</w:t>
            </w:r>
          </w:p>
        </w:tc>
        <w:tc>
          <w:tcPr>
            <w:tcW w:w="0" w:type="auto"/>
            <w:shd w:val="clear" w:color="auto" w:fill="auto"/>
            <w:vAlign w:val="center"/>
          </w:tcPr>
          <w:p w:rsidR="00374D88" w:rsidRDefault="00374D88" w:rsidP="00BE5664">
            <w:pPr>
              <w:jc w:val="center"/>
              <w:rPr>
                <w:rFonts w:ascii="Times New Roman" w:hAnsi="Times New Roman"/>
                <w:sz w:val="24"/>
                <w:szCs w:val="24"/>
              </w:rPr>
            </w:pPr>
          </w:p>
        </w:tc>
        <w:tc>
          <w:tcPr>
            <w:tcW w:w="0" w:type="auto"/>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0" w:type="auto"/>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0" w:type="auto"/>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w:t>
            </w:r>
          </w:p>
        </w:tc>
        <w:tc>
          <w:tcPr>
            <w:tcW w:w="0" w:type="auto"/>
          </w:tcPr>
          <w:p w:rsidR="00374D88" w:rsidRDefault="00374D88" w:rsidP="00BE5664">
            <w:pPr>
              <w:jc w:val="center"/>
              <w:rPr>
                <w:rFonts w:ascii="Times New Roman" w:hAnsi="Times New Roman"/>
                <w:kern w:val="0"/>
                <w:sz w:val="24"/>
                <w:szCs w:val="24"/>
              </w:rPr>
            </w:pPr>
          </w:p>
        </w:tc>
      </w:tr>
      <w:tr w:rsidR="00374D88" w:rsidTr="00BE5664">
        <w:trPr>
          <w:jc w:val="center"/>
        </w:trPr>
        <w:tc>
          <w:tcPr>
            <w:tcW w:w="0" w:type="auto"/>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终身学习</w:t>
            </w:r>
          </w:p>
        </w:tc>
        <w:tc>
          <w:tcPr>
            <w:tcW w:w="0" w:type="auto"/>
            <w:shd w:val="clear" w:color="auto" w:fill="auto"/>
            <w:vAlign w:val="center"/>
          </w:tcPr>
          <w:p w:rsidR="00374D88" w:rsidRDefault="00374D88" w:rsidP="00BE5664">
            <w:pPr>
              <w:rPr>
                <w:rFonts w:ascii="Times New Roman" w:hAnsi="Times New Roman"/>
                <w:sz w:val="24"/>
                <w:szCs w:val="24"/>
              </w:rPr>
            </w:pPr>
            <w:r>
              <w:rPr>
                <w:rFonts w:ascii="Times New Roman" w:hAnsi="Times New Roman"/>
                <w:sz w:val="24"/>
                <w:szCs w:val="24"/>
              </w:rPr>
              <w:t>10-1</w:t>
            </w:r>
            <w:r>
              <w:rPr>
                <w:rFonts w:ascii="Times New Roman" w:hAnsi="Times New Roman"/>
                <w:sz w:val="24"/>
                <w:szCs w:val="24"/>
              </w:rPr>
              <w:t>：学习能力</w:t>
            </w:r>
          </w:p>
        </w:tc>
        <w:tc>
          <w:tcPr>
            <w:tcW w:w="0" w:type="auto"/>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0" w:type="auto"/>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0" w:type="auto"/>
            <w:shd w:val="clear" w:color="auto" w:fill="auto"/>
            <w:vAlign w:val="center"/>
          </w:tcPr>
          <w:p w:rsidR="00374D88" w:rsidRDefault="00374D88" w:rsidP="00BE5664">
            <w:pPr>
              <w:jc w:val="center"/>
              <w:rPr>
                <w:rFonts w:ascii="Times New Roman" w:hAnsi="Times New Roman"/>
                <w:sz w:val="24"/>
                <w:szCs w:val="24"/>
              </w:rPr>
            </w:pPr>
            <w:r>
              <w:rPr>
                <w:rFonts w:ascii="Times New Roman" w:hAnsi="Times New Roman"/>
                <w:kern w:val="0"/>
                <w:sz w:val="24"/>
                <w:szCs w:val="24"/>
              </w:rPr>
              <w:t>√</w:t>
            </w:r>
          </w:p>
        </w:tc>
        <w:tc>
          <w:tcPr>
            <w:tcW w:w="0" w:type="auto"/>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w:t>
            </w:r>
          </w:p>
        </w:tc>
        <w:tc>
          <w:tcPr>
            <w:tcW w:w="0" w:type="auto"/>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w:t>
            </w:r>
          </w:p>
        </w:tc>
      </w:tr>
    </w:tbl>
    <w:p w:rsidR="00374D88" w:rsidRDefault="00374D88" w:rsidP="00374D8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3. </w:t>
      </w:r>
      <w:r>
        <w:rPr>
          <w:rFonts w:ascii="Times New Roman" w:hAnsi="Times New Roman"/>
          <w:sz w:val="28"/>
          <w:szCs w:val="28"/>
        </w:rPr>
        <w:t>课程的重点、难点</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重点：土、地基、基础的概念及特点、本课程的学习方法。土的物质组成、判别土体颗粒级配是否良好、土的结构。土的物理性质指标、土的物理状态指标、土的压实性、土的工程分类。土的渗透性及其测定、渗透破坏及其控制。有效应力原理、基底压力及地基附加应力。土的压缩性、压缩性指标。地基最终沉降量计算、地基沉降量与时间的关系。土的极限平衡条件、抗剪强度的测定方法。朗肯和库伦土压力理论；有超载、成层土、有地下水情况下的土压力计算。地基</w:t>
      </w:r>
      <w:r>
        <w:rPr>
          <w:rFonts w:ascii="Times New Roman" w:hAnsi="Times New Roman"/>
          <w:sz w:val="28"/>
          <w:szCs w:val="28"/>
        </w:rPr>
        <w:lastRenderedPageBreak/>
        <w:t>的临塑荷载、临界荷载和极限承载力计算方法。瑞典圆弧法、条分法、</w:t>
      </w:r>
      <w:r>
        <w:rPr>
          <w:rFonts w:ascii="Times New Roman" w:hAnsi="Times New Roman" w:hint="eastAsia"/>
          <w:sz w:val="28"/>
          <w:szCs w:val="28"/>
        </w:rPr>
        <w:t>毕肖普</w:t>
      </w:r>
      <w:r>
        <w:rPr>
          <w:rFonts w:ascii="Times New Roman" w:hAnsi="Times New Roman"/>
          <w:sz w:val="28"/>
          <w:szCs w:val="28"/>
        </w:rPr>
        <w:t>法。</w:t>
      </w:r>
      <w:r>
        <w:rPr>
          <w:rFonts w:ascii="Times New Roman" w:hAnsi="Times New Roman" w:hint="eastAsia"/>
          <w:sz w:val="28"/>
          <w:szCs w:val="28"/>
        </w:rPr>
        <w:t>基础埋深</w:t>
      </w:r>
      <w:r>
        <w:rPr>
          <w:rFonts w:ascii="Times New Roman" w:hAnsi="Times New Roman"/>
          <w:sz w:val="28"/>
          <w:szCs w:val="28"/>
        </w:rPr>
        <w:t>选择</w:t>
      </w:r>
      <w:r>
        <w:rPr>
          <w:rFonts w:ascii="Times New Roman" w:hAnsi="Times New Roman" w:hint="eastAsia"/>
          <w:sz w:val="28"/>
          <w:szCs w:val="28"/>
        </w:rPr>
        <w:t>和</w:t>
      </w:r>
      <w:r>
        <w:rPr>
          <w:rFonts w:ascii="Times New Roman" w:hAnsi="Times New Roman"/>
          <w:sz w:val="28"/>
          <w:szCs w:val="28"/>
        </w:rPr>
        <w:t>底面尺寸确定、</w:t>
      </w:r>
      <w:r>
        <w:rPr>
          <w:rFonts w:ascii="Times New Roman" w:hAnsi="Times New Roman" w:hint="eastAsia"/>
          <w:sz w:val="28"/>
          <w:szCs w:val="28"/>
        </w:rPr>
        <w:t>地基承载力</w:t>
      </w:r>
      <w:r>
        <w:rPr>
          <w:rFonts w:ascii="Times New Roman" w:hAnsi="Times New Roman"/>
          <w:sz w:val="28"/>
          <w:szCs w:val="28"/>
        </w:rPr>
        <w:t>、</w:t>
      </w:r>
      <w:r>
        <w:rPr>
          <w:rFonts w:ascii="Times New Roman" w:hAnsi="Times New Roman" w:hint="eastAsia"/>
          <w:sz w:val="28"/>
          <w:szCs w:val="28"/>
        </w:rPr>
        <w:t>不均匀</w:t>
      </w:r>
      <w:r>
        <w:rPr>
          <w:rFonts w:ascii="Times New Roman" w:hAnsi="Times New Roman"/>
          <w:sz w:val="28"/>
          <w:szCs w:val="28"/>
        </w:rPr>
        <w:t>沉降防治措施</w:t>
      </w:r>
      <w:r>
        <w:rPr>
          <w:rFonts w:ascii="Times New Roman" w:hAnsi="Times New Roman" w:hint="eastAsia"/>
          <w:sz w:val="28"/>
          <w:szCs w:val="28"/>
        </w:rPr>
        <w:t>。桩基础</w:t>
      </w:r>
      <w:r>
        <w:rPr>
          <w:rFonts w:ascii="Times New Roman" w:hAnsi="Times New Roman"/>
          <w:sz w:val="28"/>
          <w:szCs w:val="28"/>
        </w:rPr>
        <w:t>的工作性能及承载力确定、群桩效应。区域性地基</w:t>
      </w:r>
      <w:r>
        <w:rPr>
          <w:rFonts w:ascii="Times New Roman" w:hAnsi="Times New Roman" w:hint="eastAsia"/>
          <w:sz w:val="28"/>
          <w:szCs w:val="28"/>
        </w:rPr>
        <w:t>特点及其对工程影响，常用</w:t>
      </w:r>
      <w:r>
        <w:rPr>
          <w:rFonts w:ascii="Times New Roman" w:hAnsi="Times New Roman"/>
          <w:sz w:val="28"/>
          <w:szCs w:val="28"/>
        </w:rPr>
        <w:t>地基处理</w:t>
      </w:r>
      <w:r>
        <w:rPr>
          <w:rFonts w:ascii="Times New Roman" w:hAnsi="Times New Roman" w:hint="eastAsia"/>
          <w:sz w:val="28"/>
          <w:szCs w:val="28"/>
        </w:rPr>
        <w:t>方法适用条件</w:t>
      </w:r>
      <w:r>
        <w:rPr>
          <w:rFonts w:ascii="Times New Roman" w:hAnsi="Times New Roman"/>
          <w:sz w:val="28"/>
          <w:szCs w:val="28"/>
        </w:rPr>
        <w:t>等。</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难点：土力学学习中应注意的问题。土体颗粒级配良好判别。土的物理性质指标，土的物理状态指标。二维渗流、流网。有效应力原理、附加应力计算。土的压缩特性和土体压缩性指标。饱和土的渗透固结理论。不同固结和排水条件下土的抗剪强度指标的含义、应力路径。有超载、成层土、有地下水情况下的土压力计算</w:t>
      </w:r>
      <w:r>
        <w:rPr>
          <w:rFonts w:ascii="Times New Roman" w:hAnsi="Times New Roman" w:hint="eastAsia"/>
          <w:sz w:val="28"/>
          <w:szCs w:val="28"/>
        </w:rPr>
        <w:t>，库仑土压力的推导</w:t>
      </w:r>
      <w:r>
        <w:rPr>
          <w:rFonts w:ascii="Times New Roman" w:hAnsi="Times New Roman"/>
          <w:sz w:val="28"/>
          <w:szCs w:val="28"/>
        </w:rPr>
        <w:t>。地基的临塑荷载、临界荷载和极限承载力计算方法。条分法、</w:t>
      </w:r>
      <w:r>
        <w:rPr>
          <w:rFonts w:ascii="Times New Roman" w:hAnsi="Times New Roman"/>
          <w:sz w:val="28"/>
          <w:szCs w:val="28"/>
        </w:rPr>
        <w:t>Bishop</w:t>
      </w:r>
      <w:r>
        <w:rPr>
          <w:rFonts w:ascii="Times New Roman" w:hAnsi="Times New Roman"/>
          <w:sz w:val="28"/>
          <w:szCs w:val="28"/>
        </w:rPr>
        <w:t>法。</w:t>
      </w:r>
      <w:r>
        <w:rPr>
          <w:rFonts w:ascii="Times New Roman" w:hAnsi="Times New Roman" w:hint="eastAsia"/>
          <w:sz w:val="28"/>
          <w:szCs w:val="28"/>
        </w:rPr>
        <w:t>软弱</w:t>
      </w:r>
      <w:r>
        <w:rPr>
          <w:rFonts w:ascii="Times New Roman" w:hAnsi="Times New Roman"/>
          <w:sz w:val="28"/>
          <w:szCs w:val="28"/>
        </w:rPr>
        <w:t>下卧层验算</w:t>
      </w:r>
      <w:r>
        <w:rPr>
          <w:rFonts w:ascii="Times New Roman" w:hAnsi="Times New Roman" w:hint="eastAsia"/>
          <w:sz w:val="28"/>
          <w:szCs w:val="28"/>
        </w:rPr>
        <w:t>，单</w:t>
      </w:r>
      <w:r>
        <w:rPr>
          <w:rFonts w:ascii="Times New Roman" w:hAnsi="Times New Roman"/>
          <w:sz w:val="28"/>
          <w:szCs w:val="28"/>
        </w:rPr>
        <w:t>桩</w:t>
      </w:r>
      <w:r>
        <w:rPr>
          <w:rFonts w:ascii="Times New Roman" w:hAnsi="Times New Roman" w:hint="eastAsia"/>
          <w:sz w:val="28"/>
          <w:szCs w:val="28"/>
        </w:rPr>
        <w:t>和</w:t>
      </w:r>
      <w:r>
        <w:rPr>
          <w:rFonts w:ascii="Times New Roman" w:hAnsi="Times New Roman"/>
          <w:sz w:val="28"/>
          <w:szCs w:val="28"/>
        </w:rPr>
        <w:t>群桩的工作性能</w:t>
      </w:r>
      <w:r>
        <w:rPr>
          <w:rFonts w:ascii="Times New Roman" w:hAnsi="Times New Roman" w:hint="eastAsia"/>
          <w:sz w:val="28"/>
          <w:szCs w:val="28"/>
        </w:rPr>
        <w:t>，</w:t>
      </w:r>
      <w:r>
        <w:rPr>
          <w:rFonts w:ascii="Times New Roman" w:hAnsi="Times New Roman"/>
          <w:sz w:val="28"/>
          <w:szCs w:val="28"/>
        </w:rPr>
        <w:t>湿陷性黄土地基</w:t>
      </w:r>
      <w:r>
        <w:rPr>
          <w:rFonts w:ascii="Times New Roman" w:hAnsi="Times New Roman" w:hint="eastAsia"/>
          <w:sz w:val="28"/>
          <w:szCs w:val="28"/>
        </w:rPr>
        <w:t>成因及其对工程影响，复合地基承载机理。</w:t>
      </w:r>
    </w:p>
    <w:p w:rsidR="00374D88" w:rsidRDefault="00374D88" w:rsidP="00374D88">
      <w:pPr>
        <w:spacing w:beforeLines="50" w:before="156" w:line="360" w:lineRule="auto"/>
        <w:ind w:firstLine="329"/>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rPr>
        <w:t>课程思政设计</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课程在在绪论中以上海</w:t>
      </w:r>
      <w:r>
        <w:rPr>
          <w:rFonts w:ascii="Times New Roman" w:hAnsi="Times New Roman"/>
          <w:sz w:val="28"/>
          <w:szCs w:val="28"/>
        </w:rPr>
        <w:t>“</w:t>
      </w:r>
      <w:r>
        <w:rPr>
          <w:rFonts w:ascii="Times New Roman" w:hAnsi="Times New Roman"/>
          <w:sz w:val="28"/>
          <w:szCs w:val="28"/>
        </w:rPr>
        <w:t>莲花河畔景苑</w:t>
      </w:r>
      <w:r>
        <w:rPr>
          <w:rFonts w:ascii="Times New Roman" w:hAnsi="Times New Roman"/>
          <w:sz w:val="28"/>
          <w:szCs w:val="28"/>
        </w:rPr>
        <w:t>”7</w:t>
      </w:r>
      <w:r>
        <w:rPr>
          <w:rFonts w:ascii="Times New Roman" w:hAnsi="Times New Roman"/>
          <w:sz w:val="28"/>
          <w:szCs w:val="28"/>
        </w:rPr>
        <w:t>号楼倾覆事故和杭州地铁基坑事故为引例，通过讲述与土有关的工程问题，增强学生在毕业工作后确保工程设施安全的底线意识，增强学生的土木工程师职业责任感；以半坡遗址的土台和土基、万里长城与赵州桥为引例，通过讲述土的工程应用，培养学生的大国工匠精神，激发学生的家国情怀。</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在土的组成讲解中以土的性质因其成因、沉积环境、沉积时间和气候条件的不同而呈现千差万别的特点，培养学生以全面的、历史的、实事求是的科学态度分析问题和解决问题；在土的物理性质及分类章节中以工程实际中面临土的工程分类工作为引例，教育引导学生深刻理解并自觉实践遵照土的物理性质及其状态指标进行分类的职业规范。</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lastRenderedPageBreak/>
        <w:t>在土的渗透性与渗流讲解中通过讲解管涌与流土的判别方法，教育引导学生深刻理解并自觉实践土体渗流稳定性分析的职业精神和职业规范，增强学生在毕业工作后确保工程设施安全的底线意识。</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土中的应力及压缩性讲解中以</w:t>
      </w:r>
      <w:r>
        <w:rPr>
          <w:rFonts w:ascii="Times New Roman" w:hAnsi="Times New Roman"/>
          <w:sz w:val="28"/>
          <w:szCs w:val="28"/>
        </w:rPr>
        <w:t>20</w:t>
      </w:r>
      <w:r>
        <w:rPr>
          <w:rFonts w:ascii="Times New Roman" w:hAnsi="Times New Roman"/>
          <w:sz w:val="28"/>
          <w:szCs w:val="28"/>
        </w:rPr>
        <w:t>世纪七八十年代西安大雁塔向北倾斜问题和学生认识实习时参观的建筑基坑降水设施为引例，讲解渗流作用下的有效应力，教育引导学生深刻理解并自觉实践土体应力分析的职业精神和职业规范。在土样单向压缩试验时土样的高度、孔隙比随加载大小产生非线性变化，但土粒体积是始终不变的，经此可建立等式求得土样高度、孔隙比与加载值之间的函数关系，鼓励学生在复杂多变的因素中找到内在联系，抓住事物现象的本质，掌握科学分析问题方法；同时这也提示我们应坚持信念、不忘初心、方为始终</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sz w:val="28"/>
          <w:szCs w:val="28"/>
        </w:rPr>
        <w:t>在土的抗剪强度以及土压力讲解中通过讲解土抗剪强度指标的工程应用，教育引导学生深刻理解并自觉实践不同工程中选取不同抗剪强度指标的职业精神和职业规范，增强学生在毕业工作后确保工程设施安全的底线意识，增强学生的土木工程师职业责任感。以加拿大特朗斯康谷仓倾覆事故为引例，通过讲解地基的失稳破坏形式，增强学生在毕业工作后确保地基与基础设施安全的底线意识，增强学生的土木工程师职业责任感。以</w:t>
      </w:r>
      <w:r>
        <w:rPr>
          <w:rFonts w:ascii="Times New Roman" w:hAnsi="Times New Roman"/>
          <w:sz w:val="28"/>
          <w:szCs w:val="28"/>
        </w:rPr>
        <w:t>12·20</w:t>
      </w:r>
      <w:r>
        <w:rPr>
          <w:rFonts w:ascii="Times New Roman" w:hAnsi="Times New Roman"/>
          <w:sz w:val="28"/>
          <w:szCs w:val="28"/>
        </w:rPr>
        <w:t>深圳滑坡为引例，通过讲解土坡失稳的原理与诱因，增强学生在毕业工作后确保边坡工程设施安全的底线意识，增强学生的土木工程师职业责任感。</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t>在浅基础和连续基础的教学中，结合浅基础选型的例子，引导同学们在实际工程中遵循实事求是和因地制宜指导思想来开展工作。在桩基础的内容中，结合隐蔽工程的特点以及典型的工程案例，对同学们加强质量安全教育，帮助同学们提升责任心，牢固树立安全意识。</w:t>
      </w:r>
    </w:p>
    <w:p w:rsidR="00374D88" w:rsidRDefault="00374D88" w:rsidP="00374D88">
      <w:pPr>
        <w:spacing w:line="560" w:lineRule="exact"/>
        <w:ind w:firstLineChars="200" w:firstLine="560"/>
        <w:rPr>
          <w:rFonts w:ascii="Times New Roman" w:hAnsi="Times New Roman"/>
          <w:sz w:val="28"/>
          <w:szCs w:val="28"/>
        </w:rPr>
      </w:pPr>
      <w:r>
        <w:rPr>
          <w:rFonts w:ascii="Times New Roman" w:hAnsi="Times New Roman" w:hint="eastAsia"/>
          <w:sz w:val="28"/>
          <w:szCs w:val="28"/>
        </w:rPr>
        <w:lastRenderedPageBreak/>
        <w:t>介绍我国古代基础工程的发展和典型大型基础工程，我国目前在基础工程领域的最新研究成果以及所解决的重大工程项目问题，激发同学们的自豪感和进取心。</w:t>
      </w:r>
    </w:p>
    <w:p w:rsidR="00374D88" w:rsidRDefault="00374D88" w:rsidP="00374D8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四、教学内容安排</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92"/>
        <w:gridCol w:w="425"/>
        <w:gridCol w:w="598"/>
        <w:gridCol w:w="3088"/>
        <w:gridCol w:w="1791"/>
        <w:gridCol w:w="2992"/>
      </w:tblGrid>
      <w:tr w:rsidR="00374D88" w:rsidTr="00BE5664">
        <w:trPr>
          <w:trHeight w:val="785"/>
          <w:tblHeader/>
        </w:trPr>
        <w:tc>
          <w:tcPr>
            <w:tcW w:w="392" w:type="dxa"/>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序号</w:t>
            </w:r>
          </w:p>
        </w:tc>
        <w:tc>
          <w:tcPr>
            <w:tcW w:w="425" w:type="dxa"/>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章节</w:t>
            </w:r>
          </w:p>
        </w:tc>
        <w:tc>
          <w:tcPr>
            <w:tcW w:w="598" w:type="dxa"/>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参考学时</w:t>
            </w:r>
          </w:p>
        </w:tc>
        <w:tc>
          <w:tcPr>
            <w:tcW w:w="3088" w:type="dxa"/>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教学内容</w:t>
            </w:r>
          </w:p>
        </w:tc>
        <w:tc>
          <w:tcPr>
            <w:tcW w:w="1791" w:type="dxa"/>
            <w:vAlign w:val="center"/>
          </w:tcPr>
          <w:p w:rsidR="00374D88" w:rsidRDefault="00374D88" w:rsidP="00BE5664">
            <w:pPr>
              <w:jc w:val="center"/>
              <w:rPr>
                <w:rFonts w:ascii="Times New Roman" w:hAnsi="Times New Roman"/>
                <w:b/>
                <w:kern w:val="0"/>
                <w:sz w:val="24"/>
                <w:szCs w:val="24"/>
              </w:rPr>
            </w:pPr>
            <w:r>
              <w:rPr>
                <w:rFonts w:ascii="Times New Roman" w:hAnsi="Times New Roman"/>
                <w:b/>
                <w:kern w:val="0"/>
                <w:sz w:val="24"/>
                <w:szCs w:val="24"/>
              </w:rPr>
              <w:t>基本要求</w:t>
            </w:r>
          </w:p>
        </w:tc>
        <w:tc>
          <w:tcPr>
            <w:tcW w:w="2992" w:type="dxa"/>
            <w:vAlign w:val="center"/>
          </w:tcPr>
          <w:p w:rsidR="00374D88" w:rsidRDefault="00374D88" w:rsidP="00BE5664">
            <w:pPr>
              <w:jc w:val="center"/>
              <w:rPr>
                <w:rFonts w:ascii="Times New Roman" w:hAnsi="Times New Roman"/>
                <w:b/>
                <w:kern w:val="0"/>
                <w:sz w:val="24"/>
                <w:szCs w:val="24"/>
              </w:rPr>
            </w:pPr>
            <w:r>
              <w:rPr>
                <w:rFonts w:ascii="Times New Roman" w:hAnsi="Times New Roman" w:hint="eastAsia"/>
                <w:b/>
                <w:kern w:val="0"/>
                <w:sz w:val="24"/>
                <w:szCs w:val="24"/>
              </w:rPr>
              <w:t>对毕业要求的支撑</w:t>
            </w:r>
          </w:p>
        </w:tc>
      </w:tr>
      <w:tr w:rsidR="00374D88" w:rsidTr="00BE5664">
        <w:trPr>
          <w:trHeight w:val="428"/>
        </w:trPr>
        <w:tc>
          <w:tcPr>
            <w:tcW w:w="392" w:type="dxa"/>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1</w:t>
            </w:r>
          </w:p>
        </w:tc>
        <w:tc>
          <w:tcPr>
            <w:tcW w:w="425" w:type="dxa"/>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绪论</w:t>
            </w:r>
          </w:p>
        </w:tc>
        <w:tc>
          <w:tcPr>
            <w:tcW w:w="598"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2</w:t>
            </w:r>
          </w:p>
        </w:tc>
        <w:tc>
          <w:tcPr>
            <w:tcW w:w="3088"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）土、地基、基础的基本概念及特点。</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）土力学在国内外土木工程中的发展和应用概况。</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）本课程的主要内容、要求及学习方法。</w:t>
            </w:r>
          </w:p>
        </w:tc>
        <w:tc>
          <w:tcPr>
            <w:tcW w:w="1791"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要求学生掌握土、地基、基础的基本概念及特点、了解国内外的发展现状及本课程的主要内容要求及学习方法。</w:t>
            </w:r>
          </w:p>
        </w:tc>
        <w:tc>
          <w:tcPr>
            <w:tcW w:w="2992"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w:t>
            </w:r>
          </w:p>
        </w:tc>
      </w:tr>
      <w:tr w:rsidR="00374D88" w:rsidTr="00BE5664">
        <w:trPr>
          <w:trHeight w:val="519"/>
        </w:trPr>
        <w:tc>
          <w:tcPr>
            <w:tcW w:w="392" w:type="dxa"/>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2</w:t>
            </w:r>
          </w:p>
        </w:tc>
        <w:tc>
          <w:tcPr>
            <w:tcW w:w="425" w:type="dxa"/>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土的组成</w:t>
            </w:r>
          </w:p>
        </w:tc>
        <w:tc>
          <w:tcPr>
            <w:tcW w:w="598"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10</w:t>
            </w:r>
          </w:p>
        </w:tc>
        <w:tc>
          <w:tcPr>
            <w:tcW w:w="3088"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）土的成因和组成：土粒、水和气体的特点及其对土物理性质的影响，土粒的矿物成分，粘土矿物的结构特征，土粒的粒度分析方法。</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）土的颗粒级配，土中的结合水与自由水，土的结构和构造。</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）土的物理性质指标：土的三相草图，物理性质指标的定义及换算。</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）土的物理状态指标：无粘性土的密实度；粘性土的稠度（液限、塑限、塑性指数、液性指数）、结构性（灵敏度）、触变性等基本概念；粘性土液限和塑限的室内测定。</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5</w:t>
            </w:r>
            <w:r>
              <w:rPr>
                <w:rFonts w:ascii="Times New Roman" w:hAnsi="Times New Roman"/>
                <w:kern w:val="0"/>
                <w:sz w:val="24"/>
                <w:szCs w:val="24"/>
              </w:rPr>
              <w:t>）土的压实性：土的击实原理，影响粘性土压实性的因素，压实度，无粘性土的压实性。</w:t>
            </w:r>
          </w:p>
          <w:p w:rsidR="00374D88" w:rsidRDefault="00374D88" w:rsidP="00BE5664">
            <w:pPr>
              <w:rPr>
                <w:rFonts w:ascii="Times New Roman" w:hAnsi="Times New Roman"/>
                <w:kern w:val="0"/>
                <w:sz w:val="24"/>
                <w:szCs w:val="24"/>
              </w:rPr>
            </w:pPr>
            <w:r>
              <w:rPr>
                <w:rFonts w:ascii="Times New Roman" w:hAnsi="Times New Roman"/>
                <w:kern w:val="0"/>
                <w:sz w:val="24"/>
                <w:szCs w:val="24"/>
              </w:rPr>
              <w:lastRenderedPageBreak/>
              <w:t>（</w:t>
            </w:r>
            <w:r>
              <w:rPr>
                <w:rFonts w:ascii="Times New Roman" w:hAnsi="Times New Roman"/>
                <w:kern w:val="0"/>
                <w:sz w:val="24"/>
                <w:szCs w:val="24"/>
              </w:rPr>
              <w:t>6</w:t>
            </w:r>
            <w:r>
              <w:rPr>
                <w:rFonts w:ascii="Times New Roman" w:hAnsi="Times New Roman"/>
                <w:kern w:val="0"/>
                <w:sz w:val="24"/>
                <w:szCs w:val="24"/>
              </w:rPr>
              <w:t>）土的工程分类：土的工程分类原则，土的类别与其工程性质的关系。</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7</w:t>
            </w:r>
            <w:r>
              <w:rPr>
                <w:rFonts w:ascii="Times New Roman" w:hAnsi="Times New Roman"/>
                <w:kern w:val="0"/>
                <w:sz w:val="24"/>
                <w:szCs w:val="24"/>
              </w:rPr>
              <w:t>）达西定律</w:t>
            </w:r>
            <w:r>
              <w:rPr>
                <w:rFonts w:ascii="Times New Roman" w:hAnsi="Times New Roman" w:hint="eastAsia"/>
                <w:kern w:val="0"/>
                <w:sz w:val="24"/>
                <w:szCs w:val="24"/>
              </w:rPr>
              <w:t>，</w:t>
            </w:r>
            <w:r>
              <w:rPr>
                <w:rFonts w:ascii="Times New Roman" w:hAnsi="Times New Roman"/>
                <w:kern w:val="0"/>
                <w:sz w:val="24"/>
                <w:szCs w:val="24"/>
              </w:rPr>
              <w:t>渗透系数的测定及其影响因素</w:t>
            </w:r>
            <w:r>
              <w:rPr>
                <w:rFonts w:ascii="Times New Roman" w:hAnsi="Times New Roman" w:hint="eastAsia"/>
                <w:kern w:val="0"/>
                <w:sz w:val="24"/>
                <w:szCs w:val="24"/>
              </w:rPr>
              <w:t>。</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8</w:t>
            </w:r>
            <w:r>
              <w:rPr>
                <w:rFonts w:ascii="Times New Roman" w:hAnsi="Times New Roman"/>
                <w:kern w:val="0"/>
                <w:sz w:val="24"/>
                <w:szCs w:val="24"/>
              </w:rPr>
              <w:t>）渗透力与渗透破坏。</w:t>
            </w:r>
          </w:p>
        </w:tc>
        <w:tc>
          <w:tcPr>
            <w:tcW w:w="1791"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lastRenderedPageBreak/>
              <w:t>要求学生掌握土的物质组成、掌握判别土体颗粒级配是否良好的方法、了解土中水气特征、掌握粘土与水的相互作用对土性质的影响、掌握土的结构</w:t>
            </w:r>
            <w:r>
              <w:rPr>
                <w:rFonts w:ascii="Times New Roman" w:hAnsi="Times New Roman" w:hint="eastAsia"/>
                <w:kern w:val="0"/>
                <w:sz w:val="24"/>
                <w:szCs w:val="24"/>
              </w:rPr>
              <w:t>；</w:t>
            </w:r>
            <w:r>
              <w:rPr>
                <w:rFonts w:ascii="Times New Roman" w:hAnsi="Times New Roman"/>
                <w:kern w:val="0"/>
                <w:sz w:val="24"/>
                <w:szCs w:val="24"/>
              </w:rPr>
              <w:t>掌握土的物理性质指标、物理状态指标、压实性及工程分类</w:t>
            </w:r>
            <w:r>
              <w:rPr>
                <w:rFonts w:ascii="Times New Roman" w:hAnsi="Times New Roman" w:hint="eastAsia"/>
                <w:kern w:val="0"/>
                <w:sz w:val="24"/>
                <w:szCs w:val="24"/>
              </w:rPr>
              <w:t>；</w:t>
            </w:r>
            <w:r>
              <w:rPr>
                <w:rFonts w:ascii="Times New Roman" w:hAnsi="Times New Roman"/>
                <w:kern w:val="0"/>
                <w:sz w:val="24"/>
                <w:szCs w:val="24"/>
              </w:rPr>
              <w:t>掌握土的渗透规律、渗透力与渗透破坏，能够熟练运用本章知识进行渗流计算与分析。</w:t>
            </w:r>
          </w:p>
        </w:tc>
        <w:tc>
          <w:tcPr>
            <w:tcW w:w="2992"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374D88" w:rsidTr="00BE5664">
        <w:trPr>
          <w:trHeight w:val="548"/>
        </w:trPr>
        <w:tc>
          <w:tcPr>
            <w:tcW w:w="392"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3</w:t>
            </w:r>
          </w:p>
        </w:tc>
        <w:tc>
          <w:tcPr>
            <w:tcW w:w="425" w:type="dxa"/>
            <w:vAlign w:val="center"/>
          </w:tcPr>
          <w:p w:rsidR="00374D88" w:rsidRDefault="00374D88" w:rsidP="00BE5664">
            <w:pPr>
              <w:jc w:val="center"/>
              <w:rPr>
                <w:rFonts w:ascii="仿宋_GB2312" w:hAnsi="仿宋"/>
                <w:sz w:val="24"/>
                <w:szCs w:val="24"/>
              </w:rPr>
            </w:pPr>
            <w:r>
              <w:rPr>
                <w:rFonts w:ascii="仿宋_GB2312" w:hAnsi="仿宋" w:hint="eastAsia"/>
                <w:sz w:val="24"/>
                <w:szCs w:val="24"/>
              </w:rPr>
              <w:t>土中的应力</w:t>
            </w:r>
          </w:p>
        </w:tc>
        <w:tc>
          <w:tcPr>
            <w:tcW w:w="598"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6</w:t>
            </w:r>
          </w:p>
        </w:tc>
        <w:tc>
          <w:tcPr>
            <w:tcW w:w="3088"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）饱和土的有效应力原理。</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）自重应力的概念及其计算方法。</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）基底压力、基底附加压力的概念及简化计算。</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）地基附加应力的概念及其计算方法、角点法。</w:t>
            </w:r>
          </w:p>
        </w:tc>
        <w:tc>
          <w:tcPr>
            <w:tcW w:w="1791"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要求学生能够熟练运用本章知识计算地基中的应力。</w:t>
            </w:r>
          </w:p>
        </w:tc>
        <w:tc>
          <w:tcPr>
            <w:tcW w:w="2992"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374D88" w:rsidTr="00BE5664">
        <w:trPr>
          <w:trHeight w:val="548"/>
        </w:trPr>
        <w:tc>
          <w:tcPr>
            <w:tcW w:w="392"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4</w:t>
            </w:r>
          </w:p>
        </w:tc>
        <w:tc>
          <w:tcPr>
            <w:tcW w:w="425" w:type="dxa"/>
            <w:vAlign w:val="center"/>
          </w:tcPr>
          <w:p w:rsidR="00374D88" w:rsidRDefault="00374D88" w:rsidP="00BE5664">
            <w:pPr>
              <w:jc w:val="center"/>
              <w:rPr>
                <w:rFonts w:ascii="Times New Roman" w:eastAsia="华文中宋" w:hAnsi="Times New Roman"/>
                <w:sz w:val="24"/>
                <w:szCs w:val="24"/>
              </w:rPr>
            </w:pPr>
            <w:r>
              <w:rPr>
                <w:rFonts w:ascii="Times New Roman" w:hAnsi="Times New Roman"/>
                <w:kern w:val="0"/>
                <w:sz w:val="24"/>
                <w:szCs w:val="24"/>
              </w:rPr>
              <w:t>土的</w:t>
            </w:r>
            <w:r>
              <w:rPr>
                <w:rFonts w:ascii="Times New Roman" w:hAnsi="Times New Roman" w:hint="eastAsia"/>
                <w:kern w:val="0"/>
                <w:sz w:val="24"/>
                <w:szCs w:val="24"/>
              </w:rPr>
              <w:t>变形性质</w:t>
            </w:r>
            <w:r>
              <w:rPr>
                <w:rFonts w:ascii="Times New Roman" w:hAnsi="Times New Roman"/>
                <w:kern w:val="0"/>
                <w:sz w:val="24"/>
                <w:szCs w:val="24"/>
              </w:rPr>
              <w:t>及地基沉降计算</w:t>
            </w:r>
          </w:p>
        </w:tc>
        <w:tc>
          <w:tcPr>
            <w:tcW w:w="598"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8</w:t>
            </w:r>
          </w:p>
        </w:tc>
        <w:tc>
          <w:tcPr>
            <w:tcW w:w="3088"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）土的压缩性：压缩试验、压缩性指标、天然土层的固结状态。</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）地基最终沉降量计算（采用</w:t>
            </w:r>
            <w:r>
              <w:rPr>
                <w:rFonts w:ascii="Times New Roman" w:hAnsi="Times New Roman"/>
                <w:kern w:val="0"/>
                <w:sz w:val="24"/>
                <w:szCs w:val="24"/>
              </w:rPr>
              <w:t>e~p</w:t>
            </w:r>
            <w:r>
              <w:rPr>
                <w:rFonts w:ascii="Times New Roman" w:hAnsi="Times New Roman"/>
                <w:kern w:val="0"/>
                <w:sz w:val="24"/>
                <w:szCs w:val="24"/>
              </w:rPr>
              <w:t>曲线和</w:t>
            </w:r>
            <w:r>
              <w:rPr>
                <w:rFonts w:ascii="Times New Roman" w:hAnsi="Times New Roman"/>
                <w:kern w:val="0"/>
                <w:sz w:val="24"/>
                <w:szCs w:val="24"/>
              </w:rPr>
              <w:t>e~lgp</w:t>
            </w:r>
            <w:r>
              <w:rPr>
                <w:rFonts w:ascii="Times New Roman" w:hAnsi="Times New Roman"/>
                <w:kern w:val="0"/>
                <w:sz w:val="24"/>
                <w:szCs w:val="24"/>
              </w:rPr>
              <w:t>曲线）。</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）应力</w:t>
            </w:r>
            <w:r>
              <w:rPr>
                <w:rFonts w:ascii="Times New Roman" w:hAnsi="Times New Roman"/>
                <w:kern w:val="0"/>
                <w:sz w:val="24"/>
                <w:szCs w:val="24"/>
              </w:rPr>
              <w:t>历史对</w:t>
            </w:r>
            <w:r>
              <w:rPr>
                <w:rFonts w:ascii="Times New Roman" w:hAnsi="Times New Roman" w:hint="eastAsia"/>
                <w:kern w:val="0"/>
                <w:sz w:val="24"/>
                <w:szCs w:val="24"/>
              </w:rPr>
              <w:t>地基</w:t>
            </w:r>
            <w:r>
              <w:rPr>
                <w:rFonts w:ascii="Times New Roman" w:hAnsi="Times New Roman"/>
                <w:kern w:val="0"/>
                <w:sz w:val="24"/>
                <w:szCs w:val="24"/>
              </w:rPr>
              <w:t>沉降的影响。</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）地基沉降量与时间的关系，饱和土的渗透固结理论。</w:t>
            </w:r>
          </w:p>
        </w:tc>
        <w:tc>
          <w:tcPr>
            <w:tcW w:w="1791"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掌握土的压缩特性和土体压缩性指标</w:t>
            </w:r>
            <w:r>
              <w:rPr>
                <w:rFonts w:ascii="Times New Roman" w:hAnsi="Times New Roman" w:hint="eastAsia"/>
                <w:kern w:val="0"/>
                <w:sz w:val="24"/>
                <w:szCs w:val="24"/>
              </w:rPr>
              <w:t>；掌握</w:t>
            </w:r>
            <w:r>
              <w:rPr>
                <w:rFonts w:ascii="Times New Roman" w:hAnsi="Times New Roman"/>
                <w:kern w:val="0"/>
                <w:sz w:val="24"/>
                <w:szCs w:val="24"/>
              </w:rPr>
              <w:t>地基沉降计算方法；掌握应力历史对沉降的影响；掌握饱和土沉降与</w:t>
            </w:r>
            <w:r>
              <w:rPr>
                <w:rFonts w:ascii="Times New Roman" w:hAnsi="Times New Roman" w:hint="eastAsia"/>
                <w:kern w:val="0"/>
                <w:sz w:val="24"/>
                <w:szCs w:val="24"/>
              </w:rPr>
              <w:t>时间</w:t>
            </w:r>
            <w:r>
              <w:rPr>
                <w:rFonts w:ascii="Times New Roman" w:hAnsi="Times New Roman"/>
                <w:kern w:val="0"/>
                <w:sz w:val="24"/>
                <w:szCs w:val="24"/>
              </w:rPr>
              <w:t>的关系。</w:t>
            </w:r>
          </w:p>
        </w:tc>
        <w:tc>
          <w:tcPr>
            <w:tcW w:w="2992"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374D88" w:rsidTr="00BE5664">
        <w:trPr>
          <w:trHeight w:val="548"/>
        </w:trPr>
        <w:tc>
          <w:tcPr>
            <w:tcW w:w="392"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t>5</w:t>
            </w:r>
          </w:p>
        </w:tc>
        <w:tc>
          <w:tcPr>
            <w:tcW w:w="425" w:type="dxa"/>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土的抗剪强度</w:t>
            </w:r>
          </w:p>
        </w:tc>
        <w:tc>
          <w:tcPr>
            <w:tcW w:w="598"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4</w:t>
            </w:r>
          </w:p>
        </w:tc>
        <w:tc>
          <w:tcPr>
            <w:tcW w:w="3088"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）土的抗剪强度的概念，莫尔</w:t>
            </w:r>
            <w:r>
              <w:rPr>
                <w:rFonts w:ascii="Times New Roman" w:hAnsi="Times New Roman"/>
                <w:kern w:val="0"/>
                <w:sz w:val="24"/>
                <w:szCs w:val="24"/>
              </w:rPr>
              <w:t>-</w:t>
            </w:r>
            <w:r>
              <w:rPr>
                <w:rFonts w:ascii="Times New Roman" w:hAnsi="Times New Roman"/>
                <w:kern w:val="0"/>
                <w:sz w:val="24"/>
                <w:szCs w:val="24"/>
              </w:rPr>
              <w:t>库伦强度准则，土的极限平衡条件。</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）抗剪强度的测定方法：直接剪切试验、三轴剪切试验、无侧限抗压强度试验。</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）不同固结和排水条件下土的抗剪强度指标。</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）应力路径的概念。</w:t>
            </w:r>
          </w:p>
        </w:tc>
        <w:tc>
          <w:tcPr>
            <w:tcW w:w="1791"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要求学生掌握土的抗剪强度的基本理论及测定方法。</w:t>
            </w:r>
          </w:p>
        </w:tc>
        <w:tc>
          <w:tcPr>
            <w:tcW w:w="2992"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w:t>
            </w:r>
            <w:r>
              <w:rPr>
                <w:rFonts w:ascii="Times New Roman" w:hAnsi="Times New Roman" w:hint="eastAsia"/>
                <w:kern w:val="0"/>
                <w:sz w:val="24"/>
                <w:szCs w:val="24"/>
              </w:rPr>
              <w:lastRenderedPageBreak/>
              <w:t>进行工程体系的系统分析和优化设计，并体现创新意识”。</w:t>
            </w:r>
          </w:p>
        </w:tc>
      </w:tr>
      <w:tr w:rsidR="00374D88" w:rsidTr="00BE5664">
        <w:trPr>
          <w:trHeight w:val="548"/>
        </w:trPr>
        <w:tc>
          <w:tcPr>
            <w:tcW w:w="392"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sz w:val="24"/>
                <w:szCs w:val="24"/>
              </w:rPr>
              <w:lastRenderedPageBreak/>
              <w:t>6</w:t>
            </w:r>
          </w:p>
        </w:tc>
        <w:tc>
          <w:tcPr>
            <w:tcW w:w="425" w:type="dxa"/>
            <w:vAlign w:val="center"/>
          </w:tcPr>
          <w:p w:rsidR="00374D88" w:rsidRDefault="00374D88" w:rsidP="00BE5664">
            <w:pPr>
              <w:jc w:val="center"/>
              <w:rPr>
                <w:rFonts w:ascii="Times New Roman" w:hAnsi="Times New Roman"/>
                <w:kern w:val="0"/>
                <w:sz w:val="24"/>
                <w:szCs w:val="24"/>
              </w:rPr>
            </w:pPr>
            <w:r>
              <w:rPr>
                <w:rFonts w:ascii="Times New Roman" w:hAnsi="Times New Roman"/>
                <w:kern w:val="0"/>
                <w:sz w:val="24"/>
                <w:szCs w:val="24"/>
              </w:rPr>
              <w:t>土压力</w:t>
            </w:r>
            <w:r>
              <w:rPr>
                <w:rFonts w:ascii="Times New Roman" w:hAnsi="Times New Roman" w:hint="eastAsia"/>
                <w:kern w:val="0"/>
                <w:sz w:val="24"/>
                <w:szCs w:val="24"/>
              </w:rPr>
              <w:t>、</w:t>
            </w:r>
            <w:r>
              <w:rPr>
                <w:rFonts w:ascii="Times New Roman" w:hAnsi="Times New Roman"/>
                <w:kern w:val="0"/>
                <w:sz w:val="24"/>
                <w:szCs w:val="24"/>
              </w:rPr>
              <w:t>地基承载力和土坡</w:t>
            </w:r>
            <w:r>
              <w:rPr>
                <w:rFonts w:ascii="Times New Roman" w:hAnsi="Times New Roman" w:hint="eastAsia"/>
                <w:kern w:val="0"/>
                <w:sz w:val="24"/>
                <w:szCs w:val="24"/>
              </w:rPr>
              <w:t>稳定</w:t>
            </w:r>
          </w:p>
        </w:tc>
        <w:tc>
          <w:tcPr>
            <w:tcW w:w="598"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10</w:t>
            </w:r>
          </w:p>
        </w:tc>
        <w:tc>
          <w:tcPr>
            <w:tcW w:w="3088"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）静止土压力、主动土压力、被动土压力的形成条件。</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）朗肯和库伦土压力理论</w:t>
            </w:r>
            <w:r>
              <w:rPr>
                <w:rFonts w:ascii="Times New Roman" w:hAnsi="Times New Roman" w:hint="eastAsia"/>
                <w:kern w:val="0"/>
                <w:sz w:val="24"/>
                <w:szCs w:val="24"/>
              </w:rPr>
              <w:t>推导及计算</w:t>
            </w:r>
            <w:r>
              <w:rPr>
                <w:rFonts w:ascii="Times New Roman" w:hAnsi="Times New Roman"/>
                <w:kern w:val="0"/>
                <w:sz w:val="24"/>
                <w:szCs w:val="24"/>
              </w:rPr>
              <w:t>。</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）有超载、成层土、有地下水情况下的土压力计算。</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）地基的失稳破坏形式及其影响因素。</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5</w:t>
            </w:r>
            <w:r>
              <w:rPr>
                <w:rFonts w:ascii="Times New Roman" w:hAnsi="Times New Roman"/>
                <w:kern w:val="0"/>
                <w:sz w:val="24"/>
                <w:szCs w:val="24"/>
              </w:rPr>
              <w:t>）地基的临塑荷载和临界荷载计算方法。</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6</w:t>
            </w:r>
            <w:r>
              <w:rPr>
                <w:rFonts w:ascii="Times New Roman" w:hAnsi="Times New Roman"/>
                <w:kern w:val="0"/>
                <w:sz w:val="24"/>
                <w:szCs w:val="24"/>
              </w:rPr>
              <w:t>）地基的极限承载力计算方法。</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7</w:t>
            </w:r>
            <w:r>
              <w:rPr>
                <w:rFonts w:ascii="Times New Roman" w:hAnsi="Times New Roman"/>
                <w:kern w:val="0"/>
                <w:sz w:val="24"/>
                <w:szCs w:val="24"/>
              </w:rPr>
              <w:t>）无粘性土坡的稳定性分析方法。</w:t>
            </w:r>
          </w:p>
          <w:p w:rsidR="00374D88" w:rsidRDefault="00374D88" w:rsidP="00BE5664">
            <w:pPr>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8</w:t>
            </w:r>
            <w:r>
              <w:rPr>
                <w:rFonts w:ascii="Times New Roman" w:hAnsi="Times New Roman"/>
                <w:kern w:val="0"/>
                <w:sz w:val="24"/>
                <w:szCs w:val="24"/>
              </w:rPr>
              <w:t>）粘性土坡的稳定性分析方法：瑞典圆弧法、条分法、</w:t>
            </w:r>
            <w:r>
              <w:rPr>
                <w:rFonts w:ascii="Times New Roman" w:hAnsi="Times New Roman"/>
                <w:kern w:val="0"/>
                <w:sz w:val="24"/>
                <w:szCs w:val="24"/>
              </w:rPr>
              <w:t>Bishop</w:t>
            </w:r>
            <w:r>
              <w:rPr>
                <w:rFonts w:ascii="Times New Roman" w:hAnsi="Times New Roman"/>
                <w:kern w:val="0"/>
                <w:sz w:val="24"/>
                <w:szCs w:val="24"/>
              </w:rPr>
              <w:t>法等其它常用分析方法。</w:t>
            </w:r>
          </w:p>
        </w:tc>
        <w:tc>
          <w:tcPr>
            <w:tcW w:w="1791"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要求学生能够计算作用于挡土墙背上的三种土压力</w:t>
            </w:r>
            <w:r>
              <w:rPr>
                <w:rFonts w:ascii="Times New Roman" w:hAnsi="Times New Roman" w:hint="eastAsia"/>
                <w:kern w:val="0"/>
                <w:sz w:val="24"/>
                <w:szCs w:val="24"/>
              </w:rPr>
              <w:t>，</w:t>
            </w:r>
            <w:r>
              <w:rPr>
                <w:rFonts w:ascii="Times New Roman" w:hAnsi="Times New Roman"/>
                <w:kern w:val="0"/>
                <w:sz w:val="24"/>
                <w:szCs w:val="24"/>
              </w:rPr>
              <w:t>计算地基承载力</w:t>
            </w:r>
            <w:r>
              <w:rPr>
                <w:rFonts w:ascii="Times New Roman" w:hAnsi="Times New Roman" w:hint="eastAsia"/>
                <w:kern w:val="0"/>
                <w:sz w:val="24"/>
                <w:szCs w:val="24"/>
              </w:rPr>
              <w:t>，</w:t>
            </w:r>
            <w:r>
              <w:rPr>
                <w:rFonts w:ascii="Times New Roman" w:hAnsi="Times New Roman"/>
                <w:kern w:val="0"/>
                <w:sz w:val="24"/>
                <w:szCs w:val="24"/>
              </w:rPr>
              <w:t>掌握土坡稳定性分析的基本理论及方法。</w:t>
            </w:r>
          </w:p>
        </w:tc>
        <w:tc>
          <w:tcPr>
            <w:tcW w:w="2992"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374D88" w:rsidTr="00BE5664">
        <w:trPr>
          <w:trHeight w:val="548"/>
        </w:trPr>
        <w:tc>
          <w:tcPr>
            <w:tcW w:w="392"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7</w:t>
            </w:r>
          </w:p>
        </w:tc>
        <w:tc>
          <w:tcPr>
            <w:tcW w:w="425" w:type="dxa"/>
            <w:vAlign w:val="center"/>
          </w:tcPr>
          <w:p w:rsidR="00374D88" w:rsidRDefault="00374D88" w:rsidP="00BE5664">
            <w:pPr>
              <w:jc w:val="center"/>
              <w:rPr>
                <w:rFonts w:ascii="Times New Roman" w:hAnsi="Times New Roman"/>
                <w:kern w:val="0"/>
                <w:sz w:val="24"/>
                <w:szCs w:val="24"/>
              </w:rPr>
            </w:pPr>
            <w:r>
              <w:rPr>
                <w:rFonts w:ascii="Times New Roman" w:hAnsi="Times New Roman" w:hint="eastAsia"/>
                <w:kern w:val="0"/>
                <w:sz w:val="24"/>
                <w:szCs w:val="24"/>
              </w:rPr>
              <w:t>浅基础</w:t>
            </w:r>
          </w:p>
        </w:tc>
        <w:tc>
          <w:tcPr>
            <w:tcW w:w="598"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6</w:t>
            </w:r>
          </w:p>
        </w:tc>
        <w:tc>
          <w:tcPr>
            <w:tcW w:w="308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）地基基础的设计原则。</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）浅基础的类型。</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）基础埋置深度的选择。</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4</w:t>
            </w:r>
            <w:r>
              <w:rPr>
                <w:rFonts w:ascii="Times New Roman" w:hAnsi="Times New Roman" w:hint="eastAsia"/>
                <w:kern w:val="0"/>
                <w:sz w:val="24"/>
                <w:szCs w:val="24"/>
              </w:rPr>
              <w:t>）地基承载力确定。</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5</w:t>
            </w:r>
            <w:r>
              <w:rPr>
                <w:rFonts w:ascii="Times New Roman" w:hAnsi="Times New Roman" w:hint="eastAsia"/>
                <w:kern w:val="0"/>
                <w:sz w:val="24"/>
                <w:szCs w:val="24"/>
              </w:rPr>
              <w:t>）基础底面尺寸</w:t>
            </w:r>
            <w:r>
              <w:rPr>
                <w:rFonts w:ascii="Times New Roman" w:hAnsi="Times New Roman"/>
                <w:kern w:val="0"/>
                <w:sz w:val="24"/>
                <w:szCs w:val="24"/>
              </w:rPr>
              <w:t>确定</w:t>
            </w:r>
            <w:r>
              <w:rPr>
                <w:rFonts w:ascii="Times New Roman" w:hAnsi="Times New Roman" w:hint="eastAsia"/>
                <w:kern w:val="0"/>
                <w:sz w:val="24"/>
                <w:szCs w:val="24"/>
              </w:rPr>
              <w:t>。</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6</w:t>
            </w:r>
            <w:r>
              <w:rPr>
                <w:rFonts w:ascii="Times New Roman" w:hAnsi="Times New Roman" w:hint="eastAsia"/>
                <w:kern w:val="0"/>
                <w:sz w:val="24"/>
                <w:szCs w:val="24"/>
              </w:rPr>
              <w:t>）</w:t>
            </w:r>
            <w:r>
              <w:rPr>
                <w:rFonts w:ascii="Times New Roman" w:hAnsi="Times New Roman"/>
                <w:kern w:val="0"/>
                <w:sz w:val="24"/>
                <w:szCs w:val="24"/>
              </w:rPr>
              <w:t>软弱下卧层验算</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7</w:t>
            </w:r>
            <w:r>
              <w:rPr>
                <w:rFonts w:ascii="Times New Roman" w:hAnsi="Times New Roman" w:hint="eastAsia"/>
                <w:kern w:val="0"/>
                <w:sz w:val="24"/>
                <w:szCs w:val="24"/>
              </w:rPr>
              <w:t>）减轻不均匀沉降危害的措施。</w:t>
            </w:r>
          </w:p>
        </w:tc>
        <w:tc>
          <w:tcPr>
            <w:tcW w:w="1791" w:type="dxa"/>
            <w:vAlign w:val="center"/>
          </w:tcPr>
          <w:p w:rsidR="00374D88" w:rsidRDefault="00374D88" w:rsidP="00BE5664">
            <w:pPr>
              <w:rPr>
                <w:rFonts w:ascii="Times New Roman" w:hAnsi="Times New Roman"/>
                <w:kern w:val="0"/>
                <w:sz w:val="24"/>
                <w:szCs w:val="24"/>
              </w:rPr>
            </w:pPr>
            <w:r>
              <w:rPr>
                <w:rFonts w:ascii="Times New Roman" w:hAnsi="Times New Roman"/>
                <w:kern w:val="0"/>
                <w:sz w:val="24"/>
                <w:szCs w:val="24"/>
              </w:rPr>
              <w:t>要求</w:t>
            </w:r>
            <w:r>
              <w:rPr>
                <w:rFonts w:ascii="Times New Roman" w:hAnsi="Times New Roman" w:hint="eastAsia"/>
                <w:kern w:val="0"/>
                <w:sz w:val="24"/>
                <w:szCs w:val="24"/>
              </w:rPr>
              <w:t>学生了解浅基础的常见类型掌握基础埋深设置和地基承载力确定</w:t>
            </w:r>
            <w:r>
              <w:rPr>
                <w:rFonts w:ascii="Times New Roman" w:hAnsi="Times New Roman"/>
                <w:kern w:val="0"/>
                <w:sz w:val="24"/>
                <w:szCs w:val="24"/>
              </w:rPr>
              <w:t>方法</w:t>
            </w:r>
            <w:r>
              <w:rPr>
                <w:rFonts w:ascii="Times New Roman" w:hAnsi="Times New Roman" w:hint="eastAsia"/>
                <w:kern w:val="0"/>
                <w:sz w:val="24"/>
                <w:szCs w:val="24"/>
              </w:rPr>
              <w:t>；掌握基底尺寸确定</w:t>
            </w:r>
            <w:r>
              <w:rPr>
                <w:rFonts w:ascii="Times New Roman" w:hAnsi="Times New Roman"/>
                <w:kern w:val="0"/>
                <w:sz w:val="24"/>
                <w:szCs w:val="24"/>
              </w:rPr>
              <w:t>方法</w:t>
            </w:r>
            <w:r>
              <w:rPr>
                <w:rFonts w:ascii="Times New Roman" w:hAnsi="Times New Roman" w:hint="eastAsia"/>
                <w:kern w:val="0"/>
                <w:sz w:val="24"/>
                <w:szCs w:val="24"/>
              </w:rPr>
              <w:t>；掌握减轻不均匀沉降的措施。</w:t>
            </w:r>
          </w:p>
        </w:tc>
        <w:tc>
          <w:tcPr>
            <w:tcW w:w="2992"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本章知识点的讲授和学习，本章知识点的讲授和学习，可支撑</w:t>
            </w:r>
            <w:r>
              <w:rPr>
                <w:rFonts w:ascii="Times New Roman" w:hAnsi="Times New Roman" w:hint="eastAsia"/>
                <w:kern w:val="0"/>
                <w:sz w:val="24"/>
                <w:szCs w:val="24"/>
              </w:rPr>
              <w:t xml:space="preserve"> </w:t>
            </w:r>
            <w:r>
              <w:rPr>
                <w:rFonts w:ascii="Times New Roman" w:hAnsi="Times New Roman" w:hint="eastAsia"/>
                <w:kern w:val="0"/>
                <w:sz w:val="24"/>
                <w:szCs w:val="24"/>
              </w:rPr>
              <w:t>“指标点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374D88" w:rsidTr="00BE5664">
        <w:trPr>
          <w:trHeight w:val="548"/>
        </w:trPr>
        <w:tc>
          <w:tcPr>
            <w:tcW w:w="392"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8</w:t>
            </w:r>
          </w:p>
        </w:tc>
        <w:tc>
          <w:tcPr>
            <w:tcW w:w="425" w:type="dxa"/>
            <w:vAlign w:val="center"/>
          </w:tcPr>
          <w:p w:rsidR="00374D88" w:rsidRDefault="00374D88" w:rsidP="00BE5664">
            <w:pPr>
              <w:jc w:val="center"/>
              <w:rPr>
                <w:rFonts w:ascii="Times New Roman" w:hAnsi="Times New Roman"/>
                <w:sz w:val="24"/>
                <w:szCs w:val="24"/>
              </w:rPr>
            </w:pPr>
            <w:r>
              <w:rPr>
                <w:rFonts w:ascii="Times New Roman" w:hAnsi="Times New Roman" w:hint="eastAsia"/>
                <w:sz w:val="24"/>
                <w:szCs w:val="24"/>
              </w:rPr>
              <w:t>桩基础</w:t>
            </w:r>
          </w:p>
        </w:tc>
        <w:tc>
          <w:tcPr>
            <w:tcW w:w="598"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6</w:t>
            </w:r>
          </w:p>
        </w:tc>
        <w:tc>
          <w:tcPr>
            <w:tcW w:w="308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）桩的类型。</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）竖向荷载</w:t>
            </w:r>
            <w:r>
              <w:rPr>
                <w:rFonts w:ascii="Times New Roman" w:hAnsi="Times New Roman"/>
                <w:kern w:val="0"/>
                <w:sz w:val="24"/>
                <w:szCs w:val="24"/>
              </w:rPr>
              <w:t>下单桩的工作性能</w:t>
            </w:r>
            <w:r>
              <w:rPr>
                <w:rFonts w:ascii="Times New Roman" w:hAnsi="Times New Roman" w:hint="eastAsia"/>
                <w:kern w:val="0"/>
                <w:sz w:val="24"/>
                <w:szCs w:val="24"/>
              </w:rPr>
              <w:t>级</w:t>
            </w:r>
            <w:r>
              <w:rPr>
                <w:rFonts w:ascii="Times New Roman" w:hAnsi="Times New Roman"/>
                <w:kern w:val="0"/>
                <w:sz w:val="24"/>
                <w:szCs w:val="24"/>
              </w:rPr>
              <w:t>承载力确定方法。</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）桩的负摩擦问题。</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4</w:t>
            </w:r>
            <w:r>
              <w:rPr>
                <w:rFonts w:ascii="Times New Roman" w:hAnsi="Times New Roman" w:hint="eastAsia"/>
                <w:kern w:val="0"/>
                <w:sz w:val="24"/>
                <w:szCs w:val="24"/>
              </w:rPr>
              <w:t>）桩的水平承载力。</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5</w:t>
            </w:r>
            <w:r>
              <w:rPr>
                <w:rFonts w:ascii="Times New Roman" w:hAnsi="Times New Roman" w:hint="eastAsia"/>
                <w:kern w:val="0"/>
                <w:sz w:val="24"/>
                <w:szCs w:val="24"/>
              </w:rPr>
              <w:t>）群桩</w:t>
            </w:r>
            <w:r>
              <w:rPr>
                <w:rFonts w:ascii="Times New Roman" w:hAnsi="Times New Roman"/>
                <w:kern w:val="0"/>
                <w:sz w:val="24"/>
                <w:szCs w:val="24"/>
              </w:rPr>
              <w:t>的工作特点</w:t>
            </w:r>
            <w:r>
              <w:rPr>
                <w:rFonts w:ascii="Times New Roman" w:hAnsi="Times New Roman" w:hint="eastAsia"/>
                <w:kern w:val="0"/>
                <w:sz w:val="24"/>
                <w:szCs w:val="24"/>
              </w:rPr>
              <w:t>。</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6</w:t>
            </w:r>
            <w:r>
              <w:rPr>
                <w:rFonts w:ascii="Times New Roman" w:hAnsi="Times New Roman" w:hint="eastAsia"/>
                <w:kern w:val="0"/>
                <w:sz w:val="24"/>
                <w:szCs w:val="24"/>
              </w:rPr>
              <w:t>）桩基础的</w:t>
            </w:r>
            <w:r>
              <w:rPr>
                <w:rFonts w:ascii="Times New Roman" w:hAnsi="Times New Roman"/>
                <w:kern w:val="0"/>
                <w:sz w:val="24"/>
                <w:szCs w:val="24"/>
              </w:rPr>
              <w:t>设计</w:t>
            </w:r>
          </w:p>
        </w:tc>
        <w:tc>
          <w:tcPr>
            <w:tcW w:w="1791"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掌握桩基的适用性、设计内容、设计原则及桩的分类与质量检验方法；掌握桩的荷载传递、桩侧摩阻力和桩端阻力、单桩的破坏模式、桩侧负摩阻力</w:t>
            </w:r>
            <w:r>
              <w:rPr>
                <w:rFonts w:ascii="Times New Roman" w:hAnsi="Times New Roman" w:hint="eastAsia"/>
                <w:kern w:val="0"/>
                <w:sz w:val="24"/>
                <w:szCs w:val="24"/>
              </w:rPr>
              <w:lastRenderedPageBreak/>
              <w:t>概念。熟练掌握桩承载力的确定方法。</w:t>
            </w:r>
          </w:p>
        </w:tc>
        <w:tc>
          <w:tcPr>
            <w:tcW w:w="2992"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lastRenderedPageBreak/>
              <w:t>本章知识点的讲授和学习，本章知识点的讲授和学习，可支撑“指标点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w:t>
            </w:r>
            <w:r>
              <w:rPr>
                <w:rFonts w:ascii="Times New Roman" w:hAnsi="Times New Roman" w:hint="eastAsia"/>
                <w:kern w:val="0"/>
                <w:sz w:val="24"/>
                <w:szCs w:val="24"/>
              </w:rPr>
              <w:lastRenderedPageBreak/>
              <w:t>择合适的方法进行分析和求解”和“指标点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374D88" w:rsidTr="00BE5664">
        <w:trPr>
          <w:trHeight w:val="548"/>
        </w:trPr>
        <w:tc>
          <w:tcPr>
            <w:tcW w:w="392"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lastRenderedPageBreak/>
              <w:t>11</w:t>
            </w:r>
          </w:p>
        </w:tc>
        <w:tc>
          <w:tcPr>
            <w:tcW w:w="425" w:type="dxa"/>
            <w:vAlign w:val="center"/>
          </w:tcPr>
          <w:p w:rsidR="00374D88" w:rsidRDefault="00374D88" w:rsidP="00BE5664">
            <w:pPr>
              <w:jc w:val="center"/>
              <w:rPr>
                <w:rFonts w:ascii="Times New Roman" w:hAnsi="Times New Roman"/>
                <w:sz w:val="24"/>
                <w:szCs w:val="24"/>
              </w:rPr>
            </w:pPr>
            <w:r>
              <w:rPr>
                <w:rFonts w:ascii="Times New Roman" w:hAnsi="Times New Roman" w:hint="eastAsia"/>
                <w:sz w:val="24"/>
                <w:szCs w:val="24"/>
              </w:rPr>
              <w:t>区域性</w:t>
            </w:r>
            <w:r>
              <w:rPr>
                <w:rFonts w:ascii="Times New Roman" w:hAnsi="Times New Roman"/>
                <w:sz w:val="24"/>
                <w:szCs w:val="24"/>
              </w:rPr>
              <w:t>地基</w:t>
            </w:r>
          </w:p>
        </w:tc>
        <w:tc>
          <w:tcPr>
            <w:tcW w:w="598"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308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）区域性地基类型、</w:t>
            </w:r>
            <w:r>
              <w:rPr>
                <w:rFonts w:ascii="Times New Roman" w:hAnsi="Times New Roman"/>
                <w:kern w:val="0"/>
                <w:sz w:val="24"/>
                <w:szCs w:val="24"/>
              </w:rPr>
              <w:t>特点及分布。</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）湿陷性</w:t>
            </w:r>
            <w:r>
              <w:rPr>
                <w:rFonts w:ascii="Times New Roman" w:hAnsi="Times New Roman"/>
                <w:kern w:val="0"/>
                <w:sz w:val="24"/>
                <w:szCs w:val="24"/>
              </w:rPr>
              <w:t>黄土地基成因、特征。</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）湿陷性影响因素</w:t>
            </w:r>
            <w:r>
              <w:rPr>
                <w:rFonts w:ascii="Times New Roman" w:hAnsi="Times New Roman"/>
                <w:kern w:val="0"/>
                <w:sz w:val="24"/>
                <w:szCs w:val="24"/>
              </w:rPr>
              <w:t>和评价</w:t>
            </w:r>
            <w:r>
              <w:rPr>
                <w:rFonts w:ascii="Times New Roman" w:hAnsi="Times New Roman" w:hint="eastAsia"/>
                <w:kern w:val="0"/>
                <w:sz w:val="24"/>
                <w:szCs w:val="24"/>
              </w:rPr>
              <w:t>。</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4</w:t>
            </w:r>
            <w:r>
              <w:rPr>
                <w:rFonts w:ascii="Times New Roman" w:hAnsi="Times New Roman" w:hint="eastAsia"/>
                <w:kern w:val="0"/>
                <w:sz w:val="24"/>
                <w:szCs w:val="24"/>
              </w:rPr>
              <w:t>）湿陷性</w:t>
            </w:r>
            <w:r>
              <w:rPr>
                <w:rFonts w:ascii="Times New Roman" w:hAnsi="Times New Roman"/>
                <w:kern w:val="0"/>
                <w:sz w:val="24"/>
                <w:szCs w:val="24"/>
              </w:rPr>
              <w:t>黄土处理措施。</w:t>
            </w:r>
          </w:p>
        </w:tc>
        <w:tc>
          <w:tcPr>
            <w:tcW w:w="1791"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了解我国区域性土的种类及其特征，掌握湿陷性黄土的特征及其对工程影响。</w:t>
            </w:r>
          </w:p>
        </w:tc>
        <w:tc>
          <w:tcPr>
            <w:tcW w:w="2992"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r w:rsidR="00374D88" w:rsidTr="00BE5664">
        <w:trPr>
          <w:trHeight w:val="548"/>
        </w:trPr>
        <w:tc>
          <w:tcPr>
            <w:tcW w:w="392"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12</w:t>
            </w:r>
          </w:p>
        </w:tc>
        <w:tc>
          <w:tcPr>
            <w:tcW w:w="425" w:type="dxa"/>
            <w:vAlign w:val="center"/>
          </w:tcPr>
          <w:p w:rsidR="00374D88" w:rsidRDefault="00374D88" w:rsidP="00BE5664">
            <w:pPr>
              <w:jc w:val="center"/>
              <w:rPr>
                <w:rFonts w:ascii="Times New Roman" w:hAnsi="Times New Roman"/>
                <w:sz w:val="24"/>
                <w:szCs w:val="24"/>
              </w:rPr>
            </w:pPr>
            <w:r>
              <w:rPr>
                <w:rFonts w:ascii="Times New Roman" w:hAnsi="Times New Roman" w:hint="eastAsia"/>
                <w:sz w:val="24"/>
                <w:szCs w:val="24"/>
              </w:rPr>
              <w:t>地基处理</w:t>
            </w:r>
          </w:p>
        </w:tc>
        <w:tc>
          <w:tcPr>
            <w:tcW w:w="598" w:type="dxa"/>
            <w:vAlign w:val="center"/>
          </w:tcPr>
          <w:p w:rsidR="00374D88" w:rsidRDefault="00374D88" w:rsidP="00BE5664">
            <w:pPr>
              <w:jc w:val="center"/>
              <w:rPr>
                <w:rFonts w:ascii="Times New Roman" w:eastAsia="华文中宋" w:hAnsi="Times New Roman"/>
                <w:sz w:val="24"/>
                <w:szCs w:val="24"/>
              </w:rPr>
            </w:pPr>
            <w:r>
              <w:rPr>
                <w:rFonts w:ascii="Times New Roman" w:eastAsia="华文中宋" w:hAnsi="Times New Roman" w:hint="eastAsia"/>
                <w:sz w:val="24"/>
                <w:szCs w:val="24"/>
              </w:rPr>
              <w:t>2</w:t>
            </w:r>
          </w:p>
        </w:tc>
        <w:tc>
          <w:tcPr>
            <w:tcW w:w="3088"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）软弱地基</w:t>
            </w:r>
            <w:r>
              <w:rPr>
                <w:rFonts w:ascii="Times New Roman" w:hAnsi="Times New Roman"/>
                <w:kern w:val="0"/>
                <w:sz w:val="24"/>
                <w:szCs w:val="24"/>
              </w:rPr>
              <w:t>特征</w:t>
            </w:r>
            <w:r>
              <w:rPr>
                <w:rFonts w:ascii="Times New Roman" w:hAnsi="Times New Roman" w:hint="eastAsia"/>
                <w:kern w:val="0"/>
                <w:sz w:val="24"/>
                <w:szCs w:val="24"/>
              </w:rPr>
              <w:t>。</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）地基处理</w:t>
            </w:r>
            <w:r>
              <w:rPr>
                <w:rFonts w:ascii="Times New Roman" w:hAnsi="Times New Roman"/>
                <w:kern w:val="0"/>
                <w:sz w:val="24"/>
                <w:szCs w:val="24"/>
              </w:rPr>
              <w:t>方法</w:t>
            </w:r>
            <w:r>
              <w:rPr>
                <w:rFonts w:ascii="Times New Roman" w:hAnsi="Times New Roman" w:hint="eastAsia"/>
                <w:kern w:val="0"/>
                <w:sz w:val="24"/>
                <w:szCs w:val="24"/>
              </w:rPr>
              <w:t>分类</w:t>
            </w:r>
            <w:r>
              <w:rPr>
                <w:rFonts w:ascii="Times New Roman" w:hAnsi="Times New Roman"/>
                <w:kern w:val="0"/>
                <w:sz w:val="24"/>
                <w:szCs w:val="24"/>
              </w:rPr>
              <w:t>和选择依据</w:t>
            </w:r>
            <w:r>
              <w:rPr>
                <w:rFonts w:ascii="Times New Roman" w:hAnsi="Times New Roman" w:hint="eastAsia"/>
                <w:kern w:val="0"/>
                <w:sz w:val="24"/>
                <w:szCs w:val="24"/>
              </w:rPr>
              <w:t>。</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）复合</w:t>
            </w:r>
            <w:r>
              <w:rPr>
                <w:rFonts w:ascii="Times New Roman" w:hAnsi="Times New Roman"/>
                <w:kern w:val="0"/>
                <w:sz w:val="24"/>
                <w:szCs w:val="24"/>
              </w:rPr>
              <w:t>地基特点、作用机理</w:t>
            </w:r>
            <w:r>
              <w:rPr>
                <w:rFonts w:ascii="Times New Roman" w:hAnsi="Times New Roman" w:hint="eastAsia"/>
                <w:kern w:val="0"/>
                <w:sz w:val="24"/>
                <w:szCs w:val="24"/>
              </w:rPr>
              <w:t>。</w:t>
            </w:r>
          </w:p>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4</w:t>
            </w:r>
            <w:r>
              <w:rPr>
                <w:rFonts w:ascii="Times New Roman" w:hAnsi="Times New Roman" w:hint="eastAsia"/>
                <w:kern w:val="0"/>
                <w:sz w:val="24"/>
                <w:szCs w:val="24"/>
              </w:rPr>
              <w:t>）垫层法、排水固结法、水泥搅拌法、喷射注浆法、强夯法、振冲法。</w:t>
            </w:r>
          </w:p>
        </w:tc>
        <w:tc>
          <w:tcPr>
            <w:tcW w:w="1791"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掌握软弱地基特征，了解常用地基处理方法的种类及其适用性。</w:t>
            </w:r>
          </w:p>
        </w:tc>
        <w:tc>
          <w:tcPr>
            <w:tcW w:w="2992" w:type="dxa"/>
            <w:vAlign w:val="center"/>
          </w:tcPr>
          <w:p w:rsidR="00374D88" w:rsidRDefault="00374D88" w:rsidP="00BE5664">
            <w:pPr>
              <w:rPr>
                <w:rFonts w:ascii="Times New Roman" w:hAnsi="Times New Roman"/>
                <w:kern w:val="0"/>
                <w:sz w:val="24"/>
                <w:szCs w:val="24"/>
              </w:rPr>
            </w:pPr>
            <w:r>
              <w:rPr>
                <w:rFonts w:ascii="Times New Roman" w:hAnsi="Times New Roman" w:hint="eastAsia"/>
                <w:kern w:val="0"/>
                <w:sz w:val="24"/>
                <w:szCs w:val="24"/>
              </w:rPr>
              <w:t>本章知识点的讲授和学习，本章知识点的讲授和学习，可支撑“指标点</w:t>
            </w:r>
            <w:r>
              <w:rPr>
                <w:rFonts w:ascii="Times New Roman" w:hAnsi="Times New Roman" w:hint="eastAsia"/>
                <w:kern w:val="0"/>
                <w:sz w:val="24"/>
                <w:szCs w:val="24"/>
              </w:rPr>
              <w:t>1.2</w:t>
            </w:r>
            <w:r>
              <w:rPr>
                <w:rFonts w:ascii="Times New Roman" w:hAnsi="Times New Roman" w:hint="eastAsia"/>
                <w:kern w:val="0"/>
                <w:sz w:val="24"/>
                <w:szCs w:val="24"/>
              </w:rPr>
              <w:t>：掌握力学原理和方法，具备面向土木工程专业复杂工程问题的抽象分析和建模求解能力”；和“指标点</w:t>
            </w:r>
            <w:r>
              <w:rPr>
                <w:rFonts w:ascii="Times New Roman" w:hAnsi="Times New Roman" w:hint="eastAsia"/>
                <w:kern w:val="0"/>
                <w:sz w:val="24"/>
                <w:szCs w:val="24"/>
              </w:rPr>
              <w:t>2.2</w:t>
            </w:r>
            <w:r>
              <w:rPr>
                <w:rFonts w:ascii="Times New Roman" w:hAnsi="Times New Roman" w:hint="eastAsia"/>
                <w:kern w:val="0"/>
                <w:sz w:val="24"/>
                <w:szCs w:val="24"/>
              </w:rPr>
              <w:t>：能够应用力学基础知识和方法，正确识别和表达土木工程专业复杂工程问题，并能选择合适的方法进行分析和求解”和“指标点</w:t>
            </w:r>
            <w:r>
              <w:rPr>
                <w:rFonts w:ascii="Times New Roman" w:hAnsi="Times New Roman" w:hint="eastAsia"/>
                <w:kern w:val="0"/>
                <w:sz w:val="24"/>
                <w:szCs w:val="24"/>
              </w:rPr>
              <w:t>3.2</w:t>
            </w:r>
            <w:r>
              <w:rPr>
                <w:rFonts w:ascii="Times New Roman" w:hAnsi="Times New Roman" w:hint="eastAsia"/>
                <w:kern w:val="0"/>
                <w:sz w:val="24"/>
                <w:szCs w:val="24"/>
              </w:rPr>
              <w:t>：能够进行工程体系的系统分析和优化设计，并体现创新意识”。</w:t>
            </w:r>
          </w:p>
        </w:tc>
      </w:tr>
    </w:tbl>
    <w:p w:rsidR="00374D88" w:rsidRDefault="00374D88" w:rsidP="00374D8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五、课程考核方式与成绩评定</w:t>
      </w:r>
    </w:p>
    <w:p w:rsidR="00374D88" w:rsidRDefault="00374D88" w:rsidP="00374D88">
      <w:pPr>
        <w:snapToGrid w:val="0"/>
        <w:spacing w:line="360" w:lineRule="auto"/>
        <w:ind w:firstLineChars="200" w:firstLine="560"/>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课程考核</w:t>
      </w:r>
    </w:p>
    <w:p w:rsidR="00374D88" w:rsidRDefault="00374D88" w:rsidP="00374D8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课程总评成绩由平时成绩、实验成绩和期终考试（闭卷）</w:t>
      </w:r>
      <w:r>
        <w:rPr>
          <w:rFonts w:ascii="Times New Roman" w:hAnsi="Times New Roman"/>
          <w:sz w:val="28"/>
          <w:szCs w:val="28"/>
        </w:rPr>
        <w:t>3</w:t>
      </w:r>
      <w:r>
        <w:rPr>
          <w:rFonts w:ascii="Times New Roman" w:hAnsi="Times New Roman"/>
          <w:sz w:val="28"/>
          <w:szCs w:val="28"/>
        </w:rPr>
        <w:t>个</w:t>
      </w:r>
      <w:r>
        <w:rPr>
          <w:rFonts w:ascii="Times New Roman" w:hAnsi="Times New Roman"/>
          <w:sz w:val="28"/>
          <w:szCs w:val="28"/>
        </w:rPr>
        <w:lastRenderedPageBreak/>
        <w:t>考核环节综合评定产生。</w:t>
      </w:r>
    </w:p>
    <w:p w:rsidR="00374D88" w:rsidRDefault="00374D88" w:rsidP="005F6318">
      <w:pPr>
        <w:numPr>
          <w:ilvl w:val="0"/>
          <w:numId w:val="2"/>
        </w:numPr>
        <w:spacing w:beforeLines="50" w:before="156" w:line="360" w:lineRule="auto"/>
        <w:ind w:firstLineChars="200" w:firstLine="560"/>
        <w:rPr>
          <w:rFonts w:ascii="Times New Roman" w:hAnsi="Times New Roman"/>
          <w:sz w:val="28"/>
          <w:szCs w:val="28"/>
        </w:rPr>
      </w:pPr>
      <w:r>
        <w:rPr>
          <w:rFonts w:ascii="Times New Roman" w:hAnsi="Times New Roman"/>
          <w:sz w:val="28"/>
          <w:szCs w:val="28"/>
        </w:rPr>
        <w:t>成绩评定</w:t>
      </w:r>
    </w:p>
    <w:p w:rsidR="00374D88" w:rsidRDefault="00374D88" w:rsidP="00374D88">
      <w:pPr>
        <w:spacing w:line="360" w:lineRule="auto"/>
        <w:ind w:firstLineChars="200" w:firstLine="560"/>
        <w:rPr>
          <w:sz w:val="28"/>
          <w:szCs w:val="28"/>
        </w:rPr>
      </w:pPr>
      <w:r>
        <w:rPr>
          <w:rFonts w:ascii="Times New Roman" w:hAnsi="Times New Roman"/>
          <w:sz w:val="28"/>
          <w:szCs w:val="28"/>
        </w:rPr>
        <w:t>成绩评定方式</w:t>
      </w:r>
      <w:r>
        <w:rPr>
          <w:rFonts w:ascii="Times New Roman" w:hAnsi="Times New Roman" w:hint="eastAsia"/>
          <w:sz w:val="28"/>
          <w:szCs w:val="28"/>
        </w:rPr>
        <w:t>为百分制</w:t>
      </w:r>
    </w:p>
    <w:p w:rsidR="00374D88" w:rsidRDefault="00374D88" w:rsidP="00374D88">
      <w:pPr>
        <w:spacing w:line="360" w:lineRule="auto"/>
        <w:ind w:firstLineChars="200" w:firstLine="560"/>
        <w:rPr>
          <w:rFonts w:ascii="Times New Roman" w:hAnsi="Times New Roman"/>
          <w:sz w:val="28"/>
          <w:szCs w:val="28"/>
        </w:rPr>
      </w:pPr>
      <w:r>
        <w:rPr>
          <w:rFonts w:ascii="Times New Roman" w:hAnsi="Times New Roman"/>
          <w:sz w:val="28"/>
          <w:szCs w:val="28"/>
        </w:rPr>
        <w:t>课程总成绩</w:t>
      </w:r>
      <w:r>
        <w:rPr>
          <w:rFonts w:ascii="Times New Roman" w:hAnsi="Times New Roman"/>
          <w:sz w:val="28"/>
          <w:szCs w:val="28"/>
        </w:rPr>
        <w:t>=</w:t>
      </w:r>
      <w:r>
        <w:rPr>
          <w:rFonts w:ascii="Times New Roman" w:hAnsi="Times New Roman"/>
          <w:sz w:val="28"/>
          <w:szCs w:val="28"/>
        </w:rPr>
        <w:t>期末成绩</w:t>
      </w:r>
      <w:r>
        <w:rPr>
          <w:rFonts w:ascii="Times New Roman" w:hAnsi="Times New Roman"/>
          <w:sz w:val="28"/>
          <w:szCs w:val="28"/>
        </w:rPr>
        <w:t>70%+</w:t>
      </w:r>
      <w:r>
        <w:rPr>
          <w:rFonts w:ascii="Times New Roman" w:hAnsi="Times New Roman"/>
          <w:sz w:val="28"/>
          <w:szCs w:val="28"/>
        </w:rPr>
        <w:t>平时成绩</w:t>
      </w:r>
      <w:r>
        <w:rPr>
          <w:rFonts w:ascii="Times New Roman" w:hAnsi="Times New Roman"/>
          <w:sz w:val="28"/>
          <w:szCs w:val="28"/>
        </w:rPr>
        <w:t>20%+</w:t>
      </w:r>
      <w:r>
        <w:rPr>
          <w:rFonts w:ascii="Times New Roman" w:hAnsi="Times New Roman"/>
          <w:sz w:val="28"/>
          <w:szCs w:val="28"/>
        </w:rPr>
        <w:t>实验成绩</w:t>
      </w:r>
      <w:r>
        <w:rPr>
          <w:rFonts w:ascii="Times New Roman" w:hAnsi="Times New Roman"/>
          <w:sz w:val="28"/>
          <w:szCs w:val="28"/>
        </w:rPr>
        <w:t>10%</w:t>
      </w:r>
    </w:p>
    <w:p w:rsidR="00374D88" w:rsidRDefault="00374D88" w:rsidP="00374D88">
      <w:pPr>
        <w:spacing w:line="360" w:lineRule="auto"/>
        <w:ind w:firstLineChars="200" w:firstLine="560"/>
        <w:rPr>
          <w:rFonts w:ascii="Times New Roman" w:hAnsi="Times New Roman"/>
          <w:sz w:val="28"/>
          <w:szCs w:val="28"/>
        </w:rPr>
      </w:pPr>
      <w:r>
        <w:rPr>
          <w:rFonts w:ascii="Times New Roman" w:hAnsi="Times New Roman"/>
          <w:sz w:val="28"/>
          <w:szCs w:val="28"/>
        </w:rPr>
        <w:t>各考核环节与课程目标的对应关系如下：</w:t>
      </w:r>
    </w:p>
    <w:tbl>
      <w:tblPr>
        <w:tblW w:w="4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5187"/>
        <w:gridCol w:w="1317"/>
      </w:tblGrid>
      <w:tr w:rsidR="00374D88" w:rsidTr="00BE5664">
        <w:trPr>
          <w:jc w:val="center"/>
        </w:trPr>
        <w:tc>
          <w:tcPr>
            <w:tcW w:w="4171" w:type="pct"/>
            <w:gridSpan w:val="2"/>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b/>
                <w:sz w:val="24"/>
                <w:szCs w:val="24"/>
              </w:rPr>
            </w:pPr>
            <w:r>
              <w:rPr>
                <w:rFonts w:ascii="Times New Roman" w:hAnsi="Times New Roman"/>
                <w:b/>
                <w:sz w:val="24"/>
                <w:szCs w:val="24"/>
              </w:rPr>
              <w:t>考核环节</w:t>
            </w:r>
          </w:p>
        </w:tc>
        <w:tc>
          <w:tcPr>
            <w:tcW w:w="829" w:type="pct"/>
            <w:vMerge w:val="restar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b/>
                <w:sz w:val="24"/>
                <w:szCs w:val="24"/>
              </w:rPr>
            </w:pPr>
            <w:r>
              <w:rPr>
                <w:rFonts w:ascii="Times New Roman" w:hAnsi="Times New Roman"/>
                <w:b/>
                <w:sz w:val="24"/>
                <w:szCs w:val="24"/>
              </w:rPr>
              <w:t>教学目标</w:t>
            </w:r>
          </w:p>
        </w:tc>
      </w:tr>
      <w:tr w:rsidR="00374D88" w:rsidTr="00BE5664">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b/>
                <w:sz w:val="24"/>
                <w:szCs w:val="24"/>
              </w:rPr>
            </w:pPr>
            <w:r>
              <w:rPr>
                <w:rFonts w:ascii="Times New Roman" w:hAnsi="Times New Roman"/>
                <w:b/>
                <w:sz w:val="24"/>
                <w:szCs w:val="24"/>
              </w:rPr>
              <w:t>分项比例</w:t>
            </w:r>
          </w:p>
        </w:tc>
        <w:tc>
          <w:tcPr>
            <w:tcW w:w="3264"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b/>
                <w:sz w:val="24"/>
                <w:szCs w:val="24"/>
              </w:rPr>
            </w:pPr>
            <w:r>
              <w:rPr>
                <w:rFonts w:ascii="Times New Roman" w:hAnsi="Times New Roman"/>
                <w:b/>
                <w:sz w:val="24"/>
                <w:szCs w:val="24"/>
              </w:rPr>
              <w:t>考核要求</w:t>
            </w:r>
          </w:p>
        </w:tc>
        <w:tc>
          <w:tcPr>
            <w:tcW w:w="829" w:type="pct"/>
            <w:vMerge/>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p>
        </w:tc>
      </w:tr>
      <w:tr w:rsidR="00374D88" w:rsidTr="00BE5664">
        <w:trPr>
          <w:trHeight w:val="1500"/>
          <w:jc w:val="center"/>
        </w:trPr>
        <w:tc>
          <w:tcPr>
            <w:tcW w:w="907"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平时成绩</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20%</w:t>
            </w:r>
            <w:r>
              <w:rPr>
                <w:rFonts w:ascii="Times New Roman" w:hAnsi="Times New Roman"/>
                <w:sz w:val="24"/>
                <w:szCs w:val="24"/>
              </w:rPr>
              <w:t>）</w:t>
            </w:r>
          </w:p>
        </w:tc>
        <w:tc>
          <w:tcPr>
            <w:tcW w:w="3264" w:type="pct"/>
            <w:tcBorders>
              <w:top w:val="single" w:sz="4" w:space="0" w:color="auto"/>
              <w:left w:val="single" w:sz="4" w:space="0" w:color="auto"/>
              <w:right w:val="single" w:sz="4" w:space="0" w:color="auto"/>
            </w:tcBorders>
            <w:vAlign w:val="center"/>
          </w:tcPr>
          <w:p w:rsidR="00374D88" w:rsidRDefault="00374D88" w:rsidP="00BE5664">
            <w:pPr>
              <w:spacing w:beforeLines="50" w:before="156" w:line="360" w:lineRule="auto"/>
              <w:rPr>
                <w:rFonts w:ascii="Times New Roman" w:hAnsi="Times New Roman"/>
                <w:sz w:val="24"/>
                <w:szCs w:val="24"/>
              </w:rPr>
            </w:pPr>
            <w:r>
              <w:rPr>
                <w:rFonts w:ascii="Times New Roman" w:hAnsi="Times New Roman"/>
                <w:sz w:val="24"/>
                <w:szCs w:val="24"/>
              </w:rPr>
              <w:t>出勤统计不少于授课次数的</w:t>
            </w:r>
            <w:r>
              <w:rPr>
                <w:rFonts w:ascii="Times New Roman" w:hAnsi="Times New Roman"/>
                <w:sz w:val="24"/>
                <w:szCs w:val="24"/>
              </w:rPr>
              <w:t xml:space="preserve"> 2/3</w:t>
            </w:r>
            <w:r>
              <w:rPr>
                <w:rFonts w:ascii="Times New Roman" w:hAnsi="Times New Roman"/>
                <w:sz w:val="24"/>
                <w:szCs w:val="24"/>
              </w:rPr>
              <w:t>，重点考察学生的课堂表现，占</w:t>
            </w:r>
            <w:r>
              <w:rPr>
                <w:rFonts w:ascii="Times New Roman" w:hAnsi="Times New Roman"/>
                <w:sz w:val="24"/>
                <w:szCs w:val="24"/>
              </w:rPr>
              <w:t xml:space="preserve"> 20%</w:t>
            </w:r>
            <w:r>
              <w:rPr>
                <w:rFonts w:ascii="Times New Roman" w:hAnsi="Times New Roman"/>
                <w:sz w:val="24"/>
                <w:szCs w:val="24"/>
              </w:rPr>
              <w:t>；课后作业布置</w:t>
            </w:r>
            <w:r>
              <w:rPr>
                <w:rFonts w:ascii="Times New Roman" w:hAnsi="Times New Roman"/>
                <w:sz w:val="24"/>
                <w:szCs w:val="24"/>
              </w:rPr>
              <w:t>8</w:t>
            </w:r>
            <w:r>
              <w:rPr>
                <w:rFonts w:ascii="Times New Roman" w:hAnsi="Times New Roman"/>
                <w:sz w:val="24"/>
                <w:szCs w:val="24"/>
              </w:rPr>
              <w:t>次；通过课后作业考核学生对应力计算、沉降计算、强度计算、土压力计算、地基承载力计算的掌握情况，以及运用图表、文字等准确表达复杂工程问题的能力，占</w:t>
            </w:r>
            <w:r>
              <w:rPr>
                <w:rFonts w:ascii="Times New Roman" w:hAnsi="Times New Roman"/>
                <w:sz w:val="24"/>
                <w:szCs w:val="24"/>
              </w:rPr>
              <w:t xml:space="preserve"> 80%</w:t>
            </w:r>
            <w:r>
              <w:rPr>
                <w:rFonts w:ascii="Times New Roman" w:hAnsi="Times New Roman"/>
                <w:sz w:val="24"/>
                <w:szCs w:val="24"/>
              </w:rPr>
              <w:t>。</w:t>
            </w:r>
          </w:p>
        </w:tc>
        <w:tc>
          <w:tcPr>
            <w:tcW w:w="829" w:type="pct"/>
            <w:tcBorders>
              <w:top w:val="single" w:sz="4" w:space="0" w:color="auto"/>
              <w:left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374D88" w:rsidTr="00BE5664">
        <w:trPr>
          <w:jc w:val="center"/>
        </w:trPr>
        <w:tc>
          <w:tcPr>
            <w:tcW w:w="907"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实验成绩</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10%</w:t>
            </w:r>
            <w:r>
              <w:rPr>
                <w:rFonts w:ascii="Times New Roman" w:hAnsi="Times New Roman"/>
                <w:sz w:val="24"/>
                <w:szCs w:val="24"/>
              </w:rPr>
              <w:t>）</w:t>
            </w:r>
          </w:p>
        </w:tc>
        <w:tc>
          <w:tcPr>
            <w:tcW w:w="3264"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spacing w:beforeLines="50" w:before="156" w:line="360" w:lineRule="auto"/>
              <w:rPr>
                <w:rFonts w:ascii="Times New Roman" w:hAnsi="Times New Roman"/>
                <w:sz w:val="24"/>
                <w:szCs w:val="24"/>
              </w:rPr>
            </w:pPr>
            <w:r>
              <w:rPr>
                <w:rFonts w:ascii="Times New Roman" w:hAnsi="Times New Roman"/>
                <w:sz w:val="24"/>
                <w:szCs w:val="24"/>
              </w:rPr>
              <w:t>课内实验共计</w:t>
            </w:r>
            <w:r>
              <w:rPr>
                <w:rFonts w:ascii="Times New Roman" w:hAnsi="Times New Roman" w:hint="eastAsia"/>
                <w:sz w:val="24"/>
                <w:szCs w:val="24"/>
              </w:rPr>
              <w:t>4</w:t>
            </w:r>
            <w:r>
              <w:rPr>
                <w:rFonts w:ascii="Times New Roman" w:hAnsi="Times New Roman"/>
                <w:sz w:val="24"/>
                <w:szCs w:val="24"/>
              </w:rPr>
              <w:t xml:space="preserve"> </w:t>
            </w:r>
            <w:r>
              <w:rPr>
                <w:rFonts w:ascii="Times New Roman" w:hAnsi="Times New Roman"/>
                <w:sz w:val="24"/>
                <w:szCs w:val="24"/>
              </w:rPr>
              <w:t>项；通过实验操作以及实验报告整理，考核学生对</w:t>
            </w:r>
            <w:r>
              <w:rPr>
                <w:rFonts w:ascii="Times New Roman" w:hAnsi="Times New Roman" w:hint="eastAsia"/>
                <w:sz w:val="24"/>
                <w:szCs w:val="24"/>
              </w:rPr>
              <w:t>粘性土塑限、液限，土体击实，</w:t>
            </w:r>
            <w:r>
              <w:rPr>
                <w:rFonts w:ascii="Times New Roman" w:hAnsi="Times New Roman"/>
                <w:sz w:val="24"/>
                <w:szCs w:val="24"/>
              </w:rPr>
              <w:t>土压缩和强度实验的细致观察和操作动手能力，以及利用所学知识分析评价实验结果和文字表达能力。</w:t>
            </w:r>
          </w:p>
        </w:tc>
        <w:tc>
          <w:tcPr>
            <w:tcW w:w="829"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r>
      <w:tr w:rsidR="00374D88" w:rsidTr="00BE5664">
        <w:trPr>
          <w:trHeight w:val="900"/>
          <w:jc w:val="center"/>
        </w:trPr>
        <w:tc>
          <w:tcPr>
            <w:tcW w:w="907" w:type="pct"/>
            <w:tcBorders>
              <w:top w:val="single" w:sz="4" w:space="0" w:color="auto"/>
              <w:left w:val="single" w:sz="4" w:space="0" w:color="auto"/>
              <w:bottom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期终考试</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70%</w:t>
            </w:r>
            <w:r>
              <w:rPr>
                <w:rFonts w:ascii="Times New Roman" w:hAnsi="Times New Roman"/>
                <w:sz w:val="24"/>
                <w:szCs w:val="24"/>
              </w:rPr>
              <w:t>）</w:t>
            </w:r>
          </w:p>
        </w:tc>
        <w:tc>
          <w:tcPr>
            <w:tcW w:w="3264" w:type="pct"/>
            <w:tcBorders>
              <w:top w:val="single" w:sz="4" w:space="0" w:color="auto"/>
              <w:left w:val="single" w:sz="4" w:space="0" w:color="auto"/>
              <w:right w:val="single" w:sz="4" w:space="0" w:color="auto"/>
            </w:tcBorders>
            <w:vAlign w:val="center"/>
          </w:tcPr>
          <w:p w:rsidR="00374D88" w:rsidRDefault="00374D88" w:rsidP="00BE5664">
            <w:pPr>
              <w:spacing w:beforeLines="50" w:before="156" w:line="360" w:lineRule="auto"/>
              <w:rPr>
                <w:rFonts w:ascii="Times New Roman" w:hAnsi="Times New Roman"/>
                <w:sz w:val="24"/>
                <w:szCs w:val="24"/>
              </w:rPr>
            </w:pPr>
            <w:r>
              <w:rPr>
                <w:rFonts w:ascii="Times New Roman" w:hAnsi="Times New Roman"/>
                <w:sz w:val="24"/>
                <w:szCs w:val="24"/>
              </w:rPr>
              <w:t>期末考试采用闭卷形式。考试范围基本涵盖所有讲授内容，考试内容主要反映学生对本课程计算和分析问题方法等理解和掌握的程度，以及综合运用的能力。</w:t>
            </w:r>
          </w:p>
        </w:tc>
        <w:tc>
          <w:tcPr>
            <w:tcW w:w="829" w:type="pct"/>
            <w:tcBorders>
              <w:top w:val="single" w:sz="4" w:space="0" w:color="auto"/>
              <w:left w:val="single" w:sz="4" w:space="0" w:color="auto"/>
              <w:right w:val="single" w:sz="4" w:space="0" w:color="auto"/>
            </w:tcBorders>
            <w:vAlign w:val="center"/>
          </w:tcPr>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374D88" w:rsidRDefault="00374D88" w:rsidP="00BE566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bl>
    <w:p w:rsidR="00374D88" w:rsidRDefault="00374D88" w:rsidP="00374D88">
      <w:pPr>
        <w:spacing w:beforeLines="50" w:before="156" w:line="360" w:lineRule="auto"/>
        <w:ind w:left="560"/>
        <w:rPr>
          <w:rFonts w:ascii="Times New Roman" w:hAnsi="Times New Roman"/>
          <w:sz w:val="28"/>
          <w:szCs w:val="28"/>
        </w:rPr>
      </w:pPr>
      <w:r>
        <w:rPr>
          <w:rFonts w:ascii="Times New Roman" w:hAnsi="Times New Roman" w:hint="eastAsia"/>
          <w:sz w:val="28"/>
          <w:szCs w:val="28"/>
        </w:rPr>
        <w:t>3.</w:t>
      </w:r>
      <w:r>
        <w:rPr>
          <w:rFonts w:ascii="Times New Roman" w:hAnsi="Times New Roman"/>
          <w:sz w:val="28"/>
          <w:szCs w:val="28"/>
        </w:rPr>
        <w:t>课程目标达成度自评方式</w:t>
      </w:r>
    </w:p>
    <w:p w:rsidR="00374D88" w:rsidRDefault="00374D88" w:rsidP="00374D8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据学院教学管理规定，在开展课程达成度评价前，课程评价审核小组对课程的评价依据合理性进行确认，包括平时作业、实验、期终考试等考核环节。课程结束后，课程小组需要对课程进行达成</w:t>
      </w:r>
      <w:r>
        <w:rPr>
          <w:rFonts w:ascii="Times New Roman" w:hAnsi="Times New Roman"/>
          <w:sz w:val="28"/>
          <w:szCs w:val="28"/>
        </w:rPr>
        <w:lastRenderedPageBreak/>
        <w:t>度评价，课程小组由课程负责人和任课教师组成，统计课程考核数据，并填写</w:t>
      </w:r>
      <w:r>
        <w:rPr>
          <w:rFonts w:ascii="Times New Roman" w:hAnsi="Times New Roman"/>
          <w:sz w:val="28"/>
          <w:szCs w:val="28"/>
        </w:rPr>
        <w:t>“</w:t>
      </w:r>
      <w:r>
        <w:rPr>
          <w:rFonts w:ascii="Times New Roman" w:hAnsi="Times New Roman"/>
          <w:sz w:val="28"/>
          <w:szCs w:val="28"/>
        </w:rPr>
        <w:t>《土力学》课程达成情况评价</w:t>
      </w:r>
      <w:r>
        <w:rPr>
          <w:rFonts w:ascii="Times New Roman" w:hAnsi="Times New Roman"/>
          <w:sz w:val="28"/>
          <w:szCs w:val="28"/>
        </w:rPr>
        <w:t>”</w:t>
      </w:r>
      <w:r>
        <w:rPr>
          <w:rFonts w:ascii="Times New Roman" w:hAnsi="Times New Roman"/>
          <w:sz w:val="28"/>
          <w:szCs w:val="28"/>
        </w:rPr>
        <w:t>报告，以便及时了解课程的达成效果，发现问题并进行持续改进，同时也为毕业要求达成度的评价提供基础数据。</w:t>
      </w:r>
    </w:p>
    <w:p w:rsidR="00374D88" w:rsidRDefault="00374D88" w:rsidP="00374D88">
      <w:pPr>
        <w:adjustRightInd w:val="0"/>
        <w:snapToGrid w:val="0"/>
        <w:spacing w:afterLines="50" w:after="156" w:line="560" w:lineRule="exact"/>
        <w:ind w:firstLineChars="200" w:firstLine="560"/>
        <w:jc w:val="left"/>
        <w:rPr>
          <w:rFonts w:ascii="Times New Roman" w:hAnsi="Times New Roman"/>
          <w:sz w:val="28"/>
          <w:szCs w:val="28"/>
        </w:rPr>
      </w:pPr>
      <w:r>
        <w:rPr>
          <w:rFonts w:ascii="Times New Roman" w:hAnsi="Times New Roman"/>
          <w:sz w:val="28"/>
          <w:szCs w:val="28"/>
        </w:rPr>
        <w:t>根据课程的考核形式，全部或抽样部分考核资料（应以当年修读该课程的学生为总体，至少抽取</w:t>
      </w:r>
      <w:r>
        <w:rPr>
          <w:rFonts w:ascii="Times New Roman" w:hAnsi="Times New Roman"/>
          <w:sz w:val="28"/>
          <w:szCs w:val="28"/>
        </w:rPr>
        <w:t>90%</w:t>
      </w:r>
      <w:r>
        <w:rPr>
          <w:rFonts w:ascii="Times New Roman" w:hAnsi="Times New Roman"/>
          <w:sz w:val="28"/>
          <w:szCs w:val="28"/>
        </w:rPr>
        <w:t>以上的学生样本），抽样时需覆盖优、良、中、及格和不及格等考核等级的考核资料。课程达成度的具体评价方法，详见</w:t>
      </w:r>
      <w:r>
        <w:rPr>
          <w:rFonts w:ascii="Times New Roman" w:hAnsi="Times New Roman"/>
          <w:sz w:val="28"/>
          <w:szCs w:val="28"/>
        </w:rPr>
        <w:t>“</w:t>
      </w:r>
      <w:r>
        <w:rPr>
          <w:rFonts w:ascii="Times New Roman" w:hAnsi="Times New Roman"/>
          <w:sz w:val="28"/>
          <w:szCs w:val="28"/>
        </w:rPr>
        <w:t>《土力学》课程达成情况评价</w:t>
      </w:r>
      <w:r>
        <w:rPr>
          <w:rFonts w:ascii="Times New Roman" w:hAnsi="Times New Roman"/>
          <w:sz w:val="28"/>
          <w:szCs w:val="28"/>
        </w:rPr>
        <w:t>”</w:t>
      </w:r>
      <w:r>
        <w:rPr>
          <w:rFonts w:ascii="Times New Roman" w:hAnsi="Times New Roman"/>
          <w:sz w:val="28"/>
          <w:szCs w:val="28"/>
        </w:rPr>
        <w:t>报告。课程小组提交课程达成度评价数据后，课程评价审核小组对评价数据的合理性和有效性进行审核。</w:t>
      </w:r>
    </w:p>
    <w:p w:rsidR="00374D88" w:rsidRDefault="00374D88" w:rsidP="00374D88">
      <w:pPr>
        <w:spacing w:beforeLines="50" w:before="156" w:afterLines="50" w:after="156" w:line="5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374D88" w:rsidRDefault="00374D88" w:rsidP="00374D88">
      <w:pPr>
        <w:spacing w:afterLines="50" w:after="156" w:line="560" w:lineRule="exact"/>
        <w:ind w:firstLineChars="147" w:firstLine="412"/>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w:t>
      </w:r>
      <w:r>
        <w:rPr>
          <w:rFonts w:ascii="Times New Roman" w:hAnsi="Times New Roman" w:hint="eastAsia"/>
          <w:sz w:val="28"/>
          <w:szCs w:val="28"/>
        </w:rPr>
        <w:t>《土力学与基础工程》（第</w:t>
      </w:r>
      <w:r>
        <w:rPr>
          <w:rFonts w:ascii="Times New Roman" w:hAnsi="Times New Roman" w:hint="eastAsia"/>
          <w:sz w:val="28"/>
          <w:szCs w:val="28"/>
        </w:rPr>
        <w:t>4</w:t>
      </w:r>
      <w:r>
        <w:rPr>
          <w:rFonts w:ascii="Times New Roman" w:hAnsi="Times New Roman" w:hint="eastAsia"/>
          <w:sz w:val="28"/>
          <w:szCs w:val="28"/>
        </w:rPr>
        <w:t>版），赵明华主编，武汉理工大学出版社</w:t>
      </w:r>
      <w:r>
        <w:rPr>
          <w:rFonts w:ascii="Times New Roman" w:hAnsi="Times New Roman"/>
          <w:sz w:val="28"/>
          <w:szCs w:val="28"/>
        </w:rPr>
        <w:t>（本课程教材）</w:t>
      </w:r>
      <w:r>
        <w:rPr>
          <w:rFonts w:ascii="Times New Roman" w:hAnsi="Times New Roman" w:hint="eastAsia"/>
          <w:sz w:val="28"/>
          <w:szCs w:val="28"/>
        </w:rPr>
        <w:t>。</w:t>
      </w:r>
    </w:p>
    <w:p w:rsidR="00374D88" w:rsidRDefault="00374D88" w:rsidP="00374D88">
      <w:pPr>
        <w:spacing w:afterLines="50" w:after="156" w:line="560" w:lineRule="exact"/>
        <w:ind w:firstLineChars="147" w:firstLine="412"/>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、《土力学》</w:t>
      </w:r>
      <w:r>
        <w:rPr>
          <w:rFonts w:ascii="Times New Roman" w:hAnsi="Times New Roman" w:hint="eastAsia"/>
          <w:sz w:val="28"/>
          <w:szCs w:val="28"/>
        </w:rPr>
        <w:t>（第</w:t>
      </w:r>
      <w:r>
        <w:rPr>
          <w:rFonts w:ascii="Times New Roman" w:hAnsi="Times New Roman" w:hint="eastAsia"/>
          <w:sz w:val="28"/>
          <w:szCs w:val="28"/>
        </w:rPr>
        <w:t>2</w:t>
      </w:r>
      <w:r>
        <w:rPr>
          <w:rFonts w:ascii="Times New Roman" w:hAnsi="Times New Roman" w:hint="eastAsia"/>
          <w:sz w:val="28"/>
          <w:szCs w:val="28"/>
        </w:rPr>
        <w:t>版）</w:t>
      </w:r>
      <w:r>
        <w:rPr>
          <w:rFonts w:ascii="Times New Roman" w:hAnsi="Times New Roman"/>
          <w:sz w:val="28"/>
          <w:szCs w:val="28"/>
        </w:rPr>
        <w:t>，</w:t>
      </w:r>
      <w:r>
        <w:rPr>
          <w:rFonts w:ascii="Times New Roman" w:hAnsi="Times New Roman" w:hint="eastAsia"/>
          <w:sz w:val="28"/>
          <w:szCs w:val="28"/>
        </w:rPr>
        <w:t>李广信、张丙印、于玉贞</w:t>
      </w:r>
      <w:r>
        <w:rPr>
          <w:rFonts w:ascii="Times New Roman" w:hAnsi="Times New Roman"/>
          <w:sz w:val="28"/>
          <w:szCs w:val="28"/>
        </w:rPr>
        <w:t>，</w:t>
      </w:r>
      <w:r>
        <w:rPr>
          <w:rFonts w:ascii="Times New Roman" w:hAnsi="Times New Roman" w:hint="eastAsia"/>
          <w:sz w:val="28"/>
          <w:szCs w:val="28"/>
        </w:rPr>
        <w:t>清华大学出版社。</w:t>
      </w:r>
    </w:p>
    <w:p w:rsidR="00374D88" w:rsidRDefault="00374D88" w:rsidP="00374D88">
      <w:pPr>
        <w:spacing w:afterLines="50" w:after="156" w:line="560" w:lineRule="exact"/>
        <w:ind w:firstLineChars="147" w:firstLine="412"/>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w:t>
      </w:r>
      <w:r>
        <w:rPr>
          <w:rFonts w:hint="eastAsia"/>
        </w:rPr>
        <w:t>土力学与基础工程</w:t>
      </w:r>
      <w:r>
        <w:rPr>
          <w:rFonts w:ascii="Times New Roman" w:hAnsi="Times New Roman"/>
          <w:sz w:val="28"/>
          <w:szCs w:val="28"/>
        </w:rPr>
        <w:t>》，</w:t>
      </w:r>
      <w:r>
        <w:rPr>
          <w:rFonts w:ascii="Times New Roman" w:hAnsi="Times New Roman" w:hint="eastAsia"/>
          <w:sz w:val="28"/>
          <w:szCs w:val="28"/>
        </w:rPr>
        <w:t>高大钊主编</w:t>
      </w:r>
      <w:r>
        <w:rPr>
          <w:rFonts w:ascii="Times New Roman" w:hAnsi="Times New Roman"/>
          <w:sz w:val="28"/>
          <w:szCs w:val="28"/>
        </w:rPr>
        <w:t>，</w:t>
      </w:r>
      <w:r>
        <w:rPr>
          <w:rFonts w:ascii="Times New Roman" w:hAnsi="Times New Roman" w:hint="eastAsia"/>
          <w:sz w:val="28"/>
          <w:szCs w:val="28"/>
        </w:rPr>
        <w:t>中国建筑工业出版社</w:t>
      </w:r>
      <w:r>
        <w:rPr>
          <w:rFonts w:ascii="Times New Roman" w:hAnsi="Times New Roman"/>
          <w:sz w:val="28"/>
          <w:szCs w:val="28"/>
        </w:rPr>
        <w:t>。</w:t>
      </w:r>
    </w:p>
    <w:p w:rsidR="00374D88" w:rsidRDefault="00374D88" w:rsidP="00374D88">
      <w:pPr>
        <w:spacing w:line="440" w:lineRule="exact"/>
        <w:rPr>
          <w:rFonts w:ascii="Times New Roman" w:eastAsia="黑体" w:hAnsi="Times New Roman"/>
          <w:b/>
          <w:sz w:val="28"/>
          <w:szCs w:val="28"/>
        </w:rPr>
      </w:pPr>
      <w:r>
        <w:rPr>
          <w:rFonts w:ascii="Times New Roman" w:eastAsia="黑体" w:hAnsi="Times New Roman" w:hint="eastAsia"/>
          <w:b/>
          <w:sz w:val="28"/>
          <w:szCs w:val="28"/>
        </w:rPr>
        <w:t>七</w:t>
      </w:r>
      <w:r>
        <w:rPr>
          <w:rFonts w:ascii="Times New Roman" w:eastAsia="黑体" w:hAnsi="Times New Roman"/>
          <w:b/>
          <w:sz w:val="28"/>
          <w:szCs w:val="28"/>
        </w:rPr>
        <w:t>、执行大纲应注意的问题</w:t>
      </w:r>
    </w:p>
    <w:p w:rsidR="00374D88" w:rsidRDefault="00374D88" w:rsidP="00374D88">
      <w:pPr>
        <w:adjustRightInd w:val="0"/>
        <w:snapToGrid w:val="0"/>
        <w:spacing w:line="560" w:lineRule="exact"/>
        <w:ind w:firstLineChars="200" w:firstLine="560"/>
        <w:jc w:val="left"/>
        <w:rPr>
          <w:sz w:val="28"/>
          <w:szCs w:val="28"/>
        </w:rPr>
      </w:pPr>
      <w:r>
        <w:rPr>
          <w:sz w:val="28"/>
          <w:szCs w:val="28"/>
        </w:rPr>
        <w:t>1</w:t>
      </w:r>
      <w:r>
        <w:rPr>
          <w:sz w:val="28"/>
          <w:szCs w:val="28"/>
        </w:rPr>
        <w:t>、教学中应注重基本知识、基本理论和基本方法的讲授，注意精讲多练。</w:t>
      </w:r>
    </w:p>
    <w:p w:rsidR="00374D88" w:rsidRDefault="00374D88" w:rsidP="00374D88">
      <w:pPr>
        <w:adjustRightInd w:val="0"/>
        <w:snapToGrid w:val="0"/>
        <w:spacing w:line="560" w:lineRule="exact"/>
        <w:ind w:firstLineChars="200" w:firstLine="560"/>
        <w:jc w:val="left"/>
        <w:rPr>
          <w:sz w:val="28"/>
          <w:szCs w:val="28"/>
        </w:rPr>
      </w:pPr>
      <w:r>
        <w:rPr>
          <w:sz w:val="28"/>
          <w:szCs w:val="28"/>
        </w:rPr>
        <w:t>2</w:t>
      </w:r>
      <w:r>
        <w:rPr>
          <w:sz w:val="28"/>
          <w:szCs w:val="28"/>
        </w:rPr>
        <w:t>、做好实验，重视学生实践能力的培养。要求学生亲自动手进行实验，并认真完成实验指导书上规定的内容。</w:t>
      </w:r>
    </w:p>
    <w:p w:rsidR="00374D88" w:rsidRDefault="00374D88" w:rsidP="00374D88">
      <w:pPr>
        <w:adjustRightInd w:val="0"/>
        <w:snapToGrid w:val="0"/>
        <w:spacing w:line="560" w:lineRule="exact"/>
        <w:ind w:firstLineChars="200" w:firstLine="560"/>
        <w:jc w:val="left"/>
        <w:rPr>
          <w:sz w:val="28"/>
          <w:szCs w:val="28"/>
        </w:rPr>
      </w:pPr>
      <w:r>
        <w:rPr>
          <w:sz w:val="28"/>
          <w:szCs w:val="28"/>
        </w:rPr>
        <w:t>3</w:t>
      </w:r>
      <w:r>
        <w:rPr>
          <w:sz w:val="28"/>
          <w:szCs w:val="28"/>
        </w:rPr>
        <w:t>、教学内容的顺序及其安排仅供参考，教师可根据情况作适当调整。</w:t>
      </w:r>
    </w:p>
    <w:p w:rsidR="00374D88" w:rsidRDefault="00374D88" w:rsidP="00374D8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lastRenderedPageBreak/>
        <w:t>大纲撰写人：</w:t>
      </w:r>
      <w:r>
        <w:rPr>
          <w:rFonts w:ascii="Times New Roman" w:eastAsia="仿宋" w:hAnsi="Times New Roman" w:hint="eastAsia"/>
          <w:sz w:val="28"/>
          <w:szCs w:val="28"/>
        </w:rPr>
        <w:t>黄沛</w:t>
      </w:r>
    </w:p>
    <w:p w:rsidR="00374D88" w:rsidRDefault="00374D88" w:rsidP="00374D8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课程负责人：</w:t>
      </w:r>
    </w:p>
    <w:p w:rsidR="00374D88" w:rsidRDefault="00374D88" w:rsidP="00374D88">
      <w:pPr>
        <w:spacing w:line="360" w:lineRule="auto"/>
        <w:ind w:firstLineChars="1200" w:firstLine="3360"/>
        <w:rPr>
          <w:rFonts w:ascii="Times New Roman" w:eastAsia="仿宋" w:hAnsi="Times New Roman"/>
          <w:sz w:val="28"/>
          <w:szCs w:val="28"/>
        </w:rPr>
      </w:pPr>
      <w:r>
        <w:rPr>
          <w:rFonts w:ascii="Times New Roman" w:eastAsia="仿宋" w:hAnsi="Times New Roman"/>
          <w:sz w:val="28"/>
          <w:szCs w:val="28"/>
        </w:rPr>
        <w:t>审核人：</w:t>
      </w:r>
    </w:p>
    <w:p w:rsidR="00374D88" w:rsidRDefault="00374D88" w:rsidP="00374D88">
      <w:pPr>
        <w:jc w:val="center"/>
        <w:rPr>
          <w:rFonts w:ascii="Times New Roman" w:hAnsi="Times New Roman"/>
          <w:color w:val="000000"/>
          <w:sz w:val="28"/>
          <w:szCs w:val="28"/>
        </w:rPr>
      </w:pPr>
      <w:r>
        <w:rPr>
          <w:rFonts w:ascii="Times New Roman" w:eastAsia="仿宋" w:hAnsi="Times New Roman"/>
          <w:sz w:val="28"/>
          <w:szCs w:val="28"/>
        </w:rPr>
        <w:t xml:space="preserve">                  </w:t>
      </w:r>
      <w:r>
        <w:rPr>
          <w:rFonts w:ascii="Times New Roman" w:hAnsi="Times New Roman"/>
          <w:sz w:val="28"/>
          <w:szCs w:val="28"/>
        </w:rPr>
        <w:t xml:space="preserve">       </w:t>
      </w:r>
    </w:p>
    <w:p w:rsidR="00374D88" w:rsidRDefault="00374D88" w:rsidP="00374D88">
      <w:pPr>
        <w:ind w:firstLineChars="2000" w:firstLine="5600"/>
        <w:jc w:val="left"/>
        <w:rPr>
          <w:rFonts w:ascii="Times New Roman" w:hAnsi="Times New Roman"/>
          <w:sz w:val="28"/>
          <w:szCs w:val="28"/>
        </w:rPr>
      </w:pPr>
      <w:r>
        <w:rPr>
          <w:rFonts w:ascii="Times New Roman" w:hAnsi="Times New Roman"/>
          <w:sz w:val="28"/>
          <w:szCs w:val="28"/>
        </w:rPr>
        <w:t xml:space="preserve">    </w:t>
      </w:r>
    </w:p>
    <w:p w:rsidR="00374D88" w:rsidRDefault="00374D88" w:rsidP="00374D88">
      <w:pPr>
        <w:jc w:val="left"/>
        <w:rPr>
          <w:rFonts w:ascii="Times New Roman" w:hAnsi="Times New Roman"/>
        </w:rPr>
      </w:pPr>
      <w:r>
        <w:rPr>
          <w:rFonts w:ascii="Times New Roman" w:eastAsia="仿宋" w:hAnsi="Times New Roman"/>
          <w:sz w:val="28"/>
          <w:szCs w:val="28"/>
        </w:rPr>
        <w:t xml:space="preserve">                                         </w:t>
      </w:r>
      <w:r>
        <w:rPr>
          <w:rFonts w:ascii="Times New Roman" w:eastAsia="仿宋" w:hAnsi="Times New Roman"/>
          <w:sz w:val="28"/>
          <w:szCs w:val="28"/>
        </w:rPr>
        <w:t>年</w:t>
      </w:r>
      <w:r>
        <w:rPr>
          <w:rFonts w:ascii="Times New Roman" w:eastAsia="仿宋" w:hAnsi="Times New Roman"/>
          <w:sz w:val="28"/>
          <w:szCs w:val="28"/>
        </w:rPr>
        <w:t xml:space="preserve">    </w:t>
      </w:r>
      <w:r>
        <w:rPr>
          <w:rFonts w:ascii="Times New Roman" w:eastAsia="仿宋" w:hAnsi="Times New Roman"/>
          <w:sz w:val="28"/>
          <w:szCs w:val="28"/>
        </w:rPr>
        <w:t>月</w:t>
      </w:r>
    </w:p>
    <w:p w:rsidR="00374D88" w:rsidRDefault="00374D88"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EE2D67" w:rsidRDefault="00EE2D67" w:rsidP="00374D88">
      <w:pPr>
        <w:widowControl/>
        <w:spacing w:line="360" w:lineRule="auto"/>
        <w:jc w:val="center"/>
        <w:rPr>
          <w:rFonts w:ascii="Times New Roman" w:eastAsia="方正小标宋简体" w:hAnsi="Times New Roman"/>
          <w:kern w:val="0"/>
          <w:szCs w:val="32"/>
        </w:rPr>
      </w:pPr>
    </w:p>
    <w:p w:rsidR="00374D88" w:rsidRDefault="00374D88" w:rsidP="00374D88">
      <w:pPr>
        <w:widowControl/>
        <w:spacing w:line="360" w:lineRule="auto"/>
        <w:jc w:val="center"/>
        <w:rPr>
          <w:rFonts w:ascii="Times New Roman" w:eastAsia="方正小标宋简体" w:hAnsi="Times New Roman"/>
          <w:kern w:val="0"/>
          <w:szCs w:val="32"/>
        </w:rPr>
      </w:pPr>
    </w:p>
    <w:p w:rsidR="00374D88" w:rsidRDefault="00374D88" w:rsidP="00374D88">
      <w:pPr>
        <w:rPr>
          <w:rFonts w:ascii="Times New Roman" w:hAnsi="Times New Roman"/>
        </w:rPr>
      </w:pPr>
    </w:p>
    <w:p w:rsidR="00F53A8C" w:rsidRDefault="00F53A8C" w:rsidP="00F53A8C">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《基础工程》课程教学大纲</w:t>
      </w:r>
    </w:p>
    <w:p w:rsidR="00F53A8C" w:rsidRDefault="00F53A8C" w:rsidP="00F53A8C">
      <w:pPr>
        <w:spacing w:line="360" w:lineRule="auto"/>
        <w:rPr>
          <w:rFonts w:ascii="黑体" w:eastAsia="黑体" w:hAnsi="黑体"/>
          <w:b/>
          <w:sz w:val="28"/>
          <w:szCs w:val="28"/>
        </w:rPr>
      </w:pPr>
      <w:r>
        <w:rPr>
          <w:rFonts w:ascii="黑体" w:eastAsia="黑体" w:hAnsi="黑体" w:hint="eastAsia"/>
          <w:b/>
          <w:sz w:val="28"/>
          <w:szCs w:val="28"/>
        </w:rPr>
        <w:t>一、课程信息</w:t>
      </w:r>
    </w:p>
    <w:p w:rsidR="00F53A8C" w:rsidRDefault="00F53A8C" w:rsidP="00F53A8C">
      <w:pPr>
        <w:spacing w:line="360" w:lineRule="auto"/>
        <w:ind w:firstLine="331"/>
        <w:rPr>
          <w:rFonts w:ascii="仿宋_GB2312" w:hAnsi="仿宋_GB2312" w:cs="仿宋_GB2312"/>
          <w:bCs/>
          <w:sz w:val="28"/>
          <w:szCs w:val="28"/>
        </w:rPr>
      </w:pPr>
      <w:r>
        <w:rPr>
          <w:rFonts w:ascii="仿宋_GB2312" w:hAnsi="仿宋_GB2312" w:cs="仿宋_GB2312"/>
          <w:bCs/>
          <w:sz w:val="28"/>
          <w:szCs w:val="28"/>
        </w:rPr>
        <w:t>英文名称：Foundation Engineering</w:t>
      </w:r>
    </w:p>
    <w:p w:rsidR="00F53A8C" w:rsidRDefault="00F53A8C" w:rsidP="00F53A8C">
      <w:pPr>
        <w:spacing w:line="360" w:lineRule="auto"/>
        <w:ind w:firstLine="331"/>
        <w:rPr>
          <w:rFonts w:ascii="仿宋_GB2312" w:hAnsi="仿宋_GB2312" w:cs="仿宋_GB2312"/>
          <w:bCs/>
          <w:sz w:val="28"/>
          <w:szCs w:val="28"/>
        </w:rPr>
      </w:pPr>
      <w:r>
        <w:rPr>
          <w:rFonts w:ascii="仿宋_GB2312" w:hAnsi="仿宋_GB2312" w:cs="仿宋_GB2312"/>
          <w:bCs/>
          <w:sz w:val="28"/>
          <w:szCs w:val="28"/>
        </w:rPr>
        <w:t>课程编码：Z2803180</w:t>
      </w:r>
    </w:p>
    <w:p w:rsidR="00F53A8C" w:rsidRDefault="00F53A8C" w:rsidP="00F53A8C">
      <w:pPr>
        <w:spacing w:line="360" w:lineRule="auto"/>
        <w:ind w:firstLine="331"/>
        <w:rPr>
          <w:rFonts w:ascii="仿宋_GB2312" w:hAnsi="仿宋_GB2312" w:cs="仿宋_GB2312"/>
          <w:bCs/>
          <w:sz w:val="28"/>
          <w:szCs w:val="28"/>
        </w:rPr>
      </w:pPr>
      <w:r>
        <w:rPr>
          <w:rFonts w:ascii="仿宋_GB2312" w:hAnsi="仿宋_GB2312" w:cs="仿宋_GB2312"/>
          <w:bCs/>
          <w:sz w:val="28"/>
          <w:szCs w:val="28"/>
        </w:rPr>
        <w:t>授课语言：</w:t>
      </w:r>
      <w:r>
        <w:rPr>
          <w:rFonts w:ascii="仿宋_GB2312" w:hAnsi="仿宋_GB2312" w:cs="仿宋_GB2312" w:hint="eastAsia"/>
          <w:bCs/>
          <w:sz w:val="28"/>
          <w:szCs w:val="28"/>
        </w:rPr>
        <w:t>汉语</w:t>
      </w:r>
    </w:p>
    <w:p w:rsidR="00F53A8C" w:rsidRDefault="00F53A8C" w:rsidP="00F53A8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授课方式：线下</w:t>
      </w:r>
    </w:p>
    <w:p w:rsidR="00F53A8C" w:rsidRDefault="00F53A8C" w:rsidP="00F53A8C">
      <w:pPr>
        <w:spacing w:line="360" w:lineRule="auto"/>
        <w:ind w:firstLine="331"/>
        <w:rPr>
          <w:rFonts w:ascii="仿宋_GB2312" w:hAnsi="仿宋_GB2312" w:cs="仿宋_GB2312"/>
          <w:bCs/>
          <w:sz w:val="28"/>
          <w:szCs w:val="28"/>
        </w:rPr>
      </w:pPr>
      <w:r>
        <w:rPr>
          <w:rFonts w:ascii="仿宋_GB2312" w:hAnsi="仿宋_GB2312" w:cs="仿宋_GB2312"/>
          <w:bCs/>
          <w:sz w:val="28"/>
          <w:szCs w:val="28"/>
        </w:rPr>
        <w:t>课程</w:t>
      </w:r>
      <w:r>
        <w:rPr>
          <w:rFonts w:ascii="仿宋_GB2312" w:hAnsi="仿宋_GB2312" w:cs="仿宋_GB2312" w:hint="eastAsia"/>
          <w:bCs/>
          <w:sz w:val="28"/>
          <w:szCs w:val="28"/>
        </w:rPr>
        <w:t>类别</w:t>
      </w:r>
      <w:r>
        <w:rPr>
          <w:rFonts w:ascii="仿宋_GB2312" w:hAnsi="仿宋_GB2312" w:cs="仿宋_GB2312"/>
          <w:bCs/>
          <w:sz w:val="28"/>
          <w:szCs w:val="28"/>
        </w:rPr>
        <w:t>：</w:t>
      </w:r>
      <w:r>
        <w:rPr>
          <w:rFonts w:ascii="仿宋_GB2312" w:hAnsi="仿宋_GB2312" w:cs="仿宋_GB2312" w:hint="eastAsia"/>
          <w:bCs/>
          <w:sz w:val="28"/>
          <w:szCs w:val="28"/>
        </w:rPr>
        <w:t>专业发展</w:t>
      </w:r>
    </w:p>
    <w:p w:rsidR="00F53A8C" w:rsidRDefault="00F53A8C" w:rsidP="00F53A8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F53A8C" w:rsidRDefault="00F53A8C" w:rsidP="00F53A8C">
      <w:pPr>
        <w:spacing w:line="360" w:lineRule="auto"/>
        <w:ind w:firstLine="331"/>
        <w:rPr>
          <w:rFonts w:ascii="仿宋_GB2312" w:hAnsi="仿宋_GB2312" w:cs="仿宋_GB2312"/>
          <w:bCs/>
          <w:sz w:val="28"/>
          <w:szCs w:val="28"/>
        </w:rPr>
      </w:pPr>
      <w:r>
        <w:rPr>
          <w:rFonts w:ascii="仿宋_GB2312" w:hAnsi="仿宋_GB2312" w:cs="仿宋_GB2312"/>
          <w:bCs/>
          <w:sz w:val="28"/>
          <w:szCs w:val="28"/>
        </w:rPr>
        <w:t>学分：2.0</w:t>
      </w:r>
    </w:p>
    <w:p w:rsidR="00F53A8C" w:rsidRDefault="00F53A8C" w:rsidP="00F53A8C">
      <w:pPr>
        <w:spacing w:line="360" w:lineRule="auto"/>
        <w:ind w:firstLine="331"/>
        <w:rPr>
          <w:rFonts w:ascii="仿宋_GB2312" w:hAnsi="仿宋_GB2312" w:cs="仿宋_GB2312"/>
          <w:bCs/>
          <w:sz w:val="28"/>
          <w:szCs w:val="28"/>
        </w:rPr>
      </w:pPr>
      <w:r>
        <w:rPr>
          <w:rFonts w:ascii="仿宋_GB2312" w:hAnsi="仿宋_GB2312" w:cs="仿宋_GB2312"/>
          <w:bCs/>
          <w:sz w:val="28"/>
          <w:szCs w:val="28"/>
        </w:rPr>
        <w:t>学时：32学时（授课32学时</w:t>
      </w:r>
      <w:r>
        <w:rPr>
          <w:rFonts w:ascii="仿宋_GB2312" w:hAnsi="仿宋_GB2312" w:cs="仿宋_GB2312" w:hint="eastAsia"/>
          <w:bCs/>
          <w:sz w:val="28"/>
          <w:szCs w:val="28"/>
        </w:rPr>
        <w:t>，实验</w:t>
      </w:r>
      <w:r>
        <w:rPr>
          <w:rFonts w:ascii="仿宋_GB2312" w:hAnsi="仿宋_GB2312" w:cs="仿宋_GB2312"/>
          <w:bCs/>
          <w:sz w:val="28"/>
          <w:szCs w:val="28"/>
        </w:rPr>
        <w:t>0学时</w:t>
      </w:r>
      <w:r>
        <w:rPr>
          <w:rFonts w:ascii="仿宋_GB2312" w:hAnsi="仿宋_GB2312" w:cs="仿宋_GB2312" w:hint="eastAsia"/>
          <w:bCs/>
          <w:sz w:val="28"/>
          <w:szCs w:val="28"/>
        </w:rPr>
        <w:t>，上机</w:t>
      </w:r>
      <w:r>
        <w:rPr>
          <w:rFonts w:ascii="仿宋_GB2312" w:hAnsi="仿宋_GB2312" w:cs="仿宋_GB2312"/>
          <w:bCs/>
          <w:sz w:val="28"/>
          <w:szCs w:val="28"/>
        </w:rPr>
        <w:t>0学时</w:t>
      </w:r>
      <w:r>
        <w:rPr>
          <w:rFonts w:ascii="仿宋_GB2312" w:hAnsi="仿宋_GB2312" w:cs="仿宋_GB2312" w:hint="eastAsia"/>
          <w:bCs/>
          <w:sz w:val="28"/>
          <w:szCs w:val="28"/>
        </w:rPr>
        <w:t>，课外</w:t>
      </w:r>
      <w:r>
        <w:rPr>
          <w:rFonts w:ascii="仿宋_GB2312" w:hAnsi="仿宋_GB2312" w:cs="仿宋_GB2312"/>
          <w:bCs/>
          <w:sz w:val="28"/>
          <w:szCs w:val="28"/>
        </w:rPr>
        <w:t>0学时）</w:t>
      </w:r>
    </w:p>
    <w:p w:rsidR="00F53A8C" w:rsidRDefault="00F53A8C" w:rsidP="00F53A8C">
      <w:pPr>
        <w:spacing w:line="360" w:lineRule="auto"/>
        <w:ind w:firstLine="331"/>
        <w:rPr>
          <w:rFonts w:ascii="仿宋_GB2312" w:hAnsi="仿宋_GB2312" w:cs="仿宋_GB2312"/>
          <w:bCs/>
          <w:sz w:val="28"/>
          <w:szCs w:val="28"/>
        </w:rPr>
      </w:pPr>
      <w:r>
        <w:rPr>
          <w:rFonts w:ascii="仿宋_GB2312" w:hAnsi="仿宋_GB2312" w:cs="仿宋_GB2312"/>
          <w:bCs/>
          <w:sz w:val="28"/>
          <w:szCs w:val="28"/>
        </w:rPr>
        <w:t>适用对象：</w:t>
      </w:r>
      <w:r>
        <w:rPr>
          <w:rFonts w:ascii="仿宋_GB2312" w:hAnsi="仿宋_GB2312" w:cs="仿宋_GB2312" w:hint="eastAsia"/>
          <w:bCs/>
          <w:sz w:val="28"/>
          <w:szCs w:val="28"/>
        </w:rPr>
        <w:t>四年制本科土木工程（建筑工程/地下空间方向）</w:t>
      </w:r>
      <w:r>
        <w:rPr>
          <w:rFonts w:ascii="仿宋_GB2312" w:hAnsi="仿宋_GB2312" w:cs="仿宋_GB2312"/>
          <w:bCs/>
          <w:sz w:val="28"/>
          <w:szCs w:val="28"/>
        </w:rPr>
        <w:t>专业</w:t>
      </w:r>
    </w:p>
    <w:p w:rsidR="00F53A8C" w:rsidRDefault="00F53A8C" w:rsidP="00F53A8C">
      <w:pPr>
        <w:spacing w:line="360" w:lineRule="auto"/>
        <w:ind w:firstLine="331"/>
        <w:rPr>
          <w:rFonts w:ascii="仿宋_GB2312" w:hAnsi="仿宋_GB2312" w:cs="仿宋_GB2312"/>
          <w:bCs/>
          <w:sz w:val="28"/>
          <w:szCs w:val="28"/>
        </w:rPr>
      </w:pPr>
      <w:r>
        <w:rPr>
          <w:rFonts w:ascii="仿宋_GB2312" w:hAnsi="仿宋_GB2312" w:cs="仿宋_GB2312"/>
          <w:bCs/>
          <w:sz w:val="28"/>
          <w:szCs w:val="28"/>
        </w:rPr>
        <w:t>先修课程：</w:t>
      </w:r>
      <w:r>
        <w:rPr>
          <w:rFonts w:ascii="仿宋_GB2312" w:hAnsi="仿宋_GB2312" w:cs="仿宋_GB2312" w:hint="eastAsia"/>
          <w:bCs/>
          <w:sz w:val="28"/>
          <w:szCs w:val="28"/>
        </w:rPr>
        <w:t>房屋建筑学、工程地质、理论力学、材料力学、结构力学、弹性力学、钢筋混凝土、土力学</w:t>
      </w:r>
    </w:p>
    <w:p w:rsidR="00F53A8C" w:rsidRDefault="00F53A8C" w:rsidP="00F53A8C">
      <w:pPr>
        <w:spacing w:line="360" w:lineRule="auto"/>
        <w:ind w:firstLine="331"/>
        <w:rPr>
          <w:rFonts w:ascii="仿宋_GB2312" w:hAnsi="仿宋_GB2312" w:cs="仿宋_GB2312"/>
          <w:bCs/>
          <w:sz w:val="28"/>
          <w:szCs w:val="28"/>
        </w:rPr>
      </w:pPr>
      <w:r>
        <w:rPr>
          <w:rFonts w:ascii="仿宋_GB2312" w:hAnsi="仿宋_GB2312" w:cs="仿宋_GB2312"/>
          <w:bCs/>
          <w:sz w:val="28"/>
          <w:szCs w:val="28"/>
        </w:rPr>
        <w:t>开课院系：</w:t>
      </w:r>
      <w:r>
        <w:rPr>
          <w:rFonts w:ascii="仿宋_GB2312" w:hAnsi="仿宋_GB2312" w:cs="仿宋_GB2312" w:hint="eastAsia"/>
          <w:bCs/>
          <w:sz w:val="28"/>
          <w:szCs w:val="28"/>
        </w:rPr>
        <w:t>建筑工程</w:t>
      </w:r>
      <w:r>
        <w:rPr>
          <w:rFonts w:ascii="仿宋_GB2312" w:hAnsi="仿宋_GB2312" w:cs="仿宋_GB2312"/>
          <w:bCs/>
          <w:sz w:val="28"/>
          <w:szCs w:val="28"/>
        </w:rPr>
        <w:t>学院</w:t>
      </w:r>
      <w:r>
        <w:rPr>
          <w:rFonts w:ascii="仿宋_GB2312" w:hAnsi="仿宋_GB2312" w:cs="仿宋_GB2312" w:hint="eastAsia"/>
          <w:bCs/>
          <w:sz w:val="28"/>
          <w:szCs w:val="28"/>
        </w:rPr>
        <w:t>建筑工程系</w:t>
      </w:r>
    </w:p>
    <w:p w:rsidR="00F53A8C" w:rsidRDefault="00F53A8C" w:rsidP="00F53A8C">
      <w:pPr>
        <w:spacing w:line="360" w:lineRule="auto"/>
        <w:rPr>
          <w:rFonts w:ascii="黑体" w:eastAsia="黑体" w:hAnsi="黑体"/>
          <w:b/>
          <w:sz w:val="28"/>
          <w:szCs w:val="28"/>
        </w:rPr>
      </w:pPr>
      <w:r>
        <w:rPr>
          <w:rFonts w:ascii="黑体" w:eastAsia="黑体" w:hAnsi="黑体" w:hint="eastAsia"/>
          <w:b/>
          <w:sz w:val="28"/>
          <w:szCs w:val="28"/>
        </w:rPr>
        <w:t>二、课程简介</w:t>
      </w:r>
    </w:p>
    <w:p w:rsidR="00F53A8C" w:rsidRDefault="00F53A8C" w:rsidP="00F53A8C">
      <w:pPr>
        <w:spacing w:line="360" w:lineRule="auto"/>
        <w:ind w:firstLineChars="200" w:firstLine="560"/>
        <w:rPr>
          <w:rFonts w:ascii="仿宋_GB2312" w:hAnsi="仿宋_GB2312" w:cs="仿宋_GB2312"/>
          <w:bCs/>
          <w:sz w:val="28"/>
          <w:szCs w:val="28"/>
        </w:rPr>
      </w:pPr>
      <w:r>
        <w:rPr>
          <w:rFonts w:ascii="仿宋_GB2312" w:hAnsi="仿宋_GB2312" w:cs="仿宋_GB2312"/>
          <w:bCs/>
          <w:sz w:val="28"/>
          <w:szCs w:val="28"/>
        </w:rPr>
        <w:t>本课程是一门专业发展必修课，课程系统阐述了基础工程的基本原理，主要介绍浅基础、连续基础、桩基础、地基处理、挡土墙、基坑工程等内容，在讲授基础工程成熟观点和成果的同时，也结合学科发展介绍了新的技术和方法，课程内容与专业需求联系紧密。课程教学体系完整，内容充实凝练，学时分配合理，授课内容简明扼要，重点突出。适合高等学校土木工程专业（</w:t>
      </w:r>
      <w:r>
        <w:rPr>
          <w:rFonts w:ascii="仿宋_GB2312" w:hAnsi="仿宋_GB2312" w:cs="仿宋_GB2312" w:hint="eastAsia"/>
          <w:bCs/>
          <w:sz w:val="28"/>
          <w:szCs w:val="28"/>
        </w:rPr>
        <w:t>建筑工程/</w:t>
      </w:r>
      <w:r>
        <w:rPr>
          <w:rFonts w:ascii="仿宋_GB2312" w:hAnsi="仿宋_GB2312" w:cs="仿宋_GB2312"/>
          <w:bCs/>
          <w:sz w:val="28"/>
          <w:szCs w:val="28"/>
        </w:rPr>
        <w:t>城市地下空间工程</w:t>
      </w:r>
      <w:r>
        <w:rPr>
          <w:rFonts w:ascii="仿宋_GB2312" w:hAnsi="仿宋_GB2312" w:cs="仿宋_GB2312"/>
          <w:bCs/>
          <w:sz w:val="28"/>
          <w:szCs w:val="28"/>
        </w:rPr>
        <w:lastRenderedPageBreak/>
        <w:t>方向）高年级学生学习。 教学方式采用 PPT、板书、课堂提问、课后思考题和练习题等多手段结合方式进行授课，使学生能够掌握基础工程的基本概念，熟悉基础工程的设计内容及方法，具备一定的设计计算能力。</w:t>
      </w:r>
    </w:p>
    <w:p w:rsidR="00F53A8C" w:rsidRDefault="00F53A8C" w:rsidP="00F53A8C">
      <w:pPr>
        <w:spacing w:beforeLines="50" w:before="156" w:afterLines="50" w:after="156" w:line="360" w:lineRule="auto"/>
        <w:rPr>
          <w:rFonts w:ascii="黑体" w:eastAsia="黑体" w:hAnsi="黑体"/>
          <w:b/>
          <w:sz w:val="28"/>
          <w:szCs w:val="28"/>
        </w:rPr>
      </w:pPr>
      <w:r>
        <w:rPr>
          <w:rFonts w:ascii="黑体" w:eastAsia="黑体" w:hAnsi="黑体" w:hint="eastAsia"/>
          <w:b/>
          <w:sz w:val="28"/>
          <w:szCs w:val="28"/>
        </w:rPr>
        <w:t>三、课程任务、目的与要求</w:t>
      </w:r>
    </w:p>
    <w:p w:rsidR="00F53A8C" w:rsidRDefault="00F53A8C" w:rsidP="00F53A8C">
      <w:pPr>
        <w:spacing w:line="360" w:lineRule="auto"/>
        <w:ind w:firstLine="331"/>
        <w:rPr>
          <w:rFonts w:ascii="仿宋_GB2312" w:hAnsi="仿宋"/>
          <w:b/>
          <w:sz w:val="28"/>
          <w:szCs w:val="28"/>
        </w:rPr>
      </w:pPr>
      <w:r>
        <w:rPr>
          <w:rFonts w:ascii="仿宋_GB2312" w:hAnsi="仿宋" w:hint="eastAsia"/>
          <w:b/>
          <w:sz w:val="28"/>
          <w:szCs w:val="28"/>
        </w:rPr>
        <w:t>1.课程任务与目的</w:t>
      </w:r>
    </w:p>
    <w:p w:rsidR="00F53A8C" w:rsidRDefault="00F53A8C" w:rsidP="00F53A8C">
      <w:pPr>
        <w:spacing w:line="360" w:lineRule="auto"/>
        <w:ind w:firstLineChars="200" w:firstLine="560"/>
        <w:rPr>
          <w:rFonts w:ascii="仿宋_GB2312" w:hAnsi="仿宋"/>
          <w:sz w:val="28"/>
          <w:szCs w:val="28"/>
        </w:rPr>
      </w:pPr>
      <w:r>
        <w:rPr>
          <w:rFonts w:ascii="仿宋_GB2312" w:hAnsi="仿宋" w:hint="eastAsia"/>
          <w:sz w:val="28"/>
          <w:szCs w:val="28"/>
        </w:rPr>
        <w:t>本课程的基本任务是讲授基础工程的基本原理、设计原则和计算方法。通过课程的学习，使学生能运用土力学及基础工程的基本原理和概念，结合结构设计理论，分析和解决地基基础问题，进行常见基础工程的设计计算，达到学以致用的目的。</w:t>
      </w:r>
    </w:p>
    <w:p w:rsidR="00F53A8C" w:rsidRDefault="00F53A8C" w:rsidP="00F53A8C">
      <w:pPr>
        <w:spacing w:line="360" w:lineRule="auto"/>
        <w:ind w:firstLine="331"/>
        <w:rPr>
          <w:rFonts w:ascii="仿宋_GB2312" w:hAnsi="仿宋"/>
          <w:b/>
          <w:sz w:val="28"/>
          <w:szCs w:val="28"/>
        </w:rPr>
      </w:pPr>
      <w:r>
        <w:rPr>
          <w:rFonts w:ascii="仿宋_GB2312" w:hAnsi="仿宋" w:hint="eastAsia"/>
          <w:b/>
          <w:sz w:val="28"/>
          <w:szCs w:val="28"/>
        </w:rPr>
        <w:t>2.课程基本要求</w:t>
      </w:r>
    </w:p>
    <w:p w:rsidR="00F53A8C" w:rsidRDefault="00F53A8C" w:rsidP="00F53A8C">
      <w:pPr>
        <w:spacing w:line="360" w:lineRule="auto"/>
        <w:ind w:firstLine="331"/>
        <w:rPr>
          <w:rFonts w:ascii="仿宋_GB2312" w:hAnsi="仿宋"/>
          <w:b/>
          <w:sz w:val="28"/>
          <w:szCs w:val="28"/>
        </w:rPr>
      </w:pPr>
      <w:r>
        <w:rPr>
          <w:rFonts w:ascii="仿宋_GB2312" w:hAnsi="仿宋" w:hint="eastAsia"/>
          <w:b/>
          <w:sz w:val="28"/>
          <w:szCs w:val="28"/>
        </w:rPr>
        <w:t>（1）课程目标</w:t>
      </w:r>
    </w:p>
    <w:p w:rsidR="00F53A8C" w:rsidRDefault="00F53A8C" w:rsidP="00F53A8C">
      <w:pPr>
        <w:spacing w:line="360" w:lineRule="auto"/>
        <w:ind w:firstLineChars="200" w:firstLine="560"/>
        <w:rPr>
          <w:rFonts w:ascii="仿宋_GB2312" w:hAnsi="仿宋"/>
          <w:sz w:val="28"/>
          <w:szCs w:val="28"/>
        </w:rPr>
      </w:pPr>
      <w:r>
        <w:rPr>
          <w:rFonts w:ascii="仿宋_GB2312" w:hAnsi="仿宋" w:hint="eastAsia"/>
          <w:sz w:val="28"/>
          <w:szCs w:val="28"/>
        </w:rPr>
        <w:t>通过本课程的学习，学生应具备以下几方面的能力：</w:t>
      </w:r>
    </w:p>
    <w:p w:rsidR="00F53A8C" w:rsidRDefault="00F53A8C" w:rsidP="00F53A8C">
      <w:pPr>
        <w:spacing w:line="360" w:lineRule="auto"/>
        <w:ind w:firstLineChars="200" w:firstLine="560"/>
        <w:rPr>
          <w:rFonts w:ascii="仿宋_GB2312" w:hAnsi="仿宋"/>
          <w:sz w:val="28"/>
          <w:szCs w:val="28"/>
        </w:rPr>
      </w:pPr>
      <w:r>
        <w:rPr>
          <w:rFonts w:ascii="仿宋_GB2312" w:hAnsi="仿宋" w:hint="eastAsia"/>
          <w:sz w:val="28"/>
          <w:szCs w:val="28"/>
        </w:rPr>
        <w:t>1. 通过本课程学习，学生能初步掌握浅基础、连续基础、桩基础、地基处理、挡土墙、基坑工程等基础工程学科的主要基本概念和原理等专业知识；</w:t>
      </w:r>
    </w:p>
    <w:p w:rsidR="00F53A8C" w:rsidRDefault="00F53A8C" w:rsidP="00F53A8C">
      <w:pPr>
        <w:spacing w:line="360" w:lineRule="auto"/>
        <w:ind w:firstLineChars="200" w:firstLine="560"/>
        <w:rPr>
          <w:rFonts w:ascii="仿宋_GB2312" w:hAnsi="仿宋"/>
          <w:sz w:val="28"/>
          <w:szCs w:val="28"/>
        </w:rPr>
      </w:pPr>
      <w:r>
        <w:rPr>
          <w:rFonts w:ascii="仿宋_GB2312" w:hAnsi="仿宋" w:hint="eastAsia"/>
          <w:sz w:val="28"/>
          <w:szCs w:val="28"/>
        </w:rPr>
        <w:t>2. 通过本课程学习，学生能够正确合理运用基础工程的专业知识去识别、判断和解决基础工程中的常见问题，并能提供多种解决方案;</w:t>
      </w:r>
    </w:p>
    <w:p w:rsidR="00F53A8C" w:rsidRDefault="00F53A8C" w:rsidP="00F53A8C">
      <w:pPr>
        <w:spacing w:line="360" w:lineRule="auto"/>
        <w:ind w:firstLineChars="200" w:firstLine="560"/>
        <w:rPr>
          <w:rFonts w:ascii="仿宋_GB2312" w:hAnsi="仿宋"/>
          <w:sz w:val="28"/>
          <w:szCs w:val="28"/>
        </w:rPr>
      </w:pPr>
      <w:r>
        <w:rPr>
          <w:rFonts w:ascii="仿宋_GB2312" w:hAnsi="仿宋" w:hint="eastAsia"/>
          <w:sz w:val="28"/>
          <w:szCs w:val="28"/>
        </w:rPr>
        <w:t>3. 通过本课程学习，学生能够根据工程条件和特定需求，确定适宜的基础工程设计目标和方案，并能通过基础工程的常规设计计算，完成相关设计工作；同时教育树立认真严谨认真和实事求是的设计态</w:t>
      </w:r>
      <w:r>
        <w:rPr>
          <w:rFonts w:ascii="仿宋_GB2312" w:hAnsi="仿宋" w:hint="eastAsia"/>
          <w:sz w:val="28"/>
          <w:szCs w:val="28"/>
        </w:rPr>
        <w:lastRenderedPageBreak/>
        <w:t>度，培养学生遵守规范规程、注重工程安全的底线意识，增强学生的土木工程师职业责任感，培养学生的大国工匠精神，激发学生的家国情怀。</w:t>
      </w:r>
    </w:p>
    <w:p w:rsidR="00F53A8C" w:rsidRDefault="00F53A8C" w:rsidP="00F53A8C">
      <w:pPr>
        <w:spacing w:beforeLines="50" w:before="156" w:line="360" w:lineRule="auto"/>
        <w:ind w:firstLine="329"/>
        <w:rPr>
          <w:rFonts w:ascii="Times New Roman" w:hAnsi="Times New Roman"/>
          <w:bCs/>
          <w:sz w:val="28"/>
          <w:szCs w:val="28"/>
        </w:rPr>
      </w:pPr>
      <w:r>
        <w:rPr>
          <w:rFonts w:ascii="Times New Roman" w:hAnsi="Times New Roman" w:hint="eastAsia"/>
          <w:bCs/>
          <w:sz w:val="28"/>
          <w:szCs w:val="28"/>
        </w:rPr>
        <w:t>（</w:t>
      </w:r>
      <w:r>
        <w:rPr>
          <w:rFonts w:ascii="Times New Roman" w:hAnsi="Times New Roman"/>
          <w:bCs/>
          <w:sz w:val="28"/>
          <w:szCs w:val="28"/>
        </w:rPr>
        <w:t>2</w:t>
      </w:r>
      <w:r>
        <w:rPr>
          <w:rFonts w:ascii="Times New Roman" w:hAnsi="Times New Roman" w:hint="eastAsia"/>
          <w:bCs/>
          <w:sz w:val="28"/>
          <w:szCs w:val="28"/>
        </w:rPr>
        <w:t>）</w:t>
      </w:r>
      <w:r>
        <w:rPr>
          <w:rFonts w:ascii="Times New Roman" w:hAnsi="Times New Roman"/>
          <w:bCs/>
          <w:sz w:val="28"/>
          <w:szCs w:val="28"/>
        </w:rPr>
        <w:t xml:space="preserve"> </w:t>
      </w:r>
      <w:r>
        <w:rPr>
          <w:rFonts w:ascii="Times New Roman" w:hAnsi="Times New Roman"/>
          <w:bCs/>
          <w:sz w:val="28"/>
          <w:szCs w:val="28"/>
        </w:rPr>
        <w:t>课程目标与毕业要求之间的对应关系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1"/>
        <w:gridCol w:w="2774"/>
        <w:gridCol w:w="840"/>
        <w:gridCol w:w="840"/>
        <w:gridCol w:w="841"/>
      </w:tblGrid>
      <w:tr w:rsidR="00F53A8C" w:rsidTr="00843889">
        <w:tc>
          <w:tcPr>
            <w:tcW w:w="3481" w:type="pct"/>
            <w:gridSpan w:val="2"/>
            <w:vMerge w:val="restar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sz w:val="24"/>
                <w:szCs w:val="24"/>
              </w:rPr>
              <w:t>毕业要求及其指标点</w:t>
            </w:r>
          </w:p>
        </w:tc>
        <w:tc>
          <w:tcPr>
            <w:tcW w:w="1519" w:type="pct"/>
            <w:gridSpan w:val="3"/>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sz w:val="24"/>
                <w:szCs w:val="24"/>
              </w:rPr>
              <w:t>教学目标</w:t>
            </w:r>
          </w:p>
        </w:tc>
      </w:tr>
      <w:tr w:rsidR="00F53A8C" w:rsidTr="00843889">
        <w:tc>
          <w:tcPr>
            <w:tcW w:w="3481" w:type="pct"/>
            <w:gridSpan w:val="2"/>
            <w:vMerge/>
            <w:shd w:val="clear" w:color="auto" w:fill="auto"/>
            <w:vAlign w:val="center"/>
          </w:tcPr>
          <w:p w:rsidR="00F53A8C" w:rsidRDefault="00F53A8C" w:rsidP="00843889">
            <w:pPr>
              <w:rPr>
                <w:rFonts w:ascii="Times New Roman" w:hAnsi="Times New Roman"/>
                <w:sz w:val="24"/>
                <w:szCs w:val="24"/>
              </w:rPr>
            </w:pPr>
          </w:p>
        </w:tc>
        <w:tc>
          <w:tcPr>
            <w:tcW w:w="506"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tc>
        <w:tc>
          <w:tcPr>
            <w:tcW w:w="506"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tc>
        <w:tc>
          <w:tcPr>
            <w:tcW w:w="507"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r w:rsidR="00F53A8C" w:rsidTr="00843889">
        <w:tc>
          <w:tcPr>
            <w:tcW w:w="1809" w:type="pct"/>
            <w:shd w:val="clear" w:color="auto" w:fill="auto"/>
            <w:vAlign w:val="center"/>
          </w:tcPr>
          <w:p w:rsidR="00F53A8C" w:rsidRDefault="00F53A8C" w:rsidP="00843889">
            <w:pPr>
              <w:rPr>
                <w:rFonts w:ascii="Times New Roman" w:hAnsi="Times New Roman"/>
                <w:sz w:val="24"/>
                <w:szCs w:val="24"/>
              </w:rPr>
            </w:pPr>
            <w:r>
              <w:rPr>
                <w:rFonts w:ascii="Times New Roman" w:hAnsi="Times New Roman"/>
                <w:sz w:val="24"/>
                <w:szCs w:val="24"/>
              </w:rPr>
              <w:t xml:space="preserve">1. </w:t>
            </w:r>
            <w:r>
              <w:rPr>
                <w:rFonts w:ascii="Times New Roman" w:hAnsi="Times New Roman" w:hint="eastAsia"/>
                <w:sz w:val="24"/>
                <w:szCs w:val="24"/>
              </w:rPr>
              <w:t>工程知识应用能力</w:t>
            </w:r>
          </w:p>
        </w:tc>
        <w:tc>
          <w:tcPr>
            <w:tcW w:w="1672" w:type="pct"/>
            <w:shd w:val="clear" w:color="auto" w:fill="auto"/>
            <w:vAlign w:val="center"/>
          </w:tcPr>
          <w:p w:rsidR="00F53A8C" w:rsidRDefault="00F53A8C" w:rsidP="00843889">
            <w:pPr>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w:t>
            </w:r>
            <w:r>
              <w:rPr>
                <w:rFonts w:ascii="Times New Roman" w:hAnsi="Times New Roman"/>
                <w:sz w:val="24"/>
                <w:szCs w:val="24"/>
              </w:rPr>
              <w:t>3</w:t>
            </w:r>
            <w:r>
              <w:rPr>
                <w:rFonts w:ascii="Times New Roman" w:hAnsi="Times New Roman"/>
                <w:sz w:val="24"/>
                <w:szCs w:val="24"/>
              </w:rPr>
              <w:t>：</w:t>
            </w:r>
            <w:r>
              <w:rPr>
                <w:rFonts w:ascii="Times New Roman" w:hAnsi="Times New Roman" w:hint="eastAsia"/>
                <w:sz w:val="24"/>
                <w:szCs w:val="24"/>
              </w:rPr>
              <w:t>掌握相关工程基础知识</w:t>
            </w:r>
            <w:r>
              <w:rPr>
                <w:rFonts w:ascii="Times New Roman" w:hAnsi="Times New Roman" w:hint="eastAsia"/>
                <w:sz w:val="24"/>
                <w:szCs w:val="24"/>
              </w:rPr>
              <w:t>,</w:t>
            </w:r>
            <w:r>
              <w:rPr>
                <w:rFonts w:ascii="Times New Roman" w:hAnsi="Times New Roman" w:hint="eastAsia"/>
                <w:sz w:val="24"/>
                <w:szCs w:val="24"/>
              </w:rPr>
              <w:t>具备应用相关知识推演、分析土木工程专业复杂工程问题的专业基础能力</w:t>
            </w:r>
          </w:p>
        </w:tc>
        <w:tc>
          <w:tcPr>
            <w:tcW w:w="506"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kern w:val="0"/>
                <w:sz w:val="24"/>
                <w:szCs w:val="24"/>
              </w:rPr>
              <w:t>√</w:t>
            </w:r>
          </w:p>
        </w:tc>
        <w:tc>
          <w:tcPr>
            <w:tcW w:w="506"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F53A8C" w:rsidRDefault="00F53A8C" w:rsidP="00843889">
            <w:pPr>
              <w:jc w:val="center"/>
              <w:rPr>
                <w:rFonts w:ascii="Times New Roman" w:hAnsi="Times New Roman"/>
                <w:sz w:val="24"/>
                <w:szCs w:val="24"/>
              </w:rPr>
            </w:pPr>
          </w:p>
        </w:tc>
      </w:tr>
      <w:tr w:rsidR="00F53A8C" w:rsidTr="00843889">
        <w:tc>
          <w:tcPr>
            <w:tcW w:w="1809" w:type="pct"/>
            <w:shd w:val="clear" w:color="auto" w:fill="auto"/>
            <w:vAlign w:val="center"/>
          </w:tcPr>
          <w:p w:rsidR="00F53A8C" w:rsidRDefault="00F53A8C" w:rsidP="00843889">
            <w:pPr>
              <w:rPr>
                <w:rFonts w:ascii="Times New Roman" w:hAnsi="Times New Roman"/>
                <w:sz w:val="24"/>
                <w:szCs w:val="24"/>
              </w:rPr>
            </w:pPr>
            <w:r>
              <w:rPr>
                <w:rFonts w:ascii="Times New Roman" w:hAnsi="Times New Roman"/>
                <w:sz w:val="24"/>
                <w:szCs w:val="24"/>
              </w:rPr>
              <w:t xml:space="preserve">2. </w:t>
            </w:r>
            <w:r>
              <w:rPr>
                <w:rFonts w:ascii="Times New Roman" w:hAnsi="Times New Roman" w:hint="eastAsia"/>
                <w:sz w:val="24"/>
                <w:szCs w:val="24"/>
              </w:rPr>
              <w:t>问题分析能力</w:t>
            </w:r>
          </w:p>
        </w:tc>
        <w:tc>
          <w:tcPr>
            <w:tcW w:w="1672" w:type="pct"/>
            <w:shd w:val="clear" w:color="auto" w:fill="auto"/>
            <w:vAlign w:val="center"/>
          </w:tcPr>
          <w:p w:rsidR="00F53A8C" w:rsidRDefault="00F53A8C" w:rsidP="00843889">
            <w:pPr>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w:t>
            </w:r>
            <w:r>
              <w:rPr>
                <w:rFonts w:ascii="Times New Roman" w:hAnsi="Times New Roman" w:hint="eastAsia"/>
                <w:sz w:val="24"/>
                <w:szCs w:val="24"/>
              </w:rPr>
              <w:t>能够正确、合理运用专业知识，识别、判断和表达土木工程专业复杂工程问题的本质特征、关键环节，并能提供多种解决方案</w:t>
            </w:r>
          </w:p>
        </w:tc>
        <w:tc>
          <w:tcPr>
            <w:tcW w:w="506" w:type="pct"/>
            <w:shd w:val="clear" w:color="auto" w:fill="auto"/>
            <w:vAlign w:val="center"/>
          </w:tcPr>
          <w:p w:rsidR="00F53A8C" w:rsidRDefault="00F53A8C" w:rsidP="00843889">
            <w:pPr>
              <w:jc w:val="center"/>
              <w:rPr>
                <w:rFonts w:ascii="Times New Roman" w:hAnsi="Times New Roman"/>
                <w:sz w:val="24"/>
                <w:szCs w:val="24"/>
              </w:rPr>
            </w:pPr>
          </w:p>
        </w:tc>
        <w:tc>
          <w:tcPr>
            <w:tcW w:w="506"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kern w:val="0"/>
                <w:sz w:val="24"/>
                <w:szCs w:val="24"/>
              </w:rPr>
              <w:t>√</w:t>
            </w:r>
          </w:p>
        </w:tc>
      </w:tr>
      <w:tr w:rsidR="00F53A8C" w:rsidTr="00843889">
        <w:tc>
          <w:tcPr>
            <w:tcW w:w="1809" w:type="pct"/>
            <w:vMerge w:val="restart"/>
            <w:shd w:val="clear" w:color="auto" w:fill="auto"/>
            <w:vAlign w:val="center"/>
          </w:tcPr>
          <w:p w:rsidR="00F53A8C" w:rsidRDefault="00F53A8C" w:rsidP="00843889">
            <w:pPr>
              <w:rPr>
                <w:rFonts w:ascii="Times New Roman" w:hAnsi="Times New Roman"/>
                <w:sz w:val="24"/>
                <w:szCs w:val="24"/>
              </w:rPr>
            </w:pPr>
            <w:r>
              <w:rPr>
                <w:rFonts w:ascii="Times New Roman" w:hAnsi="Times New Roman"/>
                <w:sz w:val="24"/>
                <w:szCs w:val="24"/>
              </w:rPr>
              <w:t xml:space="preserve">3. </w:t>
            </w:r>
            <w:r>
              <w:rPr>
                <w:rFonts w:ascii="Times New Roman" w:hAnsi="Times New Roman" w:hint="eastAsia"/>
                <w:sz w:val="24"/>
                <w:szCs w:val="24"/>
              </w:rPr>
              <w:t>设计</w:t>
            </w:r>
            <w:r>
              <w:rPr>
                <w:rFonts w:ascii="Times New Roman" w:hAnsi="Times New Roman" w:hint="eastAsia"/>
                <w:sz w:val="24"/>
                <w:szCs w:val="24"/>
              </w:rPr>
              <w:t>/</w:t>
            </w:r>
            <w:r>
              <w:rPr>
                <w:rFonts w:ascii="Times New Roman" w:hAnsi="Times New Roman" w:hint="eastAsia"/>
                <w:sz w:val="24"/>
                <w:szCs w:val="24"/>
              </w:rPr>
              <w:t>开发能力</w:t>
            </w:r>
          </w:p>
        </w:tc>
        <w:tc>
          <w:tcPr>
            <w:tcW w:w="1672" w:type="pct"/>
            <w:shd w:val="clear" w:color="auto" w:fill="auto"/>
            <w:vAlign w:val="center"/>
          </w:tcPr>
          <w:p w:rsidR="00F53A8C" w:rsidRDefault="00F53A8C" w:rsidP="00843889">
            <w:pPr>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w:t>
            </w:r>
            <w:r>
              <w:rPr>
                <w:rFonts w:ascii="Times New Roman" w:hAnsi="Times New Roman" w:hint="eastAsia"/>
                <w:sz w:val="24"/>
                <w:szCs w:val="24"/>
              </w:rPr>
              <w:t>能够针对特定需求，确定工程基本单元的设计目标或问题解决方案，并完成设计</w:t>
            </w:r>
            <w:r>
              <w:rPr>
                <w:rFonts w:ascii="Times New Roman" w:hAnsi="Times New Roman" w:hint="eastAsia"/>
                <w:sz w:val="24"/>
                <w:szCs w:val="24"/>
              </w:rPr>
              <w:t>/</w:t>
            </w:r>
            <w:r>
              <w:rPr>
                <w:rFonts w:ascii="Times New Roman" w:hAnsi="Times New Roman" w:hint="eastAsia"/>
                <w:sz w:val="24"/>
                <w:szCs w:val="24"/>
              </w:rPr>
              <w:t>开发工作</w:t>
            </w:r>
          </w:p>
        </w:tc>
        <w:tc>
          <w:tcPr>
            <w:tcW w:w="506"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kern w:val="0"/>
                <w:sz w:val="24"/>
                <w:szCs w:val="24"/>
              </w:rPr>
              <w:t>√</w:t>
            </w:r>
          </w:p>
        </w:tc>
        <w:tc>
          <w:tcPr>
            <w:tcW w:w="506"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kern w:val="0"/>
                <w:sz w:val="24"/>
                <w:szCs w:val="24"/>
              </w:rPr>
              <w:t>√</w:t>
            </w:r>
          </w:p>
        </w:tc>
      </w:tr>
      <w:tr w:rsidR="00F53A8C" w:rsidTr="00843889">
        <w:tc>
          <w:tcPr>
            <w:tcW w:w="1809" w:type="pct"/>
            <w:vMerge/>
            <w:shd w:val="clear" w:color="auto" w:fill="auto"/>
            <w:vAlign w:val="center"/>
          </w:tcPr>
          <w:p w:rsidR="00F53A8C" w:rsidRDefault="00F53A8C" w:rsidP="00843889">
            <w:pPr>
              <w:rPr>
                <w:rFonts w:ascii="Times New Roman" w:hAnsi="Times New Roman"/>
                <w:sz w:val="24"/>
                <w:szCs w:val="24"/>
              </w:rPr>
            </w:pPr>
          </w:p>
        </w:tc>
        <w:tc>
          <w:tcPr>
            <w:tcW w:w="1672" w:type="pct"/>
            <w:shd w:val="clear" w:color="auto" w:fill="auto"/>
            <w:vAlign w:val="center"/>
          </w:tcPr>
          <w:p w:rsidR="00F53A8C" w:rsidRDefault="00F53A8C" w:rsidP="00843889">
            <w:pPr>
              <w:rPr>
                <w:rFonts w:ascii="Times New Roman" w:hAnsi="Times New Roman"/>
                <w:sz w:val="24"/>
                <w:szCs w:val="24"/>
              </w:rPr>
            </w:pPr>
            <w:r>
              <w:rPr>
                <w:rFonts w:ascii="Times New Roman" w:hAnsi="Times New Roman" w:hint="eastAsia"/>
                <w:sz w:val="24"/>
                <w:szCs w:val="24"/>
              </w:rPr>
              <w:t>3</w:t>
            </w:r>
            <w:r>
              <w:rPr>
                <w:rFonts w:ascii="Times New Roman" w:hAnsi="Times New Roman"/>
                <w:sz w:val="24"/>
                <w:szCs w:val="24"/>
              </w:rPr>
              <w:t>.2</w:t>
            </w:r>
            <w:r>
              <w:rPr>
                <w:rFonts w:ascii="Times New Roman" w:hAnsi="Times New Roman" w:hint="eastAsia"/>
                <w:sz w:val="24"/>
                <w:szCs w:val="24"/>
              </w:rPr>
              <w:t>：能够进行工程体系的系统分析和优化设计，并体现创新意识</w:t>
            </w:r>
          </w:p>
        </w:tc>
        <w:tc>
          <w:tcPr>
            <w:tcW w:w="506"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kern w:val="0"/>
                <w:sz w:val="24"/>
                <w:szCs w:val="24"/>
              </w:rPr>
              <w:t>√</w:t>
            </w:r>
          </w:p>
        </w:tc>
        <w:tc>
          <w:tcPr>
            <w:tcW w:w="506"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kern w:val="0"/>
                <w:sz w:val="24"/>
                <w:szCs w:val="24"/>
              </w:rPr>
              <w:t>√</w:t>
            </w:r>
          </w:p>
        </w:tc>
        <w:tc>
          <w:tcPr>
            <w:tcW w:w="507" w:type="pct"/>
            <w:shd w:val="clear" w:color="auto" w:fill="auto"/>
            <w:vAlign w:val="center"/>
          </w:tcPr>
          <w:p w:rsidR="00F53A8C" w:rsidRDefault="00F53A8C" w:rsidP="00843889">
            <w:pPr>
              <w:jc w:val="center"/>
              <w:rPr>
                <w:rFonts w:ascii="Times New Roman" w:hAnsi="Times New Roman"/>
                <w:sz w:val="24"/>
                <w:szCs w:val="24"/>
              </w:rPr>
            </w:pPr>
            <w:r>
              <w:rPr>
                <w:rFonts w:ascii="Times New Roman" w:hAnsi="Times New Roman"/>
                <w:kern w:val="0"/>
                <w:sz w:val="24"/>
                <w:szCs w:val="24"/>
              </w:rPr>
              <w:t>√</w:t>
            </w:r>
          </w:p>
        </w:tc>
      </w:tr>
    </w:tbl>
    <w:p w:rsidR="00F53A8C" w:rsidRDefault="00F53A8C" w:rsidP="00F53A8C">
      <w:pPr>
        <w:spacing w:line="360" w:lineRule="auto"/>
        <w:ind w:firstLineChars="200" w:firstLine="560"/>
        <w:rPr>
          <w:rFonts w:ascii="仿宋_GB2312" w:hAnsi="仿宋"/>
          <w:sz w:val="28"/>
          <w:szCs w:val="28"/>
        </w:rPr>
      </w:pPr>
    </w:p>
    <w:p w:rsidR="00F53A8C" w:rsidRDefault="00F53A8C" w:rsidP="00F53A8C">
      <w:pPr>
        <w:spacing w:line="360" w:lineRule="auto"/>
        <w:ind w:firstLine="331"/>
        <w:rPr>
          <w:rFonts w:ascii="仿宋_GB2312" w:hAnsi="仿宋"/>
          <w:b/>
          <w:sz w:val="28"/>
          <w:szCs w:val="28"/>
        </w:rPr>
      </w:pPr>
      <w:r>
        <w:rPr>
          <w:rFonts w:ascii="仿宋_GB2312" w:hAnsi="仿宋" w:hint="eastAsia"/>
          <w:b/>
          <w:sz w:val="28"/>
          <w:szCs w:val="28"/>
        </w:rPr>
        <w:t>（3）本课程的重点、难点</w:t>
      </w:r>
    </w:p>
    <w:p w:rsidR="00F53A8C" w:rsidRDefault="00F53A8C" w:rsidP="00F53A8C">
      <w:pPr>
        <w:spacing w:line="360" w:lineRule="auto"/>
        <w:ind w:firstLineChars="200" w:firstLine="560"/>
        <w:rPr>
          <w:rFonts w:ascii="仿宋_GB2312" w:hAnsi="仿宋"/>
          <w:b/>
          <w:color w:val="FF0000"/>
          <w:sz w:val="28"/>
          <w:szCs w:val="28"/>
        </w:rPr>
      </w:pPr>
      <w:r>
        <w:rPr>
          <w:rFonts w:ascii="仿宋_GB2312" w:hAnsi="仿宋" w:hint="eastAsia"/>
          <w:sz w:val="28"/>
          <w:szCs w:val="28"/>
        </w:rPr>
        <w:t>本课程的重点是浅基础和桩基础的基本理论、计算和常规设计。本课程的难点是浅基础的地基承载力确定、按地基承载力确定基底尺寸、扩展基础设计、文克勒地基上梁的计算、桩的竖向承载力计算和桩承台的设计。</w:t>
      </w:r>
    </w:p>
    <w:p w:rsidR="00F53A8C" w:rsidRDefault="00F53A8C" w:rsidP="00F53A8C">
      <w:pPr>
        <w:spacing w:line="360" w:lineRule="auto"/>
        <w:ind w:firstLine="331"/>
        <w:rPr>
          <w:rFonts w:ascii="仿宋_GB2312" w:hAnsi="仿宋"/>
          <w:b/>
          <w:sz w:val="28"/>
          <w:szCs w:val="28"/>
        </w:rPr>
      </w:pPr>
      <w:r>
        <w:rPr>
          <w:rFonts w:ascii="仿宋_GB2312" w:hAnsi="仿宋" w:hint="eastAsia"/>
          <w:b/>
          <w:sz w:val="28"/>
          <w:szCs w:val="28"/>
        </w:rPr>
        <w:t>（4）课程思政切入</w:t>
      </w:r>
    </w:p>
    <w:p w:rsidR="00F53A8C" w:rsidRDefault="00F53A8C" w:rsidP="00F53A8C">
      <w:pPr>
        <w:spacing w:line="360" w:lineRule="auto"/>
        <w:ind w:firstLineChars="200" w:firstLine="560"/>
        <w:rPr>
          <w:rFonts w:ascii="仿宋_GB2312" w:hAnsi="仿宋"/>
          <w:sz w:val="28"/>
          <w:szCs w:val="28"/>
        </w:rPr>
      </w:pPr>
      <w:r>
        <w:rPr>
          <w:rFonts w:ascii="仿宋_GB2312" w:hAnsi="仿宋" w:hint="eastAsia"/>
          <w:sz w:val="28"/>
          <w:szCs w:val="28"/>
        </w:rPr>
        <w:fldChar w:fldCharType="begin"/>
      </w:r>
      <w:r>
        <w:rPr>
          <w:rFonts w:ascii="仿宋_GB2312" w:hAnsi="仿宋" w:hint="eastAsia"/>
          <w:sz w:val="28"/>
          <w:szCs w:val="28"/>
        </w:rPr>
        <w:instrText xml:space="preserve"> = 1 \* GB3 </w:instrText>
      </w:r>
      <w:r>
        <w:rPr>
          <w:rFonts w:ascii="仿宋_GB2312" w:hAnsi="仿宋" w:hint="eastAsia"/>
          <w:sz w:val="28"/>
          <w:szCs w:val="28"/>
        </w:rPr>
        <w:fldChar w:fldCharType="separate"/>
      </w:r>
      <w:r>
        <w:rPr>
          <w:rFonts w:ascii="仿宋_GB2312" w:hAnsi="仿宋" w:hint="eastAsia"/>
          <w:sz w:val="28"/>
          <w:szCs w:val="28"/>
        </w:rPr>
        <w:t>①</w:t>
      </w:r>
      <w:r>
        <w:rPr>
          <w:rFonts w:ascii="仿宋_GB2312" w:hAnsi="仿宋" w:hint="eastAsia"/>
          <w:sz w:val="28"/>
          <w:szCs w:val="28"/>
        </w:rPr>
        <w:fldChar w:fldCharType="end"/>
      </w:r>
      <w:r>
        <w:rPr>
          <w:rFonts w:ascii="仿宋_GB2312" w:hAnsi="仿宋" w:hint="eastAsia"/>
          <w:sz w:val="28"/>
          <w:szCs w:val="28"/>
        </w:rPr>
        <w:t xml:space="preserve"> 积极介绍我国在基础工程领域的最新研究成果以及所解决的</w:t>
      </w:r>
      <w:r>
        <w:rPr>
          <w:rFonts w:ascii="仿宋_GB2312" w:hAnsi="仿宋" w:hint="eastAsia"/>
          <w:sz w:val="28"/>
          <w:szCs w:val="28"/>
        </w:rPr>
        <w:lastRenderedPageBreak/>
        <w:t>重大工程项目问题，激发同学们的自豪感和进取心。</w:t>
      </w:r>
    </w:p>
    <w:p w:rsidR="00F53A8C" w:rsidRDefault="00F53A8C" w:rsidP="00F53A8C">
      <w:pPr>
        <w:spacing w:line="360" w:lineRule="auto"/>
        <w:ind w:firstLineChars="200" w:firstLine="560"/>
        <w:rPr>
          <w:rFonts w:ascii="仿宋_GB2312" w:hAnsi="仿宋"/>
          <w:sz w:val="28"/>
          <w:szCs w:val="28"/>
        </w:rPr>
      </w:pPr>
      <w:r>
        <w:rPr>
          <w:rFonts w:ascii="仿宋_GB2312" w:hAnsi="仿宋" w:hint="eastAsia"/>
          <w:sz w:val="28"/>
          <w:szCs w:val="28"/>
        </w:rPr>
        <w:fldChar w:fldCharType="begin"/>
      </w:r>
      <w:r>
        <w:rPr>
          <w:rFonts w:ascii="仿宋_GB2312" w:hAnsi="仿宋" w:hint="eastAsia"/>
          <w:sz w:val="28"/>
          <w:szCs w:val="28"/>
        </w:rPr>
        <w:instrText xml:space="preserve"> = 2 \* GB3 </w:instrText>
      </w:r>
      <w:r>
        <w:rPr>
          <w:rFonts w:ascii="仿宋_GB2312" w:hAnsi="仿宋" w:hint="eastAsia"/>
          <w:sz w:val="28"/>
          <w:szCs w:val="28"/>
        </w:rPr>
        <w:fldChar w:fldCharType="separate"/>
      </w:r>
      <w:r>
        <w:rPr>
          <w:rFonts w:ascii="仿宋_GB2312" w:hAnsi="仿宋" w:hint="eastAsia"/>
          <w:sz w:val="28"/>
          <w:szCs w:val="28"/>
        </w:rPr>
        <w:t>②</w:t>
      </w:r>
      <w:r>
        <w:rPr>
          <w:rFonts w:ascii="仿宋_GB2312" w:hAnsi="仿宋" w:hint="eastAsia"/>
          <w:sz w:val="28"/>
          <w:szCs w:val="28"/>
        </w:rPr>
        <w:fldChar w:fldCharType="end"/>
      </w:r>
      <w:r>
        <w:rPr>
          <w:rFonts w:ascii="仿宋_GB2312" w:hAnsi="仿宋" w:hint="eastAsia"/>
          <w:sz w:val="28"/>
          <w:szCs w:val="28"/>
        </w:rPr>
        <w:t xml:space="preserve"> 在浅基础和连续基础的教学中，结合浅基础选型的例子，引导同学们在实际工程中遵循实事求是和因地制宜指导思想来开展工作。</w:t>
      </w:r>
    </w:p>
    <w:p w:rsidR="00F53A8C" w:rsidRDefault="00F53A8C" w:rsidP="00F53A8C">
      <w:pPr>
        <w:spacing w:line="360" w:lineRule="auto"/>
        <w:ind w:firstLineChars="200" w:firstLine="560"/>
        <w:rPr>
          <w:rFonts w:ascii="仿宋_GB2312" w:hAnsi="仿宋"/>
          <w:sz w:val="28"/>
          <w:szCs w:val="28"/>
        </w:rPr>
      </w:pPr>
      <w:r>
        <w:rPr>
          <w:rFonts w:ascii="仿宋_GB2312" w:hAnsi="仿宋" w:hint="eastAsia"/>
          <w:sz w:val="28"/>
          <w:szCs w:val="28"/>
        </w:rPr>
        <w:fldChar w:fldCharType="begin"/>
      </w:r>
      <w:r>
        <w:rPr>
          <w:rFonts w:ascii="仿宋_GB2312" w:hAnsi="仿宋" w:hint="eastAsia"/>
          <w:sz w:val="28"/>
          <w:szCs w:val="28"/>
        </w:rPr>
        <w:instrText xml:space="preserve"> = 3 \* GB3 </w:instrText>
      </w:r>
      <w:r>
        <w:rPr>
          <w:rFonts w:ascii="仿宋_GB2312" w:hAnsi="仿宋" w:hint="eastAsia"/>
          <w:sz w:val="28"/>
          <w:szCs w:val="28"/>
        </w:rPr>
        <w:fldChar w:fldCharType="separate"/>
      </w:r>
      <w:r>
        <w:rPr>
          <w:rFonts w:ascii="仿宋_GB2312" w:hAnsi="仿宋" w:hint="eastAsia"/>
          <w:sz w:val="28"/>
          <w:szCs w:val="28"/>
        </w:rPr>
        <w:t>③</w:t>
      </w:r>
      <w:r>
        <w:rPr>
          <w:rFonts w:ascii="仿宋_GB2312" w:hAnsi="仿宋" w:hint="eastAsia"/>
          <w:sz w:val="28"/>
          <w:szCs w:val="28"/>
        </w:rPr>
        <w:fldChar w:fldCharType="end"/>
      </w:r>
      <w:r>
        <w:rPr>
          <w:rFonts w:ascii="仿宋_GB2312" w:hAnsi="仿宋" w:hint="eastAsia"/>
          <w:sz w:val="28"/>
          <w:szCs w:val="28"/>
        </w:rPr>
        <w:t xml:space="preserve"> 在桩基础的内容中，结合隐蔽工程的特点以及典型的工程案例，对同学们加强质量安全教育，帮助同学们提升责任心，牢固树立安全意识。</w:t>
      </w:r>
    </w:p>
    <w:p w:rsidR="00F53A8C" w:rsidRDefault="00F53A8C" w:rsidP="00F53A8C">
      <w:pPr>
        <w:spacing w:line="360" w:lineRule="auto"/>
        <w:ind w:firstLineChars="200" w:firstLine="560"/>
        <w:rPr>
          <w:rFonts w:ascii="仿宋" w:eastAsia="仿宋" w:hAnsi="仿宋"/>
          <w:sz w:val="28"/>
          <w:szCs w:val="28"/>
        </w:rPr>
      </w:pPr>
      <w:r>
        <w:rPr>
          <w:rFonts w:ascii="仿宋_GB2312" w:hAnsi="仿宋" w:hint="eastAsia"/>
          <w:sz w:val="28"/>
          <w:szCs w:val="28"/>
        </w:rPr>
        <w:fldChar w:fldCharType="begin"/>
      </w:r>
      <w:r>
        <w:rPr>
          <w:rFonts w:ascii="仿宋_GB2312" w:hAnsi="仿宋" w:hint="eastAsia"/>
          <w:sz w:val="28"/>
          <w:szCs w:val="28"/>
        </w:rPr>
        <w:instrText xml:space="preserve"> = 4 \* GB3 </w:instrText>
      </w:r>
      <w:r>
        <w:rPr>
          <w:rFonts w:ascii="仿宋_GB2312" w:hAnsi="仿宋" w:hint="eastAsia"/>
          <w:sz w:val="28"/>
          <w:szCs w:val="28"/>
        </w:rPr>
        <w:fldChar w:fldCharType="separate"/>
      </w:r>
      <w:r>
        <w:rPr>
          <w:rFonts w:ascii="仿宋_GB2312" w:hAnsi="仿宋" w:hint="eastAsia"/>
          <w:sz w:val="28"/>
          <w:szCs w:val="28"/>
        </w:rPr>
        <w:t>④</w:t>
      </w:r>
      <w:r>
        <w:rPr>
          <w:rFonts w:ascii="仿宋_GB2312" w:hAnsi="仿宋" w:hint="eastAsia"/>
          <w:sz w:val="28"/>
          <w:szCs w:val="28"/>
        </w:rPr>
        <w:fldChar w:fldCharType="end"/>
      </w:r>
      <w:r>
        <w:rPr>
          <w:rFonts w:ascii="仿宋_GB2312" w:hAnsi="仿宋" w:hint="eastAsia"/>
          <w:sz w:val="28"/>
          <w:szCs w:val="28"/>
        </w:rPr>
        <w:t xml:space="preserve"> 在地基处理、挡土墙和基坑工程的授课中，通过讲解我国利用卫星定位系统进行大面积土方压实控制以及边坡失稳监测预警等技术，鼓励同学们要与时俱进，开拓创新，利用最新科学技术来解决传统行业的问题。</w:t>
      </w:r>
    </w:p>
    <w:p w:rsidR="00F53A8C" w:rsidRDefault="00F53A8C" w:rsidP="00F53A8C">
      <w:pPr>
        <w:spacing w:beforeLines="50" w:before="156" w:afterLines="50" w:after="156"/>
        <w:rPr>
          <w:rFonts w:ascii="黑体" w:eastAsia="黑体" w:hAnsi="黑体"/>
          <w:b/>
          <w:sz w:val="28"/>
          <w:szCs w:val="28"/>
        </w:rPr>
      </w:pPr>
      <w:r>
        <w:rPr>
          <w:rFonts w:ascii="黑体" w:eastAsia="黑体" w:hAnsi="黑体" w:hint="eastAsia"/>
          <w:b/>
          <w:sz w:val="28"/>
          <w:szCs w:val="28"/>
        </w:rPr>
        <w:t>四、教学内容安排</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156"/>
        <w:gridCol w:w="708"/>
        <w:gridCol w:w="2410"/>
        <w:gridCol w:w="2693"/>
        <w:gridCol w:w="1985"/>
      </w:tblGrid>
      <w:tr w:rsidR="00F53A8C" w:rsidTr="00843889">
        <w:trPr>
          <w:cantSplit/>
          <w:trHeight w:val="785"/>
          <w:jc w:val="center"/>
        </w:trPr>
        <w:tc>
          <w:tcPr>
            <w:tcW w:w="512"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序号</w:t>
            </w:r>
          </w:p>
        </w:tc>
        <w:tc>
          <w:tcPr>
            <w:tcW w:w="1156"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章  节</w:t>
            </w:r>
          </w:p>
        </w:tc>
        <w:tc>
          <w:tcPr>
            <w:tcW w:w="708"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参考学时</w:t>
            </w:r>
          </w:p>
        </w:tc>
        <w:tc>
          <w:tcPr>
            <w:tcW w:w="2410"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教学内容</w:t>
            </w:r>
          </w:p>
        </w:tc>
        <w:tc>
          <w:tcPr>
            <w:tcW w:w="2693"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基本要求</w:t>
            </w:r>
          </w:p>
        </w:tc>
        <w:tc>
          <w:tcPr>
            <w:tcW w:w="1985"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对毕业要求的支撑</w:t>
            </w:r>
          </w:p>
        </w:tc>
      </w:tr>
      <w:tr w:rsidR="00F53A8C" w:rsidTr="00843889">
        <w:trPr>
          <w:trHeight w:val="428"/>
          <w:jc w:val="center"/>
        </w:trPr>
        <w:tc>
          <w:tcPr>
            <w:tcW w:w="512"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1</w:t>
            </w:r>
          </w:p>
        </w:tc>
        <w:tc>
          <w:tcPr>
            <w:tcW w:w="1156"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第一章 绪论</w:t>
            </w:r>
          </w:p>
        </w:tc>
        <w:tc>
          <w:tcPr>
            <w:tcW w:w="708"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2</w:t>
            </w:r>
          </w:p>
        </w:tc>
        <w:tc>
          <w:tcPr>
            <w:tcW w:w="2410"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基础工程的概念；课程的内容、任务及特点；课程的重要性 及学习要求。</w:t>
            </w:r>
          </w:p>
        </w:tc>
        <w:tc>
          <w:tcPr>
            <w:tcW w:w="2693"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了解基础工程的基本概念；课程的内容、任务及特点；课程的重要性及学习要求。</w:t>
            </w:r>
          </w:p>
        </w:tc>
        <w:tc>
          <w:tcPr>
            <w:tcW w:w="1985" w:type="dxa"/>
            <w:vAlign w:val="center"/>
          </w:tcPr>
          <w:p w:rsidR="00F53A8C" w:rsidRDefault="00F53A8C" w:rsidP="00843889">
            <w:pPr>
              <w:jc w:val="center"/>
              <w:rPr>
                <w:rFonts w:ascii="仿宋_GB2312" w:hAnsi="仿宋"/>
                <w:kern w:val="0"/>
                <w:sz w:val="20"/>
                <w:szCs w:val="20"/>
              </w:rPr>
            </w:pPr>
            <w:r>
              <w:rPr>
                <w:rFonts w:ascii="仿宋_GB2312" w:hAnsi="仿宋"/>
                <w:kern w:val="0"/>
                <w:sz w:val="20"/>
                <w:szCs w:val="20"/>
              </w:rPr>
              <w:t>1.3</w:t>
            </w:r>
          </w:p>
        </w:tc>
      </w:tr>
      <w:tr w:rsidR="00F53A8C" w:rsidTr="00843889">
        <w:trPr>
          <w:trHeight w:val="519"/>
          <w:jc w:val="center"/>
        </w:trPr>
        <w:tc>
          <w:tcPr>
            <w:tcW w:w="512"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2</w:t>
            </w:r>
          </w:p>
        </w:tc>
        <w:tc>
          <w:tcPr>
            <w:tcW w:w="1156"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第二章 浅基础</w:t>
            </w:r>
          </w:p>
        </w:tc>
        <w:tc>
          <w:tcPr>
            <w:tcW w:w="708"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6</w:t>
            </w:r>
          </w:p>
        </w:tc>
        <w:tc>
          <w:tcPr>
            <w:tcW w:w="2410"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 xml:space="preserve">浅基础的若干类型；基础埋置深度的选择；浅基础的地基承载力；按地基承载力确定基底尺寸；扩展基础设计；联合基础设计；减轻不均匀沉降危害的措施。 </w:t>
            </w:r>
          </w:p>
        </w:tc>
        <w:tc>
          <w:tcPr>
            <w:tcW w:w="2693"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了解浅基础的若干类型；基础埋置深度的选择；浅基础的地基承载力；按地基承载力确定基底尺寸；扩展基础设计；联合基础设计；减轻不均匀沉降危害的措施。</w:t>
            </w:r>
          </w:p>
        </w:tc>
        <w:tc>
          <w:tcPr>
            <w:tcW w:w="1985" w:type="dxa"/>
            <w:vAlign w:val="center"/>
          </w:tcPr>
          <w:p w:rsidR="00F53A8C" w:rsidRDefault="00F53A8C" w:rsidP="00843889">
            <w:pPr>
              <w:jc w:val="center"/>
              <w:rPr>
                <w:rFonts w:ascii="仿宋_GB2312" w:hAnsi="仿宋"/>
                <w:kern w:val="0"/>
                <w:sz w:val="20"/>
                <w:szCs w:val="20"/>
              </w:rPr>
            </w:pPr>
            <w:r>
              <w:rPr>
                <w:rFonts w:ascii="仿宋_GB2312" w:hAnsi="仿宋"/>
                <w:kern w:val="0"/>
                <w:sz w:val="20"/>
                <w:szCs w:val="20"/>
              </w:rPr>
              <w:t>1.3</w:t>
            </w:r>
            <w:r>
              <w:rPr>
                <w:rFonts w:ascii="仿宋_GB2312" w:hAnsi="仿宋" w:hint="eastAsia"/>
                <w:kern w:val="0"/>
                <w:sz w:val="20"/>
                <w:szCs w:val="20"/>
              </w:rPr>
              <w:t>，2</w:t>
            </w:r>
            <w:r>
              <w:rPr>
                <w:rFonts w:ascii="仿宋_GB2312" w:hAnsi="仿宋"/>
                <w:kern w:val="0"/>
                <w:sz w:val="20"/>
                <w:szCs w:val="20"/>
              </w:rPr>
              <w:t>.3</w:t>
            </w:r>
          </w:p>
        </w:tc>
      </w:tr>
      <w:tr w:rsidR="00F53A8C" w:rsidTr="00843889">
        <w:trPr>
          <w:trHeight w:val="555"/>
          <w:jc w:val="center"/>
        </w:trPr>
        <w:tc>
          <w:tcPr>
            <w:tcW w:w="512"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3</w:t>
            </w:r>
          </w:p>
        </w:tc>
        <w:tc>
          <w:tcPr>
            <w:tcW w:w="1156"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第三章 连续基础</w:t>
            </w:r>
          </w:p>
        </w:tc>
        <w:tc>
          <w:tcPr>
            <w:tcW w:w="708"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6</w:t>
            </w:r>
          </w:p>
        </w:tc>
        <w:tc>
          <w:tcPr>
            <w:tcW w:w="2410"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 xml:space="preserve">地基、基础与上部结构相互作用的概念；地基计算模型；文克勒地基上梁的计算；地基上梁的数值分析；柱下条形基础；柱下交叉条形基础、筏形基础和箱形基础。 </w:t>
            </w:r>
          </w:p>
        </w:tc>
        <w:tc>
          <w:tcPr>
            <w:tcW w:w="2693"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了解并掌握地基、基础与上部 结构相互作用的概念；地基计算模型；文克勒地基上梁的计算；地基上梁的数值分析；柱下基础类型等。</w:t>
            </w:r>
          </w:p>
        </w:tc>
        <w:tc>
          <w:tcPr>
            <w:tcW w:w="1985"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1.3，2.3，3.1，3</w:t>
            </w:r>
            <w:r>
              <w:rPr>
                <w:rFonts w:ascii="仿宋_GB2312" w:hAnsi="仿宋"/>
                <w:kern w:val="0"/>
                <w:sz w:val="20"/>
                <w:szCs w:val="20"/>
              </w:rPr>
              <w:t>.2</w:t>
            </w:r>
          </w:p>
        </w:tc>
      </w:tr>
      <w:tr w:rsidR="00F53A8C" w:rsidTr="00843889">
        <w:trPr>
          <w:trHeight w:val="555"/>
          <w:jc w:val="center"/>
        </w:trPr>
        <w:tc>
          <w:tcPr>
            <w:tcW w:w="512"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lastRenderedPageBreak/>
              <w:t>4</w:t>
            </w:r>
          </w:p>
        </w:tc>
        <w:tc>
          <w:tcPr>
            <w:tcW w:w="1156"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第四章 桩基础</w:t>
            </w:r>
          </w:p>
        </w:tc>
        <w:tc>
          <w:tcPr>
            <w:tcW w:w="708"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8</w:t>
            </w:r>
          </w:p>
        </w:tc>
        <w:tc>
          <w:tcPr>
            <w:tcW w:w="2410"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 xml:space="preserve">桩的类型；桩的竖向承载力；桩基础沉降的计算；桩的负摩擦问题；桩的水平承载力；桩的平面布置原则；桩承台的设计；桩基础设计的一般步骤。 </w:t>
            </w:r>
          </w:p>
        </w:tc>
        <w:tc>
          <w:tcPr>
            <w:tcW w:w="2693"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了解并掌握桩的类型；桩的竖向承载力；桩基础沉降的计算；桩的负摩擦问题；桩的水平承载力；桩的平面布置原则；桩承台的设计；桩基础设计的一般步骤。</w:t>
            </w:r>
          </w:p>
        </w:tc>
        <w:tc>
          <w:tcPr>
            <w:tcW w:w="1985"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1.3，2.3，3.1，3.2</w:t>
            </w:r>
          </w:p>
        </w:tc>
      </w:tr>
      <w:tr w:rsidR="00F53A8C" w:rsidTr="00843889">
        <w:trPr>
          <w:trHeight w:val="555"/>
          <w:jc w:val="center"/>
        </w:trPr>
        <w:tc>
          <w:tcPr>
            <w:tcW w:w="512"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5</w:t>
            </w:r>
          </w:p>
        </w:tc>
        <w:tc>
          <w:tcPr>
            <w:tcW w:w="1156"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第五章 地基处理</w:t>
            </w:r>
          </w:p>
        </w:tc>
        <w:tc>
          <w:tcPr>
            <w:tcW w:w="708"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4</w:t>
            </w:r>
          </w:p>
        </w:tc>
        <w:tc>
          <w:tcPr>
            <w:tcW w:w="2410"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 xml:space="preserve">垫层法；排水固结法；深层水泥搅拌法；高压喷射注浆法；强夯法；振冲法。 </w:t>
            </w:r>
          </w:p>
        </w:tc>
        <w:tc>
          <w:tcPr>
            <w:tcW w:w="2693"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熟悉并掌握垫层法、排水固结法、深层水泥搅拌法、高压喷射注浆法、强夯法和振冲法的内容。</w:t>
            </w:r>
          </w:p>
        </w:tc>
        <w:tc>
          <w:tcPr>
            <w:tcW w:w="1985"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1.3，2.3</w:t>
            </w:r>
          </w:p>
        </w:tc>
      </w:tr>
      <w:tr w:rsidR="00F53A8C" w:rsidTr="00843889">
        <w:trPr>
          <w:trHeight w:val="555"/>
          <w:jc w:val="center"/>
        </w:trPr>
        <w:tc>
          <w:tcPr>
            <w:tcW w:w="512"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6</w:t>
            </w:r>
          </w:p>
        </w:tc>
        <w:tc>
          <w:tcPr>
            <w:tcW w:w="1156"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第六章 挡土墙</w:t>
            </w:r>
          </w:p>
        </w:tc>
        <w:tc>
          <w:tcPr>
            <w:tcW w:w="708"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2</w:t>
            </w:r>
          </w:p>
        </w:tc>
        <w:tc>
          <w:tcPr>
            <w:tcW w:w="2410"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 xml:space="preserve">挡土墙的类型；作用在挡土墙上的土压力，重力式挡土墙；悬臂式挡土墙；扶壁式挡土墙。 </w:t>
            </w:r>
          </w:p>
        </w:tc>
        <w:tc>
          <w:tcPr>
            <w:tcW w:w="2693"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熟悉挡土墙的类型。熟练掌握 作用在挡土墙上的土压力的计算方法。了解重力式挡土墙、悬臂式挡土墙和扶壁式挡土墙。</w:t>
            </w:r>
          </w:p>
        </w:tc>
        <w:tc>
          <w:tcPr>
            <w:tcW w:w="1985"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1.3，2.3</w:t>
            </w:r>
          </w:p>
        </w:tc>
      </w:tr>
      <w:tr w:rsidR="00F53A8C" w:rsidTr="00843889">
        <w:trPr>
          <w:trHeight w:val="555"/>
          <w:jc w:val="center"/>
        </w:trPr>
        <w:tc>
          <w:tcPr>
            <w:tcW w:w="512"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7</w:t>
            </w:r>
          </w:p>
        </w:tc>
        <w:tc>
          <w:tcPr>
            <w:tcW w:w="1156"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第七章 基坑工程</w:t>
            </w:r>
          </w:p>
        </w:tc>
        <w:tc>
          <w:tcPr>
            <w:tcW w:w="708"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4</w:t>
            </w:r>
          </w:p>
        </w:tc>
        <w:tc>
          <w:tcPr>
            <w:tcW w:w="2410"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 xml:space="preserve">围护结构形式及适用范围；支护结构上的荷载；悬臂式围护结构内力分析；单锚式围护结构内力分析；基坑的稳定验算。 </w:t>
            </w:r>
          </w:p>
        </w:tc>
        <w:tc>
          <w:tcPr>
            <w:tcW w:w="2693" w:type="dxa"/>
            <w:vAlign w:val="center"/>
          </w:tcPr>
          <w:p w:rsidR="00F53A8C" w:rsidRDefault="00F53A8C" w:rsidP="00843889">
            <w:pPr>
              <w:rPr>
                <w:rFonts w:ascii="仿宋_GB2312" w:hAnsi="仿宋"/>
                <w:kern w:val="0"/>
                <w:sz w:val="20"/>
                <w:szCs w:val="20"/>
              </w:rPr>
            </w:pPr>
            <w:r>
              <w:rPr>
                <w:rFonts w:ascii="仿宋_GB2312" w:hAnsi="仿宋" w:hint="eastAsia"/>
                <w:kern w:val="0"/>
                <w:sz w:val="20"/>
                <w:szCs w:val="20"/>
              </w:rPr>
              <w:t>了解并掌握围护结构形式及 适用范围；支护结构上的荷载；悬臂式围护结构内力分析；单锚式围护结构内力分析；基坑的稳定验算。</w:t>
            </w:r>
          </w:p>
        </w:tc>
        <w:tc>
          <w:tcPr>
            <w:tcW w:w="1985" w:type="dxa"/>
            <w:vAlign w:val="center"/>
          </w:tcPr>
          <w:p w:rsidR="00F53A8C" w:rsidRDefault="00F53A8C" w:rsidP="00843889">
            <w:pPr>
              <w:jc w:val="center"/>
              <w:rPr>
                <w:rFonts w:ascii="仿宋_GB2312" w:hAnsi="仿宋"/>
                <w:kern w:val="0"/>
                <w:sz w:val="20"/>
                <w:szCs w:val="20"/>
              </w:rPr>
            </w:pPr>
            <w:r>
              <w:rPr>
                <w:rFonts w:ascii="仿宋_GB2312" w:hAnsi="仿宋" w:hint="eastAsia"/>
                <w:kern w:val="0"/>
                <w:sz w:val="20"/>
                <w:szCs w:val="20"/>
              </w:rPr>
              <w:t>1.3，2.3</w:t>
            </w:r>
          </w:p>
        </w:tc>
      </w:tr>
    </w:tbl>
    <w:p w:rsidR="00F53A8C" w:rsidRDefault="00F53A8C" w:rsidP="00F53A8C">
      <w:pPr>
        <w:spacing w:beforeLines="50" w:before="156" w:afterLines="50" w:after="156" w:line="360" w:lineRule="auto"/>
        <w:rPr>
          <w:rFonts w:ascii="黑体" w:eastAsia="黑体" w:hAnsi="黑体"/>
          <w:b/>
          <w:sz w:val="28"/>
          <w:szCs w:val="28"/>
        </w:rPr>
      </w:pPr>
      <w:r>
        <w:rPr>
          <w:rFonts w:ascii="黑体" w:eastAsia="黑体" w:hAnsi="黑体" w:hint="eastAsia"/>
          <w:b/>
          <w:sz w:val="28"/>
          <w:szCs w:val="28"/>
        </w:rPr>
        <w:t>五、课程考核和评价方式</w:t>
      </w:r>
    </w:p>
    <w:p w:rsidR="00F53A8C" w:rsidRDefault="00F53A8C" w:rsidP="00F53A8C">
      <w:pPr>
        <w:spacing w:beforeLines="50" w:before="156" w:afterLines="50" w:after="156" w:line="460" w:lineRule="exact"/>
        <w:ind w:firstLineChars="101" w:firstLine="284"/>
        <w:rPr>
          <w:rFonts w:ascii="仿宋_GB2312" w:hAnsi="仿宋"/>
          <w:b/>
          <w:sz w:val="28"/>
          <w:szCs w:val="28"/>
        </w:rPr>
      </w:pPr>
      <w:r>
        <w:rPr>
          <w:rFonts w:ascii="仿宋_GB2312" w:hAnsi="仿宋" w:hint="eastAsia"/>
          <w:b/>
          <w:sz w:val="28"/>
          <w:szCs w:val="28"/>
        </w:rPr>
        <w:t>1.课程考核</w:t>
      </w:r>
    </w:p>
    <w:p w:rsidR="00F53A8C" w:rsidRPr="00EE2D67" w:rsidRDefault="00F53A8C" w:rsidP="00F53A8C">
      <w:pPr>
        <w:spacing w:line="360" w:lineRule="auto"/>
        <w:rPr>
          <w:rFonts w:ascii="仿宋_GB2312" w:hAnsi="仿宋"/>
          <w:sz w:val="28"/>
          <w:szCs w:val="28"/>
        </w:rPr>
      </w:pPr>
      <w:r w:rsidRPr="00EE2D67">
        <w:rPr>
          <w:rFonts w:ascii="仿宋_GB2312" w:hAnsi="仿宋"/>
          <w:sz w:val="28"/>
          <w:szCs w:val="28"/>
        </w:rPr>
        <w:t>本课程考核方式为考试，成绩评定为百分率制。</w:t>
      </w:r>
    </w:p>
    <w:p w:rsidR="00F53A8C" w:rsidRDefault="00F53A8C" w:rsidP="00F53A8C">
      <w:pPr>
        <w:spacing w:beforeLines="50" w:before="156" w:afterLines="50" w:after="156" w:line="460" w:lineRule="exact"/>
        <w:ind w:firstLineChars="101" w:firstLine="284"/>
        <w:rPr>
          <w:b/>
        </w:rPr>
      </w:pPr>
      <w:r>
        <w:rPr>
          <w:rFonts w:ascii="仿宋_GB2312" w:hAnsi="仿宋" w:hint="eastAsia"/>
          <w:b/>
          <w:sz w:val="28"/>
          <w:szCs w:val="28"/>
        </w:rPr>
        <w:t>2.成绩评定</w:t>
      </w:r>
    </w:p>
    <w:p w:rsidR="00F53A8C" w:rsidRPr="00EE2D67" w:rsidRDefault="00F53A8C" w:rsidP="00EE2D67">
      <w:pPr>
        <w:spacing w:line="360" w:lineRule="auto"/>
        <w:rPr>
          <w:rFonts w:ascii="仿宋_GB2312" w:hAnsi="仿宋"/>
          <w:sz w:val="28"/>
          <w:szCs w:val="28"/>
        </w:rPr>
      </w:pPr>
      <w:r w:rsidRPr="00EE2D67">
        <w:rPr>
          <w:rFonts w:ascii="仿宋_GB2312" w:hAnsi="仿宋"/>
          <w:sz w:val="28"/>
          <w:szCs w:val="28"/>
        </w:rPr>
        <w:t>课程总成绩=期末成绩80%+平时成绩20%</w:t>
      </w:r>
    </w:p>
    <w:p w:rsidR="00F53A8C" w:rsidRPr="00EE2D67" w:rsidRDefault="00F53A8C" w:rsidP="00EE2D67">
      <w:pPr>
        <w:spacing w:line="360" w:lineRule="auto"/>
        <w:rPr>
          <w:rFonts w:ascii="仿宋_GB2312" w:hAnsi="仿宋"/>
          <w:sz w:val="28"/>
          <w:szCs w:val="28"/>
        </w:rPr>
      </w:pPr>
      <w:r w:rsidRPr="00EE2D67">
        <w:rPr>
          <w:rFonts w:ascii="仿宋_GB2312" w:hAnsi="仿宋"/>
          <w:sz w:val="28"/>
          <w:szCs w:val="28"/>
        </w:rPr>
        <w:t>学生在本课程学习阶段应能够达到自主讨论，自主学习，课下针对老师布置的作业或课后思考应积极完成，掌握良好的学习方法，对基础工程这门课在教学的基础上能有更深的认识，能运用土力学及基础工程的基本原理和概念，结合结构设计理论，联系实际，分析和解决地基基础问题。</w:t>
      </w:r>
      <w:r w:rsidRPr="00EE2D67">
        <w:rPr>
          <w:rFonts w:ascii="仿宋_GB2312" w:hAnsi="仿宋"/>
          <w:sz w:val="28"/>
          <w:szCs w:val="28"/>
        </w:rPr>
        <w:cr/>
      </w:r>
      <w:r w:rsidRPr="00EE2D67">
        <w:rPr>
          <w:rFonts w:ascii="仿宋_GB2312" w:hAnsi="仿宋" w:hint="eastAsia"/>
          <w:sz w:val="28"/>
          <w:szCs w:val="28"/>
        </w:rPr>
        <w:t xml:space="preserve">    </w:t>
      </w:r>
      <w:r w:rsidRPr="00EE2D67">
        <w:rPr>
          <w:rFonts w:ascii="仿宋_GB2312" w:hAnsi="仿宋"/>
          <w:sz w:val="28"/>
          <w:szCs w:val="28"/>
        </w:rPr>
        <w:t>平时成绩包括考勤（30%）和作业（70%）环节。本课</w:t>
      </w:r>
      <w:r w:rsidRPr="00EE2D67">
        <w:rPr>
          <w:rFonts w:ascii="仿宋_GB2312" w:hAnsi="仿宋" w:hint="eastAsia"/>
          <w:sz w:val="28"/>
          <w:szCs w:val="28"/>
        </w:rPr>
        <w:t>程的课外作</w:t>
      </w:r>
      <w:r w:rsidRPr="00EE2D67">
        <w:rPr>
          <w:rFonts w:ascii="仿宋_GB2312" w:hAnsi="仿宋" w:hint="eastAsia"/>
          <w:sz w:val="28"/>
          <w:szCs w:val="28"/>
        </w:rPr>
        <w:lastRenderedPageBreak/>
        <w:t>业包括地基承载力计算；浅基础常规设计；桩基础设计计算；地基处理；挡土墙设计计算；基坑工程设计计算。</w:t>
      </w:r>
    </w:p>
    <w:p w:rsidR="00F53A8C" w:rsidRPr="00EE2D67" w:rsidRDefault="00F53A8C" w:rsidP="00EE2D67">
      <w:pPr>
        <w:spacing w:line="360" w:lineRule="auto"/>
        <w:rPr>
          <w:rFonts w:ascii="仿宋_GB2312" w:hAnsi="仿宋"/>
          <w:sz w:val="28"/>
          <w:szCs w:val="28"/>
        </w:rPr>
      </w:pPr>
      <w:r w:rsidRPr="00EE2D67">
        <w:rPr>
          <w:rFonts w:ascii="仿宋_GB2312" w:hAnsi="仿宋"/>
          <w:sz w:val="28"/>
          <w:szCs w:val="28"/>
        </w:rPr>
        <w:t>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4637"/>
        <w:gridCol w:w="1667"/>
      </w:tblGrid>
      <w:tr w:rsidR="00F53A8C" w:rsidTr="00843889">
        <w:trPr>
          <w:jc w:val="center"/>
        </w:trPr>
        <w:tc>
          <w:tcPr>
            <w:tcW w:w="3995" w:type="pct"/>
            <w:gridSpan w:val="2"/>
            <w:tcBorders>
              <w:top w:val="single" w:sz="4" w:space="0" w:color="auto"/>
              <w:left w:val="single" w:sz="4" w:space="0" w:color="auto"/>
              <w:bottom w:val="single" w:sz="4" w:space="0" w:color="auto"/>
              <w:right w:val="single" w:sz="4" w:space="0" w:color="auto"/>
            </w:tcBorders>
            <w:vAlign w:val="center"/>
          </w:tcPr>
          <w:p w:rsidR="00F53A8C" w:rsidRDefault="00F53A8C" w:rsidP="00843889">
            <w:pPr>
              <w:jc w:val="center"/>
              <w:rPr>
                <w:rFonts w:ascii="Times New Roman" w:hAnsi="Times New Roman"/>
                <w:b/>
                <w:sz w:val="24"/>
                <w:szCs w:val="24"/>
              </w:rPr>
            </w:pPr>
            <w:r>
              <w:rPr>
                <w:rFonts w:ascii="Times New Roman" w:hAnsi="Times New Roman"/>
                <w:b/>
                <w:sz w:val="24"/>
                <w:szCs w:val="24"/>
              </w:rPr>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F53A8C" w:rsidRDefault="00F53A8C" w:rsidP="00843889">
            <w:pPr>
              <w:jc w:val="center"/>
              <w:rPr>
                <w:rFonts w:ascii="Times New Roman" w:hAnsi="Times New Roman"/>
                <w:b/>
                <w:sz w:val="24"/>
                <w:szCs w:val="24"/>
              </w:rPr>
            </w:pPr>
            <w:r>
              <w:rPr>
                <w:rFonts w:ascii="Times New Roman" w:hAnsi="Times New Roman"/>
                <w:b/>
                <w:sz w:val="24"/>
                <w:szCs w:val="24"/>
              </w:rPr>
              <w:t>教学目标</w:t>
            </w:r>
          </w:p>
        </w:tc>
      </w:tr>
      <w:tr w:rsidR="00F53A8C" w:rsidTr="00843889">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F53A8C" w:rsidRDefault="00F53A8C" w:rsidP="00EE2D67">
            <w:pPr>
              <w:spacing w:line="360" w:lineRule="auto"/>
              <w:rPr>
                <w:rFonts w:ascii="Times New Roman" w:hAnsi="Times New Roman"/>
                <w:b/>
                <w:sz w:val="24"/>
                <w:szCs w:val="24"/>
              </w:rPr>
            </w:pPr>
            <w:r>
              <w:rPr>
                <w:rFonts w:ascii="Times New Roman" w:hAnsi="Times New Roman"/>
                <w:b/>
                <w:sz w:val="24"/>
                <w:szCs w:val="24"/>
              </w:rPr>
              <w:t>分项比例</w:t>
            </w:r>
          </w:p>
        </w:tc>
        <w:tc>
          <w:tcPr>
            <w:tcW w:w="2795" w:type="pct"/>
            <w:tcBorders>
              <w:top w:val="single" w:sz="4" w:space="0" w:color="auto"/>
              <w:left w:val="single" w:sz="4" w:space="0" w:color="auto"/>
              <w:bottom w:val="single" w:sz="4" w:space="0" w:color="auto"/>
              <w:right w:val="single" w:sz="4" w:space="0" w:color="auto"/>
            </w:tcBorders>
            <w:vAlign w:val="center"/>
          </w:tcPr>
          <w:p w:rsidR="00F53A8C" w:rsidRDefault="00F53A8C" w:rsidP="00843889">
            <w:pPr>
              <w:jc w:val="center"/>
              <w:rPr>
                <w:rFonts w:ascii="Times New Roman" w:hAnsi="Times New Roman"/>
                <w:b/>
                <w:sz w:val="24"/>
                <w:szCs w:val="24"/>
              </w:rPr>
            </w:pPr>
            <w:r>
              <w:rPr>
                <w:rFonts w:ascii="Times New Roman" w:hAnsi="Times New Roman"/>
                <w:b/>
                <w:sz w:val="24"/>
                <w:szCs w:val="24"/>
              </w:rPr>
              <w:t>考核要求</w:t>
            </w:r>
          </w:p>
        </w:tc>
        <w:tc>
          <w:tcPr>
            <w:tcW w:w="1005" w:type="pct"/>
            <w:vMerge/>
            <w:tcBorders>
              <w:top w:val="single" w:sz="4" w:space="0" w:color="auto"/>
              <w:left w:val="single" w:sz="4" w:space="0" w:color="auto"/>
              <w:bottom w:val="single" w:sz="4" w:space="0" w:color="auto"/>
              <w:right w:val="single" w:sz="4" w:space="0" w:color="auto"/>
            </w:tcBorders>
            <w:vAlign w:val="center"/>
          </w:tcPr>
          <w:p w:rsidR="00F53A8C" w:rsidRDefault="00F53A8C" w:rsidP="00843889">
            <w:pPr>
              <w:jc w:val="center"/>
              <w:rPr>
                <w:rFonts w:ascii="Times New Roman" w:hAnsi="Times New Roman"/>
                <w:sz w:val="24"/>
                <w:szCs w:val="24"/>
              </w:rPr>
            </w:pPr>
          </w:p>
        </w:tc>
      </w:tr>
      <w:tr w:rsidR="00F53A8C" w:rsidTr="00843889">
        <w:trPr>
          <w:trHeight w:val="1500"/>
          <w:jc w:val="center"/>
        </w:trPr>
        <w:tc>
          <w:tcPr>
            <w:tcW w:w="1200" w:type="pct"/>
            <w:tcBorders>
              <w:top w:val="single" w:sz="4" w:space="0" w:color="auto"/>
              <w:left w:val="single" w:sz="4" w:space="0" w:color="auto"/>
              <w:bottom w:val="single" w:sz="4" w:space="0" w:color="auto"/>
              <w:right w:val="single" w:sz="4" w:space="0" w:color="auto"/>
            </w:tcBorders>
            <w:vAlign w:val="center"/>
          </w:tcPr>
          <w:p w:rsidR="00F53A8C" w:rsidRDefault="00F53A8C" w:rsidP="00843889">
            <w:pPr>
              <w:jc w:val="center"/>
              <w:rPr>
                <w:rFonts w:ascii="Times New Roman" w:hAnsi="Times New Roman"/>
                <w:sz w:val="24"/>
                <w:szCs w:val="24"/>
              </w:rPr>
            </w:pPr>
            <w:r>
              <w:rPr>
                <w:rFonts w:ascii="Times New Roman" w:hAnsi="Times New Roman"/>
                <w:sz w:val="24"/>
                <w:szCs w:val="24"/>
              </w:rPr>
              <w:t>平时成绩</w:t>
            </w:r>
          </w:p>
          <w:p w:rsidR="00F53A8C" w:rsidRDefault="00F53A8C" w:rsidP="00843889">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F53A8C" w:rsidRDefault="00F53A8C" w:rsidP="00843889">
            <w:pPr>
              <w:rPr>
                <w:rFonts w:ascii="Times New Roman" w:hAnsi="Times New Roman"/>
                <w:sz w:val="24"/>
                <w:szCs w:val="24"/>
              </w:rPr>
            </w:pPr>
            <w:r>
              <w:rPr>
                <w:rFonts w:ascii="Times New Roman" w:hAnsi="Times New Roman"/>
                <w:sz w:val="24"/>
                <w:szCs w:val="24"/>
              </w:rPr>
              <w:t>出勤统计不少于授课次数的</w:t>
            </w:r>
            <w:r>
              <w:rPr>
                <w:rFonts w:ascii="Times New Roman" w:hAnsi="Times New Roman"/>
                <w:sz w:val="24"/>
                <w:szCs w:val="24"/>
              </w:rPr>
              <w:t xml:space="preserve"> 2/3</w:t>
            </w:r>
            <w:r>
              <w:rPr>
                <w:rFonts w:ascii="Times New Roman" w:hAnsi="Times New Roman"/>
                <w:sz w:val="24"/>
                <w:szCs w:val="24"/>
              </w:rPr>
              <w:t>，重点考察学生的课堂表现，占</w:t>
            </w:r>
            <w:r>
              <w:rPr>
                <w:rFonts w:ascii="Times New Roman" w:hAnsi="Times New Roman" w:hint="eastAsia"/>
                <w:sz w:val="24"/>
                <w:szCs w:val="24"/>
              </w:rPr>
              <w:t>平时成绩的</w:t>
            </w:r>
            <w:r>
              <w:rPr>
                <w:rFonts w:ascii="Times New Roman" w:hAnsi="Times New Roman"/>
                <w:sz w:val="24"/>
                <w:szCs w:val="24"/>
              </w:rPr>
              <w:t>30%</w:t>
            </w:r>
            <w:r>
              <w:rPr>
                <w:rFonts w:ascii="Times New Roman" w:hAnsi="Times New Roman"/>
                <w:sz w:val="24"/>
                <w:szCs w:val="24"/>
              </w:rPr>
              <w:t>；课后作业布置</w:t>
            </w:r>
            <w:r>
              <w:rPr>
                <w:rFonts w:ascii="Times New Roman" w:hAnsi="Times New Roman"/>
                <w:sz w:val="24"/>
                <w:szCs w:val="24"/>
              </w:rPr>
              <w:t>6</w:t>
            </w:r>
            <w:r>
              <w:rPr>
                <w:rFonts w:ascii="Times New Roman" w:hAnsi="Times New Roman"/>
                <w:sz w:val="24"/>
                <w:szCs w:val="24"/>
              </w:rPr>
              <w:t>次；通过课后作业考核学生对</w:t>
            </w:r>
            <w:r>
              <w:rPr>
                <w:rFonts w:ascii="Times New Roman" w:hAnsi="Times New Roman" w:hint="eastAsia"/>
                <w:sz w:val="24"/>
                <w:szCs w:val="24"/>
              </w:rPr>
              <w:t>浅基础</w:t>
            </w:r>
            <w:r>
              <w:rPr>
                <w:rFonts w:ascii="Times New Roman" w:hAnsi="Times New Roman"/>
                <w:sz w:val="24"/>
                <w:szCs w:val="24"/>
              </w:rPr>
              <w:t>、</w:t>
            </w:r>
            <w:r>
              <w:rPr>
                <w:rFonts w:ascii="Times New Roman" w:hAnsi="Times New Roman" w:hint="eastAsia"/>
                <w:sz w:val="24"/>
                <w:szCs w:val="24"/>
              </w:rPr>
              <w:t>连续基础</w:t>
            </w:r>
            <w:r>
              <w:rPr>
                <w:rFonts w:ascii="Times New Roman" w:hAnsi="Times New Roman"/>
                <w:sz w:val="24"/>
                <w:szCs w:val="24"/>
              </w:rPr>
              <w:t>、</w:t>
            </w:r>
            <w:r>
              <w:rPr>
                <w:rFonts w:ascii="Times New Roman" w:hAnsi="Times New Roman" w:hint="eastAsia"/>
                <w:sz w:val="24"/>
                <w:szCs w:val="24"/>
              </w:rPr>
              <w:t>桩基础得基本概念和</w:t>
            </w:r>
            <w:r>
              <w:rPr>
                <w:rFonts w:ascii="Times New Roman" w:hAnsi="Times New Roman"/>
                <w:sz w:val="24"/>
                <w:szCs w:val="24"/>
              </w:rPr>
              <w:t>计算</w:t>
            </w:r>
            <w:r>
              <w:rPr>
                <w:rFonts w:ascii="Times New Roman" w:hAnsi="Times New Roman" w:hint="eastAsia"/>
                <w:sz w:val="24"/>
                <w:szCs w:val="24"/>
              </w:rPr>
              <w:t>能力</w:t>
            </w:r>
            <w:r>
              <w:rPr>
                <w:rFonts w:ascii="Times New Roman" w:hAnsi="Times New Roman"/>
                <w:sz w:val="24"/>
                <w:szCs w:val="24"/>
              </w:rPr>
              <w:t>的掌握情况，</w:t>
            </w:r>
            <w:r>
              <w:rPr>
                <w:rFonts w:ascii="Times New Roman" w:hAnsi="Times New Roman" w:hint="eastAsia"/>
                <w:sz w:val="24"/>
                <w:szCs w:val="24"/>
              </w:rPr>
              <w:t>同时也通过作业来考查学生运用所学知识来解决实际</w:t>
            </w:r>
            <w:r>
              <w:rPr>
                <w:rFonts w:ascii="Times New Roman" w:hAnsi="Times New Roman"/>
                <w:sz w:val="24"/>
                <w:szCs w:val="24"/>
              </w:rPr>
              <w:t>工程问题的能力，占</w:t>
            </w:r>
            <w:r>
              <w:rPr>
                <w:rFonts w:ascii="Times New Roman" w:hAnsi="Times New Roman" w:hint="eastAsia"/>
                <w:sz w:val="24"/>
                <w:szCs w:val="24"/>
              </w:rPr>
              <w:t>平时成绩的</w:t>
            </w:r>
            <w:r>
              <w:rPr>
                <w:rFonts w:ascii="Times New Roman" w:hAnsi="Times New Roman"/>
                <w:sz w:val="24"/>
                <w:szCs w:val="24"/>
              </w:rPr>
              <w:t>70%</w:t>
            </w:r>
            <w:r>
              <w:rPr>
                <w:rFonts w:ascii="Times New Roman" w:hAnsi="Times New Roman"/>
                <w:sz w:val="24"/>
                <w:szCs w:val="24"/>
              </w:rPr>
              <w:t>。</w:t>
            </w:r>
          </w:p>
        </w:tc>
        <w:tc>
          <w:tcPr>
            <w:tcW w:w="1005" w:type="pct"/>
            <w:tcBorders>
              <w:top w:val="single" w:sz="4" w:space="0" w:color="auto"/>
              <w:left w:val="single" w:sz="4" w:space="0" w:color="auto"/>
              <w:right w:val="single" w:sz="4" w:space="0" w:color="auto"/>
            </w:tcBorders>
            <w:vAlign w:val="center"/>
          </w:tcPr>
          <w:p w:rsidR="00F53A8C" w:rsidRDefault="00F53A8C" w:rsidP="00843889">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F53A8C" w:rsidRDefault="00F53A8C" w:rsidP="00843889">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p>
          <w:p w:rsidR="00F53A8C" w:rsidRDefault="00F53A8C" w:rsidP="00843889">
            <w:pPr>
              <w:jc w:val="center"/>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w:t>
            </w:r>
          </w:p>
        </w:tc>
      </w:tr>
      <w:tr w:rsidR="00F53A8C" w:rsidTr="00843889">
        <w:trPr>
          <w:trHeight w:val="900"/>
          <w:jc w:val="center"/>
        </w:trPr>
        <w:tc>
          <w:tcPr>
            <w:tcW w:w="1200" w:type="pct"/>
            <w:tcBorders>
              <w:top w:val="single" w:sz="4" w:space="0" w:color="auto"/>
              <w:left w:val="single" w:sz="4" w:space="0" w:color="auto"/>
              <w:bottom w:val="single" w:sz="4" w:space="0" w:color="auto"/>
              <w:right w:val="single" w:sz="4" w:space="0" w:color="auto"/>
            </w:tcBorders>
            <w:vAlign w:val="center"/>
          </w:tcPr>
          <w:p w:rsidR="00F53A8C" w:rsidRDefault="00F53A8C" w:rsidP="00843889">
            <w:pPr>
              <w:jc w:val="center"/>
              <w:rPr>
                <w:rFonts w:ascii="Times New Roman" w:hAnsi="Times New Roman"/>
                <w:sz w:val="24"/>
                <w:szCs w:val="24"/>
              </w:rPr>
            </w:pPr>
            <w:r>
              <w:rPr>
                <w:rFonts w:ascii="Times New Roman" w:hAnsi="Times New Roman"/>
                <w:sz w:val="24"/>
                <w:szCs w:val="24"/>
              </w:rPr>
              <w:t>期终考试</w:t>
            </w:r>
          </w:p>
          <w:p w:rsidR="00F53A8C" w:rsidRDefault="00F53A8C" w:rsidP="00843889">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80%</w:t>
            </w:r>
            <w:r>
              <w:rPr>
                <w:rFonts w:ascii="Times New Roman" w:hAnsi="Times New Roman"/>
                <w:sz w:val="24"/>
                <w:szCs w:val="24"/>
              </w:rPr>
              <w:t>）</w:t>
            </w:r>
          </w:p>
        </w:tc>
        <w:tc>
          <w:tcPr>
            <w:tcW w:w="2795" w:type="pct"/>
            <w:tcBorders>
              <w:top w:val="single" w:sz="4" w:space="0" w:color="auto"/>
              <w:left w:val="single" w:sz="4" w:space="0" w:color="auto"/>
              <w:right w:val="single" w:sz="4" w:space="0" w:color="auto"/>
            </w:tcBorders>
            <w:vAlign w:val="center"/>
          </w:tcPr>
          <w:p w:rsidR="00F53A8C" w:rsidRDefault="00F53A8C" w:rsidP="00843889">
            <w:pPr>
              <w:rPr>
                <w:rFonts w:ascii="Times New Roman" w:hAnsi="Times New Roman"/>
                <w:sz w:val="24"/>
                <w:szCs w:val="24"/>
              </w:rPr>
            </w:pPr>
            <w:r>
              <w:rPr>
                <w:rFonts w:ascii="Times New Roman" w:hAnsi="Times New Roman"/>
                <w:sz w:val="24"/>
                <w:szCs w:val="24"/>
              </w:rPr>
              <w:t>期末考试采用闭卷形式。考试范围基本涵盖所有讲授内容，考试内容主要反映学生对本课程计算和分析问题方法等理解和掌握的程度，以及综合运用的能力。</w:t>
            </w:r>
          </w:p>
        </w:tc>
        <w:tc>
          <w:tcPr>
            <w:tcW w:w="1005" w:type="pct"/>
            <w:tcBorders>
              <w:top w:val="single" w:sz="4" w:space="0" w:color="auto"/>
              <w:left w:val="single" w:sz="4" w:space="0" w:color="auto"/>
              <w:right w:val="single" w:sz="4" w:space="0" w:color="auto"/>
            </w:tcBorders>
            <w:vAlign w:val="center"/>
          </w:tcPr>
          <w:p w:rsidR="00F53A8C" w:rsidRDefault="00F53A8C" w:rsidP="00843889">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p>
          <w:p w:rsidR="00F53A8C" w:rsidRDefault="00F53A8C" w:rsidP="00843889">
            <w:pPr>
              <w:jc w:val="center"/>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w:t>
            </w:r>
          </w:p>
          <w:p w:rsidR="00F53A8C" w:rsidRDefault="00F53A8C" w:rsidP="00843889">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p>
        </w:tc>
      </w:tr>
    </w:tbl>
    <w:p w:rsidR="00F53A8C" w:rsidRDefault="00F53A8C" w:rsidP="00F53A8C">
      <w:pPr>
        <w:spacing w:line="360" w:lineRule="auto"/>
        <w:ind w:firstLineChars="200" w:firstLine="560"/>
        <w:rPr>
          <w:rFonts w:ascii="仿宋_GB2312" w:hAnsi="仿宋" w:cs="宋体"/>
          <w:color w:val="000000"/>
          <w:sz w:val="28"/>
          <w:szCs w:val="28"/>
        </w:rPr>
      </w:pPr>
      <w:r>
        <w:rPr>
          <w:rFonts w:ascii="仿宋_GB2312" w:hAnsi="仿宋" w:cs="宋体" w:hint="eastAsia"/>
          <w:color w:val="000000"/>
          <w:sz w:val="28"/>
          <w:szCs w:val="28"/>
        </w:rPr>
        <w:t>3.</w:t>
      </w:r>
      <w:r>
        <w:rPr>
          <w:rFonts w:ascii="仿宋_GB2312" w:hAnsi="仿宋" w:cs="宋体"/>
          <w:color w:val="000000"/>
          <w:sz w:val="28"/>
          <w:szCs w:val="28"/>
        </w:rPr>
        <w:t>课程目标达成度自评方式</w:t>
      </w:r>
    </w:p>
    <w:p w:rsidR="00F53A8C" w:rsidRDefault="00F53A8C" w:rsidP="00F53A8C">
      <w:pPr>
        <w:spacing w:line="360" w:lineRule="auto"/>
        <w:ind w:firstLineChars="200" w:firstLine="560"/>
        <w:rPr>
          <w:rFonts w:ascii="仿宋_GB2312" w:hAnsi="仿宋" w:cs="宋体"/>
          <w:color w:val="000000"/>
          <w:sz w:val="28"/>
          <w:szCs w:val="28"/>
        </w:rPr>
      </w:pPr>
      <w:r>
        <w:rPr>
          <w:rFonts w:ascii="仿宋_GB2312" w:hAnsi="仿宋" w:cs="宋体"/>
          <w:color w:val="000000"/>
          <w:sz w:val="28"/>
          <w:szCs w:val="28"/>
        </w:rPr>
        <w:t>据学院教学管理规定，在开展课程达成度评价前，课程评价审核小组对课程的评价依据合理性进行确认，包括平时作业</w:t>
      </w:r>
      <w:r>
        <w:rPr>
          <w:rFonts w:ascii="仿宋_GB2312" w:hAnsi="仿宋" w:cs="宋体" w:hint="eastAsia"/>
          <w:color w:val="000000"/>
          <w:sz w:val="28"/>
          <w:szCs w:val="28"/>
        </w:rPr>
        <w:t>和</w:t>
      </w:r>
      <w:r>
        <w:rPr>
          <w:rFonts w:ascii="仿宋_GB2312" w:hAnsi="仿宋" w:cs="宋体"/>
          <w:color w:val="000000"/>
          <w:sz w:val="28"/>
          <w:szCs w:val="28"/>
        </w:rPr>
        <w:t>期终考试等考核环节。课程结束后，课程小组需要对课程进行达成度评价，课程小组由课程负责人和任课教师组成，统计课程考核数据，并填写</w:t>
      </w:r>
      <w:r>
        <w:rPr>
          <w:rFonts w:ascii="仿宋_GB2312" w:hAnsi="仿宋" w:cs="宋体"/>
          <w:color w:val="000000"/>
          <w:sz w:val="28"/>
          <w:szCs w:val="28"/>
        </w:rPr>
        <w:t>“</w:t>
      </w:r>
      <w:r>
        <w:rPr>
          <w:rFonts w:ascii="仿宋_GB2312" w:hAnsi="仿宋" w:cs="宋体"/>
          <w:color w:val="000000"/>
          <w:sz w:val="28"/>
          <w:szCs w:val="28"/>
        </w:rPr>
        <w:t>《</w:t>
      </w:r>
      <w:r>
        <w:rPr>
          <w:rFonts w:ascii="仿宋_GB2312" w:hAnsi="仿宋" w:cs="宋体" w:hint="eastAsia"/>
          <w:color w:val="000000"/>
          <w:sz w:val="28"/>
          <w:szCs w:val="28"/>
        </w:rPr>
        <w:t>基础工程</w:t>
      </w:r>
      <w:r>
        <w:rPr>
          <w:rFonts w:ascii="仿宋_GB2312" w:hAnsi="仿宋" w:cs="宋体"/>
          <w:color w:val="000000"/>
          <w:sz w:val="28"/>
          <w:szCs w:val="28"/>
        </w:rPr>
        <w:t>》课程达成情况评价</w:t>
      </w:r>
      <w:r>
        <w:rPr>
          <w:rFonts w:ascii="仿宋_GB2312" w:hAnsi="仿宋" w:cs="宋体"/>
          <w:color w:val="000000"/>
          <w:sz w:val="28"/>
          <w:szCs w:val="28"/>
        </w:rPr>
        <w:t>”</w:t>
      </w:r>
      <w:r>
        <w:rPr>
          <w:rFonts w:ascii="仿宋_GB2312" w:hAnsi="仿宋" w:cs="宋体"/>
          <w:color w:val="000000"/>
          <w:sz w:val="28"/>
          <w:szCs w:val="28"/>
        </w:rPr>
        <w:t>报告，以便及时了解课程的达成效果，发现问题并进行持续改进，同时也为毕业要求达成度的评价提供基础数据。</w:t>
      </w:r>
    </w:p>
    <w:p w:rsidR="00F53A8C" w:rsidRDefault="00F53A8C" w:rsidP="00F53A8C">
      <w:pPr>
        <w:spacing w:line="360" w:lineRule="auto"/>
        <w:ind w:firstLineChars="200" w:firstLine="560"/>
        <w:rPr>
          <w:rFonts w:ascii="仿宋_GB2312" w:hAnsi="仿宋" w:cs="宋体"/>
          <w:color w:val="000000"/>
          <w:sz w:val="28"/>
          <w:szCs w:val="28"/>
        </w:rPr>
      </w:pPr>
      <w:r>
        <w:rPr>
          <w:rFonts w:ascii="仿宋_GB2312" w:hAnsi="仿宋" w:cs="宋体"/>
          <w:color w:val="000000"/>
          <w:sz w:val="28"/>
          <w:szCs w:val="28"/>
        </w:rPr>
        <w:t>根据课程的考核形式，全部或抽样部分考核资料（应以当年修读该课程的学生为总体，至少抽取90%以上的学生样本），抽样时需覆盖优、良、中、及格和不及格等考核等级的考核资料。课程达成度的具体评价方法，详见</w:t>
      </w:r>
      <w:r>
        <w:rPr>
          <w:rFonts w:ascii="仿宋_GB2312" w:hAnsi="仿宋" w:cs="宋体"/>
          <w:color w:val="000000"/>
          <w:sz w:val="28"/>
          <w:szCs w:val="28"/>
        </w:rPr>
        <w:t>“</w:t>
      </w:r>
      <w:r>
        <w:rPr>
          <w:rFonts w:ascii="仿宋_GB2312" w:hAnsi="仿宋" w:cs="宋体"/>
          <w:color w:val="000000"/>
          <w:sz w:val="28"/>
          <w:szCs w:val="28"/>
        </w:rPr>
        <w:t>《</w:t>
      </w:r>
      <w:r>
        <w:rPr>
          <w:rFonts w:ascii="仿宋_GB2312" w:hAnsi="仿宋" w:cs="宋体" w:hint="eastAsia"/>
          <w:color w:val="000000"/>
          <w:sz w:val="28"/>
          <w:szCs w:val="28"/>
        </w:rPr>
        <w:t>基础工程</w:t>
      </w:r>
      <w:r>
        <w:rPr>
          <w:rFonts w:ascii="仿宋_GB2312" w:hAnsi="仿宋" w:cs="宋体"/>
          <w:color w:val="000000"/>
          <w:sz w:val="28"/>
          <w:szCs w:val="28"/>
        </w:rPr>
        <w:t>》课程达成情况评价</w:t>
      </w:r>
      <w:r>
        <w:rPr>
          <w:rFonts w:ascii="仿宋_GB2312" w:hAnsi="仿宋" w:cs="宋体"/>
          <w:color w:val="000000"/>
          <w:sz w:val="28"/>
          <w:szCs w:val="28"/>
        </w:rPr>
        <w:t>”</w:t>
      </w:r>
      <w:r>
        <w:rPr>
          <w:rFonts w:ascii="仿宋_GB2312" w:hAnsi="仿宋" w:cs="宋体"/>
          <w:color w:val="000000"/>
          <w:sz w:val="28"/>
          <w:szCs w:val="28"/>
        </w:rPr>
        <w:t>报告。课程小</w:t>
      </w:r>
      <w:r>
        <w:rPr>
          <w:rFonts w:ascii="仿宋_GB2312" w:hAnsi="仿宋" w:cs="宋体"/>
          <w:color w:val="000000"/>
          <w:sz w:val="28"/>
          <w:szCs w:val="28"/>
        </w:rPr>
        <w:lastRenderedPageBreak/>
        <w:t>组提交课程达成度评价数据后，课程评价审核小组对评价数据的合理性和有效性进行审核。</w:t>
      </w:r>
    </w:p>
    <w:p w:rsidR="00F53A8C" w:rsidRDefault="00F53A8C" w:rsidP="00F53A8C">
      <w:pPr>
        <w:spacing w:beforeLines="50" w:before="156" w:afterLines="50" w:after="156" w:line="360" w:lineRule="auto"/>
        <w:rPr>
          <w:rFonts w:ascii="黑体" w:eastAsia="黑体" w:hAnsi="黑体"/>
          <w:b/>
          <w:sz w:val="28"/>
          <w:szCs w:val="28"/>
        </w:rPr>
      </w:pPr>
      <w:r>
        <w:rPr>
          <w:rFonts w:ascii="黑体" w:eastAsia="黑体" w:hAnsi="黑体" w:hint="eastAsia"/>
          <w:b/>
          <w:sz w:val="28"/>
          <w:szCs w:val="28"/>
        </w:rPr>
        <w:t>六、课程建议教材及主要参考资料</w:t>
      </w:r>
    </w:p>
    <w:p w:rsidR="00F53A8C" w:rsidRDefault="00F53A8C" w:rsidP="00F53A8C">
      <w:pPr>
        <w:spacing w:beforeLines="50" w:before="156" w:afterLines="50" w:after="156" w:line="460" w:lineRule="exact"/>
        <w:ind w:firstLineChars="101" w:firstLine="284"/>
        <w:rPr>
          <w:rFonts w:ascii="仿宋_GB2312" w:hAnsi="仿宋"/>
          <w:b/>
          <w:sz w:val="28"/>
          <w:szCs w:val="28"/>
        </w:rPr>
      </w:pPr>
      <w:r>
        <w:rPr>
          <w:rFonts w:ascii="仿宋_GB2312" w:hAnsi="仿宋" w:hint="eastAsia"/>
          <w:b/>
          <w:sz w:val="28"/>
          <w:szCs w:val="28"/>
        </w:rPr>
        <w:t>1.建议教材</w:t>
      </w:r>
    </w:p>
    <w:p w:rsidR="00F53A8C" w:rsidRDefault="00F53A8C" w:rsidP="00F53A8C">
      <w:pPr>
        <w:spacing w:line="400" w:lineRule="exact"/>
        <w:ind w:firstLineChars="200" w:firstLine="560"/>
        <w:rPr>
          <w:rFonts w:ascii="仿宋_GB2312" w:hAnsi="仿宋"/>
          <w:sz w:val="28"/>
          <w:szCs w:val="28"/>
        </w:rPr>
      </w:pPr>
      <w:r>
        <w:rPr>
          <w:rFonts w:ascii="仿宋_GB2312" w:hAnsi="仿宋" w:hint="eastAsia"/>
          <w:sz w:val="28"/>
          <w:szCs w:val="28"/>
        </w:rPr>
        <w:t>《基础工程》，华南理工大学、浙江大学、湖南大学合编，中国建筑工业出版社，第四版，2019 年。</w:t>
      </w:r>
    </w:p>
    <w:p w:rsidR="00F53A8C" w:rsidRDefault="00F53A8C" w:rsidP="00F53A8C">
      <w:pPr>
        <w:spacing w:beforeLines="50" w:before="156" w:afterLines="50" w:after="156" w:line="460" w:lineRule="exact"/>
        <w:ind w:firstLineChars="101" w:firstLine="284"/>
        <w:rPr>
          <w:rFonts w:ascii="仿宋_GB2312" w:hAnsi="仿宋"/>
          <w:b/>
          <w:sz w:val="28"/>
          <w:szCs w:val="28"/>
        </w:rPr>
      </w:pPr>
      <w:r>
        <w:rPr>
          <w:rFonts w:ascii="仿宋_GB2312" w:hAnsi="仿宋" w:hint="eastAsia"/>
          <w:b/>
          <w:sz w:val="28"/>
          <w:szCs w:val="28"/>
        </w:rPr>
        <w:t>2.主要参考资料</w:t>
      </w:r>
    </w:p>
    <w:p w:rsidR="00F53A8C" w:rsidRDefault="00F53A8C" w:rsidP="00F53A8C">
      <w:pPr>
        <w:spacing w:line="400" w:lineRule="exact"/>
        <w:ind w:firstLineChars="200" w:firstLine="560"/>
        <w:rPr>
          <w:rFonts w:ascii="仿宋_GB2312" w:hAnsi="仿宋"/>
          <w:sz w:val="28"/>
          <w:szCs w:val="28"/>
        </w:rPr>
      </w:pPr>
      <w:r>
        <w:rPr>
          <w:rFonts w:ascii="仿宋_GB2312" w:hAnsi="仿宋" w:hint="eastAsia"/>
          <w:sz w:val="28"/>
          <w:szCs w:val="28"/>
        </w:rPr>
        <w:t>（1）《土力学与基础工程》，赵明华主编，武汉理工大学出版社（第四版），2014年；</w:t>
      </w:r>
    </w:p>
    <w:p w:rsidR="00F53A8C" w:rsidRDefault="00F53A8C" w:rsidP="00F53A8C">
      <w:pPr>
        <w:spacing w:line="400" w:lineRule="exact"/>
        <w:ind w:firstLineChars="200" w:firstLine="560"/>
        <w:rPr>
          <w:rFonts w:ascii="仿宋_GB2312" w:hAnsi="仿宋"/>
          <w:sz w:val="28"/>
          <w:szCs w:val="28"/>
        </w:rPr>
      </w:pPr>
      <w:r>
        <w:rPr>
          <w:rFonts w:ascii="仿宋_GB2312" w:hAnsi="仿宋" w:hint="eastAsia"/>
          <w:sz w:val="28"/>
          <w:szCs w:val="28"/>
        </w:rPr>
        <w:t>（2）《基础工程学》，陈仲颐主编，中国建筑工业出版社，1991年；</w:t>
      </w:r>
    </w:p>
    <w:p w:rsidR="00F53A8C" w:rsidRDefault="00F53A8C" w:rsidP="00F53A8C">
      <w:pPr>
        <w:spacing w:line="400" w:lineRule="exact"/>
        <w:ind w:firstLineChars="200" w:firstLine="560"/>
        <w:rPr>
          <w:rFonts w:ascii="仿宋_GB2312" w:hAnsi="仿宋"/>
          <w:sz w:val="28"/>
          <w:szCs w:val="28"/>
        </w:rPr>
      </w:pPr>
      <w:r>
        <w:rPr>
          <w:rFonts w:ascii="仿宋_GB2312" w:hAnsi="仿宋" w:hint="eastAsia"/>
          <w:sz w:val="28"/>
          <w:szCs w:val="28"/>
        </w:rPr>
        <w:t>（3）《建筑地基基础设计规范》(GB50007-2011)，中国建筑工业出版社 2011年；</w:t>
      </w:r>
    </w:p>
    <w:p w:rsidR="00F53A8C" w:rsidRDefault="00F53A8C" w:rsidP="00F53A8C">
      <w:pPr>
        <w:spacing w:line="400" w:lineRule="exact"/>
        <w:ind w:firstLineChars="200" w:firstLine="560"/>
        <w:rPr>
          <w:rFonts w:ascii="仿宋_GB2312" w:hAnsi="仿宋"/>
          <w:sz w:val="28"/>
          <w:szCs w:val="28"/>
        </w:rPr>
      </w:pPr>
      <w:r>
        <w:rPr>
          <w:rFonts w:ascii="仿宋_GB2312" w:hAnsi="仿宋" w:hint="eastAsia"/>
          <w:sz w:val="28"/>
          <w:szCs w:val="28"/>
        </w:rPr>
        <w:t>（4）《建筑桩基技术规范》 (JGJ 94-2008)，中国建筑工业出版社，2008年；</w:t>
      </w:r>
    </w:p>
    <w:p w:rsidR="00F53A8C" w:rsidRDefault="00F53A8C" w:rsidP="00F53A8C">
      <w:pPr>
        <w:spacing w:line="400" w:lineRule="exact"/>
        <w:ind w:firstLineChars="200" w:firstLine="560"/>
        <w:rPr>
          <w:rFonts w:ascii="仿宋_GB2312" w:hAnsi="仿宋"/>
          <w:sz w:val="28"/>
          <w:szCs w:val="28"/>
        </w:rPr>
      </w:pPr>
      <w:r>
        <w:rPr>
          <w:rFonts w:ascii="仿宋_GB2312" w:hAnsi="仿宋" w:hint="eastAsia"/>
          <w:sz w:val="28"/>
          <w:szCs w:val="28"/>
        </w:rPr>
        <w:t>（5）《建筑地基处理技术规范》JGJ79—2012，中国建筑工业出版社，2012年；</w:t>
      </w:r>
    </w:p>
    <w:p w:rsidR="00F53A8C" w:rsidRDefault="00F53A8C" w:rsidP="00F53A8C">
      <w:pPr>
        <w:spacing w:line="400" w:lineRule="exact"/>
        <w:ind w:firstLineChars="200" w:firstLine="560"/>
        <w:rPr>
          <w:rFonts w:ascii="仿宋_GB2312" w:hAnsi="仿宋"/>
          <w:sz w:val="28"/>
          <w:szCs w:val="28"/>
        </w:rPr>
      </w:pPr>
      <w:r>
        <w:rPr>
          <w:rFonts w:ascii="仿宋_GB2312" w:hAnsi="仿宋" w:hint="eastAsia"/>
          <w:sz w:val="28"/>
          <w:szCs w:val="28"/>
        </w:rPr>
        <w:t>（6）《复合地基技术规范》GB/T 50783-2012，中国建筑工业出版社，2012年。</w:t>
      </w:r>
    </w:p>
    <w:p w:rsidR="00F53A8C" w:rsidRDefault="00F53A8C" w:rsidP="00F53A8C">
      <w:pPr>
        <w:spacing w:beforeLines="50" w:before="156" w:afterLines="50" w:after="156" w:line="360" w:lineRule="auto"/>
        <w:rPr>
          <w:rFonts w:ascii="黑体" w:eastAsia="黑体" w:hAnsi="黑体"/>
          <w:b/>
          <w:sz w:val="28"/>
          <w:szCs w:val="28"/>
        </w:rPr>
      </w:pPr>
      <w:r>
        <w:rPr>
          <w:rFonts w:ascii="黑体" w:eastAsia="黑体" w:hAnsi="黑体" w:hint="eastAsia"/>
          <w:b/>
          <w:sz w:val="28"/>
          <w:szCs w:val="28"/>
        </w:rPr>
        <w:t>七、</w:t>
      </w:r>
      <w:r>
        <w:rPr>
          <w:rFonts w:ascii="黑体" w:eastAsia="黑体" w:hAnsi="黑体"/>
          <w:b/>
          <w:sz w:val="28"/>
          <w:szCs w:val="28"/>
        </w:rPr>
        <w:t>执行大纲应注意的问题</w:t>
      </w:r>
    </w:p>
    <w:p w:rsidR="00F53A8C" w:rsidRDefault="00F53A8C" w:rsidP="00F53A8C">
      <w:pPr>
        <w:spacing w:line="400" w:lineRule="exact"/>
        <w:ind w:firstLineChars="200" w:firstLine="560"/>
        <w:rPr>
          <w:rFonts w:ascii="仿宋_GB2312" w:hAnsi="仿宋"/>
          <w:sz w:val="28"/>
          <w:szCs w:val="28"/>
        </w:rPr>
      </w:pPr>
      <w:r>
        <w:rPr>
          <w:rFonts w:ascii="仿宋_GB2312" w:hAnsi="仿宋"/>
          <w:sz w:val="28"/>
          <w:szCs w:val="28"/>
        </w:rPr>
        <w:t>1、教学中应注重基本知识、基本理论和基本方法的讲授，注意精讲多练。</w:t>
      </w:r>
    </w:p>
    <w:p w:rsidR="00F53A8C" w:rsidRDefault="00F53A8C" w:rsidP="00F53A8C">
      <w:pPr>
        <w:spacing w:line="400" w:lineRule="exact"/>
        <w:ind w:firstLineChars="200" w:firstLine="560"/>
        <w:rPr>
          <w:rFonts w:ascii="仿宋_GB2312" w:hAnsi="仿宋"/>
          <w:sz w:val="28"/>
          <w:szCs w:val="28"/>
        </w:rPr>
      </w:pPr>
      <w:r>
        <w:rPr>
          <w:rFonts w:ascii="仿宋_GB2312" w:hAnsi="仿宋"/>
          <w:sz w:val="28"/>
          <w:szCs w:val="28"/>
        </w:rPr>
        <w:t>2、做好实验，重视学生实践能力的培养。要求学生亲自动手进行实验，并认真完成实验指导书上规定的内容。</w:t>
      </w:r>
    </w:p>
    <w:p w:rsidR="00F53A8C" w:rsidRDefault="00F53A8C" w:rsidP="00F53A8C">
      <w:pPr>
        <w:spacing w:line="400" w:lineRule="exact"/>
        <w:ind w:firstLineChars="200" w:firstLine="560"/>
        <w:rPr>
          <w:rFonts w:ascii="仿宋_GB2312" w:hAnsi="仿宋"/>
          <w:sz w:val="28"/>
          <w:szCs w:val="28"/>
        </w:rPr>
      </w:pPr>
      <w:r>
        <w:rPr>
          <w:rFonts w:ascii="仿宋_GB2312" w:hAnsi="仿宋"/>
          <w:sz w:val="28"/>
          <w:szCs w:val="28"/>
        </w:rPr>
        <w:t>3、教学内容的顺序及其安排仅供参考，教师可根据情况作适当调整。</w:t>
      </w:r>
    </w:p>
    <w:p w:rsidR="00F53A8C" w:rsidRDefault="00F53A8C" w:rsidP="00F53A8C">
      <w:pPr>
        <w:spacing w:beforeLines="50" w:before="156" w:afterLines="50" w:after="156" w:line="460" w:lineRule="exact"/>
        <w:rPr>
          <w:rFonts w:ascii="黑体" w:eastAsia="黑体" w:hAnsi="黑体"/>
          <w:b/>
          <w:sz w:val="28"/>
          <w:szCs w:val="28"/>
        </w:rPr>
      </w:pPr>
    </w:p>
    <w:p w:rsidR="00F53A8C" w:rsidRDefault="00F53A8C" w:rsidP="00F53A8C">
      <w:pPr>
        <w:ind w:firstLineChars="1200" w:firstLine="3360"/>
        <w:rPr>
          <w:rFonts w:ascii="仿宋_GB2312" w:hAnsi="仿宋"/>
          <w:sz w:val="28"/>
          <w:szCs w:val="28"/>
        </w:rPr>
      </w:pPr>
      <w:r>
        <w:rPr>
          <w:rFonts w:ascii="仿宋_GB2312" w:hAnsi="仿宋" w:hint="eastAsia"/>
          <w:sz w:val="28"/>
          <w:szCs w:val="28"/>
        </w:rPr>
        <w:t>大纲撰写人：孔德泉</w:t>
      </w:r>
    </w:p>
    <w:p w:rsidR="00F53A8C" w:rsidRDefault="00F53A8C" w:rsidP="00F53A8C">
      <w:pPr>
        <w:ind w:firstLineChars="1200" w:firstLine="3360"/>
        <w:rPr>
          <w:rFonts w:ascii="仿宋_GB2312" w:hAnsi="仿宋"/>
          <w:sz w:val="28"/>
          <w:szCs w:val="28"/>
        </w:rPr>
      </w:pPr>
      <w:r>
        <w:rPr>
          <w:rFonts w:ascii="仿宋_GB2312" w:hAnsi="仿宋" w:hint="eastAsia"/>
          <w:sz w:val="28"/>
          <w:szCs w:val="28"/>
        </w:rPr>
        <w:lastRenderedPageBreak/>
        <w:t>课程负责人：</w:t>
      </w:r>
    </w:p>
    <w:p w:rsidR="00F53A8C" w:rsidRDefault="00F53A8C" w:rsidP="00EE2D67">
      <w:pPr>
        <w:ind w:firstLineChars="1200" w:firstLine="3360"/>
        <w:rPr>
          <w:rFonts w:ascii="仿宋_GB2312" w:hAnsi="仿宋"/>
          <w:sz w:val="28"/>
          <w:szCs w:val="28"/>
        </w:rPr>
      </w:pPr>
      <w:r>
        <w:rPr>
          <w:rFonts w:ascii="仿宋_GB2312" w:hAnsi="仿宋" w:hint="eastAsia"/>
          <w:sz w:val="28"/>
          <w:szCs w:val="28"/>
        </w:rPr>
        <w:t>审核人：</w:t>
      </w:r>
      <w:r>
        <w:rPr>
          <w:rFonts w:ascii="仿宋_GB2312" w:hAnsi="微软雅黑" w:hint="eastAsia"/>
          <w:sz w:val="28"/>
          <w:szCs w:val="28"/>
        </w:rPr>
        <w:t xml:space="preserve"> </w:t>
      </w:r>
    </w:p>
    <w:p w:rsidR="00F53A8C" w:rsidRDefault="00F53A8C" w:rsidP="00F53A8C">
      <w:pPr>
        <w:spacing w:line="360" w:lineRule="auto"/>
        <w:jc w:val="left"/>
        <w:rPr>
          <w:rFonts w:ascii="仿宋_GB2312" w:hAnsi="仿宋"/>
          <w:sz w:val="28"/>
          <w:szCs w:val="28"/>
        </w:rPr>
      </w:pPr>
      <w:r>
        <w:rPr>
          <w:rFonts w:ascii="仿宋_GB2312" w:hAnsi="仿宋" w:hint="eastAsia"/>
          <w:sz w:val="28"/>
          <w:szCs w:val="28"/>
        </w:rPr>
        <w:t xml:space="preserve">                                         2021年</w:t>
      </w:r>
      <w:r>
        <w:rPr>
          <w:rFonts w:ascii="仿宋_GB2312" w:hAnsi="仿宋"/>
          <w:sz w:val="28"/>
          <w:szCs w:val="28"/>
        </w:rPr>
        <w:t>6</w:t>
      </w:r>
      <w:r>
        <w:rPr>
          <w:rFonts w:ascii="仿宋_GB2312" w:hAnsi="仿宋" w:hint="eastAsia"/>
          <w:sz w:val="28"/>
          <w:szCs w:val="28"/>
        </w:rPr>
        <w:t>月</w:t>
      </w:r>
    </w:p>
    <w:p w:rsidR="00F53A8C" w:rsidRDefault="00F53A8C" w:rsidP="00F53A8C"/>
    <w:p w:rsidR="00F53A8C" w:rsidRDefault="00F53A8C"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Default="00EE2D67" w:rsidP="00374D88">
      <w:pPr>
        <w:rPr>
          <w:rFonts w:ascii="Times New Roman" w:hAnsi="Times New Roman"/>
        </w:rPr>
      </w:pPr>
    </w:p>
    <w:p w:rsidR="00EE2D67" w:rsidRPr="00F53A8C" w:rsidRDefault="00EE2D67" w:rsidP="00374D88">
      <w:pPr>
        <w:rPr>
          <w:rFonts w:ascii="Times New Roman" w:hAnsi="Times New Roman"/>
        </w:rPr>
      </w:pPr>
    </w:p>
    <w:p w:rsidR="00F53A8C" w:rsidRDefault="00F53A8C" w:rsidP="00374D88">
      <w:pPr>
        <w:rPr>
          <w:rFonts w:ascii="Times New Roman" w:hAnsi="Times New Roman"/>
        </w:rPr>
      </w:pPr>
    </w:p>
    <w:p w:rsidR="00EE2D67" w:rsidRDefault="00EE2D67" w:rsidP="00EE2D67">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t>《</w:t>
      </w:r>
      <w:r w:rsidRPr="00EE2D67">
        <w:rPr>
          <w:rFonts w:ascii="方正小标宋简体" w:eastAsia="方正小标宋简体" w:hAnsi="宋体"/>
          <w:kern w:val="0"/>
          <w:szCs w:val="32"/>
        </w:rPr>
        <w:t>结构力学</w:t>
      </w:r>
      <w:r>
        <w:rPr>
          <w:rFonts w:ascii="方正小标宋简体" w:eastAsia="方正小标宋简体" w:hAnsi="宋体" w:hint="eastAsia"/>
          <w:kern w:val="0"/>
          <w:szCs w:val="32"/>
        </w:rPr>
        <w:t>》课程教学大纲</w:t>
      </w:r>
    </w:p>
    <w:p w:rsidR="00EE2D67" w:rsidRDefault="00EE2D67" w:rsidP="00EE2D6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EE2D67" w:rsidRPr="00EE2D67" w:rsidRDefault="00EE2D67" w:rsidP="00EE2D67">
      <w:pPr>
        <w:spacing w:line="360" w:lineRule="auto"/>
        <w:rPr>
          <w:rFonts w:ascii="仿宋_GB2312" w:hAnsi="仿宋_GB2312" w:cs="仿宋_GB2312"/>
          <w:bCs/>
          <w:sz w:val="28"/>
          <w:szCs w:val="28"/>
        </w:rPr>
      </w:pPr>
      <w:r>
        <w:rPr>
          <w:rFonts w:ascii="仿宋_GB2312" w:hAnsi="仿宋_GB2312" w:cs="仿宋_GB2312" w:hint="eastAsia"/>
          <w:bCs/>
          <w:sz w:val="28"/>
          <w:szCs w:val="28"/>
        </w:rPr>
        <w:t>英文名称：</w:t>
      </w:r>
      <w:r w:rsidRPr="00EE2D67">
        <w:rPr>
          <w:rFonts w:ascii="仿宋_GB2312" w:hAnsi="仿宋_GB2312" w:cs="仿宋_GB2312"/>
          <w:bCs/>
          <w:sz w:val="28"/>
          <w:szCs w:val="28"/>
        </w:rPr>
        <w:t>Structural Mechanics</w:t>
      </w:r>
    </w:p>
    <w:p w:rsidR="00EE2D67" w:rsidRDefault="00EE2D67" w:rsidP="00EE2D67">
      <w:pPr>
        <w:spacing w:line="360" w:lineRule="auto"/>
        <w:rPr>
          <w:rFonts w:ascii="仿宋_GB2312" w:hAnsi="仿宋_GB2312" w:cs="仿宋_GB2312"/>
          <w:bCs/>
          <w:sz w:val="28"/>
          <w:szCs w:val="28"/>
        </w:rPr>
      </w:pPr>
      <w:r>
        <w:rPr>
          <w:rFonts w:ascii="仿宋_GB2312" w:hAnsi="仿宋_GB2312" w:cs="仿宋_GB2312" w:hint="eastAsia"/>
          <w:bCs/>
          <w:sz w:val="28"/>
          <w:szCs w:val="28"/>
        </w:rPr>
        <w:t>课程编码：</w:t>
      </w:r>
      <w:r w:rsidRPr="00EE2D67">
        <w:rPr>
          <w:rFonts w:ascii="仿宋_GB2312" w:hAnsi="仿宋_GB2312" w:cs="仿宋_GB2312"/>
          <w:bCs/>
          <w:sz w:val="28"/>
          <w:szCs w:val="28"/>
        </w:rPr>
        <w:t>Z2804021</w:t>
      </w:r>
    </w:p>
    <w:p w:rsidR="00EE2D67" w:rsidRDefault="00EE2D67" w:rsidP="00EE2D67">
      <w:pPr>
        <w:spacing w:line="360" w:lineRule="auto"/>
        <w:rPr>
          <w:rFonts w:ascii="仿宋_GB2312" w:hAnsi="仿宋_GB2312" w:cs="仿宋_GB2312"/>
          <w:bCs/>
          <w:sz w:val="28"/>
          <w:szCs w:val="28"/>
        </w:rPr>
      </w:pPr>
      <w:r>
        <w:rPr>
          <w:rFonts w:ascii="仿宋_GB2312" w:hAnsi="仿宋_GB2312" w:cs="仿宋_GB2312" w:hint="eastAsia"/>
          <w:bCs/>
          <w:sz w:val="28"/>
          <w:szCs w:val="28"/>
        </w:rPr>
        <w:t>授课语言：</w:t>
      </w:r>
      <w:r w:rsidR="003F3D2F">
        <w:rPr>
          <w:rFonts w:ascii="仿宋_GB2312" w:hAnsi="仿宋_GB2312" w:cs="仿宋_GB2312" w:hint="eastAsia"/>
          <w:bCs/>
          <w:sz w:val="28"/>
          <w:szCs w:val="28"/>
        </w:rPr>
        <w:t>中文</w:t>
      </w:r>
    </w:p>
    <w:p w:rsidR="00EE2D67" w:rsidRDefault="00EE2D67" w:rsidP="003F3D2F">
      <w:pPr>
        <w:spacing w:line="360" w:lineRule="auto"/>
        <w:ind w:leftChars="19" w:left="61"/>
        <w:rPr>
          <w:rFonts w:ascii="仿宋_GB2312" w:hAnsi="仿宋_GB2312" w:cs="仿宋_GB2312"/>
          <w:bCs/>
          <w:sz w:val="28"/>
          <w:szCs w:val="28"/>
        </w:rPr>
      </w:pPr>
      <w:r>
        <w:rPr>
          <w:rFonts w:ascii="仿宋_GB2312" w:hAnsi="仿宋_GB2312" w:cs="仿宋_GB2312" w:hint="eastAsia"/>
          <w:bCs/>
          <w:sz w:val="28"/>
          <w:szCs w:val="28"/>
        </w:rPr>
        <w:t>授课方式：线下</w:t>
      </w:r>
    </w:p>
    <w:p w:rsidR="00EE2D67" w:rsidRDefault="00EE2D67"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课程类别：专业发展</w:t>
      </w:r>
    </w:p>
    <w:p w:rsidR="00EE2D67" w:rsidRDefault="00EE2D67"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课程性质：必修</w:t>
      </w:r>
      <w:r w:rsidR="003F3D2F">
        <w:rPr>
          <w:rFonts w:ascii="仿宋_GB2312" w:hAnsi="仿宋_GB2312" w:cs="仿宋_GB2312" w:hint="eastAsia"/>
          <w:bCs/>
          <w:sz w:val="28"/>
          <w:szCs w:val="28"/>
        </w:rPr>
        <w:t xml:space="preserve"> </w:t>
      </w:r>
    </w:p>
    <w:p w:rsidR="00EE2D67" w:rsidRDefault="00EE2D67"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学    分：</w:t>
      </w:r>
      <w:r w:rsidR="003F3D2F">
        <w:rPr>
          <w:rFonts w:ascii="仿宋_GB2312" w:hAnsi="仿宋_GB2312" w:cs="仿宋_GB2312"/>
          <w:bCs/>
          <w:sz w:val="28"/>
          <w:szCs w:val="28"/>
        </w:rPr>
        <w:t>3.5</w:t>
      </w:r>
    </w:p>
    <w:p w:rsidR="00EE2D67" w:rsidRDefault="00EE2D67" w:rsidP="003F3D2F">
      <w:pPr>
        <w:spacing w:line="360" w:lineRule="auto"/>
        <w:ind w:leftChars="19" w:left="61"/>
        <w:rPr>
          <w:rFonts w:ascii="仿宋_GB2312" w:hAnsi="仿宋_GB2312" w:cs="仿宋_GB2312"/>
          <w:bCs/>
          <w:sz w:val="28"/>
          <w:szCs w:val="28"/>
        </w:rPr>
      </w:pPr>
      <w:r>
        <w:rPr>
          <w:rFonts w:ascii="仿宋_GB2312" w:hAnsi="仿宋_GB2312" w:cs="仿宋_GB2312" w:hint="eastAsia"/>
          <w:bCs/>
          <w:sz w:val="28"/>
          <w:szCs w:val="28"/>
        </w:rPr>
        <w:t>学    时：</w:t>
      </w:r>
      <w:r w:rsidR="003F3D2F">
        <w:rPr>
          <w:rFonts w:ascii="仿宋_GB2312" w:hAnsi="仿宋_GB2312" w:cs="仿宋_GB2312" w:hint="eastAsia"/>
          <w:bCs/>
          <w:sz w:val="28"/>
          <w:szCs w:val="28"/>
        </w:rPr>
        <w:t xml:space="preserve"> </w:t>
      </w:r>
      <w:r w:rsidR="003F3D2F">
        <w:rPr>
          <w:rFonts w:ascii="仿宋_GB2312" w:hAnsi="仿宋_GB2312" w:cs="仿宋_GB2312"/>
          <w:bCs/>
          <w:sz w:val="28"/>
          <w:szCs w:val="28"/>
        </w:rPr>
        <w:t>56</w:t>
      </w:r>
    </w:p>
    <w:p w:rsidR="00EE2D67" w:rsidRDefault="00EE2D67"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适用对象：</w:t>
      </w:r>
      <w:r w:rsidR="003F3D2F">
        <w:rPr>
          <w:rFonts w:ascii="仿宋_GB2312" w:hAnsi="仿宋_GB2312" w:cs="仿宋_GB2312" w:hint="eastAsia"/>
          <w:bCs/>
          <w:sz w:val="28"/>
          <w:szCs w:val="28"/>
        </w:rPr>
        <w:t>土木专业</w:t>
      </w:r>
    </w:p>
    <w:p w:rsidR="003F3D2F" w:rsidRDefault="00EE2D67"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先修课程：</w:t>
      </w:r>
      <w:r w:rsidR="003F3D2F" w:rsidRPr="003F3D2F">
        <w:rPr>
          <w:rFonts w:ascii="仿宋_GB2312" w:hAnsi="仿宋_GB2312" w:cs="仿宋_GB2312"/>
          <w:bCs/>
          <w:sz w:val="28"/>
          <w:szCs w:val="28"/>
        </w:rPr>
        <w:t>理论力学、材料力学、高等数学、线性代数</w:t>
      </w:r>
    </w:p>
    <w:p w:rsidR="00876C31" w:rsidRPr="00EE2D67" w:rsidRDefault="00EE2D67" w:rsidP="003F3D2F">
      <w:pPr>
        <w:spacing w:line="360" w:lineRule="auto"/>
        <w:rPr>
          <w:rFonts w:eastAsia="黑体"/>
          <w:b/>
          <w:sz w:val="30"/>
          <w:szCs w:val="30"/>
        </w:rPr>
      </w:pPr>
      <w:r>
        <w:rPr>
          <w:rFonts w:ascii="仿宋_GB2312" w:hAnsi="仿宋_GB2312" w:cs="仿宋_GB2312" w:hint="eastAsia"/>
          <w:bCs/>
          <w:sz w:val="28"/>
          <w:szCs w:val="28"/>
        </w:rPr>
        <w:t>开课院系：</w:t>
      </w:r>
      <w:r w:rsidR="003F3D2F" w:rsidRPr="003F3D2F">
        <w:rPr>
          <w:rFonts w:ascii="仿宋_GB2312" w:hAnsi="仿宋_GB2312" w:cs="仿宋_GB2312"/>
          <w:bCs/>
          <w:sz w:val="28"/>
          <w:szCs w:val="28"/>
        </w:rPr>
        <w:t>建筑工程学院，力学与材料教研室</w:t>
      </w:r>
    </w:p>
    <w:p w:rsidR="003F3D2F" w:rsidRDefault="003F3D2F" w:rsidP="003F3D2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876C31" w:rsidRPr="003F3D2F" w:rsidRDefault="00876C31" w:rsidP="003F3D2F">
      <w:pPr>
        <w:spacing w:line="360" w:lineRule="auto"/>
        <w:rPr>
          <w:rFonts w:ascii="仿宋_GB2312" w:hAnsi="仿宋_GB2312" w:cs="仿宋_GB2312"/>
          <w:bCs/>
          <w:sz w:val="28"/>
          <w:szCs w:val="28"/>
        </w:rPr>
      </w:pPr>
      <w:r w:rsidRPr="003F3D2F">
        <w:rPr>
          <w:rFonts w:ascii="仿宋_GB2312" w:hAnsi="仿宋_GB2312" w:cs="仿宋_GB2312"/>
          <w:bCs/>
          <w:sz w:val="28"/>
          <w:szCs w:val="28"/>
        </w:rPr>
        <w:t>《结构力学》课程是土木工程专业的专业基础课，属必修课程。通过本课程的学习，在学习理论力学和材料力学等课程的基础上，使学生进一步掌握平面杆件结构分析计算的基本概念、基本原理和基本方法，了解各类结构的受力性能，为学习有关专业课程以及进行结构设计和科学研究打好力学基础，重点培养结构分析与计算等方面的能力。</w:t>
      </w:r>
    </w:p>
    <w:p w:rsidR="003F3D2F" w:rsidRDefault="003F3D2F" w:rsidP="003F3D2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876C31" w:rsidRPr="003F3D2F" w:rsidRDefault="00876C31" w:rsidP="003F3D2F">
      <w:pPr>
        <w:spacing w:line="360" w:lineRule="auto"/>
        <w:rPr>
          <w:rFonts w:ascii="仿宋_GB2312" w:hAnsi="仿宋_GB2312" w:cs="仿宋_GB2312"/>
          <w:b/>
          <w:bCs/>
          <w:sz w:val="28"/>
          <w:szCs w:val="28"/>
        </w:rPr>
      </w:pPr>
      <w:r w:rsidRPr="003F3D2F">
        <w:rPr>
          <w:rFonts w:ascii="仿宋_GB2312" w:hAnsi="仿宋_GB2312" w:cs="仿宋_GB2312"/>
          <w:b/>
          <w:bCs/>
          <w:sz w:val="28"/>
          <w:szCs w:val="28"/>
        </w:rPr>
        <w:lastRenderedPageBreak/>
        <w:t>（一）教学目标</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学习本课程前，要求学生应具备高等数学、线性代数、普通物理、理论力学、材料力学等先修课程的知识。应有比较扎实的数学基础和应用能力；掌握静力学的基本概念、基本理论以及单根杆件的内力、应力、应变、位移的概念及基本计算方法。</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通过本课程的教学，使学生具备解决土木工程结构受力分析的基本原理和方法，教学目标具体要求如下：</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课程目标1：具备清晰的力学概念，能够正确的计算结果、简练合理的表达。</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课程目标2：运用课程的基本理论和基本方法独立分析、解决问题的能力。</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课程目标3：具备继续自我学习提高、不断更新知识结构及开拓发展的能力。培养学生认真负责的职业精神，增强学生的土木工程师职业责任感，激发学生的家国情怀。</w:t>
      </w:r>
    </w:p>
    <w:p w:rsidR="00876C31" w:rsidRPr="003F3D2F" w:rsidRDefault="00876C31" w:rsidP="003F3D2F">
      <w:pPr>
        <w:spacing w:line="360" w:lineRule="auto"/>
        <w:rPr>
          <w:rFonts w:ascii="仿宋_GB2312" w:hAnsi="仿宋_GB2312" w:cs="仿宋_GB2312"/>
          <w:b/>
          <w:bCs/>
          <w:sz w:val="28"/>
          <w:szCs w:val="28"/>
        </w:rPr>
      </w:pPr>
      <w:r w:rsidRPr="003F3D2F">
        <w:rPr>
          <w:rFonts w:ascii="仿宋_GB2312" w:hAnsi="仿宋_GB2312" w:cs="仿宋_GB2312"/>
          <w:b/>
          <w:bCs/>
          <w:sz w:val="28"/>
          <w:szCs w:val="28"/>
        </w:rPr>
        <w:t>（二）教学目标对毕业要求的支撑矩阵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1446"/>
        <w:gridCol w:w="819"/>
        <w:gridCol w:w="819"/>
        <w:gridCol w:w="819"/>
      </w:tblGrid>
      <w:tr w:rsidR="00876C31" w:rsidRPr="003F3D2F" w:rsidTr="00BE5664">
        <w:trPr>
          <w:trHeight w:val="276"/>
          <w:jc w:val="center"/>
        </w:trPr>
        <w:tc>
          <w:tcPr>
            <w:tcW w:w="3842" w:type="dxa"/>
            <w:gridSpan w:val="2"/>
            <w:vMerge w:val="restar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毕业要求及其指标点</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教学目标</w:t>
            </w:r>
          </w:p>
        </w:tc>
      </w:tr>
      <w:tr w:rsidR="00876C31" w:rsidRPr="003F3D2F" w:rsidTr="00BE5664">
        <w:trPr>
          <w:trHeight w:val="276"/>
          <w:jc w:val="center"/>
        </w:trPr>
        <w:tc>
          <w:tcPr>
            <w:tcW w:w="3842" w:type="dxa"/>
            <w:gridSpan w:val="2"/>
            <w:vMerge/>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（3）</w:t>
            </w:r>
          </w:p>
        </w:tc>
      </w:tr>
      <w:tr w:rsidR="00876C31" w:rsidRPr="003F3D2F" w:rsidTr="00BE5664">
        <w:trPr>
          <w:trHeight w:val="276"/>
          <w:jc w:val="center"/>
        </w:trPr>
        <w:tc>
          <w:tcPr>
            <w:tcW w:w="2396" w:type="dxa"/>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ind w:leftChars="57" w:left="182"/>
              <w:jc w:val="left"/>
              <w:rPr>
                <w:rFonts w:ascii="仿宋_GB2312" w:hAnsi="仿宋_GB2312" w:cs="仿宋_GB2312"/>
                <w:bCs/>
                <w:sz w:val="24"/>
                <w:szCs w:val="24"/>
              </w:rPr>
            </w:pPr>
            <w:r w:rsidRPr="003F3D2F">
              <w:rPr>
                <w:rFonts w:ascii="仿宋_GB2312" w:hAnsi="仿宋_GB2312" w:cs="仿宋_GB2312"/>
                <w:bCs/>
                <w:sz w:val="24"/>
                <w:szCs w:val="24"/>
              </w:rPr>
              <w:t>1. 工程知识应用能力</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p>
        </w:tc>
      </w:tr>
      <w:tr w:rsidR="00876C31" w:rsidRPr="003F3D2F" w:rsidTr="00BE5664">
        <w:trPr>
          <w:trHeight w:val="276"/>
          <w:jc w:val="center"/>
        </w:trPr>
        <w:tc>
          <w:tcPr>
            <w:tcW w:w="2396" w:type="dxa"/>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ind w:leftChars="57" w:left="182"/>
              <w:jc w:val="left"/>
              <w:rPr>
                <w:rFonts w:ascii="仿宋_GB2312" w:hAnsi="仿宋_GB2312" w:cs="仿宋_GB2312"/>
                <w:bCs/>
                <w:sz w:val="24"/>
                <w:szCs w:val="24"/>
              </w:rPr>
            </w:pPr>
            <w:r w:rsidRPr="003F3D2F">
              <w:rPr>
                <w:rFonts w:ascii="仿宋_GB2312" w:hAnsi="仿宋_GB2312" w:cs="仿宋_GB2312"/>
                <w:bCs/>
                <w:sz w:val="24"/>
                <w:szCs w:val="24"/>
              </w:rPr>
              <w:t>2. 问题分析能力</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2.2</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w:t>
            </w:r>
          </w:p>
        </w:tc>
      </w:tr>
    </w:tbl>
    <w:p w:rsidR="003F3D2F" w:rsidRDefault="003F3D2F" w:rsidP="003F3D2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第一章 绪论（2学时）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了解结构力学的学习任务及学习方法；了解结构的计算简图及简化要点；掌握杆系结构的分类及荷载分类。</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（1）结构力学的学习任务及学习方法</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（2）平面杆系结构的计算简图</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（3）平面杆系结构的分类</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（4）荷载分类</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重点：结构的计算简图及简化要点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难点：计算简图的简化要点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通过介绍代表性的实际工程结构，培养学生对专业的热爱。通过对实际结构计算简图的合理简化的教学，使学生理解土木工程专业实际问题分析时需要扎实的理论知识和丰富的实践经验，增强学生学习专业知识的积极性。</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自选实际工程结构，画出计算简图。</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第二章 几何组成分析（4学时）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1、本章基本要求</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掌握几何组成分析的几个概念；理解几何不变体系的基本组成规律；熟练掌握对体系进行几何组成分析的基本方法。</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（1）概述</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（2）体系的自由度</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（3）简单组成规则</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（4）不满足规则的情况</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（5）无限远虚铰的影响</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（6）几何组成与静定性</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重点：几何组成分析的基本概念；几何不变体系的基本组成规律；对体系进行几何组成分析的基本方法；几何组成与静定性的关系。</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难点：灵活利用组成规则和分析技巧进行几何组成分析</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本章知识点的讲授和学习，可支撑“指标点2.2：能够应用力学基础知识和方法，正确识别和表达土木工程专业复杂工程问题，并能选择合适的方法进行分析和求解”。</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结合利用几何组成规则做几何组成分析，向学生传输按照规范或法律条文做出合理科学判断的意识。结合国内外典型工程事故，培养学生的安全工程意识。</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6、作业</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习题2中选8题。</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第三章 静定结构的内力计算（12学时）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灵活运用隔离体平衡的方法，进行单跨静定梁的内力计算，熟练掌握区段叠加法作弯矩图；熟练掌握多跨静定梁和刚架的内力计算及内力图绘制；熟练掌握利用结点法、截面法及两者的联合应用进行静定桁架内力的求解；掌握三铰拱的支座反力、内力计算及内力图绘制；理解三铰拱的合理轴线；掌握组合结构的内力计算；了解静定结构的受力特性。</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（1）单跨静定梁</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（2）多跨静定梁</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（3）静定刚架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（4）静定拱</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（5）静定桁架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 xml:space="preserve">（6）静定组合结构 </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（7）静定结构的特性</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重点：区段叠加法作弯矩图；多跨静定梁和刚架的内力计算及内力图绘制；快速做弯矩图；静定桁架的内力计算；三铰拱的内力计算；组合结构的内力计算。</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难点：结合几何组成分析确定多跨静定梁、复合刚架和复杂桁架的内力计算；理解不同类型结构的主要受力特点和静定结构共有的受力特性。</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和“指标点2.2：能够应用力学基础知识和方法，正确识别和表达土木工程专业复杂工程问题，并能选择合适的方法进行分析和求解”。</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结合“隔离体分析”在结构受力分析中的重要性，展示和强调基本技能对于开展实际工作的重要性，培养学生认真、踏实、细心的职业精神。</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习题3中选16题。</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第四章 影响线及其应用（8学时）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理解移动荷载和影响线的概念；掌握静力法和机动法作静定梁的影响线；了解结点荷载下静定梁的影响线；理解影响线的应用，会利用影响线求移动荷载下简支梁的绝对最大弯矩和弯矩包络图；了解连续梁的影响线轮廓、连续梁的最不利荷载位置和内力包络图。</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（1）概述</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（2）静力法作静定梁影响线</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（3）间接荷载下的影响线</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（4）机动法作静定梁影响线</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（5）影响线的应用</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（6）三角形影响线的临界荷载</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（7）简支梁的内力包络图和绝对最大弯矩</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重点：影响线的概念；静力法和机动法作静定梁的影响线；利用影响线求移动荷载下简支梁的绝对最大弯矩。</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难点：平行移动荷载作用下的最不利位置。</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和“指标点2.2：能够应用力学基础知识和方法，正确识别和表达土木工程专业复杂工程问题，并能选择合适的方法进行分析和求解”。</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结合影响线的提出，教育学生应具备不断探索的精神和终身学习的意识，注意培养自身的探索和创新精神。</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习题4中选8题</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第五章 静定结构的位移计算（8学时）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理解变形体虚功原理的内容及其应用；熟悉位移的概念、结构位移计算的一般公式；熟练掌握静定结构在荷载作用下结构的位移计算方法；熟练掌握图乘法；掌握静定结构在下结构的位移计算；了解互等定理。</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（1）概述</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（2）刚体虚功原理及应用</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（3）支座移动引起的位移</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（4）变形体位移计算的一般公式</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（5）荷载引起的位移</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（6）图乘法</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（7）温度变化引起的位移</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（8）线性体系的互等定理</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重点：静定结构在荷载、支座移动和温度改变作用下的位移计算；图乘法。</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难点：虚功原理的内容及其在不同类型结构位移计算中的应用；复杂弯矩图的图乘法；线性体系的互等定理。</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w:t>
      </w:r>
      <w:r w:rsidRPr="003F3D2F">
        <w:rPr>
          <w:rFonts w:ascii="仿宋_GB2312" w:hAnsi="仿宋_GB2312" w:cs="仿宋_GB2312"/>
          <w:bCs/>
          <w:sz w:val="28"/>
          <w:szCs w:val="28"/>
        </w:rPr>
        <w:lastRenderedPageBreak/>
        <w:t>和方法，具备面向土木工程专业复杂工程问题的抽象分析和建模求解能力”和“指标点2.2：能够应用力学基础知识和方法，正确识别和表达土木工程专业复杂工程问题，并能选择合适的方法进行分析和求解”。</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虚功原理在不同类型结构位移计算中的应用，引导学生培养结合实际工程特点灵活应用专业相关基本知识和原理的能力。结合线性体系的互等定理的推演过程，教育学生尝试多角度分析复杂问题的职业技能，培养解决实际工程问题的创新思维。</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习题5中选8题。</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第六章 力法（10学时）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熟悉超静定结构的超静定次数和力法的基本概念；掌握超静定梁、刚架、桁架、排架在荷载下的内力计算；掌握超静定结构在支座移动和温度改变下的内力计算；了解超静定结构的位移计算方法；掌握力法对称性的利用；了解超静定结构的力学特性。</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（1）力法基本概念</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（2）基本未知量的确定</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（3）荷载作用下力法典型方程</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（4）荷载作用下内力计算示例</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（5）支座移动、温度改变时的内力计算</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（6）超静定结构位移计算及结果校核</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（7）力法计算中的对称性应用</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（8）对称结构的半结构法</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重点：荷载、支座移动或温度改变时用力法典型方程求解超静定结构内力；超静定结构位移计算；对称性的应用。</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难点：力法典型方程和各系数、自由项的物理意义；对称结构的半结构法。</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和“指标点2.2：能够应用力学基础知识和方法，正确识别和表达土木工程专业复杂工程问题，并能选择合适的方法进行分析和求解”。</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力法基本原理，引导学生掌握拓展新知识的途径与方法，具有不断学习和适应技术、经济与社会可持续发展的能力。通过刚架、排架、桁架实际结构受力分析方法的学习掌握，增强学生对土木工程专业和行业的热爱。</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习题6中选10题。</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第七章 位移法（8学时）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熟悉位移法的基本概念和等截面直杆的刚度方程；掌握利用平衡条件和基本体系建立位移法方程，会对无侧移、有侧移刚架在荷载及支座移动下的内力计算；掌握位移法的对称性利用。</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（1）位移法基本概念</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（2）位移法基本未知量的判定</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（3）等截面直杆的转角位移方程</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（4）直接由平衡条件建立位移法方程</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（5）位移法的典型方程及应用</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（6）位移法计算示例</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重点：位移法的基本概念和等截面直杆的刚度方程；掌握利用平衡条件和基本体系建立位移法方程，求解超静定结构的内力。</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难点：位移法的基本原理；利用等截面直杆的刚度方程，准确求出位移法方程各系数和自由项。用位移法分析带弹性支承的超静定结构。</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本章知识点的讲授和学习，可支撑“指标点1.2：掌握力学原理和方法，具备面向土木工程专业复杂工程问题的抽象分析和建模求解能力”和“指标点2.2：能够应用力学基础知识和方法，正确识别和</w:t>
      </w:r>
      <w:r w:rsidRPr="003F3D2F">
        <w:rPr>
          <w:rFonts w:ascii="仿宋_GB2312" w:hAnsi="仿宋_GB2312" w:cs="仿宋_GB2312"/>
          <w:bCs/>
          <w:sz w:val="28"/>
          <w:szCs w:val="28"/>
        </w:rPr>
        <w:lastRenderedPageBreak/>
        <w:t>表达土木工程专业复杂工程问题，并能选择合适的方法进行分析和求解”。</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位移法基本原理，引导学生培养分析和解决复杂工程问题的能力和意识，提高土木工程专业的职业技能。联系力法到位移法学习，教育学生应具备不断探索的精神和终身学习的意识，注意培养自身的探索和创新精神。</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习题7中选8题</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第八章 力矩分配法（4学时）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理解力矩分配法的基本概念；会利用力矩分配计算连续梁和无侧移刚架。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（1）概述</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（2）力矩分配法的基本概念</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（3）非结点力矩的处理</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（4）多结点的力矩分配法</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重点：利用力矩分配计算连续梁和无侧移刚架。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难点：非结点力矩的处理；多结点力矩分配的原理。</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本章知识点的讲授和学习，可支撑“指标点1.2：掌握力学原理和方法，具备面向土木工程专业复杂工程问题的抽象分析和建模求解能力”和“指标点2.2：能够应用力学基础知识和方法，正确识别和表达土木工程专业复杂工程问题，并能选择合适的方法进行分析和求解”。</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结合力矩分配法的提出，教育学生解决问题的方法不唯一，应具备不断探索的精神和终身学习的意识，注意培养自身的探索和创新精神。</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习题8中选4题</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第九章 矩阵位移法（12学时）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理解矩阵位移法的力学原理和数学方法概述；理解单元刚度矩阵（局部坐标和结构整体坐标）、结构整体刚度矩阵的物理意义和集成方法；理解等效结点荷载；掌握连续梁、桁架、刚架、组合结构的矩阵分析；掌握忽略轴向变形时矩形刚架的矩阵分析。</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（1）概述</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（2）局部坐标系下单元刚度矩阵</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（3）结构坐标系下单元刚度矩阵</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（4）建立典型结构刚度矩阵</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（5）直接刚度法</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（6）等效结点荷载</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（7）忽略杆件轴向变形的矩形刚架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（7）矩阵位移法示例</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重点：单元刚度方程的含义和集成；结构刚度方程的含义；直接刚度法集成结构刚度矩阵；等效结点荷载的意义；忽略轴向变形矩阵刚架的结构刚度方程；矩阵位移法的完整求解过程。</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难点：结构刚度矩阵集成的方法；等效结点荷载；</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本章知识点的讲授和学习，可支撑“指标点2.2 能够应用力学基础知识和方法，正确识别和表达土木工程专业复杂工程问题，并能选择合适的方法进行分析和求解”</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计算机编程方法，鼓励学生要用发展的眼光看问题，不断学习，努力提高自身的创新能力和综合素质。培养学生具有自主学习和终身学习的意识，掌握拓展新知识的途径与方法，有不断学习和适应技术、经济与社会可持续发展的能力。</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6、课外学习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习题11中选6题。</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第十章 结构的动力计算（22学时）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理解结构动力分析的基本概念；掌握单自由度体系的自由振动和受迫振动分析方法；了解阻尼对振动的影响；掌握多自由度体系的自由振动（刚度法、柔度法）；了解主振型的正交性；了解多自由度体系在简谐荷载下的受迫振动及振型分解法；了解近似法求自振频率。</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（1）概述</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（2）结构的振动自由度</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（3）单自由度体系振动方程</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（4）单自由度体系自由振动</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（5）简谐荷载下单自由度体系的强迫振动</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（6）阻尼对体系振动的影响</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（7）多自由度体系的自由振动</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（8）多自由度体系的强迫振动</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振动自由度的判定；单自由度体系振动方程的建立（刚度法、柔度法）；单自由度体系自振频率计算公式；动力系数的含义和计算公式；简谐动荷载作用下的最大动内力和动位移的计算；阻尼对自由振动和简谐受迫振动的影响；2个自由度体系的自振频率和主振型计算；2个自由度体系强迫振动最大动位移和动内力的计算（刚度法；柔度法）。</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难点：简谐荷载在质点外时体系的最大动位移和动内力；阻尼对频率与振幅的影响；多自由度体系的自由振动方程；多自由度体系在</w:t>
      </w:r>
      <w:r w:rsidRPr="003F3D2F">
        <w:rPr>
          <w:rFonts w:ascii="仿宋_GB2312" w:hAnsi="仿宋_GB2312" w:cs="仿宋_GB2312"/>
          <w:bCs/>
          <w:sz w:val="28"/>
          <w:szCs w:val="28"/>
        </w:rPr>
        <w:lastRenderedPageBreak/>
        <w:t>简谐荷载下的强迫振动方程。</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和“指标点2.2：能够应用力学基础知识和方法，正确识别和表达土木工程专业复杂工程问题，并能选择合适的方法进行分析和求解”。</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国内外地震、风致振动等工程灾害，教育学生树立极强的责任意识，建造安全的房屋、桥梁等工程结构，减少财产损失与人员伤亡，造福人民。鼓励学生在复杂多变的因素中找到内在联系，抓住事物现象的本质，掌握科学分析问题方法。</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6、课外学习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习题12中选14题。</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第十一章 结构的极限荷载（6学时）</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理解结构塑性分析的概念及极限弯矩、塑性铰和结构极限状态的概念；掌握静定梁和超静定梁的极限荷载计算；掌握比例加载时判定极限荷载的一般定理。</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（1）塑性分析的概念</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（2）塑性极限弯矩、塑性铰</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（3）单跨梁的极限荷载</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（4）判定极限荷载的一般定理</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重点：截面的弹塑性发展过程；塑性铰的特点；静定梁的极限荷载计算；单跨超静定梁的极限荷载计算；极限状态的3个充要条件；判定极限荷载的一般定理及应用（穷举法、试算法）；连续梁的极限荷载计算。</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难点：单对称轴的截面极限弯矩；连续梁的破坏机构。</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和“指标点2.2：能够应用力学基础知识和方法，正确识别和表达土木工程专业复杂工程问题，并能选择合适的方法进行分析和求解”</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以实际连续桥工程为例，引导学生紧密结合工程实际，综合运用专业理论知识，计算极限承载力，灵活地将理论知识用于指导工程实践的能力。结合国内超级工程，培养学生的大国工匠精神，激发学生的家国情怀。</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6、课外学习</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习题17中选6题。</w:t>
      </w:r>
    </w:p>
    <w:p w:rsidR="00876C31" w:rsidRPr="003F3D2F" w:rsidRDefault="00876C31" w:rsidP="003F3D2F">
      <w:pPr>
        <w:spacing w:beforeLines="50" w:before="156" w:afterLines="50" w:after="156" w:line="560" w:lineRule="exact"/>
        <w:rPr>
          <w:rFonts w:ascii="黑体" w:eastAsia="黑体" w:hAnsi="黑体"/>
          <w:b/>
          <w:sz w:val="28"/>
          <w:szCs w:val="28"/>
        </w:rPr>
      </w:pPr>
      <w:r w:rsidRPr="003F3D2F">
        <w:rPr>
          <w:rFonts w:ascii="黑体" w:eastAsia="黑体" w:hAnsi="黑体"/>
          <w:b/>
          <w:sz w:val="28"/>
          <w:szCs w:val="28"/>
        </w:rPr>
        <w:t>五、教学方法</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课程教学采用传统教学和多媒体相结合的方式，以课堂讲授为主，通过课后讨论、平时作业及随堂测验等多环节训练和督促检查，巩固学习成果。本课程安排2次课后讨论，22次平时作业，2次随堂测验。</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本课程采用的教学方法与课程目标的对应关系：通过课题讲授、平时作业和随堂测验练习，力争实现课程目标（1）（2）（4）；通过课后讨论，力争实现课程目标（3）。</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线上教学资源和信息化教学平台的应用：在课程教学过程中，教师可结合本校或其他公开的线上课程资源进行辅助教学，指导学生进行课外自学；同时，建议采用校内或网络开放的教学平台进行教学管理、答疑辅导、课后交流等。</w:t>
      </w:r>
    </w:p>
    <w:p w:rsidR="00876C31" w:rsidRPr="003F3D2F" w:rsidRDefault="00876C31" w:rsidP="003F3D2F">
      <w:pPr>
        <w:spacing w:beforeLines="50" w:before="156" w:afterLines="50" w:after="156" w:line="560" w:lineRule="exact"/>
        <w:rPr>
          <w:rFonts w:ascii="黑体" w:eastAsia="黑体" w:hAnsi="黑体"/>
          <w:b/>
          <w:sz w:val="28"/>
          <w:szCs w:val="28"/>
        </w:rPr>
      </w:pPr>
      <w:r w:rsidRPr="003F3D2F">
        <w:rPr>
          <w:rFonts w:ascii="黑体" w:eastAsia="黑体" w:hAnsi="黑体"/>
          <w:b/>
          <w:sz w:val="28"/>
          <w:szCs w:val="28"/>
        </w:rPr>
        <w:t>六、课程的考核环节及课程目标达成度自评方式</w:t>
      </w:r>
    </w:p>
    <w:p w:rsidR="00876C31" w:rsidRPr="003F3D2F" w:rsidRDefault="00876C31" w:rsidP="003F3D2F">
      <w:pPr>
        <w:tabs>
          <w:tab w:val="right" w:pos="8222"/>
        </w:tabs>
        <w:spacing w:line="360" w:lineRule="auto"/>
        <w:rPr>
          <w:rFonts w:ascii="仿宋_GB2312" w:hAnsi="仿宋_GB2312" w:cs="仿宋_GB2312"/>
          <w:b/>
          <w:bCs/>
          <w:sz w:val="28"/>
          <w:szCs w:val="28"/>
        </w:rPr>
      </w:pPr>
      <w:r w:rsidRPr="003F3D2F">
        <w:rPr>
          <w:rFonts w:ascii="仿宋_GB2312" w:hAnsi="仿宋_GB2312" w:cs="仿宋_GB2312"/>
          <w:b/>
          <w:bCs/>
          <w:sz w:val="28"/>
          <w:szCs w:val="28"/>
        </w:rPr>
        <w:t>（一）课程的考核环节</w:t>
      </w:r>
    </w:p>
    <w:p w:rsidR="00876C31" w:rsidRPr="003F3D2F" w:rsidRDefault="00876C31" w:rsidP="003F3D2F">
      <w:pPr>
        <w:adjustRightInd w:val="0"/>
        <w:snapToGrid w:val="0"/>
        <w:spacing w:line="360" w:lineRule="auto"/>
        <w:ind w:firstLineChars="200" w:firstLine="560"/>
        <w:jc w:val="left"/>
        <w:rPr>
          <w:rFonts w:ascii="仿宋_GB2312" w:hAnsi="仿宋_GB2312" w:cs="仿宋_GB2312"/>
          <w:bCs/>
          <w:sz w:val="28"/>
          <w:szCs w:val="28"/>
        </w:rPr>
      </w:pPr>
      <w:r w:rsidRPr="003F3D2F">
        <w:rPr>
          <w:rFonts w:ascii="仿宋_GB2312" w:hAnsi="仿宋_GB2312" w:cs="仿宋_GB2312"/>
          <w:bCs/>
          <w:sz w:val="28"/>
          <w:szCs w:val="28"/>
        </w:rPr>
        <w:t>课程总评成绩由平时成绩和期终考试（闭卷）2个考核环节综合评定产生。各考核环节与课程目标的对应关系如下：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399"/>
        <w:gridCol w:w="3239"/>
        <w:gridCol w:w="1667"/>
      </w:tblGrid>
      <w:tr w:rsidR="00876C31" w:rsidRPr="003F3D2F" w:rsidTr="00BE5664">
        <w:trPr>
          <w:jc w:val="center"/>
        </w:trPr>
        <w:tc>
          <w:tcPr>
            <w:tcW w:w="3995" w:type="pct"/>
            <w:gridSpan w:val="3"/>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教学目标</w:t>
            </w:r>
          </w:p>
        </w:tc>
      </w:tr>
      <w:tr w:rsidR="00876C31" w:rsidRPr="003F3D2F" w:rsidTr="00BE5664">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分项比例</w:t>
            </w:r>
          </w:p>
        </w:tc>
        <w:tc>
          <w:tcPr>
            <w:tcW w:w="2795" w:type="pct"/>
            <w:gridSpan w:val="2"/>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分项内容</w:t>
            </w:r>
          </w:p>
        </w:tc>
        <w:tc>
          <w:tcPr>
            <w:tcW w:w="1005" w:type="pct"/>
            <w:vMerge/>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p>
        </w:tc>
      </w:tr>
      <w:tr w:rsidR="00876C31" w:rsidRPr="003F3D2F" w:rsidTr="00BE5664">
        <w:trPr>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8"/>
                <w:szCs w:val="28"/>
              </w:rPr>
            </w:pPr>
            <w:r w:rsidRPr="003F3D2F">
              <w:rPr>
                <w:rFonts w:ascii="仿宋_GB2312" w:hAnsi="仿宋_GB2312" w:cs="仿宋_GB2312"/>
                <w:bCs/>
                <w:sz w:val="28"/>
                <w:szCs w:val="28"/>
              </w:rPr>
              <w:t>平时成绩</w:t>
            </w:r>
          </w:p>
          <w:p w:rsidR="00876C31" w:rsidRPr="003F3D2F" w:rsidRDefault="00876C31" w:rsidP="003F3D2F">
            <w:pPr>
              <w:spacing w:line="360" w:lineRule="auto"/>
              <w:jc w:val="center"/>
              <w:rPr>
                <w:rFonts w:ascii="仿宋_GB2312" w:hAnsi="仿宋_GB2312" w:cs="仿宋_GB2312"/>
                <w:bCs/>
                <w:sz w:val="28"/>
                <w:szCs w:val="28"/>
              </w:rPr>
            </w:pPr>
            <w:r w:rsidRPr="003F3D2F">
              <w:rPr>
                <w:rFonts w:ascii="仿宋_GB2312" w:hAnsi="仿宋_GB2312" w:cs="仿宋_GB2312"/>
                <w:bCs/>
                <w:sz w:val="28"/>
                <w:szCs w:val="28"/>
              </w:rPr>
              <w:t>（20%）</w:t>
            </w:r>
          </w:p>
        </w:tc>
        <w:tc>
          <w:tcPr>
            <w:tcW w:w="843" w:type="pct"/>
            <w:vMerge w:val="restar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平时作业</w:t>
            </w:r>
          </w:p>
        </w:tc>
        <w:tc>
          <w:tcPr>
            <w:tcW w:w="1952" w:type="pc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概念与原理题</w:t>
            </w:r>
          </w:p>
        </w:tc>
        <w:tc>
          <w:tcPr>
            <w:tcW w:w="1005" w:type="pc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（1）</w:t>
            </w:r>
          </w:p>
        </w:tc>
      </w:tr>
      <w:tr w:rsidR="00876C31" w:rsidRPr="003F3D2F" w:rsidTr="00BE5664">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8"/>
                <w:szCs w:val="28"/>
              </w:rPr>
            </w:pPr>
          </w:p>
        </w:tc>
        <w:tc>
          <w:tcPr>
            <w:tcW w:w="843" w:type="pct"/>
            <w:vMerge/>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p>
        </w:tc>
        <w:tc>
          <w:tcPr>
            <w:tcW w:w="1952" w:type="pc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计算题</w:t>
            </w:r>
          </w:p>
        </w:tc>
        <w:tc>
          <w:tcPr>
            <w:tcW w:w="1005" w:type="pc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（2）（3）</w:t>
            </w:r>
          </w:p>
        </w:tc>
      </w:tr>
      <w:tr w:rsidR="00876C31" w:rsidRPr="003F3D2F" w:rsidTr="00BE5664">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8"/>
                <w:szCs w:val="28"/>
              </w:rPr>
            </w:pPr>
          </w:p>
        </w:tc>
        <w:tc>
          <w:tcPr>
            <w:tcW w:w="2795" w:type="pct"/>
            <w:gridSpan w:val="2"/>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随堂测验：概念与原理题</w:t>
            </w:r>
          </w:p>
        </w:tc>
        <w:tc>
          <w:tcPr>
            <w:tcW w:w="1005" w:type="pc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（1）（2）</w:t>
            </w:r>
          </w:p>
        </w:tc>
      </w:tr>
      <w:tr w:rsidR="00876C31" w:rsidRPr="003F3D2F" w:rsidTr="00BE5664">
        <w:trPr>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8"/>
                <w:szCs w:val="28"/>
              </w:rPr>
            </w:pPr>
            <w:r w:rsidRPr="003F3D2F">
              <w:rPr>
                <w:rFonts w:ascii="仿宋_GB2312" w:hAnsi="仿宋_GB2312" w:cs="仿宋_GB2312"/>
                <w:bCs/>
                <w:sz w:val="28"/>
                <w:szCs w:val="28"/>
              </w:rPr>
              <w:t>期终考试</w:t>
            </w:r>
          </w:p>
          <w:p w:rsidR="00876C31" w:rsidRPr="003F3D2F" w:rsidRDefault="00876C31" w:rsidP="003F3D2F">
            <w:pPr>
              <w:spacing w:line="360" w:lineRule="auto"/>
              <w:jc w:val="center"/>
              <w:rPr>
                <w:rFonts w:ascii="仿宋_GB2312" w:hAnsi="仿宋_GB2312" w:cs="仿宋_GB2312"/>
                <w:bCs/>
                <w:sz w:val="28"/>
                <w:szCs w:val="28"/>
              </w:rPr>
            </w:pPr>
            <w:r w:rsidRPr="003F3D2F">
              <w:rPr>
                <w:rFonts w:ascii="仿宋_GB2312" w:hAnsi="仿宋_GB2312" w:cs="仿宋_GB2312"/>
                <w:bCs/>
                <w:sz w:val="28"/>
                <w:szCs w:val="28"/>
              </w:rPr>
              <w:t>（80%）</w:t>
            </w:r>
          </w:p>
        </w:tc>
        <w:tc>
          <w:tcPr>
            <w:tcW w:w="2795" w:type="pct"/>
            <w:gridSpan w:val="2"/>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原理题</w:t>
            </w:r>
          </w:p>
        </w:tc>
        <w:tc>
          <w:tcPr>
            <w:tcW w:w="1005" w:type="pc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（1）</w:t>
            </w:r>
          </w:p>
        </w:tc>
      </w:tr>
      <w:tr w:rsidR="00876C31" w:rsidRPr="003F3D2F" w:rsidTr="00BE5664">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8"/>
                <w:szCs w:val="28"/>
              </w:rPr>
            </w:pPr>
          </w:p>
        </w:tc>
        <w:tc>
          <w:tcPr>
            <w:tcW w:w="2795" w:type="pct"/>
            <w:gridSpan w:val="2"/>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计算题</w:t>
            </w:r>
          </w:p>
        </w:tc>
        <w:tc>
          <w:tcPr>
            <w:tcW w:w="1005" w:type="pct"/>
            <w:tcBorders>
              <w:top w:val="single" w:sz="4" w:space="0" w:color="auto"/>
              <w:left w:val="single" w:sz="4" w:space="0" w:color="auto"/>
              <w:bottom w:val="single" w:sz="4" w:space="0" w:color="auto"/>
              <w:right w:val="single" w:sz="4" w:space="0" w:color="auto"/>
            </w:tcBorders>
            <w:vAlign w:val="center"/>
          </w:tcPr>
          <w:p w:rsidR="00876C31" w:rsidRPr="003F3D2F" w:rsidRDefault="00876C31" w:rsidP="003F3D2F">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（2）（3）</w:t>
            </w:r>
          </w:p>
        </w:tc>
      </w:tr>
    </w:tbl>
    <w:p w:rsidR="00876C31" w:rsidRPr="003F3D2F" w:rsidRDefault="00876C31" w:rsidP="003F3D2F">
      <w:pPr>
        <w:tabs>
          <w:tab w:val="right" w:pos="8222"/>
        </w:tabs>
        <w:spacing w:line="360" w:lineRule="auto"/>
        <w:rPr>
          <w:rFonts w:ascii="仿宋_GB2312" w:hAnsi="仿宋_GB2312" w:cs="仿宋_GB2312"/>
          <w:b/>
          <w:bCs/>
          <w:sz w:val="28"/>
          <w:szCs w:val="28"/>
        </w:rPr>
      </w:pPr>
      <w:r w:rsidRPr="003F3D2F">
        <w:rPr>
          <w:rFonts w:ascii="仿宋_GB2312" w:hAnsi="仿宋_GB2312" w:cs="仿宋_GB2312"/>
          <w:b/>
          <w:bCs/>
          <w:sz w:val="28"/>
          <w:szCs w:val="28"/>
        </w:rPr>
        <w:t>（二）课程目标达成度自评方式</w:t>
      </w:r>
    </w:p>
    <w:p w:rsidR="00876C31" w:rsidRPr="003F3D2F" w:rsidRDefault="00876C31"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据学院教学管理规定，在开展课程达成度评价前，课程评价审核</w:t>
      </w:r>
      <w:r w:rsidRPr="003F3D2F">
        <w:rPr>
          <w:rFonts w:ascii="仿宋_GB2312" w:hAnsi="仿宋_GB2312" w:cs="仿宋_GB2312"/>
          <w:bCs/>
          <w:sz w:val="28"/>
          <w:szCs w:val="28"/>
        </w:rPr>
        <w:lastRenderedPageBreak/>
        <w:t>小组对课程的评价依据合理性进行确认，包括平时作业、随堂测验、和期终考试等考核环节。课程结束后，课程小组需要对课程进行达成度评价，课程小组由课程负责人和任课教师组成，统计课程考核数据，并填写“《结构力学》课程达成情况评价”报告，以便及时了解课程的达成效果，发现问题并进行持续改进，同时也为毕业要求达成度的评价提供基础数据。</w:t>
      </w:r>
    </w:p>
    <w:p w:rsidR="00876C31" w:rsidRPr="003F3D2F" w:rsidRDefault="00876C31"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根据课程的考核形式，全部或抽样部分考核资料（应以当年修读该课程的学生为总体，至少抽取61%以上的学生样本），抽样时需覆盖优、良、中、及格和不及格等考核等级的考核资料。课程达成度的具体评价方法，详见“《结构力学》课程达成情况评价”报告。</w:t>
      </w:r>
    </w:p>
    <w:p w:rsidR="00876C31" w:rsidRPr="003F3D2F" w:rsidRDefault="00876C31" w:rsidP="003F3D2F">
      <w:pPr>
        <w:adjustRightInd w:val="0"/>
        <w:snapToGrid w:val="0"/>
        <w:spacing w:line="360" w:lineRule="auto"/>
        <w:ind w:firstLineChars="200" w:firstLine="560"/>
        <w:jc w:val="left"/>
        <w:rPr>
          <w:rFonts w:ascii="仿宋_GB2312" w:hAnsi="仿宋_GB2312" w:cs="仿宋_GB2312"/>
          <w:bCs/>
          <w:sz w:val="28"/>
          <w:szCs w:val="28"/>
        </w:rPr>
      </w:pPr>
      <w:r w:rsidRPr="003F3D2F">
        <w:rPr>
          <w:rFonts w:ascii="仿宋_GB2312" w:hAnsi="仿宋_GB2312" w:cs="仿宋_GB2312"/>
          <w:bCs/>
          <w:sz w:val="28"/>
          <w:szCs w:val="28"/>
        </w:rPr>
        <w:t>课程小组提交课程达成度评价数据后，课程评价审核小组对评价数据的合理性和有效性进行审核。</w:t>
      </w:r>
    </w:p>
    <w:p w:rsidR="00876C31" w:rsidRPr="003F3D2F" w:rsidRDefault="00876C31" w:rsidP="003F3D2F">
      <w:pPr>
        <w:spacing w:beforeLines="50" w:before="156" w:afterLines="50" w:after="156" w:line="560" w:lineRule="exact"/>
        <w:rPr>
          <w:rFonts w:ascii="黑体" w:eastAsia="黑体" w:hAnsi="黑体"/>
          <w:b/>
          <w:sz w:val="28"/>
          <w:szCs w:val="28"/>
        </w:rPr>
      </w:pPr>
      <w:r w:rsidRPr="003F3D2F">
        <w:rPr>
          <w:rFonts w:ascii="黑体" w:eastAsia="黑体" w:hAnsi="黑体"/>
          <w:b/>
          <w:sz w:val="28"/>
          <w:szCs w:val="28"/>
        </w:rPr>
        <w:t>七、教学进程（详见授课日历）</w:t>
      </w:r>
    </w:p>
    <w:p w:rsidR="00876C31" w:rsidRPr="003F3D2F" w:rsidRDefault="00876C31" w:rsidP="003F3D2F">
      <w:pPr>
        <w:spacing w:beforeLines="50" w:before="156" w:afterLines="50" w:after="156" w:line="560" w:lineRule="exact"/>
        <w:rPr>
          <w:rFonts w:ascii="黑体" w:eastAsia="黑体" w:hAnsi="黑体"/>
          <w:b/>
          <w:sz w:val="28"/>
          <w:szCs w:val="28"/>
        </w:rPr>
      </w:pPr>
      <w:r w:rsidRPr="003F3D2F">
        <w:rPr>
          <w:rFonts w:ascii="黑体" w:eastAsia="黑体" w:hAnsi="黑体"/>
          <w:b/>
          <w:sz w:val="28"/>
          <w:szCs w:val="28"/>
        </w:rPr>
        <w:t>八、教材及参考书</w:t>
      </w:r>
    </w:p>
    <w:p w:rsidR="00876C31" w:rsidRPr="003F3D2F" w:rsidRDefault="00876C31"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1．教材：</w:t>
      </w:r>
    </w:p>
    <w:p w:rsidR="00876C31" w:rsidRPr="003F3D2F" w:rsidRDefault="00876C31"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（1）《结构力学I》《结构力学II》，龙驭球、包世华、袁驷编，2018年第4版，高等教育出版社。</w:t>
      </w:r>
    </w:p>
    <w:p w:rsidR="00876C31" w:rsidRPr="003F3D2F" w:rsidRDefault="00876C31"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2．参考书：</w:t>
      </w:r>
    </w:p>
    <w:p w:rsidR="00876C31" w:rsidRPr="003F3D2F" w:rsidRDefault="00876C31"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（1）《结构力学》，朱慈勉主编，2016年8月第3版，高等教育出版社。</w:t>
      </w:r>
    </w:p>
    <w:p w:rsidR="00876C31" w:rsidRPr="003F3D2F" w:rsidRDefault="00876C31"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（2）《结构力学》，杨茀康、李家宝主编，2016年2月第6版，高等教育出版社。</w:t>
      </w:r>
    </w:p>
    <w:p w:rsidR="00876C31" w:rsidRPr="003F3D2F" w:rsidRDefault="00876C31"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lastRenderedPageBreak/>
        <w:t>（3）《结构力学学习方法及解题指导》，徐新济、李恒增编著，2002年10月第1版，同济大学出版社。</w:t>
      </w:r>
    </w:p>
    <w:p w:rsidR="00876C31" w:rsidRPr="003F3D2F" w:rsidRDefault="00876C31" w:rsidP="003F3D2F">
      <w:pPr>
        <w:spacing w:line="360" w:lineRule="auto"/>
        <w:ind w:firstLine="480"/>
        <w:rPr>
          <w:rFonts w:ascii="仿宋_GB2312" w:hAnsi="仿宋_GB2312" w:cs="仿宋_GB2312"/>
          <w:bCs/>
          <w:sz w:val="28"/>
          <w:szCs w:val="28"/>
        </w:rPr>
      </w:pPr>
      <w:r>
        <w:rPr>
          <w:rFonts w:eastAsia="黑体"/>
          <w:b/>
          <w:sz w:val="24"/>
        </w:rPr>
        <w:t>九、</w:t>
      </w:r>
      <w:r w:rsidRPr="003F3D2F">
        <w:rPr>
          <w:rFonts w:ascii="仿宋_GB2312" w:hAnsi="仿宋_GB2312" w:cs="仿宋_GB2312"/>
          <w:bCs/>
          <w:sz w:val="28"/>
          <w:szCs w:val="28"/>
        </w:rPr>
        <w:t>执行大纲应注意的问题</w:t>
      </w:r>
    </w:p>
    <w:p w:rsidR="00876C31" w:rsidRPr="003F3D2F" w:rsidRDefault="00876C31"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1、教学中应注重基本知识、基本理论和基本方法的讲授，注意精讲多练。</w:t>
      </w:r>
    </w:p>
    <w:p w:rsidR="00876C31" w:rsidRPr="003F3D2F" w:rsidRDefault="00876C31"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2、教学内容的顺序及其安排仅供参考，教师可根据情况作适当调整。</w:t>
      </w:r>
    </w:p>
    <w:p w:rsidR="00876C31" w:rsidRDefault="00876C31"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3、线下教学，平时成绩和期终考试在总成绩中的比例分别为20%、80%。当采用线上线下混合教学等非传统课堂授课为主的新教学方法、且有合理科学的教学过程管理和评价考核方法时，可适当降低期终考试在总成绩中的比例（不低于60%）。</w:t>
      </w:r>
    </w:p>
    <w:p w:rsidR="003F3D2F" w:rsidRDefault="003F3D2F" w:rsidP="003F3D2F">
      <w:pPr>
        <w:spacing w:beforeLines="50" w:before="156" w:afterLines="50" w:after="156" w:line="460" w:lineRule="exact"/>
        <w:rPr>
          <w:rFonts w:ascii="黑体" w:eastAsia="黑体" w:hAnsi="黑体"/>
          <w:b/>
          <w:sz w:val="28"/>
          <w:szCs w:val="28"/>
        </w:rPr>
      </w:pPr>
    </w:p>
    <w:p w:rsidR="003F3D2F" w:rsidRDefault="003F3D2F" w:rsidP="003F3D2F">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大纲撰写人：何俊</w:t>
      </w:r>
    </w:p>
    <w:p w:rsidR="003F3D2F" w:rsidRDefault="003F3D2F" w:rsidP="003F3D2F">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3F3D2F" w:rsidRDefault="003F3D2F" w:rsidP="003F3D2F">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3F3D2F" w:rsidRPr="003F3D2F" w:rsidRDefault="003F3D2F" w:rsidP="003F3D2F">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3F3D2F" w:rsidRDefault="003F3D2F" w:rsidP="003F3D2F">
      <w:pPr>
        <w:jc w:val="left"/>
        <w:rPr>
          <w:rFonts w:ascii="仿宋_GB2312" w:hAnsi="黑体"/>
          <w:sz w:val="28"/>
          <w:szCs w:val="28"/>
        </w:rPr>
      </w:pPr>
      <w:r>
        <w:rPr>
          <w:rFonts w:ascii="仿宋" w:eastAsia="仿宋" w:hAnsi="仿宋" w:hint="eastAsia"/>
          <w:sz w:val="28"/>
          <w:szCs w:val="28"/>
        </w:rPr>
        <w:t xml:space="preserve">                                         年    月</w:t>
      </w:r>
    </w:p>
    <w:p w:rsidR="003F3D2F" w:rsidRPr="003F3D2F" w:rsidRDefault="003F3D2F" w:rsidP="003F3D2F">
      <w:pPr>
        <w:spacing w:line="360" w:lineRule="auto"/>
        <w:ind w:firstLine="480"/>
        <w:rPr>
          <w:rFonts w:ascii="仿宋_GB2312" w:hAnsi="仿宋_GB2312" w:cs="仿宋_GB2312"/>
          <w:bCs/>
          <w:sz w:val="28"/>
          <w:szCs w:val="28"/>
        </w:rPr>
      </w:pPr>
    </w:p>
    <w:p w:rsidR="00EE2D67" w:rsidRDefault="00EE2D67" w:rsidP="00EE2D67">
      <w:pPr>
        <w:adjustRightInd w:val="0"/>
        <w:snapToGrid w:val="0"/>
        <w:spacing w:line="360" w:lineRule="exact"/>
        <w:jc w:val="center"/>
      </w:pPr>
    </w:p>
    <w:p w:rsidR="003F3D2F" w:rsidRDefault="003F3D2F" w:rsidP="00EE2D67">
      <w:pPr>
        <w:adjustRightInd w:val="0"/>
        <w:snapToGrid w:val="0"/>
        <w:spacing w:line="360" w:lineRule="exact"/>
        <w:jc w:val="center"/>
      </w:pPr>
    </w:p>
    <w:p w:rsidR="003F3D2F" w:rsidRDefault="003F3D2F" w:rsidP="00EE2D67">
      <w:pPr>
        <w:adjustRightInd w:val="0"/>
        <w:snapToGrid w:val="0"/>
        <w:spacing w:line="360" w:lineRule="exact"/>
        <w:jc w:val="center"/>
      </w:pPr>
    </w:p>
    <w:p w:rsidR="00876C31" w:rsidRPr="00EE2D67" w:rsidRDefault="00876C31" w:rsidP="00876C31">
      <w:pPr>
        <w:jc w:val="center"/>
        <w:rPr>
          <w:rFonts w:ascii="Times New Roman" w:eastAsia="仿宋" w:hAnsi="Times New Roman"/>
          <w:sz w:val="28"/>
          <w:szCs w:val="28"/>
        </w:rPr>
      </w:pPr>
    </w:p>
    <w:p w:rsidR="003F3D2F" w:rsidRDefault="003F3D2F" w:rsidP="003F3D2F">
      <w:pPr>
        <w:rPr>
          <w:rFonts w:ascii="Times New Roman" w:hAnsi="Times New Roman"/>
        </w:rPr>
      </w:pPr>
    </w:p>
    <w:p w:rsidR="003F3D2F" w:rsidRDefault="003F3D2F" w:rsidP="003F3D2F">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EE2D67">
        <w:rPr>
          <w:rFonts w:ascii="方正小标宋简体" w:eastAsia="方正小标宋简体" w:hAnsi="宋体"/>
          <w:kern w:val="0"/>
          <w:szCs w:val="32"/>
        </w:rPr>
        <w:t>结构力学</w:t>
      </w:r>
      <w:r>
        <w:rPr>
          <w:rFonts w:ascii="方正小标宋简体" w:eastAsia="方正小标宋简体" w:hAnsi="宋体" w:hint="eastAsia"/>
          <w:kern w:val="0"/>
          <w:szCs w:val="32"/>
        </w:rPr>
        <w:t>》课程教学大纲</w:t>
      </w:r>
    </w:p>
    <w:p w:rsidR="003F3D2F" w:rsidRDefault="003F3D2F" w:rsidP="003F3D2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3F3D2F" w:rsidRPr="00EE2D67" w:rsidRDefault="003F3D2F"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英文名称：</w:t>
      </w:r>
      <w:r w:rsidRPr="00EE2D67">
        <w:rPr>
          <w:rFonts w:ascii="仿宋_GB2312" w:hAnsi="仿宋_GB2312" w:cs="仿宋_GB2312"/>
          <w:bCs/>
          <w:sz w:val="28"/>
          <w:szCs w:val="28"/>
        </w:rPr>
        <w:t>Structural Mechanics</w:t>
      </w:r>
    </w:p>
    <w:p w:rsidR="003F3D2F" w:rsidRDefault="003F3D2F"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课程编码：</w:t>
      </w:r>
      <w:r w:rsidRPr="00EE2D67">
        <w:rPr>
          <w:rFonts w:ascii="仿宋_GB2312" w:hAnsi="仿宋_GB2312" w:cs="仿宋_GB2312"/>
          <w:bCs/>
          <w:sz w:val="28"/>
          <w:szCs w:val="28"/>
        </w:rPr>
        <w:t>Z280402</w:t>
      </w:r>
      <w:r>
        <w:rPr>
          <w:rFonts w:ascii="仿宋_GB2312" w:hAnsi="仿宋_GB2312" w:cs="仿宋_GB2312"/>
          <w:bCs/>
          <w:sz w:val="28"/>
          <w:szCs w:val="28"/>
        </w:rPr>
        <w:t>2</w:t>
      </w:r>
    </w:p>
    <w:p w:rsidR="003F3D2F" w:rsidRDefault="003F3D2F"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授课语言：中文</w:t>
      </w:r>
    </w:p>
    <w:p w:rsidR="003F3D2F" w:rsidRDefault="003F3D2F" w:rsidP="003F3D2F">
      <w:pPr>
        <w:spacing w:line="360" w:lineRule="auto"/>
        <w:ind w:leftChars="19" w:left="61"/>
        <w:rPr>
          <w:rFonts w:ascii="仿宋_GB2312" w:hAnsi="仿宋_GB2312" w:cs="仿宋_GB2312"/>
          <w:bCs/>
          <w:sz w:val="28"/>
          <w:szCs w:val="28"/>
        </w:rPr>
      </w:pPr>
      <w:r>
        <w:rPr>
          <w:rFonts w:ascii="仿宋_GB2312" w:hAnsi="仿宋_GB2312" w:cs="仿宋_GB2312" w:hint="eastAsia"/>
          <w:bCs/>
          <w:sz w:val="28"/>
          <w:szCs w:val="28"/>
        </w:rPr>
        <w:t>授课方式：线下</w:t>
      </w:r>
    </w:p>
    <w:p w:rsidR="003F3D2F" w:rsidRDefault="003F3D2F"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课程类别：专业发展</w:t>
      </w:r>
    </w:p>
    <w:p w:rsidR="003F3D2F" w:rsidRDefault="003F3D2F"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 xml:space="preserve">课程性质：必修 </w:t>
      </w:r>
    </w:p>
    <w:p w:rsidR="003F3D2F" w:rsidRDefault="003F3D2F"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学    分：</w:t>
      </w:r>
      <w:r w:rsidR="00A326D6">
        <w:rPr>
          <w:rFonts w:ascii="仿宋_GB2312" w:hAnsi="仿宋_GB2312" w:cs="仿宋_GB2312"/>
          <w:bCs/>
          <w:sz w:val="28"/>
          <w:szCs w:val="28"/>
        </w:rPr>
        <w:t>2.5</w:t>
      </w:r>
    </w:p>
    <w:p w:rsidR="003F3D2F" w:rsidRDefault="003F3D2F" w:rsidP="003F3D2F">
      <w:pPr>
        <w:spacing w:line="360" w:lineRule="auto"/>
        <w:ind w:leftChars="19" w:left="61"/>
        <w:rPr>
          <w:rFonts w:ascii="仿宋_GB2312" w:hAnsi="仿宋_GB2312" w:cs="仿宋_GB2312"/>
          <w:bCs/>
          <w:sz w:val="28"/>
          <w:szCs w:val="28"/>
        </w:rPr>
      </w:pPr>
      <w:r>
        <w:rPr>
          <w:rFonts w:ascii="仿宋_GB2312" w:hAnsi="仿宋_GB2312" w:cs="仿宋_GB2312" w:hint="eastAsia"/>
          <w:bCs/>
          <w:sz w:val="28"/>
          <w:szCs w:val="28"/>
        </w:rPr>
        <w:t>学    时：</w:t>
      </w:r>
      <w:r w:rsidR="00A326D6">
        <w:rPr>
          <w:rFonts w:ascii="仿宋_GB2312" w:hAnsi="仿宋_GB2312" w:cs="仿宋_GB2312"/>
          <w:bCs/>
          <w:sz w:val="28"/>
          <w:szCs w:val="28"/>
        </w:rPr>
        <w:t>40</w:t>
      </w:r>
    </w:p>
    <w:p w:rsidR="003F3D2F" w:rsidRDefault="003F3D2F"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适用对象：土木专业</w:t>
      </w:r>
    </w:p>
    <w:p w:rsidR="003F3D2F" w:rsidRDefault="003F3D2F" w:rsidP="003F3D2F">
      <w:pPr>
        <w:spacing w:line="360" w:lineRule="auto"/>
        <w:rPr>
          <w:rFonts w:ascii="仿宋_GB2312" w:hAnsi="仿宋_GB2312" w:cs="仿宋_GB2312"/>
          <w:bCs/>
          <w:sz w:val="28"/>
          <w:szCs w:val="28"/>
        </w:rPr>
      </w:pPr>
      <w:r>
        <w:rPr>
          <w:rFonts w:ascii="仿宋_GB2312" w:hAnsi="仿宋_GB2312" w:cs="仿宋_GB2312" w:hint="eastAsia"/>
          <w:bCs/>
          <w:sz w:val="28"/>
          <w:szCs w:val="28"/>
        </w:rPr>
        <w:t>先修课程：</w:t>
      </w:r>
      <w:r w:rsidRPr="003F3D2F">
        <w:rPr>
          <w:rFonts w:ascii="仿宋_GB2312" w:hAnsi="仿宋_GB2312" w:cs="仿宋_GB2312"/>
          <w:bCs/>
          <w:sz w:val="28"/>
          <w:szCs w:val="28"/>
        </w:rPr>
        <w:t>理论力学、材料力学、高等数学、线性代数</w:t>
      </w:r>
    </w:p>
    <w:p w:rsidR="003F3D2F" w:rsidRPr="00EE2D67" w:rsidRDefault="003F3D2F" w:rsidP="003F3D2F">
      <w:pPr>
        <w:spacing w:line="360" w:lineRule="auto"/>
        <w:rPr>
          <w:rFonts w:eastAsia="黑体"/>
          <w:b/>
          <w:sz w:val="30"/>
          <w:szCs w:val="30"/>
        </w:rPr>
      </w:pPr>
      <w:r>
        <w:rPr>
          <w:rFonts w:ascii="仿宋_GB2312" w:hAnsi="仿宋_GB2312" w:cs="仿宋_GB2312" w:hint="eastAsia"/>
          <w:bCs/>
          <w:sz w:val="28"/>
          <w:szCs w:val="28"/>
        </w:rPr>
        <w:t>开课院系：</w:t>
      </w:r>
      <w:r w:rsidRPr="003F3D2F">
        <w:rPr>
          <w:rFonts w:ascii="仿宋_GB2312" w:hAnsi="仿宋_GB2312" w:cs="仿宋_GB2312"/>
          <w:bCs/>
          <w:sz w:val="28"/>
          <w:szCs w:val="28"/>
        </w:rPr>
        <w:t>建筑工程学院，力学与材料教研室</w:t>
      </w:r>
    </w:p>
    <w:p w:rsidR="003F3D2F" w:rsidRDefault="003F3D2F" w:rsidP="003F3D2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3F3D2F" w:rsidRPr="003F3D2F" w:rsidRDefault="003F3D2F" w:rsidP="003F3D2F">
      <w:pPr>
        <w:spacing w:line="360" w:lineRule="auto"/>
        <w:rPr>
          <w:rFonts w:ascii="仿宋_GB2312" w:hAnsi="仿宋_GB2312" w:cs="仿宋_GB2312"/>
          <w:bCs/>
          <w:sz w:val="28"/>
          <w:szCs w:val="28"/>
        </w:rPr>
      </w:pPr>
      <w:r w:rsidRPr="003F3D2F">
        <w:rPr>
          <w:rFonts w:ascii="仿宋_GB2312" w:hAnsi="仿宋_GB2312" w:cs="仿宋_GB2312"/>
          <w:bCs/>
          <w:sz w:val="28"/>
          <w:szCs w:val="28"/>
        </w:rPr>
        <w:t>《结构力学》课程是土木工程专业的专业基础课，属必修课程。通过本课程的学习，在学习理论力学和材料力学等课程的基础上，使学生进一步掌握平面杆件结构分析计算的基本概念、基本原理和基本方法，了解各类结构的受力性能，为学习有关专业课程以及进行结构设计和科学研究打好力学基础，重点培养结构分析与计算等方面的能力。</w:t>
      </w:r>
    </w:p>
    <w:p w:rsidR="003F3D2F" w:rsidRDefault="003F3D2F" w:rsidP="003F3D2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3F3D2F" w:rsidRPr="003F3D2F" w:rsidRDefault="003F3D2F" w:rsidP="003F3D2F">
      <w:pPr>
        <w:spacing w:line="360" w:lineRule="auto"/>
        <w:rPr>
          <w:rFonts w:ascii="仿宋_GB2312" w:hAnsi="仿宋_GB2312" w:cs="仿宋_GB2312"/>
          <w:b/>
          <w:bCs/>
          <w:sz w:val="28"/>
          <w:szCs w:val="28"/>
        </w:rPr>
      </w:pPr>
      <w:r w:rsidRPr="003F3D2F">
        <w:rPr>
          <w:rFonts w:ascii="仿宋_GB2312" w:hAnsi="仿宋_GB2312" w:cs="仿宋_GB2312"/>
          <w:b/>
          <w:bCs/>
          <w:sz w:val="28"/>
          <w:szCs w:val="28"/>
        </w:rPr>
        <w:t>（一）教学目标</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学习本课程前，要求学生应具备高等数学、线性代数、普通物理、理论力学、材料力学等先修课程的知识。应有比较扎实的数学基础和应用能力；掌握静力学的基本概念、基本理论以及单根杆件的内力、应力、应变、位移的概念及基本计算方法。</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通过本课程的教学，使学生具备解决土木工程结构受力分析的基本原理和方法，教学目标具体要求如下：</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课程目标1：具备清晰的力学概念，能够正确的计算结果、简练合理的表达。</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课程目标2：运用课程的基本理论和基本方法独立分析、解决问题的能力。</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课程目标3：具备继续自我学习提高、不断更新知识结构及开拓发展的能力。培养学生认真负责的职业精神，增强学生的土木工程师职业责任感，激发学生的家国情怀。</w:t>
      </w:r>
    </w:p>
    <w:p w:rsidR="003F3D2F" w:rsidRPr="003F3D2F" w:rsidRDefault="003F3D2F" w:rsidP="003F3D2F">
      <w:pPr>
        <w:spacing w:line="360" w:lineRule="auto"/>
        <w:rPr>
          <w:rFonts w:ascii="仿宋_GB2312" w:hAnsi="仿宋_GB2312" w:cs="仿宋_GB2312"/>
          <w:b/>
          <w:bCs/>
          <w:sz w:val="28"/>
          <w:szCs w:val="28"/>
        </w:rPr>
      </w:pPr>
      <w:r w:rsidRPr="003F3D2F">
        <w:rPr>
          <w:rFonts w:ascii="仿宋_GB2312" w:hAnsi="仿宋_GB2312" w:cs="仿宋_GB2312"/>
          <w:b/>
          <w:bCs/>
          <w:sz w:val="28"/>
          <w:szCs w:val="28"/>
        </w:rPr>
        <w:t>（二）教学目标对毕业要求的支撑矩阵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1446"/>
        <w:gridCol w:w="819"/>
        <w:gridCol w:w="819"/>
        <w:gridCol w:w="819"/>
      </w:tblGrid>
      <w:tr w:rsidR="003F3D2F" w:rsidRPr="003F3D2F" w:rsidTr="00104F36">
        <w:trPr>
          <w:trHeight w:val="276"/>
          <w:jc w:val="center"/>
        </w:trPr>
        <w:tc>
          <w:tcPr>
            <w:tcW w:w="3842" w:type="dxa"/>
            <w:gridSpan w:val="2"/>
            <w:vMerge w:val="restar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毕业要求及其指标点</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教学目标</w:t>
            </w:r>
          </w:p>
        </w:tc>
      </w:tr>
      <w:tr w:rsidR="003F3D2F" w:rsidRPr="003F3D2F" w:rsidTr="00104F36">
        <w:trPr>
          <w:trHeight w:val="276"/>
          <w:jc w:val="center"/>
        </w:trPr>
        <w:tc>
          <w:tcPr>
            <w:tcW w:w="3842" w:type="dxa"/>
            <w:gridSpan w:val="2"/>
            <w:vMerge/>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（3）</w:t>
            </w:r>
          </w:p>
        </w:tc>
      </w:tr>
      <w:tr w:rsidR="003F3D2F" w:rsidRPr="003F3D2F" w:rsidTr="00104F36">
        <w:trPr>
          <w:trHeight w:val="276"/>
          <w:jc w:val="center"/>
        </w:trPr>
        <w:tc>
          <w:tcPr>
            <w:tcW w:w="2396" w:type="dxa"/>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ind w:leftChars="57" w:left="182"/>
              <w:jc w:val="left"/>
              <w:rPr>
                <w:rFonts w:ascii="仿宋_GB2312" w:hAnsi="仿宋_GB2312" w:cs="仿宋_GB2312"/>
                <w:bCs/>
                <w:sz w:val="24"/>
                <w:szCs w:val="24"/>
              </w:rPr>
            </w:pPr>
            <w:r w:rsidRPr="003F3D2F">
              <w:rPr>
                <w:rFonts w:ascii="仿宋_GB2312" w:hAnsi="仿宋_GB2312" w:cs="仿宋_GB2312"/>
                <w:bCs/>
                <w:sz w:val="24"/>
                <w:szCs w:val="24"/>
              </w:rPr>
              <w:t>1. 工程知识应用能力</w:t>
            </w:r>
          </w:p>
        </w:tc>
        <w:tc>
          <w:tcPr>
            <w:tcW w:w="0" w:type="auto"/>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p>
        </w:tc>
      </w:tr>
      <w:tr w:rsidR="003F3D2F" w:rsidRPr="003F3D2F" w:rsidTr="00104F36">
        <w:trPr>
          <w:trHeight w:val="276"/>
          <w:jc w:val="center"/>
        </w:trPr>
        <w:tc>
          <w:tcPr>
            <w:tcW w:w="2396" w:type="dxa"/>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ind w:leftChars="57" w:left="182"/>
              <w:jc w:val="left"/>
              <w:rPr>
                <w:rFonts w:ascii="仿宋_GB2312" w:hAnsi="仿宋_GB2312" w:cs="仿宋_GB2312"/>
                <w:bCs/>
                <w:sz w:val="24"/>
                <w:szCs w:val="24"/>
              </w:rPr>
            </w:pPr>
            <w:r w:rsidRPr="003F3D2F">
              <w:rPr>
                <w:rFonts w:ascii="仿宋_GB2312" w:hAnsi="仿宋_GB2312" w:cs="仿宋_GB2312"/>
                <w:bCs/>
                <w:sz w:val="24"/>
                <w:szCs w:val="24"/>
              </w:rPr>
              <w:t>2. 问题分析能力</w:t>
            </w:r>
          </w:p>
        </w:tc>
        <w:tc>
          <w:tcPr>
            <w:tcW w:w="0" w:type="auto"/>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2.2</w:t>
            </w:r>
          </w:p>
        </w:tc>
        <w:tc>
          <w:tcPr>
            <w:tcW w:w="0" w:type="auto"/>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w:t>
            </w:r>
          </w:p>
        </w:tc>
      </w:tr>
    </w:tbl>
    <w:p w:rsidR="003F3D2F" w:rsidRDefault="003F3D2F" w:rsidP="003F3D2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第一章 绪论（2学时）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了解结构力学的学习任务及学习方法；了解结构的计算简图及简</w:t>
      </w:r>
      <w:r w:rsidRPr="003F3D2F">
        <w:rPr>
          <w:rFonts w:ascii="仿宋_GB2312" w:hAnsi="仿宋_GB2312" w:cs="仿宋_GB2312"/>
          <w:bCs/>
          <w:sz w:val="28"/>
          <w:szCs w:val="28"/>
        </w:rPr>
        <w:lastRenderedPageBreak/>
        <w:t>化要点；掌握杆系结构的分类及荷载分类。</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（1）结构力学的学习任务及学习方法</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（2）平面杆系结构的计算简图</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（3）平面杆系结构的分类</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（4）荷载分类</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重点：结构的计算简图及简化要点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难点：计算简图的简化要点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通过介绍代表性的实际工程结构，培养学生对专业的热爱。通过对实际结构计算简图的合理简化的教学，使学生理解土木工程专业实际问题分析时需要扎实的理论知识和丰富的实践经验，增强学生学习专业知识的积极性。</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自选实际工程结构，画出计算简图。</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第二章 几何组成分析（4学时）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掌握几何组成分析的几个概念；理解几何不变体系的基本组成规律；熟练掌握对体系进行几何组成分析的基本方法。</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（1）概述</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（2）体系的自由度</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（3）简单组成规则</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（4）不满足规则的情况</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（5）无限远虚铰的影响</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（6）几何组成与静定性</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重点：几何组成分析的基本概念；几何不变体系的基本组成规律；对体系进行几何组成分析的基本方法；几何组成与静定性的关系。</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难点：灵活利用组成规则和分析技巧进行几何组成分析</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本章知识点的讲授和学习，可支撑“指标点2.2：能够应用力学基础知识和方法，正确识别和表达土木工程专业复杂工程问题，并能选择合适的方法进行分析和求解”。</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结合利用几何组成规则做几何组成分析，向学生传输按照规范或法律条文做出合理科学判断的意识。结合国内外典型工程事故，培养学生的安全工程意识。</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习题2中选8题。</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第三章 静定结构的内力计算（12学时）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灵活运用隔离体平衡的方法，进行单跨静定梁的内力计算，熟练掌握区段叠加法作弯矩图；熟练掌握多跨静定梁和刚架的内力计算及内力图绘制；熟练掌握利用结点法、截面法及两者的联合应用进行静定桁架内力的求解；掌握三铰拱的支座反力、内力计算及内力图绘制；理解三铰拱的合理轴线；掌握组合结构的内力计算；了解静定结构的受力特性。</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（1）单跨静定梁</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（2）多跨静定梁</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（3）静定刚架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（4）静定拱</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（5）静定桁架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 xml:space="preserve">（6）静定组合结构 </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（7）静定结构的特性</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重点：区段叠加法作弯矩图；多跨静定梁和刚架的内力计算及内力图绘制；快速做弯矩图；静定桁架的内力计算；三铰拱的内力计算；组合结构的内力计算。</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难点：结合几何组成分析确定多跨静定梁、复合刚架和复杂桁架</w:t>
      </w:r>
      <w:r w:rsidRPr="003F3D2F">
        <w:rPr>
          <w:rFonts w:ascii="仿宋_GB2312" w:hAnsi="仿宋_GB2312" w:cs="仿宋_GB2312"/>
          <w:bCs/>
          <w:sz w:val="28"/>
          <w:szCs w:val="28"/>
        </w:rPr>
        <w:lastRenderedPageBreak/>
        <w:t>的内力计算；理解不同类型结构的主要受力特点和静定结构共有的受力特性。</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和“指标点2.2：能够应用力学基础知识和方法，正确识别和表达土木工程专业复杂工程问题，并能选择合适的方法进行分析和求解”。</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结合“隔离体分析”在结构受力分析中的重要性，展示和强调基本技能对于开展实际工作的重要性，培养学生认真、踏实、细心的职业精神。</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习题3中选16题。</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第四章 影响线及其应用（8学时）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理解移动荷载和影响线的概念；掌握静力法和机动法作静定梁的影响线；了解结点荷载下静定梁的影响线；理解影响线的应用，会利用影响线求移动荷载下简支梁的绝对最大弯矩和弯矩包络图；了解连续梁的影响线轮廓、连续梁的最不利荷载位置和内力包络图。</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（1）概述</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（2）静力法作静定梁影响线</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（3）间接荷载下的影响线</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（4）机动法作静定梁影响线</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（5）影响线的应用</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（6）三角形影响线的临界荷载</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（7）简支梁的内力包络图和绝对最大弯矩</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重点：影响线的概念；静力法和机动法作静定梁的影响线；利用影响线求移动荷载下简支梁的绝对最大弯矩。</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难点：平行移动荷载作用下的最不利位置。</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和“指标点2.2：能够应用力学基础知识和方法，正确识别和表达土木工程专业复杂工程问题，并能选择合适的方法进行分析和求解”。</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结合影响线的提出，教育学生应具备不断探索的精神和终身学习的意识，注意培养自身的探索和创新精神。</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习题4中选8题</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第五章 静定结构的位移计算（8学时）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1、本章基本要求</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理解变形体虚功原理的内容及其应用；熟悉位移的概念、结构位移计算的一般公式；熟练掌握静定结构在荷载作用下结构的位移计算方法；熟练掌握图乘法；掌握静定结构在下结构的位移计算；了解互等定理。</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（1）概述</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（2）刚体虚功原理及应用</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（3）支座移动引起的位移</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（4）变形体位移计算的一般公式</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（5）荷载引起的位移</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（6）图乘法</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（7）温度变化引起的位移</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（8）线性体系的互等定理</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重点：静定结构在荷载、支座移动和温度改变作用下的位移计算；图乘法。</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难点：虚功原理的内容及其在不同类型结构位移计算中的应用；复杂弯矩图的图乘法；线性体系的互等定理。</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w:t>
      </w:r>
      <w:r w:rsidRPr="003F3D2F">
        <w:rPr>
          <w:rFonts w:ascii="仿宋_GB2312" w:hAnsi="仿宋_GB2312" w:cs="仿宋_GB2312"/>
          <w:bCs/>
          <w:sz w:val="28"/>
          <w:szCs w:val="28"/>
        </w:rPr>
        <w:lastRenderedPageBreak/>
        <w:t>能力”和“指标点2.2：能够应用力学基础知识和方法，正确识别和表达土木工程专业复杂工程问题，并能选择合适的方法进行分析和求解”。</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虚功原理在不同类型结构位移计算中的应用，引导学生培养结合实际工程特点灵活应用专业相关基本知识和原理的能力。结合线性体系的互等定理的推演过程，教育学生尝试多角度分析复杂问题的职业技能，培养解决实际工程问题的创新思维。</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习题5中选8题。</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第六章 力法（10学时）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熟悉超静定结构的超静定次数和力法的基本概念；掌握超静定梁、刚架、桁架、排架在荷载下的内力计算；掌握超静定结构在支座移动和温度改变下的内力计算；了解超静定结构的位移计算方法；掌握力法对称性的利用；了解超静定结构的力学特性。</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（1）力法基本概念</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（2）基本未知量的确定</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（3）荷载作用下力法典型方程</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（4）荷载作用下内力计算示例</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（5）支座移动、温度改变时的内力计算</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（6）超静定结构位移计算及结果校核</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（7）力法计算中的对称性应用</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（8）对称结构的半结构法</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重点：荷载、支座移动或温度改变时用力法典型方程求解超静定结构内力；超静定结构位移计算；对称性的应用。</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难点：力法典型方程和各系数、自由项的物理意义；对称结构的半结构法。</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和“指标点2.2：能够应用力学基础知识和方法，正确识别和表达土木工程专业复杂工程问题，并能选择合适的方法进行分析和求解”。</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力法基本原理，引导学生掌握拓展新知识的途径与方法，具有不断学习和适应技术、经济与社会可持续发展的能力。通过刚架、排架、桁架实际结构受力分析方法的学习掌握，增强学生对土木工程专业和行业的热爱。</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习题6中选10题。</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第七章 位移法（8学时）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1、本章基本要求</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熟悉位移法的基本概念和等截面直杆的刚度方程；掌握利用平衡条件和基本体系建立位移法方程，会对无侧移、有侧移刚架在荷载及支座移动下的内力计算；掌握位移法的对称性利用。</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（1）位移法基本概念</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（2）位移法基本未知量的判定</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（3）等截面直杆的转角位移方程</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（4）直接由平衡条件建立位移法方程</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（5）位移法的典型方程及应用</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（6）位移法计算示例</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重点：位移法的基本概念和等截面直杆的刚度方程；掌握利用平衡条件和基本体系建立位移法方程，求解超静定结构的内力。</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难点：位移法的基本原理；利用等截面直杆的刚度方程，准确求出位移法方程各系数和自由项。用位移法分析带弹性支承的超静定结构。</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和“指标点2.2：能够应用力学基础知识和方法，正确识别和表达土木工程专业复杂工程问题，并能选择合适的方法进行分析和求</w:t>
      </w:r>
      <w:r w:rsidRPr="003F3D2F">
        <w:rPr>
          <w:rFonts w:ascii="仿宋_GB2312" w:hAnsi="仿宋_GB2312" w:cs="仿宋_GB2312"/>
          <w:bCs/>
          <w:sz w:val="28"/>
          <w:szCs w:val="28"/>
        </w:rPr>
        <w:lastRenderedPageBreak/>
        <w:t>解”。</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位移法基本原理，引导学生培养分析和解决复杂工程问题的能力和意识，提高土木工程专业的职业技能。联系力法到位移法学习，教育学生应具备不断探索的精神和终身学习的意识，注意培养自身的探索和创新精神。</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习题7中选8题</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第八章 力矩分配法（4学时）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理解力矩分配法的基本概念；会利用力矩分配计算连续梁和无侧移刚架。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（1）概述</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（2）力矩分配法的基本概念</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（3）非结点力矩的处理</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（4）多结点的力矩分配法</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重点：利用力矩分配计算连续梁和无侧移刚架。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难点：非结点力矩的处理；多结点力矩分配的原理。</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w:t>
      </w:r>
      <w:r w:rsidRPr="003F3D2F">
        <w:rPr>
          <w:rFonts w:ascii="仿宋_GB2312" w:hAnsi="仿宋_GB2312" w:cs="仿宋_GB2312"/>
          <w:bCs/>
          <w:sz w:val="28"/>
          <w:szCs w:val="28"/>
        </w:rPr>
        <w:lastRenderedPageBreak/>
        <w:t>和方法，具备面向土木工程专业复杂工程问题的抽象分析和建模求解能力”和“指标点2.2：能够应用力学基础知识和方法，正确识别和表达土木工程专业复杂工程问题，并能选择合适的方法进行分析和求解”。</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结合力矩分配法的提出，教育学生解决问题的方法不唯一，应具备不断探索的精神和终身学习的意识，注意培养自身的探索和创新精神。</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6、作业</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习题8中选4题</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第九章 矩阵位移法（12学时）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理解矩阵位移法的力学原理和数学方法概述；理解单元刚度矩阵（局部坐标和结构整体坐标）、结构整体刚度矩阵的物理意义和集成方法；理解等效结点荷载；掌握连续梁、桁架、刚架、组合结构的矩阵分析；掌握忽略轴向变形时矩形刚架的矩阵分析。</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（1）概述</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（2）局部坐标系下单元刚度矩阵</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（3）结构坐标系下单元刚度矩阵</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（4）建立典型结构刚度矩阵</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（5）直接刚度法</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（6）等效结点荷载</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（7）忽略杆件轴向变形的矩形刚架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（7）矩阵位移法示例</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重点：单元刚度方程的含义和集成；结构刚度方程的含义；直接刚度法集成结构刚度矩阵；等效结点荷载的意义；忽略轴向变形矩阵刚架的结构刚度方程；矩阵位移法的完整求解过程。</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难点：结构刚度矩阵集成的方法；等效结点荷载；</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本章知识点的讲授和学习，可支撑“指标点2.2 能够应用力学基础知识和方法，正确识别和表达土木工程专业复杂工程问题，并能选择合适的方法进行分析和求解”</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计算机编程方法，鼓励学生要用发展的眼光看问题，不断学习，努力提高自身的创新能力和综合素质。培养学生具有自主学习和终身学习的意识，掌握拓展新知识的途径与方法，有不断学习和适应技术、经济与社会可持续发展的能力。</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6、课外学习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习题11中选6题。</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第十章 结构的动力计算（22学时）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理解结构动力分析的基本概念；掌握单自由度体系的自由振动和</w:t>
      </w:r>
      <w:r w:rsidRPr="003F3D2F">
        <w:rPr>
          <w:rFonts w:ascii="仿宋_GB2312" w:hAnsi="仿宋_GB2312" w:cs="仿宋_GB2312"/>
          <w:bCs/>
          <w:sz w:val="28"/>
          <w:szCs w:val="28"/>
        </w:rPr>
        <w:lastRenderedPageBreak/>
        <w:t>受迫振动分析方法；了解阻尼对振动的影响；掌握多自由度体系的自由振动（刚度法、柔度法）；了解主振型的正交性；了解多自由度体系在简谐荷载下的受迫振动及振型分解法；了解近似法求自振频率。</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（1）概述</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（2）结构的振动自由度</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（3）单自由度体系振动方程</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（4）单自由度体系自由振动</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（5）简谐荷载下单自由度体系的强迫振动</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（6）阻尼对体系振动的影响</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（7）多自由度体系的自由振动</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（8）多自由度体系的强迫振动</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振动自由度的判定；单自由度体系振动方程的建立（刚度法、柔度法）；单自由度体系自振频率计算公式；动力系数的含义和计算公式；简谐动荷载作用下的最大动内力和动位移的计算；阻尼对自由振动和简谐受迫振动的影响；2个自由度体系的自振频率和主振型计算；2个自由度体系强迫振动最大动位移和动内力的计算（刚度法；柔度法）。</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难点：简谐荷载在质点外时体系的最大动位移和动内力；阻尼对频率与振幅的影响；多自由度体系的自由振动方程；多自由度体系在简谐荷载下的强迫振动方程。</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4、对毕业要求的支撑</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和“指标点2.2：能够应用力学基础知识和方法，正确识别和表达土木工程专业复杂工程问题，并能选择合适的方法进行分析和求解”。</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结合国内外地震、风致振动等工程灾害，教育学生树立极强的责任意识，建造安全的房屋、桥梁等工程结构，减少财产损失与人员伤亡，造福人民。鼓励学生在复杂多变的因素中找到内在联系，抓住事物现象的本质，掌握科学分析问题方法。</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6、课外学习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习题12中选14题。</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第十一章 结构的极限荷载（6学时）</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1、本章基本要求</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理解结构塑性分析的概念及极限弯矩、塑性铰和结构极限状态的概念；掌握静定梁和超静定梁的极限荷载计算；掌握比例加载时判定极限荷载的一般定理。</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2、本章教学内容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（1）塑性分析的概念</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（2）塑性极限弯矩、塑性铰</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（3）单跨梁的极限荷载</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lastRenderedPageBreak/>
        <w:t>（4）判定极限荷载的一般定理</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3、本章的重点和难点</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重点：截面的弹塑性发展过程；塑性铰的特点；静定梁的极限荷载计算；单跨超静定梁的极限荷载计算；极限状态的3个充要条件；判定极限荷载的一般定理及应用（穷举法、试算法）；连续梁的极限荷载计算。</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难点：单对称轴的截面极限弯矩；连续梁的破坏机构。</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4、对毕业要求的支撑</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章知识点的讲授和学习，可支撑“指标点1.2：掌握力学原理和方法，具备面向土木工程专业复杂工程问题的抽象分析和建模求解能力”和“指标点2.2：能够应用力学基础知识和方法，正确识别和表达土木工程专业复杂工程问题，并能选择合适的方法进行分析和求解”</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5、课程思政育人要素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以实际连续桥工程为例，引导学生紧密结合工程实际，综合运用专业理论知识，计算极限承载力，灵活地将理论知识用于指导工程实践的能力。结合国内超级工程，培养学生的大国工匠精神，激发学生的家国情怀。</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6、课外学习</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习题17中选6题。</w:t>
      </w:r>
    </w:p>
    <w:p w:rsidR="003F3D2F" w:rsidRPr="003F3D2F" w:rsidRDefault="003F3D2F" w:rsidP="003F3D2F">
      <w:pPr>
        <w:spacing w:beforeLines="50" w:before="156" w:afterLines="50" w:after="156" w:line="560" w:lineRule="exact"/>
        <w:rPr>
          <w:rFonts w:ascii="黑体" w:eastAsia="黑体" w:hAnsi="黑体"/>
          <w:b/>
          <w:sz w:val="28"/>
          <w:szCs w:val="28"/>
        </w:rPr>
      </w:pPr>
      <w:r w:rsidRPr="003F3D2F">
        <w:rPr>
          <w:rFonts w:ascii="黑体" w:eastAsia="黑体" w:hAnsi="黑体"/>
          <w:b/>
          <w:sz w:val="28"/>
          <w:szCs w:val="28"/>
        </w:rPr>
        <w:t>五、教学方法</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课程教学采用传统教学和多媒体相结合的方式，以课堂讲授为主，</w:t>
      </w:r>
      <w:r w:rsidRPr="003F3D2F">
        <w:rPr>
          <w:rFonts w:ascii="仿宋_GB2312" w:hAnsi="仿宋_GB2312" w:cs="仿宋_GB2312"/>
          <w:bCs/>
          <w:sz w:val="28"/>
          <w:szCs w:val="28"/>
        </w:rPr>
        <w:lastRenderedPageBreak/>
        <w:t>通过课后讨论、平时作业及随堂测验等多环节训练和督促检查，巩固学习成果。本课程安排2次课后讨论，22次平时作业，2次随堂测验。</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本课程采用的教学方法与课程目标的对应关系：通过课题讲授、平时作业和随堂测验练习，力争实现课程目标（1）（2）（4）；通过课后讨论，力争实现课程目标（3）。</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线上教学资源和信息化教学平台的应用：在课程教学过程中，教师可结合本校或其他公开的线上课程资源进行辅助教学，指导学生进行课外自学；同时，建议采用校内或网络开放的教学平台进行教学管理、答疑辅导、课后交流等。</w:t>
      </w:r>
    </w:p>
    <w:p w:rsidR="003F3D2F" w:rsidRPr="003F3D2F" w:rsidRDefault="003F3D2F" w:rsidP="003F3D2F">
      <w:pPr>
        <w:spacing w:beforeLines="50" w:before="156" w:afterLines="50" w:after="156" w:line="560" w:lineRule="exact"/>
        <w:rPr>
          <w:rFonts w:ascii="黑体" w:eastAsia="黑体" w:hAnsi="黑体"/>
          <w:b/>
          <w:sz w:val="28"/>
          <w:szCs w:val="28"/>
        </w:rPr>
      </w:pPr>
      <w:r w:rsidRPr="003F3D2F">
        <w:rPr>
          <w:rFonts w:ascii="黑体" w:eastAsia="黑体" w:hAnsi="黑体"/>
          <w:b/>
          <w:sz w:val="28"/>
          <w:szCs w:val="28"/>
        </w:rPr>
        <w:t>六、课程的考核环节及课程目标达成度自评方式</w:t>
      </w:r>
    </w:p>
    <w:p w:rsidR="003F3D2F" w:rsidRPr="003F3D2F" w:rsidRDefault="003F3D2F" w:rsidP="003F3D2F">
      <w:pPr>
        <w:tabs>
          <w:tab w:val="right" w:pos="8222"/>
        </w:tabs>
        <w:spacing w:line="360" w:lineRule="auto"/>
        <w:rPr>
          <w:rFonts w:ascii="仿宋_GB2312" w:hAnsi="仿宋_GB2312" w:cs="仿宋_GB2312"/>
          <w:b/>
          <w:bCs/>
          <w:sz w:val="28"/>
          <w:szCs w:val="28"/>
        </w:rPr>
      </w:pPr>
      <w:r w:rsidRPr="003F3D2F">
        <w:rPr>
          <w:rFonts w:ascii="仿宋_GB2312" w:hAnsi="仿宋_GB2312" w:cs="仿宋_GB2312"/>
          <w:b/>
          <w:bCs/>
          <w:sz w:val="28"/>
          <w:szCs w:val="28"/>
        </w:rPr>
        <w:t>（一）课程的考核环节</w:t>
      </w:r>
    </w:p>
    <w:p w:rsidR="003F3D2F" w:rsidRPr="003F3D2F" w:rsidRDefault="003F3D2F" w:rsidP="003F3D2F">
      <w:pPr>
        <w:adjustRightInd w:val="0"/>
        <w:snapToGrid w:val="0"/>
        <w:spacing w:line="360" w:lineRule="auto"/>
        <w:ind w:firstLineChars="200" w:firstLine="560"/>
        <w:jc w:val="left"/>
        <w:rPr>
          <w:rFonts w:ascii="仿宋_GB2312" w:hAnsi="仿宋_GB2312" w:cs="仿宋_GB2312"/>
          <w:bCs/>
          <w:sz w:val="28"/>
          <w:szCs w:val="28"/>
        </w:rPr>
      </w:pPr>
      <w:r w:rsidRPr="003F3D2F">
        <w:rPr>
          <w:rFonts w:ascii="仿宋_GB2312" w:hAnsi="仿宋_GB2312" w:cs="仿宋_GB2312"/>
          <w:bCs/>
          <w:sz w:val="28"/>
          <w:szCs w:val="28"/>
        </w:rPr>
        <w:t>课程总评成绩由平时成绩和期终考试（闭卷）2个考核环节综合评定产生。各考核环节与课程目标的对应关系如下：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399"/>
        <w:gridCol w:w="3239"/>
        <w:gridCol w:w="1667"/>
      </w:tblGrid>
      <w:tr w:rsidR="003F3D2F" w:rsidRPr="003F3D2F" w:rsidTr="00104F36">
        <w:trPr>
          <w:jc w:val="center"/>
        </w:trPr>
        <w:tc>
          <w:tcPr>
            <w:tcW w:w="3995" w:type="pct"/>
            <w:gridSpan w:val="3"/>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考核环节</w:t>
            </w:r>
          </w:p>
        </w:tc>
        <w:tc>
          <w:tcPr>
            <w:tcW w:w="1005" w:type="pct"/>
            <w:vMerge w:val="restar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教学目标</w:t>
            </w:r>
          </w:p>
        </w:tc>
      </w:tr>
      <w:tr w:rsidR="003F3D2F" w:rsidRPr="003F3D2F" w:rsidTr="00104F36">
        <w:trPr>
          <w:jc w:val="center"/>
        </w:trPr>
        <w:tc>
          <w:tcPr>
            <w:tcW w:w="1200" w:type="pc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分项比例</w:t>
            </w:r>
          </w:p>
        </w:tc>
        <w:tc>
          <w:tcPr>
            <w:tcW w:w="2795" w:type="pct"/>
            <w:gridSpan w:val="2"/>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
                <w:bCs/>
                <w:sz w:val="24"/>
                <w:szCs w:val="24"/>
              </w:rPr>
            </w:pPr>
            <w:r w:rsidRPr="003F3D2F">
              <w:rPr>
                <w:rFonts w:ascii="仿宋_GB2312" w:hAnsi="仿宋_GB2312" w:cs="仿宋_GB2312"/>
                <w:b/>
                <w:bCs/>
                <w:sz w:val="24"/>
                <w:szCs w:val="24"/>
              </w:rPr>
              <w:t>分项内容</w:t>
            </w:r>
          </w:p>
        </w:tc>
        <w:tc>
          <w:tcPr>
            <w:tcW w:w="1005" w:type="pct"/>
            <w:vMerge/>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p>
        </w:tc>
      </w:tr>
      <w:tr w:rsidR="003F3D2F" w:rsidRPr="003F3D2F" w:rsidTr="00104F36">
        <w:trPr>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8"/>
                <w:szCs w:val="28"/>
              </w:rPr>
            </w:pPr>
            <w:r w:rsidRPr="003F3D2F">
              <w:rPr>
                <w:rFonts w:ascii="仿宋_GB2312" w:hAnsi="仿宋_GB2312" w:cs="仿宋_GB2312"/>
                <w:bCs/>
                <w:sz w:val="28"/>
                <w:szCs w:val="28"/>
              </w:rPr>
              <w:t>平时成绩</w:t>
            </w:r>
          </w:p>
          <w:p w:rsidR="003F3D2F" w:rsidRPr="003F3D2F" w:rsidRDefault="003F3D2F" w:rsidP="00104F36">
            <w:pPr>
              <w:spacing w:line="360" w:lineRule="auto"/>
              <w:jc w:val="center"/>
              <w:rPr>
                <w:rFonts w:ascii="仿宋_GB2312" w:hAnsi="仿宋_GB2312" w:cs="仿宋_GB2312"/>
                <w:bCs/>
                <w:sz w:val="28"/>
                <w:szCs w:val="28"/>
              </w:rPr>
            </w:pPr>
            <w:r w:rsidRPr="003F3D2F">
              <w:rPr>
                <w:rFonts w:ascii="仿宋_GB2312" w:hAnsi="仿宋_GB2312" w:cs="仿宋_GB2312"/>
                <w:bCs/>
                <w:sz w:val="28"/>
                <w:szCs w:val="28"/>
              </w:rPr>
              <w:t>（20%）</w:t>
            </w:r>
          </w:p>
        </w:tc>
        <w:tc>
          <w:tcPr>
            <w:tcW w:w="843" w:type="pct"/>
            <w:vMerge w:val="restar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平时作业</w:t>
            </w:r>
          </w:p>
        </w:tc>
        <w:tc>
          <w:tcPr>
            <w:tcW w:w="1952" w:type="pc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概念与原理题</w:t>
            </w:r>
          </w:p>
        </w:tc>
        <w:tc>
          <w:tcPr>
            <w:tcW w:w="1005" w:type="pc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（1）</w:t>
            </w:r>
          </w:p>
        </w:tc>
      </w:tr>
      <w:tr w:rsidR="003F3D2F" w:rsidRPr="003F3D2F" w:rsidTr="00104F36">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8"/>
                <w:szCs w:val="28"/>
              </w:rPr>
            </w:pPr>
          </w:p>
        </w:tc>
        <w:tc>
          <w:tcPr>
            <w:tcW w:w="843" w:type="pct"/>
            <w:vMerge/>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p>
        </w:tc>
        <w:tc>
          <w:tcPr>
            <w:tcW w:w="1952" w:type="pc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计算题</w:t>
            </w:r>
          </w:p>
        </w:tc>
        <w:tc>
          <w:tcPr>
            <w:tcW w:w="1005" w:type="pc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（2）（3）</w:t>
            </w:r>
          </w:p>
        </w:tc>
      </w:tr>
      <w:tr w:rsidR="003F3D2F" w:rsidRPr="003F3D2F" w:rsidTr="00104F36">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8"/>
                <w:szCs w:val="28"/>
              </w:rPr>
            </w:pPr>
          </w:p>
        </w:tc>
        <w:tc>
          <w:tcPr>
            <w:tcW w:w="2795" w:type="pct"/>
            <w:gridSpan w:val="2"/>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随堂测验：概念与原理题</w:t>
            </w:r>
          </w:p>
        </w:tc>
        <w:tc>
          <w:tcPr>
            <w:tcW w:w="1005" w:type="pc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（1）（2）</w:t>
            </w:r>
          </w:p>
        </w:tc>
      </w:tr>
      <w:tr w:rsidR="003F3D2F" w:rsidRPr="003F3D2F" w:rsidTr="00104F36">
        <w:trPr>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8"/>
                <w:szCs w:val="28"/>
              </w:rPr>
            </w:pPr>
            <w:r w:rsidRPr="003F3D2F">
              <w:rPr>
                <w:rFonts w:ascii="仿宋_GB2312" w:hAnsi="仿宋_GB2312" w:cs="仿宋_GB2312"/>
                <w:bCs/>
                <w:sz w:val="28"/>
                <w:szCs w:val="28"/>
              </w:rPr>
              <w:t>期终考试</w:t>
            </w:r>
          </w:p>
          <w:p w:rsidR="003F3D2F" w:rsidRPr="003F3D2F" w:rsidRDefault="003F3D2F" w:rsidP="00104F36">
            <w:pPr>
              <w:spacing w:line="360" w:lineRule="auto"/>
              <w:jc w:val="center"/>
              <w:rPr>
                <w:rFonts w:ascii="仿宋_GB2312" w:hAnsi="仿宋_GB2312" w:cs="仿宋_GB2312"/>
                <w:bCs/>
                <w:sz w:val="28"/>
                <w:szCs w:val="28"/>
              </w:rPr>
            </w:pPr>
            <w:r w:rsidRPr="003F3D2F">
              <w:rPr>
                <w:rFonts w:ascii="仿宋_GB2312" w:hAnsi="仿宋_GB2312" w:cs="仿宋_GB2312"/>
                <w:bCs/>
                <w:sz w:val="28"/>
                <w:szCs w:val="28"/>
              </w:rPr>
              <w:t>（80%）</w:t>
            </w:r>
          </w:p>
        </w:tc>
        <w:tc>
          <w:tcPr>
            <w:tcW w:w="2795" w:type="pct"/>
            <w:gridSpan w:val="2"/>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原理题</w:t>
            </w:r>
          </w:p>
        </w:tc>
        <w:tc>
          <w:tcPr>
            <w:tcW w:w="1005" w:type="pc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（1）</w:t>
            </w:r>
          </w:p>
        </w:tc>
      </w:tr>
      <w:tr w:rsidR="003F3D2F" w:rsidRPr="003F3D2F" w:rsidTr="00104F36">
        <w:trPr>
          <w:jc w:val="center"/>
        </w:trPr>
        <w:tc>
          <w:tcPr>
            <w:tcW w:w="1200" w:type="pct"/>
            <w:vMerge/>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8"/>
                <w:szCs w:val="28"/>
              </w:rPr>
            </w:pPr>
          </w:p>
        </w:tc>
        <w:tc>
          <w:tcPr>
            <w:tcW w:w="2795" w:type="pct"/>
            <w:gridSpan w:val="2"/>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计算题</w:t>
            </w:r>
          </w:p>
        </w:tc>
        <w:tc>
          <w:tcPr>
            <w:tcW w:w="1005" w:type="pct"/>
            <w:tcBorders>
              <w:top w:val="single" w:sz="4" w:space="0" w:color="auto"/>
              <w:left w:val="single" w:sz="4" w:space="0" w:color="auto"/>
              <w:bottom w:val="single" w:sz="4" w:space="0" w:color="auto"/>
              <w:right w:val="single" w:sz="4" w:space="0" w:color="auto"/>
            </w:tcBorders>
            <w:vAlign w:val="center"/>
          </w:tcPr>
          <w:p w:rsidR="003F3D2F" w:rsidRPr="003F3D2F" w:rsidRDefault="003F3D2F" w:rsidP="00104F36">
            <w:pPr>
              <w:spacing w:line="360" w:lineRule="auto"/>
              <w:jc w:val="center"/>
              <w:rPr>
                <w:rFonts w:ascii="仿宋_GB2312" w:hAnsi="仿宋_GB2312" w:cs="仿宋_GB2312"/>
                <w:bCs/>
                <w:sz w:val="24"/>
                <w:szCs w:val="24"/>
              </w:rPr>
            </w:pPr>
            <w:r w:rsidRPr="003F3D2F">
              <w:rPr>
                <w:rFonts w:ascii="仿宋_GB2312" w:hAnsi="仿宋_GB2312" w:cs="仿宋_GB2312"/>
                <w:bCs/>
                <w:sz w:val="24"/>
                <w:szCs w:val="24"/>
              </w:rPr>
              <w:t>（2）（3）</w:t>
            </w:r>
          </w:p>
        </w:tc>
      </w:tr>
    </w:tbl>
    <w:p w:rsidR="003F3D2F" w:rsidRPr="003F3D2F" w:rsidRDefault="003F3D2F" w:rsidP="003F3D2F">
      <w:pPr>
        <w:tabs>
          <w:tab w:val="right" w:pos="8222"/>
        </w:tabs>
        <w:spacing w:line="360" w:lineRule="auto"/>
        <w:rPr>
          <w:rFonts w:ascii="仿宋_GB2312" w:hAnsi="仿宋_GB2312" w:cs="仿宋_GB2312"/>
          <w:b/>
          <w:bCs/>
          <w:sz w:val="28"/>
          <w:szCs w:val="28"/>
        </w:rPr>
      </w:pPr>
      <w:r w:rsidRPr="003F3D2F">
        <w:rPr>
          <w:rFonts w:ascii="仿宋_GB2312" w:hAnsi="仿宋_GB2312" w:cs="仿宋_GB2312"/>
          <w:b/>
          <w:bCs/>
          <w:sz w:val="28"/>
          <w:szCs w:val="28"/>
        </w:rPr>
        <w:t>（二）课程目标达成度自评方式</w:t>
      </w:r>
    </w:p>
    <w:p w:rsidR="003F3D2F" w:rsidRPr="003F3D2F" w:rsidRDefault="003F3D2F" w:rsidP="003F3D2F">
      <w:pPr>
        <w:spacing w:line="360" w:lineRule="auto"/>
        <w:ind w:firstLineChars="200" w:firstLine="560"/>
        <w:rPr>
          <w:rFonts w:ascii="仿宋_GB2312" w:hAnsi="仿宋_GB2312" w:cs="仿宋_GB2312"/>
          <w:bCs/>
          <w:sz w:val="28"/>
          <w:szCs w:val="28"/>
        </w:rPr>
      </w:pPr>
      <w:r w:rsidRPr="003F3D2F">
        <w:rPr>
          <w:rFonts w:ascii="仿宋_GB2312" w:hAnsi="仿宋_GB2312" w:cs="仿宋_GB2312"/>
          <w:bCs/>
          <w:sz w:val="28"/>
          <w:szCs w:val="28"/>
        </w:rPr>
        <w:t>据学院教学管理规定，在开展课程达成度评价前，课程评价审核小组对课程的评价依据合理性进行确认，包括平时作业、随堂测验、</w:t>
      </w:r>
      <w:r w:rsidRPr="003F3D2F">
        <w:rPr>
          <w:rFonts w:ascii="仿宋_GB2312" w:hAnsi="仿宋_GB2312" w:cs="仿宋_GB2312"/>
          <w:bCs/>
          <w:sz w:val="28"/>
          <w:szCs w:val="28"/>
        </w:rPr>
        <w:lastRenderedPageBreak/>
        <w:t>和期终考试等考核环节。课程结束后，课程小组需要对课程进行达成度评价，课程小组由课程负责人和任课教师组成，统计课程考核数据，并填写“《结构力学》课程达成情况评价”报告，以便及时了解课程的达成效果，发现问题并进行持续改进，同时也为毕业要求达成度的评价提供基础数据。</w:t>
      </w:r>
    </w:p>
    <w:p w:rsidR="003F3D2F" w:rsidRPr="003F3D2F" w:rsidRDefault="003F3D2F"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根据课程的考核形式，全部或抽样部分考核资料（应以当年修读该课程的学生为总体，至少抽取61%以上的学生样本），抽样时需覆盖优、良、中、及格和不及格等考核等级的考核资料。课程达成度的具体评价方法，详见“《结构力学》课程达成情况评价”报告。</w:t>
      </w:r>
    </w:p>
    <w:p w:rsidR="003F3D2F" w:rsidRPr="003F3D2F" w:rsidRDefault="003F3D2F" w:rsidP="003F3D2F">
      <w:pPr>
        <w:adjustRightInd w:val="0"/>
        <w:snapToGrid w:val="0"/>
        <w:spacing w:line="360" w:lineRule="auto"/>
        <w:ind w:firstLineChars="200" w:firstLine="560"/>
        <w:jc w:val="left"/>
        <w:rPr>
          <w:rFonts w:ascii="仿宋_GB2312" w:hAnsi="仿宋_GB2312" w:cs="仿宋_GB2312"/>
          <w:bCs/>
          <w:sz w:val="28"/>
          <w:szCs w:val="28"/>
        </w:rPr>
      </w:pPr>
      <w:r w:rsidRPr="003F3D2F">
        <w:rPr>
          <w:rFonts w:ascii="仿宋_GB2312" w:hAnsi="仿宋_GB2312" w:cs="仿宋_GB2312"/>
          <w:bCs/>
          <w:sz w:val="28"/>
          <w:szCs w:val="28"/>
        </w:rPr>
        <w:t>课程小组提交课程达成度评价数据后，课程评价审核小组对评价数据的合理性和有效性进行审核。</w:t>
      </w:r>
    </w:p>
    <w:p w:rsidR="003F3D2F" w:rsidRPr="003F3D2F" w:rsidRDefault="003F3D2F" w:rsidP="003F3D2F">
      <w:pPr>
        <w:spacing w:beforeLines="50" w:before="156" w:afterLines="50" w:after="156" w:line="560" w:lineRule="exact"/>
        <w:rPr>
          <w:rFonts w:ascii="黑体" w:eastAsia="黑体" w:hAnsi="黑体"/>
          <w:b/>
          <w:sz w:val="28"/>
          <w:szCs w:val="28"/>
        </w:rPr>
      </w:pPr>
      <w:r w:rsidRPr="003F3D2F">
        <w:rPr>
          <w:rFonts w:ascii="黑体" w:eastAsia="黑体" w:hAnsi="黑体"/>
          <w:b/>
          <w:sz w:val="28"/>
          <w:szCs w:val="28"/>
        </w:rPr>
        <w:t>七、教学进程（详见授课日历）</w:t>
      </w:r>
    </w:p>
    <w:p w:rsidR="003F3D2F" w:rsidRPr="003F3D2F" w:rsidRDefault="003F3D2F" w:rsidP="003F3D2F">
      <w:pPr>
        <w:spacing w:beforeLines="50" w:before="156" w:afterLines="50" w:after="156" w:line="560" w:lineRule="exact"/>
        <w:rPr>
          <w:rFonts w:ascii="黑体" w:eastAsia="黑体" w:hAnsi="黑体"/>
          <w:b/>
          <w:sz w:val="28"/>
          <w:szCs w:val="28"/>
        </w:rPr>
      </w:pPr>
      <w:r w:rsidRPr="003F3D2F">
        <w:rPr>
          <w:rFonts w:ascii="黑体" w:eastAsia="黑体" w:hAnsi="黑体"/>
          <w:b/>
          <w:sz w:val="28"/>
          <w:szCs w:val="28"/>
        </w:rPr>
        <w:t>八、教材及参考书</w:t>
      </w:r>
    </w:p>
    <w:p w:rsidR="003F3D2F" w:rsidRPr="003F3D2F" w:rsidRDefault="003F3D2F"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1．教材：</w:t>
      </w:r>
    </w:p>
    <w:p w:rsidR="003F3D2F" w:rsidRPr="003F3D2F" w:rsidRDefault="003F3D2F"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（1）《结构力学I》《结构力学II》，龙驭球、包世华、袁驷编，2018年第4版，高等教育出版社。</w:t>
      </w:r>
    </w:p>
    <w:p w:rsidR="003F3D2F" w:rsidRPr="003F3D2F" w:rsidRDefault="003F3D2F"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2．参考书：</w:t>
      </w:r>
    </w:p>
    <w:p w:rsidR="003F3D2F" w:rsidRPr="003F3D2F" w:rsidRDefault="003F3D2F"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（1）《结构力学》，朱慈勉主编，2016年8月第3版，高等教育出版社。</w:t>
      </w:r>
    </w:p>
    <w:p w:rsidR="003F3D2F" w:rsidRPr="003F3D2F" w:rsidRDefault="003F3D2F"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（2）《结构力学》，杨茀康、李家宝主编，2016年2月第6版，高等教育出版社。</w:t>
      </w:r>
    </w:p>
    <w:p w:rsidR="003F3D2F" w:rsidRPr="003F3D2F" w:rsidRDefault="003F3D2F"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（3）《结构力学学习方法及解题指导》，徐新济、李恒增编著，2002</w:t>
      </w:r>
      <w:r w:rsidRPr="003F3D2F">
        <w:rPr>
          <w:rFonts w:ascii="仿宋_GB2312" w:hAnsi="仿宋_GB2312" w:cs="仿宋_GB2312"/>
          <w:bCs/>
          <w:sz w:val="28"/>
          <w:szCs w:val="28"/>
        </w:rPr>
        <w:lastRenderedPageBreak/>
        <w:t>年10月第1版，同济大学出版社。</w:t>
      </w:r>
    </w:p>
    <w:p w:rsidR="003F3D2F" w:rsidRPr="003F3D2F" w:rsidRDefault="003F3D2F" w:rsidP="003F3D2F">
      <w:pPr>
        <w:spacing w:line="360" w:lineRule="auto"/>
        <w:ind w:firstLine="480"/>
        <w:rPr>
          <w:rFonts w:ascii="仿宋_GB2312" w:hAnsi="仿宋_GB2312" w:cs="仿宋_GB2312"/>
          <w:bCs/>
          <w:sz w:val="28"/>
          <w:szCs w:val="28"/>
        </w:rPr>
      </w:pPr>
      <w:r>
        <w:rPr>
          <w:rFonts w:eastAsia="黑体"/>
          <w:b/>
          <w:sz w:val="24"/>
        </w:rPr>
        <w:t>九、</w:t>
      </w:r>
      <w:r w:rsidRPr="003F3D2F">
        <w:rPr>
          <w:rFonts w:ascii="仿宋_GB2312" w:hAnsi="仿宋_GB2312" w:cs="仿宋_GB2312"/>
          <w:bCs/>
          <w:sz w:val="28"/>
          <w:szCs w:val="28"/>
        </w:rPr>
        <w:t>执行大纲应注意的问题</w:t>
      </w:r>
    </w:p>
    <w:p w:rsidR="003F3D2F" w:rsidRPr="003F3D2F" w:rsidRDefault="003F3D2F"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1、教学中应注重基本知识、基本理论和基本方法的讲授，注意精讲多练。</w:t>
      </w:r>
    </w:p>
    <w:p w:rsidR="003F3D2F" w:rsidRPr="003F3D2F" w:rsidRDefault="003F3D2F"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2、教学内容的顺序及其安排仅供参考，教师可根据情况作适当调整。</w:t>
      </w:r>
    </w:p>
    <w:p w:rsidR="003F3D2F" w:rsidRDefault="003F3D2F" w:rsidP="003F3D2F">
      <w:pPr>
        <w:spacing w:line="360" w:lineRule="auto"/>
        <w:ind w:firstLine="480"/>
        <w:rPr>
          <w:rFonts w:ascii="仿宋_GB2312" w:hAnsi="仿宋_GB2312" w:cs="仿宋_GB2312"/>
          <w:bCs/>
          <w:sz w:val="28"/>
          <w:szCs w:val="28"/>
        </w:rPr>
      </w:pPr>
      <w:r w:rsidRPr="003F3D2F">
        <w:rPr>
          <w:rFonts w:ascii="仿宋_GB2312" w:hAnsi="仿宋_GB2312" w:cs="仿宋_GB2312"/>
          <w:bCs/>
          <w:sz w:val="28"/>
          <w:szCs w:val="28"/>
        </w:rPr>
        <w:t>3、线下教学，平时成绩和期终考试在总成绩中的比例分别为20%、80%。当采用线上线下混合教学等非传统课堂授课为主的新教学方法、且有合理科学的教学过程管理和评价考核方法时，可适当降低期终考试在总成绩中的比例（不低于60%）。</w:t>
      </w:r>
    </w:p>
    <w:p w:rsidR="003F3D2F" w:rsidRDefault="003F3D2F" w:rsidP="003F3D2F">
      <w:pPr>
        <w:spacing w:beforeLines="50" w:before="156" w:afterLines="50" w:after="156" w:line="460" w:lineRule="exact"/>
        <w:rPr>
          <w:rFonts w:ascii="黑体" w:eastAsia="黑体" w:hAnsi="黑体"/>
          <w:b/>
          <w:sz w:val="28"/>
          <w:szCs w:val="28"/>
        </w:rPr>
      </w:pPr>
    </w:p>
    <w:p w:rsidR="003F3D2F" w:rsidRDefault="003F3D2F" w:rsidP="003F3D2F">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大纲撰写人：何俊</w:t>
      </w:r>
    </w:p>
    <w:p w:rsidR="003F3D2F" w:rsidRDefault="003F3D2F" w:rsidP="003F3D2F">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3F3D2F" w:rsidRDefault="003F3D2F" w:rsidP="003F3D2F">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3F3D2F" w:rsidRPr="003F3D2F" w:rsidRDefault="003F3D2F" w:rsidP="003F3D2F">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3F3D2F" w:rsidRDefault="003F3D2F" w:rsidP="003F3D2F">
      <w:pPr>
        <w:jc w:val="left"/>
        <w:rPr>
          <w:rFonts w:ascii="仿宋_GB2312" w:hAnsi="黑体"/>
          <w:sz w:val="28"/>
          <w:szCs w:val="28"/>
        </w:rPr>
      </w:pPr>
      <w:r>
        <w:rPr>
          <w:rFonts w:ascii="仿宋" w:eastAsia="仿宋" w:hAnsi="仿宋" w:hint="eastAsia"/>
          <w:sz w:val="28"/>
          <w:szCs w:val="28"/>
        </w:rPr>
        <w:t xml:space="preserve">                                         年    月</w:t>
      </w:r>
    </w:p>
    <w:p w:rsidR="003F3D2F" w:rsidRPr="003F3D2F" w:rsidRDefault="003F3D2F" w:rsidP="003F3D2F">
      <w:pPr>
        <w:spacing w:line="360" w:lineRule="auto"/>
        <w:ind w:firstLine="480"/>
        <w:rPr>
          <w:rFonts w:ascii="仿宋_GB2312" w:hAnsi="仿宋_GB2312" w:cs="仿宋_GB2312"/>
          <w:bCs/>
          <w:sz w:val="28"/>
          <w:szCs w:val="28"/>
        </w:rPr>
      </w:pPr>
    </w:p>
    <w:p w:rsidR="003F3D2F" w:rsidRDefault="003F3D2F" w:rsidP="003F3D2F">
      <w:pPr>
        <w:adjustRightInd w:val="0"/>
        <w:snapToGrid w:val="0"/>
        <w:spacing w:line="360" w:lineRule="exact"/>
        <w:jc w:val="center"/>
      </w:pPr>
    </w:p>
    <w:p w:rsidR="003F3D2F" w:rsidRDefault="003F3D2F" w:rsidP="003F3D2F">
      <w:pPr>
        <w:adjustRightInd w:val="0"/>
        <w:snapToGrid w:val="0"/>
        <w:spacing w:line="360" w:lineRule="exact"/>
        <w:jc w:val="center"/>
      </w:pPr>
    </w:p>
    <w:p w:rsidR="003F3D2F" w:rsidRDefault="003F3D2F" w:rsidP="003F3D2F">
      <w:pPr>
        <w:adjustRightInd w:val="0"/>
        <w:snapToGrid w:val="0"/>
        <w:spacing w:line="360" w:lineRule="exact"/>
        <w:jc w:val="center"/>
      </w:pPr>
    </w:p>
    <w:p w:rsidR="003F3D2F" w:rsidRPr="00EE2D67" w:rsidRDefault="003F3D2F" w:rsidP="003F3D2F">
      <w:pPr>
        <w:jc w:val="center"/>
        <w:rPr>
          <w:rFonts w:ascii="Times New Roman" w:eastAsia="仿宋" w:hAnsi="Times New Roman"/>
          <w:sz w:val="28"/>
          <w:szCs w:val="28"/>
        </w:rPr>
      </w:pPr>
    </w:p>
    <w:p w:rsidR="00876C31" w:rsidRDefault="00876C31" w:rsidP="00876C31">
      <w:pPr>
        <w:jc w:val="center"/>
        <w:rPr>
          <w:rFonts w:ascii="Times New Roman" w:eastAsia="仿宋" w:hAnsi="Times New Roman"/>
          <w:sz w:val="28"/>
          <w:szCs w:val="28"/>
        </w:rPr>
      </w:pPr>
    </w:p>
    <w:p w:rsidR="00A326D6" w:rsidRDefault="00A326D6" w:rsidP="00876C31">
      <w:pPr>
        <w:spacing w:line="440" w:lineRule="exact"/>
        <w:jc w:val="center"/>
        <w:outlineLvl w:val="0"/>
        <w:rPr>
          <w:rFonts w:eastAsia="黑体"/>
          <w:b/>
          <w:sz w:val="30"/>
          <w:szCs w:val="30"/>
        </w:rPr>
      </w:pPr>
    </w:p>
    <w:p w:rsidR="00A326D6" w:rsidRDefault="00A326D6" w:rsidP="00A326D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A326D6">
        <w:rPr>
          <w:rFonts w:ascii="方正小标宋简体" w:eastAsia="方正小标宋简体" w:hAnsi="宋体" w:hint="eastAsia"/>
          <w:kern w:val="0"/>
          <w:szCs w:val="32"/>
        </w:rPr>
        <w:t>弹性</w:t>
      </w:r>
      <w:r w:rsidRPr="00A326D6">
        <w:rPr>
          <w:rFonts w:ascii="方正小标宋简体" w:eastAsia="方正小标宋简体" w:hAnsi="宋体"/>
          <w:kern w:val="0"/>
          <w:szCs w:val="32"/>
        </w:rPr>
        <w:t>力学</w:t>
      </w:r>
      <w:r>
        <w:rPr>
          <w:rFonts w:ascii="方正小标宋简体" w:eastAsia="方正小标宋简体" w:hAnsi="宋体" w:hint="eastAsia"/>
          <w:kern w:val="0"/>
          <w:szCs w:val="32"/>
        </w:rPr>
        <w:t>》课程教学大纲</w:t>
      </w:r>
    </w:p>
    <w:p w:rsidR="00A326D6" w:rsidRDefault="00A326D6" w:rsidP="00A326D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A326D6" w:rsidRDefault="00A326D6" w:rsidP="00A326D6">
      <w:pPr>
        <w:spacing w:line="360" w:lineRule="auto"/>
        <w:rPr>
          <w:rFonts w:ascii="仿宋_GB2312" w:hAnsi="仿宋_GB2312" w:cs="仿宋_GB2312"/>
          <w:bCs/>
          <w:sz w:val="28"/>
          <w:szCs w:val="28"/>
        </w:rPr>
      </w:pPr>
      <w:r>
        <w:rPr>
          <w:rFonts w:ascii="仿宋_GB2312" w:hAnsi="仿宋_GB2312" w:cs="仿宋_GB2312" w:hint="eastAsia"/>
          <w:bCs/>
          <w:sz w:val="28"/>
          <w:szCs w:val="28"/>
        </w:rPr>
        <w:t>英文名称：</w:t>
      </w:r>
      <w:r w:rsidRPr="00A326D6">
        <w:rPr>
          <w:rFonts w:ascii="仿宋_GB2312" w:hAnsi="仿宋_GB2312" w:cs="仿宋_GB2312" w:hint="eastAsia"/>
          <w:bCs/>
          <w:sz w:val="28"/>
          <w:szCs w:val="28"/>
        </w:rPr>
        <w:t>Elastic</w:t>
      </w:r>
      <w:r w:rsidRPr="00A326D6">
        <w:rPr>
          <w:rFonts w:ascii="仿宋_GB2312" w:hAnsi="仿宋_GB2312" w:cs="仿宋_GB2312"/>
          <w:bCs/>
          <w:sz w:val="28"/>
          <w:szCs w:val="28"/>
        </w:rPr>
        <w:t xml:space="preserve"> Mechanics</w:t>
      </w:r>
    </w:p>
    <w:p w:rsidR="00A326D6" w:rsidRDefault="00A326D6" w:rsidP="00A326D6">
      <w:pPr>
        <w:spacing w:line="360" w:lineRule="auto"/>
        <w:jc w:val="left"/>
        <w:rPr>
          <w:rFonts w:ascii="仿宋_GB2312" w:hAnsi="仿宋_GB2312" w:cs="仿宋_GB2312"/>
          <w:bCs/>
          <w:sz w:val="28"/>
          <w:szCs w:val="28"/>
        </w:rPr>
      </w:pPr>
      <w:r>
        <w:rPr>
          <w:rFonts w:ascii="仿宋_GB2312" w:hAnsi="仿宋_GB2312" w:cs="仿宋_GB2312" w:hint="eastAsia"/>
          <w:bCs/>
          <w:sz w:val="28"/>
          <w:szCs w:val="28"/>
        </w:rPr>
        <w:t>课程编码：</w:t>
      </w:r>
      <w:r w:rsidRPr="00A326D6">
        <w:rPr>
          <w:rFonts w:ascii="仿宋_GB2312" w:hAnsi="仿宋_GB2312" w:cs="仿宋_GB2312"/>
          <w:bCs/>
          <w:sz w:val="28"/>
          <w:szCs w:val="28"/>
        </w:rPr>
        <w:t>Z2804030</w:t>
      </w:r>
    </w:p>
    <w:p w:rsidR="00A326D6" w:rsidRDefault="00A326D6" w:rsidP="00A326D6">
      <w:pPr>
        <w:spacing w:line="360" w:lineRule="auto"/>
        <w:rPr>
          <w:rFonts w:ascii="仿宋_GB2312" w:hAnsi="仿宋_GB2312" w:cs="仿宋_GB2312"/>
          <w:bCs/>
          <w:sz w:val="28"/>
          <w:szCs w:val="28"/>
        </w:rPr>
      </w:pPr>
      <w:r>
        <w:rPr>
          <w:rFonts w:ascii="仿宋_GB2312" w:hAnsi="仿宋_GB2312" w:cs="仿宋_GB2312" w:hint="eastAsia"/>
          <w:bCs/>
          <w:sz w:val="28"/>
          <w:szCs w:val="28"/>
        </w:rPr>
        <w:t>授课语言：中文</w:t>
      </w:r>
    </w:p>
    <w:p w:rsidR="00A326D6" w:rsidRDefault="00A326D6" w:rsidP="00A326D6">
      <w:pPr>
        <w:spacing w:line="360" w:lineRule="auto"/>
        <w:rPr>
          <w:rFonts w:ascii="仿宋_GB2312" w:hAnsi="仿宋_GB2312" w:cs="仿宋_GB2312"/>
          <w:bCs/>
          <w:sz w:val="28"/>
          <w:szCs w:val="28"/>
        </w:rPr>
      </w:pPr>
      <w:r>
        <w:rPr>
          <w:rFonts w:ascii="仿宋_GB2312" w:hAnsi="仿宋_GB2312" w:cs="仿宋_GB2312" w:hint="eastAsia"/>
          <w:bCs/>
          <w:sz w:val="28"/>
          <w:szCs w:val="28"/>
        </w:rPr>
        <w:t>授课方式：线下</w:t>
      </w:r>
    </w:p>
    <w:p w:rsidR="00A326D6" w:rsidRDefault="00A326D6" w:rsidP="00A326D6">
      <w:pPr>
        <w:spacing w:line="360" w:lineRule="auto"/>
        <w:rPr>
          <w:rFonts w:ascii="仿宋_GB2312" w:hAnsi="仿宋_GB2312" w:cs="仿宋_GB2312"/>
          <w:bCs/>
          <w:sz w:val="28"/>
          <w:szCs w:val="28"/>
        </w:rPr>
      </w:pPr>
      <w:r>
        <w:rPr>
          <w:rFonts w:ascii="仿宋_GB2312" w:hAnsi="仿宋_GB2312" w:cs="仿宋_GB2312" w:hint="eastAsia"/>
          <w:bCs/>
          <w:sz w:val="28"/>
          <w:szCs w:val="28"/>
        </w:rPr>
        <w:t>课程类别：专业发展</w:t>
      </w:r>
    </w:p>
    <w:p w:rsidR="00A326D6" w:rsidRDefault="00A326D6" w:rsidP="00A326D6">
      <w:pPr>
        <w:spacing w:line="360" w:lineRule="auto"/>
        <w:rPr>
          <w:rFonts w:ascii="仿宋_GB2312" w:hAnsi="仿宋_GB2312" w:cs="仿宋_GB2312"/>
          <w:bCs/>
          <w:sz w:val="28"/>
          <w:szCs w:val="28"/>
        </w:rPr>
      </w:pPr>
      <w:r>
        <w:rPr>
          <w:rFonts w:ascii="仿宋_GB2312" w:hAnsi="仿宋_GB2312" w:cs="仿宋_GB2312" w:hint="eastAsia"/>
          <w:bCs/>
          <w:sz w:val="28"/>
          <w:szCs w:val="28"/>
        </w:rPr>
        <w:t>课程性质：必修</w:t>
      </w:r>
    </w:p>
    <w:p w:rsidR="00A326D6" w:rsidRDefault="00A326D6" w:rsidP="00A326D6">
      <w:pPr>
        <w:spacing w:line="360" w:lineRule="auto"/>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2.0</w:t>
      </w:r>
    </w:p>
    <w:p w:rsidR="00A326D6" w:rsidRDefault="00A326D6" w:rsidP="00A326D6">
      <w:pPr>
        <w:spacing w:line="360" w:lineRule="auto"/>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32</w:t>
      </w:r>
      <w:r>
        <w:rPr>
          <w:rFonts w:ascii="仿宋_GB2312" w:hAnsi="仿宋_GB2312" w:cs="仿宋_GB2312" w:hint="eastAsia"/>
          <w:bCs/>
          <w:sz w:val="28"/>
          <w:szCs w:val="28"/>
        </w:rPr>
        <w:t>学时</w:t>
      </w:r>
    </w:p>
    <w:p w:rsidR="00A326D6" w:rsidRDefault="00A326D6" w:rsidP="00A326D6">
      <w:pPr>
        <w:spacing w:line="360" w:lineRule="auto"/>
        <w:rPr>
          <w:rFonts w:ascii="仿宋_GB2312" w:hAnsi="仿宋_GB2312" w:cs="仿宋_GB2312"/>
          <w:bCs/>
          <w:sz w:val="28"/>
          <w:szCs w:val="28"/>
        </w:rPr>
      </w:pPr>
      <w:r>
        <w:rPr>
          <w:rFonts w:ascii="仿宋_GB2312" w:hAnsi="仿宋_GB2312" w:cs="仿宋_GB2312" w:hint="eastAsia"/>
          <w:bCs/>
          <w:sz w:val="28"/>
          <w:szCs w:val="28"/>
        </w:rPr>
        <w:t>适用对象：土木工程专业</w:t>
      </w:r>
    </w:p>
    <w:p w:rsidR="00A326D6" w:rsidRDefault="00A326D6" w:rsidP="00A326D6">
      <w:pPr>
        <w:spacing w:line="360" w:lineRule="auto"/>
        <w:rPr>
          <w:rFonts w:ascii="仿宋_GB2312" w:hAnsi="仿宋_GB2312" w:cs="仿宋_GB2312"/>
          <w:bCs/>
          <w:sz w:val="28"/>
          <w:szCs w:val="28"/>
        </w:rPr>
      </w:pPr>
      <w:r>
        <w:rPr>
          <w:rFonts w:ascii="仿宋_GB2312" w:hAnsi="仿宋_GB2312" w:cs="仿宋_GB2312" w:hint="eastAsia"/>
          <w:bCs/>
          <w:sz w:val="28"/>
          <w:szCs w:val="28"/>
        </w:rPr>
        <w:t>先修课程：</w:t>
      </w:r>
      <w:r w:rsidRPr="00A326D6">
        <w:rPr>
          <w:rFonts w:ascii="仿宋_GB2312" w:hAnsi="仿宋_GB2312" w:cs="仿宋_GB2312" w:hint="eastAsia"/>
          <w:bCs/>
          <w:sz w:val="28"/>
          <w:szCs w:val="28"/>
        </w:rPr>
        <w:t>高等数学、理论力学、材料力学</w:t>
      </w:r>
      <w:r>
        <w:rPr>
          <w:rFonts w:ascii="仿宋_GB2312" w:hAnsi="仿宋_GB2312" w:cs="仿宋_GB2312" w:hint="eastAsia"/>
          <w:bCs/>
          <w:sz w:val="28"/>
          <w:szCs w:val="28"/>
        </w:rPr>
        <w:t>开课院系：XX学院XX系</w:t>
      </w:r>
    </w:p>
    <w:p w:rsidR="00A326D6" w:rsidRPr="00A326D6" w:rsidRDefault="00A326D6" w:rsidP="00A326D6">
      <w:pPr>
        <w:spacing w:line="360" w:lineRule="auto"/>
        <w:rPr>
          <w:rFonts w:ascii="仿宋_GB2312" w:hAnsi="仿宋_GB2312" w:cs="仿宋_GB2312"/>
          <w:bCs/>
          <w:sz w:val="28"/>
          <w:szCs w:val="28"/>
        </w:rPr>
      </w:pPr>
      <w:r>
        <w:rPr>
          <w:rFonts w:ascii="仿宋_GB2312" w:hAnsi="仿宋_GB2312" w:cs="仿宋_GB2312"/>
          <w:bCs/>
          <w:sz w:val="28"/>
          <w:szCs w:val="28"/>
        </w:rPr>
        <w:t>开课院系</w:t>
      </w:r>
      <w:r>
        <w:rPr>
          <w:rFonts w:ascii="仿宋_GB2312" w:hAnsi="仿宋_GB2312" w:cs="仿宋_GB2312" w:hint="eastAsia"/>
          <w:bCs/>
          <w:sz w:val="28"/>
          <w:szCs w:val="28"/>
        </w:rPr>
        <w:t>：</w:t>
      </w:r>
      <w:r w:rsidRPr="00A326D6">
        <w:rPr>
          <w:rFonts w:ascii="仿宋_GB2312" w:hAnsi="仿宋_GB2312" w:cs="仿宋_GB2312" w:hint="eastAsia"/>
          <w:bCs/>
          <w:sz w:val="28"/>
          <w:szCs w:val="28"/>
        </w:rPr>
        <w:t>建筑工程学院力学与材料教研室</w:t>
      </w:r>
    </w:p>
    <w:p w:rsidR="00A326D6" w:rsidRDefault="00A326D6" w:rsidP="00A326D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876C31" w:rsidRPr="00A326D6" w:rsidRDefault="00876C31" w:rsidP="00A326D6">
      <w:pPr>
        <w:snapToGrid w:val="0"/>
        <w:spacing w:line="360" w:lineRule="auto"/>
        <w:ind w:leftChars="100" w:left="320" w:firstLineChars="200" w:firstLine="560"/>
        <w:jc w:val="left"/>
        <w:rPr>
          <w:rFonts w:ascii="仿宋_GB2312" w:hAnsi="仿宋_GB2312" w:cs="仿宋_GB2312"/>
          <w:bCs/>
          <w:sz w:val="28"/>
          <w:szCs w:val="28"/>
        </w:rPr>
      </w:pPr>
      <w:r w:rsidRPr="00A326D6">
        <w:rPr>
          <w:rFonts w:ascii="仿宋_GB2312" w:hAnsi="仿宋_GB2312" w:cs="仿宋_GB2312" w:hint="eastAsia"/>
          <w:bCs/>
          <w:sz w:val="28"/>
          <w:szCs w:val="28"/>
        </w:rPr>
        <w:t>《弹性力学》课程是土木工程专业的一门专业发展</w:t>
      </w:r>
      <w:r w:rsidRPr="00A326D6">
        <w:rPr>
          <w:rFonts w:ascii="仿宋_GB2312" w:hAnsi="仿宋_GB2312" w:cs="仿宋_GB2312"/>
          <w:bCs/>
          <w:sz w:val="28"/>
          <w:szCs w:val="28"/>
        </w:rPr>
        <w:t>课，属</w:t>
      </w:r>
      <w:r w:rsidRPr="00A326D6">
        <w:rPr>
          <w:rFonts w:ascii="仿宋_GB2312" w:hAnsi="仿宋_GB2312" w:cs="仿宋_GB2312" w:hint="eastAsia"/>
          <w:bCs/>
          <w:sz w:val="28"/>
          <w:szCs w:val="28"/>
        </w:rPr>
        <w:t>选</w:t>
      </w:r>
      <w:r w:rsidRPr="00A326D6">
        <w:rPr>
          <w:rFonts w:ascii="仿宋_GB2312" w:hAnsi="仿宋_GB2312" w:cs="仿宋_GB2312"/>
          <w:bCs/>
          <w:sz w:val="28"/>
          <w:szCs w:val="28"/>
        </w:rPr>
        <w:t>修课程。</w:t>
      </w:r>
      <w:r w:rsidRPr="00A326D6">
        <w:rPr>
          <w:rFonts w:ascii="仿宋_GB2312" w:hAnsi="仿宋_GB2312" w:cs="仿宋_GB2312" w:hint="eastAsia"/>
          <w:bCs/>
          <w:sz w:val="28"/>
          <w:szCs w:val="28"/>
        </w:rPr>
        <w:t>主要分析各种结构物或构件在弹性阶段的应力、应变和位移，校核它们是否具有足够的强度和刚度，并寻求改进它们的计算方法。主要内容包括：应力方向的规定、两类平面问题的建立、边界条件的描述、相容方程的提法、应力函数的求解与应用、直角坐标和极坐标下运用逆解法及半逆解法解平面问题。在理论力学和材料力学等课程的基础上，学习和掌握弹性力学的基本概念、基本方程和基本解法，了解弹性力学一些问题的基本解答，加深理论基础，培养分析和解决问题的能力，为后续专业课</w:t>
      </w:r>
      <w:r w:rsidRPr="00A326D6">
        <w:rPr>
          <w:rFonts w:ascii="仿宋_GB2312" w:hAnsi="仿宋_GB2312" w:cs="仿宋_GB2312" w:hint="eastAsia"/>
          <w:bCs/>
          <w:sz w:val="28"/>
          <w:szCs w:val="28"/>
        </w:rPr>
        <w:lastRenderedPageBreak/>
        <w:t>学习打下良好的基础。</w:t>
      </w:r>
    </w:p>
    <w:p w:rsidR="00876C31" w:rsidRPr="00A326D6" w:rsidRDefault="00876C31" w:rsidP="00A326D6">
      <w:pPr>
        <w:spacing w:beforeLines="50" w:before="156" w:afterLines="50" w:after="156" w:line="560" w:lineRule="exact"/>
        <w:rPr>
          <w:rFonts w:ascii="黑体" w:eastAsia="黑体" w:hAnsi="黑体"/>
          <w:b/>
          <w:sz w:val="28"/>
          <w:szCs w:val="28"/>
        </w:rPr>
      </w:pPr>
      <w:r w:rsidRPr="00A326D6">
        <w:rPr>
          <w:rFonts w:ascii="黑体" w:eastAsia="黑体" w:hAnsi="黑体"/>
          <w:b/>
          <w:sz w:val="28"/>
          <w:szCs w:val="28"/>
        </w:rPr>
        <w:t>三、教学目标及其对毕业要求的支撑</w:t>
      </w:r>
    </w:p>
    <w:p w:rsidR="00876C31" w:rsidRPr="00A326D6" w:rsidRDefault="00876C31" w:rsidP="00876C31">
      <w:pPr>
        <w:spacing w:before="120" w:line="360" w:lineRule="auto"/>
        <w:rPr>
          <w:rFonts w:ascii="仿宋_GB2312" w:hAnsi="仿宋_GB2312" w:cs="仿宋_GB2312"/>
          <w:b/>
          <w:bCs/>
          <w:sz w:val="28"/>
          <w:szCs w:val="28"/>
        </w:rPr>
      </w:pPr>
      <w:r w:rsidRPr="00A326D6">
        <w:rPr>
          <w:rFonts w:ascii="仿宋_GB2312" w:hAnsi="仿宋_GB2312" w:cs="仿宋_GB2312" w:hint="eastAsia"/>
          <w:b/>
          <w:bCs/>
          <w:sz w:val="28"/>
          <w:szCs w:val="28"/>
        </w:rPr>
        <w:t>（一）教学目标</w:t>
      </w:r>
    </w:p>
    <w:p w:rsidR="00876C31" w:rsidRPr="00A326D6" w:rsidRDefault="00876C31" w:rsidP="00876C31">
      <w:pPr>
        <w:snapToGrid w:val="0"/>
        <w:spacing w:line="360" w:lineRule="auto"/>
        <w:ind w:firstLineChars="200" w:firstLine="560"/>
        <w:rPr>
          <w:rFonts w:ascii="仿宋_GB2312" w:hAnsi="仿宋_GB2312" w:cs="仿宋_GB2312"/>
          <w:bCs/>
          <w:sz w:val="28"/>
          <w:szCs w:val="28"/>
        </w:rPr>
      </w:pPr>
      <w:r w:rsidRPr="00A326D6">
        <w:rPr>
          <w:rFonts w:ascii="仿宋_GB2312" w:hAnsi="仿宋_GB2312" w:cs="仿宋_GB2312" w:hint="eastAsia"/>
          <w:bCs/>
          <w:sz w:val="28"/>
          <w:szCs w:val="28"/>
        </w:rPr>
        <w:t>在弹性力学课程教学中，要遵循重基础理论、重基本概念、重基本方法的教学理念。</w:t>
      </w:r>
      <w:r w:rsidRPr="00A326D6">
        <w:rPr>
          <w:rFonts w:ascii="仿宋_GB2312" w:hAnsi="仿宋_GB2312" w:cs="仿宋_GB2312"/>
          <w:bCs/>
          <w:sz w:val="28"/>
          <w:szCs w:val="28"/>
        </w:rPr>
        <w:t>教学方式</w:t>
      </w:r>
      <w:r w:rsidRPr="00A326D6">
        <w:rPr>
          <w:rFonts w:ascii="仿宋_GB2312" w:hAnsi="仿宋_GB2312" w:cs="仿宋_GB2312" w:hint="eastAsia"/>
          <w:bCs/>
          <w:sz w:val="28"/>
          <w:szCs w:val="28"/>
        </w:rPr>
        <w:t>采用板书或</w:t>
      </w:r>
      <w:r w:rsidRPr="00A326D6">
        <w:rPr>
          <w:rFonts w:ascii="仿宋_GB2312" w:hAnsi="仿宋_GB2312" w:cs="仿宋_GB2312"/>
          <w:bCs/>
          <w:sz w:val="28"/>
          <w:szCs w:val="28"/>
        </w:rPr>
        <w:t>PPT</w:t>
      </w:r>
      <w:r w:rsidRPr="00A326D6">
        <w:rPr>
          <w:rFonts w:ascii="仿宋_GB2312" w:hAnsi="仿宋_GB2312" w:cs="仿宋_GB2312" w:hint="eastAsia"/>
          <w:bCs/>
          <w:sz w:val="28"/>
          <w:szCs w:val="28"/>
        </w:rPr>
        <w:t>结合板书讲授、课后思考题和练习题等相结合进行授课，训练学生理论推导和实际运算的能力。</w:t>
      </w:r>
    </w:p>
    <w:p w:rsidR="00876C31" w:rsidRPr="00A326D6" w:rsidRDefault="00876C31" w:rsidP="00876C31">
      <w:pPr>
        <w:snapToGrid w:val="0"/>
        <w:spacing w:line="360" w:lineRule="auto"/>
        <w:ind w:firstLineChars="200" w:firstLine="560"/>
        <w:rPr>
          <w:rFonts w:ascii="仿宋_GB2312" w:hAnsi="仿宋_GB2312" w:cs="仿宋_GB2312"/>
          <w:bCs/>
          <w:sz w:val="28"/>
          <w:szCs w:val="28"/>
        </w:rPr>
      </w:pPr>
      <w:r w:rsidRPr="00A326D6">
        <w:rPr>
          <w:rFonts w:ascii="仿宋_GB2312" w:hAnsi="仿宋_GB2312" w:cs="仿宋_GB2312"/>
          <w:bCs/>
          <w:sz w:val="28"/>
          <w:szCs w:val="28"/>
        </w:rPr>
        <w:t>教学目标具体要求如下：</w:t>
      </w:r>
    </w:p>
    <w:p w:rsidR="00876C31" w:rsidRPr="00A326D6" w:rsidRDefault="00876C31" w:rsidP="00876C31">
      <w:pPr>
        <w:snapToGrid w:val="0"/>
        <w:spacing w:line="360" w:lineRule="auto"/>
        <w:ind w:firstLineChars="200" w:firstLine="560"/>
        <w:rPr>
          <w:rFonts w:ascii="仿宋_GB2312" w:hAnsi="仿宋_GB2312" w:cs="仿宋_GB2312"/>
          <w:bCs/>
          <w:sz w:val="28"/>
          <w:szCs w:val="28"/>
        </w:rPr>
      </w:pPr>
      <w:r w:rsidRPr="00A326D6">
        <w:rPr>
          <w:rFonts w:ascii="仿宋_GB2312" w:hAnsi="仿宋_GB2312" w:cs="仿宋_GB2312" w:hint="eastAsia"/>
          <w:bCs/>
          <w:sz w:val="28"/>
          <w:szCs w:val="28"/>
        </w:rPr>
        <w:t>（1）能够区分空间问题和平面问题，对简单平面问题能建立合理的计算模型。</w:t>
      </w:r>
    </w:p>
    <w:p w:rsidR="00876C31" w:rsidRPr="00A326D6" w:rsidRDefault="00876C31" w:rsidP="00876C31">
      <w:pPr>
        <w:snapToGrid w:val="0"/>
        <w:spacing w:line="360" w:lineRule="auto"/>
        <w:ind w:firstLineChars="200" w:firstLine="560"/>
        <w:rPr>
          <w:rFonts w:ascii="仿宋_GB2312" w:hAnsi="仿宋_GB2312" w:cs="仿宋_GB2312"/>
          <w:bCs/>
          <w:sz w:val="28"/>
          <w:szCs w:val="28"/>
        </w:rPr>
      </w:pPr>
      <w:r w:rsidRPr="00A326D6">
        <w:rPr>
          <w:rFonts w:ascii="仿宋_GB2312" w:hAnsi="仿宋_GB2312" w:cs="仿宋_GB2312" w:hint="eastAsia"/>
          <w:bCs/>
          <w:sz w:val="28"/>
          <w:szCs w:val="28"/>
        </w:rPr>
        <w:t>（2）运用本课程的基本理论和基本方法独立分析、解决问题的能力。</w:t>
      </w:r>
    </w:p>
    <w:p w:rsidR="00876C31" w:rsidRPr="00A326D6" w:rsidRDefault="00876C31" w:rsidP="00876C31">
      <w:pPr>
        <w:snapToGrid w:val="0"/>
        <w:spacing w:line="360" w:lineRule="auto"/>
        <w:ind w:firstLineChars="200" w:firstLine="560"/>
        <w:rPr>
          <w:rFonts w:ascii="仿宋_GB2312" w:hAnsi="仿宋_GB2312" w:cs="仿宋_GB2312"/>
          <w:bCs/>
          <w:sz w:val="28"/>
          <w:szCs w:val="28"/>
        </w:rPr>
      </w:pPr>
      <w:r w:rsidRPr="00A326D6">
        <w:rPr>
          <w:rFonts w:ascii="仿宋_GB2312" w:hAnsi="仿宋_GB2312" w:cs="仿宋_GB2312" w:hint="eastAsia"/>
          <w:bCs/>
          <w:sz w:val="28"/>
          <w:szCs w:val="28"/>
        </w:rPr>
        <w:t>（3）概念清楚、过程简练、结果正确的计算、表达能力。</w:t>
      </w:r>
    </w:p>
    <w:p w:rsidR="00876C31" w:rsidRPr="00A326D6" w:rsidRDefault="00876C31" w:rsidP="00876C31">
      <w:pPr>
        <w:snapToGrid w:val="0"/>
        <w:spacing w:line="360" w:lineRule="auto"/>
        <w:ind w:firstLineChars="200" w:firstLine="560"/>
        <w:rPr>
          <w:rFonts w:ascii="仿宋_GB2312" w:hAnsi="仿宋_GB2312" w:cs="仿宋_GB2312"/>
          <w:bCs/>
          <w:sz w:val="28"/>
          <w:szCs w:val="28"/>
        </w:rPr>
      </w:pPr>
      <w:r w:rsidRPr="00A326D6">
        <w:rPr>
          <w:rFonts w:ascii="仿宋_GB2312" w:hAnsi="仿宋_GB2312" w:cs="仿宋_GB2312" w:hint="eastAsia"/>
          <w:bCs/>
          <w:sz w:val="28"/>
          <w:szCs w:val="28"/>
        </w:rPr>
        <w:t>（4）具备继续自我学习提高、不断更新知识结构及开拓发展的能力。</w:t>
      </w:r>
    </w:p>
    <w:p w:rsidR="00876C31" w:rsidRPr="00A326D6" w:rsidRDefault="00876C31" w:rsidP="00876C31">
      <w:pPr>
        <w:spacing w:after="120" w:line="360" w:lineRule="exact"/>
        <w:rPr>
          <w:rFonts w:ascii="仿宋_GB2312" w:hAnsi="仿宋_GB2312" w:cs="仿宋_GB2312"/>
          <w:b/>
          <w:bCs/>
          <w:sz w:val="28"/>
          <w:szCs w:val="28"/>
        </w:rPr>
      </w:pPr>
      <w:r w:rsidRPr="00A326D6">
        <w:rPr>
          <w:rFonts w:ascii="仿宋_GB2312" w:hAnsi="仿宋_GB2312" w:cs="仿宋_GB2312" w:hint="eastAsia"/>
          <w:b/>
          <w:bCs/>
          <w:sz w:val="28"/>
          <w:szCs w:val="28"/>
        </w:rPr>
        <w:t>（二）教学目标对毕业要求的支撑矩阵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376"/>
        <w:gridCol w:w="816"/>
        <w:gridCol w:w="816"/>
        <w:gridCol w:w="816"/>
        <w:gridCol w:w="816"/>
      </w:tblGrid>
      <w:tr w:rsidR="00876C31" w:rsidRPr="00A326D6" w:rsidTr="00C7225C">
        <w:trPr>
          <w:trHeight w:val="284"/>
          <w:jc w:val="center"/>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E667AD"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毕业要求及其指标点</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教学目标</w:t>
            </w:r>
          </w:p>
        </w:tc>
      </w:tr>
      <w:tr w:rsidR="00876C31" w:rsidRPr="00A326D6" w:rsidTr="00C7225C">
        <w:trPr>
          <w:trHeight w:val="28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（4）</w:t>
            </w:r>
          </w:p>
        </w:tc>
      </w:tr>
      <w:tr w:rsidR="00876C31" w:rsidRPr="00A326D6" w:rsidTr="00C722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1. 工程知识</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1-2：</w:t>
            </w:r>
            <w:r w:rsidRPr="00E667AD">
              <w:rPr>
                <w:rFonts w:ascii="仿宋_GB2312" w:hAnsi="仿宋_GB2312" w:cs="仿宋_GB2312" w:hint="eastAsia"/>
                <w:bCs/>
                <w:sz w:val="24"/>
                <w:szCs w:val="24"/>
              </w:rPr>
              <w:t>建模求解</w:t>
            </w:r>
            <w:r w:rsidRPr="00E667AD">
              <w:rPr>
                <w:rFonts w:ascii="仿宋_GB2312" w:hAnsi="仿宋_GB2312" w:cs="仿宋_GB2312"/>
                <w:bCs/>
                <w:sz w:val="24"/>
                <w:szCs w:val="24"/>
              </w:rPr>
              <w:t>能力</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w:t>
            </w:r>
          </w:p>
        </w:tc>
        <w:tc>
          <w:tcPr>
            <w:tcW w:w="0" w:type="auto"/>
            <w:tcBorders>
              <w:top w:val="single" w:sz="4" w:space="0" w:color="auto"/>
              <w:left w:val="single" w:sz="4" w:space="0" w:color="auto"/>
              <w:bottom w:val="single" w:sz="4" w:space="0" w:color="auto"/>
              <w:right w:val="single" w:sz="4" w:space="0" w:color="auto"/>
            </w:tcBorders>
          </w:tcPr>
          <w:p w:rsidR="00876C31" w:rsidRPr="00E667AD" w:rsidRDefault="00876C31" w:rsidP="00C7225C">
            <w:pPr>
              <w:spacing w:line="360" w:lineRule="auto"/>
              <w:rPr>
                <w:rFonts w:ascii="仿宋_GB2312" w:hAnsi="仿宋_GB2312" w:cs="仿宋_GB2312"/>
                <w:bCs/>
                <w:sz w:val="24"/>
                <w:szCs w:val="24"/>
              </w:rPr>
            </w:pPr>
          </w:p>
        </w:tc>
      </w:tr>
      <w:tr w:rsidR="00876C31" w:rsidRPr="00A326D6" w:rsidTr="00C722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 xml:space="preserve">2. </w:t>
            </w:r>
            <w:r w:rsidRPr="00E667AD">
              <w:rPr>
                <w:rFonts w:ascii="仿宋_GB2312" w:hAnsi="仿宋_GB2312" w:cs="仿宋_GB2312" w:hint="eastAsia"/>
                <w:bCs/>
                <w:sz w:val="24"/>
                <w:szCs w:val="24"/>
              </w:rPr>
              <w:t>问题分析</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2-2：</w:t>
            </w:r>
            <w:r w:rsidRPr="00E667AD">
              <w:rPr>
                <w:rFonts w:ascii="仿宋_GB2312" w:hAnsi="仿宋_GB2312" w:cs="仿宋_GB2312" w:hint="eastAsia"/>
                <w:bCs/>
                <w:sz w:val="24"/>
                <w:szCs w:val="24"/>
              </w:rPr>
              <w:t>分析求解能力</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w:t>
            </w:r>
          </w:p>
        </w:tc>
        <w:tc>
          <w:tcPr>
            <w:tcW w:w="0" w:type="auto"/>
            <w:tcBorders>
              <w:top w:val="single" w:sz="4" w:space="0" w:color="auto"/>
              <w:left w:val="single" w:sz="4" w:space="0" w:color="auto"/>
              <w:bottom w:val="single" w:sz="4" w:space="0" w:color="auto"/>
              <w:right w:val="single" w:sz="4" w:space="0" w:color="auto"/>
            </w:tcBorders>
          </w:tcPr>
          <w:p w:rsidR="00876C31" w:rsidRPr="00E667AD" w:rsidRDefault="00876C31" w:rsidP="00C7225C">
            <w:pPr>
              <w:spacing w:line="360" w:lineRule="auto"/>
              <w:rPr>
                <w:rFonts w:ascii="仿宋_GB2312" w:hAnsi="仿宋_GB2312" w:cs="仿宋_GB2312"/>
                <w:bCs/>
                <w:sz w:val="24"/>
                <w:szCs w:val="24"/>
              </w:rPr>
            </w:pPr>
          </w:p>
        </w:tc>
      </w:tr>
      <w:tr w:rsidR="00876C31" w:rsidRPr="00A326D6" w:rsidTr="00C722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hint="eastAsia"/>
                <w:bCs/>
                <w:sz w:val="24"/>
                <w:szCs w:val="24"/>
              </w:rPr>
              <w:t>1</w:t>
            </w:r>
            <w:r w:rsidRPr="00E667AD">
              <w:rPr>
                <w:rFonts w:ascii="仿宋_GB2312" w:hAnsi="仿宋_GB2312" w:cs="仿宋_GB2312"/>
                <w:bCs/>
                <w:sz w:val="24"/>
                <w:szCs w:val="24"/>
              </w:rPr>
              <w:t>2</w:t>
            </w:r>
            <w:r w:rsidRPr="00E667AD">
              <w:rPr>
                <w:rFonts w:ascii="仿宋_GB2312" w:hAnsi="仿宋_GB2312" w:cs="仿宋_GB2312" w:hint="eastAsia"/>
                <w:bCs/>
                <w:sz w:val="24"/>
                <w:szCs w:val="24"/>
              </w:rPr>
              <w:t>. 终身学习</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hint="eastAsia"/>
                <w:bCs/>
                <w:sz w:val="24"/>
                <w:szCs w:val="24"/>
              </w:rPr>
              <w:t>1</w:t>
            </w:r>
            <w:r w:rsidRPr="00E667AD">
              <w:rPr>
                <w:rFonts w:ascii="仿宋_GB2312" w:hAnsi="仿宋_GB2312" w:cs="仿宋_GB2312"/>
                <w:bCs/>
                <w:sz w:val="24"/>
                <w:szCs w:val="24"/>
              </w:rPr>
              <w:t>2</w:t>
            </w:r>
            <w:r w:rsidRPr="00E667AD">
              <w:rPr>
                <w:rFonts w:ascii="仿宋_GB2312" w:hAnsi="仿宋_GB2312" w:cs="仿宋_GB2312" w:hint="eastAsia"/>
                <w:bCs/>
                <w:sz w:val="24"/>
                <w:szCs w:val="24"/>
              </w:rPr>
              <w:t>-1：探索学习能力</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w:t>
            </w:r>
          </w:p>
        </w:tc>
        <w:tc>
          <w:tcPr>
            <w:tcW w:w="0" w:type="auto"/>
            <w:tcBorders>
              <w:top w:val="single" w:sz="4" w:space="0" w:color="auto"/>
              <w:left w:val="single" w:sz="4" w:space="0" w:color="auto"/>
              <w:bottom w:val="single" w:sz="4" w:space="0" w:color="auto"/>
              <w:right w:val="single" w:sz="4" w:space="0" w:color="auto"/>
            </w:tcBorders>
          </w:tcPr>
          <w:p w:rsidR="00876C31" w:rsidRPr="00E667AD" w:rsidRDefault="00876C31" w:rsidP="00C7225C">
            <w:pPr>
              <w:spacing w:line="360" w:lineRule="auto"/>
              <w:rPr>
                <w:rFonts w:ascii="仿宋_GB2312" w:hAnsi="仿宋_GB2312" w:cs="仿宋_GB2312"/>
                <w:bCs/>
                <w:sz w:val="24"/>
                <w:szCs w:val="24"/>
              </w:rPr>
            </w:pPr>
            <w:r w:rsidRPr="00E667AD">
              <w:rPr>
                <w:rFonts w:ascii="仿宋_GB2312" w:hAnsi="仿宋_GB2312" w:cs="仿宋_GB2312"/>
                <w:bCs/>
                <w:sz w:val="24"/>
                <w:szCs w:val="24"/>
              </w:rPr>
              <w:t>√</w:t>
            </w:r>
          </w:p>
        </w:tc>
      </w:tr>
    </w:tbl>
    <w:p w:rsidR="00876C31" w:rsidRPr="00E667AD" w:rsidRDefault="00876C31" w:rsidP="00E667AD">
      <w:pPr>
        <w:spacing w:beforeLines="50" w:before="156" w:afterLines="50" w:after="156" w:line="560" w:lineRule="exact"/>
        <w:rPr>
          <w:rFonts w:ascii="黑体" w:eastAsia="黑体" w:hAnsi="黑体"/>
          <w:b/>
          <w:sz w:val="28"/>
          <w:szCs w:val="28"/>
        </w:rPr>
      </w:pPr>
      <w:r w:rsidRPr="00E667AD">
        <w:rPr>
          <w:rFonts w:ascii="黑体" w:eastAsia="黑体" w:hAnsi="黑体"/>
          <w:b/>
          <w:sz w:val="28"/>
          <w:szCs w:val="28"/>
        </w:rPr>
        <w:t>四、教学内容</w:t>
      </w:r>
    </w:p>
    <w:p w:rsidR="00876C31" w:rsidRPr="00E667AD" w:rsidRDefault="00876C31" w:rsidP="00E667AD">
      <w:pPr>
        <w:snapToGrid w:val="0"/>
        <w:spacing w:line="360" w:lineRule="auto"/>
        <w:rPr>
          <w:rFonts w:ascii="仿宋_GB2312" w:hAnsi="仿宋_GB2312" w:cs="仿宋_GB2312"/>
          <w:b/>
          <w:bCs/>
          <w:sz w:val="28"/>
          <w:szCs w:val="28"/>
        </w:rPr>
      </w:pPr>
      <w:r w:rsidRPr="00E667AD">
        <w:rPr>
          <w:rFonts w:ascii="仿宋_GB2312" w:hAnsi="仿宋_GB2312" w:cs="仿宋_GB2312"/>
          <w:b/>
          <w:bCs/>
          <w:sz w:val="28"/>
          <w:szCs w:val="28"/>
        </w:rPr>
        <w:t>（一）教学内容结构关系图</w:t>
      </w:r>
    </w:p>
    <w:p w:rsidR="00876C31" w:rsidRDefault="00876C31" w:rsidP="00876C31">
      <w:pPr>
        <w:tabs>
          <w:tab w:val="right" w:pos="8222"/>
        </w:tabs>
        <w:jc w:val="center"/>
        <w:rPr>
          <w:b/>
        </w:rPr>
      </w:pPr>
      <w:r>
        <w:rPr>
          <w:b/>
          <w:noProof/>
        </w:rPr>
        <w:lastRenderedPageBreak/>
        <w:drawing>
          <wp:inline distT="0" distB="0" distL="114300" distR="114300" wp14:anchorId="7B368CC6" wp14:editId="76C385A8">
            <wp:extent cx="4638675" cy="4968875"/>
            <wp:effectExtent l="0" t="0" r="9525" b="14605"/>
            <wp:docPr id="1" name="图片 1" descr="绘图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绘图20"/>
                    <pic:cNvPicPr>
                      <a:picLocks noChangeAspect="1"/>
                    </pic:cNvPicPr>
                  </pic:nvPicPr>
                  <pic:blipFill>
                    <a:blip r:embed="rId13"/>
                    <a:stretch>
                      <a:fillRect/>
                    </a:stretch>
                  </pic:blipFill>
                  <pic:spPr>
                    <a:xfrm>
                      <a:off x="0" y="0"/>
                      <a:ext cx="4638675" cy="4968875"/>
                    </a:xfrm>
                    <a:prstGeom prst="rect">
                      <a:avLst/>
                    </a:prstGeom>
                    <a:noFill/>
                    <a:ln>
                      <a:noFill/>
                    </a:ln>
                  </pic:spPr>
                </pic:pic>
              </a:graphicData>
            </a:graphic>
          </wp:inline>
        </w:drawing>
      </w:r>
    </w:p>
    <w:p w:rsidR="00876C31" w:rsidRPr="00E667AD" w:rsidRDefault="00876C31" w:rsidP="00E667AD">
      <w:pPr>
        <w:snapToGrid w:val="0"/>
        <w:spacing w:line="360" w:lineRule="auto"/>
        <w:rPr>
          <w:rFonts w:ascii="仿宋_GB2312" w:hAnsi="仿宋_GB2312" w:cs="仿宋_GB2312"/>
          <w:b/>
          <w:bCs/>
          <w:sz w:val="28"/>
          <w:szCs w:val="28"/>
        </w:rPr>
      </w:pPr>
      <w:r w:rsidRPr="00E667AD">
        <w:rPr>
          <w:rFonts w:ascii="仿宋_GB2312" w:hAnsi="仿宋_GB2312" w:cs="仿宋_GB2312"/>
          <w:b/>
          <w:bCs/>
          <w:sz w:val="28"/>
          <w:szCs w:val="28"/>
        </w:rPr>
        <w:t>（二）具体教学内容（</w:t>
      </w:r>
      <w:r w:rsidRPr="00E667AD">
        <w:rPr>
          <w:rFonts w:ascii="仿宋_GB2312" w:hAnsi="仿宋_GB2312" w:cs="仿宋_GB2312" w:hint="eastAsia"/>
          <w:b/>
          <w:bCs/>
          <w:sz w:val="28"/>
          <w:szCs w:val="28"/>
        </w:rPr>
        <w:t>3</w:t>
      </w:r>
      <w:r w:rsidRPr="00E667AD">
        <w:rPr>
          <w:rFonts w:ascii="仿宋_GB2312" w:hAnsi="仿宋_GB2312" w:cs="仿宋_GB2312"/>
          <w:b/>
          <w:bCs/>
          <w:sz w:val="28"/>
          <w:szCs w:val="28"/>
        </w:rPr>
        <w:t>2学时）</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本课程以基本概念—基础理论—应用分析为明线，以</w:t>
      </w:r>
      <w:r w:rsidRPr="00E667AD">
        <w:rPr>
          <w:rFonts w:ascii="仿宋_GB2312" w:hAnsi="仿宋_GB2312" w:cs="仿宋_GB2312" w:hint="eastAsia"/>
          <w:bCs/>
          <w:sz w:val="28"/>
          <w:szCs w:val="28"/>
        </w:rPr>
        <w:t>两类平面问题的建立、边界条件的描述、相容方程的提法、应力函数的求解与应用、直角坐标和极坐标下运用逆解法及半逆解法解平面问题</w:t>
      </w:r>
      <w:r w:rsidRPr="00E667AD">
        <w:rPr>
          <w:rFonts w:ascii="仿宋_GB2312" w:hAnsi="仿宋_GB2312" w:cs="仿宋_GB2312"/>
          <w:bCs/>
          <w:sz w:val="28"/>
          <w:szCs w:val="28"/>
        </w:rPr>
        <w:t>为</w:t>
      </w:r>
      <w:r w:rsidRPr="00E667AD">
        <w:rPr>
          <w:rFonts w:ascii="仿宋_GB2312" w:hAnsi="仿宋_GB2312" w:cs="仿宋_GB2312" w:hint="eastAsia"/>
          <w:bCs/>
          <w:sz w:val="28"/>
          <w:szCs w:val="28"/>
        </w:rPr>
        <w:t>主要内容</w:t>
      </w:r>
      <w:r w:rsidRPr="00E667AD">
        <w:rPr>
          <w:rFonts w:ascii="仿宋_GB2312" w:hAnsi="仿宋_GB2312" w:cs="仿宋_GB2312"/>
          <w:bCs/>
          <w:sz w:val="28"/>
          <w:szCs w:val="28"/>
        </w:rPr>
        <w:t>，通过问题提出、</w:t>
      </w:r>
      <w:r w:rsidRPr="00E667AD">
        <w:rPr>
          <w:rFonts w:ascii="仿宋_GB2312" w:hAnsi="仿宋_GB2312" w:cs="仿宋_GB2312" w:hint="eastAsia"/>
          <w:bCs/>
          <w:sz w:val="28"/>
          <w:szCs w:val="28"/>
        </w:rPr>
        <w:t>问题求解</w:t>
      </w:r>
      <w:r w:rsidRPr="00E667AD">
        <w:rPr>
          <w:rFonts w:ascii="仿宋_GB2312" w:hAnsi="仿宋_GB2312" w:cs="仿宋_GB2312"/>
          <w:bCs/>
          <w:sz w:val="28"/>
          <w:szCs w:val="28"/>
        </w:rPr>
        <w:t>、</w:t>
      </w:r>
      <w:r w:rsidRPr="00E667AD">
        <w:rPr>
          <w:rFonts w:ascii="仿宋_GB2312" w:hAnsi="仿宋_GB2312" w:cs="仿宋_GB2312" w:hint="eastAsia"/>
          <w:bCs/>
          <w:sz w:val="28"/>
          <w:szCs w:val="28"/>
        </w:rPr>
        <w:t>对比提高</w:t>
      </w:r>
      <w:r w:rsidRPr="00E667AD">
        <w:rPr>
          <w:rFonts w:ascii="仿宋_GB2312" w:hAnsi="仿宋_GB2312" w:cs="仿宋_GB2312"/>
          <w:bCs/>
          <w:sz w:val="28"/>
          <w:szCs w:val="28"/>
        </w:rPr>
        <w:t>、</w:t>
      </w:r>
      <w:r w:rsidRPr="00E667AD">
        <w:rPr>
          <w:rFonts w:ascii="仿宋_GB2312" w:hAnsi="仿宋_GB2312" w:cs="仿宋_GB2312" w:hint="eastAsia"/>
          <w:bCs/>
          <w:sz w:val="28"/>
          <w:szCs w:val="28"/>
        </w:rPr>
        <w:t>应用探讨</w:t>
      </w:r>
      <w:r w:rsidRPr="00E667AD">
        <w:rPr>
          <w:rFonts w:ascii="仿宋_GB2312" w:hAnsi="仿宋_GB2312" w:cs="仿宋_GB2312"/>
          <w:bCs/>
          <w:sz w:val="28"/>
          <w:szCs w:val="28"/>
        </w:rPr>
        <w:t>等教学过程，实现对教学目标和毕业要求的支撑。</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第</w:t>
      </w:r>
      <w:r w:rsidRPr="00E667AD">
        <w:rPr>
          <w:rFonts w:ascii="仿宋_GB2312" w:hAnsi="仿宋_GB2312" w:cs="仿宋_GB2312" w:hint="eastAsia"/>
          <w:bCs/>
          <w:sz w:val="28"/>
          <w:szCs w:val="28"/>
        </w:rPr>
        <w:t>一</w:t>
      </w:r>
      <w:r w:rsidRPr="00E667AD">
        <w:rPr>
          <w:rFonts w:ascii="仿宋_GB2312" w:hAnsi="仿宋_GB2312" w:cs="仿宋_GB2312"/>
          <w:bCs/>
          <w:sz w:val="28"/>
          <w:szCs w:val="28"/>
        </w:rPr>
        <w:t>章 绪论（4学时）</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1、本章基本要求</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要求学生掌握</w:t>
      </w:r>
      <w:r w:rsidRPr="00E667AD">
        <w:rPr>
          <w:rFonts w:ascii="仿宋_GB2312" w:hAnsi="仿宋_GB2312" w:cs="仿宋_GB2312" w:hint="eastAsia"/>
          <w:bCs/>
          <w:sz w:val="28"/>
          <w:szCs w:val="28"/>
        </w:rPr>
        <w:t>弹性力学的研究内容及其研究对象和研究方法</w:t>
      </w:r>
      <w:r w:rsidRPr="00E667AD">
        <w:rPr>
          <w:rFonts w:ascii="仿宋_GB2312" w:hAnsi="仿宋_GB2312" w:cs="仿宋_GB2312"/>
          <w:bCs/>
          <w:sz w:val="28"/>
          <w:szCs w:val="28"/>
        </w:rPr>
        <w:t>、</w:t>
      </w:r>
      <w:r w:rsidRPr="00E667AD">
        <w:rPr>
          <w:rFonts w:ascii="仿宋_GB2312" w:hAnsi="仿宋_GB2312" w:cs="仿宋_GB2312" w:hint="eastAsia"/>
          <w:bCs/>
          <w:sz w:val="28"/>
          <w:szCs w:val="28"/>
        </w:rPr>
        <w:t>弹性力学的几个基本概念和基本假定</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2、本章教学内容</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lastRenderedPageBreak/>
        <w:t>（1）</w:t>
      </w:r>
      <w:r w:rsidRPr="00E667AD">
        <w:rPr>
          <w:rFonts w:ascii="仿宋_GB2312" w:hAnsi="仿宋_GB2312" w:cs="仿宋_GB2312" w:hint="eastAsia"/>
          <w:bCs/>
          <w:sz w:val="28"/>
          <w:szCs w:val="28"/>
        </w:rPr>
        <w:t>弹性力学的基本内容</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（2）</w:t>
      </w:r>
      <w:r w:rsidRPr="00E667AD">
        <w:rPr>
          <w:rFonts w:ascii="仿宋_GB2312" w:hAnsi="仿宋_GB2312" w:cs="仿宋_GB2312" w:hint="eastAsia"/>
          <w:bCs/>
          <w:sz w:val="28"/>
          <w:szCs w:val="28"/>
        </w:rPr>
        <w:t>弹性力学的基本概念</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（3）</w:t>
      </w:r>
      <w:r w:rsidRPr="00E667AD">
        <w:rPr>
          <w:rFonts w:ascii="仿宋_GB2312" w:hAnsi="仿宋_GB2312" w:cs="仿宋_GB2312" w:hint="eastAsia"/>
          <w:bCs/>
          <w:sz w:val="28"/>
          <w:szCs w:val="28"/>
        </w:rPr>
        <w:t>弹性力学的基本假定</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3、本章的重点和难点</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重点：</w:t>
      </w:r>
      <w:r w:rsidRPr="00E667AD">
        <w:rPr>
          <w:rFonts w:ascii="仿宋_GB2312" w:hAnsi="仿宋_GB2312" w:cs="仿宋_GB2312" w:hint="eastAsia"/>
          <w:bCs/>
          <w:sz w:val="28"/>
          <w:szCs w:val="28"/>
        </w:rPr>
        <w:t>弹性力学主要物理量的定义、正负方向及符号规定；基本假定及其建立基本方程时的作用</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难点：</w:t>
      </w:r>
      <w:r w:rsidRPr="00E667AD">
        <w:rPr>
          <w:rFonts w:ascii="仿宋_GB2312" w:hAnsi="仿宋_GB2312" w:cs="仿宋_GB2312" w:hint="eastAsia"/>
          <w:bCs/>
          <w:sz w:val="28"/>
          <w:szCs w:val="28"/>
        </w:rPr>
        <w:t>应力方向的规定</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4、对毕业要求的支撑</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本章知识点的讲授和学习，可支撑“指标点1-</w:t>
      </w:r>
      <w:r w:rsidRPr="00E667AD">
        <w:rPr>
          <w:rFonts w:ascii="仿宋_GB2312" w:hAnsi="仿宋_GB2312" w:cs="仿宋_GB2312"/>
          <w:bCs/>
          <w:sz w:val="28"/>
          <w:szCs w:val="28"/>
        </w:rPr>
        <w:t>2</w:t>
      </w:r>
      <w:r w:rsidRPr="00E667AD">
        <w:rPr>
          <w:rFonts w:ascii="仿宋_GB2312" w:hAnsi="仿宋_GB2312" w:cs="仿宋_GB2312" w:hint="eastAsia"/>
          <w:bCs/>
          <w:sz w:val="28"/>
          <w:szCs w:val="28"/>
        </w:rPr>
        <w:t>：掌握力学原理和方法，具备面向土木工程专业复杂工程问题的抽象分析和建模求解能力”和“指标点1</w:t>
      </w:r>
      <w:r w:rsidRPr="00E667AD">
        <w:rPr>
          <w:rFonts w:ascii="仿宋_GB2312" w:hAnsi="仿宋_GB2312" w:cs="仿宋_GB2312"/>
          <w:bCs/>
          <w:sz w:val="28"/>
          <w:szCs w:val="28"/>
        </w:rPr>
        <w:t>2</w:t>
      </w:r>
      <w:r w:rsidRPr="00E667AD">
        <w:rPr>
          <w:rFonts w:ascii="仿宋_GB2312" w:hAnsi="仿宋_GB2312" w:cs="仿宋_GB2312" w:hint="eastAsia"/>
          <w:bCs/>
          <w:sz w:val="28"/>
          <w:szCs w:val="28"/>
        </w:rPr>
        <w:t>-1：不断探索自主学习能力，能够正确认识自我探索和终身学习的必要性，具有良好的职业发展观”。</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5、课程思政育人要素</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弹性力学中显性德育元素不多，主要体现在绪论部分。同所有力学课程教学一样，弹性力学教学中第一课非常关键，不仅要勾勒出本课程的大致框架，同时要讲清楚课程的来龙去脉。弹性性质及弹性原理的不自觉运用历史悠久，如古代的弓箭就是利用物体弹性的例子。另外，从力学的起源开始高屋建领进行分析，给学生一种大局观，同时对中国科学家钱伟长、钱学森、徐芝纶、胡海昌等在弹性力学的发展，特别是在中国的推广应用做出的重要贡献进行单独介绍。弹性力学发展史的阐述环节可大大激发学生的学习期望，并培养学生的家国情怀与国际视野、增强学生的民族自信与文化自信、赋予学生勇于担当的使命感与责任感。</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第</w:t>
      </w:r>
      <w:r w:rsidRPr="00E667AD">
        <w:rPr>
          <w:rFonts w:ascii="仿宋_GB2312" w:hAnsi="仿宋_GB2312" w:cs="仿宋_GB2312" w:hint="eastAsia"/>
          <w:bCs/>
          <w:sz w:val="28"/>
          <w:szCs w:val="28"/>
        </w:rPr>
        <w:t>二</w:t>
      </w:r>
      <w:r w:rsidRPr="00E667AD">
        <w:rPr>
          <w:rFonts w:ascii="仿宋_GB2312" w:hAnsi="仿宋_GB2312" w:cs="仿宋_GB2312"/>
          <w:bCs/>
          <w:sz w:val="28"/>
          <w:szCs w:val="28"/>
        </w:rPr>
        <w:t xml:space="preserve">章 </w:t>
      </w:r>
      <w:r w:rsidRPr="00E667AD">
        <w:rPr>
          <w:rFonts w:ascii="仿宋_GB2312" w:hAnsi="仿宋_GB2312" w:cs="仿宋_GB2312" w:hint="eastAsia"/>
          <w:bCs/>
          <w:sz w:val="28"/>
          <w:szCs w:val="28"/>
        </w:rPr>
        <w:t>平面问题的基本理论</w:t>
      </w:r>
      <w:r w:rsidRPr="00E667AD">
        <w:rPr>
          <w:rFonts w:ascii="仿宋_GB2312" w:hAnsi="仿宋_GB2312" w:cs="仿宋_GB2312"/>
          <w:bCs/>
          <w:sz w:val="28"/>
          <w:szCs w:val="28"/>
        </w:rPr>
        <w:t>（12学时）</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1、本章基本要求</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lastRenderedPageBreak/>
        <w:t>要求学生掌握</w:t>
      </w:r>
      <w:r w:rsidRPr="00E667AD">
        <w:rPr>
          <w:rFonts w:ascii="仿宋_GB2312" w:hAnsi="仿宋_GB2312" w:cs="仿宋_GB2312" w:hint="eastAsia"/>
          <w:bCs/>
          <w:sz w:val="28"/>
          <w:szCs w:val="28"/>
        </w:rPr>
        <w:t>两类平面问题的定义、基本方程的建立、边界上的位移和应力边界条件的建立、圣维南原理的应用和两类求解方法。</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2、本章教学内容</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（1）</w:t>
      </w:r>
      <w:r w:rsidRPr="00E667AD">
        <w:rPr>
          <w:rFonts w:ascii="仿宋_GB2312" w:hAnsi="仿宋_GB2312" w:cs="仿宋_GB2312" w:hint="eastAsia"/>
          <w:bCs/>
          <w:sz w:val="28"/>
          <w:szCs w:val="28"/>
        </w:rPr>
        <w:t>平面应力和平面应变问题</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（2）</w:t>
      </w:r>
      <w:r w:rsidRPr="00E667AD">
        <w:rPr>
          <w:rFonts w:ascii="仿宋_GB2312" w:hAnsi="仿宋_GB2312" w:cs="仿宋_GB2312" w:hint="eastAsia"/>
          <w:bCs/>
          <w:sz w:val="28"/>
          <w:szCs w:val="28"/>
        </w:rPr>
        <w:t>弹性力学平面问题的基本方程</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（3）</w:t>
      </w:r>
      <w:r w:rsidRPr="00E667AD">
        <w:rPr>
          <w:rFonts w:ascii="仿宋_GB2312" w:hAnsi="仿宋_GB2312" w:cs="仿宋_GB2312" w:hint="eastAsia"/>
          <w:bCs/>
          <w:sz w:val="28"/>
          <w:szCs w:val="28"/>
        </w:rPr>
        <w:t>边界条件及圣维南原理</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（4）</w:t>
      </w:r>
      <w:r w:rsidRPr="00E667AD">
        <w:rPr>
          <w:rFonts w:ascii="仿宋_GB2312" w:hAnsi="仿宋_GB2312" w:cs="仿宋_GB2312" w:hint="eastAsia"/>
          <w:bCs/>
          <w:sz w:val="28"/>
          <w:szCs w:val="28"/>
        </w:rPr>
        <w:t>弹性力学问题的解法</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（5）</w:t>
      </w:r>
      <w:r w:rsidRPr="00E667AD">
        <w:rPr>
          <w:rFonts w:ascii="仿宋_GB2312" w:hAnsi="仿宋_GB2312" w:cs="仿宋_GB2312" w:hint="eastAsia"/>
          <w:bCs/>
          <w:sz w:val="28"/>
          <w:szCs w:val="28"/>
        </w:rPr>
        <w:t>弹性力学中的相容方程、应力函数</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3、本章的重点和难点</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重点：</w:t>
      </w:r>
      <w:r w:rsidRPr="00E667AD">
        <w:rPr>
          <w:rFonts w:ascii="仿宋_GB2312" w:hAnsi="仿宋_GB2312" w:cs="仿宋_GB2312" w:hint="eastAsia"/>
          <w:bCs/>
          <w:sz w:val="28"/>
          <w:szCs w:val="28"/>
        </w:rPr>
        <w:t>弹性力学求解的基本方法；两类平面问题的特点、区别；弹性力学平面问题的基本方程；正确建立边界条件、应用圣维南原理；应力解法、应力函数的概念</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难点：</w:t>
      </w:r>
      <w:r w:rsidRPr="00E667AD">
        <w:rPr>
          <w:rFonts w:ascii="仿宋_GB2312" w:hAnsi="仿宋_GB2312" w:cs="仿宋_GB2312" w:hint="eastAsia"/>
          <w:bCs/>
          <w:sz w:val="28"/>
          <w:szCs w:val="28"/>
        </w:rPr>
        <w:t>正确建立边界条件，掌握圣维南原理</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4、对毕业要求的支撑</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本章知识点的讲授和学习，可支撑“指标点</w:t>
      </w:r>
      <w:r w:rsidRPr="00E667AD">
        <w:rPr>
          <w:rFonts w:ascii="仿宋_GB2312" w:hAnsi="仿宋_GB2312" w:cs="仿宋_GB2312"/>
          <w:bCs/>
          <w:sz w:val="28"/>
          <w:szCs w:val="28"/>
        </w:rPr>
        <w:t>2</w:t>
      </w:r>
      <w:r w:rsidRPr="00E667AD">
        <w:rPr>
          <w:rFonts w:ascii="仿宋_GB2312" w:hAnsi="仿宋_GB2312" w:cs="仿宋_GB2312" w:hint="eastAsia"/>
          <w:bCs/>
          <w:sz w:val="28"/>
          <w:szCs w:val="28"/>
        </w:rPr>
        <w:t>-</w:t>
      </w:r>
      <w:r w:rsidRPr="00E667AD">
        <w:rPr>
          <w:rFonts w:ascii="仿宋_GB2312" w:hAnsi="仿宋_GB2312" w:cs="仿宋_GB2312"/>
          <w:bCs/>
          <w:sz w:val="28"/>
          <w:szCs w:val="28"/>
        </w:rPr>
        <w:t>2</w:t>
      </w:r>
      <w:r w:rsidRPr="00E667AD">
        <w:rPr>
          <w:rFonts w:ascii="仿宋_GB2312" w:hAnsi="仿宋_GB2312" w:cs="仿宋_GB2312" w:hint="eastAsia"/>
          <w:bCs/>
          <w:sz w:val="28"/>
          <w:szCs w:val="28"/>
        </w:rPr>
        <w:t>：问题分析能力，能够应用力学基础知识和方法，正确识别和表达土木工程专业复杂工程问题，并能选择合适的方法进行分析和求解”和“指标点1</w:t>
      </w:r>
      <w:r w:rsidRPr="00E667AD">
        <w:rPr>
          <w:rFonts w:ascii="仿宋_GB2312" w:hAnsi="仿宋_GB2312" w:cs="仿宋_GB2312"/>
          <w:bCs/>
          <w:sz w:val="28"/>
          <w:szCs w:val="28"/>
        </w:rPr>
        <w:t>2</w:t>
      </w:r>
      <w:r w:rsidRPr="00E667AD">
        <w:rPr>
          <w:rFonts w:ascii="仿宋_GB2312" w:hAnsi="仿宋_GB2312" w:cs="仿宋_GB2312" w:hint="eastAsia"/>
          <w:bCs/>
          <w:sz w:val="28"/>
          <w:szCs w:val="28"/>
        </w:rPr>
        <w:t>-1：学习能力。能够正确认识自我探索和终身学习的必要性，具有良好的职业发展观”。</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5、课程思政育人要素</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以弹性力学基本方程的建立为例，构造应力、应变和位移之间的关系，充分体现了力学的和谐统一美，将纷繁复杂的多个方程归一为简单的式子。爱因期坦曾说“美，本质上终究是简单性。”易见，上述例子也同时呈现出简洁美。审美与求知并存，教师在传授枯燥深奥力学专业知识的同时，引导学生去分析和发现弹性力学的各种理性美，</w:t>
      </w:r>
      <w:r w:rsidRPr="00E667AD">
        <w:rPr>
          <w:rFonts w:ascii="仿宋_GB2312" w:hAnsi="仿宋_GB2312" w:cs="仿宋_GB2312" w:hint="eastAsia"/>
          <w:bCs/>
          <w:sz w:val="28"/>
          <w:szCs w:val="28"/>
        </w:rPr>
        <w:lastRenderedPageBreak/>
        <w:t>提高审美修养的同时能使学生较为轻松地进入并保持深度学习，以取得较好的学习效果。</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6</w:t>
      </w:r>
      <w:r w:rsidRPr="00E667AD">
        <w:rPr>
          <w:rFonts w:ascii="仿宋_GB2312" w:hAnsi="仿宋_GB2312" w:cs="仿宋_GB2312"/>
          <w:bCs/>
          <w:sz w:val="28"/>
          <w:szCs w:val="28"/>
        </w:rPr>
        <w:t>、作业</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作业一：教材P38第2.1、2.2题。</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 xml:space="preserve">第三章 </w:t>
      </w:r>
      <w:r w:rsidRPr="00E667AD">
        <w:rPr>
          <w:rFonts w:ascii="仿宋_GB2312" w:hAnsi="仿宋_GB2312" w:cs="仿宋_GB2312" w:hint="eastAsia"/>
          <w:bCs/>
          <w:sz w:val="28"/>
          <w:szCs w:val="28"/>
        </w:rPr>
        <w:t>用直角坐标解平面问题</w:t>
      </w:r>
      <w:r w:rsidRPr="00E667AD">
        <w:rPr>
          <w:rFonts w:ascii="仿宋_GB2312" w:hAnsi="仿宋_GB2312" w:cs="仿宋_GB2312"/>
          <w:bCs/>
          <w:sz w:val="28"/>
          <w:szCs w:val="28"/>
        </w:rPr>
        <w:t>（6学时）</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1、本章基本要求</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要求学生掌握</w:t>
      </w:r>
      <w:r w:rsidRPr="00E667AD">
        <w:rPr>
          <w:rFonts w:ascii="仿宋_GB2312" w:hAnsi="仿宋_GB2312" w:cs="仿宋_GB2312" w:hint="eastAsia"/>
          <w:bCs/>
          <w:sz w:val="28"/>
          <w:szCs w:val="28"/>
        </w:rPr>
        <w:t>采用应力函数作为基本未知函数进行求解，并以直角坐标表示问题的解答</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2、本章教学内容</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（1）</w:t>
      </w:r>
      <w:r w:rsidRPr="00E667AD">
        <w:rPr>
          <w:rFonts w:ascii="仿宋_GB2312" w:hAnsi="仿宋_GB2312" w:cs="仿宋_GB2312" w:hint="eastAsia"/>
          <w:bCs/>
          <w:sz w:val="28"/>
          <w:szCs w:val="28"/>
        </w:rPr>
        <w:t>用多项式解平面问题</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（2）</w:t>
      </w:r>
      <w:r w:rsidRPr="00E667AD">
        <w:rPr>
          <w:rFonts w:ascii="仿宋_GB2312" w:hAnsi="仿宋_GB2312" w:cs="仿宋_GB2312" w:hint="eastAsia"/>
          <w:bCs/>
          <w:sz w:val="28"/>
          <w:szCs w:val="28"/>
        </w:rPr>
        <w:t>矩形截面梁的纯弯曲</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（3）</w:t>
      </w:r>
      <w:r w:rsidRPr="00E667AD">
        <w:rPr>
          <w:rFonts w:ascii="仿宋_GB2312" w:hAnsi="仿宋_GB2312" w:cs="仿宋_GB2312" w:hint="eastAsia"/>
          <w:bCs/>
          <w:sz w:val="28"/>
          <w:szCs w:val="28"/>
        </w:rPr>
        <w:t>简支梁受均布荷载</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（4）</w:t>
      </w:r>
      <w:r w:rsidRPr="00E667AD">
        <w:rPr>
          <w:rFonts w:ascii="仿宋_GB2312" w:hAnsi="仿宋_GB2312" w:cs="仿宋_GB2312" w:hint="eastAsia"/>
          <w:bCs/>
          <w:sz w:val="28"/>
          <w:szCs w:val="28"/>
        </w:rPr>
        <w:t>受自重和静水压力作用的楔性体</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3、本章的重点和难点</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重点：</w:t>
      </w:r>
      <w:r w:rsidRPr="00E667AD">
        <w:rPr>
          <w:rFonts w:ascii="仿宋_GB2312" w:hAnsi="仿宋_GB2312" w:cs="仿宋_GB2312" w:hint="eastAsia"/>
          <w:bCs/>
          <w:sz w:val="28"/>
          <w:szCs w:val="28"/>
        </w:rPr>
        <w:t>用多项式求解平面问题；逆解法、半逆解法的概念；逆解法求解矩形截面梁纯弯曲；半逆解法求解受均布荷作用的简支梁；楔性体问题的应力计算方法</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难点：</w:t>
      </w:r>
      <w:r w:rsidRPr="00E667AD">
        <w:rPr>
          <w:rFonts w:ascii="仿宋_GB2312" w:hAnsi="仿宋_GB2312" w:cs="仿宋_GB2312" w:hint="eastAsia"/>
          <w:bCs/>
          <w:sz w:val="28"/>
          <w:szCs w:val="28"/>
        </w:rPr>
        <w:t>半逆解法求解具体问题</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4、对毕业要求的支撑</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本章知识点的讲授和学习，可支撑“指标点1-</w:t>
      </w:r>
      <w:r w:rsidRPr="00E667AD">
        <w:rPr>
          <w:rFonts w:ascii="仿宋_GB2312" w:hAnsi="仿宋_GB2312" w:cs="仿宋_GB2312"/>
          <w:bCs/>
          <w:sz w:val="28"/>
          <w:szCs w:val="28"/>
        </w:rPr>
        <w:t>2</w:t>
      </w:r>
      <w:r w:rsidRPr="00E667AD">
        <w:rPr>
          <w:rFonts w:ascii="仿宋_GB2312" w:hAnsi="仿宋_GB2312" w:cs="仿宋_GB2312" w:hint="eastAsia"/>
          <w:bCs/>
          <w:sz w:val="28"/>
          <w:szCs w:val="28"/>
        </w:rPr>
        <w:t>：工程知识应用能力，掌握力学原理和方法，具备面向土木工程专业复杂工程问题的抽象分析和建模求解能力”、“指标点</w:t>
      </w:r>
      <w:r w:rsidRPr="00E667AD">
        <w:rPr>
          <w:rFonts w:ascii="仿宋_GB2312" w:hAnsi="仿宋_GB2312" w:cs="仿宋_GB2312"/>
          <w:bCs/>
          <w:sz w:val="28"/>
          <w:szCs w:val="28"/>
        </w:rPr>
        <w:t>2</w:t>
      </w:r>
      <w:r w:rsidRPr="00E667AD">
        <w:rPr>
          <w:rFonts w:ascii="仿宋_GB2312" w:hAnsi="仿宋_GB2312" w:cs="仿宋_GB2312" w:hint="eastAsia"/>
          <w:bCs/>
          <w:sz w:val="28"/>
          <w:szCs w:val="28"/>
        </w:rPr>
        <w:t>-</w:t>
      </w:r>
      <w:r w:rsidRPr="00E667AD">
        <w:rPr>
          <w:rFonts w:ascii="仿宋_GB2312" w:hAnsi="仿宋_GB2312" w:cs="仿宋_GB2312"/>
          <w:bCs/>
          <w:sz w:val="28"/>
          <w:szCs w:val="28"/>
        </w:rPr>
        <w:t>2</w:t>
      </w:r>
      <w:r w:rsidRPr="00E667AD">
        <w:rPr>
          <w:rFonts w:ascii="仿宋_GB2312" w:hAnsi="仿宋_GB2312" w:cs="仿宋_GB2312" w:hint="eastAsia"/>
          <w:bCs/>
          <w:sz w:val="28"/>
          <w:szCs w:val="28"/>
        </w:rPr>
        <w:t>：问题分析能力，能够应用力学基础知识和方法，正确识别和表达土木工程专业复杂工程问题，并能选择合适的方法进行分析和求解”和“指标点1</w:t>
      </w:r>
      <w:r w:rsidRPr="00E667AD">
        <w:rPr>
          <w:rFonts w:ascii="仿宋_GB2312" w:hAnsi="仿宋_GB2312" w:cs="仿宋_GB2312"/>
          <w:bCs/>
          <w:sz w:val="28"/>
          <w:szCs w:val="28"/>
        </w:rPr>
        <w:t>2</w:t>
      </w:r>
      <w:r w:rsidRPr="00E667AD">
        <w:rPr>
          <w:rFonts w:ascii="仿宋_GB2312" w:hAnsi="仿宋_GB2312" w:cs="仿宋_GB2312" w:hint="eastAsia"/>
          <w:bCs/>
          <w:sz w:val="28"/>
          <w:szCs w:val="28"/>
        </w:rPr>
        <w:t>-1：学习能力，</w:t>
      </w:r>
      <w:r w:rsidRPr="00E667AD">
        <w:rPr>
          <w:rFonts w:ascii="仿宋_GB2312" w:hAnsi="仿宋_GB2312" w:cs="仿宋_GB2312" w:hint="eastAsia"/>
          <w:bCs/>
          <w:sz w:val="28"/>
          <w:szCs w:val="28"/>
        </w:rPr>
        <w:lastRenderedPageBreak/>
        <w:t>能够正确认识自我探索和终身学习的必要性，具有良好的职业发展观”。</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5、课程思政育人要素</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弹性力学中也充满着辩证法思想，以艾里应力函数的推导为例，虽然求出的应力函数还是一个待定函数，但平面问题的求解已得到大大简化，因为待求未知函数由3个变为1个，并从求解3个应力分量变为求解1个应力函数。体现了“简单”与“复杂”、“一般”与“特殊”等哲学思想，哲学思维可帮助学生将学习中的思想和方法内化为一种理性精神、批判精神，从而可进行并保持深度学习；同时还可迁移到他们的工作和生活中，使他们能正确看待和处理身边的一切事物，创造智慧、健康的人生。</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6</w:t>
      </w:r>
      <w:r w:rsidRPr="00E667AD">
        <w:rPr>
          <w:rFonts w:ascii="仿宋_GB2312" w:hAnsi="仿宋_GB2312" w:cs="仿宋_GB2312"/>
          <w:bCs/>
          <w:sz w:val="28"/>
          <w:szCs w:val="28"/>
        </w:rPr>
        <w:t>、作业</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作业</w:t>
      </w:r>
      <w:r w:rsidRPr="00E667AD">
        <w:rPr>
          <w:rFonts w:ascii="仿宋_GB2312" w:hAnsi="仿宋_GB2312" w:cs="仿宋_GB2312" w:hint="eastAsia"/>
          <w:bCs/>
          <w:sz w:val="28"/>
          <w:szCs w:val="28"/>
        </w:rPr>
        <w:t>三</w:t>
      </w:r>
      <w:r w:rsidRPr="00E667AD">
        <w:rPr>
          <w:rFonts w:ascii="仿宋_GB2312" w:hAnsi="仿宋_GB2312" w:cs="仿宋_GB2312"/>
          <w:bCs/>
          <w:sz w:val="28"/>
          <w:szCs w:val="28"/>
        </w:rPr>
        <w:t>：教材P51第3.1</w:t>
      </w:r>
      <w:r w:rsidRPr="00E667AD">
        <w:rPr>
          <w:rFonts w:ascii="仿宋_GB2312" w:hAnsi="仿宋_GB2312" w:cs="仿宋_GB2312" w:hint="eastAsia"/>
          <w:bCs/>
          <w:sz w:val="28"/>
          <w:szCs w:val="28"/>
        </w:rPr>
        <w:t>~</w:t>
      </w:r>
      <w:r w:rsidRPr="00E667AD">
        <w:rPr>
          <w:rFonts w:ascii="仿宋_GB2312" w:hAnsi="仿宋_GB2312" w:cs="仿宋_GB2312"/>
          <w:bCs/>
          <w:sz w:val="28"/>
          <w:szCs w:val="28"/>
        </w:rPr>
        <w:t>3.6题。</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 xml:space="preserve">第四章 </w:t>
      </w:r>
      <w:r w:rsidRPr="00E667AD">
        <w:rPr>
          <w:rFonts w:ascii="仿宋_GB2312" w:hAnsi="仿宋_GB2312" w:cs="仿宋_GB2312" w:hint="eastAsia"/>
          <w:bCs/>
          <w:sz w:val="28"/>
          <w:szCs w:val="28"/>
        </w:rPr>
        <w:t>用极坐标解平面问题</w:t>
      </w:r>
      <w:r w:rsidRPr="00E667AD">
        <w:rPr>
          <w:rFonts w:ascii="仿宋_GB2312" w:hAnsi="仿宋_GB2312" w:cs="仿宋_GB2312"/>
          <w:bCs/>
          <w:sz w:val="28"/>
          <w:szCs w:val="28"/>
        </w:rPr>
        <w:t>（10学时）</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1、本章基本要求</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要求学生能够</w:t>
      </w:r>
      <w:r w:rsidRPr="00E667AD">
        <w:rPr>
          <w:rFonts w:ascii="仿宋_GB2312" w:hAnsi="仿宋_GB2312" w:cs="仿宋_GB2312" w:hint="eastAsia"/>
          <w:bCs/>
          <w:sz w:val="28"/>
          <w:szCs w:val="28"/>
        </w:rPr>
        <w:t>掌握极坐标中基本方程的建立和按应力求解具体问题的解法</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2、本章教学内容</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（1）</w:t>
      </w:r>
      <w:r w:rsidRPr="00E667AD">
        <w:rPr>
          <w:rFonts w:ascii="仿宋_GB2312" w:hAnsi="仿宋_GB2312" w:cs="仿宋_GB2312" w:hint="eastAsia"/>
          <w:bCs/>
          <w:sz w:val="28"/>
          <w:szCs w:val="28"/>
        </w:rPr>
        <w:t>用极坐标表示的基本方程</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（2）</w:t>
      </w:r>
      <w:r w:rsidRPr="00E667AD">
        <w:rPr>
          <w:rFonts w:ascii="仿宋_GB2312" w:hAnsi="仿宋_GB2312" w:cs="仿宋_GB2312" w:hint="eastAsia"/>
          <w:bCs/>
          <w:sz w:val="28"/>
          <w:szCs w:val="28"/>
        </w:rPr>
        <w:t>轴对称平面问题</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（3）</w:t>
      </w:r>
      <w:r w:rsidRPr="00E667AD">
        <w:rPr>
          <w:rFonts w:ascii="仿宋_GB2312" w:hAnsi="仿宋_GB2312" w:cs="仿宋_GB2312" w:hint="eastAsia"/>
          <w:bCs/>
          <w:sz w:val="28"/>
          <w:szCs w:val="28"/>
        </w:rPr>
        <w:t>厚壁筒问题</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（4）</w:t>
      </w:r>
      <w:r w:rsidRPr="00E667AD">
        <w:rPr>
          <w:rFonts w:ascii="仿宋_GB2312" w:hAnsi="仿宋_GB2312" w:cs="仿宋_GB2312" w:hint="eastAsia"/>
          <w:bCs/>
          <w:sz w:val="28"/>
          <w:szCs w:val="28"/>
        </w:rPr>
        <w:t>部分圆环的纯弯曲</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（5）</w:t>
      </w:r>
      <w:r w:rsidRPr="00E667AD">
        <w:rPr>
          <w:rFonts w:ascii="仿宋_GB2312" w:hAnsi="仿宋_GB2312" w:cs="仿宋_GB2312" w:hint="eastAsia"/>
          <w:bCs/>
          <w:sz w:val="28"/>
          <w:szCs w:val="28"/>
        </w:rPr>
        <w:t>板中圆孔产生的应力集中</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（6）</w:t>
      </w:r>
      <w:r w:rsidRPr="00E667AD">
        <w:rPr>
          <w:rFonts w:ascii="仿宋_GB2312" w:hAnsi="仿宋_GB2312" w:cs="仿宋_GB2312" w:hint="eastAsia"/>
          <w:bCs/>
          <w:sz w:val="28"/>
          <w:szCs w:val="28"/>
        </w:rPr>
        <w:t>楔形体顶端受集中力</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（7）</w:t>
      </w:r>
      <w:r w:rsidRPr="00E667AD">
        <w:rPr>
          <w:rFonts w:ascii="仿宋_GB2312" w:hAnsi="仿宋_GB2312" w:cs="仿宋_GB2312" w:hint="eastAsia"/>
          <w:bCs/>
          <w:sz w:val="28"/>
          <w:szCs w:val="28"/>
        </w:rPr>
        <w:t>半无限平面边界上受集中力</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lastRenderedPageBreak/>
        <w:t>3、本章的重点和难点</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重点：</w:t>
      </w:r>
      <w:r w:rsidRPr="00E667AD">
        <w:rPr>
          <w:rFonts w:ascii="仿宋_GB2312" w:hAnsi="仿宋_GB2312" w:cs="仿宋_GB2312" w:hint="eastAsia"/>
          <w:bCs/>
          <w:sz w:val="28"/>
          <w:szCs w:val="28"/>
        </w:rPr>
        <w:t>极坐标解平面问题时基本方程的建立方法；应力集中产生的孔边应力计算问题；楔形体顶端及半无限平面边界上受集中力作用时应力和位移的计算方法</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t>难点：</w:t>
      </w:r>
      <w:r w:rsidRPr="00E667AD">
        <w:rPr>
          <w:rFonts w:ascii="仿宋_GB2312" w:hAnsi="仿宋_GB2312" w:cs="仿宋_GB2312" w:hint="eastAsia"/>
          <w:bCs/>
          <w:sz w:val="28"/>
          <w:szCs w:val="28"/>
        </w:rPr>
        <w:t>孔边应力集中问题、半无限平面体应力和位移计算</w:t>
      </w:r>
      <w:r w:rsidRPr="00E667AD">
        <w:rPr>
          <w:rFonts w:ascii="仿宋_GB2312" w:hAnsi="仿宋_GB2312" w:cs="仿宋_GB2312"/>
          <w:bCs/>
          <w:sz w:val="28"/>
          <w:szCs w:val="28"/>
        </w:rPr>
        <w:t>。</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4、对毕业要求的支撑</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本章知识点的讲授和学习，可支撑“指标点1-</w:t>
      </w:r>
      <w:r w:rsidRPr="00E667AD">
        <w:rPr>
          <w:rFonts w:ascii="仿宋_GB2312" w:hAnsi="仿宋_GB2312" w:cs="仿宋_GB2312"/>
          <w:bCs/>
          <w:sz w:val="28"/>
          <w:szCs w:val="28"/>
        </w:rPr>
        <w:t>2</w:t>
      </w:r>
      <w:r w:rsidRPr="00E667AD">
        <w:rPr>
          <w:rFonts w:ascii="仿宋_GB2312" w:hAnsi="仿宋_GB2312" w:cs="仿宋_GB2312" w:hint="eastAsia"/>
          <w:bCs/>
          <w:sz w:val="28"/>
          <w:szCs w:val="28"/>
        </w:rPr>
        <w:t>：工程知识应用能力，掌握力学原理和方法，具备面向土木工程专业复杂工程问题的抽象分析和建模求解能力”、“指标点</w:t>
      </w:r>
      <w:r w:rsidRPr="00E667AD">
        <w:rPr>
          <w:rFonts w:ascii="仿宋_GB2312" w:hAnsi="仿宋_GB2312" w:cs="仿宋_GB2312"/>
          <w:bCs/>
          <w:sz w:val="28"/>
          <w:szCs w:val="28"/>
        </w:rPr>
        <w:t>2</w:t>
      </w:r>
      <w:r w:rsidRPr="00E667AD">
        <w:rPr>
          <w:rFonts w:ascii="仿宋_GB2312" w:hAnsi="仿宋_GB2312" w:cs="仿宋_GB2312" w:hint="eastAsia"/>
          <w:bCs/>
          <w:sz w:val="28"/>
          <w:szCs w:val="28"/>
        </w:rPr>
        <w:t>-</w:t>
      </w:r>
      <w:r w:rsidRPr="00E667AD">
        <w:rPr>
          <w:rFonts w:ascii="仿宋_GB2312" w:hAnsi="仿宋_GB2312" w:cs="仿宋_GB2312"/>
          <w:bCs/>
          <w:sz w:val="28"/>
          <w:szCs w:val="28"/>
        </w:rPr>
        <w:t>2</w:t>
      </w:r>
      <w:r w:rsidRPr="00E667AD">
        <w:rPr>
          <w:rFonts w:ascii="仿宋_GB2312" w:hAnsi="仿宋_GB2312" w:cs="仿宋_GB2312" w:hint="eastAsia"/>
          <w:bCs/>
          <w:sz w:val="28"/>
          <w:szCs w:val="28"/>
        </w:rPr>
        <w:t>：问题分析能力，能够应用力学基础知识和方法，正确识别和表达土木工程专业复杂工程问题，并能选择合适的方法进行分析和求解”和“指标点1</w:t>
      </w:r>
      <w:r w:rsidRPr="00E667AD">
        <w:rPr>
          <w:rFonts w:ascii="仿宋_GB2312" w:hAnsi="仿宋_GB2312" w:cs="仿宋_GB2312"/>
          <w:bCs/>
          <w:sz w:val="28"/>
          <w:szCs w:val="28"/>
        </w:rPr>
        <w:t>2</w:t>
      </w:r>
      <w:r w:rsidRPr="00E667AD">
        <w:rPr>
          <w:rFonts w:ascii="仿宋_GB2312" w:hAnsi="仿宋_GB2312" w:cs="仿宋_GB2312" w:hint="eastAsia"/>
          <w:bCs/>
          <w:sz w:val="28"/>
          <w:szCs w:val="28"/>
        </w:rPr>
        <w:t>-1：学习能力，能够正确认识自我探索和终身学习的必要性，具有良好的职业发展观”。</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5、课程思政育人要素</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利用数学和力学问题的内在联系，将直角坐标系与极坐标系的变换关系，以及物理量(如位移、体力、应力、应变)之间的坐标变换关系以矩阵的形式统一表达，并运用这些坐标变换关系直接从直角坐标系中的基本方程导出极坐标中的基本方程。弹性力学在很大程度上可理解是数学知识的应用和拓展，我们可将数学、力学、美学关联起来，透过数学美来发现、感受、鉴赏弹性力学课程中的美，培养学生的审美情怀，以美育来促进德育和智育的发展。另外，结合参加历届全国弹性力学青年教师讲课竞赛和会议的切身体会，践行以赛促教、以赛促课，通过任课教师参赛及获奖，提高学生对本校弹性力学的认可度和学习热情。</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hint="eastAsia"/>
          <w:bCs/>
          <w:sz w:val="28"/>
          <w:szCs w:val="28"/>
        </w:rPr>
        <w:t>6</w:t>
      </w:r>
      <w:r w:rsidRPr="00E667AD">
        <w:rPr>
          <w:rFonts w:ascii="仿宋_GB2312" w:hAnsi="仿宋_GB2312" w:cs="仿宋_GB2312"/>
          <w:bCs/>
          <w:sz w:val="28"/>
          <w:szCs w:val="28"/>
        </w:rPr>
        <w:t>、作业</w:t>
      </w:r>
    </w:p>
    <w:p w:rsidR="00876C31" w:rsidRPr="00E667AD" w:rsidRDefault="00876C31" w:rsidP="00E667AD">
      <w:pPr>
        <w:snapToGrid w:val="0"/>
        <w:spacing w:line="360" w:lineRule="auto"/>
        <w:ind w:firstLineChars="200" w:firstLine="560"/>
        <w:rPr>
          <w:rFonts w:ascii="仿宋_GB2312" w:hAnsi="仿宋_GB2312" w:cs="仿宋_GB2312"/>
          <w:bCs/>
          <w:sz w:val="28"/>
          <w:szCs w:val="28"/>
        </w:rPr>
      </w:pPr>
      <w:r w:rsidRPr="00E667AD">
        <w:rPr>
          <w:rFonts w:ascii="仿宋_GB2312" w:hAnsi="仿宋_GB2312" w:cs="仿宋_GB2312"/>
          <w:bCs/>
          <w:sz w:val="28"/>
          <w:szCs w:val="28"/>
        </w:rPr>
        <w:lastRenderedPageBreak/>
        <w:t>作业</w:t>
      </w:r>
      <w:r w:rsidRPr="00E667AD">
        <w:rPr>
          <w:rFonts w:ascii="仿宋_GB2312" w:hAnsi="仿宋_GB2312" w:cs="仿宋_GB2312" w:hint="eastAsia"/>
          <w:bCs/>
          <w:sz w:val="28"/>
          <w:szCs w:val="28"/>
        </w:rPr>
        <w:t>四</w:t>
      </w:r>
      <w:r w:rsidRPr="00E667AD">
        <w:rPr>
          <w:rFonts w:ascii="仿宋_GB2312" w:hAnsi="仿宋_GB2312" w:cs="仿宋_GB2312"/>
          <w:bCs/>
          <w:sz w:val="28"/>
          <w:szCs w:val="28"/>
        </w:rPr>
        <w:t>：教材P75第4.3</w:t>
      </w:r>
      <w:r w:rsidRPr="00E667AD">
        <w:rPr>
          <w:rFonts w:ascii="仿宋_GB2312" w:hAnsi="仿宋_GB2312" w:cs="仿宋_GB2312" w:hint="eastAsia"/>
          <w:bCs/>
          <w:sz w:val="28"/>
          <w:szCs w:val="28"/>
        </w:rPr>
        <w:t>、4</w:t>
      </w:r>
      <w:r w:rsidRPr="00E667AD">
        <w:rPr>
          <w:rFonts w:ascii="仿宋_GB2312" w:hAnsi="仿宋_GB2312" w:cs="仿宋_GB2312"/>
          <w:bCs/>
          <w:sz w:val="28"/>
          <w:szCs w:val="28"/>
        </w:rPr>
        <w:t>.5</w:t>
      </w:r>
      <w:r w:rsidRPr="00E667AD">
        <w:rPr>
          <w:rFonts w:ascii="仿宋_GB2312" w:hAnsi="仿宋_GB2312" w:cs="仿宋_GB2312" w:hint="eastAsia"/>
          <w:bCs/>
          <w:sz w:val="28"/>
          <w:szCs w:val="28"/>
        </w:rPr>
        <w:t>、4</w:t>
      </w:r>
      <w:r w:rsidRPr="00E667AD">
        <w:rPr>
          <w:rFonts w:ascii="仿宋_GB2312" w:hAnsi="仿宋_GB2312" w:cs="仿宋_GB2312"/>
          <w:bCs/>
          <w:sz w:val="28"/>
          <w:szCs w:val="28"/>
        </w:rPr>
        <w:t>.7</w:t>
      </w:r>
      <w:r w:rsidRPr="00E667AD">
        <w:rPr>
          <w:rFonts w:ascii="仿宋_GB2312" w:hAnsi="仿宋_GB2312" w:cs="仿宋_GB2312" w:hint="eastAsia"/>
          <w:bCs/>
          <w:sz w:val="28"/>
          <w:szCs w:val="28"/>
        </w:rPr>
        <w:t>、4</w:t>
      </w:r>
      <w:r w:rsidRPr="00E667AD">
        <w:rPr>
          <w:rFonts w:ascii="仿宋_GB2312" w:hAnsi="仿宋_GB2312" w:cs="仿宋_GB2312"/>
          <w:bCs/>
          <w:sz w:val="28"/>
          <w:szCs w:val="28"/>
        </w:rPr>
        <w:t>.8</w:t>
      </w:r>
      <w:r w:rsidRPr="00E667AD">
        <w:rPr>
          <w:rFonts w:ascii="仿宋_GB2312" w:hAnsi="仿宋_GB2312" w:cs="仿宋_GB2312" w:hint="eastAsia"/>
          <w:bCs/>
          <w:sz w:val="28"/>
          <w:szCs w:val="28"/>
        </w:rPr>
        <w:t>、4</w:t>
      </w:r>
      <w:r w:rsidRPr="00E667AD">
        <w:rPr>
          <w:rFonts w:ascii="仿宋_GB2312" w:hAnsi="仿宋_GB2312" w:cs="仿宋_GB2312"/>
          <w:bCs/>
          <w:sz w:val="28"/>
          <w:szCs w:val="28"/>
        </w:rPr>
        <w:t>.9题。</w:t>
      </w:r>
    </w:p>
    <w:p w:rsidR="00876C31" w:rsidRPr="00C7225C" w:rsidRDefault="00876C31" w:rsidP="00C7225C">
      <w:pPr>
        <w:spacing w:beforeLines="50" w:before="156" w:afterLines="50" w:after="156" w:line="560" w:lineRule="exact"/>
        <w:rPr>
          <w:rFonts w:ascii="黑体" w:eastAsia="黑体" w:hAnsi="黑体"/>
          <w:b/>
          <w:sz w:val="28"/>
          <w:szCs w:val="28"/>
        </w:rPr>
      </w:pPr>
      <w:r w:rsidRPr="00C7225C">
        <w:rPr>
          <w:rFonts w:ascii="黑体" w:eastAsia="黑体" w:hAnsi="黑体"/>
          <w:b/>
          <w:sz w:val="28"/>
          <w:szCs w:val="28"/>
        </w:rPr>
        <w:t>五、教学方法</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教学方式</w:t>
      </w:r>
      <w:r w:rsidRPr="00C7225C">
        <w:rPr>
          <w:rFonts w:ascii="仿宋_GB2312" w:hAnsi="仿宋_GB2312" w:cs="仿宋_GB2312" w:hint="eastAsia"/>
          <w:bCs/>
          <w:sz w:val="28"/>
          <w:szCs w:val="28"/>
        </w:rPr>
        <w:t>采用板书或</w:t>
      </w:r>
      <w:r w:rsidRPr="00C7225C">
        <w:rPr>
          <w:rFonts w:ascii="仿宋_GB2312" w:hAnsi="仿宋_GB2312" w:cs="仿宋_GB2312"/>
          <w:bCs/>
          <w:sz w:val="28"/>
          <w:szCs w:val="28"/>
        </w:rPr>
        <w:t>PPT</w:t>
      </w:r>
      <w:r w:rsidRPr="00C7225C">
        <w:rPr>
          <w:rFonts w:ascii="仿宋_GB2312" w:hAnsi="仿宋_GB2312" w:cs="仿宋_GB2312" w:hint="eastAsia"/>
          <w:bCs/>
          <w:sz w:val="28"/>
          <w:szCs w:val="28"/>
        </w:rPr>
        <w:t>结合板书讲授、课后思考题和练习题等相结合进行授课，训练学生理论推导和实际运算的能力。在弹性力学课程教学中，要遵循重基础理论、重基本概念、重基本方法的教学理念。课堂上以启发式教学为主，要由浅入深，由易到难，循序渐进，调动学生的学习兴趣与主观能动性。批改作业要认真、严格，课后辅导应及时。重视弹性力学课程的教学研究，提高教学效果。</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本课程采用的教学方法与课程目标的对应关系如下：</w:t>
      </w:r>
    </w:p>
    <w:tbl>
      <w:tblPr>
        <w:tblW w:w="41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3329"/>
        <w:gridCol w:w="1508"/>
      </w:tblGrid>
      <w:tr w:rsidR="00876C31" w:rsidRPr="00C7225C" w:rsidTr="00BE5664">
        <w:trPr>
          <w:jc w:val="center"/>
        </w:trPr>
        <w:tc>
          <w:tcPr>
            <w:tcW w:w="1472"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2"/>
              <w:rPr>
                <w:rFonts w:ascii="仿宋_GB2312" w:hAnsi="仿宋_GB2312" w:cs="仿宋_GB2312"/>
                <w:b/>
                <w:bCs/>
                <w:sz w:val="24"/>
                <w:szCs w:val="24"/>
              </w:rPr>
            </w:pPr>
            <w:r w:rsidRPr="00C7225C">
              <w:rPr>
                <w:rFonts w:ascii="仿宋_GB2312" w:hAnsi="仿宋_GB2312" w:cs="仿宋_GB2312"/>
                <w:b/>
                <w:bCs/>
                <w:sz w:val="24"/>
                <w:szCs w:val="24"/>
              </w:rPr>
              <w:t>教学方法</w:t>
            </w:r>
          </w:p>
        </w:tc>
        <w:tc>
          <w:tcPr>
            <w:tcW w:w="2428"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2"/>
              <w:rPr>
                <w:rFonts w:ascii="仿宋_GB2312" w:hAnsi="仿宋_GB2312" w:cs="仿宋_GB2312"/>
                <w:b/>
                <w:bCs/>
                <w:sz w:val="24"/>
                <w:szCs w:val="24"/>
              </w:rPr>
            </w:pPr>
            <w:r w:rsidRPr="00C7225C">
              <w:rPr>
                <w:rFonts w:ascii="仿宋_GB2312" w:hAnsi="仿宋_GB2312" w:cs="仿宋_GB2312"/>
                <w:b/>
                <w:bCs/>
                <w:sz w:val="24"/>
                <w:szCs w:val="24"/>
              </w:rPr>
              <w:t>具体实施方式</w:t>
            </w:r>
          </w:p>
        </w:tc>
        <w:tc>
          <w:tcPr>
            <w:tcW w:w="1100"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rPr>
                <w:rFonts w:ascii="仿宋_GB2312" w:hAnsi="仿宋_GB2312" w:cs="仿宋_GB2312"/>
                <w:b/>
                <w:bCs/>
                <w:sz w:val="24"/>
                <w:szCs w:val="24"/>
              </w:rPr>
            </w:pPr>
            <w:r w:rsidRPr="00C7225C">
              <w:rPr>
                <w:rFonts w:ascii="仿宋_GB2312" w:hAnsi="仿宋_GB2312" w:cs="仿宋_GB2312"/>
                <w:b/>
                <w:bCs/>
                <w:sz w:val="24"/>
                <w:szCs w:val="24"/>
              </w:rPr>
              <w:t>教学目标</w:t>
            </w:r>
          </w:p>
        </w:tc>
      </w:tr>
      <w:tr w:rsidR="00876C31" w:rsidRPr="00C7225C" w:rsidTr="00BE5664">
        <w:trPr>
          <w:jc w:val="center"/>
        </w:trPr>
        <w:tc>
          <w:tcPr>
            <w:tcW w:w="1472" w:type="pct"/>
            <w:vMerge w:val="restar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平时作业</w:t>
            </w:r>
          </w:p>
        </w:tc>
        <w:tc>
          <w:tcPr>
            <w:tcW w:w="2428"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概念与原理题</w:t>
            </w:r>
          </w:p>
        </w:tc>
        <w:tc>
          <w:tcPr>
            <w:tcW w:w="1100"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rPr>
                <w:rFonts w:ascii="仿宋_GB2312" w:hAnsi="仿宋_GB2312" w:cs="仿宋_GB2312"/>
                <w:bCs/>
                <w:sz w:val="24"/>
                <w:szCs w:val="24"/>
              </w:rPr>
            </w:pPr>
            <w:r w:rsidRPr="00C7225C">
              <w:rPr>
                <w:rFonts w:ascii="仿宋_GB2312" w:hAnsi="仿宋_GB2312" w:cs="仿宋_GB2312"/>
                <w:bCs/>
                <w:sz w:val="24"/>
                <w:szCs w:val="24"/>
              </w:rPr>
              <w:t>（</w:t>
            </w:r>
            <w:r w:rsidRPr="00C7225C">
              <w:rPr>
                <w:rFonts w:ascii="仿宋_GB2312" w:hAnsi="仿宋_GB2312" w:cs="仿宋_GB2312" w:hint="eastAsia"/>
                <w:bCs/>
                <w:sz w:val="24"/>
                <w:szCs w:val="24"/>
              </w:rPr>
              <w:t>1</w:t>
            </w:r>
            <w:r w:rsidRPr="00C7225C">
              <w:rPr>
                <w:rFonts w:ascii="仿宋_GB2312" w:hAnsi="仿宋_GB2312" w:cs="仿宋_GB2312"/>
                <w:bCs/>
                <w:sz w:val="24"/>
                <w:szCs w:val="24"/>
              </w:rPr>
              <w:t>）（2）</w:t>
            </w:r>
          </w:p>
        </w:tc>
      </w:tr>
      <w:tr w:rsidR="00876C31" w:rsidRPr="00C7225C" w:rsidTr="00BE5664">
        <w:trPr>
          <w:jc w:val="center"/>
        </w:trPr>
        <w:tc>
          <w:tcPr>
            <w:tcW w:w="1472" w:type="pct"/>
            <w:vMerge/>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p>
        </w:tc>
        <w:tc>
          <w:tcPr>
            <w:tcW w:w="2428"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计算题</w:t>
            </w:r>
          </w:p>
        </w:tc>
        <w:tc>
          <w:tcPr>
            <w:tcW w:w="1100"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rPr>
                <w:rFonts w:ascii="仿宋_GB2312" w:hAnsi="仿宋_GB2312" w:cs="仿宋_GB2312"/>
                <w:bCs/>
                <w:sz w:val="24"/>
                <w:szCs w:val="24"/>
              </w:rPr>
            </w:pPr>
            <w:r w:rsidRPr="00C7225C">
              <w:rPr>
                <w:rFonts w:ascii="仿宋_GB2312" w:hAnsi="仿宋_GB2312" w:cs="仿宋_GB2312"/>
                <w:bCs/>
                <w:sz w:val="24"/>
                <w:szCs w:val="24"/>
              </w:rPr>
              <w:t>（3）（</w:t>
            </w:r>
            <w:r w:rsidRPr="00C7225C">
              <w:rPr>
                <w:rFonts w:ascii="仿宋_GB2312" w:hAnsi="仿宋_GB2312" w:cs="仿宋_GB2312" w:hint="eastAsia"/>
                <w:bCs/>
                <w:sz w:val="24"/>
                <w:szCs w:val="24"/>
              </w:rPr>
              <w:t>4</w:t>
            </w:r>
            <w:r w:rsidRPr="00C7225C">
              <w:rPr>
                <w:rFonts w:ascii="仿宋_GB2312" w:hAnsi="仿宋_GB2312" w:cs="仿宋_GB2312"/>
                <w:bCs/>
                <w:sz w:val="24"/>
                <w:szCs w:val="24"/>
              </w:rPr>
              <w:t>）</w:t>
            </w:r>
          </w:p>
        </w:tc>
      </w:tr>
      <w:tr w:rsidR="00876C31" w:rsidRPr="00C7225C" w:rsidTr="00BE5664">
        <w:trPr>
          <w:jc w:val="center"/>
        </w:trPr>
        <w:tc>
          <w:tcPr>
            <w:tcW w:w="1472"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随堂测验</w:t>
            </w:r>
          </w:p>
        </w:tc>
        <w:tc>
          <w:tcPr>
            <w:tcW w:w="2428"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概念与原理题</w:t>
            </w:r>
          </w:p>
        </w:tc>
        <w:tc>
          <w:tcPr>
            <w:tcW w:w="1100"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rPr>
                <w:rFonts w:ascii="仿宋_GB2312" w:hAnsi="仿宋_GB2312" w:cs="仿宋_GB2312"/>
                <w:bCs/>
                <w:sz w:val="24"/>
                <w:szCs w:val="24"/>
              </w:rPr>
            </w:pPr>
            <w:r w:rsidRPr="00C7225C">
              <w:rPr>
                <w:rFonts w:ascii="仿宋_GB2312" w:hAnsi="仿宋_GB2312" w:cs="仿宋_GB2312"/>
                <w:bCs/>
                <w:sz w:val="24"/>
                <w:szCs w:val="24"/>
              </w:rPr>
              <w:t>（</w:t>
            </w:r>
            <w:r w:rsidRPr="00C7225C">
              <w:rPr>
                <w:rFonts w:ascii="仿宋_GB2312" w:hAnsi="仿宋_GB2312" w:cs="仿宋_GB2312" w:hint="eastAsia"/>
                <w:bCs/>
                <w:sz w:val="24"/>
                <w:szCs w:val="24"/>
              </w:rPr>
              <w:t>1</w:t>
            </w:r>
            <w:r w:rsidRPr="00C7225C">
              <w:rPr>
                <w:rFonts w:ascii="仿宋_GB2312" w:hAnsi="仿宋_GB2312" w:cs="仿宋_GB2312"/>
                <w:bCs/>
                <w:sz w:val="24"/>
                <w:szCs w:val="24"/>
              </w:rPr>
              <w:t>）（2）</w:t>
            </w:r>
          </w:p>
        </w:tc>
      </w:tr>
    </w:tbl>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需注意：在课程教学过程中，教师应指导学生进行课外文献阅读。推荐学生能够利用多种手段获取文献，如利用互联网资源、校园网数据库、图书馆资料（期刊、专业文献）等进行课外阅读。</w:t>
      </w:r>
    </w:p>
    <w:p w:rsidR="00876C31" w:rsidRPr="00C7225C" w:rsidRDefault="00876C31" w:rsidP="00C7225C">
      <w:pPr>
        <w:spacing w:beforeLines="50" w:before="156" w:afterLines="50" w:after="156" w:line="560" w:lineRule="exact"/>
        <w:rPr>
          <w:rFonts w:ascii="黑体" w:eastAsia="黑体" w:hAnsi="黑体"/>
          <w:b/>
          <w:sz w:val="28"/>
          <w:szCs w:val="28"/>
        </w:rPr>
      </w:pPr>
      <w:r w:rsidRPr="00C7225C">
        <w:rPr>
          <w:rFonts w:ascii="黑体" w:eastAsia="黑体" w:hAnsi="黑体"/>
          <w:b/>
          <w:sz w:val="28"/>
          <w:szCs w:val="28"/>
        </w:rPr>
        <w:t>六、课程的考核环节及课程目标达成度自评方式</w:t>
      </w:r>
    </w:p>
    <w:p w:rsidR="00876C31" w:rsidRPr="00C7225C" w:rsidRDefault="00876C31" w:rsidP="00C7225C">
      <w:pPr>
        <w:snapToGrid w:val="0"/>
        <w:spacing w:line="360" w:lineRule="auto"/>
        <w:rPr>
          <w:rFonts w:ascii="仿宋_GB2312" w:hAnsi="仿宋_GB2312" w:cs="仿宋_GB2312"/>
          <w:b/>
          <w:bCs/>
          <w:sz w:val="28"/>
          <w:szCs w:val="28"/>
        </w:rPr>
      </w:pPr>
      <w:r w:rsidRPr="00C7225C">
        <w:rPr>
          <w:rFonts w:ascii="仿宋_GB2312" w:hAnsi="仿宋_GB2312" w:cs="仿宋_GB2312"/>
          <w:b/>
          <w:bCs/>
          <w:sz w:val="28"/>
          <w:szCs w:val="28"/>
        </w:rPr>
        <w:t>（一）课程的考核环节</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hint="eastAsia"/>
          <w:bCs/>
          <w:sz w:val="28"/>
          <w:szCs w:val="28"/>
        </w:rPr>
        <w:t>课程的总成绩按期末考试卷面成绩和平时考查成绩两项评定，并以期末考试卷面成绩为主。期末成绩采用闭卷考试，占总成绩的</w:t>
      </w:r>
      <w:r w:rsidRPr="00C7225C">
        <w:rPr>
          <w:rFonts w:ascii="仿宋_GB2312" w:hAnsi="仿宋_GB2312" w:cs="仿宋_GB2312"/>
          <w:bCs/>
          <w:sz w:val="28"/>
          <w:szCs w:val="28"/>
        </w:rPr>
        <w:t>8</w:t>
      </w:r>
      <w:r w:rsidRPr="00C7225C">
        <w:rPr>
          <w:rFonts w:ascii="仿宋_GB2312" w:hAnsi="仿宋_GB2312" w:cs="仿宋_GB2312" w:hint="eastAsia"/>
          <w:bCs/>
          <w:sz w:val="28"/>
          <w:szCs w:val="28"/>
        </w:rPr>
        <w:t>0</w:t>
      </w:r>
      <w:r w:rsidRPr="00C7225C">
        <w:rPr>
          <w:rFonts w:ascii="仿宋_GB2312" w:hAnsi="仿宋_GB2312" w:cs="仿宋_GB2312"/>
          <w:bCs/>
          <w:sz w:val="28"/>
          <w:szCs w:val="28"/>
        </w:rPr>
        <w:t>~</w:t>
      </w:r>
      <w:r w:rsidRPr="00C7225C">
        <w:rPr>
          <w:rFonts w:ascii="仿宋_GB2312" w:hAnsi="仿宋_GB2312" w:cs="仿宋_GB2312" w:hint="eastAsia"/>
          <w:bCs/>
          <w:sz w:val="28"/>
          <w:szCs w:val="28"/>
        </w:rPr>
        <w:t>7</w:t>
      </w:r>
      <w:r w:rsidRPr="00C7225C">
        <w:rPr>
          <w:rFonts w:ascii="仿宋_GB2312" w:hAnsi="仿宋_GB2312" w:cs="仿宋_GB2312"/>
          <w:bCs/>
          <w:sz w:val="28"/>
          <w:szCs w:val="28"/>
        </w:rPr>
        <w:t>0%</w:t>
      </w:r>
      <w:r w:rsidRPr="00C7225C">
        <w:rPr>
          <w:rFonts w:ascii="仿宋_GB2312" w:hAnsi="仿宋_GB2312" w:cs="仿宋_GB2312" w:hint="eastAsia"/>
          <w:bCs/>
          <w:sz w:val="28"/>
          <w:szCs w:val="28"/>
        </w:rPr>
        <w:t>。考查成绩由任课和辅导老师根据学生平时的学习态度、纪律及作业、小测验等情况综合评定，占总成绩的20</w:t>
      </w:r>
      <w:r w:rsidRPr="00C7225C">
        <w:rPr>
          <w:rFonts w:ascii="仿宋_GB2312" w:hAnsi="仿宋_GB2312" w:cs="仿宋_GB2312"/>
          <w:bCs/>
          <w:sz w:val="28"/>
          <w:szCs w:val="28"/>
        </w:rPr>
        <w:t>~</w:t>
      </w:r>
      <w:r w:rsidRPr="00C7225C">
        <w:rPr>
          <w:rFonts w:ascii="仿宋_GB2312" w:hAnsi="仿宋_GB2312" w:cs="仿宋_GB2312" w:hint="eastAsia"/>
          <w:bCs/>
          <w:sz w:val="28"/>
          <w:szCs w:val="28"/>
        </w:rPr>
        <w:t>30%。总成绩按百分制计。</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各考核环节与课程目标的对应关系如下：</w:t>
      </w:r>
    </w:p>
    <w:tbl>
      <w:tblPr>
        <w:tblW w:w="4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361"/>
        <w:gridCol w:w="3201"/>
        <w:gridCol w:w="1629"/>
      </w:tblGrid>
      <w:tr w:rsidR="00876C31" w:rsidRPr="00C7225C" w:rsidTr="00BE5664">
        <w:trPr>
          <w:jc w:val="center"/>
        </w:trPr>
        <w:tc>
          <w:tcPr>
            <w:tcW w:w="3921" w:type="pct"/>
            <w:gridSpan w:val="3"/>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2"/>
              <w:rPr>
                <w:rFonts w:ascii="仿宋_GB2312" w:hAnsi="仿宋_GB2312" w:cs="仿宋_GB2312"/>
                <w:b/>
                <w:bCs/>
                <w:sz w:val="24"/>
                <w:szCs w:val="24"/>
              </w:rPr>
            </w:pPr>
            <w:r w:rsidRPr="00C7225C">
              <w:rPr>
                <w:rFonts w:ascii="仿宋_GB2312" w:hAnsi="仿宋_GB2312" w:cs="仿宋_GB2312"/>
                <w:b/>
                <w:bCs/>
                <w:sz w:val="24"/>
                <w:szCs w:val="24"/>
              </w:rPr>
              <w:t>考核环节</w:t>
            </w:r>
          </w:p>
        </w:tc>
        <w:tc>
          <w:tcPr>
            <w:tcW w:w="1079" w:type="pct"/>
            <w:vMerge w:val="restar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rPr>
                <w:rFonts w:ascii="仿宋_GB2312" w:hAnsi="仿宋_GB2312" w:cs="仿宋_GB2312"/>
                <w:b/>
                <w:bCs/>
                <w:sz w:val="24"/>
                <w:szCs w:val="24"/>
              </w:rPr>
            </w:pPr>
            <w:r w:rsidRPr="00C7225C">
              <w:rPr>
                <w:rFonts w:ascii="仿宋_GB2312" w:hAnsi="仿宋_GB2312" w:cs="仿宋_GB2312"/>
                <w:b/>
                <w:bCs/>
                <w:sz w:val="24"/>
                <w:szCs w:val="24"/>
              </w:rPr>
              <w:t>教学目标</w:t>
            </w:r>
          </w:p>
        </w:tc>
      </w:tr>
      <w:tr w:rsidR="00876C31" w:rsidRPr="00C7225C" w:rsidTr="00BE5664">
        <w:trPr>
          <w:jc w:val="center"/>
        </w:trPr>
        <w:tc>
          <w:tcPr>
            <w:tcW w:w="921"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rPr>
                <w:rFonts w:ascii="仿宋_GB2312" w:hAnsi="仿宋_GB2312" w:cs="仿宋_GB2312"/>
                <w:b/>
                <w:bCs/>
                <w:sz w:val="24"/>
                <w:szCs w:val="24"/>
              </w:rPr>
            </w:pPr>
            <w:r w:rsidRPr="00C7225C">
              <w:rPr>
                <w:rFonts w:ascii="仿宋_GB2312" w:hAnsi="仿宋_GB2312" w:cs="仿宋_GB2312"/>
                <w:b/>
                <w:bCs/>
                <w:sz w:val="24"/>
                <w:szCs w:val="24"/>
              </w:rPr>
              <w:lastRenderedPageBreak/>
              <w:t>分项比例</w:t>
            </w:r>
          </w:p>
        </w:tc>
        <w:tc>
          <w:tcPr>
            <w:tcW w:w="3000" w:type="pct"/>
            <w:gridSpan w:val="2"/>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2"/>
              <w:rPr>
                <w:rFonts w:ascii="仿宋_GB2312" w:hAnsi="仿宋_GB2312" w:cs="仿宋_GB2312"/>
                <w:b/>
                <w:bCs/>
                <w:sz w:val="24"/>
                <w:szCs w:val="24"/>
              </w:rPr>
            </w:pPr>
            <w:r w:rsidRPr="00C7225C">
              <w:rPr>
                <w:rFonts w:ascii="仿宋_GB2312" w:hAnsi="仿宋_GB2312" w:cs="仿宋_GB2312"/>
                <w:b/>
                <w:bCs/>
                <w:sz w:val="24"/>
                <w:szCs w:val="24"/>
              </w:rPr>
              <w:t>分项内容</w:t>
            </w:r>
          </w:p>
        </w:tc>
        <w:tc>
          <w:tcPr>
            <w:tcW w:w="1079" w:type="pct"/>
            <w:vMerge/>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p>
        </w:tc>
      </w:tr>
      <w:tr w:rsidR="00876C31" w:rsidRPr="00C7225C" w:rsidTr="00BE5664">
        <w:trPr>
          <w:jc w:val="center"/>
        </w:trPr>
        <w:tc>
          <w:tcPr>
            <w:tcW w:w="921" w:type="pct"/>
            <w:vMerge w:val="restar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rPr>
                <w:rFonts w:ascii="仿宋_GB2312" w:hAnsi="仿宋_GB2312" w:cs="仿宋_GB2312"/>
                <w:bCs/>
                <w:sz w:val="24"/>
                <w:szCs w:val="24"/>
              </w:rPr>
            </w:pPr>
            <w:r w:rsidRPr="00C7225C">
              <w:rPr>
                <w:rFonts w:ascii="仿宋_GB2312" w:hAnsi="仿宋_GB2312" w:cs="仿宋_GB2312"/>
                <w:bCs/>
                <w:sz w:val="24"/>
                <w:szCs w:val="24"/>
              </w:rPr>
              <w:t>平时成绩</w:t>
            </w:r>
          </w:p>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w:t>
            </w:r>
            <w:r w:rsidRPr="00C7225C">
              <w:rPr>
                <w:rFonts w:ascii="仿宋_GB2312" w:hAnsi="仿宋_GB2312" w:cs="仿宋_GB2312" w:hint="eastAsia"/>
                <w:bCs/>
                <w:sz w:val="24"/>
                <w:szCs w:val="24"/>
              </w:rPr>
              <w:t>2</w:t>
            </w:r>
            <w:r w:rsidRPr="00C7225C">
              <w:rPr>
                <w:rFonts w:ascii="仿宋_GB2312" w:hAnsi="仿宋_GB2312" w:cs="仿宋_GB2312"/>
                <w:bCs/>
                <w:sz w:val="24"/>
                <w:szCs w:val="24"/>
              </w:rPr>
              <w:t>0%）</w:t>
            </w:r>
          </w:p>
        </w:tc>
        <w:tc>
          <w:tcPr>
            <w:tcW w:w="905" w:type="pct"/>
            <w:vMerge w:val="restar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平时作业</w:t>
            </w:r>
          </w:p>
        </w:tc>
        <w:tc>
          <w:tcPr>
            <w:tcW w:w="2096"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概念与原理题</w:t>
            </w:r>
          </w:p>
        </w:tc>
        <w:tc>
          <w:tcPr>
            <w:tcW w:w="1079"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（1）（2）</w:t>
            </w:r>
          </w:p>
        </w:tc>
      </w:tr>
      <w:tr w:rsidR="00876C31" w:rsidRPr="00C7225C" w:rsidTr="00BE5664">
        <w:trPr>
          <w:jc w:val="center"/>
        </w:trPr>
        <w:tc>
          <w:tcPr>
            <w:tcW w:w="921" w:type="pct"/>
            <w:vMerge/>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p>
        </w:tc>
        <w:tc>
          <w:tcPr>
            <w:tcW w:w="905" w:type="pct"/>
            <w:vMerge/>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p>
        </w:tc>
        <w:tc>
          <w:tcPr>
            <w:tcW w:w="2096"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计算题</w:t>
            </w:r>
          </w:p>
        </w:tc>
        <w:tc>
          <w:tcPr>
            <w:tcW w:w="1079"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（3）（</w:t>
            </w:r>
            <w:r w:rsidRPr="00C7225C">
              <w:rPr>
                <w:rFonts w:ascii="仿宋_GB2312" w:hAnsi="仿宋_GB2312" w:cs="仿宋_GB2312" w:hint="eastAsia"/>
                <w:bCs/>
                <w:sz w:val="24"/>
                <w:szCs w:val="24"/>
              </w:rPr>
              <w:t>4</w:t>
            </w:r>
            <w:r w:rsidRPr="00C7225C">
              <w:rPr>
                <w:rFonts w:ascii="仿宋_GB2312" w:hAnsi="仿宋_GB2312" w:cs="仿宋_GB2312"/>
                <w:bCs/>
                <w:sz w:val="24"/>
                <w:szCs w:val="24"/>
              </w:rPr>
              <w:t>）</w:t>
            </w:r>
          </w:p>
        </w:tc>
      </w:tr>
      <w:tr w:rsidR="00876C31" w:rsidRPr="00C7225C" w:rsidTr="00BE5664">
        <w:trPr>
          <w:jc w:val="center"/>
        </w:trPr>
        <w:tc>
          <w:tcPr>
            <w:tcW w:w="921" w:type="pct"/>
            <w:vMerge/>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p>
        </w:tc>
        <w:tc>
          <w:tcPr>
            <w:tcW w:w="3000" w:type="pct"/>
            <w:gridSpan w:val="2"/>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随堂测验：概念与原理题</w:t>
            </w:r>
          </w:p>
        </w:tc>
        <w:tc>
          <w:tcPr>
            <w:tcW w:w="1079"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（1）（</w:t>
            </w:r>
            <w:r w:rsidRPr="00C7225C">
              <w:rPr>
                <w:rFonts w:ascii="仿宋_GB2312" w:hAnsi="仿宋_GB2312" w:cs="仿宋_GB2312" w:hint="eastAsia"/>
                <w:bCs/>
                <w:sz w:val="24"/>
                <w:szCs w:val="24"/>
              </w:rPr>
              <w:t>2</w:t>
            </w:r>
            <w:r w:rsidRPr="00C7225C">
              <w:rPr>
                <w:rFonts w:ascii="仿宋_GB2312" w:hAnsi="仿宋_GB2312" w:cs="仿宋_GB2312"/>
                <w:bCs/>
                <w:sz w:val="24"/>
                <w:szCs w:val="24"/>
              </w:rPr>
              <w:t>）</w:t>
            </w:r>
          </w:p>
        </w:tc>
      </w:tr>
      <w:tr w:rsidR="00876C31" w:rsidRPr="00C7225C" w:rsidTr="00BE5664">
        <w:trPr>
          <w:jc w:val="center"/>
        </w:trPr>
        <w:tc>
          <w:tcPr>
            <w:tcW w:w="921" w:type="pct"/>
            <w:vMerge w:val="restar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rPr>
                <w:rFonts w:ascii="仿宋_GB2312" w:hAnsi="仿宋_GB2312" w:cs="仿宋_GB2312"/>
                <w:bCs/>
                <w:sz w:val="24"/>
                <w:szCs w:val="24"/>
              </w:rPr>
            </w:pPr>
            <w:r w:rsidRPr="00C7225C">
              <w:rPr>
                <w:rFonts w:ascii="仿宋_GB2312" w:hAnsi="仿宋_GB2312" w:cs="仿宋_GB2312"/>
                <w:bCs/>
                <w:sz w:val="24"/>
                <w:szCs w:val="24"/>
              </w:rPr>
              <w:t>期终考试</w:t>
            </w:r>
          </w:p>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w:t>
            </w:r>
            <w:r w:rsidRPr="00C7225C">
              <w:rPr>
                <w:rFonts w:ascii="仿宋_GB2312" w:hAnsi="仿宋_GB2312" w:cs="仿宋_GB2312" w:hint="eastAsia"/>
                <w:bCs/>
                <w:sz w:val="24"/>
                <w:szCs w:val="24"/>
              </w:rPr>
              <w:t>8</w:t>
            </w:r>
            <w:r w:rsidRPr="00C7225C">
              <w:rPr>
                <w:rFonts w:ascii="仿宋_GB2312" w:hAnsi="仿宋_GB2312" w:cs="仿宋_GB2312"/>
                <w:bCs/>
                <w:sz w:val="24"/>
                <w:szCs w:val="24"/>
              </w:rPr>
              <w:t>0%）</w:t>
            </w:r>
          </w:p>
        </w:tc>
        <w:tc>
          <w:tcPr>
            <w:tcW w:w="3000" w:type="pct"/>
            <w:gridSpan w:val="2"/>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概念与原理题</w:t>
            </w:r>
          </w:p>
        </w:tc>
        <w:tc>
          <w:tcPr>
            <w:tcW w:w="1079"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（1）（2）</w:t>
            </w:r>
          </w:p>
        </w:tc>
      </w:tr>
      <w:tr w:rsidR="00876C31" w:rsidRPr="00C7225C" w:rsidTr="00BE5664">
        <w:trPr>
          <w:jc w:val="center"/>
        </w:trPr>
        <w:tc>
          <w:tcPr>
            <w:tcW w:w="921" w:type="pct"/>
            <w:vMerge/>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p>
        </w:tc>
        <w:tc>
          <w:tcPr>
            <w:tcW w:w="3000" w:type="pct"/>
            <w:gridSpan w:val="2"/>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计算题</w:t>
            </w:r>
          </w:p>
        </w:tc>
        <w:tc>
          <w:tcPr>
            <w:tcW w:w="1079" w:type="pct"/>
            <w:tcBorders>
              <w:top w:val="single" w:sz="4" w:space="0" w:color="auto"/>
              <w:left w:val="single" w:sz="4" w:space="0" w:color="auto"/>
              <w:bottom w:val="single" w:sz="4" w:space="0" w:color="auto"/>
              <w:right w:val="single" w:sz="4" w:space="0" w:color="auto"/>
            </w:tcBorders>
            <w:vAlign w:val="center"/>
          </w:tcPr>
          <w:p w:rsidR="00876C31" w:rsidRPr="00C7225C" w:rsidRDefault="00876C31" w:rsidP="00C7225C">
            <w:pPr>
              <w:snapToGrid w:val="0"/>
              <w:spacing w:line="360" w:lineRule="auto"/>
              <w:ind w:firstLineChars="200" w:firstLine="480"/>
              <w:rPr>
                <w:rFonts w:ascii="仿宋_GB2312" w:hAnsi="仿宋_GB2312" w:cs="仿宋_GB2312"/>
                <w:bCs/>
                <w:sz w:val="24"/>
                <w:szCs w:val="24"/>
              </w:rPr>
            </w:pPr>
            <w:r w:rsidRPr="00C7225C">
              <w:rPr>
                <w:rFonts w:ascii="仿宋_GB2312" w:hAnsi="仿宋_GB2312" w:cs="仿宋_GB2312"/>
                <w:bCs/>
                <w:sz w:val="24"/>
                <w:szCs w:val="24"/>
              </w:rPr>
              <w:t>（3）（</w:t>
            </w:r>
            <w:r w:rsidRPr="00C7225C">
              <w:rPr>
                <w:rFonts w:ascii="仿宋_GB2312" w:hAnsi="仿宋_GB2312" w:cs="仿宋_GB2312" w:hint="eastAsia"/>
                <w:bCs/>
                <w:sz w:val="24"/>
                <w:szCs w:val="24"/>
              </w:rPr>
              <w:t>4</w:t>
            </w:r>
            <w:r w:rsidRPr="00C7225C">
              <w:rPr>
                <w:rFonts w:ascii="仿宋_GB2312" w:hAnsi="仿宋_GB2312" w:cs="仿宋_GB2312"/>
                <w:bCs/>
                <w:sz w:val="24"/>
                <w:szCs w:val="24"/>
              </w:rPr>
              <w:t>）</w:t>
            </w:r>
          </w:p>
        </w:tc>
      </w:tr>
    </w:tbl>
    <w:p w:rsidR="00876C31" w:rsidRPr="00C7225C" w:rsidRDefault="00876C31" w:rsidP="00C7225C">
      <w:pPr>
        <w:snapToGrid w:val="0"/>
        <w:spacing w:line="360" w:lineRule="auto"/>
        <w:rPr>
          <w:rFonts w:ascii="仿宋_GB2312" w:hAnsi="仿宋_GB2312" w:cs="仿宋_GB2312"/>
          <w:b/>
          <w:bCs/>
          <w:sz w:val="28"/>
          <w:szCs w:val="28"/>
        </w:rPr>
      </w:pPr>
      <w:r w:rsidRPr="00C7225C">
        <w:rPr>
          <w:rFonts w:ascii="仿宋_GB2312" w:hAnsi="仿宋_GB2312" w:cs="仿宋_GB2312"/>
          <w:b/>
          <w:bCs/>
          <w:sz w:val="28"/>
          <w:szCs w:val="28"/>
        </w:rPr>
        <w:t>（二）课程目标达成度自评方式</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据学院教学管理规定，在开展课程达成度评价前，课程评价审核小组对课程的评价依据合理性进行确认，包括平时作业、随堂测验、期终考试等考核环节。课程结束后，课程小组需要对课程进行达成度评价，课程小组由课程负责人和任课教师组成，统计课程考核数据，并填写“《</w:t>
      </w:r>
      <w:r w:rsidRPr="00C7225C">
        <w:rPr>
          <w:rFonts w:ascii="仿宋_GB2312" w:hAnsi="仿宋_GB2312" w:cs="仿宋_GB2312" w:hint="eastAsia"/>
          <w:bCs/>
          <w:sz w:val="28"/>
          <w:szCs w:val="28"/>
        </w:rPr>
        <w:t>弹性</w:t>
      </w:r>
      <w:r w:rsidRPr="00C7225C">
        <w:rPr>
          <w:rFonts w:ascii="仿宋_GB2312" w:hAnsi="仿宋_GB2312" w:cs="仿宋_GB2312"/>
          <w:bCs/>
          <w:sz w:val="28"/>
          <w:szCs w:val="28"/>
        </w:rPr>
        <w:t>力学》课程达成情况评价”报告，以便及时了解课程的达成效果，发现问题并进行持续改进，同时也为毕业要求达成度的评价提供基础数据。</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根据课程的考核形式，全部或抽样部分考核资料（应以当年修读该课程的学生为总体，至少抽取</w:t>
      </w:r>
      <w:r w:rsidRPr="00C7225C">
        <w:rPr>
          <w:rFonts w:ascii="仿宋_GB2312" w:hAnsi="仿宋_GB2312" w:cs="仿宋_GB2312" w:hint="eastAsia"/>
          <w:bCs/>
          <w:sz w:val="28"/>
          <w:szCs w:val="28"/>
        </w:rPr>
        <w:t>6</w:t>
      </w:r>
      <w:r w:rsidRPr="00C7225C">
        <w:rPr>
          <w:rFonts w:ascii="仿宋_GB2312" w:hAnsi="仿宋_GB2312" w:cs="仿宋_GB2312"/>
          <w:bCs/>
          <w:sz w:val="28"/>
          <w:szCs w:val="28"/>
        </w:rPr>
        <w:t>1%以上的学生样本），抽样时需覆盖优、良、中、及格和不及格等考核等级的考核资料。</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课程小组提交课程达成度评价数据后，课程评价审核小组对评价数据的合理性和有效性进行审核。</w:t>
      </w:r>
    </w:p>
    <w:p w:rsidR="00876C31" w:rsidRPr="00C7225C" w:rsidRDefault="00876C31" w:rsidP="00C7225C">
      <w:pPr>
        <w:spacing w:beforeLines="50" w:before="156" w:afterLines="50" w:after="156" w:line="560" w:lineRule="exact"/>
        <w:rPr>
          <w:rFonts w:ascii="黑体" w:eastAsia="黑体" w:hAnsi="黑体"/>
          <w:b/>
          <w:sz w:val="28"/>
          <w:szCs w:val="28"/>
        </w:rPr>
      </w:pPr>
      <w:r w:rsidRPr="00C7225C">
        <w:rPr>
          <w:rFonts w:ascii="黑体" w:eastAsia="黑体" w:hAnsi="黑体"/>
          <w:b/>
          <w:sz w:val="28"/>
          <w:szCs w:val="28"/>
        </w:rPr>
        <w:t>七、教学进程（详见授课日历）</w:t>
      </w:r>
    </w:p>
    <w:p w:rsidR="00876C31" w:rsidRPr="00C7225C" w:rsidRDefault="00876C31" w:rsidP="00C7225C">
      <w:pPr>
        <w:spacing w:beforeLines="50" w:before="156" w:afterLines="50" w:after="156" w:line="560" w:lineRule="exact"/>
        <w:rPr>
          <w:rFonts w:ascii="黑体" w:eastAsia="黑体" w:hAnsi="黑体"/>
          <w:b/>
          <w:sz w:val="28"/>
          <w:szCs w:val="28"/>
        </w:rPr>
      </w:pPr>
      <w:r w:rsidRPr="00C7225C">
        <w:rPr>
          <w:rFonts w:ascii="黑体" w:eastAsia="黑体" w:hAnsi="黑体"/>
          <w:b/>
          <w:sz w:val="28"/>
          <w:szCs w:val="28"/>
        </w:rPr>
        <w:t>八、教材及参考书</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主教材</w:t>
      </w:r>
      <w:r w:rsidRPr="00C7225C">
        <w:rPr>
          <w:rFonts w:ascii="仿宋_GB2312" w:hAnsi="仿宋_GB2312" w:cs="仿宋_GB2312" w:hint="eastAsia"/>
          <w:bCs/>
          <w:sz w:val="28"/>
          <w:szCs w:val="28"/>
        </w:rPr>
        <w:t>：</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hint="eastAsia"/>
          <w:bCs/>
          <w:sz w:val="28"/>
          <w:szCs w:val="28"/>
        </w:rPr>
        <w:t>《弹性力学及有限元》，赵均海、汪梦甫主编，武汉理工大学出版社，2008年5月。</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辅助教材</w:t>
      </w:r>
      <w:r w:rsidRPr="00C7225C">
        <w:rPr>
          <w:rFonts w:ascii="仿宋_GB2312" w:hAnsi="仿宋_GB2312" w:cs="仿宋_GB2312" w:hint="eastAsia"/>
          <w:bCs/>
          <w:sz w:val="28"/>
          <w:szCs w:val="28"/>
        </w:rPr>
        <w:t>：</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hint="eastAsia"/>
          <w:bCs/>
          <w:sz w:val="28"/>
          <w:szCs w:val="28"/>
        </w:rPr>
        <w:lastRenderedPageBreak/>
        <w:t>《弹性力学简明教程》（第四版），徐芝纶著，高等教育出版社，2013年6月。</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《弹性力学与有限元基础》</w:t>
      </w:r>
      <w:r w:rsidRPr="00C7225C">
        <w:rPr>
          <w:rFonts w:ascii="仿宋_GB2312" w:hAnsi="仿宋_GB2312" w:cs="仿宋_GB2312" w:hint="eastAsia"/>
          <w:bCs/>
          <w:sz w:val="28"/>
          <w:szCs w:val="28"/>
        </w:rPr>
        <w:t>，刘章军著，高等教育出版社，201</w:t>
      </w:r>
      <w:r w:rsidRPr="00C7225C">
        <w:rPr>
          <w:rFonts w:ascii="仿宋_GB2312" w:hAnsi="仿宋_GB2312" w:cs="仿宋_GB2312"/>
          <w:bCs/>
          <w:sz w:val="28"/>
          <w:szCs w:val="28"/>
        </w:rPr>
        <w:t>9</w:t>
      </w:r>
      <w:r w:rsidRPr="00C7225C">
        <w:rPr>
          <w:rFonts w:ascii="仿宋_GB2312" w:hAnsi="仿宋_GB2312" w:cs="仿宋_GB2312" w:hint="eastAsia"/>
          <w:bCs/>
          <w:sz w:val="28"/>
          <w:szCs w:val="28"/>
        </w:rPr>
        <w:t>年</w:t>
      </w:r>
      <w:r w:rsidRPr="00C7225C">
        <w:rPr>
          <w:rFonts w:ascii="仿宋_GB2312" w:hAnsi="仿宋_GB2312" w:cs="仿宋_GB2312"/>
          <w:bCs/>
          <w:sz w:val="28"/>
          <w:szCs w:val="28"/>
        </w:rPr>
        <w:t>10</w:t>
      </w:r>
      <w:r w:rsidRPr="00C7225C">
        <w:rPr>
          <w:rFonts w:ascii="仿宋_GB2312" w:hAnsi="仿宋_GB2312" w:cs="仿宋_GB2312" w:hint="eastAsia"/>
          <w:bCs/>
          <w:sz w:val="28"/>
          <w:szCs w:val="28"/>
        </w:rPr>
        <w:t>月</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参考教材</w:t>
      </w:r>
      <w:r w:rsidRPr="00C7225C">
        <w:rPr>
          <w:rFonts w:ascii="仿宋_GB2312" w:hAnsi="仿宋_GB2312" w:cs="仿宋_GB2312" w:hint="eastAsia"/>
          <w:bCs/>
          <w:sz w:val="28"/>
          <w:szCs w:val="28"/>
        </w:rPr>
        <w:t>：</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hint="eastAsia"/>
          <w:bCs/>
          <w:sz w:val="28"/>
          <w:szCs w:val="28"/>
        </w:rPr>
        <w:t>《弹性力学复习指导及解题指南》，</w:t>
      </w:r>
      <w:r w:rsidRPr="00C7225C">
        <w:rPr>
          <w:rFonts w:ascii="仿宋_GB2312" w:hAnsi="仿宋_GB2312" w:cs="仿宋_GB2312"/>
          <w:bCs/>
          <w:sz w:val="28"/>
          <w:szCs w:val="28"/>
        </w:rPr>
        <w:t>王俊民</w:t>
      </w:r>
      <w:r w:rsidRPr="00C7225C">
        <w:rPr>
          <w:rFonts w:ascii="仿宋_GB2312" w:hAnsi="仿宋_GB2312" w:cs="仿宋_GB2312" w:hint="eastAsia"/>
          <w:bCs/>
          <w:sz w:val="28"/>
          <w:szCs w:val="28"/>
        </w:rPr>
        <w:t>、</w:t>
      </w:r>
      <w:r w:rsidRPr="00C7225C">
        <w:rPr>
          <w:rFonts w:ascii="仿宋_GB2312" w:hAnsi="仿宋_GB2312" w:cs="仿宋_GB2312"/>
          <w:bCs/>
          <w:sz w:val="28"/>
          <w:szCs w:val="28"/>
        </w:rPr>
        <w:t>江理平</w:t>
      </w:r>
      <w:r w:rsidRPr="00C7225C">
        <w:rPr>
          <w:rFonts w:ascii="仿宋_GB2312" w:hAnsi="仿宋_GB2312" w:cs="仿宋_GB2312" w:hint="eastAsia"/>
          <w:bCs/>
          <w:sz w:val="28"/>
          <w:szCs w:val="28"/>
        </w:rPr>
        <w:t>编著，同济大学出版社，2003年4月。</w:t>
      </w:r>
    </w:p>
    <w:p w:rsidR="00876C31" w:rsidRPr="00C7225C" w:rsidRDefault="00876C31" w:rsidP="00C7225C">
      <w:pPr>
        <w:spacing w:beforeLines="50" w:before="156" w:afterLines="50" w:after="156" w:line="560" w:lineRule="exact"/>
        <w:rPr>
          <w:rFonts w:ascii="黑体" w:eastAsia="黑体" w:hAnsi="黑体"/>
          <w:b/>
          <w:sz w:val="28"/>
          <w:szCs w:val="28"/>
        </w:rPr>
      </w:pPr>
      <w:r w:rsidRPr="00C7225C">
        <w:rPr>
          <w:rFonts w:ascii="黑体" w:eastAsia="黑体" w:hAnsi="黑体"/>
          <w:b/>
          <w:sz w:val="28"/>
          <w:szCs w:val="28"/>
        </w:rPr>
        <w:t>九、执行大纲应注意的问题</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1、教学中应注重基本知识、基本理论和基本方法的讲授，注意精讲多练。</w:t>
      </w:r>
    </w:p>
    <w:p w:rsidR="00876C31" w:rsidRPr="00C7225C"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2、</w:t>
      </w:r>
      <w:r w:rsidRPr="00C7225C">
        <w:rPr>
          <w:rFonts w:ascii="仿宋_GB2312" w:hAnsi="仿宋_GB2312" w:cs="仿宋_GB2312" w:hint="eastAsia"/>
          <w:bCs/>
          <w:sz w:val="28"/>
          <w:szCs w:val="28"/>
        </w:rPr>
        <w:t>深入挖掘课程所包含的显性和隐性德育元素，以思政元素促德育，真正实现教育的“知识传授”与“价值引领”双重功能。</w:t>
      </w:r>
    </w:p>
    <w:p w:rsidR="00876C31" w:rsidRDefault="00876C31" w:rsidP="00C7225C">
      <w:pPr>
        <w:snapToGrid w:val="0"/>
        <w:spacing w:line="360" w:lineRule="auto"/>
        <w:ind w:firstLineChars="200" w:firstLine="560"/>
        <w:rPr>
          <w:rFonts w:ascii="仿宋_GB2312" w:hAnsi="仿宋_GB2312" w:cs="仿宋_GB2312"/>
          <w:bCs/>
          <w:sz w:val="28"/>
          <w:szCs w:val="28"/>
        </w:rPr>
      </w:pPr>
      <w:r w:rsidRPr="00C7225C">
        <w:rPr>
          <w:rFonts w:ascii="仿宋_GB2312" w:hAnsi="仿宋_GB2312" w:cs="仿宋_GB2312"/>
          <w:bCs/>
          <w:sz w:val="28"/>
          <w:szCs w:val="28"/>
        </w:rPr>
        <w:t>3、教学内容的顺序及其安排仅供参考，教师可根据情况作适当调整。</w:t>
      </w:r>
    </w:p>
    <w:p w:rsidR="00C7225C" w:rsidRDefault="00C7225C" w:rsidP="00C7225C">
      <w:pPr>
        <w:spacing w:line="360" w:lineRule="auto"/>
        <w:ind w:firstLineChars="1100" w:firstLine="3080"/>
        <w:rPr>
          <w:rFonts w:ascii="仿宋" w:eastAsia="仿宋" w:hAnsi="仿宋"/>
          <w:sz w:val="28"/>
          <w:szCs w:val="28"/>
        </w:rPr>
      </w:pPr>
      <w:r>
        <w:rPr>
          <w:rFonts w:ascii="仿宋_GB2312" w:hAnsi="仿宋_GB2312" w:cs="仿宋_GB2312"/>
          <w:bCs/>
          <w:sz w:val="28"/>
          <w:szCs w:val="28"/>
        </w:rPr>
        <w:t xml:space="preserve">  </w:t>
      </w:r>
      <w:r>
        <w:rPr>
          <w:rFonts w:ascii="仿宋" w:eastAsia="仿宋" w:hAnsi="仿宋" w:hint="eastAsia"/>
          <w:sz w:val="28"/>
          <w:szCs w:val="28"/>
        </w:rPr>
        <w:t xml:space="preserve">大纲撰写人：张常光 </w:t>
      </w:r>
      <w:r>
        <w:rPr>
          <w:rFonts w:ascii="仿宋" w:eastAsia="仿宋" w:hAnsi="仿宋"/>
          <w:sz w:val="28"/>
          <w:szCs w:val="28"/>
        </w:rPr>
        <w:t xml:space="preserve"> 朱倩</w:t>
      </w:r>
    </w:p>
    <w:p w:rsidR="00C7225C" w:rsidRDefault="00C7225C" w:rsidP="00C7225C">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C7225C" w:rsidRDefault="00C7225C" w:rsidP="00C7225C">
      <w:pPr>
        <w:spacing w:line="360" w:lineRule="auto"/>
        <w:ind w:firstLineChars="1200" w:firstLine="3360"/>
        <w:rPr>
          <w:rFonts w:ascii="仿宋" w:hAnsi="仿宋"/>
          <w:sz w:val="28"/>
          <w:szCs w:val="28"/>
        </w:rPr>
      </w:pPr>
      <w:r>
        <w:rPr>
          <w:rFonts w:ascii="仿宋" w:eastAsia="仿宋" w:hAnsi="仿宋" w:hint="eastAsia"/>
          <w:sz w:val="28"/>
          <w:szCs w:val="28"/>
        </w:rPr>
        <w:t>审核人：</w:t>
      </w:r>
      <w:r>
        <w:rPr>
          <w:rFonts w:ascii="仿宋_GB2312" w:hAnsi="微软雅黑" w:hint="eastAsia"/>
          <w:sz w:val="28"/>
          <w:szCs w:val="28"/>
        </w:rPr>
        <w:t xml:space="preserve"> </w:t>
      </w:r>
    </w:p>
    <w:p w:rsidR="00C7225C" w:rsidRDefault="00C7225C" w:rsidP="00C7225C">
      <w:pPr>
        <w:jc w:val="left"/>
        <w:rPr>
          <w:rFonts w:ascii="仿宋_GB2312" w:hAnsi="黑体"/>
          <w:sz w:val="28"/>
          <w:szCs w:val="28"/>
        </w:rPr>
      </w:pPr>
      <w:r>
        <w:rPr>
          <w:rFonts w:ascii="仿宋" w:eastAsia="仿宋" w:hAnsi="仿宋" w:hint="eastAsia"/>
          <w:sz w:val="28"/>
          <w:szCs w:val="28"/>
        </w:rPr>
        <w:t xml:space="preserve">                                         年    月</w:t>
      </w:r>
    </w:p>
    <w:p w:rsidR="00C7225C" w:rsidRDefault="00C7225C" w:rsidP="00876C31">
      <w:pPr>
        <w:spacing w:line="440" w:lineRule="exact"/>
        <w:jc w:val="center"/>
        <w:outlineLvl w:val="0"/>
        <w:rPr>
          <w:rFonts w:ascii="华文中宋" w:eastAsia="华文中宋" w:hAnsi="华文中宋"/>
        </w:rPr>
      </w:pPr>
    </w:p>
    <w:p w:rsidR="00C7225C" w:rsidRDefault="00C7225C" w:rsidP="00876C31">
      <w:pPr>
        <w:spacing w:line="440" w:lineRule="exact"/>
        <w:jc w:val="center"/>
        <w:outlineLvl w:val="0"/>
        <w:rPr>
          <w:rFonts w:ascii="华文中宋" w:eastAsia="华文中宋" w:hAnsi="华文中宋"/>
        </w:rPr>
      </w:pPr>
    </w:p>
    <w:p w:rsidR="00C7225C" w:rsidRDefault="00C7225C" w:rsidP="00876C31">
      <w:pPr>
        <w:spacing w:line="440" w:lineRule="exact"/>
        <w:jc w:val="center"/>
        <w:outlineLvl w:val="0"/>
        <w:rPr>
          <w:rFonts w:ascii="华文中宋" w:eastAsia="华文中宋" w:hAnsi="华文中宋"/>
        </w:rPr>
      </w:pPr>
    </w:p>
    <w:p w:rsidR="00C7225C" w:rsidRDefault="00C7225C" w:rsidP="00876C31">
      <w:pPr>
        <w:spacing w:line="440" w:lineRule="exact"/>
        <w:jc w:val="center"/>
        <w:outlineLvl w:val="0"/>
        <w:rPr>
          <w:rFonts w:ascii="华文中宋" w:eastAsia="华文中宋" w:hAnsi="华文中宋"/>
        </w:rPr>
      </w:pPr>
    </w:p>
    <w:p w:rsidR="00C7225C" w:rsidRDefault="00C7225C" w:rsidP="00876C31">
      <w:pPr>
        <w:spacing w:line="440" w:lineRule="exact"/>
        <w:jc w:val="center"/>
        <w:outlineLvl w:val="0"/>
        <w:rPr>
          <w:rFonts w:ascii="华文中宋" w:eastAsia="华文中宋" w:hAnsi="华文中宋"/>
        </w:rPr>
      </w:pPr>
    </w:p>
    <w:p w:rsidR="00C7225C" w:rsidRDefault="00C7225C" w:rsidP="00876C31">
      <w:pPr>
        <w:spacing w:line="440" w:lineRule="exact"/>
        <w:jc w:val="center"/>
        <w:outlineLvl w:val="0"/>
        <w:rPr>
          <w:rFonts w:ascii="华文中宋" w:eastAsia="华文中宋" w:hAnsi="华文中宋"/>
        </w:rPr>
      </w:pPr>
    </w:p>
    <w:p w:rsidR="00C7225C" w:rsidRDefault="00C7225C" w:rsidP="00876C31">
      <w:pPr>
        <w:spacing w:line="440" w:lineRule="exact"/>
        <w:jc w:val="center"/>
        <w:outlineLvl w:val="0"/>
        <w:rPr>
          <w:rFonts w:ascii="华文中宋" w:eastAsia="华文中宋" w:hAnsi="华文中宋"/>
        </w:rPr>
      </w:pPr>
    </w:p>
    <w:p w:rsidR="00876C31" w:rsidRPr="00C7225C" w:rsidRDefault="00C7225C" w:rsidP="00C7225C">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C7225C">
        <w:rPr>
          <w:rFonts w:ascii="方正小标宋简体" w:eastAsia="方正小标宋简体" w:hAnsi="宋体"/>
          <w:kern w:val="0"/>
          <w:szCs w:val="32"/>
        </w:rPr>
        <w:t>土</w:t>
      </w:r>
      <w:r w:rsidRPr="00C7225C">
        <w:rPr>
          <w:rFonts w:ascii="方正小标宋简体" w:eastAsia="方正小标宋简体" w:hAnsi="宋体" w:hint="eastAsia"/>
          <w:kern w:val="0"/>
          <w:szCs w:val="32"/>
        </w:rPr>
        <w:t>木工程材料</w:t>
      </w:r>
      <w:r>
        <w:rPr>
          <w:rFonts w:ascii="方正小标宋简体" w:eastAsia="方正小标宋简体" w:hAnsi="宋体" w:hint="eastAsia"/>
          <w:kern w:val="0"/>
          <w:szCs w:val="32"/>
        </w:rPr>
        <w:t>》课程教学大纲</w:t>
      </w:r>
    </w:p>
    <w:p w:rsidR="00C7225C" w:rsidRPr="00C7225C" w:rsidRDefault="00C7225C" w:rsidP="00C7225C">
      <w:pPr>
        <w:pStyle w:val="ae"/>
        <w:numPr>
          <w:ilvl w:val="0"/>
          <w:numId w:val="94"/>
        </w:numPr>
        <w:spacing w:beforeLines="50" w:before="156" w:afterLines="50" w:after="156" w:line="560" w:lineRule="exact"/>
        <w:ind w:firstLineChars="0"/>
        <w:rPr>
          <w:rFonts w:ascii="黑体" w:eastAsia="黑体" w:hAnsi="黑体"/>
          <w:b/>
          <w:sz w:val="28"/>
          <w:szCs w:val="28"/>
        </w:rPr>
      </w:pPr>
      <w:r w:rsidRPr="00C7225C">
        <w:rPr>
          <w:rFonts w:ascii="黑体" w:eastAsia="黑体" w:hAnsi="黑体" w:hint="eastAsia"/>
          <w:b/>
          <w:sz w:val="28"/>
          <w:szCs w:val="28"/>
        </w:rPr>
        <w:t>课程信息</w:t>
      </w:r>
    </w:p>
    <w:p w:rsidR="00C7225C" w:rsidRPr="00C7225C" w:rsidRDefault="00C7225C" w:rsidP="00C7225C">
      <w:pPr>
        <w:pStyle w:val="ae"/>
        <w:spacing w:line="360" w:lineRule="auto"/>
        <w:ind w:left="280" w:firstLineChars="0" w:firstLine="0"/>
        <w:rPr>
          <w:rFonts w:ascii="仿宋_GB2312" w:hAnsi="仿宋_GB2312" w:cs="仿宋_GB2312"/>
          <w:bCs/>
          <w:sz w:val="28"/>
          <w:szCs w:val="28"/>
        </w:rPr>
      </w:pPr>
      <w:r w:rsidRPr="00C7225C">
        <w:rPr>
          <w:rFonts w:ascii="仿宋_GB2312" w:hAnsi="仿宋_GB2312" w:cs="仿宋_GB2312" w:hint="eastAsia"/>
          <w:bCs/>
          <w:sz w:val="28"/>
          <w:szCs w:val="28"/>
        </w:rPr>
        <w:t>英文名称：Civil Engineering Materials</w:t>
      </w:r>
    </w:p>
    <w:p w:rsidR="00C7225C" w:rsidRDefault="00C7225C" w:rsidP="00C7225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课程编码：</w:t>
      </w:r>
      <w:r w:rsidRPr="00C7225C">
        <w:rPr>
          <w:rFonts w:ascii="仿宋_GB2312" w:hAnsi="仿宋_GB2312" w:cs="仿宋_GB2312"/>
          <w:bCs/>
          <w:sz w:val="28"/>
          <w:szCs w:val="28"/>
        </w:rPr>
        <w:t>Z280</w:t>
      </w:r>
      <w:r w:rsidRPr="00C7225C">
        <w:rPr>
          <w:rFonts w:ascii="仿宋_GB2312" w:hAnsi="仿宋_GB2312" w:cs="仿宋_GB2312" w:hint="eastAsia"/>
          <w:bCs/>
          <w:sz w:val="28"/>
          <w:szCs w:val="28"/>
        </w:rPr>
        <w:t>40</w:t>
      </w:r>
      <w:r w:rsidRPr="00C7225C">
        <w:rPr>
          <w:rFonts w:ascii="仿宋_GB2312" w:hAnsi="仿宋_GB2312" w:cs="仿宋_GB2312"/>
          <w:bCs/>
          <w:sz w:val="28"/>
          <w:szCs w:val="28"/>
        </w:rPr>
        <w:t>9</w:t>
      </w:r>
      <w:r w:rsidRPr="00C7225C">
        <w:rPr>
          <w:rFonts w:ascii="仿宋_GB2312" w:hAnsi="仿宋_GB2312" w:cs="仿宋_GB2312" w:hint="eastAsia"/>
          <w:bCs/>
          <w:sz w:val="28"/>
          <w:szCs w:val="28"/>
        </w:rPr>
        <w:t>0</w:t>
      </w:r>
    </w:p>
    <w:p w:rsidR="00C7225C" w:rsidRDefault="00C7225C" w:rsidP="00C7225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w:t>
      </w:r>
      <w:r w:rsidR="00515730">
        <w:rPr>
          <w:rFonts w:ascii="仿宋_GB2312" w:hAnsi="仿宋_GB2312" w:cs="仿宋_GB2312" w:hint="eastAsia"/>
          <w:bCs/>
          <w:sz w:val="28"/>
          <w:szCs w:val="28"/>
        </w:rPr>
        <w:t>中文</w:t>
      </w:r>
    </w:p>
    <w:p w:rsidR="00C7225C" w:rsidRDefault="00C7225C" w:rsidP="00C7225C">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515730" w:rsidRDefault="00C7225C" w:rsidP="00C7225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515730" w:rsidRDefault="00C7225C" w:rsidP="00C7225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7225C" w:rsidRDefault="00C7225C" w:rsidP="00C7225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sidR="00515730">
        <w:rPr>
          <w:rFonts w:ascii="仿宋_GB2312" w:hAnsi="仿宋_GB2312" w:cs="仿宋_GB2312"/>
          <w:bCs/>
          <w:sz w:val="28"/>
          <w:szCs w:val="28"/>
        </w:rPr>
        <w:t>2.5</w:t>
      </w:r>
    </w:p>
    <w:p w:rsidR="00C7225C" w:rsidRDefault="00C7225C" w:rsidP="00C7225C">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sidR="00515730">
        <w:rPr>
          <w:rFonts w:ascii="仿宋_GB2312" w:hAnsi="仿宋_GB2312" w:cs="仿宋_GB2312"/>
          <w:bCs/>
          <w:sz w:val="28"/>
          <w:szCs w:val="28"/>
        </w:rPr>
        <w:t>40</w:t>
      </w:r>
      <w:r>
        <w:rPr>
          <w:rFonts w:ascii="仿宋_GB2312" w:hAnsi="仿宋_GB2312" w:cs="仿宋_GB2312" w:hint="eastAsia"/>
          <w:bCs/>
          <w:sz w:val="28"/>
          <w:szCs w:val="28"/>
        </w:rPr>
        <w:t>学时</w:t>
      </w:r>
    </w:p>
    <w:p w:rsidR="00C7225C" w:rsidRDefault="00C7225C" w:rsidP="00C7225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w:t>
      </w:r>
      <w:r w:rsidR="00515730">
        <w:rPr>
          <w:rFonts w:ascii="仿宋_GB2312" w:hAnsi="仿宋_GB2312" w:cs="仿宋_GB2312" w:hint="eastAsia"/>
          <w:bCs/>
          <w:sz w:val="28"/>
          <w:szCs w:val="28"/>
        </w:rPr>
        <w:t>土木工程</w:t>
      </w:r>
      <w:r>
        <w:rPr>
          <w:rFonts w:ascii="仿宋_GB2312" w:hAnsi="仿宋_GB2312" w:cs="仿宋_GB2312" w:hint="eastAsia"/>
          <w:bCs/>
          <w:sz w:val="28"/>
          <w:szCs w:val="28"/>
        </w:rPr>
        <w:t>专业</w:t>
      </w:r>
    </w:p>
    <w:p w:rsidR="00C7225C" w:rsidRPr="00515730" w:rsidRDefault="00C7225C" w:rsidP="00515730">
      <w:pPr>
        <w:spacing w:line="360" w:lineRule="auto"/>
        <w:ind w:firstLineChars="100" w:firstLine="280"/>
        <w:rPr>
          <w:rFonts w:ascii="仿宋_GB2312" w:hAnsi="仿宋_GB2312" w:cs="仿宋_GB2312"/>
          <w:bCs/>
          <w:sz w:val="28"/>
          <w:szCs w:val="28"/>
        </w:rPr>
      </w:pPr>
      <w:r>
        <w:rPr>
          <w:rFonts w:ascii="仿宋_GB2312" w:hAnsi="仿宋_GB2312" w:cs="仿宋_GB2312" w:hint="eastAsia"/>
          <w:bCs/>
          <w:sz w:val="28"/>
          <w:szCs w:val="28"/>
        </w:rPr>
        <w:t>先修课程：</w:t>
      </w:r>
      <w:r w:rsidR="00515730" w:rsidRPr="00515730">
        <w:rPr>
          <w:rFonts w:ascii="仿宋_GB2312" w:hAnsi="仿宋_GB2312" w:cs="仿宋_GB2312" w:hint="eastAsia"/>
          <w:bCs/>
          <w:sz w:val="28"/>
          <w:szCs w:val="28"/>
        </w:rPr>
        <w:t>土木工程概论，大学物理，普通化学，</w:t>
      </w:r>
      <w:r w:rsidR="00515730" w:rsidRPr="00515730">
        <w:rPr>
          <w:rFonts w:ascii="仿宋_GB2312" w:hAnsi="仿宋_GB2312" w:cs="仿宋_GB2312"/>
          <w:bCs/>
          <w:sz w:val="28"/>
          <w:szCs w:val="28"/>
        </w:rPr>
        <w:t>材料力学</w:t>
      </w:r>
    </w:p>
    <w:p w:rsidR="00C7225C" w:rsidRPr="00515730" w:rsidRDefault="00C7225C" w:rsidP="00515730">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w:t>
      </w:r>
      <w:r w:rsidR="00515730">
        <w:rPr>
          <w:rFonts w:hint="eastAsia"/>
        </w:rPr>
        <w:t>建筑工程学院力学与材料教研室</w:t>
      </w:r>
    </w:p>
    <w:p w:rsidR="00515730" w:rsidRDefault="00515730" w:rsidP="00515730">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876C31" w:rsidRPr="00515730" w:rsidRDefault="00876C31" w:rsidP="00515730">
      <w:pPr>
        <w:spacing w:line="360" w:lineRule="auto"/>
        <w:ind w:firstLine="331"/>
        <w:rPr>
          <w:rFonts w:ascii="仿宋_GB2312" w:hAnsi="仿宋_GB2312" w:cs="仿宋_GB2312"/>
          <w:bCs/>
          <w:sz w:val="28"/>
          <w:szCs w:val="28"/>
        </w:rPr>
      </w:pPr>
      <w:r w:rsidRPr="00515730">
        <w:rPr>
          <w:rFonts w:ascii="仿宋_GB2312" w:hAnsi="仿宋_GB2312" w:cs="仿宋_GB2312" w:hint="eastAsia"/>
          <w:bCs/>
          <w:sz w:val="28"/>
          <w:szCs w:val="28"/>
        </w:rPr>
        <w:t>《土木工程材料》是土木工程专业发展必修课，</w:t>
      </w:r>
      <w:r w:rsidRPr="00515730">
        <w:rPr>
          <w:rFonts w:ascii="仿宋_GB2312" w:hAnsi="仿宋_GB2312" w:cs="仿宋_GB2312"/>
          <w:bCs/>
          <w:sz w:val="28"/>
          <w:szCs w:val="28"/>
        </w:rPr>
        <w:t>是一门综合性</w:t>
      </w:r>
      <w:r w:rsidRPr="00515730">
        <w:rPr>
          <w:rFonts w:ascii="仿宋_GB2312" w:hAnsi="仿宋_GB2312" w:cs="仿宋_GB2312" w:hint="eastAsia"/>
          <w:bCs/>
          <w:sz w:val="28"/>
          <w:szCs w:val="28"/>
        </w:rPr>
        <w:t>强</w:t>
      </w:r>
      <w:r w:rsidRPr="00515730">
        <w:rPr>
          <w:rFonts w:ascii="仿宋_GB2312" w:hAnsi="仿宋_GB2312" w:cs="仿宋_GB2312"/>
          <w:bCs/>
          <w:sz w:val="28"/>
          <w:szCs w:val="28"/>
        </w:rPr>
        <w:t>、多学科交叉</w:t>
      </w:r>
      <w:r w:rsidRPr="00515730">
        <w:rPr>
          <w:rFonts w:ascii="仿宋_GB2312" w:hAnsi="仿宋_GB2312" w:cs="仿宋_GB2312" w:hint="eastAsia"/>
          <w:bCs/>
          <w:sz w:val="28"/>
          <w:szCs w:val="28"/>
        </w:rPr>
        <w:t>，</w:t>
      </w:r>
      <w:r w:rsidRPr="00515730">
        <w:rPr>
          <w:rFonts w:ascii="仿宋_GB2312" w:hAnsi="仿宋_GB2312" w:cs="仿宋_GB2312"/>
          <w:bCs/>
          <w:sz w:val="28"/>
          <w:szCs w:val="28"/>
        </w:rPr>
        <w:t>实践性强的课程</w:t>
      </w:r>
      <w:r w:rsidRPr="00515730">
        <w:rPr>
          <w:rFonts w:ascii="仿宋_GB2312" w:hAnsi="仿宋_GB2312" w:cs="仿宋_GB2312" w:hint="eastAsia"/>
          <w:bCs/>
          <w:sz w:val="28"/>
          <w:szCs w:val="28"/>
        </w:rPr>
        <w:t>。本课程为土木工程专业</w:t>
      </w:r>
      <w:r w:rsidRPr="00515730">
        <w:rPr>
          <w:rFonts w:ascii="仿宋_GB2312" w:hAnsi="仿宋_GB2312" w:cs="仿宋_GB2312"/>
          <w:bCs/>
          <w:sz w:val="28"/>
          <w:szCs w:val="28"/>
        </w:rPr>
        <w:t>学生的后续专业</w:t>
      </w:r>
      <w:r w:rsidRPr="00515730">
        <w:rPr>
          <w:rFonts w:ascii="仿宋_GB2312" w:hAnsi="仿宋_GB2312" w:cs="仿宋_GB2312" w:hint="eastAsia"/>
          <w:bCs/>
          <w:sz w:val="28"/>
          <w:szCs w:val="28"/>
        </w:rPr>
        <w:t>课程</w:t>
      </w:r>
      <w:r w:rsidRPr="00515730">
        <w:rPr>
          <w:rFonts w:ascii="仿宋_GB2312" w:hAnsi="仿宋_GB2312" w:cs="仿宋_GB2312"/>
          <w:bCs/>
          <w:sz w:val="28"/>
          <w:szCs w:val="28"/>
        </w:rPr>
        <w:t>的学习</w:t>
      </w:r>
      <w:r w:rsidRPr="00515730">
        <w:rPr>
          <w:rFonts w:ascii="仿宋_GB2312" w:hAnsi="仿宋_GB2312" w:cs="仿宋_GB2312" w:hint="eastAsia"/>
          <w:bCs/>
          <w:sz w:val="28"/>
          <w:szCs w:val="28"/>
        </w:rPr>
        <w:t>提供</w:t>
      </w:r>
      <w:r w:rsidRPr="00515730">
        <w:rPr>
          <w:rFonts w:ascii="仿宋_GB2312" w:hAnsi="仿宋_GB2312" w:cs="仿宋_GB2312"/>
          <w:bCs/>
          <w:sz w:val="28"/>
          <w:szCs w:val="28"/>
        </w:rPr>
        <w:t>必须的基础知识。</w:t>
      </w:r>
      <w:r w:rsidRPr="00515730">
        <w:rPr>
          <w:rFonts w:ascii="仿宋_GB2312" w:hAnsi="仿宋_GB2312" w:cs="仿宋_GB2312" w:hint="eastAsia"/>
          <w:bCs/>
          <w:sz w:val="28"/>
          <w:szCs w:val="28"/>
        </w:rPr>
        <w:t>通过本课程的学习，使学生深入、系统地理解土木工程材料的基本概念和基本理论；掌握常用无机胶凝材料、水泥混凝土、建筑砂浆、砌筑材料、建筑钢材、建筑功能材料的技术性质、品种规格、质量检验方法及应用范围；了解土木工程材料</w:t>
      </w:r>
      <w:r w:rsidRPr="00515730">
        <w:rPr>
          <w:rFonts w:ascii="仿宋_GB2312" w:hAnsi="仿宋_GB2312" w:cs="仿宋_GB2312"/>
          <w:bCs/>
          <w:sz w:val="28"/>
          <w:szCs w:val="28"/>
        </w:rPr>
        <w:t>的发展</w:t>
      </w:r>
      <w:r w:rsidRPr="00515730">
        <w:rPr>
          <w:rFonts w:ascii="仿宋_GB2312" w:hAnsi="仿宋_GB2312" w:cs="仿宋_GB2312" w:hint="eastAsia"/>
          <w:bCs/>
          <w:sz w:val="28"/>
          <w:szCs w:val="28"/>
        </w:rPr>
        <w:t>趋势</w:t>
      </w:r>
      <w:r w:rsidRPr="00515730">
        <w:rPr>
          <w:rFonts w:ascii="仿宋_GB2312" w:hAnsi="仿宋_GB2312" w:cs="仿宋_GB2312"/>
          <w:bCs/>
          <w:sz w:val="28"/>
          <w:szCs w:val="28"/>
        </w:rPr>
        <w:t>及前沿问题</w:t>
      </w:r>
      <w:r w:rsidRPr="00515730">
        <w:rPr>
          <w:rFonts w:ascii="仿宋_GB2312" w:hAnsi="仿宋_GB2312" w:cs="仿宋_GB2312" w:hint="eastAsia"/>
          <w:bCs/>
          <w:sz w:val="28"/>
          <w:szCs w:val="28"/>
        </w:rPr>
        <w:t>；培养学生的</w:t>
      </w:r>
      <w:r w:rsidRPr="00515730">
        <w:rPr>
          <w:rFonts w:ascii="仿宋_GB2312" w:hAnsi="仿宋_GB2312" w:cs="仿宋_GB2312"/>
          <w:bCs/>
          <w:sz w:val="28"/>
          <w:szCs w:val="28"/>
        </w:rPr>
        <w:t>实验动手能力，</w:t>
      </w:r>
      <w:r w:rsidRPr="00515730">
        <w:rPr>
          <w:rFonts w:ascii="仿宋_GB2312" w:hAnsi="仿宋_GB2312" w:cs="仿宋_GB2312" w:hint="eastAsia"/>
          <w:bCs/>
          <w:sz w:val="28"/>
          <w:szCs w:val="28"/>
        </w:rPr>
        <w:t>分析和解决工</w:t>
      </w:r>
      <w:r w:rsidRPr="00515730">
        <w:rPr>
          <w:rFonts w:ascii="仿宋_GB2312" w:hAnsi="仿宋_GB2312" w:cs="仿宋_GB2312" w:hint="eastAsia"/>
          <w:bCs/>
          <w:sz w:val="28"/>
          <w:szCs w:val="28"/>
        </w:rPr>
        <w:lastRenderedPageBreak/>
        <w:t>程实际问题的能力，培养学生的创新意识，为学生后续</w:t>
      </w:r>
      <w:r w:rsidRPr="00515730">
        <w:rPr>
          <w:rFonts w:ascii="仿宋_GB2312" w:hAnsi="仿宋_GB2312" w:cs="仿宋_GB2312"/>
          <w:bCs/>
          <w:sz w:val="28"/>
          <w:szCs w:val="28"/>
        </w:rPr>
        <w:t>的</w:t>
      </w:r>
      <w:r w:rsidRPr="00515730">
        <w:rPr>
          <w:rFonts w:ascii="仿宋_GB2312" w:hAnsi="仿宋_GB2312" w:cs="仿宋_GB2312" w:hint="eastAsia"/>
          <w:bCs/>
          <w:sz w:val="28"/>
          <w:szCs w:val="28"/>
        </w:rPr>
        <w:t>课程学习</w:t>
      </w:r>
      <w:r w:rsidRPr="00515730">
        <w:rPr>
          <w:rFonts w:ascii="仿宋_GB2312" w:hAnsi="仿宋_GB2312" w:cs="仿宋_GB2312"/>
          <w:bCs/>
          <w:sz w:val="28"/>
          <w:szCs w:val="28"/>
        </w:rPr>
        <w:t>、</w:t>
      </w:r>
      <w:r w:rsidRPr="00515730">
        <w:rPr>
          <w:rFonts w:ascii="仿宋_GB2312" w:hAnsi="仿宋_GB2312" w:cs="仿宋_GB2312" w:hint="eastAsia"/>
          <w:bCs/>
          <w:sz w:val="28"/>
          <w:szCs w:val="28"/>
        </w:rPr>
        <w:t>工程实践和科研工作提供必要的基础知识和技能。</w:t>
      </w:r>
    </w:p>
    <w:p w:rsidR="00876C31" w:rsidRPr="00515730" w:rsidRDefault="00876C31" w:rsidP="00515730">
      <w:pPr>
        <w:spacing w:beforeLines="50" w:before="156" w:afterLines="50" w:after="156" w:line="560" w:lineRule="exact"/>
        <w:rPr>
          <w:rFonts w:ascii="黑体" w:eastAsia="黑体" w:hAnsi="黑体"/>
          <w:b/>
          <w:sz w:val="28"/>
          <w:szCs w:val="28"/>
        </w:rPr>
      </w:pPr>
      <w:r w:rsidRPr="00515730">
        <w:rPr>
          <w:rFonts w:ascii="黑体" w:eastAsia="黑体" w:hAnsi="黑体"/>
          <w:b/>
          <w:sz w:val="28"/>
          <w:szCs w:val="28"/>
        </w:rPr>
        <w:t>三、教学目标及其对毕业要求的支撑</w:t>
      </w:r>
    </w:p>
    <w:p w:rsidR="00876C31" w:rsidRPr="00515730" w:rsidRDefault="00876C31" w:rsidP="00515730">
      <w:pPr>
        <w:spacing w:line="360" w:lineRule="auto"/>
        <w:rPr>
          <w:rFonts w:ascii="仿宋_GB2312" w:hAnsi="仿宋_GB2312" w:cs="仿宋_GB2312"/>
          <w:b/>
          <w:bCs/>
          <w:sz w:val="28"/>
          <w:szCs w:val="28"/>
        </w:rPr>
      </w:pPr>
      <w:r w:rsidRPr="00515730">
        <w:rPr>
          <w:rFonts w:ascii="仿宋_GB2312" w:hAnsi="仿宋_GB2312" w:cs="仿宋_GB2312" w:hint="eastAsia"/>
          <w:b/>
          <w:bCs/>
          <w:sz w:val="28"/>
          <w:szCs w:val="28"/>
        </w:rPr>
        <w:t>（一）教学目标</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通过本课程的理论教学与实验教学，使学生</w:t>
      </w:r>
      <w:r w:rsidRPr="00515730">
        <w:rPr>
          <w:rFonts w:ascii="仿宋_GB2312" w:hAnsi="仿宋_GB2312" w:cs="仿宋_GB2312" w:hint="eastAsia"/>
          <w:bCs/>
          <w:sz w:val="28"/>
          <w:szCs w:val="28"/>
        </w:rPr>
        <w:t>掌握主要土木工程材料的基本性能、</w:t>
      </w:r>
      <w:r w:rsidRPr="00515730">
        <w:rPr>
          <w:rFonts w:ascii="仿宋_GB2312" w:hAnsi="仿宋_GB2312" w:cs="仿宋_GB2312"/>
          <w:bCs/>
          <w:sz w:val="28"/>
          <w:szCs w:val="28"/>
        </w:rPr>
        <w:t>实验手段及</w:t>
      </w:r>
      <w:r w:rsidRPr="00515730">
        <w:rPr>
          <w:rFonts w:ascii="仿宋_GB2312" w:hAnsi="仿宋_GB2312" w:cs="仿宋_GB2312" w:hint="eastAsia"/>
          <w:bCs/>
          <w:sz w:val="28"/>
          <w:szCs w:val="28"/>
        </w:rPr>
        <w:t>应用方法，为学生</w:t>
      </w:r>
      <w:r w:rsidRPr="00515730">
        <w:rPr>
          <w:rFonts w:ascii="仿宋_GB2312" w:hAnsi="仿宋_GB2312" w:cs="仿宋_GB2312"/>
          <w:bCs/>
          <w:sz w:val="28"/>
          <w:szCs w:val="28"/>
        </w:rPr>
        <w:t>的后续学习、</w:t>
      </w:r>
      <w:r w:rsidRPr="00515730">
        <w:rPr>
          <w:rFonts w:ascii="仿宋_GB2312" w:hAnsi="仿宋_GB2312" w:cs="仿宋_GB2312" w:hint="eastAsia"/>
          <w:bCs/>
          <w:sz w:val="28"/>
          <w:szCs w:val="28"/>
        </w:rPr>
        <w:t>工程实践和科研工作提供必要的基础知识和技能</w:t>
      </w:r>
      <w:r w:rsidRPr="00515730">
        <w:rPr>
          <w:rFonts w:ascii="仿宋_GB2312" w:hAnsi="仿宋_GB2312" w:cs="仿宋_GB2312"/>
          <w:bCs/>
          <w:sz w:val="28"/>
          <w:szCs w:val="28"/>
        </w:rPr>
        <w:t>，</w:t>
      </w:r>
      <w:r w:rsidRPr="00515730">
        <w:rPr>
          <w:rFonts w:ascii="仿宋_GB2312" w:hAnsi="仿宋_GB2312" w:cs="仿宋_GB2312" w:hint="eastAsia"/>
          <w:bCs/>
          <w:sz w:val="28"/>
          <w:szCs w:val="28"/>
        </w:rPr>
        <w:t>具体的教学目标如下</w:t>
      </w:r>
      <w:r w:rsidRPr="00515730">
        <w:rPr>
          <w:rFonts w:ascii="仿宋_GB2312" w:hAnsi="仿宋_GB2312" w:cs="仿宋_GB2312"/>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1）掌握主要土木工程材料的品种、类型及重要的技术指标要求；</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2）正确理解土木工程材料组成、结构与性能内在关系，明确土木工程材料的应用场景；</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3）运用课程提供的分析方法，开拓学生对土木工程材料的认知领域，更新知识体系；</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4）以土木工程发展的需求为指引，引导学生探索现代土木工程材料的研发方向，培养学生的创新能力。</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5</w:t>
      </w:r>
      <w:r w:rsidRPr="00515730">
        <w:rPr>
          <w:rFonts w:ascii="仿宋_GB2312" w:hAnsi="仿宋_GB2312" w:cs="仿宋_GB2312" w:hint="eastAsia"/>
          <w:bCs/>
          <w:sz w:val="28"/>
          <w:szCs w:val="28"/>
        </w:rPr>
        <w:t>）结合</w:t>
      </w:r>
      <w:r w:rsidRPr="00515730">
        <w:rPr>
          <w:rFonts w:ascii="仿宋_GB2312" w:hAnsi="仿宋_GB2312" w:cs="仿宋_GB2312"/>
          <w:bCs/>
          <w:sz w:val="28"/>
          <w:szCs w:val="28"/>
        </w:rPr>
        <w:t>土木工程材料</w:t>
      </w:r>
      <w:r w:rsidRPr="00515730">
        <w:rPr>
          <w:rFonts w:ascii="仿宋_GB2312" w:hAnsi="仿宋_GB2312" w:cs="仿宋_GB2312" w:hint="eastAsia"/>
          <w:bCs/>
          <w:sz w:val="28"/>
          <w:szCs w:val="28"/>
        </w:rPr>
        <w:t>课程</w:t>
      </w:r>
      <w:r w:rsidRPr="00515730">
        <w:rPr>
          <w:rFonts w:ascii="仿宋_GB2312" w:hAnsi="仿宋_GB2312" w:cs="仿宋_GB2312"/>
          <w:bCs/>
          <w:sz w:val="28"/>
          <w:szCs w:val="28"/>
        </w:rPr>
        <w:t>在土木工程</w:t>
      </w:r>
      <w:r w:rsidRPr="00515730">
        <w:rPr>
          <w:rFonts w:ascii="仿宋_GB2312" w:hAnsi="仿宋_GB2312" w:cs="仿宋_GB2312" w:hint="eastAsia"/>
          <w:bCs/>
          <w:sz w:val="28"/>
          <w:szCs w:val="28"/>
        </w:rPr>
        <w:t>专业</w:t>
      </w:r>
      <w:r w:rsidRPr="00515730">
        <w:rPr>
          <w:rFonts w:ascii="仿宋_GB2312" w:hAnsi="仿宋_GB2312" w:cs="仿宋_GB2312"/>
          <w:bCs/>
          <w:sz w:val="28"/>
          <w:szCs w:val="28"/>
        </w:rPr>
        <w:t>中的重要</w:t>
      </w:r>
      <w:r w:rsidRPr="00515730">
        <w:rPr>
          <w:rFonts w:ascii="仿宋_GB2312" w:hAnsi="仿宋_GB2312" w:cs="仿宋_GB2312" w:hint="eastAsia"/>
          <w:bCs/>
          <w:sz w:val="28"/>
          <w:szCs w:val="28"/>
        </w:rPr>
        <w:t>性和</w:t>
      </w:r>
      <w:r w:rsidRPr="00515730">
        <w:rPr>
          <w:rFonts w:ascii="仿宋_GB2312" w:hAnsi="仿宋_GB2312" w:cs="仿宋_GB2312"/>
          <w:bCs/>
          <w:sz w:val="28"/>
          <w:szCs w:val="28"/>
        </w:rPr>
        <w:t>基础性，</w:t>
      </w:r>
      <w:r w:rsidRPr="00515730">
        <w:rPr>
          <w:rFonts w:ascii="仿宋_GB2312" w:hAnsi="仿宋_GB2312" w:cs="仿宋_GB2312" w:hint="eastAsia"/>
          <w:bCs/>
          <w:sz w:val="28"/>
          <w:szCs w:val="28"/>
        </w:rPr>
        <w:t>培养</w:t>
      </w:r>
      <w:r w:rsidRPr="00515730">
        <w:rPr>
          <w:rFonts w:ascii="仿宋_GB2312" w:hAnsi="仿宋_GB2312" w:cs="仿宋_GB2312"/>
          <w:bCs/>
          <w:sz w:val="28"/>
          <w:szCs w:val="28"/>
        </w:rPr>
        <w:t>学生</w:t>
      </w:r>
      <w:r w:rsidRPr="00515730">
        <w:rPr>
          <w:rFonts w:ascii="仿宋_GB2312" w:hAnsi="仿宋_GB2312" w:cs="仿宋_GB2312" w:hint="eastAsia"/>
          <w:bCs/>
          <w:sz w:val="28"/>
          <w:szCs w:val="28"/>
        </w:rPr>
        <w:t>在</w:t>
      </w:r>
      <w:r w:rsidRPr="00515730">
        <w:rPr>
          <w:rFonts w:ascii="仿宋_GB2312" w:hAnsi="仿宋_GB2312" w:cs="仿宋_GB2312"/>
          <w:bCs/>
          <w:sz w:val="28"/>
          <w:szCs w:val="28"/>
        </w:rPr>
        <w:t>工作中的责任意识</w:t>
      </w:r>
      <w:r w:rsidRPr="00515730">
        <w:rPr>
          <w:rFonts w:ascii="仿宋_GB2312" w:hAnsi="仿宋_GB2312" w:cs="仿宋_GB2312" w:hint="eastAsia"/>
          <w:bCs/>
          <w:sz w:val="28"/>
          <w:szCs w:val="28"/>
        </w:rPr>
        <w:t>、大国工匠精神</w:t>
      </w:r>
      <w:r w:rsidRPr="00515730">
        <w:rPr>
          <w:rFonts w:ascii="仿宋_GB2312" w:hAnsi="仿宋_GB2312" w:cs="仿宋_GB2312"/>
          <w:bCs/>
          <w:sz w:val="28"/>
          <w:szCs w:val="28"/>
        </w:rPr>
        <w:t>和家国情怀。</w:t>
      </w:r>
    </w:p>
    <w:p w:rsidR="00876C31" w:rsidRPr="00515730" w:rsidRDefault="00876C31" w:rsidP="00515730">
      <w:pPr>
        <w:spacing w:line="360" w:lineRule="auto"/>
        <w:rPr>
          <w:rFonts w:ascii="仿宋_GB2312" w:hAnsi="仿宋_GB2312" w:cs="仿宋_GB2312"/>
          <w:b/>
          <w:bCs/>
          <w:sz w:val="28"/>
          <w:szCs w:val="28"/>
        </w:rPr>
      </w:pPr>
      <w:r w:rsidRPr="00515730">
        <w:rPr>
          <w:rFonts w:ascii="仿宋_GB2312" w:hAnsi="仿宋_GB2312" w:cs="仿宋_GB2312" w:hint="eastAsia"/>
          <w:b/>
          <w:bCs/>
          <w:sz w:val="28"/>
          <w:szCs w:val="28"/>
        </w:rPr>
        <w:t>（二）教学目标对毕业要求的支撑矩阵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467"/>
        <w:gridCol w:w="1226"/>
        <w:gridCol w:w="898"/>
        <w:gridCol w:w="1067"/>
        <w:gridCol w:w="1015"/>
        <w:gridCol w:w="1015"/>
      </w:tblGrid>
      <w:tr w:rsidR="00876C31" w:rsidRPr="00515730" w:rsidTr="00BE5664">
        <w:trPr>
          <w:trHeight w:val="276"/>
          <w:jc w:val="center"/>
        </w:trPr>
        <w:tc>
          <w:tcPr>
            <w:tcW w:w="1853" w:type="pct"/>
            <w:gridSpan w:val="2"/>
            <w:vMerge w:val="restar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
                <w:bCs/>
                <w:sz w:val="24"/>
                <w:szCs w:val="24"/>
              </w:rPr>
            </w:pPr>
            <w:r w:rsidRPr="00515730">
              <w:rPr>
                <w:rFonts w:ascii="仿宋_GB2312" w:hAnsi="仿宋_GB2312" w:cs="仿宋_GB2312"/>
                <w:b/>
                <w:bCs/>
                <w:sz w:val="24"/>
                <w:szCs w:val="24"/>
              </w:rPr>
              <w:t>毕业要求及其指标点</w:t>
            </w:r>
          </w:p>
        </w:tc>
        <w:tc>
          <w:tcPr>
            <w:tcW w:w="3147" w:type="pct"/>
            <w:gridSpan w:val="5"/>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
                <w:bCs/>
                <w:sz w:val="24"/>
                <w:szCs w:val="24"/>
              </w:rPr>
            </w:pPr>
            <w:r w:rsidRPr="00515730">
              <w:rPr>
                <w:rFonts w:ascii="仿宋_GB2312" w:hAnsi="仿宋_GB2312" w:cs="仿宋_GB2312"/>
                <w:b/>
                <w:bCs/>
                <w:sz w:val="24"/>
                <w:szCs w:val="24"/>
              </w:rPr>
              <w:t>教学目标</w:t>
            </w:r>
          </w:p>
        </w:tc>
      </w:tr>
      <w:tr w:rsidR="00876C31" w:rsidRPr="00515730" w:rsidTr="00BE5664">
        <w:trPr>
          <w:trHeight w:val="276"/>
          <w:jc w:val="center"/>
        </w:trPr>
        <w:tc>
          <w:tcPr>
            <w:tcW w:w="1853" w:type="pct"/>
            <w:gridSpan w:val="2"/>
            <w:vMerge/>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
                <w:bCs/>
                <w:sz w:val="24"/>
                <w:szCs w:val="24"/>
              </w:rPr>
            </w:pPr>
          </w:p>
        </w:tc>
        <w:tc>
          <w:tcPr>
            <w:tcW w:w="739"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
                <w:bCs/>
                <w:sz w:val="24"/>
                <w:szCs w:val="24"/>
              </w:rPr>
            </w:pPr>
            <w:r w:rsidRPr="00515730">
              <w:rPr>
                <w:rFonts w:ascii="仿宋_GB2312" w:hAnsi="仿宋_GB2312" w:cs="仿宋_GB2312"/>
                <w:b/>
                <w:bCs/>
                <w:sz w:val="24"/>
                <w:szCs w:val="24"/>
              </w:rPr>
              <w:t>（1）</w:t>
            </w:r>
          </w:p>
        </w:tc>
        <w:tc>
          <w:tcPr>
            <w:tcW w:w="54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
                <w:bCs/>
                <w:sz w:val="24"/>
                <w:szCs w:val="24"/>
              </w:rPr>
            </w:pPr>
            <w:r w:rsidRPr="00515730">
              <w:rPr>
                <w:rFonts w:ascii="仿宋_GB2312" w:hAnsi="仿宋_GB2312" w:cs="仿宋_GB2312"/>
                <w:b/>
                <w:bCs/>
                <w:sz w:val="24"/>
                <w:szCs w:val="24"/>
              </w:rPr>
              <w:t>（2）</w:t>
            </w:r>
          </w:p>
        </w:tc>
        <w:tc>
          <w:tcPr>
            <w:tcW w:w="643"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
                <w:bCs/>
                <w:sz w:val="24"/>
                <w:szCs w:val="24"/>
              </w:rPr>
            </w:pPr>
            <w:r w:rsidRPr="00515730">
              <w:rPr>
                <w:rFonts w:ascii="仿宋_GB2312" w:hAnsi="仿宋_GB2312" w:cs="仿宋_GB2312"/>
                <w:b/>
                <w:bCs/>
                <w:sz w:val="24"/>
                <w:szCs w:val="24"/>
              </w:rPr>
              <w:t>（3）</w:t>
            </w:r>
          </w:p>
        </w:tc>
        <w:tc>
          <w:tcPr>
            <w:tcW w:w="612" w:type="pct"/>
            <w:tcBorders>
              <w:top w:val="single" w:sz="4" w:space="0" w:color="auto"/>
              <w:left w:val="single" w:sz="4" w:space="0" w:color="auto"/>
              <w:bottom w:val="single" w:sz="4" w:space="0" w:color="auto"/>
              <w:right w:val="single" w:sz="4" w:space="0" w:color="auto"/>
            </w:tcBorders>
          </w:tcPr>
          <w:p w:rsidR="00876C31" w:rsidRPr="00515730" w:rsidRDefault="00876C31" w:rsidP="00515730">
            <w:pPr>
              <w:spacing w:line="360" w:lineRule="auto"/>
              <w:jc w:val="center"/>
              <w:rPr>
                <w:rFonts w:ascii="仿宋_GB2312" w:hAnsi="仿宋_GB2312" w:cs="仿宋_GB2312"/>
                <w:b/>
                <w:bCs/>
                <w:sz w:val="24"/>
                <w:szCs w:val="24"/>
              </w:rPr>
            </w:pPr>
            <w:r w:rsidRPr="00515730">
              <w:rPr>
                <w:rFonts w:ascii="仿宋_GB2312" w:hAnsi="仿宋_GB2312" w:cs="仿宋_GB2312" w:hint="eastAsia"/>
                <w:b/>
                <w:bCs/>
                <w:sz w:val="24"/>
                <w:szCs w:val="24"/>
              </w:rPr>
              <w:t>（4）</w:t>
            </w:r>
          </w:p>
        </w:tc>
        <w:tc>
          <w:tcPr>
            <w:tcW w:w="613" w:type="pct"/>
            <w:tcBorders>
              <w:top w:val="single" w:sz="4" w:space="0" w:color="auto"/>
              <w:left w:val="single" w:sz="4" w:space="0" w:color="auto"/>
              <w:bottom w:val="single" w:sz="4" w:space="0" w:color="auto"/>
              <w:right w:val="single" w:sz="4" w:space="0" w:color="auto"/>
            </w:tcBorders>
          </w:tcPr>
          <w:p w:rsidR="00876C31" w:rsidRPr="00515730" w:rsidRDefault="00876C31" w:rsidP="00515730">
            <w:pPr>
              <w:spacing w:line="360" w:lineRule="auto"/>
              <w:jc w:val="center"/>
              <w:rPr>
                <w:rFonts w:ascii="仿宋_GB2312" w:hAnsi="仿宋_GB2312" w:cs="仿宋_GB2312"/>
                <w:b/>
                <w:bCs/>
                <w:sz w:val="24"/>
                <w:szCs w:val="24"/>
              </w:rPr>
            </w:pPr>
            <w:r w:rsidRPr="00515730">
              <w:rPr>
                <w:rFonts w:ascii="仿宋_GB2312" w:hAnsi="仿宋_GB2312" w:cs="仿宋_GB2312" w:hint="eastAsia"/>
                <w:b/>
                <w:bCs/>
                <w:sz w:val="24"/>
                <w:szCs w:val="24"/>
              </w:rPr>
              <w:t>（5）</w:t>
            </w:r>
          </w:p>
        </w:tc>
      </w:tr>
      <w:tr w:rsidR="00876C31" w:rsidRPr="00515730" w:rsidTr="00BE5664">
        <w:trPr>
          <w:trHeight w:val="276"/>
          <w:jc w:val="center"/>
        </w:trPr>
        <w:tc>
          <w:tcPr>
            <w:tcW w:w="969"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1. 工程知识</w:t>
            </w:r>
            <w:r w:rsidRPr="00515730">
              <w:rPr>
                <w:rFonts w:ascii="仿宋_GB2312" w:hAnsi="仿宋_GB2312" w:cs="仿宋_GB2312" w:hint="eastAsia"/>
                <w:bCs/>
                <w:sz w:val="24"/>
                <w:szCs w:val="24"/>
              </w:rPr>
              <w:t>应用能力</w:t>
            </w:r>
          </w:p>
        </w:tc>
        <w:tc>
          <w:tcPr>
            <w:tcW w:w="88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1.</w:t>
            </w:r>
            <w:r w:rsidRPr="00515730">
              <w:rPr>
                <w:rFonts w:ascii="仿宋_GB2312" w:hAnsi="仿宋_GB2312" w:cs="仿宋_GB2312" w:hint="eastAsia"/>
                <w:bCs/>
                <w:sz w:val="24"/>
                <w:szCs w:val="24"/>
              </w:rPr>
              <w:t>3</w:t>
            </w:r>
          </w:p>
        </w:tc>
        <w:tc>
          <w:tcPr>
            <w:tcW w:w="739"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c>
          <w:tcPr>
            <w:tcW w:w="54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c>
          <w:tcPr>
            <w:tcW w:w="612" w:type="pct"/>
            <w:tcBorders>
              <w:top w:val="single" w:sz="4" w:space="0" w:color="auto"/>
              <w:left w:val="single" w:sz="4" w:space="0" w:color="auto"/>
              <w:bottom w:val="single" w:sz="4" w:space="0" w:color="auto"/>
              <w:right w:val="single" w:sz="4" w:space="0" w:color="auto"/>
            </w:tcBorders>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c>
          <w:tcPr>
            <w:tcW w:w="613" w:type="pct"/>
            <w:tcBorders>
              <w:top w:val="single" w:sz="4" w:space="0" w:color="auto"/>
              <w:left w:val="single" w:sz="4" w:space="0" w:color="auto"/>
              <w:bottom w:val="single" w:sz="4" w:space="0" w:color="auto"/>
              <w:right w:val="single" w:sz="4" w:space="0" w:color="auto"/>
            </w:tcBorders>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r>
      <w:tr w:rsidR="00876C31" w:rsidRPr="00515730" w:rsidTr="00BE5664">
        <w:trPr>
          <w:trHeight w:val="276"/>
          <w:jc w:val="center"/>
        </w:trPr>
        <w:tc>
          <w:tcPr>
            <w:tcW w:w="969"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 xml:space="preserve">2. </w:t>
            </w:r>
            <w:r w:rsidRPr="00515730">
              <w:rPr>
                <w:rFonts w:ascii="仿宋_GB2312" w:hAnsi="仿宋_GB2312" w:cs="仿宋_GB2312" w:hint="eastAsia"/>
                <w:bCs/>
                <w:sz w:val="24"/>
                <w:szCs w:val="24"/>
              </w:rPr>
              <w:t>问题分析能力</w:t>
            </w:r>
          </w:p>
        </w:tc>
        <w:tc>
          <w:tcPr>
            <w:tcW w:w="88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hint="eastAsia"/>
                <w:bCs/>
                <w:sz w:val="24"/>
                <w:szCs w:val="24"/>
              </w:rPr>
              <w:t>2.3</w:t>
            </w:r>
          </w:p>
        </w:tc>
        <w:tc>
          <w:tcPr>
            <w:tcW w:w="739"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p>
        </w:tc>
        <w:tc>
          <w:tcPr>
            <w:tcW w:w="54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p>
        </w:tc>
        <w:tc>
          <w:tcPr>
            <w:tcW w:w="643"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c>
          <w:tcPr>
            <w:tcW w:w="612" w:type="pct"/>
            <w:tcBorders>
              <w:top w:val="single" w:sz="4" w:space="0" w:color="auto"/>
              <w:left w:val="single" w:sz="4" w:space="0" w:color="auto"/>
              <w:bottom w:val="single" w:sz="4" w:space="0" w:color="auto"/>
              <w:right w:val="single" w:sz="4" w:space="0" w:color="auto"/>
            </w:tcBorders>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c>
          <w:tcPr>
            <w:tcW w:w="613" w:type="pct"/>
            <w:tcBorders>
              <w:top w:val="single" w:sz="4" w:space="0" w:color="auto"/>
              <w:left w:val="single" w:sz="4" w:space="0" w:color="auto"/>
              <w:bottom w:val="single" w:sz="4" w:space="0" w:color="auto"/>
              <w:right w:val="single" w:sz="4" w:space="0" w:color="auto"/>
            </w:tcBorders>
          </w:tcPr>
          <w:p w:rsidR="00876C31" w:rsidRPr="00515730" w:rsidRDefault="00876C31" w:rsidP="00515730">
            <w:pPr>
              <w:spacing w:line="360" w:lineRule="auto"/>
              <w:jc w:val="center"/>
              <w:rPr>
                <w:rFonts w:ascii="仿宋_GB2312" w:hAnsi="仿宋_GB2312" w:cs="仿宋_GB2312"/>
                <w:bCs/>
                <w:sz w:val="24"/>
                <w:szCs w:val="24"/>
              </w:rPr>
            </w:pPr>
          </w:p>
        </w:tc>
      </w:tr>
      <w:tr w:rsidR="00876C31" w:rsidRPr="00515730" w:rsidTr="00BE5664">
        <w:trPr>
          <w:trHeight w:val="276"/>
          <w:jc w:val="center"/>
        </w:trPr>
        <w:tc>
          <w:tcPr>
            <w:tcW w:w="969"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hint="eastAsia"/>
                <w:bCs/>
                <w:sz w:val="24"/>
                <w:szCs w:val="24"/>
              </w:rPr>
              <w:lastRenderedPageBreak/>
              <w:t>4</w:t>
            </w:r>
            <w:r w:rsidRPr="00515730">
              <w:rPr>
                <w:rFonts w:ascii="仿宋_GB2312" w:hAnsi="仿宋_GB2312" w:cs="仿宋_GB2312"/>
                <w:bCs/>
                <w:sz w:val="24"/>
                <w:szCs w:val="24"/>
              </w:rPr>
              <w:t>. 研究能力</w:t>
            </w:r>
          </w:p>
        </w:tc>
        <w:tc>
          <w:tcPr>
            <w:tcW w:w="88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hint="eastAsia"/>
                <w:bCs/>
                <w:sz w:val="24"/>
                <w:szCs w:val="24"/>
              </w:rPr>
              <w:t>4</w:t>
            </w:r>
            <w:r w:rsidRPr="00515730">
              <w:rPr>
                <w:rFonts w:ascii="仿宋_GB2312" w:hAnsi="仿宋_GB2312" w:cs="仿宋_GB2312"/>
                <w:bCs/>
                <w:sz w:val="24"/>
                <w:szCs w:val="24"/>
              </w:rPr>
              <w:t>.2</w:t>
            </w:r>
          </w:p>
        </w:tc>
        <w:tc>
          <w:tcPr>
            <w:tcW w:w="739"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p>
        </w:tc>
        <w:tc>
          <w:tcPr>
            <w:tcW w:w="54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p>
        </w:tc>
        <w:tc>
          <w:tcPr>
            <w:tcW w:w="612" w:type="pct"/>
            <w:tcBorders>
              <w:top w:val="single" w:sz="4" w:space="0" w:color="auto"/>
              <w:left w:val="single" w:sz="4" w:space="0" w:color="auto"/>
              <w:bottom w:val="single" w:sz="4" w:space="0" w:color="auto"/>
              <w:right w:val="single" w:sz="4" w:space="0" w:color="auto"/>
            </w:tcBorders>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c>
          <w:tcPr>
            <w:tcW w:w="613" w:type="pct"/>
            <w:tcBorders>
              <w:top w:val="single" w:sz="4" w:space="0" w:color="auto"/>
              <w:left w:val="single" w:sz="4" w:space="0" w:color="auto"/>
              <w:bottom w:val="single" w:sz="4" w:space="0" w:color="auto"/>
              <w:right w:val="single" w:sz="4" w:space="0" w:color="auto"/>
            </w:tcBorders>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r>
      <w:tr w:rsidR="00876C31" w:rsidRPr="00515730" w:rsidTr="00BE5664">
        <w:trPr>
          <w:trHeight w:val="276"/>
          <w:jc w:val="center"/>
        </w:trPr>
        <w:tc>
          <w:tcPr>
            <w:tcW w:w="969"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hint="eastAsia"/>
                <w:bCs/>
                <w:sz w:val="24"/>
                <w:szCs w:val="24"/>
              </w:rPr>
              <w:t>7.</w:t>
            </w:r>
            <w:r w:rsidRPr="00515730">
              <w:rPr>
                <w:rFonts w:ascii="仿宋_GB2312" w:hAnsi="仿宋_GB2312" w:cs="仿宋_GB2312"/>
                <w:bCs/>
                <w:sz w:val="24"/>
                <w:szCs w:val="24"/>
              </w:rPr>
              <w:t xml:space="preserve"> </w:t>
            </w:r>
            <w:r w:rsidRPr="00515730">
              <w:rPr>
                <w:rFonts w:ascii="仿宋_GB2312" w:hAnsi="仿宋_GB2312" w:cs="仿宋_GB2312" w:hint="eastAsia"/>
                <w:bCs/>
                <w:sz w:val="24"/>
                <w:szCs w:val="24"/>
              </w:rPr>
              <w:t>可持续发展意识</w:t>
            </w:r>
          </w:p>
        </w:tc>
        <w:tc>
          <w:tcPr>
            <w:tcW w:w="88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7.1</w:t>
            </w:r>
            <w:r w:rsidRPr="00515730">
              <w:rPr>
                <w:rFonts w:ascii="仿宋_GB2312" w:hAnsi="仿宋_GB2312" w:cs="仿宋_GB2312" w:hint="eastAsia"/>
                <w:bCs/>
                <w:sz w:val="24"/>
                <w:szCs w:val="24"/>
              </w:rPr>
              <w:t>、7.2</w:t>
            </w:r>
          </w:p>
        </w:tc>
        <w:tc>
          <w:tcPr>
            <w:tcW w:w="739"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p>
        </w:tc>
        <w:tc>
          <w:tcPr>
            <w:tcW w:w="54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p>
        </w:tc>
        <w:tc>
          <w:tcPr>
            <w:tcW w:w="643"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c>
          <w:tcPr>
            <w:tcW w:w="612" w:type="pct"/>
            <w:tcBorders>
              <w:top w:val="single" w:sz="4" w:space="0" w:color="auto"/>
              <w:left w:val="single" w:sz="4" w:space="0" w:color="auto"/>
              <w:bottom w:val="single" w:sz="4" w:space="0" w:color="auto"/>
              <w:right w:val="single" w:sz="4" w:space="0" w:color="auto"/>
            </w:tcBorders>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c>
          <w:tcPr>
            <w:tcW w:w="613" w:type="pct"/>
            <w:tcBorders>
              <w:top w:val="single" w:sz="4" w:space="0" w:color="auto"/>
              <w:left w:val="single" w:sz="4" w:space="0" w:color="auto"/>
              <w:bottom w:val="single" w:sz="4" w:space="0" w:color="auto"/>
              <w:right w:val="single" w:sz="4" w:space="0" w:color="auto"/>
            </w:tcBorders>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p>
        </w:tc>
      </w:tr>
    </w:tbl>
    <w:p w:rsidR="00876C31" w:rsidRPr="00515730" w:rsidRDefault="00876C31" w:rsidP="00515730">
      <w:pPr>
        <w:spacing w:beforeLines="50" w:before="156" w:afterLines="50" w:after="156" w:line="560" w:lineRule="exact"/>
        <w:rPr>
          <w:rFonts w:ascii="黑体" w:eastAsia="黑体" w:hAnsi="黑体"/>
          <w:b/>
          <w:sz w:val="28"/>
          <w:szCs w:val="28"/>
        </w:rPr>
      </w:pPr>
      <w:r w:rsidRPr="00515730">
        <w:rPr>
          <w:rFonts w:ascii="黑体" w:eastAsia="黑体" w:hAnsi="黑体"/>
          <w:b/>
          <w:sz w:val="28"/>
          <w:szCs w:val="28"/>
        </w:rPr>
        <w:t>四、教学内容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第</w:t>
      </w:r>
      <w:r w:rsidRPr="00515730">
        <w:rPr>
          <w:rFonts w:ascii="仿宋_GB2312" w:hAnsi="仿宋_GB2312" w:cs="仿宋_GB2312" w:hint="eastAsia"/>
          <w:bCs/>
          <w:sz w:val="28"/>
          <w:szCs w:val="28"/>
        </w:rPr>
        <w:t>0</w:t>
      </w:r>
      <w:r w:rsidRPr="00515730">
        <w:rPr>
          <w:rFonts w:ascii="仿宋_GB2312" w:hAnsi="仿宋_GB2312" w:cs="仿宋_GB2312"/>
          <w:bCs/>
          <w:sz w:val="28"/>
          <w:szCs w:val="28"/>
        </w:rPr>
        <w:t>章 绪论（</w:t>
      </w:r>
      <w:r w:rsidRPr="00515730">
        <w:rPr>
          <w:rFonts w:ascii="仿宋_GB2312" w:hAnsi="仿宋_GB2312" w:cs="仿宋_GB2312" w:hint="eastAsia"/>
          <w:bCs/>
          <w:sz w:val="28"/>
          <w:szCs w:val="28"/>
        </w:rPr>
        <w:t>1</w:t>
      </w:r>
      <w:r w:rsidRPr="00515730">
        <w:rPr>
          <w:rFonts w:ascii="仿宋_GB2312" w:hAnsi="仿宋_GB2312" w:cs="仿宋_GB2312"/>
          <w:bCs/>
          <w:sz w:val="28"/>
          <w:szCs w:val="28"/>
        </w:rPr>
        <w:t>学时）</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1、本章基本要求</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了解土木工程材料在工程建设中的作用、地位，研究前沿及发展趋势，与建筑、结构、施工的关系；了解土木工程材料的分类及技术标准。</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2、本章教学内容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w:t>
      </w:r>
      <w:r w:rsidRPr="00515730">
        <w:rPr>
          <w:rFonts w:ascii="仿宋_GB2312" w:hAnsi="仿宋_GB2312" w:cs="仿宋_GB2312" w:hint="eastAsia"/>
          <w:bCs/>
          <w:sz w:val="28"/>
          <w:szCs w:val="28"/>
        </w:rPr>
        <w:t>土木工程材料</w:t>
      </w:r>
      <w:r w:rsidRPr="00515730">
        <w:rPr>
          <w:rFonts w:ascii="仿宋_GB2312" w:hAnsi="仿宋_GB2312" w:cs="仿宋_GB2312"/>
          <w:bCs/>
          <w:sz w:val="28"/>
          <w:szCs w:val="28"/>
        </w:rPr>
        <w:t>的</w:t>
      </w:r>
      <w:r w:rsidRPr="00515730">
        <w:rPr>
          <w:rFonts w:ascii="仿宋_GB2312" w:hAnsi="仿宋_GB2312" w:cs="仿宋_GB2312" w:hint="eastAsia"/>
          <w:bCs/>
          <w:sz w:val="28"/>
          <w:szCs w:val="28"/>
        </w:rPr>
        <w:t>概念</w:t>
      </w:r>
      <w:r w:rsidRPr="00515730">
        <w:rPr>
          <w:rFonts w:ascii="仿宋_GB2312" w:hAnsi="仿宋_GB2312" w:cs="仿宋_GB2312"/>
          <w:bCs/>
          <w:sz w:val="28"/>
          <w:szCs w:val="28"/>
        </w:rPr>
        <w:t>及</w:t>
      </w:r>
      <w:r w:rsidRPr="00515730">
        <w:rPr>
          <w:rFonts w:ascii="仿宋_GB2312" w:hAnsi="仿宋_GB2312" w:cs="仿宋_GB2312" w:hint="eastAsia"/>
          <w:bCs/>
          <w:sz w:val="28"/>
          <w:szCs w:val="28"/>
        </w:rPr>
        <w:t>分类</w:t>
      </w:r>
      <w:r w:rsidRPr="00515730">
        <w:rPr>
          <w:rFonts w:ascii="仿宋_GB2312" w:hAnsi="仿宋_GB2312" w:cs="仿宋_GB2312"/>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（2）</w:t>
      </w:r>
      <w:r w:rsidRPr="00515730">
        <w:rPr>
          <w:rFonts w:ascii="仿宋_GB2312" w:hAnsi="仿宋_GB2312" w:cs="仿宋_GB2312" w:hint="eastAsia"/>
          <w:bCs/>
          <w:sz w:val="28"/>
          <w:szCs w:val="28"/>
        </w:rPr>
        <w:t>土木工程材料</w:t>
      </w:r>
      <w:r w:rsidRPr="00515730">
        <w:rPr>
          <w:rFonts w:ascii="仿宋_GB2312" w:hAnsi="仿宋_GB2312" w:cs="仿宋_GB2312"/>
          <w:bCs/>
          <w:sz w:val="28"/>
          <w:szCs w:val="28"/>
        </w:rPr>
        <w:t>在国内外的发展</w:t>
      </w:r>
      <w:r w:rsidRPr="00515730">
        <w:rPr>
          <w:rFonts w:ascii="仿宋_GB2312" w:hAnsi="仿宋_GB2312" w:cs="仿宋_GB2312" w:hint="eastAsia"/>
          <w:bCs/>
          <w:sz w:val="28"/>
          <w:szCs w:val="28"/>
        </w:rPr>
        <w:t>简史</w:t>
      </w:r>
      <w:r w:rsidRPr="00515730">
        <w:rPr>
          <w:rFonts w:ascii="仿宋_GB2312" w:hAnsi="仿宋_GB2312" w:cs="仿宋_GB2312"/>
          <w:bCs/>
          <w:sz w:val="28"/>
          <w:szCs w:val="28"/>
        </w:rPr>
        <w:t>、</w:t>
      </w:r>
      <w:r w:rsidRPr="00515730">
        <w:rPr>
          <w:rFonts w:ascii="仿宋_GB2312" w:hAnsi="仿宋_GB2312" w:cs="仿宋_GB2312" w:hint="eastAsia"/>
          <w:bCs/>
          <w:sz w:val="28"/>
          <w:szCs w:val="28"/>
        </w:rPr>
        <w:t>现状</w:t>
      </w:r>
      <w:r w:rsidRPr="00515730">
        <w:rPr>
          <w:rFonts w:ascii="仿宋_GB2312" w:hAnsi="仿宋_GB2312" w:cs="仿宋_GB2312"/>
          <w:bCs/>
          <w:sz w:val="28"/>
          <w:szCs w:val="28"/>
        </w:rPr>
        <w:t>和应用概况。</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（3）土木工程材料在</w:t>
      </w:r>
      <w:r w:rsidRPr="00515730">
        <w:rPr>
          <w:rFonts w:ascii="仿宋_GB2312" w:hAnsi="仿宋_GB2312" w:cs="仿宋_GB2312"/>
          <w:bCs/>
          <w:sz w:val="28"/>
          <w:szCs w:val="28"/>
        </w:rPr>
        <w:t>工程建设中的地位及相关技术标准。</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（4）本课程的主要内容、要求及学习方法。</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3、本章的重点和难点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重点：</w:t>
      </w:r>
      <w:r w:rsidRPr="00515730">
        <w:rPr>
          <w:rFonts w:ascii="仿宋_GB2312" w:hAnsi="仿宋_GB2312" w:cs="仿宋_GB2312" w:hint="eastAsia"/>
          <w:bCs/>
          <w:sz w:val="28"/>
          <w:szCs w:val="28"/>
        </w:rPr>
        <w:t>土木工程材料</w:t>
      </w:r>
      <w:r w:rsidRPr="00515730">
        <w:rPr>
          <w:rFonts w:ascii="仿宋_GB2312" w:hAnsi="仿宋_GB2312" w:cs="仿宋_GB2312"/>
          <w:bCs/>
          <w:sz w:val="28"/>
          <w:szCs w:val="28"/>
        </w:rPr>
        <w:t>的概念、分类、在建设工程中的</w:t>
      </w:r>
      <w:r w:rsidRPr="00515730">
        <w:rPr>
          <w:rFonts w:ascii="仿宋_GB2312" w:hAnsi="仿宋_GB2312" w:cs="仿宋_GB2312" w:hint="eastAsia"/>
          <w:bCs/>
          <w:sz w:val="28"/>
          <w:szCs w:val="28"/>
        </w:rPr>
        <w:t>地位，</w:t>
      </w:r>
      <w:r w:rsidRPr="00515730">
        <w:rPr>
          <w:rFonts w:ascii="仿宋_GB2312" w:hAnsi="仿宋_GB2312" w:cs="仿宋_GB2312"/>
          <w:bCs/>
          <w:sz w:val="28"/>
          <w:szCs w:val="28"/>
        </w:rPr>
        <w:t>本课程的学习方法。</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难点：</w:t>
      </w:r>
      <w:r w:rsidRPr="00515730">
        <w:rPr>
          <w:rFonts w:ascii="仿宋_GB2312" w:hAnsi="仿宋_GB2312" w:cs="仿宋_GB2312" w:hint="eastAsia"/>
          <w:bCs/>
          <w:sz w:val="28"/>
          <w:szCs w:val="28"/>
        </w:rPr>
        <w:t>本课程</w:t>
      </w:r>
      <w:r w:rsidRPr="00515730">
        <w:rPr>
          <w:rFonts w:ascii="仿宋_GB2312" w:hAnsi="仿宋_GB2312" w:cs="仿宋_GB2312"/>
          <w:bCs/>
          <w:sz w:val="28"/>
          <w:szCs w:val="28"/>
        </w:rPr>
        <w:t>的特点和学习方法。</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4、对毕业要求的支撑</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本章知识点的讲授和学习，可支撑“指标点</w:t>
      </w:r>
      <w:r w:rsidRPr="00515730">
        <w:rPr>
          <w:rFonts w:ascii="仿宋_GB2312" w:hAnsi="仿宋_GB2312" w:cs="仿宋_GB2312"/>
          <w:bCs/>
          <w:sz w:val="28"/>
          <w:szCs w:val="28"/>
        </w:rPr>
        <w:t>7.1</w:t>
      </w:r>
      <w:r w:rsidRPr="00515730">
        <w:rPr>
          <w:rFonts w:ascii="仿宋_GB2312" w:hAnsi="仿宋_GB2312" w:cs="仿宋_GB2312" w:hint="eastAsia"/>
          <w:bCs/>
          <w:sz w:val="28"/>
          <w:szCs w:val="28"/>
        </w:rPr>
        <w:t>知晓和理解环境保护和可持续发展的理念和内涵”。</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5、课程思政育人要素</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lastRenderedPageBreak/>
        <w:t>结合我国悠久的历史文化，讲述材料的发展与社会文明发展之间的辩证关系，增强学生的文化自信和历史使命感。结合建筑材料的美学特征，培养学生的审美能力。</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6</w:t>
      </w:r>
      <w:r w:rsidRPr="00515730">
        <w:rPr>
          <w:rFonts w:ascii="仿宋_GB2312" w:hAnsi="仿宋_GB2312" w:cs="仿宋_GB2312"/>
          <w:bCs/>
          <w:sz w:val="28"/>
          <w:szCs w:val="28"/>
        </w:rPr>
        <w:t>、</w:t>
      </w:r>
      <w:r w:rsidRPr="00515730">
        <w:rPr>
          <w:rFonts w:ascii="仿宋_GB2312" w:hAnsi="仿宋_GB2312" w:cs="仿宋_GB2312" w:hint="eastAsia"/>
          <w:bCs/>
          <w:sz w:val="28"/>
          <w:szCs w:val="28"/>
        </w:rPr>
        <w:t>课后学习</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熟悉</w:t>
      </w:r>
      <w:r w:rsidRPr="00515730">
        <w:rPr>
          <w:rFonts w:ascii="仿宋_GB2312" w:hAnsi="仿宋_GB2312" w:cs="仿宋_GB2312" w:hint="eastAsia"/>
          <w:bCs/>
          <w:sz w:val="28"/>
          <w:szCs w:val="28"/>
        </w:rPr>
        <w:t>常用建筑材料</w:t>
      </w:r>
      <w:r w:rsidRPr="00515730">
        <w:rPr>
          <w:rFonts w:ascii="仿宋_GB2312" w:hAnsi="仿宋_GB2312" w:cs="仿宋_GB2312"/>
          <w:bCs/>
          <w:sz w:val="28"/>
          <w:szCs w:val="28"/>
        </w:rPr>
        <w:t>的分类及</w:t>
      </w:r>
      <w:r w:rsidRPr="00515730">
        <w:rPr>
          <w:rFonts w:ascii="仿宋_GB2312" w:hAnsi="仿宋_GB2312" w:cs="仿宋_GB2312" w:hint="eastAsia"/>
          <w:bCs/>
          <w:sz w:val="28"/>
          <w:szCs w:val="28"/>
        </w:rPr>
        <w:t>本课程</w:t>
      </w:r>
      <w:r w:rsidRPr="00515730">
        <w:rPr>
          <w:rFonts w:ascii="仿宋_GB2312" w:hAnsi="仿宋_GB2312" w:cs="仿宋_GB2312"/>
          <w:bCs/>
          <w:sz w:val="28"/>
          <w:szCs w:val="28"/>
        </w:rPr>
        <w:t>涉及到的技术标准。</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第</w:t>
      </w:r>
      <w:r w:rsidRPr="00515730">
        <w:rPr>
          <w:rFonts w:ascii="仿宋_GB2312" w:hAnsi="仿宋_GB2312" w:cs="仿宋_GB2312" w:hint="eastAsia"/>
          <w:bCs/>
          <w:sz w:val="28"/>
          <w:szCs w:val="28"/>
        </w:rPr>
        <w:t>一</w:t>
      </w:r>
      <w:r w:rsidRPr="00515730">
        <w:rPr>
          <w:rFonts w:ascii="仿宋_GB2312" w:hAnsi="仿宋_GB2312" w:cs="仿宋_GB2312"/>
          <w:bCs/>
          <w:sz w:val="28"/>
          <w:szCs w:val="28"/>
        </w:rPr>
        <w:t xml:space="preserve">章 </w:t>
      </w:r>
      <w:r w:rsidRPr="00515730">
        <w:rPr>
          <w:rFonts w:ascii="仿宋_GB2312" w:hAnsi="仿宋_GB2312" w:cs="仿宋_GB2312" w:hint="eastAsia"/>
          <w:bCs/>
          <w:sz w:val="28"/>
          <w:szCs w:val="28"/>
        </w:rPr>
        <w:t>土木工程材料的</w:t>
      </w:r>
      <w:r w:rsidRPr="00515730">
        <w:rPr>
          <w:rFonts w:ascii="仿宋_GB2312" w:hAnsi="仿宋_GB2312" w:cs="仿宋_GB2312"/>
          <w:bCs/>
          <w:sz w:val="28"/>
          <w:szCs w:val="28"/>
        </w:rPr>
        <w:t>基本性质（</w:t>
      </w:r>
      <w:r w:rsidRPr="00515730">
        <w:rPr>
          <w:rFonts w:ascii="仿宋_GB2312" w:hAnsi="仿宋_GB2312" w:cs="仿宋_GB2312" w:hint="eastAsia"/>
          <w:bCs/>
          <w:sz w:val="28"/>
          <w:szCs w:val="28"/>
        </w:rPr>
        <w:t>2</w:t>
      </w:r>
      <w:r w:rsidRPr="00515730">
        <w:rPr>
          <w:rFonts w:ascii="仿宋_GB2312" w:hAnsi="仿宋_GB2312" w:cs="仿宋_GB2312"/>
          <w:bCs/>
          <w:sz w:val="28"/>
          <w:szCs w:val="28"/>
        </w:rPr>
        <w:t>学时）</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1、本章基本要求</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了解材料组成、结构和构造对其性质的影响；熟练掌握材料基本物理性质、力学性质、耐久性与环境友好性；了解材料的热工性质。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2、本章教学内容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w:t>
      </w:r>
      <w:r w:rsidRPr="00515730">
        <w:rPr>
          <w:rFonts w:ascii="仿宋_GB2312" w:hAnsi="仿宋_GB2312" w:cs="仿宋_GB2312" w:hint="eastAsia"/>
          <w:bCs/>
          <w:sz w:val="28"/>
          <w:szCs w:val="28"/>
        </w:rPr>
        <w:t>材料科学的基本理论</w:t>
      </w:r>
      <w:r w:rsidRPr="00515730">
        <w:rPr>
          <w:rFonts w:ascii="仿宋_GB2312" w:hAnsi="仿宋_GB2312" w:cs="仿宋_GB2312"/>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（2）材料的基本物理性质：密度、表观密度、堆积密度、密实度、孔隙率、填充率、空隙率以及遇水相关的性质。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（3）材料的基本力学性质和耐久性</w:t>
      </w:r>
      <w:r w:rsidRPr="00515730">
        <w:rPr>
          <w:rFonts w:ascii="仿宋_GB2312" w:hAnsi="仿宋_GB2312" w:cs="仿宋_GB2312"/>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3、本章的重点和难点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重点：材料的密度</w:t>
      </w:r>
      <w:r w:rsidRPr="00515730">
        <w:rPr>
          <w:rFonts w:ascii="仿宋_GB2312" w:hAnsi="仿宋_GB2312" w:cs="仿宋_GB2312" w:hint="eastAsia"/>
          <w:bCs/>
          <w:sz w:val="28"/>
          <w:szCs w:val="28"/>
        </w:rPr>
        <w:t>、</w:t>
      </w:r>
      <w:r w:rsidRPr="00515730">
        <w:rPr>
          <w:rFonts w:ascii="仿宋_GB2312" w:hAnsi="仿宋_GB2312" w:cs="仿宋_GB2312"/>
          <w:bCs/>
          <w:sz w:val="28"/>
          <w:szCs w:val="28"/>
        </w:rPr>
        <w:t>表观密度</w:t>
      </w:r>
      <w:r w:rsidRPr="00515730">
        <w:rPr>
          <w:rFonts w:ascii="仿宋_GB2312" w:hAnsi="仿宋_GB2312" w:cs="仿宋_GB2312" w:hint="eastAsia"/>
          <w:bCs/>
          <w:sz w:val="28"/>
          <w:szCs w:val="28"/>
        </w:rPr>
        <w:t>、</w:t>
      </w:r>
      <w:r w:rsidRPr="00515730">
        <w:rPr>
          <w:rFonts w:ascii="仿宋_GB2312" w:hAnsi="仿宋_GB2312" w:cs="仿宋_GB2312"/>
          <w:bCs/>
          <w:sz w:val="28"/>
          <w:szCs w:val="28"/>
        </w:rPr>
        <w:t>堆积密度的区别及与孔隙率</w:t>
      </w:r>
      <w:r w:rsidRPr="00515730">
        <w:rPr>
          <w:rFonts w:ascii="仿宋_GB2312" w:hAnsi="仿宋_GB2312" w:cs="仿宋_GB2312" w:hint="eastAsia"/>
          <w:bCs/>
          <w:sz w:val="28"/>
          <w:szCs w:val="28"/>
        </w:rPr>
        <w:t>、</w:t>
      </w:r>
      <w:r w:rsidRPr="00515730">
        <w:rPr>
          <w:rFonts w:ascii="仿宋_GB2312" w:hAnsi="仿宋_GB2312" w:cs="仿宋_GB2312"/>
          <w:bCs/>
          <w:sz w:val="28"/>
          <w:szCs w:val="28"/>
        </w:rPr>
        <w:t>空隙率之间的关系</w:t>
      </w:r>
      <w:r w:rsidRPr="00515730">
        <w:rPr>
          <w:rFonts w:ascii="仿宋_GB2312" w:hAnsi="仿宋_GB2312" w:cs="仿宋_GB2312" w:hint="eastAsia"/>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难点：</w:t>
      </w:r>
      <w:r w:rsidRPr="00515730">
        <w:rPr>
          <w:rFonts w:ascii="仿宋_GB2312" w:hAnsi="仿宋_GB2312" w:cs="仿宋_GB2312" w:hint="eastAsia"/>
          <w:bCs/>
          <w:sz w:val="28"/>
          <w:szCs w:val="28"/>
        </w:rPr>
        <w:t>理解材料物理性能、力学性能和耐久性之间的联系。</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4、对毕业要求的支撑</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本章知识点的讲授和学习，可支撑“指标点1.3 掌握相关工程基础知识，具备应用相关知识推演、分析土木工程专业复杂工程问题的专业基础能力”。</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lastRenderedPageBreak/>
        <w:t>5、课程思政育人要素</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材料的耐久性是材料在使用中，抵抗其自身和环境的长期破坏作用，保持其原有性能不破坏、不变质的能力。结合材料的耐久性，教育学生在任何环境和形势下，都应该不忘初心，牢记使命，为中国人民谋幸福，为中华民族谋复兴。</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6</w:t>
      </w:r>
      <w:r w:rsidRPr="00515730">
        <w:rPr>
          <w:rFonts w:ascii="仿宋_GB2312" w:hAnsi="仿宋_GB2312" w:cs="仿宋_GB2312"/>
          <w:bCs/>
          <w:sz w:val="28"/>
          <w:szCs w:val="28"/>
        </w:rPr>
        <w:t>、作业</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教材P</w:t>
      </w:r>
      <w:r w:rsidRPr="00515730">
        <w:rPr>
          <w:rFonts w:ascii="仿宋_GB2312" w:hAnsi="仿宋_GB2312" w:cs="仿宋_GB2312" w:hint="eastAsia"/>
          <w:bCs/>
          <w:sz w:val="28"/>
          <w:szCs w:val="28"/>
        </w:rPr>
        <w:t>18</w:t>
      </w:r>
      <w:r w:rsidRPr="00515730">
        <w:rPr>
          <w:rFonts w:ascii="仿宋_GB2312" w:hAnsi="仿宋_GB2312" w:cs="仿宋_GB2312"/>
          <w:bCs/>
          <w:sz w:val="28"/>
          <w:szCs w:val="28"/>
        </w:rPr>
        <w:t>第</w:t>
      </w:r>
      <w:r w:rsidRPr="00515730">
        <w:rPr>
          <w:rFonts w:ascii="仿宋_GB2312" w:hAnsi="仿宋_GB2312" w:cs="仿宋_GB2312" w:hint="eastAsia"/>
          <w:bCs/>
          <w:sz w:val="28"/>
          <w:szCs w:val="28"/>
        </w:rPr>
        <w:t>1</w:t>
      </w:r>
      <w:r w:rsidRPr="00515730">
        <w:rPr>
          <w:rFonts w:ascii="仿宋_GB2312" w:hAnsi="仿宋_GB2312" w:cs="仿宋_GB2312"/>
          <w:bCs/>
          <w:sz w:val="28"/>
          <w:szCs w:val="28"/>
        </w:rPr>
        <w:t>.</w:t>
      </w:r>
      <w:r w:rsidRPr="00515730">
        <w:rPr>
          <w:rFonts w:ascii="仿宋_GB2312" w:hAnsi="仿宋_GB2312" w:cs="仿宋_GB2312" w:hint="eastAsia"/>
          <w:bCs/>
          <w:sz w:val="28"/>
          <w:szCs w:val="28"/>
        </w:rPr>
        <w:t>2</w:t>
      </w:r>
      <w:r w:rsidRPr="00515730">
        <w:rPr>
          <w:rFonts w:ascii="仿宋_GB2312" w:hAnsi="仿宋_GB2312" w:cs="仿宋_GB2312"/>
          <w:bCs/>
          <w:sz w:val="28"/>
          <w:szCs w:val="28"/>
        </w:rPr>
        <w:t>-1.6题。</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第</w:t>
      </w:r>
      <w:r w:rsidRPr="00515730">
        <w:rPr>
          <w:rFonts w:ascii="仿宋_GB2312" w:hAnsi="仿宋_GB2312" w:cs="仿宋_GB2312" w:hint="eastAsia"/>
          <w:bCs/>
          <w:sz w:val="28"/>
          <w:szCs w:val="28"/>
        </w:rPr>
        <w:t>二</w:t>
      </w:r>
      <w:r w:rsidRPr="00515730">
        <w:rPr>
          <w:rFonts w:ascii="仿宋_GB2312" w:hAnsi="仿宋_GB2312" w:cs="仿宋_GB2312"/>
          <w:bCs/>
          <w:sz w:val="28"/>
          <w:szCs w:val="28"/>
        </w:rPr>
        <w:t>章</w:t>
      </w:r>
      <w:r w:rsidRPr="00515730">
        <w:rPr>
          <w:rFonts w:ascii="仿宋_GB2312" w:hAnsi="仿宋_GB2312" w:cs="仿宋_GB2312" w:hint="eastAsia"/>
          <w:bCs/>
          <w:sz w:val="28"/>
          <w:szCs w:val="28"/>
        </w:rPr>
        <w:t xml:space="preserve"> 建筑钢材</w:t>
      </w:r>
      <w:r w:rsidRPr="00515730">
        <w:rPr>
          <w:rFonts w:ascii="仿宋_GB2312" w:hAnsi="仿宋_GB2312" w:cs="仿宋_GB2312"/>
          <w:bCs/>
          <w:sz w:val="28"/>
          <w:szCs w:val="28"/>
        </w:rPr>
        <w:t>（</w:t>
      </w:r>
      <w:r w:rsidRPr="00515730">
        <w:rPr>
          <w:rFonts w:ascii="仿宋_GB2312" w:hAnsi="仿宋_GB2312" w:cs="仿宋_GB2312" w:hint="eastAsia"/>
          <w:bCs/>
          <w:sz w:val="28"/>
          <w:szCs w:val="28"/>
        </w:rPr>
        <w:t>3</w:t>
      </w:r>
      <w:r w:rsidRPr="00515730">
        <w:rPr>
          <w:rFonts w:ascii="仿宋_GB2312" w:hAnsi="仿宋_GB2312" w:cs="仿宋_GB2312"/>
          <w:bCs/>
          <w:sz w:val="28"/>
          <w:szCs w:val="28"/>
        </w:rPr>
        <w:t>学时）</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1、本章基本要求</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了解钢材的分类、冶炼、组成、结构；掌握建筑钢材的主要技术性能；了解冷加工强化、时效处理、热处理强化机理及主要工艺方式；熟练掌握各类建筑钢材的性能及应用。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2、本章教学内容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w:t>
      </w:r>
      <w:r w:rsidRPr="00515730">
        <w:rPr>
          <w:rFonts w:ascii="仿宋_GB2312" w:hAnsi="仿宋_GB2312" w:cs="仿宋_GB2312" w:hint="eastAsia"/>
          <w:bCs/>
          <w:sz w:val="28"/>
          <w:szCs w:val="28"/>
        </w:rPr>
        <w:t>1</w:t>
      </w:r>
      <w:r w:rsidRPr="00515730">
        <w:rPr>
          <w:rFonts w:ascii="仿宋_GB2312" w:hAnsi="仿宋_GB2312" w:cs="仿宋_GB2312"/>
          <w:bCs/>
          <w:sz w:val="28"/>
          <w:szCs w:val="28"/>
        </w:rPr>
        <w:t>）</w:t>
      </w:r>
      <w:r w:rsidRPr="00515730">
        <w:rPr>
          <w:rFonts w:ascii="仿宋_GB2312" w:hAnsi="仿宋_GB2312" w:cs="仿宋_GB2312" w:hint="eastAsia"/>
          <w:bCs/>
          <w:sz w:val="28"/>
          <w:szCs w:val="28"/>
        </w:rPr>
        <w:t>钢材</w:t>
      </w:r>
      <w:r w:rsidRPr="00515730">
        <w:rPr>
          <w:rFonts w:ascii="仿宋_GB2312" w:hAnsi="仿宋_GB2312" w:cs="仿宋_GB2312"/>
          <w:bCs/>
          <w:sz w:val="28"/>
          <w:szCs w:val="28"/>
        </w:rPr>
        <w:t>的冶炼</w:t>
      </w:r>
      <w:r w:rsidRPr="00515730">
        <w:rPr>
          <w:rFonts w:ascii="仿宋_GB2312" w:hAnsi="仿宋_GB2312" w:cs="仿宋_GB2312" w:hint="eastAsia"/>
          <w:bCs/>
          <w:sz w:val="28"/>
          <w:szCs w:val="28"/>
        </w:rPr>
        <w:t>、化学</w:t>
      </w:r>
      <w:r w:rsidRPr="00515730">
        <w:rPr>
          <w:rFonts w:ascii="仿宋_GB2312" w:hAnsi="仿宋_GB2312" w:cs="仿宋_GB2312"/>
          <w:bCs/>
          <w:sz w:val="28"/>
          <w:szCs w:val="28"/>
        </w:rPr>
        <w:t>组成</w:t>
      </w:r>
      <w:r w:rsidRPr="00515730">
        <w:rPr>
          <w:rFonts w:ascii="仿宋_GB2312" w:hAnsi="仿宋_GB2312" w:cs="仿宋_GB2312" w:hint="eastAsia"/>
          <w:bCs/>
          <w:sz w:val="28"/>
          <w:szCs w:val="28"/>
        </w:rPr>
        <w:t>、</w:t>
      </w:r>
      <w:r w:rsidRPr="00515730">
        <w:rPr>
          <w:rFonts w:ascii="仿宋_GB2312" w:hAnsi="仿宋_GB2312" w:cs="仿宋_GB2312"/>
          <w:bCs/>
          <w:sz w:val="28"/>
          <w:szCs w:val="28"/>
        </w:rPr>
        <w:t>分类</w:t>
      </w:r>
      <w:r w:rsidRPr="00515730">
        <w:rPr>
          <w:rFonts w:ascii="仿宋_GB2312" w:hAnsi="仿宋_GB2312" w:cs="仿宋_GB2312" w:hint="eastAsia"/>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w:t>
      </w:r>
      <w:r w:rsidRPr="00515730">
        <w:rPr>
          <w:rFonts w:ascii="仿宋_GB2312" w:hAnsi="仿宋_GB2312" w:cs="仿宋_GB2312" w:hint="eastAsia"/>
          <w:bCs/>
          <w:sz w:val="28"/>
          <w:szCs w:val="28"/>
        </w:rPr>
        <w:t>2</w:t>
      </w:r>
      <w:r w:rsidRPr="00515730">
        <w:rPr>
          <w:rFonts w:ascii="仿宋_GB2312" w:hAnsi="仿宋_GB2312" w:cs="仿宋_GB2312"/>
          <w:bCs/>
          <w:sz w:val="28"/>
          <w:szCs w:val="28"/>
        </w:rPr>
        <w:t>）</w:t>
      </w:r>
      <w:r w:rsidRPr="00515730">
        <w:rPr>
          <w:rFonts w:ascii="仿宋_GB2312" w:hAnsi="仿宋_GB2312" w:cs="仿宋_GB2312" w:hint="eastAsia"/>
          <w:bCs/>
          <w:sz w:val="28"/>
          <w:szCs w:val="28"/>
        </w:rPr>
        <w:t>建筑钢材</w:t>
      </w:r>
      <w:r w:rsidRPr="00515730">
        <w:rPr>
          <w:rFonts w:ascii="仿宋_GB2312" w:hAnsi="仿宋_GB2312" w:cs="仿宋_GB2312"/>
          <w:bCs/>
          <w:sz w:val="28"/>
          <w:szCs w:val="28"/>
        </w:rPr>
        <w:t>的主要力学性能</w:t>
      </w:r>
      <w:r w:rsidRPr="00515730">
        <w:rPr>
          <w:rFonts w:ascii="仿宋_GB2312" w:hAnsi="仿宋_GB2312" w:cs="仿宋_GB2312" w:hint="eastAsia"/>
          <w:bCs/>
          <w:sz w:val="28"/>
          <w:szCs w:val="28"/>
        </w:rPr>
        <w:t>：</w:t>
      </w:r>
      <w:r w:rsidRPr="00515730">
        <w:rPr>
          <w:rFonts w:ascii="仿宋_GB2312" w:hAnsi="仿宋_GB2312" w:cs="仿宋_GB2312"/>
          <w:bCs/>
          <w:sz w:val="28"/>
          <w:szCs w:val="28"/>
        </w:rPr>
        <w:t>抗拉性能</w:t>
      </w:r>
      <w:r w:rsidRPr="00515730">
        <w:rPr>
          <w:rFonts w:ascii="仿宋_GB2312" w:hAnsi="仿宋_GB2312" w:cs="仿宋_GB2312" w:hint="eastAsia"/>
          <w:bCs/>
          <w:sz w:val="28"/>
          <w:szCs w:val="28"/>
        </w:rPr>
        <w:t>、冷弯性能、冲击韧性、硬度、耐疲劳性能</w:t>
      </w:r>
      <w:r w:rsidRPr="00515730">
        <w:rPr>
          <w:rFonts w:ascii="仿宋_GB2312" w:hAnsi="仿宋_GB2312" w:cs="仿宋_GB2312"/>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w:t>
      </w:r>
      <w:r w:rsidRPr="00515730">
        <w:rPr>
          <w:rFonts w:ascii="仿宋_GB2312" w:hAnsi="仿宋_GB2312" w:cs="仿宋_GB2312" w:hint="eastAsia"/>
          <w:bCs/>
          <w:sz w:val="28"/>
          <w:szCs w:val="28"/>
        </w:rPr>
        <w:t>3</w:t>
      </w:r>
      <w:r w:rsidRPr="00515730">
        <w:rPr>
          <w:rFonts w:ascii="仿宋_GB2312" w:hAnsi="仿宋_GB2312" w:cs="仿宋_GB2312"/>
          <w:bCs/>
          <w:sz w:val="28"/>
          <w:szCs w:val="28"/>
        </w:rPr>
        <w:t>）</w:t>
      </w:r>
      <w:r w:rsidRPr="00515730">
        <w:rPr>
          <w:rFonts w:ascii="仿宋_GB2312" w:hAnsi="仿宋_GB2312" w:cs="仿宋_GB2312" w:hint="eastAsia"/>
          <w:bCs/>
          <w:sz w:val="28"/>
          <w:szCs w:val="28"/>
        </w:rPr>
        <w:t>钢材</w:t>
      </w:r>
      <w:r w:rsidRPr="00515730">
        <w:rPr>
          <w:rFonts w:ascii="仿宋_GB2312" w:hAnsi="仿宋_GB2312" w:cs="仿宋_GB2312"/>
          <w:bCs/>
          <w:sz w:val="28"/>
          <w:szCs w:val="28"/>
        </w:rPr>
        <w:t>的冷加工和热处理。</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w:t>
      </w:r>
      <w:r w:rsidRPr="00515730">
        <w:rPr>
          <w:rFonts w:ascii="仿宋_GB2312" w:hAnsi="仿宋_GB2312" w:cs="仿宋_GB2312" w:hint="eastAsia"/>
          <w:bCs/>
          <w:sz w:val="28"/>
          <w:szCs w:val="28"/>
        </w:rPr>
        <w:t>4</w:t>
      </w:r>
      <w:r w:rsidRPr="00515730">
        <w:rPr>
          <w:rFonts w:ascii="仿宋_GB2312" w:hAnsi="仿宋_GB2312" w:cs="仿宋_GB2312"/>
          <w:bCs/>
          <w:sz w:val="28"/>
          <w:szCs w:val="28"/>
        </w:rPr>
        <w:t>）</w:t>
      </w:r>
      <w:r w:rsidRPr="00515730">
        <w:rPr>
          <w:rFonts w:ascii="仿宋_GB2312" w:hAnsi="仿宋_GB2312" w:cs="仿宋_GB2312" w:hint="eastAsia"/>
          <w:bCs/>
          <w:sz w:val="28"/>
          <w:szCs w:val="28"/>
        </w:rPr>
        <w:t>钢材</w:t>
      </w:r>
      <w:r w:rsidRPr="00515730">
        <w:rPr>
          <w:rFonts w:ascii="仿宋_GB2312" w:hAnsi="仿宋_GB2312" w:cs="仿宋_GB2312"/>
          <w:bCs/>
          <w:sz w:val="28"/>
          <w:szCs w:val="28"/>
        </w:rPr>
        <w:t>的防火和防腐蚀。</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（5）钢材的品种及选用。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3、本章的重点和难点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重点：</w:t>
      </w:r>
      <w:r w:rsidRPr="00515730">
        <w:rPr>
          <w:rFonts w:ascii="仿宋_GB2312" w:hAnsi="仿宋_GB2312" w:cs="仿宋_GB2312" w:hint="eastAsia"/>
          <w:bCs/>
          <w:sz w:val="28"/>
          <w:szCs w:val="28"/>
        </w:rPr>
        <w:t>钢材</w:t>
      </w:r>
      <w:r w:rsidRPr="00515730">
        <w:rPr>
          <w:rFonts w:ascii="仿宋_GB2312" w:hAnsi="仿宋_GB2312" w:cs="仿宋_GB2312"/>
          <w:bCs/>
          <w:sz w:val="28"/>
          <w:szCs w:val="28"/>
        </w:rPr>
        <w:t>的主要力学性能</w:t>
      </w:r>
      <w:r w:rsidRPr="00515730">
        <w:rPr>
          <w:rFonts w:ascii="仿宋_GB2312" w:hAnsi="仿宋_GB2312" w:cs="仿宋_GB2312" w:hint="eastAsia"/>
          <w:bCs/>
          <w:sz w:val="28"/>
          <w:szCs w:val="28"/>
        </w:rPr>
        <w:t>，工艺性能，防火、防腐蚀及品种和选用</w:t>
      </w:r>
      <w:r w:rsidRPr="00515730">
        <w:rPr>
          <w:rFonts w:ascii="仿宋_GB2312" w:hAnsi="仿宋_GB2312" w:cs="仿宋_GB2312"/>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lastRenderedPageBreak/>
        <w:t>难点：钢材的冷加工强化及时效强化</w:t>
      </w:r>
      <w:r w:rsidRPr="00515730">
        <w:rPr>
          <w:rFonts w:ascii="仿宋_GB2312" w:hAnsi="仿宋_GB2312" w:cs="仿宋_GB2312" w:hint="eastAsia"/>
          <w:bCs/>
          <w:sz w:val="28"/>
          <w:szCs w:val="28"/>
        </w:rPr>
        <w:t>；</w:t>
      </w:r>
      <w:r w:rsidRPr="00515730">
        <w:rPr>
          <w:rFonts w:ascii="仿宋_GB2312" w:hAnsi="仿宋_GB2312" w:cs="仿宋_GB2312"/>
          <w:bCs/>
          <w:sz w:val="28"/>
          <w:szCs w:val="28"/>
        </w:rPr>
        <w:t>钢材的品种及选用。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4、对毕业要求的支撑</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本章知识点的讲授和学习，可支撑“指标点1.3 掌握相关工程基础知识，具备应用相关知识推演、分析土木工程专业复杂工程问题的专业基础能力”和“指标点2.3 能够正确、合理运用专业知识，识别、判断和表达土木工程专业复杂工程问题的本质特征、关键环节，并能提供多种解决方案”。</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5、课程思政育人要素</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结合Q460低合金高强度钢在国家体育场“鸟巢”结构中的使用，给学生讲解Q460钢的研发和使用过程，教育学生在工作和学习过程中要有“工匠精神”。</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6</w:t>
      </w:r>
      <w:r w:rsidRPr="00515730">
        <w:rPr>
          <w:rFonts w:ascii="仿宋_GB2312" w:hAnsi="仿宋_GB2312" w:cs="仿宋_GB2312"/>
          <w:bCs/>
          <w:sz w:val="28"/>
          <w:szCs w:val="28"/>
        </w:rPr>
        <w:t>、作业</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教材P43第</w:t>
      </w:r>
      <w:r w:rsidRPr="00515730">
        <w:rPr>
          <w:rFonts w:ascii="仿宋_GB2312" w:hAnsi="仿宋_GB2312" w:cs="仿宋_GB2312" w:hint="eastAsia"/>
          <w:bCs/>
          <w:sz w:val="28"/>
          <w:szCs w:val="28"/>
        </w:rPr>
        <w:t>2</w:t>
      </w:r>
      <w:r w:rsidRPr="00515730">
        <w:rPr>
          <w:rFonts w:ascii="仿宋_GB2312" w:hAnsi="仿宋_GB2312" w:cs="仿宋_GB2312"/>
          <w:bCs/>
          <w:sz w:val="28"/>
          <w:szCs w:val="28"/>
        </w:rPr>
        <w:t>.1-2.10题。</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 xml:space="preserve">第三章 </w:t>
      </w:r>
      <w:r w:rsidRPr="00515730">
        <w:rPr>
          <w:rFonts w:ascii="仿宋_GB2312" w:hAnsi="仿宋_GB2312" w:cs="仿宋_GB2312" w:hint="eastAsia"/>
          <w:bCs/>
          <w:sz w:val="28"/>
          <w:szCs w:val="28"/>
        </w:rPr>
        <w:t>无机胶凝材料</w:t>
      </w:r>
      <w:r w:rsidRPr="00515730">
        <w:rPr>
          <w:rFonts w:ascii="仿宋_GB2312" w:hAnsi="仿宋_GB2312" w:cs="仿宋_GB2312"/>
          <w:bCs/>
          <w:sz w:val="28"/>
          <w:szCs w:val="28"/>
        </w:rPr>
        <w:t>（</w:t>
      </w:r>
      <w:r w:rsidRPr="00515730">
        <w:rPr>
          <w:rFonts w:ascii="仿宋_GB2312" w:hAnsi="仿宋_GB2312" w:cs="仿宋_GB2312" w:hint="eastAsia"/>
          <w:bCs/>
          <w:sz w:val="28"/>
          <w:szCs w:val="28"/>
        </w:rPr>
        <w:t>8</w:t>
      </w:r>
      <w:r w:rsidRPr="00515730">
        <w:rPr>
          <w:rFonts w:ascii="仿宋_GB2312" w:hAnsi="仿宋_GB2312" w:cs="仿宋_GB2312"/>
          <w:bCs/>
          <w:sz w:val="28"/>
          <w:szCs w:val="28"/>
        </w:rPr>
        <w:t>学时）</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1、本章基本要求</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了解胶凝材料的分类；掌握建筑石膏、石灰、水玻璃的技术性质及应用；了解通用硅酸盐水泥的原料及生产工艺；熟练掌握硅酸盐水泥熟料的矿物组成及其水化特性；了解通用硅酸盐水泥的水化、凝结硬化机理；熟练掌握通用硅酸盐水泥的技术性质及其应用；熟悉水泥石腐蚀的类型、机理以及提高水泥石抗腐蚀性能的技术途径；熟悉各混合材料的种类、作用和特性；掌握掺混合材料硅酸盐水泥种类、组成、特性和应用；了解其他水泥的性质和应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lastRenderedPageBreak/>
        <w:t>2、本章教学内容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（1）胶凝材料的概念及分类</w:t>
      </w:r>
      <w:r w:rsidRPr="00515730">
        <w:rPr>
          <w:rFonts w:ascii="仿宋_GB2312" w:hAnsi="仿宋_GB2312" w:cs="仿宋_GB2312" w:hint="eastAsia"/>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（2）建筑石膏</w:t>
      </w:r>
      <w:r w:rsidRPr="00515730">
        <w:rPr>
          <w:rFonts w:ascii="仿宋_GB2312" w:hAnsi="仿宋_GB2312" w:cs="仿宋_GB2312"/>
          <w:bCs/>
          <w:sz w:val="28"/>
          <w:szCs w:val="28"/>
        </w:rPr>
        <w:t>、石灰、水玻璃的技术性质及应用。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w:t>
      </w:r>
      <w:r w:rsidRPr="00515730">
        <w:rPr>
          <w:rFonts w:ascii="仿宋_GB2312" w:hAnsi="仿宋_GB2312" w:cs="仿宋_GB2312"/>
          <w:bCs/>
          <w:sz w:val="28"/>
          <w:szCs w:val="28"/>
        </w:rPr>
        <w:t>3</w:t>
      </w:r>
      <w:r w:rsidRPr="00515730">
        <w:rPr>
          <w:rFonts w:ascii="仿宋_GB2312" w:hAnsi="仿宋_GB2312" w:cs="仿宋_GB2312" w:hint="eastAsia"/>
          <w:bCs/>
          <w:sz w:val="28"/>
          <w:szCs w:val="28"/>
        </w:rPr>
        <w:t>）硅酸盐水泥熟料</w:t>
      </w:r>
      <w:r w:rsidRPr="00515730">
        <w:rPr>
          <w:rFonts w:ascii="仿宋_GB2312" w:hAnsi="仿宋_GB2312" w:cs="仿宋_GB2312"/>
          <w:bCs/>
          <w:sz w:val="28"/>
          <w:szCs w:val="28"/>
        </w:rPr>
        <w:t>的组成，硅酸盐水泥水化及凝结硬化，硅酸盐水泥的技术性质。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w:t>
      </w:r>
      <w:r w:rsidRPr="00515730">
        <w:rPr>
          <w:rFonts w:ascii="仿宋_GB2312" w:hAnsi="仿宋_GB2312" w:cs="仿宋_GB2312"/>
          <w:bCs/>
          <w:sz w:val="28"/>
          <w:szCs w:val="28"/>
        </w:rPr>
        <w:t>4</w:t>
      </w:r>
      <w:r w:rsidRPr="00515730">
        <w:rPr>
          <w:rFonts w:ascii="仿宋_GB2312" w:hAnsi="仿宋_GB2312" w:cs="仿宋_GB2312" w:hint="eastAsia"/>
          <w:bCs/>
          <w:sz w:val="28"/>
          <w:szCs w:val="28"/>
        </w:rPr>
        <w:t>）掺混合材料</w:t>
      </w:r>
      <w:r w:rsidRPr="00515730">
        <w:rPr>
          <w:rFonts w:ascii="仿宋_GB2312" w:hAnsi="仿宋_GB2312" w:cs="仿宋_GB2312"/>
          <w:bCs/>
          <w:sz w:val="28"/>
          <w:szCs w:val="28"/>
        </w:rPr>
        <w:t>的硅酸盐水泥</w:t>
      </w:r>
      <w:r w:rsidRPr="00515730">
        <w:rPr>
          <w:rFonts w:ascii="仿宋_GB2312" w:hAnsi="仿宋_GB2312" w:cs="仿宋_GB2312" w:hint="eastAsia"/>
          <w:bCs/>
          <w:sz w:val="28"/>
          <w:szCs w:val="28"/>
        </w:rPr>
        <w:t>的</w:t>
      </w:r>
      <w:r w:rsidRPr="00515730">
        <w:rPr>
          <w:rFonts w:ascii="仿宋_GB2312" w:hAnsi="仿宋_GB2312" w:cs="仿宋_GB2312"/>
          <w:bCs/>
          <w:sz w:val="28"/>
          <w:szCs w:val="28"/>
        </w:rPr>
        <w:t>品种、组成、性质及应用。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3、本章的重点和难点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重点：</w:t>
      </w:r>
      <w:r w:rsidRPr="00515730">
        <w:rPr>
          <w:rFonts w:ascii="仿宋_GB2312" w:hAnsi="仿宋_GB2312" w:cs="仿宋_GB2312" w:hint="eastAsia"/>
          <w:bCs/>
          <w:sz w:val="28"/>
          <w:szCs w:val="28"/>
        </w:rPr>
        <w:t>通用硅酸盐水泥</w:t>
      </w:r>
      <w:r w:rsidRPr="00515730">
        <w:rPr>
          <w:rFonts w:ascii="仿宋_GB2312" w:hAnsi="仿宋_GB2312" w:cs="仿宋_GB2312"/>
          <w:bCs/>
          <w:sz w:val="28"/>
          <w:szCs w:val="28"/>
        </w:rPr>
        <w:t>的技术性质及应用。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难点：</w:t>
      </w:r>
      <w:r w:rsidRPr="00515730">
        <w:rPr>
          <w:rFonts w:ascii="仿宋_GB2312" w:hAnsi="仿宋_GB2312" w:cs="仿宋_GB2312" w:hint="eastAsia"/>
          <w:bCs/>
          <w:sz w:val="28"/>
          <w:szCs w:val="28"/>
        </w:rPr>
        <w:t>硅酸盐水泥</w:t>
      </w:r>
      <w:r w:rsidRPr="00515730">
        <w:rPr>
          <w:rFonts w:ascii="仿宋_GB2312" w:hAnsi="仿宋_GB2312" w:cs="仿宋_GB2312"/>
          <w:bCs/>
          <w:sz w:val="28"/>
          <w:szCs w:val="28"/>
        </w:rPr>
        <w:t>的组成</w:t>
      </w:r>
      <w:r w:rsidRPr="00515730">
        <w:rPr>
          <w:rFonts w:ascii="仿宋_GB2312" w:hAnsi="仿宋_GB2312" w:cs="仿宋_GB2312" w:hint="eastAsia"/>
          <w:bCs/>
          <w:sz w:val="28"/>
          <w:szCs w:val="28"/>
        </w:rPr>
        <w:t>、</w:t>
      </w:r>
      <w:r w:rsidRPr="00515730">
        <w:rPr>
          <w:rFonts w:ascii="仿宋_GB2312" w:hAnsi="仿宋_GB2312" w:cs="仿宋_GB2312"/>
          <w:bCs/>
          <w:sz w:val="28"/>
          <w:szCs w:val="28"/>
        </w:rPr>
        <w:t>技术性质与</w:t>
      </w:r>
      <w:r w:rsidRPr="00515730">
        <w:rPr>
          <w:rFonts w:ascii="仿宋_GB2312" w:hAnsi="仿宋_GB2312" w:cs="仿宋_GB2312" w:hint="eastAsia"/>
          <w:bCs/>
          <w:sz w:val="28"/>
          <w:szCs w:val="28"/>
        </w:rPr>
        <w:t>应用</w:t>
      </w:r>
      <w:r w:rsidRPr="00515730">
        <w:rPr>
          <w:rFonts w:ascii="仿宋_GB2312" w:hAnsi="仿宋_GB2312" w:cs="仿宋_GB2312"/>
          <w:bCs/>
          <w:sz w:val="28"/>
          <w:szCs w:val="28"/>
        </w:rPr>
        <w:t>之间的关系。</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4、对毕业要求的支撑</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本章知识点的讲授和学习，可支撑“指标点1.3 掌握相关工程基础知识，具备应用相关知识推演、分析土木工程专业复杂工程问题的专业基础能力”、“指标点2.3 能够正确、合理运用专业知识，识别、判断和表达土木工程专业复杂工程问题的本质特征、关键环节，并能提供多种解决方案”和“指标点7.2 能够从环境保护和社会可持续发展的角度思考土木工程专业工程实践的可持续性，评价其可能对人类和环境造成的损害和隐患，践行绿色环保理念”。</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5、课程思政育人要素</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结合石灰的生产过程及于谦的《石灰吟》，带领学生体会作者大无畏的凛然正气，培养学生不畏艰难，积极进取的人生态度。结合粉煤灰等工业固废作为活性混合材料在水泥生产中的应用，给学生讲述绿色建材理念及国家的可持续发展战略，加强学生对“绿水青山，就</w:t>
      </w:r>
      <w:r w:rsidRPr="00515730">
        <w:rPr>
          <w:rFonts w:ascii="仿宋_GB2312" w:hAnsi="仿宋_GB2312" w:cs="仿宋_GB2312" w:hint="eastAsia"/>
          <w:bCs/>
          <w:sz w:val="28"/>
          <w:szCs w:val="28"/>
        </w:rPr>
        <w:lastRenderedPageBreak/>
        <w:t>是金山银山”思想的深入理解。</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6</w:t>
      </w:r>
      <w:r w:rsidRPr="00515730">
        <w:rPr>
          <w:rFonts w:ascii="仿宋_GB2312" w:hAnsi="仿宋_GB2312" w:cs="仿宋_GB2312"/>
          <w:bCs/>
          <w:sz w:val="28"/>
          <w:szCs w:val="28"/>
        </w:rPr>
        <w:t>、作业</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教材P75第3.2-3.11题。</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 xml:space="preserve">第四章 </w:t>
      </w:r>
      <w:r w:rsidRPr="00515730">
        <w:rPr>
          <w:rFonts w:ascii="仿宋_GB2312" w:hAnsi="仿宋_GB2312" w:cs="仿宋_GB2312" w:hint="eastAsia"/>
          <w:bCs/>
          <w:sz w:val="28"/>
          <w:szCs w:val="28"/>
        </w:rPr>
        <w:t>水泥混凝土</w:t>
      </w:r>
      <w:r w:rsidRPr="00515730">
        <w:rPr>
          <w:rFonts w:ascii="仿宋_GB2312" w:hAnsi="仿宋_GB2312" w:cs="仿宋_GB2312"/>
          <w:bCs/>
          <w:sz w:val="28"/>
          <w:szCs w:val="28"/>
        </w:rPr>
        <w:t>（1</w:t>
      </w:r>
      <w:r w:rsidRPr="00515730">
        <w:rPr>
          <w:rFonts w:ascii="仿宋_GB2312" w:hAnsi="仿宋_GB2312" w:cs="仿宋_GB2312" w:hint="eastAsia"/>
          <w:bCs/>
          <w:sz w:val="28"/>
          <w:szCs w:val="28"/>
        </w:rPr>
        <w:t>6</w:t>
      </w:r>
      <w:r w:rsidRPr="00515730">
        <w:rPr>
          <w:rFonts w:ascii="仿宋_GB2312" w:hAnsi="仿宋_GB2312" w:cs="仿宋_GB2312"/>
          <w:bCs/>
          <w:sz w:val="28"/>
          <w:szCs w:val="28"/>
        </w:rPr>
        <w:t>学时）</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1、本章基本要求</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了解混凝土的概念、分类，普通混凝土的组成及各组成材料的作用；熟练掌握普通混凝土各组成材料的基本要求、品种选择、各项技术参数等；掌握混凝土化学外加剂的作用机理和应用；熟练掌握普通混凝土拌合物的和易性及影响和易性的因素；熟练掌握混凝土强度等级、混凝土强度公式、影响混凝土强度的主要因素以及提高混凝土强度的措施；熟悉混凝土在非荷载作用下的变形性能和耐久性能；理解混凝土质量控制基本原理；掌握混凝土的配合比设计；掌握高性能混凝土的定义及其实现混凝土高性能化的主要技术途径；了解其他混凝土。</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2、本章教学内容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w:t>
      </w:r>
      <w:r w:rsidRPr="00515730">
        <w:rPr>
          <w:rFonts w:ascii="仿宋_GB2312" w:hAnsi="仿宋_GB2312" w:cs="仿宋_GB2312" w:hint="eastAsia"/>
          <w:bCs/>
          <w:sz w:val="28"/>
          <w:szCs w:val="28"/>
        </w:rPr>
        <w:t>混凝土</w:t>
      </w:r>
      <w:r w:rsidRPr="00515730">
        <w:rPr>
          <w:rFonts w:ascii="仿宋_GB2312" w:hAnsi="仿宋_GB2312" w:cs="仿宋_GB2312"/>
          <w:bCs/>
          <w:sz w:val="28"/>
          <w:szCs w:val="28"/>
        </w:rPr>
        <w:t>组成材料的</w:t>
      </w:r>
      <w:r w:rsidRPr="00515730">
        <w:rPr>
          <w:rFonts w:ascii="仿宋_GB2312" w:hAnsi="仿宋_GB2312" w:cs="仿宋_GB2312" w:hint="eastAsia"/>
          <w:bCs/>
          <w:sz w:val="28"/>
          <w:szCs w:val="28"/>
        </w:rPr>
        <w:t>技术性质</w:t>
      </w:r>
      <w:r w:rsidRPr="00515730">
        <w:rPr>
          <w:rFonts w:ascii="仿宋_GB2312" w:hAnsi="仿宋_GB2312" w:cs="仿宋_GB2312"/>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（2）普通混凝土拌合物及硬化混凝土的技术性质及其影响因素</w:t>
      </w:r>
      <w:r w:rsidRPr="00515730">
        <w:rPr>
          <w:rFonts w:ascii="仿宋_GB2312" w:hAnsi="仿宋_GB2312" w:cs="仿宋_GB2312" w:hint="eastAsia"/>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（3）普通混凝土的质量控制及配合比设计。</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（4）其他品种混凝土简介。</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3、本章的重点和难点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重点：</w:t>
      </w:r>
      <w:r w:rsidRPr="00515730">
        <w:rPr>
          <w:rFonts w:ascii="仿宋_GB2312" w:hAnsi="仿宋_GB2312" w:cs="仿宋_GB2312" w:hint="eastAsia"/>
          <w:bCs/>
          <w:sz w:val="28"/>
          <w:szCs w:val="28"/>
        </w:rPr>
        <w:t>混凝土组成材料及普通混凝土的技术性质，普通混凝土的配合比设计</w:t>
      </w:r>
      <w:r w:rsidRPr="00515730">
        <w:rPr>
          <w:rFonts w:ascii="仿宋_GB2312" w:hAnsi="仿宋_GB2312" w:cs="仿宋_GB2312"/>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lastRenderedPageBreak/>
        <w:t>难点：理解混凝土技术性质影响因素的作用机理</w:t>
      </w:r>
      <w:r w:rsidRPr="00515730">
        <w:rPr>
          <w:rFonts w:ascii="仿宋_GB2312" w:hAnsi="仿宋_GB2312" w:cs="仿宋_GB2312" w:hint="eastAsia"/>
          <w:bCs/>
          <w:sz w:val="28"/>
          <w:szCs w:val="28"/>
        </w:rPr>
        <w:t>，混凝土</w:t>
      </w:r>
      <w:r w:rsidRPr="00515730">
        <w:rPr>
          <w:rFonts w:ascii="仿宋_GB2312" w:hAnsi="仿宋_GB2312" w:cs="仿宋_GB2312"/>
          <w:bCs/>
          <w:sz w:val="28"/>
          <w:szCs w:val="28"/>
        </w:rPr>
        <w:t>配合比设计。</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4、对毕业要求的支撑</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本章知识点的讲授和学习，可支撑“指标点1.3 掌握相关工程基础知识，具备应用相关知识推演、分析土木工程专业复杂工程问题的专业基础能力”、“指标点2.3 能够正确、合理运用专业知识，识别、判断和表达土木工程专业复杂工程问题的本质特征、关键环节，并能提供多种解决方案”和“指标点7.2 能够从环境保护和社会可持续发展的角度思考土木工程专业工程实践的可持续性，评价其可能对人类和环境造成的损害和隐患，践行绿色环保理念”。</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5、课程思政育人要素</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结合混凝土配合比设计中的鲍罗米公式，恒定用水量法则等理念，给学生讲述主要矛盾与次要矛盾之间的辩证关系，培养学生在解决问题的过程中要抓住主要矛盾，忽略次要矛盾，形成科学的分析和解决问题的方法论。</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6</w:t>
      </w:r>
      <w:r w:rsidRPr="00515730">
        <w:rPr>
          <w:rFonts w:ascii="仿宋_GB2312" w:hAnsi="仿宋_GB2312" w:cs="仿宋_GB2312"/>
          <w:bCs/>
          <w:sz w:val="28"/>
          <w:szCs w:val="28"/>
        </w:rPr>
        <w:t>、作业</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教材P</w:t>
      </w:r>
      <w:r w:rsidRPr="00515730">
        <w:rPr>
          <w:rFonts w:ascii="仿宋_GB2312" w:hAnsi="仿宋_GB2312" w:cs="仿宋_GB2312" w:hint="eastAsia"/>
          <w:bCs/>
          <w:sz w:val="28"/>
          <w:szCs w:val="28"/>
        </w:rPr>
        <w:t>117</w:t>
      </w:r>
      <w:r w:rsidRPr="00515730">
        <w:rPr>
          <w:rFonts w:ascii="仿宋_GB2312" w:hAnsi="仿宋_GB2312" w:cs="仿宋_GB2312"/>
          <w:bCs/>
          <w:sz w:val="28"/>
          <w:szCs w:val="28"/>
        </w:rPr>
        <w:t>第4.1-4.5题</w:t>
      </w:r>
      <w:r w:rsidRPr="00515730">
        <w:rPr>
          <w:rFonts w:ascii="仿宋_GB2312" w:hAnsi="仿宋_GB2312" w:cs="仿宋_GB2312" w:hint="eastAsia"/>
          <w:bCs/>
          <w:sz w:val="28"/>
          <w:szCs w:val="28"/>
        </w:rPr>
        <w:t>，P</w:t>
      </w:r>
      <w:r w:rsidRPr="00515730">
        <w:rPr>
          <w:rFonts w:ascii="仿宋_GB2312" w:hAnsi="仿宋_GB2312" w:cs="仿宋_GB2312"/>
          <w:bCs/>
          <w:sz w:val="28"/>
          <w:szCs w:val="28"/>
        </w:rPr>
        <w:t>158第</w:t>
      </w:r>
      <w:r w:rsidRPr="00515730">
        <w:rPr>
          <w:rFonts w:ascii="仿宋_GB2312" w:hAnsi="仿宋_GB2312" w:cs="仿宋_GB2312" w:hint="eastAsia"/>
          <w:bCs/>
          <w:sz w:val="28"/>
          <w:szCs w:val="28"/>
        </w:rPr>
        <w:t>4</w:t>
      </w:r>
      <w:r w:rsidRPr="00515730">
        <w:rPr>
          <w:rFonts w:ascii="仿宋_GB2312" w:hAnsi="仿宋_GB2312" w:cs="仿宋_GB2312"/>
          <w:bCs/>
          <w:sz w:val="28"/>
          <w:szCs w:val="28"/>
        </w:rPr>
        <w:t>.11-4.16</w:t>
      </w:r>
      <w:r w:rsidRPr="00515730">
        <w:rPr>
          <w:rFonts w:ascii="仿宋_GB2312" w:hAnsi="仿宋_GB2312" w:cs="仿宋_GB2312" w:hint="eastAsia"/>
          <w:bCs/>
          <w:sz w:val="28"/>
          <w:szCs w:val="28"/>
        </w:rPr>
        <w:t>、4</w:t>
      </w:r>
      <w:r w:rsidRPr="00515730">
        <w:rPr>
          <w:rFonts w:ascii="仿宋_GB2312" w:hAnsi="仿宋_GB2312" w:cs="仿宋_GB2312"/>
          <w:bCs/>
          <w:sz w:val="28"/>
          <w:szCs w:val="28"/>
        </w:rPr>
        <w:t>.18</w:t>
      </w:r>
      <w:r w:rsidRPr="00515730">
        <w:rPr>
          <w:rFonts w:ascii="仿宋_GB2312" w:hAnsi="仿宋_GB2312" w:cs="仿宋_GB2312" w:hint="eastAsia"/>
          <w:bCs/>
          <w:sz w:val="28"/>
          <w:szCs w:val="28"/>
        </w:rPr>
        <w:t>、4</w:t>
      </w:r>
      <w:r w:rsidRPr="00515730">
        <w:rPr>
          <w:rFonts w:ascii="仿宋_GB2312" w:hAnsi="仿宋_GB2312" w:cs="仿宋_GB2312"/>
          <w:bCs/>
          <w:sz w:val="28"/>
          <w:szCs w:val="28"/>
        </w:rPr>
        <w:t>.20</w:t>
      </w:r>
      <w:r w:rsidRPr="00515730">
        <w:rPr>
          <w:rFonts w:ascii="仿宋_GB2312" w:hAnsi="仿宋_GB2312" w:cs="仿宋_GB2312" w:hint="eastAsia"/>
          <w:bCs/>
          <w:sz w:val="28"/>
          <w:szCs w:val="28"/>
        </w:rPr>
        <w:t>、4</w:t>
      </w:r>
      <w:r w:rsidRPr="00515730">
        <w:rPr>
          <w:rFonts w:ascii="仿宋_GB2312" w:hAnsi="仿宋_GB2312" w:cs="仿宋_GB2312"/>
          <w:bCs/>
          <w:sz w:val="28"/>
          <w:szCs w:val="28"/>
        </w:rPr>
        <w:t>.21</w:t>
      </w:r>
      <w:r w:rsidRPr="00515730">
        <w:rPr>
          <w:rFonts w:ascii="仿宋_GB2312" w:hAnsi="仿宋_GB2312" w:cs="仿宋_GB2312" w:hint="eastAsia"/>
          <w:bCs/>
          <w:sz w:val="28"/>
          <w:szCs w:val="28"/>
        </w:rPr>
        <w:t>、4</w:t>
      </w:r>
      <w:r w:rsidRPr="00515730">
        <w:rPr>
          <w:rFonts w:ascii="仿宋_GB2312" w:hAnsi="仿宋_GB2312" w:cs="仿宋_GB2312"/>
          <w:bCs/>
          <w:sz w:val="28"/>
          <w:szCs w:val="28"/>
        </w:rPr>
        <w:t>.24</w:t>
      </w:r>
      <w:r w:rsidRPr="00515730">
        <w:rPr>
          <w:rFonts w:ascii="仿宋_GB2312" w:hAnsi="仿宋_GB2312" w:cs="仿宋_GB2312" w:hint="eastAsia"/>
          <w:bCs/>
          <w:sz w:val="28"/>
          <w:szCs w:val="28"/>
        </w:rPr>
        <w:t>、4</w:t>
      </w:r>
      <w:r w:rsidRPr="00515730">
        <w:rPr>
          <w:rFonts w:ascii="仿宋_GB2312" w:hAnsi="仿宋_GB2312" w:cs="仿宋_GB2312"/>
          <w:bCs/>
          <w:sz w:val="28"/>
          <w:szCs w:val="28"/>
        </w:rPr>
        <w:t>.26题。</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 xml:space="preserve">第五章 </w:t>
      </w:r>
      <w:r w:rsidRPr="00515730">
        <w:rPr>
          <w:rFonts w:ascii="仿宋_GB2312" w:hAnsi="仿宋_GB2312" w:cs="仿宋_GB2312" w:hint="eastAsia"/>
          <w:bCs/>
          <w:sz w:val="28"/>
          <w:szCs w:val="28"/>
        </w:rPr>
        <w:t>建筑砂浆</w:t>
      </w:r>
      <w:r w:rsidRPr="00515730">
        <w:rPr>
          <w:rFonts w:ascii="仿宋_GB2312" w:hAnsi="仿宋_GB2312" w:cs="仿宋_GB2312"/>
          <w:bCs/>
          <w:sz w:val="28"/>
          <w:szCs w:val="28"/>
        </w:rPr>
        <w:t>（</w:t>
      </w:r>
      <w:r w:rsidRPr="00515730">
        <w:rPr>
          <w:rFonts w:ascii="仿宋_GB2312" w:hAnsi="仿宋_GB2312" w:cs="仿宋_GB2312" w:hint="eastAsia"/>
          <w:bCs/>
          <w:sz w:val="28"/>
          <w:szCs w:val="28"/>
        </w:rPr>
        <w:t>3</w:t>
      </w:r>
      <w:r w:rsidRPr="00515730">
        <w:rPr>
          <w:rFonts w:ascii="仿宋_GB2312" w:hAnsi="仿宋_GB2312" w:cs="仿宋_GB2312"/>
          <w:bCs/>
          <w:sz w:val="28"/>
          <w:szCs w:val="28"/>
        </w:rPr>
        <w:t>学时）</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1、本章基本要求</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熟练掌握砂浆组成、技术性能、砌筑砂浆配合比设计；了解其他砂浆的组成及应用。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lastRenderedPageBreak/>
        <w:t>2、本章教学内容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（1）建筑</w:t>
      </w:r>
      <w:r w:rsidRPr="00515730">
        <w:rPr>
          <w:rFonts w:ascii="仿宋_GB2312" w:hAnsi="仿宋_GB2312" w:cs="仿宋_GB2312" w:hint="eastAsia"/>
          <w:bCs/>
          <w:sz w:val="28"/>
          <w:szCs w:val="28"/>
        </w:rPr>
        <w:t>砂浆的分类、组成、技术性质</w:t>
      </w:r>
      <w:r w:rsidRPr="00515730">
        <w:rPr>
          <w:rFonts w:ascii="仿宋_GB2312" w:hAnsi="仿宋_GB2312" w:cs="仿宋_GB2312"/>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（2）</w:t>
      </w:r>
      <w:r w:rsidRPr="00515730">
        <w:rPr>
          <w:rFonts w:ascii="仿宋_GB2312" w:hAnsi="仿宋_GB2312" w:cs="仿宋_GB2312" w:hint="eastAsia"/>
          <w:bCs/>
          <w:sz w:val="28"/>
          <w:szCs w:val="28"/>
        </w:rPr>
        <w:t>砌筑砂浆</w:t>
      </w:r>
      <w:r w:rsidRPr="00515730">
        <w:rPr>
          <w:rFonts w:ascii="仿宋_GB2312" w:hAnsi="仿宋_GB2312" w:cs="仿宋_GB2312"/>
          <w:bCs/>
          <w:sz w:val="28"/>
          <w:szCs w:val="28"/>
        </w:rPr>
        <w:t>的配合比设计。</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（3）其他砂浆组成及应用简介。</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3、本章的重点和难点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重点：</w:t>
      </w:r>
      <w:r w:rsidRPr="00515730">
        <w:rPr>
          <w:rFonts w:ascii="仿宋_GB2312" w:hAnsi="仿宋_GB2312" w:cs="仿宋_GB2312" w:hint="eastAsia"/>
          <w:bCs/>
          <w:sz w:val="28"/>
          <w:szCs w:val="28"/>
        </w:rPr>
        <w:t>砂浆的技术性能及配合比设计</w:t>
      </w:r>
      <w:r w:rsidRPr="00515730">
        <w:rPr>
          <w:rFonts w:ascii="仿宋_GB2312" w:hAnsi="仿宋_GB2312" w:cs="仿宋_GB2312"/>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难点：</w:t>
      </w:r>
      <w:r w:rsidRPr="00515730">
        <w:rPr>
          <w:rFonts w:ascii="仿宋_GB2312" w:hAnsi="仿宋_GB2312" w:cs="仿宋_GB2312" w:hint="eastAsia"/>
          <w:bCs/>
          <w:sz w:val="28"/>
          <w:szCs w:val="28"/>
        </w:rPr>
        <w:t>砂浆技术性质的影响因素及机理</w:t>
      </w:r>
      <w:r w:rsidRPr="00515730">
        <w:rPr>
          <w:rFonts w:ascii="仿宋_GB2312" w:hAnsi="仿宋_GB2312" w:cs="仿宋_GB2312"/>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4、对毕业要求的支撑</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本章知识点的讲授和学习，可支撑“指标点1.3 掌握相关工程基础知识，具备应用相关知识推演、分析土木工程专业复杂工程问题的专业基础能力”、“指标点2.3 能够正确、合理运用专业知识，识别、判断和表达土木工程专业复杂工程问题的本质特征、关键环节，并能提供多种解决方案”和“指标点7.2 能够从环境保护和社会可持续发展的角度思考土木工程专业工程实践的可持续性，评价其可能对人类和环境造成的损害和隐患，践行绿色环保理念”。</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5、课程思政育人要素</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结合用于不吸水底面和吸水底面的砂浆强度主要影响因素的不同，教育学生在分析问题时应理论联系实际，才能得到正确的结论。</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6</w:t>
      </w:r>
      <w:r w:rsidRPr="00515730">
        <w:rPr>
          <w:rFonts w:ascii="仿宋_GB2312" w:hAnsi="仿宋_GB2312" w:cs="仿宋_GB2312"/>
          <w:bCs/>
          <w:sz w:val="28"/>
          <w:szCs w:val="28"/>
        </w:rPr>
        <w:t>、作业</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教材P174第5.1-5.3</w:t>
      </w:r>
      <w:r w:rsidRPr="00515730">
        <w:rPr>
          <w:rFonts w:ascii="仿宋_GB2312" w:hAnsi="仿宋_GB2312" w:cs="仿宋_GB2312" w:hint="eastAsia"/>
          <w:bCs/>
          <w:sz w:val="28"/>
          <w:szCs w:val="28"/>
        </w:rPr>
        <w:t>题</w:t>
      </w:r>
      <w:r w:rsidRPr="00515730">
        <w:rPr>
          <w:rFonts w:ascii="仿宋_GB2312" w:hAnsi="仿宋_GB2312" w:cs="仿宋_GB2312"/>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第</w:t>
      </w:r>
      <w:r w:rsidRPr="00515730">
        <w:rPr>
          <w:rFonts w:ascii="仿宋_GB2312" w:hAnsi="仿宋_GB2312" w:cs="仿宋_GB2312" w:hint="eastAsia"/>
          <w:bCs/>
          <w:sz w:val="28"/>
          <w:szCs w:val="28"/>
        </w:rPr>
        <w:t>六</w:t>
      </w:r>
      <w:r w:rsidRPr="00515730">
        <w:rPr>
          <w:rFonts w:ascii="仿宋_GB2312" w:hAnsi="仿宋_GB2312" w:cs="仿宋_GB2312"/>
          <w:bCs/>
          <w:sz w:val="28"/>
          <w:szCs w:val="28"/>
        </w:rPr>
        <w:t>章</w:t>
      </w:r>
      <w:r w:rsidRPr="00515730">
        <w:rPr>
          <w:rFonts w:ascii="仿宋_GB2312" w:hAnsi="仿宋_GB2312" w:cs="仿宋_GB2312" w:hint="eastAsia"/>
          <w:bCs/>
          <w:sz w:val="28"/>
          <w:szCs w:val="28"/>
        </w:rPr>
        <w:t xml:space="preserve"> 砌筑材料</w:t>
      </w:r>
      <w:r w:rsidRPr="00515730">
        <w:rPr>
          <w:rFonts w:ascii="仿宋_GB2312" w:hAnsi="仿宋_GB2312" w:cs="仿宋_GB2312"/>
          <w:bCs/>
          <w:sz w:val="28"/>
          <w:szCs w:val="28"/>
        </w:rPr>
        <w:t>（</w:t>
      </w:r>
      <w:r w:rsidRPr="00515730">
        <w:rPr>
          <w:rFonts w:ascii="仿宋_GB2312" w:hAnsi="仿宋_GB2312" w:cs="仿宋_GB2312" w:hint="eastAsia"/>
          <w:bCs/>
          <w:sz w:val="28"/>
          <w:szCs w:val="28"/>
        </w:rPr>
        <w:t>2</w:t>
      </w:r>
      <w:r w:rsidRPr="00515730">
        <w:rPr>
          <w:rFonts w:ascii="仿宋_GB2312" w:hAnsi="仿宋_GB2312" w:cs="仿宋_GB2312"/>
          <w:bCs/>
          <w:sz w:val="28"/>
          <w:szCs w:val="28"/>
        </w:rPr>
        <w:t>学时）</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1、本章基本要求</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lastRenderedPageBreak/>
        <w:t>了解砌筑材料的原料、生产工艺及强度形成原理；掌握砌墙砖的技术性能和应用；了解多孔砖、空心砖、砌块的主要性能。</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2、本章教学内容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w:t>
      </w:r>
      <w:r w:rsidRPr="00515730">
        <w:rPr>
          <w:rFonts w:ascii="仿宋_GB2312" w:hAnsi="仿宋_GB2312" w:cs="仿宋_GB2312" w:hint="eastAsia"/>
          <w:bCs/>
          <w:sz w:val="28"/>
          <w:szCs w:val="28"/>
        </w:rPr>
        <w:t>1</w:t>
      </w:r>
      <w:r w:rsidRPr="00515730">
        <w:rPr>
          <w:rFonts w:ascii="仿宋_GB2312" w:hAnsi="仿宋_GB2312" w:cs="仿宋_GB2312"/>
          <w:bCs/>
          <w:sz w:val="28"/>
          <w:szCs w:val="28"/>
        </w:rPr>
        <w:t>）</w:t>
      </w:r>
      <w:r w:rsidRPr="00515730">
        <w:rPr>
          <w:rFonts w:ascii="仿宋_GB2312" w:hAnsi="仿宋_GB2312" w:cs="仿宋_GB2312" w:hint="eastAsia"/>
          <w:bCs/>
          <w:sz w:val="28"/>
          <w:szCs w:val="28"/>
        </w:rPr>
        <w:t>砌筑材料</w:t>
      </w:r>
      <w:r w:rsidRPr="00515730">
        <w:rPr>
          <w:rFonts w:ascii="仿宋_GB2312" w:hAnsi="仿宋_GB2312" w:cs="仿宋_GB2312"/>
          <w:bCs/>
          <w:sz w:val="28"/>
          <w:szCs w:val="28"/>
        </w:rPr>
        <w:t>的生产。</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w:t>
      </w:r>
      <w:r w:rsidRPr="00515730">
        <w:rPr>
          <w:rFonts w:ascii="仿宋_GB2312" w:hAnsi="仿宋_GB2312" w:cs="仿宋_GB2312" w:hint="eastAsia"/>
          <w:bCs/>
          <w:sz w:val="28"/>
          <w:szCs w:val="28"/>
        </w:rPr>
        <w:t>2</w:t>
      </w:r>
      <w:r w:rsidRPr="00515730">
        <w:rPr>
          <w:rFonts w:ascii="仿宋_GB2312" w:hAnsi="仿宋_GB2312" w:cs="仿宋_GB2312"/>
          <w:bCs/>
          <w:sz w:val="28"/>
          <w:szCs w:val="28"/>
        </w:rPr>
        <w:t>）常用砌筑材料的技术性质及应用。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3、本章的重点和难点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重点：砌墙砖的技术性质及应用。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难点：砌墙砖的耐久性。</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4、对毕业要求的支撑</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本章知识点的讲授和学习，可支撑“指标点1.3 掌握相关工程基础知识，具备应用相关知识推演、分析土木工程专业复杂工程问题的专业基础能力”、“指标点2.3 能够正确、合理运用专业知识，识别、判断和表达土木工程专业复杂工程问题的本质特征、关键环节，并能提供多种解决方案”和“指标点7.2 能够从环境保护和社会可持续发展的角度思考土木工程专业工程实践的可持续性，评价其可能对人类和环境造成的损害和隐患，践行绿色环保理念”。</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5、课程思政育人要素</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结合固废在砌筑材料中的使用背景</w:t>
      </w:r>
      <w:r w:rsidRPr="00515730">
        <w:rPr>
          <w:rFonts w:ascii="仿宋_GB2312" w:hAnsi="仿宋_GB2312" w:cs="仿宋_GB2312" w:hint="eastAsia"/>
          <w:bCs/>
          <w:sz w:val="28"/>
          <w:szCs w:val="28"/>
        </w:rPr>
        <w:t>、</w:t>
      </w:r>
      <w:r w:rsidRPr="00515730">
        <w:rPr>
          <w:rFonts w:ascii="仿宋_GB2312" w:hAnsi="仿宋_GB2312" w:cs="仿宋_GB2312"/>
          <w:bCs/>
          <w:sz w:val="28"/>
          <w:szCs w:val="28"/>
        </w:rPr>
        <w:t>技术及发展前景</w:t>
      </w:r>
      <w:r w:rsidRPr="00515730">
        <w:rPr>
          <w:rFonts w:ascii="仿宋_GB2312" w:hAnsi="仿宋_GB2312" w:cs="仿宋_GB2312" w:hint="eastAsia"/>
          <w:bCs/>
          <w:sz w:val="28"/>
          <w:szCs w:val="28"/>
        </w:rPr>
        <w:t>，</w:t>
      </w:r>
      <w:r w:rsidRPr="00515730">
        <w:rPr>
          <w:rFonts w:ascii="仿宋_GB2312" w:hAnsi="仿宋_GB2312" w:cs="仿宋_GB2312"/>
          <w:bCs/>
          <w:sz w:val="28"/>
          <w:szCs w:val="28"/>
        </w:rPr>
        <w:t>给学生讲述</w:t>
      </w:r>
      <w:r w:rsidRPr="00515730">
        <w:rPr>
          <w:rFonts w:ascii="仿宋_GB2312" w:hAnsi="仿宋_GB2312" w:cs="仿宋_GB2312" w:hint="eastAsia"/>
          <w:bCs/>
          <w:sz w:val="28"/>
          <w:szCs w:val="28"/>
        </w:rPr>
        <w:t>环境与资源保护的意义，以可持续发展战略为切入口，为学生阐述“人类命运共同体”的理念。</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6</w:t>
      </w:r>
      <w:r w:rsidRPr="00515730">
        <w:rPr>
          <w:rFonts w:ascii="仿宋_GB2312" w:hAnsi="仿宋_GB2312" w:cs="仿宋_GB2312"/>
          <w:bCs/>
          <w:sz w:val="28"/>
          <w:szCs w:val="28"/>
        </w:rPr>
        <w:t>、作业</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教材P187第</w:t>
      </w:r>
      <w:r w:rsidRPr="00515730">
        <w:rPr>
          <w:rFonts w:ascii="仿宋_GB2312" w:hAnsi="仿宋_GB2312" w:cs="仿宋_GB2312" w:hint="eastAsia"/>
          <w:bCs/>
          <w:sz w:val="28"/>
          <w:szCs w:val="28"/>
        </w:rPr>
        <w:t>6</w:t>
      </w:r>
      <w:r w:rsidRPr="00515730">
        <w:rPr>
          <w:rFonts w:ascii="仿宋_GB2312" w:hAnsi="仿宋_GB2312" w:cs="仿宋_GB2312"/>
          <w:bCs/>
          <w:sz w:val="28"/>
          <w:szCs w:val="28"/>
        </w:rPr>
        <w:t>.1-6.4题。</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lastRenderedPageBreak/>
        <w:t>第</w:t>
      </w:r>
      <w:r w:rsidRPr="00515730">
        <w:rPr>
          <w:rFonts w:ascii="仿宋_GB2312" w:hAnsi="仿宋_GB2312" w:cs="仿宋_GB2312" w:hint="eastAsia"/>
          <w:bCs/>
          <w:sz w:val="28"/>
          <w:szCs w:val="28"/>
        </w:rPr>
        <w:t>七</w:t>
      </w:r>
      <w:r w:rsidRPr="00515730">
        <w:rPr>
          <w:rFonts w:ascii="仿宋_GB2312" w:hAnsi="仿宋_GB2312" w:cs="仿宋_GB2312"/>
          <w:bCs/>
          <w:sz w:val="28"/>
          <w:szCs w:val="28"/>
        </w:rPr>
        <w:t>章 建筑功能材料（</w:t>
      </w:r>
      <w:r w:rsidRPr="00515730">
        <w:rPr>
          <w:rFonts w:ascii="仿宋_GB2312" w:hAnsi="仿宋_GB2312" w:cs="仿宋_GB2312" w:hint="eastAsia"/>
          <w:bCs/>
          <w:sz w:val="28"/>
          <w:szCs w:val="28"/>
        </w:rPr>
        <w:t>5</w:t>
      </w:r>
      <w:r w:rsidRPr="00515730">
        <w:rPr>
          <w:rFonts w:ascii="仿宋_GB2312" w:hAnsi="仿宋_GB2312" w:cs="仿宋_GB2312"/>
          <w:bCs/>
          <w:sz w:val="28"/>
          <w:szCs w:val="28"/>
        </w:rPr>
        <w:t>学时）</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1、本章基本要求</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了解沥青的分类，掌握石油沥青的组成、结构及其对沥青性能的影响；熟练掌握石油沥青的各项技术性质；了解改性石油沥青的原理；掌握防水材料的基本要求和种类；熟练掌握改性沥青防水材料的组成、主要技术性能及应用；了解其他防水材料的基本性质和应用；了解绝热材料、吸声材料的作用原理及其基本要求和选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2、本章教学内容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（1）</w:t>
      </w:r>
      <w:r w:rsidRPr="00515730">
        <w:rPr>
          <w:rFonts w:ascii="仿宋_GB2312" w:hAnsi="仿宋_GB2312" w:cs="仿宋_GB2312" w:hint="eastAsia"/>
          <w:bCs/>
          <w:sz w:val="28"/>
          <w:szCs w:val="28"/>
        </w:rPr>
        <w:t>沥青</w:t>
      </w:r>
      <w:r w:rsidRPr="00515730">
        <w:rPr>
          <w:rFonts w:ascii="仿宋_GB2312" w:hAnsi="仿宋_GB2312" w:cs="仿宋_GB2312"/>
          <w:bCs/>
          <w:sz w:val="28"/>
          <w:szCs w:val="28"/>
        </w:rPr>
        <w:t>的组成结构和技术性质。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（2）</w:t>
      </w:r>
      <w:r w:rsidRPr="00515730">
        <w:rPr>
          <w:rFonts w:ascii="仿宋_GB2312" w:hAnsi="仿宋_GB2312" w:cs="仿宋_GB2312" w:hint="eastAsia"/>
          <w:bCs/>
          <w:sz w:val="28"/>
          <w:szCs w:val="28"/>
        </w:rPr>
        <w:t>防水材料</w:t>
      </w:r>
      <w:r w:rsidRPr="00515730">
        <w:rPr>
          <w:rFonts w:ascii="仿宋_GB2312" w:hAnsi="仿宋_GB2312" w:cs="仿宋_GB2312"/>
          <w:bCs/>
          <w:sz w:val="28"/>
          <w:szCs w:val="28"/>
        </w:rPr>
        <w:t>的分类及技术性质。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（3）</w:t>
      </w:r>
      <w:r w:rsidRPr="00515730">
        <w:rPr>
          <w:rFonts w:ascii="仿宋_GB2312" w:hAnsi="仿宋_GB2312" w:cs="仿宋_GB2312" w:hint="eastAsia"/>
          <w:bCs/>
          <w:sz w:val="28"/>
          <w:szCs w:val="28"/>
        </w:rPr>
        <w:t>吸声、</w:t>
      </w:r>
      <w:r w:rsidRPr="00515730">
        <w:rPr>
          <w:rFonts w:ascii="仿宋_GB2312" w:hAnsi="仿宋_GB2312" w:cs="仿宋_GB2312"/>
          <w:bCs/>
          <w:sz w:val="28"/>
          <w:szCs w:val="28"/>
        </w:rPr>
        <w:t>隔声</w:t>
      </w:r>
      <w:r w:rsidRPr="00515730">
        <w:rPr>
          <w:rFonts w:ascii="仿宋_GB2312" w:hAnsi="仿宋_GB2312" w:cs="仿宋_GB2312" w:hint="eastAsia"/>
          <w:bCs/>
          <w:sz w:val="28"/>
          <w:szCs w:val="28"/>
        </w:rPr>
        <w:t>、</w:t>
      </w:r>
      <w:r w:rsidRPr="00515730">
        <w:rPr>
          <w:rFonts w:ascii="仿宋_GB2312" w:hAnsi="仿宋_GB2312" w:cs="仿宋_GB2312"/>
          <w:bCs/>
          <w:sz w:val="28"/>
          <w:szCs w:val="28"/>
        </w:rPr>
        <w:t>绝热材料的原理及应用。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3、本章的重点和难点</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重点：常用</w:t>
      </w:r>
      <w:r w:rsidRPr="00515730">
        <w:rPr>
          <w:rFonts w:ascii="仿宋_GB2312" w:hAnsi="仿宋_GB2312" w:cs="仿宋_GB2312" w:hint="eastAsia"/>
          <w:bCs/>
          <w:sz w:val="28"/>
          <w:szCs w:val="28"/>
        </w:rPr>
        <w:t>防水材料</w:t>
      </w:r>
      <w:r w:rsidRPr="00515730">
        <w:rPr>
          <w:rFonts w:ascii="仿宋_GB2312" w:hAnsi="仿宋_GB2312" w:cs="仿宋_GB2312"/>
          <w:bCs/>
          <w:sz w:val="28"/>
          <w:szCs w:val="28"/>
        </w:rPr>
        <w:t>的技术性质及应用。</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难点：防水材料的技术指标及选用方法。</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4、对毕业要求的支撑</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本章知识点的讲授和学习，可支撑“指标点1.3 掌握相关工程基础知识，具备应用相关知识推演、分析土木工程专业复杂工程问题的专业基础能力”、“指标点2.3 能够正确、合理运用专业知识，识别、判断和表达土木工程专业复杂工程问题的本质特征、关键环节，并能提供多种解决方案”和“指标点7.2 能够从环境保护和社会可持续发展的角度思考土木工程专业工程实践的可持续性，评价其可能对人类和环境造成的损害和隐患，践行绿色环保理念”。</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lastRenderedPageBreak/>
        <w:t>5、课程思政育人要素</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根据含水率对保温隔热材料性能的影响规律及机理解释我国南北气候差异导致的冬季体感温度的差别</w:t>
      </w:r>
      <w:r w:rsidRPr="00515730">
        <w:rPr>
          <w:rFonts w:ascii="仿宋_GB2312" w:hAnsi="仿宋_GB2312" w:cs="仿宋_GB2312" w:hint="eastAsia"/>
          <w:bCs/>
          <w:sz w:val="28"/>
          <w:szCs w:val="28"/>
        </w:rPr>
        <w:t>，</w:t>
      </w:r>
      <w:r w:rsidRPr="00515730">
        <w:rPr>
          <w:rFonts w:ascii="仿宋_GB2312" w:hAnsi="仿宋_GB2312" w:cs="仿宋_GB2312"/>
          <w:bCs/>
          <w:sz w:val="28"/>
          <w:szCs w:val="28"/>
        </w:rPr>
        <w:t>教育学生要把课本上的知识学以致用</w:t>
      </w:r>
      <w:r w:rsidRPr="00515730">
        <w:rPr>
          <w:rFonts w:ascii="仿宋_GB2312" w:hAnsi="仿宋_GB2312" w:cs="仿宋_GB2312" w:hint="eastAsia"/>
          <w:bCs/>
          <w:sz w:val="28"/>
          <w:szCs w:val="28"/>
        </w:rPr>
        <w:t>，</w:t>
      </w:r>
      <w:r w:rsidRPr="00515730">
        <w:rPr>
          <w:rFonts w:ascii="仿宋_GB2312" w:hAnsi="仿宋_GB2312" w:cs="仿宋_GB2312"/>
          <w:bCs/>
          <w:sz w:val="28"/>
          <w:szCs w:val="28"/>
        </w:rPr>
        <w:t>才能深入领会</w:t>
      </w:r>
      <w:r w:rsidRPr="00515730">
        <w:rPr>
          <w:rFonts w:ascii="仿宋_GB2312" w:hAnsi="仿宋_GB2312" w:cs="仿宋_GB2312" w:hint="eastAsia"/>
          <w:bCs/>
          <w:sz w:val="28"/>
          <w:szCs w:val="28"/>
        </w:rPr>
        <w:t>，</w:t>
      </w:r>
      <w:r w:rsidRPr="00515730">
        <w:rPr>
          <w:rFonts w:ascii="仿宋_GB2312" w:hAnsi="仿宋_GB2312" w:cs="仿宋_GB2312"/>
          <w:bCs/>
          <w:sz w:val="28"/>
          <w:szCs w:val="28"/>
        </w:rPr>
        <w:t>融会贯通</w:t>
      </w:r>
      <w:r w:rsidRPr="00515730">
        <w:rPr>
          <w:rFonts w:ascii="仿宋_GB2312" w:hAnsi="仿宋_GB2312" w:cs="仿宋_GB2312" w:hint="eastAsia"/>
          <w:bCs/>
          <w:sz w:val="28"/>
          <w:szCs w:val="28"/>
        </w:rPr>
        <w:t>。</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hint="eastAsia"/>
          <w:bCs/>
          <w:sz w:val="28"/>
          <w:szCs w:val="28"/>
        </w:rPr>
        <w:t>6</w:t>
      </w:r>
      <w:r w:rsidRPr="00515730">
        <w:rPr>
          <w:rFonts w:ascii="仿宋_GB2312" w:hAnsi="仿宋_GB2312" w:cs="仿宋_GB2312"/>
          <w:bCs/>
          <w:sz w:val="28"/>
          <w:szCs w:val="28"/>
        </w:rPr>
        <w:t>、作业</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教材P</w:t>
      </w:r>
      <w:r w:rsidRPr="00515730">
        <w:rPr>
          <w:rFonts w:ascii="仿宋_GB2312" w:hAnsi="仿宋_GB2312" w:cs="仿宋_GB2312" w:hint="eastAsia"/>
          <w:bCs/>
          <w:sz w:val="28"/>
          <w:szCs w:val="28"/>
        </w:rPr>
        <w:t>20</w:t>
      </w:r>
      <w:r w:rsidRPr="00515730">
        <w:rPr>
          <w:rFonts w:ascii="仿宋_GB2312" w:hAnsi="仿宋_GB2312" w:cs="仿宋_GB2312"/>
          <w:bCs/>
          <w:sz w:val="28"/>
          <w:szCs w:val="28"/>
        </w:rPr>
        <w:t>7第</w:t>
      </w:r>
      <w:r w:rsidRPr="00515730">
        <w:rPr>
          <w:rFonts w:ascii="仿宋_GB2312" w:hAnsi="仿宋_GB2312" w:cs="仿宋_GB2312" w:hint="eastAsia"/>
          <w:bCs/>
          <w:sz w:val="28"/>
          <w:szCs w:val="28"/>
        </w:rPr>
        <w:t>7</w:t>
      </w:r>
      <w:r w:rsidRPr="00515730">
        <w:rPr>
          <w:rFonts w:ascii="仿宋_GB2312" w:hAnsi="仿宋_GB2312" w:cs="仿宋_GB2312"/>
          <w:bCs/>
          <w:sz w:val="28"/>
          <w:szCs w:val="28"/>
        </w:rPr>
        <w:t>.1</w:t>
      </w:r>
      <w:r w:rsidRPr="00515730">
        <w:rPr>
          <w:rFonts w:ascii="仿宋_GB2312" w:hAnsi="仿宋_GB2312" w:cs="仿宋_GB2312" w:hint="eastAsia"/>
          <w:bCs/>
          <w:sz w:val="28"/>
          <w:szCs w:val="28"/>
        </w:rPr>
        <w:t>、7</w:t>
      </w:r>
      <w:r w:rsidRPr="00515730">
        <w:rPr>
          <w:rFonts w:ascii="仿宋_GB2312" w:hAnsi="仿宋_GB2312" w:cs="仿宋_GB2312"/>
          <w:bCs/>
          <w:sz w:val="28"/>
          <w:szCs w:val="28"/>
        </w:rPr>
        <w:t>.4-7.5题</w:t>
      </w:r>
      <w:r w:rsidRPr="00515730">
        <w:rPr>
          <w:rFonts w:ascii="仿宋_GB2312" w:hAnsi="仿宋_GB2312" w:cs="仿宋_GB2312" w:hint="eastAsia"/>
          <w:bCs/>
          <w:sz w:val="28"/>
          <w:szCs w:val="28"/>
        </w:rPr>
        <w:t>，</w:t>
      </w:r>
      <w:r w:rsidRPr="00515730">
        <w:rPr>
          <w:rFonts w:ascii="仿宋_GB2312" w:hAnsi="仿宋_GB2312" w:cs="仿宋_GB2312"/>
          <w:bCs/>
          <w:sz w:val="28"/>
          <w:szCs w:val="28"/>
        </w:rPr>
        <w:t>P</w:t>
      </w:r>
      <w:r w:rsidRPr="00515730">
        <w:rPr>
          <w:rFonts w:ascii="仿宋_GB2312" w:hAnsi="仿宋_GB2312" w:cs="仿宋_GB2312" w:hint="eastAsia"/>
          <w:bCs/>
          <w:sz w:val="28"/>
          <w:szCs w:val="28"/>
        </w:rPr>
        <w:t>2</w:t>
      </w:r>
      <w:r w:rsidRPr="00515730">
        <w:rPr>
          <w:rFonts w:ascii="仿宋_GB2312" w:hAnsi="仿宋_GB2312" w:cs="仿宋_GB2312"/>
          <w:bCs/>
          <w:sz w:val="28"/>
          <w:szCs w:val="28"/>
        </w:rPr>
        <w:t>71第</w:t>
      </w:r>
      <w:r w:rsidRPr="00515730">
        <w:rPr>
          <w:rFonts w:ascii="仿宋_GB2312" w:hAnsi="仿宋_GB2312" w:cs="仿宋_GB2312" w:hint="eastAsia"/>
          <w:bCs/>
          <w:sz w:val="28"/>
          <w:szCs w:val="28"/>
        </w:rPr>
        <w:t>1</w:t>
      </w:r>
      <w:r w:rsidRPr="00515730">
        <w:rPr>
          <w:rFonts w:ascii="仿宋_GB2312" w:hAnsi="仿宋_GB2312" w:cs="仿宋_GB2312"/>
          <w:bCs/>
          <w:sz w:val="28"/>
          <w:szCs w:val="28"/>
        </w:rPr>
        <w:t>0.1-10.2题</w:t>
      </w:r>
      <w:r w:rsidRPr="00515730">
        <w:rPr>
          <w:rFonts w:ascii="仿宋_GB2312" w:hAnsi="仿宋_GB2312" w:cs="仿宋_GB2312" w:hint="eastAsia"/>
          <w:bCs/>
          <w:sz w:val="28"/>
          <w:szCs w:val="28"/>
        </w:rPr>
        <w:t>，</w:t>
      </w:r>
      <w:r w:rsidRPr="00515730">
        <w:rPr>
          <w:rFonts w:ascii="仿宋_GB2312" w:hAnsi="仿宋_GB2312" w:cs="仿宋_GB2312"/>
          <w:bCs/>
          <w:sz w:val="28"/>
          <w:szCs w:val="28"/>
        </w:rPr>
        <w:t>P</w:t>
      </w:r>
      <w:r w:rsidRPr="00515730">
        <w:rPr>
          <w:rFonts w:ascii="仿宋_GB2312" w:hAnsi="仿宋_GB2312" w:cs="仿宋_GB2312" w:hint="eastAsia"/>
          <w:bCs/>
          <w:sz w:val="28"/>
          <w:szCs w:val="28"/>
        </w:rPr>
        <w:t>2</w:t>
      </w:r>
      <w:r w:rsidRPr="00515730">
        <w:rPr>
          <w:rFonts w:ascii="仿宋_GB2312" w:hAnsi="仿宋_GB2312" w:cs="仿宋_GB2312"/>
          <w:bCs/>
          <w:sz w:val="28"/>
          <w:szCs w:val="28"/>
        </w:rPr>
        <w:t>72第</w:t>
      </w:r>
      <w:r w:rsidRPr="00515730">
        <w:rPr>
          <w:rFonts w:ascii="仿宋_GB2312" w:hAnsi="仿宋_GB2312" w:cs="仿宋_GB2312" w:hint="eastAsia"/>
          <w:bCs/>
          <w:sz w:val="28"/>
          <w:szCs w:val="28"/>
        </w:rPr>
        <w:t>1</w:t>
      </w:r>
      <w:r w:rsidRPr="00515730">
        <w:rPr>
          <w:rFonts w:ascii="仿宋_GB2312" w:hAnsi="仿宋_GB2312" w:cs="仿宋_GB2312"/>
          <w:bCs/>
          <w:sz w:val="28"/>
          <w:szCs w:val="28"/>
        </w:rPr>
        <w:t>0.7</w:t>
      </w:r>
      <w:r w:rsidRPr="00515730">
        <w:rPr>
          <w:rFonts w:ascii="仿宋_GB2312" w:hAnsi="仿宋_GB2312" w:cs="仿宋_GB2312" w:hint="eastAsia"/>
          <w:bCs/>
          <w:sz w:val="28"/>
          <w:szCs w:val="28"/>
        </w:rPr>
        <w:t>、1</w:t>
      </w:r>
      <w:r w:rsidRPr="00515730">
        <w:rPr>
          <w:rFonts w:ascii="仿宋_GB2312" w:hAnsi="仿宋_GB2312" w:cs="仿宋_GB2312"/>
          <w:bCs/>
          <w:sz w:val="28"/>
          <w:szCs w:val="28"/>
        </w:rPr>
        <w:t>0.10</w:t>
      </w:r>
      <w:r w:rsidRPr="00515730">
        <w:rPr>
          <w:rFonts w:ascii="仿宋_GB2312" w:hAnsi="仿宋_GB2312" w:cs="仿宋_GB2312" w:hint="eastAsia"/>
          <w:bCs/>
          <w:sz w:val="28"/>
          <w:szCs w:val="28"/>
        </w:rPr>
        <w:t>、1</w:t>
      </w:r>
      <w:r w:rsidRPr="00515730">
        <w:rPr>
          <w:rFonts w:ascii="仿宋_GB2312" w:hAnsi="仿宋_GB2312" w:cs="仿宋_GB2312"/>
          <w:bCs/>
          <w:sz w:val="28"/>
          <w:szCs w:val="28"/>
        </w:rPr>
        <w:t>0.12题。</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备注：课内实验内容及要求具体见《</w:t>
      </w:r>
      <w:r w:rsidRPr="00515730">
        <w:rPr>
          <w:rFonts w:ascii="仿宋_GB2312" w:hAnsi="仿宋_GB2312" w:cs="仿宋_GB2312" w:hint="eastAsia"/>
          <w:bCs/>
          <w:sz w:val="28"/>
          <w:szCs w:val="28"/>
        </w:rPr>
        <w:t>土木工程材料</w:t>
      </w:r>
      <w:r w:rsidRPr="00515730">
        <w:rPr>
          <w:rFonts w:ascii="仿宋_GB2312" w:hAnsi="仿宋_GB2312" w:cs="仿宋_GB2312"/>
          <w:bCs/>
          <w:sz w:val="28"/>
          <w:szCs w:val="28"/>
        </w:rPr>
        <w:t>实验》教学大纲。</w:t>
      </w:r>
    </w:p>
    <w:p w:rsidR="00876C31" w:rsidRPr="00515730" w:rsidRDefault="00876C31" w:rsidP="00515730">
      <w:pPr>
        <w:spacing w:beforeLines="50" w:before="156" w:afterLines="50" w:after="156" w:line="560" w:lineRule="exact"/>
        <w:rPr>
          <w:rFonts w:ascii="黑体" w:eastAsia="黑体" w:hAnsi="黑体"/>
          <w:b/>
          <w:sz w:val="28"/>
          <w:szCs w:val="28"/>
        </w:rPr>
      </w:pPr>
      <w:r w:rsidRPr="00515730">
        <w:rPr>
          <w:rFonts w:ascii="黑体" w:eastAsia="黑体" w:hAnsi="黑体"/>
          <w:b/>
          <w:sz w:val="28"/>
          <w:szCs w:val="28"/>
        </w:rPr>
        <w:t>五、教学方法</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课程教学采用传统教学和多媒体相结合的方式，以课堂讲授为主，通过课内实验、平时作业及随堂测验等多环节训练和督促检查，巩固学习成果。本课程安排</w:t>
      </w:r>
      <w:r w:rsidRPr="00515730">
        <w:rPr>
          <w:rFonts w:ascii="仿宋_GB2312" w:hAnsi="仿宋_GB2312" w:cs="仿宋_GB2312" w:hint="eastAsia"/>
          <w:bCs/>
          <w:sz w:val="28"/>
          <w:szCs w:val="28"/>
        </w:rPr>
        <w:t>6</w:t>
      </w:r>
      <w:r w:rsidRPr="00515730">
        <w:rPr>
          <w:rFonts w:ascii="仿宋_GB2312" w:hAnsi="仿宋_GB2312" w:cs="仿宋_GB2312"/>
          <w:bCs/>
          <w:sz w:val="28"/>
          <w:szCs w:val="28"/>
        </w:rPr>
        <w:t>次课内实验，</w:t>
      </w:r>
      <w:r w:rsidRPr="00515730">
        <w:rPr>
          <w:rFonts w:ascii="仿宋_GB2312" w:hAnsi="仿宋_GB2312" w:cs="仿宋_GB2312" w:hint="eastAsia"/>
          <w:bCs/>
          <w:sz w:val="28"/>
          <w:szCs w:val="28"/>
        </w:rPr>
        <w:t>7</w:t>
      </w:r>
      <w:r w:rsidRPr="00515730">
        <w:rPr>
          <w:rFonts w:ascii="仿宋_GB2312" w:hAnsi="仿宋_GB2312" w:cs="仿宋_GB2312"/>
          <w:bCs/>
          <w:sz w:val="28"/>
          <w:szCs w:val="28"/>
        </w:rPr>
        <w:t>次平时作业，3次随堂测验。</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实验教学包含</w:t>
      </w:r>
      <w:r w:rsidRPr="00515730">
        <w:rPr>
          <w:rFonts w:ascii="仿宋_GB2312" w:hAnsi="仿宋_GB2312" w:cs="仿宋_GB2312" w:hint="eastAsia"/>
          <w:bCs/>
          <w:sz w:val="28"/>
          <w:szCs w:val="28"/>
        </w:rPr>
        <w:t>6</w:t>
      </w:r>
      <w:r w:rsidRPr="00515730">
        <w:rPr>
          <w:rFonts w:ascii="仿宋_GB2312" w:hAnsi="仿宋_GB2312" w:cs="仿宋_GB2312"/>
          <w:bCs/>
          <w:sz w:val="28"/>
          <w:szCs w:val="28"/>
        </w:rPr>
        <w:t>次课内实验，即水泥物理性质测定实验</w:t>
      </w:r>
      <w:r w:rsidRPr="00515730">
        <w:rPr>
          <w:rFonts w:ascii="仿宋_GB2312" w:hAnsi="仿宋_GB2312" w:cs="仿宋_GB2312" w:hint="eastAsia"/>
          <w:bCs/>
          <w:sz w:val="28"/>
          <w:szCs w:val="28"/>
        </w:rPr>
        <w:t>、水泥强度等级测定实验、混凝土用骨料实验、混凝土拌合物实验、混凝土抗压强度测定实验、建筑砂浆实验、建筑防水材料实验</w:t>
      </w:r>
      <w:r w:rsidRPr="00515730">
        <w:rPr>
          <w:rFonts w:ascii="仿宋_GB2312" w:hAnsi="仿宋_GB2312" w:cs="仿宋_GB2312"/>
          <w:bCs/>
          <w:sz w:val="28"/>
          <w:szCs w:val="28"/>
        </w:rPr>
        <w:t>。</w:t>
      </w:r>
      <w:r w:rsidRPr="00515730">
        <w:rPr>
          <w:rFonts w:ascii="仿宋_GB2312" w:hAnsi="仿宋_GB2312" w:cs="仿宋_GB2312" w:hint="eastAsia"/>
          <w:bCs/>
          <w:sz w:val="28"/>
          <w:szCs w:val="28"/>
        </w:rPr>
        <w:t>7</w:t>
      </w:r>
      <w:r w:rsidRPr="00515730">
        <w:rPr>
          <w:rFonts w:ascii="仿宋_GB2312" w:hAnsi="仿宋_GB2312" w:cs="仿宋_GB2312"/>
          <w:bCs/>
          <w:sz w:val="28"/>
          <w:szCs w:val="28"/>
        </w:rPr>
        <w:t>次实验全部为分组实验，并按6-8人分组实施，小组成员分工协作，共同完成实验设备的操作、数据的采集与记录、数据的分析。</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本课程采用的教学方法与课程目标的对应关系如下：</w:t>
      </w:r>
    </w:p>
    <w:tbl>
      <w:tblPr>
        <w:tblW w:w="4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3061"/>
        <w:gridCol w:w="2227"/>
      </w:tblGrid>
      <w:tr w:rsidR="00876C31" w:rsidRPr="00515730" w:rsidTr="00BE5664">
        <w:trPr>
          <w:jc w:val="center"/>
        </w:trPr>
        <w:tc>
          <w:tcPr>
            <w:tcW w:w="138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2"/>
              <w:rPr>
                <w:rFonts w:ascii="仿宋_GB2312" w:hAnsi="仿宋_GB2312" w:cs="仿宋_GB2312"/>
                <w:b/>
                <w:bCs/>
                <w:sz w:val="24"/>
                <w:szCs w:val="24"/>
              </w:rPr>
            </w:pPr>
            <w:r w:rsidRPr="00515730">
              <w:rPr>
                <w:rFonts w:ascii="仿宋_GB2312" w:hAnsi="仿宋_GB2312" w:cs="仿宋_GB2312"/>
                <w:b/>
                <w:bCs/>
                <w:sz w:val="24"/>
                <w:szCs w:val="24"/>
              </w:rPr>
              <w:t>教学方法</w:t>
            </w:r>
          </w:p>
        </w:tc>
        <w:tc>
          <w:tcPr>
            <w:tcW w:w="209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2"/>
              <w:rPr>
                <w:rFonts w:ascii="仿宋_GB2312" w:hAnsi="仿宋_GB2312" w:cs="仿宋_GB2312"/>
                <w:b/>
                <w:bCs/>
                <w:sz w:val="24"/>
                <w:szCs w:val="24"/>
              </w:rPr>
            </w:pPr>
            <w:r w:rsidRPr="00515730">
              <w:rPr>
                <w:rFonts w:ascii="仿宋_GB2312" w:hAnsi="仿宋_GB2312" w:cs="仿宋_GB2312"/>
                <w:b/>
                <w:bCs/>
                <w:sz w:val="24"/>
                <w:szCs w:val="24"/>
              </w:rPr>
              <w:t>具体实施方式</w:t>
            </w:r>
          </w:p>
        </w:tc>
        <w:tc>
          <w:tcPr>
            <w:tcW w:w="152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2"/>
              <w:rPr>
                <w:rFonts w:ascii="仿宋_GB2312" w:hAnsi="仿宋_GB2312" w:cs="仿宋_GB2312"/>
                <w:b/>
                <w:bCs/>
                <w:sz w:val="24"/>
                <w:szCs w:val="24"/>
              </w:rPr>
            </w:pPr>
            <w:r w:rsidRPr="00515730">
              <w:rPr>
                <w:rFonts w:ascii="仿宋_GB2312" w:hAnsi="仿宋_GB2312" w:cs="仿宋_GB2312"/>
                <w:b/>
                <w:bCs/>
                <w:sz w:val="24"/>
                <w:szCs w:val="24"/>
              </w:rPr>
              <w:t>教学目标</w:t>
            </w:r>
          </w:p>
        </w:tc>
      </w:tr>
      <w:tr w:rsidR="00876C31" w:rsidRPr="00515730" w:rsidTr="00BE5664">
        <w:trPr>
          <w:jc w:val="center"/>
        </w:trPr>
        <w:tc>
          <w:tcPr>
            <w:tcW w:w="138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课堂讲授</w:t>
            </w:r>
          </w:p>
        </w:tc>
        <w:tc>
          <w:tcPr>
            <w:tcW w:w="209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传统教学和多媒体相结合</w:t>
            </w:r>
          </w:p>
        </w:tc>
        <w:tc>
          <w:tcPr>
            <w:tcW w:w="152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hint="eastAsia"/>
                <w:bCs/>
                <w:sz w:val="24"/>
                <w:szCs w:val="24"/>
              </w:rPr>
              <w:t>（1）</w:t>
            </w:r>
            <w:r w:rsidRPr="00515730">
              <w:rPr>
                <w:rFonts w:ascii="仿宋_GB2312" w:hAnsi="仿宋_GB2312" w:cs="仿宋_GB2312"/>
                <w:bCs/>
                <w:sz w:val="24"/>
                <w:szCs w:val="24"/>
              </w:rPr>
              <w:t>（2）</w:t>
            </w:r>
            <w:r w:rsidRPr="00515730">
              <w:rPr>
                <w:rFonts w:ascii="仿宋_GB2312" w:hAnsi="仿宋_GB2312" w:cs="仿宋_GB2312" w:hint="eastAsia"/>
                <w:bCs/>
                <w:sz w:val="24"/>
                <w:szCs w:val="24"/>
              </w:rPr>
              <w:t>（3）（4）（5）</w:t>
            </w:r>
          </w:p>
        </w:tc>
      </w:tr>
      <w:tr w:rsidR="00876C31" w:rsidRPr="00515730" w:rsidTr="00BE5664">
        <w:trPr>
          <w:jc w:val="center"/>
        </w:trPr>
        <w:tc>
          <w:tcPr>
            <w:tcW w:w="1381" w:type="pct"/>
            <w:vMerge w:val="restart"/>
            <w:tcBorders>
              <w:top w:val="single" w:sz="4" w:space="0" w:color="auto"/>
              <w:left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lastRenderedPageBreak/>
              <w:t>课内实验</w:t>
            </w:r>
          </w:p>
        </w:tc>
        <w:tc>
          <w:tcPr>
            <w:tcW w:w="209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水泥物理性质测定实验</w:t>
            </w:r>
          </w:p>
        </w:tc>
        <w:tc>
          <w:tcPr>
            <w:tcW w:w="152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（1）</w:t>
            </w:r>
            <w:r w:rsidRPr="00515730">
              <w:rPr>
                <w:rFonts w:ascii="仿宋_GB2312" w:hAnsi="仿宋_GB2312" w:cs="仿宋_GB2312" w:hint="eastAsia"/>
                <w:bCs/>
                <w:sz w:val="24"/>
                <w:szCs w:val="24"/>
              </w:rPr>
              <w:t>（3）（5）</w:t>
            </w:r>
          </w:p>
        </w:tc>
      </w:tr>
      <w:tr w:rsidR="00876C31" w:rsidRPr="00515730" w:rsidTr="00BE5664">
        <w:trPr>
          <w:jc w:val="center"/>
        </w:trPr>
        <w:tc>
          <w:tcPr>
            <w:tcW w:w="1381" w:type="pct"/>
            <w:vMerge/>
            <w:tcBorders>
              <w:left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p>
        </w:tc>
        <w:tc>
          <w:tcPr>
            <w:tcW w:w="209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hint="eastAsia"/>
                <w:bCs/>
                <w:sz w:val="24"/>
                <w:szCs w:val="24"/>
              </w:rPr>
              <w:t>水泥强度等级测定实验</w:t>
            </w:r>
          </w:p>
        </w:tc>
        <w:tc>
          <w:tcPr>
            <w:tcW w:w="152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（1）</w:t>
            </w:r>
            <w:r w:rsidRPr="00515730">
              <w:rPr>
                <w:rFonts w:ascii="仿宋_GB2312" w:hAnsi="仿宋_GB2312" w:cs="仿宋_GB2312" w:hint="eastAsia"/>
                <w:bCs/>
                <w:sz w:val="24"/>
                <w:szCs w:val="24"/>
              </w:rPr>
              <w:t>（3）（5）</w:t>
            </w:r>
          </w:p>
        </w:tc>
      </w:tr>
      <w:tr w:rsidR="00876C31" w:rsidRPr="00515730" w:rsidTr="00BE5664">
        <w:trPr>
          <w:jc w:val="center"/>
        </w:trPr>
        <w:tc>
          <w:tcPr>
            <w:tcW w:w="1381" w:type="pct"/>
            <w:vMerge/>
            <w:tcBorders>
              <w:left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p>
        </w:tc>
        <w:tc>
          <w:tcPr>
            <w:tcW w:w="209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hint="eastAsia"/>
                <w:bCs/>
                <w:sz w:val="24"/>
                <w:szCs w:val="24"/>
              </w:rPr>
              <w:t>混凝土用骨料实验</w:t>
            </w:r>
          </w:p>
        </w:tc>
        <w:tc>
          <w:tcPr>
            <w:tcW w:w="152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（1）</w:t>
            </w:r>
            <w:r w:rsidRPr="00515730">
              <w:rPr>
                <w:rFonts w:ascii="仿宋_GB2312" w:hAnsi="仿宋_GB2312" w:cs="仿宋_GB2312" w:hint="eastAsia"/>
                <w:bCs/>
                <w:sz w:val="24"/>
                <w:szCs w:val="24"/>
              </w:rPr>
              <w:t>（3）（5）</w:t>
            </w:r>
          </w:p>
        </w:tc>
      </w:tr>
      <w:tr w:rsidR="00876C31" w:rsidRPr="00515730" w:rsidTr="00BE5664">
        <w:trPr>
          <w:jc w:val="center"/>
        </w:trPr>
        <w:tc>
          <w:tcPr>
            <w:tcW w:w="1381" w:type="pct"/>
            <w:vMerge/>
            <w:tcBorders>
              <w:left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p>
        </w:tc>
        <w:tc>
          <w:tcPr>
            <w:tcW w:w="209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hint="eastAsia"/>
                <w:bCs/>
                <w:sz w:val="24"/>
                <w:szCs w:val="24"/>
              </w:rPr>
              <w:t>混凝土拌合物及混凝土强度等级测定实验</w:t>
            </w:r>
          </w:p>
        </w:tc>
        <w:tc>
          <w:tcPr>
            <w:tcW w:w="152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（1）</w:t>
            </w:r>
            <w:r w:rsidRPr="00515730">
              <w:rPr>
                <w:rFonts w:ascii="仿宋_GB2312" w:hAnsi="仿宋_GB2312" w:cs="仿宋_GB2312" w:hint="eastAsia"/>
                <w:bCs/>
                <w:sz w:val="24"/>
                <w:szCs w:val="24"/>
              </w:rPr>
              <w:t>（3）（5）</w:t>
            </w:r>
          </w:p>
        </w:tc>
      </w:tr>
      <w:tr w:rsidR="00876C31" w:rsidRPr="00515730" w:rsidTr="00BE5664">
        <w:trPr>
          <w:jc w:val="center"/>
        </w:trPr>
        <w:tc>
          <w:tcPr>
            <w:tcW w:w="1381" w:type="pct"/>
            <w:vMerge/>
            <w:tcBorders>
              <w:left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p>
        </w:tc>
        <w:tc>
          <w:tcPr>
            <w:tcW w:w="209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hint="eastAsia"/>
                <w:bCs/>
                <w:sz w:val="24"/>
                <w:szCs w:val="24"/>
              </w:rPr>
              <w:t>建筑砂浆实验</w:t>
            </w:r>
          </w:p>
        </w:tc>
        <w:tc>
          <w:tcPr>
            <w:tcW w:w="152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（1）</w:t>
            </w:r>
            <w:r w:rsidRPr="00515730">
              <w:rPr>
                <w:rFonts w:ascii="仿宋_GB2312" w:hAnsi="仿宋_GB2312" w:cs="仿宋_GB2312" w:hint="eastAsia"/>
                <w:bCs/>
                <w:sz w:val="24"/>
                <w:szCs w:val="24"/>
              </w:rPr>
              <w:t>（3）（5）</w:t>
            </w:r>
          </w:p>
        </w:tc>
      </w:tr>
      <w:tr w:rsidR="00876C31" w:rsidRPr="00515730" w:rsidTr="00BE5664">
        <w:trPr>
          <w:jc w:val="center"/>
        </w:trPr>
        <w:tc>
          <w:tcPr>
            <w:tcW w:w="1381" w:type="pct"/>
            <w:vMerge/>
            <w:tcBorders>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p>
        </w:tc>
        <w:tc>
          <w:tcPr>
            <w:tcW w:w="209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hint="eastAsia"/>
                <w:bCs/>
                <w:sz w:val="24"/>
                <w:szCs w:val="24"/>
              </w:rPr>
              <w:t>建筑防水材料实验</w:t>
            </w:r>
          </w:p>
        </w:tc>
        <w:tc>
          <w:tcPr>
            <w:tcW w:w="152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（1）</w:t>
            </w:r>
            <w:r w:rsidRPr="00515730">
              <w:rPr>
                <w:rFonts w:ascii="仿宋_GB2312" w:hAnsi="仿宋_GB2312" w:cs="仿宋_GB2312" w:hint="eastAsia"/>
                <w:bCs/>
                <w:sz w:val="24"/>
                <w:szCs w:val="24"/>
              </w:rPr>
              <w:t>（3）（5）</w:t>
            </w:r>
          </w:p>
        </w:tc>
      </w:tr>
      <w:tr w:rsidR="00876C31" w:rsidRPr="00515730" w:rsidTr="00BE5664">
        <w:trPr>
          <w:jc w:val="center"/>
        </w:trPr>
        <w:tc>
          <w:tcPr>
            <w:tcW w:w="1381" w:type="pct"/>
            <w:vMerge w:val="restar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平时作业</w:t>
            </w:r>
          </w:p>
        </w:tc>
        <w:tc>
          <w:tcPr>
            <w:tcW w:w="209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概念与原理题</w:t>
            </w:r>
          </w:p>
        </w:tc>
        <w:tc>
          <w:tcPr>
            <w:tcW w:w="152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hint="eastAsia"/>
                <w:bCs/>
                <w:sz w:val="24"/>
                <w:szCs w:val="24"/>
              </w:rPr>
              <w:t>（1）</w:t>
            </w:r>
            <w:r w:rsidRPr="00515730">
              <w:rPr>
                <w:rFonts w:ascii="仿宋_GB2312" w:hAnsi="仿宋_GB2312" w:cs="仿宋_GB2312"/>
                <w:bCs/>
                <w:sz w:val="24"/>
                <w:szCs w:val="24"/>
              </w:rPr>
              <w:t>（2）</w:t>
            </w:r>
            <w:r w:rsidRPr="00515730">
              <w:rPr>
                <w:rFonts w:ascii="仿宋_GB2312" w:hAnsi="仿宋_GB2312" w:cs="仿宋_GB2312" w:hint="eastAsia"/>
                <w:bCs/>
                <w:sz w:val="24"/>
                <w:szCs w:val="24"/>
              </w:rPr>
              <w:t>（3）（4）</w:t>
            </w:r>
          </w:p>
        </w:tc>
      </w:tr>
      <w:tr w:rsidR="00876C31" w:rsidRPr="00515730" w:rsidTr="00BE5664">
        <w:trPr>
          <w:jc w:val="center"/>
        </w:trPr>
        <w:tc>
          <w:tcPr>
            <w:tcW w:w="1381" w:type="pct"/>
            <w:vMerge/>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p>
        </w:tc>
        <w:tc>
          <w:tcPr>
            <w:tcW w:w="209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计算题</w:t>
            </w:r>
          </w:p>
        </w:tc>
        <w:tc>
          <w:tcPr>
            <w:tcW w:w="152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（1）</w:t>
            </w:r>
            <w:r w:rsidRPr="00515730">
              <w:rPr>
                <w:rFonts w:ascii="仿宋_GB2312" w:hAnsi="仿宋_GB2312" w:cs="仿宋_GB2312" w:hint="eastAsia"/>
                <w:bCs/>
                <w:sz w:val="24"/>
                <w:szCs w:val="24"/>
              </w:rPr>
              <w:t>（3）</w:t>
            </w:r>
          </w:p>
        </w:tc>
      </w:tr>
      <w:tr w:rsidR="00876C31" w:rsidRPr="00515730" w:rsidTr="00BE5664">
        <w:trPr>
          <w:jc w:val="center"/>
        </w:trPr>
        <w:tc>
          <w:tcPr>
            <w:tcW w:w="138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随堂测验</w:t>
            </w:r>
          </w:p>
        </w:tc>
        <w:tc>
          <w:tcPr>
            <w:tcW w:w="209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bCs/>
                <w:sz w:val="24"/>
                <w:szCs w:val="24"/>
              </w:rPr>
              <w:t>概念与原理题</w:t>
            </w:r>
          </w:p>
        </w:tc>
        <w:tc>
          <w:tcPr>
            <w:tcW w:w="1524"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ind w:firstLineChars="200" w:firstLine="480"/>
              <w:rPr>
                <w:rFonts w:ascii="仿宋_GB2312" w:hAnsi="仿宋_GB2312" w:cs="仿宋_GB2312"/>
                <w:bCs/>
                <w:sz w:val="24"/>
                <w:szCs w:val="24"/>
              </w:rPr>
            </w:pPr>
            <w:r w:rsidRPr="00515730">
              <w:rPr>
                <w:rFonts w:ascii="仿宋_GB2312" w:hAnsi="仿宋_GB2312" w:cs="仿宋_GB2312" w:hint="eastAsia"/>
                <w:bCs/>
                <w:sz w:val="24"/>
                <w:szCs w:val="24"/>
              </w:rPr>
              <w:t>（1）</w:t>
            </w:r>
            <w:r w:rsidRPr="00515730">
              <w:rPr>
                <w:rFonts w:ascii="仿宋_GB2312" w:hAnsi="仿宋_GB2312" w:cs="仿宋_GB2312"/>
                <w:bCs/>
                <w:sz w:val="24"/>
                <w:szCs w:val="24"/>
              </w:rPr>
              <w:t>（2）</w:t>
            </w:r>
            <w:r w:rsidRPr="00515730">
              <w:rPr>
                <w:rFonts w:ascii="仿宋_GB2312" w:hAnsi="仿宋_GB2312" w:cs="仿宋_GB2312" w:hint="eastAsia"/>
                <w:bCs/>
                <w:sz w:val="24"/>
                <w:szCs w:val="24"/>
              </w:rPr>
              <w:t>（3）（4）（5）</w:t>
            </w:r>
          </w:p>
        </w:tc>
      </w:tr>
    </w:tbl>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需注意：在课程教学过程中，教师应指导学生进行课外文献阅读。推荐学生能够利用多种手段获取文献，如利用互联网资源、校园网数据库、图书馆资料（期刊、专业文献）等进行课外阅读。</w:t>
      </w:r>
    </w:p>
    <w:p w:rsidR="00876C31" w:rsidRPr="00515730" w:rsidRDefault="00876C31" w:rsidP="00515730">
      <w:pPr>
        <w:spacing w:beforeLines="50" w:before="156" w:afterLines="50" w:after="156" w:line="560" w:lineRule="exact"/>
        <w:rPr>
          <w:rFonts w:ascii="黑体" w:eastAsia="黑体" w:hAnsi="黑体"/>
          <w:b/>
          <w:sz w:val="28"/>
          <w:szCs w:val="28"/>
        </w:rPr>
      </w:pPr>
      <w:r w:rsidRPr="00515730">
        <w:rPr>
          <w:rFonts w:ascii="黑体" w:eastAsia="黑体" w:hAnsi="黑体"/>
          <w:b/>
          <w:sz w:val="28"/>
          <w:szCs w:val="28"/>
        </w:rPr>
        <w:t>六、课程的考核环节及课程目标达成度自评方式</w:t>
      </w:r>
    </w:p>
    <w:p w:rsidR="00876C31" w:rsidRPr="00515730" w:rsidRDefault="00876C31" w:rsidP="00515730">
      <w:pPr>
        <w:tabs>
          <w:tab w:val="right" w:pos="8222"/>
        </w:tabs>
        <w:spacing w:line="360" w:lineRule="auto"/>
        <w:rPr>
          <w:rFonts w:ascii="仿宋_GB2312" w:hAnsi="仿宋_GB2312" w:cs="仿宋_GB2312"/>
          <w:b/>
          <w:bCs/>
          <w:sz w:val="28"/>
          <w:szCs w:val="28"/>
        </w:rPr>
      </w:pPr>
      <w:r w:rsidRPr="00515730">
        <w:rPr>
          <w:rFonts w:ascii="仿宋_GB2312" w:hAnsi="仿宋_GB2312" w:cs="仿宋_GB2312"/>
          <w:b/>
          <w:bCs/>
          <w:sz w:val="28"/>
          <w:szCs w:val="28"/>
        </w:rPr>
        <w:t>（一）课程的考核环节</w:t>
      </w:r>
    </w:p>
    <w:p w:rsidR="00876C31" w:rsidRPr="00515730" w:rsidRDefault="00876C31" w:rsidP="00515730">
      <w:pPr>
        <w:adjustRightInd w:val="0"/>
        <w:snapToGrid w:val="0"/>
        <w:spacing w:line="360" w:lineRule="auto"/>
        <w:ind w:firstLineChars="200" w:firstLine="560"/>
        <w:jc w:val="left"/>
        <w:rPr>
          <w:rFonts w:ascii="仿宋_GB2312" w:hAnsi="仿宋_GB2312" w:cs="仿宋_GB2312"/>
          <w:bCs/>
          <w:sz w:val="28"/>
          <w:szCs w:val="28"/>
        </w:rPr>
      </w:pPr>
      <w:r w:rsidRPr="00515730">
        <w:rPr>
          <w:rFonts w:ascii="仿宋_GB2312" w:hAnsi="仿宋_GB2312" w:cs="仿宋_GB2312"/>
          <w:bCs/>
          <w:sz w:val="28"/>
          <w:szCs w:val="28"/>
        </w:rPr>
        <w:t>课程总评成绩由平时成绩、实验成绩和期终考试（闭卷）3个考核环节综合评定产生。各考核环节与课程目标的对应关系如下：</w:t>
      </w:r>
    </w:p>
    <w:tbl>
      <w:tblPr>
        <w:tblW w:w="4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918"/>
        <w:gridCol w:w="2185"/>
        <w:gridCol w:w="2228"/>
      </w:tblGrid>
      <w:tr w:rsidR="00876C31" w:rsidRPr="00515730" w:rsidTr="00BE5664">
        <w:trPr>
          <w:jc w:val="center"/>
        </w:trPr>
        <w:tc>
          <w:tcPr>
            <w:tcW w:w="3479" w:type="pct"/>
            <w:gridSpan w:val="3"/>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
                <w:bCs/>
                <w:sz w:val="24"/>
                <w:szCs w:val="24"/>
              </w:rPr>
            </w:pPr>
            <w:r w:rsidRPr="00515730">
              <w:rPr>
                <w:rFonts w:ascii="仿宋_GB2312" w:hAnsi="仿宋_GB2312" w:cs="仿宋_GB2312"/>
                <w:b/>
                <w:bCs/>
                <w:sz w:val="24"/>
                <w:szCs w:val="24"/>
              </w:rPr>
              <w:t>考核环节</w:t>
            </w:r>
          </w:p>
        </w:tc>
        <w:tc>
          <w:tcPr>
            <w:tcW w:w="152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
                <w:bCs/>
                <w:sz w:val="24"/>
                <w:szCs w:val="24"/>
              </w:rPr>
            </w:pPr>
            <w:r w:rsidRPr="00515730">
              <w:rPr>
                <w:rFonts w:ascii="仿宋_GB2312" w:hAnsi="仿宋_GB2312" w:cs="仿宋_GB2312"/>
                <w:b/>
                <w:bCs/>
                <w:sz w:val="24"/>
                <w:szCs w:val="24"/>
              </w:rPr>
              <w:t>教学目标</w:t>
            </w:r>
          </w:p>
        </w:tc>
      </w:tr>
      <w:tr w:rsidR="00876C31" w:rsidRPr="00515730" w:rsidTr="00BE5664">
        <w:trPr>
          <w:jc w:val="center"/>
        </w:trPr>
        <w:tc>
          <w:tcPr>
            <w:tcW w:w="1360"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
                <w:bCs/>
                <w:sz w:val="24"/>
                <w:szCs w:val="24"/>
              </w:rPr>
            </w:pPr>
            <w:r w:rsidRPr="00515730">
              <w:rPr>
                <w:rFonts w:ascii="仿宋_GB2312" w:hAnsi="仿宋_GB2312" w:cs="仿宋_GB2312"/>
                <w:b/>
                <w:bCs/>
                <w:sz w:val="24"/>
                <w:szCs w:val="24"/>
              </w:rPr>
              <w:t>分项比例</w:t>
            </w:r>
          </w:p>
        </w:tc>
        <w:tc>
          <w:tcPr>
            <w:tcW w:w="2119" w:type="pct"/>
            <w:gridSpan w:val="2"/>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
                <w:bCs/>
                <w:sz w:val="24"/>
                <w:szCs w:val="24"/>
              </w:rPr>
            </w:pPr>
            <w:r w:rsidRPr="00515730">
              <w:rPr>
                <w:rFonts w:ascii="仿宋_GB2312" w:hAnsi="仿宋_GB2312" w:cs="仿宋_GB2312"/>
                <w:b/>
                <w:bCs/>
                <w:sz w:val="24"/>
                <w:szCs w:val="24"/>
              </w:rPr>
              <w:t>分项内容</w:t>
            </w:r>
          </w:p>
        </w:tc>
        <w:tc>
          <w:tcPr>
            <w:tcW w:w="152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
                <w:bCs/>
                <w:sz w:val="24"/>
                <w:szCs w:val="24"/>
              </w:rPr>
            </w:pPr>
          </w:p>
        </w:tc>
      </w:tr>
      <w:tr w:rsidR="00876C31" w:rsidRPr="00515730" w:rsidTr="00BE5664">
        <w:trPr>
          <w:jc w:val="center"/>
        </w:trPr>
        <w:tc>
          <w:tcPr>
            <w:tcW w:w="1360" w:type="pct"/>
            <w:vMerge w:val="restar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平时成绩</w:t>
            </w:r>
          </w:p>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（10%）</w:t>
            </w:r>
          </w:p>
        </w:tc>
        <w:tc>
          <w:tcPr>
            <w:tcW w:w="627" w:type="pct"/>
            <w:vMerge w:val="restar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平时作业</w:t>
            </w:r>
          </w:p>
        </w:tc>
        <w:tc>
          <w:tcPr>
            <w:tcW w:w="1492"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概念与原理题</w:t>
            </w:r>
          </w:p>
        </w:tc>
        <w:tc>
          <w:tcPr>
            <w:tcW w:w="152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hint="eastAsia"/>
                <w:bCs/>
                <w:sz w:val="24"/>
                <w:szCs w:val="24"/>
              </w:rPr>
              <w:t>（1）</w:t>
            </w:r>
            <w:r w:rsidRPr="00515730">
              <w:rPr>
                <w:rFonts w:ascii="仿宋_GB2312" w:hAnsi="仿宋_GB2312" w:cs="仿宋_GB2312"/>
                <w:bCs/>
                <w:sz w:val="24"/>
                <w:szCs w:val="24"/>
              </w:rPr>
              <w:t>（2）</w:t>
            </w:r>
            <w:r w:rsidRPr="00515730">
              <w:rPr>
                <w:rFonts w:ascii="仿宋_GB2312" w:hAnsi="仿宋_GB2312" w:cs="仿宋_GB2312" w:hint="eastAsia"/>
                <w:bCs/>
                <w:sz w:val="24"/>
                <w:szCs w:val="24"/>
              </w:rPr>
              <w:t>（3）（4）（5）</w:t>
            </w:r>
          </w:p>
        </w:tc>
      </w:tr>
      <w:tr w:rsidR="00876C31" w:rsidRPr="00515730" w:rsidTr="00BE5664">
        <w:trPr>
          <w:jc w:val="center"/>
        </w:trPr>
        <w:tc>
          <w:tcPr>
            <w:tcW w:w="1360" w:type="pct"/>
            <w:vMerge/>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p>
        </w:tc>
        <w:tc>
          <w:tcPr>
            <w:tcW w:w="627" w:type="pct"/>
            <w:vMerge/>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p>
        </w:tc>
        <w:tc>
          <w:tcPr>
            <w:tcW w:w="1492"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计算题</w:t>
            </w:r>
          </w:p>
        </w:tc>
        <w:tc>
          <w:tcPr>
            <w:tcW w:w="152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（1）</w:t>
            </w:r>
            <w:r w:rsidRPr="00515730">
              <w:rPr>
                <w:rFonts w:ascii="仿宋_GB2312" w:hAnsi="仿宋_GB2312" w:cs="仿宋_GB2312" w:hint="eastAsia"/>
                <w:bCs/>
                <w:sz w:val="24"/>
                <w:szCs w:val="24"/>
              </w:rPr>
              <w:t>（3）</w:t>
            </w:r>
          </w:p>
        </w:tc>
      </w:tr>
      <w:tr w:rsidR="00876C31" w:rsidRPr="00515730" w:rsidTr="00BE5664">
        <w:trPr>
          <w:jc w:val="center"/>
        </w:trPr>
        <w:tc>
          <w:tcPr>
            <w:tcW w:w="1360" w:type="pct"/>
            <w:vMerge/>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p>
        </w:tc>
        <w:tc>
          <w:tcPr>
            <w:tcW w:w="2119" w:type="pct"/>
            <w:gridSpan w:val="2"/>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随堂测验：概念与原理题</w:t>
            </w:r>
          </w:p>
        </w:tc>
        <w:tc>
          <w:tcPr>
            <w:tcW w:w="152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hint="eastAsia"/>
                <w:bCs/>
                <w:sz w:val="24"/>
                <w:szCs w:val="24"/>
              </w:rPr>
              <w:t>（1）</w:t>
            </w:r>
            <w:r w:rsidRPr="00515730">
              <w:rPr>
                <w:rFonts w:ascii="仿宋_GB2312" w:hAnsi="仿宋_GB2312" w:cs="仿宋_GB2312"/>
                <w:bCs/>
                <w:sz w:val="24"/>
                <w:szCs w:val="24"/>
              </w:rPr>
              <w:t>（2）</w:t>
            </w:r>
            <w:r w:rsidRPr="00515730">
              <w:rPr>
                <w:rFonts w:ascii="仿宋_GB2312" w:hAnsi="仿宋_GB2312" w:cs="仿宋_GB2312" w:hint="eastAsia"/>
                <w:bCs/>
                <w:sz w:val="24"/>
                <w:szCs w:val="24"/>
              </w:rPr>
              <w:t>（3）（4）（5）</w:t>
            </w:r>
          </w:p>
        </w:tc>
      </w:tr>
      <w:tr w:rsidR="00876C31" w:rsidRPr="00515730" w:rsidTr="00BE5664">
        <w:trPr>
          <w:jc w:val="center"/>
        </w:trPr>
        <w:tc>
          <w:tcPr>
            <w:tcW w:w="1360"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实验成绩</w:t>
            </w:r>
            <w:r w:rsidRPr="00515730">
              <w:rPr>
                <w:rFonts w:ascii="仿宋_GB2312" w:hAnsi="仿宋_GB2312" w:cs="仿宋_GB2312" w:hint="eastAsia"/>
                <w:bCs/>
                <w:sz w:val="24"/>
                <w:szCs w:val="24"/>
              </w:rPr>
              <w:t>（1</w:t>
            </w:r>
            <w:r w:rsidRPr="00515730">
              <w:rPr>
                <w:rFonts w:ascii="仿宋_GB2312" w:hAnsi="仿宋_GB2312" w:cs="仿宋_GB2312"/>
                <w:bCs/>
                <w:sz w:val="24"/>
                <w:szCs w:val="24"/>
              </w:rPr>
              <w:t>0</w:t>
            </w:r>
            <w:r w:rsidRPr="00515730">
              <w:rPr>
                <w:rFonts w:ascii="仿宋_GB2312" w:hAnsi="仿宋_GB2312" w:cs="仿宋_GB2312" w:hint="eastAsia"/>
                <w:bCs/>
                <w:sz w:val="24"/>
                <w:szCs w:val="24"/>
              </w:rPr>
              <w:t>%）</w:t>
            </w:r>
          </w:p>
        </w:tc>
        <w:tc>
          <w:tcPr>
            <w:tcW w:w="2119" w:type="pct"/>
            <w:gridSpan w:val="2"/>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实验操作与实验报告</w:t>
            </w:r>
          </w:p>
        </w:tc>
        <w:tc>
          <w:tcPr>
            <w:tcW w:w="152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hint="eastAsia"/>
                <w:bCs/>
                <w:sz w:val="24"/>
                <w:szCs w:val="24"/>
              </w:rPr>
              <w:t>（1）（3）（5）</w:t>
            </w:r>
          </w:p>
        </w:tc>
      </w:tr>
      <w:tr w:rsidR="00876C31" w:rsidRPr="00515730" w:rsidTr="00BE5664">
        <w:trPr>
          <w:jc w:val="center"/>
        </w:trPr>
        <w:tc>
          <w:tcPr>
            <w:tcW w:w="1360" w:type="pct"/>
            <w:vMerge w:val="restar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期终考试</w:t>
            </w:r>
          </w:p>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w:t>
            </w:r>
            <w:r w:rsidRPr="00515730">
              <w:rPr>
                <w:rFonts w:ascii="仿宋_GB2312" w:hAnsi="仿宋_GB2312" w:cs="仿宋_GB2312" w:hint="eastAsia"/>
                <w:bCs/>
                <w:sz w:val="24"/>
                <w:szCs w:val="24"/>
              </w:rPr>
              <w:t>8</w:t>
            </w:r>
            <w:r w:rsidRPr="00515730">
              <w:rPr>
                <w:rFonts w:ascii="仿宋_GB2312" w:hAnsi="仿宋_GB2312" w:cs="仿宋_GB2312"/>
                <w:bCs/>
                <w:sz w:val="24"/>
                <w:szCs w:val="24"/>
              </w:rPr>
              <w:t>0%）</w:t>
            </w:r>
          </w:p>
        </w:tc>
        <w:tc>
          <w:tcPr>
            <w:tcW w:w="2119" w:type="pct"/>
            <w:gridSpan w:val="2"/>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概念与原理题</w:t>
            </w:r>
          </w:p>
        </w:tc>
        <w:tc>
          <w:tcPr>
            <w:tcW w:w="152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hint="eastAsia"/>
                <w:bCs/>
                <w:sz w:val="24"/>
                <w:szCs w:val="24"/>
              </w:rPr>
              <w:t>（1）</w:t>
            </w:r>
            <w:r w:rsidRPr="00515730">
              <w:rPr>
                <w:rFonts w:ascii="仿宋_GB2312" w:hAnsi="仿宋_GB2312" w:cs="仿宋_GB2312"/>
                <w:bCs/>
                <w:sz w:val="24"/>
                <w:szCs w:val="24"/>
              </w:rPr>
              <w:t>（2）</w:t>
            </w:r>
            <w:r w:rsidRPr="00515730">
              <w:rPr>
                <w:rFonts w:ascii="仿宋_GB2312" w:hAnsi="仿宋_GB2312" w:cs="仿宋_GB2312" w:hint="eastAsia"/>
                <w:bCs/>
                <w:sz w:val="24"/>
                <w:szCs w:val="24"/>
              </w:rPr>
              <w:t>（3）（4）</w:t>
            </w:r>
          </w:p>
        </w:tc>
      </w:tr>
      <w:tr w:rsidR="00876C31" w:rsidRPr="00515730" w:rsidTr="00BE5664">
        <w:trPr>
          <w:jc w:val="center"/>
        </w:trPr>
        <w:tc>
          <w:tcPr>
            <w:tcW w:w="1360" w:type="pct"/>
            <w:vMerge/>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p>
        </w:tc>
        <w:tc>
          <w:tcPr>
            <w:tcW w:w="2119" w:type="pct"/>
            <w:gridSpan w:val="2"/>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计算题</w:t>
            </w:r>
          </w:p>
        </w:tc>
        <w:tc>
          <w:tcPr>
            <w:tcW w:w="1521" w:type="pct"/>
            <w:tcBorders>
              <w:top w:val="single" w:sz="4" w:space="0" w:color="auto"/>
              <w:left w:val="single" w:sz="4" w:space="0" w:color="auto"/>
              <w:bottom w:val="single" w:sz="4" w:space="0" w:color="auto"/>
              <w:right w:val="single" w:sz="4" w:space="0" w:color="auto"/>
            </w:tcBorders>
            <w:vAlign w:val="center"/>
          </w:tcPr>
          <w:p w:rsidR="00876C31" w:rsidRPr="00515730" w:rsidRDefault="00876C31" w:rsidP="00515730">
            <w:pPr>
              <w:spacing w:line="360" w:lineRule="auto"/>
              <w:jc w:val="center"/>
              <w:rPr>
                <w:rFonts w:ascii="仿宋_GB2312" w:hAnsi="仿宋_GB2312" w:cs="仿宋_GB2312"/>
                <w:bCs/>
                <w:sz w:val="24"/>
                <w:szCs w:val="24"/>
              </w:rPr>
            </w:pPr>
            <w:r w:rsidRPr="00515730">
              <w:rPr>
                <w:rFonts w:ascii="仿宋_GB2312" w:hAnsi="仿宋_GB2312" w:cs="仿宋_GB2312"/>
                <w:bCs/>
                <w:sz w:val="24"/>
                <w:szCs w:val="24"/>
              </w:rPr>
              <w:t>（1）</w:t>
            </w:r>
            <w:r w:rsidRPr="00515730">
              <w:rPr>
                <w:rFonts w:ascii="仿宋_GB2312" w:hAnsi="仿宋_GB2312" w:cs="仿宋_GB2312" w:hint="eastAsia"/>
                <w:bCs/>
                <w:sz w:val="24"/>
                <w:szCs w:val="24"/>
              </w:rPr>
              <w:t>（3）</w:t>
            </w:r>
          </w:p>
        </w:tc>
      </w:tr>
    </w:tbl>
    <w:p w:rsidR="00876C31" w:rsidRPr="00515730" w:rsidRDefault="00876C31" w:rsidP="00515730">
      <w:pPr>
        <w:tabs>
          <w:tab w:val="right" w:pos="8222"/>
        </w:tabs>
        <w:spacing w:line="360" w:lineRule="auto"/>
        <w:rPr>
          <w:rFonts w:ascii="仿宋_GB2312" w:hAnsi="仿宋_GB2312" w:cs="仿宋_GB2312"/>
          <w:b/>
          <w:bCs/>
          <w:sz w:val="28"/>
          <w:szCs w:val="28"/>
        </w:rPr>
      </w:pPr>
      <w:r w:rsidRPr="00515730">
        <w:rPr>
          <w:rFonts w:ascii="仿宋_GB2312" w:hAnsi="仿宋_GB2312" w:cs="仿宋_GB2312"/>
          <w:b/>
          <w:bCs/>
          <w:sz w:val="28"/>
          <w:szCs w:val="28"/>
        </w:rPr>
        <w:t>（二）课程目标达成度自评方式</w:t>
      </w:r>
    </w:p>
    <w:p w:rsidR="00876C31" w:rsidRPr="00515730" w:rsidRDefault="00876C31" w:rsidP="00515730">
      <w:pPr>
        <w:spacing w:line="360" w:lineRule="auto"/>
        <w:ind w:firstLineChars="200" w:firstLine="560"/>
        <w:rPr>
          <w:rFonts w:ascii="仿宋_GB2312" w:hAnsi="仿宋_GB2312" w:cs="仿宋_GB2312"/>
          <w:bCs/>
          <w:sz w:val="28"/>
          <w:szCs w:val="28"/>
        </w:rPr>
      </w:pPr>
      <w:r w:rsidRPr="00515730">
        <w:rPr>
          <w:rFonts w:ascii="仿宋_GB2312" w:hAnsi="仿宋_GB2312" w:cs="仿宋_GB2312"/>
          <w:bCs/>
          <w:sz w:val="28"/>
          <w:szCs w:val="28"/>
        </w:rPr>
        <w:t>据学院教学管理规定，在开展课程达成度评价前，课程评价审核小组对课程的评价依据合理性进行确认，包括平时作业、随堂测验、实验、期终考试等考核环节。课程结束后，课程小组需要对课程进行达成度评价，课程小组由课程负责人和任课教师组成，统计课程考核数据，并填写“《</w:t>
      </w:r>
      <w:r w:rsidRPr="00515730">
        <w:rPr>
          <w:rFonts w:ascii="仿宋_GB2312" w:hAnsi="仿宋_GB2312" w:cs="仿宋_GB2312" w:hint="eastAsia"/>
          <w:bCs/>
          <w:sz w:val="28"/>
          <w:szCs w:val="28"/>
        </w:rPr>
        <w:t>土木工程材料</w:t>
      </w:r>
      <w:r w:rsidRPr="00515730">
        <w:rPr>
          <w:rFonts w:ascii="仿宋_GB2312" w:hAnsi="仿宋_GB2312" w:cs="仿宋_GB2312"/>
          <w:bCs/>
          <w:sz w:val="28"/>
          <w:szCs w:val="28"/>
        </w:rPr>
        <w:t>》课程达成情况评价”报告，以便及时了解课程的达成效果，发现问题并进行持续改进，同时也为毕业要求达成度的评价提供基础数据。</w:t>
      </w:r>
    </w:p>
    <w:p w:rsidR="00876C31" w:rsidRPr="00515730" w:rsidRDefault="00876C31" w:rsidP="00515730">
      <w:pPr>
        <w:spacing w:line="360" w:lineRule="auto"/>
        <w:ind w:firstLine="480"/>
        <w:rPr>
          <w:rFonts w:ascii="仿宋_GB2312" w:hAnsi="仿宋_GB2312" w:cs="仿宋_GB2312"/>
          <w:bCs/>
          <w:sz w:val="28"/>
          <w:szCs w:val="28"/>
        </w:rPr>
      </w:pPr>
      <w:r w:rsidRPr="00515730">
        <w:rPr>
          <w:rFonts w:ascii="仿宋_GB2312" w:hAnsi="仿宋_GB2312" w:cs="仿宋_GB2312"/>
          <w:bCs/>
          <w:sz w:val="28"/>
          <w:szCs w:val="28"/>
        </w:rPr>
        <w:t>根据课程的考核形式，全部或抽样部分考核资料（应以当年修读该课程的学生为总体，至少抽取</w:t>
      </w:r>
      <w:r w:rsidRPr="00515730">
        <w:rPr>
          <w:rFonts w:ascii="仿宋_GB2312" w:hAnsi="仿宋_GB2312" w:cs="仿宋_GB2312" w:hint="eastAsia"/>
          <w:bCs/>
          <w:sz w:val="28"/>
          <w:szCs w:val="28"/>
        </w:rPr>
        <w:t>6</w:t>
      </w:r>
      <w:r w:rsidRPr="00515730">
        <w:rPr>
          <w:rFonts w:ascii="仿宋_GB2312" w:hAnsi="仿宋_GB2312" w:cs="仿宋_GB2312"/>
          <w:bCs/>
          <w:sz w:val="28"/>
          <w:szCs w:val="28"/>
        </w:rPr>
        <w:t>1%以上的学生样本），抽样时需覆盖优、良、中、及格和不及格等考核等级的考核资料。课程达成度的具体评价方法，详见“《</w:t>
      </w:r>
      <w:r w:rsidRPr="00515730">
        <w:rPr>
          <w:rFonts w:ascii="仿宋_GB2312" w:hAnsi="仿宋_GB2312" w:cs="仿宋_GB2312" w:hint="eastAsia"/>
          <w:bCs/>
          <w:sz w:val="28"/>
          <w:szCs w:val="28"/>
        </w:rPr>
        <w:t>土木工程材料</w:t>
      </w:r>
      <w:r w:rsidRPr="00515730">
        <w:rPr>
          <w:rFonts w:ascii="仿宋_GB2312" w:hAnsi="仿宋_GB2312" w:cs="仿宋_GB2312"/>
          <w:bCs/>
          <w:sz w:val="28"/>
          <w:szCs w:val="28"/>
        </w:rPr>
        <w:t>》课程达成情况评价”报告。课程小组提交课程达成度评价数据后，课程评价审核小组对评价数据的合理性和有效性进行审核。</w:t>
      </w:r>
    </w:p>
    <w:p w:rsidR="00876C31" w:rsidRPr="00515730" w:rsidRDefault="00876C31" w:rsidP="00515730">
      <w:pPr>
        <w:spacing w:beforeLines="50" w:before="156" w:afterLines="50" w:after="156" w:line="560" w:lineRule="exact"/>
        <w:rPr>
          <w:rFonts w:ascii="黑体" w:eastAsia="黑体" w:hAnsi="黑体"/>
          <w:b/>
          <w:sz w:val="28"/>
          <w:szCs w:val="28"/>
        </w:rPr>
      </w:pPr>
      <w:r w:rsidRPr="00515730">
        <w:rPr>
          <w:rFonts w:ascii="黑体" w:eastAsia="黑体" w:hAnsi="黑体"/>
          <w:b/>
          <w:sz w:val="28"/>
          <w:szCs w:val="28"/>
        </w:rPr>
        <w:t>七、教学进程（详见授课日历）</w:t>
      </w:r>
    </w:p>
    <w:p w:rsidR="00876C31" w:rsidRPr="00515730" w:rsidRDefault="00876C31" w:rsidP="00515730">
      <w:pPr>
        <w:spacing w:beforeLines="50" w:before="156" w:afterLines="50" w:after="156" w:line="560" w:lineRule="exact"/>
        <w:rPr>
          <w:rFonts w:ascii="黑体" w:eastAsia="黑体" w:hAnsi="黑体"/>
          <w:b/>
          <w:sz w:val="28"/>
          <w:szCs w:val="28"/>
        </w:rPr>
      </w:pPr>
      <w:r w:rsidRPr="00515730">
        <w:rPr>
          <w:rFonts w:ascii="黑体" w:eastAsia="黑体" w:hAnsi="黑体"/>
          <w:b/>
          <w:sz w:val="28"/>
          <w:szCs w:val="28"/>
        </w:rPr>
        <w:t>八、教材及参考书</w:t>
      </w:r>
    </w:p>
    <w:p w:rsidR="00876C31" w:rsidRPr="00515730" w:rsidRDefault="00876C31" w:rsidP="00876C31">
      <w:pPr>
        <w:autoSpaceDE w:val="0"/>
        <w:autoSpaceDN w:val="0"/>
        <w:adjustRightInd w:val="0"/>
        <w:ind w:firstLineChars="200" w:firstLine="560"/>
        <w:jc w:val="left"/>
        <w:rPr>
          <w:rFonts w:ascii="仿宋_GB2312" w:hAnsi="仿宋_GB2312" w:cs="仿宋_GB2312"/>
          <w:bCs/>
          <w:sz w:val="28"/>
          <w:szCs w:val="28"/>
        </w:rPr>
      </w:pPr>
      <w:r w:rsidRPr="00515730">
        <w:rPr>
          <w:rFonts w:ascii="仿宋_GB2312" w:hAnsi="仿宋_GB2312" w:cs="仿宋_GB2312"/>
          <w:bCs/>
          <w:sz w:val="28"/>
          <w:szCs w:val="28"/>
        </w:rPr>
        <w:lastRenderedPageBreak/>
        <w:t>1、</w:t>
      </w:r>
      <w:r w:rsidRPr="00515730">
        <w:rPr>
          <w:rFonts w:ascii="仿宋_GB2312" w:hAnsi="仿宋_GB2312" w:cs="仿宋_GB2312" w:hint="eastAsia"/>
          <w:bCs/>
          <w:sz w:val="28"/>
          <w:szCs w:val="28"/>
        </w:rPr>
        <w:t>土木工程材料（第二版），湖南大学、天津大学、同济大学、东南大学合编，中国建筑工业出版社，2011年6月出版；（</w:t>
      </w:r>
      <w:r w:rsidRPr="00515730">
        <w:rPr>
          <w:rFonts w:ascii="仿宋_GB2312" w:hAnsi="仿宋_GB2312" w:cs="仿宋_GB2312"/>
          <w:bCs/>
          <w:sz w:val="28"/>
          <w:szCs w:val="28"/>
        </w:rPr>
        <w:t>本课程教材）</w:t>
      </w:r>
      <w:r w:rsidRPr="00515730">
        <w:rPr>
          <w:rFonts w:ascii="仿宋_GB2312" w:hAnsi="仿宋_GB2312" w:cs="仿宋_GB2312" w:hint="eastAsia"/>
          <w:bCs/>
          <w:sz w:val="28"/>
          <w:szCs w:val="28"/>
        </w:rPr>
        <w:t>。</w:t>
      </w:r>
    </w:p>
    <w:p w:rsidR="00876C31" w:rsidRPr="00515730" w:rsidRDefault="00876C31" w:rsidP="00876C31">
      <w:pPr>
        <w:adjustRightInd w:val="0"/>
        <w:snapToGrid w:val="0"/>
        <w:spacing w:line="360" w:lineRule="exact"/>
        <w:ind w:firstLineChars="200" w:firstLine="560"/>
        <w:jc w:val="left"/>
        <w:rPr>
          <w:rFonts w:ascii="仿宋_GB2312" w:hAnsi="仿宋_GB2312" w:cs="仿宋_GB2312"/>
          <w:bCs/>
          <w:sz w:val="28"/>
          <w:szCs w:val="28"/>
        </w:rPr>
      </w:pPr>
      <w:r w:rsidRPr="00515730">
        <w:rPr>
          <w:rFonts w:ascii="仿宋_GB2312" w:hAnsi="仿宋_GB2312" w:cs="仿宋_GB2312" w:hint="eastAsia"/>
          <w:bCs/>
          <w:sz w:val="28"/>
          <w:szCs w:val="28"/>
        </w:rPr>
        <w:t>暂无</w:t>
      </w:r>
      <w:r w:rsidRPr="00515730">
        <w:rPr>
          <w:rFonts w:ascii="仿宋_GB2312" w:hAnsi="仿宋_GB2312" w:cs="仿宋_GB2312"/>
          <w:bCs/>
          <w:sz w:val="28"/>
          <w:szCs w:val="28"/>
        </w:rPr>
        <w:t>其他参考书</w:t>
      </w:r>
      <w:r w:rsidRPr="00515730">
        <w:rPr>
          <w:rFonts w:ascii="仿宋_GB2312" w:hAnsi="仿宋_GB2312" w:cs="仿宋_GB2312" w:hint="eastAsia"/>
          <w:bCs/>
          <w:sz w:val="28"/>
          <w:szCs w:val="28"/>
        </w:rPr>
        <w:t>。</w:t>
      </w:r>
    </w:p>
    <w:p w:rsidR="00876C31" w:rsidRPr="00515730" w:rsidRDefault="00876C31" w:rsidP="00515730">
      <w:pPr>
        <w:spacing w:beforeLines="50" w:before="156" w:afterLines="50" w:after="156" w:line="560" w:lineRule="exact"/>
        <w:rPr>
          <w:rFonts w:ascii="黑体" w:eastAsia="黑体" w:hAnsi="黑体"/>
          <w:b/>
          <w:sz w:val="28"/>
          <w:szCs w:val="28"/>
        </w:rPr>
      </w:pPr>
      <w:r w:rsidRPr="00515730">
        <w:rPr>
          <w:rFonts w:ascii="黑体" w:eastAsia="黑体" w:hAnsi="黑体"/>
          <w:b/>
          <w:sz w:val="28"/>
          <w:szCs w:val="28"/>
        </w:rPr>
        <w:t>九、执行大纲应注意的问题</w:t>
      </w:r>
    </w:p>
    <w:p w:rsidR="00876C31" w:rsidRPr="00515730" w:rsidRDefault="00876C31" w:rsidP="00515730">
      <w:pPr>
        <w:autoSpaceDE w:val="0"/>
        <w:autoSpaceDN w:val="0"/>
        <w:adjustRightInd w:val="0"/>
        <w:ind w:firstLineChars="200" w:firstLine="560"/>
        <w:jc w:val="left"/>
        <w:rPr>
          <w:rFonts w:ascii="仿宋_GB2312" w:hAnsi="仿宋_GB2312" w:cs="仿宋_GB2312"/>
          <w:bCs/>
          <w:sz w:val="28"/>
          <w:szCs w:val="28"/>
        </w:rPr>
      </w:pPr>
      <w:r w:rsidRPr="00515730">
        <w:rPr>
          <w:rFonts w:ascii="仿宋_GB2312" w:hAnsi="仿宋_GB2312" w:cs="仿宋_GB2312"/>
          <w:bCs/>
          <w:sz w:val="28"/>
          <w:szCs w:val="28"/>
        </w:rPr>
        <w:t>1、教学中应注重基本知识、基本理论和基本方法的讲授，注意精讲多练。</w:t>
      </w:r>
    </w:p>
    <w:p w:rsidR="00876C31" w:rsidRPr="00515730" w:rsidRDefault="00876C31" w:rsidP="00515730">
      <w:pPr>
        <w:autoSpaceDE w:val="0"/>
        <w:autoSpaceDN w:val="0"/>
        <w:adjustRightInd w:val="0"/>
        <w:ind w:firstLineChars="200" w:firstLine="560"/>
        <w:jc w:val="left"/>
        <w:rPr>
          <w:rFonts w:ascii="仿宋_GB2312" w:hAnsi="仿宋_GB2312" w:cs="仿宋_GB2312"/>
          <w:bCs/>
          <w:sz w:val="28"/>
          <w:szCs w:val="28"/>
        </w:rPr>
      </w:pPr>
      <w:r w:rsidRPr="00515730">
        <w:rPr>
          <w:rFonts w:ascii="仿宋_GB2312" w:hAnsi="仿宋_GB2312" w:cs="仿宋_GB2312"/>
          <w:bCs/>
          <w:sz w:val="28"/>
          <w:szCs w:val="28"/>
        </w:rPr>
        <w:t>2、做好实验，重视学生实践能力的培养。要求学生亲自动手进行实验，并认真完成实验指导书上规定的内容。</w:t>
      </w:r>
    </w:p>
    <w:p w:rsidR="00876C31" w:rsidRPr="00515730" w:rsidRDefault="00876C31" w:rsidP="00515730">
      <w:pPr>
        <w:autoSpaceDE w:val="0"/>
        <w:autoSpaceDN w:val="0"/>
        <w:adjustRightInd w:val="0"/>
        <w:ind w:firstLineChars="200" w:firstLine="560"/>
        <w:jc w:val="left"/>
        <w:rPr>
          <w:rFonts w:ascii="仿宋_GB2312" w:hAnsi="仿宋_GB2312" w:cs="仿宋_GB2312"/>
          <w:bCs/>
          <w:sz w:val="28"/>
          <w:szCs w:val="28"/>
        </w:rPr>
      </w:pPr>
      <w:r w:rsidRPr="00515730">
        <w:rPr>
          <w:rFonts w:ascii="仿宋_GB2312" w:hAnsi="仿宋_GB2312" w:cs="仿宋_GB2312"/>
          <w:bCs/>
          <w:sz w:val="28"/>
          <w:szCs w:val="28"/>
        </w:rPr>
        <w:t>3、教学内容的顺序及其安排仅供参考，教师可根据情况作适当调整。</w:t>
      </w:r>
    </w:p>
    <w:p w:rsidR="00515730" w:rsidRDefault="00515730" w:rsidP="00515730">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大纲撰写人：李晓光</w:t>
      </w:r>
    </w:p>
    <w:p w:rsidR="00515730" w:rsidRDefault="00515730" w:rsidP="00515730">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515730" w:rsidRDefault="00515730" w:rsidP="00515730">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515730" w:rsidRDefault="00515730" w:rsidP="00515730">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515730" w:rsidRDefault="00515730" w:rsidP="00515730">
      <w:pPr>
        <w:ind w:firstLineChars="2000" w:firstLine="5600"/>
        <w:jc w:val="left"/>
        <w:rPr>
          <w:rFonts w:ascii="仿宋" w:hAnsi="仿宋"/>
          <w:sz w:val="28"/>
          <w:szCs w:val="28"/>
        </w:rPr>
      </w:pPr>
      <w:r>
        <w:rPr>
          <w:rFonts w:ascii="仿宋_GB2312" w:hAnsi="微软雅黑" w:hint="eastAsia"/>
          <w:sz w:val="28"/>
          <w:szCs w:val="28"/>
        </w:rPr>
        <w:t xml:space="preserve">    </w:t>
      </w:r>
    </w:p>
    <w:p w:rsidR="00515730" w:rsidRDefault="00515730" w:rsidP="00515730">
      <w:pPr>
        <w:jc w:val="left"/>
        <w:rPr>
          <w:rFonts w:ascii="仿宋_GB2312" w:hAnsi="黑体"/>
          <w:sz w:val="28"/>
          <w:szCs w:val="28"/>
        </w:rPr>
      </w:pPr>
      <w:r>
        <w:rPr>
          <w:rFonts w:ascii="仿宋" w:eastAsia="仿宋" w:hAnsi="仿宋" w:hint="eastAsia"/>
          <w:sz w:val="28"/>
          <w:szCs w:val="28"/>
        </w:rPr>
        <w:t xml:space="preserve">                                         年    月</w:t>
      </w:r>
    </w:p>
    <w:p w:rsidR="00515730" w:rsidRDefault="00515730" w:rsidP="00876C31">
      <w:pPr>
        <w:widowControl/>
        <w:spacing w:line="360" w:lineRule="auto"/>
        <w:jc w:val="center"/>
        <w:rPr>
          <w:rFonts w:ascii="黑体" w:eastAsia="黑体" w:hAnsi="黑体"/>
          <w:b/>
          <w:kern w:val="0"/>
          <w:szCs w:val="28"/>
        </w:rPr>
      </w:pPr>
    </w:p>
    <w:p w:rsidR="00515730" w:rsidRDefault="00515730" w:rsidP="00876C31">
      <w:pPr>
        <w:widowControl/>
        <w:spacing w:line="360" w:lineRule="auto"/>
        <w:jc w:val="center"/>
        <w:rPr>
          <w:rFonts w:ascii="黑体" w:eastAsia="黑体" w:hAnsi="黑体"/>
          <w:b/>
          <w:kern w:val="0"/>
          <w:szCs w:val="28"/>
        </w:rPr>
      </w:pPr>
    </w:p>
    <w:p w:rsidR="00515730" w:rsidRDefault="00515730" w:rsidP="00876C31">
      <w:pPr>
        <w:widowControl/>
        <w:spacing w:line="360" w:lineRule="auto"/>
        <w:jc w:val="center"/>
        <w:rPr>
          <w:rFonts w:ascii="黑体" w:eastAsia="黑体" w:hAnsi="黑体"/>
          <w:b/>
          <w:kern w:val="0"/>
          <w:szCs w:val="28"/>
        </w:rPr>
      </w:pPr>
    </w:p>
    <w:p w:rsidR="00515730" w:rsidRDefault="00515730" w:rsidP="00876C31">
      <w:pPr>
        <w:widowControl/>
        <w:spacing w:line="360" w:lineRule="auto"/>
        <w:jc w:val="center"/>
        <w:rPr>
          <w:rFonts w:ascii="黑体" w:eastAsia="黑体" w:hAnsi="黑体"/>
          <w:b/>
          <w:kern w:val="0"/>
          <w:szCs w:val="28"/>
        </w:rPr>
      </w:pPr>
    </w:p>
    <w:p w:rsidR="00515730" w:rsidRDefault="00515730" w:rsidP="00876C31">
      <w:pPr>
        <w:widowControl/>
        <w:spacing w:line="360" w:lineRule="auto"/>
        <w:jc w:val="center"/>
        <w:rPr>
          <w:rFonts w:ascii="黑体" w:eastAsia="黑体" w:hAnsi="黑体"/>
          <w:b/>
          <w:kern w:val="0"/>
          <w:szCs w:val="28"/>
        </w:rPr>
      </w:pPr>
    </w:p>
    <w:p w:rsidR="00876C31" w:rsidRDefault="00876C31" w:rsidP="00876C31">
      <w:pPr>
        <w:widowControl/>
        <w:spacing w:line="360" w:lineRule="auto"/>
        <w:jc w:val="center"/>
        <w:rPr>
          <w:rFonts w:ascii="黑体" w:eastAsia="黑体" w:hAnsi="黑体"/>
          <w:b/>
          <w:kern w:val="0"/>
          <w:szCs w:val="28"/>
        </w:rPr>
      </w:pPr>
      <w:r>
        <w:rPr>
          <w:rFonts w:ascii="黑体" w:eastAsia="黑体" w:hAnsi="黑体" w:hint="eastAsia"/>
          <w:b/>
          <w:kern w:val="0"/>
          <w:szCs w:val="28"/>
        </w:rPr>
        <w:lastRenderedPageBreak/>
        <w:t>《土木工程施工技术》课程教学大纲</w:t>
      </w:r>
    </w:p>
    <w:p w:rsidR="00876C31" w:rsidRDefault="00876C31" w:rsidP="00876C31">
      <w:pPr>
        <w:spacing w:line="360" w:lineRule="auto"/>
        <w:outlineLvl w:val="0"/>
        <w:rPr>
          <w:rFonts w:ascii="Times New Roman" w:eastAsia="黑体" w:hAnsi="Times New Roman"/>
          <w:b/>
          <w:sz w:val="28"/>
          <w:szCs w:val="28"/>
        </w:rPr>
      </w:pPr>
      <w:r>
        <w:rPr>
          <w:rFonts w:ascii="Times New Roman" w:eastAsia="黑体" w:hAnsi="Times New Roman"/>
          <w:b/>
          <w:sz w:val="28"/>
          <w:szCs w:val="28"/>
        </w:rPr>
        <w:t>一、课程信息</w:t>
      </w:r>
    </w:p>
    <w:p w:rsidR="00876C31" w:rsidRDefault="00876C31" w:rsidP="00876C31">
      <w:pPr>
        <w:spacing w:line="360" w:lineRule="auto"/>
        <w:ind w:firstLineChars="200" w:firstLine="562"/>
        <w:rPr>
          <w:rFonts w:ascii="仿宋_GB2312" w:hAnsi="Times New Roman"/>
          <w:b/>
          <w:sz w:val="28"/>
          <w:szCs w:val="21"/>
        </w:rPr>
      </w:pPr>
      <w:r>
        <w:rPr>
          <w:rFonts w:ascii="仿宋_GB2312" w:hAnsi="Times New Roman" w:hint="eastAsia"/>
          <w:b/>
          <w:sz w:val="28"/>
          <w:szCs w:val="21"/>
        </w:rPr>
        <w:t>英文名称：</w:t>
      </w:r>
      <w:r>
        <w:rPr>
          <w:rFonts w:ascii="仿宋_GB2312" w:hAnsi="Times New Roman"/>
          <w:sz w:val="28"/>
          <w:szCs w:val="21"/>
        </w:rPr>
        <w:t>Construction technology of civil engineering</w:t>
      </w:r>
    </w:p>
    <w:p w:rsidR="00876C31" w:rsidRDefault="00876C31" w:rsidP="00876C31">
      <w:pPr>
        <w:spacing w:line="360" w:lineRule="auto"/>
        <w:ind w:firstLineChars="200" w:firstLine="562"/>
        <w:jc w:val="left"/>
        <w:rPr>
          <w:rFonts w:ascii="仿宋_GB2312" w:hAnsi="Times New Roman"/>
          <w:b/>
          <w:sz w:val="28"/>
          <w:szCs w:val="21"/>
        </w:rPr>
      </w:pPr>
      <w:r>
        <w:rPr>
          <w:rFonts w:ascii="仿宋_GB2312" w:hAnsi="Times New Roman" w:hint="eastAsia"/>
          <w:b/>
          <w:sz w:val="28"/>
          <w:szCs w:val="21"/>
        </w:rPr>
        <w:t>课程编码：</w:t>
      </w:r>
      <w:r>
        <w:rPr>
          <w:rFonts w:ascii="华文中宋" w:eastAsia="华文中宋" w:hAnsi="华文中宋" w:hint="eastAsia"/>
          <w:sz w:val="21"/>
          <w:szCs w:val="21"/>
        </w:rPr>
        <w:t xml:space="preserve"> </w:t>
      </w:r>
      <w:r>
        <w:rPr>
          <w:rFonts w:ascii="仿宋_GB2312" w:hAnsi="Times New Roman" w:hint="eastAsia"/>
          <w:sz w:val="28"/>
          <w:szCs w:val="21"/>
        </w:rPr>
        <w:t>Z2805010</w:t>
      </w:r>
    </w:p>
    <w:p w:rsidR="00876C31" w:rsidRDefault="00876C31" w:rsidP="00876C31">
      <w:pPr>
        <w:spacing w:line="360" w:lineRule="auto"/>
        <w:ind w:firstLineChars="200" w:firstLine="562"/>
        <w:rPr>
          <w:rFonts w:ascii="仿宋_GB2312" w:hAnsi="Times New Roman"/>
          <w:sz w:val="28"/>
          <w:szCs w:val="21"/>
        </w:rPr>
      </w:pPr>
      <w:r>
        <w:rPr>
          <w:rFonts w:ascii="仿宋_GB2312" w:hAnsi="Times New Roman" w:hint="eastAsia"/>
          <w:b/>
          <w:sz w:val="28"/>
          <w:szCs w:val="21"/>
        </w:rPr>
        <w:t>授课语言：</w:t>
      </w:r>
      <w:r>
        <w:rPr>
          <w:rFonts w:ascii="仿宋_GB2312" w:hAnsi="Times New Roman" w:hint="eastAsia"/>
          <w:sz w:val="28"/>
          <w:szCs w:val="21"/>
        </w:rPr>
        <w:t>汉语</w:t>
      </w:r>
    </w:p>
    <w:p w:rsidR="00876C31" w:rsidRDefault="00876C31" w:rsidP="00876C31">
      <w:pPr>
        <w:spacing w:line="360" w:lineRule="auto"/>
        <w:ind w:firstLineChars="200" w:firstLine="562"/>
        <w:rPr>
          <w:rFonts w:ascii="仿宋_GB2312" w:hAnsi="Times New Roman"/>
          <w:b/>
          <w:sz w:val="28"/>
          <w:szCs w:val="21"/>
        </w:rPr>
      </w:pPr>
      <w:r>
        <w:rPr>
          <w:rFonts w:ascii="仿宋_GB2312" w:hAnsi="Times New Roman" w:hint="eastAsia"/>
          <w:b/>
          <w:sz w:val="28"/>
          <w:szCs w:val="21"/>
        </w:rPr>
        <w:t>授课方式：</w:t>
      </w:r>
      <w:r>
        <w:rPr>
          <w:rFonts w:ascii="仿宋_GB2312" w:hAnsi="Times New Roman" w:hint="eastAsia"/>
          <w:sz w:val="28"/>
          <w:szCs w:val="21"/>
        </w:rPr>
        <w:t>线下</w:t>
      </w:r>
    </w:p>
    <w:p w:rsidR="00876C31" w:rsidRDefault="00876C31" w:rsidP="00876C31">
      <w:pPr>
        <w:spacing w:line="360" w:lineRule="auto"/>
        <w:ind w:firstLineChars="200" w:firstLine="562"/>
        <w:rPr>
          <w:rFonts w:ascii="仿宋_GB2312" w:hAnsi="Times New Roman"/>
          <w:sz w:val="28"/>
          <w:szCs w:val="21"/>
        </w:rPr>
      </w:pPr>
      <w:r>
        <w:rPr>
          <w:rFonts w:ascii="仿宋_GB2312" w:hAnsi="Times New Roman" w:hint="eastAsia"/>
          <w:b/>
          <w:sz w:val="28"/>
          <w:szCs w:val="21"/>
        </w:rPr>
        <w:t>课程类别：</w:t>
      </w:r>
      <w:r>
        <w:rPr>
          <w:rFonts w:ascii="仿宋_GB2312" w:hAnsi="Times New Roman" w:hint="eastAsia"/>
          <w:sz w:val="28"/>
          <w:szCs w:val="21"/>
        </w:rPr>
        <w:t>专业发展</w:t>
      </w:r>
    </w:p>
    <w:p w:rsidR="00876C31" w:rsidRDefault="00876C31" w:rsidP="00876C31">
      <w:pPr>
        <w:spacing w:line="360" w:lineRule="auto"/>
        <w:ind w:firstLineChars="200" w:firstLine="562"/>
        <w:rPr>
          <w:rFonts w:ascii="仿宋_GB2312" w:hAnsi="Times New Roman"/>
          <w:sz w:val="28"/>
          <w:szCs w:val="21"/>
        </w:rPr>
      </w:pPr>
      <w:r>
        <w:rPr>
          <w:rFonts w:ascii="仿宋_GB2312" w:hAnsi="Times New Roman" w:hint="eastAsia"/>
          <w:b/>
          <w:sz w:val="28"/>
          <w:szCs w:val="21"/>
        </w:rPr>
        <w:t>课程性质：</w:t>
      </w:r>
      <w:r>
        <w:rPr>
          <w:rFonts w:ascii="仿宋_GB2312" w:hAnsi="Times New Roman" w:hint="eastAsia"/>
          <w:sz w:val="28"/>
          <w:szCs w:val="21"/>
        </w:rPr>
        <w:t>必修</w:t>
      </w:r>
    </w:p>
    <w:p w:rsidR="00876C31" w:rsidRDefault="00876C31" w:rsidP="00876C31">
      <w:pPr>
        <w:spacing w:line="360" w:lineRule="auto"/>
        <w:ind w:firstLineChars="200" w:firstLine="562"/>
        <w:rPr>
          <w:rFonts w:ascii="仿宋_GB2312" w:hAnsi="Times New Roman"/>
          <w:b/>
          <w:sz w:val="28"/>
          <w:szCs w:val="21"/>
        </w:rPr>
      </w:pPr>
      <w:r>
        <w:rPr>
          <w:rFonts w:ascii="仿宋_GB2312" w:hAnsi="Times New Roman" w:hint="eastAsia"/>
          <w:b/>
          <w:sz w:val="28"/>
          <w:szCs w:val="21"/>
        </w:rPr>
        <w:t>学分：</w:t>
      </w:r>
      <w:r>
        <w:rPr>
          <w:rFonts w:ascii="仿宋_GB2312" w:hAnsi="Times New Roman" w:hint="eastAsia"/>
          <w:sz w:val="28"/>
          <w:szCs w:val="21"/>
        </w:rPr>
        <w:t>2</w:t>
      </w:r>
    </w:p>
    <w:p w:rsidR="00876C31" w:rsidRDefault="00876C31" w:rsidP="00876C31">
      <w:pPr>
        <w:spacing w:line="360" w:lineRule="auto"/>
        <w:ind w:firstLineChars="200" w:firstLine="562"/>
        <w:rPr>
          <w:rFonts w:ascii="仿宋_GB2312" w:hAnsi="Times New Roman"/>
          <w:b/>
          <w:sz w:val="28"/>
          <w:szCs w:val="21"/>
        </w:rPr>
      </w:pPr>
      <w:r>
        <w:rPr>
          <w:rFonts w:ascii="仿宋_GB2312" w:hAnsi="Times New Roman" w:hint="eastAsia"/>
          <w:b/>
          <w:sz w:val="28"/>
          <w:szCs w:val="21"/>
        </w:rPr>
        <w:t>学时：</w:t>
      </w:r>
      <w:r>
        <w:rPr>
          <w:rFonts w:ascii="仿宋_GB2312" w:hAnsi="Times New Roman" w:hint="eastAsia"/>
          <w:sz w:val="28"/>
          <w:szCs w:val="21"/>
        </w:rPr>
        <w:t>32学时（授课32学时，实验0学时，上机0学时，课外0学时）</w:t>
      </w:r>
    </w:p>
    <w:p w:rsidR="00876C31" w:rsidRDefault="00876C31" w:rsidP="00876C31">
      <w:pPr>
        <w:spacing w:line="360" w:lineRule="auto"/>
        <w:ind w:firstLineChars="200" w:firstLine="562"/>
        <w:rPr>
          <w:rFonts w:ascii="仿宋_GB2312" w:hAnsi="Times New Roman"/>
          <w:b/>
          <w:sz w:val="28"/>
          <w:szCs w:val="21"/>
        </w:rPr>
      </w:pPr>
      <w:r>
        <w:rPr>
          <w:rFonts w:ascii="仿宋_GB2312" w:hAnsi="Times New Roman" w:hint="eastAsia"/>
          <w:b/>
          <w:sz w:val="28"/>
          <w:szCs w:val="21"/>
        </w:rPr>
        <w:t>适用对象：</w:t>
      </w:r>
      <w:r>
        <w:rPr>
          <w:rFonts w:ascii="仿宋_GB2312" w:hAnsi="Times New Roman" w:hint="eastAsia"/>
          <w:sz w:val="28"/>
          <w:szCs w:val="21"/>
        </w:rPr>
        <w:t>土木工程专业</w:t>
      </w:r>
    </w:p>
    <w:p w:rsidR="00876C31" w:rsidRDefault="00876C31" w:rsidP="00876C31">
      <w:pPr>
        <w:spacing w:line="360" w:lineRule="auto"/>
        <w:ind w:firstLineChars="200" w:firstLine="562"/>
        <w:rPr>
          <w:rFonts w:ascii="仿宋_GB2312" w:hAnsi="Times New Roman"/>
          <w:sz w:val="28"/>
          <w:szCs w:val="21"/>
        </w:rPr>
      </w:pPr>
      <w:r>
        <w:rPr>
          <w:rFonts w:ascii="仿宋_GB2312" w:hAnsi="Times New Roman" w:hint="eastAsia"/>
          <w:b/>
          <w:sz w:val="28"/>
          <w:szCs w:val="21"/>
        </w:rPr>
        <w:t>先修课程：</w:t>
      </w:r>
      <w:r>
        <w:rPr>
          <w:rFonts w:ascii="仿宋_GB2312" w:hAnsi="Times New Roman" w:hint="eastAsia"/>
          <w:sz w:val="28"/>
          <w:szCs w:val="21"/>
        </w:rPr>
        <w:t>结构力学、混凝土结构设计原理、基础工程</w:t>
      </w:r>
    </w:p>
    <w:p w:rsidR="00876C31" w:rsidRDefault="00876C31" w:rsidP="00876C31">
      <w:pPr>
        <w:spacing w:line="360" w:lineRule="auto"/>
        <w:ind w:firstLineChars="200" w:firstLine="562"/>
        <w:rPr>
          <w:rFonts w:ascii="仿宋_GB2312" w:hAnsi="Times New Roman"/>
          <w:sz w:val="28"/>
          <w:szCs w:val="21"/>
        </w:rPr>
      </w:pPr>
      <w:r>
        <w:rPr>
          <w:rFonts w:ascii="仿宋_GB2312" w:hAnsi="Times New Roman" w:hint="eastAsia"/>
          <w:b/>
          <w:sz w:val="28"/>
          <w:szCs w:val="21"/>
        </w:rPr>
        <w:t>开课院系：</w:t>
      </w:r>
      <w:r>
        <w:rPr>
          <w:rFonts w:ascii="仿宋_GB2312" w:hAnsi="Times New Roman" w:hint="eastAsia"/>
          <w:sz w:val="28"/>
          <w:szCs w:val="21"/>
        </w:rPr>
        <w:t>建筑工程学院工程造价与施工教研室</w:t>
      </w:r>
    </w:p>
    <w:p w:rsidR="00876C31" w:rsidRDefault="00876C31" w:rsidP="00876C31">
      <w:pPr>
        <w:spacing w:line="360" w:lineRule="auto"/>
        <w:outlineLvl w:val="0"/>
        <w:rPr>
          <w:rFonts w:ascii="Times New Roman" w:eastAsia="黑体" w:hAnsi="Times New Roman"/>
          <w:b/>
          <w:sz w:val="28"/>
          <w:szCs w:val="28"/>
        </w:rPr>
      </w:pPr>
      <w:r>
        <w:rPr>
          <w:rFonts w:ascii="Times New Roman" w:eastAsia="黑体" w:hAnsi="Times New Roman"/>
          <w:b/>
          <w:sz w:val="28"/>
          <w:szCs w:val="28"/>
        </w:rPr>
        <w:t>二、课程简介</w:t>
      </w:r>
    </w:p>
    <w:p w:rsidR="00876C31" w:rsidRDefault="00876C31" w:rsidP="00876C31">
      <w:pPr>
        <w:spacing w:line="360" w:lineRule="auto"/>
        <w:ind w:firstLineChars="200" w:firstLine="560"/>
        <w:rPr>
          <w:rFonts w:ascii="仿宋_GB2312" w:hAnsi="宋体"/>
          <w:sz w:val="28"/>
          <w:szCs w:val="21"/>
        </w:rPr>
      </w:pPr>
      <w:r>
        <w:rPr>
          <w:rFonts w:ascii="仿宋_GB2312" w:hAnsi="宋体" w:hint="eastAsia"/>
          <w:sz w:val="28"/>
          <w:szCs w:val="21"/>
        </w:rPr>
        <w:t>《土木工程施工技术》是土木工程专业的专业必修课，是研究土木工程结构建造中的工艺原理、施工方法的科学。通过本课程的学习，使学生掌握各工种工程的施工过程，为后续各专业方向的学习打下基础。</w:t>
      </w:r>
    </w:p>
    <w:p w:rsidR="00876C31" w:rsidRDefault="00876C31" w:rsidP="00876C31">
      <w:pPr>
        <w:spacing w:line="360" w:lineRule="auto"/>
        <w:ind w:firstLineChars="200" w:firstLine="560"/>
        <w:rPr>
          <w:rFonts w:ascii="仿宋_GB2312" w:hAnsi="宋体"/>
          <w:sz w:val="28"/>
          <w:szCs w:val="21"/>
        </w:rPr>
      </w:pPr>
      <w:r>
        <w:rPr>
          <w:rFonts w:ascii="仿宋_GB2312" w:hAnsi="宋体" w:hint="eastAsia"/>
          <w:sz w:val="28"/>
          <w:szCs w:val="21"/>
        </w:rPr>
        <w:t>本课程使用多媒体教学手段，生动、形象地展示课程内容，辅以课后答疑，引导学生将所学专业知识与实际工程相结合，培养学生解决工程实际问题的能力。</w:t>
      </w:r>
    </w:p>
    <w:p w:rsidR="00876C31" w:rsidRDefault="00876C31" w:rsidP="00876C31">
      <w:pPr>
        <w:spacing w:line="360" w:lineRule="auto"/>
        <w:outlineLvl w:val="0"/>
        <w:rPr>
          <w:rFonts w:ascii="Times New Roman" w:eastAsia="黑体" w:hAnsi="Times New Roman"/>
          <w:b/>
          <w:sz w:val="28"/>
          <w:szCs w:val="28"/>
        </w:rPr>
      </w:pPr>
      <w:r>
        <w:rPr>
          <w:rFonts w:ascii="Times New Roman" w:eastAsia="黑体" w:hAnsi="Times New Roman"/>
          <w:b/>
          <w:sz w:val="28"/>
          <w:szCs w:val="28"/>
        </w:rPr>
        <w:lastRenderedPageBreak/>
        <w:t>三、课程任务、目的与要求</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1.课程任务与目的</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通过本课程的学习，使学生掌握土木工程施工技术的基本知识、基本理论和基本方法，掌握土木工程各主要工种工程的施工工艺和方法，能合理选择施工方案，具备分析和解决土木工程施工技术问题的初步能力；了解近年来我国在土木工程施工领域取得的巨大成就，</w:t>
      </w:r>
      <w:r>
        <w:rPr>
          <w:rFonts w:ascii="仿宋_GB2312" w:hAnsi="Times New Roman" w:hint="eastAsia"/>
          <w:sz w:val="28"/>
          <w:szCs w:val="24"/>
        </w:rPr>
        <w:t>竖立民族自信，激发学生的家国情怀，培养学生理解并遵守土木工程职业道德和行为规范，做到责任担当、贡献国家、服务社会。</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2.课程基本要求</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（1）课程目标</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通过本课程的学习，学生应具备以下几方面的能力：</w:t>
      </w:r>
    </w:p>
    <w:p w:rsidR="00876C31" w:rsidRDefault="00876C31" w:rsidP="00876C31">
      <w:pPr>
        <w:spacing w:line="360" w:lineRule="auto"/>
        <w:ind w:firstLineChars="200" w:firstLine="560"/>
        <w:rPr>
          <w:rFonts w:ascii="仿宋_GB2312" w:hAnsi="Times New Roman"/>
          <w:sz w:val="28"/>
          <w:szCs w:val="21"/>
        </w:rPr>
      </w:pPr>
      <w:r>
        <w:rPr>
          <w:rFonts w:ascii="仿宋_GB2312" w:hAnsi="宋体" w:cs="宋体" w:hint="eastAsia"/>
          <w:sz w:val="28"/>
          <w:szCs w:val="21"/>
        </w:rPr>
        <w:t>①</w:t>
      </w:r>
      <w:r>
        <w:rPr>
          <w:rFonts w:ascii="仿宋_GB2312" w:hAnsi="Times New Roman" w:hint="eastAsia"/>
          <w:sz w:val="28"/>
          <w:szCs w:val="21"/>
        </w:rPr>
        <w:t>了解我国土木工程施工技术的发展历程，学习我国古代工匠的聪明才智，感受我国古代文明；</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②了解我国土木工程施工领域近年来取得的巨大成就，</w:t>
      </w:r>
      <w:r>
        <w:rPr>
          <w:rFonts w:ascii="仿宋_GB2312" w:hAnsi="Times New Roman" w:hint="eastAsia"/>
          <w:sz w:val="28"/>
          <w:szCs w:val="24"/>
        </w:rPr>
        <w:t>竖立民族自豪感，提升四个自信，培养学生的大国工匠精神，激发学生的家国情怀；</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③掌握基础施工中涉及的土方开挖、降水、支护，深基础施工工艺方法，土方回填与压实的施工工艺，机械设备工作原理及其选择；</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④掌握一般的混凝土结构、预应力混凝土结构、钢结构施工中所涉及的各主要工种工程施工工艺和机械设备；</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⑤掌握模板、脚手架、及各种临时支撑系统的设计和计算方法；</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⑥通过本课程学习，学生能够具备确定一般结构的施工方案、简</w:t>
      </w:r>
      <w:r>
        <w:rPr>
          <w:rFonts w:ascii="仿宋_GB2312" w:hAnsi="Times New Roman" w:hint="eastAsia"/>
          <w:sz w:val="28"/>
          <w:szCs w:val="21"/>
        </w:rPr>
        <w:lastRenderedPageBreak/>
        <w:t>单的施工力学分析和计算的能力；</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⑦了解土木工程施工事故特点及其影响，通过典型工程事故教育引导学生深刻理解土木工程师对公众的安全、健康和福祉，以及环境保护的社会责任，并能够在工程实践中自觉履行；</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⑧增强学生在工程设计和施工过程中的责任意识和安全意识，培养学生的土木工程师职业责任感和大国工匠精神。</w:t>
      </w:r>
    </w:p>
    <w:p w:rsidR="00876C31" w:rsidRDefault="00876C31" w:rsidP="00876C31">
      <w:pPr>
        <w:spacing w:line="360" w:lineRule="auto"/>
        <w:ind w:firstLineChars="302" w:firstLine="606"/>
        <w:jc w:val="center"/>
        <w:rPr>
          <w:rFonts w:ascii="仿宋_GB2312" w:hAnsi="Times New Roman"/>
          <w:b/>
          <w:sz w:val="20"/>
          <w:szCs w:val="20"/>
        </w:rPr>
      </w:pPr>
      <w:r>
        <w:rPr>
          <w:rFonts w:ascii="仿宋_GB2312" w:hAnsi="Times New Roman" w:hint="eastAsia"/>
          <w:b/>
          <w:sz w:val="20"/>
          <w:szCs w:val="20"/>
        </w:rPr>
        <w:t xml:space="preserve">表1  </w:t>
      </w:r>
      <w:r>
        <w:rPr>
          <w:rFonts w:ascii="仿宋_GB2312" w:hAnsi="Times New Roman" w:hint="eastAsia"/>
          <w:bCs/>
          <w:sz w:val="20"/>
          <w:szCs w:val="20"/>
        </w:rPr>
        <w:t>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5848"/>
        <w:gridCol w:w="1073"/>
      </w:tblGrid>
      <w:tr w:rsidR="00876C31" w:rsidTr="00BE5664">
        <w:trPr>
          <w:trHeight w:val="560"/>
          <w:jc w:val="center"/>
        </w:trPr>
        <w:tc>
          <w:tcPr>
            <w:tcW w:w="1470"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毕业要求标准</w:t>
            </w:r>
          </w:p>
        </w:tc>
        <w:tc>
          <w:tcPr>
            <w:tcW w:w="6379"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ind w:firstLineChars="302" w:firstLine="604"/>
              <w:jc w:val="center"/>
              <w:rPr>
                <w:rFonts w:ascii="仿宋_GB2312" w:hAnsi="Times New Roman"/>
                <w:bCs/>
                <w:sz w:val="20"/>
                <w:szCs w:val="20"/>
              </w:rPr>
            </w:pPr>
            <w:r>
              <w:rPr>
                <w:rFonts w:ascii="仿宋_GB2312" w:hAnsi="Times New Roman" w:hint="eastAsia"/>
                <w:bCs/>
                <w:sz w:val="20"/>
                <w:szCs w:val="20"/>
              </w:rPr>
              <w:t>指标点</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课程目标</w:t>
            </w:r>
          </w:p>
        </w:tc>
      </w:tr>
      <w:tr w:rsidR="00876C31" w:rsidTr="00BE5664">
        <w:trPr>
          <w:trHeight w:val="560"/>
          <w:jc w:val="center"/>
        </w:trPr>
        <w:tc>
          <w:tcPr>
            <w:tcW w:w="1470" w:type="dxa"/>
            <w:tcBorders>
              <w:top w:val="single" w:sz="4" w:space="0" w:color="auto"/>
              <w:left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1工程知识</w:t>
            </w:r>
          </w:p>
        </w:tc>
        <w:tc>
          <w:tcPr>
            <w:tcW w:w="6379" w:type="dxa"/>
            <w:tcBorders>
              <w:top w:val="single" w:sz="4" w:space="0" w:color="auto"/>
              <w:left w:val="single" w:sz="4" w:space="0" w:color="auto"/>
              <w:right w:val="single" w:sz="4" w:space="0" w:color="auto"/>
            </w:tcBorders>
            <w:vAlign w:val="center"/>
          </w:tcPr>
          <w:p w:rsidR="00876C31" w:rsidRDefault="00876C31" w:rsidP="00BE5664">
            <w:pPr>
              <w:rPr>
                <w:rFonts w:ascii="仿宋_GB2312" w:hAnsi="Times New Roman"/>
                <w:bCs/>
                <w:sz w:val="20"/>
                <w:szCs w:val="20"/>
              </w:rPr>
            </w:pPr>
            <w:r>
              <w:rPr>
                <w:rFonts w:ascii="仿宋_GB2312" w:hAnsi="Times New Roman" w:hint="eastAsia"/>
                <w:bCs/>
                <w:sz w:val="20"/>
                <w:szCs w:val="20"/>
              </w:rPr>
              <w:t>1.4掌握土木工程专业知识，具备知识交叉融合能力，应用于解决土木工程专业复杂工程问题。</w:t>
            </w:r>
          </w:p>
        </w:tc>
        <w:tc>
          <w:tcPr>
            <w:tcW w:w="1134" w:type="dxa"/>
            <w:tcBorders>
              <w:top w:val="single" w:sz="4" w:space="0" w:color="auto"/>
              <w:left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3、4、5、6</w:t>
            </w:r>
          </w:p>
        </w:tc>
      </w:tr>
      <w:tr w:rsidR="00876C31" w:rsidTr="00BE5664">
        <w:trPr>
          <w:trHeight w:val="560"/>
          <w:jc w:val="center"/>
        </w:trPr>
        <w:tc>
          <w:tcPr>
            <w:tcW w:w="1470" w:type="dxa"/>
            <w:tcBorders>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2问题分析</w:t>
            </w:r>
          </w:p>
        </w:tc>
        <w:tc>
          <w:tcPr>
            <w:tcW w:w="6379"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rPr>
                <w:rFonts w:ascii="仿宋_GB2312" w:hAnsi="Times New Roman"/>
                <w:bCs/>
                <w:sz w:val="20"/>
                <w:szCs w:val="20"/>
              </w:rPr>
            </w:pPr>
            <w:r>
              <w:rPr>
                <w:rFonts w:ascii="仿宋_GB2312" w:hAnsi="Times New Roman" w:hint="eastAsia"/>
                <w:bCs/>
                <w:sz w:val="20"/>
                <w:szCs w:val="20"/>
              </w:rPr>
              <w:t>2.3 能够正确、合理运用专业知识，识别、判断和表达土木工程专业复杂工程问题的本质特征、关键环节，并能提供多种解决方案。</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6、7</w:t>
            </w:r>
          </w:p>
        </w:tc>
      </w:tr>
      <w:tr w:rsidR="00876C31" w:rsidTr="00BE5664">
        <w:trPr>
          <w:trHeight w:val="560"/>
          <w:jc w:val="center"/>
        </w:trPr>
        <w:tc>
          <w:tcPr>
            <w:tcW w:w="1470" w:type="dxa"/>
            <w:tcBorders>
              <w:left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3.设计能力</w:t>
            </w:r>
          </w:p>
        </w:tc>
        <w:tc>
          <w:tcPr>
            <w:tcW w:w="6379" w:type="dxa"/>
            <w:vAlign w:val="center"/>
          </w:tcPr>
          <w:p w:rsidR="00876C31" w:rsidRDefault="00876C31" w:rsidP="00BE5664">
            <w:pPr>
              <w:rPr>
                <w:rFonts w:ascii="仿宋_GB2312" w:hAnsi="Times New Roman"/>
                <w:bCs/>
                <w:sz w:val="20"/>
                <w:szCs w:val="20"/>
              </w:rPr>
            </w:pPr>
            <w:r>
              <w:rPr>
                <w:rFonts w:ascii="仿宋_GB2312" w:hAnsi="Times New Roman" w:hint="eastAsia"/>
                <w:bCs/>
                <w:sz w:val="20"/>
                <w:szCs w:val="20"/>
              </w:rPr>
              <w:t>3.3 能够进行施工方案、工艺流程等系统分析和优化设计，并体现创新意识。</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6、7</w:t>
            </w:r>
          </w:p>
        </w:tc>
      </w:tr>
      <w:tr w:rsidR="00876C31" w:rsidTr="00BE5664">
        <w:trPr>
          <w:trHeight w:val="560"/>
          <w:jc w:val="center"/>
        </w:trPr>
        <w:tc>
          <w:tcPr>
            <w:tcW w:w="1470" w:type="dxa"/>
            <w:tcBorders>
              <w:left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5.现代工具使用能力</w:t>
            </w:r>
          </w:p>
        </w:tc>
        <w:tc>
          <w:tcPr>
            <w:tcW w:w="6379" w:type="dxa"/>
            <w:vAlign w:val="center"/>
          </w:tcPr>
          <w:p w:rsidR="00876C31" w:rsidRDefault="00876C31" w:rsidP="00BE5664">
            <w:pPr>
              <w:rPr>
                <w:rFonts w:ascii="仿宋_GB2312" w:hAnsi="Times New Roman"/>
                <w:bCs/>
                <w:sz w:val="20"/>
                <w:szCs w:val="20"/>
              </w:rPr>
            </w:pPr>
            <w:r>
              <w:rPr>
                <w:rFonts w:ascii="仿宋_GB2312" w:hAnsi="Times New Roman" w:hint="eastAsia"/>
                <w:bCs/>
                <w:sz w:val="20"/>
                <w:szCs w:val="20"/>
              </w:rPr>
              <w:t>5.3能够开发、选用恰当的现代工具，对土木工程专业特定复杂工程问题进行预测和模拟，并能够分析其局限性。</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6、7</w:t>
            </w:r>
          </w:p>
        </w:tc>
      </w:tr>
      <w:tr w:rsidR="00876C31" w:rsidTr="00BE5664">
        <w:trPr>
          <w:trHeight w:val="560"/>
          <w:jc w:val="center"/>
        </w:trPr>
        <w:tc>
          <w:tcPr>
            <w:tcW w:w="1470" w:type="dxa"/>
            <w:tcBorders>
              <w:left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6.工程评价能力</w:t>
            </w:r>
          </w:p>
        </w:tc>
        <w:tc>
          <w:tcPr>
            <w:tcW w:w="6379" w:type="dxa"/>
            <w:vAlign w:val="center"/>
          </w:tcPr>
          <w:p w:rsidR="00876C31" w:rsidRDefault="00876C31" w:rsidP="00BE5664">
            <w:pPr>
              <w:rPr>
                <w:rFonts w:ascii="仿宋_GB2312" w:hAnsi="Times New Roman"/>
                <w:bCs/>
                <w:sz w:val="20"/>
                <w:szCs w:val="20"/>
              </w:rPr>
            </w:pPr>
            <w:r>
              <w:rPr>
                <w:rFonts w:ascii="仿宋_GB2312" w:hAnsi="Times New Roman" w:hint="eastAsia"/>
                <w:bCs/>
                <w:sz w:val="20"/>
                <w:szCs w:val="20"/>
              </w:rPr>
              <w:t>6.2能够分析并合理评价土木工程专业工程实践和复杂工程问题的解决方案对社会、健康、安全、法律以及文化的影响，以及这些制约因素对项目实施的影响，并理解土木工程师应承担的社会责任。</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1、2、8</w:t>
            </w:r>
          </w:p>
        </w:tc>
      </w:tr>
      <w:tr w:rsidR="00876C31" w:rsidTr="00BE5664">
        <w:trPr>
          <w:trHeight w:val="560"/>
          <w:jc w:val="center"/>
        </w:trPr>
        <w:tc>
          <w:tcPr>
            <w:tcW w:w="1470" w:type="dxa"/>
            <w:tcBorders>
              <w:left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11.项目管理能力</w:t>
            </w:r>
          </w:p>
        </w:tc>
        <w:tc>
          <w:tcPr>
            <w:tcW w:w="6379" w:type="dxa"/>
            <w:vAlign w:val="center"/>
          </w:tcPr>
          <w:p w:rsidR="00876C31" w:rsidRDefault="00876C31" w:rsidP="00BE5664">
            <w:pPr>
              <w:rPr>
                <w:rFonts w:ascii="仿宋_GB2312" w:hAnsi="Times New Roman"/>
                <w:bCs/>
                <w:sz w:val="20"/>
                <w:szCs w:val="20"/>
              </w:rPr>
            </w:pPr>
            <w:r>
              <w:rPr>
                <w:rFonts w:ascii="仿宋_GB2312" w:hAnsi="Times New Roman" w:hint="eastAsia"/>
                <w:bCs/>
                <w:sz w:val="20"/>
                <w:szCs w:val="20"/>
              </w:rPr>
              <w:t>11.2了解工程及产品全周期、全流程的成本构成，并能够在设计/开发解决方案的过程中，正确运用工程管理与经济决策方法，具备一定的工程项目管理能力。</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6、7、8</w:t>
            </w:r>
          </w:p>
        </w:tc>
      </w:tr>
    </w:tbl>
    <w:p w:rsidR="00876C31" w:rsidRDefault="00876C31" w:rsidP="00876C31">
      <w:pPr>
        <w:spacing w:beforeLines="50" w:before="156" w:line="360" w:lineRule="auto"/>
        <w:ind w:firstLineChars="200" w:firstLine="560"/>
        <w:rPr>
          <w:rFonts w:ascii="仿宋_GB2312" w:hAnsi="Times New Roman"/>
          <w:sz w:val="28"/>
          <w:szCs w:val="21"/>
        </w:rPr>
      </w:pPr>
      <w:r>
        <w:rPr>
          <w:rFonts w:ascii="仿宋_GB2312" w:hAnsi="Times New Roman" w:hint="eastAsia"/>
          <w:sz w:val="28"/>
          <w:szCs w:val="21"/>
        </w:rPr>
        <w:t>（2）本课程的重点、难点</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教学重点：土方开挖、深基础施工工艺、混凝土工程施工工艺、预应力混凝土工程施工工艺、钢结构工程施工，结构安装。</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教学难点：土方调配、降水设计、模板及支撑设计计算、脚手架验算方法。</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（3）课程思政切入</w:t>
      </w:r>
    </w:p>
    <w:p w:rsidR="00876C31" w:rsidRDefault="00876C31" w:rsidP="00876C31">
      <w:pPr>
        <w:spacing w:line="360" w:lineRule="auto"/>
        <w:ind w:firstLineChars="200" w:firstLine="560"/>
        <w:rPr>
          <w:rFonts w:ascii="仿宋_GB2312" w:hAnsi="Times New Roman"/>
          <w:sz w:val="28"/>
          <w:szCs w:val="24"/>
        </w:rPr>
      </w:pPr>
      <w:r>
        <w:rPr>
          <w:rFonts w:ascii="仿宋_GB2312" w:hAnsi="宋体" w:cs="宋体" w:hint="eastAsia"/>
          <w:sz w:val="28"/>
          <w:szCs w:val="21"/>
        </w:rPr>
        <w:lastRenderedPageBreak/>
        <w:t>①</w:t>
      </w:r>
      <w:r>
        <w:rPr>
          <w:rFonts w:ascii="仿宋_GB2312" w:hAnsi="Times New Roman" w:hint="eastAsia"/>
          <w:sz w:val="28"/>
          <w:szCs w:val="24"/>
        </w:rPr>
        <w:t>通过国内外典型土木工程施工事故案例分析，引导学生理解土木工程师对公众的安全、健康和福祉，以及环境保护的社会责任，并能够在工程实践中自觉履行。</w:t>
      </w:r>
    </w:p>
    <w:p w:rsidR="00876C31" w:rsidRDefault="00876C31" w:rsidP="00876C31">
      <w:pPr>
        <w:spacing w:line="360" w:lineRule="auto"/>
        <w:ind w:firstLineChars="200" w:firstLine="560"/>
        <w:rPr>
          <w:rFonts w:ascii="仿宋_GB2312" w:hAnsi="宋体" w:cs="宋体"/>
          <w:sz w:val="28"/>
          <w:szCs w:val="21"/>
        </w:rPr>
      </w:pPr>
      <w:r>
        <w:rPr>
          <w:rFonts w:ascii="仿宋_GB2312" w:hAnsi="宋体" w:cs="宋体" w:hint="eastAsia"/>
          <w:sz w:val="28"/>
          <w:szCs w:val="21"/>
        </w:rPr>
        <w:t>②结合土木工程施工技术的发展，强调创新的重要性，只有创新，才可以打破传统的思维模式，才可以不断取得进步，创新是土木工程专业不断取得突破的不竭动力和源泉。</w:t>
      </w:r>
    </w:p>
    <w:p w:rsidR="00876C31" w:rsidRDefault="00876C31" w:rsidP="00876C31">
      <w:pPr>
        <w:spacing w:line="360" w:lineRule="auto"/>
        <w:ind w:firstLineChars="200" w:firstLine="560"/>
        <w:rPr>
          <w:rFonts w:ascii="仿宋_GB2312" w:hAnsi="Times New Roman"/>
          <w:sz w:val="28"/>
          <w:szCs w:val="24"/>
        </w:rPr>
      </w:pPr>
      <w:r>
        <w:rPr>
          <w:rFonts w:ascii="仿宋_GB2312" w:hAnsi="宋体" w:cs="宋体" w:hint="eastAsia"/>
          <w:sz w:val="28"/>
          <w:szCs w:val="21"/>
        </w:rPr>
        <w:t>③</w:t>
      </w:r>
      <w:r>
        <w:rPr>
          <w:rFonts w:ascii="仿宋_GB2312" w:hAnsi="Times New Roman" w:hint="eastAsia"/>
          <w:sz w:val="28"/>
          <w:szCs w:val="24"/>
        </w:rPr>
        <w:t>结合北京奥运工程、上海世博工程等重大工程，引领学生竖立民族自豪感，培养学生的大国工匠精神，激发学生的家国情怀。</w:t>
      </w:r>
    </w:p>
    <w:p w:rsidR="00876C31" w:rsidRDefault="00876C31" w:rsidP="00876C31">
      <w:pPr>
        <w:spacing w:line="360" w:lineRule="auto"/>
        <w:ind w:firstLineChars="200" w:firstLine="560"/>
        <w:rPr>
          <w:sz w:val="28"/>
          <w:szCs w:val="24"/>
        </w:rPr>
      </w:pPr>
      <w:r>
        <w:rPr>
          <w:rFonts w:ascii="仿宋_GB2312" w:hAnsi="宋体" w:cs="宋体" w:hint="eastAsia"/>
          <w:sz w:val="28"/>
          <w:szCs w:val="21"/>
        </w:rPr>
        <w:t>④</w:t>
      </w:r>
      <w:r>
        <w:rPr>
          <w:rFonts w:cs="宋体" w:hint="eastAsia"/>
          <w:sz w:val="28"/>
          <w:szCs w:val="21"/>
        </w:rPr>
        <w:t>结合第十四届全运会西安奥体中心工程</w:t>
      </w:r>
      <w:r>
        <w:rPr>
          <w:rFonts w:ascii="仿宋_GB2312" w:hAnsi="Times New Roman" w:hint="eastAsia"/>
          <w:sz w:val="28"/>
          <w:szCs w:val="24"/>
        </w:rPr>
        <w:t>建设，引导学生树立建设祖国、造福家乡、服务人民的人类命运共同体观念，并建立以此作为自我价值实现途径的信念。</w:t>
      </w:r>
    </w:p>
    <w:p w:rsidR="00876C31" w:rsidRDefault="00876C31" w:rsidP="00876C31">
      <w:pPr>
        <w:spacing w:line="360" w:lineRule="auto"/>
        <w:ind w:firstLineChars="200" w:firstLine="560"/>
        <w:rPr>
          <w:rFonts w:ascii="仿宋_GB2312" w:hAnsi="Times New Roman"/>
          <w:sz w:val="28"/>
          <w:szCs w:val="24"/>
        </w:rPr>
      </w:pPr>
      <w:r>
        <w:rPr>
          <w:rFonts w:ascii="仿宋_GB2312" w:hAnsi="宋体" w:cs="宋体" w:hint="eastAsia"/>
          <w:sz w:val="28"/>
          <w:szCs w:val="21"/>
        </w:rPr>
        <w:t>⑤</w:t>
      </w:r>
      <w:r>
        <w:rPr>
          <w:rFonts w:ascii="仿宋_GB2312" w:hAnsi="Times New Roman" w:hint="eastAsia"/>
          <w:sz w:val="28"/>
          <w:szCs w:val="24"/>
        </w:rPr>
        <w:t>通过不同地区土木工程施工项目的介绍，引导学生了解中国不同地区的区域地质特征和民俗风情，使学生对祖国各地基本国情有更加深入的了解。</w:t>
      </w:r>
    </w:p>
    <w:p w:rsidR="00876C31" w:rsidRDefault="00876C31" w:rsidP="00876C31">
      <w:pPr>
        <w:spacing w:line="360" w:lineRule="auto"/>
        <w:ind w:firstLineChars="200" w:firstLine="560"/>
        <w:rPr>
          <w:rFonts w:ascii="仿宋_GB2312" w:hAnsi="Times New Roman"/>
          <w:sz w:val="28"/>
          <w:szCs w:val="24"/>
        </w:rPr>
      </w:pPr>
      <w:r>
        <w:rPr>
          <w:rFonts w:ascii="仿宋_GB2312" w:hAnsi="宋体" w:cs="宋体" w:hint="eastAsia"/>
          <w:sz w:val="28"/>
          <w:szCs w:val="21"/>
        </w:rPr>
        <w:t>⑥</w:t>
      </w:r>
      <w:r>
        <w:rPr>
          <w:rFonts w:ascii="仿宋_GB2312" w:hAnsi="Times New Roman" w:hint="eastAsia"/>
          <w:sz w:val="28"/>
          <w:szCs w:val="24"/>
        </w:rPr>
        <w:t>依托典型土木工程施工项目，引入工程施工中应遵守的职业道德和行为规范，培养学生的社会责任感，理解诚实公正、诚信守则的土木工程职业道德和行为规范，并能够在工程实践中自觉遵守，做到责任担当、贡献国家、服务社会。</w:t>
      </w:r>
    </w:p>
    <w:p w:rsidR="00876C31" w:rsidRDefault="00876C31" w:rsidP="00876C31">
      <w:pPr>
        <w:spacing w:line="360" w:lineRule="auto"/>
        <w:ind w:firstLineChars="200" w:firstLine="560"/>
        <w:rPr>
          <w:rFonts w:ascii="仿宋_GB2312" w:hAnsi="Times New Roman"/>
          <w:sz w:val="28"/>
          <w:szCs w:val="24"/>
        </w:rPr>
      </w:pPr>
      <w:r>
        <w:rPr>
          <w:rFonts w:ascii="仿宋_GB2312" w:hAnsi="Times New Roman" w:hint="eastAsia"/>
          <w:sz w:val="28"/>
          <w:szCs w:val="24"/>
        </w:rPr>
        <w:t>⑦通过课堂分组讨论，使学生理解团队合作在解决专业复杂工程问题中的重要性，只有相互之间的紧密配合和精诚合作，大型复杂工程建设才会从蓝图变为现实。</w:t>
      </w:r>
    </w:p>
    <w:p w:rsidR="00876C31" w:rsidRDefault="00876C31" w:rsidP="00876C31">
      <w:pPr>
        <w:spacing w:line="360" w:lineRule="auto"/>
        <w:outlineLvl w:val="0"/>
        <w:rPr>
          <w:rFonts w:ascii="Times New Roman" w:eastAsia="黑体" w:hAnsi="Times New Roman"/>
          <w:b/>
          <w:sz w:val="28"/>
          <w:szCs w:val="28"/>
        </w:rPr>
      </w:pPr>
      <w:r>
        <w:rPr>
          <w:rFonts w:ascii="Times New Roman" w:eastAsia="黑体" w:hAnsi="Times New Roman"/>
          <w:b/>
          <w:sz w:val="28"/>
          <w:szCs w:val="28"/>
        </w:rPr>
        <w:t>四、教学内容安排</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920"/>
        <w:gridCol w:w="630"/>
        <w:gridCol w:w="2743"/>
        <w:gridCol w:w="3350"/>
      </w:tblGrid>
      <w:tr w:rsidR="00876C31" w:rsidTr="00BE5664">
        <w:trPr>
          <w:cantSplit/>
          <w:trHeight w:val="486"/>
          <w:tblHeader/>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lastRenderedPageBreak/>
              <w:t>序</w:t>
            </w:r>
          </w:p>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号</w:t>
            </w:r>
          </w:p>
        </w:tc>
        <w:tc>
          <w:tcPr>
            <w:tcW w:w="1920"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章  节</w:t>
            </w:r>
          </w:p>
        </w:tc>
        <w:tc>
          <w:tcPr>
            <w:tcW w:w="630"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参考学时</w:t>
            </w:r>
          </w:p>
        </w:tc>
        <w:tc>
          <w:tcPr>
            <w:tcW w:w="2743"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教学内容</w:t>
            </w:r>
          </w:p>
        </w:tc>
        <w:tc>
          <w:tcPr>
            <w:tcW w:w="3350"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基本要求</w:t>
            </w:r>
          </w:p>
        </w:tc>
      </w:tr>
      <w:tr w:rsidR="00876C31" w:rsidTr="00BE5664">
        <w:trPr>
          <w:trHeight w:val="428"/>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1</w:t>
            </w:r>
          </w:p>
        </w:tc>
        <w:tc>
          <w:tcPr>
            <w:tcW w:w="1920" w:type="dxa"/>
            <w:vAlign w:val="center"/>
          </w:tcPr>
          <w:p w:rsidR="00876C31" w:rsidRDefault="00876C31" w:rsidP="00BE5664">
            <w:pPr>
              <w:ind w:left="600" w:hangingChars="300" w:hanging="600"/>
              <w:rPr>
                <w:rFonts w:ascii="仿宋_GB2312" w:hAnsi="Times New Roman"/>
                <w:sz w:val="20"/>
                <w:szCs w:val="20"/>
              </w:rPr>
            </w:pPr>
            <w:r>
              <w:rPr>
                <w:rFonts w:ascii="仿宋_GB2312" w:hAnsi="Times New Roman" w:hint="eastAsia"/>
                <w:sz w:val="20"/>
                <w:szCs w:val="20"/>
              </w:rPr>
              <w:t>第一章 土方工程</w:t>
            </w:r>
          </w:p>
        </w:tc>
        <w:tc>
          <w:tcPr>
            <w:tcW w:w="630" w:type="dxa"/>
            <w:vAlign w:val="center"/>
          </w:tcPr>
          <w:p w:rsidR="00876C31" w:rsidRDefault="00876C31" w:rsidP="00BE5664">
            <w:pPr>
              <w:ind w:left="600" w:hangingChars="300" w:hanging="600"/>
              <w:jc w:val="center"/>
              <w:rPr>
                <w:rFonts w:ascii="仿宋_GB2312" w:hAnsi="Times New Roman"/>
                <w:sz w:val="20"/>
                <w:szCs w:val="20"/>
              </w:rPr>
            </w:pPr>
            <w:r>
              <w:rPr>
                <w:rFonts w:ascii="仿宋_GB2312" w:hAnsi="Times New Roman" w:hint="eastAsia"/>
                <w:sz w:val="20"/>
                <w:szCs w:val="20"/>
              </w:rPr>
              <w:t>6</w:t>
            </w:r>
          </w:p>
        </w:tc>
        <w:tc>
          <w:tcPr>
            <w:tcW w:w="2743" w:type="dxa"/>
            <w:vAlign w:val="center"/>
          </w:tcPr>
          <w:p w:rsidR="00876C31" w:rsidRDefault="00876C31" w:rsidP="00BE5664">
            <w:pPr>
              <w:rPr>
                <w:rFonts w:ascii="仿宋_GB2312" w:hAnsi="Times New Roman"/>
                <w:sz w:val="20"/>
                <w:szCs w:val="20"/>
              </w:rPr>
            </w:pPr>
          </w:p>
          <w:p w:rsidR="00876C31" w:rsidRDefault="00876C31" w:rsidP="00BE5664">
            <w:pPr>
              <w:rPr>
                <w:rFonts w:ascii="仿宋_GB2312" w:hAnsi="Times New Roman"/>
                <w:sz w:val="20"/>
                <w:szCs w:val="20"/>
              </w:rPr>
            </w:pPr>
            <w:r>
              <w:rPr>
                <w:rFonts w:ascii="仿宋_GB2312" w:hAnsi="Times New Roman" w:hint="eastAsia"/>
                <w:sz w:val="20"/>
                <w:szCs w:val="20"/>
              </w:rPr>
              <w:t>土的工程分类及其工程性质；基坑（槽）和场地平整标高、土方量的计算；边坡稳定条件、影响因素，确保基坑（槽）边坡稳定的技术措施；施工降、排水的主要原理，基坑（槽）降、排水的技术措施；常用土方机械的作业特点及适用范围；填土填筑和压实的要求和方法。</w:t>
            </w:r>
          </w:p>
          <w:p w:rsidR="00876C31" w:rsidRDefault="00876C31" w:rsidP="00BE5664">
            <w:pPr>
              <w:rPr>
                <w:rFonts w:ascii="仿宋_GB2312" w:hAnsi="Times New Roman"/>
                <w:sz w:val="20"/>
                <w:szCs w:val="20"/>
              </w:rPr>
            </w:pPr>
          </w:p>
        </w:tc>
        <w:tc>
          <w:tcPr>
            <w:tcW w:w="3350" w:type="dxa"/>
            <w:vAlign w:val="center"/>
          </w:tcPr>
          <w:p w:rsidR="00876C31" w:rsidRDefault="00876C31" w:rsidP="00BE5664">
            <w:pPr>
              <w:rPr>
                <w:rFonts w:ascii="华文中宋" w:eastAsia="华文中宋" w:hAnsi="华文中宋"/>
              </w:rPr>
            </w:pPr>
            <w:r>
              <w:rPr>
                <w:rFonts w:ascii="仿宋_GB2312" w:hAnsi="Times New Roman" w:hint="eastAsia"/>
                <w:sz w:val="20"/>
                <w:szCs w:val="20"/>
              </w:rPr>
              <w:t>熟悉土的工程分类及其工程性质；掌握基坑（槽）和场地平整标高、土方量的计算；了解边坡稳定条件、影响因素，掌握确保基坑（槽）边坡稳定的技术措施；了解施工降、排水的主要原理，掌握基坑（槽）降、排水的技术措施；熟悉常用土方机械的作业特点及适用范围；掌握填土填筑和压实的要求和方法。</w:t>
            </w:r>
          </w:p>
        </w:tc>
      </w:tr>
      <w:tr w:rsidR="00876C31" w:rsidTr="00BE5664">
        <w:trPr>
          <w:trHeight w:val="519"/>
        </w:trPr>
        <w:tc>
          <w:tcPr>
            <w:tcW w:w="512" w:type="dxa"/>
            <w:vAlign w:val="center"/>
          </w:tcPr>
          <w:p w:rsidR="00876C31" w:rsidRDefault="00876C31" w:rsidP="00BE5664">
            <w:pPr>
              <w:jc w:val="center"/>
              <w:rPr>
                <w:rFonts w:ascii="华文中宋" w:eastAsia="华文中宋" w:hAnsi="华文中宋"/>
              </w:rPr>
            </w:pPr>
            <w:r>
              <w:rPr>
                <w:rFonts w:ascii="仿宋_GB2312" w:hAnsi="Times New Roman" w:hint="eastAsia"/>
                <w:kern w:val="0"/>
                <w:sz w:val="20"/>
                <w:szCs w:val="20"/>
              </w:rPr>
              <w:t>2</w:t>
            </w:r>
          </w:p>
        </w:tc>
        <w:tc>
          <w:tcPr>
            <w:tcW w:w="1920" w:type="dxa"/>
            <w:vAlign w:val="center"/>
          </w:tcPr>
          <w:p w:rsidR="00876C31" w:rsidRDefault="00876C31" w:rsidP="00BE5664">
            <w:pPr>
              <w:ind w:left="600" w:hangingChars="300" w:hanging="600"/>
              <w:jc w:val="center"/>
              <w:rPr>
                <w:rFonts w:ascii="仿宋_GB2312" w:hAnsi="Times New Roman"/>
                <w:sz w:val="20"/>
                <w:szCs w:val="20"/>
              </w:rPr>
            </w:pPr>
            <w:r>
              <w:rPr>
                <w:rFonts w:ascii="仿宋_GB2312" w:hAnsi="Times New Roman" w:hint="eastAsia"/>
                <w:sz w:val="20"/>
                <w:szCs w:val="20"/>
              </w:rPr>
              <w:t>第二章 深基础工程</w:t>
            </w:r>
          </w:p>
        </w:tc>
        <w:tc>
          <w:tcPr>
            <w:tcW w:w="630" w:type="dxa"/>
            <w:vAlign w:val="center"/>
          </w:tcPr>
          <w:p w:rsidR="00876C31" w:rsidRDefault="00876C31" w:rsidP="00BE5664">
            <w:pPr>
              <w:ind w:left="600" w:hangingChars="300" w:hanging="600"/>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钢筋混凝土预制桩的预制、起吊、运输及堆放方法；锤击法施工全过程和施工要点；泥浆护壁灌注桩和干作业成孔灌注桩施工要点；套管成孔灌注桩施工工艺和质量控制方法。</w:t>
            </w:r>
          </w:p>
        </w:tc>
        <w:tc>
          <w:tcPr>
            <w:tcW w:w="3350" w:type="dxa"/>
            <w:vAlign w:val="center"/>
          </w:tcPr>
          <w:p w:rsidR="00876C31" w:rsidRDefault="00876C31" w:rsidP="00BE5664">
            <w:pPr>
              <w:rPr>
                <w:rFonts w:ascii="仿宋_GB2312" w:hAnsi="Times New Roman"/>
                <w:sz w:val="20"/>
                <w:szCs w:val="20"/>
              </w:rPr>
            </w:pPr>
          </w:p>
          <w:p w:rsidR="00876C31" w:rsidRDefault="00876C31" w:rsidP="00BE5664">
            <w:pPr>
              <w:rPr>
                <w:rFonts w:ascii="仿宋_GB2312" w:hAnsi="Times New Roman"/>
                <w:sz w:val="20"/>
                <w:szCs w:val="20"/>
              </w:rPr>
            </w:pPr>
            <w:r>
              <w:rPr>
                <w:rFonts w:ascii="仿宋_GB2312" w:hAnsi="Times New Roman" w:hint="eastAsia"/>
                <w:sz w:val="20"/>
                <w:szCs w:val="20"/>
              </w:rPr>
              <w:t>了解钢筋混凝土预制桩的预制、起吊、运输及堆放方法。掌握锤击法施工全过程和施工要点（打桩设备、打桩顺序、方法和质量控制）。掌握泥浆护壁灌注桩和干作业成孔灌注桩施工要点。掌握套管成孔灌注桩施工工艺和质量控制方法。</w:t>
            </w:r>
          </w:p>
          <w:p w:rsidR="00876C31" w:rsidRDefault="00876C31" w:rsidP="00BE5664">
            <w:pPr>
              <w:rPr>
                <w:rFonts w:ascii="仿宋_GB2312" w:hAnsi="Times New Roman"/>
                <w:sz w:val="20"/>
                <w:szCs w:val="20"/>
              </w:rPr>
            </w:pPr>
          </w:p>
        </w:tc>
      </w:tr>
      <w:tr w:rsidR="00876C31" w:rsidTr="00BE5664">
        <w:trPr>
          <w:trHeight w:val="555"/>
        </w:trPr>
        <w:tc>
          <w:tcPr>
            <w:tcW w:w="512"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3</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第三章 砌筑工程</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砌筑工程所使用的材料；砖砌体施工工艺、质量要求及保证质量和安全的技术措施；中小型砌块的种类、规格及砌筑工艺；砌块排列组合及错缝搭接要求；填充墙砌体施工工艺；砌体冬期施工方法。</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了解砌筑工程所使用的材料；掌握砖砌体施工工艺、质量要求及保证质量和安全的技术措施；了解中小型砌块的种类、规格及砌筑工艺；掌握砌块排列组合及错缝搭接要求；熟悉填充墙砌体施工工艺；了解砌体冬期施工方法。</w:t>
            </w:r>
          </w:p>
          <w:p w:rsidR="00876C31" w:rsidRDefault="00876C31" w:rsidP="00BE5664">
            <w:pPr>
              <w:rPr>
                <w:rFonts w:ascii="仿宋_GB2312" w:hAnsi="Times New Roman"/>
                <w:sz w:val="20"/>
                <w:szCs w:val="20"/>
              </w:rPr>
            </w:pPr>
          </w:p>
        </w:tc>
      </w:tr>
      <w:tr w:rsidR="00876C31" w:rsidTr="00BE5664">
        <w:trPr>
          <w:trHeight w:val="1307"/>
        </w:trPr>
        <w:tc>
          <w:tcPr>
            <w:tcW w:w="512"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4</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第四章 钢筋混凝土工程</w:t>
            </w:r>
          </w:p>
        </w:tc>
        <w:tc>
          <w:tcPr>
            <w:tcW w:w="63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6</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钢筋种类、熟悉钢筋的配料计算、加工方法与设备，钢筋的连接方法、适用范围及质量要求；模板的作用、构造、要求，模板的设计方法；混凝土配料、搅拌、运输、浇注振捣和养护的方法与要求；钢筋混凝土构件缺陷及其修补方法、构件质量的检验和评定方法；混凝土冬期施工工艺要求和措施。</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了解钢筋种类、熟悉钢筋的配料计算、加工方法与设备，掌握钢筋的连接方法、适用范围及质量要求；了解模板的作用、构造、要求，掌握模板的设计方法；了解混凝土配料、掌握搅拌、运输、浇注振捣和养护的方法与要求；了解钢筋混凝土构件缺陷及其修补方法、构件质量的检验和评定方法；了解混凝土冬期施工工艺要求和措施。</w:t>
            </w:r>
          </w:p>
        </w:tc>
      </w:tr>
      <w:tr w:rsidR="00876C31" w:rsidTr="00BE5664">
        <w:trPr>
          <w:trHeight w:val="1059"/>
        </w:trPr>
        <w:tc>
          <w:tcPr>
            <w:tcW w:w="512"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lastRenderedPageBreak/>
              <w:t>5</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第五章 预应力混凝土工程</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2</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预应力混凝土工程的特点和工作原理、预应力筋种类；预应力筋张拉的台座、锚（夹）具、张拉机具的构造及使用方法；先张法施工工艺及技术措施；后张法施工工艺及技术措施；无粘结预应力混凝土结构施工工艺。</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了解预应力混凝土工程的特点和工作原理、了解预应力筋种类；熟悉预应力筋张拉的台座、锚（夹）具、张拉机具的构造及使用方法；掌握先张法施工工艺（预应力筋张拉、混凝土浇筑与养护、预应力筋放张）及技术措施；掌握后张法施工工艺（孔道留设、预应力筋张拉、孔道灌浆）及技术措施；了解无粘结预应力混凝土结构施工工艺。</w:t>
            </w:r>
          </w:p>
          <w:p w:rsidR="00876C31" w:rsidRDefault="00876C31" w:rsidP="00BE5664">
            <w:pPr>
              <w:rPr>
                <w:rFonts w:ascii="仿宋_GB2312" w:hAnsi="Times New Roman"/>
                <w:sz w:val="20"/>
                <w:szCs w:val="20"/>
              </w:rPr>
            </w:pPr>
          </w:p>
        </w:tc>
      </w:tr>
      <w:tr w:rsidR="00876C31" w:rsidTr="00BE5664">
        <w:trPr>
          <w:trHeight w:val="248"/>
        </w:trPr>
        <w:tc>
          <w:tcPr>
            <w:tcW w:w="512"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6</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第六章 脚手架工程及垂直运输设备</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脚手架的种类和构造组成，各类脚手架的搭设要求和适用范围，脚手架工程的安全要求与措施；起重机的类型、特点、技术参数和使用要点，选择方法；垂直运输设备的安全使用要求。</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了解脚手架的种类和构造组成，掌握各类脚手架的搭设要求和适用范围，了解脚手架工程的安全要求与措施；熟悉起重机的类型、特点、技术参数和使用要点，掌握选择方法；了解垂直运输设备的安全使用要求。</w:t>
            </w:r>
          </w:p>
        </w:tc>
      </w:tr>
      <w:tr w:rsidR="00876C31" w:rsidTr="00BE5664">
        <w:trPr>
          <w:trHeight w:val="555"/>
        </w:trPr>
        <w:tc>
          <w:tcPr>
            <w:tcW w:w="512"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7</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第七章 结构安装工程</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6</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预制装配式混凝土结构单层厂房安装前的准备工作，结构吊装工艺和吊装方案；钢结构加工工艺、掌握钢结构连接方法；多高层建筑结构以及空间大跨度结构的安装方法。</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了解预制装配式混凝土结构单层厂房安装前的准备工作，掌握结构吊装工艺和吊装方案；了解钢结构加工工艺、掌握钢结构连接方法；了解多高层建筑结构以及空间大跨度结构的安装方法。</w:t>
            </w:r>
          </w:p>
        </w:tc>
      </w:tr>
    </w:tbl>
    <w:p w:rsidR="00876C31" w:rsidRDefault="00876C31" w:rsidP="00876C31">
      <w:pPr>
        <w:spacing w:beforeLines="50" w:before="156" w:line="360" w:lineRule="auto"/>
        <w:outlineLvl w:val="0"/>
        <w:rPr>
          <w:rFonts w:ascii="Times New Roman" w:eastAsia="黑体" w:hAnsi="Times New Roman"/>
          <w:b/>
          <w:sz w:val="28"/>
          <w:szCs w:val="28"/>
        </w:rPr>
      </w:pPr>
      <w:r>
        <w:rPr>
          <w:rFonts w:ascii="Times New Roman" w:eastAsia="黑体" w:hAnsi="Times New Roman"/>
          <w:b/>
          <w:sz w:val="28"/>
          <w:szCs w:val="28"/>
        </w:rPr>
        <w:t>五、课程考核和评价方式</w:t>
      </w:r>
    </w:p>
    <w:p w:rsidR="00876C31" w:rsidRDefault="00876C31" w:rsidP="00876C31">
      <w:pPr>
        <w:spacing w:line="360" w:lineRule="auto"/>
        <w:ind w:firstLineChars="200" w:firstLine="560"/>
        <w:rPr>
          <w:rFonts w:ascii="仿宋_GB2312" w:hAnsi="Times New Roman"/>
          <w:sz w:val="28"/>
          <w:szCs w:val="28"/>
        </w:rPr>
      </w:pPr>
      <w:r>
        <w:rPr>
          <w:rFonts w:ascii="仿宋_GB2312" w:hAnsi="Times New Roman" w:hint="eastAsia"/>
          <w:sz w:val="28"/>
          <w:szCs w:val="28"/>
        </w:rPr>
        <w:t>1.课程考核</w:t>
      </w:r>
    </w:p>
    <w:p w:rsidR="00876C31" w:rsidRDefault="00876C31" w:rsidP="00876C31">
      <w:pPr>
        <w:spacing w:line="360" w:lineRule="auto"/>
        <w:ind w:firstLineChars="200" w:firstLine="560"/>
        <w:rPr>
          <w:rFonts w:ascii="仿宋_GB2312" w:hAnsi="Times New Roman"/>
          <w:sz w:val="28"/>
          <w:szCs w:val="28"/>
        </w:rPr>
      </w:pPr>
      <w:r>
        <w:rPr>
          <w:rFonts w:ascii="仿宋_GB2312" w:hAnsi="Times New Roman" w:hint="eastAsia"/>
          <w:sz w:val="28"/>
          <w:szCs w:val="28"/>
        </w:rPr>
        <w:t>本课程不设课外学时，采用平时成绩+期末考试方式确定总评成绩，其中平时成绩考核包括作业、课堂表现、出勤等内容，期末考试采用考察方式（百分制）。平时成绩占20%，期末考试成绩占80%。</w:t>
      </w:r>
    </w:p>
    <w:p w:rsidR="00876C31" w:rsidRDefault="00876C31" w:rsidP="00876C31">
      <w:pPr>
        <w:spacing w:line="360" w:lineRule="auto"/>
        <w:ind w:firstLineChars="200" w:firstLine="560"/>
        <w:rPr>
          <w:rStyle w:val="fontstyle01"/>
          <w:rFonts w:ascii="仿宋_GB2312" w:hAnsi="Times New Roman" w:cs="Times New Roman" w:hint="default"/>
          <w:sz w:val="28"/>
          <w:szCs w:val="28"/>
        </w:rPr>
      </w:pPr>
      <w:r>
        <w:rPr>
          <w:rFonts w:ascii="仿宋_GB2312" w:hAnsi="Times New Roman" w:hint="eastAsia"/>
          <w:sz w:val="28"/>
          <w:szCs w:val="28"/>
        </w:rPr>
        <w:t>2.成绩评定</w:t>
      </w:r>
    </w:p>
    <w:p w:rsidR="00876C31" w:rsidRDefault="00876C31" w:rsidP="00876C31">
      <w:pPr>
        <w:spacing w:line="360" w:lineRule="auto"/>
        <w:ind w:firstLineChars="200" w:firstLine="560"/>
        <w:rPr>
          <w:rStyle w:val="fontstyle11"/>
          <w:rFonts w:ascii="仿宋_GB2312"/>
          <w:sz w:val="28"/>
          <w:szCs w:val="28"/>
        </w:rPr>
      </w:pPr>
      <w:r>
        <w:rPr>
          <w:rStyle w:val="fontstyle01"/>
          <w:rFonts w:ascii="仿宋_GB2312" w:hAnsi="Times New Roman" w:cs="Times New Roman" w:hint="default"/>
          <w:sz w:val="28"/>
          <w:szCs w:val="28"/>
        </w:rPr>
        <w:t>课程总成绩</w:t>
      </w:r>
      <w:r>
        <w:rPr>
          <w:rStyle w:val="fontstyle01"/>
          <w:rFonts w:ascii="仿宋_GB2312" w:hAnsi="Times New Roman" w:cs="Times New Roman" w:hint="default"/>
          <w:sz w:val="28"/>
          <w:szCs w:val="28"/>
        </w:rPr>
        <w:t>=</w:t>
      </w:r>
      <w:r>
        <w:rPr>
          <w:rStyle w:val="fontstyle01"/>
          <w:rFonts w:ascii="仿宋_GB2312" w:hAnsi="Times New Roman" w:cs="Times New Roman" w:hint="default"/>
          <w:sz w:val="28"/>
          <w:szCs w:val="28"/>
        </w:rPr>
        <w:t>期末成绩</w:t>
      </w:r>
      <w:r>
        <w:rPr>
          <w:rStyle w:val="fontstyle11"/>
          <w:rFonts w:ascii="仿宋_GB2312" w:hint="eastAsia"/>
          <w:sz w:val="28"/>
          <w:szCs w:val="28"/>
        </w:rPr>
        <w:t>80%+平时</w:t>
      </w:r>
      <w:r>
        <w:rPr>
          <w:rStyle w:val="fontstyle01"/>
          <w:rFonts w:ascii="仿宋_GB2312" w:hAnsi="Times New Roman" w:cs="Times New Roman" w:hint="default"/>
          <w:sz w:val="28"/>
          <w:szCs w:val="28"/>
        </w:rPr>
        <w:t>成绩</w:t>
      </w:r>
      <w:r>
        <w:rPr>
          <w:rStyle w:val="fontstyle01"/>
          <w:rFonts w:ascii="仿宋_GB2312" w:hAnsi="Times New Roman" w:cs="Times New Roman" w:hint="default"/>
          <w:sz w:val="28"/>
          <w:szCs w:val="28"/>
        </w:rPr>
        <w:t>20</w:t>
      </w:r>
      <w:r>
        <w:rPr>
          <w:rStyle w:val="fontstyle11"/>
          <w:rFonts w:ascii="仿宋_GB2312" w:hint="eastAsia"/>
          <w:sz w:val="28"/>
          <w:szCs w:val="28"/>
        </w:rPr>
        <w:t>%。</w:t>
      </w:r>
    </w:p>
    <w:p w:rsidR="00876C31" w:rsidRDefault="00876C31" w:rsidP="00876C31">
      <w:pPr>
        <w:spacing w:line="360" w:lineRule="auto"/>
        <w:ind w:firstLineChars="200" w:firstLine="560"/>
        <w:rPr>
          <w:rStyle w:val="fontstyle11"/>
          <w:rFonts w:ascii="仿宋_GB2312"/>
          <w:sz w:val="28"/>
          <w:szCs w:val="28"/>
        </w:rPr>
      </w:pPr>
      <w:r>
        <w:rPr>
          <w:rStyle w:val="fontstyle11"/>
          <w:rFonts w:ascii="仿宋_GB2312" w:hint="eastAsia"/>
          <w:sz w:val="28"/>
          <w:szCs w:val="28"/>
        </w:rPr>
        <w:t>（1）试题评分标准</w:t>
      </w:r>
    </w:p>
    <w:p w:rsidR="00876C31" w:rsidRDefault="00876C31" w:rsidP="00876C31">
      <w:pPr>
        <w:spacing w:line="360" w:lineRule="auto"/>
        <w:ind w:firstLineChars="200" w:firstLine="560"/>
        <w:rPr>
          <w:rStyle w:val="fontstyle11"/>
          <w:rFonts w:ascii="仿宋_GB2312"/>
          <w:sz w:val="28"/>
          <w:szCs w:val="28"/>
        </w:rPr>
      </w:pPr>
      <w:r>
        <w:rPr>
          <w:rStyle w:val="fontstyle11"/>
          <w:rFonts w:ascii="仿宋_GB2312" w:hint="eastAsia"/>
          <w:sz w:val="28"/>
          <w:szCs w:val="28"/>
        </w:rPr>
        <w:t>客观题根据题目的正确率判定评分，主观题参考作业评分标准。</w:t>
      </w:r>
    </w:p>
    <w:p w:rsidR="00876C31" w:rsidRDefault="00876C31" w:rsidP="00876C31">
      <w:pPr>
        <w:autoSpaceDE w:val="0"/>
        <w:autoSpaceDN w:val="0"/>
        <w:adjustRightInd w:val="0"/>
        <w:spacing w:afterLines="50" w:after="156"/>
        <w:ind w:firstLineChars="200" w:firstLine="560"/>
        <w:jc w:val="left"/>
        <w:rPr>
          <w:rFonts w:ascii="仿宋_GB2312" w:hAnsi="Times New Roman" w:cs="仿宋_GB2312"/>
          <w:kern w:val="0"/>
          <w:sz w:val="28"/>
          <w:szCs w:val="28"/>
        </w:rPr>
      </w:pPr>
      <w:r>
        <w:rPr>
          <w:rFonts w:ascii="仿宋_GB2312" w:hAnsi="Times New Roman" w:cs="仿宋_GB2312" w:hint="eastAsia"/>
          <w:kern w:val="0"/>
          <w:sz w:val="28"/>
          <w:szCs w:val="28"/>
        </w:rPr>
        <w:lastRenderedPageBreak/>
        <w:t>（2）作业评分标准</w:t>
      </w:r>
    </w:p>
    <w:tbl>
      <w:tblPr>
        <w:tblW w:w="8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1753"/>
        <w:gridCol w:w="1754"/>
        <w:gridCol w:w="1754"/>
        <w:gridCol w:w="1754"/>
      </w:tblGrid>
      <w:tr w:rsidR="00876C31" w:rsidTr="00BE5664">
        <w:trPr>
          <w:trHeight w:val="301"/>
          <w:jc w:val="center"/>
        </w:trPr>
        <w:tc>
          <w:tcPr>
            <w:tcW w:w="1753"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3"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86-100分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71-85分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50-70分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0-49分</w:t>
            </w:r>
          </w:p>
        </w:tc>
      </w:tr>
      <w:tr w:rsidR="00876C31" w:rsidTr="00BE5664">
        <w:trPr>
          <w:trHeight w:val="399"/>
          <w:jc w:val="center"/>
        </w:trPr>
        <w:tc>
          <w:tcPr>
            <w:tcW w:w="1753"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作业完成态度</w:t>
            </w:r>
          </w:p>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（权重0.2）</w:t>
            </w:r>
          </w:p>
        </w:tc>
        <w:tc>
          <w:tcPr>
            <w:tcW w:w="1753"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非常认真</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较认真</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Style w:val="fontstyle11"/>
                <w:rFonts w:ascii="仿宋_GB2312" w:hint="eastAsia"/>
                <w:sz w:val="20"/>
                <w:szCs w:val="20"/>
              </w:rPr>
              <w:t>一般认真</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Style w:val="fontstyle11"/>
                <w:rFonts w:ascii="仿宋_GB2312" w:hint="eastAsia"/>
                <w:sz w:val="20"/>
                <w:szCs w:val="20"/>
              </w:rPr>
              <w:t>不认真</w:t>
            </w:r>
          </w:p>
        </w:tc>
      </w:tr>
      <w:tr w:rsidR="00876C31" w:rsidTr="00BE5664">
        <w:trPr>
          <w:trHeight w:val="399"/>
          <w:jc w:val="center"/>
        </w:trPr>
        <w:tc>
          <w:tcPr>
            <w:tcW w:w="1753"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作业完成正确率</w:t>
            </w:r>
          </w:p>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（权重0.8）</w:t>
            </w:r>
          </w:p>
        </w:tc>
        <w:tc>
          <w:tcPr>
            <w:tcW w:w="1753"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正确率达86%以上</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正确率达71%以上</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正确率达50%以上</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正确率低于50%</w:t>
            </w:r>
          </w:p>
        </w:tc>
      </w:tr>
    </w:tbl>
    <w:p w:rsidR="00876C31" w:rsidRDefault="00876C31" w:rsidP="00876C31">
      <w:pPr>
        <w:autoSpaceDE w:val="0"/>
        <w:autoSpaceDN w:val="0"/>
        <w:adjustRightInd w:val="0"/>
        <w:spacing w:beforeLines="50" w:before="156" w:afterLines="50" w:after="156"/>
        <w:ind w:firstLineChars="200" w:firstLine="560"/>
        <w:jc w:val="left"/>
        <w:rPr>
          <w:rFonts w:ascii="仿宋_GB2312" w:hAnsi="Times New Roman" w:cs="仿宋_GB2312"/>
          <w:kern w:val="0"/>
          <w:sz w:val="28"/>
          <w:szCs w:val="28"/>
        </w:rPr>
      </w:pPr>
      <w:r>
        <w:rPr>
          <w:rFonts w:ascii="仿宋_GB2312" w:hAnsi="Times New Roman" w:cs="仿宋_GB2312" w:hint="eastAsia"/>
          <w:kern w:val="0"/>
          <w:sz w:val="28"/>
          <w:szCs w:val="28"/>
        </w:rPr>
        <w:t>（3）课堂表现评分标准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876C31" w:rsidTr="00BE5664">
        <w:trPr>
          <w:trHeight w:val="281"/>
          <w:jc w:val="center"/>
        </w:trPr>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86-100分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71-85分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50-70分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0-49分</w:t>
            </w:r>
          </w:p>
        </w:tc>
      </w:tr>
      <w:tr w:rsidR="00876C31" w:rsidTr="00BE5664">
        <w:trPr>
          <w:trHeight w:val="372"/>
          <w:jc w:val="center"/>
        </w:trPr>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回答问题准确性（权重1.0）</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正确率达86%以上</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正确率达71%以上</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正确率达50%以上</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正确率低于50%</w:t>
            </w:r>
          </w:p>
        </w:tc>
      </w:tr>
    </w:tbl>
    <w:p w:rsidR="00876C31" w:rsidRDefault="00876C31" w:rsidP="00876C31">
      <w:pPr>
        <w:autoSpaceDE w:val="0"/>
        <w:autoSpaceDN w:val="0"/>
        <w:adjustRightInd w:val="0"/>
        <w:spacing w:beforeLines="50" w:before="156" w:afterLines="50" w:after="156"/>
        <w:ind w:firstLineChars="200" w:firstLine="560"/>
        <w:jc w:val="left"/>
        <w:rPr>
          <w:rStyle w:val="fontstyle11"/>
          <w:rFonts w:ascii="仿宋_GB2312"/>
          <w:sz w:val="28"/>
          <w:szCs w:val="28"/>
        </w:rPr>
      </w:pPr>
      <w:r>
        <w:rPr>
          <w:rStyle w:val="fontstyle11"/>
          <w:rFonts w:ascii="仿宋_GB2312" w:hint="eastAsia"/>
          <w:sz w:val="28"/>
          <w:szCs w:val="28"/>
        </w:rPr>
        <w:t>（4）课堂出勤评分标准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876C31" w:rsidTr="00BE5664">
        <w:trPr>
          <w:trHeight w:val="281"/>
          <w:jc w:val="center"/>
        </w:trPr>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81-100分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51-80分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26-50分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0-25分</w:t>
            </w:r>
          </w:p>
        </w:tc>
      </w:tr>
      <w:tr w:rsidR="00876C31" w:rsidTr="00BE5664">
        <w:trPr>
          <w:trHeight w:val="372"/>
          <w:jc w:val="center"/>
        </w:trPr>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课堂出勤率</w:t>
            </w:r>
          </w:p>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（权重1.0）</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出勤率达81%以上</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出勤率达51%以上</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出勤率达26%以上</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正出勤率低于25%</w:t>
            </w:r>
          </w:p>
        </w:tc>
      </w:tr>
    </w:tbl>
    <w:p w:rsidR="00876C31" w:rsidRDefault="00876C31" w:rsidP="00876C31">
      <w:pPr>
        <w:autoSpaceDE w:val="0"/>
        <w:autoSpaceDN w:val="0"/>
        <w:adjustRightInd w:val="0"/>
        <w:ind w:firstLineChars="50" w:firstLine="100"/>
        <w:jc w:val="left"/>
        <w:rPr>
          <w:rFonts w:ascii="仿宋_GB2312" w:hAnsi="Times New Roman" w:cs="仿宋_GB2312"/>
          <w:kern w:val="0"/>
          <w:sz w:val="20"/>
          <w:szCs w:val="20"/>
        </w:rPr>
      </w:pPr>
      <w:r>
        <w:rPr>
          <w:rFonts w:ascii="仿宋_GB2312" w:hAnsi="Times New Roman" w:cs="仿宋_GB2312" w:hint="eastAsia"/>
          <w:kern w:val="0"/>
          <w:sz w:val="20"/>
          <w:szCs w:val="20"/>
        </w:rPr>
        <w:t>注：迟到</w:t>
      </w:r>
      <w:r>
        <w:rPr>
          <w:rFonts w:ascii="仿宋_GB2312" w:hAnsi="Times New Roman" w:cs="仿宋_GB2312"/>
          <w:kern w:val="0"/>
          <w:sz w:val="20"/>
          <w:szCs w:val="20"/>
        </w:rPr>
        <w:t>30</w:t>
      </w:r>
      <w:r>
        <w:rPr>
          <w:rFonts w:ascii="仿宋_GB2312" w:hAnsi="Times New Roman" w:cs="仿宋_GB2312" w:hint="eastAsia"/>
          <w:kern w:val="0"/>
          <w:sz w:val="20"/>
          <w:szCs w:val="20"/>
        </w:rPr>
        <w:t>分钟以上按一次缺勤计</w:t>
      </w:r>
    </w:p>
    <w:p w:rsidR="00876C31" w:rsidRDefault="00876C31" w:rsidP="00876C31">
      <w:pPr>
        <w:spacing w:beforeLines="50" w:before="156" w:afterLines="50" w:after="156" w:line="4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876C31" w:rsidRDefault="00876C31" w:rsidP="00876C31">
      <w:pPr>
        <w:spacing w:line="360" w:lineRule="auto"/>
        <w:ind w:firstLineChars="200" w:firstLine="560"/>
        <w:rPr>
          <w:rFonts w:ascii="仿宋_GB2312" w:hAnsi="Times New Roman"/>
          <w:sz w:val="28"/>
          <w:szCs w:val="28"/>
        </w:rPr>
      </w:pPr>
      <w:r>
        <w:rPr>
          <w:rFonts w:ascii="仿宋_GB2312" w:hAnsi="Times New Roman" w:hint="eastAsia"/>
          <w:sz w:val="28"/>
          <w:szCs w:val="28"/>
        </w:rPr>
        <w:t>1.建议教材</w:t>
      </w:r>
    </w:p>
    <w:p w:rsidR="00876C31" w:rsidRDefault="00876C31" w:rsidP="00876C31">
      <w:pPr>
        <w:spacing w:line="360" w:lineRule="auto"/>
        <w:ind w:firstLineChars="200" w:firstLine="560"/>
        <w:rPr>
          <w:rFonts w:ascii="仿宋_GB2312" w:hAnsi="Times New Roman"/>
          <w:sz w:val="28"/>
          <w:szCs w:val="28"/>
        </w:rPr>
      </w:pPr>
      <w:r>
        <w:rPr>
          <w:rFonts w:ascii="仿宋_GB2312" w:hAnsi="Times New Roman" w:hint="eastAsia"/>
          <w:sz w:val="28"/>
          <w:szCs w:val="28"/>
        </w:rPr>
        <w:t xml:space="preserve">李建峰, 郑天旺,等. 土木工程施工(第二版) [M]，北京：中国电力出版社，2016. </w:t>
      </w:r>
    </w:p>
    <w:p w:rsidR="00876C31" w:rsidRDefault="00876C31" w:rsidP="00876C31">
      <w:pPr>
        <w:spacing w:line="360" w:lineRule="auto"/>
        <w:ind w:firstLineChars="200" w:firstLine="560"/>
        <w:rPr>
          <w:rFonts w:ascii="仿宋_GB2312" w:hAnsi="Times New Roman"/>
          <w:sz w:val="28"/>
          <w:szCs w:val="28"/>
        </w:rPr>
      </w:pPr>
      <w:r>
        <w:rPr>
          <w:rFonts w:ascii="仿宋_GB2312" w:hAnsi="Times New Roman" w:hint="eastAsia"/>
          <w:sz w:val="28"/>
          <w:szCs w:val="28"/>
        </w:rPr>
        <w:t>2.主要参考资料</w:t>
      </w:r>
    </w:p>
    <w:p w:rsidR="00876C31" w:rsidRDefault="00876C31" w:rsidP="005F6318">
      <w:pPr>
        <w:numPr>
          <w:ilvl w:val="0"/>
          <w:numId w:val="19"/>
        </w:numPr>
        <w:spacing w:line="360" w:lineRule="auto"/>
        <w:ind w:left="987"/>
        <w:rPr>
          <w:rFonts w:ascii="仿宋_GB2312" w:hAnsi="Times New Roman"/>
          <w:sz w:val="28"/>
          <w:szCs w:val="28"/>
        </w:rPr>
      </w:pPr>
      <w:r>
        <w:rPr>
          <w:rFonts w:ascii="仿宋_GB2312" w:hAnsi="Times New Roman" w:hint="eastAsia"/>
          <w:sz w:val="28"/>
          <w:szCs w:val="28"/>
        </w:rPr>
        <w:t>徐伟. 土木工程施工基本原理(第二版) [M]. 上海：同济大学出版社，2014.</w:t>
      </w:r>
    </w:p>
    <w:p w:rsidR="00876C31" w:rsidRDefault="00876C31" w:rsidP="005F6318">
      <w:pPr>
        <w:numPr>
          <w:ilvl w:val="0"/>
          <w:numId w:val="19"/>
        </w:numPr>
        <w:spacing w:line="360" w:lineRule="auto"/>
        <w:ind w:left="987"/>
        <w:rPr>
          <w:rFonts w:ascii="仿宋_GB2312" w:hAnsi="Times New Roman"/>
          <w:sz w:val="28"/>
          <w:szCs w:val="28"/>
        </w:rPr>
      </w:pPr>
      <w:r>
        <w:rPr>
          <w:rFonts w:ascii="仿宋_GB2312" w:hAnsi="Times New Roman" w:hint="eastAsia"/>
          <w:sz w:val="28"/>
          <w:szCs w:val="28"/>
        </w:rPr>
        <w:t>郭正兴. 土木工程施工(第二版) [M]. 南京：东南大学出版社，2012.</w:t>
      </w:r>
    </w:p>
    <w:p w:rsidR="00876C31" w:rsidRDefault="00876C31" w:rsidP="005F6318">
      <w:pPr>
        <w:numPr>
          <w:ilvl w:val="0"/>
          <w:numId w:val="19"/>
        </w:numPr>
        <w:spacing w:line="360" w:lineRule="auto"/>
        <w:ind w:left="987"/>
        <w:rPr>
          <w:rFonts w:ascii="仿宋_GB2312" w:hAnsi="Times New Roman"/>
          <w:sz w:val="28"/>
          <w:szCs w:val="28"/>
        </w:rPr>
      </w:pPr>
      <w:r>
        <w:rPr>
          <w:rFonts w:ascii="仿宋_GB2312" w:hAnsi="Times New Roman" w:hint="eastAsia"/>
          <w:sz w:val="28"/>
          <w:szCs w:val="28"/>
        </w:rPr>
        <w:t>穆静波. 土木工程施工[M]. 北京：机械工业出版社，2018.</w:t>
      </w:r>
    </w:p>
    <w:p w:rsidR="00876C31" w:rsidRDefault="00876C31" w:rsidP="00876C31">
      <w:pPr>
        <w:ind w:firstLineChars="1200" w:firstLine="3360"/>
        <w:rPr>
          <w:rFonts w:ascii="仿宋_GB2312" w:hAnsi="Times New Roman"/>
          <w:sz w:val="28"/>
          <w:szCs w:val="28"/>
        </w:rPr>
      </w:pPr>
      <w:r>
        <w:rPr>
          <w:rFonts w:ascii="仿宋_GB2312" w:hAnsi="Times New Roman" w:hint="eastAsia"/>
          <w:sz w:val="28"/>
          <w:szCs w:val="28"/>
        </w:rPr>
        <w:t>大纲撰写人：雷  拓</w:t>
      </w:r>
    </w:p>
    <w:p w:rsidR="00876C31" w:rsidRDefault="00876C31" w:rsidP="00876C31">
      <w:pPr>
        <w:ind w:firstLineChars="1200" w:firstLine="3360"/>
        <w:rPr>
          <w:rFonts w:ascii="仿宋_GB2312" w:hAnsi="Times New Roman"/>
          <w:sz w:val="28"/>
          <w:szCs w:val="28"/>
        </w:rPr>
      </w:pPr>
      <w:r>
        <w:rPr>
          <w:rFonts w:ascii="仿宋_GB2312" w:hAnsi="Times New Roman" w:hint="eastAsia"/>
          <w:sz w:val="28"/>
          <w:szCs w:val="28"/>
        </w:rPr>
        <w:lastRenderedPageBreak/>
        <w:t>课程负责人：雷  拓</w:t>
      </w:r>
    </w:p>
    <w:p w:rsidR="00876C31" w:rsidRDefault="00876C31" w:rsidP="00876C31">
      <w:pPr>
        <w:ind w:firstLineChars="1200" w:firstLine="3360"/>
        <w:rPr>
          <w:rFonts w:ascii="仿宋_GB2312" w:hAnsi="Times New Roman"/>
          <w:sz w:val="28"/>
          <w:szCs w:val="28"/>
        </w:rPr>
      </w:pPr>
      <w:r>
        <w:rPr>
          <w:rFonts w:ascii="仿宋_GB2312" w:hAnsi="Times New Roman" w:hint="eastAsia"/>
          <w:sz w:val="28"/>
          <w:szCs w:val="28"/>
        </w:rPr>
        <w:t>审核人：袁春燕</w:t>
      </w:r>
    </w:p>
    <w:p w:rsidR="00876C31" w:rsidRDefault="00876C31" w:rsidP="00876C31">
      <w:pPr>
        <w:spacing w:line="360" w:lineRule="auto"/>
        <w:ind w:firstLineChars="2000" w:firstLine="5600"/>
        <w:jc w:val="left"/>
        <w:rPr>
          <w:rFonts w:ascii="仿宋_GB2312" w:hAnsi="Times New Roman"/>
          <w:sz w:val="28"/>
          <w:szCs w:val="28"/>
        </w:rPr>
      </w:pPr>
      <w:r>
        <w:rPr>
          <w:rFonts w:ascii="仿宋_GB2312" w:hAnsi="Times New Roman" w:hint="eastAsia"/>
          <w:sz w:val="28"/>
          <w:szCs w:val="28"/>
        </w:rPr>
        <w:t xml:space="preserve">    </w:t>
      </w:r>
    </w:p>
    <w:p w:rsidR="00876C31" w:rsidRDefault="00876C31" w:rsidP="00876C31">
      <w:pPr>
        <w:jc w:val="left"/>
        <w:rPr>
          <w:rFonts w:ascii="仿宋_GB2312" w:hAnsi="Times New Roman"/>
          <w:sz w:val="28"/>
          <w:szCs w:val="28"/>
        </w:rPr>
      </w:pPr>
      <w:r>
        <w:rPr>
          <w:rFonts w:ascii="仿宋_GB2312" w:hAnsi="Times New Roman" w:hint="eastAsia"/>
          <w:sz w:val="28"/>
          <w:szCs w:val="28"/>
        </w:rPr>
        <w:t xml:space="preserve">                                         </w:t>
      </w:r>
      <w:r>
        <w:rPr>
          <w:rFonts w:ascii="仿宋" w:eastAsia="仿宋" w:hAnsi="仿宋" w:hint="eastAsia"/>
          <w:sz w:val="28"/>
          <w:szCs w:val="28"/>
        </w:rPr>
        <w:t>2021</w:t>
      </w:r>
      <w:r>
        <w:rPr>
          <w:rFonts w:ascii="仿宋_GB2312" w:hAnsi="Times New Roman" w:hint="eastAsia"/>
          <w:sz w:val="28"/>
          <w:szCs w:val="28"/>
        </w:rPr>
        <w:t>年4月</w:t>
      </w: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515730" w:rsidRDefault="00515730" w:rsidP="00876C31">
      <w:pPr>
        <w:widowControl/>
        <w:spacing w:line="360" w:lineRule="auto"/>
        <w:jc w:val="center"/>
        <w:rPr>
          <w:rFonts w:ascii="方正小标宋简体" w:eastAsia="方正小标宋简体" w:hAnsi="宋体"/>
          <w:kern w:val="0"/>
          <w:szCs w:val="32"/>
        </w:rPr>
      </w:pPr>
    </w:p>
    <w:p w:rsidR="00876C31" w:rsidRDefault="00876C31" w:rsidP="00876C31">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《土木工程施工组织》课程教学大纲</w:t>
      </w:r>
    </w:p>
    <w:p w:rsidR="00876C31" w:rsidRDefault="00876C31" w:rsidP="00876C31">
      <w:pPr>
        <w:spacing w:beforeLines="50" w:before="156" w:afterLines="50" w:after="156" w:line="44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一、</w:t>
      </w:r>
      <w:r>
        <w:rPr>
          <w:rFonts w:asciiTheme="minorEastAsia" w:eastAsiaTheme="minorEastAsia" w:hAnsiTheme="minorEastAsia"/>
          <w:b/>
          <w:sz w:val="28"/>
          <w:szCs w:val="28"/>
        </w:rPr>
        <w:t>课程信息</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英文名称：Construction Management of Civil Engineering</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课程编码：Z2805020</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授课语言：</w:t>
      </w:r>
      <w:r w:rsidRPr="00104F36">
        <w:rPr>
          <w:rFonts w:ascii="仿宋_GB2312" w:hAnsi="仿宋_GB2312" w:cs="仿宋_GB2312" w:hint="eastAsia"/>
          <w:bCs/>
          <w:sz w:val="28"/>
          <w:szCs w:val="28"/>
        </w:rPr>
        <w:t>中文</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授课方式：线下</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课程类别：专业发展</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课程性质：必修</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学分：1.5</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学时：24学时（授课24学时）</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适用对象：土木工程专业（建筑工程方向）</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先修课程：土木工程施工技术、房屋建筑学等</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开课院系：建筑工程学院工程造价与施工教研室</w:t>
      </w:r>
    </w:p>
    <w:p w:rsidR="00876C31" w:rsidRDefault="00876C31" w:rsidP="00876C31">
      <w:pPr>
        <w:spacing w:beforeLines="50" w:before="156" w:afterLines="50" w:after="156" w:line="44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二、课程简介</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土木工程施工组织》是土木工程专业的专业发展课程，属必修课程，主要研究土木工程的施工计划、施工组织的基本理论、方法和一般规律。内容包括：施工组织概论、流水施工原理、网络计划技术、单位工程施工组织设计及施工组织总设计。</w:t>
      </w:r>
    </w:p>
    <w:p w:rsidR="00876C31" w:rsidRDefault="00876C31" w:rsidP="00876C31">
      <w:pPr>
        <w:spacing w:beforeLines="50" w:before="156" w:afterLines="50" w:after="156" w:line="44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三、课程任务、目的与要求</w:t>
      </w:r>
    </w:p>
    <w:p w:rsidR="00876C31" w:rsidRPr="00104F36" w:rsidRDefault="00876C31" w:rsidP="00104F36">
      <w:pPr>
        <w:spacing w:line="360" w:lineRule="auto"/>
        <w:ind w:firstLine="331"/>
        <w:rPr>
          <w:rFonts w:ascii="仿宋_GB2312" w:hAnsi="仿宋_GB2312" w:cs="仿宋_GB2312"/>
          <w:b/>
          <w:bCs/>
          <w:sz w:val="28"/>
          <w:szCs w:val="28"/>
        </w:rPr>
      </w:pPr>
      <w:r w:rsidRPr="00104F36">
        <w:rPr>
          <w:rFonts w:ascii="仿宋_GB2312" w:hAnsi="仿宋_GB2312" w:cs="仿宋_GB2312"/>
          <w:b/>
          <w:bCs/>
          <w:sz w:val="28"/>
          <w:szCs w:val="28"/>
        </w:rPr>
        <w:t>1.课程任务与目的</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通过本课程的学习，使学生掌握土木工程施工组织的基本知识、基</w:t>
      </w:r>
      <w:r w:rsidRPr="00104F36">
        <w:rPr>
          <w:rFonts w:ascii="仿宋_GB2312" w:hAnsi="仿宋_GB2312" w:cs="仿宋_GB2312" w:hint="eastAsia"/>
          <w:bCs/>
          <w:sz w:val="28"/>
          <w:szCs w:val="28"/>
        </w:rPr>
        <w:lastRenderedPageBreak/>
        <w:t>本理论和决策方法，具有解决土木工程施工组织计划问题的初步能力，为毕业后从事土木工程设计、施工和管理等工作奠定基础。通过本课程的学习，使学生了解土木工程产品及其生产特点，熟悉相关技术标准及组织施工的原则，掌握流水施工原理、工程网络计划技术、单位工程施工组织设计、施工组织总设计的基本原理与方法，培养学生综合运用土木工程施工的基本理论与知识，具有独立分析和解决施工计划与组织问题的基本能力，为胜任相关的技术与管理工作、进行科学研究和创新打下基础。</w:t>
      </w:r>
      <w:r w:rsidRPr="00104F36">
        <w:rPr>
          <w:rFonts w:ascii="仿宋_GB2312" w:hAnsi="仿宋_GB2312" w:cs="仿宋_GB2312"/>
          <w:bCs/>
          <w:sz w:val="28"/>
          <w:szCs w:val="28"/>
        </w:rPr>
        <w:t>培养学生</w:t>
      </w:r>
      <w:r w:rsidRPr="00104F36">
        <w:rPr>
          <w:rFonts w:ascii="仿宋_GB2312" w:hAnsi="仿宋_GB2312" w:cs="仿宋_GB2312" w:hint="eastAsia"/>
          <w:bCs/>
          <w:sz w:val="28"/>
          <w:szCs w:val="28"/>
        </w:rPr>
        <w:t>具备</w:t>
      </w:r>
      <w:r w:rsidRPr="00104F36">
        <w:rPr>
          <w:rFonts w:ascii="仿宋_GB2312" w:hAnsi="仿宋_GB2312" w:cs="仿宋_GB2312"/>
          <w:bCs/>
          <w:sz w:val="28"/>
          <w:szCs w:val="28"/>
        </w:rPr>
        <w:t>社会责任感，能够理解和评价专业工程实践对环境、社会可持续发展的影响</w:t>
      </w:r>
      <w:r w:rsidRPr="00104F36">
        <w:rPr>
          <w:rFonts w:ascii="仿宋_GB2312" w:hAnsi="仿宋_GB2312" w:cs="仿宋_GB2312" w:hint="eastAsia"/>
          <w:bCs/>
          <w:sz w:val="28"/>
          <w:szCs w:val="28"/>
        </w:rPr>
        <w:t>，</w:t>
      </w:r>
      <w:r w:rsidRPr="00104F36">
        <w:rPr>
          <w:rFonts w:ascii="仿宋_GB2312" w:hAnsi="仿宋_GB2312" w:cs="仿宋_GB2312"/>
          <w:bCs/>
          <w:sz w:val="28"/>
          <w:szCs w:val="28"/>
        </w:rPr>
        <w:t>遵守工程职业道德和行为规范。</w:t>
      </w:r>
    </w:p>
    <w:p w:rsidR="00876C31" w:rsidRPr="00104F36" w:rsidRDefault="00876C31" w:rsidP="00104F36">
      <w:pPr>
        <w:spacing w:line="360" w:lineRule="auto"/>
        <w:ind w:firstLine="331"/>
        <w:rPr>
          <w:rFonts w:ascii="仿宋_GB2312" w:hAnsi="仿宋_GB2312" w:cs="仿宋_GB2312"/>
          <w:b/>
          <w:bCs/>
          <w:sz w:val="28"/>
          <w:szCs w:val="28"/>
        </w:rPr>
      </w:pPr>
      <w:r w:rsidRPr="00104F36">
        <w:rPr>
          <w:rFonts w:ascii="仿宋_GB2312" w:hAnsi="仿宋_GB2312" w:cs="仿宋_GB2312"/>
          <w:b/>
          <w:bCs/>
          <w:sz w:val="28"/>
          <w:szCs w:val="28"/>
        </w:rPr>
        <w:t>2.课程基本要求</w:t>
      </w:r>
    </w:p>
    <w:p w:rsidR="00876C31" w:rsidRPr="00104F36" w:rsidRDefault="00876C31" w:rsidP="00104F36">
      <w:pPr>
        <w:spacing w:line="360" w:lineRule="auto"/>
        <w:ind w:firstLine="331"/>
        <w:rPr>
          <w:rFonts w:ascii="仿宋_GB2312" w:hAnsi="仿宋_GB2312" w:cs="仿宋_GB2312"/>
          <w:b/>
          <w:bCs/>
          <w:sz w:val="28"/>
          <w:szCs w:val="28"/>
        </w:rPr>
      </w:pPr>
      <w:r w:rsidRPr="00104F36">
        <w:rPr>
          <w:rFonts w:ascii="仿宋_GB2312" w:hAnsi="仿宋_GB2312" w:cs="仿宋_GB2312" w:hint="eastAsia"/>
          <w:b/>
          <w:bCs/>
          <w:sz w:val="28"/>
          <w:szCs w:val="28"/>
        </w:rPr>
        <w:t>(1) 教学目标</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通过本课程的理论教学，使学生具备解决与工程施工计划</w:t>
      </w:r>
      <w:r w:rsidRPr="00104F36">
        <w:rPr>
          <w:rFonts w:ascii="仿宋_GB2312" w:hAnsi="仿宋_GB2312" w:cs="仿宋_GB2312" w:hint="eastAsia"/>
          <w:bCs/>
          <w:sz w:val="28"/>
          <w:szCs w:val="28"/>
        </w:rPr>
        <w:t>、</w:t>
      </w:r>
      <w:r w:rsidRPr="00104F36">
        <w:rPr>
          <w:rFonts w:ascii="仿宋_GB2312" w:hAnsi="仿宋_GB2312" w:cs="仿宋_GB2312"/>
          <w:bCs/>
          <w:sz w:val="28"/>
          <w:szCs w:val="28"/>
        </w:rPr>
        <w:t>组织与管理相关的复杂土木工程问题的基本知识以及实践和工程应用能力，教学目标具体要求如下：</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 xml:space="preserve">1) </w:t>
      </w:r>
      <w:r w:rsidRPr="00104F36">
        <w:rPr>
          <w:rFonts w:ascii="仿宋_GB2312" w:hAnsi="仿宋_GB2312" w:cs="仿宋_GB2312" w:hint="eastAsia"/>
          <w:bCs/>
          <w:sz w:val="28"/>
          <w:szCs w:val="28"/>
        </w:rPr>
        <w:t>通过本课程的学习，</w:t>
      </w:r>
      <w:r w:rsidRPr="00104F36">
        <w:rPr>
          <w:rFonts w:ascii="仿宋_GB2312" w:hAnsi="仿宋_GB2312" w:cs="仿宋_GB2312"/>
          <w:bCs/>
          <w:sz w:val="28"/>
          <w:szCs w:val="28"/>
        </w:rPr>
        <w:t xml:space="preserve">了解土木工程施工组织的概念、任务、对象及目的；掌握土木工程产品及其生产特点；掌握工程施工的一般程序； </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 xml:space="preserve">2) </w:t>
      </w:r>
      <w:r w:rsidRPr="00104F36">
        <w:rPr>
          <w:rFonts w:ascii="仿宋_GB2312" w:hAnsi="仿宋_GB2312" w:cs="仿宋_GB2312" w:hint="eastAsia"/>
          <w:bCs/>
          <w:sz w:val="28"/>
          <w:szCs w:val="28"/>
        </w:rPr>
        <w:t>通过本课程的学习，</w:t>
      </w:r>
      <w:r w:rsidRPr="00104F36">
        <w:rPr>
          <w:rFonts w:ascii="仿宋_GB2312" w:hAnsi="仿宋_GB2312" w:cs="仿宋_GB2312"/>
          <w:bCs/>
          <w:sz w:val="28"/>
          <w:szCs w:val="28"/>
        </w:rPr>
        <w:t>掌握流水施工原理；能够具备初步编制流水施工</w:t>
      </w:r>
      <w:r w:rsidRPr="00104F36">
        <w:rPr>
          <w:rFonts w:ascii="仿宋_GB2312" w:hAnsi="仿宋_GB2312" w:cs="仿宋_GB2312" w:hint="eastAsia"/>
          <w:bCs/>
          <w:sz w:val="28"/>
          <w:szCs w:val="28"/>
        </w:rPr>
        <w:t>进度</w:t>
      </w:r>
      <w:r w:rsidRPr="00104F36">
        <w:rPr>
          <w:rFonts w:ascii="仿宋_GB2312" w:hAnsi="仿宋_GB2312" w:cs="仿宋_GB2312"/>
          <w:bCs/>
          <w:sz w:val="28"/>
          <w:szCs w:val="28"/>
        </w:rPr>
        <w:t>计划的能力和技能</w:t>
      </w:r>
      <w:r w:rsidRPr="00104F36">
        <w:rPr>
          <w:rFonts w:ascii="仿宋_GB2312" w:hAnsi="仿宋_GB2312" w:cs="仿宋_GB2312" w:hint="eastAsia"/>
          <w:bCs/>
          <w:sz w:val="28"/>
          <w:szCs w:val="28"/>
        </w:rPr>
        <w:t>；</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 xml:space="preserve">3) </w:t>
      </w:r>
      <w:r w:rsidRPr="00104F36">
        <w:rPr>
          <w:rFonts w:ascii="仿宋_GB2312" w:hAnsi="仿宋_GB2312" w:cs="仿宋_GB2312" w:hint="eastAsia"/>
          <w:bCs/>
          <w:sz w:val="28"/>
          <w:szCs w:val="28"/>
        </w:rPr>
        <w:t>通过本课程的学习，</w:t>
      </w:r>
      <w:r w:rsidRPr="00104F36">
        <w:rPr>
          <w:rFonts w:ascii="仿宋_GB2312" w:hAnsi="仿宋_GB2312" w:cs="仿宋_GB2312"/>
          <w:bCs/>
          <w:sz w:val="28"/>
          <w:szCs w:val="28"/>
        </w:rPr>
        <w:t>掌握工程网络计划技术；能够具备编制</w:t>
      </w:r>
      <w:r w:rsidRPr="00104F36">
        <w:rPr>
          <w:rFonts w:ascii="仿宋_GB2312" w:hAnsi="仿宋_GB2312" w:cs="仿宋_GB2312" w:hint="eastAsia"/>
          <w:bCs/>
          <w:sz w:val="28"/>
          <w:szCs w:val="28"/>
        </w:rPr>
        <w:t>网络计划</w:t>
      </w:r>
      <w:r w:rsidRPr="00104F36">
        <w:rPr>
          <w:rFonts w:ascii="仿宋_GB2312" w:hAnsi="仿宋_GB2312" w:cs="仿宋_GB2312"/>
          <w:bCs/>
          <w:sz w:val="28"/>
          <w:szCs w:val="28"/>
        </w:rPr>
        <w:t>的能力和技能</w:t>
      </w:r>
      <w:r w:rsidRPr="00104F36">
        <w:rPr>
          <w:rFonts w:ascii="仿宋_GB2312" w:hAnsi="仿宋_GB2312" w:cs="仿宋_GB2312" w:hint="eastAsia"/>
          <w:bCs/>
          <w:sz w:val="28"/>
          <w:szCs w:val="28"/>
        </w:rPr>
        <w:t>；</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lastRenderedPageBreak/>
        <w:t xml:space="preserve">4) </w:t>
      </w:r>
      <w:r w:rsidRPr="00104F36">
        <w:rPr>
          <w:rFonts w:ascii="仿宋_GB2312" w:hAnsi="仿宋_GB2312" w:cs="仿宋_GB2312" w:hint="eastAsia"/>
          <w:bCs/>
          <w:sz w:val="28"/>
          <w:szCs w:val="28"/>
        </w:rPr>
        <w:t>通过本课程的学习，</w:t>
      </w:r>
      <w:r w:rsidRPr="00104F36">
        <w:rPr>
          <w:rFonts w:ascii="仿宋_GB2312" w:hAnsi="仿宋_GB2312" w:cs="仿宋_GB2312"/>
          <w:bCs/>
          <w:sz w:val="28"/>
          <w:szCs w:val="28"/>
        </w:rPr>
        <w:t>掌握施工组织设计；能够具备拟定施工方案</w:t>
      </w:r>
      <w:r w:rsidRPr="00104F36">
        <w:rPr>
          <w:rFonts w:ascii="仿宋_GB2312" w:hAnsi="仿宋_GB2312" w:cs="仿宋_GB2312" w:hint="eastAsia"/>
          <w:bCs/>
          <w:sz w:val="28"/>
          <w:szCs w:val="28"/>
        </w:rPr>
        <w:t>、熟练编制进度计划、设计施工现场平面布置图的能力。</w:t>
      </w:r>
    </w:p>
    <w:p w:rsidR="00876C31" w:rsidRPr="00104F36" w:rsidRDefault="00876C31" w:rsidP="00104F36">
      <w:pPr>
        <w:spacing w:line="360" w:lineRule="auto"/>
        <w:ind w:firstLine="331"/>
        <w:rPr>
          <w:rFonts w:ascii="仿宋_GB2312" w:hAnsi="仿宋_GB2312" w:cs="仿宋_GB2312"/>
          <w:b/>
          <w:bCs/>
          <w:sz w:val="28"/>
          <w:szCs w:val="28"/>
        </w:rPr>
      </w:pPr>
      <w:r w:rsidRPr="00104F36">
        <w:rPr>
          <w:rFonts w:ascii="仿宋_GB2312" w:hAnsi="仿宋_GB2312" w:cs="仿宋_GB2312" w:hint="eastAsia"/>
          <w:b/>
          <w:bCs/>
          <w:sz w:val="28"/>
          <w:szCs w:val="28"/>
        </w:rPr>
        <w:t>(2) 教学目标对毕业要求的支撑矩阵</w:t>
      </w: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759"/>
        <w:gridCol w:w="1150"/>
        <w:gridCol w:w="1150"/>
        <w:gridCol w:w="1150"/>
        <w:gridCol w:w="1150"/>
      </w:tblGrid>
      <w:tr w:rsidR="00876C31" w:rsidRPr="00104F36" w:rsidTr="00BE5664">
        <w:trPr>
          <w:trHeight w:val="276"/>
          <w:jc w:val="center"/>
        </w:trPr>
        <w:tc>
          <w:tcPr>
            <w:tcW w:w="4711" w:type="dxa"/>
            <w:gridSpan w:val="2"/>
            <w:vMerge w:val="restart"/>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ascii="仿宋_GB2312" w:hAnsi="仿宋_GB2312" w:cs="仿宋_GB2312"/>
                <w:b/>
                <w:bCs/>
                <w:sz w:val="24"/>
                <w:szCs w:val="24"/>
              </w:rPr>
              <w:t>毕业要求及其指标点</w:t>
            </w:r>
          </w:p>
        </w:tc>
        <w:tc>
          <w:tcPr>
            <w:tcW w:w="3840" w:type="dxa"/>
            <w:gridSpan w:val="4"/>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ascii="仿宋_GB2312" w:hAnsi="仿宋_GB2312" w:cs="仿宋_GB2312"/>
                <w:b/>
                <w:bCs/>
                <w:sz w:val="24"/>
                <w:szCs w:val="24"/>
              </w:rPr>
              <w:t>教学目标</w:t>
            </w:r>
          </w:p>
        </w:tc>
      </w:tr>
      <w:tr w:rsidR="00876C31" w:rsidRPr="00104F36" w:rsidTr="00BE5664">
        <w:trPr>
          <w:trHeight w:val="276"/>
          <w:jc w:val="center"/>
        </w:trPr>
        <w:tc>
          <w:tcPr>
            <w:tcW w:w="4711" w:type="dxa"/>
            <w:gridSpan w:val="2"/>
            <w:vMerge/>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
                <w:bCs/>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ascii="仿宋_GB2312" w:hAnsi="仿宋_GB2312" w:cs="仿宋_GB2312"/>
                <w:b/>
                <w:bCs/>
                <w:sz w:val="24"/>
                <w:szCs w:val="24"/>
              </w:rPr>
              <w:t>（1）</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ascii="仿宋_GB2312" w:hAnsi="仿宋_GB2312" w:cs="仿宋_GB2312"/>
                <w:b/>
                <w:bCs/>
                <w:sz w:val="24"/>
                <w:szCs w:val="24"/>
              </w:rPr>
              <w:t>（2）</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ascii="仿宋_GB2312" w:hAnsi="仿宋_GB2312" w:cs="仿宋_GB2312"/>
                <w:b/>
                <w:bCs/>
                <w:sz w:val="24"/>
                <w:szCs w:val="24"/>
              </w:rPr>
              <w:t>（3）</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ascii="仿宋_GB2312" w:hAnsi="仿宋_GB2312" w:cs="仿宋_GB2312"/>
                <w:b/>
                <w:bCs/>
                <w:sz w:val="24"/>
                <w:szCs w:val="24"/>
              </w:rPr>
              <w:t>（4）</w:t>
            </w:r>
          </w:p>
        </w:tc>
      </w:tr>
      <w:tr w:rsidR="00876C31" w:rsidRPr="00104F36" w:rsidTr="00BE5664">
        <w:trPr>
          <w:trHeight w:val="276"/>
          <w:jc w:val="center"/>
        </w:trPr>
        <w:tc>
          <w:tcPr>
            <w:tcW w:w="1845"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1.工程知识应用能力</w:t>
            </w:r>
          </w:p>
        </w:tc>
        <w:tc>
          <w:tcPr>
            <w:tcW w:w="2866"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1.4 工程建造与管理</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r>
      <w:tr w:rsidR="00876C31" w:rsidRPr="00104F36" w:rsidTr="00BE5664">
        <w:trPr>
          <w:trHeight w:val="276"/>
          <w:jc w:val="center"/>
        </w:trPr>
        <w:tc>
          <w:tcPr>
            <w:tcW w:w="1845"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2.问题分析能力</w:t>
            </w:r>
          </w:p>
        </w:tc>
        <w:tc>
          <w:tcPr>
            <w:tcW w:w="2866"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2.3 工程问题解决方案</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r>
      <w:tr w:rsidR="00876C31" w:rsidRPr="00104F36" w:rsidTr="00BE5664">
        <w:trPr>
          <w:trHeight w:val="276"/>
          <w:jc w:val="center"/>
        </w:trPr>
        <w:tc>
          <w:tcPr>
            <w:tcW w:w="1845"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3.设计/开发能力</w:t>
            </w:r>
          </w:p>
        </w:tc>
        <w:tc>
          <w:tcPr>
            <w:tcW w:w="2866"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3.3 工程施工方案的拟定与优化</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r>
      <w:tr w:rsidR="00876C31" w:rsidRPr="00104F36" w:rsidTr="00BE5664">
        <w:trPr>
          <w:trHeight w:val="276"/>
          <w:jc w:val="center"/>
        </w:trPr>
        <w:tc>
          <w:tcPr>
            <w:tcW w:w="1845"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5.现代工具使用能力</w:t>
            </w:r>
          </w:p>
        </w:tc>
        <w:tc>
          <w:tcPr>
            <w:tcW w:w="2866"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5.2 工程问题的分析、计算</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p>
        </w:tc>
      </w:tr>
      <w:tr w:rsidR="00876C31" w:rsidRPr="00104F36" w:rsidTr="00BE5664">
        <w:trPr>
          <w:trHeight w:val="276"/>
          <w:jc w:val="center"/>
        </w:trPr>
        <w:tc>
          <w:tcPr>
            <w:tcW w:w="1845"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6.工程评价能力</w:t>
            </w:r>
          </w:p>
        </w:tc>
        <w:tc>
          <w:tcPr>
            <w:tcW w:w="2866"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6.2 评价工程解决方案</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r>
      <w:tr w:rsidR="00876C31" w:rsidRPr="00104F36" w:rsidTr="00BE5664">
        <w:trPr>
          <w:trHeight w:val="276"/>
          <w:jc w:val="center"/>
        </w:trPr>
        <w:tc>
          <w:tcPr>
            <w:tcW w:w="1845"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11.项目管理能力</w:t>
            </w:r>
          </w:p>
        </w:tc>
        <w:tc>
          <w:tcPr>
            <w:tcW w:w="2866"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11.2 工程解决方案的管理与决策</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bCs/>
                <w:sz w:val="24"/>
                <w:szCs w:val="24"/>
              </w:rPr>
              <w:t>√</w:t>
            </w:r>
          </w:p>
        </w:tc>
      </w:tr>
    </w:tbl>
    <w:p w:rsidR="00876C31" w:rsidRPr="00104F36" w:rsidRDefault="00876C31" w:rsidP="00104F36">
      <w:pPr>
        <w:spacing w:line="360" w:lineRule="auto"/>
        <w:ind w:firstLine="331"/>
        <w:rPr>
          <w:rFonts w:ascii="仿宋_GB2312" w:hAnsi="仿宋_GB2312" w:cs="仿宋_GB2312"/>
          <w:b/>
          <w:bCs/>
          <w:sz w:val="28"/>
          <w:szCs w:val="28"/>
        </w:rPr>
      </w:pPr>
      <w:r w:rsidRPr="00104F36">
        <w:rPr>
          <w:rFonts w:ascii="仿宋_GB2312" w:hAnsi="仿宋_GB2312" w:cs="仿宋_GB2312" w:hint="eastAsia"/>
          <w:b/>
          <w:bCs/>
          <w:sz w:val="28"/>
          <w:szCs w:val="28"/>
        </w:rPr>
        <w:t>(3) 本课程的重点、难点</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重点：流水施工原理，包括流水施工参数的确定方法、流水施工的组织方法；网络计划技术，包括双代号、单代号网络计划的绘图与计算，双代号时标网络计划的编制及时间参数、关键线路的确定；单位工程施工组织设计的编制，主要包括施工方案的拟定，施工进度计划</w:t>
      </w:r>
      <w:r w:rsidRPr="00104F36">
        <w:rPr>
          <w:rFonts w:ascii="仿宋_GB2312" w:hAnsi="仿宋_GB2312" w:cs="仿宋_GB2312" w:hint="eastAsia"/>
          <w:bCs/>
          <w:sz w:val="28"/>
          <w:szCs w:val="28"/>
        </w:rPr>
        <w:lastRenderedPageBreak/>
        <w:t>的编制，施工现场平面布置的设计。</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难点：成倍节拍流水、不定节拍流水的组织方法；双代号、单代号网络计划时间参数的计算；双代号时标网络计划的绘制、时间参数及关键线路的确定；施工方案的拟定；施工进度计划的编制。</w:t>
      </w:r>
    </w:p>
    <w:p w:rsidR="00876C31" w:rsidRPr="00104F36" w:rsidRDefault="00876C31" w:rsidP="00104F36">
      <w:pPr>
        <w:spacing w:line="360" w:lineRule="auto"/>
        <w:ind w:firstLine="331"/>
        <w:rPr>
          <w:rFonts w:ascii="仿宋_GB2312" w:hAnsi="仿宋_GB2312" w:cs="仿宋_GB2312"/>
          <w:b/>
          <w:bCs/>
          <w:sz w:val="28"/>
          <w:szCs w:val="28"/>
        </w:rPr>
      </w:pPr>
      <w:r w:rsidRPr="00104F36">
        <w:rPr>
          <w:rFonts w:ascii="仿宋_GB2312" w:hAnsi="仿宋_GB2312" w:cs="仿宋_GB2312" w:hint="eastAsia"/>
          <w:b/>
          <w:bCs/>
          <w:sz w:val="28"/>
          <w:szCs w:val="28"/>
        </w:rPr>
        <w:t xml:space="preserve"> (4) 课程思政切入</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引导学生深刻理解并自觉实践</w:t>
      </w:r>
      <w:r w:rsidRPr="00104F36">
        <w:rPr>
          <w:rFonts w:ascii="仿宋_GB2312" w:hAnsi="仿宋_GB2312" w:cs="仿宋_GB2312" w:hint="eastAsia"/>
          <w:bCs/>
          <w:sz w:val="28"/>
          <w:szCs w:val="28"/>
        </w:rPr>
        <w:t>土木工程施工</w:t>
      </w:r>
      <w:r w:rsidRPr="00104F36">
        <w:rPr>
          <w:rFonts w:ascii="仿宋_GB2312" w:hAnsi="仿宋_GB2312" w:cs="仿宋_GB2312"/>
          <w:bCs/>
          <w:sz w:val="28"/>
          <w:szCs w:val="28"/>
        </w:rPr>
        <w:t>领域的职业精神和职业规范。增强学生的土木工程师职业责任感</w:t>
      </w:r>
      <w:r w:rsidRPr="00104F36">
        <w:rPr>
          <w:rFonts w:ascii="仿宋_GB2312" w:hAnsi="仿宋_GB2312" w:cs="仿宋_GB2312" w:hint="eastAsia"/>
          <w:bCs/>
          <w:sz w:val="28"/>
          <w:szCs w:val="28"/>
        </w:rPr>
        <w:t>，培养学生的大国工匠精神，激发学生的家国情怀。鼓励学生在复杂的因素中找到内在联系，抓住事物的本质；培养学生以实事求是的科学态度分析问题和解决问题。引导学生深刻理解工程实践对人类社会及环境的正面和负面影响，培养绿色建造理念。强调应坚持信念、不忘初心、方为始终。</w:t>
      </w:r>
    </w:p>
    <w:p w:rsidR="00876C31" w:rsidRPr="00104F36" w:rsidRDefault="00876C31" w:rsidP="00104F36">
      <w:pPr>
        <w:spacing w:beforeLines="50" w:before="156" w:afterLines="50" w:after="156" w:line="560" w:lineRule="exact"/>
        <w:rPr>
          <w:rFonts w:ascii="黑体" w:eastAsia="黑体" w:hAnsi="黑体"/>
          <w:b/>
          <w:sz w:val="28"/>
          <w:szCs w:val="28"/>
        </w:rPr>
      </w:pPr>
      <w:r w:rsidRPr="00104F36">
        <w:rPr>
          <w:rFonts w:ascii="黑体" w:eastAsia="黑体" w:hAnsi="黑体" w:hint="eastAsia"/>
          <w:b/>
          <w:sz w:val="28"/>
          <w:szCs w:val="28"/>
        </w:rPr>
        <w:t>四、教学内容安排</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129"/>
        <w:gridCol w:w="628"/>
        <w:gridCol w:w="2904"/>
        <w:gridCol w:w="3064"/>
      </w:tblGrid>
      <w:tr w:rsidR="00876C31" w:rsidTr="00BE5664">
        <w:trPr>
          <w:cantSplit/>
          <w:trHeight w:val="661"/>
          <w:jc w:val="center"/>
        </w:trPr>
        <w:tc>
          <w:tcPr>
            <w:tcW w:w="257" w:type="pct"/>
            <w:vAlign w:val="center"/>
          </w:tcPr>
          <w:p w:rsidR="00876C31" w:rsidRPr="00104F36" w:rsidRDefault="00876C31" w:rsidP="00BE5664">
            <w:pPr>
              <w:spacing w:line="340" w:lineRule="exact"/>
              <w:jc w:val="center"/>
              <w:rPr>
                <w:rFonts w:ascii="仿宋_GB2312" w:hAnsi="仿宋_GB2312" w:cs="仿宋_GB2312"/>
                <w:b/>
                <w:bCs/>
                <w:sz w:val="24"/>
                <w:szCs w:val="24"/>
              </w:rPr>
            </w:pPr>
            <w:r w:rsidRPr="00104F36">
              <w:rPr>
                <w:rFonts w:ascii="仿宋_GB2312" w:hAnsi="仿宋_GB2312" w:cs="仿宋_GB2312"/>
                <w:b/>
                <w:bCs/>
                <w:sz w:val="24"/>
                <w:szCs w:val="24"/>
              </w:rPr>
              <w:t>序号</w:t>
            </w:r>
          </w:p>
        </w:tc>
        <w:tc>
          <w:tcPr>
            <w:tcW w:w="696" w:type="pct"/>
            <w:vAlign w:val="center"/>
          </w:tcPr>
          <w:p w:rsidR="00876C31" w:rsidRPr="00104F36" w:rsidRDefault="00876C31" w:rsidP="00BE5664">
            <w:pPr>
              <w:spacing w:line="340" w:lineRule="exact"/>
              <w:jc w:val="center"/>
              <w:rPr>
                <w:rFonts w:ascii="仿宋_GB2312" w:hAnsi="仿宋_GB2312" w:cs="仿宋_GB2312"/>
                <w:b/>
                <w:bCs/>
                <w:sz w:val="24"/>
                <w:szCs w:val="24"/>
              </w:rPr>
            </w:pPr>
            <w:r w:rsidRPr="00104F36">
              <w:rPr>
                <w:rFonts w:ascii="仿宋_GB2312" w:hAnsi="仿宋_GB2312" w:cs="仿宋_GB2312"/>
                <w:b/>
                <w:bCs/>
                <w:sz w:val="24"/>
                <w:szCs w:val="24"/>
              </w:rPr>
              <w:t>章  节</w:t>
            </w:r>
          </w:p>
        </w:tc>
        <w:tc>
          <w:tcPr>
            <w:tcW w:w="389" w:type="pct"/>
            <w:vAlign w:val="center"/>
          </w:tcPr>
          <w:p w:rsidR="00876C31" w:rsidRPr="00104F36" w:rsidRDefault="00876C31" w:rsidP="00BE5664">
            <w:pPr>
              <w:spacing w:line="340" w:lineRule="exact"/>
              <w:jc w:val="center"/>
              <w:rPr>
                <w:rFonts w:ascii="仿宋_GB2312" w:hAnsi="仿宋_GB2312" w:cs="仿宋_GB2312"/>
                <w:b/>
                <w:bCs/>
                <w:sz w:val="24"/>
                <w:szCs w:val="24"/>
              </w:rPr>
            </w:pPr>
            <w:r w:rsidRPr="00104F36">
              <w:rPr>
                <w:rFonts w:ascii="仿宋_GB2312" w:hAnsi="仿宋_GB2312" w:cs="仿宋_GB2312"/>
                <w:b/>
                <w:bCs/>
                <w:sz w:val="24"/>
                <w:szCs w:val="24"/>
              </w:rPr>
              <w:t>参考学时</w:t>
            </w:r>
          </w:p>
        </w:tc>
        <w:tc>
          <w:tcPr>
            <w:tcW w:w="1780" w:type="pct"/>
            <w:vAlign w:val="center"/>
          </w:tcPr>
          <w:p w:rsidR="00876C31" w:rsidRPr="00104F36" w:rsidRDefault="00876C31" w:rsidP="00BE5664">
            <w:pPr>
              <w:spacing w:line="340" w:lineRule="exact"/>
              <w:jc w:val="center"/>
              <w:rPr>
                <w:rFonts w:ascii="仿宋_GB2312" w:hAnsi="仿宋_GB2312" w:cs="仿宋_GB2312"/>
                <w:b/>
                <w:bCs/>
                <w:sz w:val="24"/>
                <w:szCs w:val="24"/>
              </w:rPr>
            </w:pPr>
            <w:r w:rsidRPr="00104F36">
              <w:rPr>
                <w:rFonts w:ascii="仿宋_GB2312" w:hAnsi="仿宋_GB2312" w:cs="仿宋_GB2312"/>
                <w:b/>
                <w:bCs/>
                <w:sz w:val="24"/>
                <w:szCs w:val="24"/>
              </w:rPr>
              <w:t>教学内容</w:t>
            </w:r>
          </w:p>
        </w:tc>
        <w:tc>
          <w:tcPr>
            <w:tcW w:w="1878" w:type="pct"/>
            <w:vAlign w:val="center"/>
          </w:tcPr>
          <w:p w:rsidR="00876C31" w:rsidRPr="00104F36" w:rsidRDefault="00876C31" w:rsidP="00BE5664">
            <w:pPr>
              <w:spacing w:line="340" w:lineRule="exact"/>
              <w:jc w:val="center"/>
              <w:rPr>
                <w:rFonts w:ascii="仿宋_GB2312" w:hAnsi="仿宋_GB2312" w:cs="仿宋_GB2312"/>
                <w:b/>
                <w:bCs/>
                <w:sz w:val="24"/>
                <w:szCs w:val="24"/>
              </w:rPr>
            </w:pPr>
            <w:r w:rsidRPr="00104F36">
              <w:rPr>
                <w:rFonts w:ascii="仿宋_GB2312" w:hAnsi="仿宋_GB2312" w:cs="仿宋_GB2312"/>
                <w:b/>
                <w:bCs/>
                <w:sz w:val="24"/>
                <w:szCs w:val="24"/>
              </w:rPr>
              <w:t>基本要求</w:t>
            </w:r>
          </w:p>
        </w:tc>
      </w:tr>
      <w:tr w:rsidR="00876C31" w:rsidTr="00BE5664">
        <w:trPr>
          <w:trHeight w:val="1237"/>
          <w:jc w:val="center"/>
        </w:trPr>
        <w:tc>
          <w:tcPr>
            <w:tcW w:w="257" w:type="pct"/>
            <w:vAlign w:val="center"/>
          </w:tcPr>
          <w:p w:rsidR="00876C31" w:rsidRPr="00104F36" w:rsidRDefault="00876C31" w:rsidP="00BE5664">
            <w:pPr>
              <w:spacing w:line="340" w:lineRule="exact"/>
              <w:jc w:val="center"/>
              <w:rPr>
                <w:rFonts w:ascii="仿宋_GB2312" w:hAnsi="仿宋_GB2312" w:cs="仿宋_GB2312"/>
                <w:bCs/>
                <w:sz w:val="24"/>
                <w:szCs w:val="24"/>
              </w:rPr>
            </w:pPr>
            <w:r w:rsidRPr="00104F36">
              <w:rPr>
                <w:rFonts w:ascii="仿宋_GB2312" w:hAnsi="仿宋_GB2312" w:cs="仿宋_GB2312"/>
                <w:bCs/>
                <w:sz w:val="24"/>
                <w:szCs w:val="24"/>
              </w:rPr>
              <w:t>1</w:t>
            </w:r>
          </w:p>
        </w:tc>
        <w:tc>
          <w:tcPr>
            <w:tcW w:w="696"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bCs/>
                <w:sz w:val="24"/>
                <w:szCs w:val="24"/>
              </w:rPr>
              <w:t>第一章</w:t>
            </w:r>
            <w:r w:rsidRPr="00104F36">
              <w:rPr>
                <w:rFonts w:ascii="仿宋_GB2312" w:hAnsi="仿宋_GB2312" w:cs="仿宋_GB2312" w:hint="eastAsia"/>
                <w:bCs/>
                <w:sz w:val="24"/>
                <w:szCs w:val="24"/>
              </w:rPr>
              <w:t xml:space="preserve"> </w:t>
            </w:r>
            <w:r w:rsidRPr="00104F36">
              <w:rPr>
                <w:rFonts w:ascii="仿宋_GB2312" w:hAnsi="仿宋_GB2312" w:cs="仿宋_GB2312"/>
                <w:bCs/>
                <w:sz w:val="24"/>
                <w:szCs w:val="24"/>
              </w:rPr>
              <w:t>施工组织设计概论</w:t>
            </w:r>
          </w:p>
        </w:tc>
        <w:tc>
          <w:tcPr>
            <w:tcW w:w="389" w:type="pct"/>
            <w:vAlign w:val="center"/>
          </w:tcPr>
          <w:p w:rsidR="00876C31" w:rsidRPr="00104F36" w:rsidRDefault="00876C31" w:rsidP="00BE5664">
            <w:pPr>
              <w:spacing w:line="340" w:lineRule="exact"/>
              <w:jc w:val="center"/>
              <w:rPr>
                <w:rFonts w:ascii="仿宋_GB2312" w:hAnsi="仿宋_GB2312" w:cs="仿宋_GB2312"/>
                <w:bCs/>
                <w:sz w:val="24"/>
                <w:szCs w:val="24"/>
              </w:rPr>
            </w:pPr>
            <w:r w:rsidRPr="00104F36">
              <w:rPr>
                <w:rFonts w:ascii="仿宋_GB2312" w:hAnsi="仿宋_GB2312" w:cs="仿宋_GB2312"/>
                <w:bCs/>
                <w:sz w:val="24"/>
                <w:szCs w:val="24"/>
              </w:rPr>
              <w:t>2</w:t>
            </w:r>
          </w:p>
        </w:tc>
        <w:tc>
          <w:tcPr>
            <w:tcW w:w="1780"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（1）土木工程产品及其生产特点；建设项目与建设程序；土木工程的施工程序；</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（2）施工组织设计的类型、作用、内容及编制与贯彻；施工准备工作；</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（3）组织施工的原则。</w:t>
            </w:r>
          </w:p>
        </w:tc>
        <w:tc>
          <w:tcPr>
            <w:tcW w:w="1878"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了解：土木工程产品及其生产特点；建设程序；施工组织设计的编制要求。</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熟悉：建设项目的组成；组织施工的原则。</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掌握：工程施工的一般程序；施工准备工作的内容；施工组织设计的类型、作用及内容。</w:t>
            </w:r>
          </w:p>
        </w:tc>
      </w:tr>
      <w:tr w:rsidR="00876C31" w:rsidTr="00BE5664">
        <w:trPr>
          <w:trHeight w:val="1113"/>
          <w:jc w:val="center"/>
        </w:trPr>
        <w:tc>
          <w:tcPr>
            <w:tcW w:w="257" w:type="pct"/>
            <w:vAlign w:val="center"/>
          </w:tcPr>
          <w:p w:rsidR="00876C31" w:rsidRPr="00104F36" w:rsidRDefault="00876C31" w:rsidP="00BE5664">
            <w:pPr>
              <w:spacing w:line="340" w:lineRule="exact"/>
              <w:jc w:val="center"/>
              <w:rPr>
                <w:rFonts w:ascii="仿宋_GB2312" w:hAnsi="仿宋_GB2312" w:cs="仿宋_GB2312"/>
                <w:bCs/>
                <w:sz w:val="24"/>
                <w:szCs w:val="24"/>
              </w:rPr>
            </w:pPr>
            <w:r w:rsidRPr="00104F36">
              <w:rPr>
                <w:rFonts w:ascii="仿宋_GB2312" w:hAnsi="仿宋_GB2312" w:cs="仿宋_GB2312"/>
                <w:bCs/>
                <w:sz w:val="24"/>
                <w:szCs w:val="24"/>
              </w:rPr>
              <w:t>2</w:t>
            </w:r>
          </w:p>
        </w:tc>
        <w:tc>
          <w:tcPr>
            <w:tcW w:w="696"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bCs/>
                <w:sz w:val="24"/>
                <w:szCs w:val="24"/>
              </w:rPr>
              <w:t>第二章</w:t>
            </w:r>
            <w:r w:rsidRPr="00104F36">
              <w:rPr>
                <w:rFonts w:ascii="仿宋_GB2312" w:hAnsi="仿宋_GB2312" w:cs="仿宋_GB2312" w:hint="eastAsia"/>
                <w:bCs/>
                <w:sz w:val="24"/>
                <w:szCs w:val="24"/>
              </w:rPr>
              <w:t xml:space="preserve"> </w:t>
            </w:r>
            <w:r w:rsidRPr="00104F36">
              <w:rPr>
                <w:rFonts w:ascii="仿宋_GB2312" w:hAnsi="仿宋_GB2312" w:cs="仿宋_GB2312"/>
                <w:bCs/>
                <w:sz w:val="24"/>
                <w:szCs w:val="24"/>
              </w:rPr>
              <w:t>流水施工原理</w:t>
            </w:r>
          </w:p>
        </w:tc>
        <w:tc>
          <w:tcPr>
            <w:tcW w:w="389" w:type="pct"/>
            <w:vAlign w:val="center"/>
          </w:tcPr>
          <w:p w:rsidR="00876C31" w:rsidRPr="00104F36" w:rsidRDefault="00876C31" w:rsidP="00BE5664">
            <w:pPr>
              <w:spacing w:line="340" w:lineRule="exact"/>
              <w:jc w:val="center"/>
              <w:rPr>
                <w:rFonts w:ascii="仿宋_GB2312" w:hAnsi="仿宋_GB2312" w:cs="仿宋_GB2312"/>
                <w:bCs/>
                <w:sz w:val="24"/>
                <w:szCs w:val="24"/>
              </w:rPr>
            </w:pPr>
            <w:r w:rsidRPr="00104F36">
              <w:rPr>
                <w:rFonts w:ascii="仿宋_GB2312" w:hAnsi="仿宋_GB2312" w:cs="仿宋_GB2312"/>
                <w:bCs/>
                <w:sz w:val="24"/>
                <w:szCs w:val="24"/>
              </w:rPr>
              <w:t>6</w:t>
            </w:r>
          </w:p>
        </w:tc>
        <w:tc>
          <w:tcPr>
            <w:tcW w:w="1780"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（1）流水施工的基本概念；</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（2）流水施工参数；</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（3）流水施工的组织方法。</w:t>
            </w:r>
          </w:p>
        </w:tc>
        <w:tc>
          <w:tcPr>
            <w:tcW w:w="1878"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了解：流水施工的概念及特点；</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掌握：流水施工参数的概念及确定方法；组织流水施工的步骤与方法。</w:t>
            </w:r>
          </w:p>
        </w:tc>
      </w:tr>
      <w:tr w:rsidR="00876C31" w:rsidTr="00BE5664">
        <w:trPr>
          <w:trHeight w:val="1113"/>
          <w:jc w:val="center"/>
        </w:trPr>
        <w:tc>
          <w:tcPr>
            <w:tcW w:w="257" w:type="pct"/>
            <w:vAlign w:val="center"/>
          </w:tcPr>
          <w:p w:rsidR="00876C31" w:rsidRPr="00104F36" w:rsidRDefault="00876C31" w:rsidP="00BE5664">
            <w:pPr>
              <w:spacing w:line="340" w:lineRule="exact"/>
              <w:jc w:val="center"/>
              <w:rPr>
                <w:rFonts w:ascii="仿宋_GB2312" w:hAnsi="仿宋_GB2312" w:cs="仿宋_GB2312"/>
                <w:bCs/>
                <w:sz w:val="24"/>
                <w:szCs w:val="24"/>
              </w:rPr>
            </w:pPr>
            <w:r w:rsidRPr="00104F36">
              <w:rPr>
                <w:rFonts w:ascii="仿宋_GB2312" w:hAnsi="仿宋_GB2312" w:cs="仿宋_GB2312"/>
                <w:bCs/>
                <w:sz w:val="24"/>
                <w:szCs w:val="24"/>
              </w:rPr>
              <w:lastRenderedPageBreak/>
              <w:t>3</w:t>
            </w:r>
          </w:p>
        </w:tc>
        <w:tc>
          <w:tcPr>
            <w:tcW w:w="696"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bCs/>
                <w:sz w:val="24"/>
                <w:szCs w:val="24"/>
              </w:rPr>
              <w:t>第三章</w:t>
            </w:r>
            <w:r w:rsidRPr="00104F36">
              <w:rPr>
                <w:rFonts w:ascii="仿宋_GB2312" w:hAnsi="仿宋_GB2312" w:cs="仿宋_GB2312" w:hint="eastAsia"/>
                <w:bCs/>
                <w:sz w:val="24"/>
                <w:szCs w:val="24"/>
              </w:rPr>
              <w:t xml:space="preserve"> </w:t>
            </w:r>
            <w:r w:rsidRPr="00104F36">
              <w:rPr>
                <w:rFonts w:ascii="仿宋_GB2312" w:hAnsi="仿宋_GB2312" w:cs="仿宋_GB2312"/>
                <w:bCs/>
                <w:sz w:val="24"/>
                <w:szCs w:val="24"/>
              </w:rPr>
              <w:t>网络计划技术</w:t>
            </w:r>
          </w:p>
        </w:tc>
        <w:tc>
          <w:tcPr>
            <w:tcW w:w="389" w:type="pct"/>
            <w:vAlign w:val="center"/>
          </w:tcPr>
          <w:p w:rsidR="00876C31" w:rsidRPr="00104F36" w:rsidRDefault="00876C31" w:rsidP="00BE5664">
            <w:pPr>
              <w:spacing w:line="340" w:lineRule="exact"/>
              <w:jc w:val="center"/>
              <w:rPr>
                <w:rFonts w:ascii="仿宋_GB2312" w:hAnsi="仿宋_GB2312" w:cs="仿宋_GB2312"/>
                <w:bCs/>
                <w:sz w:val="24"/>
                <w:szCs w:val="24"/>
              </w:rPr>
            </w:pPr>
            <w:r w:rsidRPr="00104F36">
              <w:rPr>
                <w:rFonts w:ascii="仿宋_GB2312" w:hAnsi="仿宋_GB2312" w:cs="仿宋_GB2312"/>
                <w:bCs/>
                <w:sz w:val="24"/>
                <w:szCs w:val="24"/>
              </w:rPr>
              <w:t>8</w:t>
            </w:r>
          </w:p>
        </w:tc>
        <w:tc>
          <w:tcPr>
            <w:tcW w:w="1780"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（1）网络计划的一般概念；</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（2）双代号网络计划；</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（3）单代号网络计划；</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（4）双代号时标网络计划；</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（5）网络计划的优化。</w:t>
            </w:r>
          </w:p>
        </w:tc>
        <w:tc>
          <w:tcPr>
            <w:tcW w:w="1878"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了解：网络计划的基本原理与基本概念；网络计划优化的方法与步骤；</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掌握：双代号、单代号网络图的绘图规则与方法；时间参数的含义与计算；双代号时标网络计划的编制方法及其参数确定方法；网络计划优化的目标与原理。</w:t>
            </w:r>
          </w:p>
        </w:tc>
      </w:tr>
      <w:tr w:rsidR="00876C31" w:rsidTr="00BE5664">
        <w:trPr>
          <w:trHeight w:val="1113"/>
          <w:jc w:val="center"/>
        </w:trPr>
        <w:tc>
          <w:tcPr>
            <w:tcW w:w="257" w:type="pct"/>
            <w:vAlign w:val="center"/>
          </w:tcPr>
          <w:p w:rsidR="00876C31" w:rsidRPr="00104F36" w:rsidRDefault="00876C31" w:rsidP="00BE5664">
            <w:pPr>
              <w:spacing w:line="340" w:lineRule="exact"/>
              <w:jc w:val="center"/>
              <w:rPr>
                <w:rFonts w:ascii="仿宋_GB2312" w:hAnsi="仿宋_GB2312" w:cs="仿宋_GB2312"/>
                <w:bCs/>
                <w:sz w:val="24"/>
                <w:szCs w:val="24"/>
              </w:rPr>
            </w:pPr>
            <w:r w:rsidRPr="00104F36">
              <w:rPr>
                <w:rFonts w:ascii="仿宋_GB2312" w:hAnsi="仿宋_GB2312" w:cs="仿宋_GB2312"/>
                <w:bCs/>
                <w:sz w:val="24"/>
                <w:szCs w:val="24"/>
              </w:rPr>
              <w:t>4</w:t>
            </w:r>
          </w:p>
        </w:tc>
        <w:tc>
          <w:tcPr>
            <w:tcW w:w="696"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bCs/>
                <w:sz w:val="24"/>
                <w:szCs w:val="24"/>
              </w:rPr>
              <w:t>第四章</w:t>
            </w:r>
            <w:r w:rsidRPr="00104F36">
              <w:rPr>
                <w:rFonts w:ascii="仿宋_GB2312" w:hAnsi="仿宋_GB2312" w:cs="仿宋_GB2312" w:hint="eastAsia"/>
                <w:bCs/>
                <w:sz w:val="24"/>
                <w:szCs w:val="24"/>
              </w:rPr>
              <w:t xml:space="preserve"> </w:t>
            </w:r>
            <w:r w:rsidRPr="00104F36">
              <w:rPr>
                <w:rFonts w:ascii="仿宋_GB2312" w:hAnsi="仿宋_GB2312" w:cs="仿宋_GB2312"/>
                <w:bCs/>
                <w:sz w:val="24"/>
                <w:szCs w:val="24"/>
              </w:rPr>
              <w:t>单位工程施工组织设计</w:t>
            </w:r>
          </w:p>
        </w:tc>
        <w:tc>
          <w:tcPr>
            <w:tcW w:w="389" w:type="pct"/>
            <w:vAlign w:val="center"/>
          </w:tcPr>
          <w:p w:rsidR="00876C31" w:rsidRPr="00104F36" w:rsidRDefault="00876C31" w:rsidP="00BE5664">
            <w:pPr>
              <w:spacing w:line="340" w:lineRule="exact"/>
              <w:jc w:val="center"/>
              <w:rPr>
                <w:rFonts w:ascii="仿宋_GB2312" w:hAnsi="仿宋_GB2312" w:cs="仿宋_GB2312"/>
                <w:bCs/>
                <w:sz w:val="24"/>
                <w:szCs w:val="24"/>
              </w:rPr>
            </w:pPr>
            <w:r w:rsidRPr="00104F36">
              <w:rPr>
                <w:rFonts w:ascii="仿宋_GB2312" w:hAnsi="仿宋_GB2312" w:cs="仿宋_GB2312"/>
                <w:bCs/>
                <w:sz w:val="24"/>
                <w:szCs w:val="24"/>
              </w:rPr>
              <w:t>6</w:t>
            </w:r>
          </w:p>
        </w:tc>
        <w:tc>
          <w:tcPr>
            <w:tcW w:w="1780"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（1）单位工程施工组织设计的作用、任务、内容及编制程序；</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（2）编制依据及工程概况；</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（3）施工部署与施工方案；</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（4）施工进度计划、资源配置计划及施工准备工作计划；</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（5）施工现场平面布置；</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（6）施工管理计划与技术经济指标。</w:t>
            </w:r>
          </w:p>
        </w:tc>
        <w:tc>
          <w:tcPr>
            <w:tcW w:w="1878"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了解：工程概况的内容与要求；</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熟悉：单位工程施工组织设计的作用、任务、内容及编制程序；资源配置计划及施工准备工作计划的编制；</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掌握：施工部署与施工方案的内容与编制；施工进度计划的编制；施工现场平面布置的设计；</w:t>
            </w:r>
          </w:p>
        </w:tc>
      </w:tr>
      <w:tr w:rsidR="00876C31" w:rsidTr="00BE5664">
        <w:trPr>
          <w:trHeight w:val="1113"/>
          <w:jc w:val="center"/>
        </w:trPr>
        <w:tc>
          <w:tcPr>
            <w:tcW w:w="257" w:type="pct"/>
            <w:vAlign w:val="center"/>
          </w:tcPr>
          <w:p w:rsidR="00876C31" w:rsidRPr="00104F36" w:rsidRDefault="00876C31" w:rsidP="00BE5664">
            <w:pPr>
              <w:spacing w:line="340" w:lineRule="exact"/>
              <w:jc w:val="center"/>
              <w:rPr>
                <w:rFonts w:ascii="仿宋_GB2312" w:hAnsi="仿宋_GB2312" w:cs="仿宋_GB2312"/>
                <w:bCs/>
                <w:sz w:val="24"/>
                <w:szCs w:val="24"/>
              </w:rPr>
            </w:pPr>
            <w:r w:rsidRPr="00104F36">
              <w:rPr>
                <w:rFonts w:ascii="仿宋_GB2312" w:hAnsi="仿宋_GB2312" w:cs="仿宋_GB2312"/>
                <w:bCs/>
                <w:sz w:val="24"/>
                <w:szCs w:val="24"/>
              </w:rPr>
              <w:t>5</w:t>
            </w:r>
          </w:p>
        </w:tc>
        <w:tc>
          <w:tcPr>
            <w:tcW w:w="696"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bCs/>
                <w:sz w:val="24"/>
                <w:szCs w:val="24"/>
              </w:rPr>
              <w:t>第五章</w:t>
            </w:r>
            <w:r w:rsidRPr="00104F36">
              <w:rPr>
                <w:rFonts w:ascii="仿宋_GB2312" w:hAnsi="仿宋_GB2312" w:cs="仿宋_GB2312" w:hint="eastAsia"/>
                <w:bCs/>
                <w:sz w:val="24"/>
                <w:szCs w:val="24"/>
              </w:rPr>
              <w:t xml:space="preserve"> </w:t>
            </w:r>
            <w:r w:rsidRPr="00104F36">
              <w:rPr>
                <w:rFonts w:ascii="仿宋_GB2312" w:hAnsi="仿宋_GB2312" w:cs="仿宋_GB2312"/>
                <w:bCs/>
                <w:sz w:val="24"/>
                <w:szCs w:val="24"/>
              </w:rPr>
              <w:t>施工组织总设计</w:t>
            </w:r>
          </w:p>
        </w:tc>
        <w:tc>
          <w:tcPr>
            <w:tcW w:w="389" w:type="pct"/>
            <w:vAlign w:val="center"/>
          </w:tcPr>
          <w:p w:rsidR="00876C31" w:rsidRPr="00104F36" w:rsidRDefault="00876C31" w:rsidP="00BE5664">
            <w:pPr>
              <w:spacing w:line="340" w:lineRule="exact"/>
              <w:jc w:val="center"/>
              <w:rPr>
                <w:rFonts w:ascii="仿宋_GB2312" w:hAnsi="仿宋_GB2312" w:cs="仿宋_GB2312"/>
                <w:bCs/>
                <w:sz w:val="24"/>
                <w:szCs w:val="24"/>
              </w:rPr>
            </w:pPr>
            <w:r w:rsidRPr="00104F36">
              <w:rPr>
                <w:rFonts w:ascii="仿宋_GB2312" w:hAnsi="仿宋_GB2312" w:cs="仿宋_GB2312"/>
                <w:bCs/>
                <w:sz w:val="24"/>
                <w:szCs w:val="24"/>
              </w:rPr>
              <w:t>2</w:t>
            </w:r>
          </w:p>
        </w:tc>
        <w:tc>
          <w:tcPr>
            <w:tcW w:w="1780"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（1）施工组织总设计的作用、内容、编制程序及依据；</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（2）施工部署与施工方案；</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（3）施工总进度计划；</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（4）资源配置计划与总体施工准备；</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（5）施工现场总平面布置；</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（6）目标管理计划与技术经济指标。</w:t>
            </w:r>
          </w:p>
        </w:tc>
        <w:tc>
          <w:tcPr>
            <w:tcW w:w="1878" w:type="pct"/>
            <w:vAlign w:val="center"/>
          </w:tcPr>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 xml:space="preserve">了解：施工组织总设计的作用、编制程序及依据； </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熟悉：施工组织总设计的内容；施工总进度计划和施工现场总平面布置的编制内容与方法；</w:t>
            </w:r>
          </w:p>
          <w:p w:rsidR="00876C31" w:rsidRPr="00104F36" w:rsidRDefault="00876C31" w:rsidP="00BE5664">
            <w:pPr>
              <w:spacing w:line="340" w:lineRule="exact"/>
              <w:rPr>
                <w:rFonts w:ascii="仿宋_GB2312" w:hAnsi="仿宋_GB2312" w:cs="仿宋_GB2312"/>
                <w:bCs/>
                <w:sz w:val="24"/>
                <w:szCs w:val="24"/>
              </w:rPr>
            </w:pPr>
            <w:r w:rsidRPr="00104F36">
              <w:rPr>
                <w:rFonts w:ascii="仿宋_GB2312" w:hAnsi="仿宋_GB2312" w:cs="仿宋_GB2312" w:hint="eastAsia"/>
                <w:bCs/>
                <w:sz w:val="24"/>
                <w:szCs w:val="24"/>
              </w:rPr>
              <w:t xml:space="preserve">掌握：施工部署与施工方案的编制内容； </w:t>
            </w:r>
          </w:p>
        </w:tc>
      </w:tr>
    </w:tbl>
    <w:p w:rsidR="00876C31" w:rsidRPr="00104F36" w:rsidRDefault="00876C31" w:rsidP="00104F36">
      <w:pPr>
        <w:spacing w:beforeLines="50" w:before="156" w:afterLines="50" w:after="156" w:line="560" w:lineRule="exact"/>
        <w:rPr>
          <w:rFonts w:ascii="黑体" w:eastAsia="黑体" w:hAnsi="黑体"/>
          <w:b/>
          <w:sz w:val="28"/>
          <w:szCs w:val="28"/>
        </w:rPr>
      </w:pPr>
      <w:r w:rsidRPr="00104F36">
        <w:rPr>
          <w:rFonts w:ascii="黑体" w:eastAsia="黑体" w:hAnsi="黑体" w:hint="eastAsia"/>
          <w:b/>
          <w:sz w:val="28"/>
          <w:szCs w:val="28"/>
        </w:rPr>
        <w:t>五、课程考核和评价方式</w:t>
      </w:r>
    </w:p>
    <w:p w:rsidR="00876C31" w:rsidRPr="00104F36" w:rsidRDefault="00876C31" w:rsidP="00104F36">
      <w:pPr>
        <w:spacing w:line="360" w:lineRule="auto"/>
        <w:rPr>
          <w:rFonts w:ascii="仿宋_GB2312" w:hAnsi="仿宋_GB2312" w:cs="仿宋_GB2312"/>
          <w:b/>
          <w:bCs/>
          <w:sz w:val="28"/>
          <w:szCs w:val="28"/>
        </w:rPr>
      </w:pPr>
      <w:r w:rsidRPr="00104F36">
        <w:rPr>
          <w:rFonts w:ascii="仿宋_GB2312" w:hAnsi="仿宋_GB2312" w:cs="仿宋_GB2312" w:hint="eastAsia"/>
          <w:b/>
          <w:bCs/>
          <w:sz w:val="28"/>
          <w:szCs w:val="28"/>
        </w:rPr>
        <w:t>1.课程考核</w:t>
      </w:r>
    </w:p>
    <w:p w:rsidR="00876C31" w:rsidRPr="00104F36" w:rsidRDefault="00876C31" w:rsidP="00104F36">
      <w:pPr>
        <w:spacing w:line="360" w:lineRule="auto"/>
        <w:ind w:firstLineChars="200" w:firstLine="560"/>
        <w:rPr>
          <w:rFonts w:ascii="仿宋_GB2312" w:hAnsi="仿宋_GB2312" w:cs="仿宋_GB2312"/>
          <w:bCs/>
          <w:sz w:val="28"/>
          <w:szCs w:val="28"/>
        </w:rPr>
      </w:pPr>
      <w:r w:rsidRPr="00104F36">
        <w:rPr>
          <w:rFonts w:ascii="仿宋_GB2312" w:hAnsi="仿宋_GB2312" w:cs="仿宋_GB2312"/>
          <w:bCs/>
          <w:sz w:val="28"/>
          <w:szCs w:val="28"/>
        </w:rPr>
        <w:t>本课程课外学时与课内学时比例为1:1。采用平时成绩</w:t>
      </w:r>
      <w:r w:rsidRPr="00104F36">
        <w:rPr>
          <w:rFonts w:ascii="仿宋_GB2312" w:hAnsi="仿宋_GB2312" w:cs="仿宋_GB2312" w:hint="eastAsia"/>
          <w:bCs/>
          <w:sz w:val="28"/>
          <w:szCs w:val="28"/>
        </w:rPr>
        <w:t>与</w:t>
      </w:r>
      <w:r w:rsidRPr="00104F36">
        <w:rPr>
          <w:rFonts w:ascii="仿宋_GB2312" w:hAnsi="仿宋_GB2312" w:cs="仿宋_GB2312"/>
          <w:bCs/>
          <w:sz w:val="28"/>
          <w:szCs w:val="28"/>
        </w:rPr>
        <w:t>期末考</w:t>
      </w:r>
      <w:r w:rsidRPr="00104F36">
        <w:rPr>
          <w:rFonts w:ascii="仿宋_GB2312" w:hAnsi="仿宋_GB2312" w:cs="仿宋_GB2312"/>
          <w:bCs/>
          <w:sz w:val="28"/>
          <w:szCs w:val="28"/>
        </w:rPr>
        <w:lastRenderedPageBreak/>
        <w:t>试成绩相结合的方式确定总评成绩，其中平时成绩考核包括作业、课堂表现、出勤等内容，期末考试采用</w:t>
      </w:r>
      <w:r w:rsidRPr="00104F36">
        <w:rPr>
          <w:rFonts w:ascii="仿宋_GB2312" w:hAnsi="仿宋_GB2312" w:cs="仿宋_GB2312" w:hint="eastAsia"/>
          <w:bCs/>
          <w:sz w:val="28"/>
          <w:szCs w:val="28"/>
        </w:rPr>
        <w:t>考试</w:t>
      </w:r>
      <w:r w:rsidRPr="00104F36">
        <w:rPr>
          <w:rFonts w:ascii="仿宋_GB2312" w:hAnsi="仿宋_GB2312" w:cs="仿宋_GB2312"/>
          <w:bCs/>
          <w:sz w:val="28"/>
          <w:szCs w:val="28"/>
        </w:rPr>
        <w:t>方式（百分制）。平时成绩占</w:t>
      </w:r>
      <w:r w:rsidRPr="00104F36">
        <w:rPr>
          <w:rFonts w:ascii="仿宋_GB2312" w:hAnsi="仿宋_GB2312" w:cs="仿宋_GB2312" w:hint="eastAsia"/>
          <w:bCs/>
          <w:sz w:val="28"/>
          <w:szCs w:val="28"/>
        </w:rPr>
        <w:t>2</w:t>
      </w:r>
      <w:r w:rsidRPr="00104F36">
        <w:rPr>
          <w:rFonts w:ascii="仿宋_GB2312" w:hAnsi="仿宋_GB2312" w:cs="仿宋_GB2312"/>
          <w:bCs/>
          <w:sz w:val="28"/>
          <w:szCs w:val="28"/>
        </w:rPr>
        <w:t>0%，期末考试成绩占</w:t>
      </w:r>
      <w:r w:rsidRPr="00104F36">
        <w:rPr>
          <w:rFonts w:ascii="仿宋_GB2312" w:hAnsi="仿宋_GB2312" w:cs="仿宋_GB2312" w:hint="eastAsia"/>
          <w:bCs/>
          <w:sz w:val="28"/>
          <w:szCs w:val="28"/>
        </w:rPr>
        <w:t>8</w:t>
      </w:r>
      <w:r w:rsidRPr="00104F36">
        <w:rPr>
          <w:rFonts w:ascii="仿宋_GB2312" w:hAnsi="仿宋_GB2312" w:cs="仿宋_GB2312"/>
          <w:bCs/>
          <w:sz w:val="28"/>
          <w:szCs w:val="28"/>
        </w:rPr>
        <w:t>0%。</w:t>
      </w:r>
    </w:p>
    <w:p w:rsidR="00876C31" w:rsidRPr="00104F36" w:rsidRDefault="00876C31" w:rsidP="00104F36">
      <w:pPr>
        <w:spacing w:line="360" w:lineRule="auto"/>
        <w:rPr>
          <w:rFonts w:ascii="仿宋_GB2312" w:hAnsi="仿宋_GB2312" w:cs="仿宋_GB2312"/>
          <w:b/>
          <w:bCs/>
          <w:sz w:val="28"/>
          <w:szCs w:val="28"/>
        </w:rPr>
      </w:pPr>
      <w:r w:rsidRPr="00104F36">
        <w:rPr>
          <w:rFonts w:ascii="仿宋_GB2312" w:hAnsi="仿宋_GB2312" w:cs="仿宋_GB2312" w:hint="eastAsia"/>
          <w:b/>
          <w:bCs/>
          <w:sz w:val="28"/>
          <w:szCs w:val="28"/>
        </w:rPr>
        <w:t>2.成绩评定</w:t>
      </w:r>
    </w:p>
    <w:p w:rsidR="00876C31" w:rsidRPr="00104F36" w:rsidRDefault="00876C31" w:rsidP="00104F36">
      <w:pPr>
        <w:spacing w:line="360" w:lineRule="auto"/>
        <w:ind w:firstLineChars="200" w:firstLine="560"/>
        <w:rPr>
          <w:rFonts w:ascii="仿宋_GB2312" w:hAnsi="仿宋_GB2312" w:cs="仿宋_GB2312"/>
          <w:bCs/>
          <w:sz w:val="28"/>
          <w:szCs w:val="28"/>
        </w:rPr>
      </w:pPr>
      <w:r w:rsidRPr="00104F36">
        <w:rPr>
          <w:rFonts w:ascii="仿宋_GB2312" w:hAnsi="仿宋_GB2312" w:cs="仿宋_GB2312"/>
          <w:bCs/>
          <w:sz w:val="28"/>
          <w:szCs w:val="28"/>
        </w:rPr>
        <w:t>课程总成绩=期末成绩</w:t>
      </w:r>
      <w:r w:rsidRPr="00104F36">
        <w:rPr>
          <w:rFonts w:ascii="仿宋_GB2312" w:hAnsi="仿宋_GB2312" w:cs="仿宋_GB2312" w:hint="eastAsia"/>
          <w:bCs/>
          <w:sz w:val="28"/>
          <w:szCs w:val="28"/>
        </w:rPr>
        <w:t>80%+平时</w:t>
      </w:r>
      <w:r w:rsidRPr="00104F36">
        <w:rPr>
          <w:rFonts w:ascii="仿宋_GB2312" w:hAnsi="仿宋_GB2312" w:cs="仿宋_GB2312"/>
          <w:bCs/>
          <w:sz w:val="28"/>
          <w:szCs w:val="28"/>
        </w:rPr>
        <w:t>成绩</w:t>
      </w:r>
      <w:r w:rsidRPr="00104F36">
        <w:rPr>
          <w:rFonts w:ascii="仿宋_GB2312" w:hAnsi="仿宋_GB2312" w:cs="仿宋_GB2312" w:hint="eastAsia"/>
          <w:bCs/>
          <w:sz w:val="28"/>
          <w:szCs w:val="28"/>
        </w:rPr>
        <w:t>2</w:t>
      </w:r>
      <w:r w:rsidRPr="00104F36">
        <w:rPr>
          <w:rFonts w:ascii="仿宋_GB2312" w:hAnsi="仿宋_GB2312" w:cs="仿宋_GB2312"/>
          <w:bCs/>
          <w:sz w:val="28"/>
          <w:szCs w:val="28"/>
        </w:rPr>
        <w:t>0</w:t>
      </w:r>
      <w:r w:rsidRPr="00104F36">
        <w:rPr>
          <w:rFonts w:ascii="仿宋_GB2312" w:hAnsi="仿宋_GB2312" w:cs="仿宋_GB2312" w:hint="eastAsia"/>
          <w:bCs/>
          <w:sz w:val="28"/>
          <w:szCs w:val="28"/>
        </w:rPr>
        <w:t>%。</w:t>
      </w:r>
    </w:p>
    <w:p w:rsidR="00876C31" w:rsidRPr="00104F36" w:rsidRDefault="00876C31" w:rsidP="00104F36">
      <w:pPr>
        <w:spacing w:line="360" w:lineRule="auto"/>
        <w:rPr>
          <w:rFonts w:ascii="仿宋_GB2312" w:hAnsi="仿宋_GB2312" w:cs="仿宋_GB2312"/>
          <w:b/>
          <w:bCs/>
          <w:sz w:val="28"/>
          <w:szCs w:val="28"/>
        </w:rPr>
      </w:pPr>
      <w:r w:rsidRPr="00104F36">
        <w:rPr>
          <w:rFonts w:ascii="仿宋_GB2312" w:hAnsi="仿宋_GB2312" w:cs="仿宋_GB2312" w:hint="eastAsia"/>
          <w:b/>
          <w:bCs/>
          <w:sz w:val="28"/>
          <w:szCs w:val="28"/>
        </w:rPr>
        <w:t>(1) 试题评分标准</w:t>
      </w:r>
    </w:p>
    <w:p w:rsidR="00876C31" w:rsidRPr="00104F36" w:rsidRDefault="00876C31" w:rsidP="00104F36">
      <w:pPr>
        <w:spacing w:line="360" w:lineRule="auto"/>
        <w:ind w:firstLineChars="200" w:firstLine="560"/>
        <w:rPr>
          <w:rFonts w:ascii="仿宋_GB2312" w:hAnsi="仿宋_GB2312" w:cs="仿宋_GB2312"/>
          <w:bCs/>
          <w:sz w:val="28"/>
          <w:szCs w:val="28"/>
        </w:rPr>
      </w:pPr>
      <w:r w:rsidRPr="00104F36">
        <w:rPr>
          <w:rFonts w:ascii="仿宋_GB2312" w:hAnsi="仿宋_GB2312" w:cs="仿宋_GB2312" w:hint="eastAsia"/>
          <w:bCs/>
          <w:sz w:val="28"/>
          <w:szCs w:val="28"/>
        </w:rPr>
        <w:t>客观题根据题目的标准答案进行评定，主观题根据评分细则进行评定。</w:t>
      </w:r>
    </w:p>
    <w:p w:rsidR="00876C31" w:rsidRPr="00104F36" w:rsidRDefault="00876C31" w:rsidP="00104F36">
      <w:pPr>
        <w:spacing w:line="360" w:lineRule="auto"/>
        <w:rPr>
          <w:rFonts w:ascii="仿宋_GB2312" w:hAnsi="仿宋_GB2312" w:cs="仿宋_GB2312"/>
          <w:b/>
          <w:bCs/>
          <w:sz w:val="28"/>
          <w:szCs w:val="28"/>
        </w:rPr>
      </w:pPr>
      <w:r w:rsidRPr="00104F36">
        <w:rPr>
          <w:rFonts w:ascii="仿宋_GB2312" w:hAnsi="仿宋_GB2312" w:cs="仿宋_GB2312" w:hint="eastAsia"/>
          <w:b/>
          <w:bCs/>
          <w:sz w:val="28"/>
          <w:szCs w:val="28"/>
        </w:rPr>
        <w:t>(2) 作业评分标准</w:t>
      </w:r>
    </w:p>
    <w:tbl>
      <w:tblPr>
        <w:tblW w:w="8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1814"/>
        <w:gridCol w:w="1754"/>
        <w:gridCol w:w="1754"/>
        <w:gridCol w:w="1754"/>
      </w:tblGrid>
      <w:tr w:rsidR="00876C31" w:rsidRPr="00104F36" w:rsidTr="00BE5664">
        <w:trPr>
          <w:trHeight w:val="301"/>
          <w:jc w:val="center"/>
        </w:trPr>
        <w:tc>
          <w:tcPr>
            <w:tcW w:w="1692"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b/>
                <w:bCs/>
                <w:sz w:val="24"/>
                <w:szCs w:val="24"/>
              </w:rPr>
              <w:t>权重</w:t>
            </w:r>
          </w:p>
        </w:tc>
        <w:tc>
          <w:tcPr>
            <w:tcW w:w="181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b/>
                <w:bCs/>
                <w:sz w:val="24"/>
                <w:szCs w:val="24"/>
              </w:rPr>
              <w:t>86-100分</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b/>
                <w:bCs/>
                <w:sz w:val="24"/>
                <w:szCs w:val="24"/>
              </w:rPr>
              <w:t>71-85分</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b/>
                <w:bCs/>
                <w:sz w:val="24"/>
                <w:szCs w:val="24"/>
              </w:rPr>
              <w:t>50-70分</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b/>
                <w:bCs/>
                <w:sz w:val="24"/>
                <w:szCs w:val="24"/>
              </w:rPr>
              <w:t>0-49分</w:t>
            </w:r>
          </w:p>
        </w:tc>
      </w:tr>
      <w:tr w:rsidR="00876C31" w:rsidRPr="00104F36" w:rsidTr="00BE5664">
        <w:trPr>
          <w:trHeight w:val="399"/>
          <w:jc w:val="center"/>
        </w:trPr>
        <w:tc>
          <w:tcPr>
            <w:tcW w:w="1692"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bCs/>
                <w:sz w:val="24"/>
                <w:szCs w:val="24"/>
              </w:rPr>
              <w:t>作业完成态度</w:t>
            </w:r>
          </w:p>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bCs/>
                <w:sz w:val="24"/>
                <w:szCs w:val="24"/>
              </w:rPr>
              <w:t>（权重0.2）</w:t>
            </w:r>
          </w:p>
        </w:tc>
        <w:tc>
          <w:tcPr>
            <w:tcW w:w="181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bCs/>
                <w:sz w:val="24"/>
                <w:szCs w:val="24"/>
              </w:rPr>
              <w:t>非常认真</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bCs/>
                <w:sz w:val="24"/>
                <w:szCs w:val="24"/>
              </w:rPr>
              <w:t>较认真</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bCs/>
                <w:sz w:val="24"/>
                <w:szCs w:val="24"/>
              </w:rPr>
              <w:t>一般认真</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bCs/>
                <w:sz w:val="24"/>
                <w:szCs w:val="24"/>
              </w:rPr>
              <w:t>不认真</w:t>
            </w:r>
          </w:p>
        </w:tc>
      </w:tr>
      <w:tr w:rsidR="00876C31" w:rsidRPr="00104F36" w:rsidTr="00BE5664">
        <w:trPr>
          <w:trHeight w:val="399"/>
          <w:jc w:val="center"/>
        </w:trPr>
        <w:tc>
          <w:tcPr>
            <w:tcW w:w="1692"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bCs/>
                <w:sz w:val="24"/>
                <w:szCs w:val="24"/>
              </w:rPr>
              <w:t>作业完成正确率</w:t>
            </w:r>
          </w:p>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bCs/>
                <w:sz w:val="24"/>
                <w:szCs w:val="24"/>
              </w:rPr>
              <w:t>（权重0.8）</w:t>
            </w:r>
          </w:p>
        </w:tc>
        <w:tc>
          <w:tcPr>
            <w:tcW w:w="181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bCs/>
                <w:sz w:val="24"/>
                <w:szCs w:val="24"/>
              </w:rPr>
              <w:t>正确率达86%以上</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bCs/>
                <w:sz w:val="24"/>
                <w:szCs w:val="24"/>
              </w:rPr>
              <w:t>正确率达71%以上</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bCs/>
                <w:sz w:val="24"/>
                <w:szCs w:val="24"/>
              </w:rPr>
              <w:t>正确率达50%以上</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bCs/>
                <w:sz w:val="24"/>
                <w:szCs w:val="24"/>
              </w:rPr>
              <w:t>正确率低于50%</w:t>
            </w:r>
          </w:p>
        </w:tc>
      </w:tr>
    </w:tbl>
    <w:p w:rsidR="00876C31" w:rsidRPr="00104F36" w:rsidRDefault="00876C31" w:rsidP="00104F36">
      <w:pPr>
        <w:spacing w:line="440" w:lineRule="exact"/>
        <w:rPr>
          <w:rFonts w:ascii="仿宋_GB2312" w:hAnsi="仿宋_GB2312" w:cs="仿宋_GB2312"/>
          <w:b/>
          <w:bCs/>
          <w:sz w:val="28"/>
          <w:szCs w:val="28"/>
        </w:rPr>
      </w:pPr>
      <w:r w:rsidRPr="00104F36">
        <w:rPr>
          <w:rFonts w:ascii="仿宋_GB2312" w:hAnsi="仿宋_GB2312" w:cs="仿宋_GB2312" w:hint="eastAsia"/>
          <w:b/>
          <w:bCs/>
          <w:sz w:val="28"/>
          <w:szCs w:val="28"/>
        </w:rPr>
        <w:t>(3) 课堂表现评分标准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876C31" w:rsidRPr="00104F36" w:rsidTr="00BE5664">
        <w:trPr>
          <w:trHeight w:val="281"/>
          <w:jc w:val="center"/>
        </w:trPr>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hint="eastAsia"/>
                <w:b/>
                <w:bCs/>
                <w:sz w:val="24"/>
                <w:szCs w:val="24"/>
              </w:rPr>
              <w:t>权重</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hint="eastAsia"/>
                <w:b/>
                <w:bCs/>
                <w:sz w:val="24"/>
                <w:szCs w:val="24"/>
              </w:rPr>
              <w:t>86-100分</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hint="eastAsia"/>
                <w:b/>
                <w:bCs/>
                <w:sz w:val="24"/>
                <w:szCs w:val="24"/>
              </w:rPr>
              <w:t>71-85分</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hint="eastAsia"/>
                <w:b/>
                <w:bCs/>
                <w:sz w:val="24"/>
                <w:szCs w:val="24"/>
              </w:rPr>
              <w:t>50-70分</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hint="eastAsia"/>
                <w:b/>
                <w:bCs/>
                <w:sz w:val="24"/>
                <w:szCs w:val="24"/>
              </w:rPr>
              <w:t>0-49分</w:t>
            </w:r>
          </w:p>
        </w:tc>
      </w:tr>
      <w:tr w:rsidR="00876C31" w:rsidRPr="00104F36" w:rsidTr="00BE5664">
        <w:trPr>
          <w:trHeight w:val="372"/>
          <w:jc w:val="center"/>
        </w:trPr>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hint="eastAsia"/>
                <w:bCs/>
                <w:sz w:val="24"/>
                <w:szCs w:val="24"/>
              </w:rPr>
              <w:t>回答问题准确性（权重1.0）</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hint="eastAsia"/>
                <w:bCs/>
                <w:sz w:val="24"/>
                <w:szCs w:val="24"/>
              </w:rPr>
              <w:t>正确率达86%以上</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hint="eastAsia"/>
                <w:bCs/>
                <w:sz w:val="24"/>
                <w:szCs w:val="24"/>
              </w:rPr>
              <w:t>正确率达71%以上</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hint="eastAsia"/>
                <w:bCs/>
                <w:sz w:val="24"/>
                <w:szCs w:val="24"/>
              </w:rPr>
              <w:t>正确率达50%以上</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hint="eastAsia"/>
                <w:bCs/>
                <w:sz w:val="24"/>
                <w:szCs w:val="24"/>
              </w:rPr>
              <w:t>正确率低于50%</w:t>
            </w:r>
          </w:p>
        </w:tc>
      </w:tr>
    </w:tbl>
    <w:p w:rsidR="00876C31" w:rsidRPr="00104F36" w:rsidRDefault="00876C31" w:rsidP="00104F36">
      <w:pPr>
        <w:spacing w:line="440" w:lineRule="exact"/>
        <w:rPr>
          <w:rFonts w:ascii="仿宋_GB2312" w:hAnsi="仿宋_GB2312" w:cs="仿宋_GB2312"/>
          <w:b/>
          <w:bCs/>
          <w:sz w:val="28"/>
          <w:szCs w:val="28"/>
        </w:rPr>
      </w:pPr>
      <w:r w:rsidRPr="00104F36">
        <w:rPr>
          <w:rFonts w:ascii="仿宋_GB2312" w:hAnsi="仿宋_GB2312" w:cs="仿宋_GB2312" w:hint="eastAsia"/>
          <w:b/>
          <w:bCs/>
          <w:sz w:val="28"/>
          <w:szCs w:val="28"/>
        </w:rPr>
        <w:t>(4) 课堂出勤评分标准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876C31" w:rsidRPr="00104F36" w:rsidTr="00BE5664">
        <w:trPr>
          <w:trHeight w:val="281"/>
          <w:jc w:val="center"/>
        </w:trPr>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hint="eastAsia"/>
                <w:b/>
                <w:bCs/>
                <w:sz w:val="24"/>
                <w:szCs w:val="24"/>
              </w:rPr>
              <w:t>权重</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hint="eastAsia"/>
                <w:b/>
                <w:bCs/>
                <w:sz w:val="24"/>
                <w:szCs w:val="24"/>
              </w:rPr>
              <w:t>81-100分</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hint="eastAsia"/>
                <w:b/>
                <w:bCs/>
                <w:sz w:val="24"/>
                <w:szCs w:val="24"/>
              </w:rPr>
              <w:t>51-80分</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hint="eastAsia"/>
                <w:b/>
                <w:bCs/>
                <w:sz w:val="24"/>
                <w:szCs w:val="24"/>
              </w:rPr>
              <w:t>26-50分</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
                <w:bCs/>
                <w:sz w:val="24"/>
                <w:szCs w:val="24"/>
              </w:rPr>
            </w:pPr>
            <w:r w:rsidRPr="00104F36">
              <w:rPr>
                <w:rFonts w:ascii="仿宋_GB2312" w:hAnsi="仿宋_GB2312" w:cs="仿宋_GB2312" w:hint="eastAsia"/>
                <w:b/>
                <w:bCs/>
                <w:sz w:val="24"/>
                <w:szCs w:val="24"/>
              </w:rPr>
              <w:t>0-25分</w:t>
            </w:r>
          </w:p>
        </w:tc>
      </w:tr>
      <w:tr w:rsidR="00876C31" w:rsidRPr="00104F36" w:rsidTr="00BE5664">
        <w:trPr>
          <w:trHeight w:val="372"/>
          <w:jc w:val="center"/>
        </w:trPr>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hint="eastAsia"/>
                <w:bCs/>
                <w:sz w:val="24"/>
                <w:szCs w:val="24"/>
              </w:rPr>
              <w:t>课堂出勤率</w:t>
            </w:r>
          </w:p>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hint="eastAsia"/>
                <w:bCs/>
                <w:sz w:val="24"/>
                <w:szCs w:val="24"/>
              </w:rPr>
              <w:t>（权重1.0）</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hint="eastAsia"/>
                <w:bCs/>
                <w:sz w:val="24"/>
                <w:szCs w:val="24"/>
              </w:rPr>
              <w:t>出勤率达81%以上</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hint="eastAsia"/>
                <w:bCs/>
                <w:sz w:val="24"/>
                <w:szCs w:val="24"/>
              </w:rPr>
              <w:t>出勤率达51%以上</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hint="eastAsia"/>
                <w:bCs/>
                <w:sz w:val="24"/>
                <w:szCs w:val="24"/>
              </w:rPr>
              <w:t>出勤率达26%以上</w:t>
            </w:r>
          </w:p>
        </w:tc>
        <w:tc>
          <w:tcPr>
            <w:tcW w:w="1754" w:type="dxa"/>
            <w:shd w:val="clear" w:color="auto" w:fill="auto"/>
            <w:vAlign w:val="center"/>
          </w:tcPr>
          <w:p w:rsidR="00876C31" w:rsidRPr="00104F36" w:rsidRDefault="00876C31" w:rsidP="00BE5664">
            <w:pPr>
              <w:autoSpaceDE w:val="0"/>
              <w:autoSpaceDN w:val="0"/>
              <w:adjustRightInd w:val="0"/>
              <w:spacing w:line="360" w:lineRule="exact"/>
              <w:jc w:val="center"/>
              <w:rPr>
                <w:rFonts w:ascii="仿宋_GB2312" w:hAnsi="仿宋_GB2312" w:cs="仿宋_GB2312"/>
                <w:bCs/>
                <w:sz w:val="24"/>
                <w:szCs w:val="24"/>
              </w:rPr>
            </w:pPr>
            <w:r w:rsidRPr="00104F36">
              <w:rPr>
                <w:rFonts w:ascii="仿宋_GB2312" w:hAnsi="仿宋_GB2312" w:cs="仿宋_GB2312" w:hint="eastAsia"/>
                <w:bCs/>
                <w:sz w:val="24"/>
                <w:szCs w:val="24"/>
              </w:rPr>
              <w:t>正出勤率低于25%</w:t>
            </w:r>
          </w:p>
        </w:tc>
      </w:tr>
    </w:tbl>
    <w:p w:rsidR="00876C31" w:rsidRPr="00104F36" w:rsidRDefault="00876C31" w:rsidP="00876C31">
      <w:pPr>
        <w:spacing w:line="440" w:lineRule="exact"/>
        <w:ind w:firstLineChars="200" w:firstLine="560"/>
        <w:rPr>
          <w:rFonts w:ascii="仿宋_GB2312" w:hAnsi="仿宋_GB2312" w:cs="仿宋_GB2312"/>
          <w:bCs/>
          <w:sz w:val="28"/>
          <w:szCs w:val="28"/>
        </w:rPr>
      </w:pPr>
      <w:r w:rsidRPr="00104F36">
        <w:rPr>
          <w:rFonts w:ascii="仿宋_GB2312" w:hAnsi="仿宋_GB2312" w:cs="仿宋_GB2312" w:hint="eastAsia"/>
          <w:bCs/>
          <w:sz w:val="28"/>
          <w:szCs w:val="28"/>
        </w:rPr>
        <w:t>注：迟到</w:t>
      </w:r>
      <w:r w:rsidRPr="00104F36">
        <w:rPr>
          <w:rFonts w:ascii="仿宋_GB2312" w:hAnsi="仿宋_GB2312" w:cs="仿宋_GB2312"/>
          <w:bCs/>
          <w:sz w:val="28"/>
          <w:szCs w:val="28"/>
        </w:rPr>
        <w:t>30</w:t>
      </w:r>
      <w:r w:rsidRPr="00104F36">
        <w:rPr>
          <w:rFonts w:ascii="仿宋_GB2312" w:hAnsi="仿宋_GB2312" w:cs="仿宋_GB2312" w:hint="eastAsia"/>
          <w:bCs/>
          <w:sz w:val="28"/>
          <w:szCs w:val="28"/>
        </w:rPr>
        <w:t>分钟以上按一次缺勤计</w:t>
      </w:r>
    </w:p>
    <w:p w:rsidR="00876C31" w:rsidRPr="00104F36" w:rsidRDefault="00876C31" w:rsidP="00104F36">
      <w:pPr>
        <w:spacing w:beforeLines="50" w:before="156" w:afterLines="50" w:after="156" w:line="560" w:lineRule="exact"/>
        <w:rPr>
          <w:rFonts w:ascii="黑体" w:eastAsia="黑体" w:hAnsi="黑体"/>
          <w:b/>
          <w:sz w:val="28"/>
          <w:szCs w:val="28"/>
        </w:rPr>
      </w:pPr>
      <w:r w:rsidRPr="00104F36">
        <w:rPr>
          <w:rFonts w:ascii="黑体" w:eastAsia="黑体" w:hAnsi="黑体" w:hint="eastAsia"/>
          <w:b/>
          <w:sz w:val="28"/>
          <w:szCs w:val="28"/>
        </w:rPr>
        <w:t>六、课程建议教材及主要参考资料</w:t>
      </w:r>
    </w:p>
    <w:p w:rsidR="00876C31" w:rsidRPr="00104F36" w:rsidRDefault="00876C31" w:rsidP="00876C31">
      <w:pPr>
        <w:spacing w:line="440" w:lineRule="exact"/>
        <w:ind w:firstLineChars="200" w:firstLine="562"/>
        <w:rPr>
          <w:rFonts w:ascii="仿宋_GB2312" w:hAnsi="仿宋_GB2312" w:cs="仿宋_GB2312"/>
          <w:b/>
          <w:bCs/>
          <w:sz w:val="28"/>
          <w:szCs w:val="28"/>
        </w:rPr>
      </w:pPr>
      <w:r w:rsidRPr="00104F36">
        <w:rPr>
          <w:rFonts w:ascii="仿宋_GB2312" w:hAnsi="仿宋_GB2312" w:cs="仿宋_GB2312" w:hint="eastAsia"/>
          <w:b/>
          <w:bCs/>
          <w:sz w:val="28"/>
          <w:szCs w:val="28"/>
        </w:rPr>
        <w:t>1.建议教材</w:t>
      </w:r>
    </w:p>
    <w:p w:rsidR="00876C31" w:rsidRPr="00104F36" w:rsidRDefault="00876C31" w:rsidP="00876C31">
      <w:pPr>
        <w:spacing w:beforeLines="50" w:before="156" w:afterLines="50" w:after="156" w:line="460" w:lineRule="exact"/>
        <w:ind w:firstLineChars="147" w:firstLine="412"/>
        <w:rPr>
          <w:rFonts w:ascii="仿宋_GB2312" w:hAnsi="仿宋_GB2312" w:cs="仿宋_GB2312"/>
          <w:bCs/>
          <w:sz w:val="28"/>
          <w:szCs w:val="28"/>
        </w:rPr>
      </w:pPr>
      <w:r w:rsidRPr="00104F36">
        <w:rPr>
          <w:rFonts w:ascii="仿宋_GB2312" w:hAnsi="仿宋_GB2312" w:cs="仿宋_GB2312"/>
          <w:bCs/>
          <w:sz w:val="28"/>
          <w:szCs w:val="28"/>
        </w:rPr>
        <w:t>土木工程施工（第二版），李建峰 主编，中国电力出版社，2016</w:t>
      </w:r>
    </w:p>
    <w:p w:rsidR="00876C31" w:rsidRPr="00104F36" w:rsidRDefault="00876C31" w:rsidP="00104F36">
      <w:pPr>
        <w:spacing w:line="440" w:lineRule="exact"/>
        <w:ind w:firstLineChars="200" w:firstLine="562"/>
        <w:rPr>
          <w:rFonts w:ascii="仿宋_GB2312" w:hAnsi="仿宋_GB2312" w:cs="仿宋_GB2312"/>
          <w:b/>
          <w:bCs/>
          <w:sz w:val="28"/>
          <w:szCs w:val="28"/>
        </w:rPr>
      </w:pPr>
      <w:r w:rsidRPr="00104F36">
        <w:rPr>
          <w:rFonts w:ascii="仿宋_GB2312" w:hAnsi="仿宋_GB2312" w:cs="仿宋_GB2312" w:hint="eastAsia"/>
          <w:b/>
          <w:bCs/>
          <w:sz w:val="28"/>
          <w:szCs w:val="28"/>
        </w:rPr>
        <w:lastRenderedPageBreak/>
        <w:t>2.主要参考资料</w:t>
      </w:r>
    </w:p>
    <w:p w:rsidR="00876C31" w:rsidRPr="00104F36" w:rsidRDefault="00876C31" w:rsidP="00876C31">
      <w:pPr>
        <w:spacing w:line="440" w:lineRule="exact"/>
        <w:ind w:firstLineChars="200" w:firstLine="560"/>
        <w:rPr>
          <w:rFonts w:ascii="仿宋_GB2312" w:hAnsi="仿宋_GB2312" w:cs="仿宋_GB2312"/>
          <w:bCs/>
          <w:sz w:val="28"/>
          <w:szCs w:val="28"/>
        </w:rPr>
      </w:pPr>
      <w:r w:rsidRPr="00104F36">
        <w:rPr>
          <w:rFonts w:ascii="仿宋_GB2312" w:hAnsi="仿宋_GB2312" w:cs="仿宋_GB2312" w:hint="eastAsia"/>
          <w:bCs/>
          <w:sz w:val="28"/>
          <w:szCs w:val="28"/>
        </w:rPr>
        <w:t xml:space="preserve">(1) </w:t>
      </w:r>
      <w:r w:rsidRPr="00104F36">
        <w:rPr>
          <w:rFonts w:ascii="仿宋_GB2312" w:hAnsi="仿宋_GB2312" w:cs="仿宋_GB2312"/>
          <w:bCs/>
          <w:sz w:val="28"/>
          <w:szCs w:val="28"/>
        </w:rPr>
        <w:t>土木工程施工，穆静波编著，机械工业出版社，2018.1</w:t>
      </w:r>
    </w:p>
    <w:p w:rsidR="00876C31" w:rsidRPr="00104F36" w:rsidRDefault="00876C31" w:rsidP="00876C31">
      <w:pPr>
        <w:spacing w:line="440" w:lineRule="exact"/>
        <w:ind w:firstLineChars="200" w:firstLine="560"/>
        <w:rPr>
          <w:rFonts w:ascii="仿宋_GB2312" w:hAnsi="仿宋_GB2312" w:cs="仿宋_GB2312"/>
          <w:bCs/>
          <w:sz w:val="28"/>
          <w:szCs w:val="28"/>
        </w:rPr>
      </w:pPr>
      <w:r w:rsidRPr="00104F36">
        <w:rPr>
          <w:rFonts w:ascii="仿宋_GB2312" w:hAnsi="仿宋_GB2312" w:cs="仿宋_GB2312" w:hint="eastAsia"/>
          <w:bCs/>
          <w:sz w:val="28"/>
          <w:szCs w:val="28"/>
        </w:rPr>
        <w:t xml:space="preserve">(2) </w:t>
      </w:r>
      <w:r w:rsidRPr="00104F36">
        <w:rPr>
          <w:rFonts w:ascii="仿宋_GB2312" w:hAnsi="仿宋_GB2312" w:cs="仿宋_GB2312"/>
          <w:bCs/>
          <w:sz w:val="28"/>
          <w:szCs w:val="28"/>
        </w:rPr>
        <w:t>土木工程施工（第三版），应惠清主编，同济大学出版社，2018.3</w:t>
      </w:r>
    </w:p>
    <w:p w:rsidR="00876C31" w:rsidRPr="00104F36" w:rsidRDefault="00876C31" w:rsidP="00876C31">
      <w:pPr>
        <w:spacing w:line="440" w:lineRule="exact"/>
        <w:ind w:firstLineChars="200" w:firstLine="560"/>
        <w:rPr>
          <w:rFonts w:ascii="仿宋_GB2312" w:hAnsi="仿宋_GB2312" w:cs="仿宋_GB2312"/>
          <w:bCs/>
          <w:sz w:val="28"/>
          <w:szCs w:val="28"/>
        </w:rPr>
      </w:pPr>
      <w:r w:rsidRPr="00104F36">
        <w:rPr>
          <w:rFonts w:ascii="仿宋_GB2312" w:hAnsi="仿宋_GB2312" w:cs="仿宋_GB2312" w:hint="eastAsia"/>
          <w:bCs/>
          <w:sz w:val="28"/>
          <w:szCs w:val="28"/>
        </w:rPr>
        <w:t xml:space="preserve">(3) </w:t>
      </w:r>
      <w:r w:rsidRPr="00104F36">
        <w:rPr>
          <w:rFonts w:ascii="仿宋_GB2312" w:hAnsi="仿宋_GB2312" w:cs="仿宋_GB2312"/>
          <w:bCs/>
          <w:sz w:val="28"/>
          <w:szCs w:val="28"/>
        </w:rPr>
        <w:t>建筑施工组织设计规范（GB/T 50502-2009），中国建筑工业出版社，2009</w:t>
      </w:r>
    </w:p>
    <w:p w:rsidR="00876C31" w:rsidRPr="00104F36" w:rsidRDefault="00876C31" w:rsidP="00104F36">
      <w:pPr>
        <w:spacing w:beforeLines="50" w:before="156" w:afterLines="50" w:after="156" w:line="560" w:lineRule="exact"/>
        <w:rPr>
          <w:rFonts w:ascii="黑体" w:eastAsia="黑体" w:hAnsi="黑体"/>
          <w:b/>
          <w:sz w:val="28"/>
          <w:szCs w:val="28"/>
        </w:rPr>
      </w:pPr>
      <w:r w:rsidRPr="00104F36">
        <w:rPr>
          <w:rFonts w:ascii="黑体" w:eastAsia="黑体" w:hAnsi="黑体" w:hint="eastAsia"/>
          <w:b/>
          <w:sz w:val="28"/>
          <w:szCs w:val="28"/>
        </w:rPr>
        <w:t>七、其他</w:t>
      </w:r>
    </w:p>
    <w:p w:rsidR="00876C31" w:rsidRDefault="00876C31" w:rsidP="00876C31">
      <w:pPr>
        <w:spacing w:line="440" w:lineRule="exact"/>
        <w:ind w:firstLineChars="200" w:firstLine="480"/>
        <w:rPr>
          <w:rFonts w:ascii="Times New Roman" w:eastAsiaTheme="minorEastAsia" w:hAnsi="Times New Roman"/>
          <w:sz w:val="24"/>
          <w:szCs w:val="24"/>
        </w:rPr>
      </w:pPr>
    </w:p>
    <w:p w:rsidR="00876C31" w:rsidRDefault="00876C31" w:rsidP="00876C31">
      <w:pPr>
        <w:spacing w:line="440" w:lineRule="exact"/>
        <w:ind w:firstLineChars="200" w:firstLine="480"/>
        <w:rPr>
          <w:rFonts w:ascii="Times New Roman" w:eastAsiaTheme="minorEastAsia" w:hAnsi="Times New Roman"/>
          <w:sz w:val="24"/>
          <w:szCs w:val="24"/>
        </w:rPr>
      </w:pPr>
    </w:p>
    <w:p w:rsidR="00876C31" w:rsidRDefault="00876C31" w:rsidP="00876C31">
      <w:pPr>
        <w:spacing w:beforeLines="50" w:before="156" w:afterLines="50" w:after="156" w:line="460" w:lineRule="exact"/>
        <w:rPr>
          <w:rFonts w:ascii="黑体" w:eastAsia="黑体" w:hAnsi="黑体"/>
          <w:b/>
          <w:sz w:val="28"/>
          <w:szCs w:val="28"/>
        </w:rPr>
      </w:pPr>
    </w:p>
    <w:p w:rsidR="00876C31" w:rsidRDefault="00876C31" w:rsidP="00876C31">
      <w:pPr>
        <w:ind w:firstLineChars="1200" w:firstLine="3360"/>
        <w:rPr>
          <w:rFonts w:ascii="仿宋" w:eastAsia="仿宋" w:hAnsi="仿宋"/>
          <w:sz w:val="28"/>
          <w:szCs w:val="28"/>
        </w:rPr>
      </w:pPr>
      <w:r>
        <w:rPr>
          <w:rFonts w:ascii="仿宋" w:eastAsia="仿宋" w:hAnsi="仿宋" w:hint="eastAsia"/>
          <w:sz w:val="28"/>
          <w:szCs w:val="28"/>
        </w:rPr>
        <w:t>大纲撰写人：路鹏飞</w:t>
      </w:r>
    </w:p>
    <w:p w:rsidR="00876C31" w:rsidRDefault="00876C31" w:rsidP="00876C31">
      <w:pPr>
        <w:ind w:firstLineChars="1200" w:firstLine="3360"/>
        <w:rPr>
          <w:rFonts w:ascii="仿宋" w:eastAsia="仿宋" w:hAnsi="仿宋"/>
          <w:sz w:val="28"/>
          <w:szCs w:val="28"/>
        </w:rPr>
      </w:pPr>
      <w:r>
        <w:rPr>
          <w:rFonts w:ascii="仿宋" w:eastAsia="仿宋" w:hAnsi="仿宋" w:hint="eastAsia"/>
          <w:sz w:val="28"/>
          <w:szCs w:val="28"/>
        </w:rPr>
        <w:t>课程负责人：路鹏飞</w:t>
      </w:r>
    </w:p>
    <w:p w:rsidR="00876C31" w:rsidRDefault="00876C31" w:rsidP="00876C31">
      <w:pPr>
        <w:ind w:firstLineChars="1200" w:firstLine="3360"/>
        <w:rPr>
          <w:rFonts w:ascii="仿宋" w:eastAsia="仿宋" w:hAnsi="仿宋"/>
          <w:sz w:val="28"/>
          <w:szCs w:val="28"/>
        </w:rPr>
      </w:pPr>
      <w:r>
        <w:rPr>
          <w:rFonts w:ascii="仿宋" w:eastAsia="仿宋" w:hAnsi="仿宋" w:hint="eastAsia"/>
          <w:sz w:val="28"/>
          <w:szCs w:val="28"/>
        </w:rPr>
        <w:t>审核人：</w:t>
      </w:r>
    </w:p>
    <w:p w:rsidR="00876C31" w:rsidRDefault="00876C31" w:rsidP="00876C31">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876C31" w:rsidRDefault="00876C31" w:rsidP="00876C31">
      <w:pPr>
        <w:ind w:firstLineChars="2000" w:firstLine="5600"/>
        <w:jc w:val="left"/>
        <w:rPr>
          <w:rFonts w:ascii="仿宋" w:hAnsi="仿宋"/>
          <w:sz w:val="28"/>
          <w:szCs w:val="28"/>
        </w:rPr>
      </w:pPr>
      <w:r>
        <w:rPr>
          <w:rFonts w:ascii="仿宋_GB2312" w:hAnsi="微软雅黑" w:hint="eastAsia"/>
          <w:sz w:val="28"/>
          <w:szCs w:val="28"/>
        </w:rPr>
        <w:t xml:space="preserve">    </w:t>
      </w:r>
    </w:p>
    <w:p w:rsidR="00876C31" w:rsidRDefault="00876C31" w:rsidP="00876C31">
      <w:pPr>
        <w:jc w:val="left"/>
        <w:rPr>
          <w:rFonts w:ascii="Times New Roman" w:eastAsia="仿宋" w:hAnsi="Times New Roman"/>
          <w:szCs w:val="32"/>
        </w:rPr>
      </w:pPr>
      <w:r>
        <w:rPr>
          <w:rFonts w:ascii="Times New Roman" w:eastAsia="仿宋" w:hAnsi="Times New Roman"/>
          <w:sz w:val="28"/>
          <w:szCs w:val="28"/>
        </w:rPr>
        <w:t xml:space="preserve">                                         2021</w:t>
      </w:r>
      <w:r>
        <w:rPr>
          <w:rFonts w:ascii="Times New Roman" w:eastAsia="仿宋" w:hAnsi="仿宋"/>
          <w:sz w:val="28"/>
          <w:szCs w:val="28"/>
        </w:rPr>
        <w:t>年</w:t>
      </w:r>
      <w:r>
        <w:rPr>
          <w:rFonts w:ascii="Times New Roman" w:eastAsia="仿宋" w:hAnsi="Times New Roman"/>
          <w:sz w:val="28"/>
          <w:szCs w:val="28"/>
        </w:rPr>
        <w:t>5</w:t>
      </w:r>
      <w:r>
        <w:rPr>
          <w:rFonts w:ascii="Times New Roman" w:eastAsia="仿宋" w:hAnsi="仿宋"/>
          <w:sz w:val="28"/>
          <w:szCs w:val="28"/>
        </w:rPr>
        <w:t>月</w:t>
      </w:r>
    </w:p>
    <w:p w:rsidR="00876C31" w:rsidRDefault="00876C31" w:rsidP="00876C31">
      <w:pPr>
        <w:jc w:val="left"/>
        <w:rPr>
          <w:rFonts w:ascii="仿宋_GB2312" w:hAnsi="黑体"/>
          <w:sz w:val="28"/>
          <w:szCs w:val="28"/>
        </w:rPr>
      </w:pPr>
    </w:p>
    <w:p w:rsidR="00876C31" w:rsidRDefault="00876C31" w:rsidP="00876C31">
      <w:pPr>
        <w:widowControl/>
        <w:spacing w:line="400" w:lineRule="exact"/>
        <w:rPr>
          <w:rFonts w:ascii="黑体" w:eastAsia="黑体" w:hAnsi="黑体" w:cs="宋体"/>
          <w:bCs/>
          <w:color w:val="000000"/>
          <w:kern w:val="0"/>
          <w:szCs w:val="32"/>
        </w:rPr>
      </w:pPr>
    </w:p>
    <w:p w:rsidR="00876C31" w:rsidRDefault="00876C31" w:rsidP="00876C31"/>
    <w:p w:rsidR="00104F36" w:rsidRDefault="00104F36" w:rsidP="00876C31"/>
    <w:p w:rsidR="00104F36" w:rsidRDefault="00104F36" w:rsidP="00876C31"/>
    <w:p w:rsidR="00104F36" w:rsidRDefault="00104F36" w:rsidP="00876C31"/>
    <w:p w:rsidR="00876C31" w:rsidRDefault="00876C31" w:rsidP="00876C31">
      <w:pPr>
        <w:jc w:val="center"/>
        <w:rPr>
          <w:rFonts w:ascii="Times New Roman" w:eastAsia="仿宋" w:hAnsi="Times New Roman"/>
          <w:sz w:val="28"/>
          <w:szCs w:val="28"/>
        </w:rPr>
      </w:pPr>
    </w:p>
    <w:p w:rsidR="00876C31" w:rsidRDefault="00876C31" w:rsidP="00876C31">
      <w:pPr>
        <w:jc w:val="center"/>
        <w:rPr>
          <w:rFonts w:ascii="Times New Roman" w:eastAsia="仿宋" w:hAnsi="Times New Roman"/>
          <w:sz w:val="28"/>
          <w:szCs w:val="28"/>
        </w:rPr>
      </w:pPr>
    </w:p>
    <w:p w:rsidR="00876C31" w:rsidRDefault="00876C31" w:rsidP="00876C31">
      <w:pPr>
        <w:widowControl/>
        <w:spacing w:line="360" w:lineRule="auto"/>
        <w:jc w:val="center"/>
        <w:rPr>
          <w:rFonts w:ascii="黑体" w:eastAsia="黑体" w:hAnsi="黑体"/>
          <w:b/>
          <w:kern w:val="0"/>
          <w:szCs w:val="28"/>
        </w:rPr>
      </w:pPr>
      <w:r>
        <w:rPr>
          <w:rFonts w:ascii="黑体" w:eastAsia="黑体" w:hAnsi="黑体"/>
          <w:b/>
          <w:kern w:val="0"/>
          <w:szCs w:val="28"/>
        </w:rPr>
        <w:lastRenderedPageBreak/>
        <w:t>《</w:t>
      </w:r>
      <w:r>
        <w:rPr>
          <w:rFonts w:ascii="黑体" w:eastAsia="黑体" w:hAnsi="黑体" w:hint="eastAsia"/>
          <w:b/>
          <w:kern w:val="0"/>
          <w:szCs w:val="28"/>
        </w:rPr>
        <w:t>工程计量与计价</w:t>
      </w:r>
      <w:r>
        <w:rPr>
          <w:rFonts w:ascii="黑体" w:eastAsia="黑体" w:hAnsi="黑体"/>
          <w:b/>
          <w:kern w:val="0"/>
          <w:szCs w:val="28"/>
        </w:rPr>
        <w:t>》课程教学大纲</w:t>
      </w:r>
    </w:p>
    <w:p w:rsidR="00876C31" w:rsidRDefault="00876C31" w:rsidP="00876C31">
      <w:pPr>
        <w:spacing w:line="360" w:lineRule="auto"/>
        <w:outlineLvl w:val="0"/>
        <w:rPr>
          <w:rFonts w:ascii="Times New Roman" w:eastAsia="黑体" w:hAnsi="Times New Roman"/>
          <w:b/>
          <w:sz w:val="28"/>
          <w:szCs w:val="28"/>
        </w:rPr>
      </w:pPr>
      <w:r>
        <w:rPr>
          <w:rFonts w:ascii="Times New Roman" w:eastAsia="黑体" w:hAnsi="Times New Roman"/>
          <w:b/>
          <w:sz w:val="28"/>
          <w:szCs w:val="28"/>
        </w:rPr>
        <w:t>一、课程信息</w:t>
      </w:r>
    </w:p>
    <w:p w:rsidR="00876C31" w:rsidRDefault="00876C31" w:rsidP="00876C31">
      <w:pPr>
        <w:spacing w:line="360" w:lineRule="auto"/>
        <w:ind w:firstLineChars="200" w:firstLine="562"/>
        <w:rPr>
          <w:rFonts w:ascii="仿宋_GB2312" w:hAnsi="Times New Roman"/>
          <w:b/>
          <w:sz w:val="28"/>
          <w:szCs w:val="21"/>
        </w:rPr>
      </w:pPr>
      <w:r>
        <w:rPr>
          <w:rFonts w:ascii="仿宋_GB2312" w:hAnsi="Times New Roman" w:hint="eastAsia"/>
          <w:b/>
          <w:sz w:val="28"/>
          <w:szCs w:val="21"/>
        </w:rPr>
        <w:t>英文名称：</w:t>
      </w:r>
      <w:r>
        <w:rPr>
          <w:rFonts w:ascii="仿宋_GB2312" w:hAnsi="Times New Roman" w:hint="eastAsia"/>
          <w:sz w:val="28"/>
          <w:szCs w:val="21"/>
        </w:rPr>
        <w:t>Quantity Survey and Estimation</w:t>
      </w:r>
    </w:p>
    <w:p w:rsidR="00876C31" w:rsidRDefault="00876C31" w:rsidP="00876C31">
      <w:pPr>
        <w:spacing w:line="360" w:lineRule="auto"/>
        <w:ind w:firstLineChars="200" w:firstLine="562"/>
        <w:jc w:val="left"/>
        <w:rPr>
          <w:rFonts w:ascii="仿宋_GB2312" w:hAnsi="Times New Roman"/>
          <w:b/>
          <w:sz w:val="28"/>
          <w:szCs w:val="21"/>
        </w:rPr>
      </w:pPr>
      <w:r>
        <w:rPr>
          <w:rFonts w:ascii="仿宋_GB2312" w:hAnsi="Times New Roman" w:hint="eastAsia"/>
          <w:b/>
          <w:sz w:val="28"/>
          <w:szCs w:val="21"/>
        </w:rPr>
        <w:t>课程编码：</w:t>
      </w:r>
      <w:r>
        <w:rPr>
          <w:rFonts w:ascii="仿宋_GB2312" w:hAnsi="Times New Roman"/>
          <w:sz w:val="28"/>
          <w:szCs w:val="21"/>
        </w:rPr>
        <w:t>Z2805030</w:t>
      </w:r>
    </w:p>
    <w:p w:rsidR="00876C31" w:rsidRDefault="00876C31" w:rsidP="00876C31">
      <w:pPr>
        <w:spacing w:line="360" w:lineRule="auto"/>
        <w:ind w:firstLineChars="200" w:firstLine="562"/>
        <w:rPr>
          <w:rFonts w:ascii="仿宋_GB2312" w:hAnsi="Times New Roman"/>
          <w:sz w:val="28"/>
          <w:szCs w:val="21"/>
        </w:rPr>
      </w:pPr>
      <w:r>
        <w:rPr>
          <w:rFonts w:ascii="仿宋_GB2312" w:hAnsi="Times New Roman" w:hint="eastAsia"/>
          <w:b/>
          <w:sz w:val="28"/>
          <w:szCs w:val="21"/>
        </w:rPr>
        <w:t>授课语言：</w:t>
      </w:r>
      <w:r>
        <w:rPr>
          <w:rFonts w:ascii="仿宋_GB2312" w:hAnsi="Times New Roman" w:hint="eastAsia"/>
          <w:sz w:val="28"/>
          <w:szCs w:val="21"/>
        </w:rPr>
        <w:t>汉语</w:t>
      </w:r>
    </w:p>
    <w:p w:rsidR="00876C31" w:rsidRDefault="00876C31" w:rsidP="00876C31">
      <w:pPr>
        <w:spacing w:line="360" w:lineRule="auto"/>
        <w:ind w:firstLineChars="200" w:firstLine="562"/>
        <w:rPr>
          <w:rFonts w:ascii="仿宋_GB2312" w:hAnsi="Times New Roman"/>
          <w:b/>
          <w:sz w:val="28"/>
          <w:szCs w:val="21"/>
        </w:rPr>
      </w:pPr>
      <w:r>
        <w:rPr>
          <w:rFonts w:ascii="仿宋_GB2312" w:hAnsi="Times New Roman" w:hint="eastAsia"/>
          <w:b/>
          <w:sz w:val="28"/>
          <w:szCs w:val="21"/>
        </w:rPr>
        <w:t>授课方式：</w:t>
      </w:r>
      <w:r>
        <w:rPr>
          <w:rFonts w:ascii="仿宋_GB2312" w:hAnsi="Times New Roman" w:hint="eastAsia"/>
          <w:sz w:val="28"/>
          <w:szCs w:val="21"/>
        </w:rPr>
        <w:t>线下</w:t>
      </w:r>
    </w:p>
    <w:p w:rsidR="00876C31" w:rsidRDefault="00876C31" w:rsidP="00876C31">
      <w:pPr>
        <w:spacing w:line="360" w:lineRule="auto"/>
        <w:ind w:firstLineChars="200" w:firstLine="562"/>
        <w:rPr>
          <w:rFonts w:ascii="仿宋_GB2312" w:hAnsi="Times New Roman"/>
          <w:sz w:val="28"/>
          <w:szCs w:val="21"/>
        </w:rPr>
      </w:pPr>
      <w:r>
        <w:rPr>
          <w:rFonts w:ascii="仿宋_GB2312" w:hAnsi="Times New Roman" w:hint="eastAsia"/>
          <w:b/>
          <w:sz w:val="28"/>
          <w:szCs w:val="21"/>
        </w:rPr>
        <w:t>课程类别：</w:t>
      </w:r>
      <w:r>
        <w:rPr>
          <w:rFonts w:ascii="仿宋_GB2312" w:hAnsi="Times New Roman" w:hint="eastAsia"/>
          <w:sz w:val="28"/>
          <w:szCs w:val="21"/>
        </w:rPr>
        <w:t>专业发展</w:t>
      </w:r>
    </w:p>
    <w:p w:rsidR="00876C31" w:rsidRDefault="00876C31" w:rsidP="00876C31">
      <w:pPr>
        <w:spacing w:line="360" w:lineRule="auto"/>
        <w:ind w:firstLineChars="200" w:firstLine="562"/>
        <w:rPr>
          <w:rFonts w:ascii="仿宋_GB2312" w:hAnsi="Times New Roman"/>
          <w:sz w:val="28"/>
          <w:szCs w:val="21"/>
        </w:rPr>
      </w:pPr>
      <w:r>
        <w:rPr>
          <w:rFonts w:ascii="仿宋_GB2312" w:hAnsi="Times New Roman" w:hint="eastAsia"/>
          <w:b/>
          <w:sz w:val="28"/>
          <w:szCs w:val="21"/>
        </w:rPr>
        <w:t>课程性质：</w:t>
      </w:r>
      <w:r>
        <w:rPr>
          <w:rFonts w:ascii="仿宋_GB2312" w:hAnsi="Times New Roman" w:hint="eastAsia"/>
          <w:sz w:val="28"/>
          <w:szCs w:val="21"/>
        </w:rPr>
        <w:t>必修</w:t>
      </w:r>
    </w:p>
    <w:p w:rsidR="00876C31" w:rsidRDefault="00876C31" w:rsidP="00876C31">
      <w:pPr>
        <w:spacing w:line="360" w:lineRule="auto"/>
        <w:ind w:firstLineChars="200" w:firstLine="562"/>
        <w:rPr>
          <w:rFonts w:ascii="仿宋_GB2312" w:hAnsi="Times New Roman"/>
          <w:b/>
          <w:sz w:val="28"/>
          <w:szCs w:val="21"/>
        </w:rPr>
      </w:pPr>
      <w:r>
        <w:rPr>
          <w:rFonts w:ascii="仿宋_GB2312" w:hAnsi="Times New Roman" w:hint="eastAsia"/>
          <w:b/>
          <w:sz w:val="28"/>
          <w:szCs w:val="21"/>
        </w:rPr>
        <w:t>学分：</w:t>
      </w:r>
      <w:r>
        <w:rPr>
          <w:rFonts w:ascii="仿宋_GB2312" w:hAnsi="Times New Roman" w:hint="eastAsia"/>
          <w:sz w:val="28"/>
          <w:szCs w:val="21"/>
        </w:rPr>
        <w:t>1.5</w:t>
      </w:r>
    </w:p>
    <w:p w:rsidR="00876C31" w:rsidRDefault="00876C31" w:rsidP="00876C31">
      <w:pPr>
        <w:spacing w:line="360" w:lineRule="auto"/>
        <w:ind w:firstLineChars="200" w:firstLine="562"/>
        <w:rPr>
          <w:rFonts w:ascii="仿宋_GB2312" w:hAnsi="Times New Roman"/>
          <w:b/>
          <w:sz w:val="28"/>
          <w:szCs w:val="21"/>
        </w:rPr>
      </w:pPr>
      <w:r>
        <w:rPr>
          <w:rFonts w:ascii="仿宋_GB2312" w:hAnsi="Times New Roman" w:hint="eastAsia"/>
          <w:b/>
          <w:sz w:val="28"/>
          <w:szCs w:val="21"/>
        </w:rPr>
        <w:t>学时：</w:t>
      </w:r>
      <w:r>
        <w:rPr>
          <w:rFonts w:ascii="仿宋_GB2312" w:hAnsi="Times New Roman"/>
          <w:sz w:val="28"/>
          <w:szCs w:val="21"/>
        </w:rPr>
        <w:t xml:space="preserve">24 </w:t>
      </w:r>
      <w:r>
        <w:rPr>
          <w:rFonts w:ascii="仿宋_GB2312" w:hAnsi="Times New Roman" w:hint="eastAsia"/>
          <w:sz w:val="28"/>
          <w:szCs w:val="21"/>
        </w:rPr>
        <w:t>学时（授课24，实验0，上机0，课外0）</w:t>
      </w:r>
    </w:p>
    <w:p w:rsidR="00876C31" w:rsidRDefault="00876C31" w:rsidP="00876C31">
      <w:pPr>
        <w:spacing w:line="360" w:lineRule="auto"/>
        <w:ind w:firstLineChars="200" w:firstLine="562"/>
        <w:rPr>
          <w:rFonts w:ascii="仿宋_GB2312" w:hAnsi="Times New Roman"/>
          <w:b/>
          <w:sz w:val="28"/>
          <w:szCs w:val="21"/>
        </w:rPr>
      </w:pPr>
      <w:r>
        <w:rPr>
          <w:rFonts w:ascii="仿宋_GB2312" w:hAnsi="Times New Roman" w:hint="eastAsia"/>
          <w:b/>
          <w:sz w:val="28"/>
          <w:szCs w:val="21"/>
        </w:rPr>
        <w:t>适用对象：</w:t>
      </w:r>
      <w:r>
        <w:rPr>
          <w:rFonts w:ascii="仿宋_GB2312" w:hAnsi="Times New Roman" w:hint="eastAsia"/>
          <w:sz w:val="28"/>
          <w:szCs w:val="21"/>
        </w:rPr>
        <w:t>土木工程专业</w:t>
      </w:r>
    </w:p>
    <w:p w:rsidR="00876C31" w:rsidRDefault="00876C31" w:rsidP="00876C31">
      <w:pPr>
        <w:spacing w:line="360" w:lineRule="auto"/>
        <w:ind w:leftChars="176" w:left="1946" w:hangingChars="492" w:hanging="1383"/>
        <w:rPr>
          <w:rFonts w:ascii="仿宋_GB2312" w:hAnsi="Times New Roman"/>
          <w:sz w:val="28"/>
          <w:szCs w:val="21"/>
        </w:rPr>
      </w:pPr>
      <w:r>
        <w:rPr>
          <w:rFonts w:ascii="仿宋_GB2312" w:hAnsi="Times New Roman" w:hint="eastAsia"/>
          <w:b/>
          <w:sz w:val="28"/>
          <w:szCs w:val="21"/>
        </w:rPr>
        <w:t>先修课程：</w:t>
      </w:r>
      <w:r>
        <w:rPr>
          <w:rFonts w:ascii="仿宋_GB2312" w:hAnsi="Times New Roman" w:hint="eastAsia"/>
          <w:sz w:val="28"/>
          <w:szCs w:val="21"/>
        </w:rPr>
        <w:t>房屋建筑学、建筑识图与制图、土木工程材料、土木工程</w:t>
      </w:r>
      <w:r>
        <w:rPr>
          <w:rFonts w:ascii="仿宋_GB2312" w:hAnsi="Times New Roman"/>
          <w:sz w:val="28"/>
          <w:szCs w:val="21"/>
        </w:rPr>
        <w:t>施工</w:t>
      </w:r>
      <w:r>
        <w:rPr>
          <w:rFonts w:ascii="仿宋_GB2312" w:hAnsi="Times New Roman" w:hint="eastAsia"/>
          <w:sz w:val="28"/>
          <w:szCs w:val="21"/>
        </w:rPr>
        <w:t>技术、</w:t>
      </w:r>
    </w:p>
    <w:p w:rsidR="00876C31" w:rsidRDefault="00876C31" w:rsidP="00876C31">
      <w:pPr>
        <w:spacing w:line="360" w:lineRule="auto"/>
        <w:ind w:firstLineChars="200" w:firstLine="562"/>
        <w:rPr>
          <w:rFonts w:ascii="仿宋_GB2312" w:hAnsi="Times New Roman"/>
          <w:sz w:val="28"/>
          <w:szCs w:val="21"/>
        </w:rPr>
      </w:pPr>
      <w:r>
        <w:rPr>
          <w:rFonts w:ascii="仿宋_GB2312" w:hAnsi="Times New Roman" w:hint="eastAsia"/>
          <w:b/>
          <w:sz w:val="28"/>
          <w:szCs w:val="21"/>
        </w:rPr>
        <w:t>开课院系：</w:t>
      </w:r>
      <w:r>
        <w:rPr>
          <w:rFonts w:ascii="仿宋_GB2312" w:hAnsi="Times New Roman" w:hint="eastAsia"/>
          <w:sz w:val="28"/>
          <w:szCs w:val="21"/>
        </w:rPr>
        <w:t>建筑工程学院 工程造价与施工教研室</w:t>
      </w:r>
    </w:p>
    <w:p w:rsidR="00876C31" w:rsidRDefault="00876C31" w:rsidP="00876C31">
      <w:pPr>
        <w:spacing w:line="360" w:lineRule="auto"/>
        <w:outlineLvl w:val="0"/>
        <w:rPr>
          <w:rFonts w:ascii="Times New Roman" w:eastAsia="黑体" w:hAnsi="Times New Roman"/>
          <w:b/>
          <w:sz w:val="28"/>
          <w:szCs w:val="28"/>
        </w:rPr>
      </w:pPr>
      <w:r>
        <w:rPr>
          <w:rFonts w:ascii="Times New Roman" w:eastAsia="黑体" w:hAnsi="Times New Roman"/>
          <w:b/>
          <w:sz w:val="28"/>
          <w:szCs w:val="28"/>
        </w:rPr>
        <w:t>二、课程简介</w:t>
      </w:r>
    </w:p>
    <w:p w:rsidR="00876C31" w:rsidRDefault="00876C31" w:rsidP="00876C31">
      <w:pPr>
        <w:spacing w:line="360" w:lineRule="auto"/>
        <w:ind w:firstLineChars="200" w:firstLine="560"/>
        <w:rPr>
          <w:rFonts w:ascii="仿宋_GB2312" w:hAnsi="宋体"/>
          <w:sz w:val="28"/>
          <w:szCs w:val="21"/>
        </w:rPr>
      </w:pPr>
      <w:r>
        <w:rPr>
          <w:rFonts w:ascii="仿宋_GB2312" w:hAnsi="宋体" w:hint="eastAsia"/>
          <w:sz w:val="28"/>
          <w:szCs w:val="21"/>
        </w:rPr>
        <w:t>《工程计量与计价》是土木工程专业的一门专业发展必修课。这门课程主要研究建筑产品的生产与所消耗的资源（人工、材料、机械台班等）之间的定量关系；如何科学地对建筑产品和所消耗资源进行准确计算的方法；以及关于建筑产品工程量的计量与工程计价的形式、方法等。《工程计量与计价》是一门实践性、专业性和综合性都很强的课程，是土木工程专业学生毕业后从事与建筑工程造价相关的工作，以及对工程项目实行有效管理的得力工具。通过本课程的教学，将使</w:t>
      </w:r>
      <w:r>
        <w:rPr>
          <w:rFonts w:ascii="仿宋_GB2312" w:hAnsi="宋体" w:hint="eastAsia"/>
          <w:sz w:val="28"/>
          <w:szCs w:val="21"/>
        </w:rPr>
        <w:lastRenderedPageBreak/>
        <w:t>学生了解建筑产品的生产与消耗之间的关系，掌握形成建筑产品所消耗资源的计算方法，能够对建筑产品进行准确的工程量计量与工程计价，培养学生成为适应当前建筑市场实际需要的工程造价及技术管理人员。</w:t>
      </w:r>
    </w:p>
    <w:p w:rsidR="00876C31" w:rsidRDefault="00876C31" w:rsidP="00876C31">
      <w:pPr>
        <w:spacing w:line="360" w:lineRule="auto"/>
        <w:ind w:firstLineChars="200" w:firstLine="560"/>
        <w:rPr>
          <w:rFonts w:ascii="仿宋_GB2312" w:hAnsi="宋体"/>
          <w:sz w:val="28"/>
          <w:szCs w:val="21"/>
        </w:rPr>
      </w:pPr>
      <w:r>
        <w:rPr>
          <w:rFonts w:ascii="仿宋_GB2312" w:hAnsi="宋体" w:hint="eastAsia"/>
          <w:sz w:val="28"/>
          <w:szCs w:val="21"/>
        </w:rPr>
        <w:t>本课程配合使用多媒体教学，信息量大，课程内容形象直观，辅以课后辅导及答疑，便于学生迅速理解课程内容，培养学生解决实际工程造价管理问题的能力。</w:t>
      </w:r>
    </w:p>
    <w:p w:rsidR="00876C31" w:rsidRDefault="00876C31" w:rsidP="00876C31">
      <w:pPr>
        <w:spacing w:line="360" w:lineRule="auto"/>
        <w:outlineLvl w:val="0"/>
        <w:rPr>
          <w:rFonts w:ascii="Times New Roman" w:eastAsia="黑体" w:hAnsi="Times New Roman"/>
          <w:b/>
          <w:sz w:val="28"/>
          <w:szCs w:val="28"/>
        </w:rPr>
      </w:pPr>
      <w:r>
        <w:rPr>
          <w:rFonts w:ascii="Times New Roman" w:eastAsia="黑体" w:hAnsi="Times New Roman"/>
          <w:b/>
          <w:sz w:val="28"/>
          <w:szCs w:val="28"/>
        </w:rPr>
        <w:t>三、课程任务、目的与要求</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1.课程任务与目的</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通过对</w:t>
      </w:r>
      <w:r>
        <w:rPr>
          <w:rFonts w:ascii="仿宋_GB2312" w:hAnsi="Times New Roman"/>
          <w:sz w:val="28"/>
          <w:szCs w:val="21"/>
        </w:rPr>
        <w:t>本</w:t>
      </w:r>
      <w:r>
        <w:rPr>
          <w:rFonts w:ascii="仿宋_GB2312" w:hAnsi="Times New Roman" w:hint="eastAsia"/>
          <w:sz w:val="28"/>
          <w:szCs w:val="21"/>
        </w:rPr>
        <w:t>课程的学习，</w:t>
      </w:r>
      <w:r>
        <w:rPr>
          <w:rFonts w:ascii="仿宋_GB2312" w:hAnsi="Times New Roman"/>
          <w:sz w:val="28"/>
          <w:szCs w:val="21"/>
        </w:rPr>
        <w:t>使学生</w:t>
      </w:r>
      <w:r>
        <w:rPr>
          <w:rFonts w:ascii="仿宋_GB2312" w:hAnsi="Times New Roman" w:hint="eastAsia"/>
          <w:sz w:val="28"/>
          <w:szCs w:val="21"/>
        </w:rPr>
        <w:t>了解工程造价在我国的发展历史，了解工程造价管理在工程建设中的重要作用，了解我国当前工程造价管理的现状，掌握</w:t>
      </w:r>
      <w:r>
        <w:rPr>
          <w:rFonts w:ascii="仿宋_GB2312" w:hAnsi="Times New Roman"/>
          <w:sz w:val="28"/>
          <w:szCs w:val="21"/>
        </w:rPr>
        <w:t>与</w:t>
      </w:r>
      <w:r>
        <w:rPr>
          <w:rFonts w:ascii="仿宋_GB2312" w:hAnsi="Times New Roman" w:hint="eastAsia"/>
          <w:sz w:val="28"/>
          <w:szCs w:val="21"/>
        </w:rPr>
        <w:t>工程造价管理相关</w:t>
      </w:r>
      <w:r>
        <w:rPr>
          <w:rFonts w:ascii="仿宋_GB2312" w:hAnsi="Times New Roman"/>
          <w:sz w:val="28"/>
          <w:szCs w:val="21"/>
        </w:rPr>
        <w:t>的基本</w:t>
      </w:r>
      <w:r>
        <w:rPr>
          <w:rFonts w:ascii="仿宋_GB2312" w:hAnsi="Times New Roman" w:hint="eastAsia"/>
          <w:sz w:val="28"/>
          <w:szCs w:val="21"/>
        </w:rPr>
        <w:t>理论和</w:t>
      </w:r>
      <w:r>
        <w:rPr>
          <w:rFonts w:ascii="仿宋_GB2312" w:hAnsi="Times New Roman"/>
          <w:sz w:val="28"/>
          <w:szCs w:val="21"/>
        </w:rPr>
        <w:t>知识，</w:t>
      </w:r>
      <w:r>
        <w:rPr>
          <w:rFonts w:ascii="仿宋_GB2312" w:hAnsi="Times New Roman" w:hint="eastAsia"/>
          <w:sz w:val="28"/>
          <w:szCs w:val="21"/>
        </w:rPr>
        <w:t>熟悉与掌握工程定额，熟悉工程量清单的种类，掌握工程量清单的编制原则，能够编制实际工程的各种工程量清单，能够正确进行工程量清单综合单价的计算，能够计算工程的招标价格和进行工程投标报价，能够初步进行工程价款结算和工程造价审计，</w:t>
      </w:r>
      <w:r>
        <w:rPr>
          <w:rFonts w:ascii="仿宋_GB2312" w:hAnsi="Times New Roman"/>
          <w:sz w:val="28"/>
          <w:szCs w:val="21"/>
        </w:rPr>
        <w:t>具备</w:t>
      </w:r>
      <w:r>
        <w:rPr>
          <w:rFonts w:ascii="仿宋_GB2312" w:hAnsi="Times New Roman" w:hint="eastAsia"/>
          <w:sz w:val="28"/>
          <w:szCs w:val="21"/>
        </w:rPr>
        <w:t>运</w:t>
      </w:r>
      <w:r>
        <w:rPr>
          <w:rFonts w:ascii="仿宋_GB2312" w:hAnsi="Times New Roman"/>
          <w:sz w:val="28"/>
          <w:szCs w:val="21"/>
        </w:rPr>
        <w:t>用</w:t>
      </w:r>
      <w:r>
        <w:rPr>
          <w:rFonts w:ascii="仿宋_GB2312" w:hAnsi="Times New Roman" w:hint="eastAsia"/>
          <w:sz w:val="28"/>
          <w:szCs w:val="21"/>
        </w:rPr>
        <w:t>所</w:t>
      </w:r>
      <w:r>
        <w:rPr>
          <w:rFonts w:ascii="仿宋_GB2312" w:hAnsi="Times New Roman"/>
          <w:sz w:val="28"/>
          <w:szCs w:val="21"/>
        </w:rPr>
        <w:t>学</w:t>
      </w:r>
      <w:r>
        <w:rPr>
          <w:rFonts w:ascii="仿宋_GB2312" w:hAnsi="Times New Roman" w:hint="eastAsia"/>
          <w:sz w:val="28"/>
          <w:szCs w:val="21"/>
        </w:rPr>
        <w:t>理论和</w:t>
      </w:r>
      <w:r>
        <w:rPr>
          <w:rFonts w:ascii="仿宋_GB2312" w:hAnsi="Times New Roman"/>
          <w:sz w:val="28"/>
          <w:szCs w:val="21"/>
        </w:rPr>
        <w:t>知识，解决</w:t>
      </w:r>
      <w:r>
        <w:rPr>
          <w:rFonts w:ascii="仿宋_GB2312" w:hAnsi="Times New Roman" w:hint="eastAsia"/>
          <w:sz w:val="28"/>
          <w:szCs w:val="21"/>
        </w:rPr>
        <w:t>工程造价管理中的各种实际</w:t>
      </w:r>
      <w:r>
        <w:rPr>
          <w:rFonts w:ascii="仿宋_GB2312" w:hAnsi="Times New Roman"/>
          <w:sz w:val="28"/>
          <w:szCs w:val="21"/>
        </w:rPr>
        <w:t>问题的能力，</w:t>
      </w:r>
      <w:r>
        <w:rPr>
          <w:rFonts w:ascii="仿宋_GB2312" w:hAnsi="Times New Roman" w:hint="eastAsia"/>
          <w:sz w:val="28"/>
          <w:szCs w:val="21"/>
        </w:rPr>
        <w:t>竖立民族自豪感，激发学生的爱国情怀，培养学生理解并遵守行业职业道德和行为规范，做到责任担当、贡献国家、服务社会。</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2.课程基本要求</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（1）课程目标</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通过本课程的学习，学生应具备以下几方面的能力：</w:t>
      </w:r>
    </w:p>
    <w:p w:rsidR="00876C31" w:rsidRDefault="00876C31" w:rsidP="00876C31">
      <w:pPr>
        <w:spacing w:line="360" w:lineRule="auto"/>
        <w:ind w:firstLineChars="200" w:firstLine="560"/>
        <w:rPr>
          <w:rFonts w:ascii="仿宋_GB2312" w:hAnsi="Times New Roman"/>
          <w:sz w:val="28"/>
          <w:szCs w:val="21"/>
        </w:rPr>
      </w:pPr>
      <w:r>
        <w:rPr>
          <w:rFonts w:ascii="仿宋_GB2312" w:hAnsi="宋体" w:cs="宋体" w:hint="eastAsia"/>
          <w:sz w:val="28"/>
          <w:szCs w:val="21"/>
        </w:rPr>
        <w:lastRenderedPageBreak/>
        <w:t>①</w:t>
      </w:r>
      <w:r>
        <w:rPr>
          <w:rFonts w:ascii="仿宋_GB2312" w:hAnsi="Times New Roman" w:hint="eastAsia"/>
          <w:sz w:val="28"/>
          <w:szCs w:val="21"/>
        </w:rPr>
        <w:t>了解新中国建国以来，工程造价在我国的发展历程，</w:t>
      </w:r>
      <w:r>
        <w:rPr>
          <w:rFonts w:ascii="仿宋_GB2312" w:hAnsi="Times New Roman" w:hint="eastAsia"/>
          <w:sz w:val="28"/>
          <w:szCs w:val="24"/>
        </w:rPr>
        <w:t>竖立民族自豪感，提升四个自信，培养学生的大国工匠精神，激发学生的爱国情怀；</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②掌握建筑工程计量</w:t>
      </w:r>
      <w:r>
        <w:rPr>
          <w:rFonts w:ascii="仿宋_GB2312" w:hAnsi="Times New Roman"/>
          <w:sz w:val="28"/>
          <w:szCs w:val="21"/>
        </w:rPr>
        <w:t>与</w:t>
      </w:r>
      <w:r>
        <w:rPr>
          <w:rFonts w:ascii="仿宋_GB2312" w:hAnsi="Times New Roman" w:hint="eastAsia"/>
          <w:sz w:val="28"/>
          <w:szCs w:val="21"/>
        </w:rPr>
        <w:t>计价原理，熟悉各种工程定额的使用；</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③掌握工程量的计算方法和计算步骤，会用统筹法计算工程量，熟练掌握《建设工程工程量清单计价规范》中有关工程量清单项目划分及计算规则的内容；</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④熟悉工程量清单编制的程序、工程量清单的格式，具有编制工程量清单和编制施工图预算的能力，能够进行工程量清单计价和投标报价，熟悉项目建设各阶段的计价方法；</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⑤熟悉工程价款的结算和工程造价审计，了解工程计量与计价的电算化管理；</w:t>
      </w:r>
    </w:p>
    <w:p w:rsidR="00876C31" w:rsidRDefault="00876C31" w:rsidP="00876C31">
      <w:pPr>
        <w:spacing w:line="360" w:lineRule="auto"/>
        <w:ind w:firstLineChars="200" w:firstLine="560"/>
        <w:rPr>
          <w:rFonts w:ascii="仿宋_GB2312" w:hAnsi="Times New Roman"/>
          <w:sz w:val="28"/>
          <w:szCs w:val="21"/>
        </w:rPr>
      </w:pPr>
      <w:r>
        <w:rPr>
          <w:rFonts w:ascii="仿宋_GB2312" w:hAnsi="宋体" w:cs="宋体" w:hint="eastAsia"/>
          <w:sz w:val="28"/>
          <w:szCs w:val="21"/>
        </w:rPr>
        <w:t>⑥</w:t>
      </w:r>
      <w:r>
        <w:rPr>
          <w:rFonts w:ascii="仿宋_GB2312" w:hAnsi="Times New Roman" w:hint="eastAsia"/>
          <w:sz w:val="28"/>
          <w:szCs w:val="21"/>
        </w:rPr>
        <w:t>增强学生对工程造价管理重要性的认识，培养学生职业责任感和大国工匠精神。</w:t>
      </w:r>
    </w:p>
    <w:p w:rsidR="00876C31" w:rsidRDefault="00876C31" w:rsidP="00876C31">
      <w:pPr>
        <w:spacing w:line="360" w:lineRule="auto"/>
        <w:ind w:firstLineChars="302" w:firstLine="606"/>
        <w:jc w:val="center"/>
        <w:rPr>
          <w:rFonts w:ascii="仿宋_GB2312" w:hAnsi="Times New Roman"/>
          <w:b/>
          <w:sz w:val="20"/>
          <w:szCs w:val="20"/>
        </w:rPr>
      </w:pPr>
      <w:r>
        <w:rPr>
          <w:rFonts w:ascii="仿宋_GB2312" w:hAnsi="Times New Roman" w:hint="eastAsia"/>
          <w:b/>
          <w:sz w:val="20"/>
          <w:szCs w:val="20"/>
        </w:rPr>
        <w:t xml:space="preserve">表1  </w:t>
      </w:r>
      <w:r>
        <w:rPr>
          <w:rFonts w:ascii="仿宋_GB2312" w:hAnsi="Times New Roman" w:hint="eastAsia"/>
          <w:bCs/>
          <w:sz w:val="20"/>
          <w:szCs w:val="20"/>
        </w:rPr>
        <w:t>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5855"/>
        <w:gridCol w:w="1074"/>
      </w:tblGrid>
      <w:tr w:rsidR="00876C31" w:rsidTr="00BE5664">
        <w:trPr>
          <w:trHeight w:val="560"/>
          <w:jc w:val="center"/>
        </w:trPr>
        <w:tc>
          <w:tcPr>
            <w:tcW w:w="1470"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毕业要求标准</w:t>
            </w:r>
          </w:p>
        </w:tc>
        <w:tc>
          <w:tcPr>
            <w:tcW w:w="6379"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ind w:firstLineChars="302" w:firstLine="604"/>
              <w:jc w:val="center"/>
              <w:rPr>
                <w:rFonts w:ascii="仿宋_GB2312" w:hAnsi="Times New Roman"/>
                <w:bCs/>
                <w:sz w:val="20"/>
                <w:szCs w:val="20"/>
              </w:rPr>
            </w:pPr>
            <w:r>
              <w:rPr>
                <w:rFonts w:ascii="仿宋_GB2312" w:hAnsi="Times New Roman" w:hint="eastAsia"/>
                <w:bCs/>
                <w:sz w:val="20"/>
                <w:szCs w:val="20"/>
              </w:rPr>
              <w:t>指标点</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课程目标</w:t>
            </w:r>
          </w:p>
        </w:tc>
      </w:tr>
      <w:tr w:rsidR="00876C31" w:rsidTr="00BE5664">
        <w:trPr>
          <w:trHeight w:val="560"/>
          <w:jc w:val="center"/>
        </w:trPr>
        <w:tc>
          <w:tcPr>
            <w:tcW w:w="1470" w:type="dxa"/>
            <w:tcBorders>
              <w:top w:val="single" w:sz="4" w:space="0" w:color="auto"/>
              <w:left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6工程评价</w:t>
            </w:r>
          </w:p>
        </w:tc>
        <w:tc>
          <w:tcPr>
            <w:tcW w:w="6379" w:type="dxa"/>
            <w:tcBorders>
              <w:top w:val="single" w:sz="4" w:space="0" w:color="auto"/>
              <w:left w:val="single" w:sz="4" w:space="0" w:color="auto"/>
              <w:right w:val="single" w:sz="4" w:space="0" w:color="auto"/>
            </w:tcBorders>
            <w:vAlign w:val="center"/>
          </w:tcPr>
          <w:p w:rsidR="00876C31" w:rsidRDefault="00876C31" w:rsidP="00BE5664">
            <w:pPr>
              <w:rPr>
                <w:rFonts w:ascii="仿宋_GB2312" w:hAnsi="Times New Roman"/>
                <w:bCs/>
                <w:sz w:val="20"/>
                <w:szCs w:val="20"/>
              </w:rPr>
            </w:pPr>
            <w:r>
              <w:rPr>
                <w:rFonts w:ascii="仿宋_GB2312" w:hAnsi="Times New Roman" w:hint="eastAsia"/>
                <w:bCs/>
                <w:sz w:val="20"/>
                <w:szCs w:val="20"/>
              </w:rPr>
              <w:t>6.1 了解土木工程专业相关领域的技术标准体系、知识产权、产业政策和法律法规，理解不同社会文化对工程活动的影响；</w:t>
            </w:r>
          </w:p>
          <w:p w:rsidR="00876C31" w:rsidRDefault="00876C31" w:rsidP="00BE5664">
            <w:pPr>
              <w:rPr>
                <w:rFonts w:ascii="仿宋_GB2312" w:hAnsi="Times New Roman"/>
                <w:bCs/>
                <w:sz w:val="20"/>
                <w:szCs w:val="20"/>
              </w:rPr>
            </w:pPr>
            <w:r>
              <w:rPr>
                <w:rFonts w:ascii="仿宋_GB2312" w:hAnsi="Times New Roman" w:hint="eastAsia"/>
                <w:bCs/>
                <w:sz w:val="20"/>
                <w:szCs w:val="20"/>
              </w:rPr>
              <w:t>6.2 能够分析并合理评价土木工程专业工程实践和复杂工程问题的解决方案对社会、健康、安全、法律以及文化的影响，以及这些制约因素对项目实施的影响，并理解土木工程师应承担的社会责任。</w:t>
            </w:r>
          </w:p>
        </w:tc>
        <w:tc>
          <w:tcPr>
            <w:tcW w:w="1134" w:type="dxa"/>
            <w:tcBorders>
              <w:top w:val="single" w:sz="4" w:space="0" w:color="auto"/>
              <w:left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2、3、4、5</w:t>
            </w:r>
          </w:p>
        </w:tc>
      </w:tr>
      <w:tr w:rsidR="00876C31" w:rsidTr="00BE5664">
        <w:trPr>
          <w:trHeight w:val="560"/>
          <w:jc w:val="center"/>
        </w:trPr>
        <w:tc>
          <w:tcPr>
            <w:tcW w:w="1470" w:type="dxa"/>
            <w:tcBorders>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7可持续发展</w:t>
            </w:r>
          </w:p>
        </w:tc>
        <w:tc>
          <w:tcPr>
            <w:tcW w:w="6379"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rPr>
                <w:rFonts w:ascii="仿宋_GB2312" w:hAnsi="Times New Roman"/>
                <w:bCs/>
                <w:sz w:val="20"/>
                <w:szCs w:val="20"/>
              </w:rPr>
            </w:pPr>
            <w:r>
              <w:rPr>
                <w:rFonts w:ascii="仿宋_GB2312" w:hAnsi="Times New Roman" w:hint="eastAsia"/>
                <w:bCs/>
                <w:sz w:val="20"/>
                <w:szCs w:val="20"/>
              </w:rPr>
              <w:t>7.1 知晓和理解环境保护和可持续发展的理念和内涵；</w:t>
            </w:r>
          </w:p>
          <w:p w:rsidR="00876C31" w:rsidRDefault="00876C31" w:rsidP="00BE5664">
            <w:pPr>
              <w:rPr>
                <w:rFonts w:ascii="仿宋_GB2312" w:hAnsi="Times New Roman"/>
                <w:bCs/>
                <w:sz w:val="20"/>
                <w:szCs w:val="20"/>
              </w:rPr>
            </w:pPr>
            <w:r>
              <w:rPr>
                <w:rFonts w:ascii="仿宋_GB2312" w:hAnsi="Times New Roman" w:hint="eastAsia"/>
                <w:bCs/>
                <w:sz w:val="20"/>
                <w:szCs w:val="20"/>
              </w:rPr>
              <w:t>7.2 能够从环境保护和社会可持续发展的角度思考土木工程专业工程实践的可持续性，评价其可能对人类和环境造成的损害和隐患，践行绿色环保理念。</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1、2、3</w:t>
            </w:r>
          </w:p>
        </w:tc>
      </w:tr>
      <w:tr w:rsidR="00876C31" w:rsidTr="00BE5664">
        <w:trPr>
          <w:trHeight w:val="560"/>
          <w:jc w:val="center"/>
        </w:trPr>
        <w:tc>
          <w:tcPr>
            <w:tcW w:w="1470" w:type="dxa"/>
            <w:tcBorders>
              <w:left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8 职业规范</w:t>
            </w:r>
          </w:p>
        </w:tc>
        <w:tc>
          <w:tcPr>
            <w:tcW w:w="6379" w:type="dxa"/>
            <w:vAlign w:val="center"/>
          </w:tcPr>
          <w:p w:rsidR="00876C31" w:rsidRDefault="00876C31" w:rsidP="00BE5664">
            <w:pPr>
              <w:rPr>
                <w:rFonts w:ascii="仿宋_GB2312" w:hAnsi="Times New Roman"/>
                <w:bCs/>
                <w:sz w:val="20"/>
                <w:szCs w:val="20"/>
              </w:rPr>
            </w:pPr>
            <w:r>
              <w:rPr>
                <w:rFonts w:ascii="仿宋_GB2312" w:hAnsi="Times New Roman" w:hint="eastAsia"/>
                <w:bCs/>
                <w:sz w:val="20"/>
                <w:szCs w:val="20"/>
              </w:rPr>
              <w:t>8.1 有正确价值观，了解中国国情，具有人文社会科学素养、社会责任感、思辨和处事能力；</w:t>
            </w:r>
          </w:p>
          <w:p w:rsidR="00876C31" w:rsidRDefault="00876C31" w:rsidP="00BE5664">
            <w:pPr>
              <w:rPr>
                <w:rFonts w:ascii="仿宋_GB2312" w:hAnsi="Times New Roman"/>
                <w:bCs/>
                <w:sz w:val="20"/>
                <w:szCs w:val="20"/>
              </w:rPr>
            </w:pPr>
            <w:r>
              <w:rPr>
                <w:rFonts w:ascii="仿宋_GB2312" w:hAnsi="Times New Roman" w:hint="eastAsia"/>
                <w:bCs/>
                <w:sz w:val="20"/>
                <w:szCs w:val="20"/>
              </w:rPr>
              <w:t>8.3 理解土木工程师对公众的安全、健康和福祉，以及环境保护</w:t>
            </w:r>
            <w:r>
              <w:rPr>
                <w:rFonts w:ascii="仿宋_GB2312" w:hAnsi="Times New Roman" w:hint="eastAsia"/>
                <w:bCs/>
                <w:sz w:val="20"/>
                <w:szCs w:val="20"/>
              </w:rPr>
              <w:lastRenderedPageBreak/>
              <w:t>的社会责任，并能够在工程实践中自觉履行。</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lastRenderedPageBreak/>
              <w:t xml:space="preserve">1、5、6 </w:t>
            </w:r>
          </w:p>
        </w:tc>
      </w:tr>
      <w:tr w:rsidR="00876C31" w:rsidTr="00BE5664">
        <w:trPr>
          <w:trHeight w:val="560"/>
          <w:jc w:val="center"/>
        </w:trPr>
        <w:tc>
          <w:tcPr>
            <w:tcW w:w="1470" w:type="dxa"/>
            <w:tcBorders>
              <w:left w:val="single" w:sz="4" w:space="0" w:color="auto"/>
              <w:right w:val="single" w:sz="4" w:space="0" w:color="auto"/>
            </w:tcBorders>
            <w:vAlign w:val="center"/>
          </w:tcPr>
          <w:p w:rsidR="00876C31" w:rsidRDefault="00876C31" w:rsidP="00BE5664">
            <w:pPr>
              <w:jc w:val="center"/>
              <w:rPr>
                <w:rFonts w:ascii="仿宋_GB2312" w:hAnsi="Times New Roman"/>
                <w:bCs/>
                <w:sz w:val="20"/>
                <w:szCs w:val="20"/>
              </w:rPr>
            </w:pPr>
            <w:r>
              <w:rPr>
                <w:rFonts w:ascii="仿宋_GB2312" w:hAnsi="Times New Roman" w:hint="eastAsia"/>
                <w:bCs/>
                <w:sz w:val="20"/>
                <w:szCs w:val="20"/>
              </w:rPr>
              <w:t>11项目管理</w:t>
            </w:r>
          </w:p>
        </w:tc>
        <w:tc>
          <w:tcPr>
            <w:tcW w:w="6379" w:type="dxa"/>
            <w:vAlign w:val="center"/>
          </w:tcPr>
          <w:p w:rsidR="00876C31" w:rsidRDefault="00876C31" w:rsidP="00BE5664">
            <w:pPr>
              <w:rPr>
                <w:rFonts w:ascii="仿宋_GB2312" w:hAnsi="Times New Roman"/>
                <w:bCs/>
                <w:sz w:val="20"/>
                <w:szCs w:val="20"/>
              </w:rPr>
            </w:pPr>
            <w:r>
              <w:rPr>
                <w:rFonts w:ascii="仿宋_GB2312" w:hAnsi="Times New Roman" w:hint="eastAsia"/>
                <w:bCs/>
                <w:sz w:val="20"/>
                <w:szCs w:val="20"/>
              </w:rPr>
              <w:t>11.1能够在与土木工程专业相关的多学科环境中，掌握工程项目涉及的管理原理与经济决策方法；</w:t>
            </w:r>
          </w:p>
          <w:p w:rsidR="00876C31" w:rsidRDefault="00876C31" w:rsidP="00BE5664">
            <w:pPr>
              <w:rPr>
                <w:rFonts w:ascii="仿宋_GB2312" w:hAnsi="Times New Roman"/>
                <w:bCs/>
                <w:sz w:val="20"/>
                <w:szCs w:val="20"/>
              </w:rPr>
            </w:pPr>
            <w:r>
              <w:rPr>
                <w:rFonts w:ascii="仿宋_GB2312" w:hAnsi="Times New Roman" w:hint="eastAsia"/>
                <w:bCs/>
                <w:sz w:val="20"/>
                <w:szCs w:val="20"/>
              </w:rPr>
              <w:t>11.2了解工程及产品全周期、全流程的成本构成，并能够在设计/开发解决方案的过程中，正确运用工程管理与经济决策方法，具备一定的工程项目管理能力。</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Default="00876C31" w:rsidP="00BE5664">
            <w:pPr>
              <w:rPr>
                <w:rFonts w:ascii="仿宋_GB2312" w:hAnsi="Times New Roman"/>
                <w:bCs/>
                <w:sz w:val="20"/>
                <w:szCs w:val="20"/>
              </w:rPr>
            </w:pPr>
            <w:r>
              <w:rPr>
                <w:rFonts w:ascii="仿宋_GB2312" w:hAnsi="Times New Roman" w:hint="eastAsia"/>
                <w:bCs/>
                <w:sz w:val="20"/>
                <w:szCs w:val="20"/>
              </w:rPr>
              <w:t>1、2、4</w:t>
            </w:r>
          </w:p>
        </w:tc>
      </w:tr>
    </w:tbl>
    <w:p w:rsidR="00876C31" w:rsidRDefault="00876C31" w:rsidP="00876C31">
      <w:pPr>
        <w:spacing w:beforeLines="50" w:before="156" w:line="360" w:lineRule="auto"/>
        <w:ind w:firstLineChars="200" w:firstLine="560"/>
        <w:rPr>
          <w:rFonts w:ascii="仿宋_GB2312" w:hAnsi="Times New Roman"/>
          <w:sz w:val="28"/>
          <w:szCs w:val="21"/>
        </w:rPr>
      </w:pPr>
      <w:r>
        <w:rPr>
          <w:rFonts w:ascii="仿宋_GB2312" w:hAnsi="Times New Roman" w:hint="eastAsia"/>
          <w:sz w:val="28"/>
          <w:szCs w:val="21"/>
        </w:rPr>
        <w:t>（2）本课程的重点、难点</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教学重点：</w:t>
      </w:r>
      <w:r>
        <w:rPr>
          <w:rFonts w:ascii="仿宋_GB2312" w:hAnsi="Times New Roman"/>
          <w:sz w:val="28"/>
          <w:szCs w:val="21"/>
        </w:rPr>
        <w:t>建筑面积的计算、</w:t>
      </w:r>
      <w:r>
        <w:rPr>
          <w:rFonts w:ascii="仿宋_GB2312" w:hAnsi="Times New Roman" w:hint="eastAsia"/>
          <w:sz w:val="28"/>
          <w:szCs w:val="21"/>
        </w:rPr>
        <w:t>定额工程量的计算、</w:t>
      </w:r>
      <w:r>
        <w:rPr>
          <w:rFonts w:ascii="仿宋_GB2312" w:hAnsi="Times New Roman"/>
          <w:sz w:val="28"/>
          <w:szCs w:val="21"/>
        </w:rPr>
        <w:t>清单工程量的计算、</w:t>
      </w:r>
      <w:r>
        <w:rPr>
          <w:rFonts w:ascii="仿宋_GB2312" w:hAnsi="Times New Roman" w:hint="eastAsia"/>
          <w:sz w:val="28"/>
          <w:szCs w:val="21"/>
        </w:rPr>
        <w:t>工程量</w:t>
      </w:r>
      <w:r>
        <w:rPr>
          <w:rFonts w:ascii="仿宋_GB2312" w:hAnsi="Times New Roman"/>
          <w:sz w:val="28"/>
          <w:szCs w:val="21"/>
        </w:rPr>
        <w:t>清单的编制</w:t>
      </w:r>
      <w:r>
        <w:rPr>
          <w:rFonts w:ascii="仿宋_GB2312" w:hAnsi="Times New Roman" w:hint="eastAsia"/>
          <w:sz w:val="28"/>
          <w:szCs w:val="21"/>
        </w:rPr>
        <w:t>、工程量清单招标控制价的编制、工程量清单投标报价的编制、工程价款的结算。</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教学难点：工程量</w:t>
      </w:r>
      <w:r>
        <w:rPr>
          <w:rFonts w:ascii="仿宋_GB2312" w:hAnsi="Times New Roman"/>
          <w:sz w:val="28"/>
          <w:szCs w:val="21"/>
        </w:rPr>
        <w:t>清单的编制</w:t>
      </w:r>
      <w:r>
        <w:rPr>
          <w:rFonts w:ascii="仿宋_GB2312" w:hAnsi="Times New Roman" w:hint="eastAsia"/>
          <w:sz w:val="28"/>
          <w:szCs w:val="21"/>
        </w:rPr>
        <w:t>、工程量清单招标控制价的编制、工程量清单投标报价的编制。</w:t>
      </w:r>
    </w:p>
    <w:p w:rsidR="00876C31" w:rsidRDefault="00876C31" w:rsidP="00876C31">
      <w:pPr>
        <w:spacing w:line="360" w:lineRule="auto"/>
        <w:ind w:firstLineChars="200" w:firstLine="560"/>
        <w:rPr>
          <w:rFonts w:ascii="仿宋_GB2312" w:hAnsi="Times New Roman"/>
          <w:sz w:val="28"/>
          <w:szCs w:val="21"/>
        </w:rPr>
      </w:pPr>
      <w:r>
        <w:rPr>
          <w:rFonts w:ascii="仿宋_GB2312" w:hAnsi="Times New Roman" w:hint="eastAsia"/>
          <w:sz w:val="28"/>
          <w:szCs w:val="21"/>
        </w:rPr>
        <w:t>（3）课程思政切入</w:t>
      </w:r>
    </w:p>
    <w:p w:rsidR="00876C31" w:rsidRDefault="00876C31" w:rsidP="00876C31">
      <w:pPr>
        <w:spacing w:line="360" w:lineRule="auto"/>
        <w:ind w:firstLineChars="200" w:firstLine="560"/>
        <w:rPr>
          <w:rFonts w:ascii="仿宋_GB2312" w:hAnsi="宋体" w:cs="宋体"/>
          <w:sz w:val="28"/>
          <w:szCs w:val="21"/>
        </w:rPr>
      </w:pPr>
      <w:r>
        <w:rPr>
          <w:rFonts w:ascii="仿宋_GB2312" w:hAnsi="宋体" w:cs="宋体" w:hint="eastAsia"/>
          <w:sz w:val="28"/>
          <w:szCs w:val="21"/>
        </w:rPr>
        <w:t>①通过对国内外典型工程造价管理案例的分析，引导学生理解对</w:t>
      </w:r>
      <w:r>
        <w:rPr>
          <w:rFonts w:ascii="仿宋_GB2312" w:hAnsi="宋体" w:cs="宋体"/>
          <w:sz w:val="28"/>
          <w:szCs w:val="21"/>
        </w:rPr>
        <w:t>工程</w:t>
      </w:r>
      <w:r>
        <w:rPr>
          <w:rFonts w:ascii="仿宋_GB2312" w:hAnsi="宋体" w:cs="宋体" w:hint="eastAsia"/>
          <w:sz w:val="28"/>
          <w:szCs w:val="21"/>
        </w:rPr>
        <w:t>进行准确的计量与计价，是对建设项目进行科学管理的必不可少的手段，并能够在工程实践中，重视并自觉加强对工程造价的管理。</w:t>
      </w:r>
    </w:p>
    <w:p w:rsidR="00876C31" w:rsidRDefault="00876C31" w:rsidP="00876C31">
      <w:pPr>
        <w:spacing w:line="360" w:lineRule="auto"/>
        <w:ind w:firstLineChars="200" w:firstLine="560"/>
        <w:rPr>
          <w:rFonts w:ascii="仿宋_GB2312" w:hAnsi="宋体" w:cs="宋体"/>
          <w:sz w:val="28"/>
          <w:szCs w:val="21"/>
        </w:rPr>
      </w:pPr>
      <w:r>
        <w:rPr>
          <w:rFonts w:ascii="仿宋_GB2312" w:hAnsi="宋体" w:cs="宋体" w:hint="eastAsia"/>
          <w:sz w:val="28"/>
          <w:szCs w:val="21"/>
        </w:rPr>
        <w:t>②结合工程造价管理与控制在我国的发展历史，强调造价管理手段创新的重要性，创新是土木工程造价管理手段不断取得进步的不竭动力和源泉，只有创新才可以解决当前规模日益扩大及复杂化的建筑市场对造价管理的高标准要求。</w:t>
      </w:r>
    </w:p>
    <w:p w:rsidR="00876C31" w:rsidRDefault="00876C31" w:rsidP="00876C31">
      <w:pPr>
        <w:spacing w:line="360" w:lineRule="auto"/>
        <w:ind w:firstLineChars="200" w:firstLine="560"/>
        <w:rPr>
          <w:rFonts w:ascii="仿宋_GB2312" w:hAnsi="Times New Roman"/>
          <w:sz w:val="28"/>
          <w:szCs w:val="24"/>
        </w:rPr>
      </w:pPr>
      <w:r>
        <w:rPr>
          <w:rFonts w:ascii="仿宋_GB2312" w:hAnsi="宋体" w:cs="宋体" w:hint="eastAsia"/>
          <w:sz w:val="28"/>
          <w:szCs w:val="21"/>
        </w:rPr>
        <w:t>③</w:t>
      </w:r>
      <w:r>
        <w:rPr>
          <w:rFonts w:ascii="仿宋_GB2312" w:hAnsi="Times New Roman" w:hint="eastAsia"/>
          <w:sz w:val="28"/>
          <w:szCs w:val="24"/>
        </w:rPr>
        <w:t>结合北京奥运会鸟巢，上海世博会、西安世园会、长安大学教师公寓楼等重大工程项目对造价的管理实例，引领学生竖立民族自豪感，培养学生的大国工匠精神，激发学生的家国情怀。</w:t>
      </w:r>
    </w:p>
    <w:p w:rsidR="00876C31" w:rsidRDefault="00876C31" w:rsidP="00876C31">
      <w:pPr>
        <w:spacing w:line="360" w:lineRule="auto"/>
        <w:ind w:firstLineChars="200" w:firstLine="560"/>
        <w:rPr>
          <w:sz w:val="28"/>
          <w:szCs w:val="24"/>
        </w:rPr>
      </w:pPr>
      <w:r>
        <w:rPr>
          <w:rFonts w:ascii="仿宋_GB2312" w:hAnsi="宋体" w:cs="宋体" w:hint="eastAsia"/>
          <w:sz w:val="28"/>
          <w:szCs w:val="21"/>
        </w:rPr>
        <w:t>④</w:t>
      </w:r>
      <w:r>
        <w:rPr>
          <w:rFonts w:cs="宋体" w:hint="eastAsia"/>
          <w:sz w:val="28"/>
          <w:szCs w:val="21"/>
        </w:rPr>
        <w:t>结合</w:t>
      </w:r>
      <w:r>
        <w:rPr>
          <w:rFonts w:ascii="仿宋_GB2312" w:hAnsi="Times New Roman" w:hint="eastAsia"/>
          <w:sz w:val="28"/>
          <w:szCs w:val="24"/>
        </w:rPr>
        <w:t>钢筋混凝土预制构件安装在当前工程建设中的广泛推广</w:t>
      </w:r>
      <w:r>
        <w:rPr>
          <w:rFonts w:ascii="仿宋_GB2312" w:hAnsi="Times New Roman" w:hint="eastAsia"/>
          <w:sz w:val="28"/>
          <w:szCs w:val="24"/>
        </w:rPr>
        <w:lastRenderedPageBreak/>
        <w:t>应用，引导学生树立建设祖国、建设世界、服务祖国和世界人民的人类命运共同体观念，并建立以此作为自我价值实现途径的信念。</w:t>
      </w:r>
    </w:p>
    <w:p w:rsidR="00876C31" w:rsidRDefault="00876C31" w:rsidP="00876C31">
      <w:pPr>
        <w:spacing w:line="360" w:lineRule="auto"/>
        <w:ind w:firstLineChars="200" w:firstLine="560"/>
        <w:rPr>
          <w:rFonts w:ascii="仿宋_GB2312" w:hAnsi="Times New Roman"/>
          <w:sz w:val="28"/>
          <w:szCs w:val="24"/>
        </w:rPr>
      </w:pPr>
      <w:r>
        <w:rPr>
          <w:rFonts w:ascii="仿宋_GB2312" w:hAnsi="宋体" w:cs="宋体" w:hint="eastAsia"/>
          <w:sz w:val="28"/>
          <w:szCs w:val="21"/>
        </w:rPr>
        <w:t>⑤</w:t>
      </w:r>
      <w:r>
        <w:rPr>
          <w:rFonts w:ascii="仿宋_GB2312" w:hAnsi="Times New Roman" w:hint="eastAsia"/>
          <w:sz w:val="28"/>
          <w:szCs w:val="24"/>
        </w:rPr>
        <w:t>通过对不同地区工程造价管理的介绍，引导学生了解中国不同地区的区域特征，加深学生对祖国各地基本国情的了解。</w:t>
      </w:r>
    </w:p>
    <w:p w:rsidR="00876C31" w:rsidRDefault="00876C31" w:rsidP="00876C31">
      <w:pPr>
        <w:spacing w:line="360" w:lineRule="auto"/>
        <w:ind w:firstLineChars="200" w:firstLine="560"/>
        <w:rPr>
          <w:rFonts w:ascii="仿宋_GB2312" w:hAnsi="Times New Roman"/>
          <w:sz w:val="28"/>
          <w:szCs w:val="24"/>
        </w:rPr>
      </w:pPr>
      <w:r>
        <w:rPr>
          <w:rFonts w:ascii="仿宋_GB2312" w:hAnsi="宋体" w:cs="宋体" w:hint="eastAsia"/>
          <w:sz w:val="28"/>
          <w:szCs w:val="21"/>
        </w:rPr>
        <w:t>⑥</w:t>
      </w:r>
      <w:r>
        <w:rPr>
          <w:rFonts w:ascii="仿宋_GB2312" w:hAnsi="Times New Roman" w:hint="eastAsia"/>
          <w:sz w:val="28"/>
          <w:szCs w:val="24"/>
        </w:rPr>
        <w:t>依托典型工程的造价管理实例，引入工程造价管理中应该遵守的职业道德和行为规范，培养学生的社会责任感，理解诚实公正、诚信守则的土木工程职业道德和行为规范，并能够在工程实践中自觉遵守，做到责任担当、贡献国家、服务社会。</w:t>
      </w:r>
    </w:p>
    <w:p w:rsidR="00876C31" w:rsidRDefault="00876C31" w:rsidP="00876C31">
      <w:pPr>
        <w:spacing w:line="360" w:lineRule="auto"/>
        <w:ind w:firstLineChars="200" w:firstLine="560"/>
        <w:rPr>
          <w:rFonts w:ascii="仿宋_GB2312" w:hAnsi="Times New Roman"/>
          <w:sz w:val="28"/>
          <w:szCs w:val="24"/>
        </w:rPr>
      </w:pPr>
      <w:r>
        <w:rPr>
          <w:rFonts w:ascii="仿宋_GB2312" w:hAnsi="Times New Roman" w:hint="eastAsia"/>
          <w:sz w:val="28"/>
          <w:szCs w:val="24"/>
        </w:rPr>
        <w:t>⑦通过课堂分组讨论，使学生理解团队合作在解决专业复杂工程问题时的重要性，只有相互之间的紧密配合和精诚合作，大型复杂工程才会从构思变为现实。</w:t>
      </w:r>
    </w:p>
    <w:p w:rsidR="00876C31" w:rsidRDefault="00876C31" w:rsidP="00876C31">
      <w:pPr>
        <w:spacing w:line="360" w:lineRule="auto"/>
        <w:outlineLvl w:val="0"/>
        <w:rPr>
          <w:rFonts w:ascii="Times New Roman" w:eastAsia="黑体" w:hAnsi="Times New Roman"/>
          <w:b/>
          <w:sz w:val="28"/>
          <w:szCs w:val="28"/>
        </w:rPr>
      </w:pPr>
      <w:r>
        <w:rPr>
          <w:rFonts w:ascii="Times New Roman" w:eastAsia="黑体" w:hAnsi="Times New Roman"/>
          <w:b/>
          <w:sz w:val="28"/>
          <w:szCs w:val="28"/>
        </w:rPr>
        <w:t>四、教学内容安排</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920"/>
        <w:gridCol w:w="630"/>
        <w:gridCol w:w="2743"/>
        <w:gridCol w:w="3350"/>
      </w:tblGrid>
      <w:tr w:rsidR="00876C31" w:rsidTr="00BE5664">
        <w:trPr>
          <w:cantSplit/>
          <w:trHeight w:val="486"/>
          <w:tblHeader/>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序</w:t>
            </w:r>
          </w:p>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号</w:t>
            </w:r>
          </w:p>
        </w:tc>
        <w:tc>
          <w:tcPr>
            <w:tcW w:w="1920"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章  节</w:t>
            </w:r>
          </w:p>
        </w:tc>
        <w:tc>
          <w:tcPr>
            <w:tcW w:w="630"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参考学时</w:t>
            </w:r>
          </w:p>
        </w:tc>
        <w:tc>
          <w:tcPr>
            <w:tcW w:w="2743"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教学内容</w:t>
            </w:r>
          </w:p>
        </w:tc>
        <w:tc>
          <w:tcPr>
            <w:tcW w:w="3350"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基本要求</w:t>
            </w:r>
          </w:p>
        </w:tc>
      </w:tr>
      <w:tr w:rsidR="00876C31" w:rsidTr="00BE5664">
        <w:trPr>
          <w:trHeight w:val="428"/>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1</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第1章</w:t>
            </w:r>
          </w:p>
          <w:p w:rsidR="00876C31" w:rsidRDefault="00876C31" w:rsidP="00BE5664">
            <w:pPr>
              <w:rPr>
                <w:rFonts w:ascii="仿宋_GB2312" w:hAnsi="Times New Roman"/>
                <w:sz w:val="20"/>
                <w:szCs w:val="20"/>
              </w:rPr>
            </w:pPr>
            <w:r>
              <w:rPr>
                <w:rFonts w:ascii="仿宋_GB2312" w:hAnsi="Times New Roman" w:hint="eastAsia"/>
                <w:sz w:val="20"/>
                <w:szCs w:val="20"/>
              </w:rPr>
              <w:t>建筑工程计量与计价概论</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876C31" w:rsidRDefault="00876C31" w:rsidP="00BE5664">
            <w:pPr>
              <w:ind w:left="-2"/>
              <w:rPr>
                <w:rFonts w:ascii="仿宋_GB2312" w:hAnsi="Times New Roman"/>
                <w:sz w:val="20"/>
                <w:szCs w:val="20"/>
              </w:rPr>
            </w:pPr>
            <w:r>
              <w:rPr>
                <w:rFonts w:ascii="仿宋_GB2312" w:hAnsi="Times New Roman" w:hint="eastAsia"/>
                <w:sz w:val="20"/>
                <w:szCs w:val="20"/>
              </w:rPr>
              <w:t>工程计量与计价的原理</w:t>
            </w:r>
          </w:p>
          <w:p w:rsidR="00876C31" w:rsidRDefault="00876C31" w:rsidP="00BE5664">
            <w:pPr>
              <w:ind w:left="-2"/>
              <w:rPr>
                <w:rFonts w:ascii="仿宋_GB2312" w:hAnsi="Times New Roman"/>
                <w:sz w:val="20"/>
                <w:szCs w:val="20"/>
              </w:rPr>
            </w:pPr>
            <w:r>
              <w:rPr>
                <w:rFonts w:ascii="仿宋_GB2312" w:hAnsi="Times New Roman" w:hint="eastAsia"/>
                <w:sz w:val="20"/>
                <w:szCs w:val="20"/>
              </w:rPr>
              <w:t>工程造价费用构成</w:t>
            </w:r>
          </w:p>
          <w:p w:rsidR="00876C31" w:rsidRDefault="00876C31" w:rsidP="00BE5664">
            <w:pPr>
              <w:ind w:left="-2"/>
              <w:rPr>
                <w:rFonts w:ascii="仿宋_GB2312" w:hAnsi="Times New Roman"/>
                <w:sz w:val="20"/>
                <w:szCs w:val="20"/>
              </w:rPr>
            </w:pPr>
            <w:r>
              <w:rPr>
                <w:rFonts w:ascii="仿宋_GB2312" w:hAnsi="Times New Roman" w:hint="eastAsia"/>
                <w:sz w:val="20"/>
                <w:szCs w:val="20"/>
              </w:rPr>
              <w:t>定额计价法、清单计价法原理</w:t>
            </w:r>
          </w:p>
          <w:p w:rsidR="00876C31" w:rsidRDefault="00876C31" w:rsidP="00BE5664">
            <w:pPr>
              <w:ind w:left="-2"/>
              <w:rPr>
                <w:rFonts w:ascii="仿宋_GB2312" w:hAnsi="Times New Roman"/>
                <w:sz w:val="20"/>
                <w:szCs w:val="20"/>
              </w:rPr>
            </w:pPr>
            <w:r>
              <w:rPr>
                <w:rFonts w:ascii="仿宋_GB2312" w:hAnsi="Times New Roman" w:hint="eastAsia"/>
                <w:sz w:val="20"/>
                <w:szCs w:val="20"/>
              </w:rPr>
              <w:t>建筑面积及其计算规则</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了解课程的目的、内容及要求；</w:t>
            </w:r>
          </w:p>
          <w:p w:rsidR="00876C31" w:rsidRDefault="00876C31" w:rsidP="00BE5664">
            <w:pPr>
              <w:rPr>
                <w:rFonts w:ascii="仿宋_GB2312" w:hAnsi="Times New Roman"/>
                <w:sz w:val="20"/>
                <w:szCs w:val="20"/>
              </w:rPr>
            </w:pPr>
            <w:r>
              <w:rPr>
                <w:rFonts w:ascii="仿宋_GB2312" w:hAnsi="Times New Roman" w:hint="eastAsia"/>
                <w:sz w:val="20"/>
                <w:szCs w:val="20"/>
              </w:rPr>
              <w:t>了解工程造价费用的构成</w:t>
            </w:r>
          </w:p>
          <w:p w:rsidR="00876C31" w:rsidRDefault="00876C31" w:rsidP="00BE5664">
            <w:pPr>
              <w:rPr>
                <w:rFonts w:ascii="仿宋_GB2312" w:hAnsi="Times New Roman"/>
                <w:sz w:val="20"/>
                <w:szCs w:val="20"/>
              </w:rPr>
            </w:pPr>
            <w:r>
              <w:rPr>
                <w:rFonts w:ascii="仿宋_GB2312" w:hAnsi="Times New Roman" w:hint="eastAsia"/>
                <w:sz w:val="20"/>
                <w:szCs w:val="20"/>
              </w:rPr>
              <w:t>了解工程常用计价方法的原理</w:t>
            </w:r>
          </w:p>
          <w:p w:rsidR="00876C31" w:rsidRDefault="00876C31" w:rsidP="00BE5664">
            <w:pPr>
              <w:rPr>
                <w:rFonts w:ascii="仿宋_GB2312" w:hAnsi="Times New Roman"/>
                <w:kern w:val="0"/>
                <w:sz w:val="20"/>
                <w:szCs w:val="20"/>
              </w:rPr>
            </w:pPr>
            <w:r>
              <w:rPr>
                <w:rFonts w:ascii="仿宋_GB2312" w:hAnsi="Times New Roman" w:hint="eastAsia"/>
                <w:sz w:val="20"/>
                <w:szCs w:val="20"/>
              </w:rPr>
              <w:t>掌握建筑面积的计算规则。</w:t>
            </w:r>
          </w:p>
        </w:tc>
      </w:tr>
      <w:tr w:rsidR="00876C31" w:rsidTr="00BE5664">
        <w:trPr>
          <w:trHeight w:val="519"/>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2</w:t>
            </w:r>
          </w:p>
        </w:tc>
        <w:tc>
          <w:tcPr>
            <w:tcW w:w="1920" w:type="dxa"/>
            <w:vAlign w:val="center"/>
          </w:tcPr>
          <w:p w:rsidR="00876C31" w:rsidRDefault="00876C31" w:rsidP="00BE5664">
            <w:pPr>
              <w:ind w:left="3"/>
              <w:rPr>
                <w:rFonts w:ascii="仿宋_GB2312" w:hAnsi="Times New Roman"/>
                <w:sz w:val="20"/>
                <w:szCs w:val="20"/>
              </w:rPr>
            </w:pPr>
            <w:r>
              <w:rPr>
                <w:rFonts w:ascii="仿宋_GB2312" w:hAnsi="Times New Roman" w:hint="eastAsia"/>
                <w:sz w:val="20"/>
                <w:szCs w:val="20"/>
              </w:rPr>
              <w:t>第2章</w:t>
            </w:r>
          </w:p>
          <w:p w:rsidR="00876C31" w:rsidRDefault="00876C31" w:rsidP="00BE5664">
            <w:pPr>
              <w:ind w:left="3"/>
              <w:rPr>
                <w:rFonts w:ascii="仿宋_GB2312" w:hAnsi="Times New Roman"/>
                <w:sz w:val="20"/>
                <w:szCs w:val="20"/>
              </w:rPr>
            </w:pPr>
            <w:r>
              <w:rPr>
                <w:rFonts w:ascii="仿宋_GB2312" w:hAnsi="Times New Roman" w:hint="eastAsia"/>
                <w:sz w:val="20"/>
                <w:szCs w:val="20"/>
              </w:rPr>
              <w:t>建筑工程定额计量与计价</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2</w:t>
            </w:r>
          </w:p>
        </w:tc>
        <w:tc>
          <w:tcPr>
            <w:tcW w:w="2743" w:type="dxa"/>
            <w:vAlign w:val="center"/>
          </w:tcPr>
          <w:p w:rsidR="00876C31" w:rsidRDefault="00876C31" w:rsidP="00BE5664">
            <w:pPr>
              <w:ind w:left="600" w:hangingChars="300" w:hanging="600"/>
              <w:rPr>
                <w:rFonts w:ascii="仿宋_GB2312" w:hAnsi="Times New Roman"/>
                <w:sz w:val="20"/>
                <w:szCs w:val="20"/>
              </w:rPr>
            </w:pPr>
            <w:r>
              <w:rPr>
                <w:rFonts w:ascii="仿宋_GB2312" w:hAnsi="Times New Roman" w:hint="eastAsia"/>
                <w:sz w:val="20"/>
                <w:szCs w:val="20"/>
              </w:rPr>
              <w:t>建筑工程消耗量定额概述</w:t>
            </w:r>
          </w:p>
          <w:p w:rsidR="00876C31" w:rsidRDefault="00876C31" w:rsidP="00BE5664">
            <w:pPr>
              <w:ind w:left="600" w:hangingChars="300" w:hanging="600"/>
              <w:rPr>
                <w:rFonts w:ascii="仿宋_GB2312" w:hAnsi="Times New Roman"/>
                <w:sz w:val="20"/>
                <w:szCs w:val="20"/>
              </w:rPr>
            </w:pPr>
            <w:r>
              <w:rPr>
                <w:rFonts w:ascii="仿宋_GB2312" w:hAnsi="Times New Roman" w:hint="eastAsia"/>
                <w:sz w:val="20"/>
                <w:szCs w:val="20"/>
              </w:rPr>
              <w:t>定额项目的划分</w:t>
            </w:r>
          </w:p>
          <w:p w:rsidR="00876C31" w:rsidRDefault="00876C31" w:rsidP="00BE5664">
            <w:pPr>
              <w:ind w:left="600" w:hangingChars="300" w:hanging="600"/>
              <w:rPr>
                <w:rFonts w:ascii="仿宋_GB2312" w:hAnsi="Times New Roman"/>
                <w:sz w:val="20"/>
                <w:szCs w:val="20"/>
              </w:rPr>
            </w:pPr>
            <w:r>
              <w:rPr>
                <w:rFonts w:ascii="仿宋_GB2312" w:hAnsi="Times New Roman" w:hint="eastAsia"/>
                <w:sz w:val="20"/>
                <w:szCs w:val="20"/>
              </w:rPr>
              <w:t>定额工程量计算</w:t>
            </w:r>
          </w:p>
          <w:p w:rsidR="00876C31" w:rsidRDefault="00876C31" w:rsidP="00BE5664">
            <w:pPr>
              <w:rPr>
                <w:rFonts w:ascii="仿宋_GB2312" w:hAnsi="Times New Roman"/>
                <w:sz w:val="20"/>
                <w:szCs w:val="20"/>
              </w:rPr>
            </w:pPr>
            <w:r>
              <w:rPr>
                <w:rFonts w:ascii="仿宋_GB2312" w:hAnsi="Times New Roman" w:hint="eastAsia"/>
                <w:sz w:val="20"/>
                <w:szCs w:val="20"/>
              </w:rPr>
              <w:t>建筑工程定额计价方法</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了解工程消耗量定额及其作用；</w:t>
            </w:r>
          </w:p>
          <w:p w:rsidR="00876C31" w:rsidRDefault="00876C31" w:rsidP="00BE5664">
            <w:pPr>
              <w:rPr>
                <w:rFonts w:ascii="仿宋_GB2312" w:hAnsi="Times New Roman"/>
                <w:sz w:val="20"/>
                <w:szCs w:val="20"/>
              </w:rPr>
            </w:pPr>
            <w:r>
              <w:rPr>
                <w:rFonts w:ascii="仿宋_GB2312" w:hAnsi="Times New Roman" w:hint="eastAsia"/>
                <w:sz w:val="20"/>
                <w:szCs w:val="20"/>
              </w:rPr>
              <w:t>掌握定额工程量计算；</w:t>
            </w:r>
          </w:p>
          <w:p w:rsidR="00876C31" w:rsidRDefault="00876C31" w:rsidP="00BE5664">
            <w:pPr>
              <w:rPr>
                <w:rFonts w:ascii="仿宋_GB2312" w:hAnsi="Times New Roman"/>
                <w:sz w:val="20"/>
                <w:szCs w:val="20"/>
              </w:rPr>
            </w:pPr>
            <w:r>
              <w:rPr>
                <w:rFonts w:ascii="仿宋_GB2312" w:hAnsi="Times New Roman" w:hint="eastAsia"/>
                <w:sz w:val="20"/>
                <w:szCs w:val="20"/>
              </w:rPr>
              <w:t>掌握建筑工程定额计价方法。</w:t>
            </w:r>
          </w:p>
        </w:tc>
      </w:tr>
      <w:tr w:rsidR="00876C31" w:rsidTr="00BE5664">
        <w:trPr>
          <w:trHeight w:val="555"/>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3</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第3章</w:t>
            </w:r>
          </w:p>
          <w:p w:rsidR="00876C31" w:rsidRDefault="00876C31" w:rsidP="00BE5664">
            <w:pPr>
              <w:rPr>
                <w:rFonts w:ascii="仿宋_GB2312" w:hAnsi="Times New Roman"/>
                <w:sz w:val="20"/>
                <w:szCs w:val="20"/>
              </w:rPr>
            </w:pPr>
            <w:r>
              <w:rPr>
                <w:rFonts w:ascii="仿宋_GB2312" w:hAnsi="Times New Roman" w:hint="eastAsia"/>
                <w:sz w:val="20"/>
                <w:szCs w:val="20"/>
              </w:rPr>
              <w:t>分部分项工程量清单编制与清单工程量计算</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8</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工程量清单编制</w:t>
            </w:r>
          </w:p>
          <w:p w:rsidR="00876C31" w:rsidRDefault="00876C31" w:rsidP="00BE5664">
            <w:pPr>
              <w:rPr>
                <w:rFonts w:ascii="仿宋_GB2312" w:hAnsi="Times New Roman"/>
                <w:sz w:val="20"/>
                <w:szCs w:val="20"/>
              </w:rPr>
            </w:pPr>
            <w:r>
              <w:rPr>
                <w:rFonts w:ascii="仿宋_GB2312" w:hAnsi="Times New Roman" w:hint="eastAsia"/>
                <w:sz w:val="20"/>
                <w:szCs w:val="20"/>
              </w:rPr>
              <w:t>建筑工程分部分项工程量计算及其清单编制</w:t>
            </w:r>
          </w:p>
          <w:p w:rsidR="00876C31" w:rsidRDefault="00876C31" w:rsidP="00BE5664">
            <w:pPr>
              <w:rPr>
                <w:rFonts w:ascii="仿宋_GB2312" w:hAnsi="Times New Roman"/>
                <w:sz w:val="20"/>
                <w:szCs w:val="20"/>
              </w:rPr>
            </w:pPr>
            <w:r>
              <w:rPr>
                <w:rFonts w:ascii="仿宋_GB2312" w:hAnsi="Times New Roman" w:hint="eastAsia"/>
                <w:sz w:val="20"/>
                <w:szCs w:val="20"/>
              </w:rPr>
              <w:t>装饰装修分部分项工程量计算及其清单编制</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了解工程量清单及其作用；</w:t>
            </w:r>
          </w:p>
          <w:p w:rsidR="00876C31" w:rsidRDefault="00876C31" w:rsidP="00BE5664">
            <w:pPr>
              <w:rPr>
                <w:rFonts w:ascii="仿宋_GB2312" w:hAnsi="Times New Roman"/>
                <w:sz w:val="20"/>
                <w:szCs w:val="20"/>
              </w:rPr>
            </w:pPr>
            <w:r>
              <w:rPr>
                <w:rFonts w:ascii="仿宋_GB2312" w:hAnsi="Times New Roman" w:hint="eastAsia"/>
                <w:sz w:val="20"/>
                <w:szCs w:val="20"/>
              </w:rPr>
              <w:t>掌握建筑工程分部分项工程量计算及其清单编制；</w:t>
            </w:r>
          </w:p>
          <w:p w:rsidR="00876C31" w:rsidRDefault="00876C31" w:rsidP="00BE5664">
            <w:pPr>
              <w:rPr>
                <w:rFonts w:ascii="仿宋_GB2312" w:hAnsi="Times New Roman"/>
                <w:sz w:val="20"/>
                <w:szCs w:val="20"/>
              </w:rPr>
            </w:pPr>
            <w:r>
              <w:rPr>
                <w:rFonts w:ascii="仿宋_GB2312" w:hAnsi="Times New Roman" w:hint="eastAsia"/>
                <w:sz w:val="20"/>
                <w:szCs w:val="20"/>
              </w:rPr>
              <w:t>掌握装饰装修分部分项工程量计算及其清单编制。</w:t>
            </w:r>
          </w:p>
        </w:tc>
      </w:tr>
      <w:tr w:rsidR="00876C31" w:rsidTr="00BE5664">
        <w:trPr>
          <w:trHeight w:val="1307"/>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4</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第4章</w:t>
            </w:r>
          </w:p>
          <w:p w:rsidR="00876C31" w:rsidRDefault="00876C31" w:rsidP="00BE5664">
            <w:pPr>
              <w:rPr>
                <w:rFonts w:ascii="仿宋_GB2312" w:hAnsi="Times New Roman"/>
                <w:sz w:val="20"/>
                <w:szCs w:val="20"/>
              </w:rPr>
            </w:pPr>
            <w:r>
              <w:rPr>
                <w:rFonts w:ascii="仿宋_GB2312" w:hAnsi="Times New Roman" w:hint="eastAsia"/>
                <w:sz w:val="20"/>
                <w:szCs w:val="20"/>
              </w:rPr>
              <w:t>措施项目及其他项目清单编制</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3</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措施项目工程量计算与清单编制</w:t>
            </w:r>
          </w:p>
          <w:p w:rsidR="00876C31" w:rsidRDefault="00876C31" w:rsidP="00BE5664">
            <w:pPr>
              <w:rPr>
                <w:rFonts w:ascii="仿宋_GB2312" w:hAnsi="Times New Roman"/>
                <w:sz w:val="20"/>
                <w:szCs w:val="20"/>
              </w:rPr>
            </w:pPr>
            <w:r>
              <w:rPr>
                <w:rFonts w:ascii="仿宋_GB2312" w:hAnsi="Times New Roman" w:hint="eastAsia"/>
                <w:sz w:val="20"/>
                <w:szCs w:val="20"/>
              </w:rPr>
              <w:t>其他项目清单编制</w:t>
            </w:r>
          </w:p>
          <w:p w:rsidR="00876C31" w:rsidRDefault="00876C31" w:rsidP="00BE5664">
            <w:pPr>
              <w:rPr>
                <w:rFonts w:ascii="仿宋_GB2312" w:hAnsi="Times New Roman"/>
                <w:sz w:val="20"/>
                <w:szCs w:val="20"/>
              </w:rPr>
            </w:pPr>
            <w:r>
              <w:rPr>
                <w:rFonts w:ascii="仿宋_GB2312" w:hAnsi="Times New Roman" w:hint="eastAsia"/>
                <w:sz w:val="20"/>
                <w:szCs w:val="20"/>
              </w:rPr>
              <w:t>规费、税金项目清单编制</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了解措施项目、其他项目的种类；</w:t>
            </w:r>
          </w:p>
          <w:p w:rsidR="00876C31" w:rsidRDefault="00876C31" w:rsidP="00BE5664">
            <w:pPr>
              <w:rPr>
                <w:rFonts w:ascii="仿宋_GB2312" w:hAnsi="Times New Roman"/>
                <w:sz w:val="20"/>
                <w:szCs w:val="20"/>
              </w:rPr>
            </w:pPr>
            <w:r>
              <w:rPr>
                <w:rFonts w:ascii="仿宋_GB2312" w:hAnsi="Times New Roman" w:hint="eastAsia"/>
                <w:sz w:val="20"/>
                <w:szCs w:val="20"/>
              </w:rPr>
              <w:t>掌握措施项目工程量计算与清单编制；</w:t>
            </w:r>
          </w:p>
          <w:p w:rsidR="00876C31" w:rsidRDefault="00876C31" w:rsidP="00BE5664">
            <w:pPr>
              <w:rPr>
                <w:rFonts w:ascii="仿宋_GB2312" w:hAnsi="Times New Roman"/>
                <w:sz w:val="20"/>
                <w:szCs w:val="20"/>
              </w:rPr>
            </w:pPr>
            <w:r>
              <w:rPr>
                <w:rFonts w:ascii="仿宋_GB2312" w:hAnsi="Times New Roman" w:hint="eastAsia"/>
                <w:sz w:val="20"/>
                <w:szCs w:val="20"/>
              </w:rPr>
              <w:t>掌握其他项目清单编制；</w:t>
            </w:r>
          </w:p>
          <w:p w:rsidR="00876C31" w:rsidRDefault="00876C31" w:rsidP="00BE5664">
            <w:pPr>
              <w:rPr>
                <w:rFonts w:ascii="仿宋_GB2312" w:hAnsi="Times New Roman"/>
                <w:sz w:val="20"/>
                <w:szCs w:val="20"/>
              </w:rPr>
            </w:pPr>
            <w:r>
              <w:rPr>
                <w:rFonts w:ascii="仿宋_GB2312" w:hAnsi="Times New Roman" w:hint="eastAsia"/>
                <w:sz w:val="20"/>
                <w:szCs w:val="20"/>
              </w:rPr>
              <w:t>掌握规费、税金项目清单编制。</w:t>
            </w:r>
          </w:p>
        </w:tc>
      </w:tr>
      <w:tr w:rsidR="00876C31" w:rsidTr="00BE5664">
        <w:trPr>
          <w:trHeight w:val="1059"/>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lastRenderedPageBreak/>
              <w:t>5</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第5章</w:t>
            </w:r>
          </w:p>
          <w:p w:rsidR="00876C31" w:rsidRDefault="00876C31" w:rsidP="00BE5664">
            <w:pPr>
              <w:rPr>
                <w:rFonts w:ascii="仿宋_GB2312" w:hAnsi="Times New Roman"/>
                <w:sz w:val="20"/>
                <w:szCs w:val="20"/>
              </w:rPr>
            </w:pPr>
            <w:r>
              <w:rPr>
                <w:rFonts w:ascii="仿宋_GB2312" w:hAnsi="Times New Roman" w:hint="eastAsia"/>
                <w:sz w:val="20"/>
                <w:szCs w:val="20"/>
              </w:rPr>
              <w:t>建筑工程工程量清单计价</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工程量清单计价概述</w:t>
            </w:r>
          </w:p>
          <w:p w:rsidR="00876C31" w:rsidRDefault="00876C31" w:rsidP="00BE5664">
            <w:pPr>
              <w:rPr>
                <w:rFonts w:ascii="仿宋_GB2312" w:hAnsi="Times New Roman"/>
                <w:sz w:val="20"/>
                <w:szCs w:val="20"/>
              </w:rPr>
            </w:pPr>
            <w:r>
              <w:rPr>
                <w:rFonts w:ascii="仿宋_GB2312" w:hAnsi="Times New Roman" w:hint="eastAsia"/>
                <w:sz w:val="20"/>
                <w:szCs w:val="20"/>
              </w:rPr>
              <w:t>工程量清单招标控制价的编制</w:t>
            </w:r>
          </w:p>
          <w:p w:rsidR="00876C31" w:rsidRDefault="00876C31" w:rsidP="00BE5664">
            <w:pPr>
              <w:rPr>
                <w:rFonts w:ascii="仿宋_GB2312" w:hAnsi="Times New Roman"/>
                <w:sz w:val="20"/>
                <w:szCs w:val="20"/>
              </w:rPr>
            </w:pPr>
            <w:r>
              <w:rPr>
                <w:rFonts w:ascii="仿宋_GB2312" w:hAnsi="Times New Roman" w:hint="eastAsia"/>
                <w:sz w:val="20"/>
                <w:szCs w:val="20"/>
              </w:rPr>
              <w:t>工程量清单投标报价的编制</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掌握工程量清单招标控制价的编制；</w:t>
            </w:r>
          </w:p>
          <w:p w:rsidR="00876C31" w:rsidRDefault="00876C31" w:rsidP="00BE5664">
            <w:pPr>
              <w:rPr>
                <w:rFonts w:ascii="仿宋_GB2312" w:hAnsi="Times New Roman"/>
                <w:sz w:val="20"/>
                <w:szCs w:val="20"/>
              </w:rPr>
            </w:pPr>
            <w:r>
              <w:rPr>
                <w:rFonts w:ascii="仿宋_GB2312" w:hAnsi="Times New Roman" w:hint="eastAsia"/>
                <w:sz w:val="20"/>
                <w:szCs w:val="20"/>
              </w:rPr>
              <w:t>掌握工程量清单投标报价的编制。</w:t>
            </w:r>
          </w:p>
        </w:tc>
      </w:tr>
      <w:tr w:rsidR="00876C31" w:rsidTr="00BE5664">
        <w:trPr>
          <w:trHeight w:val="248"/>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6</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第6章</w:t>
            </w:r>
          </w:p>
          <w:p w:rsidR="00876C31" w:rsidRDefault="00876C31" w:rsidP="00BE5664">
            <w:pPr>
              <w:rPr>
                <w:rFonts w:ascii="仿宋_GB2312" w:hAnsi="Times New Roman"/>
                <w:sz w:val="20"/>
                <w:szCs w:val="20"/>
              </w:rPr>
            </w:pPr>
            <w:r>
              <w:rPr>
                <w:rFonts w:ascii="仿宋_GB2312" w:hAnsi="Times New Roman" w:hint="eastAsia"/>
                <w:sz w:val="20"/>
                <w:szCs w:val="20"/>
              </w:rPr>
              <w:t>工程价款结算</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3</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工程价款结算概述</w:t>
            </w:r>
          </w:p>
          <w:p w:rsidR="00876C31" w:rsidRDefault="00876C31" w:rsidP="00BE5664">
            <w:pPr>
              <w:rPr>
                <w:rFonts w:ascii="仿宋_GB2312" w:hAnsi="Times New Roman"/>
                <w:sz w:val="20"/>
                <w:szCs w:val="20"/>
              </w:rPr>
            </w:pPr>
            <w:r>
              <w:rPr>
                <w:rFonts w:ascii="仿宋_GB2312" w:hAnsi="Times New Roman" w:hint="eastAsia"/>
                <w:sz w:val="20"/>
                <w:szCs w:val="20"/>
              </w:rPr>
              <w:t>工程预付款结算</w:t>
            </w:r>
          </w:p>
          <w:p w:rsidR="00876C31" w:rsidRDefault="00876C31" w:rsidP="00BE5664">
            <w:pPr>
              <w:rPr>
                <w:rFonts w:ascii="仿宋_GB2312" w:hAnsi="Times New Roman"/>
                <w:sz w:val="20"/>
                <w:szCs w:val="20"/>
              </w:rPr>
            </w:pPr>
            <w:r>
              <w:rPr>
                <w:rFonts w:ascii="仿宋_GB2312" w:hAnsi="Times New Roman" w:hint="eastAsia"/>
                <w:sz w:val="20"/>
                <w:szCs w:val="20"/>
              </w:rPr>
              <w:t>工程进度款结算</w:t>
            </w:r>
          </w:p>
          <w:p w:rsidR="00876C31" w:rsidRDefault="00876C31" w:rsidP="00BE5664">
            <w:pPr>
              <w:rPr>
                <w:rFonts w:ascii="仿宋_GB2312" w:hAnsi="Times New Roman"/>
                <w:sz w:val="20"/>
                <w:szCs w:val="20"/>
              </w:rPr>
            </w:pPr>
            <w:r>
              <w:rPr>
                <w:rFonts w:ascii="仿宋_GB2312" w:hAnsi="Times New Roman" w:hint="eastAsia"/>
                <w:sz w:val="20"/>
                <w:szCs w:val="20"/>
              </w:rPr>
              <w:t>工程竣工结算</w:t>
            </w:r>
          </w:p>
          <w:p w:rsidR="00876C31" w:rsidRDefault="00876C31" w:rsidP="00BE5664">
            <w:pPr>
              <w:rPr>
                <w:rFonts w:ascii="仿宋_GB2312" w:hAnsi="Times New Roman"/>
                <w:sz w:val="20"/>
                <w:szCs w:val="20"/>
              </w:rPr>
            </w:pPr>
            <w:r>
              <w:rPr>
                <w:rFonts w:ascii="仿宋_GB2312" w:hAnsi="Times New Roman" w:hint="eastAsia"/>
                <w:sz w:val="20"/>
                <w:szCs w:val="20"/>
              </w:rPr>
              <w:t>合同价款的约定与调整</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掌握工程预付款结算；</w:t>
            </w:r>
          </w:p>
          <w:p w:rsidR="00876C31" w:rsidRDefault="00876C31" w:rsidP="00BE5664">
            <w:pPr>
              <w:rPr>
                <w:rFonts w:ascii="仿宋_GB2312" w:hAnsi="Times New Roman"/>
                <w:sz w:val="20"/>
                <w:szCs w:val="20"/>
              </w:rPr>
            </w:pPr>
            <w:r>
              <w:rPr>
                <w:rFonts w:ascii="仿宋_GB2312" w:hAnsi="Times New Roman" w:hint="eastAsia"/>
                <w:sz w:val="20"/>
                <w:szCs w:val="20"/>
              </w:rPr>
              <w:t>掌握工程进度款结算；</w:t>
            </w:r>
          </w:p>
          <w:p w:rsidR="00876C31" w:rsidRDefault="00876C31" w:rsidP="00BE5664">
            <w:pPr>
              <w:rPr>
                <w:rFonts w:ascii="仿宋_GB2312" w:hAnsi="Times New Roman"/>
                <w:sz w:val="20"/>
                <w:szCs w:val="20"/>
              </w:rPr>
            </w:pPr>
            <w:r>
              <w:rPr>
                <w:rFonts w:ascii="仿宋_GB2312" w:hAnsi="Times New Roman" w:hint="eastAsia"/>
                <w:sz w:val="20"/>
                <w:szCs w:val="20"/>
              </w:rPr>
              <w:t>掌握工程竣工结算；</w:t>
            </w:r>
          </w:p>
          <w:p w:rsidR="00876C31" w:rsidRDefault="00876C31" w:rsidP="00BE5664">
            <w:pPr>
              <w:rPr>
                <w:rFonts w:ascii="仿宋_GB2312" w:hAnsi="Times New Roman"/>
                <w:sz w:val="20"/>
                <w:szCs w:val="20"/>
              </w:rPr>
            </w:pPr>
            <w:r>
              <w:rPr>
                <w:rFonts w:ascii="仿宋_GB2312" w:hAnsi="Times New Roman" w:hint="eastAsia"/>
                <w:sz w:val="20"/>
                <w:szCs w:val="20"/>
              </w:rPr>
              <w:t>掌握合同价款的约定与调整。</w:t>
            </w:r>
          </w:p>
        </w:tc>
      </w:tr>
      <w:tr w:rsidR="00876C31" w:rsidTr="00BE5664">
        <w:trPr>
          <w:trHeight w:val="555"/>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7</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第7章</w:t>
            </w:r>
          </w:p>
          <w:p w:rsidR="00876C31" w:rsidRDefault="00876C31" w:rsidP="00BE5664">
            <w:pPr>
              <w:rPr>
                <w:rFonts w:ascii="仿宋_GB2312" w:hAnsi="Times New Roman"/>
                <w:sz w:val="20"/>
                <w:szCs w:val="20"/>
              </w:rPr>
            </w:pPr>
            <w:r>
              <w:rPr>
                <w:rFonts w:ascii="仿宋_GB2312" w:hAnsi="Times New Roman" w:hint="eastAsia"/>
                <w:sz w:val="20"/>
                <w:szCs w:val="20"/>
              </w:rPr>
              <w:t>工程造价审计</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自学</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工程造价审计概述</w:t>
            </w:r>
          </w:p>
          <w:p w:rsidR="00876C31" w:rsidRDefault="00876C31" w:rsidP="00BE5664">
            <w:pPr>
              <w:rPr>
                <w:rFonts w:ascii="仿宋_GB2312" w:hAnsi="Times New Roman"/>
                <w:sz w:val="20"/>
                <w:szCs w:val="20"/>
              </w:rPr>
            </w:pPr>
            <w:r>
              <w:rPr>
                <w:rFonts w:ascii="仿宋_GB2312" w:hAnsi="Times New Roman" w:hint="eastAsia"/>
                <w:sz w:val="20"/>
                <w:szCs w:val="20"/>
              </w:rPr>
              <w:t>施工图预算审计</w:t>
            </w:r>
          </w:p>
          <w:p w:rsidR="00876C31" w:rsidRDefault="00876C31" w:rsidP="00BE5664">
            <w:pPr>
              <w:rPr>
                <w:rFonts w:ascii="仿宋_GB2312" w:hAnsi="Times New Roman"/>
                <w:sz w:val="20"/>
                <w:szCs w:val="20"/>
              </w:rPr>
            </w:pPr>
            <w:r>
              <w:rPr>
                <w:rFonts w:ascii="仿宋_GB2312" w:hAnsi="Times New Roman" w:hint="eastAsia"/>
                <w:sz w:val="20"/>
                <w:szCs w:val="20"/>
              </w:rPr>
              <w:t>工程结算审计</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了解工程造价审计的目的及意义；</w:t>
            </w:r>
          </w:p>
          <w:p w:rsidR="00876C31" w:rsidRDefault="00876C31" w:rsidP="00BE5664">
            <w:pPr>
              <w:rPr>
                <w:rFonts w:ascii="仿宋_GB2312" w:hAnsi="Times New Roman"/>
                <w:sz w:val="20"/>
                <w:szCs w:val="20"/>
              </w:rPr>
            </w:pPr>
            <w:r>
              <w:rPr>
                <w:rFonts w:ascii="仿宋_GB2312" w:hAnsi="Times New Roman" w:hint="eastAsia"/>
                <w:sz w:val="20"/>
                <w:szCs w:val="20"/>
              </w:rPr>
              <w:t>熟悉施工图预算审计；</w:t>
            </w:r>
          </w:p>
          <w:p w:rsidR="00876C31" w:rsidRDefault="00876C31" w:rsidP="00BE5664">
            <w:pPr>
              <w:rPr>
                <w:rFonts w:ascii="仿宋_GB2312" w:hAnsi="Times New Roman"/>
                <w:sz w:val="20"/>
                <w:szCs w:val="20"/>
              </w:rPr>
            </w:pPr>
            <w:r>
              <w:rPr>
                <w:rFonts w:ascii="仿宋_GB2312" w:hAnsi="Times New Roman" w:hint="eastAsia"/>
                <w:sz w:val="20"/>
                <w:szCs w:val="20"/>
              </w:rPr>
              <w:t>熟悉工程结算审计。</w:t>
            </w:r>
          </w:p>
        </w:tc>
      </w:tr>
      <w:tr w:rsidR="00876C31" w:rsidTr="00BE5664">
        <w:trPr>
          <w:trHeight w:val="555"/>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8</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第8章</w:t>
            </w:r>
          </w:p>
          <w:p w:rsidR="00876C31" w:rsidRDefault="00876C31" w:rsidP="00BE5664">
            <w:pPr>
              <w:rPr>
                <w:rFonts w:ascii="仿宋_GB2312" w:hAnsi="Times New Roman"/>
                <w:sz w:val="20"/>
                <w:szCs w:val="20"/>
              </w:rPr>
            </w:pPr>
            <w:r>
              <w:rPr>
                <w:rFonts w:ascii="仿宋_GB2312" w:hAnsi="Times New Roman" w:hint="eastAsia"/>
                <w:sz w:val="20"/>
                <w:szCs w:val="20"/>
              </w:rPr>
              <w:t>工程计量与计价电算化</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自学</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工程计量与计价软件概述</w:t>
            </w:r>
          </w:p>
          <w:p w:rsidR="00876C31" w:rsidRDefault="00876C31" w:rsidP="00BE5664">
            <w:pPr>
              <w:rPr>
                <w:rFonts w:ascii="仿宋_GB2312" w:hAnsi="Times New Roman"/>
                <w:sz w:val="20"/>
                <w:szCs w:val="20"/>
              </w:rPr>
            </w:pPr>
            <w:r>
              <w:rPr>
                <w:rFonts w:ascii="仿宋_GB2312" w:hAnsi="Times New Roman" w:hint="eastAsia"/>
                <w:sz w:val="20"/>
                <w:szCs w:val="20"/>
              </w:rPr>
              <w:t>图形算量软件</w:t>
            </w:r>
          </w:p>
          <w:p w:rsidR="00876C31" w:rsidRDefault="00876C31" w:rsidP="00BE5664">
            <w:pPr>
              <w:rPr>
                <w:rFonts w:ascii="仿宋_GB2312" w:hAnsi="Times New Roman"/>
                <w:sz w:val="20"/>
                <w:szCs w:val="20"/>
              </w:rPr>
            </w:pPr>
            <w:r>
              <w:rPr>
                <w:rFonts w:ascii="仿宋_GB2312" w:hAnsi="Times New Roman" w:hint="eastAsia"/>
                <w:sz w:val="20"/>
                <w:szCs w:val="20"/>
              </w:rPr>
              <w:t>钢筋抽样软件</w:t>
            </w:r>
          </w:p>
          <w:p w:rsidR="00876C31" w:rsidRDefault="00876C31" w:rsidP="00BE5664">
            <w:pPr>
              <w:rPr>
                <w:rFonts w:ascii="仿宋_GB2312" w:hAnsi="Times New Roman"/>
                <w:sz w:val="20"/>
                <w:szCs w:val="20"/>
              </w:rPr>
            </w:pPr>
            <w:r>
              <w:rPr>
                <w:rFonts w:ascii="仿宋_GB2312" w:hAnsi="Times New Roman" w:hint="eastAsia"/>
                <w:sz w:val="20"/>
                <w:szCs w:val="20"/>
              </w:rPr>
              <w:t>清单计价软件</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了解各种算量软件的应用。</w:t>
            </w:r>
          </w:p>
        </w:tc>
      </w:tr>
    </w:tbl>
    <w:p w:rsidR="00876C31" w:rsidRDefault="00876C31" w:rsidP="00876C31">
      <w:pPr>
        <w:spacing w:beforeLines="50" w:before="156" w:line="360" w:lineRule="auto"/>
        <w:outlineLvl w:val="0"/>
        <w:rPr>
          <w:rFonts w:ascii="Times New Roman" w:eastAsia="黑体" w:hAnsi="Times New Roman"/>
          <w:b/>
          <w:sz w:val="28"/>
          <w:szCs w:val="28"/>
        </w:rPr>
      </w:pPr>
      <w:r>
        <w:rPr>
          <w:rFonts w:ascii="Times New Roman" w:eastAsia="黑体" w:hAnsi="Times New Roman"/>
          <w:b/>
          <w:sz w:val="28"/>
          <w:szCs w:val="28"/>
        </w:rPr>
        <w:t>五、课程考核和评价方式</w:t>
      </w:r>
    </w:p>
    <w:p w:rsidR="00876C31" w:rsidRPr="00104F36" w:rsidRDefault="00876C31" w:rsidP="00876C31">
      <w:pPr>
        <w:spacing w:line="360" w:lineRule="auto"/>
        <w:ind w:firstLineChars="200" w:firstLine="562"/>
        <w:rPr>
          <w:rFonts w:ascii="仿宋_GB2312" w:hAnsi="Times New Roman"/>
          <w:b/>
          <w:sz w:val="28"/>
          <w:szCs w:val="28"/>
        </w:rPr>
      </w:pPr>
      <w:r w:rsidRPr="00104F36">
        <w:rPr>
          <w:rFonts w:ascii="仿宋_GB2312" w:hAnsi="Times New Roman" w:hint="eastAsia"/>
          <w:b/>
          <w:sz w:val="28"/>
          <w:szCs w:val="28"/>
        </w:rPr>
        <w:t>1.课程考核</w:t>
      </w:r>
    </w:p>
    <w:p w:rsidR="00876C31" w:rsidRDefault="00876C31" w:rsidP="00876C31">
      <w:pPr>
        <w:spacing w:line="360" w:lineRule="auto"/>
        <w:ind w:firstLineChars="200" w:firstLine="560"/>
        <w:jc w:val="left"/>
        <w:rPr>
          <w:rFonts w:ascii="仿宋_GB2312" w:hAnsi="Times New Roman"/>
          <w:sz w:val="28"/>
          <w:szCs w:val="28"/>
        </w:rPr>
      </w:pPr>
      <w:r>
        <w:rPr>
          <w:rFonts w:ascii="仿宋_GB2312" w:hAnsi="Times New Roman" w:hint="eastAsia"/>
          <w:sz w:val="28"/>
          <w:szCs w:val="28"/>
        </w:rPr>
        <w:t>本课程不设课外学时，采用平时成绩+期末考试方式确定总评成绩，其中平时成绩考核包括作业、课堂表现、出勤等内容，期末考试采用考察方式（百分制）。平时成绩占30%，期末考试成绩占70%。</w:t>
      </w:r>
    </w:p>
    <w:p w:rsidR="00876C31" w:rsidRPr="00104F36" w:rsidRDefault="00876C31" w:rsidP="00876C31">
      <w:pPr>
        <w:spacing w:line="360" w:lineRule="auto"/>
        <w:ind w:firstLineChars="200" w:firstLine="562"/>
        <w:rPr>
          <w:rStyle w:val="fontstyle01"/>
          <w:rFonts w:ascii="仿宋_GB2312" w:hAnsi="Times New Roman" w:cs="Times New Roman" w:hint="default"/>
          <w:b/>
          <w:sz w:val="28"/>
          <w:szCs w:val="28"/>
        </w:rPr>
      </w:pPr>
      <w:r w:rsidRPr="00104F36">
        <w:rPr>
          <w:rFonts w:ascii="仿宋_GB2312" w:hAnsi="Times New Roman" w:hint="eastAsia"/>
          <w:b/>
          <w:sz w:val="28"/>
          <w:szCs w:val="28"/>
        </w:rPr>
        <w:t>2.成绩评定</w:t>
      </w:r>
    </w:p>
    <w:p w:rsidR="00876C31" w:rsidRPr="00104F36" w:rsidRDefault="00876C31" w:rsidP="00876C31">
      <w:pPr>
        <w:spacing w:line="360" w:lineRule="auto"/>
        <w:ind w:firstLineChars="200" w:firstLine="560"/>
        <w:rPr>
          <w:rFonts w:ascii="仿宋_GB2312" w:hAnsi="Times New Roman"/>
          <w:sz w:val="28"/>
          <w:szCs w:val="28"/>
        </w:rPr>
      </w:pPr>
      <w:r w:rsidRPr="00104F36">
        <w:rPr>
          <w:rFonts w:ascii="仿宋_GB2312" w:hAnsi="Times New Roman"/>
          <w:sz w:val="28"/>
          <w:szCs w:val="28"/>
        </w:rPr>
        <w:t>课程总成绩=期末成绩</w:t>
      </w:r>
      <w:r w:rsidRPr="00104F36">
        <w:rPr>
          <w:rFonts w:ascii="仿宋_GB2312" w:hAnsi="Times New Roman" w:hint="eastAsia"/>
          <w:sz w:val="28"/>
          <w:szCs w:val="28"/>
        </w:rPr>
        <w:t>70%+平时</w:t>
      </w:r>
      <w:r w:rsidRPr="00104F36">
        <w:rPr>
          <w:rFonts w:ascii="仿宋_GB2312" w:hAnsi="Times New Roman"/>
          <w:sz w:val="28"/>
          <w:szCs w:val="28"/>
        </w:rPr>
        <w:t>成绩30</w:t>
      </w:r>
      <w:r w:rsidRPr="00104F36">
        <w:rPr>
          <w:rFonts w:ascii="仿宋_GB2312" w:hAnsi="Times New Roman" w:hint="eastAsia"/>
          <w:sz w:val="28"/>
          <w:szCs w:val="28"/>
        </w:rPr>
        <w:t>%。</w:t>
      </w:r>
    </w:p>
    <w:p w:rsidR="00876C31" w:rsidRPr="00104F36" w:rsidRDefault="00876C31" w:rsidP="00876C31">
      <w:pPr>
        <w:spacing w:line="360" w:lineRule="auto"/>
        <w:ind w:firstLineChars="200" w:firstLine="560"/>
        <w:rPr>
          <w:rFonts w:ascii="仿宋_GB2312" w:hAnsi="Times New Roman"/>
          <w:sz w:val="28"/>
          <w:szCs w:val="28"/>
        </w:rPr>
      </w:pPr>
      <w:r w:rsidRPr="00104F36">
        <w:rPr>
          <w:rFonts w:ascii="仿宋_GB2312" w:hAnsi="Times New Roman" w:hint="eastAsia"/>
          <w:sz w:val="28"/>
          <w:szCs w:val="28"/>
        </w:rPr>
        <w:t>（1）试题评分标准</w:t>
      </w:r>
    </w:p>
    <w:p w:rsidR="00876C31" w:rsidRPr="00104F36" w:rsidRDefault="00876C31" w:rsidP="00876C31">
      <w:pPr>
        <w:spacing w:line="360" w:lineRule="auto"/>
        <w:ind w:firstLineChars="200" w:firstLine="560"/>
        <w:rPr>
          <w:rFonts w:ascii="仿宋_GB2312" w:hAnsi="Times New Roman"/>
          <w:sz w:val="28"/>
          <w:szCs w:val="28"/>
        </w:rPr>
      </w:pPr>
      <w:r w:rsidRPr="00104F36">
        <w:rPr>
          <w:rFonts w:ascii="仿宋_GB2312" w:hAnsi="Times New Roman" w:hint="eastAsia"/>
          <w:sz w:val="28"/>
          <w:szCs w:val="28"/>
        </w:rPr>
        <w:t>客观题根据题目的正确率判定评分，主观题参考作业评分标准。</w:t>
      </w:r>
    </w:p>
    <w:p w:rsidR="00876C31" w:rsidRPr="00104F36" w:rsidRDefault="00876C31" w:rsidP="00876C31">
      <w:pPr>
        <w:autoSpaceDE w:val="0"/>
        <w:autoSpaceDN w:val="0"/>
        <w:adjustRightInd w:val="0"/>
        <w:spacing w:afterLines="50" w:after="156"/>
        <w:ind w:firstLineChars="200" w:firstLine="560"/>
        <w:jc w:val="left"/>
        <w:rPr>
          <w:rFonts w:ascii="仿宋_GB2312" w:hAnsi="Times New Roman"/>
          <w:sz w:val="28"/>
          <w:szCs w:val="28"/>
        </w:rPr>
      </w:pPr>
      <w:r w:rsidRPr="00104F36">
        <w:rPr>
          <w:rFonts w:ascii="仿宋_GB2312" w:hAnsi="Times New Roman" w:hint="eastAsia"/>
          <w:sz w:val="28"/>
          <w:szCs w:val="28"/>
        </w:rPr>
        <w:t>（2）作业评分标准</w:t>
      </w:r>
    </w:p>
    <w:tbl>
      <w:tblPr>
        <w:tblW w:w="8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1753"/>
        <w:gridCol w:w="1754"/>
        <w:gridCol w:w="1754"/>
        <w:gridCol w:w="1754"/>
      </w:tblGrid>
      <w:tr w:rsidR="00876C31" w:rsidTr="00BE5664">
        <w:trPr>
          <w:trHeight w:val="301"/>
          <w:jc w:val="center"/>
        </w:trPr>
        <w:tc>
          <w:tcPr>
            <w:tcW w:w="1753"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3"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86-100分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71-85分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50-70分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0-49分</w:t>
            </w:r>
          </w:p>
        </w:tc>
      </w:tr>
      <w:tr w:rsidR="00876C31" w:rsidTr="00BE5664">
        <w:trPr>
          <w:trHeight w:val="399"/>
          <w:jc w:val="center"/>
        </w:trPr>
        <w:tc>
          <w:tcPr>
            <w:tcW w:w="1753"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作业完成态度</w:t>
            </w:r>
          </w:p>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（权重0.2）</w:t>
            </w:r>
          </w:p>
        </w:tc>
        <w:tc>
          <w:tcPr>
            <w:tcW w:w="1753"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非常认真</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较认真</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Style w:val="fontstyle11"/>
                <w:rFonts w:ascii="仿宋_GB2312" w:hint="eastAsia"/>
                <w:sz w:val="20"/>
                <w:szCs w:val="20"/>
              </w:rPr>
              <w:t>一般认真</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Style w:val="fontstyle11"/>
                <w:rFonts w:ascii="仿宋_GB2312" w:hint="eastAsia"/>
                <w:sz w:val="20"/>
                <w:szCs w:val="20"/>
              </w:rPr>
              <w:t>不认真</w:t>
            </w:r>
          </w:p>
        </w:tc>
      </w:tr>
      <w:tr w:rsidR="00876C31" w:rsidTr="00BE5664">
        <w:trPr>
          <w:trHeight w:val="399"/>
          <w:jc w:val="center"/>
        </w:trPr>
        <w:tc>
          <w:tcPr>
            <w:tcW w:w="1753"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lastRenderedPageBreak/>
              <w:t>作业完成正确率</w:t>
            </w:r>
          </w:p>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（权重0.8）</w:t>
            </w:r>
          </w:p>
        </w:tc>
        <w:tc>
          <w:tcPr>
            <w:tcW w:w="1753"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正确率达86%以上</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正确率达71%以上</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正确率达50%以上</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正确率低于50%</w:t>
            </w:r>
          </w:p>
        </w:tc>
      </w:tr>
    </w:tbl>
    <w:p w:rsidR="00876C31" w:rsidRDefault="00876C31" w:rsidP="00876C31">
      <w:pPr>
        <w:autoSpaceDE w:val="0"/>
        <w:autoSpaceDN w:val="0"/>
        <w:adjustRightInd w:val="0"/>
        <w:spacing w:beforeLines="50" w:before="156" w:afterLines="50" w:after="156"/>
        <w:ind w:firstLineChars="200" w:firstLine="560"/>
        <w:jc w:val="left"/>
        <w:rPr>
          <w:rFonts w:ascii="仿宋_GB2312" w:hAnsi="Times New Roman" w:cs="仿宋_GB2312"/>
          <w:kern w:val="0"/>
          <w:sz w:val="28"/>
          <w:szCs w:val="28"/>
        </w:rPr>
      </w:pPr>
      <w:r>
        <w:rPr>
          <w:rFonts w:ascii="仿宋_GB2312" w:hAnsi="Times New Roman" w:cs="仿宋_GB2312" w:hint="eastAsia"/>
          <w:kern w:val="0"/>
          <w:sz w:val="28"/>
          <w:szCs w:val="28"/>
        </w:rPr>
        <w:t>（3）课堂表现评分标准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876C31" w:rsidTr="00BE5664">
        <w:trPr>
          <w:trHeight w:val="281"/>
          <w:jc w:val="center"/>
        </w:trPr>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86-100分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71-85分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50-70分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0-49分</w:t>
            </w:r>
          </w:p>
        </w:tc>
      </w:tr>
      <w:tr w:rsidR="00876C31" w:rsidTr="00BE5664">
        <w:trPr>
          <w:trHeight w:val="372"/>
          <w:jc w:val="center"/>
        </w:trPr>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回答问题准确性（权重1.0）</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正确率达86%以上</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正确率达71%以上</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正确率达50%以上</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正确率低于50%</w:t>
            </w:r>
          </w:p>
        </w:tc>
      </w:tr>
    </w:tbl>
    <w:p w:rsidR="00876C31" w:rsidRDefault="00876C31" w:rsidP="00876C31">
      <w:pPr>
        <w:autoSpaceDE w:val="0"/>
        <w:autoSpaceDN w:val="0"/>
        <w:adjustRightInd w:val="0"/>
        <w:spacing w:beforeLines="50" w:before="156" w:afterLines="50" w:after="156"/>
        <w:ind w:firstLineChars="200" w:firstLine="560"/>
        <w:jc w:val="left"/>
        <w:rPr>
          <w:rStyle w:val="fontstyle11"/>
          <w:rFonts w:ascii="仿宋_GB2312"/>
          <w:sz w:val="28"/>
          <w:szCs w:val="28"/>
        </w:rPr>
      </w:pPr>
      <w:r>
        <w:rPr>
          <w:rStyle w:val="fontstyle11"/>
          <w:rFonts w:ascii="仿宋_GB2312" w:hint="eastAsia"/>
          <w:sz w:val="28"/>
          <w:szCs w:val="28"/>
        </w:rPr>
        <w:t>（4）课堂出勤评分标准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876C31" w:rsidTr="00BE5664">
        <w:trPr>
          <w:trHeight w:val="281"/>
          <w:jc w:val="center"/>
        </w:trPr>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81-100分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51-80分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26-50分</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0-25分</w:t>
            </w:r>
          </w:p>
        </w:tc>
      </w:tr>
      <w:tr w:rsidR="00876C31" w:rsidTr="00BE5664">
        <w:trPr>
          <w:trHeight w:val="372"/>
          <w:jc w:val="center"/>
        </w:trPr>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课堂出勤率</w:t>
            </w:r>
          </w:p>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（权重1.0）</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出勤率达81%以上</w:t>
            </w:r>
          </w:p>
        </w:tc>
        <w:tc>
          <w:tcPr>
            <w:tcW w:w="1754" w:type="dxa"/>
            <w:shd w:val="clear" w:color="auto" w:fill="auto"/>
            <w:vAlign w:val="center"/>
          </w:tcPr>
          <w:p w:rsidR="00876C31" w:rsidRDefault="00876C31"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出勤率达51%以上</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出勤率达26%以上</w:t>
            </w:r>
          </w:p>
        </w:tc>
        <w:tc>
          <w:tcPr>
            <w:tcW w:w="1754" w:type="dxa"/>
            <w:shd w:val="clear" w:color="auto" w:fill="auto"/>
            <w:vAlign w:val="center"/>
          </w:tcPr>
          <w:p w:rsidR="00876C31" w:rsidRDefault="00876C31"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正出勤率低于25%</w:t>
            </w:r>
          </w:p>
        </w:tc>
      </w:tr>
    </w:tbl>
    <w:p w:rsidR="00876C31" w:rsidRDefault="00876C31" w:rsidP="00876C31">
      <w:pPr>
        <w:autoSpaceDE w:val="0"/>
        <w:autoSpaceDN w:val="0"/>
        <w:adjustRightInd w:val="0"/>
        <w:ind w:firstLineChars="50" w:firstLine="100"/>
        <w:jc w:val="left"/>
        <w:rPr>
          <w:rFonts w:ascii="仿宋_GB2312" w:hAnsi="Times New Roman" w:cs="仿宋_GB2312"/>
          <w:kern w:val="0"/>
          <w:sz w:val="20"/>
          <w:szCs w:val="20"/>
        </w:rPr>
      </w:pPr>
      <w:r>
        <w:rPr>
          <w:rFonts w:ascii="仿宋_GB2312" w:hAnsi="Times New Roman" w:cs="仿宋_GB2312" w:hint="eastAsia"/>
          <w:kern w:val="0"/>
          <w:sz w:val="20"/>
          <w:szCs w:val="20"/>
        </w:rPr>
        <w:t>注：迟到</w:t>
      </w:r>
      <w:r>
        <w:rPr>
          <w:rFonts w:ascii="仿宋_GB2312" w:hAnsi="Times New Roman" w:cs="仿宋_GB2312"/>
          <w:kern w:val="0"/>
          <w:sz w:val="20"/>
          <w:szCs w:val="20"/>
        </w:rPr>
        <w:t>30</w:t>
      </w:r>
      <w:r>
        <w:rPr>
          <w:rFonts w:ascii="仿宋_GB2312" w:hAnsi="Times New Roman" w:cs="仿宋_GB2312" w:hint="eastAsia"/>
          <w:kern w:val="0"/>
          <w:sz w:val="20"/>
          <w:szCs w:val="20"/>
        </w:rPr>
        <w:t>分钟以上按一次缺勤计</w:t>
      </w:r>
    </w:p>
    <w:p w:rsidR="00876C31" w:rsidRDefault="00876C31" w:rsidP="00876C31">
      <w:pPr>
        <w:spacing w:beforeLines="50" w:before="156" w:afterLines="50" w:after="156" w:line="4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876C31" w:rsidRDefault="00876C31" w:rsidP="00876C31">
      <w:pPr>
        <w:spacing w:line="360" w:lineRule="auto"/>
        <w:ind w:firstLineChars="200" w:firstLine="560"/>
        <w:rPr>
          <w:rFonts w:ascii="仿宋_GB2312" w:hAnsi="Times New Roman"/>
          <w:sz w:val="28"/>
          <w:szCs w:val="28"/>
        </w:rPr>
      </w:pPr>
      <w:r>
        <w:rPr>
          <w:rFonts w:ascii="仿宋_GB2312" w:hAnsi="Times New Roman" w:hint="eastAsia"/>
          <w:sz w:val="28"/>
          <w:szCs w:val="28"/>
        </w:rPr>
        <w:t>1.建议教材</w:t>
      </w:r>
    </w:p>
    <w:p w:rsidR="00876C31" w:rsidRDefault="00876C31" w:rsidP="00876C31">
      <w:pPr>
        <w:spacing w:line="360" w:lineRule="auto"/>
        <w:ind w:firstLineChars="200" w:firstLine="560"/>
        <w:rPr>
          <w:rFonts w:ascii="仿宋_GB2312" w:hAnsi="Times New Roman"/>
          <w:sz w:val="28"/>
          <w:szCs w:val="28"/>
        </w:rPr>
      </w:pPr>
      <w:r>
        <w:rPr>
          <w:rFonts w:ascii="仿宋_GB2312" w:hAnsi="Times New Roman" w:hint="eastAsia"/>
          <w:sz w:val="28"/>
          <w:szCs w:val="28"/>
        </w:rPr>
        <w:t>李建峰. 建筑</w:t>
      </w:r>
      <w:r>
        <w:rPr>
          <w:rFonts w:ascii="仿宋_GB2312" w:hAnsi="Times New Roman"/>
          <w:sz w:val="28"/>
          <w:szCs w:val="28"/>
        </w:rPr>
        <w:t>工程计量与计价</w:t>
      </w:r>
      <w:r>
        <w:rPr>
          <w:rFonts w:ascii="仿宋_GB2312" w:hAnsi="Times New Roman" w:hint="eastAsia"/>
          <w:sz w:val="28"/>
          <w:szCs w:val="28"/>
        </w:rPr>
        <w:t>[M]. 北京：中国机械出版社，2017.</w:t>
      </w:r>
    </w:p>
    <w:p w:rsidR="00876C31" w:rsidRDefault="00876C31" w:rsidP="00876C31">
      <w:pPr>
        <w:spacing w:line="360" w:lineRule="auto"/>
        <w:ind w:firstLineChars="200" w:firstLine="560"/>
        <w:rPr>
          <w:rFonts w:ascii="仿宋_GB2312" w:hAnsi="Times New Roman"/>
          <w:sz w:val="28"/>
          <w:szCs w:val="28"/>
        </w:rPr>
      </w:pPr>
      <w:r>
        <w:rPr>
          <w:rFonts w:ascii="仿宋_GB2312" w:hAnsi="Times New Roman" w:hint="eastAsia"/>
          <w:sz w:val="28"/>
          <w:szCs w:val="28"/>
        </w:rPr>
        <w:t>2.主要参考资料</w:t>
      </w:r>
    </w:p>
    <w:p w:rsidR="00876C31" w:rsidRDefault="00876C31" w:rsidP="005F6318">
      <w:pPr>
        <w:numPr>
          <w:ilvl w:val="0"/>
          <w:numId w:val="19"/>
        </w:numPr>
        <w:spacing w:line="360" w:lineRule="auto"/>
        <w:ind w:left="987"/>
        <w:rPr>
          <w:rFonts w:ascii="仿宋_GB2312" w:hAnsi="Times New Roman"/>
          <w:sz w:val="28"/>
          <w:szCs w:val="28"/>
        </w:rPr>
      </w:pPr>
      <w:r>
        <w:rPr>
          <w:rFonts w:ascii="仿宋_GB2312" w:hAnsi="Times New Roman" w:hint="eastAsia"/>
          <w:sz w:val="28"/>
          <w:szCs w:val="28"/>
        </w:rPr>
        <w:t>张建平. 建筑工程</w:t>
      </w:r>
      <w:r>
        <w:rPr>
          <w:rFonts w:ascii="仿宋_GB2312" w:hAnsi="Times New Roman"/>
          <w:sz w:val="28"/>
          <w:szCs w:val="28"/>
        </w:rPr>
        <w:t>计量与计价</w:t>
      </w:r>
      <w:r>
        <w:rPr>
          <w:rFonts w:ascii="仿宋_GB2312" w:hAnsi="Times New Roman" w:hint="eastAsia"/>
          <w:sz w:val="28"/>
          <w:szCs w:val="28"/>
        </w:rPr>
        <w:t>[M]. 北京：机械工业出版社，2015.</w:t>
      </w:r>
    </w:p>
    <w:p w:rsidR="00876C31" w:rsidRDefault="00876C31" w:rsidP="005F6318">
      <w:pPr>
        <w:numPr>
          <w:ilvl w:val="0"/>
          <w:numId w:val="19"/>
        </w:numPr>
        <w:spacing w:line="360" w:lineRule="auto"/>
        <w:ind w:left="987"/>
        <w:rPr>
          <w:rFonts w:ascii="仿宋_GB2312" w:hAnsi="Times New Roman"/>
          <w:sz w:val="28"/>
          <w:szCs w:val="28"/>
        </w:rPr>
      </w:pPr>
      <w:r>
        <w:rPr>
          <w:rFonts w:ascii="仿宋_GB2312" w:hAnsi="Times New Roman" w:hint="eastAsia"/>
          <w:sz w:val="28"/>
          <w:szCs w:val="28"/>
        </w:rPr>
        <w:t>严玲. 工程计价</w:t>
      </w:r>
      <w:r>
        <w:rPr>
          <w:rFonts w:ascii="仿宋_GB2312" w:hAnsi="Times New Roman"/>
          <w:sz w:val="28"/>
          <w:szCs w:val="28"/>
        </w:rPr>
        <w:t>学</w:t>
      </w:r>
      <w:r>
        <w:rPr>
          <w:rFonts w:ascii="仿宋_GB2312" w:hAnsi="Times New Roman" w:hint="eastAsia"/>
          <w:sz w:val="28"/>
          <w:szCs w:val="28"/>
        </w:rPr>
        <w:t>(第3版) [M]. 北京：机械工业出版社，2017.</w:t>
      </w:r>
    </w:p>
    <w:p w:rsidR="00876C31" w:rsidRDefault="00876C31" w:rsidP="005F6318">
      <w:pPr>
        <w:numPr>
          <w:ilvl w:val="0"/>
          <w:numId w:val="19"/>
        </w:numPr>
        <w:spacing w:line="360" w:lineRule="auto"/>
        <w:ind w:left="987"/>
        <w:rPr>
          <w:rFonts w:ascii="仿宋_GB2312" w:hAnsi="Times New Roman"/>
          <w:sz w:val="28"/>
          <w:szCs w:val="28"/>
        </w:rPr>
      </w:pPr>
      <w:r>
        <w:rPr>
          <w:rFonts w:ascii="仿宋_GB2312" w:hAnsi="Times New Roman" w:hint="eastAsia"/>
          <w:sz w:val="28"/>
          <w:szCs w:val="28"/>
        </w:rPr>
        <w:t>黄伟典. 建筑工程计量与计价（第三版）[M]. 北京：中国环境出版社，2015.</w:t>
      </w:r>
    </w:p>
    <w:p w:rsidR="00876C31" w:rsidRDefault="00876C31" w:rsidP="005F6318">
      <w:pPr>
        <w:numPr>
          <w:ilvl w:val="0"/>
          <w:numId w:val="19"/>
        </w:numPr>
        <w:spacing w:line="360" w:lineRule="auto"/>
        <w:ind w:left="987"/>
        <w:rPr>
          <w:rFonts w:ascii="仿宋_GB2312" w:hAnsi="Times New Roman"/>
          <w:sz w:val="28"/>
          <w:szCs w:val="28"/>
        </w:rPr>
      </w:pPr>
      <w:r>
        <w:rPr>
          <w:rFonts w:ascii="仿宋_GB2312" w:hAnsi="Times New Roman" w:hint="eastAsia"/>
          <w:sz w:val="28"/>
          <w:szCs w:val="28"/>
        </w:rPr>
        <w:t>陕西省2004年土建消耗量定额[M].西安：陕西人民出版社，2009.</w:t>
      </w:r>
    </w:p>
    <w:p w:rsidR="00876C31" w:rsidRDefault="00876C31" w:rsidP="005F6318">
      <w:pPr>
        <w:numPr>
          <w:ilvl w:val="0"/>
          <w:numId w:val="19"/>
        </w:numPr>
        <w:spacing w:line="360" w:lineRule="auto"/>
        <w:ind w:left="987"/>
        <w:rPr>
          <w:rFonts w:ascii="仿宋_GB2312" w:hAnsi="Times New Roman"/>
          <w:sz w:val="28"/>
          <w:szCs w:val="28"/>
        </w:rPr>
      </w:pPr>
      <w:r>
        <w:rPr>
          <w:rFonts w:ascii="仿宋_GB2312" w:hAnsi="Times New Roman" w:hint="eastAsia"/>
          <w:sz w:val="28"/>
          <w:szCs w:val="28"/>
        </w:rPr>
        <w:t>建设工程工程量清单计价规范（GB50500-2017）2017.</w:t>
      </w:r>
    </w:p>
    <w:p w:rsidR="00876C31" w:rsidRDefault="00876C31" w:rsidP="005F6318">
      <w:pPr>
        <w:numPr>
          <w:ilvl w:val="0"/>
          <w:numId w:val="19"/>
        </w:numPr>
        <w:spacing w:line="360" w:lineRule="auto"/>
        <w:ind w:left="987"/>
        <w:rPr>
          <w:rFonts w:ascii="仿宋_GB2312" w:hAnsi="Times New Roman"/>
          <w:sz w:val="28"/>
          <w:szCs w:val="28"/>
        </w:rPr>
      </w:pPr>
      <w:r>
        <w:rPr>
          <w:rFonts w:ascii="仿宋_GB2312" w:hAnsi="Times New Roman" w:hint="eastAsia"/>
          <w:sz w:val="28"/>
          <w:szCs w:val="28"/>
        </w:rPr>
        <w:t>建筑工程建筑面积计算规范(GB/T 50353-2013) [M]. 北京：</w:t>
      </w:r>
      <w:r>
        <w:rPr>
          <w:rFonts w:ascii="仿宋_GB2312" w:hAnsi="Times New Roman" w:hint="eastAsia"/>
          <w:sz w:val="28"/>
          <w:szCs w:val="28"/>
        </w:rPr>
        <w:lastRenderedPageBreak/>
        <w:t>中国计划出版社，2014.</w:t>
      </w:r>
    </w:p>
    <w:p w:rsidR="00876C31" w:rsidRDefault="00876C31" w:rsidP="00876C31">
      <w:pPr>
        <w:spacing w:line="360" w:lineRule="auto"/>
        <w:ind w:firstLineChars="1600" w:firstLine="4480"/>
        <w:rPr>
          <w:rFonts w:ascii="仿宋_GB2312" w:hAnsi="Times New Roman"/>
          <w:sz w:val="28"/>
          <w:szCs w:val="28"/>
        </w:rPr>
      </w:pPr>
    </w:p>
    <w:p w:rsidR="00876C31" w:rsidRDefault="00876C31" w:rsidP="00876C31">
      <w:pPr>
        <w:ind w:firstLineChars="1200" w:firstLine="3360"/>
        <w:rPr>
          <w:rFonts w:ascii="仿宋_GB2312" w:hAnsi="Times New Roman"/>
          <w:sz w:val="28"/>
          <w:szCs w:val="28"/>
        </w:rPr>
      </w:pPr>
      <w:r>
        <w:rPr>
          <w:rFonts w:ascii="仿宋_GB2312" w:hAnsi="Times New Roman" w:hint="eastAsia"/>
          <w:sz w:val="28"/>
          <w:szCs w:val="28"/>
        </w:rPr>
        <w:t>大纲</w:t>
      </w:r>
      <w:r>
        <w:rPr>
          <w:rFonts w:ascii="仿宋" w:eastAsia="仿宋" w:hAnsi="仿宋" w:hint="eastAsia"/>
          <w:sz w:val="28"/>
          <w:szCs w:val="28"/>
        </w:rPr>
        <w:t>撰写</w:t>
      </w:r>
      <w:r>
        <w:rPr>
          <w:rFonts w:ascii="仿宋_GB2312" w:hAnsi="Times New Roman" w:hint="eastAsia"/>
          <w:sz w:val="28"/>
          <w:szCs w:val="28"/>
        </w:rPr>
        <w:t>人：黄永刚</w:t>
      </w:r>
    </w:p>
    <w:p w:rsidR="00876C31" w:rsidRDefault="00876C31" w:rsidP="00876C31">
      <w:pPr>
        <w:ind w:firstLineChars="1200" w:firstLine="3360"/>
        <w:rPr>
          <w:rFonts w:ascii="仿宋_GB2312" w:hAnsi="Times New Roman"/>
          <w:sz w:val="28"/>
          <w:szCs w:val="28"/>
        </w:rPr>
      </w:pPr>
      <w:r>
        <w:rPr>
          <w:rFonts w:ascii="仿宋_GB2312" w:hAnsi="Times New Roman" w:hint="eastAsia"/>
          <w:sz w:val="28"/>
          <w:szCs w:val="28"/>
        </w:rPr>
        <w:t>课程负责人：袁春燕</w:t>
      </w:r>
    </w:p>
    <w:p w:rsidR="00876C31" w:rsidRDefault="00876C31" w:rsidP="00876C31">
      <w:pPr>
        <w:ind w:firstLineChars="1200" w:firstLine="3360"/>
        <w:rPr>
          <w:rFonts w:ascii="仿宋_GB2312" w:hAnsi="Times New Roman"/>
          <w:sz w:val="28"/>
          <w:szCs w:val="28"/>
        </w:rPr>
      </w:pPr>
      <w:r>
        <w:rPr>
          <w:rFonts w:ascii="仿宋_GB2312" w:hAnsi="Times New Roman" w:hint="eastAsia"/>
          <w:sz w:val="28"/>
          <w:szCs w:val="28"/>
        </w:rPr>
        <w:t xml:space="preserve">审核人：袁春燕 </w:t>
      </w:r>
    </w:p>
    <w:p w:rsidR="00876C31" w:rsidRDefault="00876C31" w:rsidP="00876C31">
      <w:pPr>
        <w:spacing w:line="360" w:lineRule="auto"/>
        <w:ind w:firstLineChars="2000" w:firstLine="5600"/>
        <w:jc w:val="left"/>
        <w:rPr>
          <w:rFonts w:ascii="仿宋_GB2312" w:hAnsi="Times New Roman"/>
          <w:sz w:val="28"/>
          <w:szCs w:val="28"/>
        </w:rPr>
      </w:pPr>
      <w:r>
        <w:rPr>
          <w:rFonts w:ascii="仿宋_GB2312" w:hAnsi="Times New Roman" w:hint="eastAsia"/>
          <w:sz w:val="28"/>
          <w:szCs w:val="28"/>
        </w:rPr>
        <w:t xml:space="preserve">    </w:t>
      </w:r>
    </w:p>
    <w:p w:rsidR="00876C31" w:rsidRDefault="00876C31" w:rsidP="00876C31">
      <w:pPr>
        <w:jc w:val="left"/>
        <w:rPr>
          <w:rFonts w:ascii="仿宋_GB2312" w:hAnsi="Times New Roman"/>
          <w:sz w:val="28"/>
          <w:szCs w:val="28"/>
        </w:rPr>
      </w:pPr>
      <w:r>
        <w:rPr>
          <w:rFonts w:ascii="仿宋_GB2312" w:hAnsi="Times New Roman" w:hint="eastAsia"/>
          <w:sz w:val="28"/>
          <w:szCs w:val="28"/>
        </w:rPr>
        <w:t xml:space="preserve">                                         </w:t>
      </w:r>
      <w:r>
        <w:rPr>
          <w:rFonts w:ascii="仿宋" w:eastAsia="仿宋" w:hAnsi="仿宋" w:hint="eastAsia"/>
          <w:sz w:val="28"/>
          <w:szCs w:val="28"/>
        </w:rPr>
        <w:t>2021</w:t>
      </w:r>
      <w:r>
        <w:rPr>
          <w:rFonts w:ascii="仿宋_GB2312" w:hAnsi="Times New Roman" w:hint="eastAsia"/>
          <w:sz w:val="28"/>
          <w:szCs w:val="28"/>
        </w:rPr>
        <w:t>年4月</w:t>
      </w:r>
    </w:p>
    <w:p w:rsidR="00876C31" w:rsidRDefault="00876C31" w:rsidP="00876C31">
      <w:pPr>
        <w:jc w:val="center"/>
        <w:rPr>
          <w:rFonts w:ascii="Times New Roman" w:eastAsia="仿宋" w:hAnsi="Times New Roman"/>
          <w:sz w:val="28"/>
          <w:szCs w:val="28"/>
        </w:rPr>
      </w:pPr>
    </w:p>
    <w:p w:rsidR="00876C31" w:rsidRDefault="00876C31" w:rsidP="00876C31">
      <w:pPr>
        <w:jc w:val="center"/>
        <w:rPr>
          <w:rFonts w:ascii="Times New Roman" w:eastAsia="仿宋" w:hAnsi="Times New Roman"/>
          <w:sz w:val="28"/>
          <w:szCs w:val="28"/>
        </w:rPr>
      </w:pPr>
    </w:p>
    <w:p w:rsidR="00876C31" w:rsidRDefault="00876C31" w:rsidP="00876C31">
      <w:pPr>
        <w:jc w:val="center"/>
        <w:rPr>
          <w:rFonts w:ascii="Times New Roman" w:eastAsia="仿宋" w:hAnsi="Times New Roman"/>
          <w:sz w:val="28"/>
          <w:szCs w:val="28"/>
        </w:rPr>
      </w:pPr>
    </w:p>
    <w:p w:rsidR="00876C31" w:rsidRDefault="00876C31" w:rsidP="00876C31">
      <w:pPr>
        <w:jc w:val="center"/>
        <w:rPr>
          <w:rFonts w:ascii="Times New Roman" w:eastAsia="仿宋" w:hAnsi="Times New Roman"/>
          <w:sz w:val="28"/>
          <w:szCs w:val="28"/>
        </w:rPr>
      </w:pPr>
    </w:p>
    <w:p w:rsidR="00876C31" w:rsidRDefault="00876C31" w:rsidP="00876C31">
      <w:pPr>
        <w:jc w:val="center"/>
        <w:rPr>
          <w:rFonts w:ascii="Times New Roman" w:eastAsia="仿宋" w:hAnsi="Times New Roman"/>
          <w:sz w:val="28"/>
          <w:szCs w:val="28"/>
        </w:rPr>
      </w:pPr>
    </w:p>
    <w:p w:rsidR="00104F36" w:rsidRDefault="00104F36" w:rsidP="00876C31">
      <w:pPr>
        <w:jc w:val="center"/>
        <w:rPr>
          <w:rFonts w:ascii="Times New Roman" w:eastAsia="仿宋" w:hAnsi="Times New Roman"/>
          <w:sz w:val="28"/>
          <w:szCs w:val="28"/>
        </w:rPr>
      </w:pPr>
    </w:p>
    <w:p w:rsidR="00104F36" w:rsidRDefault="00104F36" w:rsidP="00876C31">
      <w:pPr>
        <w:jc w:val="center"/>
        <w:rPr>
          <w:rFonts w:ascii="Times New Roman" w:eastAsia="仿宋" w:hAnsi="Times New Roman"/>
          <w:sz w:val="28"/>
          <w:szCs w:val="28"/>
        </w:rPr>
      </w:pPr>
    </w:p>
    <w:p w:rsidR="00104F36" w:rsidRDefault="00104F36" w:rsidP="00876C31">
      <w:pPr>
        <w:jc w:val="center"/>
        <w:rPr>
          <w:rFonts w:ascii="Times New Roman" w:eastAsia="仿宋" w:hAnsi="Times New Roman"/>
          <w:sz w:val="28"/>
          <w:szCs w:val="28"/>
        </w:rPr>
      </w:pPr>
    </w:p>
    <w:p w:rsidR="00104F36" w:rsidRDefault="00104F36" w:rsidP="00876C31">
      <w:pPr>
        <w:jc w:val="center"/>
        <w:rPr>
          <w:rFonts w:ascii="Times New Roman" w:eastAsia="仿宋" w:hAnsi="Times New Roman"/>
          <w:sz w:val="28"/>
          <w:szCs w:val="28"/>
        </w:rPr>
      </w:pPr>
    </w:p>
    <w:p w:rsidR="00104F36" w:rsidRDefault="00104F36" w:rsidP="00876C31">
      <w:pPr>
        <w:jc w:val="center"/>
        <w:rPr>
          <w:rFonts w:ascii="Times New Roman" w:eastAsia="仿宋" w:hAnsi="Times New Roman"/>
          <w:sz w:val="28"/>
          <w:szCs w:val="28"/>
        </w:rPr>
      </w:pPr>
    </w:p>
    <w:p w:rsidR="00104F36" w:rsidRDefault="00104F36" w:rsidP="00876C31">
      <w:pPr>
        <w:jc w:val="center"/>
        <w:rPr>
          <w:rFonts w:ascii="Times New Roman" w:eastAsia="仿宋" w:hAnsi="Times New Roman"/>
          <w:sz w:val="28"/>
          <w:szCs w:val="28"/>
        </w:rPr>
      </w:pPr>
    </w:p>
    <w:p w:rsidR="00104F36" w:rsidRDefault="00104F36" w:rsidP="00876C31">
      <w:pPr>
        <w:jc w:val="center"/>
        <w:rPr>
          <w:rFonts w:ascii="Times New Roman" w:eastAsia="仿宋" w:hAnsi="Times New Roman"/>
          <w:sz w:val="28"/>
          <w:szCs w:val="28"/>
        </w:rPr>
      </w:pPr>
    </w:p>
    <w:p w:rsidR="00104F36" w:rsidRDefault="00104F36" w:rsidP="00876C31">
      <w:pPr>
        <w:jc w:val="center"/>
        <w:rPr>
          <w:rFonts w:ascii="Times New Roman" w:eastAsia="仿宋" w:hAnsi="Times New Roman"/>
          <w:sz w:val="28"/>
          <w:szCs w:val="28"/>
        </w:rPr>
      </w:pPr>
    </w:p>
    <w:p w:rsidR="00104F36" w:rsidRDefault="00104F36" w:rsidP="00876C31">
      <w:pPr>
        <w:jc w:val="center"/>
        <w:rPr>
          <w:rFonts w:ascii="Times New Roman" w:eastAsia="仿宋" w:hAnsi="Times New Roman"/>
          <w:sz w:val="28"/>
          <w:szCs w:val="28"/>
        </w:rPr>
      </w:pPr>
    </w:p>
    <w:p w:rsidR="00104F36" w:rsidRDefault="00104F36" w:rsidP="00876C31">
      <w:pPr>
        <w:jc w:val="center"/>
        <w:rPr>
          <w:rFonts w:ascii="Times New Roman" w:eastAsia="仿宋" w:hAnsi="Times New Roman"/>
          <w:sz w:val="28"/>
          <w:szCs w:val="28"/>
        </w:rPr>
      </w:pPr>
    </w:p>
    <w:p w:rsidR="00876C31" w:rsidRDefault="00876C31" w:rsidP="00876C31">
      <w:pPr>
        <w:widowControl/>
        <w:spacing w:line="360" w:lineRule="auto"/>
        <w:jc w:val="center"/>
        <w:rPr>
          <w:rFonts w:ascii="宋体" w:hAnsi="宋体" w:cs="仿宋_GB2312"/>
          <w:b/>
          <w:color w:val="FF0000"/>
          <w:szCs w:val="21"/>
          <w:u w:val="single"/>
        </w:rPr>
      </w:pPr>
      <w:r>
        <w:rPr>
          <w:rFonts w:ascii="方正小标宋简体" w:eastAsia="方正小标宋简体" w:hAnsi="宋体" w:hint="eastAsia"/>
          <w:kern w:val="0"/>
          <w:szCs w:val="32"/>
        </w:rPr>
        <w:lastRenderedPageBreak/>
        <w:t>《工程经济学》课程教学大纲</w:t>
      </w:r>
    </w:p>
    <w:p w:rsidR="00876C31" w:rsidRDefault="00876C31" w:rsidP="00876C31">
      <w:pPr>
        <w:spacing w:line="360" w:lineRule="auto"/>
        <w:rPr>
          <w:rFonts w:ascii="黑体" w:eastAsia="黑体" w:hAnsi="黑体"/>
          <w:b/>
          <w:sz w:val="28"/>
          <w:szCs w:val="28"/>
        </w:rPr>
      </w:pPr>
      <w:r>
        <w:rPr>
          <w:rFonts w:ascii="黑体" w:eastAsia="黑体" w:hAnsi="黑体" w:hint="eastAsia"/>
          <w:b/>
          <w:sz w:val="28"/>
          <w:szCs w:val="28"/>
        </w:rPr>
        <w:t>一、课程信息</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英文名称：</w:t>
      </w:r>
      <w:r w:rsidRPr="00104F36">
        <w:rPr>
          <w:rFonts w:ascii="仿宋_GB2312" w:hAnsi="仿宋_GB2312" w:cs="仿宋_GB2312" w:hint="eastAsia"/>
          <w:bCs/>
          <w:sz w:val="28"/>
          <w:szCs w:val="28"/>
        </w:rPr>
        <w:t xml:space="preserve">Engineering Economics </w:t>
      </w:r>
    </w:p>
    <w:p w:rsidR="00876C31" w:rsidRPr="00104F36" w:rsidRDefault="00876C31" w:rsidP="00876C31">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课程编码：</w:t>
      </w:r>
      <w:r w:rsidRPr="00104F36">
        <w:rPr>
          <w:rFonts w:ascii="仿宋_GB2312" w:hAnsi="仿宋_GB2312" w:cs="仿宋_GB2312" w:hint="eastAsia"/>
          <w:bCs/>
          <w:sz w:val="28"/>
          <w:szCs w:val="28"/>
        </w:rPr>
        <w:t>Z2805040</w:t>
      </w:r>
    </w:p>
    <w:p w:rsidR="00876C31" w:rsidRPr="00104F36" w:rsidRDefault="00876C31" w:rsidP="00876C31">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授课语言：</w:t>
      </w:r>
      <w:r w:rsidRPr="00104F36">
        <w:rPr>
          <w:rFonts w:ascii="仿宋_GB2312" w:hAnsi="仿宋_GB2312" w:cs="仿宋_GB2312" w:hint="eastAsia"/>
          <w:bCs/>
          <w:sz w:val="28"/>
          <w:szCs w:val="28"/>
        </w:rPr>
        <w:t>汉语</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授课方式：线下</w:t>
      </w:r>
    </w:p>
    <w:p w:rsidR="00876C31" w:rsidRPr="00104F36" w:rsidRDefault="00876C31" w:rsidP="00876C31">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课程</w:t>
      </w:r>
      <w:r w:rsidRPr="00104F36">
        <w:rPr>
          <w:rFonts w:ascii="仿宋_GB2312" w:hAnsi="仿宋_GB2312" w:cs="仿宋_GB2312" w:hint="eastAsia"/>
          <w:bCs/>
          <w:sz w:val="28"/>
          <w:szCs w:val="28"/>
        </w:rPr>
        <w:t>类别</w:t>
      </w:r>
      <w:r w:rsidRPr="00104F36">
        <w:rPr>
          <w:rFonts w:ascii="仿宋_GB2312" w:hAnsi="仿宋_GB2312" w:cs="仿宋_GB2312"/>
          <w:bCs/>
          <w:sz w:val="28"/>
          <w:szCs w:val="28"/>
        </w:rPr>
        <w:t>：</w:t>
      </w:r>
      <w:r w:rsidRPr="00104F36">
        <w:rPr>
          <w:rFonts w:ascii="仿宋_GB2312" w:hAnsi="仿宋_GB2312" w:cs="仿宋_GB2312" w:hint="eastAsia"/>
          <w:bCs/>
          <w:sz w:val="28"/>
          <w:szCs w:val="28"/>
        </w:rPr>
        <w:t>专业发展</w:t>
      </w:r>
    </w:p>
    <w:p w:rsidR="00876C31" w:rsidRPr="00104F36" w:rsidRDefault="00876C31" w:rsidP="00876C31">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课程性质：选修</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学分：</w:t>
      </w:r>
      <w:r w:rsidRPr="00104F36">
        <w:rPr>
          <w:rFonts w:ascii="仿宋_GB2312" w:hAnsi="仿宋_GB2312" w:cs="仿宋_GB2312" w:hint="eastAsia"/>
          <w:bCs/>
          <w:sz w:val="28"/>
          <w:szCs w:val="28"/>
        </w:rPr>
        <w:t>1.5</w:t>
      </w:r>
    </w:p>
    <w:p w:rsidR="00876C31" w:rsidRPr="00104F36" w:rsidRDefault="00876C31" w:rsidP="00876C31">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学时：</w:t>
      </w:r>
      <w:r w:rsidRPr="00104F36">
        <w:rPr>
          <w:rFonts w:ascii="仿宋_GB2312" w:hAnsi="仿宋_GB2312" w:cs="仿宋_GB2312" w:hint="eastAsia"/>
          <w:bCs/>
          <w:sz w:val="28"/>
          <w:szCs w:val="28"/>
        </w:rPr>
        <w:t>24</w:t>
      </w:r>
      <w:r w:rsidRPr="00104F36">
        <w:rPr>
          <w:rFonts w:ascii="仿宋_GB2312" w:hAnsi="仿宋_GB2312" w:cs="仿宋_GB2312"/>
          <w:bCs/>
          <w:sz w:val="28"/>
          <w:szCs w:val="28"/>
        </w:rPr>
        <w:t>学时</w:t>
      </w:r>
      <w:r w:rsidRPr="00104F36">
        <w:rPr>
          <w:rFonts w:ascii="仿宋_GB2312" w:hAnsi="仿宋_GB2312" w:cs="仿宋_GB2312" w:hint="eastAsia"/>
          <w:bCs/>
          <w:sz w:val="28"/>
          <w:szCs w:val="28"/>
        </w:rPr>
        <w:t>（授课24学时，实验0学时，上机0学时，课外0学时）</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适用对象：</w:t>
      </w:r>
      <w:r w:rsidRPr="00104F36">
        <w:rPr>
          <w:rFonts w:ascii="仿宋_GB2312" w:hAnsi="仿宋_GB2312" w:cs="仿宋_GB2312" w:hint="eastAsia"/>
          <w:bCs/>
          <w:sz w:val="28"/>
          <w:szCs w:val="28"/>
        </w:rPr>
        <w:t>土木工程专业</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先修课程：</w:t>
      </w:r>
      <w:r w:rsidRPr="00104F36">
        <w:rPr>
          <w:rFonts w:ascii="仿宋_GB2312" w:hAnsi="仿宋_GB2312" w:cs="仿宋_GB2312" w:hint="eastAsia"/>
          <w:bCs/>
          <w:sz w:val="28"/>
          <w:szCs w:val="28"/>
        </w:rPr>
        <w:t>无</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bCs/>
          <w:sz w:val="28"/>
          <w:szCs w:val="28"/>
        </w:rPr>
        <w:t>开课院系：</w:t>
      </w:r>
      <w:r w:rsidRPr="00104F36">
        <w:rPr>
          <w:rFonts w:ascii="仿宋_GB2312" w:hAnsi="仿宋_GB2312" w:cs="仿宋_GB2312" w:hint="eastAsia"/>
          <w:bCs/>
          <w:sz w:val="28"/>
          <w:szCs w:val="28"/>
        </w:rPr>
        <w:t>建筑工程学院工程造价与施工教研室</w:t>
      </w:r>
    </w:p>
    <w:p w:rsidR="00876C31" w:rsidRPr="00104F36" w:rsidRDefault="00876C31" w:rsidP="00104F36">
      <w:pPr>
        <w:spacing w:line="360" w:lineRule="auto"/>
        <w:rPr>
          <w:rFonts w:ascii="黑体" w:eastAsia="黑体" w:hAnsi="黑体"/>
          <w:b/>
          <w:sz w:val="28"/>
          <w:szCs w:val="28"/>
        </w:rPr>
      </w:pPr>
      <w:r w:rsidRPr="00104F36">
        <w:rPr>
          <w:rFonts w:ascii="黑体" w:eastAsia="黑体" w:hAnsi="黑体" w:hint="eastAsia"/>
          <w:b/>
          <w:sz w:val="28"/>
          <w:szCs w:val="28"/>
        </w:rPr>
        <w:t>二、课程简介</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工程经济学》是土木工程专业的专业发展选修课，是一门研究如何提高工程实践活动经济效果的科学，是自然科学与社会科学在发展过程中互相渗透、互相促进、逐渐形成和发展起来的的一门交叉边缘学科，课程内容主要包括现金流量构成、资金等值计算、确定性经济效果评价指标及方法、不确定性分析、可行性研究、财务评价、经济费用效益分析、价值工程等内容。</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本课程使用多媒体教学，生动、形象地展示课程内容，辅以课后答</w:t>
      </w:r>
      <w:r w:rsidRPr="00104F36">
        <w:rPr>
          <w:rFonts w:ascii="仿宋_GB2312" w:hAnsi="仿宋_GB2312" w:cs="仿宋_GB2312" w:hint="eastAsia"/>
          <w:bCs/>
          <w:sz w:val="28"/>
          <w:szCs w:val="28"/>
        </w:rPr>
        <w:lastRenderedPageBreak/>
        <w:t>疑，引导学生将所学专业知识与实际工程相结合，培养学生解决工程实际问题的能力。</w:t>
      </w:r>
    </w:p>
    <w:p w:rsidR="00876C31" w:rsidRDefault="00876C31" w:rsidP="00876C31">
      <w:pPr>
        <w:spacing w:beforeLines="50" w:before="156" w:afterLines="50" w:after="156" w:line="360" w:lineRule="auto"/>
        <w:jc w:val="left"/>
        <w:rPr>
          <w:rFonts w:ascii="黑体" w:eastAsia="黑体" w:hAnsi="黑体"/>
          <w:b/>
          <w:sz w:val="28"/>
          <w:szCs w:val="28"/>
        </w:rPr>
      </w:pPr>
      <w:r>
        <w:rPr>
          <w:rFonts w:ascii="黑体" w:eastAsia="黑体" w:hAnsi="黑体" w:hint="eastAsia"/>
          <w:b/>
          <w:sz w:val="28"/>
          <w:szCs w:val="28"/>
        </w:rPr>
        <w:t>三、课程任务、目的与要求</w:t>
      </w:r>
    </w:p>
    <w:p w:rsidR="00876C31" w:rsidRPr="00104F36" w:rsidRDefault="00876C31" w:rsidP="00876C31">
      <w:pPr>
        <w:spacing w:line="360" w:lineRule="auto"/>
        <w:ind w:firstLine="331"/>
        <w:rPr>
          <w:rFonts w:ascii="仿宋_GB2312" w:hAnsi="仿宋_GB2312" w:cs="仿宋_GB2312"/>
          <w:b/>
          <w:bCs/>
          <w:sz w:val="28"/>
          <w:szCs w:val="28"/>
        </w:rPr>
      </w:pPr>
      <w:r w:rsidRPr="00104F36">
        <w:rPr>
          <w:rFonts w:ascii="仿宋_GB2312" w:hAnsi="仿宋_GB2312" w:cs="仿宋_GB2312" w:hint="eastAsia"/>
          <w:b/>
          <w:bCs/>
          <w:sz w:val="28"/>
          <w:szCs w:val="28"/>
        </w:rPr>
        <w:t>1.课程任务与目的</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通过课程学习，使学生了解项目前期决策在工程建设中的重要作用，了解我国目前项目管理的现状及主要内容和方法；熟悉经济评价的基本程序及要求；掌握现金流量的构成和资金等值计算的目的和方法，掌握常用的财务评价指标计算及应用、不同建设方案优劣比选的基本方法，掌握不确定性分析的内容和方法；熟悉财务评价的基本内容及财务报表的编制，熟悉价值工程展开的基本程序和步骤。通过学习，是学生能够了解我国市场经济建设的基本方针和取得的成就，竖立民族自豪感，激发学生的家国情怀，培养学生理解并遵守土木工程职业道德和行为规范，做到责任担当、贡献国家、服务社会。</w:t>
      </w:r>
    </w:p>
    <w:p w:rsidR="00876C31" w:rsidRPr="00104F36" w:rsidRDefault="00876C31" w:rsidP="00876C31">
      <w:pPr>
        <w:spacing w:line="360" w:lineRule="auto"/>
        <w:ind w:firstLine="331"/>
        <w:rPr>
          <w:rFonts w:ascii="仿宋_GB2312" w:hAnsi="仿宋_GB2312" w:cs="仿宋_GB2312"/>
          <w:b/>
          <w:bCs/>
          <w:sz w:val="28"/>
          <w:szCs w:val="28"/>
        </w:rPr>
      </w:pPr>
      <w:r w:rsidRPr="00104F36">
        <w:rPr>
          <w:rFonts w:ascii="仿宋_GB2312" w:hAnsi="仿宋_GB2312" w:cs="仿宋_GB2312" w:hint="eastAsia"/>
          <w:b/>
          <w:bCs/>
          <w:sz w:val="28"/>
          <w:szCs w:val="28"/>
        </w:rPr>
        <w:t>2.课程基本要求</w:t>
      </w:r>
    </w:p>
    <w:p w:rsidR="00876C31" w:rsidRPr="00104F36" w:rsidRDefault="00876C31" w:rsidP="00876C31">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（1）课程目标</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通过本课程的学习，学生应具备以下几方面的能力：</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①使学生具备进行建设方案经济效果评价与方案选优的基本知识以及实际应用能力，为今后顺利走向工作岗位并顺利通过职业资格考试打好基础。</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②了解工程经济学的基本原理，熟悉工程经济分析的基本程序和内容；明确在工程建设前期阶段进行工程经济分析的必要性。</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③培养学生作为一个土木工程师必须具备的客观公正的优良品质、</w:t>
      </w:r>
      <w:r w:rsidRPr="00104F36">
        <w:rPr>
          <w:rFonts w:ascii="仿宋_GB2312" w:hAnsi="仿宋_GB2312" w:cs="仿宋_GB2312" w:hint="eastAsia"/>
          <w:bCs/>
          <w:sz w:val="28"/>
          <w:szCs w:val="28"/>
        </w:rPr>
        <w:lastRenderedPageBreak/>
        <w:t>强烈的职业责任感、严谨治学的科学态度和积极向上的价值观，为未来的学习、工作奠定良好的基础。</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④掌握现金流量的构成以及资金等值计算方法，掌握常用评价指标的计算、经济含义以及针对不同类型方案的选用方法；掌握项目财务评价和不确定性分析的基础理论，具备参与项目建设方案决策的初步能力。</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⑤熟悉财务评价的基本内容及财务报表的编制，熟悉工程项目经济费用效益分析的基本理论、方法和主要参数，了解其在项目决策中的重要意义以及对国民经济发展的影响，具备理解国家经济建设中各项经济政策的见识和执行的热情，树立在国家建设中勇于承担社会责任的态度。</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⑥熟悉价值工程分析的基本程序及方法，认识在工程建设领域开展价值工程分析的可行性及现实意义，具备在工程建设领域进行价值工程分析的主观能动性。</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⑦了解可行性研究的内容及程序，了解可行性研究报告编制的方法。</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表1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805"/>
        <w:gridCol w:w="1102"/>
      </w:tblGrid>
      <w:tr w:rsidR="00876C31" w:rsidRPr="00104F36" w:rsidTr="00BE5664">
        <w:trPr>
          <w:trHeight w:val="560"/>
          <w:jc w:val="center"/>
        </w:trPr>
        <w:tc>
          <w:tcPr>
            <w:tcW w:w="1470"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jc w:val="center"/>
              <w:rPr>
                <w:rFonts w:ascii="仿宋_GB2312" w:hAnsi="仿宋_GB2312" w:cs="仿宋_GB2312"/>
                <w:b/>
                <w:bCs/>
                <w:sz w:val="24"/>
                <w:szCs w:val="24"/>
              </w:rPr>
            </w:pPr>
            <w:r w:rsidRPr="00104F36">
              <w:rPr>
                <w:rFonts w:ascii="仿宋_GB2312" w:hAnsi="仿宋_GB2312" w:cs="仿宋_GB2312" w:hint="eastAsia"/>
                <w:b/>
                <w:bCs/>
                <w:sz w:val="24"/>
                <w:szCs w:val="24"/>
              </w:rPr>
              <w:t>毕业要求标准</w:t>
            </w:r>
          </w:p>
        </w:tc>
        <w:tc>
          <w:tcPr>
            <w:tcW w:w="6379"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Chars="800" w:firstLine="1928"/>
              <w:rPr>
                <w:rFonts w:ascii="仿宋_GB2312" w:hAnsi="仿宋_GB2312" w:cs="仿宋_GB2312"/>
                <w:b/>
                <w:bCs/>
                <w:sz w:val="24"/>
                <w:szCs w:val="24"/>
              </w:rPr>
            </w:pPr>
            <w:r w:rsidRPr="00104F36">
              <w:rPr>
                <w:rFonts w:ascii="仿宋_GB2312" w:hAnsi="仿宋_GB2312" w:cs="仿宋_GB2312" w:hint="eastAsia"/>
                <w:b/>
                <w:bCs/>
                <w:sz w:val="24"/>
                <w:szCs w:val="24"/>
              </w:rPr>
              <w:t>指标点</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jc w:val="center"/>
              <w:rPr>
                <w:rFonts w:ascii="仿宋_GB2312" w:hAnsi="仿宋_GB2312" w:cs="仿宋_GB2312"/>
                <w:b/>
                <w:bCs/>
                <w:sz w:val="24"/>
                <w:szCs w:val="24"/>
              </w:rPr>
            </w:pPr>
            <w:r w:rsidRPr="00104F36">
              <w:rPr>
                <w:rFonts w:ascii="仿宋_GB2312" w:hAnsi="仿宋_GB2312" w:cs="仿宋_GB2312" w:hint="eastAsia"/>
                <w:b/>
                <w:bCs/>
                <w:sz w:val="24"/>
                <w:szCs w:val="24"/>
              </w:rPr>
              <w:t>课程目标</w:t>
            </w:r>
          </w:p>
        </w:tc>
      </w:tr>
      <w:tr w:rsidR="00876C31" w:rsidRPr="00104F36" w:rsidTr="00BE5664">
        <w:trPr>
          <w:trHeight w:val="560"/>
          <w:jc w:val="center"/>
        </w:trPr>
        <w:tc>
          <w:tcPr>
            <w:tcW w:w="1470" w:type="dxa"/>
            <w:tcBorders>
              <w:top w:val="single" w:sz="4" w:space="0" w:color="auto"/>
              <w:left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3.设计能力</w:t>
            </w:r>
          </w:p>
        </w:tc>
        <w:tc>
          <w:tcPr>
            <w:tcW w:w="6379" w:type="dxa"/>
            <w:tcBorders>
              <w:top w:val="single" w:sz="4" w:space="0" w:color="auto"/>
              <w:left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3.4 在设计/开发工作中能够综合考虑社会、健康、安全、法律、文化以及环境等因素。</w:t>
            </w:r>
          </w:p>
        </w:tc>
        <w:tc>
          <w:tcPr>
            <w:tcW w:w="1134" w:type="dxa"/>
            <w:tcBorders>
              <w:top w:val="single" w:sz="4" w:space="0" w:color="auto"/>
              <w:left w:val="single" w:sz="4" w:space="0" w:color="auto"/>
              <w:right w:val="single" w:sz="4" w:space="0" w:color="auto"/>
            </w:tcBorders>
            <w:vAlign w:val="center"/>
          </w:tcPr>
          <w:p w:rsidR="00876C31" w:rsidRPr="00104F36" w:rsidRDefault="00876C31" w:rsidP="00104F36">
            <w:pPr>
              <w:spacing w:line="360" w:lineRule="auto"/>
              <w:rPr>
                <w:rFonts w:ascii="仿宋_GB2312" w:hAnsi="仿宋_GB2312" w:cs="仿宋_GB2312"/>
                <w:bCs/>
                <w:sz w:val="24"/>
                <w:szCs w:val="24"/>
              </w:rPr>
            </w:pPr>
            <w:r w:rsidRPr="00104F36">
              <w:rPr>
                <w:rFonts w:ascii="仿宋_GB2312" w:hAnsi="仿宋_GB2312" w:cs="仿宋_GB2312" w:hint="eastAsia"/>
                <w:bCs/>
                <w:sz w:val="24"/>
                <w:szCs w:val="24"/>
              </w:rPr>
              <w:t>1、2、4</w:t>
            </w:r>
          </w:p>
        </w:tc>
      </w:tr>
      <w:tr w:rsidR="00876C31" w:rsidRPr="00104F36" w:rsidTr="00BE5664">
        <w:trPr>
          <w:trHeight w:val="560"/>
          <w:jc w:val="center"/>
        </w:trPr>
        <w:tc>
          <w:tcPr>
            <w:tcW w:w="1470" w:type="dxa"/>
            <w:tcBorders>
              <w:top w:val="single" w:sz="4" w:space="0" w:color="auto"/>
              <w:left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6.评价能力</w:t>
            </w:r>
          </w:p>
        </w:tc>
        <w:tc>
          <w:tcPr>
            <w:tcW w:w="6379" w:type="dxa"/>
            <w:tcBorders>
              <w:top w:val="single" w:sz="4" w:space="0" w:color="auto"/>
              <w:left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6</w:t>
            </w:r>
            <w:r w:rsidRPr="00104F36">
              <w:rPr>
                <w:rFonts w:ascii="仿宋_GB2312" w:hAnsi="仿宋_GB2312" w:cs="仿宋_GB2312"/>
                <w:bCs/>
                <w:sz w:val="24"/>
                <w:szCs w:val="24"/>
              </w:rPr>
              <w:t>-</w:t>
            </w:r>
            <w:r w:rsidRPr="00104F36">
              <w:rPr>
                <w:rFonts w:ascii="仿宋_GB2312" w:hAnsi="仿宋_GB2312" w:cs="仿宋_GB2312" w:hint="eastAsia"/>
                <w:bCs/>
                <w:sz w:val="24"/>
                <w:szCs w:val="24"/>
              </w:rPr>
              <w:t>2工程实践和复杂工程问题的解决方案对社会、健康、安全、法律以及文化的影响，并理解土木工程师应承担的社会责任。</w:t>
            </w:r>
          </w:p>
        </w:tc>
        <w:tc>
          <w:tcPr>
            <w:tcW w:w="1134" w:type="dxa"/>
            <w:tcBorders>
              <w:top w:val="single" w:sz="4" w:space="0" w:color="auto"/>
              <w:left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2、5</w:t>
            </w:r>
          </w:p>
        </w:tc>
      </w:tr>
      <w:tr w:rsidR="00876C31" w:rsidRPr="00104F36" w:rsidTr="00BE5664">
        <w:trPr>
          <w:trHeight w:val="560"/>
          <w:jc w:val="center"/>
        </w:trPr>
        <w:tc>
          <w:tcPr>
            <w:tcW w:w="1470" w:type="dxa"/>
            <w:tcBorders>
              <w:top w:val="single" w:sz="4" w:space="0" w:color="auto"/>
              <w:left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lastRenderedPageBreak/>
              <w:t>7.可持续发展意识</w:t>
            </w:r>
          </w:p>
        </w:tc>
        <w:tc>
          <w:tcPr>
            <w:tcW w:w="6379" w:type="dxa"/>
            <w:tcBorders>
              <w:top w:val="single" w:sz="4" w:space="0" w:color="auto"/>
              <w:left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7.2 能够从环境保护和社会可持续发展的角度思考土木工程专业工程实践的可持续性，评价其可能对人类和环境造成的损害和隐患，践行绿色环保理念。</w:t>
            </w:r>
          </w:p>
        </w:tc>
        <w:tc>
          <w:tcPr>
            <w:tcW w:w="1134" w:type="dxa"/>
            <w:tcBorders>
              <w:top w:val="single" w:sz="4" w:space="0" w:color="auto"/>
              <w:left w:val="single" w:sz="4" w:space="0" w:color="auto"/>
              <w:right w:val="single" w:sz="4" w:space="0" w:color="auto"/>
            </w:tcBorders>
            <w:vAlign w:val="center"/>
          </w:tcPr>
          <w:p w:rsidR="00876C31" w:rsidRPr="00104F36" w:rsidRDefault="00876C31" w:rsidP="00104F36">
            <w:pPr>
              <w:spacing w:line="360" w:lineRule="auto"/>
              <w:rPr>
                <w:rFonts w:ascii="仿宋_GB2312" w:hAnsi="仿宋_GB2312" w:cs="仿宋_GB2312"/>
                <w:bCs/>
                <w:sz w:val="24"/>
                <w:szCs w:val="24"/>
              </w:rPr>
            </w:pPr>
            <w:r w:rsidRPr="00104F36">
              <w:rPr>
                <w:rFonts w:ascii="仿宋_GB2312" w:hAnsi="仿宋_GB2312" w:cs="仿宋_GB2312" w:hint="eastAsia"/>
                <w:bCs/>
                <w:sz w:val="24"/>
                <w:szCs w:val="24"/>
              </w:rPr>
              <w:t>2、4、5</w:t>
            </w:r>
          </w:p>
        </w:tc>
      </w:tr>
      <w:tr w:rsidR="00876C31" w:rsidRPr="00104F36" w:rsidTr="00BE5664">
        <w:trPr>
          <w:trHeight w:val="560"/>
          <w:jc w:val="center"/>
        </w:trPr>
        <w:tc>
          <w:tcPr>
            <w:tcW w:w="1470" w:type="dxa"/>
            <w:tcBorders>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8.职业规范</w:t>
            </w:r>
          </w:p>
        </w:tc>
        <w:tc>
          <w:tcPr>
            <w:tcW w:w="6379"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8.1 有正确价值观，了解中国国情，具有人文社会科学素养、社会责任感、思辨和处事能力；</w:t>
            </w:r>
          </w:p>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8.3 理解土木工程师对公众的安全、健康和福祉，以及环境保护的社会责任，并能够在工程实践中自觉履行。</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rPr>
                <w:rFonts w:ascii="仿宋_GB2312" w:hAnsi="仿宋_GB2312" w:cs="仿宋_GB2312"/>
                <w:bCs/>
                <w:sz w:val="24"/>
                <w:szCs w:val="24"/>
              </w:rPr>
            </w:pPr>
            <w:r w:rsidRPr="00104F36">
              <w:rPr>
                <w:rFonts w:ascii="仿宋_GB2312" w:hAnsi="仿宋_GB2312" w:cs="仿宋_GB2312" w:hint="eastAsia"/>
                <w:bCs/>
                <w:sz w:val="24"/>
                <w:szCs w:val="24"/>
              </w:rPr>
              <w:t>3、5、6</w:t>
            </w:r>
          </w:p>
        </w:tc>
      </w:tr>
      <w:tr w:rsidR="00876C31" w:rsidRPr="00104F36" w:rsidTr="00BE5664">
        <w:trPr>
          <w:trHeight w:val="560"/>
          <w:jc w:val="center"/>
        </w:trPr>
        <w:tc>
          <w:tcPr>
            <w:tcW w:w="1470" w:type="dxa"/>
            <w:tcBorders>
              <w:left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9.团队协作能力</w:t>
            </w:r>
          </w:p>
        </w:tc>
        <w:tc>
          <w:tcPr>
            <w:tcW w:w="6379" w:type="dxa"/>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9.2 具有一定的组织管理和领导能力，能够组织、协调和指挥团队开展工作。</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6、7</w:t>
            </w:r>
          </w:p>
        </w:tc>
      </w:tr>
      <w:tr w:rsidR="00876C31" w:rsidRPr="00104F36" w:rsidTr="00BE5664">
        <w:trPr>
          <w:trHeight w:val="560"/>
          <w:jc w:val="center"/>
        </w:trPr>
        <w:tc>
          <w:tcPr>
            <w:tcW w:w="1470" w:type="dxa"/>
            <w:tcBorders>
              <w:left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11.项目管理能力</w:t>
            </w:r>
          </w:p>
        </w:tc>
        <w:tc>
          <w:tcPr>
            <w:tcW w:w="6379" w:type="dxa"/>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11.1 能够在与土木工程专业相关的多学科环境中，掌握工程项目涉及的管理原理与经济决策方法；</w:t>
            </w:r>
          </w:p>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11.2了解工程及产品全周期、全流程的成本构成，并能够在设计/开发解决方案的过程中，正确运用工程管理与经济决策方法，具备一定的工程项目管理能力。</w:t>
            </w:r>
          </w:p>
        </w:tc>
        <w:tc>
          <w:tcPr>
            <w:tcW w:w="1134" w:type="dxa"/>
            <w:tcBorders>
              <w:top w:val="single" w:sz="4" w:space="0" w:color="auto"/>
              <w:left w:val="single" w:sz="4" w:space="0" w:color="auto"/>
              <w:bottom w:val="single" w:sz="4" w:space="0" w:color="auto"/>
              <w:right w:val="single" w:sz="4" w:space="0" w:color="auto"/>
            </w:tcBorders>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7</w:t>
            </w:r>
          </w:p>
        </w:tc>
      </w:tr>
    </w:tbl>
    <w:p w:rsidR="00876C31" w:rsidRPr="00104F36" w:rsidRDefault="00876C31" w:rsidP="00104F36">
      <w:pPr>
        <w:spacing w:line="360" w:lineRule="auto"/>
        <w:ind w:firstLine="331"/>
        <w:rPr>
          <w:rFonts w:ascii="仿宋_GB2312" w:hAnsi="仿宋_GB2312" w:cs="仿宋_GB2312"/>
          <w:bCs/>
          <w:sz w:val="28"/>
          <w:szCs w:val="28"/>
        </w:rPr>
      </w:pPr>
    </w:p>
    <w:p w:rsidR="00876C31" w:rsidRPr="00104F36" w:rsidRDefault="00876C31" w:rsidP="00876C31">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（3）本课程的重点、难点</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教学重点：现金流量的构成、资金等值计算、确定性经济效果评价指标及方法、不确定性分析、财务评价的内容、价值工程。</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教学难点：资金等值计算、动态评价指标的计算、盈亏平衡分析、财务报表的编制。</w:t>
      </w:r>
    </w:p>
    <w:p w:rsidR="00876C31" w:rsidRPr="00104F36" w:rsidRDefault="00876C31" w:rsidP="00104F36">
      <w:pPr>
        <w:spacing w:line="360" w:lineRule="auto"/>
        <w:ind w:firstLine="331"/>
        <w:rPr>
          <w:rFonts w:ascii="仿宋_GB2312" w:hAnsi="仿宋_GB2312" w:cs="仿宋_GB2312"/>
          <w:bCs/>
          <w:sz w:val="28"/>
          <w:szCs w:val="28"/>
        </w:rPr>
      </w:pPr>
    </w:p>
    <w:p w:rsidR="00876C31" w:rsidRPr="00104F36" w:rsidRDefault="00104F36" w:rsidP="00104F36">
      <w:pPr>
        <w:spacing w:line="360" w:lineRule="auto"/>
        <w:ind w:firstLine="331"/>
        <w:rPr>
          <w:rFonts w:ascii="仿宋_GB2312" w:hAnsi="仿宋_GB2312" w:cs="仿宋_GB2312"/>
          <w:b/>
          <w:bCs/>
          <w:sz w:val="28"/>
          <w:szCs w:val="28"/>
        </w:rPr>
      </w:pPr>
      <w:r w:rsidRPr="00104F36">
        <w:rPr>
          <w:rFonts w:ascii="仿宋_GB2312" w:hAnsi="仿宋_GB2312" w:cs="仿宋_GB2312" w:hint="eastAsia"/>
          <w:b/>
          <w:bCs/>
          <w:sz w:val="28"/>
          <w:szCs w:val="28"/>
        </w:rPr>
        <w:t>3</w:t>
      </w:r>
      <w:r w:rsidRPr="00104F36">
        <w:rPr>
          <w:rFonts w:ascii="仿宋_GB2312" w:hAnsi="仿宋_GB2312" w:cs="仿宋_GB2312"/>
          <w:b/>
          <w:bCs/>
          <w:sz w:val="28"/>
          <w:szCs w:val="28"/>
        </w:rPr>
        <w:t>.</w:t>
      </w:r>
      <w:r w:rsidR="00876C31" w:rsidRPr="00104F36">
        <w:rPr>
          <w:rFonts w:ascii="仿宋_GB2312" w:hAnsi="仿宋_GB2312" w:cs="仿宋_GB2312" w:hint="eastAsia"/>
          <w:b/>
          <w:bCs/>
          <w:sz w:val="28"/>
          <w:szCs w:val="28"/>
        </w:rPr>
        <w:t>课程思政切入</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①通过学习工程经济分析人员应该具备的基本素质，引导学生树立实事求是的工作作风，遵守法律的意识，以及客观公正的工作态度。</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②通过介绍工程技术和经济发展的辩证关系，树立先进技术是提</w:t>
      </w:r>
      <w:r w:rsidRPr="00104F36">
        <w:rPr>
          <w:rFonts w:ascii="仿宋_GB2312" w:hAnsi="仿宋_GB2312" w:cs="仿宋_GB2312" w:hint="eastAsia"/>
          <w:bCs/>
          <w:sz w:val="28"/>
          <w:szCs w:val="28"/>
        </w:rPr>
        <w:lastRenderedPageBreak/>
        <w:t>升生活质量的有力工具这一社会主义核心价值观。</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③通过对经济评价方法的介绍以及相关案例的讨论，明确工程经济学在实践中不断发展壮大，对我国未来建设的促进作用会更加明显，理解我国经济建设的伟大成就，树立强烈的爱国主义精神和为国家建设尽职尽责的理想。</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④引入项目建设风险应对的实例，使学生切身体会自己承担的责任以及面对的职业风险，在树立强大自信的同时，培养认真负责、一丝不苟的工作态度，引导学生树立建设祖国、服务祖国和世界人民的人类命运共同体观念，并建立以此作为自我价值实现途径的信念。</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⑤通过介绍可行性研究在项目决策中的重要作用，树立正确政治导向，使学生理解按照建设程序办事，是我国工程建设的必由之路；同时，只有遵循事物的客观规律，充分发挥团队合作，依靠相互之间的紧密配合和精诚合作，大型复杂工程才会从构思变为现实。</w:t>
      </w:r>
    </w:p>
    <w:p w:rsidR="00876C31" w:rsidRDefault="00876C31" w:rsidP="00876C31">
      <w:pPr>
        <w:spacing w:line="360" w:lineRule="auto"/>
        <w:rPr>
          <w:rFonts w:ascii="黑体" w:eastAsia="黑体" w:hAnsi="黑体"/>
          <w:b/>
          <w:sz w:val="28"/>
          <w:szCs w:val="28"/>
        </w:rPr>
      </w:pPr>
      <w:r>
        <w:rPr>
          <w:rFonts w:ascii="黑体" w:eastAsia="黑体" w:hAnsi="黑体" w:hint="eastAsia"/>
          <w:b/>
          <w:sz w:val="28"/>
          <w:szCs w:val="28"/>
        </w:rPr>
        <w:t>四、教学内容安排</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920"/>
        <w:gridCol w:w="630"/>
        <w:gridCol w:w="2743"/>
        <w:gridCol w:w="3350"/>
      </w:tblGrid>
      <w:tr w:rsidR="00876C31" w:rsidTr="00BE5664">
        <w:trPr>
          <w:cantSplit/>
          <w:trHeight w:val="486"/>
          <w:tblHeader/>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序</w:t>
            </w:r>
          </w:p>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号</w:t>
            </w:r>
          </w:p>
        </w:tc>
        <w:tc>
          <w:tcPr>
            <w:tcW w:w="1920"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章  节</w:t>
            </w:r>
          </w:p>
        </w:tc>
        <w:tc>
          <w:tcPr>
            <w:tcW w:w="630"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参考学时</w:t>
            </w:r>
          </w:p>
        </w:tc>
        <w:tc>
          <w:tcPr>
            <w:tcW w:w="2743"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教学内容</w:t>
            </w:r>
          </w:p>
        </w:tc>
        <w:tc>
          <w:tcPr>
            <w:tcW w:w="3350"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基本要求</w:t>
            </w:r>
          </w:p>
        </w:tc>
      </w:tr>
      <w:tr w:rsidR="00876C31" w:rsidTr="00BE5664">
        <w:trPr>
          <w:trHeight w:val="428"/>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1</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第一章 绪论</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2</w:t>
            </w:r>
          </w:p>
        </w:tc>
        <w:tc>
          <w:tcPr>
            <w:tcW w:w="2743" w:type="dxa"/>
            <w:vAlign w:val="center"/>
          </w:tcPr>
          <w:p w:rsidR="00876C31" w:rsidRDefault="00876C31" w:rsidP="00BE5664">
            <w:pPr>
              <w:ind w:left="-2"/>
              <w:rPr>
                <w:rFonts w:ascii="仿宋_GB2312" w:hAnsi="Times New Roman"/>
                <w:sz w:val="20"/>
                <w:szCs w:val="20"/>
              </w:rPr>
            </w:pPr>
            <w:r>
              <w:rPr>
                <w:rFonts w:ascii="仿宋_GB2312" w:hAnsi="Times New Roman" w:hint="eastAsia"/>
                <w:sz w:val="20"/>
                <w:szCs w:val="20"/>
              </w:rPr>
              <w:t>工程经济学的概念及其产生和发展过程，本学科的特点、研究对象及要求，经济效果评价原则。</w:t>
            </w:r>
          </w:p>
        </w:tc>
        <w:tc>
          <w:tcPr>
            <w:tcW w:w="3350" w:type="dxa"/>
            <w:vAlign w:val="center"/>
          </w:tcPr>
          <w:p w:rsidR="00876C31" w:rsidRDefault="00876C31" w:rsidP="00BE5664">
            <w:pPr>
              <w:rPr>
                <w:rFonts w:ascii="仿宋_GB2312" w:hAnsi="Times New Roman"/>
                <w:kern w:val="0"/>
                <w:sz w:val="20"/>
                <w:szCs w:val="20"/>
              </w:rPr>
            </w:pPr>
            <w:r>
              <w:rPr>
                <w:rFonts w:ascii="仿宋_GB2312" w:hAnsi="Times New Roman" w:hint="eastAsia"/>
                <w:kern w:val="0"/>
                <w:sz w:val="20"/>
                <w:szCs w:val="20"/>
              </w:rPr>
              <w:t xml:space="preserve">掌握工程经济学的基本原理，了解其产生与发展，熟悉工程经济分析的基本原则和步骤。 </w:t>
            </w:r>
          </w:p>
        </w:tc>
      </w:tr>
      <w:tr w:rsidR="00876C31" w:rsidTr="00BE5664">
        <w:trPr>
          <w:trHeight w:val="519"/>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2</w:t>
            </w:r>
          </w:p>
        </w:tc>
        <w:tc>
          <w:tcPr>
            <w:tcW w:w="1920" w:type="dxa"/>
            <w:vAlign w:val="center"/>
          </w:tcPr>
          <w:p w:rsidR="00876C31" w:rsidRDefault="00876C31" w:rsidP="00BE5664">
            <w:pPr>
              <w:ind w:left="3"/>
              <w:rPr>
                <w:rFonts w:ascii="仿宋_GB2312" w:hAnsi="Times New Roman"/>
                <w:sz w:val="20"/>
                <w:szCs w:val="20"/>
              </w:rPr>
            </w:pPr>
            <w:r>
              <w:rPr>
                <w:rFonts w:ascii="仿宋_GB2312" w:hAnsi="Times New Roman" w:hint="eastAsia"/>
                <w:sz w:val="20"/>
                <w:szCs w:val="20"/>
              </w:rPr>
              <w:t>第二章 现金流量构成与资金等值计算</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现金流量及现金流量图，现金流量的构成及计算，成本费用及计算、销售收入、利润和税金，资金时间价值的概念，资金的等值计算的目的及计算方法。</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熟悉现金流量的概念和资金时间价值的内涵，掌握各种时间序列下资金的等值计算；熟悉投资、成本的构成及估算方法。</w:t>
            </w:r>
          </w:p>
        </w:tc>
      </w:tr>
      <w:tr w:rsidR="00876C31" w:rsidTr="00BE5664">
        <w:trPr>
          <w:trHeight w:val="555"/>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3</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第三章 确定性经济效果评价方法</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财务评价指标的划分、经济含义及其计算方法，独立方案经济效果评价，互斥方案经济效果评价，相关方案的经济效果</w:t>
            </w:r>
            <w:r>
              <w:rPr>
                <w:rFonts w:ascii="仿宋_GB2312" w:hAnsi="Times New Roman" w:hint="eastAsia"/>
                <w:sz w:val="20"/>
                <w:szCs w:val="20"/>
              </w:rPr>
              <w:lastRenderedPageBreak/>
              <w:t>评价。</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lastRenderedPageBreak/>
              <w:t>掌握动态评价指标的经济含义以及计算方法，掌握不同类型方案的评价方法。熟悉各种指标的使用方法和优缺点，了解静态指标和动态指标的区</w:t>
            </w:r>
            <w:r>
              <w:rPr>
                <w:rFonts w:ascii="仿宋_GB2312" w:hAnsi="Times New Roman" w:hint="eastAsia"/>
                <w:sz w:val="20"/>
                <w:szCs w:val="20"/>
              </w:rPr>
              <w:lastRenderedPageBreak/>
              <w:t>别。</w:t>
            </w:r>
          </w:p>
        </w:tc>
      </w:tr>
      <w:tr w:rsidR="00876C31" w:rsidTr="00BE5664">
        <w:trPr>
          <w:trHeight w:val="1307"/>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lastRenderedPageBreak/>
              <w:t>4</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第四章 不确定性分析</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不确定性分析的必要性和内容，盈亏平衡分析的内容和计算，敏感性分析和概率分析的方法。</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掌握独立方案线性和非线性盈亏平衡分析的条件及方法，掌握敏感性分析的程序，熟悉各项分析的适用范围和不足，了解概率分析方法。</w:t>
            </w:r>
          </w:p>
        </w:tc>
      </w:tr>
      <w:tr w:rsidR="00876C31" w:rsidTr="00BE5664">
        <w:trPr>
          <w:trHeight w:val="1059"/>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5</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第五章 建设项目可行性研究概述</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2</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可行性研究的含义及发展状况，可行性研究的内容及步骤，可行性研究报告的编写。</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熟悉可行性研究的内容和步骤，了解我国的建设程序，了解可行性研究报告的编写格式。</w:t>
            </w:r>
          </w:p>
        </w:tc>
      </w:tr>
      <w:tr w:rsidR="00876C31" w:rsidTr="00BE5664">
        <w:trPr>
          <w:trHeight w:val="1059"/>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6</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第六章 财务评价</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财务评价的基本程序和作用，项目投资和流动资金的估算方法，辅助财务报表和基本报表的编制。</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熟悉项目财务评价的作用和基本步骤，熟悉财务报表数据的计算，了解财务报表的编制方法。</w:t>
            </w:r>
          </w:p>
        </w:tc>
      </w:tr>
      <w:tr w:rsidR="00876C31" w:rsidTr="00BE5664">
        <w:trPr>
          <w:trHeight w:val="248"/>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7</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第七章 经济费用效益分析</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2</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经济费用效益分析和财务评价的区别及其必要性，费用效益的划分，影子价格的概念，评价参数的种类。</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熟悉费用效益的划分原则，熟悉影子价格的基本原理以及评价参数的内涵，了解经济费用效益分析和财务评价的区别及其必要性。</w:t>
            </w:r>
          </w:p>
        </w:tc>
      </w:tr>
      <w:tr w:rsidR="00876C31" w:rsidTr="00BE5664">
        <w:trPr>
          <w:trHeight w:val="555"/>
        </w:trPr>
        <w:tc>
          <w:tcPr>
            <w:tcW w:w="512" w:type="dxa"/>
            <w:vAlign w:val="center"/>
          </w:tcPr>
          <w:p w:rsidR="00876C31" w:rsidRDefault="00876C31" w:rsidP="00BE5664">
            <w:pPr>
              <w:jc w:val="center"/>
              <w:rPr>
                <w:rFonts w:ascii="仿宋_GB2312" w:hAnsi="Times New Roman"/>
                <w:kern w:val="0"/>
                <w:sz w:val="20"/>
                <w:szCs w:val="20"/>
              </w:rPr>
            </w:pPr>
            <w:r>
              <w:rPr>
                <w:rFonts w:ascii="仿宋_GB2312" w:hAnsi="Times New Roman" w:hint="eastAsia"/>
                <w:kern w:val="0"/>
                <w:sz w:val="20"/>
                <w:szCs w:val="20"/>
              </w:rPr>
              <w:t>8</w:t>
            </w:r>
          </w:p>
        </w:tc>
        <w:tc>
          <w:tcPr>
            <w:tcW w:w="192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第八章 价值工程</w:t>
            </w:r>
          </w:p>
        </w:tc>
        <w:tc>
          <w:tcPr>
            <w:tcW w:w="630" w:type="dxa"/>
            <w:vAlign w:val="center"/>
          </w:tcPr>
          <w:p w:rsidR="00876C31" w:rsidRDefault="00876C31" w:rsidP="00BE5664">
            <w:pPr>
              <w:jc w:val="center"/>
              <w:rPr>
                <w:rFonts w:ascii="仿宋_GB2312" w:hAnsi="Times New Roman"/>
                <w:sz w:val="20"/>
                <w:szCs w:val="20"/>
              </w:rPr>
            </w:pPr>
            <w:r>
              <w:rPr>
                <w:rFonts w:ascii="仿宋_GB2312" w:hAnsi="Times New Roman" w:hint="eastAsia"/>
                <w:sz w:val="20"/>
                <w:szCs w:val="20"/>
              </w:rPr>
              <w:t>2</w:t>
            </w:r>
          </w:p>
        </w:tc>
        <w:tc>
          <w:tcPr>
            <w:tcW w:w="2743"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价值工程的概念、功能的分类，功能分析及评价，方案创造与评价。</w:t>
            </w:r>
          </w:p>
        </w:tc>
        <w:tc>
          <w:tcPr>
            <w:tcW w:w="3350" w:type="dxa"/>
            <w:vAlign w:val="center"/>
          </w:tcPr>
          <w:p w:rsidR="00876C31" w:rsidRDefault="00876C31" w:rsidP="00BE5664">
            <w:pPr>
              <w:rPr>
                <w:rFonts w:ascii="仿宋_GB2312" w:hAnsi="Times New Roman"/>
                <w:sz w:val="20"/>
                <w:szCs w:val="20"/>
              </w:rPr>
            </w:pPr>
            <w:r>
              <w:rPr>
                <w:rFonts w:ascii="仿宋_GB2312" w:hAnsi="Times New Roman" w:hint="eastAsia"/>
                <w:sz w:val="20"/>
                <w:szCs w:val="20"/>
              </w:rPr>
              <w:t>掌握价值工程分析的步骤，掌握功能评价的方法。熟悉价值工程分析对象的选择，了解价值工程分析的特点及功能的划分。</w:t>
            </w:r>
          </w:p>
        </w:tc>
      </w:tr>
    </w:tbl>
    <w:p w:rsidR="00876C31" w:rsidRDefault="00876C31" w:rsidP="005F6318">
      <w:pPr>
        <w:numPr>
          <w:ilvl w:val="0"/>
          <w:numId w:val="21"/>
        </w:numPr>
        <w:spacing w:beforeLines="50" w:before="156" w:afterLines="50" w:after="156" w:line="360" w:lineRule="auto"/>
        <w:jc w:val="left"/>
        <w:rPr>
          <w:rFonts w:ascii="黑体" w:eastAsia="黑体" w:hAnsi="黑体"/>
          <w:b/>
          <w:sz w:val="28"/>
          <w:szCs w:val="28"/>
        </w:rPr>
      </w:pPr>
      <w:r>
        <w:rPr>
          <w:rFonts w:ascii="黑体" w:eastAsia="黑体" w:hAnsi="黑体" w:hint="eastAsia"/>
          <w:b/>
          <w:sz w:val="28"/>
          <w:szCs w:val="28"/>
        </w:rPr>
        <w:t>课程考核和评价方式</w:t>
      </w:r>
    </w:p>
    <w:p w:rsidR="00876C31" w:rsidRPr="00104F36" w:rsidRDefault="00876C31" w:rsidP="00104F36">
      <w:pPr>
        <w:spacing w:line="360" w:lineRule="auto"/>
        <w:ind w:firstLine="331"/>
        <w:rPr>
          <w:rFonts w:ascii="仿宋_GB2312" w:hAnsi="仿宋_GB2312" w:cs="仿宋_GB2312"/>
          <w:b/>
          <w:bCs/>
          <w:sz w:val="28"/>
          <w:szCs w:val="28"/>
        </w:rPr>
      </w:pPr>
      <w:r w:rsidRPr="00104F36">
        <w:rPr>
          <w:rFonts w:ascii="仿宋_GB2312" w:hAnsi="仿宋_GB2312" w:cs="仿宋_GB2312" w:hint="eastAsia"/>
          <w:b/>
          <w:bCs/>
          <w:sz w:val="28"/>
          <w:szCs w:val="28"/>
        </w:rPr>
        <w:t>1.课程考核</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本课程不设课外学时，采用平时成绩+期末考试方式确定总评成绩，其中平时成绩考核包括作业、课堂表现、出勤等内容，期末考试采用考察方式（百分制）。平时成绩占30%，期末考试成绩占70%。</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
          <w:bCs/>
          <w:sz w:val="28"/>
          <w:szCs w:val="28"/>
        </w:rPr>
        <w:t>2.成绩评定</w:t>
      </w:r>
      <w:r w:rsidRPr="00104F36">
        <w:rPr>
          <w:rFonts w:ascii="仿宋_GB2312" w:hAnsi="仿宋_GB2312" w:cs="仿宋_GB2312"/>
          <w:bCs/>
          <w:sz w:val="28"/>
          <w:szCs w:val="28"/>
        </w:rPr>
        <w:br/>
        <w:t xml:space="preserve">   课程总成绩=期末成绩</w:t>
      </w:r>
      <w:r w:rsidRPr="00104F36">
        <w:rPr>
          <w:rFonts w:ascii="仿宋_GB2312" w:hAnsi="仿宋_GB2312" w:cs="仿宋_GB2312" w:hint="eastAsia"/>
          <w:bCs/>
          <w:sz w:val="28"/>
          <w:szCs w:val="28"/>
        </w:rPr>
        <w:t>70%+平时</w:t>
      </w:r>
      <w:r w:rsidRPr="00104F36">
        <w:rPr>
          <w:rFonts w:ascii="仿宋_GB2312" w:hAnsi="仿宋_GB2312" w:cs="仿宋_GB2312"/>
          <w:bCs/>
          <w:sz w:val="28"/>
          <w:szCs w:val="28"/>
        </w:rPr>
        <w:t>成绩30</w:t>
      </w:r>
      <w:r w:rsidRPr="00104F36">
        <w:rPr>
          <w:rFonts w:ascii="仿宋_GB2312" w:hAnsi="仿宋_GB2312" w:cs="仿宋_GB2312" w:hint="eastAsia"/>
          <w:bCs/>
          <w:sz w:val="28"/>
          <w:szCs w:val="28"/>
        </w:rPr>
        <w:t>%。</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（1）试题评分标准</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客观题根据题目的正确率判定评分，主观题参考作业评分标准。</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（2）作业评分标准</w:t>
      </w:r>
    </w:p>
    <w:tbl>
      <w:tblPr>
        <w:tblW w:w="8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1753"/>
        <w:gridCol w:w="1754"/>
        <w:gridCol w:w="1754"/>
        <w:gridCol w:w="1754"/>
      </w:tblGrid>
      <w:tr w:rsidR="00876C31" w:rsidRPr="00104F36" w:rsidTr="00BE5664">
        <w:trPr>
          <w:trHeight w:val="301"/>
          <w:jc w:val="center"/>
        </w:trPr>
        <w:tc>
          <w:tcPr>
            <w:tcW w:w="1753"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ascii="仿宋_GB2312" w:hAnsi="仿宋_GB2312" w:cs="仿宋_GB2312" w:hint="eastAsia"/>
                <w:b/>
                <w:bCs/>
                <w:sz w:val="24"/>
                <w:szCs w:val="24"/>
              </w:rPr>
              <w:lastRenderedPageBreak/>
              <w:t>权重</w:t>
            </w:r>
          </w:p>
        </w:tc>
        <w:tc>
          <w:tcPr>
            <w:tcW w:w="1753"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hAnsi="仿宋_GB2312" w:cs="仿宋_GB2312" w:hint="eastAsia"/>
                <w:b/>
                <w:bCs/>
                <w:sz w:val="24"/>
                <w:szCs w:val="24"/>
              </w:rPr>
              <w:t>86-100</w:t>
            </w:r>
            <w:r w:rsidRPr="00104F36">
              <w:rPr>
                <w:rFonts w:hAnsi="仿宋_GB2312" w:cs="仿宋_GB2312" w:hint="eastAsia"/>
                <w:b/>
                <w:bCs/>
                <w:sz w:val="24"/>
                <w:szCs w:val="24"/>
              </w:rPr>
              <w:t>分</w:t>
            </w:r>
          </w:p>
        </w:tc>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hAnsi="仿宋_GB2312" w:cs="仿宋_GB2312" w:hint="eastAsia"/>
                <w:b/>
                <w:bCs/>
                <w:sz w:val="24"/>
                <w:szCs w:val="24"/>
              </w:rPr>
              <w:t>71-85</w:t>
            </w:r>
            <w:r w:rsidRPr="00104F36">
              <w:rPr>
                <w:rFonts w:hAnsi="仿宋_GB2312" w:cs="仿宋_GB2312" w:hint="eastAsia"/>
                <w:b/>
                <w:bCs/>
                <w:sz w:val="24"/>
                <w:szCs w:val="24"/>
              </w:rPr>
              <w:t>分</w:t>
            </w:r>
          </w:p>
        </w:tc>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hAnsi="仿宋_GB2312" w:cs="仿宋_GB2312" w:hint="eastAsia"/>
                <w:b/>
                <w:bCs/>
                <w:sz w:val="24"/>
                <w:szCs w:val="24"/>
              </w:rPr>
              <w:t>50-70</w:t>
            </w:r>
            <w:r w:rsidRPr="00104F36">
              <w:rPr>
                <w:rFonts w:hAnsi="仿宋_GB2312" w:cs="仿宋_GB2312" w:hint="eastAsia"/>
                <w:b/>
                <w:bCs/>
                <w:sz w:val="24"/>
                <w:szCs w:val="24"/>
              </w:rPr>
              <w:t>分</w:t>
            </w:r>
          </w:p>
        </w:tc>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hAnsi="仿宋_GB2312" w:cs="仿宋_GB2312" w:hint="eastAsia"/>
                <w:b/>
                <w:bCs/>
                <w:sz w:val="24"/>
                <w:szCs w:val="24"/>
              </w:rPr>
              <w:t>0-49</w:t>
            </w:r>
            <w:r w:rsidRPr="00104F36">
              <w:rPr>
                <w:rFonts w:hAnsi="仿宋_GB2312" w:cs="仿宋_GB2312" w:hint="eastAsia"/>
                <w:b/>
                <w:bCs/>
                <w:sz w:val="24"/>
                <w:szCs w:val="24"/>
              </w:rPr>
              <w:t>分</w:t>
            </w:r>
          </w:p>
        </w:tc>
      </w:tr>
      <w:tr w:rsidR="00876C31" w:rsidRPr="00104F36" w:rsidTr="00BE5664">
        <w:trPr>
          <w:trHeight w:val="399"/>
          <w:jc w:val="center"/>
        </w:trPr>
        <w:tc>
          <w:tcPr>
            <w:tcW w:w="1753" w:type="dxa"/>
            <w:vAlign w:val="center"/>
          </w:tcPr>
          <w:p w:rsidR="00876C31" w:rsidRPr="00104F36" w:rsidRDefault="00876C31" w:rsidP="00104F36">
            <w:pPr>
              <w:spacing w:line="360" w:lineRule="auto"/>
              <w:rPr>
                <w:rFonts w:ascii="仿宋_GB2312" w:hAnsi="仿宋_GB2312" w:cs="仿宋_GB2312"/>
                <w:bCs/>
                <w:sz w:val="24"/>
                <w:szCs w:val="24"/>
              </w:rPr>
            </w:pPr>
            <w:r w:rsidRPr="00104F36">
              <w:rPr>
                <w:rFonts w:ascii="仿宋_GB2312" w:hAnsi="仿宋_GB2312" w:cs="仿宋_GB2312" w:hint="eastAsia"/>
                <w:bCs/>
                <w:sz w:val="24"/>
                <w:szCs w:val="24"/>
              </w:rPr>
              <w:t>作业完成态度（权重0.2）</w:t>
            </w:r>
          </w:p>
        </w:tc>
        <w:tc>
          <w:tcPr>
            <w:tcW w:w="1753" w:type="dxa"/>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非常认真</w:t>
            </w:r>
          </w:p>
        </w:tc>
        <w:tc>
          <w:tcPr>
            <w:tcW w:w="1754" w:type="dxa"/>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较认真</w:t>
            </w:r>
          </w:p>
        </w:tc>
        <w:tc>
          <w:tcPr>
            <w:tcW w:w="1754" w:type="dxa"/>
            <w:vAlign w:val="center"/>
          </w:tcPr>
          <w:p w:rsidR="00876C31" w:rsidRPr="00104F36" w:rsidRDefault="00876C31" w:rsidP="00104F36">
            <w:pPr>
              <w:spacing w:line="360" w:lineRule="auto"/>
              <w:ind w:firstLine="331"/>
              <w:rPr>
                <w:rFonts w:hAnsi="仿宋_GB2312" w:cs="仿宋_GB2312"/>
                <w:bCs/>
                <w:sz w:val="24"/>
                <w:szCs w:val="24"/>
              </w:rPr>
            </w:pPr>
            <w:r w:rsidRPr="00104F36">
              <w:rPr>
                <w:rFonts w:hAnsi="仿宋_GB2312" w:cs="仿宋_GB2312" w:hint="eastAsia"/>
                <w:bCs/>
                <w:sz w:val="24"/>
                <w:szCs w:val="24"/>
              </w:rPr>
              <w:t>一般认真</w:t>
            </w:r>
          </w:p>
        </w:tc>
        <w:tc>
          <w:tcPr>
            <w:tcW w:w="1754" w:type="dxa"/>
            <w:vAlign w:val="center"/>
          </w:tcPr>
          <w:p w:rsidR="00876C31" w:rsidRPr="00104F36" w:rsidRDefault="00876C31" w:rsidP="00104F36">
            <w:pPr>
              <w:spacing w:line="360" w:lineRule="auto"/>
              <w:ind w:firstLine="331"/>
              <w:rPr>
                <w:rFonts w:hAnsi="仿宋_GB2312" w:cs="仿宋_GB2312"/>
                <w:bCs/>
                <w:sz w:val="24"/>
                <w:szCs w:val="24"/>
              </w:rPr>
            </w:pPr>
            <w:r w:rsidRPr="00104F36">
              <w:rPr>
                <w:rFonts w:hAnsi="仿宋_GB2312" w:cs="仿宋_GB2312" w:hint="eastAsia"/>
                <w:bCs/>
                <w:sz w:val="24"/>
                <w:szCs w:val="24"/>
              </w:rPr>
              <w:t>不认真</w:t>
            </w:r>
          </w:p>
        </w:tc>
      </w:tr>
      <w:tr w:rsidR="00876C31" w:rsidRPr="00104F36" w:rsidTr="00BE5664">
        <w:trPr>
          <w:trHeight w:val="399"/>
          <w:jc w:val="center"/>
        </w:trPr>
        <w:tc>
          <w:tcPr>
            <w:tcW w:w="1753" w:type="dxa"/>
            <w:vAlign w:val="center"/>
          </w:tcPr>
          <w:p w:rsidR="00876C31" w:rsidRPr="00104F36" w:rsidRDefault="00876C31" w:rsidP="00104F36">
            <w:pPr>
              <w:spacing w:line="360" w:lineRule="auto"/>
              <w:rPr>
                <w:rFonts w:ascii="仿宋_GB2312" w:hAnsi="仿宋_GB2312" w:cs="仿宋_GB2312"/>
                <w:bCs/>
                <w:sz w:val="24"/>
                <w:szCs w:val="24"/>
              </w:rPr>
            </w:pPr>
            <w:r w:rsidRPr="00104F36">
              <w:rPr>
                <w:rFonts w:ascii="仿宋_GB2312" w:hAnsi="仿宋_GB2312" w:cs="仿宋_GB2312" w:hint="eastAsia"/>
                <w:bCs/>
                <w:sz w:val="24"/>
                <w:szCs w:val="24"/>
              </w:rPr>
              <w:t>作业完成正确率（权重0.8）</w:t>
            </w:r>
          </w:p>
        </w:tc>
        <w:tc>
          <w:tcPr>
            <w:tcW w:w="1753" w:type="dxa"/>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正确率达86%以上</w:t>
            </w:r>
          </w:p>
        </w:tc>
        <w:tc>
          <w:tcPr>
            <w:tcW w:w="1754" w:type="dxa"/>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正确率达71%以上</w:t>
            </w:r>
          </w:p>
        </w:tc>
        <w:tc>
          <w:tcPr>
            <w:tcW w:w="1754" w:type="dxa"/>
            <w:vAlign w:val="center"/>
          </w:tcPr>
          <w:p w:rsidR="00876C31" w:rsidRPr="00104F36" w:rsidRDefault="00876C31" w:rsidP="00104F36">
            <w:pPr>
              <w:spacing w:line="360" w:lineRule="auto"/>
              <w:ind w:firstLine="331"/>
              <w:rPr>
                <w:rFonts w:hAnsi="仿宋_GB2312" w:cs="仿宋_GB2312"/>
                <w:bCs/>
                <w:sz w:val="24"/>
                <w:szCs w:val="24"/>
              </w:rPr>
            </w:pPr>
            <w:r w:rsidRPr="00104F36">
              <w:rPr>
                <w:rFonts w:ascii="仿宋_GB2312" w:hAnsi="仿宋_GB2312" w:cs="仿宋_GB2312" w:hint="eastAsia"/>
                <w:bCs/>
                <w:sz w:val="24"/>
                <w:szCs w:val="24"/>
              </w:rPr>
              <w:t>正确率达50%以上</w:t>
            </w:r>
          </w:p>
        </w:tc>
        <w:tc>
          <w:tcPr>
            <w:tcW w:w="1754" w:type="dxa"/>
            <w:vAlign w:val="center"/>
          </w:tcPr>
          <w:p w:rsidR="00876C31" w:rsidRPr="00104F36" w:rsidRDefault="00876C31" w:rsidP="00104F36">
            <w:pPr>
              <w:spacing w:line="360" w:lineRule="auto"/>
              <w:ind w:firstLine="331"/>
              <w:rPr>
                <w:rFonts w:hAnsi="仿宋_GB2312" w:cs="仿宋_GB2312"/>
                <w:bCs/>
                <w:sz w:val="24"/>
                <w:szCs w:val="24"/>
              </w:rPr>
            </w:pPr>
            <w:r w:rsidRPr="00104F36">
              <w:rPr>
                <w:rFonts w:ascii="仿宋_GB2312" w:hAnsi="仿宋_GB2312" w:cs="仿宋_GB2312" w:hint="eastAsia"/>
                <w:bCs/>
                <w:sz w:val="24"/>
                <w:szCs w:val="24"/>
              </w:rPr>
              <w:t>正确率低于50%</w:t>
            </w:r>
          </w:p>
        </w:tc>
      </w:tr>
    </w:tbl>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（3）课堂表现评分标准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876C31" w:rsidRPr="00104F36" w:rsidTr="00BE5664">
        <w:trPr>
          <w:trHeight w:val="281"/>
          <w:jc w:val="center"/>
        </w:trPr>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ascii="仿宋_GB2312" w:hAnsi="仿宋_GB2312" w:cs="仿宋_GB2312" w:hint="eastAsia"/>
                <w:b/>
                <w:bCs/>
                <w:sz w:val="24"/>
                <w:szCs w:val="24"/>
              </w:rPr>
              <w:t>权重</w:t>
            </w:r>
          </w:p>
        </w:tc>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hAnsi="仿宋_GB2312" w:cs="仿宋_GB2312" w:hint="eastAsia"/>
                <w:b/>
                <w:bCs/>
                <w:sz w:val="24"/>
                <w:szCs w:val="24"/>
              </w:rPr>
              <w:t>86-100</w:t>
            </w:r>
            <w:r w:rsidRPr="00104F36">
              <w:rPr>
                <w:rFonts w:hAnsi="仿宋_GB2312" w:cs="仿宋_GB2312" w:hint="eastAsia"/>
                <w:b/>
                <w:bCs/>
                <w:sz w:val="24"/>
                <w:szCs w:val="24"/>
              </w:rPr>
              <w:t>分</w:t>
            </w:r>
          </w:p>
        </w:tc>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hAnsi="仿宋_GB2312" w:cs="仿宋_GB2312" w:hint="eastAsia"/>
                <w:b/>
                <w:bCs/>
                <w:sz w:val="24"/>
                <w:szCs w:val="24"/>
              </w:rPr>
              <w:t>71-85</w:t>
            </w:r>
            <w:r w:rsidRPr="00104F36">
              <w:rPr>
                <w:rFonts w:hAnsi="仿宋_GB2312" w:cs="仿宋_GB2312" w:hint="eastAsia"/>
                <w:b/>
                <w:bCs/>
                <w:sz w:val="24"/>
                <w:szCs w:val="24"/>
              </w:rPr>
              <w:t>分</w:t>
            </w:r>
          </w:p>
        </w:tc>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hAnsi="仿宋_GB2312" w:cs="仿宋_GB2312" w:hint="eastAsia"/>
                <w:b/>
                <w:bCs/>
                <w:sz w:val="24"/>
                <w:szCs w:val="24"/>
              </w:rPr>
              <w:t>50-70</w:t>
            </w:r>
            <w:r w:rsidRPr="00104F36">
              <w:rPr>
                <w:rFonts w:hAnsi="仿宋_GB2312" w:cs="仿宋_GB2312" w:hint="eastAsia"/>
                <w:b/>
                <w:bCs/>
                <w:sz w:val="24"/>
                <w:szCs w:val="24"/>
              </w:rPr>
              <w:t>分</w:t>
            </w:r>
          </w:p>
        </w:tc>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hAnsi="仿宋_GB2312" w:cs="仿宋_GB2312" w:hint="eastAsia"/>
                <w:b/>
                <w:bCs/>
                <w:sz w:val="24"/>
                <w:szCs w:val="24"/>
              </w:rPr>
              <w:t>0-49</w:t>
            </w:r>
            <w:r w:rsidRPr="00104F36">
              <w:rPr>
                <w:rFonts w:hAnsi="仿宋_GB2312" w:cs="仿宋_GB2312" w:hint="eastAsia"/>
                <w:b/>
                <w:bCs/>
                <w:sz w:val="24"/>
                <w:szCs w:val="24"/>
              </w:rPr>
              <w:t>分</w:t>
            </w:r>
          </w:p>
        </w:tc>
      </w:tr>
      <w:tr w:rsidR="00876C31" w:rsidRPr="00104F36" w:rsidTr="00BE5664">
        <w:trPr>
          <w:trHeight w:val="372"/>
          <w:jc w:val="center"/>
        </w:trPr>
        <w:tc>
          <w:tcPr>
            <w:tcW w:w="1754" w:type="dxa"/>
            <w:vAlign w:val="center"/>
          </w:tcPr>
          <w:p w:rsidR="00876C31" w:rsidRPr="00104F36" w:rsidRDefault="00876C31" w:rsidP="00104F36">
            <w:pPr>
              <w:spacing w:line="360" w:lineRule="auto"/>
              <w:rPr>
                <w:rFonts w:ascii="仿宋_GB2312" w:hAnsi="仿宋_GB2312" w:cs="仿宋_GB2312"/>
                <w:bCs/>
                <w:sz w:val="24"/>
                <w:szCs w:val="24"/>
              </w:rPr>
            </w:pPr>
            <w:r w:rsidRPr="00104F36">
              <w:rPr>
                <w:rFonts w:ascii="仿宋_GB2312" w:hAnsi="仿宋_GB2312" w:cs="仿宋_GB2312" w:hint="eastAsia"/>
                <w:bCs/>
                <w:sz w:val="24"/>
                <w:szCs w:val="24"/>
              </w:rPr>
              <w:t>回答问题准确性（权重1.0）</w:t>
            </w:r>
          </w:p>
        </w:tc>
        <w:tc>
          <w:tcPr>
            <w:tcW w:w="1754" w:type="dxa"/>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正确率达86%以上</w:t>
            </w:r>
          </w:p>
        </w:tc>
        <w:tc>
          <w:tcPr>
            <w:tcW w:w="1754" w:type="dxa"/>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正确率达71%以上</w:t>
            </w:r>
          </w:p>
        </w:tc>
        <w:tc>
          <w:tcPr>
            <w:tcW w:w="1754" w:type="dxa"/>
            <w:vAlign w:val="center"/>
          </w:tcPr>
          <w:p w:rsidR="00876C31" w:rsidRPr="00104F36" w:rsidRDefault="00876C31" w:rsidP="00104F36">
            <w:pPr>
              <w:spacing w:line="360" w:lineRule="auto"/>
              <w:ind w:firstLine="331"/>
              <w:rPr>
                <w:rFonts w:hAnsi="仿宋_GB2312" w:cs="仿宋_GB2312"/>
                <w:bCs/>
                <w:sz w:val="24"/>
                <w:szCs w:val="24"/>
              </w:rPr>
            </w:pPr>
            <w:r w:rsidRPr="00104F36">
              <w:rPr>
                <w:rFonts w:ascii="仿宋_GB2312" w:hAnsi="仿宋_GB2312" w:cs="仿宋_GB2312" w:hint="eastAsia"/>
                <w:bCs/>
                <w:sz w:val="24"/>
                <w:szCs w:val="24"/>
              </w:rPr>
              <w:t>正确率达50%以上</w:t>
            </w:r>
          </w:p>
        </w:tc>
        <w:tc>
          <w:tcPr>
            <w:tcW w:w="1754" w:type="dxa"/>
            <w:vAlign w:val="center"/>
          </w:tcPr>
          <w:p w:rsidR="00876C31" w:rsidRPr="00104F36" w:rsidRDefault="00876C31" w:rsidP="00104F36">
            <w:pPr>
              <w:spacing w:line="360" w:lineRule="auto"/>
              <w:ind w:firstLine="331"/>
              <w:rPr>
                <w:rFonts w:hAnsi="仿宋_GB2312" w:cs="仿宋_GB2312"/>
                <w:bCs/>
                <w:sz w:val="24"/>
                <w:szCs w:val="24"/>
              </w:rPr>
            </w:pPr>
            <w:r w:rsidRPr="00104F36">
              <w:rPr>
                <w:rFonts w:ascii="仿宋_GB2312" w:hAnsi="仿宋_GB2312" w:cs="仿宋_GB2312" w:hint="eastAsia"/>
                <w:bCs/>
                <w:sz w:val="24"/>
                <w:szCs w:val="24"/>
              </w:rPr>
              <w:t>正确率低于50%</w:t>
            </w:r>
          </w:p>
        </w:tc>
      </w:tr>
    </w:tbl>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（4）课堂出勤评分标准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876C31" w:rsidRPr="00104F36" w:rsidTr="00BE5664">
        <w:trPr>
          <w:trHeight w:val="281"/>
          <w:jc w:val="center"/>
        </w:trPr>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ascii="仿宋_GB2312" w:hAnsi="仿宋_GB2312" w:cs="仿宋_GB2312" w:hint="eastAsia"/>
                <w:b/>
                <w:bCs/>
                <w:sz w:val="24"/>
                <w:szCs w:val="24"/>
              </w:rPr>
              <w:t>权重</w:t>
            </w:r>
          </w:p>
        </w:tc>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hAnsi="仿宋_GB2312" w:cs="仿宋_GB2312" w:hint="eastAsia"/>
                <w:b/>
                <w:bCs/>
                <w:sz w:val="24"/>
                <w:szCs w:val="24"/>
              </w:rPr>
              <w:t>81-100</w:t>
            </w:r>
            <w:r w:rsidRPr="00104F36">
              <w:rPr>
                <w:rFonts w:hAnsi="仿宋_GB2312" w:cs="仿宋_GB2312" w:hint="eastAsia"/>
                <w:b/>
                <w:bCs/>
                <w:sz w:val="24"/>
                <w:szCs w:val="24"/>
              </w:rPr>
              <w:t>分</w:t>
            </w:r>
          </w:p>
        </w:tc>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hAnsi="仿宋_GB2312" w:cs="仿宋_GB2312" w:hint="eastAsia"/>
                <w:b/>
                <w:bCs/>
                <w:sz w:val="24"/>
                <w:szCs w:val="24"/>
              </w:rPr>
              <w:t>51-80</w:t>
            </w:r>
            <w:r w:rsidRPr="00104F36">
              <w:rPr>
                <w:rFonts w:hAnsi="仿宋_GB2312" w:cs="仿宋_GB2312" w:hint="eastAsia"/>
                <w:b/>
                <w:bCs/>
                <w:sz w:val="24"/>
                <w:szCs w:val="24"/>
              </w:rPr>
              <w:t>分</w:t>
            </w:r>
          </w:p>
        </w:tc>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hAnsi="仿宋_GB2312" w:cs="仿宋_GB2312" w:hint="eastAsia"/>
                <w:b/>
                <w:bCs/>
                <w:sz w:val="24"/>
                <w:szCs w:val="24"/>
              </w:rPr>
              <w:t>26-50</w:t>
            </w:r>
            <w:r w:rsidRPr="00104F36">
              <w:rPr>
                <w:rFonts w:hAnsi="仿宋_GB2312" w:cs="仿宋_GB2312" w:hint="eastAsia"/>
                <w:b/>
                <w:bCs/>
                <w:sz w:val="24"/>
                <w:szCs w:val="24"/>
              </w:rPr>
              <w:t>分</w:t>
            </w:r>
          </w:p>
        </w:tc>
        <w:tc>
          <w:tcPr>
            <w:tcW w:w="1754" w:type="dxa"/>
            <w:vAlign w:val="center"/>
          </w:tcPr>
          <w:p w:rsidR="00876C31" w:rsidRPr="00104F36" w:rsidRDefault="00876C31" w:rsidP="00104F36">
            <w:pPr>
              <w:spacing w:line="360" w:lineRule="auto"/>
              <w:ind w:firstLine="331"/>
              <w:rPr>
                <w:rFonts w:ascii="仿宋_GB2312" w:hAnsi="仿宋_GB2312" w:cs="仿宋_GB2312"/>
                <w:b/>
                <w:bCs/>
                <w:sz w:val="24"/>
                <w:szCs w:val="24"/>
              </w:rPr>
            </w:pPr>
            <w:r w:rsidRPr="00104F36">
              <w:rPr>
                <w:rFonts w:hAnsi="仿宋_GB2312" w:cs="仿宋_GB2312" w:hint="eastAsia"/>
                <w:b/>
                <w:bCs/>
                <w:sz w:val="24"/>
                <w:szCs w:val="24"/>
              </w:rPr>
              <w:t>0-25</w:t>
            </w:r>
            <w:r w:rsidRPr="00104F36">
              <w:rPr>
                <w:rFonts w:hAnsi="仿宋_GB2312" w:cs="仿宋_GB2312" w:hint="eastAsia"/>
                <w:b/>
                <w:bCs/>
                <w:sz w:val="24"/>
                <w:szCs w:val="24"/>
              </w:rPr>
              <w:t>分</w:t>
            </w:r>
          </w:p>
        </w:tc>
      </w:tr>
      <w:tr w:rsidR="00876C31" w:rsidRPr="00104F36" w:rsidTr="00BE5664">
        <w:trPr>
          <w:trHeight w:val="372"/>
          <w:jc w:val="center"/>
        </w:trPr>
        <w:tc>
          <w:tcPr>
            <w:tcW w:w="1754" w:type="dxa"/>
            <w:vAlign w:val="center"/>
          </w:tcPr>
          <w:p w:rsidR="00876C31" w:rsidRPr="00104F36" w:rsidRDefault="00876C31" w:rsidP="00104F36">
            <w:pPr>
              <w:spacing w:line="360" w:lineRule="auto"/>
              <w:rPr>
                <w:rFonts w:ascii="仿宋_GB2312" w:hAnsi="仿宋_GB2312" w:cs="仿宋_GB2312"/>
                <w:bCs/>
                <w:sz w:val="24"/>
                <w:szCs w:val="24"/>
              </w:rPr>
            </w:pPr>
            <w:r w:rsidRPr="00104F36">
              <w:rPr>
                <w:rFonts w:ascii="仿宋_GB2312" w:hAnsi="仿宋_GB2312" w:cs="仿宋_GB2312" w:hint="eastAsia"/>
                <w:bCs/>
                <w:sz w:val="24"/>
                <w:szCs w:val="24"/>
              </w:rPr>
              <w:t>课堂出勤率</w:t>
            </w:r>
          </w:p>
          <w:p w:rsidR="00876C31" w:rsidRPr="00104F36" w:rsidRDefault="00876C31" w:rsidP="00104F36">
            <w:pPr>
              <w:spacing w:line="360" w:lineRule="auto"/>
              <w:rPr>
                <w:rFonts w:ascii="仿宋_GB2312" w:hAnsi="仿宋_GB2312" w:cs="仿宋_GB2312"/>
                <w:bCs/>
                <w:sz w:val="24"/>
                <w:szCs w:val="24"/>
              </w:rPr>
            </w:pPr>
            <w:r w:rsidRPr="00104F36">
              <w:rPr>
                <w:rFonts w:ascii="仿宋_GB2312" w:hAnsi="仿宋_GB2312" w:cs="仿宋_GB2312" w:hint="eastAsia"/>
                <w:bCs/>
                <w:sz w:val="24"/>
                <w:szCs w:val="24"/>
              </w:rPr>
              <w:t>（权重1.0）</w:t>
            </w:r>
          </w:p>
        </w:tc>
        <w:tc>
          <w:tcPr>
            <w:tcW w:w="1754" w:type="dxa"/>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出勤率达81%以上</w:t>
            </w:r>
          </w:p>
        </w:tc>
        <w:tc>
          <w:tcPr>
            <w:tcW w:w="1754" w:type="dxa"/>
            <w:vAlign w:val="center"/>
          </w:tcPr>
          <w:p w:rsidR="00876C31" w:rsidRPr="00104F36" w:rsidRDefault="00876C31" w:rsidP="00104F36">
            <w:pPr>
              <w:spacing w:line="360" w:lineRule="auto"/>
              <w:ind w:firstLine="331"/>
              <w:rPr>
                <w:rFonts w:ascii="仿宋_GB2312" w:hAnsi="仿宋_GB2312" w:cs="仿宋_GB2312"/>
                <w:bCs/>
                <w:sz w:val="24"/>
                <w:szCs w:val="24"/>
              </w:rPr>
            </w:pPr>
            <w:r w:rsidRPr="00104F36">
              <w:rPr>
                <w:rFonts w:ascii="仿宋_GB2312" w:hAnsi="仿宋_GB2312" w:cs="仿宋_GB2312" w:hint="eastAsia"/>
                <w:bCs/>
                <w:sz w:val="24"/>
                <w:szCs w:val="24"/>
              </w:rPr>
              <w:t>出勤率达51%以上</w:t>
            </w:r>
          </w:p>
        </w:tc>
        <w:tc>
          <w:tcPr>
            <w:tcW w:w="1754" w:type="dxa"/>
            <w:vAlign w:val="center"/>
          </w:tcPr>
          <w:p w:rsidR="00876C31" w:rsidRPr="00104F36" w:rsidRDefault="00876C31" w:rsidP="00104F36">
            <w:pPr>
              <w:spacing w:line="360" w:lineRule="auto"/>
              <w:ind w:firstLine="331"/>
              <w:rPr>
                <w:rFonts w:hAnsi="仿宋_GB2312" w:cs="仿宋_GB2312"/>
                <w:bCs/>
                <w:sz w:val="24"/>
                <w:szCs w:val="24"/>
              </w:rPr>
            </w:pPr>
            <w:r w:rsidRPr="00104F36">
              <w:rPr>
                <w:rFonts w:ascii="仿宋_GB2312" w:hAnsi="仿宋_GB2312" w:cs="仿宋_GB2312" w:hint="eastAsia"/>
                <w:bCs/>
                <w:sz w:val="24"/>
                <w:szCs w:val="24"/>
              </w:rPr>
              <w:t>出勤率达26%以上</w:t>
            </w:r>
          </w:p>
        </w:tc>
        <w:tc>
          <w:tcPr>
            <w:tcW w:w="1754" w:type="dxa"/>
            <w:vAlign w:val="center"/>
          </w:tcPr>
          <w:p w:rsidR="00876C31" w:rsidRPr="00104F36" w:rsidRDefault="00876C31" w:rsidP="00104F36">
            <w:pPr>
              <w:spacing w:line="360" w:lineRule="auto"/>
              <w:ind w:firstLine="331"/>
              <w:rPr>
                <w:rFonts w:hAnsi="仿宋_GB2312" w:cs="仿宋_GB2312"/>
                <w:bCs/>
                <w:sz w:val="24"/>
                <w:szCs w:val="24"/>
              </w:rPr>
            </w:pPr>
            <w:r w:rsidRPr="00104F36">
              <w:rPr>
                <w:rFonts w:ascii="仿宋_GB2312" w:hAnsi="仿宋_GB2312" w:cs="仿宋_GB2312" w:hint="eastAsia"/>
                <w:bCs/>
                <w:sz w:val="24"/>
                <w:szCs w:val="24"/>
              </w:rPr>
              <w:t>出勤率低于25%</w:t>
            </w:r>
          </w:p>
        </w:tc>
      </w:tr>
    </w:tbl>
    <w:p w:rsidR="00876C31" w:rsidRDefault="00876C31" w:rsidP="00104F36">
      <w:pPr>
        <w:spacing w:beforeLines="50" w:before="156" w:afterLines="50" w:after="156" w:line="460" w:lineRule="exact"/>
        <w:jc w:val="left"/>
        <w:rPr>
          <w:rFonts w:ascii="黑体" w:eastAsia="黑体" w:hAnsi="黑体"/>
          <w:b/>
          <w:sz w:val="28"/>
          <w:szCs w:val="28"/>
        </w:rPr>
      </w:pPr>
      <w:r>
        <w:rPr>
          <w:rFonts w:ascii="黑体" w:eastAsia="黑体" w:hAnsi="黑体" w:hint="eastAsia"/>
          <w:b/>
          <w:sz w:val="28"/>
          <w:szCs w:val="28"/>
        </w:rPr>
        <w:t>六、课程建议教材及主要参考资料</w:t>
      </w:r>
    </w:p>
    <w:p w:rsidR="00876C31" w:rsidRPr="00104F36" w:rsidRDefault="00876C31" w:rsidP="00104F36">
      <w:pPr>
        <w:spacing w:line="360" w:lineRule="auto"/>
        <w:ind w:firstLine="331"/>
        <w:rPr>
          <w:rFonts w:ascii="仿宋_GB2312" w:hAnsi="仿宋_GB2312" w:cs="仿宋_GB2312"/>
          <w:b/>
          <w:bCs/>
          <w:sz w:val="28"/>
          <w:szCs w:val="28"/>
        </w:rPr>
      </w:pPr>
      <w:r w:rsidRPr="00104F36">
        <w:rPr>
          <w:rFonts w:ascii="仿宋_GB2312" w:hAnsi="仿宋_GB2312" w:cs="仿宋_GB2312" w:hint="eastAsia"/>
          <w:b/>
          <w:bCs/>
          <w:sz w:val="28"/>
          <w:szCs w:val="28"/>
        </w:rPr>
        <w:t>1.建议教材</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教  材：《工程经济学》第三版，刘晓君著，中国建筑工业出版社，2015年02月。</w:t>
      </w:r>
    </w:p>
    <w:p w:rsidR="00876C31" w:rsidRPr="00104F36" w:rsidRDefault="00876C31" w:rsidP="00104F36">
      <w:pPr>
        <w:spacing w:line="360" w:lineRule="auto"/>
        <w:ind w:firstLine="331"/>
        <w:rPr>
          <w:rFonts w:ascii="仿宋_GB2312" w:hAnsi="仿宋_GB2312" w:cs="仿宋_GB2312"/>
          <w:b/>
          <w:bCs/>
          <w:sz w:val="28"/>
          <w:szCs w:val="28"/>
        </w:rPr>
      </w:pPr>
      <w:r w:rsidRPr="00104F36">
        <w:rPr>
          <w:rFonts w:ascii="仿宋_GB2312" w:hAnsi="仿宋_GB2312" w:cs="仿宋_GB2312" w:hint="eastAsia"/>
          <w:b/>
          <w:bCs/>
          <w:sz w:val="28"/>
          <w:szCs w:val="28"/>
        </w:rPr>
        <w:t>2.主要参考资料</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《建设项目经济评价方法与参数》 国家发改委，中国计划出版社， 2006年；</w:t>
      </w:r>
    </w:p>
    <w:p w:rsidR="00876C31" w:rsidRPr="00104F36" w:rsidRDefault="00876C31" w:rsidP="00104F36">
      <w:pPr>
        <w:spacing w:line="360" w:lineRule="auto"/>
        <w:ind w:firstLine="331"/>
        <w:rPr>
          <w:rFonts w:ascii="仿宋_GB2312" w:hAnsi="仿宋_GB2312" w:cs="仿宋_GB2312"/>
          <w:bCs/>
          <w:sz w:val="28"/>
          <w:szCs w:val="28"/>
        </w:rPr>
      </w:pPr>
      <w:r w:rsidRPr="00104F36">
        <w:rPr>
          <w:rFonts w:ascii="仿宋_GB2312" w:hAnsi="仿宋_GB2312" w:cs="仿宋_GB2312" w:hint="eastAsia"/>
          <w:bCs/>
          <w:sz w:val="28"/>
          <w:szCs w:val="28"/>
        </w:rPr>
        <w:t>《可行性研究与项目评估》，宋维佳等著，东北财经大学出版社，2015年08月；</w:t>
      </w:r>
    </w:p>
    <w:p w:rsidR="00876C31" w:rsidRPr="00104F36" w:rsidRDefault="00876C31" w:rsidP="00104F36">
      <w:pPr>
        <w:spacing w:line="360" w:lineRule="auto"/>
        <w:ind w:firstLine="331"/>
        <w:rPr>
          <w:rFonts w:ascii="仿宋_GB2312" w:hAnsi="仿宋_GB2312" w:cs="仿宋_GB2312"/>
          <w:bCs/>
          <w:sz w:val="28"/>
          <w:szCs w:val="28"/>
        </w:rPr>
      </w:pPr>
    </w:p>
    <w:p w:rsidR="00876C31" w:rsidRDefault="00876C31" w:rsidP="00876C31">
      <w:pPr>
        <w:rPr>
          <w:rFonts w:ascii="仿宋" w:eastAsia="仿宋" w:hAnsi="仿宋"/>
          <w:sz w:val="28"/>
          <w:szCs w:val="28"/>
        </w:rPr>
      </w:pPr>
    </w:p>
    <w:p w:rsidR="00876C31" w:rsidRDefault="00876C31" w:rsidP="00876C31">
      <w:pPr>
        <w:ind w:firstLineChars="1200" w:firstLine="3360"/>
        <w:rPr>
          <w:rFonts w:ascii="仿宋" w:eastAsia="仿宋" w:hAnsi="仿宋"/>
          <w:sz w:val="28"/>
          <w:szCs w:val="28"/>
        </w:rPr>
      </w:pPr>
      <w:r>
        <w:rPr>
          <w:rFonts w:ascii="仿宋" w:eastAsia="仿宋" w:hAnsi="仿宋" w:hint="eastAsia"/>
          <w:sz w:val="28"/>
          <w:szCs w:val="28"/>
        </w:rPr>
        <w:lastRenderedPageBreak/>
        <w:t xml:space="preserve">大纲撰写人：李寓  </w:t>
      </w:r>
    </w:p>
    <w:p w:rsidR="00876C31" w:rsidRDefault="00876C31" w:rsidP="00876C31">
      <w:pPr>
        <w:ind w:firstLineChars="1200" w:firstLine="3360"/>
        <w:rPr>
          <w:rFonts w:ascii="仿宋" w:eastAsia="仿宋" w:hAnsi="仿宋"/>
          <w:sz w:val="28"/>
          <w:szCs w:val="28"/>
        </w:rPr>
      </w:pPr>
      <w:r>
        <w:rPr>
          <w:rFonts w:ascii="仿宋" w:eastAsia="仿宋" w:hAnsi="仿宋" w:hint="eastAsia"/>
          <w:sz w:val="28"/>
          <w:szCs w:val="28"/>
        </w:rPr>
        <w:t xml:space="preserve">课程负责人：李寓  </w:t>
      </w:r>
    </w:p>
    <w:p w:rsidR="00876C31" w:rsidRDefault="00876C31" w:rsidP="00876C31">
      <w:pPr>
        <w:ind w:firstLineChars="1200" w:firstLine="3360"/>
        <w:rPr>
          <w:rFonts w:ascii="仿宋" w:eastAsia="仿宋" w:hAnsi="仿宋"/>
          <w:sz w:val="28"/>
          <w:szCs w:val="28"/>
        </w:rPr>
      </w:pPr>
      <w:r>
        <w:rPr>
          <w:rFonts w:ascii="仿宋" w:eastAsia="仿宋" w:hAnsi="仿宋" w:hint="eastAsia"/>
          <w:sz w:val="28"/>
          <w:szCs w:val="28"/>
        </w:rPr>
        <w:t>审核人：袁春燕</w:t>
      </w:r>
    </w:p>
    <w:p w:rsidR="00876C31" w:rsidRDefault="00876C31" w:rsidP="00876C31">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876C31" w:rsidRDefault="00876C31" w:rsidP="00876C31">
      <w:pPr>
        <w:ind w:firstLineChars="2000" w:firstLine="5600"/>
        <w:jc w:val="left"/>
        <w:rPr>
          <w:rFonts w:ascii="仿宋" w:hAnsi="仿宋"/>
          <w:sz w:val="28"/>
          <w:szCs w:val="28"/>
        </w:rPr>
      </w:pPr>
      <w:r>
        <w:rPr>
          <w:rFonts w:ascii="仿宋_GB2312" w:hAnsi="微软雅黑" w:hint="eastAsia"/>
          <w:sz w:val="28"/>
          <w:szCs w:val="28"/>
        </w:rPr>
        <w:t xml:space="preserve">    </w:t>
      </w:r>
    </w:p>
    <w:p w:rsidR="00876C31" w:rsidRDefault="00876C31" w:rsidP="00876C31">
      <w:pPr>
        <w:rPr>
          <w:rFonts w:ascii="仿宋" w:eastAsia="仿宋" w:hAnsi="仿宋"/>
          <w:szCs w:val="32"/>
        </w:rPr>
      </w:pPr>
      <w:r>
        <w:rPr>
          <w:rFonts w:ascii="仿宋" w:eastAsia="仿宋" w:hAnsi="仿宋" w:hint="eastAsia"/>
          <w:sz w:val="28"/>
          <w:szCs w:val="28"/>
        </w:rPr>
        <w:t xml:space="preserve">                                           2021 年 4 月</w:t>
      </w:r>
    </w:p>
    <w:p w:rsidR="00876C31" w:rsidRDefault="00876C31" w:rsidP="00876C31">
      <w:pPr>
        <w:jc w:val="left"/>
        <w:rPr>
          <w:rFonts w:ascii="仿宋_GB2312" w:hAnsi="黑体"/>
          <w:sz w:val="28"/>
          <w:szCs w:val="28"/>
        </w:rPr>
      </w:pPr>
    </w:p>
    <w:p w:rsidR="00876C31" w:rsidRDefault="00876C31" w:rsidP="00876C31">
      <w:pPr>
        <w:widowControl/>
        <w:spacing w:line="400" w:lineRule="exact"/>
        <w:rPr>
          <w:rFonts w:ascii="黑体" w:eastAsia="黑体" w:hAnsi="黑体" w:cs="宋体"/>
          <w:bCs/>
          <w:color w:val="000000"/>
          <w:kern w:val="0"/>
          <w:szCs w:val="32"/>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104F36" w:rsidRDefault="00104F36" w:rsidP="00BE5664">
      <w:pPr>
        <w:widowControl/>
        <w:spacing w:line="360" w:lineRule="auto"/>
        <w:jc w:val="center"/>
        <w:rPr>
          <w:rFonts w:ascii="黑体" w:eastAsia="黑体" w:hAnsi="黑体"/>
          <w:b/>
          <w:kern w:val="0"/>
          <w:szCs w:val="28"/>
        </w:rPr>
      </w:pPr>
    </w:p>
    <w:p w:rsidR="00BE5664" w:rsidRDefault="00BE5664" w:rsidP="00BE5664">
      <w:pPr>
        <w:widowControl/>
        <w:spacing w:line="360" w:lineRule="auto"/>
        <w:jc w:val="center"/>
        <w:rPr>
          <w:rFonts w:ascii="黑体" w:eastAsia="黑体" w:hAnsi="黑体"/>
          <w:b/>
          <w:kern w:val="0"/>
          <w:szCs w:val="28"/>
        </w:rPr>
      </w:pPr>
      <w:r>
        <w:rPr>
          <w:rFonts w:ascii="黑体" w:eastAsia="黑体" w:hAnsi="黑体"/>
          <w:b/>
          <w:kern w:val="0"/>
          <w:szCs w:val="28"/>
        </w:rPr>
        <w:lastRenderedPageBreak/>
        <w:t>《</w:t>
      </w:r>
      <w:r>
        <w:rPr>
          <w:rFonts w:ascii="黑体" w:eastAsia="黑体" w:hAnsi="黑体" w:hint="eastAsia"/>
          <w:b/>
          <w:kern w:val="0"/>
          <w:szCs w:val="28"/>
        </w:rPr>
        <w:t>地下工程施工技术</w:t>
      </w:r>
      <w:r>
        <w:rPr>
          <w:rFonts w:ascii="黑体" w:eastAsia="黑体" w:hAnsi="黑体"/>
          <w:b/>
          <w:kern w:val="0"/>
          <w:szCs w:val="28"/>
        </w:rPr>
        <w:t>》课程教学大纲</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一、课程信息</w:t>
      </w:r>
    </w:p>
    <w:p w:rsidR="00BE5664" w:rsidRDefault="00BE5664" w:rsidP="00BE5664">
      <w:pPr>
        <w:autoSpaceDE w:val="0"/>
        <w:autoSpaceDN w:val="0"/>
        <w:adjustRightInd w:val="0"/>
        <w:spacing w:line="360" w:lineRule="auto"/>
        <w:ind w:firstLineChars="200" w:firstLine="562"/>
        <w:jc w:val="left"/>
        <w:rPr>
          <w:rFonts w:ascii="仿宋_GB2312" w:hAnsi="Times New Roman"/>
          <w:sz w:val="28"/>
          <w:szCs w:val="21"/>
        </w:rPr>
      </w:pPr>
      <w:r>
        <w:rPr>
          <w:rFonts w:ascii="仿宋_GB2312" w:hAnsi="Times New Roman" w:hint="eastAsia"/>
          <w:b/>
          <w:sz w:val="28"/>
          <w:szCs w:val="21"/>
        </w:rPr>
        <w:t>英文名称：</w:t>
      </w:r>
      <w:r>
        <w:rPr>
          <w:rFonts w:ascii="仿宋_GB2312" w:hAnsi="Times New Roman" w:hint="eastAsia"/>
          <w:sz w:val="28"/>
          <w:szCs w:val="21"/>
        </w:rPr>
        <w:t>Underground Construction Technology</w:t>
      </w:r>
    </w:p>
    <w:p w:rsidR="00BE5664" w:rsidRDefault="00BE5664" w:rsidP="00BE5664">
      <w:pPr>
        <w:spacing w:line="360" w:lineRule="auto"/>
        <w:ind w:firstLineChars="200" w:firstLine="562"/>
        <w:jc w:val="left"/>
        <w:rPr>
          <w:rFonts w:ascii="仿宋_GB2312" w:hAnsi="Times New Roman"/>
          <w:b/>
          <w:sz w:val="28"/>
          <w:szCs w:val="21"/>
        </w:rPr>
      </w:pPr>
      <w:r>
        <w:rPr>
          <w:rFonts w:ascii="仿宋_GB2312" w:hAnsi="Times New Roman" w:hint="eastAsia"/>
          <w:b/>
          <w:sz w:val="28"/>
          <w:szCs w:val="21"/>
        </w:rPr>
        <w:t>课程编码：</w:t>
      </w:r>
      <w:r>
        <w:rPr>
          <w:rFonts w:ascii="仿宋_GB2312" w:hAnsi="Times New Roman" w:hint="eastAsia"/>
          <w:sz w:val="28"/>
          <w:szCs w:val="21"/>
        </w:rPr>
        <w:t>Z2805050</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授课语言：</w:t>
      </w:r>
      <w:r>
        <w:rPr>
          <w:rFonts w:ascii="仿宋_GB2312" w:hAnsi="Times New Roman" w:hint="eastAsia"/>
          <w:sz w:val="28"/>
          <w:szCs w:val="21"/>
        </w:rPr>
        <w:t>汉语</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授课方式：</w:t>
      </w:r>
      <w:r>
        <w:rPr>
          <w:rFonts w:ascii="仿宋_GB2312" w:hAnsi="Times New Roman" w:hint="eastAsia"/>
          <w:sz w:val="28"/>
          <w:szCs w:val="21"/>
        </w:rPr>
        <w:t>线下</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课程类别：</w:t>
      </w:r>
      <w:r>
        <w:rPr>
          <w:rFonts w:ascii="仿宋_GB2312" w:hAnsi="Times New Roman" w:hint="eastAsia"/>
          <w:sz w:val="28"/>
          <w:szCs w:val="21"/>
        </w:rPr>
        <w:t>专业发展</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课程性质：</w:t>
      </w:r>
      <w:r>
        <w:rPr>
          <w:rFonts w:ascii="仿宋_GB2312" w:hAnsi="Times New Roman" w:hint="eastAsia"/>
          <w:sz w:val="28"/>
          <w:szCs w:val="21"/>
        </w:rPr>
        <w:t>选修</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学分：</w:t>
      </w:r>
      <w:r>
        <w:rPr>
          <w:rFonts w:ascii="仿宋_GB2312" w:hAnsi="Times New Roman" w:hint="eastAsia"/>
          <w:sz w:val="28"/>
          <w:szCs w:val="21"/>
        </w:rPr>
        <w:t>2.0</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学时：</w:t>
      </w:r>
      <w:r>
        <w:rPr>
          <w:rFonts w:ascii="仿宋_GB2312" w:hAnsi="Times New Roman" w:hint="eastAsia"/>
          <w:sz w:val="28"/>
          <w:szCs w:val="21"/>
        </w:rPr>
        <w:t>32学时（授课32学时，实验0学时，上机0学时，课外0学时）</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适用对象：</w:t>
      </w:r>
      <w:r>
        <w:rPr>
          <w:rFonts w:ascii="仿宋_GB2312" w:hAnsi="Times New Roman" w:hint="eastAsia"/>
          <w:sz w:val="28"/>
          <w:szCs w:val="21"/>
        </w:rPr>
        <w:t>土木工程专业</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先修课程：</w:t>
      </w:r>
      <w:r>
        <w:rPr>
          <w:rFonts w:ascii="仿宋_GB2312" w:hAnsi="Times New Roman" w:hint="eastAsia"/>
          <w:sz w:val="28"/>
          <w:szCs w:val="21"/>
        </w:rPr>
        <w:t>地下结构设计原理与方法，工程地质，土木工程施工技术与组织</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开课院系：</w:t>
      </w:r>
      <w:r>
        <w:rPr>
          <w:rFonts w:ascii="仿宋_GB2312" w:hAnsi="Times New Roman" w:hint="eastAsia"/>
          <w:sz w:val="28"/>
          <w:szCs w:val="21"/>
        </w:rPr>
        <w:t>建筑工程学院工程造价与施工教研室</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二、课程简介</w:t>
      </w:r>
    </w:p>
    <w:p w:rsidR="00BE5664" w:rsidRDefault="00BE5664" w:rsidP="00BE5664">
      <w:pPr>
        <w:spacing w:line="360" w:lineRule="auto"/>
        <w:ind w:firstLineChars="200" w:firstLine="560"/>
        <w:rPr>
          <w:rFonts w:ascii="仿宋_GB2312" w:hAnsi="宋体"/>
          <w:sz w:val="28"/>
          <w:szCs w:val="21"/>
        </w:rPr>
      </w:pPr>
      <w:r>
        <w:rPr>
          <w:rFonts w:ascii="仿宋_GB2312" w:hAnsi="宋体" w:hint="eastAsia"/>
          <w:sz w:val="28"/>
          <w:szCs w:val="21"/>
        </w:rPr>
        <w:t>《地下工程施工技术》是土木工程专业的一门专业选修课程。通过本课程的学习，使学生掌握地下工程明挖、暗挖、沉埋、冻结、注浆方面的施工方法、工艺原理、质量问题及解决措施，以及地下工程施工组织管理方面的科学方法，能用所学知识编制一般地下工程施工技术方案和施工组织设计文件。</w:t>
      </w:r>
    </w:p>
    <w:p w:rsidR="00BE5664" w:rsidRDefault="00BE5664" w:rsidP="00BE5664">
      <w:pPr>
        <w:spacing w:line="360" w:lineRule="auto"/>
        <w:ind w:firstLineChars="200" w:firstLine="560"/>
        <w:rPr>
          <w:rFonts w:ascii="仿宋_GB2312" w:hAnsi="宋体"/>
          <w:sz w:val="28"/>
          <w:szCs w:val="21"/>
        </w:rPr>
      </w:pPr>
      <w:r>
        <w:rPr>
          <w:rFonts w:ascii="仿宋_GB2312" w:hAnsi="宋体" w:hint="eastAsia"/>
          <w:sz w:val="28"/>
          <w:szCs w:val="21"/>
        </w:rPr>
        <w:t>本课程使用多媒体教学，生动、形象地展示课程内容，辅以课后</w:t>
      </w:r>
      <w:r>
        <w:rPr>
          <w:rFonts w:ascii="仿宋_GB2312" w:hAnsi="宋体" w:hint="eastAsia"/>
          <w:sz w:val="28"/>
          <w:szCs w:val="21"/>
        </w:rPr>
        <w:lastRenderedPageBreak/>
        <w:t>答疑，引导学生将所学专业知识与实际工程相结合，培养学生解决工程实际问题的能力。</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三、课程任务、目的与要求</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1.课程任务与目的</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课程的任务是了解我国地下工程施工新技术、发展动态及相关规范；掌握地下工程各类施工技术的基本原理和方法；掌握保证地下工程施工质量和安全的技术措施。</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课程的目的是通过本课程的学习，使学生掌握地下工程施工技术的基本原理和方法，具有分析和处理地下工程施工问题的初步能力，并能够针对地下工程案例进行施工组织和管理。了解近年来我国在地下工程施工领域取得的巨大成就，</w:t>
      </w:r>
      <w:r>
        <w:rPr>
          <w:rFonts w:ascii="仿宋_GB2312" w:hAnsi="Times New Roman" w:hint="eastAsia"/>
          <w:sz w:val="28"/>
          <w:szCs w:val="24"/>
        </w:rPr>
        <w:t>竖立民族自信，激发学生的家国情怀，培养学生理解并遵守土木工程职业道德和行为规范，做到责任担当、贡献国家、服务社会。</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2.课程基本要求</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（1）课程目标</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通过本课程的学习，学生应具备以下几方面的能力：</w:t>
      </w:r>
    </w:p>
    <w:p w:rsidR="00BE5664" w:rsidRDefault="00BE5664" w:rsidP="00BE5664">
      <w:pPr>
        <w:spacing w:line="360" w:lineRule="auto"/>
        <w:ind w:firstLineChars="200" w:firstLine="560"/>
        <w:rPr>
          <w:rFonts w:ascii="仿宋_GB2312" w:hAnsi="Times New Roman"/>
          <w:sz w:val="28"/>
          <w:szCs w:val="21"/>
        </w:rPr>
      </w:pPr>
      <w:r>
        <w:rPr>
          <w:rFonts w:ascii="宋体" w:eastAsia="宋体" w:hAnsi="宋体" w:hint="eastAsia"/>
          <w:sz w:val="28"/>
          <w:szCs w:val="21"/>
        </w:rPr>
        <w:t>①</w:t>
      </w:r>
      <w:r>
        <w:rPr>
          <w:rFonts w:ascii="仿宋_GB2312" w:hAnsi="Times New Roman" w:hint="eastAsia"/>
          <w:sz w:val="28"/>
          <w:szCs w:val="21"/>
        </w:rPr>
        <w:t>掌握地下工程的作用，了解地下工程的发展方向以及施工技术新进展，熟悉不同地质条件下地下工程施工方法</w:t>
      </w:r>
      <w:r>
        <w:rPr>
          <w:rFonts w:ascii="仿宋_GB2312" w:hAnsi="Times New Roman"/>
          <w:sz w:val="28"/>
          <w:szCs w:val="21"/>
        </w:rPr>
        <w:t>。教育引导学生深刻理解并自觉实践</w:t>
      </w:r>
      <w:r>
        <w:rPr>
          <w:rFonts w:ascii="仿宋_GB2312" w:hAnsi="Times New Roman" w:hint="eastAsia"/>
          <w:sz w:val="28"/>
          <w:szCs w:val="21"/>
        </w:rPr>
        <w:t>地下工程施工</w:t>
      </w:r>
      <w:r>
        <w:rPr>
          <w:rFonts w:ascii="仿宋_GB2312" w:hAnsi="Times New Roman"/>
          <w:sz w:val="28"/>
          <w:szCs w:val="21"/>
        </w:rPr>
        <w:t>领域的职业精神和职业规范</w:t>
      </w:r>
      <w:r>
        <w:rPr>
          <w:rFonts w:ascii="仿宋_GB2312" w:hAnsi="Times New Roman" w:hint="eastAsia"/>
          <w:sz w:val="28"/>
          <w:szCs w:val="21"/>
        </w:rPr>
        <w:t>；</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②</w:t>
      </w:r>
      <w:r>
        <w:rPr>
          <w:rFonts w:ascii="仿宋_GB2312" w:hAnsi="Times New Roman"/>
          <w:sz w:val="28"/>
          <w:szCs w:val="21"/>
        </w:rPr>
        <w:t>掌握</w:t>
      </w:r>
      <w:r>
        <w:rPr>
          <w:rFonts w:ascii="仿宋_GB2312" w:hAnsi="Times New Roman" w:hint="eastAsia"/>
          <w:sz w:val="28"/>
          <w:szCs w:val="21"/>
        </w:rPr>
        <w:t>岩石隧道、土质隧道、水下隧道、基坑支护以及地下工程辅助工法中超前支护、注浆法、冻结法施工的</w:t>
      </w:r>
      <w:r>
        <w:rPr>
          <w:rFonts w:ascii="仿宋_GB2312" w:hAnsi="Times New Roman"/>
          <w:sz w:val="28"/>
          <w:szCs w:val="21"/>
        </w:rPr>
        <w:t>基本原理、</w:t>
      </w:r>
      <w:r>
        <w:rPr>
          <w:rFonts w:ascii="仿宋_GB2312" w:hAnsi="Times New Roman" w:hint="eastAsia"/>
          <w:sz w:val="28"/>
          <w:szCs w:val="21"/>
        </w:rPr>
        <w:t>程序、设备及工艺要点，具备选取、制定隧道、基坑支护施工方案以及在地下工</w:t>
      </w:r>
      <w:r>
        <w:rPr>
          <w:rFonts w:ascii="仿宋_GB2312" w:hAnsi="Times New Roman" w:hint="eastAsia"/>
          <w:sz w:val="28"/>
          <w:szCs w:val="21"/>
        </w:rPr>
        <w:lastRenderedPageBreak/>
        <w:t>程施工中选取、应用辅助工法的初步能力；</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③</w:t>
      </w:r>
      <w:r>
        <w:rPr>
          <w:rFonts w:ascii="仿宋_GB2312" w:hAnsi="Times New Roman"/>
          <w:sz w:val="28"/>
          <w:szCs w:val="21"/>
        </w:rPr>
        <w:t>掌握</w:t>
      </w:r>
      <w:r>
        <w:rPr>
          <w:rFonts w:ascii="仿宋_GB2312" w:hAnsi="Times New Roman" w:hint="eastAsia"/>
          <w:sz w:val="28"/>
          <w:szCs w:val="21"/>
        </w:rPr>
        <w:t>地下工程施工组织设计编制内容、方法以及地下工程施工监测内容、项目和方案设计方法</w:t>
      </w:r>
      <w:r>
        <w:rPr>
          <w:rFonts w:ascii="仿宋_GB2312" w:hAnsi="Times New Roman"/>
          <w:sz w:val="28"/>
          <w:szCs w:val="21"/>
        </w:rPr>
        <w:t>，具备</w:t>
      </w:r>
      <w:r>
        <w:rPr>
          <w:rFonts w:ascii="仿宋_GB2312" w:hAnsi="Times New Roman" w:hint="eastAsia"/>
          <w:sz w:val="28"/>
          <w:szCs w:val="21"/>
        </w:rPr>
        <w:t>进行地下工程施工组织设计和制定施工监测方案的初步能力</w:t>
      </w:r>
      <w:r>
        <w:rPr>
          <w:rFonts w:ascii="仿宋_GB2312" w:hAnsi="Times New Roman"/>
          <w:sz w:val="28"/>
          <w:szCs w:val="21"/>
        </w:rPr>
        <w:t>。</w:t>
      </w:r>
      <w:r>
        <w:rPr>
          <w:rFonts w:ascii="仿宋_GB2312" w:hAnsi="Times New Roman" w:hint="eastAsia"/>
          <w:sz w:val="28"/>
          <w:szCs w:val="21"/>
        </w:rPr>
        <w:t>增强学生在毕业工作后确保施工安全的底线意识，</w:t>
      </w:r>
      <w:r>
        <w:rPr>
          <w:rFonts w:ascii="仿宋_GB2312" w:hAnsi="Times New Roman"/>
          <w:sz w:val="28"/>
          <w:szCs w:val="21"/>
        </w:rPr>
        <w:t>增强学生的土木工程师职业责任感</w:t>
      </w:r>
      <w:r>
        <w:rPr>
          <w:rFonts w:ascii="仿宋_GB2312" w:hAnsi="Times New Roman" w:hint="eastAsia"/>
          <w:sz w:val="28"/>
          <w:szCs w:val="21"/>
        </w:rPr>
        <w:t>，培养学生的大国工匠精神，激发学生的家国情怀。</w:t>
      </w:r>
    </w:p>
    <w:p w:rsidR="00BE5664" w:rsidRDefault="00BE5664" w:rsidP="00BE5664">
      <w:pPr>
        <w:spacing w:line="360" w:lineRule="auto"/>
        <w:ind w:firstLineChars="200" w:firstLine="560"/>
        <w:rPr>
          <w:rFonts w:ascii="仿宋_GB2312" w:hAnsi="Times New Roman"/>
          <w:sz w:val="28"/>
          <w:szCs w:val="21"/>
        </w:rPr>
      </w:pPr>
    </w:p>
    <w:p w:rsidR="00BE5664" w:rsidRDefault="00BE5664" w:rsidP="00BE5664">
      <w:pPr>
        <w:spacing w:line="360" w:lineRule="auto"/>
        <w:ind w:firstLineChars="302" w:firstLine="606"/>
        <w:jc w:val="center"/>
        <w:rPr>
          <w:rFonts w:ascii="仿宋_GB2312" w:hAnsi="Times New Roman"/>
          <w:b/>
          <w:sz w:val="20"/>
          <w:szCs w:val="20"/>
        </w:rPr>
      </w:pPr>
      <w:r>
        <w:rPr>
          <w:rFonts w:ascii="仿宋_GB2312" w:hAnsi="Times New Roman" w:hint="eastAsia"/>
          <w:b/>
          <w:sz w:val="20"/>
          <w:szCs w:val="20"/>
        </w:rPr>
        <w:t xml:space="preserve">表1  </w:t>
      </w:r>
      <w:r>
        <w:rPr>
          <w:rFonts w:ascii="仿宋_GB2312" w:hAnsi="Times New Roman" w:hint="eastAsia"/>
          <w:bCs/>
          <w:sz w:val="20"/>
          <w:szCs w:val="20"/>
        </w:rPr>
        <w:t>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5855"/>
        <w:gridCol w:w="1074"/>
      </w:tblGrid>
      <w:tr w:rsidR="00BE5664" w:rsidTr="00BE5664">
        <w:trPr>
          <w:trHeight w:val="560"/>
          <w:jc w:val="center"/>
        </w:trPr>
        <w:tc>
          <w:tcPr>
            <w:tcW w:w="1470"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毕业要求标准</w:t>
            </w:r>
          </w:p>
        </w:tc>
        <w:tc>
          <w:tcPr>
            <w:tcW w:w="6379"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ind w:firstLineChars="302" w:firstLine="604"/>
              <w:jc w:val="center"/>
              <w:rPr>
                <w:rFonts w:ascii="仿宋_GB2312" w:hAnsi="Times New Roman"/>
                <w:bCs/>
                <w:sz w:val="20"/>
                <w:szCs w:val="20"/>
              </w:rPr>
            </w:pPr>
            <w:r>
              <w:rPr>
                <w:rFonts w:ascii="仿宋_GB2312" w:hAnsi="Times New Roman" w:hint="eastAsia"/>
                <w:bCs/>
                <w:sz w:val="20"/>
                <w:szCs w:val="20"/>
              </w:rPr>
              <w:t>指标点</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课程目标</w:t>
            </w:r>
          </w:p>
        </w:tc>
      </w:tr>
      <w:tr w:rsidR="00BE5664" w:rsidTr="00BE5664">
        <w:trPr>
          <w:trHeight w:val="560"/>
          <w:jc w:val="center"/>
        </w:trPr>
        <w:tc>
          <w:tcPr>
            <w:tcW w:w="1470" w:type="dxa"/>
            <w:tcBorders>
              <w:top w:val="single" w:sz="4" w:space="0" w:color="auto"/>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1工程知识</w:t>
            </w:r>
          </w:p>
        </w:tc>
        <w:tc>
          <w:tcPr>
            <w:tcW w:w="6379" w:type="dxa"/>
            <w:tcBorders>
              <w:top w:val="single" w:sz="4" w:space="0" w:color="auto"/>
              <w:left w:val="single" w:sz="4" w:space="0" w:color="auto"/>
              <w:right w:val="single" w:sz="4" w:space="0" w:color="auto"/>
            </w:tcBorders>
            <w:vAlign w:val="center"/>
          </w:tcPr>
          <w:p w:rsidR="00BE5664" w:rsidRDefault="00BE5664" w:rsidP="00BE5664">
            <w:pPr>
              <w:rPr>
                <w:rFonts w:ascii="仿宋_GB2312" w:hAnsi="Times New Roman"/>
                <w:bCs/>
                <w:sz w:val="20"/>
                <w:szCs w:val="20"/>
              </w:rPr>
            </w:pPr>
            <w:r>
              <w:rPr>
                <w:rFonts w:ascii="仿宋_GB2312" w:hAnsi="Times New Roman" w:hint="eastAsia"/>
                <w:bCs/>
                <w:sz w:val="20"/>
                <w:szCs w:val="20"/>
              </w:rPr>
              <w:t>1.4掌握土木工程专业知识，具备知识交叉融合能力，应用于解决土木工程专业复杂工程问题。</w:t>
            </w:r>
          </w:p>
        </w:tc>
        <w:tc>
          <w:tcPr>
            <w:tcW w:w="1134" w:type="dxa"/>
            <w:tcBorders>
              <w:top w:val="single" w:sz="4" w:space="0" w:color="auto"/>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1、2、3</w:t>
            </w:r>
          </w:p>
        </w:tc>
      </w:tr>
      <w:tr w:rsidR="00BE5664" w:rsidTr="00BE5664">
        <w:trPr>
          <w:trHeight w:val="560"/>
          <w:jc w:val="center"/>
        </w:trPr>
        <w:tc>
          <w:tcPr>
            <w:tcW w:w="1470" w:type="dxa"/>
            <w:tcBorders>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3.设计能力</w:t>
            </w:r>
          </w:p>
        </w:tc>
        <w:tc>
          <w:tcPr>
            <w:tcW w:w="6379" w:type="dxa"/>
            <w:vAlign w:val="center"/>
          </w:tcPr>
          <w:p w:rsidR="00BE5664" w:rsidRDefault="00BE5664" w:rsidP="00BE5664">
            <w:pPr>
              <w:rPr>
                <w:rFonts w:ascii="仿宋_GB2312" w:hAnsi="Times New Roman"/>
                <w:bCs/>
                <w:sz w:val="20"/>
                <w:szCs w:val="20"/>
              </w:rPr>
            </w:pPr>
            <w:r>
              <w:rPr>
                <w:rFonts w:ascii="仿宋_GB2312" w:hAnsi="Times New Roman" w:hint="eastAsia"/>
                <w:bCs/>
                <w:sz w:val="20"/>
                <w:szCs w:val="20"/>
              </w:rPr>
              <w:t>3.3 能够进行施工方案、工艺流程等系统分析和优化设计，并体现创新意识。</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2、3</w:t>
            </w:r>
          </w:p>
        </w:tc>
      </w:tr>
      <w:tr w:rsidR="00BE5664" w:rsidTr="00BE5664">
        <w:trPr>
          <w:trHeight w:val="560"/>
          <w:jc w:val="center"/>
        </w:trPr>
        <w:tc>
          <w:tcPr>
            <w:tcW w:w="1470" w:type="dxa"/>
            <w:tcBorders>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8.工程评价能力</w:t>
            </w:r>
          </w:p>
        </w:tc>
        <w:tc>
          <w:tcPr>
            <w:tcW w:w="6379" w:type="dxa"/>
            <w:vAlign w:val="center"/>
          </w:tcPr>
          <w:p w:rsidR="00BE5664" w:rsidRDefault="00BE5664" w:rsidP="00BE5664">
            <w:pPr>
              <w:rPr>
                <w:rFonts w:ascii="仿宋_GB2312" w:hAnsi="Times New Roman"/>
                <w:bCs/>
                <w:sz w:val="20"/>
                <w:szCs w:val="20"/>
              </w:rPr>
            </w:pPr>
            <w:r>
              <w:rPr>
                <w:rFonts w:ascii="仿宋_GB2312" w:hAnsi="Times New Roman" w:hint="eastAsia"/>
                <w:bCs/>
                <w:sz w:val="20"/>
                <w:szCs w:val="20"/>
              </w:rPr>
              <w:t>8.3理解土木工程师对公众的安全、健康和福祉，以及环境保护的社会责任，并能够在工程实践中自觉履行。</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1、3</w:t>
            </w:r>
          </w:p>
        </w:tc>
      </w:tr>
    </w:tbl>
    <w:p w:rsidR="00BE5664" w:rsidRDefault="00BE5664" w:rsidP="00BE5664">
      <w:pPr>
        <w:spacing w:beforeLines="50" w:before="156" w:line="360" w:lineRule="auto"/>
        <w:ind w:firstLineChars="200" w:firstLine="560"/>
        <w:rPr>
          <w:rFonts w:ascii="仿宋_GB2312" w:hAnsi="Times New Roman"/>
          <w:sz w:val="28"/>
          <w:szCs w:val="21"/>
        </w:rPr>
      </w:pPr>
      <w:r>
        <w:rPr>
          <w:rFonts w:ascii="仿宋_GB2312" w:hAnsi="Times New Roman" w:hint="eastAsia"/>
          <w:sz w:val="28"/>
          <w:szCs w:val="21"/>
        </w:rPr>
        <w:t>（2）本课程的重点、难点</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教学重点：钻爆法、浅埋暗挖法、盖挖法、盾构法、隧道掘进机法、基坑支护方法、顶管法、沉管法、冻结法、注浆法的施工工艺，以及地下工程施工组织与施工监测。</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教学难点：岩石隧道控制爆破技术、盖挖逆作法施工原理、盾构保持开挖面稳定的机理、隧道掘进机施工条件、地下连续墙槽段连接及接头管施工要点、长距离顶管施工措施、沉管法水下连接技术，以及地下工程施工进度计划的编制方法。</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（3）课程思政切入</w:t>
      </w:r>
    </w:p>
    <w:p w:rsidR="00BE5664" w:rsidRDefault="00BE5664" w:rsidP="00BE5664">
      <w:pPr>
        <w:spacing w:line="360" w:lineRule="auto"/>
        <w:ind w:firstLineChars="200" w:firstLine="560"/>
        <w:rPr>
          <w:rFonts w:ascii="仿宋_GB2312" w:hAnsi="Times New Roman"/>
          <w:sz w:val="28"/>
          <w:szCs w:val="24"/>
        </w:rPr>
      </w:pPr>
      <w:r>
        <w:rPr>
          <w:rFonts w:ascii="仿宋_GB2312" w:hAnsi="宋体" w:cs="宋体" w:hint="eastAsia"/>
          <w:sz w:val="28"/>
          <w:szCs w:val="21"/>
        </w:rPr>
        <w:t>①</w:t>
      </w:r>
      <w:r>
        <w:rPr>
          <w:rFonts w:ascii="仿宋_GB2312" w:hAnsi="Times New Roman" w:hint="eastAsia"/>
          <w:sz w:val="28"/>
          <w:szCs w:val="24"/>
        </w:rPr>
        <w:t>通过国内外典型地下工程施工事故案例分析，引导学生理解土</w:t>
      </w:r>
      <w:r>
        <w:rPr>
          <w:rFonts w:ascii="仿宋_GB2312" w:hAnsi="Times New Roman" w:hint="eastAsia"/>
          <w:sz w:val="28"/>
          <w:szCs w:val="24"/>
        </w:rPr>
        <w:lastRenderedPageBreak/>
        <w:t>木工程师对公众的安全、健康和福祉，以及环境保护的社会责任，并能够在工程实践中自觉履行。</w:t>
      </w:r>
    </w:p>
    <w:p w:rsidR="00BE5664" w:rsidRDefault="00BE5664" w:rsidP="00BE5664">
      <w:pPr>
        <w:spacing w:line="360" w:lineRule="auto"/>
        <w:ind w:firstLineChars="200" w:firstLine="560"/>
        <w:rPr>
          <w:rFonts w:ascii="仿宋_GB2312" w:hAnsi="宋体" w:cs="宋体"/>
          <w:sz w:val="28"/>
          <w:szCs w:val="21"/>
        </w:rPr>
      </w:pPr>
      <w:r>
        <w:rPr>
          <w:rFonts w:ascii="仿宋_GB2312" w:hAnsi="宋体" w:cs="宋体" w:hint="eastAsia"/>
          <w:sz w:val="28"/>
          <w:szCs w:val="21"/>
        </w:rPr>
        <w:t>②结合地下工程施工技术的发展，强调创新的重要性，只有创新，才可以打破传统的思维模式，才可以不断取得进步，创新是土木工程专业不断取得突破的不竭动力和源泉。</w:t>
      </w:r>
    </w:p>
    <w:p w:rsidR="00BE5664" w:rsidRDefault="00BE5664" w:rsidP="00BE5664">
      <w:pPr>
        <w:spacing w:line="360" w:lineRule="auto"/>
        <w:ind w:firstLineChars="200" w:firstLine="560"/>
        <w:rPr>
          <w:rFonts w:ascii="仿宋_GB2312" w:hAnsi="Times New Roman"/>
          <w:sz w:val="28"/>
          <w:szCs w:val="24"/>
        </w:rPr>
      </w:pPr>
      <w:r>
        <w:rPr>
          <w:rFonts w:ascii="仿宋_GB2312" w:hAnsi="宋体" w:cs="宋体" w:hint="eastAsia"/>
          <w:sz w:val="28"/>
          <w:szCs w:val="21"/>
        </w:rPr>
        <w:t>③</w:t>
      </w:r>
      <w:r>
        <w:rPr>
          <w:rFonts w:ascii="仿宋_GB2312" w:hAnsi="Times New Roman" w:hint="eastAsia"/>
          <w:sz w:val="28"/>
          <w:szCs w:val="24"/>
        </w:rPr>
        <w:t>结合广州番禺广场站地铁基坑工程、苏州城北路综合管廊工程，引领学生竖立民族自豪感，培养学生的大国工匠精神，激发学生的家国情怀。</w:t>
      </w:r>
    </w:p>
    <w:p w:rsidR="00BE5664" w:rsidRDefault="00BE5664" w:rsidP="00BE5664">
      <w:pPr>
        <w:spacing w:line="360" w:lineRule="auto"/>
        <w:ind w:firstLineChars="200" w:firstLine="560"/>
        <w:rPr>
          <w:sz w:val="28"/>
          <w:szCs w:val="24"/>
        </w:rPr>
      </w:pPr>
      <w:r>
        <w:rPr>
          <w:rFonts w:ascii="仿宋_GB2312" w:hAnsi="宋体" w:cs="宋体" w:hint="eastAsia"/>
          <w:sz w:val="28"/>
          <w:szCs w:val="21"/>
        </w:rPr>
        <w:t>④</w:t>
      </w:r>
      <w:r>
        <w:rPr>
          <w:rFonts w:cs="宋体" w:hint="eastAsia"/>
          <w:sz w:val="28"/>
          <w:szCs w:val="21"/>
        </w:rPr>
        <w:t>结合</w:t>
      </w:r>
      <w:r>
        <w:rPr>
          <w:rFonts w:ascii="仿宋_GB2312" w:hAnsi="Times New Roman" w:hint="eastAsia"/>
          <w:sz w:val="28"/>
          <w:szCs w:val="24"/>
        </w:rPr>
        <w:t>西安幸福林带综合管廊、5号线</w:t>
      </w:r>
      <w:r>
        <w:rPr>
          <w:rFonts w:cs="宋体" w:hint="eastAsia"/>
          <w:sz w:val="28"/>
          <w:szCs w:val="21"/>
        </w:rPr>
        <w:t>工程</w:t>
      </w:r>
      <w:r>
        <w:rPr>
          <w:rFonts w:ascii="仿宋_GB2312" w:hAnsi="Times New Roman" w:hint="eastAsia"/>
          <w:sz w:val="28"/>
          <w:szCs w:val="24"/>
        </w:rPr>
        <w:t>建设，引导学生树立建设祖国、造福家乡、服务人民的人类命运共同体观念，并建立以此作为自我价值实现途径的信念。</w:t>
      </w:r>
    </w:p>
    <w:p w:rsidR="00BE5664" w:rsidRDefault="00BE5664" w:rsidP="00BE5664">
      <w:pPr>
        <w:spacing w:line="360" w:lineRule="auto"/>
        <w:ind w:firstLineChars="200" w:firstLine="560"/>
        <w:rPr>
          <w:rFonts w:ascii="仿宋_GB2312" w:hAnsi="Times New Roman"/>
          <w:sz w:val="28"/>
          <w:szCs w:val="24"/>
        </w:rPr>
      </w:pPr>
      <w:r>
        <w:rPr>
          <w:rFonts w:ascii="仿宋_GB2312" w:hAnsi="宋体" w:cs="宋体" w:hint="eastAsia"/>
          <w:sz w:val="28"/>
          <w:szCs w:val="21"/>
        </w:rPr>
        <w:t>⑤</w:t>
      </w:r>
      <w:r>
        <w:rPr>
          <w:rFonts w:ascii="仿宋_GB2312" w:hAnsi="Times New Roman" w:hint="eastAsia"/>
          <w:sz w:val="28"/>
          <w:szCs w:val="24"/>
        </w:rPr>
        <w:t>通过不同地区地下工程施工项目的介绍，引导学生了解中国不同地区的区域地质特征和民俗风情，使学生对祖国各地基本国情有更加深入的了解。</w:t>
      </w:r>
    </w:p>
    <w:p w:rsidR="00BE5664" w:rsidRDefault="00BE5664" w:rsidP="00BE5664">
      <w:pPr>
        <w:spacing w:line="360" w:lineRule="auto"/>
        <w:ind w:firstLineChars="200" w:firstLine="560"/>
        <w:rPr>
          <w:rFonts w:ascii="仿宋_GB2312" w:hAnsi="Times New Roman"/>
          <w:sz w:val="28"/>
          <w:szCs w:val="24"/>
        </w:rPr>
      </w:pPr>
      <w:r>
        <w:rPr>
          <w:rFonts w:ascii="仿宋_GB2312" w:hAnsi="宋体" w:cs="宋体" w:hint="eastAsia"/>
          <w:sz w:val="28"/>
          <w:szCs w:val="21"/>
        </w:rPr>
        <w:t>⑥</w:t>
      </w:r>
      <w:r>
        <w:rPr>
          <w:rFonts w:ascii="仿宋_GB2312" w:hAnsi="Times New Roman" w:hint="eastAsia"/>
          <w:sz w:val="28"/>
          <w:szCs w:val="24"/>
        </w:rPr>
        <w:t>依托典型地下工程施工项目，引入工程施工中应遵守的职业道德和行为规范，培养学生的社会责任感，理解诚实公正、诚信守则的土木工程职业道德和行为规范，并能够在工程实践中自觉遵守，做到责任担当、贡献国家、服务社会。</w:t>
      </w:r>
    </w:p>
    <w:p w:rsidR="00BE5664" w:rsidRDefault="00BE5664" w:rsidP="00BE5664">
      <w:pPr>
        <w:spacing w:line="360" w:lineRule="auto"/>
        <w:ind w:firstLineChars="200" w:firstLine="560"/>
        <w:rPr>
          <w:rFonts w:ascii="仿宋_GB2312" w:hAnsi="Times New Roman"/>
          <w:sz w:val="28"/>
          <w:szCs w:val="24"/>
        </w:rPr>
      </w:pPr>
      <w:r>
        <w:rPr>
          <w:rFonts w:ascii="仿宋_GB2312" w:hAnsi="Times New Roman" w:hint="eastAsia"/>
          <w:sz w:val="28"/>
          <w:szCs w:val="24"/>
        </w:rPr>
        <w:t>⑦通过课堂分组讨论，使学生理解团队合作在解决专业复杂工程问题中的重要性，只有相互之间的紧密配合和精诚合作，大型复杂工程建设才会从蓝图变为现实。</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四、教学内容安排</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
        <w:gridCol w:w="1430"/>
        <w:gridCol w:w="709"/>
        <w:gridCol w:w="2803"/>
        <w:gridCol w:w="3828"/>
      </w:tblGrid>
      <w:tr w:rsidR="00BE5664" w:rsidTr="00BE5664">
        <w:trPr>
          <w:cantSplit/>
          <w:trHeight w:val="486"/>
          <w:tblHeader/>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lastRenderedPageBreak/>
              <w:t>序</w:t>
            </w:r>
          </w:p>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号</w:t>
            </w:r>
          </w:p>
        </w:tc>
        <w:tc>
          <w:tcPr>
            <w:tcW w:w="1430"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章  节</w:t>
            </w:r>
          </w:p>
        </w:tc>
        <w:tc>
          <w:tcPr>
            <w:tcW w:w="709"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参考学时</w:t>
            </w:r>
          </w:p>
        </w:tc>
        <w:tc>
          <w:tcPr>
            <w:tcW w:w="2803"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教学内容</w:t>
            </w:r>
          </w:p>
        </w:tc>
        <w:tc>
          <w:tcPr>
            <w:tcW w:w="3828"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基本要求</w:t>
            </w:r>
          </w:p>
        </w:tc>
      </w:tr>
      <w:tr w:rsidR="00BE5664" w:rsidTr="00BE5664">
        <w:trPr>
          <w:trHeight w:val="428"/>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1</w:t>
            </w:r>
          </w:p>
        </w:tc>
        <w:tc>
          <w:tcPr>
            <w:tcW w:w="14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第一章 绪论</w:t>
            </w:r>
          </w:p>
        </w:tc>
        <w:tc>
          <w:tcPr>
            <w:tcW w:w="709"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1</w:t>
            </w:r>
          </w:p>
        </w:tc>
        <w:tc>
          <w:tcPr>
            <w:tcW w:w="280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地下工程的定义、作用</w:t>
            </w:r>
            <w:r>
              <w:rPr>
                <w:rFonts w:ascii="仿宋_GB2312" w:hAnsi="Times New Roman"/>
                <w:sz w:val="20"/>
                <w:szCs w:val="20"/>
              </w:rPr>
              <w:t>及</w:t>
            </w:r>
            <w:r>
              <w:rPr>
                <w:rFonts w:ascii="仿宋_GB2312" w:hAnsi="Times New Roman" w:hint="eastAsia"/>
                <w:sz w:val="20"/>
                <w:szCs w:val="20"/>
              </w:rPr>
              <w:t>发展方向；地下工程施工技术新进展；</w:t>
            </w:r>
            <w:r>
              <w:rPr>
                <w:rFonts w:ascii="仿宋_GB2312" w:hAnsi="Times New Roman"/>
                <w:sz w:val="20"/>
                <w:szCs w:val="20"/>
              </w:rPr>
              <w:t>本课程的主要内容、要求及学习方法。</w:t>
            </w:r>
          </w:p>
        </w:tc>
        <w:tc>
          <w:tcPr>
            <w:tcW w:w="3828" w:type="dxa"/>
            <w:vAlign w:val="center"/>
          </w:tcPr>
          <w:p w:rsidR="00BE5664" w:rsidRDefault="00BE5664" w:rsidP="00BE5664">
            <w:pPr>
              <w:rPr>
                <w:rFonts w:ascii="仿宋_GB2312" w:hAnsi="Times New Roman"/>
                <w:sz w:val="20"/>
                <w:szCs w:val="20"/>
              </w:rPr>
            </w:pPr>
            <w:r>
              <w:rPr>
                <w:rFonts w:ascii="仿宋_GB2312" w:hAnsi="Times New Roman"/>
                <w:sz w:val="20"/>
                <w:szCs w:val="20"/>
              </w:rPr>
              <w:t>掌握</w:t>
            </w:r>
            <w:r>
              <w:rPr>
                <w:rFonts w:ascii="仿宋_GB2312" w:hAnsi="Times New Roman" w:hint="eastAsia"/>
                <w:sz w:val="20"/>
                <w:szCs w:val="20"/>
              </w:rPr>
              <w:t>地下工程的定义、作用</w:t>
            </w:r>
            <w:r>
              <w:rPr>
                <w:rFonts w:ascii="仿宋_GB2312" w:hAnsi="Times New Roman"/>
                <w:sz w:val="20"/>
                <w:szCs w:val="20"/>
              </w:rPr>
              <w:t>及</w:t>
            </w:r>
            <w:r>
              <w:rPr>
                <w:rFonts w:ascii="仿宋_GB2312" w:hAnsi="Times New Roman" w:hint="eastAsia"/>
                <w:sz w:val="20"/>
                <w:szCs w:val="20"/>
              </w:rPr>
              <w:t>发展方向，了解地下工程施工新技术、发展动态、相关规范</w:t>
            </w:r>
            <w:r>
              <w:rPr>
                <w:rFonts w:ascii="仿宋_GB2312" w:hAnsi="Times New Roman"/>
                <w:sz w:val="20"/>
                <w:szCs w:val="20"/>
              </w:rPr>
              <w:t>及本课程的主要内容要求及学习方法。</w:t>
            </w:r>
          </w:p>
        </w:tc>
      </w:tr>
      <w:tr w:rsidR="00BE5664" w:rsidTr="00BE5664">
        <w:trPr>
          <w:trHeight w:val="519"/>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2</w:t>
            </w:r>
          </w:p>
        </w:tc>
        <w:tc>
          <w:tcPr>
            <w:tcW w:w="14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第二章 岩体隧道钻爆法施工技术</w:t>
            </w:r>
          </w:p>
        </w:tc>
        <w:tc>
          <w:tcPr>
            <w:tcW w:w="709"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3</w:t>
            </w:r>
          </w:p>
        </w:tc>
        <w:tc>
          <w:tcPr>
            <w:tcW w:w="280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钻爆法隧道开挖方法；爆破破岩作用机理及有关概念；隧道爆破技术；装渣方式与机械，有轨与无轨运输方式</w:t>
            </w:r>
            <w:r>
              <w:rPr>
                <w:rFonts w:ascii="仿宋_GB2312" w:hAnsi="Times New Roman"/>
                <w:sz w:val="20"/>
                <w:szCs w:val="20"/>
              </w:rPr>
              <w:t>。</w:t>
            </w:r>
          </w:p>
        </w:tc>
        <w:tc>
          <w:tcPr>
            <w:tcW w:w="3828"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掌握钻爆法隧道开挖方法；掌握爆破破岩作用机理及有关概念；掌握岩体隧道爆破设计以及周边眼控制爆破原理；掌握钻爆施工程序、工艺要点以及爆破后装渣及将渣土运出洞外的施工机械与方法。</w:t>
            </w:r>
          </w:p>
        </w:tc>
      </w:tr>
      <w:tr w:rsidR="00BE5664" w:rsidTr="00BE5664">
        <w:trPr>
          <w:trHeight w:val="555"/>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3</w:t>
            </w:r>
          </w:p>
        </w:tc>
        <w:tc>
          <w:tcPr>
            <w:tcW w:w="143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第三章土质隧道施工技术</w:t>
            </w:r>
          </w:p>
        </w:tc>
        <w:tc>
          <w:tcPr>
            <w:tcW w:w="709"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2</w:t>
            </w:r>
          </w:p>
        </w:tc>
        <w:tc>
          <w:tcPr>
            <w:tcW w:w="280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浅埋暗挖法的施工技术特点</w:t>
            </w:r>
            <w:r>
              <w:rPr>
                <w:rFonts w:ascii="仿宋_GB2312" w:hAnsi="Times New Roman"/>
                <w:sz w:val="20"/>
                <w:szCs w:val="20"/>
              </w:rPr>
              <w:t>，</w:t>
            </w:r>
            <w:r>
              <w:rPr>
                <w:rFonts w:ascii="仿宋_GB2312" w:hAnsi="Times New Roman" w:hint="eastAsia"/>
                <w:sz w:val="20"/>
                <w:szCs w:val="20"/>
              </w:rPr>
              <w:t>开挖方法</w:t>
            </w:r>
            <w:r>
              <w:rPr>
                <w:rFonts w:ascii="仿宋_GB2312" w:hAnsi="Times New Roman"/>
                <w:sz w:val="20"/>
                <w:szCs w:val="20"/>
              </w:rPr>
              <w:t>及</w:t>
            </w:r>
            <w:r>
              <w:rPr>
                <w:rFonts w:ascii="仿宋_GB2312" w:hAnsi="Times New Roman" w:hint="eastAsia"/>
                <w:sz w:val="20"/>
                <w:szCs w:val="20"/>
              </w:rPr>
              <w:t>施工方针；盖挖法的特点及施工类型</w:t>
            </w:r>
            <w:r>
              <w:rPr>
                <w:rFonts w:ascii="仿宋_GB2312" w:hAnsi="Times New Roman"/>
                <w:sz w:val="20"/>
                <w:szCs w:val="20"/>
              </w:rPr>
              <w:t>。</w:t>
            </w:r>
          </w:p>
        </w:tc>
        <w:tc>
          <w:tcPr>
            <w:tcW w:w="3828" w:type="dxa"/>
            <w:vAlign w:val="center"/>
          </w:tcPr>
          <w:p w:rsidR="00BE5664" w:rsidRDefault="00BE5664" w:rsidP="00BE5664">
            <w:pPr>
              <w:rPr>
                <w:rFonts w:ascii="仿宋_GB2312" w:hAnsi="Times New Roman"/>
                <w:sz w:val="20"/>
                <w:szCs w:val="20"/>
              </w:rPr>
            </w:pPr>
            <w:r>
              <w:rPr>
                <w:rFonts w:ascii="仿宋_GB2312" w:hAnsi="Times New Roman"/>
                <w:sz w:val="20"/>
                <w:szCs w:val="20"/>
              </w:rPr>
              <w:t>掌握</w:t>
            </w:r>
            <w:r>
              <w:rPr>
                <w:rFonts w:ascii="仿宋_GB2312" w:hAnsi="Times New Roman" w:hint="eastAsia"/>
                <w:sz w:val="20"/>
                <w:szCs w:val="20"/>
              </w:rPr>
              <w:t>浅埋暗挖法、盖挖法施工基本原理、程序和工艺要点</w:t>
            </w:r>
            <w:r>
              <w:rPr>
                <w:rFonts w:ascii="仿宋_GB2312" w:hAnsi="Times New Roman"/>
                <w:sz w:val="20"/>
                <w:szCs w:val="20"/>
              </w:rPr>
              <w:t>。</w:t>
            </w:r>
          </w:p>
        </w:tc>
      </w:tr>
      <w:tr w:rsidR="00BE5664" w:rsidTr="00BE5664">
        <w:trPr>
          <w:trHeight w:val="1307"/>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4</w:t>
            </w:r>
          </w:p>
        </w:tc>
        <w:tc>
          <w:tcPr>
            <w:tcW w:w="143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第四章盾构法施工技术</w:t>
            </w:r>
          </w:p>
        </w:tc>
        <w:tc>
          <w:tcPr>
            <w:tcW w:w="709"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4</w:t>
            </w:r>
          </w:p>
        </w:tc>
        <w:tc>
          <w:tcPr>
            <w:tcW w:w="280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盾构法施工技术要点和适用范围；盾构类型及选择；盾构法施工技术要点；盾构法施工地面沉降机理、预测和防治</w:t>
            </w:r>
            <w:r>
              <w:rPr>
                <w:rFonts w:ascii="仿宋_GB2312" w:hAnsi="Times New Roman"/>
                <w:sz w:val="20"/>
                <w:szCs w:val="20"/>
              </w:rPr>
              <w:t>。</w:t>
            </w:r>
          </w:p>
        </w:tc>
        <w:tc>
          <w:tcPr>
            <w:tcW w:w="3828" w:type="dxa"/>
            <w:vAlign w:val="center"/>
          </w:tcPr>
          <w:p w:rsidR="00BE5664" w:rsidRDefault="00BE5664" w:rsidP="00BE5664">
            <w:pPr>
              <w:rPr>
                <w:rFonts w:ascii="仿宋_GB2312" w:hAnsi="Times New Roman"/>
                <w:sz w:val="20"/>
                <w:szCs w:val="20"/>
              </w:rPr>
            </w:pPr>
            <w:r>
              <w:rPr>
                <w:rFonts w:ascii="仿宋_GB2312" w:hAnsi="Times New Roman"/>
                <w:sz w:val="20"/>
                <w:szCs w:val="20"/>
              </w:rPr>
              <w:t>掌握</w:t>
            </w:r>
            <w:r>
              <w:rPr>
                <w:rFonts w:ascii="仿宋_GB2312" w:hAnsi="Times New Roman" w:hint="eastAsia"/>
                <w:sz w:val="20"/>
                <w:szCs w:val="20"/>
              </w:rPr>
              <w:t>盾构法施工的概念</w:t>
            </w:r>
            <w:r>
              <w:rPr>
                <w:rFonts w:ascii="仿宋_GB2312" w:hAnsi="Times New Roman"/>
                <w:sz w:val="20"/>
                <w:szCs w:val="20"/>
              </w:rPr>
              <w:t>、</w:t>
            </w:r>
            <w:r>
              <w:rPr>
                <w:rFonts w:ascii="仿宋_GB2312" w:hAnsi="Times New Roman" w:hint="eastAsia"/>
                <w:sz w:val="20"/>
                <w:szCs w:val="20"/>
              </w:rPr>
              <w:t>盾构类型及选择</w:t>
            </w:r>
            <w:r>
              <w:rPr>
                <w:rFonts w:ascii="仿宋_GB2312" w:hAnsi="Times New Roman"/>
                <w:sz w:val="20"/>
                <w:szCs w:val="20"/>
              </w:rPr>
              <w:t>、</w:t>
            </w:r>
            <w:r>
              <w:rPr>
                <w:rFonts w:ascii="仿宋_GB2312" w:hAnsi="Times New Roman" w:hint="eastAsia"/>
                <w:sz w:val="20"/>
                <w:szCs w:val="20"/>
              </w:rPr>
              <w:t>盾构法施工技术要点以及诱发的地面沉降机理、预测和防治方法</w:t>
            </w:r>
            <w:r>
              <w:rPr>
                <w:rFonts w:ascii="仿宋_GB2312" w:hAnsi="Times New Roman"/>
                <w:sz w:val="20"/>
                <w:szCs w:val="20"/>
              </w:rPr>
              <w:t>。</w:t>
            </w:r>
          </w:p>
        </w:tc>
      </w:tr>
      <w:tr w:rsidR="00BE5664" w:rsidTr="00BE5664">
        <w:trPr>
          <w:trHeight w:val="1059"/>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5</w:t>
            </w:r>
          </w:p>
        </w:tc>
        <w:tc>
          <w:tcPr>
            <w:tcW w:w="143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第五章隧道掘进机施工技术</w:t>
            </w:r>
          </w:p>
        </w:tc>
        <w:tc>
          <w:tcPr>
            <w:tcW w:w="709"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4</w:t>
            </w:r>
          </w:p>
        </w:tc>
        <w:tc>
          <w:tcPr>
            <w:tcW w:w="280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隧道掘进机法基本</w:t>
            </w:r>
            <w:r>
              <w:rPr>
                <w:rFonts w:ascii="仿宋_GB2312" w:hAnsi="Times New Roman"/>
                <w:sz w:val="20"/>
                <w:szCs w:val="20"/>
              </w:rPr>
              <w:t>原理</w:t>
            </w:r>
            <w:r>
              <w:rPr>
                <w:rFonts w:ascii="仿宋_GB2312" w:hAnsi="Times New Roman" w:hint="eastAsia"/>
                <w:sz w:val="20"/>
                <w:szCs w:val="20"/>
              </w:rPr>
              <w:t>、分类及优缺点；隧道掘进机的基本构成和性能；采用隧道掘进机法的基本条件；隧道掘进机的附属设施；隧道掘进机法的支护技术；隧道掘进机的施工管理与经济分析；隧道掘进机法的辅助工法。</w:t>
            </w:r>
          </w:p>
        </w:tc>
        <w:tc>
          <w:tcPr>
            <w:tcW w:w="3828"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掌握隧道掘进机法的基本原理、分类及优缺点；掌握隧道掘进机的基本构成和性能；掌握采用隧道掘进机法的基本条件；了解隧道掘进机附属设施设置原则及其类别；了解隧道掘进机法的支护技术；了解隧道掘进机法的施工管理及辅助工法</w:t>
            </w:r>
            <w:r>
              <w:rPr>
                <w:rFonts w:ascii="仿宋_GB2312" w:hAnsi="Times New Roman"/>
                <w:sz w:val="20"/>
                <w:szCs w:val="20"/>
              </w:rPr>
              <w:t>。</w:t>
            </w:r>
          </w:p>
        </w:tc>
      </w:tr>
      <w:tr w:rsidR="00BE5664" w:rsidTr="00BE5664">
        <w:trPr>
          <w:trHeight w:val="248"/>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6</w:t>
            </w:r>
          </w:p>
        </w:tc>
        <w:tc>
          <w:tcPr>
            <w:tcW w:w="143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第六章基坑工程施工技术</w:t>
            </w:r>
          </w:p>
        </w:tc>
        <w:tc>
          <w:tcPr>
            <w:tcW w:w="709"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2</w:t>
            </w:r>
          </w:p>
        </w:tc>
        <w:tc>
          <w:tcPr>
            <w:tcW w:w="280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基坑支护结构类型；基坑放坡开挖施工；基坑支挡施工；土层锚杆施工。</w:t>
            </w:r>
          </w:p>
        </w:tc>
        <w:tc>
          <w:tcPr>
            <w:tcW w:w="3828" w:type="dxa"/>
            <w:vAlign w:val="center"/>
          </w:tcPr>
          <w:p w:rsidR="00BE5664" w:rsidRDefault="00BE5664" w:rsidP="00BE5664">
            <w:r>
              <w:rPr>
                <w:rFonts w:ascii="仿宋_GB2312" w:hAnsi="Times New Roman" w:hint="eastAsia"/>
                <w:sz w:val="20"/>
                <w:szCs w:val="20"/>
              </w:rPr>
              <w:t>了解基坑开挖与支护的类型；掌握基坑放坡开挖施工的要点及影响基坑边坡稳定性的因素；掌握钢板桩、水泥土搅拌桩、灌注桩、挖孔桩支护形式构造特点、施工技术要点；掌握土层锚杆支护原理、构造特点以及施工工艺特点。</w:t>
            </w:r>
          </w:p>
        </w:tc>
      </w:tr>
      <w:tr w:rsidR="00BE5664" w:rsidTr="00BE5664">
        <w:trPr>
          <w:trHeight w:val="555"/>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7</w:t>
            </w:r>
          </w:p>
        </w:tc>
        <w:tc>
          <w:tcPr>
            <w:tcW w:w="143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第七章地下连续墙施工技术</w:t>
            </w:r>
          </w:p>
        </w:tc>
        <w:tc>
          <w:tcPr>
            <w:tcW w:w="709"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2</w:t>
            </w:r>
          </w:p>
        </w:tc>
        <w:tc>
          <w:tcPr>
            <w:tcW w:w="280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地下连续墙的概念、特点、分类和应用范围；地下连续墙施工组织设计；地下连续墙施工施工工艺。</w:t>
            </w:r>
          </w:p>
        </w:tc>
        <w:tc>
          <w:tcPr>
            <w:tcW w:w="3828"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掌握地下连续墙的概念、特点、分类和应用范围，掌握地下连续墙施工组织设计的方法，掌握地下连续墙施工工艺。</w:t>
            </w:r>
          </w:p>
        </w:tc>
      </w:tr>
      <w:tr w:rsidR="00BE5664" w:rsidTr="00BE5664">
        <w:trPr>
          <w:trHeight w:val="555"/>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8</w:t>
            </w:r>
          </w:p>
        </w:tc>
        <w:tc>
          <w:tcPr>
            <w:tcW w:w="143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第八章顶管法施工技术</w:t>
            </w:r>
          </w:p>
        </w:tc>
        <w:tc>
          <w:tcPr>
            <w:tcW w:w="709"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4</w:t>
            </w:r>
          </w:p>
        </w:tc>
        <w:tc>
          <w:tcPr>
            <w:tcW w:w="280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顶管法施工基本原理；顶管法施工基本程序</w:t>
            </w:r>
            <w:r>
              <w:rPr>
                <w:rFonts w:ascii="仿宋_GB2312" w:hAnsi="Times New Roman"/>
                <w:sz w:val="20"/>
                <w:szCs w:val="20"/>
              </w:rPr>
              <w:t>、</w:t>
            </w:r>
            <w:r>
              <w:rPr>
                <w:rFonts w:ascii="仿宋_GB2312" w:hAnsi="Times New Roman" w:hint="eastAsia"/>
                <w:sz w:val="20"/>
                <w:szCs w:val="20"/>
              </w:rPr>
              <w:t>施工内容</w:t>
            </w:r>
            <w:r>
              <w:rPr>
                <w:rFonts w:ascii="仿宋_GB2312" w:hAnsi="Times New Roman"/>
                <w:sz w:val="20"/>
                <w:szCs w:val="20"/>
              </w:rPr>
              <w:t>、</w:t>
            </w:r>
            <w:r>
              <w:rPr>
                <w:rFonts w:ascii="仿宋_GB2312" w:hAnsi="Times New Roman" w:hint="eastAsia"/>
                <w:sz w:val="20"/>
                <w:szCs w:val="20"/>
              </w:rPr>
              <w:t>施工组织设计内容；顶管机及其选型；人工式、泥水平衡式及土压平衡式顶管施工技术；顶管工程设计计算；顶管法施工主要技术问题。</w:t>
            </w:r>
          </w:p>
        </w:tc>
        <w:tc>
          <w:tcPr>
            <w:tcW w:w="3828" w:type="dxa"/>
            <w:vAlign w:val="center"/>
          </w:tcPr>
          <w:p w:rsidR="00BE5664" w:rsidRDefault="00BE5664" w:rsidP="00BE5664">
            <w:pPr>
              <w:rPr>
                <w:rFonts w:ascii="仿宋_GB2312" w:hAnsi="Times New Roman"/>
                <w:sz w:val="20"/>
                <w:szCs w:val="20"/>
              </w:rPr>
            </w:pPr>
            <w:r>
              <w:rPr>
                <w:rFonts w:ascii="仿宋_GB2312" w:hAnsi="Times New Roman"/>
                <w:sz w:val="20"/>
                <w:szCs w:val="20"/>
              </w:rPr>
              <w:t>掌握</w:t>
            </w:r>
            <w:r>
              <w:rPr>
                <w:rFonts w:ascii="仿宋_GB2312" w:hAnsi="Times New Roman" w:hint="eastAsia"/>
                <w:sz w:val="20"/>
                <w:szCs w:val="20"/>
              </w:rPr>
              <w:t>顶管机的类型及其应用范围，掌握顶管法施工的基本原理和施工工序；了解顶管工程设计计算的基本原理，掌握人工式、泥水平衡式、土压平衡式顶管施工工艺，以及施工过程中主要技术问题的处置方法</w:t>
            </w:r>
            <w:r>
              <w:rPr>
                <w:rFonts w:ascii="仿宋_GB2312" w:hAnsi="Times New Roman"/>
                <w:sz w:val="20"/>
                <w:szCs w:val="20"/>
              </w:rPr>
              <w:t>。</w:t>
            </w:r>
          </w:p>
        </w:tc>
      </w:tr>
      <w:tr w:rsidR="00BE5664" w:rsidTr="00BE5664">
        <w:trPr>
          <w:trHeight w:val="555"/>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lastRenderedPageBreak/>
              <w:t>9</w:t>
            </w:r>
          </w:p>
        </w:tc>
        <w:tc>
          <w:tcPr>
            <w:tcW w:w="143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第九章沉管法施工技术</w:t>
            </w:r>
          </w:p>
        </w:tc>
        <w:tc>
          <w:tcPr>
            <w:tcW w:w="709"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2</w:t>
            </w:r>
          </w:p>
        </w:tc>
        <w:tc>
          <w:tcPr>
            <w:tcW w:w="280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沉管法施工隧道的基本原理；沉管隧道结构分类及结构设计要点；沉管隧道施工工艺；沉管隧道施工特点。</w:t>
            </w:r>
          </w:p>
        </w:tc>
        <w:tc>
          <w:tcPr>
            <w:tcW w:w="3828"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掌握沉管法施工隧道的基本原理，掌握沉管隧道结构分类，了解沉管隧道结构设计要点，了解沉管法施工前的准备工作，掌握沉管隧道施工工艺及特点</w:t>
            </w:r>
            <w:r>
              <w:rPr>
                <w:rFonts w:ascii="仿宋_GB2312" w:hAnsi="Times New Roman"/>
                <w:sz w:val="20"/>
                <w:szCs w:val="20"/>
              </w:rPr>
              <w:t>。</w:t>
            </w:r>
          </w:p>
        </w:tc>
      </w:tr>
      <w:tr w:rsidR="00BE5664" w:rsidTr="00BE5664">
        <w:trPr>
          <w:trHeight w:val="555"/>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10</w:t>
            </w:r>
          </w:p>
        </w:tc>
        <w:tc>
          <w:tcPr>
            <w:tcW w:w="143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第十章冻结法施工技术</w:t>
            </w:r>
          </w:p>
        </w:tc>
        <w:tc>
          <w:tcPr>
            <w:tcW w:w="709"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2</w:t>
            </w:r>
          </w:p>
        </w:tc>
        <w:tc>
          <w:tcPr>
            <w:tcW w:w="280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冻结法原理与适用条件；立井冻结法凿井方案设计；立井冻结法施工；斜井井筒冻结技术；地下铁道工程冻结施工技术。</w:t>
            </w:r>
          </w:p>
        </w:tc>
        <w:tc>
          <w:tcPr>
            <w:tcW w:w="3828"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掌握冻结法基本原理及适用条件；了解立井冻结法凿井方案设计的基本原理，掌握立井冻结法施工内容及要点；了解斜井井筒冻结法的主要构造和施工技术；了解地下铁道工程冻结施工案例，初步掌握冻结加固软土的原理</w:t>
            </w:r>
            <w:r>
              <w:rPr>
                <w:rFonts w:ascii="仿宋_GB2312" w:hAnsi="Times New Roman"/>
                <w:sz w:val="20"/>
                <w:szCs w:val="20"/>
              </w:rPr>
              <w:t>。</w:t>
            </w:r>
          </w:p>
        </w:tc>
      </w:tr>
      <w:tr w:rsidR="00BE5664" w:rsidTr="00BE5664">
        <w:trPr>
          <w:trHeight w:val="555"/>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11</w:t>
            </w:r>
          </w:p>
        </w:tc>
        <w:tc>
          <w:tcPr>
            <w:tcW w:w="143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第十一章注浆法施工技术</w:t>
            </w:r>
          </w:p>
        </w:tc>
        <w:tc>
          <w:tcPr>
            <w:tcW w:w="709"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2</w:t>
            </w:r>
          </w:p>
        </w:tc>
        <w:tc>
          <w:tcPr>
            <w:tcW w:w="280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注浆法浆液扩散及注浆作用机理；注浆材料及选择；注浆参数；施工程序及施工要点；注浆设备。</w:t>
            </w:r>
          </w:p>
        </w:tc>
        <w:tc>
          <w:tcPr>
            <w:tcW w:w="3828" w:type="dxa"/>
            <w:vAlign w:val="center"/>
          </w:tcPr>
          <w:p w:rsidR="00BE5664" w:rsidRDefault="00BE5664" w:rsidP="00BE5664">
            <w:pPr>
              <w:rPr>
                <w:rFonts w:ascii="仿宋_GB2312" w:hAnsi="Times New Roman"/>
                <w:sz w:val="20"/>
                <w:szCs w:val="20"/>
              </w:rPr>
            </w:pPr>
            <w:r>
              <w:rPr>
                <w:rFonts w:ascii="仿宋_GB2312" w:hAnsi="Times New Roman"/>
                <w:sz w:val="20"/>
                <w:szCs w:val="20"/>
              </w:rPr>
              <w:t>掌握</w:t>
            </w:r>
            <w:r>
              <w:rPr>
                <w:rFonts w:ascii="仿宋_GB2312" w:hAnsi="Times New Roman" w:hint="eastAsia"/>
                <w:sz w:val="20"/>
                <w:szCs w:val="20"/>
              </w:rPr>
              <w:t>注浆法浆液扩散、加固及堵水机理；了解注浆材料分类、特性及评价指标，掌握注浆材料选择及参数确定原则；了解注浆设备，掌握注浆施工程序和施工要点。</w:t>
            </w:r>
          </w:p>
        </w:tc>
      </w:tr>
      <w:tr w:rsidR="00BE5664" w:rsidTr="00BE5664">
        <w:trPr>
          <w:trHeight w:val="555"/>
        </w:trPr>
        <w:tc>
          <w:tcPr>
            <w:tcW w:w="385"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12</w:t>
            </w:r>
          </w:p>
        </w:tc>
        <w:tc>
          <w:tcPr>
            <w:tcW w:w="143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第十二章地下工程施工组织与施工监测</w:t>
            </w:r>
          </w:p>
        </w:tc>
        <w:tc>
          <w:tcPr>
            <w:tcW w:w="709"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4</w:t>
            </w:r>
          </w:p>
        </w:tc>
        <w:tc>
          <w:tcPr>
            <w:tcW w:w="280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施工组织设计的作用、编制内容、步骤；施工方案；施工进度计划；施工场地设计；施工监测范围、项目、布置。</w:t>
            </w:r>
          </w:p>
        </w:tc>
        <w:tc>
          <w:tcPr>
            <w:tcW w:w="3828"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地下工程施工组织编制内容和编制步骤；了解地下工程施工方案确定的依据、选择的原则和主要内容；掌握编制地下工程施工进度计划的方法；掌握地下工程施工场地供水、供电、施工仓库等设计方法；了解地下工程施工监测的意义，掌握地下工程施工监测的内容、项目和方案设计方法。</w:t>
            </w:r>
          </w:p>
        </w:tc>
      </w:tr>
    </w:tbl>
    <w:p w:rsidR="00BE5664" w:rsidRDefault="00BE5664" w:rsidP="00BE5664">
      <w:pPr>
        <w:spacing w:beforeLines="50" w:before="156" w:line="360" w:lineRule="auto"/>
        <w:outlineLvl w:val="0"/>
        <w:rPr>
          <w:rFonts w:ascii="Times New Roman" w:eastAsia="黑体" w:hAnsi="Times New Roman"/>
          <w:b/>
          <w:sz w:val="28"/>
          <w:szCs w:val="28"/>
        </w:rPr>
      </w:pPr>
      <w:r>
        <w:rPr>
          <w:rFonts w:ascii="Times New Roman" w:eastAsia="黑体" w:hAnsi="Times New Roman"/>
          <w:b/>
          <w:sz w:val="28"/>
          <w:szCs w:val="28"/>
        </w:rPr>
        <w:t>五、课程考核和评价方式</w:t>
      </w:r>
    </w:p>
    <w:p w:rsidR="00BE5664" w:rsidRDefault="00BE5664" w:rsidP="00BE5664">
      <w:pPr>
        <w:spacing w:line="360" w:lineRule="auto"/>
        <w:ind w:firstLineChars="200" w:firstLine="560"/>
        <w:rPr>
          <w:rFonts w:ascii="仿宋_GB2312" w:hAnsi="Times New Roman"/>
          <w:sz w:val="28"/>
          <w:szCs w:val="28"/>
        </w:rPr>
      </w:pPr>
      <w:r>
        <w:rPr>
          <w:rFonts w:ascii="仿宋_GB2312" w:hAnsi="Times New Roman" w:hint="eastAsia"/>
          <w:sz w:val="28"/>
          <w:szCs w:val="28"/>
        </w:rPr>
        <w:t>1.课程考核</w:t>
      </w:r>
    </w:p>
    <w:p w:rsidR="00BE5664" w:rsidRDefault="00BE5664" w:rsidP="00BE5664">
      <w:pPr>
        <w:spacing w:line="360" w:lineRule="auto"/>
        <w:ind w:firstLineChars="200" w:firstLine="560"/>
        <w:rPr>
          <w:rFonts w:ascii="仿宋_GB2312" w:hAnsi="Times New Roman"/>
          <w:sz w:val="28"/>
          <w:szCs w:val="28"/>
        </w:rPr>
      </w:pPr>
      <w:r>
        <w:rPr>
          <w:rFonts w:ascii="仿宋_GB2312" w:hAnsi="Times New Roman" w:hint="eastAsia"/>
          <w:sz w:val="28"/>
          <w:szCs w:val="28"/>
        </w:rPr>
        <w:t>本课程不设课外学时，采用平时成绩+期末考试方式确定总评成绩，其中平时成绩考核包括作业、课堂表现、出勤等内容，期末考试采用考试方式（百分制）。平时成绩占20%，期末考试成绩占80%。</w:t>
      </w:r>
    </w:p>
    <w:p w:rsidR="00BE5664" w:rsidRDefault="00BE5664" w:rsidP="00BE5664">
      <w:pPr>
        <w:spacing w:line="360" w:lineRule="auto"/>
        <w:ind w:firstLineChars="200" w:firstLine="560"/>
        <w:rPr>
          <w:rStyle w:val="fontstyle01"/>
          <w:rFonts w:ascii="仿宋_GB2312" w:hAnsi="Times New Roman" w:cs="Times New Roman" w:hint="default"/>
          <w:sz w:val="28"/>
          <w:szCs w:val="28"/>
        </w:rPr>
      </w:pPr>
      <w:r>
        <w:rPr>
          <w:rFonts w:ascii="仿宋_GB2312" w:hAnsi="Times New Roman" w:hint="eastAsia"/>
          <w:sz w:val="28"/>
          <w:szCs w:val="28"/>
        </w:rPr>
        <w:t>2.成绩评定</w:t>
      </w:r>
    </w:p>
    <w:p w:rsidR="00BE5664" w:rsidRDefault="00BE5664" w:rsidP="00BE5664">
      <w:pPr>
        <w:spacing w:line="360" w:lineRule="auto"/>
        <w:ind w:firstLineChars="200" w:firstLine="560"/>
        <w:rPr>
          <w:rStyle w:val="fontstyle11"/>
          <w:rFonts w:ascii="仿宋_GB2312"/>
          <w:sz w:val="28"/>
          <w:szCs w:val="28"/>
        </w:rPr>
      </w:pPr>
      <w:r>
        <w:rPr>
          <w:rStyle w:val="fontstyle01"/>
          <w:rFonts w:ascii="仿宋_GB2312" w:hAnsi="Times New Roman" w:cs="Times New Roman" w:hint="default"/>
          <w:sz w:val="28"/>
          <w:szCs w:val="28"/>
        </w:rPr>
        <w:t>课程总成绩</w:t>
      </w:r>
      <w:r>
        <w:rPr>
          <w:rStyle w:val="fontstyle01"/>
          <w:rFonts w:ascii="仿宋_GB2312" w:hAnsi="Times New Roman" w:cs="Times New Roman" w:hint="default"/>
          <w:sz w:val="28"/>
          <w:szCs w:val="28"/>
        </w:rPr>
        <w:t>=</w:t>
      </w:r>
      <w:r>
        <w:rPr>
          <w:rStyle w:val="fontstyle01"/>
          <w:rFonts w:ascii="仿宋_GB2312" w:hAnsi="Times New Roman" w:cs="Times New Roman" w:hint="default"/>
          <w:sz w:val="28"/>
          <w:szCs w:val="28"/>
        </w:rPr>
        <w:t>期末成绩</w:t>
      </w:r>
      <w:r>
        <w:rPr>
          <w:rStyle w:val="fontstyle11"/>
          <w:rFonts w:ascii="仿宋_GB2312" w:hint="eastAsia"/>
          <w:sz w:val="28"/>
          <w:szCs w:val="28"/>
        </w:rPr>
        <w:t>80%+平时</w:t>
      </w:r>
      <w:r>
        <w:rPr>
          <w:rStyle w:val="fontstyle01"/>
          <w:rFonts w:ascii="仿宋_GB2312" w:hAnsi="Times New Roman" w:cs="Times New Roman" w:hint="default"/>
          <w:sz w:val="28"/>
          <w:szCs w:val="28"/>
        </w:rPr>
        <w:t>成绩</w:t>
      </w:r>
      <w:r>
        <w:rPr>
          <w:rStyle w:val="fontstyle01"/>
          <w:rFonts w:ascii="仿宋_GB2312" w:hAnsi="Times New Roman" w:cs="Times New Roman" w:hint="default"/>
          <w:sz w:val="28"/>
          <w:szCs w:val="28"/>
        </w:rPr>
        <w:t>20</w:t>
      </w:r>
      <w:r>
        <w:rPr>
          <w:rStyle w:val="fontstyle11"/>
          <w:rFonts w:ascii="仿宋_GB2312" w:hint="eastAsia"/>
          <w:sz w:val="28"/>
          <w:szCs w:val="28"/>
        </w:rPr>
        <w:t>%。</w:t>
      </w:r>
    </w:p>
    <w:p w:rsidR="00BE5664" w:rsidRDefault="00BE5664" w:rsidP="00BE5664">
      <w:pPr>
        <w:spacing w:line="360" w:lineRule="auto"/>
        <w:ind w:firstLineChars="200" w:firstLine="560"/>
        <w:rPr>
          <w:rStyle w:val="fontstyle11"/>
          <w:rFonts w:ascii="仿宋_GB2312"/>
          <w:sz w:val="28"/>
          <w:szCs w:val="28"/>
        </w:rPr>
      </w:pPr>
      <w:r>
        <w:rPr>
          <w:rStyle w:val="fontstyle11"/>
          <w:rFonts w:ascii="仿宋_GB2312" w:hint="eastAsia"/>
          <w:sz w:val="28"/>
          <w:szCs w:val="28"/>
        </w:rPr>
        <w:t>（1）试题评分标准</w:t>
      </w:r>
    </w:p>
    <w:p w:rsidR="00BE5664" w:rsidRDefault="00BE5664" w:rsidP="00BE5664">
      <w:pPr>
        <w:spacing w:line="360" w:lineRule="auto"/>
        <w:ind w:firstLineChars="200" w:firstLine="560"/>
        <w:rPr>
          <w:rStyle w:val="fontstyle11"/>
          <w:rFonts w:ascii="仿宋_GB2312"/>
          <w:sz w:val="28"/>
          <w:szCs w:val="28"/>
        </w:rPr>
      </w:pPr>
      <w:r>
        <w:rPr>
          <w:rStyle w:val="fontstyle11"/>
          <w:rFonts w:ascii="仿宋_GB2312" w:hint="eastAsia"/>
          <w:sz w:val="28"/>
          <w:szCs w:val="28"/>
        </w:rPr>
        <w:t>客观题根据题目的正确率判定评分，主观题参考作业评分标准。</w:t>
      </w:r>
    </w:p>
    <w:p w:rsidR="00BE5664" w:rsidRDefault="00BE5664" w:rsidP="00BE5664">
      <w:pPr>
        <w:autoSpaceDE w:val="0"/>
        <w:autoSpaceDN w:val="0"/>
        <w:adjustRightInd w:val="0"/>
        <w:spacing w:afterLines="50" w:after="156"/>
        <w:ind w:firstLineChars="200" w:firstLine="560"/>
        <w:jc w:val="left"/>
        <w:rPr>
          <w:rFonts w:ascii="仿宋_GB2312" w:hAnsi="Times New Roman" w:cs="仿宋_GB2312"/>
          <w:kern w:val="0"/>
          <w:sz w:val="28"/>
          <w:szCs w:val="28"/>
        </w:rPr>
      </w:pPr>
      <w:r>
        <w:rPr>
          <w:rFonts w:ascii="仿宋_GB2312" w:hAnsi="Times New Roman" w:cs="仿宋_GB2312" w:hint="eastAsia"/>
          <w:kern w:val="0"/>
          <w:sz w:val="28"/>
          <w:szCs w:val="28"/>
        </w:rPr>
        <w:t>（2）作业评分标准</w:t>
      </w:r>
    </w:p>
    <w:tbl>
      <w:tblPr>
        <w:tblW w:w="8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1753"/>
        <w:gridCol w:w="1754"/>
        <w:gridCol w:w="1754"/>
        <w:gridCol w:w="1754"/>
      </w:tblGrid>
      <w:tr w:rsidR="00BE5664" w:rsidTr="00BE5664">
        <w:trPr>
          <w:trHeight w:val="301"/>
          <w:jc w:val="center"/>
        </w:trPr>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lastRenderedPageBreak/>
              <w:t>权重</w:t>
            </w:r>
          </w:p>
        </w:tc>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86-100分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71-85分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50-70分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0-49分</w:t>
            </w:r>
          </w:p>
        </w:tc>
      </w:tr>
      <w:tr w:rsidR="00BE5664" w:rsidTr="00BE5664">
        <w:trPr>
          <w:trHeight w:val="399"/>
          <w:jc w:val="center"/>
        </w:trPr>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作业完成态度</w:t>
            </w:r>
          </w:p>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（权重0.2）</w:t>
            </w:r>
          </w:p>
        </w:tc>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非常认真</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较认真</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Style w:val="fontstyle11"/>
                <w:rFonts w:ascii="仿宋_GB2312" w:hint="eastAsia"/>
                <w:sz w:val="20"/>
                <w:szCs w:val="20"/>
              </w:rPr>
              <w:t>一般认真</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Style w:val="fontstyle11"/>
                <w:rFonts w:ascii="仿宋_GB2312" w:hint="eastAsia"/>
                <w:sz w:val="20"/>
                <w:szCs w:val="20"/>
              </w:rPr>
              <w:t>不认真</w:t>
            </w:r>
          </w:p>
        </w:tc>
      </w:tr>
      <w:tr w:rsidR="00BE5664" w:rsidTr="00BE5664">
        <w:trPr>
          <w:trHeight w:val="399"/>
          <w:jc w:val="center"/>
        </w:trPr>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作业完成正确率</w:t>
            </w:r>
          </w:p>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（权重0.8）</w:t>
            </w:r>
          </w:p>
        </w:tc>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正确率达86%以上</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正确率达71%以上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正确率达50%以上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正确率低于50%</w:t>
            </w:r>
          </w:p>
        </w:tc>
      </w:tr>
    </w:tbl>
    <w:p w:rsidR="00BE5664" w:rsidRDefault="00BE5664" w:rsidP="00BE5664">
      <w:pPr>
        <w:autoSpaceDE w:val="0"/>
        <w:autoSpaceDN w:val="0"/>
        <w:adjustRightInd w:val="0"/>
        <w:spacing w:beforeLines="50" w:before="156" w:afterLines="50" w:after="156"/>
        <w:ind w:firstLineChars="200" w:firstLine="560"/>
        <w:jc w:val="left"/>
        <w:rPr>
          <w:rFonts w:ascii="仿宋_GB2312" w:hAnsi="Times New Roman" w:cs="仿宋_GB2312"/>
          <w:kern w:val="0"/>
          <w:sz w:val="28"/>
          <w:szCs w:val="28"/>
        </w:rPr>
      </w:pPr>
      <w:r>
        <w:rPr>
          <w:rFonts w:ascii="仿宋_GB2312" w:hAnsi="Times New Roman" w:cs="仿宋_GB2312" w:hint="eastAsia"/>
          <w:kern w:val="0"/>
          <w:sz w:val="28"/>
          <w:szCs w:val="28"/>
        </w:rPr>
        <w:t>（3）课堂表现评分标准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BE5664" w:rsidTr="00BE5664">
        <w:trPr>
          <w:trHeight w:val="281"/>
          <w:jc w:val="center"/>
        </w:trPr>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86-100分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71-85分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50-70分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0-49分</w:t>
            </w:r>
          </w:p>
        </w:tc>
      </w:tr>
      <w:tr w:rsidR="00BE5664" w:rsidTr="00BE5664">
        <w:trPr>
          <w:trHeight w:val="372"/>
          <w:jc w:val="center"/>
        </w:trPr>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回答问题准确性（权重1.0）</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正确率达86%以上</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正确率达71%以上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正确率达50%以上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正确率低于50%</w:t>
            </w:r>
          </w:p>
        </w:tc>
      </w:tr>
    </w:tbl>
    <w:p w:rsidR="00BE5664" w:rsidRDefault="00BE5664" w:rsidP="00BE5664">
      <w:pPr>
        <w:autoSpaceDE w:val="0"/>
        <w:autoSpaceDN w:val="0"/>
        <w:adjustRightInd w:val="0"/>
        <w:spacing w:beforeLines="50" w:before="156" w:afterLines="50" w:after="156"/>
        <w:ind w:firstLineChars="200" w:firstLine="560"/>
        <w:jc w:val="left"/>
        <w:rPr>
          <w:rStyle w:val="fontstyle11"/>
          <w:rFonts w:ascii="仿宋_GB2312"/>
          <w:sz w:val="28"/>
          <w:szCs w:val="28"/>
        </w:rPr>
      </w:pPr>
      <w:r>
        <w:rPr>
          <w:rStyle w:val="fontstyle11"/>
          <w:rFonts w:ascii="仿宋_GB2312" w:hint="eastAsia"/>
          <w:sz w:val="28"/>
          <w:szCs w:val="28"/>
        </w:rPr>
        <w:t>（4）课堂出勤评分标准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BE5664" w:rsidTr="00BE5664">
        <w:trPr>
          <w:trHeight w:val="281"/>
          <w:jc w:val="center"/>
        </w:trPr>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81-100分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51-80分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26-50分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0-25分</w:t>
            </w:r>
          </w:p>
        </w:tc>
      </w:tr>
      <w:tr w:rsidR="00BE5664" w:rsidTr="00BE5664">
        <w:trPr>
          <w:trHeight w:val="372"/>
          <w:jc w:val="center"/>
        </w:trPr>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课堂出勤率</w:t>
            </w:r>
          </w:p>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（权重1.0）</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出勤率达81%以上</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出勤率达51%以上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出勤率达26%以上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正出勤率低于25%</w:t>
            </w:r>
          </w:p>
        </w:tc>
      </w:tr>
    </w:tbl>
    <w:p w:rsidR="00BE5664" w:rsidRDefault="00BE5664" w:rsidP="00BE5664">
      <w:pPr>
        <w:autoSpaceDE w:val="0"/>
        <w:autoSpaceDN w:val="0"/>
        <w:adjustRightInd w:val="0"/>
        <w:ind w:firstLineChars="50" w:firstLine="100"/>
        <w:jc w:val="left"/>
        <w:rPr>
          <w:rFonts w:ascii="仿宋_GB2312" w:hAnsi="Times New Roman" w:cs="仿宋_GB2312"/>
          <w:kern w:val="0"/>
          <w:sz w:val="20"/>
          <w:szCs w:val="20"/>
        </w:rPr>
      </w:pPr>
      <w:r>
        <w:rPr>
          <w:rFonts w:ascii="仿宋_GB2312" w:hAnsi="Times New Roman" w:cs="仿宋_GB2312" w:hint="eastAsia"/>
          <w:kern w:val="0"/>
          <w:sz w:val="20"/>
          <w:szCs w:val="20"/>
        </w:rPr>
        <w:t>注：迟到</w:t>
      </w:r>
      <w:r>
        <w:rPr>
          <w:rFonts w:ascii="仿宋_GB2312" w:hAnsi="Times New Roman" w:cs="仿宋_GB2312"/>
          <w:kern w:val="0"/>
          <w:sz w:val="20"/>
          <w:szCs w:val="20"/>
        </w:rPr>
        <w:t>30</w:t>
      </w:r>
      <w:r>
        <w:rPr>
          <w:rFonts w:ascii="仿宋_GB2312" w:hAnsi="Times New Roman" w:cs="仿宋_GB2312" w:hint="eastAsia"/>
          <w:kern w:val="0"/>
          <w:sz w:val="20"/>
          <w:szCs w:val="20"/>
        </w:rPr>
        <w:t>分钟以上按一次缺勤计</w:t>
      </w:r>
    </w:p>
    <w:p w:rsidR="00BE5664" w:rsidRDefault="00BE5664" w:rsidP="00BE5664">
      <w:pPr>
        <w:spacing w:beforeLines="50" w:before="156" w:afterLines="50" w:after="156" w:line="4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BE5664" w:rsidRDefault="00BE5664" w:rsidP="00BE5664">
      <w:pPr>
        <w:spacing w:line="360" w:lineRule="auto"/>
        <w:ind w:firstLineChars="200" w:firstLine="560"/>
        <w:rPr>
          <w:rFonts w:ascii="仿宋_GB2312" w:hAnsi="Times New Roman"/>
          <w:sz w:val="28"/>
          <w:szCs w:val="28"/>
        </w:rPr>
      </w:pPr>
      <w:r>
        <w:rPr>
          <w:rFonts w:ascii="仿宋_GB2312" w:hAnsi="Times New Roman" w:hint="eastAsia"/>
          <w:sz w:val="28"/>
          <w:szCs w:val="28"/>
        </w:rPr>
        <w:t>1.建议教材</w:t>
      </w:r>
    </w:p>
    <w:p w:rsidR="00BE5664" w:rsidRDefault="00BE5664" w:rsidP="00BE5664">
      <w:pPr>
        <w:spacing w:line="312" w:lineRule="auto"/>
        <w:ind w:firstLineChars="200" w:firstLine="560"/>
        <w:rPr>
          <w:rFonts w:ascii="仿宋_GB2312" w:hAnsi="Times New Roman"/>
          <w:sz w:val="28"/>
          <w:szCs w:val="28"/>
        </w:rPr>
      </w:pPr>
      <w:r>
        <w:rPr>
          <w:rFonts w:ascii="仿宋_GB2312" w:hAnsi="Times New Roman" w:hint="eastAsia"/>
          <w:sz w:val="28"/>
          <w:szCs w:val="28"/>
        </w:rPr>
        <w:t>任建喜主编.《地下工程施工技术》[M]，西安：西北工业大学出版社，2012.</w:t>
      </w:r>
    </w:p>
    <w:p w:rsidR="00BE5664" w:rsidRDefault="00BE5664" w:rsidP="00BE5664">
      <w:pPr>
        <w:spacing w:line="312" w:lineRule="auto"/>
        <w:ind w:firstLineChars="200" w:firstLine="560"/>
        <w:rPr>
          <w:rFonts w:ascii="仿宋_GB2312" w:hAnsi="Times New Roman"/>
          <w:sz w:val="28"/>
          <w:szCs w:val="28"/>
        </w:rPr>
      </w:pPr>
      <w:r>
        <w:rPr>
          <w:rFonts w:ascii="仿宋_GB2312" w:hAnsi="Times New Roman" w:hint="eastAsia"/>
          <w:sz w:val="28"/>
          <w:szCs w:val="28"/>
        </w:rPr>
        <w:t>2.主要参考资料</w:t>
      </w:r>
    </w:p>
    <w:p w:rsidR="00BE5664" w:rsidRDefault="00BE5664" w:rsidP="005F6318">
      <w:pPr>
        <w:numPr>
          <w:ilvl w:val="0"/>
          <w:numId w:val="19"/>
        </w:numPr>
        <w:spacing w:line="312" w:lineRule="auto"/>
        <w:ind w:left="0" w:firstLineChars="200" w:firstLine="560"/>
        <w:rPr>
          <w:rFonts w:ascii="仿宋_GB2312" w:hAnsi="Times New Roman"/>
          <w:sz w:val="28"/>
          <w:szCs w:val="28"/>
        </w:rPr>
      </w:pPr>
      <w:r>
        <w:rPr>
          <w:rFonts w:ascii="仿宋_GB2312" w:hAnsi="Times New Roman" w:hint="eastAsia"/>
          <w:sz w:val="28"/>
          <w:szCs w:val="28"/>
        </w:rPr>
        <w:t>许建聪. 地下工程施工技术[M].北京：中国建筑工业出版社，2015.</w:t>
      </w:r>
    </w:p>
    <w:p w:rsidR="00BE5664" w:rsidRDefault="00BE5664" w:rsidP="005F6318">
      <w:pPr>
        <w:numPr>
          <w:ilvl w:val="0"/>
          <w:numId w:val="19"/>
        </w:numPr>
        <w:spacing w:line="312" w:lineRule="auto"/>
        <w:ind w:left="0" w:firstLineChars="200" w:firstLine="560"/>
        <w:rPr>
          <w:rFonts w:ascii="仿宋_GB2312" w:hAnsi="Times New Roman"/>
          <w:sz w:val="28"/>
          <w:szCs w:val="28"/>
        </w:rPr>
      </w:pPr>
      <w:r>
        <w:rPr>
          <w:rFonts w:ascii="仿宋_GB2312" w:hAnsi="Times New Roman" w:hint="eastAsia"/>
          <w:sz w:val="28"/>
          <w:szCs w:val="28"/>
        </w:rPr>
        <w:t>姜玉松. 地下工程施工技术（第二版）[M]. 武汉：武汉理工大学出版社，2015.</w:t>
      </w:r>
    </w:p>
    <w:p w:rsidR="00BE5664" w:rsidRDefault="00BE5664" w:rsidP="00BE5664">
      <w:pPr>
        <w:ind w:firstLineChars="1200" w:firstLine="3360"/>
        <w:rPr>
          <w:rFonts w:ascii="仿宋_GB2312" w:hAnsi="Times New Roman"/>
          <w:sz w:val="28"/>
          <w:szCs w:val="28"/>
        </w:rPr>
      </w:pPr>
      <w:r>
        <w:rPr>
          <w:rFonts w:ascii="仿宋_GB2312" w:hAnsi="Times New Roman" w:hint="eastAsia"/>
          <w:sz w:val="28"/>
          <w:szCs w:val="28"/>
        </w:rPr>
        <w:t>大纲</w:t>
      </w:r>
      <w:r>
        <w:rPr>
          <w:rFonts w:ascii="仿宋" w:eastAsia="仿宋" w:hAnsi="仿宋" w:hint="eastAsia"/>
          <w:sz w:val="28"/>
          <w:szCs w:val="28"/>
        </w:rPr>
        <w:t>撰写</w:t>
      </w:r>
      <w:r>
        <w:rPr>
          <w:rFonts w:ascii="仿宋_GB2312" w:hAnsi="Times New Roman" w:hint="eastAsia"/>
          <w:sz w:val="28"/>
          <w:szCs w:val="28"/>
        </w:rPr>
        <w:t>人：张勋</w:t>
      </w:r>
    </w:p>
    <w:p w:rsidR="00BE5664" w:rsidRDefault="00BE5664" w:rsidP="00BE5664">
      <w:pPr>
        <w:ind w:firstLineChars="1200" w:firstLine="3360"/>
        <w:rPr>
          <w:rFonts w:ascii="仿宋_GB2312" w:hAnsi="Times New Roman"/>
          <w:sz w:val="28"/>
          <w:szCs w:val="28"/>
        </w:rPr>
      </w:pPr>
      <w:r>
        <w:rPr>
          <w:rFonts w:ascii="仿宋_GB2312" w:hAnsi="Times New Roman" w:hint="eastAsia"/>
          <w:sz w:val="28"/>
          <w:szCs w:val="28"/>
        </w:rPr>
        <w:t>课程</w:t>
      </w:r>
      <w:r>
        <w:rPr>
          <w:rFonts w:ascii="仿宋" w:eastAsia="仿宋" w:hAnsi="仿宋" w:hint="eastAsia"/>
          <w:sz w:val="28"/>
          <w:szCs w:val="28"/>
        </w:rPr>
        <w:t>负责人</w:t>
      </w:r>
      <w:r>
        <w:rPr>
          <w:rFonts w:ascii="仿宋_GB2312" w:hAnsi="Times New Roman" w:hint="eastAsia"/>
          <w:sz w:val="28"/>
          <w:szCs w:val="28"/>
        </w:rPr>
        <w:t>：张勋</w:t>
      </w:r>
    </w:p>
    <w:p w:rsidR="00BE5664" w:rsidRDefault="00BE5664" w:rsidP="00EA50AD">
      <w:pPr>
        <w:ind w:firstLineChars="1200" w:firstLine="3360"/>
        <w:rPr>
          <w:rFonts w:ascii="仿宋" w:eastAsia="仿宋" w:hAnsi="仿宋"/>
          <w:sz w:val="28"/>
          <w:szCs w:val="28"/>
        </w:rPr>
      </w:pPr>
      <w:r>
        <w:rPr>
          <w:rFonts w:ascii="仿宋_GB2312" w:hAnsi="Times New Roman" w:hint="eastAsia"/>
          <w:sz w:val="28"/>
          <w:szCs w:val="28"/>
        </w:rPr>
        <w:t>审核人：袁春燕</w:t>
      </w:r>
    </w:p>
    <w:p w:rsidR="00BE5664" w:rsidRDefault="00BE5664" w:rsidP="00BE5664">
      <w:pPr>
        <w:ind w:firstLineChars="1800" w:firstLine="5040"/>
        <w:jc w:val="left"/>
        <w:rPr>
          <w:rFonts w:ascii="仿宋_GB2312" w:hAnsi="Times New Roman"/>
          <w:sz w:val="28"/>
          <w:szCs w:val="28"/>
        </w:rPr>
      </w:pPr>
      <w:r>
        <w:rPr>
          <w:rFonts w:ascii="仿宋" w:eastAsia="仿宋" w:hAnsi="仿宋" w:hint="eastAsia"/>
          <w:sz w:val="28"/>
          <w:szCs w:val="28"/>
        </w:rPr>
        <w:t>2021</w:t>
      </w:r>
      <w:r>
        <w:rPr>
          <w:rFonts w:ascii="仿宋_GB2312" w:hAnsi="Times New Roman" w:hint="eastAsia"/>
          <w:sz w:val="28"/>
          <w:szCs w:val="28"/>
        </w:rPr>
        <w:t>年4月</w:t>
      </w:r>
    </w:p>
    <w:p w:rsidR="00BE5664" w:rsidRDefault="00BE5664" w:rsidP="00BE5664">
      <w:pPr>
        <w:widowControl/>
        <w:spacing w:line="360" w:lineRule="auto"/>
        <w:jc w:val="center"/>
        <w:rPr>
          <w:rFonts w:ascii="黑体" w:eastAsia="黑体" w:hAnsi="黑体"/>
          <w:b/>
          <w:kern w:val="0"/>
          <w:szCs w:val="28"/>
        </w:rPr>
      </w:pPr>
      <w:r>
        <w:rPr>
          <w:rFonts w:ascii="黑体" w:eastAsia="黑体" w:hAnsi="黑体"/>
          <w:b/>
          <w:kern w:val="0"/>
          <w:szCs w:val="28"/>
        </w:rPr>
        <w:lastRenderedPageBreak/>
        <w:t>《</w:t>
      </w:r>
      <w:r>
        <w:rPr>
          <w:rFonts w:ascii="黑体" w:eastAsia="黑体" w:hAnsi="黑体" w:hint="eastAsia"/>
          <w:b/>
          <w:kern w:val="0"/>
          <w:szCs w:val="28"/>
        </w:rPr>
        <w:t>道路桥梁工程施工</w:t>
      </w:r>
      <w:r>
        <w:rPr>
          <w:rFonts w:ascii="黑体" w:eastAsia="黑体" w:hAnsi="黑体"/>
          <w:b/>
          <w:kern w:val="0"/>
          <w:szCs w:val="28"/>
        </w:rPr>
        <w:t>》课程教学大纲</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一、课程信息</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英文名称：</w:t>
      </w:r>
      <w:r>
        <w:rPr>
          <w:rFonts w:ascii="仿宋_GB2312" w:hAnsi="Times New Roman"/>
          <w:sz w:val="28"/>
          <w:szCs w:val="21"/>
        </w:rPr>
        <w:t>Construction Technology of Road and Bridge Engineering</w:t>
      </w:r>
    </w:p>
    <w:p w:rsidR="00BE5664" w:rsidRDefault="00BE5664" w:rsidP="00BE5664">
      <w:pPr>
        <w:spacing w:line="360" w:lineRule="auto"/>
        <w:ind w:firstLineChars="200" w:firstLine="562"/>
        <w:jc w:val="left"/>
        <w:rPr>
          <w:rFonts w:ascii="仿宋_GB2312" w:hAnsi="Times New Roman"/>
          <w:b/>
          <w:sz w:val="28"/>
          <w:szCs w:val="21"/>
        </w:rPr>
      </w:pPr>
      <w:r>
        <w:rPr>
          <w:rFonts w:ascii="仿宋_GB2312" w:hAnsi="Times New Roman" w:hint="eastAsia"/>
          <w:b/>
          <w:sz w:val="28"/>
          <w:szCs w:val="21"/>
        </w:rPr>
        <w:t>课程编码：</w:t>
      </w:r>
      <w:r>
        <w:rPr>
          <w:rFonts w:ascii="仿宋_GB2312" w:hAnsi="Times New Roman"/>
          <w:sz w:val="28"/>
          <w:szCs w:val="21"/>
        </w:rPr>
        <w:t>Z2805060</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授课语言：</w:t>
      </w:r>
      <w:r>
        <w:rPr>
          <w:rFonts w:ascii="仿宋_GB2312" w:hAnsi="Times New Roman" w:hint="eastAsia"/>
          <w:sz w:val="28"/>
          <w:szCs w:val="21"/>
        </w:rPr>
        <w:t>汉语</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授课方式：</w:t>
      </w:r>
      <w:r>
        <w:rPr>
          <w:rFonts w:ascii="仿宋_GB2312" w:hAnsi="Times New Roman" w:hint="eastAsia"/>
          <w:sz w:val="28"/>
          <w:szCs w:val="21"/>
        </w:rPr>
        <w:t>线下</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课程类别：</w:t>
      </w:r>
      <w:r>
        <w:rPr>
          <w:rFonts w:ascii="仿宋_GB2312" w:hAnsi="Times New Roman" w:hint="eastAsia"/>
          <w:sz w:val="28"/>
          <w:szCs w:val="21"/>
        </w:rPr>
        <w:t>专业发展</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课程性质：</w:t>
      </w:r>
      <w:r>
        <w:rPr>
          <w:rFonts w:ascii="仿宋_GB2312" w:hAnsi="Times New Roman" w:hint="eastAsia"/>
          <w:sz w:val="28"/>
          <w:szCs w:val="21"/>
        </w:rPr>
        <w:t>选修</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学分：</w:t>
      </w:r>
      <w:r>
        <w:rPr>
          <w:rFonts w:ascii="仿宋_GB2312" w:hAnsi="Times New Roman"/>
          <w:sz w:val="28"/>
          <w:szCs w:val="21"/>
        </w:rPr>
        <w:t>1.5</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学时：</w:t>
      </w:r>
      <w:r>
        <w:rPr>
          <w:rFonts w:ascii="仿宋_GB2312" w:hAnsi="Times New Roman"/>
          <w:sz w:val="28"/>
          <w:szCs w:val="21"/>
        </w:rPr>
        <w:t>24</w:t>
      </w:r>
      <w:r>
        <w:rPr>
          <w:rFonts w:ascii="仿宋_GB2312" w:hAnsi="Times New Roman" w:hint="eastAsia"/>
          <w:sz w:val="28"/>
          <w:szCs w:val="21"/>
        </w:rPr>
        <w:t>学时（授课</w:t>
      </w:r>
      <w:r>
        <w:rPr>
          <w:rFonts w:ascii="仿宋_GB2312" w:hAnsi="Times New Roman"/>
          <w:sz w:val="28"/>
          <w:szCs w:val="21"/>
        </w:rPr>
        <w:t>24</w:t>
      </w:r>
      <w:r>
        <w:rPr>
          <w:rFonts w:ascii="仿宋_GB2312" w:hAnsi="Times New Roman" w:hint="eastAsia"/>
          <w:sz w:val="28"/>
          <w:szCs w:val="21"/>
        </w:rPr>
        <w:t>学时，实验0学时，上机0学时，课外0学时）</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适用对象：</w:t>
      </w:r>
      <w:r>
        <w:rPr>
          <w:rFonts w:ascii="仿宋_GB2312" w:hAnsi="Times New Roman" w:hint="eastAsia"/>
          <w:sz w:val="28"/>
          <w:szCs w:val="21"/>
        </w:rPr>
        <w:t>土木工程专业</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先修课程：</w:t>
      </w:r>
      <w:r>
        <w:rPr>
          <w:rFonts w:ascii="仿宋_GB2312" w:hAnsi="Times New Roman" w:hint="eastAsia"/>
          <w:sz w:val="28"/>
          <w:szCs w:val="21"/>
        </w:rPr>
        <w:t>工程测量、工程地质、土木工程材料</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开课院系：</w:t>
      </w:r>
      <w:r>
        <w:rPr>
          <w:rFonts w:ascii="仿宋_GB2312" w:hAnsi="Times New Roman" w:hint="eastAsia"/>
          <w:sz w:val="28"/>
          <w:szCs w:val="21"/>
        </w:rPr>
        <w:t>建筑工程学院工程造价与施工教研室</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二、课程简介</w:t>
      </w:r>
    </w:p>
    <w:p w:rsidR="00BE5664" w:rsidRDefault="00BE5664" w:rsidP="00BE5664">
      <w:pPr>
        <w:spacing w:line="360" w:lineRule="auto"/>
        <w:ind w:firstLineChars="200" w:firstLine="560"/>
        <w:rPr>
          <w:rFonts w:ascii="仿宋_GB2312" w:hAnsi="宋体"/>
          <w:sz w:val="28"/>
          <w:szCs w:val="21"/>
        </w:rPr>
      </w:pPr>
      <w:r>
        <w:rPr>
          <w:rFonts w:ascii="仿宋_GB2312" w:hAnsi="宋体" w:hint="eastAsia"/>
          <w:sz w:val="28"/>
          <w:szCs w:val="21"/>
        </w:rPr>
        <w:t>《道路桥梁工程施工》是土木工程专业的专业发展课，属选修课程。课程较全面、系统的介绍了道路与桥梁工程施工技术，主要内容包括我国道路桥梁工程的发展概况、道路与桥梁工程常用设备、路基工程施工、沥青路面施工、水泥混凝土路面施工、桥梁基础和墩台施工，以及常见桥梁上部结构施工技术等。课程包含的知识是土木工程专业学生应该掌握的专业知识，也是学生毕业后从事相关工程施工和</w:t>
      </w:r>
      <w:r>
        <w:rPr>
          <w:rFonts w:ascii="仿宋_GB2312" w:hAnsi="宋体" w:hint="eastAsia"/>
          <w:sz w:val="28"/>
          <w:szCs w:val="21"/>
        </w:rPr>
        <w:lastRenderedPageBreak/>
        <w:t>深造学习所必须的基础知识。修完本课程后，使学生初步具备道路与桥梁工程施工设计和指导工程施工的能力,能够积极投身于我国的现代化土木工程建设。</w:t>
      </w:r>
    </w:p>
    <w:p w:rsidR="00BE5664" w:rsidRDefault="00BE5664" w:rsidP="00BE5664">
      <w:pPr>
        <w:spacing w:line="360" w:lineRule="auto"/>
        <w:ind w:firstLineChars="200" w:firstLine="560"/>
        <w:rPr>
          <w:rFonts w:ascii="仿宋_GB2312" w:hAnsi="宋体"/>
          <w:sz w:val="28"/>
          <w:szCs w:val="21"/>
        </w:rPr>
      </w:pPr>
      <w:r>
        <w:rPr>
          <w:rFonts w:ascii="仿宋_GB2312" w:hAnsi="宋体" w:hint="eastAsia"/>
          <w:sz w:val="28"/>
          <w:szCs w:val="21"/>
        </w:rPr>
        <w:t>本课程使用多媒体教学，生动、形象地展示课程内容，辅以课后答疑，引导学生将所学专业知识与实际工程相结合，培养学生解决工程实际问题的能力。</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三、课程任务、目的与要求</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1.课程任务与目的</w:t>
      </w:r>
    </w:p>
    <w:p w:rsidR="00BE5664" w:rsidRDefault="00BE5664" w:rsidP="00BE5664">
      <w:pPr>
        <w:spacing w:line="360" w:lineRule="auto"/>
        <w:ind w:firstLineChars="200" w:firstLine="560"/>
        <w:rPr>
          <w:rFonts w:ascii="仿宋_GB2312" w:hAnsi="宋体"/>
          <w:sz w:val="28"/>
          <w:szCs w:val="21"/>
        </w:rPr>
      </w:pPr>
      <w:r>
        <w:rPr>
          <w:rFonts w:ascii="仿宋_GB2312" w:hAnsi="宋体" w:hint="eastAsia"/>
          <w:sz w:val="28"/>
          <w:szCs w:val="21"/>
        </w:rPr>
        <w:t>通过本课程的学习，使学生了解道路桥梁工程施工的发展历史，熟悉道路桥梁工程施工常用设备、设施的特点和适用性，掌握一般路基的施工方法和工艺要求、沥青混凝土路面和水泥混凝土路面的施工方法、技术要求及质量检验等，掌握桥梁基础、墩台和桥梁上部结构施工相关知识与技术要求。同时，学习本课程使学生</w:t>
      </w:r>
      <w:r>
        <w:rPr>
          <w:rFonts w:ascii="仿宋_GB2312" w:hAnsi="Times New Roman" w:hint="eastAsia"/>
          <w:sz w:val="28"/>
          <w:szCs w:val="21"/>
        </w:rPr>
        <w:t>了解我国交通领域基础设施建设发展历程和现状，</w:t>
      </w:r>
      <w:r>
        <w:rPr>
          <w:rFonts w:ascii="仿宋_GB2312" w:hAnsi="Times New Roman" w:hint="eastAsia"/>
          <w:sz w:val="28"/>
          <w:szCs w:val="24"/>
        </w:rPr>
        <w:t>竖立民族自豪感，增强自信心，激发学生的家国情怀，引导学生理解恪守职业道德和相关行为规范的重要意义，培养学生的责任担当意识和贡献国家、服务社会的精神。</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2.课程基本要求</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（1）课程目标</w:t>
      </w:r>
    </w:p>
    <w:p w:rsidR="00BE5664" w:rsidRDefault="00BE5664" w:rsidP="00BE5664">
      <w:pPr>
        <w:spacing w:line="360" w:lineRule="auto"/>
        <w:ind w:firstLineChars="200" w:firstLine="560"/>
        <w:rPr>
          <w:rFonts w:ascii="仿宋_GB2312" w:hAnsi="宋体" w:cs="宋体"/>
          <w:sz w:val="28"/>
          <w:szCs w:val="21"/>
        </w:rPr>
      </w:pPr>
      <w:r>
        <w:rPr>
          <w:rFonts w:ascii="仿宋_GB2312" w:hAnsi="宋体" w:cs="宋体" w:hint="eastAsia"/>
          <w:sz w:val="28"/>
          <w:szCs w:val="21"/>
        </w:rPr>
        <w:t>通过本课程的学习，使学生具备道路与桥梁施工的基本知识及工程应用能力，具体课程目标如下：</w:t>
      </w:r>
    </w:p>
    <w:p w:rsidR="00BE5664" w:rsidRDefault="00BE5664" w:rsidP="00BE5664">
      <w:pPr>
        <w:spacing w:line="360" w:lineRule="auto"/>
        <w:ind w:firstLineChars="200" w:firstLine="560"/>
        <w:rPr>
          <w:rFonts w:ascii="仿宋_GB2312" w:hAnsi="宋体" w:cs="宋体"/>
          <w:sz w:val="28"/>
          <w:szCs w:val="21"/>
        </w:rPr>
      </w:pPr>
      <w:r>
        <w:rPr>
          <w:rFonts w:ascii="宋体" w:eastAsia="宋体" w:hAnsi="宋体" w:cs="宋体" w:hint="eastAsia"/>
          <w:sz w:val="28"/>
          <w:szCs w:val="21"/>
        </w:rPr>
        <w:t>①</w:t>
      </w:r>
      <w:r>
        <w:rPr>
          <w:rFonts w:ascii="仿宋_GB2312" w:hAnsi="宋体" w:cs="宋体" w:hint="eastAsia"/>
          <w:sz w:val="28"/>
          <w:szCs w:val="21"/>
        </w:rPr>
        <w:t>了解我国道路和桥梁工程施工的发展历程，以及在交通建设领域取得的成就，竖立民族自豪感，提升四个自信，激发学生的爱国情</w:t>
      </w:r>
      <w:r>
        <w:rPr>
          <w:rFonts w:ascii="仿宋_GB2312" w:hAnsi="宋体" w:cs="宋体" w:hint="eastAsia"/>
          <w:sz w:val="28"/>
          <w:szCs w:val="21"/>
        </w:rPr>
        <w:lastRenderedPageBreak/>
        <w:t>怀。</w:t>
      </w:r>
    </w:p>
    <w:p w:rsidR="00BE5664" w:rsidRDefault="00BE5664" w:rsidP="00BE5664">
      <w:pPr>
        <w:spacing w:line="360" w:lineRule="auto"/>
        <w:ind w:firstLineChars="200" w:firstLine="560"/>
        <w:rPr>
          <w:rFonts w:ascii="仿宋_GB2312" w:hAnsi="宋体" w:cs="宋体"/>
          <w:sz w:val="28"/>
          <w:szCs w:val="21"/>
        </w:rPr>
      </w:pPr>
      <w:r>
        <w:rPr>
          <w:rFonts w:ascii="宋体" w:eastAsia="宋体" w:hAnsi="宋体" w:cs="宋体" w:hint="eastAsia"/>
          <w:sz w:val="28"/>
          <w:szCs w:val="21"/>
        </w:rPr>
        <w:t>②</w:t>
      </w:r>
      <w:r>
        <w:rPr>
          <w:rFonts w:ascii="仿宋_GB2312" w:hAnsi="宋体" w:cs="宋体" w:hint="eastAsia"/>
          <w:sz w:val="28"/>
          <w:szCs w:val="21"/>
        </w:rPr>
        <w:t>熟悉道路与桥梁工程施工中常用机械设备的种类、性能及适用性，掌握道路与桥梁工程施工机械选型的一般原则。</w:t>
      </w:r>
    </w:p>
    <w:p w:rsidR="00BE5664" w:rsidRDefault="00BE5664" w:rsidP="00BE5664">
      <w:pPr>
        <w:spacing w:line="360" w:lineRule="auto"/>
        <w:ind w:firstLineChars="200" w:firstLine="560"/>
        <w:rPr>
          <w:rFonts w:ascii="仿宋_GB2312" w:hAnsi="宋体" w:cs="宋体"/>
          <w:sz w:val="28"/>
          <w:szCs w:val="21"/>
        </w:rPr>
      </w:pPr>
      <w:r>
        <w:rPr>
          <w:rFonts w:ascii="宋体" w:eastAsia="宋体" w:hAnsi="宋体" w:cs="宋体" w:hint="eastAsia"/>
          <w:sz w:val="28"/>
          <w:szCs w:val="21"/>
        </w:rPr>
        <w:t>③</w:t>
      </w:r>
      <w:r>
        <w:rPr>
          <w:rFonts w:ascii="仿宋_GB2312" w:hAnsi="宋体" w:cs="宋体" w:hint="eastAsia"/>
          <w:sz w:val="28"/>
          <w:szCs w:val="21"/>
        </w:rPr>
        <w:t>掌握路基施工程序与方法、路基填料要求与填筑方法、以及路基压实方法与影响路基压实效果的因素；</w:t>
      </w:r>
      <w:r>
        <w:rPr>
          <w:rFonts w:ascii="仿宋_GB2312" w:hAnsi="Times New Roman" w:hint="eastAsia"/>
          <w:sz w:val="28"/>
          <w:szCs w:val="21"/>
        </w:rPr>
        <w:t>引导学生深刻理解生命线工程对公众安全、健康和福祉的重要性，以及环境保护的社会责任，能够在工程实践中严格履行工程技术要求。</w:t>
      </w:r>
    </w:p>
    <w:p w:rsidR="00BE5664" w:rsidRDefault="00BE5664" w:rsidP="00BE5664">
      <w:pPr>
        <w:spacing w:line="360" w:lineRule="auto"/>
        <w:ind w:firstLineChars="200" w:firstLine="560"/>
        <w:rPr>
          <w:rFonts w:ascii="仿宋_GB2312" w:hAnsi="宋体" w:cs="宋体"/>
          <w:sz w:val="28"/>
          <w:szCs w:val="21"/>
        </w:rPr>
      </w:pPr>
      <w:r>
        <w:rPr>
          <w:rFonts w:ascii="宋体" w:eastAsia="宋体" w:hAnsi="宋体" w:cs="宋体" w:hint="eastAsia"/>
          <w:sz w:val="28"/>
          <w:szCs w:val="21"/>
        </w:rPr>
        <w:t>④</w:t>
      </w:r>
      <w:r>
        <w:rPr>
          <w:rFonts w:ascii="仿宋_GB2312" w:hAnsi="宋体" w:cs="宋体" w:hint="eastAsia"/>
          <w:sz w:val="28"/>
          <w:szCs w:val="21"/>
        </w:rPr>
        <w:t>熟悉沥青路面施工工艺、质量管理及检查验收，掌握水泥混凝土路面施工过程及质量控制。教育引导学生深刻理解工程质量控制的重要意义，自觉实践职业精神和职业规范。</w:t>
      </w:r>
    </w:p>
    <w:p w:rsidR="00BE5664" w:rsidRDefault="00BE5664" w:rsidP="00BE5664">
      <w:pPr>
        <w:spacing w:line="360" w:lineRule="auto"/>
        <w:ind w:firstLineChars="200" w:firstLine="560"/>
        <w:rPr>
          <w:rFonts w:ascii="仿宋_GB2312" w:hAnsi="宋体" w:cs="宋体"/>
          <w:sz w:val="28"/>
          <w:szCs w:val="21"/>
        </w:rPr>
      </w:pPr>
      <w:r>
        <w:rPr>
          <w:rFonts w:ascii="宋体" w:eastAsia="宋体" w:hAnsi="宋体" w:cs="宋体" w:hint="eastAsia"/>
          <w:sz w:val="28"/>
          <w:szCs w:val="21"/>
        </w:rPr>
        <w:t>⑤</w:t>
      </w:r>
      <w:r>
        <w:rPr>
          <w:rFonts w:ascii="仿宋_GB2312" w:hAnsi="宋体" w:cs="宋体" w:hint="eastAsia"/>
          <w:sz w:val="28"/>
          <w:szCs w:val="21"/>
        </w:rPr>
        <w:t>掌握桥梁基础、墩台和桥梁上部结构施工相关知识，熟悉混凝土简支梁的制作和架设方法，混凝土连续梁施工方法，以及拱桥施工各阶段应注意的事项，掌握桥梁支座、伸缩装置和桥面铺装的施工方法和质量检查。引导学生树立工程施工的安全底线意识和环境保护意识，培养学生的</w:t>
      </w:r>
      <w:r>
        <w:rPr>
          <w:rFonts w:ascii="仿宋_GB2312" w:hAnsi="Times New Roman" w:hint="eastAsia"/>
          <w:sz w:val="28"/>
          <w:szCs w:val="21"/>
        </w:rPr>
        <w:t>职业责任感和</w:t>
      </w:r>
      <w:r>
        <w:rPr>
          <w:rFonts w:ascii="仿宋_GB2312" w:hAnsi="宋体" w:cs="宋体" w:hint="eastAsia"/>
          <w:sz w:val="28"/>
          <w:szCs w:val="21"/>
        </w:rPr>
        <w:t>大国工匠精神，激发学生的家国情怀。</w:t>
      </w:r>
    </w:p>
    <w:p w:rsidR="00BE5664" w:rsidRDefault="00BE5664" w:rsidP="00BE5664">
      <w:pPr>
        <w:spacing w:line="360" w:lineRule="auto"/>
        <w:ind w:firstLineChars="302" w:firstLine="606"/>
        <w:jc w:val="center"/>
        <w:rPr>
          <w:rFonts w:ascii="仿宋_GB2312" w:hAnsi="Times New Roman"/>
          <w:b/>
          <w:sz w:val="20"/>
          <w:szCs w:val="20"/>
        </w:rPr>
      </w:pPr>
      <w:r>
        <w:rPr>
          <w:rFonts w:ascii="仿宋_GB2312" w:hAnsi="Times New Roman" w:hint="eastAsia"/>
          <w:b/>
          <w:sz w:val="20"/>
          <w:szCs w:val="20"/>
        </w:rPr>
        <w:t xml:space="preserve">表1  </w:t>
      </w:r>
      <w:r>
        <w:rPr>
          <w:rFonts w:ascii="仿宋_GB2312" w:hAnsi="Times New Roman" w:hint="eastAsia"/>
          <w:bCs/>
          <w:sz w:val="20"/>
          <w:szCs w:val="20"/>
        </w:rPr>
        <w:t>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5855"/>
        <w:gridCol w:w="1074"/>
      </w:tblGrid>
      <w:tr w:rsidR="00BE5664" w:rsidTr="00BE5664">
        <w:trPr>
          <w:trHeight w:val="560"/>
          <w:jc w:val="center"/>
        </w:trPr>
        <w:tc>
          <w:tcPr>
            <w:tcW w:w="1470"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毕业要求标准</w:t>
            </w:r>
          </w:p>
        </w:tc>
        <w:tc>
          <w:tcPr>
            <w:tcW w:w="6379"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ind w:firstLineChars="302" w:firstLine="604"/>
              <w:jc w:val="center"/>
              <w:rPr>
                <w:rFonts w:ascii="仿宋_GB2312" w:hAnsi="Times New Roman"/>
                <w:bCs/>
                <w:sz w:val="20"/>
                <w:szCs w:val="20"/>
              </w:rPr>
            </w:pPr>
            <w:r>
              <w:rPr>
                <w:rFonts w:ascii="仿宋_GB2312" w:hAnsi="Times New Roman" w:hint="eastAsia"/>
                <w:bCs/>
                <w:sz w:val="20"/>
                <w:szCs w:val="20"/>
              </w:rPr>
              <w:t>指标点</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课程目标</w:t>
            </w:r>
          </w:p>
        </w:tc>
      </w:tr>
      <w:tr w:rsidR="00BE5664" w:rsidTr="00BE5664">
        <w:trPr>
          <w:trHeight w:val="560"/>
          <w:jc w:val="center"/>
        </w:trPr>
        <w:tc>
          <w:tcPr>
            <w:tcW w:w="1470" w:type="dxa"/>
            <w:tcBorders>
              <w:top w:val="single" w:sz="4" w:space="0" w:color="auto"/>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1工程知识</w:t>
            </w:r>
          </w:p>
        </w:tc>
        <w:tc>
          <w:tcPr>
            <w:tcW w:w="6379" w:type="dxa"/>
            <w:tcBorders>
              <w:top w:val="single" w:sz="4" w:space="0" w:color="auto"/>
              <w:left w:val="single" w:sz="4" w:space="0" w:color="auto"/>
              <w:right w:val="single" w:sz="4" w:space="0" w:color="auto"/>
            </w:tcBorders>
            <w:vAlign w:val="center"/>
          </w:tcPr>
          <w:p w:rsidR="00BE5664" w:rsidRDefault="00BE5664" w:rsidP="00BE5664">
            <w:pPr>
              <w:rPr>
                <w:rFonts w:ascii="仿宋_GB2312" w:hAnsi="Times New Roman"/>
                <w:bCs/>
                <w:sz w:val="20"/>
                <w:szCs w:val="20"/>
              </w:rPr>
            </w:pPr>
            <w:r>
              <w:rPr>
                <w:rFonts w:ascii="仿宋_GB2312" w:hAnsi="Times New Roman" w:hint="eastAsia"/>
                <w:bCs/>
                <w:sz w:val="20"/>
                <w:szCs w:val="20"/>
              </w:rPr>
              <w:t>1.3 掌握相关工程基础知识，具备应用相关知识推演、分析土木工程专业复杂工程问题的专业基础能力；</w:t>
            </w:r>
          </w:p>
          <w:p w:rsidR="00BE5664" w:rsidRDefault="00BE5664" w:rsidP="00BE5664">
            <w:pPr>
              <w:rPr>
                <w:rFonts w:ascii="仿宋_GB2312" w:hAnsi="Times New Roman"/>
                <w:bCs/>
                <w:sz w:val="20"/>
                <w:szCs w:val="20"/>
              </w:rPr>
            </w:pPr>
            <w:r>
              <w:rPr>
                <w:rFonts w:ascii="仿宋_GB2312" w:hAnsi="Times New Roman" w:hint="eastAsia"/>
                <w:bCs/>
                <w:sz w:val="20"/>
                <w:szCs w:val="20"/>
              </w:rPr>
              <w:t>1.4 掌握土木工程专业知识，具备知识交叉融合能力，应用于解决土木工程专业复杂工程问题；</w:t>
            </w:r>
          </w:p>
        </w:tc>
        <w:tc>
          <w:tcPr>
            <w:tcW w:w="1134" w:type="dxa"/>
            <w:tcBorders>
              <w:top w:val="single" w:sz="4" w:space="0" w:color="auto"/>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3、4、5</w:t>
            </w:r>
          </w:p>
        </w:tc>
      </w:tr>
      <w:tr w:rsidR="00BE5664" w:rsidTr="00BE5664">
        <w:trPr>
          <w:trHeight w:val="560"/>
          <w:jc w:val="center"/>
        </w:trPr>
        <w:tc>
          <w:tcPr>
            <w:tcW w:w="1470" w:type="dxa"/>
            <w:tcBorders>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3.设计能力</w:t>
            </w:r>
          </w:p>
        </w:tc>
        <w:tc>
          <w:tcPr>
            <w:tcW w:w="6379" w:type="dxa"/>
            <w:vAlign w:val="center"/>
          </w:tcPr>
          <w:p w:rsidR="00BE5664" w:rsidRDefault="00BE5664" w:rsidP="00BE5664">
            <w:pPr>
              <w:rPr>
                <w:rFonts w:ascii="仿宋_GB2312" w:hAnsi="Times New Roman"/>
                <w:bCs/>
                <w:sz w:val="20"/>
                <w:szCs w:val="20"/>
              </w:rPr>
            </w:pPr>
            <w:r>
              <w:rPr>
                <w:rFonts w:ascii="仿宋_GB2312" w:hAnsi="Times New Roman" w:hint="eastAsia"/>
                <w:bCs/>
                <w:sz w:val="20"/>
                <w:szCs w:val="20"/>
              </w:rPr>
              <w:t>3.3 能够进行施工方案、工艺流程等系统分析和优化设计，并体现创新意识；</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bCs/>
                <w:sz w:val="20"/>
                <w:szCs w:val="20"/>
              </w:rPr>
              <w:t>2</w:t>
            </w:r>
            <w:r>
              <w:rPr>
                <w:rFonts w:ascii="仿宋_GB2312" w:hAnsi="Times New Roman" w:hint="eastAsia"/>
                <w:bCs/>
                <w:sz w:val="20"/>
                <w:szCs w:val="20"/>
              </w:rPr>
              <w:t>、</w:t>
            </w:r>
            <w:r>
              <w:rPr>
                <w:rFonts w:ascii="仿宋_GB2312" w:hAnsi="Times New Roman"/>
                <w:bCs/>
                <w:sz w:val="20"/>
                <w:szCs w:val="20"/>
              </w:rPr>
              <w:t>3</w:t>
            </w:r>
            <w:r>
              <w:rPr>
                <w:rFonts w:ascii="仿宋_GB2312" w:hAnsi="Times New Roman" w:hint="eastAsia"/>
                <w:bCs/>
                <w:sz w:val="20"/>
                <w:szCs w:val="20"/>
              </w:rPr>
              <w:t>、5</w:t>
            </w:r>
          </w:p>
        </w:tc>
      </w:tr>
      <w:tr w:rsidR="00BE5664" w:rsidTr="00BE5664">
        <w:trPr>
          <w:trHeight w:val="560"/>
          <w:jc w:val="center"/>
        </w:trPr>
        <w:tc>
          <w:tcPr>
            <w:tcW w:w="1470" w:type="dxa"/>
            <w:tcBorders>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8.职业规范</w:t>
            </w:r>
          </w:p>
        </w:tc>
        <w:tc>
          <w:tcPr>
            <w:tcW w:w="6379" w:type="dxa"/>
            <w:vAlign w:val="center"/>
          </w:tcPr>
          <w:p w:rsidR="00BE5664" w:rsidRDefault="00BE5664" w:rsidP="00BE5664">
            <w:pPr>
              <w:rPr>
                <w:rFonts w:ascii="仿宋_GB2312" w:hAnsi="Times New Roman"/>
                <w:bCs/>
                <w:sz w:val="20"/>
                <w:szCs w:val="20"/>
              </w:rPr>
            </w:pPr>
            <w:r>
              <w:rPr>
                <w:rFonts w:ascii="仿宋_GB2312" w:hAnsi="Times New Roman" w:hint="eastAsia"/>
                <w:bCs/>
                <w:sz w:val="20"/>
                <w:szCs w:val="20"/>
              </w:rPr>
              <w:t>8.1 有正确价值观，了解中国国情，具有人文社会科学素养、社会责任感、思辨和处事能力；</w:t>
            </w:r>
          </w:p>
          <w:p w:rsidR="00BE5664" w:rsidRDefault="00BE5664" w:rsidP="00BE5664">
            <w:pPr>
              <w:rPr>
                <w:rFonts w:ascii="仿宋_GB2312" w:hAnsi="Times New Roman"/>
                <w:bCs/>
                <w:sz w:val="20"/>
                <w:szCs w:val="20"/>
              </w:rPr>
            </w:pPr>
            <w:r>
              <w:rPr>
                <w:rFonts w:ascii="仿宋_GB2312" w:hAnsi="Times New Roman" w:hint="eastAsia"/>
                <w:bCs/>
                <w:sz w:val="20"/>
                <w:szCs w:val="20"/>
              </w:rPr>
              <w:t>8.2 理解诚实公正、诚信守则的土木工程职业道德和行为规范，并能够在工程实践中自觉遵守，具有法律意识；</w:t>
            </w:r>
          </w:p>
          <w:p w:rsidR="00BE5664" w:rsidRDefault="00BE5664" w:rsidP="00BE5664">
            <w:pPr>
              <w:rPr>
                <w:rFonts w:ascii="仿宋_GB2312" w:hAnsi="Times New Roman"/>
                <w:bCs/>
                <w:sz w:val="20"/>
                <w:szCs w:val="20"/>
              </w:rPr>
            </w:pPr>
            <w:r>
              <w:rPr>
                <w:rFonts w:ascii="仿宋_GB2312" w:hAnsi="Times New Roman" w:hint="eastAsia"/>
                <w:bCs/>
                <w:sz w:val="20"/>
                <w:szCs w:val="20"/>
              </w:rPr>
              <w:t>8.3 理解土木工程师对公众的安全、健康和福祉，以及环境保护</w:t>
            </w:r>
            <w:r>
              <w:rPr>
                <w:rFonts w:ascii="仿宋_GB2312" w:hAnsi="Times New Roman" w:hint="eastAsia"/>
                <w:bCs/>
                <w:sz w:val="20"/>
                <w:szCs w:val="20"/>
              </w:rPr>
              <w:lastRenderedPageBreak/>
              <w:t>的社会责任，并能够在工程实践中自觉履行。</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bCs/>
                <w:sz w:val="20"/>
                <w:szCs w:val="20"/>
              </w:rPr>
              <w:lastRenderedPageBreak/>
              <w:t>1</w:t>
            </w:r>
            <w:r>
              <w:rPr>
                <w:rFonts w:ascii="仿宋_GB2312" w:hAnsi="Times New Roman" w:hint="eastAsia"/>
                <w:bCs/>
                <w:sz w:val="20"/>
                <w:szCs w:val="20"/>
              </w:rPr>
              <w:t>、</w:t>
            </w:r>
            <w:r>
              <w:rPr>
                <w:rFonts w:ascii="仿宋_GB2312" w:hAnsi="Times New Roman"/>
                <w:bCs/>
                <w:sz w:val="20"/>
                <w:szCs w:val="20"/>
              </w:rPr>
              <w:t>3</w:t>
            </w:r>
            <w:r>
              <w:rPr>
                <w:rFonts w:ascii="仿宋_GB2312" w:hAnsi="Times New Roman" w:hint="eastAsia"/>
                <w:bCs/>
                <w:sz w:val="20"/>
                <w:szCs w:val="20"/>
              </w:rPr>
              <w:t>、</w:t>
            </w:r>
            <w:r>
              <w:rPr>
                <w:rFonts w:ascii="仿宋_GB2312" w:hAnsi="Times New Roman"/>
                <w:bCs/>
                <w:sz w:val="20"/>
                <w:szCs w:val="20"/>
              </w:rPr>
              <w:t>4</w:t>
            </w:r>
            <w:r>
              <w:rPr>
                <w:rFonts w:ascii="仿宋_GB2312" w:hAnsi="Times New Roman" w:hint="eastAsia"/>
                <w:bCs/>
                <w:sz w:val="20"/>
                <w:szCs w:val="20"/>
              </w:rPr>
              <w:t>、5</w:t>
            </w:r>
          </w:p>
        </w:tc>
      </w:tr>
    </w:tbl>
    <w:p w:rsidR="00BE5664" w:rsidRDefault="00BE5664" w:rsidP="00BE5664">
      <w:pPr>
        <w:spacing w:beforeLines="50" w:before="156" w:line="360" w:lineRule="auto"/>
        <w:ind w:firstLineChars="200" w:firstLine="560"/>
        <w:rPr>
          <w:rFonts w:ascii="仿宋_GB2312" w:hAnsi="Times New Roman"/>
          <w:sz w:val="28"/>
          <w:szCs w:val="21"/>
        </w:rPr>
      </w:pPr>
      <w:r>
        <w:rPr>
          <w:rFonts w:ascii="仿宋_GB2312" w:hAnsi="Times New Roman" w:hint="eastAsia"/>
          <w:sz w:val="28"/>
          <w:szCs w:val="21"/>
        </w:rPr>
        <w:t>（2）本课程的重点、难点</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教学重点：道路、桥梁工程施工机械的特点和适用条件；路基压实方法及影响路基压实效果的因素；热拌沥青混合料路面施工工艺和检查验收；水泥混凝土路面施工工艺；桩基础的施工工艺；钢筋混凝土简支梁和混凝土连续梁桥的施工方法。</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教学难点：路基压实机理；热拌沥青混合料的压实工艺和机理；桩基础的施工工艺；混凝土连续梁桥悬臂法施工工艺和要求。</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（3）课程思政切入</w:t>
      </w:r>
    </w:p>
    <w:p w:rsidR="00BE5664" w:rsidRDefault="00BE5664" w:rsidP="00BE5664">
      <w:pPr>
        <w:spacing w:line="360" w:lineRule="auto"/>
        <w:ind w:firstLineChars="200" w:firstLine="560"/>
        <w:rPr>
          <w:rFonts w:ascii="仿宋_GB2312" w:hAnsi="宋体" w:cs="宋体"/>
          <w:sz w:val="28"/>
          <w:szCs w:val="21"/>
        </w:rPr>
      </w:pPr>
      <w:r>
        <w:rPr>
          <w:rFonts w:ascii="仿宋_GB2312" w:hAnsi="宋体" w:cs="宋体" w:hint="eastAsia"/>
          <w:sz w:val="28"/>
          <w:szCs w:val="21"/>
        </w:rPr>
        <w:t>①结合我国“大交通”体系建设以及国家高速公路网规划发展演变，介绍我国在交通基础设施建设过程中展现出的“中国速度”，</w:t>
      </w:r>
      <w:r>
        <w:rPr>
          <w:rFonts w:ascii="仿宋_GB2312" w:hAnsi="Times New Roman" w:hint="eastAsia"/>
          <w:sz w:val="28"/>
          <w:szCs w:val="24"/>
        </w:rPr>
        <w:t>引领学生竖立民族自豪感，培养学生的大国工匠精神，激发学生的家国情怀。</w:t>
      </w:r>
    </w:p>
    <w:p w:rsidR="00BE5664" w:rsidRDefault="00BE5664" w:rsidP="00BE5664">
      <w:pPr>
        <w:spacing w:line="360" w:lineRule="auto"/>
        <w:ind w:firstLineChars="200" w:firstLine="560"/>
        <w:rPr>
          <w:rFonts w:ascii="仿宋_GB2312" w:hAnsi="宋体" w:cs="宋体"/>
          <w:sz w:val="28"/>
          <w:szCs w:val="21"/>
        </w:rPr>
      </w:pPr>
      <w:r>
        <w:rPr>
          <w:rFonts w:ascii="仿宋_GB2312" w:hAnsi="宋体" w:cs="宋体" w:hint="eastAsia"/>
          <w:sz w:val="28"/>
          <w:szCs w:val="21"/>
        </w:rPr>
        <w:t>②结合桥梁结构体系及施工技术的发展，强调创新的重要性，只有创新，才可以打破传统的思维模式，才能在土木工程施工的实践中取得技术突破，不断促进行业发展、社会进步，才能助力我国综合实力的提升。</w:t>
      </w:r>
    </w:p>
    <w:p w:rsidR="00BE5664" w:rsidRDefault="00BE5664" w:rsidP="00BE5664">
      <w:pPr>
        <w:spacing w:line="360" w:lineRule="auto"/>
        <w:ind w:firstLineChars="200" w:firstLine="560"/>
        <w:rPr>
          <w:rFonts w:ascii="仿宋_GB2312" w:hAnsi="Times New Roman"/>
          <w:sz w:val="28"/>
          <w:szCs w:val="24"/>
        </w:rPr>
      </w:pPr>
      <w:r>
        <w:rPr>
          <w:rFonts w:ascii="宋体" w:eastAsia="宋体" w:hAnsi="宋体" w:cs="宋体" w:hint="eastAsia"/>
          <w:sz w:val="28"/>
          <w:szCs w:val="21"/>
        </w:rPr>
        <w:t>③</w:t>
      </w:r>
      <w:r>
        <w:rPr>
          <w:rFonts w:ascii="仿宋_GB2312" w:hAnsi="宋体" w:cs="宋体" w:hint="eastAsia"/>
          <w:sz w:val="28"/>
          <w:szCs w:val="21"/>
        </w:rPr>
        <w:t>以道路与桥梁工程中常见的施工质量问题和工程事故为依托，</w:t>
      </w:r>
      <w:r>
        <w:rPr>
          <w:rFonts w:ascii="仿宋_GB2312" w:hAnsi="Times New Roman" w:hint="eastAsia"/>
          <w:sz w:val="28"/>
          <w:szCs w:val="24"/>
        </w:rPr>
        <w:t>引导学生理解道路、桥梁等生命线工程对公众安全、健康和福祉重要意义，培养学生的社会责任感，使学生能够在以后的从业生涯中始终坚持公平公正、诚信守则，自觉恪守职业道德和行业规范，积极服务社会为国家做出应有的贡献。</w:t>
      </w:r>
    </w:p>
    <w:p w:rsidR="00BE5664" w:rsidRDefault="00BE5664" w:rsidP="00BE5664">
      <w:pPr>
        <w:spacing w:line="360" w:lineRule="auto"/>
        <w:ind w:firstLineChars="200" w:firstLine="560"/>
        <w:rPr>
          <w:rFonts w:ascii="仿宋_GB2312" w:hAnsi="Times New Roman"/>
          <w:sz w:val="28"/>
          <w:szCs w:val="24"/>
        </w:rPr>
      </w:pPr>
      <w:r>
        <w:rPr>
          <w:rFonts w:ascii="仿宋_GB2312" w:hAnsi="宋体" w:cs="宋体" w:hint="eastAsia"/>
          <w:sz w:val="28"/>
          <w:szCs w:val="21"/>
        </w:rPr>
        <w:lastRenderedPageBreak/>
        <w:t>④以</w:t>
      </w:r>
      <w:r>
        <w:rPr>
          <w:rFonts w:cs="宋体" w:hint="eastAsia"/>
          <w:sz w:val="28"/>
          <w:szCs w:val="21"/>
        </w:rPr>
        <w:t>道路与桥梁工程建设过程中人们面临的环境问题为出发点</w:t>
      </w:r>
      <w:r>
        <w:rPr>
          <w:rFonts w:ascii="仿宋_GB2312" w:hAnsi="Times New Roman" w:hint="eastAsia"/>
          <w:sz w:val="28"/>
          <w:szCs w:val="24"/>
        </w:rPr>
        <w:t>，引导学生树立人类命运共同体观念，培养学生环境保护责任主体意识，并能够在工程建设中严格落实各项环保规定，努力坚持人与自然和谐相处的绿色可持续发展国家战略。</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四、教学内容安排</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920"/>
        <w:gridCol w:w="630"/>
        <w:gridCol w:w="2743"/>
        <w:gridCol w:w="3350"/>
      </w:tblGrid>
      <w:tr w:rsidR="00BE5664" w:rsidTr="00BE5664">
        <w:trPr>
          <w:cantSplit/>
          <w:trHeight w:val="486"/>
          <w:tblHeader/>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序</w:t>
            </w:r>
          </w:p>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号</w:t>
            </w:r>
          </w:p>
        </w:tc>
        <w:tc>
          <w:tcPr>
            <w:tcW w:w="1920"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章  节</w:t>
            </w:r>
          </w:p>
        </w:tc>
        <w:tc>
          <w:tcPr>
            <w:tcW w:w="630"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参考学时</w:t>
            </w:r>
          </w:p>
        </w:tc>
        <w:tc>
          <w:tcPr>
            <w:tcW w:w="2743"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教学内容</w:t>
            </w:r>
          </w:p>
        </w:tc>
        <w:tc>
          <w:tcPr>
            <w:tcW w:w="3350"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基本要求</w:t>
            </w:r>
          </w:p>
        </w:tc>
      </w:tr>
      <w:tr w:rsidR="00BE5664" w:rsidTr="00BE5664">
        <w:trPr>
          <w:trHeight w:val="428"/>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1</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第一章 绪论</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2</w:t>
            </w:r>
          </w:p>
        </w:tc>
        <w:tc>
          <w:tcPr>
            <w:tcW w:w="2743" w:type="dxa"/>
            <w:vAlign w:val="center"/>
          </w:tcPr>
          <w:p w:rsidR="00BE5664" w:rsidRDefault="00BE5664" w:rsidP="00BE5664">
            <w:pPr>
              <w:ind w:left="-2"/>
              <w:rPr>
                <w:rFonts w:ascii="仿宋_GB2312" w:hAnsi="Times New Roman"/>
                <w:sz w:val="20"/>
                <w:szCs w:val="20"/>
              </w:rPr>
            </w:pPr>
            <w:r>
              <w:rPr>
                <w:rFonts w:ascii="仿宋_GB2312" w:hAnsi="Times New Roman" w:hint="eastAsia"/>
                <w:sz w:val="20"/>
                <w:szCs w:val="20"/>
              </w:rPr>
              <w:t>（1）道路工程施工技术综述；（2）桥梁工程施工技术综述；</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了解课程的目的、内容及要求；</w:t>
            </w:r>
          </w:p>
          <w:p w:rsidR="00BE5664" w:rsidRDefault="00BE5664" w:rsidP="00BE5664">
            <w:pPr>
              <w:rPr>
                <w:rFonts w:ascii="仿宋_GB2312" w:hAnsi="Times New Roman"/>
                <w:kern w:val="0"/>
                <w:sz w:val="20"/>
                <w:szCs w:val="20"/>
              </w:rPr>
            </w:pPr>
            <w:r>
              <w:rPr>
                <w:rFonts w:ascii="仿宋_GB2312" w:hAnsi="Times New Roman" w:hint="eastAsia"/>
                <w:sz w:val="20"/>
                <w:szCs w:val="20"/>
              </w:rPr>
              <w:t>了解道路桥梁工程发展概况；</w:t>
            </w:r>
          </w:p>
        </w:tc>
      </w:tr>
      <w:tr w:rsidR="00BE5664" w:rsidTr="00BE5664">
        <w:trPr>
          <w:trHeight w:val="519"/>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2</w:t>
            </w:r>
          </w:p>
        </w:tc>
        <w:tc>
          <w:tcPr>
            <w:tcW w:w="1920" w:type="dxa"/>
            <w:vAlign w:val="center"/>
          </w:tcPr>
          <w:p w:rsidR="00BE5664" w:rsidRDefault="00BE5664" w:rsidP="00BE5664">
            <w:pPr>
              <w:ind w:left="3"/>
              <w:rPr>
                <w:rFonts w:ascii="仿宋_GB2312" w:hAnsi="Times New Roman"/>
                <w:sz w:val="20"/>
                <w:szCs w:val="20"/>
              </w:rPr>
            </w:pPr>
            <w:r>
              <w:rPr>
                <w:rFonts w:ascii="仿宋_GB2312" w:hAnsi="Times New Roman" w:hint="eastAsia"/>
                <w:sz w:val="20"/>
                <w:szCs w:val="20"/>
              </w:rPr>
              <w:t>第二章 道路桥梁工程施工常用设备</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2</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（1）道路、桥梁工程施工的基本程序、准备工作（2）道路、桥梁工程施工常用的设备及其适用性（3）道路、桥梁工程施工机械选型的一般原则</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了解道路与桥梁工程施工常用的设备；</w:t>
            </w:r>
          </w:p>
          <w:p w:rsidR="00BE5664" w:rsidRDefault="00BE5664" w:rsidP="00BE5664">
            <w:pPr>
              <w:rPr>
                <w:rFonts w:ascii="仿宋_GB2312" w:hAnsi="Times New Roman"/>
                <w:sz w:val="20"/>
                <w:szCs w:val="20"/>
              </w:rPr>
            </w:pPr>
            <w:r>
              <w:rPr>
                <w:rFonts w:ascii="仿宋_GB2312" w:hAnsi="Times New Roman" w:hint="eastAsia"/>
                <w:sz w:val="20"/>
                <w:szCs w:val="20"/>
              </w:rPr>
              <w:t>掌握施工机械选型的一般原则；</w:t>
            </w:r>
          </w:p>
        </w:tc>
      </w:tr>
      <w:tr w:rsidR="00BE5664" w:rsidTr="00BE5664">
        <w:trPr>
          <w:trHeight w:val="555"/>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3</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第三章 路基工程施工</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sz w:val="20"/>
                <w:szCs w:val="20"/>
              </w:rPr>
              <w:t>4</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（1）路基施工程序及方法，路基土的分类及特点（2）路基填料要求及填筑方法（3）路基压实方法及影响路基压实效果的因素</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了解路基工程施工程序及基本原则；</w:t>
            </w:r>
          </w:p>
          <w:p w:rsidR="00BE5664" w:rsidRDefault="00BE5664" w:rsidP="00BE5664">
            <w:pPr>
              <w:rPr>
                <w:rFonts w:ascii="仿宋_GB2312" w:hAnsi="Times New Roman"/>
                <w:sz w:val="20"/>
                <w:szCs w:val="20"/>
              </w:rPr>
            </w:pPr>
            <w:r>
              <w:rPr>
                <w:rFonts w:ascii="仿宋_GB2312" w:hAnsi="Times New Roman" w:hint="eastAsia"/>
                <w:sz w:val="20"/>
                <w:szCs w:val="20"/>
              </w:rPr>
              <w:t>掌握路基土的分类方法和路提填筑方法；</w:t>
            </w:r>
          </w:p>
        </w:tc>
      </w:tr>
      <w:tr w:rsidR="00BE5664" w:rsidTr="00BE5664">
        <w:trPr>
          <w:trHeight w:val="954"/>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4</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第四章 道路基层施工</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sz w:val="20"/>
                <w:szCs w:val="20"/>
              </w:rPr>
              <w:t>2</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（1）基层材料的特点及对原材料的要求（2）基层混合料配合比设计、施工工序及各类基层材料施工质量管理验收</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了解基层混合料对原材料的要求；</w:t>
            </w:r>
          </w:p>
          <w:p w:rsidR="00BE5664" w:rsidRDefault="00BE5664" w:rsidP="00BE5664">
            <w:pPr>
              <w:rPr>
                <w:rFonts w:ascii="仿宋_GB2312" w:hAnsi="Times New Roman"/>
                <w:sz w:val="20"/>
                <w:szCs w:val="20"/>
              </w:rPr>
            </w:pPr>
            <w:r>
              <w:rPr>
                <w:rFonts w:ascii="仿宋_GB2312" w:hAnsi="Times New Roman" w:hint="eastAsia"/>
                <w:sz w:val="20"/>
                <w:szCs w:val="20"/>
              </w:rPr>
              <w:t>熟悉各类基层混合料组成设计过程；</w:t>
            </w:r>
          </w:p>
          <w:p w:rsidR="00BE5664" w:rsidRDefault="00BE5664" w:rsidP="00BE5664">
            <w:pPr>
              <w:rPr>
                <w:rFonts w:ascii="仿宋_GB2312" w:hAnsi="Times New Roman"/>
                <w:sz w:val="20"/>
                <w:szCs w:val="20"/>
              </w:rPr>
            </w:pPr>
            <w:r>
              <w:rPr>
                <w:rFonts w:ascii="仿宋_GB2312" w:hAnsi="Times New Roman" w:hint="eastAsia"/>
                <w:sz w:val="20"/>
                <w:szCs w:val="20"/>
              </w:rPr>
              <w:t>掌握各类基层材料施工工序及验收等内容；</w:t>
            </w:r>
          </w:p>
        </w:tc>
      </w:tr>
      <w:tr w:rsidR="00BE5664" w:rsidTr="00BE5664">
        <w:trPr>
          <w:trHeight w:val="1059"/>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5</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第五章 沥青路面施工</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sz w:val="20"/>
                <w:szCs w:val="20"/>
              </w:rPr>
              <w:t>2</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（1）沥青混合料的分类及特点（2）冷拌沥青混合料路面施工（3）热拌沥青混合料路面施工（4）封层、粘层、透层施工技术（5）沥青路面施工质量管理及检查验收</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熟悉沥青混合料分类及对原材料的要求；</w:t>
            </w:r>
          </w:p>
          <w:p w:rsidR="00BE5664" w:rsidRDefault="00BE5664" w:rsidP="00BE5664">
            <w:pPr>
              <w:rPr>
                <w:rFonts w:ascii="仿宋_GB2312" w:hAnsi="Times New Roman"/>
                <w:sz w:val="20"/>
                <w:szCs w:val="20"/>
              </w:rPr>
            </w:pPr>
            <w:r>
              <w:rPr>
                <w:rFonts w:ascii="仿宋_GB2312" w:hAnsi="Times New Roman" w:hint="eastAsia"/>
                <w:sz w:val="20"/>
                <w:szCs w:val="20"/>
              </w:rPr>
              <w:t>掌握沥青混合料配比设计；</w:t>
            </w:r>
          </w:p>
          <w:p w:rsidR="00BE5664" w:rsidRDefault="00BE5664" w:rsidP="00BE5664">
            <w:pPr>
              <w:rPr>
                <w:rFonts w:ascii="仿宋_GB2312" w:hAnsi="Times New Roman"/>
                <w:sz w:val="20"/>
                <w:szCs w:val="20"/>
              </w:rPr>
            </w:pPr>
            <w:r>
              <w:rPr>
                <w:rFonts w:ascii="仿宋_GB2312" w:hAnsi="Times New Roman" w:hint="eastAsia"/>
                <w:sz w:val="20"/>
                <w:szCs w:val="20"/>
              </w:rPr>
              <w:t>掌握沥青路面施工工艺及施工质量管理与验收；</w:t>
            </w:r>
          </w:p>
        </w:tc>
      </w:tr>
      <w:tr w:rsidR="00BE5664" w:rsidTr="00BE5664">
        <w:trPr>
          <w:trHeight w:val="248"/>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6</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第六章 水泥混凝土路面施工</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sz w:val="20"/>
                <w:szCs w:val="20"/>
              </w:rPr>
              <w:t>2</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（1）材料要求与混合料组成设计（2）轨道式摊铺机施工和滑模式摊铺机施工（3）施工质量控制与交工验收</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了解水泥混凝土路面构造组成及优缺点；</w:t>
            </w:r>
          </w:p>
          <w:p w:rsidR="00BE5664" w:rsidRDefault="00BE5664" w:rsidP="00BE5664">
            <w:pPr>
              <w:rPr>
                <w:rFonts w:ascii="仿宋_GB2312" w:hAnsi="Times New Roman"/>
                <w:sz w:val="20"/>
                <w:szCs w:val="20"/>
              </w:rPr>
            </w:pPr>
            <w:r>
              <w:rPr>
                <w:rFonts w:ascii="仿宋_GB2312" w:hAnsi="Times New Roman" w:hint="eastAsia"/>
                <w:sz w:val="20"/>
                <w:szCs w:val="20"/>
              </w:rPr>
              <w:t>熟悉混凝土路面对原材料的要求及配合比设计；</w:t>
            </w:r>
          </w:p>
          <w:p w:rsidR="00BE5664" w:rsidRDefault="00BE5664" w:rsidP="00BE5664">
            <w:pPr>
              <w:rPr>
                <w:rFonts w:ascii="仿宋_GB2312" w:hAnsi="Times New Roman"/>
                <w:sz w:val="20"/>
                <w:szCs w:val="20"/>
              </w:rPr>
            </w:pPr>
            <w:r>
              <w:rPr>
                <w:rFonts w:ascii="仿宋_GB2312" w:hAnsi="Times New Roman" w:hint="eastAsia"/>
                <w:sz w:val="20"/>
                <w:szCs w:val="20"/>
              </w:rPr>
              <w:t>掌握混凝土路面施工过程及质量控制；</w:t>
            </w:r>
          </w:p>
        </w:tc>
      </w:tr>
      <w:tr w:rsidR="00BE5664" w:rsidTr="00BE5664">
        <w:trPr>
          <w:trHeight w:val="555"/>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7</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第七章 桥梁基础与墩台施工</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（1）明挖扩大基础施工（2）沉入桩基础施工（3）钻孔桩基础施工（4）沉井、沉箱、地下连续墙基础施工（5）桥梁</w:t>
            </w:r>
            <w:r>
              <w:rPr>
                <w:rFonts w:ascii="仿宋_GB2312" w:hAnsi="Times New Roman" w:hint="eastAsia"/>
                <w:sz w:val="20"/>
                <w:szCs w:val="20"/>
              </w:rPr>
              <w:lastRenderedPageBreak/>
              <w:t>墩台模板类型及高墩台施工内容</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lastRenderedPageBreak/>
              <w:t>掌握明挖扩大基础施工、沉入桩基础施工、钻孔桩基础施工；</w:t>
            </w:r>
          </w:p>
          <w:p w:rsidR="00BE5664" w:rsidRDefault="00BE5664" w:rsidP="00BE5664">
            <w:pPr>
              <w:rPr>
                <w:rFonts w:ascii="仿宋_GB2312" w:hAnsi="Times New Roman"/>
                <w:sz w:val="20"/>
                <w:szCs w:val="20"/>
              </w:rPr>
            </w:pPr>
            <w:r>
              <w:rPr>
                <w:rFonts w:ascii="仿宋_GB2312" w:hAnsi="Times New Roman" w:hint="eastAsia"/>
                <w:sz w:val="20"/>
                <w:szCs w:val="20"/>
              </w:rPr>
              <w:t>掌握高墩台施工工序；</w:t>
            </w:r>
          </w:p>
        </w:tc>
      </w:tr>
      <w:tr w:rsidR="00BE5664" w:rsidTr="00BE5664">
        <w:trPr>
          <w:trHeight w:val="555"/>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8</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第八章 桥梁上部结构施工</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sz w:val="20"/>
                <w:szCs w:val="20"/>
              </w:rPr>
              <w:t>6</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（1）钢筋混凝土简支梁和预应力混凝土简支梁的制造与架设工艺（2）混凝土连续梁常用施工方法（3）拱桥常用的施工方法（4）桥面及附属设施施工</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掌握混凝土简支梁的架设方法；</w:t>
            </w:r>
          </w:p>
          <w:p w:rsidR="00BE5664" w:rsidRDefault="00BE5664" w:rsidP="00BE5664">
            <w:pPr>
              <w:rPr>
                <w:rFonts w:ascii="仿宋_GB2312" w:hAnsi="Times New Roman"/>
                <w:sz w:val="20"/>
                <w:szCs w:val="20"/>
              </w:rPr>
            </w:pPr>
            <w:r>
              <w:rPr>
                <w:rFonts w:ascii="仿宋_GB2312" w:hAnsi="Times New Roman" w:hint="eastAsia"/>
                <w:sz w:val="20"/>
                <w:szCs w:val="20"/>
              </w:rPr>
              <w:t>掌握混凝土连续梁桥施工方法（悬臂施工、逐孔施工、顶推施工等工艺）；</w:t>
            </w:r>
          </w:p>
          <w:p w:rsidR="00BE5664" w:rsidRDefault="00BE5664" w:rsidP="00BE5664">
            <w:pPr>
              <w:rPr>
                <w:rFonts w:ascii="仿宋_GB2312" w:hAnsi="Times New Roman"/>
                <w:sz w:val="20"/>
                <w:szCs w:val="20"/>
              </w:rPr>
            </w:pPr>
            <w:r>
              <w:rPr>
                <w:rFonts w:ascii="仿宋_GB2312" w:hAnsi="Times New Roman" w:hint="eastAsia"/>
                <w:sz w:val="20"/>
                <w:szCs w:val="20"/>
              </w:rPr>
              <w:t>了解拱桥转体施工特点及适用条件；</w:t>
            </w:r>
          </w:p>
        </w:tc>
      </w:tr>
    </w:tbl>
    <w:p w:rsidR="00BE5664" w:rsidRDefault="00BE5664" w:rsidP="00BE5664">
      <w:pPr>
        <w:spacing w:beforeLines="50" w:before="156" w:line="360" w:lineRule="auto"/>
        <w:outlineLvl w:val="0"/>
        <w:rPr>
          <w:rFonts w:ascii="Times New Roman" w:eastAsia="黑体" w:hAnsi="Times New Roman"/>
          <w:b/>
          <w:sz w:val="28"/>
          <w:szCs w:val="28"/>
        </w:rPr>
      </w:pPr>
      <w:r>
        <w:rPr>
          <w:rFonts w:ascii="Times New Roman" w:eastAsia="黑体" w:hAnsi="Times New Roman"/>
          <w:b/>
          <w:sz w:val="28"/>
          <w:szCs w:val="28"/>
        </w:rPr>
        <w:t>五、课程考核和评价方式</w:t>
      </w:r>
    </w:p>
    <w:p w:rsidR="00BE5664" w:rsidRDefault="00BE5664" w:rsidP="00BE5664">
      <w:pPr>
        <w:spacing w:line="360" w:lineRule="auto"/>
        <w:ind w:firstLineChars="200" w:firstLine="560"/>
        <w:rPr>
          <w:rFonts w:ascii="仿宋_GB2312" w:hAnsi="Times New Roman"/>
          <w:sz w:val="28"/>
          <w:szCs w:val="28"/>
        </w:rPr>
      </w:pPr>
      <w:r>
        <w:rPr>
          <w:rFonts w:ascii="仿宋_GB2312" w:hAnsi="Times New Roman" w:hint="eastAsia"/>
          <w:sz w:val="28"/>
          <w:szCs w:val="28"/>
        </w:rPr>
        <w:t>1.课程考核</w:t>
      </w:r>
    </w:p>
    <w:p w:rsidR="00BE5664" w:rsidRDefault="00BE5664" w:rsidP="00BE5664">
      <w:pPr>
        <w:spacing w:line="360" w:lineRule="auto"/>
        <w:ind w:firstLineChars="200" w:firstLine="560"/>
        <w:jc w:val="left"/>
        <w:rPr>
          <w:rFonts w:ascii="仿宋_GB2312" w:hAnsi="Times New Roman"/>
          <w:sz w:val="28"/>
          <w:szCs w:val="28"/>
        </w:rPr>
      </w:pPr>
      <w:r>
        <w:rPr>
          <w:rFonts w:ascii="仿宋_GB2312" w:hAnsi="Times New Roman" w:hint="eastAsia"/>
          <w:sz w:val="28"/>
          <w:szCs w:val="28"/>
        </w:rPr>
        <w:t>本课程采用平时成绩+期末考试方式确定总评成绩，其中平时成绩考核包括作业、课堂表现、出勤等内容，期末考试采用（百分制）开卷考试的考察方式。平时成绩占30%，期末考试成绩占70%。</w:t>
      </w:r>
    </w:p>
    <w:p w:rsidR="00BE5664" w:rsidRDefault="00BE5664" w:rsidP="00BE5664">
      <w:pPr>
        <w:spacing w:line="360" w:lineRule="auto"/>
        <w:ind w:firstLineChars="200" w:firstLine="560"/>
        <w:rPr>
          <w:rStyle w:val="fontstyle01"/>
          <w:rFonts w:ascii="仿宋_GB2312" w:hAnsi="Times New Roman" w:cs="Times New Roman" w:hint="default"/>
          <w:sz w:val="28"/>
          <w:szCs w:val="28"/>
        </w:rPr>
      </w:pPr>
      <w:r>
        <w:rPr>
          <w:rFonts w:ascii="仿宋_GB2312" w:hAnsi="Times New Roman" w:hint="eastAsia"/>
          <w:sz w:val="28"/>
          <w:szCs w:val="28"/>
        </w:rPr>
        <w:t>2.成绩评定</w:t>
      </w:r>
    </w:p>
    <w:p w:rsidR="00BE5664" w:rsidRPr="00EA50AD" w:rsidRDefault="00BE5664" w:rsidP="00BE5664">
      <w:pPr>
        <w:spacing w:line="360" w:lineRule="auto"/>
        <w:ind w:firstLineChars="200" w:firstLine="560"/>
        <w:rPr>
          <w:rFonts w:ascii="仿宋_GB2312" w:hAnsi="Times New Roman"/>
          <w:sz w:val="28"/>
          <w:szCs w:val="28"/>
        </w:rPr>
      </w:pPr>
      <w:r w:rsidRPr="00EA50AD">
        <w:rPr>
          <w:rFonts w:ascii="仿宋_GB2312" w:hAnsi="Times New Roman"/>
          <w:sz w:val="28"/>
          <w:szCs w:val="28"/>
        </w:rPr>
        <w:t>课程总成绩=期末成绩</w:t>
      </w:r>
      <w:r w:rsidRPr="00EA50AD">
        <w:rPr>
          <w:rFonts w:ascii="仿宋_GB2312" w:hAnsi="Times New Roman" w:hint="eastAsia"/>
          <w:sz w:val="28"/>
          <w:szCs w:val="28"/>
        </w:rPr>
        <w:t>70%+平时</w:t>
      </w:r>
      <w:r w:rsidRPr="00EA50AD">
        <w:rPr>
          <w:rFonts w:ascii="仿宋_GB2312" w:hAnsi="Times New Roman"/>
          <w:sz w:val="28"/>
          <w:szCs w:val="28"/>
        </w:rPr>
        <w:t>成绩30</w:t>
      </w:r>
      <w:r w:rsidRPr="00EA50AD">
        <w:rPr>
          <w:rFonts w:ascii="仿宋_GB2312" w:hAnsi="Times New Roman" w:hint="eastAsia"/>
          <w:sz w:val="28"/>
          <w:szCs w:val="28"/>
        </w:rPr>
        <w:t>%。</w:t>
      </w:r>
    </w:p>
    <w:p w:rsidR="00BE5664" w:rsidRDefault="00BE5664" w:rsidP="00BE5664">
      <w:pPr>
        <w:spacing w:line="360" w:lineRule="auto"/>
        <w:ind w:firstLineChars="200" w:firstLine="560"/>
        <w:rPr>
          <w:rStyle w:val="fontstyle11"/>
          <w:rFonts w:ascii="仿宋_GB2312"/>
          <w:sz w:val="28"/>
          <w:szCs w:val="28"/>
        </w:rPr>
      </w:pPr>
      <w:r>
        <w:rPr>
          <w:rStyle w:val="fontstyle11"/>
          <w:rFonts w:ascii="仿宋_GB2312" w:hint="eastAsia"/>
          <w:sz w:val="28"/>
          <w:szCs w:val="28"/>
        </w:rPr>
        <w:t>（1）试题评分标准</w:t>
      </w:r>
    </w:p>
    <w:p w:rsidR="00BE5664" w:rsidRDefault="00BE5664" w:rsidP="00BE5664">
      <w:pPr>
        <w:spacing w:line="360" w:lineRule="auto"/>
        <w:ind w:firstLineChars="200" w:firstLine="560"/>
        <w:rPr>
          <w:rStyle w:val="fontstyle11"/>
          <w:rFonts w:ascii="仿宋_GB2312"/>
          <w:sz w:val="28"/>
          <w:szCs w:val="28"/>
        </w:rPr>
      </w:pPr>
      <w:r>
        <w:rPr>
          <w:rStyle w:val="fontstyle11"/>
          <w:rFonts w:ascii="仿宋_GB2312" w:hint="eastAsia"/>
          <w:sz w:val="28"/>
          <w:szCs w:val="28"/>
        </w:rPr>
        <w:t>客观题根据题目的正确率判定评分，主观题参考作业评分标准。</w:t>
      </w:r>
    </w:p>
    <w:p w:rsidR="00BE5664" w:rsidRDefault="00BE5664" w:rsidP="00BE5664">
      <w:pPr>
        <w:autoSpaceDE w:val="0"/>
        <w:autoSpaceDN w:val="0"/>
        <w:adjustRightInd w:val="0"/>
        <w:spacing w:afterLines="50" w:after="156"/>
        <w:ind w:firstLineChars="200" w:firstLine="560"/>
        <w:jc w:val="left"/>
        <w:rPr>
          <w:rFonts w:ascii="仿宋_GB2312" w:hAnsi="Times New Roman" w:cs="仿宋_GB2312"/>
          <w:kern w:val="0"/>
          <w:sz w:val="28"/>
          <w:szCs w:val="28"/>
        </w:rPr>
      </w:pPr>
      <w:r>
        <w:rPr>
          <w:rFonts w:ascii="仿宋_GB2312" w:hAnsi="Times New Roman" w:cs="仿宋_GB2312" w:hint="eastAsia"/>
          <w:kern w:val="0"/>
          <w:sz w:val="28"/>
          <w:szCs w:val="28"/>
        </w:rPr>
        <w:t>（2）作业评分标准</w:t>
      </w:r>
    </w:p>
    <w:tbl>
      <w:tblPr>
        <w:tblW w:w="8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1753"/>
        <w:gridCol w:w="1754"/>
        <w:gridCol w:w="1754"/>
        <w:gridCol w:w="1754"/>
      </w:tblGrid>
      <w:tr w:rsidR="00BE5664" w:rsidTr="00BE5664">
        <w:trPr>
          <w:trHeight w:val="301"/>
          <w:jc w:val="center"/>
        </w:trPr>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86-100分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71-85分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50-70分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0-49分</w:t>
            </w:r>
          </w:p>
        </w:tc>
      </w:tr>
      <w:tr w:rsidR="00BE5664" w:rsidTr="00BE5664">
        <w:trPr>
          <w:trHeight w:val="399"/>
          <w:jc w:val="center"/>
        </w:trPr>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作业完成态度</w:t>
            </w:r>
          </w:p>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（权重0.2）</w:t>
            </w:r>
          </w:p>
        </w:tc>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非常认真</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较认真</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Style w:val="fontstyle11"/>
                <w:rFonts w:ascii="仿宋_GB2312" w:hint="eastAsia"/>
                <w:sz w:val="20"/>
                <w:szCs w:val="20"/>
              </w:rPr>
              <w:t>一般认真</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Style w:val="fontstyle11"/>
                <w:rFonts w:ascii="仿宋_GB2312" w:hint="eastAsia"/>
                <w:sz w:val="20"/>
                <w:szCs w:val="20"/>
              </w:rPr>
              <w:t>不认真</w:t>
            </w:r>
          </w:p>
        </w:tc>
      </w:tr>
      <w:tr w:rsidR="00BE5664" w:rsidTr="00BE5664">
        <w:trPr>
          <w:trHeight w:val="399"/>
          <w:jc w:val="center"/>
        </w:trPr>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作业完成正确率</w:t>
            </w:r>
          </w:p>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（权重0.8）</w:t>
            </w:r>
          </w:p>
        </w:tc>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正确率达86%以上</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正确率达71%以上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正确率达50%以上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正确率低于50%</w:t>
            </w:r>
          </w:p>
        </w:tc>
      </w:tr>
    </w:tbl>
    <w:p w:rsidR="00BE5664" w:rsidRDefault="00BE5664" w:rsidP="00BE5664">
      <w:pPr>
        <w:autoSpaceDE w:val="0"/>
        <w:autoSpaceDN w:val="0"/>
        <w:adjustRightInd w:val="0"/>
        <w:spacing w:beforeLines="50" w:before="156" w:afterLines="50" w:after="156"/>
        <w:ind w:firstLineChars="200" w:firstLine="560"/>
        <w:jc w:val="left"/>
        <w:rPr>
          <w:rFonts w:ascii="仿宋_GB2312" w:hAnsi="Times New Roman" w:cs="仿宋_GB2312"/>
          <w:kern w:val="0"/>
          <w:sz w:val="28"/>
          <w:szCs w:val="28"/>
        </w:rPr>
      </w:pPr>
      <w:r>
        <w:rPr>
          <w:rFonts w:ascii="仿宋_GB2312" w:hAnsi="Times New Roman" w:cs="仿宋_GB2312" w:hint="eastAsia"/>
          <w:kern w:val="0"/>
          <w:sz w:val="28"/>
          <w:szCs w:val="28"/>
        </w:rPr>
        <w:t>（3）课堂表现评分标准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BE5664" w:rsidTr="00BE5664">
        <w:trPr>
          <w:trHeight w:val="281"/>
          <w:jc w:val="center"/>
        </w:trPr>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86-100分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71-85分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50-70分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0-49分</w:t>
            </w:r>
          </w:p>
        </w:tc>
      </w:tr>
      <w:tr w:rsidR="00BE5664" w:rsidTr="00BE5664">
        <w:trPr>
          <w:trHeight w:val="372"/>
          <w:jc w:val="center"/>
        </w:trPr>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回答问题准确性（权重1.0）</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正确率达86%以上</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正确率达71%以上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正确率达50%以上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正确率低于50%</w:t>
            </w:r>
          </w:p>
        </w:tc>
      </w:tr>
    </w:tbl>
    <w:p w:rsidR="00BE5664" w:rsidRDefault="00BE5664" w:rsidP="00BE5664">
      <w:pPr>
        <w:autoSpaceDE w:val="0"/>
        <w:autoSpaceDN w:val="0"/>
        <w:adjustRightInd w:val="0"/>
        <w:spacing w:beforeLines="50" w:before="156" w:afterLines="50" w:after="156"/>
        <w:ind w:firstLineChars="200" w:firstLine="560"/>
        <w:jc w:val="left"/>
        <w:rPr>
          <w:rStyle w:val="fontstyle11"/>
          <w:rFonts w:ascii="仿宋_GB2312"/>
          <w:sz w:val="28"/>
          <w:szCs w:val="28"/>
        </w:rPr>
      </w:pPr>
      <w:r>
        <w:rPr>
          <w:rStyle w:val="fontstyle11"/>
          <w:rFonts w:ascii="仿宋_GB2312" w:hint="eastAsia"/>
          <w:sz w:val="28"/>
          <w:szCs w:val="28"/>
        </w:rPr>
        <w:t>（4）课堂出勤评分标准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BE5664" w:rsidTr="00BE5664">
        <w:trPr>
          <w:trHeight w:val="281"/>
          <w:jc w:val="center"/>
        </w:trPr>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lastRenderedPageBreak/>
              <w:t>权重</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81-100分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51-80分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26-50分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0-25分</w:t>
            </w:r>
          </w:p>
        </w:tc>
      </w:tr>
      <w:tr w:rsidR="00BE5664" w:rsidTr="00BE5664">
        <w:trPr>
          <w:trHeight w:val="372"/>
          <w:jc w:val="center"/>
        </w:trPr>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课堂出勤率</w:t>
            </w:r>
          </w:p>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（权重1.0）</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出勤率达81%以上</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出勤率达51%以上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出勤率达26%以上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正出勤率低于25%</w:t>
            </w:r>
          </w:p>
        </w:tc>
      </w:tr>
    </w:tbl>
    <w:p w:rsidR="00BE5664" w:rsidRDefault="00BE5664" w:rsidP="00BE5664">
      <w:pPr>
        <w:autoSpaceDE w:val="0"/>
        <w:autoSpaceDN w:val="0"/>
        <w:adjustRightInd w:val="0"/>
        <w:ind w:firstLineChars="50" w:firstLine="100"/>
        <w:jc w:val="left"/>
        <w:rPr>
          <w:rFonts w:ascii="仿宋_GB2312" w:hAnsi="Times New Roman" w:cs="仿宋_GB2312"/>
          <w:kern w:val="0"/>
          <w:sz w:val="20"/>
          <w:szCs w:val="20"/>
        </w:rPr>
      </w:pPr>
      <w:r>
        <w:rPr>
          <w:rFonts w:ascii="仿宋_GB2312" w:hAnsi="Times New Roman" w:cs="仿宋_GB2312" w:hint="eastAsia"/>
          <w:kern w:val="0"/>
          <w:sz w:val="20"/>
          <w:szCs w:val="20"/>
        </w:rPr>
        <w:t>注：迟到</w:t>
      </w:r>
      <w:r>
        <w:rPr>
          <w:rFonts w:ascii="仿宋_GB2312" w:hAnsi="Times New Roman" w:cs="仿宋_GB2312"/>
          <w:kern w:val="0"/>
          <w:sz w:val="20"/>
          <w:szCs w:val="20"/>
        </w:rPr>
        <w:t>30</w:t>
      </w:r>
      <w:r>
        <w:rPr>
          <w:rFonts w:ascii="仿宋_GB2312" w:hAnsi="Times New Roman" w:cs="仿宋_GB2312" w:hint="eastAsia"/>
          <w:kern w:val="0"/>
          <w:sz w:val="20"/>
          <w:szCs w:val="20"/>
        </w:rPr>
        <w:t>分钟以上按一次缺勤计</w:t>
      </w:r>
    </w:p>
    <w:p w:rsidR="00BE5664" w:rsidRDefault="00BE5664" w:rsidP="00BE5664">
      <w:pPr>
        <w:spacing w:beforeLines="50" w:before="156" w:afterLines="50" w:after="156" w:line="4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BE5664" w:rsidRDefault="00BE5664" w:rsidP="00BE5664">
      <w:pPr>
        <w:spacing w:line="360" w:lineRule="auto"/>
        <w:ind w:leftChars="200" w:left="640"/>
        <w:rPr>
          <w:rFonts w:ascii="仿宋_GB2312" w:hAnsi="Times New Roman"/>
          <w:sz w:val="28"/>
          <w:szCs w:val="28"/>
        </w:rPr>
      </w:pPr>
      <w:r>
        <w:rPr>
          <w:rFonts w:ascii="仿宋_GB2312" w:hAnsi="Times New Roman" w:hint="eastAsia"/>
          <w:sz w:val="28"/>
          <w:szCs w:val="28"/>
        </w:rPr>
        <w:t>1.建议教材</w:t>
      </w:r>
    </w:p>
    <w:p w:rsidR="00BE5664" w:rsidRDefault="00BE5664" w:rsidP="00BE5664">
      <w:pPr>
        <w:spacing w:line="360" w:lineRule="auto"/>
        <w:ind w:leftChars="200" w:left="640"/>
        <w:rPr>
          <w:rFonts w:ascii="仿宋_GB2312" w:hAnsi="Times New Roman"/>
          <w:b/>
          <w:bCs/>
          <w:sz w:val="28"/>
          <w:szCs w:val="28"/>
        </w:rPr>
      </w:pPr>
      <w:r>
        <w:rPr>
          <w:rFonts w:ascii="仿宋_GB2312" w:hAnsi="Times New Roman" w:hint="eastAsia"/>
          <w:sz w:val="28"/>
          <w:szCs w:val="28"/>
        </w:rPr>
        <w:t>卜建清, 严战友. 道路桥梁工程施工[M]. 北京：清华大学出版社，201</w:t>
      </w:r>
      <w:r>
        <w:rPr>
          <w:rFonts w:ascii="仿宋_GB2312" w:hAnsi="Times New Roman"/>
          <w:sz w:val="28"/>
          <w:szCs w:val="28"/>
        </w:rPr>
        <w:t>4</w:t>
      </w:r>
      <w:r>
        <w:rPr>
          <w:rFonts w:ascii="仿宋_GB2312" w:hAnsi="Times New Roman" w:hint="eastAsia"/>
          <w:sz w:val="28"/>
          <w:szCs w:val="28"/>
        </w:rPr>
        <w:t>.</w:t>
      </w:r>
    </w:p>
    <w:p w:rsidR="00BE5664" w:rsidRDefault="00BE5664" w:rsidP="00BE5664">
      <w:pPr>
        <w:spacing w:line="360" w:lineRule="auto"/>
        <w:ind w:leftChars="200" w:left="640"/>
        <w:rPr>
          <w:rFonts w:ascii="仿宋_GB2312" w:hAnsi="Times New Roman"/>
          <w:sz w:val="28"/>
          <w:szCs w:val="28"/>
        </w:rPr>
      </w:pPr>
      <w:r>
        <w:rPr>
          <w:rFonts w:ascii="仿宋_GB2312" w:hAnsi="Times New Roman" w:hint="eastAsia"/>
          <w:sz w:val="28"/>
          <w:szCs w:val="28"/>
        </w:rPr>
        <w:t>2.主要参考资料</w:t>
      </w:r>
    </w:p>
    <w:p w:rsidR="00BE5664" w:rsidRDefault="00BE5664" w:rsidP="00BE5664">
      <w:pPr>
        <w:spacing w:line="360" w:lineRule="auto"/>
        <w:ind w:leftChars="200" w:left="640"/>
        <w:rPr>
          <w:rFonts w:ascii="仿宋_GB2312" w:hAnsi="Times New Roman"/>
          <w:sz w:val="28"/>
          <w:szCs w:val="28"/>
        </w:rPr>
      </w:pPr>
      <w:r>
        <w:rPr>
          <w:rFonts w:ascii="仿宋_GB2312" w:hAnsi="Times New Roman"/>
          <w:sz w:val="28"/>
          <w:szCs w:val="28"/>
        </w:rPr>
        <w:t>[1]</w:t>
      </w:r>
      <w:r>
        <w:rPr>
          <w:rFonts w:ascii="仿宋_GB2312" w:hAnsi="Times New Roman" w:hint="eastAsia"/>
          <w:sz w:val="28"/>
          <w:szCs w:val="28"/>
        </w:rPr>
        <w:t>向中富.桥梁施工控制技术[M].北京：人民交通出版社，20</w:t>
      </w:r>
      <w:r>
        <w:rPr>
          <w:rFonts w:ascii="仿宋_GB2312" w:hAnsi="Times New Roman"/>
          <w:sz w:val="28"/>
          <w:szCs w:val="28"/>
        </w:rPr>
        <w:t>01</w:t>
      </w:r>
      <w:r>
        <w:rPr>
          <w:rFonts w:ascii="仿宋_GB2312" w:hAnsi="Times New Roman" w:hint="eastAsia"/>
          <w:sz w:val="28"/>
          <w:szCs w:val="28"/>
        </w:rPr>
        <w:t>.</w:t>
      </w:r>
    </w:p>
    <w:p w:rsidR="00BE5664" w:rsidRDefault="00BE5664" w:rsidP="00BE5664">
      <w:pPr>
        <w:spacing w:line="360" w:lineRule="auto"/>
        <w:ind w:leftChars="200" w:left="640"/>
        <w:rPr>
          <w:rFonts w:ascii="仿宋_GB2312" w:hAnsi="Times New Roman"/>
          <w:sz w:val="28"/>
          <w:szCs w:val="28"/>
        </w:rPr>
      </w:pPr>
      <w:r>
        <w:rPr>
          <w:rFonts w:ascii="仿宋_GB2312" w:hAnsi="Times New Roman"/>
          <w:sz w:val="28"/>
          <w:szCs w:val="28"/>
        </w:rPr>
        <w:t>[2]</w:t>
      </w:r>
      <w:r>
        <w:rPr>
          <w:rFonts w:ascii="仿宋_GB2312" w:hAnsi="Times New Roman" w:hint="eastAsia"/>
          <w:sz w:val="28"/>
          <w:szCs w:val="28"/>
        </w:rPr>
        <w:t>叶国铮.道路与桥梁工程概论[M].北京：人民交通出版社，20</w:t>
      </w:r>
      <w:r>
        <w:rPr>
          <w:rFonts w:ascii="仿宋_GB2312" w:hAnsi="Times New Roman"/>
          <w:sz w:val="28"/>
          <w:szCs w:val="28"/>
        </w:rPr>
        <w:t>04</w:t>
      </w:r>
      <w:r>
        <w:rPr>
          <w:rFonts w:ascii="仿宋_GB2312" w:hAnsi="Times New Roman" w:hint="eastAsia"/>
          <w:sz w:val="28"/>
          <w:szCs w:val="28"/>
        </w:rPr>
        <w:t>.</w:t>
      </w:r>
    </w:p>
    <w:p w:rsidR="00BE5664" w:rsidRDefault="00BE5664" w:rsidP="00BE5664">
      <w:pPr>
        <w:spacing w:line="360" w:lineRule="auto"/>
        <w:ind w:leftChars="200" w:left="640"/>
        <w:rPr>
          <w:rFonts w:ascii="仿宋_GB2312" w:hAnsi="Times New Roman"/>
          <w:sz w:val="28"/>
          <w:szCs w:val="28"/>
        </w:rPr>
      </w:pPr>
      <w:r>
        <w:rPr>
          <w:rFonts w:ascii="仿宋_GB2312" w:hAnsi="Times New Roman"/>
          <w:sz w:val="28"/>
          <w:szCs w:val="28"/>
        </w:rPr>
        <w:t>[3]</w:t>
      </w:r>
      <w:r>
        <w:rPr>
          <w:rFonts w:ascii="仿宋_GB2312" w:hAnsi="Times New Roman" w:hint="eastAsia"/>
          <w:sz w:val="28"/>
          <w:szCs w:val="28"/>
        </w:rPr>
        <w:t>方诗圣.道路桥梁工程施工技术[M].武汉：武汉大学出版社，201</w:t>
      </w:r>
      <w:r>
        <w:rPr>
          <w:rFonts w:ascii="仿宋_GB2312" w:hAnsi="Times New Roman"/>
          <w:sz w:val="28"/>
          <w:szCs w:val="28"/>
        </w:rPr>
        <w:t>3</w:t>
      </w:r>
      <w:r>
        <w:rPr>
          <w:rFonts w:ascii="仿宋_GB2312" w:hAnsi="Times New Roman" w:hint="eastAsia"/>
          <w:sz w:val="28"/>
          <w:szCs w:val="28"/>
        </w:rPr>
        <w:t>.</w:t>
      </w:r>
    </w:p>
    <w:p w:rsidR="00BE5664" w:rsidRDefault="00BE5664" w:rsidP="00BE5664">
      <w:pPr>
        <w:spacing w:line="360" w:lineRule="auto"/>
        <w:ind w:leftChars="200" w:left="640"/>
        <w:rPr>
          <w:rFonts w:ascii="仿宋_GB2312" w:hAnsi="Times New Roman"/>
          <w:sz w:val="28"/>
          <w:szCs w:val="28"/>
        </w:rPr>
      </w:pPr>
      <w:r>
        <w:rPr>
          <w:rFonts w:ascii="仿宋_GB2312" w:hAnsi="Times New Roman"/>
          <w:sz w:val="28"/>
          <w:szCs w:val="28"/>
        </w:rPr>
        <w:t>[4]</w:t>
      </w:r>
      <w:r>
        <w:rPr>
          <w:rFonts w:ascii="仿宋_GB2312" w:hAnsi="Times New Roman" w:hint="eastAsia"/>
          <w:sz w:val="28"/>
          <w:szCs w:val="28"/>
        </w:rPr>
        <w:t>重庆大学.土木工程施工[M].北京：中国建筑工业出版社，201</w:t>
      </w:r>
      <w:r>
        <w:rPr>
          <w:rFonts w:ascii="仿宋_GB2312" w:hAnsi="Times New Roman"/>
          <w:sz w:val="28"/>
          <w:szCs w:val="28"/>
        </w:rPr>
        <w:t>5</w:t>
      </w:r>
      <w:r>
        <w:rPr>
          <w:rFonts w:ascii="仿宋_GB2312" w:hAnsi="Times New Roman" w:hint="eastAsia"/>
          <w:sz w:val="28"/>
          <w:szCs w:val="28"/>
        </w:rPr>
        <w:t>.</w:t>
      </w:r>
    </w:p>
    <w:p w:rsidR="00BE5664" w:rsidRDefault="00BE5664" w:rsidP="00BE5664">
      <w:pPr>
        <w:spacing w:line="360" w:lineRule="auto"/>
        <w:ind w:leftChars="200" w:left="640"/>
        <w:rPr>
          <w:rFonts w:ascii="仿宋_GB2312" w:hAnsi="Times New Roman"/>
          <w:sz w:val="28"/>
          <w:szCs w:val="28"/>
        </w:rPr>
      </w:pPr>
      <w:r>
        <w:rPr>
          <w:rFonts w:ascii="仿宋_GB2312" w:hAnsi="Times New Roman"/>
          <w:sz w:val="28"/>
          <w:szCs w:val="28"/>
        </w:rPr>
        <w:t>[5]</w:t>
      </w:r>
      <w:r>
        <w:rPr>
          <w:rFonts w:ascii="仿宋_GB2312" w:hAnsi="Times New Roman" w:hint="eastAsia"/>
          <w:sz w:val="28"/>
          <w:szCs w:val="28"/>
        </w:rPr>
        <w:t>中华人民共和国交通运输部.公路沥青路面施工技术规范(</w:t>
      </w:r>
      <w:r>
        <w:rPr>
          <w:rFonts w:ascii="仿宋_GB2312" w:hAnsi="Times New Roman"/>
          <w:sz w:val="28"/>
          <w:szCs w:val="28"/>
        </w:rPr>
        <w:t>JTG F40-2004</w:t>
      </w:r>
      <w:r>
        <w:rPr>
          <w:rFonts w:ascii="仿宋_GB2312" w:hAnsi="Times New Roman" w:hint="eastAsia"/>
          <w:sz w:val="28"/>
          <w:szCs w:val="28"/>
        </w:rPr>
        <w:t>)[</w:t>
      </w:r>
      <w:r>
        <w:rPr>
          <w:rFonts w:ascii="仿宋_GB2312" w:hAnsi="Times New Roman"/>
          <w:sz w:val="28"/>
          <w:szCs w:val="28"/>
        </w:rPr>
        <w:t>S</w:t>
      </w:r>
      <w:r>
        <w:rPr>
          <w:rFonts w:ascii="仿宋_GB2312" w:hAnsi="Times New Roman" w:hint="eastAsia"/>
          <w:sz w:val="28"/>
          <w:szCs w:val="28"/>
        </w:rPr>
        <w:t>]. 北京：人民交通出版社，20</w:t>
      </w:r>
      <w:r>
        <w:rPr>
          <w:rFonts w:ascii="仿宋_GB2312" w:hAnsi="Times New Roman"/>
          <w:sz w:val="28"/>
          <w:szCs w:val="28"/>
        </w:rPr>
        <w:t>04</w:t>
      </w:r>
      <w:r>
        <w:rPr>
          <w:rFonts w:ascii="仿宋_GB2312" w:hAnsi="Times New Roman" w:hint="eastAsia"/>
          <w:sz w:val="28"/>
          <w:szCs w:val="28"/>
        </w:rPr>
        <w:t>.</w:t>
      </w:r>
    </w:p>
    <w:p w:rsidR="00BE5664" w:rsidRDefault="00BE5664" w:rsidP="00BE5664">
      <w:pPr>
        <w:spacing w:line="360" w:lineRule="auto"/>
        <w:ind w:leftChars="200" w:left="640"/>
        <w:rPr>
          <w:rFonts w:ascii="仿宋_GB2312" w:hAnsi="Times New Roman"/>
          <w:sz w:val="28"/>
          <w:szCs w:val="28"/>
        </w:rPr>
      </w:pPr>
      <w:r>
        <w:rPr>
          <w:rFonts w:ascii="仿宋_GB2312" w:hAnsi="Times New Roman"/>
          <w:sz w:val="28"/>
          <w:szCs w:val="28"/>
        </w:rPr>
        <w:t>[6]</w:t>
      </w:r>
      <w:r>
        <w:rPr>
          <w:rFonts w:ascii="仿宋_GB2312" w:hAnsi="Times New Roman" w:hint="eastAsia"/>
          <w:sz w:val="28"/>
          <w:szCs w:val="28"/>
        </w:rPr>
        <w:t>中华人民共和国交通运输部.公路水泥混凝土路面施工技术细则(</w:t>
      </w:r>
      <w:r>
        <w:rPr>
          <w:rFonts w:ascii="仿宋_GB2312" w:hAnsi="Times New Roman"/>
          <w:sz w:val="28"/>
          <w:szCs w:val="28"/>
        </w:rPr>
        <w:t xml:space="preserve">JTG/T </w:t>
      </w:r>
      <w:r>
        <w:rPr>
          <w:rFonts w:ascii="仿宋_GB2312" w:hAnsi="Times New Roman" w:hint="eastAsia"/>
          <w:sz w:val="28"/>
          <w:szCs w:val="28"/>
        </w:rPr>
        <w:t>F30</w:t>
      </w:r>
      <w:r>
        <w:rPr>
          <w:rFonts w:ascii="仿宋_GB2312" w:hAnsi="Times New Roman"/>
          <w:sz w:val="28"/>
          <w:szCs w:val="28"/>
        </w:rPr>
        <w:t>-2014</w:t>
      </w:r>
      <w:r>
        <w:rPr>
          <w:rFonts w:ascii="仿宋_GB2312" w:hAnsi="Times New Roman" w:hint="eastAsia"/>
          <w:sz w:val="28"/>
          <w:szCs w:val="28"/>
        </w:rPr>
        <w:t>)[</w:t>
      </w:r>
      <w:r>
        <w:rPr>
          <w:rFonts w:ascii="仿宋_GB2312" w:hAnsi="Times New Roman"/>
          <w:sz w:val="28"/>
          <w:szCs w:val="28"/>
        </w:rPr>
        <w:t>S</w:t>
      </w:r>
      <w:r>
        <w:rPr>
          <w:rFonts w:ascii="仿宋_GB2312" w:hAnsi="Times New Roman" w:hint="eastAsia"/>
          <w:sz w:val="28"/>
          <w:szCs w:val="28"/>
        </w:rPr>
        <w:t>]. 北京：人民交通出版社，20</w:t>
      </w:r>
      <w:r>
        <w:rPr>
          <w:rFonts w:ascii="仿宋_GB2312" w:hAnsi="Times New Roman"/>
          <w:sz w:val="28"/>
          <w:szCs w:val="28"/>
        </w:rPr>
        <w:t>14</w:t>
      </w:r>
      <w:r>
        <w:rPr>
          <w:rFonts w:ascii="仿宋_GB2312" w:hAnsi="Times New Roman" w:hint="eastAsia"/>
          <w:sz w:val="28"/>
          <w:szCs w:val="28"/>
        </w:rPr>
        <w:t>.</w:t>
      </w:r>
    </w:p>
    <w:p w:rsidR="00BE5664" w:rsidRDefault="00BE5664" w:rsidP="00BE5664">
      <w:pPr>
        <w:spacing w:line="360" w:lineRule="auto"/>
        <w:ind w:leftChars="200" w:left="640"/>
        <w:rPr>
          <w:rFonts w:ascii="仿宋_GB2312" w:hAnsi="Times New Roman"/>
          <w:sz w:val="28"/>
          <w:szCs w:val="28"/>
        </w:rPr>
      </w:pPr>
      <w:r>
        <w:rPr>
          <w:rFonts w:ascii="仿宋_GB2312" w:hAnsi="Times New Roman"/>
          <w:sz w:val="28"/>
          <w:szCs w:val="28"/>
        </w:rPr>
        <w:t>[7]</w:t>
      </w:r>
      <w:r>
        <w:rPr>
          <w:rFonts w:ascii="仿宋_GB2312" w:hAnsi="Times New Roman" w:hint="eastAsia"/>
          <w:sz w:val="28"/>
          <w:szCs w:val="28"/>
        </w:rPr>
        <w:t>中华人民共和国交通运输部. 公路路基施工技术规范(</w:t>
      </w:r>
      <w:r>
        <w:rPr>
          <w:rFonts w:ascii="仿宋_GB2312" w:hAnsi="Times New Roman"/>
          <w:sz w:val="28"/>
          <w:szCs w:val="28"/>
        </w:rPr>
        <w:t>JTG/T 3610-2019</w:t>
      </w:r>
      <w:r>
        <w:rPr>
          <w:rFonts w:ascii="仿宋_GB2312" w:hAnsi="Times New Roman" w:hint="eastAsia"/>
          <w:sz w:val="28"/>
          <w:szCs w:val="28"/>
        </w:rPr>
        <w:t>)[</w:t>
      </w:r>
      <w:r>
        <w:rPr>
          <w:rFonts w:ascii="仿宋_GB2312" w:hAnsi="Times New Roman"/>
          <w:sz w:val="28"/>
          <w:szCs w:val="28"/>
        </w:rPr>
        <w:t>S</w:t>
      </w:r>
      <w:r>
        <w:rPr>
          <w:rFonts w:ascii="仿宋_GB2312" w:hAnsi="Times New Roman" w:hint="eastAsia"/>
          <w:sz w:val="28"/>
          <w:szCs w:val="28"/>
        </w:rPr>
        <w:t>]. 北京：人民交通出版社，20</w:t>
      </w:r>
      <w:r>
        <w:rPr>
          <w:rFonts w:ascii="仿宋_GB2312" w:hAnsi="Times New Roman"/>
          <w:sz w:val="28"/>
          <w:szCs w:val="28"/>
        </w:rPr>
        <w:t>19</w:t>
      </w:r>
      <w:r>
        <w:rPr>
          <w:rFonts w:ascii="仿宋_GB2312" w:hAnsi="Times New Roman" w:hint="eastAsia"/>
          <w:sz w:val="28"/>
          <w:szCs w:val="28"/>
        </w:rPr>
        <w:t>.</w:t>
      </w:r>
    </w:p>
    <w:p w:rsidR="00BE5664" w:rsidRDefault="00BE5664" w:rsidP="00BE5664">
      <w:pPr>
        <w:spacing w:line="360" w:lineRule="auto"/>
        <w:ind w:leftChars="200" w:left="640"/>
        <w:rPr>
          <w:rFonts w:ascii="仿宋_GB2312" w:hAnsi="Times New Roman"/>
          <w:sz w:val="28"/>
          <w:szCs w:val="28"/>
        </w:rPr>
      </w:pPr>
      <w:r>
        <w:rPr>
          <w:rFonts w:ascii="仿宋_GB2312" w:hAnsi="Times New Roman"/>
          <w:sz w:val="28"/>
          <w:szCs w:val="28"/>
        </w:rPr>
        <w:t>[8]</w:t>
      </w:r>
      <w:r>
        <w:rPr>
          <w:rFonts w:ascii="仿宋_GB2312" w:hAnsi="Times New Roman" w:hint="eastAsia"/>
          <w:sz w:val="28"/>
          <w:szCs w:val="28"/>
        </w:rPr>
        <w:t>中华人民共和国交通运输部. 公路桥涵施工技术规范(</w:t>
      </w:r>
      <w:r>
        <w:rPr>
          <w:rFonts w:ascii="仿宋_GB2312" w:hAnsi="Times New Roman"/>
          <w:sz w:val="28"/>
          <w:szCs w:val="28"/>
        </w:rPr>
        <w:t>JTG/T 3650-2020</w:t>
      </w:r>
      <w:r>
        <w:rPr>
          <w:rFonts w:ascii="仿宋_GB2312" w:hAnsi="Times New Roman" w:hint="eastAsia"/>
          <w:sz w:val="28"/>
          <w:szCs w:val="28"/>
        </w:rPr>
        <w:t>)[</w:t>
      </w:r>
      <w:r>
        <w:rPr>
          <w:rFonts w:ascii="仿宋_GB2312" w:hAnsi="Times New Roman"/>
          <w:sz w:val="28"/>
          <w:szCs w:val="28"/>
        </w:rPr>
        <w:t>S</w:t>
      </w:r>
      <w:r>
        <w:rPr>
          <w:rFonts w:ascii="仿宋_GB2312" w:hAnsi="Times New Roman" w:hint="eastAsia"/>
          <w:sz w:val="28"/>
          <w:szCs w:val="28"/>
        </w:rPr>
        <w:t>]. 北京：人民交通出版社，20</w:t>
      </w:r>
      <w:r>
        <w:rPr>
          <w:rFonts w:ascii="仿宋_GB2312" w:hAnsi="Times New Roman"/>
          <w:sz w:val="28"/>
          <w:szCs w:val="28"/>
        </w:rPr>
        <w:t>20</w:t>
      </w:r>
      <w:r>
        <w:rPr>
          <w:rFonts w:ascii="仿宋_GB2312" w:hAnsi="Times New Roman" w:hint="eastAsia"/>
          <w:sz w:val="28"/>
          <w:szCs w:val="28"/>
        </w:rPr>
        <w:t>.</w:t>
      </w:r>
    </w:p>
    <w:p w:rsidR="00BE5664" w:rsidRDefault="00BE5664" w:rsidP="00BE5664">
      <w:pPr>
        <w:spacing w:line="360" w:lineRule="auto"/>
        <w:ind w:leftChars="200" w:left="640"/>
        <w:rPr>
          <w:rFonts w:ascii="仿宋_GB2312" w:hAnsi="Times New Roman"/>
          <w:sz w:val="28"/>
          <w:szCs w:val="28"/>
        </w:rPr>
      </w:pPr>
    </w:p>
    <w:p w:rsidR="00BE5664" w:rsidRDefault="00BE5664" w:rsidP="00BE5664">
      <w:pPr>
        <w:spacing w:line="360" w:lineRule="auto"/>
        <w:ind w:leftChars="200" w:left="640"/>
        <w:rPr>
          <w:rFonts w:ascii="仿宋_GB2312" w:hAnsi="Times New Roman"/>
          <w:sz w:val="28"/>
          <w:szCs w:val="28"/>
        </w:rPr>
      </w:pPr>
    </w:p>
    <w:p w:rsidR="00BE5664" w:rsidRDefault="00BE5664" w:rsidP="00BE5664">
      <w:pPr>
        <w:ind w:firstLineChars="1200" w:firstLine="3360"/>
        <w:rPr>
          <w:rFonts w:ascii="仿宋_GB2312" w:hAnsi="Times New Roman"/>
          <w:sz w:val="28"/>
          <w:szCs w:val="28"/>
        </w:rPr>
      </w:pPr>
      <w:r>
        <w:rPr>
          <w:rFonts w:ascii="仿宋_GB2312" w:hAnsi="Times New Roman" w:hint="eastAsia"/>
          <w:sz w:val="28"/>
          <w:szCs w:val="28"/>
        </w:rPr>
        <w:t>大纲</w:t>
      </w:r>
      <w:r>
        <w:rPr>
          <w:rFonts w:ascii="仿宋" w:eastAsia="仿宋" w:hAnsi="仿宋" w:hint="eastAsia"/>
          <w:sz w:val="28"/>
          <w:szCs w:val="28"/>
        </w:rPr>
        <w:t>撰写</w:t>
      </w:r>
      <w:r>
        <w:rPr>
          <w:rFonts w:ascii="仿宋_GB2312" w:hAnsi="Times New Roman" w:hint="eastAsia"/>
          <w:sz w:val="28"/>
          <w:szCs w:val="28"/>
        </w:rPr>
        <w:t>人：权登州</w:t>
      </w:r>
    </w:p>
    <w:p w:rsidR="00BE5664" w:rsidRDefault="00BE5664" w:rsidP="00BE5664">
      <w:pPr>
        <w:ind w:firstLineChars="1200" w:firstLine="3360"/>
        <w:rPr>
          <w:rFonts w:ascii="仿宋_GB2312" w:hAnsi="Times New Roman"/>
          <w:sz w:val="28"/>
          <w:szCs w:val="28"/>
        </w:rPr>
      </w:pPr>
      <w:r>
        <w:rPr>
          <w:rFonts w:ascii="仿宋_GB2312" w:hAnsi="Times New Roman" w:hint="eastAsia"/>
          <w:sz w:val="28"/>
          <w:szCs w:val="28"/>
        </w:rPr>
        <w:t>课程负责人：权登州</w:t>
      </w:r>
    </w:p>
    <w:p w:rsidR="00BE5664" w:rsidRDefault="00BE5664" w:rsidP="00BE5664">
      <w:pPr>
        <w:ind w:firstLineChars="1200" w:firstLine="3360"/>
        <w:rPr>
          <w:rFonts w:ascii="仿宋_GB2312" w:hAnsi="Times New Roman"/>
          <w:sz w:val="28"/>
          <w:szCs w:val="28"/>
        </w:rPr>
      </w:pPr>
      <w:r>
        <w:rPr>
          <w:rFonts w:ascii="仿宋" w:eastAsia="仿宋" w:hAnsi="仿宋" w:hint="eastAsia"/>
          <w:sz w:val="28"/>
          <w:szCs w:val="28"/>
        </w:rPr>
        <w:t>审核</w:t>
      </w:r>
      <w:r>
        <w:rPr>
          <w:rFonts w:ascii="仿宋_GB2312" w:hAnsi="Times New Roman" w:hint="eastAsia"/>
          <w:sz w:val="28"/>
          <w:szCs w:val="28"/>
        </w:rPr>
        <w:t>人：袁春燕</w:t>
      </w:r>
    </w:p>
    <w:p w:rsidR="00BE5664" w:rsidRDefault="00BE5664" w:rsidP="00BE5664">
      <w:pPr>
        <w:spacing w:line="360" w:lineRule="auto"/>
        <w:ind w:firstLineChars="2000" w:firstLine="5600"/>
        <w:jc w:val="left"/>
        <w:rPr>
          <w:rFonts w:ascii="仿宋_GB2312" w:hAnsi="Times New Roman"/>
          <w:sz w:val="28"/>
          <w:szCs w:val="28"/>
        </w:rPr>
      </w:pPr>
      <w:r>
        <w:rPr>
          <w:rFonts w:ascii="仿宋_GB2312" w:hAnsi="Times New Roman" w:hint="eastAsia"/>
          <w:sz w:val="28"/>
          <w:szCs w:val="28"/>
        </w:rPr>
        <w:t xml:space="preserve">    </w:t>
      </w:r>
    </w:p>
    <w:p w:rsidR="00BE5664" w:rsidRDefault="00BE5664" w:rsidP="00BE5664">
      <w:pPr>
        <w:spacing w:line="360" w:lineRule="auto"/>
        <w:jc w:val="left"/>
        <w:rPr>
          <w:rFonts w:ascii="仿宋_GB2312" w:hAnsi="Times New Roman"/>
          <w:sz w:val="28"/>
          <w:szCs w:val="28"/>
        </w:rPr>
      </w:pPr>
      <w:r>
        <w:rPr>
          <w:rFonts w:ascii="仿宋_GB2312" w:hAnsi="Times New Roman" w:hint="eastAsia"/>
          <w:sz w:val="28"/>
          <w:szCs w:val="28"/>
        </w:rPr>
        <w:t xml:space="preserve">                                         2021年4月</w:t>
      </w:r>
    </w:p>
    <w:p w:rsidR="00BE5664" w:rsidRDefault="00BE5664" w:rsidP="00BE5664">
      <w:pPr>
        <w:widowControl/>
        <w:spacing w:line="360" w:lineRule="auto"/>
        <w:jc w:val="center"/>
        <w:rPr>
          <w:rFonts w:ascii="Times New Roman" w:eastAsia="黑体" w:hAnsi="Times New Roman"/>
          <w:b/>
          <w:kern w:val="0"/>
          <w:szCs w:val="28"/>
        </w:rPr>
      </w:pPr>
    </w:p>
    <w:p w:rsidR="00BE5664" w:rsidRDefault="00BE5664" w:rsidP="00BE5664">
      <w:pPr>
        <w:widowControl/>
        <w:spacing w:line="360" w:lineRule="auto"/>
        <w:jc w:val="center"/>
        <w:rPr>
          <w:rFonts w:ascii="Times New Roman" w:eastAsia="黑体" w:hAnsi="Times New Roman"/>
          <w:b/>
          <w:kern w:val="0"/>
          <w:szCs w:val="28"/>
        </w:rPr>
      </w:pPr>
    </w:p>
    <w:p w:rsidR="00BE5664" w:rsidRDefault="00BE5664" w:rsidP="00BE5664">
      <w:pPr>
        <w:widowControl/>
        <w:spacing w:line="360" w:lineRule="auto"/>
        <w:jc w:val="center"/>
        <w:rPr>
          <w:rFonts w:ascii="Times New Roman" w:eastAsia="黑体" w:hAnsi="Times New Roman"/>
          <w:b/>
          <w:kern w:val="0"/>
          <w:szCs w:val="28"/>
        </w:rPr>
      </w:pPr>
    </w:p>
    <w:p w:rsidR="00BE5664" w:rsidRDefault="00BE5664" w:rsidP="00BE5664">
      <w:pPr>
        <w:widowControl/>
        <w:spacing w:line="360" w:lineRule="auto"/>
        <w:jc w:val="center"/>
        <w:rPr>
          <w:rFonts w:ascii="Times New Roman" w:eastAsia="黑体" w:hAnsi="Times New Roman"/>
          <w:b/>
          <w:kern w:val="0"/>
          <w:szCs w:val="28"/>
        </w:rPr>
      </w:pPr>
    </w:p>
    <w:p w:rsidR="00EA50AD" w:rsidRDefault="00EA50AD" w:rsidP="00BE5664">
      <w:pPr>
        <w:widowControl/>
        <w:spacing w:line="360" w:lineRule="auto"/>
        <w:jc w:val="center"/>
        <w:rPr>
          <w:rFonts w:ascii="Times New Roman" w:eastAsia="黑体" w:hAnsi="Times New Roman"/>
          <w:b/>
          <w:kern w:val="0"/>
          <w:szCs w:val="28"/>
        </w:rPr>
      </w:pPr>
    </w:p>
    <w:p w:rsidR="00EA50AD" w:rsidRDefault="00EA50AD" w:rsidP="00BE5664">
      <w:pPr>
        <w:widowControl/>
        <w:spacing w:line="360" w:lineRule="auto"/>
        <w:jc w:val="center"/>
        <w:rPr>
          <w:rFonts w:ascii="Times New Roman" w:eastAsia="黑体" w:hAnsi="Times New Roman"/>
          <w:b/>
          <w:kern w:val="0"/>
          <w:szCs w:val="28"/>
        </w:rPr>
      </w:pPr>
    </w:p>
    <w:p w:rsidR="00EA50AD" w:rsidRDefault="00EA50AD" w:rsidP="00BE5664">
      <w:pPr>
        <w:widowControl/>
        <w:spacing w:line="360" w:lineRule="auto"/>
        <w:jc w:val="center"/>
        <w:rPr>
          <w:rFonts w:ascii="Times New Roman" w:eastAsia="黑体" w:hAnsi="Times New Roman"/>
          <w:b/>
          <w:kern w:val="0"/>
          <w:szCs w:val="28"/>
        </w:rPr>
      </w:pPr>
    </w:p>
    <w:p w:rsidR="00EA50AD" w:rsidRDefault="00EA50AD" w:rsidP="00BE5664">
      <w:pPr>
        <w:widowControl/>
        <w:spacing w:line="360" w:lineRule="auto"/>
        <w:jc w:val="center"/>
        <w:rPr>
          <w:rFonts w:ascii="Times New Roman" w:eastAsia="黑体" w:hAnsi="Times New Roman"/>
          <w:b/>
          <w:kern w:val="0"/>
          <w:szCs w:val="28"/>
        </w:rPr>
      </w:pPr>
    </w:p>
    <w:p w:rsidR="00EA50AD" w:rsidRDefault="00EA50AD" w:rsidP="00BE5664">
      <w:pPr>
        <w:widowControl/>
        <w:spacing w:line="360" w:lineRule="auto"/>
        <w:jc w:val="center"/>
        <w:rPr>
          <w:rFonts w:ascii="Times New Roman" w:eastAsia="黑体" w:hAnsi="Times New Roman"/>
          <w:b/>
          <w:kern w:val="0"/>
          <w:szCs w:val="28"/>
        </w:rPr>
      </w:pPr>
    </w:p>
    <w:p w:rsidR="00EA50AD" w:rsidRDefault="00EA50AD" w:rsidP="00BE5664">
      <w:pPr>
        <w:widowControl/>
        <w:spacing w:line="360" w:lineRule="auto"/>
        <w:jc w:val="center"/>
        <w:rPr>
          <w:rFonts w:ascii="Times New Roman" w:eastAsia="黑体" w:hAnsi="Times New Roman"/>
          <w:b/>
          <w:kern w:val="0"/>
          <w:szCs w:val="28"/>
        </w:rPr>
      </w:pPr>
    </w:p>
    <w:p w:rsidR="00EA50AD" w:rsidRDefault="00EA50AD" w:rsidP="00BE5664">
      <w:pPr>
        <w:widowControl/>
        <w:spacing w:line="360" w:lineRule="auto"/>
        <w:jc w:val="center"/>
        <w:rPr>
          <w:rFonts w:ascii="Times New Roman" w:eastAsia="黑体" w:hAnsi="Times New Roman"/>
          <w:b/>
          <w:kern w:val="0"/>
          <w:szCs w:val="28"/>
        </w:rPr>
      </w:pPr>
    </w:p>
    <w:p w:rsidR="00EA50AD" w:rsidRDefault="00EA50AD" w:rsidP="00BE5664">
      <w:pPr>
        <w:widowControl/>
        <w:spacing w:line="360" w:lineRule="auto"/>
        <w:jc w:val="center"/>
        <w:rPr>
          <w:rFonts w:ascii="Times New Roman" w:eastAsia="黑体" w:hAnsi="Times New Roman"/>
          <w:b/>
          <w:kern w:val="0"/>
          <w:szCs w:val="28"/>
        </w:rPr>
      </w:pPr>
    </w:p>
    <w:p w:rsidR="00EA50AD" w:rsidRDefault="00EA50AD" w:rsidP="00BE5664">
      <w:pPr>
        <w:widowControl/>
        <w:spacing w:line="360" w:lineRule="auto"/>
        <w:jc w:val="center"/>
        <w:rPr>
          <w:rFonts w:ascii="Times New Roman" w:eastAsia="黑体" w:hAnsi="Times New Roman"/>
          <w:b/>
          <w:kern w:val="0"/>
          <w:szCs w:val="28"/>
        </w:rPr>
      </w:pPr>
    </w:p>
    <w:p w:rsidR="00EA50AD" w:rsidRDefault="00EA50AD" w:rsidP="00BE5664">
      <w:pPr>
        <w:widowControl/>
        <w:spacing w:line="360" w:lineRule="auto"/>
        <w:jc w:val="center"/>
        <w:rPr>
          <w:rFonts w:ascii="Times New Roman" w:eastAsia="黑体" w:hAnsi="Times New Roman"/>
          <w:b/>
          <w:kern w:val="0"/>
          <w:szCs w:val="28"/>
        </w:rPr>
      </w:pPr>
    </w:p>
    <w:p w:rsidR="00EA50AD" w:rsidRDefault="00EA50AD" w:rsidP="00BE5664">
      <w:pPr>
        <w:widowControl/>
        <w:spacing w:line="360" w:lineRule="auto"/>
        <w:jc w:val="center"/>
        <w:rPr>
          <w:rFonts w:ascii="Times New Roman" w:eastAsia="黑体" w:hAnsi="Times New Roman"/>
          <w:b/>
          <w:kern w:val="0"/>
          <w:szCs w:val="28"/>
        </w:rPr>
      </w:pPr>
    </w:p>
    <w:p w:rsidR="00BE5664" w:rsidRDefault="00BE5664" w:rsidP="00BE5664">
      <w:pPr>
        <w:widowControl/>
        <w:spacing w:line="360" w:lineRule="auto"/>
        <w:jc w:val="center"/>
        <w:rPr>
          <w:rFonts w:ascii="Times New Roman" w:eastAsia="黑体" w:hAnsi="Times New Roman"/>
          <w:b/>
          <w:kern w:val="0"/>
          <w:szCs w:val="28"/>
        </w:rPr>
      </w:pPr>
      <w:r>
        <w:rPr>
          <w:rFonts w:ascii="Times New Roman" w:eastAsia="黑体" w:hAnsi="Times New Roman"/>
          <w:b/>
          <w:kern w:val="0"/>
          <w:szCs w:val="28"/>
        </w:rPr>
        <w:lastRenderedPageBreak/>
        <w:t>《</w:t>
      </w:r>
      <w:r>
        <w:rPr>
          <w:rFonts w:ascii="Times New Roman" w:eastAsia="黑体" w:hAnsi="Times New Roman"/>
          <w:b/>
          <w:sz w:val="30"/>
          <w:szCs w:val="30"/>
        </w:rPr>
        <w:t>现代施工技术与管理</w:t>
      </w:r>
      <w:r>
        <w:rPr>
          <w:rFonts w:ascii="Times New Roman" w:eastAsia="黑体" w:hAnsi="Times New Roman"/>
          <w:b/>
          <w:kern w:val="0"/>
          <w:szCs w:val="28"/>
        </w:rPr>
        <w:t>》课程教学大纲</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一、课程信息</w:t>
      </w:r>
    </w:p>
    <w:p w:rsidR="00BE5664" w:rsidRDefault="00BE5664" w:rsidP="00BE5664">
      <w:pPr>
        <w:spacing w:line="360" w:lineRule="auto"/>
        <w:ind w:firstLineChars="200" w:firstLine="562"/>
        <w:rPr>
          <w:rFonts w:ascii="Times New Roman" w:hAnsi="Times New Roman"/>
          <w:b/>
          <w:sz w:val="28"/>
          <w:szCs w:val="21"/>
        </w:rPr>
      </w:pPr>
      <w:r>
        <w:rPr>
          <w:rFonts w:ascii="Times New Roman" w:hAnsi="Times New Roman"/>
          <w:b/>
          <w:sz w:val="28"/>
          <w:szCs w:val="21"/>
        </w:rPr>
        <w:t>英文名称：</w:t>
      </w:r>
      <w:r>
        <w:rPr>
          <w:rFonts w:ascii="Times New Roman" w:hAnsi="Times New Roman"/>
          <w:sz w:val="28"/>
          <w:szCs w:val="21"/>
        </w:rPr>
        <w:t>Modern construction technology and management</w:t>
      </w:r>
    </w:p>
    <w:p w:rsidR="00BE5664" w:rsidRDefault="00BE5664" w:rsidP="00BE5664">
      <w:pPr>
        <w:spacing w:line="360" w:lineRule="auto"/>
        <w:ind w:firstLineChars="200" w:firstLine="562"/>
        <w:jc w:val="left"/>
        <w:rPr>
          <w:rFonts w:ascii="Times New Roman" w:hAnsi="Times New Roman"/>
          <w:b/>
          <w:sz w:val="28"/>
          <w:szCs w:val="21"/>
        </w:rPr>
      </w:pPr>
      <w:r>
        <w:rPr>
          <w:rFonts w:ascii="Times New Roman" w:hAnsi="Times New Roman"/>
          <w:b/>
          <w:sz w:val="28"/>
          <w:szCs w:val="21"/>
        </w:rPr>
        <w:t>课程编码：</w:t>
      </w:r>
      <w:r>
        <w:rPr>
          <w:rFonts w:ascii="Times New Roman" w:eastAsia="宋体" w:hAnsi="Times New Roman"/>
          <w:sz w:val="21"/>
          <w:szCs w:val="20"/>
        </w:rPr>
        <w:t xml:space="preserve"> </w:t>
      </w:r>
      <w:r>
        <w:rPr>
          <w:rFonts w:ascii="Times New Roman" w:hAnsi="Times New Roman"/>
          <w:sz w:val="28"/>
          <w:szCs w:val="21"/>
        </w:rPr>
        <w:t>Z2805080</w:t>
      </w:r>
    </w:p>
    <w:p w:rsidR="00BE5664" w:rsidRDefault="00BE5664" w:rsidP="00BE5664">
      <w:pPr>
        <w:spacing w:line="360" w:lineRule="auto"/>
        <w:ind w:firstLineChars="200" w:firstLine="562"/>
        <w:rPr>
          <w:rFonts w:ascii="Times New Roman" w:hAnsi="Times New Roman"/>
          <w:sz w:val="28"/>
          <w:szCs w:val="21"/>
        </w:rPr>
      </w:pPr>
      <w:r>
        <w:rPr>
          <w:rFonts w:ascii="Times New Roman" w:hAnsi="Times New Roman"/>
          <w:b/>
          <w:sz w:val="28"/>
          <w:szCs w:val="21"/>
        </w:rPr>
        <w:t>授课语言：</w:t>
      </w:r>
      <w:r>
        <w:rPr>
          <w:rFonts w:ascii="Times New Roman" w:hAnsi="Times New Roman"/>
          <w:sz w:val="28"/>
          <w:szCs w:val="21"/>
        </w:rPr>
        <w:t>汉语</w:t>
      </w:r>
    </w:p>
    <w:p w:rsidR="00BE5664" w:rsidRDefault="00BE5664" w:rsidP="00BE5664">
      <w:pPr>
        <w:spacing w:line="360" w:lineRule="auto"/>
        <w:ind w:firstLineChars="200" w:firstLine="562"/>
        <w:rPr>
          <w:rFonts w:ascii="Times New Roman" w:hAnsi="Times New Roman"/>
          <w:b/>
          <w:sz w:val="28"/>
          <w:szCs w:val="21"/>
        </w:rPr>
      </w:pPr>
      <w:r>
        <w:rPr>
          <w:rFonts w:ascii="Times New Roman" w:hAnsi="Times New Roman"/>
          <w:b/>
          <w:sz w:val="28"/>
          <w:szCs w:val="21"/>
        </w:rPr>
        <w:t>授课方式：</w:t>
      </w:r>
      <w:r>
        <w:rPr>
          <w:rFonts w:ascii="Times New Roman" w:hAnsi="Times New Roman"/>
          <w:sz w:val="28"/>
          <w:szCs w:val="21"/>
        </w:rPr>
        <w:t>线下</w:t>
      </w:r>
    </w:p>
    <w:p w:rsidR="00BE5664" w:rsidRDefault="00BE5664" w:rsidP="00BE5664">
      <w:pPr>
        <w:spacing w:line="360" w:lineRule="auto"/>
        <w:ind w:firstLineChars="200" w:firstLine="562"/>
        <w:rPr>
          <w:rFonts w:ascii="Times New Roman" w:hAnsi="Times New Roman"/>
          <w:sz w:val="28"/>
          <w:szCs w:val="21"/>
        </w:rPr>
      </w:pPr>
      <w:r>
        <w:rPr>
          <w:rFonts w:ascii="Times New Roman" w:hAnsi="Times New Roman"/>
          <w:b/>
          <w:sz w:val="28"/>
          <w:szCs w:val="21"/>
        </w:rPr>
        <w:t>课程类别：</w:t>
      </w:r>
      <w:r>
        <w:rPr>
          <w:rFonts w:ascii="Times New Roman" w:hAnsi="Times New Roman"/>
          <w:sz w:val="28"/>
          <w:szCs w:val="21"/>
        </w:rPr>
        <w:t>专业发展</w:t>
      </w:r>
    </w:p>
    <w:p w:rsidR="00BE5664" w:rsidRDefault="00BE5664" w:rsidP="00BE5664">
      <w:pPr>
        <w:spacing w:line="360" w:lineRule="auto"/>
        <w:ind w:firstLineChars="200" w:firstLine="562"/>
        <w:rPr>
          <w:rFonts w:ascii="Times New Roman" w:hAnsi="Times New Roman"/>
          <w:sz w:val="28"/>
          <w:szCs w:val="21"/>
        </w:rPr>
      </w:pPr>
      <w:r>
        <w:rPr>
          <w:rFonts w:ascii="Times New Roman" w:hAnsi="Times New Roman"/>
          <w:b/>
          <w:sz w:val="28"/>
          <w:szCs w:val="21"/>
        </w:rPr>
        <w:t>课程性质：</w:t>
      </w:r>
      <w:r>
        <w:rPr>
          <w:rFonts w:ascii="Times New Roman" w:hAnsi="Times New Roman"/>
          <w:sz w:val="28"/>
          <w:szCs w:val="21"/>
        </w:rPr>
        <w:t>选修</w:t>
      </w:r>
    </w:p>
    <w:p w:rsidR="00BE5664" w:rsidRDefault="00BE5664" w:rsidP="00BE5664">
      <w:pPr>
        <w:spacing w:line="360" w:lineRule="auto"/>
        <w:ind w:firstLineChars="200" w:firstLine="562"/>
        <w:rPr>
          <w:rFonts w:ascii="Times New Roman" w:hAnsi="Times New Roman"/>
          <w:b/>
          <w:sz w:val="28"/>
          <w:szCs w:val="21"/>
        </w:rPr>
      </w:pPr>
      <w:r>
        <w:rPr>
          <w:rFonts w:ascii="Times New Roman" w:hAnsi="Times New Roman"/>
          <w:b/>
          <w:sz w:val="28"/>
          <w:szCs w:val="21"/>
        </w:rPr>
        <w:t>学分：</w:t>
      </w:r>
      <w:r>
        <w:rPr>
          <w:rFonts w:ascii="Times New Roman" w:hAnsi="Times New Roman"/>
          <w:sz w:val="28"/>
          <w:szCs w:val="21"/>
        </w:rPr>
        <w:t>1.5</w:t>
      </w:r>
    </w:p>
    <w:p w:rsidR="00BE5664" w:rsidRDefault="00BE5664" w:rsidP="00BE5664">
      <w:pPr>
        <w:spacing w:line="360" w:lineRule="auto"/>
        <w:ind w:firstLineChars="200" w:firstLine="562"/>
        <w:rPr>
          <w:rFonts w:ascii="Times New Roman" w:hAnsi="Times New Roman"/>
          <w:b/>
          <w:sz w:val="28"/>
          <w:szCs w:val="21"/>
        </w:rPr>
      </w:pPr>
      <w:r>
        <w:rPr>
          <w:rFonts w:ascii="Times New Roman" w:hAnsi="Times New Roman"/>
          <w:b/>
          <w:sz w:val="28"/>
          <w:szCs w:val="21"/>
        </w:rPr>
        <w:t>学时：</w:t>
      </w:r>
      <w:r>
        <w:rPr>
          <w:rFonts w:ascii="Times New Roman" w:hAnsi="Times New Roman"/>
          <w:sz w:val="28"/>
          <w:szCs w:val="21"/>
        </w:rPr>
        <w:t>24</w:t>
      </w:r>
      <w:r>
        <w:rPr>
          <w:rFonts w:ascii="Times New Roman" w:hAnsi="Times New Roman"/>
          <w:sz w:val="28"/>
          <w:szCs w:val="21"/>
        </w:rPr>
        <w:t>学时（授课</w:t>
      </w:r>
      <w:r>
        <w:rPr>
          <w:rFonts w:ascii="Times New Roman" w:hAnsi="Times New Roman"/>
          <w:sz w:val="28"/>
          <w:szCs w:val="21"/>
        </w:rPr>
        <w:t>24</w:t>
      </w:r>
      <w:r>
        <w:rPr>
          <w:rFonts w:ascii="Times New Roman" w:hAnsi="Times New Roman"/>
          <w:sz w:val="28"/>
          <w:szCs w:val="21"/>
        </w:rPr>
        <w:t>学时，实验</w:t>
      </w:r>
      <w:r>
        <w:rPr>
          <w:rFonts w:ascii="Times New Roman" w:hAnsi="Times New Roman"/>
          <w:sz w:val="28"/>
          <w:szCs w:val="21"/>
        </w:rPr>
        <w:t>0</w:t>
      </w:r>
      <w:r>
        <w:rPr>
          <w:rFonts w:ascii="Times New Roman" w:hAnsi="Times New Roman"/>
          <w:sz w:val="28"/>
          <w:szCs w:val="21"/>
        </w:rPr>
        <w:t>学时，上机</w:t>
      </w:r>
      <w:r>
        <w:rPr>
          <w:rFonts w:ascii="Times New Roman" w:hAnsi="Times New Roman"/>
          <w:sz w:val="28"/>
          <w:szCs w:val="21"/>
        </w:rPr>
        <w:t>0</w:t>
      </w:r>
      <w:r>
        <w:rPr>
          <w:rFonts w:ascii="Times New Roman" w:hAnsi="Times New Roman"/>
          <w:sz w:val="28"/>
          <w:szCs w:val="21"/>
        </w:rPr>
        <w:t>学时，课外</w:t>
      </w:r>
      <w:r>
        <w:rPr>
          <w:rFonts w:ascii="Times New Roman" w:hAnsi="Times New Roman"/>
          <w:sz w:val="28"/>
          <w:szCs w:val="21"/>
        </w:rPr>
        <w:t>0</w:t>
      </w:r>
      <w:r>
        <w:rPr>
          <w:rFonts w:ascii="Times New Roman" w:hAnsi="Times New Roman"/>
          <w:sz w:val="28"/>
          <w:szCs w:val="21"/>
        </w:rPr>
        <w:t>学时）</w:t>
      </w:r>
    </w:p>
    <w:p w:rsidR="00BE5664" w:rsidRDefault="00BE5664" w:rsidP="00BE5664">
      <w:pPr>
        <w:spacing w:line="360" w:lineRule="auto"/>
        <w:ind w:firstLineChars="200" w:firstLine="562"/>
        <w:rPr>
          <w:rFonts w:ascii="Times New Roman" w:hAnsi="Times New Roman"/>
          <w:b/>
          <w:sz w:val="28"/>
          <w:szCs w:val="21"/>
        </w:rPr>
      </w:pPr>
      <w:r>
        <w:rPr>
          <w:rFonts w:ascii="Times New Roman" w:hAnsi="Times New Roman"/>
          <w:b/>
          <w:sz w:val="28"/>
          <w:szCs w:val="21"/>
        </w:rPr>
        <w:t>适用对象：</w:t>
      </w:r>
      <w:r>
        <w:rPr>
          <w:rFonts w:ascii="Times New Roman" w:hAnsi="Times New Roman"/>
          <w:sz w:val="28"/>
          <w:szCs w:val="21"/>
        </w:rPr>
        <w:t>土木工程专业</w:t>
      </w:r>
    </w:p>
    <w:p w:rsidR="00BE5664" w:rsidRDefault="00BE5664" w:rsidP="00BE5664">
      <w:pPr>
        <w:spacing w:line="360" w:lineRule="auto"/>
        <w:ind w:firstLineChars="200" w:firstLine="562"/>
        <w:rPr>
          <w:rFonts w:ascii="Times New Roman" w:hAnsi="Times New Roman"/>
          <w:sz w:val="28"/>
          <w:szCs w:val="21"/>
        </w:rPr>
      </w:pPr>
      <w:r>
        <w:rPr>
          <w:rFonts w:ascii="Times New Roman" w:hAnsi="Times New Roman"/>
          <w:b/>
          <w:sz w:val="28"/>
          <w:szCs w:val="21"/>
        </w:rPr>
        <w:t>先修课程：</w:t>
      </w:r>
      <w:r>
        <w:rPr>
          <w:rFonts w:ascii="Times New Roman" w:hAnsi="Times New Roman"/>
          <w:sz w:val="28"/>
          <w:szCs w:val="21"/>
        </w:rPr>
        <w:t>土木工程施工技术、土木工程施工组织</w:t>
      </w:r>
    </w:p>
    <w:p w:rsidR="00BE5664" w:rsidRDefault="00BE5664" w:rsidP="00BE5664">
      <w:pPr>
        <w:spacing w:line="360" w:lineRule="auto"/>
        <w:ind w:firstLineChars="200" w:firstLine="562"/>
        <w:rPr>
          <w:rFonts w:ascii="Times New Roman" w:hAnsi="Times New Roman"/>
          <w:sz w:val="28"/>
          <w:szCs w:val="21"/>
        </w:rPr>
      </w:pPr>
      <w:r>
        <w:rPr>
          <w:rFonts w:ascii="Times New Roman" w:hAnsi="Times New Roman"/>
          <w:b/>
          <w:sz w:val="28"/>
          <w:szCs w:val="21"/>
        </w:rPr>
        <w:t>开课院系：</w:t>
      </w:r>
      <w:r>
        <w:rPr>
          <w:rFonts w:ascii="Times New Roman" w:hAnsi="Times New Roman"/>
          <w:sz w:val="28"/>
          <w:szCs w:val="21"/>
        </w:rPr>
        <w:t>建筑工程学院</w:t>
      </w:r>
    </w:p>
    <w:p w:rsidR="00BE5664" w:rsidRDefault="00BE5664" w:rsidP="00BE5664">
      <w:pPr>
        <w:spacing w:line="360" w:lineRule="auto"/>
        <w:ind w:firstLineChars="200" w:firstLine="560"/>
        <w:rPr>
          <w:rFonts w:ascii="Times New Roman" w:hAnsi="Times New Roman"/>
          <w:sz w:val="28"/>
          <w:szCs w:val="21"/>
        </w:rPr>
      </w:pP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二、课程简介</w:t>
      </w:r>
    </w:p>
    <w:p w:rsidR="00BE5664" w:rsidRDefault="00BE5664" w:rsidP="00BE5664">
      <w:pPr>
        <w:spacing w:line="360" w:lineRule="auto"/>
        <w:ind w:firstLineChars="200" w:firstLine="560"/>
        <w:rPr>
          <w:rFonts w:ascii="Times New Roman" w:hAnsi="Times New Roman"/>
          <w:sz w:val="28"/>
          <w:szCs w:val="21"/>
        </w:rPr>
      </w:pPr>
      <w:r>
        <w:rPr>
          <w:rFonts w:ascii="Times New Roman" w:hAnsi="Times New Roman"/>
          <w:sz w:val="28"/>
          <w:szCs w:val="21"/>
        </w:rPr>
        <w:t>《现代施工技术与管理》是土木工程专业的专业发展选修课，属选修课程。现代施工技术与管理部分所包含的知识即是土木工程专业学生需要了解的专业知识，又是为后面的专业课程学习提供工程运用的基础知识。通过本课程的学习，使学生了解掌握各类新施工技术的内容、基本原理和适用范围，掌握现代土木工程新的施工工艺和技术以及新的管理模式，熟悉土木工程施工领域新近开发应用的新材料和</w:t>
      </w:r>
      <w:r>
        <w:rPr>
          <w:rFonts w:ascii="Times New Roman" w:hAnsi="Times New Roman"/>
          <w:sz w:val="28"/>
          <w:szCs w:val="21"/>
        </w:rPr>
        <w:lastRenderedPageBreak/>
        <w:t>新机具。</w:t>
      </w:r>
    </w:p>
    <w:p w:rsidR="00BE5664" w:rsidRDefault="00BE5664" w:rsidP="00BE5664">
      <w:pPr>
        <w:spacing w:line="360" w:lineRule="auto"/>
        <w:ind w:firstLineChars="200" w:firstLine="560"/>
        <w:rPr>
          <w:rFonts w:ascii="Times New Roman" w:hAnsi="Times New Roman"/>
          <w:sz w:val="28"/>
          <w:szCs w:val="21"/>
        </w:rPr>
      </w:pP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三、课程任务、目的与要求</w:t>
      </w:r>
    </w:p>
    <w:p w:rsidR="00BE5664" w:rsidRDefault="00BE5664" w:rsidP="00BE5664">
      <w:pPr>
        <w:spacing w:line="360" w:lineRule="auto"/>
        <w:ind w:firstLineChars="200" w:firstLine="560"/>
        <w:rPr>
          <w:rFonts w:ascii="Times New Roman" w:hAnsi="Times New Roman"/>
          <w:sz w:val="28"/>
          <w:szCs w:val="21"/>
        </w:rPr>
      </w:pPr>
      <w:r>
        <w:rPr>
          <w:rFonts w:ascii="Times New Roman" w:hAnsi="Times New Roman"/>
          <w:sz w:val="28"/>
          <w:szCs w:val="21"/>
        </w:rPr>
        <w:t>1.</w:t>
      </w:r>
      <w:r>
        <w:rPr>
          <w:rFonts w:ascii="Times New Roman" w:hAnsi="Times New Roman"/>
          <w:sz w:val="28"/>
          <w:szCs w:val="21"/>
        </w:rPr>
        <w:t>课程任务与目的</w:t>
      </w:r>
    </w:p>
    <w:p w:rsidR="00BE5664" w:rsidRDefault="00BE5664" w:rsidP="00BE5664">
      <w:pPr>
        <w:spacing w:line="360" w:lineRule="auto"/>
        <w:ind w:firstLineChars="200" w:firstLine="560"/>
        <w:rPr>
          <w:rFonts w:ascii="Times New Roman" w:hAnsi="Times New Roman"/>
          <w:sz w:val="28"/>
          <w:szCs w:val="21"/>
        </w:rPr>
      </w:pPr>
      <w:r>
        <w:rPr>
          <w:rFonts w:ascii="Times New Roman" w:hAnsi="Times New Roman"/>
          <w:sz w:val="28"/>
          <w:szCs w:val="21"/>
        </w:rPr>
        <w:t>以新型施工技术为重点，同时介绍了新型材料、设计、节能环保等相关内容。一方面讲解了深基坑支护新技术、地基处理技术以及施工过程监测和控制技术等施工技术，另一方面讲解了钢结构新技术、新型模板脚手架和新型混凝土以及防水、节能环保应用技术等。通过问题提出、方法思考、内容归纳、案例应用等教学过程，综合探讨施工新技术各要素的配置和优化管理，实现对教学目标和毕业要求的支撑。使学生具备解决现代施工的技术管理问题的基本知识以及编制土木工程施工方案的能力，培养学生综合开发和运用现代工程施工技术的能力，能用所学知识进行现代施工的技术管理。</w:t>
      </w:r>
    </w:p>
    <w:p w:rsidR="00BE5664" w:rsidRDefault="00BE5664" w:rsidP="00BE5664">
      <w:pPr>
        <w:spacing w:line="360" w:lineRule="auto"/>
        <w:ind w:firstLineChars="200" w:firstLine="560"/>
        <w:rPr>
          <w:rFonts w:ascii="Times New Roman" w:hAnsi="Times New Roman"/>
          <w:sz w:val="28"/>
          <w:szCs w:val="21"/>
        </w:rPr>
      </w:pPr>
      <w:r>
        <w:rPr>
          <w:rFonts w:ascii="Times New Roman" w:hAnsi="Times New Roman"/>
          <w:sz w:val="28"/>
          <w:szCs w:val="21"/>
        </w:rPr>
        <w:t>2.</w:t>
      </w:r>
      <w:r>
        <w:rPr>
          <w:rFonts w:ascii="Times New Roman" w:hAnsi="Times New Roman"/>
          <w:sz w:val="28"/>
          <w:szCs w:val="21"/>
        </w:rPr>
        <w:t>课程基本要求</w:t>
      </w:r>
    </w:p>
    <w:p w:rsidR="00BE5664" w:rsidRDefault="00BE5664" w:rsidP="00BE5664">
      <w:pPr>
        <w:spacing w:line="360" w:lineRule="auto"/>
        <w:ind w:firstLineChars="200" w:firstLine="560"/>
        <w:rPr>
          <w:rFonts w:ascii="Times New Roman" w:hAnsi="Times New Roman"/>
          <w:sz w:val="28"/>
          <w:szCs w:val="21"/>
        </w:rPr>
      </w:pPr>
      <w:r>
        <w:rPr>
          <w:rFonts w:ascii="Times New Roman" w:hAnsi="Times New Roman"/>
          <w:sz w:val="28"/>
          <w:szCs w:val="21"/>
        </w:rPr>
        <w:t>（</w:t>
      </w:r>
      <w:r>
        <w:rPr>
          <w:rFonts w:ascii="Times New Roman" w:hAnsi="Times New Roman"/>
          <w:sz w:val="28"/>
          <w:szCs w:val="21"/>
        </w:rPr>
        <w:t>1</w:t>
      </w:r>
      <w:r>
        <w:rPr>
          <w:rFonts w:ascii="Times New Roman" w:hAnsi="Times New Roman"/>
          <w:sz w:val="28"/>
          <w:szCs w:val="21"/>
        </w:rPr>
        <w:t>）课程目标</w:t>
      </w:r>
    </w:p>
    <w:p w:rsidR="00BE5664" w:rsidRDefault="00BE5664" w:rsidP="00BE5664">
      <w:pPr>
        <w:spacing w:line="360" w:lineRule="auto"/>
        <w:ind w:firstLineChars="200" w:firstLine="560"/>
        <w:rPr>
          <w:rFonts w:ascii="Times New Roman" w:hAnsi="Times New Roman"/>
          <w:sz w:val="28"/>
          <w:szCs w:val="21"/>
        </w:rPr>
      </w:pPr>
      <w:r>
        <w:rPr>
          <w:rFonts w:ascii="Times New Roman" w:hAnsi="Times New Roman"/>
          <w:sz w:val="28"/>
          <w:szCs w:val="21"/>
        </w:rPr>
        <w:t>通过本课程的学习，学生应具备以下几方面的能力：</w:t>
      </w:r>
    </w:p>
    <w:p w:rsidR="00BE5664" w:rsidRDefault="00BE5664" w:rsidP="00BE5664">
      <w:pPr>
        <w:spacing w:line="360" w:lineRule="auto"/>
        <w:ind w:firstLine="640"/>
        <w:rPr>
          <w:rFonts w:ascii="Times New Roman" w:hAnsi="Times New Roman"/>
          <w:sz w:val="28"/>
          <w:szCs w:val="21"/>
        </w:rPr>
      </w:pPr>
      <w:r>
        <w:rPr>
          <w:rFonts w:ascii="宋体" w:eastAsia="宋体" w:hAnsi="宋体" w:cs="宋体" w:hint="eastAsia"/>
          <w:sz w:val="28"/>
          <w:szCs w:val="21"/>
        </w:rPr>
        <w:t>①</w:t>
      </w:r>
      <w:r>
        <w:rPr>
          <w:rFonts w:ascii="Times New Roman" w:hAnsi="Times New Roman"/>
          <w:sz w:val="28"/>
          <w:szCs w:val="21"/>
        </w:rPr>
        <w:t>掌握深基坑支护及边坡防护新技术的基本内容及特点、了解国内外的发展现状及本课程的主要内容要求及学习方法；</w:t>
      </w:r>
    </w:p>
    <w:p w:rsidR="00BE5664" w:rsidRDefault="00BE5664" w:rsidP="00BE5664">
      <w:pPr>
        <w:spacing w:line="360" w:lineRule="auto"/>
        <w:ind w:firstLineChars="200" w:firstLine="560"/>
        <w:rPr>
          <w:rFonts w:ascii="Times New Roman" w:hAnsi="Times New Roman"/>
          <w:sz w:val="28"/>
          <w:szCs w:val="21"/>
        </w:rPr>
      </w:pPr>
      <w:r>
        <w:rPr>
          <w:rFonts w:ascii="宋体" w:eastAsia="宋体" w:hAnsi="宋体" w:cs="宋体" w:hint="eastAsia"/>
          <w:sz w:val="28"/>
          <w:szCs w:val="21"/>
        </w:rPr>
        <w:t>②</w:t>
      </w:r>
      <w:r>
        <w:rPr>
          <w:rFonts w:ascii="Times New Roman" w:hAnsi="Times New Roman"/>
          <w:sz w:val="28"/>
          <w:szCs w:val="21"/>
        </w:rPr>
        <w:t>了解各种地基处理新技术及桩基新技术的适用范围和技术指标，了解现代施工技术的改革与发展；</w:t>
      </w:r>
    </w:p>
    <w:p w:rsidR="00BE5664" w:rsidRDefault="00BE5664" w:rsidP="00BE5664">
      <w:pPr>
        <w:spacing w:line="360" w:lineRule="auto"/>
        <w:ind w:firstLineChars="200" w:firstLine="560"/>
        <w:rPr>
          <w:rFonts w:ascii="Times New Roman" w:hAnsi="Times New Roman"/>
          <w:sz w:val="28"/>
          <w:szCs w:val="21"/>
        </w:rPr>
      </w:pPr>
      <w:r>
        <w:rPr>
          <w:rFonts w:ascii="宋体" w:eastAsia="宋体" w:hAnsi="宋体" w:cs="宋体" w:hint="eastAsia"/>
          <w:sz w:val="28"/>
          <w:szCs w:val="21"/>
        </w:rPr>
        <w:t>③</w:t>
      </w:r>
      <w:r>
        <w:rPr>
          <w:rFonts w:ascii="Times New Roman" w:hAnsi="Times New Roman"/>
          <w:sz w:val="28"/>
          <w:szCs w:val="21"/>
        </w:rPr>
        <w:t>了解各种新技术的技术特点和应用范围，分析土木工程专业复杂工程问题以及因地制宜、灵活运用各类新施工技术的专业基础能力；</w:t>
      </w:r>
    </w:p>
    <w:p w:rsidR="00BE5664" w:rsidRDefault="00BE5664" w:rsidP="00BE5664">
      <w:pPr>
        <w:spacing w:line="360" w:lineRule="auto"/>
        <w:ind w:firstLineChars="200" w:firstLine="560"/>
        <w:rPr>
          <w:rFonts w:ascii="Times New Roman" w:hAnsi="Times New Roman"/>
          <w:sz w:val="28"/>
          <w:szCs w:val="21"/>
        </w:rPr>
      </w:pPr>
      <w:r>
        <w:rPr>
          <w:rFonts w:ascii="宋体" w:eastAsia="宋体" w:hAnsi="宋体" w:cs="宋体" w:hint="eastAsia"/>
          <w:sz w:val="28"/>
          <w:szCs w:val="21"/>
        </w:rPr>
        <w:lastRenderedPageBreak/>
        <w:t>④</w:t>
      </w:r>
      <w:r>
        <w:rPr>
          <w:rFonts w:ascii="Times New Roman" w:hAnsi="Times New Roman"/>
          <w:sz w:val="28"/>
          <w:szCs w:val="21"/>
        </w:rPr>
        <w:t>了解各种新型混凝土的性能特点系统，分析和比较不同混凝土在成分、性能和设计上的相同点与不同点。在复杂多变的因素中找到内在联系，抓住事物现象的本质，掌握科学分析问题方法；</w:t>
      </w:r>
    </w:p>
    <w:p w:rsidR="00BE5664" w:rsidRDefault="00BE5664" w:rsidP="00BE5664">
      <w:pPr>
        <w:spacing w:line="360" w:lineRule="auto"/>
        <w:ind w:firstLineChars="200" w:firstLine="560"/>
        <w:rPr>
          <w:rFonts w:ascii="Times New Roman" w:hAnsi="Times New Roman"/>
          <w:sz w:val="28"/>
          <w:szCs w:val="21"/>
        </w:rPr>
      </w:pPr>
      <w:r>
        <w:rPr>
          <w:rFonts w:ascii="宋体" w:eastAsia="宋体" w:hAnsi="宋体" w:cs="宋体" w:hint="eastAsia"/>
          <w:sz w:val="28"/>
          <w:szCs w:val="21"/>
        </w:rPr>
        <w:t>⑤</w:t>
      </w:r>
      <w:r>
        <w:rPr>
          <w:rFonts w:ascii="Times New Roman" w:hAnsi="Times New Roman"/>
          <w:sz w:val="28"/>
          <w:szCs w:val="21"/>
        </w:rPr>
        <w:t>熟悉钢结构及组合结构施工新技术的相关知识，理解钢结构及组合结构设计与施工的职业精神和职业规范，培养学生的大国工匠精神；</w:t>
      </w:r>
    </w:p>
    <w:p w:rsidR="00BE5664" w:rsidRDefault="00BE5664" w:rsidP="00BE5664">
      <w:pPr>
        <w:spacing w:line="360" w:lineRule="auto"/>
        <w:ind w:firstLineChars="200" w:firstLine="560"/>
        <w:rPr>
          <w:rFonts w:ascii="Times New Roman" w:hAnsi="Times New Roman"/>
          <w:sz w:val="28"/>
          <w:szCs w:val="21"/>
        </w:rPr>
      </w:pPr>
      <w:r>
        <w:rPr>
          <w:rFonts w:ascii="宋体" w:eastAsia="宋体" w:hAnsi="宋体" w:cs="宋体" w:hint="eastAsia"/>
          <w:sz w:val="28"/>
          <w:szCs w:val="21"/>
        </w:rPr>
        <w:t>⑥</w:t>
      </w:r>
      <w:r>
        <w:rPr>
          <w:rFonts w:ascii="Times New Roman" w:hAnsi="Times New Roman"/>
          <w:sz w:val="28"/>
          <w:szCs w:val="21"/>
        </w:rPr>
        <w:t>掌握建筑防水应用技术的基本原理和施工技术措施，理解并自觉实践不同工程中选取不同建筑防水材料的职业精神和职业规范；</w:t>
      </w:r>
    </w:p>
    <w:p w:rsidR="00BE5664" w:rsidRDefault="00BE5664" w:rsidP="00BE5664">
      <w:pPr>
        <w:spacing w:line="360" w:lineRule="auto"/>
        <w:ind w:firstLineChars="200" w:firstLine="560"/>
        <w:rPr>
          <w:rFonts w:ascii="Times New Roman" w:hAnsi="Times New Roman"/>
          <w:sz w:val="28"/>
          <w:szCs w:val="21"/>
        </w:rPr>
      </w:pPr>
      <w:r>
        <w:rPr>
          <w:rFonts w:ascii="宋体" w:eastAsia="宋体" w:hAnsi="宋体" w:cs="宋体" w:hint="eastAsia"/>
          <w:sz w:val="28"/>
          <w:szCs w:val="21"/>
        </w:rPr>
        <w:t>⑦</w:t>
      </w:r>
      <w:r>
        <w:rPr>
          <w:rFonts w:ascii="Times New Roman" w:hAnsi="Times New Roman"/>
          <w:sz w:val="28"/>
          <w:szCs w:val="21"/>
        </w:rPr>
        <w:t>掌握各类新型墙体材料和外墙保温体系，增强学生在毕业工作后确保屋面工程设施安全的底线意识，增强土木工程师职业责任感；</w:t>
      </w:r>
    </w:p>
    <w:p w:rsidR="00BE5664" w:rsidRDefault="00BE5664" w:rsidP="00BE5664">
      <w:pPr>
        <w:spacing w:line="360" w:lineRule="auto"/>
        <w:ind w:firstLineChars="200" w:firstLine="560"/>
        <w:rPr>
          <w:rFonts w:ascii="Times New Roman" w:hAnsi="Times New Roman"/>
          <w:sz w:val="28"/>
          <w:szCs w:val="21"/>
        </w:rPr>
      </w:pPr>
      <w:r>
        <w:rPr>
          <w:rFonts w:ascii="宋体" w:eastAsia="宋体" w:hAnsi="宋体" w:cs="宋体" w:hint="eastAsia"/>
          <w:sz w:val="28"/>
          <w:szCs w:val="21"/>
        </w:rPr>
        <w:t>⑧</w:t>
      </w:r>
      <w:r>
        <w:rPr>
          <w:rFonts w:ascii="Times New Roman" w:hAnsi="Times New Roman"/>
          <w:sz w:val="28"/>
          <w:szCs w:val="21"/>
        </w:rPr>
        <w:t>熟悉各类施工的监测和控制，探讨施工新技术各要素的配置和优化管理，培养学生综合开发和运用现代工程施工技术的能力。</w:t>
      </w:r>
    </w:p>
    <w:p w:rsidR="00BE5664" w:rsidRDefault="00BE5664" w:rsidP="00BE5664">
      <w:pPr>
        <w:spacing w:line="360" w:lineRule="auto"/>
        <w:rPr>
          <w:rFonts w:ascii="Times New Roman" w:hAnsi="Times New Roman"/>
          <w:b/>
          <w:sz w:val="20"/>
          <w:szCs w:val="20"/>
        </w:rPr>
      </w:pPr>
    </w:p>
    <w:p w:rsidR="00BE5664" w:rsidRDefault="00BE5664" w:rsidP="00BE5664">
      <w:pPr>
        <w:spacing w:line="360" w:lineRule="auto"/>
        <w:ind w:firstLineChars="302" w:firstLine="637"/>
        <w:jc w:val="center"/>
        <w:rPr>
          <w:rFonts w:ascii="Times New Roman" w:hAnsi="Times New Roman"/>
          <w:b/>
          <w:sz w:val="21"/>
          <w:szCs w:val="21"/>
        </w:rPr>
      </w:pPr>
      <w:r>
        <w:rPr>
          <w:rFonts w:ascii="Times New Roman" w:hAnsi="Times New Roman"/>
          <w:b/>
          <w:sz w:val="21"/>
          <w:szCs w:val="21"/>
        </w:rPr>
        <w:t>表</w:t>
      </w:r>
      <w:r>
        <w:rPr>
          <w:rFonts w:ascii="Times New Roman" w:hAnsi="Times New Roman"/>
          <w:b/>
          <w:sz w:val="21"/>
          <w:szCs w:val="21"/>
        </w:rPr>
        <w:t xml:space="preserve">1  </w:t>
      </w:r>
      <w:r>
        <w:rPr>
          <w:rFonts w:ascii="Times New Roman" w:hAnsi="Times New Roman"/>
          <w:bCs/>
          <w:sz w:val="21"/>
          <w:szCs w:val="21"/>
        </w:rPr>
        <w:t>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5854"/>
        <w:gridCol w:w="1075"/>
      </w:tblGrid>
      <w:tr w:rsidR="00BE5664" w:rsidTr="00BE5664">
        <w:trPr>
          <w:trHeight w:val="560"/>
          <w:jc w:val="center"/>
        </w:trPr>
        <w:tc>
          <w:tcPr>
            <w:tcW w:w="1470"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Times New Roman" w:hAnsi="Times New Roman"/>
                <w:bCs/>
                <w:sz w:val="21"/>
                <w:szCs w:val="21"/>
              </w:rPr>
            </w:pPr>
            <w:r>
              <w:rPr>
                <w:rFonts w:ascii="Times New Roman" w:hAnsi="Times New Roman"/>
                <w:bCs/>
                <w:sz w:val="21"/>
                <w:szCs w:val="21"/>
              </w:rPr>
              <w:t>毕业要求标准</w:t>
            </w:r>
          </w:p>
        </w:tc>
        <w:tc>
          <w:tcPr>
            <w:tcW w:w="6379"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ind w:firstLineChars="302" w:firstLine="634"/>
              <w:jc w:val="center"/>
              <w:rPr>
                <w:rFonts w:ascii="Times New Roman" w:hAnsi="Times New Roman"/>
                <w:bCs/>
                <w:sz w:val="21"/>
                <w:szCs w:val="21"/>
              </w:rPr>
            </w:pPr>
            <w:r>
              <w:rPr>
                <w:rFonts w:ascii="Times New Roman" w:hAnsi="Times New Roman"/>
                <w:bCs/>
                <w:sz w:val="21"/>
                <w:szCs w:val="21"/>
              </w:rPr>
              <w:t>指标点</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Times New Roman" w:hAnsi="Times New Roman"/>
                <w:bCs/>
                <w:sz w:val="21"/>
                <w:szCs w:val="21"/>
              </w:rPr>
            </w:pPr>
            <w:r>
              <w:rPr>
                <w:rFonts w:ascii="Times New Roman" w:hAnsi="Times New Roman"/>
                <w:bCs/>
                <w:sz w:val="21"/>
                <w:szCs w:val="21"/>
              </w:rPr>
              <w:t>课程目标</w:t>
            </w:r>
          </w:p>
        </w:tc>
      </w:tr>
      <w:tr w:rsidR="00BE5664" w:rsidTr="00BE5664">
        <w:trPr>
          <w:trHeight w:val="560"/>
          <w:jc w:val="center"/>
        </w:trPr>
        <w:tc>
          <w:tcPr>
            <w:tcW w:w="1470" w:type="dxa"/>
            <w:tcBorders>
              <w:top w:val="single" w:sz="4" w:space="0" w:color="auto"/>
              <w:left w:val="single" w:sz="4" w:space="0" w:color="auto"/>
              <w:right w:val="single" w:sz="4" w:space="0" w:color="auto"/>
            </w:tcBorders>
            <w:vAlign w:val="center"/>
          </w:tcPr>
          <w:p w:rsidR="00BE5664" w:rsidRDefault="00BE5664" w:rsidP="00BE5664">
            <w:pPr>
              <w:jc w:val="center"/>
              <w:rPr>
                <w:rFonts w:ascii="Times New Roman" w:hAnsi="Times New Roman"/>
                <w:bCs/>
                <w:sz w:val="21"/>
                <w:szCs w:val="21"/>
              </w:rPr>
            </w:pPr>
            <w:r>
              <w:rPr>
                <w:rFonts w:ascii="Times New Roman" w:hAnsi="Times New Roman"/>
                <w:bCs/>
                <w:sz w:val="21"/>
                <w:szCs w:val="21"/>
              </w:rPr>
              <w:t>1</w:t>
            </w:r>
            <w:r>
              <w:rPr>
                <w:rFonts w:ascii="Times New Roman" w:hAnsi="Times New Roman"/>
                <w:bCs/>
                <w:sz w:val="21"/>
                <w:szCs w:val="21"/>
              </w:rPr>
              <w:t>工程知识</w:t>
            </w:r>
          </w:p>
        </w:tc>
        <w:tc>
          <w:tcPr>
            <w:tcW w:w="6379" w:type="dxa"/>
            <w:tcBorders>
              <w:top w:val="single" w:sz="4" w:space="0" w:color="auto"/>
              <w:left w:val="single" w:sz="4" w:space="0" w:color="auto"/>
              <w:right w:val="single" w:sz="4" w:space="0" w:color="auto"/>
            </w:tcBorders>
            <w:vAlign w:val="center"/>
          </w:tcPr>
          <w:p w:rsidR="00BE5664" w:rsidRDefault="00BE5664" w:rsidP="00BE5664">
            <w:pPr>
              <w:rPr>
                <w:rFonts w:ascii="Times New Roman" w:hAnsi="Times New Roman"/>
                <w:bCs/>
                <w:sz w:val="21"/>
                <w:szCs w:val="21"/>
              </w:rPr>
            </w:pPr>
            <w:r>
              <w:rPr>
                <w:rFonts w:ascii="Times New Roman" w:hAnsi="Times New Roman"/>
                <w:bCs/>
                <w:sz w:val="21"/>
                <w:szCs w:val="21"/>
              </w:rPr>
              <w:t xml:space="preserve">1.1 </w:t>
            </w:r>
            <w:r>
              <w:rPr>
                <w:rFonts w:ascii="Times New Roman" w:hAnsi="Times New Roman"/>
                <w:bCs/>
                <w:sz w:val="21"/>
                <w:szCs w:val="21"/>
              </w:rPr>
              <w:t>掌握力学原理和方法，具备面向土木工程专业复杂工程问题的抽象分析和建模求解能力；</w:t>
            </w:r>
          </w:p>
          <w:p w:rsidR="00BE5664" w:rsidRDefault="00BE5664" w:rsidP="00BE5664">
            <w:pPr>
              <w:rPr>
                <w:rFonts w:ascii="Times New Roman" w:hAnsi="Times New Roman"/>
                <w:bCs/>
                <w:sz w:val="21"/>
                <w:szCs w:val="21"/>
              </w:rPr>
            </w:pPr>
            <w:r>
              <w:rPr>
                <w:rFonts w:ascii="Times New Roman" w:hAnsi="Times New Roman"/>
                <w:bCs/>
                <w:sz w:val="21"/>
                <w:szCs w:val="21"/>
              </w:rPr>
              <w:t xml:space="preserve">1.2 </w:t>
            </w:r>
            <w:r>
              <w:rPr>
                <w:rFonts w:ascii="Times New Roman" w:hAnsi="Times New Roman"/>
                <w:bCs/>
                <w:sz w:val="21"/>
                <w:szCs w:val="21"/>
              </w:rPr>
              <w:t>掌握相关工程基础知识，具备应用相关知识推演、分析土木工程专业复杂工程问题的专业基础能力；</w:t>
            </w:r>
          </w:p>
        </w:tc>
        <w:tc>
          <w:tcPr>
            <w:tcW w:w="1134" w:type="dxa"/>
            <w:tcBorders>
              <w:top w:val="single" w:sz="4" w:space="0" w:color="auto"/>
              <w:left w:val="single" w:sz="4" w:space="0" w:color="auto"/>
              <w:right w:val="single" w:sz="4" w:space="0" w:color="auto"/>
            </w:tcBorders>
            <w:vAlign w:val="center"/>
          </w:tcPr>
          <w:p w:rsidR="00BE5664" w:rsidRDefault="00BE5664" w:rsidP="00BE5664">
            <w:pPr>
              <w:jc w:val="center"/>
              <w:rPr>
                <w:rFonts w:ascii="Times New Roman" w:hAnsi="Times New Roman"/>
                <w:bCs/>
                <w:sz w:val="21"/>
                <w:szCs w:val="21"/>
              </w:rPr>
            </w:pPr>
            <w:r>
              <w:rPr>
                <w:rFonts w:ascii="Times New Roman" w:hAnsi="Times New Roman"/>
                <w:bCs/>
                <w:sz w:val="21"/>
                <w:szCs w:val="21"/>
              </w:rPr>
              <w:t>1</w:t>
            </w:r>
            <w:r>
              <w:rPr>
                <w:rFonts w:ascii="Times New Roman" w:hAnsi="Times New Roman"/>
                <w:bCs/>
                <w:sz w:val="21"/>
                <w:szCs w:val="21"/>
              </w:rPr>
              <w:t>、</w:t>
            </w:r>
            <w:r>
              <w:rPr>
                <w:rFonts w:ascii="Times New Roman" w:hAnsi="Times New Roman"/>
                <w:bCs/>
                <w:sz w:val="21"/>
                <w:szCs w:val="21"/>
              </w:rPr>
              <w:t>6</w:t>
            </w:r>
            <w:r>
              <w:rPr>
                <w:rFonts w:ascii="Times New Roman" w:hAnsi="Times New Roman"/>
                <w:bCs/>
                <w:sz w:val="21"/>
                <w:szCs w:val="21"/>
              </w:rPr>
              <w:t>、</w:t>
            </w:r>
            <w:r>
              <w:rPr>
                <w:rFonts w:ascii="Times New Roman" w:hAnsi="Times New Roman"/>
                <w:bCs/>
                <w:sz w:val="21"/>
                <w:szCs w:val="21"/>
              </w:rPr>
              <w:t>7</w:t>
            </w:r>
          </w:p>
        </w:tc>
      </w:tr>
      <w:tr w:rsidR="00BE5664" w:rsidTr="00BE5664">
        <w:trPr>
          <w:trHeight w:val="560"/>
          <w:jc w:val="center"/>
        </w:trPr>
        <w:tc>
          <w:tcPr>
            <w:tcW w:w="1470" w:type="dxa"/>
            <w:tcBorders>
              <w:left w:val="single" w:sz="4" w:space="0" w:color="auto"/>
              <w:bottom w:val="single" w:sz="4" w:space="0" w:color="auto"/>
              <w:right w:val="single" w:sz="4" w:space="0" w:color="auto"/>
            </w:tcBorders>
            <w:vAlign w:val="center"/>
          </w:tcPr>
          <w:p w:rsidR="00BE5664" w:rsidRDefault="00BE5664" w:rsidP="00BE5664">
            <w:pPr>
              <w:jc w:val="center"/>
              <w:rPr>
                <w:rFonts w:ascii="Times New Roman" w:hAnsi="Times New Roman"/>
                <w:bCs/>
                <w:sz w:val="21"/>
                <w:szCs w:val="21"/>
              </w:rPr>
            </w:pPr>
            <w:r>
              <w:rPr>
                <w:rFonts w:ascii="Times New Roman" w:hAnsi="Times New Roman"/>
                <w:bCs/>
                <w:sz w:val="21"/>
                <w:szCs w:val="21"/>
              </w:rPr>
              <w:t>2</w:t>
            </w:r>
            <w:r>
              <w:rPr>
                <w:rFonts w:ascii="Times New Roman" w:hAnsi="Times New Roman"/>
                <w:bCs/>
                <w:sz w:val="21"/>
                <w:szCs w:val="21"/>
              </w:rPr>
              <w:t>问题分析</w:t>
            </w:r>
          </w:p>
        </w:tc>
        <w:tc>
          <w:tcPr>
            <w:tcW w:w="6379"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rPr>
                <w:rFonts w:ascii="Times New Roman" w:hAnsi="Times New Roman"/>
                <w:bCs/>
                <w:sz w:val="21"/>
                <w:szCs w:val="21"/>
              </w:rPr>
            </w:pPr>
            <w:r>
              <w:rPr>
                <w:rFonts w:ascii="Times New Roman" w:hAnsi="Times New Roman"/>
                <w:bCs/>
                <w:sz w:val="21"/>
                <w:szCs w:val="21"/>
              </w:rPr>
              <w:t xml:space="preserve">2.1 </w:t>
            </w:r>
            <w:r>
              <w:rPr>
                <w:rFonts w:ascii="Times New Roman" w:hAnsi="Times New Roman"/>
                <w:bCs/>
                <w:sz w:val="21"/>
                <w:szCs w:val="21"/>
              </w:rPr>
              <w:t>能够应用力学基础知识和方法，正确识别和表达土木工程专业复杂工程问题，并能选择合适的方法进行分析和求解；</w:t>
            </w:r>
          </w:p>
          <w:p w:rsidR="00BE5664" w:rsidRDefault="00BE5664" w:rsidP="00BE5664">
            <w:pPr>
              <w:rPr>
                <w:rFonts w:ascii="Times New Roman" w:hAnsi="Times New Roman"/>
                <w:bCs/>
                <w:sz w:val="21"/>
                <w:szCs w:val="21"/>
              </w:rPr>
            </w:pPr>
            <w:r>
              <w:rPr>
                <w:rFonts w:ascii="Times New Roman" w:hAnsi="Times New Roman"/>
                <w:bCs/>
                <w:sz w:val="21"/>
                <w:szCs w:val="21"/>
              </w:rPr>
              <w:t xml:space="preserve">2.2 </w:t>
            </w:r>
            <w:r>
              <w:rPr>
                <w:rFonts w:ascii="Times New Roman" w:hAnsi="Times New Roman"/>
                <w:bCs/>
                <w:sz w:val="21"/>
                <w:szCs w:val="21"/>
              </w:rPr>
              <w:t>能够正确、合理运用专业知识，识别、判断和表达土木工程专业复杂工程问题的本质特征、关键环节，并能提供多种解决方案；</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Times New Roman" w:hAnsi="Times New Roman"/>
                <w:bCs/>
                <w:sz w:val="21"/>
                <w:szCs w:val="21"/>
              </w:rPr>
            </w:pPr>
            <w:r>
              <w:rPr>
                <w:rFonts w:ascii="Times New Roman" w:hAnsi="Times New Roman"/>
                <w:bCs/>
                <w:sz w:val="21"/>
                <w:szCs w:val="21"/>
              </w:rPr>
              <w:t>3</w:t>
            </w:r>
            <w:r>
              <w:rPr>
                <w:rFonts w:ascii="Times New Roman" w:hAnsi="Times New Roman"/>
                <w:bCs/>
                <w:sz w:val="21"/>
                <w:szCs w:val="21"/>
              </w:rPr>
              <w:t>、</w:t>
            </w:r>
            <w:r>
              <w:rPr>
                <w:rFonts w:ascii="Times New Roman" w:hAnsi="Times New Roman"/>
                <w:bCs/>
                <w:sz w:val="21"/>
                <w:szCs w:val="21"/>
              </w:rPr>
              <w:t>4</w:t>
            </w:r>
            <w:r>
              <w:rPr>
                <w:rFonts w:ascii="Times New Roman" w:hAnsi="Times New Roman"/>
                <w:bCs/>
                <w:sz w:val="21"/>
                <w:szCs w:val="21"/>
              </w:rPr>
              <w:t>、</w:t>
            </w:r>
            <w:r>
              <w:rPr>
                <w:rFonts w:ascii="Times New Roman" w:hAnsi="Times New Roman"/>
                <w:bCs/>
                <w:sz w:val="21"/>
                <w:szCs w:val="21"/>
              </w:rPr>
              <w:t>6</w:t>
            </w:r>
            <w:r>
              <w:rPr>
                <w:rFonts w:ascii="Times New Roman" w:hAnsi="Times New Roman"/>
                <w:bCs/>
                <w:sz w:val="21"/>
                <w:szCs w:val="21"/>
              </w:rPr>
              <w:t>、</w:t>
            </w:r>
            <w:r>
              <w:rPr>
                <w:rFonts w:ascii="Times New Roman" w:hAnsi="Times New Roman"/>
                <w:bCs/>
                <w:sz w:val="21"/>
                <w:szCs w:val="21"/>
              </w:rPr>
              <w:t>8</w:t>
            </w:r>
          </w:p>
        </w:tc>
      </w:tr>
      <w:tr w:rsidR="00BE5664" w:rsidTr="00BE5664">
        <w:trPr>
          <w:trHeight w:val="560"/>
          <w:jc w:val="center"/>
        </w:trPr>
        <w:tc>
          <w:tcPr>
            <w:tcW w:w="1470" w:type="dxa"/>
            <w:tcBorders>
              <w:left w:val="single" w:sz="4" w:space="0" w:color="auto"/>
              <w:right w:val="single" w:sz="4" w:space="0" w:color="auto"/>
            </w:tcBorders>
            <w:vAlign w:val="center"/>
          </w:tcPr>
          <w:p w:rsidR="00BE5664" w:rsidRDefault="00BE5664" w:rsidP="00BE5664">
            <w:pPr>
              <w:jc w:val="center"/>
              <w:rPr>
                <w:rFonts w:ascii="Times New Roman" w:hAnsi="Times New Roman"/>
                <w:bCs/>
                <w:sz w:val="21"/>
                <w:szCs w:val="21"/>
              </w:rPr>
            </w:pPr>
            <w:r>
              <w:rPr>
                <w:rFonts w:ascii="Times New Roman" w:hAnsi="Times New Roman"/>
                <w:bCs/>
                <w:sz w:val="21"/>
                <w:szCs w:val="21"/>
              </w:rPr>
              <w:t>3.</w:t>
            </w:r>
            <w:r>
              <w:rPr>
                <w:rFonts w:ascii="Times New Roman" w:hAnsi="Times New Roman"/>
                <w:bCs/>
                <w:sz w:val="21"/>
                <w:szCs w:val="21"/>
              </w:rPr>
              <w:t>设计能力</w:t>
            </w:r>
          </w:p>
        </w:tc>
        <w:tc>
          <w:tcPr>
            <w:tcW w:w="6379" w:type="dxa"/>
            <w:vAlign w:val="center"/>
          </w:tcPr>
          <w:p w:rsidR="00BE5664" w:rsidRDefault="00BE5664" w:rsidP="00BE5664">
            <w:pPr>
              <w:rPr>
                <w:rFonts w:ascii="Times New Roman" w:hAnsi="Times New Roman"/>
                <w:bCs/>
                <w:sz w:val="21"/>
                <w:szCs w:val="21"/>
              </w:rPr>
            </w:pPr>
            <w:r>
              <w:rPr>
                <w:rFonts w:ascii="Times New Roman" w:hAnsi="Times New Roman"/>
                <w:bCs/>
                <w:sz w:val="21"/>
                <w:szCs w:val="21"/>
              </w:rPr>
              <w:t xml:space="preserve">3.1 </w:t>
            </w:r>
            <w:r>
              <w:rPr>
                <w:rFonts w:ascii="Times New Roman" w:hAnsi="Times New Roman"/>
                <w:bCs/>
                <w:sz w:val="21"/>
                <w:szCs w:val="21"/>
              </w:rPr>
              <w:t>能够针对特定需求，确定工程基本单元的设计目标或问题解决方案，并完成设计</w:t>
            </w:r>
            <w:r>
              <w:rPr>
                <w:rFonts w:ascii="Times New Roman" w:hAnsi="Times New Roman"/>
                <w:bCs/>
                <w:sz w:val="21"/>
                <w:szCs w:val="21"/>
              </w:rPr>
              <w:t>/</w:t>
            </w:r>
            <w:r>
              <w:rPr>
                <w:rFonts w:ascii="Times New Roman" w:hAnsi="Times New Roman"/>
                <w:bCs/>
                <w:sz w:val="21"/>
                <w:szCs w:val="21"/>
              </w:rPr>
              <w:t>开发工作；</w:t>
            </w:r>
          </w:p>
          <w:p w:rsidR="00BE5664" w:rsidRDefault="00BE5664" w:rsidP="00BE5664">
            <w:pPr>
              <w:rPr>
                <w:rFonts w:ascii="Times New Roman" w:hAnsi="Times New Roman"/>
                <w:bCs/>
                <w:sz w:val="21"/>
                <w:szCs w:val="21"/>
              </w:rPr>
            </w:pPr>
            <w:r>
              <w:rPr>
                <w:rFonts w:ascii="Times New Roman" w:hAnsi="Times New Roman"/>
                <w:bCs/>
                <w:sz w:val="21"/>
                <w:szCs w:val="21"/>
              </w:rPr>
              <w:t xml:space="preserve">32 </w:t>
            </w:r>
            <w:r>
              <w:rPr>
                <w:rFonts w:ascii="Times New Roman" w:hAnsi="Times New Roman"/>
                <w:bCs/>
                <w:sz w:val="21"/>
                <w:szCs w:val="21"/>
              </w:rPr>
              <w:t>能够进行施工方案、工艺流程等系统分析和优化设计，并体现创新意识；</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Times New Roman" w:hAnsi="Times New Roman"/>
                <w:bCs/>
                <w:sz w:val="21"/>
                <w:szCs w:val="21"/>
              </w:rPr>
            </w:pPr>
            <w:r>
              <w:rPr>
                <w:rFonts w:ascii="Times New Roman" w:hAnsi="Times New Roman"/>
                <w:bCs/>
                <w:sz w:val="21"/>
                <w:szCs w:val="21"/>
              </w:rPr>
              <w:t>4</w:t>
            </w:r>
            <w:r>
              <w:rPr>
                <w:rFonts w:ascii="Times New Roman" w:hAnsi="Times New Roman"/>
                <w:bCs/>
                <w:sz w:val="21"/>
                <w:szCs w:val="21"/>
              </w:rPr>
              <w:t>、</w:t>
            </w:r>
            <w:r>
              <w:rPr>
                <w:rFonts w:ascii="Times New Roman" w:hAnsi="Times New Roman"/>
                <w:bCs/>
                <w:sz w:val="21"/>
                <w:szCs w:val="21"/>
              </w:rPr>
              <w:t>8</w:t>
            </w:r>
          </w:p>
        </w:tc>
      </w:tr>
      <w:tr w:rsidR="00BE5664" w:rsidTr="00BE5664">
        <w:trPr>
          <w:trHeight w:val="560"/>
          <w:jc w:val="center"/>
        </w:trPr>
        <w:tc>
          <w:tcPr>
            <w:tcW w:w="1470" w:type="dxa"/>
            <w:tcBorders>
              <w:left w:val="single" w:sz="4" w:space="0" w:color="auto"/>
              <w:right w:val="single" w:sz="4" w:space="0" w:color="auto"/>
            </w:tcBorders>
            <w:vAlign w:val="center"/>
          </w:tcPr>
          <w:p w:rsidR="00BE5664" w:rsidRDefault="00BE5664" w:rsidP="00BE5664">
            <w:pPr>
              <w:jc w:val="center"/>
              <w:rPr>
                <w:rFonts w:ascii="Times New Roman" w:hAnsi="Times New Roman"/>
                <w:bCs/>
                <w:sz w:val="21"/>
                <w:szCs w:val="21"/>
              </w:rPr>
            </w:pPr>
            <w:r>
              <w:rPr>
                <w:rFonts w:ascii="Times New Roman" w:hAnsi="Times New Roman"/>
                <w:bCs/>
                <w:sz w:val="21"/>
                <w:szCs w:val="21"/>
              </w:rPr>
              <w:t>4.</w:t>
            </w:r>
            <w:r>
              <w:rPr>
                <w:rFonts w:ascii="Times New Roman" w:hAnsi="Times New Roman"/>
                <w:bCs/>
                <w:sz w:val="21"/>
                <w:szCs w:val="21"/>
              </w:rPr>
              <w:t>职业规范</w:t>
            </w:r>
          </w:p>
        </w:tc>
        <w:tc>
          <w:tcPr>
            <w:tcW w:w="6379" w:type="dxa"/>
            <w:vAlign w:val="center"/>
          </w:tcPr>
          <w:p w:rsidR="00BE5664" w:rsidRDefault="00BE5664" w:rsidP="00BE5664">
            <w:pPr>
              <w:rPr>
                <w:rFonts w:ascii="Times New Roman" w:hAnsi="Times New Roman"/>
                <w:bCs/>
                <w:sz w:val="21"/>
                <w:szCs w:val="21"/>
              </w:rPr>
            </w:pPr>
            <w:r>
              <w:rPr>
                <w:rFonts w:ascii="Times New Roman" w:hAnsi="Times New Roman"/>
                <w:bCs/>
                <w:sz w:val="21"/>
                <w:szCs w:val="21"/>
              </w:rPr>
              <w:t xml:space="preserve">4.1 </w:t>
            </w:r>
            <w:r>
              <w:rPr>
                <w:rFonts w:ascii="Times New Roman" w:hAnsi="Times New Roman"/>
                <w:bCs/>
                <w:sz w:val="21"/>
                <w:szCs w:val="21"/>
              </w:rPr>
              <w:t>有正确价值观，了解中国国情，具有人文社会科学素养、社会责任感、思辨和处事能力；</w:t>
            </w:r>
          </w:p>
          <w:p w:rsidR="00BE5664" w:rsidRDefault="00BE5664" w:rsidP="00BE5664">
            <w:pPr>
              <w:rPr>
                <w:rFonts w:ascii="Times New Roman" w:hAnsi="Times New Roman"/>
                <w:bCs/>
                <w:sz w:val="21"/>
                <w:szCs w:val="21"/>
              </w:rPr>
            </w:pPr>
            <w:r>
              <w:rPr>
                <w:rFonts w:ascii="Times New Roman" w:hAnsi="Times New Roman"/>
                <w:bCs/>
                <w:sz w:val="21"/>
                <w:szCs w:val="21"/>
              </w:rPr>
              <w:lastRenderedPageBreak/>
              <w:t xml:space="preserve">4.2 </w:t>
            </w:r>
            <w:r>
              <w:rPr>
                <w:rFonts w:ascii="Times New Roman" w:hAnsi="Times New Roman"/>
                <w:bCs/>
                <w:sz w:val="21"/>
                <w:szCs w:val="21"/>
              </w:rPr>
              <w:t>理解土木工程师对公众的安全、健康和福祉，以及环境保护的社会责任，并能够在工程实践中自觉履行。</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Times New Roman" w:hAnsi="Times New Roman"/>
                <w:bCs/>
                <w:sz w:val="21"/>
                <w:szCs w:val="21"/>
              </w:rPr>
            </w:pPr>
            <w:r>
              <w:rPr>
                <w:rFonts w:ascii="Times New Roman" w:hAnsi="Times New Roman"/>
                <w:bCs/>
                <w:sz w:val="21"/>
                <w:szCs w:val="21"/>
              </w:rPr>
              <w:lastRenderedPageBreak/>
              <w:t>2</w:t>
            </w:r>
            <w:r>
              <w:rPr>
                <w:rFonts w:hint="eastAsia"/>
                <w:bCs/>
                <w:sz w:val="21"/>
                <w:szCs w:val="21"/>
              </w:rPr>
              <w:t>、</w:t>
            </w:r>
            <w:r>
              <w:rPr>
                <w:rFonts w:ascii="Times New Roman" w:hAnsi="Times New Roman"/>
                <w:bCs/>
                <w:sz w:val="21"/>
                <w:szCs w:val="21"/>
              </w:rPr>
              <w:t>5</w:t>
            </w:r>
            <w:r>
              <w:rPr>
                <w:rFonts w:ascii="Times New Roman" w:hAnsi="Times New Roman"/>
                <w:bCs/>
                <w:sz w:val="21"/>
                <w:szCs w:val="21"/>
              </w:rPr>
              <w:t>、</w:t>
            </w:r>
            <w:r>
              <w:rPr>
                <w:rFonts w:ascii="Times New Roman" w:hAnsi="Times New Roman"/>
                <w:bCs/>
                <w:sz w:val="21"/>
                <w:szCs w:val="21"/>
              </w:rPr>
              <w:t>6</w:t>
            </w:r>
            <w:r>
              <w:rPr>
                <w:rFonts w:ascii="Times New Roman" w:hAnsi="Times New Roman"/>
                <w:bCs/>
                <w:sz w:val="21"/>
                <w:szCs w:val="21"/>
              </w:rPr>
              <w:t>、</w:t>
            </w:r>
            <w:r>
              <w:rPr>
                <w:rFonts w:ascii="Times New Roman" w:hAnsi="Times New Roman"/>
                <w:bCs/>
                <w:sz w:val="21"/>
                <w:szCs w:val="21"/>
              </w:rPr>
              <w:t>7</w:t>
            </w:r>
          </w:p>
        </w:tc>
      </w:tr>
    </w:tbl>
    <w:p w:rsidR="00BE5664" w:rsidRDefault="00BE5664" w:rsidP="00BE5664">
      <w:pPr>
        <w:spacing w:beforeLines="50" w:before="156" w:line="360" w:lineRule="auto"/>
        <w:ind w:firstLineChars="200" w:firstLine="560"/>
        <w:rPr>
          <w:rFonts w:ascii="Times New Roman" w:hAnsi="Times New Roman"/>
          <w:sz w:val="28"/>
          <w:szCs w:val="21"/>
        </w:rPr>
      </w:pPr>
      <w:r>
        <w:rPr>
          <w:rFonts w:ascii="Times New Roman" w:hAnsi="Times New Roman"/>
          <w:sz w:val="28"/>
          <w:szCs w:val="21"/>
        </w:rPr>
        <w:t>（</w:t>
      </w:r>
      <w:r>
        <w:rPr>
          <w:rFonts w:ascii="Times New Roman" w:hAnsi="Times New Roman"/>
          <w:sz w:val="28"/>
          <w:szCs w:val="21"/>
        </w:rPr>
        <w:t>2</w:t>
      </w:r>
      <w:r>
        <w:rPr>
          <w:rFonts w:ascii="Times New Roman" w:hAnsi="Times New Roman"/>
          <w:sz w:val="28"/>
          <w:szCs w:val="21"/>
        </w:rPr>
        <w:t>）本课程的重点、难点</w:t>
      </w:r>
    </w:p>
    <w:p w:rsidR="00BE5664" w:rsidRDefault="00BE5664" w:rsidP="00BE5664">
      <w:pPr>
        <w:spacing w:line="360" w:lineRule="auto"/>
        <w:ind w:firstLineChars="200" w:firstLine="560"/>
        <w:rPr>
          <w:rFonts w:ascii="Times New Roman" w:hAnsi="Times New Roman"/>
          <w:sz w:val="28"/>
          <w:szCs w:val="21"/>
        </w:rPr>
      </w:pPr>
      <w:r>
        <w:rPr>
          <w:rFonts w:ascii="Times New Roman" w:hAnsi="Times New Roman"/>
          <w:sz w:val="28"/>
          <w:szCs w:val="21"/>
        </w:rPr>
        <w:t>教学重点：</w:t>
      </w:r>
      <w:r>
        <w:rPr>
          <w:rFonts w:ascii="Times New Roman" w:hAnsi="Times New Roman"/>
          <w:sz w:val="28"/>
          <w:szCs w:val="21"/>
        </w:rPr>
        <w:t xml:space="preserve"> </w:t>
      </w:r>
      <w:r>
        <w:rPr>
          <w:rFonts w:ascii="Times New Roman" w:hAnsi="Times New Roman"/>
          <w:sz w:val="28"/>
          <w:szCs w:val="21"/>
        </w:rPr>
        <w:t>基坑支护的形式及特点、真空预压法、强夯法、模板设计、超高泵送混凝土技术、大型钢构件滑移技术、整体顶升法、合成高分子防水卷材、新型墙体材料、节能型门窗、施工控制网、全站仪的使用、误差分析。</w:t>
      </w:r>
    </w:p>
    <w:p w:rsidR="00BE5664" w:rsidRDefault="00BE5664" w:rsidP="00BE5664">
      <w:pPr>
        <w:spacing w:line="360" w:lineRule="auto"/>
        <w:ind w:firstLineChars="200" w:firstLine="560"/>
        <w:rPr>
          <w:rFonts w:ascii="Times New Roman" w:hAnsi="Times New Roman"/>
          <w:sz w:val="28"/>
          <w:szCs w:val="21"/>
        </w:rPr>
      </w:pPr>
      <w:r>
        <w:rPr>
          <w:rFonts w:ascii="Times New Roman" w:hAnsi="Times New Roman"/>
          <w:sz w:val="28"/>
          <w:szCs w:val="21"/>
        </w:rPr>
        <w:t>教学难点：真空预压法、强夯法、整体顶升法、施工控制网。</w:t>
      </w:r>
    </w:p>
    <w:p w:rsidR="00BE5664" w:rsidRDefault="00BE5664" w:rsidP="00BE5664">
      <w:pPr>
        <w:spacing w:line="360" w:lineRule="auto"/>
        <w:ind w:firstLineChars="200" w:firstLine="560"/>
        <w:rPr>
          <w:rFonts w:ascii="Times New Roman" w:hAnsi="Times New Roman"/>
          <w:color w:val="000000"/>
          <w:sz w:val="28"/>
          <w:szCs w:val="21"/>
        </w:rPr>
      </w:pPr>
      <w:r>
        <w:rPr>
          <w:rFonts w:ascii="Times New Roman" w:hAnsi="Times New Roman"/>
          <w:color w:val="000000"/>
          <w:sz w:val="28"/>
          <w:szCs w:val="21"/>
        </w:rPr>
        <w:t>（</w:t>
      </w:r>
      <w:r>
        <w:rPr>
          <w:rFonts w:ascii="Times New Roman" w:hAnsi="Times New Roman"/>
          <w:color w:val="000000"/>
          <w:sz w:val="28"/>
          <w:szCs w:val="21"/>
        </w:rPr>
        <w:t>3</w:t>
      </w:r>
      <w:r>
        <w:rPr>
          <w:rFonts w:ascii="Times New Roman" w:hAnsi="Times New Roman"/>
          <w:color w:val="000000"/>
          <w:sz w:val="28"/>
          <w:szCs w:val="21"/>
        </w:rPr>
        <w:t>）课程思政</w:t>
      </w:r>
    </w:p>
    <w:p w:rsidR="00BE5664" w:rsidRDefault="00BE5664" w:rsidP="00BE5664">
      <w:pPr>
        <w:spacing w:line="360" w:lineRule="auto"/>
        <w:ind w:firstLineChars="200" w:firstLine="560"/>
        <w:rPr>
          <w:rFonts w:ascii="Times New Roman" w:hAnsi="Times New Roman"/>
          <w:color w:val="000000"/>
          <w:sz w:val="28"/>
          <w:szCs w:val="21"/>
        </w:rPr>
      </w:pPr>
      <w:r>
        <w:rPr>
          <w:rFonts w:ascii="宋体" w:eastAsia="宋体" w:hAnsi="宋体" w:cs="宋体" w:hint="eastAsia"/>
          <w:color w:val="000000"/>
          <w:sz w:val="28"/>
          <w:szCs w:val="21"/>
        </w:rPr>
        <w:t>①</w:t>
      </w:r>
      <w:r>
        <w:rPr>
          <w:rFonts w:ascii="Times New Roman" w:hAnsi="Times New Roman"/>
          <w:color w:val="000000"/>
          <w:sz w:val="28"/>
          <w:szCs w:val="21"/>
        </w:rPr>
        <w:t>以具体的基坑事故为引例，通过讲述与土有关的工程问题，树立学生工程施工的安全意识，引导学生理解对土木工程师对公众的安全和环境保护的社会责任。</w:t>
      </w:r>
    </w:p>
    <w:p w:rsidR="00BE5664" w:rsidRDefault="00BE5664" w:rsidP="00BE5664">
      <w:pPr>
        <w:spacing w:line="360" w:lineRule="auto"/>
        <w:ind w:firstLineChars="200" w:firstLine="560"/>
        <w:rPr>
          <w:rFonts w:ascii="Times New Roman" w:hAnsi="Times New Roman"/>
          <w:color w:val="000000"/>
          <w:sz w:val="28"/>
          <w:szCs w:val="21"/>
        </w:rPr>
      </w:pPr>
      <w:r>
        <w:rPr>
          <w:rFonts w:ascii="宋体" w:eastAsia="宋体" w:hAnsi="宋体" w:cs="宋体" w:hint="eastAsia"/>
          <w:color w:val="000000"/>
          <w:sz w:val="28"/>
          <w:szCs w:val="21"/>
        </w:rPr>
        <w:t>②</w:t>
      </w:r>
      <w:r>
        <w:rPr>
          <w:rFonts w:ascii="Times New Roman" w:hAnsi="Times New Roman"/>
          <w:color w:val="000000"/>
          <w:sz w:val="28"/>
          <w:szCs w:val="21"/>
        </w:rPr>
        <w:t>地基处理因土质环境不同而呈现千差万别的特点，培养学生以全面的</w:t>
      </w:r>
      <w:r>
        <w:rPr>
          <w:rFonts w:ascii="Times New Roman" w:hAnsi="Times New Roman" w:hint="eastAsia"/>
          <w:color w:val="000000"/>
          <w:sz w:val="28"/>
          <w:szCs w:val="21"/>
        </w:rPr>
        <w:t>和</w:t>
      </w:r>
      <w:r>
        <w:rPr>
          <w:rFonts w:ascii="Times New Roman" w:hAnsi="Times New Roman"/>
          <w:color w:val="000000"/>
          <w:sz w:val="28"/>
          <w:szCs w:val="21"/>
        </w:rPr>
        <w:t>实事求是的科学态度分析问题和解决问题，才可以不断取得进步。</w:t>
      </w:r>
    </w:p>
    <w:p w:rsidR="00BE5664" w:rsidRDefault="00BE5664" w:rsidP="00BE5664">
      <w:pPr>
        <w:spacing w:line="360" w:lineRule="auto"/>
        <w:ind w:firstLineChars="200" w:firstLine="560"/>
        <w:rPr>
          <w:rFonts w:ascii="Times New Roman" w:hAnsi="Times New Roman"/>
          <w:color w:val="000000"/>
          <w:sz w:val="28"/>
          <w:szCs w:val="21"/>
        </w:rPr>
      </w:pPr>
      <w:r>
        <w:rPr>
          <w:rFonts w:ascii="宋体" w:eastAsia="宋体" w:hAnsi="宋体" w:cs="宋体" w:hint="eastAsia"/>
          <w:color w:val="000000"/>
          <w:sz w:val="28"/>
          <w:szCs w:val="21"/>
        </w:rPr>
        <w:t>③</w:t>
      </w:r>
      <w:r>
        <w:rPr>
          <w:rFonts w:ascii="Times New Roman" w:hAnsi="Times New Roman"/>
          <w:color w:val="000000"/>
          <w:sz w:val="28"/>
          <w:szCs w:val="21"/>
        </w:rPr>
        <w:t>引导学生分析和比较不同混凝土在成分、性能和设计上的相同点与不同点，鼓励学生在复杂多变的因素中找到内在联系，抓住事物现象的本质，掌握科学分析问题方法。</w:t>
      </w:r>
    </w:p>
    <w:p w:rsidR="00BE5664" w:rsidRDefault="00BE5664" w:rsidP="00BE5664">
      <w:pPr>
        <w:spacing w:line="360" w:lineRule="auto"/>
        <w:ind w:firstLineChars="200" w:firstLine="560"/>
        <w:rPr>
          <w:rFonts w:ascii="Times New Roman" w:hAnsi="Times New Roman"/>
          <w:color w:val="000000"/>
          <w:sz w:val="28"/>
          <w:szCs w:val="21"/>
        </w:rPr>
      </w:pPr>
      <w:r>
        <w:rPr>
          <w:rFonts w:ascii="宋体" w:eastAsia="宋体" w:hAnsi="宋体" w:cs="宋体" w:hint="eastAsia"/>
          <w:color w:val="000000"/>
          <w:sz w:val="28"/>
          <w:szCs w:val="21"/>
        </w:rPr>
        <w:t>④</w:t>
      </w:r>
      <w:r>
        <w:rPr>
          <w:rFonts w:ascii="Times New Roman" w:hAnsi="Times New Roman"/>
          <w:color w:val="000000"/>
          <w:sz w:val="28"/>
          <w:szCs w:val="21"/>
        </w:rPr>
        <w:t>通过讲解不同钢材的化学成分和机械性能，培养学生的大国工匠精神。培养学生以联系的、发展的观点看问题，不要以片面的、静止的观点看问题，增强学生解决专业复杂工程问题的能力。</w:t>
      </w:r>
    </w:p>
    <w:p w:rsidR="00BE5664" w:rsidRDefault="00BE5664" w:rsidP="00BE5664">
      <w:pPr>
        <w:spacing w:line="360" w:lineRule="auto"/>
        <w:ind w:firstLineChars="200" w:firstLine="560"/>
        <w:rPr>
          <w:rFonts w:ascii="Times New Roman" w:hAnsi="Times New Roman"/>
          <w:color w:val="000000"/>
          <w:sz w:val="28"/>
          <w:szCs w:val="24"/>
        </w:rPr>
      </w:pPr>
      <w:r>
        <w:rPr>
          <w:rFonts w:ascii="宋体" w:eastAsia="宋体" w:hAnsi="宋体" w:cs="宋体" w:hint="eastAsia"/>
          <w:color w:val="000000"/>
          <w:sz w:val="28"/>
          <w:szCs w:val="21"/>
        </w:rPr>
        <w:t>⑤</w:t>
      </w:r>
      <w:r>
        <w:rPr>
          <w:rFonts w:ascii="Times New Roman" w:hAnsi="Times New Roman"/>
          <w:color w:val="000000"/>
          <w:sz w:val="28"/>
          <w:szCs w:val="21"/>
        </w:rPr>
        <w:t>以节能示范典型工程为引例，通过讲解节能屋面的构造与施工方法，增强学生在毕业工作后确保屋面工程设施安全的底线意识和结</w:t>
      </w:r>
      <w:r>
        <w:rPr>
          <w:rFonts w:ascii="Times New Roman" w:hAnsi="Times New Roman"/>
          <w:color w:val="000000"/>
          <w:sz w:val="28"/>
          <w:szCs w:val="21"/>
        </w:rPr>
        <w:lastRenderedPageBreak/>
        <w:t>合实际工程建设的基本条件提出可行方案的能力。</w:t>
      </w:r>
    </w:p>
    <w:p w:rsidR="00BE5664" w:rsidRDefault="00BE5664" w:rsidP="00BE5664">
      <w:pPr>
        <w:spacing w:line="360" w:lineRule="auto"/>
        <w:ind w:firstLineChars="200" w:firstLine="560"/>
        <w:rPr>
          <w:rFonts w:ascii="Times New Roman" w:hAnsi="Times New Roman"/>
          <w:color w:val="000000"/>
          <w:sz w:val="28"/>
          <w:szCs w:val="21"/>
        </w:rPr>
      </w:pPr>
      <w:r>
        <w:rPr>
          <w:rFonts w:ascii="宋体" w:eastAsia="宋体" w:hAnsi="宋体" w:cs="宋体" w:hint="eastAsia"/>
          <w:color w:val="000000"/>
          <w:sz w:val="28"/>
          <w:szCs w:val="21"/>
        </w:rPr>
        <w:t>⑥</w:t>
      </w:r>
      <w:r>
        <w:rPr>
          <w:rFonts w:ascii="Times New Roman" w:hAnsi="Times New Roman"/>
          <w:color w:val="000000"/>
          <w:sz w:val="28"/>
          <w:szCs w:val="21"/>
        </w:rPr>
        <w:t>通过讲解全站仪的原理与使用，增强学生在毕业工作后的动手意识，增强学生的土木工程师职业责任感</w:t>
      </w:r>
      <w:r>
        <w:rPr>
          <w:rFonts w:ascii="Times New Roman" w:hAnsi="Times New Roman"/>
          <w:sz w:val="28"/>
          <w:szCs w:val="28"/>
        </w:rPr>
        <w:t>，</w:t>
      </w:r>
      <w:r>
        <w:rPr>
          <w:rFonts w:ascii="Times New Roman" w:hAnsi="Times New Roman"/>
          <w:color w:val="000000"/>
          <w:sz w:val="28"/>
          <w:szCs w:val="21"/>
        </w:rPr>
        <w:t>增强学生的职业责任感</w:t>
      </w:r>
      <w:r>
        <w:rPr>
          <w:rFonts w:ascii="Times New Roman" w:hAnsi="Times New Roman" w:hint="eastAsia"/>
          <w:color w:val="000000"/>
          <w:sz w:val="28"/>
          <w:szCs w:val="21"/>
        </w:rPr>
        <w:t>。</w:t>
      </w:r>
    </w:p>
    <w:p w:rsidR="00BE5664" w:rsidRDefault="00BE5664" w:rsidP="00BE5664">
      <w:pPr>
        <w:rPr>
          <w:rFonts w:ascii="Times New Roman" w:hAnsi="Times New Roman"/>
        </w:rPr>
      </w:pP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四、教学内容安排</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756"/>
        <w:gridCol w:w="794"/>
        <w:gridCol w:w="2743"/>
        <w:gridCol w:w="3350"/>
      </w:tblGrid>
      <w:tr w:rsidR="00BE5664" w:rsidTr="00BE5664">
        <w:trPr>
          <w:cantSplit/>
          <w:trHeight w:val="486"/>
          <w:tblHeader/>
        </w:trPr>
        <w:tc>
          <w:tcPr>
            <w:tcW w:w="512"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序</w:t>
            </w:r>
          </w:p>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号</w:t>
            </w:r>
          </w:p>
        </w:tc>
        <w:tc>
          <w:tcPr>
            <w:tcW w:w="1756"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章</w:t>
            </w:r>
            <w:r>
              <w:rPr>
                <w:rFonts w:ascii="Times New Roman" w:hAnsi="Times New Roman"/>
                <w:kern w:val="0"/>
                <w:sz w:val="21"/>
                <w:szCs w:val="21"/>
              </w:rPr>
              <w:t xml:space="preserve">  </w:t>
            </w:r>
            <w:r>
              <w:rPr>
                <w:rFonts w:ascii="Times New Roman" w:hAnsi="Times New Roman"/>
                <w:kern w:val="0"/>
                <w:sz w:val="21"/>
                <w:szCs w:val="21"/>
              </w:rPr>
              <w:t>节</w:t>
            </w:r>
          </w:p>
        </w:tc>
        <w:tc>
          <w:tcPr>
            <w:tcW w:w="794"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参考学时</w:t>
            </w:r>
          </w:p>
        </w:tc>
        <w:tc>
          <w:tcPr>
            <w:tcW w:w="2743"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教学内容</w:t>
            </w:r>
          </w:p>
        </w:tc>
        <w:tc>
          <w:tcPr>
            <w:tcW w:w="3350"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基本要求</w:t>
            </w:r>
          </w:p>
        </w:tc>
      </w:tr>
      <w:tr w:rsidR="00BE5664" w:rsidTr="00BE5664">
        <w:trPr>
          <w:trHeight w:val="428"/>
        </w:trPr>
        <w:tc>
          <w:tcPr>
            <w:tcW w:w="512"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1</w:t>
            </w:r>
          </w:p>
        </w:tc>
        <w:tc>
          <w:tcPr>
            <w:tcW w:w="1756" w:type="dxa"/>
            <w:vAlign w:val="center"/>
          </w:tcPr>
          <w:p w:rsidR="00BE5664" w:rsidRDefault="00BE5664" w:rsidP="00BE5664">
            <w:pPr>
              <w:rPr>
                <w:rFonts w:ascii="Times New Roman" w:hAnsi="Times New Roman"/>
                <w:sz w:val="21"/>
                <w:szCs w:val="21"/>
              </w:rPr>
            </w:pPr>
            <w:r>
              <w:rPr>
                <w:rFonts w:ascii="Times New Roman" w:hAnsi="Times New Roman"/>
                <w:sz w:val="21"/>
                <w:szCs w:val="21"/>
              </w:rPr>
              <w:t>第一章</w:t>
            </w:r>
            <w:r>
              <w:rPr>
                <w:rFonts w:ascii="Times New Roman" w:hAnsi="Times New Roman"/>
                <w:sz w:val="21"/>
                <w:szCs w:val="21"/>
              </w:rPr>
              <w:t xml:space="preserve"> </w:t>
            </w:r>
            <w:r>
              <w:rPr>
                <w:rFonts w:ascii="Times New Roman" w:hAnsi="Times New Roman"/>
                <w:sz w:val="21"/>
                <w:szCs w:val="21"/>
              </w:rPr>
              <w:t>深基坑支护及边坡防护新技术</w:t>
            </w:r>
          </w:p>
        </w:tc>
        <w:tc>
          <w:tcPr>
            <w:tcW w:w="794" w:type="dxa"/>
            <w:vAlign w:val="center"/>
          </w:tcPr>
          <w:p w:rsidR="00BE5664" w:rsidRDefault="00BE5664" w:rsidP="00BE5664">
            <w:pPr>
              <w:jc w:val="center"/>
              <w:rPr>
                <w:rFonts w:ascii="Times New Roman" w:hAnsi="Times New Roman"/>
                <w:sz w:val="21"/>
                <w:szCs w:val="21"/>
              </w:rPr>
            </w:pPr>
            <w:r>
              <w:rPr>
                <w:rFonts w:ascii="Times New Roman" w:hAnsi="Times New Roman"/>
                <w:sz w:val="21"/>
                <w:szCs w:val="21"/>
              </w:rPr>
              <w:t>4</w:t>
            </w:r>
          </w:p>
        </w:tc>
        <w:tc>
          <w:tcPr>
            <w:tcW w:w="2743" w:type="dxa"/>
            <w:vAlign w:val="center"/>
          </w:tcPr>
          <w:p w:rsidR="00BE5664" w:rsidRDefault="00BE5664" w:rsidP="00BE5664">
            <w:pPr>
              <w:rPr>
                <w:rFonts w:ascii="Times New Roman" w:hAnsi="Times New Roman"/>
                <w:sz w:val="21"/>
                <w:szCs w:val="21"/>
              </w:rPr>
            </w:pPr>
            <w:r>
              <w:rPr>
                <w:rFonts w:ascii="Times New Roman" w:hAnsi="Times New Roman"/>
                <w:sz w:val="21"/>
                <w:szCs w:val="21"/>
              </w:rPr>
              <w:t>基坑支护的形式及特点、复合土钉墙设计、预应力锚杆、型钢水泥土搅拌墙支护、</w:t>
            </w:r>
            <w:r>
              <w:rPr>
                <w:rFonts w:ascii="Times New Roman" w:hAnsi="Times New Roman"/>
                <w:sz w:val="21"/>
                <w:szCs w:val="21"/>
              </w:rPr>
              <w:t>TRD</w:t>
            </w:r>
            <w:r>
              <w:rPr>
                <w:rFonts w:ascii="Times New Roman" w:hAnsi="Times New Roman"/>
                <w:sz w:val="21"/>
                <w:szCs w:val="21"/>
              </w:rPr>
              <w:t>工法。</w:t>
            </w:r>
          </w:p>
        </w:tc>
        <w:tc>
          <w:tcPr>
            <w:tcW w:w="3350" w:type="dxa"/>
            <w:vAlign w:val="center"/>
          </w:tcPr>
          <w:p w:rsidR="00BE5664" w:rsidRDefault="00BE5664" w:rsidP="00BE5664">
            <w:pPr>
              <w:rPr>
                <w:rFonts w:ascii="Times New Roman" w:hAnsi="Times New Roman"/>
                <w:sz w:val="21"/>
                <w:szCs w:val="21"/>
              </w:rPr>
            </w:pPr>
            <w:r>
              <w:rPr>
                <w:rFonts w:ascii="Times New Roman" w:hAnsi="Times New Roman"/>
                <w:sz w:val="21"/>
                <w:szCs w:val="21"/>
              </w:rPr>
              <w:t>掌握深基坑支护及边坡防护新技术的基本内容及特点、了解国内外的发展现状及本课程的主要内容要求及学习方法。</w:t>
            </w:r>
          </w:p>
        </w:tc>
      </w:tr>
      <w:tr w:rsidR="00BE5664" w:rsidTr="00BE5664">
        <w:trPr>
          <w:trHeight w:val="519"/>
        </w:trPr>
        <w:tc>
          <w:tcPr>
            <w:tcW w:w="512"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2</w:t>
            </w:r>
          </w:p>
        </w:tc>
        <w:tc>
          <w:tcPr>
            <w:tcW w:w="1756" w:type="dxa"/>
            <w:vAlign w:val="center"/>
          </w:tcPr>
          <w:p w:rsidR="00BE5664" w:rsidRDefault="00BE5664" w:rsidP="00BE5664">
            <w:pPr>
              <w:rPr>
                <w:rFonts w:ascii="Times New Roman" w:hAnsi="Times New Roman"/>
                <w:sz w:val="21"/>
                <w:szCs w:val="21"/>
              </w:rPr>
            </w:pPr>
            <w:r>
              <w:rPr>
                <w:rFonts w:ascii="Times New Roman" w:hAnsi="Times New Roman"/>
                <w:sz w:val="21"/>
                <w:szCs w:val="21"/>
              </w:rPr>
              <w:t>第二章</w:t>
            </w:r>
            <w:r>
              <w:rPr>
                <w:rFonts w:ascii="Times New Roman" w:hAnsi="Times New Roman"/>
                <w:sz w:val="21"/>
                <w:szCs w:val="21"/>
              </w:rPr>
              <w:t xml:space="preserve"> </w:t>
            </w:r>
            <w:r>
              <w:rPr>
                <w:rFonts w:ascii="Times New Roman" w:hAnsi="Times New Roman"/>
                <w:sz w:val="21"/>
                <w:szCs w:val="21"/>
              </w:rPr>
              <w:t>地基处理及桩基新技术</w:t>
            </w:r>
          </w:p>
        </w:tc>
        <w:tc>
          <w:tcPr>
            <w:tcW w:w="794" w:type="dxa"/>
            <w:vAlign w:val="center"/>
          </w:tcPr>
          <w:p w:rsidR="00BE5664" w:rsidRDefault="00BE5664" w:rsidP="00BE5664">
            <w:pPr>
              <w:jc w:val="center"/>
              <w:rPr>
                <w:rFonts w:ascii="Times New Roman" w:hAnsi="Times New Roman"/>
                <w:sz w:val="21"/>
                <w:szCs w:val="21"/>
              </w:rPr>
            </w:pPr>
            <w:r>
              <w:rPr>
                <w:rFonts w:ascii="Times New Roman" w:hAnsi="Times New Roman"/>
                <w:sz w:val="21"/>
                <w:szCs w:val="21"/>
              </w:rPr>
              <w:t>2</w:t>
            </w:r>
          </w:p>
        </w:tc>
        <w:tc>
          <w:tcPr>
            <w:tcW w:w="2743" w:type="dxa"/>
            <w:vAlign w:val="center"/>
          </w:tcPr>
          <w:p w:rsidR="00BE5664" w:rsidRDefault="00BE5664" w:rsidP="00BE5664">
            <w:pPr>
              <w:rPr>
                <w:rFonts w:ascii="Times New Roman" w:hAnsi="Times New Roman"/>
                <w:sz w:val="21"/>
                <w:szCs w:val="21"/>
              </w:rPr>
            </w:pPr>
            <w:r>
              <w:rPr>
                <w:rFonts w:ascii="Times New Roman" w:hAnsi="Times New Roman"/>
                <w:sz w:val="21"/>
                <w:szCs w:val="21"/>
              </w:rPr>
              <w:t>真空预压法、强夯法、爆破挤淤法、人工合成材料类型与功能、复合地基设计。</w:t>
            </w:r>
          </w:p>
        </w:tc>
        <w:tc>
          <w:tcPr>
            <w:tcW w:w="3350" w:type="dxa"/>
            <w:vAlign w:val="center"/>
          </w:tcPr>
          <w:p w:rsidR="00BE5664" w:rsidRDefault="00BE5664" w:rsidP="00BE5664">
            <w:pPr>
              <w:rPr>
                <w:rFonts w:ascii="Times New Roman" w:hAnsi="Times New Roman"/>
                <w:sz w:val="21"/>
                <w:szCs w:val="21"/>
              </w:rPr>
            </w:pPr>
            <w:r>
              <w:rPr>
                <w:rFonts w:ascii="Times New Roman" w:hAnsi="Times New Roman"/>
                <w:sz w:val="21"/>
                <w:szCs w:val="21"/>
              </w:rPr>
              <w:t>了解各种地基处理新技术及桩基新技术的适用范围和技术指标。</w:t>
            </w:r>
          </w:p>
        </w:tc>
      </w:tr>
      <w:tr w:rsidR="00BE5664" w:rsidTr="00BE5664">
        <w:trPr>
          <w:trHeight w:val="555"/>
        </w:trPr>
        <w:tc>
          <w:tcPr>
            <w:tcW w:w="512"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3</w:t>
            </w:r>
          </w:p>
        </w:tc>
        <w:tc>
          <w:tcPr>
            <w:tcW w:w="1756" w:type="dxa"/>
            <w:vAlign w:val="center"/>
          </w:tcPr>
          <w:p w:rsidR="00BE5664" w:rsidRDefault="00BE5664" w:rsidP="00BE5664">
            <w:pPr>
              <w:rPr>
                <w:rFonts w:ascii="Times New Roman" w:hAnsi="Times New Roman"/>
                <w:sz w:val="21"/>
                <w:szCs w:val="21"/>
              </w:rPr>
            </w:pPr>
            <w:r>
              <w:rPr>
                <w:rFonts w:ascii="Times New Roman" w:hAnsi="Times New Roman"/>
                <w:sz w:val="21"/>
                <w:szCs w:val="21"/>
              </w:rPr>
              <w:t>第三章</w:t>
            </w:r>
            <w:r>
              <w:rPr>
                <w:rFonts w:ascii="Times New Roman" w:hAnsi="Times New Roman"/>
                <w:sz w:val="21"/>
                <w:szCs w:val="21"/>
              </w:rPr>
              <w:t xml:space="preserve"> </w:t>
            </w:r>
            <w:r>
              <w:rPr>
                <w:rFonts w:ascii="Times New Roman" w:hAnsi="Times New Roman"/>
                <w:sz w:val="21"/>
                <w:szCs w:val="21"/>
              </w:rPr>
              <w:t>新型模板及脚手架应用技术</w:t>
            </w:r>
          </w:p>
        </w:tc>
        <w:tc>
          <w:tcPr>
            <w:tcW w:w="794" w:type="dxa"/>
            <w:vAlign w:val="center"/>
          </w:tcPr>
          <w:p w:rsidR="00BE5664" w:rsidRDefault="00BE5664" w:rsidP="00BE5664">
            <w:pPr>
              <w:jc w:val="center"/>
              <w:rPr>
                <w:rFonts w:ascii="Times New Roman" w:hAnsi="Times New Roman"/>
                <w:sz w:val="21"/>
                <w:szCs w:val="21"/>
              </w:rPr>
            </w:pPr>
            <w:r>
              <w:rPr>
                <w:rFonts w:ascii="Times New Roman" w:hAnsi="Times New Roman"/>
                <w:sz w:val="21"/>
                <w:szCs w:val="21"/>
              </w:rPr>
              <w:t>2</w:t>
            </w:r>
          </w:p>
        </w:tc>
        <w:tc>
          <w:tcPr>
            <w:tcW w:w="2743" w:type="dxa"/>
            <w:vAlign w:val="center"/>
          </w:tcPr>
          <w:p w:rsidR="00BE5664" w:rsidRDefault="00BE5664" w:rsidP="00BE5664">
            <w:pPr>
              <w:rPr>
                <w:rFonts w:ascii="Times New Roman" w:hAnsi="Times New Roman"/>
                <w:sz w:val="21"/>
                <w:szCs w:val="21"/>
              </w:rPr>
            </w:pPr>
            <w:r>
              <w:rPr>
                <w:rFonts w:ascii="Times New Roman" w:hAnsi="Times New Roman"/>
                <w:sz w:val="21"/>
                <w:szCs w:val="21"/>
              </w:rPr>
              <w:t>模板设计、早拆模板体系、液压自动爬模技术、三类脚手架、悬挑式技术。</w:t>
            </w:r>
          </w:p>
        </w:tc>
        <w:tc>
          <w:tcPr>
            <w:tcW w:w="3350" w:type="dxa"/>
            <w:vAlign w:val="center"/>
          </w:tcPr>
          <w:p w:rsidR="00BE5664" w:rsidRDefault="00BE5664" w:rsidP="00BE5664">
            <w:pPr>
              <w:rPr>
                <w:rFonts w:ascii="Times New Roman" w:hAnsi="Times New Roman"/>
                <w:sz w:val="21"/>
                <w:szCs w:val="21"/>
              </w:rPr>
            </w:pPr>
            <w:r>
              <w:rPr>
                <w:rFonts w:ascii="Times New Roman" w:hAnsi="Times New Roman"/>
                <w:sz w:val="21"/>
                <w:szCs w:val="21"/>
              </w:rPr>
              <w:t>了解各种新技术的技术特点和应用范围。</w:t>
            </w:r>
          </w:p>
        </w:tc>
      </w:tr>
      <w:tr w:rsidR="00BE5664" w:rsidTr="00BE5664">
        <w:trPr>
          <w:trHeight w:val="1307"/>
        </w:trPr>
        <w:tc>
          <w:tcPr>
            <w:tcW w:w="512"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4</w:t>
            </w:r>
          </w:p>
        </w:tc>
        <w:tc>
          <w:tcPr>
            <w:tcW w:w="1756" w:type="dxa"/>
            <w:vAlign w:val="center"/>
          </w:tcPr>
          <w:p w:rsidR="00BE5664" w:rsidRDefault="00BE5664" w:rsidP="00BE5664">
            <w:pPr>
              <w:rPr>
                <w:rFonts w:ascii="Times New Roman" w:hAnsi="Times New Roman"/>
                <w:sz w:val="21"/>
                <w:szCs w:val="21"/>
              </w:rPr>
            </w:pPr>
            <w:r>
              <w:rPr>
                <w:rFonts w:ascii="Times New Roman" w:hAnsi="Times New Roman"/>
                <w:sz w:val="21"/>
                <w:szCs w:val="21"/>
              </w:rPr>
              <w:t>第四章</w:t>
            </w:r>
            <w:r>
              <w:rPr>
                <w:rFonts w:ascii="Times New Roman" w:hAnsi="Times New Roman"/>
                <w:sz w:val="21"/>
                <w:szCs w:val="21"/>
              </w:rPr>
              <w:t xml:space="preserve"> </w:t>
            </w:r>
            <w:r>
              <w:rPr>
                <w:rFonts w:ascii="Times New Roman" w:hAnsi="Times New Roman"/>
                <w:sz w:val="21"/>
                <w:szCs w:val="21"/>
              </w:rPr>
              <w:t>新型混凝土技术</w:t>
            </w:r>
          </w:p>
        </w:tc>
        <w:tc>
          <w:tcPr>
            <w:tcW w:w="794" w:type="dxa"/>
            <w:vAlign w:val="center"/>
          </w:tcPr>
          <w:p w:rsidR="00BE5664" w:rsidRDefault="00BE5664" w:rsidP="00BE5664">
            <w:pPr>
              <w:jc w:val="center"/>
              <w:rPr>
                <w:rFonts w:ascii="Times New Roman" w:hAnsi="Times New Roman"/>
                <w:sz w:val="21"/>
                <w:szCs w:val="21"/>
              </w:rPr>
            </w:pPr>
            <w:r>
              <w:rPr>
                <w:rFonts w:ascii="Times New Roman" w:hAnsi="Times New Roman"/>
                <w:sz w:val="21"/>
                <w:szCs w:val="21"/>
              </w:rPr>
              <w:t>4</w:t>
            </w:r>
          </w:p>
        </w:tc>
        <w:tc>
          <w:tcPr>
            <w:tcW w:w="2743" w:type="dxa"/>
            <w:vAlign w:val="center"/>
          </w:tcPr>
          <w:p w:rsidR="00BE5664" w:rsidRDefault="00BE5664" w:rsidP="00BE5664">
            <w:pPr>
              <w:rPr>
                <w:rFonts w:ascii="Times New Roman" w:hAnsi="Times New Roman"/>
                <w:sz w:val="21"/>
                <w:szCs w:val="21"/>
              </w:rPr>
            </w:pPr>
            <w:r>
              <w:rPr>
                <w:rFonts w:ascii="Times New Roman" w:hAnsi="Times New Roman"/>
                <w:sz w:val="21"/>
                <w:szCs w:val="21"/>
              </w:rPr>
              <w:t>高性能混凝土的特点与原理、自密实混凝土及其工作机理、清水混凝土、超高泵送混凝土技术。</w:t>
            </w:r>
          </w:p>
        </w:tc>
        <w:tc>
          <w:tcPr>
            <w:tcW w:w="3350" w:type="dxa"/>
            <w:vAlign w:val="center"/>
          </w:tcPr>
          <w:p w:rsidR="00BE5664" w:rsidRDefault="00BE5664" w:rsidP="00BE5664">
            <w:pPr>
              <w:rPr>
                <w:rFonts w:ascii="Times New Roman" w:hAnsi="Times New Roman"/>
                <w:sz w:val="21"/>
                <w:szCs w:val="21"/>
              </w:rPr>
            </w:pPr>
            <w:r>
              <w:rPr>
                <w:rFonts w:ascii="Times New Roman" w:hAnsi="Times New Roman"/>
                <w:sz w:val="21"/>
                <w:szCs w:val="21"/>
              </w:rPr>
              <w:t>了解各种新型混凝土的性能特点。</w:t>
            </w:r>
          </w:p>
        </w:tc>
      </w:tr>
      <w:tr w:rsidR="00BE5664" w:rsidTr="00BE5664">
        <w:trPr>
          <w:trHeight w:val="1059"/>
        </w:trPr>
        <w:tc>
          <w:tcPr>
            <w:tcW w:w="512"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5</w:t>
            </w:r>
          </w:p>
        </w:tc>
        <w:tc>
          <w:tcPr>
            <w:tcW w:w="1756" w:type="dxa"/>
            <w:vAlign w:val="center"/>
          </w:tcPr>
          <w:p w:rsidR="00BE5664" w:rsidRDefault="00BE5664" w:rsidP="00BE5664">
            <w:pPr>
              <w:rPr>
                <w:rFonts w:ascii="Times New Roman" w:hAnsi="Times New Roman"/>
                <w:sz w:val="21"/>
                <w:szCs w:val="21"/>
              </w:rPr>
            </w:pPr>
            <w:r>
              <w:rPr>
                <w:rFonts w:ascii="Times New Roman" w:hAnsi="Times New Roman"/>
                <w:sz w:val="21"/>
                <w:szCs w:val="21"/>
              </w:rPr>
              <w:t>第五章</w:t>
            </w:r>
            <w:r>
              <w:rPr>
                <w:rFonts w:ascii="Times New Roman" w:hAnsi="Times New Roman"/>
                <w:sz w:val="21"/>
                <w:szCs w:val="21"/>
              </w:rPr>
              <w:t xml:space="preserve"> </w:t>
            </w:r>
            <w:r>
              <w:rPr>
                <w:rFonts w:ascii="Times New Roman" w:hAnsi="Times New Roman"/>
                <w:sz w:val="21"/>
                <w:szCs w:val="21"/>
              </w:rPr>
              <w:t>钢结构新技术</w:t>
            </w:r>
          </w:p>
        </w:tc>
        <w:tc>
          <w:tcPr>
            <w:tcW w:w="794" w:type="dxa"/>
            <w:vAlign w:val="center"/>
          </w:tcPr>
          <w:p w:rsidR="00BE5664" w:rsidRDefault="00BE5664" w:rsidP="00BE5664">
            <w:pPr>
              <w:jc w:val="center"/>
              <w:rPr>
                <w:rFonts w:ascii="Times New Roman" w:hAnsi="Times New Roman"/>
                <w:sz w:val="21"/>
                <w:szCs w:val="21"/>
              </w:rPr>
            </w:pPr>
            <w:r>
              <w:rPr>
                <w:rFonts w:ascii="Times New Roman" w:hAnsi="Times New Roman"/>
                <w:sz w:val="21"/>
                <w:szCs w:val="21"/>
              </w:rPr>
              <w:t>4</w:t>
            </w:r>
          </w:p>
        </w:tc>
        <w:tc>
          <w:tcPr>
            <w:tcW w:w="2743" w:type="dxa"/>
            <w:vAlign w:val="center"/>
          </w:tcPr>
          <w:p w:rsidR="00BE5664" w:rsidRDefault="00BE5664" w:rsidP="00BE5664">
            <w:pPr>
              <w:rPr>
                <w:rFonts w:ascii="Times New Roman" w:hAnsi="Times New Roman"/>
                <w:sz w:val="21"/>
                <w:szCs w:val="21"/>
              </w:rPr>
            </w:pPr>
            <w:r>
              <w:rPr>
                <w:rFonts w:ascii="Times New Roman" w:hAnsi="Times New Roman"/>
                <w:sz w:val="21"/>
                <w:szCs w:val="21"/>
              </w:rPr>
              <w:t>钢结构安装仿真技术、大型钢构件滑移技术、整体顶升法、钢与混凝土组合结构技术。</w:t>
            </w:r>
          </w:p>
        </w:tc>
        <w:tc>
          <w:tcPr>
            <w:tcW w:w="3350" w:type="dxa"/>
            <w:vAlign w:val="center"/>
          </w:tcPr>
          <w:p w:rsidR="00BE5664" w:rsidRDefault="00BE5664" w:rsidP="00BE5664">
            <w:pPr>
              <w:rPr>
                <w:rFonts w:ascii="Times New Roman" w:hAnsi="Times New Roman"/>
                <w:sz w:val="21"/>
                <w:szCs w:val="21"/>
              </w:rPr>
            </w:pPr>
            <w:r>
              <w:rPr>
                <w:rFonts w:ascii="Times New Roman" w:hAnsi="Times New Roman"/>
                <w:sz w:val="21"/>
                <w:szCs w:val="21"/>
              </w:rPr>
              <w:t>熟悉钢结构及组合结构施工新技术的相关知识。</w:t>
            </w:r>
          </w:p>
        </w:tc>
      </w:tr>
      <w:tr w:rsidR="00BE5664" w:rsidTr="00BE5664">
        <w:trPr>
          <w:trHeight w:val="248"/>
        </w:trPr>
        <w:tc>
          <w:tcPr>
            <w:tcW w:w="512"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6</w:t>
            </w:r>
          </w:p>
        </w:tc>
        <w:tc>
          <w:tcPr>
            <w:tcW w:w="1756" w:type="dxa"/>
            <w:vAlign w:val="center"/>
          </w:tcPr>
          <w:p w:rsidR="00BE5664" w:rsidRDefault="00BE5664" w:rsidP="00BE5664">
            <w:pPr>
              <w:rPr>
                <w:rFonts w:ascii="Times New Roman" w:hAnsi="Times New Roman"/>
                <w:sz w:val="21"/>
                <w:szCs w:val="21"/>
              </w:rPr>
            </w:pPr>
            <w:r>
              <w:rPr>
                <w:rFonts w:ascii="Times New Roman" w:hAnsi="Times New Roman"/>
                <w:sz w:val="21"/>
                <w:szCs w:val="21"/>
              </w:rPr>
              <w:t>第六章</w:t>
            </w:r>
            <w:r>
              <w:rPr>
                <w:rFonts w:ascii="Times New Roman" w:hAnsi="Times New Roman"/>
                <w:sz w:val="21"/>
                <w:szCs w:val="21"/>
              </w:rPr>
              <w:t xml:space="preserve"> </w:t>
            </w:r>
            <w:r>
              <w:rPr>
                <w:rFonts w:ascii="Times New Roman" w:hAnsi="Times New Roman"/>
                <w:sz w:val="21"/>
                <w:szCs w:val="21"/>
              </w:rPr>
              <w:t>建筑防水新技术</w:t>
            </w:r>
          </w:p>
        </w:tc>
        <w:tc>
          <w:tcPr>
            <w:tcW w:w="794" w:type="dxa"/>
            <w:vAlign w:val="center"/>
          </w:tcPr>
          <w:p w:rsidR="00BE5664" w:rsidRDefault="00BE5664" w:rsidP="00BE5664">
            <w:pPr>
              <w:jc w:val="center"/>
              <w:rPr>
                <w:rFonts w:ascii="Times New Roman" w:hAnsi="Times New Roman"/>
                <w:sz w:val="21"/>
                <w:szCs w:val="21"/>
              </w:rPr>
            </w:pPr>
            <w:r>
              <w:rPr>
                <w:rFonts w:ascii="Times New Roman" w:hAnsi="Times New Roman"/>
                <w:sz w:val="21"/>
                <w:szCs w:val="21"/>
              </w:rPr>
              <w:t>2</w:t>
            </w:r>
          </w:p>
        </w:tc>
        <w:tc>
          <w:tcPr>
            <w:tcW w:w="2743" w:type="dxa"/>
            <w:vAlign w:val="center"/>
          </w:tcPr>
          <w:p w:rsidR="00BE5664" w:rsidRDefault="00BE5664" w:rsidP="00BE5664">
            <w:pPr>
              <w:rPr>
                <w:rFonts w:ascii="Times New Roman" w:hAnsi="Times New Roman"/>
                <w:sz w:val="21"/>
                <w:szCs w:val="21"/>
              </w:rPr>
            </w:pPr>
            <w:r>
              <w:rPr>
                <w:rFonts w:ascii="Times New Roman" w:hAnsi="Times New Roman"/>
                <w:sz w:val="21"/>
                <w:szCs w:val="21"/>
              </w:rPr>
              <w:t>主要的建筑防水材料、合成高分子防水卷材、防水涂技术、刚性防水砂浆、建筑密封材料。</w:t>
            </w:r>
          </w:p>
        </w:tc>
        <w:tc>
          <w:tcPr>
            <w:tcW w:w="3350" w:type="dxa"/>
            <w:vAlign w:val="center"/>
          </w:tcPr>
          <w:p w:rsidR="00BE5664" w:rsidRDefault="00BE5664" w:rsidP="00BE5664">
            <w:pPr>
              <w:rPr>
                <w:rFonts w:ascii="Times New Roman" w:hAnsi="Times New Roman"/>
                <w:sz w:val="21"/>
                <w:szCs w:val="21"/>
              </w:rPr>
            </w:pPr>
            <w:r>
              <w:rPr>
                <w:rFonts w:ascii="Times New Roman" w:hAnsi="Times New Roman"/>
                <w:sz w:val="21"/>
                <w:szCs w:val="21"/>
              </w:rPr>
              <w:t>掌握建筑防水应用技术的基本原理和施工技术措施。</w:t>
            </w:r>
          </w:p>
        </w:tc>
      </w:tr>
      <w:tr w:rsidR="00BE5664" w:rsidTr="00BE5664">
        <w:trPr>
          <w:trHeight w:val="555"/>
        </w:trPr>
        <w:tc>
          <w:tcPr>
            <w:tcW w:w="512"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7</w:t>
            </w:r>
          </w:p>
        </w:tc>
        <w:tc>
          <w:tcPr>
            <w:tcW w:w="1756" w:type="dxa"/>
            <w:vAlign w:val="center"/>
          </w:tcPr>
          <w:p w:rsidR="00BE5664" w:rsidRDefault="00BE5664" w:rsidP="00BE5664">
            <w:pPr>
              <w:rPr>
                <w:rFonts w:ascii="Times New Roman" w:hAnsi="Times New Roman"/>
                <w:sz w:val="21"/>
                <w:szCs w:val="21"/>
              </w:rPr>
            </w:pPr>
            <w:r>
              <w:rPr>
                <w:rFonts w:ascii="Times New Roman" w:hAnsi="Times New Roman"/>
                <w:sz w:val="21"/>
                <w:szCs w:val="21"/>
              </w:rPr>
              <w:t>第七章</w:t>
            </w:r>
            <w:r>
              <w:rPr>
                <w:rFonts w:ascii="Times New Roman" w:hAnsi="Times New Roman"/>
                <w:sz w:val="21"/>
                <w:szCs w:val="21"/>
              </w:rPr>
              <w:t xml:space="preserve"> </w:t>
            </w:r>
            <w:r>
              <w:rPr>
                <w:rFonts w:ascii="Times New Roman" w:hAnsi="Times New Roman"/>
                <w:sz w:val="21"/>
                <w:szCs w:val="21"/>
              </w:rPr>
              <w:t>建筑节能与环保应用技术</w:t>
            </w:r>
          </w:p>
        </w:tc>
        <w:tc>
          <w:tcPr>
            <w:tcW w:w="794" w:type="dxa"/>
            <w:vAlign w:val="center"/>
          </w:tcPr>
          <w:p w:rsidR="00BE5664" w:rsidRDefault="00BE5664" w:rsidP="00BE5664">
            <w:pPr>
              <w:jc w:val="center"/>
              <w:rPr>
                <w:rFonts w:ascii="Times New Roman" w:hAnsi="Times New Roman"/>
                <w:sz w:val="21"/>
                <w:szCs w:val="21"/>
              </w:rPr>
            </w:pPr>
            <w:r>
              <w:rPr>
                <w:rFonts w:ascii="Times New Roman" w:hAnsi="Times New Roman"/>
                <w:sz w:val="21"/>
                <w:szCs w:val="21"/>
              </w:rPr>
              <w:t>2</w:t>
            </w:r>
          </w:p>
        </w:tc>
        <w:tc>
          <w:tcPr>
            <w:tcW w:w="2743" w:type="dxa"/>
            <w:vAlign w:val="center"/>
          </w:tcPr>
          <w:p w:rsidR="00BE5664" w:rsidRDefault="00BE5664" w:rsidP="00BE5664">
            <w:pPr>
              <w:rPr>
                <w:rFonts w:ascii="Times New Roman" w:hAnsi="Times New Roman"/>
                <w:sz w:val="21"/>
                <w:szCs w:val="21"/>
              </w:rPr>
            </w:pPr>
            <w:r>
              <w:rPr>
                <w:rFonts w:ascii="Times New Roman" w:hAnsi="Times New Roman"/>
                <w:sz w:val="21"/>
                <w:szCs w:val="21"/>
              </w:rPr>
              <w:t>建筑节能的途径与关键技术、新型墙体材料、节能型门窗、主要屋面构造、预拌砂浆。</w:t>
            </w:r>
          </w:p>
        </w:tc>
        <w:tc>
          <w:tcPr>
            <w:tcW w:w="3350" w:type="dxa"/>
            <w:vAlign w:val="center"/>
          </w:tcPr>
          <w:p w:rsidR="00BE5664" w:rsidRDefault="00BE5664" w:rsidP="00BE5664">
            <w:pPr>
              <w:rPr>
                <w:rFonts w:ascii="Times New Roman" w:hAnsi="Times New Roman"/>
                <w:sz w:val="21"/>
                <w:szCs w:val="21"/>
              </w:rPr>
            </w:pPr>
            <w:r>
              <w:rPr>
                <w:rFonts w:ascii="Times New Roman" w:hAnsi="Times New Roman"/>
                <w:sz w:val="21"/>
                <w:szCs w:val="21"/>
              </w:rPr>
              <w:t>掌握各类新型墙体材料和外墙保温体系。</w:t>
            </w:r>
          </w:p>
        </w:tc>
      </w:tr>
      <w:tr w:rsidR="00BE5664" w:rsidTr="00BE5664">
        <w:trPr>
          <w:trHeight w:val="555"/>
        </w:trPr>
        <w:tc>
          <w:tcPr>
            <w:tcW w:w="512" w:type="dxa"/>
            <w:vAlign w:val="center"/>
          </w:tcPr>
          <w:p w:rsidR="00BE5664" w:rsidRDefault="00BE5664" w:rsidP="00BE5664">
            <w:pPr>
              <w:jc w:val="center"/>
              <w:rPr>
                <w:rFonts w:ascii="Times New Roman" w:hAnsi="Times New Roman"/>
                <w:kern w:val="0"/>
                <w:sz w:val="21"/>
                <w:szCs w:val="21"/>
              </w:rPr>
            </w:pPr>
            <w:r>
              <w:rPr>
                <w:rFonts w:ascii="Times New Roman" w:hAnsi="Times New Roman"/>
                <w:kern w:val="0"/>
                <w:sz w:val="21"/>
                <w:szCs w:val="21"/>
              </w:rPr>
              <w:t>8</w:t>
            </w:r>
          </w:p>
        </w:tc>
        <w:tc>
          <w:tcPr>
            <w:tcW w:w="1756" w:type="dxa"/>
            <w:vAlign w:val="center"/>
          </w:tcPr>
          <w:p w:rsidR="00BE5664" w:rsidRDefault="00BE5664" w:rsidP="00BE5664">
            <w:pPr>
              <w:rPr>
                <w:rFonts w:ascii="Times New Roman" w:hAnsi="Times New Roman"/>
                <w:sz w:val="21"/>
                <w:szCs w:val="21"/>
              </w:rPr>
            </w:pPr>
            <w:r>
              <w:rPr>
                <w:rFonts w:ascii="Times New Roman" w:hAnsi="Times New Roman"/>
                <w:sz w:val="21"/>
                <w:szCs w:val="21"/>
              </w:rPr>
              <w:t>第八章</w:t>
            </w:r>
            <w:r>
              <w:rPr>
                <w:rFonts w:ascii="Times New Roman" w:hAnsi="Times New Roman"/>
                <w:sz w:val="21"/>
                <w:szCs w:val="21"/>
              </w:rPr>
              <w:t xml:space="preserve"> </w:t>
            </w:r>
            <w:r>
              <w:rPr>
                <w:rFonts w:ascii="Times New Roman" w:hAnsi="Times New Roman"/>
                <w:sz w:val="21"/>
                <w:szCs w:val="21"/>
              </w:rPr>
              <w:t>施工过程监测</w:t>
            </w:r>
          </w:p>
        </w:tc>
        <w:tc>
          <w:tcPr>
            <w:tcW w:w="794" w:type="dxa"/>
            <w:vAlign w:val="center"/>
          </w:tcPr>
          <w:p w:rsidR="00BE5664" w:rsidRDefault="00BE5664" w:rsidP="00BE5664">
            <w:pPr>
              <w:jc w:val="center"/>
              <w:rPr>
                <w:rFonts w:ascii="Times New Roman" w:hAnsi="Times New Roman"/>
                <w:sz w:val="21"/>
                <w:szCs w:val="21"/>
              </w:rPr>
            </w:pPr>
            <w:r>
              <w:rPr>
                <w:rFonts w:ascii="Times New Roman" w:hAnsi="Times New Roman"/>
                <w:sz w:val="21"/>
                <w:szCs w:val="21"/>
              </w:rPr>
              <w:t>4</w:t>
            </w:r>
          </w:p>
        </w:tc>
        <w:tc>
          <w:tcPr>
            <w:tcW w:w="2743" w:type="dxa"/>
            <w:vAlign w:val="center"/>
          </w:tcPr>
          <w:p w:rsidR="00BE5664" w:rsidRDefault="00BE5664" w:rsidP="00BE5664">
            <w:pPr>
              <w:rPr>
                <w:rFonts w:ascii="Times New Roman" w:hAnsi="Times New Roman"/>
                <w:sz w:val="21"/>
                <w:szCs w:val="21"/>
              </w:rPr>
            </w:pPr>
            <w:r>
              <w:rPr>
                <w:rFonts w:ascii="Times New Roman" w:hAnsi="Times New Roman"/>
                <w:sz w:val="21"/>
                <w:szCs w:val="21"/>
              </w:rPr>
              <w:t>施工控制网、全站仪的使用、误差分析、深基坑的安全控制、大体积混凝土温度监测和控制。</w:t>
            </w:r>
          </w:p>
        </w:tc>
        <w:tc>
          <w:tcPr>
            <w:tcW w:w="3350" w:type="dxa"/>
            <w:vAlign w:val="center"/>
          </w:tcPr>
          <w:p w:rsidR="00BE5664" w:rsidRDefault="00BE5664" w:rsidP="00BE5664">
            <w:pPr>
              <w:rPr>
                <w:rFonts w:ascii="Times New Roman" w:hAnsi="Times New Roman"/>
                <w:sz w:val="21"/>
                <w:szCs w:val="21"/>
              </w:rPr>
            </w:pPr>
            <w:r>
              <w:rPr>
                <w:rFonts w:ascii="Times New Roman" w:hAnsi="Times New Roman"/>
                <w:sz w:val="21"/>
                <w:szCs w:val="21"/>
              </w:rPr>
              <w:t>熟悉各类施工的监测和控制。</w:t>
            </w:r>
          </w:p>
        </w:tc>
      </w:tr>
    </w:tbl>
    <w:p w:rsidR="00BE5664" w:rsidRDefault="00BE5664" w:rsidP="00BE5664">
      <w:pPr>
        <w:rPr>
          <w:rFonts w:ascii="Times New Roman" w:hAnsi="Times New Roman"/>
        </w:rPr>
      </w:pPr>
    </w:p>
    <w:p w:rsidR="00BE5664" w:rsidRDefault="00BE5664" w:rsidP="00BE5664">
      <w:pPr>
        <w:spacing w:beforeLines="50" w:before="156" w:line="360" w:lineRule="auto"/>
        <w:outlineLvl w:val="0"/>
        <w:rPr>
          <w:rFonts w:ascii="Times New Roman" w:eastAsia="黑体" w:hAnsi="Times New Roman"/>
          <w:b/>
          <w:sz w:val="28"/>
          <w:szCs w:val="28"/>
        </w:rPr>
      </w:pPr>
      <w:r>
        <w:rPr>
          <w:rFonts w:ascii="Times New Roman" w:eastAsia="黑体" w:hAnsi="Times New Roman"/>
          <w:b/>
          <w:sz w:val="28"/>
          <w:szCs w:val="28"/>
        </w:rPr>
        <w:lastRenderedPageBreak/>
        <w:t>五、课程考核和评价方式</w:t>
      </w:r>
    </w:p>
    <w:p w:rsidR="00BE5664" w:rsidRDefault="00BE5664" w:rsidP="00BE5664">
      <w:pPr>
        <w:spacing w:line="360" w:lineRule="auto"/>
        <w:ind w:firstLineChars="200" w:firstLine="560"/>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课程考核</w:t>
      </w:r>
    </w:p>
    <w:p w:rsidR="00BE5664" w:rsidRDefault="00BE5664" w:rsidP="00BE5664">
      <w:pPr>
        <w:spacing w:line="360" w:lineRule="auto"/>
        <w:ind w:firstLineChars="200" w:firstLine="560"/>
        <w:rPr>
          <w:rFonts w:ascii="Times New Roman" w:hAnsi="Times New Roman"/>
          <w:sz w:val="28"/>
          <w:szCs w:val="28"/>
        </w:rPr>
      </w:pPr>
      <w:r>
        <w:rPr>
          <w:rFonts w:ascii="Times New Roman" w:hAnsi="Times New Roman"/>
          <w:sz w:val="28"/>
          <w:szCs w:val="28"/>
        </w:rPr>
        <w:t>考核方式为考查。最终成绩评定，结合平时成绩（</w:t>
      </w:r>
      <w:r>
        <w:rPr>
          <w:rFonts w:ascii="Times New Roman" w:hAnsi="Times New Roman"/>
          <w:sz w:val="28"/>
          <w:szCs w:val="28"/>
        </w:rPr>
        <w:t>20%</w:t>
      </w:r>
      <w:r>
        <w:rPr>
          <w:rFonts w:ascii="Times New Roman" w:hAnsi="Times New Roman"/>
          <w:sz w:val="28"/>
          <w:szCs w:val="28"/>
        </w:rPr>
        <w:t>）</w:t>
      </w:r>
      <w:r>
        <w:rPr>
          <w:rFonts w:ascii="Times New Roman" w:hAnsi="Times New Roman"/>
          <w:sz w:val="28"/>
          <w:szCs w:val="28"/>
        </w:rPr>
        <w:t>+</w:t>
      </w:r>
      <w:r>
        <w:rPr>
          <w:rFonts w:ascii="Times New Roman" w:hAnsi="Times New Roman"/>
          <w:sz w:val="28"/>
          <w:szCs w:val="28"/>
        </w:rPr>
        <w:t>开卷考试成绩（</w:t>
      </w:r>
      <w:r>
        <w:rPr>
          <w:rFonts w:ascii="Times New Roman" w:hAnsi="Times New Roman"/>
          <w:sz w:val="28"/>
          <w:szCs w:val="28"/>
        </w:rPr>
        <w:t>80%</w:t>
      </w:r>
      <w:r>
        <w:rPr>
          <w:rFonts w:ascii="Times New Roman" w:hAnsi="Times New Roman"/>
          <w:sz w:val="28"/>
          <w:szCs w:val="28"/>
        </w:rPr>
        <w:t>），并按优、良、中、及格、不及格五级计分。</w:t>
      </w:r>
    </w:p>
    <w:p w:rsidR="00BE5664" w:rsidRDefault="00BE5664" w:rsidP="00BE5664">
      <w:pPr>
        <w:spacing w:line="360" w:lineRule="auto"/>
        <w:ind w:firstLineChars="200" w:firstLine="560"/>
        <w:rPr>
          <w:rStyle w:val="fontstyle01"/>
          <w:rFonts w:ascii="Times New Roman" w:hAnsi="Times New Roman" w:cs="Times New Roman" w:hint="default"/>
          <w:sz w:val="28"/>
          <w:szCs w:val="28"/>
        </w:rPr>
      </w:pPr>
      <w:r>
        <w:rPr>
          <w:rFonts w:ascii="Times New Roman" w:hAnsi="Times New Roman"/>
          <w:sz w:val="28"/>
          <w:szCs w:val="28"/>
        </w:rPr>
        <w:t>2.</w:t>
      </w:r>
      <w:r>
        <w:rPr>
          <w:rFonts w:ascii="Times New Roman" w:hAnsi="Times New Roman"/>
          <w:sz w:val="28"/>
          <w:szCs w:val="28"/>
        </w:rPr>
        <w:t>成绩评定</w:t>
      </w:r>
    </w:p>
    <w:p w:rsidR="00BE5664" w:rsidRDefault="00BE5664" w:rsidP="00BE5664">
      <w:pPr>
        <w:spacing w:line="360" w:lineRule="auto"/>
        <w:ind w:firstLineChars="200" w:firstLine="560"/>
        <w:rPr>
          <w:rStyle w:val="fontstyle11"/>
          <w:sz w:val="28"/>
          <w:szCs w:val="28"/>
        </w:rPr>
      </w:pPr>
      <w:r>
        <w:rPr>
          <w:rStyle w:val="fontstyle01"/>
          <w:rFonts w:ascii="Times New Roman" w:hAnsi="Times New Roman" w:cs="Times New Roman" w:hint="default"/>
          <w:sz w:val="28"/>
          <w:szCs w:val="28"/>
        </w:rPr>
        <w:t>课程总成绩</w:t>
      </w:r>
      <w:r>
        <w:rPr>
          <w:rStyle w:val="fontstyle01"/>
          <w:rFonts w:ascii="Times New Roman" w:hAnsi="Times New Roman" w:cs="Times New Roman" w:hint="default"/>
          <w:sz w:val="28"/>
          <w:szCs w:val="28"/>
        </w:rPr>
        <w:t>=</w:t>
      </w:r>
      <w:r>
        <w:rPr>
          <w:rStyle w:val="fontstyle01"/>
          <w:rFonts w:ascii="Times New Roman" w:hAnsi="Times New Roman" w:cs="Times New Roman" w:hint="default"/>
          <w:sz w:val="28"/>
          <w:szCs w:val="28"/>
        </w:rPr>
        <w:t>期末成绩</w:t>
      </w:r>
      <w:r>
        <w:rPr>
          <w:rStyle w:val="fontstyle11"/>
          <w:sz w:val="28"/>
          <w:szCs w:val="28"/>
        </w:rPr>
        <w:t>80%+</w:t>
      </w:r>
      <w:r>
        <w:rPr>
          <w:rStyle w:val="fontstyle11"/>
          <w:sz w:val="28"/>
          <w:szCs w:val="28"/>
        </w:rPr>
        <w:t>平时</w:t>
      </w:r>
      <w:r>
        <w:rPr>
          <w:rStyle w:val="fontstyle01"/>
          <w:rFonts w:ascii="Times New Roman" w:hAnsi="Times New Roman" w:cs="Times New Roman" w:hint="default"/>
          <w:sz w:val="28"/>
          <w:szCs w:val="28"/>
        </w:rPr>
        <w:t>成绩</w:t>
      </w:r>
      <w:r>
        <w:rPr>
          <w:rStyle w:val="fontstyle01"/>
          <w:rFonts w:ascii="Times New Roman" w:hAnsi="Times New Roman" w:cs="Times New Roman" w:hint="default"/>
          <w:sz w:val="28"/>
          <w:szCs w:val="28"/>
        </w:rPr>
        <w:t>20</w:t>
      </w:r>
      <w:r>
        <w:rPr>
          <w:rStyle w:val="fontstyle11"/>
          <w:sz w:val="28"/>
          <w:szCs w:val="28"/>
        </w:rPr>
        <w:t>%</w:t>
      </w:r>
      <w:r>
        <w:rPr>
          <w:rStyle w:val="fontstyle11"/>
          <w:sz w:val="28"/>
          <w:szCs w:val="28"/>
        </w:rPr>
        <w:t>。</w:t>
      </w:r>
    </w:p>
    <w:p w:rsidR="00BE5664" w:rsidRDefault="00BE5664" w:rsidP="00BE5664">
      <w:pPr>
        <w:spacing w:line="360" w:lineRule="auto"/>
        <w:ind w:firstLineChars="200" w:firstLine="560"/>
        <w:rPr>
          <w:rStyle w:val="fontstyle11"/>
          <w:sz w:val="28"/>
          <w:szCs w:val="28"/>
        </w:rPr>
      </w:pPr>
      <w:r>
        <w:rPr>
          <w:rStyle w:val="fontstyle11"/>
          <w:sz w:val="28"/>
          <w:szCs w:val="28"/>
        </w:rPr>
        <w:t>（</w:t>
      </w:r>
      <w:r>
        <w:rPr>
          <w:rStyle w:val="fontstyle11"/>
          <w:sz w:val="28"/>
          <w:szCs w:val="28"/>
        </w:rPr>
        <w:t>1</w:t>
      </w:r>
      <w:r>
        <w:rPr>
          <w:rStyle w:val="fontstyle11"/>
          <w:sz w:val="28"/>
          <w:szCs w:val="28"/>
        </w:rPr>
        <w:t>）试题评分标准</w:t>
      </w:r>
    </w:p>
    <w:p w:rsidR="00BE5664" w:rsidRDefault="00BE5664" w:rsidP="00BE5664">
      <w:pPr>
        <w:spacing w:line="360" w:lineRule="auto"/>
        <w:ind w:firstLineChars="200" w:firstLine="560"/>
        <w:rPr>
          <w:rStyle w:val="fontstyle11"/>
          <w:sz w:val="28"/>
          <w:szCs w:val="28"/>
        </w:rPr>
      </w:pPr>
      <w:r>
        <w:rPr>
          <w:rStyle w:val="fontstyle11"/>
          <w:sz w:val="28"/>
          <w:szCs w:val="28"/>
        </w:rPr>
        <w:t>客观题根据题目的正确率判定评分，主观题参考作业评分标准。</w:t>
      </w:r>
    </w:p>
    <w:p w:rsidR="00BE5664" w:rsidRDefault="00BE5664" w:rsidP="00BE5664">
      <w:pPr>
        <w:autoSpaceDE w:val="0"/>
        <w:autoSpaceDN w:val="0"/>
        <w:adjustRightInd w:val="0"/>
        <w:spacing w:afterLines="50" w:after="156"/>
        <w:ind w:firstLineChars="200" w:firstLine="560"/>
        <w:jc w:val="left"/>
        <w:rPr>
          <w:rFonts w:ascii="Times New Roman" w:hAnsi="Times New Roman"/>
          <w:kern w:val="0"/>
          <w:sz w:val="28"/>
          <w:szCs w:val="28"/>
        </w:rPr>
      </w:pPr>
      <w:r>
        <w:rPr>
          <w:rFonts w:ascii="Times New Roman" w:hAnsi="Times New Roman"/>
          <w:kern w:val="0"/>
          <w:sz w:val="28"/>
          <w:szCs w:val="28"/>
        </w:rPr>
        <w:t>（</w:t>
      </w:r>
      <w:r>
        <w:rPr>
          <w:rFonts w:ascii="Times New Roman" w:hAnsi="Times New Roman"/>
          <w:kern w:val="0"/>
          <w:sz w:val="28"/>
          <w:szCs w:val="28"/>
        </w:rPr>
        <w:t>2</w:t>
      </w:r>
      <w:r>
        <w:rPr>
          <w:rFonts w:ascii="Times New Roman" w:hAnsi="Times New Roman"/>
          <w:kern w:val="0"/>
          <w:sz w:val="28"/>
          <w:szCs w:val="28"/>
        </w:rPr>
        <w:t>）作业评分标准</w:t>
      </w:r>
    </w:p>
    <w:tbl>
      <w:tblPr>
        <w:tblW w:w="8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1753"/>
        <w:gridCol w:w="1754"/>
        <w:gridCol w:w="1754"/>
        <w:gridCol w:w="1754"/>
      </w:tblGrid>
      <w:tr w:rsidR="00BE5664" w:rsidTr="00BE5664">
        <w:trPr>
          <w:trHeight w:val="301"/>
          <w:jc w:val="center"/>
        </w:trPr>
        <w:tc>
          <w:tcPr>
            <w:tcW w:w="1753"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权重</w:t>
            </w:r>
          </w:p>
        </w:tc>
        <w:tc>
          <w:tcPr>
            <w:tcW w:w="1753"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Style w:val="fontstyle11"/>
                <w:sz w:val="21"/>
                <w:szCs w:val="21"/>
              </w:rPr>
              <w:t>86-100</w:t>
            </w:r>
            <w:r>
              <w:rPr>
                <w:rStyle w:val="fontstyle11"/>
                <w:sz w:val="21"/>
                <w:szCs w:val="21"/>
              </w:rPr>
              <w:t>分</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Style w:val="fontstyle11"/>
                <w:sz w:val="21"/>
                <w:szCs w:val="21"/>
              </w:rPr>
              <w:t>71-85</w:t>
            </w:r>
            <w:r>
              <w:rPr>
                <w:rStyle w:val="fontstyle11"/>
                <w:sz w:val="21"/>
                <w:szCs w:val="21"/>
              </w:rPr>
              <w:t>分</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Style w:val="fontstyle11"/>
                <w:sz w:val="21"/>
                <w:szCs w:val="21"/>
              </w:rPr>
              <w:t>50-70</w:t>
            </w:r>
            <w:r>
              <w:rPr>
                <w:rStyle w:val="fontstyle11"/>
                <w:sz w:val="21"/>
                <w:szCs w:val="21"/>
              </w:rPr>
              <w:t>分</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Style w:val="fontstyle11"/>
                <w:sz w:val="21"/>
                <w:szCs w:val="21"/>
              </w:rPr>
              <w:t>0-49</w:t>
            </w:r>
            <w:r>
              <w:rPr>
                <w:rStyle w:val="fontstyle11"/>
                <w:sz w:val="21"/>
                <w:szCs w:val="21"/>
              </w:rPr>
              <w:t>分</w:t>
            </w:r>
          </w:p>
        </w:tc>
      </w:tr>
      <w:tr w:rsidR="00BE5664" w:rsidTr="00BE5664">
        <w:trPr>
          <w:trHeight w:val="399"/>
          <w:jc w:val="center"/>
        </w:trPr>
        <w:tc>
          <w:tcPr>
            <w:tcW w:w="1753"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作业完成态度</w:t>
            </w:r>
          </w:p>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（权重</w:t>
            </w:r>
            <w:r>
              <w:rPr>
                <w:rFonts w:ascii="Times New Roman" w:hAnsi="Times New Roman"/>
                <w:kern w:val="0"/>
                <w:sz w:val="21"/>
                <w:szCs w:val="21"/>
              </w:rPr>
              <w:t>0.2</w:t>
            </w:r>
            <w:r>
              <w:rPr>
                <w:rFonts w:ascii="Times New Roman" w:hAnsi="Times New Roman"/>
                <w:kern w:val="0"/>
                <w:sz w:val="21"/>
                <w:szCs w:val="21"/>
              </w:rPr>
              <w:t>）</w:t>
            </w:r>
          </w:p>
        </w:tc>
        <w:tc>
          <w:tcPr>
            <w:tcW w:w="1753"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非常认真</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较认真</w:t>
            </w:r>
          </w:p>
        </w:tc>
        <w:tc>
          <w:tcPr>
            <w:tcW w:w="1754" w:type="dxa"/>
            <w:shd w:val="clear" w:color="auto" w:fill="auto"/>
            <w:vAlign w:val="center"/>
          </w:tcPr>
          <w:p w:rsidR="00BE5664" w:rsidRDefault="00BE5664" w:rsidP="00BE5664">
            <w:pPr>
              <w:autoSpaceDE w:val="0"/>
              <w:autoSpaceDN w:val="0"/>
              <w:adjustRightInd w:val="0"/>
              <w:jc w:val="center"/>
              <w:rPr>
                <w:rStyle w:val="fontstyle11"/>
                <w:sz w:val="21"/>
                <w:szCs w:val="21"/>
              </w:rPr>
            </w:pPr>
            <w:r>
              <w:rPr>
                <w:rStyle w:val="fontstyle11"/>
                <w:sz w:val="21"/>
                <w:szCs w:val="21"/>
              </w:rPr>
              <w:t>一般认真</w:t>
            </w:r>
          </w:p>
        </w:tc>
        <w:tc>
          <w:tcPr>
            <w:tcW w:w="1754" w:type="dxa"/>
            <w:shd w:val="clear" w:color="auto" w:fill="auto"/>
            <w:vAlign w:val="center"/>
          </w:tcPr>
          <w:p w:rsidR="00BE5664" w:rsidRDefault="00BE5664" w:rsidP="00BE5664">
            <w:pPr>
              <w:autoSpaceDE w:val="0"/>
              <w:autoSpaceDN w:val="0"/>
              <w:adjustRightInd w:val="0"/>
              <w:jc w:val="center"/>
              <w:rPr>
                <w:rStyle w:val="fontstyle11"/>
                <w:sz w:val="21"/>
                <w:szCs w:val="21"/>
              </w:rPr>
            </w:pPr>
            <w:r>
              <w:rPr>
                <w:rStyle w:val="fontstyle11"/>
                <w:sz w:val="21"/>
                <w:szCs w:val="21"/>
              </w:rPr>
              <w:t>不认真</w:t>
            </w:r>
          </w:p>
        </w:tc>
      </w:tr>
      <w:tr w:rsidR="00BE5664" w:rsidTr="00BE5664">
        <w:trPr>
          <w:trHeight w:val="399"/>
          <w:jc w:val="center"/>
        </w:trPr>
        <w:tc>
          <w:tcPr>
            <w:tcW w:w="1753"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作业完成正确率</w:t>
            </w:r>
          </w:p>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（权重</w:t>
            </w:r>
            <w:r>
              <w:rPr>
                <w:rFonts w:ascii="Times New Roman" w:hAnsi="Times New Roman"/>
                <w:kern w:val="0"/>
                <w:sz w:val="21"/>
                <w:szCs w:val="21"/>
              </w:rPr>
              <w:t>0.8</w:t>
            </w:r>
            <w:r>
              <w:rPr>
                <w:rFonts w:ascii="Times New Roman" w:hAnsi="Times New Roman"/>
                <w:kern w:val="0"/>
                <w:sz w:val="21"/>
                <w:szCs w:val="21"/>
              </w:rPr>
              <w:t>）</w:t>
            </w:r>
          </w:p>
        </w:tc>
        <w:tc>
          <w:tcPr>
            <w:tcW w:w="1753"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正确率达</w:t>
            </w:r>
            <w:r>
              <w:rPr>
                <w:rFonts w:ascii="Times New Roman" w:hAnsi="Times New Roman"/>
                <w:kern w:val="0"/>
                <w:sz w:val="21"/>
                <w:szCs w:val="21"/>
              </w:rPr>
              <w:t>86%</w:t>
            </w:r>
            <w:r>
              <w:rPr>
                <w:rFonts w:ascii="Times New Roman" w:hAnsi="Times New Roman"/>
                <w:kern w:val="0"/>
                <w:sz w:val="21"/>
                <w:szCs w:val="21"/>
              </w:rPr>
              <w:t>以上</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正确率达</w:t>
            </w:r>
            <w:r>
              <w:rPr>
                <w:rFonts w:ascii="Times New Roman" w:hAnsi="Times New Roman"/>
                <w:kern w:val="0"/>
                <w:sz w:val="21"/>
                <w:szCs w:val="21"/>
              </w:rPr>
              <w:t>71%</w:t>
            </w:r>
            <w:r>
              <w:rPr>
                <w:rFonts w:ascii="Times New Roman" w:hAnsi="Times New Roman"/>
                <w:kern w:val="0"/>
                <w:sz w:val="21"/>
                <w:szCs w:val="21"/>
              </w:rPr>
              <w:t>以上</w:t>
            </w:r>
          </w:p>
        </w:tc>
        <w:tc>
          <w:tcPr>
            <w:tcW w:w="1754" w:type="dxa"/>
            <w:shd w:val="clear" w:color="auto" w:fill="auto"/>
            <w:vAlign w:val="center"/>
          </w:tcPr>
          <w:p w:rsidR="00BE5664" w:rsidRDefault="00BE5664" w:rsidP="00BE5664">
            <w:pPr>
              <w:autoSpaceDE w:val="0"/>
              <w:autoSpaceDN w:val="0"/>
              <w:adjustRightInd w:val="0"/>
              <w:jc w:val="center"/>
              <w:rPr>
                <w:rStyle w:val="fontstyle11"/>
                <w:sz w:val="21"/>
                <w:szCs w:val="21"/>
              </w:rPr>
            </w:pPr>
            <w:r>
              <w:rPr>
                <w:rFonts w:ascii="Times New Roman" w:hAnsi="Times New Roman"/>
                <w:kern w:val="0"/>
                <w:sz w:val="21"/>
                <w:szCs w:val="21"/>
              </w:rPr>
              <w:t>正确率达</w:t>
            </w:r>
            <w:r>
              <w:rPr>
                <w:rFonts w:ascii="Times New Roman" w:hAnsi="Times New Roman"/>
                <w:kern w:val="0"/>
                <w:sz w:val="21"/>
                <w:szCs w:val="21"/>
              </w:rPr>
              <w:t>50%</w:t>
            </w:r>
            <w:r>
              <w:rPr>
                <w:rFonts w:ascii="Times New Roman" w:hAnsi="Times New Roman"/>
                <w:kern w:val="0"/>
                <w:sz w:val="21"/>
                <w:szCs w:val="21"/>
              </w:rPr>
              <w:t>以上</w:t>
            </w:r>
          </w:p>
        </w:tc>
        <w:tc>
          <w:tcPr>
            <w:tcW w:w="1754" w:type="dxa"/>
            <w:shd w:val="clear" w:color="auto" w:fill="auto"/>
            <w:vAlign w:val="center"/>
          </w:tcPr>
          <w:p w:rsidR="00BE5664" w:rsidRDefault="00BE5664" w:rsidP="00BE5664">
            <w:pPr>
              <w:autoSpaceDE w:val="0"/>
              <w:autoSpaceDN w:val="0"/>
              <w:adjustRightInd w:val="0"/>
              <w:jc w:val="center"/>
              <w:rPr>
                <w:rStyle w:val="fontstyle11"/>
                <w:sz w:val="21"/>
                <w:szCs w:val="21"/>
              </w:rPr>
            </w:pPr>
            <w:r>
              <w:rPr>
                <w:rFonts w:ascii="Times New Roman" w:hAnsi="Times New Roman"/>
                <w:kern w:val="0"/>
                <w:sz w:val="21"/>
                <w:szCs w:val="21"/>
              </w:rPr>
              <w:t>正确率低于</w:t>
            </w:r>
            <w:r>
              <w:rPr>
                <w:rFonts w:ascii="Times New Roman" w:hAnsi="Times New Roman"/>
                <w:kern w:val="0"/>
                <w:sz w:val="21"/>
                <w:szCs w:val="21"/>
              </w:rPr>
              <w:t>50%</w:t>
            </w:r>
          </w:p>
        </w:tc>
      </w:tr>
    </w:tbl>
    <w:p w:rsidR="00BE5664" w:rsidRDefault="00BE5664" w:rsidP="00BE5664">
      <w:pPr>
        <w:autoSpaceDE w:val="0"/>
        <w:autoSpaceDN w:val="0"/>
        <w:adjustRightInd w:val="0"/>
        <w:spacing w:beforeLines="50" w:before="156" w:afterLines="50" w:after="156"/>
        <w:ind w:firstLineChars="200" w:firstLine="560"/>
        <w:jc w:val="left"/>
        <w:rPr>
          <w:rFonts w:ascii="Times New Roman" w:hAnsi="Times New Roman"/>
          <w:kern w:val="0"/>
          <w:sz w:val="28"/>
          <w:szCs w:val="28"/>
        </w:rPr>
      </w:pPr>
      <w:r>
        <w:rPr>
          <w:rFonts w:ascii="Times New Roman" w:hAnsi="Times New Roman"/>
          <w:kern w:val="0"/>
          <w:sz w:val="28"/>
          <w:szCs w:val="28"/>
        </w:rPr>
        <w:t>（</w:t>
      </w:r>
      <w:r>
        <w:rPr>
          <w:rFonts w:ascii="Times New Roman" w:hAnsi="Times New Roman"/>
          <w:kern w:val="0"/>
          <w:sz w:val="28"/>
          <w:szCs w:val="28"/>
        </w:rPr>
        <w:t>3</w:t>
      </w:r>
      <w:r>
        <w:rPr>
          <w:rFonts w:ascii="Times New Roman" w:hAnsi="Times New Roman"/>
          <w:kern w:val="0"/>
          <w:sz w:val="28"/>
          <w:szCs w:val="28"/>
        </w:rPr>
        <w:t>）课堂表现评分标准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BE5664" w:rsidTr="00BE5664">
        <w:trPr>
          <w:trHeight w:val="281"/>
          <w:jc w:val="center"/>
        </w:trPr>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0"/>
                <w:szCs w:val="20"/>
              </w:rPr>
            </w:pPr>
            <w:r>
              <w:rPr>
                <w:rFonts w:ascii="Times New Roman" w:hAnsi="Times New Roman"/>
                <w:kern w:val="0"/>
                <w:sz w:val="20"/>
                <w:szCs w:val="20"/>
              </w:rPr>
              <w:t>权重</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0"/>
                <w:szCs w:val="20"/>
              </w:rPr>
            </w:pPr>
            <w:r>
              <w:rPr>
                <w:rStyle w:val="fontstyle11"/>
                <w:sz w:val="20"/>
                <w:szCs w:val="20"/>
              </w:rPr>
              <w:t>86-100</w:t>
            </w:r>
            <w:r>
              <w:rPr>
                <w:rStyle w:val="fontstyle11"/>
                <w:sz w:val="20"/>
                <w:szCs w:val="20"/>
              </w:rPr>
              <w:t>分</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0"/>
                <w:szCs w:val="20"/>
              </w:rPr>
            </w:pPr>
            <w:r>
              <w:rPr>
                <w:rStyle w:val="fontstyle11"/>
                <w:sz w:val="20"/>
                <w:szCs w:val="20"/>
              </w:rPr>
              <w:t>71-85</w:t>
            </w:r>
            <w:r>
              <w:rPr>
                <w:rStyle w:val="fontstyle11"/>
                <w:sz w:val="20"/>
                <w:szCs w:val="20"/>
              </w:rPr>
              <w:t>分</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0"/>
                <w:szCs w:val="20"/>
              </w:rPr>
            </w:pPr>
            <w:r>
              <w:rPr>
                <w:rStyle w:val="fontstyle11"/>
                <w:sz w:val="20"/>
                <w:szCs w:val="20"/>
              </w:rPr>
              <w:t>50-70</w:t>
            </w:r>
            <w:r>
              <w:rPr>
                <w:rStyle w:val="fontstyle11"/>
                <w:sz w:val="20"/>
                <w:szCs w:val="20"/>
              </w:rPr>
              <w:t>分</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0"/>
                <w:szCs w:val="20"/>
              </w:rPr>
            </w:pPr>
            <w:r>
              <w:rPr>
                <w:rStyle w:val="fontstyle11"/>
                <w:sz w:val="20"/>
                <w:szCs w:val="20"/>
              </w:rPr>
              <w:t>0-49</w:t>
            </w:r>
            <w:r>
              <w:rPr>
                <w:rStyle w:val="fontstyle11"/>
                <w:sz w:val="20"/>
                <w:szCs w:val="20"/>
              </w:rPr>
              <w:t>分</w:t>
            </w:r>
          </w:p>
        </w:tc>
      </w:tr>
      <w:tr w:rsidR="00BE5664" w:rsidTr="00BE5664">
        <w:trPr>
          <w:trHeight w:val="372"/>
          <w:jc w:val="center"/>
        </w:trPr>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0"/>
                <w:szCs w:val="20"/>
              </w:rPr>
            </w:pPr>
            <w:r>
              <w:rPr>
                <w:rFonts w:ascii="Times New Roman" w:hAnsi="Times New Roman"/>
                <w:kern w:val="0"/>
                <w:sz w:val="20"/>
                <w:szCs w:val="20"/>
              </w:rPr>
              <w:t>回答问题准确性（权重</w:t>
            </w:r>
            <w:r>
              <w:rPr>
                <w:rFonts w:ascii="Times New Roman" w:hAnsi="Times New Roman"/>
                <w:kern w:val="0"/>
                <w:sz w:val="20"/>
                <w:szCs w:val="20"/>
              </w:rPr>
              <w:t>1.0</w:t>
            </w:r>
            <w:r>
              <w:rPr>
                <w:rFonts w:ascii="Times New Roman" w:hAnsi="Times New Roman"/>
                <w:kern w:val="0"/>
                <w:sz w:val="20"/>
                <w:szCs w:val="20"/>
              </w:rPr>
              <w:t>）</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0"/>
                <w:szCs w:val="20"/>
              </w:rPr>
            </w:pPr>
            <w:r>
              <w:rPr>
                <w:rFonts w:ascii="Times New Roman" w:hAnsi="Times New Roman"/>
                <w:kern w:val="0"/>
                <w:sz w:val="20"/>
                <w:szCs w:val="20"/>
              </w:rPr>
              <w:t>正确率达</w:t>
            </w:r>
            <w:r>
              <w:rPr>
                <w:rFonts w:ascii="Times New Roman" w:hAnsi="Times New Roman"/>
                <w:kern w:val="0"/>
                <w:sz w:val="20"/>
                <w:szCs w:val="20"/>
              </w:rPr>
              <w:t>86%</w:t>
            </w:r>
            <w:r>
              <w:rPr>
                <w:rFonts w:ascii="Times New Roman" w:hAnsi="Times New Roman"/>
                <w:kern w:val="0"/>
                <w:sz w:val="20"/>
                <w:szCs w:val="20"/>
              </w:rPr>
              <w:t>以上</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0"/>
                <w:szCs w:val="20"/>
              </w:rPr>
            </w:pPr>
            <w:r>
              <w:rPr>
                <w:rFonts w:ascii="Times New Roman" w:hAnsi="Times New Roman"/>
                <w:kern w:val="0"/>
                <w:sz w:val="20"/>
                <w:szCs w:val="20"/>
              </w:rPr>
              <w:t>正确率达</w:t>
            </w:r>
            <w:r>
              <w:rPr>
                <w:rFonts w:ascii="Times New Roman" w:hAnsi="Times New Roman"/>
                <w:kern w:val="0"/>
                <w:sz w:val="20"/>
                <w:szCs w:val="20"/>
              </w:rPr>
              <w:t>71%</w:t>
            </w:r>
            <w:r>
              <w:rPr>
                <w:rFonts w:ascii="Times New Roman" w:hAnsi="Times New Roman"/>
                <w:kern w:val="0"/>
                <w:sz w:val="20"/>
                <w:szCs w:val="20"/>
              </w:rPr>
              <w:t>以上</w:t>
            </w:r>
          </w:p>
        </w:tc>
        <w:tc>
          <w:tcPr>
            <w:tcW w:w="1754" w:type="dxa"/>
            <w:shd w:val="clear" w:color="auto" w:fill="auto"/>
            <w:vAlign w:val="center"/>
          </w:tcPr>
          <w:p w:rsidR="00BE5664" w:rsidRDefault="00BE5664" w:rsidP="00BE5664">
            <w:pPr>
              <w:autoSpaceDE w:val="0"/>
              <w:autoSpaceDN w:val="0"/>
              <w:adjustRightInd w:val="0"/>
              <w:jc w:val="center"/>
              <w:rPr>
                <w:rStyle w:val="fontstyle11"/>
                <w:sz w:val="20"/>
                <w:szCs w:val="20"/>
              </w:rPr>
            </w:pPr>
            <w:r>
              <w:rPr>
                <w:rFonts w:ascii="Times New Roman" w:hAnsi="Times New Roman"/>
                <w:kern w:val="0"/>
                <w:sz w:val="20"/>
                <w:szCs w:val="20"/>
              </w:rPr>
              <w:t>正确率达</w:t>
            </w:r>
            <w:r>
              <w:rPr>
                <w:rFonts w:ascii="Times New Roman" w:hAnsi="Times New Roman"/>
                <w:kern w:val="0"/>
                <w:sz w:val="20"/>
                <w:szCs w:val="20"/>
              </w:rPr>
              <w:t>50%</w:t>
            </w:r>
            <w:r>
              <w:rPr>
                <w:rFonts w:ascii="Times New Roman" w:hAnsi="Times New Roman"/>
                <w:kern w:val="0"/>
                <w:sz w:val="20"/>
                <w:szCs w:val="20"/>
              </w:rPr>
              <w:t>以上</w:t>
            </w:r>
          </w:p>
        </w:tc>
        <w:tc>
          <w:tcPr>
            <w:tcW w:w="1754" w:type="dxa"/>
            <w:shd w:val="clear" w:color="auto" w:fill="auto"/>
            <w:vAlign w:val="center"/>
          </w:tcPr>
          <w:p w:rsidR="00BE5664" w:rsidRDefault="00BE5664" w:rsidP="00BE5664">
            <w:pPr>
              <w:autoSpaceDE w:val="0"/>
              <w:autoSpaceDN w:val="0"/>
              <w:adjustRightInd w:val="0"/>
              <w:jc w:val="center"/>
              <w:rPr>
                <w:rStyle w:val="fontstyle11"/>
                <w:sz w:val="20"/>
                <w:szCs w:val="20"/>
              </w:rPr>
            </w:pPr>
            <w:r>
              <w:rPr>
                <w:rFonts w:ascii="Times New Roman" w:hAnsi="Times New Roman"/>
                <w:kern w:val="0"/>
                <w:sz w:val="20"/>
                <w:szCs w:val="20"/>
              </w:rPr>
              <w:t>正确率低于</w:t>
            </w:r>
            <w:r>
              <w:rPr>
                <w:rFonts w:ascii="Times New Roman" w:hAnsi="Times New Roman"/>
                <w:kern w:val="0"/>
                <w:sz w:val="20"/>
                <w:szCs w:val="20"/>
              </w:rPr>
              <w:t>50%</w:t>
            </w:r>
          </w:p>
        </w:tc>
      </w:tr>
    </w:tbl>
    <w:p w:rsidR="00BE5664" w:rsidRDefault="00BE5664" w:rsidP="00BE5664">
      <w:pPr>
        <w:autoSpaceDE w:val="0"/>
        <w:autoSpaceDN w:val="0"/>
        <w:adjustRightInd w:val="0"/>
        <w:spacing w:beforeLines="50" w:before="156" w:afterLines="50" w:after="156"/>
        <w:ind w:firstLineChars="200" w:firstLine="560"/>
        <w:jc w:val="left"/>
        <w:rPr>
          <w:rStyle w:val="fontstyle11"/>
          <w:sz w:val="28"/>
          <w:szCs w:val="28"/>
        </w:rPr>
      </w:pPr>
      <w:r>
        <w:rPr>
          <w:rStyle w:val="fontstyle11"/>
          <w:sz w:val="28"/>
          <w:szCs w:val="28"/>
        </w:rPr>
        <w:t>（</w:t>
      </w:r>
      <w:r>
        <w:rPr>
          <w:rStyle w:val="fontstyle11"/>
          <w:sz w:val="28"/>
          <w:szCs w:val="28"/>
        </w:rPr>
        <w:t>4</w:t>
      </w:r>
      <w:r>
        <w:rPr>
          <w:rStyle w:val="fontstyle11"/>
          <w:sz w:val="28"/>
          <w:szCs w:val="28"/>
        </w:rPr>
        <w:t>）课堂出勤评分标准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BE5664" w:rsidTr="00BE5664">
        <w:trPr>
          <w:trHeight w:val="281"/>
          <w:jc w:val="center"/>
        </w:trPr>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权重</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Style w:val="fontstyle11"/>
                <w:sz w:val="21"/>
                <w:szCs w:val="21"/>
              </w:rPr>
              <w:t>81-100</w:t>
            </w:r>
            <w:r>
              <w:rPr>
                <w:rStyle w:val="fontstyle11"/>
                <w:sz w:val="21"/>
                <w:szCs w:val="21"/>
              </w:rPr>
              <w:t>分</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Style w:val="fontstyle11"/>
                <w:sz w:val="21"/>
                <w:szCs w:val="21"/>
              </w:rPr>
              <w:t>51-80</w:t>
            </w:r>
            <w:r>
              <w:rPr>
                <w:rStyle w:val="fontstyle11"/>
                <w:sz w:val="21"/>
                <w:szCs w:val="21"/>
              </w:rPr>
              <w:t>分</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Style w:val="fontstyle11"/>
                <w:sz w:val="21"/>
                <w:szCs w:val="21"/>
              </w:rPr>
              <w:t>26-50</w:t>
            </w:r>
            <w:r>
              <w:rPr>
                <w:rStyle w:val="fontstyle11"/>
                <w:sz w:val="21"/>
                <w:szCs w:val="21"/>
              </w:rPr>
              <w:t>分</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Style w:val="fontstyle11"/>
                <w:sz w:val="21"/>
                <w:szCs w:val="21"/>
              </w:rPr>
              <w:t>0-25</w:t>
            </w:r>
            <w:r>
              <w:rPr>
                <w:rStyle w:val="fontstyle11"/>
                <w:sz w:val="21"/>
                <w:szCs w:val="21"/>
              </w:rPr>
              <w:t>分</w:t>
            </w:r>
          </w:p>
        </w:tc>
      </w:tr>
      <w:tr w:rsidR="00BE5664" w:rsidTr="00BE5664">
        <w:trPr>
          <w:trHeight w:val="372"/>
          <w:jc w:val="center"/>
        </w:trPr>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课堂出勤率</w:t>
            </w:r>
          </w:p>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（权重</w:t>
            </w:r>
            <w:r>
              <w:rPr>
                <w:rFonts w:ascii="Times New Roman" w:hAnsi="Times New Roman"/>
                <w:kern w:val="0"/>
                <w:sz w:val="21"/>
                <w:szCs w:val="21"/>
              </w:rPr>
              <w:t>1.0</w:t>
            </w:r>
            <w:r>
              <w:rPr>
                <w:rFonts w:ascii="Times New Roman" w:hAnsi="Times New Roman"/>
                <w:kern w:val="0"/>
                <w:sz w:val="21"/>
                <w:szCs w:val="21"/>
              </w:rPr>
              <w:t>）</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出勤率达</w:t>
            </w:r>
            <w:r>
              <w:rPr>
                <w:rFonts w:ascii="Times New Roman" w:hAnsi="Times New Roman"/>
                <w:kern w:val="0"/>
                <w:sz w:val="21"/>
                <w:szCs w:val="21"/>
              </w:rPr>
              <w:t>81%</w:t>
            </w:r>
            <w:r>
              <w:rPr>
                <w:rFonts w:ascii="Times New Roman" w:hAnsi="Times New Roman"/>
                <w:kern w:val="0"/>
                <w:sz w:val="21"/>
                <w:szCs w:val="21"/>
              </w:rPr>
              <w:t>以上</w:t>
            </w:r>
          </w:p>
        </w:tc>
        <w:tc>
          <w:tcPr>
            <w:tcW w:w="1754" w:type="dxa"/>
            <w:shd w:val="clear" w:color="auto" w:fill="auto"/>
            <w:vAlign w:val="center"/>
          </w:tcPr>
          <w:p w:rsidR="00BE5664" w:rsidRDefault="00BE5664" w:rsidP="00BE5664">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出勤率达</w:t>
            </w:r>
            <w:r>
              <w:rPr>
                <w:rFonts w:ascii="Times New Roman" w:hAnsi="Times New Roman"/>
                <w:kern w:val="0"/>
                <w:sz w:val="21"/>
                <w:szCs w:val="21"/>
              </w:rPr>
              <w:t>51%</w:t>
            </w:r>
            <w:r>
              <w:rPr>
                <w:rFonts w:ascii="Times New Roman" w:hAnsi="Times New Roman"/>
                <w:kern w:val="0"/>
                <w:sz w:val="21"/>
                <w:szCs w:val="21"/>
              </w:rPr>
              <w:t>以上</w:t>
            </w:r>
          </w:p>
        </w:tc>
        <w:tc>
          <w:tcPr>
            <w:tcW w:w="1754" w:type="dxa"/>
            <w:shd w:val="clear" w:color="auto" w:fill="auto"/>
            <w:vAlign w:val="center"/>
          </w:tcPr>
          <w:p w:rsidR="00BE5664" w:rsidRDefault="00BE5664" w:rsidP="00BE5664">
            <w:pPr>
              <w:autoSpaceDE w:val="0"/>
              <w:autoSpaceDN w:val="0"/>
              <w:adjustRightInd w:val="0"/>
              <w:jc w:val="center"/>
              <w:rPr>
                <w:rStyle w:val="fontstyle11"/>
                <w:sz w:val="21"/>
                <w:szCs w:val="21"/>
              </w:rPr>
            </w:pPr>
            <w:r>
              <w:rPr>
                <w:rFonts w:ascii="Times New Roman" w:hAnsi="Times New Roman"/>
                <w:kern w:val="0"/>
                <w:sz w:val="21"/>
                <w:szCs w:val="21"/>
              </w:rPr>
              <w:t>出勤率达</w:t>
            </w:r>
            <w:r>
              <w:rPr>
                <w:rFonts w:ascii="Times New Roman" w:hAnsi="Times New Roman"/>
                <w:kern w:val="0"/>
                <w:sz w:val="21"/>
                <w:szCs w:val="21"/>
              </w:rPr>
              <w:t>26%</w:t>
            </w:r>
            <w:r>
              <w:rPr>
                <w:rFonts w:ascii="Times New Roman" w:hAnsi="Times New Roman"/>
                <w:kern w:val="0"/>
                <w:sz w:val="21"/>
                <w:szCs w:val="21"/>
              </w:rPr>
              <w:t>以上</w:t>
            </w:r>
          </w:p>
        </w:tc>
        <w:tc>
          <w:tcPr>
            <w:tcW w:w="1754" w:type="dxa"/>
            <w:shd w:val="clear" w:color="auto" w:fill="auto"/>
            <w:vAlign w:val="center"/>
          </w:tcPr>
          <w:p w:rsidR="00BE5664" w:rsidRDefault="00BE5664" w:rsidP="00BE5664">
            <w:pPr>
              <w:autoSpaceDE w:val="0"/>
              <w:autoSpaceDN w:val="0"/>
              <w:adjustRightInd w:val="0"/>
              <w:jc w:val="center"/>
              <w:rPr>
                <w:rStyle w:val="fontstyle11"/>
                <w:sz w:val="21"/>
                <w:szCs w:val="21"/>
              </w:rPr>
            </w:pPr>
            <w:r>
              <w:rPr>
                <w:rFonts w:ascii="Times New Roman" w:hAnsi="Times New Roman"/>
                <w:kern w:val="0"/>
                <w:sz w:val="21"/>
                <w:szCs w:val="21"/>
              </w:rPr>
              <w:t>正出勤率低于</w:t>
            </w:r>
            <w:r>
              <w:rPr>
                <w:rFonts w:ascii="Times New Roman" w:hAnsi="Times New Roman"/>
                <w:kern w:val="0"/>
                <w:sz w:val="21"/>
                <w:szCs w:val="21"/>
              </w:rPr>
              <w:t>25%</w:t>
            </w:r>
          </w:p>
        </w:tc>
      </w:tr>
    </w:tbl>
    <w:p w:rsidR="00BE5664" w:rsidRDefault="00BE5664" w:rsidP="00BE5664">
      <w:pPr>
        <w:autoSpaceDE w:val="0"/>
        <w:autoSpaceDN w:val="0"/>
        <w:adjustRightInd w:val="0"/>
        <w:ind w:firstLineChars="50" w:firstLine="100"/>
        <w:jc w:val="left"/>
        <w:rPr>
          <w:rFonts w:ascii="Times New Roman" w:hAnsi="Times New Roman"/>
          <w:kern w:val="0"/>
          <w:sz w:val="20"/>
          <w:szCs w:val="20"/>
        </w:rPr>
      </w:pPr>
      <w:r>
        <w:rPr>
          <w:rFonts w:ascii="Times New Roman" w:hAnsi="Times New Roman"/>
          <w:kern w:val="0"/>
          <w:sz w:val="20"/>
          <w:szCs w:val="20"/>
        </w:rPr>
        <w:t>注：迟到</w:t>
      </w:r>
      <w:r>
        <w:rPr>
          <w:rFonts w:ascii="Times New Roman" w:hAnsi="Times New Roman"/>
          <w:kern w:val="0"/>
          <w:sz w:val="20"/>
          <w:szCs w:val="20"/>
        </w:rPr>
        <w:t>30</w:t>
      </w:r>
      <w:r>
        <w:rPr>
          <w:rFonts w:ascii="Times New Roman" w:hAnsi="Times New Roman"/>
          <w:kern w:val="0"/>
          <w:sz w:val="20"/>
          <w:szCs w:val="20"/>
        </w:rPr>
        <w:t>分钟以上按一次缺勤计</w:t>
      </w:r>
    </w:p>
    <w:p w:rsidR="00BE5664" w:rsidRDefault="00BE5664" w:rsidP="00BE5664">
      <w:pPr>
        <w:spacing w:beforeLines="50" w:before="156" w:afterLines="50" w:after="156" w:line="460" w:lineRule="exact"/>
        <w:rPr>
          <w:rFonts w:ascii="Times New Roman" w:eastAsia="黑体" w:hAnsi="Times New Roman"/>
          <w:b/>
          <w:sz w:val="28"/>
          <w:szCs w:val="28"/>
        </w:rPr>
      </w:pPr>
    </w:p>
    <w:p w:rsidR="00BE5664" w:rsidRDefault="00BE5664" w:rsidP="00BE5664">
      <w:pPr>
        <w:spacing w:beforeLines="50" w:before="156" w:afterLines="50" w:after="156" w:line="4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BE5664" w:rsidRDefault="00BE5664" w:rsidP="00BE5664">
      <w:pPr>
        <w:spacing w:line="360" w:lineRule="auto"/>
        <w:ind w:firstLineChars="200" w:firstLine="560"/>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建议教材</w:t>
      </w:r>
    </w:p>
    <w:p w:rsidR="00BE5664" w:rsidRDefault="00BE5664" w:rsidP="00BE5664">
      <w:pPr>
        <w:spacing w:line="360" w:lineRule="auto"/>
        <w:ind w:firstLineChars="200" w:firstLine="560"/>
        <w:rPr>
          <w:rFonts w:ascii="Times New Roman" w:hAnsi="Times New Roman"/>
          <w:sz w:val="28"/>
          <w:szCs w:val="28"/>
        </w:rPr>
      </w:pPr>
      <w:r>
        <w:rPr>
          <w:rFonts w:ascii="Times New Roman" w:hAnsi="Times New Roman"/>
          <w:sz w:val="28"/>
          <w:szCs w:val="28"/>
        </w:rPr>
        <w:lastRenderedPageBreak/>
        <w:t>现代土木工程施工技术（第二版），李建峰主编，中国电力出版社</w:t>
      </w:r>
      <w:r>
        <w:rPr>
          <w:rFonts w:ascii="Times New Roman" w:hAnsi="Times New Roman"/>
          <w:sz w:val="28"/>
          <w:szCs w:val="28"/>
        </w:rPr>
        <w:t>, 2014.</w:t>
      </w:r>
    </w:p>
    <w:p w:rsidR="00BE5664" w:rsidRDefault="00BE5664" w:rsidP="00BE5664">
      <w:pPr>
        <w:spacing w:line="360" w:lineRule="auto"/>
        <w:ind w:firstLineChars="200" w:firstLine="560"/>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主要参考资料</w:t>
      </w:r>
    </w:p>
    <w:p w:rsidR="00BE5664" w:rsidRDefault="00BE5664" w:rsidP="00BE5664">
      <w:pPr>
        <w:spacing w:line="360" w:lineRule="auto"/>
        <w:ind w:firstLineChars="200" w:firstLine="560"/>
        <w:rPr>
          <w:rFonts w:ascii="Times New Roman" w:hAnsi="Times New Roman"/>
          <w:sz w:val="28"/>
          <w:szCs w:val="28"/>
        </w:rPr>
      </w:pPr>
      <w:r>
        <w:rPr>
          <w:rFonts w:ascii="Times New Roman" w:hAnsi="Times New Roman"/>
          <w:sz w:val="28"/>
          <w:szCs w:val="28"/>
        </w:rPr>
        <w:t>建筑业</w:t>
      </w:r>
      <w:r>
        <w:rPr>
          <w:rFonts w:ascii="Times New Roman" w:hAnsi="Times New Roman"/>
          <w:sz w:val="28"/>
          <w:szCs w:val="28"/>
        </w:rPr>
        <w:t>10</w:t>
      </w:r>
      <w:r>
        <w:rPr>
          <w:rFonts w:ascii="Times New Roman" w:hAnsi="Times New Roman"/>
          <w:sz w:val="28"/>
          <w:szCs w:val="28"/>
        </w:rPr>
        <w:t>项新技术（</w:t>
      </w:r>
      <w:r>
        <w:rPr>
          <w:rFonts w:ascii="Times New Roman" w:hAnsi="Times New Roman"/>
          <w:sz w:val="28"/>
          <w:szCs w:val="28"/>
        </w:rPr>
        <w:t>2016</w:t>
      </w:r>
      <w:r>
        <w:rPr>
          <w:rFonts w:ascii="Times New Roman" w:hAnsi="Times New Roman"/>
          <w:sz w:val="28"/>
          <w:szCs w:val="28"/>
        </w:rPr>
        <w:t>）应用指南，建筑业</w:t>
      </w:r>
      <w:r>
        <w:rPr>
          <w:rFonts w:ascii="Times New Roman" w:hAnsi="Times New Roman"/>
          <w:sz w:val="28"/>
          <w:szCs w:val="28"/>
        </w:rPr>
        <w:t>10</w:t>
      </w:r>
      <w:r>
        <w:rPr>
          <w:rFonts w:ascii="Times New Roman" w:hAnsi="Times New Roman"/>
          <w:sz w:val="28"/>
          <w:szCs w:val="28"/>
        </w:rPr>
        <w:t>项新技术（</w:t>
      </w:r>
      <w:r>
        <w:rPr>
          <w:rFonts w:ascii="Times New Roman" w:hAnsi="Times New Roman"/>
          <w:sz w:val="28"/>
          <w:szCs w:val="28"/>
        </w:rPr>
        <w:t>2016</w:t>
      </w:r>
      <w:r>
        <w:rPr>
          <w:rFonts w:ascii="Times New Roman" w:hAnsi="Times New Roman"/>
          <w:sz w:val="28"/>
          <w:szCs w:val="28"/>
        </w:rPr>
        <w:t>）应用指南编委会，中国建筑工业出版社，</w:t>
      </w:r>
      <w:r>
        <w:rPr>
          <w:rFonts w:ascii="Times New Roman" w:hAnsi="Times New Roman"/>
          <w:sz w:val="28"/>
          <w:szCs w:val="28"/>
        </w:rPr>
        <w:t>2018</w:t>
      </w:r>
    </w:p>
    <w:p w:rsidR="00BE5664" w:rsidRDefault="00BE5664" w:rsidP="00BE5664">
      <w:pPr>
        <w:spacing w:line="360" w:lineRule="auto"/>
        <w:ind w:firstLineChars="200" w:firstLine="560"/>
        <w:rPr>
          <w:rFonts w:ascii="Times New Roman" w:hAnsi="Times New Roman"/>
          <w:sz w:val="28"/>
          <w:szCs w:val="28"/>
        </w:rPr>
      </w:pPr>
    </w:p>
    <w:p w:rsidR="00BE5664" w:rsidRDefault="00BE5664" w:rsidP="00BE5664">
      <w:pPr>
        <w:ind w:firstLineChars="1200" w:firstLine="3360"/>
        <w:rPr>
          <w:rFonts w:ascii="Times New Roman" w:hAnsi="Times New Roman"/>
          <w:sz w:val="28"/>
          <w:szCs w:val="28"/>
        </w:rPr>
      </w:pPr>
      <w:r>
        <w:rPr>
          <w:rFonts w:ascii="Times New Roman" w:hAnsi="Times New Roman"/>
          <w:sz w:val="28"/>
          <w:szCs w:val="28"/>
        </w:rPr>
        <w:t>大纲撰写人：马恺泽</w:t>
      </w:r>
    </w:p>
    <w:p w:rsidR="00BE5664" w:rsidRDefault="00BE5664" w:rsidP="00BE5664">
      <w:pPr>
        <w:ind w:firstLineChars="1200" w:firstLine="3360"/>
        <w:rPr>
          <w:rFonts w:ascii="Times New Roman" w:hAnsi="Times New Roman"/>
          <w:sz w:val="28"/>
          <w:szCs w:val="28"/>
        </w:rPr>
      </w:pPr>
      <w:r>
        <w:rPr>
          <w:rFonts w:ascii="Times New Roman" w:hAnsi="Times New Roman"/>
          <w:sz w:val="28"/>
          <w:szCs w:val="28"/>
        </w:rPr>
        <w:t>课程负责人：马恺泽</w:t>
      </w:r>
    </w:p>
    <w:p w:rsidR="00BE5664" w:rsidRDefault="00BE5664" w:rsidP="00BE5664">
      <w:pPr>
        <w:ind w:firstLineChars="1200" w:firstLine="3360"/>
        <w:rPr>
          <w:rFonts w:ascii="Times New Roman" w:hAnsi="Times New Roman"/>
          <w:sz w:val="28"/>
          <w:szCs w:val="28"/>
        </w:rPr>
      </w:pPr>
      <w:r>
        <w:rPr>
          <w:rFonts w:ascii="Times New Roman" w:hAnsi="Times New Roman"/>
          <w:sz w:val="28"/>
          <w:szCs w:val="28"/>
        </w:rPr>
        <w:t>审核人：</w:t>
      </w:r>
      <w:r>
        <w:rPr>
          <w:rFonts w:ascii="Times New Roman" w:hAnsi="Times New Roman"/>
          <w:sz w:val="28"/>
          <w:szCs w:val="28"/>
        </w:rPr>
        <w:t xml:space="preserve"> </w:t>
      </w:r>
      <w:r>
        <w:rPr>
          <w:rFonts w:ascii="Times New Roman" w:hAnsi="Times New Roman" w:hint="eastAsia"/>
          <w:sz w:val="28"/>
          <w:szCs w:val="28"/>
        </w:rPr>
        <w:t>袁春燕</w:t>
      </w:r>
    </w:p>
    <w:p w:rsidR="00BE5664" w:rsidRDefault="00BE5664" w:rsidP="00BE5664">
      <w:pPr>
        <w:spacing w:line="360" w:lineRule="auto"/>
        <w:jc w:val="left"/>
        <w:rPr>
          <w:rFonts w:ascii="Times New Roman" w:hAnsi="Times New Roman"/>
          <w:sz w:val="28"/>
          <w:szCs w:val="28"/>
        </w:rPr>
      </w:pPr>
      <w:r>
        <w:rPr>
          <w:rFonts w:ascii="Times New Roman" w:hAnsi="Times New Roman"/>
          <w:sz w:val="28"/>
          <w:szCs w:val="28"/>
        </w:rPr>
        <w:t xml:space="preserve">                                         2021</w:t>
      </w:r>
      <w:r>
        <w:rPr>
          <w:rFonts w:ascii="Times New Roman" w:hAnsi="Times New Roman"/>
          <w:sz w:val="28"/>
          <w:szCs w:val="28"/>
        </w:rPr>
        <w:t>年</w:t>
      </w:r>
      <w:r>
        <w:rPr>
          <w:rFonts w:ascii="Times New Roman" w:hAnsi="Times New Roman"/>
          <w:sz w:val="28"/>
          <w:szCs w:val="28"/>
        </w:rPr>
        <w:t>4</w:t>
      </w:r>
      <w:r>
        <w:rPr>
          <w:rFonts w:ascii="Times New Roman" w:hAnsi="Times New Roman"/>
          <w:sz w:val="28"/>
          <w:szCs w:val="28"/>
        </w:rPr>
        <w:t>月</w:t>
      </w: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Pr="00EA50AD" w:rsidRDefault="00BE5664" w:rsidP="00EA50AD">
      <w:pPr>
        <w:widowControl/>
        <w:spacing w:line="360" w:lineRule="auto"/>
        <w:jc w:val="center"/>
        <w:rPr>
          <w:rFonts w:ascii="方正小标宋简体" w:eastAsia="方正小标宋简体" w:hAnsi="宋体"/>
          <w:kern w:val="0"/>
          <w:szCs w:val="32"/>
        </w:rPr>
      </w:pPr>
      <w:r w:rsidRPr="00EA50AD">
        <w:rPr>
          <w:rFonts w:ascii="方正小标宋简体" w:eastAsia="方正小标宋简体" w:hAnsi="宋体" w:hint="eastAsia"/>
          <w:kern w:val="0"/>
          <w:szCs w:val="32"/>
        </w:rPr>
        <w:lastRenderedPageBreak/>
        <w:t>《工程招投标与合同管理》课程教学大纲</w:t>
      </w:r>
    </w:p>
    <w:p w:rsidR="00BE5664" w:rsidRPr="00EA50AD" w:rsidRDefault="00BE5664" w:rsidP="00EA50AD">
      <w:pPr>
        <w:spacing w:beforeLines="50" w:before="156" w:afterLines="50" w:after="156" w:line="560" w:lineRule="exact"/>
        <w:rPr>
          <w:rFonts w:ascii="黑体" w:eastAsia="黑体" w:hAnsi="黑体"/>
          <w:b/>
          <w:sz w:val="28"/>
          <w:szCs w:val="28"/>
        </w:rPr>
      </w:pPr>
      <w:r w:rsidRPr="00EA50AD">
        <w:rPr>
          <w:rFonts w:ascii="黑体" w:eastAsia="黑体" w:hAnsi="黑体"/>
          <w:b/>
          <w:sz w:val="28"/>
          <w:szCs w:val="28"/>
        </w:rPr>
        <w:t>一、课程信息</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英文名称：Project Bidding and Contract Management</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课程编码：Z2805090</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授课语言：中文</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授课方式：线下</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课程类别：专业发展</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课程性质：选修</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学分：1.5</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学时：24学时（授课24学时）</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适用对象：土木工程专业（建筑工程方向）</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先修课程：建设法规、土木工程施工、工程计量与计价、项目管理与建设监理</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开课院系：建筑工程学院工程造价与施工教研室</w:t>
      </w:r>
    </w:p>
    <w:p w:rsidR="00BE5664" w:rsidRPr="00EA50AD" w:rsidRDefault="00BE5664" w:rsidP="00EA50AD">
      <w:pPr>
        <w:spacing w:beforeLines="50" w:before="156" w:afterLines="50" w:after="156" w:line="560" w:lineRule="exact"/>
        <w:rPr>
          <w:rFonts w:ascii="黑体" w:eastAsia="黑体" w:hAnsi="黑体"/>
          <w:b/>
          <w:sz w:val="28"/>
          <w:szCs w:val="28"/>
        </w:rPr>
      </w:pPr>
      <w:r w:rsidRPr="00EA50AD">
        <w:rPr>
          <w:rFonts w:ascii="黑体" w:eastAsia="黑体" w:hAnsi="黑体" w:hint="eastAsia"/>
          <w:b/>
          <w:sz w:val="28"/>
          <w:szCs w:val="28"/>
        </w:rPr>
        <w:t>二、课程简介</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工程招投标与合同管理》课程是土木工程专业的一门专业发展选修课。本课程主要介绍招投标法律制度、合同法律制度、建设工程监理合同管理、建设工程施工合同管理、建设工程施工索赔、FIDIC合同条件下的施工管理。</w:t>
      </w:r>
    </w:p>
    <w:p w:rsidR="00BE5664" w:rsidRPr="00EA50AD" w:rsidRDefault="00BE5664" w:rsidP="00EA50AD">
      <w:pPr>
        <w:spacing w:beforeLines="50" w:before="156" w:afterLines="50" w:after="156" w:line="560" w:lineRule="exact"/>
        <w:rPr>
          <w:rFonts w:ascii="黑体" w:eastAsia="黑体" w:hAnsi="黑体"/>
          <w:b/>
          <w:sz w:val="28"/>
          <w:szCs w:val="28"/>
        </w:rPr>
      </w:pPr>
      <w:r w:rsidRPr="00EA50AD">
        <w:rPr>
          <w:rFonts w:ascii="黑体" w:eastAsia="黑体" w:hAnsi="黑体" w:hint="eastAsia"/>
          <w:b/>
          <w:sz w:val="28"/>
          <w:szCs w:val="28"/>
        </w:rPr>
        <w:t>三、课程任务、目的与要求</w:t>
      </w:r>
    </w:p>
    <w:p w:rsidR="00BE5664" w:rsidRPr="00EA50AD" w:rsidRDefault="00BE5664" w:rsidP="00EA50AD">
      <w:pPr>
        <w:spacing w:line="360" w:lineRule="auto"/>
        <w:ind w:firstLineChars="200" w:firstLine="562"/>
        <w:rPr>
          <w:rFonts w:ascii="仿宋_GB2312" w:hAnsi="仿宋_GB2312" w:cs="仿宋_GB2312"/>
          <w:b/>
          <w:bCs/>
          <w:sz w:val="28"/>
          <w:szCs w:val="28"/>
        </w:rPr>
      </w:pPr>
      <w:r w:rsidRPr="00EA50AD">
        <w:rPr>
          <w:rFonts w:ascii="仿宋_GB2312" w:hAnsi="仿宋_GB2312" w:cs="仿宋_GB2312"/>
          <w:b/>
          <w:bCs/>
          <w:sz w:val="28"/>
          <w:szCs w:val="28"/>
        </w:rPr>
        <w:t>1.课程任务与目的</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lastRenderedPageBreak/>
        <w:t>通过本课程的学习，使学生掌握建设工程招投标及建设工程相关合同管理的基本理论、基本知识，具备建设工程招投标以及合同订立、履行的基本过程和操作实务的基本技能。具备初步参与建设工程招投标工作，参与建设工程施工合同投资（费用）管理及工程索赔管理的能力。</w:t>
      </w:r>
    </w:p>
    <w:p w:rsidR="00BE5664" w:rsidRPr="00EA50AD" w:rsidRDefault="00BE5664" w:rsidP="00EA50AD">
      <w:pPr>
        <w:spacing w:line="360" w:lineRule="auto"/>
        <w:ind w:firstLineChars="200" w:firstLine="562"/>
        <w:rPr>
          <w:rFonts w:ascii="仿宋_GB2312" w:hAnsi="仿宋_GB2312" w:cs="仿宋_GB2312"/>
          <w:b/>
          <w:bCs/>
          <w:sz w:val="28"/>
          <w:szCs w:val="28"/>
        </w:rPr>
      </w:pPr>
      <w:r w:rsidRPr="00EA50AD">
        <w:rPr>
          <w:rFonts w:ascii="仿宋_GB2312" w:hAnsi="仿宋_GB2312" w:cs="仿宋_GB2312"/>
          <w:b/>
          <w:bCs/>
          <w:sz w:val="28"/>
          <w:szCs w:val="28"/>
        </w:rPr>
        <w:t>2.课程基本要求</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t>（1）课程目标</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t>通过本课程的学习，学生应具备以下几方面的能力</w:t>
      </w:r>
      <w:r w:rsidRPr="00EA50AD">
        <w:rPr>
          <w:rFonts w:ascii="仿宋_GB2312" w:hAnsi="仿宋_GB2312" w:cs="仿宋_GB2312" w:hint="eastAsia"/>
          <w:bCs/>
          <w:sz w:val="28"/>
          <w:szCs w:val="28"/>
        </w:rPr>
        <w:t>：</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t>1</w:t>
      </w:r>
      <w:r w:rsidRPr="00EA50AD">
        <w:rPr>
          <w:rFonts w:ascii="仿宋_GB2312" w:hAnsi="仿宋_GB2312" w:cs="仿宋_GB2312" w:hint="eastAsia"/>
          <w:bCs/>
          <w:sz w:val="28"/>
          <w:szCs w:val="28"/>
        </w:rPr>
        <w:t xml:space="preserve">) </w:t>
      </w:r>
      <w:r w:rsidRPr="00EA50AD">
        <w:rPr>
          <w:rFonts w:ascii="仿宋_GB2312" w:hAnsi="仿宋_GB2312" w:cs="仿宋_GB2312"/>
          <w:bCs/>
          <w:sz w:val="28"/>
          <w:szCs w:val="28"/>
        </w:rPr>
        <w:t>通过本课程学习，学生</w:t>
      </w:r>
      <w:r w:rsidRPr="00EA50AD">
        <w:rPr>
          <w:rFonts w:ascii="仿宋_GB2312" w:hAnsi="仿宋_GB2312" w:cs="仿宋_GB2312" w:hint="eastAsia"/>
          <w:bCs/>
          <w:sz w:val="28"/>
          <w:szCs w:val="28"/>
        </w:rPr>
        <w:t>理解工程招投标的相关概念，掌握工程招投标的完整流程，掌握招标文件、投标文件的编制以及评标方法，</w:t>
      </w:r>
      <w:r w:rsidRPr="00EA50AD">
        <w:rPr>
          <w:rFonts w:ascii="仿宋_GB2312" w:hAnsi="仿宋_GB2312" w:cs="仿宋_GB2312"/>
          <w:bCs/>
          <w:sz w:val="28"/>
          <w:szCs w:val="28"/>
        </w:rPr>
        <w:t>能够具备</w:t>
      </w:r>
      <w:r w:rsidRPr="00EA50AD">
        <w:rPr>
          <w:rFonts w:ascii="仿宋_GB2312" w:hAnsi="仿宋_GB2312" w:cs="仿宋_GB2312" w:hint="eastAsia"/>
          <w:bCs/>
          <w:sz w:val="28"/>
          <w:szCs w:val="28"/>
        </w:rPr>
        <w:t>初步进行</w:t>
      </w:r>
      <w:r w:rsidRPr="00EA50AD">
        <w:rPr>
          <w:rFonts w:ascii="仿宋_GB2312" w:hAnsi="仿宋_GB2312" w:cs="仿宋_GB2312"/>
          <w:bCs/>
          <w:sz w:val="28"/>
          <w:szCs w:val="28"/>
        </w:rPr>
        <w:t>招投标工作的技能和能力。</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t>2</w:t>
      </w:r>
      <w:r w:rsidRPr="00EA50AD">
        <w:rPr>
          <w:rFonts w:ascii="仿宋_GB2312" w:hAnsi="仿宋_GB2312" w:cs="仿宋_GB2312" w:hint="eastAsia"/>
          <w:bCs/>
          <w:sz w:val="28"/>
          <w:szCs w:val="28"/>
        </w:rPr>
        <w:t xml:space="preserve">) </w:t>
      </w:r>
      <w:r w:rsidRPr="00EA50AD">
        <w:rPr>
          <w:rFonts w:ascii="仿宋_GB2312" w:hAnsi="仿宋_GB2312" w:cs="仿宋_GB2312"/>
          <w:bCs/>
          <w:sz w:val="28"/>
          <w:szCs w:val="28"/>
        </w:rPr>
        <w:t>通过本课程学习，学生熟悉合同管理的相关概念</w:t>
      </w:r>
      <w:r w:rsidRPr="00EA50AD">
        <w:rPr>
          <w:rFonts w:ascii="仿宋_GB2312" w:hAnsi="仿宋_GB2312" w:cs="仿宋_GB2312" w:hint="eastAsia"/>
          <w:bCs/>
          <w:sz w:val="28"/>
          <w:szCs w:val="28"/>
        </w:rPr>
        <w:t>，</w:t>
      </w:r>
      <w:r w:rsidRPr="00EA50AD">
        <w:rPr>
          <w:rFonts w:ascii="仿宋_GB2312" w:hAnsi="仿宋_GB2312" w:cs="仿宋_GB2312"/>
          <w:bCs/>
          <w:sz w:val="28"/>
          <w:szCs w:val="28"/>
        </w:rPr>
        <w:t>掌握建设工程施工合同以及相关合同管理的基本知识</w:t>
      </w:r>
      <w:r w:rsidRPr="00EA50AD">
        <w:rPr>
          <w:rFonts w:ascii="仿宋_GB2312" w:hAnsi="仿宋_GB2312" w:cs="仿宋_GB2312" w:hint="eastAsia"/>
          <w:bCs/>
          <w:sz w:val="28"/>
          <w:szCs w:val="28"/>
        </w:rPr>
        <w:t>，</w:t>
      </w:r>
      <w:r w:rsidRPr="00EA50AD">
        <w:rPr>
          <w:rFonts w:ascii="仿宋_GB2312" w:hAnsi="仿宋_GB2312" w:cs="仿宋_GB2312"/>
          <w:bCs/>
          <w:sz w:val="28"/>
          <w:szCs w:val="28"/>
        </w:rPr>
        <w:t>具有进行工程索赔和争端解决的</w:t>
      </w:r>
      <w:r w:rsidRPr="00EA50AD">
        <w:rPr>
          <w:rFonts w:ascii="仿宋_GB2312" w:hAnsi="仿宋_GB2312" w:cs="仿宋_GB2312" w:hint="eastAsia"/>
          <w:bCs/>
          <w:sz w:val="28"/>
          <w:szCs w:val="28"/>
        </w:rPr>
        <w:t>初步技能</w:t>
      </w:r>
      <w:r w:rsidRPr="00EA50AD">
        <w:rPr>
          <w:rFonts w:ascii="仿宋_GB2312" w:hAnsi="仿宋_GB2312" w:cs="仿宋_GB2312"/>
          <w:bCs/>
          <w:sz w:val="28"/>
          <w:szCs w:val="28"/>
        </w:rPr>
        <w:t>和能力</w:t>
      </w:r>
      <w:r w:rsidRPr="00EA50AD">
        <w:rPr>
          <w:rFonts w:ascii="仿宋_GB2312" w:hAnsi="仿宋_GB2312" w:cs="仿宋_GB2312" w:hint="eastAsia"/>
          <w:bCs/>
          <w:sz w:val="28"/>
          <w:szCs w:val="28"/>
        </w:rPr>
        <w:t>。</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t>3</w:t>
      </w:r>
      <w:r w:rsidRPr="00EA50AD">
        <w:rPr>
          <w:rFonts w:ascii="仿宋_GB2312" w:hAnsi="仿宋_GB2312" w:cs="仿宋_GB2312" w:hint="eastAsia"/>
          <w:bCs/>
          <w:sz w:val="28"/>
          <w:szCs w:val="28"/>
        </w:rPr>
        <w:t xml:space="preserve">) </w:t>
      </w:r>
      <w:r w:rsidRPr="00EA50AD">
        <w:rPr>
          <w:rFonts w:ascii="仿宋_GB2312" w:hAnsi="仿宋_GB2312" w:cs="仿宋_GB2312"/>
          <w:bCs/>
          <w:sz w:val="28"/>
          <w:szCs w:val="28"/>
        </w:rPr>
        <w:t>通过本课程学习，学生初步具有土木工程领域的职业道德规范</w:t>
      </w:r>
      <w:r w:rsidRPr="00EA50AD">
        <w:rPr>
          <w:rFonts w:ascii="仿宋_GB2312" w:hAnsi="仿宋_GB2312" w:cs="仿宋_GB2312" w:hint="eastAsia"/>
          <w:bCs/>
          <w:sz w:val="28"/>
          <w:szCs w:val="28"/>
        </w:rPr>
        <w:t>，培养学生具有深厚的</w:t>
      </w:r>
      <w:r w:rsidRPr="00EA50AD">
        <w:rPr>
          <w:rFonts w:ascii="仿宋_GB2312" w:hAnsi="仿宋_GB2312" w:cs="仿宋_GB2312"/>
          <w:bCs/>
          <w:sz w:val="28"/>
          <w:szCs w:val="28"/>
        </w:rPr>
        <w:t>土木工程师职业责任感</w:t>
      </w:r>
      <w:r w:rsidRPr="00EA50AD">
        <w:rPr>
          <w:rFonts w:ascii="仿宋_GB2312" w:hAnsi="仿宋_GB2312" w:cs="仿宋_GB2312" w:hint="eastAsia"/>
          <w:bCs/>
          <w:sz w:val="28"/>
          <w:szCs w:val="28"/>
        </w:rPr>
        <w:t>。</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hint="eastAsia"/>
          <w:bCs/>
          <w:sz w:val="28"/>
          <w:szCs w:val="28"/>
        </w:rPr>
        <w:t>(2) 教学目标对毕业要求的支撑矩阵</w:t>
      </w:r>
    </w:p>
    <w:tbl>
      <w:tblPr>
        <w:tblW w:w="44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2759"/>
        <w:gridCol w:w="932"/>
        <w:gridCol w:w="932"/>
        <w:gridCol w:w="880"/>
      </w:tblGrid>
      <w:tr w:rsidR="00BE5664" w:rsidRPr="00EA50AD" w:rsidTr="00BE5664">
        <w:trPr>
          <w:trHeight w:val="276"/>
          <w:jc w:val="center"/>
        </w:trPr>
        <w:tc>
          <w:tcPr>
            <w:tcW w:w="5372" w:type="dxa"/>
            <w:gridSpan w:val="2"/>
            <w:vMerge w:val="restart"/>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
                <w:bCs/>
                <w:sz w:val="24"/>
                <w:szCs w:val="24"/>
              </w:rPr>
            </w:pPr>
            <w:r w:rsidRPr="00EA50AD">
              <w:rPr>
                <w:rFonts w:ascii="仿宋_GB2312" w:hAnsi="仿宋_GB2312" w:cs="仿宋_GB2312"/>
                <w:b/>
                <w:bCs/>
                <w:sz w:val="24"/>
                <w:szCs w:val="24"/>
              </w:rPr>
              <w:t>毕业要求及其指标点</w:t>
            </w:r>
          </w:p>
        </w:tc>
        <w:tc>
          <w:tcPr>
            <w:tcW w:w="2815" w:type="dxa"/>
            <w:gridSpan w:val="3"/>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
                <w:bCs/>
                <w:sz w:val="24"/>
                <w:szCs w:val="24"/>
              </w:rPr>
            </w:pPr>
            <w:r w:rsidRPr="00EA50AD">
              <w:rPr>
                <w:rFonts w:ascii="仿宋_GB2312" w:hAnsi="仿宋_GB2312" w:cs="仿宋_GB2312"/>
                <w:b/>
                <w:bCs/>
                <w:sz w:val="24"/>
                <w:szCs w:val="24"/>
              </w:rPr>
              <w:t>教学目标</w:t>
            </w:r>
          </w:p>
        </w:tc>
      </w:tr>
      <w:tr w:rsidR="00BE5664" w:rsidRPr="00EA50AD" w:rsidTr="00BE5664">
        <w:trPr>
          <w:trHeight w:val="276"/>
          <w:jc w:val="center"/>
        </w:trPr>
        <w:tc>
          <w:tcPr>
            <w:tcW w:w="5372" w:type="dxa"/>
            <w:gridSpan w:val="2"/>
            <w:vMerge/>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
                <w:bCs/>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
                <w:bCs/>
                <w:sz w:val="24"/>
                <w:szCs w:val="24"/>
              </w:rPr>
            </w:pPr>
            <w:r w:rsidRPr="00EA50AD">
              <w:rPr>
                <w:rFonts w:ascii="仿宋_GB2312" w:hAnsi="仿宋_GB2312" w:cs="仿宋_GB2312"/>
                <w:b/>
                <w:bCs/>
                <w:sz w:val="24"/>
                <w:szCs w:val="24"/>
              </w:rPr>
              <w:t>（1）</w:t>
            </w:r>
          </w:p>
        </w:tc>
        <w:tc>
          <w:tcPr>
            <w:tcW w:w="960"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
                <w:bCs/>
                <w:sz w:val="24"/>
                <w:szCs w:val="24"/>
              </w:rPr>
            </w:pPr>
            <w:r w:rsidRPr="00EA50AD">
              <w:rPr>
                <w:rFonts w:ascii="仿宋_GB2312" w:hAnsi="仿宋_GB2312" w:cs="仿宋_GB2312"/>
                <w:b/>
                <w:bCs/>
                <w:sz w:val="24"/>
                <w:szCs w:val="24"/>
              </w:rPr>
              <w:t>（2）</w:t>
            </w:r>
          </w:p>
        </w:tc>
        <w:tc>
          <w:tcPr>
            <w:tcW w:w="895"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
                <w:bCs/>
                <w:sz w:val="24"/>
                <w:szCs w:val="24"/>
              </w:rPr>
            </w:pPr>
            <w:r w:rsidRPr="00EA50AD">
              <w:rPr>
                <w:rFonts w:ascii="仿宋_GB2312" w:hAnsi="仿宋_GB2312" w:cs="仿宋_GB2312"/>
                <w:b/>
                <w:bCs/>
                <w:sz w:val="24"/>
                <w:szCs w:val="24"/>
              </w:rPr>
              <w:t>（3）</w:t>
            </w:r>
          </w:p>
        </w:tc>
      </w:tr>
      <w:tr w:rsidR="00BE5664" w:rsidRPr="00EA50AD" w:rsidTr="00BE5664">
        <w:trPr>
          <w:trHeight w:val="276"/>
          <w:jc w:val="center"/>
        </w:trPr>
        <w:tc>
          <w:tcPr>
            <w:tcW w:w="2111"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rPr>
                <w:rFonts w:ascii="仿宋_GB2312" w:hAnsi="仿宋_GB2312" w:cs="仿宋_GB2312"/>
                <w:bCs/>
                <w:sz w:val="24"/>
                <w:szCs w:val="24"/>
              </w:rPr>
            </w:pPr>
            <w:r w:rsidRPr="00EA50AD">
              <w:rPr>
                <w:rFonts w:ascii="仿宋_GB2312" w:hAnsi="仿宋_GB2312" w:cs="仿宋_GB2312"/>
                <w:bCs/>
                <w:sz w:val="24"/>
                <w:szCs w:val="24"/>
              </w:rPr>
              <w:t>1.工程知识应用能力</w:t>
            </w:r>
          </w:p>
        </w:tc>
        <w:tc>
          <w:tcPr>
            <w:tcW w:w="3261"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rPr>
                <w:rFonts w:ascii="仿宋_GB2312" w:hAnsi="仿宋_GB2312" w:cs="仿宋_GB2312"/>
                <w:bCs/>
                <w:sz w:val="24"/>
                <w:szCs w:val="24"/>
              </w:rPr>
            </w:pPr>
            <w:r w:rsidRPr="00EA50AD">
              <w:rPr>
                <w:rFonts w:ascii="仿宋_GB2312" w:hAnsi="仿宋_GB2312" w:cs="仿宋_GB2312"/>
                <w:bCs/>
                <w:sz w:val="24"/>
                <w:szCs w:val="24"/>
              </w:rPr>
              <w:t>1.4 工程建造与管理</w:t>
            </w:r>
          </w:p>
        </w:tc>
        <w:tc>
          <w:tcPr>
            <w:tcW w:w="960"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c>
          <w:tcPr>
            <w:tcW w:w="895"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r>
      <w:tr w:rsidR="00BE5664" w:rsidRPr="00EA50AD" w:rsidTr="00BE5664">
        <w:trPr>
          <w:trHeight w:val="276"/>
          <w:jc w:val="center"/>
        </w:trPr>
        <w:tc>
          <w:tcPr>
            <w:tcW w:w="2111"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rPr>
                <w:rFonts w:ascii="仿宋_GB2312" w:hAnsi="仿宋_GB2312" w:cs="仿宋_GB2312"/>
                <w:bCs/>
                <w:sz w:val="24"/>
                <w:szCs w:val="24"/>
              </w:rPr>
            </w:pPr>
            <w:r w:rsidRPr="00EA50AD">
              <w:rPr>
                <w:rFonts w:ascii="仿宋_GB2312" w:hAnsi="仿宋_GB2312" w:cs="仿宋_GB2312"/>
                <w:bCs/>
                <w:sz w:val="24"/>
                <w:szCs w:val="24"/>
              </w:rPr>
              <w:t>2.问题分析能力</w:t>
            </w:r>
          </w:p>
        </w:tc>
        <w:tc>
          <w:tcPr>
            <w:tcW w:w="3261"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rPr>
                <w:rFonts w:ascii="仿宋_GB2312" w:hAnsi="仿宋_GB2312" w:cs="仿宋_GB2312"/>
                <w:bCs/>
                <w:sz w:val="24"/>
                <w:szCs w:val="24"/>
              </w:rPr>
            </w:pPr>
            <w:r w:rsidRPr="00EA50AD">
              <w:rPr>
                <w:rFonts w:ascii="仿宋_GB2312" w:hAnsi="仿宋_GB2312" w:cs="仿宋_GB2312"/>
                <w:bCs/>
                <w:sz w:val="24"/>
                <w:szCs w:val="24"/>
              </w:rPr>
              <w:t>2.3 工程问题解决方案</w:t>
            </w:r>
          </w:p>
        </w:tc>
        <w:tc>
          <w:tcPr>
            <w:tcW w:w="960"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c>
          <w:tcPr>
            <w:tcW w:w="895"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r>
      <w:tr w:rsidR="00BE5664" w:rsidRPr="00EA50AD" w:rsidTr="00BE5664">
        <w:trPr>
          <w:trHeight w:val="276"/>
          <w:jc w:val="center"/>
        </w:trPr>
        <w:tc>
          <w:tcPr>
            <w:tcW w:w="2111"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rPr>
                <w:rFonts w:ascii="仿宋_GB2312" w:hAnsi="仿宋_GB2312" w:cs="仿宋_GB2312"/>
                <w:bCs/>
                <w:sz w:val="24"/>
                <w:szCs w:val="24"/>
              </w:rPr>
            </w:pPr>
            <w:r w:rsidRPr="00EA50AD">
              <w:rPr>
                <w:rFonts w:ascii="仿宋_GB2312" w:hAnsi="仿宋_GB2312" w:cs="仿宋_GB2312"/>
                <w:bCs/>
                <w:sz w:val="24"/>
                <w:szCs w:val="24"/>
              </w:rPr>
              <w:t>5.现代工具使</w:t>
            </w:r>
            <w:r w:rsidRPr="00EA50AD">
              <w:rPr>
                <w:rFonts w:ascii="仿宋_GB2312" w:hAnsi="仿宋_GB2312" w:cs="仿宋_GB2312"/>
                <w:bCs/>
                <w:sz w:val="24"/>
                <w:szCs w:val="24"/>
              </w:rPr>
              <w:lastRenderedPageBreak/>
              <w:t>用能力</w:t>
            </w:r>
          </w:p>
        </w:tc>
        <w:tc>
          <w:tcPr>
            <w:tcW w:w="3261"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rPr>
                <w:rFonts w:ascii="仿宋_GB2312" w:hAnsi="仿宋_GB2312" w:cs="仿宋_GB2312"/>
                <w:bCs/>
                <w:sz w:val="24"/>
                <w:szCs w:val="24"/>
              </w:rPr>
            </w:pPr>
            <w:r w:rsidRPr="00EA50AD">
              <w:rPr>
                <w:rFonts w:ascii="仿宋_GB2312" w:hAnsi="仿宋_GB2312" w:cs="仿宋_GB2312"/>
                <w:bCs/>
                <w:sz w:val="24"/>
                <w:szCs w:val="24"/>
              </w:rPr>
              <w:lastRenderedPageBreak/>
              <w:t>5.2 工程问题的分析、计</w:t>
            </w:r>
            <w:r w:rsidRPr="00EA50AD">
              <w:rPr>
                <w:rFonts w:ascii="仿宋_GB2312" w:hAnsi="仿宋_GB2312" w:cs="仿宋_GB2312"/>
                <w:bCs/>
                <w:sz w:val="24"/>
                <w:szCs w:val="24"/>
              </w:rPr>
              <w:lastRenderedPageBreak/>
              <w:t>算</w:t>
            </w:r>
          </w:p>
        </w:tc>
        <w:tc>
          <w:tcPr>
            <w:tcW w:w="960"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lastRenderedPageBreak/>
              <w:t>√</w:t>
            </w:r>
          </w:p>
        </w:tc>
        <w:tc>
          <w:tcPr>
            <w:tcW w:w="960"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c>
          <w:tcPr>
            <w:tcW w:w="895"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r>
      <w:tr w:rsidR="00BE5664" w:rsidRPr="00EA50AD" w:rsidTr="00BE5664">
        <w:trPr>
          <w:trHeight w:val="276"/>
          <w:jc w:val="center"/>
        </w:trPr>
        <w:tc>
          <w:tcPr>
            <w:tcW w:w="2111"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rPr>
                <w:rFonts w:ascii="仿宋_GB2312" w:hAnsi="仿宋_GB2312" w:cs="仿宋_GB2312"/>
                <w:bCs/>
                <w:sz w:val="24"/>
                <w:szCs w:val="24"/>
              </w:rPr>
            </w:pPr>
            <w:r w:rsidRPr="00EA50AD">
              <w:rPr>
                <w:rFonts w:ascii="仿宋_GB2312" w:hAnsi="仿宋_GB2312" w:cs="仿宋_GB2312" w:hint="eastAsia"/>
                <w:bCs/>
                <w:sz w:val="24"/>
                <w:szCs w:val="24"/>
              </w:rPr>
              <w:t>8</w:t>
            </w:r>
            <w:r w:rsidRPr="00EA50AD">
              <w:rPr>
                <w:rFonts w:ascii="仿宋_GB2312" w:hAnsi="仿宋_GB2312" w:cs="仿宋_GB2312"/>
                <w:bCs/>
                <w:sz w:val="24"/>
                <w:szCs w:val="24"/>
              </w:rPr>
              <w:t>.</w:t>
            </w:r>
            <w:r w:rsidRPr="00EA50AD">
              <w:rPr>
                <w:rFonts w:ascii="仿宋_GB2312" w:hAnsi="仿宋_GB2312" w:cs="仿宋_GB2312" w:hint="eastAsia"/>
                <w:bCs/>
                <w:sz w:val="24"/>
                <w:szCs w:val="24"/>
              </w:rPr>
              <w:t>职业规范素养</w:t>
            </w:r>
          </w:p>
        </w:tc>
        <w:tc>
          <w:tcPr>
            <w:tcW w:w="3261"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rPr>
                <w:rFonts w:ascii="仿宋_GB2312" w:hAnsi="仿宋_GB2312" w:cs="仿宋_GB2312"/>
                <w:bCs/>
                <w:sz w:val="24"/>
                <w:szCs w:val="24"/>
              </w:rPr>
            </w:pPr>
            <w:r w:rsidRPr="00EA50AD">
              <w:rPr>
                <w:rFonts w:ascii="仿宋_GB2312" w:hAnsi="仿宋_GB2312" w:cs="仿宋_GB2312" w:hint="eastAsia"/>
                <w:bCs/>
                <w:sz w:val="24"/>
                <w:szCs w:val="24"/>
              </w:rPr>
              <w:t>8</w:t>
            </w:r>
            <w:r w:rsidRPr="00EA50AD">
              <w:rPr>
                <w:rFonts w:ascii="仿宋_GB2312" w:hAnsi="仿宋_GB2312" w:cs="仿宋_GB2312"/>
                <w:bCs/>
                <w:sz w:val="24"/>
                <w:szCs w:val="24"/>
              </w:rPr>
              <w:t>.2 遵守</w:t>
            </w:r>
            <w:r w:rsidRPr="00EA50AD">
              <w:rPr>
                <w:rFonts w:ascii="仿宋_GB2312" w:hAnsi="仿宋_GB2312" w:cs="仿宋_GB2312" w:hint="eastAsia"/>
                <w:bCs/>
                <w:sz w:val="24"/>
                <w:szCs w:val="24"/>
              </w:rPr>
              <w:t>职业道德与规范</w:t>
            </w:r>
          </w:p>
        </w:tc>
        <w:tc>
          <w:tcPr>
            <w:tcW w:w="960"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c>
          <w:tcPr>
            <w:tcW w:w="895"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r>
      <w:tr w:rsidR="00BE5664" w:rsidRPr="00EA50AD" w:rsidTr="00BE5664">
        <w:trPr>
          <w:trHeight w:val="276"/>
          <w:jc w:val="center"/>
        </w:trPr>
        <w:tc>
          <w:tcPr>
            <w:tcW w:w="2111"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rPr>
                <w:rFonts w:ascii="仿宋_GB2312" w:hAnsi="仿宋_GB2312" w:cs="仿宋_GB2312"/>
                <w:bCs/>
                <w:sz w:val="24"/>
                <w:szCs w:val="24"/>
              </w:rPr>
            </w:pPr>
            <w:r w:rsidRPr="00EA50AD">
              <w:rPr>
                <w:rFonts w:ascii="仿宋_GB2312" w:hAnsi="仿宋_GB2312" w:cs="仿宋_GB2312"/>
                <w:bCs/>
                <w:sz w:val="24"/>
                <w:szCs w:val="24"/>
              </w:rPr>
              <w:t>11.项目管理能力</w:t>
            </w:r>
          </w:p>
        </w:tc>
        <w:tc>
          <w:tcPr>
            <w:tcW w:w="3261"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rPr>
                <w:rFonts w:ascii="仿宋_GB2312" w:hAnsi="仿宋_GB2312" w:cs="仿宋_GB2312"/>
                <w:bCs/>
                <w:sz w:val="24"/>
                <w:szCs w:val="24"/>
              </w:rPr>
            </w:pPr>
            <w:r w:rsidRPr="00EA50AD">
              <w:rPr>
                <w:rFonts w:ascii="仿宋_GB2312" w:hAnsi="仿宋_GB2312" w:cs="仿宋_GB2312"/>
                <w:bCs/>
                <w:sz w:val="24"/>
                <w:szCs w:val="24"/>
              </w:rPr>
              <w:t>11.</w:t>
            </w:r>
            <w:r w:rsidRPr="00EA50AD">
              <w:rPr>
                <w:rFonts w:ascii="仿宋_GB2312" w:hAnsi="仿宋_GB2312" w:cs="仿宋_GB2312" w:hint="eastAsia"/>
                <w:bCs/>
                <w:sz w:val="24"/>
                <w:szCs w:val="24"/>
              </w:rPr>
              <w:t>1</w:t>
            </w:r>
            <w:r w:rsidRPr="00EA50AD">
              <w:rPr>
                <w:rFonts w:ascii="仿宋_GB2312" w:hAnsi="仿宋_GB2312" w:cs="仿宋_GB2312"/>
                <w:bCs/>
                <w:sz w:val="24"/>
                <w:szCs w:val="24"/>
              </w:rPr>
              <w:t xml:space="preserve"> 工程解决方案的管理与决策</w:t>
            </w:r>
          </w:p>
        </w:tc>
        <w:tc>
          <w:tcPr>
            <w:tcW w:w="960"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c>
          <w:tcPr>
            <w:tcW w:w="960"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c>
          <w:tcPr>
            <w:tcW w:w="895" w:type="dxa"/>
            <w:tcBorders>
              <w:top w:val="single" w:sz="4" w:space="0" w:color="auto"/>
              <w:left w:val="single" w:sz="4" w:space="0" w:color="auto"/>
              <w:bottom w:val="single" w:sz="4" w:space="0" w:color="auto"/>
              <w:right w:val="single" w:sz="4" w:space="0" w:color="auto"/>
            </w:tcBorders>
            <w:vAlign w:val="center"/>
          </w:tcPr>
          <w:p w:rsidR="00BE5664" w:rsidRPr="00EA50AD" w:rsidRDefault="00BE5664" w:rsidP="00EA50AD">
            <w:pPr>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w:t>
            </w:r>
          </w:p>
        </w:tc>
      </w:tr>
    </w:tbl>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hint="eastAsia"/>
          <w:bCs/>
          <w:sz w:val="28"/>
          <w:szCs w:val="28"/>
        </w:rPr>
        <w:t>（3）本课程的重点、难点</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hint="eastAsia"/>
          <w:bCs/>
          <w:sz w:val="28"/>
          <w:szCs w:val="28"/>
        </w:rPr>
        <w:t>重点：建设工程招标与投标；评标方法；建设工程施工合同管理；工程索赔。</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hint="eastAsia"/>
          <w:bCs/>
          <w:sz w:val="28"/>
          <w:szCs w:val="28"/>
        </w:rPr>
        <w:t>难点：评标标准与方法；建设工程投标；工程索赔。</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hint="eastAsia"/>
          <w:bCs/>
          <w:sz w:val="28"/>
          <w:szCs w:val="28"/>
        </w:rPr>
        <w:t>（4）课程思政切入</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t>引导学生深刻理解并自觉实践</w:t>
      </w:r>
      <w:r w:rsidRPr="00EA50AD">
        <w:rPr>
          <w:rFonts w:ascii="仿宋_GB2312" w:hAnsi="仿宋_GB2312" w:cs="仿宋_GB2312" w:hint="eastAsia"/>
          <w:bCs/>
          <w:sz w:val="28"/>
          <w:szCs w:val="28"/>
        </w:rPr>
        <w:t>土木工程施工</w:t>
      </w:r>
      <w:r w:rsidRPr="00EA50AD">
        <w:rPr>
          <w:rFonts w:ascii="仿宋_GB2312" w:hAnsi="仿宋_GB2312" w:cs="仿宋_GB2312"/>
          <w:bCs/>
          <w:sz w:val="28"/>
          <w:szCs w:val="28"/>
        </w:rPr>
        <w:t>领域的职业精神和职业规范。增强学生的土木工程师职业责任感</w:t>
      </w:r>
      <w:r w:rsidRPr="00EA50AD">
        <w:rPr>
          <w:rFonts w:ascii="仿宋_GB2312" w:hAnsi="仿宋_GB2312" w:cs="仿宋_GB2312" w:hint="eastAsia"/>
          <w:bCs/>
          <w:sz w:val="28"/>
          <w:szCs w:val="28"/>
        </w:rPr>
        <w:t>，培养学生的大国工匠精神，激发学生的家国情怀。鼓励学生在复杂的因素中找到内在联系，抓住事物的本质；培养学生以实事求是的科学态度分析问题和解决问题。引导学生深刻理解工程实践对人类社会及环境的正面和负面影响，培养绿色建造理念。强调应坚持信念、不忘初心、方为始终。</w:t>
      </w:r>
    </w:p>
    <w:p w:rsidR="00BE5664" w:rsidRPr="00EA50AD" w:rsidRDefault="00BE5664" w:rsidP="00EA50AD">
      <w:pPr>
        <w:spacing w:beforeLines="50" w:before="156" w:afterLines="50" w:after="156" w:line="560" w:lineRule="exact"/>
        <w:rPr>
          <w:rFonts w:ascii="黑体" w:eastAsia="黑体" w:hAnsi="黑体"/>
          <w:b/>
          <w:sz w:val="28"/>
          <w:szCs w:val="28"/>
        </w:rPr>
      </w:pPr>
      <w:r w:rsidRPr="00EA50AD">
        <w:rPr>
          <w:rFonts w:ascii="黑体" w:eastAsia="黑体" w:hAnsi="黑体" w:hint="eastAsia"/>
          <w:b/>
          <w:sz w:val="28"/>
          <w:szCs w:val="28"/>
        </w:rPr>
        <w:t>四、教学内容安排</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709"/>
        <w:gridCol w:w="2976"/>
        <w:gridCol w:w="3377"/>
      </w:tblGrid>
      <w:tr w:rsidR="00BE5664" w:rsidTr="00BE5664">
        <w:trPr>
          <w:cantSplit/>
          <w:trHeight w:val="785"/>
          <w:jc w:val="center"/>
        </w:trPr>
        <w:tc>
          <w:tcPr>
            <w:tcW w:w="392" w:type="dxa"/>
            <w:vAlign w:val="center"/>
          </w:tcPr>
          <w:p w:rsidR="00BE5664" w:rsidRPr="00EA50AD" w:rsidRDefault="00BE5664" w:rsidP="00BE5664">
            <w:pPr>
              <w:spacing w:line="360" w:lineRule="exact"/>
              <w:jc w:val="center"/>
              <w:rPr>
                <w:rFonts w:ascii="仿宋_GB2312" w:hAnsi="仿宋_GB2312" w:cs="仿宋_GB2312"/>
                <w:b/>
                <w:bCs/>
                <w:sz w:val="24"/>
                <w:szCs w:val="24"/>
              </w:rPr>
            </w:pPr>
            <w:r w:rsidRPr="00EA50AD">
              <w:rPr>
                <w:rFonts w:ascii="仿宋_GB2312" w:hAnsi="仿宋_GB2312" w:cs="仿宋_GB2312"/>
                <w:b/>
                <w:bCs/>
                <w:sz w:val="24"/>
                <w:szCs w:val="24"/>
              </w:rPr>
              <w:t>序号</w:t>
            </w:r>
          </w:p>
        </w:tc>
        <w:tc>
          <w:tcPr>
            <w:tcW w:w="1701" w:type="dxa"/>
            <w:vAlign w:val="center"/>
          </w:tcPr>
          <w:p w:rsidR="00BE5664" w:rsidRPr="00EA50AD" w:rsidRDefault="00BE5664" w:rsidP="00BE5664">
            <w:pPr>
              <w:spacing w:line="360" w:lineRule="exact"/>
              <w:jc w:val="center"/>
              <w:rPr>
                <w:rFonts w:ascii="仿宋_GB2312" w:hAnsi="仿宋_GB2312" w:cs="仿宋_GB2312"/>
                <w:b/>
                <w:bCs/>
                <w:sz w:val="24"/>
                <w:szCs w:val="24"/>
              </w:rPr>
            </w:pPr>
            <w:r w:rsidRPr="00EA50AD">
              <w:rPr>
                <w:rFonts w:ascii="仿宋_GB2312" w:hAnsi="仿宋_GB2312" w:cs="仿宋_GB2312"/>
                <w:b/>
                <w:bCs/>
                <w:sz w:val="24"/>
                <w:szCs w:val="24"/>
              </w:rPr>
              <w:t>章  节</w:t>
            </w:r>
          </w:p>
        </w:tc>
        <w:tc>
          <w:tcPr>
            <w:tcW w:w="709" w:type="dxa"/>
            <w:vAlign w:val="center"/>
          </w:tcPr>
          <w:p w:rsidR="00BE5664" w:rsidRPr="00EA50AD" w:rsidRDefault="00BE5664" w:rsidP="00BE5664">
            <w:pPr>
              <w:spacing w:line="360" w:lineRule="exact"/>
              <w:jc w:val="center"/>
              <w:rPr>
                <w:rFonts w:ascii="仿宋_GB2312" w:hAnsi="仿宋_GB2312" w:cs="仿宋_GB2312"/>
                <w:b/>
                <w:bCs/>
                <w:sz w:val="24"/>
                <w:szCs w:val="24"/>
              </w:rPr>
            </w:pPr>
            <w:r w:rsidRPr="00EA50AD">
              <w:rPr>
                <w:rFonts w:ascii="仿宋_GB2312" w:hAnsi="仿宋_GB2312" w:cs="仿宋_GB2312"/>
                <w:b/>
                <w:bCs/>
                <w:sz w:val="24"/>
                <w:szCs w:val="24"/>
              </w:rPr>
              <w:t>参考学时</w:t>
            </w:r>
          </w:p>
        </w:tc>
        <w:tc>
          <w:tcPr>
            <w:tcW w:w="2976" w:type="dxa"/>
            <w:vAlign w:val="center"/>
          </w:tcPr>
          <w:p w:rsidR="00BE5664" w:rsidRPr="00EA50AD" w:rsidRDefault="00BE5664" w:rsidP="00BE5664">
            <w:pPr>
              <w:spacing w:line="360" w:lineRule="exact"/>
              <w:jc w:val="center"/>
              <w:rPr>
                <w:rFonts w:ascii="仿宋_GB2312" w:hAnsi="仿宋_GB2312" w:cs="仿宋_GB2312"/>
                <w:b/>
                <w:bCs/>
                <w:sz w:val="24"/>
                <w:szCs w:val="24"/>
              </w:rPr>
            </w:pPr>
            <w:r w:rsidRPr="00EA50AD">
              <w:rPr>
                <w:rFonts w:ascii="仿宋_GB2312" w:hAnsi="仿宋_GB2312" w:cs="仿宋_GB2312"/>
                <w:b/>
                <w:bCs/>
                <w:sz w:val="24"/>
                <w:szCs w:val="24"/>
              </w:rPr>
              <w:t>教学内容</w:t>
            </w:r>
          </w:p>
        </w:tc>
        <w:tc>
          <w:tcPr>
            <w:tcW w:w="3377" w:type="dxa"/>
            <w:vAlign w:val="center"/>
          </w:tcPr>
          <w:p w:rsidR="00BE5664" w:rsidRPr="00EA50AD" w:rsidRDefault="00BE5664" w:rsidP="00BE5664">
            <w:pPr>
              <w:spacing w:line="360" w:lineRule="exact"/>
              <w:jc w:val="center"/>
              <w:rPr>
                <w:rFonts w:ascii="仿宋_GB2312" w:hAnsi="仿宋_GB2312" w:cs="仿宋_GB2312"/>
                <w:b/>
                <w:bCs/>
                <w:sz w:val="24"/>
                <w:szCs w:val="24"/>
              </w:rPr>
            </w:pPr>
            <w:r w:rsidRPr="00EA50AD">
              <w:rPr>
                <w:rFonts w:ascii="仿宋_GB2312" w:hAnsi="仿宋_GB2312" w:cs="仿宋_GB2312"/>
                <w:b/>
                <w:bCs/>
                <w:sz w:val="24"/>
                <w:szCs w:val="24"/>
              </w:rPr>
              <w:t>基本要求</w:t>
            </w:r>
          </w:p>
        </w:tc>
      </w:tr>
      <w:tr w:rsidR="00BE5664" w:rsidTr="00BE5664">
        <w:trPr>
          <w:trHeight w:val="428"/>
          <w:jc w:val="center"/>
        </w:trPr>
        <w:tc>
          <w:tcPr>
            <w:tcW w:w="392"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bCs/>
                <w:sz w:val="24"/>
                <w:szCs w:val="24"/>
              </w:rPr>
              <w:t>1</w:t>
            </w:r>
          </w:p>
        </w:tc>
        <w:tc>
          <w:tcPr>
            <w:tcW w:w="1701"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第1章 工程招投标概述</w:t>
            </w:r>
          </w:p>
        </w:tc>
        <w:tc>
          <w:tcPr>
            <w:tcW w:w="709"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hint="eastAsia"/>
                <w:bCs/>
                <w:sz w:val="24"/>
                <w:szCs w:val="24"/>
              </w:rPr>
              <w:t>2</w:t>
            </w:r>
          </w:p>
        </w:tc>
        <w:tc>
          <w:tcPr>
            <w:tcW w:w="2976"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(1)工程招投标的概念、特点；</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(2)建筑市场基本知识；</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(3)工程招投标的分类、方式与范围；</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(4)自行招标与委托道理招标；</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(5) 工程招投标制度的发</w:t>
            </w:r>
            <w:r w:rsidRPr="00EA50AD">
              <w:rPr>
                <w:rFonts w:ascii="仿宋_GB2312" w:hAnsi="仿宋_GB2312" w:cs="仿宋_GB2312" w:hint="eastAsia"/>
                <w:bCs/>
                <w:sz w:val="24"/>
                <w:szCs w:val="24"/>
              </w:rPr>
              <w:lastRenderedPageBreak/>
              <w:t>展。</w:t>
            </w:r>
          </w:p>
        </w:tc>
        <w:tc>
          <w:tcPr>
            <w:tcW w:w="3377"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lastRenderedPageBreak/>
              <w:t>了解</w:t>
            </w:r>
            <w:r w:rsidRPr="00EA50AD">
              <w:rPr>
                <w:rFonts w:ascii="仿宋_GB2312" w:hAnsi="仿宋_GB2312" w:cs="仿宋_GB2312" w:hint="eastAsia"/>
                <w:bCs/>
                <w:sz w:val="24"/>
                <w:szCs w:val="24"/>
              </w:rPr>
              <w:t>：工程招投标制度的演变与发展趋势；</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熟悉：建筑市场基本知识；自行招标与委托代理招标；</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掌握：工程招投标的概念、作用与特点；工程招标分类、方式和范围。</w:t>
            </w:r>
          </w:p>
        </w:tc>
      </w:tr>
      <w:tr w:rsidR="00BE5664" w:rsidTr="00BE5664">
        <w:trPr>
          <w:trHeight w:val="519"/>
          <w:jc w:val="center"/>
        </w:trPr>
        <w:tc>
          <w:tcPr>
            <w:tcW w:w="392"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bCs/>
                <w:sz w:val="24"/>
                <w:szCs w:val="24"/>
              </w:rPr>
              <w:t>2</w:t>
            </w:r>
          </w:p>
        </w:tc>
        <w:tc>
          <w:tcPr>
            <w:tcW w:w="1701"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第2章 建设工程招标</w:t>
            </w:r>
          </w:p>
        </w:tc>
        <w:tc>
          <w:tcPr>
            <w:tcW w:w="709"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hint="eastAsia"/>
                <w:bCs/>
                <w:sz w:val="24"/>
                <w:szCs w:val="24"/>
              </w:rPr>
              <w:t>3</w:t>
            </w:r>
          </w:p>
        </w:tc>
        <w:tc>
          <w:tcPr>
            <w:tcW w:w="2976"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(1)招标前的准备工作；</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(2)建设工程招标文件；</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(3)资格审查。</w:t>
            </w:r>
          </w:p>
        </w:tc>
        <w:tc>
          <w:tcPr>
            <w:tcW w:w="3377"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了解</w:t>
            </w:r>
            <w:r w:rsidRPr="00EA50AD">
              <w:rPr>
                <w:rFonts w:ascii="仿宋_GB2312" w:hAnsi="仿宋_GB2312" w:cs="仿宋_GB2312" w:hint="eastAsia"/>
                <w:bCs/>
                <w:sz w:val="24"/>
                <w:szCs w:val="24"/>
              </w:rPr>
              <w:t>：工程招标应具备的条件；</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熟悉：标段划分、发包范围的确定；</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掌握：招标文件的内容及编制方法；资格审查的程序和要素。</w:t>
            </w:r>
          </w:p>
        </w:tc>
      </w:tr>
      <w:tr w:rsidR="00BE5664" w:rsidTr="00BE5664">
        <w:trPr>
          <w:trHeight w:val="555"/>
          <w:jc w:val="center"/>
        </w:trPr>
        <w:tc>
          <w:tcPr>
            <w:tcW w:w="392"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bCs/>
                <w:sz w:val="24"/>
                <w:szCs w:val="24"/>
              </w:rPr>
              <w:t>3</w:t>
            </w:r>
          </w:p>
        </w:tc>
        <w:tc>
          <w:tcPr>
            <w:tcW w:w="1701"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第</w:t>
            </w:r>
            <w:r w:rsidRPr="00EA50AD">
              <w:rPr>
                <w:rFonts w:ascii="仿宋_GB2312" w:hAnsi="仿宋_GB2312" w:cs="仿宋_GB2312" w:hint="eastAsia"/>
                <w:bCs/>
                <w:sz w:val="24"/>
                <w:szCs w:val="24"/>
              </w:rPr>
              <w:t>3</w:t>
            </w:r>
            <w:r w:rsidRPr="00EA50AD">
              <w:rPr>
                <w:rFonts w:ascii="仿宋_GB2312" w:hAnsi="仿宋_GB2312" w:cs="仿宋_GB2312"/>
                <w:bCs/>
                <w:sz w:val="24"/>
                <w:szCs w:val="24"/>
              </w:rPr>
              <w:t>章 建设工程</w:t>
            </w:r>
            <w:r w:rsidRPr="00EA50AD">
              <w:rPr>
                <w:rFonts w:ascii="仿宋_GB2312" w:hAnsi="仿宋_GB2312" w:cs="仿宋_GB2312" w:hint="eastAsia"/>
                <w:bCs/>
                <w:sz w:val="24"/>
                <w:szCs w:val="24"/>
              </w:rPr>
              <w:t>投</w:t>
            </w:r>
            <w:r w:rsidRPr="00EA50AD">
              <w:rPr>
                <w:rFonts w:ascii="仿宋_GB2312" w:hAnsi="仿宋_GB2312" w:cs="仿宋_GB2312"/>
                <w:bCs/>
                <w:sz w:val="24"/>
                <w:szCs w:val="24"/>
              </w:rPr>
              <w:t>标</w:t>
            </w:r>
          </w:p>
        </w:tc>
        <w:tc>
          <w:tcPr>
            <w:tcW w:w="709"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hint="eastAsia"/>
                <w:bCs/>
                <w:sz w:val="24"/>
                <w:szCs w:val="24"/>
              </w:rPr>
              <w:t>3</w:t>
            </w:r>
          </w:p>
        </w:tc>
        <w:tc>
          <w:tcPr>
            <w:tcW w:w="2976"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(1)投标前的准备工作；</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(2)投标文件；</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(3)投标报价策略与技巧。</w:t>
            </w:r>
          </w:p>
        </w:tc>
        <w:tc>
          <w:tcPr>
            <w:tcW w:w="3377"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了解</w:t>
            </w:r>
            <w:r w:rsidRPr="00EA50AD">
              <w:rPr>
                <w:rFonts w:ascii="仿宋_GB2312" w:hAnsi="仿宋_GB2312" w:cs="仿宋_GB2312" w:hint="eastAsia"/>
                <w:bCs/>
                <w:sz w:val="24"/>
                <w:szCs w:val="24"/>
              </w:rPr>
              <w:t>：招标信息的获取与分析；投标报价的策略；</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熟悉：投标报价的准备工作；资格预审申请；投标报价技巧与策略；</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掌握：招标文件的研究；投标文件的内容及编制要求。</w:t>
            </w:r>
          </w:p>
        </w:tc>
      </w:tr>
      <w:tr w:rsidR="00BE5664" w:rsidTr="00BE5664">
        <w:trPr>
          <w:trHeight w:val="555"/>
          <w:jc w:val="center"/>
        </w:trPr>
        <w:tc>
          <w:tcPr>
            <w:tcW w:w="392"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4</w:t>
            </w:r>
          </w:p>
        </w:tc>
        <w:tc>
          <w:tcPr>
            <w:tcW w:w="1701"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第</w:t>
            </w:r>
            <w:r w:rsidRPr="00EA50AD">
              <w:rPr>
                <w:rFonts w:ascii="仿宋_GB2312" w:hAnsi="仿宋_GB2312" w:cs="仿宋_GB2312" w:hint="eastAsia"/>
                <w:bCs/>
                <w:sz w:val="24"/>
                <w:szCs w:val="24"/>
              </w:rPr>
              <w:t>4</w:t>
            </w:r>
            <w:r w:rsidRPr="00EA50AD">
              <w:rPr>
                <w:rFonts w:ascii="仿宋_GB2312" w:hAnsi="仿宋_GB2312" w:cs="仿宋_GB2312"/>
                <w:bCs/>
                <w:sz w:val="24"/>
                <w:szCs w:val="24"/>
              </w:rPr>
              <w:t xml:space="preserve">章 </w:t>
            </w:r>
            <w:r w:rsidRPr="00EA50AD">
              <w:rPr>
                <w:rFonts w:ascii="仿宋_GB2312" w:hAnsi="仿宋_GB2312" w:cs="仿宋_GB2312" w:hint="eastAsia"/>
                <w:bCs/>
                <w:sz w:val="24"/>
                <w:szCs w:val="24"/>
              </w:rPr>
              <w:t>开标、</w:t>
            </w:r>
            <w:r w:rsidRPr="00EA50AD">
              <w:rPr>
                <w:rFonts w:ascii="仿宋_GB2312" w:hAnsi="仿宋_GB2312" w:cs="仿宋_GB2312"/>
                <w:bCs/>
                <w:sz w:val="24"/>
                <w:szCs w:val="24"/>
              </w:rPr>
              <w:t>评标与定标</w:t>
            </w:r>
          </w:p>
        </w:tc>
        <w:tc>
          <w:tcPr>
            <w:tcW w:w="709"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hint="eastAsia"/>
                <w:bCs/>
                <w:sz w:val="24"/>
                <w:szCs w:val="24"/>
              </w:rPr>
              <w:t>2</w:t>
            </w:r>
          </w:p>
        </w:tc>
        <w:tc>
          <w:tcPr>
            <w:tcW w:w="2976"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(1)开标；</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(2)评标；</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(3)定标。</w:t>
            </w:r>
          </w:p>
        </w:tc>
        <w:tc>
          <w:tcPr>
            <w:tcW w:w="3377"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熟悉：开标、定标程序及相关规定；废标的处理；</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掌握：评标办法与程序。</w:t>
            </w:r>
          </w:p>
        </w:tc>
      </w:tr>
      <w:tr w:rsidR="00BE5664" w:rsidTr="00BE5664">
        <w:trPr>
          <w:trHeight w:val="555"/>
          <w:jc w:val="center"/>
        </w:trPr>
        <w:tc>
          <w:tcPr>
            <w:tcW w:w="392"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hint="eastAsia"/>
                <w:bCs/>
                <w:sz w:val="24"/>
                <w:szCs w:val="24"/>
              </w:rPr>
              <w:t>5</w:t>
            </w:r>
          </w:p>
        </w:tc>
        <w:tc>
          <w:tcPr>
            <w:tcW w:w="1701"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第</w:t>
            </w:r>
            <w:r w:rsidRPr="00EA50AD">
              <w:rPr>
                <w:rFonts w:ascii="仿宋_GB2312" w:hAnsi="仿宋_GB2312" w:cs="仿宋_GB2312" w:hint="eastAsia"/>
                <w:bCs/>
                <w:sz w:val="24"/>
                <w:szCs w:val="24"/>
              </w:rPr>
              <w:t>5</w:t>
            </w:r>
            <w:r w:rsidRPr="00EA50AD">
              <w:rPr>
                <w:rFonts w:ascii="仿宋_GB2312" w:hAnsi="仿宋_GB2312" w:cs="仿宋_GB2312"/>
                <w:bCs/>
                <w:sz w:val="24"/>
                <w:szCs w:val="24"/>
              </w:rPr>
              <w:t>章</w:t>
            </w:r>
            <w:r w:rsidRPr="00EA50AD">
              <w:rPr>
                <w:rFonts w:ascii="仿宋_GB2312" w:hAnsi="仿宋_GB2312" w:cs="仿宋_GB2312" w:hint="eastAsia"/>
                <w:bCs/>
                <w:sz w:val="24"/>
                <w:szCs w:val="24"/>
              </w:rPr>
              <w:t xml:space="preserve"> </w:t>
            </w:r>
            <w:r w:rsidRPr="00EA50AD">
              <w:rPr>
                <w:rFonts w:ascii="仿宋_GB2312" w:hAnsi="仿宋_GB2312" w:cs="仿宋_GB2312"/>
                <w:bCs/>
                <w:sz w:val="24"/>
                <w:szCs w:val="24"/>
              </w:rPr>
              <w:t>工程合同管理概述</w:t>
            </w:r>
          </w:p>
        </w:tc>
        <w:tc>
          <w:tcPr>
            <w:tcW w:w="709"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hint="eastAsia"/>
                <w:bCs/>
                <w:sz w:val="24"/>
                <w:szCs w:val="24"/>
              </w:rPr>
              <w:t>2</w:t>
            </w:r>
          </w:p>
        </w:tc>
        <w:tc>
          <w:tcPr>
            <w:tcW w:w="2976"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(1)工程合同管理法律基础；</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(2)工程合同关系及合同体系；</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(3)工程合同管理的基本原理。</w:t>
            </w:r>
          </w:p>
        </w:tc>
        <w:tc>
          <w:tcPr>
            <w:tcW w:w="3377"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了解</w:t>
            </w:r>
            <w:r w:rsidRPr="00EA50AD">
              <w:rPr>
                <w:rFonts w:ascii="仿宋_GB2312" w:hAnsi="仿宋_GB2312" w:cs="仿宋_GB2312" w:hint="eastAsia"/>
                <w:bCs/>
                <w:sz w:val="24"/>
                <w:szCs w:val="24"/>
              </w:rPr>
              <w:t>：工程合同关系及合同体系；</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熟悉：工程合同管理的基本原理；</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掌握：工程合同管理的法律基础。</w:t>
            </w:r>
          </w:p>
        </w:tc>
      </w:tr>
      <w:tr w:rsidR="00BE5664" w:rsidTr="00BE5664">
        <w:trPr>
          <w:trHeight w:val="555"/>
          <w:jc w:val="center"/>
        </w:trPr>
        <w:tc>
          <w:tcPr>
            <w:tcW w:w="392"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hint="eastAsia"/>
                <w:bCs/>
                <w:sz w:val="24"/>
                <w:szCs w:val="24"/>
              </w:rPr>
              <w:t>6</w:t>
            </w:r>
          </w:p>
        </w:tc>
        <w:tc>
          <w:tcPr>
            <w:tcW w:w="1701"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第</w:t>
            </w:r>
            <w:r w:rsidRPr="00EA50AD">
              <w:rPr>
                <w:rFonts w:ascii="仿宋_GB2312" w:hAnsi="仿宋_GB2312" w:cs="仿宋_GB2312" w:hint="eastAsia"/>
                <w:bCs/>
                <w:sz w:val="24"/>
                <w:szCs w:val="24"/>
              </w:rPr>
              <w:t>6</w:t>
            </w:r>
            <w:r w:rsidRPr="00EA50AD">
              <w:rPr>
                <w:rFonts w:ascii="仿宋_GB2312" w:hAnsi="仿宋_GB2312" w:cs="仿宋_GB2312"/>
                <w:bCs/>
                <w:sz w:val="24"/>
                <w:szCs w:val="24"/>
              </w:rPr>
              <w:t>章 建设工程</w:t>
            </w:r>
            <w:r w:rsidRPr="00EA50AD">
              <w:rPr>
                <w:rFonts w:ascii="仿宋_GB2312" w:hAnsi="仿宋_GB2312" w:cs="仿宋_GB2312" w:hint="eastAsia"/>
                <w:bCs/>
                <w:sz w:val="24"/>
                <w:szCs w:val="24"/>
              </w:rPr>
              <w:t>施工合同</w:t>
            </w:r>
            <w:r w:rsidRPr="00EA50AD">
              <w:rPr>
                <w:rFonts w:ascii="仿宋_GB2312" w:hAnsi="仿宋_GB2312" w:cs="仿宋_GB2312"/>
                <w:bCs/>
                <w:sz w:val="24"/>
                <w:szCs w:val="24"/>
              </w:rPr>
              <w:t>管理</w:t>
            </w:r>
          </w:p>
        </w:tc>
        <w:tc>
          <w:tcPr>
            <w:tcW w:w="709"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hint="eastAsia"/>
                <w:bCs/>
                <w:sz w:val="24"/>
                <w:szCs w:val="24"/>
              </w:rPr>
              <w:t>4</w:t>
            </w:r>
          </w:p>
        </w:tc>
        <w:tc>
          <w:tcPr>
            <w:tcW w:w="2976"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(1)建设工程施工合同概述；</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(2)建设工程施工合同的订立；</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(3)施工准备阶段的合同管理；</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(4)施工过程的合同管理；</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(5)竣工阶段的合同管理。</w:t>
            </w:r>
          </w:p>
        </w:tc>
        <w:tc>
          <w:tcPr>
            <w:tcW w:w="3377"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了解</w:t>
            </w:r>
            <w:r w:rsidRPr="00EA50AD">
              <w:rPr>
                <w:rFonts w:ascii="仿宋_GB2312" w:hAnsi="仿宋_GB2312" w:cs="仿宋_GB2312" w:hint="eastAsia"/>
                <w:bCs/>
                <w:sz w:val="24"/>
                <w:szCs w:val="24"/>
              </w:rPr>
              <w:t>：施工合同的概念与特点；</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掌握：施工合同示范文本的组成；施工合同中的实质性条款；</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理解：施工合同示范文本的专业名词术语；通用条款。</w:t>
            </w:r>
          </w:p>
        </w:tc>
      </w:tr>
      <w:tr w:rsidR="00BE5664" w:rsidTr="00BE5664">
        <w:trPr>
          <w:trHeight w:val="555"/>
          <w:jc w:val="center"/>
        </w:trPr>
        <w:tc>
          <w:tcPr>
            <w:tcW w:w="392"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hint="eastAsia"/>
                <w:bCs/>
                <w:sz w:val="24"/>
                <w:szCs w:val="24"/>
              </w:rPr>
              <w:t>7</w:t>
            </w:r>
          </w:p>
        </w:tc>
        <w:tc>
          <w:tcPr>
            <w:tcW w:w="1701"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第</w:t>
            </w:r>
            <w:r w:rsidRPr="00EA50AD">
              <w:rPr>
                <w:rFonts w:ascii="仿宋_GB2312" w:hAnsi="仿宋_GB2312" w:cs="仿宋_GB2312" w:hint="eastAsia"/>
                <w:bCs/>
                <w:sz w:val="24"/>
                <w:szCs w:val="24"/>
              </w:rPr>
              <w:t>7</w:t>
            </w:r>
            <w:r w:rsidRPr="00EA50AD">
              <w:rPr>
                <w:rFonts w:ascii="仿宋_GB2312" w:hAnsi="仿宋_GB2312" w:cs="仿宋_GB2312"/>
                <w:bCs/>
                <w:sz w:val="24"/>
                <w:szCs w:val="24"/>
              </w:rPr>
              <w:t>章 工程建设</w:t>
            </w:r>
            <w:r w:rsidRPr="00EA50AD">
              <w:rPr>
                <w:rFonts w:ascii="仿宋_GB2312" w:hAnsi="仿宋_GB2312" w:cs="仿宋_GB2312" w:hint="eastAsia"/>
                <w:bCs/>
                <w:sz w:val="24"/>
                <w:szCs w:val="24"/>
              </w:rPr>
              <w:t>相关合同</w:t>
            </w:r>
            <w:r w:rsidRPr="00EA50AD">
              <w:rPr>
                <w:rFonts w:ascii="仿宋_GB2312" w:hAnsi="仿宋_GB2312" w:cs="仿宋_GB2312"/>
                <w:bCs/>
                <w:sz w:val="24"/>
                <w:szCs w:val="24"/>
              </w:rPr>
              <w:t>管理</w:t>
            </w:r>
          </w:p>
        </w:tc>
        <w:tc>
          <w:tcPr>
            <w:tcW w:w="709"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hint="eastAsia"/>
                <w:bCs/>
                <w:sz w:val="24"/>
                <w:szCs w:val="24"/>
              </w:rPr>
              <w:t>4</w:t>
            </w:r>
          </w:p>
        </w:tc>
        <w:tc>
          <w:tcPr>
            <w:tcW w:w="2976"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(1)工程设计合同管理；</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(2)工程监理合同管理；</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(3)工程造价咨询合同管理；</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(4)国际工程常用合同条件简介；</w:t>
            </w:r>
          </w:p>
        </w:tc>
        <w:tc>
          <w:tcPr>
            <w:tcW w:w="3377"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了解</w:t>
            </w:r>
            <w:r w:rsidRPr="00EA50AD">
              <w:rPr>
                <w:rFonts w:ascii="仿宋_GB2312" w:hAnsi="仿宋_GB2312" w:cs="仿宋_GB2312" w:hint="eastAsia"/>
                <w:bCs/>
                <w:sz w:val="24"/>
                <w:szCs w:val="24"/>
              </w:rPr>
              <w:t>：国际工程合同条件</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熟悉：设计合同、监理合同的基本条款；</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掌握：工程造价咨询合同的主要内容。</w:t>
            </w:r>
          </w:p>
        </w:tc>
      </w:tr>
      <w:tr w:rsidR="00BE5664" w:rsidTr="00BE5664">
        <w:trPr>
          <w:trHeight w:val="555"/>
          <w:jc w:val="center"/>
        </w:trPr>
        <w:tc>
          <w:tcPr>
            <w:tcW w:w="392"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hint="eastAsia"/>
                <w:bCs/>
                <w:sz w:val="24"/>
                <w:szCs w:val="24"/>
              </w:rPr>
              <w:t>8</w:t>
            </w:r>
          </w:p>
        </w:tc>
        <w:tc>
          <w:tcPr>
            <w:tcW w:w="1701"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t>第</w:t>
            </w:r>
            <w:r w:rsidRPr="00EA50AD">
              <w:rPr>
                <w:rFonts w:ascii="仿宋_GB2312" w:hAnsi="仿宋_GB2312" w:cs="仿宋_GB2312" w:hint="eastAsia"/>
                <w:bCs/>
                <w:sz w:val="24"/>
                <w:szCs w:val="24"/>
              </w:rPr>
              <w:t>8</w:t>
            </w:r>
            <w:r w:rsidRPr="00EA50AD">
              <w:rPr>
                <w:rFonts w:ascii="仿宋_GB2312" w:hAnsi="仿宋_GB2312" w:cs="仿宋_GB2312"/>
                <w:bCs/>
                <w:sz w:val="24"/>
                <w:szCs w:val="24"/>
              </w:rPr>
              <w:t xml:space="preserve">章 </w:t>
            </w:r>
            <w:r w:rsidRPr="00EA50AD">
              <w:rPr>
                <w:rFonts w:ascii="仿宋_GB2312" w:hAnsi="仿宋_GB2312" w:cs="仿宋_GB2312" w:hint="eastAsia"/>
                <w:bCs/>
                <w:sz w:val="24"/>
                <w:szCs w:val="24"/>
              </w:rPr>
              <w:t>工程索赔</w:t>
            </w:r>
            <w:r w:rsidRPr="00EA50AD">
              <w:rPr>
                <w:rFonts w:ascii="仿宋_GB2312" w:hAnsi="仿宋_GB2312" w:cs="仿宋_GB2312"/>
                <w:bCs/>
                <w:sz w:val="24"/>
                <w:szCs w:val="24"/>
              </w:rPr>
              <w:t>与争端解</w:t>
            </w:r>
            <w:r w:rsidRPr="00EA50AD">
              <w:rPr>
                <w:rFonts w:ascii="仿宋_GB2312" w:hAnsi="仿宋_GB2312" w:cs="仿宋_GB2312"/>
                <w:bCs/>
                <w:sz w:val="24"/>
                <w:szCs w:val="24"/>
              </w:rPr>
              <w:lastRenderedPageBreak/>
              <w:t>决</w:t>
            </w:r>
          </w:p>
        </w:tc>
        <w:tc>
          <w:tcPr>
            <w:tcW w:w="709" w:type="dxa"/>
            <w:vAlign w:val="center"/>
          </w:tcPr>
          <w:p w:rsidR="00BE5664" w:rsidRPr="00EA50AD" w:rsidRDefault="00BE5664" w:rsidP="00BE5664">
            <w:pPr>
              <w:spacing w:line="360" w:lineRule="exact"/>
              <w:jc w:val="center"/>
              <w:rPr>
                <w:rFonts w:ascii="仿宋_GB2312" w:hAnsi="仿宋_GB2312" w:cs="仿宋_GB2312"/>
                <w:bCs/>
                <w:sz w:val="24"/>
                <w:szCs w:val="24"/>
              </w:rPr>
            </w:pPr>
            <w:r w:rsidRPr="00EA50AD">
              <w:rPr>
                <w:rFonts w:ascii="仿宋_GB2312" w:hAnsi="仿宋_GB2312" w:cs="仿宋_GB2312" w:hint="eastAsia"/>
                <w:bCs/>
                <w:sz w:val="24"/>
                <w:szCs w:val="24"/>
              </w:rPr>
              <w:lastRenderedPageBreak/>
              <w:t>4</w:t>
            </w:r>
          </w:p>
        </w:tc>
        <w:tc>
          <w:tcPr>
            <w:tcW w:w="2976"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(1)工程索赔概述；</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(2)索赔程序与处理原则；</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lastRenderedPageBreak/>
              <w:t>(3)工期索赔与费用索赔；</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(4)合同争执的解决；</w:t>
            </w:r>
          </w:p>
        </w:tc>
        <w:tc>
          <w:tcPr>
            <w:tcW w:w="3377" w:type="dxa"/>
            <w:vAlign w:val="center"/>
          </w:tcPr>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bCs/>
                <w:sz w:val="24"/>
                <w:szCs w:val="24"/>
              </w:rPr>
              <w:lastRenderedPageBreak/>
              <w:t>了解</w:t>
            </w:r>
            <w:r w:rsidRPr="00EA50AD">
              <w:rPr>
                <w:rFonts w:ascii="仿宋_GB2312" w:hAnsi="仿宋_GB2312" w:cs="仿宋_GB2312" w:hint="eastAsia"/>
                <w:bCs/>
                <w:sz w:val="24"/>
                <w:szCs w:val="24"/>
              </w:rPr>
              <w:t>：合同争执的解决途径；</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熟悉：工程索赔的概念、起因、</w:t>
            </w:r>
            <w:r w:rsidRPr="00EA50AD">
              <w:rPr>
                <w:rFonts w:ascii="仿宋_GB2312" w:hAnsi="仿宋_GB2312" w:cs="仿宋_GB2312" w:hint="eastAsia"/>
                <w:bCs/>
                <w:sz w:val="24"/>
                <w:szCs w:val="24"/>
              </w:rPr>
              <w:lastRenderedPageBreak/>
              <w:t>分类；索赔的依据；索赔文件的编写；</w:t>
            </w:r>
          </w:p>
          <w:p w:rsidR="00BE5664" w:rsidRPr="00EA50AD" w:rsidRDefault="00BE5664" w:rsidP="00BE5664">
            <w:pPr>
              <w:spacing w:line="360" w:lineRule="exact"/>
              <w:rPr>
                <w:rFonts w:ascii="仿宋_GB2312" w:hAnsi="仿宋_GB2312" w:cs="仿宋_GB2312"/>
                <w:bCs/>
                <w:sz w:val="24"/>
                <w:szCs w:val="24"/>
              </w:rPr>
            </w:pPr>
            <w:r w:rsidRPr="00EA50AD">
              <w:rPr>
                <w:rFonts w:ascii="仿宋_GB2312" w:hAnsi="仿宋_GB2312" w:cs="仿宋_GB2312" w:hint="eastAsia"/>
                <w:bCs/>
                <w:sz w:val="24"/>
                <w:szCs w:val="24"/>
              </w:rPr>
              <w:t>掌握：索赔程序与处理原则；工期索赔和费用索赔的计算。</w:t>
            </w:r>
          </w:p>
        </w:tc>
      </w:tr>
    </w:tbl>
    <w:p w:rsidR="00BE5664" w:rsidRPr="00EA50AD" w:rsidRDefault="00BE5664" w:rsidP="00EA50AD">
      <w:pPr>
        <w:spacing w:beforeLines="50" w:before="156" w:afterLines="50" w:after="156" w:line="560" w:lineRule="exact"/>
        <w:rPr>
          <w:rFonts w:ascii="黑体" w:eastAsia="黑体" w:hAnsi="黑体"/>
          <w:b/>
          <w:sz w:val="28"/>
          <w:szCs w:val="28"/>
        </w:rPr>
      </w:pPr>
      <w:r w:rsidRPr="00EA50AD">
        <w:rPr>
          <w:rFonts w:ascii="黑体" w:eastAsia="黑体" w:hAnsi="黑体" w:hint="eastAsia"/>
          <w:b/>
          <w:sz w:val="28"/>
          <w:szCs w:val="28"/>
        </w:rPr>
        <w:lastRenderedPageBreak/>
        <w:t>五、课程考核和评价方式</w:t>
      </w:r>
    </w:p>
    <w:p w:rsidR="00BE5664" w:rsidRPr="00EA50AD" w:rsidRDefault="00BE5664" w:rsidP="00EA50AD">
      <w:pPr>
        <w:spacing w:line="360" w:lineRule="auto"/>
        <w:ind w:firstLineChars="200" w:firstLine="562"/>
        <w:rPr>
          <w:rFonts w:ascii="仿宋_GB2312" w:hAnsi="仿宋_GB2312" w:cs="仿宋_GB2312"/>
          <w:b/>
          <w:bCs/>
          <w:sz w:val="28"/>
          <w:szCs w:val="28"/>
        </w:rPr>
      </w:pPr>
      <w:r w:rsidRPr="00EA50AD">
        <w:rPr>
          <w:rFonts w:ascii="仿宋_GB2312" w:hAnsi="仿宋_GB2312" w:cs="仿宋_GB2312" w:hint="eastAsia"/>
          <w:b/>
          <w:bCs/>
          <w:sz w:val="28"/>
          <w:szCs w:val="28"/>
        </w:rPr>
        <w:t>1.课程考核</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t>本课程课外学时与课内学时比例为1:1。采用平时成绩</w:t>
      </w:r>
      <w:r w:rsidRPr="00EA50AD">
        <w:rPr>
          <w:rFonts w:ascii="仿宋_GB2312" w:hAnsi="仿宋_GB2312" w:cs="仿宋_GB2312" w:hint="eastAsia"/>
          <w:bCs/>
          <w:sz w:val="28"/>
          <w:szCs w:val="28"/>
        </w:rPr>
        <w:t>与</w:t>
      </w:r>
      <w:r w:rsidRPr="00EA50AD">
        <w:rPr>
          <w:rFonts w:ascii="仿宋_GB2312" w:hAnsi="仿宋_GB2312" w:cs="仿宋_GB2312"/>
          <w:bCs/>
          <w:sz w:val="28"/>
          <w:szCs w:val="28"/>
        </w:rPr>
        <w:t>期末考试成绩相结合的方式确定总评成绩，其中平时成绩考核包括作业、课堂表现、出勤等内容，期末考试采用</w:t>
      </w:r>
      <w:r w:rsidRPr="00EA50AD">
        <w:rPr>
          <w:rFonts w:ascii="仿宋_GB2312" w:hAnsi="仿宋_GB2312" w:cs="仿宋_GB2312" w:hint="eastAsia"/>
          <w:bCs/>
          <w:sz w:val="28"/>
          <w:szCs w:val="28"/>
        </w:rPr>
        <w:t>考试</w:t>
      </w:r>
      <w:r w:rsidRPr="00EA50AD">
        <w:rPr>
          <w:rFonts w:ascii="仿宋_GB2312" w:hAnsi="仿宋_GB2312" w:cs="仿宋_GB2312"/>
          <w:bCs/>
          <w:sz w:val="28"/>
          <w:szCs w:val="28"/>
        </w:rPr>
        <w:t>方式（百分制）。平时成绩占</w:t>
      </w:r>
      <w:r w:rsidRPr="00EA50AD">
        <w:rPr>
          <w:rFonts w:ascii="仿宋_GB2312" w:hAnsi="仿宋_GB2312" w:cs="仿宋_GB2312" w:hint="eastAsia"/>
          <w:bCs/>
          <w:sz w:val="28"/>
          <w:szCs w:val="28"/>
        </w:rPr>
        <w:t>2</w:t>
      </w:r>
      <w:r w:rsidRPr="00EA50AD">
        <w:rPr>
          <w:rFonts w:ascii="仿宋_GB2312" w:hAnsi="仿宋_GB2312" w:cs="仿宋_GB2312"/>
          <w:bCs/>
          <w:sz w:val="28"/>
          <w:szCs w:val="28"/>
        </w:rPr>
        <w:t>0%，期末考试成绩占</w:t>
      </w:r>
      <w:r w:rsidRPr="00EA50AD">
        <w:rPr>
          <w:rFonts w:ascii="仿宋_GB2312" w:hAnsi="仿宋_GB2312" w:cs="仿宋_GB2312" w:hint="eastAsia"/>
          <w:bCs/>
          <w:sz w:val="28"/>
          <w:szCs w:val="28"/>
        </w:rPr>
        <w:t>8</w:t>
      </w:r>
      <w:r w:rsidRPr="00EA50AD">
        <w:rPr>
          <w:rFonts w:ascii="仿宋_GB2312" w:hAnsi="仿宋_GB2312" w:cs="仿宋_GB2312"/>
          <w:bCs/>
          <w:sz w:val="28"/>
          <w:szCs w:val="28"/>
        </w:rPr>
        <w:t>0%。</w:t>
      </w:r>
    </w:p>
    <w:p w:rsidR="00BE5664" w:rsidRPr="00EA50AD" w:rsidRDefault="00BE5664" w:rsidP="00EA50AD">
      <w:pPr>
        <w:spacing w:line="360" w:lineRule="auto"/>
        <w:ind w:firstLineChars="200" w:firstLine="562"/>
        <w:rPr>
          <w:rFonts w:ascii="仿宋_GB2312" w:hAnsi="仿宋_GB2312" w:cs="仿宋_GB2312"/>
          <w:b/>
          <w:bCs/>
          <w:sz w:val="28"/>
          <w:szCs w:val="28"/>
        </w:rPr>
      </w:pPr>
      <w:r w:rsidRPr="00EA50AD">
        <w:rPr>
          <w:rFonts w:ascii="仿宋_GB2312" w:hAnsi="仿宋_GB2312" w:cs="仿宋_GB2312" w:hint="eastAsia"/>
          <w:b/>
          <w:bCs/>
          <w:sz w:val="28"/>
          <w:szCs w:val="28"/>
        </w:rPr>
        <w:t>2.成绩评定</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t>课程总成绩=期末成绩</w:t>
      </w:r>
      <w:r w:rsidRPr="00EA50AD">
        <w:rPr>
          <w:rFonts w:ascii="仿宋_GB2312" w:hAnsi="仿宋_GB2312" w:cs="仿宋_GB2312" w:hint="eastAsia"/>
          <w:bCs/>
          <w:sz w:val="28"/>
          <w:szCs w:val="28"/>
        </w:rPr>
        <w:t>80%+平时</w:t>
      </w:r>
      <w:r w:rsidRPr="00EA50AD">
        <w:rPr>
          <w:rFonts w:ascii="仿宋_GB2312" w:hAnsi="仿宋_GB2312" w:cs="仿宋_GB2312"/>
          <w:bCs/>
          <w:sz w:val="28"/>
          <w:szCs w:val="28"/>
        </w:rPr>
        <w:t>成绩</w:t>
      </w:r>
      <w:r w:rsidRPr="00EA50AD">
        <w:rPr>
          <w:rFonts w:ascii="仿宋_GB2312" w:hAnsi="仿宋_GB2312" w:cs="仿宋_GB2312" w:hint="eastAsia"/>
          <w:bCs/>
          <w:sz w:val="28"/>
          <w:szCs w:val="28"/>
        </w:rPr>
        <w:t>2</w:t>
      </w:r>
      <w:r w:rsidRPr="00EA50AD">
        <w:rPr>
          <w:rFonts w:ascii="仿宋_GB2312" w:hAnsi="仿宋_GB2312" w:cs="仿宋_GB2312"/>
          <w:bCs/>
          <w:sz w:val="28"/>
          <w:szCs w:val="28"/>
        </w:rPr>
        <w:t>0</w:t>
      </w:r>
      <w:r w:rsidRPr="00EA50AD">
        <w:rPr>
          <w:rFonts w:ascii="仿宋_GB2312" w:hAnsi="仿宋_GB2312" w:cs="仿宋_GB2312" w:hint="eastAsia"/>
          <w:bCs/>
          <w:sz w:val="28"/>
          <w:szCs w:val="28"/>
        </w:rPr>
        <w:t>%。</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hint="eastAsia"/>
          <w:bCs/>
          <w:sz w:val="28"/>
          <w:szCs w:val="28"/>
        </w:rPr>
        <w:t>(1) 试题评分标准</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hint="eastAsia"/>
          <w:bCs/>
          <w:sz w:val="28"/>
          <w:szCs w:val="28"/>
        </w:rPr>
        <w:t>客观题根据题目的标准答案进行评定，主观题根据评分细则进行评定。</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hint="eastAsia"/>
          <w:bCs/>
          <w:sz w:val="28"/>
          <w:szCs w:val="28"/>
        </w:rPr>
        <w:t>(2) 作业评分标准</w:t>
      </w:r>
    </w:p>
    <w:tbl>
      <w:tblPr>
        <w:tblW w:w="8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1814"/>
        <w:gridCol w:w="1754"/>
        <w:gridCol w:w="1754"/>
        <w:gridCol w:w="1754"/>
      </w:tblGrid>
      <w:tr w:rsidR="00BE5664" w:rsidRPr="00EA50AD" w:rsidTr="00BE5664">
        <w:trPr>
          <w:trHeight w:val="301"/>
          <w:jc w:val="center"/>
        </w:trPr>
        <w:tc>
          <w:tcPr>
            <w:tcW w:w="1692"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b/>
                <w:bCs/>
                <w:sz w:val="24"/>
                <w:szCs w:val="24"/>
              </w:rPr>
              <w:t>权重</w:t>
            </w:r>
          </w:p>
        </w:tc>
        <w:tc>
          <w:tcPr>
            <w:tcW w:w="181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b/>
                <w:bCs/>
                <w:sz w:val="24"/>
                <w:szCs w:val="24"/>
              </w:rPr>
              <w:t>86-100分</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b/>
                <w:bCs/>
                <w:sz w:val="24"/>
                <w:szCs w:val="24"/>
              </w:rPr>
              <w:t>71-85分</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b/>
                <w:bCs/>
                <w:sz w:val="24"/>
                <w:szCs w:val="24"/>
              </w:rPr>
              <w:t>50-70分</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b/>
                <w:bCs/>
                <w:sz w:val="24"/>
                <w:szCs w:val="24"/>
              </w:rPr>
              <w:t>0-49分</w:t>
            </w:r>
          </w:p>
        </w:tc>
      </w:tr>
      <w:tr w:rsidR="00BE5664" w:rsidRPr="00EA50AD" w:rsidTr="00BE5664">
        <w:trPr>
          <w:trHeight w:val="399"/>
          <w:jc w:val="center"/>
        </w:trPr>
        <w:tc>
          <w:tcPr>
            <w:tcW w:w="1692"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作业完成态度</w:t>
            </w:r>
          </w:p>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（权重0.2）</w:t>
            </w:r>
          </w:p>
        </w:tc>
        <w:tc>
          <w:tcPr>
            <w:tcW w:w="181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非常认真</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较认真</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一般认真</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不认真</w:t>
            </w:r>
          </w:p>
        </w:tc>
      </w:tr>
      <w:tr w:rsidR="00BE5664" w:rsidRPr="00EA50AD" w:rsidTr="00BE5664">
        <w:trPr>
          <w:trHeight w:val="399"/>
          <w:jc w:val="center"/>
        </w:trPr>
        <w:tc>
          <w:tcPr>
            <w:tcW w:w="1692"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作业完成正确率（权重0.8）</w:t>
            </w:r>
          </w:p>
        </w:tc>
        <w:tc>
          <w:tcPr>
            <w:tcW w:w="181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正确率达86%以上</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正确率达71%以上</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正确率达50%以上</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bCs/>
                <w:sz w:val="24"/>
                <w:szCs w:val="24"/>
              </w:rPr>
              <w:t>正确率低于50%</w:t>
            </w:r>
          </w:p>
        </w:tc>
      </w:tr>
    </w:tbl>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hint="eastAsia"/>
          <w:bCs/>
          <w:sz w:val="28"/>
          <w:szCs w:val="28"/>
        </w:rPr>
        <w:t>(3) 课堂表现评分标准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BE5664" w:rsidRPr="00EA50AD" w:rsidTr="00BE5664">
        <w:trPr>
          <w:trHeight w:val="281"/>
          <w:jc w:val="center"/>
        </w:trPr>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hint="eastAsia"/>
                <w:b/>
                <w:bCs/>
                <w:sz w:val="24"/>
                <w:szCs w:val="24"/>
              </w:rPr>
              <w:t>权重</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hint="eastAsia"/>
                <w:b/>
                <w:bCs/>
                <w:sz w:val="24"/>
                <w:szCs w:val="24"/>
              </w:rPr>
              <w:t>86-100分</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hint="eastAsia"/>
                <w:b/>
                <w:bCs/>
                <w:sz w:val="24"/>
                <w:szCs w:val="24"/>
              </w:rPr>
              <w:t>71-85分</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hint="eastAsia"/>
                <w:b/>
                <w:bCs/>
                <w:sz w:val="24"/>
                <w:szCs w:val="24"/>
              </w:rPr>
              <w:t>50-70分</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hint="eastAsia"/>
                <w:b/>
                <w:bCs/>
                <w:sz w:val="24"/>
                <w:szCs w:val="24"/>
              </w:rPr>
              <w:t>0-49分</w:t>
            </w:r>
          </w:p>
        </w:tc>
      </w:tr>
      <w:tr w:rsidR="00BE5664" w:rsidRPr="00EA50AD" w:rsidTr="00BE5664">
        <w:trPr>
          <w:trHeight w:val="372"/>
          <w:jc w:val="center"/>
        </w:trPr>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hint="eastAsia"/>
                <w:bCs/>
                <w:sz w:val="24"/>
                <w:szCs w:val="24"/>
              </w:rPr>
              <w:t>回答问题准确</w:t>
            </w:r>
            <w:r w:rsidRPr="00EA50AD">
              <w:rPr>
                <w:rFonts w:ascii="仿宋_GB2312" w:hAnsi="仿宋_GB2312" w:cs="仿宋_GB2312" w:hint="eastAsia"/>
                <w:bCs/>
                <w:sz w:val="24"/>
                <w:szCs w:val="24"/>
              </w:rPr>
              <w:lastRenderedPageBreak/>
              <w:t>性（权重1.0）</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hint="eastAsia"/>
                <w:bCs/>
                <w:sz w:val="24"/>
                <w:szCs w:val="24"/>
              </w:rPr>
              <w:lastRenderedPageBreak/>
              <w:t>正确率达86%</w:t>
            </w:r>
            <w:r w:rsidRPr="00EA50AD">
              <w:rPr>
                <w:rFonts w:ascii="仿宋_GB2312" w:hAnsi="仿宋_GB2312" w:cs="仿宋_GB2312" w:hint="eastAsia"/>
                <w:bCs/>
                <w:sz w:val="24"/>
                <w:szCs w:val="24"/>
              </w:rPr>
              <w:lastRenderedPageBreak/>
              <w:t>以上</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hint="eastAsia"/>
                <w:bCs/>
                <w:sz w:val="24"/>
                <w:szCs w:val="24"/>
              </w:rPr>
              <w:lastRenderedPageBreak/>
              <w:t>正确率达71%</w:t>
            </w:r>
            <w:r w:rsidRPr="00EA50AD">
              <w:rPr>
                <w:rFonts w:ascii="仿宋_GB2312" w:hAnsi="仿宋_GB2312" w:cs="仿宋_GB2312" w:hint="eastAsia"/>
                <w:bCs/>
                <w:sz w:val="24"/>
                <w:szCs w:val="24"/>
              </w:rPr>
              <w:lastRenderedPageBreak/>
              <w:t>以上</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hint="eastAsia"/>
                <w:bCs/>
                <w:sz w:val="24"/>
                <w:szCs w:val="24"/>
              </w:rPr>
              <w:lastRenderedPageBreak/>
              <w:t>正确率达50%</w:t>
            </w:r>
            <w:r w:rsidRPr="00EA50AD">
              <w:rPr>
                <w:rFonts w:ascii="仿宋_GB2312" w:hAnsi="仿宋_GB2312" w:cs="仿宋_GB2312" w:hint="eastAsia"/>
                <w:bCs/>
                <w:sz w:val="24"/>
                <w:szCs w:val="24"/>
              </w:rPr>
              <w:lastRenderedPageBreak/>
              <w:t>以上</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hint="eastAsia"/>
                <w:bCs/>
                <w:sz w:val="24"/>
                <w:szCs w:val="24"/>
              </w:rPr>
              <w:lastRenderedPageBreak/>
              <w:t>正确率低于</w:t>
            </w:r>
            <w:r w:rsidRPr="00EA50AD">
              <w:rPr>
                <w:rFonts w:ascii="仿宋_GB2312" w:hAnsi="仿宋_GB2312" w:cs="仿宋_GB2312" w:hint="eastAsia"/>
                <w:bCs/>
                <w:sz w:val="24"/>
                <w:szCs w:val="24"/>
              </w:rPr>
              <w:lastRenderedPageBreak/>
              <w:t>50%</w:t>
            </w:r>
          </w:p>
        </w:tc>
      </w:tr>
    </w:tbl>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hint="eastAsia"/>
          <w:bCs/>
          <w:sz w:val="28"/>
          <w:szCs w:val="28"/>
        </w:rPr>
        <w:lastRenderedPageBreak/>
        <w:t>(4) 课堂出勤评分标准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BE5664" w:rsidRPr="00EA50AD" w:rsidTr="00BE5664">
        <w:trPr>
          <w:trHeight w:val="281"/>
          <w:jc w:val="center"/>
        </w:trPr>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hint="eastAsia"/>
                <w:b/>
                <w:bCs/>
                <w:sz w:val="24"/>
                <w:szCs w:val="24"/>
              </w:rPr>
              <w:t>权重</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hint="eastAsia"/>
                <w:b/>
                <w:bCs/>
                <w:sz w:val="24"/>
                <w:szCs w:val="24"/>
              </w:rPr>
              <w:t>81-100分</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hint="eastAsia"/>
                <w:b/>
                <w:bCs/>
                <w:sz w:val="24"/>
                <w:szCs w:val="24"/>
              </w:rPr>
              <w:t>51-80分</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hint="eastAsia"/>
                <w:b/>
                <w:bCs/>
                <w:sz w:val="24"/>
                <w:szCs w:val="24"/>
              </w:rPr>
              <w:t>26-50分</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
                <w:bCs/>
                <w:sz w:val="24"/>
                <w:szCs w:val="24"/>
              </w:rPr>
            </w:pPr>
            <w:r w:rsidRPr="00EA50AD">
              <w:rPr>
                <w:rFonts w:ascii="仿宋_GB2312" w:hAnsi="仿宋_GB2312" w:cs="仿宋_GB2312" w:hint="eastAsia"/>
                <w:b/>
                <w:bCs/>
                <w:sz w:val="24"/>
                <w:szCs w:val="24"/>
              </w:rPr>
              <w:t>0-25分</w:t>
            </w:r>
          </w:p>
        </w:tc>
      </w:tr>
      <w:tr w:rsidR="00BE5664" w:rsidRPr="00EA50AD" w:rsidTr="00BE5664">
        <w:trPr>
          <w:trHeight w:val="372"/>
          <w:jc w:val="center"/>
        </w:trPr>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hint="eastAsia"/>
                <w:bCs/>
                <w:sz w:val="24"/>
                <w:szCs w:val="24"/>
              </w:rPr>
              <w:t>课堂出勤率</w:t>
            </w:r>
          </w:p>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hint="eastAsia"/>
                <w:bCs/>
                <w:sz w:val="24"/>
                <w:szCs w:val="24"/>
              </w:rPr>
              <w:t>（权重1.0）</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hint="eastAsia"/>
                <w:bCs/>
                <w:sz w:val="24"/>
                <w:szCs w:val="24"/>
              </w:rPr>
              <w:t>出勤率达81%以上</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hint="eastAsia"/>
                <w:bCs/>
                <w:sz w:val="24"/>
                <w:szCs w:val="24"/>
              </w:rPr>
              <w:t>出勤率达51%以上</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hint="eastAsia"/>
                <w:bCs/>
                <w:sz w:val="24"/>
                <w:szCs w:val="24"/>
              </w:rPr>
              <w:t>出勤率达26%以上</w:t>
            </w:r>
          </w:p>
        </w:tc>
        <w:tc>
          <w:tcPr>
            <w:tcW w:w="1754" w:type="dxa"/>
            <w:shd w:val="clear" w:color="auto" w:fill="auto"/>
            <w:vAlign w:val="center"/>
          </w:tcPr>
          <w:p w:rsidR="00BE5664" w:rsidRPr="00EA50AD" w:rsidRDefault="00BE5664" w:rsidP="00EA50AD">
            <w:pPr>
              <w:autoSpaceDE w:val="0"/>
              <w:autoSpaceDN w:val="0"/>
              <w:adjustRightInd w:val="0"/>
              <w:spacing w:line="360" w:lineRule="auto"/>
              <w:jc w:val="center"/>
              <w:rPr>
                <w:rFonts w:ascii="仿宋_GB2312" w:hAnsi="仿宋_GB2312" w:cs="仿宋_GB2312"/>
                <w:bCs/>
                <w:sz w:val="24"/>
                <w:szCs w:val="24"/>
              </w:rPr>
            </w:pPr>
            <w:r w:rsidRPr="00EA50AD">
              <w:rPr>
                <w:rFonts w:ascii="仿宋_GB2312" w:hAnsi="仿宋_GB2312" w:cs="仿宋_GB2312" w:hint="eastAsia"/>
                <w:bCs/>
                <w:sz w:val="24"/>
                <w:szCs w:val="24"/>
              </w:rPr>
              <w:t>正出勤率低于25%</w:t>
            </w:r>
          </w:p>
        </w:tc>
      </w:tr>
    </w:tbl>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hint="eastAsia"/>
          <w:bCs/>
          <w:sz w:val="28"/>
          <w:szCs w:val="28"/>
        </w:rPr>
        <w:t>注：迟到</w:t>
      </w:r>
      <w:r w:rsidRPr="00EA50AD">
        <w:rPr>
          <w:rFonts w:ascii="仿宋_GB2312" w:hAnsi="仿宋_GB2312" w:cs="仿宋_GB2312"/>
          <w:bCs/>
          <w:sz w:val="28"/>
          <w:szCs w:val="28"/>
        </w:rPr>
        <w:t>30</w:t>
      </w:r>
      <w:r w:rsidRPr="00EA50AD">
        <w:rPr>
          <w:rFonts w:ascii="仿宋_GB2312" w:hAnsi="仿宋_GB2312" w:cs="仿宋_GB2312" w:hint="eastAsia"/>
          <w:bCs/>
          <w:sz w:val="28"/>
          <w:szCs w:val="28"/>
        </w:rPr>
        <w:t>分钟以上按一次缺勤计</w:t>
      </w:r>
    </w:p>
    <w:p w:rsidR="00BE5664" w:rsidRPr="00EA50AD" w:rsidRDefault="00BE5664" w:rsidP="00EA50AD">
      <w:pPr>
        <w:spacing w:beforeLines="50" w:before="156" w:afterLines="50" w:after="156" w:line="560" w:lineRule="exact"/>
        <w:rPr>
          <w:rFonts w:ascii="黑体" w:eastAsia="黑体" w:hAnsi="黑体"/>
          <w:b/>
          <w:sz w:val="28"/>
          <w:szCs w:val="28"/>
        </w:rPr>
      </w:pPr>
      <w:r w:rsidRPr="00EA50AD">
        <w:rPr>
          <w:rFonts w:ascii="黑体" w:eastAsia="黑体" w:hAnsi="黑体" w:hint="eastAsia"/>
          <w:b/>
          <w:sz w:val="28"/>
          <w:szCs w:val="28"/>
        </w:rPr>
        <w:t>六、课程建议教材及主要参考资料</w:t>
      </w:r>
    </w:p>
    <w:p w:rsidR="00BE5664" w:rsidRPr="00EA50AD" w:rsidRDefault="00BE5664" w:rsidP="00EA50AD">
      <w:pPr>
        <w:spacing w:line="360" w:lineRule="auto"/>
        <w:ind w:firstLineChars="200" w:firstLine="562"/>
        <w:rPr>
          <w:rFonts w:ascii="仿宋_GB2312" w:hAnsi="仿宋_GB2312" w:cs="仿宋_GB2312"/>
          <w:b/>
          <w:bCs/>
          <w:sz w:val="28"/>
          <w:szCs w:val="28"/>
        </w:rPr>
      </w:pPr>
      <w:r w:rsidRPr="00EA50AD">
        <w:rPr>
          <w:rFonts w:ascii="仿宋_GB2312" w:hAnsi="仿宋_GB2312" w:cs="仿宋_GB2312" w:hint="eastAsia"/>
          <w:b/>
          <w:bCs/>
          <w:sz w:val="28"/>
          <w:szCs w:val="28"/>
        </w:rPr>
        <w:t>1.建议教材</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t>工程招投标与合同管理</w:t>
      </w:r>
      <w:r w:rsidRPr="00EA50AD">
        <w:rPr>
          <w:rFonts w:ascii="仿宋_GB2312" w:hAnsi="仿宋_GB2312" w:cs="仿宋_GB2312" w:hint="eastAsia"/>
          <w:bCs/>
          <w:sz w:val="28"/>
          <w:szCs w:val="28"/>
        </w:rPr>
        <w:t>（第二版），沈中友 编著，</w:t>
      </w:r>
      <w:hyperlink r:id="rId14" w:tgtFrame="_blank" w:tooltip="清华大学出版社" w:history="1">
        <w:r w:rsidRPr="00EA50AD">
          <w:rPr>
            <w:rFonts w:ascii="仿宋_GB2312" w:hAnsi="仿宋_GB2312" w:cs="仿宋_GB2312" w:hint="eastAsia"/>
            <w:bCs/>
            <w:sz w:val="28"/>
            <w:szCs w:val="28"/>
          </w:rPr>
          <w:t>机械工业</w:t>
        </w:r>
        <w:r w:rsidRPr="00EA50AD">
          <w:rPr>
            <w:rFonts w:ascii="仿宋_GB2312" w:hAnsi="仿宋_GB2312" w:cs="仿宋_GB2312"/>
            <w:bCs/>
            <w:sz w:val="28"/>
            <w:szCs w:val="28"/>
          </w:rPr>
          <w:t>出版社</w:t>
        </w:r>
      </w:hyperlink>
      <w:r w:rsidRPr="00EA50AD">
        <w:rPr>
          <w:rFonts w:ascii="仿宋_GB2312" w:hAnsi="仿宋_GB2312" w:cs="仿宋_GB2312" w:hint="eastAsia"/>
          <w:bCs/>
          <w:sz w:val="28"/>
          <w:szCs w:val="28"/>
        </w:rPr>
        <w:t>，2021.3</w:t>
      </w:r>
    </w:p>
    <w:p w:rsidR="00BE5664" w:rsidRPr="00EA50AD" w:rsidRDefault="00BE5664" w:rsidP="00EA50AD">
      <w:pPr>
        <w:spacing w:line="360" w:lineRule="auto"/>
        <w:ind w:firstLineChars="200" w:firstLine="562"/>
        <w:rPr>
          <w:rFonts w:ascii="仿宋_GB2312" w:hAnsi="仿宋_GB2312" w:cs="仿宋_GB2312"/>
          <w:b/>
          <w:bCs/>
          <w:sz w:val="28"/>
          <w:szCs w:val="28"/>
        </w:rPr>
      </w:pPr>
      <w:r w:rsidRPr="00EA50AD">
        <w:rPr>
          <w:rFonts w:ascii="仿宋_GB2312" w:hAnsi="仿宋_GB2312" w:cs="仿宋_GB2312" w:hint="eastAsia"/>
          <w:b/>
          <w:bCs/>
          <w:sz w:val="28"/>
          <w:szCs w:val="28"/>
        </w:rPr>
        <w:t>2.主要参考资料</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t>工程招投标与合同管理（第2版）</w:t>
      </w:r>
      <w:hyperlink r:id="rId15" w:tgtFrame="_blank" w:history="1">
        <w:r w:rsidRPr="00EA50AD">
          <w:rPr>
            <w:rFonts w:ascii="仿宋_GB2312" w:hAnsi="仿宋_GB2312" w:cs="仿宋_GB2312"/>
            <w:bCs/>
            <w:sz w:val="28"/>
            <w:szCs w:val="28"/>
          </w:rPr>
          <w:t>王平</w:t>
        </w:r>
      </w:hyperlink>
      <w:r w:rsidRPr="00EA50AD">
        <w:rPr>
          <w:rFonts w:ascii="仿宋_GB2312" w:hAnsi="仿宋_GB2312" w:cs="仿宋_GB2312" w:hint="eastAsia"/>
          <w:bCs/>
          <w:sz w:val="28"/>
          <w:szCs w:val="28"/>
        </w:rPr>
        <w:t xml:space="preserve"> 主</w:t>
      </w:r>
      <w:r w:rsidRPr="00EA50AD">
        <w:rPr>
          <w:rFonts w:ascii="仿宋_GB2312" w:hAnsi="仿宋_GB2312" w:cs="仿宋_GB2312"/>
          <w:bCs/>
          <w:sz w:val="28"/>
          <w:szCs w:val="28"/>
        </w:rPr>
        <w:t>编</w:t>
      </w:r>
      <w:r w:rsidRPr="00EA50AD">
        <w:rPr>
          <w:rFonts w:ascii="仿宋_GB2312" w:hAnsi="仿宋_GB2312" w:cs="仿宋_GB2312" w:hint="eastAsia"/>
          <w:bCs/>
          <w:sz w:val="28"/>
          <w:szCs w:val="28"/>
        </w:rPr>
        <w:t>，</w:t>
      </w:r>
      <w:hyperlink r:id="rId16" w:tgtFrame="_blank" w:tooltip="清华大学出版社" w:history="1">
        <w:r w:rsidRPr="00EA50AD">
          <w:rPr>
            <w:rFonts w:ascii="仿宋_GB2312" w:hAnsi="仿宋_GB2312" w:cs="仿宋_GB2312"/>
            <w:bCs/>
            <w:sz w:val="28"/>
            <w:szCs w:val="28"/>
          </w:rPr>
          <w:t>清华大学出版社</w:t>
        </w:r>
      </w:hyperlink>
      <w:r w:rsidRPr="00EA50AD">
        <w:rPr>
          <w:rFonts w:ascii="仿宋_GB2312" w:hAnsi="仿宋_GB2312" w:cs="仿宋_GB2312" w:hint="eastAsia"/>
          <w:bCs/>
          <w:sz w:val="28"/>
          <w:szCs w:val="28"/>
        </w:rPr>
        <w:t>，2020.6</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t>建设工程招投标与合同管理</w:t>
      </w:r>
      <w:r w:rsidRPr="00EA50AD">
        <w:rPr>
          <w:rFonts w:ascii="仿宋_GB2312" w:hAnsi="仿宋_GB2312" w:cs="仿宋_GB2312" w:hint="eastAsia"/>
          <w:bCs/>
          <w:sz w:val="28"/>
          <w:szCs w:val="28"/>
        </w:rPr>
        <w:t>，</w:t>
      </w:r>
      <w:hyperlink r:id="rId17" w:tgtFrame="_blank" w:history="1">
        <w:r w:rsidRPr="00EA50AD">
          <w:rPr>
            <w:rFonts w:ascii="仿宋_GB2312" w:hAnsi="仿宋_GB2312" w:cs="仿宋_GB2312"/>
            <w:bCs/>
            <w:sz w:val="28"/>
            <w:szCs w:val="28"/>
          </w:rPr>
          <w:t>刘海涛</w:t>
        </w:r>
      </w:hyperlink>
      <w:r w:rsidRPr="00EA50AD">
        <w:rPr>
          <w:rFonts w:cs="Calibri"/>
          <w:bCs/>
          <w:sz w:val="28"/>
          <w:szCs w:val="28"/>
        </w:rPr>
        <w:t> </w:t>
      </w:r>
      <w:r w:rsidRPr="00EA50AD">
        <w:rPr>
          <w:rFonts w:ascii="仿宋_GB2312" w:hAnsi="仿宋_GB2312" w:cs="仿宋_GB2312"/>
          <w:bCs/>
          <w:sz w:val="28"/>
          <w:szCs w:val="28"/>
        </w:rPr>
        <w:t>著</w:t>
      </w:r>
      <w:r w:rsidRPr="00EA50AD">
        <w:rPr>
          <w:rFonts w:ascii="仿宋_GB2312" w:hAnsi="仿宋_GB2312" w:cs="仿宋_GB2312" w:hint="eastAsia"/>
          <w:bCs/>
          <w:sz w:val="28"/>
          <w:szCs w:val="28"/>
        </w:rPr>
        <w:t>，</w:t>
      </w:r>
      <w:hyperlink r:id="rId18" w:tgtFrame="_blank" w:tooltip="华中科技大学出版社" w:history="1">
        <w:r w:rsidRPr="00EA50AD">
          <w:rPr>
            <w:rFonts w:ascii="仿宋_GB2312" w:hAnsi="仿宋_GB2312" w:cs="仿宋_GB2312"/>
            <w:bCs/>
            <w:sz w:val="28"/>
            <w:szCs w:val="28"/>
          </w:rPr>
          <w:t>华中科技大学出版社</w:t>
        </w:r>
      </w:hyperlink>
      <w:r w:rsidRPr="00EA50AD">
        <w:rPr>
          <w:rFonts w:ascii="仿宋_GB2312" w:hAnsi="仿宋_GB2312" w:cs="仿宋_GB2312" w:hint="eastAsia"/>
          <w:bCs/>
          <w:sz w:val="28"/>
          <w:szCs w:val="28"/>
        </w:rPr>
        <w:t>，2021.3</w:t>
      </w:r>
    </w:p>
    <w:p w:rsidR="00BE5664" w:rsidRPr="00EA50AD" w:rsidRDefault="00BE5664" w:rsidP="00EA50AD">
      <w:pPr>
        <w:spacing w:line="360" w:lineRule="auto"/>
        <w:ind w:firstLineChars="200" w:firstLine="560"/>
        <w:rPr>
          <w:rFonts w:ascii="仿宋_GB2312" w:hAnsi="仿宋_GB2312" w:cs="仿宋_GB2312"/>
          <w:bCs/>
          <w:sz w:val="28"/>
          <w:szCs w:val="28"/>
        </w:rPr>
      </w:pPr>
      <w:r w:rsidRPr="00EA50AD">
        <w:rPr>
          <w:rFonts w:ascii="仿宋_GB2312" w:hAnsi="仿宋_GB2312" w:cs="仿宋_GB2312"/>
          <w:bCs/>
          <w:sz w:val="28"/>
          <w:szCs w:val="28"/>
        </w:rPr>
        <w:t>工程招投标与合同管理</w:t>
      </w:r>
      <w:r w:rsidRPr="00EA50AD">
        <w:rPr>
          <w:rFonts w:ascii="仿宋_GB2312" w:hAnsi="仿宋_GB2312" w:cs="仿宋_GB2312" w:hint="eastAsia"/>
          <w:bCs/>
          <w:sz w:val="28"/>
          <w:szCs w:val="28"/>
        </w:rPr>
        <w:t>，</w:t>
      </w:r>
      <w:hyperlink r:id="rId19" w:tgtFrame="_blank" w:history="1">
        <w:r w:rsidRPr="00EA50AD">
          <w:rPr>
            <w:rFonts w:ascii="仿宋_GB2312" w:hAnsi="仿宋_GB2312" w:cs="仿宋_GB2312"/>
            <w:bCs/>
            <w:sz w:val="28"/>
            <w:szCs w:val="28"/>
          </w:rPr>
          <w:t>王卓甫</w:t>
        </w:r>
      </w:hyperlink>
      <w:r w:rsidRPr="00EA50AD">
        <w:rPr>
          <w:rFonts w:cs="Calibri"/>
          <w:bCs/>
          <w:sz w:val="28"/>
          <w:szCs w:val="28"/>
        </w:rPr>
        <w:t> </w:t>
      </w:r>
      <w:r w:rsidRPr="00EA50AD">
        <w:rPr>
          <w:rFonts w:ascii="仿宋_GB2312" w:hAnsi="仿宋_GB2312" w:cs="仿宋_GB2312"/>
          <w:bCs/>
          <w:sz w:val="28"/>
          <w:szCs w:val="28"/>
        </w:rPr>
        <w:t>著</w:t>
      </w:r>
      <w:r w:rsidRPr="00EA50AD">
        <w:rPr>
          <w:rFonts w:ascii="仿宋_GB2312" w:hAnsi="仿宋_GB2312" w:cs="仿宋_GB2312" w:hint="eastAsia"/>
          <w:bCs/>
          <w:sz w:val="28"/>
          <w:szCs w:val="28"/>
        </w:rPr>
        <w:t>，</w:t>
      </w:r>
      <w:hyperlink r:id="rId20" w:tgtFrame="_blank" w:tooltip="中国建筑工业出版社" w:history="1">
        <w:r w:rsidRPr="00EA50AD">
          <w:rPr>
            <w:rFonts w:ascii="仿宋_GB2312" w:hAnsi="仿宋_GB2312" w:cs="仿宋_GB2312"/>
            <w:bCs/>
            <w:sz w:val="28"/>
            <w:szCs w:val="28"/>
          </w:rPr>
          <w:t>中国建筑工业出版社</w:t>
        </w:r>
      </w:hyperlink>
      <w:r w:rsidRPr="00EA50AD">
        <w:rPr>
          <w:rFonts w:ascii="仿宋_GB2312" w:hAnsi="仿宋_GB2312" w:cs="仿宋_GB2312" w:hint="eastAsia"/>
          <w:bCs/>
          <w:sz w:val="28"/>
          <w:szCs w:val="28"/>
        </w:rPr>
        <w:t>，2018.6</w:t>
      </w:r>
    </w:p>
    <w:p w:rsidR="00BE5664" w:rsidRDefault="00BE5664" w:rsidP="00BE5664">
      <w:pPr>
        <w:spacing w:line="460" w:lineRule="exact"/>
        <w:ind w:firstLineChars="200" w:firstLine="480"/>
        <w:jc w:val="left"/>
        <w:rPr>
          <w:rFonts w:ascii="Times New Roman" w:eastAsia="宋体" w:hAnsi="宋体"/>
          <w:sz w:val="24"/>
          <w:szCs w:val="24"/>
        </w:rPr>
      </w:pPr>
    </w:p>
    <w:p w:rsidR="00BE5664" w:rsidRDefault="00BE5664" w:rsidP="00BE5664">
      <w:pPr>
        <w:ind w:firstLineChars="1200" w:firstLine="3360"/>
        <w:rPr>
          <w:rFonts w:ascii="仿宋" w:eastAsia="仿宋" w:hAnsi="仿宋"/>
          <w:sz w:val="28"/>
          <w:szCs w:val="28"/>
        </w:rPr>
      </w:pPr>
      <w:r>
        <w:rPr>
          <w:rFonts w:ascii="仿宋" w:eastAsia="仿宋" w:hAnsi="仿宋" w:hint="eastAsia"/>
          <w:sz w:val="28"/>
          <w:szCs w:val="28"/>
        </w:rPr>
        <w:t>大纲撰写人：路鹏飞</w:t>
      </w:r>
    </w:p>
    <w:p w:rsidR="00BE5664" w:rsidRDefault="00BE5664" w:rsidP="00BE5664">
      <w:pPr>
        <w:ind w:firstLineChars="1200" w:firstLine="3360"/>
        <w:rPr>
          <w:rFonts w:ascii="仿宋" w:eastAsia="仿宋" w:hAnsi="仿宋"/>
          <w:sz w:val="28"/>
          <w:szCs w:val="28"/>
        </w:rPr>
      </w:pPr>
      <w:r>
        <w:rPr>
          <w:rFonts w:ascii="仿宋" w:eastAsia="仿宋" w:hAnsi="仿宋" w:hint="eastAsia"/>
          <w:sz w:val="28"/>
          <w:szCs w:val="28"/>
        </w:rPr>
        <w:t>课程负责人：</w:t>
      </w:r>
    </w:p>
    <w:p w:rsidR="00BE5664" w:rsidRDefault="00BE5664" w:rsidP="00EA50AD">
      <w:pPr>
        <w:ind w:firstLineChars="1200" w:firstLine="3360"/>
        <w:rPr>
          <w:rFonts w:ascii="仿宋" w:hAnsi="仿宋"/>
          <w:sz w:val="28"/>
          <w:szCs w:val="28"/>
        </w:rPr>
      </w:pPr>
      <w:r>
        <w:rPr>
          <w:rFonts w:ascii="仿宋" w:eastAsia="仿宋" w:hAnsi="仿宋" w:hint="eastAsia"/>
          <w:sz w:val="28"/>
          <w:szCs w:val="28"/>
        </w:rPr>
        <w:t>审核人：</w:t>
      </w:r>
      <w:r>
        <w:rPr>
          <w:rFonts w:ascii="仿宋_GB2312" w:hAnsi="微软雅黑" w:hint="eastAsia"/>
          <w:sz w:val="28"/>
          <w:szCs w:val="28"/>
        </w:rPr>
        <w:t xml:space="preserve"> </w:t>
      </w:r>
    </w:p>
    <w:p w:rsidR="00876C31" w:rsidRPr="00EA50AD" w:rsidRDefault="00BE5664" w:rsidP="00EA50AD">
      <w:pPr>
        <w:jc w:val="left"/>
        <w:rPr>
          <w:rFonts w:ascii="Times New Roman" w:eastAsia="仿宋" w:hAnsi="Times New Roman"/>
          <w:szCs w:val="32"/>
        </w:rPr>
      </w:pPr>
      <w:r>
        <w:rPr>
          <w:rFonts w:ascii="Times New Roman" w:eastAsia="仿宋" w:hAnsi="Times New Roman"/>
          <w:sz w:val="28"/>
          <w:szCs w:val="28"/>
        </w:rPr>
        <w:t xml:space="preserve">                                        2021</w:t>
      </w:r>
      <w:r>
        <w:rPr>
          <w:rFonts w:ascii="Times New Roman" w:eastAsia="仿宋" w:hAnsi="仿宋"/>
          <w:sz w:val="28"/>
          <w:szCs w:val="28"/>
        </w:rPr>
        <w:t>年</w:t>
      </w:r>
      <w:r>
        <w:rPr>
          <w:rFonts w:ascii="Times New Roman" w:eastAsia="仿宋" w:hAnsi="Times New Roman"/>
          <w:sz w:val="28"/>
          <w:szCs w:val="28"/>
        </w:rPr>
        <w:t>5</w:t>
      </w:r>
      <w:r>
        <w:rPr>
          <w:rFonts w:ascii="Times New Roman" w:eastAsia="仿宋" w:hAnsi="仿宋"/>
          <w:sz w:val="28"/>
          <w:szCs w:val="28"/>
        </w:rPr>
        <w:t>月</w:t>
      </w:r>
    </w:p>
    <w:p w:rsidR="00EA50AD" w:rsidRDefault="00EA50AD" w:rsidP="00EA50AD">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EA50AD">
        <w:rPr>
          <w:rFonts w:ascii="方正小标宋简体" w:eastAsia="方正小标宋简体" w:hAnsi="宋体" w:hint="eastAsia"/>
          <w:kern w:val="0"/>
          <w:szCs w:val="32"/>
        </w:rPr>
        <w:t>工程项目审计</w:t>
      </w:r>
      <w:r>
        <w:rPr>
          <w:rFonts w:ascii="方正小标宋简体" w:eastAsia="方正小标宋简体" w:hAnsi="宋体" w:hint="eastAsia"/>
          <w:kern w:val="0"/>
          <w:szCs w:val="32"/>
        </w:rPr>
        <w:t>》课程教学大纲</w:t>
      </w:r>
    </w:p>
    <w:p w:rsidR="00EA50AD" w:rsidRDefault="00EA50AD" w:rsidP="00EA50AD">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EA50AD" w:rsidRDefault="00EA50AD" w:rsidP="00EA50AD">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sidRPr="00EA50AD">
        <w:rPr>
          <w:rFonts w:ascii="仿宋_GB2312" w:hAnsi="仿宋_GB2312" w:cs="仿宋_GB2312" w:hint="eastAsia"/>
          <w:bCs/>
          <w:sz w:val="28"/>
          <w:szCs w:val="28"/>
        </w:rPr>
        <w:t>C</w:t>
      </w:r>
      <w:r w:rsidRPr="00EA50AD">
        <w:rPr>
          <w:rFonts w:ascii="仿宋_GB2312" w:hAnsi="仿宋_GB2312" w:cs="仿宋_GB2312"/>
          <w:bCs/>
          <w:sz w:val="28"/>
          <w:szCs w:val="28"/>
        </w:rPr>
        <w:t>onstruction</w:t>
      </w:r>
      <w:r w:rsidRPr="00EA50AD">
        <w:rPr>
          <w:rFonts w:ascii="仿宋_GB2312" w:hAnsi="仿宋_GB2312" w:cs="仿宋_GB2312" w:hint="eastAsia"/>
          <w:bCs/>
          <w:sz w:val="28"/>
          <w:szCs w:val="28"/>
        </w:rPr>
        <w:t xml:space="preserve"> Project Audit</w:t>
      </w:r>
    </w:p>
    <w:p w:rsidR="00EA50AD" w:rsidRDefault="00EA50AD" w:rsidP="00EA50AD">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sidRPr="00EA50AD">
        <w:rPr>
          <w:rFonts w:ascii="仿宋_GB2312" w:hAnsi="仿宋_GB2312" w:cs="仿宋_GB2312" w:hint="eastAsia"/>
          <w:bCs/>
          <w:sz w:val="28"/>
          <w:szCs w:val="28"/>
        </w:rPr>
        <w:t>Z</w:t>
      </w:r>
      <w:r w:rsidRPr="00EA50AD">
        <w:rPr>
          <w:rFonts w:ascii="仿宋_GB2312" w:hAnsi="仿宋_GB2312" w:cs="仿宋_GB2312"/>
          <w:bCs/>
          <w:sz w:val="28"/>
          <w:szCs w:val="28"/>
        </w:rPr>
        <w:t>28</w:t>
      </w:r>
      <w:r w:rsidRPr="00EA50AD">
        <w:rPr>
          <w:rFonts w:ascii="仿宋_GB2312" w:hAnsi="仿宋_GB2312" w:cs="仿宋_GB2312" w:hint="eastAsia"/>
          <w:bCs/>
          <w:sz w:val="28"/>
          <w:szCs w:val="28"/>
        </w:rPr>
        <w:t>05130</w:t>
      </w:r>
    </w:p>
    <w:p w:rsidR="00EA50AD" w:rsidRDefault="00EA50AD" w:rsidP="00EA50AD">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授课语言：中文</w:t>
      </w:r>
    </w:p>
    <w:p w:rsidR="00EA50AD" w:rsidRDefault="00EA50AD" w:rsidP="00EA50AD">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EA50AD" w:rsidRDefault="00EA50AD" w:rsidP="00EA50AD">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EA50AD" w:rsidRDefault="00EA50AD" w:rsidP="00EA50AD">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EA50AD" w:rsidRDefault="00EA50AD" w:rsidP="00EA50AD">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EA50AD" w:rsidRDefault="00EA50AD" w:rsidP="00EA50AD">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w:t>
      </w:r>
    </w:p>
    <w:p w:rsidR="00EA50AD" w:rsidRPr="00EA50AD" w:rsidRDefault="00EA50AD" w:rsidP="00EA50AD">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w:t>
      </w:r>
      <w:r w:rsidRPr="00EA50AD">
        <w:rPr>
          <w:rFonts w:ascii="仿宋_GB2312" w:hAnsi="仿宋_GB2312" w:cs="仿宋_GB2312"/>
          <w:bCs/>
          <w:sz w:val="28"/>
          <w:szCs w:val="28"/>
        </w:rPr>
        <w:t>工程</w:t>
      </w:r>
      <w:r w:rsidRPr="00EA50AD">
        <w:rPr>
          <w:rFonts w:ascii="仿宋_GB2312" w:hAnsi="仿宋_GB2312" w:cs="仿宋_GB2312" w:hint="eastAsia"/>
          <w:bCs/>
          <w:sz w:val="28"/>
          <w:szCs w:val="28"/>
        </w:rPr>
        <w:t>造价</w:t>
      </w:r>
      <w:r w:rsidRPr="00EA50AD">
        <w:rPr>
          <w:rFonts w:ascii="仿宋_GB2312" w:hAnsi="仿宋_GB2312" w:cs="仿宋_GB2312"/>
          <w:bCs/>
          <w:sz w:val="28"/>
          <w:szCs w:val="28"/>
        </w:rPr>
        <w:t>专业</w:t>
      </w:r>
    </w:p>
    <w:p w:rsidR="00EA50AD" w:rsidRDefault="00EA50AD" w:rsidP="00EA50AD">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sidRPr="00EA50AD">
        <w:rPr>
          <w:rFonts w:ascii="仿宋_GB2312" w:hAnsi="仿宋_GB2312" w:cs="仿宋_GB2312" w:hint="eastAsia"/>
          <w:bCs/>
          <w:sz w:val="28"/>
          <w:szCs w:val="28"/>
        </w:rPr>
        <w:t>土木工程施工、工程计量与计价</w:t>
      </w:r>
      <w:r w:rsidRPr="00EA50AD">
        <w:rPr>
          <w:rFonts w:ascii="仿宋_GB2312" w:hAnsi="仿宋_GB2312" w:cs="仿宋_GB2312"/>
          <w:bCs/>
          <w:sz w:val="28"/>
          <w:szCs w:val="28"/>
        </w:rPr>
        <w:t>等</w:t>
      </w:r>
    </w:p>
    <w:p w:rsidR="00EA50AD" w:rsidRDefault="00EA50AD" w:rsidP="00EA50AD">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w:t>
      </w:r>
      <w:r w:rsidRPr="00EA50AD">
        <w:rPr>
          <w:rFonts w:ascii="仿宋_GB2312" w:hAnsi="仿宋_GB2312" w:cs="仿宋_GB2312" w:hint="eastAsia"/>
          <w:bCs/>
          <w:sz w:val="28"/>
          <w:szCs w:val="28"/>
        </w:rPr>
        <w:t>建工</w:t>
      </w:r>
      <w:r w:rsidRPr="00EA50AD">
        <w:rPr>
          <w:rFonts w:ascii="仿宋_GB2312" w:hAnsi="仿宋_GB2312" w:cs="仿宋_GB2312"/>
          <w:bCs/>
          <w:sz w:val="28"/>
          <w:szCs w:val="28"/>
        </w:rPr>
        <w:t>学院</w:t>
      </w:r>
    </w:p>
    <w:p w:rsidR="00EA50AD" w:rsidRPr="00EA50AD" w:rsidRDefault="00EA50AD" w:rsidP="00EA50AD">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课程教学目标</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hint="eastAsia"/>
          <w:bCs/>
          <w:sz w:val="28"/>
          <w:szCs w:val="28"/>
        </w:rPr>
        <w:t>《工程项目审计》是工程造价专业的一门专业发展选修课程。本课程着重研究</w:t>
      </w:r>
      <w:r w:rsidRPr="00EA50AD">
        <w:rPr>
          <w:rFonts w:ascii="仿宋_GB2312" w:hAnsi="仿宋_GB2312" w:cs="仿宋_GB2312"/>
          <w:bCs/>
          <w:sz w:val="28"/>
          <w:szCs w:val="28"/>
        </w:rPr>
        <w:t>工程项目审计的</w:t>
      </w:r>
      <w:r w:rsidRPr="00EA50AD">
        <w:rPr>
          <w:rFonts w:ascii="仿宋_GB2312" w:hAnsi="仿宋_GB2312" w:cs="仿宋_GB2312" w:hint="eastAsia"/>
          <w:bCs/>
          <w:sz w:val="28"/>
          <w:szCs w:val="28"/>
        </w:rPr>
        <w:t>基本</w:t>
      </w:r>
      <w:r w:rsidRPr="00EA50AD">
        <w:rPr>
          <w:rFonts w:ascii="仿宋_GB2312" w:hAnsi="仿宋_GB2312" w:cs="仿宋_GB2312"/>
          <w:bCs/>
          <w:sz w:val="28"/>
          <w:szCs w:val="28"/>
        </w:rPr>
        <w:t>理论，</w:t>
      </w:r>
      <w:r w:rsidRPr="00EA50AD">
        <w:rPr>
          <w:rFonts w:ascii="仿宋_GB2312" w:hAnsi="仿宋_GB2312" w:cs="仿宋_GB2312" w:hint="eastAsia"/>
          <w:bCs/>
          <w:sz w:val="28"/>
          <w:szCs w:val="28"/>
        </w:rPr>
        <w:t>系统阐述</w:t>
      </w:r>
      <w:r w:rsidRPr="00EA50AD">
        <w:rPr>
          <w:rFonts w:ascii="仿宋_GB2312" w:hAnsi="仿宋_GB2312" w:cs="仿宋_GB2312"/>
          <w:bCs/>
          <w:sz w:val="28"/>
          <w:szCs w:val="28"/>
        </w:rPr>
        <w:t>工程项目从决策立项到投产运营全过程的各个重要环节、阶段的审计要点和方法</w:t>
      </w:r>
      <w:r w:rsidRPr="00EA50AD">
        <w:rPr>
          <w:rFonts w:ascii="仿宋_GB2312" w:hAnsi="仿宋_GB2312" w:cs="仿宋_GB2312" w:hint="eastAsia"/>
          <w:bCs/>
          <w:sz w:val="28"/>
          <w:szCs w:val="28"/>
        </w:rPr>
        <w:t>，</w:t>
      </w:r>
      <w:r w:rsidRPr="00EA50AD">
        <w:rPr>
          <w:rFonts w:ascii="仿宋_GB2312" w:hAnsi="仿宋_GB2312" w:cs="仿宋_GB2312"/>
          <w:bCs/>
          <w:sz w:val="28"/>
          <w:szCs w:val="28"/>
        </w:rPr>
        <w:t>主要介绍</w:t>
      </w:r>
      <w:r w:rsidRPr="00EA50AD">
        <w:rPr>
          <w:rFonts w:ascii="仿宋_GB2312" w:hAnsi="仿宋_GB2312" w:cs="仿宋_GB2312" w:hint="eastAsia"/>
          <w:bCs/>
          <w:sz w:val="28"/>
          <w:szCs w:val="28"/>
        </w:rPr>
        <w:t>工程项目前期审计、工程项目造价审计、工程项目招投标与合同审计、工程项目施工阶段审计、工程项目财务审计、工程项目竣工决策审计、工程项目投资效益审计和工程项目经济责任审计等。</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hint="eastAsia"/>
          <w:bCs/>
          <w:sz w:val="28"/>
          <w:szCs w:val="28"/>
        </w:rPr>
        <w:lastRenderedPageBreak/>
        <w:t>通过本课程的学习，使学生</w:t>
      </w:r>
      <w:r w:rsidRPr="00EA50AD">
        <w:rPr>
          <w:rFonts w:ascii="仿宋_GB2312" w:hAnsi="仿宋_GB2312" w:cs="仿宋_GB2312"/>
          <w:bCs/>
          <w:sz w:val="28"/>
          <w:szCs w:val="28"/>
        </w:rPr>
        <w:t>掌握工程项目审计的理论、方法和操作技能。</w:t>
      </w:r>
      <w:r w:rsidRPr="00EA50AD">
        <w:rPr>
          <w:rFonts w:ascii="仿宋_GB2312" w:hAnsi="仿宋_GB2312" w:cs="仿宋_GB2312" w:hint="eastAsia"/>
          <w:bCs/>
          <w:sz w:val="28"/>
          <w:szCs w:val="28"/>
        </w:rPr>
        <w:t>能够理论联系实际，具有分析问题和解决问题的初步能力，为毕业后从事工程造价相关工作奠定基础。</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3735"/>
        <w:gridCol w:w="853"/>
        <w:gridCol w:w="3040"/>
      </w:tblGrid>
      <w:tr w:rsidR="00BE5664" w:rsidRPr="00EA50AD" w:rsidTr="00C77066">
        <w:trPr>
          <w:trHeight w:val="454"/>
          <w:jc w:val="center"/>
        </w:trPr>
        <w:tc>
          <w:tcPr>
            <w:tcW w:w="403" w:type="pct"/>
            <w:vMerge w:val="restart"/>
            <w:tcBorders>
              <w:top w:val="single" w:sz="4" w:space="0" w:color="000000"/>
              <w:left w:val="single" w:sz="4" w:space="0" w:color="000000"/>
              <w:bottom w:val="single" w:sz="4" w:space="0" w:color="000000"/>
              <w:right w:val="single" w:sz="4" w:space="0" w:color="000000"/>
            </w:tcBorders>
            <w:vAlign w:val="center"/>
          </w:tcPr>
          <w:p w:rsidR="00BE5664" w:rsidRPr="00EA50AD" w:rsidRDefault="00BE5664" w:rsidP="00EA50AD">
            <w:pPr>
              <w:spacing w:line="360" w:lineRule="auto"/>
              <w:rPr>
                <w:rFonts w:ascii="仿宋_GB2312" w:hAnsi="仿宋_GB2312" w:cs="仿宋_GB2312"/>
                <w:b/>
                <w:bCs/>
                <w:sz w:val="24"/>
                <w:szCs w:val="24"/>
              </w:rPr>
            </w:pPr>
            <w:r w:rsidRPr="00EA50AD">
              <w:rPr>
                <w:rFonts w:ascii="仿宋_GB2312" w:hAnsi="仿宋_GB2312" w:cs="仿宋_GB2312"/>
                <w:b/>
                <w:bCs/>
                <w:sz w:val="24"/>
                <w:szCs w:val="24"/>
              </w:rPr>
              <w:t>序号</w:t>
            </w:r>
          </w:p>
        </w:tc>
        <w:tc>
          <w:tcPr>
            <w:tcW w:w="2251" w:type="pct"/>
            <w:vMerge w:val="restart"/>
            <w:tcBorders>
              <w:top w:val="single" w:sz="4" w:space="0" w:color="000000"/>
              <w:left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
                <w:bCs/>
                <w:sz w:val="24"/>
                <w:szCs w:val="24"/>
              </w:rPr>
            </w:pPr>
            <w:r w:rsidRPr="00EA50AD">
              <w:rPr>
                <w:rFonts w:ascii="仿宋_GB2312" w:hAnsi="仿宋_GB2312" w:cs="仿宋_GB2312"/>
                <w:b/>
                <w:bCs/>
                <w:sz w:val="24"/>
                <w:szCs w:val="24"/>
              </w:rPr>
              <w:t>课程教学目标</w:t>
            </w:r>
          </w:p>
        </w:tc>
        <w:tc>
          <w:tcPr>
            <w:tcW w:w="2346" w:type="pct"/>
            <w:gridSpan w:val="2"/>
            <w:tcBorders>
              <w:top w:val="single" w:sz="4" w:space="0" w:color="000000"/>
              <w:left w:val="single" w:sz="4" w:space="0" w:color="000000"/>
              <w:bottom w:val="single" w:sz="4" w:space="0" w:color="auto"/>
              <w:right w:val="single" w:sz="4" w:space="0" w:color="auto"/>
            </w:tcBorders>
            <w:vAlign w:val="center"/>
          </w:tcPr>
          <w:p w:rsidR="00BE5664" w:rsidRPr="00EA50AD" w:rsidRDefault="00BE5664" w:rsidP="00EA50AD">
            <w:pPr>
              <w:spacing w:line="360" w:lineRule="auto"/>
              <w:ind w:firstLine="331"/>
              <w:rPr>
                <w:rFonts w:ascii="仿宋_GB2312" w:hAnsi="仿宋_GB2312" w:cs="仿宋_GB2312"/>
                <w:b/>
                <w:bCs/>
                <w:sz w:val="24"/>
                <w:szCs w:val="24"/>
              </w:rPr>
            </w:pPr>
            <w:r w:rsidRPr="00EA50AD">
              <w:rPr>
                <w:rFonts w:ascii="仿宋_GB2312" w:hAnsi="仿宋_GB2312" w:cs="仿宋_GB2312"/>
                <w:b/>
                <w:bCs/>
                <w:sz w:val="24"/>
                <w:szCs w:val="24"/>
              </w:rPr>
              <w:t>支撑毕业要求指标点</w:t>
            </w:r>
          </w:p>
        </w:tc>
      </w:tr>
      <w:tr w:rsidR="00BE5664" w:rsidRPr="00EA50AD" w:rsidTr="00C77066">
        <w:trPr>
          <w:trHeight w:val="454"/>
          <w:jc w:val="center"/>
        </w:trPr>
        <w:tc>
          <w:tcPr>
            <w:tcW w:w="403" w:type="pct"/>
            <w:vMerge/>
            <w:tcBorders>
              <w:top w:val="single" w:sz="4" w:space="0" w:color="000000"/>
              <w:left w:val="single" w:sz="4" w:space="0" w:color="000000"/>
              <w:bottom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
                <w:bCs/>
                <w:sz w:val="24"/>
                <w:szCs w:val="24"/>
              </w:rPr>
            </w:pPr>
          </w:p>
        </w:tc>
        <w:tc>
          <w:tcPr>
            <w:tcW w:w="2251" w:type="pct"/>
            <w:vMerge/>
            <w:tcBorders>
              <w:left w:val="single" w:sz="4" w:space="0" w:color="000000"/>
              <w:bottom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
                <w:bCs/>
                <w:sz w:val="24"/>
                <w:szCs w:val="24"/>
              </w:rPr>
            </w:pPr>
          </w:p>
        </w:tc>
        <w:tc>
          <w:tcPr>
            <w:tcW w:w="514" w:type="pct"/>
            <w:tcBorders>
              <w:top w:val="single" w:sz="4" w:space="0" w:color="auto"/>
              <w:left w:val="single" w:sz="4" w:space="0" w:color="000000"/>
              <w:bottom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
                <w:bCs/>
                <w:sz w:val="24"/>
                <w:szCs w:val="24"/>
              </w:rPr>
            </w:pPr>
            <w:r w:rsidRPr="00EA50AD">
              <w:rPr>
                <w:rFonts w:ascii="仿宋_GB2312" w:hAnsi="仿宋_GB2312" w:cs="仿宋_GB2312"/>
                <w:b/>
                <w:bCs/>
                <w:sz w:val="24"/>
                <w:szCs w:val="24"/>
              </w:rPr>
              <w:t>指标点</w:t>
            </w:r>
          </w:p>
        </w:tc>
        <w:tc>
          <w:tcPr>
            <w:tcW w:w="1832" w:type="pct"/>
            <w:tcBorders>
              <w:top w:val="single" w:sz="4" w:space="0" w:color="auto"/>
              <w:left w:val="single" w:sz="4" w:space="0" w:color="000000"/>
              <w:bottom w:val="single" w:sz="4" w:space="0" w:color="000000"/>
              <w:right w:val="single" w:sz="4" w:space="0" w:color="auto"/>
            </w:tcBorders>
            <w:vAlign w:val="center"/>
          </w:tcPr>
          <w:p w:rsidR="00BE5664" w:rsidRPr="00EA50AD" w:rsidRDefault="00BE5664" w:rsidP="00EA50AD">
            <w:pPr>
              <w:spacing w:line="360" w:lineRule="auto"/>
              <w:ind w:firstLine="331"/>
              <w:rPr>
                <w:rFonts w:ascii="仿宋_GB2312" w:hAnsi="仿宋_GB2312" w:cs="仿宋_GB2312"/>
                <w:b/>
                <w:bCs/>
                <w:sz w:val="24"/>
                <w:szCs w:val="24"/>
              </w:rPr>
            </w:pPr>
            <w:r w:rsidRPr="00EA50AD">
              <w:rPr>
                <w:rFonts w:ascii="仿宋_GB2312" w:hAnsi="仿宋_GB2312" w:cs="仿宋_GB2312"/>
                <w:b/>
                <w:bCs/>
                <w:sz w:val="24"/>
                <w:szCs w:val="24"/>
              </w:rPr>
              <w:t>指标点内容</w:t>
            </w:r>
          </w:p>
        </w:tc>
      </w:tr>
      <w:tr w:rsidR="00BE5664" w:rsidRPr="00EA50AD" w:rsidTr="00C77066">
        <w:trPr>
          <w:trHeight w:val="454"/>
          <w:jc w:val="center"/>
        </w:trPr>
        <w:tc>
          <w:tcPr>
            <w:tcW w:w="403" w:type="pct"/>
            <w:tcBorders>
              <w:top w:val="single" w:sz="4" w:space="0" w:color="000000"/>
              <w:left w:val="single" w:sz="4" w:space="0" w:color="000000"/>
              <w:bottom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Cs/>
                <w:sz w:val="24"/>
                <w:szCs w:val="24"/>
              </w:rPr>
            </w:pPr>
            <w:r w:rsidRPr="00EA50AD">
              <w:rPr>
                <w:rFonts w:ascii="仿宋_GB2312" w:hAnsi="仿宋_GB2312" w:cs="仿宋_GB2312"/>
                <w:bCs/>
                <w:sz w:val="24"/>
                <w:szCs w:val="24"/>
              </w:rPr>
              <w:t>1</w:t>
            </w:r>
          </w:p>
        </w:tc>
        <w:tc>
          <w:tcPr>
            <w:tcW w:w="2251" w:type="pct"/>
            <w:tcBorders>
              <w:top w:val="single" w:sz="4" w:space="0" w:color="000000"/>
              <w:left w:val="single" w:sz="4" w:space="0" w:color="000000"/>
              <w:bottom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Cs/>
                <w:sz w:val="24"/>
                <w:szCs w:val="24"/>
              </w:rPr>
            </w:pPr>
            <w:r w:rsidRPr="00EA50AD">
              <w:rPr>
                <w:rFonts w:ascii="仿宋_GB2312" w:hAnsi="仿宋_GB2312" w:cs="仿宋_GB2312"/>
                <w:bCs/>
                <w:sz w:val="24"/>
                <w:szCs w:val="24"/>
              </w:rPr>
              <w:t>目标1：</w:t>
            </w:r>
            <w:r w:rsidRPr="00EA50AD">
              <w:rPr>
                <w:rFonts w:ascii="仿宋_GB2312" w:hAnsi="仿宋_GB2312" w:cs="仿宋_GB2312" w:hint="eastAsia"/>
                <w:bCs/>
                <w:sz w:val="24"/>
                <w:szCs w:val="24"/>
              </w:rPr>
              <w:t>了解审计的概述和基本概念，</w:t>
            </w:r>
            <w:r w:rsidRPr="00EA50AD">
              <w:rPr>
                <w:rFonts w:ascii="仿宋_GB2312" w:hAnsi="仿宋_GB2312" w:cs="仿宋_GB2312"/>
                <w:bCs/>
                <w:sz w:val="24"/>
                <w:szCs w:val="24"/>
              </w:rPr>
              <w:t>熟悉</w:t>
            </w:r>
            <w:r w:rsidRPr="00EA50AD">
              <w:rPr>
                <w:rFonts w:ascii="仿宋_GB2312" w:hAnsi="仿宋_GB2312" w:cs="仿宋_GB2312" w:hint="eastAsia"/>
                <w:bCs/>
                <w:sz w:val="24"/>
                <w:szCs w:val="24"/>
              </w:rPr>
              <w:t>工程项目审计的理论</w:t>
            </w:r>
            <w:r w:rsidRPr="00EA50AD">
              <w:rPr>
                <w:rFonts w:ascii="仿宋_GB2312" w:hAnsi="仿宋_GB2312" w:cs="仿宋_GB2312"/>
                <w:bCs/>
                <w:sz w:val="24"/>
                <w:szCs w:val="24"/>
              </w:rPr>
              <w:t xml:space="preserve">和内容， </w:t>
            </w:r>
          </w:p>
        </w:tc>
        <w:tc>
          <w:tcPr>
            <w:tcW w:w="514" w:type="pct"/>
            <w:tcBorders>
              <w:top w:val="single" w:sz="4" w:space="0" w:color="000000"/>
              <w:left w:val="single" w:sz="4" w:space="0" w:color="000000"/>
              <w:bottom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Cs/>
                <w:sz w:val="24"/>
                <w:szCs w:val="24"/>
              </w:rPr>
            </w:pPr>
            <w:r w:rsidRPr="00EA50AD">
              <w:rPr>
                <w:rFonts w:ascii="仿宋_GB2312" w:hAnsi="仿宋_GB2312" w:cs="仿宋_GB2312" w:hint="eastAsia"/>
                <w:bCs/>
                <w:sz w:val="24"/>
                <w:szCs w:val="24"/>
              </w:rPr>
              <w:t>1</w:t>
            </w:r>
          </w:p>
        </w:tc>
        <w:tc>
          <w:tcPr>
            <w:tcW w:w="1832" w:type="pct"/>
            <w:tcBorders>
              <w:top w:val="single" w:sz="4" w:space="0" w:color="000000"/>
              <w:left w:val="single" w:sz="4" w:space="0" w:color="000000"/>
              <w:bottom w:val="single" w:sz="4" w:space="0" w:color="000000"/>
              <w:right w:val="single" w:sz="4" w:space="0" w:color="auto"/>
            </w:tcBorders>
            <w:vAlign w:val="center"/>
          </w:tcPr>
          <w:p w:rsidR="00BE5664" w:rsidRPr="00EA50AD" w:rsidRDefault="00BE5664" w:rsidP="00EA50AD">
            <w:pPr>
              <w:spacing w:line="360" w:lineRule="auto"/>
              <w:ind w:firstLine="331"/>
              <w:rPr>
                <w:rFonts w:ascii="仿宋_GB2312" w:hAnsi="仿宋_GB2312" w:cs="仿宋_GB2312"/>
                <w:bCs/>
                <w:sz w:val="24"/>
                <w:szCs w:val="24"/>
              </w:rPr>
            </w:pPr>
            <w:r w:rsidRPr="00EA50AD">
              <w:rPr>
                <w:rFonts w:ascii="仿宋_GB2312" w:hAnsi="仿宋_GB2312" w:cs="仿宋_GB2312" w:hint="eastAsia"/>
                <w:bCs/>
                <w:sz w:val="24"/>
                <w:szCs w:val="24"/>
              </w:rPr>
              <w:t>能够在与工程造价专业相关的多学科环境中，掌握工程项目审计的基本理论和内容。</w:t>
            </w:r>
          </w:p>
        </w:tc>
      </w:tr>
      <w:tr w:rsidR="00BE5664" w:rsidRPr="00EA50AD" w:rsidTr="00C77066">
        <w:trPr>
          <w:trHeight w:val="454"/>
          <w:jc w:val="center"/>
        </w:trPr>
        <w:tc>
          <w:tcPr>
            <w:tcW w:w="403" w:type="pct"/>
            <w:tcBorders>
              <w:top w:val="single" w:sz="4" w:space="0" w:color="000000"/>
              <w:left w:val="single" w:sz="4" w:space="0" w:color="000000"/>
              <w:bottom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Cs/>
                <w:sz w:val="24"/>
                <w:szCs w:val="24"/>
              </w:rPr>
            </w:pPr>
            <w:r w:rsidRPr="00EA50AD">
              <w:rPr>
                <w:rFonts w:ascii="仿宋_GB2312" w:hAnsi="仿宋_GB2312" w:cs="仿宋_GB2312"/>
                <w:bCs/>
                <w:sz w:val="24"/>
                <w:szCs w:val="24"/>
              </w:rPr>
              <w:t>2</w:t>
            </w:r>
          </w:p>
        </w:tc>
        <w:tc>
          <w:tcPr>
            <w:tcW w:w="2251" w:type="pct"/>
            <w:tcBorders>
              <w:top w:val="single" w:sz="4" w:space="0" w:color="000000"/>
              <w:left w:val="single" w:sz="4" w:space="0" w:color="000000"/>
              <w:bottom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Cs/>
                <w:sz w:val="24"/>
                <w:szCs w:val="24"/>
              </w:rPr>
            </w:pPr>
            <w:r w:rsidRPr="00EA50AD">
              <w:rPr>
                <w:rFonts w:ascii="仿宋_GB2312" w:hAnsi="仿宋_GB2312" w:cs="仿宋_GB2312"/>
                <w:bCs/>
                <w:sz w:val="24"/>
                <w:szCs w:val="24"/>
              </w:rPr>
              <w:t>目标2：熟悉</w:t>
            </w:r>
            <w:r w:rsidRPr="00EA50AD">
              <w:rPr>
                <w:rFonts w:ascii="仿宋_GB2312" w:hAnsi="仿宋_GB2312" w:cs="仿宋_GB2312" w:hint="eastAsia"/>
                <w:bCs/>
                <w:sz w:val="24"/>
                <w:szCs w:val="24"/>
              </w:rPr>
              <w:t>工程项目各个阶段的审计内容和重点</w:t>
            </w:r>
            <w:r w:rsidRPr="00EA50AD">
              <w:rPr>
                <w:rFonts w:ascii="仿宋_GB2312" w:hAnsi="仿宋_GB2312" w:cs="仿宋_GB2312"/>
                <w:bCs/>
                <w:sz w:val="24"/>
                <w:szCs w:val="24"/>
              </w:rPr>
              <w:t>。</w:t>
            </w:r>
          </w:p>
        </w:tc>
        <w:tc>
          <w:tcPr>
            <w:tcW w:w="514" w:type="pct"/>
            <w:tcBorders>
              <w:top w:val="single" w:sz="4" w:space="0" w:color="000000"/>
              <w:left w:val="single" w:sz="4" w:space="0" w:color="000000"/>
              <w:bottom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Cs/>
                <w:sz w:val="24"/>
                <w:szCs w:val="24"/>
              </w:rPr>
            </w:pPr>
            <w:r w:rsidRPr="00EA50AD">
              <w:rPr>
                <w:rFonts w:ascii="仿宋_GB2312" w:hAnsi="仿宋_GB2312" w:cs="仿宋_GB2312" w:hint="eastAsia"/>
                <w:bCs/>
                <w:sz w:val="24"/>
                <w:szCs w:val="24"/>
              </w:rPr>
              <w:t>12</w:t>
            </w:r>
          </w:p>
        </w:tc>
        <w:tc>
          <w:tcPr>
            <w:tcW w:w="1832" w:type="pct"/>
            <w:tcBorders>
              <w:top w:val="single" w:sz="4" w:space="0" w:color="000000"/>
              <w:left w:val="single" w:sz="4" w:space="0" w:color="000000"/>
              <w:bottom w:val="single" w:sz="4" w:space="0" w:color="000000"/>
              <w:right w:val="single" w:sz="4" w:space="0" w:color="auto"/>
            </w:tcBorders>
            <w:vAlign w:val="center"/>
          </w:tcPr>
          <w:p w:rsidR="00BE5664" w:rsidRPr="00EA50AD" w:rsidRDefault="00BE5664" w:rsidP="00EA50AD">
            <w:pPr>
              <w:spacing w:line="360" w:lineRule="auto"/>
              <w:ind w:firstLine="331"/>
              <w:rPr>
                <w:rFonts w:ascii="仿宋_GB2312" w:hAnsi="仿宋_GB2312" w:cs="仿宋_GB2312"/>
                <w:bCs/>
                <w:sz w:val="24"/>
                <w:szCs w:val="24"/>
              </w:rPr>
            </w:pPr>
            <w:r w:rsidRPr="00EA50AD">
              <w:rPr>
                <w:rFonts w:ascii="仿宋_GB2312" w:hAnsi="仿宋_GB2312" w:cs="仿宋_GB2312" w:hint="eastAsia"/>
                <w:bCs/>
                <w:sz w:val="24"/>
                <w:szCs w:val="24"/>
              </w:rPr>
              <w:t>在社会和工程造价专业发展的大背景下，能够认识到不断探索和学习的必要性，自觉跟踪土木工程专业学科前沿，具有自主学习和终身学习意识。</w:t>
            </w:r>
          </w:p>
        </w:tc>
      </w:tr>
      <w:tr w:rsidR="00BE5664" w:rsidRPr="00EA50AD" w:rsidTr="00C77066">
        <w:trPr>
          <w:trHeight w:val="454"/>
          <w:jc w:val="center"/>
        </w:trPr>
        <w:tc>
          <w:tcPr>
            <w:tcW w:w="403" w:type="pct"/>
            <w:tcBorders>
              <w:top w:val="single" w:sz="4" w:space="0" w:color="000000"/>
              <w:left w:val="single" w:sz="4" w:space="0" w:color="000000"/>
              <w:bottom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Cs/>
                <w:sz w:val="24"/>
                <w:szCs w:val="24"/>
              </w:rPr>
            </w:pPr>
            <w:r w:rsidRPr="00EA50AD">
              <w:rPr>
                <w:rFonts w:ascii="仿宋_GB2312" w:hAnsi="仿宋_GB2312" w:cs="仿宋_GB2312"/>
                <w:bCs/>
                <w:sz w:val="24"/>
                <w:szCs w:val="24"/>
              </w:rPr>
              <w:t>3</w:t>
            </w:r>
          </w:p>
        </w:tc>
        <w:tc>
          <w:tcPr>
            <w:tcW w:w="2251" w:type="pct"/>
            <w:tcBorders>
              <w:top w:val="single" w:sz="4" w:space="0" w:color="000000"/>
              <w:left w:val="single" w:sz="4" w:space="0" w:color="000000"/>
              <w:bottom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Cs/>
                <w:sz w:val="24"/>
                <w:szCs w:val="24"/>
              </w:rPr>
            </w:pPr>
            <w:r w:rsidRPr="00EA50AD">
              <w:rPr>
                <w:rFonts w:ascii="仿宋_GB2312" w:hAnsi="仿宋_GB2312" w:cs="仿宋_GB2312"/>
                <w:bCs/>
                <w:sz w:val="24"/>
                <w:szCs w:val="24"/>
              </w:rPr>
              <w:t>目标3：</w:t>
            </w:r>
            <w:r w:rsidRPr="00EA50AD">
              <w:rPr>
                <w:rFonts w:ascii="仿宋_GB2312" w:hAnsi="仿宋_GB2312" w:cs="仿宋_GB2312" w:hint="eastAsia"/>
                <w:bCs/>
                <w:sz w:val="24"/>
                <w:szCs w:val="24"/>
              </w:rPr>
              <w:t>了解工程项目内部控制评审、工程项目财务审计和经济责任审计的基本内容。</w:t>
            </w:r>
          </w:p>
        </w:tc>
        <w:tc>
          <w:tcPr>
            <w:tcW w:w="514" w:type="pct"/>
            <w:tcBorders>
              <w:top w:val="single" w:sz="4" w:space="0" w:color="000000"/>
              <w:left w:val="single" w:sz="4" w:space="0" w:color="000000"/>
              <w:bottom w:val="single" w:sz="4" w:space="0" w:color="000000"/>
              <w:right w:val="single" w:sz="4" w:space="0" w:color="000000"/>
            </w:tcBorders>
            <w:vAlign w:val="center"/>
          </w:tcPr>
          <w:p w:rsidR="00BE5664" w:rsidRPr="00EA50AD" w:rsidRDefault="00BE5664" w:rsidP="00EA50AD">
            <w:pPr>
              <w:spacing w:line="360" w:lineRule="auto"/>
              <w:ind w:firstLine="331"/>
              <w:rPr>
                <w:rFonts w:ascii="仿宋_GB2312" w:hAnsi="仿宋_GB2312" w:cs="仿宋_GB2312"/>
                <w:bCs/>
                <w:sz w:val="24"/>
                <w:szCs w:val="24"/>
              </w:rPr>
            </w:pPr>
            <w:r w:rsidRPr="00EA50AD">
              <w:rPr>
                <w:rFonts w:ascii="仿宋_GB2312" w:hAnsi="仿宋_GB2312" w:cs="仿宋_GB2312"/>
                <w:bCs/>
                <w:sz w:val="24"/>
                <w:szCs w:val="24"/>
              </w:rPr>
              <w:t>10</w:t>
            </w:r>
          </w:p>
        </w:tc>
        <w:tc>
          <w:tcPr>
            <w:tcW w:w="1832" w:type="pct"/>
            <w:tcBorders>
              <w:top w:val="single" w:sz="4" w:space="0" w:color="000000"/>
              <w:left w:val="single" w:sz="4" w:space="0" w:color="000000"/>
              <w:bottom w:val="single" w:sz="4" w:space="0" w:color="000000"/>
              <w:right w:val="single" w:sz="4" w:space="0" w:color="auto"/>
            </w:tcBorders>
            <w:vAlign w:val="center"/>
          </w:tcPr>
          <w:p w:rsidR="00BE5664" w:rsidRPr="00EA50AD" w:rsidRDefault="00BE5664" w:rsidP="00EA50AD">
            <w:pPr>
              <w:spacing w:line="360" w:lineRule="auto"/>
              <w:ind w:firstLine="331"/>
              <w:rPr>
                <w:rFonts w:ascii="仿宋_GB2312" w:hAnsi="仿宋_GB2312" w:cs="仿宋_GB2312"/>
                <w:bCs/>
                <w:sz w:val="24"/>
                <w:szCs w:val="24"/>
              </w:rPr>
            </w:pPr>
            <w:r w:rsidRPr="00EA50AD">
              <w:rPr>
                <w:rFonts w:ascii="仿宋_GB2312" w:hAnsi="仿宋_GB2312" w:cs="仿宋_GB2312" w:hint="eastAsia"/>
                <w:bCs/>
                <w:sz w:val="24"/>
                <w:szCs w:val="24"/>
              </w:rPr>
              <w:t>能够就复杂工程问题与业界同行及社会公众进行有效沟通和交流，包括撰写报告和设计文稿、陈述发言、清晰表达或回应指令。</w:t>
            </w:r>
          </w:p>
        </w:tc>
      </w:tr>
    </w:tbl>
    <w:p w:rsidR="00C77066" w:rsidRPr="00C77066" w:rsidRDefault="00C77066" w:rsidP="00C7706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p w:rsidR="00BE5664" w:rsidRPr="00EA50AD" w:rsidRDefault="00BE5664" w:rsidP="00EA50AD">
      <w:pPr>
        <w:spacing w:line="360" w:lineRule="auto"/>
        <w:ind w:firstLine="331"/>
        <w:rPr>
          <w:rFonts w:ascii="仿宋_GB2312" w:hAnsi="仿宋_GB2312" w:cs="仿宋_GB2312"/>
          <w:bCs/>
          <w:sz w:val="28"/>
          <w:szCs w:val="28"/>
        </w:rPr>
      </w:pPr>
      <w:r w:rsidRPr="00EA50AD">
        <w:rPr>
          <w:rFonts w:ascii="仿宋_GB2312" w:hAnsi="仿宋_GB2312" w:cs="仿宋_GB2312"/>
          <w:bCs/>
          <w:sz w:val="28"/>
          <w:szCs w:val="28"/>
        </w:rPr>
        <w:t>课程教学内容及要求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3030"/>
        <w:gridCol w:w="2076"/>
        <w:gridCol w:w="881"/>
        <w:gridCol w:w="788"/>
        <w:gridCol w:w="853"/>
      </w:tblGrid>
      <w:tr w:rsidR="00BE5664" w:rsidTr="00BE5664">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rPr>
                <w:rFonts w:ascii="仿宋_GB2312" w:hAnsi="仿宋_GB2312" w:cs="仿宋_GB2312"/>
                <w:b/>
                <w:bCs/>
                <w:sz w:val="24"/>
                <w:szCs w:val="24"/>
              </w:rPr>
            </w:pPr>
            <w:r w:rsidRPr="00C77066">
              <w:rPr>
                <w:rFonts w:ascii="仿宋_GB2312" w:hAnsi="仿宋_GB2312" w:cs="仿宋_GB2312"/>
                <w:b/>
                <w:bCs/>
                <w:sz w:val="24"/>
                <w:szCs w:val="24"/>
              </w:rPr>
              <w:t>序</w:t>
            </w:r>
            <w:r w:rsidRPr="00C77066">
              <w:rPr>
                <w:rFonts w:ascii="仿宋_GB2312" w:hAnsi="仿宋_GB2312" w:cs="仿宋_GB2312"/>
                <w:b/>
                <w:bCs/>
                <w:sz w:val="24"/>
                <w:szCs w:val="24"/>
              </w:rPr>
              <w:lastRenderedPageBreak/>
              <w:t>号</w:t>
            </w:r>
          </w:p>
        </w:tc>
        <w:tc>
          <w:tcPr>
            <w:tcW w:w="1870" w:type="pct"/>
            <w:tcBorders>
              <w:top w:val="single" w:sz="4" w:space="0" w:color="000000"/>
              <w:left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
                <w:bCs/>
                <w:sz w:val="24"/>
                <w:szCs w:val="24"/>
              </w:rPr>
            </w:pPr>
            <w:r w:rsidRPr="00C77066">
              <w:rPr>
                <w:rFonts w:ascii="仿宋_GB2312" w:hAnsi="仿宋_GB2312" w:cs="仿宋_GB2312"/>
                <w:b/>
                <w:bCs/>
                <w:sz w:val="24"/>
                <w:szCs w:val="24"/>
              </w:rPr>
              <w:lastRenderedPageBreak/>
              <w:t>教学内容及重点、难点</w:t>
            </w:r>
          </w:p>
        </w:tc>
        <w:tc>
          <w:tcPr>
            <w:tcW w:w="1295" w:type="pct"/>
            <w:tcBorders>
              <w:top w:val="single" w:sz="4" w:space="0" w:color="000000"/>
              <w:left w:val="single" w:sz="4" w:space="0" w:color="auto"/>
              <w:right w:val="single" w:sz="4" w:space="0" w:color="auto"/>
            </w:tcBorders>
            <w:vAlign w:val="center"/>
          </w:tcPr>
          <w:p w:rsidR="00BE5664" w:rsidRPr="00C77066" w:rsidRDefault="00BE5664" w:rsidP="00C77066">
            <w:pPr>
              <w:spacing w:line="360" w:lineRule="auto"/>
              <w:ind w:firstLine="331"/>
              <w:rPr>
                <w:rFonts w:ascii="仿宋_GB2312" w:hAnsi="仿宋_GB2312" w:cs="仿宋_GB2312"/>
                <w:b/>
                <w:bCs/>
                <w:sz w:val="24"/>
                <w:szCs w:val="24"/>
              </w:rPr>
            </w:pPr>
            <w:r w:rsidRPr="00C77066">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BE5664" w:rsidRPr="00C77066" w:rsidRDefault="00BE5664" w:rsidP="00C77066">
            <w:pPr>
              <w:spacing w:line="360" w:lineRule="auto"/>
              <w:ind w:firstLine="331"/>
              <w:jc w:val="center"/>
              <w:rPr>
                <w:rFonts w:ascii="仿宋_GB2312" w:hAnsi="仿宋_GB2312" w:cs="仿宋_GB2312"/>
                <w:b/>
                <w:bCs/>
                <w:sz w:val="24"/>
                <w:szCs w:val="24"/>
              </w:rPr>
            </w:pPr>
            <w:r w:rsidRPr="00C77066">
              <w:rPr>
                <w:rFonts w:ascii="仿宋_GB2312" w:hAnsi="仿宋_GB2312" w:cs="仿宋_GB2312"/>
                <w:b/>
                <w:bCs/>
                <w:sz w:val="24"/>
                <w:szCs w:val="24"/>
              </w:rPr>
              <w:t>教</w:t>
            </w:r>
            <w:r w:rsidRPr="00C77066">
              <w:rPr>
                <w:rFonts w:ascii="仿宋_GB2312" w:hAnsi="仿宋_GB2312" w:cs="仿宋_GB2312"/>
                <w:b/>
                <w:bCs/>
                <w:sz w:val="24"/>
                <w:szCs w:val="24"/>
              </w:rPr>
              <w:lastRenderedPageBreak/>
              <w:t>学方式</w:t>
            </w:r>
          </w:p>
        </w:tc>
        <w:tc>
          <w:tcPr>
            <w:tcW w:w="359" w:type="pct"/>
            <w:tcBorders>
              <w:top w:val="single" w:sz="4" w:space="0" w:color="000000"/>
              <w:left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
                <w:bCs/>
                <w:sz w:val="24"/>
                <w:szCs w:val="24"/>
              </w:rPr>
            </w:pPr>
            <w:r w:rsidRPr="00C77066">
              <w:rPr>
                <w:rFonts w:ascii="仿宋_GB2312" w:hAnsi="仿宋_GB2312" w:cs="仿宋_GB2312"/>
                <w:b/>
                <w:bCs/>
                <w:sz w:val="24"/>
                <w:szCs w:val="24"/>
              </w:rPr>
              <w:lastRenderedPageBreak/>
              <w:t>学</w:t>
            </w:r>
            <w:r w:rsidRPr="00C77066">
              <w:rPr>
                <w:rFonts w:ascii="仿宋_GB2312" w:hAnsi="仿宋_GB2312" w:cs="仿宋_GB2312"/>
                <w:b/>
                <w:bCs/>
                <w:sz w:val="24"/>
                <w:szCs w:val="24"/>
              </w:rPr>
              <w:lastRenderedPageBreak/>
              <w:t>时</w:t>
            </w:r>
          </w:p>
        </w:tc>
        <w:tc>
          <w:tcPr>
            <w:tcW w:w="558" w:type="pct"/>
            <w:tcBorders>
              <w:top w:val="single" w:sz="4" w:space="0" w:color="000000"/>
              <w:left w:val="single" w:sz="4" w:space="0" w:color="000000"/>
              <w:right w:val="single" w:sz="4" w:space="0" w:color="auto"/>
            </w:tcBorders>
            <w:vAlign w:val="center"/>
          </w:tcPr>
          <w:p w:rsidR="00BE5664" w:rsidRPr="00C77066" w:rsidRDefault="00BE5664" w:rsidP="00C77066">
            <w:pPr>
              <w:spacing w:line="360" w:lineRule="auto"/>
              <w:jc w:val="center"/>
              <w:rPr>
                <w:rFonts w:ascii="仿宋_GB2312" w:hAnsi="仿宋_GB2312" w:cs="仿宋_GB2312"/>
                <w:b/>
                <w:bCs/>
                <w:sz w:val="24"/>
                <w:szCs w:val="24"/>
              </w:rPr>
            </w:pPr>
            <w:r w:rsidRPr="00C77066">
              <w:rPr>
                <w:rFonts w:ascii="仿宋_GB2312" w:hAnsi="仿宋_GB2312" w:cs="仿宋_GB2312"/>
                <w:b/>
                <w:bCs/>
                <w:sz w:val="24"/>
                <w:szCs w:val="24"/>
              </w:rPr>
              <w:lastRenderedPageBreak/>
              <w:t>支撑</w:t>
            </w:r>
            <w:r w:rsidRPr="00C77066">
              <w:rPr>
                <w:rFonts w:ascii="仿宋_GB2312" w:hAnsi="仿宋_GB2312" w:cs="仿宋_GB2312"/>
                <w:b/>
                <w:bCs/>
                <w:sz w:val="24"/>
                <w:szCs w:val="24"/>
              </w:rPr>
              <w:lastRenderedPageBreak/>
              <w:t>课程教学目标</w:t>
            </w:r>
          </w:p>
        </w:tc>
      </w:tr>
      <w:tr w:rsidR="00BE5664" w:rsidTr="00BE5664">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lastRenderedPageBreak/>
              <w:t>1</w:t>
            </w:r>
          </w:p>
        </w:tc>
        <w:tc>
          <w:tcPr>
            <w:tcW w:w="1870"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内容：第一章</w:t>
            </w:r>
            <w:r w:rsidRPr="00C77066">
              <w:rPr>
                <w:rFonts w:ascii="仿宋_GB2312" w:hAnsi="仿宋_GB2312" w:cs="仿宋_GB2312" w:hint="eastAsia"/>
                <w:bCs/>
                <w:sz w:val="24"/>
                <w:szCs w:val="24"/>
              </w:rPr>
              <w:t>审计总论一</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重点：工程项目审计的基本概念</w:t>
            </w:r>
            <w:r w:rsidRPr="00C77066">
              <w:rPr>
                <w:rFonts w:ascii="仿宋_GB2312" w:hAnsi="仿宋_GB2312" w:cs="仿宋_GB2312" w:hint="eastAsia"/>
                <w:bCs/>
                <w:sz w:val="24"/>
                <w:szCs w:val="24"/>
              </w:rPr>
              <w:t>；</w:t>
            </w:r>
            <w:r w:rsidRPr="00C77066">
              <w:rPr>
                <w:rFonts w:ascii="仿宋_GB2312" w:hAnsi="仿宋_GB2312" w:cs="仿宋_GB2312"/>
                <w:bCs/>
                <w:sz w:val="24"/>
                <w:szCs w:val="24"/>
              </w:rPr>
              <w:t>审计的</w:t>
            </w:r>
            <w:r w:rsidRPr="00C77066">
              <w:rPr>
                <w:rFonts w:ascii="仿宋_GB2312" w:hAnsi="仿宋_GB2312" w:cs="仿宋_GB2312" w:hint="eastAsia"/>
                <w:bCs/>
                <w:sz w:val="24"/>
                <w:szCs w:val="24"/>
              </w:rPr>
              <w:t>理论框架，包括审计主体、</w:t>
            </w:r>
            <w:r w:rsidRPr="00C77066">
              <w:rPr>
                <w:rFonts w:ascii="仿宋_GB2312" w:hAnsi="仿宋_GB2312" w:cs="仿宋_GB2312"/>
                <w:bCs/>
                <w:sz w:val="24"/>
                <w:szCs w:val="24"/>
              </w:rPr>
              <w:t>职能</w:t>
            </w:r>
            <w:r w:rsidRPr="00C77066">
              <w:rPr>
                <w:rFonts w:ascii="仿宋_GB2312" w:hAnsi="仿宋_GB2312" w:cs="仿宋_GB2312" w:hint="eastAsia"/>
                <w:bCs/>
                <w:sz w:val="24"/>
                <w:szCs w:val="24"/>
              </w:rPr>
              <w:t>、</w:t>
            </w:r>
            <w:r w:rsidRPr="00C77066">
              <w:rPr>
                <w:rFonts w:ascii="仿宋_GB2312" w:hAnsi="仿宋_GB2312" w:cs="仿宋_GB2312"/>
                <w:bCs/>
                <w:sz w:val="24"/>
                <w:szCs w:val="24"/>
              </w:rPr>
              <w:t>作用</w:t>
            </w:r>
            <w:r w:rsidRPr="00C77066">
              <w:rPr>
                <w:rFonts w:ascii="仿宋_GB2312" w:hAnsi="仿宋_GB2312" w:cs="仿宋_GB2312" w:hint="eastAsia"/>
                <w:bCs/>
                <w:sz w:val="24"/>
                <w:szCs w:val="24"/>
              </w:rPr>
              <w:t>、目标、依据、</w:t>
            </w:r>
            <w:r w:rsidRPr="00C77066">
              <w:rPr>
                <w:rFonts w:ascii="仿宋_GB2312" w:hAnsi="仿宋_GB2312" w:cs="仿宋_GB2312"/>
                <w:bCs/>
                <w:sz w:val="24"/>
                <w:szCs w:val="24"/>
              </w:rPr>
              <w:t>程序</w:t>
            </w:r>
            <w:r w:rsidRPr="00C77066">
              <w:rPr>
                <w:rFonts w:ascii="仿宋_GB2312" w:hAnsi="仿宋_GB2312" w:cs="仿宋_GB2312" w:hint="eastAsia"/>
                <w:bCs/>
                <w:sz w:val="24"/>
                <w:szCs w:val="24"/>
              </w:rPr>
              <w:t>和</w:t>
            </w:r>
            <w:r w:rsidRPr="00C77066">
              <w:rPr>
                <w:rFonts w:ascii="仿宋_GB2312" w:hAnsi="仿宋_GB2312" w:cs="仿宋_GB2312"/>
                <w:bCs/>
                <w:sz w:val="24"/>
                <w:szCs w:val="24"/>
              </w:rPr>
              <w:t>方法</w:t>
            </w:r>
            <w:r w:rsidRPr="00C77066">
              <w:rPr>
                <w:rFonts w:ascii="仿宋_GB2312" w:hAnsi="仿宋_GB2312" w:cs="仿宋_GB2312" w:hint="eastAsia"/>
                <w:bCs/>
                <w:sz w:val="24"/>
                <w:szCs w:val="24"/>
              </w:rPr>
              <w:t>。</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了解、掌握审计的基本概念、内容、方法等</w:t>
            </w:r>
          </w:p>
        </w:tc>
        <w:tc>
          <w:tcPr>
            <w:tcW w:w="575" w:type="pct"/>
            <w:tcBorders>
              <w:top w:val="single" w:sz="4" w:space="0" w:color="000000"/>
              <w:left w:val="single" w:sz="4" w:space="0" w:color="auto"/>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目标1</w:t>
            </w:r>
          </w:p>
        </w:tc>
      </w:tr>
      <w:tr w:rsidR="00BE5664" w:rsidTr="00BE5664">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2</w:t>
            </w:r>
          </w:p>
        </w:tc>
        <w:tc>
          <w:tcPr>
            <w:tcW w:w="1870"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内容：第二章</w:t>
            </w:r>
            <w:r w:rsidRPr="00C77066">
              <w:rPr>
                <w:rFonts w:ascii="仿宋_GB2312" w:hAnsi="仿宋_GB2312" w:cs="仿宋_GB2312" w:hint="eastAsia"/>
                <w:bCs/>
                <w:sz w:val="24"/>
                <w:szCs w:val="24"/>
              </w:rPr>
              <w:t>审计总论二</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重点：</w:t>
            </w:r>
            <w:r w:rsidRPr="00C77066">
              <w:rPr>
                <w:rFonts w:ascii="仿宋_GB2312" w:hAnsi="仿宋_GB2312" w:cs="仿宋_GB2312" w:hint="eastAsia"/>
                <w:bCs/>
                <w:sz w:val="24"/>
                <w:szCs w:val="24"/>
              </w:rPr>
              <w:t>审计重要性、审计风险、审计证据、审计工作底稿、审计报告和内部控制制度评审</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了解、掌握审计重要性和审计风险的有关知识以及审计证据、工作底稿和审计报告的内容</w:t>
            </w:r>
          </w:p>
        </w:tc>
        <w:tc>
          <w:tcPr>
            <w:tcW w:w="575" w:type="pct"/>
            <w:tcBorders>
              <w:top w:val="single" w:sz="4" w:space="0" w:color="000000"/>
              <w:left w:val="single" w:sz="4" w:space="0" w:color="auto"/>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目标2</w:t>
            </w:r>
          </w:p>
        </w:tc>
      </w:tr>
      <w:tr w:rsidR="00BE5664" w:rsidTr="00BE5664">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内容：第</w:t>
            </w:r>
            <w:r w:rsidRPr="00C77066">
              <w:rPr>
                <w:rFonts w:ascii="仿宋_GB2312" w:hAnsi="仿宋_GB2312" w:cs="仿宋_GB2312" w:hint="eastAsia"/>
                <w:bCs/>
                <w:sz w:val="24"/>
                <w:szCs w:val="24"/>
              </w:rPr>
              <w:t>三</w:t>
            </w:r>
            <w:r w:rsidRPr="00C77066">
              <w:rPr>
                <w:rFonts w:ascii="仿宋_GB2312" w:hAnsi="仿宋_GB2312" w:cs="仿宋_GB2312"/>
                <w:bCs/>
                <w:sz w:val="24"/>
                <w:szCs w:val="24"/>
              </w:rPr>
              <w:t>章</w:t>
            </w:r>
            <w:r w:rsidRPr="00C77066">
              <w:rPr>
                <w:rFonts w:ascii="仿宋_GB2312" w:hAnsi="仿宋_GB2312" w:cs="仿宋_GB2312" w:hint="eastAsia"/>
                <w:bCs/>
                <w:sz w:val="24"/>
                <w:szCs w:val="24"/>
              </w:rPr>
              <w:t>工程项目审计概述</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重点：</w:t>
            </w:r>
            <w:r w:rsidRPr="00C77066">
              <w:rPr>
                <w:rFonts w:ascii="仿宋_GB2312" w:hAnsi="仿宋_GB2312" w:cs="仿宋_GB2312" w:hint="eastAsia"/>
                <w:bCs/>
                <w:sz w:val="24"/>
                <w:szCs w:val="24"/>
              </w:rPr>
              <w:t>工程项目审计的概念、对象、范围和依据，工程项目审计的前沿研究，</w:t>
            </w:r>
            <w:r w:rsidRPr="00C77066">
              <w:rPr>
                <w:rFonts w:ascii="仿宋_GB2312" w:hAnsi="仿宋_GB2312" w:cs="仿宋_GB2312"/>
                <w:bCs/>
                <w:sz w:val="24"/>
                <w:szCs w:val="24"/>
              </w:rPr>
              <w:t>工程造价审计的内涵</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了解、掌握工程项目审计的基本内涵和前沿研究；掌握工程造价审计的内容</w:t>
            </w:r>
          </w:p>
        </w:tc>
        <w:tc>
          <w:tcPr>
            <w:tcW w:w="575" w:type="pct"/>
            <w:tcBorders>
              <w:top w:val="single" w:sz="4" w:space="0" w:color="000000"/>
              <w:left w:val="single" w:sz="4" w:space="0" w:color="auto"/>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3</w:t>
            </w:r>
          </w:p>
        </w:tc>
        <w:tc>
          <w:tcPr>
            <w:tcW w:w="558"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目标2</w:t>
            </w:r>
          </w:p>
        </w:tc>
      </w:tr>
      <w:tr w:rsidR="00BE5664" w:rsidTr="00BE5664">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4</w:t>
            </w:r>
          </w:p>
        </w:tc>
        <w:tc>
          <w:tcPr>
            <w:tcW w:w="1870"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内容：第</w:t>
            </w:r>
            <w:r w:rsidRPr="00C77066">
              <w:rPr>
                <w:rFonts w:ascii="仿宋_GB2312" w:hAnsi="仿宋_GB2312" w:cs="仿宋_GB2312" w:hint="eastAsia"/>
                <w:bCs/>
                <w:sz w:val="24"/>
                <w:szCs w:val="24"/>
              </w:rPr>
              <w:t>四</w:t>
            </w:r>
            <w:r w:rsidRPr="00C77066">
              <w:rPr>
                <w:rFonts w:ascii="仿宋_GB2312" w:hAnsi="仿宋_GB2312" w:cs="仿宋_GB2312"/>
                <w:bCs/>
                <w:sz w:val="24"/>
                <w:szCs w:val="24"/>
              </w:rPr>
              <w:t>章</w:t>
            </w:r>
            <w:r w:rsidRPr="00C77066">
              <w:rPr>
                <w:rFonts w:ascii="仿宋_GB2312" w:hAnsi="仿宋_GB2312" w:cs="仿宋_GB2312" w:hint="eastAsia"/>
                <w:bCs/>
                <w:sz w:val="24"/>
                <w:szCs w:val="24"/>
              </w:rPr>
              <w:t>工程项目准备阶段审计</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重点：</w:t>
            </w:r>
            <w:r w:rsidRPr="00C77066">
              <w:rPr>
                <w:rFonts w:ascii="仿宋_GB2312" w:hAnsi="仿宋_GB2312" w:cs="仿宋_GB2312" w:hint="eastAsia"/>
                <w:bCs/>
                <w:sz w:val="24"/>
                <w:szCs w:val="24"/>
              </w:rPr>
              <w:t>工程项目决策和设计阶段审计，包括工程项</w:t>
            </w:r>
            <w:r w:rsidRPr="00C77066">
              <w:rPr>
                <w:rFonts w:ascii="仿宋_GB2312" w:hAnsi="仿宋_GB2312" w:cs="仿宋_GB2312" w:hint="eastAsia"/>
                <w:bCs/>
                <w:sz w:val="24"/>
                <w:szCs w:val="24"/>
              </w:rPr>
              <w:lastRenderedPageBreak/>
              <w:t>目审批程序审计；可行性研究报告审计、工程项目勘察设计招投标审计和设计概算审计。</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lastRenderedPageBreak/>
              <w:t>了解、掌握工程项目准备阶段的审批程序、可行性研究报告、设计</w:t>
            </w:r>
            <w:r w:rsidRPr="00C77066">
              <w:rPr>
                <w:rFonts w:ascii="仿宋_GB2312" w:hAnsi="仿宋_GB2312" w:cs="仿宋_GB2312" w:hint="eastAsia"/>
                <w:bCs/>
                <w:sz w:val="24"/>
                <w:szCs w:val="24"/>
              </w:rPr>
              <w:lastRenderedPageBreak/>
              <w:t>概算和招投标审计的内容</w:t>
            </w:r>
          </w:p>
        </w:tc>
        <w:tc>
          <w:tcPr>
            <w:tcW w:w="575" w:type="pct"/>
            <w:tcBorders>
              <w:top w:val="single" w:sz="4" w:space="0" w:color="000000"/>
              <w:left w:val="single" w:sz="4" w:space="0" w:color="auto"/>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目标2、3</w:t>
            </w:r>
          </w:p>
        </w:tc>
      </w:tr>
      <w:tr w:rsidR="00BE5664" w:rsidTr="00BE5664">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5</w:t>
            </w:r>
          </w:p>
        </w:tc>
        <w:tc>
          <w:tcPr>
            <w:tcW w:w="1870"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内容：第</w:t>
            </w:r>
            <w:r w:rsidRPr="00C77066">
              <w:rPr>
                <w:rFonts w:ascii="仿宋_GB2312" w:hAnsi="仿宋_GB2312" w:cs="仿宋_GB2312" w:hint="eastAsia"/>
                <w:bCs/>
                <w:sz w:val="24"/>
                <w:szCs w:val="24"/>
              </w:rPr>
              <w:t>五</w:t>
            </w:r>
            <w:r w:rsidRPr="00C77066">
              <w:rPr>
                <w:rFonts w:ascii="仿宋_GB2312" w:hAnsi="仿宋_GB2312" w:cs="仿宋_GB2312"/>
                <w:bCs/>
                <w:sz w:val="24"/>
                <w:szCs w:val="24"/>
              </w:rPr>
              <w:t>章</w:t>
            </w:r>
            <w:r w:rsidRPr="00C77066">
              <w:rPr>
                <w:rFonts w:ascii="仿宋_GB2312" w:hAnsi="仿宋_GB2312" w:cs="仿宋_GB2312" w:hint="eastAsia"/>
                <w:bCs/>
                <w:sz w:val="24"/>
                <w:szCs w:val="24"/>
              </w:rPr>
              <w:t>工程项目实施阶段审计</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重点：</w:t>
            </w:r>
            <w:r w:rsidRPr="00C77066">
              <w:rPr>
                <w:rFonts w:ascii="仿宋_GB2312" w:hAnsi="仿宋_GB2312" w:cs="仿宋_GB2312" w:hint="eastAsia"/>
                <w:bCs/>
                <w:sz w:val="24"/>
                <w:szCs w:val="24"/>
              </w:rPr>
              <w:t>工程项目招投标审计；工程项目合同管理审计和工程项目管理审计。</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了解、掌握工程项目实施阶段的工程项目招投标、工程项目合同管理、工程项目管理等审计的内容</w:t>
            </w:r>
          </w:p>
        </w:tc>
        <w:tc>
          <w:tcPr>
            <w:tcW w:w="575" w:type="pct"/>
            <w:tcBorders>
              <w:top w:val="single" w:sz="4" w:space="0" w:color="000000"/>
              <w:left w:val="single" w:sz="4" w:space="0" w:color="auto"/>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3</w:t>
            </w:r>
          </w:p>
        </w:tc>
        <w:tc>
          <w:tcPr>
            <w:tcW w:w="558"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目标2、3</w:t>
            </w:r>
          </w:p>
        </w:tc>
      </w:tr>
      <w:tr w:rsidR="00BE5664" w:rsidTr="00BE5664">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6</w:t>
            </w:r>
          </w:p>
        </w:tc>
        <w:tc>
          <w:tcPr>
            <w:tcW w:w="1870"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内容：第</w:t>
            </w:r>
            <w:r w:rsidRPr="00C77066">
              <w:rPr>
                <w:rFonts w:ascii="仿宋_GB2312" w:hAnsi="仿宋_GB2312" w:cs="仿宋_GB2312" w:hint="eastAsia"/>
                <w:bCs/>
                <w:sz w:val="24"/>
                <w:szCs w:val="24"/>
              </w:rPr>
              <w:t>六</w:t>
            </w:r>
            <w:r w:rsidRPr="00C77066">
              <w:rPr>
                <w:rFonts w:ascii="仿宋_GB2312" w:hAnsi="仿宋_GB2312" w:cs="仿宋_GB2312"/>
                <w:bCs/>
                <w:sz w:val="24"/>
                <w:szCs w:val="24"/>
              </w:rPr>
              <w:t>章</w:t>
            </w:r>
            <w:r w:rsidRPr="00C77066">
              <w:rPr>
                <w:rFonts w:ascii="仿宋_GB2312" w:hAnsi="仿宋_GB2312" w:cs="仿宋_GB2312" w:hint="eastAsia"/>
                <w:bCs/>
                <w:sz w:val="24"/>
                <w:szCs w:val="24"/>
              </w:rPr>
              <w:t>工程项目竣工阶段审计</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重点：</w:t>
            </w:r>
            <w:r w:rsidRPr="00C77066">
              <w:rPr>
                <w:rFonts w:ascii="仿宋_GB2312" w:hAnsi="仿宋_GB2312" w:cs="仿宋_GB2312" w:hint="eastAsia"/>
                <w:bCs/>
                <w:sz w:val="24"/>
                <w:szCs w:val="24"/>
              </w:rPr>
              <w:t>工程项目竣工结算审计，工程</w:t>
            </w:r>
            <w:r w:rsidRPr="00C77066">
              <w:rPr>
                <w:rFonts w:ascii="仿宋_GB2312" w:hAnsi="仿宋_GB2312" w:cs="仿宋_GB2312"/>
                <w:bCs/>
                <w:sz w:val="24"/>
                <w:szCs w:val="24"/>
              </w:rPr>
              <w:t>项目投资效益审计</w:t>
            </w:r>
            <w:r w:rsidRPr="00C77066">
              <w:rPr>
                <w:rFonts w:ascii="仿宋_GB2312" w:hAnsi="仿宋_GB2312" w:cs="仿宋_GB2312" w:hint="eastAsia"/>
                <w:bCs/>
                <w:sz w:val="24"/>
                <w:szCs w:val="24"/>
              </w:rPr>
              <w:t>，工程竣工验收审计。</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了解、掌握工程项目竣工阶段结算、投资效益和竣工验收审计的内容</w:t>
            </w:r>
          </w:p>
        </w:tc>
        <w:tc>
          <w:tcPr>
            <w:tcW w:w="575" w:type="pct"/>
            <w:tcBorders>
              <w:top w:val="single" w:sz="4" w:space="0" w:color="000000"/>
              <w:left w:val="single" w:sz="4" w:space="0" w:color="auto"/>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3</w:t>
            </w:r>
          </w:p>
        </w:tc>
        <w:tc>
          <w:tcPr>
            <w:tcW w:w="558"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目标2、3</w:t>
            </w:r>
          </w:p>
        </w:tc>
      </w:tr>
      <w:tr w:rsidR="00BE5664" w:rsidTr="00BE5664">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7</w:t>
            </w:r>
          </w:p>
        </w:tc>
        <w:tc>
          <w:tcPr>
            <w:tcW w:w="1870"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内容：第</w:t>
            </w:r>
            <w:r w:rsidRPr="00C77066">
              <w:rPr>
                <w:rFonts w:ascii="仿宋_GB2312" w:hAnsi="仿宋_GB2312" w:cs="仿宋_GB2312" w:hint="eastAsia"/>
                <w:bCs/>
                <w:sz w:val="24"/>
                <w:szCs w:val="24"/>
              </w:rPr>
              <w:t>七</w:t>
            </w:r>
            <w:r w:rsidRPr="00C77066">
              <w:rPr>
                <w:rFonts w:ascii="仿宋_GB2312" w:hAnsi="仿宋_GB2312" w:cs="仿宋_GB2312"/>
                <w:bCs/>
                <w:sz w:val="24"/>
                <w:szCs w:val="24"/>
              </w:rPr>
              <w:t>章</w:t>
            </w:r>
            <w:r w:rsidRPr="00C77066">
              <w:rPr>
                <w:rFonts w:ascii="仿宋_GB2312" w:hAnsi="仿宋_GB2312" w:cs="仿宋_GB2312" w:hint="eastAsia"/>
                <w:bCs/>
                <w:sz w:val="24"/>
                <w:szCs w:val="24"/>
              </w:rPr>
              <w:t>工程项目财务审计</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重点：</w:t>
            </w:r>
            <w:r w:rsidRPr="00C77066">
              <w:rPr>
                <w:rFonts w:ascii="仿宋_GB2312" w:hAnsi="仿宋_GB2312" w:cs="仿宋_GB2312" w:hint="eastAsia"/>
                <w:bCs/>
                <w:sz w:val="24"/>
                <w:szCs w:val="24"/>
              </w:rPr>
              <w:t>工程项目财务审计的概念，内容。包括工程</w:t>
            </w:r>
            <w:r w:rsidRPr="00C77066">
              <w:rPr>
                <w:rFonts w:ascii="仿宋_GB2312" w:hAnsi="仿宋_GB2312" w:cs="仿宋_GB2312"/>
                <w:bCs/>
                <w:sz w:val="24"/>
                <w:szCs w:val="24"/>
              </w:rPr>
              <w:t>项目资金</w:t>
            </w:r>
            <w:r w:rsidRPr="00C77066">
              <w:rPr>
                <w:rFonts w:ascii="仿宋_GB2312" w:hAnsi="仿宋_GB2312" w:cs="仿宋_GB2312" w:hint="eastAsia"/>
                <w:bCs/>
                <w:sz w:val="24"/>
                <w:szCs w:val="24"/>
              </w:rPr>
              <w:t>来源及到位情况</w:t>
            </w:r>
            <w:r w:rsidRPr="00C77066">
              <w:rPr>
                <w:rFonts w:ascii="仿宋_GB2312" w:hAnsi="仿宋_GB2312" w:cs="仿宋_GB2312"/>
                <w:bCs/>
                <w:sz w:val="24"/>
                <w:szCs w:val="24"/>
              </w:rPr>
              <w:t>的审计</w:t>
            </w:r>
            <w:r w:rsidRPr="00C77066">
              <w:rPr>
                <w:rFonts w:ascii="仿宋_GB2312" w:hAnsi="仿宋_GB2312" w:cs="仿宋_GB2312" w:hint="eastAsia"/>
                <w:bCs/>
                <w:sz w:val="24"/>
                <w:szCs w:val="24"/>
              </w:rPr>
              <w:t>，工程</w:t>
            </w:r>
            <w:r w:rsidRPr="00C77066">
              <w:rPr>
                <w:rFonts w:ascii="仿宋_GB2312" w:hAnsi="仿宋_GB2312" w:cs="仿宋_GB2312"/>
                <w:bCs/>
                <w:sz w:val="24"/>
                <w:szCs w:val="24"/>
              </w:rPr>
              <w:t>项目资金使用情况审计</w:t>
            </w:r>
            <w:r w:rsidRPr="00C77066">
              <w:rPr>
                <w:rFonts w:ascii="仿宋_GB2312" w:hAnsi="仿宋_GB2312" w:cs="仿宋_GB2312" w:hint="eastAsia"/>
                <w:bCs/>
                <w:sz w:val="24"/>
                <w:szCs w:val="24"/>
              </w:rPr>
              <w:t>，工程</w:t>
            </w:r>
            <w:r w:rsidRPr="00C77066">
              <w:rPr>
                <w:rFonts w:ascii="仿宋_GB2312" w:hAnsi="仿宋_GB2312" w:cs="仿宋_GB2312"/>
                <w:bCs/>
                <w:sz w:val="24"/>
                <w:szCs w:val="24"/>
              </w:rPr>
              <w:t>项目财务决算审计</w:t>
            </w:r>
            <w:r w:rsidRPr="00C77066">
              <w:rPr>
                <w:rFonts w:ascii="仿宋_GB2312" w:hAnsi="仿宋_GB2312" w:cs="仿宋_GB2312" w:hint="eastAsia"/>
                <w:bCs/>
                <w:sz w:val="24"/>
                <w:szCs w:val="24"/>
              </w:rPr>
              <w:t>。</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了解、掌握工程项目财务审计的内容</w:t>
            </w:r>
          </w:p>
        </w:tc>
        <w:tc>
          <w:tcPr>
            <w:tcW w:w="575" w:type="pct"/>
            <w:tcBorders>
              <w:top w:val="single" w:sz="4" w:space="0" w:color="000000"/>
              <w:left w:val="single" w:sz="4" w:space="0" w:color="auto"/>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目标2、3</w:t>
            </w:r>
          </w:p>
        </w:tc>
      </w:tr>
      <w:tr w:rsidR="00BE5664" w:rsidTr="00BE5664">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8</w:t>
            </w:r>
          </w:p>
        </w:tc>
        <w:tc>
          <w:tcPr>
            <w:tcW w:w="1870"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内容：第</w:t>
            </w:r>
            <w:r w:rsidRPr="00C77066">
              <w:rPr>
                <w:rFonts w:ascii="仿宋_GB2312" w:hAnsi="仿宋_GB2312" w:cs="仿宋_GB2312" w:hint="eastAsia"/>
                <w:bCs/>
                <w:sz w:val="24"/>
                <w:szCs w:val="24"/>
              </w:rPr>
              <w:t>八</w:t>
            </w:r>
            <w:r w:rsidRPr="00C77066">
              <w:rPr>
                <w:rFonts w:ascii="仿宋_GB2312" w:hAnsi="仿宋_GB2312" w:cs="仿宋_GB2312"/>
                <w:bCs/>
                <w:sz w:val="24"/>
                <w:szCs w:val="24"/>
              </w:rPr>
              <w:t>章</w:t>
            </w:r>
            <w:r w:rsidRPr="00C77066">
              <w:rPr>
                <w:rFonts w:ascii="仿宋_GB2312" w:hAnsi="仿宋_GB2312" w:cs="仿宋_GB2312" w:hint="eastAsia"/>
                <w:bCs/>
                <w:sz w:val="24"/>
                <w:szCs w:val="24"/>
              </w:rPr>
              <w:t>工程项目经济责任审计</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重点：</w:t>
            </w:r>
            <w:r w:rsidRPr="00C77066">
              <w:rPr>
                <w:rFonts w:ascii="仿宋_GB2312" w:hAnsi="仿宋_GB2312" w:cs="仿宋_GB2312" w:hint="eastAsia"/>
                <w:bCs/>
                <w:sz w:val="24"/>
                <w:szCs w:val="24"/>
              </w:rPr>
              <w:t>经济责任审计的</w:t>
            </w:r>
            <w:r w:rsidRPr="00C77066">
              <w:rPr>
                <w:rFonts w:ascii="仿宋_GB2312" w:hAnsi="仿宋_GB2312" w:cs="仿宋_GB2312" w:hint="eastAsia"/>
                <w:bCs/>
                <w:sz w:val="24"/>
                <w:szCs w:val="24"/>
              </w:rPr>
              <w:lastRenderedPageBreak/>
              <w:t>概念和特点，工程项目经济责任审计的内容。</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lastRenderedPageBreak/>
              <w:t>了解、掌握工程项目内经济责任审计等内容</w:t>
            </w:r>
          </w:p>
        </w:tc>
        <w:tc>
          <w:tcPr>
            <w:tcW w:w="575" w:type="pct"/>
            <w:tcBorders>
              <w:top w:val="single" w:sz="4" w:space="0" w:color="000000"/>
              <w:left w:val="single" w:sz="4" w:space="0" w:color="auto"/>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目标2、3</w:t>
            </w:r>
          </w:p>
        </w:tc>
      </w:tr>
      <w:tr w:rsidR="00BE5664" w:rsidTr="00BE5664">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9</w:t>
            </w:r>
          </w:p>
        </w:tc>
        <w:tc>
          <w:tcPr>
            <w:tcW w:w="1870"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内容：第九章案例分析</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重点：无</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了解工程项目中的招投标、合同管理案例分析</w:t>
            </w:r>
          </w:p>
        </w:tc>
        <w:tc>
          <w:tcPr>
            <w:tcW w:w="575" w:type="pct"/>
            <w:tcBorders>
              <w:top w:val="single" w:sz="4" w:space="0" w:color="000000"/>
              <w:left w:val="single" w:sz="4" w:space="0" w:color="auto"/>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互动讨论</w:t>
            </w:r>
          </w:p>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大作业</w:t>
            </w:r>
          </w:p>
        </w:tc>
        <w:tc>
          <w:tcPr>
            <w:tcW w:w="359"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1</w:t>
            </w:r>
          </w:p>
        </w:tc>
        <w:tc>
          <w:tcPr>
            <w:tcW w:w="558"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目标</w:t>
            </w:r>
            <w:r w:rsidRPr="00C77066">
              <w:rPr>
                <w:rFonts w:ascii="仿宋_GB2312" w:hAnsi="仿宋_GB2312" w:cs="仿宋_GB2312" w:hint="eastAsia"/>
                <w:bCs/>
                <w:sz w:val="24"/>
                <w:szCs w:val="24"/>
              </w:rPr>
              <w:t>1</w:t>
            </w:r>
          </w:p>
        </w:tc>
      </w:tr>
    </w:tbl>
    <w:p w:rsidR="00BE5664" w:rsidRDefault="00BE5664" w:rsidP="00BE5664">
      <w:pPr>
        <w:keepNext/>
        <w:spacing w:beforeLines="100" w:before="312" w:afterLines="50" w:after="156" w:line="360" w:lineRule="exact"/>
        <w:outlineLvl w:val="0"/>
        <w:rPr>
          <w:rFonts w:ascii="Times New Roman" w:eastAsia="黑体" w:hAnsi="Times New Roman"/>
          <w:sz w:val="28"/>
          <w:szCs w:val="28"/>
        </w:rPr>
      </w:pPr>
      <w:r>
        <w:rPr>
          <w:rFonts w:ascii="Times New Roman" w:eastAsia="黑体" w:hAnsi="Times New Roman"/>
          <w:sz w:val="28"/>
          <w:szCs w:val="28"/>
        </w:rPr>
        <w:t>课内实践教学内容及要求</w:t>
      </w:r>
    </w:p>
    <w:p w:rsidR="00BE5664" w:rsidRDefault="00BE5664" w:rsidP="00BE5664">
      <w:pPr>
        <w:adjustRightInd w:val="0"/>
        <w:snapToGrid w:val="0"/>
        <w:spacing w:line="360" w:lineRule="exact"/>
        <w:rPr>
          <w:rFonts w:ascii="Times New Roman" w:hAnsi="Times New Roman"/>
        </w:rPr>
      </w:pPr>
      <w:r>
        <w:rPr>
          <w:rFonts w:ascii="Times New Roman" w:hAnsi="Times New Roman"/>
        </w:rPr>
        <w:t>无</w:t>
      </w:r>
    </w:p>
    <w:p w:rsidR="00BE5664" w:rsidRDefault="00BE5664" w:rsidP="00BE5664">
      <w:pPr>
        <w:keepNext/>
        <w:spacing w:beforeLines="100" w:before="312" w:afterLines="50" w:after="156" w:line="360" w:lineRule="exact"/>
        <w:outlineLvl w:val="0"/>
        <w:rPr>
          <w:rFonts w:ascii="Times New Roman" w:eastAsia="黑体" w:hAnsi="Times New Roman"/>
          <w:sz w:val="28"/>
          <w:szCs w:val="28"/>
        </w:rPr>
      </w:pPr>
      <w:r>
        <w:rPr>
          <w:rFonts w:ascii="Times New Roman" w:eastAsia="黑体" w:hAnsi="Times New Roman"/>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802"/>
        <w:gridCol w:w="804"/>
        <w:gridCol w:w="803"/>
        <w:gridCol w:w="805"/>
        <w:gridCol w:w="803"/>
        <w:gridCol w:w="805"/>
        <w:gridCol w:w="788"/>
      </w:tblGrid>
      <w:tr w:rsidR="00BE5664" w:rsidTr="00BE5664">
        <w:trPr>
          <w:trHeight w:val="454"/>
          <w:jc w:val="center"/>
        </w:trPr>
        <w:tc>
          <w:tcPr>
            <w:tcW w:w="1624" w:type="pct"/>
            <w:vMerge w:val="restart"/>
            <w:vAlign w:val="center"/>
          </w:tcPr>
          <w:p w:rsidR="00BE5664" w:rsidRPr="00C77066" w:rsidRDefault="00BE5664" w:rsidP="00C77066">
            <w:pPr>
              <w:spacing w:line="360" w:lineRule="auto"/>
              <w:ind w:firstLine="331"/>
              <w:rPr>
                <w:rFonts w:ascii="仿宋_GB2312" w:hAnsi="仿宋_GB2312" w:cs="仿宋_GB2312"/>
                <w:b/>
                <w:bCs/>
                <w:sz w:val="24"/>
                <w:szCs w:val="24"/>
              </w:rPr>
            </w:pPr>
            <w:r w:rsidRPr="00C77066">
              <w:rPr>
                <w:rFonts w:ascii="仿宋_GB2312" w:hAnsi="仿宋_GB2312" w:cs="仿宋_GB2312"/>
                <w:b/>
                <w:bCs/>
                <w:sz w:val="24"/>
                <w:szCs w:val="24"/>
              </w:rPr>
              <w:t>章  节</w:t>
            </w:r>
          </w:p>
        </w:tc>
        <w:tc>
          <w:tcPr>
            <w:tcW w:w="2937" w:type="pct"/>
            <w:gridSpan w:val="6"/>
            <w:vAlign w:val="center"/>
          </w:tcPr>
          <w:p w:rsidR="00BE5664" w:rsidRPr="00C77066" w:rsidRDefault="00BE5664" w:rsidP="00C77066">
            <w:pPr>
              <w:spacing w:line="360" w:lineRule="auto"/>
              <w:ind w:firstLine="331"/>
              <w:rPr>
                <w:rFonts w:ascii="仿宋_GB2312" w:hAnsi="仿宋_GB2312" w:cs="仿宋_GB2312"/>
                <w:b/>
                <w:bCs/>
                <w:sz w:val="24"/>
                <w:szCs w:val="24"/>
              </w:rPr>
            </w:pPr>
            <w:r w:rsidRPr="00C77066">
              <w:rPr>
                <w:rFonts w:ascii="仿宋_GB2312" w:hAnsi="仿宋_GB2312" w:cs="仿宋_GB2312"/>
                <w:b/>
                <w:bCs/>
                <w:sz w:val="24"/>
                <w:szCs w:val="24"/>
              </w:rPr>
              <w:t>学 时 分 配</w:t>
            </w:r>
          </w:p>
        </w:tc>
        <w:tc>
          <w:tcPr>
            <w:tcW w:w="439" w:type="pct"/>
            <w:vMerge w:val="restart"/>
            <w:vAlign w:val="center"/>
          </w:tcPr>
          <w:p w:rsidR="00BE5664" w:rsidRPr="00C77066" w:rsidRDefault="00BE5664" w:rsidP="00C77066">
            <w:pPr>
              <w:spacing w:line="360" w:lineRule="auto"/>
              <w:rPr>
                <w:rFonts w:ascii="仿宋_GB2312" w:hAnsi="仿宋_GB2312" w:cs="仿宋_GB2312"/>
                <w:b/>
                <w:bCs/>
                <w:sz w:val="24"/>
                <w:szCs w:val="24"/>
              </w:rPr>
            </w:pPr>
            <w:r w:rsidRPr="00C77066">
              <w:rPr>
                <w:rFonts w:ascii="仿宋_GB2312" w:hAnsi="仿宋_GB2312" w:cs="仿宋_GB2312"/>
                <w:b/>
                <w:bCs/>
                <w:sz w:val="24"/>
                <w:szCs w:val="24"/>
              </w:rPr>
              <w:t>合  计</w:t>
            </w:r>
          </w:p>
        </w:tc>
      </w:tr>
      <w:tr w:rsidR="00BE5664" w:rsidTr="00BE5664">
        <w:trPr>
          <w:trHeight w:val="454"/>
          <w:jc w:val="center"/>
        </w:trPr>
        <w:tc>
          <w:tcPr>
            <w:tcW w:w="1624" w:type="pct"/>
            <w:vMerge/>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rPr>
                <w:rFonts w:ascii="仿宋_GB2312" w:hAnsi="仿宋_GB2312" w:cs="仿宋_GB2312"/>
                <w:b/>
                <w:bCs/>
                <w:sz w:val="24"/>
                <w:szCs w:val="24"/>
              </w:rPr>
            </w:pPr>
            <w:r w:rsidRPr="00C77066">
              <w:rPr>
                <w:rFonts w:ascii="仿宋_GB2312" w:hAnsi="仿宋_GB2312" w:cs="仿宋_GB2312"/>
                <w:b/>
                <w:bCs/>
                <w:sz w:val="24"/>
                <w:szCs w:val="24"/>
              </w:rPr>
              <w:t>讲  课</w:t>
            </w:r>
          </w:p>
        </w:tc>
        <w:tc>
          <w:tcPr>
            <w:tcW w:w="490" w:type="pct"/>
            <w:vAlign w:val="center"/>
          </w:tcPr>
          <w:p w:rsidR="00BE5664" w:rsidRPr="00C77066" w:rsidRDefault="00BE5664" w:rsidP="00C77066">
            <w:pPr>
              <w:spacing w:line="360" w:lineRule="auto"/>
              <w:rPr>
                <w:rFonts w:ascii="仿宋_GB2312" w:hAnsi="仿宋_GB2312" w:cs="仿宋_GB2312"/>
                <w:b/>
                <w:bCs/>
                <w:sz w:val="24"/>
                <w:szCs w:val="24"/>
              </w:rPr>
            </w:pPr>
            <w:r w:rsidRPr="00C77066">
              <w:rPr>
                <w:rFonts w:ascii="仿宋_GB2312" w:hAnsi="仿宋_GB2312" w:cs="仿宋_GB2312"/>
                <w:b/>
                <w:bCs/>
                <w:sz w:val="24"/>
                <w:szCs w:val="24"/>
              </w:rPr>
              <w:t>实验课</w:t>
            </w:r>
          </w:p>
        </w:tc>
        <w:tc>
          <w:tcPr>
            <w:tcW w:w="489" w:type="pct"/>
            <w:vAlign w:val="center"/>
          </w:tcPr>
          <w:p w:rsidR="00BE5664" w:rsidRPr="00C77066" w:rsidRDefault="00BE5664" w:rsidP="00C77066">
            <w:pPr>
              <w:spacing w:line="360" w:lineRule="auto"/>
              <w:rPr>
                <w:rFonts w:ascii="仿宋_GB2312" w:hAnsi="仿宋_GB2312" w:cs="仿宋_GB2312"/>
                <w:b/>
                <w:bCs/>
                <w:sz w:val="24"/>
                <w:szCs w:val="24"/>
              </w:rPr>
            </w:pPr>
            <w:r w:rsidRPr="00C77066">
              <w:rPr>
                <w:rFonts w:ascii="仿宋_GB2312" w:hAnsi="仿宋_GB2312" w:cs="仿宋_GB2312"/>
                <w:b/>
                <w:bCs/>
                <w:sz w:val="24"/>
                <w:szCs w:val="24"/>
              </w:rPr>
              <w:t>上机课</w:t>
            </w:r>
          </w:p>
        </w:tc>
        <w:tc>
          <w:tcPr>
            <w:tcW w:w="490" w:type="pct"/>
            <w:vAlign w:val="center"/>
          </w:tcPr>
          <w:p w:rsidR="00BE5664" w:rsidRPr="00C77066" w:rsidRDefault="00BE5664" w:rsidP="00C77066">
            <w:pPr>
              <w:spacing w:line="360" w:lineRule="auto"/>
              <w:rPr>
                <w:rFonts w:ascii="仿宋_GB2312" w:hAnsi="仿宋_GB2312" w:cs="仿宋_GB2312"/>
                <w:b/>
                <w:bCs/>
                <w:sz w:val="24"/>
                <w:szCs w:val="24"/>
              </w:rPr>
            </w:pPr>
            <w:r w:rsidRPr="00C77066">
              <w:rPr>
                <w:rFonts w:ascii="仿宋_GB2312" w:hAnsi="仿宋_GB2312" w:cs="仿宋_GB2312"/>
                <w:b/>
                <w:bCs/>
                <w:sz w:val="24"/>
                <w:szCs w:val="24"/>
              </w:rPr>
              <w:t>讨论课</w:t>
            </w:r>
          </w:p>
        </w:tc>
        <w:tc>
          <w:tcPr>
            <w:tcW w:w="489" w:type="pct"/>
            <w:vAlign w:val="center"/>
          </w:tcPr>
          <w:p w:rsidR="00BE5664" w:rsidRPr="00C77066" w:rsidRDefault="00BE5664" w:rsidP="00C77066">
            <w:pPr>
              <w:spacing w:line="360" w:lineRule="auto"/>
              <w:rPr>
                <w:rFonts w:ascii="仿宋_GB2312" w:hAnsi="仿宋_GB2312" w:cs="仿宋_GB2312"/>
                <w:b/>
                <w:bCs/>
                <w:sz w:val="24"/>
                <w:szCs w:val="24"/>
              </w:rPr>
            </w:pPr>
            <w:r w:rsidRPr="00C77066">
              <w:rPr>
                <w:rFonts w:ascii="仿宋_GB2312" w:hAnsi="仿宋_GB2312" w:cs="仿宋_GB2312"/>
                <w:b/>
                <w:bCs/>
                <w:sz w:val="24"/>
                <w:szCs w:val="24"/>
              </w:rPr>
              <w:t>习题课</w:t>
            </w:r>
          </w:p>
        </w:tc>
        <w:tc>
          <w:tcPr>
            <w:tcW w:w="490" w:type="pct"/>
            <w:vAlign w:val="center"/>
          </w:tcPr>
          <w:p w:rsidR="00BE5664" w:rsidRPr="00C77066" w:rsidRDefault="00BE5664" w:rsidP="00C77066">
            <w:pPr>
              <w:spacing w:line="360" w:lineRule="auto"/>
              <w:rPr>
                <w:rFonts w:ascii="仿宋_GB2312" w:hAnsi="仿宋_GB2312" w:cs="仿宋_GB2312"/>
                <w:b/>
                <w:bCs/>
                <w:sz w:val="24"/>
                <w:szCs w:val="24"/>
              </w:rPr>
            </w:pPr>
            <w:r w:rsidRPr="00C77066">
              <w:rPr>
                <w:rFonts w:ascii="仿宋_GB2312" w:hAnsi="仿宋_GB2312" w:cs="仿宋_GB2312"/>
                <w:b/>
                <w:bCs/>
                <w:sz w:val="24"/>
                <w:szCs w:val="24"/>
              </w:rPr>
              <w:t>其  它</w:t>
            </w:r>
          </w:p>
        </w:tc>
        <w:tc>
          <w:tcPr>
            <w:tcW w:w="439" w:type="pct"/>
            <w:vMerge/>
            <w:vAlign w:val="center"/>
          </w:tcPr>
          <w:p w:rsidR="00BE5664" w:rsidRPr="00C77066" w:rsidRDefault="00BE5664" w:rsidP="00C77066">
            <w:pPr>
              <w:spacing w:line="360" w:lineRule="auto"/>
              <w:ind w:firstLine="331"/>
              <w:rPr>
                <w:rFonts w:ascii="仿宋_GB2312" w:hAnsi="仿宋_GB2312" w:cs="仿宋_GB2312"/>
                <w:bCs/>
                <w:sz w:val="24"/>
                <w:szCs w:val="24"/>
              </w:rPr>
            </w:pPr>
          </w:p>
        </w:tc>
      </w:tr>
      <w:tr w:rsidR="00BE5664" w:rsidTr="00BE5664">
        <w:trPr>
          <w:trHeight w:val="454"/>
          <w:jc w:val="center"/>
        </w:trPr>
        <w:tc>
          <w:tcPr>
            <w:tcW w:w="1624"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第一章</w:t>
            </w: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4</w:t>
            </w: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3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4</w:t>
            </w:r>
          </w:p>
        </w:tc>
      </w:tr>
      <w:tr w:rsidR="00BE5664" w:rsidTr="00BE5664">
        <w:trPr>
          <w:trHeight w:val="454"/>
          <w:jc w:val="center"/>
        </w:trPr>
        <w:tc>
          <w:tcPr>
            <w:tcW w:w="1624"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第二章</w:t>
            </w: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4</w:t>
            </w: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3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4</w:t>
            </w:r>
          </w:p>
        </w:tc>
      </w:tr>
      <w:tr w:rsidR="00BE5664" w:rsidTr="00BE5664">
        <w:trPr>
          <w:trHeight w:val="454"/>
          <w:jc w:val="center"/>
        </w:trPr>
        <w:tc>
          <w:tcPr>
            <w:tcW w:w="1624"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第三章</w:t>
            </w: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3</w:t>
            </w: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3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3</w:t>
            </w:r>
          </w:p>
        </w:tc>
      </w:tr>
      <w:tr w:rsidR="00BE5664" w:rsidTr="00BE5664">
        <w:trPr>
          <w:trHeight w:val="454"/>
          <w:jc w:val="center"/>
        </w:trPr>
        <w:tc>
          <w:tcPr>
            <w:tcW w:w="1624"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第四章</w:t>
            </w: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2</w:t>
            </w: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3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2</w:t>
            </w:r>
          </w:p>
        </w:tc>
      </w:tr>
      <w:tr w:rsidR="00BE5664" w:rsidTr="00BE5664">
        <w:trPr>
          <w:trHeight w:val="454"/>
          <w:jc w:val="center"/>
        </w:trPr>
        <w:tc>
          <w:tcPr>
            <w:tcW w:w="1624"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第五章</w:t>
            </w: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3</w:t>
            </w: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3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3</w:t>
            </w:r>
          </w:p>
        </w:tc>
      </w:tr>
      <w:tr w:rsidR="00BE5664" w:rsidTr="00BE5664">
        <w:trPr>
          <w:trHeight w:val="454"/>
          <w:jc w:val="center"/>
        </w:trPr>
        <w:tc>
          <w:tcPr>
            <w:tcW w:w="1624"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第六章</w:t>
            </w: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3</w:t>
            </w: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3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3</w:t>
            </w:r>
          </w:p>
        </w:tc>
      </w:tr>
      <w:tr w:rsidR="00BE5664" w:rsidTr="00BE5664">
        <w:trPr>
          <w:trHeight w:val="454"/>
          <w:jc w:val="center"/>
        </w:trPr>
        <w:tc>
          <w:tcPr>
            <w:tcW w:w="1624"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第七章</w:t>
            </w: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2</w:t>
            </w: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3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2</w:t>
            </w:r>
          </w:p>
        </w:tc>
      </w:tr>
      <w:tr w:rsidR="00BE5664" w:rsidTr="00BE5664">
        <w:trPr>
          <w:trHeight w:val="454"/>
          <w:jc w:val="center"/>
        </w:trPr>
        <w:tc>
          <w:tcPr>
            <w:tcW w:w="1624"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第八章</w:t>
            </w: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2</w:t>
            </w: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3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2</w:t>
            </w:r>
          </w:p>
        </w:tc>
      </w:tr>
      <w:tr w:rsidR="00BE5664" w:rsidTr="00BE5664">
        <w:trPr>
          <w:trHeight w:val="454"/>
          <w:jc w:val="center"/>
        </w:trPr>
        <w:tc>
          <w:tcPr>
            <w:tcW w:w="1624"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第九章</w:t>
            </w: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1</w:t>
            </w: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3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1</w:t>
            </w:r>
          </w:p>
        </w:tc>
      </w:tr>
      <w:tr w:rsidR="00BE5664" w:rsidTr="00BE5664">
        <w:trPr>
          <w:trHeight w:val="454"/>
          <w:jc w:val="center"/>
        </w:trPr>
        <w:tc>
          <w:tcPr>
            <w:tcW w:w="1624"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共  计</w:t>
            </w: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23</w:t>
            </w: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1</w:t>
            </w:r>
          </w:p>
        </w:tc>
        <w:tc>
          <w:tcPr>
            <w:tcW w:w="489"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90" w:type="pct"/>
            <w:vAlign w:val="center"/>
          </w:tcPr>
          <w:p w:rsidR="00BE5664" w:rsidRPr="00C77066" w:rsidRDefault="00BE5664" w:rsidP="00C77066">
            <w:pPr>
              <w:spacing w:line="360" w:lineRule="auto"/>
              <w:ind w:firstLine="331"/>
              <w:rPr>
                <w:rFonts w:ascii="仿宋_GB2312" w:hAnsi="仿宋_GB2312" w:cs="仿宋_GB2312"/>
                <w:bCs/>
                <w:sz w:val="24"/>
                <w:szCs w:val="24"/>
              </w:rPr>
            </w:pPr>
          </w:p>
        </w:tc>
        <w:tc>
          <w:tcPr>
            <w:tcW w:w="43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24</w:t>
            </w:r>
          </w:p>
        </w:tc>
      </w:tr>
    </w:tbl>
    <w:p w:rsidR="00BE5664" w:rsidRDefault="00BE5664" w:rsidP="00BE5664">
      <w:pPr>
        <w:keepNext/>
        <w:spacing w:beforeLines="100" w:before="312" w:afterLines="50" w:after="156" w:line="360" w:lineRule="exact"/>
        <w:outlineLvl w:val="0"/>
        <w:rPr>
          <w:rFonts w:ascii="Times New Roman" w:eastAsia="黑体" w:hAnsi="Times New Roman"/>
          <w:sz w:val="28"/>
          <w:szCs w:val="28"/>
        </w:rPr>
      </w:pPr>
      <w:r>
        <w:rPr>
          <w:rFonts w:ascii="Times New Roman" w:eastAsia="黑体" w:hAnsi="Times New Roman"/>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547"/>
        <w:gridCol w:w="1896"/>
        <w:gridCol w:w="3184"/>
      </w:tblGrid>
      <w:tr w:rsidR="00BE5664" w:rsidRPr="00C77066" w:rsidTr="00C77066">
        <w:trPr>
          <w:trHeight w:val="454"/>
          <w:jc w:val="center"/>
        </w:trPr>
        <w:tc>
          <w:tcPr>
            <w:tcW w:w="403" w:type="pct"/>
            <w:vAlign w:val="center"/>
          </w:tcPr>
          <w:p w:rsidR="00BE5664" w:rsidRPr="00C77066" w:rsidRDefault="00BE5664" w:rsidP="00C77066">
            <w:pPr>
              <w:spacing w:line="360" w:lineRule="auto"/>
              <w:rPr>
                <w:rFonts w:ascii="仿宋_GB2312" w:hAnsi="仿宋_GB2312" w:cs="仿宋_GB2312"/>
                <w:b/>
                <w:bCs/>
                <w:sz w:val="24"/>
                <w:szCs w:val="24"/>
              </w:rPr>
            </w:pPr>
            <w:r w:rsidRPr="00C77066">
              <w:rPr>
                <w:rFonts w:ascii="仿宋_GB2312" w:hAnsi="仿宋_GB2312" w:cs="仿宋_GB2312"/>
                <w:b/>
                <w:bCs/>
                <w:sz w:val="24"/>
                <w:szCs w:val="24"/>
              </w:rPr>
              <w:t>序号</w:t>
            </w:r>
          </w:p>
        </w:tc>
        <w:tc>
          <w:tcPr>
            <w:tcW w:w="1535" w:type="pct"/>
            <w:vAlign w:val="center"/>
          </w:tcPr>
          <w:p w:rsidR="00BE5664" w:rsidRPr="00C77066" w:rsidRDefault="00BE5664" w:rsidP="00C77066">
            <w:pPr>
              <w:spacing w:line="360" w:lineRule="auto"/>
              <w:ind w:firstLine="331"/>
              <w:rPr>
                <w:rFonts w:ascii="仿宋_GB2312" w:hAnsi="仿宋_GB2312" w:cs="仿宋_GB2312"/>
                <w:b/>
                <w:bCs/>
                <w:sz w:val="24"/>
                <w:szCs w:val="24"/>
              </w:rPr>
            </w:pPr>
            <w:r w:rsidRPr="00C77066">
              <w:rPr>
                <w:rFonts w:ascii="仿宋_GB2312" w:hAnsi="仿宋_GB2312" w:cs="仿宋_GB2312"/>
                <w:b/>
                <w:bCs/>
                <w:sz w:val="24"/>
                <w:szCs w:val="24"/>
              </w:rPr>
              <w:t>课程思政教学目标</w:t>
            </w:r>
          </w:p>
        </w:tc>
        <w:tc>
          <w:tcPr>
            <w:tcW w:w="1143" w:type="pct"/>
            <w:vAlign w:val="center"/>
          </w:tcPr>
          <w:p w:rsidR="00BE5664" w:rsidRPr="00C77066" w:rsidRDefault="00BE5664" w:rsidP="00C77066">
            <w:pPr>
              <w:spacing w:line="360" w:lineRule="auto"/>
              <w:ind w:firstLine="331"/>
              <w:rPr>
                <w:rFonts w:ascii="仿宋_GB2312" w:hAnsi="仿宋_GB2312" w:cs="仿宋_GB2312"/>
                <w:b/>
                <w:bCs/>
                <w:sz w:val="24"/>
                <w:szCs w:val="24"/>
              </w:rPr>
            </w:pPr>
            <w:r w:rsidRPr="00C77066">
              <w:rPr>
                <w:rFonts w:ascii="仿宋_GB2312" w:hAnsi="仿宋_GB2312" w:cs="仿宋_GB2312"/>
                <w:b/>
                <w:bCs/>
                <w:sz w:val="24"/>
                <w:szCs w:val="24"/>
              </w:rPr>
              <w:t>授课章节</w:t>
            </w:r>
          </w:p>
        </w:tc>
        <w:tc>
          <w:tcPr>
            <w:tcW w:w="1919" w:type="pct"/>
            <w:vAlign w:val="center"/>
          </w:tcPr>
          <w:p w:rsidR="00BE5664" w:rsidRPr="00C77066" w:rsidRDefault="00BE5664" w:rsidP="00C77066">
            <w:pPr>
              <w:spacing w:line="360" w:lineRule="auto"/>
              <w:ind w:firstLine="331"/>
              <w:rPr>
                <w:rFonts w:ascii="仿宋_GB2312" w:hAnsi="仿宋_GB2312" w:cs="仿宋_GB2312"/>
                <w:b/>
                <w:bCs/>
                <w:sz w:val="24"/>
                <w:szCs w:val="24"/>
              </w:rPr>
            </w:pPr>
            <w:r w:rsidRPr="00C77066">
              <w:rPr>
                <w:rFonts w:ascii="仿宋_GB2312" w:hAnsi="仿宋_GB2312" w:cs="仿宋_GB2312"/>
                <w:b/>
                <w:bCs/>
                <w:sz w:val="24"/>
                <w:szCs w:val="24"/>
              </w:rPr>
              <w:t>课程思政融入点（至少5处）</w:t>
            </w:r>
          </w:p>
        </w:tc>
      </w:tr>
      <w:tr w:rsidR="00BE5664" w:rsidRPr="00C77066" w:rsidTr="00C77066">
        <w:trPr>
          <w:trHeight w:val="454"/>
          <w:jc w:val="center"/>
        </w:trPr>
        <w:tc>
          <w:tcPr>
            <w:tcW w:w="403"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lastRenderedPageBreak/>
              <w:t>1</w:t>
            </w:r>
          </w:p>
        </w:tc>
        <w:tc>
          <w:tcPr>
            <w:tcW w:w="1535"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正确政治导向</w:t>
            </w:r>
          </w:p>
        </w:tc>
        <w:tc>
          <w:tcPr>
            <w:tcW w:w="1143"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第一~二章</w:t>
            </w:r>
          </w:p>
        </w:tc>
        <w:tc>
          <w:tcPr>
            <w:tcW w:w="191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依法治国的是时代要求</w:t>
            </w:r>
          </w:p>
        </w:tc>
      </w:tr>
      <w:tr w:rsidR="00BE5664" w:rsidRPr="00C77066" w:rsidTr="00C77066">
        <w:trPr>
          <w:trHeight w:val="454"/>
          <w:jc w:val="center"/>
        </w:trPr>
        <w:tc>
          <w:tcPr>
            <w:tcW w:w="403"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3</w:t>
            </w:r>
          </w:p>
        </w:tc>
        <w:tc>
          <w:tcPr>
            <w:tcW w:w="1535"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远大理想塑造</w:t>
            </w:r>
          </w:p>
        </w:tc>
        <w:tc>
          <w:tcPr>
            <w:tcW w:w="1143"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第一~八章</w:t>
            </w:r>
          </w:p>
        </w:tc>
        <w:tc>
          <w:tcPr>
            <w:tcW w:w="191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工程项目审计具有广阔的发展空间</w:t>
            </w:r>
          </w:p>
        </w:tc>
      </w:tr>
      <w:tr w:rsidR="00BE5664" w:rsidRPr="00C77066" w:rsidTr="00C77066">
        <w:trPr>
          <w:trHeight w:val="454"/>
          <w:jc w:val="center"/>
        </w:trPr>
        <w:tc>
          <w:tcPr>
            <w:tcW w:w="403"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4</w:t>
            </w:r>
          </w:p>
        </w:tc>
        <w:tc>
          <w:tcPr>
            <w:tcW w:w="1535"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健康心态培育</w:t>
            </w:r>
          </w:p>
        </w:tc>
        <w:tc>
          <w:tcPr>
            <w:tcW w:w="1143"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第一~八章</w:t>
            </w:r>
          </w:p>
        </w:tc>
        <w:tc>
          <w:tcPr>
            <w:tcW w:w="191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各种新技术需要不断创新、不断学习，应勇于面对新问题并着力寻求解决</w:t>
            </w:r>
          </w:p>
        </w:tc>
      </w:tr>
      <w:tr w:rsidR="00BE5664" w:rsidRPr="00C77066" w:rsidTr="00C77066">
        <w:trPr>
          <w:trHeight w:val="454"/>
          <w:jc w:val="center"/>
        </w:trPr>
        <w:tc>
          <w:tcPr>
            <w:tcW w:w="403"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5</w:t>
            </w:r>
          </w:p>
        </w:tc>
        <w:tc>
          <w:tcPr>
            <w:tcW w:w="1535"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bCs/>
                <w:sz w:val="24"/>
                <w:szCs w:val="24"/>
              </w:rPr>
              <w:t>道德品质培养</w:t>
            </w:r>
          </w:p>
        </w:tc>
        <w:tc>
          <w:tcPr>
            <w:tcW w:w="1143"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第一~八章</w:t>
            </w:r>
          </w:p>
        </w:tc>
        <w:tc>
          <w:tcPr>
            <w:tcW w:w="1919" w:type="pct"/>
            <w:vAlign w:val="center"/>
          </w:tcPr>
          <w:p w:rsidR="00BE5664" w:rsidRPr="00C77066" w:rsidRDefault="00BE5664" w:rsidP="00C77066">
            <w:pPr>
              <w:spacing w:line="360" w:lineRule="auto"/>
              <w:ind w:firstLine="331"/>
              <w:rPr>
                <w:rFonts w:ascii="仿宋_GB2312" w:hAnsi="仿宋_GB2312" w:cs="仿宋_GB2312"/>
                <w:bCs/>
                <w:sz w:val="24"/>
                <w:szCs w:val="24"/>
              </w:rPr>
            </w:pPr>
            <w:r w:rsidRPr="00C77066">
              <w:rPr>
                <w:rFonts w:ascii="仿宋_GB2312" w:hAnsi="仿宋_GB2312" w:cs="仿宋_GB2312" w:hint="eastAsia"/>
                <w:bCs/>
                <w:sz w:val="24"/>
                <w:szCs w:val="24"/>
              </w:rPr>
              <w:t>遵纪守法要应用于解决市场的合理需求，切实服务于社会</w:t>
            </w:r>
          </w:p>
        </w:tc>
      </w:tr>
    </w:tbl>
    <w:p w:rsidR="00C77066" w:rsidRDefault="00C77066" w:rsidP="00C7706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BE5664" w:rsidRPr="00C77066" w:rsidRDefault="00BE5664" w:rsidP="00C77066">
      <w:pPr>
        <w:spacing w:line="360" w:lineRule="auto"/>
        <w:ind w:firstLineChars="196" w:firstLine="549"/>
        <w:rPr>
          <w:rFonts w:ascii="仿宋_GB2312" w:hAnsi="仿宋_GB2312" w:cs="仿宋_GB2312"/>
          <w:bCs/>
          <w:sz w:val="28"/>
          <w:szCs w:val="28"/>
        </w:rPr>
      </w:pPr>
      <w:r w:rsidRPr="00C77066">
        <w:rPr>
          <w:rFonts w:ascii="仿宋_GB2312" w:hAnsi="仿宋_GB2312" w:cs="仿宋_GB2312"/>
          <w:bCs/>
          <w:sz w:val="28"/>
          <w:szCs w:val="28"/>
        </w:rPr>
        <w:t>（1）考核方式</w:t>
      </w:r>
    </w:p>
    <w:p w:rsidR="00BE5664" w:rsidRPr="00C77066" w:rsidRDefault="00BE5664" w:rsidP="00C77066">
      <w:pPr>
        <w:spacing w:line="360" w:lineRule="auto"/>
        <w:ind w:firstLineChars="196" w:firstLine="549"/>
        <w:rPr>
          <w:rFonts w:ascii="仿宋_GB2312" w:hAnsi="仿宋_GB2312" w:cs="仿宋_GB2312"/>
          <w:bCs/>
          <w:sz w:val="28"/>
          <w:szCs w:val="28"/>
        </w:rPr>
      </w:pPr>
      <w:r w:rsidRPr="00C77066">
        <w:rPr>
          <w:rFonts w:ascii="仿宋_GB2312" w:hAnsi="仿宋_GB2312" w:cs="仿宋_GB2312"/>
          <w:bCs/>
          <w:sz w:val="28"/>
          <w:szCs w:val="28"/>
        </w:rPr>
        <w:t>本课程考核方式为考试，其中期末考核方式为考试，</w:t>
      </w:r>
      <w:r w:rsidRPr="00C77066">
        <w:rPr>
          <w:rFonts w:ascii="仿宋_GB2312" w:hAnsi="仿宋_GB2312" w:cs="仿宋_GB2312" w:hint="eastAsia"/>
          <w:bCs/>
          <w:sz w:val="28"/>
          <w:szCs w:val="28"/>
        </w:rPr>
        <w:t>平时</w:t>
      </w:r>
      <w:r w:rsidRPr="00C77066">
        <w:rPr>
          <w:rFonts w:ascii="仿宋_GB2312" w:hAnsi="仿宋_GB2312" w:cs="仿宋_GB2312"/>
          <w:bCs/>
          <w:sz w:val="28"/>
          <w:szCs w:val="28"/>
        </w:rPr>
        <w:t>考核方式为课堂出勤、课堂讨论、作业完成情况及平时随堂测验等。</w:t>
      </w:r>
      <w:r w:rsidRPr="00C77066">
        <w:rPr>
          <w:rFonts w:ascii="仿宋_GB2312" w:hAnsi="仿宋_GB2312" w:cs="仿宋_GB2312" w:hint="eastAsia"/>
          <w:bCs/>
          <w:sz w:val="28"/>
          <w:szCs w:val="28"/>
        </w:rPr>
        <w:t>成绩按百分制计，考试成绩占</w:t>
      </w:r>
      <w:r w:rsidRPr="00C77066">
        <w:rPr>
          <w:rFonts w:ascii="仿宋_GB2312" w:hAnsi="仿宋_GB2312" w:cs="仿宋_GB2312"/>
          <w:bCs/>
          <w:sz w:val="28"/>
          <w:szCs w:val="28"/>
        </w:rPr>
        <w:t>80%</w:t>
      </w:r>
      <w:r w:rsidRPr="00C77066">
        <w:rPr>
          <w:rFonts w:ascii="仿宋_GB2312" w:hAnsi="仿宋_GB2312" w:cs="仿宋_GB2312" w:hint="eastAsia"/>
          <w:bCs/>
          <w:sz w:val="28"/>
          <w:szCs w:val="28"/>
        </w:rPr>
        <w:t>，平时成绩占</w:t>
      </w:r>
      <w:r w:rsidRPr="00C77066">
        <w:rPr>
          <w:rFonts w:ascii="仿宋_GB2312" w:hAnsi="仿宋_GB2312" w:cs="仿宋_GB2312"/>
          <w:bCs/>
          <w:sz w:val="28"/>
          <w:szCs w:val="28"/>
        </w:rPr>
        <w:t>20%</w:t>
      </w:r>
      <w:r w:rsidRPr="00C77066">
        <w:rPr>
          <w:rFonts w:ascii="仿宋_GB2312" w:hAnsi="仿宋_GB2312" w:cs="仿宋_GB2312" w:hint="eastAsia"/>
          <w:bCs/>
          <w:sz w:val="28"/>
          <w:szCs w:val="28"/>
        </w:rPr>
        <w:t>。</w:t>
      </w:r>
    </w:p>
    <w:p w:rsidR="00BE5664" w:rsidRPr="00C77066" w:rsidRDefault="00BE5664" w:rsidP="00C77066">
      <w:pPr>
        <w:spacing w:line="360" w:lineRule="auto"/>
        <w:ind w:firstLineChars="196" w:firstLine="549"/>
        <w:rPr>
          <w:rFonts w:ascii="仿宋_GB2312" w:hAnsi="仿宋_GB2312" w:cs="仿宋_GB2312"/>
          <w:bCs/>
          <w:sz w:val="28"/>
          <w:szCs w:val="28"/>
        </w:rPr>
      </w:pPr>
      <w:r w:rsidRPr="00C77066">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881"/>
        <w:gridCol w:w="672"/>
        <w:gridCol w:w="672"/>
        <w:gridCol w:w="672"/>
        <w:gridCol w:w="672"/>
        <w:gridCol w:w="672"/>
        <w:gridCol w:w="677"/>
        <w:gridCol w:w="656"/>
        <w:gridCol w:w="667"/>
      </w:tblGrid>
      <w:tr w:rsidR="00BE5664" w:rsidRPr="00C77066" w:rsidTr="00BE5664">
        <w:trPr>
          <w:trHeight w:val="454"/>
          <w:jc w:val="center"/>
        </w:trPr>
        <w:tc>
          <w:tcPr>
            <w:tcW w:w="396" w:type="pct"/>
            <w:vMerge w:val="restart"/>
            <w:tcBorders>
              <w:top w:val="single" w:sz="4" w:space="0" w:color="000000"/>
              <w:left w:val="single" w:sz="4" w:space="0" w:color="000000"/>
              <w:right w:val="single" w:sz="4" w:space="0" w:color="000000"/>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课程</w:t>
            </w:r>
          </w:p>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目标</w:t>
            </w:r>
          </w:p>
        </w:tc>
        <w:tc>
          <w:tcPr>
            <w:tcW w:w="3956" w:type="pct"/>
            <w:gridSpan w:val="8"/>
            <w:tcBorders>
              <w:top w:val="single" w:sz="4" w:space="0" w:color="000000"/>
              <w:left w:val="single" w:sz="4" w:space="0" w:color="auto"/>
              <w:bottom w:val="single" w:sz="4" w:space="0" w:color="auto"/>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考核方式及成绩比例（%）</w:t>
            </w:r>
          </w:p>
        </w:tc>
      </w:tr>
      <w:tr w:rsidR="00BE5664" w:rsidRPr="00C77066" w:rsidTr="00BE5664">
        <w:trPr>
          <w:trHeight w:val="454"/>
          <w:jc w:val="center"/>
        </w:trPr>
        <w:tc>
          <w:tcPr>
            <w:tcW w:w="396" w:type="pct"/>
            <w:vMerge/>
            <w:tcBorders>
              <w:left w:val="single" w:sz="4" w:space="0" w:color="000000"/>
              <w:bottom w:val="single" w:sz="4" w:space="0" w:color="000000"/>
              <w:right w:val="single" w:sz="4" w:space="0" w:color="000000"/>
            </w:tcBorders>
            <w:vAlign w:val="center"/>
          </w:tcPr>
          <w:p w:rsidR="00BE5664" w:rsidRPr="00C77066" w:rsidRDefault="00BE5664" w:rsidP="00BE5664">
            <w:pPr>
              <w:spacing w:line="360" w:lineRule="exact"/>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p>
        </w:tc>
        <w:tc>
          <w:tcPr>
            <w:tcW w:w="496" w:type="pct"/>
            <w:tcBorders>
              <w:top w:val="single" w:sz="4" w:space="0" w:color="auto"/>
              <w:left w:val="single" w:sz="4" w:space="0" w:color="auto"/>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考勤</w:t>
            </w:r>
          </w:p>
        </w:tc>
        <w:tc>
          <w:tcPr>
            <w:tcW w:w="496" w:type="pct"/>
            <w:tcBorders>
              <w:top w:val="single" w:sz="4" w:space="0" w:color="auto"/>
              <w:left w:val="single" w:sz="4" w:space="0" w:color="auto"/>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作业</w:t>
            </w:r>
          </w:p>
        </w:tc>
        <w:tc>
          <w:tcPr>
            <w:tcW w:w="496" w:type="pct"/>
            <w:tcBorders>
              <w:top w:val="single" w:sz="4" w:space="0" w:color="auto"/>
              <w:left w:val="single" w:sz="4" w:space="0" w:color="auto"/>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讨论</w:t>
            </w:r>
          </w:p>
        </w:tc>
        <w:tc>
          <w:tcPr>
            <w:tcW w:w="496" w:type="pct"/>
            <w:tcBorders>
              <w:top w:val="single" w:sz="4" w:space="0" w:color="auto"/>
              <w:left w:val="single" w:sz="4" w:space="0" w:color="auto"/>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实验</w:t>
            </w:r>
          </w:p>
        </w:tc>
        <w:tc>
          <w:tcPr>
            <w:tcW w:w="496" w:type="pct"/>
            <w:tcBorders>
              <w:top w:val="single" w:sz="4" w:space="0" w:color="auto"/>
              <w:left w:val="single" w:sz="4" w:space="0" w:color="auto"/>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测验</w:t>
            </w:r>
          </w:p>
        </w:tc>
        <w:tc>
          <w:tcPr>
            <w:tcW w:w="499" w:type="pct"/>
            <w:tcBorders>
              <w:top w:val="single" w:sz="4" w:space="0" w:color="auto"/>
              <w:left w:val="single" w:sz="4" w:space="0" w:color="auto"/>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考试</w:t>
            </w:r>
          </w:p>
        </w:tc>
        <w:tc>
          <w:tcPr>
            <w:tcW w:w="484" w:type="pct"/>
            <w:tcBorders>
              <w:top w:val="single" w:sz="4" w:space="0" w:color="auto"/>
              <w:left w:val="single" w:sz="4" w:space="0" w:color="auto"/>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w:t>
            </w:r>
          </w:p>
        </w:tc>
        <w:tc>
          <w:tcPr>
            <w:tcW w:w="492" w:type="pct"/>
            <w:tcBorders>
              <w:top w:val="single" w:sz="4" w:space="0" w:color="auto"/>
              <w:left w:val="single" w:sz="4" w:space="0" w:color="auto"/>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合计</w:t>
            </w:r>
          </w:p>
        </w:tc>
      </w:tr>
      <w:tr w:rsidR="00BE5664" w:rsidRPr="00C77066" w:rsidTr="00BE5664">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目标1</w:t>
            </w: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4</w:t>
            </w:r>
          </w:p>
        </w:tc>
        <w:tc>
          <w:tcPr>
            <w:tcW w:w="499"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30</w:t>
            </w:r>
          </w:p>
        </w:tc>
        <w:tc>
          <w:tcPr>
            <w:tcW w:w="484"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36</w:t>
            </w:r>
          </w:p>
        </w:tc>
      </w:tr>
      <w:tr w:rsidR="00BE5664" w:rsidRPr="00C77066" w:rsidTr="00BE5664">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目标2</w:t>
            </w: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4</w:t>
            </w: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4</w:t>
            </w:r>
          </w:p>
        </w:tc>
        <w:tc>
          <w:tcPr>
            <w:tcW w:w="499"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40</w:t>
            </w:r>
          </w:p>
        </w:tc>
        <w:tc>
          <w:tcPr>
            <w:tcW w:w="484"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48</w:t>
            </w:r>
          </w:p>
        </w:tc>
      </w:tr>
      <w:tr w:rsidR="00BE5664" w:rsidRPr="00C77066" w:rsidTr="00BE5664">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目标3</w:t>
            </w: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4</w:t>
            </w: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2</w:t>
            </w:r>
          </w:p>
        </w:tc>
        <w:tc>
          <w:tcPr>
            <w:tcW w:w="499"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10</w:t>
            </w:r>
          </w:p>
        </w:tc>
        <w:tc>
          <w:tcPr>
            <w:tcW w:w="484"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16</w:t>
            </w:r>
          </w:p>
        </w:tc>
      </w:tr>
      <w:tr w:rsidR="00BE5664" w:rsidRPr="00C77066" w:rsidTr="00BE5664">
        <w:trPr>
          <w:trHeight w:val="454"/>
          <w:jc w:val="center"/>
        </w:trPr>
        <w:tc>
          <w:tcPr>
            <w:tcW w:w="1044" w:type="pct"/>
            <w:gridSpan w:val="2"/>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共计</w:t>
            </w: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10</w:t>
            </w:r>
          </w:p>
        </w:tc>
        <w:tc>
          <w:tcPr>
            <w:tcW w:w="499"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80</w:t>
            </w:r>
          </w:p>
        </w:tc>
        <w:tc>
          <w:tcPr>
            <w:tcW w:w="484"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100</w:t>
            </w:r>
          </w:p>
        </w:tc>
      </w:tr>
    </w:tbl>
    <w:p w:rsidR="00BE5664" w:rsidRPr="00C77066" w:rsidRDefault="00BE5664" w:rsidP="00BE5664">
      <w:pPr>
        <w:adjustRightInd w:val="0"/>
        <w:snapToGrid w:val="0"/>
        <w:spacing w:line="360" w:lineRule="exact"/>
        <w:ind w:firstLineChars="200" w:firstLine="560"/>
        <w:rPr>
          <w:rFonts w:ascii="仿宋_GB2312" w:hAnsi="仿宋_GB2312" w:cs="仿宋_GB2312"/>
          <w:bCs/>
          <w:sz w:val="28"/>
          <w:szCs w:val="28"/>
        </w:rPr>
      </w:pPr>
      <w:r w:rsidRPr="00C77066">
        <w:rPr>
          <w:rFonts w:ascii="仿宋_GB2312" w:hAnsi="仿宋_GB2312" w:cs="仿宋_GB2312" w:hint="eastAsia"/>
          <w:bCs/>
          <w:sz w:val="28"/>
          <w:szCs w:val="28"/>
        </w:rPr>
        <w:t>（3）考核（评价）要求：</w:t>
      </w:r>
      <w:r w:rsidRPr="00C77066">
        <w:rPr>
          <w:rFonts w:ascii="仿宋_GB2312" w:hAnsi="仿宋_GB2312" w:cs="仿宋_GB2312"/>
          <w:bCs/>
          <w:sz w:val="28"/>
          <w:szCs w:val="28"/>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51"/>
        <w:gridCol w:w="951"/>
        <w:gridCol w:w="4782"/>
        <w:gridCol w:w="1042"/>
      </w:tblGrid>
      <w:tr w:rsidR="00BE5664" w:rsidRPr="00C77066" w:rsidTr="00BE5664">
        <w:trPr>
          <w:trHeight w:val="454"/>
          <w:jc w:val="center"/>
        </w:trPr>
        <w:tc>
          <w:tcPr>
            <w:tcW w:w="344" w:type="pct"/>
            <w:tcBorders>
              <w:top w:val="single" w:sz="4" w:space="0" w:color="000000"/>
              <w:left w:val="single" w:sz="4" w:space="0" w:color="000000"/>
              <w:right w:val="single" w:sz="4" w:space="0" w:color="000000"/>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hint="eastAsia"/>
                <w:b/>
                <w:bCs/>
                <w:sz w:val="24"/>
                <w:szCs w:val="24"/>
              </w:rPr>
              <w:t>目标分值</w:t>
            </w:r>
          </w:p>
        </w:tc>
        <w:tc>
          <w:tcPr>
            <w:tcW w:w="2882" w:type="pct"/>
            <w:tcBorders>
              <w:top w:val="single" w:sz="4" w:space="0" w:color="000000"/>
              <w:left w:val="single" w:sz="4" w:space="0" w:color="auto"/>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BE5664" w:rsidRPr="00C77066" w:rsidRDefault="00BE5664" w:rsidP="00BE5664">
            <w:pPr>
              <w:spacing w:line="360" w:lineRule="exact"/>
              <w:jc w:val="center"/>
              <w:rPr>
                <w:rFonts w:ascii="仿宋_GB2312" w:hAnsi="仿宋_GB2312" w:cs="仿宋_GB2312"/>
                <w:b/>
                <w:bCs/>
                <w:sz w:val="24"/>
                <w:szCs w:val="24"/>
              </w:rPr>
            </w:pPr>
            <w:r w:rsidRPr="00C77066">
              <w:rPr>
                <w:rFonts w:ascii="仿宋_GB2312" w:hAnsi="仿宋_GB2312" w:cs="仿宋_GB2312"/>
                <w:b/>
                <w:bCs/>
                <w:sz w:val="24"/>
                <w:szCs w:val="24"/>
              </w:rPr>
              <w:t>支撑课程教学目标</w:t>
            </w:r>
          </w:p>
        </w:tc>
      </w:tr>
      <w:tr w:rsidR="00BE5664" w:rsidRPr="00C77066" w:rsidTr="00BE5664">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left"/>
              <w:rPr>
                <w:rFonts w:ascii="仿宋_GB2312" w:hAnsi="仿宋_GB2312" w:cs="仿宋_GB2312"/>
                <w:bCs/>
                <w:sz w:val="24"/>
                <w:szCs w:val="24"/>
              </w:rPr>
            </w:pPr>
            <w:r w:rsidRPr="00C77066">
              <w:rPr>
                <w:rFonts w:ascii="仿宋_GB2312" w:hAnsi="仿宋_GB2312" w:cs="仿宋_GB2312" w:hint="eastAsia"/>
                <w:bCs/>
                <w:sz w:val="24"/>
                <w:szCs w:val="24"/>
              </w:rPr>
              <w:t>出勤统计不少于授课次数的2/3；通过出勤统计结果考核学生学习态度和遵守课堂纪律等基本情况。</w:t>
            </w:r>
            <w:r w:rsidRPr="00C77066">
              <w:rPr>
                <w:rFonts w:ascii="仿宋_GB2312" w:hAnsi="仿宋_GB2312" w:cs="仿宋_GB2312"/>
                <w:bCs/>
                <w:sz w:val="24"/>
                <w:szCs w:val="24"/>
              </w:rPr>
              <w:t xml:space="preserve"> </w:t>
            </w:r>
          </w:p>
        </w:tc>
        <w:tc>
          <w:tcPr>
            <w:tcW w:w="628"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目标</w:t>
            </w:r>
            <w:r w:rsidRPr="00C77066">
              <w:rPr>
                <w:rFonts w:ascii="仿宋_GB2312" w:hAnsi="仿宋_GB2312" w:cs="仿宋_GB2312" w:hint="eastAsia"/>
                <w:bCs/>
                <w:sz w:val="24"/>
                <w:szCs w:val="24"/>
              </w:rPr>
              <w:t>1</w:t>
            </w:r>
          </w:p>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目标2</w:t>
            </w:r>
          </w:p>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目标</w:t>
            </w:r>
            <w:r w:rsidRPr="00C77066">
              <w:rPr>
                <w:rFonts w:ascii="仿宋_GB2312" w:hAnsi="仿宋_GB2312" w:cs="仿宋_GB2312" w:hint="eastAsia"/>
                <w:bCs/>
                <w:sz w:val="24"/>
                <w:szCs w:val="24"/>
              </w:rPr>
              <w:t>3</w:t>
            </w:r>
          </w:p>
        </w:tc>
      </w:tr>
      <w:tr w:rsidR="00BE5664" w:rsidRPr="00C77066" w:rsidTr="00BE5664">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lastRenderedPageBreak/>
              <w:t>2</w:t>
            </w:r>
          </w:p>
        </w:tc>
        <w:tc>
          <w:tcPr>
            <w:tcW w:w="573"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left"/>
              <w:rPr>
                <w:rFonts w:ascii="仿宋_GB2312" w:hAnsi="仿宋_GB2312" w:cs="仿宋_GB2312"/>
                <w:bCs/>
                <w:sz w:val="24"/>
                <w:szCs w:val="24"/>
              </w:rPr>
            </w:pPr>
            <w:r w:rsidRPr="00C77066">
              <w:rPr>
                <w:rFonts w:ascii="仿宋_GB2312" w:hAnsi="仿宋_GB2312" w:cs="仿宋_GB2312"/>
                <w:bCs/>
                <w:sz w:val="24"/>
                <w:szCs w:val="24"/>
              </w:rPr>
              <w:t>课后作业</w:t>
            </w:r>
            <w:r w:rsidRPr="00C77066">
              <w:rPr>
                <w:rFonts w:ascii="仿宋_GB2312" w:hAnsi="仿宋_GB2312" w:cs="仿宋_GB2312" w:hint="eastAsia"/>
                <w:bCs/>
                <w:sz w:val="24"/>
                <w:szCs w:val="24"/>
              </w:rPr>
              <w:t>布置5次；通过课后作业考核学生基本概念的掌握情况。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目标1</w:t>
            </w:r>
          </w:p>
        </w:tc>
      </w:tr>
      <w:tr w:rsidR="00BE5664" w:rsidRPr="00C77066" w:rsidTr="00BE5664">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测验</w:t>
            </w:r>
          </w:p>
        </w:tc>
        <w:tc>
          <w:tcPr>
            <w:tcW w:w="573"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left"/>
              <w:rPr>
                <w:rFonts w:ascii="仿宋_GB2312" w:hAnsi="仿宋_GB2312" w:cs="仿宋_GB2312"/>
                <w:bCs/>
                <w:sz w:val="24"/>
                <w:szCs w:val="24"/>
              </w:rPr>
            </w:pPr>
            <w:r w:rsidRPr="00C77066">
              <w:rPr>
                <w:rFonts w:ascii="仿宋_GB2312" w:hAnsi="仿宋_GB2312" w:cs="仿宋_GB2312" w:hint="eastAsia"/>
                <w:bCs/>
                <w:sz w:val="24"/>
                <w:szCs w:val="24"/>
              </w:rPr>
              <w:t>章节测验设置</w:t>
            </w:r>
            <w:r w:rsidRPr="00C77066">
              <w:rPr>
                <w:rFonts w:ascii="仿宋_GB2312" w:hAnsi="仿宋_GB2312" w:cs="仿宋_GB2312"/>
                <w:bCs/>
                <w:sz w:val="24"/>
                <w:szCs w:val="24"/>
              </w:rPr>
              <w:t>6</w:t>
            </w:r>
            <w:r w:rsidRPr="00C77066">
              <w:rPr>
                <w:rFonts w:ascii="仿宋_GB2312" w:hAnsi="仿宋_GB2312" w:cs="仿宋_GB2312" w:hint="eastAsia"/>
                <w:bCs/>
                <w:sz w:val="24"/>
                <w:szCs w:val="24"/>
              </w:rPr>
              <w:t>次；</w:t>
            </w:r>
            <w:r w:rsidRPr="00C77066">
              <w:rPr>
                <w:rFonts w:ascii="仿宋_GB2312" w:hAnsi="仿宋_GB2312" w:cs="仿宋_GB2312"/>
                <w:bCs/>
                <w:sz w:val="24"/>
                <w:szCs w:val="24"/>
              </w:rPr>
              <w:t>通过对部分章节关键知识点设置随堂测验，考核学生对</w:t>
            </w:r>
            <w:r w:rsidRPr="00C77066">
              <w:rPr>
                <w:rFonts w:ascii="仿宋_GB2312" w:hAnsi="仿宋_GB2312" w:cs="仿宋_GB2312" w:hint="eastAsia"/>
                <w:bCs/>
                <w:sz w:val="24"/>
                <w:szCs w:val="24"/>
              </w:rPr>
              <w:t>基本</w:t>
            </w:r>
            <w:r w:rsidRPr="00C77066">
              <w:rPr>
                <w:rFonts w:ascii="仿宋_GB2312" w:hAnsi="仿宋_GB2312" w:cs="仿宋_GB2312"/>
                <w:bCs/>
                <w:sz w:val="24"/>
                <w:szCs w:val="24"/>
              </w:rPr>
              <w:t>概念理解</w:t>
            </w:r>
            <w:r w:rsidRPr="00C77066">
              <w:rPr>
                <w:rFonts w:ascii="仿宋_GB2312" w:hAnsi="仿宋_GB2312" w:cs="仿宋_GB2312" w:hint="eastAsia"/>
                <w:bCs/>
                <w:sz w:val="24"/>
                <w:szCs w:val="24"/>
              </w:rPr>
              <w:t>和掌握的</w:t>
            </w:r>
            <w:r w:rsidRPr="00C77066">
              <w:rPr>
                <w:rFonts w:ascii="仿宋_GB2312" w:hAnsi="仿宋_GB2312" w:cs="仿宋_GB2312"/>
                <w:bCs/>
                <w:sz w:val="24"/>
                <w:szCs w:val="24"/>
              </w:rPr>
              <w:t>情况。</w:t>
            </w:r>
          </w:p>
        </w:tc>
        <w:tc>
          <w:tcPr>
            <w:tcW w:w="628"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目标2</w:t>
            </w:r>
          </w:p>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目标</w:t>
            </w:r>
            <w:r w:rsidRPr="00C77066">
              <w:rPr>
                <w:rFonts w:ascii="仿宋_GB2312" w:hAnsi="仿宋_GB2312" w:cs="仿宋_GB2312" w:hint="eastAsia"/>
                <w:bCs/>
                <w:sz w:val="24"/>
                <w:szCs w:val="24"/>
              </w:rPr>
              <w:t>3</w:t>
            </w:r>
          </w:p>
        </w:tc>
      </w:tr>
      <w:tr w:rsidR="00BE5664" w:rsidRPr="00C77066" w:rsidTr="00BE5664">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4</w:t>
            </w:r>
          </w:p>
        </w:tc>
        <w:tc>
          <w:tcPr>
            <w:tcW w:w="573" w:type="pct"/>
            <w:tcBorders>
              <w:top w:val="single" w:sz="4" w:space="0" w:color="000000"/>
              <w:left w:val="single" w:sz="4" w:space="0" w:color="000000"/>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left"/>
              <w:rPr>
                <w:rFonts w:ascii="仿宋_GB2312" w:hAnsi="仿宋_GB2312" w:cs="仿宋_GB2312"/>
                <w:bCs/>
                <w:sz w:val="24"/>
                <w:szCs w:val="24"/>
              </w:rPr>
            </w:pPr>
            <w:r w:rsidRPr="00C77066">
              <w:rPr>
                <w:rFonts w:ascii="仿宋_GB2312" w:hAnsi="仿宋_GB2312" w:cs="仿宋_GB2312" w:hint="eastAsia"/>
                <w:bCs/>
                <w:sz w:val="24"/>
                <w:szCs w:val="24"/>
              </w:rPr>
              <w:t>期末考试采用闭卷</w:t>
            </w:r>
            <w:r w:rsidRPr="00C77066">
              <w:rPr>
                <w:rFonts w:ascii="仿宋_GB2312" w:hAnsi="仿宋_GB2312" w:cs="仿宋_GB2312"/>
                <w:bCs/>
                <w:sz w:val="24"/>
                <w:szCs w:val="24"/>
              </w:rPr>
              <w:t>考试</w:t>
            </w:r>
            <w:r w:rsidRPr="00C77066">
              <w:rPr>
                <w:rFonts w:ascii="仿宋_GB2312" w:hAnsi="仿宋_GB2312" w:cs="仿宋_GB2312" w:hint="eastAsia"/>
                <w:bCs/>
                <w:sz w:val="24"/>
                <w:szCs w:val="24"/>
              </w:rPr>
              <w:t>。考试范围基本涵盖所有讲授内容，考试内容主要反映学生对本课程主要概念的理解和掌握的程度，以及综合运用的能力。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目标</w:t>
            </w:r>
            <w:r w:rsidRPr="00C77066">
              <w:rPr>
                <w:rFonts w:ascii="仿宋_GB2312" w:hAnsi="仿宋_GB2312" w:cs="仿宋_GB2312" w:hint="eastAsia"/>
                <w:bCs/>
                <w:sz w:val="24"/>
                <w:szCs w:val="24"/>
              </w:rPr>
              <w:t>1</w:t>
            </w:r>
          </w:p>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hint="eastAsia"/>
                <w:bCs/>
                <w:sz w:val="24"/>
                <w:szCs w:val="24"/>
              </w:rPr>
              <w:t>目标2</w:t>
            </w:r>
          </w:p>
          <w:p w:rsidR="00BE5664" w:rsidRPr="00C77066" w:rsidRDefault="00BE5664" w:rsidP="00BE5664">
            <w:pPr>
              <w:spacing w:line="360" w:lineRule="exact"/>
              <w:jc w:val="center"/>
              <w:rPr>
                <w:rFonts w:ascii="仿宋_GB2312" w:hAnsi="仿宋_GB2312" w:cs="仿宋_GB2312"/>
                <w:bCs/>
                <w:sz w:val="24"/>
                <w:szCs w:val="24"/>
              </w:rPr>
            </w:pPr>
            <w:r w:rsidRPr="00C77066">
              <w:rPr>
                <w:rFonts w:ascii="仿宋_GB2312" w:hAnsi="仿宋_GB2312" w:cs="仿宋_GB2312"/>
                <w:bCs/>
                <w:sz w:val="24"/>
                <w:szCs w:val="24"/>
              </w:rPr>
              <w:t>目标</w:t>
            </w:r>
            <w:r w:rsidRPr="00C77066">
              <w:rPr>
                <w:rFonts w:ascii="仿宋_GB2312" w:hAnsi="仿宋_GB2312" w:cs="仿宋_GB2312" w:hint="eastAsia"/>
                <w:bCs/>
                <w:sz w:val="24"/>
                <w:szCs w:val="24"/>
              </w:rPr>
              <w:t>3</w:t>
            </w:r>
          </w:p>
        </w:tc>
      </w:tr>
    </w:tbl>
    <w:p w:rsidR="00EA50AD" w:rsidRDefault="00EA50AD" w:rsidP="00BE5664">
      <w:pPr>
        <w:adjustRightInd w:val="0"/>
        <w:snapToGrid w:val="0"/>
        <w:spacing w:line="440" w:lineRule="exact"/>
        <w:ind w:firstLineChars="200" w:firstLine="640"/>
        <w:rPr>
          <w:rFonts w:ascii="Times New Roman" w:hAnsi="Times New Roman"/>
        </w:rPr>
      </w:pPr>
    </w:p>
    <w:p w:rsidR="00C77066" w:rsidRDefault="00C77066" w:rsidP="00C7706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EA50AD" w:rsidRPr="00C77066" w:rsidRDefault="00EA50AD" w:rsidP="00C77066">
      <w:pPr>
        <w:spacing w:line="360" w:lineRule="auto"/>
        <w:ind w:firstLineChars="196" w:firstLine="549"/>
        <w:rPr>
          <w:rFonts w:ascii="仿宋_GB2312" w:hAnsi="仿宋_GB2312" w:cs="仿宋_GB2312"/>
          <w:bCs/>
          <w:sz w:val="28"/>
          <w:szCs w:val="28"/>
        </w:rPr>
      </w:pPr>
      <w:r w:rsidRPr="00C77066">
        <w:rPr>
          <w:rFonts w:ascii="仿宋_GB2312" w:hAnsi="仿宋_GB2312" w:cs="仿宋_GB2312"/>
          <w:bCs/>
          <w:sz w:val="28"/>
          <w:szCs w:val="28"/>
        </w:rPr>
        <w:t>1. 教  材：</w:t>
      </w:r>
      <w:r w:rsidRPr="00C77066">
        <w:rPr>
          <w:rFonts w:ascii="仿宋_GB2312" w:hAnsi="仿宋_GB2312" w:cs="仿宋_GB2312" w:hint="eastAsia"/>
          <w:bCs/>
          <w:sz w:val="28"/>
          <w:szCs w:val="28"/>
        </w:rPr>
        <w:t>工程</w:t>
      </w:r>
      <w:r w:rsidRPr="00C77066">
        <w:rPr>
          <w:rFonts w:ascii="仿宋_GB2312" w:hAnsi="仿宋_GB2312" w:cs="仿宋_GB2312"/>
          <w:bCs/>
          <w:sz w:val="28"/>
          <w:szCs w:val="28"/>
        </w:rPr>
        <w:t>项目</w:t>
      </w:r>
      <w:r w:rsidRPr="00C77066">
        <w:rPr>
          <w:rFonts w:ascii="仿宋_GB2312" w:hAnsi="仿宋_GB2312" w:cs="仿宋_GB2312" w:hint="eastAsia"/>
          <w:bCs/>
          <w:sz w:val="28"/>
          <w:szCs w:val="28"/>
        </w:rPr>
        <w:t>审计，朱红章, 武汉大学</w:t>
      </w:r>
      <w:r w:rsidRPr="00C77066">
        <w:rPr>
          <w:rFonts w:ascii="仿宋_GB2312" w:hAnsi="仿宋_GB2312" w:cs="仿宋_GB2312"/>
          <w:bCs/>
          <w:sz w:val="28"/>
          <w:szCs w:val="28"/>
        </w:rPr>
        <w:t>出版社</w:t>
      </w:r>
      <w:r w:rsidRPr="00C77066">
        <w:rPr>
          <w:rFonts w:ascii="仿宋_GB2312" w:hAnsi="仿宋_GB2312" w:cs="仿宋_GB2312" w:hint="eastAsia"/>
          <w:bCs/>
          <w:sz w:val="28"/>
          <w:szCs w:val="28"/>
        </w:rPr>
        <w:t>, 201</w:t>
      </w:r>
      <w:r w:rsidRPr="00C77066">
        <w:rPr>
          <w:rFonts w:ascii="仿宋_GB2312" w:hAnsi="仿宋_GB2312" w:cs="仿宋_GB2312"/>
          <w:bCs/>
          <w:sz w:val="28"/>
          <w:szCs w:val="28"/>
        </w:rPr>
        <w:t>0</w:t>
      </w:r>
    </w:p>
    <w:p w:rsidR="00EA50AD" w:rsidRPr="00C77066" w:rsidRDefault="00EA50AD" w:rsidP="00C77066">
      <w:pPr>
        <w:spacing w:line="360" w:lineRule="auto"/>
        <w:ind w:firstLineChars="196" w:firstLine="549"/>
        <w:rPr>
          <w:rFonts w:ascii="仿宋_GB2312" w:hAnsi="仿宋_GB2312" w:cs="仿宋_GB2312"/>
          <w:bCs/>
          <w:sz w:val="28"/>
          <w:szCs w:val="28"/>
        </w:rPr>
      </w:pPr>
      <w:r w:rsidRPr="00C77066">
        <w:rPr>
          <w:rFonts w:ascii="仿宋_GB2312" w:hAnsi="仿宋_GB2312" w:cs="仿宋_GB2312"/>
          <w:bCs/>
          <w:sz w:val="28"/>
          <w:szCs w:val="28"/>
        </w:rPr>
        <w:t>2. 参考书：</w:t>
      </w:r>
      <w:r w:rsidRPr="00C77066">
        <w:rPr>
          <w:rFonts w:ascii="仿宋_GB2312" w:hAnsi="仿宋_GB2312" w:cs="仿宋_GB2312" w:hint="eastAsia"/>
          <w:bCs/>
          <w:sz w:val="28"/>
          <w:szCs w:val="28"/>
        </w:rPr>
        <w:t>工程造价</w:t>
      </w:r>
      <w:r w:rsidRPr="00C77066">
        <w:rPr>
          <w:rFonts w:ascii="仿宋_GB2312" w:hAnsi="仿宋_GB2312" w:cs="仿宋_GB2312"/>
          <w:bCs/>
          <w:sz w:val="28"/>
          <w:szCs w:val="28"/>
        </w:rPr>
        <w:t>管理</w:t>
      </w:r>
      <w:r w:rsidRPr="00C77066">
        <w:rPr>
          <w:rFonts w:ascii="仿宋_GB2312" w:hAnsi="仿宋_GB2312" w:cs="仿宋_GB2312" w:hint="eastAsia"/>
          <w:bCs/>
          <w:sz w:val="28"/>
          <w:szCs w:val="28"/>
        </w:rPr>
        <w:t>，丰艳萍，机械工业出版社，2011</w:t>
      </w:r>
    </w:p>
    <w:p w:rsidR="00EA50AD" w:rsidRPr="00C77066" w:rsidRDefault="00EA50AD" w:rsidP="00C77066">
      <w:pPr>
        <w:spacing w:line="360" w:lineRule="auto"/>
        <w:ind w:firstLineChars="196" w:firstLine="549"/>
        <w:rPr>
          <w:rFonts w:ascii="仿宋_GB2312" w:hAnsi="仿宋_GB2312" w:cs="仿宋_GB2312"/>
          <w:bCs/>
          <w:sz w:val="28"/>
          <w:szCs w:val="28"/>
        </w:rPr>
      </w:pPr>
      <w:r w:rsidRPr="00C77066">
        <w:rPr>
          <w:rFonts w:ascii="仿宋_GB2312" w:hAnsi="仿宋_GB2312" w:cs="仿宋_GB2312"/>
          <w:bCs/>
          <w:sz w:val="28"/>
          <w:szCs w:val="28"/>
        </w:rPr>
        <w:t>工程审计</w:t>
      </w:r>
      <w:r w:rsidRPr="00C77066">
        <w:rPr>
          <w:rFonts w:ascii="仿宋_GB2312" w:hAnsi="仿宋_GB2312" w:cs="仿宋_GB2312" w:hint="eastAsia"/>
          <w:bCs/>
          <w:sz w:val="28"/>
          <w:szCs w:val="28"/>
        </w:rPr>
        <w:t>，</w:t>
      </w:r>
      <w:hyperlink r:id="rId21" w:history="1">
        <w:r w:rsidRPr="00C77066">
          <w:rPr>
            <w:rFonts w:ascii="仿宋_GB2312" w:hAnsi="仿宋_GB2312" w:cs="仿宋_GB2312"/>
            <w:bCs/>
            <w:sz w:val="28"/>
            <w:szCs w:val="28"/>
          </w:rPr>
          <w:t>赵庆华</w:t>
        </w:r>
      </w:hyperlink>
      <w:r w:rsidRPr="00C77066">
        <w:rPr>
          <w:rFonts w:ascii="仿宋_GB2312" w:hAnsi="仿宋_GB2312" w:cs="仿宋_GB2312" w:hint="eastAsia"/>
          <w:bCs/>
          <w:sz w:val="28"/>
          <w:szCs w:val="28"/>
        </w:rPr>
        <w:t>，</w:t>
      </w:r>
      <w:r w:rsidRPr="00C77066">
        <w:rPr>
          <w:rFonts w:ascii="仿宋_GB2312" w:hAnsi="仿宋_GB2312" w:cs="仿宋_GB2312"/>
          <w:bCs/>
          <w:sz w:val="28"/>
          <w:szCs w:val="28"/>
        </w:rPr>
        <w:t>东南大学出版社</w:t>
      </w:r>
      <w:r w:rsidRPr="00C77066">
        <w:rPr>
          <w:rFonts w:ascii="仿宋_GB2312" w:hAnsi="仿宋_GB2312" w:cs="仿宋_GB2312" w:hint="eastAsia"/>
          <w:bCs/>
          <w:sz w:val="28"/>
          <w:szCs w:val="28"/>
        </w:rPr>
        <w:t>(</w:t>
      </w:r>
      <w:r w:rsidRPr="00C77066">
        <w:rPr>
          <w:rFonts w:ascii="仿宋_GB2312" w:hAnsi="仿宋_GB2312" w:cs="仿宋_GB2312"/>
          <w:bCs/>
          <w:sz w:val="28"/>
          <w:szCs w:val="28"/>
        </w:rPr>
        <w:t>第1版</w:t>
      </w:r>
      <w:r w:rsidRPr="00C77066">
        <w:rPr>
          <w:rFonts w:ascii="仿宋_GB2312" w:hAnsi="仿宋_GB2312" w:cs="仿宋_GB2312" w:hint="eastAsia"/>
          <w:bCs/>
          <w:sz w:val="28"/>
          <w:szCs w:val="28"/>
        </w:rPr>
        <w:t xml:space="preserve">), </w:t>
      </w:r>
      <w:r w:rsidRPr="00C77066">
        <w:rPr>
          <w:rFonts w:ascii="仿宋_GB2312" w:hAnsi="仿宋_GB2312" w:cs="仿宋_GB2312"/>
          <w:bCs/>
          <w:sz w:val="28"/>
          <w:szCs w:val="28"/>
        </w:rPr>
        <w:t>2010</w:t>
      </w:r>
    </w:p>
    <w:p w:rsidR="00EA50AD" w:rsidRPr="00C77066" w:rsidRDefault="00EA50AD" w:rsidP="00C77066">
      <w:pPr>
        <w:spacing w:line="360" w:lineRule="auto"/>
        <w:ind w:firstLineChars="196" w:firstLine="549"/>
        <w:rPr>
          <w:rFonts w:ascii="仿宋_GB2312" w:hAnsi="仿宋_GB2312" w:cs="仿宋_GB2312"/>
          <w:bCs/>
          <w:sz w:val="28"/>
          <w:szCs w:val="28"/>
        </w:rPr>
      </w:pPr>
      <w:r w:rsidRPr="00C77066">
        <w:rPr>
          <w:rFonts w:ascii="仿宋_GB2312" w:hAnsi="仿宋_GB2312" w:cs="仿宋_GB2312"/>
          <w:bCs/>
          <w:sz w:val="28"/>
          <w:szCs w:val="28"/>
        </w:rPr>
        <w:t>工程项目审计</w:t>
      </w:r>
      <w:r w:rsidRPr="00C77066">
        <w:rPr>
          <w:rFonts w:ascii="仿宋_GB2312" w:hAnsi="仿宋_GB2312" w:cs="仿宋_GB2312" w:hint="eastAsia"/>
          <w:bCs/>
          <w:sz w:val="28"/>
          <w:szCs w:val="28"/>
        </w:rPr>
        <w:t>，</w:t>
      </w:r>
      <w:hyperlink r:id="rId22" w:history="1">
        <w:r w:rsidRPr="00C77066">
          <w:rPr>
            <w:rFonts w:ascii="仿宋_GB2312" w:hAnsi="仿宋_GB2312" w:cs="仿宋_GB2312"/>
            <w:bCs/>
            <w:sz w:val="28"/>
            <w:szCs w:val="28"/>
          </w:rPr>
          <w:t>向乐乐</w:t>
        </w:r>
      </w:hyperlink>
      <w:r w:rsidRPr="00C77066">
        <w:rPr>
          <w:rFonts w:ascii="仿宋_GB2312" w:hAnsi="仿宋_GB2312" w:cs="仿宋_GB2312" w:hint="eastAsia"/>
          <w:bCs/>
          <w:sz w:val="28"/>
          <w:szCs w:val="28"/>
        </w:rPr>
        <w:t>，</w:t>
      </w:r>
      <w:r w:rsidRPr="00C77066">
        <w:rPr>
          <w:rFonts w:ascii="仿宋_GB2312" w:hAnsi="仿宋_GB2312" w:cs="仿宋_GB2312"/>
          <w:bCs/>
          <w:sz w:val="28"/>
          <w:szCs w:val="28"/>
        </w:rPr>
        <w:t>西南交通大学出版社</w:t>
      </w:r>
      <w:r w:rsidRPr="00C77066">
        <w:rPr>
          <w:rFonts w:ascii="仿宋_GB2312" w:hAnsi="仿宋_GB2312" w:cs="仿宋_GB2312" w:hint="eastAsia"/>
          <w:bCs/>
          <w:sz w:val="28"/>
          <w:szCs w:val="28"/>
        </w:rPr>
        <w:t>(</w:t>
      </w:r>
      <w:r w:rsidRPr="00C77066">
        <w:rPr>
          <w:rFonts w:ascii="仿宋_GB2312" w:hAnsi="仿宋_GB2312" w:cs="仿宋_GB2312"/>
          <w:bCs/>
          <w:sz w:val="28"/>
          <w:szCs w:val="28"/>
        </w:rPr>
        <w:t>第1版</w:t>
      </w:r>
      <w:r w:rsidRPr="00C77066">
        <w:rPr>
          <w:rFonts w:ascii="仿宋_GB2312" w:hAnsi="仿宋_GB2312" w:cs="仿宋_GB2312" w:hint="eastAsia"/>
          <w:bCs/>
          <w:sz w:val="28"/>
          <w:szCs w:val="28"/>
        </w:rPr>
        <w:t xml:space="preserve">), </w:t>
      </w:r>
      <w:r w:rsidRPr="00C77066">
        <w:rPr>
          <w:rFonts w:ascii="仿宋_GB2312" w:hAnsi="仿宋_GB2312" w:cs="仿宋_GB2312"/>
          <w:bCs/>
          <w:sz w:val="28"/>
          <w:szCs w:val="28"/>
        </w:rPr>
        <w:t>2012</w:t>
      </w:r>
    </w:p>
    <w:p w:rsidR="00EA50AD" w:rsidRDefault="00EA50AD" w:rsidP="00BE5664">
      <w:pPr>
        <w:adjustRightInd w:val="0"/>
        <w:snapToGrid w:val="0"/>
        <w:spacing w:line="440" w:lineRule="exact"/>
        <w:ind w:firstLineChars="200" w:firstLine="640"/>
        <w:rPr>
          <w:rFonts w:ascii="Times New Roman" w:hAnsi="Times New Roman"/>
        </w:rPr>
      </w:pPr>
    </w:p>
    <w:p w:rsidR="00C77066" w:rsidRDefault="00C77066" w:rsidP="00C77066">
      <w:pPr>
        <w:spacing w:beforeLines="50" w:before="156" w:afterLines="50" w:after="156" w:line="460" w:lineRule="exact"/>
        <w:rPr>
          <w:rFonts w:ascii="黑体" w:eastAsia="黑体" w:hAnsi="黑体"/>
          <w:b/>
          <w:sz w:val="28"/>
          <w:szCs w:val="28"/>
        </w:rPr>
      </w:pPr>
    </w:p>
    <w:p w:rsidR="00C77066" w:rsidRDefault="00C77066" w:rsidP="00C7706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大纲撰写人：杨学军</w:t>
      </w:r>
    </w:p>
    <w:p w:rsidR="00C77066" w:rsidRDefault="00C77066" w:rsidP="00C7706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C77066" w:rsidRDefault="00C77066" w:rsidP="00C7706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77066" w:rsidRDefault="00C77066" w:rsidP="00C77066">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77066" w:rsidRDefault="00C77066" w:rsidP="00C77066">
      <w:pPr>
        <w:ind w:firstLineChars="2000" w:firstLine="5600"/>
        <w:jc w:val="left"/>
        <w:rPr>
          <w:rFonts w:ascii="仿宋" w:hAnsi="仿宋"/>
          <w:sz w:val="28"/>
          <w:szCs w:val="28"/>
        </w:rPr>
      </w:pPr>
      <w:r>
        <w:rPr>
          <w:rFonts w:ascii="仿宋_GB2312" w:hAnsi="微软雅黑" w:hint="eastAsia"/>
          <w:sz w:val="28"/>
          <w:szCs w:val="28"/>
        </w:rPr>
        <w:t xml:space="preserve">    </w:t>
      </w:r>
    </w:p>
    <w:p w:rsidR="00C77066" w:rsidRDefault="00C77066" w:rsidP="00C77066">
      <w:pPr>
        <w:jc w:val="left"/>
        <w:rPr>
          <w:rFonts w:ascii="仿宋_GB2312" w:hAnsi="黑体"/>
          <w:sz w:val="28"/>
          <w:szCs w:val="28"/>
        </w:rPr>
      </w:pPr>
      <w:r>
        <w:rPr>
          <w:rFonts w:ascii="仿宋" w:eastAsia="仿宋" w:hAnsi="仿宋" w:hint="eastAsia"/>
          <w:sz w:val="28"/>
          <w:szCs w:val="28"/>
        </w:rPr>
        <w:t xml:space="preserve">                                         年    月</w:t>
      </w:r>
    </w:p>
    <w:p w:rsidR="00F11446" w:rsidRDefault="00BE5664" w:rsidP="00C77066">
      <w:pPr>
        <w:adjustRightInd w:val="0"/>
        <w:snapToGrid w:val="0"/>
        <w:spacing w:line="440" w:lineRule="exact"/>
        <w:ind w:right="420" w:firstLineChars="1650" w:firstLine="5280"/>
        <w:jc w:val="center"/>
        <w:rPr>
          <w:rFonts w:ascii="Times New Roman" w:hAnsi="Times New Roman"/>
          <w:szCs w:val="21"/>
        </w:rPr>
      </w:pPr>
      <w:r>
        <w:rPr>
          <w:rFonts w:ascii="Times New Roman" w:hAnsi="Times New Roman" w:hint="eastAsia"/>
        </w:rPr>
        <w:t xml:space="preserve">                              </w:t>
      </w:r>
    </w:p>
    <w:p w:rsidR="00C77066" w:rsidRDefault="00C77066" w:rsidP="00F11446">
      <w:pPr>
        <w:spacing w:beforeLines="100" w:before="312" w:afterLines="100" w:after="312"/>
        <w:jc w:val="center"/>
        <w:outlineLvl w:val="0"/>
        <w:rPr>
          <w:rFonts w:ascii="Times New Roman" w:eastAsia="方正小标宋简体" w:hAnsi="Times New Roman"/>
          <w:spacing w:val="-4"/>
          <w:sz w:val="36"/>
          <w:szCs w:val="36"/>
        </w:rPr>
      </w:pPr>
    </w:p>
    <w:p w:rsidR="00C77066" w:rsidRDefault="00C77066" w:rsidP="00C7706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C77066">
        <w:rPr>
          <w:rFonts w:ascii="方正小标宋简体" w:eastAsia="方正小标宋简体" w:hAnsi="宋体" w:hint="eastAsia"/>
          <w:kern w:val="0"/>
          <w:szCs w:val="32"/>
        </w:rPr>
        <w:t>工程造价管理</w:t>
      </w:r>
      <w:r>
        <w:rPr>
          <w:rFonts w:ascii="方正小标宋简体" w:eastAsia="方正小标宋简体" w:hAnsi="宋体" w:hint="eastAsia"/>
          <w:kern w:val="0"/>
          <w:szCs w:val="32"/>
        </w:rPr>
        <w:t>》课程教学大纲</w:t>
      </w:r>
    </w:p>
    <w:p w:rsidR="00C77066" w:rsidRDefault="00C77066" w:rsidP="00C7706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77066" w:rsidRDefault="00C77066" w:rsidP="00C7706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sidRPr="00C77066">
        <w:rPr>
          <w:rFonts w:ascii="仿宋_GB2312" w:hAnsi="仿宋_GB2312" w:cs="仿宋_GB2312"/>
          <w:bCs/>
          <w:sz w:val="28"/>
          <w:szCs w:val="28"/>
        </w:rPr>
        <w:t>Engineering Cost management</w:t>
      </w:r>
    </w:p>
    <w:p w:rsidR="00C77066" w:rsidRDefault="00C77066" w:rsidP="00C7706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sidRPr="00C77066">
        <w:rPr>
          <w:rFonts w:ascii="仿宋_GB2312" w:hAnsi="仿宋_GB2312" w:cs="仿宋_GB2312" w:hint="eastAsia"/>
          <w:bCs/>
          <w:sz w:val="28"/>
          <w:szCs w:val="28"/>
        </w:rPr>
        <w:t>Z2</w:t>
      </w:r>
      <w:r w:rsidRPr="00C77066">
        <w:rPr>
          <w:rFonts w:ascii="仿宋_GB2312" w:hAnsi="仿宋_GB2312" w:cs="仿宋_GB2312"/>
          <w:bCs/>
          <w:sz w:val="28"/>
          <w:szCs w:val="28"/>
        </w:rPr>
        <w:t>805140</w:t>
      </w:r>
    </w:p>
    <w:p w:rsidR="00C77066" w:rsidRDefault="00C77066" w:rsidP="00C7706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授课语言：中文</w:t>
      </w:r>
    </w:p>
    <w:p w:rsidR="00C77066" w:rsidRDefault="00C77066" w:rsidP="00C7706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77066" w:rsidRDefault="00C77066" w:rsidP="00C7706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77066" w:rsidRDefault="00C77066" w:rsidP="00C7706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77066" w:rsidRDefault="00C77066" w:rsidP="00C7706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w:t>
      </w:r>
    </w:p>
    <w:p w:rsidR="00C77066" w:rsidRDefault="00C77066" w:rsidP="00C7706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32</w:t>
      </w:r>
      <w:r>
        <w:rPr>
          <w:rFonts w:ascii="仿宋_GB2312" w:hAnsi="仿宋_GB2312" w:cs="仿宋_GB2312" w:hint="eastAsia"/>
          <w:bCs/>
          <w:sz w:val="28"/>
          <w:szCs w:val="28"/>
        </w:rPr>
        <w:t>学时</w:t>
      </w:r>
    </w:p>
    <w:p w:rsidR="00C77066" w:rsidRDefault="00C77066" w:rsidP="00C7706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w:t>
      </w:r>
      <w:r w:rsidRPr="00C77066">
        <w:rPr>
          <w:rFonts w:ascii="仿宋_GB2312" w:hAnsi="仿宋_GB2312" w:cs="仿宋_GB2312" w:hint="eastAsia"/>
          <w:bCs/>
          <w:sz w:val="28"/>
          <w:szCs w:val="28"/>
        </w:rPr>
        <w:t>工程造价</w:t>
      </w:r>
      <w:r w:rsidRPr="00C77066">
        <w:rPr>
          <w:rFonts w:ascii="仿宋_GB2312" w:hAnsi="仿宋_GB2312" w:cs="仿宋_GB2312"/>
          <w:bCs/>
          <w:sz w:val="28"/>
          <w:szCs w:val="28"/>
        </w:rPr>
        <w:t>专业</w:t>
      </w:r>
    </w:p>
    <w:p w:rsidR="00C77066" w:rsidRDefault="00C77066" w:rsidP="00C7706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sidRPr="00C77066">
        <w:rPr>
          <w:rFonts w:ascii="仿宋_GB2312" w:hAnsi="仿宋_GB2312" w:cs="仿宋_GB2312" w:hint="eastAsia"/>
          <w:bCs/>
          <w:sz w:val="28"/>
          <w:szCs w:val="28"/>
        </w:rPr>
        <w:t>工程计量与计价、土木工程施工、工程定额原理</w:t>
      </w:r>
    </w:p>
    <w:p w:rsidR="00C77066" w:rsidRPr="00C77066" w:rsidRDefault="00C77066" w:rsidP="00C7706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w:t>
      </w:r>
      <w:r w:rsidRPr="00C77066">
        <w:rPr>
          <w:rFonts w:ascii="仿宋_GB2312" w:hAnsi="仿宋_GB2312" w:cs="仿宋_GB2312" w:hint="eastAsia"/>
          <w:bCs/>
          <w:sz w:val="28"/>
          <w:szCs w:val="28"/>
        </w:rPr>
        <w:t>建工学</w:t>
      </w:r>
      <w:r w:rsidRPr="00C77066">
        <w:rPr>
          <w:rFonts w:ascii="仿宋_GB2312" w:hAnsi="仿宋_GB2312" w:cs="仿宋_GB2312"/>
          <w:bCs/>
          <w:sz w:val="28"/>
          <w:szCs w:val="28"/>
        </w:rPr>
        <w:t>院</w:t>
      </w:r>
      <w:r w:rsidRPr="00C77066">
        <w:rPr>
          <w:rFonts w:ascii="仿宋_GB2312" w:hAnsi="仿宋_GB2312" w:cs="仿宋_GB2312" w:hint="eastAsia"/>
          <w:bCs/>
          <w:sz w:val="28"/>
          <w:szCs w:val="28"/>
        </w:rPr>
        <w:t>工程造价与</w:t>
      </w:r>
      <w:r w:rsidRPr="00C77066">
        <w:rPr>
          <w:rFonts w:ascii="仿宋_GB2312" w:hAnsi="仿宋_GB2312" w:cs="仿宋_GB2312"/>
          <w:bCs/>
          <w:sz w:val="28"/>
          <w:szCs w:val="28"/>
        </w:rPr>
        <w:t>施工教研室</w:t>
      </w:r>
    </w:p>
    <w:p w:rsidR="00F11446" w:rsidRPr="0048537C" w:rsidRDefault="0048537C" w:rsidP="0048537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F11446" w:rsidRPr="0048537C" w:rsidRDefault="00F11446" w:rsidP="0048537C">
      <w:pPr>
        <w:spacing w:line="360" w:lineRule="auto"/>
        <w:ind w:firstLine="331"/>
        <w:rPr>
          <w:rFonts w:ascii="仿宋_GB2312" w:hAnsi="仿宋_GB2312" w:cs="仿宋_GB2312"/>
          <w:bCs/>
          <w:sz w:val="28"/>
          <w:szCs w:val="28"/>
        </w:rPr>
      </w:pPr>
      <w:r w:rsidRPr="0048537C">
        <w:rPr>
          <w:rFonts w:ascii="仿宋_GB2312" w:hAnsi="仿宋_GB2312" w:cs="仿宋_GB2312"/>
          <w:bCs/>
          <w:sz w:val="28"/>
          <w:szCs w:val="28"/>
        </w:rPr>
        <w:t>课程教学目标</w:t>
      </w:r>
    </w:p>
    <w:p w:rsidR="00F11446" w:rsidRPr="0048537C" w:rsidRDefault="00F11446" w:rsidP="0048537C">
      <w:pPr>
        <w:spacing w:line="360" w:lineRule="auto"/>
        <w:ind w:firstLine="331"/>
        <w:rPr>
          <w:rFonts w:ascii="仿宋_GB2312" w:hAnsi="仿宋_GB2312" w:cs="仿宋_GB2312"/>
          <w:bCs/>
          <w:sz w:val="28"/>
          <w:szCs w:val="28"/>
        </w:rPr>
      </w:pPr>
      <w:r w:rsidRPr="0048537C">
        <w:rPr>
          <w:rFonts w:ascii="仿宋_GB2312" w:hAnsi="仿宋_GB2312" w:cs="仿宋_GB2312" w:hint="eastAsia"/>
          <w:bCs/>
          <w:sz w:val="28"/>
          <w:szCs w:val="28"/>
        </w:rPr>
        <w:t>本课程是面向工程造价专业开设的专业发展课程，适用于工程造价方向的必修课，本课程的目的，是使学生了解工程造价管理的基础知识；培养学生研究工程造价的合理构成，掌握工程造价控制和管理的基本原理与方法，熟悉并掌握各建设阶段建筑产品计价的基本知识和理论，具有在各建设阶段工程计价和造价管理的能力，并熟悉电算化的计价方法，以培养成适合市场经济体制的工程技术人才。</w:t>
      </w:r>
    </w:p>
    <w:p w:rsidR="00F11446" w:rsidRPr="0048537C" w:rsidRDefault="00F11446" w:rsidP="0048537C">
      <w:pPr>
        <w:spacing w:line="360" w:lineRule="auto"/>
        <w:ind w:firstLine="331"/>
        <w:rPr>
          <w:rFonts w:ascii="仿宋_GB2312" w:hAnsi="仿宋_GB2312" w:cs="仿宋_GB2312"/>
          <w:bCs/>
          <w:sz w:val="28"/>
          <w:szCs w:val="28"/>
        </w:rPr>
      </w:pPr>
      <w:r w:rsidRPr="0048537C">
        <w:rPr>
          <w:rFonts w:ascii="仿宋_GB2312" w:hAnsi="仿宋_GB2312" w:cs="仿宋_GB2312"/>
          <w:bCs/>
          <w:sz w:val="28"/>
          <w:szCs w:val="28"/>
        </w:rPr>
        <w:lastRenderedPageBreak/>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3647"/>
        <w:gridCol w:w="1029"/>
        <w:gridCol w:w="2952"/>
      </w:tblGrid>
      <w:tr w:rsidR="00F11446" w:rsidRPr="0048537C" w:rsidTr="0048537C">
        <w:trPr>
          <w:trHeight w:val="454"/>
          <w:jc w:val="center"/>
        </w:trPr>
        <w:tc>
          <w:tcPr>
            <w:tcW w:w="403" w:type="pct"/>
            <w:vMerge w:val="restar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48537C">
            <w:pPr>
              <w:spacing w:line="360" w:lineRule="auto"/>
              <w:rPr>
                <w:rFonts w:ascii="仿宋_GB2312" w:hAnsi="仿宋_GB2312" w:cs="仿宋_GB2312"/>
                <w:b/>
                <w:bCs/>
                <w:sz w:val="24"/>
                <w:szCs w:val="24"/>
              </w:rPr>
            </w:pPr>
            <w:r w:rsidRPr="0048537C">
              <w:rPr>
                <w:rFonts w:ascii="仿宋_GB2312" w:hAnsi="仿宋_GB2312" w:cs="仿宋_GB2312"/>
                <w:b/>
                <w:bCs/>
                <w:sz w:val="24"/>
                <w:szCs w:val="24"/>
              </w:rPr>
              <w:t>序号</w:t>
            </w:r>
          </w:p>
        </w:tc>
        <w:tc>
          <w:tcPr>
            <w:tcW w:w="2198" w:type="pct"/>
            <w:vMerge w:val="restart"/>
            <w:tcBorders>
              <w:top w:val="single" w:sz="4" w:space="0" w:color="000000"/>
              <w:left w:val="single" w:sz="4" w:space="0" w:color="000000"/>
              <w:right w:val="single" w:sz="4" w:space="0" w:color="000000"/>
            </w:tcBorders>
            <w:vAlign w:val="center"/>
          </w:tcPr>
          <w:p w:rsidR="00F11446" w:rsidRPr="0048537C" w:rsidRDefault="00F11446"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课程教学目标</w:t>
            </w:r>
          </w:p>
        </w:tc>
        <w:tc>
          <w:tcPr>
            <w:tcW w:w="2399" w:type="pct"/>
            <w:gridSpan w:val="2"/>
            <w:tcBorders>
              <w:top w:val="single" w:sz="4" w:space="0" w:color="000000"/>
              <w:left w:val="single" w:sz="4" w:space="0" w:color="000000"/>
              <w:bottom w:val="single" w:sz="4" w:space="0" w:color="auto"/>
              <w:right w:val="single" w:sz="4" w:space="0" w:color="auto"/>
            </w:tcBorders>
            <w:vAlign w:val="center"/>
          </w:tcPr>
          <w:p w:rsidR="00F11446" w:rsidRPr="0048537C" w:rsidRDefault="00F11446"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支撑毕业要求指标点</w:t>
            </w:r>
          </w:p>
        </w:tc>
      </w:tr>
      <w:tr w:rsidR="00F11446" w:rsidRPr="0048537C" w:rsidTr="0048537C">
        <w:trPr>
          <w:trHeight w:val="454"/>
          <w:jc w:val="center"/>
        </w:trPr>
        <w:tc>
          <w:tcPr>
            <w:tcW w:w="403" w:type="pct"/>
            <w:vMerge/>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48537C">
            <w:pPr>
              <w:spacing w:line="360" w:lineRule="auto"/>
              <w:ind w:firstLine="331"/>
              <w:rPr>
                <w:rFonts w:ascii="仿宋_GB2312" w:hAnsi="仿宋_GB2312" w:cs="仿宋_GB2312"/>
                <w:b/>
                <w:bCs/>
                <w:sz w:val="24"/>
                <w:szCs w:val="24"/>
              </w:rPr>
            </w:pPr>
          </w:p>
        </w:tc>
        <w:tc>
          <w:tcPr>
            <w:tcW w:w="2198" w:type="pct"/>
            <w:vMerge/>
            <w:tcBorders>
              <w:left w:val="single" w:sz="4" w:space="0" w:color="000000"/>
              <w:bottom w:val="single" w:sz="4" w:space="0" w:color="000000"/>
              <w:right w:val="single" w:sz="4" w:space="0" w:color="000000"/>
            </w:tcBorders>
            <w:vAlign w:val="center"/>
          </w:tcPr>
          <w:p w:rsidR="00F11446" w:rsidRPr="0048537C" w:rsidRDefault="00F11446" w:rsidP="0048537C">
            <w:pPr>
              <w:spacing w:line="360" w:lineRule="auto"/>
              <w:ind w:firstLine="331"/>
              <w:rPr>
                <w:rFonts w:ascii="仿宋_GB2312" w:hAnsi="仿宋_GB2312" w:cs="仿宋_GB2312"/>
                <w:b/>
                <w:bCs/>
                <w:sz w:val="24"/>
                <w:szCs w:val="24"/>
              </w:rPr>
            </w:pPr>
          </w:p>
        </w:tc>
        <w:tc>
          <w:tcPr>
            <w:tcW w:w="620" w:type="pct"/>
            <w:tcBorders>
              <w:top w:val="single" w:sz="4" w:space="0" w:color="auto"/>
              <w:left w:val="single" w:sz="4" w:space="0" w:color="000000"/>
              <w:bottom w:val="single" w:sz="4" w:space="0" w:color="000000"/>
              <w:right w:val="single" w:sz="4" w:space="0" w:color="000000"/>
            </w:tcBorders>
            <w:vAlign w:val="center"/>
          </w:tcPr>
          <w:p w:rsidR="00F11446" w:rsidRPr="0048537C" w:rsidRDefault="00F11446" w:rsidP="0048537C">
            <w:pPr>
              <w:spacing w:line="360" w:lineRule="auto"/>
              <w:rPr>
                <w:rFonts w:ascii="仿宋_GB2312" w:hAnsi="仿宋_GB2312" w:cs="仿宋_GB2312"/>
                <w:b/>
                <w:bCs/>
                <w:sz w:val="24"/>
                <w:szCs w:val="24"/>
              </w:rPr>
            </w:pPr>
            <w:r w:rsidRPr="0048537C">
              <w:rPr>
                <w:rFonts w:ascii="仿宋_GB2312" w:hAnsi="仿宋_GB2312" w:cs="仿宋_GB2312"/>
                <w:b/>
                <w:bCs/>
                <w:sz w:val="24"/>
                <w:szCs w:val="24"/>
              </w:rPr>
              <w:t>指标点</w:t>
            </w:r>
          </w:p>
        </w:tc>
        <w:tc>
          <w:tcPr>
            <w:tcW w:w="1780" w:type="pct"/>
            <w:tcBorders>
              <w:top w:val="single" w:sz="4" w:space="0" w:color="auto"/>
              <w:left w:val="single" w:sz="4" w:space="0" w:color="000000"/>
              <w:bottom w:val="single" w:sz="4" w:space="0" w:color="000000"/>
              <w:right w:val="single" w:sz="4" w:space="0" w:color="auto"/>
            </w:tcBorders>
            <w:vAlign w:val="center"/>
          </w:tcPr>
          <w:p w:rsidR="00F11446" w:rsidRPr="0048537C" w:rsidRDefault="00F11446"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指标点内容</w:t>
            </w:r>
          </w:p>
        </w:tc>
      </w:tr>
      <w:tr w:rsidR="00F11446" w:rsidRPr="0048537C" w:rsidTr="0048537C">
        <w:trPr>
          <w:trHeight w:val="454"/>
          <w:jc w:val="center"/>
        </w:trPr>
        <w:tc>
          <w:tcPr>
            <w:tcW w:w="40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w:t>
            </w:r>
          </w:p>
        </w:tc>
        <w:tc>
          <w:tcPr>
            <w:tcW w:w="2198"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目标1：</w:t>
            </w:r>
            <w:r w:rsidRPr="0048537C">
              <w:rPr>
                <w:rFonts w:ascii="仿宋_GB2312" w:hAnsi="仿宋_GB2312" w:cs="仿宋_GB2312" w:hint="eastAsia"/>
                <w:bCs/>
                <w:sz w:val="24"/>
                <w:szCs w:val="24"/>
              </w:rPr>
              <w:t>了解我国市场经济条件下的计价体系，掌握合理确定和控制工程造价的理论、方法，掌握建设项目各阶段计价的方法与原理，掌握我国现行的工程造价构成。</w:t>
            </w:r>
          </w:p>
          <w:p w:rsidR="00F11446" w:rsidRPr="0048537C" w:rsidRDefault="00F11446" w:rsidP="0048537C">
            <w:pPr>
              <w:spacing w:line="360" w:lineRule="auto"/>
              <w:ind w:firstLine="331"/>
              <w:rPr>
                <w:rFonts w:ascii="仿宋_GB2312" w:hAnsi="仿宋_GB2312" w:cs="仿宋_GB2312"/>
                <w:bCs/>
                <w:sz w:val="24"/>
                <w:szCs w:val="24"/>
              </w:rPr>
            </w:pPr>
          </w:p>
        </w:tc>
        <w:tc>
          <w:tcPr>
            <w:tcW w:w="620"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3.11</w:t>
            </w:r>
          </w:p>
        </w:tc>
        <w:tc>
          <w:tcPr>
            <w:tcW w:w="1780"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能够在与工程造价专业相关的多学科环境中，掌握工程项目涉及的管理原理与经济决策方法。</w:t>
            </w:r>
          </w:p>
        </w:tc>
      </w:tr>
      <w:tr w:rsidR="00F11446" w:rsidRPr="0048537C" w:rsidTr="0048537C">
        <w:trPr>
          <w:trHeight w:val="454"/>
          <w:jc w:val="center"/>
        </w:trPr>
        <w:tc>
          <w:tcPr>
            <w:tcW w:w="40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2</w:t>
            </w:r>
          </w:p>
        </w:tc>
        <w:tc>
          <w:tcPr>
            <w:tcW w:w="2198"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目标2：</w:t>
            </w:r>
            <w:r w:rsidRPr="0048537C">
              <w:rPr>
                <w:rFonts w:ascii="仿宋_GB2312" w:hAnsi="仿宋_GB2312" w:cs="仿宋_GB2312" w:hint="eastAsia"/>
                <w:bCs/>
                <w:sz w:val="24"/>
                <w:szCs w:val="24"/>
              </w:rPr>
              <w:t>准确理解工程造价指数的概念，能熟练计算相关造价指数，了解概算定额、估算指标、费用定额，了解项目可行性研究的基本原理、内容与程序，准确理解投资估算的概念与内容，熟悉设计概算的编制与审查。</w:t>
            </w:r>
          </w:p>
          <w:p w:rsidR="00F11446" w:rsidRPr="0048537C" w:rsidRDefault="00F11446" w:rsidP="0048537C">
            <w:pPr>
              <w:spacing w:line="360" w:lineRule="auto"/>
              <w:ind w:firstLine="331"/>
              <w:rPr>
                <w:rFonts w:ascii="仿宋_GB2312" w:hAnsi="仿宋_GB2312" w:cs="仿宋_GB2312"/>
                <w:bCs/>
                <w:sz w:val="24"/>
                <w:szCs w:val="24"/>
              </w:rPr>
            </w:pPr>
          </w:p>
          <w:p w:rsidR="00F11446" w:rsidRPr="0048537C" w:rsidRDefault="00F11446" w:rsidP="0048537C">
            <w:pPr>
              <w:spacing w:line="360" w:lineRule="auto"/>
              <w:ind w:firstLine="331"/>
              <w:rPr>
                <w:rFonts w:ascii="仿宋_GB2312" w:hAnsi="仿宋_GB2312" w:cs="仿宋_GB2312"/>
                <w:bCs/>
                <w:sz w:val="24"/>
                <w:szCs w:val="24"/>
              </w:rPr>
            </w:pPr>
          </w:p>
        </w:tc>
        <w:tc>
          <w:tcPr>
            <w:tcW w:w="620"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3.4</w:t>
            </w:r>
          </w:p>
        </w:tc>
        <w:tc>
          <w:tcPr>
            <w:tcW w:w="1780"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能够基于科学原理并采取科学方法对复杂工程问题进行研究，包括基于价值工程原理的设计方案的优化、分析与解释数据、并通过信息综合得到合理有效结论。</w:t>
            </w:r>
          </w:p>
        </w:tc>
      </w:tr>
      <w:tr w:rsidR="00F11446" w:rsidRPr="0048537C" w:rsidTr="0048537C">
        <w:trPr>
          <w:trHeight w:val="454"/>
          <w:jc w:val="center"/>
        </w:trPr>
        <w:tc>
          <w:tcPr>
            <w:tcW w:w="40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3</w:t>
            </w:r>
          </w:p>
        </w:tc>
        <w:tc>
          <w:tcPr>
            <w:tcW w:w="2198"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目标3：</w:t>
            </w:r>
            <w:r w:rsidRPr="0048537C">
              <w:rPr>
                <w:rFonts w:ascii="仿宋_GB2312" w:hAnsi="仿宋_GB2312" w:cs="仿宋_GB2312" w:hint="eastAsia"/>
                <w:bCs/>
                <w:sz w:val="24"/>
                <w:szCs w:val="24"/>
              </w:rPr>
              <w:t>了解招投标及合同价款的确定，掌握工程变更和工程索赔的处理，掌握工程进度款与竣工款的结算方法，能独立进行工程进度款结算与竣工款结算。</w:t>
            </w:r>
          </w:p>
          <w:p w:rsidR="00F11446" w:rsidRPr="0048537C" w:rsidRDefault="00F11446" w:rsidP="0048537C">
            <w:pPr>
              <w:spacing w:line="360" w:lineRule="auto"/>
              <w:ind w:firstLine="331"/>
              <w:rPr>
                <w:rFonts w:ascii="仿宋_GB2312" w:hAnsi="仿宋_GB2312" w:cs="仿宋_GB2312"/>
                <w:bCs/>
                <w:sz w:val="24"/>
                <w:szCs w:val="24"/>
              </w:rPr>
            </w:pPr>
          </w:p>
          <w:p w:rsidR="00F11446" w:rsidRPr="0048537C" w:rsidRDefault="00F11446" w:rsidP="0048537C">
            <w:pPr>
              <w:spacing w:line="360" w:lineRule="auto"/>
              <w:ind w:firstLine="331"/>
              <w:rPr>
                <w:rFonts w:ascii="仿宋_GB2312" w:hAnsi="仿宋_GB2312" w:cs="仿宋_GB2312"/>
                <w:bCs/>
                <w:sz w:val="24"/>
                <w:szCs w:val="24"/>
              </w:rPr>
            </w:pPr>
          </w:p>
        </w:tc>
        <w:tc>
          <w:tcPr>
            <w:tcW w:w="620"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3.6</w:t>
            </w:r>
          </w:p>
        </w:tc>
        <w:tc>
          <w:tcPr>
            <w:tcW w:w="1780"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能够基于工程相关背景知识进行合理分析，评价专业工程实践和复杂工程问题解决方案对社会、安全、法律及文化的影响，并理解应承担的责任。</w:t>
            </w:r>
          </w:p>
        </w:tc>
      </w:tr>
    </w:tbl>
    <w:p w:rsidR="0048537C" w:rsidRDefault="0048537C" w:rsidP="0048537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3"/>
        <w:gridCol w:w="2149"/>
        <w:gridCol w:w="954"/>
        <w:gridCol w:w="596"/>
        <w:gridCol w:w="926"/>
      </w:tblGrid>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lastRenderedPageBreak/>
              <w:t>序号</w:t>
            </w:r>
          </w:p>
        </w:tc>
        <w:tc>
          <w:tcPr>
            <w:tcW w:w="1870" w:type="pct"/>
            <w:tcBorders>
              <w:top w:val="single" w:sz="4" w:space="0" w:color="000000"/>
              <w:left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教学内容及重点、难点</w:t>
            </w:r>
          </w:p>
        </w:tc>
        <w:tc>
          <w:tcPr>
            <w:tcW w:w="1295" w:type="pct"/>
            <w:tcBorders>
              <w:top w:val="single" w:sz="4" w:space="0" w:color="000000"/>
              <w:left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支撑课程教学目标</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1</w:t>
            </w:r>
          </w:p>
        </w:tc>
        <w:tc>
          <w:tcPr>
            <w:tcW w:w="1870"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内容：第一章</w:t>
            </w:r>
            <w:r w:rsidRPr="0048537C">
              <w:rPr>
                <w:rFonts w:ascii="仿宋_GB2312" w:hAnsi="仿宋_GB2312" w:cs="仿宋_GB2312" w:hint="eastAsia"/>
                <w:bCs/>
                <w:sz w:val="24"/>
                <w:szCs w:val="24"/>
              </w:rPr>
              <w:t xml:space="preserve"> 工程造价管理基础知识</w:t>
            </w: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建设工程概论，工程造价概论。</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ind w:firstLineChars="100" w:firstLine="240"/>
              <w:jc w:val="left"/>
              <w:rPr>
                <w:rFonts w:ascii="仿宋_GB2312" w:hAnsi="仿宋_GB2312" w:cs="仿宋_GB2312"/>
                <w:bCs/>
                <w:sz w:val="24"/>
                <w:szCs w:val="24"/>
              </w:rPr>
            </w:pPr>
            <w:r w:rsidRPr="0048537C">
              <w:rPr>
                <w:rFonts w:ascii="仿宋_GB2312" w:hAnsi="仿宋_GB2312" w:cs="仿宋_GB2312" w:hint="eastAsia"/>
                <w:bCs/>
                <w:sz w:val="24"/>
                <w:szCs w:val="24"/>
              </w:rPr>
              <w:t>了解课程任务；熟悉工程造价管理的基本原理和概念及内容；熟悉造价的分类和划分原则。了解我国工程造价管理现状及其国外工程计价的模式。</w:t>
            </w:r>
          </w:p>
        </w:tc>
        <w:tc>
          <w:tcPr>
            <w:tcW w:w="575" w:type="pct"/>
            <w:tcBorders>
              <w:top w:val="single" w:sz="4" w:space="0" w:color="000000"/>
              <w:left w:val="single" w:sz="4" w:space="0" w:color="auto"/>
              <w:bottom w:val="single" w:sz="4" w:space="0" w:color="000000"/>
              <w:right w:val="single" w:sz="4" w:space="0" w:color="000000"/>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目标1</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2</w:t>
            </w:r>
          </w:p>
        </w:tc>
        <w:tc>
          <w:tcPr>
            <w:tcW w:w="1870"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内容：第二章</w:t>
            </w:r>
            <w:r w:rsidRPr="0048537C">
              <w:rPr>
                <w:rFonts w:ascii="仿宋_GB2312" w:hAnsi="仿宋_GB2312" w:cs="仿宋_GB2312" w:hint="eastAsia"/>
                <w:bCs/>
                <w:sz w:val="24"/>
                <w:szCs w:val="24"/>
              </w:rPr>
              <w:t xml:space="preserve"> 工程造价费用构成</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建筑安装工程费用。</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难点：</w:t>
            </w:r>
            <w:r w:rsidRPr="0048537C">
              <w:rPr>
                <w:rFonts w:ascii="仿宋_GB2312" w:hAnsi="仿宋_GB2312" w:cs="仿宋_GB2312" w:hint="eastAsia"/>
                <w:bCs/>
                <w:sz w:val="24"/>
                <w:szCs w:val="24"/>
              </w:rPr>
              <w:t>设备及工器具购置费的构成与确定。</w:t>
            </w:r>
          </w:p>
          <w:p w:rsidR="00F11446" w:rsidRPr="0048537C" w:rsidRDefault="00F11446" w:rsidP="00CD00D2">
            <w:pPr>
              <w:spacing w:line="360" w:lineRule="exact"/>
              <w:jc w:val="left"/>
              <w:rPr>
                <w:rFonts w:ascii="仿宋_GB2312" w:hAnsi="仿宋_GB2312" w:cs="仿宋_GB2312"/>
                <w:bCs/>
                <w:sz w:val="24"/>
                <w:szCs w:val="24"/>
              </w:rPr>
            </w:pPr>
          </w:p>
        </w:tc>
        <w:tc>
          <w:tcPr>
            <w:tcW w:w="1295"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ind w:firstLineChars="100" w:firstLine="240"/>
              <w:jc w:val="left"/>
              <w:rPr>
                <w:rFonts w:ascii="仿宋_GB2312" w:hAnsi="仿宋_GB2312" w:cs="仿宋_GB2312"/>
                <w:bCs/>
                <w:sz w:val="24"/>
                <w:szCs w:val="24"/>
              </w:rPr>
            </w:pPr>
            <w:r w:rsidRPr="0048537C">
              <w:rPr>
                <w:rFonts w:ascii="仿宋_GB2312" w:hAnsi="仿宋_GB2312" w:cs="仿宋_GB2312" w:hint="eastAsia"/>
                <w:bCs/>
                <w:sz w:val="24"/>
                <w:szCs w:val="24"/>
              </w:rPr>
              <w:t>掌握国内外建设工程造价的费用构成；重点掌握建筑安装工程费用；了解影响工程造价构成的因素。</w:t>
            </w:r>
          </w:p>
        </w:tc>
        <w:tc>
          <w:tcPr>
            <w:tcW w:w="575" w:type="pct"/>
            <w:tcBorders>
              <w:top w:val="single" w:sz="4" w:space="0" w:color="000000"/>
              <w:left w:val="single" w:sz="4" w:space="0" w:color="auto"/>
              <w:bottom w:val="single" w:sz="4" w:space="0" w:color="000000"/>
              <w:right w:val="single" w:sz="4" w:space="0" w:color="000000"/>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目标2</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内容：第三章</w:t>
            </w:r>
            <w:r w:rsidRPr="0048537C">
              <w:rPr>
                <w:rFonts w:ascii="仿宋_GB2312" w:hAnsi="仿宋_GB2312" w:cs="仿宋_GB2312" w:hint="eastAsia"/>
                <w:bCs/>
                <w:sz w:val="24"/>
                <w:szCs w:val="24"/>
              </w:rPr>
              <w:t xml:space="preserve"> 工程计价方法</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工程建设定额计价方法，工程量清单计价方法</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难点：</w:t>
            </w:r>
            <w:r w:rsidRPr="0048537C">
              <w:rPr>
                <w:rFonts w:ascii="仿宋_GB2312" w:hAnsi="仿宋_GB2312" w:cs="仿宋_GB2312" w:hint="eastAsia"/>
                <w:bCs/>
                <w:sz w:val="24"/>
                <w:szCs w:val="24"/>
              </w:rPr>
              <w:t>无</w:t>
            </w:r>
          </w:p>
        </w:tc>
        <w:tc>
          <w:tcPr>
            <w:tcW w:w="1295"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ind w:firstLineChars="100" w:firstLine="240"/>
              <w:jc w:val="left"/>
              <w:rPr>
                <w:rFonts w:ascii="仿宋_GB2312" w:hAnsi="仿宋_GB2312" w:cs="仿宋_GB2312"/>
                <w:bCs/>
                <w:sz w:val="24"/>
                <w:szCs w:val="24"/>
              </w:rPr>
            </w:pPr>
            <w:r w:rsidRPr="0048537C">
              <w:rPr>
                <w:rFonts w:ascii="仿宋_GB2312" w:hAnsi="仿宋_GB2312" w:cs="仿宋_GB2312" w:hint="eastAsia"/>
                <w:bCs/>
                <w:sz w:val="24"/>
                <w:szCs w:val="24"/>
              </w:rPr>
              <w:t>掌握工程计价方法，掌握定额和单位估价表及费用定额的使用，掌握工程量清单编制程序和方法。</w:t>
            </w:r>
          </w:p>
        </w:tc>
        <w:tc>
          <w:tcPr>
            <w:tcW w:w="575" w:type="pct"/>
            <w:tcBorders>
              <w:top w:val="single" w:sz="4" w:space="0" w:color="000000"/>
              <w:left w:val="single" w:sz="4" w:space="0" w:color="auto"/>
              <w:bottom w:val="single" w:sz="4" w:space="0" w:color="000000"/>
              <w:right w:val="single" w:sz="4" w:space="0" w:color="000000"/>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课堂授课</w:t>
            </w:r>
          </w:p>
          <w:p w:rsidR="00F11446" w:rsidRPr="0048537C" w:rsidRDefault="00F11446" w:rsidP="00CD00D2">
            <w:pPr>
              <w:spacing w:line="360" w:lineRule="exact"/>
              <w:jc w:val="left"/>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目标2</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4</w:t>
            </w:r>
          </w:p>
        </w:tc>
        <w:tc>
          <w:tcPr>
            <w:tcW w:w="1870"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ind w:left="720" w:hangingChars="300" w:hanging="720"/>
              <w:jc w:val="left"/>
              <w:rPr>
                <w:rFonts w:ascii="仿宋_GB2312" w:hAnsi="仿宋_GB2312" w:cs="仿宋_GB2312"/>
                <w:bCs/>
                <w:sz w:val="24"/>
                <w:szCs w:val="24"/>
              </w:rPr>
            </w:pPr>
            <w:r w:rsidRPr="0048537C">
              <w:rPr>
                <w:rFonts w:ascii="仿宋_GB2312" w:hAnsi="仿宋_GB2312" w:cs="仿宋_GB2312"/>
                <w:bCs/>
                <w:sz w:val="24"/>
                <w:szCs w:val="24"/>
              </w:rPr>
              <w:t>内容：第四章</w:t>
            </w:r>
            <w:r w:rsidRPr="0048537C">
              <w:rPr>
                <w:rFonts w:ascii="仿宋_GB2312" w:hAnsi="仿宋_GB2312" w:cs="仿宋_GB2312" w:hint="eastAsia"/>
                <w:bCs/>
                <w:sz w:val="24"/>
                <w:szCs w:val="24"/>
              </w:rPr>
              <w:t xml:space="preserve"> 投资决策阶段的工程造价管理</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 xml:space="preserve"> 建设项目的可行性研究， 建设项目投资估算的概念和方法， 投资决策阶段的工程造价控制</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 xml:space="preserve">  熟悉投资决策阶段的各项工作，尤其是可行性研究，掌握建设项目投资估算的概念和方法，熟悉投资决策阶段的工程造价控制。</w:t>
            </w:r>
          </w:p>
        </w:tc>
        <w:tc>
          <w:tcPr>
            <w:tcW w:w="575" w:type="pct"/>
            <w:tcBorders>
              <w:top w:val="single" w:sz="4" w:space="0" w:color="000000"/>
              <w:left w:val="single" w:sz="4" w:space="0" w:color="auto"/>
              <w:bottom w:val="single" w:sz="4" w:space="0" w:color="000000"/>
              <w:right w:val="single" w:sz="4" w:space="0" w:color="000000"/>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课堂授课</w:t>
            </w:r>
          </w:p>
          <w:p w:rsidR="00F11446" w:rsidRPr="0048537C" w:rsidRDefault="00F11446" w:rsidP="00CD00D2">
            <w:pPr>
              <w:spacing w:line="360" w:lineRule="exact"/>
              <w:jc w:val="left"/>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目标2</w:t>
            </w:r>
            <w:r w:rsidRPr="0048537C">
              <w:rPr>
                <w:rFonts w:ascii="仿宋_GB2312" w:hAnsi="仿宋_GB2312" w:cs="仿宋_GB2312" w:hint="eastAsia"/>
                <w:bCs/>
                <w:sz w:val="24"/>
                <w:szCs w:val="24"/>
              </w:rPr>
              <w:t>、4</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5</w:t>
            </w:r>
          </w:p>
        </w:tc>
        <w:tc>
          <w:tcPr>
            <w:tcW w:w="1870"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内容：第五章</w:t>
            </w:r>
            <w:r w:rsidRPr="0048537C">
              <w:rPr>
                <w:rFonts w:ascii="仿宋_GB2312" w:hAnsi="仿宋_GB2312" w:cs="仿宋_GB2312" w:hint="eastAsia"/>
                <w:bCs/>
                <w:sz w:val="24"/>
                <w:szCs w:val="24"/>
              </w:rPr>
              <w:t>设计阶段的工程造价管理</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设计概算的编制与审查，施工图预算的编制与审查，设计阶段工程造价的控</w:t>
            </w:r>
            <w:r w:rsidRPr="0048537C">
              <w:rPr>
                <w:rFonts w:ascii="仿宋_GB2312" w:hAnsi="仿宋_GB2312" w:cs="仿宋_GB2312" w:hint="eastAsia"/>
                <w:bCs/>
                <w:sz w:val="24"/>
                <w:szCs w:val="24"/>
              </w:rPr>
              <w:lastRenderedPageBreak/>
              <w:t>制，</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难点：</w:t>
            </w:r>
            <w:r w:rsidRPr="0048537C">
              <w:rPr>
                <w:rFonts w:ascii="仿宋_GB2312" w:hAnsi="仿宋_GB2312" w:cs="仿宋_GB2312" w:hint="eastAsia"/>
                <w:bCs/>
                <w:sz w:val="24"/>
                <w:szCs w:val="24"/>
              </w:rPr>
              <w:t>价值工程运用</w:t>
            </w:r>
          </w:p>
          <w:p w:rsidR="00F11446" w:rsidRPr="0048537C" w:rsidRDefault="00F11446" w:rsidP="00CD00D2">
            <w:pPr>
              <w:spacing w:line="360" w:lineRule="exact"/>
              <w:jc w:val="left"/>
              <w:rPr>
                <w:rFonts w:ascii="仿宋_GB2312" w:hAnsi="仿宋_GB2312" w:cs="仿宋_GB2312"/>
                <w:bCs/>
                <w:sz w:val="24"/>
                <w:szCs w:val="24"/>
              </w:rPr>
            </w:pPr>
          </w:p>
        </w:tc>
        <w:tc>
          <w:tcPr>
            <w:tcW w:w="1295"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rPr>
                <w:rFonts w:ascii="仿宋_GB2312" w:hAnsi="仿宋_GB2312" w:cs="仿宋_GB2312"/>
                <w:bCs/>
                <w:sz w:val="24"/>
                <w:szCs w:val="24"/>
              </w:rPr>
            </w:pPr>
            <w:r w:rsidRPr="0048537C">
              <w:rPr>
                <w:rFonts w:ascii="仿宋_GB2312" w:hAnsi="仿宋_GB2312" w:cs="仿宋_GB2312" w:hint="eastAsia"/>
                <w:bCs/>
                <w:sz w:val="24"/>
                <w:szCs w:val="24"/>
              </w:rPr>
              <w:lastRenderedPageBreak/>
              <w:t>熟悉设计阶段的各项计价工作，掌握设计概算的编制与审查，</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掌握施工图预算的编制与审查，掌握</w:t>
            </w:r>
            <w:r w:rsidRPr="0048537C">
              <w:rPr>
                <w:rFonts w:ascii="仿宋_GB2312" w:hAnsi="仿宋_GB2312" w:cs="仿宋_GB2312" w:hint="eastAsia"/>
                <w:bCs/>
                <w:sz w:val="24"/>
                <w:szCs w:val="24"/>
              </w:rPr>
              <w:lastRenderedPageBreak/>
              <w:t>限额设计和价值工程。</w:t>
            </w:r>
          </w:p>
        </w:tc>
        <w:tc>
          <w:tcPr>
            <w:tcW w:w="575" w:type="pct"/>
            <w:tcBorders>
              <w:top w:val="single" w:sz="4" w:space="0" w:color="000000"/>
              <w:left w:val="single" w:sz="4" w:space="0" w:color="auto"/>
              <w:bottom w:val="single" w:sz="4" w:space="0" w:color="000000"/>
              <w:right w:val="single" w:sz="4" w:space="0" w:color="000000"/>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lastRenderedPageBreak/>
              <w:t>课互动讨论堂授课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目标2、</w:t>
            </w:r>
            <w:r w:rsidRPr="0048537C">
              <w:rPr>
                <w:rFonts w:ascii="仿宋_GB2312" w:hAnsi="仿宋_GB2312" w:cs="仿宋_GB2312" w:hint="eastAsia"/>
                <w:bCs/>
                <w:sz w:val="24"/>
                <w:szCs w:val="24"/>
              </w:rPr>
              <w:t>4</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6</w:t>
            </w:r>
          </w:p>
        </w:tc>
        <w:tc>
          <w:tcPr>
            <w:tcW w:w="1870"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内容：第六章</w:t>
            </w:r>
            <w:r w:rsidRPr="0048537C">
              <w:rPr>
                <w:rFonts w:ascii="仿宋_GB2312" w:hAnsi="仿宋_GB2312" w:cs="仿宋_GB2312" w:hint="eastAsia"/>
                <w:bCs/>
                <w:sz w:val="24"/>
                <w:szCs w:val="24"/>
              </w:rPr>
              <w:t>招投标阶段的工程造价管理</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招标标底和投标报价的编制，招投标策略，合同价款的确定。</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 xml:space="preserve"> 熟悉建设工程招投标工作；掌握招标标底和投标报价的编制；了解招投标策略；掌握合同价款的确定。</w:t>
            </w:r>
          </w:p>
        </w:tc>
        <w:tc>
          <w:tcPr>
            <w:tcW w:w="575" w:type="pct"/>
            <w:tcBorders>
              <w:top w:val="single" w:sz="4" w:space="0" w:color="000000"/>
              <w:left w:val="single" w:sz="4" w:space="0" w:color="auto"/>
              <w:bottom w:val="single" w:sz="4" w:space="0" w:color="000000"/>
              <w:right w:val="single" w:sz="4" w:space="0" w:color="000000"/>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目标2、</w:t>
            </w:r>
            <w:r w:rsidRPr="0048537C">
              <w:rPr>
                <w:rFonts w:ascii="仿宋_GB2312" w:hAnsi="仿宋_GB2312" w:cs="仿宋_GB2312" w:hint="eastAsia"/>
                <w:bCs/>
                <w:sz w:val="24"/>
                <w:szCs w:val="24"/>
              </w:rPr>
              <w:t>4</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7</w:t>
            </w:r>
          </w:p>
        </w:tc>
        <w:tc>
          <w:tcPr>
            <w:tcW w:w="1870"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内容：第七章</w:t>
            </w:r>
            <w:r w:rsidRPr="0048537C">
              <w:rPr>
                <w:rFonts w:ascii="仿宋_GB2312" w:hAnsi="仿宋_GB2312" w:cs="仿宋_GB2312" w:hint="eastAsia"/>
                <w:bCs/>
                <w:sz w:val="24"/>
                <w:szCs w:val="24"/>
              </w:rPr>
              <w:t>施工阶段的工程造价管理</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工程施工计量与计价，施工阶段造价的控制方法，工程变更与工程索赔管理，工程结算</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ind w:firstLineChars="100" w:firstLine="240"/>
              <w:jc w:val="left"/>
              <w:rPr>
                <w:rFonts w:ascii="仿宋_GB2312" w:hAnsi="仿宋_GB2312" w:cs="仿宋_GB2312"/>
                <w:bCs/>
                <w:sz w:val="24"/>
                <w:szCs w:val="24"/>
              </w:rPr>
            </w:pPr>
            <w:r w:rsidRPr="0048537C">
              <w:rPr>
                <w:rFonts w:ascii="仿宋_GB2312" w:hAnsi="仿宋_GB2312" w:cs="仿宋_GB2312" w:hint="eastAsia"/>
                <w:bCs/>
                <w:sz w:val="24"/>
                <w:szCs w:val="24"/>
              </w:rPr>
              <w:t xml:space="preserve"> 熟悉工程施工计量与计价方法；掌握施工阶段造价的控制方法；了解施工组织设计优化；熟悉工程变更与工程索赔管理；掌握工程结算方法。</w:t>
            </w:r>
          </w:p>
        </w:tc>
        <w:tc>
          <w:tcPr>
            <w:tcW w:w="575" w:type="pct"/>
            <w:tcBorders>
              <w:top w:val="single" w:sz="4" w:space="0" w:color="000000"/>
              <w:left w:val="single" w:sz="4" w:space="0" w:color="auto"/>
              <w:bottom w:val="single" w:sz="4" w:space="0" w:color="000000"/>
              <w:right w:val="single" w:sz="4" w:space="0" w:color="000000"/>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课堂授课</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目标2、</w:t>
            </w:r>
            <w:r w:rsidRPr="0048537C">
              <w:rPr>
                <w:rFonts w:ascii="仿宋_GB2312" w:hAnsi="仿宋_GB2312" w:cs="仿宋_GB2312" w:hint="eastAsia"/>
                <w:bCs/>
                <w:sz w:val="24"/>
                <w:szCs w:val="24"/>
              </w:rPr>
              <w:t>4</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8</w:t>
            </w:r>
          </w:p>
        </w:tc>
        <w:tc>
          <w:tcPr>
            <w:tcW w:w="1870"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内容：第八章</w:t>
            </w:r>
            <w:r w:rsidRPr="0048537C">
              <w:rPr>
                <w:rFonts w:ascii="仿宋_GB2312" w:hAnsi="仿宋_GB2312" w:cs="仿宋_GB2312" w:hint="eastAsia"/>
                <w:bCs/>
                <w:sz w:val="24"/>
                <w:szCs w:val="24"/>
              </w:rPr>
              <w:t>竣工验收阶段的工程造价管理</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 xml:space="preserve"> 竣工结算与竣工决算，保修费用的处理。</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熟悉竣工验收阶段的验收工作和工程造价的管理与控制方法，掌握竣工结算与竣工决算以及保修费用的处理。</w:t>
            </w:r>
          </w:p>
        </w:tc>
        <w:tc>
          <w:tcPr>
            <w:tcW w:w="575" w:type="pct"/>
            <w:tcBorders>
              <w:top w:val="single" w:sz="4" w:space="0" w:color="000000"/>
              <w:left w:val="single" w:sz="4" w:space="0" w:color="auto"/>
              <w:bottom w:val="single" w:sz="4" w:space="0" w:color="000000"/>
              <w:right w:val="single" w:sz="4" w:space="0" w:color="000000"/>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课堂授课</w:t>
            </w:r>
          </w:p>
          <w:p w:rsidR="00F11446" w:rsidRPr="0048537C" w:rsidRDefault="00F11446" w:rsidP="00CD00D2">
            <w:pPr>
              <w:spacing w:line="360" w:lineRule="exact"/>
              <w:jc w:val="left"/>
              <w:rPr>
                <w:rFonts w:ascii="仿宋_GB2312" w:hAnsi="仿宋_GB2312" w:cs="仿宋_GB2312"/>
                <w:bCs/>
                <w:sz w:val="24"/>
                <w:szCs w:val="24"/>
              </w:rPr>
            </w:pPr>
          </w:p>
          <w:p w:rsidR="00F11446" w:rsidRPr="0048537C" w:rsidRDefault="00F11446" w:rsidP="00CD00D2">
            <w:pPr>
              <w:spacing w:line="360" w:lineRule="exact"/>
              <w:jc w:val="left"/>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目标2、</w:t>
            </w:r>
            <w:r w:rsidRPr="0048537C">
              <w:rPr>
                <w:rFonts w:ascii="仿宋_GB2312" w:hAnsi="仿宋_GB2312" w:cs="仿宋_GB2312" w:hint="eastAsia"/>
                <w:bCs/>
                <w:sz w:val="24"/>
                <w:szCs w:val="24"/>
              </w:rPr>
              <w:t>4</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9</w:t>
            </w:r>
          </w:p>
        </w:tc>
        <w:tc>
          <w:tcPr>
            <w:tcW w:w="1870"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内容：第九章</w:t>
            </w:r>
            <w:r w:rsidRPr="0048537C">
              <w:rPr>
                <w:rFonts w:ascii="仿宋_GB2312" w:hAnsi="仿宋_GB2312" w:cs="仿宋_GB2312" w:hint="eastAsia"/>
                <w:bCs/>
                <w:sz w:val="24"/>
                <w:szCs w:val="24"/>
              </w:rPr>
              <w:t>工程造价信息化管理技</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工程造价信息管理， 计算机辅助造价管理</w:t>
            </w:r>
          </w:p>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了解工程造价信息管理；掌握工程计价与造价管理软件使用。</w:t>
            </w:r>
          </w:p>
        </w:tc>
        <w:tc>
          <w:tcPr>
            <w:tcW w:w="575" w:type="pct"/>
            <w:tcBorders>
              <w:top w:val="single" w:sz="4" w:space="0" w:color="000000"/>
              <w:left w:val="single" w:sz="4" w:space="0" w:color="auto"/>
              <w:bottom w:val="single" w:sz="4" w:space="0" w:color="000000"/>
              <w:right w:val="single" w:sz="4" w:space="0" w:color="000000"/>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目标</w:t>
            </w:r>
            <w:r w:rsidRPr="0048537C">
              <w:rPr>
                <w:rFonts w:ascii="仿宋_GB2312" w:hAnsi="仿宋_GB2312" w:cs="仿宋_GB2312" w:hint="eastAsia"/>
                <w:bCs/>
                <w:sz w:val="24"/>
                <w:szCs w:val="24"/>
              </w:rPr>
              <w:t>2</w:t>
            </w:r>
          </w:p>
        </w:tc>
      </w:tr>
    </w:tbl>
    <w:p w:rsidR="00F11446" w:rsidRDefault="00F11446" w:rsidP="00F11446">
      <w:pPr>
        <w:keepNext/>
        <w:spacing w:beforeLines="100" w:before="312" w:afterLines="50" w:after="156" w:line="360" w:lineRule="exact"/>
        <w:outlineLvl w:val="0"/>
        <w:rPr>
          <w:rFonts w:ascii="Times New Roman" w:eastAsia="黑体" w:hAnsi="Times New Roman"/>
          <w:sz w:val="28"/>
          <w:szCs w:val="28"/>
        </w:rPr>
      </w:pPr>
      <w:r>
        <w:rPr>
          <w:rFonts w:ascii="Times New Roman" w:eastAsia="黑体" w:hAnsi="Times New Roman"/>
          <w:sz w:val="28"/>
          <w:szCs w:val="28"/>
        </w:rPr>
        <w:t>课内实践教学内容及要求</w:t>
      </w:r>
    </w:p>
    <w:p w:rsidR="00F11446" w:rsidRDefault="00F11446" w:rsidP="00F11446">
      <w:pPr>
        <w:keepNext/>
        <w:spacing w:beforeLines="100" w:before="312" w:afterLines="50" w:after="156" w:line="360" w:lineRule="exact"/>
        <w:outlineLvl w:val="0"/>
        <w:rPr>
          <w:rFonts w:ascii="Times New Roman" w:eastAsia="黑体" w:hAnsi="Times New Roman"/>
          <w:sz w:val="28"/>
          <w:szCs w:val="28"/>
        </w:rPr>
      </w:pPr>
      <w:r>
        <w:rPr>
          <w:rFonts w:ascii="Times New Roman" w:eastAsia="黑体" w:hAnsi="Times New Roman"/>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F11446" w:rsidRPr="0048537C" w:rsidTr="00CD00D2">
        <w:trPr>
          <w:trHeight w:val="454"/>
          <w:jc w:val="center"/>
        </w:trPr>
        <w:tc>
          <w:tcPr>
            <w:tcW w:w="1624" w:type="pct"/>
            <w:vMerge w:val="restart"/>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章  节</w:t>
            </w:r>
          </w:p>
        </w:tc>
        <w:tc>
          <w:tcPr>
            <w:tcW w:w="2937" w:type="pct"/>
            <w:gridSpan w:val="6"/>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学 时 分 配</w:t>
            </w:r>
          </w:p>
        </w:tc>
        <w:tc>
          <w:tcPr>
            <w:tcW w:w="439" w:type="pct"/>
            <w:vMerge w:val="restart"/>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合  计</w:t>
            </w:r>
          </w:p>
        </w:tc>
      </w:tr>
      <w:tr w:rsidR="00F11446" w:rsidRPr="0048537C" w:rsidTr="00CD00D2">
        <w:trPr>
          <w:trHeight w:val="454"/>
          <w:jc w:val="center"/>
        </w:trPr>
        <w:tc>
          <w:tcPr>
            <w:tcW w:w="1624" w:type="pct"/>
            <w:vMerge/>
            <w:vAlign w:val="center"/>
          </w:tcPr>
          <w:p w:rsidR="00F11446" w:rsidRPr="0048537C" w:rsidRDefault="00F11446" w:rsidP="0048537C">
            <w:pPr>
              <w:spacing w:line="360" w:lineRule="exact"/>
              <w:jc w:val="left"/>
              <w:rPr>
                <w:rFonts w:ascii="仿宋_GB2312" w:hAnsi="仿宋_GB2312" w:cs="仿宋_GB2312"/>
                <w:b/>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讲  课</w:t>
            </w:r>
          </w:p>
        </w:tc>
        <w:tc>
          <w:tcPr>
            <w:tcW w:w="490" w:type="pct"/>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实验课</w:t>
            </w:r>
          </w:p>
        </w:tc>
        <w:tc>
          <w:tcPr>
            <w:tcW w:w="489" w:type="pct"/>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上机课</w:t>
            </w:r>
          </w:p>
        </w:tc>
        <w:tc>
          <w:tcPr>
            <w:tcW w:w="490" w:type="pct"/>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讨论课</w:t>
            </w:r>
          </w:p>
        </w:tc>
        <w:tc>
          <w:tcPr>
            <w:tcW w:w="489" w:type="pct"/>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习题课</w:t>
            </w:r>
          </w:p>
        </w:tc>
        <w:tc>
          <w:tcPr>
            <w:tcW w:w="490" w:type="pct"/>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其  它</w:t>
            </w:r>
          </w:p>
        </w:tc>
        <w:tc>
          <w:tcPr>
            <w:tcW w:w="439" w:type="pct"/>
            <w:vMerge/>
            <w:vAlign w:val="center"/>
          </w:tcPr>
          <w:p w:rsidR="00F11446" w:rsidRPr="0048537C" w:rsidRDefault="00F11446" w:rsidP="0048537C">
            <w:pPr>
              <w:spacing w:line="360" w:lineRule="exact"/>
              <w:jc w:val="left"/>
              <w:rPr>
                <w:rFonts w:ascii="仿宋_GB2312" w:hAnsi="仿宋_GB2312" w:cs="仿宋_GB2312"/>
                <w:b/>
                <w:bCs/>
                <w:sz w:val="24"/>
                <w:szCs w:val="24"/>
              </w:rPr>
            </w:pPr>
          </w:p>
        </w:tc>
      </w:tr>
      <w:tr w:rsidR="00F11446" w:rsidTr="00CD00D2">
        <w:trPr>
          <w:trHeight w:val="454"/>
          <w:jc w:val="center"/>
        </w:trPr>
        <w:tc>
          <w:tcPr>
            <w:tcW w:w="1624"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第一章</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4</w:t>
            </w: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4</w:t>
            </w:r>
          </w:p>
        </w:tc>
      </w:tr>
      <w:tr w:rsidR="00F11446" w:rsidTr="00CD00D2">
        <w:trPr>
          <w:trHeight w:val="454"/>
          <w:jc w:val="center"/>
        </w:trPr>
        <w:tc>
          <w:tcPr>
            <w:tcW w:w="1624"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lastRenderedPageBreak/>
              <w:t>第二章</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2</w:t>
            </w: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2</w:t>
            </w:r>
          </w:p>
        </w:tc>
      </w:tr>
      <w:tr w:rsidR="00F11446" w:rsidTr="00CD00D2">
        <w:trPr>
          <w:trHeight w:val="454"/>
          <w:jc w:val="center"/>
        </w:trPr>
        <w:tc>
          <w:tcPr>
            <w:tcW w:w="1624"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第三章</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2</w:t>
            </w:r>
          </w:p>
        </w:tc>
      </w:tr>
      <w:tr w:rsidR="00F11446" w:rsidTr="00CD00D2">
        <w:trPr>
          <w:trHeight w:val="454"/>
          <w:jc w:val="center"/>
        </w:trPr>
        <w:tc>
          <w:tcPr>
            <w:tcW w:w="1624"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第四章</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6</w:t>
            </w: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6</w:t>
            </w:r>
          </w:p>
        </w:tc>
      </w:tr>
      <w:tr w:rsidR="00F11446" w:rsidTr="00CD00D2">
        <w:trPr>
          <w:trHeight w:val="454"/>
          <w:jc w:val="center"/>
        </w:trPr>
        <w:tc>
          <w:tcPr>
            <w:tcW w:w="1624"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第五章</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5</w:t>
            </w: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1</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6</w:t>
            </w:r>
          </w:p>
        </w:tc>
      </w:tr>
      <w:tr w:rsidR="00F11446" w:rsidTr="00CD00D2">
        <w:trPr>
          <w:trHeight w:val="454"/>
          <w:jc w:val="center"/>
        </w:trPr>
        <w:tc>
          <w:tcPr>
            <w:tcW w:w="1624"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第六章</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2</w:t>
            </w: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2</w:t>
            </w:r>
          </w:p>
        </w:tc>
      </w:tr>
      <w:tr w:rsidR="00F11446" w:rsidTr="00CD00D2">
        <w:trPr>
          <w:trHeight w:val="454"/>
          <w:jc w:val="center"/>
        </w:trPr>
        <w:tc>
          <w:tcPr>
            <w:tcW w:w="1624"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第七章</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5</w:t>
            </w: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1</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6</w:t>
            </w:r>
          </w:p>
        </w:tc>
      </w:tr>
      <w:tr w:rsidR="00F11446" w:rsidTr="00CD00D2">
        <w:trPr>
          <w:trHeight w:val="454"/>
          <w:jc w:val="center"/>
        </w:trPr>
        <w:tc>
          <w:tcPr>
            <w:tcW w:w="1624"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第八章</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2</w:t>
            </w:r>
          </w:p>
        </w:tc>
      </w:tr>
      <w:tr w:rsidR="00F11446" w:rsidTr="00CD00D2">
        <w:trPr>
          <w:trHeight w:val="454"/>
          <w:jc w:val="center"/>
        </w:trPr>
        <w:tc>
          <w:tcPr>
            <w:tcW w:w="1624"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第九章</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2</w:t>
            </w:r>
          </w:p>
        </w:tc>
      </w:tr>
      <w:tr w:rsidR="00F11446" w:rsidTr="00CD00D2">
        <w:trPr>
          <w:trHeight w:val="454"/>
          <w:jc w:val="center"/>
        </w:trPr>
        <w:tc>
          <w:tcPr>
            <w:tcW w:w="1624"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共  计</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30</w:t>
            </w: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489"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90" w:type="pct"/>
            <w:vAlign w:val="center"/>
          </w:tcPr>
          <w:p w:rsidR="00F11446" w:rsidRPr="0048537C" w:rsidRDefault="00F11446" w:rsidP="0048537C">
            <w:pPr>
              <w:spacing w:line="360" w:lineRule="exact"/>
              <w:jc w:val="left"/>
              <w:rPr>
                <w:rFonts w:ascii="仿宋_GB2312" w:hAnsi="仿宋_GB2312" w:cs="仿宋_GB2312"/>
                <w:bCs/>
                <w:sz w:val="24"/>
                <w:szCs w:val="24"/>
              </w:rPr>
            </w:pPr>
          </w:p>
        </w:tc>
        <w:tc>
          <w:tcPr>
            <w:tcW w:w="4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32</w:t>
            </w:r>
          </w:p>
        </w:tc>
      </w:tr>
    </w:tbl>
    <w:p w:rsidR="00F11446" w:rsidRDefault="00F11446" w:rsidP="00F11446">
      <w:pPr>
        <w:keepNext/>
        <w:spacing w:beforeLines="100" w:before="312" w:afterLines="50" w:after="156" w:line="360" w:lineRule="exact"/>
        <w:outlineLvl w:val="0"/>
        <w:rPr>
          <w:rFonts w:ascii="Times New Roman" w:eastAsia="黑体" w:hAnsi="Times New Roman"/>
          <w:sz w:val="28"/>
          <w:szCs w:val="28"/>
        </w:rPr>
      </w:pPr>
      <w:r>
        <w:rPr>
          <w:rFonts w:ascii="Times New Roman" w:eastAsia="黑体" w:hAnsi="Times New Roman"/>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930"/>
        <w:gridCol w:w="3217"/>
      </w:tblGrid>
      <w:tr w:rsidR="00F11446" w:rsidTr="00CD00D2">
        <w:trPr>
          <w:trHeight w:val="454"/>
          <w:jc w:val="center"/>
        </w:trPr>
        <w:tc>
          <w:tcPr>
            <w:tcW w:w="343" w:type="pct"/>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序号</w:t>
            </w:r>
          </w:p>
        </w:tc>
        <w:tc>
          <w:tcPr>
            <w:tcW w:w="1555" w:type="pct"/>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课程思政教学目标</w:t>
            </w:r>
          </w:p>
        </w:tc>
        <w:tc>
          <w:tcPr>
            <w:tcW w:w="1163" w:type="pct"/>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授课章节</w:t>
            </w:r>
          </w:p>
        </w:tc>
        <w:tc>
          <w:tcPr>
            <w:tcW w:w="1939" w:type="pct"/>
            <w:vAlign w:val="center"/>
          </w:tcPr>
          <w:p w:rsidR="00F11446" w:rsidRPr="0048537C" w:rsidRDefault="00F11446" w:rsidP="0048537C">
            <w:pPr>
              <w:spacing w:line="360" w:lineRule="exact"/>
              <w:jc w:val="left"/>
              <w:rPr>
                <w:rFonts w:ascii="仿宋_GB2312" w:hAnsi="仿宋_GB2312" w:cs="仿宋_GB2312"/>
                <w:b/>
                <w:bCs/>
                <w:sz w:val="24"/>
                <w:szCs w:val="24"/>
              </w:rPr>
            </w:pPr>
            <w:r w:rsidRPr="0048537C">
              <w:rPr>
                <w:rFonts w:ascii="仿宋_GB2312" w:hAnsi="仿宋_GB2312" w:cs="仿宋_GB2312"/>
                <w:b/>
                <w:bCs/>
                <w:sz w:val="24"/>
                <w:szCs w:val="24"/>
              </w:rPr>
              <w:t>课程思政融入点（至少5处）</w:t>
            </w:r>
          </w:p>
        </w:tc>
      </w:tr>
      <w:tr w:rsidR="00F11446" w:rsidTr="00CD00D2">
        <w:trPr>
          <w:trHeight w:val="454"/>
          <w:jc w:val="center"/>
        </w:trPr>
        <w:tc>
          <w:tcPr>
            <w:tcW w:w="343"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1</w:t>
            </w:r>
          </w:p>
        </w:tc>
        <w:tc>
          <w:tcPr>
            <w:tcW w:w="1555"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正确政治导向</w:t>
            </w:r>
          </w:p>
        </w:tc>
        <w:tc>
          <w:tcPr>
            <w:tcW w:w="1163"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第一章</w:t>
            </w:r>
          </w:p>
        </w:tc>
        <w:tc>
          <w:tcPr>
            <w:tcW w:w="19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建设工程全面工程造价管理是时代要求</w:t>
            </w:r>
          </w:p>
        </w:tc>
      </w:tr>
      <w:tr w:rsidR="00F11446" w:rsidTr="00CD00D2">
        <w:trPr>
          <w:trHeight w:val="454"/>
          <w:jc w:val="center"/>
        </w:trPr>
        <w:tc>
          <w:tcPr>
            <w:tcW w:w="343"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2</w:t>
            </w:r>
          </w:p>
        </w:tc>
        <w:tc>
          <w:tcPr>
            <w:tcW w:w="1555"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社会主义核心价值观教育</w:t>
            </w:r>
          </w:p>
        </w:tc>
        <w:tc>
          <w:tcPr>
            <w:tcW w:w="1163"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第二章</w:t>
            </w:r>
          </w:p>
        </w:tc>
        <w:tc>
          <w:tcPr>
            <w:tcW w:w="19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先进技术是提升生活质量的有力工具</w:t>
            </w:r>
          </w:p>
        </w:tc>
      </w:tr>
      <w:tr w:rsidR="00F11446" w:rsidTr="00CD00D2">
        <w:trPr>
          <w:trHeight w:val="454"/>
          <w:jc w:val="center"/>
        </w:trPr>
        <w:tc>
          <w:tcPr>
            <w:tcW w:w="343"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3</w:t>
            </w:r>
          </w:p>
        </w:tc>
        <w:tc>
          <w:tcPr>
            <w:tcW w:w="1555"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远大理想塑造</w:t>
            </w:r>
          </w:p>
        </w:tc>
        <w:tc>
          <w:tcPr>
            <w:tcW w:w="1163"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第一~四章</w:t>
            </w:r>
          </w:p>
        </w:tc>
        <w:tc>
          <w:tcPr>
            <w:tcW w:w="19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培养核心能力是遵纪守法、客观、公正的执业意识和职业道德的基础</w:t>
            </w:r>
          </w:p>
        </w:tc>
      </w:tr>
      <w:tr w:rsidR="00F11446" w:rsidTr="00CD00D2">
        <w:trPr>
          <w:trHeight w:val="454"/>
          <w:jc w:val="center"/>
        </w:trPr>
        <w:tc>
          <w:tcPr>
            <w:tcW w:w="343"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4</w:t>
            </w:r>
          </w:p>
        </w:tc>
        <w:tc>
          <w:tcPr>
            <w:tcW w:w="1555"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健康心态培育</w:t>
            </w:r>
          </w:p>
        </w:tc>
        <w:tc>
          <w:tcPr>
            <w:tcW w:w="1163"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第五~八章</w:t>
            </w:r>
          </w:p>
        </w:tc>
        <w:tc>
          <w:tcPr>
            <w:tcW w:w="19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各种新技术需要不断创新、不断学习，应勇于面对新问题并着力寻求解决</w:t>
            </w:r>
          </w:p>
        </w:tc>
      </w:tr>
      <w:tr w:rsidR="00F11446" w:rsidTr="00CD00D2">
        <w:trPr>
          <w:trHeight w:val="454"/>
          <w:jc w:val="center"/>
        </w:trPr>
        <w:tc>
          <w:tcPr>
            <w:tcW w:w="343"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5</w:t>
            </w:r>
          </w:p>
        </w:tc>
        <w:tc>
          <w:tcPr>
            <w:tcW w:w="1555"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道德品质培养</w:t>
            </w:r>
          </w:p>
        </w:tc>
        <w:tc>
          <w:tcPr>
            <w:tcW w:w="1163"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第五~八章</w:t>
            </w:r>
          </w:p>
        </w:tc>
        <w:tc>
          <w:tcPr>
            <w:tcW w:w="1939" w:type="pct"/>
            <w:vAlign w:val="center"/>
          </w:tcPr>
          <w:p w:rsidR="00F11446" w:rsidRPr="0048537C" w:rsidRDefault="00F11446" w:rsidP="0048537C">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各项造价计价方法要应用于解决市场的合理需求，切实服务于社会</w:t>
            </w:r>
          </w:p>
        </w:tc>
      </w:tr>
    </w:tbl>
    <w:p w:rsidR="0048537C" w:rsidRDefault="0048537C" w:rsidP="0048537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F11446" w:rsidRPr="0048537C" w:rsidRDefault="00F11446" w:rsidP="0048537C">
      <w:pPr>
        <w:spacing w:line="360" w:lineRule="auto"/>
        <w:ind w:firstLineChars="196" w:firstLine="549"/>
        <w:rPr>
          <w:rFonts w:ascii="仿宋_GB2312" w:hAnsi="仿宋_GB2312" w:cs="仿宋_GB2312"/>
          <w:bCs/>
          <w:sz w:val="28"/>
          <w:szCs w:val="28"/>
        </w:rPr>
      </w:pPr>
      <w:r w:rsidRPr="0048537C">
        <w:rPr>
          <w:rFonts w:ascii="仿宋_GB2312" w:hAnsi="仿宋_GB2312" w:cs="仿宋_GB2312"/>
          <w:bCs/>
          <w:sz w:val="28"/>
          <w:szCs w:val="28"/>
        </w:rPr>
        <w:t>（1）考核方式</w:t>
      </w:r>
    </w:p>
    <w:p w:rsidR="00F11446" w:rsidRPr="0048537C" w:rsidRDefault="00F11446" w:rsidP="0048537C">
      <w:pPr>
        <w:spacing w:line="360" w:lineRule="auto"/>
        <w:ind w:firstLineChars="196" w:firstLine="549"/>
        <w:rPr>
          <w:rFonts w:ascii="仿宋_GB2312" w:hAnsi="仿宋_GB2312" w:cs="仿宋_GB2312"/>
          <w:bCs/>
          <w:sz w:val="28"/>
          <w:szCs w:val="28"/>
        </w:rPr>
      </w:pPr>
      <w:r w:rsidRPr="0048537C">
        <w:rPr>
          <w:rFonts w:ascii="仿宋_GB2312" w:hAnsi="仿宋_GB2312" w:cs="仿宋_GB2312"/>
          <w:bCs/>
          <w:sz w:val="28"/>
          <w:szCs w:val="28"/>
        </w:rPr>
        <w:t>本课程考核方式为考试，其中期末考核方式为标准答案考试，过程考核方式为课堂出勤、作业完成情况等。</w:t>
      </w:r>
    </w:p>
    <w:p w:rsidR="00F11446" w:rsidRPr="0048537C" w:rsidRDefault="00F11446" w:rsidP="0048537C">
      <w:pPr>
        <w:spacing w:line="360" w:lineRule="auto"/>
        <w:ind w:firstLineChars="196" w:firstLine="549"/>
        <w:rPr>
          <w:rFonts w:ascii="仿宋_GB2312" w:hAnsi="仿宋_GB2312" w:cs="仿宋_GB2312"/>
          <w:bCs/>
          <w:sz w:val="28"/>
          <w:szCs w:val="28"/>
        </w:rPr>
      </w:pPr>
      <w:r w:rsidRPr="0048537C">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881"/>
        <w:gridCol w:w="672"/>
        <w:gridCol w:w="672"/>
        <w:gridCol w:w="672"/>
        <w:gridCol w:w="672"/>
        <w:gridCol w:w="672"/>
        <w:gridCol w:w="677"/>
        <w:gridCol w:w="656"/>
        <w:gridCol w:w="667"/>
      </w:tblGrid>
      <w:tr w:rsidR="00F11446" w:rsidRPr="0048537C" w:rsidTr="00CD00D2">
        <w:trPr>
          <w:trHeight w:val="454"/>
          <w:jc w:val="center"/>
        </w:trPr>
        <w:tc>
          <w:tcPr>
            <w:tcW w:w="396" w:type="pct"/>
            <w:vMerge w:val="restart"/>
            <w:tcBorders>
              <w:top w:val="single" w:sz="4" w:space="0" w:color="000000"/>
              <w:left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lastRenderedPageBreak/>
              <w:t>序号</w:t>
            </w:r>
          </w:p>
        </w:tc>
        <w:tc>
          <w:tcPr>
            <w:tcW w:w="649" w:type="pct"/>
            <w:vMerge w:val="restart"/>
            <w:tcBorders>
              <w:top w:val="single" w:sz="4" w:space="0" w:color="000000"/>
              <w:left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课程</w:t>
            </w:r>
          </w:p>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目标</w:t>
            </w:r>
          </w:p>
        </w:tc>
        <w:tc>
          <w:tcPr>
            <w:tcW w:w="3956" w:type="pct"/>
            <w:gridSpan w:val="8"/>
            <w:tcBorders>
              <w:top w:val="single" w:sz="4" w:space="0" w:color="000000"/>
              <w:left w:val="single" w:sz="4" w:space="0" w:color="auto"/>
              <w:bottom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考核方式及成绩比例（%）</w:t>
            </w:r>
          </w:p>
        </w:tc>
      </w:tr>
      <w:tr w:rsidR="00F11446" w:rsidRPr="0048537C" w:rsidTr="00CD00D2">
        <w:trPr>
          <w:trHeight w:val="454"/>
          <w:jc w:val="center"/>
        </w:trPr>
        <w:tc>
          <w:tcPr>
            <w:tcW w:w="396" w:type="pct"/>
            <w:vMerge/>
            <w:tcBorders>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p>
        </w:tc>
        <w:tc>
          <w:tcPr>
            <w:tcW w:w="496" w:type="pct"/>
            <w:tcBorders>
              <w:top w:val="single" w:sz="4" w:space="0" w:color="auto"/>
              <w:left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考勤</w:t>
            </w:r>
          </w:p>
        </w:tc>
        <w:tc>
          <w:tcPr>
            <w:tcW w:w="496" w:type="pct"/>
            <w:tcBorders>
              <w:top w:val="single" w:sz="4" w:space="0" w:color="auto"/>
              <w:left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作业</w:t>
            </w:r>
          </w:p>
        </w:tc>
        <w:tc>
          <w:tcPr>
            <w:tcW w:w="496" w:type="pct"/>
            <w:tcBorders>
              <w:top w:val="single" w:sz="4" w:space="0" w:color="auto"/>
              <w:left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讨论</w:t>
            </w:r>
          </w:p>
        </w:tc>
        <w:tc>
          <w:tcPr>
            <w:tcW w:w="496" w:type="pct"/>
            <w:tcBorders>
              <w:top w:val="single" w:sz="4" w:space="0" w:color="auto"/>
              <w:left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实验</w:t>
            </w:r>
          </w:p>
        </w:tc>
        <w:tc>
          <w:tcPr>
            <w:tcW w:w="496" w:type="pct"/>
            <w:tcBorders>
              <w:top w:val="single" w:sz="4" w:space="0" w:color="auto"/>
              <w:left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测验</w:t>
            </w:r>
          </w:p>
        </w:tc>
        <w:tc>
          <w:tcPr>
            <w:tcW w:w="499" w:type="pct"/>
            <w:tcBorders>
              <w:top w:val="single" w:sz="4" w:space="0" w:color="auto"/>
              <w:left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考试</w:t>
            </w:r>
          </w:p>
        </w:tc>
        <w:tc>
          <w:tcPr>
            <w:tcW w:w="484" w:type="pct"/>
            <w:tcBorders>
              <w:top w:val="single" w:sz="4" w:space="0" w:color="auto"/>
              <w:left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w:t>
            </w:r>
          </w:p>
        </w:tc>
        <w:tc>
          <w:tcPr>
            <w:tcW w:w="492" w:type="pct"/>
            <w:tcBorders>
              <w:top w:val="single" w:sz="4" w:space="0" w:color="auto"/>
              <w:left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合计</w:t>
            </w:r>
          </w:p>
        </w:tc>
      </w:tr>
      <w:tr w:rsidR="00F11446" w:rsidRPr="0048537C"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目标1</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10</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14</w:t>
            </w:r>
          </w:p>
        </w:tc>
      </w:tr>
      <w:tr w:rsidR="00F11446" w:rsidRPr="0048537C"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目标2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6</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40</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48</w:t>
            </w:r>
          </w:p>
        </w:tc>
      </w:tr>
      <w:tr w:rsidR="00F11446" w:rsidRPr="0048537C"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目标3</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6</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30</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38</w:t>
            </w:r>
          </w:p>
        </w:tc>
      </w:tr>
      <w:tr w:rsidR="00F11446" w:rsidRPr="0048537C" w:rsidTr="00CD00D2">
        <w:trPr>
          <w:trHeight w:val="454"/>
          <w:jc w:val="center"/>
        </w:trPr>
        <w:tc>
          <w:tcPr>
            <w:tcW w:w="1044" w:type="pct"/>
            <w:gridSpan w:val="2"/>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共计</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14</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6</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80</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100</w:t>
            </w:r>
          </w:p>
        </w:tc>
      </w:tr>
    </w:tbl>
    <w:p w:rsidR="00F11446" w:rsidRPr="0048537C" w:rsidRDefault="00F11446" w:rsidP="00F11446">
      <w:pPr>
        <w:adjustRightInd w:val="0"/>
        <w:snapToGrid w:val="0"/>
        <w:spacing w:line="360" w:lineRule="exact"/>
        <w:ind w:firstLineChars="200" w:firstLine="560"/>
        <w:rPr>
          <w:rFonts w:ascii="仿宋_GB2312" w:hAnsi="仿宋_GB2312" w:cs="仿宋_GB2312"/>
          <w:bCs/>
          <w:sz w:val="28"/>
          <w:szCs w:val="28"/>
        </w:rPr>
      </w:pPr>
      <w:r w:rsidRPr="0048537C">
        <w:rPr>
          <w:rFonts w:ascii="仿宋_GB2312" w:hAnsi="仿宋_GB2312" w:cs="仿宋_GB2312" w:hint="eastAsia"/>
          <w:bCs/>
          <w:sz w:val="28"/>
          <w:szCs w:val="28"/>
        </w:rPr>
        <w:t>（3）考核（评价）要求：</w:t>
      </w:r>
      <w:r w:rsidRPr="0048537C">
        <w:rPr>
          <w:rFonts w:ascii="仿宋_GB2312" w:hAnsi="仿宋_GB2312" w:cs="仿宋_GB2312"/>
          <w:bCs/>
          <w:sz w:val="28"/>
          <w:szCs w:val="28"/>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51"/>
        <w:gridCol w:w="951"/>
        <w:gridCol w:w="4782"/>
        <w:gridCol w:w="1042"/>
      </w:tblGrid>
      <w:tr w:rsidR="00F11446" w:rsidRPr="0048537C" w:rsidTr="00CD00D2">
        <w:trPr>
          <w:trHeight w:val="454"/>
          <w:jc w:val="center"/>
        </w:trPr>
        <w:tc>
          <w:tcPr>
            <w:tcW w:w="343" w:type="pct"/>
            <w:tcBorders>
              <w:top w:val="single" w:sz="4" w:space="0" w:color="000000"/>
              <w:left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hint="eastAsia"/>
                <w:b/>
                <w:bCs/>
                <w:sz w:val="24"/>
                <w:szCs w:val="24"/>
              </w:rPr>
              <w:t>目标分值</w:t>
            </w:r>
          </w:p>
        </w:tc>
        <w:tc>
          <w:tcPr>
            <w:tcW w:w="2881" w:type="pct"/>
            <w:tcBorders>
              <w:top w:val="single" w:sz="4" w:space="0" w:color="000000"/>
              <w:left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F11446" w:rsidRPr="0048537C" w:rsidRDefault="00F11446" w:rsidP="00CD00D2">
            <w:pPr>
              <w:spacing w:line="360" w:lineRule="exact"/>
              <w:jc w:val="center"/>
              <w:rPr>
                <w:rFonts w:ascii="仿宋_GB2312" w:hAnsi="仿宋_GB2312" w:cs="仿宋_GB2312"/>
                <w:b/>
                <w:bCs/>
                <w:sz w:val="24"/>
                <w:szCs w:val="24"/>
              </w:rPr>
            </w:pPr>
            <w:r w:rsidRPr="0048537C">
              <w:rPr>
                <w:rFonts w:ascii="仿宋_GB2312" w:hAnsi="仿宋_GB2312" w:cs="仿宋_GB2312"/>
                <w:b/>
                <w:bCs/>
                <w:sz w:val="24"/>
                <w:szCs w:val="24"/>
              </w:rPr>
              <w:t>支撑课程教学目标</w:t>
            </w:r>
          </w:p>
        </w:tc>
      </w:tr>
      <w:tr w:rsidR="00F11446" w:rsidRPr="0048537C"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100</w:t>
            </w:r>
          </w:p>
        </w:tc>
        <w:tc>
          <w:tcPr>
            <w:tcW w:w="2881"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出勤统计不少于授课次数的2/3；通过出勤统计结果考核学生学习态度和遵守课堂纪律等基本情况。</w:t>
            </w:r>
            <w:r w:rsidRPr="0048537C">
              <w:rPr>
                <w:rFonts w:ascii="仿宋_GB2312" w:hAnsi="仿宋_GB2312" w:cs="仿宋_GB2312"/>
                <w:bCs/>
                <w:sz w:val="24"/>
                <w:szCs w:val="24"/>
              </w:rPr>
              <w:t xml:space="preserve"> </w:t>
            </w:r>
          </w:p>
        </w:tc>
        <w:tc>
          <w:tcPr>
            <w:tcW w:w="628"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目标</w:t>
            </w:r>
            <w:r w:rsidRPr="0048537C">
              <w:rPr>
                <w:rFonts w:ascii="仿宋_GB2312" w:hAnsi="仿宋_GB2312" w:cs="仿宋_GB2312" w:hint="eastAsia"/>
                <w:bCs/>
                <w:sz w:val="24"/>
                <w:szCs w:val="24"/>
              </w:rPr>
              <w:t>1</w:t>
            </w:r>
          </w:p>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目标2</w:t>
            </w:r>
          </w:p>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目标</w:t>
            </w:r>
            <w:r w:rsidRPr="0048537C">
              <w:rPr>
                <w:rFonts w:ascii="仿宋_GB2312" w:hAnsi="仿宋_GB2312" w:cs="仿宋_GB2312" w:hint="eastAsia"/>
                <w:bCs/>
                <w:sz w:val="24"/>
                <w:szCs w:val="24"/>
              </w:rPr>
              <w:t>3</w:t>
            </w:r>
          </w:p>
        </w:tc>
      </w:tr>
      <w:tr w:rsidR="00F11446" w:rsidRPr="0048537C"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2</w:t>
            </w:r>
          </w:p>
        </w:tc>
        <w:tc>
          <w:tcPr>
            <w:tcW w:w="573"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100</w:t>
            </w:r>
          </w:p>
        </w:tc>
        <w:tc>
          <w:tcPr>
            <w:tcW w:w="2881"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bCs/>
                <w:sz w:val="24"/>
                <w:szCs w:val="24"/>
              </w:rPr>
              <w:t>课后作业</w:t>
            </w:r>
            <w:r w:rsidRPr="0048537C">
              <w:rPr>
                <w:rFonts w:ascii="仿宋_GB2312" w:hAnsi="仿宋_GB2312" w:cs="仿宋_GB2312" w:hint="eastAsia"/>
                <w:bCs/>
                <w:sz w:val="24"/>
                <w:szCs w:val="24"/>
              </w:rPr>
              <w:t>布置6次；通过课后作业考核学生各阶段计价基本概念的掌握情况。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目标1</w:t>
            </w:r>
          </w:p>
        </w:tc>
      </w:tr>
      <w:tr w:rsidR="00F11446" w:rsidRPr="0048537C"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100</w:t>
            </w:r>
          </w:p>
        </w:tc>
        <w:tc>
          <w:tcPr>
            <w:tcW w:w="2881"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left"/>
              <w:rPr>
                <w:rFonts w:ascii="仿宋_GB2312" w:hAnsi="仿宋_GB2312" w:cs="仿宋_GB2312"/>
                <w:bCs/>
                <w:sz w:val="24"/>
                <w:szCs w:val="24"/>
              </w:rPr>
            </w:pPr>
            <w:r w:rsidRPr="0048537C">
              <w:rPr>
                <w:rFonts w:ascii="仿宋_GB2312" w:hAnsi="仿宋_GB2312" w:cs="仿宋_GB2312" w:hint="eastAsia"/>
                <w:bCs/>
                <w:sz w:val="24"/>
                <w:szCs w:val="24"/>
              </w:rPr>
              <w:t>期末考试采用</w:t>
            </w:r>
            <w:r w:rsidRPr="0048537C">
              <w:rPr>
                <w:rFonts w:ascii="仿宋_GB2312" w:hAnsi="仿宋_GB2312" w:cs="仿宋_GB2312"/>
                <w:bCs/>
                <w:sz w:val="24"/>
                <w:szCs w:val="24"/>
              </w:rPr>
              <w:t>标准答案考试</w:t>
            </w:r>
            <w:r w:rsidRPr="0048537C">
              <w:rPr>
                <w:rFonts w:ascii="仿宋_GB2312" w:hAnsi="仿宋_GB2312" w:cs="仿宋_GB2312" w:hint="eastAsia"/>
                <w:bCs/>
                <w:sz w:val="24"/>
                <w:szCs w:val="24"/>
              </w:rPr>
              <w:t>。考试范围基本涵盖所有讲授内容，考试内容主要反映学生对本课程主要概念的理解和掌握的程度，以及综合运用的能力。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目标</w:t>
            </w:r>
            <w:r w:rsidRPr="0048537C">
              <w:rPr>
                <w:rFonts w:ascii="仿宋_GB2312" w:hAnsi="仿宋_GB2312" w:cs="仿宋_GB2312" w:hint="eastAsia"/>
                <w:bCs/>
                <w:sz w:val="24"/>
                <w:szCs w:val="24"/>
              </w:rPr>
              <w:t>1</w:t>
            </w:r>
          </w:p>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hint="eastAsia"/>
                <w:bCs/>
                <w:sz w:val="24"/>
                <w:szCs w:val="24"/>
              </w:rPr>
              <w:t>目标2</w:t>
            </w:r>
          </w:p>
          <w:p w:rsidR="00F11446" w:rsidRPr="0048537C" w:rsidRDefault="00F11446" w:rsidP="00CD00D2">
            <w:pPr>
              <w:spacing w:line="360" w:lineRule="exact"/>
              <w:jc w:val="center"/>
              <w:rPr>
                <w:rFonts w:ascii="仿宋_GB2312" w:hAnsi="仿宋_GB2312" w:cs="仿宋_GB2312"/>
                <w:bCs/>
                <w:sz w:val="24"/>
                <w:szCs w:val="24"/>
              </w:rPr>
            </w:pPr>
            <w:r w:rsidRPr="0048537C">
              <w:rPr>
                <w:rFonts w:ascii="仿宋_GB2312" w:hAnsi="仿宋_GB2312" w:cs="仿宋_GB2312"/>
                <w:bCs/>
                <w:sz w:val="24"/>
                <w:szCs w:val="24"/>
              </w:rPr>
              <w:t>目标</w:t>
            </w:r>
            <w:r w:rsidRPr="0048537C">
              <w:rPr>
                <w:rFonts w:ascii="仿宋_GB2312" w:hAnsi="仿宋_GB2312" w:cs="仿宋_GB2312" w:hint="eastAsia"/>
                <w:bCs/>
                <w:sz w:val="24"/>
                <w:szCs w:val="24"/>
              </w:rPr>
              <w:t>3</w:t>
            </w:r>
          </w:p>
        </w:tc>
      </w:tr>
    </w:tbl>
    <w:p w:rsidR="00F11446" w:rsidRDefault="00F11446" w:rsidP="00F11446">
      <w:pPr>
        <w:adjustRightInd w:val="0"/>
        <w:snapToGrid w:val="0"/>
        <w:spacing w:line="360" w:lineRule="exact"/>
        <w:ind w:firstLineChars="200" w:firstLine="640"/>
        <w:rPr>
          <w:rFonts w:ascii="Times New Roman" w:hAnsi="Times New Roman"/>
        </w:rPr>
      </w:pPr>
    </w:p>
    <w:p w:rsidR="0048537C" w:rsidRDefault="0048537C" w:rsidP="0048537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77066" w:rsidRPr="0048537C" w:rsidRDefault="00C77066" w:rsidP="0048537C">
      <w:pPr>
        <w:spacing w:line="360" w:lineRule="auto"/>
        <w:ind w:firstLineChars="196" w:firstLine="549"/>
        <w:rPr>
          <w:rFonts w:ascii="仿宋_GB2312" w:hAnsi="仿宋_GB2312" w:cs="仿宋_GB2312"/>
          <w:bCs/>
          <w:sz w:val="28"/>
          <w:szCs w:val="28"/>
        </w:rPr>
      </w:pPr>
      <w:r w:rsidRPr="0048537C">
        <w:rPr>
          <w:rFonts w:ascii="仿宋_GB2312" w:hAnsi="仿宋_GB2312" w:cs="仿宋_GB2312"/>
          <w:bCs/>
          <w:sz w:val="28"/>
          <w:szCs w:val="28"/>
        </w:rPr>
        <w:t>1. 教  材：</w:t>
      </w:r>
      <w:r w:rsidRPr="0048537C">
        <w:rPr>
          <w:rFonts w:ascii="仿宋_GB2312" w:hAnsi="仿宋_GB2312" w:cs="仿宋_GB2312" w:hint="eastAsia"/>
          <w:bCs/>
          <w:sz w:val="28"/>
          <w:szCs w:val="28"/>
        </w:rPr>
        <w:t>工程计价学(第二版)，严玲编著，中国电力出版社，2016年</w:t>
      </w:r>
    </w:p>
    <w:p w:rsidR="00C77066" w:rsidRPr="0048537C" w:rsidRDefault="00C77066" w:rsidP="0048537C">
      <w:pPr>
        <w:spacing w:line="360" w:lineRule="auto"/>
        <w:ind w:firstLineChars="196" w:firstLine="549"/>
        <w:rPr>
          <w:rFonts w:ascii="仿宋_GB2312" w:hAnsi="仿宋_GB2312" w:cs="仿宋_GB2312"/>
          <w:bCs/>
          <w:sz w:val="28"/>
          <w:szCs w:val="28"/>
        </w:rPr>
      </w:pPr>
      <w:r w:rsidRPr="0048537C">
        <w:rPr>
          <w:rFonts w:ascii="仿宋_GB2312" w:hAnsi="仿宋_GB2312" w:cs="仿宋_GB2312" w:hint="eastAsia"/>
          <w:bCs/>
          <w:sz w:val="28"/>
          <w:szCs w:val="28"/>
        </w:rPr>
        <w:t>2.参考书：工程造价管理（第二版），马楠等主编，人民交通出版社，2014年</w:t>
      </w:r>
    </w:p>
    <w:p w:rsidR="00C77066" w:rsidRPr="0048537C" w:rsidRDefault="00C77066" w:rsidP="0048537C">
      <w:pPr>
        <w:spacing w:line="360" w:lineRule="auto"/>
        <w:ind w:firstLineChars="196" w:firstLine="549"/>
        <w:rPr>
          <w:rFonts w:ascii="仿宋_GB2312" w:hAnsi="仿宋_GB2312" w:cs="仿宋_GB2312"/>
          <w:bCs/>
          <w:sz w:val="28"/>
          <w:szCs w:val="28"/>
        </w:rPr>
      </w:pPr>
      <w:r w:rsidRPr="0048537C">
        <w:rPr>
          <w:rFonts w:ascii="仿宋_GB2312" w:hAnsi="仿宋_GB2312" w:cs="仿宋_GB2312" w:hint="eastAsia"/>
          <w:bCs/>
          <w:sz w:val="28"/>
          <w:szCs w:val="28"/>
        </w:rPr>
        <w:t xml:space="preserve">          工程造价管理（修订本），郭婧娟主编，清华大学出版社，2008年</w:t>
      </w:r>
    </w:p>
    <w:p w:rsidR="00C77066" w:rsidRPr="0048537C" w:rsidRDefault="00C77066" w:rsidP="0048537C">
      <w:pPr>
        <w:spacing w:line="360" w:lineRule="auto"/>
        <w:ind w:firstLineChars="196" w:firstLine="549"/>
        <w:rPr>
          <w:rFonts w:ascii="仿宋_GB2312" w:hAnsi="仿宋_GB2312" w:cs="仿宋_GB2312"/>
          <w:bCs/>
          <w:sz w:val="28"/>
          <w:szCs w:val="28"/>
        </w:rPr>
      </w:pPr>
      <w:r w:rsidRPr="0048537C">
        <w:rPr>
          <w:rFonts w:ascii="仿宋_GB2312" w:hAnsi="仿宋_GB2312" w:cs="仿宋_GB2312"/>
          <w:bCs/>
          <w:sz w:val="28"/>
          <w:szCs w:val="28"/>
        </w:rPr>
        <w:t>参考教材</w:t>
      </w:r>
      <w:r w:rsidRPr="0048537C">
        <w:rPr>
          <w:rFonts w:ascii="仿宋_GB2312" w:hAnsi="仿宋_GB2312" w:cs="仿宋_GB2312" w:hint="eastAsia"/>
          <w:bCs/>
          <w:sz w:val="28"/>
          <w:szCs w:val="28"/>
        </w:rPr>
        <w:t>：陕西省建筑工程综合概预算定额及其配套的费用定额   陕西科学出版社</w:t>
      </w:r>
    </w:p>
    <w:p w:rsidR="00C77066" w:rsidRPr="0048537C" w:rsidRDefault="00C77066" w:rsidP="0048537C">
      <w:pPr>
        <w:spacing w:line="360" w:lineRule="auto"/>
        <w:ind w:firstLineChars="196" w:firstLine="549"/>
        <w:rPr>
          <w:rFonts w:ascii="仿宋_GB2312" w:hAnsi="仿宋_GB2312" w:cs="仿宋_GB2312"/>
          <w:bCs/>
          <w:sz w:val="28"/>
          <w:szCs w:val="28"/>
        </w:rPr>
      </w:pPr>
      <w:r w:rsidRPr="0048537C">
        <w:rPr>
          <w:rFonts w:ascii="仿宋_GB2312" w:hAnsi="仿宋_GB2312" w:cs="仿宋_GB2312" w:hint="eastAsia"/>
          <w:bCs/>
          <w:sz w:val="28"/>
          <w:szCs w:val="28"/>
        </w:rPr>
        <w:lastRenderedPageBreak/>
        <w:t xml:space="preserve">          建筑安装工程费用项目组成建标[2013]44号</w:t>
      </w:r>
    </w:p>
    <w:p w:rsidR="0048537C" w:rsidRDefault="0048537C" w:rsidP="0048537C">
      <w:pPr>
        <w:spacing w:beforeLines="50" w:before="156" w:afterLines="50" w:after="156" w:line="460" w:lineRule="exact"/>
        <w:rPr>
          <w:rFonts w:ascii="黑体" w:eastAsia="黑体" w:hAnsi="黑体"/>
          <w:b/>
          <w:sz w:val="28"/>
          <w:szCs w:val="28"/>
        </w:rPr>
      </w:pPr>
    </w:p>
    <w:p w:rsidR="0048537C" w:rsidRDefault="0048537C" w:rsidP="0048537C">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大纲撰写人：晏兴威</w:t>
      </w:r>
    </w:p>
    <w:p w:rsidR="0048537C" w:rsidRDefault="0048537C" w:rsidP="0048537C">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48537C" w:rsidRDefault="0048537C" w:rsidP="0048537C">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48537C" w:rsidRDefault="0048537C" w:rsidP="0048537C">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48537C" w:rsidRDefault="0048537C" w:rsidP="0048537C">
      <w:pPr>
        <w:ind w:firstLineChars="2000" w:firstLine="5600"/>
        <w:jc w:val="left"/>
        <w:rPr>
          <w:rFonts w:ascii="仿宋" w:hAnsi="仿宋"/>
          <w:sz w:val="28"/>
          <w:szCs w:val="28"/>
        </w:rPr>
      </w:pPr>
      <w:r>
        <w:rPr>
          <w:rFonts w:ascii="仿宋_GB2312" w:hAnsi="微软雅黑" w:hint="eastAsia"/>
          <w:sz w:val="28"/>
          <w:szCs w:val="28"/>
        </w:rPr>
        <w:t xml:space="preserve">    </w:t>
      </w:r>
    </w:p>
    <w:p w:rsidR="0048537C" w:rsidRDefault="0048537C" w:rsidP="0048537C">
      <w:pPr>
        <w:jc w:val="left"/>
        <w:rPr>
          <w:rFonts w:ascii="仿宋_GB2312" w:hAnsi="黑体"/>
          <w:sz w:val="28"/>
          <w:szCs w:val="28"/>
        </w:rPr>
      </w:pPr>
      <w:r>
        <w:rPr>
          <w:rFonts w:ascii="仿宋" w:eastAsia="仿宋" w:hAnsi="仿宋" w:hint="eastAsia"/>
          <w:sz w:val="28"/>
          <w:szCs w:val="28"/>
        </w:rPr>
        <w:t xml:space="preserve">                                         年    月</w:t>
      </w:r>
    </w:p>
    <w:p w:rsidR="00F11446" w:rsidRDefault="00F11446"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48537C" w:rsidRDefault="0048537C" w:rsidP="00F11446">
      <w:pPr>
        <w:widowControl/>
        <w:spacing w:line="400" w:lineRule="exact"/>
        <w:rPr>
          <w:rFonts w:ascii="黑体" w:eastAsia="黑体" w:hAnsi="黑体" w:cs="宋体"/>
          <w:bCs/>
          <w:kern w:val="0"/>
          <w:szCs w:val="32"/>
        </w:rPr>
      </w:pPr>
    </w:p>
    <w:p w:rsidR="00F11446" w:rsidRDefault="00F11446" w:rsidP="00F11446">
      <w:pPr>
        <w:widowControl/>
        <w:spacing w:line="400" w:lineRule="exact"/>
        <w:rPr>
          <w:rFonts w:ascii="黑体" w:eastAsia="黑体" w:hAnsi="黑体" w:cs="宋体"/>
          <w:bCs/>
          <w:kern w:val="0"/>
          <w:szCs w:val="32"/>
        </w:rPr>
      </w:pPr>
    </w:p>
    <w:p w:rsidR="00F11446" w:rsidRDefault="00F11446" w:rsidP="00BE5664">
      <w:pPr>
        <w:spacing w:line="360" w:lineRule="exact"/>
        <w:ind w:firstLineChars="196" w:firstLine="627"/>
        <w:rPr>
          <w:rFonts w:ascii="Times New Roman" w:hAnsi="Times New Roman"/>
          <w:szCs w:val="21"/>
        </w:rPr>
      </w:pPr>
    </w:p>
    <w:p w:rsidR="0048537C" w:rsidRDefault="0048537C" w:rsidP="0048537C">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48537C">
        <w:rPr>
          <w:rFonts w:ascii="方正小标宋简体" w:eastAsia="方正小标宋简体" w:hAnsi="宋体" w:hint="eastAsia"/>
          <w:kern w:val="0"/>
          <w:szCs w:val="32"/>
        </w:rPr>
        <w:t>工程经济学（二）</w:t>
      </w:r>
      <w:r>
        <w:rPr>
          <w:rFonts w:ascii="方正小标宋简体" w:eastAsia="方正小标宋简体" w:hAnsi="宋体" w:hint="eastAsia"/>
          <w:kern w:val="0"/>
          <w:szCs w:val="32"/>
        </w:rPr>
        <w:t>》课程教学大纲</w:t>
      </w:r>
    </w:p>
    <w:p w:rsidR="0048537C" w:rsidRDefault="0048537C" w:rsidP="0048537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48537C" w:rsidRPr="0048537C" w:rsidRDefault="0048537C" w:rsidP="0048537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sidRPr="0048537C">
        <w:rPr>
          <w:rFonts w:ascii="仿宋_GB2312" w:hAnsi="仿宋_GB2312" w:cs="仿宋_GB2312"/>
          <w:bCs/>
          <w:sz w:val="28"/>
          <w:szCs w:val="28"/>
        </w:rPr>
        <w:t>Engineering Economics</w:t>
      </w:r>
      <w:r w:rsidRPr="0048537C">
        <w:rPr>
          <w:rFonts w:ascii="仿宋_GB2312" w:hAnsi="仿宋_GB2312" w:cs="仿宋_GB2312" w:hint="eastAsia"/>
          <w:bCs/>
          <w:sz w:val="28"/>
          <w:szCs w:val="28"/>
        </w:rPr>
        <w:t>（二）</w:t>
      </w:r>
    </w:p>
    <w:p w:rsidR="0048537C" w:rsidRPr="0048537C" w:rsidRDefault="0048537C" w:rsidP="0048537C">
      <w:pPr>
        <w:spacing w:line="360" w:lineRule="auto"/>
        <w:ind w:firstLine="331"/>
        <w:jc w:val="left"/>
        <w:rPr>
          <w:rFonts w:ascii="仿宋_GB2312" w:hAnsi="仿宋_GB2312" w:cs="仿宋_GB2312"/>
          <w:bCs/>
          <w:sz w:val="28"/>
          <w:szCs w:val="28"/>
        </w:rPr>
      </w:pPr>
      <w:r w:rsidRPr="0048537C">
        <w:rPr>
          <w:rFonts w:ascii="仿宋_GB2312" w:hAnsi="仿宋_GB2312" w:cs="仿宋_GB2312" w:hint="eastAsia"/>
          <w:bCs/>
          <w:sz w:val="28"/>
          <w:szCs w:val="28"/>
        </w:rPr>
        <w:t>课程编码：Z2805180</w:t>
      </w:r>
    </w:p>
    <w:p w:rsidR="0048537C" w:rsidRDefault="0048537C" w:rsidP="0048537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48537C" w:rsidRDefault="0048537C" w:rsidP="0048537C">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48537C" w:rsidRDefault="0048537C" w:rsidP="0048537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48537C" w:rsidRDefault="0048537C" w:rsidP="0048537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48537C" w:rsidRDefault="0048537C" w:rsidP="0048537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2.5</w:t>
      </w:r>
    </w:p>
    <w:p w:rsidR="0048537C" w:rsidRDefault="0048537C" w:rsidP="0048537C">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40</w:t>
      </w:r>
      <w:r>
        <w:rPr>
          <w:rFonts w:ascii="仿宋_GB2312" w:hAnsi="仿宋_GB2312" w:cs="仿宋_GB2312" w:hint="eastAsia"/>
          <w:bCs/>
          <w:sz w:val="28"/>
          <w:szCs w:val="28"/>
        </w:rPr>
        <w:t>学时</w:t>
      </w:r>
    </w:p>
    <w:p w:rsidR="0048537C" w:rsidRDefault="0048537C" w:rsidP="0048537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w:t>
      </w:r>
      <w:r w:rsidRPr="0048537C">
        <w:rPr>
          <w:rFonts w:ascii="仿宋_GB2312" w:hAnsi="仿宋_GB2312" w:cs="仿宋_GB2312" w:hint="eastAsia"/>
          <w:bCs/>
          <w:sz w:val="28"/>
          <w:szCs w:val="28"/>
        </w:rPr>
        <w:t>工程造价专业</w:t>
      </w:r>
    </w:p>
    <w:p w:rsidR="0048537C" w:rsidRDefault="0048537C" w:rsidP="0048537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sidRPr="0048537C">
        <w:rPr>
          <w:rFonts w:ascii="仿宋_GB2312" w:hAnsi="仿宋_GB2312" w:cs="仿宋_GB2312" w:hint="eastAsia"/>
          <w:bCs/>
          <w:sz w:val="28"/>
          <w:szCs w:val="28"/>
        </w:rPr>
        <w:t>运筹学原理与应用、经济学概论、管理学</w:t>
      </w:r>
      <w:r w:rsidRPr="0048537C">
        <w:rPr>
          <w:rFonts w:ascii="仿宋_GB2312" w:hAnsi="仿宋_GB2312" w:cs="仿宋_GB2312"/>
          <w:bCs/>
          <w:sz w:val="28"/>
          <w:szCs w:val="28"/>
        </w:rPr>
        <w:t>等</w:t>
      </w:r>
    </w:p>
    <w:p w:rsidR="0048537C" w:rsidRDefault="0048537C" w:rsidP="0048537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w:t>
      </w:r>
      <w:r w:rsidRPr="0048537C">
        <w:rPr>
          <w:rFonts w:ascii="仿宋_GB2312" w:hAnsi="仿宋_GB2312" w:cs="仿宋_GB2312" w:hint="eastAsia"/>
          <w:bCs/>
          <w:sz w:val="28"/>
          <w:szCs w:val="28"/>
        </w:rPr>
        <w:t>建筑</w:t>
      </w:r>
      <w:r w:rsidRPr="0048537C">
        <w:rPr>
          <w:rFonts w:ascii="仿宋_GB2312" w:hAnsi="仿宋_GB2312" w:cs="仿宋_GB2312"/>
          <w:bCs/>
          <w:sz w:val="28"/>
          <w:szCs w:val="28"/>
        </w:rPr>
        <w:t>工程学院</w:t>
      </w:r>
      <w:r w:rsidRPr="0048537C">
        <w:rPr>
          <w:rFonts w:ascii="仿宋_GB2312" w:hAnsi="仿宋_GB2312" w:cs="仿宋_GB2312" w:hint="eastAsia"/>
          <w:bCs/>
          <w:sz w:val="28"/>
          <w:szCs w:val="28"/>
        </w:rPr>
        <w:t>工程造价与施工</w:t>
      </w:r>
      <w:r w:rsidRPr="0048537C">
        <w:rPr>
          <w:rFonts w:ascii="仿宋_GB2312" w:hAnsi="仿宋_GB2312" w:cs="仿宋_GB2312"/>
          <w:bCs/>
          <w:sz w:val="28"/>
          <w:szCs w:val="28"/>
        </w:rPr>
        <w:t>教研室</w:t>
      </w:r>
    </w:p>
    <w:p w:rsidR="0048537C" w:rsidRDefault="0048537C" w:rsidP="0048537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AD1D5F" w:rsidRPr="0048537C" w:rsidRDefault="00AD1D5F" w:rsidP="0048537C">
      <w:pPr>
        <w:spacing w:line="360" w:lineRule="auto"/>
        <w:ind w:firstLine="331"/>
        <w:rPr>
          <w:rFonts w:ascii="仿宋_GB2312" w:hAnsi="仿宋_GB2312" w:cs="仿宋_GB2312"/>
          <w:bCs/>
          <w:sz w:val="28"/>
          <w:szCs w:val="28"/>
        </w:rPr>
      </w:pPr>
      <w:r w:rsidRPr="0048537C">
        <w:rPr>
          <w:rFonts w:ascii="仿宋_GB2312" w:hAnsi="仿宋_GB2312" w:cs="仿宋_GB2312"/>
          <w:bCs/>
          <w:sz w:val="28"/>
          <w:szCs w:val="28"/>
        </w:rPr>
        <w:t>课程教学目标</w:t>
      </w:r>
    </w:p>
    <w:p w:rsidR="00AD1D5F" w:rsidRPr="0048537C" w:rsidRDefault="00AD1D5F" w:rsidP="0048537C">
      <w:pPr>
        <w:spacing w:line="360" w:lineRule="auto"/>
        <w:ind w:firstLine="331"/>
        <w:rPr>
          <w:rFonts w:ascii="仿宋_GB2312" w:hAnsi="仿宋_GB2312" w:cs="仿宋_GB2312"/>
          <w:bCs/>
          <w:sz w:val="28"/>
          <w:szCs w:val="28"/>
        </w:rPr>
      </w:pPr>
      <w:r w:rsidRPr="0048537C">
        <w:rPr>
          <w:rFonts w:ascii="仿宋_GB2312" w:hAnsi="仿宋_GB2312" w:cs="仿宋_GB2312"/>
          <w:bCs/>
          <w:sz w:val="28"/>
          <w:szCs w:val="28"/>
        </w:rPr>
        <w:t>本课程是面向工程</w:t>
      </w:r>
      <w:r w:rsidRPr="0048537C">
        <w:rPr>
          <w:rFonts w:ascii="仿宋_GB2312" w:hAnsi="仿宋_GB2312" w:cs="仿宋_GB2312" w:hint="eastAsia"/>
          <w:bCs/>
          <w:sz w:val="28"/>
          <w:szCs w:val="28"/>
        </w:rPr>
        <w:t>造价</w:t>
      </w:r>
      <w:r w:rsidRPr="0048537C">
        <w:rPr>
          <w:rFonts w:ascii="仿宋_GB2312" w:hAnsi="仿宋_GB2312" w:cs="仿宋_GB2312"/>
          <w:bCs/>
          <w:sz w:val="28"/>
          <w:szCs w:val="28"/>
        </w:rPr>
        <w:t>专业开设的专业</w:t>
      </w:r>
      <w:r w:rsidRPr="0048537C">
        <w:rPr>
          <w:rFonts w:ascii="仿宋_GB2312" w:hAnsi="仿宋_GB2312" w:cs="仿宋_GB2312" w:hint="eastAsia"/>
          <w:bCs/>
          <w:sz w:val="28"/>
          <w:szCs w:val="28"/>
        </w:rPr>
        <w:t>发展</w:t>
      </w:r>
      <w:r w:rsidRPr="0048537C">
        <w:rPr>
          <w:rFonts w:ascii="仿宋_GB2312" w:hAnsi="仿宋_GB2312" w:cs="仿宋_GB2312"/>
          <w:bCs/>
          <w:sz w:val="28"/>
          <w:szCs w:val="28"/>
        </w:rPr>
        <w:t>课程，旨在通过理论教学，</w:t>
      </w:r>
      <w:r w:rsidRPr="0048537C">
        <w:rPr>
          <w:rFonts w:ascii="仿宋_GB2312" w:hAnsi="仿宋_GB2312" w:cs="仿宋_GB2312" w:hint="eastAsia"/>
          <w:bCs/>
          <w:sz w:val="28"/>
          <w:szCs w:val="28"/>
        </w:rPr>
        <w:t>使学生了解工程技术与经济效果之间的相互关系，熟悉工程技术方案选优的基本过程，全面掌握工程经济的基本原理和方法，具备进行工程经济分析的基本能力，并能综合应用相关理论和方法，解决工程实践的实际问题。</w:t>
      </w:r>
    </w:p>
    <w:p w:rsidR="00AD1D5F" w:rsidRPr="0048537C" w:rsidRDefault="00AD1D5F" w:rsidP="0048537C">
      <w:pPr>
        <w:spacing w:line="360" w:lineRule="auto"/>
        <w:ind w:firstLine="331"/>
        <w:rPr>
          <w:rFonts w:ascii="仿宋_GB2312" w:hAnsi="仿宋_GB2312" w:cs="仿宋_GB2312"/>
          <w:bCs/>
          <w:sz w:val="28"/>
          <w:szCs w:val="28"/>
        </w:rPr>
      </w:pPr>
      <w:r w:rsidRPr="0048537C">
        <w:rPr>
          <w:rFonts w:ascii="仿宋_GB2312" w:hAnsi="仿宋_GB2312" w:cs="仿宋_GB2312"/>
          <w:bCs/>
          <w:sz w:val="28"/>
          <w:szCs w:val="28"/>
        </w:rPr>
        <w:t>本课程教学目标及对毕业要求指标点的支撑关系见下表：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3647"/>
        <w:gridCol w:w="1029"/>
        <w:gridCol w:w="2952"/>
      </w:tblGrid>
      <w:tr w:rsidR="00AD1D5F" w:rsidRPr="0048537C" w:rsidTr="0048537C">
        <w:trPr>
          <w:trHeight w:val="454"/>
          <w:jc w:val="center"/>
        </w:trPr>
        <w:tc>
          <w:tcPr>
            <w:tcW w:w="403" w:type="pct"/>
            <w:vMerge w:val="restar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rPr>
                <w:rFonts w:ascii="仿宋_GB2312" w:hAnsi="仿宋_GB2312" w:cs="仿宋_GB2312"/>
                <w:b/>
                <w:bCs/>
                <w:sz w:val="24"/>
                <w:szCs w:val="24"/>
              </w:rPr>
            </w:pPr>
            <w:r w:rsidRPr="0048537C">
              <w:rPr>
                <w:rFonts w:ascii="仿宋_GB2312" w:hAnsi="仿宋_GB2312" w:cs="仿宋_GB2312"/>
                <w:b/>
                <w:bCs/>
                <w:sz w:val="24"/>
                <w:szCs w:val="24"/>
              </w:rPr>
              <w:lastRenderedPageBreak/>
              <w:t>序号</w:t>
            </w:r>
          </w:p>
        </w:tc>
        <w:tc>
          <w:tcPr>
            <w:tcW w:w="2198" w:type="pct"/>
            <w:vMerge w:val="restart"/>
            <w:tcBorders>
              <w:top w:val="single" w:sz="4" w:space="0" w:color="000000"/>
              <w:left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课程教学目标</w:t>
            </w:r>
          </w:p>
        </w:tc>
        <w:tc>
          <w:tcPr>
            <w:tcW w:w="2399" w:type="pct"/>
            <w:gridSpan w:val="2"/>
            <w:tcBorders>
              <w:top w:val="single" w:sz="4" w:space="0" w:color="000000"/>
              <w:left w:val="single" w:sz="4" w:space="0" w:color="000000"/>
              <w:bottom w:val="single" w:sz="4" w:space="0" w:color="auto"/>
              <w:right w:val="single" w:sz="4" w:space="0" w:color="auto"/>
            </w:tcBorders>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支撑毕业要求指标点</w:t>
            </w:r>
          </w:p>
        </w:tc>
      </w:tr>
      <w:tr w:rsidR="00AD1D5F" w:rsidRPr="0048537C" w:rsidTr="0048537C">
        <w:trPr>
          <w:trHeight w:val="454"/>
          <w:jc w:val="center"/>
        </w:trPr>
        <w:tc>
          <w:tcPr>
            <w:tcW w:w="403" w:type="pct"/>
            <w:vMerge/>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
                <w:bCs/>
                <w:sz w:val="24"/>
                <w:szCs w:val="24"/>
              </w:rPr>
            </w:pPr>
          </w:p>
        </w:tc>
        <w:tc>
          <w:tcPr>
            <w:tcW w:w="2198" w:type="pct"/>
            <w:vMerge/>
            <w:tcBorders>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
                <w:bCs/>
                <w:sz w:val="24"/>
                <w:szCs w:val="24"/>
              </w:rPr>
            </w:pPr>
          </w:p>
        </w:tc>
        <w:tc>
          <w:tcPr>
            <w:tcW w:w="620" w:type="pct"/>
            <w:tcBorders>
              <w:top w:val="single" w:sz="4" w:space="0" w:color="auto"/>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指标点</w:t>
            </w:r>
          </w:p>
        </w:tc>
        <w:tc>
          <w:tcPr>
            <w:tcW w:w="1780" w:type="pct"/>
            <w:tcBorders>
              <w:top w:val="single" w:sz="4" w:space="0" w:color="auto"/>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指标点内容</w:t>
            </w:r>
          </w:p>
        </w:tc>
      </w:tr>
      <w:tr w:rsidR="00AD1D5F" w:rsidRPr="0048537C" w:rsidTr="0048537C">
        <w:trPr>
          <w:trHeight w:val="454"/>
          <w:jc w:val="center"/>
        </w:trPr>
        <w:tc>
          <w:tcPr>
            <w:tcW w:w="40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w:t>
            </w:r>
          </w:p>
        </w:tc>
        <w:tc>
          <w:tcPr>
            <w:tcW w:w="2198"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目标1：了解</w:t>
            </w:r>
            <w:r w:rsidRPr="0048537C">
              <w:rPr>
                <w:rFonts w:ascii="仿宋_GB2312" w:hAnsi="仿宋_GB2312" w:cs="仿宋_GB2312" w:hint="eastAsia"/>
                <w:bCs/>
                <w:sz w:val="24"/>
                <w:szCs w:val="24"/>
              </w:rPr>
              <w:t>工程经济学的基本原理，</w:t>
            </w:r>
            <w:r w:rsidRPr="0048537C">
              <w:rPr>
                <w:rFonts w:ascii="仿宋_GB2312" w:hAnsi="仿宋_GB2312" w:cs="仿宋_GB2312"/>
                <w:bCs/>
                <w:sz w:val="24"/>
                <w:szCs w:val="24"/>
              </w:rPr>
              <w:t>熟悉</w:t>
            </w:r>
            <w:r w:rsidRPr="0048537C">
              <w:rPr>
                <w:rFonts w:ascii="仿宋_GB2312" w:hAnsi="仿宋_GB2312" w:cs="仿宋_GB2312" w:hint="eastAsia"/>
                <w:bCs/>
                <w:sz w:val="24"/>
                <w:szCs w:val="24"/>
              </w:rPr>
              <w:t>工程经济分析的基本程序</w:t>
            </w:r>
            <w:r w:rsidRPr="0048537C">
              <w:rPr>
                <w:rFonts w:ascii="仿宋_GB2312" w:hAnsi="仿宋_GB2312" w:cs="仿宋_GB2312"/>
                <w:bCs/>
                <w:sz w:val="24"/>
                <w:szCs w:val="24"/>
              </w:rPr>
              <w:t>和内容</w:t>
            </w:r>
            <w:r w:rsidRPr="0048537C">
              <w:rPr>
                <w:rFonts w:ascii="仿宋_GB2312" w:hAnsi="仿宋_GB2312" w:cs="仿宋_GB2312" w:hint="eastAsia"/>
                <w:bCs/>
                <w:sz w:val="24"/>
                <w:szCs w:val="24"/>
              </w:rPr>
              <w:t>；明确在工程建设前期阶段进行工程经济分析的</w:t>
            </w:r>
            <w:r w:rsidRPr="0048537C">
              <w:rPr>
                <w:rFonts w:ascii="仿宋_GB2312" w:hAnsi="仿宋_GB2312" w:cs="仿宋_GB2312"/>
                <w:bCs/>
                <w:sz w:val="24"/>
                <w:szCs w:val="24"/>
              </w:rPr>
              <w:t>必要性。</w:t>
            </w:r>
            <w:r w:rsidRPr="0048537C">
              <w:rPr>
                <w:rFonts w:ascii="仿宋_GB2312" w:hAnsi="仿宋_GB2312" w:cs="仿宋_GB2312" w:hint="eastAsia"/>
                <w:bCs/>
                <w:sz w:val="24"/>
                <w:szCs w:val="24"/>
              </w:rPr>
              <w:t>培养学生作为一个工程管理人员必须具备的客观公正的优良品质、严谨治学的科学态度和积极向上的价值观，为未来的学习、工作奠定良好的基础</w:t>
            </w:r>
            <w:r w:rsidRPr="0048537C">
              <w:rPr>
                <w:rFonts w:ascii="仿宋_GB2312" w:hAnsi="仿宋_GB2312" w:cs="仿宋_GB2312"/>
                <w:bCs/>
                <w:sz w:val="24"/>
                <w:szCs w:val="24"/>
              </w:rPr>
              <w:t>。</w:t>
            </w:r>
          </w:p>
        </w:tc>
        <w:tc>
          <w:tcPr>
            <w:tcW w:w="620"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3.8</w:t>
            </w:r>
          </w:p>
        </w:tc>
        <w:tc>
          <w:tcPr>
            <w:tcW w:w="1780"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具有人文社会科学素养、社会责任感，能够在工程实践中理解并遵守工程职业道德和规范，履行责任。具有自主学习和终身学习的意识，有不断学习和适应发展的能力。</w:t>
            </w:r>
          </w:p>
        </w:tc>
      </w:tr>
      <w:tr w:rsidR="00AD1D5F" w:rsidRPr="0048537C" w:rsidTr="0048537C">
        <w:trPr>
          <w:trHeight w:val="454"/>
          <w:jc w:val="center"/>
        </w:trPr>
        <w:tc>
          <w:tcPr>
            <w:tcW w:w="40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2</w:t>
            </w:r>
          </w:p>
        </w:tc>
        <w:tc>
          <w:tcPr>
            <w:tcW w:w="2198"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目标2：</w:t>
            </w:r>
            <w:r w:rsidRPr="0048537C">
              <w:rPr>
                <w:rFonts w:ascii="仿宋_GB2312" w:hAnsi="仿宋_GB2312" w:cs="仿宋_GB2312" w:hint="eastAsia"/>
                <w:bCs/>
                <w:sz w:val="24"/>
                <w:szCs w:val="24"/>
              </w:rPr>
              <w:t>熟悉现金流量的构成以及资金等值计算</w:t>
            </w:r>
            <w:r w:rsidRPr="0048537C">
              <w:rPr>
                <w:rFonts w:ascii="仿宋_GB2312" w:hAnsi="仿宋_GB2312" w:cs="仿宋_GB2312"/>
                <w:bCs/>
                <w:sz w:val="24"/>
                <w:szCs w:val="24"/>
              </w:rPr>
              <w:t>，</w:t>
            </w:r>
            <w:r w:rsidRPr="0048537C">
              <w:rPr>
                <w:rFonts w:ascii="仿宋_GB2312" w:hAnsi="仿宋_GB2312" w:cs="仿宋_GB2312" w:hint="eastAsia"/>
                <w:bCs/>
                <w:sz w:val="24"/>
                <w:szCs w:val="24"/>
              </w:rPr>
              <w:t>掌握常用评价指标的计算、经济含义以及针对不同类型方案的选用方法</w:t>
            </w:r>
            <w:r w:rsidRPr="0048537C">
              <w:rPr>
                <w:rFonts w:ascii="仿宋_GB2312" w:hAnsi="仿宋_GB2312" w:cs="仿宋_GB2312"/>
                <w:bCs/>
                <w:sz w:val="24"/>
                <w:szCs w:val="24"/>
              </w:rPr>
              <w:t>；具备</w:t>
            </w:r>
            <w:r w:rsidRPr="0048537C">
              <w:rPr>
                <w:rFonts w:ascii="仿宋_GB2312" w:hAnsi="仿宋_GB2312" w:cs="仿宋_GB2312" w:hint="eastAsia"/>
                <w:bCs/>
                <w:sz w:val="24"/>
                <w:szCs w:val="24"/>
              </w:rPr>
              <w:t>可行性研究</w:t>
            </w:r>
            <w:r w:rsidRPr="0048537C">
              <w:rPr>
                <w:rFonts w:ascii="仿宋_GB2312" w:hAnsi="仿宋_GB2312" w:cs="仿宋_GB2312"/>
                <w:bCs/>
                <w:sz w:val="24"/>
                <w:szCs w:val="24"/>
              </w:rPr>
              <w:t>的基础知识，掌握</w:t>
            </w:r>
            <w:r w:rsidRPr="0048537C">
              <w:rPr>
                <w:rFonts w:ascii="仿宋_GB2312" w:hAnsi="仿宋_GB2312" w:cs="仿宋_GB2312" w:hint="eastAsia"/>
                <w:bCs/>
                <w:sz w:val="24"/>
                <w:szCs w:val="24"/>
              </w:rPr>
              <w:t>项目财务评价和不确定性分析的基础理论。</w:t>
            </w:r>
          </w:p>
        </w:tc>
        <w:tc>
          <w:tcPr>
            <w:tcW w:w="620"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3.11</w:t>
            </w:r>
          </w:p>
        </w:tc>
        <w:tc>
          <w:tcPr>
            <w:tcW w:w="1780"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理解并掌握工程管理原理与经济决策方法，并能在多类工程项目中应用。能够针对复杂工程问题，开发、选择与使用恰当的技术、资源、现代工程工具和信息技术工具，包括对复杂工程经济问题的预测与模拟，并能够理解其局限性。</w:t>
            </w:r>
          </w:p>
          <w:p w:rsidR="00AD1D5F" w:rsidRPr="0048537C" w:rsidRDefault="00AD1D5F" w:rsidP="0048537C">
            <w:pPr>
              <w:spacing w:line="360" w:lineRule="auto"/>
              <w:ind w:firstLine="331"/>
              <w:rPr>
                <w:rFonts w:ascii="仿宋_GB2312" w:hAnsi="仿宋_GB2312" w:cs="仿宋_GB2312"/>
                <w:bCs/>
                <w:sz w:val="24"/>
                <w:szCs w:val="24"/>
              </w:rPr>
            </w:pPr>
          </w:p>
        </w:tc>
      </w:tr>
      <w:tr w:rsidR="00AD1D5F" w:rsidRPr="0048537C" w:rsidTr="0048537C">
        <w:trPr>
          <w:trHeight w:val="454"/>
          <w:jc w:val="center"/>
        </w:trPr>
        <w:tc>
          <w:tcPr>
            <w:tcW w:w="40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3</w:t>
            </w:r>
          </w:p>
        </w:tc>
        <w:tc>
          <w:tcPr>
            <w:tcW w:w="2198"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目标3：熟悉</w:t>
            </w:r>
            <w:r w:rsidRPr="0048537C">
              <w:rPr>
                <w:rFonts w:ascii="仿宋_GB2312" w:hAnsi="仿宋_GB2312" w:cs="仿宋_GB2312" w:hint="eastAsia"/>
                <w:bCs/>
                <w:sz w:val="24"/>
                <w:szCs w:val="24"/>
              </w:rPr>
              <w:t>工程项目费用效益分析的基本理论、方法和主要参数，了解其在项目决策中的重要意义以及对国民经济发展的影响；熟悉价值工程分析的基本程序及方法，认识在工程建设领域</w:t>
            </w:r>
            <w:r w:rsidRPr="0048537C">
              <w:rPr>
                <w:rFonts w:ascii="仿宋_GB2312" w:hAnsi="仿宋_GB2312" w:cs="仿宋_GB2312" w:hint="eastAsia"/>
                <w:bCs/>
                <w:sz w:val="24"/>
                <w:szCs w:val="24"/>
              </w:rPr>
              <w:lastRenderedPageBreak/>
              <w:t>开展价值工程分析的可行性及现实意义；了解设备更新时机、更新方案对企业发展的影响，熟悉设备更新的基本原理和方法。</w:t>
            </w:r>
          </w:p>
        </w:tc>
        <w:tc>
          <w:tcPr>
            <w:tcW w:w="620"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lastRenderedPageBreak/>
              <w:t>3.4</w:t>
            </w:r>
          </w:p>
        </w:tc>
        <w:tc>
          <w:tcPr>
            <w:tcW w:w="1780"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能够从环境保护和社会可持续发展的角度思考土木工程专业工程实践的可持续性，评价其可能对人类和环境造成的损害和隐患，践行绿色环保理念。</w:t>
            </w:r>
          </w:p>
        </w:tc>
      </w:tr>
    </w:tbl>
    <w:p w:rsidR="0048537C" w:rsidRDefault="0048537C" w:rsidP="0048537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3060"/>
        <w:gridCol w:w="2106"/>
        <w:gridCol w:w="911"/>
        <w:gridCol w:w="668"/>
        <w:gridCol w:w="883"/>
      </w:tblGrid>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rPr>
                <w:rFonts w:ascii="仿宋_GB2312" w:hAnsi="仿宋_GB2312" w:cs="仿宋_GB2312"/>
                <w:b/>
                <w:bCs/>
                <w:sz w:val="24"/>
                <w:szCs w:val="24"/>
              </w:rPr>
            </w:pPr>
            <w:r w:rsidRPr="0048537C">
              <w:rPr>
                <w:rFonts w:ascii="仿宋_GB2312" w:hAnsi="仿宋_GB2312" w:cs="仿宋_GB2312"/>
                <w:b/>
                <w:bCs/>
                <w:sz w:val="24"/>
                <w:szCs w:val="24"/>
              </w:rPr>
              <w:t>序号</w:t>
            </w:r>
          </w:p>
        </w:tc>
        <w:tc>
          <w:tcPr>
            <w:tcW w:w="1870" w:type="pct"/>
            <w:tcBorders>
              <w:top w:val="single" w:sz="4" w:space="0" w:color="000000"/>
              <w:left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教学内容及重点、难点</w:t>
            </w:r>
          </w:p>
        </w:tc>
        <w:tc>
          <w:tcPr>
            <w:tcW w:w="1295" w:type="pct"/>
            <w:tcBorders>
              <w:top w:val="single" w:sz="4" w:space="0" w:color="000000"/>
              <w:left w:val="single" w:sz="4" w:space="0" w:color="auto"/>
              <w:right w:val="single" w:sz="4" w:space="0" w:color="auto"/>
            </w:tcBorders>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AD1D5F" w:rsidRPr="0048537C" w:rsidRDefault="00AD1D5F" w:rsidP="0048537C">
            <w:pPr>
              <w:spacing w:line="360" w:lineRule="auto"/>
              <w:rPr>
                <w:rFonts w:ascii="仿宋_GB2312" w:hAnsi="仿宋_GB2312" w:cs="仿宋_GB2312"/>
                <w:b/>
                <w:bCs/>
                <w:sz w:val="24"/>
                <w:szCs w:val="24"/>
              </w:rPr>
            </w:pPr>
            <w:r w:rsidRPr="0048537C">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AD1D5F" w:rsidRPr="0048537C" w:rsidRDefault="00AD1D5F" w:rsidP="0048537C">
            <w:pPr>
              <w:spacing w:line="360" w:lineRule="auto"/>
              <w:rPr>
                <w:rFonts w:ascii="仿宋_GB2312" w:hAnsi="仿宋_GB2312" w:cs="仿宋_GB2312"/>
                <w:b/>
                <w:bCs/>
                <w:sz w:val="24"/>
                <w:szCs w:val="24"/>
              </w:rPr>
            </w:pPr>
            <w:r w:rsidRPr="0048537C">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AD1D5F" w:rsidRPr="0048537C" w:rsidRDefault="00AD1D5F" w:rsidP="0048537C">
            <w:pPr>
              <w:spacing w:line="360" w:lineRule="auto"/>
              <w:rPr>
                <w:rFonts w:ascii="仿宋_GB2312" w:hAnsi="仿宋_GB2312" w:cs="仿宋_GB2312"/>
                <w:b/>
                <w:bCs/>
                <w:sz w:val="24"/>
                <w:szCs w:val="24"/>
              </w:rPr>
            </w:pPr>
            <w:r w:rsidRPr="0048537C">
              <w:rPr>
                <w:rFonts w:ascii="仿宋_GB2312" w:hAnsi="仿宋_GB2312" w:cs="仿宋_GB2312"/>
                <w:b/>
                <w:bCs/>
                <w:sz w:val="24"/>
                <w:szCs w:val="24"/>
              </w:rPr>
              <w:t>支撑课程教学目标</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内容：第一章</w:t>
            </w:r>
            <w:r w:rsidRPr="0048537C">
              <w:rPr>
                <w:rFonts w:ascii="仿宋_GB2312" w:hAnsi="仿宋_GB2312" w:cs="仿宋_GB2312" w:hint="eastAsia"/>
                <w:bCs/>
                <w:sz w:val="24"/>
                <w:szCs w:val="24"/>
              </w:rPr>
              <w:t>绪论</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工程经济学的基本原理；经济效果评价的基本原则。</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48537C">
            <w:pPr>
              <w:numPr>
                <w:ilvl w:val="0"/>
                <w:numId w:val="88"/>
              </w:num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理</w:t>
            </w:r>
            <w:r w:rsidRPr="0048537C">
              <w:rPr>
                <w:rFonts w:ascii="仿宋_GB2312" w:hAnsi="仿宋_GB2312" w:cs="仿宋_GB2312"/>
                <w:bCs/>
                <w:sz w:val="24"/>
                <w:szCs w:val="24"/>
              </w:rPr>
              <w:t>解</w:t>
            </w:r>
            <w:r w:rsidRPr="0048537C">
              <w:rPr>
                <w:rFonts w:ascii="仿宋_GB2312" w:hAnsi="仿宋_GB2312" w:cs="仿宋_GB2312" w:hint="eastAsia"/>
                <w:bCs/>
                <w:sz w:val="24"/>
                <w:szCs w:val="24"/>
              </w:rPr>
              <w:t>工程经济学的基本原理。</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2.</w:t>
            </w:r>
            <w:r w:rsidRPr="0048537C">
              <w:rPr>
                <w:rFonts w:ascii="仿宋_GB2312" w:hAnsi="仿宋_GB2312" w:cs="仿宋_GB2312" w:hint="eastAsia"/>
                <w:bCs/>
                <w:sz w:val="24"/>
                <w:szCs w:val="24"/>
              </w:rPr>
              <w:t>了解工程经济分析的一般过程及其基本步骤</w:t>
            </w:r>
            <w:r w:rsidRPr="0048537C">
              <w:rPr>
                <w:rFonts w:ascii="仿宋_GB2312" w:hAnsi="仿宋_GB2312" w:cs="仿宋_GB2312"/>
                <w:bCs/>
                <w:sz w:val="24"/>
                <w:szCs w:val="24"/>
              </w:rPr>
              <w:t xml:space="preserve"> </w:t>
            </w:r>
            <w:r w:rsidRPr="0048537C">
              <w:rPr>
                <w:rFonts w:ascii="仿宋_GB2312" w:hAnsi="仿宋_GB2312" w:cs="仿宋_GB2312" w:hint="eastAsia"/>
                <w:bCs/>
                <w:sz w:val="24"/>
                <w:szCs w:val="24"/>
              </w:rPr>
              <w:t>；明确工程经济分析人员应该具备的基本素质</w:t>
            </w:r>
          </w:p>
          <w:p w:rsidR="00AD1D5F" w:rsidRPr="0048537C" w:rsidRDefault="00AD1D5F" w:rsidP="0048537C">
            <w:pPr>
              <w:spacing w:line="360" w:lineRule="auto"/>
              <w:ind w:firstLine="331"/>
              <w:rPr>
                <w:rFonts w:ascii="仿宋_GB2312" w:hAnsi="仿宋_GB2312" w:cs="仿宋_GB2312"/>
                <w:bCs/>
                <w:sz w:val="24"/>
                <w:szCs w:val="24"/>
              </w:rPr>
            </w:pP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目标1</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2</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内容：第二章</w:t>
            </w:r>
          </w:p>
          <w:p w:rsidR="00AD1D5F" w:rsidRPr="0048537C" w:rsidRDefault="00AD1D5F" w:rsidP="0048537C">
            <w:pPr>
              <w:spacing w:line="360" w:lineRule="auto"/>
              <w:ind w:firstLineChars="300" w:firstLine="720"/>
              <w:rPr>
                <w:rFonts w:ascii="仿宋_GB2312" w:hAnsi="仿宋_GB2312" w:cs="仿宋_GB2312"/>
                <w:bCs/>
                <w:sz w:val="24"/>
                <w:szCs w:val="24"/>
              </w:rPr>
            </w:pPr>
            <w:r w:rsidRPr="0048537C">
              <w:rPr>
                <w:rFonts w:ascii="仿宋_GB2312" w:hAnsi="仿宋_GB2312" w:cs="仿宋_GB2312" w:hint="eastAsia"/>
                <w:bCs/>
                <w:sz w:val="24"/>
                <w:szCs w:val="24"/>
              </w:rPr>
              <w:t>现金流量构成与资金等值计算</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现金流量的构成与资金等值计算</w:t>
            </w:r>
            <w:r w:rsidRPr="0048537C">
              <w:rPr>
                <w:rFonts w:ascii="仿宋_GB2312" w:hAnsi="仿宋_GB2312" w:cs="仿宋_GB2312"/>
                <w:bCs/>
                <w:sz w:val="24"/>
                <w:szCs w:val="24"/>
              </w:rPr>
              <w:t>难点：</w:t>
            </w:r>
            <w:r w:rsidRPr="0048537C">
              <w:rPr>
                <w:rFonts w:ascii="仿宋_GB2312" w:hAnsi="仿宋_GB2312" w:cs="仿宋_GB2312" w:hint="eastAsia"/>
                <w:bCs/>
                <w:sz w:val="24"/>
                <w:szCs w:val="24"/>
              </w:rPr>
              <w:t>名义利率与实际利率的计算</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w:t>
            </w:r>
            <w:r w:rsidRPr="0048537C">
              <w:rPr>
                <w:rFonts w:ascii="仿宋_GB2312" w:hAnsi="仿宋_GB2312" w:cs="仿宋_GB2312" w:hint="eastAsia"/>
                <w:bCs/>
                <w:sz w:val="24"/>
                <w:szCs w:val="24"/>
              </w:rPr>
              <w:t>熟悉总投资的构成及各要素的含义；了解相关成本的概念及估算方法。</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2.</w:t>
            </w:r>
            <w:r w:rsidRPr="0048537C">
              <w:rPr>
                <w:rFonts w:ascii="仿宋_GB2312" w:hAnsi="仿宋_GB2312" w:cs="仿宋_GB2312" w:hint="eastAsia"/>
                <w:bCs/>
                <w:sz w:val="24"/>
                <w:szCs w:val="24"/>
              </w:rPr>
              <w:t>了解利润、税金的计算以及利润分配顺序。</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3.</w:t>
            </w:r>
            <w:r w:rsidRPr="0048537C">
              <w:rPr>
                <w:rFonts w:ascii="仿宋_GB2312" w:hAnsi="仿宋_GB2312" w:cs="仿宋_GB2312" w:hint="eastAsia"/>
                <w:bCs/>
                <w:sz w:val="24"/>
                <w:szCs w:val="24"/>
              </w:rPr>
              <w:t>掌握现金流</w:t>
            </w:r>
            <w:r w:rsidRPr="0048537C">
              <w:rPr>
                <w:rFonts w:ascii="仿宋_GB2312" w:hAnsi="仿宋_GB2312" w:cs="仿宋_GB2312" w:hint="eastAsia"/>
                <w:bCs/>
                <w:sz w:val="24"/>
                <w:szCs w:val="24"/>
              </w:rPr>
              <w:lastRenderedPageBreak/>
              <w:t>量的概念和现金流量图的绘制方法；掌握各种现金流量形式下资金等值计算以及名义利率和实际利率的计算</w:t>
            </w:r>
            <w:r w:rsidRPr="0048537C">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lastRenderedPageBreak/>
              <w:t>课堂授课</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习题课</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随堂测验</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8</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内容：第三章</w:t>
            </w:r>
          </w:p>
          <w:p w:rsidR="00AD1D5F" w:rsidRPr="0048537C" w:rsidRDefault="00AD1D5F" w:rsidP="0048537C">
            <w:pPr>
              <w:spacing w:line="360" w:lineRule="auto"/>
              <w:ind w:firstLineChars="300" w:firstLine="720"/>
              <w:rPr>
                <w:rFonts w:ascii="仿宋_GB2312" w:hAnsi="仿宋_GB2312" w:cs="仿宋_GB2312"/>
                <w:bCs/>
                <w:sz w:val="24"/>
                <w:szCs w:val="24"/>
              </w:rPr>
            </w:pPr>
            <w:r w:rsidRPr="0048537C">
              <w:rPr>
                <w:rFonts w:ascii="仿宋_GB2312" w:hAnsi="仿宋_GB2312" w:cs="仿宋_GB2312" w:hint="eastAsia"/>
                <w:bCs/>
                <w:sz w:val="24"/>
                <w:szCs w:val="24"/>
              </w:rPr>
              <w:t>确定性经济效果评价方法</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各种评价指标的经济含义、计算及适用范围；方案类型及评价方法</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难点：</w:t>
            </w:r>
            <w:r w:rsidRPr="0048537C">
              <w:rPr>
                <w:rFonts w:ascii="仿宋_GB2312" w:hAnsi="仿宋_GB2312" w:cs="仿宋_GB2312" w:hint="eastAsia"/>
                <w:bCs/>
                <w:sz w:val="24"/>
                <w:szCs w:val="24"/>
              </w:rPr>
              <w:t>内部收益率的计算；寿命不等互斥方案的比选方法</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w:t>
            </w:r>
            <w:r w:rsidRPr="0048537C">
              <w:rPr>
                <w:rFonts w:ascii="仿宋_GB2312" w:hAnsi="仿宋_GB2312" w:cs="仿宋_GB2312" w:hint="eastAsia"/>
                <w:bCs/>
                <w:sz w:val="24"/>
                <w:szCs w:val="24"/>
              </w:rPr>
              <w:t>熟悉经济评价指标的类型和计算方法，了解指标的适用范围及优缺点</w:t>
            </w:r>
            <w:r w:rsidRPr="0048537C">
              <w:rPr>
                <w:rFonts w:ascii="仿宋_GB2312" w:hAnsi="仿宋_GB2312" w:cs="仿宋_GB2312"/>
                <w:bCs/>
                <w:sz w:val="24"/>
                <w:szCs w:val="24"/>
              </w:rPr>
              <w:t>。</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 xml:space="preserve">2. </w:t>
            </w:r>
            <w:r w:rsidRPr="0048537C">
              <w:rPr>
                <w:rFonts w:ascii="仿宋_GB2312" w:hAnsi="仿宋_GB2312" w:cs="仿宋_GB2312" w:hint="eastAsia"/>
                <w:bCs/>
                <w:sz w:val="24"/>
                <w:szCs w:val="24"/>
              </w:rPr>
              <w:t>熟悉方案的划分及指标的选用；掌握互斥方案比选的基本方法；了解其它方案的比选方法</w:t>
            </w:r>
            <w:r w:rsidRPr="0048537C">
              <w:rPr>
                <w:rFonts w:ascii="仿宋_GB2312" w:hAnsi="仿宋_GB2312" w:cs="仿宋_GB2312"/>
                <w:bCs/>
                <w:sz w:val="24"/>
                <w:szCs w:val="24"/>
              </w:rPr>
              <w:t>。</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3.</w:t>
            </w:r>
            <w:r w:rsidRPr="0048537C">
              <w:rPr>
                <w:rFonts w:ascii="仿宋_GB2312" w:hAnsi="仿宋_GB2312" w:cs="仿宋_GB2312" w:hint="eastAsia"/>
                <w:bCs/>
                <w:sz w:val="24"/>
                <w:szCs w:val="24"/>
              </w:rPr>
              <w:t>了解确定性经济效果评价的缺陷和不足</w:t>
            </w:r>
            <w:r w:rsidRPr="0048537C">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课堂授课</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互动讨论</w:t>
            </w:r>
          </w:p>
          <w:p w:rsidR="00AD1D5F" w:rsidRPr="0048537C" w:rsidRDefault="00AD1D5F" w:rsidP="0048537C">
            <w:pPr>
              <w:spacing w:line="360" w:lineRule="auto"/>
              <w:ind w:firstLine="331"/>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4</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内容：第四章</w:t>
            </w:r>
            <w:r w:rsidRPr="0048537C">
              <w:rPr>
                <w:rFonts w:ascii="仿宋_GB2312" w:hAnsi="仿宋_GB2312" w:cs="仿宋_GB2312" w:hint="eastAsia"/>
                <w:bCs/>
                <w:sz w:val="24"/>
                <w:szCs w:val="24"/>
              </w:rPr>
              <w:t>不确定性分析</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不确定性分析</w:t>
            </w:r>
            <w:r w:rsidRPr="0048537C">
              <w:rPr>
                <w:rFonts w:ascii="仿宋_GB2312" w:hAnsi="仿宋_GB2312" w:cs="仿宋_GB2312"/>
                <w:bCs/>
                <w:sz w:val="24"/>
                <w:szCs w:val="24"/>
              </w:rPr>
              <w:t>的内容</w:t>
            </w:r>
            <w:r w:rsidRPr="0048537C">
              <w:rPr>
                <w:rFonts w:ascii="仿宋_GB2312" w:hAnsi="仿宋_GB2312" w:cs="仿宋_GB2312" w:hint="eastAsia"/>
                <w:bCs/>
                <w:sz w:val="24"/>
                <w:szCs w:val="24"/>
              </w:rPr>
              <w:t>及计算</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难点：</w:t>
            </w:r>
            <w:r w:rsidRPr="0048537C">
              <w:rPr>
                <w:rFonts w:ascii="仿宋_GB2312" w:hAnsi="仿宋_GB2312" w:cs="仿宋_GB2312" w:hint="eastAsia"/>
                <w:bCs/>
                <w:sz w:val="24"/>
                <w:szCs w:val="24"/>
              </w:rPr>
              <w:t>风险分析的方法</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1.了解</w:t>
            </w:r>
            <w:r w:rsidRPr="0048537C">
              <w:rPr>
                <w:rFonts w:ascii="仿宋_GB2312" w:hAnsi="仿宋_GB2312" w:cs="仿宋_GB2312" w:hint="eastAsia"/>
                <w:bCs/>
                <w:sz w:val="24"/>
                <w:szCs w:val="24"/>
              </w:rPr>
              <w:t>不确定性分析的目的和内容</w:t>
            </w:r>
            <w:r w:rsidRPr="0048537C">
              <w:rPr>
                <w:rFonts w:ascii="仿宋_GB2312" w:hAnsi="仿宋_GB2312" w:cs="仿宋_GB2312"/>
                <w:bCs/>
                <w:sz w:val="24"/>
                <w:szCs w:val="24"/>
              </w:rPr>
              <w:t>。</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 xml:space="preserve">2. </w:t>
            </w:r>
            <w:r w:rsidRPr="0048537C">
              <w:rPr>
                <w:rFonts w:ascii="仿宋_GB2312" w:hAnsi="仿宋_GB2312" w:cs="仿宋_GB2312" w:hint="eastAsia"/>
                <w:bCs/>
                <w:sz w:val="24"/>
                <w:szCs w:val="24"/>
              </w:rPr>
              <w:t>掌握线性、非线性盈亏平衡分析的方法</w:t>
            </w:r>
            <w:r w:rsidRPr="0048537C">
              <w:rPr>
                <w:rFonts w:ascii="仿宋_GB2312" w:hAnsi="仿宋_GB2312" w:cs="仿宋_GB2312"/>
                <w:bCs/>
                <w:sz w:val="24"/>
                <w:szCs w:val="24"/>
              </w:rPr>
              <w:t>。</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3.</w:t>
            </w:r>
            <w:r w:rsidRPr="0048537C">
              <w:rPr>
                <w:rFonts w:ascii="仿宋_GB2312" w:hAnsi="仿宋_GB2312" w:cs="仿宋_GB2312" w:hint="eastAsia"/>
                <w:bCs/>
                <w:sz w:val="24"/>
                <w:szCs w:val="24"/>
              </w:rPr>
              <w:t>熟悉单因素敏感性分析的程</w:t>
            </w:r>
            <w:r w:rsidRPr="0048537C">
              <w:rPr>
                <w:rFonts w:ascii="仿宋_GB2312" w:hAnsi="仿宋_GB2312" w:cs="仿宋_GB2312" w:hint="eastAsia"/>
                <w:bCs/>
                <w:sz w:val="24"/>
                <w:szCs w:val="24"/>
              </w:rPr>
              <w:lastRenderedPageBreak/>
              <w:t>序及灵敏度的计算；熟悉概率树法和蒙特卡洛模拟法的使用。</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lastRenderedPageBreak/>
              <w:t>课堂授课</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随堂测验</w:t>
            </w:r>
          </w:p>
          <w:p w:rsidR="00AD1D5F" w:rsidRPr="0048537C" w:rsidRDefault="00AD1D5F" w:rsidP="0048537C">
            <w:pPr>
              <w:spacing w:line="360" w:lineRule="auto"/>
              <w:ind w:firstLine="331"/>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5</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内容：第五章</w:t>
            </w:r>
          </w:p>
          <w:p w:rsidR="00AD1D5F" w:rsidRPr="0048537C" w:rsidRDefault="00AD1D5F" w:rsidP="0048537C">
            <w:pPr>
              <w:spacing w:line="360" w:lineRule="auto"/>
              <w:ind w:firstLineChars="300" w:firstLine="720"/>
              <w:rPr>
                <w:rFonts w:ascii="仿宋_GB2312" w:hAnsi="仿宋_GB2312" w:cs="仿宋_GB2312"/>
                <w:bCs/>
                <w:sz w:val="24"/>
                <w:szCs w:val="24"/>
              </w:rPr>
            </w:pPr>
            <w:r w:rsidRPr="0048537C">
              <w:rPr>
                <w:rFonts w:ascii="仿宋_GB2312" w:hAnsi="仿宋_GB2312" w:cs="仿宋_GB2312" w:hint="eastAsia"/>
                <w:bCs/>
                <w:sz w:val="24"/>
                <w:szCs w:val="24"/>
              </w:rPr>
              <w:t>建设项目可行性研究概述</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可行性研究的内容及步骤；可行性研究报告的编写。</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w:t>
            </w:r>
            <w:r w:rsidRPr="0048537C">
              <w:rPr>
                <w:rFonts w:ascii="仿宋_GB2312" w:hAnsi="仿宋_GB2312" w:cs="仿宋_GB2312" w:hint="eastAsia"/>
                <w:bCs/>
                <w:sz w:val="24"/>
                <w:szCs w:val="24"/>
              </w:rPr>
              <w:t>了解可行性研究的含义及其对投资决策质量的影响。</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 xml:space="preserve">2. </w:t>
            </w:r>
            <w:r w:rsidRPr="0048537C">
              <w:rPr>
                <w:rFonts w:ascii="仿宋_GB2312" w:hAnsi="仿宋_GB2312" w:cs="仿宋_GB2312" w:hint="eastAsia"/>
                <w:bCs/>
                <w:sz w:val="24"/>
                <w:szCs w:val="24"/>
              </w:rPr>
              <w:t>熟悉可行性研究的内容及步骤，掌握可行性研究报告的编写格式</w:t>
            </w:r>
            <w:r w:rsidRPr="0048537C">
              <w:rPr>
                <w:rFonts w:ascii="仿宋_GB2312" w:hAnsi="仿宋_GB2312" w:cs="仿宋_GB2312"/>
                <w:bCs/>
                <w:sz w:val="24"/>
                <w:szCs w:val="24"/>
              </w:rPr>
              <w:t>。</w:t>
            </w:r>
          </w:p>
          <w:p w:rsidR="00AD1D5F" w:rsidRPr="0048537C" w:rsidRDefault="00AD1D5F" w:rsidP="0048537C">
            <w:pPr>
              <w:spacing w:line="360" w:lineRule="auto"/>
              <w:ind w:firstLine="331"/>
              <w:rPr>
                <w:rFonts w:ascii="仿宋_GB2312" w:hAnsi="仿宋_GB2312" w:cs="仿宋_GB2312"/>
                <w:bCs/>
                <w:sz w:val="24"/>
                <w:szCs w:val="24"/>
              </w:rPr>
            </w:pP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课堂授课</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互动讨论</w:t>
            </w:r>
          </w:p>
          <w:p w:rsidR="00AD1D5F" w:rsidRPr="0048537C" w:rsidRDefault="00AD1D5F" w:rsidP="0048537C">
            <w:pPr>
              <w:spacing w:line="360" w:lineRule="auto"/>
              <w:ind w:firstLine="331"/>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6</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内容：第六章</w:t>
            </w:r>
            <w:r w:rsidRPr="0048537C">
              <w:rPr>
                <w:rFonts w:ascii="仿宋_GB2312" w:hAnsi="仿宋_GB2312" w:cs="仿宋_GB2312" w:hint="eastAsia"/>
                <w:bCs/>
                <w:sz w:val="24"/>
                <w:szCs w:val="24"/>
              </w:rPr>
              <w:t>工程项目财务分析</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总投资的估算方法；运营期借款利息的计算；辅助财务报表和基本报表的编制。</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1.了解</w:t>
            </w:r>
            <w:r w:rsidRPr="0048537C">
              <w:rPr>
                <w:rFonts w:ascii="仿宋_GB2312" w:hAnsi="仿宋_GB2312" w:cs="仿宋_GB2312" w:hint="eastAsia"/>
                <w:bCs/>
                <w:sz w:val="24"/>
                <w:szCs w:val="24"/>
              </w:rPr>
              <w:t>财务分析的目的及基本步骤</w:t>
            </w:r>
            <w:r w:rsidRPr="0048537C">
              <w:rPr>
                <w:rFonts w:ascii="仿宋_GB2312" w:hAnsi="仿宋_GB2312" w:cs="仿宋_GB2312"/>
                <w:bCs/>
                <w:sz w:val="24"/>
                <w:szCs w:val="24"/>
              </w:rPr>
              <w:t>。</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 xml:space="preserve">2. </w:t>
            </w:r>
            <w:r w:rsidRPr="0048537C">
              <w:rPr>
                <w:rFonts w:ascii="仿宋_GB2312" w:hAnsi="仿宋_GB2312" w:cs="仿宋_GB2312" w:hint="eastAsia"/>
                <w:bCs/>
                <w:sz w:val="24"/>
                <w:szCs w:val="24"/>
              </w:rPr>
              <w:t>熟悉建设投资的估算方法</w:t>
            </w:r>
            <w:r w:rsidRPr="0048537C">
              <w:rPr>
                <w:rFonts w:ascii="仿宋_GB2312" w:hAnsi="仿宋_GB2312" w:cs="仿宋_GB2312"/>
                <w:bCs/>
                <w:sz w:val="24"/>
                <w:szCs w:val="24"/>
              </w:rPr>
              <w:t>。</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3.掌握</w:t>
            </w:r>
            <w:r w:rsidRPr="0048537C">
              <w:rPr>
                <w:rFonts w:ascii="仿宋_GB2312" w:hAnsi="仿宋_GB2312" w:cs="仿宋_GB2312" w:hint="eastAsia"/>
                <w:bCs/>
                <w:sz w:val="24"/>
                <w:szCs w:val="24"/>
              </w:rPr>
              <w:t>财务报表的编制方法</w:t>
            </w:r>
            <w:r w:rsidRPr="0048537C">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7</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内容：第七章</w:t>
            </w:r>
            <w:r w:rsidRPr="0048537C">
              <w:rPr>
                <w:rFonts w:ascii="仿宋_GB2312" w:hAnsi="仿宋_GB2312" w:cs="仿宋_GB2312" w:hint="eastAsia"/>
                <w:bCs/>
                <w:sz w:val="24"/>
                <w:szCs w:val="24"/>
              </w:rPr>
              <w:t>工程项目费用效益分析</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费用效益分析的含义和必要性；费用效益的划分；影子价格的基本原理；评价参数的确定。</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难点：</w:t>
            </w:r>
            <w:r w:rsidRPr="0048537C">
              <w:rPr>
                <w:rFonts w:ascii="仿宋_GB2312" w:hAnsi="仿宋_GB2312" w:cs="仿宋_GB2312" w:hint="eastAsia"/>
                <w:bCs/>
                <w:sz w:val="24"/>
                <w:szCs w:val="24"/>
              </w:rPr>
              <w:t>影子价格的计算</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1.了解</w:t>
            </w:r>
            <w:r w:rsidRPr="0048537C">
              <w:rPr>
                <w:rFonts w:ascii="仿宋_GB2312" w:hAnsi="仿宋_GB2312" w:cs="仿宋_GB2312" w:hint="eastAsia"/>
                <w:bCs/>
                <w:sz w:val="24"/>
                <w:szCs w:val="24"/>
              </w:rPr>
              <w:t>费用效益分析与财务分析的区别；</w:t>
            </w:r>
            <w:r w:rsidRPr="0048537C">
              <w:rPr>
                <w:rFonts w:ascii="仿宋_GB2312" w:hAnsi="仿宋_GB2312" w:cs="仿宋_GB2312"/>
                <w:bCs/>
                <w:sz w:val="24"/>
                <w:szCs w:val="24"/>
              </w:rPr>
              <w:t>了解</w:t>
            </w:r>
            <w:r w:rsidRPr="0048537C">
              <w:rPr>
                <w:rFonts w:ascii="仿宋_GB2312" w:hAnsi="仿宋_GB2312" w:cs="仿宋_GB2312" w:hint="eastAsia"/>
                <w:bCs/>
                <w:sz w:val="24"/>
                <w:szCs w:val="24"/>
              </w:rPr>
              <w:t>费用效益分析的必要性。</w:t>
            </w:r>
            <w:r w:rsidRPr="0048537C">
              <w:rPr>
                <w:rFonts w:ascii="仿宋_GB2312" w:hAnsi="仿宋_GB2312" w:cs="仿宋_GB2312"/>
                <w:bCs/>
                <w:sz w:val="24"/>
                <w:szCs w:val="24"/>
              </w:rPr>
              <w:t>。</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 xml:space="preserve">2. </w:t>
            </w:r>
            <w:r w:rsidRPr="0048537C">
              <w:rPr>
                <w:rFonts w:ascii="仿宋_GB2312" w:hAnsi="仿宋_GB2312" w:cs="仿宋_GB2312" w:hint="eastAsia"/>
                <w:bCs/>
                <w:sz w:val="24"/>
                <w:szCs w:val="24"/>
              </w:rPr>
              <w:t>熟悉费用效益的划分原则和方法，熟悉相关</w:t>
            </w:r>
            <w:r w:rsidRPr="0048537C">
              <w:rPr>
                <w:rFonts w:ascii="仿宋_GB2312" w:hAnsi="仿宋_GB2312" w:cs="仿宋_GB2312" w:hint="eastAsia"/>
                <w:bCs/>
                <w:sz w:val="24"/>
                <w:szCs w:val="24"/>
              </w:rPr>
              <w:lastRenderedPageBreak/>
              <w:t>参数的计算</w:t>
            </w:r>
            <w:r w:rsidRPr="0048537C">
              <w:rPr>
                <w:rFonts w:ascii="仿宋_GB2312" w:hAnsi="仿宋_GB2312" w:cs="仿宋_GB2312"/>
                <w:bCs/>
                <w:sz w:val="24"/>
                <w:szCs w:val="24"/>
              </w:rPr>
              <w:t>。</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3.</w:t>
            </w:r>
            <w:r w:rsidRPr="0048537C">
              <w:rPr>
                <w:rFonts w:ascii="仿宋_GB2312" w:hAnsi="仿宋_GB2312" w:cs="仿宋_GB2312" w:hint="eastAsia"/>
                <w:bCs/>
                <w:sz w:val="24"/>
                <w:szCs w:val="24"/>
              </w:rPr>
              <w:t>掌握影子价格的概念及计算方法</w:t>
            </w:r>
            <w:r w:rsidRPr="0048537C">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lastRenderedPageBreak/>
              <w:t>课堂授课</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互动讨论</w:t>
            </w:r>
          </w:p>
          <w:p w:rsidR="00AD1D5F" w:rsidRPr="0048537C" w:rsidRDefault="00AD1D5F" w:rsidP="0048537C">
            <w:pPr>
              <w:spacing w:line="360" w:lineRule="auto"/>
              <w:ind w:firstLine="331"/>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目标3</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8</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内容：第八章</w:t>
            </w:r>
            <w:r w:rsidRPr="0048537C">
              <w:rPr>
                <w:rFonts w:ascii="仿宋_GB2312" w:hAnsi="仿宋_GB2312" w:cs="仿宋_GB2312" w:hint="eastAsia"/>
                <w:bCs/>
                <w:sz w:val="24"/>
                <w:szCs w:val="24"/>
              </w:rPr>
              <w:t>设备更新分析</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设备的磨损和补偿形式，设备的大修及其经济界限，经济寿命的含义及确定</w:t>
            </w:r>
            <w:r w:rsidRPr="0048537C">
              <w:rPr>
                <w:rFonts w:ascii="仿宋_GB2312" w:hAnsi="仿宋_GB2312" w:cs="仿宋_GB2312"/>
                <w:bCs/>
                <w:sz w:val="24"/>
                <w:szCs w:val="24"/>
              </w:rPr>
              <w:t>。</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难点：</w:t>
            </w:r>
            <w:r w:rsidRPr="0048537C">
              <w:rPr>
                <w:rFonts w:ascii="仿宋_GB2312" w:hAnsi="仿宋_GB2312" w:cs="仿宋_GB2312" w:hint="eastAsia"/>
                <w:bCs/>
                <w:sz w:val="24"/>
                <w:szCs w:val="24"/>
              </w:rPr>
              <w:t>设备更新技术经济分析方法。</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1.了解</w:t>
            </w:r>
            <w:r w:rsidRPr="0048537C">
              <w:rPr>
                <w:rFonts w:ascii="仿宋_GB2312" w:hAnsi="仿宋_GB2312" w:cs="仿宋_GB2312" w:hint="eastAsia"/>
                <w:bCs/>
                <w:sz w:val="24"/>
                <w:szCs w:val="24"/>
              </w:rPr>
              <w:t>设备更新的原因和特点</w:t>
            </w:r>
            <w:r w:rsidRPr="0048537C">
              <w:rPr>
                <w:rFonts w:ascii="仿宋_GB2312" w:hAnsi="仿宋_GB2312" w:cs="仿宋_GB2312"/>
                <w:bCs/>
                <w:sz w:val="24"/>
                <w:szCs w:val="24"/>
              </w:rPr>
              <w:t>。</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2.</w:t>
            </w:r>
            <w:r w:rsidRPr="0048537C">
              <w:rPr>
                <w:rFonts w:ascii="仿宋_GB2312" w:hAnsi="仿宋_GB2312" w:cs="仿宋_GB2312" w:hint="eastAsia"/>
                <w:bCs/>
                <w:sz w:val="24"/>
                <w:szCs w:val="24"/>
              </w:rPr>
              <w:t>熟悉设备经济寿命的含义及静态、动态计算方法</w:t>
            </w:r>
            <w:r w:rsidRPr="0048537C">
              <w:rPr>
                <w:rFonts w:ascii="仿宋_GB2312" w:hAnsi="仿宋_GB2312" w:cs="仿宋_GB2312"/>
                <w:bCs/>
                <w:sz w:val="24"/>
                <w:szCs w:val="24"/>
              </w:rPr>
              <w:t>。</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3.掌握</w:t>
            </w:r>
            <w:r w:rsidRPr="0048537C">
              <w:rPr>
                <w:rFonts w:ascii="仿宋_GB2312" w:hAnsi="仿宋_GB2312" w:cs="仿宋_GB2312" w:hint="eastAsia"/>
                <w:bCs/>
                <w:sz w:val="24"/>
                <w:szCs w:val="24"/>
              </w:rPr>
              <w:t>设备更新的类型及更新方法</w:t>
            </w:r>
            <w:r w:rsidRPr="0048537C">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课堂授课</w:t>
            </w:r>
          </w:p>
          <w:p w:rsidR="00AD1D5F" w:rsidRPr="0048537C" w:rsidRDefault="00AD1D5F" w:rsidP="0048537C">
            <w:pPr>
              <w:spacing w:line="360" w:lineRule="auto"/>
              <w:ind w:firstLine="331"/>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目标3</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9</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内容：第九章</w:t>
            </w:r>
            <w:r w:rsidRPr="0048537C">
              <w:rPr>
                <w:rFonts w:ascii="仿宋_GB2312" w:hAnsi="仿宋_GB2312" w:cs="仿宋_GB2312" w:hint="eastAsia"/>
                <w:bCs/>
                <w:sz w:val="24"/>
                <w:szCs w:val="24"/>
              </w:rPr>
              <w:t>价值工程</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重点：</w:t>
            </w:r>
            <w:r w:rsidRPr="0048537C">
              <w:rPr>
                <w:rFonts w:ascii="仿宋_GB2312" w:hAnsi="仿宋_GB2312" w:cs="仿宋_GB2312" w:hint="eastAsia"/>
                <w:bCs/>
                <w:sz w:val="24"/>
                <w:szCs w:val="24"/>
              </w:rPr>
              <w:t>价值工程分析的原则及程序；功能的划分；价值工程分析对象的选择及功能评价的方法。</w:t>
            </w:r>
          </w:p>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48537C">
            <w:pPr>
              <w:numPr>
                <w:ilvl w:val="0"/>
                <w:numId w:val="89"/>
              </w:num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了解</w:t>
            </w:r>
            <w:r w:rsidRPr="0048537C">
              <w:rPr>
                <w:rFonts w:ascii="仿宋_GB2312" w:hAnsi="仿宋_GB2312" w:cs="仿宋_GB2312" w:hint="eastAsia"/>
                <w:bCs/>
                <w:sz w:val="24"/>
                <w:szCs w:val="24"/>
              </w:rPr>
              <w:t>价值工程分析的特点；熟悉价值工程分析的原则及程序。</w:t>
            </w:r>
          </w:p>
          <w:p w:rsidR="00AD1D5F" w:rsidRPr="0048537C" w:rsidRDefault="00AD1D5F" w:rsidP="0048537C">
            <w:pPr>
              <w:numPr>
                <w:ilvl w:val="0"/>
                <w:numId w:val="89"/>
              </w:num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熟悉价值工程分析对象选择的方法。</w:t>
            </w:r>
          </w:p>
          <w:p w:rsidR="00AD1D5F" w:rsidRPr="0048537C" w:rsidRDefault="00AD1D5F" w:rsidP="0048537C">
            <w:pPr>
              <w:numPr>
                <w:ilvl w:val="0"/>
                <w:numId w:val="89"/>
              </w:num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掌握功能整理、功能评价的方法。</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目标</w:t>
            </w:r>
            <w:r w:rsidRPr="0048537C">
              <w:rPr>
                <w:rFonts w:ascii="仿宋_GB2312" w:hAnsi="仿宋_GB2312" w:cs="仿宋_GB2312" w:hint="eastAsia"/>
                <w:bCs/>
                <w:sz w:val="24"/>
                <w:szCs w:val="24"/>
              </w:rPr>
              <w:t>3</w:t>
            </w:r>
          </w:p>
        </w:tc>
      </w:tr>
    </w:tbl>
    <w:p w:rsidR="00AD1D5F" w:rsidRPr="0048537C" w:rsidRDefault="00AD1D5F" w:rsidP="00AD1D5F">
      <w:pPr>
        <w:keepNext/>
        <w:spacing w:beforeLines="100" w:before="312" w:afterLines="50" w:after="156" w:line="360" w:lineRule="exact"/>
        <w:outlineLvl w:val="0"/>
        <w:rPr>
          <w:rFonts w:ascii="仿宋" w:eastAsia="仿宋" w:hAnsi="仿宋"/>
          <w:b/>
          <w:sz w:val="28"/>
          <w:szCs w:val="28"/>
        </w:rPr>
      </w:pPr>
      <w:r w:rsidRPr="0048537C">
        <w:rPr>
          <w:rFonts w:ascii="仿宋" w:eastAsia="仿宋" w:hAnsi="仿宋"/>
          <w:b/>
          <w:sz w:val="28"/>
          <w:szCs w:val="28"/>
        </w:rPr>
        <w:t>课内实践教学内容及要求</w:t>
      </w:r>
    </w:p>
    <w:p w:rsidR="00AD1D5F" w:rsidRDefault="00AD1D5F" w:rsidP="00AD1D5F">
      <w:pPr>
        <w:adjustRightInd w:val="0"/>
        <w:snapToGrid w:val="0"/>
        <w:spacing w:line="360" w:lineRule="exact"/>
        <w:rPr>
          <w:rFonts w:ascii="Times New Roman" w:hAnsi="Times New Roman"/>
        </w:rPr>
      </w:pPr>
      <w:r>
        <w:rPr>
          <w:rFonts w:ascii="Times New Roman" w:hAnsi="Times New Roman"/>
        </w:rPr>
        <w:t>无</w:t>
      </w:r>
    </w:p>
    <w:p w:rsidR="00AD1D5F" w:rsidRPr="0048537C" w:rsidRDefault="00AD1D5F" w:rsidP="00AD1D5F">
      <w:pPr>
        <w:keepNext/>
        <w:spacing w:beforeLines="100" w:before="312" w:afterLines="50" w:after="156" w:line="360" w:lineRule="exact"/>
        <w:outlineLvl w:val="0"/>
        <w:rPr>
          <w:rFonts w:ascii="仿宋" w:eastAsia="仿宋" w:hAnsi="仿宋"/>
          <w:b/>
          <w:sz w:val="28"/>
          <w:szCs w:val="28"/>
        </w:rPr>
      </w:pPr>
      <w:r w:rsidRPr="0048537C">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802"/>
        <w:gridCol w:w="804"/>
        <w:gridCol w:w="803"/>
        <w:gridCol w:w="805"/>
        <w:gridCol w:w="803"/>
        <w:gridCol w:w="805"/>
        <w:gridCol w:w="788"/>
      </w:tblGrid>
      <w:tr w:rsidR="00AD1D5F" w:rsidRPr="0048537C" w:rsidTr="00CD00D2">
        <w:trPr>
          <w:trHeight w:val="454"/>
          <w:jc w:val="center"/>
        </w:trPr>
        <w:tc>
          <w:tcPr>
            <w:tcW w:w="1624" w:type="pct"/>
            <w:vMerge w:val="restart"/>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章  节</w:t>
            </w:r>
          </w:p>
        </w:tc>
        <w:tc>
          <w:tcPr>
            <w:tcW w:w="2937" w:type="pct"/>
            <w:gridSpan w:val="6"/>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学 时 分 配</w:t>
            </w:r>
          </w:p>
        </w:tc>
        <w:tc>
          <w:tcPr>
            <w:tcW w:w="439" w:type="pct"/>
            <w:vMerge w:val="restart"/>
            <w:vAlign w:val="center"/>
          </w:tcPr>
          <w:p w:rsidR="00AD1D5F" w:rsidRPr="0048537C" w:rsidRDefault="00AD1D5F" w:rsidP="0048537C">
            <w:pPr>
              <w:spacing w:line="360" w:lineRule="auto"/>
              <w:rPr>
                <w:rFonts w:ascii="仿宋_GB2312" w:hAnsi="仿宋_GB2312" w:cs="仿宋_GB2312"/>
                <w:b/>
                <w:bCs/>
                <w:sz w:val="24"/>
                <w:szCs w:val="24"/>
              </w:rPr>
            </w:pPr>
            <w:r w:rsidRPr="0048537C">
              <w:rPr>
                <w:rFonts w:ascii="仿宋_GB2312" w:hAnsi="仿宋_GB2312" w:cs="仿宋_GB2312"/>
                <w:b/>
                <w:bCs/>
                <w:sz w:val="24"/>
                <w:szCs w:val="24"/>
              </w:rPr>
              <w:t>合  计</w:t>
            </w:r>
          </w:p>
        </w:tc>
      </w:tr>
      <w:tr w:rsidR="00AD1D5F" w:rsidRPr="0048537C" w:rsidTr="00CD00D2">
        <w:trPr>
          <w:trHeight w:val="454"/>
          <w:jc w:val="center"/>
        </w:trPr>
        <w:tc>
          <w:tcPr>
            <w:tcW w:w="1624" w:type="pct"/>
            <w:vMerge/>
            <w:vAlign w:val="center"/>
          </w:tcPr>
          <w:p w:rsidR="00AD1D5F" w:rsidRPr="0048537C" w:rsidRDefault="00AD1D5F" w:rsidP="0048537C">
            <w:pPr>
              <w:spacing w:line="360" w:lineRule="auto"/>
              <w:ind w:firstLine="331"/>
              <w:rPr>
                <w:rFonts w:ascii="仿宋_GB2312" w:hAnsi="仿宋_GB2312" w:cs="仿宋_GB2312"/>
                <w:b/>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 xml:space="preserve">讲  </w:t>
            </w:r>
            <w:r w:rsidRPr="0048537C">
              <w:rPr>
                <w:rFonts w:ascii="仿宋_GB2312" w:hAnsi="仿宋_GB2312" w:cs="仿宋_GB2312"/>
                <w:b/>
                <w:bCs/>
                <w:sz w:val="24"/>
                <w:szCs w:val="24"/>
              </w:rPr>
              <w:lastRenderedPageBreak/>
              <w:t>课</w:t>
            </w:r>
          </w:p>
        </w:tc>
        <w:tc>
          <w:tcPr>
            <w:tcW w:w="490" w:type="pct"/>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lastRenderedPageBreak/>
              <w:t>实</w:t>
            </w:r>
            <w:r w:rsidRPr="0048537C">
              <w:rPr>
                <w:rFonts w:ascii="仿宋_GB2312" w:hAnsi="仿宋_GB2312" w:cs="仿宋_GB2312"/>
                <w:b/>
                <w:bCs/>
                <w:sz w:val="24"/>
                <w:szCs w:val="24"/>
              </w:rPr>
              <w:lastRenderedPageBreak/>
              <w:t>验课</w:t>
            </w:r>
          </w:p>
        </w:tc>
        <w:tc>
          <w:tcPr>
            <w:tcW w:w="489" w:type="pct"/>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lastRenderedPageBreak/>
              <w:t>上</w:t>
            </w:r>
            <w:r w:rsidRPr="0048537C">
              <w:rPr>
                <w:rFonts w:ascii="仿宋_GB2312" w:hAnsi="仿宋_GB2312" w:cs="仿宋_GB2312"/>
                <w:b/>
                <w:bCs/>
                <w:sz w:val="24"/>
                <w:szCs w:val="24"/>
              </w:rPr>
              <w:lastRenderedPageBreak/>
              <w:t>机课</w:t>
            </w:r>
          </w:p>
        </w:tc>
        <w:tc>
          <w:tcPr>
            <w:tcW w:w="490" w:type="pct"/>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lastRenderedPageBreak/>
              <w:t>讨</w:t>
            </w:r>
            <w:r w:rsidRPr="0048537C">
              <w:rPr>
                <w:rFonts w:ascii="仿宋_GB2312" w:hAnsi="仿宋_GB2312" w:cs="仿宋_GB2312"/>
                <w:b/>
                <w:bCs/>
                <w:sz w:val="24"/>
                <w:szCs w:val="24"/>
              </w:rPr>
              <w:lastRenderedPageBreak/>
              <w:t>论课</w:t>
            </w:r>
          </w:p>
        </w:tc>
        <w:tc>
          <w:tcPr>
            <w:tcW w:w="489" w:type="pct"/>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lastRenderedPageBreak/>
              <w:t>习</w:t>
            </w:r>
            <w:r w:rsidRPr="0048537C">
              <w:rPr>
                <w:rFonts w:ascii="仿宋_GB2312" w:hAnsi="仿宋_GB2312" w:cs="仿宋_GB2312"/>
                <w:b/>
                <w:bCs/>
                <w:sz w:val="24"/>
                <w:szCs w:val="24"/>
              </w:rPr>
              <w:lastRenderedPageBreak/>
              <w:t>题课</w:t>
            </w:r>
          </w:p>
        </w:tc>
        <w:tc>
          <w:tcPr>
            <w:tcW w:w="490" w:type="pct"/>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lastRenderedPageBreak/>
              <w:t xml:space="preserve">其  </w:t>
            </w:r>
            <w:r w:rsidRPr="0048537C">
              <w:rPr>
                <w:rFonts w:ascii="仿宋_GB2312" w:hAnsi="仿宋_GB2312" w:cs="仿宋_GB2312"/>
                <w:b/>
                <w:bCs/>
                <w:sz w:val="24"/>
                <w:szCs w:val="24"/>
              </w:rPr>
              <w:lastRenderedPageBreak/>
              <w:t>它</w:t>
            </w:r>
          </w:p>
        </w:tc>
        <w:tc>
          <w:tcPr>
            <w:tcW w:w="439" w:type="pct"/>
            <w:vMerge/>
            <w:vAlign w:val="center"/>
          </w:tcPr>
          <w:p w:rsidR="00AD1D5F" w:rsidRPr="0048537C" w:rsidRDefault="00AD1D5F" w:rsidP="0048537C">
            <w:pPr>
              <w:spacing w:line="360" w:lineRule="auto"/>
              <w:ind w:firstLine="331"/>
              <w:rPr>
                <w:rFonts w:ascii="仿宋_GB2312" w:hAnsi="仿宋_GB2312" w:cs="仿宋_GB2312"/>
                <w:b/>
                <w:bCs/>
                <w:sz w:val="24"/>
                <w:szCs w:val="24"/>
              </w:rPr>
            </w:pPr>
          </w:p>
        </w:tc>
      </w:tr>
      <w:tr w:rsidR="00AD1D5F" w:rsidTr="00CD00D2">
        <w:trPr>
          <w:trHeight w:val="454"/>
          <w:jc w:val="center"/>
        </w:trPr>
        <w:tc>
          <w:tcPr>
            <w:tcW w:w="1624"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第一章</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3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2</w:t>
            </w:r>
          </w:p>
        </w:tc>
      </w:tr>
      <w:tr w:rsidR="00AD1D5F" w:rsidTr="00CD00D2">
        <w:trPr>
          <w:trHeight w:val="454"/>
          <w:jc w:val="center"/>
        </w:trPr>
        <w:tc>
          <w:tcPr>
            <w:tcW w:w="1624"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第二章</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5</w:t>
            </w: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1</w:t>
            </w:r>
          </w:p>
        </w:tc>
        <w:tc>
          <w:tcPr>
            <w:tcW w:w="43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8</w:t>
            </w:r>
          </w:p>
        </w:tc>
      </w:tr>
      <w:tr w:rsidR="00AD1D5F" w:rsidTr="00CD00D2">
        <w:trPr>
          <w:trHeight w:val="454"/>
          <w:jc w:val="center"/>
        </w:trPr>
        <w:tc>
          <w:tcPr>
            <w:tcW w:w="1624"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第三章</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5</w:t>
            </w: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3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6</w:t>
            </w:r>
          </w:p>
        </w:tc>
      </w:tr>
      <w:tr w:rsidR="00AD1D5F" w:rsidTr="00CD00D2">
        <w:trPr>
          <w:trHeight w:val="454"/>
          <w:jc w:val="center"/>
        </w:trPr>
        <w:tc>
          <w:tcPr>
            <w:tcW w:w="1624"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第四章</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3</w:t>
            </w: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1</w:t>
            </w:r>
          </w:p>
        </w:tc>
        <w:tc>
          <w:tcPr>
            <w:tcW w:w="43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w:t>
            </w:r>
          </w:p>
        </w:tc>
      </w:tr>
      <w:tr w:rsidR="00AD1D5F" w:rsidTr="00CD00D2">
        <w:trPr>
          <w:trHeight w:val="454"/>
          <w:jc w:val="center"/>
        </w:trPr>
        <w:tc>
          <w:tcPr>
            <w:tcW w:w="1624"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第五章</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3</w:t>
            </w: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3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w:t>
            </w:r>
          </w:p>
        </w:tc>
      </w:tr>
      <w:tr w:rsidR="00AD1D5F" w:rsidTr="00CD00D2">
        <w:trPr>
          <w:trHeight w:val="454"/>
          <w:jc w:val="center"/>
        </w:trPr>
        <w:tc>
          <w:tcPr>
            <w:tcW w:w="1624"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第六章</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w:t>
            </w: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3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w:t>
            </w:r>
          </w:p>
        </w:tc>
      </w:tr>
      <w:tr w:rsidR="00AD1D5F" w:rsidTr="00CD00D2">
        <w:trPr>
          <w:trHeight w:val="454"/>
          <w:jc w:val="center"/>
        </w:trPr>
        <w:tc>
          <w:tcPr>
            <w:tcW w:w="1624"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第七章</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3</w:t>
            </w: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1</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3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1</w:t>
            </w:r>
          </w:p>
        </w:tc>
      </w:tr>
      <w:tr w:rsidR="00AD1D5F" w:rsidTr="00CD00D2">
        <w:trPr>
          <w:trHeight w:val="454"/>
          <w:jc w:val="center"/>
        </w:trPr>
        <w:tc>
          <w:tcPr>
            <w:tcW w:w="1624"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第八章</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w:t>
            </w: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3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4</w:t>
            </w:r>
          </w:p>
        </w:tc>
      </w:tr>
      <w:tr w:rsidR="00AD1D5F" w:rsidTr="00CD00D2">
        <w:trPr>
          <w:trHeight w:val="454"/>
          <w:jc w:val="center"/>
        </w:trPr>
        <w:tc>
          <w:tcPr>
            <w:tcW w:w="1624"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第九章</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w:t>
            </w: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3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w:t>
            </w:r>
          </w:p>
        </w:tc>
      </w:tr>
      <w:tr w:rsidR="00AD1D5F" w:rsidTr="00CD00D2">
        <w:trPr>
          <w:trHeight w:val="454"/>
          <w:jc w:val="center"/>
        </w:trPr>
        <w:tc>
          <w:tcPr>
            <w:tcW w:w="1624"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共  计</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33</w:t>
            </w: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3</w:t>
            </w:r>
          </w:p>
        </w:tc>
        <w:tc>
          <w:tcPr>
            <w:tcW w:w="48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490"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2</w:t>
            </w:r>
          </w:p>
        </w:tc>
        <w:tc>
          <w:tcPr>
            <w:tcW w:w="43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40</w:t>
            </w:r>
          </w:p>
        </w:tc>
      </w:tr>
    </w:tbl>
    <w:p w:rsidR="00AD1D5F" w:rsidRPr="0048537C" w:rsidRDefault="00AD1D5F" w:rsidP="00AD1D5F">
      <w:pPr>
        <w:keepNext/>
        <w:spacing w:beforeLines="100" w:before="312" w:afterLines="50" w:after="156" w:line="360" w:lineRule="exact"/>
        <w:outlineLvl w:val="0"/>
        <w:rPr>
          <w:rFonts w:ascii="仿宋" w:eastAsia="仿宋" w:hAnsi="仿宋"/>
          <w:b/>
          <w:sz w:val="28"/>
          <w:szCs w:val="28"/>
        </w:rPr>
      </w:pPr>
      <w:r w:rsidRPr="0048537C">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547"/>
        <w:gridCol w:w="1896"/>
        <w:gridCol w:w="3184"/>
      </w:tblGrid>
      <w:tr w:rsidR="00AD1D5F" w:rsidTr="0048537C">
        <w:trPr>
          <w:trHeight w:val="454"/>
          <w:jc w:val="center"/>
        </w:trPr>
        <w:tc>
          <w:tcPr>
            <w:tcW w:w="403" w:type="pct"/>
            <w:vAlign w:val="center"/>
          </w:tcPr>
          <w:p w:rsidR="00AD1D5F" w:rsidRPr="0048537C" w:rsidRDefault="00AD1D5F" w:rsidP="0048537C">
            <w:pPr>
              <w:spacing w:line="360" w:lineRule="auto"/>
              <w:rPr>
                <w:rFonts w:ascii="仿宋_GB2312" w:hAnsi="仿宋_GB2312" w:cs="仿宋_GB2312"/>
                <w:b/>
                <w:bCs/>
                <w:sz w:val="24"/>
                <w:szCs w:val="24"/>
              </w:rPr>
            </w:pPr>
            <w:r w:rsidRPr="0048537C">
              <w:rPr>
                <w:rFonts w:ascii="仿宋_GB2312" w:hAnsi="仿宋_GB2312" w:cs="仿宋_GB2312"/>
                <w:b/>
                <w:bCs/>
                <w:sz w:val="24"/>
                <w:szCs w:val="24"/>
              </w:rPr>
              <w:t>序号</w:t>
            </w:r>
          </w:p>
        </w:tc>
        <w:tc>
          <w:tcPr>
            <w:tcW w:w="1535" w:type="pct"/>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课程思政教学目标</w:t>
            </w:r>
          </w:p>
        </w:tc>
        <w:tc>
          <w:tcPr>
            <w:tcW w:w="1143" w:type="pct"/>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授课章节</w:t>
            </w:r>
          </w:p>
        </w:tc>
        <w:tc>
          <w:tcPr>
            <w:tcW w:w="1919" w:type="pct"/>
            <w:vAlign w:val="center"/>
          </w:tcPr>
          <w:p w:rsidR="00AD1D5F" w:rsidRPr="0048537C" w:rsidRDefault="00AD1D5F" w:rsidP="0048537C">
            <w:pPr>
              <w:spacing w:line="360" w:lineRule="auto"/>
              <w:ind w:firstLine="331"/>
              <w:rPr>
                <w:rFonts w:ascii="仿宋_GB2312" w:hAnsi="仿宋_GB2312" w:cs="仿宋_GB2312"/>
                <w:b/>
                <w:bCs/>
                <w:sz w:val="24"/>
                <w:szCs w:val="24"/>
              </w:rPr>
            </w:pPr>
            <w:r w:rsidRPr="0048537C">
              <w:rPr>
                <w:rFonts w:ascii="仿宋_GB2312" w:hAnsi="仿宋_GB2312" w:cs="仿宋_GB2312"/>
                <w:b/>
                <w:bCs/>
                <w:sz w:val="24"/>
                <w:szCs w:val="24"/>
              </w:rPr>
              <w:t>课程思政融入点</w:t>
            </w:r>
          </w:p>
        </w:tc>
      </w:tr>
      <w:tr w:rsidR="00AD1D5F" w:rsidTr="0048537C">
        <w:trPr>
          <w:trHeight w:val="454"/>
          <w:jc w:val="center"/>
        </w:trPr>
        <w:tc>
          <w:tcPr>
            <w:tcW w:w="403"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1</w:t>
            </w:r>
          </w:p>
        </w:tc>
        <w:tc>
          <w:tcPr>
            <w:tcW w:w="1535"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正确政治导向</w:t>
            </w:r>
          </w:p>
        </w:tc>
        <w:tc>
          <w:tcPr>
            <w:tcW w:w="1143"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第五章</w:t>
            </w:r>
          </w:p>
        </w:tc>
        <w:tc>
          <w:tcPr>
            <w:tcW w:w="191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工程经济分析是我国经济建设中非常重要的一个环节，是时代的要求。</w:t>
            </w:r>
          </w:p>
        </w:tc>
      </w:tr>
      <w:tr w:rsidR="00AD1D5F" w:rsidTr="0048537C">
        <w:trPr>
          <w:trHeight w:val="454"/>
          <w:jc w:val="center"/>
        </w:trPr>
        <w:tc>
          <w:tcPr>
            <w:tcW w:w="403"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2</w:t>
            </w:r>
          </w:p>
        </w:tc>
        <w:tc>
          <w:tcPr>
            <w:tcW w:w="1535"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社会主义核心价值观教育</w:t>
            </w:r>
          </w:p>
        </w:tc>
        <w:tc>
          <w:tcPr>
            <w:tcW w:w="1143"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第二章</w:t>
            </w:r>
          </w:p>
        </w:tc>
        <w:tc>
          <w:tcPr>
            <w:tcW w:w="191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先进技术是提升生活质量的有力工具</w:t>
            </w:r>
          </w:p>
        </w:tc>
      </w:tr>
      <w:tr w:rsidR="00AD1D5F" w:rsidTr="0048537C">
        <w:trPr>
          <w:trHeight w:val="454"/>
          <w:jc w:val="center"/>
        </w:trPr>
        <w:tc>
          <w:tcPr>
            <w:tcW w:w="403"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3</w:t>
            </w:r>
          </w:p>
        </w:tc>
        <w:tc>
          <w:tcPr>
            <w:tcW w:w="1535"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远大理想塑造</w:t>
            </w:r>
          </w:p>
        </w:tc>
        <w:tc>
          <w:tcPr>
            <w:tcW w:w="1143"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第一~四章</w:t>
            </w:r>
          </w:p>
        </w:tc>
        <w:tc>
          <w:tcPr>
            <w:tcW w:w="191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工程经济学在实践中不断发展，对我国未来建设的促进作用会更加明显。</w:t>
            </w:r>
          </w:p>
        </w:tc>
      </w:tr>
      <w:tr w:rsidR="00AD1D5F" w:rsidTr="0048537C">
        <w:trPr>
          <w:trHeight w:val="454"/>
          <w:jc w:val="center"/>
        </w:trPr>
        <w:tc>
          <w:tcPr>
            <w:tcW w:w="403"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4</w:t>
            </w:r>
          </w:p>
        </w:tc>
        <w:tc>
          <w:tcPr>
            <w:tcW w:w="1535"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健康心态培育</w:t>
            </w:r>
          </w:p>
        </w:tc>
        <w:tc>
          <w:tcPr>
            <w:tcW w:w="1143"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第九章</w:t>
            </w:r>
          </w:p>
        </w:tc>
        <w:tc>
          <w:tcPr>
            <w:tcW w:w="191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各种新技术需要不断创新、不断学习，应勇于面对新问题并着力寻求解决</w:t>
            </w:r>
          </w:p>
        </w:tc>
      </w:tr>
      <w:tr w:rsidR="00AD1D5F" w:rsidTr="0048537C">
        <w:trPr>
          <w:trHeight w:val="454"/>
          <w:jc w:val="center"/>
        </w:trPr>
        <w:tc>
          <w:tcPr>
            <w:tcW w:w="403"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5</w:t>
            </w:r>
          </w:p>
        </w:tc>
        <w:tc>
          <w:tcPr>
            <w:tcW w:w="1535"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bCs/>
                <w:sz w:val="24"/>
                <w:szCs w:val="24"/>
              </w:rPr>
              <w:t>道德品质培养</w:t>
            </w:r>
          </w:p>
        </w:tc>
        <w:tc>
          <w:tcPr>
            <w:tcW w:w="1143"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第一章</w:t>
            </w:r>
          </w:p>
        </w:tc>
        <w:tc>
          <w:tcPr>
            <w:tcW w:w="1919" w:type="pct"/>
            <w:vAlign w:val="center"/>
          </w:tcPr>
          <w:p w:rsidR="00AD1D5F" w:rsidRPr="0048537C" w:rsidRDefault="00AD1D5F" w:rsidP="0048537C">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工程经济分析人员应该具备实事求是的工作作风，遵守法律的意识，以及客观</w:t>
            </w:r>
            <w:r w:rsidRPr="0048537C">
              <w:rPr>
                <w:rFonts w:ascii="仿宋_GB2312" w:hAnsi="仿宋_GB2312" w:cs="仿宋_GB2312" w:hint="eastAsia"/>
                <w:bCs/>
                <w:sz w:val="24"/>
                <w:szCs w:val="24"/>
              </w:rPr>
              <w:lastRenderedPageBreak/>
              <w:t>公正的工作态度。</w:t>
            </w:r>
          </w:p>
        </w:tc>
      </w:tr>
    </w:tbl>
    <w:p w:rsidR="0048537C" w:rsidRDefault="0048537C" w:rsidP="0048537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五、课程考核方式与成绩评定</w:t>
      </w:r>
    </w:p>
    <w:p w:rsidR="00AD1D5F" w:rsidRPr="0048537C" w:rsidRDefault="00AD1D5F" w:rsidP="0048537C">
      <w:pPr>
        <w:spacing w:line="360" w:lineRule="auto"/>
        <w:ind w:firstLine="331"/>
        <w:rPr>
          <w:rFonts w:ascii="仿宋_GB2312" w:hAnsi="仿宋_GB2312" w:cs="仿宋_GB2312"/>
          <w:bCs/>
          <w:sz w:val="28"/>
          <w:szCs w:val="28"/>
        </w:rPr>
      </w:pPr>
      <w:r w:rsidRPr="0048537C">
        <w:rPr>
          <w:rFonts w:ascii="仿宋_GB2312" w:hAnsi="仿宋_GB2312" w:cs="仿宋_GB2312"/>
          <w:bCs/>
          <w:sz w:val="28"/>
          <w:szCs w:val="28"/>
        </w:rPr>
        <w:t>（1）考核方式</w:t>
      </w:r>
    </w:p>
    <w:p w:rsidR="00AD1D5F" w:rsidRPr="0048537C" w:rsidRDefault="00AD1D5F" w:rsidP="0048537C">
      <w:pPr>
        <w:spacing w:line="360" w:lineRule="auto"/>
        <w:ind w:firstLine="331"/>
        <w:rPr>
          <w:rFonts w:ascii="仿宋_GB2312" w:hAnsi="仿宋_GB2312" w:cs="仿宋_GB2312"/>
          <w:bCs/>
          <w:sz w:val="28"/>
          <w:szCs w:val="28"/>
        </w:rPr>
      </w:pPr>
      <w:r w:rsidRPr="0048537C">
        <w:rPr>
          <w:rFonts w:ascii="仿宋_GB2312" w:hAnsi="仿宋_GB2312" w:cs="仿宋_GB2312"/>
          <w:bCs/>
          <w:sz w:val="28"/>
          <w:szCs w:val="28"/>
        </w:rPr>
        <w:t>本课程考核方式为考试，其中期末考核方式为非标准答案考试，过程考核方式为课堂出勤、课堂讨论展示、作业完成情况及平时随堂测验等。</w:t>
      </w:r>
    </w:p>
    <w:p w:rsidR="00AD1D5F" w:rsidRPr="0048537C" w:rsidRDefault="00AD1D5F" w:rsidP="0048537C">
      <w:pPr>
        <w:spacing w:line="360" w:lineRule="auto"/>
        <w:ind w:firstLine="331"/>
        <w:rPr>
          <w:rFonts w:ascii="仿宋_GB2312" w:hAnsi="仿宋_GB2312" w:cs="仿宋_GB2312"/>
          <w:bCs/>
          <w:sz w:val="28"/>
          <w:szCs w:val="28"/>
        </w:rPr>
      </w:pPr>
      <w:r w:rsidRPr="0048537C">
        <w:rPr>
          <w:rFonts w:ascii="仿宋_GB2312" w:hAnsi="仿宋_GB2312" w:cs="仿宋_GB2312"/>
          <w:bCs/>
          <w:sz w:val="28"/>
          <w:szCs w:val="28"/>
        </w:rPr>
        <w:t>（2）成绩评定</w:t>
      </w:r>
    </w:p>
    <w:tbl>
      <w:tblPr>
        <w:tblW w:w="42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9"/>
        <w:gridCol w:w="745"/>
        <w:gridCol w:w="566"/>
        <w:gridCol w:w="602"/>
        <w:gridCol w:w="788"/>
        <w:gridCol w:w="457"/>
        <w:gridCol w:w="788"/>
        <w:gridCol w:w="788"/>
        <w:gridCol w:w="788"/>
        <w:gridCol w:w="907"/>
      </w:tblGrid>
      <w:tr w:rsidR="00AD1D5F" w:rsidRPr="0048537C" w:rsidTr="00C00235">
        <w:trPr>
          <w:trHeight w:val="454"/>
          <w:jc w:val="center"/>
        </w:trPr>
        <w:tc>
          <w:tcPr>
            <w:tcW w:w="471" w:type="pct"/>
            <w:vMerge w:val="restart"/>
            <w:tcBorders>
              <w:top w:val="single" w:sz="4" w:space="0" w:color="000000"/>
              <w:left w:val="single" w:sz="4" w:space="0" w:color="000000"/>
              <w:right w:val="single" w:sz="4" w:space="0" w:color="000000"/>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b/>
                <w:bCs/>
                <w:sz w:val="24"/>
                <w:szCs w:val="24"/>
              </w:rPr>
              <w:t>序号</w:t>
            </w:r>
          </w:p>
        </w:tc>
        <w:tc>
          <w:tcPr>
            <w:tcW w:w="525" w:type="pct"/>
            <w:vMerge w:val="restart"/>
            <w:tcBorders>
              <w:top w:val="single" w:sz="4" w:space="0" w:color="000000"/>
              <w:left w:val="single" w:sz="4" w:space="0" w:color="000000"/>
              <w:right w:val="single" w:sz="4" w:space="0" w:color="auto"/>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b/>
                <w:bCs/>
                <w:sz w:val="24"/>
                <w:szCs w:val="24"/>
              </w:rPr>
              <w:t>课程</w:t>
            </w:r>
          </w:p>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b/>
                <w:bCs/>
                <w:sz w:val="24"/>
                <w:szCs w:val="24"/>
              </w:rPr>
              <w:t>目标</w:t>
            </w:r>
          </w:p>
        </w:tc>
        <w:tc>
          <w:tcPr>
            <w:tcW w:w="4005" w:type="pct"/>
            <w:gridSpan w:val="8"/>
            <w:tcBorders>
              <w:top w:val="single" w:sz="4" w:space="0" w:color="000000"/>
              <w:left w:val="single" w:sz="4" w:space="0" w:color="auto"/>
              <w:bottom w:val="single" w:sz="4" w:space="0" w:color="auto"/>
              <w:right w:val="single" w:sz="4" w:space="0" w:color="auto"/>
            </w:tcBorders>
            <w:vAlign w:val="center"/>
          </w:tcPr>
          <w:p w:rsidR="00AD1D5F" w:rsidRPr="00C00235" w:rsidRDefault="00AD1D5F" w:rsidP="0048537C">
            <w:pPr>
              <w:spacing w:line="360" w:lineRule="auto"/>
              <w:ind w:firstLine="331"/>
              <w:rPr>
                <w:rFonts w:ascii="仿宋_GB2312" w:hAnsi="仿宋_GB2312" w:cs="仿宋_GB2312"/>
                <w:b/>
                <w:bCs/>
                <w:sz w:val="24"/>
                <w:szCs w:val="24"/>
              </w:rPr>
            </w:pPr>
            <w:r w:rsidRPr="00C00235">
              <w:rPr>
                <w:rFonts w:ascii="仿宋_GB2312" w:hAnsi="仿宋_GB2312" w:cs="仿宋_GB2312"/>
                <w:b/>
                <w:bCs/>
                <w:sz w:val="24"/>
                <w:szCs w:val="24"/>
              </w:rPr>
              <w:t>考核方式及成绩比例（%）</w:t>
            </w:r>
          </w:p>
        </w:tc>
      </w:tr>
      <w:tr w:rsidR="00AD1D5F" w:rsidRPr="0048537C" w:rsidTr="00C00235">
        <w:trPr>
          <w:trHeight w:val="454"/>
          <w:jc w:val="center"/>
        </w:trPr>
        <w:tc>
          <w:tcPr>
            <w:tcW w:w="471" w:type="pct"/>
            <w:vMerge/>
            <w:tcBorders>
              <w:left w:val="single" w:sz="4" w:space="0" w:color="000000"/>
              <w:bottom w:val="single" w:sz="4" w:space="0" w:color="000000"/>
              <w:right w:val="single" w:sz="4" w:space="0" w:color="000000"/>
            </w:tcBorders>
            <w:vAlign w:val="center"/>
          </w:tcPr>
          <w:p w:rsidR="00AD1D5F" w:rsidRPr="00C00235" w:rsidRDefault="00AD1D5F" w:rsidP="0048537C">
            <w:pPr>
              <w:spacing w:line="360" w:lineRule="auto"/>
              <w:ind w:firstLine="331"/>
              <w:rPr>
                <w:rFonts w:ascii="仿宋_GB2312" w:hAnsi="仿宋_GB2312" w:cs="仿宋_GB2312"/>
                <w:b/>
                <w:bCs/>
                <w:sz w:val="24"/>
                <w:szCs w:val="24"/>
              </w:rPr>
            </w:pPr>
          </w:p>
        </w:tc>
        <w:tc>
          <w:tcPr>
            <w:tcW w:w="525" w:type="pct"/>
            <w:vMerge/>
            <w:tcBorders>
              <w:left w:val="single" w:sz="4" w:space="0" w:color="000000"/>
              <w:right w:val="single" w:sz="4" w:space="0" w:color="auto"/>
            </w:tcBorders>
            <w:vAlign w:val="center"/>
          </w:tcPr>
          <w:p w:rsidR="00AD1D5F" w:rsidRPr="00C00235" w:rsidRDefault="00AD1D5F" w:rsidP="0048537C">
            <w:pPr>
              <w:spacing w:line="360" w:lineRule="auto"/>
              <w:ind w:firstLine="331"/>
              <w:rPr>
                <w:rFonts w:ascii="仿宋_GB2312" w:hAnsi="仿宋_GB2312" w:cs="仿宋_GB2312"/>
                <w:b/>
                <w:bCs/>
                <w:sz w:val="24"/>
                <w:szCs w:val="24"/>
              </w:rPr>
            </w:pPr>
          </w:p>
        </w:tc>
        <w:tc>
          <w:tcPr>
            <w:tcW w:w="399" w:type="pct"/>
            <w:tcBorders>
              <w:top w:val="single" w:sz="4" w:space="0" w:color="auto"/>
              <w:left w:val="single" w:sz="4" w:space="0" w:color="auto"/>
              <w:right w:val="single" w:sz="4" w:space="0" w:color="auto"/>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b/>
                <w:bCs/>
                <w:sz w:val="24"/>
                <w:szCs w:val="24"/>
              </w:rPr>
              <w:t>考勤</w:t>
            </w:r>
          </w:p>
        </w:tc>
        <w:tc>
          <w:tcPr>
            <w:tcW w:w="424" w:type="pct"/>
            <w:tcBorders>
              <w:top w:val="single" w:sz="4" w:space="0" w:color="auto"/>
              <w:left w:val="single" w:sz="4" w:space="0" w:color="auto"/>
              <w:right w:val="single" w:sz="4" w:space="0" w:color="auto"/>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b/>
                <w:bCs/>
                <w:sz w:val="24"/>
                <w:szCs w:val="24"/>
              </w:rPr>
              <w:t>作业</w:t>
            </w:r>
          </w:p>
        </w:tc>
        <w:tc>
          <w:tcPr>
            <w:tcW w:w="555" w:type="pct"/>
            <w:tcBorders>
              <w:top w:val="single" w:sz="4" w:space="0" w:color="auto"/>
              <w:left w:val="single" w:sz="4" w:space="0" w:color="auto"/>
              <w:right w:val="single" w:sz="4" w:space="0" w:color="auto"/>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b/>
                <w:bCs/>
                <w:sz w:val="24"/>
                <w:szCs w:val="24"/>
              </w:rPr>
              <w:t>讨论</w:t>
            </w:r>
          </w:p>
        </w:tc>
        <w:tc>
          <w:tcPr>
            <w:tcW w:w="322" w:type="pct"/>
            <w:tcBorders>
              <w:top w:val="single" w:sz="4" w:space="0" w:color="auto"/>
              <w:left w:val="single" w:sz="4" w:space="0" w:color="auto"/>
              <w:right w:val="single" w:sz="4" w:space="0" w:color="auto"/>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b/>
                <w:bCs/>
                <w:sz w:val="24"/>
                <w:szCs w:val="24"/>
              </w:rPr>
              <w:t>实验</w:t>
            </w:r>
          </w:p>
        </w:tc>
        <w:tc>
          <w:tcPr>
            <w:tcW w:w="555" w:type="pct"/>
            <w:tcBorders>
              <w:top w:val="single" w:sz="4" w:space="0" w:color="auto"/>
              <w:left w:val="single" w:sz="4" w:space="0" w:color="auto"/>
              <w:right w:val="single" w:sz="4" w:space="0" w:color="auto"/>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b/>
                <w:bCs/>
                <w:sz w:val="24"/>
                <w:szCs w:val="24"/>
              </w:rPr>
              <w:t>测验</w:t>
            </w:r>
          </w:p>
        </w:tc>
        <w:tc>
          <w:tcPr>
            <w:tcW w:w="555" w:type="pct"/>
            <w:tcBorders>
              <w:top w:val="single" w:sz="4" w:space="0" w:color="auto"/>
              <w:left w:val="single" w:sz="4" w:space="0" w:color="auto"/>
              <w:right w:val="single" w:sz="4" w:space="0" w:color="auto"/>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b/>
                <w:bCs/>
                <w:sz w:val="24"/>
                <w:szCs w:val="24"/>
              </w:rPr>
              <w:t>考试</w:t>
            </w:r>
          </w:p>
        </w:tc>
        <w:tc>
          <w:tcPr>
            <w:tcW w:w="555" w:type="pct"/>
            <w:tcBorders>
              <w:top w:val="single" w:sz="4" w:space="0" w:color="auto"/>
              <w:left w:val="single" w:sz="4" w:space="0" w:color="auto"/>
              <w:right w:val="single" w:sz="4" w:space="0" w:color="auto"/>
            </w:tcBorders>
            <w:vAlign w:val="center"/>
          </w:tcPr>
          <w:p w:rsidR="00AD1D5F" w:rsidRPr="00C00235" w:rsidRDefault="00AD1D5F" w:rsidP="0048537C">
            <w:pPr>
              <w:spacing w:line="360" w:lineRule="auto"/>
              <w:ind w:firstLine="331"/>
              <w:rPr>
                <w:rFonts w:ascii="仿宋_GB2312" w:hAnsi="仿宋_GB2312" w:cs="仿宋_GB2312"/>
                <w:b/>
                <w:bCs/>
                <w:sz w:val="24"/>
                <w:szCs w:val="24"/>
              </w:rPr>
            </w:pPr>
            <w:r w:rsidRPr="00C00235">
              <w:rPr>
                <w:rFonts w:ascii="仿宋_GB2312" w:hAnsi="仿宋_GB2312" w:cs="仿宋_GB2312"/>
                <w:b/>
                <w:bCs/>
                <w:sz w:val="24"/>
                <w:szCs w:val="24"/>
              </w:rPr>
              <w:t>…</w:t>
            </w:r>
          </w:p>
        </w:tc>
        <w:tc>
          <w:tcPr>
            <w:tcW w:w="639" w:type="pct"/>
            <w:tcBorders>
              <w:top w:val="single" w:sz="4" w:space="0" w:color="auto"/>
              <w:left w:val="single" w:sz="4" w:space="0" w:color="auto"/>
              <w:right w:val="single" w:sz="4" w:space="0" w:color="auto"/>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b/>
                <w:bCs/>
                <w:sz w:val="24"/>
                <w:szCs w:val="24"/>
              </w:rPr>
              <w:t>合计</w:t>
            </w:r>
          </w:p>
        </w:tc>
      </w:tr>
      <w:tr w:rsidR="00AD1D5F" w:rsidRPr="0048537C" w:rsidTr="00C00235">
        <w:trPr>
          <w:trHeight w:val="454"/>
          <w:jc w:val="center"/>
        </w:trPr>
        <w:tc>
          <w:tcPr>
            <w:tcW w:w="471"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bCs/>
                <w:sz w:val="24"/>
                <w:szCs w:val="24"/>
              </w:rPr>
              <w:t>1</w:t>
            </w:r>
          </w:p>
        </w:tc>
        <w:tc>
          <w:tcPr>
            <w:tcW w:w="525"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C00235">
            <w:pPr>
              <w:spacing w:line="360" w:lineRule="auto"/>
              <w:jc w:val="center"/>
              <w:rPr>
                <w:rFonts w:ascii="仿宋_GB2312" w:hAnsi="仿宋_GB2312" w:cs="仿宋_GB2312"/>
                <w:bCs/>
                <w:sz w:val="24"/>
                <w:szCs w:val="24"/>
              </w:rPr>
            </w:pPr>
            <w:r w:rsidRPr="0048537C">
              <w:rPr>
                <w:rFonts w:ascii="仿宋_GB2312" w:hAnsi="仿宋_GB2312" w:cs="仿宋_GB2312"/>
                <w:bCs/>
                <w:sz w:val="24"/>
                <w:szCs w:val="24"/>
              </w:rPr>
              <w:t>目标1</w:t>
            </w:r>
          </w:p>
        </w:tc>
        <w:tc>
          <w:tcPr>
            <w:tcW w:w="399"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5</w:t>
            </w:r>
          </w:p>
        </w:tc>
        <w:tc>
          <w:tcPr>
            <w:tcW w:w="424"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p>
        </w:tc>
        <w:tc>
          <w:tcPr>
            <w:tcW w:w="322"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5</w:t>
            </w: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p>
        </w:tc>
        <w:tc>
          <w:tcPr>
            <w:tcW w:w="639"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10</w:t>
            </w:r>
          </w:p>
        </w:tc>
      </w:tr>
      <w:tr w:rsidR="00AD1D5F" w:rsidRPr="0048537C" w:rsidTr="00C00235">
        <w:trPr>
          <w:trHeight w:val="454"/>
          <w:jc w:val="center"/>
        </w:trPr>
        <w:tc>
          <w:tcPr>
            <w:tcW w:w="471"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bCs/>
                <w:sz w:val="24"/>
                <w:szCs w:val="24"/>
              </w:rPr>
              <w:t>2</w:t>
            </w:r>
          </w:p>
        </w:tc>
        <w:tc>
          <w:tcPr>
            <w:tcW w:w="525"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C00235">
            <w:pPr>
              <w:spacing w:line="360" w:lineRule="auto"/>
              <w:jc w:val="center"/>
              <w:rPr>
                <w:rFonts w:ascii="仿宋_GB2312" w:hAnsi="仿宋_GB2312" w:cs="仿宋_GB2312"/>
                <w:bCs/>
                <w:sz w:val="24"/>
                <w:szCs w:val="24"/>
              </w:rPr>
            </w:pPr>
            <w:r w:rsidRPr="0048537C">
              <w:rPr>
                <w:rFonts w:ascii="仿宋_GB2312" w:hAnsi="仿宋_GB2312" w:cs="仿宋_GB2312"/>
                <w:bCs/>
                <w:sz w:val="24"/>
                <w:szCs w:val="24"/>
              </w:rPr>
              <w:t>目标2</w:t>
            </w:r>
          </w:p>
        </w:tc>
        <w:tc>
          <w:tcPr>
            <w:tcW w:w="399"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5</w:t>
            </w:r>
          </w:p>
        </w:tc>
        <w:tc>
          <w:tcPr>
            <w:tcW w:w="424"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5</w:t>
            </w: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bCs/>
                <w:sz w:val="24"/>
                <w:szCs w:val="24"/>
              </w:rPr>
              <w:t>5</w:t>
            </w:r>
          </w:p>
        </w:tc>
        <w:tc>
          <w:tcPr>
            <w:tcW w:w="322"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5</w:t>
            </w: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30</w:t>
            </w: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p>
        </w:tc>
        <w:tc>
          <w:tcPr>
            <w:tcW w:w="639"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50</w:t>
            </w:r>
          </w:p>
        </w:tc>
      </w:tr>
      <w:tr w:rsidR="00AD1D5F" w:rsidRPr="0048537C" w:rsidTr="00C00235">
        <w:trPr>
          <w:trHeight w:val="454"/>
          <w:jc w:val="center"/>
        </w:trPr>
        <w:tc>
          <w:tcPr>
            <w:tcW w:w="471" w:type="pct"/>
            <w:tcBorders>
              <w:top w:val="single" w:sz="4" w:space="0" w:color="000000"/>
              <w:left w:val="single" w:sz="4" w:space="0" w:color="000000"/>
              <w:bottom w:val="single" w:sz="4" w:space="0" w:color="000000"/>
              <w:right w:val="single" w:sz="4" w:space="0" w:color="000000"/>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bCs/>
                <w:sz w:val="24"/>
                <w:szCs w:val="24"/>
              </w:rPr>
              <w:t>3</w:t>
            </w:r>
          </w:p>
        </w:tc>
        <w:tc>
          <w:tcPr>
            <w:tcW w:w="525" w:type="pct"/>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C00235">
            <w:pPr>
              <w:spacing w:line="360" w:lineRule="auto"/>
              <w:jc w:val="center"/>
              <w:rPr>
                <w:rFonts w:ascii="仿宋_GB2312" w:hAnsi="仿宋_GB2312" w:cs="仿宋_GB2312"/>
                <w:bCs/>
                <w:sz w:val="24"/>
                <w:szCs w:val="24"/>
              </w:rPr>
            </w:pPr>
            <w:r w:rsidRPr="0048537C">
              <w:rPr>
                <w:rFonts w:ascii="仿宋_GB2312" w:hAnsi="仿宋_GB2312" w:cs="仿宋_GB2312"/>
                <w:bCs/>
                <w:sz w:val="24"/>
                <w:szCs w:val="24"/>
              </w:rPr>
              <w:t>目标3</w:t>
            </w:r>
          </w:p>
        </w:tc>
        <w:tc>
          <w:tcPr>
            <w:tcW w:w="399"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rPr>
                <w:rFonts w:ascii="仿宋_GB2312" w:hAnsi="仿宋_GB2312" w:cs="仿宋_GB2312"/>
                <w:bCs/>
                <w:sz w:val="24"/>
                <w:szCs w:val="24"/>
              </w:rPr>
            </w:pPr>
            <w:r w:rsidRPr="0048537C">
              <w:rPr>
                <w:rFonts w:ascii="仿宋_GB2312" w:hAnsi="仿宋_GB2312" w:cs="仿宋_GB2312" w:hint="eastAsia"/>
                <w:bCs/>
                <w:sz w:val="24"/>
                <w:szCs w:val="24"/>
              </w:rPr>
              <w:t>5</w:t>
            </w:r>
          </w:p>
        </w:tc>
        <w:tc>
          <w:tcPr>
            <w:tcW w:w="424"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bCs/>
                <w:sz w:val="24"/>
                <w:szCs w:val="24"/>
              </w:rPr>
              <w:t>5</w:t>
            </w:r>
          </w:p>
        </w:tc>
        <w:tc>
          <w:tcPr>
            <w:tcW w:w="322"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5</w:t>
            </w: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bCs/>
                <w:sz w:val="24"/>
                <w:szCs w:val="24"/>
              </w:rPr>
              <w:t>25</w:t>
            </w: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p>
        </w:tc>
        <w:tc>
          <w:tcPr>
            <w:tcW w:w="639"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40</w:t>
            </w:r>
          </w:p>
        </w:tc>
      </w:tr>
      <w:tr w:rsidR="00AD1D5F" w:rsidRPr="0048537C" w:rsidTr="00C00235">
        <w:trPr>
          <w:trHeight w:val="454"/>
          <w:jc w:val="center"/>
        </w:trPr>
        <w:tc>
          <w:tcPr>
            <w:tcW w:w="995" w:type="pct"/>
            <w:gridSpan w:val="2"/>
            <w:tcBorders>
              <w:top w:val="single" w:sz="4" w:space="0" w:color="000000"/>
              <w:left w:val="single" w:sz="4" w:space="0" w:color="000000"/>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bCs/>
                <w:sz w:val="24"/>
                <w:szCs w:val="24"/>
              </w:rPr>
              <w:t>共计</w:t>
            </w:r>
          </w:p>
        </w:tc>
        <w:tc>
          <w:tcPr>
            <w:tcW w:w="399"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rPr>
                <w:rFonts w:ascii="仿宋_GB2312" w:hAnsi="仿宋_GB2312" w:cs="仿宋_GB2312"/>
                <w:bCs/>
                <w:sz w:val="24"/>
                <w:szCs w:val="24"/>
              </w:rPr>
            </w:pPr>
            <w:r w:rsidRPr="0048537C">
              <w:rPr>
                <w:rFonts w:ascii="仿宋_GB2312" w:hAnsi="仿宋_GB2312" w:cs="仿宋_GB2312"/>
                <w:bCs/>
                <w:sz w:val="24"/>
                <w:szCs w:val="24"/>
              </w:rPr>
              <w:t>1</w:t>
            </w:r>
            <w:r w:rsidRPr="0048537C">
              <w:rPr>
                <w:rFonts w:ascii="仿宋_GB2312" w:hAnsi="仿宋_GB2312" w:cs="仿宋_GB2312" w:hint="eastAsia"/>
                <w:bCs/>
                <w:sz w:val="24"/>
                <w:szCs w:val="24"/>
              </w:rPr>
              <w:t>5</w:t>
            </w:r>
          </w:p>
        </w:tc>
        <w:tc>
          <w:tcPr>
            <w:tcW w:w="424"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5</w:t>
            </w: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10</w:t>
            </w:r>
          </w:p>
        </w:tc>
        <w:tc>
          <w:tcPr>
            <w:tcW w:w="322"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10</w:t>
            </w: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hint="eastAsia"/>
                <w:bCs/>
                <w:sz w:val="24"/>
                <w:szCs w:val="24"/>
              </w:rPr>
              <w:t>60</w:t>
            </w:r>
          </w:p>
        </w:tc>
        <w:tc>
          <w:tcPr>
            <w:tcW w:w="555"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p>
        </w:tc>
        <w:tc>
          <w:tcPr>
            <w:tcW w:w="639" w:type="pct"/>
            <w:tcBorders>
              <w:top w:val="single" w:sz="4" w:space="0" w:color="000000"/>
              <w:left w:val="single" w:sz="4" w:space="0" w:color="auto"/>
              <w:bottom w:val="single" w:sz="4" w:space="0" w:color="000000"/>
              <w:right w:val="single" w:sz="4" w:space="0" w:color="auto"/>
            </w:tcBorders>
            <w:vAlign w:val="center"/>
          </w:tcPr>
          <w:p w:rsidR="00AD1D5F" w:rsidRPr="0048537C" w:rsidRDefault="00AD1D5F" w:rsidP="00C00235">
            <w:pPr>
              <w:spacing w:line="360" w:lineRule="auto"/>
              <w:ind w:firstLine="331"/>
              <w:jc w:val="center"/>
              <w:rPr>
                <w:rFonts w:ascii="仿宋_GB2312" w:hAnsi="仿宋_GB2312" w:cs="仿宋_GB2312"/>
                <w:bCs/>
                <w:sz w:val="24"/>
                <w:szCs w:val="24"/>
              </w:rPr>
            </w:pPr>
            <w:r w:rsidRPr="0048537C">
              <w:rPr>
                <w:rFonts w:ascii="仿宋_GB2312" w:hAnsi="仿宋_GB2312" w:cs="仿宋_GB2312"/>
                <w:bCs/>
                <w:sz w:val="24"/>
                <w:szCs w:val="24"/>
              </w:rPr>
              <w:t>100</w:t>
            </w:r>
          </w:p>
        </w:tc>
      </w:tr>
    </w:tbl>
    <w:p w:rsidR="00AD1D5F" w:rsidRPr="0048537C" w:rsidRDefault="00AD1D5F" w:rsidP="0048537C">
      <w:pPr>
        <w:spacing w:line="360" w:lineRule="auto"/>
        <w:ind w:firstLine="331"/>
        <w:rPr>
          <w:rFonts w:ascii="仿宋_GB2312" w:hAnsi="仿宋_GB2312" w:cs="仿宋_GB2312"/>
          <w:bCs/>
          <w:sz w:val="28"/>
          <w:szCs w:val="28"/>
        </w:rPr>
      </w:pPr>
      <w:r w:rsidRPr="0048537C">
        <w:rPr>
          <w:rFonts w:ascii="仿宋_GB2312" w:hAnsi="仿宋_GB2312" w:cs="仿宋_GB2312" w:hint="eastAsia"/>
          <w:bCs/>
          <w:sz w:val="28"/>
          <w:szCs w:val="28"/>
        </w:rPr>
        <w:t>（3）考核（评价）要求：</w:t>
      </w:r>
      <w:r w:rsidRPr="0048537C">
        <w:rPr>
          <w:rFonts w:ascii="仿宋_GB2312" w:hAnsi="仿宋_GB2312" w:cs="仿宋_GB2312"/>
          <w:bCs/>
          <w:sz w:val="28"/>
          <w:szCs w:val="28"/>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926"/>
        <w:gridCol w:w="926"/>
        <w:gridCol w:w="4758"/>
        <w:gridCol w:w="1018"/>
      </w:tblGrid>
      <w:tr w:rsidR="00AD1D5F" w:rsidRPr="0048537C" w:rsidTr="00CD00D2">
        <w:trPr>
          <w:trHeight w:val="454"/>
          <w:jc w:val="center"/>
        </w:trPr>
        <w:tc>
          <w:tcPr>
            <w:tcW w:w="343" w:type="pct"/>
            <w:tcBorders>
              <w:top w:val="single" w:sz="4" w:space="0" w:color="000000"/>
              <w:left w:val="single" w:sz="4" w:space="0" w:color="000000"/>
              <w:right w:val="single" w:sz="4" w:space="0" w:color="000000"/>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hint="eastAsia"/>
                <w:b/>
                <w:bCs/>
                <w:sz w:val="24"/>
                <w:szCs w:val="24"/>
              </w:rPr>
              <w:t>目标分值</w:t>
            </w:r>
          </w:p>
        </w:tc>
        <w:tc>
          <w:tcPr>
            <w:tcW w:w="2880" w:type="pct"/>
            <w:tcBorders>
              <w:top w:val="single" w:sz="4" w:space="0" w:color="000000"/>
              <w:left w:val="single" w:sz="4" w:space="0" w:color="auto"/>
              <w:right w:val="single" w:sz="4" w:space="0" w:color="auto"/>
            </w:tcBorders>
            <w:vAlign w:val="center"/>
          </w:tcPr>
          <w:p w:rsidR="00AD1D5F" w:rsidRPr="00C00235" w:rsidRDefault="00AD1D5F" w:rsidP="0048537C">
            <w:pPr>
              <w:spacing w:line="360" w:lineRule="auto"/>
              <w:ind w:firstLine="331"/>
              <w:rPr>
                <w:rFonts w:ascii="仿宋_GB2312" w:hAnsi="仿宋_GB2312" w:cs="仿宋_GB2312"/>
                <w:b/>
                <w:bCs/>
                <w:sz w:val="24"/>
                <w:szCs w:val="24"/>
              </w:rPr>
            </w:pPr>
            <w:r w:rsidRPr="00C00235">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AD1D5F" w:rsidRPr="00C00235" w:rsidRDefault="00AD1D5F" w:rsidP="00C00235">
            <w:pPr>
              <w:spacing w:line="360" w:lineRule="auto"/>
              <w:rPr>
                <w:rFonts w:ascii="仿宋_GB2312" w:hAnsi="仿宋_GB2312" w:cs="仿宋_GB2312"/>
                <w:b/>
                <w:bCs/>
                <w:sz w:val="24"/>
                <w:szCs w:val="24"/>
              </w:rPr>
            </w:pPr>
            <w:r w:rsidRPr="00C00235">
              <w:rPr>
                <w:rFonts w:ascii="仿宋_GB2312" w:hAnsi="仿宋_GB2312" w:cs="仿宋_GB2312"/>
                <w:b/>
                <w:bCs/>
                <w:sz w:val="24"/>
                <w:szCs w:val="24"/>
              </w:rPr>
              <w:t>支撑课程教学目标</w:t>
            </w:r>
          </w:p>
        </w:tc>
      </w:tr>
      <w:tr w:rsidR="00AD1D5F" w:rsidRPr="0048537C"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hint="eastAsia"/>
                <w:bCs/>
                <w:sz w:val="24"/>
                <w:szCs w:val="24"/>
              </w:rPr>
              <w:t>出勤统计不少于授课次数的2/3；通过出勤统计结果考核学生学习态度和遵守课堂纪律等基本情况。</w:t>
            </w:r>
            <w:r w:rsidRPr="00C00235">
              <w:rPr>
                <w:rFonts w:ascii="仿宋_GB2312" w:hAnsi="仿宋_GB2312" w:cs="仿宋_GB2312"/>
                <w:bCs/>
                <w:sz w:val="24"/>
                <w:szCs w:val="24"/>
              </w:rPr>
              <w:t xml:space="preserve"> </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bCs/>
                <w:sz w:val="24"/>
                <w:szCs w:val="24"/>
              </w:rPr>
              <w:t>目标</w:t>
            </w:r>
            <w:r w:rsidRPr="00C00235">
              <w:rPr>
                <w:rFonts w:ascii="仿宋_GB2312" w:hAnsi="仿宋_GB2312" w:cs="仿宋_GB2312" w:hint="eastAsia"/>
                <w:bCs/>
                <w:sz w:val="24"/>
                <w:szCs w:val="24"/>
              </w:rPr>
              <w:t>1</w:t>
            </w:r>
          </w:p>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hint="eastAsia"/>
                <w:bCs/>
                <w:sz w:val="24"/>
                <w:szCs w:val="24"/>
              </w:rPr>
              <w:t>目标2</w:t>
            </w:r>
          </w:p>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bCs/>
                <w:sz w:val="24"/>
                <w:szCs w:val="24"/>
              </w:rPr>
              <w:t>目标</w:t>
            </w:r>
            <w:r w:rsidRPr="00C00235">
              <w:rPr>
                <w:rFonts w:ascii="仿宋_GB2312" w:hAnsi="仿宋_GB2312" w:cs="仿宋_GB2312" w:hint="eastAsia"/>
                <w:bCs/>
                <w:sz w:val="24"/>
                <w:szCs w:val="24"/>
              </w:rPr>
              <w:t>3</w:t>
            </w:r>
          </w:p>
        </w:tc>
      </w:tr>
      <w:tr w:rsidR="00AD1D5F" w:rsidRPr="0048537C"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bCs/>
                <w:sz w:val="24"/>
                <w:szCs w:val="24"/>
              </w:rPr>
              <w:t>2</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bCs/>
                <w:sz w:val="24"/>
                <w:szCs w:val="24"/>
              </w:rPr>
              <w:t>课后作业</w:t>
            </w:r>
            <w:r w:rsidRPr="00C00235">
              <w:rPr>
                <w:rFonts w:ascii="仿宋_GB2312" w:hAnsi="仿宋_GB2312" w:cs="仿宋_GB2312" w:hint="eastAsia"/>
                <w:bCs/>
                <w:sz w:val="24"/>
                <w:szCs w:val="24"/>
              </w:rPr>
              <w:t>布置5次；通过课后作业考核学生对资金等值计算、方案评价以及不确定性</w:t>
            </w:r>
            <w:r w:rsidRPr="00C00235">
              <w:rPr>
                <w:rFonts w:ascii="仿宋_GB2312" w:hAnsi="仿宋_GB2312" w:cs="仿宋_GB2312" w:hint="eastAsia"/>
                <w:bCs/>
                <w:sz w:val="24"/>
                <w:szCs w:val="24"/>
              </w:rPr>
              <w:lastRenderedPageBreak/>
              <w:t>分析的掌握情况。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hint="eastAsia"/>
                <w:bCs/>
                <w:sz w:val="24"/>
                <w:szCs w:val="24"/>
              </w:rPr>
              <w:lastRenderedPageBreak/>
              <w:t>目标1</w:t>
            </w:r>
          </w:p>
        </w:tc>
      </w:tr>
      <w:tr w:rsidR="00AD1D5F" w:rsidRPr="0048537C"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hint="eastAsia"/>
                <w:bCs/>
                <w:sz w:val="24"/>
                <w:szCs w:val="24"/>
              </w:rPr>
              <w:t>讨论</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hint="eastAsia"/>
                <w:bCs/>
                <w:sz w:val="24"/>
                <w:szCs w:val="24"/>
              </w:rPr>
              <w:t>讨论环节设置3次；通过对部分章节关键知识点设置分组讨论，考核学生对复杂工程问题的推理分析能力、总结归纳能力、文字组织能力以及协同工作能力等。</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hint="eastAsia"/>
                <w:bCs/>
                <w:sz w:val="24"/>
                <w:szCs w:val="24"/>
              </w:rPr>
              <w:t>目标2</w:t>
            </w:r>
          </w:p>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bCs/>
                <w:sz w:val="24"/>
                <w:szCs w:val="24"/>
              </w:rPr>
              <w:t>目标</w:t>
            </w:r>
            <w:r w:rsidRPr="00C00235">
              <w:rPr>
                <w:rFonts w:ascii="仿宋_GB2312" w:hAnsi="仿宋_GB2312" w:cs="仿宋_GB2312" w:hint="eastAsia"/>
                <w:bCs/>
                <w:sz w:val="24"/>
                <w:szCs w:val="24"/>
              </w:rPr>
              <w:t>3</w:t>
            </w:r>
          </w:p>
        </w:tc>
      </w:tr>
      <w:tr w:rsidR="00AD1D5F" w:rsidRPr="0048537C"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hint="eastAsia"/>
                <w:bCs/>
                <w:sz w:val="24"/>
                <w:szCs w:val="24"/>
              </w:rPr>
              <w:t>4</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hint="eastAsia"/>
                <w:bCs/>
                <w:sz w:val="24"/>
                <w:szCs w:val="24"/>
              </w:rPr>
              <w:t>测验</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hint="eastAsia"/>
                <w:bCs/>
                <w:sz w:val="24"/>
                <w:szCs w:val="24"/>
              </w:rPr>
              <w:t>章节测验设置2次；</w:t>
            </w:r>
            <w:r w:rsidRPr="00C00235">
              <w:rPr>
                <w:rFonts w:ascii="仿宋_GB2312" w:hAnsi="仿宋_GB2312" w:cs="仿宋_GB2312"/>
                <w:bCs/>
                <w:sz w:val="24"/>
                <w:szCs w:val="24"/>
              </w:rPr>
              <w:t>通过对部分章节关键知识点设置随堂测验，考核学生对</w:t>
            </w:r>
            <w:r w:rsidRPr="00C00235">
              <w:rPr>
                <w:rFonts w:ascii="仿宋_GB2312" w:hAnsi="仿宋_GB2312" w:cs="仿宋_GB2312" w:hint="eastAsia"/>
                <w:bCs/>
                <w:sz w:val="24"/>
                <w:szCs w:val="24"/>
              </w:rPr>
              <w:t>基本</w:t>
            </w:r>
            <w:r w:rsidRPr="00C00235">
              <w:rPr>
                <w:rFonts w:ascii="仿宋_GB2312" w:hAnsi="仿宋_GB2312" w:cs="仿宋_GB2312"/>
                <w:bCs/>
                <w:sz w:val="24"/>
                <w:szCs w:val="24"/>
              </w:rPr>
              <w:t>概念理解</w:t>
            </w:r>
            <w:r w:rsidRPr="00C00235">
              <w:rPr>
                <w:rFonts w:ascii="仿宋_GB2312" w:hAnsi="仿宋_GB2312" w:cs="仿宋_GB2312" w:hint="eastAsia"/>
                <w:bCs/>
                <w:sz w:val="24"/>
                <w:szCs w:val="24"/>
              </w:rPr>
              <w:t>和掌握的</w:t>
            </w:r>
            <w:r w:rsidRPr="00C00235">
              <w:rPr>
                <w:rFonts w:ascii="仿宋_GB2312" w:hAnsi="仿宋_GB2312" w:cs="仿宋_GB2312"/>
                <w:bCs/>
                <w:sz w:val="24"/>
                <w:szCs w:val="24"/>
              </w:rPr>
              <w:t>情况。</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hint="eastAsia"/>
                <w:bCs/>
                <w:sz w:val="24"/>
                <w:szCs w:val="24"/>
              </w:rPr>
              <w:t>目标2</w:t>
            </w:r>
          </w:p>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bCs/>
                <w:sz w:val="24"/>
                <w:szCs w:val="24"/>
              </w:rPr>
              <w:t>目标</w:t>
            </w:r>
            <w:r w:rsidRPr="00C00235">
              <w:rPr>
                <w:rFonts w:ascii="仿宋_GB2312" w:hAnsi="仿宋_GB2312" w:cs="仿宋_GB2312" w:hint="eastAsia"/>
                <w:bCs/>
                <w:sz w:val="24"/>
                <w:szCs w:val="24"/>
              </w:rPr>
              <w:t>3</w:t>
            </w:r>
          </w:p>
        </w:tc>
      </w:tr>
      <w:tr w:rsidR="00AD1D5F" w:rsidRPr="0048537C"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hint="eastAsia"/>
                <w:bCs/>
                <w:sz w:val="24"/>
                <w:szCs w:val="24"/>
              </w:rPr>
              <w:t>5</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48537C">
            <w:pPr>
              <w:spacing w:line="360" w:lineRule="auto"/>
              <w:ind w:firstLine="331"/>
              <w:rPr>
                <w:rFonts w:ascii="仿宋_GB2312" w:hAnsi="仿宋_GB2312" w:cs="仿宋_GB2312"/>
                <w:bCs/>
                <w:sz w:val="24"/>
                <w:szCs w:val="24"/>
              </w:rPr>
            </w:pPr>
            <w:r w:rsidRPr="00C00235">
              <w:rPr>
                <w:rFonts w:ascii="仿宋_GB2312" w:hAnsi="仿宋_GB2312" w:cs="仿宋_GB2312" w:hint="eastAsia"/>
                <w:bCs/>
                <w:sz w:val="24"/>
                <w:szCs w:val="24"/>
              </w:rPr>
              <w:t>期末考试采用</w:t>
            </w:r>
            <w:r w:rsidRPr="00C00235">
              <w:rPr>
                <w:rFonts w:ascii="仿宋_GB2312" w:hAnsi="仿宋_GB2312" w:cs="仿宋_GB2312"/>
                <w:bCs/>
                <w:sz w:val="24"/>
                <w:szCs w:val="24"/>
              </w:rPr>
              <w:t>非标准答案考试</w:t>
            </w:r>
            <w:r w:rsidRPr="00C00235">
              <w:rPr>
                <w:rFonts w:ascii="仿宋_GB2312" w:hAnsi="仿宋_GB2312" w:cs="仿宋_GB2312" w:hint="eastAsia"/>
                <w:bCs/>
                <w:sz w:val="24"/>
                <w:szCs w:val="24"/>
              </w:rPr>
              <w:t>。考试范围基本涵盖所有讲授内容，考试内容主要反映学生对本课程主要概念的理解和掌握的程度，以及综合运用的能力。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bCs/>
                <w:sz w:val="24"/>
                <w:szCs w:val="24"/>
              </w:rPr>
              <w:t>目标</w:t>
            </w:r>
            <w:r w:rsidRPr="00C00235">
              <w:rPr>
                <w:rFonts w:ascii="仿宋_GB2312" w:hAnsi="仿宋_GB2312" w:cs="仿宋_GB2312" w:hint="eastAsia"/>
                <w:bCs/>
                <w:sz w:val="24"/>
                <w:szCs w:val="24"/>
              </w:rPr>
              <w:t>1</w:t>
            </w:r>
          </w:p>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hint="eastAsia"/>
                <w:bCs/>
                <w:sz w:val="24"/>
                <w:szCs w:val="24"/>
              </w:rPr>
              <w:t>目标2</w:t>
            </w:r>
          </w:p>
          <w:p w:rsidR="00AD1D5F" w:rsidRPr="00C00235" w:rsidRDefault="00AD1D5F" w:rsidP="00C00235">
            <w:pPr>
              <w:spacing w:line="360" w:lineRule="auto"/>
              <w:rPr>
                <w:rFonts w:ascii="仿宋_GB2312" w:hAnsi="仿宋_GB2312" w:cs="仿宋_GB2312"/>
                <w:bCs/>
                <w:sz w:val="24"/>
                <w:szCs w:val="24"/>
              </w:rPr>
            </w:pPr>
            <w:r w:rsidRPr="00C00235">
              <w:rPr>
                <w:rFonts w:ascii="仿宋_GB2312" w:hAnsi="仿宋_GB2312" w:cs="仿宋_GB2312"/>
                <w:bCs/>
                <w:sz w:val="24"/>
                <w:szCs w:val="24"/>
              </w:rPr>
              <w:t>目标</w:t>
            </w:r>
            <w:r w:rsidRPr="00C00235">
              <w:rPr>
                <w:rFonts w:ascii="仿宋_GB2312" w:hAnsi="仿宋_GB2312" w:cs="仿宋_GB2312" w:hint="eastAsia"/>
                <w:bCs/>
                <w:sz w:val="24"/>
                <w:szCs w:val="24"/>
              </w:rPr>
              <w:t>3</w:t>
            </w:r>
          </w:p>
        </w:tc>
      </w:tr>
    </w:tbl>
    <w:p w:rsidR="00AD1D5F" w:rsidRDefault="00AD1D5F" w:rsidP="00AD1D5F">
      <w:pPr>
        <w:adjustRightInd w:val="0"/>
        <w:snapToGrid w:val="0"/>
        <w:spacing w:line="360" w:lineRule="exact"/>
        <w:ind w:firstLineChars="200" w:firstLine="640"/>
        <w:rPr>
          <w:rFonts w:ascii="Times New Roman" w:hAnsi="Times New Roman"/>
        </w:rPr>
      </w:pPr>
    </w:p>
    <w:p w:rsidR="00C00235" w:rsidRDefault="00C00235" w:rsidP="00C0023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48537C" w:rsidRPr="00C00235" w:rsidRDefault="0048537C" w:rsidP="0048537C">
      <w:pPr>
        <w:adjustRightInd w:val="0"/>
        <w:snapToGrid w:val="0"/>
        <w:spacing w:line="360" w:lineRule="exact"/>
        <w:ind w:firstLineChars="200" w:firstLine="560"/>
        <w:rPr>
          <w:rFonts w:ascii="仿宋_GB2312" w:hAnsi="仿宋_GB2312" w:cs="仿宋_GB2312"/>
          <w:bCs/>
          <w:sz w:val="28"/>
          <w:szCs w:val="28"/>
        </w:rPr>
      </w:pPr>
      <w:r w:rsidRPr="00C00235">
        <w:rPr>
          <w:rFonts w:ascii="仿宋_GB2312" w:hAnsi="仿宋_GB2312" w:cs="仿宋_GB2312"/>
          <w:bCs/>
          <w:sz w:val="28"/>
          <w:szCs w:val="28"/>
        </w:rPr>
        <w:t>1. 教  材：《</w:t>
      </w:r>
      <w:r w:rsidRPr="00C00235">
        <w:rPr>
          <w:rFonts w:ascii="仿宋_GB2312" w:hAnsi="仿宋_GB2312" w:cs="仿宋_GB2312" w:hint="eastAsia"/>
          <w:bCs/>
          <w:sz w:val="28"/>
          <w:szCs w:val="28"/>
        </w:rPr>
        <w:t>工程经济学</w:t>
      </w:r>
      <w:r w:rsidRPr="00C00235">
        <w:rPr>
          <w:rFonts w:ascii="仿宋_GB2312" w:hAnsi="仿宋_GB2312" w:cs="仿宋_GB2312"/>
          <w:bCs/>
          <w:sz w:val="28"/>
          <w:szCs w:val="28"/>
        </w:rPr>
        <w:t>》</w:t>
      </w:r>
      <w:r w:rsidRPr="00C00235">
        <w:rPr>
          <w:rFonts w:ascii="仿宋_GB2312" w:hAnsi="仿宋_GB2312" w:cs="仿宋_GB2312" w:hint="eastAsia"/>
          <w:bCs/>
          <w:sz w:val="28"/>
          <w:szCs w:val="28"/>
        </w:rPr>
        <w:t>第三版</w:t>
      </w:r>
      <w:r w:rsidRPr="00C00235">
        <w:rPr>
          <w:rFonts w:ascii="仿宋_GB2312" w:hAnsi="仿宋_GB2312" w:cs="仿宋_GB2312"/>
          <w:bCs/>
          <w:sz w:val="28"/>
          <w:szCs w:val="28"/>
        </w:rPr>
        <w:t>，</w:t>
      </w:r>
      <w:r w:rsidRPr="00C00235">
        <w:rPr>
          <w:rFonts w:ascii="仿宋_GB2312" w:hAnsi="仿宋_GB2312" w:cs="仿宋_GB2312" w:hint="eastAsia"/>
          <w:bCs/>
          <w:sz w:val="28"/>
          <w:szCs w:val="28"/>
        </w:rPr>
        <w:t>刘晓君</w:t>
      </w:r>
      <w:r w:rsidRPr="00C00235">
        <w:rPr>
          <w:rFonts w:ascii="仿宋_GB2312" w:hAnsi="仿宋_GB2312" w:cs="仿宋_GB2312"/>
          <w:bCs/>
          <w:sz w:val="28"/>
          <w:szCs w:val="28"/>
        </w:rPr>
        <w:t>著，中国建筑工业出版社，201</w:t>
      </w:r>
      <w:r w:rsidRPr="00C00235">
        <w:rPr>
          <w:rFonts w:ascii="仿宋_GB2312" w:hAnsi="仿宋_GB2312" w:cs="仿宋_GB2312" w:hint="eastAsia"/>
          <w:bCs/>
          <w:sz w:val="28"/>
          <w:szCs w:val="28"/>
        </w:rPr>
        <w:t>5</w:t>
      </w:r>
      <w:r w:rsidRPr="00C00235">
        <w:rPr>
          <w:rFonts w:ascii="仿宋_GB2312" w:hAnsi="仿宋_GB2312" w:cs="仿宋_GB2312"/>
          <w:bCs/>
          <w:sz w:val="28"/>
          <w:szCs w:val="28"/>
        </w:rPr>
        <w:t>年</w:t>
      </w:r>
      <w:r w:rsidRPr="00C00235">
        <w:rPr>
          <w:rFonts w:ascii="仿宋_GB2312" w:hAnsi="仿宋_GB2312" w:cs="仿宋_GB2312" w:hint="eastAsia"/>
          <w:bCs/>
          <w:sz w:val="28"/>
          <w:szCs w:val="28"/>
        </w:rPr>
        <w:t>0</w:t>
      </w:r>
      <w:r w:rsidRPr="00C00235">
        <w:rPr>
          <w:rFonts w:ascii="仿宋_GB2312" w:hAnsi="仿宋_GB2312" w:cs="仿宋_GB2312"/>
          <w:bCs/>
          <w:sz w:val="28"/>
          <w:szCs w:val="28"/>
        </w:rPr>
        <w:t>2月</w:t>
      </w:r>
    </w:p>
    <w:p w:rsidR="0048537C" w:rsidRPr="00C00235" w:rsidRDefault="0048537C" w:rsidP="0048537C">
      <w:pPr>
        <w:ind w:firstLineChars="200" w:firstLine="560"/>
        <w:rPr>
          <w:rFonts w:ascii="仿宋_GB2312" w:hAnsi="仿宋_GB2312" w:cs="仿宋_GB2312"/>
          <w:bCs/>
          <w:sz w:val="28"/>
          <w:szCs w:val="28"/>
        </w:rPr>
      </w:pPr>
      <w:r w:rsidRPr="00C00235">
        <w:rPr>
          <w:rFonts w:ascii="仿宋_GB2312" w:hAnsi="仿宋_GB2312" w:cs="仿宋_GB2312"/>
          <w:bCs/>
          <w:sz w:val="28"/>
          <w:szCs w:val="28"/>
        </w:rPr>
        <w:t>2. 参考书：《</w:t>
      </w:r>
      <w:r w:rsidRPr="00C00235">
        <w:rPr>
          <w:rFonts w:ascii="仿宋_GB2312" w:hAnsi="仿宋_GB2312" w:cs="仿宋_GB2312" w:hint="eastAsia"/>
          <w:bCs/>
          <w:sz w:val="28"/>
          <w:szCs w:val="28"/>
        </w:rPr>
        <w:t>建设项目经济评价方法与参数</w:t>
      </w:r>
      <w:r w:rsidRPr="00C00235">
        <w:rPr>
          <w:rFonts w:ascii="仿宋_GB2312" w:hAnsi="仿宋_GB2312" w:cs="仿宋_GB2312"/>
          <w:bCs/>
          <w:sz w:val="28"/>
          <w:szCs w:val="28"/>
        </w:rPr>
        <w:t>》</w:t>
      </w:r>
      <w:r w:rsidRPr="00C00235">
        <w:rPr>
          <w:rFonts w:ascii="仿宋_GB2312" w:hAnsi="仿宋_GB2312" w:cs="仿宋_GB2312" w:hint="eastAsia"/>
          <w:bCs/>
          <w:sz w:val="28"/>
          <w:szCs w:val="28"/>
        </w:rPr>
        <w:t xml:space="preserve"> 国家发改委，中国计划出版社， 2006年</w:t>
      </w:r>
    </w:p>
    <w:p w:rsidR="0048537C" w:rsidRPr="00C00235" w:rsidRDefault="0048537C" w:rsidP="0048537C">
      <w:pPr>
        <w:ind w:firstLineChars="700" w:firstLine="1960"/>
        <w:rPr>
          <w:rFonts w:ascii="仿宋_GB2312" w:hAnsi="仿宋_GB2312" w:cs="仿宋_GB2312"/>
          <w:bCs/>
          <w:sz w:val="28"/>
          <w:szCs w:val="28"/>
        </w:rPr>
      </w:pPr>
      <w:r w:rsidRPr="00C00235">
        <w:rPr>
          <w:rFonts w:ascii="仿宋_GB2312" w:hAnsi="仿宋_GB2312" w:cs="仿宋_GB2312"/>
          <w:bCs/>
          <w:sz w:val="28"/>
          <w:szCs w:val="28"/>
        </w:rPr>
        <w:t>《</w:t>
      </w:r>
      <w:r w:rsidRPr="00C00235">
        <w:rPr>
          <w:rFonts w:ascii="仿宋_GB2312" w:hAnsi="仿宋_GB2312" w:cs="仿宋_GB2312" w:hint="eastAsia"/>
          <w:bCs/>
          <w:sz w:val="28"/>
          <w:szCs w:val="28"/>
        </w:rPr>
        <w:t>可行性研究与项目评估</w:t>
      </w:r>
      <w:r w:rsidRPr="00C00235">
        <w:rPr>
          <w:rFonts w:ascii="仿宋_GB2312" w:hAnsi="仿宋_GB2312" w:cs="仿宋_GB2312"/>
          <w:bCs/>
          <w:sz w:val="28"/>
          <w:szCs w:val="28"/>
        </w:rPr>
        <w:t>》，</w:t>
      </w:r>
      <w:r w:rsidRPr="00C00235">
        <w:rPr>
          <w:rFonts w:ascii="仿宋_GB2312" w:hAnsi="仿宋_GB2312" w:cs="仿宋_GB2312" w:hint="eastAsia"/>
          <w:bCs/>
          <w:sz w:val="28"/>
          <w:szCs w:val="28"/>
        </w:rPr>
        <w:t>宋维佳等著，东北财经大学出版社，</w:t>
      </w:r>
      <w:r w:rsidRPr="00C00235">
        <w:rPr>
          <w:rFonts w:ascii="仿宋_GB2312" w:hAnsi="仿宋_GB2312" w:cs="仿宋_GB2312"/>
          <w:bCs/>
          <w:sz w:val="28"/>
          <w:szCs w:val="28"/>
        </w:rPr>
        <w:t>2015年0</w:t>
      </w:r>
      <w:r w:rsidRPr="00C00235">
        <w:rPr>
          <w:rFonts w:ascii="仿宋_GB2312" w:hAnsi="仿宋_GB2312" w:cs="仿宋_GB2312" w:hint="eastAsia"/>
          <w:bCs/>
          <w:sz w:val="28"/>
          <w:szCs w:val="28"/>
        </w:rPr>
        <w:t>8</w:t>
      </w:r>
      <w:r w:rsidRPr="00C00235">
        <w:rPr>
          <w:rFonts w:ascii="仿宋_GB2312" w:hAnsi="仿宋_GB2312" w:cs="仿宋_GB2312"/>
          <w:bCs/>
          <w:sz w:val="28"/>
          <w:szCs w:val="28"/>
        </w:rPr>
        <w:t>月</w:t>
      </w:r>
    </w:p>
    <w:p w:rsidR="00AD1D5F" w:rsidRPr="0048537C" w:rsidRDefault="00AD1D5F" w:rsidP="00AD1D5F">
      <w:pPr>
        <w:spacing w:line="360" w:lineRule="exact"/>
        <w:ind w:firstLineChars="196" w:firstLine="627"/>
        <w:rPr>
          <w:rFonts w:ascii="Times New Roman" w:hAnsi="Times New Roman"/>
          <w:szCs w:val="21"/>
        </w:rPr>
      </w:pPr>
    </w:p>
    <w:p w:rsidR="00C00235" w:rsidRDefault="00C00235" w:rsidP="00C00235">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w:t>
      </w:r>
    </w:p>
    <w:p w:rsidR="00C00235" w:rsidRDefault="00C00235" w:rsidP="00C00235">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C00235" w:rsidRDefault="00C00235" w:rsidP="00C00235">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00235" w:rsidRDefault="00C00235" w:rsidP="00C00235">
      <w:pPr>
        <w:jc w:val="center"/>
        <w:rPr>
          <w:rFonts w:ascii="仿宋" w:hAnsi="仿宋"/>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876C31" w:rsidRPr="00C00235" w:rsidRDefault="00C00235" w:rsidP="00C00235">
      <w:pPr>
        <w:jc w:val="left"/>
        <w:rPr>
          <w:rFonts w:ascii="仿宋_GB2312" w:hAnsi="黑体"/>
          <w:sz w:val="28"/>
          <w:szCs w:val="28"/>
        </w:rPr>
      </w:pPr>
      <w:r>
        <w:rPr>
          <w:rFonts w:ascii="仿宋" w:eastAsia="仿宋" w:hAnsi="仿宋" w:hint="eastAsia"/>
          <w:sz w:val="28"/>
          <w:szCs w:val="28"/>
        </w:rPr>
        <w:t xml:space="preserve">                                         年    月</w:t>
      </w:r>
    </w:p>
    <w:p w:rsidR="00BE5664" w:rsidRDefault="00BE5664" w:rsidP="00BE5664">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C00235">
        <w:rPr>
          <w:rFonts w:ascii="方正小标宋简体" w:eastAsia="方正小标宋简体" w:hAnsi="宋体" w:hint="eastAsia"/>
          <w:kern w:val="0"/>
          <w:szCs w:val="32"/>
        </w:rPr>
        <w:t>BIM综合应用</w:t>
      </w:r>
      <w:r>
        <w:rPr>
          <w:rFonts w:ascii="方正小标宋简体" w:eastAsia="方正小标宋简体" w:hAnsi="宋体" w:hint="eastAsia"/>
          <w:kern w:val="0"/>
          <w:szCs w:val="32"/>
        </w:rPr>
        <w:t>》课程教学大纲</w:t>
      </w:r>
    </w:p>
    <w:p w:rsidR="00BE5664" w:rsidRDefault="00BE5664" w:rsidP="00BE5664">
      <w:pPr>
        <w:spacing w:line="360" w:lineRule="auto"/>
        <w:rPr>
          <w:rFonts w:ascii="黑体" w:eastAsia="黑体" w:hAnsi="黑体"/>
          <w:b/>
          <w:sz w:val="28"/>
          <w:szCs w:val="28"/>
        </w:rPr>
      </w:pPr>
      <w:r>
        <w:rPr>
          <w:rFonts w:ascii="黑体" w:eastAsia="黑体" w:hAnsi="黑体" w:hint="eastAsia"/>
          <w:b/>
          <w:sz w:val="28"/>
          <w:szCs w:val="28"/>
        </w:rPr>
        <w:t>一、课程信息</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bCs/>
          <w:sz w:val="28"/>
          <w:szCs w:val="28"/>
        </w:rPr>
        <w:t>英文名称：Integrated application of BIM technology</w:t>
      </w:r>
    </w:p>
    <w:p w:rsidR="00BE5664" w:rsidRPr="00C00235" w:rsidRDefault="00BE5664" w:rsidP="00BE5664">
      <w:pPr>
        <w:spacing w:line="360" w:lineRule="auto"/>
        <w:ind w:firstLine="331"/>
        <w:jc w:val="left"/>
        <w:rPr>
          <w:rFonts w:ascii="仿宋_GB2312" w:hAnsi="仿宋_GB2312" w:cs="仿宋_GB2312"/>
          <w:bCs/>
          <w:sz w:val="28"/>
          <w:szCs w:val="28"/>
        </w:rPr>
      </w:pPr>
      <w:r w:rsidRPr="00C00235">
        <w:rPr>
          <w:rFonts w:ascii="仿宋_GB2312" w:hAnsi="仿宋_GB2312" w:cs="仿宋_GB2312"/>
          <w:bCs/>
          <w:sz w:val="28"/>
          <w:szCs w:val="28"/>
        </w:rPr>
        <w:t>课程编码：Z2805210</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bCs/>
          <w:sz w:val="28"/>
          <w:szCs w:val="28"/>
        </w:rPr>
        <w:t>授课语言：</w:t>
      </w:r>
      <w:r w:rsidRPr="00C00235">
        <w:rPr>
          <w:rFonts w:ascii="仿宋_GB2312" w:hAnsi="仿宋_GB2312" w:cs="仿宋_GB2312" w:hint="eastAsia"/>
          <w:bCs/>
          <w:sz w:val="28"/>
          <w:szCs w:val="28"/>
        </w:rPr>
        <w:t>汉语</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授课方式：线下</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bCs/>
          <w:sz w:val="28"/>
          <w:szCs w:val="28"/>
        </w:rPr>
        <w:t>课程</w:t>
      </w:r>
      <w:r w:rsidRPr="00C00235">
        <w:rPr>
          <w:rFonts w:ascii="仿宋_GB2312" w:hAnsi="仿宋_GB2312" w:cs="仿宋_GB2312" w:hint="eastAsia"/>
          <w:bCs/>
          <w:sz w:val="28"/>
          <w:szCs w:val="28"/>
        </w:rPr>
        <w:t>类别</w:t>
      </w:r>
      <w:r w:rsidRPr="00C00235">
        <w:rPr>
          <w:rFonts w:ascii="仿宋_GB2312" w:hAnsi="仿宋_GB2312" w:cs="仿宋_GB2312"/>
          <w:bCs/>
          <w:sz w:val="28"/>
          <w:szCs w:val="28"/>
        </w:rPr>
        <w:t>：</w:t>
      </w:r>
      <w:r w:rsidRPr="00C00235">
        <w:rPr>
          <w:rFonts w:ascii="仿宋_GB2312" w:hAnsi="仿宋_GB2312" w:cs="仿宋_GB2312" w:hint="eastAsia"/>
          <w:bCs/>
          <w:sz w:val="28"/>
          <w:szCs w:val="28"/>
        </w:rPr>
        <w:t>专业发展</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课程性质：选修</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bCs/>
          <w:sz w:val="28"/>
          <w:szCs w:val="28"/>
        </w:rPr>
        <w:t>学分：1.5</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bCs/>
          <w:sz w:val="28"/>
          <w:szCs w:val="28"/>
        </w:rPr>
        <w:t>学时：</w:t>
      </w:r>
      <w:r w:rsidRPr="00C00235">
        <w:rPr>
          <w:rFonts w:ascii="仿宋_GB2312" w:hAnsi="仿宋_GB2312" w:cs="仿宋_GB2312" w:hint="eastAsia"/>
          <w:bCs/>
          <w:sz w:val="28"/>
          <w:szCs w:val="28"/>
        </w:rPr>
        <w:t>24</w:t>
      </w:r>
      <w:r w:rsidRPr="00C00235">
        <w:rPr>
          <w:rFonts w:ascii="仿宋_GB2312" w:hAnsi="仿宋_GB2312" w:cs="仿宋_GB2312"/>
          <w:bCs/>
          <w:sz w:val="28"/>
          <w:szCs w:val="28"/>
        </w:rPr>
        <w:t>学时（授课</w:t>
      </w:r>
      <w:r w:rsidRPr="00C00235">
        <w:rPr>
          <w:rFonts w:ascii="仿宋_GB2312" w:hAnsi="仿宋_GB2312" w:cs="仿宋_GB2312" w:hint="eastAsia"/>
          <w:bCs/>
          <w:sz w:val="28"/>
          <w:szCs w:val="28"/>
        </w:rPr>
        <w:t>24</w:t>
      </w:r>
      <w:r w:rsidRPr="00C00235">
        <w:rPr>
          <w:rFonts w:ascii="仿宋_GB2312" w:hAnsi="仿宋_GB2312" w:cs="仿宋_GB2312"/>
          <w:bCs/>
          <w:sz w:val="28"/>
          <w:szCs w:val="28"/>
        </w:rPr>
        <w:t>学时</w:t>
      </w:r>
      <w:r w:rsidRPr="00C00235">
        <w:rPr>
          <w:rFonts w:ascii="仿宋_GB2312" w:hAnsi="仿宋_GB2312" w:cs="仿宋_GB2312" w:hint="eastAsia"/>
          <w:bCs/>
          <w:sz w:val="28"/>
          <w:szCs w:val="28"/>
        </w:rPr>
        <w:t>，实验0</w:t>
      </w:r>
      <w:r w:rsidRPr="00C00235">
        <w:rPr>
          <w:rFonts w:ascii="仿宋_GB2312" w:hAnsi="仿宋_GB2312" w:cs="仿宋_GB2312"/>
          <w:bCs/>
          <w:sz w:val="28"/>
          <w:szCs w:val="28"/>
        </w:rPr>
        <w:t>学时</w:t>
      </w:r>
      <w:r w:rsidRPr="00C00235">
        <w:rPr>
          <w:rFonts w:ascii="仿宋_GB2312" w:hAnsi="仿宋_GB2312" w:cs="仿宋_GB2312" w:hint="eastAsia"/>
          <w:bCs/>
          <w:sz w:val="28"/>
          <w:szCs w:val="28"/>
        </w:rPr>
        <w:t>，上机0</w:t>
      </w:r>
      <w:r w:rsidRPr="00C00235">
        <w:rPr>
          <w:rFonts w:ascii="仿宋_GB2312" w:hAnsi="仿宋_GB2312" w:cs="仿宋_GB2312"/>
          <w:bCs/>
          <w:sz w:val="28"/>
          <w:szCs w:val="28"/>
        </w:rPr>
        <w:t>学时</w:t>
      </w:r>
      <w:r w:rsidRPr="00C00235">
        <w:rPr>
          <w:rFonts w:ascii="仿宋_GB2312" w:hAnsi="仿宋_GB2312" w:cs="仿宋_GB2312" w:hint="eastAsia"/>
          <w:bCs/>
          <w:sz w:val="28"/>
          <w:szCs w:val="28"/>
        </w:rPr>
        <w:t>，课外0</w:t>
      </w:r>
      <w:r w:rsidRPr="00C00235">
        <w:rPr>
          <w:rFonts w:ascii="仿宋_GB2312" w:hAnsi="仿宋_GB2312" w:cs="仿宋_GB2312"/>
          <w:bCs/>
          <w:sz w:val="28"/>
          <w:szCs w:val="28"/>
        </w:rPr>
        <w:t>学时）</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bCs/>
          <w:sz w:val="28"/>
          <w:szCs w:val="28"/>
        </w:rPr>
        <w:t>适用对象：</w:t>
      </w:r>
      <w:r w:rsidRPr="00C00235">
        <w:rPr>
          <w:rFonts w:ascii="仿宋_GB2312" w:hAnsi="仿宋_GB2312" w:cs="仿宋_GB2312" w:hint="eastAsia"/>
          <w:bCs/>
          <w:sz w:val="28"/>
          <w:szCs w:val="28"/>
        </w:rPr>
        <w:t>：土木工程</w:t>
      </w:r>
      <w:r w:rsidRPr="00C00235">
        <w:rPr>
          <w:rFonts w:ascii="仿宋_GB2312" w:hAnsi="仿宋_GB2312" w:cs="仿宋_GB2312"/>
          <w:bCs/>
          <w:sz w:val="28"/>
          <w:szCs w:val="28"/>
        </w:rPr>
        <w:t>专业</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bCs/>
          <w:sz w:val="28"/>
          <w:szCs w:val="28"/>
        </w:rPr>
        <w:t>先修课程：</w:t>
      </w:r>
      <w:r w:rsidRPr="00C00235">
        <w:rPr>
          <w:rFonts w:ascii="仿宋_GB2312" w:hAnsi="仿宋_GB2312" w:cs="仿宋_GB2312" w:hint="eastAsia"/>
          <w:bCs/>
          <w:sz w:val="28"/>
          <w:szCs w:val="28"/>
        </w:rPr>
        <w:t>房屋建筑学、混凝土与砌体结构、土木工程施工。</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bCs/>
          <w:sz w:val="28"/>
          <w:szCs w:val="28"/>
        </w:rPr>
        <w:t>开课院系：</w:t>
      </w:r>
      <w:r w:rsidRPr="00C00235">
        <w:rPr>
          <w:rFonts w:ascii="仿宋_GB2312" w:hAnsi="仿宋_GB2312" w:cs="仿宋_GB2312" w:hint="eastAsia"/>
          <w:bCs/>
          <w:sz w:val="28"/>
          <w:szCs w:val="28"/>
        </w:rPr>
        <w:t>建筑工程学院工程造价与施工教研室</w:t>
      </w:r>
    </w:p>
    <w:p w:rsidR="00BE5664" w:rsidRDefault="00BE5664" w:rsidP="00BE5664">
      <w:pPr>
        <w:spacing w:line="360" w:lineRule="auto"/>
        <w:rPr>
          <w:rFonts w:ascii="黑体" w:eastAsia="黑体" w:hAnsi="黑体"/>
          <w:b/>
          <w:sz w:val="28"/>
          <w:szCs w:val="28"/>
        </w:rPr>
      </w:pPr>
      <w:r>
        <w:rPr>
          <w:rFonts w:ascii="黑体" w:eastAsia="黑体" w:hAnsi="黑体" w:hint="eastAsia"/>
          <w:b/>
          <w:sz w:val="28"/>
          <w:szCs w:val="28"/>
        </w:rPr>
        <w:t>二、课程简介</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BIM综合应用》是面向土木工程专业开设的选修专业课程，BIM技术的应用，能够将建筑空间几何信息、建筑空间功能信息、建筑施工管理信息以及设备等各专业相关数据信息集成，改变传统的建筑管理理念，将大大提高建筑管理的集成化程度，引领建筑信息技术走向更高层次。本课程介绍BIM技术的基本概念、发展现状与趋势，学习Revit建模及分析方法，了解BIM技术在设计、施工中的应用，建立基于BIM技术的全生命周期的控制理念。</w:t>
      </w:r>
    </w:p>
    <w:p w:rsidR="00BE5664" w:rsidRDefault="00BE5664" w:rsidP="00BE5664">
      <w:pPr>
        <w:spacing w:beforeLines="50" w:before="156" w:afterLines="50" w:after="156" w:line="360" w:lineRule="auto"/>
        <w:jc w:val="left"/>
        <w:rPr>
          <w:rFonts w:ascii="黑体" w:eastAsia="黑体" w:hAnsi="黑体"/>
          <w:b/>
          <w:sz w:val="28"/>
          <w:szCs w:val="28"/>
        </w:rPr>
      </w:pPr>
      <w:r>
        <w:rPr>
          <w:rFonts w:ascii="黑体" w:eastAsia="黑体" w:hAnsi="黑体" w:hint="eastAsia"/>
          <w:b/>
          <w:sz w:val="28"/>
          <w:szCs w:val="28"/>
        </w:rPr>
        <w:lastRenderedPageBreak/>
        <w:t>三、课程任务、目的与要求</w:t>
      </w:r>
    </w:p>
    <w:p w:rsidR="00BE5664" w:rsidRPr="00C00235" w:rsidRDefault="00BE5664" w:rsidP="00C00235">
      <w:pPr>
        <w:spacing w:line="360" w:lineRule="auto"/>
        <w:ind w:firstLine="331"/>
        <w:jc w:val="left"/>
        <w:rPr>
          <w:rFonts w:ascii="仿宋_GB2312" w:hAnsi="仿宋_GB2312" w:cs="仿宋_GB2312"/>
          <w:b/>
          <w:bCs/>
          <w:sz w:val="28"/>
          <w:szCs w:val="28"/>
        </w:rPr>
      </w:pPr>
      <w:r w:rsidRPr="00C00235">
        <w:rPr>
          <w:rFonts w:ascii="仿宋_GB2312" w:hAnsi="仿宋_GB2312" w:cs="仿宋_GB2312" w:hint="eastAsia"/>
          <w:b/>
          <w:bCs/>
          <w:sz w:val="28"/>
          <w:szCs w:val="28"/>
        </w:rPr>
        <w:t>1.课程任务与目的</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通过本课程学习，培养学生综合运用现代计算机技术和信息化技术的能力，提升传统土木工程施工技术和管理水平。并能够掌握BIM的概念、软件平台，可使用常用的BIM建模软件进行BIM建筑信息模型的创建，为毕业后从事相关工作奠定基础。培养学生的敬业、爱国的情怀，理解并遵守土木工程职业道德和行为规范，做一名具有社会责任感和使命感的工程师。</w:t>
      </w:r>
    </w:p>
    <w:p w:rsidR="00BE5664" w:rsidRPr="00C00235" w:rsidRDefault="00BE5664" w:rsidP="00C00235">
      <w:pPr>
        <w:spacing w:line="360" w:lineRule="auto"/>
        <w:ind w:firstLine="331"/>
        <w:jc w:val="left"/>
        <w:rPr>
          <w:rFonts w:ascii="仿宋_GB2312" w:hAnsi="仿宋_GB2312" w:cs="仿宋_GB2312"/>
          <w:b/>
          <w:bCs/>
          <w:sz w:val="28"/>
          <w:szCs w:val="28"/>
        </w:rPr>
      </w:pPr>
      <w:r w:rsidRPr="00C00235">
        <w:rPr>
          <w:rFonts w:ascii="仿宋_GB2312" w:hAnsi="仿宋_GB2312" w:cs="仿宋_GB2312" w:hint="eastAsia"/>
          <w:b/>
          <w:bCs/>
          <w:sz w:val="28"/>
          <w:szCs w:val="28"/>
        </w:rPr>
        <w:t>2.课程基本要求</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（1）课程目标</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通过本课程的教学，使学生具备使用BIM 相关软件进行建模，并对不同阶段项目进行综合分析的能力，教学目标具体要求如下：</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①了解BIM技术基本概念，特点，应用现状，标准规程，软件平台；了解BIM技术在土木工程中的应用现状，及未来的发展前景。教育引导学生深刻理解建筑业信息化发展的必要性和强烈的社会责任感。</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②了解BIM建模技术的基本软件，掌握Revit建模的基本操作技巧；学习BIM技术在设计、施工中不同项目中的应用案例；了解BIM 5D软件在施工管理中的应用范围及局限性。</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③了解BIM技术在解决大型复杂工程项目管理中的优势，掌握BIM技术在工程项目全生命周期应用的基本流程和步骤。增强学生在毕业工作后具备绿色施工的意识，提高项目精细化管理的水平，</w:t>
      </w:r>
      <w:r w:rsidRPr="00C00235">
        <w:rPr>
          <w:rFonts w:ascii="仿宋_GB2312" w:hAnsi="仿宋_GB2312" w:cs="仿宋_GB2312" w:hint="eastAsia"/>
          <w:bCs/>
          <w:sz w:val="28"/>
          <w:szCs w:val="28"/>
        </w:rPr>
        <w:lastRenderedPageBreak/>
        <w:t>增强学生的土木工程师社会责任感，为建筑业的信息化技术应用贡献力量。</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表1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5800"/>
        <w:gridCol w:w="1103"/>
      </w:tblGrid>
      <w:tr w:rsidR="00BE5664" w:rsidRPr="00C00235" w:rsidTr="00BE5664">
        <w:trPr>
          <w:trHeight w:val="560"/>
          <w:jc w:val="center"/>
        </w:trPr>
        <w:tc>
          <w:tcPr>
            <w:tcW w:w="1470" w:type="dxa"/>
            <w:tcBorders>
              <w:top w:val="single" w:sz="4" w:space="0" w:color="auto"/>
              <w:left w:val="single" w:sz="4" w:space="0" w:color="auto"/>
              <w:bottom w:val="single" w:sz="4" w:space="0" w:color="auto"/>
              <w:right w:val="single" w:sz="4" w:space="0" w:color="auto"/>
            </w:tcBorders>
            <w:vAlign w:val="center"/>
          </w:tcPr>
          <w:p w:rsidR="00BE5664" w:rsidRPr="00C00235" w:rsidRDefault="00BE5664" w:rsidP="00C00235">
            <w:pPr>
              <w:spacing w:line="360" w:lineRule="auto"/>
              <w:jc w:val="left"/>
              <w:rPr>
                <w:rFonts w:ascii="仿宋_GB2312" w:hAnsi="仿宋_GB2312" w:cs="仿宋_GB2312"/>
                <w:b/>
                <w:bCs/>
                <w:sz w:val="24"/>
                <w:szCs w:val="24"/>
              </w:rPr>
            </w:pPr>
            <w:r w:rsidRPr="00C00235">
              <w:rPr>
                <w:rFonts w:ascii="仿宋_GB2312" w:hAnsi="仿宋_GB2312" w:cs="仿宋_GB2312" w:hint="eastAsia"/>
                <w:b/>
                <w:bCs/>
                <w:sz w:val="24"/>
                <w:szCs w:val="24"/>
              </w:rPr>
              <w:t>毕业要求标准</w:t>
            </w:r>
          </w:p>
        </w:tc>
        <w:tc>
          <w:tcPr>
            <w:tcW w:w="6379" w:type="dxa"/>
            <w:tcBorders>
              <w:top w:val="single" w:sz="4" w:space="0" w:color="auto"/>
              <w:left w:val="single" w:sz="4" w:space="0" w:color="auto"/>
              <w:bottom w:val="single" w:sz="4" w:space="0" w:color="auto"/>
              <w:right w:val="single" w:sz="4" w:space="0" w:color="auto"/>
            </w:tcBorders>
            <w:vAlign w:val="center"/>
          </w:tcPr>
          <w:p w:rsidR="00BE5664" w:rsidRPr="00C00235" w:rsidRDefault="00BE5664" w:rsidP="00C00235">
            <w:pPr>
              <w:spacing w:line="360" w:lineRule="auto"/>
              <w:ind w:firstLineChars="700" w:firstLine="1687"/>
              <w:jc w:val="left"/>
              <w:rPr>
                <w:rFonts w:ascii="仿宋_GB2312" w:hAnsi="仿宋_GB2312" w:cs="仿宋_GB2312"/>
                <w:b/>
                <w:bCs/>
                <w:sz w:val="24"/>
                <w:szCs w:val="24"/>
              </w:rPr>
            </w:pPr>
            <w:r w:rsidRPr="00C00235">
              <w:rPr>
                <w:rFonts w:ascii="仿宋_GB2312" w:hAnsi="仿宋_GB2312" w:cs="仿宋_GB2312" w:hint="eastAsia"/>
                <w:b/>
                <w:bCs/>
                <w:sz w:val="24"/>
                <w:szCs w:val="24"/>
              </w:rPr>
              <w:t>指标点</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Pr="00C00235" w:rsidRDefault="00BE5664" w:rsidP="00C00235">
            <w:pPr>
              <w:spacing w:line="360" w:lineRule="auto"/>
              <w:jc w:val="left"/>
              <w:rPr>
                <w:rFonts w:ascii="仿宋_GB2312" w:hAnsi="仿宋_GB2312" w:cs="仿宋_GB2312"/>
                <w:b/>
                <w:bCs/>
                <w:sz w:val="24"/>
                <w:szCs w:val="24"/>
              </w:rPr>
            </w:pPr>
            <w:r w:rsidRPr="00C00235">
              <w:rPr>
                <w:rFonts w:ascii="仿宋_GB2312" w:hAnsi="仿宋_GB2312" w:cs="仿宋_GB2312" w:hint="eastAsia"/>
                <w:b/>
                <w:bCs/>
                <w:sz w:val="24"/>
                <w:szCs w:val="24"/>
              </w:rPr>
              <w:t>课程目标</w:t>
            </w:r>
          </w:p>
        </w:tc>
      </w:tr>
      <w:tr w:rsidR="00BE5664" w:rsidRPr="00C00235" w:rsidTr="00BE5664">
        <w:trPr>
          <w:trHeight w:val="560"/>
          <w:jc w:val="center"/>
        </w:trPr>
        <w:tc>
          <w:tcPr>
            <w:tcW w:w="1470" w:type="dxa"/>
            <w:tcBorders>
              <w:top w:val="single" w:sz="4" w:space="0" w:color="auto"/>
              <w:left w:val="single" w:sz="4" w:space="0" w:color="auto"/>
              <w:right w:val="single" w:sz="4" w:space="0" w:color="auto"/>
            </w:tcBorders>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5.现代工具使用能力</w:t>
            </w:r>
          </w:p>
        </w:tc>
        <w:tc>
          <w:tcPr>
            <w:tcW w:w="6379" w:type="dxa"/>
            <w:tcBorders>
              <w:top w:val="single" w:sz="4" w:space="0" w:color="auto"/>
              <w:left w:val="single" w:sz="4" w:space="0" w:color="auto"/>
              <w:right w:val="single" w:sz="4" w:space="0" w:color="auto"/>
            </w:tcBorders>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指标点5-2： 能够选择与使用勘测、制图、检测、计算、设计等恰当的技术和资源，对土木工程专业复杂工程问题进行分析、计算和设计，并理解其局限性。</w:t>
            </w:r>
          </w:p>
        </w:tc>
        <w:tc>
          <w:tcPr>
            <w:tcW w:w="1134" w:type="dxa"/>
            <w:tcBorders>
              <w:top w:val="single" w:sz="4" w:space="0" w:color="auto"/>
              <w:left w:val="single" w:sz="4" w:space="0" w:color="auto"/>
              <w:right w:val="single" w:sz="4" w:space="0" w:color="auto"/>
            </w:tcBorders>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2、3</w:t>
            </w:r>
          </w:p>
        </w:tc>
      </w:tr>
      <w:tr w:rsidR="00BE5664" w:rsidRPr="00C00235" w:rsidTr="00BE5664">
        <w:trPr>
          <w:trHeight w:val="560"/>
          <w:jc w:val="center"/>
        </w:trPr>
        <w:tc>
          <w:tcPr>
            <w:tcW w:w="1470" w:type="dxa"/>
            <w:tcBorders>
              <w:left w:val="single" w:sz="4" w:space="0" w:color="auto"/>
              <w:bottom w:val="single" w:sz="4" w:space="0" w:color="auto"/>
              <w:right w:val="single" w:sz="4" w:space="0" w:color="auto"/>
            </w:tcBorders>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7.可持续发展意识</w:t>
            </w:r>
          </w:p>
        </w:tc>
        <w:tc>
          <w:tcPr>
            <w:tcW w:w="6379" w:type="dxa"/>
            <w:tcBorders>
              <w:top w:val="single" w:sz="4" w:space="0" w:color="auto"/>
              <w:left w:val="single" w:sz="4" w:space="0" w:color="auto"/>
              <w:bottom w:val="single" w:sz="4" w:space="0" w:color="auto"/>
              <w:right w:val="single" w:sz="4" w:space="0" w:color="auto"/>
            </w:tcBorders>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指标点7-1 知晓和理解环境保护和可持续发展的理念和内涵。</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1、3</w:t>
            </w:r>
          </w:p>
        </w:tc>
      </w:tr>
      <w:tr w:rsidR="00BE5664" w:rsidRPr="00C00235" w:rsidTr="00BE5664">
        <w:trPr>
          <w:trHeight w:val="560"/>
          <w:jc w:val="center"/>
        </w:trPr>
        <w:tc>
          <w:tcPr>
            <w:tcW w:w="1470" w:type="dxa"/>
            <w:tcBorders>
              <w:left w:val="single" w:sz="4" w:space="0" w:color="auto"/>
              <w:right w:val="single" w:sz="4" w:space="0" w:color="auto"/>
            </w:tcBorders>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12.终身学习能力</w:t>
            </w:r>
          </w:p>
        </w:tc>
        <w:tc>
          <w:tcPr>
            <w:tcW w:w="6379"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指标点12-1 在社会和土木工程专业发展的大背景下，能够认识到不断探索和学习的必要性，自觉跟踪土木工程专业学科前沿，具有自主学习和终身学习意识。</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1、2、3</w:t>
            </w:r>
          </w:p>
        </w:tc>
      </w:tr>
    </w:tbl>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（3）本课程的重点、难点</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重点：掌握BIM技术的含义、软件类别、发展趋势；利用Revit中各类构件的建模方法；掌握BIM技术在设计和施工中的应用流程和关键内容</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难点：Revit参数化设计思想。</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（4）课程思政切入</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①通过讲述了我国目前BIM技术的发展概况，包括相关标准规范的施行，相关软件的应用，有效地促使建筑业信息化技术的应用，可以显著提高大型、复杂工程项目管理的效率，提高资源利用率。</w:t>
      </w:r>
      <w:r w:rsidRPr="00C00235">
        <w:rPr>
          <w:rFonts w:ascii="仿宋_GB2312" w:hAnsi="仿宋_GB2312" w:cs="仿宋_GB2312" w:hint="eastAsia"/>
          <w:bCs/>
          <w:sz w:val="28"/>
          <w:szCs w:val="28"/>
        </w:rPr>
        <w:lastRenderedPageBreak/>
        <w:t>通过相关内容的讲述增强同学们的职业责任感和荣誉感，培养学生们的爱业、爱国的情怀。</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②系统掌握Revit建模相关设计，理解并应用参数化设计方法。能够正确认识自我探索和终身学习的必要性，在毕业后工作中能拓展Revit应用范围，并可以参与相关项目BIM技术的应用，具有良好的职业发展观。</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③Revit是BIM建模软件中最常用的一款三维设计软件，可以大大提高设计效率，降低工作量，充分发挥设计人员的智慧，并为后续相关操作提供完整的新型模型，是BIM技术应用的关键环节。建模内容的学习，可以激发学生探索新事物的能力，并将其内化，提供学生应对行业发展变化的能力，增强爱专业、爱校、爱国的情怀。</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④BIM技术可以将建筑设计信息模型应用于施工管理平台软件，进行精细化管理，提高管理水平，使学生充分理解BIM软件在建筑物全生命周期中的应用。</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⑤以BIM 技术在设计、施工管理过程中应用为例，有助于提高学生理解BIM施工管理过程中优势，充分理解建筑业信息化发展的必要性。</w:t>
      </w:r>
    </w:p>
    <w:p w:rsidR="00BE5664" w:rsidRPr="00C00235" w:rsidRDefault="00BE5664" w:rsidP="00C00235">
      <w:pPr>
        <w:spacing w:line="360" w:lineRule="auto"/>
        <w:ind w:firstLine="331"/>
        <w:jc w:val="left"/>
        <w:rPr>
          <w:rFonts w:ascii="仿宋_GB2312" w:hAnsi="仿宋_GB2312" w:cs="仿宋_GB2312"/>
          <w:bCs/>
          <w:sz w:val="28"/>
          <w:szCs w:val="28"/>
        </w:rPr>
      </w:pPr>
      <w:r w:rsidRPr="00C00235">
        <w:rPr>
          <w:rFonts w:ascii="仿宋_GB2312" w:hAnsi="仿宋_GB2312" w:cs="仿宋_GB2312" w:hint="eastAsia"/>
          <w:bCs/>
          <w:sz w:val="28"/>
          <w:szCs w:val="28"/>
        </w:rPr>
        <w:t>⑥以国产软件BIM 5D为例，介绍我国建筑业信息化发展的成果和现状，增强同学们的爱国、敬业的情怀，并承担起我国建筑业信息化发展的重担。</w:t>
      </w:r>
    </w:p>
    <w:p w:rsidR="00BE5664" w:rsidRDefault="00BE5664" w:rsidP="00BE5664">
      <w:pPr>
        <w:spacing w:beforeLines="50" w:before="156" w:afterLines="50" w:after="156"/>
        <w:jc w:val="lef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BE5664" w:rsidTr="00BE5664">
        <w:trPr>
          <w:cantSplit/>
          <w:trHeight w:val="785"/>
        </w:trPr>
        <w:tc>
          <w:tcPr>
            <w:tcW w:w="512" w:type="dxa"/>
            <w:vAlign w:val="center"/>
          </w:tcPr>
          <w:p w:rsidR="00BE5664" w:rsidRPr="00C00235" w:rsidRDefault="00BE5664" w:rsidP="00C00235">
            <w:pPr>
              <w:spacing w:line="360" w:lineRule="auto"/>
              <w:jc w:val="left"/>
              <w:rPr>
                <w:rFonts w:ascii="仿宋_GB2312" w:hAnsi="仿宋_GB2312" w:cs="仿宋_GB2312"/>
                <w:b/>
                <w:bCs/>
                <w:sz w:val="24"/>
                <w:szCs w:val="24"/>
              </w:rPr>
            </w:pPr>
            <w:r w:rsidRPr="00C00235">
              <w:rPr>
                <w:rFonts w:ascii="仿宋_GB2312" w:hAnsi="仿宋_GB2312" w:cs="仿宋_GB2312" w:hint="eastAsia"/>
                <w:b/>
                <w:bCs/>
                <w:sz w:val="24"/>
                <w:szCs w:val="24"/>
              </w:rPr>
              <w:lastRenderedPageBreak/>
              <w:t>序号</w:t>
            </w:r>
          </w:p>
        </w:tc>
        <w:tc>
          <w:tcPr>
            <w:tcW w:w="2102" w:type="dxa"/>
            <w:vAlign w:val="center"/>
          </w:tcPr>
          <w:p w:rsidR="00BE5664" w:rsidRPr="00C00235" w:rsidRDefault="00BE5664" w:rsidP="00C00235">
            <w:pPr>
              <w:spacing w:line="360" w:lineRule="auto"/>
              <w:ind w:firstLine="331"/>
              <w:jc w:val="left"/>
              <w:rPr>
                <w:rFonts w:ascii="仿宋_GB2312" w:hAnsi="仿宋_GB2312" w:cs="仿宋_GB2312"/>
                <w:b/>
                <w:bCs/>
                <w:sz w:val="24"/>
                <w:szCs w:val="24"/>
              </w:rPr>
            </w:pPr>
            <w:r w:rsidRPr="00C00235">
              <w:rPr>
                <w:rFonts w:ascii="仿宋_GB2312" w:hAnsi="仿宋_GB2312" w:cs="仿宋_GB2312" w:hint="eastAsia"/>
                <w:b/>
                <w:bCs/>
                <w:sz w:val="24"/>
                <w:szCs w:val="24"/>
              </w:rPr>
              <w:t>章  节</w:t>
            </w:r>
          </w:p>
        </w:tc>
        <w:tc>
          <w:tcPr>
            <w:tcW w:w="727" w:type="dxa"/>
            <w:vAlign w:val="center"/>
          </w:tcPr>
          <w:p w:rsidR="00BE5664" w:rsidRPr="00C00235" w:rsidRDefault="00BE5664" w:rsidP="00C00235">
            <w:pPr>
              <w:spacing w:line="360" w:lineRule="auto"/>
              <w:jc w:val="left"/>
              <w:rPr>
                <w:rFonts w:ascii="仿宋_GB2312" w:hAnsi="仿宋_GB2312" w:cs="仿宋_GB2312"/>
                <w:b/>
                <w:bCs/>
                <w:sz w:val="24"/>
                <w:szCs w:val="24"/>
              </w:rPr>
            </w:pPr>
            <w:r w:rsidRPr="00C00235">
              <w:rPr>
                <w:rFonts w:ascii="仿宋_GB2312" w:hAnsi="仿宋_GB2312" w:cs="仿宋_GB2312" w:hint="eastAsia"/>
                <w:b/>
                <w:bCs/>
                <w:sz w:val="24"/>
                <w:szCs w:val="24"/>
              </w:rPr>
              <w:t>参考学时</w:t>
            </w:r>
          </w:p>
        </w:tc>
        <w:tc>
          <w:tcPr>
            <w:tcW w:w="3059" w:type="dxa"/>
            <w:vAlign w:val="center"/>
          </w:tcPr>
          <w:p w:rsidR="00BE5664" w:rsidRPr="00C00235" w:rsidRDefault="00BE5664" w:rsidP="00C00235">
            <w:pPr>
              <w:spacing w:line="360" w:lineRule="auto"/>
              <w:ind w:firstLine="331"/>
              <w:jc w:val="left"/>
              <w:rPr>
                <w:rFonts w:ascii="仿宋_GB2312" w:hAnsi="仿宋_GB2312" w:cs="仿宋_GB2312"/>
                <w:b/>
                <w:bCs/>
                <w:sz w:val="24"/>
                <w:szCs w:val="24"/>
              </w:rPr>
            </w:pPr>
            <w:r w:rsidRPr="00C00235">
              <w:rPr>
                <w:rFonts w:ascii="仿宋_GB2312" w:hAnsi="仿宋_GB2312" w:cs="仿宋_GB2312" w:hint="eastAsia"/>
                <w:b/>
                <w:bCs/>
                <w:sz w:val="24"/>
                <w:szCs w:val="24"/>
              </w:rPr>
              <w:t>教学内容</w:t>
            </w:r>
          </w:p>
        </w:tc>
        <w:tc>
          <w:tcPr>
            <w:tcW w:w="2755" w:type="dxa"/>
            <w:vAlign w:val="center"/>
          </w:tcPr>
          <w:p w:rsidR="00BE5664" w:rsidRPr="00C00235" w:rsidRDefault="00BE5664" w:rsidP="00C00235">
            <w:pPr>
              <w:spacing w:line="360" w:lineRule="auto"/>
              <w:ind w:firstLine="331"/>
              <w:jc w:val="left"/>
              <w:rPr>
                <w:rFonts w:ascii="仿宋_GB2312" w:hAnsi="仿宋_GB2312" w:cs="仿宋_GB2312"/>
                <w:b/>
                <w:bCs/>
                <w:sz w:val="24"/>
                <w:szCs w:val="24"/>
              </w:rPr>
            </w:pPr>
            <w:r w:rsidRPr="00C00235">
              <w:rPr>
                <w:rFonts w:ascii="仿宋_GB2312" w:hAnsi="仿宋_GB2312" w:cs="仿宋_GB2312" w:hint="eastAsia"/>
                <w:b/>
                <w:bCs/>
                <w:sz w:val="24"/>
                <w:szCs w:val="24"/>
              </w:rPr>
              <w:t>基本要求</w:t>
            </w:r>
          </w:p>
        </w:tc>
      </w:tr>
      <w:tr w:rsidR="00BE5664" w:rsidTr="00BE5664">
        <w:trPr>
          <w:trHeight w:val="428"/>
        </w:trPr>
        <w:tc>
          <w:tcPr>
            <w:tcW w:w="512"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1</w:t>
            </w:r>
          </w:p>
        </w:tc>
        <w:tc>
          <w:tcPr>
            <w:tcW w:w="2102"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第1章 绪论</w:t>
            </w:r>
          </w:p>
        </w:tc>
        <w:tc>
          <w:tcPr>
            <w:tcW w:w="727"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4</w:t>
            </w:r>
          </w:p>
        </w:tc>
        <w:tc>
          <w:tcPr>
            <w:tcW w:w="3059"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（1）BIM基本定义及发展历程。</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（2）BIM技术基本特点。</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（3）国内外BIM技术的应用现状。</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（4）BIM技术的规程标准。</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（5）BIM技术软件组成及类别。</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（6）BIM技术的应用及发展趋势。</w:t>
            </w:r>
          </w:p>
        </w:tc>
        <w:tc>
          <w:tcPr>
            <w:tcW w:w="2755"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要求学生了解BIM技术的基本概念及特点、BIM软件及平台，了解国内外的应用现状和发展趋势。</w:t>
            </w:r>
          </w:p>
        </w:tc>
      </w:tr>
      <w:tr w:rsidR="00BE5664" w:rsidTr="00BE5664">
        <w:trPr>
          <w:trHeight w:val="519"/>
        </w:trPr>
        <w:tc>
          <w:tcPr>
            <w:tcW w:w="512"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2</w:t>
            </w:r>
          </w:p>
        </w:tc>
        <w:tc>
          <w:tcPr>
            <w:tcW w:w="2102"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第2章 Revit建模技术</w:t>
            </w:r>
          </w:p>
        </w:tc>
        <w:tc>
          <w:tcPr>
            <w:tcW w:w="727"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12</w:t>
            </w:r>
          </w:p>
        </w:tc>
        <w:tc>
          <w:tcPr>
            <w:tcW w:w="3059"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（1）Revit软件界面介绍及常用操作技巧。</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（2）Revit轴网与标高设计。</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（3）Revit墙体设计。</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（4）Revit窗族设计。</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（5）Revit门窗设计。</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（6）Revit楼板设计。</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（7）Revit屋顶设计。</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（8）Revit楼梯设计。</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（9）Revit场地设计。</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（10）总结Revit建模思路，理解参数化设计的意义。</w:t>
            </w:r>
          </w:p>
        </w:tc>
        <w:tc>
          <w:tcPr>
            <w:tcW w:w="2755"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要求学生掌握Revit建模的相关操作，包括轴线、墙体、门窗、窗族、楼板、屋顶、楼梯、场地等内容，总结Revit建模的整体思路。</w:t>
            </w:r>
          </w:p>
        </w:tc>
      </w:tr>
      <w:tr w:rsidR="00BE5664" w:rsidTr="00BE5664">
        <w:trPr>
          <w:trHeight w:val="555"/>
        </w:trPr>
        <w:tc>
          <w:tcPr>
            <w:tcW w:w="512"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3</w:t>
            </w:r>
          </w:p>
        </w:tc>
        <w:tc>
          <w:tcPr>
            <w:tcW w:w="2102"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第3章 BIM技</w:t>
            </w:r>
            <w:r w:rsidRPr="00C00235">
              <w:rPr>
                <w:rFonts w:ascii="仿宋_GB2312" w:hAnsi="仿宋_GB2312" w:cs="仿宋_GB2312" w:hint="eastAsia"/>
                <w:bCs/>
                <w:sz w:val="24"/>
                <w:szCs w:val="24"/>
              </w:rPr>
              <w:lastRenderedPageBreak/>
              <w:t>术在设计中应用</w:t>
            </w:r>
          </w:p>
        </w:tc>
        <w:tc>
          <w:tcPr>
            <w:tcW w:w="727"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lastRenderedPageBreak/>
              <w:t>3</w:t>
            </w:r>
          </w:p>
        </w:tc>
        <w:tc>
          <w:tcPr>
            <w:tcW w:w="3059"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（1）结合建筑/结构设</w:t>
            </w:r>
            <w:r w:rsidRPr="00C00235">
              <w:rPr>
                <w:rFonts w:ascii="仿宋_GB2312" w:hAnsi="仿宋_GB2312" w:cs="仿宋_GB2312" w:hint="eastAsia"/>
                <w:bCs/>
                <w:sz w:val="24"/>
                <w:szCs w:val="24"/>
              </w:rPr>
              <w:lastRenderedPageBreak/>
              <w:t>计案例，讲授BIM相关技术在设计过程中的应用流程。</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（2）BIM技术在工程中的应用流程。</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（3）BIM设计软件与结构分析软件的关系。</w:t>
            </w:r>
          </w:p>
        </w:tc>
        <w:tc>
          <w:tcPr>
            <w:tcW w:w="2755"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lastRenderedPageBreak/>
              <w:t>要求学生掌握BIM在</w:t>
            </w:r>
            <w:r w:rsidRPr="00C00235">
              <w:rPr>
                <w:rFonts w:ascii="仿宋_GB2312" w:hAnsi="仿宋_GB2312" w:cs="仿宋_GB2312" w:hint="eastAsia"/>
                <w:bCs/>
                <w:sz w:val="24"/>
                <w:szCs w:val="24"/>
              </w:rPr>
              <w:lastRenderedPageBreak/>
              <w:t>建筑/结构设计中的应用流程。</w:t>
            </w:r>
          </w:p>
        </w:tc>
      </w:tr>
      <w:tr w:rsidR="00BE5664" w:rsidTr="00BE5664">
        <w:trPr>
          <w:trHeight w:val="555"/>
        </w:trPr>
        <w:tc>
          <w:tcPr>
            <w:tcW w:w="512"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lastRenderedPageBreak/>
              <w:t>4</w:t>
            </w:r>
          </w:p>
        </w:tc>
        <w:tc>
          <w:tcPr>
            <w:tcW w:w="2102"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第4章 BIM技术在施工中应用</w:t>
            </w:r>
          </w:p>
        </w:tc>
        <w:tc>
          <w:tcPr>
            <w:tcW w:w="727"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3</w:t>
            </w:r>
          </w:p>
        </w:tc>
        <w:tc>
          <w:tcPr>
            <w:tcW w:w="3059"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（1）结合相关施工管理案例介绍BIM技术的应用流程和各流程中关键内容。</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（2）BIM技术在施工管理中的地位及解决的实际工程问题。</w:t>
            </w:r>
          </w:p>
        </w:tc>
        <w:tc>
          <w:tcPr>
            <w:tcW w:w="2755"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要求学生了解BIM技术在施工管理过程中应用的流程及主要优势。</w:t>
            </w:r>
          </w:p>
        </w:tc>
      </w:tr>
      <w:tr w:rsidR="00BE5664" w:rsidTr="00BE5664">
        <w:trPr>
          <w:trHeight w:val="555"/>
        </w:trPr>
        <w:tc>
          <w:tcPr>
            <w:tcW w:w="512"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5</w:t>
            </w:r>
          </w:p>
        </w:tc>
        <w:tc>
          <w:tcPr>
            <w:tcW w:w="2102"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第5章 BIM 5D技术</w:t>
            </w:r>
          </w:p>
        </w:tc>
        <w:tc>
          <w:tcPr>
            <w:tcW w:w="727"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2</w:t>
            </w:r>
          </w:p>
        </w:tc>
        <w:tc>
          <w:tcPr>
            <w:tcW w:w="3059"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（1）BIM 5D软件的界面组成。</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（2）BIM 5D技术在施工管理过程的操作。</w:t>
            </w:r>
          </w:p>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（3）BIM 5D资源、资金管理与分析。</w:t>
            </w:r>
          </w:p>
        </w:tc>
        <w:tc>
          <w:tcPr>
            <w:tcW w:w="2755" w:type="dxa"/>
            <w:vAlign w:val="center"/>
          </w:tcPr>
          <w:p w:rsidR="00BE5664" w:rsidRPr="00C00235" w:rsidRDefault="00BE5664" w:rsidP="00C00235">
            <w:pPr>
              <w:spacing w:line="360" w:lineRule="auto"/>
              <w:ind w:firstLine="331"/>
              <w:jc w:val="left"/>
              <w:rPr>
                <w:rFonts w:ascii="仿宋_GB2312" w:hAnsi="仿宋_GB2312" w:cs="仿宋_GB2312"/>
                <w:bCs/>
                <w:sz w:val="24"/>
                <w:szCs w:val="24"/>
              </w:rPr>
            </w:pPr>
            <w:r w:rsidRPr="00C00235">
              <w:rPr>
                <w:rFonts w:ascii="仿宋_GB2312" w:hAnsi="仿宋_GB2312" w:cs="仿宋_GB2312" w:hint="eastAsia"/>
                <w:bCs/>
                <w:sz w:val="24"/>
                <w:szCs w:val="24"/>
              </w:rPr>
              <w:t>要求学生能够了解BIM 5D在项目管理过程中具体应用。</w:t>
            </w:r>
          </w:p>
        </w:tc>
      </w:tr>
    </w:tbl>
    <w:p w:rsidR="00BE5664" w:rsidRDefault="00BE5664" w:rsidP="00BE5664">
      <w:pPr>
        <w:spacing w:beforeLines="50" w:before="156" w:afterLines="50" w:after="156" w:line="360" w:lineRule="auto"/>
        <w:ind w:firstLineChars="100" w:firstLine="281"/>
        <w:jc w:val="left"/>
        <w:rPr>
          <w:rFonts w:ascii="黑体" w:eastAsia="黑体" w:hAnsi="黑体"/>
          <w:b/>
          <w:sz w:val="28"/>
          <w:szCs w:val="28"/>
        </w:rPr>
      </w:pPr>
      <w:r>
        <w:rPr>
          <w:rFonts w:ascii="黑体" w:eastAsia="黑体" w:hAnsi="黑体" w:hint="eastAsia"/>
          <w:b/>
          <w:sz w:val="28"/>
          <w:szCs w:val="28"/>
        </w:rPr>
        <w:t>五、课程考核和评价方式</w:t>
      </w:r>
    </w:p>
    <w:p w:rsidR="00BE5664" w:rsidRPr="00C00235" w:rsidRDefault="00BE5664" w:rsidP="00C00235">
      <w:pPr>
        <w:spacing w:line="360" w:lineRule="auto"/>
        <w:ind w:firstLine="331"/>
        <w:rPr>
          <w:rFonts w:ascii="仿宋_GB2312" w:hAnsi="仿宋_GB2312" w:cs="仿宋_GB2312"/>
          <w:b/>
          <w:bCs/>
          <w:sz w:val="28"/>
          <w:szCs w:val="28"/>
        </w:rPr>
      </w:pPr>
      <w:r w:rsidRPr="00C00235">
        <w:rPr>
          <w:rFonts w:ascii="仿宋_GB2312" w:hAnsi="仿宋_GB2312" w:cs="仿宋_GB2312" w:hint="eastAsia"/>
          <w:b/>
          <w:bCs/>
          <w:sz w:val="28"/>
          <w:szCs w:val="28"/>
        </w:rPr>
        <w:t>1.课程考核</w:t>
      </w:r>
    </w:p>
    <w:p w:rsidR="00BE5664" w:rsidRPr="00C00235" w:rsidRDefault="00BE5664" w:rsidP="00C00235">
      <w:pPr>
        <w:spacing w:line="360" w:lineRule="auto"/>
        <w:ind w:firstLine="331"/>
        <w:rPr>
          <w:rFonts w:ascii="仿宋_GB2312" w:hAnsi="仿宋_GB2312" w:cs="仿宋_GB2312"/>
          <w:bCs/>
          <w:sz w:val="28"/>
          <w:szCs w:val="28"/>
        </w:rPr>
      </w:pPr>
      <w:r w:rsidRPr="00C00235">
        <w:rPr>
          <w:rFonts w:ascii="仿宋_GB2312" w:hAnsi="仿宋_GB2312" w:cs="仿宋_GB2312" w:hint="eastAsia"/>
          <w:bCs/>
          <w:sz w:val="28"/>
          <w:szCs w:val="28"/>
        </w:rPr>
        <w:t>本课程采用考察方式考察，提交BIM信息模型，成绩评定方式为等级制。</w:t>
      </w:r>
    </w:p>
    <w:p w:rsidR="00BE5664" w:rsidRPr="00C00235" w:rsidRDefault="00BE5664" w:rsidP="00C00235">
      <w:pPr>
        <w:spacing w:line="360" w:lineRule="auto"/>
        <w:ind w:firstLine="331"/>
        <w:rPr>
          <w:rFonts w:ascii="仿宋_GB2312" w:hAnsi="仿宋_GB2312" w:cs="仿宋_GB2312"/>
          <w:bCs/>
          <w:sz w:val="28"/>
          <w:szCs w:val="28"/>
        </w:rPr>
      </w:pPr>
      <w:r w:rsidRPr="00C00235">
        <w:rPr>
          <w:rFonts w:ascii="仿宋_GB2312" w:hAnsi="仿宋_GB2312" w:cs="仿宋_GB2312" w:hint="eastAsia"/>
          <w:b/>
          <w:bCs/>
          <w:sz w:val="28"/>
          <w:szCs w:val="28"/>
        </w:rPr>
        <w:t>2.成绩评定</w:t>
      </w:r>
      <w:r w:rsidRPr="00C00235">
        <w:rPr>
          <w:rFonts w:ascii="仿宋_GB2312" w:hAnsi="仿宋_GB2312" w:cs="仿宋_GB2312"/>
          <w:bCs/>
          <w:sz w:val="28"/>
          <w:szCs w:val="28"/>
        </w:rPr>
        <w:br/>
      </w:r>
      <w:r w:rsidRPr="00C00235">
        <w:rPr>
          <w:rFonts w:ascii="仿宋_GB2312" w:hAnsi="仿宋_GB2312" w:cs="仿宋_GB2312" w:hint="eastAsia"/>
          <w:bCs/>
          <w:sz w:val="28"/>
          <w:szCs w:val="28"/>
        </w:rPr>
        <w:t>平时表现30%，实习报告70%。总成绩按照优、良、中、及格和不及格等级来给定。</w:t>
      </w:r>
    </w:p>
    <w:p w:rsidR="00BE5664" w:rsidRDefault="00C00235" w:rsidP="00BE5664">
      <w:pPr>
        <w:spacing w:beforeLines="50" w:before="156" w:afterLines="50" w:after="156" w:line="460" w:lineRule="exact"/>
        <w:ind w:firstLineChars="147" w:firstLine="413"/>
        <w:rPr>
          <w:rFonts w:ascii="黑体" w:eastAsia="黑体" w:hAnsi="黑体"/>
          <w:b/>
          <w:sz w:val="28"/>
          <w:szCs w:val="28"/>
        </w:rPr>
      </w:pPr>
      <w:r>
        <w:rPr>
          <w:rFonts w:ascii="黑体" w:eastAsia="黑体" w:hAnsi="黑体" w:hint="eastAsia"/>
          <w:b/>
          <w:sz w:val="28"/>
          <w:szCs w:val="28"/>
        </w:rPr>
        <w:lastRenderedPageBreak/>
        <w:t>六</w:t>
      </w:r>
      <w:r w:rsidR="00BE5664">
        <w:rPr>
          <w:rFonts w:ascii="黑体" w:eastAsia="黑体" w:hAnsi="黑体" w:hint="eastAsia"/>
          <w:b/>
          <w:sz w:val="28"/>
          <w:szCs w:val="28"/>
        </w:rPr>
        <w:t>、课程建议教材及主要参考资料</w:t>
      </w:r>
    </w:p>
    <w:p w:rsidR="00BE5664" w:rsidRPr="00C00235" w:rsidRDefault="00BE5664" w:rsidP="00C00235">
      <w:pPr>
        <w:spacing w:line="360" w:lineRule="auto"/>
        <w:ind w:firstLine="331"/>
        <w:rPr>
          <w:rFonts w:ascii="仿宋_GB2312" w:hAnsi="仿宋_GB2312" w:cs="仿宋_GB2312"/>
          <w:b/>
          <w:bCs/>
          <w:sz w:val="28"/>
          <w:szCs w:val="28"/>
        </w:rPr>
      </w:pPr>
      <w:r w:rsidRPr="00C00235">
        <w:rPr>
          <w:rFonts w:ascii="仿宋_GB2312" w:hAnsi="仿宋_GB2312" w:cs="仿宋_GB2312" w:hint="eastAsia"/>
          <w:b/>
          <w:bCs/>
          <w:sz w:val="28"/>
          <w:szCs w:val="28"/>
        </w:rPr>
        <w:t>1.建议教材</w:t>
      </w:r>
    </w:p>
    <w:p w:rsidR="00BE5664" w:rsidRPr="00C00235" w:rsidRDefault="00BE5664" w:rsidP="00C00235">
      <w:pPr>
        <w:spacing w:line="360" w:lineRule="auto"/>
        <w:ind w:firstLine="331"/>
        <w:rPr>
          <w:rFonts w:ascii="仿宋_GB2312" w:hAnsi="仿宋_GB2312" w:cs="仿宋_GB2312"/>
          <w:bCs/>
          <w:sz w:val="28"/>
          <w:szCs w:val="28"/>
        </w:rPr>
      </w:pPr>
      <w:r w:rsidRPr="00C00235">
        <w:rPr>
          <w:rFonts w:ascii="仿宋_GB2312" w:hAnsi="仿宋_GB2312" w:cs="仿宋_GB2312" w:hint="eastAsia"/>
          <w:bCs/>
          <w:sz w:val="28"/>
          <w:szCs w:val="28"/>
        </w:rPr>
        <w:t>《BIM技术及工程应用》，冯小平主编，中国建筑工业出版社, 2017</w:t>
      </w:r>
    </w:p>
    <w:p w:rsidR="00BE5664" w:rsidRPr="00C00235" w:rsidRDefault="00BE5664" w:rsidP="00C00235">
      <w:pPr>
        <w:spacing w:line="360" w:lineRule="auto"/>
        <w:ind w:firstLine="331"/>
        <w:rPr>
          <w:rFonts w:ascii="仿宋_GB2312" w:hAnsi="仿宋_GB2312" w:cs="仿宋_GB2312"/>
          <w:b/>
          <w:bCs/>
          <w:sz w:val="28"/>
          <w:szCs w:val="28"/>
        </w:rPr>
      </w:pPr>
      <w:r w:rsidRPr="00C00235">
        <w:rPr>
          <w:rFonts w:ascii="仿宋_GB2312" w:hAnsi="仿宋_GB2312" w:cs="仿宋_GB2312" w:hint="eastAsia"/>
          <w:b/>
          <w:bCs/>
          <w:sz w:val="28"/>
          <w:szCs w:val="28"/>
        </w:rPr>
        <w:t>2.主要参考资料</w:t>
      </w:r>
    </w:p>
    <w:p w:rsidR="00BE5664" w:rsidRPr="00C00235" w:rsidRDefault="00BE5664" w:rsidP="00C00235">
      <w:pPr>
        <w:spacing w:line="360" w:lineRule="auto"/>
        <w:ind w:firstLine="331"/>
        <w:rPr>
          <w:rFonts w:ascii="仿宋_GB2312" w:hAnsi="仿宋_GB2312" w:cs="仿宋_GB2312"/>
          <w:bCs/>
          <w:sz w:val="28"/>
          <w:szCs w:val="28"/>
        </w:rPr>
      </w:pPr>
      <w:r w:rsidRPr="00C00235">
        <w:rPr>
          <w:rFonts w:ascii="仿宋_GB2312" w:hAnsi="仿宋_GB2312" w:cs="仿宋_GB2312" w:hint="eastAsia"/>
          <w:bCs/>
          <w:sz w:val="28"/>
          <w:szCs w:val="28"/>
        </w:rPr>
        <w:t xml:space="preserve">参考书：《土木建筑工程BIM技术-Revit建模与应用》，牛春来等主编，清华大学出版社，2020 </w:t>
      </w:r>
    </w:p>
    <w:p w:rsidR="00BE5664" w:rsidRPr="00C00235" w:rsidRDefault="00BE5664" w:rsidP="00C00235">
      <w:pPr>
        <w:spacing w:line="360" w:lineRule="auto"/>
        <w:ind w:firstLine="331"/>
        <w:rPr>
          <w:rFonts w:ascii="仿宋_GB2312" w:hAnsi="仿宋_GB2312" w:cs="仿宋_GB2312"/>
          <w:bCs/>
          <w:sz w:val="28"/>
          <w:szCs w:val="28"/>
        </w:rPr>
      </w:pPr>
      <w:r w:rsidRPr="00C00235">
        <w:rPr>
          <w:rFonts w:ascii="仿宋_GB2312" w:hAnsi="仿宋_GB2312" w:cs="仿宋_GB2312" w:hint="eastAsia"/>
          <w:bCs/>
          <w:sz w:val="28"/>
          <w:szCs w:val="28"/>
        </w:rPr>
        <w:t xml:space="preserve">       《BIM案例分析》，刘占省主编，机械工业出版社，2019</w:t>
      </w:r>
    </w:p>
    <w:p w:rsidR="00BE5664" w:rsidRDefault="00BE5664" w:rsidP="00BE5664">
      <w:pPr>
        <w:spacing w:beforeLines="50" w:before="156" w:afterLines="50" w:after="156" w:line="460" w:lineRule="exact"/>
        <w:rPr>
          <w:rFonts w:ascii="黑体" w:eastAsia="黑体" w:hAnsi="黑体"/>
          <w:b/>
          <w:sz w:val="28"/>
          <w:szCs w:val="28"/>
        </w:rPr>
      </w:pPr>
    </w:p>
    <w:p w:rsidR="00BE5664" w:rsidRDefault="00BE5664" w:rsidP="00BE5664">
      <w:pPr>
        <w:spacing w:beforeLines="50" w:before="156" w:afterLines="50" w:after="156" w:line="460" w:lineRule="exact"/>
        <w:rPr>
          <w:rFonts w:ascii="黑体" w:eastAsia="黑体" w:hAnsi="黑体"/>
          <w:b/>
          <w:sz w:val="28"/>
          <w:szCs w:val="28"/>
        </w:rPr>
      </w:pPr>
    </w:p>
    <w:p w:rsidR="00BE5664" w:rsidRDefault="00BE5664" w:rsidP="00BE5664">
      <w:pPr>
        <w:ind w:firstLineChars="1200" w:firstLine="3360"/>
        <w:rPr>
          <w:rFonts w:ascii="仿宋" w:eastAsia="仿宋" w:hAnsi="仿宋"/>
          <w:sz w:val="28"/>
          <w:szCs w:val="28"/>
        </w:rPr>
      </w:pPr>
      <w:r>
        <w:rPr>
          <w:rFonts w:ascii="仿宋" w:eastAsia="仿宋" w:hAnsi="仿宋" w:hint="eastAsia"/>
          <w:sz w:val="28"/>
          <w:szCs w:val="28"/>
        </w:rPr>
        <w:t>大纲撰写人：秦朝刚</w:t>
      </w:r>
    </w:p>
    <w:p w:rsidR="00BE5664" w:rsidRDefault="00BE5664" w:rsidP="00BE5664">
      <w:pPr>
        <w:ind w:firstLineChars="1200" w:firstLine="3360"/>
        <w:rPr>
          <w:rFonts w:ascii="仿宋" w:eastAsia="仿宋" w:hAnsi="仿宋"/>
          <w:sz w:val="28"/>
          <w:szCs w:val="28"/>
        </w:rPr>
      </w:pPr>
      <w:r>
        <w:rPr>
          <w:rFonts w:ascii="仿宋" w:eastAsia="仿宋" w:hAnsi="仿宋" w:hint="eastAsia"/>
          <w:sz w:val="28"/>
          <w:szCs w:val="28"/>
        </w:rPr>
        <w:t>课程负责人：秦朝刚</w:t>
      </w:r>
    </w:p>
    <w:p w:rsidR="00BE5664" w:rsidRDefault="00BE5664" w:rsidP="00BE5664">
      <w:pPr>
        <w:ind w:firstLineChars="1200" w:firstLine="3360"/>
        <w:rPr>
          <w:rFonts w:ascii="仿宋" w:eastAsia="仿宋" w:hAnsi="仿宋"/>
          <w:sz w:val="28"/>
          <w:szCs w:val="28"/>
        </w:rPr>
      </w:pPr>
      <w:r>
        <w:rPr>
          <w:rFonts w:ascii="仿宋" w:eastAsia="仿宋" w:hAnsi="仿宋" w:hint="eastAsia"/>
          <w:sz w:val="28"/>
          <w:szCs w:val="28"/>
        </w:rPr>
        <w:t>审核人：袁春燕</w:t>
      </w:r>
    </w:p>
    <w:p w:rsidR="00BE5664" w:rsidRDefault="00BE5664" w:rsidP="00BE5664">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BE5664" w:rsidRDefault="00BE5664" w:rsidP="00BE5664">
      <w:pPr>
        <w:ind w:firstLineChars="2000" w:firstLine="5600"/>
        <w:jc w:val="left"/>
        <w:rPr>
          <w:rFonts w:ascii="仿宋" w:hAnsi="仿宋"/>
          <w:sz w:val="28"/>
          <w:szCs w:val="28"/>
        </w:rPr>
      </w:pPr>
      <w:r>
        <w:rPr>
          <w:rFonts w:ascii="仿宋_GB2312" w:hAnsi="微软雅黑" w:hint="eastAsia"/>
          <w:sz w:val="28"/>
          <w:szCs w:val="28"/>
        </w:rPr>
        <w:t xml:space="preserve">    </w:t>
      </w:r>
    </w:p>
    <w:p w:rsidR="00BE5664" w:rsidRDefault="00BE5664" w:rsidP="00BE5664">
      <w:pPr>
        <w:jc w:val="left"/>
        <w:rPr>
          <w:rFonts w:ascii="仿宋" w:eastAsia="仿宋" w:hAnsi="仿宋"/>
          <w:szCs w:val="32"/>
        </w:rPr>
      </w:pPr>
      <w:r>
        <w:rPr>
          <w:rFonts w:ascii="仿宋" w:eastAsia="仿宋" w:hAnsi="仿宋" w:hint="eastAsia"/>
          <w:sz w:val="28"/>
          <w:szCs w:val="28"/>
        </w:rPr>
        <w:t xml:space="preserve">                                         2021年4月</w:t>
      </w:r>
    </w:p>
    <w:p w:rsidR="00BE5664" w:rsidRDefault="00BE5664" w:rsidP="00BE5664">
      <w:pPr>
        <w:jc w:val="left"/>
        <w:rPr>
          <w:rFonts w:ascii="仿宋_GB2312" w:hAnsi="黑体"/>
          <w:sz w:val="28"/>
          <w:szCs w:val="28"/>
        </w:rPr>
      </w:pPr>
    </w:p>
    <w:p w:rsidR="00BE5664" w:rsidRDefault="00BE5664" w:rsidP="00BE5664">
      <w:pPr>
        <w:widowControl/>
        <w:spacing w:line="400" w:lineRule="exact"/>
        <w:rPr>
          <w:rFonts w:ascii="黑体" w:eastAsia="黑体" w:hAnsi="黑体" w:cs="宋体"/>
          <w:bCs/>
          <w:color w:val="000000"/>
          <w:kern w:val="0"/>
          <w:szCs w:val="32"/>
        </w:rPr>
      </w:pPr>
    </w:p>
    <w:p w:rsidR="00BE5664" w:rsidRDefault="00BE5664" w:rsidP="00BE5664"/>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jc w:val="center"/>
        <w:rPr>
          <w:rFonts w:ascii="Times New Roman" w:eastAsia="仿宋" w:hAnsi="Times New Roman"/>
          <w:sz w:val="28"/>
          <w:szCs w:val="28"/>
        </w:rPr>
      </w:pPr>
    </w:p>
    <w:p w:rsidR="00BE5664" w:rsidRDefault="00BE5664" w:rsidP="00BE5664">
      <w:pPr>
        <w:widowControl/>
        <w:spacing w:line="360" w:lineRule="auto"/>
        <w:jc w:val="center"/>
        <w:rPr>
          <w:rFonts w:ascii="黑体" w:eastAsia="黑体" w:hAnsi="黑体"/>
          <w:b/>
          <w:kern w:val="0"/>
          <w:szCs w:val="28"/>
        </w:rPr>
      </w:pPr>
      <w:r>
        <w:rPr>
          <w:rFonts w:ascii="黑体" w:eastAsia="黑体" w:hAnsi="黑体"/>
          <w:b/>
          <w:kern w:val="0"/>
          <w:szCs w:val="28"/>
        </w:rPr>
        <w:lastRenderedPageBreak/>
        <w:t>《</w:t>
      </w:r>
      <w:r>
        <w:rPr>
          <w:rFonts w:ascii="黑体" w:eastAsia="黑体" w:hAnsi="黑体" w:hint="eastAsia"/>
          <w:b/>
          <w:kern w:val="0"/>
          <w:szCs w:val="28"/>
        </w:rPr>
        <w:t>土木工程施工技术与组织</w:t>
      </w:r>
      <w:r>
        <w:rPr>
          <w:rFonts w:ascii="黑体" w:eastAsia="黑体" w:hAnsi="黑体"/>
          <w:b/>
          <w:kern w:val="0"/>
          <w:szCs w:val="28"/>
        </w:rPr>
        <w:t>》课程教学大纲</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一、课程信息</w:t>
      </w:r>
    </w:p>
    <w:p w:rsidR="00BE5664" w:rsidRDefault="00BE5664" w:rsidP="00BE5664">
      <w:pPr>
        <w:autoSpaceDE w:val="0"/>
        <w:autoSpaceDN w:val="0"/>
        <w:adjustRightInd w:val="0"/>
        <w:spacing w:line="340" w:lineRule="exact"/>
        <w:ind w:firstLineChars="200" w:firstLine="562"/>
        <w:jc w:val="left"/>
        <w:rPr>
          <w:rFonts w:ascii="仿宋_GB2312" w:hAnsi="Times New Roman"/>
          <w:sz w:val="28"/>
          <w:szCs w:val="21"/>
        </w:rPr>
      </w:pPr>
      <w:r>
        <w:rPr>
          <w:rFonts w:ascii="仿宋_GB2312" w:hAnsi="Times New Roman" w:hint="eastAsia"/>
          <w:b/>
          <w:sz w:val="28"/>
          <w:szCs w:val="21"/>
        </w:rPr>
        <w:t>英文名称：</w:t>
      </w:r>
      <w:r>
        <w:rPr>
          <w:rFonts w:ascii="仿宋_GB2312" w:hAnsi="Times New Roman"/>
          <w:sz w:val="28"/>
          <w:szCs w:val="21"/>
        </w:rPr>
        <w:t xml:space="preserve">Construction </w:t>
      </w:r>
      <w:r>
        <w:rPr>
          <w:rFonts w:ascii="仿宋_GB2312" w:hAnsi="Times New Roman" w:hint="eastAsia"/>
          <w:sz w:val="28"/>
          <w:szCs w:val="21"/>
        </w:rPr>
        <w:t>T</w:t>
      </w:r>
      <w:r>
        <w:rPr>
          <w:rFonts w:ascii="仿宋_GB2312" w:hAnsi="Times New Roman"/>
          <w:sz w:val="28"/>
          <w:szCs w:val="21"/>
        </w:rPr>
        <w:t>echnology</w:t>
      </w:r>
      <w:r>
        <w:rPr>
          <w:rFonts w:ascii="仿宋_GB2312" w:hAnsi="Times New Roman" w:hint="eastAsia"/>
          <w:sz w:val="28"/>
          <w:szCs w:val="21"/>
        </w:rPr>
        <w:t xml:space="preserve"> and </w:t>
      </w:r>
      <w:r>
        <w:rPr>
          <w:rFonts w:ascii="仿宋_GB2312" w:hAnsi="Times New Roman"/>
          <w:sz w:val="28"/>
          <w:szCs w:val="21"/>
        </w:rPr>
        <w:t>Management of Civil Engineering</w:t>
      </w:r>
    </w:p>
    <w:p w:rsidR="00BE5664" w:rsidRDefault="00BE5664" w:rsidP="00BE5664">
      <w:pPr>
        <w:spacing w:line="360" w:lineRule="auto"/>
        <w:ind w:firstLineChars="200" w:firstLine="562"/>
        <w:jc w:val="left"/>
        <w:rPr>
          <w:rFonts w:ascii="仿宋_GB2312" w:hAnsi="Times New Roman"/>
          <w:b/>
          <w:sz w:val="28"/>
          <w:szCs w:val="21"/>
        </w:rPr>
      </w:pPr>
      <w:r>
        <w:rPr>
          <w:rFonts w:ascii="仿宋_GB2312" w:hAnsi="Times New Roman" w:hint="eastAsia"/>
          <w:b/>
          <w:sz w:val="28"/>
          <w:szCs w:val="21"/>
        </w:rPr>
        <w:t>课程编码：</w:t>
      </w:r>
      <w:r>
        <w:rPr>
          <w:rFonts w:ascii="仿宋_GB2312" w:hAnsi="Times New Roman"/>
          <w:sz w:val="28"/>
          <w:szCs w:val="21"/>
        </w:rPr>
        <w:t>Z2805220</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授课语言：</w:t>
      </w:r>
      <w:r>
        <w:rPr>
          <w:rFonts w:ascii="仿宋_GB2312" w:hAnsi="Times New Roman" w:hint="eastAsia"/>
          <w:sz w:val="28"/>
          <w:szCs w:val="21"/>
        </w:rPr>
        <w:t>汉语</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授课方式：</w:t>
      </w:r>
      <w:r>
        <w:rPr>
          <w:rFonts w:ascii="仿宋_GB2312" w:hAnsi="Times New Roman" w:hint="eastAsia"/>
          <w:sz w:val="28"/>
          <w:szCs w:val="21"/>
        </w:rPr>
        <w:t>线下</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课程类别：</w:t>
      </w:r>
      <w:r>
        <w:rPr>
          <w:rFonts w:ascii="仿宋_GB2312" w:hAnsi="Times New Roman" w:hint="eastAsia"/>
          <w:sz w:val="28"/>
          <w:szCs w:val="21"/>
        </w:rPr>
        <w:t>专业发展</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课程性质：</w:t>
      </w:r>
      <w:r>
        <w:rPr>
          <w:rFonts w:ascii="仿宋_GB2312" w:hAnsi="Times New Roman" w:hint="eastAsia"/>
          <w:sz w:val="28"/>
          <w:szCs w:val="21"/>
        </w:rPr>
        <w:t>必修</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学分：</w:t>
      </w:r>
      <w:r>
        <w:rPr>
          <w:rFonts w:ascii="仿宋_GB2312" w:hAnsi="Times New Roman" w:hint="eastAsia"/>
          <w:sz w:val="28"/>
          <w:szCs w:val="21"/>
        </w:rPr>
        <w:t>3.0</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学时：</w:t>
      </w:r>
      <w:r>
        <w:rPr>
          <w:rFonts w:ascii="仿宋_GB2312" w:hAnsi="Times New Roman" w:hint="eastAsia"/>
          <w:sz w:val="28"/>
          <w:szCs w:val="21"/>
        </w:rPr>
        <w:t>48学时（授课48学时，实验0学时，上机0学时，课外0学时）</w:t>
      </w:r>
    </w:p>
    <w:p w:rsidR="00BE5664" w:rsidRDefault="00BE5664" w:rsidP="00BE5664">
      <w:pPr>
        <w:spacing w:line="360" w:lineRule="auto"/>
        <w:ind w:firstLineChars="200" w:firstLine="562"/>
        <w:rPr>
          <w:rFonts w:ascii="仿宋_GB2312" w:hAnsi="Times New Roman"/>
          <w:b/>
          <w:sz w:val="28"/>
          <w:szCs w:val="21"/>
        </w:rPr>
      </w:pPr>
      <w:r>
        <w:rPr>
          <w:rFonts w:ascii="仿宋_GB2312" w:hAnsi="Times New Roman" w:hint="eastAsia"/>
          <w:b/>
          <w:sz w:val="28"/>
          <w:szCs w:val="21"/>
        </w:rPr>
        <w:t>适用对象：</w:t>
      </w:r>
      <w:r>
        <w:rPr>
          <w:rFonts w:ascii="仿宋_GB2312" w:hAnsi="Times New Roman" w:hint="eastAsia"/>
          <w:sz w:val="28"/>
          <w:szCs w:val="21"/>
        </w:rPr>
        <w:t>土木工程专业城市地下空间工程方向</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先修课程：</w:t>
      </w:r>
      <w:r>
        <w:rPr>
          <w:rFonts w:ascii="仿宋_GB2312" w:hAnsi="Times New Roman" w:hint="eastAsia"/>
          <w:sz w:val="28"/>
          <w:szCs w:val="21"/>
        </w:rPr>
        <w:t>结构力学、混凝土结构基本理论、基础工程</w:t>
      </w:r>
    </w:p>
    <w:p w:rsidR="00BE5664" w:rsidRDefault="00BE5664" w:rsidP="00BE5664">
      <w:pPr>
        <w:spacing w:line="360" w:lineRule="auto"/>
        <w:ind w:firstLineChars="200" w:firstLine="562"/>
        <w:rPr>
          <w:rFonts w:ascii="仿宋_GB2312" w:hAnsi="Times New Roman"/>
          <w:sz w:val="28"/>
          <w:szCs w:val="21"/>
        </w:rPr>
      </w:pPr>
      <w:r>
        <w:rPr>
          <w:rFonts w:ascii="仿宋_GB2312" w:hAnsi="Times New Roman" w:hint="eastAsia"/>
          <w:b/>
          <w:sz w:val="28"/>
          <w:szCs w:val="21"/>
        </w:rPr>
        <w:t>开课院系：</w:t>
      </w:r>
      <w:r>
        <w:rPr>
          <w:rFonts w:ascii="仿宋_GB2312" w:hAnsi="Times New Roman" w:hint="eastAsia"/>
          <w:sz w:val="28"/>
          <w:szCs w:val="21"/>
        </w:rPr>
        <w:t>建筑工程学院工程造价与施工教研室</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二、课程简介</w:t>
      </w:r>
    </w:p>
    <w:p w:rsidR="00BE5664" w:rsidRDefault="00BE5664" w:rsidP="00BE5664">
      <w:pPr>
        <w:spacing w:line="360" w:lineRule="auto"/>
        <w:ind w:firstLineChars="200" w:firstLine="560"/>
        <w:rPr>
          <w:rFonts w:ascii="仿宋_GB2312" w:hAnsi="宋体"/>
          <w:sz w:val="28"/>
          <w:szCs w:val="21"/>
        </w:rPr>
      </w:pPr>
      <w:r>
        <w:rPr>
          <w:rFonts w:ascii="仿宋_GB2312" w:hAnsi="宋体" w:hint="eastAsia"/>
          <w:sz w:val="28"/>
          <w:szCs w:val="21"/>
        </w:rPr>
        <w:t>《土木工程施工技术与组织》是土木工程专业城市地下空间方向一门主要的专业发展课程。通过本课程的学习，使学生掌握土方工程、深基础工程、砌筑工程、钢筋混凝土工程、预应力混凝土工程、脚手架工程、垂直运输设备、结构安装工程方面的施工方法、工艺原理、质量问题及解决措施，以及施工组织管理方面的科学方法，能用所学知识编制一般土木工程施工技术方案和施工组织设计文件。</w:t>
      </w:r>
    </w:p>
    <w:p w:rsidR="00BE5664" w:rsidRDefault="00BE5664" w:rsidP="00BE5664">
      <w:pPr>
        <w:spacing w:line="360" w:lineRule="auto"/>
        <w:ind w:firstLineChars="200" w:firstLine="560"/>
        <w:rPr>
          <w:rFonts w:ascii="仿宋_GB2312" w:hAnsi="宋体"/>
          <w:sz w:val="28"/>
          <w:szCs w:val="21"/>
        </w:rPr>
      </w:pPr>
      <w:r>
        <w:rPr>
          <w:rFonts w:ascii="仿宋_GB2312" w:hAnsi="宋体" w:hint="eastAsia"/>
          <w:sz w:val="28"/>
          <w:szCs w:val="21"/>
        </w:rPr>
        <w:t>本课程使用多媒体教学，生动、形象地展示课程内容，辅以课后</w:t>
      </w:r>
      <w:r>
        <w:rPr>
          <w:rFonts w:ascii="仿宋_GB2312" w:hAnsi="宋体" w:hint="eastAsia"/>
          <w:sz w:val="28"/>
          <w:szCs w:val="21"/>
        </w:rPr>
        <w:lastRenderedPageBreak/>
        <w:t>答疑，引导学生将所学专业知识与实际工程相结合，培养学生解决工程实际问题的能力。</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三、课程任务、目的与要求</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1.课程任务与目的</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课程的任务是探索土木工程施工技术和施工组织的一般理论和规律；研究各工种工程施工工艺过程、方法和基本原理；寻求科学的工程项目施工组织。</w:t>
      </w:r>
    </w:p>
    <w:p w:rsidR="00BE5664" w:rsidRDefault="00BE5664" w:rsidP="00BE5664">
      <w:pPr>
        <w:spacing w:line="360" w:lineRule="auto"/>
        <w:ind w:firstLineChars="200" w:firstLine="560"/>
        <w:rPr>
          <w:rFonts w:ascii="仿宋_GB2312" w:hAnsi="Times New Roman"/>
          <w:sz w:val="28"/>
          <w:szCs w:val="24"/>
        </w:rPr>
      </w:pPr>
      <w:r>
        <w:rPr>
          <w:rFonts w:ascii="仿宋_GB2312" w:hAnsi="Times New Roman" w:hint="eastAsia"/>
          <w:sz w:val="28"/>
          <w:szCs w:val="21"/>
        </w:rPr>
        <w:t>课程的目的是通过本课程的学习，使学生掌握土木工程施工的基本知识、基本理论和决策方法，并具有理论联系实际、解决土木工程施工技术和组织管理问题的初步能力，为毕业后从事土木工程设计、施工和管理等工作奠定基础。掌握土木工程各主要工种工程的施工工艺和方法；掌握科学组织施工的基本原理和方法；能用所学知识编制一般土木工程施工技术方案和施工组织设计文件。了解近年来我国在土木工程施工领域取得的巨大成就，</w:t>
      </w:r>
      <w:r>
        <w:rPr>
          <w:rFonts w:ascii="仿宋_GB2312" w:hAnsi="Times New Roman" w:hint="eastAsia"/>
          <w:sz w:val="28"/>
          <w:szCs w:val="24"/>
        </w:rPr>
        <w:t>竖立民族自信，激发学生的家国情怀，培养学生理解并遵守土木工程职业道德和行为规范，做到责任担当、贡献国家、服务社会。</w:t>
      </w:r>
    </w:p>
    <w:p w:rsidR="00BE5664" w:rsidRDefault="00BE5664" w:rsidP="00BE5664">
      <w:pPr>
        <w:spacing w:line="360" w:lineRule="auto"/>
        <w:ind w:firstLineChars="200" w:firstLine="560"/>
        <w:rPr>
          <w:rFonts w:ascii="仿宋_GB2312" w:hAnsi="Times New Roman"/>
          <w:sz w:val="28"/>
          <w:szCs w:val="21"/>
        </w:rPr>
      </w:pP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2.课程基本要求</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（1）课程目标</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通过本课程的学习，学生应具备以下几方面的能力：</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①了解土木工程施工的概念、内容、发展概况，掌握土木工程施工技术的基本知识、基本理论，</w:t>
      </w:r>
      <w:r>
        <w:rPr>
          <w:rFonts w:ascii="仿宋_GB2312" w:hAnsi="Times New Roman"/>
          <w:sz w:val="28"/>
          <w:szCs w:val="21"/>
        </w:rPr>
        <w:t>教育引导学生</w:t>
      </w:r>
      <w:r>
        <w:rPr>
          <w:rFonts w:ascii="仿宋_GB2312" w:hAnsi="Times New Roman" w:hint="eastAsia"/>
          <w:sz w:val="28"/>
          <w:szCs w:val="21"/>
        </w:rPr>
        <w:t>理论联系实际，</w:t>
      </w:r>
      <w:r>
        <w:rPr>
          <w:rFonts w:ascii="仿宋_GB2312" w:hAnsi="Times New Roman"/>
          <w:sz w:val="28"/>
          <w:szCs w:val="21"/>
        </w:rPr>
        <w:t>并自觉</w:t>
      </w:r>
      <w:r>
        <w:rPr>
          <w:rFonts w:ascii="仿宋_GB2312" w:hAnsi="Times New Roman"/>
          <w:sz w:val="28"/>
          <w:szCs w:val="21"/>
        </w:rPr>
        <w:lastRenderedPageBreak/>
        <w:t>实践</w:t>
      </w:r>
      <w:r>
        <w:rPr>
          <w:rFonts w:ascii="仿宋_GB2312" w:hAnsi="Times New Roman" w:hint="eastAsia"/>
          <w:sz w:val="28"/>
          <w:szCs w:val="21"/>
        </w:rPr>
        <w:t>土木工程施工</w:t>
      </w:r>
      <w:r>
        <w:rPr>
          <w:rFonts w:ascii="仿宋_GB2312" w:hAnsi="Times New Roman"/>
          <w:sz w:val="28"/>
          <w:szCs w:val="21"/>
        </w:rPr>
        <w:t>领域的职业精神和职业规范</w:t>
      </w:r>
      <w:r>
        <w:rPr>
          <w:rFonts w:ascii="仿宋_GB2312" w:hAnsi="Times New Roman" w:hint="eastAsia"/>
          <w:sz w:val="28"/>
          <w:szCs w:val="21"/>
        </w:rPr>
        <w:t>；</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②掌握土木工程各主要工种工程的施工工艺和方法，能用所学知识编制一般土木工程施工技术方案。培养学生的大国工匠精神，激发学生的家国情怀；</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③了解土木工程施工组织的概念、任务、对象及目的，掌握土木工程施工组织的基本知识、基本理论和决策方法，形成解决土木工程施工组织计划问题的初步能力，培养学生以实事求是的科学态度分析问题和解决问题，</w:t>
      </w:r>
      <w:r>
        <w:rPr>
          <w:rFonts w:ascii="仿宋_GB2312" w:hAnsi="Times New Roman"/>
          <w:sz w:val="28"/>
          <w:szCs w:val="21"/>
        </w:rPr>
        <w:t>增强学生的土木工程师职业责任感</w:t>
      </w:r>
      <w:r>
        <w:rPr>
          <w:rFonts w:ascii="仿宋_GB2312" w:hAnsi="Times New Roman" w:hint="eastAsia"/>
          <w:sz w:val="28"/>
          <w:szCs w:val="21"/>
        </w:rPr>
        <w:t>。</w:t>
      </w:r>
    </w:p>
    <w:p w:rsidR="00BE5664" w:rsidRDefault="00BE5664" w:rsidP="00BE5664">
      <w:pPr>
        <w:spacing w:line="360" w:lineRule="auto"/>
        <w:ind w:firstLineChars="200" w:firstLine="560"/>
        <w:rPr>
          <w:rFonts w:ascii="仿宋_GB2312" w:hAnsi="Times New Roman"/>
          <w:sz w:val="28"/>
          <w:szCs w:val="21"/>
        </w:rPr>
      </w:pPr>
    </w:p>
    <w:p w:rsidR="00BE5664" w:rsidRDefault="00BE5664" w:rsidP="00BE5664">
      <w:pPr>
        <w:spacing w:line="360" w:lineRule="auto"/>
        <w:ind w:firstLineChars="302" w:firstLine="606"/>
        <w:jc w:val="center"/>
        <w:rPr>
          <w:rFonts w:ascii="仿宋_GB2312" w:hAnsi="Times New Roman"/>
          <w:b/>
          <w:sz w:val="20"/>
          <w:szCs w:val="20"/>
        </w:rPr>
      </w:pPr>
      <w:r>
        <w:rPr>
          <w:rFonts w:ascii="仿宋_GB2312" w:hAnsi="Times New Roman" w:hint="eastAsia"/>
          <w:b/>
          <w:sz w:val="20"/>
          <w:szCs w:val="20"/>
        </w:rPr>
        <w:t xml:space="preserve">表1  </w:t>
      </w:r>
      <w:r>
        <w:rPr>
          <w:rFonts w:ascii="仿宋_GB2312" w:hAnsi="Times New Roman" w:hint="eastAsia"/>
          <w:bCs/>
          <w:sz w:val="20"/>
          <w:szCs w:val="20"/>
        </w:rPr>
        <w:t>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5848"/>
        <w:gridCol w:w="1073"/>
      </w:tblGrid>
      <w:tr w:rsidR="00BE5664" w:rsidTr="00BE5664">
        <w:trPr>
          <w:trHeight w:val="560"/>
          <w:jc w:val="center"/>
        </w:trPr>
        <w:tc>
          <w:tcPr>
            <w:tcW w:w="1470"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毕业要求标准</w:t>
            </w:r>
          </w:p>
        </w:tc>
        <w:tc>
          <w:tcPr>
            <w:tcW w:w="6379"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ind w:firstLineChars="302" w:firstLine="604"/>
              <w:jc w:val="center"/>
              <w:rPr>
                <w:rFonts w:ascii="仿宋_GB2312" w:hAnsi="Times New Roman"/>
                <w:bCs/>
                <w:sz w:val="20"/>
                <w:szCs w:val="20"/>
              </w:rPr>
            </w:pPr>
            <w:r>
              <w:rPr>
                <w:rFonts w:ascii="仿宋_GB2312" w:hAnsi="Times New Roman" w:hint="eastAsia"/>
                <w:bCs/>
                <w:sz w:val="20"/>
                <w:szCs w:val="20"/>
              </w:rPr>
              <w:t>指标点</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课程目标</w:t>
            </w:r>
          </w:p>
        </w:tc>
      </w:tr>
      <w:tr w:rsidR="00BE5664" w:rsidTr="00BE5664">
        <w:trPr>
          <w:trHeight w:val="560"/>
          <w:jc w:val="center"/>
        </w:trPr>
        <w:tc>
          <w:tcPr>
            <w:tcW w:w="1470" w:type="dxa"/>
            <w:tcBorders>
              <w:top w:val="single" w:sz="4" w:space="0" w:color="auto"/>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1工程知识</w:t>
            </w:r>
          </w:p>
        </w:tc>
        <w:tc>
          <w:tcPr>
            <w:tcW w:w="6379" w:type="dxa"/>
            <w:tcBorders>
              <w:top w:val="single" w:sz="4" w:space="0" w:color="auto"/>
              <w:left w:val="single" w:sz="4" w:space="0" w:color="auto"/>
              <w:right w:val="single" w:sz="4" w:space="0" w:color="auto"/>
            </w:tcBorders>
            <w:vAlign w:val="center"/>
          </w:tcPr>
          <w:p w:rsidR="00BE5664" w:rsidRDefault="00BE5664" w:rsidP="00BE5664">
            <w:pPr>
              <w:rPr>
                <w:rFonts w:ascii="仿宋_GB2312" w:hAnsi="Times New Roman"/>
                <w:bCs/>
                <w:sz w:val="20"/>
                <w:szCs w:val="20"/>
              </w:rPr>
            </w:pPr>
            <w:r>
              <w:rPr>
                <w:rFonts w:ascii="仿宋_GB2312" w:hAnsi="Times New Roman" w:hint="eastAsia"/>
                <w:bCs/>
                <w:sz w:val="20"/>
                <w:szCs w:val="20"/>
              </w:rPr>
              <w:t>1.4掌握土木工程专业知识，具备知识交叉融合能力，应用于解决土木工程专业复杂工程问题。</w:t>
            </w:r>
          </w:p>
        </w:tc>
        <w:tc>
          <w:tcPr>
            <w:tcW w:w="1134" w:type="dxa"/>
            <w:tcBorders>
              <w:top w:val="single" w:sz="4" w:space="0" w:color="auto"/>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1、2、3</w:t>
            </w:r>
          </w:p>
        </w:tc>
      </w:tr>
      <w:tr w:rsidR="00BE5664" w:rsidTr="00BE5664">
        <w:trPr>
          <w:trHeight w:val="560"/>
          <w:jc w:val="center"/>
        </w:trPr>
        <w:tc>
          <w:tcPr>
            <w:tcW w:w="1470" w:type="dxa"/>
            <w:tcBorders>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2问题分析</w:t>
            </w:r>
          </w:p>
        </w:tc>
        <w:tc>
          <w:tcPr>
            <w:tcW w:w="6379"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rPr>
                <w:rFonts w:ascii="仿宋_GB2312" w:hAnsi="Times New Roman"/>
                <w:bCs/>
                <w:sz w:val="20"/>
                <w:szCs w:val="20"/>
              </w:rPr>
            </w:pPr>
            <w:r>
              <w:rPr>
                <w:rFonts w:ascii="仿宋_GB2312" w:hAnsi="Times New Roman" w:hint="eastAsia"/>
                <w:bCs/>
                <w:sz w:val="20"/>
                <w:szCs w:val="20"/>
              </w:rPr>
              <w:t>2.3 能够正确、合理运用专业知识，识别、判断和表达土木工程专业复杂工程问题的本质特征、关键环节，并能提供多种解决方案。</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2、3</w:t>
            </w:r>
          </w:p>
        </w:tc>
      </w:tr>
      <w:tr w:rsidR="00BE5664" w:rsidTr="00BE5664">
        <w:trPr>
          <w:trHeight w:val="560"/>
          <w:jc w:val="center"/>
        </w:trPr>
        <w:tc>
          <w:tcPr>
            <w:tcW w:w="1470" w:type="dxa"/>
            <w:tcBorders>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3.设计能力</w:t>
            </w:r>
          </w:p>
        </w:tc>
        <w:tc>
          <w:tcPr>
            <w:tcW w:w="6379" w:type="dxa"/>
            <w:vAlign w:val="center"/>
          </w:tcPr>
          <w:p w:rsidR="00BE5664" w:rsidRDefault="00BE5664" w:rsidP="00BE5664">
            <w:pPr>
              <w:rPr>
                <w:rFonts w:ascii="仿宋_GB2312" w:hAnsi="Times New Roman"/>
                <w:bCs/>
                <w:sz w:val="20"/>
                <w:szCs w:val="20"/>
              </w:rPr>
            </w:pPr>
            <w:r>
              <w:rPr>
                <w:rFonts w:ascii="仿宋_GB2312" w:hAnsi="Times New Roman" w:hint="eastAsia"/>
                <w:bCs/>
                <w:sz w:val="20"/>
                <w:szCs w:val="20"/>
              </w:rPr>
              <w:t>3.3 能够进行施工方案、工艺流程等系统分析和优化设计，并体现创新意识。</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2、3</w:t>
            </w:r>
          </w:p>
        </w:tc>
      </w:tr>
      <w:tr w:rsidR="00BE5664" w:rsidTr="00BE5664">
        <w:trPr>
          <w:trHeight w:val="560"/>
          <w:jc w:val="center"/>
        </w:trPr>
        <w:tc>
          <w:tcPr>
            <w:tcW w:w="1470" w:type="dxa"/>
            <w:tcBorders>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5.现代工具使用能力</w:t>
            </w:r>
          </w:p>
        </w:tc>
        <w:tc>
          <w:tcPr>
            <w:tcW w:w="6379" w:type="dxa"/>
            <w:vAlign w:val="center"/>
          </w:tcPr>
          <w:p w:rsidR="00BE5664" w:rsidRDefault="00BE5664" w:rsidP="00BE5664">
            <w:pPr>
              <w:rPr>
                <w:rFonts w:ascii="仿宋_GB2312" w:hAnsi="Times New Roman"/>
                <w:bCs/>
                <w:sz w:val="20"/>
                <w:szCs w:val="20"/>
              </w:rPr>
            </w:pPr>
            <w:r>
              <w:rPr>
                <w:rFonts w:ascii="仿宋_GB2312" w:hAnsi="Times New Roman" w:hint="eastAsia"/>
                <w:bCs/>
                <w:sz w:val="20"/>
                <w:szCs w:val="20"/>
              </w:rPr>
              <w:t>5.3能够开发、选用恰当的现代工具，对土木工程专业特定复杂工程问题进行预测和模拟，并能够分析其局限性。</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2、3</w:t>
            </w:r>
          </w:p>
        </w:tc>
      </w:tr>
      <w:tr w:rsidR="00BE5664" w:rsidTr="00BE5664">
        <w:trPr>
          <w:trHeight w:val="560"/>
          <w:jc w:val="center"/>
        </w:trPr>
        <w:tc>
          <w:tcPr>
            <w:tcW w:w="1470" w:type="dxa"/>
            <w:tcBorders>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6.工程评价能力</w:t>
            </w:r>
          </w:p>
        </w:tc>
        <w:tc>
          <w:tcPr>
            <w:tcW w:w="6379" w:type="dxa"/>
            <w:vAlign w:val="center"/>
          </w:tcPr>
          <w:p w:rsidR="00BE5664" w:rsidRDefault="00BE5664" w:rsidP="00BE5664">
            <w:pPr>
              <w:rPr>
                <w:rFonts w:ascii="仿宋_GB2312" w:hAnsi="Times New Roman"/>
                <w:bCs/>
                <w:sz w:val="20"/>
                <w:szCs w:val="20"/>
              </w:rPr>
            </w:pPr>
            <w:r>
              <w:rPr>
                <w:rFonts w:ascii="仿宋_GB2312" w:hAnsi="Times New Roman" w:hint="eastAsia"/>
                <w:bCs/>
                <w:sz w:val="20"/>
                <w:szCs w:val="20"/>
              </w:rPr>
              <w:t>6.2能够分析并合理评价土木工程专业工程实践和复杂工程问题的解决方案对社会、健康、安全、法律以及文化的影响，以及这些制约因素对项目实施的影响，并理解土木工程师应承担的社会责任。</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1、2、3</w:t>
            </w:r>
          </w:p>
        </w:tc>
      </w:tr>
      <w:tr w:rsidR="00BE5664" w:rsidTr="00BE5664">
        <w:trPr>
          <w:trHeight w:val="560"/>
          <w:jc w:val="center"/>
        </w:trPr>
        <w:tc>
          <w:tcPr>
            <w:tcW w:w="1470" w:type="dxa"/>
            <w:tcBorders>
              <w:left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11.项目管理能力</w:t>
            </w:r>
          </w:p>
        </w:tc>
        <w:tc>
          <w:tcPr>
            <w:tcW w:w="6379" w:type="dxa"/>
            <w:vAlign w:val="center"/>
          </w:tcPr>
          <w:p w:rsidR="00BE5664" w:rsidRDefault="00BE5664" w:rsidP="00BE5664">
            <w:pPr>
              <w:rPr>
                <w:rFonts w:ascii="仿宋_GB2312" w:hAnsi="Times New Roman"/>
                <w:bCs/>
                <w:sz w:val="20"/>
                <w:szCs w:val="20"/>
              </w:rPr>
            </w:pPr>
            <w:r>
              <w:rPr>
                <w:rFonts w:ascii="仿宋_GB2312" w:hAnsi="Times New Roman" w:hint="eastAsia"/>
                <w:bCs/>
                <w:sz w:val="20"/>
                <w:szCs w:val="20"/>
              </w:rPr>
              <w:t>11.2了解工程及产品全周期、全流程的成本构成，并能够在设计/开发解决方案的过程中，正确运用工程管理与经济决策方法，具备一定的工程项目管理能力。</w:t>
            </w:r>
          </w:p>
        </w:tc>
        <w:tc>
          <w:tcPr>
            <w:tcW w:w="1134" w:type="dxa"/>
            <w:tcBorders>
              <w:top w:val="single" w:sz="4" w:space="0" w:color="auto"/>
              <w:left w:val="single" w:sz="4" w:space="0" w:color="auto"/>
              <w:bottom w:val="single" w:sz="4" w:space="0" w:color="auto"/>
              <w:right w:val="single" w:sz="4" w:space="0" w:color="auto"/>
            </w:tcBorders>
            <w:vAlign w:val="center"/>
          </w:tcPr>
          <w:p w:rsidR="00BE5664" w:rsidRDefault="00BE5664" w:rsidP="00BE5664">
            <w:pPr>
              <w:jc w:val="center"/>
              <w:rPr>
                <w:rFonts w:ascii="仿宋_GB2312" w:hAnsi="Times New Roman"/>
                <w:bCs/>
                <w:sz w:val="20"/>
                <w:szCs w:val="20"/>
              </w:rPr>
            </w:pPr>
            <w:r>
              <w:rPr>
                <w:rFonts w:ascii="仿宋_GB2312" w:hAnsi="Times New Roman" w:hint="eastAsia"/>
                <w:bCs/>
                <w:sz w:val="20"/>
                <w:szCs w:val="20"/>
              </w:rPr>
              <w:t>2、3</w:t>
            </w:r>
          </w:p>
        </w:tc>
      </w:tr>
    </w:tbl>
    <w:p w:rsidR="00BE5664" w:rsidRDefault="00BE5664" w:rsidP="00BE5664">
      <w:pPr>
        <w:spacing w:beforeLines="50" w:before="156" w:line="360" w:lineRule="auto"/>
        <w:ind w:firstLineChars="200" w:firstLine="560"/>
        <w:rPr>
          <w:rFonts w:ascii="仿宋_GB2312" w:hAnsi="Times New Roman"/>
          <w:sz w:val="28"/>
          <w:szCs w:val="21"/>
        </w:rPr>
      </w:pPr>
      <w:r>
        <w:rPr>
          <w:rFonts w:ascii="仿宋_GB2312" w:hAnsi="Times New Roman" w:hint="eastAsia"/>
          <w:sz w:val="28"/>
          <w:szCs w:val="21"/>
        </w:rPr>
        <w:t>（2）本课程的重点、难点</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教学重点：土方开挖、桩基础施工工艺、砌筑工程施工工艺、钢筋混凝土工程施工工艺、预应力混凝土工程施工工艺、预制装配式工</w:t>
      </w:r>
      <w:r>
        <w:rPr>
          <w:rFonts w:ascii="仿宋_GB2312" w:hAnsi="Times New Roman" w:hint="eastAsia"/>
          <w:sz w:val="28"/>
          <w:szCs w:val="21"/>
        </w:rPr>
        <w:lastRenderedPageBreak/>
        <w:t>程施工工艺、流水施工原理、双代号网络计划及单位工程施工组织设计。</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教学难点：土的可松性的应用、桩基施工质量控制标准、钢筋下料长度的计算及混凝土施工配合比的计算、结构吊装方案、双代号时标网络计划时间参数的计算、施工平面布置图的绘制。</w:t>
      </w:r>
    </w:p>
    <w:p w:rsidR="00BE5664" w:rsidRDefault="00BE5664" w:rsidP="00BE5664">
      <w:pPr>
        <w:spacing w:line="360" w:lineRule="auto"/>
        <w:ind w:firstLineChars="200" w:firstLine="560"/>
        <w:rPr>
          <w:rFonts w:ascii="仿宋_GB2312" w:hAnsi="Times New Roman"/>
          <w:sz w:val="28"/>
          <w:szCs w:val="21"/>
        </w:rPr>
      </w:pPr>
      <w:r>
        <w:rPr>
          <w:rFonts w:ascii="仿宋_GB2312" w:hAnsi="Times New Roman" w:hint="eastAsia"/>
          <w:sz w:val="28"/>
          <w:szCs w:val="21"/>
        </w:rPr>
        <w:t>（3）课程思政切入</w:t>
      </w:r>
    </w:p>
    <w:p w:rsidR="00BE5664" w:rsidRDefault="00BE5664" w:rsidP="00BE5664">
      <w:pPr>
        <w:spacing w:line="360" w:lineRule="auto"/>
        <w:ind w:firstLineChars="200" w:firstLine="560"/>
        <w:rPr>
          <w:rFonts w:ascii="仿宋_GB2312" w:hAnsi="Times New Roman"/>
          <w:sz w:val="28"/>
          <w:szCs w:val="24"/>
        </w:rPr>
      </w:pPr>
      <w:r>
        <w:rPr>
          <w:rFonts w:ascii="仿宋_GB2312" w:hAnsi="宋体" w:cs="宋体" w:hint="eastAsia"/>
          <w:sz w:val="28"/>
          <w:szCs w:val="21"/>
        </w:rPr>
        <w:t>①</w:t>
      </w:r>
      <w:r>
        <w:rPr>
          <w:rFonts w:ascii="仿宋_GB2312" w:hAnsi="Times New Roman" w:hint="eastAsia"/>
          <w:sz w:val="28"/>
          <w:szCs w:val="24"/>
        </w:rPr>
        <w:t>通过国内外典型土木工程施工事故案例分析，引导学生理解土木工程师对公众的安全、健康和福祉，以及环境保护的社会责任，并能够在工程实践中自觉履行。</w:t>
      </w:r>
    </w:p>
    <w:p w:rsidR="00BE5664" w:rsidRDefault="00BE5664" w:rsidP="00BE5664">
      <w:pPr>
        <w:spacing w:line="360" w:lineRule="auto"/>
        <w:ind w:firstLineChars="200" w:firstLine="560"/>
        <w:rPr>
          <w:rFonts w:ascii="仿宋_GB2312" w:hAnsi="宋体" w:cs="宋体"/>
          <w:sz w:val="28"/>
          <w:szCs w:val="21"/>
        </w:rPr>
      </w:pPr>
      <w:r>
        <w:rPr>
          <w:rFonts w:ascii="仿宋_GB2312" w:hAnsi="宋体" w:cs="宋体" w:hint="eastAsia"/>
          <w:sz w:val="28"/>
          <w:szCs w:val="21"/>
        </w:rPr>
        <w:t>②结合土木工程施工技术的发展，强调创新的重要性，只有创新，才可以打破传统的思维模式，才可以不断取得进步，创新是土木工程专业不断取得突破的不竭动力和源泉。</w:t>
      </w:r>
    </w:p>
    <w:p w:rsidR="00BE5664" w:rsidRDefault="00BE5664" w:rsidP="00BE5664">
      <w:pPr>
        <w:spacing w:line="360" w:lineRule="auto"/>
        <w:ind w:firstLineChars="200" w:firstLine="560"/>
        <w:rPr>
          <w:rFonts w:ascii="仿宋_GB2312" w:hAnsi="Times New Roman"/>
          <w:sz w:val="28"/>
          <w:szCs w:val="24"/>
        </w:rPr>
      </w:pPr>
      <w:r>
        <w:rPr>
          <w:rFonts w:ascii="仿宋_GB2312" w:hAnsi="宋体" w:cs="宋体" w:hint="eastAsia"/>
          <w:sz w:val="28"/>
          <w:szCs w:val="21"/>
        </w:rPr>
        <w:t>③</w:t>
      </w:r>
      <w:r>
        <w:rPr>
          <w:rFonts w:ascii="仿宋_GB2312" w:hAnsi="Times New Roman" w:hint="eastAsia"/>
          <w:sz w:val="28"/>
          <w:szCs w:val="24"/>
        </w:rPr>
        <w:t>结合北京奥运工程、上海世博工程等重大工程，引领学生竖立民族自豪感，培养学生的大国工匠精神，激发学生的家国情怀。</w:t>
      </w:r>
    </w:p>
    <w:p w:rsidR="00BE5664" w:rsidRDefault="00BE5664" w:rsidP="00BE5664">
      <w:pPr>
        <w:spacing w:line="360" w:lineRule="auto"/>
        <w:ind w:firstLineChars="200" w:firstLine="560"/>
        <w:rPr>
          <w:sz w:val="28"/>
          <w:szCs w:val="24"/>
        </w:rPr>
      </w:pPr>
      <w:r>
        <w:rPr>
          <w:rFonts w:ascii="仿宋_GB2312" w:hAnsi="宋体" w:cs="宋体" w:hint="eastAsia"/>
          <w:sz w:val="28"/>
          <w:szCs w:val="21"/>
        </w:rPr>
        <w:t>④</w:t>
      </w:r>
      <w:r>
        <w:rPr>
          <w:rFonts w:cs="宋体" w:hint="eastAsia"/>
          <w:sz w:val="28"/>
          <w:szCs w:val="21"/>
        </w:rPr>
        <w:t>结合第十四届全运会西安奥体中心工程</w:t>
      </w:r>
      <w:r>
        <w:rPr>
          <w:rFonts w:ascii="仿宋_GB2312" w:hAnsi="Times New Roman" w:hint="eastAsia"/>
          <w:sz w:val="28"/>
          <w:szCs w:val="24"/>
        </w:rPr>
        <w:t>建设，引导学生树立建设祖国、造福家乡、服务人民的人类命运共同体观念，并建立以此作为自我价值实现途径的信念。</w:t>
      </w:r>
    </w:p>
    <w:p w:rsidR="00BE5664" w:rsidRDefault="00BE5664" w:rsidP="00BE5664">
      <w:pPr>
        <w:spacing w:line="360" w:lineRule="auto"/>
        <w:ind w:firstLineChars="200" w:firstLine="560"/>
        <w:rPr>
          <w:rFonts w:ascii="仿宋_GB2312" w:hAnsi="Times New Roman"/>
          <w:sz w:val="28"/>
          <w:szCs w:val="24"/>
        </w:rPr>
      </w:pPr>
      <w:r>
        <w:rPr>
          <w:rFonts w:ascii="仿宋_GB2312" w:hAnsi="宋体" w:cs="宋体" w:hint="eastAsia"/>
          <w:sz w:val="28"/>
          <w:szCs w:val="21"/>
        </w:rPr>
        <w:t>⑤</w:t>
      </w:r>
      <w:r>
        <w:rPr>
          <w:rFonts w:ascii="仿宋_GB2312" w:hAnsi="Times New Roman" w:hint="eastAsia"/>
          <w:sz w:val="28"/>
          <w:szCs w:val="24"/>
        </w:rPr>
        <w:t>通过不同地区土木工程施工项目的介绍，引导学生了解中国不同地区的区域地质特征和民俗风情，使学生对祖国各地基本国情有更加深入的了解。</w:t>
      </w:r>
    </w:p>
    <w:p w:rsidR="00BE5664" w:rsidRDefault="00BE5664" w:rsidP="00BE5664">
      <w:pPr>
        <w:spacing w:line="360" w:lineRule="auto"/>
        <w:ind w:firstLineChars="200" w:firstLine="560"/>
        <w:rPr>
          <w:rFonts w:ascii="仿宋_GB2312" w:hAnsi="Times New Roman"/>
          <w:sz w:val="28"/>
          <w:szCs w:val="24"/>
        </w:rPr>
      </w:pPr>
      <w:r>
        <w:rPr>
          <w:rFonts w:ascii="仿宋_GB2312" w:hAnsi="宋体" w:cs="宋体" w:hint="eastAsia"/>
          <w:sz w:val="28"/>
          <w:szCs w:val="21"/>
        </w:rPr>
        <w:t>⑥</w:t>
      </w:r>
      <w:r>
        <w:rPr>
          <w:rFonts w:ascii="仿宋_GB2312" w:hAnsi="Times New Roman" w:hint="eastAsia"/>
          <w:sz w:val="28"/>
          <w:szCs w:val="24"/>
        </w:rPr>
        <w:t>依托典型土木工程施工项目，引入工程施工中应遵守的职业道德和行为规范，培养学生的社会责任感，理解诚实公正、诚信守则的</w:t>
      </w:r>
      <w:r>
        <w:rPr>
          <w:rFonts w:ascii="仿宋_GB2312" w:hAnsi="Times New Roman" w:hint="eastAsia"/>
          <w:sz w:val="28"/>
          <w:szCs w:val="24"/>
        </w:rPr>
        <w:lastRenderedPageBreak/>
        <w:t>土木工程职业道德和行为规范，并能够在工程实践中自觉遵守，做到责任担当、贡献国家、服务社会。</w:t>
      </w:r>
    </w:p>
    <w:p w:rsidR="00BE5664" w:rsidRDefault="00BE5664" w:rsidP="00BE5664">
      <w:pPr>
        <w:spacing w:line="360" w:lineRule="auto"/>
        <w:ind w:firstLineChars="200" w:firstLine="560"/>
        <w:rPr>
          <w:rFonts w:ascii="仿宋_GB2312" w:hAnsi="Times New Roman"/>
          <w:sz w:val="28"/>
          <w:szCs w:val="24"/>
        </w:rPr>
      </w:pPr>
      <w:r>
        <w:rPr>
          <w:rFonts w:ascii="仿宋_GB2312" w:hAnsi="Times New Roman" w:hint="eastAsia"/>
          <w:sz w:val="28"/>
          <w:szCs w:val="24"/>
        </w:rPr>
        <w:t>⑦通过课堂分组讨论，使学生理解团队合作在解决专业复杂工程问题中的重要性，只有相互之间的紧密配合和精诚合作，大型复杂工程建设才会从蓝图变为现实。</w:t>
      </w:r>
    </w:p>
    <w:p w:rsidR="00BE5664" w:rsidRDefault="00BE5664" w:rsidP="00BE5664">
      <w:pPr>
        <w:spacing w:line="360" w:lineRule="auto"/>
        <w:outlineLvl w:val="0"/>
        <w:rPr>
          <w:rFonts w:ascii="Times New Roman" w:eastAsia="黑体" w:hAnsi="Times New Roman"/>
          <w:b/>
          <w:sz w:val="28"/>
          <w:szCs w:val="28"/>
        </w:rPr>
      </w:pPr>
      <w:r>
        <w:rPr>
          <w:rFonts w:ascii="Times New Roman" w:eastAsia="黑体" w:hAnsi="Times New Roman"/>
          <w:b/>
          <w:sz w:val="28"/>
          <w:szCs w:val="28"/>
        </w:rPr>
        <w:t>四、教学内容安排</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920"/>
        <w:gridCol w:w="630"/>
        <w:gridCol w:w="2743"/>
        <w:gridCol w:w="3350"/>
      </w:tblGrid>
      <w:tr w:rsidR="00BE5664" w:rsidTr="00BE5664">
        <w:trPr>
          <w:cantSplit/>
          <w:trHeight w:val="486"/>
          <w:tblHeader/>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序</w:t>
            </w:r>
          </w:p>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号</w:t>
            </w:r>
          </w:p>
        </w:tc>
        <w:tc>
          <w:tcPr>
            <w:tcW w:w="1920"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章  节</w:t>
            </w:r>
          </w:p>
        </w:tc>
        <w:tc>
          <w:tcPr>
            <w:tcW w:w="630"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参考学时</w:t>
            </w:r>
          </w:p>
        </w:tc>
        <w:tc>
          <w:tcPr>
            <w:tcW w:w="2743"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教学内容</w:t>
            </w:r>
          </w:p>
        </w:tc>
        <w:tc>
          <w:tcPr>
            <w:tcW w:w="3350"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基本要求</w:t>
            </w:r>
          </w:p>
        </w:tc>
      </w:tr>
      <w:tr w:rsidR="00BE5664" w:rsidTr="00BE5664">
        <w:trPr>
          <w:trHeight w:val="428"/>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1</w:t>
            </w:r>
          </w:p>
        </w:tc>
        <w:tc>
          <w:tcPr>
            <w:tcW w:w="192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绪论</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1</w:t>
            </w:r>
          </w:p>
        </w:tc>
        <w:tc>
          <w:tcPr>
            <w:tcW w:w="2743" w:type="dxa"/>
            <w:vAlign w:val="center"/>
          </w:tcPr>
          <w:p w:rsidR="00BE5664" w:rsidRDefault="00BE5664" w:rsidP="00BE5664">
            <w:pPr>
              <w:ind w:left="-2"/>
              <w:rPr>
                <w:rFonts w:ascii="仿宋_GB2312" w:hAnsi="Times New Roman"/>
                <w:sz w:val="20"/>
                <w:szCs w:val="20"/>
              </w:rPr>
            </w:pPr>
            <w:r>
              <w:rPr>
                <w:rFonts w:ascii="仿宋_GB2312" w:hAnsi="Times New Roman" w:hint="eastAsia"/>
                <w:sz w:val="20"/>
                <w:szCs w:val="20"/>
              </w:rPr>
              <w:t>土木工程施工</w:t>
            </w:r>
            <w:r>
              <w:rPr>
                <w:rFonts w:ascii="仿宋_GB2312" w:hAnsi="Times New Roman"/>
                <w:sz w:val="20"/>
                <w:szCs w:val="20"/>
              </w:rPr>
              <w:t>的基本概念及特点</w:t>
            </w:r>
            <w:r>
              <w:rPr>
                <w:rFonts w:ascii="仿宋_GB2312" w:hAnsi="Times New Roman" w:hint="eastAsia"/>
                <w:sz w:val="20"/>
                <w:szCs w:val="20"/>
              </w:rPr>
              <w:t>；土木工程施工</w:t>
            </w:r>
            <w:r>
              <w:rPr>
                <w:rFonts w:ascii="仿宋_GB2312" w:hAnsi="Times New Roman"/>
                <w:sz w:val="20"/>
                <w:szCs w:val="20"/>
              </w:rPr>
              <w:t>的发展概况</w:t>
            </w:r>
            <w:r>
              <w:rPr>
                <w:rFonts w:ascii="仿宋_GB2312" w:hAnsi="Times New Roman" w:hint="eastAsia"/>
                <w:sz w:val="20"/>
                <w:szCs w:val="20"/>
              </w:rPr>
              <w:t>；</w:t>
            </w:r>
            <w:r>
              <w:rPr>
                <w:rFonts w:ascii="仿宋_GB2312" w:hAnsi="Times New Roman"/>
                <w:sz w:val="20"/>
                <w:szCs w:val="20"/>
              </w:rPr>
              <w:t>本课程的主要内容、要求及学习方法</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了解课程的目的、内容及要求；掌握土木工程施工发展概况及学习方法。</w:t>
            </w:r>
          </w:p>
        </w:tc>
      </w:tr>
      <w:tr w:rsidR="00BE5664" w:rsidTr="00BE5664">
        <w:trPr>
          <w:trHeight w:val="519"/>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2</w:t>
            </w:r>
          </w:p>
        </w:tc>
        <w:tc>
          <w:tcPr>
            <w:tcW w:w="1920" w:type="dxa"/>
            <w:vAlign w:val="center"/>
          </w:tcPr>
          <w:p w:rsidR="00BE5664" w:rsidRDefault="00BE5664" w:rsidP="00BE5664">
            <w:pPr>
              <w:ind w:left="3"/>
              <w:rPr>
                <w:rFonts w:ascii="仿宋_GB2312" w:hAnsi="Times New Roman"/>
                <w:sz w:val="20"/>
                <w:szCs w:val="20"/>
              </w:rPr>
            </w:pPr>
            <w:r>
              <w:rPr>
                <w:rFonts w:ascii="仿宋_GB2312" w:hAnsi="Times New Roman" w:hint="eastAsia"/>
                <w:sz w:val="20"/>
                <w:szCs w:val="20"/>
              </w:rPr>
              <w:t>第一章 土方工程</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5</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土的工程分类及其工程性质；基坑（槽）和场地平整标高、土方量的计算；边坡稳定条件、影响因素，确保基坑（槽）边坡稳定的技术措施；施工降、排水的主要原理，基坑（槽）降、排水的技术措施；常用土方机械的作业特点及适用范围；填土填筑和压实的要求和方法。</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熟悉土的工程分类及其工程性质；掌握基坑（槽）和场地平整标高、土方量的计算；了解边坡稳定条件、影响因素，掌握确保基坑（槽）边坡稳定的技术措施；了解施工降、排水的主要原理，掌握基坑（槽）降、排水的技术措施；熟悉常用土方机械的作业特点及适用范围；掌握填土填筑和压实的要求和方法。</w:t>
            </w:r>
          </w:p>
        </w:tc>
      </w:tr>
      <w:tr w:rsidR="00BE5664" w:rsidTr="00BE5664">
        <w:trPr>
          <w:trHeight w:val="555"/>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3</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第二章 深基础工程</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钢筋混凝土预制桩的预制、起吊、运输及堆放方法；锤击法施工全过程和施工要点；泥浆护壁灌注桩和干作业成孔灌注桩施工要点；沉管成孔灌注桩施工工艺和质量控制方法。</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钢筋混凝土预制桩的预制、起吊、运输及堆放方法；掌握锤击法施工全过程和施工要点（打桩设备、打桩顺序、方法和质量控制）；掌握泥浆护壁灌注桩和干作业成孔灌注桩施工要点；掌握沉管成孔灌注桩施工工艺和质量控制方法。</w:t>
            </w:r>
          </w:p>
        </w:tc>
      </w:tr>
      <w:tr w:rsidR="00BE5664" w:rsidTr="00BE5664">
        <w:trPr>
          <w:trHeight w:val="1307"/>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4</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第三章 砌筑工程</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砌筑工程所使用的材料；砖砌体施工工艺、质量要求及保证质量和安全的技术措施；中小型砌块的种类、规格及砌筑工艺；砌块排列组合及错缝搭接要求；砌体冬期施工方法。</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了解砌筑工程所使用的材料；掌握砖砌体施工工艺、质量要求及保证质量和安全的技术措施；了解中小型砌块的种类、规格及砌筑工艺；掌握砌块排列组合及错缝搭接要求；了解砌体冬期施工方法。</w:t>
            </w:r>
          </w:p>
        </w:tc>
      </w:tr>
      <w:tr w:rsidR="00BE5664" w:rsidTr="00BE5664">
        <w:trPr>
          <w:trHeight w:val="1059"/>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5</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第四章 钢筋混凝土工程</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6</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钢筋种类、熟悉钢筋的配料计算、加工方法与设备，钢筋的连接方法、适用范围及质量要</w:t>
            </w:r>
            <w:r>
              <w:rPr>
                <w:rFonts w:ascii="仿宋_GB2312" w:hAnsi="Times New Roman" w:hint="eastAsia"/>
                <w:sz w:val="20"/>
                <w:szCs w:val="20"/>
              </w:rPr>
              <w:lastRenderedPageBreak/>
              <w:t>求；模板的作用、构造、要求，模板的设计方法；混凝土配料、搅拌、运输、浇注振捣和养护的方法与要求；钢筋混凝土构件缺陷及其修补方法、构件质量的检验和评定方法；混凝土冬期施工工艺要求和措施。</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lastRenderedPageBreak/>
              <w:t>了解钢筋种类、熟悉钢筋的配料计算、加工方法与设备，掌握钢筋的连接方法、适用范围及质量要求；了解</w:t>
            </w:r>
            <w:r>
              <w:rPr>
                <w:rFonts w:ascii="仿宋_GB2312" w:hAnsi="Times New Roman" w:hint="eastAsia"/>
                <w:sz w:val="20"/>
                <w:szCs w:val="20"/>
              </w:rPr>
              <w:lastRenderedPageBreak/>
              <w:t>模板的作用、构造、要求，掌握模板的设计方法；了解混凝土配料、掌握搅拌、运输、浇注振捣和养护的方法与要求；了解钢筋混凝土构件缺陷及其修补方法、构件质量的检验和评定方法；了解混凝土冬期施工工艺要求和措施。</w:t>
            </w:r>
          </w:p>
        </w:tc>
      </w:tr>
      <w:tr w:rsidR="00BE5664" w:rsidTr="00BE5664">
        <w:trPr>
          <w:trHeight w:val="248"/>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lastRenderedPageBreak/>
              <w:t>6</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第五章 预应力混凝土工程</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预应力混凝土工程的特点和工作原理、预应力筋种类；预应力筋张拉的台座、锚（夹）具、张拉机具的构造及使用方法；先张法施工工艺及技术措施；后张法施工工艺及技术措施；无粘结预应力混凝土结构施工工艺。</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预应力混凝土工程的特点和工作原理、了解预应力筋种类；熟悉预应力筋张拉的台座、锚（夹）具、张拉机具的构造及使用方法；掌握先张法施工工艺（预应力筋张拉、混凝土浇筑与养护、预应力筋放张）及技术措施；掌握后张法施工工艺（孔道留设、预应力筋张拉、孔道灌浆）及技术措施；了解无粘结预应力混凝土结构施工工艺。</w:t>
            </w:r>
          </w:p>
        </w:tc>
      </w:tr>
      <w:tr w:rsidR="00BE5664" w:rsidTr="00BE5664">
        <w:trPr>
          <w:trHeight w:val="555"/>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7</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第六章 脚手架工程及垂直运输设备</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2</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脚手架的种类和构造组成，各类脚手架的搭设要求和适用范围，脚手架工程的安全要求与措施；起重机的类型、特点、技术参数和使用要点，选择方法；垂直运输设备的安全使用要求。</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了解脚手架的种类和构造组成，掌握各类脚手架的搭设要求和适用范围，了解脚手架工程的安全要求与措施；熟悉起重机的类型、特点、技术参数和使用要点，掌握选择方法；了解垂直运输设备的安全使用要求。</w:t>
            </w:r>
          </w:p>
        </w:tc>
      </w:tr>
      <w:tr w:rsidR="00BE5664" w:rsidTr="00BE5664">
        <w:trPr>
          <w:trHeight w:val="555"/>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8</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第七章 结构安装工程</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预制装配式混凝土结构单层厂房安装前的准备工作，结构吊装工艺和吊装方案；钢结构加工工艺、掌握钢结构连接方法；多高层建筑结构以及空间大跨度结构的安装方法。</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了解预制装配式混凝土结构单层厂房安装前的准备工作，掌握结构吊装工艺和吊装方案；了解钢结构加工工艺、掌握钢结构连接方法；了解多高层建筑结构以及空间大跨度结构的安装方法。</w:t>
            </w:r>
          </w:p>
        </w:tc>
      </w:tr>
      <w:tr w:rsidR="00BE5664" w:rsidTr="00BE5664">
        <w:trPr>
          <w:trHeight w:val="555"/>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9</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第八章 施工组织概论</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2</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土木工程产品及其生产特点；建设项目与建设程序；土木工程的施工程序；施工组织设计的类型、作用、内容及编制与贯彻；施工准备工作；组织施工的原则。</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了解土木工程产品及其生产特点、建设程序、施工组织设计的编制要求；熟悉建设项目的组成、组织施工的原则；掌握工程施工的一般程序，施工准备工作的内容，施工组织设计的类型、作用及内容。</w:t>
            </w:r>
          </w:p>
        </w:tc>
      </w:tr>
      <w:tr w:rsidR="00BE5664" w:rsidTr="00BE5664">
        <w:trPr>
          <w:trHeight w:val="555"/>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10</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第九章 流水施工原理</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流水施工的基本概念；流水施工参数；流水施工的组织方法。</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了解流水施工的概念及特点；掌握流水施工参数的概念及其确定方法，组织流水施工的步骤与方法。</w:t>
            </w:r>
          </w:p>
        </w:tc>
      </w:tr>
      <w:tr w:rsidR="00BE5664" w:rsidTr="00BE5664">
        <w:trPr>
          <w:trHeight w:val="555"/>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11</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第十章 网络计划技术</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6</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网络计划的一般概念；双代号网络计划；单代号网络计划；</w:t>
            </w:r>
          </w:p>
          <w:p w:rsidR="00BE5664" w:rsidRDefault="00BE5664" w:rsidP="00BE5664">
            <w:pPr>
              <w:rPr>
                <w:rFonts w:ascii="仿宋_GB2312" w:hAnsi="Times New Roman"/>
                <w:sz w:val="20"/>
                <w:szCs w:val="20"/>
              </w:rPr>
            </w:pPr>
            <w:r>
              <w:rPr>
                <w:rFonts w:ascii="仿宋_GB2312" w:hAnsi="Times New Roman" w:hint="eastAsia"/>
                <w:sz w:val="20"/>
                <w:szCs w:val="20"/>
              </w:rPr>
              <w:lastRenderedPageBreak/>
              <w:t>双代号时标网络计划；网络计划的优化。</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lastRenderedPageBreak/>
              <w:t>了解网络计划的基本原理与基本概念，网络计划优化的方法与步骤；掌</w:t>
            </w:r>
            <w:r>
              <w:rPr>
                <w:rFonts w:ascii="仿宋_GB2312" w:hAnsi="Times New Roman" w:hint="eastAsia"/>
                <w:sz w:val="20"/>
                <w:szCs w:val="20"/>
              </w:rPr>
              <w:lastRenderedPageBreak/>
              <w:t>握双代号、单代号网络图的绘图规则与方法，时间参数的含义与计算，双代号时标网络计划的编制方法及其参数确定方法，网络计划优化的目标与原理。</w:t>
            </w:r>
          </w:p>
        </w:tc>
      </w:tr>
      <w:tr w:rsidR="00BE5664" w:rsidTr="00BE5664">
        <w:trPr>
          <w:trHeight w:val="555"/>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lastRenderedPageBreak/>
              <w:t>12</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第十一章 单位工程施工组织设计</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4</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单位工程施工组织设计的作用、任务、内容及编制程序；编制依据及工程概况；施工部署与施工方案；施工进度计划、资源配置计划及施工准备工作计划；施工现场平面布置；施工管理计划与技术经济指标。</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工程概况的内容与要求；熟悉单位工程施工组织设计的作用、任务、内容及编制程序，资源配置计划及施工准备工作计划的编制；掌握施工部署与施工方案的内容与编制，施工进度计划的编制，施工现场平面布置的设计；</w:t>
            </w:r>
          </w:p>
        </w:tc>
      </w:tr>
      <w:tr w:rsidR="00BE5664" w:rsidTr="00BE5664">
        <w:trPr>
          <w:trHeight w:val="555"/>
        </w:trPr>
        <w:tc>
          <w:tcPr>
            <w:tcW w:w="512" w:type="dxa"/>
            <w:vAlign w:val="center"/>
          </w:tcPr>
          <w:p w:rsidR="00BE5664" w:rsidRDefault="00BE5664" w:rsidP="00BE5664">
            <w:pPr>
              <w:jc w:val="center"/>
              <w:rPr>
                <w:rFonts w:ascii="仿宋_GB2312" w:hAnsi="Times New Roman"/>
                <w:kern w:val="0"/>
                <w:sz w:val="20"/>
                <w:szCs w:val="20"/>
              </w:rPr>
            </w:pPr>
            <w:r>
              <w:rPr>
                <w:rFonts w:ascii="仿宋_GB2312" w:hAnsi="Times New Roman" w:hint="eastAsia"/>
                <w:kern w:val="0"/>
                <w:sz w:val="20"/>
                <w:szCs w:val="20"/>
              </w:rPr>
              <w:t>13</w:t>
            </w:r>
          </w:p>
        </w:tc>
        <w:tc>
          <w:tcPr>
            <w:tcW w:w="192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第十二章施工组织总设计</w:t>
            </w:r>
          </w:p>
        </w:tc>
        <w:tc>
          <w:tcPr>
            <w:tcW w:w="630" w:type="dxa"/>
            <w:vAlign w:val="center"/>
          </w:tcPr>
          <w:p w:rsidR="00BE5664" w:rsidRDefault="00BE5664" w:rsidP="00BE5664">
            <w:pPr>
              <w:jc w:val="center"/>
              <w:rPr>
                <w:rFonts w:ascii="仿宋_GB2312" w:hAnsi="Times New Roman"/>
                <w:sz w:val="20"/>
                <w:szCs w:val="20"/>
              </w:rPr>
            </w:pPr>
            <w:r>
              <w:rPr>
                <w:rFonts w:ascii="仿宋_GB2312" w:hAnsi="Times New Roman" w:hint="eastAsia"/>
                <w:sz w:val="20"/>
                <w:szCs w:val="20"/>
              </w:rPr>
              <w:t>2</w:t>
            </w:r>
          </w:p>
        </w:tc>
        <w:tc>
          <w:tcPr>
            <w:tcW w:w="2743"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施工组织总设计的作用、内容、编制程序及依据；施工部署与施工方案；施工总进度计划；资源配置计划与总体施工准备；施工现场总平面布置；目标管理计划与技术经济指标。</w:t>
            </w:r>
          </w:p>
        </w:tc>
        <w:tc>
          <w:tcPr>
            <w:tcW w:w="3350" w:type="dxa"/>
            <w:vAlign w:val="center"/>
          </w:tcPr>
          <w:p w:rsidR="00BE5664" w:rsidRDefault="00BE5664" w:rsidP="00BE5664">
            <w:pPr>
              <w:rPr>
                <w:rFonts w:ascii="仿宋_GB2312" w:hAnsi="Times New Roman"/>
                <w:sz w:val="20"/>
                <w:szCs w:val="20"/>
              </w:rPr>
            </w:pPr>
            <w:r>
              <w:rPr>
                <w:rFonts w:ascii="仿宋_GB2312" w:hAnsi="Times New Roman" w:hint="eastAsia"/>
                <w:sz w:val="20"/>
                <w:szCs w:val="20"/>
              </w:rPr>
              <w:t>了解施工组织总设计的作用、编制程序及依据；熟悉施工组织总设计的内容，施工总进度计划和施工现场总平面布置的编制内容与方法；掌握施工部署与施工方案的编制内容；</w:t>
            </w:r>
            <w:r>
              <w:rPr>
                <w:rFonts w:hint="eastAsia"/>
                <w:szCs w:val="21"/>
              </w:rPr>
              <w:t xml:space="preserve"> </w:t>
            </w:r>
          </w:p>
        </w:tc>
      </w:tr>
    </w:tbl>
    <w:p w:rsidR="00BE5664" w:rsidRDefault="00BE5664" w:rsidP="00BE5664">
      <w:pPr>
        <w:spacing w:beforeLines="50" w:before="156" w:line="360" w:lineRule="auto"/>
        <w:outlineLvl w:val="0"/>
        <w:rPr>
          <w:rFonts w:ascii="Times New Roman" w:eastAsia="黑体" w:hAnsi="Times New Roman"/>
          <w:b/>
          <w:sz w:val="28"/>
          <w:szCs w:val="28"/>
        </w:rPr>
      </w:pPr>
      <w:r>
        <w:rPr>
          <w:rFonts w:ascii="Times New Roman" w:eastAsia="黑体" w:hAnsi="Times New Roman"/>
          <w:b/>
          <w:sz w:val="28"/>
          <w:szCs w:val="28"/>
        </w:rPr>
        <w:t>五、课程考核和评价方式</w:t>
      </w:r>
    </w:p>
    <w:p w:rsidR="00BE5664" w:rsidRDefault="00BE5664" w:rsidP="00BE5664">
      <w:pPr>
        <w:spacing w:line="360" w:lineRule="auto"/>
        <w:ind w:firstLineChars="200" w:firstLine="560"/>
        <w:rPr>
          <w:rFonts w:ascii="仿宋_GB2312" w:hAnsi="Times New Roman"/>
          <w:sz w:val="28"/>
          <w:szCs w:val="28"/>
        </w:rPr>
      </w:pPr>
      <w:r>
        <w:rPr>
          <w:rFonts w:ascii="仿宋_GB2312" w:hAnsi="Times New Roman" w:hint="eastAsia"/>
          <w:sz w:val="28"/>
          <w:szCs w:val="28"/>
        </w:rPr>
        <w:t>1.课程考核</w:t>
      </w:r>
    </w:p>
    <w:p w:rsidR="00BE5664" w:rsidRDefault="00BE5664" w:rsidP="00BE5664">
      <w:pPr>
        <w:spacing w:line="360" w:lineRule="auto"/>
        <w:ind w:firstLineChars="200" w:firstLine="560"/>
        <w:rPr>
          <w:rFonts w:ascii="仿宋_GB2312" w:hAnsi="Times New Roman"/>
          <w:sz w:val="28"/>
          <w:szCs w:val="28"/>
        </w:rPr>
      </w:pPr>
      <w:r>
        <w:rPr>
          <w:rFonts w:ascii="仿宋_GB2312" w:hAnsi="Times New Roman" w:hint="eastAsia"/>
          <w:sz w:val="28"/>
          <w:szCs w:val="28"/>
        </w:rPr>
        <w:t>本课程不设课外学时，采用平时成绩+期末考试方式确定总评成绩，其中平时成绩考核包括作业、课堂表现、出勤等内容，期末考试采用考试方式（百分制）。平时成绩占20%，期末考试成绩占80%。</w:t>
      </w:r>
    </w:p>
    <w:p w:rsidR="00BE5664" w:rsidRDefault="00BE5664" w:rsidP="00BE5664">
      <w:pPr>
        <w:spacing w:line="360" w:lineRule="auto"/>
        <w:ind w:firstLineChars="200" w:firstLine="560"/>
        <w:rPr>
          <w:rStyle w:val="fontstyle01"/>
          <w:rFonts w:ascii="仿宋_GB2312" w:hAnsi="Times New Roman" w:cs="Times New Roman" w:hint="default"/>
          <w:sz w:val="28"/>
          <w:szCs w:val="28"/>
        </w:rPr>
      </w:pPr>
      <w:r>
        <w:rPr>
          <w:rFonts w:ascii="仿宋_GB2312" w:hAnsi="Times New Roman" w:hint="eastAsia"/>
          <w:sz w:val="28"/>
          <w:szCs w:val="28"/>
        </w:rPr>
        <w:t>2.成绩评定</w:t>
      </w:r>
    </w:p>
    <w:p w:rsidR="00BE5664" w:rsidRDefault="00BE5664" w:rsidP="00BE5664">
      <w:pPr>
        <w:spacing w:line="360" w:lineRule="auto"/>
        <w:ind w:firstLineChars="200" w:firstLine="560"/>
        <w:rPr>
          <w:rStyle w:val="fontstyle11"/>
          <w:rFonts w:ascii="仿宋_GB2312"/>
          <w:sz w:val="28"/>
          <w:szCs w:val="28"/>
        </w:rPr>
      </w:pPr>
      <w:r>
        <w:rPr>
          <w:rStyle w:val="fontstyle01"/>
          <w:rFonts w:ascii="仿宋_GB2312" w:hAnsi="Times New Roman" w:cs="Times New Roman" w:hint="default"/>
          <w:sz w:val="28"/>
          <w:szCs w:val="28"/>
        </w:rPr>
        <w:t>课程总成绩</w:t>
      </w:r>
      <w:r>
        <w:rPr>
          <w:rStyle w:val="fontstyle01"/>
          <w:rFonts w:ascii="仿宋_GB2312" w:hAnsi="Times New Roman" w:cs="Times New Roman" w:hint="default"/>
          <w:sz w:val="28"/>
          <w:szCs w:val="28"/>
        </w:rPr>
        <w:t>=</w:t>
      </w:r>
      <w:r>
        <w:rPr>
          <w:rStyle w:val="fontstyle01"/>
          <w:rFonts w:ascii="仿宋_GB2312" w:hAnsi="Times New Roman" w:cs="Times New Roman" w:hint="default"/>
          <w:sz w:val="28"/>
          <w:szCs w:val="28"/>
        </w:rPr>
        <w:t>期末成绩</w:t>
      </w:r>
      <w:r>
        <w:rPr>
          <w:rStyle w:val="fontstyle11"/>
          <w:rFonts w:ascii="仿宋_GB2312" w:hint="eastAsia"/>
          <w:sz w:val="28"/>
          <w:szCs w:val="28"/>
        </w:rPr>
        <w:t>80%+平时</w:t>
      </w:r>
      <w:r>
        <w:rPr>
          <w:rStyle w:val="fontstyle01"/>
          <w:rFonts w:ascii="仿宋_GB2312" w:hAnsi="Times New Roman" w:cs="Times New Roman" w:hint="default"/>
          <w:sz w:val="28"/>
          <w:szCs w:val="28"/>
        </w:rPr>
        <w:t>成绩</w:t>
      </w:r>
      <w:r>
        <w:rPr>
          <w:rStyle w:val="fontstyle01"/>
          <w:rFonts w:ascii="仿宋_GB2312" w:hAnsi="Times New Roman" w:cs="Times New Roman" w:hint="default"/>
          <w:sz w:val="28"/>
          <w:szCs w:val="28"/>
        </w:rPr>
        <w:t>20</w:t>
      </w:r>
      <w:r>
        <w:rPr>
          <w:rStyle w:val="fontstyle11"/>
          <w:rFonts w:ascii="仿宋_GB2312" w:hint="eastAsia"/>
          <w:sz w:val="28"/>
          <w:szCs w:val="28"/>
        </w:rPr>
        <w:t>%。</w:t>
      </w:r>
    </w:p>
    <w:p w:rsidR="00BE5664" w:rsidRDefault="00BE5664" w:rsidP="00BE5664">
      <w:pPr>
        <w:spacing w:line="360" w:lineRule="auto"/>
        <w:ind w:firstLineChars="200" w:firstLine="560"/>
        <w:rPr>
          <w:rStyle w:val="fontstyle11"/>
          <w:rFonts w:ascii="仿宋_GB2312"/>
          <w:sz w:val="28"/>
          <w:szCs w:val="28"/>
        </w:rPr>
      </w:pPr>
      <w:r>
        <w:rPr>
          <w:rStyle w:val="fontstyle11"/>
          <w:rFonts w:ascii="仿宋_GB2312" w:hint="eastAsia"/>
          <w:sz w:val="28"/>
          <w:szCs w:val="28"/>
        </w:rPr>
        <w:t>（1）试题评分标准</w:t>
      </w:r>
    </w:p>
    <w:p w:rsidR="00BE5664" w:rsidRDefault="00BE5664" w:rsidP="00BE5664">
      <w:pPr>
        <w:spacing w:line="360" w:lineRule="auto"/>
        <w:ind w:firstLineChars="200" w:firstLine="560"/>
        <w:rPr>
          <w:rStyle w:val="fontstyle11"/>
          <w:rFonts w:ascii="仿宋_GB2312"/>
          <w:sz w:val="28"/>
          <w:szCs w:val="28"/>
        </w:rPr>
      </w:pPr>
      <w:r>
        <w:rPr>
          <w:rStyle w:val="fontstyle11"/>
          <w:rFonts w:ascii="仿宋_GB2312" w:hint="eastAsia"/>
          <w:sz w:val="28"/>
          <w:szCs w:val="28"/>
        </w:rPr>
        <w:t>客观题根据题目的正确率判定评分，主观题参考作业评分标准。</w:t>
      </w:r>
    </w:p>
    <w:p w:rsidR="00BE5664" w:rsidRDefault="00BE5664" w:rsidP="00BE5664">
      <w:pPr>
        <w:autoSpaceDE w:val="0"/>
        <w:autoSpaceDN w:val="0"/>
        <w:adjustRightInd w:val="0"/>
        <w:spacing w:afterLines="50" w:after="156"/>
        <w:ind w:firstLineChars="200" w:firstLine="560"/>
        <w:jc w:val="left"/>
        <w:rPr>
          <w:rFonts w:ascii="仿宋_GB2312" w:hAnsi="Times New Roman" w:cs="仿宋_GB2312"/>
          <w:kern w:val="0"/>
          <w:sz w:val="28"/>
          <w:szCs w:val="28"/>
        </w:rPr>
      </w:pPr>
      <w:r>
        <w:rPr>
          <w:rFonts w:ascii="仿宋_GB2312" w:hAnsi="Times New Roman" w:cs="仿宋_GB2312" w:hint="eastAsia"/>
          <w:kern w:val="0"/>
          <w:sz w:val="28"/>
          <w:szCs w:val="28"/>
        </w:rPr>
        <w:t>（2）作业评分标准</w:t>
      </w:r>
    </w:p>
    <w:tbl>
      <w:tblPr>
        <w:tblW w:w="8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1753"/>
        <w:gridCol w:w="1754"/>
        <w:gridCol w:w="1754"/>
        <w:gridCol w:w="1754"/>
      </w:tblGrid>
      <w:tr w:rsidR="00BE5664" w:rsidTr="00BE5664">
        <w:trPr>
          <w:trHeight w:val="301"/>
          <w:jc w:val="center"/>
        </w:trPr>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86-100分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71-85分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50-70分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0-49分</w:t>
            </w:r>
          </w:p>
        </w:tc>
      </w:tr>
      <w:tr w:rsidR="00BE5664" w:rsidTr="00BE5664">
        <w:trPr>
          <w:trHeight w:val="399"/>
          <w:jc w:val="center"/>
        </w:trPr>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lastRenderedPageBreak/>
              <w:t>作业完成态度</w:t>
            </w:r>
          </w:p>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（权重0.2）</w:t>
            </w:r>
          </w:p>
        </w:tc>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非常认真</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较认真</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Style w:val="fontstyle11"/>
                <w:rFonts w:ascii="仿宋_GB2312" w:hint="eastAsia"/>
                <w:sz w:val="20"/>
                <w:szCs w:val="20"/>
              </w:rPr>
              <w:t>一般认真</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Style w:val="fontstyle11"/>
                <w:rFonts w:ascii="仿宋_GB2312" w:hint="eastAsia"/>
                <w:sz w:val="20"/>
                <w:szCs w:val="20"/>
              </w:rPr>
              <w:t>不认真</w:t>
            </w:r>
          </w:p>
        </w:tc>
      </w:tr>
      <w:tr w:rsidR="00BE5664" w:rsidTr="00BE5664">
        <w:trPr>
          <w:trHeight w:val="399"/>
          <w:jc w:val="center"/>
        </w:trPr>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作业完成正确率</w:t>
            </w:r>
          </w:p>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（权重0.8）</w:t>
            </w:r>
          </w:p>
        </w:tc>
        <w:tc>
          <w:tcPr>
            <w:tcW w:w="1753"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正确率达86%以上</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正确率达71%以上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正确率达50%以上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正确率低于50%</w:t>
            </w:r>
          </w:p>
        </w:tc>
      </w:tr>
    </w:tbl>
    <w:p w:rsidR="00BE5664" w:rsidRDefault="00BE5664" w:rsidP="00BE5664">
      <w:pPr>
        <w:autoSpaceDE w:val="0"/>
        <w:autoSpaceDN w:val="0"/>
        <w:adjustRightInd w:val="0"/>
        <w:spacing w:beforeLines="50" w:before="156" w:afterLines="50" w:after="156"/>
        <w:ind w:firstLineChars="200" w:firstLine="560"/>
        <w:jc w:val="left"/>
        <w:rPr>
          <w:rFonts w:ascii="仿宋_GB2312" w:hAnsi="Times New Roman" w:cs="仿宋_GB2312"/>
          <w:kern w:val="0"/>
          <w:sz w:val="28"/>
          <w:szCs w:val="28"/>
        </w:rPr>
      </w:pPr>
      <w:r>
        <w:rPr>
          <w:rFonts w:ascii="仿宋_GB2312" w:hAnsi="Times New Roman" w:cs="仿宋_GB2312" w:hint="eastAsia"/>
          <w:kern w:val="0"/>
          <w:sz w:val="28"/>
          <w:szCs w:val="28"/>
        </w:rPr>
        <w:t>（3）课堂表现评分标准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BE5664" w:rsidTr="00BE5664">
        <w:trPr>
          <w:trHeight w:val="281"/>
          <w:jc w:val="center"/>
        </w:trPr>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86-100分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71-85分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50-70分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0-49分</w:t>
            </w:r>
          </w:p>
        </w:tc>
      </w:tr>
      <w:tr w:rsidR="00BE5664" w:rsidTr="00BE5664">
        <w:trPr>
          <w:trHeight w:val="372"/>
          <w:jc w:val="center"/>
        </w:trPr>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回答问题准确性（权重1.0）</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正确率达86%以上</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正确率达71%以上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正确率达50%以上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正确率低于50%</w:t>
            </w:r>
          </w:p>
        </w:tc>
      </w:tr>
    </w:tbl>
    <w:p w:rsidR="00BE5664" w:rsidRDefault="00BE5664" w:rsidP="00BE5664">
      <w:pPr>
        <w:autoSpaceDE w:val="0"/>
        <w:autoSpaceDN w:val="0"/>
        <w:adjustRightInd w:val="0"/>
        <w:spacing w:beforeLines="50" w:before="156" w:afterLines="50" w:after="156"/>
        <w:ind w:firstLineChars="200" w:firstLine="560"/>
        <w:jc w:val="left"/>
        <w:rPr>
          <w:rStyle w:val="fontstyle11"/>
          <w:rFonts w:ascii="仿宋_GB2312"/>
          <w:sz w:val="28"/>
          <w:szCs w:val="28"/>
        </w:rPr>
      </w:pPr>
      <w:r>
        <w:rPr>
          <w:rStyle w:val="fontstyle11"/>
          <w:rFonts w:ascii="仿宋_GB2312" w:hint="eastAsia"/>
          <w:sz w:val="28"/>
          <w:szCs w:val="28"/>
        </w:rPr>
        <w:t>（4）课堂出勤评分标准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BE5664" w:rsidTr="00BE5664">
        <w:trPr>
          <w:trHeight w:val="281"/>
          <w:jc w:val="center"/>
        </w:trPr>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81-100分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51-80分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26-50分</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Style w:val="fontstyle11"/>
                <w:rFonts w:ascii="仿宋_GB2312" w:hint="eastAsia"/>
                <w:sz w:val="20"/>
                <w:szCs w:val="20"/>
              </w:rPr>
              <w:t>0-25分</w:t>
            </w:r>
          </w:p>
        </w:tc>
      </w:tr>
      <w:tr w:rsidR="00BE5664" w:rsidTr="00BE5664">
        <w:trPr>
          <w:trHeight w:val="372"/>
          <w:jc w:val="center"/>
        </w:trPr>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课堂出勤率</w:t>
            </w:r>
          </w:p>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（权重1.0）</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出勤率达81%以上</w:t>
            </w:r>
          </w:p>
        </w:tc>
        <w:tc>
          <w:tcPr>
            <w:tcW w:w="1754" w:type="dxa"/>
            <w:shd w:val="clear" w:color="auto" w:fill="auto"/>
            <w:vAlign w:val="center"/>
          </w:tcPr>
          <w:p w:rsidR="00BE5664" w:rsidRDefault="00BE5664" w:rsidP="00BE5664">
            <w:pPr>
              <w:autoSpaceDE w:val="0"/>
              <w:autoSpaceDN w:val="0"/>
              <w:adjustRightInd w:val="0"/>
              <w:jc w:val="center"/>
              <w:rPr>
                <w:rFonts w:ascii="仿宋_GB2312" w:hAnsi="Times New Roman" w:cs="仿宋_GB2312"/>
                <w:kern w:val="0"/>
                <w:sz w:val="20"/>
                <w:szCs w:val="20"/>
              </w:rPr>
            </w:pPr>
            <w:r>
              <w:rPr>
                <w:rFonts w:ascii="仿宋_GB2312" w:hAnsi="Times New Roman" w:cs="仿宋_GB2312" w:hint="eastAsia"/>
                <w:kern w:val="0"/>
                <w:sz w:val="20"/>
                <w:szCs w:val="20"/>
              </w:rPr>
              <w:t>出勤率达51%以上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出勤率达26%以上</w:t>
            </w:r>
          </w:p>
        </w:tc>
        <w:tc>
          <w:tcPr>
            <w:tcW w:w="1754" w:type="dxa"/>
            <w:shd w:val="clear" w:color="auto" w:fill="auto"/>
            <w:vAlign w:val="center"/>
          </w:tcPr>
          <w:p w:rsidR="00BE5664" w:rsidRDefault="00BE5664" w:rsidP="00BE5664">
            <w:pPr>
              <w:autoSpaceDE w:val="0"/>
              <w:autoSpaceDN w:val="0"/>
              <w:adjustRightInd w:val="0"/>
              <w:jc w:val="center"/>
              <w:rPr>
                <w:rStyle w:val="fontstyle11"/>
                <w:rFonts w:ascii="仿宋_GB2312"/>
                <w:sz w:val="20"/>
                <w:szCs w:val="20"/>
              </w:rPr>
            </w:pPr>
            <w:r>
              <w:rPr>
                <w:rFonts w:ascii="仿宋_GB2312" w:hAnsi="Times New Roman" w:cs="仿宋_GB2312" w:hint="eastAsia"/>
                <w:kern w:val="0"/>
                <w:sz w:val="20"/>
                <w:szCs w:val="20"/>
              </w:rPr>
              <w:t>正出勤率低于25%</w:t>
            </w:r>
          </w:p>
        </w:tc>
      </w:tr>
    </w:tbl>
    <w:p w:rsidR="00BE5664" w:rsidRDefault="00BE5664" w:rsidP="00BE5664">
      <w:pPr>
        <w:autoSpaceDE w:val="0"/>
        <w:autoSpaceDN w:val="0"/>
        <w:adjustRightInd w:val="0"/>
        <w:ind w:firstLineChars="50" w:firstLine="100"/>
        <w:jc w:val="left"/>
        <w:rPr>
          <w:rFonts w:ascii="仿宋_GB2312" w:hAnsi="Times New Roman" w:cs="仿宋_GB2312"/>
          <w:kern w:val="0"/>
          <w:sz w:val="20"/>
          <w:szCs w:val="20"/>
        </w:rPr>
      </w:pPr>
      <w:r>
        <w:rPr>
          <w:rFonts w:ascii="仿宋_GB2312" w:hAnsi="Times New Roman" w:cs="仿宋_GB2312" w:hint="eastAsia"/>
          <w:kern w:val="0"/>
          <w:sz w:val="20"/>
          <w:szCs w:val="20"/>
        </w:rPr>
        <w:t>注：迟到</w:t>
      </w:r>
      <w:r>
        <w:rPr>
          <w:rFonts w:ascii="仿宋_GB2312" w:hAnsi="Times New Roman" w:cs="仿宋_GB2312"/>
          <w:kern w:val="0"/>
          <w:sz w:val="20"/>
          <w:szCs w:val="20"/>
        </w:rPr>
        <w:t>30</w:t>
      </w:r>
      <w:r>
        <w:rPr>
          <w:rFonts w:ascii="仿宋_GB2312" w:hAnsi="Times New Roman" w:cs="仿宋_GB2312" w:hint="eastAsia"/>
          <w:kern w:val="0"/>
          <w:sz w:val="20"/>
          <w:szCs w:val="20"/>
        </w:rPr>
        <w:t>分钟以上按一次缺勤计</w:t>
      </w:r>
    </w:p>
    <w:p w:rsidR="00BE5664" w:rsidRDefault="00BE5664" w:rsidP="00BE5664">
      <w:pPr>
        <w:spacing w:beforeLines="50" w:before="156" w:afterLines="50" w:after="156" w:line="460" w:lineRule="exact"/>
        <w:rPr>
          <w:rFonts w:ascii="Times New Roman" w:eastAsia="黑体" w:hAnsi="Times New Roman"/>
          <w:b/>
          <w:sz w:val="28"/>
          <w:szCs w:val="28"/>
        </w:rPr>
      </w:pPr>
      <w:r>
        <w:rPr>
          <w:rFonts w:ascii="Times New Roman" w:eastAsia="黑体" w:hAnsi="Times New Roman"/>
          <w:b/>
          <w:sz w:val="28"/>
          <w:szCs w:val="28"/>
        </w:rPr>
        <w:t>六、课程建议教材及主要参考资料</w:t>
      </w:r>
    </w:p>
    <w:p w:rsidR="00BE5664" w:rsidRDefault="00BE5664" w:rsidP="00BE5664">
      <w:pPr>
        <w:spacing w:line="360" w:lineRule="auto"/>
        <w:ind w:firstLineChars="200" w:firstLine="560"/>
        <w:rPr>
          <w:rFonts w:ascii="仿宋_GB2312" w:hAnsi="Times New Roman"/>
          <w:sz w:val="28"/>
          <w:szCs w:val="28"/>
        </w:rPr>
      </w:pPr>
      <w:r>
        <w:rPr>
          <w:rFonts w:ascii="仿宋_GB2312" w:hAnsi="Times New Roman" w:hint="eastAsia"/>
          <w:sz w:val="28"/>
          <w:szCs w:val="28"/>
        </w:rPr>
        <w:t>1.建议教材</w:t>
      </w:r>
    </w:p>
    <w:p w:rsidR="00BE5664" w:rsidRDefault="00BE5664" w:rsidP="00BE5664">
      <w:pPr>
        <w:spacing w:line="360" w:lineRule="auto"/>
        <w:ind w:firstLineChars="200" w:firstLine="560"/>
        <w:rPr>
          <w:rFonts w:ascii="仿宋_GB2312" w:hAnsi="Times New Roman"/>
          <w:sz w:val="28"/>
          <w:szCs w:val="28"/>
        </w:rPr>
      </w:pPr>
      <w:r>
        <w:rPr>
          <w:rFonts w:ascii="仿宋_GB2312" w:hAnsi="Times New Roman" w:hint="eastAsia"/>
          <w:sz w:val="28"/>
          <w:szCs w:val="28"/>
        </w:rPr>
        <w:t xml:space="preserve">李建峰, 郑天旺,等. 土木工程施工(第二版) [M]，北京：中国电力出版社，2016. </w:t>
      </w:r>
    </w:p>
    <w:p w:rsidR="00BE5664" w:rsidRDefault="00BE5664" w:rsidP="00BE5664">
      <w:pPr>
        <w:spacing w:line="360" w:lineRule="auto"/>
        <w:ind w:firstLineChars="200" w:firstLine="560"/>
        <w:rPr>
          <w:rFonts w:ascii="仿宋_GB2312" w:hAnsi="Times New Roman"/>
          <w:sz w:val="28"/>
          <w:szCs w:val="28"/>
        </w:rPr>
      </w:pPr>
      <w:r>
        <w:rPr>
          <w:rFonts w:ascii="仿宋_GB2312" w:hAnsi="Times New Roman" w:hint="eastAsia"/>
          <w:sz w:val="28"/>
          <w:szCs w:val="28"/>
        </w:rPr>
        <w:t>2.主要参考资料</w:t>
      </w:r>
    </w:p>
    <w:p w:rsidR="00BE5664" w:rsidRDefault="00BE5664" w:rsidP="005F6318">
      <w:pPr>
        <w:numPr>
          <w:ilvl w:val="0"/>
          <w:numId w:val="19"/>
        </w:numPr>
        <w:spacing w:line="360" w:lineRule="auto"/>
        <w:ind w:left="0" w:firstLineChars="200" w:firstLine="560"/>
        <w:rPr>
          <w:rFonts w:ascii="仿宋_GB2312" w:hAnsi="Times New Roman"/>
          <w:sz w:val="28"/>
          <w:szCs w:val="28"/>
        </w:rPr>
      </w:pPr>
      <w:r>
        <w:rPr>
          <w:rFonts w:ascii="仿宋_GB2312" w:hAnsi="Times New Roman" w:hint="eastAsia"/>
          <w:sz w:val="28"/>
          <w:szCs w:val="28"/>
        </w:rPr>
        <w:t>徐伟. 土木工程施工基本原理(第二版) [M]. 上海：同济大学出版社，2014.</w:t>
      </w:r>
    </w:p>
    <w:p w:rsidR="00BE5664" w:rsidRDefault="00BE5664" w:rsidP="005F6318">
      <w:pPr>
        <w:numPr>
          <w:ilvl w:val="0"/>
          <w:numId w:val="19"/>
        </w:numPr>
        <w:spacing w:line="360" w:lineRule="auto"/>
        <w:ind w:left="0" w:firstLineChars="200" w:firstLine="560"/>
        <w:rPr>
          <w:rFonts w:ascii="仿宋_GB2312" w:hAnsi="Times New Roman"/>
          <w:sz w:val="28"/>
          <w:szCs w:val="28"/>
        </w:rPr>
      </w:pPr>
      <w:r>
        <w:rPr>
          <w:rFonts w:ascii="仿宋_GB2312" w:hAnsi="Times New Roman" w:hint="eastAsia"/>
          <w:sz w:val="28"/>
          <w:szCs w:val="28"/>
        </w:rPr>
        <w:t>郭正兴. 土木工程施工(第二版) [M]. 南京：东南大学出版社，2012.</w:t>
      </w:r>
    </w:p>
    <w:p w:rsidR="00BE5664" w:rsidRDefault="00BE5664" w:rsidP="005F6318">
      <w:pPr>
        <w:numPr>
          <w:ilvl w:val="0"/>
          <w:numId w:val="19"/>
        </w:numPr>
        <w:spacing w:line="360" w:lineRule="auto"/>
        <w:ind w:left="0" w:firstLineChars="200" w:firstLine="560"/>
        <w:rPr>
          <w:rFonts w:ascii="仿宋_GB2312" w:hAnsi="Times New Roman"/>
          <w:sz w:val="28"/>
          <w:szCs w:val="28"/>
        </w:rPr>
      </w:pPr>
      <w:r>
        <w:rPr>
          <w:rFonts w:ascii="仿宋_GB2312" w:hAnsi="Times New Roman" w:hint="eastAsia"/>
          <w:sz w:val="28"/>
          <w:szCs w:val="28"/>
        </w:rPr>
        <w:t>穆静波. 土木工程施工[M]. 北京：机械工业出版社，2018.</w:t>
      </w:r>
    </w:p>
    <w:p w:rsidR="00BE5664" w:rsidRDefault="00BE5664" w:rsidP="00BE5664">
      <w:pPr>
        <w:spacing w:line="360" w:lineRule="auto"/>
        <w:ind w:firstLineChars="1600" w:firstLine="4480"/>
        <w:rPr>
          <w:rFonts w:ascii="仿宋_GB2312" w:hAnsi="Times New Roman"/>
          <w:sz w:val="28"/>
          <w:szCs w:val="28"/>
        </w:rPr>
      </w:pPr>
    </w:p>
    <w:p w:rsidR="00BE5664" w:rsidRDefault="00BE5664" w:rsidP="00BE5664">
      <w:pPr>
        <w:ind w:firstLineChars="1200" w:firstLine="3360"/>
        <w:rPr>
          <w:rFonts w:ascii="仿宋_GB2312" w:hAnsi="Times New Roman"/>
          <w:sz w:val="28"/>
          <w:szCs w:val="28"/>
        </w:rPr>
      </w:pPr>
      <w:r>
        <w:rPr>
          <w:rFonts w:ascii="仿宋_GB2312" w:hAnsi="Times New Roman" w:hint="eastAsia"/>
          <w:sz w:val="28"/>
          <w:szCs w:val="28"/>
        </w:rPr>
        <w:t>大纲</w:t>
      </w:r>
      <w:r>
        <w:rPr>
          <w:rFonts w:ascii="仿宋" w:eastAsia="仿宋" w:hAnsi="仿宋" w:hint="eastAsia"/>
          <w:sz w:val="28"/>
          <w:szCs w:val="28"/>
        </w:rPr>
        <w:t>撰写</w:t>
      </w:r>
      <w:r>
        <w:rPr>
          <w:rFonts w:ascii="仿宋_GB2312" w:hAnsi="Times New Roman" w:hint="eastAsia"/>
          <w:sz w:val="28"/>
          <w:szCs w:val="28"/>
        </w:rPr>
        <w:t>人：张勋</w:t>
      </w:r>
    </w:p>
    <w:p w:rsidR="00BE5664" w:rsidRDefault="00BE5664" w:rsidP="00BE5664">
      <w:pPr>
        <w:ind w:firstLineChars="1200" w:firstLine="3360"/>
        <w:rPr>
          <w:rFonts w:ascii="仿宋_GB2312" w:hAnsi="Times New Roman"/>
          <w:sz w:val="28"/>
          <w:szCs w:val="28"/>
        </w:rPr>
      </w:pPr>
      <w:r>
        <w:rPr>
          <w:rFonts w:ascii="仿宋_GB2312" w:hAnsi="Times New Roman" w:hint="eastAsia"/>
          <w:sz w:val="28"/>
          <w:szCs w:val="28"/>
        </w:rPr>
        <w:t>课程</w:t>
      </w:r>
      <w:r>
        <w:rPr>
          <w:rFonts w:ascii="仿宋" w:eastAsia="仿宋" w:hAnsi="仿宋" w:hint="eastAsia"/>
          <w:sz w:val="28"/>
          <w:szCs w:val="28"/>
        </w:rPr>
        <w:t>负责人</w:t>
      </w:r>
      <w:r>
        <w:rPr>
          <w:rFonts w:ascii="仿宋_GB2312" w:hAnsi="Times New Roman" w:hint="eastAsia"/>
          <w:sz w:val="28"/>
          <w:szCs w:val="28"/>
        </w:rPr>
        <w:t>：张勋</w:t>
      </w:r>
    </w:p>
    <w:p w:rsidR="00BE5664" w:rsidRDefault="00BE5664" w:rsidP="00BE5664">
      <w:pPr>
        <w:ind w:firstLineChars="1200" w:firstLine="3360"/>
        <w:rPr>
          <w:rFonts w:ascii="仿宋_GB2312" w:hAnsi="Times New Roman"/>
          <w:sz w:val="28"/>
          <w:szCs w:val="28"/>
        </w:rPr>
      </w:pPr>
      <w:r>
        <w:rPr>
          <w:rFonts w:ascii="仿宋_GB2312" w:hAnsi="Times New Roman" w:hint="eastAsia"/>
          <w:sz w:val="28"/>
          <w:szCs w:val="28"/>
        </w:rPr>
        <w:lastRenderedPageBreak/>
        <w:t>审核人：袁春燕</w:t>
      </w:r>
    </w:p>
    <w:p w:rsidR="00BE5664" w:rsidRDefault="00BE5664" w:rsidP="00BE5664">
      <w:pPr>
        <w:spacing w:line="360" w:lineRule="auto"/>
        <w:ind w:firstLineChars="2000" w:firstLine="5600"/>
        <w:jc w:val="left"/>
        <w:rPr>
          <w:rFonts w:ascii="仿宋_GB2312" w:hAnsi="Times New Roman"/>
          <w:sz w:val="28"/>
          <w:szCs w:val="28"/>
        </w:rPr>
      </w:pPr>
      <w:r>
        <w:rPr>
          <w:rFonts w:ascii="仿宋_GB2312" w:hAnsi="Times New Roman" w:hint="eastAsia"/>
          <w:sz w:val="28"/>
          <w:szCs w:val="28"/>
        </w:rPr>
        <w:t xml:space="preserve">    </w:t>
      </w:r>
    </w:p>
    <w:p w:rsidR="00BE5664" w:rsidRDefault="00BE5664" w:rsidP="00BE5664">
      <w:pPr>
        <w:jc w:val="left"/>
        <w:rPr>
          <w:rFonts w:ascii="仿宋_GB2312" w:hAnsi="Times New Roman"/>
          <w:sz w:val="28"/>
          <w:szCs w:val="28"/>
        </w:rPr>
      </w:pPr>
      <w:r>
        <w:rPr>
          <w:rFonts w:ascii="仿宋_GB2312" w:hAnsi="Times New Roman" w:hint="eastAsia"/>
          <w:sz w:val="28"/>
          <w:szCs w:val="28"/>
        </w:rPr>
        <w:t xml:space="preserve">                                       </w:t>
      </w:r>
      <w:r>
        <w:rPr>
          <w:rFonts w:ascii="仿宋" w:eastAsia="仿宋" w:hAnsi="仿宋" w:hint="eastAsia"/>
          <w:sz w:val="28"/>
          <w:szCs w:val="28"/>
        </w:rPr>
        <w:t>2021</w:t>
      </w:r>
      <w:r>
        <w:rPr>
          <w:rFonts w:ascii="仿宋_GB2312" w:hAnsi="Times New Roman" w:hint="eastAsia"/>
          <w:sz w:val="28"/>
          <w:szCs w:val="28"/>
        </w:rPr>
        <w:t>年4月</w:t>
      </w:r>
    </w:p>
    <w:p w:rsidR="00BE5664" w:rsidRDefault="00BE5664"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BE5664">
      <w:pPr>
        <w:jc w:val="left"/>
        <w:rPr>
          <w:rFonts w:ascii="仿宋_GB2312" w:hAnsi="Times New Roman"/>
          <w:sz w:val="28"/>
          <w:szCs w:val="28"/>
        </w:rPr>
      </w:pPr>
    </w:p>
    <w:p w:rsidR="00C00235" w:rsidRDefault="00C00235" w:rsidP="00C00235">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C00235">
        <w:rPr>
          <w:rFonts w:ascii="方正小标宋简体" w:eastAsia="方正小标宋简体" w:hAnsi="宋体" w:hint="eastAsia"/>
          <w:kern w:val="0"/>
          <w:szCs w:val="32"/>
        </w:rPr>
        <w:t>工程项目投融资</w:t>
      </w:r>
      <w:r>
        <w:rPr>
          <w:rFonts w:ascii="方正小标宋简体" w:eastAsia="方正小标宋简体" w:hAnsi="宋体" w:hint="eastAsia"/>
          <w:kern w:val="0"/>
          <w:szCs w:val="32"/>
        </w:rPr>
        <w:t>》课程教学大纲</w:t>
      </w:r>
    </w:p>
    <w:p w:rsidR="00C00235" w:rsidRDefault="00C00235" w:rsidP="00C0023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00235" w:rsidRDefault="00C00235" w:rsidP="00C0023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sidRPr="00C00235">
        <w:rPr>
          <w:rFonts w:ascii="仿宋_GB2312" w:hAnsi="仿宋_GB2312" w:cs="仿宋_GB2312" w:hint="eastAsia"/>
          <w:bCs/>
          <w:sz w:val="28"/>
          <w:szCs w:val="28"/>
        </w:rPr>
        <w:t>Project Investment and Financing</w:t>
      </w:r>
    </w:p>
    <w:p w:rsidR="00C00235" w:rsidRDefault="00C00235" w:rsidP="00C00235">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sidRPr="00C00235">
        <w:rPr>
          <w:rFonts w:ascii="仿宋_GB2312" w:hAnsi="仿宋_GB2312" w:cs="仿宋_GB2312" w:hint="eastAsia"/>
          <w:bCs/>
          <w:sz w:val="28"/>
          <w:szCs w:val="28"/>
        </w:rPr>
        <w:t>Z2805230</w:t>
      </w:r>
    </w:p>
    <w:p w:rsidR="00C00235" w:rsidRDefault="00C00235" w:rsidP="00C0023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C00235" w:rsidRDefault="00C00235" w:rsidP="00C00235">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00235" w:rsidRDefault="00C00235" w:rsidP="00C0023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00235" w:rsidRDefault="00C00235" w:rsidP="00C0023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C00235" w:rsidRDefault="00C00235" w:rsidP="00C0023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C00235" w:rsidRDefault="00C00235" w:rsidP="00C00235">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w:t>
      </w:r>
    </w:p>
    <w:p w:rsidR="00C00235" w:rsidRDefault="00C00235" w:rsidP="00C0023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w:t>
      </w:r>
      <w:r w:rsidRPr="00C00235">
        <w:rPr>
          <w:rFonts w:ascii="仿宋_GB2312" w:hAnsi="仿宋_GB2312" w:cs="仿宋_GB2312" w:hint="eastAsia"/>
          <w:bCs/>
          <w:sz w:val="28"/>
          <w:szCs w:val="28"/>
        </w:rPr>
        <w:t>工程造价专业</w:t>
      </w:r>
    </w:p>
    <w:p w:rsidR="00C00235" w:rsidRDefault="00C00235" w:rsidP="00C0023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sidRPr="00C00235">
        <w:rPr>
          <w:rFonts w:ascii="仿宋_GB2312" w:hAnsi="仿宋_GB2312" w:cs="仿宋_GB2312" w:hint="eastAsia"/>
          <w:bCs/>
          <w:sz w:val="28"/>
          <w:szCs w:val="28"/>
        </w:rPr>
        <w:t>工程项目管理、经济学概论、工程经济学等</w:t>
      </w:r>
    </w:p>
    <w:p w:rsidR="00C00235" w:rsidRDefault="00C00235" w:rsidP="00C0023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w:t>
      </w:r>
      <w:r w:rsidR="005551FE" w:rsidRPr="005551FE">
        <w:rPr>
          <w:rFonts w:ascii="仿宋_GB2312" w:hAnsi="仿宋_GB2312" w:cs="仿宋_GB2312" w:hint="eastAsia"/>
          <w:bCs/>
          <w:sz w:val="28"/>
          <w:szCs w:val="28"/>
        </w:rPr>
        <w:t>土木工程学院工程造价与施工教研室</w:t>
      </w:r>
    </w:p>
    <w:p w:rsidR="005551FE" w:rsidRPr="005551FE" w:rsidRDefault="00C00235" w:rsidP="005551FE">
      <w:pPr>
        <w:pStyle w:val="ae"/>
        <w:numPr>
          <w:ilvl w:val="0"/>
          <w:numId w:val="94"/>
        </w:numPr>
        <w:spacing w:beforeLines="50" w:before="156" w:afterLines="50" w:after="156" w:line="560" w:lineRule="exact"/>
        <w:ind w:firstLineChars="0"/>
        <w:rPr>
          <w:rFonts w:ascii="黑体" w:eastAsia="黑体" w:hAnsi="黑体"/>
          <w:b/>
          <w:sz w:val="28"/>
          <w:szCs w:val="28"/>
        </w:rPr>
      </w:pPr>
      <w:r w:rsidRPr="005551FE">
        <w:rPr>
          <w:rFonts w:ascii="黑体" w:eastAsia="黑体" w:hAnsi="黑体" w:hint="eastAsia"/>
          <w:b/>
          <w:sz w:val="28"/>
          <w:szCs w:val="28"/>
        </w:rPr>
        <w:t>课程简介</w:t>
      </w:r>
    </w:p>
    <w:p w:rsidR="00AD1D5F" w:rsidRPr="005551FE" w:rsidRDefault="00AD1D5F" w:rsidP="005551FE">
      <w:pPr>
        <w:spacing w:line="360" w:lineRule="auto"/>
        <w:ind w:firstLine="331"/>
        <w:rPr>
          <w:rFonts w:ascii="仿宋_GB2312" w:hAnsi="仿宋_GB2312" w:cs="仿宋_GB2312"/>
          <w:bCs/>
          <w:sz w:val="28"/>
          <w:szCs w:val="28"/>
        </w:rPr>
      </w:pPr>
      <w:r w:rsidRPr="005551FE">
        <w:rPr>
          <w:rFonts w:ascii="仿宋_GB2312" w:hAnsi="仿宋_GB2312" w:cs="仿宋_GB2312"/>
          <w:bCs/>
          <w:sz w:val="28"/>
          <w:szCs w:val="28"/>
        </w:rPr>
        <w:t>课程教学目标</w:t>
      </w:r>
    </w:p>
    <w:p w:rsidR="00AD1D5F" w:rsidRPr="005551FE" w:rsidRDefault="00AD1D5F" w:rsidP="005551FE">
      <w:pPr>
        <w:spacing w:line="360" w:lineRule="auto"/>
        <w:ind w:firstLine="331"/>
        <w:rPr>
          <w:rFonts w:ascii="仿宋_GB2312" w:hAnsi="仿宋_GB2312" w:cs="仿宋_GB2312"/>
          <w:bCs/>
          <w:sz w:val="28"/>
          <w:szCs w:val="28"/>
        </w:rPr>
      </w:pPr>
      <w:r w:rsidRPr="005551FE">
        <w:rPr>
          <w:rFonts w:ascii="仿宋_GB2312" w:hAnsi="仿宋_GB2312" w:cs="仿宋_GB2312" w:hint="eastAsia"/>
          <w:bCs/>
          <w:sz w:val="28"/>
          <w:szCs w:val="28"/>
        </w:rPr>
        <w:t>本课程是面向工程造价专业开设的专业选修课，旨在通过理论教学，使学生加深对其相关经济理论知识的理解，提高对现实经济发展的判断能力，熟悉项目投融资管理中的多种投融资方式的特征，培养学生初步具备相关工作的管理能力。</w:t>
      </w:r>
      <w:r w:rsidRPr="005551FE">
        <w:rPr>
          <w:rFonts w:ascii="仿宋_GB2312" w:hAnsi="仿宋_GB2312" w:cs="仿宋_GB2312"/>
          <w:bCs/>
          <w:sz w:val="28"/>
          <w:szCs w:val="28"/>
        </w:rPr>
        <w:t>培养学生具备建筑行业道德和强烈的社会责任感，能够在工程实践中理解并遵守工程职业道德和规范，履行责任。</w:t>
      </w:r>
    </w:p>
    <w:p w:rsidR="00AD1D5F" w:rsidRPr="005551FE" w:rsidRDefault="00AD1D5F" w:rsidP="005551FE">
      <w:pPr>
        <w:spacing w:line="360" w:lineRule="auto"/>
        <w:ind w:firstLine="331"/>
        <w:rPr>
          <w:rFonts w:ascii="仿宋_GB2312" w:hAnsi="仿宋_GB2312" w:cs="仿宋_GB2312"/>
          <w:bCs/>
          <w:sz w:val="28"/>
          <w:szCs w:val="28"/>
        </w:rPr>
      </w:pPr>
      <w:r w:rsidRPr="005551FE">
        <w:rPr>
          <w:rFonts w:ascii="仿宋_GB2312" w:hAnsi="仿宋_GB2312" w:cs="仿宋_GB2312"/>
          <w:bCs/>
          <w:sz w:val="28"/>
          <w:szCs w:val="28"/>
        </w:rPr>
        <w:lastRenderedPageBreak/>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8"/>
        <w:gridCol w:w="3695"/>
        <w:gridCol w:w="813"/>
        <w:gridCol w:w="3000"/>
      </w:tblGrid>
      <w:tr w:rsidR="00AD1D5F" w:rsidRPr="005551FE" w:rsidTr="005551FE">
        <w:trPr>
          <w:trHeight w:val="454"/>
          <w:jc w:val="center"/>
        </w:trPr>
        <w:tc>
          <w:tcPr>
            <w:tcW w:w="475" w:type="pct"/>
            <w:vMerge w:val="restar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序号</w:t>
            </w:r>
          </w:p>
        </w:tc>
        <w:tc>
          <w:tcPr>
            <w:tcW w:w="2227" w:type="pct"/>
            <w:vMerge w:val="restart"/>
            <w:tcBorders>
              <w:top w:val="single" w:sz="4" w:space="0" w:color="000000"/>
              <w:left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
                <w:bCs/>
                <w:sz w:val="24"/>
                <w:szCs w:val="24"/>
              </w:rPr>
            </w:pPr>
            <w:r w:rsidRPr="005551FE">
              <w:rPr>
                <w:rFonts w:ascii="仿宋_GB2312" w:hAnsi="仿宋_GB2312" w:cs="仿宋_GB2312"/>
                <w:b/>
                <w:bCs/>
                <w:sz w:val="24"/>
                <w:szCs w:val="24"/>
              </w:rPr>
              <w:t>课程教学目标</w:t>
            </w:r>
          </w:p>
        </w:tc>
        <w:tc>
          <w:tcPr>
            <w:tcW w:w="2298" w:type="pct"/>
            <w:gridSpan w:val="2"/>
            <w:tcBorders>
              <w:top w:val="single" w:sz="4" w:space="0" w:color="000000"/>
              <w:left w:val="single" w:sz="4" w:space="0" w:color="000000"/>
              <w:bottom w:val="single" w:sz="4" w:space="0" w:color="auto"/>
              <w:right w:val="single" w:sz="4" w:space="0" w:color="auto"/>
            </w:tcBorders>
            <w:vAlign w:val="center"/>
          </w:tcPr>
          <w:p w:rsidR="00AD1D5F" w:rsidRPr="005551FE" w:rsidRDefault="00AD1D5F" w:rsidP="005551FE">
            <w:pPr>
              <w:spacing w:line="360" w:lineRule="auto"/>
              <w:ind w:firstLine="331"/>
              <w:rPr>
                <w:rFonts w:ascii="仿宋_GB2312" w:hAnsi="仿宋_GB2312" w:cs="仿宋_GB2312"/>
                <w:b/>
                <w:bCs/>
                <w:sz w:val="24"/>
                <w:szCs w:val="24"/>
              </w:rPr>
            </w:pPr>
            <w:r w:rsidRPr="005551FE">
              <w:rPr>
                <w:rFonts w:ascii="仿宋_GB2312" w:hAnsi="仿宋_GB2312" w:cs="仿宋_GB2312"/>
                <w:b/>
                <w:bCs/>
                <w:sz w:val="24"/>
                <w:szCs w:val="24"/>
              </w:rPr>
              <w:t>支撑毕业要求指标点</w:t>
            </w:r>
          </w:p>
        </w:tc>
      </w:tr>
      <w:tr w:rsidR="00AD1D5F" w:rsidRPr="005551FE" w:rsidTr="005551FE">
        <w:trPr>
          <w:trHeight w:val="454"/>
          <w:jc w:val="center"/>
        </w:trPr>
        <w:tc>
          <w:tcPr>
            <w:tcW w:w="475" w:type="pct"/>
            <w:vMerge/>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
                <w:bCs/>
                <w:sz w:val="24"/>
                <w:szCs w:val="24"/>
              </w:rPr>
            </w:pPr>
          </w:p>
        </w:tc>
        <w:tc>
          <w:tcPr>
            <w:tcW w:w="2227" w:type="pct"/>
            <w:vMerge/>
            <w:tcBorders>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
                <w:bCs/>
                <w:sz w:val="24"/>
                <w:szCs w:val="24"/>
              </w:rPr>
            </w:pPr>
          </w:p>
        </w:tc>
        <w:tc>
          <w:tcPr>
            <w:tcW w:w="490" w:type="pct"/>
            <w:tcBorders>
              <w:top w:val="single" w:sz="4" w:space="0" w:color="auto"/>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
                <w:bCs/>
                <w:sz w:val="24"/>
                <w:szCs w:val="24"/>
              </w:rPr>
            </w:pPr>
            <w:r w:rsidRPr="005551FE">
              <w:rPr>
                <w:rFonts w:ascii="仿宋_GB2312" w:hAnsi="仿宋_GB2312" w:cs="仿宋_GB2312"/>
                <w:b/>
                <w:bCs/>
                <w:sz w:val="24"/>
                <w:szCs w:val="24"/>
              </w:rPr>
              <w:t>指标点</w:t>
            </w:r>
          </w:p>
        </w:tc>
        <w:tc>
          <w:tcPr>
            <w:tcW w:w="1808" w:type="pct"/>
            <w:tcBorders>
              <w:top w:val="single" w:sz="4" w:space="0" w:color="auto"/>
              <w:left w:val="single" w:sz="4" w:space="0" w:color="000000"/>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
                <w:bCs/>
                <w:sz w:val="24"/>
                <w:szCs w:val="24"/>
              </w:rPr>
            </w:pPr>
            <w:r w:rsidRPr="005551FE">
              <w:rPr>
                <w:rFonts w:ascii="仿宋_GB2312" w:hAnsi="仿宋_GB2312" w:cs="仿宋_GB2312"/>
                <w:b/>
                <w:bCs/>
                <w:sz w:val="24"/>
                <w:szCs w:val="24"/>
              </w:rPr>
              <w:t>指标点内容</w:t>
            </w:r>
          </w:p>
        </w:tc>
      </w:tr>
      <w:tr w:rsidR="00AD1D5F" w:rsidRPr="005551FE" w:rsidTr="005551FE">
        <w:trPr>
          <w:trHeight w:val="454"/>
          <w:jc w:val="center"/>
        </w:trPr>
        <w:tc>
          <w:tcPr>
            <w:tcW w:w="475"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w:t>
            </w:r>
          </w:p>
        </w:tc>
        <w:tc>
          <w:tcPr>
            <w:tcW w:w="2227"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目标1：熟悉工程项目的投资环境分析；</w:t>
            </w:r>
            <w:r w:rsidRPr="005551FE">
              <w:rPr>
                <w:rFonts w:ascii="仿宋_GB2312" w:hAnsi="仿宋_GB2312" w:cs="仿宋_GB2312" w:hint="eastAsia"/>
                <w:bCs/>
                <w:sz w:val="24"/>
                <w:szCs w:val="24"/>
              </w:rPr>
              <w:t>掌握项目投融资的理论基础，熟悉项目投融资的运作方式及风险管理。</w:t>
            </w:r>
          </w:p>
        </w:tc>
        <w:tc>
          <w:tcPr>
            <w:tcW w:w="490"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1</w:t>
            </w:r>
          </w:p>
        </w:tc>
        <w:tc>
          <w:tcPr>
            <w:tcW w:w="1808"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能够在土木工程专业的多学科环境中，将数学、自然科学、工程基础、经济学和专业知识等运用于复杂工程问题的解决。</w:t>
            </w:r>
          </w:p>
        </w:tc>
      </w:tr>
      <w:tr w:rsidR="00AD1D5F" w:rsidRPr="005551FE" w:rsidTr="005551FE">
        <w:trPr>
          <w:trHeight w:val="454"/>
          <w:jc w:val="center"/>
        </w:trPr>
        <w:tc>
          <w:tcPr>
            <w:tcW w:w="475"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c>
          <w:tcPr>
            <w:tcW w:w="2227"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目标2：</w:t>
            </w:r>
            <w:r w:rsidRPr="005551FE">
              <w:rPr>
                <w:rFonts w:ascii="仿宋_GB2312" w:hAnsi="仿宋_GB2312" w:cs="仿宋_GB2312" w:hint="eastAsia"/>
                <w:bCs/>
                <w:sz w:val="24"/>
                <w:szCs w:val="24"/>
              </w:rPr>
              <w:t>初步掌握</w:t>
            </w:r>
            <w:r w:rsidRPr="005551FE">
              <w:rPr>
                <w:rFonts w:ascii="仿宋_GB2312" w:hAnsi="仿宋_GB2312" w:cs="仿宋_GB2312"/>
                <w:bCs/>
                <w:sz w:val="24"/>
                <w:szCs w:val="24"/>
              </w:rPr>
              <w:t>运用工程项目投资与融资管理与决策的相关理论和方法进行工程项目投资与融资的实用技能</w:t>
            </w:r>
            <w:r w:rsidRPr="005551FE">
              <w:rPr>
                <w:rFonts w:ascii="仿宋_GB2312" w:hAnsi="仿宋_GB2312" w:cs="仿宋_GB2312" w:hint="eastAsia"/>
                <w:bCs/>
                <w:sz w:val="24"/>
                <w:szCs w:val="24"/>
              </w:rPr>
              <w:t>，初步具有相关工作的管理能力。</w:t>
            </w:r>
          </w:p>
        </w:tc>
        <w:tc>
          <w:tcPr>
            <w:tcW w:w="490"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11</w:t>
            </w:r>
          </w:p>
        </w:tc>
        <w:tc>
          <w:tcPr>
            <w:tcW w:w="1808"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能够在与土木工程专业相关的多学科环境中，掌握工程项目涉及的管理原理与经济决策方法。</w:t>
            </w:r>
          </w:p>
        </w:tc>
      </w:tr>
    </w:tbl>
    <w:p w:rsidR="005551FE" w:rsidRDefault="005551FE" w:rsidP="005551F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3060"/>
        <w:gridCol w:w="2106"/>
        <w:gridCol w:w="911"/>
        <w:gridCol w:w="668"/>
        <w:gridCol w:w="883"/>
      </w:tblGrid>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序号</w:t>
            </w:r>
          </w:p>
        </w:tc>
        <w:tc>
          <w:tcPr>
            <w:tcW w:w="1870" w:type="pct"/>
            <w:tcBorders>
              <w:top w:val="single" w:sz="4" w:space="0" w:color="000000"/>
              <w:left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
                <w:bCs/>
                <w:sz w:val="24"/>
                <w:szCs w:val="24"/>
              </w:rPr>
            </w:pPr>
            <w:r w:rsidRPr="005551FE">
              <w:rPr>
                <w:rFonts w:ascii="仿宋_GB2312" w:hAnsi="仿宋_GB2312" w:cs="仿宋_GB2312"/>
                <w:b/>
                <w:bCs/>
                <w:sz w:val="24"/>
                <w:szCs w:val="24"/>
              </w:rPr>
              <w:t>教学内容及重点、难点</w:t>
            </w:r>
          </w:p>
        </w:tc>
        <w:tc>
          <w:tcPr>
            <w:tcW w:w="1295" w:type="pct"/>
            <w:tcBorders>
              <w:top w:val="single" w:sz="4" w:space="0" w:color="000000"/>
              <w:left w:val="single" w:sz="4" w:space="0" w:color="auto"/>
              <w:right w:val="single" w:sz="4" w:space="0" w:color="auto"/>
            </w:tcBorders>
            <w:vAlign w:val="center"/>
          </w:tcPr>
          <w:p w:rsidR="00AD1D5F" w:rsidRPr="005551FE" w:rsidRDefault="00AD1D5F" w:rsidP="005551FE">
            <w:pPr>
              <w:spacing w:line="360" w:lineRule="auto"/>
              <w:ind w:firstLine="331"/>
              <w:rPr>
                <w:rFonts w:ascii="仿宋_GB2312" w:hAnsi="仿宋_GB2312" w:cs="仿宋_GB2312"/>
                <w:b/>
                <w:bCs/>
                <w:sz w:val="24"/>
                <w:szCs w:val="24"/>
              </w:rPr>
            </w:pPr>
            <w:r w:rsidRPr="005551FE">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支撑课程教学目标</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内容：第</w:t>
            </w:r>
            <w:r w:rsidRPr="005551FE">
              <w:rPr>
                <w:rFonts w:ascii="仿宋_GB2312" w:hAnsi="仿宋_GB2312" w:cs="仿宋_GB2312" w:hint="eastAsia"/>
                <w:bCs/>
                <w:sz w:val="24"/>
                <w:szCs w:val="24"/>
              </w:rPr>
              <w:t>1</w:t>
            </w:r>
            <w:r w:rsidRPr="005551FE">
              <w:rPr>
                <w:rFonts w:ascii="仿宋_GB2312" w:hAnsi="仿宋_GB2312" w:cs="仿宋_GB2312"/>
                <w:bCs/>
                <w:sz w:val="24"/>
                <w:szCs w:val="24"/>
              </w:rPr>
              <w:t>章</w:t>
            </w:r>
            <w:r w:rsidRPr="005551FE">
              <w:rPr>
                <w:rFonts w:ascii="仿宋_GB2312" w:hAnsi="仿宋_GB2312" w:cs="仿宋_GB2312" w:hint="eastAsia"/>
                <w:bCs/>
                <w:sz w:val="24"/>
                <w:szCs w:val="24"/>
              </w:rPr>
              <w:t xml:space="preserve"> 项目投融资概述</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项目投融资的含义与类型、项目投融资的评价准则、项目投融资选择的影响因素</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1.了解</w:t>
            </w:r>
            <w:r w:rsidRPr="005551FE">
              <w:rPr>
                <w:rFonts w:ascii="仿宋_GB2312" w:hAnsi="仿宋_GB2312" w:cs="仿宋_GB2312" w:hint="eastAsia"/>
                <w:bCs/>
                <w:sz w:val="24"/>
                <w:szCs w:val="24"/>
              </w:rPr>
              <w:t>项目投融资的原则、资金来源、参与者及成功的基本条件</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2.理解</w:t>
            </w:r>
            <w:r w:rsidRPr="005551FE">
              <w:rPr>
                <w:rFonts w:ascii="仿宋_GB2312" w:hAnsi="仿宋_GB2312" w:cs="仿宋_GB2312" w:hint="eastAsia"/>
                <w:bCs/>
                <w:sz w:val="24"/>
                <w:szCs w:val="24"/>
              </w:rPr>
              <w:t>项目投融资的含义</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3.熟悉项目投融资的类型、评价</w:t>
            </w:r>
            <w:r w:rsidRPr="005551FE">
              <w:rPr>
                <w:rFonts w:ascii="仿宋_GB2312" w:hAnsi="仿宋_GB2312" w:cs="仿宋_GB2312" w:hint="eastAsia"/>
                <w:bCs/>
                <w:sz w:val="24"/>
                <w:szCs w:val="24"/>
              </w:rPr>
              <w:lastRenderedPageBreak/>
              <w:t>准则及评价准则</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目标1</w:t>
            </w:r>
            <w:r w:rsidRPr="005551FE">
              <w:rPr>
                <w:rFonts w:ascii="仿宋_GB2312" w:hAnsi="仿宋_GB2312" w:cs="仿宋_GB2312" w:hint="eastAsia"/>
                <w:bCs/>
                <w:sz w:val="24"/>
                <w:szCs w:val="24"/>
              </w:rPr>
              <w:t>、2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内容：第</w:t>
            </w:r>
            <w:r w:rsidRPr="005551FE">
              <w:rPr>
                <w:rFonts w:ascii="仿宋_GB2312" w:hAnsi="仿宋_GB2312" w:cs="仿宋_GB2312" w:hint="eastAsia"/>
                <w:bCs/>
                <w:sz w:val="24"/>
                <w:szCs w:val="24"/>
              </w:rPr>
              <w:t>2</w:t>
            </w:r>
            <w:r w:rsidRPr="005551FE">
              <w:rPr>
                <w:rFonts w:ascii="仿宋_GB2312" w:hAnsi="仿宋_GB2312" w:cs="仿宋_GB2312"/>
                <w:bCs/>
                <w:sz w:val="24"/>
                <w:szCs w:val="24"/>
              </w:rPr>
              <w:t>章</w:t>
            </w:r>
            <w:r w:rsidRPr="005551FE">
              <w:rPr>
                <w:rFonts w:ascii="仿宋_GB2312" w:hAnsi="仿宋_GB2312" w:cs="仿宋_GB2312" w:hint="eastAsia"/>
                <w:bCs/>
                <w:sz w:val="24"/>
                <w:szCs w:val="24"/>
              </w:rPr>
              <w:t xml:space="preserve"> 资金的时间价值</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资金时间价值</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w:t>
            </w:r>
            <w:r w:rsidRPr="005551FE">
              <w:rPr>
                <w:rFonts w:ascii="仿宋_GB2312" w:hAnsi="仿宋_GB2312" w:cs="仿宋_GB2312" w:hint="eastAsia"/>
                <w:bCs/>
                <w:sz w:val="24"/>
                <w:szCs w:val="24"/>
              </w:rPr>
              <w:t>回顾资金时间价值的基本概念</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r w:rsidRPr="005551FE">
              <w:rPr>
                <w:rFonts w:ascii="仿宋_GB2312" w:hAnsi="仿宋_GB2312" w:cs="仿宋_GB2312" w:hint="eastAsia"/>
                <w:bCs/>
                <w:sz w:val="24"/>
                <w:szCs w:val="24"/>
              </w:rPr>
              <w:t>从工程项目投融资的角度出发，理解资金时间价值对投融资的影响</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内容：第</w:t>
            </w:r>
            <w:r w:rsidRPr="005551FE">
              <w:rPr>
                <w:rFonts w:ascii="仿宋_GB2312" w:hAnsi="仿宋_GB2312" w:cs="仿宋_GB2312" w:hint="eastAsia"/>
                <w:bCs/>
                <w:sz w:val="24"/>
                <w:szCs w:val="24"/>
              </w:rPr>
              <w:t>3</w:t>
            </w:r>
            <w:r w:rsidRPr="005551FE">
              <w:rPr>
                <w:rFonts w:ascii="仿宋_GB2312" w:hAnsi="仿宋_GB2312" w:cs="仿宋_GB2312"/>
                <w:bCs/>
                <w:sz w:val="24"/>
                <w:szCs w:val="24"/>
              </w:rPr>
              <w:t>章</w:t>
            </w:r>
            <w:r w:rsidRPr="005551FE">
              <w:rPr>
                <w:rFonts w:ascii="仿宋_GB2312" w:hAnsi="仿宋_GB2312" w:cs="仿宋_GB2312" w:hint="eastAsia"/>
                <w:bCs/>
                <w:sz w:val="24"/>
                <w:szCs w:val="24"/>
              </w:rPr>
              <w:t xml:space="preserve"> 财政资金投融资</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财政贷款</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难点：</w:t>
            </w:r>
            <w:r w:rsidRPr="005551FE">
              <w:rPr>
                <w:rFonts w:ascii="仿宋_GB2312" w:hAnsi="仿宋_GB2312" w:cs="仿宋_GB2312" w:hint="eastAsia"/>
                <w:bCs/>
                <w:sz w:val="24"/>
                <w:szCs w:val="24"/>
              </w:rPr>
              <w:t>无</w:t>
            </w:r>
            <w:r w:rsidRPr="005551FE">
              <w:rPr>
                <w:rFonts w:ascii="仿宋_GB2312" w:hAnsi="仿宋_GB2312" w:cs="仿宋_GB2312"/>
                <w:bCs/>
                <w:sz w:val="24"/>
                <w:szCs w:val="24"/>
              </w:rPr>
              <w:t xml:space="preserve"> </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1.了解</w:t>
            </w:r>
            <w:r w:rsidRPr="005551FE">
              <w:rPr>
                <w:rFonts w:ascii="仿宋_GB2312" w:hAnsi="仿宋_GB2312" w:cs="仿宋_GB2312" w:hint="eastAsia"/>
                <w:bCs/>
                <w:sz w:val="24"/>
                <w:szCs w:val="24"/>
              </w:rPr>
              <w:t>财政投融资的作用</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r w:rsidRPr="005551FE">
              <w:rPr>
                <w:rFonts w:ascii="仿宋_GB2312" w:hAnsi="仿宋_GB2312" w:cs="仿宋_GB2312" w:hint="eastAsia"/>
                <w:bCs/>
                <w:sz w:val="24"/>
                <w:szCs w:val="24"/>
              </w:rPr>
              <w:t>理解财政拨款相关内容</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3.掌握财政贷款的条件及基本流程</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目标1</w:t>
            </w:r>
            <w:r w:rsidRPr="005551FE">
              <w:rPr>
                <w:rFonts w:ascii="仿宋_GB2312" w:hAnsi="仿宋_GB2312" w:cs="仿宋_GB2312" w:hint="eastAsia"/>
                <w:bCs/>
                <w:sz w:val="24"/>
                <w:szCs w:val="24"/>
              </w:rPr>
              <w:t>、2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4</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内容：第</w:t>
            </w:r>
            <w:r w:rsidRPr="005551FE">
              <w:rPr>
                <w:rFonts w:ascii="仿宋_GB2312" w:hAnsi="仿宋_GB2312" w:cs="仿宋_GB2312" w:hint="eastAsia"/>
                <w:bCs/>
                <w:sz w:val="24"/>
                <w:szCs w:val="24"/>
              </w:rPr>
              <w:t>4</w:t>
            </w:r>
            <w:r w:rsidRPr="005551FE">
              <w:rPr>
                <w:rFonts w:ascii="仿宋_GB2312" w:hAnsi="仿宋_GB2312" w:cs="仿宋_GB2312"/>
                <w:bCs/>
                <w:sz w:val="24"/>
                <w:szCs w:val="24"/>
              </w:rPr>
              <w:t>章</w:t>
            </w:r>
            <w:r w:rsidRPr="005551FE">
              <w:rPr>
                <w:rFonts w:ascii="仿宋_GB2312" w:hAnsi="仿宋_GB2312" w:cs="仿宋_GB2312" w:hint="eastAsia"/>
                <w:bCs/>
                <w:sz w:val="24"/>
                <w:szCs w:val="24"/>
              </w:rPr>
              <w:t xml:space="preserve"> 银行贷款投融资</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基本建设投资贷款</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1.了解</w:t>
            </w:r>
            <w:r w:rsidRPr="005551FE">
              <w:rPr>
                <w:rFonts w:ascii="仿宋_GB2312" w:hAnsi="仿宋_GB2312" w:cs="仿宋_GB2312" w:hint="eastAsia"/>
                <w:bCs/>
                <w:sz w:val="24"/>
                <w:szCs w:val="24"/>
              </w:rPr>
              <w:t>银行贷款的资金属性、贷款对象</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r w:rsidRPr="005551FE">
              <w:rPr>
                <w:rFonts w:ascii="仿宋_GB2312" w:hAnsi="仿宋_GB2312" w:cs="仿宋_GB2312" w:hint="eastAsia"/>
                <w:bCs/>
                <w:sz w:val="24"/>
                <w:szCs w:val="24"/>
              </w:rPr>
              <w:t>理解贷款的提供方</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3.掌握银行贷款的条件，贷款类型，银行贷款融资的特点与方法，基本建设投资贷款</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目标1</w:t>
            </w:r>
            <w:r w:rsidRPr="005551FE">
              <w:rPr>
                <w:rFonts w:ascii="仿宋_GB2312" w:hAnsi="仿宋_GB2312" w:cs="仿宋_GB2312" w:hint="eastAsia"/>
                <w:bCs/>
                <w:sz w:val="24"/>
                <w:szCs w:val="24"/>
              </w:rPr>
              <w:t>、2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5</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内容：第</w:t>
            </w:r>
            <w:r w:rsidRPr="005551FE">
              <w:rPr>
                <w:rFonts w:ascii="仿宋_GB2312" w:hAnsi="仿宋_GB2312" w:cs="仿宋_GB2312" w:hint="eastAsia"/>
                <w:bCs/>
                <w:sz w:val="24"/>
                <w:szCs w:val="24"/>
              </w:rPr>
              <w:t>5</w:t>
            </w:r>
            <w:r w:rsidRPr="005551FE">
              <w:rPr>
                <w:rFonts w:ascii="仿宋_GB2312" w:hAnsi="仿宋_GB2312" w:cs="仿宋_GB2312"/>
                <w:bCs/>
                <w:sz w:val="24"/>
                <w:szCs w:val="24"/>
              </w:rPr>
              <w:t>章</w:t>
            </w:r>
            <w:r w:rsidRPr="005551FE">
              <w:rPr>
                <w:rFonts w:ascii="仿宋_GB2312" w:hAnsi="仿宋_GB2312" w:cs="仿宋_GB2312" w:hint="eastAsia"/>
                <w:bCs/>
                <w:sz w:val="24"/>
                <w:szCs w:val="24"/>
              </w:rPr>
              <w:t xml:space="preserve"> 证券投融资</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股票及债券的发</w:t>
            </w:r>
            <w:r w:rsidRPr="005551FE">
              <w:rPr>
                <w:rFonts w:ascii="仿宋_GB2312" w:hAnsi="仿宋_GB2312" w:cs="仿宋_GB2312" w:hint="eastAsia"/>
                <w:bCs/>
                <w:sz w:val="24"/>
                <w:szCs w:val="24"/>
              </w:rPr>
              <w:lastRenderedPageBreak/>
              <w:t>行方式及发行程序</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lastRenderedPageBreak/>
              <w:t>1.</w:t>
            </w:r>
            <w:r w:rsidRPr="005551FE">
              <w:rPr>
                <w:rFonts w:ascii="仿宋_GB2312" w:hAnsi="仿宋_GB2312" w:cs="仿宋_GB2312" w:hint="eastAsia"/>
                <w:bCs/>
                <w:sz w:val="24"/>
                <w:szCs w:val="24"/>
              </w:rPr>
              <w:t>了解证券的特点，普通股、优先股投融资</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lastRenderedPageBreak/>
              <w:t>2.理解证券的风险，企业债券投融资</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3.掌握证券的发行方式及发行程序</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目标1</w:t>
            </w:r>
            <w:r w:rsidRPr="005551FE">
              <w:rPr>
                <w:rFonts w:ascii="仿宋_GB2312" w:hAnsi="仿宋_GB2312" w:cs="仿宋_GB2312" w:hint="eastAsia"/>
                <w:bCs/>
                <w:sz w:val="24"/>
                <w:szCs w:val="24"/>
              </w:rPr>
              <w:t>、2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6</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内容：第</w:t>
            </w:r>
            <w:r w:rsidRPr="005551FE">
              <w:rPr>
                <w:rFonts w:ascii="仿宋_GB2312" w:hAnsi="仿宋_GB2312" w:cs="仿宋_GB2312" w:hint="eastAsia"/>
                <w:bCs/>
                <w:sz w:val="24"/>
                <w:szCs w:val="24"/>
              </w:rPr>
              <w:t>6</w:t>
            </w:r>
            <w:r w:rsidRPr="005551FE">
              <w:rPr>
                <w:rFonts w:ascii="仿宋_GB2312" w:hAnsi="仿宋_GB2312" w:cs="仿宋_GB2312"/>
                <w:bCs/>
                <w:sz w:val="24"/>
                <w:szCs w:val="24"/>
              </w:rPr>
              <w:t>章</w:t>
            </w:r>
            <w:r w:rsidRPr="005551FE">
              <w:rPr>
                <w:rFonts w:ascii="仿宋_GB2312" w:hAnsi="仿宋_GB2312" w:cs="仿宋_GB2312" w:hint="eastAsia"/>
                <w:bCs/>
                <w:sz w:val="24"/>
                <w:szCs w:val="24"/>
              </w:rPr>
              <w:t xml:space="preserve"> 投资基金投融资</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投资基金的发行、转让和交易</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w:t>
            </w:r>
            <w:r w:rsidRPr="005551FE">
              <w:rPr>
                <w:rFonts w:ascii="仿宋_GB2312" w:hAnsi="仿宋_GB2312" w:cs="仿宋_GB2312" w:hint="eastAsia"/>
                <w:bCs/>
                <w:sz w:val="24"/>
                <w:szCs w:val="24"/>
              </w:rPr>
              <w:t>了解投资基金的含义、产生及演变</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2.理解投资基金的发行、转让和交易</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目标1</w:t>
            </w:r>
            <w:r w:rsidRPr="005551FE">
              <w:rPr>
                <w:rFonts w:ascii="仿宋_GB2312" w:hAnsi="仿宋_GB2312" w:cs="仿宋_GB2312" w:hint="eastAsia"/>
                <w:bCs/>
                <w:sz w:val="24"/>
                <w:szCs w:val="24"/>
              </w:rPr>
              <w:t>、2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7</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内容：第</w:t>
            </w:r>
            <w:r w:rsidRPr="005551FE">
              <w:rPr>
                <w:rFonts w:ascii="仿宋_GB2312" w:hAnsi="仿宋_GB2312" w:cs="仿宋_GB2312" w:hint="eastAsia"/>
                <w:bCs/>
                <w:sz w:val="24"/>
                <w:szCs w:val="24"/>
              </w:rPr>
              <w:t>7</w:t>
            </w:r>
            <w:r w:rsidRPr="005551FE">
              <w:rPr>
                <w:rFonts w:ascii="仿宋_GB2312" w:hAnsi="仿宋_GB2312" w:cs="仿宋_GB2312"/>
                <w:bCs/>
                <w:sz w:val="24"/>
                <w:szCs w:val="24"/>
              </w:rPr>
              <w:t>章</w:t>
            </w:r>
            <w:r w:rsidRPr="005551FE">
              <w:rPr>
                <w:rFonts w:ascii="仿宋_GB2312" w:hAnsi="仿宋_GB2312" w:cs="仿宋_GB2312" w:hint="eastAsia"/>
                <w:bCs/>
                <w:sz w:val="24"/>
                <w:szCs w:val="24"/>
              </w:rPr>
              <w:t xml:space="preserve"> 资产证券化投融资</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资产证券化的运作</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w:t>
            </w:r>
            <w:r w:rsidRPr="005551FE">
              <w:rPr>
                <w:rFonts w:ascii="仿宋_GB2312" w:hAnsi="仿宋_GB2312" w:cs="仿宋_GB2312" w:hint="eastAsia"/>
                <w:bCs/>
                <w:sz w:val="24"/>
                <w:szCs w:val="24"/>
              </w:rPr>
              <w:t>了解资产证券化的含义与类型</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2.理解资产证券化的基本模式，资产证券化的运作</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目标1</w:t>
            </w:r>
            <w:r w:rsidRPr="005551FE">
              <w:rPr>
                <w:rFonts w:ascii="仿宋_GB2312" w:hAnsi="仿宋_GB2312" w:cs="仿宋_GB2312" w:hint="eastAsia"/>
                <w:bCs/>
                <w:sz w:val="24"/>
                <w:szCs w:val="24"/>
              </w:rPr>
              <w:t>、2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8</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内容：第</w:t>
            </w:r>
            <w:r w:rsidRPr="005551FE">
              <w:rPr>
                <w:rFonts w:ascii="仿宋_GB2312" w:hAnsi="仿宋_GB2312" w:cs="仿宋_GB2312" w:hint="eastAsia"/>
                <w:bCs/>
                <w:sz w:val="24"/>
                <w:szCs w:val="24"/>
              </w:rPr>
              <w:t>8</w:t>
            </w:r>
            <w:r w:rsidRPr="005551FE">
              <w:rPr>
                <w:rFonts w:ascii="仿宋_GB2312" w:hAnsi="仿宋_GB2312" w:cs="仿宋_GB2312"/>
                <w:bCs/>
                <w:sz w:val="24"/>
                <w:szCs w:val="24"/>
              </w:rPr>
              <w:t>章</w:t>
            </w:r>
            <w:r w:rsidRPr="005551FE">
              <w:rPr>
                <w:rFonts w:ascii="仿宋_GB2312" w:hAnsi="仿宋_GB2312" w:cs="仿宋_GB2312" w:hint="eastAsia"/>
                <w:bCs/>
                <w:sz w:val="24"/>
                <w:szCs w:val="24"/>
              </w:rPr>
              <w:t xml:space="preserve"> 风险资本投融资</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风险资本的筹集、运作及退出</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w:t>
            </w:r>
            <w:r w:rsidRPr="005551FE">
              <w:rPr>
                <w:rFonts w:ascii="仿宋_GB2312" w:hAnsi="仿宋_GB2312" w:cs="仿宋_GB2312" w:hint="eastAsia"/>
                <w:bCs/>
                <w:sz w:val="24"/>
                <w:szCs w:val="24"/>
              </w:rPr>
              <w:t>了解风险投资的定义、特点及分类，风险投资在我国的发展现状</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2.理解风险资本的筹集、运作及退出</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目标1</w:t>
            </w:r>
            <w:r w:rsidRPr="005551FE">
              <w:rPr>
                <w:rFonts w:ascii="仿宋_GB2312" w:hAnsi="仿宋_GB2312" w:cs="仿宋_GB2312" w:hint="eastAsia"/>
                <w:bCs/>
                <w:sz w:val="24"/>
                <w:szCs w:val="24"/>
              </w:rPr>
              <w:t>、2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9</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内容：第</w:t>
            </w:r>
            <w:r w:rsidRPr="005551FE">
              <w:rPr>
                <w:rFonts w:ascii="仿宋_GB2312" w:hAnsi="仿宋_GB2312" w:cs="仿宋_GB2312" w:hint="eastAsia"/>
                <w:bCs/>
                <w:sz w:val="24"/>
                <w:szCs w:val="24"/>
              </w:rPr>
              <w:t>9</w:t>
            </w:r>
            <w:r w:rsidRPr="005551FE">
              <w:rPr>
                <w:rFonts w:ascii="仿宋_GB2312" w:hAnsi="仿宋_GB2312" w:cs="仿宋_GB2312"/>
                <w:bCs/>
                <w:sz w:val="24"/>
                <w:szCs w:val="24"/>
              </w:rPr>
              <w:t>章</w:t>
            </w:r>
            <w:r w:rsidRPr="005551FE">
              <w:rPr>
                <w:rFonts w:ascii="仿宋_GB2312" w:hAnsi="仿宋_GB2312" w:cs="仿宋_GB2312" w:hint="eastAsia"/>
                <w:bCs/>
                <w:sz w:val="24"/>
                <w:szCs w:val="24"/>
              </w:rPr>
              <w:t xml:space="preserve"> 项目融资</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项目融资的融资结构，资金筹措渠道与方</w:t>
            </w:r>
            <w:r w:rsidRPr="005551FE">
              <w:rPr>
                <w:rFonts w:ascii="仿宋_GB2312" w:hAnsi="仿宋_GB2312" w:cs="仿宋_GB2312" w:hint="eastAsia"/>
                <w:bCs/>
                <w:sz w:val="24"/>
                <w:szCs w:val="24"/>
              </w:rPr>
              <w:lastRenderedPageBreak/>
              <w:t>式，项目融资的运作流程</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lastRenderedPageBreak/>
              <w:t>1.</w:t>
            </w:r>
            <w:r w:rsidRPr="005551FE">
              <w:rPr>
                <w:rFonts w:ascii="仿宋_GB2312" w:hAnsi="仿宋_GB2312" w:cs="仿宋_GB2312" w:hint="eastAsia"/>
                <w:bCs/>
                <w:sz w:val="24"/>
                <w:szCs w:val="24"/>
              </w:rPr>
              <w:t>了解项目融资的含义，应用领域</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lastRenderedPageBreak/>
              <w:t>2.理解项目融资的优缺点</w:t>
            </w:r>
          </w:p>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3.掌握项目融资的融资结构，资金筹措渠道与方式，运作流程</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目标1</w:t>
            </w:r>
            <w:r w:rsidRPr="005551FE">
              <w:rPr>
                <w:rFonts w:ascii="仿宋_GB2312" w:hAnsi="仿宋_GB2312" w:cs="仿宋_GB2312" w:hint="eastAsia"/>
                <w:bCs/>
                <w:sz w:val="24"/>
                <w:szCs w:val="24"/>
              </w:rPr>
              <w:t>、2</w:t>
            </w:r>
          </w:p>
        </w:tc>
      </w:tr>
    </w:tbl>
    <w:p w:rsidR="00AD1D5F" w:rsidRPr="005551FE" w:rsidRDefault="00AD1D5F" w:rsidP="00AD1D5F">
      <w:pPr>
        <w:keepNext/>
        <w:spacing w:beforeLines="100" w:before="312" w:afterLines="50" w:after="156" w:line="360" w:lineRule="exact"/>
        <w:outlineLvl w:val="0"/>
        <w:rPr>
          <w:rFonts w:ascii="仿宋" w:eastAsia="仿宋" w:hAnsi="仿宋"/>
          <w:b/>
          <w:sz w:val="28"/>
          <w:szCs w:val="28"/>
        </w:rPr>
      </w:pPr>
      <w:r w:rsidRPr="005551FE">
        <w:rPr>
          <w:rFonts w:ascii="仿宋" w:eastAsia="仿宋" w:hAnsi="仿宋"/>
          <w:b/>
          <w:sz w:val="28"/>
          <w:szCs w:val="28"/>
        </w:rPr>
        <w:t>课内实践教学内容及要求</w:t>
      </w:r>
    </w:p>
    <w:p w:rsidR="00AD1D5F" w:rsidRPr="005551FE" w:rsidRDefault="00AD1D5F" w:rsidP="00AD1D5F">
      <w:pPr>
        <w:adjustRightInd w:val="0"/>
        <w:snapToGrid w:val="0"/>
        <w:spacing w:line="360" w:lineRule="exact"/>
        <w:rPr>
          <w:rFonts w:ascii="Times New Roman" w:hAnsi="Times New Roman"/>
          <w:sz w:val="28"/>
          <w:szCs w:val="28"/>
        </w:rPr>
      </w:pPr>
      <w:r w:rsidRPr="005551FE">
        <w:rPr>
          <w:rFonts w:ascii="Times New Roman" w:hAnsi="Times New Roman"/>
          <w:sz w:val="28"/>
          <w:szCs w:val="28"/>
        </w:rPr>
        <w:t>无</w:t>
      </w:r>
    </w:p>
    <w:p w:rsidR="00AD1D5F" w:rsidRPr="005551FE" w:rsidRDefault="00AD1D5F" w:rsidP="00AD1D5F">
      <w:pPr>
        <w:keepNext/>
        <w:spacing w:beforeLines="100" w:before="312" w:afterLines="50" w:after="156" w:line="360" w:lineRule="exact"/>
        <w:outlineLvl w:val="0"/>
        <w:rPr>
          <w:rFonts w:ascii="仿宋" w:eastAsia="仿宋" w:hAnsi="仿宋"/>
          <w:b/>
          <w:sz w:val="28"/>
          <w:szCs w:val="28"/>
        </w:rPr>
      </w:pPr>
      <w:r w:rsidRPr="005551FE">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802"/>
        <w:gridCol w:w="804"/>
        <w:gridCol w:w="803"/>
        <w:gridCol w:w="805"/>
        <w:gridCol w:w="803"/>
        <w:gridCol w:w="805"/>
        <w:gridCol w:w="788"/>
      </w:tblGrid>
      <w:tr w:rsidR="00AD1D5F" w:rsidTr="00CD00D2">
        <w:trPr>
          <w:trHeight w:val="454"/>
          <w:jc w:val="center"/>
        </w:trPr>
        <w:tc>
          <w:tcPr>
            <w:tcW w:w="1624" w:type="pct"/>
            <w:vMerge w:val="restart"/>
            <w:vAlign w:val="center"/>
          </w:tcPr>
          <w:p w:rsidR="00AD1D5F" w:rsidRPr="005551FE" w:rsidRDefault="00AD1D5F" w:rsidP="005551FE">
            <w:pPr>
              <w:spacing w:line="360" w:lineRule="auto"/>
              <w:ind w:firstLine="331"/>
              <w:rPr>
                <w:rFonts w:ascii="仿宋_GB2312" w:hAnsi="仿宋_GB2312" w:cs="仿宋_GB2312"/>
                <w:b/>
                <w:bCs/>
                <w:sz w:val="24"/>
                <w:szCs w:val="24"/>
              </w:rPr>
            </w:pPr>
            <w:r w:rsidRPr="005551FE">
              <w:rPr>
                <w:rFonts w:ascii="仿宋_GB2312" w:hAnsi="仿宋_GB2312" w:cs="仿宋_GB2312"/>
                <w:b/>
                <w:bCs/>
                <w:sz w:val="24"/>
                <w:szCs w:val="24"/>
              </w:rPr>
              <w:t>章  节</w:t>
            </w:r>
          </w:p>
        </w:tc>
        <w:tc>
          <w:tcPr>
            <w:tcW w:w="2937" w:type="pct"/>
            <w:gridSpan w:val="6"/>
            <w:vAlign w:val="center"/>
          </w:tcPr>
          <w:p w:rsidR="00AD1D5F" w:rsidRPr="005551FE" w:rsidRDefault="00AD1D5F" w:rsidP="005551FE">
            <w:pPr>
              <w:spacing w:line="360" w:lineRule="auto"/>
              <w:ind w:firstLine="331"/>
              <w:rPr>
                <w:rFonts w:ascii="仿宋_GB2312" w:hAnsi="仿宋_GB2312" w:cs="仿宋_GB2312"/>
                <w:b/>
                <w:bCs/>
                <w:sz w:val="24"/>
                <w:szCs w:val="24"/>
              </w:rPr>
            </w:pPr>
            <w:r w:rsidRPr="005551FE">
              <w:rPr>
                <w:rFonts w:ascii="仿宋_GB2312" w:hAnsi="仿宋_GB2312" w:cs="仿宋_GB2312"/>
                <w:b/>
                <w:bCs/>
                <w:sz w:val="24"/>
                <w:szCs w:val="24"/>
              </w:rPr>
              <w:t>学 时 分 配</w:t>
            </w:r>
          </w:p>
        </w:tc>
        <w:tc>
          <w:tcPr>
            <w:tcW w:w="439" w:type="pct"/>
            <w:vMerge w:val="restart"/>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合  计</w:t>
            </w:r>
          </w:p>
        </w:tc>
      </w:tr>
      <w:tr w:rsidR="00AD1D5F" w:rsidTr="00CD00D2">
        <w:trPr>
          <w:trHeight w:val="454"/>
          <w:jc w:val="center"/>
        </w:trPr>
        <w:tc>
          <w:tcPr>
            <w:tcW w:w="1624" w:type="pct"/>
            <w:vMerge/>
            <w:vAlign w:val="center"/>
          </w:tcPr>
          <w:p w:rsidR="00AD1D5F" w:rsidRPr="005551FE" w:rsidRDefault="00AD1D5F" w:rsidP="005551FE">
            <w:pPr>
              <w:spacing w:line="360" w:lineRule="auto"/>
              <w:ind w:firstLine="331"/>
              <w:rPr>
                <w:rFonts w:ascii="仿宋_GB2312" w:hAnsi="仿宋_GB2312" w:cs="仿宋_GB2312"/>
                <w:b/>
                <w:bCs/>
                <w:sz w:val="24"/>
                <w:szCs w:val="24"/>
              </w:rPr>
            </w:pPr>
          </w:p>
        </w:tc>
        <w:tc>
          <w:tcPr>
            <w:tcW w:w="489" w:type="pct"/>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讲  课</w:t>
            </w:r>
          </w:p>
        </w:tc>
        <w:tc>
          <w:tcPr>
            <w:tcW w:w="490" w:type="pct"/>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实验课</w:t>
            </w:r>
          </w:p>
        </w:tc>
        <w:tc>
          <w:tcPr>
            <w:tcW w:w="489" w:type="pct"/>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上机课</w:t>
            </w:r>
          </w:p>
        </w:tc>
        <w:tc>
          <w:tcPr>
            <w:tcW w:w="490" w:type="pct"/>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讨论课</w:t>
            </w:r>
          </w:p>
        </w:tc>
        <w:tc>
          <w:tcPr>
            <w:tcW w:w="489" w:type="pct"/>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习题课</w:t>
            </w:r>
          </w:p>
        </w:tc>
        <w:tc>
          <w:tcPr>
            <w:tcW w:w="490" w:type="pct"/>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其  它</w:t>
            </w:r>
          </w:p>
        </w:tc>
        <w:tc>
          <w:tcPr>
            <w:tcW w:w="439" w:type="pct"/>
            <w:vMerge/>
            <w:vAlign w:val="center"/>
          </w:tcPr>
          <w:p w:rsidR="00AD1D5F" w:rsidRPr="005551FE" w:rsidRDefault="00AD1D5F" w:rsidP="005551FE">
            <w:pPr>
              <w:spacing w:line="360" w:lineRule="auto"/>
              <w:ind w:firstLine="331"/>
              <w:rPr>
                <w:rFonts w:ascii="仿宋_GB2312" w:hAnsi="仿宋_GB2312" w:cs="仿宋_GB2312"/>
                <w:bCs/>
                <w:sz w:val="24"/>
                <w:szCs w:val="24"/>
              </w:rPr>
            </w:pPr>
          </w:p>
        </w:tc>
      </w:tr>
      <w:tr w:rsidR="00AD1D5F" w:rsidTr="00CD00D2">
        <w:trPr>
          <w:trHeight w:val="454"/>
          <w:jc w:val="center"/>
        </w:trPr>
        <w:tc>
          <w:tcPr>
            <w:tcW w:w="1624"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第</w:t>
            </w:r>
            <w:r w:rsidRPr="005551FE">
              <w:rPr>
                <w:rFonts w:ascii="仿宋_GB2312" w:hAnsi="仿宋_GB2312" w:cs="仿宋_GB2312" w:hint="eastAsia"/>
                <w:bCs/>
                <w:sz w:val="24"/>
                <w:szCs w:val="24"/>
              </w:rPr>
              <w:t>1</w:t>
            </w:r>
            <w:r w:rsidRPr="005551FE">
              <w:rPr>
                <w:rFonts w:ascii="仿宋_GB2312" w:hAnsi="仿宋_GB2312" w:cs="仿宋_GB2312"/>
                <w:bCs/>
                <w:sz w:val="24"/>
                <w:szCs w:val="24"/>
              </w:rPr>
              <w:t>章</w:t>
            </w: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3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4</w:t>
            </w:r>
          </w:p>
        </w:tc>
      </w:tr>
      <w:tr w:rsidR="00AD1D5F" w:rsidTr="00CD00D2">
        <w:trPr>
          <w:trHeight w:val="454"/>
          <w:jc w:val="center"/>
        </w:trPr>
        <w:tc>
          <w:tcPr>
            <w:tcW w:w="1624"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第</w:t>
            </w:r>
            <w:r w:rsidRPr="005551FE">
              <w:rPr>
                <w:rFonts w:ascii="仿宋_GB2312" w:hAnsi="仿宋_GB2312" w:cs="仿宋_GB2312" w:hint="eastAsia"/>
                <w:bCs/>
                <w:sz w:val="24"/>
                <w:szCs w:val="24"/>
              </w:rPr>
              <w:t>2</w:t>
            </w:r>
            <w:r w:rsidRPr="005551FE">
              <w:rPr>
                <w:rFonts w:ascii="仿宋_GB2312" w:hAnsi="仿宋_GB2312" w:cs="仿宋_GB2312"/>
                <w:bCs/>
                <w:sz w:val="24"/>
                <w:szCs w:val="24"/>
              </w:rPr>
              <w:t>章</w:t>
            </w: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3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r>
      <w:tr w:rsidR="00AD1D5F" w:rsidTr="00CD00D2">
        <w:trPr>
          <w:trHeight w:val="454"/>
          <w:jc w:val="center"/>
        </w:trPr>
        <w:tc>
          <w:tcPr>
            <w:tcW w:w="1624"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第</w:t>
            </w:r>
            <w:r w:rsidRPr="005551FE">
              <w:rPr>
                <w:rFonts w:ascii="仿宋_GB2312" w:hAnsi="仿宋_GB2312" w:cs="仿宋_GB2312" w:hint="eastAsia"/>
                <w:bCs/>
                <w:sz w:val="24"/>
                <w:szCs w:val="24"/>
              </w:rPr>
              <w:t>3</w:t>
            </w:r>
            <w:r w:rsidRPr="005551FE">
              <w:rPr>
                <w:rFonts w:ascii="仿宋_GB2312" w:hAnsi="仿宋_GB2312" w:cs="仿宋_GB2312"/>
                <w:bCs/>
                <w:sz w:val="24"/>
                <w:szCs w:val="24"/>
              </w:rPr>
              <w:t>章</w:t>
            </w: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2</w:t>
            </w: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3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2</w:t>
            </w:r>
          </w:p>
        </w:tc>
      </w:tr>
      <w:tr w:rsidR="00AD1D5F" w:rsidTr="00CD00D2">
        <w:trPr>
          <w:trHeight w:val="454"/>
          <w:jc w:val="center"/>
        </w:trPr>
        <w:tc>
          <w:tcPr>
            <w:tcW w:w="1624"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第</w:t>
            </w:r>
            <w:r w:rsidRPr="005551FE">
              <w:rPr>
                <w:rFonts w:ascii="仿宋_GB2312" w:hAnsi="仿宋_GB2312" w:cs="仿宋_GB2312" w:hint="eastAsia"/>
                <w:bCs/>
                <w:sz w:val="24"/>
                <w:szCs w:val="24"/>
              </w:rPr>
              <w:t>4</w:t>
            </w:r>
            <w:r w:rsidRPr="005551FE">
              <w:rPr>
                <w:rFonts w:ascii="仿宋_GB2312" w:hAnsi="仿宋_GB2312" w:cs="仿宋_GB2312"/>
                <w:bCs/>
                <w:sz w:val="24"/>
                <w:szCs w:val="24"/>
              </w:rPr>
              <w:t>章</w:t>
            </w: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3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r>
      <w:tr w:rsidR="00AD1D5F" w:rsidTr="00CD00D2">
        <w:trPr>
          <w:trHeight w:val="454"/>
          <w:jc w:val="center"/>
        </w:trPr>
        <w:tc>
          <w:tcPr>
            <w:tcW w:w="1624"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第</w:t>
            </w:r>
            <w:r w:rsidRPr="005551FE">
              <w:rPr>
                <w:rFonts w:ascii="仿宋_GB2312" w:hAnsi="仿宋_GB2312" w:cs="仿宋_GB2312" w:hint="eastAsia"/>
                <w:bCs/>
                <w:sz w:val="24"/>
                <w:szCs w:val="24"/>
              </w:rPr>
              <w:t>5</w:t>
            </w:r>
            <w:r w:rsidRPr="005551FE">
              <w:rPr>
                <w:rFonts w:ascii="仿宋_GB2312" w:hAnsi="仿宋_GB2312" w:cs="仿宋_GB2312"/>
                <w:bCs/>
                <w:sz w:val="24"/>
                <w:szCs w:val="24"/>
              </w:rPr>
              <w:t>章</w:t>
            </w: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3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4</w:t>
            </w:r>
          </w:p>
        </w:tc>
      </w:tr>
      <w:tr w:rsidR="00AD1D5F" w:rsidTr="00CD00D2">
        <w:trPr>
          <w:trHeight w:val="454"/>
          <w:jc w:val="center"/>
        </w:trPr>
        <w:tc>
          <w:tcPr>
            <w:tcW w:w="1624"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第</w:t>
            </w:r>
            <w:r w:rsidRPr="005551FE">
              <w:rPr>
                <w:rFonts w:ascii="仿宋_GB2312" w:hAnsi="仿宋_GB2312" w:cs="仿宋_GB2312" w:hint="eastAsia"/>
                <w:bCs/>
                <w:sz w:val="24"/>
                <w:szCs w:val="24"/>
              </w:rPr>
              <w:t>6</w:t>
            </w:r>
            <w:r w:rsidRPr="005551FE">
              <w:rPr>
                <w:rFonts w:ascii="仿宋_GB2312" w:hAnsi="仿宋_GB2312" w:cs="仿宋_GB2312"/>
                <w:bCs/>
                <w:sz w:val="24"/>
                <w:szCs w:val="24"/>
              </w:rPr>
              <w:t>章</w:t>
            </w: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3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r>
      <w:tr w:rsidR="00AD1D5F" w:rsidTr="00CD00D2">
        <w:trPr>
          <w:trHeight w:val="454"/>
          <w:jc w:val="center"/>
        </w:trPr>
        <w:tc>
          <w:tcPr>
            <w:tcW w:w="1624"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第</w:t>
            </w:r>
            <w:r w:rsidRPr="005551FE">
              <w:rPr>
                <w:rFonts w:ascii="仿宋_GB2312" w:hAnsi="仿宋_GB2312" w:cs="仿宋_GB2312" w:hint="eastAsia"/>
                <w:bCs/>
                <w:sz w:val="24"/>
                <w:szCs w:val="24"/>
              </w:rPr>
              <w:t>7</w:t>
            </w:r>
            <w:r w:rsidRPr="005551FE">
              <w:rPr>
                <w:rFonts w:ascii="仿宋_GB2312" w:hAnsi="仿宋_GB2312" w:cs="仿宋_GB2312"/>
                <w:bCs/>
                <w:sz w:val="24"/>
                <w:szCs w:val="24"/>
              </w:rPr>
              <w:t>章</w:t>
            </w: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3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2</w:t>
            </w:r>
          </w:p>
        </w:tc>
      </w:tr>
      <w:tr w:rsidR="00AD1D5F" w:rsidTr="00CD00D2">
        <w:trPr>
          <w:trHeight w:val="454"/>
          <w:jc w:val="center"/>
        </w:trPr>
        <w:tc>
          <w:tcPr>
            <w:tcW w:w="1624"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第</w:t>
            </w:r>
            <w:r w:rsidRPr="005551FE">
              <w:rPr>
                <w:rFonts w:ascii="仿宋_GB2312" w:hAnsi="仿宋_GB2312" w:cs="仿宋_GB2312" w:hint="eastAsia"/>
                <w:bCs/>
                <w:sz w:val="24"/>
                <w:szCs w:val="24"/>
              </w:rPr>
              <w:t>8</w:t>
            </w:r>
            <w:r w:rsidRPr="005551FE">
              <w:rPr>
                <w:rFonts w:ascii="仿宋_GB2312" w:hAnsi="仿宋_GB2312" w:cs="仿宋_GB2312"/>
                <w:bCs/>
                <w:sz w:val="24"/>
                <w:szCs w:val="24"/>
              </w:rPr>
              <w:t>章</w:t>
            </w: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3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4</w:t>
            </w:r>
          </w:p>
        </w:tc>
      </w:tr>
      <w:tr w:rsidR="00AD1D5F" w:rsidTr="00CD00D2">
        <w:trPr>
          <w:trHeight w:val="454"/>
          <w:jc w:val="center"/>
        </w:trPr>
        <w:tc>
          <w:tcPr>
            <w:tcW w:w="1624"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第</w:t>
            </w:r>
            <w:r w:rsidRPr="005551FE">
              <w:rPr>
                <w:rFonts w:ascii="仿宋_GB2312" w:hAnsi="仿宋_GB2312" w:cs="仿宋_GB2312" w:hint="eastAsia"/>
                <w:bCs/>
                <w:sz w:val="24"/>
                <w:szCs w:val="24"/>
              </w:rPr>
              <w:t>9</w:t>
            </w:r>
            <w:r w:rsidRPr="005551FE">
              <w:rPr>
                <w:rFonts w:ascii="仿宋_GB2312" w:hAnsi="仿宋_GB2312" w:cs="仿宋_GB2312"/>
                <w:bCs/>
                <w:sz w:val="24"/>
                <w:szCs w:val="24"/>
              </w:rPr>
              <w:t>章</w:t>
            </w: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2</w:t>
            </w: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3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2</w:t>
            </w:r>
          </w:p>
        </w:tc>
      </w:tr>
      <w:tr w:rsidR="00AD1D5F" w:rsidTr="00CD00D2">
        <w:trPr>
          <w:trHeight w:val="454"/>
          <w:jc w:val="center"/>
        </w:trPr>
        <w:tc>
          <w:tcPr>
            <w:tcW w:w="1624"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共  计</w:t>
            </w: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24</w:t>
            </w: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89"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90" w:type="pct"/>
            <w:vAlign w:val="center"/>
          </w:tcPr>
          <w:p w:rsidR="00AD1D5F" w:rsidRPr="005551FE" w:rsidRDefault="00AD1D5F" w:rsidP="005551FE">
            <w:pPr>
              <w:spacing w:line="360" w:lineRule="auto"/>
              <w:ind w:firstLine="331"/>
              <w:rPr>
                <w:rFonts w:ascii="仿宋_GB2312" w:hAnsi="仿宋_GB2312" w:cs="仿宋_GB2312"/>
                <w:bCs/>
                <w:sz w:val="24"/>
                <w:szCs w:val="24"/>
              </w:rPr>
            </w:pPr>
          </w:p>
        </w:tc>
        <w:tc>
          <w:tcPr>
            <w:tcW w:w="43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24</w:t>
            </w:r>
          </w:p>
        </w:tc>
      </w:tr>
    </w:tbl>
    <w:p w:rsidR="00AD1D5F" w:rsidRPr="005551FE" w:rsidRDefault="00AD1D5F" w:rsidP="00AD1D5F">
      <w:pPr>
        <w:keepNext/>
        <w:spacing w:beforeLines="100" w:before="312" w:afterLines="50" w:after="156" w:line="360" w:lineRule="exact"/>
        <w:outlineLvl w:val="0"/>
        <w:rPr>
          <w:rFonts w:ascii="仿宋" w:eastAsia="仿宋" w:hAnsi="仿宋"/>
          <w:b/>
          <w:sz w:val="28"/>
          <w:szCs w:val="28"/>
        </w:rPr>
      </w:pPr>
      <w:r w:rsidRPr="005551FE">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547"/>
        <w:gridCol w:w="1896"/>
        <w:gridCol w:w="3184"/>
      </w:tblGrid>
      <w:tr w:rsidR="00AD1D5F" w:rsidTr="005551FE">
        <w:trPr>
          <w:trHeight w:val="454"/>
          <w:jc w:val="center"/>
        </w:trPr>
        <w:tc>
          <w:tcPr>
            <w:tcW w:w="403" w:type="pct"/>
            <w:vAlign w:val="center"/>
          </w:tcPr>
          <w:p w:rsidR="00AD1D5F" w:rsidRPr="005551FE" w:rsidRDefault="00AD1D5F"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序号</w:t>
            </w:r>
          </w:p>
        </w:tc>
        <w:tc>
          <w:tcPr>
            <w:tcW w:w="1535" w:type="pct"/>
            <w:vAlign w:val="center"/>
          </w:tcPr>
          <w:p w:rsidR="00AD1D5F" w:rsidRPr="005551FE" w:rsidRDefault="00AD1D5F" w:rsidP="005551FE">
            <w:pPr>
              <w:spacing w:line="360" w:lineRule="auto"/>
              <w:ind w:firstLine="331"/>
              <w:rPr>
                <w:rFonts w:ascii="仿宋_GB2312" w:hAnsi="仿宋_GB2312" w:cs="仿宋_GB2312"/>
                <w:b/>
                <w:bCs/>
                <w:sz w:val="24"/>
                <w:szCs w:val="24"/>
              </w:rPr>
            </w:pPr>
            <w:r w:rsidRPr="005551FE">
              <w:rPr>
                <w:rFonts w:ascii="仿宋_GB2312" w:hAnsi="仿宋_GB2312" w:cs="仿宋_GB2312"/>
                <w:b/>
                <w:bCs/>
                <w:sz w:val="24"/>
                <w:szCs w:val="24"/>
              </w:rPr>
              <w:t>课程思政教学目标</w:t>
            </w:r>
          </w:p>
        </w:tc>
        <w:tc>
          <w:tcPr>
            <w:tcW w:w="1143" w:type="pct"/>
            <w:vAlign w:val="center"/>
          </w:tcPr>
          <w:p w:rsidR="00AD1D5F" w:rsidRPr="005551FE" w:rsidRDefault="00AD1D5F" w:rsidP="005551FE">
            <w:pPr>
              <w:spacing w:line="360" w:lineRule="auto"/>
              <w:ind w:firstLine="331"/>
              <w:rPr>
                <w:rFonts w:ascii="仿宋_GB2312" w:hAnsi="仿宋_GB2312" w:cs="仿宋_GB2312"/>
                <w:b/>
                <w:bCs/>
                <w:sz w:val="24"/>
                <w:szCs w:val="24"/>
              </w:rPr>
            </w:pPr>
            <w:r w:rsidRPr="005551FE">
              <w:rPr>
                <w:rFonts w:ascii="仿宋_GB2312" w:hAnsi="仿宋_GB2312" w:cs="仿宋_GB2312"/>
                <w:b/>
                <w:bCs/>
                <w:sz w:val="24"/>
                <w:szCs w:val="24"/>
              </w:rPr>
              <w:t>授课章节</w:t>
            </w:r>
          </w:p>
        </w:tc>
        <w:tc>
          <w:tcPr>
            <w:tcW w:w="1919" w:type="pct"/>
            <w:vAlign w:val="center"/>
          </w:tcPr>
          <w:p w:rsidR="00AD1D5F" w:rsidRPr="005551FE" w:rsidRDefault="00AD1D5F" w:rsidP="005551FE">
            <w:pPr>
              <w:spacing w:line="360" w:lineRule="auto"/>
              <w:ind w:firstLine="331"/>
              <w:rPr>
                <w:rFonts w:ascii="仿宋_GB2312" w:hAnsi="仿宋_GB2312" w:cs="仿宋_GB2312"/>
                <w:b/>
                <w:bCs/>
                <w:sz w:val="24"/>
                <w:szCs w:val="24"/>
              </w:rPr>
            </w:pPr>
            <w:r w:rsidRPr="005551FE">
              <w:rPr>
                <w:rFonts w:ascii="仿宋_GB2312" w:hAnsi="仿宋_GB2312" w:cs="仿宋_GB2312"/>
                <w:b/>
                <w:bCs/>
                <w:sz w:val="24"/>
                <w:szCs w:val="24"/>
              </w:rPr>
              <w:t>课程思政融入点（至少5处）</w:t>
            </w:r>
          </w:p>
        </w:tc>
      </w:tr>
      <w:tr w:rsidR="00AD1D5F" w:rsidTr="005551FE">
        <w:trPr>
          <w:trHeight w:val="454"/>
          <w:jc w:val="center"/>
        </w:trPr>
        <w:tc>
          <w:tcPr>
            <w:tcW w:w="403"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w:t>
            </w:r>
          </w:p>
        </w:tc>
        <w:tc>
          <w:tcPr>
            <w:tcW w:w="1535"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正确政治导向</w:t>
            </w:r>
          </w:p>
        </w:tc>
        <w:tc>
          <w:tcPr>
            <w:tcW w:w="1143"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第1章</w:t>
            </w:r>
          </w:p>
        </w:tc>
        <w:tc>
          <w:tcPr>
            <w:tcW w:w="191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合理合法的投融资行为是新时代下工程建设健康发</w:t>
            </w:r>
            <w:r w:rsidRPr="005551FE">
              <w:rPr>
                <w:rFonts w:ascii="仿宋_GB2312" w:hAnsi="仿宋_GB2312" w:cs="仿宋_GB2312" w:hint="eastAsia"/>
                <w:bCs/>
                <w:sz w:val="24"/>
                <w:szCs w:val="24"/>
              </w:rPr>
              <w:lastRenderedPageBreak/>
              <w:t>展的有力支持</w:t>
            </w:r>
          </w:p>
        </w:tc>
      </w:tr>
      <w:tr w:rsidR="00AD1D5F" w:rsidTr="005551FE">
        <w:trPr>
          <w:trHeight w:val="454"/>
          <w:jc w:val="center"/>
        </w:trPr>
        <w:tc>
          <w:tcPr>
            <w:tcW w:w="403"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lastRenderedPageBreak/>
              <w:t>2</w:t>
            </w:r>
          </w:p>
        </w:tc>
        <w:tc>
          <w:tcPr>
            <w:tcW w:w="1535"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社会主义核心价值观教育</w:t>
            </w:r>
          </w:p>
        </w:tc>
        <w:tc>
          <w:tcPr>
            <w:tcW w:w="1143"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第1~9章</w:t>
            </w:r>
          </w:p>
        </w:tc>
        <w:tc>
          <w:tcPr>
            <w:tcW w:w="191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项目投融资是促进工程建设的有力工具</w:t>
            </w:r>
          </w:p>
        </w:tc>
      </w:tr>
      <w:tr w:rsidR="00AD1D5F" w:rsidTr="005551FE">
        <w:trPr>
          <w:trHeight w:val="454"/>
          <w:jc w:val="center"/>
        </w:trPr>
        <w:tc>
          <w:tcPr>
            <w:tcW w:w="403"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3</w:t>
            </w:r>
          </w:p>
        </w:tc>
        <w:tc>
          <w:tcPr>
            <w:tcW w:w="1535"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远大理想塑造</w:t>
            </w:r>
          </w:p>
        </w:tc>
        <w:tc>
          <w:tcPr>
            <w:tcW w:w="1143"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第8、9章</w:t>
            </w:r>
          </w:p>
        </w:tc>
        <w:tc>
          <w:tcPr>
            <w:tcW w:w="191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风险投资和项目融资都属于项目投融资领域的新鲜事物，拥有广阔的发展空间</w:t>
            </w:r>
          </w:p>
        </w:tc>
      </w:tr>
      <w:tr w:rsidR="00AD1D5F" w:rsidTr="005551FE">
        <w:trPr>
          <w:trHeight w:val="454"/>
          <w:jc w:val="center"/>
        </w:trPr>
        <w:tc>
          <w:tcPr>
            <w:tcW w:w="403"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4</w:t>
            </w:r>
          </w:p>
        </w:tc>
        <w:tc>
          <w:tcPr>
            <w:tcW w:w="1535"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健康心态培育</w:t>
            </w:r>
          </w:p>
        </w:tc>
        <w:tc>
          <w:tcPr>
            <w:tcW w:w="1143"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第2~9章</w:t>
            </w:r>
          </w:p>
        </w:tc>
        <w:tc>
          <w:tcPr>
            <w:tcW w:w="191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各种投融资方式均需要不断创新、不断学习，应该勇于面对新形势背景下新问题并着力寻求解决</w:t>
            </w:r>
          </w:p>
        </w:tc>
      </w:tr>
      <w:tr w:rsidR="00AD1D5F" w:rsidTr="005551FE">
        <w:trPr>
          <w:trHeight w:val="454"/>
          <w:jc w:val="center"/>
        </w:trPr>
        <w:tc>
          <w:tcPr>
            <w:tcW w:w="403"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5</w:t>
            </w:r>
          </w:p>
        </w:tc>
        <w:tc>
          <w:tcPr>
            <w:tcW w:w="1535"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道德品质培养</w:t>
            </w:r>
          </w:p>
        </w:tc>
        <w:tc>
          <w:tcPr>
            <w:tcW w:w="1143"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第1~9章</w:t>
            </w:r>
          </w:p>
        </w:tc>
        <w:tc>
          <w:tcPr>
            <w:tcW w:w="1919" w:type="pct"/>
            <w:vAlign w:val="center"/>
          </w:tcPr>
          <w:p w:rsidR="00AD1D5F" w:rsidRPr="005551FE" w:rsidRDefault="00AD1D5F"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各种项目投融资方式均立足于解决工程项目的合理资金需求，切实服务于社会</w:t>
            </w:r>
          </w:p>
        </w:tc>
      </w:tr>
    </w:tbl>
    <w:p w:rsidR="005551FE" w:rsidRDefault="005551FE" w:rsidP="005551F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AD1D5F" w:rsidRPr="005551FE" w:rsidRDefault="00AD1D5F" w:rsidP="005551FE">
      <w:pPr>
        <w:spacing w:line="360" w:lineRule="auto"/>
        <w:ind w:firstLineChars="196" w:firstLine="549"/>
        <w:rPr>
          <w:rFonts w:ascii="仿宋_GB2312" w:hAnsi="仿宋_GB2312" w:cs="仿宋_GB2312"/>
          <w:bCs/>
          <w:sz w:val="28"/>
          <w:szCs w:val="28"/>
        </w:rPr>
      </w:pPr>
      <w:r w:rsidRPr="005551FE">
        <w:rPr>
          <w:rFonts w:ascii="仿宋_GB2312" w:hAnsi="仿宋_GB2312" w:cs="仿宋_GB2312"/>
          <w:bCs/>
          <w:sz w:val="28"/>
          <w:szCs w:val="28"/>
        </w:rPr>
        <w:t>（1）考核方式</w:t>
      </w:r>
    </w:p>
    <w:p w:rsidR="00AD1D5F" w:rsidRPr="005551FE" w:rsidRDefault="00AD1D5F" w:rsidP="005551FE">
      <w:pPr>
        <w:spacing w:line="360" w:lineRule="auto"/>
        <w:ind w:firstLineChars="196" w:firstLine="549"/>
        <w:rPr>
          <w:rFonts w:ascii="仿宋_GB2312" w:hAnsi="仿宋_GB2312" w:cs="仿宋_GB2312"/>
          <w:bCs/>
          <w:sz w:val="28"/>
          <w:szCs w:val="28"/>
        </w:rPr>
      </w:pPr>
      <w:r w:rsidRPr="005551FE">
        <w:rPr>
          <w:rFonts w:ascii="仿宋_GB2312" w:hAnsi="仿宋_GB2312" w:cs="仿宋_GB2312"/>
          <w:bCs/>
          <w:sz w:val="28"/>
          <w:szCs w:val="28"/>
        </w:rPr>
        <w:t>本课程考核方式为考试，其中期末考核方式为非标准答案考试，过程考核方式为课堂出勤作业完成情况等。</w:t>
      </w:r>
    </w:p>
    <w:p w:rsidR="00AD1D5F" w:rsidRPr="005551FE" w:rsidRDefault="00AD1D5F" w:rsidP="005551FE">
      <w:pPr>
        <w:spacing w:line="360" w:lineRule="auto"/>
        <w:ind w:firstLineChars="196" w:firstLine="549"/>
        <w:rPr>
          <w:rFonts w:ascii="仿宋_GB2312" w:hAnsi="仿宋_GB2312" w:cs="仿宋_GB2312"/>
          <w:bCs/>
          <w:sz w:val="28"/>
          <w:szCs w:val="28"/>
        </w:rPr>
      </w:pPr>
      <w:r w:rsidRPr="005551FE">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881"/>
        <w:gridCol w:w="1340"/>
        <w:gridCol w:w="1340"/>
        <w:gridCol w:w="1340"/>
        <w:gridCol w:w="1341"/>
      </w:tblGrid>
      <w:tr w:rsidR="00AD1D5F" w:rsidRPr="005551FE" w:rsidTr="00CD00D2">
        <w:trPr>
          <w:trHeight w:val="454"/>
          <w:jc w:val="center"/>
        </w:trPr>
        <w:tc>
          <w:tcPr>
            <w:tcW w:w="397" w:type="pct"/>
            <w:vMerge w:val="restart"/>
            <w:tcBorders>
              <w:top w:val="single" w:sz="4" w:space="0" w:color="000000"/>
              <w:left w:val="single" w:sz="4" w:space="0" w:color="000000"/>
              <w:right w:val="single" w:sz="4" w:space="0" w:color="000000"/>
            </w:tcBorders>
            <w:vAlign w:val="center"/>
          </w:tcPr>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b/>
                <w:bCs/>
                <w:sz w:val="24"/>
                <w:szCs w:val="24"/>
              </w:rPr>
              <w:t>课程</w:t>
            </w:r>
          </w:p>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b/>
                <w:bCs/>
                <w:sz w:val="24"/>
                <w:szCs w:val="24"/>
              </w:rPr>
              <w:t>目标</w:t>
            </w:r>
          </w:p>
        </w:tc>
        <w:tc>
          <w:tcPr>
            <w:tcW w:w="3953" w:type="pct"/>
            <w:gridSpan w:val="4"/>
            <w:tcBorders>
              <w:top w:val="single" w:sz="4" w:space="0" w:color="000000"/>
              <w:left w:val="single" w:sz="4" w:space="0" w:color="auto"/>
              <w:bottom w:val="single" w:sz="4" w:space="0" w:color="auto"/>
              <w:right w:val="single" w:sz="4" w:space="0" w:color="auto"/>
            </w:tcBorders>
            <w:vAlign w:val="center"/>
          </w:tcPr>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b/>
                <w:bCs/>
                <w:sz w:val="24"/>
                <w:szCs w:val="24"/>
              </w:rPr>
              <w:t>考核方式及成绩比例（%）</w:t>
            </w:r>
          </w:p>
        </w:tc>
      </w:tr>
      <w:tr w:rsidR="00AD1D5F" w:rsidRPr="005551FE" w:rsidTr="00CD00D2">
        <w:trPr>
          <w:trHeight w:val="454"/>
          <w:jc w:val="center"/>
        </w:trPr>
        <w:tc>
          <w:tcPr>
            <w:tcW w:w="397" w:type="pct"/>
            <w:vMerge/>
            <w:tcBorders>
              <w:left w:val="single" w:sz="4" w:space="0" w:color="000000"/>
              <w:bottom w:val="single" w:sz="4" w:space="0" w:color="000000"/>
              <w:right w:val="single" w:sz="4" w:space="0" w:color="000000"/>
            </w:tcBorders>
            <w:vAlign w:val="center"/>
          </w:tcPr>
          <w:p w:rsidR="00AD1D5F" w:rsidRPr="005551FE" w:rsidRDefault="00AD1D5F" w:rsidP="005551FE">
            <w:pPr>
              <w:spacing w:line="360" w:lineRule="auto"/>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
                <w:bCs/>
                <w:sz w:val="24"/>
                <w:szCs w:val="24"/>
              </w:rPr>
            </w:pPr>
          </w:p>
        </w:tc>
        <w:tc>
          <w:tcPr>
            <w:tcW w:w="988" w:type="pct"/>
            <w:tcBorders>
              <w:top w:val="single" w:sz="4" w:space="0" w:color="auto"/>
              <w:left w:val="single" w:sz="4" w:space="0" w:color="auto"/>
              <w:right w:val="single" w:sz="4" w:space="0" w:color="auto"/>
            </w:tcBorders>
            <w:vAlign w:val="center"/>
          </w:tcPr>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b/>
                <w:bCs/>
                <w:sz w:val="24"/>
                <w:szCs w:val="24"/>
              </w:rPr>
              <w:t>考勤</w:t>
            </w:r>
          </w:p>
        </w:tc>
        <w:tc>
          <w:tcPr>
            <w:tcW w:w="988" w:type="pct"/>
            <w:tcBorders>
              <w:top w:val="single" w:sz="4" w:space="0" w:color="auto"/>
              <w:left w:val="single" w:sz="4" w:space="0" w:color="auto"/>
              <w:right w:val="single" w:sz="4" w:space="0" w:color="auto"/>
            </w:tcBorders>
            <w:vAlign w:val="center"/>
          </w:tcPr>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b/>
                <w:bCs/>
                <w:sz w:val="24"/>
                <w:szCs w:val="24"/>
              </w:rPr>
              <w:t>作业</w:t>
            </w:r>
          </w:p>
        </w:tc>
        <w:tc>
          <w:tcPr>
            <w:tcW w:w="988" w:type="pct"/>
            <w:tcBorders>
              <w:top w:val="single" w:sz="4" w:space="0" w:color="auto"/>
              <w:left w:val="single" w:sz="4" w:space="0" w:color="auto"/>
              <w:right w:val="single" w:sz="4" w:space="0" w:color="auto"/>
            </w:tcBorders>
            <w:vAlign w:val="center"/>
          </w:tcPr>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b/>
                <w:bCs/>
                <w:sz w:val="24"/>
                <w:szCs w:val="24"/>
              </w:rPr>
              <w:t>考试</w:t>
            </w:r>
          </w:p>
        </w:tc>
        <w:tc>
          <w:tcPr>
            <w:tcW w:w="990" w:type="pct"/>
            <w:tcBorders>
              <w:top w:val="single" w:sz="4" w:space="0" w:color="auto"/>
              <w:left w:val="single" w:sz="4" w:space="0" w:color="auto"/>
              <w:right w:val="single" w:sz="4" w:space="0" w:color="auto"/>
            </w:tcBorders>
            <w:vAlign w:val="center"/>
          </w:tcPr>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b/>
                <w:bCs/>
                <w:sz w:val="24"/>
                <w:szCs w:val="24"/>
              </w:rPr>
              <w:t>合计</w:t>
            </w:r>
          </w:p>
        </w:tc>
      </w:tr>
      <w:tr w:rsidR="00AD1D5F" w:rsidRPr="005551FE" w:rsidTr="00CD00D2">
        <w:trPr>
          <w:trHeight w:val="454"/>
          <w:jc w:val="center"/>
        </w:trPr>
        <w:tc>
          <w:tcPr>
            <w:tcW w:w="397"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bCs/>
                <w:sz w:val="24"/>
                <w:szCs w:val="24"/>
              </w:rPr>
              <w:t>目标1</w:t>
            </w:r>
          </w:p>
        </w:tc>
        <w:tc>
          <w:tcPr>
            <w:tcW w:w="988"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988"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p>
        </w:tc>
        <w:tc>
          <w:tcPr>
            <w:tcW w:w="988"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35</w:t>
            </w:r>
          </w:p>
        </w:tc>
        <w:tc>
          <w:tcPr>
            <w:tcW w:w="990"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39</w:t>
            </w:r>
          </w:p>
        </w:tc>
      </w:tr>
      <w:tr w:rsidR="00AD1D5F" w:rsidRPr="005551FE" w:rsidTr="00CD00D2">
        <w:trPr>
          <w:trHeight w:val="454"/>
          <w:jc w:val="center"/>
        </w:trPr>
        <w:tc>
          <w:tcPr>
            <w:tcW w:w="397"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bCs/>
                <w:sz w:val="24"/>
                <w:szCs w:val="24"/>
              </w:rPr>
              <w:t>目标2</w:t>
            </w:r>
          </w:p>
        </w:tc>
        <w:tc>
          <w:tcPr>
            <w:tcW w:w="988"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6</w:t>
            </w:r>
          </w:p>
        </w:tc>
        <w:tc>
          <w:tcPr>
            <w:tcW w:w="988"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10</w:t>
            </w:r>
          </w:p>
        </w:tc>
        <w:tc>
          <w:tcPr>
            <w:tcW w:w="988"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5</w:t>
            </w:r>
            <w:r w:rsidRPr="005551FE">
              <w:rPr>
                <w:rFonts w:ascii="仿宋_GB2312" w:hAnsi="仿宋_GB2312" w:cs="仿宋_GB2312"/>
                <w:bCs/>
                <w:sz w:val="24"/>
                <w:szCs w:val="24"/>
              </w:rPr>
              <w:t>5</w:t>
            </w:r>
          </w:p>
        </w:tc>
        <w:tc>
          <w:tcPr>
            <w:tcW w:w="990"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61</w:t>
            </w:r>
          </w:p>
        </w:tc>
      </w:tr>
      <w:tr w:rsidR="00AD1D5F" w:rsidRPr="005551FE" w:rsidTr="00CD00D2">
        <w:trPr>
          <w:trHeight w:val="454"/>
          <w:jc w:val="center"/>
        </w:trPr>
        <w:tc>
          <w:tcPr>
            <w:tcW w:w="1047" w:type="pct"/>
            <w:gridSpan w:val="2"/>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bCs/>
                <w:sz w:val="24"/>
                <w:szCs w:val="24"/>
              </w:rPr>
              <w:t>共计</w:t>
            </w:r>
          </w:p>
        </w:tc>
        <w:tc>
          <w:tcPr>
            <w:tcW w:w="988"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bCs/>
                <w:sz w:val="24"/>
                <w:szCs w:val="24"/>
              </w:rPr>
              <w:t>10</w:t>
            </w:r>
          </w:p>
        </w:tc>
        <w:tc>
          <w:tcPr>
            <w:tcW w:w="988"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bCs/>
                <w:sz w:val="24"/>
                <w:szCs w:val="24"/>
              </w:rPr>
              <w:t>10</w:t>
            </w:r>
          </w:p>
        </w:tc>
        <w:tc>
          <w:tcPr>
            <w:tcW w:w="988"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80</w:t>
            </w:r>
          </w:p>
        </w:tc>
        <w:tc>
          <w:tcPr>
            <w:tcW w:w="990"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bCs/>
                <w:sz w:val="24"/>
                <w:szCs w:val="24"/>
              </w:rPr>
              <w:t>100</w:t>
            </w:r>
          </w:p>
        </w:tc>
      </w:tr>
    </w:tbl>
    <w:p w:rsidR="00AD1D5F" w:rsidRPr="005551FE" w:rsidRDefault="00AD1D5F" w:rsidP="005551FE">
      <w:pPr>
        <w:adjustRightInd w:val="0"/>
        <w:snapToGrid w:val="0"/>
        <w:spacing w:line="360" w:lineRule="auto"/>
        <w:ind w:firstLineChars="200" w:firstLine="560"/>
        <w:rPr>
          <w:rFonts w:ascii="仿宋_GB2312" w:hAnsi="仿宋_GB2312" w:cs="仿宋_GB2312"/>
          <w:bCs/>
          <w:sz w:val="28"/>
          <w:szCs w:val="28"/>
        </w:rPr>
      </w:pPr>
      <w:r w:rsidRPr="005551FE">
        <w:rPr>
          <w:rFonts w:ascii="仿宋_GB2312" w:hAnsi="仿宋_GB2312" w:cs="仿宋_GB2312" w:hint="eastAsia"/>
          <w:bCs/>
          <w:sz w:val="28"/>
          <w:szCs w:val="28"/>
        </w:rPr>
        <w:t>（3）考核（评价）要求：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51"/>
        <w:gridCol w:w="951"/>
        <w:gridCol w:w="4782"/>
        <w:gridCol w:w="1042"/>
      </w:tblGrid>
      <w:tr w:rsidR="00AD1D5F" w:rsidRPr="005551FE" w:rsidTr="00CD00D2">
        <w:trPr>
          <w:trHeight w:val="454"/>
          <w:jc w:val="center"/>
        </w:trPr>
        <w:tc>
          <w:tcPr>
            <w:tcW w:w="344" w:type="pct"/>
            <w:tcBorders>
              <w:top w:val="single" w:sz="4" w:space="0" w:color="000000"/>
              <w:left w:val="single" w:sz="4" w:space="0" w:color="000000"/>
              <w:right w:val="single" w:sz="4" w:space="0" w:color="000000"/>
            </w:tcBorders>
            <w:vAlign w:val="center"/>
          </w:tcPr>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hint="eastAsia"/>
                <w:b/>
                <w:bCs/>
                <w:sz w:val="24"/>
                <w:szCs w:val="24"/>
              </w:rPr>
              <w:t>目标分值</w:t>
            </w:r>
          </w:p>
        </w:tc>
        <w:tc>
          <w:tcPr>
            <w:tcW w:w="2882" w:type="pct"/>
            <w:tcBorders>
              <w:top w:val="single" w:sz="4" w:space="0" w:color="000000"/>
              <w:left w:val="single" w:sz="4" w:space="0" w:color="auto"/>
              <w:right w:val="single" w:sz="4" w:space="0" w:color="auto"/>
            </w:tcBorders>
            <w:vAlign w:val="center"/>
          </w:tcPr>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AD1D5F" w:rsidRPr="005551FE" w:rsidRDefault="00AD1D5F" w:rsidP="005551FE">
            <w:pPr>
              <w:spacing w:line="360" w:lineRule="auto"/>
              <w:jc w:val="center"/>
              <w:rPr>
                <w:rFonts w:ascii="仿宋_GB2312" w:hAnsi="仿宋_GB2312" w:cs="仿宋_GB2312"/>
                <w:b/>
                <w:bCs/>
                <w:sz w:val="24"/>
                <w:szCs w:val="24"/>
              </w:rPr>
            </w:pPr>
            <w:r w:rsidRPr="005551FE">
              <w:rPr>
                <w:rFonts w:ascii="仿宋_GB2312" w:hAnsi="仿宋_GB2312" w:cs="仿宋_GB2312"/>
                <w:b/>
                <w:bCs/>
                <w:sz w:val="24"/>
                <w:szCs w:val="24"/>
              </w:rPr>
              <w:t>支撑课程教学目标</w:t>
            </w:r>
          </w:p>
        </w:tc>
      </w:tr>
      <w:tr w:rsidR="00AD1D5F" w:rsidRPr="005551FE" w:rsidTr="00CD00D2">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bCs/>
                <w:sz w:val="24"/>
                <w:szCs w:val="24"/>
              </w:rPr>
              <w:lastRenderedPageBreak/>
              <w:t>1</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left"/>
              <w:rPr>
                <w:rFonts w:ascii="仿宋_GB2312" w:hAnsi="仿宋_GB2312" w:cs="仿宋_GB2312"/>
                <w:bCs/>
                <w:sz w:val="24"/>
                <w:szCs w:val="24"/>
              </w:rPr>
            </w:pPr>
            <w:r w:rsidRPr="005551FE">
              <w:rPr>
                <w:rFonts w:ascii="仿宋_GB2312" w:hAnsi="仿宋_GB2312" w:cs="仿宋_GB2312" w:hint="eastAsia"/>
                <w:bCs/>
                <w:sz w:val="24"/>
                <w:szCs w:val="24"/>
              </w:rPr>
              <w:t>出勤统计不少于授课次数的2/3；通过出勤统计结果考核学生学习态度和遵守课堂纪律等基本情况。</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w:t>
            </w:r>
          </w:p>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目标2</w:t>
            </w:r>
          </w:p>
        </w:tc>
      </w:tr>
      <w:tr w:rsidR="00AD1D5F" w:rsidRPr="005551FE" w:rsidTr="00CD00D2">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bCs/>
                <w:sz w:val="24"/>
                <w:szCs w:val="24"/>
              </w:rPr>
              <w:t>2</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left"/>
              <w:rPr>
                <w:rFonts w:ascii="仿宋_GB2312" w:hAnsi="仿宋_GB2312" w:cs="仿宋_GB2312"/>
                <w:bCs/>
                <w:sz w:val="24"/>
                <w:szCs w:val="24"/>
              </w:rPr>
            </w:pPr>
            <w:r w:rsidRPr="005551FE">
              <w:rPr>
                <w:rFonts w:ascii="仿宋_GB2312" w:hAnsi="仿宋_GB2312" w:cs="仿宋_GB2312"/>
                <w:bCs/>
                <w:sz w:val="24"/>
                <w:szCs w:val="24"/>
              </w:rPr>
              <w:t>课后作业</w:t>
            </w:r>
            <w:r w:rsidRPr="005551FE">
              <w:rPr>
                <w:rFonts w:ascii="仿宋_GB2312" w:hAnsi="仿宋_GB2312" w:cs="仿宋_GB2312" w:hint="eastAsia"/>
                <w:bCs/>
                <w:sz w:val="24"/>
                <w:szCs w:val="24"/>
              </w:rPr>
              <w:t>布置3次；通过课后作业考核学生对本课程基本概念的掌握情况。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目标1</w:t>
            </w:r>
          </w:p>
        </w:tc>
      </w:tr>
      <w:tr w:rsidR="00AD1D5F" w:rsidRPr="005551FE" w:rsidTr="00CD00D2">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left"/>
              <w:rPr>
                <w:rFonts w:ascii="仿宋_GB2312" w:hAnsi="仿宋_GB2312" w:cs="仿宋_GB2312"/>
                <w:bCs/>
                <w:sz w:val="24"/>
                <w:szCs w:val="24"/>
              </w:rPr>
            </w:pPr>
            <w:r w:rsidRPr="005551FE">
              <w:rPr>
                <w:rFonts w:ascii="仿宋_GB2312" w:hAnsi="仿宋_GB2312" w:cs="仿宋_GB2312" w:hint="eastAsia"/>
                <w:bCs/>
                <w:sz w:val="24"/>
                <w:szCs w:val="24"/>
              </w:rPr>
              <w:t>期末考试采用</w:t>
            </w:r>
            <w:r w:rsidRPr="005551FE">
              <w:rPr>
                <w:rFonts w:ascii="仿宋_GB2312" w:hAnsi="仿宋_GB2312" w:cs="仿宋_GB2312"/>
                <w:bCs/>
                <w:sz w:val="24"/>
                <w:szCs w:val="24"/>
              </w:rPr>
              <w:t>非标准答案考试</w:t>
            </w:r>
            <w:r w:rsidRPr="005551FE">
              <w:rPr>
                <w:rFonts w:ascii="仿宋_GB2312" w:hAnsi="仿宋_GB2312" w:cs="仿宋_GB2312" w:hint="eastAsia"/>
                <w:bCs/>
                <w:sz w:val="24"/>
                <w:szCs w:val="24"/>
              </w:rPr>
              <w:t>。考试范围基本涵盖所有讲授内容，考试内容主要反映学生对本课程主要概念的理解和掌握的程度，以及综合运用的能力。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w:t>
            </w:r>
          </w:p>
          <w:p w:rsidR="00AD1D5F" w:rsidRPr="005551FE" w:rsidRDefault="00AD1D5F" w:rsidP="005551FE">
            <w:pPr>
              <w:spacing w:line="360" w:lineRule="auto"/>
              <w:jc w:val="center"/>
              <w:rPr>
                <w:rFonts w:ascii="仿宋_GB2312" w:hAnsi="仿宋_GB2312" w:cs="仿宋_GB2312"/>
                <w:bCs/>
                <w:sz w:val="24"/>
                <w:szCs w:val="24"/>
              </w:rPr>
            </w:pPr>
            <w:r w:rsidRPr="005551FE">
              <w:rPr>
                <w:rFonts w:ascii="仿宋_GB2312" w:hAnsi="仿宋_GB2312" w:cs="仿宋_GB2312" w:hint="eastAsia"/>
                <w:bCs/>
                <w:sz w:val="24"/>
                <w:szCs w:val="24"/>
              </w:rPr>
              <w:t>目标2</w:t>
            </w:r>
          </w:p>
        </w:tc>
      </w:tr>
    </w:tbl>
    <w:p w:rsidR="005551FE" w:rsidRDefault="005551FE" w:rsidP="005551F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00235" w:rsidRPr="005551FE" w:rsidRDefault="00C00235" w:rsidP="005551FE">
      <w:pPr>
        <w:spacing w:line="360" w:lineRule="auto"/>
        <w:ind w:leftChars="103" w:left="1779" w:hanging="1449"/>
        <w:rPr>
          <w:rFonts w:ascii="仿宋_GB2312" w:hAnsi="仿宋_GB2312" w:cs="仿宋_GB2312"/>
          <w:bCs/>
          <w:sz w:val="28"/>
          <w:szCs w:val="28"/>
        </w:rPr>
      </w:pPr>
      <w:r w:rsidRPr="005551FE">
        <w:rPr>
          <w:rFonts w:ascii="仿宋_GB2312" w:hAnsi="仿宋_GB2312" w:cs="仿宋_GB2312"/>
          <w:bCs/>
          <w:sz w:val="28"/>
          <w:szCs w:val="28"/>
        </w:rPr>
        <w:t>1. 教  材：《</w:t>
      </w:r>
      <w:r w:rsidRPr="005551FE">
        <w:rPr>
          <w:rFonts w:ascii="仿宋_GB2312" w:hAnsi="仿宋_GB2312" w:cs="仿宋_GB2312" w:hint="eastAsia"/>
          <w:bCs/>
          <w:sz w:val="28"/>
          <w:szCs w:val="28"/>
        </w:rPr>
        <w:t>项目投融资管理</w:t>
      </w:r>
      <w:r w:rsidRPr="005551FE">
        <w:rPr>
          <w:rFonts w:ascii="仿宋_GB2312" w:hAnsi="仿宋_GB2312" w:cs="仿宋_GB2312"/>
          <w:bCs/>
          <w:sz w:val="28"/>
          <w:szCs w:val="28"/>
        </w:rPr>
        <w:t>》，</w:t>
      </w:r>
      <w:r w:rsidRPr="005551FE">
        <w:rPr>
          <w:rFonts w:ascii="仿宋_GB2312" w:hAnsi="仿宋_GB2312" w:cs="仿宋_GB2312" w:hint="eastAsia"/>
          <w:bCs/>
          <w:sz w:val="28"/>
          <w:szCs w:val="28"/>
        </w:rPr>
        <w:t>段世霞主编</w:t>
      </w:r>
      <w:r w:rsidRPr="005551FE">
        <w:rPr>
          <w:rFonts w:ascii="仿宋_GB2312" w:hAnsi="仿宋_GB2312" w:cs="仿宋_GB2312"/>
          <w:bCs/>
          <w:sz w:val="28"/>
          <w:szCs w:val="28"/>
        </w:rPr>
        <w:t>，</w:t>
      </w:r>
      <w:r w:rsidRPr="005551FE">
        <w:rPr>
          <w:rFonts w:ascii="仿宋_GB2312" w:hAnsi="仿宋_GB2312" w:cs="仿宋_GB2312" w:hint="eastAsia"/>
          <w:bCs/>
          <w:sz w:val="28"/>
          <w:szCs w:val="28"/>
        </w:rPr>
        <w:t>对外经济贸易大学出版社</w:t>
      </w:r>
      <w:r w:rsidRPr="005551FE">
        <w:rPr>
          <w:rFonts w:ascii="仿宋_GB2312" w:hAnsi="仿宋_GB2312" w:cs="仿宋_GB2312"/>
          <w:bCs/>
          <w:sz w:val="28"/>
          <w:szCs w:val="28"/>
        </w:rPr>
        <w:t>，201</w:t>
      </w:r>
      <w:r w:rsidRPr="005551FE">
        <w:rPr>
          <w:rFonts w:ascii="仿宋_GB2312" w:hAnsi="仿宋_GB2312" w:cs="仿宋_GB2312" w:hint="eastAsia"/>
          <w:bCs/>
          <w:sz w:val="28"/>
          <w:szCs w:val="28"/>
        </w:rPr>
        <w:t>7</w:t>
      </w:r>
      <w:r w:rsidRPr="005551FE">
        <w:rPr>
          <w:rFonts w:ascii="仿宋_GB2312" w:hAnsi="仿宋_GB2312" w:cs="仿宋_GB2312"/>
          <w:bCs/>
          <w:sz w:val="28"/>
          <w:szCs w:val="28"/>
        </w:rPr>
        <w:t>年</w:t>
      </w:r>
      <w:r w:rsidRPr="005551FE">
        <w:rPr>
          <w:rFonts w:ascii="仿宋_GB2312" w:hAnsi="仿宋_GB2312" w:cs="仿宋_GB2312" w:hint="eastAsia"/>
          <w:bCs/>
          <w:sz w:val="28"/>
          <w:szCs w:val="28"/>
        </w:rPr>
        <w:t>8月</w:t>
      </w:r>
    </w:p>
    <w:p w:rsidR="00C00235" w:rsidRPr="005551FE" w:rsidRDefault="00C00235" w:rsidP="005551FE">
      <w:pPr>
        <w:spacing w:line="360" w:lineRule="auto"/>
        <w:ind w:leftChars="103" w:left="1779" w:hanging="1449"/>
        <w:rPr>
          <w:rFonts w:ascii="仿宋_GB2312" w:hAnsi="仿宋_GB2312" w:cs="仿宋_GB2312"/>
          <w:bCs/>
          <w:sz w:val="28"/>
          <w:szCs w:val="28"/>
        </w:rPr>
      </w:pPr>
      <w:r w:rsidRPr="005551FE">
        <w:rPr>
          <w:rFonts w:ascii="仿宋_GB2312" w:hAnsi="仿宋_GB2312" w:cs="仿宋_GB2312"/>
          <w:bCs/>
          <w:sz w:val="28"/>
          <w:szCs w:val="28"/>
        </w:rPr>
        <w:t>2. 参考书：《</w:t>
      </w:r>
      <w:r w:rsidRPr="005551FE">
        <w:rPr>
          <w:rFonts w:ascii="仿宋_GB2312" w:hAnsi="仿宋_GB2312" w:cs="仿宋_GB2312" w:hint="eastAsia"/>
          <w:bCs/>
          <w:sz w:val="28"/>
          <w:szCs w:val="28"/>
        </w:rPr>
        <w:t>工程项目投融资</w:t>
      </w:r>
      <w:r w:rsidRPr="005551FE">
        <w:rPr>
          <w:rFonts w:ascii="仿宋_GB2312" w:hAnsi="仿宋_GB2312" w:cs="仿宋_GB2312"/>
          <w:bCs/>
          <w:sz w:val="28"/>
          <w:szCs w:val="28"/>
        </w:rPr>
        <w:t>》，</w:t>
      </w:r>
      <w:r w:rsidRPr="005551FE">
        <w:rPr>
          <w:rFonts w:ascii="仿宋_GB2312" w:hAnsi="仿宋_GB2312" w:cs="仿宋_GB2312" w:hint="eastAsia"/>
          <w:bCs/>
          <w:sz w:val="28"/>
          <w:szCs w:val="28"/>
        </w:rPr>
        <w:t>冯彬</w:t>
      </w:r>
      <w:r w:rsidRPr="005551FE">
        <w:rPr>
          <w:rFonts w:ascii="仿宋_GB2312" w:hAnsi="仿宋_GB2312" w:cs="仿宋_GB2312"/>
          <w:bCs/>
          <w:sz w:val="28"/>
          <w:szCs w:val="28"/>
        </w:rPr>
        <w:t>等编，</w:t>
      </w:r>
      <w:r w:rsidRPr="005551FE">
        <w:rPr>
          <w:rFonts w:ascii="仿宋_GB2312" w:hAnsi="仿宋_GB2312" w:cs="仿宋_GB2312" w:hint="eastAsia"/>
          <w:bCs/>
          <w:sz w:val="28"/>
          <w:szCs w:val="28"/>
        </w:rPr>
        <w:t>中国电力出版社</w:t>
      </w:r>
      <w:r w:rsidRPr="005551FE">
        <w:rPr>
          <w:rFonts w:ascii="仿宋_GB2312" w:hAnsi="仿宋_GB2312" w:cs="仿宋_GB2312"/>
          <w:bCs/>
          <w:sz w:val="28"/>
          <w:szCs w:val="28"/>
        </w:rPr>
        <w:t>，20</w:t>
      </w:r>
      <w:r w:rsidRPr="005551FE">
        <w:rPr>
          <w:rFonts w:ascii="仿宋_GB2312" w:hAnsi="仿宋_GB2312" w:cs="仿宋_GB2312" w:hint="eastAsia"/>
          <w:bCs/>
          <w:sz w:val="28"/>
          <w:szCs w:val="28"/>
        </w:rPr>
        <w:t>09</w:t>
      </w:r>
      <w:r w:rsidRPr="005551FE">
        <w:rPr>
          <w:rFonts w:ascii="仿宋_GB2312" w:hAnsi="仿宋_GB2312" w:cs="仿宋_GB2312"/>
          <w:bCs/>
          <w:sz w:val="28"/>
          <w:szCs w:val="28"/>
        </w:rPr>
        <w:t>年</w:t>
      </w:r>
      <w:r w:rsidRPr="005551FE">
        <w:rPr>
          <w:rFonts w:ascii="仿宋_GB2312" w:hAnsi="仿宋_GB2312" w:cs="仿宋_GB2312" w:hint="eastAsia"/>
          <w:bCs/>
          <w:sz w:val="28"/>
          <w:szCs w:val="28"/>
        </w:rPr>
        <w:t>4</w:t>
      </w:r>
      <w:r w:rsidRPr="005551FE">
        <w:rPr>
          <w:rFonts w:ascii="仿宋_GB2312" w:hAnsi="仿宋_GB2312" w:cs="仿宋_GB2312"/>
          <w:bCs/>
          <w:sz w:val="28"/>
          <w:szCs w:val="28"/>
        </w:rPr>
        <w:t>月</w:t>
      </w:r>
    </w:p>
    <w:p w:rsidR="00C00235" w:rsidRDefault="00C00235" w:rsidP="00C00235">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w:t>
      </w:r>
      <w:r w:rsidRPr="00C00235">
        <w:rPr>
          <w:rFonts w:ascii="仿宋" w:eastAsia="仿宋" w:hAnsi="仿宋" w:hint="eastAsia"/>
          <w:sz w:val="28"/>
          <w:szCs w:val="28"/>
        </w:rPr>
        <w:t>马昕</w:t>
      </w:r>
    </w:p>
    <w:p w:rsidR="00C00235" w:rsidRDefault="00C00235" w:rsidP="00C00235">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C00235" w:rsidRDefault="00C00235" w:rsidP="00C00235">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00235" w:rsidRDefault="00C00235" w:rsidP="00C00235">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00235" w:rsidRDefault="00C00235" w:rsidP="00C00235">
      <w:pPr>
        <w:ind w:firstLineChars="2000" w:firstLine="5600"/>
        <w:jc w:val="left"/>
        <w:rPr>
          <w:rFonts w:ascii="仿宋" w:hAnsi="仿宋"/>
          <w:sz w:val="28"/>
          <w:szCs w:val="28"/>
        </w:rPr>
      </w:pPr>
      <w:r>
        <w:rPr>
          <w:rFonts w:ascii="仿宋_GB2312" w:hAnsi="微软雅黑" w:hint="eastAsia"/>
          <w:sz w:val="28"/>
          <w:szCs w:val="28"/>
        </w:rPr>
        <w:t xml:space="preserve">    </w:t>
      </w:r>
    </w:p>
    <w:p w:rsidR="00C00235" w:rsidRDefault="00C00235" w:rsidP="00C00235">
      <w:pPr>
        <w:jc w:val="left"/>
        <w:rPr>
          <w:rFonts w:ascii="仿宋_GB2312" w:hAnsi="黑体"/>
          <w:sz w:val="28"/>
          <w:szCs w:val="28"/>
        </w:rPr>
      </w:pPr>
      <w:r>
        <w:rPr>
          <w:rFonts w:ascii="仿宋" w:eastAsia="仿宋" w:hAnsi="仿宋" w:hint="eastAsia"/>
          <w:sz w:val="28"/>
          <w:szCs w:val="28"/>
        </w:rPr>
        <w:t xml:space="preserve">                                         年    月</w:t>
      </w:r>
    </w:p>
    <w:p w:rsidR="00AD1D5F" w:rsidRPr="00C00235" w:rsidRDefault="00AD1D5F" w:rsidP="00AD1D5F">
      <w:pPr>
        <w:spacing w:line="360" w:lineRule="exact"/>
        <w:ind w:firstLineChars="196" w:firstLine="627"/>
        <w:rPr>
          <w:rFonts w:ascii="Times New Roman" w:hAnsi="Times New Roman"/>
          <w:szCs w:val="21"/>
        </w:rPr>
      </w:pPr>
    </w:p>
    <w:p w:rsidR="00AD1D5F" w:rsidRDefault="00AD1D5F" w:rsidP="00AD1D5F">
      <w:pPr>
        <w:spacing w:line="360" w:lineRule="exact"/>
        <w:ind w:firstLineChars="196" w:firstLine="627"/>
        <w:rPr>
          <w:rFonts w:ascii="Times New Roman" w:hAnsi="Times New Roman"/>
          <w:szCs w:val="21"/>
        </w:rPr>
      </w:pPr>
    </w:p>
    <w:p w:rsidR="00AD1D5F" w:rsidRDefault="00AD1D5F" w:rsidP="00C00235">
      <w:pPr>
        <w:spacing w:line="360" w:lineRule="exact"/>
        <w:rPr>
          <w:rFonts w:ascii="Times New Roman" w:hAnsi="Times New Roman"/>
          <w:szCs w:val="21"/>
        </w:rPr>
      </w:pPr>
    </w:p>
    <w:p w:rsidR="00AD1D5F" w:rsidRDefault="00AD1D5F" w:rsidP="00AD1D5F">
      <w:pPr>
        <w:widowControl/>
        <w:spacing w:line="400" w:lineRule="exact"/>
        <w:rPr>
          <w:rFonts w:ascii="黑体" w:eastAsia="黑体" w:hAnsi="黑体" w:cs="宋体"/>
          <w:bCs/>
          <w:kern w:val="0"/>
          <w:szCs w:val="32"/>
        </w:rPr>
      </w:pPr>
    </w:p>
    <w:p w:rsidR="005551FE" w:rsidRDefault="005551FE" w:rsidP="00AD1D5F">
      <w:pPr>
        <w:widowControl/>
        <w:spacing w:line="400" w:lineRule="exact"/>
        <w:rPr>
          <w:rFonts w:ascii="黑体" w:eastAsia="黑体" w:hAnsi="黑体" w:cs="宋体"/>
          <w:bCs/>
          <w:kern w:val="0"/>
          <w:szCs w:val="32"/>
        </w:rPr>
      </w:pPr>
    </w:p>
    <w:p w:rsidR="005551FE" w:rsidRDefault="005551FE" w:rsidP="00AD1D5F">
      <w:pPr>
        <w:widowControl/>
        <w:spacing w:line="400" w:lineRule="exact"/>
        <w:rPr>
          <w:rFonts w:ascii="黑体" w:eastAsia="黑体" w:hAnsi="黑体" w:cs="宋体"/>
          <w:bCs/>
          <w:kern w:val="0"/>
          <w:szCs w:val="32"/>
        </w:rPr>
      </w:pPr>
    </w:p>
    <w:p w:rsidR="005551FE" w:rsidRDefault="005551FE" w:rsidP="005551FE">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5551FE">
        <w:rPr>
          <w:rFonts w:ascii="方正小标宋简体" w:eastAsia="方正小标宋简体" w:hAnsi="宋体" w:hint="eastAsia"/>
          <w:kern w:val="0"/>
          <w:szCs w:val="32"/>
        </w:rPr>
        <w:t>资产评估原理</w:t>
      </w:r>
      <w:r>
        <w:rPr>
          <w:rFonts w:ascii="方正小标宋简体" w:eastAsia="方正小标宋简体" w:hAnsi="宋体" w:hint="eastAsia"/>
          <w:kern w:val="0"/>
          <w:szCs w:val="32"/>
        </w:rPr>
        <w:t>》课程教学大纲</w:t>
      </w:r>
    </w:p>
    <w:p w:rsidR="005551FE" w:rsidRDefault="005551FE" w:rsidP="005551F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5551FE" w:rsidRDefault="005551FE" w:rsidP="005551F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sidRPr="005551FE">
        <w:rPr>
          <w:rFonts w:ascii="仿宋_GB2312" w:hAnsi="仿宋_GB2312" w:cs="仿宋_GB2312"/>
          <w:bCs/>
          <w:sz w:val="28"/>
          <w:szCs w:val="28"/>
        </w:rPr>
        <w:t>Fundamentals of Valuation</w:t>
      </w:r>
    </w:p>
    <w:p w:rsidR="005551FE" w:rsidRDefault="005551FE" w:rsidP="005551FE">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sidRPr="005551FE">
        <w:rPr>
          <w:rFonts w:ascii="仿宋_GB2312" w:hAnsi="仿宋_GB2312" w:cs="仿宋_GB2312"/>
          <w:bCs/>
          <w:sz w:val="28"/>
          <w:szCs w:val="28"/>
        </w:rPr>
        <w:t>Z2805250</w:t>
      </w:r>
    </w:p>
    <w:p w:rsidR="005551FE" w:rsidRDefault="005551FE" w:rsidP="005551F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5551FE" w:rsidRDefault="005551FE" w:rsidP="005551FE">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5551FE" w:rsidRDefault="005551FE" w:rsidP="005551F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课程类别：专业发展课程</w:t>
      </w:r>
    </w:p>
    <w:p w:rsidR="005551FE" w:rsidRDefault="005551FE" w:rsidP="005551F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5551FE" w:rsidRDefault="005551FE" w:rsidP="005551F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w:t>
      </w:r>
    </w:p>
    <w:p w:rsidR="005551FE" w:rsidRDefault="005551FE" w:rsidP="005551FE">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32</w:t>
      </w:r>
      <w:r>
        <w:rPr>
          <w:rFonts w:ascii="仿宋_GB2312" w:hAnsi="仿宋_GB2312" w:cs="仿宋_GB2312" w:hint="eastAsia"/>
          <w:bCs/>
          <w:sz w:val="28"/>
          <w:szCs w:val="28"/>
        </w:rPr>
        <w:t>学时2</w:t>
      </w:r>
    </w:p>
    <w:p w:rsidR="005551FE" w:rsidRDefault="005551FE" w:rsidP="005551F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w:t>
      </w:r>
      <w:r w:rsidRPr="005551FE">
        <w:rPr>
          <w:rFonts w:ascii="仿宋_GB2312" w:hAnsi="仿宋_GB2312" w:cs="仿宋_GB2312" w:hint="eastAsia"/>
          <w:bCs/>
          <w:sz w:val="28"/>
          <w:szCs w:val="28"/>
        </w:rPr>
        <w:t>工程造价专业</w:t>
      </w:r>
    </w:p>
    <w:p w:rsidR="005551FE" w:rsidRDefault="005551FE" w:rsidP="005551F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sidRPr="005551FE">
        <w:rPr>
          <w:rFonts w:ascii="仿宋_GB2312" w:hAnsi="仿宋_GB2312" w:cs="仿宋_GB2312" w:hint="eastAsia"/>
          <w:bCs/>
          <w:sz w:val="28"/>
          <w:szCs w:val="28"/>
        </w:rPr>
        <w:t>经济学概论、工程经济学等</w:t>
      </w:r>
    </w:p>
    <w:p w:rsidR="005551FE" w:rsidRDefault="005551FE" w:rsidP="005551F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w:t>
      </w:r>
      <w:r w:rsidRPr="005551FE">
        <w:rPr>
          <w:rFonts w:ascii="仿宋_GB2312" w:hAnsi="仿宋_GB2312" w:cs="仿宋_GB2312" w:hint="eastAsia"/>
          <w:bCs/>
          <w:sz w:val="28"/>
          <w:szCs w:val="28"/>
        </w:rPr>
        <w:t>土木工程学院工程造价与施工教研室</w:t>
      </w:r>
    </w:p>
    <w:p w:rsidR="005551FE" w:rsidRDefault="005551FE" w:rsidP="005551F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D00D2" w:rsidRPr="005551FE" w:rsidRDefault="00CD00D2" w:rsidP="005551FE">
      <w:pPr>
        <w:spacing w:line="360" w:lineRule="auto"/>
        <w:ind w:firstLine="331"/>
        <w:rPr>
          <w:rFonts w:ascii="仿宋_GB2312" w:hAnsi="仿宋_GB2312" w:cs="仿宋_GB2312"/>
          <w:bCs/>
          <w:sz w:val="28"/>
          <w:szCs w:val="28"/>
        </w:rPr>
      </w:pPr>
      <w:r w:rsidRPr="005551FE">
        <w:rPr>
          <w:rFonts w:ascii="仿宋_GB2312" w:hAnsi="仿宋_GB2312" w:cs="仿宋_GB2312"/>
          <w:bCs/>
          <w:sz w:val="28"/>
          <w:szCs w:val="28"/>
        </w:rPr>
        <w:t>课程教学目标</w:t>
      </w:r>
    </w:p>
    <w:p w:rsidR="00CD00D2" w:rsidRPr="005551FE" w:rsidRDefault="00CD00D2" w:rsidP="005551FE">
      <w:pPr>
        <w:spacing w:line="360" w:lineRule="auto"/>
        <w:ind w:firstLine="331"/>
        <w:rPr>
          <w:rFonts w:ascii="仿宋_GB2312" w:hAnsi="仿宋_GB2312" w:cs="仿宋_GB2312"/>
          <w:bCs/>
          <w:sz w:val="28"/>
          <w:szCs w:val="28"/>
        </w:rPr>
      </w:pPr>
      <w:r w:rsidRPr="005551FE">
        <w:rPr>
          <w:rFonts w:ascii="仿宋_GB2312" w:hAnsi="仿宋_GB2312" w:cs="仿宋_GB2312"/>
          <w:bCs/>
          <w:sz w:val="28"/>
          <w:szCs w:val="28"/>
        </w:rPr>
        <w:t>本课程是面向</w:t>
      </w:r>
      <w:r w:rsidRPr="005551FE">
        <w:rPr>
          <w:rFonts w:ascii="仿宋_GB2312" w:hAnsi="仿宋_GB2312" w:cs="仿宋_GB2312" w:hint="eastAsia"/>
          <w:bCs/>
          <w:sz w:val="28"/>
          <w:szCs w:val="28"/>
        </w:rPr>
        <w:t>工程造价</w:t>
      </w:r>
      <w:r w:rsidRPr="005551FE">
        <w:rPr>
          <w:rFonts w:ascii="仿宋_GB2312" w:hAnsi="仿宋_GB2312" w:cs="仿宋_GB2312"/>
          <w:bCs/>
          <w:sz w:val="28"/>
          <w:szCs w:val="28"/>
        </w:rPr>
        <w:t>专业开设的专业方向课程，</w:t>
      </w:r>
      <w:r w:rsidRPr="005551FE">
        <w:rPr>
          <w:rFonts w:ascii="仿宋_GB2312" w:hAnsi="仿宋_GB2312" w:cs="仿宋_GB2312" w:hint="eastAsia"/>
          <w:bCs/>
          <w:sz w:val="28"/>
          <w:szCs w:val="28"/>
        </w:rPr>
        <w:t>旨在通过本课程的学习，使学生正确认识资产评估的课程性质、任务和研究对象，理解和掌握资产评估的基本概念、基本原理和基本方法，具备运用资产评估基本原理和方法认识和解决资产评估问题的能力。</w:t>
      </w:r>
      <w:r w:rsidRPr="005551FE">
        <w:rPr>
          <w:rFonts w:ascii="仿宋_GB2312" w:hAnsi="仿宋_GB2312" w:cs="仿宋_GB2312"/>
          <w:bCs/>
          <w:sz w:val="28"/>
          <w:szCs w:val="28"/>
        </w:rPr>
        <w:t>培养学生具备</w:t>
      </w:r>
      <w:r w:rsidRPr="005551FE">
        <w:rPr>
          <w:rFonts w:ascii="仿宋_GB2312" w:hAnsi="仿宋_GB2312" w:cs="仿宋_GB2312" w:hint="eastAsia"/>
          <w:bCs/>
          <w:sz w:val="28"/>
          <w:szCs w:val="28"/>
        </w:rPr>
        <w:t>职业</w:t>
      </w:r>
      <w:r w:rsidRPr="005551FE">
        <w:rPr>
          <w:rFonts w:ascii="仿宋_GB2312" w:hAnsi="仿宋_GB2312" w:cs="仿宋_GB2312"/>
          <w:bCs/>
          <w:sz w:val="28"/>
          <w:szCs w:val="28"/>
        </w:rPr>
        <w:t>道德和强烈的社会责任感，能够在工程实践中理解并遵守工程职业道德和规范，</w:t>
      </w:r>
      <w:r w:rsidRPr="005551FE">
        <w:rPr>
          <w:rFonts w:ascii="仿宋_GB2312" w:hAnsi="仿宋_GB2312" w:cs="仿宋_GB2312" w:hint="eastAsia"/>
          <w:bCs/>
          <w:sz w:val="28"/>
          <w:szCs w:val="28"/>
        </w:rPr>
        <w:t>切实</w:t>
      </w:r>
      <w:r w:rsidRPr="005551FE">
        <w:rPr>
          <w:rFonts w:ascii="仿宋_GB2312" w:hAnsi="仿宋_GB2312" w:cs="仿宋_GB2312"/>
          <w:bCs/>
          <w:sz w:val="28"/>
          <w:szCs w:val="28"/>
        </w:rPr>
        <w:t>履行责任。</w:t>
      </w:r>
    </w:p>
    <w:p w:rsidR="00CD00D2" w:rsidRPr="005551FE" w:rsidRDefault="00CD00D2" w:rsidP="005551FE">
      <w:pPr>
        <w:spacing w:line="360" w:lineRule="auto"/>
        <w:ind w:firstLine="331"/>
        <w:rPr>
          <w:rFonts w:ascii="仿宋_GB2312" w:hAnsi="仿宋_GB2312" w:cs="仿宋_GB2312"/>
          <w:bCs/>
          <w:sz w:val="28"/>
          <w:szCs w:val="28"/>
        </w:rPr>
      </w:pPr>
      <w:r w:rsidRPr="005551FE">
        <w:rPr>
          <w:rFonts w:ascii="仿宋_GB2312" w:hAnsi="仿宋_GB2312" w:cs="仿宋_GB2312"/>
          <w:bCs/>
          <w:sz w:val="28"/>
          <w:szCs w:val="28"/>
        </w:rPr>
        <w:lastRenderedPageBreak/>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768"/>
        <w:gridCol w:w="886"/>
        <w:gridCol w:w="3073"/>
      </w:tblGrid>
      <w:tr w:rsidR="00CD00D2" w:rsidTr="00CD00D2">
        <w:trPr>
          <w:trHeight w:val="454"/>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序号</w:t>
            </w:r>
          </w:p>
        </w:tc>
        <w:tc>
          <w:tcPr>
            <w:tcW w:w="2271" w:type="pct"/>
            <w:vMerge w:val="restart"/>
            <w:tcBorders>
              <w:top w:val="single" w:sz="4" w:space="0" w:color="000000"/>
              <w:left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课程教学目标</w:t>
            </w:r>
          </w:p>
        </w:tc>
        <w:tc>
          <w:tcPr>
            <w:tcW w:w="2386" w:type="pct"/>
            <w:gridSpan w:val="2"/>
            <w:tcBorders>
              <w:top w:val="single" w:sz="4" w:space="0" w:color="000000"/>
              <w:left w:val="single" w:sz="4" w:space="0" w:color="000000"/>
              <w:bottom w:val="single" w:sz="4" w:space="0" w:color="auto"/>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支撑毕业要求指标点</w:t>
            </w:r>
          </w:p>
        </w:tc>
      </w:tr>
      <w:tr w:rsidR="00CD00D2" w:rsidTr="00CD00D2">
        <w:trPr>
          <w:trHeight w:val="454"/>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widowControl/>
              <w:spacing w:line="360" w:lineRule="exact"/>
              <w:jc w:val="center"/>
              <w:rPr>
                <w:rFonts w:ascii="仿宋_GB2312" w:hAnsi="仿宋_GB2312" w:cs="仿宋_GB2312"/>
                <w:b/>
                <w:bCs/>
                <w:sz w:val="24"/>
                <w:szCs w:val="24"/>
              </w:rPr>
            </w:pPr>
          </w:p>
        </w:tc>
        <w:tc>
          <w:tcPr>
            <w:tcW w:w="2271" w:type="pct"/>
            <w:vMerge/>
            <w:tcBorders>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
                <w:bCs/>
                <w:sz w:val="24"/>
                <w:szCs w:val="24"/>
              </w:rPr>
            </w:pPr>
          </w:p>
        </w:tc>
        <w:tc>
          <w:tcPr>
            <w:tcW w:w="534" w:type="pct"/>
            <w:tcBorders>
              <w:top w:val="single" w:sz="4" w:space="0" w:color="auto"/>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指标点</w:t>
            </w:r>
          </w:p>
        </w:tc>
        <w:tc>
          <w:tcPr>
            <w:tcW w:w="1852" w:type="pct"/>
            <w:tcBorders>
              <w:top w:val="single" w:sz="4" w:space="0" w:color="auto"/>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指标点内容</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1</w:t>
            </w:r>
          </w:p>
        </w:tc>
        <w:tc>
          <w:tcPr>
            <w:tcW w:w="2271"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w:t>
            </w:r>
            <w:r w:rsidRPr="005551FE">
              <w:rPr>
                <w:rFonts w:ascii="仿宋_GB2312" w:hAnsi="仿宋_GB2312" w:cs="仿宋_GB2312"/>
                <w:bCs/>
                <w:sz w:val="24"/>
                <w:szCs w:val="24"/>
              </w:rPr>
              <w:t>熟悉</w:t>
            </w:r>
            <w:r w:rsidRPr="005551FE">
              <w:rPr>
                <w:rFonts w:ascii="仿宋_GB2312" w:hAnsi="仿宋_GB2312" w:cs="仿宋_GB2312" w:hint="eastAsia"/>
                <w:bCs/>
                <w:sz w:val="24"/>
                <w:szCs w:val="24"/>
              </w:rPr>
              <w:t>资产评估的应用背景；掌握资产评估的的理论基础，熟悉资产评估的基本运作方式。</w:t>
            </w:r>
          </w:p>
        </w:tc>
        <w:tc>
          <w:tcPr>
            <w:tcW w:w="534"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1</w:t>
            </w:r>
          </w:p>
        </w:tc>
        <w:tc>
          <w:tcPr>
            <w:tcW w:w="1852"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能够在土木工程专业的多学科环境中，将数学、自然科学、工程基础、经济学和专业知识等运用于复杂工程问题的解决。</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2</w:t>
            </w:r>
          </w:p>
        </w:tc>
        <w:tc>
          <w:tcPr>
            <w:tcW w:w="2271"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目标2：基本价值引导，综合考虑社会、健康、安全等因素，初步具备资产评估相关问题解决方案的设计能力。</w:t>
            </w:r>
          </w:p>
        </w:tc>
        <w:tc>
          <w:tcPr>
            <w:tcW w:w="534"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3</w:t>
            </w:r>
          </w:p>
        </w:tc>
        <w:tc>
          <w:tcPr>
            <w:tcW w:w="1852"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能够设计针对复杂工程问题的解决方案，设计满足特定需求的工程投资方案，并能够在设计环节中体现价值管理的创新意识，考虑社会、健康、安全、法律、文化及环境等因素。</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3</w:t>
            </w:r>
          </w:p>
        </w:tc>
        <w:tc>
          <w:tcPr>
            <w:tcW w:w="2271"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目标3：理解资产评估运作环节配合关系及相应参与者工作职责。</w:t>
            </w:r>
          </w:p>
        </w:tc>
        <w:tc>
          <w:tcPr>
            <w:tcW w:w="534"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9</w:t>
            </w:r>
          </w:p>
        </w:tc>
        <w:tc>
          <w:tcPr>
            <w:tcW w:w="1852"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能够在多学科背景下的团队中承担个体、团队成员以及负责人的角色</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2271"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4</w:t>
            </w:r>
            <w:r w:rsidRPr="005551FE">
              <w:rPr>
                <w:rFonts w:ascii="仿宋_GB2312" w:hAnsi="仿宋_GB2312" w:cs="仿宋_GB2312"/>
                <w:bCs/>
                <w:sz w:val="24"/>
                <w:szCs w:val="24"/>
              </w:rPr>
              <w:t>：</w:t>
            </w:r>
            <w:r w:rsidRPr="005551FE">
              <w:rPr>
                <w:rFonts w:ascii="仿宋_GB2312" w:hAnsi="仿宋_GB2312" w:cs="仿宋_GB2312" w:hint="eastAsia"/>
                <w:bCs/>
                <w:sz w:val="24"/>
                <w:szCs w:val="24"/>
              </w:rPr>
              <w:t>掌握资产评估的基本程序；初步具备运用相关知识解决实际问题的能力。</w:t>
            </w:r>
          </w:p>
        </w:tc>
        <w:tc>
          <w:tcPr>
            <w:tcW w:w="534"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10</w:t>
            </w:r>
          </w:p>
        </w:tc>
        <w:tc>
          <w:tcPr>
            <w:tcW w:w="1852"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能够针对复杂的工程问题与业界同行及社会公众进行有效沟通和交流，包括撰写报告和设计文稿、陈述发言、清晰表达或回应指令，并具备一定国际视野，能够在跨文化背景下进行沟通和交流。</w:t>
            </w:r>
          </w:p>
        </w:tc>
      </w:tr>
    </w:tbl>
    <w:p w:rsidR="005551FE" w:rsidRDefault="005551FE" w:rsidP="005551F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3"/>
        <w:gridCol w:w="2149"/>
        <w:gridCol w:w="954"/>
        <w:gridCol w:w="596"/>
        <w:gridCol w:w="926"/>
      </w:tblGrid>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序号</w:t>
            </w:r>
          </w:p>
        </w:tc>
        <w:tc>
          <w:tcPr>
            <w:tcW w:w="1870" w:type="pct"/>
            <w:tcBorders>
              <w:top w:val="single" w:sz="4" w:space="0" w:color="000000"/>
              <w:left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教学内容及重点、难点</w:t>
            </w:r>
          </w:p>
        </w:tc>
        <w:tc>
          <w:tcPr>
            <w:tcW w:w="1295" w:type="pct"/>
            <w:tcBorders>
              <w:top w:val="single" w:sz="4" w:space="0" w:color="000000"/>
              <w:left w:val="single" w:sz="4" w:space="0" w:color="auto"/>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支撑课程教学目标</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1</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内容：第一章</w:t>
            </w:r>
            <w:r w:rsidRPr="005551FE">
              <w:rPr>
                <w:rFonts w:ascii="仿宋_GB2312" w:hAnsi="仿宋_GB2312" w:cs="仿宋_GB2312" w:hint="eastAsia"/>
                <w:bCs/>
                <w:sz w:val="24"/>
                <w:szCs w:val="24"/>
              </w:rPr>
              <w:t xml:space="preserve"> 总论</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lastRenderedPageBreak/>
              <w:t>重点：</w:t>
            </w:r>
            <w:r w:rsidRPr="005551FE">
              <w:rPr>
                <w:rFonts w:ascii="仿宋_GB2312" w:hAnsi="仿宋_GB2312" w:cs="仿宋_GB2312" w:hint="eastAsia"/>
                <w:bCs/>
                <w:sz w:val="24"/>
                <w:szCs w:val="24"/>
              </w:rPr>
              <w:t>资产评估的价值类型及原则</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lastRenderedPageBreak/>
              <w:t>1.</w:t>
            </w:r>
            <w:r w:rsidRPr="005551FE">
              <w:rPr>
                <w:rFonts w:ascii="仿宋_GB2312" w:hAnsi="仿宋_GB2312" w:cs="仿宋_GB2312" w:hint="eastAsia"/>
                <w:bCs/>
                <w:sz w:val="24"/>
                <w:szCs w:val="24"/>
              </w:rPr>
              <w:t>了解资产评估的</w:t>
            </w:r>
            <w:r w:rsidRPr="005551FE">
              <w:rPr>
                <w:rFonts w:ascii="仿宋_GB2312" w:hAnsi="仿宋_GB2312" w:cs="仿宋_GB2312" w:hint="eastAsia"/>
                <w:bCs/>
                <w:sz w:val="24"/>
                <w:szCs w:val="24"/>
              </w:rPr>
              <w:lastRenderedPageBreak/>
              <w:t>含义、对象</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2.理解价值类型及原则</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lastRenderedPageBreak/>
              <w:t>课堂授</w:t>
            </w:r>
            <w:r w:rsidRPr="005551FE">
              <w:rPr>
                <w:rFonts w:ascii="仿宋_GB2312" w:hAnsi="仿宋_GB2312" w:cs="仿宋_GB2312"/>
                <w:bCs/>
                <w:sz w:val="24"/>
                <w:szCs w:val="24"/>
              </w:rPr>
              <w:lastRenderedPageBreak/>
              <w:t>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lastRenderedPageBreak/>
              <w:t>2</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lastRenderedPageBreak/>
              <w:t>1、2、3、4</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lastRenderedPageBreak/>
              <w:t>2</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内容：第二章</w:t>
            </w:r>
            <w:r w:rsidRPr="005551FE">
              <w:rPr>
                <w:rFonts w:ascii="仿宋_GB2312" w:hAnsi="仿宋_GB2312" w:cs="仿宋_GB2312" w:hint="eastAsia"/>
                <w:bCs/>
                <w:sz w:val="24"/>
                <w:szCs w:val="24"/>
              </w:rPr>
              <w:t xml:space="preserve"> 资产评估的基本程序和方法</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资产评估的程序及方法</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1.</w:t>
            </w:r>
            <w:r w:rsidRPr="005551FE">
              <w:rPr>
                <w:rFonts w:ascii="仿宋_GB2312" w:hAnsi="仿宋_GB2312" w:cs="仿宋_GB2312" w:hint="eastAsia"/>
                <w:bCs/>
                <w:sz w:val="24"/>
                <w:szCs w:val="24"/>
              </w:rPr>
              <w:t>掌握资产评估的程序</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2.理解资产评估方法（市场法、成本法、效益法）</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1、2、3、4</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内容：第三章</w:t>
            </w:r>
            <w:r w:rsidRPr="005551FE">
              <w:rPr>
                <w:rFonts w:ascii="仿宋_GB2312" w:hAnsi="仿宋_GB2312" w:cs="仿宋_GB2312" w:hint="eastAsia"/>
                <w:bCs/>
                <w:sz w:val="24"/>
                <w:szCs w:val="24"/>
              </w:rPr>
              <w:t xml:space="preserve"> 资产评估报告</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资产评估报告的编制</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 xml:space="preserve">难点： </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1.</w:t>
            </w:r>
            <w:r w:rsidRPr="005551FE">
              <w:rPr>
                <w:rFonts w:ascii="仿宋_GB2312" w:hAnsi="仿宋_GB2312" w:cs="仿宋_GB2312" w:hint="eastAsia"/>
                <w:bCs/>
                <w:sz w:val="24"/>
                <w:szCs w:val="24"/>
              </w:rPr>
              <w:t>了解资产评估报告的基本内容</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2.理解资产评估报告的利用</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3.掌握资产评估报告的编制</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1、2、3</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4</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内容：第四章</w:t>
            </w:r>
            <w:r w:rsidRPr="005551FE">
              <w:rPr>
                <w:rFonts w:ascii="仿宋_GB2312" w:hAnsi="仿宋_GB2312" w:cs="仿宋_GB2312" w:hint="eastAsia"/>
                <w:bCs/>
                <w:sz w:val="24"/>
                <w:szCs w:val="24"/>
              </w:rPr>
              <w:t xml:space="preserve"> 机器设备评估</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无</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1.</w:t>
            </w:r>
            <w:r w:rsidRPr="005551FE">
              <w:rPr>
                <w:rFonts w:ascii="仿宋_GB2312" w:hAnsi="仿宋_GB2312" w:cs="仿宋_GB2312" w:hint="eastAsia"/>
                <w:bCs/>
                <w:sz w:val="24"/>
                <w:szCs w:val="24"/>
              </w:rPr>
              <w:t>了解机器设备评估的特点，评估方法（成本法和市场法）</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1、2</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5</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内容：第五章</w:t>
            </w:r>
            <w:r w:rsidRPr="005551FE">
              <w:rPr>
                <w:rFonts w:ascii="仿宋_GB2312" w:hAnsi="仿宋_GB2312" w:cs="仿宋_GB2312" w:hint="eastAsia"/>
                <w:bCs/>
                <w:sz w:val="24"/>
                <w:szCs w:val="24"/>
              </w:rPr>
              <w:t xml:space="preserve"> 房地产评估</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建筑物及土地评估方法</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1.</w:t>
            </w:r>
            <w:r w:rsidRPr="005551FE">
              <w:rPr>
                <w:rFonts w:ascii="仿宋_GB2312" w:hAnsi="仿宋_GB2312" w:cs="仿宋_GB2312" w:hint="eastAsia"/>
                <w:bCs/>
                <w:sz w:val="24"/>
                <w:szCs w:val="24"/>
              </w:rPr>
              <w:t>了解建筑物评估的特点，土地使用权评估的特点</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2.理解建筑物评估的方法，土地使用权评估的方法</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1、2</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6</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内容：第六章</w:t>
            </w:r>
            <w:r w:rsidRPr="005551FE">
              <w:rPr>
                <w:rFonts w:ascii="仿宋_GB2312" w:hAnsi="仿宋_GB2312" w:cs="仿宋_GB2312" w:hint="eastAsia"/>
                <w:bCs/>
                <w:sz w:val="24"/>
                <w:szCs w:val="24"/>
              </w:rPr>
              <w:t xml:space="preserve"> 无形资产评估</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无形资产评估方法</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1.</w:t>
            </w:r>
            <w:r w:rsidRPr="005551FE">
              <w:rPr>
                <w:rFonts w:ascii="仿宋_GB2312" w:hAnsi="仿宋_GB2312" w:cs="仿宋_GB2312" w:hint="eastAsia"/>
                <w:bCs/>
                <w:sz w:val="24"/>
                <w:szCs w:val="24"/>
              </w:rPr>
              <w:t>了解无形资产评估的特点</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2.理解无形资产评估的方法（收益法、成本法）</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3.理解专利权、商标权及商誉的评估</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1、2</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7</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内容：第七章</w:t>
            </w:r>
            <w:r w:rsidRPr="005551FE">
              <w:rPr>
                <w:rFonts w:ascii="仿宋_GB2312" w:hAnsi="仿宋_GB2312" w:cs="仿宋_GB2312" w:hint="eastAsia"/>
                <w:bCs/>
                <w:sz w:val="24"/>
                <w:szCs w:val="24"/>
              </w:rPr>
              <w:t xml:space="preserve"> 流动资产评估</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流动资产评估方法</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1.</w:t>
            </w:r>
            <w:r w:rsidRPr="005551FE">
              <w:rPr>
                <w:rFonts w:ascii="仿宋_GB2312" w:hAnsi="仿宋_GB2312" w:cs="仿宋_GB2312" w:hint="eastAsia"/>
                <w:bCs/>
                <w:sz w:val="24"/>
                <w:szCs w:val="24"/>
              </w:rPr>
              <w:t>了解流动资产评估的特点</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2.理解实物类流动资产及非实物类流动资产评估</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1、2</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8</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内容：第八章</w:t>
            </w:r>
            <w:r w:rsidRPr="005551FE">
              <w:rPr>
                <w:rFonts w:ascii="仿宋_GB2312" w:hAnsi="仿宋_GB2312" w:cs="仿宋_GB2312" w:hint="eastAsia"/>
                <w:bCs/>
                <w:sz w:val="24"/>
                <w:szCs w:val="24"/>
              </w:rPr>
              <w:t xml:space="preserve"> 长期投资及其他资产评估</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lastRenderedPageBreak/>
              <w:t>重点：</w:t>
            </w:r>
            <w:r w:rsidRPr="005551FE">
              <w:rPr>
                <w:rFonts w:ascii="仿宋_GB2312" w:hAnsi="仿宋_GB2312" w:cs="仿宋_GB2312" w:hint="eastAsia"/>
                <w:bCs/>
                <w:sz w:val="24"/>
                <w:szCs w:val="24"/>
              </w:rPr>
              <w:t>无</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lastRenderedPageBreak/>
              <w:t>1.</w:t>
            </w:r>
            <w:r w:rsidRPr="005551FE">
              <w:rPr>
                <w:rFonts w:ascii="仿宋_GB2312" w:hAnsi="仿宋_GB2312" w:cs="仿宋_GB2312" w:hint="eastAsia"/>
                <w:bCs/>
                <w:sz w:val="24"/>
                <w:szCs w:val="24"/>
              </w:rPr>
              <w:t>了解有价证券投资、股权投资及其</w:t>
            </w:r>
            <w:r w:rsidRPr="005551FE">
              <w:rPr>
                <w:rFonts w:ascii="仿宋_GB2312" w:hAnsi="仿宋_GB2312" w:cs="仿宋_GB2312" w:hint="eastAsia"/>
                <w:bCs/>
                <w:sz w:val="24"/>
                <w:szCs w:val="24"/>
              </w:rPr>
              <w:lastRenderedPageBreak/>
              <w:t>他资产的评估</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1、2</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9</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内容：第九章</w:t>
            </w:r>
            <w:r w:rsidRPr="005551FE">
              <w:rPr>
                <w:rFonts w:ascii="仿宋_GB2312" w:hAnsi="仿宋_GB2312" w:cs="仿宋_GB2312" w:hint="eastAsia"/>
                <w:bCs/>
                <w:sz w:val="24"/>
                <w:szCs w:val="24"/>
              </w:rPr>
              <w:t xml:space="preserve"> 企业价值评估</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重点：</w:t>
            </w:r>
            <w:r w:rsidRPr="005551FE">
              <w:rPr>
                <w:rFonts w:ascii="仿宋_GB2312" w:hAnsi="仿宋_GB2312" w:cs="仿宋_GB2312" w:hint="eastAsia"/>
                <w:bCs/>
                <w:sz w:val="24"/>
                <w:szCs w:val="24"/>
              </w:rPr>
              <w:t>企业价值评估方法</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1.</w:t>
            </w:r>
            <w:r w:rsidRPr="005551FE">
              <w:rPr>
                <w:rFonts w:ascii="仿宋_GB2312" w:hAnsi="仿宋_GB2312" w:cs="仿宋_GB2312" w:hint="eastAsia"/>
                <w:bCs/>
                <w:sz w:val="24"/>
                <w:szCs w:val="24"/>
              </w:rPr>
              <w:t>了解企业价值评估的范围与程序</w:t>
            </w:r>
          </w:p>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2.理解企业价值评估的方法</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1、2</w:t>
            </w:r>
          </w:p>
        </w:tc>
      </w:tr>
    </w:tbl>
    <w:p w:rsidR="00CD00D2" w:rsidRPr="005551FE" w:rsidRDefault="00CD00D2" w:rsidP="00CD00D2">
      <w:pPr>
        <w:keepNext/>
        <w:spacing w:beforeLines="100" w:before="312" w:afterLines="50" w:after="156" w:line="360" w:lineRule="exact"/>
        <w:outlineLvl w:val="0"/>
        <w:rPr>
          <w:rFonts w:ascii="仿宋" w:eastAsia="仿宋" w:hAnsi="仿宋"/>
          <w:b/>
          <w:sz w:val="28"/>
          <w:szCs w:val="28"/>
        </w:rPr>
      </w:pPr>
      <w:r w:rsidRPr="005551FE">
        <w:rPr>
          <w:rFonts w:ascii="仿宋" w:eastAsia="仿宋" w:hAnsi="仿宋"/>
          <w:b/>
          <w:sz w:val="28"/>
          <w:szCs w:val="28"/>
        </w:rPr>
        <w:t>课内实践教学内容及要求</w:t>
      </w:r>
    </w:p>
    <w:p w:rsidR="00CD00D2" w:rsidRPr="005551FE" w:rsidRDefault="00CD00D2" w:rsidP="00CD00D2">
      <w:pPr>
        <w:adjustRightInd w:val="0"/>
        <w:snapToGrid w:val="0"/>
        <w:spacing w:line="360" w:lineRule="exact"/>
        <w:rPr>
          <w:rFonts w:ascii="Times New Roman" w:hAnsi="Times New Roman"/>
          <w:sz w:val="28"/>
          <w:szCs w:val="28"/>
        </w:rPr>
      </w:pPr>
      <w:r w:rsidRPr="005551FE">
        <w:rPr>
          <w:rFonts w:ascii="Times New Roman" w:hAnsi="Times New Roman"/>
          <w:sz w:val="28"/>
          <w:szCs w:val="28"/>
        </w:rPr>
        <w:t>无</w:t>
      </w:r>
    </w:p>
    <w:p w:rsidR="00CD00D2" w:rsidRPr="005551FE" w:rsidRDefault="00CD00D2" w:rsidP="00CD00D2">
      <w:pPr>
        <w:keepNext/>
        <w:spacing w:beforeLines="100" w:before="312" w:afterLines="50" w:after="156" w:line="360" w:lineRule="exact"/>
        <w:outlineLvl w:val="0"/>
        <w:rPr>
          <w:rFonts w:ascii="仿宋" w:eastAsia="仿宋" w:hAnsi="仿宋"/>
          <w:b/>
          <w:sz w:val="28"/>
          <w:szCs w:val="28"/>
        </w:rPr>
      </w:pPr>
      <w:r w:rsidRPr="005551FE">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CD00D2" w:rsidTr="00CD00D2">
        <w:trPr>
          <w:trHeight w:val="454"/>
          <w:jc w:val="center"/>
        </w:trPr>
        <w:tc>
          <w:tcPr>
            <w:tcW w:w="1624" w:type="pct"/>
            <w:vMerge w:val="restart"/>
            <w:vAlign w:val="center"/>
          </w:tcPr>
          <w:p w:rsidR="00CD00D2" w:rsidRPr="005551FE" w:rsidRDefault="00CD00D2" w:rsidP="005551FE">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章  节</w:t>
            </w:r>
          </w:p>
        </w:tc>
        <w:tc>
          <w:tcPr>
            <w:tcW w:w="2937" w:type="pct"/>
            <w:gridSpan w:val="6"/>
            <w:vAlign w:val="center"/>
          </w:tcPr>
          <w:p w:rsidR="00CD00D2" w:rsidRPr="005551FE" w:rsidRDefault="00CD00D2" w:rsidP="005551FE">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学 时 分 配</w:t>
            </w:r>
          </w:p>
        </w:tc>
        <w:tc>
          <w:tcPr>
            <w:tcW w:w="439" w:type="pct"/>
            <w:vMerge w:val="restart"/>
            <w:vAlign w:val="center"/>
          </w:tcPr>
          <w:p w:rsidR="00CD00D2" w:rsidRPr="005551FE" w:rsidRDefault="00CD00D2" w:rsidP="005551FE">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合  计</w:t>
            </w:r>
          </w:p>
        </w:tc>
      </w:tr>
      <w:tr w:rsidR="00CD00D2" w:rsidTr="00CD00D2">
        <w:trPr>
          <w:trHeight w:val="454"/>
          <w:jc w:val="center"/>
        </w:trPr>
        <w:tc>
          <w:tcPr>
            <w:tcW w:w="1624" w:type="pct"/>
            <w:vMerge/>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讲  课</w:t>
            </w:r>
          </w:p>
        </w:tc>
        <w:tc>
          <w:tcPr>
            <w:tcW w:w="490" w:type="pct"/>
            <w:vAlign w:val="center"/>
          </w:tcPr>
          <w:p w:rsidR="00CD00D2" w:rsidRPr="005551FE" w:rsidRDefault="00CD00D2" w:rsidP="005551FE">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实验课</w:t>
            </w:r>
          </w:p>
        </w:tc>
        <w:tc>
          <w:tcPr>
            <w:tcW w:w="489" w:type="pct"/>
            <w:vAlign w:val="center"/>
          </w:tcPr>
          <w:p w:rsidR="00CD00D2" w:rsidRPr="005551FE" w:rsidRDefault="00CD00D2" w:rsidP="005551FE">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上机课</w:t>
            </w:r>
          </w:p>
        </w:tc>
        <w:tc>
          <w:tcPr>
            <w:tcW w:w="490" w:type="pct"/>
            <w:vAlign w:val="center"/>
          </w:tcPr>
          <w:p w:rsidR="00CD00D2" w:rsidRPr="005551FE" w:rsidRDefault="00CD00D2" w:rsidP="005551FE">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讨论课</w:t>
            </w:r>
          </w:p>
        </w:tc>
        <w:tc>
          <w:tcPr>
            <w:tcW w:w="489" w:type="pct"/>
            <w:vAlign w:val="center"/>
          </w:tcPr>
          <w:p w:rsidR="00CD00D2" w:rsidRPr="005551FE" w:rsidRDefault="00CD00D2" w:rsidP="005551FE">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习题课</w:t>
            </w:r>
          </w:p>
        </w:tc>
        <w:tc>
          <w:tcPr>
            <w:tcW w:w="490" w:type="pct"/>
            <w:vAlign w:val="center"/>
          </w:tcPr>
          <w:p w:rsidR="00CD00D2" w:rsidRPr="005551FE" w:rsidRDefault="00CD00D2" w:rsidP="005551FE">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其  它</w:t>
            </w:r>
          </w:p>
        </w:tc>
        <w:tc>
          <w:tcPr>
            <w:tcW w:w="439" w:type="pct"/>
            <w:vMerge/>
            <w:vAlign w:val="center"/>
          </w:tcPr>
          <w:p w:rsidR="00CD00D2" w:rsidRPr="005551FE" w:rsidRDefault="00CD00D2" w:rsidP="005551FE">
            <w:pPr>
              <w:spacing w:line="360" w:lineRule="exact"/>
              <w:jc w:val="center"/>
              <w:rPr>
                <w:rFonts w:ascii="仿宋_GB2312" w:hAnsi="仿宋_GB2312" w:cs="仿宋_GB2312"/>
                <w:bCs/>
                <w:sz w:val="24"/>
                <w:szCs w:val="24"/>
              </w:rPr>
            </w:pPr>
          </w:p>
        </w:tc>
      </w:tr>
      <w:tr w:rsidR="00CD00D2" w:rsidTr="00CD00D2">
        <w:trPr>
          <w:trHeight w:val="454"/>
          <w:jc w:val="center"/>
        </w:trPr>
        <w:tc>
          <w:tcPr>
            <w:tcW w:w="1624"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第一章</w:t>
            </w: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2</w:t>
            </w: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3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2</w:t>
            </w:r>
          </w:p>
        </w:tc>
      </w:tr>
      <w:tr w:rsidR="00CD00D2" w:rsidTr="00CD00D2">
        <w:trPr>
          <w:trHeight w:val="454"/>
          <w:jc w:val="center"/>
        </w:trPr>
        <w:tc>
          <w:tcPr>
            <w:tcW w:w="1624"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第二章</w:t>
            </w: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3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r>
      <w:tr w:rsidR="00CD00D2" w:rsidTr="00CD00D2">
        <w:trPr>
          <w:trHeight w:val="454"/>
          <w:jc w:val="center"/>
        </w:trPr>
        <w:tc>
          <w:tcPr>
            <w:tcW w:w="1624"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第三章</w:t>
            </w: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3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r>
      <w:tr w:rsidR="00CD00D2" w:rsidTr="00CD00D2">
        <w:trPr>
          <w:trHeight w:val="454"/>
          <w:jc w:val="center"/>
        </w:trPr>
        <w:tc>
          <w:tcPr>
            <w:tcW w:w="1624"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第四章</w:t>
            </w: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2</w:t>
            </w: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3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2</w:t>
            </w:r>
          </w:p>
        </w:tc>
      </w:tr>
      <w:tr w:rsidR="00CD00D2" w:rsidTr="00CD00D2">
        <w:trPr>
          <w:trHeight w:val="454"/>
          <w:jc w:val="center"/>
        </w:trPr>
        <w:tc>
          <w:tcPr>
            <w:tcW w:w="1624"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第五章</w:t>
            </w: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3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r>
      <w:tr w:rsidR="00CD00D2" w:rsidTr="00CD00D2">
        <w:trPr>
          <w:trHeight w:val="454"/>
          <w:jc w:val="center"/>
        </w:trPr>
        <w:tc>
          <w:tcPr>
            <w:tcW w:w="1624"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第六章</w:t>
            </w: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3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r>
      <w:tr w:rsidR="00CD00D2" w:rsidTr="00CD00D2">
        <w:trPr>
          <w:trHeight w:val="454"/>
          <w:jc w:val="center"/>
        </w:trPr>
        <w:tc>
          <w:tcPr>
            <w:tcW w:w="1624"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第七章</w:t>
            </w: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3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r>
      <w:tr w:rsidR="00CD00D2" w:rsidTr="00CD00D2">
        <w:trPr>
          <w:trHeight w:val="454"/>
          <w:jc w:val="center"/>
        </w:trPr>
        <w:tc>
          <w:tcPr>
            <w:tcW w:w="1624"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第八章</w:t>
            </w: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3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r>
      <w:tr w:rsidR="00CD00D2" w:rsidTr="00CD00D2">
        <w:trPr>
          <w:trHeight w:val="454"/>
          <w:jc w:val="center"/>
        </w:trPr>
        <w:tc>
          <w:tcPr>
            <w:tcW w:w="1624"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第九章</w:t>
            </w: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1</w:t>
            </w:r>
          </w:p>
        </w:tc>
        <w:tc>
          <w:tcPr>
            <w:tcW w:w="43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r>
      <w:tr w:rsidR="00CD00D2" w:rsidTr="00CD00D2">
        <w:trPr>
          <w:trHeight w:val="454"/>
          <w:jc w:val="center"/>
        </w:trPr>
        <w:tc>
          <w:tcPr>
            <w:tcW w:w="1624"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共  计</w:t>
            </w: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32</w:t>
            </w: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89" w:type="pct"/>
            <w:vAlign w:val="center"/>
          </w:tcPr>
          <w:p w:rsidR="00CD00D2" w:rsidRPr="005551FE" w:rsidRDefault="00CD00D2" w:rsidP="005551FE">
            <w:pPr>
              <w:spacing w:line="360" w:lineRule="exact"/>
              <w:jc w:val="center"/>
              <w:rPr>
                <w:rFonts w:ascii="仿宋_GB2312" w:hAnsi="仿宋_GB2312" w:cs="仿宋_GB2312"/>
                <w:bCs/>
                <w:sz w:val="24"/>
                <w:szCs w:val="24"/>
              </w:rPr>
            </w:pPr>
          </w:p>
        </w:tc>
        <w:tc>
          <w:tcPr>
            <w:tcW w:w="490"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1</w:t>
            </w:r>
          </w:p>
        </w:tc>
        <w:tc>
          <w:tcPr>
            <w:tcW w:w="439" w:type="pct"/>
            <w:vAlign w:val="center"/>
          </w:tcPr>
          <w:p w:rsidR="00CD00D2" w:rsidRPr="005551FE" w:rsidRDefault="00CD00D2" w:rsidP="005551FE">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32</w:t>
            </w:r>
          </w:p>
        </w:tc>
      </w:tr>
    </w:tbl>
    <w:p w:rsidR="00CD00D2" w:rsidRPr="005551FE" w:rsidRDefault="00CD00D2" w:rsidP="00CD00D2">
      <w:pPr>
        <w:keepNext/>
        <w:spacing w:beforeLines="100" w:before="312" w:afterLines="50" w:after="156" w:line="360" w:lineRule="exact"/>
        <w:outlineLvl w:val="0"/>
        <w:rPr>
          <w:rFonts w:ascii="仿宋" w:eastAsia="仿宋" w:hAnsi="仿宋"/>
          <w:b/>
          <w:sz w:val="28"/>
          <w:szCs w:val="28"/>
        </w:rPr>
      </w:pPr>
      <w:r w:rsidRPr="005551FE">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930"/>
        <w:gridCol w:w="3217"/>
      </w:tblGrid>
      <w:tr w:rsidR="00CD00D2" w:rsidTr="00CD00D2">
        <w:trPr>
          <w:trHeight w:val="454"/>
          <w:jc w:val="center"/>
        </w:trPr>
        <w:tc>
          <w:tcPr>
            <w:tcW w:w="343" w:type="pct"/>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序号</w:t>
            </w:r>
          </w:p>
        </w:tc>
        <w:tc>
          <w:tcPr>
            <w:tcW w:w="1555" w:type="pct"/>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课程思政教学目标</w:t>
            </w:r>
          </w:p>
        </w:tc>
        <w:tc>
          <w:tcPr>
            <w:tcW w:w="1163" w:type="pct"/>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授课章节</w:t>
            </w:r>
          </w:p>
        </w:tc>
        <w:tc>
          <w:tcPr>
            <w:tcW w:w="1939" w:type="pct"/>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课程思政融入点（至少5处）</w:t>
            </w:r>
          </w:p>
        </w:tc>
      </w:tr>
      <w:tr w:rsidR="00CD00D2" w:rsidTr="00CD00D2">
        <w:trPr>
          <w:trHeight w:val="454"/>
          <w:jc w:val="center"/>
        </w:trPr>
        <w:tc>
          <w:tcPr>
            <w:tcW w:w="343"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1</w:t>
            </w:r>
          </w:p>
        </w:tc>
        <w:tc>
          <w:tcPr>
            <w:tcW w:w="1555"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正确政治导向</w:t>
            </w:r>
          </w:p>
        </w:tc>
        <w:tc>
          <w:tcPr>
            <w:tcW w:w="1163"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第一~九章</w:t>
            </w:r>
          </w:p>
        </w:tc>
        <w:tc>
          <w:tcPr>
            <w:tcW w:w="1939" w:type="pct"/>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作为重要的专业服务行业，资产评估为我国经济高质量发展起着支持作用</w:t>
            </w:r>
          </w:p>
        </w:tc>
      </w:tr>
      <w:tr w:rsidR="00CD00D2" w:rsidTr="00CD00D2">
        <w:trPr>
          <w:trHeight w:val="454"/>
          <w:jc w:val="center"/>
        </w:trPr>
        <w:tc>
          <w:tcPr>
            <w:tcW w:w="343"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2</w:t>
            </w:r>
          </w:p>
        </w:tc>
        <w:tc>
          <w:tcPr>
            <w:tcW w:w="1555"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社会主义核心价值观教育</w:t>
            </w:r>
          </w:p>
        </w:tc>
        <w:tc>
          <w:tcPr>
            <w:tcW w:w="1163"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第三~九章</w:t>
            </w:r>
          </w:p>
        </w:tc>
        <w:tc>
          <w:tcPr>
            <w:tcW w:w="1939" w:type="pct"/>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坚持价值规律，实现价值发现功能，维护经济秩序，优化资源配置</w:t>
            </w:r>
          </w:p>
        </w:tc>
      </w:tr>
      <w:tr w:rsidR="00CD00D2" w:rsidTr="00CD00D2">
        <w:trPr>
          <w:trHeight w:val="454"/>
          <w:jc w:val="center"/>
        </w:trPr>
        <w:tc>
          <w:tcPr>
            <w:tcW w:w="343"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lastRenderedPageBreak/>
              <w:t>3</w:t>
            </w:r>
          </w:p>
        </w:tc>
        <w:tc>
          <w:tcPr>
            <w:tcW w:w="1555"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远大理想塑造</w:t>
            </w:r>
          </w:p>
        </w:tc>
        <w:tc>
          <w:tcPr>
            <w:tcW w:w="1163"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第六~八章</w:t>
            </w:r>
          </w:p>
        </w:tc>
        <w:tc>
          <w:tcPr>
            <w:tcW w:w="1939" w:type="pct"/>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资产评估方法及评估对象日新月异，拥有广阔的发展空间</w:t>
            </w:r>
          </w:p>
        </w:tc>
      </w:tr>
      <w:tr w:rsidR="00CD00D2" w:rsidTr="00CD00D2">
        <w:trPr>
          <w:trHeight w:val="454"/>
          <w:jc w:val="center"/>
        </w:trPr>
        <w:tc>
          <w:tcPr>
            <w:tcW w:w="343"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4</w:t>
            </w:r>
          </w:p>
        </w:tc>
        <w:tc>
          <w:tcPr>
            <w:tcW w:w="1555"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健康心态培育</w:t>
            </w:r>
          </w:p>
        </w:tc>
        <w:tc>
          <w:tcPr>
            <w:tcW w:w="1163"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第一~九章</w:t>
            </w:r>
          </w:p>
        </w:tc>
        <w:tc>
          <w:tcPr>
            <w:tcW w:w="1939" w:type="pct"/>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各种新技术需要不断创新、不断学习，应勇于面对新问题并着力寻求解决</w:t>
            </w:r>
          </w:p>
        </w:tc>
      </w:tr>
      <w:tr w:rsidR="00CD00D2" w:rsidTr="00CD00D2">
        <w:trPr>
          <w:trHeight w:val="454"/>
          <w:jc w:val="center"/>
        </w:trPr>
        <w:tc>
          <w:tcPr>
            <w:tcW w:w="343"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5</w:t>
            </w:r>
          </w:p>
        </w:tc>
        <w:tc>
          <w:tcPr>
            <w:tcW w:w="1555"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道德品质培养</w:t>
            </w:r>
          </w:p>
        </w:tc>
        <w:tc>
          <w:tcPr>
            <w:tcW w:w="1163" w:type="pct"/>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第一~三章</w:t>
            </w:r>
          </w:p>
        </w:tc>
        <w:tc>
          <w:tcPr>
            <w:tcW w:w="1939" w:type="pct"/>
            <w:vAlign w:val="center"/>
          </w:tcPr>
          <w:p w:rsidR="00CD00D2" w:rsidRPr="005551FE" w:rsidRDefault="00CD00D2" w:rsidP="00CD00D2">
            <w:pPr>
              <w:spacing w:line="360" w:lineRule="exact"/>
              <w:jc w:val="left"/>
              <w:rPr>
                <w:rFonts w:ascii="仿宋_GB2312" w:hAnsi="仿宋_GB2312" w:cs="仿宋_GB2312"/>
                <w:bCs/>
                <w:sz w:val="24"/>
                <w:szCs w:val="24"/>
              </w:rPr>
            </w:pPr>
            <w:r w:rsidRPr="005551FE">
              <w:rPr>
                <w:rFonts w:ascii="仿宋_GB2312" w:hAnsi="仿宋_GB2312" w:cs="仿宋_GB2312" w:hint="eastAsia"/>
                <w:bCs/>
                <w:sz w:val="24"/>
                <w:szCs w:val="24"/>
              </w:rPr>
              <w:t>尊重价值规律，真实体现资产价值，杜绝失信现象的产生</w:t>
            </w:r>
          </w:p>
        </w:tc>
      </w:tr>
    </w:tbl>
    <w:p w:rsidR="005551FE" w:rsidRDefault="005551FE" w:rsidP="005551F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D00D2" w:rsidRPr="005551FE" w:rsidRDefault="00CD00D2" w:rsidP="005551FE">
      <w:pPr>
        <w:spacing w:line="360" w:lineRule="auto"/>
        <w:ind w:firstLine="331"/>
        <w:rPr>
          <w:rFonts w:ascii="仿宋_GB2312" w:hAnsi="仿宋_GB2312" w:cs="仿宋_GB2312"/>
          <w:bCs/>
          <w:sz w:val="28"/>
          <w:szCs w:val="28"/>
        </w:rPr>
      </w:pPr>
      <w:r w:rsidRPr="005551FE">
        <w:rPr>
          <w:rFonts w:ascii="仿宋_GB2312" w:hAnsi="仿宋_GB2312" w:cs="仿宋_GB2312"/>
          <w:bCs/>
          <w:sz w:val="28"/>
          <w:szCs w:val="28"/>
        </w:rPr>
        <w:t>（1）考核方式</w:t>
      </w:r>
    </w:p>
    <w:p w:rsidR="00CD00D2" w:rsidRPr="005551FE" w:rsidRDefault="00CD00D2" w:rsidP="005551FE">
      <w:pPr>
        <w:spacing w:line="360" w:lineRule="auto"/>
        <w:ind w:firstLine="331"/>
        <w:rPr>
          <w:rFonts w:ascii="仿宋_GB2312" w:hAnsi="仿宋_GB2312" w:cs="仿宋_GB2312"/>
          <w:bCs/>
          <w:sz w:val="28"/>
          <w:szCs w:val="28"/>
        </w:rPr>
      </w:pPr>
      <w:r w:rsidRPr="005551FE">
        <w:rPr>
          <w:rFonts w:ascii="仿宋_GB2312" w:hAnsi="仿宋_GB2312" w:cs="仿宋_GB2312"/>
          <w:bCs/>
          <w:sz w:val="28"/>
          <w:szCs w:val="28"/>
        </w:rPr>
        <w:t>本课程考核方式为考试，其中期末考核方式为非标准答案考试，过程考核方式为课堂出勤</w:t>
      </w:r>
      <w:r w:rsidRPr="005551FE">
        <w:rPr>
          <w:rFonts w:ascii="仿宋_GB2312" w:hAnsi="仿宋_GB2312" w:cs="仿宋_GB2312" w:hint="eastAsia"/>
          <w:bCs/>
          <w:sz w:val="28"/>
          <w:szCs w:val="28"/>
        </w:rPr>
        <w:t>及</w:t>
      </w:r>
      <w:r w:rsidRPr="005551FE">
        <w:rPr>
          <w:rFonts w:ascii="仿宋_GB2312" w:hAnsi="仿宋_GB2312" w:cs="仿宋_GB2312"/>
          <w:bCs/>
          <w:sz w:val="28"/>
          <w:szCs w:val="28"/>
        </w:rPr>
        <w:t>作业完成情况等。</w:t>
      </w:r>
    </w:p>
    <w:p w:rsidR="00CD00D2" w:rsidRPr="005551FE" w:rsidRDefault="00CD00D2" w:rsidP="005551FE">
      <w:pPr>
        <w:spacing w:line="360" w:lineRule="auto"/>
        <w:ind w:firstLine="331"/>
        <w:rPr>
          <w:rFonts w:ascii="仿宋_GB2312" w:hAnsi="仿宋_GB2312" w:cs="仿宋_GB2312"/>
          <w:bCs/>
          <w:sz w:val="28"/>
          <w:szCs w:val="28"/>
        </w:rPr>
      </w:pPr>
      <w:r w:rsidRPr="005551FE">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881"/>
        <w:gridCol w:w="1340"/>
        <w:gridCol w:w="1340"/>
        <w:gridCol w:w="1340"/>
        <w:gridCol w:w="1341"/>
      </w:tblGrid>
      <w:tr w:rsidR="00CD00D2" w:rsidTr="00CD00D2">
        <w:trPr>
          <w:trHeight w:val="454"/>
          <w:jc w:val="center"/>
        </w:trPr>
        <w:tc>
          <w:tcPr>
            <w:tcW w:w="397" w:type="pct"/>
            <w:vMerge w:val="restart"/>
            <w:tcBorders>
              <w:top w:val="single" w:sz="4" w:space="0" w:color="000000"/>
              <w:left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课程</w:t>
            </w:r>
          </w:p>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目标</w:t>
            </w:r>
          </w:p>
        </w:tc>
        <w:tc>
          <w:tcPr>
            <w:tcW w:w="3953" w:type="pct"/>
            <w:gridSpan w:val="4"/>
            <w:tcBorders>
              <w:top w:val="single" w:sz="4" w:space="0" w:color="000000"/>
              <w:left w:val="single" w:sz="4" w:space="0" w:color="auto"/>
              <w:bottom w:val="single" w:sz="4" w:space="0" w:color="auto"/>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考核方式及成绩比例（%）</w:t>
            </w:r>
          </w:p>
        </w:tc>
      </w:tr>
      <w:tr w:rsidR="00CD00D2" w:rsidTr="00CD00D2">
        <w:trPr>
          <w:trHeight w:val="454"/>
          <w:jc w:val="center"/>
        </w:trPr>
        <w:tc>
          <w:tcPr>
            <w:tcW w:w="397" w:type="pct"/>
            <w:vMerge/>
            <w:tcBorders>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p>
        </w:tc>
        <w:tc>
          <w:tcPr>
            <w:tcW w:w="988" w:type="pct"/>
            <w:tcBorders>
              <w:top w:val="single" w:sz="4" w:space="0" w:color="auto"/>
              <w:left w:val="single" w:sz="4" w:space="0" w:color="auto"/>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考勤</w:t>
            </w:r>
          </w:p>
        </w:tc>
        <w:tc>
          <w:tcPr>
            <w:tcW w:w="988" w:type="pct"/>
            <w:tcBorders>
              <w:top w:val="single" w:sz="4" w:space="0" w:color="auto"/>
              <w:left w:val="single" w:sz="4" w:space="0" w:color="auto"/>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作业</w:t>
            </w:r>
          </w:p>
        </w:tc>
        <w:tc>
          <w:tcPr>
            <w:tcW w:w="988" w:type="pct"/>
            <w:tcBorders>
              <w:top w:val="single" w:sz="4" w:space="0" w:color="auto"/>
              <w:left w:val="single" w:sz="4" w:space="0" w:color="auto"/>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考试</w:t>
            </w:r>
          </w:p>
        </w:tc>
        <w:tc>
          <w:tcPr>
            <w:tcW w:w="990" w:type="pct"/>
            <w:tcBorders>
              <w:top w:val="single" w:sz="4" w:space="0" w:color="auto"/>
              <w:left w:val="single" w:sz="4" w:space="0" w:color="auto"/>
              <w:right w:val="single" w:sz="4" w:space="0" w:color="auto"/>
            </w:tcBorders>
            <w:vAlign w:val="center"/>
          </w:tcPr>
          <w:p w:rsidR="00CD00D2" w:rsidRPr="005551FE" w:rsidRDefault="00CD00D2" w:rsidP="00CD00D2">
            <w:pPr>
              <w:spacing w:line="360" w:lineRule="exact"/>
              <w:jc w:val="center"/>
              <w:rPr>
                <w:rFonts w:ascii="仿宋_GB2312" w:hAnsi="仿宋_GB2312" w:cs="仿宋_GB2312"/>
                <w:b/>
                <w:bCs/>
                <w:sz w:val="24"/>
                <w:szCs w:val="24"/>
              </w:rPr>
            </w:pPr>
            <w:r w:rsidRPr="005551FE">
              <w:rPr>
                <w:rFonts w:ascii="仿宋_GB2312" w:hAnsi="仿宋_GB2312" w:cs="仿宋_GB2312"/>
                <w:b/>
                <w:bCs/>
                <w:sz w:val="24"/>
                <w:szCs w:val="24"/>
              </w:rPr>
              <w:t>合计</w:t>
            </w:r>
          </w:p>
        </w:tc>
      </w:tr>
      <w:tr w:rsidR="00CD00D2" w:rsidTr="00CD00D2">
        <w:trPr>
          <w:trHeight w:val="454"/>
          <w:jc w:val="center"/>
        </w:trPr>
        <w:tc>
          <w:tcPr>
            <w:tcW w:w="397"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目标1</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2</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30</w:t>
            </w:r>
          </w:p>
        </w:tc>
        <w:tc>
          <w:tcPr>
            <w:tcW w:w="990"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36</w:t>
            </w:r>
          </w:p>
        </w:tc>
      </w:tr>
      <w:tr w:rsidR="00CD00D2" w:rsidTr="00CD00D2">
        <w:trPr>
          <w:trHeight w:val="454"/>
          <w:jc w:val="center"/>
        </w:trPr>
        <w:tc>
          <w:tcPr>
            <w:tcW w:w="397"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目标2</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3</w:t>
            </w:r>
            <w:r w:rsidRPr="005551FE">
              <w:rPr>
                <w:rFonts w:ascii="仿宋_GB2312" w:hAnsi="仿宋_GB2312" w:cs="仿宋_GB2312"/>
                <w:bCs/>
                <w:sz w:val="24"/>
                <w:szCs w:val="24"/>
              </w:rPr>
              <w:t>5</w:t>
            </w:r>
          </w:p>
        </w:tc>
        <w:tc>
          <w:tcPr>
            <w:tcW w:w="990"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43</w:t>
            </w:r>
          </w:p>
        </w:tc>
      </w:tr>
      <w:tr w:rsidR="00CD00D2" w:rsidTr="00CD00D2">
        <w:trPr>
          <w:trHeight w:val="454"/>
          <w:jc w:val="center"/>
        </w:trPr>
        <w:tc>
          <w:tcPr>
            <w:tcW w:w="397"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目标3</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2</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p>
        </w:tc>
        <w:tc>
          <w:tcPr>
            <w:tcW w:w="990"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2</w:t>
            </w:r>
          </w:p>
        </w:tc>
      </w:tr>
      <w:tr w:rsidR="00CD00D2" w:rsidTr="00CD00D2">
        <w:trPr>
          <w:trHeight w:val="454"/>
          <w:jc w:val="center"/>
        </w:trPr>
        <w:tc>
          <w:tcPr>
            <w:tcW w:w="397"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4</w:t>
            </w:r>
          </w:p>
        </w:tc>
        <w:tc>
          <w:tcPr>
            <w:tcW w:w="649"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4</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2</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2</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15</w:t>
            </w:r>
          </w:p>
        </w:tc>
        <w:tc>
          <w:tcPr>
            <w:tcW w:w="990"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CD00D2">
            <w:pPr>
              <w:spacing w:line="360" w:lineRule="exact"/>
              <w:jc w:val="center"/>
              <w:rPr>
                <w:rFonts w:ascii="仿宋_GB2312" w:hAnsi="仿宋_GB2312" w:cs="仿宋_GB2312"/>
                <w:bCs/>
                <w:sz w:val="24"/>
                <w:szCs w:val="24"/>
              </w:rPr>
            </w:pPr>
            <w:r w:rsidRPr="005551FE">
              <w:rPr>
                <w:rFonts w:ascii="仿宋_GB2312" w:hAnsi="仿宋_GB2312" w:cs="仿宋_GB2312" w:hint="eastAsia"/>
                <w:bCs/>
                <w:sz w:val="24"/>
                <w:szCs w:val="24"/>
              </w:rPr>
              <w:t>19</w:t>
            </w:r>
          </w:p>
        </w:tc>
      </w:tr>
      <w:tr w:rsidR="00CD00D2" w:rsidRPr="005551FE" w:rsidTr="00CD00D2">
        <w:trPr>
          <w:trHeight w:val="454"/>
          <w:jc w:val="center"/>
        </w:trPr>
        <w:tc>
          <w:tcPr>
            <w:tcW w:w="1047" w:type="pct"/>
            <w:gridSpan w:val="2"/>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共计</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10</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10</w:t>
            </w:r>
          </w:p>
        </w:tc>
        <w:tc>
          <w:tcPr>
            <w:tcW w:w="98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80</w:t>
            </w:r>
          </w:p>
        </w:tc>
        <w:tc>
          <w:tcPr>
            <w:tcW w:w="990"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100</w:t>
            </w:r>
          </w:p>
        </w:tc>
      </w:tr>
    </w:tbl>
    <w:p w:rsidR="00CD00D2" w:rsidRPr="005551FE" w:rsidRDefault="00CD00D2" w:rsidP="005551FE">
      <w:pPr>
        <w:spacing w:line="360" w:lineRule="auto"/>
        <w:ind w:firstLine="331"/>
        <w:rPr>
          <w:rFonts w:ascii="仿宋_GB2312" w:hAnsi="仿宋_GB2312" w:cs="仿宋_GB2312"/>
          <w:bCs/>
          <w:sz w:val="28"/>
          <w:szCs w:val="28"/>
        </w:rPr>
      </w:pPr>
      <w:r w:rsidRPr="005551FE">
        <w:rPr>
          <w:rFonts w:ascii="仿宋_GB2312" w:hAnsi="仿宋_GB2312" w:cs="仿宋_GB2312" w:hint="eastAsia"/>
          <w:bCs/>
          <w:sz w:val="28"/>
          <w:szCs w:val="28"/>
        </w:rPr>
        <w:t>（3）考核（评价）要求：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926"/>
        <w:gridCol w:w="926"/>
        <w:gridCol w:w="4758"/>
        <w:gridCol w:w="1018"/>
      </w:tblGrid>
      <w:tr w:rsidR="00CD00D2" w:rsidTr="00CD00D2">
        <w:trPr>
          <w:trHeight w:val="454"/>
          <w:jc w:val="center"/>
        </w:trPr>
        <w:tc>
          <w:tcPr>
            <w:tcW w:w="344" w:type="pct"/>
            <w:tcBorders>
              <w:top w:val="single" w:sz="4" w:space="0" w:color="000000"/>
              <w:left w:val="single" w:sz="4" w:space="0" w:color="000000"/>
              <w:right w:val="single" w:sz="4" w:space="0" w:color="000000"/>
            </w:tcBorders>
            <w:vAlign w:val="center"/>
          </w:tcPr>
          <w:p w:rsidR="00CD00D2" w:rsidRPr="005551FE" w:rsidRDefault="00CD00D2"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CD00D2" w:rsidRPr="005551FE" w:rsidRDefault="00CD00D2" w:rsidP="005551FE">
            <w:pPr>
              <w:spacing w:line="360" w:lineRule="auto"/>
              <w:rPr>
                <w:rFonts w:ascii="仿宋_GB2312" w:hAnsi="仿宋_GB2312" w:cs="仿宋_GB2312"/>
                <w:b/>
                <w:bCs/>
                <w:sz w:val="24"/>
                <w:szCs w:val="24"/>
              </w:rPr>
            </w:pPr>
            <w:r w:rsidRPr="005551FE">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CD00D2" w:rsidRPr="005551FE" w:rsidRDefault="00CD00D2" w:rsidP="005551FE">
            <w:pPr>
              <w:spacing w:line="360" w:lineRule="auto"/>
              <w:rPr>
                <w:rFonts w:ascii="仿宋_GB2312" w:hAnsi="仿宋_GB2312" w:cs="仿宋_GB2312"/>
                <w:b/>
                <w:bCs/>
                <w:sz w:val="24"/>
                <w:szCs w:val="24"/>
              </w:rPr>
            </w:pPr>
            <w:r w:rsidRPr="005551FE">
              <w:rPr>
                <w:rFonts w:ascii="仿宋_GB2312" w:hAnsi="仿宋_GB2312" w:cs="仿宋_GB2312" w:hint="eastAsia"/>
                <w:b/>
                <w:bCs/>
                <w:sz w:val="24"/>
                <w:szCs w:val="24"/>
              </w:rPr>
              <w:t>目标分值</w:t>
            </w:r>
          </w:p>
        </w:tc>
        <w:tc>
          <w:tcPr>
            <w:tcW w:w="2882" w:type="pct"/>
            <w:tcBorders>
              <w:top w:val="single" w:sz="4" w:space="0" w:color="000000"/>
              <w:left w:val="single" w:sz="4" w:space="0" w:color="auto"/>
              <w:right w:val="single" w:sz="4" w:space="0" w:color="auto"/>
            </w:tcBorders>
            <w:vAlign w:val="center"/>
          </w:tcPr>
          <w:p w:rsidR="00CD00D2" w:rsidRPr="005551FE" w:rsidRDefault="00CD00D2" w:rsidP="005551FE">
            <w:pPr>
              <w:spacing w:line="360" w:lineRule="auto"/>
              <w:ind w:firstLine="331"/>
              <w:rPr>
                <w:rFonts w:ascii="仿宋_GB2312" w:hAnsi="仿宋_GB2312" w:cs="仿宋_GB2312"/>
                <w:b/>
                <w:bCs/>
                <w:sz w:val="24"/>
                <w:szCs w:val="24"/>
              </w:rPr>
            </w:pPr>
            <w:r w:rsidRPr="005551FE">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CD00D2" w:rsidRPr="005551FE" w:rsidRDefault="00CD00D2" w:rsidP="005551FE">
            <w:pPr>
              <w:spacing w:line="360" w:lineRule="auto"/>
              <w:rPr>
                <w:rFonts w:ascii="仿宋_GB2312" w:hAnsi="仿宋_GB2312" w:cs="仿宋_GB2312"/>
                <w:b/>
                <w:bCs/>
                <w:sz w:val="24"/>
                <w:szCs w:val="24"/>
              </w:rPr>
            </w:pPr>
            <w:r w:rsidRPr="005551FE">
              <w:rPr>
                <w:rFonts w:ascii="仿宋_GB2312" w:hAnsi="仿宋_GB2312" w:cs="仿宋_GB2312"/>
                <w:b/>
                <w:bCs/>
                <w:sz w:val="24"/>
                <w:szCs w:val="24"/>
              </w:rPr>
              <w:t>支撑课程教学目标</w:t>
            </w:r>
          </w:p>
        </w:tc>
      </w:tr>
      <w:tr w:rsidR="00CD00D2" w:rsidTr="00CD00D2">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5551FE">
            <w:pPr>
              <w:spacing w:line="360" w:lineRule="auto"/>
              <w:rPr>
                <w:rFonts w:ascii="仿宋_GB2312" w:hAnsi="仿宋_GB2312" w:cs="仿宋_GB2312"/>
                <w:bCs/>
                <w:sz w:val="24"/>
                <w:szCs w:val="24"/>
              </w:rPr>
            </w:pPr>
            <w:r w:rsidRPr="005551FE">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出勤统计不少于授课次数的2/3；通过出勤统计结果考核学生学习态度和遵守课堂纪律等基本情况。</w:t>
            </w:r>
          </w:p>
        </w:tc>
        <w:tc>
          <w:tcPr>
            <w:tcW w:w="62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w:t>
            </w:r>
          </w:p>
          <w:p w:rsidR="00CD00D2" w:rsidRPr="005551FE" w:rsidRDefault="00CD00D2" w:rsidP="005551FE">
            <w:pPr>
              <w:spacing w:line="360" w:lineRule="auto"/>
              <w:rPr>
                <w:rFonts w:ascii="仿宋_GB2312" w:hAnsi="仿宋_GB2312" w:cs="仿宋_GB2312"/>
                <w:bCs/>
                <w:sz w:val="24"/>
                <w:szCs w:val="24"/>
              </w:rPr>
            </w:pPr>
            <w:r w:rsidRPr="005551FE">
              <w:rPr>
                <w:rFonts w:ascii="仿宋_GB2312" w:hAnsi="仿宋_GB2312" w:cs="仿宋_GB2312" w:hint="eastAsia"/>
                <w:bCs/>
                <w:sz w:val="24"/>
                <w:szCs w:val="24"/>
              </w:rPr>
              <w:t>目标2</w:t>
            </w:r>
          </w:p>
          <w:p w:rsidR="00CD00D2" w:rsidRPr="005551FE" w:rsidRDefault="00CD00D2"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3</w:t>
            </w:r>
          </w:p>
          <w:p w:rsidR="00CD00D2" w:rsidRPr="005551FE" w:rsidRDefault="00CD00D2" w:rsidP="005551FE">
            <w:pPr>
              <w:spacing w:line="360" w:lineRule="auto"/>
              <w:rPr>
                <w:rFonts w:ascii="仿宋_GB2312" w:hAnsi="仿宋_GB2312" w:cs="仿宋_GB2312"/>
                <w:bCs/>
                <w:sz w:val="24"/>
                <w:szCs w:val="24"/>
              </w:rPr>
            </w:pPr>
            <w:r w:rsidRPr="005551FE">
              <w:rPr>
                <w:rFonts w:ascii="仿宋_GB2312" w:hAnsi="仿宋_GB2312" w:cs="仿宋_GB2312" w:hint="eastAsia"/>
                <w:bCs/>
                <w:sz w:val="24"/>
                <w:szCs w:val="24"/>
              </w:rPr>
              <w:t>目标4</w:t>
            </w:r>
          </w:p>
        </w:tc>
      </w:tr>
      <w:tr w:rsidR="00CD00D2" w:rsidTr="00CD00D2">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lastRenderedPageBreak/>
              <w:t>2</w:t>
            </w:r>
          </w:p>
        </w:tc>
        <w:tc>
          <w:tcPr>
            <w:tcW w:w="573"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5551FE">
            <w:pPr>
              <w:spacing w:line="360" w:lineRule="auto"/>
              <w:rPr>
                <w:rFonts w:ascii="仿宋_GB2312" w:hAnsi="仿宋_GB2312" w:cs="仿宋_GB2312"/>
                <w:bCs/>
                <w:sz w:val="24"/>
                <w:szCs w:val="24"/>
              </w:rPr>
            </w:pPr>
            <w:r w:rsidRPr="005551FE">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bCs/>
                <w:sz w:val="24"/>
                <w:szCs w:val="24"/>
              </w:rPr>
              <w:t>课后作业</w:t>
            </w:r>
            <w:r w:rsidRPr="005551FE">
              <w:rPr>
                <w:rFonts w:ascii="仿宋_GB2312" w:hAnsi="仿宋_GB2312" w:cs="仿宋_GB2312" w:hint="eastAsia"/>
                <w:bCs/>
                <w:sz w:val="24"/>
                <w:szCs w:val="24"/>
              </w:rPr>
              <w:t>布置3次；通过课后作业考核学生对本课程基本概念的掌握情况。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w:t>
            </w:r>
          </w:p>
          <w:p w:rsidR="00CD00D2" w:rsidRPr="005551FE" w:rsidRDefault="00CD00D2" w:rsidP="005551FE">
            <w:pPr>
              <w:spacing w:line="360" w:lineRule="auto"/>
              <w:rPr>
                <w:rFonts w:ascii="仿宋_GB2312" w:hAnsi="仿宋_GB2312" w:cs="仿宋_GB2312"/>
                <w:bCs/>
                <w:sz w:val="24"/>
                <w:szCs w:val="24"/>
              </w:rPr>
            </w:pPr>
            <w:r w:rsidRPr="005551FE">
              <w:rPr>
                <w:rFonts w:ascii="仿宋_GB2312" w:hAnsi="仿宋_GB2312" w:cs="仿宋_GB2312" w:hint="eastAsia"/>
                <w:bCs/>
                <w:sz w:val="24"/>
                <w:szCs w:val="24"/>
              </w:rPr>
              <w:t>目标2</w:t>
            </w:r>
          </w:p>
          <w:p w:rsidR="00CD00D2" w:rsidRPr="005551FE" w:rsidRDefault="00CD00D2" w:rsidP="005551FE">
            <w:pPr>
              <w:spacing w:line="360" w:lineRule="auto"/>
              <w:rPr>
                <w:rFonts w:ascii="仿宋_GB2312" w:hAnsi="仿宋_GB2312" w:cs="仿宋_GB2312"/>
                <w:bCs/>
                <w:sz w:val="24"/>
                <w:szCs w:val="24"/>
              </w:rPr>
            </w:pPr>
            <w:r w:rsidRPr="005551FE">
              <w:rPr>
                <w:rFonts w:ascii="仿宋_GB2312" w:hAnsi="仿宋_GB2312" w:cs="仿宋_GB2312" w:hint="eastAsia"/>
                <w:bCs/>
                <w:sz w:val="24"/>
                <w:szCs w:val="24"/>
              </w:rPr>
              <w:t>目标4</w:t>
            </w:r>
          </w:p>
        </w:tc>
      </w:tr>
      <w:tr w:rsidR="00CD00D2" w:rsidTr="00CD00D2">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ind w:firstLine="331"/>
              <w:rPr>
                <w:rFonts w:ascii="仿宋_GB2312" w:hAnsi="仿宋_GB2312" w:cs="仿宋_GB2312"/>
                <w:bCs/>
                <w:sz w:val="24"/>
                <w:szCs w:val="24"/>
              </w:rPr>
            </w:pPr>
            <w:r w:rsidRPr="005551FE">
              <w:rPr>
                <w:rFonts w:ascii="仿宋_GB2312" w:hAnsi="仿宋_GB2312" w:cs="仿宋_GB2312" w:hint="eastAsia"/>
                <w:bCs/>
                <w:sz w:val="24"/>
                <w:szCs w:val="24"/>
              </w:rPr>
              <w:t>期末考试采用</w:t>
            </w:r>
            <w:r w:rsidRPr="005551FE">
              <w:rPr>
                <w:rFonts w:ascii="仿宋_GB2312" w:hAnsi="仿宋_GB2312" w:cs="仿宋_GB2312"/>
                <w:bCs/>
                <w:sz w:val="24"/>
                <w:szCs w:val="24"/>
              </w:rPr>
              <w:t>非标准答案考试</w:t>
            </w:r>
            <w:r w:rsidRPr="005551FE">
              <w:rPr>
                <w:rFonts w:ascii="仿宋_GB2312" w:hAnsi="仿宋_GB2312" w:cs="仿宋_GB2312" w:hint="eastAsia"/>
                <w:bCs/>
                <w:sz w:val="24"/>
                <w:szCs w:val="24"/>
              </w:rPr>
              <w:t>。考试范围基本涵盖所有讲授内容，考试内容主要反映学生对本课程主要概念的理解和掌握的程度，以及综合运用的能力。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CD00D2" w:rsidRPr="005551FE" w:rsidRDefault="00CD00D2" w:rsidP="005551FE">
            <w:pPr>
              <w:spacing w:line="360" w:lineRule="auto"/>
              <w:rPr>
                <w:rFonts w:ascii="仿宋_GB2312" w:hAnsi="仿宋_GB2312" w:cs="仿宋_GB2312"/>
                <w:bCs/>
                <w:sz w:val="24"/>
                <w:szCs w:val="24"/>
              </w:rPr>
            </w:pPr>
            <w:r w:rsidRPr="005551FE">
              <w:rPr>
                <w:rFonts w:ascii="仿宋_GB2312" w:hAnsi="仿宋_GB2312" w:cs="仿宋_GB2312"/>
                <w:bCs/>
                <w:sz w:val="24"/>
                <w:szCs w:val="24"/>
              </w:rPr>
              <w:t>目标</w:t>
            </w:r>
            <w:r w:rsidRPr="005551FE">
              <w:rPr>
                <w:rFonts w:ascii="仿宋_GB2312" w:hAnsi="仿宋_GB2312" w:cs="仿宋_GB2312" w:hint="eastAsia"/>
                <w:bCs/>
                <w:sz w:val="24"/>
                <w:szCs w:val="24"/>
              </w:rPr>
              <w:t>1</w:t>
            </w:r>
          </w:p>
          <w:p w:rsidR="00CD00D2" w:rsidRPr="005551FE" w:rsidRDefault="00CD00D2" w:rsidP="005551FE">
            <w:pPr>
              <w:spacing w:line="360" w:lineRule="auto"/>
              <w:rPr>
                <w:rFonts w:ascii="仿宋_GB2312" w:hAnsi="仿宋_GB2312" w:cs="仿宋_GB2312"/>
                <w:bCs/>
                <w:sz w:val="24"/>
                <w:szCs w:val="24"/>
              </w:rPr>
            </w:pPr>
            <w:r w:rsidRPr="005551FE">
              <w:rPr>
                <w:rFonts w:ascii="仿宋_GB2312" w:hAnsi="仿宋_GB2312" w:cs="仿宋_GB2312" w:hint="eastAsia"/>
                <w:bCs/>
                <w:sz w:val="24"/>
                <w:szCs w:val="24"/>
              </w:rPr>
              <w:t>目标2</w:t>
            </w:r>
          </w:p>
          <w:p w:rsidR="00CD00D2" w:rsidRPr="005551FE" w:rsidRDefault="00CD00D2" w:rsidP="005551FE">
            <w:pPr>
              <w:spacing w:line="360" w:lineRule="auto"/>
              <w:rPr>
                <w:rFonts w:ascii="仿宋_GB2312" w:hAnsi="仿宋_GB2312" w:cs="仿宋_GB2312"/>
                <w:bCs/>
                <w:sz w:val="24"/>
                <w:szCs w:val="24"/>
              </w:rPr>
            </w:pPr>
            <w:r w:rsidRPr="005551FE">
              <w:rPr>
                <w:rFonts w:ascii="仿宋_GB2312" w:hAnsi="仿宋_GB2312" w:cs="仿宋_GB2312" w:hint="eastAsia"/>
                <w:bCs/>
                <w:sz w:val="24"/>
                <w:szCs w:val="24"/>
              </w:rPr>
              <w:t>目标4</w:t>
            </w:r>
          </w:p>
        </w:tc>
      </w:tr>
    </w:tbl>
    <w:p w:rsidR="00CD00D2" w:rsidRDefault="00CD00D2" w:rsidP="00CD00D2">
      <w:pPr>
        <w:adjustRightInd w:val="0"/>
        <w:snapToGrid w:val="0"/>
        <w:spacing w:line="360" w:lineRule="exact"/>
        <w:ind w:firstLineChars="200" w:firstLine="640"/>
        <w:rPr>
          <w:rFonts w:ascii="Times New Roman" w:hAnsi="Times New Roman"/>
        </w:rPr>
      </w:pPr>
    </w:p>
    <w:p w:rsidR="005551FE" w:rsidRDefault="005551FE" w:rsidP="005551F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5551FE" w:rsidRPr="00EC0A76" w:rsidRDefault="005551FE" w:rsidP="00EC0A76">
      <w:pPr>
        <w:spacing w:line="360" w:lineRule="auto"/>
        <w:ind w:firstLine="331"/>
        <w:rPr>
          <w:rFonts w:ascii="仿宋_GB2312" w:hAnsi="仿宋_GB2312" w:cs="仿宋_GB2312"/>
          <w:bCs/>
          <w:sz w:val="28"/>
          <w:szCs w:val="28"/>
        </w:rPr>
      </w:pPr>
      <w:r w:rsidRPr="00EC0A76">
        <w:rPr>
          <w:rFonts w:ascii="仿宋_GB2312" w:hAnsi="仿宋_GB2312" w:cs="仿宋_GB2312"/>
          <w:bCs/>
          <w:sz w:val="28"/>
          <w:szCs w:val="28"/>
        </w:rPr>
        <w:t>1. 教  材：《</w:t>
      </w:r>
      <w:r w:rsidRPr="00EC0A76">
        <w:rPr>
          <w:rFonts w:ascii="仿宋_GB2312" w:hAnsi="仿宋_GB2312" w:cs="仿宋_GB2312" w:hint="eastAsia"/>
          <w:bCs/>
          <w:sz w:val="28"/>
          <w:szCs w:val="28"/>
        </w:rPr>
        <w:t>资产评估原理</w:t>
      </w:r>
      <w:r w:rsidRPr="00EC0A76">
        <w:rPr>
          <w:rFonts w:ascii="仿宋_GB2312" w:hAnsi="仿宋_GB2312" w:cs="仿宋_GB2312"/>
          <w:bCs/>
          <w:sz w:val="28"/>
          <w:szCs w:val="28"/>
        </w:rPr>
        <w:t>》，</w:t>
      </w:r>
      <w:r w:rsidRPr="00EC0A76">
        <w:rPr>
          <w:rFonts w:ascii="仿宋_GB2312" w:hAnsi="仿宋_GB2312" w:cs="仿宋_GB2312" w:hint="eastAsia"/>
          <w:bCs/>
          <w:sz w:val="28"/>
          <w:szCs w:val="28"/>
        </w:rPr>
        <w:t>刘玉平等编</w:t>
      </w:r>
      <w:r w:rsidRPr="00EC0A76">
        <w:rPr>
          <w:rFonts w:ascii="仿宋_GB2312" w:hAnsi="仿宋_GB2312" w:cs="仿宋_GB2312"/>
          <w:bCs/>
          <w:sz w:val="28"/>
          <w:szCs w:val="28"/>
        </w:rPr>
        <w:t>，</w:t>
      </w:r>
      <w:r w:rsidRPr="00EC0A76">
        <w:rPr>
          <w:rFonts w:ascii="仿宋_GB2312" w:hAnsi="仿宋_GB2312" w:cs="仿宋_GB2312" w:hint="eastAsia"/>
          <w:bCs/>
          <w:sz w:val="28"/>
          <w:szCs w:val="28"/>
        </w:rPr>
        <w:t>中国人民大学出版社</w:t>
      </w:r>
      <w:r w:rsidRPr="00EC0A76">
        <w:rPr>
          <w:rFonts w:ascii="仿宋_GB2312" w:hAnsi="仿宋_GB2312" w:cs="仿宋_GB2312"/>
          <w:bCs/>
          <w:sz w:val="28"/>
          <w:szCs w:val="28"/>
        </w:rPr>
        <w:t>，20</w:t>
      </w:r>
      <w:r w:rsidRPr="00EC0A76">
        <w:rPr>
          <w:rFonts w:ascii="仿宋_GB2312" w:hAnsi="仿宋_GB2312" w:cs="仿宋_GB2312" w:hint="eastAsia"/>
          <w:bCs/>
          <w:sz w:val="28"/>
          <w:szCs w:val="28"/>
        </w:rPr>
        <w:t>20</w:t>
      </w:r>
      <w:r w:rsidRPr="00EC0A76">
        <w:rPr>
          <w:rFonts w:ascii="仿宋_GB2312" w:hAnsi="仿宋_GB2312" w:cs="仿宋_GB2312"/>
          <w:bCs/>
          <w:sz w:val="28"/>
          <w:szCs w:val="28"/>
        </w:rPr>
        <w:t>年</w:t>
      </w:r>
      <w:r w:rsidRPr="00EC0A76">
        <w:rPr>
          <w:rFonts w:ascii="仿宋_GB2312" w:hAnsi="仿宋_GB2312" w:cs="仿宋_GB2312" w:hint="eastAsia"/>
          <w:bCs/>
          <w:sz w:val="28"/>
          <w:szCs w:val="28"/>
        </w:rPr>
        <w:t>1月</w:t>
      </w:r>
    </w:p>
    <w:p w:rsidR="005551FE" w:rsidRPr="00EC0A76" w:rsidRDefault="005551FE" w:rsidP="00EC0A76">
      <w:pPr>
        <w:spacing w:line="360" w:lineRule="auto"/>
        <w:ind w:firstLine="331"/>
        <w:rPr>
          <w:rFonts w:ascii="仿宋_GB2312" w:hAnsi="仿宋_GB2312" w:cs="仿宋_GB2312"/>
          <w:bCs/>
          <w:sz w:val="28"/>
          <w:szCs w:val="28"/>
        </w:rPr>
      </w:pPr>
      <w:r w:rsidRPr="00EC0A76">
        <w:rPr>
          <w:rFonts w:ascii="仿宋_GB2312" w:hAnsi="仿宋_GB2312" w:cs="仿宋_GB2312"/>
          <w:bCs/>
          <w:sz w:val="28"/>
          <w:szCs w:val="28"/>
        </w:rPr>
        <w:t>2. 参考书：《</w:t>
      </w:r>
      <w:r w:rsidRPr="00EC0A76">
        <w:rPr>
          <w:rFonts w:ascii="仿宋_GB2312" w:hAnsi="仿宋_GB2312" w:cs="仿宋_GB2312" w:hint="eastAsia"/>
          <w:bCs/>
          <w:sz w:val="28"/>
          <w:szCs w:val="28"/>
        </w:rPr>
        <w:t>资产评估学</w:t>
      </w:r>
      <w:r w:rsidRPr="00EC0A76">
        <w:rPr>
          <w:rFonts w:ascii="仿宋_GB2312" w:hAnsi="仿宋_GB2312" w:cs="仿宋_GB2312"/>
          <w:bCs/>
          <w:sz w:val="28"/>
          <w:szCs w:val="28"/>
        </w:rPr>
        <w:t>》，</w:t>
      </w:r>
      <w:r w:rsidRPr="00EC0A76">
        <w:rPr>
          <w:rFonts w:ascii="仿宋_GB2312" w:hAnsi="仿宋_GB2312" w:cs="仿宋_GB2312" w:hint="eastAsia"/>
          <w:bCs/>
          <w:sz w:val="28"/>
          <w:szCs w:val="28"/>
        </w:rPr>
        <w:t>魏永宏</w:t>
      </w:r>
      <w:r w:rsidRPr="00EC0A76">
        <w:rPr>
          <w:rFonts w:ascii="仿宋_GB2312" w:hAnsi="仿宋_GB2312" w:cs="仿宋_GB2312"/>
          <w:bCs/>
          <w:sz w:val="28"/>
          <w:szCs w:val="28"/>
        </w:rPr>
        <w:t>等编，</w:t>
      </w:r>
      <w:r w:rsidRPr="00EC0A76">
        <w:rPr>
          <w:rFonts w:ascii="仿宋_GB2312" w:hAnsi="仿宋_GB2312" w:cs="仿宋_GB2312" w:hint="eastAsia"/>
          <w:bCs/>
          <w:sz w:val="28"/>
          <w:szCs w:val="28"/>
        </w:rPr>
        <w:t>电子工业出版社</w:t>
      </w:r>
      <w:r w:rsidRPr="00EC0A76">
        <w:rPr>
          <w:rFonts w:ascii="仿宋_GB2312" w:hAnsi="仿宋_GB2312" w:cs="仿宋_GB2312"/>
          <w:bCs/>
          <w:sz w:val="28"/>
          <w:szCs w:val="28"/>
        </w:rPr>
        <w:t>，20</w:t>
      </w:r>
      <w:r w:rsidRPr="00EC0A76">
        <w:rPr>
          <w:rFonts w:ascii="仿宋_GB2312" w:hAnsi="仿宋_GB2312" w:cs="仿宋_GB2312" w:hint="eastAsia"/>
          <w:bCs/>
          <w:sz w:val="28"/>
          <w:szCs w:val="28"/>
        </w:rPr>
        <w:t>20</w:t>
      </w:r>
      <w:r w:rsidRPr="00EC0A76">
        <w:rPr>
          <w:rFonts w:ascii="仿宋_GB2312" w:hAnsi="仿宋_GB2312" w:cs="仿宋_GB2312"/>
          <w:bCs/>
          <w:sz w:val="28"/>
          <w:szCs w:val="28"/>
        </w:rPr>
        <w:t>年</w:t>
      </w:r>
      <w:r w:rsidRPr="00EC0A76">
        <w:rPr>
          <w:rFonts w:ascii="仿宋_GB2312" w:hAnsi="仿宋_GB2312" w:cs="仿宋_GB2312" w:hint="eastAsia"/>
          <w:bCs/>
          <w:sz w:val="28"/>
          <w:szCs w:val="28"/>
        </w:rPr>
        <w:t>3</w:t>
      </w:r>
      <w:r w:rsidRPr="00EC0A76">
        <w:rPr>
          <w:rFonts w:ascii="仿宋_GB2312" w:hAnsi="仿宋_GB2312" w:cs="仿宋_GB2312"/>
          <w:bCs/>
          <w:sz w:val="28"/>
          <w:szCs w:val="28"/>
        </w:rPr>
        <w:t>月</w:t>
      </w:r>
    </w:p>
    <w:p w:rsidR="00CD00D2" w:rsidRPr="005551FE" w:rsidRDefault="00CD00D2" w:rsidP="00CD00D2">
      <w:pPr>
        <w:spacing w:line="360" w:lineRule="exact"/>
        <w:ind w:firstLineChars="196" w:firstLine="627"/>
        <w:rPr>
          <w:rFonts w:ascii="Times New Roman" w:hAnsi="Times New Roman"/>
          <w:szCs w:val="21"/>
        </w:rPr>
      </w:pPr>
    </w:p>
    <w:p w:rsidR="00EC0A76" w:rsidRDefault="00EC0A76" w:rsidP="00EC0A7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w:t>
      </w:r>
      <w:r w:rsidRPr="00EC0A76">
        <w:rPr>
          <w:rFonts w:ascii="仿宋" w:eastAsia="仿宋" w:hAnsi="仿宋" w:hint="eastAsia"/>
          <w:sz w:val="28"/>
          <w:szCs w:val="28"/>
        </w:rPr>
        <w:t>马昕</w:t>
      </w:r>
    </w:p>
    <w:p w:rsidR="00EC0A76" w:rsidRDefault="00EC0A76" w:rsidP="00EC0A7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EC0A76" w:rsidRDefault="00EC0A76" w:rsidP="00EC0A7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EC0A76" w:rsidRDefault="00EC0A76" w:rsidP="00EC0A76">
      <w:pPr>
        <w:jc w:val="center"/>
        <w:rPr>
          <w:rFonts w:ascii="仿宋" w:hAnsi="仿宋"/>
          <w:sz w:val="28"/>
          <w:szCs w:val="28"/>
        </w:rPr>
      </w:pPr>
      <w:r>
        <w:rPr>
          <w:rFonts w:ascii="仿宋" w:eastAsia="仿宋" w:hAnsi="仿宋" w:hint="eastAsia"/>
          <w:sz w:val="28"/>
          <w:szCs w:val="28"/>
        </w:rPr>
        <w:t xml:space="preserve">                </w:t>
      </w:r>
    </w:p>
    <w:p w:rsidR="00EC0A76" w:rsidRDefault="00EC0A76" w:rsidP="00EC0A76">
      <w:pPr>
        <w:jc w:val="left"/>
        <w:rPr>
          <w:rFonts w:ascii="仿宋_GB2312" w:hAnsi="黑体"/>
          <w:sz w:val="28"/>
          <w:szCs w:val="28"/>
        </w:rPr>
      </w:pPr>
      <w:r>
        <w:rPr>
          <w:rFonts w:ascii="仿宋" w:eastAsia="仿宋" w:hAnsi="仿宋" w:hint="eastAsia"/>
          <w:sz w:val="28"/>
          <w:szCs w:val="28"/>
        </w:rPr>
        <w:t xml:space="preserve">                                         年    月</w:t>
      </w:r>
    </w:p>
    <w:p w:rsidR="00CD00D2" w:rsidRDefault="00CD00D2" w:rsidP="00CD00D2">
      <w:pPr>
        <w:spacing w:line="360" w:lineRule="exact"/>
        <w:ind w:firstLineChars="196" w:firstLine="627"/>
        <w:rPr>
          <w:rFonts w:ascii="Times New Roman" w:hAnsi="Times New Roman"/>
          <w:szCs w:val="21"/>
        </w:rPr>
      </w:pPr>
    </w:p>
    <w:p w:rsidR="00BE5664" w:rsidRDefault="00BE5664" w:rsidP="00BE5664">
      <w:pPr>
        <w:jc w:val="left"/>
        <w:rPr>
          <w:rFonts w:ascii="Times New Roman" w:hAnsi="Times New Roman"/>
        </w:rPr>
      </w:pPr>
    </w:p>
    <w:p w:rsidR="00EC0A76" w:rsidRDefault="00EC0A76" w:rsidP="00BE5664">
      <w:pPr>
        <w:jc w:val="left"/>
        <w:rPr>
          <w:rFonts w:ascii="Times New Roman" w:hAnsi="Times New Roman"/>
        </w:rPr>
      </w:pPr>
    </w:p>
    <w:p w:rsidR="00EC0A76" w:rsidRDefault="00EC0A76" w:rsidP="00BE5664">
      <w:pPr>
        <w:jc w:val="left"/>
        <w:rPr>
          <w:rFonts w:ascii="Times New Roman" w:hAnsi="Times New Roman"/>
        </w:rPr>
      </w:pPr>
    </w:p>
    <w:p w:rsidR="00EC0A76" w:rsidRDefault="00EC0A76" w:rsidP="00BE5664">
      <w:pPr>
        <w:jc w:val="left"/>
        <w:rPr>
          <w:rFonts w:ascii="仿宋_GB2312" w:hAnsi="Times New Roman"/>
          <w:sz w:val="28"/>
          <w:szCs w:val="28"/>
        </w:rPr>
      </w:pPr>
    </w:p>
    <w:p w:rsidR="00EC0A76" w:rsidRDefault="00EC0A76" w:rsidP="00EC0A7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EC0A76">
        <w:rPr>
          <w:rFonts w:ascii="方正小标宋简体" w:eastAsia="方正小标宋简体" w:hAnsi="宋体" w:hint="eastAsia"/>
          <w:kern w:val="0"/>
          <w:szCs w:val="32"/>
        </w:rPr>
        <w:t>市政工程造价</w:t>
      </w:r>
      <w:r>
        <w:rPr>
          <w:rFonts w:ascii="方正小标宋简体" w:eastAsia="方正小标宋简体" w:hAnsi="宋体" w:hint="eastAsia"/>
          <w:kern w:val="0"/>
          <w:szCs w:val="32"/>
        </w:rPr>
        <w:t>》课程教学大纲</w:t>
      </w:r>
    </w:p>
    <w:p w:rsidR="00EC0A76" w:rsidRDefault="00EC0A76" w:rsidP="00EC0A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EC0A76" w:rsidRDefault="00EC0A76" w:rsidP="00EC0A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sidRPr="00EC0A76">
        <w:rPr>
          <w:rFonts w:ascii="仿宋_GB2312" w:hAnsi="仿宋_GB2312" w:cs="仿宋_GB2312"/>
          <w:bCs/>
          <w:sz w:val="28"/>
          <w:szCs w:val="28"/>
        </w:rPr>
        <w:t>Municipal Engineering Cost</w:t>
      </w:r>
    </w:p>
    <w:p w:rsidR="00EC0A76" w:rsidRDefault="00EC0A76" w:rsidP="00EC0A7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sidRPr="00EC0A76">
        <w:rPr>
          <w:rFonts w:ascii="仿宋_GB2312" w:hAnsi="仿宋_GB2312" w:cs="仿宋_GB2312"/>
          <w:bCs/>
          <w:sz w:val="28"/>
          <w:szCs w:val="28"/>
        </w:rPr>
        <w:t>Z2805270</w:t>
      </w:r>
    </w:p>
    <w:p w:rsidR="00EC0A76" w:rsidRDefault="00EC0A76" w:rsidP="00EC0A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EC0A76" w:rsidRDefault="00EC0A76" w:rsidP="00EC0A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EC0A76" w:rsidRDefault="00EC0A76" w:rsidP="00EC0A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课程类别：专业发展课程</w:t>
      </w:r>
    </w:p>
    <w:p w:rsidR="00EC0A76" w:rsidRDefault="00EC0A76" w:rsidP="00EC0A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EC0A76" w:rsidRDefault="00EC0A76" w:rsidP="00EC0A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sidRPr="00EC0A76">
        <w:rPr>
          <w:rFonts w:ascii="仿宋_GB2312" w:hAnsi="仿宋_GB2312" w:cs="仿宋_GB2312"/>
          <w:bCs/>
          <w:sz w:val="28"/>
          <w:szCs w:val="28"/>
        </w:rPr>
        <w:t>2</w:t>
      </w:r>
    </w:p>
    <w:p w:rsidR="00EC0A76" w:rsidRDefault="00EC0A76" w:rsidP="00EC0A7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32</w:t>
      </w:r>
      <w:r>
        <w:rPr>
          <w:rFonts w:ascii="仿宋_GB2312" w:hAnsi="仿宋_GB2312" w:cs="仿宋_GB2312" w:hint="eastAsia"/>
          <w:bCs/>
          <w:sz w:val="28"/>
          <w:szCs w:val="28"/>
        </w:rPr>
        <w:t>学时</w:t>
      </w:r>
    </w:p>
    <w:p w:rsidR="00EC0A76" w:rsidRDefault="00EC0A76" w:rsidP="00EC0A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w:t>
      </w:r>
      <w:r w:rsidRPr="00EC0A76">
        <w:rPr>
          <w:rFonts w:ascii="仿宋_GB2312" w:hAnsi="仿宋_GB2312" w:cs="仿宋_GB2312" w:hint="eastAsia"/>
          <w:bCs/>
          <w:sz w:val="28"/>
          <w:szCs w:val="28"/>
        </w:rPr>
        <w:t>工程造价专业</w:t>
      </w:r>
    </w:p>
    <w:p w:rsidR="00EC0A76" w:rsidRDefault="00EC0A76" w:rsidP="00EC0A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sidRPr="00EC0A76">
        <w:rPr>
          <w:rFonts w:ascii="仿宋_GB2312" w:hAnsi="仿宋_GB2312" w:cs="仿宋_GB2312" w:hint="eastAsia"/>
          <w:bCs/>
          <w:sz w:val="28"/>
          <w:szCs w:val="28"/>
        </w:rPr>
        <w:t>市政工程识图与构造、工程招投标与合同管理、工程计量与计价等</w:t>
      </w:r>
    </w:p>
    <w:p w:rsidR="00EC0A76" w:rsidRDefault="00EC0A76" w:rsidP="00EC0A7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w:t>
      </w:r>
      <w:r w:rsidRPr="00EC0A76">
        <w:rPr>
          <w:rFonts w:ascii="仿宋_GB2312" w:hAnsi="仿宋_GB2312" w:cs="仿宋_GB2312" w:hint="eastAsia"/>
          <w:bCs/>
          <w:sz w:val="28"/>
          <w:szCs w:val="28"/>
        </w:rPr>
        <w:t>建筑工程学院工程造价与施工教研室</w:t>
      </w:r>
    </w:p>
    <w:p w:rsidR="00EC0A76" w:rsidRDefault="00EC0A76" w:rsidP="00EC0A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D00D2" w:rsidRPr="00EC0A76" w:rsidRDefault="00CD00D2" w:rsidP="00EC0A76">
      <w:pPr>
        <w:spacing w:line="360" w:lineRule="auto"/>
        <w:ind w:firstLine="331"/>
        <w:rPr>
          <w:rFonts w:ascii="仿宋_GB2312" w:hAnsi="仿宋_GB2312" w:cs="仿宋_GB2312"/>
          <w:bCs/>
          <w:sz w:val="28"/>
          <w:szCs w:val="28"/>
        </w:rPr>
      </w:pPr>
      <w:r w:rsidRPr="00EC0A76">
        <w:rPr>
          <w:rFonts w:ascii="仿宋_GB2312" w:hAnsi="仿宋_GB2312" w:cs="仿宋_GB2312"/>
          <w:bCs/>
          <w:sz w:val="28"/>
          <w:szCs w:val="28"/>
        </w:rPr>
        <w:t>课程教学目标</w:t>
      </w:r>
    </w:p>
    <w:p w:rsidR="00CD00D2" w:rsidRPr="00EC0A76" w:rsidRDefault="00CD00D2" w:rsidP="00EC0A76">
      <w:pPr>
        <w:spacing w:line="360" w:lineRule="auto"/>
        <w:ind w:firstLine="331"/>
        <w:rPr>
          <w:rFonts w:ascii="仿宋_GB2312" w:hAnsi="仿宋_GB2312" w:cs="仿宋_GB2312"/>
          <w:bCs/>
          <w:sz w:val="28"/>
          <w:szCs w:val="28"/>
        </w:rPr>
      </w:pPr>
      <w:r w:rsidRPr="00EC0A76">
        <w:rPr>
          <w:rFonts w:ascii="仿宋_GB2312" w:hAnsi="仿宋_GB2312" w:cs="仿宋_GB2312" w:hint="eastAsia"/>
          <w:bCs/>
          <w:sz w:val="28"/>
          <w:szCs w:val="28"/>
        </w:rPr>
        <w:t>本课程是一门实践性、专业性和综合性很强的课程，是工程造价专业一门专业发展选修课程。是研究市政工程工程量计算以及组价方法的一门技术应用课。</w:t>
      </w:r>
      <w:r w:rsidRPr="00EC0A76">
        <w:rPr>
          <w:rFonts w:ascii="仿宋_GB2312" w:hAnsi="仿宋_GB2312" w:cs="仿宋_GB2312"/>
          <w:bCs/>
          <w:sz w:val="28"/>
          <w:szCs w:val="28"/>
        </w:rPr>
        <w:t>旨在通过理论教学，使学生掌握</w:t>
      </w:r>
      <w:r w:rsidRPr="00EC0A76">
        <w:rPr>
          <w:rFonts w:ascii="仿宋_GB2312" w:hAnsi="仿宋_GB2312" w:cs="仿宋_GB2312" w:hint="eastAsia"/>
          <w:bCs/>
          <w:sz w:val="28"/>
          <w:szCs w:val="28"/>
        </w:rPr>
        <w:t>市政工程计价原理、定额的编制方法，具有编制施工图预算和工程量清单的能力，具有工程量清单计价和投标报价的能力，熟悉市政工程建设各阶段的计</w:t>
      </w:r>
      <w:r w:rsidRPr="00EC0A76">
        <w:rPr>
          <w:rFonts w:ascii="仿宋_GB2312" w:hAnsi="仿宋_GB2312" w:cs="仿宋_GB2312" w:hint="eastAsia"/>
          <w:bCs/>
          <w:sz w:val="28"/>
          <w:szCs w:val="28"/>
        </w:rPr>
        <w:lastRenderedPageBreak/>
        <w:t>价方法，以培养学生成为适合市场经济的工程技术人员。</w:t>
      </w:r>
    </w:p>
    <w:p w:rsidR="00CD00D2" w:rsidRPr="00EC0A76" w:rsidRDefault="00CD00D2" w:rsidP="00EC0A76">
      <w:pPr>
        <w:spacing w:line="360" w:lineRule="auto"/>
        <w:ind w:firstLine="331"/>
        <w:rPr>
          <w:rFonts w:ascii="仿宋_GB2312" w:hAnsi="仿宋_GB2312" w:cs="仿宋_GB2312"/>
          <w:bCs/>
          <w:sz w:val="28"/>
          <w:szCs w:val="28"/>
        </w:rPr>
      </w:pPr>
      <w:r w:rsidRPr="00EC0A76">
        <w:rPr>
          <w:rFonts w:ascii="仿宋_GB2312" w:hAnsi="仿宋_GB2312" w:cs="仿宋_GB2312"/>
          <w:bCs/>
          <w:sz w:val="28"/>
          <w:szCs w:val="28"/>
        </w:rPr>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768"/>
        <w:gridCol w:w="886"/>
        <w:gridCol w:w="3073"/>
      </w:tblGrid>
      <w:tr w:rsidR="00CD00D2" w:rsidTr="00CD00D2">
        <w:trPr>
          <w:trHeight w:val="454"/>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序号</w:t>
            </w:r>
          </w:p>
        </w:tc>
        <w:tc>
          <w:tcPr>
            <w:tcW w:w="2271" w:type="pct"/>
            <w:vMerge w:val="restart"/>
            <w:tcBorders>
              <w:top w:val="single" w:sz="4" w:space="0" w:color="000000"/>
              <w:left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课程教学目标</w:t>
            </w:r>
          </w:p>
        </w:tc>
        <w:tc>
          <w:tcPr>
            <w:tcW w:w="2386" w:type="pct"/>
            <w:gridSpan w:val="2"/>
            <w:tcBorders>
              <w:top w:val="single" w:sz="4" w:space="0" w:color="000000"/>
              <w:left w:val="single" w:sz="4" w:space="0" w:color="000000"/>
              <w:bottom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支撑毕业要求指标点</w:t>
            </w:r>
          </w:p>
        </w:tc>
      </w:tr>
      <w:tr w:rsidR="00CD00D2" w:rsidTr="00CD00D2">
        <w:trPr>
          <w:trHeight w:val="454"/>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widowControl/>
              <w:spacing w:line="360" w:lineRule="exact"/>
              <w:jc w:val="center"/>
              <w:rPr>
                <w:rFonts w:ascii="仿宋_GB2312" w:hAnsi="仿宋_GB2312" w:cs="仿宋_GB2312"/>
                <w:b/>
                <w:bCs/>
                <w:sz w:val="24"/>
                <w:szCs w:val="24"/>
              </w:rPr>
            </w:pPr>
          </w:p>
        </w:tc>
        <w:tc>
          <w:tcPr>
            <w:tcW w:w="2271" w:type="pct"/>
            <w:vMerge/>
            <w:tcBorders>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
                <w:bCs/>
                <w:sz w:val="24"/>
                <w:szCs w:val="24"/>
              </w:rPr>
            </w:pPr>
          </w:p>
        </w:tc>
        <w:tc>
          <w:tcPr>
            <w:tcW w:w="534" w:type="pct"/>
            <w:tcBorders>
              <w:top w:val="single" w:sz="4" w:space="0" w:color="auto"/>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指标点</w:t>
            </w:r>
          </w:p>
        </w:tc>
        <w:tc>
          <w:tcPr>
            <w:tcW w:w="1852" w:type="pct"/>
            <w:tcBorders>
              <w:top w:val="single" w:sz="4" w:space="0" w:color="auto"/>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指标点内容</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1</w:t>
            </w:r>
          </w:p>
        </w:tc>
        <w:tc>
          <w:tcPr>
            <w:tcW w:w="2271"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目标1：理解市政工程及市政工程清单计量与计价的定义，掌握市政工程清单计量与计价的方法。</w:t>
            </w:r>
          </w:p>
        </w:tc>
        <w:tc>
          <w:tcPr>
            <w:tcW w:w="534"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3.1</w:t>
            </w:r>
          </w:p>
        </w:tc>
        <w:tc>
          <w:tcPr>
            <w:tcW w:w="1852"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能够将数学、自然科学、工程基础和专业知识用于解决复杂工程问题</w:t>
            </w:r>
            <w:r w:rsidRPr="00EC0A76">
              <w:rPr>
                <w:rFonts w:ascii="仿宋_GB2312" w:hAnsi="仿宋_GB2312" w:cs="仿宋_GB2312" w:hint="eastAsia"/>
                <w:bCs/>
                <w:sz w:val="24"/>
                <w:szCs w:val="24"/>
              </w:rPr>
              <w:t>。</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2</w:t>
            </w:r>
          </w:p>
        </w:tc>
        <w:tc>
          <w:tcPr>
            <w:tcW w:w="2271"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目标2：运用城市道路工程基本构造图，从路基到路面的基本材料组成及施工过程，独立看懂道路工程施工图纸并掌握其清单及定额的算量规则</w:t>
            </w:r>
            <w:r w:rsidRPr="00EC0A76">
              <w:rPr>
                <w:rFonts w:ascii="仿宋_GB2312" w:hAnsi="仿宋_GB2312" w:cs="仿宋_GB2312" w:hint="eastAsia"/>
                <w:bCs/>
                <w:sz w:val="24"/>
                <w:szCs w:val="24"/>
              </w:rPr>
              <w:t>。</w:t>
            </w:r>
          </w:p>
        </w:tc>
        <w:tc>
          <w:tcPr>
            <w:tcW w:w="534"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3.2</w:t>
            </w:r>
          </w:p>
        </w:tc>
        <w:tc>
          <w:tcPr>
            <w:tcW w:w="1852"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napToGrid w:val="0"/>
              <w:spacing w:line="360" w:lineRule="auto"/>
              <w:outlineLvl w:val="0"/>
              <w:rPr>
                <w:rFonts w:ascii="仿宋_GB2312" w:hAnsi="仿宋_GB2312" w:cs="仿宋_GB2312"/>
                <w:bCs/>
                <w:sz w:val="24"/>
                <w:szCs w:val="24"/>
              </w:rPr>
            </w:pPr>
            <w:r w:rsidRPr="00EC0A76">
              <w:rPr>
                <w:rFonts w:ascii="仿宋_GB2312" w:hAnsi="仿宋_GB2312" w:cs="仿宋_GB2312"/>
                <w:bCs/>
                <w:sz w:val="24"/>
                <w:szCs w:val="24"/>
              </w:rPr>
              <w:t>能够应用数学、自然科学和工程科学的基本原理，识别、表达、并通过文献研究分析复杂工程问题，以获得有效结论。</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3</w:t>
            </w:r>
          </w:p>
        </w:tc>
        <w:tc>
          <w:tcPr>
            <w:tcW w:w="2271"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目标3：分析桥梁工程类型划分及具体的施工过程，独立看懂桥梁工程施工图纸并掌握其清单及定额的算量规则</w:t>
            </w:r>
            <w:r w:rsidRPr="00EC0A76">
              <w:rPr>
                <w:rFonts w:ascii="仿宋_GB2312" w:hAnsi="仿宋_GB2312" w:cs="仿宋_GB2312" w:hint="eastAsia"/>
                <w:bCs/>
                <w:sz w:val="24"/>
                <w:szCs w:val="24"/>
              </w:rPr>
              <w:t>；</w:t>
            </w:r>
            <w:r w:rsidRPr="00EC0A76">
              <w:rPr>
                <w:rFonts w:ascii="仿宋_GB2312" w:hAnsi="仿宋_GB2312" w:cs="仿宋_GB2312"/>
                <w:bCs/>
                <w:sz w:val="24"/>
                <w:szCs w:val="24"/>
              </w:rPr>
              <w:t>看懂给排水工程并掌握其清单及定额的算量规则</w:t>
            </w:r>
            <w:r w:rsidRPr="00EC0A76">
              <w:rPr>
                <w:rFonts w:ascii="仿宋_GB2312" w:hAnsi="仿宋_GB2312" w:cs="仿宋_GB2312" w:hint="eastAsia"/>
                <w:bCs/>
                <w:sz w:val="24"/>
                <w:szCs w:val="24"/>
              </w:rPr>
              <w:t>。</w:t>
            </w:r>
          </w:p>
        </w:tc>
        <w:tc>
          <w:tcPr>
            <w:tcW w:w="534"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3.3</w:t>
            </w:r>
          </w:p>
        </w:tc>
        <w:tc>
          <w:tcPr>
            <w:tcW w:w="1852"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napToGrid w:val="0"/>
              <w:spacing w:line="360" w:lineRule="auto"/>
              <w:outlineLvl w:val="0"/>
              <w:rPr>
                <w:rFonts w:ascii="仿宋_GB2312" w:hAnsi="仿宋_GB2312" w:cs="仿宋_GB2312"/>
                <w:bCs/>
                <w:sz w:val="24"/>
                <w:szCs w:val="24"/>
              </w:rPr>
            </w:pPr>
            <w:r w:rsidRPr="00EC0A76">
              <w:rPr>
                <w:rFonts w:ascii="仿宋_GB2312" w:hAnsi="仿宋_GB2312" w:cs="仿宋_GB2312"/>
                <w:bCs/>
                <w:sz w:val="24"/>
                <w:szCs w:val="24"/>
              </w:rPr>
              <w:t>能够设计针对复杂工程问题的解决方案，</w:t>
            </w:r>
            <w:r w:rsidRPr="00EC0A76">
              <w:rPr>
                <w:rFonts w:ascii="仿宋_GB2312" w:hAnsi="仿宋_GB2312" w:cs="仿宋_GB2312" w:hint="eastAsia"/>
                <w:bCs/>
                <w:sz w:val="24"/>
                <w:szCs w:val="24"/>
              </w:rPr>
              <w:t>设计</w:t>
            </w:r>
            <w:r w:rsidRPr="00EC0A76">
              <w:rPr>
                <w:rFonts w:ascii="仿宋_GB2312" w:hAnsi="仿宋_GB2312" w:cs="仿宋_GB2312"/>
                <w:bCs/>
                <w:sz w:val="24"/>
                <w:szCs w:val="24"/>
              </w:rPr>
              <w:t>满足特定需求的</w:t>
            </w:r>
            <w:r w:rsidRPr="00EC0A76">
              <w:rPr>
                <w:rFonts w:ascii="仿宋_GB2312" w:hAnsi="仿宋_GB2312" w:cs="仿宋_GB2312" w:hint="eastAsia"/>
                <w:bCs/>
                <w:sz w:val="24"/>
                <w:szCs w:val="24"/>
              </w:rPr>
              <w:t>工程投资</w:t>
            </w:r>
            <w:r w:rsidRPr="00EC0A76">
              <w:rPr>
                <w:rFonts w:ascii="仿宋_GB2312" w:hAnsi="仿宋_GB2312" w:cs="仿宋_GB2312"/>
                <w:bCs/>
                <w:sz w:val="24"/>
                <w:szCs w:val="24"/>
              </w:rPr>
              <w:t>方案，并能够在设计环节中体现</w:t>
            </w:r>
            <w:r w:rsidRPr="00EC0A76">
              <w:rPr>
                <w:rFonts w:ascii="仿宋_GB2312" w:hAnsi="仿宋_GB2312" w:cs="仿宋_GB2312" w:hint="eastAsia"/>
                <w:bCs/>
                <w:sz w:val="24"/>
                <w:szCs w:val="24"/>
              </w:rPr>
              <w:t>价值</w:t>
            </w:r>
            <w:r w:rsidRPr="00EC0A76">
              <w:rPr>
                <w:rFonts w:ascii="仿宋_GB2312" w:hAnsi="仿宋_GB2312" w:cs="仿宋_GB2312"/>
                <w:bCs/>
                <w:sz w:val="24"/>
                <w:szCs w:val="24"/>
              </w:rPr>
              <w:t>管理的创新意识，考虑社会、健康、安全、法律、文化以及环境等因素。</w:t>
            </w:r>
          </w:p>
        </w:tc>
      </w:tr>
    </w:tbl>
    <w:p w:rsidR="00EC0A76" w:rsidRDefault="00EC0A76" w:rsidP="00EC0A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3"/>
        <w:gridCol w:w="2149"/>
        <w:gridCol w:w="954"/>
        <w:gridCol w:w="596"/>
        <w:gridCol w:w="926"/>
      </w:tblGrid>
      <w:tr w:rsidR="00CD00D2" w:rsidRPr="00EC0A7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序号</w:t>
            </w:r>
          </w:p>
        </w:tc>
        <w:tc>
          <w:tcPr>
            <w:tcW w:w="1870" w:type="pct"/>
            <w:tcBorders>
              <w:top w:val="single" w:sz="4" w:space="0" w:color="000000"/>
              <w:left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教学内容及重点、难点</w:t>
            </w:r>
          </w:p>
        </w:tc>
        <w:tc>
          <w:tcPr>
            <w:tcW w:w="1295" w:type="pct"/>
            <w:tcBorders>
              <w:top w:val="single" w:sz="4" w:space="0" w:color="000000"/>
              <w:left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支撑课程教学目标</w:t>
            </w:r>
          </w:p>
        </w:tc>
      </w:tr>
      <w:tr w:rsidR="00CD00D2" w:rsidRPr="00EC0A7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1</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内容：第一章绪论及市政工程定额</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重点：市政工程造价的概念、工程造价的计价原理、施工图预算工程造价的组</w:t>
            </w:r>
            <w:r w:rsidRPr="00EC0A76">
              <w:rPr>
                <w:rFonts w:ascii="仿宋_GB2312" w:hAnsi="仿宋_GB2312" w:cs="仿宋_GB2312"/>
                <w:bCs/>
                <w:sz w:val="24"/>
                <w:szCs w:val="24"/>
              </w:rPr>
              <w:lastRenderedPageBreak/>
              <w:t>成； 初步掌握市政工程劳动消耗量定额的确定方法。</w:t>
            </w:r>
          </w:p>
          <w:p w:rsidR="00CD00D2" w:rsidRPr="00EC0A76" w:rsidRDefault="00CD00D2" w:rsidP="00CD00D2">
            <w:pPr>
              <w:pStyle w:val="TableParagraph"/>
              <w:spacing w:before="2"/>
              <w:rPr>
                <w:rFonts w:ascii="仿宋_GB2312" w:eastAsia="仿宋_GB2312" w:hAnsi="仿宋_GB2312" w:cs="仿宋_GB2312"/>
                <w:bCs/>
                <w:sz w:val="24"/>
                <w:szCs w:val="24"/>
                <w:lang w:val="en-US" w:bidi="ar-SA"/>
              </w:rPr>
            </w:pPr>
            <w:r w:rsidRPr="00EC0A76">
              <w:rPr>
                <w:rFonts w:ascii="仿宋_GB2312" w:eastAsia="仿宋_GB2312" w:hAnsi="仿宋_GB2312" w:cs="仿宋_GB2312"/>
                <w:bCs/>
                <w:sz w:val="24"/>
                <w:szCs w:val="24"/>
                <w:lang w:val="en-US" w:bidi="ar-SA"/>
              </w:rPr>
              <w:t>难点：工程造价计价原理、施工图预算工程造价的组成；组价以及如何套用定额</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lastRenderedPageBreak/>
              <w:t xml:space="preserve">1. </w:t>
            </w:r>
            <w:r w:rsidRPr="00EC0A76">
              <w:rPr>
                <w:rFonts w:ascii="仿宋_GB2312" w:hAnsi="仿宋_GB2312" w:cs="仿宋_GB2312" w:hint="eastAsia"/>
                <w:bCs/>
                <w:sz w:val="24"/>
                <w:szCs w:val="24"/>
              </w:rPr>
              <w:t>理解</w:t>
            </w:r>
            <w:r w:rsidRPr="00EC0A76">
              <w:rPr>
                <w:rFonts w:ascii="仿宋_GB2312" w:hAnsi="仿宋_GB2312" w:cs="仿宋_GB2312"/>
                <w:bCs/>
                <w:sz w:val="24"/>
                <w:szCs w:val="24"/>
              </w:rPr>
              <w:t>市政工程造价的概念、工程造价的计价原理、施工图预算工程造价的组成； 初步</w:t>
            </w:r>
            <w:r w:rsidRPr="00EC0A76">
              <w:rPr>
                <w:rFonts w:ascii="仿宋_GB2312" w:hAnsi="仿宋_GB2312" w:cs="仿宋_GB2312"/>
                <w:bCs/>
                <w:sz w:val="24"/>
                <w:szCs w:val="24"/>
              </w:rPr>
              <w:lastRenderedPageBreak/>
              <w:t>掌握市政工程劳动消耗量定额的确定方法。</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 xml:space="preserve">2. </w:t>
            </w:r>
            <w:r w:rsidRPr="00EC0A76">
              <w:rPr>
                <w:rFonts w:ascii="仿宋_GB2312" w:hAnsi="仿宋_GB2312" w:cs="仿宋_GB2312" w:hint="eastAsia"/>
                <w:bCs/>
                <w:sz w:val="24"/>
                <w:szCs w:val="24"/>
              </w:rPr>
              <w:t>掌握</w:t>
            </w:r>
            <w:r w:rsidRPr="00EC0A76">
              <w:rPr>
                <w:rFonts w:ascii="仿宋_GB2312" w:hAnsi="仿宋_GB2312" w:cs="仿宋_GB2312"/>
                <w:bCs/>
                <w:sz w:val="24"/>
                <w:szCs w:val="24"/>
              </w:rPr>
              <w:t>定额</w:t>
            </w:r>
            <w:r w:rsidRPr="00EC0A76">
              <w:rPr>
                <w:rFonts w:ascii="仿宋_GB2312" w:hAnsi="仿宋_GB2312" w:cs="仿宋_GB2312" w:hint="eastAsia"/>
                <w:bCs/>
                <w:sz w:val="24"/>
                <w:szCs w:val="24"/>
              </w:rPr>
              <w:t>的</w:t>
            </w:r>
            <w:r w:rsidRPr="00EC0A76">
              <w:rPr>
                <w:rFonts w:ascii="仿宋_GB2312" w:hAnsi="仿宋_GB2312" w:cs="仿宋_GB2312"/>
                <w:bCs/>
                <w:sz w:val="24"/>
                <w:szCs w:val="24"/>
              </w:rPr>
              <w:t>套用</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目标1</w:t>
            </w:r>
          </w:p>
        </w:tc>
      </w:tr>
      <w:tr w:rsidR="00CD00D2" w:rsidRPr="00EC0A7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2</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内容：第二章</w:t>
            </w:r>
            <w:r w:rsidRPr="00EC0A76">
              <w:rPr>
                <w:rFonts w:ascii="仿宋_GB2312" w:hAnsi="仿宋_GB2312" w:cs="仿宋_GB2312" w:hint="eastAsia"/>
                <w:bCs/>
                <w:sz w:val="24"/>
                <w:szCs w:val="24"/>
              </w:rPr>
              <w:t>市政工程造价的确定</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重点：</w:t>
            </w:r>
            <w:r w:rsidRPr="00EC0A76">
              <w:rPr>
                <w:rFonts w:ascii="仿宋_GB2312" w:hAnsi="仿宋_GB2312" w:cs="仿宋_GB2312" w:hint="eastAsia"/>
                <w:bCs/>
                <w:sz w:val="24"/>
                <w:szCs w:val="24"/>
              </w:rPr>
              <w:t>定额计价方式；清单计价方式</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难点：</w:t>
            </w:r>
            <w:r w:rsidRPr="00EC0A76">
              <w:rPr>
                <w:rFonts w:ascii="仿宋_GB2312" w:hAnsi="仿宋_GB2312" w:cs="仿宋_GB2312" w:hint="eastAsia"/>
                <w:bCs/>
                <w:sz w:val="24"/>
                <w:szCs w:val="24"/>
              </w:rPr>
              <w:t>清单计价与定额计价的区别</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1.</w:t>
            </w:r>
            <w:r w:rsidRPr="00EC0A76">
              <w:rPr>
                <w:rFonts w:ascii="仿宋_GB2312" w:hAnsi="仿宋_GB2312" w:cs="仿宋_GB2312" w:hint="eastAsia"/>
                <w:bCs/>
                <w:sz w:val="24"/>
                <w:szCs w:val="24"/>
              </w:rPr>
              <w:t>了解定额计价原理</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2.</w:t>
            </w:r>
            <w:r w:rsidRPr="00EC0A76">
              <w:rPr>
                <w:rFonts w:ascii="仿宋_GB2312" w:hAnsi="仿宋_GB2312" w:cs="仿宋_GB2312" w:hint="eastAsia"/>
                <w:bCs/>
                <w:sz w:val="24"/>
                <w:szCs w:val="24"/>
              </w:rPr>
              <w:t>掌握工程量清单计价原理</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3.</w:t>
            </w:r>
            <w:r w:rsidRPr="00EC0A76">
              <w:rPr>
                <w:rFonts w:ascii="仿宋_GB2312" w:hAnsi="仿宋_GB2312" w:cs="仿宋_GB2312" w:hint="eastAsia"/>
                <w:bCs/>
                <w:sz w:val="24"/>
                <w:szCs w:val="24"/>
              </w:rPr>
              <w:t>理解清单计价与定额计价的区别</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目标2</w:t>
            </w:r>
          </w:p>
        </w:tc>
      </w:tr>
      <w:tr w:rsidR="00CD00D2" w:rsidRPr="00EC0A7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内容：第三章</w:t>
            </w:r>
            <w:r w:rsidRPr="00EC0A76">
              <w:rPr>
                <w:rFonts w:ascii="仿宋_GB2312" w:hAnsi="仿宋_GB2312" w:cs="仿宋_GB2312" w:hint="eastAsia"/>
                <w:bCs/>
                <w:sz w:val="24"/>
                <w:szCs w:val="24"/>
              </w:rPr>
              <w:t>土石方工程量清单计价</w:t>
            </w:r>
          </w:p>
          <w:p w:rsidR="00CD00D2" w:rsidRPr="00EC0A76" w:rsidRDefault="00CD00D2" w:rsidP="00CD00D2">
            <w:pPr>
              <w:adjustRightInd w:val="0"/>
              <w:snapToGrid w:val="0"/>
              <w:rPr>
                <w:rFonts w:ascii="仿宋_GB2312" w:hAnsi="仿宋_GB2312" w:cs="仿宋_GB2312"/>
                <w:bCs/>
                <w:sz w:val="24"/>
                <w:szCs w:val="24"/>
              </w:rPr>
            </w:pPr>
            <w:r w:rsidRPr="00EC0A76">
              <w:rPr>
                <w:rFonts w:ascii="仿宋_GB2312" w:hAnsi="仿宋_GB2312" w:cs="仿宋_GB2312"/>
                <w:bCs/>
                <w:sz w:val="24"/>
                <w:szCs w:val="24"/>
              </w:rPr>
              <w:t>重点：</w:t>
            </w:r>
            <w:r w:rsidRPr="00EC0A76">
              <w:rPr>
                <w:rFonts w:ascii="仿宋_GB2312" w:hAnsi="仿宋_GB2312" w:cs="仿宋_GB2312" w:hint="eastAsia"/>
                <w:bCs/>
                <w:sz w:val="24"/>
                <w:szCs w:val="24"/>
              </w:rPr>
              <w:t>土方工程、石方工程、回填方及土石方运输项目工程量的计算规则及计价相关规定</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难点：</w:t>
            </w:r>
            <w:r w:rsidRPr="00EC0A76">
              <w:rPr>
                <w:rFonts w:ascii="仿宋_GB2312" w:hAnsi="仿宋_GB2312" w:cs="仿宋_GB2312" w:hint="eastAsia"/>
                <w:bCs/>
                <w:sz w:val="24"/>
                <w:szCs w:val="24"/>
              </w:rPr>
              <w:t>土方工程、石方工程、回填工程量定额工程量的计算</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hint="eastAsia"/>
                <w:bCs/>
                <w:sz w:val="24"/>
                <w:szCs w:val="24"/>
              </w:rPr>
              <w:t>1.了解土石方工程基础知识。</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hint="eastAsia"/>
                <w:bCs/>
                <w:sz w:val="24"/>
                <w:szCs w:val="24"/>
              </w:rPr>
              <w:t>2</w:t>
            </w:r>
            <w:r w:rsidRPr="00EC0A76">
              <w:rPr>
                <w:rFonts w:ascii="仿宋_GB2312" w:hAnsi="仿宋_GB2312" w:cs="仿宋_GB2312"/>
                <w:bCs/>
                <w:sz w:val="24"/>
                <w:szCs w:val="24"/>
              </w:rPr>
              <w:t>.</w:t>
            </w:r>
            <w:r w:rsidRPr="00EC0A76">
              <w:rPr>
                <w:rFonts w:ascii="仿宋_GB2312" w:hAnsi="仿宋_GB2312" w:cs="仿宋_GB2312" w:hint="eastAsia"/>
                <w:bCs/>
                <w:sz w:val="24"/>
                <w:szCs w:val="24"/>
              </w:rPr>
              <w:t>掌握土石方工程量清单的编制</w:t>
            </w:r>
            <w:r w:rsidRPr="00EC0A76">
              <w:rPr>
                <w:rFonts w:ascii="仿宋_GB2312" w:hAnsi="仿宋_GB2312" w:cs="仿宋_GB2312"/>
                <w:bCs/>
                <w:sz w:val="24"/>
                <w:szCs w:val="24"/>
              </w:rPr>
              <w:t>。</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hint="eastAsia"/>
                <w:bCs/>
                <w:sz w:val="24"/>
                <w:szCs w:val="24"/>
              </w:rPr>
              <w:t>3</w:t>
            </w:r>
            <w:r w:rsidRPr="00EC0A76">
              <w:rPr>
                <w:rFonts w:ascii="仿宋_GB2312" w:hAnsi="仿宋_GB2312" w:cs="仿宋_GB2312"/>
                <w:bCs/>
                <w:sz w:val="24"/>
                <w:szCs w:val="24"/>
              </w:rPr>
              <w:t>.</w:t>
            </w:r>
            <w:r w:rsidRPr="00EC0A76">
              <w:rPr>
                <w:rFonts w:ascii="仿宋_GB2312" w:hAnsi="仿宋_GB2312" w:cs="仿宋_GB2312" w:hint="eastAsia"/>
                <w:bCs/>
                <w:sz w:val="24"/>
                <w:szCs w:val="24"/>
              </w:rPr>
              <w:t>掌握土石方工程量清单报价编制</w:t>
            </w:r>
          </w:p>
          <w:p w:rsidR="00CD00D2" w:rsidRPr="00EC0A76" w:rsidRDefault="00CD00D2" w:rsidP="00CD00D2">
            <w:pPr>
              <w:spacing w:line="360" w:lineRule="exact"/>
              <w:jc w:val="left"/>
              <w:rPr>
                <w:rFonts w:ascii="仿宋_GB2312" w:hAnsi="仿宋_GB2312" w:cs="仿宋_GB2312"/>
                <w:bCs/>
                <w:sz w:val="24"/>
                <w:szCs w:val="24"/>
              </w:rPr>
            </w:pP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课堂授课</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目标2</w:t>
            </w:r>
          </w:p>
        </w:tc>
      </w:tr>
      <w:tr w:rsidR="00CD00D2" w:rsidRPr="00EC0A7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4</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内容：第四章</w:t>
            </w:r>
            <w:r w:rsidRPr="00EC0A76">
              <w:rPr>
                <w:rFonts w:ascii="仿宋_GB2312" w:hAnsi="仿宋_GB2312" w:cs="仿宋_GB2312" w:hint="eastAsia"/>
                <w:bCs/>
                <w:sz w:val="24"/>
                <w:szCs w:val="24"/>
              </w:rPr>
              <w:t>道路工程量清单计价</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重点：掌握城市道路的分类、道路工程平面图、纵断面图以及道路工程的基本组成；根据市政工程定额及清单计量的要求分别计算工程量与清单工程量</w:t>
            </w:r>
            <w:r w:rsidRPr="00EC0A76">
              <w:rPr>
                <w:rFonts w:ascii="仿宋_GB2312" w:hAnsi="仿宋_GB2312" w:cs="仿宋_GB2312" w:hint="eastAsia"/>
                <w:bCs/>
                <w:sz w:val="24"/>
                <w:szCs w:val="24"/>
              </w:rPr>
              <w:t>；</w:t>
            </w:r>
            <w:r w:rsidRPr="00EC0A76">
              <w:rPr>
                <w:rFonts w:ascii="仿宋_GB2312" w:hAnsi="仿宋_GB2312" w:cs="仿宋_GB2312"/>
                <w:bCs/>
                <w:sz w:val="24"/>
                <w:szCs w:val="24"/>
              </w:rPr>
              <w:t>根据市政工程定额及清单工程量编制清单计价</w:t>
            </w:r>
            <w:r w:rsidRPr="00EC0A76">
              <w:rPr>
                <w:rFonts w:ascii="仿宋_GB2312" w:hAnsi="仿宋_GB2312" w:cs="仿宋_GB2312" w:hint="eastAsia"/>
                <w:bCs/>
                <w:sz w:val="24"/>
                <w:szCs w:val="24"/>
              </w:rPr>
              <w:t>。</w:t>
            </w:r>
          </w:p>
          <w:p w:rsidR="00CD00D2" w:rsidRPr="00EC0A76" w:rsidRDefault="00CD00D2" w:rsidP="00CD00D2">
            <w:pPr>
              <w:pStyle w:val="TableParagraph"/>
              <w:spacing w:before="3"/>
              <w:rPr>
                <w:rFonts w:ascii="仿宋_GB2312" w:eastAsia="仿宋_GB2312" w:hAnsi="仿宋_GB2312" w:cs="仿宋_GB2312"/>
                <w:bCs/>
                <w:sz w:val="24"/>
                <w:szCs w:val="24"/>
                <w:lang w:val="en-US" w:bidi="ar-SA"/>
              </w:rPr>
            </w:pPr>
            <w:r w:rsidRPr="00EC0A76">
              <w:rPr>
                <w:rFonts w:ascii="仿宋_GB2312" w:eastAsia="仿宋_GB2312" w:hAnsi="仿宋_GB2312" w:cs="仿宋_GB2312"/>
                <w:bCs/>
                <w:sz w:val="24"/>
                <w:szCs w:val="24"/>
                <w:lang w:val="en-US" w:bidi="ar-SA"/>
              </w:rPr>
              <w:t>难点：道路工程平面图、纵断面图识图、道路面层转角十字路口工程量的扣减</w:t>
            </w:r>
            <w:r w:rsidRPr="00EC0A76">
              <w:rPr>
                <w:rFonts w:ascii="仿宋_GB2312" w:eastAsia="仿宋_GB2312" w:hAnsi="仿宋_GB2312" w:cs="仿宋_GB2312" w:hint="eastAsia"/>
                <w:bCs/>
                <w:sz w:val="24"/>
                <w:szCs w:val="24"/>
                <w:lang w:val="en-US" w:bidi="ar-SA"/>
              </w:rPr>
              <w:t>；</w:t>
            </w:r>
            <w:r w:rsidRPr="00EC0A76">
              <w:rPr>
                <w:rFonts w:ascii="仿宋_GB2312" w:eastAsia="仿宋_GB2312" w:hAnsi="仿宋_GB2312" w:cs="仿宋_GB2312"/>
                <w:bCs/>
                <w:sz w:val="24"/>
                <w:szCs w:val="24"/>
                <w:lang w:val="en-US" w:bidi="ar-SA"/>
              </w:rPr>
              <w:t>组价以及综合单价的求解过程</w:t>
            </w:r>
            <w:r w:rsidRPr="00EC0A76">
              <w:rPr>
                <w:rFonts w:ascii="仿宋_GB2312" w:eastAsia="仿宋_GB2312" w:hAnsi="仿宋_GB2312" w:cs="仿宋_GB2312" w:hint="eastAsia"/>
                <w:bCs/>
                <w:sz w:val="24"/>
                <w:szCs w:val="24"/>
                <w:lang w:val="en-US" w:bidi="ar-SA"/>
              </w:rPr>
              <w:t>。</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pStyle w:val="21"/>
              <w:ind w:firstLineChars="0" w:firstLine="0"/>
              <w:rPr>
                <w:rFonts w:ascii="仿宋_GB2312" w:hAnsi="仿宋_GB2312" w:cs="仿宋_GB2312"/>
                <w:bCs/>
                <w:sz w:val="24"/>
                <w:szCs w:val="24"/>
              </w:rPr>
            </w:pPr>
            <w:r w:rsidRPr="00EC0A76">
              <w:rPr>
                <w:rFonts w:ascii="仿宋_GB2312" w:hAnsi="仿宋_GB2312" w:cs="仿宋_GB2312"/>
                <w:bCs/>
                <w:sz w:val="24"/>
                <w:szCs w:val="24"/>
              </w:rPr>
              <w:t>1.了解</w:t>
            </w:r>
            <w:r w:rsidRPr="00EC0A76">
              <w:rPr>
                <w:rFonts w:ascii="仿宋_GB2312" w:hAnsi="仿宋_GB2312" w:cs="仿宋_GB2312" w:hint="eastAsia"/>
                <w:bCs/>
                <w:sz w:val="24"/>
                <w:szCs w:val="24"/>
              </w:rPr>
              <w:t>路基处理，道路基层，道路面层，人行道及其他以及交通管理设施</w:t>
            </w:r>
            <w:r w:rsidRPr="00EC0A76">
              <w:rPr>
                <w:rFonts w:ascii="仿宋_GB2312" w:hAnsi="仿宋_GB2312" w:cs="仿宋_GB2312"/>
                <w:bCs/>
                <w:sz w:val="24"/>
                <w:szCs w:val="24"/>
              </w:rPr>
              <w:t>相应的基础知识。</w:t>
            </w:r>
          </w:p>
          <w:p w:rsidR="00CD00D2" w:rsidRPr="00EC0A76" w:rsidRDefault="00CD00D2" w:rsidP="00CD00D2">
            <w:pPr>
              <w:pStyle w:val="21"/>
              <w:ind w:firstLineChars="0" w:firstLine="0"/>
              <w:rPr>
                <w:rFonts w:ascii="仿宋_GB2312" w:hAnsi="仿宋_GB2312" w:cs="仿宋_GB2312"/>
                <w:bCs/>
                <w:sz w:val="24"/>
                <w:szCs w:val="24"/>
              </w:rPr>
            </w:pPr>
            <w:r w:rsidRPr="00EC0A76">
              <w:rPr>
                <w:rFonts w:ascii="仿宋_GB2312" w:hAnsi="仿宋_GB2312" w:cs="仿宋_GB2312" w:hint="eastAsia"/>
                <w:bCs/>
                <w:sz w:val="24"/>
                <w:szCs w:val="24"/>
              </w:rPr>
              <w:t>2.</w:t>
            </w:r>
            <w:r w:rsidRPr="00EC0A76">
              <w:rPr>
                <w:rFonts w:ascii="仿宋_GB2312" w:hAnsi="仿宋_GB2312" w:cs="仿宋_GB2312"/>
                <w:bCs/>
                <w:sz w:val="24"/>
                <w:szCs w:val="24"/>
              </w:rPr>
              <w:t>掌握</w:t>
            </w:r>
            <w:r w:rsidRPr="00EC0A76">
              <w:rPr>
                <w:rFonts w:ascii="仿宋_GB2312" w:hAnsi="仿宋_GB2312" w:cs="仿宋_GB2312" w:hint="eastAsia"/>
                <w:bCs/>
                <w:sz w:val="24"/>
                <w:szCs w:val="24"/>
              </w:rPr>
              <w:t>路基处理，道路基层，道路面层</w:t>
            </w:r>
            <w:r w:rsidRPr="00EC0A76">
              <w:rPr>
                <w:rFonts w:ascii="仿宋_GB2312" w:hAnsi="仿宋_GB2312" w:cs="仿宋_GB2312"/>
                <w:bCs/>
                <w:sz w:val="24"/>
                <w:szCs w:val="24"/>
              </w:rPr>
              <w:t>工程量的计算规则</w:t>
            </w:r>
            <w:r w:rsidRPr="00EC0A76">
              <w:rPr>
                <w:rFonts w:ascii="仿宋_GB2312" w:hAnsi="仿宋_GB2312" w:cs="仿宋_GB2312" w:hint="eastAsia"/>
                <w:bCs/>
                <w:sz w:val="24"/>
                <w:szCs w:val="24"/>
              </w:rPr>
              <w:t>及其</w:t>
            </w:r>
            <w:r w:rsidRPr="00EC0A76">
              <w:rPr>
                <w:rFonts w:ascii="仿宋_GB2312" w:hAnsi="仿宋_GB2312" w:cs="仿宋_GB2312"/>
                <w:bCs/>
                <w:sz w:val="24"/>
                <w:szCs w:val="24"/>
              </w:rPr>
              <w:t>工程量清单编制的方法</w:t>
            </w:r>
            <w:r w:rsidRPr="00EC0A76">
              <w:rPr>
                <w:rFonts w:ascii="仿宋_GB2312" w:hAnsi="仿宋_GB2312" w:cs="仿宋_GB2312" w:hint="eastAsia"/>
                <w:bCs/>
                <w:sz w:val="24"/>
                <w:szCs w:val="24"/>
              </w:rPr>
              <w:t>。</w:t>
            </w:r>
          </w:p>
          <w:p w:rsidR="00CD00D2" w:rsidRPr="00EC0A76" w:rsidRDefault="00CD00D2" w:rsidP="00CD00D2">
            <w:pPr>
              <w:pStyle w:val="21"/>
              <w:ind w:firstLineChars="0" w:firstLine="0"/>
              <w:rPr>
                <w:rFonts w:ascii="仿宋_GB2312" w:hAnsi="仿宋_GB2312" w:cs="仿宋_GB2312"/>
                <w:bCs/>
                <w:sz w:val="24"/>
                <w:szCs w:val="24"/>
              </w:rPr>
            </w:pPr>
            <w:r w:rsidRPr="00EC0A76">
              <w:rPr>
                <w:rFonts w:ascii="仿宋_GB2312" w:hAnsi="仿宋_GB2312" w:cs="仿宋_GB2312" w:hint="eastAsia"/>
                <w:bCs/>
                <w:sz w:val="24"/>
                <w:szCs w:val="24"/>
              </w:rPr>
              <w:t>3.掌握道路工程量清单报价编制。</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课堂授课</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随堂测验</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8</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目标2</w:t>
            </w:r>
            <w:r w:rsidRPr="00EC0A76">
              <w:rPr>
                <w:rFonts w:ascii="仿宋_GB2312" w:hAnsi="仿宋_GB2312" w:cs="仿宋_GB2312" w:hint="eastAsia"/>
                <w:bCs/>
                <w:sz w:val="24"/>
                <w:szCs w:val="24"/>
              </w:rPr>
              <w:t>、3</w:t>
            </w:r>
          </w:p>
        </w:tc>
      </w:tr>
      <w:tr w:rsidR="00CD00D2" w:rsidRPr="00EC0A7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5</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内容：第五章</w:t>
            </w:r>
            <w:r w:rsidRPr="00EC0A76">
              <w:rPr>
                <w:rFonts w:ascii="仿宋_GB2312" w:hAnsi="仿宋_GB2312" w:cs="仿宋_GB2312" w:hint="eastAsia"/>
                <w:bCs/>
                <w:sz w:val="24"/>
                <w:szCs w:val="24"/>
              </w:rPr>
              <w:t>桥涵工程量清单计价</w:t>
            </w:r>
          </w:p>
          <w:p w:rsidR="00CD00D2" w:rsidRPr="00EC0A76" w:rsidRDefault="00CD00D2" w:rsidP="00CD00D2">
            <w:pPr>
              <w:pStyle w:val="TableParagraph"/>
              <w:spacing w:before="1" w:line="242" w:lineRule="auto"/>
              <w:ind w:right="92"/>
              <w:rPr>
                <w:rFonts w:ascii="仿宋_GB2312" w:eastAsia="仿宋_GB2312" w:hAnsi="仿宋_GB2312" w:cs="仿宋_GB2312"/>
                <w:bCs/>
                <w:sz w:val="24"/>
                <w:szCs w:val="24"/>
                <w:lang w:val="en-US" w:bidi="ar-SA"/>
              </w:rPr>
            </w:pPr>
            <w:r w:rsidRPr="00EC0A76">
              <w:rPr>
                <w:rFonts w:ascii="仿宋_GB2312" w:eastAsia="仿宋_GB2312" w:hAnsi="仿宋_GB2312" w:cs="仿宋_GB2312"/>
                <w:bCs/>
                <w:sz w:val="24"/>
                <w:szCs w:val="24"/>
                <w:lang w:val="en-US" w:bidi="ar-SA"/>
              </w:rPr>
              <w:t>重点：</w:t>
            </w:r>
            <w:r w:rsidRPr="00EC0A76">
              <w:rPr>
                <w:rFonts w:ascii="仿宋_GB2312" w:eastAsia="仿宋_GB2312" w:hAnsi="仿宋_GB2312" w:cs="仿宋_GB2312" w:hint="eastAsia"/>
                <w:bCs/>
                <w:sz w:val="24"/>
                <w:szCs w:val="24"/>
                <w:lang w:val="en-US" w:bidi="ar-SA"/>
              </w:rPr>
              <w:t>1.</w:t>
            </w:r>
            <w:r w:rsidRPr="00EC0A76">
              <w:rPr>
                <w:rFonts w:ascii="仿宋_GB2312" w:eastAsia="仿宋_GB2312" w:hAnsi="仿宋_GB2312" w:cs="仿宋_GB2312"/>
                <w:bCs/>
                <w:sz w:val="24"/>
                <w:szCs w:val="24"/>
                <w:lang w:val="en-US" w:bidi="ar-SA"/>
              </w:rPr>
              <w:t>桥涵结构的基本组成、桥涵工程的类型；桥梁搭拆平台工作面积的计算</w:t>
            </w:r>
            <w:r w:rsidRPr="00EC0A76">
              <w:rPr>
                <w:rFonts w:ascii="仿宋_GB2312" w:eastAsia="仿宋_GB2312" w:hAnsi="仿宋_GB2312" w:cs="仿宋_GB2312"/>
                <w:bCs/>
                <w:sz w:val="24"/>
                <w:szCs w:val="24"/>
                <w:lang w:val="en-US" w:bidi="ar-SA"/>
              </w:rPr>
              <w:lastRenderedPageBreak/>
              <w:t>及空心板预制的混凝土工程量的计算</w:t>
            </w:r>
            <w:r w:rsidRPr="00EC0A76">
              <w:rPr>
                <w:rFonts w:ascii="仿宋_GB2312" w:eastAsia="仿宋_GB2312" w:hAnsi="仿宋_GB2312" w:cs="仿宋_GB2312" w:hint="eastAsia"/>
                <w:bCs/>
                <w:sz w:val="24"/>
                <w:szCs w:val="24"/>
                <w:lang w:val="en-US" w:bidi="ar-SA"/>
              </w:rPr>
              <w:t>。</w:t>
            </w:r>
          </w:p>
          <w:p w:rsidR="00CD00D2" w:rsidRPr="00EC0A76" w:rsidRDefault="00CD00D2" w:rsidP="00CD00D2">
            <w:pPr>
              <w:pStyle w:val="TableParagraph"/>
              <w:spacing w:before="1" w:line="242" w:lineRule="auto"/>
              <w:ind w:right="92"/>
              <w:rPr>
                <w:rFonts w:ascii="仿宋_GB2312" w:eastAsia="仿宋_GB2312" w:hAnsi="仿宋_GB2312" w:cs="仿宋_GB2312"/>
                <w:bCs/>
                <w:sz w:val="24"/>
                <w:szCs w:val="24"/>
                <w:lang w:val="en-US" w:bidi="ar-SA"/>
              </w:rPr>
            </w:pPr>
            <w:r w:rsidRPr="00EC0A76">
              <w:rPr>
                <w:rFonts w:ascii="仿宋_GB2312" w:eastAsia="仿宋_GB2312" w:hAnsi="仿宋_GB2312" w:cs="仿宋_GB2312" w:hint="eastAsia"/>
                <w:bCs/>
                <w:sz w:val="24"/>
                <w:szCs w:val="24"/>
                <w:lang w:val="en-US" w:bidi="ar-SA"/>
              </w:rPr>
              <w:t>2.</w:t>
            </w:r>
            <w:r w:rsidRPr="00EC0A76">
              <w:rPr>
                <w:rFonts w:ascii="仿宋_GB2312" w:eastAsia="仿宋_GB2312" w:hAnsi="仿宋_GB2312" w:cs="仿宋_GB2312"/>
                <w:bCs/>
                <w:sz w:val="24"/>
                <w:szCs w:val="24"/>
                <w:lang w:val="en-US" w:bidi="ar-SA"/>
              </w:rPr>
              <w:t xml:space="preserve"> 根据市政工程定额及清单工程量编制清单计价</w:t>
            </w:r>
            <w:r w:rsidRPr="00EC0A76">
              <w:rPr>
                <w:rFonts w:ascii="仿宋_GB2312" w:eastAsia="仿宋_GB2312" w:hAnsi="仿宋_GB2312" w:cs="仿宋_GB2312" w:hint="eastAsia"/>
                <w:bCs/>
                <w:sz w:val="24"/>
                <w:szCs w:val="24"/>
                <w:lang w:val="en-US" w:bidi="ar-SA"/>
              </w:rPr>
              <w:t>。</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难点：桥梁的类型划分；桥梁搭拆平台工作面积的计算的理解</w:t>
            </w:r>
            <w:r w:rsidRPr="00EC0A76">
              <w:rPr>
                <w:rFonts w:ascii="仿宋_GB2312" w:hAnsi="仿宋_GB2312" w:cs="仿宋_GB2312" w:hint="eastAsia"/>
                <w:bCs/>
                <w:sz w:val="24"/>
                <w:szCs w:val="24"/>
              </w:rPr>
              <w:t>；</w:t>
            </w:r>
            <w:r w:rsidRPr="00EC0A76">
              <w:rPr>
                <w:rFonts w:ascii="仿宋_GB2312" w:hAnsi="仿宋_GB2312" w:cs="仿宋_GB2312"/>
                <w:bCs/>
                <w:sz w:val="24"/>
                <w:szCs w:val="24"/>
              </w:rPr>
              <w:t>组价以及综合单价的求解过程</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pStyle w:val="21"/>
              <w:ind w:firstLineChars="0" w:firstLine="0"/>
              <w:rPr>
                <w:rFonts w:ascii="仿宋_GB2312" w:hAnsi="仿宋_GB2312" w:cs="仿宋_GB2312"/>
                <w:bCs/>
                <w:sz w:val="24"/>
                <w:szCs w:val="24"/>
              </w:rPr>
            </w:pPr>
            <w:r w:rsidRPr="00EC0A76">
              <w:rPr>
                <w:rFonts w:ascii="仿宋_GB2312" w:hAnsi="仿宋_GB2312" w:cs="仿宋_GB2312"/>
                <w:bCs/>
                <w:sz w:val="24"/>
                <w:szCs w:val="24"/>
              </w:rPr>
              <w:lastRenderedPageBreak/>
              <w:t>1.</w:t>
            </w:r>
            <w:r w:rsidRPr="00EC0A76">
              <w:rPr>
                <w:rFonts w:ascii="仿宋_GB2312" w:hAnsi="仿宋_GB2312" w:cs="仿宋_GB2312" w:hint="eastAsia"/>
                <w:bCs/>
                <w:sz w:val="24"/>
                <w:szCs w:val="24"/>
              </w:rPr>
              <w:t>了解桥涵工程基本知识</w:t>
            </w:r>
          </w:p>
          <w:p w:rsidR="00CD00D2" w:rsidRPr="00EC0A76" w:rsidRDefault="00CD00D2" w:rsidP="00CD00D2">
            <w:pPr>
              <w:pStyle w:val="21"/>
              <w:ind w:firstLineChars="0" w:firstLine="0"/>
              <w:rPr>
                <w:rFonts w:ascii="仿宋_GB2312" w:hAnsi="仿宋_GB2312" w:cs="仿宋_GB2312"/>
                <w:bCs/>
                <w:sz w:val="24"/>
                <w:szCs w:val="24"/>
              </w:rPr>
            </w:pPr>
            <w:r w:rsidRPr="00EC0A76">
              <w:rPr>
                <w:rFonts w:ascii="仿宋_GB2312" w:hAnsi="仿宋_GB2312" w:cs="仿宋_GB2312"/>
                <w:bCs/>
                <w:sz w:val="24"/>
                <w:szCs w:val="24"/>
              </w:rPr>
              <w:t>2.</w:t>
            </w:r>
            <w:r w:rsidRPr="00EC0A76">
              <w:rPr>
                <w:rFonts w:ascii="仿宋_GB2312" w:hAnsi="仿宋_GB2312" w:cs="仿宋_GB2312" w:hint="eastAsia"/>
                <w:bCs/>
                <w:sz w:val="24"/>
                <w:szCs w:val="24"/>
              </w:rPr>
              <w:t xml:space="preserve"> 掌握桥涵工程量清单编制</w:t>
            </w:r>
            <w:r w:rsidRPr="00EC0A76">
              <w:rPr>
                <w:rFonts w:ascii="仿宋_GB2312" w:hAnsi="仿宋_GB2312" w:cs="仿宋_GB2312"/>
                <w:bCs/>
                <w:sz w:val="24"/>
                <w:szCs w:val="24"/>
              </w:rPr>
              <w:t>。</w:t>
            </w:r>
          </w:p>
          <w:p w:rsidR="00CD00D2" w:rsidRPr="00EC0A76" w:rsidRDefault="00CD00D2" w:rsidP="00CD00D2">
            <w:pPr>
              <w:pStyle w:val="21"/>
              <w:ind w:firstLineChars="0" w:firstLine="0"/>
              <w:rPr>
                <w:rFonts w:ascii="仿宋_GB2312" w:hAnsi="仿宋_GB2312" w:cs="仿宋_GB2312"/>
                <w:bCs/>
                <w:sz w:val="24"/>
                <w:szCs w:val="24"/>
              </w:rPr>
            </w:pPr>
            <w:r w:rsidRPr="00EC0A76">
              <w:rPr>
                <w:rFonts w:ascii="仿宋_GB2312" w:hAnsi="仿宋_GB2312" w:cs="仿宋_GB2312"/>
                <w:bCs/>
                <w:sz w:val="24"/>
                <w:szCs w:val="24"/>
              </w:rPr>
              <w:t>3.</w:t>
            </w:r>
            <w:r w:rsidRPr="00EC0A76">
              <w:rPr>
                <w:rFonts w:ascii="仿宋_GB2312" w:hAnsi="仿宋_GB2312" w:cs="仿宋_GB2312" w:hint="eastAsia"/>
                <w:bCs/>
                <w:sz w:val="24"/>
                <w:szCs w:val="24"/>
              </w:rPr>
              <w:t>掌握桥涵工程量</w:t>
            </w:r>
            <w:r w:rsidRPr="00EC0A76">
              <w:rPr>
                <w:rFonts w:ascii="仿宋_GB2312" w:hAnsi="仿宋_GB2312" w:cs="仿宋_GB2312" w:hint="eastAsia"/>
                <w:bCs/>
                <w:sz w:val="24"/>
                <w:szCs w:val="24"/>
              </w:rPr>
              <w:lastRenderedPageBreak/>
              <w:t>清单报价编制</w:t>
            </w:r>
            <w:r w:rsidRPr="00EC0A76">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8</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目标2、3</w:t>
            </w:r>
          </w:p>
        </w:tc>
      </w:tr>
      <w:tr w:rsidR="00CD00D2" w:rsidRPr="00EC0A7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6</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内容：第六章</w:t>
            </w:r>
            <w:r w:rsidRPr="00EC0A76">
              <w:rPr>
                <w:rFonts w:ascii="仿宋_GB2312" w:hAnsi="仿宋_GB2312" w:cs="仿宋_GB2312" w:hint="eastAsia"/>
                <w:bCs/>
                <w:sz w:val="24"/>
                <w:szCs w:val="24"/>
              </w:rPr>
              <w:t>管道工程量清单计价</w:t>
            </w:r>
          </w:p>
          <w:p w:rsidR="00CD00D2" w:rsidRPr="00EC0A76" w:rsidRDefault="00CD00D2" w:rsidP="00CD00D2">
            <w:pPr>
              <w:pStyle w:val="TableParagraph"/>
              <w:spacing w:before="3" w:line="242" w:lineRule="auto"/>
              <w:ind w:right="93"/>
              <w:rPr>
                <w:rFonts w:ascii="仿宋_GB2312" w:eastAsia="仿宋_GB2312" w:hAnsi="仿宋_GB2312" w:cs="仿宋_GB2312"/>
                <w:bCs/>
                <w:sz w:val="24"/>
                <w:szCs w:val="24"/>
                <w:lang w:val="en-US" w:bidi="ar-SA"/>
              </w:rPr>
            </w:pPr>
            <w:r w:rsidRPr="00EC0A76">
              <w:rPr>
                <w:rFonts w:ascii="仿宋_GB2312" w:eastAsia="仿宋_GB2312" w:hAnsi="仿宋_GB2312" w:cs="仿宋_GB2312"/>
                <w:bCs/>
                <w:sz w:val="24"/>
                <w:szCs w:val="24"/>
                <w:lang w:val="en-US" w:bidi="ar-SA"/>
              </w:rPr>
              <w:t>重点：管道工程的基础知识以及市政管网工程量清单的编制</w:t>
            </w:r>
            <w:r w:rsidRPr="00EC0A76">
              <w:rPr>
                <w:rFonts w:ascii="仿宋_GB2312" w:eastAsia="仿宋_GB2312" w:hAnsi="仿宋_GB2312" w:cs="仿宋_GB2312" w:hint="eastAsia"/>
                <w:bCs/>
                <w:sz w:val="24"/>
                <w:szCs w:val="24"/>
                <w:lang w:val="en-US" w:bidi="ar-SA"/>
              </w:rPr>
              <w:t>.</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难点：</w:t>
            </w:r>
            <w:r w:rsidRPr="00EC0A76">
              <w:rPr>
                <w:rFonts w:ascii="仿宋_GB2312" w:hAnsi="仿宋_GB2312" w:cs="仿宋_GB2312" w:hint="eastAsia"/>
                <w:bCs/>
                <w:sz w:val="24"/>
                <w:szCs w:val="24"/>
              </w:rPr>
              <w:t>组价。</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pStyle w:val="21"/>
              <w:ind w:firstLineChars="0" w:firstLine="0"/>
              <w:rPr>
                <w:rFonts w:ascii="仿宋_GB2312" w:hAnsi="仿宋_GB2312" w:cs="仿宋_GB2312"/>
                <w:bCs/>
                <w:sz w:val="24"/>
                <w:szCs w:val="24"/>
              </w:rPr>
            </w:pPr>
            <w:r w:rsidRPr="00EC0A76">
              <w:rPr>
                <w:rFonts w:ascii="仿宋_GB2312" w:hAnsi="仿宋_GB2312" w:cs="仿宋_GB2312"/>
                <w:bCs/>
                <w:sz w:val="24"/>
                <w:szCs w:val="24"/>
              </w:rPr>
              <w:t>1.</w:t>
            </w:r>
            <w:r w:rsidRPr="00EC0A76">
              <w:rPr>
                <w:rFonts w:ascii="仿宋_GB2312" w:hAnsi="仿宋_GB2312" w:cs="仿宋_GB2312" w:hint="eastAsia"/>
                <w:bCs/>
                <w:sz w:val="24"/>
                <w:szCs w:val="24"/>
              </w:rPr>
              <w:t>了解管道工程基本知识</w:t>
            </w:r>
          </w:p>
          <w:p w:rsidR="00CD00D2" w:rsidRPr="00EC0A76" w:rsidRDefault="00CD00D2" w:rsidP="00CD00D2">
            <w:pPr>
              <w:pStyle w:val="21"/>
              <w:ind w:firstLineChars="0" w:firstLine="0"/>
              <w:rPr>
                <w:rFonts w:ascii="仿宋_GB2312" w:hAnsi="仿宋_GB2312" w:cs="仿宋_GB2312"/>
                <w:bCs/>
                <w:sz w:val="24"/>
                <w:szCs w:val="24"/>
              </w:rPr>
            </w:pPr>
            <w:r w:rsidRPr="00EC0A76">
              <w:rPr>
                <w:rFonts w:ascii="仿宋_GB2312" w:hAnsi="仿宋_GB2312" w:cs="仿宋_GB2312"/>
                <w:bCs/>
                <w:sz w:val="24"/>
                <w:szCs w:val="24"/>
              </w:rPr>
              <w:t>2.</w:t>
            </w:r>
            <w:r w:rsidRPr="00EC0A76">
              <w:rPr>
                <w:rFonts w:ascii="仿宋_GB2312" w:hAnsi="仿宋_GB2312" w:cs="仿宋_GB2312" w:hint="eastAsia"/>
                <w:bCs/>
                <w:sz w:val="24"/>
                <w:szCs w:val="24"/>
              </w:rPr>
              <w:t xml:space="preserve"> 掌握管道工程量清单编制</w:t>
            </w:r>
            <w:r w:rsidRPr="00EC0A76">
              <w:rPr>
                <w:rFonts w:ascii="仿宋_GB2312" w:hAnsi="仿宋_GB2312" w:cs="仿宋_GB2312"/>
                <w:bCs/>
                <w:sz w:val="24"/>
                <w:szCs w:val="24"/>
              </w:rPr>
              <w:t>。</w:t>
            </w:r>
          </w:p>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3.</w:t>
            </w:r>
            <w:r w:rsidRPr="00EC0A76">
              <w:rPr>
                <w:rFonts w:ascii="仿宋_GB2312" w:hAnsi="仿宋_GB2312" w:cs="仿宋_GB2312" w:hint="eastAsia"/>
                <w:bCs/>
                <w:sz w:val="24"/>
                <w:szCs w:val="24"/>
              </w:rPr>
              <w:t>掌握管道工程量清单报价编制</w:t>
            </w:r>
            <w:r w:rsidRPr="00EC0A76">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目标3</w:t>
            </w:r>
          </w:p>
        </w:tc>
      </w:tr>
    </w:tbl>
    <w:p w:rsidR="00CD00D2" w:rsidRPr="00EC0A76" w:rsidRDefault="00CD00D2" w:rsidP="00CD00D2">
      <w:pPr>
        <w:keepNext/>
        <w:spacing w:beforeLines="100" w:before="312" w:afterLines="50" w:after="156" w:line="360" w:lineRule="exact"/>
        <w:outlineLvl w:val="0"/>
        <w:rPr>
          <w:rFonts w:ascii="仿宋" w:eastAsia="仿宋" w:hAnsi="仿宋"/>
          <w:b/>
          <w:sz w:val="28"/>
          <w:szCs w:val="28"/>
        </w:rPr>
      </w:pPr>
      <w:r w:rsidRPr="00EC0A76">
        <w:rPr>
          <w:rFonts w:ascii="仿宋" w:eastAsia="仿宋" w:hAnsi="仿宋"/>
          <w:b/>
          <w:sz w:val="28"/>
          <w:szCs w:val="28"/>
        </w:rPr>
        <w:t>课内实践教学内容及要求</w:t>
      </w:r>
    </w:p>
    <w:p w:rsidR="00CD00D2" w:rsidRPr="00EC0A76" w:rsidRDefault="00CD00D2" w:rsidP="00CD00D2">
      <w:pPr>
        <w:adjustRightInd w:val="0"/>
        <w:snapToGrid w:val="0"/>
        <w:spacing w:line="360" w:lineRule="exact"/>
        <w:rPr>
          <w:rFonts w:ascii="Times New Roman" w:hAnsi="Times New Roman"/>
          <w:sz w:val="28"/>
          <w:szCs w:val="28"/>
        </w:rPr>
      </w:pPr>
      <w:r w:rsidRPr="00EC0A76">
        <w:rPr>
          <w:rFonts w:ascii="Times New Roman" w:hAnsi="Times New Roman"/>
          <w:sz w:val="28"/>
          <w:szCs w:val="28"/>
        </w:rPr>
        <w:t>无</w:t>
      </w:r>
    </w:p>
    <w:p w:rsidR="00CD00D2" w:rsidRPr="00EC0A76" w:rsidRDefault="00CD00D2" w:rsidP="00CD00D2">
      <w:pPr>
        <w:keepNext/>
        <w:spacing w:beforeLines="100" w:before="312" w:afterLines="50" w:after="156" w:line="360" w:lineRule="exact"/>
        <w:outlineLvl w:val="0"/>
        <w:rPr>
          <w:rFonts w:ascii="仿宋" w:eastAsia="仿宋" w:hAnsi="仿宋"/>
          <w:b/>
          <w:sz w:val="28"/>
          <w:szCs w:val="28"/>
        </w:rPr>
      </w:pPr>
      <w:r w:rsidRPr="00EC0A76">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CD00D2" w:rsidTr="00CD00D2">
        <w:trPr>
          <w:trHeight w:val="454"/>
          <w:jc w:val="center"/>
        </w:trPr>
        <w:tc>
          <w:tcPr>
            <w:tcW w:w="1624" w:type="pct"/>
            <w:vMerge w:val="restart"/>
            <w:vAlign w:val="center"/>
          </w:tcPr>
          <w:p w:rsidR="00CD00D2" w:rsidRPr="00EC0A76" w:rsidRDefault="00CD00D2" w:rsidP="00EC0A76">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章  节</w:t>
            </w:r>
          </w:p>
        </w:tc>
        <w:tc>
          <w:tcPr>
            <w:tcW w:w="2937" w:type="pct"/>
            <w:gridSpan w:val="6"/>
            <w:vAlign w:val="center"/>
          </w:tcPr>
          <w:p w:rsidR="00CD00D2" w:rsidRPr="00EC0A76" w:rsidRDefault="00CD00D2" w:rsidP="00EC0A76">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学 时 分 配</w:t>
            </w:r>
          </w:p>
        </w:tc>
        <w:tc>
          <w:tcPr>
            <w:tcW w:w="439" w:type="pct"/>
            <w:vMerge w:val="restart"/>
            <w:vAlign w:val="center"/>
          </w:tcPr>
          <w:p w:rsidR="00CD00D2" w:rsidRPr="00EC0A76" w:rsidRDefault="00CD00D2" w:rsidP="00EC0A76">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合  计</w:t>
            </w:r>
          </w:p>
        </w:tc>
      </w:tr>
      <w:tr w:rsidR="00CD00D2" w:rsidTr="00CD00D2">
        <w:trPr>
          <w:trHeight w:val="454"/>
          <w:jc w:val="center"/>
        </w:trPr>
        <w:tc>
          <w:tcPr>
            <w:tcW w:w="1624" w:type="pct"/>
            <w:vMerge/>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讲  课</w:t>
            </w:r>
          </w:p>
        </w:tc>
        <w:tc>
          <w:tcPr>
            <w:tcW w:w="490" w:type="pct"/>
            <w:vAlign w:val="center"/>
          </w:tcPr>
          <w:p w:rsidR="00CD00D2" w:rsidRPr="00EC0A76" w:rsidRDefault="00CD00D2" w:rsidP="00EC0A76">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实验课</w:t>
            </w:r>
          </w:p>
        </w:tc>
        <w:tc>
          <w:tcPr>
            <w:tcW w:w="489" w:type="pct"/>
            <w:vAlign w:val="center"/>
          </w:tcPr>
          <w:p w:rsidR="00CD00D2" w:rsidRPr="00EC0A76" w:rsidRDefault="00CD00D2" w:rsidP="00EC0A76">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上机课</w:t>
            </w:r>
          </w:p>
        </w:tc>
        <w:tc>
          <w:tcPr>
            <w:tcW w:w="490" w:type="pct"/>
            <w:vAlign w:val="center"/>
          </w:tcPr>
          <w:p w:rsidR="00CD00D2" w:rsidRPr="00EC0A76" w:rsidRDefault="00CD00D2" w:rsidP="00EC0A76">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讨论课</w:t>
            </w:r>
          </w:p>
        </w:tc>
        <w:tc>
          <w:tcPr>
            <w:tcW w:w="489" w:type="pct"/>
            <w:vAlign w:val="center"/>
          </w:tcPr>
          <w:p w:rsidR="00CD00D2" w:rsidRPr="00EC0A76" w:rsidRDefault="00CD00D2" w:rsidP="00EC0A76">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习题课</w:t>
            </w:r>
          </w:p>
        </w:tc>
        <w:tc>
          <w:tcPr>
            <w:tcW w:w="490" w:type="pct"/>
            <w:vAlign w:val="center"/>
          </w:tcPr>
          <w:p w:rsidR="00CD00D2" w:rsidRPr="00EC0A76" w:rsidRDefault="00CD00D2" w:rsidP="00EC0A76">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其  它</w:t>
            </w:r>
          </w:p>
        </w:tc>
        <w:tc>
          <w:tcPr>
            <w:tcW w:w="439" w:type="pct"/>
            <w:vMerge/>
            <w:vAlign w:val="center"/>
          </w:tcPr>
          <w:p w:rsidR="00CD00D2" w:rsidRPr="00EC0A76" w:rsidRDefault="00CD00D2" w:rsidP="00EC0A76">
            <w:pPr>
              <w:spacing w:line="360" w:lineRule="exact"/>
              <w:jc w:val="center"/>
              <w:rPr>
                <w:rFonts w:ascii="仿宋_GB2312" w:hAnsi="仿宋_GB2312" w:cs="仿宋_GB2312"/>
                <w:bCs/>
                <w:sz w:val="24"/>
                <w:szCs w:val="24"/>
              </w:rPr>
            </w:pPr>
          </w:p>
        </w:tc>
      </w:tr>
      <w:tr w:rsidR="00CD00D2" w:rsidTr="00CD00D2">
        <w:trPr>
          <w:trHeight w:val="454"/>
          <w:jc w:val="center"/>
        </w:trPr>
        <w:tc>
          <w:tcPr>
            <w:tcW w:w="1624"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第一章</w:t>
            </w: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6</w:t>
            </w: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3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6</w:t>
            </w:r>
          </w:p>
        </w:tc>
      </w:tr>
      <w:tr w:rsidR="00CD00D2" w:rsidTr="00CD00D2">
        <w:trPr>
          <w:trHeight w:val="454"/>
          <w:jc w:val="center"/>
        </w:trPr>
        <w:tc>
          <w:tcPr>
            <w:tcW w:w="1624"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第二章</w:t>
            </w: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4</w:t>
            </w: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3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4</w:t>
            </w:r>
          </w:p>
        </w:tc>
      </w:tr>
      <w:tr w:rsidR="00CD00D2" w:rsidTr="00CD00D2">
        <w:trPr>
          <w:trHeight w:val="454"/>
          <w:jc w:val="center"/>
        </w:trPr>
        <w:tc>
          <w:tcPr>
            <w:tcW w:w="1624"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第三章</w:t>
            </w: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4</w:t>
            </w: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3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4</w:t>
            </w:r>
          </w:p>
        </w:tc>
      </w:tr>
      <w:tr w:rsidR="00CD00D2" w:rsidTr="00CD00D2">
        <w:trPr>
          <w:trHeight w:val="454"/>
          <w:jc w:val="center"/>
        </w:trPr>
        <w:tc>
          <w:tcPr>
            <w:tcW w:w="1624"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第四章</w:t>
            </w: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8</w:t>
            </w: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3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8</w:t>
            </w:r>
          </w:p>
        </w:tc>
      </w:tr>
      <w:tr w:rsidR="00CD00D2" w:rsidTr="00CD00D2">
        <w:trPr>
          <w:trHeight w:val="454"/>
          <w:jc w:val="center"/>
        </w:trPr>
        <w:tc>
          <w:tcPr>
            <w:tcW w:w="1624"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第五章</w:t>
            </w: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8</w:t>
            </w: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3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8</w:t>
            </w:r>
          </w:p>
        </w:tc>
      </w:tr>
      <w:tr w:rsidR="00CD00D2" w:rsidTr="00CD00D2">
        <w:trPr>
          <w:trHeight w:val="454"/>
          <w:jc w:val="center"/>
        </w:trPr>
        <w:tc>
          <w:tcPr>
            <w:tcW w:w="1624"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第六章</w:t>
            </w: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2</w:t>
            </w: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3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2</w:t>
            </w:r>
          </w:p>
        </w:tc>
      </w:tr>
      <w:tr w:rsidR="00CD00D2" w:rsidTr="00CD00D2">
        <w:trPr>
          <w:trHeight w:val="454"/>
          <w:jc w:val="center"/>
        </w:trPr>
        <w:tc>
          <w:tcPr>
            <w:tcW w:w="1624"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共  计</w:t>
            </w: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32</w:t>
            </w: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89"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90" w:type="pct"/>
            <w:vAlign w:val="center"/>
          </w:tcPr>
          <w:p w:rsidR="00CD00D2" w:rsidRPr="00EC0A76" w:rsidRDefault="00CD00D2" w:rsidP="00EC0A76">
            <w:pPr>
              <w:spacing w:line="360" w:lineRule="exact"/>
              <w:jc w:val="center"/>
              <w:rPr>
                <w:rFonts w:ascii="仿宋_GB2312" w:hAnsi="仿宋_GB2312" w:cs="仿宋_GB2312"/>
                <w:bCs/>
                <w:sz w:val="24"/>
                <w:szCs w:val="24"/>
              </w:rPr>
            </w:pPr>
          </w:p>
        </w:tc>
        <w:tc>
          <w:tcPr>
            <w:tcW w:w="439" w:type="pct"/>
            <w:vAlign w:val="center"/>
          </w:tcPr>
          <w:p w:rsidR="00CD00D2" w:rsidRPr="00EC0A76" w:rsidRDefault="00CD00D2" w:rsidP="00EC0A76">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32</w:t>
            </w:r>
          </w:p>
        </w:tc>
      </w:tr>
    </w:tbl>
    <w:p w:rsidR="00CD00D2" w:rsidRPr="00EC0A76" w:rsidRDefault="00CD00D2" w:rsidP="00CD00D2">
      <w:pPr>
        <w:keepNext/>
        <w:spacing w:beforeLines="100" w:before="312" w:afterLines="50" w:after="156" w:line="360" w:lineRule="exact"/>
        <w:outlineLvl w:val="0"/>
        <w:rPr>
          <w:rFonts w:ascii="仿宋" w:eastAsia="仿宋" w:hAnsi="仿宋"/>
          <w:b/>
          <w:sz w:val="28"/>
          <w:szCs w:val="28"/>
        </w:rPr>
      </w:pPr>
      <w:r w:rsidRPr="00EC0A76">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930"/>
        <w:gridCol w:w="3217"/>
      </w:tblGrid>
      <w:tr w:rsidR="00CD00D2" w:rsidTr="00CD00D2">
        <w:trPr>
          <w:trHeight w:val="454"/>
          <w:jc w:val="center"/>
        </w:trPr>
        <w:tc>
          <w:tcPr>
            <w:tcW w:w="343" w:type="pct"/>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序号</w:t>
            </w:r>
          </w:p>
        </w:tc>
        <w:tc>
          <w:tcPr>
            <w:tcW w:w="1555" w:type="pct"/>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课程思政教学目标</w:t>
            </w:r>
          </w:p>
        </w:tc>
        <w:tc>
          <w:tcPr>
            <w:tcW w:w="1163" w:type="pct"/>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授课章节</w:t>
            </w:r>
          </w:p>
        </w:tc>
        <w:tc>
          <w:tcPr>
            <w:tcW w:w="1939" w:type="pct"/>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课程思政融入点（至少5处）</w:t>
            </w:r>
          </w:p>
        </w:tc>
      </w:tr>
      <w:tr w:rsidR="00CD00D2" w:rsidTr="00CD00D2">
        <w:trPr>
          <w:trHeight w:val="454"/>
          <w:jc w:val="center"/>
        </w:trPr>
        <w:tc>
          <w:tcPr>
            <w:tcW w:w="343"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1</w:t>
            </w:r>
          </w:p>
        </w:tc>
        <w:tc>
          <w:tcPr>
            <w:tcW w:w="1555"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正确政治导向</w:t>
            </w:r>
          </w:p>
        </w:tc>
        <w:tc>
          <w:tcPr>
            <w:tcW w:w="1163"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第一章</w:t>
            </w:r>
          </w:p>
        </w:tc>
        <w:tc>
          <w:tcPr>
            <w:tcW w:w="1939" w:type="pct"/>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强调责任感和主人翁意识，明确课程学习目标、专业发展目标。</w:t>
            </w:r>
          </w:p>
        </w:tc>
      </w:tr>
      <w:tr w:rsidR="00CD00D2" w:rsidTr="00CD00D2">
        <w:trPr>
          <w:trHeight w:val="454"/>
          <w:jc w:val="center"/>
        </w:trPr>
        <w:tc>
          <w:tcPr>
            <w:tcW w:w="343"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lastRenderedPageBreak/>
              <w:t>2</w:t>
            </w:r>
          </w:p>
        </w:tc>
        <w:tc>
          <w:tcPr>
            <w:tcW w:w="1555"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社会主义核心价值观教育</w:t>
            </w:r>
          </w:p>
        </w:tc>
        <w:tc>
          <w:tcPr>
            <w:tcW w:w="1163"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第二章</w:t>
            </w:r>
          </w:p>
        </w:tc>
        <w:tc>
          <w:tcPr>
            <w:tcW w:w="1939" w:type="pct"/>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开阔学生视野，进行爱国教育、增强民族荣誉感、职业自豪感。</w:t>
            </w:r>
          </w:p>
        </w:tc>
      </w:tr>
      <w:tr w:rsidR="00CD00D2" w:rsidTr="00CD00D2">
        <w:trPr>
          <w:trHeight w:val="454"/>
          <w:jc w:val="center"/>
        </w:trPr>
        <w:tc>
          <w:tcPr>
            <w:tcW w:w="343"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3</w:t>
            </w:r>
          </w:p>
        </w:tc>
        <w:tc>
          <w:tcPr>
            <w:tcW w:w="1555"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远大理想塑造</w:t>
            </w:r>
          </w:p>
        </w:tc>
        <w:tc>
          <w:tcPr>
            <w:tcW w:w="1163"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第三~六章</w:t>
            </w:r>
          </w:p>
        </w:tc>
        <w:tc>
          <w:tcPr>
            <w:tcW w:w="1939" w:type="pct"/>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培养学生良好学习习惯，勤动脑多练习，细心、细致的鲁班精神。</w:t>
            </w:r>
          </w:p>
        </w:tc>
      </w:tr>
      <w:tr w:rsidR="00CD00D2" w:rsidTr="00CD00D2">
        <w:trPr>
          <w:trHeight w:val="454"/>
          <w:jc w:val="center"/>
        </w:trPr>
        <w:tc>
          <w:tcPr>
            <w:tcW w:w="343"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4</w:t>
            </w:r>
          </w:p>
        </w:tc>
        <w:tc>
          <w:tcPr>
            <w:tcW w:w="1555"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健康心态培育</w:t>
            </w:r>
          </w:p>
        </w:tc>
        <w:tc>
          <w:tcPr>
            <w:tcW w:w="1163"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第三~六章</w:t>
            </w:r>
          </w:p>
        </w:tc>
        <w:tc>
          <w:tcPr>
            <w:tcW w:w="1939" w:type="pct"/>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通过案例，强调正确价值观，及时关注行业信息，培养认真细致、守时守约职业精神。</w:t>
            </w:r>
          </w:p>
        </w:tc>
      </w:tr>
      <w:tr w:rsidR="00CD00D2" w:rsidTr="00CD00D2">
        <w:trPr>
          <w:trHeight w:val="454"/>
          <w:jc w:val="center"/>
        </w:trPr>
        <w:tc>
          <w:tcPr>
            <w:tcW w:w="343"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5</w:t>
            </w:r>
          </w:p>
        </w:tc>
        <w:tc>
          <w:tcPr>
            <w:tcW w:w="1555"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道德品质培养</w:t>
            </w:r>
          </w:p>
        </w:tc>
        <w:tc>
          <w:tcPr>
            <w:tcW w:w="1163" w:type="pct"/>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第一~六章</w:t>
            </w:r>
          </w:p>
        </w:tc>
        <w:tc>
          <w:tcPr>
            <w:tcW w:w="1939" w:type="pct"/>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让学生深刻理解“鲁班精神”，培养有社会责任感、正确价值观、利益观和强烈伦理道德意识、善于观察、勤于动脑、勇于实践、勇于创新、吃苦耐劳的适应行业发展的技术技能型人才。</w:t>
            </w:r>
          </w:p>
        </w:tc>
      </w:tr>
    </w:tbl>
    <w:p w:rsidR="00EC0A76" w:rsidRDefault="00EC0A76" w:rsidP="00EC0A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D00D2" w:rsidRPr="00EC0A76" w:rsidRDefault="00CD00D2" w:rsidP="00EC0A76">
      <w:pPr>
        <w:spacing w:line="360" w:lineRule="auto"/>
        <w:ind w:firstLine="331"/>
        <w:rPr>
          <w:rFonts w:ascii="仿宋_GB2312" w:hAnsi="仿宋_GB2312" w:cs="仿宋_GB2312"/>
          <w:bCs/>
          <w:sz w:val="28"/>
          <w:szCs w:val="28"/>
        </w:rPr>
      </w:pPr>
      <w:r w:rsidRPr="00EC0A76">
        <w:rPr>
          <w:rFonts w:ascii="仿宋_GB2312" w:hAnsi="仿宋_GB2312" w:cs="仿宋_GB2312"/>
          <w:bCs/>
          <w:sz w:val="28"/>
          <w:szCs w:val="28"/>
        </w:rPr>
        <w:t>（1）考核方式</w:t>
      </w:r>
    </w:p>
    <w:p w:rsidR="00CD00D2" w:rsidRPr="00EC0A76" w:rsidRDefault="00CD00D2" w:rsidP="00EC0A76">
      <w:pPr>
        <w:spacing w:line="360" w:lineRule="auto"/>
        <w:ind w:firstLine="331"/>
        <w:rPr>
          <w:rFonts w:ascii="仿宋_GB2312" w:hAnsi="仿宋_GB2312" w:cs="仿宋_GB2312"/>
          <w:bCs/>
          <w:sz w:val="28"/>
          <w:szCs w:val="28"/>
        </w:rPr>
      </w:pPr>
      <w:r w:rsidRPr="00EC0A76">
        <w:rPr>
          <w:rFonts w:ascii="仿宋_GB2312" w:hAnsi="仿宋_GB2312" w:cs="仿宋_GB2312"/>
          <w:bCs/>
          <w:sz w:val="28"/>
          <w:szCs w:val="28"/>
        </w:rPr>
        <w:t>本课程考核方式为考试，其中期末考核方式为非标准答案考试，过程考核方式为课堂出勤、作业完成情况等。</w:t>
      </w:r>
    </w:p>
    <w:p w:rsidR="00CD00D2" w:rsidRPr="00EC0A76" w:rsidRDefault="00CD00D2" w:rsidP="00EC0A76">
      <w:pPr>
        <w:spacing w:line="360" w:lineRule="auto"/>
        <w:ind w:firstLine="331"/>
        <w:rPr>
          <w:rFonts w:ascii="仿宋_GB2312" w:hAnsi="仿宋_GB2312" w:cs="仿宋_GB2312"/>
          <w:bCs/>
          <w:sz w:val="28"/>
          <w:szCs w:val="28"/>
        </w:rPr>
      </w:pPr>
      <w:r w:rsidRPr="00EC0A76">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881"/>
        <w:gridCol w:w="672"/>
        <w:gridCol w:w="672"/>
        <w:gridCol w:w="672"/>
        <w:gridCol w:w="672"/>
        <w:gridCol w:w="672"/>
        <w:gridCol w:w="677"/>
        <w:gridCol w:w="656"/>
        <w:gridCol w:w="667"/>
      </w:tblGrid>
      <w:tr w:rsidR="00CD00D2" w:rsidTr="00CD00D2">
        <w:trPr>
          <w:trHeight w:val="454"/>
          <w:jc w:val="center"/>
        </w:trPr>
        <w:tc>
          <w:tcPr>
            <w:tcW w:w="396" w:type="pct"/>
            <w:vMerge w:val="restart"/>
            <w:tcBorders>
              <w:top w:val="single" w:sz="4" w:space="0" w:color="000000"/>
              <w:left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课程</w:t>
            </w:r>
          </w:p>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目标</w:t>
            </w:r>
          </w:p>
        </w:tc>
        <w:tc>
          <w:tcPr>
            <w:tcW w:w="3956" w:type="pct"/>
            <w:gridSpan w:val="8"/>
            <w:tcBorders>
              <w:top w:val="single" w:sz="4" w:space="0" w:color="000000"/>
              <w:left w:val="single" w:sz="4" w:space="0" w:color="auto"/>
              <w:bottom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考核方式及成绩比例（%）</w:t>
            </w:r>
          </w:p>
        </w:tc>
      </w:tr>
      <w:tr w:rsidR="00CD00D2" w:rsidTr="00CD00D2">
        <w:trPr>
          <w:trHeight w:val="454"/>
          <w:jc w:val="center"/>
        </w:trPr>
        <w:tc>
          <w:tcPr>
            <w:tcW w:w="396" w:type="pct"/>
            <w:vMerge/>
            <w:tcBorders>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p>
        </w:tc>
        <w:tc>
          <w:tcPr>
            <w:tcW w:w="496" w:type="pct"/>
            <w:tcBorders>
              <w:top w:val="single" w:sz="4" w:space="0" w:color="auto"/>
              <w:left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考勤</w:t>
            </w:r>
          </w:p>
        </w:tc>
        <w:tc>
          <w:tcPr>
            <w:tcW w:w="496" w:type="pct"/>
            <w:tcBorders>
              <w:top w:val="single" w:sz="4" w:space="0" w:color="auto"/>
              <w:left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作业</w:t>
            </w:r>
          </w:p>
        </w:tc>
        <w:tc>
          <w:tcPr>
            <w:tcW w:w="496" w:type="pct"/>
            <w:tcBorders>
              <w:top w:val="single" w:sz="4" w:space="0" w:color="auto"/>
              <w:left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讨论</w:t>
            </w:r>
          </w:p>
        </w:tc>
        <w:tc>
          <w:tcPr>
            <w:tcW w:w="496" w:type="pct"/>
            <w:tcBorders>
              <w:top w:val="single" w:sz="4" w:space="0" w:color="auto"/>
              <w:left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实验</w:t>
            </w:r>
          </w:p>
        </w:tc>
        <w:tc>
          <w:tcPr>
            <w:tcW w:w="496" w:type="pct"/>
            <w:tcBorders>
              <w:top w:val="single" w:sz="4" w:space="0" w:color="auto"/>
              <w:left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测验</w:t>
            </w:r>
          </w:p>
        </w:tc>
        <w:tc>
          <w:tcPr>
            <w:tcW w:w="499" w:type="pct"/>
            <w:tcBorders>
              <w:top w:val="single" w:sz="4" w:space="0" w:color="auto"/>
              <w:left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考试</w:t>
            </w:r>
          </w:p>
        </w:tc>
        <w:tc>
          <w:tcPr>
            <w:tcW w:w="484" w:type="pct"/>
            <w:tcBorders>
              <w:top w:val="single" w:sz="4" w:space="0" w:color="auto"/>
              <w:left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w:t>
            </w:r>
          </w:p>
        </w:tc>
        <w:tc>
          <w:tcPr>
            <w:tcW w:w="492" w:type="pct"/>
            <w:tcBorders>
              <w:top w:val="single" w:sz="4" w:space="0" w:color="auto"/>
              <w:left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合计</w:t>
            </w:r>
          </w:p>
        </w:tc>
      </w:tr>
      <w:tr w:rsidR="00CD00D2"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目标1</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3</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15</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15</w:t>
            </w:r>
          </w:p>
        </w:tc>
        <w:tc>
          <w:tcPr>
            <w:tcW w:w="484"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33</w:t>
            </w:r>
          </w:p>
        </w:tc>
      </w:tr>
      <w:tr w:rsidR="00CD00D2"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目标2</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6</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2</w:t>
            </w:r>
            <w:r w:rsidRPr="00EC0A76">
              <w:rPr>
                <w:rFonts w:ascii="仿宋_GB2312" w:hAnsi="仿宋_GB2312" w:cs="仿宋_GB2312"/>
                <w:bCs/>
                <w:sz w:val="24"/>
                <w:szCs w:val="24"/>
              </w:rPr>
              <w:t>5</w:t>
            </w:r>
          </w:p>
        </w:tc>
        <w:tc>
          <w:tcPr>
            <w:tcW w:w="484"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3</w:t>
            </w:r>
            <w:r w:rsidRPr="00EC0A76">
              <w:rPr>
                <w:rFonts w:ascii="仿宋_GB2312" w:hAnsi="仿宋_GB2312" w:cs="仿宋_GB2312" w:hint="eastAsia"/>
                <w:bCs/>
                <w:sz w:val="24"/>
                <w:szCs w:val="24"/>
              </w:rPr>
              <w:t>1</w:t>
            </w:r>
          </w:p>
        </w:tc>
      </w:tr>
      <w:tr w:rsidR="00CD00D2"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目标3</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6</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30</w:t>
            </w:r>
          </w:p>
        </w:tc>
        <w:tc>
          <w:tcPr>
            <w:tcW w:w="484"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36</w:t>
            </w:r>
          </w:p>
        </w:tc>
      </w:tr>
      <w:tr w:rsidR="00CD00D2" w:rsidRPr="00EC0A76" w:rsidTr="00CD00D2">
        <w:trPr>
          <w:trHeight w:val="454"/>
          <w:jc w:val="center"/>
        </w:trPr>
        <w:tc>
          <w:tcPr>
            <w:tcW w:w="1044" w:type="pct"/>
            <w:gridSpan w:val="2"/>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共计</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15</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1</w:t>
            </w:r>
            <w:r w:rsidRPr="00EC0A76">
              <w:rPr>
                <w:rFonts w:ascii="仿宋_GB2312" w:hAnsi="仿宋_GB2312" w:cs="仿宋_GB2312" w:hint="eastAsia"/>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70</w:t>
            </w:r>
          </w:p>
        </w:tc>
        <w:tc>
          <w:tcPr>
            <w:tcW w:w="484"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100</w:t>
            </w:r>
          </w:p>
        </w:tc>
      </w:tr>
    </w:tbl>
    <w:p w:rsidR="00CD00D2" w:rsidRPr="00EC0A76" w:rsidRDefault="00CD00D2" w:rsidP="00CD00D2">
      <w:pPr>
        <w:adjustRightInd w:val="0"/>
        <w:snapToGrid w:val="0"/>
        <w:spacing w:line="360" w:lineRule="exact"/>
        <w:ind w:firstLineChars="200" w:firstLine="560"/>
        <w:rPr>
          <w:rFonts w:ascii="仿宋_GB2312" w:hAnsi="仿宋_GB2312" w:cs="仿宋_GB2312"/>
          <w:bCs/>
          <w:sz w:val="28"/>
          <w:szCs w:val="28"/>
        </w:rPr>
      </w:pPr>
      <w:r w:rsidRPr="00EC0A76">
        <w:rPr>
          <w:rFonts w:ascii="仿宋_GB2312" w:hAnsi="仿宋_GB2312" w:cs="仿宋_GB2312" w:hint="eastAsia"/>
          <w:bCs/>
          <w:sz w:val="28"/>
          <w:szCs w:val="28"/>
        </w:rPr>
        <w:t>（3）考核（评价）要求：</w:t>
      </w:r>
      <w:r w:rsidRPr="00EC0A76">
        <w:rPr>
          <w:rFonts w:ascii="仿宋_GB2312" w:hAnsi="仿宋_GB2312" w:cs="仿宋_GB2312"/>
          <w:bCs/>
          <w:sz w:val="28"/>
          <w:szCs w:val="28"/>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51"/>
        <w:gridCol w:w="951"/>
        <w:gridCol w:w="4782"/>
        <w:gridCol w:w="1042"/>
      </w:tblGrid>
      <w:tr w:rsidR="00CD00D2" w:rsidTr="00CD00D2">
        <w:trPr>
          <w:trHeight w:val="454"/>
          <w:jc w:val="center"/>
        </w:trPr>
        <w:tc>
          <w:tcPr>
            <w:tcW w:w="344" w:type="pct"/>
            <w:tcBorders>
              <w:top w:val="single" w:sz="4" w:space="0" w:color="000000"/>
              <w:left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hint="eastAsia"/>
                <w:b/>
                <w:bCs/>
                <w:sz w:val="24"/>
                <w:szCs w:val="24"/>
              </w:rPr>
              <w:t>目标分值</w:t>
            </w:r>
          </w:p>
        </w:tc>
        <w:tc>
          <w:tcPr>
            <w:tcW w:w="2882" w:type="pct"/>
            <w:tcBorders>
              <w:top w:val="single" w:sz="4" w:space="0" w:color="000000"/>
              <w:left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CD00D2" w:rsidRPr="00EC0A76" w:rsidRDefault="00CD00D2" w:rsidP="00CD00D2">
            <w:pPr>
              <w:spacing w:line="360" w:lineRule="exact"/>
              <w:jc w:val="center"/>
              <w:rPr>
                <w:rFonts w:ascii="仿宋_GB2312" w:hAnsi="仿宋_GB2312" w:cs="仿宋_GB2312"/>
                <w:b/>
                <w:bCs/>
                <w:sz w:val="24"/>
                <w:szCs w:val="24"/>
              </w:rPr>
            </w:pPr>
            <w:r w:rsidRPr="00EC0A76">
              <w:rPr>
                <w:rFonts w:ascii="仿宋_GB2312" w:hAnsi="仿宋_GB2312" w:cs="仿宋_GB2312"/>
                <w:b/>
                <w:bCs/>
                <w:sz w:val="24"/>
                <w:szCs w:val="24"/>
              </w:rPr>
              <w:t>支撑课程教学</w:t>
            </w:r>
            <w:r w:rsidRPr="00EC0A76">
              <w:rPr>
                <w:rFonts w:ascii="仿宋_GB2312" w:hAnsi="仿宋_GB2312" w:cs="仿宋_GB2312"/>
                <w:b/>
                <w:bCs/>
                <w:sz w:val="24"/>
                <w:szCs w:val="24"/>
              </w:rPr>
              <w:lastRenderedPageBreak/>
              <w:t>目标</w:t>
            </w:r>
          </w:p>
        </w:tc>
      </w:tr>
      <w:tr w:rsidR="00CD00D2" w:rsidTr="00CD00D2">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lastRenderedPageBreak/>
              <w:t>1</w:t>
            </w:r>
          </w:p>
        </w:tc>
        <w:tc>
          <w:tcPr>
            <w:tcW w:w="573"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hint="eastAsia"/>
                <w:bCs/>
                <w:sz w:val="24"/>
                <w:szCs w:val="24"/>
              </w:rPr>
              <w:t>出勤统计不少于授课次数的2/3；通过出勤统计结果考核学生学习态度和遵守课堂纪律等基本情况。</w:t>
            </w:r>
            <w:r w:rsidRPr="00EC0A76">
              <w:rPr>
                <w:rFonts w:ascii="仿宋_GB2312" w:hAnsi="仿宋_GB2312" w:cs="仿宋_GB2312"/>
                <w:bCs/>
                <w:sz w:val="24"/>
                <w:szCs w:val="24"/>
              </w:rPr>
              <w:t xml:space="preserve"> </w:t>
            </w:r>
          </w:p>
        </w:tc>
        <w:tc>
          <w:tcPr>
            <w:tcW w:w="628"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目标</w:t>
            </w:r>
            <w:r w:rsidRPr="00EC0A76">
              <w:rPr>
                <w:rFonts w:ascii="仿宋_GB2312" w:hAnsi="仿宋_GB2312" w:cs="仿宋_GB2312" w:hint="eastAsia"/>
                <w:bCs/>
                <w:sz w:val="24"/>
                <w:szCs w:val="24"/>
              </w:rPr>
              <w:t>1</w:t>
            </w:r>
          </w:p>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目标2</w:t>
            </w:r>
          </w:p>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目标</w:t>
            </w:r>
            <w:r w:rsidRPr="00EC0A76">
              <w:rPr>
                <w:rFonts w:ascii="仿宋_GB2312" w:hAnsi="仿宋_GB2312" w:cs="仿宋_GB2312" w:hint="eastAsia"/>
                <w:bCs/>
                <w:sz w:val="24"/>
                <w:szCs w:val="24"/>
              </w:rPr>
              <w:t>3</w:t>
            </w:r>
          </w:p>
        </w:tc>
      </w:tr>
      <w:tr w:rsidR="00CD00D2" w:rsidTr="00CD00D2">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2</w:t>
            </w:r>
          </w:p>
        </w:tc>
        <w:tc>
          <w:tcPr>
            <w:tcW w:w="573"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bCs/>
                <w:sz w:val="24"/>
                <w:szCs w:val="24"/>
              </w:rPr>
              <w:t>课后作业</w:t>
            </w:r>
            <w:r w:rsidRPr="00EC0A76">
              <w:rPr>
                <w:rFonts w:ascii="仿宋_GB2312" w:hAnsi="仿宋_GB2312" w:cs="仿宋_GB2312" w:hint="eastAsia"/>
                <w:bCs/>
                <w:sz w:val="24"/>
                <w:szCs w:val="24"/>
              </w:rPr>
              <w:t>布置5次；通过课后作业考核学生对智慧运维基本概念的掌握情况。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目标1</w:t>
            </w:r>
          </w:p>
        </w:tc>
      </w:tr>
      <w:tr w:rsidR="00CD00D2" w:rsidTr="00CD00D2">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5</w:t>
            </w:r>
          </w:p>
        </w:tc>
        <w:tc>
          <w:tcPr>
            <w:tcW w:w="573" w:type="pct"/>
            <w:tcBorders>
              <w:top w:val="single" w:sz="4" w:space="0" w:color="000000"/>
              <w:left w:val="single" w:sz="4" w:space="0" w:color="000000"/>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left"/>
              <w:rPr>
                <w:rFonts w:ascii="仿宋_GB2312" w:hAnsi="仿宋_GB2312" w:cs="仿宋_GB2312"/>
                <w:bCs/>
                <w:sz w:val="24"/>
                <w:szCs w:val="24"/>
              </w:rPr>
            </w:pPr>
            <w:r w:rsidRPr="00EC0A76">
              <w:rPr>
                <w:rFonts w:ascii="仿宋_GB2312" w:hAnsi="仿宋_GB2312" w:cs="仿宋_GB2312" w:hint="eastAsia"/>
                <w:bCs/>
                <w:sz w:val="24"/>
                <w:szCs w:val="24"/>
              </w:rPr>
              <w:t>期末考试采用</w:t>
            </w:r>
            <w:r w:rsidRPr="00EC0A76">
              <w:rPr>
                <w:rFonts w:ascii="仿宋_GB2312" w:hAnsi="仿宋_GB2312" w:cs="仿宋_GB2312"/>
                <w:bCs/>
                <w:sz w:val="24"/>
                <w:szCs w:val="24"/>
              </w:rPr>
              <w:t>非标准答案考试</w:t>
            </w:r>
            <w:r w:rsidRPr="00EC0A76">
              <w:rPr>
                <w:rFonts w:ascii="仿宋_GB2312" w:hAnsi="仿宋_GB2312" w:cs="仿宋_GB2312" w:hint="eastAsia"/>
                <w:bCs/>
                <w:sz w:val="24"/>
                <w:szCs w:val="24"/>
              </w:rPr>
              <w:t>。考试范围基本涵盖所有讲授内容，考试内容主要反映学生对本课程主要概念的理解和掌握的程度，以及综合运用的能力。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目标</w:t>
            </w:r>
            <w:r w:rsidRPr="00EC0A76">
              <w:rPr>
                <w:rFonts w:ascii="仿宋_GB2312" w:hAnsi="仿宋_GB2312" w:cs="仿宋_GB2312" w:hint="eastAsia"/>
                <w:bCs/>
                <w:sz w:val="24"/>
                <w:szCs w:val="24"/>
              </w:rPr>
              <w:t>1</w:t>
            </w:r>
          </w:p>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hint="eastAsia"/>
                <w:bCs/>
                <w:sz w:val="24"/>
                <w:szCs w:val="24"/>
              </w:rPr>
              <w:t>目标2</w:t>
            </w:r>
          </w:p>
          <w:p w:rsidR="00CD00D2" w:rsidRPr="00EC0A76" w:rsidRDefault="00CD00D2" w:rsidP="00CD00D2">
            <w:pPr>
              <w:spacing w:line="360" w:lineRule="exact"/>
              <w:jc w:val="center"/>
              <w:rPr>
                <w:rFonts w:ascii="仿宋_GB2312" w:hAnsi="仿宋_GB2312" w:cs="仿宋_GB2312"/>
                <w:bCs/>
                <w:sz w:val="24"/>
                <w:szCs w:val="24"/>
              </w:rPr>
            </w:pPr>
            <w:r w:rsidRPr="00EC0A76">
              <w:rPr>
                <w:rFonts w:ascii="仿宋_GB2312" w:hAnsi="仿宋_GB2312" w:cs="仿宋_GB2312"/>
                <w:bCs/>
                <w:sz w:val="24"/>
                <w:szCs w:val="24"/>
              </w:rPr>
              <w:t>目标</w:t>
            </w:r>
            <w:r w:rsidRPr="00EC0A76">
              <w:rPr>
                <w:rFonts w:ascii="仿宋_GB2312" w:hAnsi="仿宋_GB2312" w:cs="仿宋_GB2312" w:hint="eastAsia"/>
                <w:bCs/>
                <w:sz w:val="24"/>
                <w:szCs w:val="24"/>
              </w:rPr>
              <w:t>3</w:t>
            </w:r>
          </w:p>
        </w:tc>
      </w:tr>
    </w:tbl>
    <w:p w:rsidR="00CD00D2" w:rsidRDefault="00CD00D2" w:rsidP="00CD00D2">
      <w:pPr>
        <w:adjustRightInd w:val="0"/>
        <w:snapToGrid w:val="0"/>
        <w:spacing w:line="360" w:lineRule="exact"/>
        <w:ind w:firstLineChars="200" w:firstLine="640"/>
        <w:rPr>
          <w:rFonts w:ascii="Times New Roman" w:hAnsi="Times New Roman"/>
        </w:rPr>
      </w:pPr>
    </w:p>
    <w:p w:rsidR="00EC0A76" w:rsidRDefault="00EC0A76" w:rsidP="00EC0A7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EC0A76" w:rsidRPr="00EC0A76" w:rsidRDefault="00EC0A76" w:rsidP="00EC0A76">
      <w:pPr>
        <w:spacing w:line="360" w:lineRule="auto"/>
        <w:ind w:leftChars="103" w:left="1779" w:hanging="1449"/>
        <w:rPr>
          <w:rFonts w:ascii="仿宋_GB2312" w:hAnsi="仿宋_GB2312" w:cs="仿宋_GB2312"/>
          <w:bCs/>
          <w:sz w:val="28"/>
          <w:szCs w:val="28"/>
        </w:rPr>
      </w:pPr>
      <w:r w:rsidRPr="00EC0A76">
        <w:rPr>
          <w:rFonts w:ascii="仿宋_GB2312" w:hAnsi="仿宋_GB2312" w:cs="仿宋_GB2312"/>
          <w:bCs/>
          <w:sz w:val="28"/>
          <w:szCs w:val="28"/>
        </w:rPr>
        <w:t>1. 教  材：《市政工程计量与计价》，</w:t>
      </w:r>
      <w:r w:rsidRPr="00EC0A76">
        <w:rPr>
          <w:rFonts w:ascii="仿宋_GB2312" w:hAnsi="仿宋_GB2312" w:cs="仿宋_GB2312" w:hint="eastAsia"/>
          <w:bCs/>
          <w:sz w:val="28"/>
          <w:szCs w:val="28"/>
        </w:rPr>
        <w:t>袁建新主编</w:t>
      </w:r>
      <w:r w:rsidRPr="00EC0A76">
        <w:rPr>
          <w:rFonts w:ascii="仿宋_GB2312" w:hAnsi="仿宋_GB2312" w:cs="仿宋_GB2312"/>
          <w:bCs/>
          <w:sz w:val="28"/>
          <w:szCs w:val="28"/>
        </w:rPr>
        <w:t>，中国建筑工业出版社，201</w:t>
      </w:r>
      <w:r w:rsidRPr="00EC0A76">
        <w:rPr>
          <w:rFonts w:ascii="仿宋_GB2312" w:hAnsi="仿宋_GB2312" w:cs="仿宋_GB2312" w:hint="eastAsia"/>
          <w:bCs/>
          <w:sz w:val="28"/>
          <w:szCs w:val="28"/>
        </w:rPr>
        <w:t>8</w:t>
      </w:r>
      <w:r w:rsidRPr="00EC0A76">
        <w:rPr>
          <w:rFonts w:ascii="仿宋_GB2312" w:hAnsi="仿宋_GB2312" w:cs="仿宋_GB2312"/>
          <w:bCs/>
          <w:sz w:val="28"/>
          <w:szCs w:val="28"/>
        </w:rPr>
        <w:t>年</w:t>
      </w:r>
      <w:r w:rsidRPr="00EC0A76">
        <w:rPr>
          <w:rFonts w:ascii="仿宋_GB2312" w:hAnsi="仿宋_GB2312" w:cs="仿宋_GB2312" w:hint="eastAsia"/>
          <w:bCs/>
          <w:sz w:val="28"/>
          <w:szCs w:val="28"/>
        </w:rPr>
        <w:t>8</w:t>
      </w:r>
      <w:r w:rsidRPr="00EC0A76">
        <w:rPr>
          <w:rFonts w:ascii="仿宋_GB2312" w:hAnsi="仿宋_GB2312" w:cs="仿宋_GB2312"/>
          <w:bCs/>
          <w:sz w:val="28"/>
          <w:szCs w:val="28"/>
        </w:rPr>
        <w:t>月</w:t>
      </w:r>
    </w:p>
    <w:p w:rsidR="00EC0A76" w:rsidRPr="00EC0A76" w:rsidRDefault="00EC0A76" w:rsidP="00EC0A76">
      <w:pPr>
        <w:spacing w:line="360" w:lineRule="auto"/>
        <w:ind w:leftChars="103" w:left="1779" w:hanging="1449"/>
        <w:rPr>
          <w:rFonts w:ascii="仿宋_GB2312" w:hAnsi="仿宋_GB2312" w:cs="仿宋_GB2312"/>
          <w:bCs/>
          <w:sz w:val="28"/>
          <w:szCs w:val="28"/>
        </w:rPr>
      </w:pPr>
      <w:r w:rsidRPr="00EC0A76">
        <w:rPr>
          <w:rFonts w:ascii="仿宋_GB2312" w:hAnsi="仿宋_GB2312" w:cs="仿宋_GB2312"/>
          <w:bCs/>
          <w:sz w:val="28"/>
          <w:szCs w:val="28"/>
        </w:rPr>
        <w:t>2. 参考书：《透过案例学市政工程计量与计价》，</w:t>
      </w:r>
      <w:r w:rsidRPr="00EC0A76">
        <w:rPr>
          <w:rFonts w:ascii="仿宋_GB2312" w:hAnsi="仿宋_GB2312" w:cs="仿宋_GB2312" w:hint="eastAsia"/>
          <w:bCs/>
          <w:sz w:val="28"/>
          <w:szCs w:val="28"/>
        </w:rPr>
        <w:t>王云江主编</w:t>
      </w:r>
      <w:r w:rsidRPr="00EC0A76">
        <w:rPr>
          <w:rFonts w:ascii="仿宋_GB2312" w:hAnsi="仿宋_GB2312" w:cs="仿宋_GB2312"/>
          <w:bCs/>
          <w:sz w:val="28"/>
          <w:szCs w:val="28"/>
        </w:rPr>
        <w:t>，中国建材工业出版社，201</w:t>
      </w:r>
      <w:r w:rsidRPr="00EC0A76">
        <w:rPr>
          <w:rFonts w:ascii="仿宋_GB2312" w:hAnsi="仿宋_GB2312" w:cs="仿宋_GB2312" w:hint="eastAsia"/>
          <w:bCs/>
          <w:sz w:val="28"/>
          <w:szCs w:val="28"/>
        </w:rPr>
        <w:t>5</w:t>
      </w:r>
      <w:r w:rsidRPr="00EC0A76">
        <w:rPr>
          <w:rFonts w:ascii="仿宋_GB2312" w:hAnsi="仿宋_GB2312" w:cs="仿宋_GB2312"/>
          <w:bCs/>
          <w:sz w:val="28"/>
          <w:szCs w:val="28"/>
        </w:rPr>
        <w:t>年</w:t>
      </w:r>
    </w:p>
    <w:p w:rsidR="00CD00D2" w:rsidRPr="00EC0A76" w:rsidRDefault="00CD00D2" w:rsidP="00CD00D2">
      <w:pPr>
        <w:spacing w:line="360" w:lineRule="exact"/>
        <w:ind w:firstLineChars="196" w:firstLine="627"/>
        <w:rPr>
          <w:rFonts w:ascii="Times New Roman" w:hAnsi="Times New Roman"/>
          <w:szCs w:val="21"/>
        </w:rPr>
      </w:pPr>
    </w:p>
    <w:p w:rsidR="00EC0A76" w:rsidRDefault="00EC0A76" w:rsidP="00EC0A7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w:t>
      </w:r>
      <w:r w:rsidRPr="00EC0A76">
        <w:rPr>
          <w:rFonts w:ascii="仿宋" w:eastAsia="仿宋" w:hAnsi="仿宋" w:hint="eastAsia"/>
          <w:sz w:val="28"/>
          <w:szCs w:val="28"/>
        </w:rPr>
        <w:t>谢媛芳</w:t>
      </w:r>
    </w:p>
    <w:p w:rsidR="00EC0A76" w:rsidRDefault="00EC0A76" w:rsidP="00EC0A7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EC0A76" w:rsidRDefault="00EC0A76" w:rsidP="00EC0A7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EC0A76" w:rsidRDefault="00EC0A76" w:rsidP="00EC0A76">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EC0A76" w:rsidRDefault="00EC0A76" w:rsidP="00EC0A76">
      <w:pPr>
        <w:ind w:firstLineChars="2000" w:firstLine="5600"/>
        <w:jc w:val="left"/>
        <w:rPr>
          <w:rFonts w:ascii="仿宋" w:hAnsi="仿宋"/>
          <w:sz w:val="28"/>
          <w:szCs w:val="28"/>
        </w:rPr>
      </w:pPr>
      <w:r>
        <w:rPr>
          <w:rFonts w:ascii="仿宋_GB2312" w:hAnsi="微软雅黑" w:hint="eastAsia"/>
          <w:sz w:val="28"/>
          <w:szCs w:val="28"/>
        </w:rPr>
        <w:t xml:space="preserve">    </w:t>
      </w:r>
    </w:p>
    <w:p w:rsidR="00EC0A76" w:rsidRDefault="00EC0A76" w:rsidP="00EC0A76">
      <w:pPr>
        <w:jc w:val="left"/>
        <w:rPr>
          <w:rFonts w:ascii="仿宋_GB2312" w:hAnsi="黑体"/>
          <w:sz w:val="28"/>
          <w:szCs w:val="28"/>
        </w:rPr>
      </w:pPr>
      <w:r>
        <w:rPr>
          <w:rFonts w:ascii="仿宋" w:eastAsia="仿宋" w:hAnsi="仿宋" w:hint="eastAsia"/>
          <w:sz w:val="28"/>
          <w:szCs w:val="28"/>
        </w:rPr>
        <w:t xml:space="preserve">                                         年    月</w:t>
      </w:r>
    </w:p>
    <w:p w:rsidR="00CD00D2" w:rsidRDefault="00CD00D2" w:rsidP="00CD00D2">
      <w:pPr>
        <w:spacing w:line="360" w:lineRule="exact"/>
        <w:ind w:firstLineChars="196" w:firstLine="627"/>
        <w:rPr>
          <w:rFonts w:ascii="Times New Roman" w:hAnsi="Times New Roman"/>
          <w:szCs w:val="21"/>
        </w:rPr>
      </w:pPr>
    </w:p>
    <w:p w:rsidR="00CD00D2" w:rsidRDefault="00CD00D2" w:rsidP="00CD00D2">
      <w:pPr>
        <w:spacing w:line="360" w:lineRule="exact"/>
        <w:ind w:firstLineChars="196" w:firstLine="627"/>
        <w:rPr>
          <w:rFonts w:ascii="Times New Roman" w:hAnsi="Times New Roman"/>
          <w:szCs w:val="21"/>
        </w:rPr>
      </w:pPr>
    </w:p>
    <w:p w:rsidR="00AD1D5F" w:rsidRDefault="00AD1D5F" w:rsidP="00BE5664">
      <w:pPr>
        <w:jc w:val="left"/>
        <w:rPr>
          <w:rFonts w:ascii="仿宋_GB2312" w:hAnsi="Times New Roman"/>
          <w:sz w:val="28"/>
          <w:szCs w:val="28"/>
        </w:rPr>
      </w:pPr>
    </w:p>
    <w:p w:rsidR="00AD1D5F" w:rsidRDefault="00AD1D5F" w:rsidP="00BE5664">
      <w:pPr>
        <w:jc w:val="left"/>
        <w:rPr>
          <w:rFonts w:ascii="仿宋_GB2312" w:hAnsi="Times New Roman"/>
          <w:sz w:val="28"/>
          <w:szCs w:val="28"/>
        </w:rPr>
      </w:pPr>
    </w:p>
    <w:p w:rsidR="00CA5AE3" w:rsidRDefault="00CA5AE3" w:rsidP="00CA5AE3">
      <w:pPr>
        <w:widowControl/>
        <w:spacing w:line="360" w:lineRule="auto"/>
        <w:jc w:val="center"/>
        <w:rPr>
          <w:rFonts w:ascii="宋体" w:hAnsi="宋体" w:cs="仿宋_GB2312"/>
          <w:b/>
          <w:color w:val="FF0000"/>
          <w:szCs w:val="21"/>
          <w:u w:val="single"/>
        </w:rPr>
      </w:pPr>
      <w:r>
        <w:rPr>
          <w:rFonts w:ascii="方正小标宋简体" w:eastAsia="方正小标宋简体" w:hAnsi="宋体" w:hint="eastAsia"/>
          <w:kern w:val="0"/>
          <w:szCs w:val="32"/>
        </w:rPr>
        <w:lastRenderedPageBreak/>
        <w:t>《工程经济与项目管理》课程教学大纲</w:t>
      </w:r>
    </w:p>
    <w:p w:rsidR="00CA5AE3" w:rsidRDefault="00CA5AE3" w:rsidP="00CA5AE3">
      <w:pPr>
        <w:spacing w:line="360" w:lineRule="auto"/>
        <w:rPr>
          <w:rFonts w:ascii="黑体" w:eastAsia="黑体" w:hAnsi="黑体"/>
          <w:b/>
          <w:sz w:val="28"/>
          <w:szCs w:val="28"/>
        </w:rPr>
      </w:pPr>
      <w:r>
        <w:rPr>
          <w:rFonts w:ascii="黑体" w:eastAsia="黑体" w:hAnsi="黑体" w:hint="eastAsia"/>
          <w:b/>
          <w:sz w:val="28"/>
          <w:szCs w:val="28"/>
        </w:rPr>
        <w:t>一、课程信息</w:t>
      </w:r>
    </w:p>
    <w:p w:rsidR="00CA5AE3" w:rsidRPr="00EC0A76" w:rsidRDefault="00CA5AE3" w:rsidP="00CA5AE3">
      <w:pPr>
        <w:spacing w:line="360" w:lineRule="auto"/>
        <w:ind w:firstLine="331"/>
        <w:jc w:val="left"/>
        <w:rPr>
          <w:rFonts w:ascii="仿宋_GB2312" w:hAnsi="仿宋_GB2312" w:cs="仿宋_GB2312"/>
          <w:bCs/>
          <w:sz w:val="28"/>
          <w:szCs w:val="28"/>
        </w:rPr>
      </w:pPr>
      <w:r w:rsidRPr="00EC0A76">
        <w:rPr>
          <w:rFonts w:ascii="仿宋_GB2312" w:hAnsi="仿宋_GB2312" w:cs="仿宋_GB2312"/>
          <w:bCs/>
          <w:sz w:val="28"/>
          <w:szCs w:val="28"/>
        </w:rPr>
        <w:t>英文名称：</w:t>
      </w:r>
      <w:r w:rsidRPr="00EC0A76">
        <w:rPr>
          <w:rFonts w:ascii="仿宋_GB2312" w:hAnsi="仿宋_GB2312" w:cs="仿宋_GB2312" w:hint="eastAsia"/>
          <w:bCs/>
          <w:sz w:val="28"/>
          <w:szCs w:val="28"/>
        </w:rPr>
        <w:t>Engineering Economics and project management</w:t>
      </w:r>
      <w:r w:rsidRPr="00EC0A76">
        <w:rPr>
          <w:rFonts w:ascii="仿宋_GB2312" w:hAnsi="仿宋_GB2312" w:cs="仿宋_GB2312"/>
          <w:bCs/>
          <w:sz w:val="28"/>
          <w:szCs w:val="28"/>
        </w:rPr>
        <w:t xml:space="preserve"> </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bCs/>
          <w:sz w:val="28"/>
          <w:szCs w:val="28"/>
        </w:rPr>
        <w:t>课程编码： Z2805260</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bCs/>
          <w:sz w:val="28"/>
          <w:szCs w:val="28"/>
        </w:rPr>
        <w:t>授课语言：</w:t>
      </w:r>
      <w:r w:rsidRPr="00EC0A76">
        <w:rPr>
          <w:rFonts w:ascii="仿宋_GB2312" w:hAnsi="仿宋_GB2312" w:cs="仿宋_GB2312" w:hint="eastAsia"/>
          <w:bCs/>
          <w:sz w:val="28"/>
          <w:szCs w:val="28"/>
        </w:rPr>
        <w:t>汉语</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授课方式：线下</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bCs/>
          <w:sz w:val="28"/>
          <w:szCs w:val="28"/>
        </w:rPr>
        <w:t>课程</w:t>
      </w:r>
      <w:r w:rsidRPr="00EC0A76">
        <w:rPr>
          <w:rFonts w:ascii="仿宋_GB2312" w:hAnsi="仿宋_GB2312" w:cs="仿宋_GB2312" w:hint="eastAsia"/>
          <w:bCs/>
          <w:sz w:val="28"/>
          <w:szCs w:val="28"/>
        </w:rPr>
        <w:t>类别</w:t>
      </w:r>
      <w:r w:rsidRPr="00EC0A76">
        <w:rPr>
          <w:rFonts w:ascii="仿宋_GB2312" w:hAnsi="仿宋_GB2312" w:cs="仿宋_GB2312"/>
          <w:bCs/>
          <w:sz w:val="28"/>
          <w:szCs w:val="28"/>
        </w:rPr>
        <w:t>：</w:t>
      </w:r>
      <w:r w:rsidRPr="00EC0A76">
        <w:rPr>
          <w:rFonts w:ascii="仿宋_GB2312" w:hAnsi="仿宋_GB2312" w:cs="仿宋_GB2312" w:hint="eastAsia"/>
          <w:bCs/>
          <w:sz w:val="28"/>
          <w:szCs w:val="28"/>
        </w:rPr>
        <w:t>专业发展</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课程性质：必修</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bCs/>
          <w:sz w:val="28"/>
          <w:szCs w:val="28"/>
        </w:rPr>
        <w:t>学分：</w:t>
      </w:r>
      <w:r w:rsidRPr="00EC0A76">
        <w:rPr>
          <w:rFonts w:ascii="仿宋_GB2312" w:hAnsi="仿宋_GB2312" w:cs="仿宋_GB2312" w:hint="eastAsia"/>
          <w:bCs/>
          <w:sz w:val="28"/>
          <w:szCs w:val="28"/>
        </w:rPr>
        <w:t>1.5</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bCs/>
          <w:sz w:val="28"/>
          <w:szCs w:val="28"/>
        </w:rPr>
        <w:t>学时：</w:t>
      </w:r>
      <w:r w:rsidRPr="00EC0A76">
        <w:rPr>
          <w:rFonts w:ascii="仿宋_GB2312" w:hAnsi="仿宋_GB2312" w:cs="仿宋_GB2312" w:hint="eastAsia"/>
          <w:bCs/>
          <w:sz w:val="28"/>
          <w:szCs w:val="28"/>
        </w:rPr>
        <w:t>24</w:t>
      </w:r>
      <w:r w:rsidRPr="00EC0A76">
        <w:rPr>
          <w:rFonts w:ascii="仿宋_GB2312" w:hAnsi="仿宋_GB2312" w:cs="仿宋_GB2312"/>
          <w:bCs/>
          <w:sz w:val="28"/>
          <w:szCs w:val="28"/>
        </w:rPr>
        <w:t>学时</w:t>
      </w:r>
      <w:r w:rsidRPr="00EC0A76">
        <w:rPr>
          <w:rFonts w:ascii="仿宋_GB2312" w:hAnsi="仿宋_GB2312" w:cs="仿宋_GB2312" w:hint="eastAsia"/>
          <w:bCs/>
          <w:sz w:val="28"/>
          <w:szCs w:val="28"/>
        </w:rPr>
        <w:t>（授课24学时，实验0学时，上机0学时，课外0学时）</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bCs/>
          <w:sz w:val="28"/>
          <w:szCs w:val="28"/>
        </w:rPr>
        <w:t>适用对象：</w:t>
      </w:r>
      <w:r w:rsidRPr="00EC0A76">
        <w:rPr>
          <w:rFonts w:ascii="仿宋_GB2312" w:hAnsi="仿宋_GB2312" w:cs="仿宋_GB2312" w:hint="eastAsia"/>
          <w:bCs/>
          <w:sz w:val="28"/>
          <w:szCs w:val="28"/>
        </w:rPr>
        <w:t>土木工程专业（城市地下空间工程方向）</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bCs/>
          <w:sz w:val="28"/>
          <w:szCs w:val="28"/>
        </w:rPr>
        <w:t>先修课程：</w:t>
      </w:r>
      <w:r w:rsidRPr="00EC0A76">
        <w:rPr>
          <w:rFonts w:ascii="仿宋_GB2312" w:hAnsi="仿宋_GB2312" w:cs="仿宋_GB2312" w:hint="eastAsia"/>
          <w:bCs/>
          <w:sz w:val="28"/>
          <w:szCs w:val="28"/>
        </w:rPr>
        <w:t>无</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bCs/>
          <w:sz w:val="28"/>
          <w:szCs w:val="28"/>
        </w:rPr>
        <w:t>开课院系：</w:t>
      </w:r>
      <w:r w:rsidRPr="00EC0A76">
        <w:rPr>
          <w:rFonts w:ascii="仿宋_GB2312" w:hAnsi="仿宋_GB2312" w:cs="仿宋_GB2312" w:hint="eastAsia"/>
          <w:bCs/>
          <w:sz w:val="28"/>
          <w:szCs w:val="28"/>
        </w:rPr>
        <w:t>建筑工程学院工程造价与施工教研室</w:t>
      </w:r>
    </w:p>
    <w:p w:rsidR="00CA5AE3" w:rsidRDefault="00CA5AE3" w:rsidP="00CA5AE3">
      <w:pPr>
        <w:spacing w:line="360" w:lineRule="auto"/>
        <w:rPr>
          <w:rFonts w:ascii="黑体" w:eastAsia="黑体" w:hAnsi="黑体"/>
          <w:b/>
          <w:sz w:val="28"/>
          <w:szCs w:val="28"/>
        </w:rPr>
      </w:pPr>
      <w:r>
        <w:rPr>
          <w:rFonts w:ascii="黑体" w:eastAsia="黑体" w:hAnsi="黑体" w:hint="eastAsia"/>
          <w:b/>
          <w:sz w:val="28"/>
          <w:szCs w:val="28"/>
        </w:rPr>
        <w:t>二、课程简介</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工程经济与项目管理》课程是土木工程专业（城市地下空间工程方向）的专业发展必修课，划分为两部分内容。其中，工程经济学是研究如何提高工程实践活动经济效果的科学，是自然科学与社会科学在发展过程中互相渗透、互相促进、逐渐形成和发展起来的的一门交叉边缘学科，主要介绍现金流量构成、资金等值计算、财务评价指标及方法、不确定性分析、价值工程等内容；第二部分内容为工程项目管理，主要介绍工程项目管理的基本知识，包括项目</w:t>
      </w:r>
      <w:r w:rsidRPr="00EC0A76">
        <w:rPr>
          <w:rFonts w:ascii="仿宋_GB2312" w:hAnsi="仿宋_GB2312" w:cs="仿宋_GB2312" w:hint="eastAsia"/>
          <w:bCs/>
          <w:sz w:val="28"/>
          <w:szCs w:val="28"/>
        </w:rPr>
        <w:lastRenderedPageBreak/>
        <w:t>管理的分类、工程项目目标控制的概念和基本措施、工程项目管理的主要工作等内容。</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本课程使用多媒体教学，生动、形象地展示课程内容，辅以课后答疑，引导学生将所学专业知识与实际工程相结合，培养学生解决工程实际问题的能力。</w:t>
      </w:r>
    </w:p>
    <w:p w:rsidR="00CA5AE3" w:rsidRDefault="00CA5AE3" w:rsidP="00CA5AE3">
      <w:pPr>
        <w:spacing w:beforeLines="50" w:before="156" w:afterLines="50" w:after="156" w:line="360" w:lineRule="auto"/>
        <w:jc w:val="left"/>
        <w:rPr>
          <w:rFonts w:ascii="黑体" w:eastAsia="黑体" w:hAnsi="黑体"/>
          <w:b/>
          <w:sz w:val="28"/>
          <w:szCs w:val="28"/>
        </w:rPr>
      </w:pPr>
      <w:r>
        <w:rPr>
          <w:rFonts w:ascii="黑体" w:eastAsia="黑体" w:hAnsi="黑体" w:hint="eastAsia"/>
          <w:b/>
          <w:sz w:val="28"/>
          <w:szCs w:val="28"/>
        </w:rPr>
        <w:t>三、课程任务、目的与要求</w:t>
      </w:r>
    </w:p>
    <w:p w:rsidR="00CA5AE3" w:rsidRPr="00EC0A76" w:rsidRDefault="00CA5AE3" w:rsidP="00EC0A76">
      <w:pPr>
        <w:spacing w:line="360" w:lineRule="auto"/>
        <w:ind w:firstLine="331"/>
        <w:jc w:val="left"/>
        <w:rPr>
          <w:rFonts w:ascii="仿宋_GB2312" w:hAnsi="仿宋_GB2312" w:cs="仿宋_GB2312"/>
          <w:b/>
          <w:bCs/>
          <w:sz w:val="28"/>
          <w:szCs w:val="28"/>
        </w:rPr>
      </w:pPr>
      <w:r w:rsidRPr="00EC0A76">
        <w:rPr>
          <w:rFonts w:ascii="仿宋_GB2312" w:hAnsi="仿宋_GB2312" w:cs="仿宋_GB2312" w:hint="eastAsia"/>
          <w:b/>
          <w:bCs/>
          <w:sz w:val="28"/>
          <w:szCs w:val="28"/>
        </w:rPr>
        <w:t>1.课程任务与目的</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通过课程学习，使学生了解项目前期决策在工程建设中的重要作用，了解我国目前项目管理的现状及主要内容和方法；熟悉经济评价的基本程序及要求；掌握现金流量的构成和资金等值计算的目的和方法，掌握常用的财务评价指标计算及应用、不同建设方案可行性比选的基本方法，掌握不确定性分析的内容和方法；熟悉价值工程展开的基本程序和步骤。通过学习，是学生能够了解我国市场经济建设的基本方针和取得的成就，竖立民族自豪感，激发学生的家国情怀，培养学生理解并遵守土木工程职业道德和行为规范，做到责任担当、贡献国家、服务社会。</w:t>
      </w:r>
    </w:p>
    <w:p w:rsidR="00CA5AE3" w:rsidRPr="00EC0A76" w:rsidRDefault="00CA5AE3" w:rsidP="00EC0A76">
      <w:pPr>
        <w:spacing w:line="360" w:lineRule="auto"/>
        <w:ind w:firstLine="331"/>
        <w:jc w:val="left"/>
        <w:rPr>
          <w:rFonts w:ascii="仿宋_GB2312" w:hAnsi="仿宋_GB2312" w:cs="仿宋_GB2312"/>
          <w:b/>
          <w:bCs/>
          <w:sz w:val="28"/>
          <w:szCs w:val="28"/>
        </w:rPr>
      </w:pPr>
      <w:r w:rsidRPr="00EC0A76">
        <w:rPr>
          <w:rFonts w:ascii="仿宋_GB2312" w:hAnsi="仿宋_GB2312" w:cs="仿宋_GB2312" w:hint="eastAsia"/>
          <w:b/>
          <w:bCs/>
          <w:sz w:val="28"/>
          <w:szCs w:val="28"/>
        </w:rPr>
        <w:t>2.课程基本要求</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（1）课程目标</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通过本课程的学习，学生应具备以下几方面的能力：</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①使学生具备进行建设方案经济效果评价与方案选优的基本知识以及实际应用能力，为今后顺利走向工作岗位并顺利通过职业资格考试打好基础。</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lastRenderedPageBreak/>
        <w:t>②了解工程经济学的基本原理，熟悉工程经济分析的基本程序和内容；明确在工程建设前期阶段进行工程经济分析的必要性。</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③培养学生作为一个土木工程师必须具备的客观公正的优良品质、强烈的职业责任感、严谨治学的科学态度和积极向上的价值观，为未来的学习、工作奠定良好的基础。</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④掌握现金流量的构成以及资金等值计算方法，掌握常用评价指标的计算、经济含义以及针对不同类型方案的选用方法；掌握项目财务评价和不确定性分析的基础理论，具备参与项目建设方案决策的初步能力。</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⑤熟悉工程项目费用效益分析的基本理论、方法和主要参数，了解其在项目决策中的重要意义以及对国民经济发展的影响，具备理解国家经济建设中各项经济政策的见识和执行的热情，树立在国家建设中勇于承担社会责任的态度。</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⑥熟悉价值工程分析的基本程序及方法，认识在工程建设领域开展价值工程分析的可行性及现实意义，具备在工程建设领域进行价值工程分析的主观能动性。</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⑦了解工程项目管理的基本概念及分类，熟悉项目目标控制的程序及措施以及工程项目管理的主要工作。</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 xml:space="preserve">表1  </w:t>
      </w:r>
      <w:bookmarkStart w:id="30" w:name="_Hlk68791063"/>
      <w:r w:rsidRPr="00EC0A76">
        <w:rPr>
          <w:rFonts w:ascii="仿宋_GB2312" w:hAnsi="仿宋_GB2312" w:cs="仿宋_GB2312" w:hint="eastAsia"/>
          <w:bCs/>
          <w:sz w:val="28"/>
          <w:szCs w:val="28"/>
        </w:rPr>
        <w:t>课程目标与毕业要求之间的对应关系</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5780"/>
        <w:gridCol w:w="1109"/>
      </w:tblGrid>
      <w:tr w:rsidR="00CA5AE3" w:rsidRPr="00EC0A76" w:rsidTr="00E07285">
        <w:trPr>
          <w:trHeight w:val="560"/>
          <w:jc w:val="center"/>
        </w:trPr>
        <w:tc>
          <w:tcPr>
            <w:tcW w:w="1470" w:type="dxa"/>
            <w:tcBorders>
              <w:top w:val="single" w:sz="4" w:space="0" w:color="auto"/>
              <w:left w:val="single" w:sz="4" w:space="0" w:color="auto"/>
              <w:bottom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ascii="仿宋_GB2312" w:hAnsi="仿宋_GB2312" w:cs="仿宋_GB2312" w:hint="eastAsia"/>
                <w:b/>
                <w:bCs/>
                <w:sz w:val="24"/>
                <w:szCs w:val="24"/>
              </w:rPr>
              <w:t>毕业要求标准</w:t>
            </w:r>
          </w:p>
        </w:tc>
        <w:tc>
          <w:tcPr>
            <w:tcW w:w="6379" w:type="dxa"/>
            <w:tcBorders>
              <w:top w:val="single" w:sz="4" w:space="0" w:color="auto"/>
              <w:left w:val="single" w:sz="4" w:space="0" w:color="auto"/>
              <w:bottom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ascii="仿宋_GB2312" w:hAnsi="仿宋_GB2312" w:cs="仿宋_GB2312" w:hint="eastAsia"/>
                <w:b/>
                <w:bCs/>
                <w:sz w:val="24"/>
                <w:szCs w:val="24"/>
              </w:rPr>
              <w:t>指标点</w:t>
            </w:r>
          </w:p>
        </w:tc>
        <w:tc>
          <w:tcPr>
            <w:tcW w:w="1134" w:type="dxa"/>
            <w:tcBorders>
              <w:top w:val="single" w:sz="4" w:space="0" w:color="auto"/>
              <w:left w:val="single" w:sz="4" w:space="0" w:color="auto"/>
              <w:bottom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ascii="仿宋_GB2312" w:hAnsi="仿宋_GB2312" w:cs="仿宋_GB2312" w:hint="eastAsia"/>
                <w:b/>
                <w:bCs/>
                <w:sz w:val="24"/>
                <w:szCs w:val="24"/>
              </w:rPr>
              <w:t>课程目标</w:t>
            </w:r>
          </w:p>
        </w:tc>
      </w:tr>
      <w:tr w:rsidR="00CA5AE3" w:rsidRPr="00EC0A76" w:rsidTr="00E07285">
        <w:trPr>
          <w:trHeight w:val="560"/>
          <w:jc w:val="center"/>
        </w:trPr>
        <w:tc>
          <w:tcPr>
            <w:tcW w:w="1470" w:type="dxa"/>
            <w:tcBorders>
              <w:top w:val="single" w:sz="4" w:space="0" w:color="auto"/>
              <w:left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3.设计能力</w:t>
            </w:r>
          </w:p>
        </w:tc>
        <w:tc>
          <w:tcPr>
            <w:tcW w:w="6379" w:type="dxa"/>
            <w:tcBorders>
              <w:top w:val="single" w:sz="4" w:space="0" w:color="auto"/>
              <w:left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3.4 在设计/开发工作中能够综合考虑社会、健康、安全、法律、文化以及环境等因素。</w:t>
            </w:r>
          </w:p>
        </w:tc>
        <w:tc>
          <w:tcPr>
            <w:tcW w:w="1134" w:type="dxa"/>
            <w:tcBorders>
              <w:top w:val="single" w:sz="4" w:space="0" w:color="auto"/>
              <w:left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1、2、4</w:t>
            </w:r>
          </w:p>
        </w:tc>
      </w:tr>
      <w:tr w:rsidR="00CA5AE3" w:rsidRPr="00EC0A76" w:rsidTr="00E07285">
        <w:trPr>
          <w:trHeight w:val="560"/>
          <w:jc w:val="center"/>
        </w:trPr>
        <w:tc>
          <w:tcPr>
            <w:tcW w:w="1470" w:type="dxa"/>
            <w:tcBorders>
              <w:top w:val="single" w:sz="4" w:space="0" w:color="auto"/>
              <w:left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lastRenderedPageBreak/>
              <w:t>6.评价能力</w:t>
            </w:r>
          </w:p>
        </w:tc>
        <w:tc>
          <w:tcPr>
            <w:tcW w:w="6379" w:type="dxa"/>
            <w:tcBorders>
              <w:top w:val="single" w:sz="4" w:space="0" w:color="auto"/>
              <w:left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6</w:t>
            </w:r>
            <w:r w:rsidRPr="00EC0A76">
              <w:rPr>
                <w:rFonts w:ascii="仿宋_GB2312" w:hAnsi="仿宋_GB2312" w:cs="仿宋_GB2312"/>
                <w:bCs/>
                <w:sz w:val="24"/>
                <w:szCs w:val="24"/>
              </w:rPr>
              <w:t>-</w:t>
            </w:r>
            <w:r w:rsidRPr="00EC0A76">
              <w:rPr>
                <w:rFonts w:ascii="仿宋_GB2312" w:hAnsi="仿宋_GB2312" w:cs="仿宋_GB2312" w:hint="eastAsia"/>
                <w:bCs/>
                <w:sz w:val="24"/>
                <w:szCs w:val="24"/>
              </w:rPr>
              <w:t>2工程实践和复杂工程问题的解决方案对社会、健康、安全、法律以及文化的影响，并理解土木工程师应承担的社会责任。</w:t>
            </w:r>
          </w:p>
        </w:tc>
        <w:tc>
          <w:tcPr>
            <w:tcW w:w="1134" w:type="dxa"/>
            <w:tcBorders>
              <w:top w:val="single" w:sz="4" w:space="0" w:color="auto"/>
              <w:left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2、5</w:t>
            </w:r>
          </w:p>
        </w:tc>
      </w:tr>
      <w:tr w:rsidR="00CA5AE3" w:rsidRPr="00EC0A76" w:rsidTr="00E07285">
        <w:trPr>
          <w:trHeight w:val="560"/>
          <w:jc w:val="center"/>
        </w:trPr>
        <w:tc>
          <w:tcPr>
            <w:tcW w:w="1470" w:type="dxa"/>
            <w:tcBorders>
              <w:top w:val="single" w:sz="4" w:space="0" w:color="auto"/>
              <w:left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7.可持续发展意识</w:t>
            </w:r>
          </w:p>
        </w:tc>
        <w:tc>
          <w:tcPr>
            <w:tcW w:w="6379" w:type="dxa"/>
            <w:tcBorders>
              <w:top w:val="single" w:sz="4" w:space="0" w:color="auto"/>
              <w:left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7.2 能够从环境保护和社会可持续发展的角度思考土木工程专业工程实践的可持续性，评价其可能对人类和环境造成的损害和隐患，践行绿色环保理念。</w:t>
            </w:r>
          </w:p>
        </w:tc>
        <w:tc>
          <w:tcPr>
            <w:tcW w:w="1134" w:type="dxa"/>
            <w:tcBorders>
              <w:top w:val="single" w:sz="4" w:space="0" w:color="auto"/>
              <w:left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2、4、5</w:t>
            </w:r>
          </w:p>
        </w:tc>
      </w:tr>
      <w:tr w:rsidR="00CA5AE3" w:rsidRPr="00EC0A76" w:rsidTr="00E07285">
        <w:trPr>
          <w:trHeight w:val="560"/>
          <w:jc w:val="center"/>
        </w:trPr>
        <w:tc>
          <w:tcPr>
            <w:tcW w:w="1470" w:type="dxa"/>
            <w:tcBorders>
              <w:left w:val="single" w:sz="4" w:space="0" w:color="auto"/>
              <w:bottom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8.职业规范</w:t>
            </w:r>
          </w:p>
        </w:tc>
        <w:tc>
          <w:tcPr>
            <w:tcW w:w="6379" w:type="dxa"/>
            <w:tcBorders>
              <w:top w:val="single" w:sz="4" w:space="0" w:color="auto"/>
              <w:left w:val="single" w:sz="4" w:space="0" w:color="auto"/>
              <w:bottom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8.1 有正确价值观，了解中国国情，具有人文社会科学素养、社会责任感、思辨和处事能力；</w:t>
            </w:r>
          </w:p>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8.3 理解土木工程师对公众的安全、健康和福祉，以及环境保护的社会责任，并能够在工程实践中自觉履行。</w:t>
            </w:r>
          </w:p>
        </w:tc>
        <w:tc>
          <w:tcPr>
            <w:tcW w:w="1134" w:type="dxa"/>
            <w:tcBorders>
              <w:top w:val="single" w:sz="4" w:space="0" w:color="auto"/>
              <w:left w:val="single" w:sz="4" w:space="0" w:color="auto"/>
              <w:bottom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3、5、6</w:t>
            </w:r>
          </w:p>
        </w:tc>
      </w:tr>
      <w:tr w:rsidR="00CA5AE3" w:rsidRPr="00EC0A76" w:rsidTr="00E07285">
        <w:trPr>
          <w:trHeight w:val="560"/>
          <w:jc w:val="center"/>
        </w:trPr>
        <w:tc>
          <w:tcPr>
            <w:tcW w:w="1470" w:type="dxa"/>
            <w:tcBorders>
              <w:left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9.团队协作能力</w:t>
            </w:r>
          </w:p>
        </w:tc>
        <w:tc>
          <w:tcPr>
            <w:tcW w:w="6379" w:type="dxa"/>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9.2 具有一定的组织管理和领导能力，能够组织、协调和指挥团队开展工作。</w:t>
            </w:r>
          </w:p>
        </w:tc>
        <w:tc>
          <w:tcPr>
            <w:tcW w:w="1134" w:type="dxa"/>
            <w:tcBorders>
              <w:top w:val="single" w:sz="4" w:space="0" w:color="auto"/>
              <w:left w:val="single" w:sz="4" w:space="0" w:color="auto"/>
              <w:bottom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7</w:t>
            </w:r>
          </w:p>
        </w:tc>
      </w:tr>
      <w:tr w:rsidR="00CA5AE3" w:rsidRPr="00EC0A76" w:rsidTr="00E07285">
        <w:trPr>
          <w:trHeight w:val="560"/>
          <w:jc w:val="center"/>
        </w:trPr>
        <w:tc>
          <w:tcPr>
            <w:tcW w:w="1470" w:type="dxa"/>
            <w:tcBorders>
              <w:left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11.项目管理能力</w:t>
            </w:r>
          </w:p>
        </w:tc>
        <w:tc>
          <w:tcPr>
            <w:tcW w:w="6379" w:type="dxa"/>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11.1 能够在与土木工程专业相关的多学科环境中，掌握工程项目涉及的管理原理与经济决策方法；</w:t>
            </w:r>
          </w:p>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11.2了解工程及产品全周期、全流程的成本构成，并能够在设计/开发解决方案的过程中，正确运用工程管理与经济决策方法，具备一定的工程项目管理能力。</w:t>
            </w:r>
          </w:p>
        </w:tc>
        <w:tc>
          <w:tcPr>
            <w:tcW w:w="1134" w:type="dxa"/>
            <w:tcBorders>
              <w:top w:val="single" w:sz="4" w:space="0" w:color="auto"/>
              <w:left w:val="single" w:sz="4" w:space="0" w:color="auto"/>
              <w:bottom w:val="single" w:sz="4" w:space="0" w:color="auto"/>
              <w:right w:val="single" w:sz="4" w:space="0" w:color="auto"/>
            </w:tcBorders>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6、7</w:t>
            </w:r>
          </w:p>
        </w:tc>
      </w:tr>
    </w:tbl>
    <w:p w:rsidR="00CA5AE3" w:rsidRPr="00EC0A76" w:rsidRDefault="00CA5AE3" w:rsidP="00EC0A76">
      <w:pPr>
        <w:spacing w:line="360" w:lineRule="auto"/>
        <w:ind w:firstLine="331"/>
        <w:jc w:val="left"/>
        <w:rPr>
          <w:rFonts w:ascii="仿宋_GB2312" w:hAnsi="仿宋_GB2312" w:cs="仿宋_GB2312"/>
          <w:bCs/>
          <w:sz w:val="28"/>
          <w:szCs w:val="28"/>
        </w:rPr>
      </w:pP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（3）本课程的重点、难点</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教学重点：现金流量的构成、资金等值计算、确定性经济效果评价指标及方法、不确定性分析、价值工程。</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教学难点：资金等值计算、动态评价指标的计算、盈亏平衡分析。</w:t>
      </w:r>
    </w:p>
    <w:p w:rsidR="00CA5AE3" w:rsidRPr="00EC0A76" w:rsidRDefault="00CA5AE3" w:rsidP="00EC0A76">
      <w:pPr>
        <w:spacing w:line="360" w:lineRule="auto"/>
        <w:ind w:firstLine="331"/>
        <w:jc w:val="left"/>
        <w:rPr>
          <w:rFonts w:ascii="仿宋_GB2312" w:hAnsi="仿宋_GB2312" w:cs="仿宋_GB2312"/>
          <w:bCs/>
          <w:sz w:val="28"/>
          <w:szCs w:val="28"/>
        </w:rPr>
      </w:pP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课程思政切入</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lastRenderedPageBreak/>
        <w:t>①通过学习工程经济分析人员应该具备的基本素质，引导学生树立实事求是的工作作风，遵守法律的意识，以及客观公正的工作态度。</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②通过介绍工程技术和经济发展的辩证关系，树立先进技术是提升生活质量的有力工具这一社会主义核心价值观。</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③通过对经济评价方法的介绍以及相关案例的讨论，明确工程经济学在实践中不断发展壮大，对我国未来建设的促进作用会更加明显，理解我国经济建设的伟大成就，树立强烈的爱国主义精神和为国家建设尽职尽责的理想。</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④引入项目建设风险应对的实例，使学生切身体会自己承担的责任以及面对的职业风险，在树立强大自信的同时，培养认真负责、一丝不苟的工作态度，引导学生树立建设祖国、服务祖国和世界人民的人类命运共同体观念，并建立以此作为自我价值实现途径的信念。</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⑤通过对相关项目管理成功案例的讨论，使学生理解团队合作在解决专业复杂工程问题时重要性，只有相互之间的紧密配合和精诚合作，大型复杂工程才会从构思变为现实。</w:t>
      </w:r>
    </w:p>
    <w:p w:rsidR="00CA5AE3" w:rsidRDefault="00CA5AE3" w:rsidP="00CA5AE3">
      <w:pPr>
        <w:spacing w:line="360" w:lineRule="auto"/>
        <w:rPr>
          <w:rFonts w:ascii="黑体" w:eastAsia="黑体" w:hAnsi="黑体"/>
          <w:b/>
          <w:sz w:val="28"/>
          <w:szCs w:val="28"/>
        </w:rPr>
      </w:pPr>
      <w:r>
        <w:rPr>
          <w:rFonts w:ascii="黑体" w:eastAsia="黑体" w:hAnsi="黑体" w:hint="eastAsia"/>
          <w:b/>
          <w:sz w:val="28"/>
          <w:szCs w:val="28"/>
        </w:rPr>
        <w:t>四、教学内容安排</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920"/>
        <w:gridCol w:w="630"/>
        <w:gridCol w:w="2743"/>
        <w:gridCol w:w="3350"/>
      </w:tblGrid>
      <w:tr w:rsidR="00CA5AE3" w:rsidTr="00E07285">
        <w:trPr>
          <w:cantSplit/>
          <w:trHeight w:val="486"/>
          <w:tblHeader/>
        </w:trPr>
        <w:tc>
          <w:tcPr>
            <w:tcW w:w="512" w:type="dxa"/>
            <w:vAlign w:val="center"/>
          </w:tcPr>
          <w:p w:rsidR="00CA5AE3" w:rsidRPr="00EC0A76" w:rsidRDefault="00CA5AE3" w:rsidP="00E07285">
            <w:pPr>
              <w:jc w:val="center"/>
              <w:rPr>
                <w:rFonts w:ascii="仿宋_GB2312" w:hAnsi="Times New Roman"/>
                <w:b/>
                <w:kern w:val="0"/>
                <w:sz w:val="24"/>
                <w:szCs w:val="24"/>
              </w:rPr>
            </w:pPr>
            <w:r w:rsidRPr="00EC0A76">
              <w:rPr>
                <w:rFonts w:ascii="仿宋_GB2312" w:hAnsi="Times New Roman" w:hint="eastAsia"/>
                <w:b/>
                <w:kern w:val="0"/>
                <w:sz w:val="24"/>
                <w:szCs w:val="24"/>
              </w:rPr>
              <w:t>序</w:t>
            </w:r>
          </w:p>
          <w:p w:rsidR="00CA5AE3" w:rsidRPr="00EC0A76" w:rsidRDefault="00CA5AE3" w:rsidP="00E07285">
            <w:pPr>
              <w:jc w:val="center"/>
              <w:rPr>
                <w:rFonts w:ascii="仿宋_GB2312" w:hAnsi="Times New Roman"/>
                <w:b/>
                <w:kern w:val="0"/>
                <w:sz w:val="24"/>
                <w:szCs w:val="24"/>
              </w:rPr>
            </w:pPr>
            <w:r w:rsidRPr="00EC0A76">
              <w:rPr>
                <w:rFonts w:ascii="仿宋_GB2312" w:hAnsi="Times New Roman" w:hint="eastAsia"/>
                <w:b/>
                <w:kern w:val="0"/>
                <w:sz w:val="24"/>
                <w:szCs w:val="24"/>
              </w:rPr>
              <w:t>号</w:t>
            </w:r>
          </w:p>
        </w:tc>
        <w:tc>
          <w:tcPr>
            <w:tcW w:w="1920" w:type="dxa"/>
            <w:vAlign w:val="center"/>
          </w:tcPr>
          <w:p w:rsidR="00CA5AE3" w:rsidRPr="00EC0A76" w:rsidRDefault="00CA5AE3" w:rsidP="00E07285">
            <w:pPr>
              <w:jc w:val="center"/>
              <w:rPr>
                <w:rFonts w:ascii="仿宋_GB2312" w:hAnsi="Times New Roman"/>
                <w:b/>
                <w:kern w:val="0"/>
                <w:sz w:val="24"/>
                <w:szCs w:val="24"/>
              </w:rPr>
            </w:pPr>
            <w:r w:rsidRPr="00EC0A76">
              <w:rPr>
                <w:rFonts w:ascii="仿宋_GB2312" w:hAnsi="Times New Roman" w:hint="eastAsia"/>
                <w:b/>
                <w:kern w:val="0"/>
                <w:sz w:val="24"/>
                <w:szCs w:val="24"/>
              </w:rPr>
              <w:t>章  节</w:t>
            </w:r>
          </w:p>
        </w:tc>
        <w:tc>
          <w:tcPr>
            <w:tcW w:w="630" w:type="dxa"/>
            <w:vAlign w:val="center"/>
          </w:tcPr>
          <w:p w:rsidR="00CA5AE3" w:rsidRPr="00EC0A76" w:rsidRDefault="00CA5AE3" w:rsidP="00E07285">
            <w:pPr>
              <w:jc w:val="center"/>
              <w:rPr>
                <w:rFonts w:ascii="仿宋_GB2312" w:hAnsi="Times New Roman"/>
                <w:b/>
                <w:kern w:val="0"/>
                <w:sz w:val="24"/>
                <w:szCs w:val="24"/>
              </w:rPr>
            </w:pPr>
            <w:r w:rsidRPr="00EC0A76">
              <w:rPr>
                <w:rFonts w:ascii="仿宋_GB2312" w:hAnsi="Times New Roman" w:hint="eastAsia"/>
                <w:b/>
                <w:kern w:val="0"/>
                <w:sz w:val="24"/>
                <w:szCs w:val="24"/>
              </w:rPr>
              <w:t>参考学时</w:t>
            </w:r>
          </w:p>
        </w:tc>
        <w:tc>
          <w:tcPr>
            <w:tcW w:w="2743" w:type="dxa"/>
            <w:vAlign w:val="center"/>
          </w:tcPr>
          <w:p w:rsidR="00CA5AE3" w:rsidRPr="00EC0A76" w:rsidRDefault="00CA5AE3" w:rsidP="00E07285">
            <w:pPr>
              <w:jc w:val="center"/>
              <w:rPr>
                <w:rFonts w:ascii="仿宋_GB2312" w:hAnsi="Times New Roman"/>
                <w:b/>
                <w:kern w:val="0"/>
                <w:sz w:val="24"/>
                <w:szCs w:val="24"/>
              </w:rPr>
            </w:pPr>
            <w:r w:rsidRPr="00EC0A76">
              <w:rPr>
                <w:rFonts w:ascii="仿宋_GB2312" w:hAnsi="Times New Roman" w:hint="eastAsia"/>
                <w:b/>
                <w:kern w:val="0"/>
                <w:sz w:val="24"/>
                <w:szCs w:val="24"/>
              </w:rPr>
              <w:t>教学内容</w:t>
            </w:r>
          </w:p>
        </w:tc>
        <w:tc>
          <w:tcPr>
            <w:tcW w:w="3350" w:type="dxa"/>
            <w:vAlign w:val="center"/>
          </w:tcPr>
          <w:p w:rsidR="00CA5AE3" w:rsidRPr="00EC0A76" w:rsidRDefault="00CA5AE3" w:rsidP="00E07285">
            <w:pPr>
              <w:jc w:val="center"/>
              <w:rPr>
                <w:rFonts w:ascii="仿宋_GB2312" w:hAnsi="Times New Roman"/>
                <w:b/>
                <w:kern w:val="0"/>
                <w:sz w:val="24"/>
                <w:szCs w:val="24"/>
              </w:rPr>
            </w:pPr>
            <w:r w:rsidRPr="00EC0A76">
              <w:rPr>
                <w:rFonts w:ascii="仿宋_GB2312" w:hAnsi="Times New Roman" w:hint="eastAsia"/>
                <w:b/>
                <w:kern w:val="0"/>
                <w:sz w:val="24"/>
                <w:szCs w:val="24"/>
              </w:rPr>
              <w:t>基本要求</w:t>
            </w:r>
          </w:p>
        </w:tc>
      </w:tr>
      <w:tr w:rsidR="00CA5AE3" w:rsidTr="00E07285">
        <w:trPr>
          <w:trHeight w:val="428"/>
        </w:trPr>
        <w:tc>
          <w:tcPr>
            <w:tcW w:w="512" w:type="dxa"/>
            <w:vAlign w:val="center"/>
          </w:tcPr>
          <w:p w:rsidR="00CA5AE3" w:rsidRPr="00EC0A76" w:rsidRDefault="00CA5AE3" w:rsidP="00E07285">
            <w:pPr>
              <w:jc w:val="center"/>
              <w:rPr>
                <w:rFonts w:ascii="仿宋_GB2312" w:hAnsi="Times New Roman"/>
                <w:kern w:val="0"/>
                <w:sz w:val="24"/>
                <w:szCs w:val="24"/>
              </w:rPr>
            </w:pPr>
            <w:r w:rsidRPr="00EC0A76">
              <w:rPr>
                <w:rFonts w:ascii="仿宋_GB2312" w:hAnsi="Times New Roman" w:hint="eastAsia"/>
                <w:kern w:val="0"/>
                <w:sz w:val="24"/>
                <w:szCs w:val="24"/>
              </w:rPr>
              <w:t>1</w:t>
            </w:r>
          </w:p>
        </w:tc>
        <w:tc>
          <w:tcPr>
            <w:tcW w:w="192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第一章 绪论</w:t>
            </w:r>
          </w:p>
        </w:tc>
        <w:tc>
          <w:tcPr>
            <w:tcW w:w="630" w:type="dxa"/>
            <w:vAlign w:val="center"/>
          </w:tcPr>
          <w:p w:rsidR="00CA5AE3" w:rsidRPr="00EC0A76" w:rsidRDefault="00CA5AE3" w:rsidP="00E07285">
            <w:pPr>
              <w:jc w:val="center"/>
              <w:rPr>
                <w:rFonts w:ascii="仿宋_GB2312" w:hAnsi="Times New Roman"/>
                <w:sz w:val="24"/>
                <w:szCs w:val="24"/>
              </w:rPr>
            </w:pPr>
            <w:r w:rsidRPr="00EC0A76">
              <w:rPr>
                <w:rFonts w:ascii="仿宋_GB2312" w:hAnsi="Times New Roman" w:hint="eastAsia"/>
                <w:sz w:val="24"/>
                <w:szCs w:val="24"/>
              </w:rPr>
              <w:t>2</w:t>
            </w:r>
          </w:p>
        </w:tc>
        <w:tc>
          <w:tcPr>
            <w:tcW w:w="2743" w:type="dxa"/>
            <w:vAlign w:val="center"/>
          </w:tcPr>
          <w:p w:rsidR="00CA5AE3" w:rsidRPr="00EC0A76" w:rsidRDefault="00CA5AE3" w:rsidP="00E07285">
            <w:pPr>
              <w:ind w:left="-2"/>
              <w:rPr>
                <w:rFonts w:ascii="仿宋_GB2312" w:hAnsi="Times New Roman"/>
                <w:sz w:val="24"/>
                <w:szCs w:val="24"/>
              </w:rPr>
            </w:pPr>
            <w:r w:rsidRPr="00EC0A76">
              <w:rPr>
                <w:rFonts w:ascii="仿宋_GB2312" w:hAnsi="Times New Roman" w:hint="eastAsia"/>
                <w:sz w:val="24"/>
                <w:szCs w:val="24"/>
              </w:rPr>
              <w:t>工程经济学的概念及其产生和发展过程，本学科的特点、研究对象及要求，经济效果评价原则。</w:t>
            </w:r>
          </w:p>
        </w:tc>
        <w:tc>
          <w:tcPr>
            <w:tcW w:w="3350" w:type="dxa"/>
            <w:vAlign w:val="center"/>
          </w:tcPr>
          <w:p w:rsidR="00CA5AE3" w:rsidRPr="00EC0A76" w:rsidRDefault="00CA5AE3" w:rsidP="00E07285">
            <w:pPr>
              <w:rPr>
                <w:rFonts w:ascii="仿宋_GB2312" w:hAnsi="Times New Roman"/>
                <w:kern w:val="0"/>
                <w:sz w:val="24"/>
                <w:szCs w:val="24"/>
              </w:rPr>
            </w:pPr>
            <w:r w:rsidRPr="00EC0A76">
              <w:rPr>
                <w:rFonts w:ascii="仿宋_GB2312" w:hAnsi="Times New Roman" w:hint="eastAsia"/>
                <w:kern w:val="0"/>
                <w:sz w:val="24"/>
                <w:szCs w:val="24"/>
              </w:rPr>
              <w:t xml:space="preserve">掌握工程经济学的基本原理，了解其产生与发展，熟悉工程经济分析的基本原则和步骤。 </w:t>
            </w:r>
          </w:p>
        </w:tc>
      </w:tr>
      <w:tr w:rsidR="00CA5AE3" w:rsidTr="00E07285">
        <w:trPr>
          <w:trHeight w:val="519"/>
        </w:trPr>
        <w:tc>
          <w:tcPr>
            <w:tcW w:w="512" w:type="dxa"/>
            <w:vAlign w:val="center"/>
          </w:tcPr>
          <w:p w:rsidR="00CA5AE3" w:rsidRPr="00EC0A76" w:rsidRDefault="00CA5AE3" w:rsidP="00E07285">
            <w:pPr>
              <w:jc w:val="center"/>
              <w:rPr>
                <w:rFonts w:ascii="仿宋_GB2312" w:hAnsi="Times New Roman"/>
                <w:kern w:val="0"/>
                <w:sz w:val="24"/>
                <w:szCs w:val="24"/>
              </w:rPr>
            </w:pPr>
            <w:r w:rsidRPr="00EC0A76">
              <w:rPr>
                <w:rFonts w:ascii="仿宋_GB2312" w:hAnsi="Times New Roman" w:hint="eastAsia"/>
                <w:kern w:val="0"/>
                <w:sz w:val="24"/>
                <w:szCs w:val="24"/>
              </w:rPr>
              <w:lastRenderedPageBreak/>
              <w:t>2</w:t>
            </w:r>
          </w:p>
        </w:tc>
        <w:tc>
          <w:tcPr>
            <w:tcW w:w="1920" w:type="dxa"/>
            <w:vAlign w:val="center"/>
          </w:tcPr>
          <w:p w:rsidR="00CA5AE3" w:rsidRPr="00EC0A76" w:rsidRDefault="00CA5AE3" w:rsidP="00E07285">
            <w:pPr>
              <w:ind w:left="3"/>
              <w:rPr>
                <w:rFonts w:ascii="仿宋_GB2312" w:hAnsi="Times New Roman"/>
                <w:sz w:val="24"/>
                <w:szCs w:val="24"/>
              </w:rPr>
            </w:pPr>
            <w:r w:rsidRPr="00EC0A76">
              <w:rPr>
                <w:rFonts w:ascii="仿宋_GB2312" w:hAnsi="Times New Roman" w:hint="eastAsia"/>
                <w:sz w:val="24"/>
                <w:szCs w:val="24"/>
              </w:rPr>
              <w:t>第二章 现金流量构成与资金等值计算</w:t>
            </w:r>
          </w:p>
        </w:tc>
        <w:tc>
          <w:tcPr>
            <w:tcW w:w="630" w:type="dxa"/>
            <w:vAlign w:val="center"/>
          </w:tcPr>
          <w:p w:rsidR="00CA5AE3" w:rsidRPr="00EC0A76" w:rsidRDefault="00CA5AE3" w:rsidP="00E07285">
            <w:pPr>
              <w:jc w:val="center"/>
              <w:rPr>
                <w:rFonts w:ascii="仿宋_GB2312" w:hAnsi="Times New Roman"/>
                <w:sz w:val="24"/>
                <w:szCs w:val="24"/>
              </w:rPr>
            </w:pPr>
            <w:r w:rsidRPr="00EC0A76">
              <w:rPr>
                <w:rFonts w:ascii="仿宋_GB2312" w:hAnsi="Times New Roman" w:hint="eastAsia"/>
                <w:sz w:val="24"/>
                <w:szCs w:val="24"/>
              </w:rPr>
              <w:t>4</w:t>
            </w:r>
          </w:p>
        </w:tc>
        <w:tc>
          <w:tcPr>
            <w:tcW w:w="2743"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现金流量及现金流量图，现金流量的构成及计算，成本费用及计算、销售收入、利润和税金，资金时间价值的概念，资金的等值计算的目的及计算方法。</w:t>
            </w:r>
          </w:p>
        </w:tc>
        <w:tc>
          <w:tcPr>
            <w:tcW w:w="335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熟悉现金流量的概念和资金时间价值的内涵，掌握各种时间序列下资金的等值计算；熟悉投资、成本的构成及估算方法。</w:t>
            </w:r>
          </w:p>
        </w:tc>
      </w:tr>
      <w:tr w:rsidR="00CA5AE3" w:rsidTr="00E07285">
        <w:trPr>
          <w:trHeight w:val="555"/>
        </w:trPr>
        <w:tc>
          <w:tcPr>
            <w:tcW w:w="512" w:type="dxa"/>
            <w:vAlign w:val="center"/>
          </w:tcPr>
          <w:p w:rsidR="00CA5AE3" w:rsidRPr="00EC0A76" w:rsidRDefault="00CA5AE3" w:rsidP="00E07285">
            <w:pPr>
              <w:jc w:val="center"/>
              <w:rPr>
                <w:rFonts w:ascii="仿宋_GB2312" w:hAnsi="Times New Roman"/>
                <w:kern w:val="0"/>
                <w:sz w:val="24"/>
                <w:szCs w:val="24"/>
              </w:rPr>
            </w:pPr>
            <w:r w:rsidRPr="00EC0A76">
              <w:rPr>
                <w:rFonts w:ascii="仿宋_GB2312" w:hAnsi="Times New Roman" w:hint="eastAsia"/>
                <w:kern w:val="0"/>
                <w:sz w:val="24"/>
                <w:szCs w:val="24"/>
              </w:rPr>
              <w:t>3</w:t>
            </w:r>
          </w:p>
        </w:tc>
        <w:tc>
          <w:tcPr>
            <w:tcW w:w="192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第三章 确定性经济效果评价方法</w:t>
            </w:r>
          </w:p>
        </w:tc>
        <w:tc>
          <w:tcPr>
            <w:tcW w:w="630" w:type="dxa"/>
            <w:vAlign w:val="center"/>
          </w:tcPr>
          <w:p w:rsidR="00CA5AE3" w:rsidRPr="00EC0A76" w:rsidRDefault="00CA5AE3" w:rsidP="00E07285">
            <w:pPr>
              <w:jc w:val="center"/>
              <w:rPr>
                <w:rFonts w:ascii="仿宋_GB2312" w:hAnsi="Times New Roman"/>
                <w:sz w:val="24"/>
                <w:szCs w:val="24"/>
              </w:rPr>
            </w:pPr>
            <w:r w:rsidRPr="00EC0A76">
              <w:rPr>
                <w:rFonts w:ascii="仿宋_GB2312" w:hAnsi="Times New Roman" w:hint="eastAsia"/>
                <w:sz w:val="24"/>
                <w:szCs w:val="24"/>
              </w:rPr>
              <w:t>4</w:t>
            </w:r>
          </w:p>
        </w:tc>
        <w:tc>
          <w:tcPr>
            <w:tcW w:w="2743"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财务评价指标的划分、经济含义及其计算方法，独立方案经济效果评价，互斥方案经济效果评价，相关方案的经济效果评价。</w:t>
            </w:r>
          </w:p>
        </w:tc>
        <w:tc>
          <w:tcPr>
            <w:tcW w:w="335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掌握动态评价指标的经济含义以及计算方法，掌握不同类型方案的评价方法。熟悉各种指标的使用方法和优缺点，了解静态指标和动态指标的区别。</w:t>
            </w:r>
          </w:p>
        </w:tc>
      </w:tr>
      <w:tr w:rsidR="00CA5AE3" w:rsidTr="00E07285">
        <w:trPr>
          <w:trHeight w:val="1307"/>
        </w:trPr>
        <w:tc>
          <w:tcPr>
            <w:tcW w:w="512" w:type="dxa"/>
            <w:vAlign w:val="center"/>
          </w:tcPr>
          <w:p w:rsidR="00CA5AE3" w:rsidRPr="00EC0A76" w:rsidRDefault="00CA5AE3" w:rsidP="00E07285">
            <w:pPr>
              <w:jc w:val="center"/>
              <w:rPr>
                <w:rFonts w:ascii="仿宋_GB2312" w:hAnsi="Times New Roman"/>
                <w:kern w:val="0"/>
                <w:sz w:val="24"/>
                <w:szCs w:val="24"/>
              </w:rPr>
            </w:pPr>
            <w:r w:rsidRPr="00EC0A76">
              <w:rPr>
                <w:rFonts w:ascii="仿宋_GB2312" w:hAnsi="Times New Roman" w:hint="eastAsia"/>
                <w:kern w:val="0"/>
                <w:sz w:val="24"/>
                <w:szCs w:val="24"/>
              </w:rPr>
              <w:t>4</w:t>
            </w:r>
          </w:p>
        </w:tc>
        <w:tc>
          <w:tcPr>
            <w:tcW w:w="192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第四章 不确定性分析</w:t>
            </w:r>
          </w:p>
        </w:tc>
        <w:tc>
          <w:tcPr>
            <w:tcW w:w="630" w:type="dxa"/>
            <w:vAlign w:val="center"/>
          </w:tcPr>
          <w:p w:rsidR="00CA5AE3" w:rsidRPr="00EC0A76" w:rsidRDefault="00CA5AE3" w:rsidP="00E07285">
            <w:pPr>
              <w:jc w:val="center"/>
              <w:rPr>
                <w:rFonts w:ascii="仿宋_GB2312" w:hAnsi="Times New Roman"/>
                <w:sz w:val="24"/>
                <w:szCs w:val="24"/>
              </w:rPr>
            </w:pPr>
            <w:r w:rsidRPr="00EC0A76">
              <w:rPr>
                <w:rFonts w:ascii="仿宋_GB2312" w:hAnsi="Times New Roman" w:hint="eastAsia"/>
                <w:sz w:val="24"/>
                <w:szCs w:val="24"/>
              </w:rPr>
              <w:t>4</w:t>
            </w:r>
          </w:p>
        </w:tc>
        <w:tc>
          <w:tcPr>
            <w:tcW w:w="2743"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不确定性分析的必要性和内容，盈亏平衡分析的内容和计算，敏感性分析和概率分析的方法。</w:t>
            </w:r>
          </w:p>
        </w:tc>
        <w:tc>
          <w:tcPr>
            <w:tcW w:w="335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掌握独立方案线性和非线性盈亏平衡分析的条件及方法，掌握敏感性分析的程序，熟悉各项分析的适用范围和不足，了解概率分析方法。</w:t>
            </w:r>
          </w:p>
        </w:tc>
      </w:tr>
      <w:tr w:rsidR="00CA5AE3" w:rsidTr="00E07285">
        <w:trPr>
          <w:trHeight w:val="1059"/>
        </w:trPr>
        <w:tc>
          <w:tcPr>
            <w:tcW w:w="512" w:type="dxa"/>
            <w:vAlign w:val="center"/>
          </w:tcPr>
          <w:p w:rsidR="00CA5AE3" w:rsidRPr="00EC0A76" w:rsidRDefault="00CA5AE3" w:rsidP="00E07285">
            <w:pPr>
              <w:jc w:val="center"/>
              <w:rPr>
                <w:rFonts w:ascii="仿宋_GB2312" w:hAnsi="Times New Roman"/>
                <w:kern w:val="0"/>
                <w:sz w:val="24"/>
                <w:szCs w:val="24"/>
              </w:rPr>
            </w:pPr>
            <w:r w:rsidRPr="00EC0A76">
              <w:rPr>
                <w:rFonts w:ascii="仿宋_GB2312" w:hAnsi="Times New Roman" w:hint="eastAsia"/>
                <w:kern w:val="0"/>
                <w:sz w:val="24"/>
                <w:szCs w:val="24"/>
              </w:rPr>
              <w:t>5</w:t>
            </w:r>
          </w:p>
        </w:tc>
        <w:tc>
          <w:tcPr>
            <w:tcW w:w="192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第五章 财务评价</w:t>
            </w:r>
          </w:p>
        </w:tc>
        <w:tc>
          <w:tcPr>
            <w:tcW w:w="630" w:type="dxa"/>
            <w:vAlign w:val="center"/>
          </w:tcPr>
          <w:p w:rsidR="00CA5AE3" w:rsidRPr="00EC0A76" w:rsidRDefault="00CA5AE3" w:rsidP="00E07285">
            <w:pPr>
              <w:jc w:val="center"/>
              <w:rPr>
                <w:rFonts w:ascii="仿宋_GB2312" w:hAnsi="Times New Roman"/>
                <w:sz w:val="24"/>
                <w:szCs w:val="24"/>
              </w:rPr>
            </w:pPr>
            <w:r w:rsidRPr="00EC0A76">
              <w:rPr>
                <w:rFonts w:ascii="仿宋_GB2312" w:hAnsi="Times New Roman" w:hint="eastAsia"/>
                <w:sz w:val="24"/>
                <w:szCs w:val="24"/>
              </w:rPr>
              <w:t>2</w:t>
            </w:r>
          </w:p>
        </w:tc>
        <w:tc>
          <w:tcPr>
            <w:tcW w:w="2743"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财务评价的基本程序和作用，项目投资和流动资金的估算方法，辅助财务报表和基本报表的编制。</w:t>
            </w:r>
          </w:p>
        </w:tc>
        <w:tc>
          <w:tcPr>
            <w:tcW w:w="335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熟悉项目财务评价的作用和基本步骤，熟悉财务报表数据的计算，了解财务报表的编制方法。</w:t>
            </w:r>
          </w:p>
        </w:tc>
      </w:tr>
      <w:tr w:rsidR="00CA5AE3" w:rsidTr="00E07285">
        <w:trPr>
          <w:trHeight w:val="248"/>
        </w:trPr>
        <w:tc>
          <w:tcPr>
            <w:tcW w:w="512" w:type="dxa"/>
            <w:vAlign w:val="center"/>
          </w:tcPr>
          <w:p w:rsidR="00CA5AE3" w:rsidRPr="00EC0A76" w:rsidRDefault="00CA5AE3" w:rsidP="00E07285">
            <w:pPr>
              <w:jc w:val="center"/>
              <w:rPr>
                <w:rFonts w:ascii="仿宋_GB2312" w:hAnsi="Times New Roman"/>
                <w:kern w:val="0"/>
                <w:sz w:val="24"/>
                <w:szCs w:val="24"/>
              </w:rPr>
            </w:pPr>
            <w:r w:rsidRPr="00EC0A76">
              <w:rPr>
                <w:rFonts w:ascii="仿宋_GB2312" w:hAnsi="Times New Roman" w:hint="eastAsia"/>
                <w:kern w:val="0"/>
                <w:sz w:val="24"/>
                <w:szCs w:val="24"/>
              </w:rPr>
              <w:t>6</w:t>
            </w:r>
          </w:p>
        </w:tc>
        <w:tc>
          <w:tcPr>
            <w:tcW w:w="192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第六章 经济费用效益分析</w:t>
            </w:r>
          </w:p>
        </w:tc>
        <w:tc>
          <w:tcPr>
            <w:tcW w:w="630" w:type="dxa"/>
            <w:vAlign w:val="center"/>
          </w:tcPr>
          <w:p w:rsidR="00CA5AE3" w:rsidRPr="00EC0A76" w:rsidRDefault="00CA5AE3" w:rsidP="00E07285">
            <w:pPr>
              <w:jc w:val="center"/>
              <w:rPr>
                <w:rFonts w:ascii="仿宋_GB2312" w:hAnsi="Times New Roman"/>
                <w:sz w:val="24"/>
                <w:szCs w:val="24"/>
              </w:rPr>
            </w:pPr>
            <w:r w:rsidRPr="00EC0A76">
              <w:rPr>
                <w:rFonts w:ascii="仿宋_GB2312" w:hAnsi="Times New Roman" w:hint="eastAsia"/>
                <w:sz w:val="24"/>
                <w:szCs w:val="24"/>
              </w:rPr>
              <w:t>2</w:t>
            </w:r>
          </w:p>
        </w:tc>
        <w:tc>
          <w:tcPr>
            <w:tcW w:w="2743"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经济费用效益分析和财务评价的区别及其必要性，费用效益的划分，影子价格的概念，评价参数的种类。</w:t>
            </w:r>
          </w:p>
        </w:tc>
        <w:tc>
          <w:tcPr>
            <w:tcW w:w="335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熟悉费用效益的划分原则，熟悉影子价格的基本原理以及评价参数的内涵，了解经济费用效益分析和财务评价的区别及其必要性。</w:t>
            </w:r>
          </w:p>
        </w:tc>
      </w:tr>
      <w:tr w:rsidR="00CA5AE3" w:rsidTr="00E07285">
        <w:trPr>
          <w:trHeight w:val="555"/>
        </w:trPr>
        <w:tc>
          <w:tcPr>
            <w:tcW w:w="512" w:type="dxa"/>
            <w:vAlign w:val="center"/>
          </w:tcPr>
          <w:p w:rsidR="00CA5AE3" w:rsidRPr="00EC0A76" w:rsidRDefault="00CA5AE3" w:rsidP="00E07285">
            <w:pPr>
              <w:jc w:val="center"/>
              <w:rPr>
                <w:rFonts w:ascii="仿宋_GB2312" w:hAnsi="Times New Roman"/>
                <w:kern w:val="0"/>
                <w:sz w:val="24"/>
                <w:szCs w:val="24"/>
              </w:rPr>
            </w:pPr>
            <w:r w:rsidRPr="00EC0A76">
              <w:rPr>
                <w:rFonts w:ascii="仿宋_GB2312" w:hAnsi="Times New Roman" w:hint="eastAsia"/>
                <w:kern w:val="0"/>
                <w:sz w:val="24"/>
                <w:szCs w:val="24"/>
              </w:rPr>
              <w:t>7</w:t>
            </w:r>
          </w:p>
        </w:tc>
        <w:tc>
          <w:tcPr>
            <w:tcW w:w="192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第七章 价值工程</w:t>
            </w:r>
          </w:p>
        </w:tc>
        <w:tc>
          <w:tcPr>
            <w:tcW w:w="630" w:type="dxa"/>
            <w:vAlign w:val="center"/>
          </w:tcPr>
          <w:p w:rsidR="00CA5AE3" w:rsidRPr="00EC0A76" w:rsidRDefault="00CA5AE3" w:rsidP="00E07285">
            <w:pPr>
              <w:jc w:val="center"/>
              <w:rPr>
                <w:rFonts w:ascii="仿宋_GB2312" w:hAnsi="Times New Roman"/>
                <w:sz w:val="24"/>
                <w:szCs w:val="24"/>
              </w:rPr>
            </w:pPr>
            <w:r w:rsidRPr="00EC0A76">
              <w:rPr>
                <w:rFonts w:ascii="仿宋_GB2312" w:hAnsi="Times New Roman" w:hint="eastAsia"/>
                <w:sz w:val="24"/>
                <w:szCs w:val="24"/>
              </w:rPr>
              <w:t>2</w:t>
            </w:r>
          </w:p>
        </w:tc>
        <w:tc>
          <w:tcPr>
            <w:tcW w:w="2743"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价值工程的概念、功能的分类，功能分析及评价，方案创造与评价。</w:t>
            </w:r>
          </w:p>
        </w:tc>
        <w:tc>
          <w:tcPr>
            <w:tcW w:w="335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掌握价值工程分析的步骤，掌握功能评价的方法。熟悉价值工程分析对象的选择，了解价值工程分析的特点及功能的划分。</w:t>
            </w:r>
          </w:p>
        </w:tc>
      </w:tr>
      <w:tr w:rsidR="00CA5AE3" w:rsidTr="00E07285">
        <w:trPr>
          <w:trHeight w:val="555"/>
        </w:trPr>
        <w:tc>
          <w:tcPr>
            <w:tcW w:w="512" w:type="dxa"/>
            <w:vAlign w:val="center"/>
          </w:tcPr>
          <w:p w:rsidR="00CA5AE3" w:rsidRPr="00EC0A76" w:rsidRDefault="00CA5AE3" w:rsidP="00E07285">
            <w:pPr>
              <w:jc w:val="center"/>
              <w:rPr>
                <w:rFonts w:ascii="仿宋_GB2312" w:hAnsi="Times New Roman"/>
                <w:kern w:val="0"/>
                <w:sz w:val="24"/>
                <w:szCs w:val="24"/>
              </w:rPr>
            </w:pPr>
            <w:r w:rsidRPr="00EC0A76">
              <w:rPr>
                <w:rFonts w:ascii="仿宋_GB2312" w:hAnsi="Times New Roman" w:hint="eastAsia"/>
                <w:kern w:val="0"/>
                <w:sz w:val="24"/>
                <w:szCs w:val="24"/>
              </w:rPr>
              <w:t>8</w:t>
            </w:r>
          </w:p>
        </w:tc>
        <w:tc>
          <w:tcPr>
            <w:tcW w:w="192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第八章 工程项目管理概论</w:t>
            </w:r>
          </w:p>
        </w:tc>
        <w:tc>
          <w:tcPr>
            <w:tcW w:w="630" w:type="dxa"/>
            <w:vAlign w:val="center"/>
          </w:tcPr>
          <w:p w:rsidR="00CA5AE3" w:rsidRPr="00EC0A76" w:rsidRDefault="00CA5AE3" w:rsidP="00E07285">
            <w:pPr>
              <w:jc w:val="center"/>
              <w:rPr>
                <w:rFonts w:ascii="仿宋_GB2312" w:hAnsi="Times New Roman"/>
                <w:sz w:val="24"/>
                <w:szCs w:val="24"/>
              </w:rPr>
            </w:pPr>
            <w:r w:rsidRPr="00EC0A76">
              <w:rPr>
                <w:rFonts w:ascii="仿宋_GB2312" w:hAnsi="Times New Roman" w:hint="eastAsia"/>
                <w:sz w:val="24"/>
                <w:szCs w:val="24"/>
              </w:rPr>
              <w:t>4</w:t>
            </w:r>
          </w:p>
        </w:tc>
        <w:tc>
          <w:tcPr>
            <w:tcW w:w="2743"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工程项目管理的基本概念及其分类，工程项目目标控制，工程项目管理的主要工作，项目经理部的组成及工作内容。</w:t>
            </w:r>
          </w:p>
        </w:tc>
        <w:tc>
          <w:tcPr>
            <w:tcW w:w="3350" w:type="dxa"/>
            <w:vAlign w:val="center"/>
          </w:tcPr>
          <w:p w:rsidR="00CA5AE3" w:rsidRPr="00EC0A76" w:rsidRDefault="00CA5AE3" w:rsidP="00E07285">
            <w:pPr>
              <w:rPr>
                <w:rFonts w:ascii="仿宋_GB2312" w:hAnsi="Times New Roman"/>
                <w:sz w:val="24"/>
                <w:szCs w:val="24"/>
              </w:rPr>
            </w:pPr>
            <w:r w:rsidRPr="00EC0A76">
              <w:rPr>
                <w:rFonts w:ascii="仿宋_GB2312" w:hAnsi="Times New Roman" w:hint="eastAsia"/>
                <w:sz w:val="24"/>
                <w:szCs w:val="24"/>
              </w:rPr>
              <w:t>熟悉工程项目目标控制的内容，熟悉工程项目管理的主要工作内容，了解项目经理部的组成及工作。</w:t>
            </w:r>
          </w:p>
        </w:tc>
      </w:tr>
    </w:tbl>
    <w:p w:rsidR="00CA5AE3" w:rsidRDefault="00CA5AE3" w:rsidP="005F6318">
      <w:pPr>
        <w:numPr>
          <w:ilvl w:val="0"/>
          <w:numId w:val="21"/>
        </w:numPr>
        <w:spacing w:beforeLines="50" w:before="156" w:afterLines="50" w:after="156" w:line="360" w:lineRule="auto"/>
        <w:jc w:val="left"/>
        <w:rPr>
          <w:rFonts w:ascii="黑体" w:eastAsia="黑体" w:hAnsi="黑体"/>
          <w:b/>
          <w:sz w:val="28"/>
          <w:szCs w:val="28"/>
        </w:rPr>
      </w:pPr>
      <w:r>
        <w:rPr>
          <w:rFonts w:ascii="黑体" w:eastAsia="黑体" w:hAnsi="黑体" w:hint="eastAsia"/>
          <w:b/>
          <w:sz w:val="28"/>
          <w:szCs w:val="28"/>
        </w:rPr>
        <w:t>课程考核和评价方式</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lastRenderedPageBreak/>
        <w:t>1.课程考核</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本课程不设课外学时，采用平时成绩+期末考试方式确定总评成绩，其中平时成绩考核包括作业、课堂表现、出勤等内容，期末考试采用考察方式（百分制）。平时成绩占30%，期末考试成绩占70%。</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2.成绩评定</w:t>
      </w:r>
      <w:r w:rsidRPr="00EC0A76">
        <w:rPr>
          <w:rFonts w:ascii="仿宋_GB2312" w:hAnsi="仿宋_GB2312" w:cs="仿宋_GB2312"/>
          <w:bCs/>
          <w:sz w:val="28"/>
          <w:szCs w:val="28"/>
        </w:rPr>
        <w:br/>
        <w:t xml:space="preserve">   课程总成绩=期末成绩</w:t>
      </w:r>
      <w:r w:rsidRPr="00EC0A76">
        <w:rPr>
          <w:rFonts w:ascii="仿宋_GB2312" w:hAnsi="仿宋_GB2312" w:cs="仿宋_GB2312" w:hint="eastAsia"/>
          <w:bCs/>
          <w:sz w:val="28"/>
          <w:szCs w:val="28"/>
        </w:rPr>
        <w:t>70%+平时</w:t>
      </w:r>
      <w:r w:rsidRPr="00EC0A76">
        <w:rPr>
          <w:rFonts w:ascii="仿宋_GB2312" w:hAnsi="仿宋_GB2312" w:cs="仿宋_GB2312"/>
          <w:bCs/>
          <w:sz w:val="28"/>
          <w:szCs w:val="28"/>
        </w:rPr>
        <w:t>成绩30</w:t>
      </w:r>
      <w:r w:rsidRPr="00EC0A76">
        <w:rPr>
          <w:rFonts w:ascii="仿宋_GB2312" w:hAnsi="仿宋_GB2312" w:cs="仿宋_GB2312" w:hint="eastAsia"/>
          <w:bCs/>
          <w:sz w:val="28"/>
          <w:szCs w:val="28"/>
        </w:rPr>
        <w:t>%。</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（1）试题评分标准</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客观题根据题目的正确率判定评分，主观题参考作业评分标准。</w:t>
      </w:r>
    </w:p>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（2）作业评分标准</w:t>
      </w:r>
    </w:p>
    <w:tbl>
      <w:tblPr>
        <w:tblW w:w="8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1753"/>
        <w:gridCol w:w="1754"/>
        <w:gridCol w:w="1754"/>
        <w:gridCol w:w="1754"/>
      </w:tblGrid>
      <w:tr w:rsidR="00CA5AE3" w:rsidRPr="00EC0A76" w:rsidTr="00E07285">
        <w:trPr>
          <w:trHeight w:val="301"/>
          <w:jc w:val="center"/>
        </w:trPr>
        <w:tc>
          <w:tcPr>
            <w:tcW w:w="1753"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ascii="仿宋_GB2312" w:hAnsi="仿宋_GB2312" w:cs="仿宋_GB2312" w:hint="eastAsia"/>
                <w:b/>
                <w:bCs/>
                <w:sz w:val="24"/>
                <w:szCs w:val="24"/>
              </w:rPr>
              <w:t>权重</w:t>
            </w:r>
          </w:p>
        </w:tc>
        <w:tc>
          <w:tcPr>
            <w:tcW w:w="1753"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hAnsi="仿宋_GB2312" w:cs="仿宋_GB2312" w:hint="eastAsia"/>
                <w:b/>
                <w:bCs/>
                <w:sz w:val="24"/>
                <w:szCs w:val="24"/>
              </w:rPr>
              <w:t>86-100</w:t>
            </w:r>
            <w:r w:rsidRPr="00EC0A76">
              <w:rPr>
                <w:rFonts w:hAnsi="仿宋_GB2312" w:cs="仿宋_GB2312" w:hint="eastAsia"/>
                <w:b/>
                <w:bCs/>
                <w:sz w:val="24"/>
                <w:szCs w:val="24"/>
              </w:rPr>
              <w:t>分</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hAnsi="仿宋_GB2312" w:cs="仿宋_GB2312" w:hint="eastAsia"/>
                <w:b/>
                <w:bCs/>
                <w:sz w:val="24"/>
                <w:szCs w:val="24"/>
              </w:rPr>
              <w:t>71-85</w:t>
            </w:r>
            <w:r w:rsidRPr="00EC0A76">
              <w:rPr>
                <w:rFonts w:hAnsi="仿宋_GB2312" w:cs="仿宋_GB2312" w:hint="eastAsia"/>
                <w:b/>
                <w:bCs/>
                <w:sz w:val="24"/>
                <w:szCs w:val="24"/>
              </w:rPr>
              <w:t>分</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hAnsi="仿宋_GB2312" w:cs="仿宋_GB2312" w:hint="eastAsia"/>
                <w:b/>
                <w:bCs/>
                <w:sz w:val="24"/>
                <w:szCs w:val="24"/>
              </w:rPr>
              <w:t>50-70</w:t>
            </w:r>
            <w:r w:rsidRPr="00EC0A76">
              <w:rPr>
                <w:rFonts w:hAnsi="仿宋_GB2312" w:cs="仿宋_GB2312" w:hint="eastAsia"/>
                <w:b/>
                <w:bCs/>
                <w:sz w:val="24"/>
                <w:szCs w:val="24"/>
              </w:rPr>
              <w:t>分</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hAnsi="仿宋_GB2312" w:cs="仿宋_GB2312" w:hint="eastAsia"/>
                <w:b/>
                <w:bCs/>
                <w:sz w:val="24"/>
                <w:szCs w:val="24"/>
              </w:rPr>
              <w:t>0-49</w:t>
            </w:r>
            <w:r w:rsidRPr="00EC0A76">
              <w:rPr>
                <w:rFonts w:hAnsi="仿宋_GB2312" w:cs="仿宋_GB2312" w:hint="eastAsia"/>
                <w:b/>
                <w:bCs/>
                <w:sz w:val="24"/>
                <w:szCs w:val="24"/>
              </w:rPr>
              <w:t>分</w:t>
            </w:r>
          </w:p>
        </w:tc>
      </w:tr>
      <w:tr w:rsidR="00CA5AE3" w:rsidRPr="00EC0A76" w:rsidTr="00E07285">
        <w:trPr>
          <w:trHeight w:val="399"/>
          <w:jc w:val="center"/>
        </w:trPr>
        <w:tc>
          <w:tcPr>
            <w:tcW w:w="1753" w:type="dxa"/>
            <w:vAlign w:val="center"/>
          </w:tcPr>
          <w:p w:rsidR="00CA5AE3" w:rsidRPr="00EC0A76" w:rsidRDefault="00CA5AE3" w:rsidP="00EC0A76">
            <w:pPr>
              <w:spacing w:line="360" w:lineRule="auto"/>
              <w:jc w:val="left"/>
              <w:rPr>
                <w:rFonts w:ascii="仿宋_GB2312" w:hAnsi="仿宋_GB2312" w:cs="仿宋_GB2312"/>
                <w:bCs/>
                <w:sz w:val="24"/>
                <w:szCs w:val="24"/>
              </w:rPr>
            </w:pPr>
            <w:r w:rsidRPr="00EC0A76">
              <w:rPr>
                <w:rFonts w:ascii="仿宋_GB2312" w:hAnsi="仿宋_GB2312" w:cs="仿宋_GB2312" w:hint="eastAsia"/>
                <w:bCs/>
                <w:sz w:val="24"/>
                <w:szCs w:val="24"/>
              </w:rPr>
              <w:t>作业完成态度（权重0.2）</w:t>
            </w:r>
          </w:p>
        </w:tc>
        <w:tc>
          <w:tcPr>
            <w:tcW w:w="1753" w:type="dxa"/>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非常认真</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较认真</w:t>
            </w:r>
          </w:p>
        </w:tc>
        <w:tc>
          <w:tcPr>
            <w:tcW w:w="1754" w:type="dxa"/>
            <w:vAlign w:val="center"/>
          </w:tcPr>
          <w:p w:rsidR="00CA5AE3" w:rsidRPr="00EC0A76" w:rsidRDefault="00CA5AE3" w:rsidP="00EC0A76">
            <w:pPr>
              <w:spacing w:line="360" w:lineRule="auto"/>
              <w:ind w:firstLine="331"/>
              <w:jc w:val="left"/>
              <w:rPr>
                <w:rFonts w:hAnsi="仿宋_GB2312" w:cs="仿宋_GB2312"/>
                <w:bCs/>
                <w:sz w:val="24"/>
                <w:szCs w:val="24"/>
              </w:rPr>
            </w:pPr>
            <w:r w:rsidRPr="00EC0A76">
              <w:rPr>
                <w:rFonts w:hAnsi="仿宋_GB2312" w:cs="仿宋_GB2312" w:hint="eastAsia"/>
                <w:bCs/>
                <w:sz w:val="24"/>
                <w:szCs w:val="24"/>
              </w:rPr>
              <w:t>一般认真</w:t>
            </w:r>
          </w:p>
        </w:tc>
        <w:tc>
          <w:tcPr>
            <w:tcW w:w="1754" w:type="dxa"/>
            <w:vAlign w:val="center"/>
          </w:tcPr>
          <w:p w:rsidR="00CA5AE3" w:rsidRPr="00EC0A76" w:rsidRDefault="00CA5AE3" w:rsidP="00EC0A76">
            <w:pPr>
              <w:spacing w:line="360" w:lineRule="auto"/>
              <w:ind w:firstLine="331"/>
              <w:jc w:val="left"/>
              <w:rPr>
                <w:rFonts w:hAnsi="仿宋_GB2312" w:cs="仿宋_GB2312"/>
                <w:bCs/>
                <w:sz w:val="24"/>
                <w:szCs w:val="24"/>
              </w:rPr>
            </w:pPr>
            <w:r w:rsidRPr="00EC0A76">
              <w:rPr>
                <w:rFonts w:hAnsi="仿宋_GB2312" w:cs="仿宋_GB2312" w:hint="eastAsia"/>
                <w:bCs/>
                <w:sz w:val="24"/>
                <w:szCs w:val="24"/>
              </w:rPr>
              <w:t>不认真</w:t>
            </w:r>
          </w:p>
        </w:tc>
      </w:tr>
      <w:tr w:rsidR="00CA5AE3" w:rsidRPr="00EC0A76" w:rsidTr="00E07285">
        <w:trPr>
          <w:trHeight w:val="399"/>
          <w:jc w:val="center"/>
        </w:trPr>
        <w:tc>
          <w:tcPr>
            <w:tcW w:w="1753" w:type="dxa"/>
            <w:vAlign w:val="center"/>
          </w:tcPr>
          <w:p w:rsidR="00CA5AE3" w:rsidRPr="00EC0A76" w:rsidRDefault="00CA5AE3" w:rsidP="00EC0A76">
            <w:pPr>
              <w:spacing w:line="360" w:lineRule="auto"/>
              <w:jc w:val="left"/>
              <w:rPr>
                <w:rFonts w:ascii="仿宋_GB2312" w:hAnsi="仿宋_GB2312" w:cs="仿宋_GB2312"/>
                <w:bCs/>
                <w:sz w:val="24"/>
                <w:szCs w:val="24"/>
              </w:rPr>
            </w:pPr>
            <w:r w:rsidRPr="00EC0A76">
              <w:rPr>
                <w:rFonts w:ascii="仿宋_GB2312" w:hAnsi="仿宋_GB2312" w:cs="仿宋_GB2312" w:hint="eastAsia"/>
                <w:bCs/>
                <w:sz w:val="24"/>
                <w:szCs w:val="24"/>
              </w:rPr>
              <w:t>作业完成正确率（权重0.8）</w:t>
            </w:r>
          </w:p>
        </w:tc>
        <w:tc>
          <w:tcPr>
            <w:tcW w:w="1753" w:type="dxa"/>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正确率达86%以上</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正确率达71%以上</w:t>
            </w:r>
          </w:p>
        </w:tc>
        <w:tc>
          <w:tcPr>
            <w:tcW w:w="1754" w:type="dxa"/>
            <w:vAlign w:val="center"/>
          </w:tcPr>
          <w:p w:rsidR="00CA5AE3" w:rsidRPr="00EC0A76" w:rsidRDefault="00CA5AE3" w:rsidP="00EC0A76">
            <w:pPr>
              <w:spacing w:line="360" w:lineRule="auto"/>
              <w:ind w:firstLine="331"/>
              <w:jc w:val="left"/>
              <w:rPr>
                <w:rFonts w:hAnsi="仿宋_GB2312" w:cs="仿宋_GB2312"/>
                <w:bCs/>
                <w:sz w:val="24"/>
                <w:szCs w:val="24"/>
              </w:rPr>
            </w:pPr>
            <w:r w:rsidRPr="00EC0A76">
              <w:rPr>
                <w:rFonts w:ascii="仿宋_GB2312" w:hAnsi="仿宋_GB2312" w:cs="仿宋_GB2312" w:hint="eastAsia"/>
                <w:bCs/>
                <w:sz w:val="24"/>
                <w:szCs w:val="24"/>
              </w:rPr>
              <w:t>正确率达50%以上</w:t>
            </w:r>
          </w:p>
        </w:tc>
        <w:tc>
          <w:tcPr>
            <w:tcW w:w="1754" w:type="dxa"/>
            <w:vAlign w:val="center"/>
          </w:tcPr>
          <w:p w:rsidR="00CA5AE3" w:rsidRPr="00EC0A76" w:rsidRDefault="00CA5AE3" w:rsidP="00EC0A76">
            <w:pPr>
              <w:spacing w:line="360" w:lineRule="auto"/>
              <w:ind w:firstLine="331"/>
              <w:jc w:val="left"/>
              <w:rPr>
                <w:rFonts w:hAnsi="仿宋_GB2312" w:cs="仿宋_GB2312"/>
                <w:bCs/>
                <w:sz w:val="24"/>
                <w:szCs w:val="24"/>
              </w:rPr>
            </w:pPr>
            <w:r w:rsidRPr="00EC0A76">
              <w:rPr>
                <w:rFonts w:ascii="仿宋_GB2312" w:hAnsi="仿宋_GB2312" w:cs="仿宋_GB2312" w:hint="eastAsia"/>
                <w:bCs/>
                <w:sz w:val="24"/>
                <w:szCs w:val="24"/>
              </w:rPr>
              <w:t>正确率低于50%</w:t>
            </w:r>
          </w:p>
        </w:tc>
      </w:tr>
    </w:tbl>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（3）课堂表现评分标准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CA5AE3" w:rsidRPr="00EC0A76" w:rsidTr="00E07285">
        <w:trPr>
          <w:trHeight w:val="281"/>
          <w:jc w:val="center"/>
        </w:trPr>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ascii="仿宋_GB2312" w:hAnsi="仿宋_GB2312" w:cs="仿宋_GB2312" w:hint="eastAsia"/>
                <w:b/>
                <w:bCs/>
                <w:sz w:val="24"/>
                <w:szCs w:val="24"/>
              </w:rPr>
              <w:t>权重</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hAnsi="仿宋_GB2312" w:cs="仿宋_GB2312" w:hint="eastAsia"/>
                <w:b/>
                <w:bCs/>
                <w:sz w:val="24"/>
                <w:szCs w:val="24"/>
              </w:rPr>
              <w:t>86-100</w:t>
            </w:r>
            <w:r w:rsidRPr="00EC0A76">
              <w:rPr>
                <w:rFonts w:hAnsi="仿宋_GB2312" w:cs="仿宋_GB2312" w:hint="eastAsia"/>
                <w:b/>
                <w:bCs/>
                <w:sz w:val="24"/>
                <w:szCs w:val="24"/>
              </w:rPr>
              <w:t>分</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hAnsi="仿宋_GB2312" w:cs="仿宋_GB2312" w:hint="eastAsia"/>
                <w:b/>
                <w:bCs/>
                <w:sz w:val="24"/>
                <w:szCs w:val="24"/>
              </w:rPr>
              <w:t>71-85</w:t>
            </w:r>
            <w:r w:rsidRPr="00EC0A76">
              <w:rPr>
                <w:rFonts w:hAnsi="仿宋_GB2312" w:cs="仿宋_GB2312" w:hint="eastAsia"/>
                <w:b/>
                <w:bCs/>
                <w:sz w:val="24"/>
                <w:szCs w:val="24"/>
              </w:rPr>
              <w:t>分</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hAnsi="仿宋_GB2312" w:cs="仿宋_GB2312" w:hint="eastAsia"/>
                <w:b/>
                <w:bCs/>
                <w:sz w:val="24"/>
                <w:szCs w:val="24"/>
              </w:rPr>
              <w:t>50-70</w:t>
            </w:r>
            <w:r w:rsidRPr="00EC0A76">
              <w:rPr>
                <w:rFonts w:hAnsi="仿宋_GB2312" w:cs="仿宋_GB2312" w:hint="eastAsia"/>
                <w:b/>
                <w:bCs/>
                <w:sz w:val="24"/>
                <w:szCs w:val="24"/>
              </w:rPr>
              <w:t>分</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hAnsi="仿宋_GB2312" w:cs="仿宋_GB2312" w:hint="eastAsia"/>
                <w:b/>
                <w:bCs/>
                <w:sz w:val="24"/>
                <w:szCs w:val="24"/>
              </w:rPr>
              <w:t>0-49</w:t>
            </w:r>
            <w:r w:rsidRPr="00EC0A76">
              <w:rPr>
                <w:rFonts w:hAnsi="仿宋_GB2312" w:cs="仿宋_GB2312" w:hint="eastAsia"/>
                <w:b/>
                <w:bCs/>
                <w:sz w:val="24"/>
                <w:szCs w:val="24"/>
              </w:rPr>
              <w:t>分</w:t>
            </w:r>
          </w:p>
        </w:tc>
      </w:tr>
      <w:tr w:rsidR="00CA5AE3" w:rsidRPr="00EC0A76" w:rsidTr="00E07285">
        <w:trPr>
          <w:trHeight w:val="372"/>
          <w:jc w:val="center"/>
        </w:trPr>
        <w:tc>
          <w:tcPr>
            <w:tcW w:w="1754" w:type="dxa"/>
            <w:vAlign w:val="center"/>
          </w:tcPr>
          <w:p w:rsidR="00CA5AE3" w:rsidRPr="00EC0A76" w:rsidRDefault="00CA5AE3" w:rsidP="00EC0A76">
            <w:pPr>
              <w:spacing w:line="360" w:lineRule="auto"/>
              <w:jc w:val="left"/>
              <w:rPr>
                <w:rFonts w:ascii="仿宋_GB2312" w:hAnsi="仿宋_GB2312" w:cs="仿宋_GB2312"/>
                <w:bCs/>
                <w:sz w:val="24"/>
                <w:szCs w:val="24"/>
              </w:rPr>
            </w:pPr>
            <w:r w:rsidRPr="00EC0A76">
              <w:rPr>
                <w:rFonts w:ascii="仿宋_GB2312" w:hAnsi="仿宋_GB2312" w:cs="仿宋_GB2312" w:hint="eastAsia"/>
                <w:bCs/>
                <w:sz w:val="24"/>
                <w:szCs w:val="24"/>
              </w:rPr>
              <w:t>回答问题准确性（权重1.0）</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正确率达86%以上</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正确率达71%以上</w:t>
            </w:r>
          </w:p>
        </w:tc>
        <w:tc>
          <w:tcPr>
            <w:tcW w:w="1754" w:type="dxa"/>
            <w:vAlign w:val="center"/>
          </w:tcPr>
          <w:p w:rsidR="00CA5AE3" w:rsidRPr="00EC0A76" w:rsidRDefault="00CA5AE3" w:rsidP="00EC0A76">
            <w:pPr>
              <w:spacing w:line="360" w:lineRule="auto"/>
              <w:ind w:firstLine="331"/>
              <w:jc w:val="left"/>
              <w:rPr>
                <w:rFonts w:hAnsi="仿宋_GB2312" w:cs="仿宋_GB2312"/>
                <w:bCs/>
                <w:sz w:val="24"/>
                <w:szCs w:val="24"/>
              </w:rPr>
            </w:pPr>
            <w:r w:rsidRPr="00EC0A76">
              <w:rPr>
                <w:rFonts w:ascii="仿宋_GB2312" w:hAnsi="仿宋_GB2312" w:cs="仿宋_GB2312" w:hint="eastAsia"/>
                <w:bCs/>
                <w:sz w:val="24"/>
                <w:szCs w:val="24"/>
              </w:rPr>
              <w:t>正确率达50%以上</w:t>
            </w:r>
          </w:p>
        </w:tc>
        <w:tc>
          <w:tcPr>
            <w:tcW w:w="1754" w:type="dxa"/>
            <w:vAlign w:val="center"/>
          </w:tcPr>
          <w:p w:rsidR="00CA5AE3" w:rsidRPr="00EC0A76" w:rsidRDefault="00CA5AE3" w:rsidP="00EC0A76">
            <w:pPr>
              <w:spacing w:line="360" w:lineRule="auto"/>
              <w:ind w:firstLine="331"/>
              <w:jc w:val="left"/>
              <w:rPr>
                <w:rFonts w:hAnsi="仿宋_GB2312" w:cs="仿宋_GB2312"/>
                <w:bCs/>
                <w:sz w:val="24"/>
                <w:szCs w:val="24"/>
              </w:rPr>
            </w:pPr>
            <w:r w:rsidRPr="00EC0A76">
              <w:rPr>
                <w:rFonts w:ascii="仿宋_GB2312" w:hAnsi="仿宋_GB2312" w:cs="仿宋_GB2312" w:hint="eastAsia"/>
                <w:bCs/>
                <w:sz w:val="24"/>
                <w:szCs w:val="24"/>
              </w:rPr>
              <w:t>正确率低于50%</w:t>
            </w:r>
          </w:p>
        </w:tc>
      </w:tr>
    </w:tbl>
    <w:p w:rsidR="00CA5AE3" w:rsidRPr="00EC0A76" w:rsidRDefault="00CA5AE3" w:rsidP="00EC0A76">
      <w:pPr>
        <w:spacing w:line="360" w:lineRule="auto"/>
        <w:ind w:firstLine="331"/>
        <w:jc w:val="left"/>
        <w:rPr>
          <w:rFonts w:ascii="仿宋_GB2312" w:hAnsi="仿宋_GB2312" w:cs="仿宋_GB2312"/>
          <w:bCs/>
          <w:sz w:val="28"/>
          <w:szCs w:val="28"/>
        </w:rPr>
      </w:pPr>
      <w:r w:rsidRPr="00EC0A76">
        <w:rPr>
          <w:rFonts w:ascii="仿宋_GB2312" w:hAnsi="仿宋_GB2312" w:cs="仿宋_GB2312" w:hint="eastAsia"/>
          <w:bCs/>
          <w:sz w:val="28"/>
          <w:szCs w:val="28"/>
        </w:rPr>
        <w:t>（4）课堂出勤评分标准</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tblGrid>
      <w:tr w:rsidR="00CA5AE3" w:rsidRPr="00EC0A76" w:rsidTr="00E07285">
        <w:trPr>
          <w:trHeight w:val="281"/>
          <w:jc w:val="center"/>
        </w:trPr>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ascii="仿宋_GB2312" w:hAnsi="仿宋_GB2312" w:cs="仿宋_GB2312" w:hint="eastAsia"/>
                <w:b/>
                <w:bCs/>
                <w:sz w:val="24"/>
                <w:szCs w:val="24"/>
              </w:rPr>
              <w:t>权重</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hAnsi="仿宋_GB2312" w:cs="仿宋_GB2312" w:hint="eastAsia"/>
                <w:b/>
                <w:bCs/>
                <w:sz w:val="24"/>
                <w:szCs w:val="24"/>
              </w:rPr>
              <w:t>81-100</w:t>
            </w:r>
            <w:r w:rsidRPr="00EC0A76">
              <w:rPr>
                <w:rFonts w:hAnsi="仿宋_GB2312" w:cs="仿宋_GB2312" w:hint="eastAsia"/>
                <w:b/>
                <w:bCs/>
                <w:sz w:val="24"/>
                <w:szCs w:val="24"/>
              </w:rPr>
              <w:t>分</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hAnsi="仿宋_GB2312" w:cs="仿宋_GB2312" w:hint="eastAsia"/>
                <w:b/>
                <w:bCs/>
                <w:sz w:val="24"/>
                <w:szCs w:val="24"/>
              </w:rPr>
              <w:t>51-80</w:t>
            </w:r>
            <w:r w:rsidRPr="00EC0A76">
              <w:rPr>
                <w:rFonts w:hAnsi="仿宋_GB2312" w:cs="仿宋_GB2312" w:hint="eastAsia"/>
                <w:b/>
                <w:bCs/>
                <w:sz w:val="24"/>
                <w:szCs w:val="24"/>
              </w:rPr>
              <w:t>分</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hAnsi="仿宋_GB2312" w:cs="仿宋_GB2312" w:hint="eastAsia"/>
                <w:b/>
                <w:bCs/>
                <w:sz w:val="24"/>
                <w:szCs w:val="24"/>
              </w:rPr>
              <w:t>26-50</w:t>
            </w:r>
            <w:r w:rsidRPr="00EC0A76">
              <w:rPr>
                <w:rFonts w:hAnsi="仿宋_GB2312" w:cs="仿宋_GB2312" w:hint="eastAsia"/>
                <w:b/>
                <w:bCs/>
                <w:sz w:val="24"/>
                <w:szCs w:val="24"/>
              </w:rPr>
              <w:t>分</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
                <w:bCs/>
                <w:sz w:val="24"/>
                <w:szCs w:val="24"/>
              </w:rPr>
            </w:pPr>
            <w:r w:rsidRPr="00EC0A76">
              <w:rPr>
                <w:rFonts w:hAnsi="仿宋_GB2312" w:cs="仿宋_GB2312" w:hint="eastAsia"/>
                <w:b/>
                <w:bCs/>
                <w:sz w:val="24"/>
                <w:szCs w:val="24"/>
              </w:rPr>
              <w:t>0-25</w:t>
            </w:r>
            <w:r w:rsidRPr="00EC0A76">
              <w:rPr>
                <w:rFonts w:hAnsi="仿宋_GB2312" w:cs="仿宋_GB2312" w:hint="eastAsia"/>
                <w:b/>
                <w:bCs/>
                <w:sz w:val="24"/>
                <w:szCs w:val="24"/>
              </w:rPr>
              <w:t>分</w:t>
            </w:r>
          </w:p>
        </w:tc>
      </w:tr>
      <w:tr w:rsidR="00CA5AE3" w:rsidRPr="00EC0A76" w:rsidTr="00E07285">
        <w:trPr>
          <w:trHeight w:val="372"/>
          <w:jc w:val="center"/>
        </w:trPr>
        <w:tc>
          <w:tcPr>
            <w:tcW w:w="1754" w:type="dxa"/>
            <w:vAlign w:val="center"/>
          </w:tcPr>
          <w:p w:rsidR="00CA5AE3" w:rsidRPr="00EC0A76" w:rsidRDefault="00CA5AE3" w:rsidP="00EC0A76">
            <w:pPr>
              <w:spacing w:line="360" w:lineRule="auto"/>
              <w:jc w:val="left"/>
              <w:rPr>
                <w:rFonts w:ascii="仿宋_GB2312" w:hAnsi="仿宋_GB2312" w:cs="仿宋_GB2312"/>
                <w:bCs/>
                <w:sz w:val="24"/>
                <w:szCs w:val="24"/>
              </w:rPr>
            </w:pPr>
            <w:r w:rsidRPr="00EC0A76">
              <w:rPr>
                <w:rFonts w:ascii="仿宋_GB2312" w:hAnsi="仿宋_GB2312" w:cs="仿宋_GB2312" w:hint="eastAsia"/>
                <w:bCs/>
                <w:sz w:val="24"/>
                <w:szCs w:val="24"/>
              </w:rPr>
              <w:t>课堂出勤率</w:t>
            </w:r>
          </w:p>
          <w:p w:rsidR="00CA5AE3" w:rsidRPr="00EC0A76" w:rsidRDefault="00CA5AE3" w:rsidP="00EC0A76">
            <w:pPr>
              <w:spacing w:line="360" w:lineRule="auto"/>
              <w:jc w:val="left"/>
              <w:rPr>
                <w:rFonts w:ascii="仿宋_GB2312" w:hAnsi="仿宋_GB2312" w:cs="仿宋_GB2312"/>
                <w:bCs/>
                <w:sz w:val="24"/>
                <w:szCs w:val="24"/>
              </w:rPr>
            </w:pPr>
            <w:r w:rsidRPr="00EC0A76">
              <w:rPr>
                <w:rFonts w:ascii="仿宋_GB2312" w:hAnsi="仿宋_GB2312" w:cs="仿宋_GB2312" w:hint="eastAsia"/>
                <w:bCs/>
                <w:sz w:val="24"/>
                <w:szCs w:val="24"/>
              </w:rPr>
              <w:t>（权重1.0）</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出勤率达81%以上</w:t>
            </w:r>
          </w:p>
        </w:tc>
        <w:tc>
          <w:tcPr>
            <w:tcW w:w="1754" w:type="dxa"/>
            <w:vAlign w:val="center"/>
          </w:tcPr>
          <w:p w:rsidR="00CA5AE3" w:rsidRPr="00EC0A76" w:rsidRDefault="00CA5AE3" w:rsidP="00EC0A76">
            <w:pPr>
              <w:spacing w:line="360" w:lineRule="auto"/>
              <w:ind w:firstLine="331"/>
              <w:jc w:val="left"/>
              <w:rPr>
                <w:rFonts w:ascii="仿宋_GB2312" w:hAnsi="仿宋_GB2312" w:cs="仿宋_GB2312"/>
                <w:bCs/>
                <w:sz w:val="24"/>
                <w:szCs w:val="24"/>
              </w:rPr>
            </w:pPr>
            <w:r w:rsidRPr="00EC0A76">
              <w:rPr>
                <w:rFonts w:ascii="仿宋_GB2312" w:hAnsi="仿宋_GB2312" w:cs="仿宋_GB2312" w:hint="eastAsia"/>
                <w:bCs/>
                <w:sz w:val="24"/>
                <w:szCs w:val="24"/>
              </w:rPr>
              <w:t>出勤率达51%以上</w:t>
            </w:r>
          </w:p>
        </w:tc>
        <w:tc>
          <w:tcPr>
            <w:tcW w:w="1754" w:type="dxa"/>
            <w:vAlign w:val="center"/>
          </w:tcPr>
          <w:p w:rsidR="00CA5AE3" w:rsidRPr="00EC0A76" w:rsidRDefault="00CA5AE3" w:rsidP="00EC0A76">
            <w:pPr>
              <w:spacing w:line="360" w:lineRule="auto"/>
              <w:ind w:firstLine="331"/>
              <w:jc w:val="left"/>
              <w:rPr>
                <w:rFonts w:hAnsi="仿宋_GB2312" w:cs="仿宋_GB2312"/>
                <w:bCs/>
                <w:sz w:val="24"/>
                <w:szCs w:val="24"/>
              </w:rPr>
            </w:pPr>
            <w:r w:rsidRPr="00EC0A76">
              <w:rPr>
                <w:rFonts w:ascii="仿宋_GB2312" w:hAnsi="仿宋_GB2312" w:cs="仿宋_GB2312" w:hint="eastAsia"/>
                <w:bCs/>
                <w:sz w:val="24"/>
                <w:szCs w:val="24"/>
              </w:rPr>
              <w:t>出勤率达26%以上</w:t>
            </w:r>
          </w:p>
        </w:tc>
        <w:tc>
          <w:tcPr>
            <w:tcW w:w="1754" w:type="dxa"/>
            <w:vAlign w:val="center"/>
          </w:tcPr>
          <w:p w:rsidR="00CA5AE3" w:rsidRPr="00EC0A76" w:rsidRDefault="00CA5AE3" w:rsidP="00EC0A76">
            <w:pPr>
              <w:spacing w:line="360" w:lineRule="auto"/>
              <w:ind w:firstLine="331"/>
              <w:jc w:val="left"/>
              <w:rPr>
                <w:rFonts w:hAnsi="仿宋_GB2312" w:cs="仿宋_GB2312"/>
                <w:bCs/>
                <w:sz w:val="24"/>
                <w:szCs w:val="24"/>
              </w:rPr>
            </w:pPr>
            <w:r w:rsidRPr="00EC0A76">
              <w:rPr>
                <w:rFonts w:ascii="仿宋_GB2312" w:hAnsi="仿宋_GB2312" w:cs="仿宋_GB2312" w:hint="eastAsia"/>
                <w:bCs/>
                <w:sz w:val="24"/>
                <w:szCs w:val="24"/>
              </w:rPr>
              <w:t>出勤率低于25%</w:t>
            </w:r>
          </w:p>
        </w:tc>
      </w:tr>
    </w:tbl>
    <w:p w:rsidR="00CA5AE3" w:rsidRDefault="00CA5AE3" w:rsidP="00CA5AE3">
      <w:pPr>
        <w:spacing w:line="360" w:lineRule="auto"/>
        <w:ind w:firstLineChars="200" w:firstLine="422"/>
        <w:jc w:val="left"/>
        <w:rPr>
          <w:rFonts w:ascii="宋体" w:eastAsia="宋体" w:hAnsi="宋体"/>
          <w:b/>
          <w:color w:val="FF0000"/>
          <w:sz w:val="21"/>
          <w:szCs w:val="21"/>
        </w:rPr>
      </w:pPr>
    </w:p>
    <w:p w:rsidR="00CA5AE3" w:rsidRDefault="00CA5AE3" w:rsidP="00CA5AE3">
      <w:pPr>
        <w:spacing w:beforeLines="50" w:before="156" w:afterLines="50" w:after="156" w:line="460" w:lineRule="exact"/>
        <w:ind w:firstLineChars="147" w:firstLine="413"/>
        <w:rPr>
          <w:rFonts w:ascii="黑体" w:eastAsia="黑体" w:hAnsi="黑体"/>
          <w:b/>
          <w:sz w:val="28"/>
          <w:szCs w:val="28"/>
        </w:rPr>
      </w:pPr>
      <w:r>
        <w:rPr>
          <w:rFonts w:ascii="黑体" w:eastAsia="黑体" w:hAnsi="黑体" w:hint="eastAsia"/>
          <w:b/>
          <w:sz w:val="28"/>
          <w:szCs w:val="28"/>
        </w:rPr>
        <w:t>六、课程建议教材及主要参考资料</w:t>
      </w:r>
    </w:p>
    <w:p w:rsidR="00CA5AE3" w:rsidRPr="00EC0A76" w:rsidRDefault="00CA5AE3" w:rsidP="00CA5AE3">
      <w:pPr>
        <w:spacing w:line="360" w:lineRule="auto"/>
        <w:ind w:firstLineChars="200" w:firstLine="560"/>
        <w:rPr>
          <w:rFonts w:ascii="仿宋_GB2312" w:hAnsi="仿宋_GB2312" w:cs="仿宋_GB2312"/>
          <w:bCs/>
          <w:sz w:val="28"/>
          <w:szCs w:val="28"/>
        </w:rPr>
      </w:pPr>
      <w:r w:rsidRPr="00EC0A76">
        <w:rPr>
          <w:rFonts w:ascii="仿宋_GB2312" w:hAnsi="仿宋_GB2312" w:cs="仿宋_GB2312" w:hint="eastAsia"/>
          <w:bCs/>
          <w:sz w:val="28"/>
          <w:szCs w:val="28"/>
        </w:rPr>
        <w:t>1.建议教材</w:t>
      </w:r>
    </w:p>
    <w:p w:rsidR="00CA5AE3" w:rsidRPr="00EC0A76" w:rsidRDefault="00CA5AE3" w:rsidP="00CA5AE3">
      <w:pPr>
        <w:spacing w:line="360" w:lineRule="auto"/>
        <w:ind w:firstLineChars="200" w:firstLine="560"/>
        <w:rPr>
          <w:rFonts w:ascii="仿宋_GB2312" w:hAnsi="仿宋_GB2312" w:cs="仿宋_GB2312"/>
          <w:bCs/>
          <w:sz w:val="28"/>
          <w:szCs w:val="28"/>
        </w:rPr>
      </w:pPr>
      <w:r w:rsidRPr="00EC0A76">
        <w:rPr>
          <w:rFonts w:ascii="仿宋_GB2312" w:hAnsi="仿宋_GB2312" w:cs="仿宋_GB2312" w:hint="eastAsia"/>
          <w:bCs/>
          <w:sz w:val="28"/>
          <w:szCs w:val="28"/>
        </w:rPr>
        <w:t>教  材：《工程经济学》第三版，刘晓君著，中国建筑工业出版社，2015年02月。</w:t>
      </w:r>
    </w:p>
    <w:p w:rsidR="00CA5AE3" w:rsidRPr="00EC0A76" w:rsidRDefault="00CA5AE3" w:rsidP="00CA5AE3">
      <w:pPr>
        <w:spacing w:line="360" w:lineRule="auto"/>
        <w:ind w:firstLineChars="200" w:firstLine="560"/>
        <w:rPr>
          <w:rFonts w:ascii="仿宋_GB2312" w:hAnsi="仿宋_GB2312" w:cs="仿宋_GB2312"/>
          <w:bCs/>
          <w:sz w:val="28"/>
          <w:szCs w:val="28"/>
        </w:rPr>
      </w:pPr>
      <w:r w:rsidRPr="00EC0A76">
        <w:rPr>
          <w:rFonts w:ascii="仿宋_GB2312" w:hAnsi="仿宋_GB2312" w:cs="仿宋_GB2312" w:hint="eastAsia"/>
          <w:bCs/>
          <w:sz w:val="28"/>
          <w:szCs w:val="28"/>
        </w:rPr>
        <w:t>2.主要参考资料</w:t>
      </w:r>
    </w:p>
    <w:p w:rsidR="00CA5AE3" w:rsidRPr="00EC0A76" w:rsidRDefault="00CA5AE3" w:rsidP="00CA5AE3">
      <w:pPr>
        <w:spacing w:line="360" w:lineRule="auto"/>
        <w:ind w:firstLineChars="200" w:firstLine="560"/>
        <w:rPr>
          <w:rFonts w:ascii="仿宋_GB2312" w:hAnsi="仿宋_GB2312" w:cs="仿宋_GB2312"/>
          <w:bCs/>
          <w:sz w:val="28"/>
          <w:szCs w:val="28"/>
        </w:rPr>
      </w:pPr>
      <w:r w:rsidRPr="00EC0A76">
        <w:rPr>
          <w:rFonts w:ascii="仿宋_GB2312" w:hAnsi="仿宋_GB2312" w:cs="仿宋_GB2312" w:hint="eastAsia"/>
          <w:bCs/>
          <w:sz w:val="28"/>
          <w:szCs w:val="28"/>
        </w:rPr>
        <w:t>《建设项目经济评价方法与参数》 国家发改委，中国计划出版社， 2006年；</w:t>
      </w:r>
    </w:p>
    <w:p w:rsidR="00CA5AE3" w:rsidRPr="00EC0A76" w:rsidRDefault="00CA5AE3" w:rsidP="00CA5AE3">
      <w:pPr>
        <w:spacing w:line="360" w:lineRule="auto"/>
        <w:ind w:firstLineChars="200" w:firstLine="560"/>
        <w:rPr>
          <w:rFonts w:ascii="仿宋_GB2312" w:hAnsi="仿宋_GB2312" w:cs="仿宋_GB2312"/>
          <w:bCs/>
          <w:sz w:val="28"/>
          <w:szCs w:val="28"/>
        </w:rPr>
      </w:pPr>
      <w:r w:rsidRPr="00EC0A76">
        <w:rPr>
          <w:rFonts w:ascii="仿宋_GB2312" w:hAnsi="仿宋_GB2312" w:cs="仿宋_GB2312" w:hint="eastAsia"/>
          <w:bCs/>
          <w:sz w:val="28"/>
          <w:szCs w:val="28"/>
        </w:rPr>
        <w:t>《可行性研究与项目评估》，宋维佳等著，东北财经大学出版社，2015年08月；</w:t>
      </w:r>
    </w:p>
    <w:p w:rsidR="00CA5AE3" w:rsidRPr="00EC0A76" w:rsidRDefault="00CA5AE3" w:rsidP="00CA5AE3">
      <w:pPr>
        <w:spacing w:line="360" w:lineRule="auto"/>
        <w:ind w:firstLineChars="200" w:firstLine="560"/>
        <w:rPr>
          <w:rFonts w:ascii="仿宋_GB2312" w:hAnsi="仿宋_GB2312" w:cs="仿宋_GB2312"/>
          <w:bCs/>
          <w:sz w:val="28"/>
          <w:szCs w:val="28"/>
        </w:rPr>
      </w:pPr>
      <w:r w:rsidRPr="00EC0A76">
        <w:rPr>
          <w:rFonts w:ascii="仿宋_GB2312" w:hAnsi="仿宋_GB2312" w:cs="仿宋_GB2312" w:hint="eastAsia"/>
          <w:bCs/>
          <w:sz w:val="28"/>
          <w:szCs w:val="28"/>
        </w:rPr>
        <w:t>《建设工程项目管理》全国一级建造师考试新版，中国建筑工业出版社</w:t>
      </w:r>
    </w:p>
    <w:p w:rsidR="00CA5AE3" w:rsidRDefault="00CA5AE3" w:rsidP="00CA5AE3">
      <w:pPr>
        <w:spacing w:beforeLines="50" w:before="156" w:afterLines="50" w:after="156" w:line="460" w:lineRule="exact"/>
        <w:rPr>
          <w:rFonts w:ascii="黑体" w:eastAsia="黑体" w:hAnsi="黑体"/>
          <w:b/>
          <w:sz w:val="28"/>
          <w:szCs w:val="28"/>
        </w:rPr>
      </w:pPr>
    </w:p>
    <w:p w:rsidR="00CA5AE3" w:rsidRDefault="00CA5AE3" w:rsidP="00CA5AE3">
      <w:pPr>
        <w:rPr>
          <w:rFonts w:ascii="仿宋" w:eastAsia="仿宋" w:hAnsi="仿宋"/>
          <w:sz w:val="28"/>
          <w:szCs w:val="28"/>
        </w:rPr>
      </w:pPr>
    </w:p>
    <w:p w:rsidR="00CA5AE3" w:rsidRDefault="00CA5AE3" w:rsidP="00CA5AE3">
      <w:pPr>
        <w:ind w:firstLineChars="1200" w:firstLine="3360"/>
        <w:rPr>
          <w:rFonts w:ascii="仿宋" w:eastAsia="仿宋" w:hAnsi="仿宋"/>
          <w:sz w:val="28"/>
          <w:szCs w:val="28"/>
        </w:rPr>
      </w:pPr>
      <w:r>
        <w:rPr>
          <w:rFonts w:ascii="仿宋" w:eastAsia="仿宋" w:hAnsi="仿宋" w:hint="eastAsia"/>
          <w:sz w:val="28"/>
          <w:szCs w:val="28"/>
        </w:rPr>
        <w:t xml:space="preserve">大纲撰写人：李寓  </w:t>
      </w:r>
    </w:p>
    <w:p w:rsidR="00CA5AE3" w:rsidRDefault="00CA5AE3" w:rsidP="00CA5AE3">
      <w:pPr>
        <w:ind w:firstLineChars="1200" w:firstLine="3360"/>
        <w:rPr>
          <w:rFonts w:ascii="仿宋" w:eastAsia="仿宋" w:hAnsi="仿宋"/>
          <w:sz w:val="28"/>
          <w:szCs w:val="28"/>
        </w:rPr>
      </w:pPr>
      <w:r>
        <w:rPr>
          <w:rFonts w:ascii="仿宋" w:eastAsia="仿宋" w:hAnsi="仿宋" w:hint="eastAsia"/>
          <w:sz w:val="28"/>
          <w:szCs w:val="28"/>
        </w:rPr>
        <w:t xml:space="preserve">课程负责人：李寓  </w:t>
      </w:r>
    </w:p>
    <w:p w:rsidR="00F11446" w:rsidRDefault="00CA5AE3" w:rsidP="00F11446">
      <w:pPr>
        <w:ind w:firstLineChars="1200" w:firstLine="3360"/>
        <w:rPr>
          <w:rFonts w:ascii="仿宋" w:eastAsia="仿宋" w:hAnsi="仿宋"/>
          <w:sz w:val="28"/>
          <w:szCs w:val="28"/>
        </w:rPr>
      </w:pPr>
      <w:r>
        <w:rPr>
          <w:rFonts w:ascii="仿宋" w:eastAsia="仿宋" w:hAnsi="仿宋" w:hint="eastAsia"/>
          <w:sz w:val="28"/>
          <w:szCs w:val="28"/>
        </w:rPr>
        <w:t>审核人：袁春燕</w:t>
      </w:r>
    </w:p>
    <w:p w:rsidR="00CA5AE3" w:rsidRDefault="00CA5AE3" w:rsidP="00CA5AE3">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A5AE3" w:rsidRDefault="00CA5AE3" w:rsidP="00CA5AE3">
      <w:pPr>
        <w:ind w:firstLineChars="2000" w:firstLine="5600"/>
        <w:jc w:val="left"/>
        <w:rPr>
          <w:rFonts w:ascii="仿宋" w:hAnsi="仿宋"/>
          <w:sz w:val="28"/>
          <w:szCs w:val="28"/>
        </w:rPr>
      </w:pPr>
      <w:r>
        <w:rPr>
          <w:rFonts w:ascii="仿宋_GB2312" w:hAnsi="微软雅黑" w:hint="eastAsia"/>
          <w:sz w:val="28"/>
          <w:szCs w:val="28"/>
        </w:rPr>
        <w:t xml:space="preserve">    </w:t>
      </w:r>
    </w:p>
    <w:p w:rsidR="00CA5AE3" w:rsidRDefault="00CA5AE3" w:rsidP="00CA5AE3">
      <w:pPr>
        <w:jc w:val="left"/>
        <w:rPr>
          <w:rFonts w:ascii="仿宋" w:eastAsia="仿宋" w:hAnsi="仿宋"/>
          <w:sz w:val="28"/>
          <w:szCs w:val="28"/>
        </w:rPr>
      </w:pPr>
      <w:r>
        <w:rPr>
          <w:rFonts w:ascii="仿宋" w:eastAsia="仿宋" w:hAnsi="仿宋" w:hint="eastAsia"/>
          <w:sz w:val="28"/>
          <w:szCs w:val="28"/>
        </w:rPr>
        <w:t xml:space="preserve">                                           2021 年 4 月</w:t>
      </w:r>
    </w:p>
    <w:p w:rsidR="00F11446" w:rsidRDefault="00F11446" w:rsidP="00CA5AE3">
      <w:pPr>
        <w:jc w:val="left"/>
        <w:rPr>
          <w:rFonts w:ascii="仿宋" w:eastAsia="仿宋" w:hAnsi="仿宋"/>
          <w:sz w:val="28"/>
          <w:szCs w:val="28"/>
        </w:rPr>
      </w:pPr>
    </w:p>
    <w:p w:rsidR="005A1D0C" w:rsidRDefault="005A1D0C" w:rsidP="00CA5AE3">
      <w:pPr>
        <w:jc w:val="left"/>
        <w:rPr>
          <w:rFonts w:ascii="仿宋" w:eastAsia="仿宋" w:hAnsi="仿宋"/>
          <w:sz w:val="28"/>
          <w:szCs w:val="28"/>
        </w:rPr>
      </w:pPr>
    </w:p>
    <w:p w:rsidR="005A1D0C" w:rsidRDefault="005A1D0C" w:rsidP="005A1D0C">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5A1D0C">
        <w:rPr>
          <w:rFonts w:ascii="方正小标宋简体" w:eastAsia="方正小标宋简体" w:hAnsi="宋体" w:hint="eastAsia"/>
          <w:kern w:val="0"/>
          <w:szCs w:val="32"/>
        </w:rPr>
        <w:t>工程定额原理</w:t>
      </w:r>
      <w:r>
        <w:rPr>
          <w:rFonts w:ascii="方正小标宋简体" w:eastAsia="方正小标宋简体" w:hAnsi="宋体" w:hint="eastAsia"/>
          <w:kern w:val="0"/>
          <w:szCs w:val="32"/>
        </w:rPr>
        <w:t>》课程教学大纲</w:t>
      </w:r>
    </w:p>
    <w:p w:rsidR="005A1D0C" w:rsidRDefault="005A1D0C" w:rsidP="005A1D0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5A1D0C" w:rsidRDefault="005A1D0C" w:rsidP="005A1D0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sidRPr="005A1D0C">
        <w:rPr>
          <w:rFonts w:ascii="仿宋_GB2312" w:hAnsi="仿宋_GB2312" w:cs="仿宋_GB2312"/>
          <w:bCs/>
          <w:sz w:val="28"/>
          <w:szCs w:val="28"/>
        </w:rPr>
        <w:t>The Principle of construction engineering quota</w:t>
      </w:r>
    </w:p>
    <w:p w:rsidR="005A1D0C" w:rsidRDefault="005A1D0C" w:rsidP="005A1D0C">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sidRPr="005A1D0C">
        <w:rPr>
          <w:rFonts w:ascii="仿宋_GB2312" w:hAnsi="仿宋_GB2312" w:cs="仿宋_GB2312"/>
          <w:bCs/>
          <w:sz w:val="28"/>
          <w:szCs w:val="28"/>
        </w:rPr>
        <w:t>Z2805280</w:t>
      </w:r>
    </w:p>
    <w:p w:rsidR="005A1D0C" w:rsidRDefault="005A1D0C" w:rsidP="005A1D0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5A1D0C" w:rsidRDefault="005A1D0C" w:rsidP="005A1D0C">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5A1D0C" w:rsidRDefault="005A1D0C" w:rsidP="005A1D0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课程类别：专业发展课程</w:t>
      </w:r>
    </w:p>
    <w:p w:rsidR="005A1D0C" w:rsidRDefault="005A1D0C" w:rsidP="005A1D0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5A1D0C" w:rsidRDefault="005A1D0C" w:rsidP="005A1D0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5A1D0C" w:rsidRDefault="005A1D0C" w:rsidP="005A1D0C">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w:t>
      </w:r>
    </w:p>
    <w:p w:rsidR="005A1D0C" w:rsidRDefault="005A1D0C" w:rsidP="005A1D0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w:t>
      </w:r>
      <w:r w:rsidRPr="005A1D0C">
        <w:rPr>
          <w:rFonts w:ascii="仿宋_GB2312" w:hAnsi="仿宋_GB2312" w:cs="仿宋_GB2312" w:hint="eastAsia"/>
          <w:bCs/>
          <w:sz w:val="28"/>
          <w:szCs w:val="28"/>
        </w:rPr>
        <w:t>工程造价专业</w:t>
      </w:r>
    </w:p>
    <w:p w:rsidR="005A1D0C" w:rsidRDefault="005A1D0C" w:rsidP="005A1D0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sidRPr="005A1D0C">
        <w:rPr>
          <w:rFonts w:ascii="仿宋_GB2312" w:hAnsi="仿宋_GB2312" w:cs="仿宋_GB2312" w:hint="eastAsia"/>
          <w:bCs/>
          <w:sz w:val="28"/>
          <w:szCs w:val="28"/>
        </w:rPr>
        <w:t>房屋构造、建筑结构、施工技术</w:t>
      </w:r>
    </w:p>
    <w:p w:rsidR="005A1D0C" w:rsidRDefault="005A1D0C" w:rsidP="005A1D0C">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w:t>
      </w:r>
      <w:r w:rsidRPr="005A1D0C">
        <w:rPr>
          <w:rFonts w:ascii="仿宋_GB2312" w:hAnsi="仿宋_GB2312" w:cs="仿宋_GB2312" w:hint="eastAsia"/>
          <w:bCs/>
          <w:sz w:val="28"/>
          <w:szCs w:val="28"/>
        </w:rPr>
        <w:t>土木工程学院施工与管理教研室</w:t>
      </w:r>
    </w:p>
    <w:p w:rsidR="005A1D0C" w:rsidRDefault="005A1D0C" w:rsidP="005A1D0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F11446" w:rsidRPr="005A1D0C" w:rsidRDefault="00F11446" w:rsidP="005A1D0C">
      <w:pPr>
        <w:spacing w:line="360" w:lineRule="auto"/>
        <w:jc w:val="left"/>
        <w:rPr>
          <w:rFonts w:ascii="仿宋_GB2312" w:hAnsi="仿宋_GB2312" w:cs="仿宋_GB2312"/>
          <w:bCs/>
          <w:sz w:val="28"/>
          <w:szCs w:val="28"/>
        </w:rPr>
      </w:pPr>
      <w:r w:rsidRPr="005A1D0C">
        <w:rPr>
          <w:rFonts w:ascii="仿宋_GB2312" w:hAnsi="仿宋_GB2312" w:cs="仿宋_GB2312"/>
          <w:bCs/>
          <w:sz w:val="28"/>
          <w:szCs w:val="28"/>
        </w:rPr>
        <w:t>课程教学目标</w:t>
      </w:r>
    </w:p>
    <w:p w:rsidR="00F11446" w:rsidRPr="005A1D0C" w:rsidRDefault="00F11446" w:rsidP="005A1D0C">
      <w:pPr>
        <w:spacing w:line="360" w:lineRule="auto"/>
        <w:ind w:firstLineChars="200" w:firstLine="560"/>
        <w:rPr>
          <w:rFonts w:ascii="仿宋_GB2312" w:hAnsi="仿宋_GB2312" w:cs="仿宋_GB2312"/>
          <w:bCs/>
          <w:sz w:val="28"/>
          <w:szCs w:val="28"/>
        </w:rPr>
      </w:pPr>
      <w:r w:rsidRPr="005A1D0C">
        <w:rPr>
          <w:rFonts w:ascii="仿宋_GB2312" w:hAnsi="仿宋_GB2312" w:cs="仿宋_GB2312" w:hint="eastAsia"/>
          <w:bCs/>
          <w:sz w:val="28"/>
          <w:szCs w:val="28"/>
        </w:rPr>
        <w:t>本课程是面向</w:t>
      </w:r>
      <w:r w:rsidRPr="005A1D0C">
        <w:rPr>
          <w:rFonts w:ascii="仿宋_GB2312" w:hAnsi="仿宋_GB2312" w:cs="仿宋_GB2312"/>
          <w:bCs/>
          <w:sz w:val="28"/>
          <w:szCs w:val="28"/>
        </w:rPr>
        <w:t>工程</w:t>
      </w:r>
      <w:r w:rsidRPr="005A1D0C">
        <w:rPr>
          <w:rFonts w:ascii="仿宋_GB2312" w:hAnsi="仿宋_GB2312" w:cs="仿宋_GB2312" w:hint="eastAsia"/>
          <w:bCs/>
          <w:sz w:val="28"/>
          <w:szCs w:val="28"/>
        </w:rPr>
        <w:t>造价</w:t>
      </w:r>
      <w:r w:rsidRPr="005A1D0C">
        <w:rPr>
          <w:rFonts w:ascii="仿宋_GB2312" w:hAnsi="仿宋_GB2312" w:cs="仿宋_GB2312"/>
          <w:bCs/>
          <w:sz w:val="28"/>
          <w:szCs w:val="28"/>
        </w:rPr>
        <w:t>专业</w:t>
      </w:r>
      <w:r w:rsidRPr="005A1D0C">
        <w:rPr>
          <w:rFonts w:ascii="仿宋_GB2312" w:hAnsi="仿宋_GB2312" w:cs="仿宋_GB2312" w:hint="eastAsia"/>
          <w:bCs/>
          <w:sz w:val="28"/>
          <w:szCs w:val="28"/>
        </w:rPr>
        <w:t>开设的专业发展必修课程。旨在通过这门课程的教学，使学生了解工程定额的基本概念、工程定额的体系；掌握工程定额的编制原则和方法，能够客观、全面地研究建筑产品的生产与消耗之间的数量关系；掌握工程定额的使用方法，能够熟练使用建筑工程中常用的工程定额，能够适当地参与工程定额编制中的一些工作如资料收集、调查、统计、分析和消耗量数据的确定等；具备</w:t>
      </w:r>
      <w:r w:rsidRPr="005A1D0C">
        <w:rPr>
          <w:rFonts w:ascii="仿宋_GB2312" w:hAnsi="仿宋_GB2312" w:cs="仿宋_GB2312" w:hint="eastAsia"/>
          <w:bCs/>
          <w:sz w:val="28"/>
          <w:szCs w:val="28"/>
        </w:rPr>
        <w:lastRenderedPageBreak/>
        <w:t>一定的利用数学及建筑工程领域相关知识解决工程量计算问题的能力；</w:t>
      </w:r>
      <w:r w:rsidRPr="005A1D0C">
        <w:rPr>
          <w:rFonts w:ascii="仿宋_GB2312" w:hAnsi="仿宋_GB2312" w:cs="仿宋_GB2312"/>
          <w:bCs/>
          <w:sz w:val="28"/>
          <w:szCs w:val="28"/>
        </w:rPr>
        <w:t>培养学生具备行业</w:t>
      </w:r>
      <w:r w:rsidRPr="005A1D0C">
        <w:rPr>
          <w:rFonts w:ascii="仿宋_GB2312" w:hAnsi="仿宋_GB2312" w:cs="仿宋_GB2312" w:hint="eastAsia"/>
          <w:bCs/>
          <w:sz w:val="28"/>
          <w:szCs w:val="28"/>
        </w:rPr>
        <w:t>职业</w:t>
      </w:r>
      <w:r w:rsidRPr="005A1D0C">
        <w:rPr>
          <w:rFonts w:ascii="仿宋_GB2312" w:hAnsi="仿宋_GB2312" w:cs="仿宋_GB2312"/>
          <w:bCs/>
          <w:sz w:val="28"/>
          <w:szCs w:val="28"/>
        </w:rPr>
        <w:t>道德和社会责任感，能够在工程实践中理解并遵守工程职业道德和规范，</w:t>
      </w:r>
      <w:r w:rsidRPr="005A1D0C">
        <w:rPr>
          <w:rFonts w:ascii="仿宋_GB2312" w:hAnsi="仿宋_GB2312" w:cs="仿宋_GB2312" w:hint="eastAsia"/>
          <w:bCs/>
          <w:sz w:val="28"/>
          <w:szCs w:val="28"/>
        </w:rPr>
        <w:t>并具有终生学习的动力和能力</w:t>
      </w:r>
      <w:r w:rsidRPr="005A1D0C">
        <w:rPr>
          <w:rFonts w:ascii="仿宋_GB2312" w:hAnsi="仿宋_GB2312" w:cs="仿宋_GB2312"/>
          <w:bCs/>
          <w:sz w:val="28"/>
          <w:szCs w:val="28"/>
        </w:rPr>
        <w:t>。</w:t>
      </w:r>
    </w:p>
    <w:p w:rsidR="00F11446" w:rsidRPr="005A1D0C" w:rsidRDefault="00F11446" w:rsidP="005A1D0C">
      <w:pPr>
        <w:spacing w:line="360" w:lineRule="auto"/>
        <w:ind w:leftChars="103" w:left="1779" w:hanging="1449"/>
        <w:jc w:val="left"/>
        <w:rPr>
          <w:rFonts w:ascii="仿宋_GB2312" w:hAnsi="仿宋_GB2312" w:cs="仿宋_GB2312"/>
          <w:bCs/>
          <w:sz w:val="28"/>
          <w:szCs w:val="28"/>
        </w:rPr>
      </w:pPr>
      <w:r w:rsidRPr="005A1D0C">
        <w:rPr>
          <w:rFonts w:ascii="仿宋_GB2312" w:hAnsi="仿宋_GB2312" w:cs="仿宋_GB2312"/>
          <w:bCs/>
          <w:sz w:val="28"/>
          <w:szCs w:val="28"/>
        </w:rPr>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768"/>
        <w:gridCol w:w="886"/>
        <w:gridCol w:w="3073"/>
      </w:tblGrid>
      <w:tr w:rsidR="00F11446" w:rsidTr="00CD00D2">
        <w:trPr>
          <w:trHeight w:val="454"/>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序号</w:t>
            </w:r>
          </w:p>
        </w:tc>
        <w:tc>
          <w:tcPr>
            <w:tcW w:w="2271" w:type="pct"/>
            <w:vMerge w:val="restart"/>
            <w:tcBorders>
              <w:top w:val="single" w:sz="4" w:space="0" w:color="000000"/>
              <w:left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课程教学目标</w:t>
            </w:r>
          </w:p>
        </w:tc>
        <w:tc>
          <w:tcPr>
            <w:tcW w:w="2386" w:type="pct"/>
            <w:gridSpan w:val="2"/>
            <w:tcBorders>
              <w:top w:val="single" w:sz="4" w:space="0" w:color="000000"/>
              <w:left w:val="single" w:sz="4" w:space="0" w:color="000000"/>
              <w:bottom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支撑毕业要求指标点</w:t>
            </w:r>
          </w:p>
        </w:tc>
      </w:tr>
      <w:tr w:rsidR="00F11446" w:rsidTr="00CD00D2">
        <w:trPr>
          <w:trHeight w:val="454"/>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widowControl/>
              <w:spacing w:line="360" w:lineRule="exact"/>
              <w:jc w:val="center"/>
              <w:rPr>
                <w:rFonts w:ascii="仿宋_GB2312" w:hAnsi="仿宋_GB2312" w:cs="仿宋_GB2312"/>
                <w:b/>
                <w:bCs/>
                <w:sz w:val="24"/>
                <w:szCs w:val="24"/>
              </w:rPr>
            </w:pPr>
          </w:p>
        </w:tc>
        <w:tc>
          <w:tcPr>
            <w:tcW w:w="2271" w:type="pct"/>
            <w:vMerge/>
            <w:tcBorders>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
                <w:bCs/>
                <w:sz w:val="24"/>
                <w:szCs w:val="24"/>
              </w:rPr>
            </w:pPr>
          </w:p>
        </w:tc>
        <w:tc>
          <w:tcPr>
            <w:tcW w:w="534" w:type="pct"/>
            <w:tcBorders>
              <w:top w:val="single" w:sz="4" w:space="0" w:color="auto"/>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指标点</w:t>
            </w:r>
          </w:p>
        </w:tc>
        <w:tc>
          <w:tcPr>
            <w:tcW w:w="1852" w:type="pct"/>
            <w:tcBorders>
              <w:top w:val="single" w:sz="4" w:space="0" w:color="auto"/>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指标点内容</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227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目标1：了解</w:t>
            </w:r>
            <w:r w:rsidRPr="005A1D0C">
              <w:rPr>
                <w:rFonts w:ascii="仿宋_GB2312" w:hAnsi="仿宋_GB2312" w:cs="仿宋_GB2312" w:hint="eastAsia"/>
                <w:bCs/>
                <w:sz w:val="24"/>
                <w:szCs w:val="24"/>
              </w:rPr>
              <w:t>工程定额产生的背景；</w:t>
            </w:r>
            <w:r w:rsidRPr="005A1D0C">
              <w:rPr>
                <w:rFonts w:ascii="仿宋_GB2312" w:hAnsi="仿宋_GB2312" w:cs="仿宋_GB2312"/>
                <w:bCs/>
                <w:sz w:val="24"/>
                <w:szCs w:val="24"/>
              </w:rPr>
              <w:t>熟悉</w:t>
            </w:r>
            <w:r w:rsidRPr="005A1D0C">
              <w:rPr>
                <w:rFonts w:ascii="仿宋_GB2312" w:hAnsi="仿宋_GB2312" w:cs="仿宋_GB2312" w:hint="eastAsia"/>
                <w:bCs/>
                <w:sz w:val="24"/>
                <w:szCs w:val="24"/>
              </w:rPr>
              <w:t>工程定额的体系、工程管理中常用到的定额；各工程定额在建设工程不同建设阶段及管理中的作用。</w:t>
            </w:r>
          </w:p>
        </w:tc>
        <w:tc>
          <w:tcPr>
            <w:tcW w:w="534"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11.1</w:t>
            </w:r>
          </w:p>
        </w:tc>
        <w:tc>
          <w:tcPr>
            <w:tcW w:w="1852"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hint="eastAsia"/>
                <w:bCs/>
                <w:sz w:val="24"/>
                <w:szCs w:val="24"/>
              </w:rPr>
              <w:t>能够理解定额产生的原因，以及建设工程定额在工程管理和计价过程中不可或缺的作用。</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227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目标2：熟悉</w:t>
            </w:r>
            <w:r w:rsidRPr="005A1D0C">
              <w:rPr>
                <w:rFonts w:ascii="仿宋_GB2312" w:hAnsi="仿宋_GB2312" w:cs="仿宋_GB2312" w:hint="eastAsia"/>
                <w:bCs/>
                <w:sz w:val="24"/>
                <w:szCs w:val="24"/>
              </w:rPr>
              <w:t>施工过程的研究方法；工人</w:t>
            </w:r>
            <w:r w:rsidRPr="005A1D0C">
              <w:rPr>
                <w:rFonts w:ascii="仿宋_GB2312" w:hAnsi="仿宋_GB2312" w:cs="仿宋_GB2312"/>
                <w:bCs/>
                <w:sz w:val="24"/>
                <w:szCs w:val="24"/>
              </w:rPr>
              <w:t>工</w:t>
            </w:r>
            <w:r w:rsidRPr="005A1D0C">
              <w:rPr>
                <w:rFonts w:ascii="仿宋_GB2312" w:hAnsi="仿宋_GB2312" w:cs="仿宋_GB2312" w:hint="eastAsia"/>
                <w:bCs/>
                <w:sz w:val="24"/>
                <w:szCs w:val="24"/>
              </w:rPr>
              <w:t>作时间消耗的分类、机械</w:t>
            </w:r>
            <w:r w:rsidRPr="005A1D0C">
              <w:rPr>
                <w:rFonts w:ascii="仿宋_GB2312" w:hAnsi="仿宋_GB2312" w:cs="仿宋_GB2312"/>
                <w:bCs/>
                <w:sz w:val="24"/>
                <w:szCs w:val="24"/>
              </w:rPr>
              <w:t>工</w:t>
            </w:r>
            <w:r w:rsidRPr="005A1D0C">
              <w:rPr>
                <w:rFonts w:ascii="仿宋_GB2312" w:hAnsi="仿宋_GB2312" w:cs="仿宋_GB2312" w:hint="eastAsia"/>
                <w:bCs/>
                <w:sz w:val="24"/>
                <w:szCs w:val="24"/>
              </w:rPr>
              <w:t>作时间消耗的分类；工程定额的测定方法；熟练掌握直接性材料消耗量和周转性材料消耗量的计算方法。</w:t>
            </w:r>
          </w:p>
        </w:tc>
        <w:tc>
          <w:tcPr>
            <w:tcW w:w="534"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2.2</w:t>
            </w:r>
          </w:p>
        </w:tc>
        <w:tc>
          <w:tcPr>
            <w:tcW w:w="1852"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hint="eastAsia"/>
                <w:bCs/>
                <w:sz w:val="24"/>
                <w:szCs w:val="24"/>
              </w:rPr>
              <w:t>能够认识到对施工工程和工作时间进行细致深入的研究，可以对工程建设的管理工作起到巨大的促进作用，从而加强自觉学习的兴趣和意识。</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3</w:t>
            </w:r>
          </w:p>
        </w:tc>
        <w:tc>
          <w:tcPr>
            <w:tcW w:w="227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目标3：熟悉</w:t>
            </w:r>
            <w:r w:rsidRPr="005A1D0C">
              <w:rPr>
                <w:rFonts w:ascii="仿宋_GB2312" w:hAnsi="仿宋_GB2312" w:cs="仿宋_GB2312" w:hint="eastAsia"/>
                <w:bCs/>
                <w:sz w:val="24"/>
                <w:szCs w:val="24"/>
              </w:rPr>
              <w:t>建设工程中常用到的定额，包括企业定额，施工定额，消耗量定额，概算定额，估算定额，估算指标，费用定额，工期定额；了解定额的信息化管理基本知识。</w:t>
            </w:r>
          </w:p>
        </w:tc>
        <w:tc>
          <w:tcPr>
            <w:tcW w:w="534"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3.4</w:t>
            </w:r>
          </w:p>
        </w:tc>
        <w:tc>
          <w:tcPr>
            <w:tcW w:w="1852"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hint="eastAsia"/>
                <w:bCs/>
                <w:sz w:val="24"/>
                <w:szCs w:val="24"/>
              </w:rPr>
              <w:t>能够在不同的计价阶段及工程管理工作中，熟练地选择和使用各种工程定额，并为将来进行工程定额信息化管理工作打下良好的基础。</w:t>
            </w:r>
          </w:p>
        </w:tc>
      </w:tr>
    </w:tbl>
    <w:p w:rsidR="005A1D0C" w:rsidRDefault="005A1D0C" w:rsidP="005A1D0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2124"/>
        <w:gridCol w:w="3260"/>
        <w:gridCol w:w="825"/>
        <w:gridCol w:w="596"/>
        <w:gridCol w:w="926"/>
      </w:tblGrid>
      <w:tr w:rsidR="00F11446" w:rsidRPr="005A1D0C" w:rsidTr="005A1D0C">
        <w:trPr>
          <w:trHeight w:val="454"/>
          <w:jc w:val="center"/>
        </w:trPr>
        <w:tc>
          <w:tcPr>
            <w:tcW w:w="34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序号</w:t>
            </w:r>
          </w:p>
        </w:tc>
        <w:tc>
          <w:tcPr>
            <w:tcW w:w="1280" w:type="pct"/>
            <w:tcBorders>
              <w:top w:val="single" w:sz="4" w:space="0" w:color="000000"/>
              <w:left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教学内容及重点、难点</w:t>
            </w:r>
          </w:p>
        </w:tc>
        <w:tc>
          <w:tcPr>
            <w:tcW w:w="1965" w:type="pct"/>
            <w:tcBorders>
              <w:top w:val="single" w:sz="4" w:space="0" w:color="000000"/>
              <w:left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学生学习预期</w:t>
            </w:r>
          </w:p>
        </w:tc>
        <w:tc>
          <w:tcPr>
            <w:tcW w:w="497" w:type="pct"/>
            <w:tcBorders>
              <w:top w:val="single" w:sz="4" w:space="0" w:color="000000"/>
              <w:left w:val="single" w:sz="4" w:space="0" w:color="auto"/>
              <w:right w:val="single" w:sz="4" w:space="0" w:color="000000"/>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支撑课程教学目标</w:t>
            </w:r>
          </w:p>
        </w:tc>
      </w:tr>
      <w:tr w:rsidR="00F11446" w:rsidRPr="005A1D0C" w:rsidTr="005A1D0C">
        <w:trPr>
          <w:trHeight w:val="454"/>
          <w:jc w:val="center"/>
        </w:trPr>
        <w:tc>
          <w:tcPr>
            <w:tcW w:w="34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1280"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内容：第一章</w:t>
            </w:r>
            <w:r w:rsidRPr="005A1D0C">
              <w:rPr>
                <w:rFonts w:ascii="仿宋_GB2312" w:hAnsi="仿宋_GB2312" w:cs="仿宋_GB2312" w:hint="eastAsia"/>
                <w:bCs/>
                <w:sz w:val="24"/>
                <w:szCs w:val="24"/>
              </w:rPr>
              <w:t xml:space="preserve"> </w:t>
            </w:r>
            <w:r w:rsidRPr="005A1D0C">
              <w:rPr>
                <w:rFonts w:ascii="仿宋_GB2312" w:hAnsi="仿宋_GB2312" w:cs="仿宋_GB2312"/>
                <w:bCs/>
                <w:sz w:val="24"/>
                <w:szCs w:val="24"/>
              </w:rPr>
              <w:t>工程定额概</w:t>
            </w:r>
            <w:r w:rsidRPr="005A1D0C">
              <w:rPr>
                <w:rFonts w:ascii="仿宋_GB2312" w:hAnsi="仿宋_GB2312" w:cs="仿宋_GB2312" w:hint="eastAsia"/>
                <w:bCs/>
                <w:sz w:val="24"/>
                <w:szCs w:val="24"/>
              </w:rPr>
              <w:t>论</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 xml:space="preserve">重点： </w:t>
            </w:r>
            <w:r w:rsidRPr="005A1D0C">
              <w:rPr>
                <w:rFonts w:ascii="仿宋_GB2312" w:hAnsi="仿宋_GB2312" w:cs="仿宋_GB2312" w:hint="eastAsia"/>
                <w:bCs/>
                <w:sz w:val="24"/>
                <w:szCs w:val="24"/>
              </w:rPr>
              <w:t>工程定额</w:t>
            </w:r>
            <w:r w:rsidRPr="005A1D0C">
              <w:rPr>
                <w:rFonts w:ascii="仿宋_GB2312" w:hAnsi="仿宋_GB2312" w:cs="仿宋_GB2312" w:hint="eastAsia"/>
                <w:bCs/>
                <w:sz w:val="24"/>
                <w:szCs w:val="24"/>
              </w:rPr>
              <w:lastRenderedPageBreak/>
              <w:t>的体系内容</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难点：无</w:t>
            </w:r>
          </w:p>
        </w:tc>
        <w:tc>
          <w:tcPr>
            <w:tcW w:w="1965"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lastRenderedPageBreak/>
              <w:t>1. 了解工程定额</w:t>
            </w:r>
            <w:r w:rsidRPr="005A1D0C">
              <w:rPr>
                <w:rFonts w:ascii="仿宋_GB2312" w:hAnsi="仿宋_GB2312" w:cs="仿宋_GB2312" w:hint="eastAsia"/>
                <w:bCs/>
                <w:sz w:val="24"/>
                <w:szCs w:val="24"/>
              </w:rPr>
              <w:t>的概念、产生和发展、</w:t>
            </w:r>
            <w:r w:rsidRPr="005A1D0C">
              <w:rPr>
                <w:rFonts w:ascii="仿宋_GB2312" w:hAnsi="仿宋_GB2312" w:cs="仿宋_GB2312"/>
                <w:bCs/>
                <w:sz w:val="24"/>
                <w:szCs w:val="24"/>
              </w:rPr>
              <w:t>工程定额</w:t>
            </w:r>
            <w:r w:rsidRPr="005A1D0C">
              <w:rPr>
                <w:rFonts w:ascii="仿宋_GB2312" w:hAnsi="仿宋_GB2312" w:cs="仿宋_GB2312" w:hint="eastAsia"/>
                <w:bCs/>
                <w:sz w:val="24"/>
                <w:szCs w:val="24"/>
              </w:rPr>
              <w:t>的现状及发展方向。</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lastRenderedPageBreak/>
              <w:t xml:space="preserve">2. </w:t>
            </w:r>
            <w:r w:rsidRPr="005A1D0C">
              <w:rPr>
                <w:rFonts w:ascii="仿宋_GB2312" w:hAnsi="仿宋_GB2312" w:cs="仿宋_GB2312" w:hint="eastAsia"/>
                <w:bCs/>
                <w:sz w:val="24"/>
                <w:szCs w:val="24"/>
              </w:rPr>
              <w:t>理解</w:t>
            </w:r>
            <w:r w:rsidRPr="005A1D0C">
              <w:rPr>
                <w:rFonts w:ascii="仿宋_GB2312" w:hAnsi="仿宋_GB2312" w:cs="仿宋_GB2312"/>
                <w:bCs/>
                <w:sz w:val="24"/>
                <w:szCs w:val="24"/>
              </w:rPr>
              <w:t>工程定额</w:t>
            </w:r>
            <w:r w:rsidRPr="005A1D0C">
              <w:rPr>
                <w:rFonts w:ascii="仿宋_GB2312" w:hAnsi="仿宋_GB2312" w:cs="仿宋_GB2312" w:hint="eastAsia"/>
                <w:bCs/>
                <w:sz w:val="24"/>
                <w:szCs w:val="24"/>
              </w:rPr>
              <w:t>的</w:t>
            </w:r>
            <w:r w:rsidRPr="005A1D0C">
              <w:rPr>
                <w:rFonts w:ascii="仿宋_GB2312" w:hAnsi="仿宋_GB2312" w:cs="仿宋_GB2312"/>
                <w:bCs/>
                <w:sz w:val="24"/>
                <w:szCs w:val="24"/>
              </w:rPr>
              <w:t>管理</w:t>
            </w:r>
            <w:r w:rsidRPr="005A1D0C">
              <w:rPr>
                <w:rFonts w:ascii="仿宋_GB2312" w:hAnsi="仿宋_GB2312" w:cs="仿宋_GB2312" w:hint="eastAsia"/>
                <w:bCs/>
                <w:sz w:val="24"/>
                <w:szCs w:val="24"/>
              </w:rPr>
              <w:t>机构、</w:t>
            </w:r>
            <w:r w:rsidRPr="005A1D0C">
              <w:rPr>
                <w:rFonts w:ascii="仿宋_GB2312" w:hAnsi="仿宋_GB2312" w:cs="仿宋_GB2312"/>
                <w:bCs/>
                <w:sz w:val="24"/>
                <w:szCs w:val="24"/>
              </w:rPr>
              <w:t>管理</w:t>
            </w:r>
            <w:r w:rsidRPr="005A1D0C">
              <w:rPr>
                <w:rFonts w:ascii="仿宋_GB2312" w:hAnsi="仿宋_GB2312" w:cs="仿宋_GB2312" w:hint="eastAsia"/>
                <w:bCs/>
                <w:sz w:val="24"/>
                <w:szCs w:val="24"/>
              </w:rPr>
              <w:t>任务和内容。</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3.掌握</w:t>
            </w:r>
            <w:r w:rsidRPr="005A1D0C">
              <w:rPr>
                <w:rFonts w:ascii="仿宋_GB2312" w:hAnsi="仿宋_GB2312" w:cs="仿宋_GB2312" w:hint="eastAsia"/>
                <w:bCs/>
                <w:sz w:val="24"/>
                <w:szCs w:val="24"/>
              </w:rPr>
              <w:t>工程定额的作用和特点、工程定额的分类和体系。</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目标1</w:t>
            </w:r>
          </w:p>
        </w:tc>
      </w:tr>
      <w:tr w:rsidR="00F11446" w:rsidRPr="005A1D0C" w:rsidTr="005A1D0C">
        <w:trPr>
          <w:trHeight w:val="454"/>
          <w:jc w:val="center"/>
        </w:trPr>
        <w:tc>
          <w:tcPr>
            <w:tcW w:w="34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1280"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内容：第二章</w:t>
            </w:r>
            <w:r w:rsidRPr="005A1D0C">
              <w:rPr>
                <w:rFonts w:ascii="仿宋_GB2312" w:hAnsi="仿宋_GB2312" w:cs="仿宋_GB2312" w:hint="eastAsia"/>
                <w:bCs/>
                <w:sz w:val="24"/>
                <w:szCs w:val="24"/>
              </w:rPr>
              <w:t xml:space="preserve"> 施工过程和</w:t>
            </w:r>
            <w:r w:rsidRPr="005A1D0C">
              <w:rPr>
                <w:rFonts w:ascii="仿宋_GB2312" w:hAnsi="仿宋_GB2312" w:cs="仿宋_GB2312"/>
                <w:bCs/>
                <w:sz w:val="24"/>
                <w:szCs w:val="24"/>
              </w:rPr>
              <w:t>工</w:t>
            </w:r>
            <w:r w:rsidRPr="005A1D0C">
              <w:rPr>
                <w:rFonts w:ascii="仿宋_GB2312" w:hAnsi="仿宋_GB2312" w:cs="仿宋_GB2312" w:hint="eastAsia"/>
                <w:bCs/>
                <w:sz w:val="24"/>
                <w:szCs w:val="24"/>
              </w:rPr>
              <w:t>作时间</w:t>
            </w:r>
            <w:r w:rsidRPr="005A1D0C">
              <w:rPr>
                <w:rFonts w:ascii="仿宋_GB2312" w:hAnsi="仿宋_GB2312" w:cs="仿宋_GB2312"/>
                <w:bCs/>
                <w:sz w:val="24"/>
                <w:szCs w:val="24"/>
              </w:rPr>
              <w:t>研究</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重点：</w:t>
            </w:r>
            <w:r w:rsidRPr="005A1D0C">
              <w:rPr>
                <w:rFonts w:ascii="仿宋_GB2312" w:hAnsi="仿宋_GB2312" w:cs="仿宋_GB2312" w:hint="eastAsia"/>
                <w:bCs/>
                <w:sz w:val="24"/>
                <w:szCs w:val="24"/>
              </w:rPr>
              <w:t>工人</w:t>
            </w:r>
            <w:r w:rsidRPr="005A1D0C">
              <w:rPr>
                <w:rFonts w:ascii="仿宋_GB2312" w:hAnsi="仿宋_GB2312" w:cs="仿宋_GB2312"/>
                <w:bCs/>
                <w:sz w:val="24"/>
                <w:szCs w:val="24"/>
              </w:rPr>
              <w:t>工</w:t>
            </w:r>
            <w:r w:rsidRPr="005A1D0C">
              <w:rPr>
                <w:rFonts w:ascii="仿宋_GB2312" w:hAnsi="仿宋_GB2312" w:cs="仿宋_GB2312" w:hint="eastAsia"/>
                <w:bCs/>
                <w:sz w:val="24"/>
                <w:szCs w:val="24"/>
              </w:rPr>
              <w:t>作时间消耗的分类、机械</w:t>
            </w:r>
            <w:r w:rsidRPr="005A1D0C">
              <w:rPr>
                <w:rFonts w:ascii="仿宋_GB2312" w:hAnsi="仿宋_GB2312" w:cs="仿宋_GB2312"/>
                <w:bCs/>
                <w:sz w:val="24"/>
                <w:szCs w:val="24"/>
              </w:rPr>
              <w:t>工</w:t>
            </w:r>
            <w:r w:rsidRPr="005A1D0C">
              <w:rPr>
                <w:rFonts w:ascii="仿宋_GB2312" w:hAnsi="仿宋_GB2312" w:cs="仿宋_GB2312" w:hint="eastAsia"/>
                <w:bCs/>
                <w:sz w:val="24"/>
                <w:szCs w:val="24"/>
              </w:rPr>
              <w:t>作时间消耗的分类</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难点：无</w:t>
            </w:r>
          </w:p>
        </w:tc>
        <w:tc>
          <w:tcPr>
            <w:tcW w:w="1965"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1.</w:t>
            </w:r>
            <w:r w:rsidRPr="005A1D0C">
              <w:rPr>
                <w:rFonts w:ascii="仿宋_GB2312" w:hAnsi="仿宋_GB2312" w:cs="仿宋_GB2312" w:hint="eastAsia"/>
                <w:bCs/>
                <w:sz w:val="24"/>
                <w:szCs w:val="24"/>
              </w:rPr>
              <w:t>了解施工过程的分类、影响施工过程的因素。</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 xml:space="preserve">2. </w:t>
            </w:r>
            <w:r w:rsidRPr="005A1D0C">
              <w:rPr>
                <w:rFonts w:ascii="仿宋_GB2312" w:hAnsi="仿宋_GB2312" w:cs="仿宋_GB2312" w:hint="eastAsia"/>
                <w:bCs/>
                <w:sz w:val="24"/>
                <w:szCs w:val="24"/>
              </w:rPr>
              <w:t>理解</w:t>
            </w:r>
            <w:r w:rsidRPr="005A1D0C">
              <w:rPr>
                <w:rFonts w:ascii="仿宋_GB2312" w:hAnsi="仿宋_GB2312" w:cs="仿宋_GB2312"/>
                <w:bCs/>
                <w:sz w:val="24"/>
                <w:szCs w:val="24"/>
              </w:rPr>
              <w:t>工</w:t>
            </w:r>
            <w:r w:rsidRPr="005A1D0C">
              <w:rPr>
                <w:rFonts w:ascii="仿宋_GB2312" w:hAnsi="仿宋_GB2312" w:cs="仿宋_GB2312" w:hint="eastAsia"/>
                <w:bCs/>
                <w:sz w:val="24"/>
                <w:szCs w:val="24"/>
              </w:rPr>
              <w:t>作时间及其消耗的概念、工作时间研究的方法。</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 xml:space="preserve">3. </w:t>
            </w:r>
            <w:r w:rsidRPr="005A1D0C">
              <w:rPr>
                <w:rFonts w:ascii="仿宋_GB2312" w:hAnsi="仿宋_GB2312" w:cs="仿宋_GB2312" w:hint="eastAsia"/>
                <w:bCs/>
                <w:sz w:val="24"/>
                <w:szCs w:val="24"/>
              </w:rPr>
              <w:t>掌握工人工作时间消耗的分类、机械工作时间消耗的分类。</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课堂授课</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目标2</w:t>
            </w:r>
          </w:p>
        </w:tc>
      </w:tr>
      <w:tr w:rsidR="00F11446" w:rsidRPr="005A1D0C" w:rsidTr="005A1D0C">
        <w:trPr>
          <w:trHeight w:val="454"/>
          <w:jc w:val="center"/>
        </w:trPr>
        <w:tc>
          <w:tcPr>
            <w:tcW w:w="34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3</w:t>
            </w:r>
          </w:p>
        </w:tc>
        <w:tc>
          <w:tcPr>
            <w:tcW w:w="1280"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内容：第三章</w:t>
            </w:r>
            <w:r w:rsidRPr="005A1D0C">
              <w:rPr>
                <w:rFonts w:ascii="仿宋_GB2312" w:hAnsi="仿宋_GB2312" w:cs="仿宋_GB2312" w:hint="eastAsia"/>
                <w:bCs/>
                <w:sz w:val="24"/>
                <w:szCs w:val="24"/>
              </w:rPr>
              <w:t xml:space="preserve"> 工程定额测定方法</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 xml:space="preserve">重点： </w:t>
            </w:r>
            <w:r w:rsidRPr="005A1D0C">
              <w:rPr>
                <w:rFonts w:ascii="仿宋_GB2312" w:hAnsi="仿宋_GB2312" w:cs="仿宋_GB2312" w:hint="eastAsia"/>
                <w:bCs/>
                <w:sz w:val="24"/>
                <w:szCs w:val="24"/>
              </w:rPr>
              <w:t>工程材料分类及耗用量计算原理</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 xml:space="preserve">难点： </w:t>
            </w:r>
            <w:r w:rsidRPr="005A1D0C">
              <w:rPr>
                <w:rFonts w:ascii="仿宋_GB2312" w:hAnsi="仿宋_GB2312" w:cs="仿宋_GB2312" w:hint="eastAsia"/>
                <w:bCs/>
                <w:sz w:val="24"/>
                <w:szCs w:val="24"/>
              </w:rPr>
              <w:t>科学计算法</w:t>
            </w:r>
          </w:p>
        </w:tc>
        <w:tc>
          <w:tcPr>
            <w:tcW w:w="1965"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1.了解</w:t>
            </w:r>
            <w:r w:rsidRPr="005A1D0C">
              <w:rPr>
                <w:rFonts w:ascii="仿宋_GB2312" w:hAnsi="仿宋_GB2312" w:cs="仿宋_GB2312" w:hint="eastAsia"/>
                <w:bCs/>
                <w:sz w:val="24"/>
                <w:szCs w:val="24"/>
              </w:rPr>
              <w:t>技术测定法的常用方法；技术测定资料的整理。</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2. 理解</w:t>
            </w:r>
            <w:r w:rsidRPr="005A1D0C">
              <w:rPr>
                <w:rFonts w:ascii="仿宋_GB2312" w:hAnsi="仿宋_GB2312" w:cs="仿宋_GB2312" w:hint="eastAsia"/>
                <w:bCs/>
                <w:sz w:val="24"/>
                <w:szCs w:val="24"/>
              </w:rPr>
              <w:t>工程材料分类及耗用量计算原理。</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3.掌握</w:t>
            </w:r>
            <w:r w:rsidRPr="005A1D0C">
              <w:rPr>
                <w:rFonts w:ascii="仿宋_GB2312" w:hAnsi="仿宋_GB2312" w:cs="仿宋_GB2312" w:hint="eastAsia"/>
                <w:bCs/>
                <w:sz w:val="24"/>
                <w:szCs w:val="24"/>
              </w:rPr>
              <w:t>科学计算方法，能够运用科学计算法计算常见工程材料（直接性材料、周转性材料）的用量；掌握制定定额的简易方法（比较类推法、统计分析法、经验估计法）。</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课堂授课</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随堂测验</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目标2</w:t>
            </w:r>
          </w:p>
        </w:tc>
      </w:tr>
      <w:tr w:rsidR="00F11446" w:rsidRPr="005A1D0C" w:rsidTr="005A1D0C">
        <w:trPr>
          <w:trHeight w:val="454"/>
          <w:jc w:val="center"/>
        </w:trPr>
        <w:tc>
          <w:tcPr>
            <w:tcW w:w="34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4</w:t>
            </w:r>
          </w:p>
        </w:tc>
        <w:tc>
          <w:tcPr>
            <w:tcW w:w="1280"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内容：第四章</w:t>
            </w:r>
            <w:r w:rsidRPr="005A1D0C">
              <w:rPr>
                <w:rFonts w:ascii="仿宋_GB2312" w:hAnsi="仿宋_GB2312" w:cs="仿宋_GB2312" w:hint="eastAsia"/>
                <w:bCs/>
                <w:sz w:val="24"/>
                <w:szCs w:val="24"/>
              </w:rPr>
              <w:t xml:space="preserve"> 企业定额和施工定额</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重点：</w:t>
            </w:r>
            <w:r w:rsidRPr="005A1D0C">
              <w:rPr>
                <w:rFonts w:ascii="仿宋_GB2312" w:hAnsi="仿宋_GB2312" w:cs="仿宋_GB2312" w:hint="eastAsia"/>
                <w:bCs/>
                <w:sz w:val="24"/>
                <w:szCs w:val="24"/>
              </w:rPr>
              <w:t>企业计价定额的编制；企业定额的应用；建筑安装工程费用构成。</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难点：</w:t>
            </w:r>
            <w:r w:rsidRPr="005A1D0C">
              <w:rPr>
                <w:rFonts w:ascii="仿宋_GB2312" w:hAnsi="仿宋_GB2312" w:cs="仿宋_GB2312" w:hint="eastAsia"/>
                <w:bCs/>
                <w:sz w:val="24"/>
                <w:szCs w:val="24"/>
              </w:rPr>
              <w:t>企业施工定额中人工、材料、机械台班消耗量的编制方法。</w:t>
            </w:r>
          </w:p>
        </w:tc>
        <w:tc>
          <w:tcPr>
            <w:tcW w:w="1965"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1.了解</w:t>
            </w:r>
            <w:r w:rsidRPr="005A1D0C">
              <w:rPr>
                <w:rFonts w:ascii="仿宋_GB2312" w:hAnsi="仿宋_GB2312" w:cs="仿宋_GB2312" w:hint="eastAsia"/>
                <w:bCs/>
                <w:sz w:val="24"/>
                <w:szCs w:val="24"/>
              </w:rPr>
              <w:t>企业定额概念、分类及作用；建筑安装工程其他费用的确定。</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2.</w:t>
            </w:r>
            <w:r w:rsidRPr="005A1D0C">
              <w:rPr>
                <w:rFonts w:ascii="仿宋_GB2312" w:hAnsi="仿宋_GB2312" w:cs="仿宋_GB2312" w:hint="eastAsia"/>
                <w:bCs/>
                <w:sz w:val="24"/>
                <w:szCs w:val="24"/>
              </w:rPr>
              <w:t xml:space="preserve"> </w:t>
            </w:r>
            <w:r w:rsidRPr="005A1D0C">
              <w:rPr>
                <w:rFonts w:ascii="仿宋_GB2312" w:hAnsi="仿宋_GB2312" w:cs="仿宋_GB2312"/>
                <w:bCs/>
                <w:sz w:val="24"/>
                <w:szCs w:val="24"/>
              </w:rPr>
              <w:t>理解</w:t>
            </w:r>
            <w:r w:rsidRPr="005A1D0C">
              <w:rPr>
                <w:rFonts w:ascii="仿宋_GB2312" w:hAnsi="仿宋_GB2312" w:cs="仿宋_GB2312" w:hint="eastAsia"/>
                <w:bCs/>
                <w:sz w:val="24"/>
                <w:szCs w:val="24"/>
              </w:rPr>
              <w:t>企业定额的编制原则及步骤；建筑安装工程费用构成（人工单价、材料单价、机械台班单价的组成与确定）。</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3.掌握</w:t>
            </w:r>
            <w:r w:rsidRPr="005A1D0C">
              <w:rPr>
                <w:rFonts w:ascii="仿宋_GB2312" w:hAnsi="仿宋_GB2312" w:cs="仿宋_GB2312" w:hint="eastAsia"/>
                <w:bCs/>
                <w:sz w:val="24"/>
                <w:szCs w:val="24"/>
              </w:rPr>
              <w:t>企业施工定额的编制（人工消耗定额编制、</w:t>
            </w:r>
            <w:r w:rsidRPr="005A1D0C">
              <w:rPr>
                <w:rFonts w:ascii="仿宋_GB2312" w:hAnsi="仿宋_GB2312" w:cs="仿宋_GB2312"/>
                <w:bCs/>
                <w:sz w:val="24"/>
                <w:szCs w:val="24"/>
              </w:rPr>
              <w:t>材料消耗定额</w:t>
            </w:r>
            <w:r w:rsidRPr="005A1D0C">
              <w:rPr>
                <w:rFonts w:ascii="仿宋_GB2312" w:hAnsi="仿宋_GB2312" w:cs="仿宋_GB2312" w:hint="eastAsia"/>
                <w:bCs/>
                <w:sz w:val="24"/>
                <w:szCs w:val="24"/>
              </w:rPr>
              <w:t>编制、施工</w:t>
            </w:r>
            <w:r w:rsidRPr="005A1D0C">
              <w:rPr>
                <w:rFonts w:ascii="仿宋_GB2312" w:hAnsi="仿宋_GB2312" w:cs="仿宋_GB2312"/>
                <w:bCs/>
                <w:sz w:val="24"/>
                <w:szCs w:val="24"/>
              </w:rPr>
              <w:t>机械台班消耗定额</w:t>
            </w:r>
            <w:r w:rsidRPr="005A1D0C">
              <w:rPr>
                <w:rFonts w:ascii="仿宋_GB2312" w:hAnsi="仿宋_GB2312" w:cs="仿宋_GB2312" w:hint="eastAsia"/>
                <w:bCs/>
                <w:sz w:val="24"/>
                <w:szCs w:val="24"/>
              </w:rPr>
              <w:t>编制）；企业计价定额的编制；企业定额的应用（企业定额在成本控制中</w:t>
            </w:r>
            <w:r w:rsidRPr="005A1D0C">
              <w:rPr>
                <w:rFonts w:ascii="仿宋_GB2312" w:hAnsi="仿宋_GB2312" w:cs="仿宋_GB2312" w:hint="eastAsia"/>
                <w:bCs/>
                <w:sz w:val="24"/>
                <w:szCs w:val="24"/>
              </w:rPr>
              <w:lastRenderedPageBreak/>
              <w:t>的应用、计划管理中的应用、报价交易中的应用）</w:t>
            </w:r>
            <w:r w:rsidRPr="005A1D0C">
              <w:rPr>
                <w:rFonts w:ascii="仿宋_GB2312" w:hAnsi="仿宋_GB2312" w:cs="仿宋_GB2312"/>
                <w:bCs/>
                <w:sz w:val="24"/>
                <w:szCs w:val="24"/>
              </w:rPr>
              <w:t xml:space="preserve"> </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lastRenderedPageBreak/>
              <w:t>课堂授课</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目标2</w:t>
            </w:r>
          </w:p>
        </w:tc>
      </w:tr>
      <w:tr w:rsidR="00F11446" w:rsidRPr="005A1D0C" w:rsidTr="005A1D0C">
        <w:trPr>
          <w:trHeight w:val="454"/>
          <w:jc w:val="center"/>
        </w:trPr>
        <w:tc>
          <w:tcPr>
            <w:tcW w:w="34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5</w:t>
            </w:r>
          </w:p>
        </w:tc>
        <w:tc>
          <w:tcPr>
            <w:tcW w:w="1280"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内容：第五章</w:t>
            </w:r>
            <w:r w:rsidRPr="005A1D0C">
              <w:rPr>
                <w:rFonts w:ascii="仿宋_GB2312" w:hAnsi="仿宋_GB2312" w:cs="仿宋_GB2312" w:hint="eastAsia"/>
                <w:bCs/>
                <w:sz w:val="24"/>
                <w:szCs w:val="24"/>
              </w:rPr>
              <w:t xml:space="preserve"> 消耗量</w:t>
            </w:r>
            <w:r w:rsidRPr="005A1D0C">
              <w:rPr>
                <w:rFonts w:ascii="仿宋_GB2312" w:hAnsi="仿宋_GB2312" w:cs="仿宋_GB2312"/>
                <w:bCs/>
                <w:sz w:val="24"/>
                <w:szCs w:val="24"/>
              </w:rPr>
              <w:t>定额</w:t>
            </w:r>
            <w:r w:rsidRPr="005A1D0C">
              <w:rPr>
                <w:rFonts w:ascii="仿宋_GB2312" w:hAnsi="仿宋_GB2312" w:cs="仿宋_GB2312" w:hint="eastAsia"/>
                <w:bCs/>
                <w:sz w:val="24"/>
                <w:szCs w:val="24"/>
              </w:rPr>
              <w:t>和单位估价表</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重点：</w:t>
            </w:r>
            <w:r w:rsidRPr="005A1D0C">
              <w:rPr>
                <w:rFonts w:ascii="仿宋_GB2312" w:hAnsi="仿宋_GB2312" w:cs="仿宋_GB2312" w:hint="eastAsia"/>
                <w:bCs/>
                <w:sz w:val="24"/>
                <w:szCs w:val="24"/>
              </w:rPr>
              <w:t>消耗量定额、单位估价表的应用</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难点：</w:t>
            </w:r>
            <w:r w:rsidRPr="005A1D0C">
              <w:rPr>
                <w:rFonts w:ascii="仿宋_GB2312" w:hAnsi="仿宋_GB2312" w:cs="仿宋_GB2312" w:hint="eastAsia"/>
                <w:bCs/>
                <w:sz w:val="24"/>
                <w:szCs w:val="24"/>
              </w:rPr>
              <w:t>消耗量定额的编制</w:t>
            </w:r>
          </w:p>
        </w:tc>
        <w:tc>
          <w:tcPr>
            <w:tcW w:w="1965"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1.了解</w:t>
            </w:r>
            <w:r w:rsidRPr="005A1D0C">
              <w:rPr>
                <w:rFonts w:ascii="仿宋_GB2312" w:hAnsi="仿宋_GB2312" w:cs="仿宋_GB2312" w:hint="eastAsia"/>
                <w:bCs/>
                <w:sz w:val="24"/>
                <w:szCs w:val="24"/>
              </w:rPr>
              <w:t>消耗量定额的内容及编制原则。</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2. 理解</w:t>
            </w:r>
            <w:r w:rsidRPr="005A1D0C">
              <w:rPr>
                <w:rFonts w:ascii="仿宋_GB2312" w:hAnsi="仿宋_GB2312" w:cs="仿宋_GB2312" w:hint="eastAsia"/>
                <w:bCs/>
                <w:sz w:val="24"/>
                <w:szCs w:val="24"/>
              </w:rPr>
              <w:t>单位估价表的编制依据和作用。</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3.掌握</w:t>
            </w:r>
            <w:r w:rsidRPr="005A1D0C">
              <w:rPr>
                <w:rFonts w:ascii="仿宋_GB2312" w:hAnsi="仿宋_GB2312" w:cs="仿宋_GB2312" w:hint="eastAsia"/>
                <w:bCs/>
                <w:sz w:val="24"/>
                <w:szCs w:val="24"/>
              </w:rPr>
              <w:t>消耗量定额的编制（人工消耗指标的制定原则和方法；材料消耗指标的确定方法；</w:t>
            </w:r>
            <w:r w:rsidRPr="005A1D0C">
              <w:rPr>
                <w:rFonts w:ascii="仿宋_GB2312" w:hAnsi="仿宋_GB2312" w:cs="仿宋_GB2312"/>
                <w:bCs/>
                <w:sz w:val="24"/>
                <w:szCs w:val="24"/>
              </w:rPr>
              <w:t>机械台班消耗</w:t>
            </w:r>
            <w:r w:rsidRPr="005A1D0C">
              <w:rPr>
                <w:rFonts w:ascii="仿宋_GB2312" w:hAnsi="仿宋_GB2312" w:cs="仿宋_GB2312" w:hint="eastAsia"/>
                <w:bCs/>
                <w:sz w:val="24"/>
                <w:szCs w:val="24"/>
              </w:rPr>
              <w:t>指标</w:t>
            </w:r>
            <w:r w:rsidRPr="005A1D0C">
              <w:rPr>
                <w:rFonts w:ascii="仿宋_GB2312" w:hAnsi="仿宋_GB2312" w:cs="仿宋_GB2312"/>
                <w:bCs/>
                <w:sz w:val="24"/>
                <w:szCs w:val="24"/>
              </w:rPr>
              <w:t>的确定</w:t>
            </w:r>
            <w:r w:rsidRPr="005A1D0C">
              <w:rPr>
                <w:rFonts w:ascii="仿宋_GB2312" w:hAnsi="仿宋_GB2312" w:cs="仿宋_GB2312" w:hint="eastAsia"/>
                <w:bCs/>
                <w:sz w:val="24"/>
                <w:szCs w:val="24"/>
              </w:rPr>
              <w:t>方法</w:t>
            </w:r>
            <w:r w:rsidRPr="005A1D0C">
              <w:rPr>
                <w:rFonts w:ascii="仿宋_GB2312" w:hAnsi="仿宋_GB2312" w:cs="仿宋_GB2312"/>
                <w:bCs/>
                <w:sz w:val="24"/>
                <w:szCs w:val="24"/>
              </w:rPr>
              <w:t>）；</w:t>
            </w:r>
            <w:r w:rsidRPr="005A1D0C">
              <w:rPr>
                <w:rFonts w:ascii="仿宋_GB2312" w:hAnsi="仿宋_GB2312" w:cs="仿宋_GB2312" w:hint="eastAsia"/>
                <w:bCs/>
                <w:sz w:val="24"/>
                <w:szCs w:val="24"/>
              </w:rPr>
              <w:t>单位估价表的编制；消耗量定额和单位估价表的应用（消耗量定额的套用、换算和补充）</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课堂授课</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目标2、3</w:t>
            </w:r>
          </w:p>
        </w:tc>
      </w:tr>
      <w:tr w:rsidR="00F11446" w:rsidRPr="005A1D0C" w:rsidTr="005A1D0C">
        <w:trPr>
          <w:trHeight w:val="454"/>
          <w:jc w:val="center"/>
        </w:trPr>
        <w:tc>
          <w:tcPr>
            <w:tcW w:w="34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6</w:t>
            </w:r>
          </w:p>
        </w:tc>
        <w:tc>
          <w:tcPr>
            <w:tcW w:w="1280"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内容：第六章</w:t>
            </w:r>
            <w:r w:rsidRPr="005A1D0C">
              <w:rPr>
                <w:rFonts w:ascii="仿宋_GB2312" w:hAnsi="仿宋_GB2312" w:cs="仿宋_GB2312" w:hint="eastAsia"/>
                <w:bCs/>
                <w:sz w:val="24"/>
                <w:szCs w:val="24"/>
              </w:rPr>
              <w:t xml:space="preserve"> </w:t>
            </w:r>
            <w:r w:rsidRPr="005A1D0C">
              <w:rPr>
                <w:rFonts w:ascii="仿宋_GB2312" w:hAnsi="仿宋_GB2312" w:cs="仿宋_GB2312"/>
                <w:bCs/>
                <w:sz w:val="24"/>
                <w:szCs w:val="24"/>
              </w:rPr>
              <w:t>概算定额</w:t>
            </w:r>
            <w:r w:rsidRPr="005A1D0C">
              <w:rPr>
                <w:rFonts w:ascii="仿宋_GB2312" w:hAnsi="仿宋_GB2312" w:cs="仿宋_GB2312" w:hint="eastAsia"/>
                <w:bCs/>
                <w:sz w:val="24"/>
                <w:szCs w:val="24"/>
              </w:rPr>
              <w:t>和</w:t>
            </w:r>
            <w:r w:rsidRPr="005A1D0C">
              <w:rPr>
                <w:rFonts w:ascii="仿宋_GB2312" w:hAnsi="仿宋_GB2312" w:cs="仿宋_GB2312"/>
                <w:bCs/>
                <w:sz w:val="24"/>
                <w:szCs w:val="24"/>
              </w:rPr>
              <w:t>概算指标</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 xml:space="preserve">重点： </w:t>
            </w:r>
            <w:r w:rsidRPr="005A1D0C">
              <w:rPr>
                <w:rFonts w:ascii="仿宋_GB2312" w:hAnsi="仿宋_GB2312" w:cs="仿宋_GB2312" w:hint="eastAsia"/>
                <w:bCs/>
                <w:sz w:val="24"/>
                <w:szCs w:val="24"/>
              </w:rPr>
              <w:t>概算定额的应用、概算指标的应用。</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难点：无</w:t>
            </w:r>
          </w:p>
          <w:p w:rsidR="00F11446" w:rsidRPr="005A1D0C" w:rsidRDefault="00F11446" w:rsidP="00CD00D2">
            <w:pPr>
              <w:spacing w:line="360" w:lineRule="exact"/>
              <w:jc w:val="left"/>
              <w:rPr>
                <w:rFonts w:ascii="仿宋_GB2312" w:hAnsi="仿宋_GB2312" w:cs="仿宋_GB2312"/>
                <w:bCs/>
                <w:sz w:val="24"/>
                <w:szCs w:val="24"/>
              </w:rPr>
            </w:pPr>
          </w:p>
        </w:tc>
        <w:tc>
          <w:tcPr>
            <w:tcW w:w="1965"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1.了解</w:t>
            </w:r>
            <w:r w:rsidRPr="005A1D0C">
              <w:rPr>
                <w:rFonts w:ascii="仿宋_GB2312" w:hAnsi="仿宋_GB2312" w:cs="仿宋_GB2312" w:hint="eastAsia"/>
                <w:bCs/>
                <w:sz w:val="24"/>
                <w:szCs w:val="24"/>
              </w:rPr>
              <w:t>概算指标的编制依据。</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2. 理解</w:t>
            </w:r>
            <w:r w:rsidRPr="005A1D0C">
              <w:rPr>
                <w:rFonts w:ascii="仿宋_GB2312" w:hAnsi="仿宋_GB2312" w:cs="仿宋_GB2312" w:hint="eastAsia"/>
                <w:bCs/>
                <w:sz w:val="24"/>
                <w:szCs w:val="24"/>
              </w:rPr>
              <w:t>概算定额的作用及编制步骤。</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3.掌握</w:t>
            </w:r>
            <w:r w:rsidRPr="005A1D0C">
              <w:rPr>
                <w:rFonts w:ascii="仿宋_GB2312" w:hAnsi="仿宋_GB2312" w:cs="仿宋_GB2312" w:hint="eastAsia"/>
                <w:bCs/>
                <w:sz w:val="24"/>
                <w:szCs w:val="24"/>
              </w:rPr>
              <w:t xml:space="preserve">概算定额的应用、概算指标的应用。 </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目标2、3</w:t>
            </w:r>
          </w:p>
        </w:tc>
      </w:tr>
      <w:tr w:rsidR="00F11446" w:rsidRPr="005A1D0C" w:rsidTr="005A1D0C">
        <w:trPr>
          <w:trHeight w:val="454"/>
          <w:jc w:val="center"/>
        </w:trPr>
        <w:tc>
          <w:tcPr>
            <w:tcW w:w="34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7</w:t>
            </w:r>
          </w:p>
        </w:tc>
        <w:tc>
          <w:tcPr>
            <w:tcW w:w="1280"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内容：第七章</w:t>
            </w:r>
            <w:r w:rsidRPr="005A1D0C">
              <w:rPr>
                <w:rFonts w:ascii="仿宋_GB2312" w:hAnsi="仿宋_GB2312" w:cs="仿宋_GB2312" w:hint="eastAsia"/>
                <w:bCs/>
                <w:sz w:val="24"/>
                <w:szCs w:val="24"/>
              </w:rPr>
              <w:t xml:space="preserve"> </w:t>
            </w:r>
            <w:r w:rsidRPr="005A1D0C">
              <w:rPr>
                <w:rFonts w:ascii="仿宋_GB2312" w:hAnsi="仿宋_GB2312" w:cs="仿宋_GB2312"/>
                <w:bCs/>
                <w:sz w:val="24"/>
                <w:szCs w:val="24"/>
              </w:rPr>
              <w:t>工程费用定额</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 xml:space="preserve">重点： </w:t>
            </w:r>
            <w:r w:rsidRPr="005A1D0C">
              <w:rPr>
                <w:rFonts w:ascii="仿宋_GB2312" w:hAnsi="仿宋_GB2312" w:cs="仿宋_GB2312" w:hint="eastAsia"/>
                <w:bCs/>
                <w:sz w:val="24"/>
                <w:szCs w:val="24"/>
              </w:rPr>
              <w:t>各种费用的计算方法及程序.</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难点：无</w:t>
            </w:r>
          </w:p>
        </w:tc>
        <w:tc>
          <w:tcPr>
            <w:tcW w:w="1965"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1.了解</w:t>
            </w:r>
            <w:r w:rsidRPr="005A1D0C">
              <w:rPr>
                <w:rFonts w:ascii="仿宋_GB2312" w:hAnsi="仿宋_GB2312" w:cs="仿宋_GB2312" w:hint="eastAsia"/>
                <w:bCs/>
                <w:sz w:val="24"/>
                <w:szCs w:val="24"/>
              </w:rPr>
              <w:t>建设项目投资费用的组成及计算程序；工程费用的组成及计算程序。</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2. 理解</w:t>
            </w:r>
            <w:r w:rsidRPr="005A1D0C">
              <w:rPr>
                <w:rFonts w:ascii="仿宋_GB2312" w:hAnsi="仿宋_GB2312" w:cs="仿宋_GB2312" w:hint="eastAsia"/>
                <w:bCs/>
                <w:sz w:val="24"/>
                <w:szCs w:val="24"/>
              </w:rPr>
              <w:t>费用定额的分类、编制依据和原则；工程建设其他费用定额；各种费用的计算方法及程序</w:t>
            </w:r>
            <w:r w:rsidRPr="005A1D0C">
              <w:rPr>
                <w:rFonts w:ascii="仿宋_GB2312" w:hAnsi="仿宋_GB2312" w:cs="仿宋_GB2312"/>
                <w:bCs/>
                <w:sz w:val="24"/>
                <w:szCs w:val="24"/>
              </w:rPr>
              <w:t>。</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3.掌握</w:t>
            </w:r>
            <w:r w:rsidRPr="005A1D0C">
              <w:rPr>
                <w:rFonts w:ascii="仿宋_GB2312" w:hAnsi="仿宋_GB2312" w:cs="仿宋_GB2312" w:hint="eastAsia"/>
                <w:bCs/>
                <w:sz w:val="24"/>
                <w:szCs w:val="24"/>
              </w:rPr>
              <w:t xml:space="preserve">建筑安装工程费用定额的编制（措施项目费用定额的编制、间接费用定额的编制、利润、税金和风险定额的编制）。 </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课堂授课</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目标2、3</w:t>
            </w:r>
          </w:p>
        </w:tc>
      </w:tr>
      <w:tr w:rsidR="00F11446" w:rsidRPr="005A1D0C" w:rsidTr="005A1D0C">
        <w:trPr>
          <w:trHeight w:val="454"/>
          <w:jc w:val="center"/>
        </w:trPr>
        <w:tc>
          <w:tcPr>
            <w:tcW w:w="34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8</w:t>
            </w:r>
          </w:p>
        </w:tc>
        <w:tc>
          <w:tcPr>
            <w:tcW w:w="1280"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内容：第八章</w:t>
            </w:r>
            <w:r w:rsidRPr="005A1D0C">
              <w:rPr>
                <w:rFonts w:ascii="仿宋_GB2312" w:hAnsi="仿宋_GB2312" w:cs="仿宋_GB2312" w:hint="eastAsia"/>
                <w:bCs/>
                <w:sz w:val="24"/>
                <w:szCs w:val="24"/>
              </w:rPr>
              <w:t xml:space="preserve"> </w:t>
            </w:r>
            <w:r w:rsidRPr="005A1D0C">
              <w:rPr>
                <w:rFonts w:ascii="仿宋_GB2312" w:hAnsi="仿宋_GB2312" w:cs="仿宋_GB2312"/>
                <w:bCs/>
                <w:sz w:val="24"/>
                <w:szCs w:val="24"/>
              </w:rPr>
              <w:t>投资估算指标和</w:t>
            </w:r>
            <w:r w:rsidRPr="005A1D0C">
              <w:rPr>
                <w:rFonts w:ascii="仿宋_GB2312" w:hAnsi="仿宋_GB2312" w:cs="仿宋_GB2312" w:hint="eastAsia"/>
                <w:bCs/>
                <w:sz w:val="24"/>
                <w:szCs w:val="24"/>
              </w:rPr>
              <w:t>建设</w:t>
            </w:r>
            <w:r w:rsidRPr="005A1D0C">
              <w:rPr>
                <w:rFonts w:ascii="仿宋_GB2312" w:hAnsi="仿宋_GB2312" w:cs="仿宋_GB2312"/>
                <w:bCs/>
                <w:sz w:val="24"/>
                <w:szCs w:val="24"/>
              </w:rPr>
              <w:t>工期定额</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 xml:space="preserve">重点： </w:t>
            </w:r>
            <w:r w:rsidRPr="005A1D0C">
              <w:rPr>
                <w:rFonts w:ascii="仿宋_GB2312" w:hAnsi="仿宋_GB2312" w:cs="仿宋_GB2312" w:hint="eastAsia"/>
                <w:bCs/>
                <w:sz w:val="24"/>
                <w:szCs w:val="24"/>
              </w:rPr>
              <w:t>投资估算</w:t>
            </w:r>
            <w:r w:rsidRPr="005A1D0C">
              <w:rPr>
                <w:rFonts w:ascii="仿宋_GB2312" w:hAnsi="仿宋_GB2312" w:cs="仿宋_GB2312" w:hint="eastAsia"/>
                <w:bCs/>
                <w:sz w:val="24"/>
                <w:szCs w:val="24"/>
              </w:rPr>
              <w:lastRenderedPageBreak/>
              <w:t>指标的应用；建设工期定额的应用。</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难点：无</w:t>
            </w:r>
          </w:p>
        </w:tc>
        <w:tc>
          <w:tcPr>
            <w:tcW w:w="1965"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lastRenderedPageBreak/>
              <w:t>1.了解</w:t>
            </w:r>
            <w:r w:rsidRPr="005A1D0C">
              <w:rPr>
                <w:rFonts w:ascii="仿宋_GB2312" w:hAnsi="仿宋_GB2312" w:cs="仿宋_GB2312" w:hint="eastAsia"/>
                <w:bCs/>
                <w:sz w:val="24"/>
                <w:szCs w:val="24"/>
              </w:rPr>
              <w:t>投资估算指标的概念、作用及内容；建设工期定额的概念、作用及内容。</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2. 理解</w:t>
            </w:r>
            <w:r w:rsidRPr="005A1D0C">
              <w:rPr>
                <w:rFonts w:ascii="仿宋_GB2312" w:hAnsi="仿宋_GB2312" w:cs="仿宋_GB2312" w:hint="eastAsia"/>
                <w:bCs/>
                <w:sz w:val="24"/>
                <w:szCs w:val="24"/>
              </w:rPr>
              <w:t>投资估算指标的编制</w:t>
            </w:r>
            <w:r w:rsidRPr="005A1D0C">
              <w:rPr>
                <w:rFonts w:ascii="仿宋_GB2312" w:hAnsi="仿宋_GB2312" w:cs="仿宋_GB2312" w:hint="eastAsia"/>
                <w:bCs/>
                <w:sz w:val="24"/>
                <w:szCs w:val="24"/>
              </w:rPr>
              <w:lastRenderedPageBreak/>
              <w:t>原则、依据和方法；建设工期定额的编制原则、依据及方法。</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3.掌握</w:t>
            </w:r>
            <w:r w:rsidRPr="005A1D0C">
              <w:rPr>
                <w:rFonts w:ascii="仿宋_GB2312" w:hAnsi="仿宋_GB2312" w:cs="仿宋_GB2312" w:hint="eastAsia"/>
                <w:bCs/>
                <w:sz w:val="24"/>
                <w:szCs w:val="24"/>
              </w:rPr>
              <w:t>投资估算指标的应用；建设工期定额的应用</w:t>
            </w:r>
            <w:r w:rsidRPr="005A1D0C">
              <w:rPr>
                <w:rFonts w:ascii="仿宋_GB2312" w:hAnsi="仿宋_GB2312" w:cs="仿宋_GB2312"/>
                <w:bCs/>
                <w:sz w:val="24"/>
                <w:szCs w:val="24"/>
              </w:rPr>
              <w:t>。</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目标2、3</w:t>
            </w:r>
          </w:p>
        </w:tc>
      </w:tr>
      <w:tr w:rsidR="00F11446" w:rsidRPr="005A1D0C" w:rsidTr="005A1D0C">
        <w:trPr>
          <w:trHeight w:val="454"/>
          <w:jc w:val="center"/>
        </w:trPr>
        <w:tc>
          <w:tcPr>
            <w:tcW w:w="341"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9</w:t>
            </w:r>
          </w:p>
        </w:tc>
        <w:tc>
          <w:tcPr>
            <w:tcW w:w="1280"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内容：第九章</w:t>
            </w:r>
            <w:r w:rsidRPr="005A1D0C">
              <w:rPr>
                <w:rFonts w:ascii="仿宋_GB2312" w:hAnsi="仿宋_GB2312" w:cs="仿宋_GB2312" w:hint="eastAsia"/>
                <w:bCs/>
                <w:sz w:val="24"/>
                <w:szCs w:val="24"/>
              </w:rPr>
              <w:t xml:space="preserve"> </w:t>
            </w:r>
            <w:r w:rsidRPr="005A1D0C">
              <w:rPr>
                <w:rFonts w:ascii="仿宋_GB2312" w:hAnsi="仿宋_GB2312" w:cs="仿宋_GB2312"/>
                <w:bCs/>
                <w:sz w:val="24"/>
                <w:szCs w:val="24"/>
              </w:rPr>
              <w:t>工程定额</w:t>
            </w:r>
            <w:r w:rsidRPr="005A1D0C">
              <w:rPr>
                <w:rFonts w:ascii="仿宋_GB2312" w:hAnsi="仿宋_GB2312" w:cs="仿宋_GB2312" w:hint="eastAsia"/>
                <w:bCs/>
                <w:sz w:val="24"/>
                <w:szCs w:val="24"/>
              </w:rPr>
              <w:t>管理信息化技术</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重点：无</w:t>
            </w:r>
          </w:p>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难点：无</w:t>
            </w:r>
          </w:p>
          <w:p w:rsidR="00F11446" w:rsidRPr="005A1D0C" w:rsidRDefault="00F11446" w:rsidP="00CD00D2">
            <w:pPr>
              <w:spacing w:line="360" w:lineRule="exact"/>
              <w:jc w:val="left"/>
              <w:rPr>
                <w:rFonts w:ascii="仿宋_GB2312" w:hAnsi="仿宋_GB2312" w:cs="仿宋_GB2312"/>
                <w:bCs/>
                <w:sz w:val="24"/>
                <w:szCs w:val="24"/>
              </w:rPr>
            </w:pPr>
          </w:p>
        </w:tc>
        <w:tc>
          <w:tcPr>
            <w:tcW w:w="1965"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1.了解</w:t>
            </w:r>
            <w:r w:rsidRPr="005A1D0C">
              <w:rPr>
                <w:rFonts w:ascii="仿宋_GB2312" w:hAnsi="仿宋_GB2312" w:cs="仿宋_GB2312" w:hint="eastAsia"/>
                <w:bCs/>
                <w:sz w:val="24"/>
                <w:szCs w:val="24"/>
              </w:rPr>
              <w:t>建筑企业定额管理信息化技术；国家或地区消耗量定额管理信息化技术；常用的定额管理软件</w:t>
            </w:r>
            <w:r w:rsidRPr="005A1D0C">
              <w:rPr>
                <w:rFonts w:ascii="仿宋_GB2312" w:hAnsi="仿宋_GB2312" w:cs="仿宋_GB2312"/>
                <w:bCs/>
                <w:sz w:val="24"/>
                <w:szCs w:val="24"/>
              </w:rPr>
              <w:t>。</w:t>
            </w:r>
            <w:r w:rsidRPr="005A1D0C">
              <w:rPr>
                <w:rFonts w:ascii="仿宋_GB2312" w:hAnsi="仿宋_GB2312" w:cs="仿宋_GB2312" w:hint="eastAsia"/>
                <w:bCs/>
                <w:sz w:val="24"/>
                <w:szCs w:val="24"/>
              </w:rPr>
              <w:t xml:space="preserve"> </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目标</w:t>
            </w:r>
            <w:r w:rsidRPr="005A1D0C">
              <w:rPr>
                <w:rFonts w:ascii="仿宋_GB2312" w:hAnsi="仿宋_GB2312" w:cs="仿宋_GB2312" w:hint="eastAsia"/>
                <w:bCs/>
                <w:sz w:val="24"/>
                <w:szCs w:val="24"/>
              </w:rPr>
              <w:t>1</w:t>
            </w:r>
          </w:p>
        </w:tc>
      </w:tr>
    </w:tbl>
    <w:p w:rsidR="00F11446" w:rsidRPr="005A1D0C" w:rsidRDefault="00F11446" w:rsidP="00F11446">
      <w:pPr>
        <w:keepNext/>
        <w:spacing w:beforeLines="100" w:before="312" w:afterLines="50" w:after="156" w:line="360" w:lineRule="exact"/>
        <w:outlineLvl w:val="0"/>
        <w:rPr>
          <w:rFonts w:ascii="仿宋" w:eastAsia="仿宋" w:hAnsi="仿宋"/>
          <w:b/>
          <w:sz w:val="28"/>
          <w:szCs w:val="28"/>
        </w:rPr>
      </w:pPr>
      <w:r w:rsidRPr="005A1D0C">
        <w:rPr>
          <w:rFonts w:ascii="仿宋" w:eastAsia="仿宋" w:hAnsi="仿宋"/>
          <w:b/>
          <w:sz w:val="28"/>
          <w:szCs w:val="28"/>
        </w:rPr>
        <w:t>课内实践教学内容及要求</w:t>
      </w:r>
    </w:p>
    <w:p w:rsidR="00F11446" w:rsidRPr="005A1D0C" w:rsidRDefault="00F11446" w:rsidP="00F11446">
      <w:pPr>
        <w:adjustRightInd w:val="0"/>
        <w:snapToGrid w:val="0"/>
        <w:spacing w:line="360" w:lineRule="exact"/>
        <w:rPr>
          <w:rFonts w:ascii="Times New Roman" w:hAnsi="Times New Roman"/>
          <w:sz w:val="28"/>
          <w:szCs w:val="28"/>
        </w:rPr>
      </w:pPr>
      <w:r w:rsidRPr="005A1D0C">
        <w:rPr>
          <w:rFonts w:ascii="Times New Roman" w:hAnsi="Times New Roman"/>
          <w:sz w:val="28"/>
          <w:szCs w:val="28"/>
        </w:rPr>
        <w:t>无</w:t>
      </w:r>
    </w:p>
    <w:p w:rsidR="00F11446" w:rsidRPr="005A1D0C" w:rsidRDefault="00F11446" w:rsidP="00F11446">
      <w:pPr>
        <w:keepNext/>
        <w:spacing w:beforeLines="100" w:before="312" w:afterLines="50" w:after="156" w:line="360" w:lineRule="exact"/>
        <w:outlineLvl w:val="0"/>
        <w:rPr>
          <w:rFonts w:ascii="仿宋" w:eastAsia="仿宋" w:hAnsi="仿宋"/>
          <w:b/>
          <w:sz w:val="28"/>
          <w:szCs w:val="28"/>
        </w:rPr>
      </w:pPr>
      <w:r w:rsidRPr="005A1D0C">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F11446" w:rsidRPr="005A1D0C" w:rsidTr="00CD00D2">
        <w:trPr>
          <w:trHeight w:val="454"/>
          <w:jc w:val="center"/>
        </w:trPr>
        <w:tc>
          <w:tcPr>
            <w:tcW w:w="1624" w:type="pct"/>
            <w:vMerge w:val="restart"/>
            <w:vAlign w:val="center"/>
          </w:tcPr>
          <w:p w:rsidR="00F11446" w:rsidRPr="005A1D0C" w:rsidRDefault="00F11446" w:rsidP="005A1D0C">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章  节</w:t>
            </w:r>
          </w:p>
        </w:tc>
        <w:tc>
          <w:tcPr>
            <w:tcW w:w="2937" w:type="pct"/>
            <w:gridSpan w:val="6"/>
            <w:vAlign w:val="center"/>
          </w:tcPr>
          <w:p w:rsidR="00F11446" w:rsidRPr="005A1D0C" w:rsidRDefault="00F11446" w:rsidP="005A1D0C">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学 时 分 配</w:t>
            </w:r>
          </w:p>
        </w:tc>
        <w:tc>
          <w:tcPr>
            <w:tcW w:w="439" w:type="pct"/>
            <w:vMerge w:val="restart"/>
            <w:vAlign w:val="center"/>
          </w:tcPr>
          <w:p w:rsidR="00F11446" w:rsidRPr="005A1D0C" w:rsidRDefault="00F11446" w:rsidP="005A1D0C">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合  计</w:t>
            </w:r>
          </w:p>
        </w:tc>
      </w:tr>
      <w:tr w:rsidR="00F11446" w:rsidRPr="005A1D0C" w:rsidTr="00CD00D2">
        <w:trPr>
          <w:trHeight w:val="454"/>
          <w:jc w:val="center"/>
        </w:trPr>
        <w:tc>
          <w:tcPr>
            <w:tcW w:w="1624" w:type="pct"/>
            <w:vMerge/>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讲  课</w:t>
            </w:r>
          </w:p>
        </w:tc>
        <w:tc>
          <w:tcPr>
            <w:tcW w:w="490" w:type="pct"/>
            <w:vAlign w:val="center"/>
          </w:tcPr>
          <w:p w:rsidR="00F11446" w:rsidRPr="005A1D0C" w:rsidRDefault="00F11446" w:rsidP="005A1D0C">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实验课</w:t>
            </w:r>
          </w:p>
        </w:tc>
        <w:tc>
          <w:tcPr>
            <w:tcW w:w="489" w:type="pct"/>
            <w:vAlign w:val="center"/>
          </w:tcPr>
          <w:p w:rsidR="00F11446" w:rsidRPr="005A1D0C" w:rsidRDefault="00F11446" w:rsidP="005A1D0C">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上机课</w:t>
            </w:r>
          </w:p>
        </w:tc>
        <w:tc>
          <w:tcPr>
            <w:tcW w:w="490" w:type="pct"/>
            <w:vAlign w:val="center"/>
          </w:tcPr>
          <w:p w:rsidR="00F11446" w:rsidRPr="005A1D0C" w:rsidRDefault="00F11446" w:rsidP="005A1D0C">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讨论课</w:t>
            </w:r>
          </w:p>
        </w:tc>
        <w:tc>
          <w:tcPr>
            <w:tcW w:w="489" w:type="pct"/>
            <w:vAlign w:val="center"/>
          </w:tcPr>
          <w:p w:rsidR="00F11446" w:rsidRPr="005A1D0C" w:rsidRDefault="00F11446" w:rsidP="005A1D0C">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习题课</w:t>
            </w:r>
          </w:p>
        </w:tc>
        <w:tc>
          <w:tcPr>
            <w:tcW w:w="490" w:type="pct"/>
            <w:vAlign w:val="center"/>
          </w:tcPr>
          <w:p w:rsidR="00F11446" w:rsidRPr="005A1D0C" w:rsidRDefault="00F11446" w:rsidP="005A1D0C">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其  它</w:t>
            </w:r>
          </w:p>
        </w:tc>
        <w:tc>
          <w:tcPr>
            <w:tcW w:w="439" w:type="pct"/>
            <w:vMerge/>
            <w:vAlign w:val="center"/>
          </w:tcPr>
          <w:p w:rsidR="00F11446" w:rsidRPr="005A1D0C" w:rsidRDefault="00F11446" w:rsidP="005A1D0C">
            <w:pPr>
              <w:spacing w:line="360" w:lineRule="exact"/>
              <w:jc w:val="center"/>
              <w:rPr>
                <w:rFonts w:ascii="仿宋_GB2312" w:hAnsi="仿宋_GB2312" w:cs="仿宋_GB2312"/>
                <w:bCs/>
                <w:sz w:val="24"/>
                <w:szCs w:val="24"/>
              </w:rPr>
            </w:pPr>
          </w:p>
        </w:tc>
      </w:tr>
      <w:tr w:rsidR="00F11446" w:rsidRPr="005A1D0C" w:rsidTr="00CD00D2">
        <w:trPr>
          <w:trHeight w:val="454"/>
          <w:jc w:val="center"/>
        </w:trPr>
        <w:tc>
          <w:tcPr>
            <w:tcW w:w="1624"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第一章</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3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r>
      <w:tr w:rsidR="00F11446" w:rsidRPr="005A1D0C" w:rsidTr="00CD00D2">
        <w:trPr>
          <w:trHeight w:val="454"/>
          <w:jc w:val="center"/>
        </w:trPr>
        <w:tc>
          <w:tcPr>
            <w:tcW w:w="1624"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第二章</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3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r>
      <w:tr w:rsidR="00F11446" w:rsidRPr="005A1D0C" w:rsidTr="00CD00D2">
        <w:trPr>
          <w:trHeight w:val="454"/>
          <w:jc w:val="center"/>
        </w:trPr>
        <w:tc>
          <w:tcPr>
            <w:tcW w:w="1624"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第三章</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3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4</w:t>
            </w:r>
          </w:p>
        </w:tc>
      </w:tr>
      <w:tr w:rsidR="00F11446" w:rsidRPr="005A1D0C" w:rsidTr="00CD00D2">
        <w:trPr>
          <w:trHeight w:val="454"/>
          <w:jc w:val="center"/>
        </w:trPr>
        <w:tc>
          <w:tcPr>
            <w:tcW w:w="1624"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第四章</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5</w:t>
            </w: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3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6</w:t>
            </w:r>
          </w:p>
        </w:tc>
      </w:tr>
      <w:tr w:rsidR="00F11446" w:rsidRPr="005A1D0C" w:rsidTr="00CD00D2">
        <w:trPr>
          <w:trHeight w:val="454"/>
          <w:jc w:val="center"/>
        </w:trPr>
        <w:tc>
          <w:tcPr>
            <w:tcW w:w="1624"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第五章</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3</w:t>
            </w: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3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4</w:t>
            </w:r>
          </w:p>
        </w:tc>
      </w:tr>
      <w:tr w:rsidR="00F11446" w:rsidRPr="005A1D0C" w:rsidTr="00CD00D2">
        <w:trPr>
          <w:trHeight w:val="454"/>
          <w:jc w:val="center"/>
        </w:trPr>
        <w:tc>
          <w:tcPr>
            <w:tcW w:w="1624"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第六章</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3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r>
      <w:tr w:rsidR="00F11446" w:rsidRPr="005A1D0C" w:rsidTr="00CD00D2">
        <w:trPr>
          <w:trHeight w:val="454"/>
          <w:jc w:val="center"/>
        </w:trPr>
        <w:tc>
          <w:tcPr>
            <w:tcW w:w="1624"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第七章</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3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r>
      <w:tr w:rsidR="00F11446" w:rsidRPr="005A1D0C" w:rsidTr="00CD00D2">
        <w:trPr>
          <w:trHeight w:val="454"/>
          <w:jc w:val="center"/>
        </w:trPr>
        <w:tc>
          <w:tcPr>
            <w:tcW w:w="1624"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第八章</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3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r>
      <w:tr w:rsidR="00F11446" w:rsidRPr="005A1D0C" w:rsidTr="00CD00D2">
        <w:trPr>
          <w:trHeight w:val="454"/>
          <w:jc w:val="center"/>
        </w:trPr>
        <w:tc>
          <w:tcPr>
            <w:tcW w:w="1624"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第九章</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3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r>
      <w:tr w:rsidR="00F11446" w:rsidRPr="005A1D0C" w:rsidTr="00CD00D2">
        <w:trPr>
          <w:trHeight w:val="454"/>
          <w:jc w:val="center"/>
        </w:trPr>
        <w:tc>
          <w:tcPr>
            <w:tcW w:w="1624"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共  计</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18</w:t>
            </w: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4</w:t>
            </w:r>
          </w:p>
        </w:tc>
        <w:tc>
          <w:tcPr>
            <w:tcW w:w="48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490" w:type="pct"/>
            <w:vAlign w:val="center"/>
          </w:tcPr>
          <w:p w:rsidR="00F11446" w:rsidRPr="005A1D0C" w:rsidRDefault="00F11446" w:rsidP="005A1D0C">
            <w:pPr>
              <w:spacing w:line="360" w:lineRule="exact"/>
              <w:jc w:val="center"/>
              <w:rPr>
                <w:rFonts w:ascii="仿宋_GB2312" w:hAnsi="仿宋_GB2312" w:cs="仿宋_GB2312"/>
                <w:bCs/>
                <w:sz w:val="24"/>
                <w:szCs w:val="24"/>
              </w:rPr>
            </w:pPr>
          </w:p>
        </w:tc>
        <w:tc>
          <w:tcPr>
            <w:tcW w:w="439" w:type="pct"/>
            <w:vAlign w:val="center"/>
          </w:tcPr>
          <w:p w:rsidR="00F11446" w:rsidRPr="005A1D0C" w:rsidRDefault="00F11446" w:rsidP="005A1D0C">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24</w:t>
            </w:r>
          </w:p>
        </w:tc>
      </w:tr>
    </w:tbl>
    <w:p w:rsidR="00F11446" w:rsidRPr="005A1D0C" w:rsidRDefault="00F11446" w:rsidP="00F11446">
      <w:pPr>
        <w:keepNext/>
        <w:spacing w:beforeLines="100" w:before="312" w:afterLines="50" w:after="156" w:line="360" w:lineRule="exact"/>
        <w:outlineLvl w:val="0"/>
        <w:rPr>
          <w:rFonts w:ascii="仿宋" w:eastAsia="仿宋" w:hAnsi="仿宋"/>
          <w:b/>
          <w:sz w:val="28"/>
          <w:szCs w:val="28"/>
        </w:rPr>
      </w:pPr>
      <w:r w:rsidRPr="005A1D0C">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930"/>
        <w:gridCol w:w="3217"/>
      </w:tblGrid>
      <w:tr w:rsidR="00F11446" w:rsidTr="00CD00D2">
        <w:trPr>
          <w:trHeight w:val="454"/>
          <w:jc w:val="center"/>
        </w:trPr>
        <w:tc>
          <w:tcPr>
            <w:tcW w:w="343" w:type="pct"/>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序号</w:t>
            </w:r>
          </w:p>
        </w:tc>
        <w:tc>
          <w:tcPr>
            <w:tcW w:w="1555" w:type="pct"/>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课程思政教学目标</w:t>
            </w:r>
          </w:p>
        </w:tc>
        <w:tc>
          <w:tcPr>
            <w:tcW w:w="1163" w:type="pct"/>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授课章节</w:t>
            </w:r>
          </w:p>
        </w:tc>
        <w:tc>
          <w:tcPr>
            <w:tcW w:w="1939" w:type="pct"/>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课程思政融入点（至少5处）</w:t>
            </w:r>
          </w:p>
        </w:tc>
      </w:tr>
      <w:tr w:rsidR="00F11446" w:rsidTr="00CD00D2">
        <w:trPr>
          <w:trHeight w:val="454"/>
          <w:jc w:val="center"/>
        </w:trPr>
        <w:tc>
          <w:tcPr>
            <w:tcW w:w="343"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1555"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正确政治导向</w:t>
            </w:r>
          </w:p>
        </w:tc>
        <w:tc>
          <w:tcPr>
            <w:tcW w:w="1163"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第一章</w:t>
            </w:r>
          </w:p>
        </w:tc>
        <w:tc>
          <w:tcPr>
            <w:tcW w:w="1939" w:type="pct"/>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hint="eastAsia"/>
                <w:bCs/>
                <w:sz w:val="24"/>
                <w:szCs w:val="24"/>
              </w:rPr>
              <w:t>建设工程定额是对工程建设</w:t>
            </w:r>
            <w:r w:rsidRPr="005A1D0C">
              <w:rPr>
                <w:rFonts w:ascii="仿宋_GB2312" w:hAnsi="仿宋_GB2312" w:cs="仿宋_GB2312" w:hint="eastAsia"/>
                <w:bCs/>
                <w:sz w:val="24"/>
                <w:szCs w:val="24"/>
              </w:rPr>
              <w:lastRenderedPageBreak/>
              <w:t>进行科学管理的必不可少的手段</w:t>
            </w:r>
          </w:p>
        </w:tc>
      </w:tr>
      <w:tr w:rsidR="00F11446" w:rsidTr="00CD00D2">
        <w:trPr>
          <w:trHeight w:val="454"/>
          <w:jc w:val="center"/>
        </w:trPr>
        <w:tc>
          <w:tcPr>
            <w:tcW w:w="343"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lastRenderedPageBreak/>
              <w:t>2</w:t>
            </w:r>
          </w:p>
        </w:tc>
        <w:tc>
          <w:tcPr>
            <w:tcW w:w="1555"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社会主义核心价值观教育</w:t>
            </w:r>
          </w:p>
        </w:tc>
        <w:tc>
          <w:tcPr>
            <w:tcW w:w="1163"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第二章</w:t>
            </w:r>
          </w:p>
        </w:tc>
        <w:tc>
          <w:tcPr>
            <w:tcW w:w="1939" w:type="pct"/>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hint="eastAsia"/>
                <w:bCs/>
                <w:sz w:val="24"/>
                <w:szCs w:val="24"/>
              </w:rPr>
              <w:t>对施工过程进行研究是提高工程管理及工作效率的有效手段</w:t>
            </w:r>
          </w:p>
        </w:tc>
      </w:tr>
      <w:tr w:rsidR="00F11446" w:rsidTr="00CD00D2">
        <w:trPr>
          <w:trHeight w:val="454"/>
          <w:jc w:val="center"/>
        </w:trPr>
        <w:tc>
          <w:tcPr>
            <w:tcW w:w="343"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3</w:t>
            </w:r>
          </w:p>
        </w:tc>
        <w:tc>
          <w:tcPr>
            <w:tcW w:w="1555"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远大理想塑造</w:t>
            </w:r>
          </w:p>
        </w:tc>
        <w:tc>
          <w:tcPr>
            <w:tcW w:w="1163"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第一~四章</w:t>
            </w:r>
          </w:p>
        </w:tc>
        <w:tc>
          <w:tcPr>
            <w:tcW w:w="1939" w:type="pct"/>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hint="eastAsia"/>
                <w:bCs/>
                <w:sz w:val="24"/>
                <w:szCs w:val="24"/>
              </w:rPr>
              <w:t>建筑物的计价过程周期长且比较复杂，要对建设工程进行合理准确的计价，离不开工程定额</w:t>
            </w:r>
          </w:p>
        </w:tc>
      </w:tr>
      <w:tr w:rsidR="00F11446" w:rsidTr="00CD00D2">
        <w:trPr>
          <w:trHeight w:val="454"/>
          <w:jc w:val="center"/>
        </w:trPr>
        <w:tc>
          <w:tcPr>
            <w:tcW w:w="343"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4</w:t>
            </w:r>
          </w:p>
        </w:tc>
        <w:tc>
          <w:tcPr>
            <w:tcW w:w="1555"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健康心态培育</w:t>
            </w:r>
          </w:p>
        </w:tc>
        <w:tc>
          <w:tcPr>
            <w:tcW w:w="1163"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第五~八章</w:t>
            </w:r>
          </w:p>
        </w:tc>
        <w:tc>
          <w:tcPr>
            <w:tcW w:w="1939" w:type="pct"/>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hint="eastAsia"/>
                <w:bCs/>
                <w:sz w:val="24"/>
                <w:szCs w:val="24"/>
              </w:rPr>
              <w:t>随着建筑设计及施工工艺、新技术的不断发展变化，造价管理人员要面对新问题不断学习，不断寻求新的解决办法</w:t>
            </w:r>
          </w:p>
        </w:tc>
      </w:tr>
      <w:tr w:rsidR="00F11446" w:rsidTr="00CD00D2">
        <w:trPr>
          <w:trHeight w:val="454"/>
          <w:jc w:val="center"/>
        </w:trPr>
        <w:tc>
          <w:tcPr>
            <w:tcW w:w="343"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5</w:t>
            </w:r>
          </w:p>
        </w:tc>
        <w:tc>
          <w:tcPr>
            <w:tcW w:w="1555"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道德品质培养</w:t>
            </w:r>
          </w:p>
        </w:tc>
        <w:tc>
          <w:tcPr>
            <w:tcW w:w="1163" w:type="pct"/>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第五~九章</w:t>
            </w:r>
          </w:p>
        </w:tc>
        <w:tc>
          <w:tcPr>
            <w:tcW w:w="1939" w:type="pct"/>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hint="eastAsia"/>
                <w:bCs/>
                <w:sz w:val="24"/>
                <w:szCs w:val="24"/>
              </w:rPr>
              <w:t>计价理论及方法要能够满足社会和市场的不同发展阶段对于工程计价提出的不同需求</w:t>
            </w:r>
          </w:p>
        </w:tc>
      </w:tr>
    </w:tbl>
    <w:p w:rsidR="005A1D0C" w:rsidRDefault="005A1D0C" w:rsidP="005A1D0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F11446" w:rsidRPr="005A1D0C" w:rsidRDefault="00F11446" w:rsidP="005A1D0C">
      <w:pPr>
        <w:spacing w:line="360" w:lineRule="auto"/>
        <w:ind w:firstLine="331"/>
        <w:rPr>
          <w:rFonts w:ascii="仿宋_GB2312" w:hAnsi="仿宋_GB2312" w:cs="仿宋_GB2312"/>
          <w:bCs/>
          <w:sz w:val="28"/>
          <w:szCs w:val="28"/>
        </w:rPr>
      </w:pPr>
      <w:r w:rsidRPr="005A1D0C">
        <w:rPr>
          <w:rFonts w:ascii="仿宋_GB2312" w:hAnsi="仿宋_GB2312" w:cs="仿宋_GB2312"/>
          <w:bCs/>
          <w:sz w:val="28"/>
          <w:szCs w:val="28"/>
        </w:rPr>
        <w:t>（1）考核方式</w:t>
      </w:r>
    </w:p>
    <w:p w:rsidR="00F11446" w:rsidRPr="005A1D0C" w:rsidRDefault="00F11446" w:rsidP="005A1D0C">
      <w:pPr>
        <w:spacing w:line="360" w:lineRule="auto"/>
        <w:ind w:firstLine="331"/>
        <w:rPr>
          <w:rFonts w:ascii="仿宋_GB2312" w:hAnsi="仿宋_GB2312" w:cs="仿宋_GB2312"/>
          <w:bCs/>
          <w:sz w:val="28"/>
          <w:szCs w:val="28"/>
        </w:rPr>
      </w:pPr>
      <w:r w:rsidRPr="005A1D0C">
        <w:rPr>
          <w:rFonts w:ascii="仿宋_GB2312" w:hAnsi="仿宋_GB2312" w:cs="仿宋_GB2312"/>
          <w:bCs/>
          <w:sz w:val="28"/>
          <w:szCs w:val="28"/>
        </w:rPr>
        <w:t>本课程考核方式为考试，其中期末考核方式为标准答案考试，过程考核方式为课堂出勤、课堂讨论展示、作业完成情况及平时随堂测验等。</w:t>
      </w:r>
    </w:p>
    <w:p w:rsidR="00F11446" w:rsidRPr="005A1D0C" w:rsidRDefault="00F11446" w:rsidP="005A1D0C">
      <w:pPr>
        <w:spacing w:line="360" w:lineRule="auto"/>
        <w:ind w:firstLine="331"/>
        <w:rPr>
          <w:rFonts w:ascii="仿宋_GB2312" w:hAnsi="仿宋_GB2312" w:cs="仿宋_GB2312"/>
          <w:bCs/>
          <w:sz w:val="28"/>
          <w:szCs w:val="28"/>
        </w:rPr>
      </w:pPr>
      <w:r w:rsidRPr="005A1D0C">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881"/>
        <w:gridCol w:w="672"/>
        <w:gridCol w:w="672"/>
        <w:gridCol w:w="672"/>
        <w:gridCol w:w="672"/>
        <w:gridCol w:w="672"/>
        <w:gridCol w:w="677"/>
        <w:gridCol w:w="656"/>
        <w:gridCol w:w="667"/>
      </w:tblGrid>
      <w:tr w:rsidR="00F11446" w:rsidTr="00CD00D2">
        <w:trPr>
          <w:trHeight w:val="454"/>
          <w:jc w:val="center"/>
        </w:trPr>
        <w:tc>
          <w:tcPr>
            <w:tcW w:w="396" w:type="pct"/>
            <w:vMerge w:val="restart"/>
            <w:tcBorders>
              <w:top w:val="single" w:sz="4" w:space="0" w:color="000000"/>
              <w:left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课程</w:t>
            </w:r>
          </w:p>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目标</w:t>
            </w:r>
          </w:p>
        </w:tc>
        <w:tc>
          <w:tcPr>
            <w:tcW w:w="3956" w:type="pct"/>
            <w:gridSpan w:val="8"/>
            <w:tcBorders>
              <w:top w:val="single" w:sz="4" w:space="0" w:color="000000"/>
              <w:left w:val="single" w:sz="4" w:space="0" w:color="auto"/>
              <w:bottom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考核方式及成绩比例（%）</w:t>
            </w:r>
          </w:p>
        </w:tc>
      </w:tr>
      <w:tr w:rsidR="00F11446" w:rsidTr="00CD00D2">
        <w:trPr>
          <w:trHeight w:val="454"/>
          <w:jc w:val="center"/>
        </w:trPr>
        <w:tc>
          <w:tcPr>
            <w:tcW w:w="396" w:type="pct"/>
            <w:vMerge/>
            <w:tcBorders>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p>
        </w:tc>
        <w:tc>
          <w:tcPr>
            <w:tcW w:w="496" w:type="pct"/>
            <w:tcBorders>
              <w:top w:val="single" w:sz="4" w:space="0" w:color="auto"/>
              <w:left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考勤</w:t>
            </w:r>
          </w:p>
        </w:tc>
        <w:tc>
          <w:tcPr>
            <w:tcW w:w="496" w:type="pct"/>
            <w:tcBorders>
              <w:top w:val="single" w:sz="4" w:space="0" w:color="auto"/>
              <w:left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作业</w:t>
            </w:r>
          </w:p>
        </w:tc>
        <w:tc>
          <w:tcPr>
            <w:tcW w:w="496" w:type="pct"/>
            <w:tcBorders>
              <w:top w:val="single" w:sz="4" w:space="0" w:color="auto"/>
              <w:left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讨论</w:t>
            </w:r>
          </w:p>
        </w:tc>
        <w:tc>
          <w:tcPr>
            <w:tcW w:w="496" w:type="pct"/>
            <w:tcBorders>
              <w:top w:val="single" w:sz="4" w:space="0" w:color="auto"/>
              <w:left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实验</w:t>
            </w:r>
          </w:p>
        </w:tc>
        <w:tc>
          <w:tcPr>
            <w:tcW w:w="496" w:type="pct"/>
            <w:tcBorders>
              <w:top w:val="single" w:sz="4" w:space="0" w:color="auto"/>
              <w:left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测验</w:t>
            </w:r>
          </w:p>
        </w:tc>
        <w:tc>
          <w:tcPr>
            <w:tcW w:w="499" w:type="pct"/>
            <w:tcBorders>
              <w:top w:val="single" w:sz="4" w:space="0" w:color="auto"/>
              <w:left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考试</w:t>
            </w:r>
          </w:p>
        </w:tc>
        <w:tc>
          <w:tcPr>
            <w:tcW w:w="484" w:type="pct"/>
            <w:tcBorders>
              <w:top w:val="single" w:sz="4" w:space="0" w:color="auto"/>
              <w:left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w:t>
            </w:r>
          </w:p>
        </w:tc>
        <w:tc>
          <w:tcPr>
            <w:tcW w:w="492" w:type="pct"/>
            <w:tcBorders>
              <w:top w:val="single" w:sz="4" w:space="0" w:color="auto"/>
              <w:left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合计</w:t>
            </w:r>
          </w:p>
        </w:tc>
      </w:tr>
      <w:tr w:rsidR="00F11446"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目标1</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10</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13</w:t>
            </w:r>
          </w:p>
        </w:tc>
      </w:tr>
      <w:tr w:rsidR="00F11446"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目标2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5</w:t>
            </w: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40</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51</w:t>
            </w:r>
          </w:p>
        </w:tc>
      </w:tr>
      <w:tr w:rsidR="00F11446"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目标3</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30</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36</w:t>
            </w:r>
          </w:p>
        </w:tc>
      </w:tr>
      <w:tr w:rsidR="00F11446" w:rsidTr="00CD00D2">
        <w:trPr>
          <w:trHeight w:val="454"/>
          <w:jc w:val="center"/>
        </w:trPr>
        <w:tc>
          <w:tcPr>
            <w:tcW w:w="1044" w:type="pct"/>
            <w:gridSpan w:val="2"/>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共计</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5</w:t>
            </w: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80</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100</w:t>
            </w:r>
          </w:p>
        </w:tc>
      </w:tr>
    </w:tbl>
    <w:p w:rsidR="00F11446" w:rsidRPr="005A1D0C" w:rsidRDefault="00F11446" w:rsidP="005A1D0C">
      <w:pPr>
        <w:spacing w:line="360" w:lineRule="auto"/>
        <w:ind w:firstLine="331"/>
        <w:rPr>
          <w:rFonts w:ascii="仿宋_GB2312" w:hAnsi="仿宋_GB2312" w:cs="仿宋_GB2312"/>
          <w:bCs/>
          <w:sz w:val="28"/>
          <w:szCs w:val="28"/>
        </w:rPr>
      </w:pPr>
      <w:r w:rsidRPr="005A1D0C">
        <w:rPr>
          <w:rFonts w:ascii="仿宋_GB2312" w:hAnsi="仿宋_GB2312" w:cs="仿宋_GB2312" w:hint="eastAsia"/>
          <w:bCs/>
          <w:sz w:val="28"/>
          <w:szCs w:val="28"/>
        </w:rPr>
        <w:lastRenderedPageBreak/>
        <w:t>（3）考核（评价）要求：</w:t>
      </w:r>
      <w:r w:rsidRPr="005A1D0C">
        <w:rPr>
          <w:rFonts w:ascii="仿宋_GB2312" w:hAnsi="仿宋_GB2312" w:cs="仿宋_GB2312"/>
          <w:bCs/>
          <w:sz w:val="28"/>
          <w:szCs w:val="28"/>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51"/>
        <w:gridCol w:w="742"/>
        <w:gridCol w:w="4991"/>
        <w:gridCol w:w="1042"/>
      </w:tblGrid>
      <w:tr w:rsidR="00F11446" w:rsidTr="005A1D0C">
        <w:trPr>
          <w:trHeight w:val="454"/>
          <w:jc w:val="center"/>
        </w:trPr>
        <w:tc>
          <w:tcPr>
            <w:tcW w:w="344" w:type="pct"/>
            <w:tcBorders>
              <w:top w:val="single" w:sz="4" w:space="0" w:color="000000"/>
              <w:left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hint="eastAsia"/>
                <w:b/>
                <w:bCs/>
                <w:sz w:val="24"/>
                <w:szCs w:val="24"/>
              </w:rPr>
              <w:t>考核环节</w:t>
            </w:r>
          </w:p>
        </w:tc>
        <w:tc>
          <w:tcPr>
            <w:tcW w:w="447" w:type="pct"/>
            <w:tcBorders>
              <w:top w:val="single" w:sz="4" w:space="0" w:color="000000"/>
              <w:left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hint="eastAsia"/>
                <w:b/>
                <w:bCs/>
                <w:sz w:val="24"/>
                <w:szCs w:val="24"/>
              </w:rPr>
              <w:t>目标分值</w:t>
            </w:r>
          </w:p>
        </w:tc>
        <w:tc>
          <w:tcPr>
            <w:tcW w:w="3008" w:type="pct"/>
            <w:tcBorders>
              <w:top w:val="single" w:sz="4" w:space="0" w:color="000000"/>
              <w:left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F11446" w:rsidRPr="005A1D0C" w:rsidRDefault="00F11446" w:rsidP="00CD00D2">
            <w:pPr>
              <w:spacing w:line="360" w:lineRule="exact"/>
              <w:jc w:val="center"/>
              <w:rPr>
                <w:rFonts w:ascii="仿宋_GB2312" w:hAnsi="仿宋_GB2312" w:cs="仿宋_GB2312"/>
                <w:b/>
                <w:bCs/>
                <w:sz w:val="24"/>
                <w:szCs w:val="24"/>
              </w:rPr>
            </w:pPr>
            <w:r w:rsidRPr="005A1D0C">
              <w:rPr>
                <w:rFonts w:ascii="仿宋_GB2312" w:hAnsi="仿宋_GB2312" w:cs="仿宋_GB2312"/>
                <w:b/>
                <w:bCs/>
                <w:sz w:val="24"/>
                <w:szCs w:val="24"/>
              </w:rPr>
              <w:t>支撑课程教学目标</w:t>
            </w:r>
          </w:p>
        </w:tc>
      </w:tr>
      <w:tr w:rsidR="00F11446" w:rsidTr="005A1D0C">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考勤</w:t>
            </w:r>
          </w:p>
        </w:tc>
        <w:tc>
          <w:tcPr>
            <w:tcW w:w="447"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100</w:t>
            </w:r>
          </w:p>
        </w:tc>
        <w:tc>
          <w:tcPr>
            <w:tcW w:w="3008"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hint="eastAsia"/>
                <w:bCs/>
                <w:sz w:val="24"/>
                <w:szCs w:val="24"/>
              </w:rPr>
              <w:t>出勤统计不少于授课次数的2/3；通过出勤统计结果考核学生学习态度和遵守课堂纪律等基本情况。</w:t>
            </w:r>
            <w:r w:rsidRPr="005A1D0C">
              <w:rPr>
                <w:rFonts w:ascii="仿宋_GB2312" w:hAnsi="仿宋_GB2312" w:cs="仿宋_GB2312"/>
                <w:bCs/>
                <w:sz w:val="24"/>
                <w:szCs w:val="24"/>
              </w:rPr>
              <w:t xml:space="preserve"> </w:t>
            </w:r>
          </w:p>
        </w:tc>
        <w:tc>
          <w:tcPr>
            <w:tcW w:w="628"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目标</w:t>
            </w:r>
            <w:r w:rsidRPr="005A1D0C">
              <w:rPr>
                <w:rFonts w:ascii="仿宋_GB2312" w:hAnsi="仿宋_GB2312" w:cs="仿宋_GB2312" w:hint="eastAsia"/>
                <w:bCs/>
                <w:sz w:val="24"/>
                <w:szCs w:val="24"/>
              </w:rPr>
              <w:t>1</w:t>
            </w:r>
          </w:p>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目标2</w:t>
            </w:r>
          </w:p>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目标</w:t>
            </w:r>
            <w:r w:rsidRPr="005A1D0C">
              <w:rPr>
                <w:rFonts w:ascii="仿宋_GB2312" w:hAnsi="仿宋_GB2312" w:cs="仿宋_GB2312" w:hint="eastAsia"/>
                <w:bCs/>
                <w:sz w:val="24"/>
                <w:szCs w:val="24"/>
              </w:rPr>
              <w:t>3</w:t>
            </w:r>
          </w:p>
        </w:tc>
      </w:tr>
      <w:tr w:rsidR="00F11446" w:rsidTr="005A1D0C">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2</w:t>
            </w:r>
          </w:p>
        </w:tc>
        <w:tc>
          <w:tcPr>
            <w:tcW w:w="573"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作业</w:t>
            </w:r>
          </w:p>
        </w:tc>
        <w:tc>
          <w:tcPr>
            <w:tcW w:w="447"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100</w:t>
            </w:r>
          </w:p>
        </w:tc>
        <w:tc>
          <w:tcPr>
            <w:tcW w:w="3008"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bCs/>
                <w:sz w:val="24"/>
                <w:szCs w:val="24"/>
              </w:rPr>
              <w:t>课后作业</w:t>
            </w:r>
            <w:r w:rsidRPr="005A1D0C">
              <w:rPr>
                <w:rFonts w:ascii="仿宋_GB2312" w:hAnsi="仿宋_GB2312" w:cs="仿宋_GB2312" w:hint="eastAsia"/>
                <w:bCs/>
                <w:sz w:val="24"/>
                <w:szCs w:val="24"/>
              </w:rPr>
              <w:t>布置5次；通过课后作业考核学生对建设工程定额的基本原理、概念等的掌握情况。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目标1</w:t>
            </w:r>
          </w:p>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目标2</w:t>
            </w:r>
          </w:p>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目标</w:t>
            </w:r>
            <w:r w:rsidRPr="005A1D0C">
              <w:rPr>
                <w:rFonts w:ascii="仿宋_GB2312" w:hAnsi="仿宋_GB2312" w:cs="仿宋_GB2312" w:hint="eastAsia"/>
                <w:bCs/>
                <w:sz w:val="24"/>
                <w:szCs w:val="24"/>
              </w:rPr>
              <w:t>3</w:t>
            </w:r>
          </w:p>
        </w:tc>
      </w:tr>
      <w:tr w:rsidR="00F11446" w:rsidTr="005A1D0C">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讨论</w:t>
            </w:r>
          </w:p>
        </w:tc>
        <w:tc>
          <w:tcPr>
            <w:tcW w:w="447"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100</w:t>
            </w:r>
          </w:p>
        </w:tc>
        <w:tc>
          <w:tcPr>
            <w:tcW w:w="3008"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hint="eastAsia"/>
                <w:bCs/>
                <w:sz w:val="24"/>
                <w:szCs w:val="24"/>
              </w:rPr>
              <w:t>讨论环节设置4次；通过对部分章节关键知识点设置分组讨论，考核学生对建设工程定额的编制原理、各种定额的应用的理解及掌握情况，加深对工程定额的理解。</w:t>
            </w:r>
          </w:p>
        </w:tc>
        <w:tc>
          <w:tcPr>
            <w:tcW w:w="628"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目标1</w:t>
            </w:r>
          </w:p>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目标2</w:t>
            </w:r>
          </w:p>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目标</w:t>
            </w:r>
            <w:r w:rsidRPr="005A1D0C">
              <w:rPr>
                <w:rFonts w:ascii="仿宋_GB2312" w:hAnsi="仿宋_GB2312" w:cs="仿宋_GB2312" w:hint="eastAsia"/>
                <w:bCs/>
                <w:sz w:val="24"/>
                <w:szCs w:val="24"/>
              </w:rPr>
              <w:t>3</w:t>
            </w:r>
          </w:p>
        </w:tc>
      </w:tr>
      <w:tr w:rsidR="00F11446" w:rsidTr="005A1D0C">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4</w:t>
            </w:r>
          </w:p>
        </w:tc>
        <w:tc>
          <w:tcPr>
            <w:tcW w:w="573"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测验</w:t>
            </w:r>
          </w:p>
        </w:tc>
        <w:tc>
          <w:tcPr>
            <w:tcW w:w="447"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100</w:t>
            </w:r>
          </w:p>
        </w:tc>
        <w:tc>
          <w:tcPr>
            <w:tcW w:w="3008"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hint="eastAsia"/>
                <w:bCs/>
                <w:sz w:val="24"/>
                <w:szCs w:val="24"/>
              </w:rPr>
              <w:t>章节测验设置1次；</w:t>
            </w:r>
            <w:r w:rsidRPr="005A1D0C">
              <w:rPr>
                <w:rFonts w:ascii="仿宋_GB2312" w:hAnsi="仿宋_GB2312" w:cs="仿宋_GB2312"/>
                <w:bCs/>
                <w:sz w:val="24"/>
                <w:szCs w:val="24"/>
              </w:rPr>
              <w:t>通过对</w:t>
            </w:r>
            <w:r w:rsidRPr="005A1D0C">
              <w:rPr>
                <w:rFonts w:ascii="仿宋_GB2312" w:hAnsi="仿宋_GB2312" w:cs="仿宋_GB2312" w:hint="eastAsia"/>
                <w:bCs/>
                <w:sz w:val="24"/>
                <w:szCs w:val="24"/>
              </w:rPr>
              <w:t>第三</w:t>
            </w:r>
            <w:r w:rsidRPr="005A1D0C">
              <w:rPr>
                <w:rFonts w:ascii="仿宋_GB2312" w:hAnsi="仿宋_GB2312" w:cs="仿宋_GB2312"/>
                <w:bCs/>
                <w:sz w:val="24"/>
                <w:szCs w:val="24"/>
              </w:rPr>
              <w:t>章关键知识点设置随堂测验，考核学生对</w:t>
            </w:r>
            <w:r w:rsidRPr="005A1D0C">
              <w:rPr>
                <w:rFonts w:ascii="仿宋_GB2312" w:hAnsi="仿宋_GB2312" w:cs="仿宋_GB2312" w:hint="eastAsia"/>
                <w:bCs/>
                <w:sz w:val="24"/>
                <w:szCs w:val="24"/>
              </w:rPr>
              <w:t>科学计算法的掌握</w:t>
            </w:r>
            <w:r w:rsidRPr="005A1D0C">
              <w:rPr>
                <w:rFonts w:ascii="仿宋_GB2312" w:hAnsi="仿宋_GB2312" w:cs="仿宋_GB2312"/>
                <w:bCs/>
                <w:sz w:val="24"/>
                <w:szCs w:val="24"/>
              </w:rPr>
              <w:t>情况。</w:t>
            </w:r>
          </w:p>
        </w:tc>
        <w:tc>
          <w:tcPr>
            <w:tcW w:w="628"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目标2</w:t>
            </w:r>
          </w:p>
        </w:tc>
      </w:tr>
      <w:tr w:rsidR="00F11446" w:rsidTr="005A1D0C">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5</w:t>
            </w:r>
          </w:p>
        </w:tc>
        <w:tc>
          <w:tcPr>
            <w:tcW w:w="573" w:type="pct"/>
            <w:tcBorders>
              <w:top w:val="single" w:sz="4" w:space="0" w:color="000000"/>
              <w:left w:val="single" w:sz="4" w:space="0" w:color="000000"/>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考试</w:t>
            </w:r>
          </w:p>
        </w:tc>
        <w:tc>
          <w:tcPr>
            <w:tcW w:w="447"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100</w:t>
            </w:r>
          </w:p>
        </w:tc>
        <w:tc>
          <w:tcPr>
            <w:tcW w:w="3008"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left"/>
              <w:rPr>
                <w:rFonts w:ascii="仿宋_GB2312" w:hAnsi="仿宋_GB2312" w:cs="仿宋_GB2312"/>
                <w:bCs/>
                <w:sz w:val="24"/>
                <w:szCs w:val="24"/>
              </w:rPr>
            </w:pPr>
            <w:r w:rsidRPr="005A1D0C">
              <w:rPr>
                <w:rFonts w:ascii="仿宋_GB2312" w:hAnsi="仿宋_GB2312" w:cs="仿宋_GB2312" w:hint="eastAsia"/>
                <w:bCs/>
                <w:sz w:val="24"/>
                <w:szCs w:val="24"/>
              </w:rPr>
              <w:t>期末考试采用</w:t>
            </w:r>
            <w:r w:rsidRPr="005A1D0C">
              <w:rPr>
                <w:rFonts w:ascii="仿宋_GB2312" w:hAnsi="仿宋_GB2312" w:cs="仿宋_GB2312"/>
                <w:bCs/>
                <w:sz w:val="24"/>
                <w:szCs w:val="24"/>
              </w:rPr>
              <w:t>标准答案考试</w:t>
            </w:r>
            <w:r w:rsidRPr="005A1D0C">
              <w:rPr>
                <w:rFonts w:ascii="仿宋_GB2312" w:hAnsi="仿宋_GB2312" w:cs="仿宋_GB2312" w:hint="eastAsia"/>
                <w:bCs/>
                <w:sz w:val="24"/>
                <w:szCs w:val="24"/>
              </w:rPr>
              <w:t>。考试范围基本涵盖所有讲授内容，考试内容主要反映学生对本课程主要概念的理解和掌握程度，以及综合运用的能力。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目标</w:t>
            </w:r>
            <w:r w:rsidRPr="005A1D0C">
              <w:rPr>
                <w:rFonts w:ascii="仿宋_GB2312" w:hAnsi="仿宋_GB2312" w:cs="仿宋_GB2312" w:hint="eastAsia"/>
                <w:bCs/>
                <w:sz w:val="24"/>
                <w:szCs w:val="24"/>
              </w:rPr>
              <w:t>1</w:t>
            </w:r>
          </w:p>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hint="eastAsia"/>
                <w:bCs/>
                <w:sz w:val="24"/>
                <w:szCs w:val="24"/>
              </w:rPr>
              <w:t>目标2</w:t>
            </w:r>
          </w:p>
          <w:p w:rsidR="00F11446" w:rsidRPr="005A1D0C" w:rsidRDefault="00F11446" w:rsidP="00CD00D2">
            <w:pPr>
              <w:spacing w:line="360" w:lineRule="exact"/>
              <w:jc w:val="center"/>
              <w:rPr>
                <w:rFonts w:ascii="仿宋_GB2312" w:hAnsi="仿宋_GB2312" w:cs="仿宋_GB2312"/>
                <w:bCs/>
                <w:sz w:val="24"/>
                <w:szCs w:val="24"/>
              </w:rPr>
            </w:pPr>
            <w:r w:rsidRPr="005A1D0C">
              <w:rPr>
                <w:rFonts w:ascii="仿宋_GB2312" w:hAnsi="仿宋_GB2312" w:cs="仿宋_GB2312"/>
                <w:bCs/>
                <w:sz w:val="24"/>
                <w:szCs w:val="24"/>
              </w:rPr>
              <w:t>目标</w:t>
            </w:r>
            <w:r w:rsidRPr="005A1D0C">
              <w:rPr>
                <w:rFonts w:ascii="仿宋_GB2312" w:hAnsi="仿宋_GB2312" w:cs="仿宋_GB2312" w:hint="eastAsia"/>
                <w:bCs/>
                <w:sz w:val="24"/>
                <w:szCs w:val="24"/>
              </w:rPr>
              <w:t>3</w:t>
            </w:r>
          </w:p>
        </w:tc>
      </w:tr>
    </w:tbl>
    <w:p w:rsidR="005A1D0C" w:rsidRDefault="005A1D0C" w:rsidP="005A1D0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5A1D0C" w:rsidRPr="005A1D0C" w:rsidRDefault="005A1D0C" w:rsidP="005A1D0C">
      <w:pPr>
        <w:spacing w:line="360" w:lineRule="auto"/>
        <w:ind w:firstLine="331"/>
        <w:rPr>
          <w:rFonts w:ascii="仿宋_GB2312" w:hAnsi="仿宋_GB2312" w:cs="仿宋_GB2312"/>
          <w:bCs/>
          <w:sz w:val="28"/>
          <w:szCs w:val="28"/>
        </w:rPr>
      </w:pPr>
      <w:r w:rsidRPr="005A1D0C">
        <w:rPr>
          <w:rFonts w:ascii="仿宋_GB2312" w:hAnsi="仿宋_GB2312" w:cs="仿宋_GB2312"/>
          <w:bCs/>
          <w:sz w:val="28"/>
          <w:szCs w:val="28"/>
        </w:rPr>
        <w:t>1. 教  材：《</w:t>
      </w:r>
      <w:r w:rsidRPr="005A1D0C">
        <w:rPr>
          <w:rFonts w:ascii="仿宋_GB2312" w:hAnsi="仿宋_GB2312" w:cs="仿宋_GB2312" w:hint="eastAsia"/>
          <w:bCs/>
          <w:sz w:val="28"/>
          <w:szCs w:val="28"/>
        </w:rPr>
        <w:t>建设工程定额原理与实务</w:t>
      </w:r>
      <w:r w:rsidRPr="005A1D0C">
        <w:rPr>
          <w:rFonts w:ascii="仿宋_GB2312" w:hAnsi="仿宋_GB2312" w:cs="仿宋_GB2312"/>
          <w:bCs/>
          <w:sz w:val="28"/>
          <w:szCs w:val="28"/>
        </w:rPr>
        <w:t>》，</w:t>
      </w:r>
      <w:r w:rsidRPr="005A1D0C">
        <w:rPr>
          <w:rFonts w:ascii="仿宋_GB2312" w:hAnsi="仿宋_GB2312" w:cs="仿宋_GB2312" w:hint="eastAsia"/>
          <w:bCs/>
          <w:sz w:val="28"/>
          <w:szCs w:val="28"/>
        </w:rPr>
        <w:t>李建峰主编，机械工业出版社，2018年8月</w:t>
      </w:r>
    </w:p>
    <w:p w:rsidR="005A1D0C" w:rsidRPr="005A1D0C" w:rsidRDefault="005A1D0C" w:rsidP="005A1D0C">
      <w:pPr>
        <w:spacing w:line="360" w:lineRule="auto"/>
        <w:ind w:firstLine="331"/>
        <w:rPr>
          <w:rFonts w:ascii="仿宋_GB2312" w:hAnsi="仿宋_GB2312" w:cs="仿宋_GB2312"/>
          <w:bCs/>
          <w:sz w:val="28"/>
          <w:szCs w:val="28"/>
        </w:rPr>
      </w:pPr>
      <w:r w:rsidRPr="005A1D0C">
        <w:rPr>
          <w:rFonts w:ascii="仿宋_GB2312" w:hAnsi="仿宋_GB2312" w:cs="仿宋_GB2312"/>
          <w:bCs/>
          <w:sz w:val="28"/>
          <w:szCs w:val="28"/>
        </w:rPr>
        <w:t>2. 参考书：</w:t>
      </w:r>
      <w:r w:rsidRPr="005A1D0C">
        <w:rPr>
          <w:rFonts w:ascii="仿宋_GB2312" w:hAnsi="仿宋_GB2312" w:cs="仿宋_GB2312" w:hint="eastAsia"/>
          <w:bCs/>
          <w:sz w:val="28"/>
          <w:szCs w:val="28"/>
        </w:rPr>
        <w:t>[1] 建筑工程概预算实例教程，陈远基，王霞兵主编，机械工业出版社，2015年</w:t>
      </w:r>
    </w:p>
    <w:p w:rsidR="005A1D0C" w:rsidRPr="005A1D0C" w:rsidRDefault="005A1D0C" w:rsidP="005A1D0C">
      <w:pPr>
        <w:spacing w:line="360" w:lineRule="auto"/>
        <w:ind w:firstLine="331"/>
        <w:rPr>
          <w:rFonts w:ascii="仿宋_GB2312" w:hAnsi="仿宋_GB2312" w:cs="仿宋_GB2312"/>
          <w:bCs/>
          <w:sz w:val="28"/>
          <w:szCs w:val="28"/>
        </w:rPr>
      </w:pPr>
      <w:r w:rsidRPr="005A1D0C">
        <w:rPr>
          <w:rFonts w:ascii="仿宋_GB2312" w:hAnsi="仿宋_GB2312" w:cs="仿宋_GB2312" w:hint="eastAsia"/>
          <w:bCs/>
          <w:sz w:val="28"/>
          <w:szCs w:val="28"/>
        </w:rPr>
        <w:t>[2] 工程造价与控制，高群主编，机械工业出版社，2015年</w:t>
      </w:r>
    </w:p>
    <w:p w:rsidR="005A1D0C" w:rsidRPr="005A1D0C" w:rsidRDefault="005A1D0C" w:rsidP="005A1D0C">
      <w:pPr>
        <w:spacing w:line="360" w:lineRule="auto"/>
        <w:ind w:firstLine="331"/>
        <w:rPr>
          <w:rFonts w:ascii="仿宋_GB2312" w:hAnsi="仿宋_GB2312" w:cs="仿宋_GB2312"/>
          <w:bCs/>
          <w:sz w:val="28"/>
          <w:szCs w:val="28"/>
        </w:rPr>
      </w:pPr>
      <w:r w:rsidRPr="005A1D0C">
        <w:rPr>
          <w:rFonts w:ascii="仿宋_GB2312" w:hAnsi="仿宋_GB2312" w:cs="仿宋_GB2312" w:hint="eastAsia"/>
          <w:bCs/>
          <w:sz w:val="28"/>
          <w:szCs w:val="28"/>
        </w:rPr>
        <w:t>[3] 工程估价，黄昌铁，齐宝库主编，清华大学出版社，2016年</w:t>
      </w:r>
    </w:p>
    <w:p w:rsidR="005A1D0C" w:rsidRPr="005A1D0C" w:rsidRDefault="005A1D0C" w:rsidP="005A1D0C">
      <w:pPr>
        <w:spacing w:line="360" w:lineRule="auto"/>
        <w:ind w:firstLine="331"/>
        <w:rPr>
          <w:rFonts w:ascii="仿宋_GB2312" w:hAnsi="仿宋_GB2312" w:cs="仿宋_GB2312"/>
          <w:bCs/>
          <w:sz w:val="28"/>
          <w:szCs w:val="28"/>
        </w:rPr>
      </w:pPr>
      <w:r w:rsidRPr="005A1D0C">
        <w:rPr>
          <w:rFonts w:ascii="仿宋_GB2312" w:hAnsi="仿宋_GB2312" w:cs="仿宋_GB2312" w:hint="eastAsia"/>
          <w:bCs/>
          <w:sz w:val="28"/>
          <w:szCs w:val="28"/>
        </w:rPr>
        <w:t>[4] BIM模型算量应用，张江波主编，西安交通大学出版社，2017年</w:t>
      </w:r>
    </w:p>
    <w:p w:rsidR="00F11446" w:rsidRPr="005A1D0C" w:rsidRDefault="00F11446" w:rsidP="00F11446">
      <w:pPr>
        <w:adjustRightInd w:val="0"/>
        <w:snapToGrid w:val="0"/>
        <w:spacing w:line="360" w:lineRule="exact"/>
        <w:ind w:firstLineChars="200" w:firstLine="640"/>
        <w:rPr>
          <w:rFonts w:ascii="Times New Roman" w:hAnsi="Times New Roman"/>
        </w:rPr>
      </w:pPr>
    </w:p>
    <w:p w:rsidR="005A1D0C" w:rsidRDefault="005A1D0C" w:rsidP="005A1D0C">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w:t>
      </w:r>
    </w:p>
    <w:p w:rsidR="005A1D0C" w:rsidRDefault="005A1D0C" w:rsidP="005A1D0C">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5A1D0C" w:rsidRDefault="005A1D0C" w:rsidP="005A1D0C">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5A1D0C" w:rsidRDefault="005A1D0C" w:rsidP="005A1D0C">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5A1D0C" w:rsidRDefault="005A1D0C" w:rsidP="005A1D0C">
      <w:pPr>
        <w:ind w:firstLineChars="2000" w:firstLine="5600"/>
        <w:jc w:val="left"/>
        <w:rPr>
          <w:rFonts w:ascii="仿宋" w:hAnsi="仿宋"/>
          <w:sz w:val="28"/>
          <w:szCs w:val="28"/>
        </w:rPr>
      </w:pPr>
      <w:r>
        <w:rPr>
          <w:rFonts w:ascii="仿宋_GB2312" w:hAnsi="微软雅黑" w:hint="eastAsia"/>
          <w:sz w:val="28"/>
          <w:szCs w:val="28"/>
        </w:rPr>
        <w:t xml:space="preserve">    </w:t>
      </w:r>
    </w:p>
    <w:p w:rsidR="005A1D0C" w:rsidRDefault="005A1D0C" w:rsidP="005A1D0C">
      <w:pPr>
        <w:jc w:val="left"/>
        <w:rPr>
          <w:rFonts w:ascii="仿宋_GB2312" w:hAnsi="黑体"/>
          <w:sz w:val="28"/>
          <w:szCs w:val="28"/>
        </w:rPr>
      </w:pPr>
      <w:r>
        <w:rPr>
          <w:rFonts w:ascii="仿宋" w:eastAsia="仿宋" w:hAnsi="仿宋" w:hint="eastAsia"/>
          <w:sz w:val="28"/>
          <w:szCs w:val="28"/>
        </w:rPr>
        <w:t xml:space="preserve">                                         年    月</w:t>
      </w:r>
    </w:p>
    <w:p w:rsidR="00F11446" w:rsidRDefault="00F11446" w:rsidP="00F11446">
      <w:pPr>
        <w:spacing w:line="360" w:lineRule="exact"/>
        <w:ind w:firstLineChars="196" w:firstLine="627"/>
        <w:rPr>
          <w:rFonts w:ascii="Times New Roman" w:hAnsi="Times New Roman"/>
        </w:rPr>
      </w:pPr>
    </w:p>
    <w:p w:rsidR="005A1D0C" w:rsidRDefault="005A1D0C" w:rsidP="00F11446">
      <w:pPr>
        <w:spacing w:line="360" w:lineRule="exact"/>
        <w:ind w:firstLineChars="196" w:firstLine="627"/>
        <w:rPr>
          <w:rFonts w:ascii="Times New Roman" w:hAnsi="Times New Roman"/>
        </w:rPr>
      </w:pPr>
    </w:p>
    <w:p w:rsidR="005A1D0C" w:rsidRDefault="005A1D0C" w:rsidP="00F11446">
      <w:pPr>
        <w:spacing w:line="360" w:lineRule="exact"/>
        <w:ind w:firstLineChars="196" w:firstLine="627"/>
        <w:rPr>
          <w:rFonts w:ascii="Times New Roman" w:hAnsi="Times New Roman"/>
        </w:rPr>
      </w:pPr>
    </w:p>
    <w:p w:rsidR="00F11446" w:rsidRDefault="00F11446"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Times New Roman" w:hAnsi="Times New Roman"/>
          <w:szCs w:val="21"/>
        </w:rPr>
      </w:pPr>
    </w:p>
    <w:p w:rsidR="005A1D0C" w:rsidRDefault="005A1D0C" w:rsidP="00F11446">
      <w:pPr>
        <w:widowControl/>
        <w:spacing w:line="400" w:lineRule="exact"/>
        <w:rPr>
          <w:rFonts w:ascii="黑体" w:eastAsia="黑体" w:hAnsi="黑体" w:cs="宋体" w:hint="eastAsia"/>
          <w:bCs/>
          <w:kern w:val="0"/>
          <w:szCs w:val="32"/>
        </w:rPr>
      </w:pPr>
    </w:p>
    <w:p w:rsidR="00BD1599" w:rsidRDefault="00BD1599" w:rsidP="00BD1599">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BD1599">
        <w:rPr>
          <w:rFonts w:ascii="方正小标宋简体" w:eastAsia="方正小标宋简体" w:hAnsi="宋体" w:hint="eastAsia"/>
          <w:kern w:val="0"/>
          <w:szCs w:val="32"/>
        </w:rPr>
        <w:t>土木工程施工技术与组织</w:t>
      </w:r>
      <w:r>
        <w:rPr>
          <w:rFonts w:ascii="方正小标宋简体" w:eastAsia="方正小标宋简体" w:hAnsi="宋体" w:hint="eastAsia"/>
          <w:kern w:val="0"/>
          <w:szCs w:val="32"/>
        </w:rPr>
        <w:t>》课程教学大纲</w:t>
      </w:r>
    </w:p>
    <w:p w:rsidR="00BD1599" w:rsidRDefault="00BD1599" w:rsidP="00BD1599">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一、课程信息</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英文名称：</w:t>
      </w:r>
      <w:r w:rsidRPr="00BD1599">
        <w:rPr>
          <w:rFonts w:ascii="仿宋_GB2312" w:hAnsi="仿宋_GB2312" w:cs="仿宋_GB2312"/>
          <w:bCs/>
          <w:sz w:val="28"/>
          <w:szCs w:val="28"/>
        </w:rPr>
        <w:t>Civil Engineering Construction Technology and Organization</w:t>
      </w:r>
    </w:p>
    <w:p w:rsidR="00BD1599" w:rsidRDefault="00BD1599" w:rsidP="00BD1599">
      <w:pPr>
        <w:spacing w:line="360" w:lineRule="auto"/>
        <w:ind w:firstLine="331"/>
        <w:jc w:val="left"/>
        <w:rPr>
          <w:rFonts w:ascii="仿宋_GB2312" w:hAnsi="仿宋_GB2312" w:cs="仿宋_GB2312" w:hint="eastAsia"/>
          <w:bCs/>
          <w:sz w:val="28"/>
          <w:szCs w:val="28"/>
        </w:rPr>
      </w:pPr>
      <w:r>
        <w:rPr>
          <w:rFonts w:ascii="仿宋_GB2312" w:hAnsi="仿宋_GB2312" w:cs="仿宋_GB2312" w:hint="eastAsia"/>
          <w:bCs/>
          <w:sz w:val="28"/>
          <w:szCs w:val="28"/>
        </w:rPr>
        <w:t>课程编码：</w:t>
      </w:r>
      <w:r w:rsidRPr="00BD1599">
        <w:rPr>
          <w:rFonts w:ascii="仿宋_GB2312" w:hAnsi="仿宋_GB2312" w:cs="仿宋_GB2312"/>
          <w:bCs/>
          <w:sz w:val="28"/>
          <w:szCs w:val="28"/>
        </w:rPr>
        <w:t>Z2805290</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授课语言：中文</w:t>
      </w:r>
    </w:p>
    <w:p w:rsidR="00BD1599" w:rsidRDefault="00BD1599" w:rsidP="00BD1599">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授课方式：线下</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课程类别：专业发展课程</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课程性质：必修</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4</w:t>
      </w:r>
    </w:p>
    <w:p w:rsidR="00BD1599" w:rsidRDefault="00BD1599" w:rsidP="00BD1599">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64</w:t>
      </w:r>
      <w:r>
        <w:rPr>
          <w:rFonts w:ascii="仿宋_GB2312" w:hAnsi="仿宋_GB2312" w:cs="仿宋_GB2312" w:hint="eastAsia"/>
          <w:bCs/>
          <w:sz w:val="28"/>
          <w:szCs w:val="28"/>
        </w:rPr>
        <w:t>学时</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适用对象：</w:t>
      </w:r>
      <w:r w:rsidRPr="00BD1599">
        <w:rPr>
          <w:rFonts w:ascii="仿宋_GB2312" w:hAnsi="仿宋_GB2312" w:cs="仿宋_GB2312" w:hint="eastAsia"/>
          <w:bCs/>
          <w:sz w:val="28"/>
          <w:szCs w:val="28"/>
        </w:rPr>
        <w:t>工程造价专业</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先修课程：</w:t>
      </w:r>
      <w:r w:rsidRPr="00BD1599">
        <w:rPr>
          <w:rFonts w:ascii="仿宋_GB2312" w:hAnsi="仿宋_GB2312" w:cs="仿宋_GB2312" w:hint="eastAsia"/>
          <w:bCs/>
          <w:sz w:val="28"/>
          <w:szCs w:val="28"/>
        </w:rPr>
        <w:t>画法几何与工程制图、土木工程材料、工程力学、房屋建筑学、运筹学原理与应用</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开课院系：</w:t>
      </w:r>
      <w:r w:rsidRPr="00BD1599">
        <w:rPr>
          <w:rFonts w:ascii="仿宋_GB2312" w:hAnsi="仿宋_GB2312" w:cs="仿宋_GB2312" w:hint="eastAsia"/>
          <w:bCs/>
          <w:sz w:val="28"/>
          <w:szCs w:val="28"/>
        </w:rPr>
        <w:t>建筑工程学院工程造价与施工教研室</w:t>
      </w:r>
    </w:p>
    <w:p w:rsidR="005A1D0C" w:rsidRPr="005A1D0C" w:rsidRDefault="00BD1599" w:rsidP="00BD1599">
      <w:pPr>
        <w:spacing w:beforeLines="50" w:before="156" w:afterLines="50" w:after="156" w:line="560" w:lineRule="exact"/>
        <w:rPr>
          <w:rFonts w:ascii="Times New Roman" w:eastAsiaTheme="minorEastAsia" w:hAnsiTheme="minorEastAsia"/>
          <w:b/>
          <w:szCs w:val="21"/>
        </w:rPr>
      </w:pPr>
      <w:r>
        <w:rPr>
          <w:rFonts w:ascii="黑体" w:eastAsia="黑体" w:hAnsi="黑体" w:hint="eastAsia"/>
          <w:b/>
          <w:sz w:val="28"/>
          <w:szCs w:val="28"/>
        </w:rPr>
        <w:t>二、课程简介</w:t>
      </w:r>
    </w:p>
    <w:p w:rsidR="00F11446" w:rsidRPr="00BD1599" w:rsidRDefault="00F11446" w:rsidP="00BD1599">
      <w:pPr>
        <w:spacing w:line="360" w:lineRule="auto"/>
        <w:rPr>
          <w:rFonts w:ascii="仿宋_GB2312" w:hAnsi="仿宋_GB2312" w:cs="仿宋_GB2312"/>
          <w:bCs/>
          <w:sz w:val="28"/>
          <w:szCs w:val="28"/>
        </w:rPr>
      </w:pPr>
      <w:r w:rsidRPr="00BD1599">
        <w:rPr>
          <w:rFonts w:ascii="仿宋_GB2312" w:hAnsi="仿宋_GB2312" w:cs="仿宋_GB2312"/>
          <w:bCs/>
          <w:sz w:val="28"/>
          <w:szCs w:val="28"/>
        </w:rPr>
        <w:t>课程教学目标</w:t>
      </w:r>
    </w:p>
    <w:p w:rsidR="00F11446" w:rsidRPr="00BD1599" w:rsidRDefault="00F11446" w:rsidP="00BD1599">
      <w:pPr>
        <w:spacing w:line="360" w:lineRule="auto"/>
        <w:ind w:firstLine="331"/>
        <w:rPr>
          <w:rFonts w:ascii="仿宋_GB2312" w:hAnsi="仿宋_GB2312" w:cs="仿宋_GB2312"/>
          <w:bCs/>
          <w:sz w:val="28"/>
          <w:szCs w:val="28"/>
        </w:rPr>
      </w:pPr>
      <w:r w:rsidRPr="00BD1599">
        <w:rPr>
          <w:rFonts w:ascii="仿宋_GB2312" w:hAnsi="仿宋_GB2312" w:cs="仿宋_GB2312" w:hint="eastAsia"/>
          <w:bCs/>
          <w:sz w:val="28"/>
          <w:szCs w:val="28"/>
        </w:rPr>
        <w:t>本课程是面向工程造价专业开设的专业发展必修课。旨在通过理论教学，使学生了解土木工程施工领域技术与组织管理的发展动态与趋势，熟悉相关规范、规程等技术标准，掌握主要工种工程的施工技术、工艺原理与施工方法，以及施工组织的一般原理和方法。培养学</w:t>
      </w:r>
      <w:r w:rsidRPr="00BD1599">
        <w:rPr>
          <w:rFonts w:ascii="仿宋_GB2312" w:hAnsi="仿宋_GB2312" w:cs="仿宋_GB2312" w:hint="eastAsia"/>
          <w:bCs/>
          <w:sz w:val="28"/>
          <w:szCs w:val="28"/>
        </w:rPr>
        <w:lastRenderedPageBreak/>
        <w:t>生能够综合运用土木工程施工的基本理论与知识，具有独立分析和解决施工中有关技术和组织问题的基本能力，为胜任相关的技术与管理工作、进行科学研究和技术创新打下基础。</w:t>
      </w:r>
      <w:r w:rsidRPr="00BD1599">
        <w:rPr>
          <w:rFonts w:ascii="仿宋_GB2312" w:hAnsi="仿宋_GB2312" w:cs="仿宋_GB2312"/>
          <w:bCs/>
          <w:sz w:val="28"/>
          <w:szCs w:val="28"/>
        </w:rPr>
        <w:t>培养学生</w:t>
      </w:r>
      <w:r w:rsidRPr="00BD1599">
        <w:rPr>
          <w:rFonts w:ascii="仿宋_GB2312" w:hAnsi="仿宋_GB2312" w:cs="仿宋_GB2312" w:hint="eastAsia"/>
          <w:bCs/>
          <w:sz w:val="28"/>
          <w:szCs w:val="28"/>
        </w:rPr>
        <w:t>具备</w:t>
      </w:r>
      <w:r w:rsidRPr="00BD1599">
        <w:rPr>
          <w:rFonts w:ascii="仿宋_GB2312" w:hAnsi="仿宋_GB2312" w:cs="仿宋_GB2312"/>
          <w:bCs/>
          <w:sz w:val="28"/>
          <w:szCs w:val="28"/>
        </w:rPr>
        <w:t>社会责任感，能够理解和评价专业工程实践对环境、社会可持续发展的影响</w:t>
      </w:r>
      <w:r w:rsidRPr="00BD1599">
        <w:rPr>
          <w:rFonts w:ascii="仿宋_GB2312" w:hAnsi="仿宋_GB2312" w:cs="仿宋_GB2312" w:hint="eastAsia"/>
          <w:bCs/>
          <w:sz w:val="28"/>
          <w:szCs w:val="28"/>
        </w:rPr>
        <w:t>，</w:t>
      </w:r>
      <w:r w:rsidRPr="00BD1599">
        <w:rPr>
          <w:rFonts w:ascii="仿宋_GB2312" w:hAnsi="仿宋_GB2312" w:cs="仿宋_GB2312"/>
          <w:bCs/>
          <w:sz w:val="28"/>
          <w:szCs w:val="28"/>
        </w:rPr>
        <w:t>遵守工程职业道德和规范，履行责任。</w:t>
      </w:r>
    </w:p>
    <w:p w:rsidR="00F11446" w:rsidRPr="00BD1599" w:rsidRDefault="00F11446" w:rsidP="00BD1599">
      <w:pPr>
        <w:spacing w:line="360" w:lineRule="auto"/>
        <w:ind w:firstLine="331"/>
        <w:rPr>
          <w:rFonts w:ascii="仿宋_GB2312" w:hAnsi="仿宋_GB2312" w:cs="仿宋_GB2312"/>
          <w:bCs/>
          <w:sz w:val="28"/>
          <w:szCs w:val="28"/>
        </w:rPr>
      </w:pPr>
      <w:r w:rsidRPr="00BD1599">
        <w:rPr>
          <w:rFonts w:ascii="仿宋_GB2312" w:hAnsi="仿宋_GB2312" w:cs="仿宋_GB2312"/>
          <w:bCs/>
          <w:sz w:val="28"/>
          <w:szCs w:val="28"/>
        </w:rPr>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768"/>
        <w:gridCol w:w="886"/>
        <w:gridCol w:w="3073"/>
      </w:tblGrid>
      <w:tr w:rsidR="00F11446" w:rsidTr="00CD00D2">
        <w:trPr>
          <w:trHeight w:val="454"/>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序号</w:t>
            </w:r>
          </w:p>
        </w:tc>
        <w:tc>
          <w:tcPr>
            <w:tcW w:w="2271" w:type="pct"/>
            <w:vMerge w:val="restart"/>
            <w:tcBorders>
              <w:top w:val="single" w:sz="4" w:space="0" w:color="000000"/>
              <w:left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课程教学目标</w:t>
            </w:r>
          </w:p>
        </w:tc>
        <w:tc>
          <w:tcPr>
            <w:tcW w:w="2386" w:type="pct"/>
            <w:gridSpan w:val="2"/>
            <w:tcBorders>
              <w:top w:val="single" w:sz="4" w:space="0" w:color="000000"/>
              <w:left w:val="single" w:sz="4" w:space="0" w:color="000000"/>
              <w:bottom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支撑毕业要求指标点</w:t>
            </w:r>
          </w:p>
        </w:tc>
      </w:tr>
      <w:tr w:rsidR="00F11446" w:rsidTr="00CD00D2">
        <w:trPr>
          <w:trHeight w:val="454"/>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widowControl/>
              <w:spacing w:line="360" w:lineRule="exact"/>
              <w:jc w:val="center"/>
              <w:rPr>
                <w:rFonts w:ascii="仿宋_GB2312" w:hAnsi="仿宋_GB2312" w:cs="仿宋_GB2312"/>
                <w:b/>
                <w:bCs/>
                <w:sz w:val="24"/>
                <w:szCs w:val="24"/>
              </w:rPr>
            </w:pPr>
          </w:p>
        </w:tc>
        <w:tc>
          <w:tcPr>
            <w:tcW w:w="2271" w:type="pct"/>
            <w:vMerge/>
            <w:tcBorders>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
                <w:bCs/>
                <w:sz w:val="24"/>
                <w:szCs w:val="24"/>
              </w:rPr>
            </w:pPr>
          </w:p>
        </w:tc>
        <w:tc>
          <w:tcPr>
            <w:tcW w:w="534" w:type="pct"/>
            <w:tcBorders>
              <w:top w:val="single" w:sz="4" w:space="0" w:color="auto"/>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指标点</w:t>
            </w:r>
          </w:p>
        </w:tc>
        <w:tc>
          <w:tcPr>
            <w:tcW w:w="1852" w:type="pct"/>
            <w:tcBorders>
              <w:top w:val="single" w:sz="4" w:space="0" w:color="auto"/>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指标点内容</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1</w:t>
            </w:r>
          </w:p>
        </w:tc>
        <w:tc>
          <w:tcPr>
            <w:tcW w:w="2271"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bCs/>
                <w:sz w:val="24"/>
                <w:szCs w:val="24"/>
              </w:rPr>
              <w:t>目标1：</w:t>
            </w:r>
            <w:r w:rsidRPr="00BD1599">
              <w:rPr>
                <w:rFonts w:ascii="仿宋_GB2312" w:hAnsi="仿宋_GB2312" w:cs="仿宋_GB2312" w:hint="eastAsia"/>
                <w:bCs/>
                <w:sz w:val="24"/>
                <w:szCs w:val="24"/>
              </w:rPr>
              <w:t>了解土木工程施工领域技术与组织管理的发展动态与趋势。</w:t>
            </w:r>
          </w:p>
        </w:tc>
        <w:tc>
          <w:tcPr>
            <w:tcW w:w="534"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3.7</w:t>
            </w:r>
          </w:p>
        </w:tc>
        <w:tc>
          <w:tcPr>
            <w:tcW w:w="1852"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bCs/>
                <w:sz w:val="24"/>
                <w:szCs w:val="24"/>
              </w:rPr>
              <w:t>能够理解和评价专业工程实践对环境、社会可持续发展的影响</w:t>
            </w:r>
            <w:r w:rsidRPr="00BD1599">
              <w:rPr>
                <w:rFonts w:ascii="仿宋_GB2312" w:hAnsi="仿宋_GB2312" w:cs="仿宋_GB2312" w:hint="eastAsia"/>
                <w:bCs/>
                <w:sz w:val="24"/>
                <w:szCs w:val="24"/>
              </w:rPr>
              <w:t>。</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c>
          <w:tcPr>
            <w:tcW w:w="2271"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hint="eastAsia"/>
                <w:bCs/>
                <w:sz w:val="24"/>
                <w:szCs w:val="24"/>
              </w:rPr>
              <w:t>目标2：了解国家建设政策、法规；熟悉相关规范、规程等技术标准。</w:t>
            </w:r>
          </w:p>
        </w:tc>
        <w:tc>
          <w:tcPr>
            <w:tcW w:w="534"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3.6</w:t>
            </w:r>
          </w:p>
        </w:tc>
        <w:tc>
          <w:tcPr>
            <w:tcW w:w="1852"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hint="eastAsia"/>
                <w:bCs/>
                <w:sz w:val="24"/>
                <w:szCs w:val="24"/>
              </w:rPr>
              <w:t>能够基于工程相关背景知识，评价专业工程实践对社会、健康、安全的影响，理解应承担的责任。</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3</w:t>
            </w:r>
          </w:p>
        </w:tc>
        <w:tc>
          <w:tcPr>
            <w:tcW w:w="2271"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3</w:t>
            </w:r>
            <w:r w:rsidRPr="00BD1599">
              <w:rPr>
                <w:rFonts w:ascii="仿宋_GB2312" w:hAnsi="仿宋_GB2312" w:cs="仿宋_GB2312"/>
                <w:bCs/>
                <w:sz w:val="24"/>
                <w:szCs w:val="24"/>
              </w:rPr>
              <w:t>：</w:t>
            </w:r>
            <w:r w:rsidRPr="00BD1599">
              <w:rPr>
                <w:rFonts w:ascii="仿宋_GB2312" w:hAnsi="仿宋_GB2312" w:cs="仿宋_GB2312" w:hint="eastAsia"/>
                <w:bCs/>
                <w:sz w:val="24"/>
                <w:szCs w:val="24"/>
              </w:rPr>
              <w:t>掌握主要工种工程的施工技术、工艺原理与施工方法。</w:t>
            </w:r>
          </w:p>
        </w:tc>
        <w:tc>
          <w:tcPr>
            <w:tcW w:w="534"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3.1</w:t>
            </w:r>
          </w:p>
        </w:tc>
        <w:tc>
          <w:tcPr>
            <w:tcW w:w="1852"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bCs/>
                <w:sz w:val="24"/>
                <w:szCs w:val="24"/>
              </w:rPr>
              <w:t>能够应用专业知识解决工程实践问题</w:t>
            </w:r>
            <w:r w:rsidRPr="00BD1599">
              <w:rPr>
                <w:rFonts w:ascii="仿宋_GB2312" w:hAnsi="仿宋_GB2312" w:cs="仿宋_GB2312" w:hint="eastAsia"/>
                <w:bCs/>
                <w:sz w:val="24"/>
                <w:szCs w:val="24"/>
              </w:rPr>
              <w:t>。</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4</w:t>
            </w:r>
          </w:p>
        </w:tc>
        <w:tc>
          <w:tcPr>
            <w:tcW w:w="2271"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hint="eastAsia"/>
                <w:bCs/>
                <w:sz w:val="24"/>
                <w:szCs w:val="24"/>
              </w:rPr>
              <w:t>目标4：掌握施工组织的一般原理和方法。</w:t>
            </w:r>
          </w:p>
        </w:tc>
        <w:tc>
          <w:tcPr>
            <w:tcW w:w="534"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3.11</w:t>
            </w:r>
          </w:p>
        </w:tc>
        <w:tc>
          <w:tcPr>
            <w:tcW w:w="1852"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hint="eastAsia"/>
                <w:bCs/>
                <w:sz w:val="24"/>
                <w:szCs w:val="24"/>
              </w:rPr>
              <w:t>能够在与工程造价专业相关的多学科背景下，掌握工程项目管理原理与经济决策方法。</w:t>
            </w:r>
          </w:p>
        </w:tc>
      </w:tr>
      <w:tr w:rsidR="00F11446"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5</w:t>
            </w:r>
          </w:p>
        </w:tc>
        <w:tc>
          <w:tcPr>
            <w:tcW w:w="2271"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5</w:t>
            </w:r>
            <w:r w:rsidRPr="00BD1599">
              <w:rPr>
                <w:rFonts w:ascii="仿宋_GB2312" w:hAnsi="仿宋_GB2312" w:cs="仿宋_GB2312"/>
                <w:bCs/>
                <w:sz w:val="24"/>
                <w:szCs w:val="24"/>
              </w:rPr>
              <w:t>：</w:t>
            </w:r>
            <w:r w:rsidRPr="00BD1599">
              <w:rPr>
                <w:rFonts w:ascii="仿宋_GB2312" w:hAnsi="仿宋_GB2312" w:cs="仿宋_GB2312" w:hint="eastAsia"/>
                <w:bCs/>
                <w:sz w:val="24"/>
                <w:szCs w:val="24"/>
              </w:rPr>
              <w:t>综合运用土木工程施工的基本理论与知识，具有独立分析和解决施工中有关技术和组织管理问题的基本能力。</w:t>
            </w:r>
          </w:p>
        </w:tc>
        <w:tc>
          <w:tcPr>
            <w:tcW w:w="534"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3.2</w:t>
            </w:r>
          </w:p>
        </w:tc>
        <w:tc>
          <w:tcPr>
            <w:tcW w:w="1852"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hint="eastAsia"/>
                <w:bCs/>
                <w:sz w:val="24"/>
                <w:szCs w:val="24"/>
              </w:rPr>
              <w:t>能够应用相关知识和原理，识别、表达、并通过文献研究分析复杂工程问题，以获得科学合理的解决方案。</w:t>
            </w:r>
          </w:p>
        </w:tc>
      </w:tr>
    </w:tbl>
    <w:p w:rsidR="00BD1599" w:rsidRDefault="00BD1599" w:rsidP="00BD1599">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262"/>
        <w:gridCol w:w="3119"/>
        <w:gridCol w:w="825"/>
        <w:gridCol w:w="596"/>
        <w:gridCol w:w="926"/>
      </w:tblGrid>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序号</w:t>
            </w:r>
          </w:p>
        </w:tc>
        <w:tc>
          <w:tcPr>
            <w:tcW w:w="1363" w:type="pct"/>
            <w:tcBorders>
              <w:top w:val="single" w:sz="4" w:space="0" w:color="000000"/>
              <w:left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教学内容及重点、难点</w:t>
            </w:r>
          </w:p>
        </w:tc>
        <w:tc>
          <w:tcPr>
            <w:tcW w:w="1880" w:type="pct"/>
            <w:tcBorders>
              <w:top w:val="single" w:sz="4" w:space="0" w:color="000000"/>
              <w:left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学生学习预期</w:t>
            </w:r>
          </w:p>
        </w:tc>
        <w:tc>
          <w:tcPr>
            <w:tcW w:w="497" w:type="pct"/>
            <w:tcBorders>
              <w:top w:val="single" w:sz="4" w:space="0" w:color="000000"/>
              <w:left w:val="single" w:sz="4" w:space="0" w:color="auto"/>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教学方式</w:t>
            </w:r>
          </w:p>
        </w:tc>
        <w:tc>
          <w:tcPr>
            <w:tcW w:w="359" w:type="pct"/>
            <w:tcBorders>
              <w:top w:val="single" w:sz="4" w:space="0" w:color="000000"/>
              <w:left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学时</w:t>
            </w:r>
          </w:p>
        </w:tc>
        <w:tc>
          <w:tcPr>
            <w:tcW w:w="558" w:type="pct"/>
            <w:tcBorders>
              <w:top w:val="single" w:sz="4" w:space="0" w:color="000000"/>
              <w:left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支撑课程教学</w:t>
            </w:r>
            <w:r w:rsidRPr="00BD1599">
              <w:rPr>
                <w:rFonts w:ascii="仿宋_GB2312" w:hAnsi="仿宋_GB2312" w:cs="仿宋_GB2312"/>
                <w:bCs/>
                <w:sz w:val="24"/>
                <w:szCs w:val="24"/>
              </w:rPr>
              <w:lastRenderedPageBreak/>
              <w:t>目标</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lastRenderedPageBreak/>
              <w:t>1</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内容：绪论</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重点：课程的研究对象、性质、任务、内容，土木工程施工的发展动态，施工标准。</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w:t>
            </w:r>
            <w:r w:rsidRPr="00BD1599">
              <w:rPr>
                <w:rFonts w:ascii="仿宋_GB2312" w:hAnsi="仿宋_GB2312" w:cs="仿宋_GB2312" w:hint="eastAsia"/>
                <w:bCs/>
                <w:sz w:val="24"/>
                <w:szCs w:val="24"/>
              </w:rPr>
              <w:t>相关施工标准</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bCs/>
                <w:sz w:val="24"/>
                <w:szCs w:val="24"/>
              </w:rPr>
              <w:t>1.了解</w:t>
            </w:r>
            <w:r w:rsidRPr="00BD1599">
              <w:rPr>
                <w:rFonts w:ascii="仿宋_GB2312" w:hAnsi="仿宋_GB2312" w:cs="仿宋_GB2312" w:hint="eastAsia"/>
                <w:bCs/>
                <w:sz w:val="24"/>
                <w:szCs w:val="24"/>
              </w:rPr>
              <w:t>：</w:t>
            </w:r>
            <w:r w:rsidRPr="00BD1599">
              <w:rPr>
                <w:rFonts w:ascii="仿宋_GB2312" w:hAnsi="仿宋_GB2312" w:cs="仿宋_GB2312"/>
                <w:bCs/>
                <w:sz w:val="24"/>
                <w:szCs w:val="24"/>
              </w:rPr>
              <w:t>土木工程施工的研究对象</w:t>
            </w:r>
            <w:r w:rsidRPr="00BD1599">
              <w:rPr>
                <w:rFonts w:ascii="仿宋_GB2312" w:hAnsi="仿宋_GB2312" w:cs="仿宋_GB2312" w:hint="eastAsia"/>
                <w:bCs/>
                <w:sz w:val="24"/>
                <w:szCs w:val="24"/>
              </w:rPr>
              <w:t>、课程的性质与任务、课程的内容与目的；</w:t>
            </w:r>
            <w:r w:rsidRPr="00BD1599">
              <w:rPr>
                <w:rFonts w:ascii="仿宋_GB2312" w:hAnsi="仿宋_GB2312" w:cs="仿宋_GB2312"/>
                <w:bCs/>
                <w:sz w:val="24"/>
                <w:szCs w:val="24"/>
              </w:rPr>
              <w:t xml:space="preserve"> </w:t>
            </w:r>
          </w:p>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bCs/>
                <w:sz w:val="24"/>
                <w:szCs w:val="24"/>
              </w:rPr>
              <w:t>2.了解</w:t>
            </w:r>
            <w:r w:rsidRPr="00BD1599">
              <w:rPr>
                <w:rFonts w:ascii="仿宋_GB2312" w:hAnsi="仿宋_GB2312" w:cs="仿宋_GB2312" w:hint="eastAsia"/>
                <w:bCs/>
                <w:sz w:val="24"/>
                <w:szCs w:val="24"/>
              </w:rPr>
              <w:t>：土木工程施工的发展动态；</w:t>
            </w:r>
          </w:p>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hint="eastAsia"/>
                <w:bCs/>
                <w:sz w:val="24"/>
                <w:szCs w:val="24"/>
              </w:rPr>
              <w:t>3.熟悉：相关施工标准。</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1</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目标1</w:t>
            </w:r>
            <w:r w:rsidRPr="00BD1599">
              <w:rPr>
                <w:rFonts w:ascii="仿宋_GB2312" w:hAnsi="仿宋_GB2312" w:cs="仿宋_GB2312" w:hint="eastAsia"/>
                <w:bCs/>
                <w:sz w:val="24"/>
                <w:szCs w:val="24"/>
              </w:rPr>
              <w:t>、2</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2</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1</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 xml:space="preserve"> 土方工程</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w:t>
            </w:r>
            <w:r w:rsidRPr="00BD1599">
              <w:rPr>
                <w:rFonts w:ascii="仿宋_GB2312" w:hAnsi="仿宋_GB2312" w:cs="仿宋_GB2312" w:hint="eastAsia"/>
                <w:bCs/>
                <w:sz w:val="24"/>
                <w:szCs w:val="24"/>
              </w:rPr>
              <w:t>土方量计算；边坡稳定及基坑支护；轻型井点降水布置与计算；基坑开挖方法。</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难点：土方量计算</w:t>
            </w:r>
            <w:r w:rsidRPr="00BD1599">
              <w:rPr>
                <w:rFonts w:ascii="仿宋_GB2312" w:hAnsi="仿宋_GB2312" w:cs="仿宋_GB2312" w:hint="eastAsia"/>
                <w:bCs/>
                <w:sz w:val="24"/>
                <w:szCs w:val="24"/>
              </w:rPr>
              <w:t>。</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1.了解：土方工程的内容；边坡稳定的条件及影响因素；施工降排水的原理及意义；常用土方施工机械作业特点及适用范围；</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2.熟悉：土的工程分类、土的工程性质；</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3.掌握：土方量计算；边坡稳定及支护方法；降排水的主要方法及适用范围；基坑开挖、土方填筑的方法及要求。</w:t>
            </w:r>
            <w:r w:rsidRPr="00BD1599">
              <w:rPr>
                <w:rFonts w:ascii="仿宋_GB2312" w:hAnsi="仿宋_GB2312" w:cs="仿宋_GB2312"/>
                <w:bCs/>
                <w:sz w:val="24"/>
                <w:szCs w:val="24"/>
              </w:rPr>
              <w:t xml:space="preserve"> </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8</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目标2</w:t>
            </w:r>
            <w:r w:rsidRPr="00BD1599">
              <w:rPr>
                <w:rFonts w:ascii="仿宋_GB2312" w:hAnsi="仿宋_GB2312" w:cs="仿宋_GB2312" w:hint="eastAsia"/>
                <w:bCs/>
                <w:sz w:val="24"/>
                <w:szCs w:val="24"/>
              </w:rPr>
              <w:t>、3</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3</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2</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 xml:space="preserve"> 深基础工程</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w:t>
            </w:r>
            <w:r w:rsidRPr="00BD1599">
              <w:rPr>
                <w:rFonts w:ascii="仿宋_GB2312" w:hAnsi="仿宋_GB2312" w:cs="仿宋_GB2312" w:hint="eastAsia"/>
                <w:bCs/>
                <w:sz w:val="24"/>
                <w:szCs w:val="24"/>
              </w:rPr>
              <w:t>预制桩施工、灌注桩施工。</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难点：锤击沉桩</w:t>
            </w:r>
            <w:r w:rsidRPr="00BD1599">
              <w:rPr>
                <w:rFonts w:ascii="仿宋_GB2312" w:hAnsi="仿宋_GB2312" w:cs="仿宋_GB2312" w:hint="eastAsia"/>
                <w:bCs/>
                <w:sz w:val="24"/>
                <w:szCs w:val="24"/>
              </w:rPr>
              <w:t>、泥浆护壁成孔灌注桩施工。</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1.了解：桩基础的组成和分类；</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2.熟悉：打桩顺序、施工工艺和质量要求；地下连续墙的施工过程；</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3.掌握：预制桩和灌注桩的施工方法；干作业成孔灌注桩、泥浆护壁成孔灌注桩和沉管灌注桩的施工工艺与质量要求；</w:t>
            </w:r>
            <w:r w:rsidRPr="00BD1599">
              <w:rPr>
                <w:rFonts w:ascii="仿宋_GB2312" w:hAnsi="仿宋_GB2312" w:cs="仿宋_GB2312"/>
                <w:bCs/>
                <w:sz w:val="24"/>
                <w:szCs w:val="24"/>
              </w:rPr>
              <w:t xml:space="preserve"> </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2、3</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4</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3</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 xml:space="preserve"> 脚手架与砌筑工程</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w:t>
            </w:r>
            <w:r w:rsidRPr="00BD1599">
              <w:rPr>
                <w:rFonts w:ascii="仿宋_GB2312" w:hAnsi="仿宋_GB2312" w:cs="仿宋_GB2312" w:hint="eastAsia"/>
                <w:bCs/>
                <w:sz w:val="24"/>
                <w:szCs w:val="24"/>
              </w:rPr>
              <w:t>脚手架的构造组成、搭设要求和适用范围；砖砌体、砌块砌体的施工工艺。</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lastRenderedPageBreak/>
              <w:t>难点：</w:t>
            </w:r>
            <w:r w:rsidRPr="00BD1599">
              <w:rPr>
                <w:rFonts w:ascii="仿宋_GB2312" w:hAnsi="仿宋_GB2312" w:cs="仿宋_GB2312" w:hint="eastAsia"/>
                <w:bCs/>
                <w:sz w:val="24"/>
                <w:szCs w:val="24"/>
              </w:rPr>
              <w:t>砖</w:t>
            </w:r>
            <w:r w:rsidRPr="00BD1599">
              <w:rPr>
                <w:rFonts w:ascii="仿宋_GB2312" w:hAnsi="仿宋_GB2312" w:cs="仿宋_GB2312"/>
                <w:bCs/>
                <w:sz w:val="24"/>
                <w:szCs w:val="24"/>
              </w:rPr>
              <w:t>(</w:t>
            </w:r>
            <w:r w:rsidRPr="00BD1599">
              <w:rPr>
                <w:rFonts w:ascii="仿宋_GB2312" w:hAnsi="仿宋_GB2312" w:cs="仿宋_GB2312" w:hint="eastAsia"/>
                <w:bCs/>
                <w:sz w:val="24"/>
                <w:szCs w:val="24"/>
              </w:rPr>
              <w:t>砌块</w:t>
            </w:r>
            <w:r w:rsidRPr="00BD1599">
              <w:rPr>
                <w:rFonts w:ascii="仿宋_GB2312" w:hAnsi="仿宋_GB2312" w:cs="仿宋_GB2312"/>
                <w:bCs/>
                <w:sz w:val="24"/>
                <w:szCs w:val="24"/>
              </w:rPr>
              <w:t>)</w:t>
            </w:r>
            <w:r w:rsidRPr="00BD1599">
              <w:rPr>
                <w:rFonts w:ascii="仿宋_GB2312" w:hAnsi="仿宋_GB2312" w:cs="仿宋_GB2312" w:hint="eastAsia"/>
                <w:bCs/>
                <w:sz w:val="24"/>
                <w:szCs w:val="24"/>
              </w:rPr>
              <w:t>砌体的施工工艺及质量要求。</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lastRenderedPageBreak/>
              <w:t>1.了解：脚手架的种类和基本要求；脚手架工程的安全要求与措施；砌体冬期施工方法；</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2.熟悉：砌筑材料；垂直运输机械；</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3.掌握：脚手架的搭设与使</w:t>
            </w:r>
            <w:r w:rsidRPr="00BD1599">
              <w:rPr>
                <w:rFonts w:ascii="仿宋_GB2312" w:hAnsi="仿宋_GB2312" w:cs="仿宋_GB2312" w:hint="eastAsia"/>
                <w:bCs/>
                <w:sz w:val="24"/>
                <w:szCs w:val="24"/>
              </w:rPr>
              <w:lastRenderedPageBreak/>
              <w:t>用的一般要求；各类脚手架的构造组成、搭设要求和适用范围；砖</w:t>
            </w:r>
            <w:r w:rsidRPr="00BD1599">
              <w:rPr>
                <w:rFonts w:ascii="仿宋_GB2312" w:hAnsi="仿宋_GB2312" w:cs="仿宋_GB2312"/>
                <w:bCs/>
                <w:sz w:val="24"/>
                <w:szCs w:val="24"/>
              </w:rPr>
              <w:t>(</w:t>
            </w:r>
            <w:r w:rsidRPr="00BD1599">
              <w:rPr>
                <w:rFonts w:ascii="仿宋_GB2312" w:hAnsi="仿宋_GB2312" w:cs="仿宋_GB2312" w:hint="eastAsia"/>
                <w:bCs/>
                <w:sz w:val="24"/>
                <w:szCs w:val="24"/>
              </w:rPr>
              <w:t>砌块</w:t>
            </w:r>
            <w:r w:rsidRPr="00BD1599">
              <w:rPr>
                <w:rFonts w:ascii="仿宋_GB2312" w:hAnsi="仿宋_GB2312" w:cs="仿宋_GB2312"/>
                <w:bCs/>
                <w:sz w:val="24"/>
                <w:szCs w:val="24"/>
              </w:rPr>
              <w:t>)</w:t>
            </w:r>
            <w:r w:rsidRPr="00BD1599">
              <w:rPr>
                <w:rFonts w:ascii="仿宋_GB2312" w:hAnsi="仿宋_GB2312" w:cs="仿宋_GB2312" w:hint="eastAsia"/>
                <w:bCs/>
                <w:sz w:val="24"/>
                <w:szCs w:val="24"/>
              </w:rPr>
              <w:t>砌体的施工工艺、施工要点及质量要求；</w:t>
            </w:r>
            <w:r w:rsidRPr="00BD1599">
              <w:rPr>
                <w:rFonts w:ascii="仿宋_GB2312" w:hAnsi="仿宋_GB2312" w:cs="仿宋_GB2312"/>
                <w:bCs/>
                <w:sz w:val="24"/>
                <w:szCs w:val="24"/>
              </w:rPr>
              <w:t xml:space="preserve"> </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5</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2、3</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5</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4</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 xml:space="preserve"> 钢筋混凝土工程</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w:t>
            </w:r>
            <w:r w:rsidRPr="00BD1599">
              <w:rPr>
                <w:rFonts w:ascii="仿宋_GB2312" w:hAnsi="仿宋_GB2312" w:cs="仿宋_GB2312" w:hint="eastAsia"/>
                <w:bCs/>
                <w:sz w:val="24"/>
                <w:szCs w:val="24"/>
              </w:rPr>
              <w:t>模板的类型、组成、构造；钢筋的连接、下料计算；混凝土的制备、浇筑、养护。</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w:t>
            </w:r>
            <w:r w:rsidRPr="00BD1599">
              <w:rPr>
                <w:rFonts w:ascii="仿宋_GB2312" w:hAnsi="仿宋_GB2312" w:cs="仿宋_GB2312" w:hint="eastAsia"/>
                <w:bCs/>
                <w:sz w:val="24"/>
                <w:szCs w:val="24"/>
              </w:rPr>
              <w:t>模板的设计；钢筋下料计算；混凝土的浇筑、养护；混凝土冬期施工。</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1.了解：钢筋的质量检验；模板的设计；混凝土冬期施工原理及方法。</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2.熟悉：钢筋的加工；模板的类型、组成、构造。</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3.掌握：钢筋的连接方法、下料计算、安装；模板的安装与拆除；混凝土的制备、运输、浇筑、养护。</w:t>
            </w:r>
            <w:r w:rsidRPr="00BD1599">
              <w:rPr>
                <w:rFonts w:ascii="仿宋_GB2312" w:hAnsi="仿宋_GB2312" w:cs="仿宋_GB2312"/>
                <w:bCs/>
                <w:sz w:val="24"/>
                <w:szCs w:val="24"/>
              </w:rPr>
              <w:t xml:space="preserve"> </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8</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目标2、3</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6</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5</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 xml:space="preserve"> 预应力混凝土工程</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w:t>
            </w:r>
            <w:r w:rsidRPr="00BD1599">
              <w:rPr>
                <w:rFonts w:ascii="仿宋_GB2312" w:hAnsi="仿宋_GB2312" w:cs="仿宋_GB2312" w:hint="eastAsia"/>
                <w:bCs/>
                <w:sz w:val="24"/>
                <w:szCs w:val="24"/>
              </w:rPr>
              <w:t>先张法、后张法的施工工艺。</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w:t>
            </w:r>
            <w:r w:rsidRPr="00BD1599">
              <w:rPr>
                <w:rFonts w:ascii="仿宋_GB2312" w:hAnsi="仿宋_GB2312" w:cs="仿宋_GB2312" w:hint="eastAsia"/>
                <w:bCs/>
                <w:sz w:val="24"/>
                <w:szCs w:val="24"/>
              </w:rPr>
              <w:t>预应力筋下料长度的计算；张拉力的计算和校验；</w:t>
            </w:r>
            <w:r w:rsidRPr="00BD1599">
              <w:rPr>
                <w:rFonts w:ascii="仿宋_GB2312" w:hAnsi="仿宋_GB2312" w:cs="仿宋_GB2312"/>
                <w:bCs/>
                <w:sz w:val="24"/>
                <w:szCs w:val="24"/>
              </w:rPr>
              <w:t xml:space="preserve"> </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1.了解：常用的预应力筋；</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2.理解：预应力混凝土的概念及原理；</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3.熟悉：施工机具和设备；</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4.掌握：先张法、后张法的施工工艺；预应力筋下料长度的计算；</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目标2、3</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7</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6</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 xml:space="preserve"> 结构安装工程</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重点：构件吊装工艺</w:t>
            </w:r>
            <w:r w:rsidRPr="00BD1599">
              <w:rPr>
                <w:rFonts w:ascii="仿宋_GB2312" w:hAnsi="仿宋_GB2312" w:cs="仿宋_GB2312" w:hint="eastAsia"/>
                <w:bCs/>
                <w:sz w:val="24"/>
                <w:szCs w:val="24"/>
              </w:rPr>
              <w:t>；</w:t>
            </w:r>
            <w:r w:rsidRPr="00BD1599">
              <w:rPr>
                <w:rFonts w:ascii="仿宋_GB2312" w:hAnsi="仿宋_GB2312" w:cs="仿宋_GB2312"/>
                <w:bCs/>
                <w:sz w:val="24"/>
                <w:szCs w:val="24"/>
              </w:rPr>
              <w:t>结构吊装方案</w:t>
            </w:r>
            <w:r w:rsidRPr="00BD1599">
              <w:rPr>
                <w:rFonts w:ascii="仿宋_GB2312" w:hAnsi="仿宋_GB2312" w:cs="仿宋_GB2312" w:hint="eastAsia"/>
                <w:bCs/>
                <w:sz w:val="24"/>
                <w:szCs w:val="24"/>
              </w:rPr>
              <w:t>。</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w:t>
            </w:r>
            <w:r w:rsidRPr="00BD1599">
              <w:rPr>
                <w:rFonts w:ascii="仿宋_GB2312" w:hAnsi="仿宋_GB2312" w:cs="仿宋_GB2312" w:hint="eastAsia"/>
                <w:bCs/>
                <w:sz w:val="24"/>
                <w:szCs w:val="24"/>
              </w:rPr>
              <w:t>起重机的选择；构件的平面布置。</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1.了解：起重机的类型、特点、技术性能；混凝土结构单层工业厂房安装前的准备工作；</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2.掌握：构件吊装工艺；起重机的选择，结构吊装方法，起重机的开行路线及停机位置，构件的平面布置；多高层结构安装的主要方法。</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目标2、3</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8</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7</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 xml:space="preserve"> 防水工程</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重点：屋面防水</w:t>
            </w:r>
            <w:r w:rsidRPr="00BD1599">
              <w:rPr>
                <w:rFonts w:ascii="仿宋_GB2312" w:hAnsi="仿宋_GB2312" w:cs="仿宋_GB2312" w:hint="eastAsia"/>
                <w:bCs/>
                <w:sz w:val="24"/>
                <w:szCs w:val="24"/>
              </w:rPr>
              <w:t>，</w:t>
            </w:r>
            <w:r w:rsidRPr="00BD1599">
              <w:rPr>
                <w:rFonts w:ascii="仿宋_GB2312" w:hAnsi="仿宋_GB2312" w:cs="仿宋_GB2312" w:hint="eastAsia"/>
                <w:bCs/>
                <w:sz w:val="24"/>
                <w:szCs w:val="24"/>
              </w:rPr>
              <w:lastRenderedPageBreak/>
              <w:t>地下防水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难点：地下防水</w:t>
            </w:r>
            <w:r w:rsidRPr="00BD1599">
              <w:rPr>
                <w:rFonts w:ascii="仿宋_GB2312" w:hAnsi="仿宋_GB2312" w:cs="仿宋_GB2312" w:hint="eastAsia"/>
                <w:bCs/>
                <w:sz w:val="24"/>
                <w:szCs w:val="24"/>
              </w:rPr>
              <w:t>。</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lastRenderedPageBreak/>
              <w:t>1.熟悉：防水混凝土的配制、使用要求及施工要点；涂料防水屋面施工要点。</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lastRenderedPageBreak/>
              <w:t>2.掌握：地下卷材防水施工工艺；卷材防水屋面施工工艺。</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目标2</w:t>
            </w:r>
            <w:r w:rsidRPr="00BD1599">
              <w:rPr>
                <w:rFonts w:ascii="仿宋_GB2312" w:hAnsi="仿宋_GB2312" w:cs="仿宋_GB2312" w:hint="eastAsia"/>
                <w:bCs/>
                <w:sz w:val="24"/>
                <w:szCs w:val="24"/>
              </w:rPr>
              <w:t>、3</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9</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8</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 xml:space="preserve"> 装饰工程</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w:t>
            </w:r>
            <w:r w:rsidRPr="00BD1599">
              <w:rPr>
                <w:rFonts w:ascii="仿宋_GB2312" w:hAnsi="仿宋_GB2312" w:cs="仿宋_GB2312" w:hint="eastAsia"/>
                <w:bCs/>
                <w:sz w:val="24"/>
                <w:szCs w:val="24"/>
              </w:rPr>
              <w:t>一般抹灰工艺，饰面板(砖)安装。</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难点：无</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1.了解：装饰工程的作用和特点；抹面的组成、做法；</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2.掌握：一般抹灰和装饰抹灰的主要工艺和质量要求；常见饰面板（砖）安装的主要构造与工艺；一般涂饰及裱糊的施工要点。</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目标2</w:t>
            </w:r>
            <w:r w:rsidRPr="00BD1599">
              <w:rPr>
                <w:rFonts w:ascii="仿宋_GB2312" w:hAnsi="仿宋_GB2312" w:cs="仿宋_GB2312" w:hint="eastAsia"/>
                <w:bCs/>
                <w:sz w:val="24"/>
                <w:szCs w:val="24"/>
              </w:rPr>
              <w:t>、3</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10</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9</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 xml:space="preserve"> 施工组织概论</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w:t>
            </w:r>
            <w:r w:rsidRPr="00BD1599">
              <w:rPr>
                <w:rFonts w:ascii="仿宋_GB2312" w:hAnsi="仿宋_GB2312" w:cs="仿宋_GB2312" w:hint="eastAsia"/>
                <w:bCs/>
                <w:sz w:val="24"/>
                <w:szCs w:val="24"/>
              </w:rPr>
              <w:t>土木工程产品及其生产特点；施工组织设计的类型、作用及主要内容。</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w:t>
            </w:r>
            <w:r w:rsidRPr="00BD1599">
              <w:rPr>
                <w:rFonts w:ascii="仿宋_GB2312" w:hAnsi="仿宋_GB2312" w:cs="仿宋_GB2312" w:hint="eastAsia"/>
                <w:bCs/>
                <w:sz w:val="24"/>
                <w:szCs w:val="24"/>
              </w:rPr>
              <w:t>无</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hint="eastAsia"/>
                <w:bCs/>
                <w:sz w:val="24"/>
                <w:szCs w:val="24"/>
              </w:rPr>
              <w:t>1.了解：工程建设程序；土木工程产品及其生产特点；施工组织设计的编制要求；</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2.熟悉：组织施工的原则；</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3.掌握：工程施工的一般程序；施工组织设计的类型、作用及主要内容；施工准备工作的内容。</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4</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11</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10</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 xml:space="preserve"> 流水作业原理</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w:t>
            </w:r>
            <w:r w:rsidRPr="00BD1599">
              <w:rPr>
                <w:rFonts w:ascii="仿宋_GB2312" w:hAnsi="仿宋_GB2312" w:cs="仿宋_GB2312" w:hint="eastAsia"/>
                <w:bCs/>
                <w:sz w:val="24"/>
                <w:szCs w:val="24"/>
              </w:rPr>
              <w:t>流水施工参数的确定；流水施工的组织。</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难点：有技术间歇和搭接的多层房屋的全等节拍和成倍节拍流水施工的组织方法</w:t>
            </w:r>
            <w:r w:rsidRPr="00BD1599">
              <w:rPr>
                <w:rFonts w:ascii="仿宋_GB2312" w:hAnsi="仿宋_GB2312" w:cs="仿宋_GB2312" w:hint="eastAsia"/>
                <w:bCs/>
                <w:sz w:val="24"/>
                <w:szCs w:val="24"/>
              </w:rPr>
              <w:t>。</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1.了解：流水施工的概念与特点；</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2.熟悉、理解：流水施工参数的概念；</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3.掌握：流水施工参数的确定方法；组织流水施工的步骤与方法。</w:t>
            </w:r>
            <w:r w:rsidRPr="00BD1599">
              <w:rPr>
                <w:rFonts w:ascii="仿宋_GB2312" w:hAnsi="仿宋_GB2312" w:cs="仿宋_GB2312"/>
                <w:bCs/>
                <w:sz w:val="24"/>
                <w:szCs w:val="24"/>
              </w:rPr>
              <w:t xml:space="preserve"> </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4</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12</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11</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 xml:space="preserve"> 网络计划技术</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重点：单</w:t>
            </w:r>
            <w:r w:rsidRPr="00BD1599">
              <w:rPr>
                <w:rFonts w:ascii="仿宋_GB2312" w:hAnsi="仿宋_GB2312" w:cs="仿宋_GB2312" w:hint="eastAsia"/>
                <w:bCs/>
                <w:sz w:val="24"/>
                <w:szCs w:val="24"/>
              </w:rPr>
              <w:t>、双代号网络图的绘制；网络计划时间参数的计算；时标网络计划的编制及参数确定。</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难点：时间参数的计算</w:t>
            </w:r>
            <w:r w:rsidRPr="00BD1599">
              <w:rPr>
                <w:rFonts w:ascii="仿宋_GB2312" w:hAnsi="仿宋_GB2312" w:cs="仿宋_GB2312" w:hint="eastAsia"/>
                <w:bCs/>
                <w:sz w:val="24"/>
                <w:szCs w:val="24"/>
              </w:rPr>
              <w:t>；时标网络计</w:t>
            </w:r>
            <w:r w:rsidRPr="00BD1599">
              <w:rPr>
                <w:rFonts w:ascii="仿宋_GB2312" w:hAnsi="仿宋_GB2312" w:cs="仿宋_GB2312" w:hint="eastAsia"/>
                <w:bCs/>
                <w:sz w:val="24"/>
                <w:szCs w:val="24"/>
              </w:rPr>
              <w:lastRenderedPageBreak/>
              <w:t>划的编制。</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lastRenderedPageBreak/>
              <w:t>1.了解：网络计划的基本原理与基本概念；</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2.熟悉：网络计划优化的方法、步骤；</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3.掌握：双代号、单代号网络图的绘图规则与方法；时间参数的含义与计算；时标网络计划的编制方法及参数确定；网络计划优化的目标与原理。</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8</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4</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13</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12</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 xml:space="preserve"> 单位工程施工组织设计</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w:t>
            </w:r>
            <w:r w:rsidRPr="00BD1599">
              <w:rPr>
                <w:rFonts w:ascii="仿宋_GB2312" w:hAnsi="仿宋_GB2312" w:cs="仿宋_GB2312" w:hint="eastAsia"/>
                <w:bCs/>
                <w:sz w:val="24"/>
                <w:szCs w:val="24"/>
              </w:rPr>
              <w:t>单位工程施工组织设计的内容；施工部署与施工方案；施工进度计划；施工现场平面布置。</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w:t>
            </w:r>
            <w:r w:rsidRPr="00BD1599">
              <w:rPr>
                <w:rFonts w:ascii="仿宋_GB2312" w:hAnsi="仿宋_GB2312" w:cs="仿宋_GB2312" w:hint="eastAsia"/>
                <w:bCs/>
                <w:sz w:val="24"/>
                <w:szCs w:val="24"/>
              </w:rPr>
              <w:t>施工方案的拟定；进度计划的编制；施工现场平面布置设计。</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了解：工程概况的内容；资源配置计划的编制；</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熟悉：单位工程施工组织设计的内容；施工部署的内容；</w:t>
            </w:r>
            <w:r w:rsidRPr="00BD1599">
              <w:rPr>
                <w:rFonts w:ascii="仿宋_GB2312" w:hAnsi="仿宋_GB2312" w:cs="仿宋_GB2312"/>
                <w:bCs/>
                <w:sz w:val="24"/>
                <w:szCs w:val="24"/>
              </w:rPr>
              <w:t xml:space="preserve"> </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掌握：施工方案的内容及拟定；施工进度计划编制的步骤、原则和方法；施工现场平面布置设计的步骤、方法。</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4、5</w:t>
            </w:r>
          </w:p>
        </w:tc>
      </w:tr>
      <w:tr w:rsidR="00F11446" w:rsidRPr="00BD1599" w:rsidTr="00BD1599">
        <w:trPr>
          <w:trHeight w:val="454"/>
          <w:jc w:val="center"/>
        </w:trPr>
        <w:tc>
          <w:tcPr>
            <w:tcW w:w="342"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14</w:t>
            </w:r>
          </w:p>
        </w:tc>
        <w:tc>
          <w:tcPr>
            <w:tcW w:w="136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内容：第</w:t>
            </w:r>
            <w:r w:rsidRPr="00BD1599">
              <w:rPr>
                <w:rFonts w:ascii="仿宋_GB2312" w:hAnsi="仿宋_GB2312" w:cs="仿宋_GB2312" w:hint="eastAsia"/>
                <w:bCs/>
                <w:sz w:val="24"/>
                <w:szCs w:val="24"/>
              </w:rPr>
              <w:t>13</w:t>
            </w:r>
            <w:r w:rsidRPr="00BD1599">
              <w:rPr>
                <w:rFonts w:ascii="仿宋_GB2312" w:hAnsi="仿宋_GB2312" w:cs="仿宋_GB2312"/>
                <w:bCs/>
                <w:sz w:val="24"/>
                <w:szCs w:val="24"/>
              </w:rPr>
              <w:t>章</w:t>
            </w:r>
            <w:r w:rsidRPr="00BD1599">
              <w:rPr>
                <w:rFonts w:ascii="仿宋_GB2312" w:hAnsi="仿宋_GB2312" w:cs="仿宋_GB2312" w:hint="eastAsia"/>
                <w:bCs/>
                <w:sz w:val="24"/>
                <w:szCs w:val="24"/>
              </w:rPr>
              <w:t>施工组织总设计</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重点：施工部署</w:t>
            </w:r>
            <w:r w:rsidRPr="00BD1599">
              <w:rPr>
                <w:rFonts w:ascii="仿宋_GB2312" w:hAnsi="仿宋_GB2312" w:cs="仿宋_GB2312" w:hint="eastAsia"/>
                <w:bCs/>
                <w:sz w:val="24"/>
                <w:szCs w:val="24"/>
              </w:rPr>
              <w:t>、</w:t>
            </w:r>
            <w:r w:rsidRPr="00BD1599">
              <w:rPr>
                <w:rFonts w:ascii="仿宋_GB2312" w:hAnsi="仿宋_GB2312" w:cs="仿宋_GB2312"/>
                <w:bCs/>
                <w:sz w:val="24"/>
                <w:szCs w:val="24"/>
              </w:rPr>
              <w:t>施工方案</w:t>
            </w:r>
            <w:r w:rsidRPr="00BD1599">
              <w:rPr>
                <w:rFonts w:ascii="仿宋_GB2312" w:hAnsi="仿宋_GB2312" w:cs="仿宋_GB2312" w:hint="eastAsia"/>
                <w:bCs/>
                <w:sz w:val="24"/>
                <w:szCs w:val="24"/>
              </w:rPr>
              <w:t>、施工总进度计划、施工总平面图；</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难点：施工方案与总进度计划的编制</w:t>
            </w:r>
            <w:r w:rsidRPr="00BD1599">
              <w:rPr>
                <w:rFonts w:ascii="仿宋_GB2312" w:hAnsi="仿宋_GB2312" w:cs="仿宋_GB2312" w:hint="eastAsia"/>
                <w:bCs/>
                <w:sz w:val="24"/>
                <w:szCs w:val="24"/>
              </w:rPr>
              <w:t>。</w:t>
            </w:r>
          </w:p>
        </w:tc>
        <w:tc>
          <w:tcPr>
            <w:tcW w:w="1880"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1.了解：施工组织总设计的作用、编制程序和依据；</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2.熟悉：施工组织总设计的内容；总进度计划和总平面图设计编制的内容与方法；</w:t>
            </w:r>
          </w:p>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3.掌握：施工部署与施工方案的内容；临时用水、用电的计算方法。</w:t>
            </w:r>
          </w:p>
        </w:tc>
        <w:tc>
          <w:tcPr>
            <w:tcW w:w="497" w:type="pct"/>
            <w:tcBorders>
              <w:top w:val="single" w:sz="4" w:space="0" w:color="000000"/>
              <w:left w:val="single" w:sz="4" w:space="0" w:color="auto"/>
              <w:bottom w:val="single" w:sz="4" w:space="0" w:color="000000"/>
              <w:right w:val="single" w:sz="4" w:space="0" w:color="000000"/>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4</w:t>
            </w:r>
          </w:p>
        </w:tc>
      </w:tr>
    </w:tbl>
    <w:p w:rsidR="00F11446" w:rsidRPr="00BD1599" w:rsidRDefault="00F11446" w:rsidP="00F11446">
      <w:pPr>
        <w:keepNext/>
        <w:spacing w:beforeLines="100" w:before="312" w:afterLines="50" w:after="156" w:line="360" w:lineRule="exact"/>
        <w:outlineLvl w:val="0"/>
        <w:rPr>
          <w:rFonts w:ascii="仿宋" w:eastAsia="仿宋" w:hAnsi="仿宋"/>
          <w:b/>
          <w:sz w:val="28"/>
          <w:szCs w:val="28"/>
        </w:rPr>
      </w:pPr>
      <w:r w:rsidRPr="00BD1599">
        <w:rPr>
          <w:rFonts w:ascii="仿宋" w:eastAsia="仿宋" w:hAnsi="仿宋"/>
          <w:b/>
          <w:sz w:val="28"/>
          <w:szCs w:val="28"/>
        </w:rPr>
        <w:t>课内实践教学内容及要求</w:t>
      </w:r>
    </w:p>
    <w:p w:rsidR="00F11446" w:rsidRPr="00BD1599" w:rsidRDefault="00F11446" w:rsidP="00F11446">
      <w:pPr>
        <w:adjustRightInd w:val="0"/>
        <w:snapToGrid w:val="0"/>
        <w:spacing w:line="360" w:lineRule="exact"/>
        <w:rPr>
          <w:rFonts w:ascii="Times New Roman" w:hAnsi="Times New Roman"/>
          <w:sz w:val="28"/>
          <w:szCs w:val="28"/>
        </w:rPr>
      </w:pPr>
      <w:r w:rsidRPr="00BD1599">
        <w:rPr>
          <w:rFonts w:ascii="Times New Roman" w:hAnsi="Times New Roman"/>
          <w:sz w:val="28"/>
          <w:szCs w:val="28"/>
        </w:rPr>
        <w:t>无</w:t>
      </w:r>
    </w:p>
    <w:p w:rsidR="00F11446" w:rsidRPr="00BD1599" w:rsidRDefault="00F11446" w:rsidP="00F11446">
      <w:pPr>
        <w:keepNext/>
        <w:spacing w:beforeLines="100" w:before="312" w:afterLines="50" w:after="156" w:line="360" w:lineRule="exact"/>
        <w:outlineLvl w:val="0"/>
        <w:rPr>
          <w:rFonts w:ascii="仿宋" w:eastAsia="仿宋" w:hAnsi="仿宋"/>
          <w:b/>
          <w:sz w:val="28"/>
          <w:szCs w:val="28"/>
        </w:rPr>
      </w:pPr>
      <w:r w:rsidRPr="00BD1599">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F11446" w:rsidTr="00CD00D2">
        <w:trPr>
          <w:trHeight w:val="454"/>
          <w:jc w:val="center"/>
        </w:trPr>
        <w:tc>
          <w:tcPr>
            <w:tcW w:w="1624" w:type="pct"/>
            <w:vMerge w:val="restart"/>
            <w:vAlign w:val="center"/>
          </w:tcPr>
          <w:p w:rsidR="00F11446" w:rsidRPr="00BD1599" w:rsidRDefault="00F11446" w:rsidP="00BD1599">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章  节</w:t>
            </w:r>
          </w:p>
        </w:tc>
        <w:tc>
          <w:tcPr>
            <w:tcW w:w="2937" w:type="pct"/>
            <w:gridSpan w:val="6"/>
            <w:vAlign w:val="center"/>
          </w:tcPr>
          <w:p w:rsidR="00F11446" w:rsidRPr="00BD1599" w:rsidRDefault="00F11446" w:rsidP="00BD1599">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学 时 分 配</w:t>
            </w:r>
          </w:p>
        </w:tc>
        <w:tc>
          <w:tcPr>
            <w:tcW w:w="439" w:type="pct"/>
            <w:vMerge w:val="restart"/>
            <w:vAlign w:val="center"/>
          </w:tcPr>
          <w:p w:rsidR="00F11446" w:rsidRPr="00BD1599" w:rsidRDefault="00F11446" w:rsidP="00BD1599">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合  计</w:t>
            </w:r>
          </w:p>
        </w:tc>
      </w:tr>
      <w:tr w:rsidR="00F11446" w:rsidTr="00CD00D2">
        <w:trPr>
          <w:trHeight w:val="454"/>
          <w:jc w:val="center"/>
        </w:trPr>
        <w:tc>
          <w:tcPr>
            <w:tcW w:w="1624" w:type="pct"/>
            <w:vMerge/>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讲  课</w:t>
            </w:r>
          </w:p>
        </w:tc>
        <w:tc>
          <w:tcPr>
            <w:tcW w:w="490" w:type="pct"/>
            <w:vAlign w:val="center"/>
          </w:tcPr>
          <w:p w:rsidR="00F11446" w:rsidRPr="00BD1599" w:rsidRDefault="00F11446" w:rsidP="00BD1599">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实验课</w:t>
            </w:r>
          </w:p>
        </w:tc>
        <w:tc>
          <w:tcPr>
            <w:tcW w:w="489" w:type="pct"/>
            <w:vAlign w:val="center"/>
          </w:tcPr>
          <w:p w:rsidR="00F11446" w:rsidRPr="00BD1599" w:rsidRDefault="00F11446" w:rsidP="00BD1599">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上机课</w:t>
            </w:r>
          </w:p>
        </w:tc>
        <w:tc>
          <w:tcPr>
            <w:tcW w:w="490" w:type="pct"/>
            <w:vAlign w:val="center"/>
          </w:tcPr>
          <w:p w:rsidR="00F11446" w:rsidRPr="00BD1599" w:rsidRDefault="00F11446" w:rsidP="00BD1599">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讨论课</w:t>
            </w:r>
          </w:p>
        </w:tc>
        <w:tc>
          <w:tcPr>
            <w:tcW w:w="489" w:type="pct"/>
            <w:vAlign w:val="center"/>
          </w:tcPr>
          <w:p w:rsidR="00F11446" w:rsidRPr="00BD1599" w:rsidRDefault="00F11446" w:rsidP="00BD1599">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习题课</w:t>
            </w:r>
          </w:p>
        </w:tc>
        <w:tc>
          <w:tcPr>
            <w:tcW w:w="490" w:type="pct"/>
            <w:vAlign w:val="center"/>
          </w:tcPr>
          <w:p w:rsidR="00F11446" w:rsidRPr="00BD1599" w:rsidRDefault="00F11446" w:rsidP="00BD1599">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其  它</w:t>
            </w:r>
          </w:p>
        </w:tc>
        <w:tc>
          <w:tcPr>
            <w:tcW w:w="439" w:type="pct"/>
            <w:vMerge/>
            <w:vAlign w:val="center"/>
          </w:tcPr>
          <w:p w:rsidR="00F11446" w:rsidRPr="00BD1599" w:rsidRDefault="00F11446" w:rsidP="00BD1599">
            <w:pPr>
              <w:spacing w:line="360" w:lineRule="exact"/>
              <w:jc w:val="center"/>
              <w:rPr>
                <w:rFonts w:ascii="仿宋_GB2312" w:hAnsi="仿宋_GB2312" w:cs="仿宋_GB2312"/>
                <w:bCs/>
                <w:sz w:val="24"/>
                <w:szCs w:val="24"/>
              </w:rPr>
            </w:pP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绪论</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第</w:t>
            </w:r>
            <w:r w:rsidRPr="00BD1599">
              <w:rPr>
                <w:rFonts w:ascii="仿宋_GB2312" w:hAnsi="仿宋_GB2312" w:cs="仿宋_GB2312" w:hint="eastAsia"/>
                <w:bCs/>
                <w:sz w:val="24"/>
                <w:szCs w:val="24"/>
              </w:rPr>
              <w:t>1</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8</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8</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第</w:t>
            </w:r>
            <w:r w:rsidRPr="00BD1599">
              <w:rPr>
                <w:rFonts w:ascii="仿宋_GB2312" w:hAnsi="仿宋_GB2312" w:cs="仿宋_GB2312" w:hint="eastAsia"/>
                <w:bCs/>
                <w:sz w:val="24"/>
                <w:szCs w:val="24"/>
              </w:rPr>
              <w:t>2</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4</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4</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第</w:t>
            </w:r>
            <w:r w:rsidRPr="00BD1599">
              <w:rPr>
                <w:rFonts w:ascii="仿宋_GB2312" w:hAnsi="仿宋_GB2312" w:cs="仿宋_GB2312" w:hint="eastAsia"/>
                <w:bCs/>
                <w:sz w:val="24"/>
                <w:szCs w:val="24"/>
              </w:rPr>
              <w:t>3</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5</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5</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第</w:t>
            </w:r>
            <w:r w:rsidRPr="00BD1599">
              <w:rPr>
                <w:rFonts w:ascii="仿宋_GB2312" w:hAnsi="仿宋_GB2312" w:cs="仿宋_GB2312" w:hint="eastAsia"/>
                <w:bCs/>
                <w:sz w:val="24"/>
                <w:szCs w:val="24"/>
              </w:rPr>
              <w:t>4</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8</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8</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lastRenderedPageBreak/>
              <w:t>第</w:t>
            </w:r>
            <w:r w:rsidRPr="00BD1599">
              <w:rPr>
                <w:rFonts w:ascii="仿宋_GB2312" w:hAnsi="仿宋_GB2312" w:cs="仿宋_GB2312" w:hint="eastAsia"/>
                <w:bCs/>
                <w:sz w:val="24"/>
                <w:szCs w:val="24"/>
              </w:rPr>
              <w:t>5</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4</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4</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第</w:t>
            </w:r>
            <w:r w:rsidRPr="00BD1599">
              <w:rPr>
                <w:rFonts w:ascii="仿宋_GB2312" w:hAnsi="仿宋_GB2312" w:cs="仿宋_GB2312" w:hint="eastAsia"/>
                <w:bCs/>
                <w:sz w:val="24"/>
                <w:szCs w:val="24"/>
              </w:rPr>
              <w:t>6</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6</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6</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第</w:t>
            </w:r>
            <w:r w:rsidRPr="00BD1599">
              <w:rPr>
                <w:rFonts w:ascii="仿宋_GB2312" w:hAnsi="仿宋_GB2312" w:cs="仿宋_GB2312" w:hint="eastAsia"/>
                <w:bCs/>
                <w:sz w:val="24"/>
                <w:szCs w:val="24"/>
              </w:rPr>
              <w:t>7</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2</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第</w:t>
            </w:r>
            <w:r w:rsidRPr="00BD1599">
              <w:rPr>
                <w:rFonts w:ascii="仿宋_GB2312" w:hAnsi="仿宋_GB2312" w:cs="仿宋_GB2312" w:hint="eastAsia"/>
                <w:bCs/>
                <w:sz w:val="24"/>
                <w:szCs w:val="24"/>
              </w:rPr>
              <w:t>8</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第</w:t>
            </w:r>
            <w:r w:rsidRPr="00BD1599">
              <w:rPr>
                <w:rFonts w:ascii="仿宋_GB2312" w:hAnsi="仿宋_GB2312" w:cs="仿宋_GB2312" w:hint="eastAsia"/>
                <w:bCs/>
                <w:sz w:val="24"/>
                <w:szCs w:val="24"/>
              </w:rPr>
              <w:t>9</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第</w:t>
            </w:r>
            <w:r w:rsidRPr="00BD1599">
              <w:rPr>
                <w:rFonts w:ascii="仿宋_GB2312" w:hAnsi="仿宋_GB2312" w:cs="仿宋_GB2312" w:hint="eastAsia"/>
                <w:bCs/>
                <w:sz w:val="24"/>
                <w:szCs w:val="24"/>
              </w:rPr>
              <w:t>10</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6</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6</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第</w:t>
            </w:r>
            <w:r w:rsidRPr="00BD1599">
              <w:rPr>
                <w:rFonts w:ascii="仿宋_GB2312" w:hAnsi="仿宋_GB2312" w:cs="仿宋_GB2312" w:hint="eastAsia"/>
                <w:bCs/>
                <w:sz w:val="24"/>
                <w:szCs w:val="24"/>
              </w:rPr>
              <w:t>11</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8</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8</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第</w:t>
            </w:r>
            <w:r w:rsidRPr="00BD1599">
              <w:rPr>
                <w:rFonts w:ascii="仿宋_GB2312" w:hAnsi="仿宋_GB2312" w:cs="仿宋_GB2312" w:hint="eastAsia"/>
                <w:bCs/>
                <w:sz w:val="24"/>
                <w:szCs w:val="24"/>
              </w:rPr>
              <w:t>12</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6</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6</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第</w:t>
            </w:r>
            <w:r w:rsidRPr="00BD1599">
              <w:rPr>
                <w:rFonts w:ascii="仿宋_GB2312" w:hAnsi="仿宋_GB2312" w:cs="仿宋_GB2312" w:hint="eastAsia"/>
                <w:bCs/>
                <w:sz w:val="24"/>
                <w:szCs w:val="24"/>
              </w:rPr>
              <w:t>13</w:t>
            </w:r>
            <w:r w:rsidRPr="00BD1599">
              <w:rPr>
                <w:rFonts w:ascii="仿宋_GB2312" w:hAnsi="仿宋_GB2312" w:cs="仿宋_GB2312"/>
                <w:bCs/>
                <w:sz w:val="24"/>
                <w:szCs w:val="24"/>
              </w:rPr>
              <w:t>章</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r>
      <w:tr w:rsidR="00F11446" w:rsidTr="00CD00D2">
        <w:trPr>
          <w:trHeight w:val="454"/>
          <w:jc w:val="center"/>
        </w:trPr>
        <w:tc>
          <w:tcPr>
            <w:tcW w:w="1624"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共  计</w:t>
            </w: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64</w:t>
            </w: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89"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90" w:type="pct"/>
            <w:vAlign w:val="center"/>
          </w:tcPr>
          <w:p w:rsidR="00F11446" w:rsidRPr="00BD1599" w:rsidRDefault="00F11446" w:rsidP="00BD1599">
            <w:pPr>
              <w:spacing w:line="360" w:lineRule="exact"/>
              <w:jc w:val="center"/>
              <w:rPr>
                <w:rFonts w:ascii="仿宋_GB2312" w:hAnsi="仿宋_GB2312" w:cs="仿宋_GB2312"/>
                <w:bCs/>
                <w:sz w:val="24"/>
                <w:szCs w:val="24"/>
              </w:rPr>
            </w:pPr>
          </w:p>
        </w:tc>
        <w:tc>
          <w:tcPr>
            <w:tcW w:w="439" w:type="pct"/>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6</w:t>
            </w:r>
            <w:r w:rsidRPr="00BD1599">
              <w:rPr>
                <w:rFonts w:ascii="仿宋_GB2312" w:hAnsi="仿宋_GB2312" w:cs="仿宋_GB2312"/>
                <w:bCs/>
                <w:sz w:val="24"/>
                <w:szCs w:val="24"/>
              </w:rPr>
              <w:t>4</w:t>
            </w:r>
          </w:p>
        </w:tc>
      </w:tr>
    </w:tbl>
    <w:p w:rsidR="00F11446" w:rsidRPr="00BD1599" w:rsidRDefault="00F11446" w:rsidP="00F11446">
      <w:pPr>
        <w:keepNext/>
        <w:spacing w:beforeLines="100" w:before="312" w:afterLines="50" w:after="156" w:line="360" w:lineRule="exact"/>
        <w:outlineLvl w:val="0"/>
        <w:rPr>
          <w:rFonts w:ascii="仿宋" w:eastAsia="仿宋" w:hAnsi="仿宋"/>
          <w:b/>
          <w:sz w:val="28"/>
          <w:szCs w:val="28"/>
        </w:rPr>
      </w:pPr>
      <w:r w:rsidRPr="00BD1599">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737"/>
        <w:gridCol w:w="3410"/>
      </w:tblGrid>
      <w:tr w:rsidR="00F11446" w:rsidTr="00CD00D2">
        <w:trPr>
          <w:trHeight w:val="454"/>
          <w:jc w:val="center"/>
        </w:trPr>
        <w:tc>
          <w:tcPr>
            <w:tcW w:w="343" w:type="pct"/>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序号</w:t>
            </w:r>
          </w:p>
        </w:tc>
        <w:tc>
          <w:tcPr>
            <w:tcW w:w="1555" w:type="pct"/>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课程思政教学目标</w:t>
            </w:r>
          </w:p>
        </w:tc>
        <w:tc>
          <w:tcPr>
            <w:tcW w:w="1047" w:type="pct"/>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授课章节</w:t>
            </w:r>
          </w:p>
        </w:tc>
        <w:tc>
          <w:tcPr>
            <w:tcW w:w="2055" w:type="pct"/>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课程思政融入点（至少5处）</w:t>
            </w:r>
          </w:p>
        </w:tc>
      </w:tr>
      <w:tr w:rsidR="00F11446" w:rsidTr="00CD00D2">
        <w:trPr>
          <w:trHeight w:val="454"/>
          <w:jc w:val="center"/>
        </w:trPr>
        <w:tc>
          <w:tcPr>
            <w:tcW w:w="343"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1</w:t>
            </w:r>
          </w:p>
        </w:tc>
        <w:tc>
          <w:tcPr>
            <w:tcW w:w="1555"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正确政治导向</w:t>
            </w:r>
          </w:p>
        </w:tc>
        <w:tc>
          <w:tcPr>
            <w:tcW w:w="1047"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绪论、第9章</w:t>
            </w:r>
          </w:p>
        </w:tc>
        <w:tc>
          <w:tcPr>
            <w:tcW w:w="2055" w:type="pct"/>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hint="eastAsia"/>
                <w:bCs/>
                <w:sz w:val="24"/>
                <w:szCs w:val="24"/>
              </w:rPr>
              <w:t>国家建设政策、法律法规</w:t>
            </w:r>
          </w:p>
        </w:tc>
      </w:tr>
      <w:tr w:rsidR="00F11446" w:rsidTr="00CD00D2">
        <w:trPr>
          <w:trHeight w:val="454"/>
          <w:jc w:val="center"/>
        </w:trPr>
        <w:tc>
          <w:tcPr>
            <w:tcW w:w="343"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2</w:t>
            </w:r>
          </w:p>
        </w:tc>
        <w:tc>
          <w:tcPr>
            <w:tcW w:w="1555"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社会主义核心价值观教育</w:t>
            </w:r>
          </w:p>
        </w:tc>
        <w:tc>
          <w:tcPr>
            <w:tcW w:w="1047"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第2章~第8章</w:t>
            </w:r>
          </w:p>
        </w:tc>
        <w:tc>
          <w:tcPr>
            <w:tcW w:w="2055" w:type="pct"/>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hint="eastAsia"/>
                <w:bCs/>
                <w:sz w:val="24"/>
                <w:szCs w:val="24"/>
              </w:rPr>
              <w:t>先进的建造技术是行业发展的重要支撑</w:t>
            </w:r>
          </w:p>
        </w:tc>
      </w:tr>
      <w:tr w:rsidR="00F11446" w:rsidTr="00CD00D2">
        <w:trPr>
          <w:trHeight w:val="454"/>
          <w:jc w:val="center"/>
        </w:trPr>
        <w:tc>
          <w:tcPr>
            <w:tcW w:w="343"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3</w:t>
            </w:r>
          </w:p>
        </w:tc>
        <w:tc>
          <w:tcPr>
            <w:tcW w:w="1555"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远大理想塑造</w:t>
            </w:r>
          </w:p>
        </w:tc>
        <w:tc>
          <w:tcPr>
            <w:tcW w:w="1047"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第2章~第8章</w:t>
            </w:r>
          </w:p>
        </w:tc>
        <w:tc>
          <w:tcPr>
            <w:tcW w:w="2055" w:type="pct"/>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hint="eastAsia"/>
                <w:bCs/>
                <w:sz w:val="24"/>
                <w:szCs w:val="24"/>
              </w:rPr>
              <w:t>新技术、新工艺、新材料、新设备的涌现</w:t>
            </w:r>
          </w:p>
        </w:tc>
      </w:tr>
      <w:tr w:rsidR="00F11446" w:rsidTr="00CD00D2">
        <w:trPr>
          <w:trHeight w:val="454"/>
          <w:jc w:val="center"/>
        </w:trPr>
        <w:tc>
          <w:tcPr>
            <w:tcW w:w="343"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4</w:t>
            </w:r>
          </w:p>
        </w:tc>
        <w:tc>
          <w:tcPr>
            <w:tcW w:w="1555"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健康心态培育</w:t>
            </w:r>
          </w:p>
        </w:tc>
        <w:tc>
          <w:tcPr>
            <w:tcW w:w="1047"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绪论</w:t>
            </w:r>
          </w:p>
        </w:tc>
        <w:tc>
          <w:tcPr>
            <w:tcW w:w="2055" w:type="pct"/>
            <w:vAlign w:val="center"/>
          </w:tcPr>
          <w:p w:rsidR="00F11446" w:rsidRPr="00BD1599" w:rsidRDefault="00F11446" w:rsidP="00CD00D2">
            <w:pPr>
              <w:spacing w:line="360" w:lineRule="exact"/>
              <w:rPr>
                <w:rFonts w:ascii="仿宋_GB2312" w:hAnsi="仿宋_GB2312" w:cs="仿宋_GB2312"/>
                <w:bCs/>
                <w:sz w:val="24"/>
                <w:szCs w:val="24"/>
              </w:rPr>
            </w:pPr>
            <w:r w:rsidRPr="00BD1599">
              <w:rPr>
                <w:rFonts w:ascii="仿宋_GB2312" w:hAnsi="仿宋_GB2312" w:cs="仿宋_GB2312" w:hint="eastAsia"/>
                <w:bCs/>
                <w:sz w:val="24"/>
                <w:szCs w:val="24"/>
              </w:rPr>
              <w:t>各种新技术需要不断创新、不断学习，应勇于面对新问题并着力寻求解决。</w:t>
            </w:r>
          </w:p>
        </w:tc>
      </w:tr>
      <w:tr w:rsidR="00F11446" w:rsidTr="00CD00D2">
        <w:trPr>
          <w:trHeight w:val="454"/>
          <w:jc w:val="center"/>
        </w:trPr>
        <w:tc>
          <w:tcPr>
            <w:tcW w:w="343"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5</w:t>
            </w:r>
          </w:p>
        </w:tc>
        <w:tc>
          <w:tcPr>
            <w:tcW w:w="1555"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道德品质培养</w:t>
            </w:r>
          </w:p>
        </w:tc>
        <w:tc>
          <w:tcPr>
            <w:tcW w:w="1047" w:type="pct"/>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第9章~第13章</w:t>
            </w:r>
          </w:p>
        </w:tc>
        <w:tc>
          <w:tcPr>
            <w:tcW w:w="2055" w:type="pct"/>
            <w:vAlign w:val="center"/>
          </w:tcPr>
          <w:p w:rsidR="00F11446" w:rsidRPr="00BD1599" w:rsidRDefault="00F11446" w:rsidP="00CD00D2">
            <w:pPr>
              <w:spacing w:line="360" w:lineRule="exact"/>
              <w:jc w:val="left"/>
              <w:rPr>
                <w:rFonts w:ascii="仿宋_GB2312" w:hAnsi="仿宋_GB2312" w:cs="仿宋_GB2312"/>
                <w:bCs/>
                <w:sz w:val="24"/>
                <w:szCs w:val="24"/>
              </w:rPr>
            </w:pPr>
            <w:r w:rsidRPr="00BD1599">
              <w:rPr>
                <w:rFonts w:ascii="仿宋_GB2312" w:hAnsi="仿宋_GB2312" w:cs="仿宋_GB2312" w:hint="eastAsia"/>
                <w:bCs/>
                <w:sz w:val="24"/>
                <w:szCs w:val="24"/>
              </w:rPr>
              <w:t>工程项目管理是一门科学，也是一门艺术，需要协调、沟通人与人、人与物、人与自然的复杂关系，应具有良好的文化修养、道德品质，以及社会责任感。</w:t>
            </w:r>
          </w:p>
        </w:tc>
      </w:tr>
    </w:tbl>
    <w:p w:rsidR="00BD1599" w:rsidRDefault="00BD1599" w:rsidP="00BD1599">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五、课程考核方式与成绩评定</w:t>
      </w:r>
    </w:p>
    <w:p w:rsidR="00F11446" w:rsidRPr="00BD1599" w:rsidRDefault="00F11446" w:rsidP="00BD1599">
      <w:pPr>
        <w:spacing w:line="360" w:lineRule="auto"/>
        <w:ind w:firstLine="331"/>
        <w:rPr>
          <w:rFonts w:ascii="仿宋_GB2312" w:hAnsi="仿宋_GB2312" w:cs="仿宋_GB2312"/>
          <w:bCs/>
          <w:sz w:val="28"/>
          <w:szCs w:val="28"/>
        </w:rPr>
      </w:pPr>
      <w:r w:rsidRPr="00BD1599">
        <w:rPr>
          <w:rFonts w:ascii="仿宋_GB2312" w:hAnsi="仿宋_GB2312" w:cs="仿宋_GB2312"/>
          <w:bCs/>
          <w:sz w:val="28"/>
          <w:szCs w:val="28"/>
        </w:rPr>
        <w:t>（1）考核方式</w:t>
      </w:r>
    </w:p>
    <w:p w:rsidR="00F11446" w:rsidRPr="00BD1599" w:rsidRDefault="00F11446" w:rsidP="00BD1599">
      <w:pPr>
        <w:spacing w:line="360" w:lineRule="auto"/>
        <w:ind w:firstLine="331"/>
        <w:rPr>
          <w:rFonts w:ascii="仿宋_GB2312" w:hAnsi="仿宋_GB2312" w:cs="仿宋_GB2312"/>
          <w:bCs/>
          <w:sz w:val="28"/>
          <w:szCs w:val="28"/>
        </w:rPr>
      </w:pPr>
      <w:r w:rsidRPr="00BD1599">
        <w:rPr>
          <w:rFonts w:ascii="仿宋_GB2312" w:hAnsi="仿宋_GB2312" w:cs="仿宋_GB2312"/>
          <w:bCs/>
          <w:sz w:val="28"/>
          <w:szCs w:val="28"/>
        </w:rPr>
        <w:t>本课程考核方式为考试，其中期末考核方式为</w:t>
      </w:r>
      <w:r w:rsidRPr="00BD1599">
        <w:rPr>
          <w:rFonts w:ascii="仿宋_GB2312" w:hAnsi="仿宋_GB2312" w:cs="仿宋_GB2312" w:hint="eastAsia"/>
          <w:bCs/>
          <w:sz w:val="28"/>
          <w:szCs w:val="28"/>
        </w:rPr>
        <w:t>闭卷</w:t>
      </w:r>
      <w:r w:rsidRPr="00BD1599">
        <w:rPr>
          <w:rFonts w:ascii="仿宋_GB2312" w:hAnsi="仿宋_GB2312" w:cs="仿宋_GB2312"/>
          <w:bCs/>
          <w:sz w:val="28"/>
          <w:szCs w:val="28"/>
        </w:rPr>
        <w:t>考试，过程考核</w:t>
      </w:r>
      <w:r w:rsidRPr="00BD1599">
        <w:rPr>
          <w:rFonts w:ascii="仿宋_GB2312" w:hAnsi="仿宋_GB2312" w:cs="仿宋_GB2312"/>
          <w:bCs/>
          <w:sz w:val="28"/>
          <w:szCs w:val="28"/>
        </w:rPr>
        <w:lastRenderedPageBreak/>
        <w:t>方式为课堂出勤、课堂讨论、作业完成情况等。</w:t>
      </w:r>
    </w:p>
    <w:p w:rsidR="00F11446" w:rsidRPr="00BD1599" w:rsidRDefault="00F11446" w:rsidP="00BD1599">
      <w:pPr>
        <w:spacing w:line="360" w:lineRule="auto"/>
        <w:ind w:firstLine="331"/>
        <w:rPr>
          <w:rFonts w:ascii="仿宋_GB2312" w:hAnsi="仿宋_GB2312" w:cs="仿宋_GB2312"/>
          <w:bCs/>
          <w:sz w:val="28"/>
          <w:szCs w:val="28"/>
        </w:rPr>
      </w:pPr>
      <w:r w:rsidRPr="00BD1599">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881"/>
        <w:gridCol w:w="672"/>
        <w:gridCol w:w="672"/>
        <w:gridCol w:w="672"/>
        <w:gridCol w:w="672"/>
        <w:gridCol w:w="672"/>
        <w:gridCol w:w="677"/>
        <w:gridCol w:w="656"/>
        <w:gridCol w:w="667"/>
      </w:tblGrid>
      <w:tr w:rsidR="00F11446" w:rsidTr="00CD00D2">
        <w:trPr>
          <w:trHeight w:val="454"/>
          <w:jc w:val="center"/>
        </w:trPr>
        <w:tc>
          <w:tcPr>
            <w:tcW w:w="396" w:type="pct"/>
            <w:vMerge w:val="restart"/>
            <w:tcBorders>
              <w:top w:val="single" w:sz="4" w:space="0" w:color="000000"/>
              <w:left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课程</w:t>
            </w:r>
          </w:p>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目标</w:t>
            </w:r>
          </w:p>
        </w:tc>
        <w:tc>
          <w:tcPr>
            <w:tcW w:w="3956" w:type="pct"/>
            <w:gridSpan w:val="8"/>
            <w:tcBorders>
              <w:top w:val="single" w:sz="4" w:space="0" w:color="000000"/>
              <w:left w:val="single" w:sz="4" w:space="0" w:color="auto"/>
              <w:bottom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考核方式及成绩比例（%）</w:t>
            </w:r>
          </w:p>
        </w:tc>
      </w:tr>
      <w:tr w:rsidR="00F11446" w:rsidTr="00CD00D2">
        <w:trPr>
          <w:trHeight w:val="454"/>
          <w:jc w:val="center"/>
        </w:trPr>
        <w:tc>
          <w:tcPr>
            <w:tcW w:w="396" w:type="pct"/>
            <w:vMerge/>
            <w:tcBorders>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p>
        </w:tc>
        <w:tc>
          <w:tcPr>
            <w:tcW w:w="496" w:type="pct"/>
            <w:tcBorders>
              <w:top w:val="single" w:sz="4" w:space="0" w:color="auto"/>
              <w:left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考勤</w:t>
            </w:r>
          </w:p>
        </w:tc>
        <w:tc>
          <w:tcPr>
            <w:tcW w:w="496" w:type="pct"/>
            <w:tcBorders>
              <w:top w:val="single" w:sz="4" w:space="0" w:color="auto"/>
              <w:left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作业</w:t>
            </w:r>
          </w:p>
        </w:tc>
        <w:tc>
          <w:tcPr>
            <w:tcW w:w="496" w:type="pct"/>
            <w:tcBorders>
              <w:top w:val="single" w:sz="4" w:space="0" w:color="auto"/>
              <w:left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讨论</w:t>
            </w:r>
          </w:p>
        </w:tc>
        <w:tc>
          <w:tcPr>
            <w:tcW w:w="496" w:type="pct"/>
            <w:tcBorders>
              <w:top w:val="single" w:sz="4" w:space="0" w:color="auto"/>
              <w:left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实验</w:t>
            </w:r>
          </w:p>
        </w:tc>
        <w:tc>
          <w:tcPr>
            <w:tcW w:w="496" w:type="pct"/>
            <w:tcBorders>
              <w:top w:val="single" w:sz="4" w:space="0" w:color="auto"/>
              <w:left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测验</w:t>
            </w:r>
          </w:p>
        </w:tc>
        <w:tc>
          <w:tcPr>
            <w:tcW w:w="499" w:type="pct"/>
            <w:tcBorders>
              <w:top w:val="single" w:sz="4" w:space="0" w:color="auto"/>
              <w:left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考试</w:t>
            </w:r>
          </w:p>
        </w:tc>
        <w:tc>
          <w:tcPr>
            <w:tcW w:w="484" w:type="pct"/>
            <w:tcBorders>
              <w:top w:val="single" w:sz="4" w:space="0" w:color="auto"/>
              <w:left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w:t>
            </w:r>
          </w:p>
        </w:tc>
        <w:tc>
          <w:tcPr>
            <w:tcW w:w="492" w:type="pct"/>
            <w:tcBorders>
              <w:top w:val="single" w:sz="4" w:space="0" w:color="auto"/>
              <w:left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合计</w:t>
            </w:r>
          </w:p>
        </w:tc>
      </w:tr>
      <w:tr w:rsidR="00F11446"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目标1</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3</w:t>
            </w:r>
          </w:p>
        </w:tc>
      </w:tr>
      <w:tr w:rsidR="00F11446"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目标2</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2</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3</w:t>
            </w:r>
          </w:p>
        </w:tc>
      </w:tr>
      <w:tr w:rsidR="00F11446"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目标3</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4</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34</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43</w:t>
            </w:r>
          </w:p>
        </w:tc>
      </w:tr>
      <w:tr w:rsidR="00F11446"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4</w:t>
            </w:r>
          </w:p>
        </w:tc>
        <w:tc>
          <w:tcPr>
            <w:tcW w:w="649"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4</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3</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34</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42</w:t>
            </w:r>
          </w:p>
        </w:tc>
      </w:tr>
      <w:tr w:rsidR="00F11446"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5</w:t>
            </w:r>
          </w:p>
        </w:tc>
        <w:tc>
          <w:tcPr>
            <w:tcW w:w="649"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8</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9</w:t>
            </w:r>
          </w:p>
        </w:tc>
      </w:tr>
      <w:tr w:rsidR="00F11446" w:rsidTr="00CD00D2">
        <w:trPr>
          <w:trHeight w:val="454"/>
          <w:jc w:val="center"/>
        </w:trPr>
        <w:tc>
          <w:tcPr>
            <w:tcW w:w="1044" w:type="pct"/>
            <w:gridSpan w:val="2"/>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共计</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80</w:t>
            </w:r>
          </w:p>
        </w:tc>
        <w:tc>
          <w:tcPr>
            <w:tcW w:w="484"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100</w:t>
            </w:r>
          </w:p>
        </w:tc>
      </w:tr>
    </w:tbl>
    <w:p w:rsidR="00F11446" w:rsidRDefault="00F11446" w:rsidP="00BD1599">
      <w:pPr>
        <w:spacing w:line="360" w:lineRule="auto"/>
        <w:ind w:firstLine="331"/>
      </w:pPr>
      <w:r w:rsidRPr="00BD1599">
        <w:rPr>
          <w:rFonts w:ascii="仿宋_GB2312" w:hAnsi="仿宋_GB2312" w:cs="仿宋_GB2312" w:hint="eastAsia"/>
          <w:bCs/>
          <w:sz w:val="28"/>
          <w:szCs w:val="28"/>
        </w:rPr>
        <w:t>（3）考核（评价）要求：</w:t>
      </w:r>
      <w: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951"/>
        <w:gridCol w:w="951"/>
        <w:gridCol w:w="4628"/>
        <w:gridCol w:w="1198"/>
      </w:tblGrid>
      <w:tr w:rsidR="00F11446" w:rsidRPr="00BD1599" w:rsidTr="00CD00D2">
        <w:trPr>
          <w:trHeight w:val="454"/>
          <w:jc w:val="center"/>
        </w:trPr>
        <w:tc>
          <w:tcPr>
            <w:tcW w:w="343" w:type="pct"/>
            <w:tcBorders>
              <w:top w:val="single" w:sz="4" w:space="0" w:color="000000"/>
              <w:left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hint="eastAsia"/>
                <w:b/>
                <w:bCs/>
                <w:sz w:val="24"/>
                <w:szCs w:val="24"/>
              </w:rPr>
              <w:t>目标分值</w:t>
            </w:r>
          </w:p>
        </w:tc>
        <w:tc>
          <w:tcPr>
            <w:tcW w:w="2788" w:type="pct"/>
            <w:tcBorders>
              <w:top w:val="single" w:sz="4" w:space="0" w:color="000000"/>
              <w:left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hint="eastAsia"/>
                <w:b/>
                <w:bCs/>
                <w:sz w:val="24"/>
                <w:szCs w:val="24"/>
              </w:rPr>
              <w:t>考核（评价）要求</w:t>
            </w:r>
          </w:p>
        </w:tc>
        <w:tc>
          <w:tcPr>
            <w:tcW w:w="722" w:type="pct"/>
            <w:tcBorders>
              <w:top w:val="single" w:sz="4" w:space="0" w:color="000000"/>
              <w:left w:val="single" w:sz="4" w:space="0" w:color="auto"/>
              <w:right w:val="single" w:sz="4" w:space="0" w:color="auto"/>
            </w:tcBorders>
            <w:vAlign w:val="center"/>
          </w:tcPr>
          <w:p w:rsidR="00F11446" w:rsidRPr="00BD1599" w:rsidRDefault="00F11446" w:rsidP="00CD00D2">
            <w:pPr>
              <w:spacing w:line="360" w:lineRule="exact"/>
              <w:jc w:val="center"/>
              <w:rPr>
                <w:rFonts w:ascii="仿宋_GB2312" w:hAnsi="仿宋_GB2312" w:cs="仿宋_GB2312"/>
                <w:b/>
                <w:bCs/>
                <w:sz w:val="24"/>
                <w:szCs w:val="24"/>
              </w:rPr>
            </w:pPr>
            <w:r w:rsidRPr="00BD1599">
              <w:rPr>
                <w:rFonts w:ascii="仿宋_GB2312" w:hAnsi="仿宋_GB2312" w:cs="仿宋_GB2312"/>
                <w:b/>
                <w:bCs/>
                <w:sz w:val="24"/>
                <w:szCs w:val="24"/>
              </w:rPr>
              <w:t>支撑课程教学目标</w:t>
            </w:r>
          </w:p>
        </w:tc>
      </w:tr>
      <w:tr w:rsidR="00F11446" w:rsidRPr="00BD1599"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100</w:t>
            </w:r>
          </w:p>
        </w:tc>
        <w:tc>
          <w:tcPr>
            <w:tcW w:w="2788"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出勤统计不少于授课次数的4/5；通过出勤统计结果考核学生学习态度和遵守课堂纪律等基本情况。</w:t>
            </w:r>
            <w:r w:rsidRPr="00BD1599">
              <w:rPr>
                <w:rFonts w:ascii="仿宋_GB2312" w:hAnsi="仿宋_GB2312" w:cs="仿宋_GB2312"/>
                <w:bCs/>
                <w:sz w:val="24"/>
                <w:szCs w:val="24"/>
              </w:rPr>
              <w:t xml:space="preserve"> </w:t>
            </w:r>
          </w:p>
        </w:tc>
        <w:tc>
          <w:tcPr>
            <w:tcW w:w="722"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1~5</w:t>
            </w:r>
          </w:p>
        </w:tc>
      </w:tr>
      <w:tr w:rsidR="00F11446" w:rsidRPr="00BD1599"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2</w:t>
            </w:r>
          </w:p>
        </w:tc>
        <w:tc>
          <w:tcPr>
            <w:tcW w:w="57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100</w:t>
            </w:r>
          </w:p>
        </w:tc>
        <w:tc>
          <w:tcPr>
            <w:tcW w:w="2788"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课后作业</w:t>
            </w:r>
            <w:r w:rsidRPr="00BD1599">
              <w:rPr>
                <w:rFonts w:ascii="仿宋_GB2312" w:hAnsi="仿宋_GB2312" w:cs="仿宋_GB2312" w:hint="eastAsia"/>
                <w:bCs/>
                <w:sz w:val="24"/>
                <w:szCs w:val="24"/>
              </w:rPr>
              <w:t>布置5次；通过课后作业考核学生对基本知识的掌握情况。</w:t>
            </w:r>
          </w:p>
        </w:tc>
        <w:tc>
          <w:tcPr>
            <w:tcW w:w="722"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目标2、3</w:t>
            </w:r>
          </w:p>
        </w:tc>
      </w:tr>
      <w:tr w:rsidR="00F11446" w:rsidRPr="00BD1599"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100</w:t>
            </w:r>
          </w:p>
        </w:tc>
        <w:tc>
          <w:tcPr>
            <w:tcW w:w="2788"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BD1599">
            <w:pPr>
              <w:spacing w:line="360" w:lineRule="exact"/>
              <w:jc w:val="center"/>
              <w:rPr>
                <w:rFonts w:ascii="仿宋_GB2312" w:hAnsi="仿宋_GB2312" w:cs="仿宋_GB2312"/>
                <w:bCs/>
                <w:sz w:val="24"/>
                <w:szCs w:val="24"/>
              </w:rPr>
            </w:pPr>
            <w:r w:rsidRPr="00BD1599">
              <w:rPr>
                <w:rFonts w:ascii="仿宋_GB2312" w:hAnsi="仿宋_GB2312" w:cs="仿宋_GB2312" w:hint="eastAsia"/>
                <w:bCs/>
                <w:sz w:val="24"/>
                <w:szCs w:val="24"/>
              </w:rPr>
              <w:t>期末考试采用闭卷</w:t>
            </w:r>
            <w:r w:rsidRPr="00BD1599">
              <w:rPr>
                <w:rFonts w:ascii="仿宋_GB2312" w:hAnsi="仿宋_GB2312" w:cs="仿宋_GB2312"/>
                <w:bCs/>
                <w:sz w:val="24"/>
                <w:szCs w:val="24"/>
              </w:rPr>
              <w:t>考试</w:t>
            </w:r>
            <w:r w:rsidRPr="00BD1599">
              <w:rPr>
                <w:rFonts w:ascii="仿宋_GB2312" w:hAnsi="仿宋_GB2312" w:cs="仿宋_GB2312" w:hint="eastAsia"/>
                <w:bCs/>
                <w:sz w:val="24"/>
                <w:szCs w:val="24"/>
              </w:rPr>
              <w:t>。考试范围基本涵盖所有讲授内容，考试内容主要反映学生对本课程主要概念、知识点的理解和掌握的程度，以及综合运用的能力。</w:t>
            </w:r>
          </w:p>
        </w:tc>
        <w:tc>
          <w:tcPr>
            <w:tcW w:w="722" w:type="pct"/>
            <w:tcBorders>
              <w:top w:val="single" w:sz="4" w:space="0" w:color="000000"/>
              <w:left w:val="single" w:sz="4" w:space="0" w:color="auto"/>
              <w:bottom w:val="single" w:sz="4" w:space="0" w:color="000000"/>
              <w:right w:val="single" w:sz="4" w:space="0" w:color="auto"/>
            </w:tcBorders>
            <w:vAlign w:val="center"/>
          </w:tcPr>
          <w:p w:rsidR="00F11446" w:rsidRPr="00BD1599" w:rsidRDefault="00F11446" w:rsidP="00CD00D2">
            <w:pPr>
              <w:spacing w:line="360" w:lineRule="exact"/>
              <w:jc w:val="center"/>
              <w:rPr>
                <w:rFonts w:ascii="仿宋_GB2312" w:hAnsi="仿宋_GB2312" w:cs="仿宋_GB2312"/>
                <w:bCs/>
                <w:sz w:val="24"/>
                <w:szCs w:val="24"/>
              </w:rPr>
            </w:pPr>
            <w:r w:rsidRPr="00BD1599">
              <w:rPr>
                <w:rFonts w:ascii="仿宋_GB2312" w:hAnsi="仿宋_GB2312" w:cs="仿宋_GB2312"/>
                <w:bCs/>
                <w:sz w:val="24"/>
                <w:szCs w:val="24"/>
              </w:rPr>
              <w:t>目标</w:t>
            </w:r>
            <w:r w:rsidRPr="00BD1599">
              <w:rPr>
                <w:rFonts w:ascii="仿宋_GB2312" w:hAnsi="仿宋_GB2312" w:cs="仿宋_GB2312" w:hint="eastAsia"/>
                <w:bCs/>
                <w:sz w:val="24"/>
                <w:szCs w:val="24"/>
              </w:rPr>
              <w:t>1~5</w:t>
            </w:r>
          </w:p>
        </w:tc>
      </w:tr>
    </w:tbl>
    <w:p w:rsidR="00F11446" w:rsidRPr="00BD1599" w:rsidRDefault="00F11446" w:rsidP="00BD1599">
      <w:pPr>
        <w:spacing w:line="360" w:lineRule="exact"/>
        <w:jc w:val="center"/>
        <w:rPr>
          <w:rFonts w:ascii="仿宋_GB2312" w:hAnsi="仿宋_GB2312" w:cs="仿宋_GB2312"/>
          <w:bCs/>
          <w:sz w:val="24"/>
          <w:szCs w:val="24"/>
        </w:rPr>
      </w:pPr>
    </w:p>
    <w:p w:rsidR="00BD1599" w:rsidRDefault="00BD1599" w:rsidP="00BD1599">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BD1599" w:rsidRPr="00BD1599" w:rsidRDefault="00BD1599" w:rsidP="00BD1599">
      <w:pPr>
        <w:spacing w:line="360" w:lineRule="auto"/>
        <w:ind w:firstLine="331"/>
        <w:rPr>
          <w:rFonts w:ascii="仿宋_GB2312" w:hAnsi="仿宋_GB2312" w:cs="仿宋_GB2312"/>
          <w:bCs/>
          <w:sz w:val="28"/>
          <w:szCs w:val="28"/>
        </w:rPr>
      </w:pPr>
      <w:r w:rsidRPr="00BD1599">
        <w:rPr>
          <w:rFonts w:ascii="仿宋_GB2312" w:hAnsi="仿宋_GB2312" w:cs="仿宋_GB2312"/>
          <w:bCs/>
          <w:sz w:val="28"/>
          <w:szCs w:val="28"/>
        </w:rPr>
        <w:t>1. 教  材：《土木工程施工》（第二版），李建峰 主编，中国电力出版社，2016年9月</w:t>
      </w:r>
    </w:p>
    <w:p w:rsidR="00BD1599" w:rsidRPr="00BD1599" w:rsidRDefault="00BD1599" w:rsidP="00BD1599">
      <w:pPr>
        <w:spacing w:line="360" w:lineRule="auto"/>
        <w:ind w:firstLine="331"/>
        <w:rPr>
          <w:rFonts w:ascii="仿宋_GB2312" w:hAnsi="仿宋_GB2312" w:cs="仿宋_GB2312"/>
          <w:bCs/>
          <w:sz w:val="28"/>
          <w:szCs w:val="28"/>
        </w:rPr>
      </w:pPr>
      <w:r w:rsidRPr="00BD1599">
        <w:rPr>
          <w:rFonts w:ascii="仿宋_GB2312" w:hAnsi="仿宋_GB2312" w:cs="仿宋_GB2312"/>
          <w:bCs/>
          <w:sz w:val="28"/>
          <w:szCs w:val="28"/>
        </w:rPr>
        <w:t>2. 参考书：《土木工程施工》，穆静波 编著，机械工业出版社，2018年2月</w:t>
      </w:r>
    </w:p>
    <w:p w:rsidR="00BD1599" w:rsidRPr="00BD1599" w:rsidRDefault="00BD1599" w:rsidP="00BD1599">
      <w:pPr>
        <w:spacing w:line="360" w:lineRule="auto"/>
        <w:ind w:firstLine="331"/>
        <w:rPr>
          <w:rFonts w:ascii="仿宋_GB2312" w:hAnsi="仿宋_GB2312" w:cs="仿宋_GB2312"/>
          <w:bCs/>
          <w:sz w:val="28"/>
          <w:szCs w:val="28"/>
        </w:rPr>
      </w:pPr>
      <w:r w:rsidRPr="00BD1599">
        <w:rPr>
          <w:rFonts w:ascii="仿宋_GB2312" w:hAnsi="仿宋_GB2312" w:cs="仿宋_GB2312"/>
          <w:bCs/>
          <w:sz w:val="28"/>
          <w:szCs w:val="28"/>
        </w:rPr>
        <w:lastRenderedPageBreak/>
        <w:t>《土木工程施工》（第5版），毛鹤琴 主编，武汉理工大学出版社，2018年8月</w:t>
      </w:r>
    </w:p>
    <w:p w:rsidR="00BD1599" w:rsidRDefault="00BD1599" w:rsidP="00F11446">
      <w:pPr>
        <w:spacing w:line="360" w:lineRule="exact"/>
        <w:rPr>
          <w:rFonts w:ascii="Times New Roman" w:hAnsi="Times New Roman"/>
          <w:szCs w:val="21"/>
        </w:rPr>
      </w:pPr>
    </w:p>
    <w:p w:rsidR="00BD1599" w:rsidRDefault="00BD1599" w:rsidP="00BD1599">
      <w:pPr>
        <w:spacing w:line="360" w:lineRule="auto"/>
        <w:ind w:firstLineChars="1300" w:firstLine="3640"/>
        <w:rPr>
          <w:rFonts w:ascii="仿宋" w:eastAsia="仿宋" w:hAnsi="仿宋" w:hint="eastAsia"/>
          <w:sz w:val="28"/>
          <w:szCs w:val="28"/>
        </w:rPr>
      </w:pPr>
      <w:r>
        <w:rPr>
          <w:rFonts w:ascii="仿宋" w:eastAsia="仿宋" w:hAnsi="仿宋" w:hint="eastAsia"/>
          <w:sz w:val="28"/>
          <w:szCs w:val="28"/>
        </w:rPr>
        <w:t>大纲撰写人：路鹏飞</w:t>
      </w:r>
    </w:p>
    <w:p w:rsidR="00BD1599" w:rsidRDefault="00BD1599" w:rsidP="00BD1599">
      <w:pPr>
        <w:spacing w:line="360" w:lineRule="auto"/>
        <w:ind w:firstLineChars="1300" w:firstLine="3640"/>
        <w:rPr>
          <w:rFonts w:ascii="仿宋" w:eastAsia="仿宋" w:hAnsi="仿宋" w:hint="eastAsia"/>
          <w:sz w:val="28"/>
          <w:szCs w:val="28"/>
        </w:rPr>
      </w:pPr>
      <w:r>
        <w:rPr>
          <w:rFonts w:ascii="仿宋" w:eastAsia="仿宋" w:hAnsi="仿宋" w:hint="eastAsia"/>
          <w:sz w:val="28"/>
          <w:szCs w:val="28"/>
        </w:rPr>
        <w:t>课程负责人：</w:t>
      </w:r>
    </w:p>
    <w:p w:rsidR="00BD1599" w:rsidRDefault="00BD1599" w:rsidP="00BD1599">
      <w:pPr>
        <w:spacing w:line="360" w:lineRule="auto"/>
        <w:ind w:firstLineChars="1300" w:firstLine="3640"/>
        <w:rPr>
          <w:rFonts w:ascii="仿宋" w:eastAsia="仿宋" w:hAnsi="仿宋" w:hint="eastAsia"/>
          <w:sz w:val="28"/>
          <w:szCs w:val="28"/>
        </w:rPr>
      </w:pPr>
      <w:r>
        <w:rPr>
          <w:rFonts w:ascii="仿宋" w:eastAsia="仿宋" w:hAnsi="仿宋" w:hint="eastAsia"/>
          <w:sz w:val="28"/>
          <w:szCs w:val="28"/>
        </w:rPr>
        <w:t>审核人：</w:t>
      </w:r>
    </w:p>
    <w:p w:rsidR="00BD1599" w:rsidRDefault="00BD1599" w:rsidP="00BD1599">
      <w:pPr>
        <w:jc w:val="center"/>
        <w:rPr>
          <w:rFonts w:ascii="仿宋_GB2312" w:hint="eastAsia"/>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BD1599" w:rsidRDefault="00BD1599" w:rsidP="00BD1599">
      <w:pPr>
        <w:ind w:firstLineChars="2000" w:firstLine="5600"/>
        <w:jc w:val="left"/>
        <w:rPr>
          <w:rFonts w:ascii="仿宋" w:hAnsi="仿宋"/>
          <w:sz w:val="28"/>
          <w:szCs w:val="28"/>
        </w:rPr>
      </w:pPr>
      <w:r>
        <w:rPr>
          <w:rFonts w:ascii="仿宋_GB2312" w:hAnsi="微软雅黑" w:hint="eastAsia"/>
          <w:sz w:val="28"/>
          <w:szCs w:val="28"/>
        </w:rPr>
        <w:t xml:space="preserve">    </w:t>
      </w:r>
    </w:p>
    <w:p w:rsidR="00BD1599" w:rsidRDefault="00BD1599" w:rsidP="00BD1599">
      <w:pPr>
        <w:jc w:val="left"/>
        <w:rPr>
          <w:rFonts w:ascii="仿宋_GB2312" w:hAnsi="黑体"/>
          <w:sz w:val="28"/>
          <w:szCs w:val="28"/>
        </w:rPr>
      </w:pPr>
      <w:r>
        <w:rPr>
          <w:rFonts w:ascii="仿宋" w:eastAsia="仿宋" w:hAnsi="仿宋" w:hint="eastAsia"/>
          <w:sz w:val="28"/>
          <w:szCs w:val="28"/>
        </w:rPr>
        <w:t xml:space="preserve">                                         年    月</w:t>
      </w:r>
    </w:p>
    <w:p w:rsidR="00BD1599" w:rsidRPr="00BD1599" w:rsidRDefault="00BD1599" w:rsidP="00F11446">
      <w:pPr>
        <w:spacing w:line="360" w:lineRule="exact"/>
        <w:rPr>
          <w:rFonts w:ascii="Times New Roman" w:hAnsi="Times New Roman" w:hint="eastAsia"/>
          <w:szCs w:val="21"/>
        </w:rPr>
      </w:pPr>
    </w:p>
    <w:p w:rsidR="00F11446" w:rsidRDefault="00F11446"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rPr>
      </w:pPr>
    </w:p>
    <w:p w:rsidR="00BD1599" w:rsidRDefault="00BD1599" w:rsidP="00F11446">
      <w:pPr>
        <w:spacing w:line="360" w:lineRule="exact"/>
        <w:ind w:firstLineChars="196" w:firstLine="627"/>
        <w:rPr>
          <w:rFonts w:ascii="Times New Roman" w:hAnsi="Times New Roman" w:hint="eastAsia"/>
          <w:szCs w:val="21"/>
        </w:rPr>
      </w:pPr>
    </w:p>
    <w:p w:rsidR="00F11446" w:rsidRDefault="00F11446" w:rsidP="00F11446">
      <w:pPr>
        <w:widowControl/>
        <w:spacing w:line="400" w:lineRule="exact"/>
        <w:rPr>
          <w:rFonts w:ascii="黑体" w:eastAsia="黑体" w:hAnsi="黑体" w:cs="宋体"/>
          <w:bCs/>
          <w:kern w:val="0"/>
          <w:szCs w:val="32"/>
        </w:rPr>
      </w:pPr>
    </w:p>
    <w:p w:rsidR="00F11446" w:rsidRDefault="00F11446" w:rsidP="00CA5AE3">
      <w:pPr>
        <w:jc w:val="left"/>
        <w:rPr>
          <w:rFonts w:ascii="仿宋" w:eastAsia="仿宋" w:hAnsi="仿宋"/>
          <w:sz w:val="28"/>
          <w:szCs w:val="28"/>
        </w:rPr>
      </w:pPr>
    </w:p>
    <w:p w:rsidR="00F11446" w:rsidRDefault="00F11446" w:rsidP="00CA5AE3">
      <w:pPr>
        <w:jc w:val="left"/>
        <w:rPr>
          <w:rFonts w:ascii="仿宋" w:eastAsia="仿宋" w:hAnsi="仿宋"/>
          <w:szCs w:val="32"/>
        </w:rPr>
      </w:pPr>
    </w:p>
    <w:p w:rsidR="00BE5664" w:rsidRDefault="00BE5664" w:rsidP="00876C31">
      <w:pPr>
        <w:jc w:val="center"/>
        <w:rPr>
          <w:rFonts w:ascii="Times New Roman" w:eastAsia="仿宋" w:hAnsi="Times New Roman"/>
          <w:sz w:val="28"/>
          <w:szCs w:val="28"/>
        </w:rPr>
      </w:pPr>
    </w:p>
    <w:p w:rsidR="00BD1599" w:rsidRDefault="00BD1599" w:rsidP="00BD1599">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BD1599">
        <w:rPr>
          <w:rFonts w:ascii="方正小标宋简体" w:eastAsia="方正小标宋简体" w:hAnsi="宋体" w:hint="eastAsia"/>
          <w:kern w:val="0"/>
          <w:szCs w:val="32"/>
        </w:rPr>
        <w:t>建设法规</w:t>
      </w:r>
      <w:r>
        <w:rPr>
          <w:rFonts w:ascii="方正小标宋简体" w:eastAsia="方正小标宋简体" w:hAnsi="宋体" w:hint="eastAsia"/>
          <w:kern w:val="0"/>
          <w:szCs w:val="32"/>
        </w:rPr>
        <w:t>》课程教学大纲</w:t>
      </w:r>
    </w:p>
    <w:p w:rsidR="00BD1599" w:rsidRDefault="00BD1599" w:rsidP="00BD1599">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一、课程信息</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英文名称：</w:t>
      </w:r>
      <w:r w:rsidRPr="00BD1599">
        <w:rPr>
          <w:rFonts w:ascii="仿宋_GB2312" w:hAnsi="仿宋_GB2312" w:cs="仿宋_GB2312"/>
          <w:bCs/>
          <w:sz w:val="28"/>
          <w:szCs w:val="28"/>
        </w:rPr>
        <w:t>Construction Laws</w:t>
      </w:r>
    </w:p>
    <w:p w:rsidR="00BD1599" w:rsidRDefault="00BD1599" w:rsidP="00BD1599">
      <w:pPr>
        <w:spacing w:line="360" w:lineRule="auto"/>
        <w:ind w:firstLine="331"/>
        <w:jc w:val="left"/>
        <w:rPr>
          <w:rFonts w:ascii="仿宋_GB2312" w:hAnsi="仿宋_GB2312" w:cs="仿宋_GB2312" w:hint="eastAsia"/>
          <w:bCs/>
          <w:sz w:val="28"/>
          <w:szCs w:val="28"/>
        </w:rPr>
      </w:pPr>
      <w:r>
        <w:rPr>
          <w:rFonts w:ascii="仿宋_GB2312" w:hAnsi="仿宋_GB2312" w:cs="仿宋_GB2312" w:hint="eastAsia"/>
          <w:bCs/>
          <w:sz w:val="28"/>
          <w:szCs w:val="28"/>
        </w:rPr>
        <w:t>课程编码：</w:t>
      </w:r>
      <w:r w:rsidRPr="00BD1599">
        <w:rPr>
          <w:rFonts w:ascii="仿宋_GB2312" w:hAnsi="仿宋_GB2312" w:cs="仿宋_GB2312"/>
          <w:bCs/>
          <w:sz w:val="28"/>
          <w:szCs w:val="28"/>
        </w:rPr>
        <w:t>Z2805300</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授课语言：中文</w:t>
      </w:r>
    </w:p>
    <w:p w:rsidR="00BD1599" w:rsidRDefault="00BD1599" w:rsidP="00BD1599">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授课方式：线下</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课程类别：专业发展课程</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课程性质：必修</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学    分：</w:t>
      </w:r>
      <w:r w:rsidR="0097566F">
        <w:rPr>
          <w:rFonts w:ascii="仿宋_GB2312" w:hAnsi="仿宋_GB2312" w:cs="仿宋_GB2312"/>
          <w:bCs/>
          <w:sz w:val="28"/>
          <w:szCs w:val="28"/>
        </w:rPr>
        <w:t>2</w:t>
      </w:r>
    </w:p>
    <w:p w:rsidR="00BD1599" w:rsidRDefault="00BD1599" w:rsidP="00BD1599">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学    时：</w:t>
      </w:r>
      <w:r w:rsidR="0097566F">
        <w:rPr>
          <w:rFonts w:ascii="仿宋_GB2312" w:hAnsi="仿宋_GB2312" w:cs="仿宋_GB2312"/>
          <w:bCs/>
          <w:sz w:val="28"/>
          <w:szCs w:val="28"/>
        </w:rPr>
        <w:t>32</w:t>
      </w:r>
      <w:r>
        <w:rPr>
          <w:rFonts w:ascii="仿宋_GB2312" w:hAnsi="仿宋_GB2312" w:cs="仿宋_GB2312" w:hint="eastAsia"/>
          <w:bCs/>
          <w:sz w:val="28"/>
          <w:szCs w:val="28"/>
        </w:rPr>
        <w:t>学时</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适用对象：</w:t>
      </w:r>
      <w:r w:rsidR="0097566F" w:rsidRPr="0097566F">
        <w:rPr>
          <w:rFonts w:ascii="仿宋_GB2312" w:hAnsi="仿宋_GB2312" w:cs="仿宋_GB2312" w:hint="eastAsia"/>
          <w:bCs/>
          <w:sz w:val="28"/>
          <w:szCs w:val="28"/>
        </w:rPr>
        <w:t>工程造价专业</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先修课程：XX</w:t>
      </w:r>
    </w:p>
    <w:p w:rsidR="00BD1599" w:rsidRDefault="00BD1599" w:rsidP="00BD1599">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开课院系：</w:t>
      </w:r>
      <w:r w:rsidR="0097566F" w:rsidRPr="0097566F">
        <w:rPr>
          <w:rFonts w:ascii="仿宋_GB2312" w:hAnsi="仿宋_GB2312" w:cs="仿宋_GB2312" w:hint="eastAsia"/>
          <w:bCs/>
          <w:sz w:val="28"/>
          <w:szCs w:val="28"/>
        </w:rPr>
        <w:t>建工学院造价与施工教研室</w:t>
      </w:r>
    </w:p>
    <w:p w:rsidR="00CA5AE3" w:rsidRDefault="00BD1599" w:rsidP="00BD1599">
      <w:pPr>
        <w:spacing w:beforeLines="50" w:before="156" w:afterLines="50" w:after="156" w:line="560" w:lineRule="exact"/>
      </w:pPr>
      <w:r>
        <w:rPr>
          <w:rFonts w:ascii="黑体" w:eastAsia="黑体" w:hAnsi="黑体" w:hint="eastAsia"/>
          <w:b/>
          <w:sz w:val="28"/>
          <w:szCs w:val="28"/>
        </w:rPr>
        <w:t>二、课程简介</w:t>
      </w:r>
    </w:p>
    <w:p w:rsidR="00CA5AE3" w:rsidRPr="0097566F" w:rsidRDefault="00CA5AE3" w:rsidP="0097566F">
      <w:pPr>
        <w:spacing w:line="360" w:lineRule="auto"/>
        <w:ind w:firstLine="331"/>
        <w:rPr>
          <w:rFonts w:ascii="仿宋_GB2312" w:hAnsi="仿宋_GB2312" w:cs="仿宋_GB2312"/>
          <w:bCs/>
          <w:sz w:val="28"/>
          <w:szCs w:val="28"/>
        </w:rPr>
      </w:pPr>
      <w:r w:rsidRPr="0097566F">
        <w:rPr>
          <w:rFonts w:ascii="仿宋_GB2312" w:hAnsi="仿宋_GB2312" w:cs="仿宋_GB2312" w:hint="eastAsia"/>
          <w:bCs/>
          <w:sz w:val="28"/>
          <w:szCs w:val="28"/>
        </w:rPr>
        <w:t>课程教学目标</w:t>
      </w:r>
    </w:p>
    <w:p w:rsidR="00CA5AE3" w:rsidRPr="0097566F" w:rsidRDefault="00CA5AE3" w:rsidP="0097566F">
      <w:pPr>
        <w:spacing w:line="360" w:lineRule="auto"/>
        <w:ind w:firstLine="331"/>
        <w:rPr>
          <w:rFonts w:ascii="仿宋_GB2312" w:hAnsi="仿宋_GB2312" w:cs="仿宋_GB2312"/>
          <w:bCs/>
          <w:sz w:val="28"/>
          <w:szCs w:val="28"/>
        </w:rPr>
      </w:pPr>
      <w:r w:rsidRPr="0097566F">
        <w:rPr>
          <w:rFonts w:ascii="仿宋_GB2312" w:hAnsi="仿宋_GB2312" w:cs="仿宋_GB2312"/>
          <w:bCs/>
          <w:sz w:val="28"/>
          <w:szCs w:val="28"/>
        </w:rPr>
        <w:t>本课程是为</w:t>
      </w:r>
      <w:r w:rsidRPr="0097566F">
        <w:rPr>
          <w:rFonts w:ascii="仿宋_GB2312" w:hAnsi="仿宋_GB2312" w:cs="仿宋_GB2312" w:hint="eastAsia"/>
          <w:bCs/>
          <w:sz w:val="28"/>
          <w:szCs w:val="28"/>
        </w:rPr>
        <w:t>工程造价</w:t>
      </w:r>
      <w:r w:rsidRPr="0097566F">
        <w:rPr>
          <w:rFonts w:ascii="仿宋_GB2312" w:hAnsi="仿宋_GB2312" w:cs="仿宋_GB2312"/>
          <w:bCs/>
          <w:sz w:val="28"/>
          <w:szCs w:val="28"/>
        </w:rPr>
        <w:t>专业开设的专业必修课程，在本课程的学习中，着重培养学生掌握建筑法、工程招标投标法规、工程合同管理法规、工程监理法规、安全生产管理法规、工程质量管理法规、建设法律知识及相关标准、规范等内容。主要目的是培养学生具有工程法律意识，较熟练运用法律知识解决工程建设中的实际问题。</w:t>
      </w:r>
    </w:p>
    <w:p w:rsidR="00CA5AE3" w:rsidRPr="0097566F" w:rsidRDefault="00CA5AE3" w:rsidP="00CA5AE3">
      <w:pPr>
        <w:widowControl/>
        <w:shd w:val="clear" w:color="auto" w:fill="FFFFFF"/>
        <w:spacing w:afterLines="50" w:after="156" w:line="460" w:lineRule="exact"/>
        <w:ind w:firstLineChars="200" w:firstLine="560"/>
        <w:outlineLvl w:val="0"/>
        <w:rPr>
          <w:rFonts w:ascii="仿宋_GB2312" w:hAnsi="仿宋_GB2312" w:cs="仿宋_GB2312"/>
          <w:bCs/>
          <w:sz w:val="28"/>
          <w:szCs w:val="28"/>
        </w:rPr>
      </w:pPr>
      <w:r w:rsidRPr="0097566F">
        <w:rPr>
          <w:rFonts w:ascii="仿宋_GB2312" w:hAnsi="仿宋_GB2312" w:cs="仿宋_GB2312" w:hint="eastAsia"/>
          <w:bCs/>
          <w:sz w:val="28"/>
          <w:szCs w:val="28"/>
        </w:rPr>
        <w:t>本课程教学目标及对毕业要求指标点的支撑关系见下表：</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3285"/>
        <w:gridCol w:w="1179"/>
        <w:gridCol w:w="2893"/>
      </w:tblGrid>
      <w:tr w:rsidR="00CA5AE3" w:rsidTr="0097566F">
        <w:tc>
          <w:tcPr>
            <w:tcW w:w="939" w:type="dxa"/>
            <w:vMerge w:val="restart"/>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sz w:val="24"/>
                <w:szCs w:val="24"/>
              </w:rPr>
            </w:pPr>
            <w:r w:rsidRPr="0097566F">
              <w:rPr>
                <w:rFonts w:ascii="仿宋_GB2312" w:hAnsi="仿宋_GB2312" w:cs="仿宋_GB2312" w:hint="eastAsia"/>
                <w:b/>
                <w:bCs/>
                <w:sz w:val="24"/>
                <w:szCs w:val="24"/>
              </w:rPr>
              <w:lastRenderedPageBreak/>
              <w:t>序号</w:t>
            </w:r>
          </w:p>
        </w:tc>
        <w:tc>
          <w:tcPr>
            <w:tcW w:w="3285" w:type="dxa"/>
            <w:vMerge w:val="restart"/>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sz w:val="24"/>
                <w:szCs w:val="24"/>
              </w:rPr>
            </w:pPr>
            <w:r w:rsidRPr="0097566F">
              <w:rPr>
                <w:rFonts w:ascii="仿宋_GB2312" w:hAnsi="仿宋_GB2312" w:cs="仿宋_GB2312" w:hint="eastAsia"/>
                <w:b/>
                <w:bCs/>
                <w:sz w:val="24"/>
                <w:szCs w:val="24"/>
              </w:rPr>
              <w:t>课程教学目标</w:t>
            </w:r>
          </w:p>
        </w:tc>
        <w:tc>
          <w:tcPr>
            <w:tcW w:w="4072" w:type="dxa"/>
            <w:gridSpan w:val="2"/>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sz w:val="24"/>
                <w:szCs w:val="24"/>
              </w:rPr>
            </w:pPr>
            <w:r w:rsidRPr="0097566F">
              <w:rPr>
                <w:rFonts w:ascii="仿宋_GB2312" w:hAnsi="仿宋_GB2312" w:cs="仿宋_GB2312" w:hint="eastAsia"/>
                <w:b/>
                <w:bCs/>
                <w:sz w:val="24"/>
                <w:szCs w:val="24"/>
              </w:rPr>
              <w:t>支撑毕业要求指标点</w:t>
            </w:r>
          </w:p>
        </w:tc>
      </w:tr>
      <w:tr w:rsidR="00CA5AE3" w:rsidTr="0097566F">
        <w:tc>
          <w:tcPr>
            <w:tcW w:w="939" w:type="dxa"/>
            <w:vMerge/>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sz w:val="24"/>
                <w:szCs w:val="24"/>
              </w:rPr>
            </w:pPr>
          </w:p>
        </w:tc>
        <w:tc>
          <w:tcPr>
            <w:tcW w:w="3285" w:type="dxa"/>
            <w:vMerge/>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sz w:val="24"/>
                <w:szCs w:val="24"/>
              </w:rPr>
            </w:pPr>
          </w:p>
        </w:tc>
        <w:tc>
          <w:tcPr>
            <w:tcW w:w="1179" w:type="dxa"/>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sz w:val="24"/>
                <w:szCs w:val="24"/>
              </w:rPr>
            </w:pPr>
            <w:r w:rsidRPr="0097566F">
              <w:rPr>
                <w:rFonts w:ascii="仿宋_GB2312" w:hAnsi="仿宋_GB2312" w:cs="仿宋_GB2312" w:hint="eastAsia"/>
                <w:b/>
                <w:bCs/>
                <w:sz w:val="24"/>
                <w:szCs w:val="24"/>
              </w:rPr>
              <w:t>指标点</w:t>
            </w:r>
          </w:p>
        </w:tc>
        <w:tc>
          <w:tcPr>
            <w:tcW w:w="2893" w:type="dxa"/>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sz w:val="24"/>
                <w:szCs w:val="24"/>
              </w:rPr>
            </w:pPr>
            <w:r w:rsidRPr="0097566F">
              <w:rPr>
                <w:rFonts w:ascii="仿宋_GB2312" w:hAnsi="仿宋_GB2312" w:cs="仿宋_GB2312" w:hint="eastAsia"/>
                <w:b/>
                <w:bCs/>
                <w:sz w:val="24"/>
                <w:szCs w:val="24"/>
              </w:rPr>
              <w:t>指标点内容</w:t>
            </w:r>
          </w:p>
        </w:tc>
      </w:tr>
      <w:tr w:rsidR="00CA5AE3" w:rsidTr="0097566F">
        <w:trPr>
          <w:trHeight w:val="2803"/>
        </w:trPr>
        <w:tc>
          <w:tcPr>
            <w:tcW w:w="939" w:type="dxa"/>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1</w:t>
            </w:r>
          </w:p>
        </w:tc>
        <w:tc>
          <w:tcPr>
            <w:tcW w:w="3285"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目标1：专业知识目标</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要求学生系统地了解建筑法规的基本制度； 通过学习使学生能了解、熟悉并掌握工程合同管理法规、工程监理法规、安全生产管理法规、工程质量管理法规。</w:t>
            </w:r>
          </w:p>
        </w:tc>
        <w:tc>
          <w:tcPr>
            <w:tcW w:w="1179" w:type="dxa"/>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3.1</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3.3</w:t>
            </w:r>
          </w:p>
        </w:tc>
        <w:tc>
          <w:tcPr>
            <w:tcW w:w="2893" w:type="dxa"/>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3.1能够将数学、自然科学、工程基础和专业知识用于解决复杂工程问题。</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3.3能够设计针对复杂过程问题的解决方案，设计满足特定需求的过程投资方案，并能够在设计环节中体现价值管理的创新意识，考虑社会、健康、安全、法律、文化以及环境等因素。</w:t>
            </w:r>
          </w:p>
        </w:tc>
      </w:tr>
      <w:tr w:rsidR="00CA5AE3" w:rsidTr="0097566F">
        <w:tc>
          <w:tcPr>
            <w:tcW w:w="939" w:type="dxa"/>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2</w:t>
            </w:r>
          </w:p>
        </w:tc>
        <w:tc>
          <w:tcPr>
            <w:tcW w:w="3285"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目标2：专业技能目标</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 xml:space="preserve"> 要求学生系统地了解有关建设法规的基本理论和目前我国的工程建设的基本制度，并能结合工程实践运用这些理论和知识； 熟悉房地、产规划法律法规知识； 掌握工程建设安全管理、质量管理的要求。</w:t>
            </w:r>
          </w:p>
        </w:tc>
        <w:tc>
          <w:tcPr>
            <w:tcW w:w="1179" w:type="dxa"/>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3.6</w:t>
            </w:r>
          </w:p>
        </w:tc>
        <w:tc>
          <w:tcPr>
            <w:tcW w:w="289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能够基于工程相关背景知识进行合理分析，评价专业工程实践和复杂工程问题解决方案对社会、健康、安全、法律以及文化的影响，并理解营长单的责任</w:t>
            </w:r>
          </w:p>
        </w:tc>
      </w:tr>
      <w:tr w:rsidR="00CA5AE3" w:rsidTr="0097566F">
        <w:tc>
          <w:tcPr>
            <w:tcW w:w="939" w:type="dxa"/>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3</w:t>
            </w:r>
          </w:p>
        </w:tc>
        <w:tc>
          <w:tcPr>
            <w:tcW w:w="3285"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目标3：专业素质目标</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要求学生系统地掌握工程建设法规的基本内容，并能在工程实践中运用这些理论</w:t>
            </w:r>
            <w:r w:rsidRPr="0097566F">
              <w:rPr>
                <w:rFonts w:ascii="仿宋_GB2312" w:hAnsi="仿宋_GB2312" w:cs="仿宋_GB2312" w:hint="eastAsia"/>
                <w:bCs/>
                <w:sz w:val="24"/>
                <w:szCs w:val="24"/>
              </w:rPr>
              <w:lastRenderedPageBreak/>
              <w:t>和知识；掌握工程建设法规、合同的工作原理和工作方法，并能熟练运用在岗位中。</w:t>
            </w:r>
          </w:p>
        </w:tc>
        <w:tc>
          <w:tcPr>
            <w:tcW w:w="1179" w:type="dxa"/>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lastRenderedPageBreak/>
              <w:t>3.7</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3.11</w:t>
            </w:r>
          </w:p>
        </w:tc>
        <w:tc>
          <w:tcPr>
            <w:tcW w:w="289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3.7能够理解和评价针对复杂工程问题的专业工程实践对环境、社会可持续发展的影响。</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lastRenderedPageBreak/>
              <w:t>3.11理解并掌握工程管理原理与经济决策方法，并能在多类工程项目中应用</w:t>
            </w:r>
          </w:p>
        </w:tc>
      </w:tr>
    </w:tbl>
    <w:p w:rsidR="0097566F" w:rsidRDefault="0097566F" w:rsidP="0097566F">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lastRenderedPageBreak/>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
        <w:gridCol w:w="2295"/>
        <w:gridCol w:w="2245"/>
        <w:gridCol w:w="939"/>
        <w:gridCol w:w="939"/>
        <w:gridCol w:w="939"/>
      </w:tblGrid>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sz w:val="24"/>
                <w:szCs w:val="24"/>
              </w:rPr>
            </w:pPr>
            <w:r w:rsidRPr="0097566F">
              <w:rPr>
                <w:rFonts w:ascii="仿宋_GB2312" w:hAnsi="仿宋_GB2312" w:cs="仿宋_GB2312"/>
                <w:b/>
                <w:bCs/>
                <w:sz w:val="24"/>
                <w:szCs w:val="24"/>
              </w:rPr>
              <w:t>序号</w:t>
            </w:r>
          </w:p>
        </w:tc>
        <w:tc>
          <w:tcPr>
            <w:tcW w:w="1598" w:type="pct"/>
            <w:tcBorders>
              <w:top w:val="single" w:sz="4" w:space="0" w:color="000000"/>
              <w:left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sz w:val="24"/>
                <w:szCs w:val="24"/>
              </w:rPr>
            </w:pPr>
            <w:r w:rsidRPr="0097566F">
              <w:rPr>
                <w:rFonts w:ascii="仿宋_GB2312" w:hAnsi="仿宋_GB2312" w:cs="仿宋_GB2312"/>
                <w:b/>
                <w:bCs/>
                <w:sz w:val="24"/>
                <w:szCs w:val="24"/>
              </w:rPr>
              <w:t>教学内容及重点、难点</w:t>
            </w:r>
          </w:p>
        </w:tc>
        <w:tc>
          <w:tcPr>
            <w:tcW w:w="1567" w:type="pct"/>
            <w:tcBorders>
              <w:top w:val="single" w:sz="4" w:space="0" w:color="000000"/>
              <w:left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sz w:val="24"/>
                <w:szCs w:val="24"/>
              </w:rPr>
            </w:pPr>
            <w:r w:rsidRPr="0097566F">
              <w:rPr>
                <w:rFonts w:ascii="仿宋_GB2312" w:hAnsi="仿宋_GB2312" w:cs="仿宋_GB2312"/>
                <w:b/>
                <w:bCs/>
                <w:sz w:val="24"/>
                <w:szCs w:val="24"/>
              </w:rPr>
              <w:t>学生学习预期</w:t>
            </w:r>
          </w:p>
        </w:tc>
        <w:tc>
          <w:tcPr>
            <w:tcW w:w="574" w:type="pct"/>
            <w:tcBorders>
              <w:top w:val="single" w:sz="4" w:space="0" w:color="000000"/>
              <w:left w:val="single" w:sz="4" w:space="0" w:color="auto"/>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sz w:val="24"/>
                <w:szCs w:val="24"/>
              </w:rPr>
            </w:pPr>
            <w:r w:rsidRPr="0097566F">
              <w:rPr>
                <w:rFonts w:ascii="仿宋_GB2312" w:hAnsi="仿宋_GB2312" w:cs="仿宋_GB2312"/>
                <w:b/>
                <w:bCs/>
                <w:sz w:val="24"/>
                <w:szCs w:val="24"/>
              </w:rPr>
              <w:t>教学</w:t>
            </w:r>
          </w:p>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sz w:val="24"/>
                <w:szCs w:val="24"/>
              </w:rPr>
            </w:pPr>
            <w:r w:rsidRPr="0097566F">
              <w:rPr>
                <w:rFonts w:ascii="仿宋_GB2312" w:hAnsi="仿宋_GB2312" w:cs="仿宋_GB2312"/>
                <w:b/>
                <w:bCs/>
                <w:sz w:val="24"/>
                <w:szCs w:val="24"/>
              </w:rPr>
              <w:t>方式</w:t>
            </w:r>
          </w:p>
        </w:tc>
        <w:tc>
          <w:tcPr>
            <w:tcW w:w="359" w:type="pct"/>
            <w:tcBorders>
              <w:top w:val="single" w:sz="4" w:space="0" w:color="000000"/>
              <w:left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sz w:val="24"/>
                <w:szCs w:val="24"/>
              </w:rPr>
            </w:pPr>
            <w:r w:rsidRPr="0097566F">
              <w:rPr>
                <w:rFonts w:ascii="仿宋_GB2312" w:hAnsi="仿宋_GB2312" w:cs="仿宋_GB2312"/>
                <w:b/>
                <w:bCs/>
                <w:kern w:val="0"/>
                <w:sz w:val="24"/>
                <w:szCs w:val="24"/>
              </w:rPr>
              <w:t>学时</w:t>
            </w:r>
          </w:p>
        </w:tc>
        <w:tc>
          <w:tcPr>
            <w:tcW w:w="557" w:type="pct"/>
            <w:tcBorders>
              <w:top w:val="single" w:sz="4" w:space="0" w:color="000000"/>
              <w:left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sz w:val="24"/>
                <w:szCs w:val="24"/>
              </w:rPr>
            </w:pPr>
            <w:r w:rsidRPr="0097566F">
              <w:rPr>
                <w:rFonts w:ascii="仿宋_GB2312" w:hAnsi="仿宋_GB2312" w:cs="仿宋_GB2312"/>
                <w:b/>
                <w:bCs/>
                <w:sz w:val="24"/>
                <w:szCs w:val="24"/>
              </w:rPr>
              <w:t>支撑课程教学目标</w:t>
            </w:r>
          </w:p>
        </w:tc>
      </w:tr>
      <w:tr w:rsidR="00CA5AE3" w:rsidTr="00E07285">
        <w:trPr>
          <w:trHeight w:val="755"/>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1</w:t>
            </w:r>
          </w:p>
        </w:tc>
        <w:tc>
          <w:tcPr>
            <w:tcW w:w="1598"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内容：</w:t>
            </w:r>
            <w:r w:rsidRPr="0097566F">
              <w:rPr>
                <w:rFonts w:ascii="仿宋_GB2312" w:hAnsi="仿宋_GB2312" w:cs="仿宋_GB2312" w:hint="eastAsia"/>
                <w:bCs/>
                <w:sz w:val="24"/>
                <w:szCs w:val="24"/>
              </w:rPr>
              <w:t>第一章  建设法规概述</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重点：</w:t>
            </w:r>
            <w:r w:rsidRPr="0097566F">
              <w:rPr>
                <w:rFonts w:ascii="仿宋_GB2312" w:hAnsi="仿宋_GB2312" w:cs="仿宋_GB2312" w:hint="eastAsia"/>
                <w:bCs/>
                <w:sz w:val="24"/>
                <w:szCs w:val="24"/>
              </w:rPr>
              <w:t>建设法律体系三要素；建设法规构成。</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难点：无</w:t>
            </w:r>
          </w:p>
        </w:tc>
        <w:tc>
          <w:tcPr>
            <w:tcW w:w="156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了解建设法规的概念、特征、原则；建设法律体系三要素；建设法规构成。</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课堂</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sz w:val="24"/>
                <w:szCs w:val="24"/>
              </w:rPr>
              <w:t>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2</w:t>
            </w:r>
          </w:p>
        </w:tc>
        <w:tc>
          <w:tcPr>
            <w:tcW w:w="557"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目标1</w:t>
            </w:r>
            <w:r w:rsidRPr="0097566F">
              <w:rPr>
                <w:rFonts w:ascii="仿宋_GB2312" w:hAnsi="仿宋_GB2312" w:cs="仿宋_GB2312" w:hint="eastAsia"/>
                <w:bCs/>
                <w:kern w:val="0"/>
                <w:sz w:val="24"/>
                <w:szCs w:val="24"/>
              </w:rPr>
              <w:t>、2、3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2</w:t>
            </w:r>
          </w:p>
        </w:tc>
        <w:tc>
          <w:tcPr>
            <w:tcW w:w="1598"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内容：</w:t>
            </w:r>
            <w:r w:rsidRPr="0097566F">
              <w:rPr>
                <w:rFonts w:ascii="仿宋_GB2312" w:hAnsi="仿宋_GB2312" w:cs="仿宋_GB2312" w:hint="eastAsia"/>
                <w:bCs/>
                <w:sz w:val="24"/>
                <w:szCs w:val="24"/>
              </w:rPr>
              <w:t>第二章  工程建设程序法规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 xml:space="preserve">   </w:t>
            </w:r>
            <w:r w:rsidRPr="0097566F">
              <w:rPr>
                <w:rFonts w:ascii="仿宋_GB2312" w:hAnsi="仿宋_GB2312" w:cs="仿宋_GB2312"/>
                <w:bCs/>
                <w:sz w:val="24"/>
                <w:szCs w:val="24"/>
              </w:rPr>
              <w:t>重点：</w:t>
            </w:r>
            <w:r w:rsidRPr="0097566F">
              <w:rPr>
                <w:rFonts w:ascii="仿宋_GB2312" w:hAnsi="仿宋_GB2312" w:cs="仿宋_GB2312" w:hint="eastAsia"/>
                <w:bCs/>
                <w:sz w:val="24"/>
                <w:szCs w:val="24"/>
              </w:rPr>
              <w:t>工程建设各阶段涉及的相关法律法规。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难点：无</w:t>
            </w:r>
          </w:p>
        </w:tc>
        <w:tc>
          <w:tcPr>
            <w:tcW w:w="156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了解我国工程建设程序的概念及阶段划分；工程建设前期阶段，准备阶段，实施阶段的工作内容，工程建设各阶段涉及的相关法律法规。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课堂</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sz w:val="24"/>
                <w:szCs w:val="24"/>
              </w:rPr>
              <w:t>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2</w:t>
            </w:r>
          </w:p>
        </w:tc>
        <w:tc>
          <w:tcPr>
            <w:tcW w:w="557"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r w:rsidRPr="0097566F">
              <w:rPr>
                <w:rFonts w:ascii="仿宋_GB2312" w:hAnsi="仿宋_GB2312" w:cs="仿宋_GB2312"/>
                <w:bCs/>
                <w:kern w:val="0"/>
                <w:sz w:val="24"/>
                <w:szCs w:val="24"/>
              </w:rPr>
              <w:t>2</w:t>
            </w:r>
            <w:r w:rsidRPr="0097566F">
              <w:rPr>
                <w:rFonts w:ascii="仿宋_GB2312" w:hAnsi="仿宋_GB2312" w:cs="仿宋_GB2312" w:hint="eastAsia"/>
                <w:bCs/>
                <w:kern w:val="0"/>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lastRenderedPageBreak/>
              <w:t>3</w:t>
            </w:r>
          </w:p>
        </w:tc>
        <w:tc>
          <w:tcPr>
            <w:tcW w:w="1598"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内容：</w:t>
            </w:r>
            <w:r w:rsidRPr="0097566F">
              <w:rPr>
                <w:rFonts w:ascii="仿宋_GB2312" w:hAnsi="仿宋_GB2312" w:cs="仿宋_GB2312" w:hint="eastAsia"/>
                <w:bCs/>
                <w:sz w:val="24"/>
                <w:szCs w:val="24"/>
              </w:rPr>
              <w:t xml:space="preserve"> 第三章  工程建设执业资格法规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重点：</w:t>
            </w:r>
            <w:r w:rsidRPr="0097566F">
              <w:rPr>
                <w:rFonts w:ascii="仿宋_GB2312" w:hAnsi="仿宋_GB2312" w:cs="仿宋_GB2312" w:hint="eastAsia"/>
                <w:bCs/>
                <w:sz w:val="24"/>
                <w:szCs w:val="24"/>
              </w:rPr>
              <w:t>建筑业企业资质管理，从业人员执业资格管理的具体内容。</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难点：</w:t>
            </w:r>
            <w:r w:rsidRPr="0097566F">
              <w:rPr>
                <w:rFonts w:ascii="仿宋_GB2312" w:hAnsi="仿宋_GB2312" w:cs="仿宋_GB2312" w:hint="eastAsia"/>
                <w:bCs/>
                <w:sz w:val="24"/>
                <w:szCs w:val="24"/>
              </w:rPr>
              <w:t>无</w:t>
            </w:r>
          </w:p>
        </w:tc>
        <w:tc>
          <w:tcPr>
            <w:tcW w:w="156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了解工程建设执业资格制度的概念及我国工程建设执业资格制度的基本情况；掌握建筑业企业资质管理，从业人员执业资格管理的具体内容。</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课堂</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授课</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3</w:t>
            </w:r>
          </w:p>
        </w:tc>
        <w:tc>
          <w:tcPr>
            <w:tcW w:w="557"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r w:rsidRPr="0097566F">
              <w:rPr>
                <w:rFonts w:ascii="仿宋_GB2312" w:hAnsi="仿宋_GB2312" w:cs="仿宋_GB2312"/>
                <w:bCs/>
                <w:kern w:val="0"/>
                <w:sz w:val="24"/>
                <w:szCs w:val="24"/>
              </w:rPr>
              <w:t>2</w:t>
            </w:r>
            <w:r w:rsidRPr="0097566F">
              <w:rPr>
                <w:rFonts w:ascii="仿宋_GB2312" w:hAnsi="仿宋_GB2312" w:cs="仿宋_GB2312" w:hint="eastAsia"/>
                <w:bCs/>
                <w:kern w:val="0"/>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4</w:t>
            </w:r>
          </w:p>
        </w:tc>
        <w:tc>
          <w:tcPr>
            <w:tcW w:w="1598"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内容：</w:t>
            </w:r>
            <w:r w:rsidRPr="0097566F">
              <w:rPr>
                <w:rFonts w:ascii="仿宋_GB2312" w:hAnsi="仿宋_GB2312" w:cs="仿宋_GB2312" w:hint="eastAsia"/>
                <w:bCs/>
                <w:sz w:val="24"/>
                <w:szCs w:val="24"/>
              </w:rPr>
              <w:t xml:space="preserve"> 第四章  城乡规划法规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重点：</w:t>
            </w:r>
            <w:r w:rsidRPr="0097566F">
              <w:rPr>
                <w:rFonts w:ascii="仿宋_GB2312" w:hAnsi="仿宋_GB2312" w:cs="仿宋_GB2312" w:hint="eastAsia"/>
                <w:bCs/>
                <w:sz w:val="24"/>
                <w:szCs w:val="24"/>
              </w:rPr>
              <w:t>城乡规划制定、实施、修改、监督检查及法律责任。</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难点：无</w:t>
            </w:r>
          </w:p>
        </w:tc>
        <w:tc>
          <w:tcPr>
            <w:tcW w:w="156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了解城市规划相关概念及我国城乡规划的立法概况；城乡规划制定、实施、修改、监督检查及法律责任。</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课堂</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授课</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4</w:t>
            </w:r>
          </w:p>
        </w:tc>
        <w:tc>
          <w:tcPr>
            <w:tcW w:w="557"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r w:rsidRPr="0097566F">
              <w:rPr>
                <w:rFonts w:ascii="仿宋_GB2312" w:hAnsi="仿宋_GB2312" w:cs="仿宋_GB2312"/>
                <w:bCs/>
                <w:kern w:val="0"/>
                <w:sz w:val="24"/>
                <w:szCs w:val="24"/>
              </w:rPr>
              <w:t>2</w:t>
            </w:r>
            <w:r w:rsidRPr="0097566F">
              <w:rPr>
                <w:rFonts w:ascii="仿宋_GB2312" w:hAnsi="仿宋_GB2312" w:cs="仿宋_GB2312" w:hint="eastAsia"/>
                <w:bCs/>
                <w:kern w:val="0"/>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5</w:t>
            </w:r>
          </w:p>
        </w:tc>
        <w:tc>
          <w:tcPr>
            <w:tcW w:w="1598"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内容：</w:t>
            </w:r>
            <w:r w:rsidRPr="0097566F">
              <w:rPr>
                <w:rFonts w:ascii="仿宋_GB2312" w:hAnsi="仿宋_GB2312" w:cs="仿宋_GB2312" w:hint="eastAsia"/>
                <w:bCs/>
                <w:sz w:val="24"/>
                <w:szCs w:val="24"/>
              </w:rPr>
              <w:t>第五章  建设用地相关法规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重点：</w:t>
            </w:r>
            <w:r w:rsidRPr="0097566F">
              <w:rPr>
                <w:rFonts w:ascii="仿宋_GB2312" w:hAnsi="仿宋_GB2312" w:cs="仿宋_GB2312" w:hint="eastAsia"/>
                <w:bCs/>
                <w:sz w:val="24"/>
                <w:szCs w:val="24"/>
              </w:rPr>
              <w:t>建设用地划拨或出让的法律规定。</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难点：无</w:t>
            </w:r>
          </w:p>
        </w:tc>
        <w:tc>
          <w:tcPr>
            <w:tcW w:w="156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了解土地所有权形式；建设用地划拨或出让的法律规定；征用土地的补偿安置。</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课堂</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授课</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2</w:t>
            </w:r>
          </w:p>
        </w:tc>
        <w:tc>
          <w:tcPr>
            <w:tcW w:w="557"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r w:rsidRPr="0097566F">
              <w:rPr>
                <w:rFonts w:ascii="仿宋_GB2312" w:hAnsi="仿宋_GB2312" w:cs="仿宋_GB2312"/>
                <w:bCs/>
                <w:kern w:val="0"/>
                <w:sz w:val="24"/>
                <w:szCs w:val="24"/>
              </w:rPr>
              <w:t>2</w:t>
            </w:r>
            <w:r w:rsidRPr="0097566F">
              <w:rPr>
                <w:rFonts w:ascii="仿宋_GB2312" w:hAnsi="仿宋_GB2312" w:cs="仿宋_GB2312" w:hint="eastAsia"/>
                <w:bCs/>
                <w:kern w:val="0"/>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6</w:t>
            </w:r>
          </w:p>
        </w:tc>
        <w:tc>
          <w:tcPr>
            <w:tcW w:w="1598"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内容：</w:t>
            </w:r>
            <w:r w:rsidRPr="0097566F">
              <w:rPr>
                <w:rFonts w:ascii="仿宋_GB2312" w:hAnsi="仿宋_GB2312" w:cs="仿宋_GB2312" w:hint="eastAsia"/>
                <w:bCs/>
                <w:sz w:val="24"/>
                <w:szCs w:val="24"/>
              </w:rPr>
              <w:t>第六章  建设工程发包与承包法规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重点：</w:t>
            </w:r>
            <w:r w:rsidRPr="0097566F">
              <w:rPr>
                <w:rFonts w:ascii="仿宋_GB2312" w:hAnsi="仿宋_GB2312" w:cs="仿宋_GB2312" w:hint="eastAsia"/>
                <w:bCs/>
                <w:sz w:val="24"/>
                <w:szCs w:val="24"/>
              </w:rPr>
              <w:t>建设工程招投标基本概念，招</w:t>
            </w:r>
            <w:r w:rsidRPr="0097566F">
              <w:rPr>
                <w:rFonts w:ascii="仿宋_GB2312" w:hAnsi="仿宋_GB2312" w:cs="仿宋_GB2312" w:hint="eastAsia"/>
                <w:bCs/>
                <w:sz w:val="24"/>
                <w:szCs w:val="24"/>
              </w:rPr>
              <w:lastRenderedPageBreak/>
              <w:t>标方式，招标程序及招投标各个阶段的法律规定。</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难点：无</w:t>
            </w:r>
          </w:p>
        </w:tc>
        <w:tc>
          <w:tcPr>
            <w:tcW w:w="156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lastRenderedPageBreak/>
              <w:t>了解建设工程承包，发包的概念及其方式和相关法律规定；掌握建设工程招投标基本概念，招标方式，招标</w:t>
            </w:r>
            <w:r w:rsidRPr="0097566F">
              <w:rPr>
                <w:rFonts w:ascii="仿宋_GB2312" w:hAnsi="仿宋_GB2312" w:cs="仿宋_GB2312" w:hint="eastAsia"/>
                <w:bCs/>
                <w:sz w:val="24"/>
                <w:szCs w:val="24"/>
              </w:rPr>
              <w:lastRenderedPageBreak/>
              <w:t>程序及招投标各个阶段的法律规定。</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lastRenderedPageBreak/>
              <w:t>课堂</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sz w:val="24"/>
                <w:szCs w:val="24"/>
              </w:rPr>
              <w:t>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2</w:t>
            </w:r>
          </w:p>
        </w:tc>
        <w:tc>
          <w:tcPr>
            <w:tcW w:w="557"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r w:rsidRPr="0097566F">
              <w:rPr>
                <w:rFonts w:ascii="仿宋_GB2312" w:hAnsi="仿宋_GB2312" w:cs="仿宋_GB2312"/>
                <w:bCs/>
                <w:kern w:val="0"/>
                <w:sz w:val="24"/>
                <w:szCs w:val="24"/>
              </w:rPr>
              <w:t>2</w:t>
            </w:r>
            <w:r w:rsidRPr="0097566F">
              <w:rPr>
                <w:rFonts w:ascii="仿宋_GB2312" w:hAnsi="仿宋_GB2312" w:cs="仿宋_GB2312" w:hint="eastAsia"/>
                <w:bCs/>
                <w:kern w:val="0"/>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7</w:t>
            </w:r>
          </w:p>
        </w:tc>
        <w:tc>
          <w:tcPr>
            <w:tcW w:w="1598"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 xml:space="preserve"> 建设工程勘察设计法规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重点：工程勘察设计文件编制的要求；</w:t>
            </w:r>
            <w:r w:rsidRPr="0097566F">
              <w:rPr>
                <w:rFonts w:ascii="仿宋_GB2312" w:hAnsi="仿宋_GB2312" w:cs="仿宋_GB2312"/>
                <w:bCs/>
                <w:sz w:val="24"/>
                <w:szCs w:val="24"/>
              </w:rPr>
              <w:t>施工图设计文件的审查</w:t>
            </w:r>
            <w:r w:rsidRPr="0097566F">
              <w:rPr>
                <w:rFonts w:ascii="仿宋_GB2312" w:hAnsi="仿宋_GB2312" w:cs="仿宋_GB2312" w:hint="eastAsia"/>
                <w:bCs/>
                <w:sz w:val="24"/>
                <w:szCs w:val="24"/>
              </w:rPr>
              <w:t>。</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难点：无</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156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了解我国现行的有关工程勘察设计的法律规定；工程勘察设计标准的概念、制定与实施；工程勘察设计文件编制的要求；掌握</w:t>
            </w:r>
            <w:r w:rsidRPr="0097566F">
              <w:rPr>
                <w:rFonts w:ascii="仿宋_GB2312" w:hAnsi="仿宋_GB2312" w:cs="仿宋_GB2312"/>
                <w:bCs/>
                <w:sz w:val="24"/>
                <w:szCs w:val="24"/>
              </w:rPr>
              <w:t>施工图设计文件的审查</w:t>
            </w:r>
            <w:r w:rsidRPr="0097566F">
              <w:rPr>
                <w:rFonts w:ascii="仿宋_GB2312" w:hAnsi="仿宋_GB2312" w:cs="仿宋_GB2312" w:hint="eastAsia"/>
                <w:bCs/>
                <w:sz w:val="24"/>
                <w:szCs w:val="24"/>
              </w:rPr>
              <w:t>。</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课堂</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授课</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3</w:t>
            </w:r>
          </w:p>
        </w:tc>
        <w:tc>
          <w:tcPr>
            <w:tcW w:w="557"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r w:rsidRPr="0097566F">
              <w:rPr>
                <w:rFonts w:ascii="仿宋_GB2312" w:hAnsi="仿宋_GB2312" w:cs="仿宋_GB2312"/>
                <w:bCs/>
                <w:kern w:val="0"/>
                <w:sz w:val="24"/>
                <w:szCs w:val="24"/>
              </w:rPr>
              <w:t>2</w:t>
            </w:r>
            <w:r w:rsidRPr="0097566F">
              <w:rPr>
                <w:rFonts w:ascii="仿宋_GB2312" w:hAnsi="仿宋_GB2312" w:cs="仿宋_GB2312" w:hint="eastAsia"/>
                <w:bCs/>
                <w:kern w:val="0"/>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8</w:t>
            </w:r>
          </w:p>
        </w:tc>
        <w:tc>
          <w:tcPr>
            <w:tcW w:w="1598"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 xml:space="preserve"> 第八章  工程建设监理法规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重点：业主、监理单位、承包商三方的法律地位及各自的权利、义务和责任。</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难点：无</w:t>
            </w:r>
          </w:p>
        </w:tc>
        <w:tc>
          <w:tcPr>
            <w:tcW w:w="156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了解工程监理的概念、作用、工作程序及内容；掌握业主、监理单位、承包商三方的法律地位及各自的权利、义务和责任。</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课堂</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授课</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2</w:t>
            </w:r>
          </w:p>
        </w:tc>
        <w:tc>
          <w:tcPr>
            <w:tcW w:w="557"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r w:rsidRPr="0097566F">
              <w:rPr>
                <w:rFonts w:ascii="仿宋_GB2312" w:hAnsi="仿宋_GB2312" w:cs="仿宋_GB2312"/>
                <w:bCs/>
                <w:kern w:val="0"/>
                <w:sz w:val="24"/>
                <w:szCs w:val="24"/>
              </w:rPr>
              <w:t>2</w:t>
            </w:r>
            <w:r w:rsidRPr="0097566F">
              <w:rPr>
                <w:rFonts w:ascii="仿宋_GB2312" w:hAnsi="仿宋_GB2312" w:cs="仿宋_GB2312" w:hint="eastAsia"/>
                <w:bCs/>
                <w:kern w:val="0"/>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9</w:t>
            </w:r>
          </w:p>
        </w:tc>
        <w:tc>
          <w:tcPr>
            <w:tcW w:w="1598"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第九章  工程建设安全生产管理法规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重点：工程建设安全生产的内容，安</w:t>
            </w:r>
            <w:r w:rsidRPr="0097566F">
              <w:rPr>
                <w:rFonts w:ascii="仿宋_GB2312" w:hAnsi="仿宋_GB2312" w:cs="仿宋_GB2312" w:hint="eastAsia"/>
                <w:bCs/>
                <w:sz w:val="24"/>
                <w:szCs w:val="24"/>
              </w:rPr>
              <w:lastRenderedPageBreak/>
              <w:t>全生产管理机构及职责</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难点：无</w:t>
            </w:r>
          </w:p>
        </w:tc>
        <w:tc>
          <w:tcPr>
            <w:tcW w:w="156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lastRenderedPageBreak/>
              <w:t>掌握工程建设安全生产的内容，安全生产管理机构及职责；了解工程建设安全生产的责任制度，教育制度，检查监督制度，劳</w:t>
            </w:r>
            <w:r w:rsidRPr="0097566F">
              <w:rPr>
                <w:rFonts w:ascii="仿宋_GB2312" w:hAnsi="仿宋_GB2312" w:cs="仿宋_GB2312" w:hint="eastAsia"/>
                <w:bCs/>
                <w:sz w:val="24"/>
                <w:szCs w:val="24"/>
              </w:rPr>
              <w:lastRenderedPageBreak/>
              <w:t>动保护制度，工程安全保障制度和重大事故的调查处理制度。</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lastRenderedPageBreak/>
              <w:t>课堂</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授课</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4</w:t>
            </w:r>
          </w:p>
        </w:tc>
        <w:tc>
          <w:tcPr>
            <w:tcW w:w="557"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r w:rsidRPr="0097566F">
              <w:rPr>
                <w:rFonts w:ascii="仿宋_GB2312" w:hAnsi="仿宋_GB2312" w:cs="仿宋_GB2312"/>
                <w:bCs/>
                <w:kern w:val="0"/>
                <w:sz w:val="24"/>
                <w:szCs w:val="24"/>
              </w:rPr>
              <w:t>2</w:t>
            </w:r>
            <w:r w:rsidRPr="0097566F">
              <w:rPr>
                <w:rFonts w:ascii="仿宋_GB2312" w:hAnsi="仿宋_GB2312" w:cs="仿宋_GB2312" w:hint="eastAsia"/>
                <w:bCs/>
                <w:kern w:val="0"/>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10</w:t>
            </w:r>
          </w:p>
        </w:tc>
        <w:tc>
          <w:tcPr>
            <w:tcW w:w="1598"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 xml:space="preserve"> 第十章  建设工程质量管理法规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重点：建设单位、勘察设计单位、监理单位、施工单位和材料设备供应单位等各建设行为主体质量责任的法律规定。</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难点：无</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156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了解建设工程质量的概念，工程建设质量体系认证及政府对建设工程质量进行监督管理的相关制度；掌握建设单位、勘察设计单位、监理单位、施工单位和材料设备供应单位等各建设行为主体质量责任的法律规定。</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课堂</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授课</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2</w:t>
            </w:r>
          </w:p>
        </w:tc>
        <w:tc>
          <w:tcPr>
            <w:tcW w:w="557"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r w:rsidRPr="0097566F">
              <w:rPr>
                <w:rFonts w:ascii="仿宋_GB2312" w:hAnsi="仿宋_GB2312" w:cs="仿宋_GB2312"/>
                <w:bCs/>
                <w:kern w:val="0"/>
                <w:sz w:val="24"/>
                <w:szCs w:val="24"/>
              </w:rPr>
              <w:t>2</w:t>
            </w:r>
            <w:r w:rsidRPr="0097566F">
              <w:rPr>
                <w:rFonts w:ascii="仿宋_GB2312" w:hAnsi="仿宋_GB2312" w:cs="仿宋_GB2312" w:hint="eastAsia"/>
                <w:bCs/>
                <w:kern w:val="0"/>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11</w:t>
            </w:r>
          </w:p>
        </w:tc>
        <w:tc>
          <w:tcPr>
            <w:tcW w:w="1598"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第十一章  建设工程合同管理法规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重点：建设工程合同索赔的概念，合同履行中的抗辩权及合同保全的法律规定</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难点：无</w:t>
            </w:r>
          </w:p>
        </w:tc>
        <w:tc>
          <w:tcPr>
            <w:tcW w:w="156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了解建设工程合同的概念及特征，建设工程合同的约束力，建设工程合同签订和履行的原则及重点内容；掌握建设工程合同索赔的概念，合同履行中的抗辩权及合同保全的法律规定。</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课堂</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授课</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4</w:t>
            </w:r>
          </w:p>
        </w:tc>
        <w:tc>
          <w:tcPr>
            <w:tcW w:w="557"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r w:rsidRPr="0097566F">
              <w:rPr>
                <w:rFonts w:ascii="仿宋_GB2312" w:hAnsi="仿宋_GB2312" w:cs="仿宋_GB2312"/>
                <w:bCs/>
                <w:kern w:val="0"/>
                <w:sz w:val="24"/>
                <w:szCs w:val="24"/>
              </w:rPr>
              <w:t>2</w:t>
            </w:r>
            <w:r w:rsidRPr="0097566F">
              <w:rPr>
                <w:rFonts w:ascii="仿宋_GB2312" w:hAnsi="仿宋_GB2312" w:cs="仿宋_GB2312" w:hint="eastAsia"/>
                <w:bCs/>
                <w:kern w:val="0"/>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lastRenderedPageBreak/>
              <w:t>12</w:t>
            </w:r>
          </w:p>
        </w:tc>
        <w:tc>
          <w:tcPr>
            <w:tcW w:w="1598"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第十二章  房地产管理法规</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重点：房地产交易方式，房地产权属登记管理制度。</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难点：无</w:t>
            </w:r>
          </w:p>
        </w:tc>
        <w:tc>
          <w:tcPr>
            <w:tcW w:w="156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了解房地产及房地产法的概念；房地产交易方式，房地产权属登记管理制度。</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课堂</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bCs/>
                <w:sz w:val="24"/>
                <w:szCs w:val="24"/>
              </w:rPr>
              <w:t>授课</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sz w:val="24"/>
                <w:szCs w:val="24"/>
              </w:rPr>
            </w:pPr>
            <w:r w:rsidRPr="0097566F">
              <w:rPr>
                <w:rFonts w:ascii="仿宋_GB2312" w:hAnsi="仿宋_GB2312" w:cs="仿宋_GB2312" w:hint="eastAsia"/>
                <w:bCs/>
                <w:sz w:val="24"/>
                <w:szCs w:val="24"/>
              </w:rPr>
              <w:t>2</w:t>
            </w:r>
          </w:p>
        </w:tc>
        <w:tc>
          <w:tcPr>
            <w:tcW w:w="557"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r w:rsidRPr="0097566F">
              <w:rPr>
                <w:rFonts w:ascii="仿宋_GB2312" w:hAnsi="仿宋_GB2312" w:cs="仿宋_GB2312"/>
                <w:bCs/>
                <w:kern w:val="0"/>
                <w:sz w:val="24"/>
                <w:szCs w:val="24"/>
              </w:rPr>
              <w:t>2</w:t>
            </w:r>
            <w:r w:rsidRPr="0097566F">
              <w:rPr>
                <w:rFonts w:ascii="仿宋_GB2312" w:hAnsi="仿宋_GB2312" w:cs="仿宋_GB2312" w:hint="eastAsia"/>
                <w:bCs/>
                <w:kern w:val="0"/>
                <w:sz w:val="24"/>
                <w:szCs w:val="24"/>
              </w:rPr>
              <w:t>、3</w:t>
            </w:r>
          </w:p>
        </w:tc>
      </w:tr>
    </w:tbl>
    <w:p w:rsidR="00CA5AE3" w:rsidRPr="0097566F" w:rsidRDefault="00CA5AE3" w:rsidP="00CA5AE3">
      <w:pPr>
        <w:keepNext/>
        <w:spacing w:beforeLines="100" w:before="312" w:afterLines="50" w:after="156" w:line="360" w:lineRule="exact"/>
        <w:outlineLvl w:val="0"/>
        <w:rPr>
          <w:rFonts w:ascii="仿宋" w:eastAsia="仿宋" w:hAnsi="仿宋"/>
          <w:b/>
          <w:sz w:val="28"/>
          <w:szCs w:val="28"/>
        </w:rPr>
      </w:pPr>
      <w:r w:rsidRPr="0097566F">
        <w:rPr>
          <w:rFonts w:ascii="仿宋" w:eastAsia="仿宋" w:hAnsi="仿宋"/>
          <w:b/>
          <w:sz w:val="28"/>
          <w:szCs w:val="28"/>
        </w:rPr>
        <w:t>课内实践教学内容及要求</w:t>
      </w:r>
    </w:p>
    <w:p w:rsidR="00CA5AE3" w:rsidRPr="0097566F" w:rsidRDefault="00CA5AE3" w:rsidP="00CA5AE3">
      <w:pPr>
        <w:adjustRightInd w:val="0"/>
        <w:snapToGrid w:val="0"/>
        <w:spacing w:line="360" w:lineRule="exact"/>
        <w:rPr>
          <w:rFonts w:ascii="Times New Roman" w:hAnsi="Times New Roman"/>
          <w:sz w:val="28"/>
          <w:szCs w:val="28"/>
        </w:rPr>
      </w:pPr>
      <w:r w:rsidRPr="0097566F">
        <w:rPr>
          <w:rFonts w:ascii="Times New Roman" w:hAnsi="Times New Roman"/>
          <w:sz w:val="28"/>
          <w:szCs w:val="28"/>
        </w:rPr>
        <w:t>无</w:t>
      </w:r>
    </w:p>
    <w:p w:rsidR="00CA5AE3" w:rsidRPr="0097566F" w:rsidRDefault="00CA5AE3" w:rsidP="00CA5AE3">
      <w:pPr>
        <w:keepNext/>
        <w:spacing w:beforeLines="100" w:before="312" w:afterLines="50" w:after="156" w:line="360" w:lineRule="exact"/>
        <w:outlineLvl w:val="0"/>
        <w:rPr>
          <w:rFonts w:ascii="仿宋" w:eastAsia="仿宋" w:hAnsi="仿宋"/>
          <w:b/>
          <w:sz w:val="28"/>
          <w:szCs w:val="28"/>
        </w:rPr>
      </w:pPr>
      <w:r w:rsidRPr="0097566F">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936"/>
        <w:gridCol w:w="757"/>
        <w:gridCol w:w="755"/>
        <w:gridCol w:w="757"/>
        <w:gridCol w:w="755"/>
        <w:gridCol w:w="758"/>
        <w:gridCol w:w="939"/>
      </w:tblGrid>
      <w:tr w:rsidR="00CA5AE3" w:rsidTr="00E07285">
        <w:trPr>
          <w:trHeight w:val="454"/>
          <w:jc w:val="center"/>
        </w:trPr>
        <w:tc>
          <w:tcPr>
            <w:tcW w:w="1624" w:type="pct"/>
            <w:vMerge w:val="restart"/>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章  节</w:t>
            </w:r>
          </w:p>
        </w:tc>
        <w:tc>
          <w:tcPr>
            <w:tcW w:w="2937" w:type="pct"/>
            <w:gridSpan w:val="6"/>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学 时 分 配</w:t>
            </w:r>
          </w:p>
        </w:tc>
        <w:tc>
          <w:tcPr>
            <w:tcW w:w="439" w:type="pct"/>
            <w:vMerge w:val="restart"/>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合  计</w:t>
            </w:r>
          </w:p>
        </w:tc>
      </w:tr>
      <w:tr w:rsidR="00CA5AE3" w:rsidTr="00E07285">
        <w:trPr>
          <w:trHeight w:val="454"/>
          <w:jc w:val="center"/>
        </w:trPr>
        <w:tc>
          <w:tcPr>
            <w:tcW w:w="1624" w:type="pct"/>
            <w:vMerge/>
            <w:vAlign w:val="center"/>
          </w:tcPr>
          <w:p w:rsidR="00CA5AE3" w:rsidRDefault="00CA5AE3" w:rsidP="00E07285">
            <w:pPr>
              <w:adjustRightInd w:val="0"/>
              <w:snapToGrid w:val="0"/>
              <w:spacing w:line="360" w:lineRule="exact"/>
              <w:jc w:val="center"/>
              <w:rPr>
                <w:rFonts w:ascii="Times New Roman" w:hAnsi="Times New Roman"/>
                <w:b/>
              </w:rPr>
            </w:pPr>
          </w:p>
        </w:tc>
        <w:tc>
          <w:tcPr>
            <w:tcW w:w="489" w:type="pct"/>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讲  课</w:t>
            </w:r>
          </w:p>
        </w:tc>
        <w:tc>
          <w:tcPr>
            <w:tcW w:w="490" w:type="pct"/>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实验课</w:t>
            </w:r>
          </w:p>
        </w:tc>
        <w:tc>
          <w:tcPr>
            <w:tcW w:w="489" w:type="pct"/>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上机课</w:t>
            </w:r>
          </w:p>
        </w:tc>
        <w:tc>
          <w:tcPr>
            <w:tcW w:w="490" w:type="pct"/>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讨论课</w:t>
            </w:r>
          </w:p>
        </w:tc>
        <w:tc>
          <w:tcPr>
            <w:tcW w:w="489" w:type="pct"/>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习题课</w:t>
            </w:r>
          </w:p>
        </w:tc>
        <w:tc>
          <w:tcPr>
            <w:tcW w:w="490" w:type="pct"/>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其  它</w:t>
            </w:r>
          </w:p>
        </w:tc>
        <w:tc>
          <w:tcPr>
            <w:tcW w:w="439" w:type="pct"/>
            <w:vMerge/>
            <w:vAlign w:val="center"/>
          </w:tcPr>
          <w:p w:rsidR="00CA5AE3" w:rsidRDefault="00CA5AE3" w:rsidP="00E07285">
            <w:pPr>
              <w:adjustRightInd w:val="0"/>
              <w:snapToGrid w:val="0"/>
              <w:spacing w:line="360" w:lineRule="exact"/>
              <w:jc w:val="center"/>
              <w:rPr>
                <w:rFonts w:ascii="Times New Roman" w:hAnsi="Times New Roman"/>
              </w:rPr>
            </w:pPr>
          </w:p>
        </w:tc>
      </w:tr>
      <w:tr w:rsidR="00CA5AE3" w:rsidTr="00E07285">
        <w:trPr>
          <w:trHeight w:val="454"/>
          <w:jc w:val="center"/>
        </w:trPr>
        <w:tc>
          <w:tcPr>
            <w:tcW w:w="3200"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第一章</w:t>
            </w:r>
          </w:p>
        </w:tc>
        <w:tc>
          <w:tcPr>
            <w:tcW w:w="96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749"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r>
      <w:tr w:rsidR="00CA5AE3" w:rsidTr="00E07285">
        <w:trPr>
          <w:trHeight w:val="454"/>
          <w:jc w:val="center"/>
        </w:trPr>
        <w:tc>
          <w:tcPr>
            <w:tcW w:w="3200"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第二章</w:t>
            </w:r>
          </w:p>
        </w:tc>
        <w:tc>
          <w:tcPr>
            <w:tcW w:w="96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749"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r>
      <w:tr w:rsidR="00CA5AE3" w:rsidTr="00E07285">
        <w:trPr>
          <w:trHeight w:val="454"/>
          <w:jc w:val="center"/>
        </w:trPr>
        <w:tc>
          <w:tcPr>
            <w:tcW w:w="3200"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第三章</w:t>
            </w:r>
          </w:p>
        </w:tc>
        <w:tc>
          <w:tcPr>
            <w:tcW w:w="96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3</w:t>
            </w: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749"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3</w:t>
            </w:r>
          </w:p>
        </w:tc>
      </w:tr>
      <w:tr w:rsidR="00CA5AE3" w:rsidTr="00E07285">
        <w:trPr>
          <w:trHeight w:val="454"/>
          <w:jc w:val="center"/>
        </w:trPr>
        <w:tc>
          <w:tcPr>
            <w:tcW w:w="3200"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第四章</w:t>
            </w:r>
          </w:p>
        </w:tc>
        <w:tc>
          <w:tcPr>
            <w:tcW w:w="96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4</w:t>
            </w: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749"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4</w:t>
            </w:r>
          </w:p>
        </w:tc>
      </w:tr>
      <w:tr w:rsidR="00CA5AE3" w:rsidTr="00E07285">
        <w:trPr>
          <w:trHeight w:val="454"/>
          <w:jc w:val="center"/>
        </w:trPr>
        <w:tc>
          <w:tcPr>
            <w:tcW w:w="3200"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第五章</w:t>
            </w:r>
          </w:p>
        </w:tc>
        <w:tc>
          <w:tcPr>
            <w:tcW w:w="96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749"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r>
      <w:tr w:rsidR="00CA5AE3" w:rsidTr="00E07285">
        <w:trPr>
          <w:trHeight w:val="454"/>
          <w:jc w:val="center"/>
        </w:trPr>
        <w:tc>
          <w:tcPr>
            <w:tcW w:w="3200"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第六章</w:t>
            </w:r>
          </w:p>
        </w:tc>
        <w:tc>
          <w:tcPr>
            <w:tcW w:w="96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749"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r>
      <w:tr w:rsidR="00CA5AE3" w:rsidTr="00E07285">
        <w:trPr>
          <w:trHeight w:val="454"/>
          <w:jc w:val="center"/>
        </w:trPr>
        <w:tc>
          <w:tcPr>
            <w:tcW w:w="3200"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第七章</w:t>
            </w:r>
          </w:p>
        </w:tc>
        <w:tc>
          <w:tcPr>
            <w:tcW w:w="96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3</w:t>
            </w: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749"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3</w:t>
            </w:r>
          </w:p>
        </w:tc>
      </w:tr>
      <w:tr w:rsidR="00CA5AE3" w:rsidTr="00E07285">
        <w:trPr>
          <w:trHeight w:val="454"/>
          <w:jc w:val="center"/>
        </w:trPr>
        <w:tc>
          <w:tcPr>
            <w:tcW w:w="3200"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第八章</w:t>
            </w:r>
          </w:p>
        </w:tc>
        <w:tc>
          <w:tcPr>
            <w:tcW w:w="96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749"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r>
      <w:tr w:rsidR="00CA5AE3" w:rsidTr="00E07285">
        <w:trPr>
          <w:trHeight w:val="454"/>
          <w:jc w:val="center"/>
        </w:trPr>
        <w:tc>
          <w:tcPr>
            <w:tcW w:w="3200"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第九章</w:t>
            </w:r>
          </w:p>
        </w:tc>
        <w:tc>
          <w:tcPr>
            <w:tcW w:w="96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4</w:t>
            </w: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749"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4</w:t>
            </w:r>
          </w:p>
        </w:tc>
      </w:tr>
      <w:tr w:rsidR="00CA5AE3" w:rsidTr="00E07285">
        <w:trPr>
          <w:trHeight w:val="454"/>
          <w:jc w:val="center"/>
        </w:trPr>
        <w:tc>
          <w:tcPr>
            <w:tcW w:w="3200"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第十章</w:t>
            </w:r>
          </w:p>
        </w:tc>
        <w:tc>
          <w:tcPr>
            <w:tcW w:w="96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749"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r>
      <w:tr w:rsidR="00CA5AE3" w:rsidTr="00E07285">
        <w:trPr>
          <w:trHeight w:val="454"/>
          <w:jc w:val="center"/>
        </w:trPr>
        <w:tc>
          <w:tcPr>
            <w:tcW w:w="3200"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第十一章</w:t>
            </w:r>
          </w:p>
        </w:tc>
        <w:tc>
          <w:tcPr>
            <w:tcW w:w="96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4</w:t>
            </w: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749"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4</w:t>
            </w:r>
          </w:p>
        </w:tc>
      </w:tr>
      <w:tr w:rsidR="00CA5AE3" w:rsidTr="00E07285">
        <w:trPr>
          <w:trHeight w:val="454"/>
          <w:jc w:val="center"/>
        </w:trPr>
        <w:tc>
          <w:tcPr>
            <w:tcW w:w="3200"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lastRenderedPageBreak/>
              <w:t>第十二章</w:t>
            </w:r>
          </w:p>
        </w:tc>
        <w:tc>
          <w:tcPr>
            <w:tcW w:w="963"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adjustRightInd w:val="0"/>
              <w:snapToGrid w:val="0"/>
              <w:spacing w:afterLines="50" w:after="156" w:line="460" w:lineRule="exact"/>
              <w:ind w:firstLineChars="200" w:firstLine="480"/>
              <w:outlineLvl w:val="0"/>
              <w:rPr>
                <w:rFonts w:ascii="仿宋_GB2312" w:hAnsi="仿宋_GB2312" w:cs="仿宋_GB2312"/>
                <w:bCs/>
                <w:kern w:val="0"/>
                <w:sz w:val="24"/>
                <w:szCs w:val="24"/>
              </w:rPr>
            </w:pPr>
          </w:p>
        </w:tc>
        <w:tc>
          <w:tcPr>
            <w:tcW w:w="749" w:type="dxa"/>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r>
      <w:tr w:rsidR="00CA5AE3" w:rsidTr="00E07285">
        <w:trPr>
          <w:trHeight w:val="454"/>
          <w:jc w:val="center"/>
        </w:trPr>
        <w:tc>
          <w:tcPr>
            <w:tcW w:w="1624"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共  计</w:t>
            </w:r>
          </w:p>
        </w:tc>
        <w:tc>
          <w:tcPr>
            <w:tcW w:w="489"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32</w:t>
            </w:r>
          </w:p>
        </w:tc>
        <w:tc>
          <w:tcPr>
            <w:tcW w:w="490"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489"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490"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749" w:type="dxa"/>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32</w:t>
            </w:r>
          </w:p>
        </w:tc>
      </w:tr>
    </w:tbl>
    <w:p w:rsidR="00CA5AE3" w:rsidRPr="0097566F" w:rsidRDefault="00CA5AE3" w:rsidP="00CA5AE3">
      <w:pPr>
        <w:keepNext/>
        <w:spacing w:beforeLines="100" w:before="312" w:afterLines="50" w:after="156" w:line="360" w:lineRule="exact"/>
        <w:outlineLvl w:val="0"/>
        <w:rPr>
          <w:rFonts w:ascii="仿宋" w:eastAsia="仿宋" w:hAnsi="仿宋"/>
          <w:b/>
          <w:sz w:val="28"/>
          <w:szCs w:val="28"/>
        </w:rPr>
      </w:pPr>
      <w:r w:rsidRPr="0097566F">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2456"/>
        <w:gridCol w:w="1807"/>
        <w:gridCol w:w="3094"/>
      </w:tblGrid>
      <w:tr w:rsidR="00CA5AE3" w:rsidTr="0097566F">
        <w:trPr>
          <w:trHeight w:val="454"/>
          <w:jc w:val="center"/>
        </w:trPr>
        <w:tc>
          <w:tcPr>
            <w:tcW w:w="566" w:type="pct"/>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序号</w:t>
            </w:r>
          </w:p>
        </w:tc>
        <w:tc>
          <w:tcPr>
            <w:tcW w:w="1480" w:type="pct"/>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课程思政教学目标</w:t>
            </w:r>
          </w:p>
        </w:tc>
        <w:tc>
          <w:tcPr>
            <w:tcW w:w="1089" w:type="pct"/>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授课章节</w:t>
            </w:r>
          </w:p>
        </w:tc>
        <w:tc>
          <w:tcPr>
            <w:tcW w:w="1865" w:type="pct"/>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课程思政融入点（至少5处）</w:t>
            </w:r>
          </w:p>
        </w:tc>
      </w:tr>
      <w:tr w:rsidR="00CA5AE3" w:rsidTr="0097566F">
        <w:trPr>
          <w:trHeight w:val="454"/>
          <w:jc w:val="center"/>
        </w:trPr>
        <w:tc>
          <w:tcPr>
            <w:tcW w:w="566"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1</w:t>
            </w:r>
          </w:p>
        </w:tc>
        <w:tc>
          <w:tcPr>
            <w:tcW w:w="1480"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正确政治导向</w:t>
            </w:r>
          </w:p>
        </w:tc>
        <w:tc>
          <w:tcPr>
            <w:tcW w:w="1089"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第一章</w:t>
            </w:r>
          </w:p>
        </w:tc>
        <w:tc>
          <w:tcPr>
            <w:tcW w:w="1865"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建设法规法律地位及其在新时期社会主义建设中的重要意义。</w:t>
            </w:r>
          </w:p>
        </w:tc>
      </w:tr>
      <w:tr w:rsidR="00CA5AE3" w:rsidTr="0097566F">
        <w:trPr>
          <w:trHeight w:val="454"/>
          <w:jc w:val="center"/>
        </w:trPr>
        <w:tc>
          <w:tcPr>
            <w:tcW w:w="566"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c>
          <w:tcPr>
            <w:tcW w:w="1480"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社会主义核心价值观教育</w:t>
            </w:r>
          </w:p>
        </w:tc>
        <w:tc>
          <w:tcPr>
            <w:tcW w:w="1089"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第一~十二章</w:t>
            </w:r>
          </w:p>
        </w:tc>
        <w:tc>
          <w:tcPr>
            <w:tcW w:w="1865"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掌握建筑法规，遵守建筑法规、应用建筑法规的目的。</w:t>
            </w:r>
          </w:p>
        </w:tc>
      </w:tr>
      <w:tr w:rsidR="00CA5AE3" w:rsidTr="0097566F">
        <w:trPr>
          <w:trHeight w:val="454"/>
          <w:jc w:val="center"/>
        </w:trPr>
        <w:tc>
          <w:tcPr>
            <w:tcW w:w="566"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3</w:t>
            </w:r>
          </w:p>
        </w:tc>
        <w:tc>
          <w:tcPr>
            <w:tcW w:w="1480"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远大理想塑造</w:t>
            </w:r>
          </w:p>
        </w:tc>
        <w:tc>
          <w:tcPr>
            <w:tcW w:w="1089"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第一~十二章</w:t>
            </w:r>
          </w:p>
        </w:tc>
        <w:tc>
          <w:tcPr>
            <w:tcW w:w="1865"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正确运用所学习的建筑法规指导实际工作，具备解决工程建设中相关法律问题的基本能力，并遵守建筑法规的规定。</w:t>
            </w:r>
          </w:p>
        </w:tc>
      </w:tr>
      <w:tr w:rsidR="00CA5AE3" w:rsidTr="0097566F">
        <w:trPr>
          <w:trHeight w:val="454"/>
          <w:jc w:val="center"/>
        </w:trPr>
        <w:tc>
          <w:tcPr>
            <w:tcW w:w="566"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4</w:t>
            </w:r>
          </w:p>
        </w:tc>
        <w:tc>
          <w:tcPr>
            <w:tcW w:w="1480"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健康心态培育</w:t>
            </w:r>
          </w:p>
        </w:tc>
        <w:tc>
          <w:tcPr>
            <w:tcW w:w="1089"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第一~十二章</w:t>
            </w:r>
          </w:p>
        </w:tc>
        <w:tc>
          <w:tcPr>
            <w:tcW w:w="1865"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各种新技术需要不断创新、不断学习，应勇于面对新问题并着力寻求解决。</w:t>
            </w:r>
          </w:p>
        </w:tc>
      </w:tr>
      <w:tr w:rsidR="00CA5AE3" w:rsidTr="0097566F">
        <w:trPr>
          <w:trHeight w:val="454"/>
          <w:jc w:val="center"/>
        </w:trPr>
        <w:tc>
          <w:tcPr>
            <w:tcW w:w="566"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5</w:t>
            </w:r>
          </w:p>
        </w:tc>
        <w:tc>
          <w:tcPr>
            <w:tcW w:w="1480"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道德品质培养</w:t>
            </w:r>
          </w:p>
        </w:tc>
        <w:tc>
          <w:tcPr>
            <w:tcW w:w="1089"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第一~十二章</w:t>
            </w:r>
          </w:p>
        </w:tc>
        <w:tc>
          <w:tcPr>
            <w:tcW w:w="1865" w:type="pct"/>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培养学生工程建设的法律意识，严谨的工作态度和良好的团队合作意识。</w:t>
            </w:r>
          </w:p>
        </w:tc>
      </w:tr>
    </w:tbl>
    <w:p w:rsidR="0097566F" w:rsidRDefault="0097566F" w:rsidP="0097566F">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五、课程考核方式与成绩评定</w:t>
      </w:r>
    </w:p>
    <w:p w:rsidR="00CA5AE3" w:rsidRPr="0097566F" w:rsidRDefault="00CA5AE3" w:rsidP="0097566F">
      <w:pPr>
        <w:spacing w:line="360" w:lineRule="auto"/>
        <w:ind w:firstLine="331"/>
        <w:rPr>
          <w:rFonts w:ascii="仿宋_GB2312" w:hAnsi="仿宋_GB2312" w:cs="仿宋_GB2312"/>
          <w:bCs/>
          <w:sz w:val="28"/>
          <w:szCs w:val="28"/>
        </w:rPr>
      </w:pPr>
      <w:r w:rsidRPr="0097566F">
        <w:rPr>
          <w:rFonts w:ascii="仿宋_GB2312" w:hAnsi="仿宋_GB2312" w:cs="仿宋_GB2312"/>
          <w:bCs/>
          <w:sz w:val="28"/>
          <w:szCs w:val="28"/>
        </w:rPr>
        <w:t>（1）考核方式</w:t>
      </w:r>
    </w:p>
    <w:p w:rsidR="00CA5AE3" w:rsidRPr="0097566F" w:rsidRDefault="00CA5AE3" w:rsidP="0097566F">
      <w:pPr>
        <w:spacing w:line="360" w:lineRule="auto"/>
        <w:ind w:firstLine="331"/>
        <w:rPr>
          <w:rFonts w:ascii="仿宋_GB2312" w:hAnsi="仿宋_GB2312" w:cs="仿宋_GB2312"/>
          <w:bCs/>
          <w:sz w:val="28"/>
          <w:szCs w:val="28"/>
        </w:rPr>
      </w:pPr>
      <w:r w:rsidRPr="0097566F">
        <w:rPr>
          <w:rFonts w:ascii="仿宋_GB2312" w:hAnsi="仿宋_GB2312" w:cs="仿宋_GB2312"/>
          <w:bCs/>
          <w:sz w:val="28"/>
          <w:szCs w:val="28"/>
        </w:rPr>
        <w:t>本课程考核方式为考试，其中期末考核方式为非标准答案考试，过</w:t>
      </w:r>
      <w:r w:rsidRPr="0097566F">
        <w:rPr>
          <w:rFonts w:ascii="仿宋_GB2312" w:hAnsi="仿宋_GB2312" w:cs="仿宋_GB2312"/>
          <w:bCs/>
          <w:sz w:val="28"/>
          <w:szCs w:val="28"/>
        </w:rPr>
        <w:lastRenderedPageBreak/>
        <w:t>程考核方式为课堂出勤、作业完成情况等。</w:t>
      </w:r>
    </w:p>
    <w:p w:rsidR="00CA5AE3" w:rsidRPr="0097566F" w:rsidRDefault="00CA5AE3" w:rsidP="0097566F">
      <w:pPr>
        <w:spacing w:line="360" w:lineRule="auto"/>
        <w:ind w:firstLine="331"/>
        <w:rPr>
          <w:rFonts w:ascii="仿宋_GB2312" w:hAnsi="仿宋_GB2312" w:cs="仿宋_GB2312"/>
          <w:bCs/>
          <w:sz w:val="28"/>
          <w:szCs w:val="28"/>
        </w:rPr>
      </w:pPr>
      <w:r w:rsidRPr="0097566F">
        <w:rPr>
          <w:rFonts w:ascii="仿宋_GB2312" w:hAnsi="仿宋_GB2312" w:cs="仿宋_GB2312"/>
          <w:bCs/>
          <w:sz w:val="28"/>
          <w:szCs w:val="28"/>
        </w:rPr>
        <w:t>（2）成绩评定</w:t>
      </w:r>
    </w:p>
    <w:tbl>
      <w:tblPr>
        <w:tblW w:w="47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1"/>
        <w:gridCol w:w="933"/>
        <w:gridCol w:w="796"/>
        <w:gridCol w:w="709"/>
        <w:gridCol w:w="824"/>
        <w:gridCol w:w="742"/>
        <w:gridCol w:w="709"/>
        <w:gridCol w:w="848"/>
        <w:gridCol w:w="850"/>
        <w:gridCol w:w="704"/>
      </w:tblGrid>
      <w:tr w:rsidR="00CA5AE3" w:rsidTr="0097566F">
        <w:trPr>
          <w:trHeight w:val="454"/>
          <w:jc w:val="center"/>
        </w:trPr>
        <w:tc>
          <w:tcPr>
            <w:tcW w:w="512" w:type="pct"/>
            <w:vMerge w:val="restart"/>
            <w:tcBorders>
              <w:top w:val="single" w:sz="4" w:space="0" w:color="000000"/>
              <w:left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序号</w:t>
            </w:r>
          </w:p>
        </w:tc>
        <w:tc>
          <w:tcPr>
            <w:tcW w:w="589" w:type="pct"/>
            <w:vMerge w:val="restart"/>
            <w:tcBorders>
              <w:top w:val="single" w:sz="4" w:space="0" w:color="000000"/>
              <w:left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课程</w:t>
            </w:r>
          </w:p>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目标</w:t>
            </w:r>
          </w:p>
        </w:tc>
        <w:tc>
          <w:tcPr>
            <w:tcW w:w="3900" w:type="pct"/>
            <w:gridSpan w:val="8"/>
            <w:tcBorders>
              <w:top w:val="single" w:sz="4" w:space="0" w:color="000000"/>
              <w:left w:val="single" w:sz="4" w:space="0" w:color="auto"/>
              <w:bottom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考核方式及成绩比例（%）</w:t>
            </w:r>
          </w:p>
        </w:tc>
      </w:tr>
      <w:tr w:rsidR="0097566F" w:rsidTr="0097566F">
        <w:trPr>
          <w:trHeight w:val="454"/>
          <w:jc w:val="center"/>
        </w:trPr>
        <w:tc>
          <w:tcPr>
            <w:tcW w:w="512" w:type="pct"/>
            <w:vMerge/>
            <w:tcBorders>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kern w:val="0"/>
                <w:sz w:val="24"/>
                <w:szCs w:val="24"/>
              </w:rPr>
            </w:pPr>
          </w:p>
        </w:tc>
        <w:tc>
          <w:tcPr>
            <w:tcW w:w="589" w:type="pct"/>
            <w:vMerge/>
            <w:tcBorders>
              <w:left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2"/>
              <w:outlineLvl w:val="0"/>
              <w:rPr>
                <w:rFonts w:ascii="仿宋_GB2312" w:hAnsi="仿宋_GB2312" w:cs="仿宋_GB2312"/>
                <w:b/>
                <w:bCs/>
                <w:kern w:val="0"/>
                <w:sz w:val="24"/>
                <w:szCs w:val="24"/>
              </w:rPr>
            </w:pPr>
          </w:p>
        </w:tc>
        <w:tc>
          <w:tcPr>
            <w:tcW w:w="502" w:type="pct"/>
            <w:tcBorders>
              <w:top w:val="single" w:sz="4" w:space="0" w:color="auto"/>
              <w:left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考勤</w:t>
            </w:r>
          </w:p>
        </w:tc>
        <w:tc>
          <w:tcPr>
            <w:tcW w:w="447" w:type="pct"/>
            <w:tcBorders>
              <w:top w:val="single" w:sz="4" w:space="0" w:color="auto"/>
              <w:left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作业</w:t>
            </w:r>
          </w:p>
        </w:tc>
        <w:tc>
          <w:tcPr>
            <w:tcW w:w="520" w:type="pct"/>
            <w:tcBorders>
              <w:top w:val="single" w:sz="4" w:space="0" w:color="auto"/>
              <w:left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讨论</w:t>
            </w:r>
          </w:p>
        </w:tc>
        <w:tc>
          <w:tcPr>
            <w:tcW w:w="468" w:type="pct"/>
            <w:tcBorders>
              <w:top w:val="single" w:sz="4" w:space="0" w:color="auto"/>
              <w:left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实验</w:t>
            </w:r>
          </w:p>
        </w:tc>
        <w:tc>
          <w:tcPr>
            <w:tcW w:w="447" w:type="pct"/>
            <w:tcBorders>
              <w:top w:val="single" w:sz="4" w:space="0" w:color="auto"/>
              <w:left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测验</w:t>
            </w:r>
          </w:p>
        </w:tc>
        <w:tc>
          <w:tcPr>
            <w:tcW w:w="535" w:type="pct"/>
            <w:tcBorders>
              <w:top w:val="single" w:sz="4" w:space="0" w:color="auto"/>
              <w:left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考试</w:t>
            </w:r>
          </w:p>
        </w:tc>
        <w:tc>
          <w:tcPr>
            <w:tcW w:w="536" w:type="pct"/>
            <w:tcBorders>
              <w:top w:val="single" w:sz="4" w:space="0" w:color="auto"/>
              <w:left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w:t>
            </w:r>
          </w:p>
        </w:tc>
        <w:tc>
          <w:tcPr>
            <w:tcW w:w="444" w:type="pct"/>
            <w:tcBorders>
              <w:top w:val="single" w:sz="4" w:space="0" w:color="auto"/>
              <w:left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合计</w:t>
            </w:r>
          </w:p>
        </w:tc>
      </w:tr>
      <w:tr w:rsidR="0097566F" w:rsidTr="0097566F">
        <w:trPr>
          <w:trHeight w:val="454"/>
          <w:jc w:val="center"/>
        </w:trPr>
        <w:tc>
          <w:tcPr>
            <w:tcW w:w="512"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1</w:t>
            </w:r>
          </w:p>
        </w:tc>
        <w:tc>
          <w:tcPr>
            <w:tcW w:w="589"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目标1</w:t>
            </w:r>
          </w:p>
        </w:tc>
        <w:tc>
          <w:tcPr>
            <w:tcW w:w="502"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c>
          <w:tcPr>
            <w:tcW w:w="44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520"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468"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44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535"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20</w:t>
            </w:r>
          </w:p>
        </w:tc>
        <w:tc>
          <w:tcPr>
            <w:tcW w:w="536"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hint="eastAsia"/>
                <w:bCs/>
                <w:kern w:val="0"/>
                <w:sz w:val="24"/>
                <w:szCs w:val="24"/>
              </w:rPr>
            </w:pPr>
          </w:p>
        </w:tc>
        <w:tc>
          <w:tcPr>
            <w:tcW w:w="444"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22</w:t>
            </w:r>
          </w:p>
        </w:tc>
      </w:tr>
      <w:tr w:rsidR="0097566F" w:rsidTr="0097566F">
        <w:trPr>
          <w:trHeight w:val="454"/>
          <w:jc w:val="center"/>
        </w:trPr>
        <w:tc>
          <w:tcPr>
            <w:tcW w:w="512"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c>
          <w:tcPr>
            <w:tcW w:w="589"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目标2</w:t>
            </w:r>
          </w:p>
        </w:tc>
        <w:tc>
          <w:tcPr>
            <w:tcW w:w="502"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6</w:t>
            </w:r>
          </w:p>
        </w:tc>
        <w:tc>
          <w:tcPr>
            <w:tcW w:w="44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10</w:t>
            </w:r>
          </w:p>
        </w:tc>
        <w:tc>
          <w:tcPr>
            <w:tcW w:w="520"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468"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44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535"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30</w:t>
            </w:r>
          </w:p>
        </w:tc>
        <w:tc>
          <w:tcPr>
            <w:tcW w:w="536"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hint="eastAsia"/>
                <w:bCs/>
                <w:kern w:val="0"/>
                <w:sz w:val="24"/>
                <w:szCs w:val="24"/>
              </w:rPr>
            </w:pPr>
          </w:p>
        </w:tc>
        <w:tc>
          <w:tcPr>
            <w:tcW w:w="444"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46</w:t>
            </w:r>
          </w:p>
        </w:tc>
      </w:tr>
      <w:tr w:rsidR="0097566F" w:rsidTr="0097566F">
        <w:trPr>
          <w:trHeight w:val="454"/>
          <w:jc w:val="center"/>
        </w:trPr>
        <w:tc>
          <w:tcPr>
            <w:tcW w:w="512"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3</w:t>
            </w:r>
          </w:p>
        </w:tc>
        <w:tc>
          <w:tcPr>
            <w:tcW w:w="589"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目标3</w:t>
            </w:r>
          </w:p>
        </w:tc>
        <w:tc>
          <w:tcPr>
            <w:tcW w:w="502"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2</w:t>
            </w:r>
          </w:p>
        </w:tc>
        <w:tc>
          <w:tcPr>
            <w:tcW w:w="44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520"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468"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44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535"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30</w:t>
            </w:r>
          </w:p>
        </w:tc>
        <w:tc>
          <w:tcPr>
            <w:tcW w:w="536"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hint="eastAsia"/>
                <w:bCs/>
                <w:kern w:val="0"/>
                <w:sz w:val="24"/>
                <w:szCs w:val="24"/>
              </w:rPr>
            </w:pPr>
          </w:p>
        </w:tc>
        <w:tc>
          <w:tcPr>
            <w:tcW w:w="444"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32</w:t>
            </w:r>
          </w:p>
        </w:tc>
      </w:tr>
      <w:tr w:rsidR="0097566F" w:rsidTr="0097566F">
        <w:trPr>
          <w:trHeight w:val="454"/>
          <w:jc w:val="center"/>
        </w:trPr>
        <w:tc>
          <w:tcPr>
            <w:tcW w:w="1100" w:type="pct"/>
            <w:gridSpan w:val="2"/>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共计</w:t>
            </w:r>
          </w:p>
        </w:tc>
        <w:tc>
          <w:tcPr>
            <w:tcW w:w="502"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10</w:t>
            </w:r>
          </w:p>
        </w:tc>
        <w:tc>
          <w:tcPr>
            <w:tcW w:w="44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10</w:t>
            </w:r>
          </w:p>
        </w:tc>
        <w:tc>
          <w:tcPr>
            <w:tcW w:w="520"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468"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447"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p>
        </w:tc>
        <w:tc>
          <w:tcPr>
            <w:tcW w:w="535"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80</w:t>
            </w:r>
          </w:p>
        </w:tc>
        <w:tc>
          <w:tcPr>
            <w:tcW w:w="536"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hint="eastAsia"/>
                <w:bCs/>
                <w:kern w:val="0"/>
                <w:sz w:val="24"/>
                <w:szCs w:val="24"/>
              </w:rPr>
            </w:pPr>
          </w:p>
        </w:tc>
        <w:tc>
          <w:tcPr>
            <w:tcW w:w="444"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100</w:t>
            </w:r>
          </w:p>
        </w:tc>
      </w:tr>
    </w:tbl>
    <w:p w:rsidR="00CA5AE3" w:rsidRPr="0097566F" w:rsidRDefault="00CA5AE3" w:rsidP="00CA5AE3">
      <w:pPr>
        <w:adjustRightInd w:val="0"/>
        <w:snapToGrid w:val="0"/>
        <w:spacing w:line="360" w:lineRule="exact"/>
        <w:ind w:firstLineChars="200" w:firstLine="560"/>
        <w:rPr>
          <w:rFonts w:ascii="仿宋_GB2312" w:hAnsi="仿宋_GB2312" w:cs="仿宋_GB2312"/>
          <w:bCs/>
          <w:sz w:val="28"/>
          <w:szCs w:val="28"/>
        </w:rPr>
      </w:pPr>
      <w:r w:rsidRPr="0097566F">
        <w:rPr>
          <w:rFonts w:ascii="仿宋_GB2312" w:hAnsi="仿宋_GB2312" w:cs="仿宋_GB2312" w:hint="eastAsia"/>
          <w:bCs/>
          <w:sz w:val="28"/>
          <w:szCs w:val="28"/>
        </w:rPr>
        <w:t>（3）考核（评价）要求：</w:t>
      </w:r>
      <w:r w:rsidRPr="0097566F">
        <w:rPr>
          <w:rFonts w:ascii="仿宋_GB2312" w:hAnsi="仿宋_GB2312" w:cs="仿宋_GB2312"/>
          <w:bCs/>
          <w:sz w:val="28"/>
          <w:szCs w:val="28"/>
        </w:rPr>
        <w:t xml:space="preserve"> </w:t>
      </w:r>
    </w:p>
    <w:tbl>
      <w:tblPr>
        <w:tblW w:w="45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846"/>
        <w:gridCol w:w="1056"/>
        <w:gridCol w:w="3049"/>
        <w:gridCol w:w="1819"/>
      </w:tblGrid>
      <w:tr w:rsidR="00CA5AE3" w:rsidTr="00E07285">
        <w:trPr>
          <w:trHeight w:val="454"/>
          <w:jc w:val="center"/>
        </w:trPr>
        <w:tc>
          <w:tcPr>
            <w:tcW w:w="442" w:type="pct"/>
            <w:tcBorders>
              <w:top w:val="single" w:sz="4" w:space="0" w:color="000000"/>
              <w:left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序号</w:t>
            </w:r>
          </w:p>
        </w:tc>
        <w:tc>
          <w:tcPr>
            <w:tcW w:w="612" w:type="pct"/>
            <w:tcBorders>
              <w:top w:val="single" w:sz="4" w:space="0" w:color="000000"/>
              <w:left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考核</w:t>
            </w:r>
          </w:p>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环节</w:t>
            </w:r>
          </w:p>
        </w:tc>
        <w:tc>
          <w:tcPr>
            <w:tcW w:w="628" w:type="pct"/>
            <w:tcBorders>
              <w:top w:val="single" w:sz="4" w:space="0" w:color="000000"/>
              <w:left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目标</w:t>
            </w:r>
          </w:p>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分值</w:t>
            </w:r>
          </w:p>
        </w:tc>
        <w:tc>
          <w:tcPr>
            <w:tcW w:w="2064" w:type="pct"/>
            <w:tcBorders>
              <w:top w:val="single" w:sz="4" w:space="0" w:color="000000"/>
              <w:left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hint="eastAsia"/>
                <w:b/>
                <w:bCs/>
                <w:kern w:val="0"/>
                <w:sz w:val="24"/>
                <w:szCs w:val="24"/>
              </w:rPr>
              <w:t>考核（评价）要求</w:t>
            </w:r>
          </w:p>
        </w:tc>
        <w:tc>
          <w:tcPr>
            <w:tcW w:w="1253" w:type="pct"/>
            <w:tcBorders>
              <w:top w:val="single" w:sz="4" w:space="0" w:color="000000"/>
              <w:left w:val="single" w:sz="4" w:space="0" w:color="auto"/>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
                <w:bCs/>
                <w:kern w:val="0"/>
                <w:sz w:val="24"/>
                <w:szCs w:val="24"/>
              </w:rPr>
            </w:pPr>
            <w:r w:rsidRPr="0097566F">
              <w:rPr>
                <w:rFonts w:ascii="仿宋_GB2312" w:hAnsi="仿宋_GB2312" w:cs="仿宋_GB2312"/>
                <w:b/>
                <w:bCs/>
                <w:kern w:val="0"/>
                <w:sz w:val="24"/>
                <w:szCs w:val="24"/>
              </w:rPr>
              <w:t>支撑课程教学目标</w:t>
            </w:r>
          </w:p>
        </w:tc>
      </w:tr>
      <w:tr w:rsidR="00CA5AE3" w:rsidTr="00E07285">
        <w:trPr>
          <w:trHeight w:val="454"/>
          <w:jc w:val="center"/>
        </w:trPr>
        <w:tc>
          <w:tcPr>
            <w:tcW w:w="442"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1</w:t>
            </w:r>
          </w:p>
        </w:tc>
        <w:tc>
          <w:tcPr>
            <w:tcW w:w="612"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考勤</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100</w:t>
            </w:r>
          </w:p>
        </w:tc>
        <w:tc>
          <w:tcPr>
            <w:tcW w:w="2064"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出勤统计不少于授课次数的2/3；通过出勤统计结果考核学生学习态度和遵守课堂纪律等基本情况。</w:t>
            </w:r>
            <w:r w:rsidRPr="0097566F">
              <w:rPr>
                <w:rFonts w:ascii="仿宋_GB2312" w:hAnsi="仿宋_GB2312" w:cs="仿宋_GB2312"/>
                <w:bCs/>
                <w:kern w:val="0"/>
                <w:sz w:val="24"/>
                <w:szCs w:val="24"/>
              </w:rPr>
              <w:t xml:space="preserve"> </w:t>
            </w:r>
          </w:p>
        </w:tc>
        <w:tc>
          <w:tcPr>
            <w:tcW w:w="1253"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目标2</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3</w:t>
            </w:r>
          </w:p>
        </w:tc>
      </w:tr>
      <w:tr w:rsidR="00CA5AE3" w:rsidTr="00E07285">
        <w:trPr>
          <w:trHeight w:val="454"/>
          <w:jc w:val="center"/>
        </w:trPr>
        <w:tc>
          <w:tcPr>
            <w:tcW w:w="442"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2</w:t>
            </w:r>
          </w:p>
        </w:tc>
        <w:tc>
          <w:tcPr>
            <w:tcW w:w="612"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作业</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100</w:t>
            </w:r>
          </w:p>
        </w:tc>
        <w:tc>
          <w:tcPr>
            <w:tcW w:w="2064"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课后作业</w:t>
            </w:r>
            <w:r w:rsidRPr="0097566F">
              <w:rPr>
                <w:rFonts w:ascii="仿宋_GB2312" w:hAnsi="仿宋_GB2312" w:cs="仿宋_GB2312" w:hint="eastAsia"/>
                <w:bCs/>
                <w:kern w:val="0"/>
                <w:sz w:val="24"/>
                <w:szCs w:val="24"/>
              </w:rPr>
              <w:t>布置</w:t>
            </w:r>
            <w:r w:rsidRPr="0097566F">
              <w:rPr>
                <w:rFonts w:ascii="仿宋_GB2312" w:hAnsi="仿宋_GB2312" w:cs="仿宋_GB2312"/>
                <w:bCs/>
                <w:kern w:val="0"/>
                <w:sz w:val="24"/>
                <w:szCs w:val="24"/>
              </w:rPr>
              <w:t>2</w:t>
            </w:r>
            <w:r w:rsidRPr="0097566F">
              <w:rPr>
                <w:rFonts w:ascii="仿宋_GB2312" w:hAnsi="仿宋_GB2312" w:cs="仿宋_GB2312" w:hint="eastAsia"/>
                <w:bCs/>
                <w:kern w:val="0"/>
                <w:sz w:val="24"/>
                <w:szCs w:val="24"/>
              </w:rPr>
              <w:t>次；通过课后作业考核学生对工程监理相关概念的掌握情况。</w:t>
            </w:r>
          </w:p>
        </w:tc>
        <w:tc>
          <w:tcPr>
            <w:tcW w:w="1253"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目标</w:t>
            </w:r>
            <w:r w:rsidRPr="0097566F">
              <w:rPr>
                <w:rFonts w:ascii="仿宋_GB2312" w:hAnsi="仿宋_GB2312" w:cs="仿宋_GB2312"/>
                <w:bCs/>
                <w:kern w:val="0"/>
                <w:sz w:val="24"/>
                <w:szCs w:val="24"/>
              </w:rPr>
              <w:t>2</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目标3</w:t>
            </w:r>
          </w:p>
        </w:tc>
      </w:tr>
      <w:tr w:rsidR="00CA5AE3" w:rsidTr="00E07285">
        <w:trPr>
          <w:trHeight w:val="454"/>
          <w:jc w:val="center"/>
        </w:trPr>
        <w:tc>
          <w:tcPr>
            <w:tcW w:w="442" w:type="pct"/>
            <w:tcBorders>
              <w:top w:val="single" w:sz="4" w:space="0" w:color="000000"/>
              <w:left w:val="single" w:sz="4" w:space="0" w:color="000000"/>
              <w:bottom w:val="single" w:sz="4" w:space="0" w:color="000000"/>
              <w:right w:val="single" w:sz="4" w:space="0" w:color="000000"/>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3</w:t>
            </w:r>
          </w:p>
        </w:tc>
        <w:tc>
          <w:tcPr>
            <w:tcW w:w="612" w:type="pct"/>
            <w:tcBorders>
              <w:top w:val="single" w:sz="4" w:space="0" w:color="000000"/>
              <w:left w:val="single" w:sz="4" w:space="0" w:color="000000"/>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考试</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100</w:t>
            </w:r>
          </w:p>
        </w:tc>
        <w:tc>
          <w:tcPr>
            <w:tcW w:w="2064"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期末考试范围基本涵盖所有讲授内容，考试内容主要反映学生对本课程主要概念的理解和掌握的程度，以及综合运用的能力。</w:t>
            </w:r>
          </w:p>
        </w:tc>
        <w:tc>
          <w:tcPr>
            <w:tcW w:w="1253" w:type="pct"/>
            <w:tcBorders>
              <w:top w:val="single" w:sz="4" w:space="0" w:color="000000"/>
              <w:left w:val="single" w:sz="4" w:space="0" w:color="auto"/>
              <w:bottom w:val="single" w:sz="4" w:space="0" w:color="000000"/>
              <w:right w:val="single" w:sz="4" w:space="0" w:color="auto"/>
            </w:tcBorders>
            <w:vAlign w:val="center"/>
          </w:tcPr>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1</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hint="eastAsia"/>
                <w:bCs/>
                <w:kern w:val="0"/>
                <w:sz w:val="24"/>
                <w:szCs w:val="24"/>
              </w:rPr>
              <w:t>目标2</w:t>
            </w:r>
          </w:p>
          <w:p w:rsidR="00CA5AE3" w:rsidRPr="0097566F" w:rsidRDefault="00CA5AE3" w:rsidP="0097566F">
            <w:pPr>
              <w:widowControl/>
              <w:shd w:val="clear" w:color="auto" w:fill="FFFFFF"/>
              <w:spacing w:afterLines="50" w:after="156" w:line="460" w:lineRule="exact"/>
              <w:ind w:firstLineChars="200" w:firstLine="480"/>
              <w:outlineLvl w:val="0"/>
              <w:rPr>
                <w:rFonts w:ascii="仿宋_GB2312" w:hAnsi="仿宋_GB2312" w:cs="仿宋_GB2312"/>
                <w:bCs/>
                <w:kern w:val="0"/>
                <w:sz w:val="24"/>
                <w:szCs w:val="24"/>
              </w:rPr>
            </w:pPr>
            <w:r w:rsidRPr="0097566F">
              <w:rPr>
                <w:rFonts w:ascii="仿宋_GB2312" w:hAnsi="仿宋_GB2312" w:cs="仿宋_GB2312"/>
                <w:bCs/>
                <w:kern w:val="0"/>
                <w:sz w:val="24"/>
                <w:szCs w:val="24"/>
              </w:rPr>
              <w:t>目标</w:t>
            </w:r>
            <w:r w:rsidRPr="0097566F">
              <w:rPr>
                <w:rFonts w:ascii="仿宋_GB2312" w:hAnsi="仿宋_GB2312" w:cs="仿宋_GB2312" w:hint="eastAsia"/>
                <w:bCs/>
                <w:kern w:val="0"/>
                <w:sz w:val="24"/>
                <w:szCs w:val="24"/>
              </w:rPr>
              <w:t>3</w:t>
            </w:r>
          </w:p>
        </w:tc>
      </w:tr>
    </w:tbl>
    <w:p w:rsidR="00CA5AE3" w:rsidRDefault="00CA5AE3" w:rsidP="00CA5AE3">
      <w:pPr>
        <w:adjustRightInd w:val="0"/>
        <w:snapToGrid w:val="0"/>
        <w:spacing w:line="360" w:lineRule="exact"/>
        <w:ind w:firstLineChars="200" w:firstLine="640"/>
        <w:rPr>
          <w:rFonts w:ascii="Times New Roman" w:hAnsi="Times New Roman"/>
        </w:rPr>
      </w:pPr>
    </w:p>
    <w:p w:rsidR="0097566F" w:rsidRDefault="0097566F" w:rsidP="0097566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六、课程建议教材及主要参考资料</w:t>
      </w:r>
    </w:p>
    <w:p w:rsidR="0097566F" w:rsidRPr="0097566F" w:rsidRDefault="0097566F" w:rsidP="0097566F">
      <w:pPr>
        <w:spacing w:line="360" w:lineRule="auto"/>
        <w:ind w:firstLine="331"/>
        <w:jc w:val="left"/>
        <w:rPr>
          <w:rFonts w:ascii="仿宋_GB2312" w:hAnsi="仿宋_GB2312" w:cs="仿宋_GB2312"/>
          <w:bCs/>
          <w:sz w:val="28"/>
          <w:szCs w:val="28"/>
        </w:rPr>
      </w:pPr>
      <w:r w:rsidRPr="0097566F">
        <w:rPr>
          <w:rFonts w:ascii="仿宋_GB2312" w:hAnsi="仿宋_GB2312" w:cs="仿宋_GB2312" w:hint="eastAsia"/>
          <w:bCs/>
          <w:sz w:val="28"/>
          <w:szCs w:val="28"/>
        </w:rPr>
        <w:t>1.教材：李永福，史伟利.建设法规（第三版）[M].北京：中国电力出版社，2016年2月</w:t>
      </w:r>
    </w:p>
    <w:p w:rsidR="0097566F" w:rsidRPr="0097566F" w:rsidRDefault="0097566F" w:rsidP="0097566F">
      <w:pPr>
        <w:spacing w:line="360" w:lineRule="auto"/>
        <w:ind w:firstLine="331"/>
        <w:jc w:val="left"/>
        <w:rPr>
          <w:rFonts w:ascii="仿宋_GB2312" w:hAnsi="仿宋_GB2312" w:cs="仿宋_GB2312"/>
          <w:bCs/>
          <w:sz w:val="28"/>
          <w:szCs w:val="28"/>
        </w:rPr>
      </w:pPr>
      <w:r w:rsidRPr="0097566F">
        <w:rPr>
          <w:rFonts w:ascii="仿宋_GB2312" w:hAnsi="仿宋_GB2312" w:cs="仿宋_GB2312" w:hint="eastAsia"/>
          <w:bCs/>
          <w:sz w:val="28"/>
          <w:szCs w:val="28"/>
        </w:rPr>
        <w:t>2.主要参考书：何佰洲，工程建设法规教程第二版[M].北京：中国建筑工业出版社，2019年7月</w:t>
      </w:r>
    </w:p>
    <w:p w:rsidR="00CA5AE3" w:rsidRPr="0097566F" w:rsidRDefault="00CA5AE3" w:rsidP="00CA5AE3">
      <w:pPr>
        <w:spacing w:line="360" w:lineRule="exact"/>
        <w:ind w:firstLineChars="196" w:firstLine="627"/>
        <w:rPr>
          <w:rFonts w:ascii="Times New Roman" w:hAnsi="Times New Roman"/>
          <w:szCs w:val="21"/>
        </w:rPr>
      </w:pPr>
    </w:p>
    <w:p w:rsidR="0097566F" w:rsidRDefault="0097566F" w:rsidP="0097566F">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大纲撰写人：</w:t>
      </w:r>
      <w:r w:rsidRPr="0097566F">
        <w:rPr>
          <w:rFonts w:ascii="仿宋" w:eastAsia="仿宋" w:hAnsi="仿宋" w:hint="eastAsia"/>
          <w:sz w:val="28"/>
          <w:szCs w:val="28"/>
        </w:rPr>
        <w:t>张保兴</w:t>
      </w:r>
    </w:p>
    <w:p w:rsidR="0097566F" w:rsidRDefault="0097566F" w:rsidP="0097566F">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课程负责人：</w:t>
      </w:r>
    </w:p>
    <w:p w:rsidR="0097566F" w:rsidRDefault="0097566F" w:rsidP="0097566F">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审核人：</w:t>
      </w:r>
    </w:p>
    <w:p w:rsidR="0097566F" w:rsidRDefault="0097566F" w:rsidP="0097566F">
      <w:pPr>
        <w:jc w:val="center"/>
        <w:rPr>
          <w:rFonts w:ascii="仿宋_GB2312" w:hint="eastAsia"/>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97566F" w:rsidRDefault="0097566F" w:rsidP="0097566F">
      <w:pPr>
        <w:ind w:firstLineChars="2000" w:firstLine="5600"/>
        <w:jc w:val="left"/>
        <w:rPr>
          <w:rFonts w:ascii="仿宋" w:hAnsi="仿宋"/>
          <w:sz w:val="28"/>
          <w:szCs w:val="28"/>
        </w:rPr>
      </w:pPr>
      <w:r>
        <w:rPr>
          <w:rFonts w:ascii="仿宋_GB2312" w:hAnsi="微软雅黑" w:hint="eastAsia"/>
          <w:sz w:val="28"/>
          <w:szCs w:val="28"/>
        </w:rPr>
        <w:t xml:space="preserve">    </w:t>
      </w:r>
    </w:p>
    <w:p w:rsidR="0097566F" w:rsidRDefault="0097566F" w:rsidP="0097566F">
      <w:pPr>
        <w:jc w:val="left"/>
        <w:rPr>
          <w:rFonts w:ascii="仿宋_GB2312" w:hAnsi="黑体"/>
          <w:sz w:val="28"/>
          <w:szCs w:val="28"/>
        </w:rPr>
      </w:pPr>
      <w:r>
        <w:rPr>
          <w:rFonts w:ascii="仿宋" w:eastAsia="仿宋" w:hAnsi="仿宋" w:hint="eastAsia"/>
          <w:sz w:val="28"/>
          <w:szCs w:val="28"/>
        </w:rPr>
        <w:t xml:space="preserve">                                         年    月</w:t>
      </w:r>
    </w:p>
    <w:p w:rsidR="00CA5AE3" w:rsidRDefault="00CA5AE3" w:rsidP="00CA5AE3">
      <w:pPr>
        <w:spacing w:line="360" w:lineRule="exact"/>
        <w:ind w:firstLineChars="196" w:firstLine="627"/>
        <w:rPr>
          <w:rFonts w:ascii="Times New Roman" w:hAnsi="Times New Roman"/>
          <w:szCs w:val="21"/>
        </w:rPr>
      </w:pPr>
    </w:p>
    <w:p w:rsidR="00CA5AE3" w:rsidRDefault="00CA5AE3"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bCs/>
          <w:kern w:val="0"/>
          <w:szCs w:val="32"/>
        </w:rPr>
      </w:pPr>
    </w:p>
    <w:p w:rsidR="00CA5AE3" w:rsidRDefault="00CA5AE3"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bCs/>
          <w:kern w:val="0"/>
          <w:szCs w:val="32"/>
        </w:rPr>
      </w:pPr>
    </w:p>
    <w:p w:rsidR="0097566F" w:rsidRDefault="0097566F" w:rsidP="00CA5AE3">
      <w:pPr>
        <w:widowControl/>
        <w:spacing w:line="400" w:lineRule="exact"/>
        <w:rPr>
          <w:rFonts w:ascii="黑体" w:eastAsia="黑体" w:hAnsi="黑体" w:cs="宋体" w:hint="eastAsia"/>
          <w:bCs/>
          <w:kern w:val="0"/>
          <w:szCs w:val="32"/>
        </w:rPr>
      </w:pPr>
    </w:p>
    <w:p w:rsidR="0097566F" w:rsidRDefault="0097566F" w:rsidP="0097566F">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97566F">
        <w:rPr>
          <w:rFonts w:ascii="方正小标宋简体" w:eastAsia="方正小标宋简体" w:hAnsi="宋体" w:hint="eastAsia"/>
          <w:kern w:val="0"/>
          <w:szCs w:val="32"/>
        </w:rPr>
        <w:t>F</w:t>
      </w:r>
      <w:r w:rsidRPr="0097566F">
        <w:rPr>
          <w:rFonts w:ascii="方正小标宋简体" w:eastAsia="方正小标宋简体" w:hAnsi="宋体"/>
          <w:kern w:val="0"/>
          <w:szCs w:val="32"/>
        </w:rPr>
        <w:t>I</w:t>
      </w:r>
      <w:r w:rsidRPr="0097566F">
        <w:rPr>
          <w:rFonts w:ascii="方正小标宋简体" w:eastAsia="方正小标宋简体" w:hAnsi="宋体" w:hint="eastAsia"/>
          <w:kern w:val="0"/>
          <w:szCs w:val="32"/>
        </w:rPr>
        <w:t>DIC 合同（英文）</w:t>
      </w:r>
      <w:r>
        <w:rPr>
          <w:rFonts w:ascii="方正小标宋简体" w:eastAsia="方正小标宋简体" w:hAnsi="宋体" w:hint="eastAsia"/>
          <w:kern w:val="0"/>
          <w:szCs w:val="32"/>
        </w:rPr>
        <w:t>》课程教学大纲</w:t>
      </w:r>
    </w:p>
    <w:p w:rsidR="0097566F" w:rsidRDefault="0097566F" w:rsidP="0097566F">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一、课程信息</w:t>
      </w:r>
    </w:p>
    <w:p w:rsidR="0097566F" w:rsidRDefault="0097566F" w:rsidP="0097566F">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英文名称：</w:t>
      </w:r>
      <w:r w:rsidR="00250D6B" w:rsidRPr="00250D6B">
        <w:rPr>
          <w:rFonts w:ascii="仿宋_GB2312" w:hAnsi="仿宋_GB2312" w:cs="仿宋_GB2312"/>
          <w:bCs/>
          <w:sz w:val="28"/>
          <w:szCs w:val="28"/>
        </w:rPr>
        <w:t>FIDIC contract terms</w:t>
      </w:r>
    </w:p>
    <w:p w:rsidR="0097566F" w:rsidRDefault="0097566F" w:rsidP="0097566F">
      <w:pPr>
        <w:spacing w:line="360" w:lineRule="auto"/>
        <w:ind w:firstLine="331"/>
        <w:jc w:val="left"/>
        <w:rPr>
          <w:rFonts w:ascii="仿宋_GB2312" w:hAnsi="仿宋_GB2312" w:cs="仿宋_GB2312" w:hint="eastAsia"/>
          <w:bCs/>
          <w:sz w:val="28"/>
          <w:szCs w:val="28"/>
        </w:rPr>
      </w:pPr>
      <w:r>
        <w:rPr>
          <w:rFonts w:ascii="仿宋_GB2312" w:hAnsi="仿宋_GB2312" w:cs="仿宋_GB2312" w:hint="eastAsia"/>
          <w:bCs/>
          <w:sz w:val="28"/>
          <w:szCs w:val="28"/>
        </w:rPr>
        <w:t>课程编码：</w:t>
      </w:r>
      <w:r w:rsidR="00250D6B" w:rsidRPr="00250D6B">
        <w:rPr>
          <w:rFonts w:ascii="仿宋_GB2312" w:hAnsi="仿宋_GB2312" w:cs="仿宋_GB2312"/>
          <w:bCs/>
          <w:sz w:val="28"/>
          <w:szCs w:val="28"/>
        </w:rPr>
        <w:t>Z2805301</w:t>
      </w:r>
    </w:p>
    <w:p w:rsidR="0097566F" w:rsidRDefault="0097566F" w:rsidP="0097566F">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授课语言：</w:t>
      </w:r>
      <w:r w:rsidR="00250D6B">
        <w:rPr>
          <w:rFonts w:ascii="仿宋_GB2312" w:hAnsi="仿宋_GB2312" w:cs="仿宋_GB2312" w:hint="eastAsia"/>
          <w:bCs/>
          <w:sz w:val="28"/>
          <w:szCs w:val="28"/>
        </w:rPr>
        <w:t>中文</w:t>
      </w:r>
    </w:p>
    <w:p w:rsidR="0097566F" w:rsidRDefault="0097566F" w:rsidP="0097566F">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授课方式：线下</w:t>
      </w:r>
    </w:p>
    <w:p w:rsidR="0097566F" w:rsidRDefault="0097566F" w:rsidP="0097566F">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课程类别：专业发展课程</w:t>
      </w:r>
    </w:p>
    <w:p w:rsidR="0097566F" w:rsidRDefault="0097566F" w:rsidP="0097566F">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课程性质：选修</w:t>
      </w:r>
    </w:p>
    <w:p w:rsidR="0097566F" w:rsidRDefault="0097566F" w:rsidP="0097566F">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学    分：</w:t>
      </w:r>
      <w:r w:rsidR="00250D6B">
        <w:rPr>
          <w:rFonts w:ascii="仿宋_GB2312" w:hAnsi="仿宋_GB2312" w:cs="仿宋_GB2312"/>
          <w:bCs/>
          <w:sz w:val="28"/>
          <w:szCs w:val="28"/>
        </w:rPr>
        <w:t>1.5</w:t>
      </w:r>
    </w:p>
    <w:p w:rsidR="0097566F" w:rsidRDefault="0097566F" w:rsidP="0097566F">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学    时：</w:t>
      </w:r>
      <w:r w:rsidR="00250D6B">
        <w:rPr>
          <w:rFonts w:ascii="仿宋_GB2312" w:hAnsi="仿宋_GB2312" w:cs="仿宋_GB2312"/>
          <w:bCs/>
          <w:sz w:val="28"/>
          <w:szCs w:val="28"/>
        </w:rPr>
        <w:t>24</w:t>
      </w:r>
      <w:r>
        <w:rPr>
          <w:rFonts w:ascii="仿宋_GB2312" w:hAnsi="仿宋_GB2312" w:cs="仿宋_GB2312" w:hint="eastAsia"/>
          <w:bCs/>
          <w:sz w:val="28"/>
          <w:szCs w:val="28"/>
        </w:rPr>
        <w:t>学时</w:t>
      </w:r>
    </w:p>
    <w:p w:rsidR="0097566F" w:rsidRDefault="0097566F" w:rsidP="0097566F">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适用对象：</w:t>
      </w:r>
      <w:r w:rsidR="00250D6B" w:rsidRPr="00250D6B">
        <w:rPr>
          <w:rFonts w:ascii="仿宋_GB2312" w:hAnsi="仿宋_GB2312" w:cs="仿宋_GB2312" w:hint="eastAsia"/>
          <w:bCs/>
          <w:sz w:val="28"/>
          <w:szCs w:val="28"/>
        </w:rPr>
        <w:t>工程造价专业</w:t>
      </w:r>
    </w:p>
    <w:p w:rsidR="0097566F" w:rsidRDefault="0097566F" w:rsidP="0097566F">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先修课程：</w:t>
      </w:r>
      <w:r w:rsidR="00250D6B" w:rsidRPr="00250D6B">
        <w:rPr>
          <w:rFonts w:ascii="仿宋_GB2312" w:hAnsi="仿宋_GB2312" w:cs="仿宋_GB2312" w:hint="eastAsia"/>
          <w:bCs/>
          <w:sz w:val="28"/>
          <w:szCs w:val="28"/>
        </w:rPr>
        <w:t>工程计量与计价、建设法规、工程材料、房屋建筑学等</w:t>
      </w:r>
    </w:p>
    <w:p w:rsidR="0097566F" w:rsidRDefault="0097566F" w:rsidP="0097566F">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开课院系：</w:t>
      </w:r>
      <w:r w:rsidR="00250D6B" w:rsidRPr="00250D6B">
        <w:rPr>
          <w:rFonts w:ascii="仿宋_GB2312" w:hAnsi="仿宋_GB2312" w:cs="仿宋_GB2312" w:hint="eastAsia"/>
          <w:bCs/>
          <w:sz w:val="28"/>
          <w:szCs w:val="28"/>
        </w:rPr>
        <w:t>土木工程学院工程造价与施工教研室</w:t>
      </w:r>
    </w:p>
    <w:p w:rsidR="0097566F" w:rsidRDefault="0097566F" w:rsidP="0097566F">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二、课程简介</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bCs/>
          <w:sz w:val="28"/>
          <w:szCs w:val="28"/>
        </w:rPr>
        <w:t>课程教学目标</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本课程是工程造价专业的专业发展模块选修课，介绍Fidic合同条款的基础知识、核心条款以及Fidic合同运行过程中的索赔及解决方法。本门课程是一门理论与实践均很强的课程，通过本课程的学习，使学生对Fidic合同有总体的理解和认识，能对常见的国际工程较合理的运用相关领域的国际通用规则进行分析和解决，重在培养学生理解和运用相关条款的能力，为从事国际工程相关的实际工作打下坚实</w:t>
      </w:r>
      <w:r w:rsidRPr="00250D6B">
        <w:rPr>
          <w:rFonts w:ascii="仿宋_GB2312" w:hAnsi="仿宋_GB2312" w:cs="仿宋_GB2312" w:hint="eastAsia"/>
          <w:bCs/>
          <w:sz w:val="28"/>
          <w:szCs w:val="28"/>
        </w:rPr>
        <w:lastRenderedPageBreak/>
        <w:t>基础。通过本课程的学习，要求学生达到以下目标：</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1.1 知识目标：</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1、了解Fidic合同的基础理论。</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2、熟悉Fidic业主、工程师、承包商的主要权利和义务。</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3、掌握Fidic合同成立与履行、合同违约。</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4、熟悉合同分包的性质和特征，Fidic合同分包规则。</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5、掌握Fidic合同工程与工期延误、工程变更。</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6、掌握Fidic合同工程质量与责任。</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7、掌握Fidic合同价格与工程款支付。</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1.2 能力、素质目标：</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1、具备国际工程管理专业领域的专业知识及相关的法律、法规；</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2、具备对工程管理专业外语文献进行读、写、译的基本能力，能够进行跨文化的交流与合作；</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3、能运用Fidic合同条款解决实际工程问题；</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4、具备良好的人文社会科学素养和工程职业道德。</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bCs/>
          <w:sz w:val="28"/>
          <w:szCs w:val="28"/>
        </w:rPr>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768"/>
        <w:gridCol w:w="886"/>
        <w:gridCol w:w="3073"/>
      </w:tblGrid>
      <w:tr w:rsidR="00CA5AE3" w:rsidTr="00E07285">
        <w:trPr>
          <w:trHeight w:val="454"/>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序号</w:t>
            </w:r>
          </w:p>
        </w:tc>
        <w:tc>
          <w:tcPr>
            <w:tcW w:w="2271" w:type="pct"/>
            <w:vMerge w:val="restart"/>
            <w:tcBorders>
              <w:top w:val="single" w:sz="4" w:space="0" w:color="000000"/>
              <w:left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课程教学目标</w:t>
            </w:r>
          </w:p>
        </w:tc>
        <w:tc>
          <w:tcPr>
            <w:tcW w:w="2386" w:type="pct"/>
            <w:gridSpan w:val="2"/>
            <w:tcBorders>
              <w:top w:val="single" w:sz="4" w:space="0" w:color="000000"/>
              <w:left w:val="single" w:sz="4" w:space="0" w:color="000000"/>
              <w:bottom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支撑毕业要求指标点</w:t>
            </w:r>
          </w:p>
        </w:tc>
      </w:tr>
      <w:tr w:rsidR="00CA5AE3" w:rsidTr="00E07285">
        <w:trPr>
          <w:trHeight w:val="454"/>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widowControl/>
              <w:spacing w:line="360" w:lineRule="exact"/>
              <w:jc w:val="center"/>
              <w:rPr>
                <w:rFonts w:ascii="仿宋_GB2312" w:hAnsi="仿宋_GB2312" w:cs="仿宋_GB2312"/>
                <w:b/>
                <w:bCs/>
                <w:sz w:val="24"/>
                <w:szCs w:val="24"/>
              </w:rPr>
            </w:pPr>
          </w:p>
        </w:tc>
        <w:tc>
          <w:tcPr>
            <w:tcW w:w="2271" w:type="pct"/>
            <w:vMerge/>
            <w:tcBorders>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p>
        </w:tc>
        <w:tc>
          <w:tcPr>
            <w:tcW w:w="534" w:type="pct"/>
            <w:tcBorders>
              <w:top w:val="single" w:sz="4" w:space="0" w:color="auto"/>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指标点</w:t>
            </w:r>
          </w:p>
        </w:tc>
        <w:tc>
          <w:tcPr>
            <w:tcW w:w="1852" w:type="pct"/>
            <w:tcBorders>
              <w:top w:val="single" w:sz="4" w:space="0" w:color="auto"/>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指标点内容</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w:t>
            </w:r>
          </w:p>
        </w:tc>
        <w:tc>
          <w:tcPr>
            <w:tcW w:w="2271"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目标1：</w:t>
            </w:r>
            <w:r w:rsidRPr="00250D6B">
              <w:rPr>
                <w:rFonts w:ascii="仿宋_GB2312" w:hAnsi="仿宋_GB2312" w:cs="仿宋_GB2312" w:hint="eastAsia"/>
                <w:bCs/>
                <w:sz w:val="24"/>
                <w:szCs w:val="24"/>
              </w:rPr>
              <w:t>熟悉 Fidic合同的基础理论，熟悉 Fidic业主、工程师、承包商的主要权利和义务。</w:t>
            </w:r>
          </w:p>
        </w:tc>
        <w:tc>
          <w:tcPr>
            <w:tcW w:w="534"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3.1</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t>能够将数学、自然科学、工程基础和专业知识用于解决复杂工程问题。</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w:t>
            </w:r>
          </w:p>
        </w:tc>
        <w:tc>
          <w:tcPr>
            <w:tcW w:w="2271"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目标2：</w:t>
            </w:r>
            <w:r w:rsidRPr="00250D6B">
              <w:rPr>
                <w:rFonts w:ascii="仿宋_GB2312" w:hAnsi="仿宋_GB2312" w:cs="仿宋_GB2312" w:hint="eastAsia"/>
                <w:bCs/>
                <w:sz w:val="24"/>
                <w:szCs w:val="24"/>
              </w:rPr>
              <w:t>掌握 Fidic合同成立与履行、合同违约，</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lastRenderedPageBreak/>
              <w:t>熟悉合同分包的性质和特征，Fidic合同分包规则，掌握 Fidic合同工程与工期延误，工程变更，掌握 Fidic合同工程质量与责任，掌握 Fidic合同价格与工程款支付。</w:t>
            </w:r>
          </w:p>
        </w:tc>
        <w:tc>
          <w:tcPr>
            <w:tcW w:w="534"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lastRenderedPageBreak/>
              <w:t>3.3</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t>能够设计针对复杂工程问题的解决方案，设计满足</w:t>
            </w:r>
            <w:r w:rsidRPr="00250D6B">
              <w:rPr>
                <w:rFonts w:ascii="仿宋_GB2312" w:hAnsi="仿宋_GB2312" w:cs="仿宋_GB2312" w:hint="eastAsia"/>
                <w:bCs/>
                <w:sz w:val="24"/>
                <w:szCs w:val="24"/>
              </w:rPr>
              <w:lastRenderedPageBreak/>
              <w:t>特定需求的工程投资方案，并能够在设计环节中体现价值管理的创新意识，考虑社会、健康、安全、法律、文化以及环境等因素</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lastRenderedPageBreak/>
              <w:t>3</w:t>
            </w:r>
          </w:p>
        </w:tc>
        <w:tc>
          <w:tcPr>
            <w:tcW w:w="2271"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目标3：</w:t>
            </w:r>
            <w:r w:rsidRPr="00250D6B">
              <w:rPr>
                <w:rFonts w:ascii="仿宋_GB2312" w:hAnsi="仿宋_GB2312" w:cs="仿宋_GB2312" w:hint="eastAsia"/>
                <w:bCs/>
                <w:sz w:val="24"/>
                <w:szCs w:val="24"/>
              </w:rPr>
              <w:t>培养工程管理专业外语文献进行读、写、译的基本能力，培养具备国际工程管理专业领域的专业知识及相关的法律、法规的能力，能运用Fidic合同条款解决实际工程问题</w:t>
            </w:r>
          </w:p>
        </w:tc>
        <w:tc>
          <w:tcPr>
            <w:tcW w:w="534"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3.11</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t>理解并掌握工程管理原理与经济决策方法，并能在多类工程项目中应用。</w:t>
            </w:r>
          </w:p>
        </w:tc>
      </w:tr>
    </w:tbl>
    <w:p w:rsidR="00250D6B" w:rsidRDefault="00250D6B" w:rsidP="00250D6B">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3"/>
        <w:gridCol w:w="2149"/>
        <w:gridCol w:w="954"/>
        <w:gridCol w:w="596"/>
        <w:gridCol w:w="926"/>
      </w:tblGrid>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序号</w:t>
            </w:r>
          </w:p>
        </w:tc>
        <w:tc>
          <w:tcPr>
            <w:tcW w:w="1870" w:type="pct"/>
            <w:tcBorders>
              <w:top w:val="single" w:sz="4" w:space="0" w:color="000000"/>
              <w:left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教学内容及重点、难点</w:t>
            </w:r>
          </w:p>
        </w:tc>
        <w:tc>
          <w:tcPr>
            <w:tcW w:w="1295" w:type="pct"/>
            <w:tcBorders>
              <w:top w:val="single" w:sz="4" w:space="0" w:color="000000"/>
              <w:left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支撑课程教学目标</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内容：第一章</w:t>
            </w:r>
            <w:r w:rsidRPr="00250D6B">
              <w:rPr>
                <w:rFonts w:ascii="仿宋_GB2312" w:hAnsi="仿宋_GB2312" w:cs="仿宋_GB2312" w:hint="eastAsia"/>
                <w:bCs/>
                <w:sz w:val="24"/>
                <w:szCs w:val="24"/>
              </w:rPr>
              <w:t>FIDIC合同概述</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重点：</w:t>
            </w:r>
            <w:r w:rsidRPr="00250D6B">
              <w:rPr>
                <w:rFonts w:ascii="仿宋_GB2312" w:hAnsi="仿宋_GB2312" w:cs="仿宋_GB2312" w:hint="eastAsia"/>
                <w:bCs/>
                <w:sz w:val="24"/>
                <w:szCs w:val="24"/>
              </w:rPr>
              <w:t>无</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难点：</w:t>
            </w:r>
            <w:r w:rsidRPr="00250D6B">
              <w:rPr>
                <w:rFonts w:ascii="仿宋_GB2312" w:hAnsi="仿宋_GB2312" w:cs="仿宋_GB2312" w:hint="eastAsia"/>
                <w:bCs/>
                <w:sz w:val="24"/>
                <w:szCs w:val="24"/>
              </w:rPr>
              <w:t>合同文件构成及解释顺序</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rPr>
                <w:rFonts w:ascii="仿宋_GB2312" w:hAnsi="仿宋_GB2312" w:cs="仿宋_GB2312"/>
                <w:bCs/>
                <w:sz w:val="24"/>
                <w:szCs w:val="24"/>
              </w:rPr>
            </w:pPr>
            <w:r w:rsidRPr="00250D6B">
              <w:rPr>
                <w:rFonts w:ascii="仿宋_GB2312" w:hAnsi="仿宋_GB2312" w:cs="仿宋_GB2312"/>
                <w:bCs/>
                <w:sz w:val="24"/>
                <w:szCs w:val="24"/>
              </w:rPr>
              <w:t>1.</w:t>
            </w:r>
            <w:r w:rsidRPr="00250D6B">
              <w:rPr>
                <w:rFonts w:ascii="仿宋_GB2312" w:hAnsi="仿宋_GB2312" w:cs="仿宋_GB2312" w:hint="eastAsia"/>
                <w:bCs/>
                <w:sz w:val="24"/>
                <w:szCs w:val="24"/>
              </w:rPr>
              <w:t xml:space="preserve"> 熟悉Fidic合同的基础理论</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rPr>
                <w:rFonts w:ascii="仿宋_GB2312" w:hAnsi="仿宋_GB2312" w:cs="仿宋_GB2312"/>
                <w:bCs/>
                <w:sz w:val="24"/>
                <w:szCs w:val="24"/>
              </w:rPr>
            </w:pPr>
            <w:r w:rsidRPr="00250D6B">
              <w:rPr>
                <w:rFonts w:ascii="仿宋_GB2312" w:hAnsi="仿宋_GB2312" w:cs="仿宋_GB2312"/>
                <w:bCs/>
                <w:sz w:val="24"/>
                <w:szCs w:val="24"/>
              </w:rPr>
              <w:t>目标1</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内容：第二章</w:t>
            </w:r>
            <w:r w:rsidRPr="00250D6B">
              <w:rPr>
                <w:rFonts w:ascii="仿宋_GB2312" w:hAnsi="仿宋_GB2312" w:cs="仿宋_GB2312" w:hint="eastAsia"/>
                <w:bCs/>
                <w:sz w:val="24"/>
                <w:szCs w:val="24"/>
              </w:rPr>
              <w:t>FIDIC合同的基础理论</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重点：</w:t>
            </w:r>
            <w:r w:rsidRPr="00250D6B">
              <w:rPr>
                <w:rFonts w:ascii="仿宋_GB2312" w:hAnsi="仿宋_GB2312" w:cs="仿宋_GB2312" w:hint="eastAsia"/>
                <w:bCs/>
                <w:sz w:val="24"/>
                <w:szCs w:val="24"/>
              </w:rPr>
              <w:t>无</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难点：</w:t>
            </w:r>
            <w:r w:rsidRPr="00250D6B">
              <w:rPr>
                <w:rFonts w:ascii="仿宋_GB2312" w:hAnsi="仿宋_GB2312" w:cs="仿宋_GB2312" w:hint="eastAsia"/>
                <w:bCs/>
                <w:sz w:val="24"/>
                <w:szCs w:val="24"/>
              </w:rPr>
              <w:t>工程师的主要权利和义务</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rPr>
                <w:rFonts w:ascii="仿宋_GB2312" w:hAnsi="仿宋_GB2312" w:cs="仿宋_GB2312"/>
                <w:bCs/>
                <w:sz w:val="24"/>
                <w:szCs w:val="24"/>
              </w:rPr>
            </w:pPr>
            <w:r w:rsidRPr="00250D6B">
              <w:rPr>
                <w:rFonts w:ascii="仿宋_GB2312" w:hAnsi="仿宋_GB2312" w:cs="仿宋_GB2312"/>
                <w:bCs/>
                <w:sz w:val="24"/>
                <w:szCs w:val="24"/>
              </w:rPr>
              <w:t>1.</w:t>
            </w:r>
            <w:r w:rsidRPr="00250D6B">
              <w:rPr>
                <w:rFonts w:ascii="仿宋_GB2312" w:hAnsi="仿宋_GB2312" w:cs="仿宋_GB2312" w:hint="eastAsia"/>
                <w:bCs/>
                <w:sz w:val="24"/>
                <w:szCs w:val="24"/>
              </w:rPr>
              <w:t xml:space="preserve"> 熟悉Fidic业主、工程师、承包商的主要权利和义务</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目标1</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内容：第三章</w:t>
            </w:r>
            <w:r w:rsidRPr="00250D6B">
              <w:rPr>
                <w:rFonts w:ascii="仿宋_GB2312" w:hAnsi="仿宋_GB2312" w:cs="仿宋_GB2312" w:hint="eastAsia"/>
                <w:bCs/>
                <w:sz w:val="24"/>
                <w:szCs w:val="24"/>
              </w:rPr>
              <w:t>业主、工程师和承包商的主要权力和义务</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重点：</w:t>
            </w:r>
            <w:r w:rsidRPr="00250D6B">
              <w:rPr>
                <w:rFonts w:ascii="仿宋_GB2312" w:hAnsi="仿宋_GB2312" w:cs="仿宋_GB2312" w:hint="eastAsia"/>
                <w:bCs/>
                <w:sz w:val="24"/>
                <w:szCs w:val="24"/>
              </w:rPr>
              <w:t>合同内容、合同履行、合同违约</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难点：</w:t>
            </w:r>
            <w:r w:rsidRPr="00250D6B">
              <w:rPr>
                <w:rFonts w:ascii="仿宋_GB2312" w:hAnsi="仿宋_GB2312" w:cs="仿宋_GB2312" w:hint="eastAsia"/>
                <w:bCs/>
                <w:sz w:val="24"/>
                <w:szCs w:val="24"/>
              </w:rPr>
              <w:t>合同履行、合同违约</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rPr>
                <w:rFonts w:ascii="仿宋_GB2312" w:hAnsi="仿宋_GB2312" w:cs="仿宋_GB2312"/>
                <w:bCs/>
                <w:sz w:val="24"/>
                <w:szCs w:val="24"/>
              </w:rPr>
            </w:pPr>
            <w:r w:rsidRPr="00250D6B">
              <w:rPr>
                <w:rFonts w:ascii="仿宋_GB2312" w:hAnsi="仿宋_GB2312" w:cs="仿宋_GB2312"/>
                <w:bCs/>
                <w:sz w:val="24"/>
                <w:szCs w:val="24"/>
              </w:rPr>
              <w:t>1.</w:t>
            </w:r>
            <w:r w:rsidRPr="00250D6B">
              <w:rPr>
                <w:rFonts w:ascii="仿宋_GB2312" w:hAnsi="仿宋_GB2312" w:cs="仿宋_GB2312" w:hint="eastAsia"/>
                <w:bCs/>
                <w:sz w:val="24"/>
                <w:szCs w:val="24"/>
              </w:rPr>
              <w:t xml:space="preserve"> 掌握Fidic合同成立与履行、合同违约。</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课堂授课</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目标2</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内容：第四章</w:t>
            </w:r>
            <w:r w:rsidRPr="00250D6B">
              <w:rPr>
                <w:rFonts w:ascii="仿宋_GB2312" w:hAnsi="仿宋_GB2312" w:cs="仿宋_GB2312" w:hint="eastAsia"/>
                <w:bCs/>
                <w:sz w:val="24"/>
                <w:szCs w:val="24"/>
              </w:rPr>
              <w:t>工程分包合同</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重点：</w:t>
            </w:r>
            <w:r w:rsidRPr="00250D6B">
              <w:rPr>
                <w:rFonts w:ascii="仿宋_GB2312" w:hAnsi="仿宋_GB2312" w:cs="仿宋_GB2312" w:hint="eastAsia"/>
                <w:bCs/>
                <w:sz w:val="24"/>
                <w:szCs w:val="24"/>
              </w:rPr>
              <w:t>合同分包商的主要义务</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难点：</w:t>
            </w:r>
            <w:r w:rsidRPr="00250D6B">
              <w:rPr>
                <w:rFonts w:ascii="仿宋_GB2312" w:hAnsi="仿宋_GB2312" w:cs="仿宋_GB2312" w:hint="eastAsia"/>
                <w:bCs/>
                <w:sz w:val="24"/>
                <w:szCs w:val="24"/>
              </w:rPr>
              <w:t>合同分包规则</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rPr>
                <w:rFonts w:ascii="仿宋_GB2312" w:hAnsi="仿宋_GB2312" w:cs="仿宋_GB2312"/>
                <w:bCs/>
                <w:sz w:val="24"/>
                <w:szCs w:val="24"/>
              </w:rPr>
            </w:pPr>
            <w:r w:rsidRPr="00250D6B">
              <w:rPr>
                <w:rFonts w:ascii="仿宋_GB2312" w:hAnsi="仿宋_GB2312" w:cs="仿宋_GB2312"/>
                <w:bCs/>
                <w:sz w:val="24"/>
                <w:szCs w:val="24"/>
              </w:rPr>
              <w:t>1. 熟悉合同分包的性质和特征，</w:t>
            </w:r>
            <w:r w:rsidRPr="00250D6B">
              <w:rPr>
                <w:rFonts w:ascii="仿宋_GB2312" w:hAnsi="仿宋_GB2312" w:cs="仿宋_GB2312" w:hint="eastAsia"/>
                <w:bCs/>
                <w:sz w:val="24"/>
                <w:szCs w:val="24"/>
              </w:rPr>
              <w:t>Fidic合同分包规则</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课堂授课</w:t>
            </w:r>
          </w:p>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目标2</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lastRenderedPageBreak/>
              <w:t>5</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内容：第五章</w:t>
            </w:r>
            <w:r w:rsidRPr="00250D6B">
              <w:rPr>
                <w:rFonts w:ascii="仿宋_GB2312" w:hAnsi="仿宋_GB2312" w:cs="仿宋_GB2312" w:hint="eastAsia"/>
                <w:bCs/>
                <w:sz w:val="24"/>
                <w:szCs w:val="24"/>
              </w:rPr>
              <w:t>工期与工期延误、工程变更</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重点：</w:t>
            </w:r>
            <w:r w:rsidRPr="00250D6B">
              <w:rPr>
                <w:rFonts w:ascii="仿宋_GB2312" w:hAnsi="仿宋_GB2312" w:cs="仿宋_GB2312" w:hint="eastAsia"/>
                <w:bCs/>
                <w:sz w:val="24"/>
                <w:szCs w:val="24"/>
              </w:rPr>
              <w:t>合同延误、合同变更</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难点：</w:t>
            </w:r>
            <w:r w:rsidRPr="00250D6B">
              <w:rPr>
                <w:rFonts w:ascii="仿宋_GB2312" w:hAnsi="仿宋_GB2312" w:cs="仿宋_GB2312" w:hint="eastAsia"/>
                <w:bCs/>
                <w:sz w:val="24"/>
                <w:szCs w:val="24"/>
              </w:rPr>
              <w:t>合同延误、合同变更</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rPr>
                <w:rFonts w:ascii="仿宋_GB2312" w:hAnsi="仿宋_GB2312" w:cs="仿宋_GB2312"/>
                <w:bCs/>
                <w:sz w:val="24"/>
                <w:szCs w:val="24"/>
              </w:rPr>
            </w:pPr>
            <w:r w:rsidRPr="00250D6B">
              <w:rPr>
                <w:rFonts w:ascii="仿宋_GB2312" w:hAnsi="仿宋_GB2312" w:cs="仿宋_GB2312"/>
                <w:bCs/>
                <w:sz w:val="24"/>
                <w:szCs w:val="24"/>
              </w:rPr>
              <w:t>1. 掌握Fidic合同工程与工期延误，工程变更。</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目标2、3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6</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内容：第六章</w:t>
            </w:r>
            <w:r w:rsidRPr="00250D6B">
              <w:rPr>
                <w:rFonts w:ascii="仿宋_GB2312" w:hAnsi="仿宋_GB2312" w:cs="仿宋_GB2312" w:hint="eastAsia"/>
                <w:bCs/>
                <w:sz w:val="24"/>
                <w:szCs w:val="24"/>
              </w:rPr>
              <w:t>工程质量与责任</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重点：</w:t>
            </w:r>
            <w:r w:rsidRPr="00250D6B">
              <w:rPr>
                <w:rFonts w:ascii="仿宋_GB2312" w:hAnsi="仿宋_GB2312" w:cs="仿宋_GB2312" w:hint="eastAsia"/>
                <w:bCs/>
                <w:sz w:val="24"/>
                <w:szCs w:val="24"/>
              </w:rPr>
              <w:t>工程质量保修</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难点：</w:t>
            </w:r>
            <w:r w:rsidRPr="00250D6B">
              <w:rPr>
                <w:rFonts w:ascii="仿宋_GB2312" w:hAnsi="仿宋_GB2312" w:cs="仿宋_GB2312" w:hint="eastAsia"/>
                <w:bCs/>
                <w:sz w:val="24"/>
                <w:szCs w:val="24"/>
              </w:rPr>
              <w:t>承包商与业主的工程质量责任</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rPr>
                <w:rFonts w:ascii="仿宋_GB2312" w:hAnsi="仿宋_GB2312" w:cs="仿宋_GB2312"/>
                <w:bCs/>
                <w:sz w:val="24"/>
                <w:szCs w:val="24"/>
              </w:rPr>
            </w:pPr>
            <w:r w:rsidRPr="00250D6B">
              <w:rPr>
                <w:rFonts w:ascii="仿宋_GB2312" w:hAnsi="仿宋_GB2312" w:cs="仿宋_GB2312"/>
                <w:bCs/>
                <w:sz w:val="24"/>
                <w:szCs w:val="24"/>
              </w:rPr>
              <w:t>1.</w:t>
            </w:r>
            <w:r w:rsidRPr="00250D6B">
              <w:rPr>
                <w:rFonts w:ascii="仿宋_GB2312" w:hAnsi="仿宋_GB2312" w:cs="仿宋_GB2312" w:hint="eastAsia"/>
                <w:bCs/>
                <w:sz w:val="24"/>
                <w:szCs w:val="24"/>
              </w:rPr>
              <w:t xml:space="preserve"> 掌握Fidic合同工程质量与责任。</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目标2、3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7</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内容：第七章</w:t>
            </w:r>
            <w:r w:rsidRPr="00250D6B">
              <w:rPr>
                <w:rFonts w:ascii="仿宋_GB2312" w:hAnsi="仿宋_GB2312" w:cs="仿宋_GB2312" w:hint="eastAsia"/>
                <w:bCs/>
                <w:sz w:val="24"/>
                <w:szCs w:val="24"/>
              </w:rPr>
              <w:t>合同价格与工程款项支付</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重点：</w:t>
            </w:r>
            <w:r w:rsidRPr="00250D6B">
              <w:rPr>
                <w:rFonts w:ascii="仿宋_GB2312" w:hAnsi="仿宋_GB2312" w:cs="仿宋_GB2312" w:hint="eastAsia"/>
                <w:bCs/>
                <w:sz w:val="24"/>
                <w:szCs w:val="24"/>
              </w:rPr>
              <w:t>无</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难点：</w:t>
            </w:r>
            <w:r w:rsidRPr="00250D6B">
              <w:rPr>
                <w:rFonts w:ascii="仿宋_GB2312" w:hAnsi="仿宋_GB2312" w:cs="仿宋_GB2312" w:hint="eastAsia"/>
                <w:bCs/>
                <w:sz w:val="24"/>
                <w:szCs w:val="24"/>
              </w:rPr>
              <w:t>工程款项支付</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rPr>
                <w:rFonts w:ascii="仿宋_GB2312" w:hAnsi="仿宋_GB2312" w:cs="仿宋_GB2312"/>
                <w:bCs/>
                <w:sz w:val="24"/>
                <w:szCs w:val="24"/>
              </w:rPr>
            </w:pPr>
            <w:r w:rsidRPr="00250D6B">
              <w:rPr>
                <w:rFonts w:ascii="仿宋_GB2312" w:hAnsi="仿宋_GB2312" w:cs="仿宋_GB2312"/>
                <w:bCs/>
                <w:sz w:val="24"/>
                <w:szCs w:val="24"/>
              </w:rPr>
              <w:t>1.</w:t>
            </w:r>
            <w:r w:rsidRPr="00250D6B">
              <w:rPr>
                <w:rFonts w:ascii="仿宋_GB2312" w:hAnsi="仿宋_GB2312" w:cs="仿宋_GB2312" w:hint="eastAsia"/>
                <w:bCs/>
                <w:sz w:val="24"/>
                <w:szCs w:val="24"/>
              </w:rPr>
              <w:t xml:space="preserve"> 掌握 Fidic合同价格与工程款支付。</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课堂授课</w:t>
            </w:r>
          </w:p>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随堂测验</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目标2、3</w:t>
            </w:r>
          </w:p>
        </w:tc>
      </w:tr>
    </w:tbl>
    <w:p w:rsidR="00CA5AE3" w:rsidRPr="00250D6B" w:rsidRDefault="00CA5AE3" w:rsidP="00CA5AE3">
      <w:pPr>
        <w:keepNext/>
        <w:spacing w:beforeLines="100" w:before="312" w:afterLines="50" w:after="156" w:line="360" w:lineRule="exact"/>
        <w:outlineLvl w:val="0"/>
        <w:rPr>
          <w:rFonts w:ascii="仿宋" w:eastAsia="仿宋" w:hAnsi="仿宋"/>
          <w:b/>
          <w:sz w:val="28"/>
          <w:szCs w:val="28"/>
        </w:rPr>
      </w:pPr>
      <w:r w:rsidRPr="00250D6B">
        <w:rPr>
          <w:rFonts w:ascii="仿宋" w:eastAsia="仿宋" w:hAnsi="仿宋"/>
          <w:b/>
          <w:sz w:val="28"/>
          <w:szCs w:val="28"/>
        </w:rPr>
        <w:t>课内实践教学内容及要求</w:t>
      </w:r>
    </w:p>
    <w:p w:rsidR="00CA5AE3" w:rsidRPr="00250D6B" w:rsidRDefault="00CA5AE3" w:rsidP="00CA5AE3">
      <w:pPr>
        <w:adjustRightInd w:val="0"/>
        <w:snapToGrid w:val="0"/>
        <w:spacing w:line="360" w:lineRule="exact"/>
        <w:rPr>
          <w:rFonts w:ascii="Times New Roman" w:hAnsi="Times New Roman"/>
          <w:sz w:val="28"/>
          <w:szCs w:val="28"/>
        </w:rPr>
      </w:pPr>
      <w:r w:rsidRPr="00250D6B">
        <w:rPr>
          <w:rFonts w:ascii="Times New Roman" w:hAnsi="Times New Roman"/>
          <w:sz w:val="28"/>
          <w:szCs w:val="28"/>
        </w:rPr>
        <w:t>无</w:t>
      </w:r>
    </w:p>
    <w:p w:rsidR="00CA5AE3" w:rsidRPr="00250D6B" w:rsidRDefault="00CA5AE3" w:rsidP="00CA5AE3">
      <w:pPr>
        <w:keepNext/>
        <w:spacing w:beforeLines="100" w:before="312" w:afterLines="50" w:after="156" w:line="360" w:lineRule="exact"/>
        <w:outlineLvl w:val="0"/>
        <w:rPr>
          <w:rFonts w:ascii="仿宋" w:eastAsia="仿宋" w:hAnsi="仿宋"/>
          <w:b/>
          <w:sz w:val="28"/>
          <w:szCs w:val="28"/>
        </w:rPr>
      </w:pPr>
      <w:r w:rsidRPr="00250D6B">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CA5AE3" w:rsidTr="00E07285">
        <w:trPr>
          <w:trHeight w:val="454"/>
          <w:jc w:val="center"/>
        </w:trPr>
        <w:tc>
          <w:tcPr>
            <w:tcW w:w="1624" w:type="pct"/>
            <w:vMerge w:val="restart"/>
            <w:vAlign w:val="center"/>
          </w:tcPr>
          <w:p w:rsidR="00CA5AE3" w:rsidRPr="00250D6B" w:rsidRDefault="00CA5AE3" w:rsidP="00250D6B">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章  节</w:t>
            </w:r>
          </w:p>
        </w:tc>
        <w:tc>
          <w:tcPr>
            <w:tcW w:w="2937" w:type="pct"/>
            <w:gridSpan w:val="6"/>
            <w:vAlign w:val="center"/>
          </w:tcPr>
          <w:p w:rsidR="00CA5AE3" w:rsidRPr="00250D6B" w:rsidRDefault="00CA5AE3" w:rsidP="00250D6B">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学 时 分 配</w:t>
            </w:r>
          </w:p>
        </w:tc>
        <w:tc>
          <w:tcPr>
            <w:tcW w:w="439" w:type="pct"/>
            <w:vMerge w:val="restart"/>
            <w:vAlign w:val="center"/>
          </w:tcPr>
          <w:p w:rsidR="00CA5AE3" w:rsidRPr="00250D6B" w:rsidRDefault="00CA5AE3" w:rsidP="00250D6B">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合  计</w:t>
            </w:r>
          </w:p>
        </w:tc>
      </w:tr>
      <w:tr w:rsidR="00CA5AE3" w:rsidTr="00E07285">
        <w:trPr>
          <w:trHeight w:val="454"/>
          <w:jc w:val="center"/>
        </w:trPr>
        <w:tc>
          <w:tcPr>
            <w:tcW w:w="1624" w:type="pct"/>
            <w:vMerge/>
            <w:vAlign w:val="center"/>
          </w:tcPr>
          <w:p w:rsidR="00CA5AE3" w:rsidRDefault="00CA5AE3" w:rsidP="00E07285">
            <w:pPr>
              <w:adjustRightInd w:val="0"/>
              <w:snapToGrid w:val="0"/>
              <w:spacing w:line="360" w:lineRule="exact"/>
              <w:jc w:val="center"/>
              <w:rPr>
                <w:rFonts w:ascii="Times New Roman" w:hAnsi="Times New Roman"/>
                <w:b/>
              </w:rPr>
            </w:pPr>
          </w:p>
        </w:tc>
        <w:tc>
          <w:tcPr>
            <w:tcW w:w="489" w:type="pct"/>
            <w:vAlign w:val="center"/>
          </w:tcPr>
          <w:p w:rsidR="00CA5AE3" w:rsidRPr="00250D6B" w:rsidRDefault="00CA5AE3" w:rsidP="00250D6B">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讲  课</w:t>
            </w:r>
          </w:p>
        </w:tc>
        <w:tc>
          <w:tcPr>
            <w:tcW w:w="490" w:type="pct"/>
            <w:vAlign w:val="center"/>
          </w:tcPr>
          <w:p w:rsidR="00CA5AE3" w:rsidRPr="00250D6B" w:rsidRDefault="00CA5AE3" w:rsidP="00250D6B">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实验课</w:t>
            </w:r>
          </w:p>
        </w:tc>
        <w:tc>
          <w:tcPr>
            <w:tcW w:w="489" w:type="pct"/>
            <w:vAlign w:val="center"/>
          </w:tcPr>
          <w:p w:rsidR="00CA5AE3" w:rsidRPr="00250D6B" w:rsidRDefault="00CA5AE3" w:rsidP="00250D6B">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上机课</w:t>
            </w:r>
          </w:p>
        </w:tc>
        <w:tc>
          <w:tcPr>
            <w:tcW w:w="490" w:type="pct"/>
            <w:vAlign w:val="center"/>
          </w:tcPr>
          <w:p w:rsidR="00CA5AE3" w:rsidRPr="00250D6B" w:rsidRDefault="00CA5AE3" w:rsidP="00250D6B">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讨论课</w:t>
            </w:r>
          </w:p>
        </w:tc>
        <w:tc>
          <w:tcPr>
            <w:tcW w:w="489" w:type="pct"/>
            <w:vAlign w:val="center"/>
          </w:tcPr>
          <w:p w:rsidR="00CA5AE3" w:rsidRPr="00250D6B" w:rsidRDefault="00CA5AE3" w:rsidP="00250D6B">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习题课</w:t>
            </w:r>
          </w:p>
        </w:tc>
        <w:tc>
          <w:tcPr>
            <w:tcW w:w="490" w:type="pct"/>
            <w:vAlign w:val="center"/>
          </w:tcPr>
          <w:p w:rsidR="00CA5AE3" w:rsidRPr="00250D6B" w:rsidRDefault="00CA5AE3" w:rsidP="00250D6B">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其  它</w:t>
            </w:r>
          </w:p>
        </w:tc>
        <w:tc>
          <w:tcPr>
            <w:tcW w:w="439" w:type="pct"/>
            <w:vMerge/>
            <w:vAlign w:val="center"/>
          </w:tcPr>
          <w:p w:rsidR="00CA5AE3" w:rsidRDefault="00CA5AE3" w:rsidP="00E07285">
            <w:pPr>
              <w:adjustRightInd w:val="0"/>
              <w:snapToGrid w:val="0"/>
              <w:spacing w:line="360" w:lineRule="exact"/>
              <w:jc w:val="center"/>
              <w:rPr>
                <w:rFonts w:ascii="Times New Roman" w:hAnsi="Times New Roman"/>
              </w:rPr>
            </w:pPr>
          </w:p>
        </w:tc>
      </w:tr>
      <w:tr w:rsidR="00CA5AE3" w:rsidTr="00E07285">
        <w:trPr>
          <w:trHeight w:val="454"/>
          <w:jc w:val="center"/>
        </w:trPr>
        <w:tc>
          <w:tcPr>
            <w:tcW w:w="1624"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第一章</w:t>
            </w: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w:t>
            </w: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3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w:t>
            </w:r>
          </w:p>
        </w:tc>
      </w:tr>
      <w:tr w:rsidR="00CA5AE3" w:rsidTr="00E07285">
        <w:trPr>
          <w:trHeight w:val="454"/>
          <w:jc w:val="center"/>
        </w:trPr>
        <w:tc>
          <w:tcPr>
            <w:tcW w:w="1624"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第二章</w:t>
            </w: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3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r>
      <w:tr w:rsidR="00CA5AE3" w:rsidTr="00E07285">
        <w:trPr>
          <w:trHeight w:val="454"/>
          <w:jc w:val="center"/>
        </w:trPr>
        <w:tc>
          <w:tcPr>
            <w:tcW w:w="1624"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第三章</w:t>
            </w: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3</w:t>
            </w: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w:t>
            </w: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3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r>
      <w:tr w:rsidR="00CA5AE3" w:rsidTr="00E07285">
        <w:trPr>
          <w:trHeight w:val="454"/>
          <w:jc w:val="center"/>
        </w:trPr>
        <w:tc>
          <w:tcPr>
            <w:tcW w:w="1624"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第四章</w:t>
            </w: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3</w:t>
            </w: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w:t>
            </w: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3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r>
      <w:tr w:rsidR="00CA5AE3" w:rsidTr="00E07285">
        <w:trPr>
          <w:trHeight w:val="454"/>
          <w:jc w:val="center"/>
        </w:trPr>
        <w:tc>
          <w:tcPr>
            <w:tcW w:w="1624"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第五章</w:t>
            </w: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3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r>
      <w:tr w:rsidR="00CA5AE3" w:rsidTr="00E07285">
        <w:trPr>
          <w:trHeight w:val="454"/>
          <w:jc w:val="center"/>
        </w:trPr>
        <w:tc>
          <w:tcPr>
            <w:tcW w:w="1624"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第六章</w:t>
            </w: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3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r>
      <w:tr w:rsidR="00CA5AE3" w:rsidTr="00E07285">
        <w:trPr>
          <w:trHeight w:val="454"/>
          <w:jc w:val="center"/>
        </w:trPr>
        <w:tc>
          <w:tcPr>
            <w:tcW w:w="1624"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第七章</w:t>
            </w: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w:t>
            </w: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w:t>
            </w: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3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w:t>
            </w:r>
          </w:p>
        </w:tc>
      </w:tr>
      <w:tr w:rsidR="00CA5AE3" w:rsidTr="00E07285">
        <w:trPr>
          <w:trHeight w:val="454"/>
          <w:jc w:val="center"/>
        </w:trPr>
        <w:tc>
          <w:tcPr>
            <w:tcW w:w="1624"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共  计</w:t>
            </w: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21</w:t>
            </w: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w:t>
            </w:r>
          </w:p>
        </w:tc>
        <w:tc>
          <w:tcPr>
            <w:tcW w:w="48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w:t>
            </w:r>
          </w:p>
        </w:tc>
        <w:tc>
          <w:tcPr>
            <w:tcW w:w="490" w:type="pct"/>
            <w:vAlign w:val="center"/>
          </w:tcPr>
          <w:p w:rsidR="00CA5AE3" w:rsidRPr="00250D6B" w:rsidRDefault="00CA5AE3" w:rsidP="00250D6B">
            <w:pPr>
              <w:spacing w:line="360" w:lineRule="exact"/>
              <w:jc w:val="center"/>
              <w:rPr>
                <w:rFonts w:ascii="仿宋_GB2312" w:hAnsi="仿宋_GB2312" w:cs="仿宋_GB2312"/>
                <w:bCs/>
                <w:sz w:val="24"/>
                <w:szCs w:val="24"/>
              </w:rPr>
            </w:pPr>
          </w:p>
        </w:tc>
        <w:tc>
          <w:tcPr>
            <w:tcW w:w="439" w:type="pct"/>
            <w:vAlign w:val="center"/>
          </w:tcPr>
          <w:p w:rsidR="00CA5AE3" w:rsidRPr="00250D6B" w:rsidRDefault="00CA5AE3" w:rsidP="00250D6B">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24</w:t>
            </w:r>
          </w:p>
        </w:tc>
      </w:tr>
    </w:tbl>
    <w:p w:rsidR="00CA5AE3" w:rsidRPr="00250D6B" w:rsidRDefault="00CA5AE3" w:rsidP="00CA5AE3">
      <w:pPr>
        <w:keepNext/>
        <w:spacing w:beforeLines="100" w:before="312" w:afterLines="50" w:after="156" w:line="360" w:lineRule="exact"/>
        <w:outlineLvl w:val="0"/>
        <w:rPr>
          <w:rFonts w:ascii="仿宋" w:eastAsia="仿宋" w:hAnsi="仿宋"/>
          <w:b/>
          <w:sz w:val="28"/>
          <w:szCs w:val="28"/>
        </w:rPr>
      </w:pPr>
      <w:r w:rsidRPr="00250D6B">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930"/>
        <w:gridCol w:w="3217"/>
      </w:tblGrid>
      <w:tr w:rsidR="00CA5AE3" w:rsidTr="00E07285">
        <w:trPr>
          <w:trHeight w:val="454"/>
          <w:jc w:val="center"/>
        </w:trPr>
        <w:tc>
          <w:tcPr>
            <w:tcW w:w="343" w:type="pct"/>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序号</w:t>
            </w:r>
          </w:p>
        </w:tc>
        <w:tc>
          <w:tcPr>
            <w:tcW w:w="1555" w:type="pct"/>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课程思政教学目标</w:t>
            </w:r>
          </w:p>
        </w:tc>
        <w:tc>
          <w:tcPr>
            <w:tcW w:w="1163" w:type="pct"/>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授课章节</w:t>
            </w:r>
          </w:p>
        </w:tc>
        <w:tc>
          <w:tcPr>
            <w:tcW w:w="1939" w:type="pct"/>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课程思政融入点（至少5处）</w:t>
            </w:r>
          </w:p>
        </w:tc>
      </w:tr>
      <w:tr w:rsidR="00CA5AE3" w:rsidTr="00E07285">
        <w:trPr>
          <w:trHeight w:val="454"/>
          <w:jc w:val="center"/>
        </w:trPr>
        <w:tc>
          <w:tcPr>
            <w:tcW w:w="343"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w:t>
            </w:r>
          </w:p>
        </w:tc>
        <w:tc>
          <w:tcPr>
            <w:tcW w:w="1555"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正确政治导向</w:t>
            </w:r>
          </w:p>
        </w:tc>
        <w:tc>
          <w:tcPr>
            <w:tcW w:w="1163"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第一章</w:t>
            </w:r>
          </w:p>
        </w:tc>
        <w:tc>
          <w:tcPr>
            <w:tcW w:w="1939" w:type="pct"/>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t>Fidic合同是时代要求</w:t>
            </w:r>
          </w:p>
        </w:tc>
      </w:tr>
      <w:tr w:rsidR="00CA5AE3" w:rsidTr="00E07285">
        <w:trPr>
          <w:trHeight w:val="454"/>
          <w:jc w:val="center"/>
        </w:trPr>
        <w:tc>
          <w:tcPr>
            <w:tcW w:w="343"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lastRenderedPageBreak/>
              <w:t>2</w:t>
            </w:r>
          </w:p>
        </w:tc>
        <w:tc>
          <w:tcPr>
            <w:tcW w:w="1555"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社会主义核心价值观教育</w:t>
            </w:r>
          </w:p>
        </w:tc>
        <w:tc>
          <w:tcPr>
            <w:tcW w:w="1163"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第二章</w:t>
            </w:r>
          </w:p>
        </w:tc>
        <w:tc>
          <w:tcPr>
            <w:tcW w:w="1939" w:type="pct"/>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公正严密</w:t>
            </w:r>
            <w:r w:rsidRPr="00250D6B">
              <w:rPr>
                <w:rFonts w:ascii="仿宋_GB2312" w:hAnsi="仿宋_GB2312" w:cs="仿宋_GB2312" w:hint="eastAsia"/>
                <w:bCs/>
                <w:sz w:val="24"/>
                <w:szCs w:val="24"/>
              </w:rPr>
              <w:t>的Fidic合同是提升建筑质量、</w:t>
            </w:r>
            <w:r w:rsidRPr="00250D6B">
              <w:rPr>
                <w:rFonts w:ascii="仿宋_GB2312" w:hAnsi="仿宋_GB2312" w:cs="仿宋_GB2312"/>
                <w:bCs/>
                <w:sz w:val="24"/>
                <w:szCs w:val="24"/>
              </w:rPr>
              <w:t>明确规定</w:t>
            </w:r>
            <w:r w:rsidRPr="00250D6B">
              <w:rPr>
                <w:rFonts w:ascii="仿宋_GB2312" w:hAnsi="仿宋_GB2312" w:cs="仿宋_GB2312" w:hint="eastAsia"/>
                <w:bCs/>
                <w:sz w:val="24"/>
                <w:szCs w:val="24"/>
              </w:rPr>
              <w:t>各方</w:t>
            </w:r>
            <w:r w:rsidRPr="00250D6B">
              <w:rPr>
                <w:rFonts w:ascii="仿宋_GB2312" w:hAnsi="仿宋_GB2312" w:cs="仿宋_GB2312"/>
                <w:bCs/>
                <w:sz w:val="24"/>
                <w:szCs w:val="24"/>
              </w:rPr>
              <w:t>权利</w:t>
            </w:r>
            <w:r w:rsidRPr="00250D6B">
              <w:rPr>
                <w:rFonts w:ascii="仿宋_GB2312" w:hAnsi="仿宋_GB2312" w:cs="仿宋_GB2312" w:hint="eastAsia"/>
                <w:bCs/>
                <w:sz w:val="24"/>
                <w:szCs w:val="24"/>
              </w:rPr>
              <w:t>义务的有力工具</w:t>
            </w:r>
          </w:p>
        </w:tc>
      </w:tr>
      <w:tr w:rsidR="00CA5AE3" w:rsidTr="00E07285">
        <w:trPr>
          <w:trHeight w:val="454"/>
          <w:jc w:val="center"/>
        </w:trPr>
        <w:tc>
          <w:tcPr>
            <w:tcW w:w="343"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3</w:t>
            </w:r>
          </w:p>
        </w:tc>
        <w:tc>
          <w:tcPr>
            <w:tcW w:w="1555"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远大理想塑造</w:t>
            </w:r>
          </w:p>
        </w:tc>
        <w:tc>
          <w:tcPr>
            <w:tcW w:w="1163"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第一~四章</w:t>
            </w:r>
          </w:p>
        </w:tc>
        <w:tc>
          <w:tcPr>
            <w:tcW w:w="1939" w:type="pct"/>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通用性</w:t>
            </w:r>
            <w:r w:rsidRPr="00250D6B">
              <w:rPr>
                <w:rFonts w:ascii="仿宋_GB2312" w:hAnsi="仿宋_GB2312" w:cs="仿宋_GB2312" w:hint="eastAsia"/>
                <w:bCs/>
                <w:sz w:val="24"/>
                <w:szCs w:val="24"/>
              </w:rPr>
              <w:t>的Fidic合同在我国属于新事物，尚有广阔的发展空间</w:t>
            </w:r>
          </w:p>
        </w:tc>
      </w:tr>
      <w:tr w:rsidR="00CA5AE3" w:rsidTr="00E07285">
        <w:trPr>
          <w:trHeight w:val="454"/>
          <w:jc w:val="center"/>
        </w:trPr>
        <w:tc>
          <w:tcPr>
            <w:tcW w:w="343"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w:t>
            </w:r>
          </w:p>
        </w:tc>
        <w:tc>
          <w:tcPr>
            <w:tcW w:w="1555"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健康心态培育</w:t>
            </w:r>
          </w:p>
        </w:tc>
        <w:tc>
          <w:tcPr>
            <w:tcW w:w="1163"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第五~七章</w:t>
            </w:r>
          </w:p>
        </w:tc>
        <w:tc>
          <w:tcPr>
            <w:tcW w:w="1939" w:type="pct"/>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t>各种新法规需要不断学习，应勇于面对新的合同问题并着力寻求解决</w:t>
            </w:r>
          </w:p>
        </w:tc>
      </w:tr>
      <w:tr w:rsidR="00CA5AE3" w:rsidTr="00E07285">
        <w:trPr>
          <w:trHeight w:val="454"/>
          <w:jc w:val="center"/>
        </w:trPr>
        <w:tc>
          <w:tcPr>
            <w:tcW w:w="343"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5</w:t>
            </w:r>
          </w:p>
        </w:tc>
        <w:tc>
          <w:tcPr>
            <w:tcW w:w="1555"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道德品质培养</w:t>
            </w:r>
          </w:p>
        </w:tc>
        <w:tc>
          <w:tcPr>
            <w:tcW w:w="1163" w:type="pct"/>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第五~七章</w:t>
            </w:r>
          </w:p>
        </w:tc>
        <w:tc>
          <w:tcPr>
            <w:tcW w:w="1939" w:type="pct"/>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t>各项合同要应用于解决市场的合理需求，切实服务于社会</w:t>
            </w:r>
          </w:p>
        </w:tc>
      </w:tr>
    </w:tbl>
    <w:p w:rsidR="00250D6B" w:rsidRDefault="00250D6B" w:rsidP="00250D6B">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五、课程考核方式与成绩评定</w:t>
      </w:r>
    </w:p>
    <w:p w:rsidR="00CA5AE3" w:rsidRPr="00250D6B" w:rsidRDefault="00CA5AE3" w:rsidP="00250D6B">
      <w:pPr>
        <w:spacing w:line="360" w:lineRule="auto"/>
        <w:ind w:leftChars="103" w:left="1779" w:hanging="1449"/>
        <w:rPr>
          <w:rFonts w:ascii="仿宋_GB2312" w:hAnsi="仿宋_GB2312" w:cs="仿宋_GB2312"/>
          <w:bCs/>
          <w:sz w:val="28"/>
          <w:szCs w:val="28"/>
        </w:rPr>
      </w:pPr>
      <w:r w:rsidRPr="00250D6B">
        <w:rPr>
          <w:rFonts w:ascii="仿宋_GB2312" w:hAnsi="仿宋_GB2312" w:cs="仿宋_GB2312"/>
          <w:bCs/>
          <w:sz w:val="28"/>
          <w:szCs w:val="28"/>
        </w:rPr>
        <w:t>（1）考核方式</w:t>
      </w:r>
    </w:p>
    <w:p w:rsidR="00CA5AE3" w:rsidRPr="00250D6B" w:rsidRDefault="00CA5AE3" w:rsidP="00250D6B">
      <w:pPr>
        <w:spacing w:line="360" w:lineRule="auto"/>
        <w:ind w:leftChars="203" w:left="650" w:firstLineChars="100" w:firstLine="280"/>
        <w:rPr>
          <w:rFonts w:ascii="仿宋_GB2312" w:hAnsi="仿宋_GB2312" w:cs="仿宋_GB2312"/>
          <w:bCs/>
          <w:sz w:val="28"/>
          <w:szCs w:val="28"/>
        </w:rPr>
      </w:pPr>
      <w:r w:rsidRPr="00250D6B">
        <w:rPr>
          <w:rFonts w:ascii="仿宋_GB2312" w:hAnsi="仿宋_GB2312" w:cs="仿宋_GB2312"/>
          <w:bCs/>
          <w:sz w:val="28"/>
          <w:szCs w:val="28"/>
        </w:rPr>
        <w:t>本课程考核方式为考试，其中期末考核方式为非标准答案考试，过程考核方式为课堂出勤、课堂讨论展示、作业完成情况及平时随堂测验等。</w:t>
      </w:r>
    </w:p>
    <w:p w:rsidR="00CA5AE3" w:rsidRPr="00250D6B" w:rsidRDefault="00CA5AE3" w:rsidP="00250D6B">
      <w:pPr>
        <w:spacing w:line="360" w:lineRule="auto"/>
        <w:ind w:leftChars="103" w:left="1779" w:hanging="1449"/>
        <w:rPr>
          <w:rFonts w:ascii="仿宋_GB2312" w:hAnsi="仿宋_GB2312" w:cs="仿宋_GB2312"/>
          <w:bCs/>
          <w:sz w:val="28"/>
          <w:szCs w:val="28"/>
        </w:rPr>
      </w:pPr>
      <w:r w:rsidRPr="00250D6B">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881"/>
        <w:gridCol w:w="672"/>
        <w:gridCol w:w="672"/>
        <w:gridCol w:w="672"/>
        <w:gridCol w:w="672"/>
        <w:gridCol w:w="672"/>
        <w:gridCol w:w="677"/>
        <w:gridCol w:w="656"/>
        <w:gridCol w:w="667"/>
      </w:tblGrid>
      <w:tr w:rsidR="00CA5AE3" w:rsidTr="00E07285">
        <w:trPr>
          <w:trHeight w:val="454"/>
          <w:jc w:val="center"/>
        </w:trPr>
        <w:tc>
          <w:tcPr>
            <w:tcW w:w="396" w:type="pct"/>
            <w:vMerge w:val="restart"/>
            <w:tcBorders>
              <w:top w:val="single" w:sz="4" w:space="0" w:color="000000"/>
              <w:left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课程</w:t>
            </w:r>
          </w:p>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目标</w:t>
            </w:r>
          </w:p>
        </w:tc>
        <w:tc>
          <w:tcPr>
            <w:tcW w:w="3956" w:type="pct"/>
            <w:gridSpan w:val="8"/>
            <w:tcBorders>
              <w:top w:val="single" w:sz="4" w:space="0" w:color="000000"/>
              <w:left w:val="single" w:sz="4" w:space="0" w:color="auto"/>
              <w:bottom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考核方式及成绩比例（%）</w:t>
            </w:r>
          </w:p>
        </w:tc>
      </w:tr>
      <w:tr w:rsidR="00CA5AE3" w:rsidTr="00E07285">
        <w:trPr>
          <w:trHeight w:val="454"/>
          <w:jc w:val="center"/>
        </w:trPr>
        <w:tc>
          <w:tcPr>
            <w:tcW w:w="396" w:type="pct"/>
            <w:vMerge/>
            <w:tcBorders>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p>
        </w:tc>
        <w:tc>
          <w:tcPr>
            <w:tcW w:w="496" w:type="pct"/>
            <w:tcBorders>
              <w:top w:val="single" w:sz="4" w:space="0" w:color="auto"/>
              <w:left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考勤</w:t>
            </w:r>
          </w:p>
        </w:tc>
        <w:tc>
          <w:tcPr>
            <w:tcW w:w="496" w:type="pct"/>
            <w:tcBorders>
              <w:top w:val="single" w:sz="4" w:space="0" w:color="auto"/>
              <w:left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作业</w:t>
            </w:r>
          </w:p>
        </w:tc>
        <w:tc>
          <w:tcPr>
            <w:tcW w:w="496" w:type="pct"/>
            <w:tcBorders>
              <w:top w:val="single" w:sz="4" w:space="0" w:color="auto"/>
              <w:left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讨论</w:t>
            </w:r>
          </w:p>
        </w:tc>
        <w:tc>
          <w:tcPr>
            <w:tcW w:w="496" w:type="pct"/>
            <w:tcBorders>
              <w:top w:val="single" w:sz="4" w:space="0" w:color="auto"/>
              <w:left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实验</w:t>
            </w:r>
          </w:p>
        </w:tc>
        <w:tc>
          <w:tcPr>
            <w:tcW w:w="496" w:type="pct"/>
            <w:tcBorders>
              <w:top w:val="single" w:sz="4" w:space="0" w:color="auto"/>
              <w:left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测验</w:t>
            </w:r>
          </w:p>
        </w:tc>
        <w:tc>
          <w:tcPr>
            <w:tcW w:w="499" w:type="pct"/>
            <w:tcBorders>
              <w:top w:val="single" w:sz="4" w:space="0" w:color="auto"/>
              <w:left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考试</w:t>
            </w:r>
          </w:p>
        </w:tc>
        <w:tc>
          <w:tcPr>
            <w:tcW w:w="484" w:type="pct"/>
            <w:tcBorders>
              <w:top w:val="single" w:sz="4" w:space="0" w:color="auto"/>
              <w:left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w:t>
            </w:r>
          </w:p>
        </w:tc>
        <w:tc>
          <w:tcPr>
            <w:tcW w:w="492" w:type="pct"/>
            <w:tcBorders>
              <w:top w:val="single" w:sz="4" w:space="0" w:color="auto"/>
              <w:left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合计</w:t>
            </w:r>
          </w:p>
        </w:tc>
      </w:tr>
      <w:tr w:rsidR="00CA5AE3" w:rsidTr="00E07285">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目标1</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5</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22</w:t>
            </w:r>
          </w:p>
        </w:tc>
      </w:tr>
      <w:tr w:rsidR="00CA5AE3" w:rsidTr="00E07285">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目标2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4</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8</w:t>
            </w: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15</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32</w:t>
            </w:r>
          </w:p>
        </w:tc>
      </w:tr>
      <w:tr w:rsidR="00CA5AE3" w:rsidTr="00E07285">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目标3</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4</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12</w:t>
            </w: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25</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46</w:t>
            </w:r>
          </w:p>
        </w:tc>
      </w:tr>
      <w:tr w:rsidR="00CA5AE3" w:rsidTr="00E07285">
        <w:trPr>
          <w:trHeight w:val="454"/>
          <w:jc w:val="center"/>
        </w:trPr>
        <w:tc>
          <w:tcPr>
            <w:tcW w:w="1044" w:type="pct"/>
            <w:gridSpan w:val="2"/>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共计</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15</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20</w:t>
            </w: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45</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100</w:t>
            </w:r>
          </w:p>
        </w:tc>
      </w:tr>
    </w:tbl>
    <w:p w:rsidR="00CA5AE3" w:rsidRDefault="00CA5AE3" w:rsidP="00CA5AE3">
      <w:pPr>
        <w:adjustRightInd w:val="0"/>
        <w:snapToGrid w:val="0"/>
        <w:spacing w:line="360" w:lineRule="exact"/>
        <w:ind w:firstLineChars="200" w:firstLine="560"/>
      </w:pPr>
      <w:r w:rsidRPr="00250D6B">
        <w:rPr>
          <w:rFonts w:ascii="仿宋_GB2312" w:hAnsi="仿宋_GB2312" w:cs="仿宋_GB2312" w:hint="eastAsia"/>
          <w:bCs/>
          <w:sz w:val="28"/>
          <w:szCs w:val="28"/>
        </w:rPr>
        <w:t>（3）考核（评价）要求：</w:t>
      </w:r>
      <w: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51"/>
        <w:gridCol w:w="951"/>
        <w:gridCol w:w="4782"/>
        <w:gridCol w:w="1042"/>
      </w:tblGrid>
      <w:tr w:rsidR="00CA5AE3" w:rsidTr="00E07285">
        <w:trPr>
          <w:trHeight w:val="454"/>
          <w:jc w:val="center"/>
        </w:trPr>
        <w:tc>
          <w:tcPr>
            <w:tcW w:w="343" w:type="pct"/>
            <w:tcBorders>
              <w:top w:val="single" w:sz="4" w:space="0" w:color="000000"/>
              <w:left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hint="eastAsia"/>
                <w:b/>
                <w:bCs/>
                <w:sz w:val="24"/>
                <w:szCs w:val="24"/>
              </w:rPr>
              <w:t>目标分值</w:t>
            </w:r>
          </w:p>
        </w:tc>
        <w:tc>
          <w:tcPr>
            <w:tcW w:w="2880" w:type="pct"/>
            <w:tcBorders>
              <w:top w:val="single" w:sz="4" w:space="0" w:color="000000"/>
              <w:left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支撑课程教学目标</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t>出勤统计不少于授课次数的2/3；通过出勤统计结果考核学生学习态度和遵守课堂纪律</w:t>
            </w:r>
            <w:r w:rsidRPr="00250D6B">
              <w:rPr>
                <w:rFonts w:ascii="仿宋_GB2312" w:hAnsi="仿宋_GB2312" w:cs="仿宋_GB2312" w:hint="eastAsia"/>
                <w:bCs/>
                <w:sz w:val="24"/>
                <w:szCs w:val="24"/>
              </w:rPr>
              <w:lastRenderedPageBreak/>
              <w:t>等基本情况。</w:t>
            </w:r>
            <w:r w:rsidRPr="00250D6B">
              <w:rPr>
                <w:rFonts w:ascii="仿宋_GB2312" w:hAnsi="仿宋_GB2312" w:cs="仿宋_GB2312"/>
                <w:bCs/>
                <w:sz w:val="24"/>
                <w:szCs w:val="24"/>
              </w:rPr>
              <w:t xml:space="preserve"> </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lastRenderedPageBreak/>
              <w:t>目标</w:t>
            </w:r>
            <w:r w:rsidRPr="00250D6B">
              <w:rPr>
                <w:rFonts w:ascii="仿宋_GB2312" w:hAnsi="仿宋_GB2312" w:cs="仿宋_GB2312" w:hint="eastAsia"/>
                <w:bCs/>
                <w:sz w:val="24"/>
                <w:szCs w:val="24"/>
              </w:rPr>
              <w:t>1</w:t>
            </w:r>
          </w:p>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目标2</w:t>
            </w:r>
          </w:p>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lastRenderedPageBreak/>
              <w:t>目标</w:t>
            </w:r>
            <w:r w:rsidRPr="00250D6B">
              <w:rPr>
                <w:rFonts w:ascii="仿宋_GB2312" w:hAnsi="仿宋_GB2312" w:cs="仿宋_GB2312" w:hint="eastAsia"/>
                <w:bCs/>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lastRenderedPageBreak/>
              <w:t>2</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课后作业</w:t>
            </w:r>
            <w:r w:rsidRPr="00250D6B">
              <w:rPr>
                <w:rFonts w:ascii="仿宋_GB2312" w:hAnsi="仿宋_GB2312" w:cs="仿宋_GB2312" w:hint="eastAsia"/>
                <w:bCs/>
                <w:sz w:val="24"/>
                <w:szCs w:val="24"/>
              </w:rPr>
              <w:t>布置5次；通过课后作业考核学生对FIDIC合同的掌握情况。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目标1</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讨论</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rPr>
                <w:rFonts w:ascii="仿宋_GB2312" w:hAnsi="仿宋_GB2312" w:cs="仿宋_GB2312"/>
                <w:bCs/>
                <w:sz w:val="24"/>
                <w:szCs w:val="24"/>
              </w:rPr>
            </w:pPr>
            <w:r w:rsidRPr="00250D6B">
              <w:rPr>
                <w:rFonts w:ascii="仿宋_GB2312" w:hAnsi="仿宋_GB2312" w:cs="仿宋_GB2312" w:hint="eastAsia"/>
                <w:bCs/>
                <w:sz w:val="24"/>
                <w:szCs w:val="24"/>
              </w:rPr>
              <w:t>讨论环节设置3次；通过对部分章节关键知识点设置分组讨论，考核学生对FIDIC合同内容、合同履行、合同违约、合同分包商的主要义务、合同延误、合同变更、工程质量保修等内容的掌握情况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目标1</w:t>
            </w:r>
          </w:p>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目标2</w:t>
            </w:r>
          </w:p>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目标</w:t>
            </w:r>
            <w:r w:rsidRPr="00250D6B">
              <w:rPr>
                <w:rFonts w:ascii="仿宋_GB2312" w:hAnsi="仿宋_GB2312" w:cs="仿宋_GB2312" w:hint="eastAsia"/>
                <w:bCs/>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4</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测验</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t>章节测验设置2次；</w:t>
            </w:r>
            <w:r w:rsidRPr="00250D6B">
              <w:rPr>
                <w:rFonts w:ascii="仿宋_GB2312" w:hAnsi="仿宋_GB2312" w:cs="仿宋_GB2312"/>
                <w:bCs/>
                <w:sz w:val="24"/>
                <w:szCs w:val="24"/>
              </w:rPr>
              <w:t>通过对部分章节关键知识点设置随堂测验，考核学生对</w:t>
            </w:r>
            <w:r w:rsidRPr="00250D6B">
              <w:rPr>
                <w:rFonts w:ascii="仿宋_GB2312" w:hAnsi="仿宋_GB2312" w:cs="仿宋_GB2312" w:hint="eastAsia"/>
                <w:bCs/>
                <w:sz w:val="24"/>
                <w:szCs w:val="24"/>
              </w:rPr>
              <w:t>基本</w:t>
            </w:r>
            <w:r w:rsidRPr="00250D6B">
              <w:rPr>
                <w:rFonts w:ascii="仿宋_GB2312" w:hAnsi="仿宋_GB2312" w:cs="仿宋_GB2312"/>
                <w:bCs/>
                <w:sz w:val="24"/>
                <w:szCs w:val="24"/>
              </w:rPr>
              <w:t>概念理解</w:t>
            </w:r>
            <w:r w:rsidRPr="00250D6B">
              <w:rPr>
                <w:rFonts w:ascii="仿宋_GB2312" w:hAnsi="仿宋_GB2312" w:cs="仿宋_GB2312" w:hint="eastAsia"/>
                <w:bCs/>
                <w:sz w:val="24"/>
                <w:szCs w:val="24"/>
              </w:rPr>
              <w:t>和掌握的</w:t>
            </w:r>
            <w:r w:rsidRPr="00250D6B">
              <w:rPr>
                <w:rFonts w:ascii="仿宋_GB2312" w:hAnsi="仿宋_GB2312" w:cs="仿宋_GB2312"/>
                <w:bCs/>
                <w:sz w:val="24"/>
                <w:szCs w:val="24"/>
              </w:rPr>
              <w:t>情况。</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目标2</w:t>
            </w:r>
          </w:p>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目标</w:t>
            </w:r>
            <w:r w:rsidRPr="00250D6B">
              <w:rPr>
                <w:rFonts w:ascii="仿宋_GB2312" w:hAnsi="仿宋_GB2312" w:cs="仿宋_GB2312" w:hint="eastAsia"/>
                <w:bCs/>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5</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t>期末考试采用</w:t>
            </w:r>
            <w:r w:rsidRPr="00250D6B">
              <w:rPr>
                <w:rFonts w:ascii="仿宋_GB2312" w:hAnsi="仿宋_GB2312" w:cs="仿宋_GB2312"/>
                <w:bCs/>
                <w:sz w:val="24"/>
                <w:szCs w:val="24"/>
              </w:rPr>
              <w:t>非标准答案考试</w:t>
            </w:r>
            <w:r w:rsidRPr="00250D6B">
              <w:rPr>
                <w:rFonts w:ascii="仿宋_GB2312" w:hAnsi="仿宋_GB2312" w:cs="仿宋_GB2312" w:hint="eastAsia"/>
                <w:bCs/>
                <w:sz w:val="24"/>
                <w:szCs w:val="24"/>
              </w:rPr>
              <w:t>。考试范围基本涵盖所有讲授内容，考试内容主要反映学生对本课程主要概念的理解和掌握的程度，以及综合运用的能力。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目标</w:t>
            </w:r>
            <w:r w:rsidRPr="00250D6B">
              <w:rPr>
                <w:rFonts w:ascii="仿宋_GB2312" w:hAnsi="仿宋_GB2312" w:cs="仿宋_GB2312" w:hint="eastAsia"/>
                <w:bCs/>
                <w:sz w:val="24"/>
                <w:szCs w:val="24"/>
              </w:rPr>
              <w:t>1</w:t>
            </w:r>
          </w:p>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hint="eastAsia"/>
                <w:bCs/>
                <w:sz w:val="24"/>
                <w:szCs w:val="24"/>
              </w:rPr>
              <w:t>目标2</w:t>
            </w:r>
          </w:p>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目标</w:t>
            </w:r>
            <w:r w:rsidRPr="00250D6B">
              <w:rPr>
                <w:rFonts w:ascii="仿宋_GB2312" w:hAnsi="仿宋_GB2312" w:cs="仿宋_GB2312" w:hint="eastAsia"/>
                <w:bCs/>
                <w:sz w:val="24"/>
                <w:szCs w:val="24"/>
              </w:rPr>
              <w:t>3</w:t>
            </w:r>
          </w:p>
        </w:tc>
      </w:tr>
    </w:tbl>
    <w:p w:rsidR="0097566F" w:rsidRDefault="0097566F" w:rsidP="00CA5AE3">
      <w:pPr>
        <w:adjustRightInd w:val="0"/>
        <w:snapToGrid w:val="0"/>
        <w:spacing w:line="440" w:lineRule="exact"/>
        <w:ind w:firstLineChars="200" w:firstLine="640"/>
        <w:rPr>
          <w:rFonts w:ascii="Times New Roman" w:hAnsi="Times New Roman"/>
        </w:rPr>
      </w:pPr>
    </w:p>
    <w:p w:rsidR="00250D6B" w:rsidRPr="00250D6B" w:rsidRDefault="00250D6B" w:rsidP="00250D6B">
      <w:pPr>
        <w:spacing w:beforeLines="50" w:before="156" w:afterLines="50" w:after="156" w:line="560" w:lineRule="exact"/>
        <w:rPr>
          <w:rFonts w:ascii="黑体" w:eastAsia="黑体" w:hAnsi="黑体"/>
          <w:b/>
          <w:sz w:val="28"/>
          <w:szCs w:val="28"/>
        </w:rPr>
      </w:pPr>
      <w:r w:rsidRPr="00250D6B">
        <w:rPr>
          <w:rFonts w:ascii="黑体" w:eastAsia="黑体" w:hAnsi="黑体" w:hint="eastAsia"/>
          <w:b/>
          <w:sz w:val="28"/>
          <w:szCs w:val="28"/>
        </w:rPr>
        <w:t>六、课程建议教材及主要参考资料</w:t>
      </w:r>
    </w:p>
    <w:p w:rsidR="0097566F" w:rsidRPr="00250D6B" w:rsidRDefault="0097566F" w:rsidP="00250D6B">
      <w:pPr>
        <w:numPr>
          <w:ilvl w:val="0"/>
          <w:numId w:val="86"/>
        </w:numPr>
        <w:adjustRightInd w:val="0"/>
        <w:snapToGrid w:val="0"/>
        <w:spacing w:line="360" w:lineRule="auto"/>
        <w:ind w:left="782"/>
        <w:rPr>
          <w:rFonts w:ascii="仿宋_GB2312" w:hAnsi="仿宋_GB2312" w:cs="仿宋_GB2312"/>
          <w:bCs/>
          <w:sz w:val="28"/>
          <w:szCs w:val="28"/>
        </w:rPr>
      </w:pPr>
      <w:r w:rsidRPr="00250D6B">
        <w:rPr>
          <w:rFonts w:ascii="仿宋_GB2312" w:hAnsi="仿宋_GB2312" w:cs="仿宋_GB2312"/>
          <w:bCs/>
          <w:sz w:val="28"/>
          <w:szCs w:val="28"/>
        </w:rPr>
        <w:t>教材：</w:t>
      </w:r>
    </w:p>
    <w:p w:rsidR="0097566F" w:rsidRPr="00250D6B" w:rsidRDefault="0097566F" w:rsidP="00250D6B">
      <w:pPr>
        <w:adjustRightInd w:val="0"/>
        <w:snapToGrid w:val="0"/>
        <w:spacing w:line="360" w:lineRule="auto"/>
        <w:ind w:left="782"/>
        <w:rPr>
          <w:rFonts w:ascii="仿宋_GB2312" w:hAnsi="仿宋_GB2312" w:cs="仿宋_GB2312"/>
          <w:bCs/>
          <w:sz w:val="28"/>
          <w:szCs w:val="28"/>
        </w:rPr>
      </w:pPr>
      <w:r w:rsidRPr="00250D6B">
        <w:rPr>
          <w:rFonts w:ascii="仿宋_GB2312" w:hAnsi="仿宋_GB2312" w:cs="仿宋_GB2312" w:hint="eastAsia"/>
          <w:bCs/>
          <w:sz w:val="28"/>
          <w:szCs w:val="28"/>
        </w:rPr>
        <w:t>(1</w:t>
      </w:r>
      <w:r w:rsidRPr="00250D6B">
        <w:rPr>
          <w:rFonts w:ascii="仿宋_GB2312" w:hAnsi="仿宋_GB2312" w:cs="仿宋_GB2312"/>
          <w:bCs/>
          <w:sz w:val="28"/>
          <w:szCs w:val="28"/>
        </w:rPr>
        <w:t xml:space="preserve">) </w:t>
      </w:r>
      <w:r w:rsidRPr="00250D6B">
        <w:rPr>
          <w:rFonts w:ascii="仿宋_GB2312" w:hAnsi="仿宋_GB2312" w:cs="仿宋_GB2312" w:hint="eastAsia"/>
          <w:bCs/>
          <w:sz w:val="28"/>
          <w:szCs w:val="28"/>
        </w:rPr>
        <w:t>李德志．Fidic合同原理与实务．北京：化学工业出版社，2013年.</w:t>
      </w:r>
    </w:p>
    <w:p w:rsidR="0097566F" w:rsidRPr="00250D6B" w:rsidRDefault="0097566F" w:rsidP="00250D6B">
      <w:pPr>
        <w:adjustRightInd w:val="0"/>
        <w:snapToGrid w:val="0"/>
        <w:spacing w:line="360" w:lineRule="auto"/>
        <w:ind w:left="782"/>
        <w:rPr>
          <w:rFonts w:ascii="仿宋_GB2312" w:hAnsi="仿宋_GB2312" w:cs="仿宋_GB2312"/>
          <w:bCs/>
          <w:sz w:val="28"/>
          <w:szCs w:val="28"/>
        </w:rPr>
      </w:pPr>
      <w:r w:rsidRPr="00250D6B">
        <w:rPr>
          <w:rFonts w:ascii="仿宋_GB2312" w:hAnsi="仿宋_GB2312" w:cs="仿宋_GB2312" w:hint="eastAsia"/>
          <w:bCs/>
          <w:sz w:val="28"/>
          <w:szCs w:val="28"/>
        </w:rPr>
        <w:t>(2)</w:t>
      </w:r>
      <w:r w:rsidRPr="00250D6B">
        <w:rPr>
          <w:rFonts w:ascii="仿宋_GB2312" w:hAnsi="仿宋_GB2312" w:cs="仿宋_GB2312"/>
          <w:bCs/>
          <w:sz w:val="28"/>
          <w:szCs w:val="28"/>
        </w:rPr>
        <w:t xml:space="preserve"> </w:t>
      </w:r>
      <w:r w:rsidRPr="00250D6B">
        <w:rPr>
          <w:rFonts w:ascii="仿宋_GB2312" w:hAnsi="仿宋_GB2312" w:cs="仿宋_GB2312" w:hint="eastAsia"/>
          <w:bCs/>
          <w:sz w:val="28"/>
          <w:szCs w:val="28"/>
        </w:rPr>
        <w:t>李念鹏．Fidic合同指南．北京：中国建筑工业出版社，2011年.</w:t>
      </w:r>
    </w:p>
    <w:p w:rsidR="0097566F" w:rsidRPr="00250D6B" w:rsidRDefault="0097566F" w:rsidP="00250D6B">
      <w:pPr>
        <w:adjustRightInd w:val="0"/>
        <w:snapToGrid w:val="0"/>
        <w:spacing w:line="360" w:lineRule="auto"/>
        <w:ind w:left="782"/>
        <w:rPr>
          <w:rFonts w:ascii="仿宋_GB2312" w:hAnsi="仿宋_GB2312" w:cs="仿宋_GB2312"/>
          <w:bCs/>
          <w:sz w:val="28"/>
          <w:szCs w:val="28"/>
        </w:rPr>
      </w:pPr>
      <w:r w:rsidRPr="00250D6B">
        <w:rPr>
          <w:rFonts w:ascii="仿宋_GB2312" w:hAnsi="仿宋_GB2312" w:cs="仿宋_GB2312" w:hint="eastAsia"/>
          <w:bCs/>
          <w:sz w:val="28"/>
          <w:szCs w:val="28"/>
        </w:rPr>
        <w:t>(3</w:t>
      </w:r>
      <w:r w:rsidRPr="00250D6B">
        <w:rPr>
          <w:rFonts w:ascii="仿宋_GB2312" w:hAnsi="仿宋_GB2312" w:cs="仿宋_GB2312"/>
          <w:bCs/>
          <w:sz w:val="28"/>
          <w:szCs w:val="28"/>
        </w:rPr>
        <w:t xml:space="preserve">) </w:t>
      </w:r>
      <w:r w:rsidRPr="00250D6B">
        <w:rPr>
          <w:rFonts w:ascii="仿宋_GB2312" w:hAnsi="仿宋_GB2312" w:cs="仿宋_GB2312" w:hint="eastAsia"/>
          <w:bCs/>
          <w:sz w:val="28"/>
          <w:szCs w:val="28"/>
        </w:rPr>
        <w:t>国际咨询工程师联合会．Conditions of Contract for Construction. 北京：机械工业出版社，2013年.</w:t>
      </w:r>
    </w:p>
    <w:p w:rsidR="0097566F" w:rsidRPr="00250D6B" w:rsidRDefault="0097566F" w:rsidP="00250D6B">
      <w:pPr>
        <w:numPr>
          <w:ilvl w:val="0"/>
          <w:numId w:val="86"/>
        </w:numPr>
        <w:adjustRightInd w:val="0"/>
        <w:snapToGrid w:val="0"/>
        <w:spacing w:line="360" w:lineRule="auto"/>
        <w:ind w:left="782"/>
        <w:rPr>
          <w:rFonts w:ascii="仿宋_GB2312" w:hAnsi="仿宋_GB2312" w:cs="仿宋_GB2312"/>
          <w:bCs/>
          <w:sz w:val="28"/>
          <w:szCs w:val="28"/>
        </w:rPr>
      </w:pPr>
      <w:r w:rsidRPr="00250D6B">
        <w:rPr>
          <w:rFonts w:ascii="仿宋_GB2312" w:hAnsi="仿宋_GB2312" w:cs="仿宋_GB2312" w:hint="eastAsia"/>
          <w:bCs/>
          <w:sz w:val="28"/>
          <w:szCs w:val="28"/>
        </w:rPr>
        <w:t>参考书：</w:t>
      </w:r>
    </w:p>
    <w:p w:rsidR="0097566F" w:rsidRPr="00250D6B" w:rsidRDefault="0097566F" w:rsidP="00250D6B">
      <w:pPr>
        <w:adjustRightInd w:val="0"/>
        <w:snapToGrid w:val="0"/>
        <w:spacing w:line="360" w:lineRule="auto"/>
        <w:ind w:left="782"/>
        <w:rPr>
          <w:rFonts w:ascii="仿宋_GB2312" w:hAnsi="仿宋_GB2312" w:cs="仿宋_GB2312"/>
          <w:bCs/>
          <w:sz w:val="28"/>
          <w:szCs w:val="28"/>
        </w:rPr>
      </w:pPr>
      <w:r w:rsidRPr="00250D6B">
        <w:rPr>
          <w:rFonts w:ascii="仿宋_GB2312" w:hAnsi="仿宋_GB2312" w:cs="仿宋_GB2312" w:hint="eastAsia"/>
          <w:bCs/>
          <w:sz w:val="28"/>
          <w:szCs w:val="28"/>
        </w:rPr>
        <w:t>(1</w:t>
      </w:r>
      <w:r w:rsidRPr="00250D6B">
        <w:rPr>
          <w:rFonts w:ascii="仿宋_GB2312" w:hAnsi="仿宋_GB2312" w:cs="仿宋_GB2312"/>
          <w:bCs/>
          <w:sz w:val="28"/>
          <w:szCs w:val="28"/>
        </w:rPr>
        <w:t xml:space="preserve">) </w:t>
      </w:r>
      <w:r w:rsidRPr="00250D6B">
        <w:rPr>
          <w:rFonts w:ascii="仿宋_GB2312" w:hAnsi="仿宋_GB2312" w:cs="仿宋_GB2312" w:hint="eastAsia"/>
          <w:bCs/>
          <w:sz w:val="28"/>
          <w:szCs w:val="28"/>
        </w:rPr>
        <w:t>Conditions of Contract for EPC/Turnkey Projects. 北京：机械工业出版社，2000年.</w:t>
      </w:r>
    </w:p>
    <w:p w:rsidR="0097566F" w:rsidRPr="00250D6B" w:rsidRDefault="0097566F" w:rsidP="00250D6B">
      <w:pPr>
        <w:adjustRightInd w:val="0"/>
        <w:snapToGrid w:val="0"/>
        <w:spacing w:line="360" w:lineRule="auto"/>
        <w:ind w:left="782"/>
        <w:rPr>
          <w:rFonts w:ascii="仿宋_GB2312" w:hAnsi="仿宋_GB2312" w:cs="仿宋_GB2312"/>
          <w:bCs/>
          <w:sz w:val="28"/>
          <w:szCs w:val="28"/>
        </w:rPr>
      </w:pPr>
      <w:r w:rsidRPr="00250D6B">
        <w:rPr>
          <w:rFonts w:ascii="仿宋_GB2312" w:hAnsi="仿宋_GB2312" w:cs="仿宋_GB2312" w:hint="eastAsia"/>
          <w:bCs/>
          <w:sz w:val="28"/>
          <w:szCs w:val="28"/>
        </w:rPr>
        <w:t>(2)</w:t>
      </w:r>
      <w:r w:rsidRPr="00250D6B">
        <w:rPr>
          <w:rFonts w:ascii="仿宋_GB2312" w:hAnsi="仿宋_GB2312" w:cs="仿宋_GB2312"/>
          <w:bCs/>
          <w:sz w:val="28"/>
          <w:szCs w:val="28"/>
        </w:rPr>
        <w:t xml:space="preserve"> </w:t>
      </w:r>
      <w:r w:rsidRPr="00250D6B">
        <w:rPr>
          <w:rFonts w:ascii="仿宋_GB2312" w:hAnsi="仿宋_GB2312" w:cs="仿宋_GB2312" w:hint="eastAsia"/>
          <w:bCs/>
          <w:sz w:val="28"/>
          <w:szCs w:val="28"/>
        </w:rPr>
        <w:t>Short Form of Contract. 北京：机械工业出版社，2000年.</w:t>
      </w:r>
    </w:p>
    <w:p w:rsidR="0097566F" w:rsidRPr="00250D6B" w:rsidRDefault="0097566F" w:rsidP="00250D6B">
      <w:pPr>
        <w:adjustRightInd w:val="0"/>
        <w:snapToGrid w:val="0"/>
        <w:spacing w:line="360" w:lineRule="auto"/>
        <w:ind w:left="782"/>
        <w:rPr>
          <w:rFonts w:ascii="仿宋_GB2312" w:hAnsi="仿宋_GB2312" w:cs="仿宋_GB2312"/>
          <w:bCs/>
          <w:sz w:val="28"/>
          <w:szCs w:val="28"/>
        </w:rPr>
      </w:pPr>
      <w:r w:rsidRPr="00250D6B">
        <w:rPr>
          <w:rFonts w:ascii="仿宋_GB2312" w:hAnsi="仿宋_GB2312" w:cs="仿宋_GB2312" w:hint="eastAsia"/>
          <w:bCs/>
          <w:sz w:val="28"/>
          <w:szCs w:val="28"/>
        </w:rPr>
        <w:t>(3</w:t>
      </w:r>
      <w:r w:rsidRPr="00250D6B">
        <w:rPr>
          <w:rFonts w:ascii="仿宋_GB2312" w:hAnsi="仿宋_GB2312" w:cs="仿宋_GB2312"/>
          <w:bCs/>
          <w:sz w:val="28"/>
          <w:szCs w:val="28"/>
        </w:rPr>
        <w:t xml:space="preserve">) </w:t>
      </w:r>
      <w:r w:rsidRPr="00250D6B">
        <w:rPr>
          <w:rFonts w:ascii="仿宋_GB2312" w:hAnsi="仿宋_GB2312" w:cs="仿宋_GB2312" w:hint="eastAsia"/>
          <w:bCs/>
          <w:sz w:val="28"/>
          <w:szCs w:val="28"/>
        </w:rPr>
        <w:t>韦嘉．国际工程合同管理（双语）．北京：中国建筑工业出</w:t>
      </w:r>
      <w:r w:rsidRPr="00250D6B">
        <w:rPr>
          <w:rFonts w:ascii="仿宋_GB2312" w:hAnsi="仿宋_GB2312" w:cs="仿宋_GB2312" w:hint="eastAsia"/>
          <w:bCs/>
          <w:sz w:val="28"/>
          <w:szCs w:val="28"/>
        </w:rPr>
        <w:lastRenderedPageBreak/>
        <w:t>版社，2011年.</w:t>
      </w:r>
    </w:p>
    <w:p w:rsidR="0097566F" w:rsidRPr="0097566F" w:rsidRDefault="0097566F" w:rsidP="00CA5AE3">
      <w:pPr>
        <w:adjustRightInd w:val="0"/>
        <w:snapToGrid w:val="0"/>
        <w:spacing w:line="440" w:lineRule="exact"/>
        <w:ind w:firstLineChars="200" w:firstLine="640"/>
        <w:rPr>
          <w:rFonts w:ascii="Times New Roman" w:hAnsi="Times New Roman"/>
        </w:rPr>
      </w:pPr>
    </w:p>
    <w:p w:rsidR="00250D6B" w:rsidRDefault="00250D6B" w:rsidP="00250D6B">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大纲撰写人：</w:t>
      </w:r>
    </w:p>
    <w:p w:rsidR="00250D6B" w:rsidRDefault="00250D6B" w:rsidP="00250D6B">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课程负责人：</w:t>
      </w:r>
    </w:p>
    <w:p w:rsidR="00250D6B" w:rsidRDefault="00250D6B" w:rsidP="00250D6B">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审核人：</w:t>
      </w:r>
    </w:p>
    <w:p w:rsidR="00250D6B" w:rsidRDefault="00250D6B" w:rsidP="00250D6B">
      <w:pPr>
        <w:jc w:val="center"/>
        <w:rPr>
          <w:rFonts w:ascii="仿宋_GB2312" w:hint="eastAsia"/>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250D6B" w:rsidRDefault="00250D6B" w:rsidP="00250D6B">
      <w:pPr>
        <w:ind w:firstLineChars="2000" w:firstLine="5600"/>
        <w:jc w:val="left"/>
        <w:rPr>
          <w:rFonts w:ascii="仿宋" w:hAnsi="仿宋"/>
          <w:sz w:val="28"/>
          <w:szCs w:val="28"/>
        </w:rPr>
      </w:pPr>
      <w:r>
        <w:rPr>
          <w:rFonts w:ascii="仿宋_GB2312" w:hAnsi="微软雅黑" w:hint="eastAsia"/>
          <w:sz w:val="28"/>
          <w:szCs w:val="28"/>
        </w:rPr>
        <w:t xml:space="preserve">    </w:t>
      </w:r>
    </w:p>
    <w:p w:rsidR="00250D6B" w:rsidRDefault="00250D6B" w:rsidP="00250D6B">
      <w:pPr>
        <w:jc w:val="left"/>
        <w:rPr>
          <w:rFonts w:ascii="仿宋_GB2312" w:hAnsi="黑体"/>
          <w:sz w:val="28"/>
          <w:szCs w:val="28"/>
        </w:rPr>
      </w:pPr>
      <w:r>
        <w:rPr>
          <w:rFonts w:ascii="仿宋" w:eastAsia="仿宋" w:hAnsi="仿宋" w:hint="eastAsia"/>
          <w:sz w:val="28"/>
          <w:szCs w:val="28"/>
        </w:rPr>
        <w:t xml:space="preserve">                                         年    月</w:t>
      </w:r>
    </w:p>
    <w:p w:rsidR="00250D6B" w:rsidRDefault="00250D6B" w:rsidP="00CA5AE3">
      <w:pPr>
        <w:adjustRightInd w:val="0"/>
        <w:snapToGrid w:val="0"/>
        <w:spacing w:line="440" w:lineRule="exact"/>
        <w:ind w:firstLineChars="200" w:firstLine="640"/>
        <w:rPr>
          <w:rFonts w:ascii="Times New Roman" w:hAnsi="Times New Roman"/>
        </w:rPr>
      </w:pPr>
    </w:p>
    <w:p w:rsidR="00CA5AE3" w:rsidRDefault="00CA5AE3"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Times New Roman" w:hAnsi="Times New Roman"/>
        </w:rPr>
      </w:pPr>
    </w:p>
    <w:p w:rsidR="00250D6B" w:rsidRDefault="00250D6B" w:rsidP="00CA5AE3">
      <w:pPr>
        <w:widowControl/>
        <w:spacing w:line="400" w:lineRule="exact"/>
        <w:rPr>
          <w:rFonts w:ascii="黑体" w:eastAsia="黑体" w:hAnsi="黑体" w:cs="宋体" w:hint="eastAsia"/>
          <w:bCs/>
          <w:kern w:val="0"/>
          <w:szCs w:val="32"/>
        </w:rPr>
      </w:pPr>
    </w:p>
    <w:p w:rsidR="00250D6B" w:rsidRDefault="00250D6B" w:rsidP="00250D6B">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250D6B">
        <w:rPr>
          <w:rFonts w:ascii="方正小标宋简体" w:eastAsia="方正小标宋简体" w:hAnsi="宋体" w:hint="eastAsia"/>
          <w:kern w:val="0"/>
          <w:szCs w:val="32"/>
        </w:rPr>
        <w:t>工程计量</w:t>
      </w:r>
      <w:r w:rsidRPr="00250D6B">
        <w:rPr>
          <w:rFonts w:ascii="方正小标宋简体" w:eastAsia="方正小标宋简体" w:hAnsi="宋体"/>
          <w:kern w:val="0"/>
          <w:szCs w:val="32"/>
        </w:rPr>
        <w:t>与计价（</w:t>
      </w:r>
      <w:r w:rsidRPr="00250D6B">
        <w:rPr>
          <w:rFonts w:ascii="方正小标宋简体" w:eastAsia="方正小标宋简体" w:hAnsi="宋体"/>
          <w:kern w:val="0"/>
          <w:szCs w:val="32"/>
        </w:rPr>
        <w:fldChar w:fldCharType="begin"/>
      </w:r>
      <w:r w:rsidRPr="00250D6B">
        <w:rPr>
          <w:rFonts w:ascii="方正小标宋简体" w:eastAsia="方正小标宋简体" w:hAnsi="宋体"/>
          <w:kern w:val="0"/>
          <w:szCs w:val="32"/>
        </w:rPr>
        <w:instrText xml:space="preserve"> </w:instrText>
      </w:r>
      <w:r w:rsidRPr="00250D6B">
        <w:rPr>
          <w:rFonts w:ascii="方正小标宋简体" w:eastAsia="方正小标宋简体" w:hAnsi="宋体" w:hint="eastAsia"/>
          <w:kern w:val="0"/>
          <w:szCs w:val="32"/>
        </w:rPr>
        <w:instrText>= 2 \* ROMAN</w:instrText>
      </w:r>
      <w:r w:rsidRPr="00250D6B">
        <w:rPr>
          <w:rFonts w:ascii="方正小标宋简体" w:eastAsia="方正小标宋简体" w:hAnsi="宋体"/>
          <w:kern w:val="0"/>
          <w:szCs w:val="32"/>
        </w:rPr>
        <w:instrText xml:space="preserve"> </w:instrText>
      </w:r>
      <w:r w:rsidRPr="00250D6B">
        <w:rPr>
          <w:rFonts w:ascii="方正小标宋简体" w:eastAsia="方正小标宋简体" w:hAnsi="宋体"/>
          <w:kern w:val="0"/>
          <w:szCs w:val="32"/>
        </w:rPr>
        <w:fldChar w:fldCharType="separate"/>
      </w:r>
      <w:r w:rsidRPr="00250D6B">
        <w:rPr>
          <w:rFonts w:ascii="方正小标宋简体" w:eastAsia="方正小标宋简体" w:hAnsi="宋体"/>
          <w:kern w:val="0"/>
          <w:szCs w:val="32"/>
        </w:rPr>
        <w:t>II</w:t>
      </w:r>
      <w:r w:rsidRPr="00250D6B">
        <w:rPr>
          <w:rFonts w:ascii="方正小标宋简体" w:eastAsia="方正小标宋简体" w:hAnsi="宋体"/>
          <w:kern w:val="0"/>
          <w:szCs w:val="32"/>
        </w:rPr>
        <w:fldChar w:fldCharType="end"/>
      </w:r>
      <w:r w:rsidRPr="00250D6B">
        <w:rPr>
          <w:rFonts w:ascii="方正小标宋简体" w:eastAsia="方正小标宋简体" w:hAnsi="宋体" w:hint="eastAsia"/>
          <w:kern w:val="0"/>
          <w:szCs w:val="32"/>
        </w:rPr>
        <w:t>）</w:t>
      </w:r>
      <w:r>
        <w:rPr>
          <w:rFonts w:ascii="方正小标宋简体" w:eastAsia="方正小标宋简体" w:hAnsi="宋体" w:hint="eastAsia"/>
          <w:kern w:val="0"/>
          <w:szCs w:val="32"/>
        </w:rPr>
        <w:t>》课程教学大纲</w:t>
      </w:r>
    </w:p>
    <w:p w:rsidR="00250D6B" w:rsidRDefault="00250D6B" w:rsidP="00250D6B">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一、课程信息</w:t>
      </w:r>
    </w:p>
    <w:p w:rsidR="00250D6B" w:rsidRDefault="00250D6B" w:rsidP="00250D6B">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英文名称：</w:t>
      </w:r>
      <w:r w:rsidRPr="00250D6B">
        <w:rPr>
          <w:rFonts w:ascii="仿宋_GB2312" w:hAnsi="仿宋_GB2312" w:cs="仿宋_GB2312"/>
          <w:bCs/>
          <w:sz w:val="28"/>
          <w:szCs w:val="28"/>
        </w:rPr>
        <w:t>Quantity survey and price estimation</w:t>
      </w:r>
    </w:p>
    <w:p w:rsidR="00250D6B" w:rsidRDefault="00250D6B" w:rsidP="00250D6B">
      <w:pPr>
        <w:spacing w:line="360" w:lineRule="auto"/>
        <w:ind w:firstLine="331"/>
        <w:jc w:val="left"/>
        <w:rPr>
          <w:rFonts w:ascii="仿宋_GB2312" w:hAnsi="仿宋_GB2312" w:cs="仿宋_GB2312" w:hint="eastAsia"/>
          <w:bCs/>
          <w:sz w:val="28"/>
          <w:szCs w:val="28"/>
        </w:rPr>
      </w:pPr>
      <w:r>
        <w:rPr>
          <w:rFonts w:ascii="仿宋_GB2312" w:hAnsi="仿宋_GB2312" w:cs="仿宋_GB2312" w:hint="eastAsia"/>
          <w:bCs/>
          <w:sz w:val="28"/>
          <w:szCs w:val="28"/>
        </w:rPr>
        <w:t>课程编码：</w:t>
      </w:r>
      <w:r w:rsidRPr="00250D6B">
        <w:rPr>
          <w:rFonts w:ascii="仿宋_GB2312" w:hAnsi="仿宋_GB2312" w:cs="仿宋_GB2312"/>
          <w:bCs/>
          <w:sz w:val="28"/>
          <w:szCs w:val="28"/>
        </w:rPr>
        <w:t>Z2805310</w:t>
      </w:r>
    </w:p>
    <w:p w:rsidR="00250D6B" w:rsidRDefault="00250D6B" w:rsidP="00250D6B">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授课语言：中文</w:t>
      </w:r>
    </w:p>
    <w:p w:rsidR="00250D6B" w:rsidRDefault="00250D6B" w:rsidP="00250D6B">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授课方式：线下</w:t>
      </w:r>
    </w:p>
    <w:p w:rsidR="00250D6B" w:rsidRDefault="00250D6B" w:rsidP="00250D6B">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课程类别：专业发展课程</w:t>
      </w:r>
    </w:p>
    <w:p w:rsidR="00250D6B" w:rsidRDefault="00250D6B" w:rsidP="00250D6B">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课程性质：必修</w:t>
      </w:r>
    </w:p>
    <w:p w:rsidR="00250D6B" w:rsidRDefault="00250D6B" w:rsidP="00250D6B">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2.5</w:t>
      </w:r>
    </w:p>
    <w:p w:rsidR="00250D6B" w:rsidRDefault="00250D6B" w:rsidP="00250D6B">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40</w:t>
      </w:r>
      <w:r>
        <w:rPr>
          <w:rFonts w:ascii="仿宋_GB2312" w:hAnsi="仿宋_GB2312" w:cs="仿宋_GB2312" w:hint="eastAsia"/>
          <w:bCs/>
          <w:sz w:val="28"/>
          <w:szCs w:val="28"/>
        </w:rPr>
        <w:t>学时</w:t>
      </w:r>
    </w:p>
    <w:p w:rsidR="00250D6B" w:rsidRDefault="00250D6B" w:rsidP="00250D6B">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适用对象：</w:t>
      </w:r>
      <w:r w:rsidRPr="00250D6B">
        <w:rPr>
          <w:rFonts w:ascii="仿宋_GB2312" w:hAnsi="仿宋_GB2312" w:cs="仿宋_GB2312" w:hint="eastAsia"/>
          <w:bCs/>
          <w:sz w:val="28"/>
          <w:szCs w:val="28"/>
        </w:rPr>
        <w:t>工程造价专业</w:t>
      </w:r>
    </w:p>
    <w:p w:rsidR="00250D6B" w:rsidRDefault="00250D6B" w:rsidP="00250D6B">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先修课程：</w:t>
      </w:r>
      <w:r w:rsidRPr="00250D6B">
        <w:rPr>
          <w:rFonts w:ascii="仿宋_GB2312" w:hAnsi="仿宋_GB2312" w:cs="仿宋_GB2312" w:hint="eastAsia"/>
          <w:bCs/>
          <w:sz w:val="28"/>
          <w:szCs w:val="28"/>
        </w:rPr>
        <w:t>钢筋混凝土基本原理、建筑材料、定额原理、土木工程施工等</w:t>
      </w:r>
    </w:p>
    <w:p w:rsidR="00250D6B" w:rsidRDefault="00250D6B" w:rsidP="00250D6B">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开课院系：建筑工程学院</w:t>
      </w:r>
      <w:r w:rsidRPr="00250D6B">
        <w:rPr>
          <w:rFonts w:ascii="仿宋_GB2312" w:hAnsi="仿宋_GB2312" w:cs="仿宋_GB2312" w:hint="eastAsia"/>
          <w:bCs/>
          <w:sz w:val="28"/>
          <w:szCs w:val="28"/>
        </w:rPr>
        <w:t>工程造价与施工教研室</w:t>
      </w:r>
    </w:p>
    <w:p w:rsidR="00CA5AE3" w:rsidRPr="00250D6B" w:rsidRDefault="00250D6B" w:rsidP="00250D6B">
      <w:pPr>
        <w:spacing w:beforeLines="50" w:before="156" w:afterLines="50" w:after="156" w:line="560" w:lineRule="exact"/>
        <w:rPr>
          <w:rFonts w:ascii="Times New Roman" w:hAnsi="Times New Roman" w:hint="eastAsia"/>
          <w:b/>
          <w:szCs w:val="21"/>
        </w:rPr>
      </w:pPr>
      <w:r>
        <w:rPr>
          <w:rFonts w:ascii="黑体" w:eastAsia="黑体" w:hAnsi="黑体" w:hint="eastAsia"/>
          <w:b/>
          <w:sz w:val="28"/>
          <w:szCs w:val="28"/>
        </w:rPr>
        <w:t>二、课程简介</w:t>
      </w:r>
    </w:p>
    <w:p w:rsidR="00CA5AE3" w:rsidRPr="00250D6B" w:rsidRDefault="00CA5AE3" w:rsidP="00250D6B">
      <w:pPr>
        <w:spacing w:line="360" w:lineRule="auto"/>
        <w:rPr>
          <w:rFonts w:ascii="仿宋_GB2312" w:hAnsi="仿宋_GB2312" w:cs="仿宋_GB2312"/>
          <w:bCs/>
          <w:sz w:val="28"/>
          <w:szCs w:val="28"/>
        </w:rPr>
      </w:pPr>
      <w:r w:rsidRPr="00250D6B">
        <w:rPr>
          <w:rFonts w:ascii="仿宋_GB2312" w:hAnsi="仿宋_GB2312" w:cs="仿宋_GB2312"/>
          <w:bCs/>
          <w:sz w:val="28"/>
          <w:szCs w:val="28"/>
        </w:rPr>
        <w:t>课程教学目标</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《工程计量与计价》是一门实践性、专业性和综合性很强的课程，是工程</w:t>
      </w:r>
      <w:r w:rsidRPr="00250D6B">
        <w:rPr>
          <w:rFonts w:ascii="仿宋_GB2312" w:hAnsi="仿宋_GB2312" w:cs="仿宋_GB2312"/>
          <w:bCs/>
          <w:sz w:val="28"/>
          <w:szCs w:val="28"/>
        </w:rPr>
        <w:t>造价</w:t>
      </w:r>
      <w:r w:rsidRPr="00250D6B">
        <w:rPr>
          <w:rFonts w:ascii="仿宋_GB2312" w:hAnsi="仿宋_GB2312" w:cs="仿宋_GB2312" w:hint="eastAsia"/>
          <w:bCs/>
          <w:sz w:val="28"/>
          <w:szCs w:val="28"/>
        </w:rPr>
        <w:t>专业的一门专业发展必修课。主要研究建筑产品生产成果与生产消耗之间的定量关系和科学的计量方法，工程产品计量与计价的形式和方法的一门学科。</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通过本课程的学习，使学生初步掌握建筑工程计价原理、定额的编</w:t>
      </w:r>
      <w:r w:rsidRPr="00250D6B">
        <w:rPr>
          <w:rFonts w:ascii="仿宋_GB2312" w:hAnsi="仿宋_GB2312" w:cs="仿宋_GB2312" w:hint="eastAsia"/>
          <w:bCs/>
          <w:sz w:val="28"/>
          <w:szCs w:val="28"/>
        </w:rPr>
        <w:lastRenderedPageBreak/>
        <w:t>制原理，会用统筹法计算工程量，具有编制施工图预算和编制工程量清单的能力，能进行工程量清单计价和投标报价，熟悉项目建设各阶段的计价方法，以培养学生成为适合市场经济的工程技术人员</w:t>
      </w:r>
      <w:r w:rsidRPr="00250D6B">
        <w:rPr>
          <w:rFonts w:ascii="仿宋_GB2312" w:hAnsi="仿宋_GB2312" w:cs="仿宋_GB2312"/>
          <w:bCs/>
          <w:sz w:val="28"/>
          <w:szCs w:val="28"/>
        </w:rPr>
        <w:t>。</w:t>
      </w:r>
    </w:p>
    <w:p w:rsidR="00CA5AE3" w:rsidRPr="00250D6B" w:rsidRDefault="00CA5AE3" w:rsidP="00250D6B">
      <w:pPr>
        <w:spacing w:line="360" w:lineRule="auto"/>
        <w:ind w:firstLine="331"/>
        <w:rPr>
          <w:rFonts w:ascii="仿宋_GB2312" w:hAnsi="仿宋_GB2312" w:cs="仿宋_GB2312"/>
          <w:bCs/>
          <w:sz w:val="28"/>
          <w:szCs w:val="28"/>
        </w:rPr>
      </w:pPr>
      <w:r w:rsidRPr="00250D6B">
        <w:rPr>
          <w:rFonts w:ascii="仿宋_GB2312" w:hAnsi="仿宋_GB2312" w:cs="仿宋_GB2312"/>
          <w:bCs/>
          <w:sz w:val="28"/>
          <w:szCs w:val="28"/>
        </w:rPr>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768"/>
        <w:gridCol w:w="886"/>
        <w:gridCol w:w="3073"/>
      </w:tblGrid>
      <w:tr w:rsidR="00CA5AE3" w:rsidTr="00E07285">
        <w:trPr>
          <w:trHeight w:val="454"/>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序号</w:t>
            </w:r>
          </w:p>
        </w:tc>
        <w:tc>
          <w:tcPr>
            <w:tcW w:w="2271" w:type="pct"/>
            <w:vMerge w:val="restart"/>
            <w:tcBorders>
              <w:top w:val="single" w:sz="4" w:space="0" w:color="000000"/>
              <w:left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课程教学目标</w:t>
            </w:r>
          </w:p>
        </w:tc>
        <w:tc>
          <w:tcPr>
            <w:tcW w:w="2386" w:type="pct"/>
            <w:gridSpan w:val="2"/>
            <w:tcBorders>
              <w:top w:val="single" w:sz="4" w:space="0" w:color="000000"/>
              <w:left w:val="single" w:sz="4" w:space="0" w:color="000000"/>
              <w:bottom w:val="single" w:sz="4" w:space="0" w:color="auto"/>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支撑毕业要求指标点</w:t>
            </w:r>
          </w:p>
        </w:tc>
      </w:tr>
      <w:tr w:rsidR="00CA5AE3" w:rsidTr="00E07285">
        <w:trPr>
          <w:trHeight w:val="454"/>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widowControl/>
              <w:spacing w:line="360" w:lineRule="exact"/>
              <w:jc w:val="center"/>
              <w:rPr>
                <w:rFonts w:ascii="仿宋_GB2312" w:hAnsi="仿宋_GB2312" w:cs="仿宋_GB2312"/>
                <w:b/>
                <w:bCs/>
                <w:sz w:val="24"/>
                <w:szCs w:val="24"/>
              </w:rPr>
            </w:pPr>
          </w:p>
        </w:tc>
        <w:tc>
          <w:tcPr>
            <w:tcW w:w="2271" w:type="pct"/>
            <w:vMerge/>
            <w:tcBorders>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p>
        </w:tc>
        <w:tc>
          <w:tcPr>
            <w:tcW w:w="534" w:type="pct"/>
            <w:tcBorders>
              <w:top w:val="single" w:sz="4" w:space="0" w:color="auto"/>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指标点</w:t>
            </w:r>
          </w:p>
        </w:tc>
        <w:tc>
          <w:tcPr>
            <w:tcW w:w="1852" w:type="pct"/>
            <w:tcBorders>
              <w:top w:val="single" w:sz="4" w:space="0" w:color="auto"/>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center"/>
              <w:rPr>
                <w:rFonts w:ascii="仿宋_GB2312" w:hAnsi="仿宋_GB2312" w:cs="仿宋_GB2312"/>
                <w:b/>
                <w:bCs/>
                <w:sz w:val="24"/>
                <w:szCs w:val="24"/>
              </w:rPr>
            </w:pPr>
            <w:r w:rsidRPr="00250D6B">
              <w:rPr>
                <w:rFonts w:ascii="仿宋_GB2312" w:hAnsi="仿宋_GB2312" w:cs="仿宋_GB2312"/>
                <w:b/>
                <w:bCs/>
                <w:sz w:val="24"/>
                <w:szCs w:val="24"/>
              </w:rPr>
              <w:t>指标点内容</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1</w:t>
            </w:r>
          </w:p>
        </w:tc>
        <w:tc>
          <w:tcPr>
            <w:tcW w:w="2271"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目标1：了解</w:t>
            </w:r>
            <w:r w:rsidRPr="00250D6B">
              <w:rPr>
                <w:rFonts w:ascii="仿宋_GB2312" w:hAnsi="仿宋_GB2312" w:cs="仿宋_GB2312" w:hint="eastAsia"/>
                <w:bCs/>
                <w:sz w:val="24"/>
                <w:szCs w:val="24"/>
              </w:rPr>
              <w:t>广义的</w:t>
            </w:r>
            <w:r w:rsidRPr="00250D6B">
              <w:rPr>
                <w:rFonts w:ascii="仿宋_GB2312" w:hAnsi="仿宋_GB2312" w:cs="仿宋_GB2312"/>
                <w:bCs/>
                <w:sz w:val="24"/>
                <w:szCs w:val="24"/>
              </w:rPr>
              <w:t>工程造价和狭义的工程造价定义和内容，认识到</w:t>
            </w:r>
            <w:r w:rsidRPr="00250D6B">
              <w:rPr>
                <w:rFonts w:ascii="仿宋_GB2312" w:hAnsi="仿宋_GB2312" w:cs="仿宋_GB2312" w:hint="eastAsia"/>
                <w:bCs/>
                <w:sz w:val="24"/>
                <w:szCs w:val="24"/>
              </w:rPr>
              <w:t>全寿命期</w:t>
            </w:r>
            <w:r w:rsidRPr="00250D6B">
              <w:rPr>
                <w:rFonts w:ascii="仿宋_GB2312" w:hAnsi="仿宋_GB2312" w:cs="仿宋_GB2312"/>
                <w:bCs/>
                <w:sz w:val="24"/>
                <w:szCs w:val="24"/>
              </w:rPr>
              <w:t>内工程造价的作用和意义</w:t>
            </w:r>
            <w:r w:rsidRPr="00250D6B">
              <w:rPr>
                <w:rFonts w:ascii="仿宋_GB2312" w:hAnsi="仿宋_GB2312" w:cs="仿宋_GB2312" w:hint="eastAsia"/>
                <w:bCs/>
                <w:sz w:val="24"/>
                <w:szCs w:val="24"/>
              </w:rPr>
              <w:t>，对全过程</w:t>
            </w:r>
            <w:r w:rsidRPr="00250D6B">
              <w:rPr>
                <w:rFonts w:ascii="仿宋_GB2312" w:hAnsi="仿宋_GB2312" w:cs="仿宋_GB2312"/>
                <w:bCs/>
                <w:sz w:val="24"/>
                <w:szCs w:val="24"/>
              </w:rPr>
              <w:t>工程造价管理有系统认识。</w:t>
            </w:r>
          </w:p>
        </w:tc>
        <w:tc>
          <w:tcPr>
            <w:tcW w:w="534"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3</w:t>
            </w:r>
            <w:r w:rsidRPr="00250D6B">
              <w:rPr>
                <w:rFonts w:ascii="仿宋_GB2312" w:hAnsi="仿宋_GB2312" w:cs="仿宋_GB2312" w:hint="eastAsia"/>
                <w:bCs/>
                <w:sz w:val="24"/>
                <w:szCs w:val="24"/>
              </w:rPr>
              <w:t>.</w:t>
            </w:r>
            <w:r w:rsidRPr="00250D6B">
              <w:rPr>
                <w:rFonts w:ascii="仿宋_GB2312" w:hAnsi="仿宋_GB2312" w:cs="仿宋_GB2312"/>
                <w:bCs/>
                <w:sz w:val="24"/>
                <w:szCs w:val="24"/>
              </w:rPr>
              <w:t>2</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t>能够应用数学、自然科学和工程科学的基本原理，识别、表达、 并通过文献研究分析复杂工程问题，以获得有效结论</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2</w:t>
            </w:r>
          </w:p>
        </w:tc>
        <w:tc>
          <w:tcPr>
            <w:tcW w:w="2271"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目标2：熟悉</w:t>
            </w:r>
            <w:r w:rsidRPr="00250D6B">
              <w:rPr>
                <w:rFonts w:ascii="仿宋_GB2312" w:hAnsi="仿宋_GB2312" w:cs="仿宋_GB2312" w:hint="eastAsia"/>
                <w:bCs/>
                <w:sz w:val="24"/>
                <w:szCs w:val="24"/>
              </w:rPr>
              <w:t>工程计量</w:t>
            </w:r>
            <w:r w:rsidRPr="00250D6B">
              <w:rPr>
                <w:rFonts w:ascii="仿宋_GB2312" w:hAnsi="仿宋_GB2312" w:cs="仿宋_GB2312"/>
                <w:bCs/>
                <w:sz w:val="24"/>
                <w:szCs w:val="24"/>
              </w:rPr>
              <w:t>与计价的几种模式；具备数字化运维的基础知识，掌握</w:t>
            </w:r>
            <w:r w:rsidRPr="00250D6B">
              <w:rPr>
                <w:rFonts w:ascii="仿宋_GB2312" w:hAnsi="仿宋_GB2312" w:cs="仿宋_GB2312" w:hint="eastAsia"/>
                <w:bCs/>
                <w:sz w:val="24"/>
                <w:szCs w:val="24"/>
              </w:rPr>
              <w:t>从建设</w:t>
            </w:r>
            <w:r w:rsidRPr="00250D6B">
              <w:rPr>
                <w:rFonts w:ascii="仿宋_GB2312" w:hAnsi="仿宋_GB2312" w:cs="仿宋_GB2312"/>
                <w:bCs/>
                <w:sz w:val="24"/>
                <w:szCs w:val="24"/>
              </w:rPr>
              <w:t>工程项目的</w:t>
            </w:r>
            <w:r w:rsidRPr="00250D6B">
              <w:rPr>
                <w:rFonts w:ascii="仿宋_GB2312" w:hAnsi="仿宋_GB2312" w:cs="仿宋_GB2312" w:hint="eastAsia"/>
                <w:bCs/>
                <w:sz w:val="24"/>
                <w:szCs w:val="24"/>
              </w:rPr>
              <w:t>基础</w:t>
            </w:r>
            <w:r w:rsidRPr="00250D6B">
              <w:rPr>
                <w:rFonts w:ascii="仿宋_GB2312" w:hAnsi="仿宋_GB2312" w:cs="仿宋_GB2312"/>
                <w:bCs/>
                <w:sz w:val="24"/>
                <w:szCs w:val="24"/>
              </w:rPr>
              <w:t>到上部结构、从内部装修到外部装修，从</w:t>
            </w:r>
            <w:r w:rsidRPr="00250D6B">
              <w:rPr>
                <w:rFonts w:ascii="仿宋_GB2312" w:hAnsi="仿宋_GB2312" w:cs="仿宋_GB2312" w:hint="eastAsia"/>
                <w:bCs/>
                <w:sz w:val="24"/>
                <w:szCs w:val="24"/>
              </w:rPr>
              <w:t>工程</w:t>
            </w:r>
            <w:r w:rsidRPr="00250D6B">
              <w:rPr>
                <w:rFonts w:ascii="仿宋_GB2312" w:hAnsi="仿宋_GB2312" w:cs="仿宋_GB2312"/>
                <w:bCs/>
                <w:sz w:val="24"/>
                <w:szCs w:val="24"/>
              </w:rPr>
              <w:t>施工前到工程</w:t>
            </w:r>
            <w:r w:rsidRPr="00250D6B">
              <w:rPr>
                <w:rFonts w:ascii="仿宋_GB2312" w:hAnsi="仿宋_GB2312" w:cs="仿宋_GB2312" w:hint="eastAsia"/>
                <w:bCs/>
                <w:sz w:val="24"/>
                <w:szCs w:val="24"/>
              </w:rPr>
              <w:t>整个</w:t>
            </w:r>
            <w:r w:rsidRPr="00250D6B">
              <w:rPr>
                <w:rFonts w:ascii="仿宋_GB2312" w:hAnsi="仿宋_GB2312" w:cs="仿宋_GB2312"/>
                <w:bCs/>
                <w:sz w:val="24"/>
                <w:szCs w:val="24"/>
              </w:rPr>
              <w:t>过程中影响工程造价的因素，并能系统综合考虑到报价中。</w:t>
            </w:r>
          </w:p>
        </w:tc>
        <w:tc>
          <w:tcPr>
            <w:tcW w:w="534"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3</w:t>
            </w:r>
            <w:r w:rsidRPr="00250D6B">
              <w:rPr>
                <w:rFonts w:ascii="仿宋_GB2312" w:hAnsi="仿宋_GB2312" w:cs="仿宋_GB2312" w:hint="eastAsia"/>
                <w:bCs/>
                <w:sz w:val="24"/>
                <w:szCs w:val="24"/>
              </w:rPr>
              <w:t>.</w:t>
            </w:r>
            <w:r w:rsidRPr="00250D6B">
              <w:rPr>
                <w:rFonts w:ascii="仿宋_GB2312" w:hAnsi="仿宋_GB2312" w:cs="仿宋_GB2312"/>
                <w:bCs/>
                <w:sz w:val="24"/>
                <w:szCs w:val="24"/>
              </w:rPr>
              <w:t>4</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t>能够基于科学原理并采用科学方法对复杂工程问题进行研究，包括基于价值工程原理的设计方案的优化、分析与解释数据、并通过信息综合得到合 理有效的结论。</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3</w:t>
            </w:r>
          </w:p>
        </w:tc>
        <w:tc>
          <w:tcPr>
            <w:tcW w:w="2271"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bCs/>
                <w:sz w:val="24"/>
                <w:szCs w:val="24"/>
              </w:rPr>
              <w:t>目标3：熟悉</w:t>
            </w:r>
            <w:r w:rsidRPr="00250D6B">
              <w:rPr>
                <w:rFonts w:ascii="仿宋_GB2312" w:hAnsi="仿宋_GB2312" w:cs="仿宋_GB2312" w:hint="eastAsia"/>
                <w:bCs/>
                <w:sz w:val="24"/>
                <w:szCs w:val="24"/>
              </w:rPr>
              <w:t>招标控制</w:t>
            </w:r>
            <w:r w:rsidRPr="00250D6B">
              <w:rPr>
                <w:rFonts w:ascii="仿宋_GB2312" w:hAnsi="仿宋_GB2312" w:cs="仿宋_GB2312"/>
                <w:bCs/>
                <w:sz w:val="24"/>
                <w:szCs w:val="24"/>
              </w:rPr>
              <w:t>价及投标报价的</w:t>
            </w:r>
            <w:r w:rsidRPr="00250D6B">
              <w:rPr>
                <w:rFonts w:ascii="仿宋_GB2312" w:hAnsi="仿宋_GB2312" w:cs="仿宋_GB2312" w:hint="eastAsia"/>
                <w:bCs/>
                <w:sz w:val="24"/>
                <w:szCs w:val="24"/>
              </w:rPr>
              <w:t>内容</w:t>
            </w:r>
            <w:r w:rsidRPr="00250D6B">
              <w:rPr>
                <w:rFonts w:ascii="仿宋_GB2312" w:hAnsi="仿宋_GB2312" w:cs="仿宋_GB2312"/>
                <w:bCs/>
                <w:sz w:val="24"/>
                <w:szCs w:val="24"/>
              </w:rPr>
              <w:t>及涵盖的方法与原理，</w:t>
            </w:r>
            <w:r w:rsidRPr="00250D6B">
              <w:rPr>
                <w:rFonts w:ascii="仿宋_GB2312" w:hAnsi="仿宋_GB2312" w:cs="仿宋_GB2312" w:hint="eastAsia"/>
                <w:bCs/>
                <w:sz w:val="24"/>
                <w:szCs w:val="24"/>
              </w:rPr>
              <w:t>掌握单位</w:t>
            </w:r>
            <w:r w:rsidRPr="00250D6B">
              <w:rPr>
                <w:rFonts w:ascii="仿宋_GB2312" w:hAnsi="仿宋_GB2312" w:cs="仿宋_GB2312"/>
                <w:bCs/>
                <w:sz w:val="24"/>
                <w:szCs w:val="24"/>
              </w:rPr>
              <w:t>工程</w:t>
            </w:r>
            <w:r w:rsidRPr="00250D6B">
              <w:rPr>
                <w:rFonts w:ascii="仿宋_GB2312" w:hAnsi="仿宋_GB2312" w:cs="仿宋_GB2312" w:hint="eastAsia"/>
                <w:bCs/>
                <w:sz w:val="24"/>
                <w:szCs w:val="24"/>
              </w:rPr>
              <w:t>投标</w:t>
            </w:r>
            <w:r w:rsidRPr="00250D6B">
              <w:rPr>
                <w:rFonts w:ascii="仿宋_GB2312" w:hAnsi="仿宋_GB2312" w:cs="仿宋_GB2312"/>
                <w:bCs/>
                <w:sz w:val="24"/>
                <w:szCs w:val="24"/>
              </w:rPr>
              <w:t>报价的合理编制与确定，并能</w:t>
            </w:r>
            <w:r w:rsidRPr="00250D6B">
              <w:rPr>
                <w:rFonts w:ascii="仿宋_GB2312" w:hAnsi="仿宋_GB2312" w:cs="仿宋_GB2312" w:hint="eastAsia"/>
                <w:bCs/>
                <w:sz w:val="24"/>
                <w:szCs w:val="24"/>
              </w:rPr>
              <w:t>进行</w:t>
            </w:r>
            <w:r w:rsidRPr="00250D6B">
              <w:rPr>
                <w:rFonts w:ascii="仿宋_GB2312" w:hAnsi="仿宋_GB2312" w:cs="仿宋_GB2312"/>
                <w:bCs/>
                <w:sz w:val="24"/>
                <w:szCs w:val="24"/>
              </w:rPr>
              <w:t>投标。</w:t>
            </w:r>
            <w:r w:rsidRPr="00250D6B">
              <w:rPr>
                <w:rFonts w:ascii="仿宋_GB2312" w:hAnsi="仿宋_GB2312" w:cs="仿宋_GB2312" w:hint="eastAsia"/>
                <w:bCs/>
                <w:sz w:val="24"/>
                <w:szCs w:val="24"/>
              </w:rPr>
              <w:t>熟悉</w:t>
            </w:r>
            <w:r w:rsidRPr="00250D6B">
              <w:rPr>
                <w:rFonts w:ascii="仿宋_GB2312" w:hAnsi="仿宋_GB2312" w:cs="仿宋_GB2312"/>
                <w:bCs/>
                <w:sz w:val="24"/>
                <w:szCs w:val="24"/>
              </w:rPr>
              <w:t>施工阶段工程价值的控制和</w:t>
            </w:r>
            <w:r w:rsidRPr="00250D6B">
              <w:rPr>
                <w:rFonts w:ascii="仿宋_GB2312" w:hAnsi="仿宋_GB2312" w:cs="仿宋_GB2312" w:hint="eastAsia"/>
                <w:bCs/>
                <w:sz w:val="24"/>
                <w:szCs w:val="24"/>
              </w:rPr>
              <w:t>管理</w:t>
            </w:r>
            <w:r w:rsidRPr="00250D6B">
              <w:rPr>
                <w:rFonts w:ascii="仿宋_GB2312" w:hAnsi="仿宋_GB2312" w:cs="仿宋_GB2312"/>
                <w:bCs/>
                <w:sz w:val="24"/>
                <w:szCs w:val="24"/>
              </w:rPr>
              <w:t>，能进行阶段性工程价款的结算和</w:t>
            </w:r>
            <w:r w:rsidRPr="00250D6B">
              <w:rPr>
                <w:rFonts w:ascii="仿宋_GB2312" w:hAnsi="仿宋_GB2312" w:cs="仿宋_GB2312" w:hint="eastAsia"/>
                <w:bCs/>
                <w:sz w:val="24"/>
                <w:szCs w:val="24"/>
              </w:rPr>
              <w:t>工程</w:t>
            </w:r>
            <w:r w:rsidRPr="00250D6B">
              <w:rPr>
                <w:rFonts w:ascii="仿宋_GB2312" w:hAnsi="仿宋_GB2312" w:cs="仿宋_GB2312"/>
                <w:bCs/>
                <w:sz w:val="24"/>
                <w:szCs w:val="24"/>
              </w:rPr>
              <w:t>竣工的结算与决算。</w:t>
            </w:r>
          </w:p>
        </w:tc>
        <w:tc>
          <w:tcPr>
            <w:tcW w:w="534" w:type="pct"/>
            <w:tcBorders>
              <w:top w:val="single" w:sz="4" w:space="0" w:color="000000"/>
              <w:left w:val="single" w:sz="4" w:space="0" w:color="000000"/>
              <w:bottom w:val="single" w:sz="4" w:space="0" w:color="000000"/>
              <w:right w:val="single" w:sz="4" w:space="0" w:color="000000"/>
            </w:tcBorders>
            <w:vAlign w:val="center"/>
          </w:tcPr>
          <w:p w:rsidR="00CA5AE3" w:rsidRPr="00250D6B" w:rsidRDefault="00CA5AE3" w:rsidP="00E07285">
            <w:pPr>
              <w:spacing w:line="360" w:lineRule="exact"/>
              <w:jc w:val="center"/>
              <w:rPr>
                <w:rFonts w:ascii="仿宋_GB2312" w:hAnsi="仿宋_GB2312" w:cs="仿宋_GB2312"/>
                <w:bCs/>
                <w:sz w:val="24"/>
                <w:szCs w:val="24"/>
              </w:rPr>
            </w:pPr>
            <w:r w:rsidRPr="00250D6B">
              <w:rPr>
                <w:rFonts w:ascii="仿宋_GB2312" w:hAnsi="仿宋_GB2312" w:cs="仿宋_GB2312"/>
                <w:bCs/>
                <w:sz w:val="24"/>
                <w:szCs w:val="24"/>
              </w:rPr>
              <w:t>3.5</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250D6B" w:rsidRDefault="00CA5AE3" w:rsidP="00E07285">
            <w:pPr>
              <w:spacing w:line="360" w:lineRule="exact"/>
              <w:jc w:val="left"/>
              <w:rPr>
                <w:rFonts w:ascii="仿宋_GB2312" w:hAnsi="仿宋_GB2312" w:cs="仿宋_GB2312"/>
                <w:bCs/>
                <w:sz w:val="24"/>
                <w:szCs w:val="24"/>
              </w:rPr>
            </w:pPr>
            <w:r w:rsidRPr="00250D6B">
              <w:rPr>
                <w:rFonts w:ascii="仿宋_GB2312" w:hAnsi="仿宋_GB2312" w:cs="仿宋_GB2312" w:hint="eastAsia"/>
                <w:bCs/>
                <w:sz w:val="24"/>
                <w:szCs w:val="24"/>
              </w:rPr>
              <w:t>能够基于工程相关背景知识进行合理分析，评价专业工程实践和复杂工程问题解决方案对社会、健康、安全、法律以及文化的影响，并理解应承担的责任。</w:t>
            </w:r>
          </w:p>
        </w:tc>
      </w:tr>
    </w:tbl>
    <w:p w:rsidR="00250D6B" w:rsidRDefault="00250D6B" w:rsidP="00250D6B">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3"/>
        <w:gridCol w:w="2149"/>
        <w:gridCol w:w="954"/>
        <w:gridCol w:w="596"/>
        <w:gridCol w:w="926"/>
      </w:tblGrid>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序号</w:t>
            </w:r>
          </w:p>
        </w:tc>
        <w:tc>
          <w:tcPr>
            <w:tcW w:w="1870" w:type="pct"/>
            <w:tcBorders>
              <w:top w:val="single" w:sz="4" w:space="0" w:color="000000"/>
              <w:left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教学内容及重点、难点</w:t>
            </w:r>
          </w:p>
        </w:tc>
        <w:tc>
          <w:tcPr>
            <w:tcW w:w="1295" w:type="pct"/>
            <w:tcBorders>
              <w:top w:val="single" w:sz="4" w:space="0" w:color="000000"/>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支撑课程教学目标</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lastRenderedPageBreak/>
              <w:t>1</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内容：第一章</w:t>
            </w:r>
            <w:r w:rsidRPr="009626F7">
              <w:rPr>
                <w:rFonts w:ascii="仿宋_GB2312" w:hAnsi="仿宋_GB2312" w:cs="仿宋_GB2312" w:hint="eastAsia"/>
                <w:bCs/>
                <w:sz w:val="24"/>
                <w:szCs w:val="24"/>
              </w:rPr>
              <w:t>建设</w:t>
            </w:r>
            <w:r w:rsidRPr="009626F7">
              <w:rPr>
                <w:rFonts w:ascii="仿宋_GB2312" w:hAnsi="仿宋_GB2312" w:cs="仿宋_GB2312"/>
                <w:bCs/>
                <w:sz w:val="24"/>
                <w:szCs w:val="24"/>
              </w:rPr>
              <w:t>工程计量与计价概论</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重点：</w:t>
            </w:r>
            <w:r w:rsidRPr="009626F7">
              <w:rPr>
                <w:rFonts w:ascii="仿宋_GB2312" w:hAnsi="仿宋_GB2312" w:cs="仿宋_GB2312" w:hint="eastAsia"/>
                <w:bCs/>
                <w:sz w:val="24"/>
                <w:szCs w:val="24"/>
              </w:rPr>
              <w:t>广义的</w:t>
            </w:r>
            <w:r w:rsidRPr="009626F7">
              <w:rPr>
                <w:rFonts w:ascii="仿宋_GB2312" w:hAnsi="仿宋_GB2312" w:cs="仿宋_GB2312"/>
                <w:bCs/>
                <w:sz w:val="24"/>
                <w:szCs w:val="24"/>
              </w:rPr>
              <w:t>建设工程造价与狭义的建设工程造价概念及涵盖的内容；定额计价与清单计价的联系与区别</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1.</w:t>
            </w:r>
            <w:r w:rsidRPr="009626F7">
              <w:rPr>
                <w:rFonts w:ascii="仿宋_GB2312" w:hAnsi="仿宋_GB2312" w:cs="仿宋_GB2312" w:hint="eastAsia"/>
                <w:bCs/>
                <w:sz w:val="24"/>
                <w:szCs w:val="24"/>
              </w:rPr>
              <w:t xml:space="preserve">  掌握我国建筑安装工程费用、设备及工器具购置费用的构成和计算方法。</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2.</w:t>
            </w:r>
            <w:r w:rsidRPr="009626F7">
              <w:rPr>
                <w:rFonts w:ascii="仿宋_GB2312" w:hAnsi="仿宋_GB2312" w:cs="仿宋_GB2312" w:hint="eastAsia"/>
                <w:bCs/>
                <w:sz w:val="24"/>
                <w:szCs w:val="24"/>
              </w:rPr>
              <w:t xml:space="preserve">掌握工程造价合理确定和有效控制的基本原理；工程造价文件的组成 </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3</w:t>
            </w:r>
            <w:r w:rsidRPr="009626F7">
              <w:rPr>
                <w:rFonts w:ascii="仿宋_GB2312" w:hAnsi="仿宋_GB2312" w:cs="仿宋_GB2312" w:hint="eastAsia"/>
                <w:bCs/>
                <w:sz w:val="24"/>
                <w:szCs w:val="24"/>
              </w:rPr>
              <w:t>.掌握</w:t>
            </w:r>
            <w:r w:rsidRPr="009626F7">
              <w:rPr>
                <w:rFonts w:ascii="仿宋_GB2312" w:hAnsi="仿宋_GB2312" w:cs="仿宋_GB2312"/>
                <w:bCs/>
                <w:sz w:val="24"/>
                <w:szCs w:val="24"/>
              </w:rPr>
              <w:t>建筑面积及其计算规则</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目标1</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内容：第二章</w:t>
            </w:r>
            <w:r w:rsidRPr="009626F7">
              <w:rPr>
                <w:rFonts w:ascii="仿宋_GB2312" w:hAnsi="仿宋_GB2312" w:cs="仿宋_GB2312" w:hint="eastAsia"/>
                <w:bCs/>
                <w:sz w:val="24"/>
                <w:szCs w:val="24"/>
              </w:rPr>
              <w:t>建设工程</w:t>
            </w:r>
            <w:r w:rsidRPr="009626F7">
              <w:rPr>
                <w:rFonts w:ascii="仿宋_GB2312" w:hAnsi="仿宋_GB2312" w:cs="仿宋_GB2312"/>
                <w:bCs/>
                <w:sz w:val="24"/>
                <w:szCs w:val="24"/>
              </w:rPr>
              <w:t>定额计量与计价</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重点：</w:t>
            </w:r>
            <w:r w:rsidRPr="009626F7">
              <w:rPr>
                <w:rFonts w:ascii="仿宋_GB2312" w:hAnsi="仿宋_GB2312" w:cs="仿宋_GB2312" w:hint="eastAsia"/>
                <w:bCs/>
                <w:sz w:val="24"/>
                <w:szCs w:val="24"/>
              </w:rPr>
              <w:t>建设工程</w:t>
            </w:r>
            <w:r w:rsidRPr="009626F7">
              <w:rPr>
                <w:rFonts w:ascii="仿宋_GB2312" w:hAnsi="仿宋_GB2312" w:cs="仿宋_GB2312"/>
                <w:bCs/>
                <w:sz w:val="24"/>
                <w:szCs w:val="24"/>
              </w:rPr>
              <w:t>消耗量定额</w:t>
            </w:r>
            <w:r w:rsidRPr="009626F7">
              <w:rPr>
                <w:rFonts w:ascii="仿宋_GB2312" w:hAnsi="仿宋_GB2312" w:cs="仿宋_GB2312" w:hint="eastAsia"/>
                <w:bCs/>
                <w:sz w:val="24"/>
                <w:szCs w:val="24"/>
              </w:rPr>
              <w:t>编制</w:t>
            </w:r>
            <w:r w:rsidRPr="009626F7">
              <w:rPr>
                <w:rFonts w:ascii="仿宋_GB2312" w:hAnsi="仿宋_GB2312" w:cs="仿宋_GB2312"/>
                <w:bCs/>
                <w:sz w:val="24"/>
                <w:szCs w:val="24"/>
              </w:rPr>
              <w:t>的相关原理</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1.</w:t>
            </w:r>
            <w:r w:rsidRPr="009626F7">
              <w:rPr>
                <w:rFonts w:ascii="仿宋_GB2312" w:hAnsi="仿宋_GB2312" w:cs="仿宋_GB2312" w:hint="eastAsia"/>
                <w:bCs/>
                <w:sz w:val="24"/>
                <w:szCs w:val="24"/>
              </w:rPr>
              <w:t>对先修课程定额原理的复习和应用，要求了解定额的概念、分类及作用。2.熟悉施工定额、预算定额、费用定额的作用和编制方法，熟悉消耗量定额项目工程量的计算方法，3.了解定额计价方法及程序。</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目标2</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内容：第三章</w:t>
            </w:r>
            <w:r w:rsidRPr="009626F7">
              <w:rPr>
                <w:rFonts w:ascii="仿宋_GB2312" w:hAnsi="仿宋_GB2312" w:cs="仿宋_GB2312" w:hint="eastAsia"/>
                <w:bCs/>
                <w:sz w:val="24"/>
                <w:szCs w:val="24"/>
              </w:rPr>
              <w:t>分部分项工程量</w:t>
            </w:r>
            <w:r w:rsidRPr="009626F7">
              <w:rPr>
                <w:rFonts w:ascii="仿宋_GB2312" w:hAnsi="仿宋_GB2312" w:cs="仿宋_GB2312"/>
                <w:bCs/>
                <w:sz w:val="24"/>
                <w:szCs w:val="24"/>
              </w:rPr>
              <w:t>清单编制与清单工程量计算</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重点：</w:t>
            </w:r>
            <w:r w:rsidRPr="009626F7">
              <w:rPr>
                <w:rFonts w:ascii="仿宋_GB2312" w:hAnsi="仿宋_GB2312" w:cs="仿宋_GB2312" w:hint="eastAsia"/>
                <w:bCs/>
                <w:sz w:val="24"/>
                <w:szCs w:val="24"/>
              </w:rPr>
              <w:t>工程量清单概念，工程量清单的内容与编制，清单项目工程量计算。</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w:t>
            </w:r>
            <w:r w:rsidRPr="009626F7">
              <w:rPr>
                <w:rFonts w:ascii="仿宋_GB2312" w:hAnsi="仿宋_GB2312" w:cs="仿宋_GB2312" w:hint="eastAsia"/>
                <w:bCs/>
                <w:sz w:val="24"/>
                <w:szCs w:val="24"/>
              </w:rPr>
              <w:t>工程量清单</w:t>
            </w:r>
            <w:r w:rsidRPr="009626F7">
              <w:rPr>
                <w:rFonts w:ascii="仿宋_GB2312" w:hAnsi="仿宋_GB2312" w:cs="仿宋_GB2312"/>
                <w:bCs/>
                <w:sz w:val="24"/>
                <w:szCs w:val="24"/>
              </w:rPr>
              <w:t>的项目特征描述及工程内容的</w:t>
            </w:r>
            <w:r w:rsidRPr="009626F7">
              <w:rPr>
                <w:rFonts w:ascii="仿宋_GB2312" w:hAnsi="仿宋_GB2312" w:cs="仿宋_GB2312" w:hint="eastAsia"/>
                <w:bCs/>
                <w:sz w:val="24"/>
                <w:szCs w:val="24"/>
              </w:rPr>
              <w:t>考量</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1.</w:t>
            </w:r>
            <w:r w:rsidRPr="009626F7">
              <w:rPr>
                <w:rFonts w:ascii="仿宋_GB2312" w:hAnsi="仿宋_GB2312" w:cs="仿宋_GB2312" w:hint="eastAsia"/>
                <w:bCs/>
                <w:sz w:val="24"/>
                <w:szCs w:val="24"/>
              </w:rPr>
              <w:t xml:space="preserve"> 熟悉工程量清单的基本概念和内容；</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2.</w:t>
            </w:r>
            <w:r w:rsidRPr="009626F7">
              <w:rPr>
                <w:rFonts w:ascii="仿宋_GB2312" w:hAnsi="仿宋_GB2312" w:cs="仿宋_GB2312" w:hint="eastAsia"/>
                <w:bCs/>
                <w:sz w:val="24"/>
                <w:szCs w:val="24"/>
              </w:rPr>
              <w:t>掌握工程量清单编制程序和方法；</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3.</w:t>
            </w:r>
            <w:r w:rsidRPr="009626F7">
              <w:rPr>
                <w:rFonts w:ascii="仿宋_GB2312" w:hAnsi="仿宋_GB2312" w:cs="仿宋_GB2312" w:hint="eastAsia"/>
                <w:bCs/>
                <w:sz w:val="24"/>
                <w:szCs w:val="24"/>
              </w:rPr>
              <w:t>熟悉土建工程清单项目工程量计算规则和方法</w:t>
            </w:r>
            <w:r w:rsidRPr="009626F7">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课堂练习</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10</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目标2</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4</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内容：第四章</w:t>
            </w:r>
            <w:r w:rsidRPr="009626F7">
              <w:rPr>
                <w:rFonts w:ascii="仿宋_GB2312" w:hAnsi="仿宋_GB2312" w:cs="仿宋_GB2312" w:hint="eastAsia"/>
                <w:bCs/>
                <w:sz w:val="24"/>
                <w:szCs w:val="24"/>
              </w:rPr>
              <w:t xml:space="preserve"> 措施</w:t>
            </w:r>
            <w:r w:rsidRPr="009626F7">
              <w:rPr>
                <w:rFonts w:ascii="仿宋_GB2312" w:hAnsi="仿宋_GB2312" w:cs="仿宋_GB2312"/>
                <w:bCs/>
                <w:sz w:val="24"/>
                <w:szCs w:val="24"/>
              </w:rPr>
              <w:t>项目及其他项目清单编制</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重点</w:t>
            </w:r>
            <w:r w:rsidRPr="009626F7">
              <w:rPr>
                <w:rFonts w:ascii="仿宋_GB2312" w:hAnsi="仿宋_GB2312" w:cs="仿宋_GB2312"/>
                <w:bCs/>
                <w:sz w:val="24"/>
                <w:szCs w:val="24"/>
              </w:rPr>
              <w:t>：措施项目中涵盖的内容及</w:t>
            </w:r>
            <w:r w:rsidRPr="009626F7">
              <w:rPr>
                <w:rFonts w:ascii="仿宋_GB2312" w:hAnsi="仿宋_GB2312" w:cs="仿宋_GB2312" w:hint="eastAsia"/>
                <w:bCs/>
                <w:sz w:val="24"/>
                <w:szCs w:val="24"/>
              </w:rPr>
              <w:t>措施项目</w:t>
            </w:r>
            <w:r w:rsidRPr="009626F7">
              <w:rPr>
                <w:rFonts w:ascii="仿宋_GB2312" w:hAnsi="仿宋_GB2312" w:cs="仿宋_GB2312"/>
                <w:bCs/>
                <w:sz w:val="24"/>
                <w:szCs w:val="24"/>
              </w:rPr>
              <w:t>量的计算</w:t>
            </w:r>
            <w:r w:rsidRPr="009626F7">
              <w:rPr>
                <w:rFonts w:ascii="仿宋_GB2312" w:hAnsi="仿宋_GB2312" w:cs="仿宋_GB2312" w:hint="eastAsia"/>
                <w:bCs/>
                <w:sz w:val="24"/>
                <w:szCs w:val="24"/>
              </w:rPr>
              <w:t>；</w:t>
            </w:r>
            <w:r w:rsidRPr="009626F7">
              <w:rPr>
                <w:rFonts w:ascii="仿宋_GB2312" w:hAnsi="仿宋_GB2312" w:cs="仿宋_GB2312"/>
                <w:bCs/>
                <w:sz w:val="24"/>
                <w:szCs w:val="24"/>
              </w:rPr>
              <w:t>其他项目费用涵盖的内容及相关算法</w:t>
            </w:r>
            <w:r w:rsidRPr="009626F7">
              <w:rPr>
                <w:rFonts w:ascii="仿宋_GB2312" w:hAnsi="仿宋_GB2312" w:cs="仿宋_GB2312" w:hint="eastAsia"/>
                <w:bCs/>
                <w:sz w:val="24"/>
                <w:szCs w:val="24"/>
              </w:rPr>
              <w:t xml:space="preserve"> </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重点：</w:t>
            </w:r>
            <w:r w:rsidRPr="009626F7">
              <w:rPr>
                <w:rFonts w:ascii="仿宋_GB2312" w:hAnsi="仿宋_GB2312" w:cs="仿宋_GB2312" w:hint="eastAsia"/>
                <w:bCs/>
                <w:sz w:val="24"/>
                <w:szCs w:val="24"/>
              </w:rPr>
              <w:t>安全文明</w:t>
            </w:r>
            <w:r w:rsidRPr="009626F7">
              <w:rPr>
                <w:rFonts w:ascii="仿宋_GB2312" w:hAnsi="仿宋_GB2312" w:cs="仿宋_GB2312"/>
                <w:bCs/>
                <w:sz w:val="24"/>
                <w:szCs w:val="24"/>
              </w:rPr>
              <w:t>施工费</w:t>
            </w:r>
            <w:r w:rsidRPr="009626F7">
              <w:rPr>
                <w:rFonts w:ascii="仿宋_GB2312" w:hAnsi="仿宋_GB2312" w:cs="仿宋_GB2312" w:hint="eastAsia"/>
                <w:bCs/>
                <w:sz w:val="24"/>
                <w:szCs w:val="24"/>
              </w:rPr>
              <w:t>的计</w:t>
            </w:r>
            <w:r w:rsidRPr="009626F7">
              <w:rPr>
                <w:rFonts w:ascii="仿宋_GB2312" w:hAnsi="仿宋_GB2312" w:cs="仿宋_GB2312" w:hint="eastAsia"/>
                <w:bCs/>
                <w:sz w:val="24"/>
                <w:szCs w:val="24"/>
              </w:rPr>
              <w:lastRenderedPageBreak/>
              <w:t>算</w:t>
            </w:r>
            <w:r w:rsidRPr="009626F7">
              <w:rPr>
                <w:rFonts w:ascii="仿宋_GB2312" w:hAnsi="仿宋_GB2312" w:cs="仿宋_GB2312"/>
                <w:bCs/>
                <w:sz w:val="24"/>
                <w:szCs w:val="24"/>
              </w:rPr>
              <w:t>及相关措施项目</w:t>
            </w:r>
            <w:r w:rsidRPr="009626F7">
              <w:rPr>
                <w:rFonts w:ascii="仿宋_GB2312" w:hAnsi="仿宋_GB2312" w:cs="仿宋_GB2312" w:hint="eastAsia"/>
                <w:bCs/>
                <w:sz w:val="24"/>
                <w:szCs w:val="24"/>
              </w:rPr>
              <w:t>工程量</w:t>
            </w:r>
            <w:r w:rsidRPr="009626F7">
              <w:rPr>
                <w:rFonts w:ascii="仿宋_GB2312" w:hAnsi="仿宋_GB2312" w:cs="仿宋_GB2312"/>
                <w:bCs/>
                <w:sz w:val="24"/>
                <w:szCs w:val="24"/>
              </w:rPr>
              <w:t>的计算</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lastRenderedPageBreak/>
              <w:t>1.</w:t>
            </w:r>
            <w:r w:rsidRPr="009626F7">
              <w:rPr>
                <w:rFonts w:ascii="仿宋_GB2312" w:hAnsi="仿宋_GB2312" w:cs="仿宋_GB2312" w:hint="eastAsia"/>
                <w:bCs/>
                <w:sz w:val="24"/>
                <w:szCs w:val="24"/>
              </w:rPr>
              <w:t>掌握措施</w:t>
            </w:r>
            <w:r w:rsidRPr="009626F7">
              <w:rPr>
                <w:rFonts w:ascii="仿宋_GB2312" w:hAnsi="仿宋_GB2312" w:cs="仿宋_GB2312"/>
                <w:bCs/>
                <w:sz w:val="24"/>
                <w:szCs w:val="24"/>
              </w:rPr>
              <w:t>项目工程量计算与清单编制。</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 xml:space="preserve">2. </w:t>
            </w:r>
            <w:r w:rsidRPr="009626F7">
              <w:rPr>
                <w:rFonts w:ascii="仿宋_GB2312" w:hAnsi="仿宋_GB2312" w:cs="仿宋_GB2312" w:hint="eastAsia"/>
                <w:bCs/>
                <w:sz w:val="24"/>
                <w:szCs w:val="24"/>
              </w:rPr>
              <w:t>其他项目</w:t>
            </w:r>
            <w:r w:rsidRPr="009626F7">
              <w:rPr>
                <w:rFonts w:ascii="仿宋_GB2312" w:hAnsi="仿宋_GB2312" w:cs="仿宋_GB2312"/>
                <w:bCs/>
                <w:sz w:val="24"/>
                <w:szCs w:val="24"/>
              </w:rPr>
              <w:t>清单编制。</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3.掌握</w:t>
            </w:r>
            <w:r w:rsidRPr="009626F7">
              <w:rPr>
                <w:rFonts w:ascii="仿宋_GB2312" w:hAnsi="仿宋_GB2312" w:cs="仿宋_GB2312" w:hint="eastAsia"/>
                <w:bCs/>
                <w:sz w:val="24"/>
                <w:szCs w:val="24"/>
              </w:rPr>
              <w:t>规费税金</w:t>
            </w:r>
            <w:r w:rsidRPr="009626F7">
              <w:rPr>
                <w:rFonts w:ascii="仿宋_GB2312" w:hAnsi="仿宋_GB2312" w:cs="仿宋_GB2312"/>
                <w:bCs/>
                <w:sz w:val="24"/>
                <w:szCs w:val="24"/>
              </w:rPr>
              <w:t>项目清单编制</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随堂测验</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目标2</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内容：第五章</w:t>
            </w:r>
            <w:r w:rsidRPr="009626F7">
              <w:rPr>
                <w:rFonts w:ascii="仿宋_GB2312" w:hAnsi="仿宋_GB2312" w:cs="仿宋_GB2312" w:hint="eastAsia"/>
                <w:bCs/>
                <w:sz w:val="24"/>
                <w:szCs w:val="24"/>
              </w:rPr>
              <w:t>建设</w:t>
            </w:r>
            <w:r w:rsidRPr="009626F7">
              <w:rPr>
                <w:rFonts w:ascii="仿宋_GB2312" w:hAnsi="仿宋_GB2312" w:cs="仿宋_GB2312"/>
                <w:bCs/>
                <w:sz w:val="24"/>
                <w:szCs w:val="24"/>
              </w:rPr>
              <w:t>工程工程量清单计价</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重点：</w:t>
            </w:r>
            <w:r w:rsidRPr="009626F7">
              <w:rPr>
                <w:rFonts w:ascii="仿宋_GB2312" w:hAnsi="仿宋_GB2312" w:cs="仿宋_GB2312" w:hint="eastAsia"/>
                <w:bCs/>
                <w:sz w:val="24"/>
                <w:szCs w:val="24"/>
              </w:rPr>
              <w:t>工程量清单计价的概念，工程量清单计价规范，工程量清单计价的内容、计价方法与编制。</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1.</w:t>
            </w:r>
            <w:r w:rsidRPr="009626F7">
              <w:rPr>
                <w:rFonts w:ascii="仿宋_GB2312" w:hAnsi="仿宋_GB2312" w:cs="仿宋_GB2312" w:hint="eastAsia"/>
                <w:bCs/>
                <w:sz w:val="24"/>
                <w:szCs w:val="24"/>
              </w:rPr>
              <w:t>掌握工程量</w:t>
            </w:r>
            <w:r w:rsidRPr="009626F7">
              <w:rPr>
                <w:rFonts w:ascii="仿宋_GB2312" w:hAnsi="仿宋_GB2312" w:cs="仿宋_GB2312"/>
                <w:bCs/>
                <w:sz w:val="24"/>
                <w:szCs w:val="24"/>
              </w:rPr>
              <w:t>清单计价的方法与原理。</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2. 理解</w:t>
            </w:r>
            <w:r w:rsidRPr="009626F7">
              <w:rPr>
                <w:rFonts w:ascii="仿宋_GB2312" w:hAnsi="仿宋_GB2312" w:cs="仿宋_GB2312" w:hint="eastAsia"/>
                <w:bCs/>
                <w:sz w:val="24"/>
                <w:szCs w:val="24"/>
              </w:rPr>
              <w:t>招标控制</w:t>
            </w:r>
            <w:r w:rsidRPr="009626F7">
              <w:rPr>
                <w:rFonts w:ascii="仿宋_GB2312" w:hAnsi="仿宋_GB2312" w:cs="仿宋_GB2312"/>
                <w:bCs/>
                <w:sz w:val="24"/>
                <w:szCs w:val="24"/>
              </w:rPr>
              <w:t>价的编制。</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3.掌握</w:t>
            </w:r>
            <w:r w:rsidRPr="009626F7">
              <w:rPr>
                <w:rFonts w:ascii="仿宋_GB2312" w:hAnsi="仿宋_GB2312" w:cs="仿宋_GB2312" w:hint="eastAsia"/>
                <w:bCs/>
                <w:sz w:val="24"/>
                <w:szCs w:val="24"/>
              </w:rPr>
              <w:t>单位工程</w:t>
            </w:r>
            <w:r w:rsidRPr="009626F7">
              <w:rPr>
                <w:rFonts w:ascii="仿宋_GB2312" w:hAnsi="仿宋_GB2312" w:cs="仿宋_GB2312"/>
                <w:bCs/>
                <w:sz w:val="24"/>
                <w:szCs w:val="24"/>
              </w:rPr>
              <w:t>投标报价的编制方法与原理。</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课堂</w:t>
            </w:r>
            <w:r w:rsidRPr="009626F7">
              <w:rPr>
                <w:rFonts w:ascii="仿宋_GB2312" w:hAnsi="仿宋_GB2312" w:cs="仿宋_GB2312"/>
                <w:bCs/>
                <w:sz w:val="24"/>
                <w:szCs w:val="24"/>
              </w:rPr>
              <w:t>练习</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10</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6</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内容：第六章</w:t>
            </w:r>
            <w:r w:rsidRPr="009626F7">
              <w:rPr>
                <w:rFonts w:ascii="仿宋_GB2312" w:hAnsi="仿宋_GB2312" w:cs="仿宋_GB2312" w:hint="eastAsia"/>
                <w:bCs/>
                <w:sz w:val="24"/>
                <w:szCs w:val="24"/>
              </w:rPr>
              <w:t>工程价款</w:t>
            </w:r>
            <w:r w:rsidRPr="009626F7">
              <w:rPr>
                <w:rFonts w:ascii="仿宋_GB2312" w:hAnsi="仿宋_GB2312" w:cs="仿宋_GB2312"/>
                <w:bCs/>
                <w:sz w:val="24"/>
                <w:szCs w:val="24"/>
              </w:rPr>
              <w:t>结算</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重点：</w:t>
            </w:r>
            <w:r w:rsidRPr="009626F7">
              <w:rPr>
                <w:rFonts w:ascii="仿宋_GB2312" w:hAnsi="仿宋_GB2312" w:cs="仿宋_GB2312" w:hint="eastAsia"/>
                <w:bCs/>
                <w:sz w:val="24"/>
                <w:szCs w:val="24"/>
              </w:rPr>
              <w:t>工程结算的</w:t>
            </w:r>
            <w:r w:rsidRPr="009626F7">
              <w:rPr>
                <w:rFonts w:ascii="仿宋_GB2312" w:hAnsi="仿宋_GB2312" w:cs="仿宋_GB2312"/>
                <w:bCs/>
                <w:sz w:val="24"/>
                <w:szCs w:val="24"/>
              </w:rPr>
              <w:t>编制</w:t>
            </w:r>
            <w:r w:rsidRPr="009626F7">
              <w:rPr>
                <w:rFonts w:ascii="仿宋_GB2312" w:hAnsi="仿宋_GB2312" w:cs="仿宋_GB2312" w:hint="eastAsia"/>
                <w:bCs/>
                <w:sz w:val="24"/>
                <w:szCs w:val="24"/>
              </w:rPr>
              <w:t>，竣工决算编制</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1.了解</w:t>
            </w:r>
            <w:r w:rsidRPr="009626F7">
              <w:rPr>
                <w:rFonts w:ascii="仿宋_GB2312" w:hAnsi="仿宋_GB2312" w:cs="仿宋_GB2312" w:hint="eastAsia"/>
                <w:bCs/>
                <w:sz w:val="24"/>
                <w:szCs w:val="24"/>
              </w:rPr>
              <w:t>工程预付</w:t>
            </w:r>
            <w:r w:rsidRPr="009626F7">
              <w:rPr>
                <w:rFonts w:ascii="仿宋_GB2312" w:hAnsi="仿宋_GB2312" w:cs="仿宋_GB2312"/>
                <w:bCs/>
                <w:sz w:val="24"/>
                <w:szCs w:val="24"/>
              </w:rPr>
              <w:t>款的</w:t>
            </w:r>
            <w:r w:rsidRPr="009626F7">
              <w:rPr>
                <w:rFonts w:ascii="仿宋_GB2312" w:hAnsi="仿宋_GB2312" w:cs="仿宋_GB2312" w:hint="eastAsia"/>
                <w:bCs/>
                <w:sz w:val="24"/>
                <w:szCs w:val="24"/>
              </w:rPr>
              <w:t>结算</w:t>
            </w:r>
            <w:r w:rsidRPr="009626F7">
              <w:rPr>
                <w:rFonts w:ascii="仿宋_GB2312" w:hAnsi="仿宋_GB2312" w:cs="仿宋_GB2312"/>
                <w:bCs/>
                <w:sz w:val="24"/>
                <w:szCs w:val="24"/>
              </w:rPr>
              <w:t>方法。</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2. 理解</w:t>
            </w:r>
            <w:r w:rsidRPr="009626F7">
              <w:rPr>
                <w:rFonts w:ascii="仿宋_GB2312" w:hAnsi="仿宋_GB2312" w:cs="仿宋_GB2312" w:hint="eastAsia"/>
                <w:bCs/>
                <w:sz w:val="24"/>
                <w:szCs w:val="24"/>
              </w:rPr>
              <w:t>工程进度</w:t>
            </w:r>
            <w:r w:rsidRPr="009626F7">
              <w:rPr>
                <w:rFonts w:ascii="仿宋_GB2312" w:hAnsi="仿宋_GB2312" w:cs="仿宋_GB2312"/>
                <w:bCs/>
                <w:sz w:val="24"/>
                <w:szCs w:val="24"/>
              </w:rPr>
              <w:t>款结算</w:t>
            </w:r>
            <w:r w:rsidRPr="009626F7">
              <w:rPr>
                <w:rFonts w:ascii="仿宋_GB2312" w:hAnsi="仿宋_GB2312" w:cs="仿宋_GB2312" w:hint="eastAsia"/>
                <w:bCs/>
                <w:sz w:val="24"/>
                <w:szCs w:val="24"/>
              </w:rPr>
              <w:t>及</w:t>
            </w:r>
            <w:r w:rsidRPr="009626F7">
              <w:rPr>
                <w:rFonts w:ascii="仿宋_GB2312" w:hAnsi="仿宋_GB2312" w:cs="仿宋_GB2312"/>
                <w:bCs/>
                <w:sz w:val="24"/>
                <w:szCs w:val="24"/>
              </w:rPr>
              <w:t>工程竣工结算的</w:t>
            </w:r>
            <w:r w:rsidRPr="009626F7">
              <w:rPr>
                <w:rFonts w:ascii="仿宋_GB2312" w:hAnsi="仿宋_GB2312" w:cs="仿宋_GB2312" w:hint="eastAsia"/>
                <w:bCs/>
                <w:sz w:val="24"/>
                <w:szCs w:val="24"/>
              </w:rPr>
              <w:t>方法</w:t>
            </w:r>
            <w:r w:rsidRPr="009626F7">
              <w:rPr>
                <w:rFonts w:ascii="仿宋_GB2312" w:hAnsi="仿宋_GB2312" w:cs="仿宋_GB2312"/>
                <w:bCs/>
                <w:sz w:val="24"/>
                <w:szCs w:val="24"/>
              </w:rPr>
              <w:t>。</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3.掌握</w:t>
            </w:r>
            <w:r w:rsidRPr="009626F7">
              <w:rPr>
                <w:rFonts w:ascii="仿宋_GB2312" w:hAnsi="仿宋_GB2312" w:cs="仿宋_GB2312" w:hint="eastAsia"/>
                <w:bCs/>
                <w:sz w:val="24"/>
                <w:szCs w:val="24"/>
              </w:rPr>
              <w:t>合同价款</w:t>
            </w:r>
            <w:r w:rsidRPr="009626F7">
              <w:rPr>
                <w:rFonts w:ascii="仿宋_GB2312" w:hAnsi="仿宋_GB2312" w:cs="仿宋_GB2312"/>
                <w:bCs/>
                <w:sz w:val="24"/>
                <w:szCs w:val="24"/>
              </w:rPr>
              <w:t>的约定与调整。</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目标2、3</w:t>
            </w:r>
          </w:p>
        </w:tc>
      </w:tr>
    </w:tbl>
    <w:p w:rsidR="00CA5AE3" w:rsidRPr="009626F7" w:rsidRDefault="00CA5AE3" w:rsidP="00CA5AE3">
      <w:pPr>
        <w:keepNext/>
        <w:spacing w:beforeLines="100" w:before="312" w:afterLines="50" w:after="156" w:line="360" w:lineRule="exact"/>
        <w:outlineLvl w:val="0"/>
        <w:rPr>
          <w:rFonts w:ascii="仿宋" w:eastAsia="仿宋" w:hAnsi="仿宋"/>
          <w:b/>
          <w:sz w:val="28"/>
          <w:szCs w:val="28"/>
        </w:rPr>
      </w:pPr>
      <w:r w:rsidRPr="009626F7">
        <w:rPr>
          <w:rFonts w:ascii="仿宋" w:eastAsia="仿宋" w:hAnsi="仿宋"/>
          <w:b/>
          <w:sz w:val="28"/>
          <w:szCs w:val="28"/>
        </w:rPr>
        <w:t>课内实践教学内容及要求</w:t>
      </w:r>
    </w:p>
    <w:p w:rsidR="00CA5AE3" w:rsidRPr="009626F7" w:rsidRDefault="00CA5AE3" w:rsidP="00CA5AE3">
      <w:pPr>
        <w:adjustRightInd w:val="0"/>
        <w:snapToGrid w:val="0"/>
        <w:spacing w:line="360" w:lineRule="exact"/>
        <w:rPr>
          <w:rFonts w:ascii="Times New Roman" w:hAnsi="Times New Roman"/>
          <w:sz w:val="28"/>
          <w:szCs w:val="28"/>
        </w:rPr>
      </w:pPr>
      <w:r w:rsidRPr="009626F7">
        <w:rPr>
          <w:rFonts w:ascii="Times New Roman" w:hAnsi="Times New Roman"/>
          <w:sz w:val="28"/>
          <w:szCs w:val="28"/>
        </w:rPr>
        <w:t>无</w:t>
      </w:r>
    </w:p>
    <w:p w:rsidR="00CA5AE3" w:rsidRPr="009626F7" w:rsidRDefault="00CA5AE3" w:rsidP="00CA5AE3">
      <w:pPr>
        <w:keepNext/>
        <w:spacing w:beforeLines="100" w:before="312" w:afterLines="50" w:after="156" w:line="360" w:lineRule="exact"/>
        <w:outlineLvl w:val="0"/>
        <w:rPr>
          <w:rFonts w:ascii="仿宋" w:eastAsia="仿宋" w:hAnsi="仿宋"/>
          <w:b/>
          <w:sz w:val="28"/>
          <w:szCs w:val="28"/>
        </w:rPr>
      </w:pPr>
      <w:r w:rsidRPr="009626F7">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CA5AE3" w:rsidTr="00E07285">
        <w:trPr>
          <w:trHeight w:val="454"/>
          <w:jc w:val="center"/>
        </w:trPr>
        <w:tc>
          <w:tcPr>
            <w:tcW w:w="1624" w:type="pct"/>
            <w:vMerge w:val="restar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章  节</w:t>
            </w:r>
          </w:p>
        </w:tc>
        <w:tc>
          <w:tcPr>
            <w:tcW w:w="2937" w:type="pct"/>
            <w:gridSpan w:val="6"/>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学 时 分 配</w:t>
            </w:r>
          </w:p>
        </w:tc>
        <w:tc>
          <w:tcPr>
            <w:tcW w:w="439" w:type="pct"/>
            <w:vMerge w:val="restar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合  计</w:t>
            </w:r>
          </w:p>
        </w:tc>
      </w:tr>
      <w:tr w:rsidR="00CA5AE3" w:rsidTr="00E07285">
        <w:trPr>
          <w:trHeight w:val="454"/>
          <w:jc w:val="center"/>
        </w:trPr>
        <w:tc>
          <w:tcPr>
            <w:tcW w:w="1624" w:type="pct"/>
            <w:vMerge/>
            <w:vAlign w:val="center"/>
          </w:tcPr>
          <w:p w:rsidR="00CA5AE3" w:rsidRDefault="00CA5AE3" w:rsidP="00E07285">
            <w:pPr>
              <w:adjustRightInd w:val="0"/>
              <w:snapToGrid w:val="0"/>
              <w:spacing w:line="360" w:lineRule="exact"/>
              <w:jc w:val="center"/>
              <w:rPr>
                <w:rFonts w:ascii="Times New Roman" w:hAnsi="Times New Roman"/>
                <w:b/>
              </w:rPr>
            </w:pPr>
          </w:p>
        </w:tc>
        <w:tc>
          <w:tcPr>
            <w:tcW w:w="489" w:type="pc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讲  课</w:t>
            </w:r>
          </w:p>
        </w:tc>
        <w:tc>
          <w:tcPr>
            <w:tcW w:w="490" w:type="pc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实验课</w:t>
            </w:r>
          </w:p>
        </w:tc>
        <w:tc>
          <w:tcPr>
            <w:tcW w:w="489" w:type="pc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上机课</w:t>
            </w:r>
          </w:p>
        </w:tc>
        <w:tc>
          <w:tcPr>
            <w:tcW w:w="490" w:type="pc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讨论课</w:t>
            </w:r>
          </w:p>
        </w:tc>
        <w:tc>
          <w:tcPr>
            <w:tcW w:w="489" w:type="pc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习题课</w:t>
            </w:r>
          </w:p>
        </w:tc>
        <w:tc>
          <w:tcPr>
            <w:tcW w:w="490" w:type="pc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其  它</w:t>
            </w:r>
          </w:p>
        </w:tc>
        <w:tc>
          <w:tcPr>
            <w:tcW w:w="439" w:type="pct"/>
            <w:vMerge/>
            <w:vAlign w:val="center"/>
          </w:tcPr>
          <w:p w:rsidR="00CA5AE3" w:rsidRDefault="00CA5AE3" w:rsidP="00E07285">
            <w:pPr>
              <w:adjustRightInd w:val="0"/>
              <w:snapToGrid w:val="0"/>
              <w:spacing w:line="360" w:lineRule="exact"/>
              <w:jc w:val="center"/>
              <w:rPr>
                <w:rFonts w:ascii="Times New Roman" w:hAnsi="Times New Roman"/>
              </w:rPr>
            </w:pP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第一章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6</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6</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第二章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第三章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8</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 xml:space="preserve"> </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8</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第四章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6</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6</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第五章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8</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8</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第六章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共  计</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35</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4</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40</w:t>
            </w:r>
          </w:p>
        </w:tc>
      </w:tr>
    </w:tbl>
    <w:p w:rsidR="00CA5AE3" w:rsidRPr="009626F7" w:rsidRDefault="00CA5AE3" w:rsidP="00CA5AE3">
      <w:pPr>
        <w:keepNext/>
        <w:spacing w:beforeLines="100" w:before="312" w:afterLines="50" w:after="156" w:line="360" w:lineRule="exact"/>
        <w:outlineLvl w:val="0"/>
        <w:rPr>
          <w:rFonts w:ascii="仿宋" w:eastAsia="仿宋" w:hAnsi="仿宋"/>
          <w:b/>
          <w:sz w:val="28"/>
          <w:szCs w:val="28"/>
        </w:rPr>
      </w:pPr>
      <w:r w:rsidRPr="009626F7">
        <w:rPr>
          <w:rFonts w:ascii="仿宋" w:eastAsia="仿宋" w:hAnsi="仿宋"/>
          <w:b/>
          <w:sz w:val="28"/>
          <w:szCs w:val="28"/>
        </w:rPr>
        <w:lastRenderedPageBreak/>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930"/>
        <w:gridCol w:w="3217"/>
      </w:tblGrid>
      <w:tr w:rsidR="00CA5AE3" w:rsidTr="00E07285">
        <w:trPr>
          <w:trHeight w:val="454"/>
          <w:jc w:val="center"/>
        </w:trPr>
        <w:tc>
          <w:tcPr>
            <w:tcW w:w="343" w:type="pct"/>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序号</w:t>
            </w:r>
          </w:p>
        </w:tc>
        <w:tc>
          <w:tcPr>
            <w:tcW w:w="1555" w:type="pct"/>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课程思政教学目标</w:t>
            </w:r>
          </w:p>
        </w:tc>
        <w:tc>
          <w:tcPr>
            <w:tcW w:w="1163" w:type="pct"/>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授课章节</w:t>
            </w:r>
          </w:p>
        </w:tc>
        <w:tc>
          <w:tcPr>
            <w:tcW w:w="1939" w:type="pct"/>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课程思政融入点（至少5处）</w:t>
            </w:r>
          </w:p>
        </w:tc>
      </w:tr>
      <w:tr w:rsidR="00CA5AE3" w:rsidTr="00E07285">
        <w:trPr>
          <w:trHeight w:val="454"/>
          <w:jc w:val="center"/>
        </w:trPr>
        <w:tc>
          <w:tcPr>
            <w:tcW w:w="34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1555"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正确政治导向</w:t>
            </w:r>
          </w:p>
        </w:tc>
        <w:tc>
          <w:tcPr>
            <w:tcW w:w="116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第一章</w:t>
            </w:r>
          </w:p>
        </w:tc>
        <w:tc>
          <w:tcPr>
            <w:tcW w:w="1939" w:type="pct"/>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工程计量</w:t>
            </w:r>
            <w:r w:rsidRPr="009626F7">
              <w:rPr>
                <w:rFonts w:ascii="仿宋_GB2312" w:hAnsi="仿宋_GB2312" w:cs="仿宋_GB2312"/>
                <w:bCs/>
                <w:sz w:val="24"/>
                <w:szCs w:val="24"/>
              </w:rPr>
              <w:t>与计价是建设项目投资控制的关键，</w:t>
            </w:r>
            <w:r w:rsidRPr="009626F7">
              <w:rPr>
                <w:rFonts w:ascii="仿宋_GB2312" w:hAnsi="仿宋_GB2312" w:cs="仿宋_GB2312" w:hint="eastAsia"/>
                <w:bCs/>
                <w:sz w:val="24"/>
                <w:szCs w:val="24"/>
              </w:rPr>
              <w:t>是促进</w:t>
            </w:r>
            <w:r w:rsidRPr="009626F7">
              <w:rPr>
                <w:rFonts w:ascii="仿宋_GB2312" w:hAnsi="仿宋_GB2312" w:cs="仿宋_GB2312"/>
                <w:bCs/>
                <w:sz w:val="24"/>
                <w:szCs w:val="24"/>
              </w:rPr>
              <w:t>建筑业健康发展的关键一环</w:t>
            </w:r>
          </w:p>
        </w:tc>
      </w:tr>
      <w:tr w:rsidR="00CA5AE3" w:rsidTr="00E07285">
        <w:trPr>
          <w:trHeight w:val="454"/>
          <w:jc w:val="center"/>
        </w:trPr>
        <w:tc>
          <w:tcPr>
            <w:tcW w:w="34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1555"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社会主义核心价值观教育</w:t>
            </w:r>
          </w:p>
        </w:tc>
        <w:tc>
          <w:tcPr>
            <w:tcW w:w="116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第二章</w:t>
            </w:r>
          </w:p>
        </w:tc>
        <w:tc>
          <w:tcPr>
            <w:tcW w:w="1939" w:type="pct"/>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先进技术是提升生活质量的有力工具</w:t>
            </w:r>
          </w:p>
        </w:tc>
      </w:tr>
      <w:tr w:rsidR="00CA5AE3" w:rsidTr="00E07285">
        <w:trPr>
          <w:trHeight w:val="454"/>
          <w:jc w:val="center"/>
        </w:trPr>
        <w:tc>
          <w:tcPr>
            <w:tcW w:w="34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3</w:t>
            </w:r>
          </w:p>
        </w:tc>
        <w:tc>
          <w:tcPr>
            <w:tcW w:w="1555"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远大理想塑造</w:t>
            </w:r>
          </w:p>
        </w:tc>
        <w:tc>
          <w:tcPr>
            <w:tcW w:w="116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第一~六章</w:t>
            </w:r>
          </w:p>
        </w:tc>
        <w:tc>
          <w:tcPr>
            <w:tcW w:w="1939" w:type="pct"/>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工程造价</w:t>
            </w:r>
            <w:r w:rsidRPr="009626F7">
              <w:rPr>
                <w:rFonts w:ascii="仿宋_GB2312" w:hAnsi="仿宋_GB2312" w:cs="仿宋_GB2312"/>
                <w:bCs/>
                <w:sz w:val="24"/>
                <w:szCs w:val="24"/>
              </w:rPr>
              <w:t>的合理确定是</w:t>
            </w:r>
            <w:r w:rsidRPr="009626F7">
              <w:rPr>
                <w:rFonts w:ascii="仿宋_GB2312" w:hAnsi="仿宋_GB2312" w:cs="仿宋_GB2312" w:hint="eastAsia"/>
                <w:bCs/>
                <w:sz w:val="24"/>
                <w:szCs w:val="24"/>
              </w:rPr>
              <w:t>工程</w:t>
            </w:r>
            <w:r w:rsidRPr="009626F7">
              <w:rPr>
                <w:rFonts w:ascii="仿宋_GB2312" w:hAnsi="仿宋_GB2312" w:cs="仿宋_GB2312"/>
                <w:bCs/>
                <w:sz w:val="24"/>
                <w:szCs w:val="24"/>
              </w:rPr>
              <w:t>投资管控的关键，是确保工程质量和进度的关键</w:t>
            </w:r>
            <w:r w:rsidRPr="009626F7">
              <w:rPr>
                <w:rFonts w:ascii="仿宋_GB2312" w:hAnsi="仿宋_GB2312" w:cs="仿宋_GB2312" w:hint="eastAsia"/>
                <w:bCs/>
                <w:sz w:val="24"/>
                <w:szCs w:val="24"/>
              </w:rPr>
              <w:t xml:space="preserve"> </w:t>
            </w:r>
          </w:p>
        </w:tc>
      </w:tr>
      <w:tr w:rsidR="00CA5AE3" w:rsidTr="00E07285">
        <w:trPr>
          <w:trHeight w:val="454"/>
          <w:jc w:val="center"/>
        </w:trPr>
        <w:tc>
          <w:tcPr>
            <w:tcW w:w="34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4</w:t>
            </w:r>
          </w:p>
        </w:tc>
        <w:tc>
          <w:tcPr>
            <w:tcW w:w="1555"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健康心态培育</w:t>
            </w:r>
          </w:p>
        </w:tc>
        <w:tc>
          <w:tcPr>
            <w:tcW w:w="116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第二~六章</w:t>
            </w:r>
          </w:p>
        </w:tc>
        <w:tc>
          <w:tcPr>
            <w:tcW w:w="1939" w:type="pct"/>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各种新技术需要不断创新、不断学习，应勇于面对新问题并着力寻求解决</w:t>
            </w:r>
          </w:p>
        </w:tc>
      </w:tr>
      <w:tr w:rsidR="00CA5AE3" w:rsidTr="00E07285">
        <w:trPr>
          <w:trHeight w:val="454"/>
          <w:jc w:val="center"/>
        </w:trPr>
        <w:tc>
          <w:tcPr>
            <w:tcW w:w="34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c>
          <w:tcPr>
            <w:tcW w:w="1555"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道德品质培养</w:t>
            </w:r>
          </w:p>
        </w:tc>
        <w:tc>
          <w:tcPr>
            <w:tcW w:w="116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第二~六章</w:t>
            </w:r>
          </w:p>
        </w:tc>
        <w:tc>
          <w:tcPr>
            <w:tcW w:w="1939" w:type="pct"/>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各项信息技术要应用于解决市场的合理需求，切实服务于社会</w:t>
            </w:r>
          </w:p>
        </w:tc>
      </w:tr>
    </w:tbl>
    <w:p w:rsidR="009626F7" w:rsidRDefault="009626F7" w:rsidP="009626F7">
      <w:pPr>
        <w:spacing w:line="360" w:lineRule="exact"/>
        <w:rPr>
          <w:rFonts w:ascii="黑体" w:eastAsia="黑体" w:hAnsi="黑体"/>
          <w:b/>
          <w:sz w:val="28"/>
          <w:szCs w:val="28"/>
        </w:rPr>
      </w:pPr>
    </w:p>
    <w:p w:rsidR="009626F7" w:rsidRDefault="009626F7" w:rsidP="009626F7">
      <w:pPr>
        <w:spacing w:line="360" w:lineRule="exact"/>
        <w:rPr>
          <w:rFonts w:ascii="黑体" w:eastAsia="黑体" w:hAnsi="黑体"/>
          <w:b/>
          <w:sz w:val="28"/>
          <w:szCs w:val="28"/>
        </w:rPr>
      </w:pPr>
      <w:r>
        <w:rPr>
          <w:rFonts w:ascii="黑体" w:eastAsia="黑体" w:hAnsi="黑体" w:hint="eastAsia"/>
          <w:b/>
          <w:sz w:val="28"/>
          <w:szCs w:val="28"/>
        </w:rPr>
        <w:t>五、课程考核方式与成绩评定</w:t>
      </w:r>
    </w:p>
    <w:p w:rsidR="00CA5AE3" w:rsidRPr="009626F7" w:rsidRDefault="00CA5AE3" w:rsidP="009626F7">
      <w:pPr>
        <w:spacing w:line="360" w:lineRule="auto"/>
        <w:ind w:firstLine="331"/>
        <w:rPr>
          <w:rFonts w:ascii="仿宋_GB2312" w:hAnsi="仿宋_GB2312" w:cs="仿宋_GB2312"/>
          <w:bCs/>
          <w:sz w:val="28"/>
          <w:szCs w:val="28"/>
        </w:rPr>
      </w:pPr>
      <w:r w:rsidRPr="009626F7">
        <w:rPr>
          <w:rFonts w:ascii="仿宋_GB2312" w:hAnsi="仿宋_GB2312" w:cs="仿宋_GB2312"/>
          <w:bCs/>
          <w:sz w:val="28"/>
          <w:szCs w:val="28"/>
        </w:rPr>
        <w:t>（1）考核方式</w:t>
      </w:r>
    </w:p>
    <w:p w:rsidR="00CA5AE3" w:rsidRPr="009626F7" w:rsidRDefault="00CA5AE3" w:rsidP="009626F7">
      <w:pPr>
        <w:spacing w:line="360" w:lineRule="auto"/>
        <w:ind w:firstLine="331"/>
        <w:rPr>
          <w:rFonts w:ascii="仿宋_GB2312" w:hAnsi="仿宋_GB2312" w:cs="仿宋_GB2312"/>
          <w:bCs/>
          <w:sz w:val="28"/>
          <w:szCs w:val="28"/>
        </w:rPr>
      </w:pPr>
      <w:r w:rsidRPr="009626F7">
        <w:rPr>
          <w:rFonts w:ascii="仿宋_GB2312" w:hAnsi="仿宋_GB2312" w:cs="仿宋_GB2312"/>
          <w:bCs/>
          <w:sz w:val="28"/>
          <w:szCs w:val="28"/>
        </w:rPr>
        <w:t>本课程考核方式为考试，其中期末考核方式为标准答案考试，过程考核方式为课堂出勤、课堂讨论展示、作业完成情况及平时随堂测验等。</w:t>
      </w:r>
    </w:p>
    <w:p w:rsidR="00CA5AE3" w:rsidRPr="009626F7" w:rsidRDefault="00CA5AE3" w:rsidP="009626F7">
      <w:pPr>
        <w:spacing w:line="360" w:lineRule="auto"/>
        <w:ind w:firstLine="331"/>
        <w:rPr>
          <w:rFonts w:ascii="仿宋_GB2312" w:hAnsi="仿宋_GB2312" w:cs="仿宋_GB2312"/>
          <w:bCs/>
          <w:sz w:val="28"/>
          <w:szCs w:val="28"/>
        </w:rPr>
      </w:pPr>
      <w:r w:rsidRPr="009626F7">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881"/>
        <w:gridCol w:w="672"/>
        <w:gridCol w:w="672"/>
        <w:gridCol w:w="672"/>
        <w:gridCol w:w="672"/>
        <w:gridCol w:w="672"/>
        <w:gridCol w:w="677"/>
        <w:gridCol w:w="656"/>
        <w:gridCol w:w="667"/>
      </w:tblGrid>
      <w:tr w:rsidR="00CA5AE3" w:rsidTr="00E07285">
        <w:trPr>
          <w:trHeight w:val="454"/>
          <w:jc w:val="center"/>
        </w:trPr>
        <w:tc>
          <w:tcPr>
            <w:tcW w:w="396" w:type="pct"/>
            <w:vMerge w:val="restart"/>
            <w:tcBorders>
              <w:top w:val="single" w:sz="4" w:space="0" w:color="000000"/>
              <w:left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课程</w:t>
            </w:r>
          </w:p>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目标</w:t>
            </w:r>
          </w:p>
        </w:tc>
        <w:tc>
          <w:tcPr>
            <w:tcW w:w="3956" w:type="pct"/>
            <w:gridSpan w:val="8"/>
            <w:tcBorders>
              <w:top w:val="single" w:sz="4" w:space="0" w:color="000000"/>
              <w:left w:val="single" w:sz="4" w:space="0" w:color="auto"/>
              <w:bottom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考核方式及成绩比例（%）</w:t>
            </w:r>
          </w:p>
        </w:tc>
      </w:tr>
      <w:tr w:rsidR="00CA5AE3" w:rsidTr="00E07285">
        <w:trPr>
          <w:trHeight w:val="454"/>
          <w:jc w:val="center"/>
        </w:trPr>
        <w:tc>
          <w:tcPr>
            <w:tcW w:w="396" w:type="pct"/>
            <w:vMerge/>
            <w:tcBorders>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p>
        </w:tc>
        <w:tc>
          <w:tcPr>
            <w:tcW w:w="496"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考勤</w:t>
            </w:r>
          </w:p>
        </w:tc>
        <w:tc>
          <w:tcPr>
            <w:tcW w:w="496"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作业</w:t>
            </w:r>
          </w:p>
        </w:tc>
        <w:tc>
          <w:tcPr>
            <w:tcW w:w="496"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讨论</w:t>
            </w:r>
          </w:p>
        </w:tc>
        <w:tc>
          <w:tcPr>
            <w:tcW w:w="496"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实验</w:t>
            </w:r>
          </w:p>
        </w:tc>
        <w:tc>
          <w:tcPr>
            <w:tcW w:w="496"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测验</w:t>
            </w:r>
          </w:p>
        </w:tc>
        <w:tc>
          <w:tcPr>
            <w:tcW w:w="499"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考试</w:t>
            </w:r>
          </w:p>
        </w:tc>
        <w:tc>
          <w:tcPr>
            <w:tcW w:w="484"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w:t>
            </w:r>
          </w:p>
        </w:tc>
        <w:tc>
          <w:tcPr>
            <w:tcW w:w="492"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合计</w:t>
            </w:r>
          </w:p>
        </w:tc>
      </w:tr>
      <w:tr w:rsidR="00CA5AE3" w:rsidTr="00E07285">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目标1</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3</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5</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r w:rsidRPr="009626F7">
              <w:rPr>
                <w:rFonts w:ascii="仿宋_GB2312" w:hAnsi="仿宋_GB2312" w:cs="仿宋_GB2312"/>
                <w:bCs/>
                <w:sz w:val="24"/>
                <w:szCs w:val="24"/>
              </w:rPr>
              <w:t>0</w:t>
            </w:r>
          </w:p>
        </w:tc>
      </w:tr>
      <w:tr w:rsidR="00CA5AE3" w:rsidTr="00E07285">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4</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49</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60</w:t>
            </w:r>
          </w:p>
        </w:tc>
      </w:tr>
      <w:tr w:rsidR="00CA5AE3" w:rsidTr="00E07285">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目标3</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4</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6</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20</w:t>
            </w:r>
          </w:p>
        </w:tc>
      </w:tr>
      <w:tr w:rsidR="00CA5AE3" w:rsidTr="00E07285">
        <w:trPr>
          <w:trHeight w:val="454"/>
          <w:jc w:val="center"/>
        </w:trPr>
        <w:tc>
          <w:tcPr>
            <w:tcW w:w="1044" w:type="pct"/>
            <w:gridSpan w:val="2"/>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共计</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10</w:t>
            </w: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60</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100</w:t>
            </w:r>
          </w:p>
        </w:tc>
      </w:tr>
    </w:tbl>
    <w:p w:rsidR="00CA5AE3" w:rsidRDefault="00CA5AE3" w:rsidP="00CA5AE3">
      <w:pPr>
        <w:adjustRightInd w:val="0"/>
        <w:snapToGrid w:val="0"/>
        <w:spacing w:line="360" w:lineRule="exact"/>
        <w:ind w:firstLineChars="200" w:firstLine="560"/>
      </w:pPr>
      <w:r w:rsidRPr="009626F7">
        <w:rPr>
          <w:rFonts w:ascii="仿宋_GB2312" w:hAnsi="仿宋_GB2312" w:cs="仿宋_GB2312" w:hint="eastAsia"/>
          <w:bCs/>
          <w:sz w:val="28"/>
          <w:szCs w:val="28"/>
        </w:rPr>
        <w:t>（3）考核（评价）要求：</w:t>
      </w:r>
      <w: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51"/>
        <w:gridCol w:w="951"/>
        <w:gridCol w:w="4782"/>
        <w:gridCol w:w="1042"/>
      </w:tblGrid>
      <w:tr w:rsidR="00CA5AE3" w:rsidTr="00E07285">
        <w:trPr>
          <w:trHeight w:val="454"/>
          <w:jc w:val="center"/>
        </w:trPr>
        <w:tc>
          <w:tcPr>
            <w:tcW w:w="343" w:type="pct"/>
            <w:tcBorders>
              <w:top w:val="single" w:sz="4" w:space="0" w:color="000000"/>
              <w:left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lastRenderedPageBreak/>
              <w:t>序号</w:t>
            </w:r>
          </w:p>
        </w:tc>
        <w:tc>
          <w:tcPr>
            <w:tcW w:w="573" w:type="pct"/>
            <w:tcBorders>
              <w:top w:val="single" w:sz="4" w:space="0" w:color="000000"/>
              <w:left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hint="eastAsia"/>
                <w:b/>
                <w:bCs/>
                <w:sz w:val="24"/>
                <w:szCs w:val="24"/>
              </w:rPr>
              <w:t>目标分值</w:t>
            </w:r>
          </w:p>
        </w:tc>
        <w:tc>
          <w:tcPr>
            <w:tcW w:w="2880" w:type="pct"/>
            <w:tcBorders>
              <w:top w:val="single" w:sz="4" w:space="0" w:color="000000"/>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支撑课程教学目标</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出勤统计不少于授课次数的2/3；通过出勤统计结果考核学生学习态度和遵守课堂纪律等基本情况。</w:t>
            </w:r>
            <w:r w:rsidRPr="009626F7">
              <w:rPr>
                <w:rFonts w:ascii="仿宋_GB2312" w:hAnsi="仿宋_GB2312" w:cs="仿宋_GB2312"/>
                <w:bCs/>
                <w:sz w:val="24"/>
                <w:szCs w:val="24"/>
              </w:rPr>
              <w:t xml:space="preserve"> </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1</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目标2</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课后作业</w:t>
            </w:r>
            <w:r w:rsidRPr="009626F7">
              <w:rPr>
                <w:rFonts w:ascii="仿宋_GB2312" w:hAnsi="仿宋_GB2312" w:cs="仿宋_GB2312" w:hint="eastAsia"/>
                <w:bCs/>
                <w:sz w:val="24"/>
                <w:szCs w:val="24"/>
              </w:rPr>
              <w:t>布置5次；通过课后作业考核学生对工程计量</w:t>
            </w:r>
            <w:r w:rsidRPr="009626F7">
              <w:rPr>
                <w:rFonts w:ascii="仿宋_GB2312" w:hAnsi="仿宋_GB2312" w:cs="仿宋_GB2312"/>
                <w:bCs/>
                <w:sz w:val="24"/>
                <w:szCs w:val="24"/>
              </w:rPr>
              <w:t>与计价方法和原理</w:t>
            </w:r>
            <w:r w:rsidRPr="009626F7">
              <w:rPr>
                <w:rFonts w:ascii="仿宋_GB2312" w:hAnsi="仿宋_GB2312" w:cs="仿宋_GB2312" w:hint="eastAsia"/>
                <w:bCs/>
                <w:sz w:val="24"/>
                <w:szCs w:val="24"/>
              </w:rPr>
              <w:t>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目标1</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讨论</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课堂讨论设置2次；通过对部分章节关键知识点设置课堂讨论，考核学生对复杂工程问题的分析能力、系统能力、文字组织能力以及协同工作能力等。</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目标1</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目标2</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4</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测验</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章节测验设置2次；</w:t>
            </w:r>
            <w:r w:rsidRPr="009626F7">
              <w:rPr>
                <w:rFonts w:ascii="仿宋_GB2312" w:hAnsi="仿宋_GB2312" w:cs="仿宋_GB2312"/>
                <w:bCs/>
                <w:sz w:val="24"/>
                <w:szCs w:val="24"/>
              </w:rPr>
              <w:t>通过对部分章节关键知识点设置随堂测验，考核学生对</w:t>
            </w:r>
            <w:r w:rsidRPr="009626F7">
              <w:rPr>
                <w:rFonts w:ascii="仿宋_GB2312" w:hAnsi="仿宋_GB2312" w:cs="仿宋_GB2312" w:hint="eastAsia"/>
                <w:bCs/>
                <w:sz w:val="24"/>
                <w:szCs w:val="24"/>
              </w:rPr>
              <w:t>基本</w:t>
            </w:r>
            <w:r w:rsidRPr="009626F7">
              <w:rPr>
                <w:rFonts w:ascii="仿宋_GB2312" w:hAnsi="仿宋_GB2312" w:cs="仿宋_GB2312"/>
                <w:bCs/>
                <w:sz w:val="24"/>
                <w:szCs w:val="24"/>
              </w:rPr>
              <w:t>概念理解</w:t>
            </w:r>
            <w:r w:rsidRPr="009626F7">
              <w:rPr>
                <w:rFonts w:ascii="仿宋_GB2312" w:hAnsi="仿宋_GB2312" w:cs="仿宋_GB2312" w:hint="eastAsia"/>
                <w:bCs/>
                <w:sz w:val="24"/>
                <w:szCs w:val="24"/>
              </w:rPr>
              <w:t>和掌握的</w:t>
            </w:r>
            <w:r w:rsidRPr="009626F7">
              <w:rPr>
                <w:rFonts w:ascii="仿宋_GB2312" w:hAnsi="仿宋_GB2312" w:cs="仿宋_GB2312"/>
                <w:bCs/>
                <w:sz w:val="24"/>
                <w:szCs w:val="24"/>
              </w:rPr>
              <w:t>情况。</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目标2</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5</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期末考试采用</w:t>
            </w:r>
            <w:r w:rsidRPr="009626F7">
              <w:rPr>
                <w:rFonts w:ascii="仿宋_GB2312" w:hAnsi="仿宋_GB2312" w:cs="仿宋_GB2312"/>
                <w:bCs/>
                <w:sz w:val="24"/>
                <w:szCs w:val="24"/>
              </w:rPr>
              <w:t>标准答案考试</w:t>
            </w:r>
            <w:r w:rsidRPr="009626F7">
              <w:rPr>
                <w:rFonts w:ascii="仿宋_GB2312" w:hAnsi="仿宋_GB2312" w:cs="仿宋_GB2312" w:hint="eastAsia"/>
                <w:bCs/>
                <w:sz w:val="24"/>
                <w:szCs w:val="24"/>
              </w:rPr>
              <w:t>。考试范围基本涵盖所有讲授内容，考试内容主要反映学生对本课程主要概念的理解和掌握的程度，以及综合运用的能力。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1</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目标2</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3</w:t>
            </w:r>
          </w:p>
        </w:tc>
      </w:tr>
    </w:tbl>
    <w:p w:rsidR="00CA5AE3" w:rsidRDefault="00CA5AE3" w:rsidP="00CA5AE3">
      <w:pPr>
        <w:adjustRightInd w:val="0"/>
        <w:snapToGrid w:val="0"/>
        <w:spacing w:line="360" w:lineRule="exact"/>
        <w:ind w:firstLineChars="200" w:firstLine="640"/>
        <w:rPr>
          <w:rFonts w:ascii="Times New Roman" w:hAnsi="Times New Roman"/>
        </w:rPr>
      </w:pPr>
    </w:p>
    <w:p w:rsidR="009626F7" w:rsidRDefault="009626F7" w:rsidP="009626F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250D6B" w:rsidRPr="00250D6B" w:rsidRDefault="00250D6B" w:rsidP="00250D6B">
      <w:pPr>
        <w:spacing w:line="360" w:lineRule="auto"/>
        <w:ind w:firstLine="331"/>
        <w:rPr>
          <w:rFonts w:ascii="仿宋_GB2312" w:hAnsi="仿宋_GB2312" w:cs="仿宋_GB2312"/>
          <w:bCs/>
          <w:sz w:val="28"/>
          <w:szCs w:val="28"/>
        </w:rPr>
      </w:pPr>
      <w:r w:rsidRPr="00250D6B">
        <w:rPr>
          <w:rFonts w:ascii="仿宋_GB2312" w:hAnsi="仿宋_GB2312" w:cs="仿宋_GB2312"/>
          <w:bCs/>
          <w:sz w:val="28"/>
          <w:szCs w:val="28"/>
        </w:rPr>
        <w:t>1. 教  材：《</w:t>
      </w:r>
      <w:r w:rsidRPr="00250D6B">
        <w:rPr>
          <w:rFonts w:ascii="仿宋_GB2312" w:hAnsi="仿宋_GB2312" w:cs="仿宋_GB2312" w:hint="eastAsia"/>
          <w:bCs/>
          <w:sz w:val="28"/>
          <w:szCs w:val="28"/>
        </w:rPr>
        <w:t>建筑工程</w:t>
      </w:r>
      <w:r w:rsidRPr="00250D6B">
        <w:rPr>
          <w:rFonts w:ascii="仿宋_GB2312" w:hAnsi="仿宋_GB2312" w:cs="仿宋_GB2312"/>
          <w:bCs/>
          <w:sz w:val="28"/>
          <w:szCs w:val="28"/>
        </w:rPr>
        <w:t>计量与计价》，</w:t>
      </w:r>
      <w:r w:rsidRPr="00250D6B">
        <w:rPr>
          <w:rFonts w:ascii="仿宋_GB2312" w:hAnsi="仿宋_GB2312" w:cs="仿宋_GB2312" w:hint="eastAsia"/>
          <w:bCs/>
          <w:sz w:val="28"/>
          <w:szCs w:val="28"/>
        </w:rPr>
        <w:t>李建峰</w:t>
      </w:r>
      <w:r w:rsidRPr="00250D6B">
        <w:rPr>
          <w:rFonts w:ascii="仿宋_GB2312" w:hAnsi="仿宋_GB2312" w:cs="仿宋_GB2312"/>
          <w:bCs/>
          <w:sz w:val="28"/>
          <w:szCs w:val="28"/>
        </w:rPr>
        <w:t>等著，</w:t>
      </w:r>
      <w:r w:rsidRPr="00250D6B">
        <w:rPr>
          <w:rFonts w:ascii="仿宋_GB2312" w:hAnsi="仿宋_GB2312" w:cs="仿宋_GB2312" w:hint="eastAsia"/>
          <w:bCs/>
          <w:sz w:val="28"/>
          <w:szCs w:val="28"/>
        </w:rPr>
        <w:t>机械</w:t>
      </w:r>
      <w:r w:rsidRPr="00250D6B">
        <w:rPr>
          <w:rFonts w:ascii="仿宋_GB2312" w:hAnsi="仿宋_GB2312" w:cs="仿宋_GB2312"/>
          <w:bCs/>
          <w:sz w:val="28"/>
          <w:szCs w:val="28"/>
        </w:rPr>
        <w:t>工业出版社，2017年6月</w:t>
      </w:r>
    </w:p>
    <w:p w:rsidR="00250D6B" w:rsidRPr="00250D6B" w:rsidRDefault="00250D6B" w:rsidP="00250D6B">
      <w:pPr>
        <w:spacing w:line="360" w:lineRule="auto"/>
        <w:ind w:firstLine="331"/>
        <w:rPr>
          <w:rFonts w:ascii="仿宋_GB2312" w:hAnsi="仿宋_GB2312" w:cs="仿宋_GB2312"/>
          <w:bCs/>
          <w:sz w:val="28"/>
          <w:szCs w:val="28"/>
        </w:rPr>
      </w:pPr>
      <w:r w:rsidRPr="00250D6B">
        <w:rPr>
          <w:rFonts w:ascii="仿宋_GB2312" w:hAnsi="仿宋_GB2312" w:cs="仿宋_GB2312"/>
          <w:bCs/>
          <w:sz w:val="28"/>
          <w:szCs w:val="28"/>
        </w:rPr>
        <w:t>2. 参考书：</w:t>
      </w:r>
      <w:r w:rsidRPr="00250D6B">
        <w:rPr>
          <w:rFonts w:ascii="仿宋_GB2312" w:hAnsi="仿宋_GB2312" w:cs="仿宋_GB2312" w:hint="eastAsia"/>
          <w:bCs/>
          <w:sz w:val="28"/>
          <w:szCs w:val="28"/>
        </w:rPr>
        <w:t>《 工程计价</w:t>
      </w:r>
      <w:r w:rsidRPr="00250D6B">
        <w:rPr>
          <w:rFonts w:ascii="仿宋_GB2312" w:hAnsi="仿宋_GB2312" w:cs="仿宋_GB2312"/>
          <w:bCs/>
          <w:sz w:val="28"/>
          <w:szCs w:val="28"/>
        </w:rPr>
        <w:t>学</w:t>
      </w:r>
      <w:r w:rsidRPr="00250D6B">
        <w:rPr>
          <w:rFonts w:ascii="仿宋_GB2312" w:hAnsi="仿宋_GB2312" w:cs="仿宋_GB2312" w:hint="eastAsia"/>
          <w:bCs/>
          <w:sz w:val="28"/>
          <w:szCs w:val="28"/>
        </w:rPr>
        <w:t>(第3版)》，严玲主编，机械工业出版社，2017;</w:t>
      </w:r>
    </w:p>
    <w:p w:rsidR="00250D6B" w:rsidRPr="00250D6B" w:rsidRDefault="00250D6B"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《建设工程工程量清单计价规范》，GB50500-2017，2017;</w:t>
      </w:r>
    </w:p>
    <w:p w:rsidR="00250D6B" w:rsidRPr="00250D6B" w:rsidRDefault="00250D6B" w:rsidP="00250D6B">
      <w:pPr>
        <w:spacing w:line="360" w:lineRule="auto"/>
        <w:ind w:firstLine="331"/>
        <w:rPr>
          <w:rFonts w:ascii="仿宋_GB2312" w:hAnsi="仿宋_GB2312" w:cs="仿宋_GB2312"/>
          <w:bCs/>
          <w:sz w:val="28"/>
          <w:szCs w:val="28"/>
        </w:rPr>
      </w:pPr>
      <w:r w:rsidRPr="00250D6B">
        <w:rPr>
          <w:rFonts w:ascii="仿宋_GB2312" w:hAnsi="仿宋_GB2312" w:cs="仿宋_GB2312" w:hint="eastAsia"/>
          <w:bCs/>
          <w:sz w:val="28"/>
          <w:szCs w:val="28"/>
        </w:rPr>
        <w:t>《建筑工程计量与计价（第三版）》，黄伟典编，中国环境出版社，2015</w:t>
      </w:r>
    </w:p>
    <w:p w:rsidR="00CA5AE3" w:rsidRPr="00250D6B" w:rsidRDefault="00CA5AE3" w:rsidP="00CA5AE3">
      <w:pPr>
        <w:spacing w:line="360" w:lineRule="exact"/>
        <w:ind w:firstLineChars="196" w:firstLine="627"/>
        <w:rPr>
          <w:rFonts w:ascii="Times New Roman" w:hAnsi="Times New Roman"/>
          <w:szCs w:val="21"/>
        </w:rPr>
      </w:pPr>
    </w:p>
    <w:p w:rsidR="009626F7" w:rsidRDefault="009626F7" w:rsidP="009626F7">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大纲撰写人：</w:t>
      </w:r>
      <w:r w:rsidRPr="009626F7">
        <w:rPr>
          <w:rFonts w:ascii="仿宋" w:eastAsia="仿宋" w:hAnsi="仿宋" w:hint="eastAsia"/>
          <w:sz w:val="28"/>
          <w:szCs w:val="28"/>
        </w:rPr>
        <w:t>袁春燕</w:t>
      </w:r>
    </w:p>
    <w:p w:rsidR="009626F7" w:rsidRDefault="009626F7" w:rsidP="009626F7">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lastRenderedPageBreak/>
        <w:t>课程负责人：</w:t>
      </w:r>
    </w:p>
    <w:p w:rsidR="009626F7" w:rsidRDefault="009626F7" w:rsidP="009626F7">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审核人：</w:t>
      </w:r>
    </w:p>
    <w:p w:rsidR="009626F7" w:rsidRDefault="009626F7" w:rsidP="009626F7">
      <w:pPr>
        <w:jc w:val="center"/>
        <w:rPr>
          <w:rFonts w:ascii="仿宋_GB2312" w:hint="eastAsia"/>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9626F7" w:rsidRDefault="009626F7" w:rsidP="009626F7">
      <w:pPr>
        <w:ind w:firstLineChars="2000" w:firstLine="5600"/>
        <w:jc w:val="left"/>
        <w:rPr>
          <w:rFonts w:ascii="仿宋" w:hAnsi="仿宋"/>
          <w:sz w:val="28"/>
          <w:szCs w:val="28"/>
        </w:rPr>
      </w:pPr>
      <w:r>
        <w:rPr>
          <w:rFonts w:ascii="仿宋_GB2312" w:hAnsi="微软雅黑" w:hint="eastAsia"/>
          <w:sz w:val="28"/>
          <w:szCs w:val="28"/>
        </w:rPr>
        <w:t xml:space="preserve">    </w:t>
      </w:r>
    </w:p>
    <w:p w:rsidR="009626F7" w:rsidRDefault="009626F7" w:rsidP="009626F7">
      <w:pPr>
        <w:jc w:val="left"/>
        <w:rPr>
          <w:rFonts w:ascii="仿宋_GB2312" w:hAnsi="黑体"/>
          <w:sz w:val="28"/>
          <w:szCs w:val="28"/>
        </w:rPr>
      </w:pPr>
      <w:r>
        <w:rPr>
          <w:rFonts w:ascii="仿宋" w:eastAsia="仿宋" w:hAnsi="仿宋" w:hint="eastAsia"/>
          <w:sz w:val="28"/>
          <w:szCs w:val="28"/>
        </w:rPr>
        <w:t xml:space="preserve">                                         年    月</w:t>
      </w:r>
    </w:p>
    <w:p w:rsidR="00CA5AE3" w:rsidRDefault="00CA5AE3" w:rsidP="00CA5AE3">
      <w:pPr>
        <w:spacing w:line="360" w:lineRule="exact"/>
        <w:ind w:firstLineChars="196" w:firstLine="627"/>
        <w:rPr>
          <w:rFonts w:ascii="Times New Roman" w:hAnsi="Times New Roman"/>
          <w:szCs w:val="21"/>
        </w:rPr>
      </w:pPr>
    </w:p>
    <w:p w:rsidR="00CA5AE3" w:rsidRDefault="00CA5AE3"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Default="009626F7" w:rsidP="00CA5AE3">
      <w:pPr>
        <w:widowControl/>
        <w:spacing w:line="400" w:lineRule="exact"/>
        <w:rPr>
          <w:rFonts w:ascii="Times New Roman" w:hAnsi="Times New Roman"/>
        </w:rPr>
      </w:pPr>
    </w:p>
    <w:p w:rsidR="009626F7" w:rsidRPr="009626F7" w:rsidRDefault="009626F7" w:rsidP="00CA5AE3">
      <w:pPr>
        <w:widowControl/>
        <w:spacing w:line="400" w:lineRule="exact"/>
        <w:rPr>
          <w:rFonts w:ascii="黑体" w:eastAsia="黑体" w:hAnsi="黑体" w:cs="宋体" w:hint="eastAsia"/>
          <w:bCs/>
          <w:kern w:val="0"/>
          <w:szCs w:val="32"/>
        </w:rPr>
      </w:pPr>
    </w:p>
    <w:p w:rsidR="00CA5AE3" w:rsidRDefault="00CA5AE3" w:rsidP="00CA5AE3">
      <w:pPr>
        <w:widowControl/>
        <w:spacing w:line="400" w:lineRule="exact"/>
        <w:rPr>
          <w:rFonts w:ascii="黑体" w:eastAsia="黑体" w:hAnsi="黑体" w:cs="宋体"/>
          <w:bCs/>
          <w:kern w:val="0"/>
          <w:szCs w:val="32"/>
        </w:rPr>
      </w:pPr>
    </w:p>
    <w:p w:rsidR="009626F7" w:rsidRDefault="009626F7" w:rsidP="009626F7">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9626F7">
        <w:rPr>
          <w:rFonts w:ascii="方正小标宋简体" w:eastAsia="方正小标宋简体" w:hAnsi="宋体" w:hint="eastAsia"/>
          <w:kern w:val="0"/>
          <w:szCs w:val="32"/>
        </w:rPr>
        <w:t>工程招投标与合同管理</w:t>
      </w:r>
      <w:r>
        <w:rPr>
          <w:rFonts w:ascii="方正小标宋简体" w:eastAsia="方正小标宋简体" w:hAnsi="宋体" w:hint="eastAsia"/>
          <w:kern w:val="0"/>
          <w:szCs w:val="32"/>
        </w:rPr>
        <w:t>》课程教学大纲</w:t>
      </w:r>
    </w:p>
    <w:p w:rsidR="009626F7" w:rsidRDefault="009626F7" w:rsidP="009626F7">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一、课程信息</w:t>
      </w:r>
    </w:p>
    <w:p w:rsidR="009626F7" w:rsidRDefault="009626F7" w:rsidP="009626F7">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英文名称：</w:t>
      </w:r>
      <w:r w:rsidRPr="009626F7">
        <w:rPr>
          <w:rFonts w:ascii="仿宋_GB2312" w:hAnsi="仿宋_GB2312" w:cs="仿宋_GB2312"/>
          <w:bCs/>
          <w:sz w:val="28"/>
          <w:szCs w:val="28"/>
        </w:rPr>
        <w:t>Project bidding and contract management</w:t>
      </w:r>
    </w:p>
    <w:p w:rsidR="009626F7" w:rsidRDefault="009626F7" w:rsidP="009626F7">
      <w:pPr>
        <w:spacing w:line="360" w:lineRule="auto"/>
        <w:ind w:firstLine="331"/>
        <w:jc w:val="left"/>
        <w:rPr>
          <w:rFonts w:ascii="仿宋_GB2312" w:hAnsi="仿宋_GB2312" w:cs="仿宋_GB2312" w:hint="eastAsia"/>
          <w:bCs/>
          <w:sz w:val="28"/>
          <w:szCs w:val="28"/>
        </w:rPr>
      </w:pPr>
      <w:r>
        <w:rPr>
          <w:rFonts w:ascii="仿宋_GB2312" w:hAnsi="仿宋_GB2312" w:cs="仿宋_GB2312" w:hint="eastAsia"/>
          <w:bCs/>
          <w:sz w:val="28"/>
          <w:szCs w:val="28"/>
        </w:rPr>
        <w:t>课程编码：</w:t>
      </w:r>
      <w:r w:rsidRPr="009626F7">
        <w:rPr>
          <w:rFonts w:ascii="仿宋_GB2312" w:hAnsi="仿宋_GB2312" w:cs="仿宋_GB2312"/>
          <w:bCs/>
          <w:sz w:val="28"/>
          <w:szCs w:val="28"/>
        </w:rPr>
        <w:t>Z2805320</w:t>
      </w:r>
    </w:p>
    <w:p w:rsidR="009626F7" w:rsidRDefault="009626F7" w:rsidP="009626F7">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授课语言：中文</w:t>
      </w:r>
    </w:p>
    <w:p w:rsidR="009626F7" w:rsidRDefault="009626F7" w:rsidP="009626F7">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授课方式：线下</w:t>
      </w:r>
    </w:p>
    <w:p w:rsidR="009626F7" w:rsidRDefault="009626F7" w:rsidP="009626F7">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课程类别：专业发展课程</w:t>
      </w:r>
    </w:p>
    <w:p w:rsidR="009626F7" w:rsidRDefault="009626F7" w:rsidP="009626F7">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课程性质：必修</w:t>
      </w:r>
    </w:p>
    <w:p w:rsidR="009626F7" w:rsidRDefault="009626F7" w:rsidP="009626F7">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w:t>
      </w:r>
    </w:p>
    <w:p w:rsidR="009626F7" w:rsidRDefault="009626F7" w:rsidP="009626F7">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32</w:t>
      </w:r>
      <w:r>
        <w:rPr>
          <w:rFonts w:ascii="仿宋_GB2312" w:hAnsi="仿宋_GB2312" w:cs="仿宋_GB2312" w:hint="eastAsia"/>
          <w:bCs/>
          <w:sz w:val="28"/>
          <w:szCs w:val="28"/>
        </w:rPr>
        <w:t>学时</w:t>
      </w:r>
    </w:p>
    <w:p w:rsidR="009626F7" w:rsidRDefault="009626F7" w:rsidP="009626F7">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适用对象：</w:t>
      </w:r>
      <w:r w:rsidRPr="009626F7">
        <w:rPr>
          <w:rFonts w:ascii="仿宋_GB2312" w:hAnsi="仿宋_GB2312" w:cs="仿宋_GB2312" w:hint="eastAsia"/>
          <w:bCs/>
          <w:sz w:val="28"/>
          <w:szCs w:val="28"/>
        </w:rPr>
        <w:t>工程造价专业</w:t>
      </w:r>
    </w:p>
    <w:p w:rsidR="009626F7" w:rsidRDefault="009626F7" w:rsidP="009626F7">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先修课程：</w:t>
      </w:r>
      <w:r w:rsidRPr="009626F7">
        <w:rPr>
          <w:rFonts w:ascii="仿宋_GB2312" w:hAnsi="仿宋_GB2312" w:cs="仿宋_GB2312" w:hint="eastAsia"/>
          <w:bCs/>
          <w:sz w:val="28"/>
          <w:szCs w:val="28"/>
        </w:rPr>
        <w:t>土木工程概论、建设法规、管理学等</w:t>
      </w:r>
    </w:p>
    <w:p w:rsidR="009626F7" w:rsidRDefault="009626F7" w:rsidP="009626F7">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开课院系：</w:t>
      </w:r>
      <w:r w:rsidRPr="009626F7">
        <w:rPr>
          <w:rFonts w:ascii="仿宋_GB2312" w:hAnsi="仿宋_GB2312" w:cs="仿宋_GB2312" w:hint="eastAsia"/>
          <w:bCs/>
          <w:sz w:val="28"/>
          <w:szCs w:val="28"/>
        </w:rPr>
        <w:t>建筑工程学院工程造价与施工教研室</w:t>
      </w:r>
    </w:p>
    <w:p w:rsidR="00CA5AE3" w:rsidRPr="009626F7" w:rsidRDefault="009626F7" w:rsidP="009626F7">
      <w:pPr>
        <w:spacing w:beforeLines="100" w:before="312" w:afterLines="100" w:after="312"/>
        <w:outlineLvl w:val="0"/>
        <w:rPr>
          <w:rFonts w:ascii="Times New Roman" w:eastAsia="方正小标宋简体" w:hAnsi="Times New Roman"/>
          <w:spacing w:val="-4"/>
          <w:sz w:val="36"/>
          <w:szCs w:val="36"/>
        </w:rPr>
      </w:pPr>
      <w:r>
        <w:rPr>
          <w:rFonts w:ascii="黑体" w:eastAsia="黑体" w:hAnsi="黑体" w:hint="eastAsia"/>
          <w:b/>
          <w:sz w:val="28"/>
          <w:szCs w:val="28"/>
        </w:rPr>
        <w:t>二、课程简介</w:t>
      </w:r>
    </w:p>
    <w:p w:rsidR="00CA5AE3" w:rsidRPr="009626F7" w:rsidRDefault="00CA5AE3" w:rsidP="009626F7">
      <w:pPr>
        <w:spacing w:line="360" w:lineRule="auto"/>
        <w:ind w:firstLine="331"/>
        <w:rPr>
          <w:rFonts w:ascii="仿宋_GB2312" w:hAnsi="仿宋_GB2312" w:cs="仿宋_GB2312"/>
          <w:bCs/>
          <w:sz w:val="28"/>
          <w:szCs w:val="28"/>
        </w:rPr>
      </w:pPr>
      <w:r w:rsidRPr="009626F7">
        <w:rPr>
          <w:rFonts w:ascii="仿宋_GB2312" w:hAnsi="仿宋_GB2312" w:cs="仿宋_GB2312"/>
          <w:bCs/>
          <w:sz w:val="28"/>
          <w:szCs w:val="28"/>
        </w:rPr>
        <w:t>课程教学目标</w:t>
      </w:r>
    </w:p>
    <w:p w:rsidR="00CA5AE3" w:rsidRPr="009626F7" w:rsidRDefault="00CA5AE3" w:rsidP="009626F7">
      <w:pPr>
        <w:spacing w:line="360" w:lineRule="auto"/>
        <w:ind w:firstLine="331"/>
        <w:rPr>
          <w:rFonts w:ascii="仿宋_GB2312" w:hAnsi="仿宋_GB2312" w:cs="仿宋_GB2312"/>
          <w:bCs/>
          <w:sz w:val="28"/>
          <w:szCs w:val="28"/>
        </w:rPr>
      </w:pPr>
      <w:r w:rsidRPr="009626F7">
        <w:rPr>
          <w:rFonts w:ascii="仿宋_GB2312" w:hAnsi="仿宋_GB2312" w:cs="仿宋_GB2312" w:hint="eastAsia"/>
          <w:bCs/>
          <w:sz w:val="28"/>
          <w:szCs w:val="28"/>
        </w:rPr>
        <w:t>本课程是面向</w:t>
      </w:r>
      <w:r w:rsidRPr="009626F7">
        <w:rPr>
          <w:rFonts w:ascii="仿宋_GB2312" w:hAnsi="仿宋_GB2312" w:cs="仿宋_GB2312"/>
          <w:bCs/>
          <w:sz w:val="28"/>
          <w:szCs w:val="28"/>
        </w:rPr>
        <w:t>工程</w:t>
      </w:r>
      <w:r w:rsidRPr="009626F7">
        <w:rPr>
          <w:rFonts w:ascii="仿宋_GB2312" w:hAnsi="仿宋_GB2312" w:cs="仿宋_GB2312" w:hint="eastAsia"/>
          <w:bCs/>
          <w:sz w:val="28"/>
          <w:szCs w:val="28"/>
        </w:rPr>
        <w:t>造价</w:t>
      </w:r>
      <w:r w:rsidRPr="009626F7">
        <w:rPr>
          <w:rFonts w:ascii="仿宋_GB2312" w:hAnsi="仿宋_GB2312" w:cs="仿宋_GB2312"/>
          <w:bCs/>
          <w:sz w:val="28"/>
          <w:szCs w:val="28"/>
        </w:rPr>
        <w:t>专业</w:t>
      </w:r>
      <w:r w:rsidRPr="009626F7">
        <w:rPr>
          <w:rFonts w:ascii="仿宋_GB2312" w:hAnsi="仿宋_GB2312" w:cs="仿宋_GB2312" w:hint="eastAsia"/>
          <w:bCs/>
          <w:sz w:val="28"/>
          <w:szCs w:val="28"/>
        </w:rPr>
        <w:t>开设的专业发展必修课程。工程招投标是将各个建设市场主体联系在一起的主要途径，是形成工程造价管理专业课程之间有机联系的纽带。从课程体系来看，工程招投标与合同管理属于综合课。从理论的角度来看，工程招投标与合同管理课程揭示了建设市场的一般规律，建设市场主体的权利、义务关系及其内在联系，是学生从整体上把握建设业及其建设市场发展规律的基础；</w:t>
      </w:r>
      <w:r w:rsidRPr="009626F7">
        <w:rPr>
          <w:rFonts w:ascii="仿宋_GB2312" w:hAnsi="仿宋_GB2312" w:cs="仿宋_GB2312" w:hint="eastAsia"/>
          <w:bCs/>
          <w:sz w:val="28"/>
          <w:szCs w:val="28"/>
        </w:rPr>
        <w:lastRenderedPageBreak/>
        <w:t>从知识的角度来看，工程招投标与合同管理课程具有将相关知识联系在一起的特殊作用，认识建设市场的发展规律，需要经济学的知识、管理学的知识、法律知识。编制施工方案，编制招标文件需要用到管理方面、计量计价方面的知识，掌握工程承包合同，又是后续工程质量控制、工程进度控制、工程安全管理、工程成本管理等工程项目管理内容的基础；从能力培养的角度来看，对于建筑工程、监理专业的学生，通过学习本门课程，能够独立编制简单的招投标文件及合同文件。</w:t>
      </w:r>
    </w:p>
    <w:p w:rsidR="00CA5AE3" w:rsidRPr="009626F7" w:rsidRDefault="00CA5AE3" w:rsidP="009626F7">
      <w:pPr>
        <w:spacing w:line="360" w:lineRule="auto"/>
        <w:ind w:firstLine="331"/>
        <w:rPr>
          <w:rFonts w:ascii="仿宋_GB2312" w:hAnsi="仿宋_GB2312" w:cs="仿宋_GB2312"/>
          <w:bCs/>
          <w:sz w:val="28"/>
          <w:szCs w:val="28"/>
        </w:rPr>
      </w:pPr>
      <w:r w:rsidRPr="009626F7">
        <w:rPr>
          <w:rFonts w:ascii="仿宋_GB2312" w:hAnsi="仿宋_GB2312" w:cs="仿宋_GB2312" w:hint="eastAsia"/>
          <w:bCs/>
          <w:sz w:val="28"/>
          <w:szCs w:val="28"/>
        </w:rPr>
        <w:t>旨在通过这门课程的教学，使学生了解工程招投标的基本概念、工程招投标的规定；掌握工程招投标的编制原则和方法，能够客观、全面地研究建筑产品的生产与消耗之间的数量关系；掌握工程招投标的评标方法，能够熟练使用建筑工程中常用的工程评标方法，能够适当地参与工程招投标编制中的一些工作；具备一定的利用相关知识解决招投标问题的能力；通过本课程的学习，培养学生的法律意识、合同意识、合同管理能力和参与工程招投标的竞争能力。</w:t>
      </w:r>
      <w:r w:rsidRPr="009626F7">
        <w:rPr>
          <w:rFonts w:ascii="仿宋_GB2312" w:hAnsi="仿宋_GB2312" w:cs="仿宋_GB2312"/>
          <w:bCs/>
          <w:sz w:val="28"/>
          <w:szCs w:val="28"/>
        </w:rPr>
        <w:t>培养学生具备行业</w:t>
      </w:r>
      <w:r w:rsidRPr="009626F7">
        <w:rPr>
          <w:rFonts w:ascii="仿宋_GB2312" w:hAnsi="仿宋_GB2312" w:cs="仿宋_GB2312" w:hint="eastAsia"/>
          <w:bCs/>
          <w:sz w:val="28"/>
          <w:szCs w:val="28"/>
        </w:rPr>
        <w:t>职业</w:t>
      </w:r>
      <w:r w:rsidRPr="009626F7">
        <w:rPr>
          <w:rFonts w:ascii="仿宋_GB2312" w:hAnsi="仿宋_GB2312" w:cs="仿宋_GB2312"/>
          <w:bCs/>
          <w:sz w:val="28"/>
          <w:szCs w:val="28"/>
        </w:rPr>
        <w:t>道德和社会责任感，能够在工程实践中理解并遵守工程职业道德和规范，</w:t>
      </w:r>
      <w:r w:rsidRPr="009626F7">
        <w:rPr>
          <w:rFonts w:ascii="仿宋_GB2312" w:hAnsi="仿宋_GB2312" w:cs="仿宋_GB2312" w:hint="eastAsia"/>
          <w:bCs/>
          <w:sz w:val="28"/>
          <w:szCs w:val="28"/>
        </w:rPr>
        <w:t>并具有终生学习的动力和能力</w:t>
      </w:r>
      <w:r w:rsidRPr="009626F7">
        <w:rPr>
          <w:rFonts w:ascii="仿宋_GB2312" w:hAnsi="仿宋_GB2312" w:cs="仿宋_GB2312"/>
          <w:bCs/>
          <w:sz w:val="28"/>
          <w:szCs w:val="28"/>
        </w:rPr>
        <w:t>。</w:t>
      </w:r>
    </w:p>
    <w:p w:rsidR="00CA5AE3" w:rsidRPr="009626F7" w:rsidRDefault="00CA5AE3" w:rsidP="009626F7">
      <w:pPr>
        <w:spacing w:line="360" w:lineRule="auto"/>
        <w:ind w:firstLine="331"/>
        <w:rPr>
          <w:rFonts w:ascii="仿宋_GB2312" w:hAnsi="仿宋_GB2312" w:cs="仿宋_GB2312"/>
          <w:bCs/>
          <w:sz w:val="28"/>
          <w:szCs w:val="28"/>
        </w:rPr>
      </w:pPr>
      <w:r w:rsidRPr="009626F7">
        <w:rPr>
          <w:rFonts w:ascii="仿宋_GB2312" w:hAnsi="仿宋_GB2312" w:cs="仿宋_GB2312"/>
          <w:bCs/>
          <w:sz w:val="28"/>
          <w:szCs w:val="28"/>
        </w:rPr>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768"/>
        <w:gridCol w:w="886"/>
        <w:gridCol w:w="3073"/>
      </w:tblGrid>
      <w:tr w:rsidR="00CA5AE3" w:rsidTr="00E07285">
        <w:trPr>
          <w:trHeight w:val="454"/>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序号</w:t>
            </w:r>
          </w:p>
        </w:tc>
        <w:tc>
          <w:tcPr>
            <w:tcW w:w="2271" w:type="pct"/>
            <w:vMerge w:val="restart"/>
            <w:tcBorders>
              <w:top w:val="single" w:sz="4" w:space="0" w:color="000000"/>
              <w:left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课程教学目标</w:t>
            </w:r>
          </w:p>
        </w:tc>
        <w:tc>
          <w:tcPr>
            <w:tcW w:w="2386" w:type="pct"/>
            <w:gridSpan w:val="2"/>
            <w:tcBorders>
              <w:top w:val="single" w:sz="4" w:space="0" w:color="000000"/>
              <w:left w:val="single" w:sz="4" w:space="0" w:color="000000"/>
              <w:bottom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支撑毕业要求指标点</w:t>
            </w:r>
          </w:p>
        </w:tc>
      </w:tr>
      <w:tr w:rsidR="00CA5AE3" w:rsidTr="00E07285">
        <w:trPr>
          <w:trHeight w:val="454"/>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widowControl/>
              <w:spacing w:line="360" w:lineRule="exact"/>
              <w:jc w:val="center"/>
              <w:rPr>
                <w:rFonts w:ascii="仿宋_GB2312" w:hAnsi="仿宋_GB2312" w:cs="仿宋_GB2312"/>
                <w:b/>
                <w:bCs/>
                <w:sz w:val="24"/>
                <w:szCs w:val="24"/>
              </w:rPr>
            </w:pPr>
          </w:p>
        </w:tc>
        <w:tc>
          <w:tcPr>
            <w:tcW w:w="2271" w:type="pct"/>
            <w:vMerge/>
            <w:tcBorders>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p>
        </w:tc>
        <w:tc>
          <w:tcPr>
            <w:tcW w:w="534" w:type="pct"/>
            <w:tcBorders>
              <w:top w:val="single" w:sz="4" w:space="0" w:color="auto"/>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指标点</w:t>
            </w:r>
          </w:p>
        </w:tc>
        <w:tc>
          <w:tcPr>
            <w:tcW w:w="1852" w:type="pct"/>
            <w:tcBorders>
              <w:top w:val="single" w:sz="4" w:space="0" w:color="auto"/>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指标点内容</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2271"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ind w:firstLineChars="200" w:firstLine="480"/>
              <w:jc w:val="left"/>
              <w:rPr>
                <w:rFonts w:ascii="仿宋_GB2312" w:hAnsi="仿宋_GB2312" w:cs="仿宋_GB2312"/>
                <w:bCs/>
                <w:sz w:val="24"/>
                <w:szCs w:val="24"/>
              </w:rPr>
            </w:pPr>
            <w:r w:rsidRPr="009626F7">
              <w:rPr>
                <w:rFonts w:ascii="仿宋_GB2312" w:hAnsi="仿宋_GB2312" w:cs="仿宋_GB2312"/>
                <w:bCs/>
                <w:sz w:val="24"/>
                <w:szCs w:val="24"/>
              </w:rPr>
              <w:t>目标1：了解</w:t>
            </w:r>
            <w:r w:rsidRPr="009626F7">
              <w:rPr>
                <w:rFonts w:ascii="仿宋_GB2312" w:hAnsi="仿宋_GB2312" w:cs="仿宋_GB2312" w:hint="eastAsia"/>
                <w:bCs/>
                <w:sz w:val="24"/>
                <w:szCs w:val="24"/>
              </w:rPr>
              <w:t>工程招投标产生的背景；</w:t>
            </w:r>
            <w:r w:rsidRPr="009626F7">
              <w:rPr>
                <w:rFonts w:ascii="仿宋_GB2312" w:hAnsi="仿宋_GB2312" w:cs="仿宋_GB2312"/>
                <w:bCs/>
                <w:sz w:val="24"/>
                <w:szCs w:val="24"/>
              </w:rPr>
              <w:t>熟悉</w:t>
            </w:r>
            <w:r w:rsidRPr="009626F7">
              <w:rPr>
                <w:rFonts w:ascii="仿宋_GB2312" w:hAnsi="仿宋_GB2312" w:cs="仿宋_GB2312" w:hint="eastAsia"/>
                <w:bCs/>
                <w:sz w:val="24"/>
                <w:szCs w:val="24"/>
              </w:rPr>
              <w:t>工程招投标的体</w:t>
            </w:r>
            <w:r w:rsidRPr="009626F7">
              <w:rPr>
                <w:rFonts w:ascii="仿宋_GB2312" w:hAnsi="仿宋_GB2312" w:cs="仿宋_GB2312" w:hint="eastAsia"/>
                <w:bCs/>
                <w:sz w:val="24"/>
                <w:szCs w:val="24"/>
              </w:rPr>
              <w:lastRenderedPageBreak/>
              <w:t>系、工程评标中常用到的方法；各工程招投标在建设工程不同建设阶段及管理中的作用。</w:t>
            </w:r>
          </w:p>
        </w:tc>
        <w:tc>
          <w:tcPr>
            <w:tcW w:w="534"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lastRenderedPageBreak/>
              <w:t>11.1</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能够理解建设工程招投标的由来，以及建设工程招</w:t>
            </w:r>
            <w:r w:rsidRPr="009626F7">
              <w:rPr>
                <w:rFonts w:ascii="仿宋_GB2312" w:hAnsi="仿宋_GB2312" w:cs="仿宋_GB2312" w:hint="eastAsia"/>
                <w:bCs/>
                <w:sz w:val="24"/>
                <w:szCs w:val="24"/>
              </w:rPr>
              <w:lastRenderedPageBreak/>
              <w:t>投标在工程管理和计价过程中不可或缺的作用；了解《合同法》的内容；熟悉合同的分类和形式；掌握合同概念、类别及基本原则。</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lastRenderedPageBreak/>
              <w:t>2</w:t>
            </w:r>
          </w:p>
        </w:tc>
        <w:tc>
          <w:tcPr>
            <w:tcW w:w="2271"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napToGrid w:val="0"/>
              <w:spacing w:beforeLines="50" w:before="156" w:line="360" w:lineRule="auto"/>
              <w:ind w:firstLineChars="200" w:firstLine="480"/>
              <w:rPr>
                <w:rFonts w:ascii="仿宋_GB2312" w:hAnsi="仿宋_GB2312" w:cs="仿宋_GB2312"/>
                <w:bCs/>
                <w:sz w:val="24"/>
                <w:szCs w:val="24"/>
              </w:rPr>
            </w:pPr>
            <w:r w:rsidRPr="009626F7">
              <w:rPr>
                <w:rFonts w:ascii="仿宋_GB2312" w:hAnsi="仿宋_GB2312" w:cs="仿宋_GB2312"/>
                <w:bCs/>
                <w:sz w:val="24"/>
                <w:szCs w:val="24"/>
              </w:rPr>
              <w:t>目标2：熟悉</w:t>
            </w:r>
            <w:r w:rsidRPr="009626F7">
              <w:rPr>
                <w:rFonts w:ascii="仿宋_GB2312" w:hAnsi="仿宋_GB2312" w:cs="仿宋_GB2312" w:hint="eastAsia"/>
                <w:bCs/>
                <w:sz w:val="24"/>
                <w:szCs w:val="24"/>
              </w:rPr>
              <w:t>获得建设工程招投标及建设工程相关合同管理的基本理论、基本知识和基本技能，掌握建设工程招投标以及合同订立、履行的基本过程和操作实务。</w:t>
            </w:r>
          </w:p>
        </w:tc>
        <w:tc>
          <w:tcPr>
            <w:tcW w:w="534"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2.2</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能够认识到对施工工程和工作时间进行细致深入的研究，可以对工程建设的管理工作起到巨大的促进作用，从而加强自觉学习的兴趣和意识。</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3</w:t>
            </w:r>
          </w:p>
        </w:tc>
        <w:tc>
          <w:tcPr>
            <w:tcW w:w="2271"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napToGrid w:val="0"/>
              <w:spacing w:line="360" w:lineRule="auto"/>
              <w:ind w:firstLineChars="200" w:firstLine="480"/>
              <w:rPr>
                <w:rFonts w:ascii="仿宋_GB2312" w:hAnsi="仿宋_GB2312" w:cs="仿宋_GB2312"/>
                <w:bCs/>
                <w:sz w:val="24"/>
                <w:szCs w:val="24"/>
              </w:rPr>
            </w:pPr>
            <w:r w:rsidRPr="009626F7">
              <w:rPr>
                <w:rFonts w:ascii="仿宋_GB2312" w:hAnsi="仿宋_GB2312" w:cs="仿宋_GB2312"/>
                <w:bCs/>
                <w:sz w:val="24"/>
                <w:szCs w:val="24"/>
              </w:rPr>
              <w:t>目标3：熟悉</w:t>
            </w:r>
            <w:r w:rsidRPr="009626F7">
              <w:rPr>
                <w:rFonts w:ascii="仿宋_GB2312" w:hAnsi="仿宋_GB2312" w:cs="仿宋_GB2312" w:hint="eastAsia"/>
                <w:bCs/>
                <w:sz w:val="24"/>
                <w:szCs w:val="24"/>
              </w:rPr>
              <w:t>建设工程招投标过程，使学生具备初步的开展建设工程招投标工作，进行合同谈判和订立合同，进行建设工程施工合同履行管理以及工程索赔管理的能力。</w:t>
            </w:r>
          </w:p>
        </w:tc>
        <w:tc>
          <w:tcPr>
            <w:tcW w:w="534"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3.4</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能够在不同的工程项目阶段及工程管理工作中，熟练地选择和使用各种工程招投标方法与技巧，并为将来进行工程招投标信息化管理工作打下良好的基础。</w:t>
            </w:r>
          </w:p>
        </w:tc>
      </w:tr>
    </w:tbl>
    <w:p w:rsidR="009626F7" w:rsidRDefault="009626F7" w:rsidP="009626F7">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627"/>
        <w:gridCol w:w="2627"/>
        <w:gridCol w:w="952"/>
        <w:gridCol w:w="596"/>
        <w:gridCol w:w="926"/>
      </w:tblGrid>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序号</w:t>
            </w:r>
          </w:p>
        </w:tc>
        <w:tc>
          <w:tcPr>
            <w:tcW w:w="1582" w:type="pct"/>
            <w:tcBorders>
              <w:top w:val="single" w:sz="4" w:space="0" w:color="000000"/>
              <w:left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教学内容及重点、难点</w:t>
            </w:r>
          </w:p>
        </w:tc>
        <w:tc>
          <w:tcPr>
            <w:tcW w:w="1582" w:type="pct"/>
            <w:tcBorders>
              <w:top w:val="single" w:sz="4" w:space="0" w:color="000000"/>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学生学习预期</w:t>
            </w:r>
          </w:p>
        </w:tc>
        <w:tc>
          <w:tcPr>
            <w:tcW w:w="574" w:type="pct"/>
            <w:tcBorders>
              <w:top w:val="single" w:sz="4" w:space="0" w:color="000000"/>
              <w:left w:val="single" w:sz="4" w:space="0" w:color="auto"/>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支撑课程教学目标</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1582"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内容：第一章</w:t>
            </w:r>
            <w:r w:rsidRPr="009626F7">
              <w:rPr>
                <w:rFonts w:ascii="仿宋_GB2312" w:hAnsi="仿宋_GB2312" w:cs="仿宋_GB2312" w:hint="eastAsia"/>
                <w:bCs/>
                <w:sz w:val="24"/>
                <w:szCs w:val="24"/>
              </w:rPr>
              <w:t xml:space="preserve"> 建设工程合同管理法律基础</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 xml:space="preserve">重点： </w:t>
            </w:r>
            <w:r w:rsidRPr="009626F7">
              <w:rPr>
                <w:rFonts w:ascii="仿宋_GB2312" w:hAnsi="仿宋_GB2312" w:cs="仿宋_GB2312" w:hint="eastAsia"/>
                <w:bCs/>
                <w:sz w:val="24"/>
                <w:szCs w:val="24"/>
              </w:rPr>
              <w:t>工程招投标的体系内容</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难点：无</w:t>
            </w:r>
          </w:p>
        </w:tc>
        <w:tc>
          <w:tcPr>
            <w:tcW w:w="158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1. 了解</w:t>
            </w:r>
            <w:r w:rsidRPr="009626F7">
              <w:rPr>
                <w:rFonts w:ascii="仿宋_GB2312" w:hAnsi="仿宋_GB2312" w:cs="仿宋_GB2312" w:hint="eastAsia"/>
                <w:bCs/>
                <w:sz w:val="24"/>
                <w:szCs w:val="24"/>
              </w:rPr>
              <w:t>工程招投标的概念、产生和发展、工程招投标的现状及发展方向。</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 xml:space="preserve">2. </w:t>
            </w:r>
            <w:r w:rsidRPr="009626F7">
              <w:rPr>
                <w:rFonts w:ascii="仿宋_GB2312" w:hAnsi="仿宋_GB2312" w:cs="仿宋_GB2312" w:hint="eastAsia"/>
                <w:bCs/>
                <w:sz w:val="24"/>
                <w:szCs w:val="24"/>
              </w:rPr>
              <w:t>理解工程招投标的相关主体、机构、</w:t>
            </w:r>
            <w:r w:rsidRPr="009626F7">
              <w:rPr>
                <w:rFonts w:ascii="仿宋_GB2312" w:hAnsi="仿宋_GB2312" w:cs="仿宋_GB2312"/>
                <w:bCs/>
                <w:sz w:val="24"/>
                <w:szCs w:val="24"/>
              </w:rPr>
              <w:t>管理</w:t>
            </w:r>
            <w:r w:rsidRPr="009626F7">
              <w:rPr>
                <w:rFonts w:ascii="仿宋_GB2312" w:hAnsi="仿宋_GB2312" w:cs="仿宋_GB2312" w:hint="eastAsia"/>
                <w:bCs/>
                <w:sz w:val="24"/>
                <w:szCs w:val="24"/>
              </w:rPr>
              <w:t>任务和内容。</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3.掌握</w:t>
            </w:r>
            <w:r w:rsidRPr="009626F7">
              <w:rPr>
                <w:rFonts w:ascii="仿宋_GB2312" w:hAnsi="仿宋_GB2312" w:cs="仿宋_GB2312" w:hint="eastAsia"/>
                <w:bCs/>
                <w:sz w:val="24"/>
                <w:szCs w:val="24"/>
              </w:rPr>
              <w:t>工程招投标的作用和特点、工程招投标的分类。</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目标1</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1582"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内容：第二章</w:t>
            </w:r>
            <w:r w:rsidRPr="009626F7">
              <w:rPr>
                <w:rFonts w:ascii="仿宋_GB2312" w:hAnsi="仿宋_GB2312" w:cs="仿宋_GB2312" w:hint="eastAsia"/>
                <w:bCs/>
                <w:sz w:val="24"/>
                <w:szCs w:val="24"/>
              </w:rPr>
              <w:t xml:space="preserve"> 建筑工</w:t>
            </w:r>
            <w:r w:rsidRPr="009626F7">
              <w:rPr>
                <w:rFonts w:ascii="仿宋_GB2312" w:hAnsi="仿宋_GB2312" w:cs="仿宋_GB2312" w:hint="eastAsia"/>
                <w:bCs/>
                <w:sz w:val="24"/>
                <w:szCs w:val="24"/>
              </w:rPr>
              <w:lastRenderedPageBreak/>
              <w:t>程合同法律制度</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重点：</w:t>
            </w:r>
            <w:r w:rsidRPr="009626F7">
              <w:rPr>
                <w:rFonts w:ascii="仿宋_GB2312" w:hAnsi="仿宋_GB2312" w:cs="仿宋_GB2312" w:hint="eastAsia"/>
                <w:bCs/>
                <w:sz w:val="24"/>
                <w:szCs w:val="24"/>
              </w:rPr>
              <w:t>合同的订立、效力与履行</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难点：无</w:t>
            </w:r>
          </w:p>
        </w:tc>
        <w:tc>
          <w:tcPr>
            <w:tcW w:w="158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5F6318">
            <w:pPr>
              <w:numPr>
                <w:ilvl w:val="0"/>
                <w:numId w:val="78"/>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lastRenderedPageBreak/>
              <w:t>了解《合同法》调</w:t>
            </w:r>
            <w:r w:rsidRPr="009626F7">
              <w:rPr>
                <w:rFonts w:ascii="仿宋_GB2312" w:hAnsi="仿宋_GB2312" w:cs="仿宋_GB2312" w:hint="eastAsia"/>
                <w:bCs/>
                <w:sz w:val="24"/>
                <w:szCs w:val="24"/>
              </w:rPr>
              <w:lastRenderedPageBreak/>
              <w:t>整的范围和内容；熟悉合同的分类和形式；</w:t>
            </w:r>
          </w:p>
          <w:p w:rsidR="00CA5AE3" w:rsidRPr="009626F7" w:rsidRDefault="00CA5AE3" w:rsidP="005F6318">
            <w:pPr>
              <w:numPr>
                <w:ilvl w:val="0"/>
                <w:numId w:val="78"/>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掌握合同概念、类别及基本原则；掌握合同订立过程；掌握合同有效的条件及无效合同的情形；</w:t>
            </w:r>
          </w:p>
          <w:p w:rsidR="00CA5AE3" w:rsidRPr="009626F7" w:rsidRDefault="00CA5AE3" w:rsidP="005F6318">
            <w:pPr>
              <w:numPr>
                <w:ilvl w:val="0"/>
                <w:numId w:val="78"/>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掌握合同履行中的抗辩权；掌握合同争议的解决方式；熟悉合同变更和转让的相关规定。</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lastRenderedPageBreak/>
              <w:t>课堂授</w:t>
            </w:r>
            <w:r w:rsidRPr="009626F7">
              <w:rPr>
                <w:rFonts w:ascii="仿宋_GB2312" w:hAnsi="仿宋_GB2312" w:cs="仿宋_GB2312"/>
                <w:bCs/>
                <w:sz w:val="24"/>
                <w:szCs w:val="24"/>
              </w:rPr>
              <w:lastRenderedPageBreak/>
              <w:t>课</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lastRenderedPageBreak/>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目标2</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3</w:t>
            </w:r>
          </w:p>
        </w:tc>
        <w:tc>
          <w:tcPr>
            <w:tcW w:w="1582"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内容：第三章</w:t>
            </w:r>
            <w:r w:rsidRPr="009626F7">
              <w:rPr>
                <w:rFonts w:ascii="仿宋_GB2312" w:hAnsi="仿宋_GB2312" w:cs="仿宋_GB2312" w:hint="eastAsia"/>
                <w:bCs/>
                <w:sz w:val="24"/>
                <w:szCs w:val="24"/>
              </w:rPr>
              <w:t xml:space="preserve"> 建设工程招投标管理</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 xml:space="preserve">重点： </w:t>
            </w:r>
            <w:r w:rsidRPr="009626F7">
              <w:rPr>
                <w:rFonts w:ascii="仿宋_GB2312" w:hAnsi="仿宋_GB2312" w:cs="仿宋_GB2312" w:hint="eastAsia"/>
                <w:bCs/>
                <w:sz w:val="24"/>
                <w:szCs w:val="24"/>
              </w:rPr>
              <w:t>招标与投标法律制度与程序</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w:t>
            </w:r>
            <w:r w:rsidRPr="009626F7">
              <w:rPr>
                <w:rFonts w:ascii="仿宋_GB2312" w:hAnsi="仿宋_GB2312" w:cs="仿宋_GB2312" w:hint="eastAsia"/>
                <w:bCs/>
                <w:sz w:val="24"/>
                <w:szCs w:val="24"/>
              </w:rPr>
              <w:t>建设工程过程的招投标管理</w:t>
            </w:r>
          </w:p>
        </w:tc>
        <w:tc>
          <w:tcPr>
            <w:tcW w:w="158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5F6318">
            <w:pPr>
              <w:numPr>
                <w:ilvl w:val="0"/>
                <w:numId w:val="79"/>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了解招标与投标的一般规定；熟悉招标与投标的基本原则、范围和规模的法律规定以及投标报价、策略的运用；</w:t>
            </w:r>
          </w:p>
          <w:p w:rsidR="00CA5AE3" w:rsidRPr="009626F7" w:rsidRDefault="00CA5AE3" w:rsidP="005F6318">
            <w:pPr>
              <w:numPr>
                <w:ilvl w:val="0"/>
                <w:numId w:val="79"/>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掌握建设工程招标分类、方式，以及招标与投标的一般程序；</w:t>
            </w:r>
          </w:p>
          <w:p w:rsidR="00CA5AE3" w:rsidRPr="009626F7" w:rsidRDefault="00CA5AE3" w:rsidP="005F6318">
            <w:pPr>
              <w:numPr>
                <w:ilvl w:val="0"/>
                <w:numId w:val="79"/>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了解工程建设过程中的招标与投标。</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互动讨论</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随堂测验</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目标2</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4</w:t>
            </w:r>
          </w:p>
        </w:tc>
        <w:tc>
          <w:tcPr>
            <w:tcW w:w="1582"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内容：第四章</w:t>
            </w:r>
            <w:r w:rsidRPr="009626F7">
              <w:rPr>
                <w:rFonts w:ascii="仿宋_GB2312" w:hAnsi="仿宋_GB2312" w:cs="仿宋_GB2312" w:hint="eastAsia"/>
                <w:bCs/>
                <w:sz w:val="24"/>
                <w:szCs w:val="24"/>
              </w:rPr>
              <w:t xml:space="preserve"> 建设工程监理合同管理</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重点：</w:t>
            </w:r>
            <w:r w:rsidRPr="009626F7">
              <w:rPr>
                <w:rFonts w:ascii="仿宋_GB2312" w:hAnsi="仿宋_GB2312" w:cs="仿宋_GB2312" w:hint="eastAsia"/>
                <w:bCs/>
                <w:sz w:val="24"/>
                <w:szCs w:val="24"/>
              </w:rPr>
              <w:t>监理合同的订立与履行管理</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w:t>
            </w:r>
            <w:r w:rsidRPr="009626F7">
              <w:rPr>
                <w:rFonts w:ascii="仿宋_GB2312" w:hAnsi="仿宋_GB2312" w:cs="仿宋_GB2312" w:hint="eastAsia"/>
                <w:bCs/>
                <w:sz w:val="24"/>
                <w:szCs w:val="24"/>
              </w:rPr>
              <w:t>无</w:t>
            </w:r>
          </w:p>
        </w:tc>
        <w:tc>
          <w:tcPr>
            <w:tcW w:w="158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5F6318">
            <w:pPr>
              <w:numPr>
                <w:ilvl w:val="0"/>
                <w:numId w:val="80"/>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熟悉建设工程委托监理合同概念、示范文本；</w:t>
            </w:r>
          </w:p>
          <w:p w:rsidR="00CA5AE3" w:rsidRPr="009626F7" w:rsidRDefault="00CA5AE3" w:rsidP="005F6318">
            <w:pPr>
              <w:numPr>
                <w:ilvl w:val="0"/>
                <w:numId w:val="80"/>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掌握建设工程委托监理合同主要内容、订立过程及履行。</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目标2</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c>
          <w:tcPr>
            <w:tcW w:w="1582"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内容：第五章</w:t>
            </w:r>
            <w:r w:rsidRPr="009626F7">
              <w:rPr>
                <w:rFonts w:ascii="仿宋_GB2312" w:hAnsi="仿宋_GB2312" w:cs="仿宋_GB2312" w:hint="eastAsia"/>
                <w:bCs/>
                <w:sz w:val="24"/>
                <w:szCs w:val="24"/>
              </w:rPr>
              <w:t xml:space="preserve"> 建设工程勘察设计合同管理</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重点：</w:t>
            </w:r>
            <w:r w:rsidRPr="009626F7">
              <w:rPr>
                <w:rFonts w:ascii="仿宋_GB2312" w:hAnsi="仿宋_GB2312" w:cs="仿宋_GB2312" w:hint="eastAsia"/>
                <w:bCs/>
                <w:sz w:val="24"/>
                <w:szCs w:val="24"/>
              </w:rPr>
              <w:t>合同的订立与履行管理</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w:t>
            </w:r>
            <w:r w:rsidRPr="009626F7">
              <w:rPr>
                <w:rFonts w:ascii="仿宋_GB2312" w:hAnsi="仿宋_GB2312" w:cs="仿宋_GB2312" w:hint="eastAsia"/>
                <w:bCs/>
                <w:sz w:val="24"/>
                <w:szCs w:val="24"/>
              </w:rPr>
              <w:t>无</w:t>
            </w:r>
          </w:p>
        </w:tc>
        <w:tc>
          <w:tcPr>
            <w:tcW w:w="158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5F6318">
            <w:pPr>
              <w:numPr>
                <w:ilvl w:val="0"/>
                <w:numId w:val="81"/>
              </w:num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了解和熟悉建设工程勘察</w:t>
            </w:r>
            <w:r w:rsidRPr="009626F7">
              <w:rPr>
                <w:rFonts w:ascii="仿宋_GB2312" w:hAnsi="仿宋_GB2312" w:cs="仿宋_GB2312" w:hint="eastAsia"/>
                <w:bCs/>
                <w:sz w:val="24"/>
                <w:szCs w:val="24"/>
              </w:rPr>
              <w:t>、</w:t>
            </w:r>
            <w:r w:rsidRPr="009626F7">
              <w:rPr>
                <w:rFonts w:ascii="仿宋_GB2312" w:hAnsi="仿宋_GB2312" w:cs="仿宋_GB2312"/>
                <w:bCs/>
                <w:sz w:val="24"/>
                <w:szCs w:val="24"/>
              </w:rPr>
              <w:t>设计合同概念、</w:t>
            </w:r>
            <w:r w:rsidRPr="009626F7">
              <w:rPr>
                <w:rFonts w:ascii="仿宋_GB2312" w:hAnsi="仿宋_GB2312" w:cs="仿宋_GB2312" w:hint="eastAsia"/>
                <w:bCs/>
                <w:sz w:val="24"/>
                <w:szCs w:val="24"/>
              </w:rPr>
              <w:t>示范文本及</w:t>
            </w:r>
            <w:r w:rsidRPr="009626F7">
              <w:rPr>
                <w:rFonts w:ascii="仿宋_GB2312" w:hAnsi="仿宋_GB2312" w:cs="仿宋_GB2312"/>
                <w:bCs/>
                <w:sz w:val="24"/>
                <w:szCs w:val="24"/>
              </w:rPr>
              <w:t>法律依据；</w:t>
            </w:r>
          </w:p>
          <w:p w:rsidR="00CA5AE3" w:rsidRPr="009626F7" w:rsidRDefault="00CA5AE3" w:rsidP="005F6318">
            <w:pPr>
              <w:numPr>
                <w:ilvl w:val="0"/>
                <w:numId w:val="81"/>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熟悉</w:t>
            </w:r>
            <w:r w:rsidRPr="009626F7">
              <w:rPr>
                <w:rFonts w:ascii="仿宋_GB2312" w:hAnsi="仿宋_GB2312" w:cs="仿宋_GB2312"/>
                <w:bCs/>
                <w:sz w:val="24"/>
                <w:szCs w:val="24"/>
              </w:rPr>
              <w:t>勘察</w:t>
            </w:r>
            <w:r w:rsidRPr="009626F7">
              <w:rPr>
                <w:rFonts w:ascii="仿宋_GB2312" w:hAnsi="仿宋_GB2312" w:cs="仿宋_GB2312" w:hint="eastAsia"/>
                <w:bCs/>
                <w:sz w:val="24"/>
                <w:szCs w:val="24"/>
              </w:rPr>
              <w:t>、</w:t>
            </w:r>
            <w:r w:rsidRPr="009626F7">
              <w:rPr>
                <w:rFonts w:ascii="仿宋_GB2312" w:hAnsi="仿宋_GB2312" w:cs="仿宋_GB2312"/>
                <w:bCs/>
                <w:sz w:val="24"/>
                <w:szCs w:val="24"/>
              </w:rPr>
              <w:t>设计合同的主要内容及管理过程</w:t>
            </w:r>
            <w:r w:rsidRPr="009626F7">
              <w:rPr>
                <w:rFonts w:ascii="仿宋_GB2312" w:hAnsi="仿宋_GB2312" w:cs="仿宋_GB2312" w:hint="eastAsia"/>
                <w:bCs/>
                <w:sz w:val="24"/>
                <w:szCs w:val="24"/>
              </w:rPr>
              <w:t>。</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6</w:t>
            </w:r>
          </w:p>
        </w:tc>
        <w:tc>
          <w:tcPr>
            <w:tcW w:w="1582"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内容：第六章</w:t>
            </w:r>
            <w:r w:rsidRPr="009626F7">
              <w:rPr>
                <w:rFonts w:ascii="仿宋_GB2312" w:hAnsi="仿宋_GB2312" w:cs="仿宋_GB2312" w:hint="eastAsia"/>
                <w:bCs/>
                <w:sz w:val="24"/>
                <w:szCs w:val="24"/>
              </w:rPr>
              <w:t xml:space="preserve"> 建设工程施工合同管理</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lastRenderedPageBreak/>
              <w:t xml:space="preserve">重点： </w:t>
            </w:r>
            <w:r w:rsidRPr="009626F7">
              <w:rPr>
                <w:rFonts w:ascii="仿宋_GB2312" w:hAnsi="仿宋_GB2312" w:cs="仿宋_GB2312" w:hint="eastAsia"/>
                <w:bCs/>
                <w:sz w:val="24"/>
                <w:szCs w:val="24"/>
              </w:rPr>
              <w:t>订立与准备阶段、施工过程、竣工阶段的合同管理</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w:t>
            </w:r>
            <w:r w:rsidRPr="009626F7">
              <w:rPr>
                <w:rFonts w:ascii="仿宋_GB2312" w:hAnsi="仿宋_GB2312" w:cs="仿宋_GB2312" w:hint="eastAsia"/>
                <w:bCs/>
                <w:sz w:val="24"/>
                <w:szCs w:val="24"/>
              </w:rPr>
              <w:t>施工过程的合同管理</w:t>
            </w:r>
          </w:p>
          <w:p w:rsidR="00CA5AE3" w:rsidRPr="009626F7" w:rsidRDefault="00CA5AE3" w:rsidP="00E07285">
            <w:pPr>
              <w:spacing w:line="360" w:lineRule="exact"/>
              <w:jc w:val="left"/>
              <w:rPr>
                <w:rFonts w:ascii="仿宋_GB2312" w:hAnsi="仿宋_GB2312" w:cs="仿宋_GB2312"/>
                <w:bCs/>
                <w:sz w:val="24"/>
                <w:szCs w:val="24"/>
              </w:rPr>
            </w:pPr>
          </w:p>
        </w:tc>
        <w:tc>
          <w:tcPr>
            <w:tcW w:w="158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5F6318">
            <w:pPr>
              <w:numPr>
                <w:ilvl w:val="0"/>
                <w:numId w:val="82"/>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lastRenderedPageBreak/>
              <w:t>了解和熟悉施工合同概念、示范文本；</w:t>
            </w:r>
          </w:p>
          <w:p w:rsidR="00CA5AE3" w:rsidRPr="009626F7" w:rsidRDefault="00CA5AE3" w:rsidP="005F6318">
            <w:pPr>
              <w:numPr>
                <w:ilvl w:val="0"/>
                <w:numId w:val="82"/>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lastRenderedPageBreak/>
              <w:t>掌握合同当事人一般权利义务；</w:t>
            </w:r>
          </w:p>
          <w:p w:rsidR="00CA5AE3" w:rsidRPr="009626F7" w:rsidRDefault="00CA5AE3" w:rsidP="005F6318">
            <w:pPr>
              <w:numPr>
                <w:ilvl w:val="0"/>
                <w:numId w:val="82"/>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熟悉合同订立过程，图纸交付及责任，施工组织设计编制和审查，缺陷责任、竣工结算及工程保修的规定的做法；</w:t>
            </w:r>
          </w:p>
          <w:p w:rsidR="00CA5AE3" w:rsidRPr="009626F7" w:rsidRDefault="00CA5AE3" w:rsidP="005F6318">
            <w:pPr>
              <w:numPr>
                <w:ilvl w:val="0"/>
                <w:numId w:val="82"/>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掌握预付款支付及扣回方式，施工过程的质量、进度、支付管理等；</w:t>
            </w:r>
          </w:p>
          <w:p w:rsidR="00CA5AE3" w:rsidRPr="009626F7" w:rsidRDefault="00CA5AE3" w:rsidP="005F6318">
            <w:pPr>
              <w:numPr>
                <w:ilvl w:val="0"/>
                <w:numId w:val="82"/>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掌握工程竣工验收条件和程序。</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lastRenderedPageBreak/>
              <w:t>课堂授课</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lastRenderedPageBreak/>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lastRenderedPageBreak/>
              <w:t>8</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7</w:t>
            </w:r>
          </w:p>
        </w:tc>
        <w:tc>
          <w:tcPr>
            <w:tcW w:w="1582"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内容：第七章</w:t>
            </w:r>
            <w:r w:rsidRPr="009626F7">
              <w:rPr>
                <w:rFonts w:ascii="仿宋_GB2312" w:hAnsi="仿宋_GB2312" w:cs="仿宋_GB2312" w:hint="eastAsia"/>
                <w:bCs/>
                <w:sz w:val="24"/>
                <w:szCs w:val="24"/>
              </w:rPr>
              <w:t xml:space="preserve"> 建设工程物资采购合同管理</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 xml:space="preserve">重点： </w:t>
            </w:r>
            <w:r w:rsidRPr="009626F7">
              <w:rPr>
                <w:rFonts w:ascii="仿宋_GB2312" w:hAnsi="仿宋_GB2312" w:cs="仿宋_GB2312" w:hint="eastAsia"/>
                <w:bCs/>
                <w:sz w:val="24"/>
                <w:szCs w:val="24"/>
              </w:rPr>
              <w:t>材料采购和设备采购的程序及管理</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难点：无</w:t>
            </w:r>
          </w:p>
        </w:tc>
        <w:tc>
          <w:tcPr>
            <w:tcW w:w="158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5F6318">
            <w:pPr>
              <w:numPr>
                <w:ilvl w:val="0"/>
                <w:numId w:val="83"/>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了解和熟悉物资采购合同的概念、特征和分类；</w:t>
            </w:r>
          </w:p>
          <w:p w:rsidR="00CA5AE3" w:rsidRPr="009626F7" w:rsidRDefault="00CA5AE3" w:rsidP="005F6318">
            <w:pPr>
              <w:numPr>
                <w:ilvl w:val="0"/>
                <w:numId w:val="83"/>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 xml:space="preserve">熟悉材料和设备采购合同的订立、交货检验、支付与结算管理等。 </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8</w:t>
            </w:r>
          </w:p>
        </w:tc>
        <w:tc>
          <w:tcPr>
            <w:tcW w:w="1582"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内容：第八章</w:t>
            </w:r>
            <w:r w:rsidRPr="009626F7">
              <w:rPr>
                <w:rFonts w:ascii="仿宋_GB2312" w:hAnsi="仿宋_GB2312" w:cs="仿宋_GB2312" w:hint="eastAsia"/>
                <w:bCs/>
                <w:sz w:val="24"/>
                <w:szCs w:val="24"/>
              </w:rPr>
              <w:t xml:space="preserve"> 建设</w:t>
            </w:r>
            <w:r w:rsidRPr="009626F7">
              <w:rPr>
                <w:rFonts w:ascii="仿宋_GB2312" w:hAnsi="仿宋_GB2312" w:cs="仿宋_GB2312"/>
                <w:bCs/>
                <w:sz w:val="24"/>
                <w:szCs w:val="24"/>
              </w:rPr>
              <w:t>工期</w:t>
            </w:r>
            <w:r w:rsidRPr="009626F7">
              <w:rPr>
                <w:rFonts w:ascii="仿宋_GB2312" w:hAnsi="仿宋_GB2312" w:cs="仿宋_GB2312" w:hint="eastAsia"/>
                <w:bCs/>
                <w:sz w:val="24"/>
                <w:szCs w:val="24"/>
              </w:rPr>
              <w:t>施工索赔</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 xml:space="preserve">重点： </w:t>
            </w:r>
            <w:r w:rsidRPr="009626F7">
              <w:rPr>
                <w:rFonts w:ascii="仿宋_GB2312" w:hAnsi="仿宋_GB2312" w:cs="仿宋_GB2312" w:hint="eastAsia"/>
                <w:bCs/>
                <w:sz w:val="24"/>
                <w:szCs w:val="24"/>
              </w:rPr>
              <w:t>建设</w:t>
            </w:r>
            <w:r w:rsidRPr="009626F7">
              <w:rPr>
                <w:rFonts w:ascii="仿宋_GB2312" w:hAnsi="仿宋_GB2312" w:cs="仿宋_GB2312"/>
                <w:bCs/>
                <w:sz w:val="24"/>
                <w:szCs w:val="24"/>
              </w:rPr>
              <w:t>工期</w:t>
            </w:r>
            <w:r w:rsidRPr="009626F7">
              <w:rPr>
                <w:rFonts w:ascii="仿宋_GB2312" w:hAnsi="仿宋_GB2312" w:cs="仿宋_GB2312" w:hint="eastAsia"/>
                <w:bCs/>
                <w:sz w:val="24"/>
                <w:szCs w:val="24"/>
              </w:rPr>
              <w:t>施工索赔的规定及案例</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w:t>
            </w:r>
            <w:r w:rsidRPr="009626F7">
              <w:rPr>
                <w:rFonts w:ascii="仿宋_GB2312" w:hAnsi="仿宋_GB2312" w:cs="仿宋_GB2312" w:hint="eastAsia"/>
                <w:bCs/>
                <w:sz w:val="24"/>
                <w:szCs w:val="24"/>
              </w:rPr>
              <w:t>建设工程索赔管理</w:t>
            </w:r>
          </w:p>
        </w:tc>
        <w:tc>
          <w:tcPr>
            <w:tcW w:w="158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5F6318">
            <w:pPr>
              <w:numPr>
                <w:ilvl w:val="0"/>
                <w:numId w:val="84"/>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了解索赔起因、特点和作用；熟悉工程师对索赔管理的原则、任务；</w:t>
            </w:r>
          </w:p>
          <w:p w:rsidR="00CA5AE3" w:rsidRPr="009626F7" w:rsidRDefault="00CA5AE3" w:rsidP="005F6318">
            <w:pPr>
              <w:numPr>
                <w:ilvl w:val="0"/>
                <w:numId w:val="84"/>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掌握索赔概念、特征、分类</w:t>
            </w:r>
            <w:r w:rsidRPr="009626F7">
              <w:rPr>
                <w:rFonts w:ascii="仿宋_GB2312" w:hAnsi="仿宋_GB2312" w:cs="仿宋_GB2312"/>
                <w:bCs/>
                <w:sz w:val="24"/>
                <w:szCs w:val="24"/>
              </w:rPr>
              <w:t>,</w:t>
            </w:r>
            <w:r w:rsidRPr="009626F7">
              <w:rPr>
                <w:rFonts w:ascii="仿宋_GB2312" w:hAnsi="仿宋_GB2312" w:cs="仿宋_GB2312" w:hint="eastAsia"/>
                <w:bCs/>
                <w:sz w:val="24"/>
                <w:szCs w:val="24"/>
              </w:rPr>
              <w:t>以及承包人提出索赔的基本程序。</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9</w:t>
            </w:r>
          </w:p>
        </w:tc>
        <w:tc>
          <w:tcPr>
            <w:tcW w:w="1582"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内容：第九章</w:t>
            </w:r>
            <w:r w:rsidRPr="009626F7">
              <w:rPr>
                <w:rFonts w:ascii="仿宋_GB2312" w:hAnsi="仿宋_GB2312" w:cs="仿宋_GB2312" w:hint="eastAsia"/>
                <w:bCs/>
                <w:sz w:val="24"/>
                <w:szCs w:val="24"/>
              </w:rPr>
              <w:t xml:space="preserve"> 工程招投标管理信息化技术</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重点：无</w:t>
            </w:r>
          </w:p>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难点：无</w:t>
            </w:r>
          </w:p>
          <w:p w:rsidR="00CA5AE3" w:rsidRPr="009626F7" w:rsidRDefault="00CA5AE3" w:rsidP="00E07285">
            <w:pPr>
              <w:spacing w:line="360" w:lineRule="exact"/>
              <w:jc w:val="left"/>
              <w:rPr>
                <w:rFonts w:ascii="仿宋_GB2312" w:hAnsi="仿宋_GB2312" w:cs="仿宋_GB2312"/>
                <w:bCs/>
                <w:sz w:val="24"/>
                <w:szCs w:val="24"/>
              </w:rPr>
            </w:pPr>
          </w:p>
        </w:tc>
        <w:tc>
          <w:tcPr>
            <w:tcW w:w="158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5F6318">
            <w:pPr>
              <w:numPr>
                <w:ilvl w:val="0"/>
                <w:numId w:val="85"/>
              </w:num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了解</w:t>
            </w:r>
            <w:r w:rsidRPr="009626F7">
              <w:rPr>
                <w:rFonts w:ascii="仿宋_GB2312" w:hAnsi="仿宋_GB2312" w:cs="仿宋_GB2312" w:hint="eastAsia"/>
                <w:bCs/>
                <w:sz w:val="24"/>
                <w:szCs w:val="24"/>
              </w:rPr>
              <w:t>工程招投标管理信息化技术；</w:t>
            </w:r>
          </w:p>
          <w:p w:rsidR="00CA5AE3" w:rsidRPr="009626F7" w:rsidRDefault="00CA5AE3" w:rsidP="005F6318">
            <w:pPr>
              <w:numPr>
                <w:ilvl w:val="0"/>
                <w:numId w:val="85"/>
              </w:num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掌握常用的工程招投标信息化管理软件</w:t>
            </w:r>
            <w:r w:rsidRPr="009626F7">
              <w:rPr>
                <w:rFonts w:ascii="仿宋_GB2312" w:hAnsi="仿宋_GB2312" w:cs="仿宋_GB2312"/>
                <w:bCs/>
                <w:sz w:val="24"/>
                <w:szCs w:val="24"/>
              </w:rPr>
              <w:t>。</w:t>
            </w:r>
            <w:r w:rsidRPr="009626F7">
              <w:rPr>
                <w:rFonts w:ascii="仿宋_GB2312" w:hAnsi="仿宋_GB2312" w:cs="仿宋_GB2312" w:hint="eastAsia"/>
                <w:bCs/>
                <w:sz w:val="24"/>
                <w:szCs w:val="24"/>
              </w:rPr>
              <w:t xml:space="preserve"> </w:t>
            </w:r>
          </w:p>
        </w:tc>
        <w:tc>
          <w:tcPr>
            <w:tcW w:w="574" w:type="pct"/>
            <w:tcBorders>
              <w:top w:val="single" w:sz="4" w:space="0" w:color="000000"/>
              <w:left w:val="single" w:sz="4" w:space="0" w:color="auto"/>
              <w:bottom w:val="single" w:sz="4" w:space="0" w:color="000000"/>
              <w:right w:val="single" w:sz="4" w:space="0" w:color="000000"/>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1</w:t>
            </w:r>
          </w:p>
        </w:tc>
      </w:tr>
    </w:tbl>
    <w:p w:rsidR="00CA5AE3" w:rsidRPr="009626F7" w:rsidRDefault="00CA5AE3" w:rsidP="00CA5AE3">
      <w:pPr>
        <w:keepNext/>
        <w:spacing w:beforeLines="100" w:before="312" w:afterLines="50" w:after="156" w:line="360" w:lineRule="exact"/>
        <w:outlineLvl w:val="0"/>
        <w:rPr>
          <w:rFonts w:ascii="仿宋" w:eastAsia="仿宋" w:hAnsi="仿宋"/>
          <w:b/>
          <w:sz w:val="28"/>
          <w:szCs w:val="28"/>
        </w:rPr>
      </w:pPr>
      <w:r w:rsidRPr="009626F7">
        <w:rPr>
          <w:rFonts w:ascii="仿宋" w:eastAsia="仿宋" w:hAnsi="仿宋"/>
          <w:b/>
          <w:sz w:val="28"/>
          <w:szCs w:val="28"/>
        </w:rPr>
        <w:t>课内实践教学内容及要求</w:t>
      </w:r>
    </w:p>
    <w:p w:rsidR="00CA5AE3" w:rsidRPr="009626F7" w:rsidRDefault="00CA5AE3" w:rsidP="00CA5AE3">
      <w:pPr>
        <w:adjustRightInd w:val="0"/>
        <w:snapToGrid w:val="0"/>
        <w:spacing w:line="360" w:lineRule="exact"/>
        <w:rPr>
          <w:rFonts w:ascii="Times New Roman" w:hAnsi="Times New Roman"/>
          <w:sz w:val="24"/>
          <w:szCs w:val="24"/>
        </w:rPr>
      </w:pPr>
      <w:r w:rsidRPr="009626F7">
        <w:rPr>
          <w:rFonts w:ascii="Times New Roman" w:hAnsi="Times New Roman"/>
          <w:sz w:val="24"/>
          <w:szCs w:val="24"/>
        </w:rPr>
        <w:t>无</w:t>
      </w:r>
    </w:p>
    <w:p w:rsidR="00CA5AE3" w:rsidRPr="009626F7" w:rsidRDefault="00CA5AE3" w:rsidP="00CA5AE3">
      <w:pPr>
        <w:keepNext/>
        <w:spacing w:beforeLines="100" w:before="312" w:afterLines="50" w:after="156" w:line="360" w:lineRule="exact"/>
        <w:outlineLvl w:val="0"/>
        <w:rPr>
          <w:rFonts w:ascii="仿宋" w:eastAsia="仿宋" w:hAnsi="仿宋"/>
          <w:b/>
          <w:sz w:val="28"/>
          <w:szCs w:val="28"/>
        </w:rPr>
      </w:pPr>
      <w:r w:rsidRPr="009626F7">
        <w:rPr>
          <w:rFonts w:ascii="仿宋" w:eastAsia="仿宋" w:hAnsi="仿宋"/>
          <w:b/>
          <w:sz w:val="28"/>
          <w:szCs w:val="28"/>
        </w:rPr>
        <w:lastRenderedPageBreak/>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CA5AE3" w:rsidTr="00E07285">
        <w:trPr>
          <w:trHeight w:val="454"/>
          <w:jc w:val="center"/>
        </w:trPr>
        <w:tc>
          <w:tcPr>
            <w:tcW w:w="1624" w:type="pct"/>
            <w:vMerge w:val="restar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章  节</w:t>
            </w:r>
          </w:p>
        </w:tc>
        <w:tc>
          <w:tcPr>
            <w:tcW w:w="2937" w:type="pct"/>
            <w:gridSpan w:val="6"/>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学 时 分 配</w:t>
            </w:r>
          </w:p>
        </w:tc>
        <w:tc>
          <w:tcPr>
            <w:tcW w:w="439" w:type="pct"/>
            <w:vMerge w:val="restar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合  计</w:t>
            </w:r>
          </w:p>
        </w:tc>
      </w:tr>
      <w:tr w:rsidR="00CA5AE3" w:rsidTr="00E07285">
        <w:trPr>
          <w:trHeight w:val="454"/>
          <w:jc w:val="center"/>
        </w:trPr>
        <w:tc>
          <w:tcPr>
            <w:tcW w:w="1624" w:type="pct"/>
            <w:vMerge/>
            <w:vAlign w:val="center"/>
          </w:tcPr>
          <w:p w:rsidR="00CA5AE3" w:rsidRDefault="00CA5AE3" w:rsidP="00E07285">
            <w:pPr>
              <w:adjustRightInd w:val="0"/>
              <w:snapToGrid w:val="0"/>
              <w:spacing w:line="360" w:lineRule="exact"/>
              <w:jc w:val="center"/>
              <w:rPr>
                <w:rFonts w:ascii="Times New Roman" w:hAnsi="Times New Roman"/>
                <w:b/>
              </w:rPr>
            </w:pPr>
          </w:p>
        </w:tc>
        <w:tc>
          <w:tcPr>
            <w:tcW w:w="489" w:type="pc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讲  课</w:t>
            </w:r>
          </w:p>
        </w:tc>
        <w:tc>
          <w:tcPr>
            <w:tcW w:w="490" w:type="pc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实验课</w:t>
            </w:r>
          </w:p>
        </w:tc>
        <w:tc>
          <w:tcPr>
            <w:tcW w:w="489" w:type="pc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上机课</w:t>
            </w:r>
          </w:p>
        </w:tc>
        <w:tc>
          <w:tcPr>
            <w:tcW w:w="490" w:type="pc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讨论课</w:t>
            </w:r>
          </w:p>
        </w:tc>
        <w:tc>
          <w:tcPr>
            <w:tcW w:w="489" w:type="pc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习题课</w:t>
            </w:r>
          </w:p>
        </w:tc>
        <w:tc>
          <w:tcPr>
            <w:tcW w:w="490" w:type="pct"/>
            <w:vAlign w:val="center"/>
          </w:tcPr>
          <w:p w:rsidR="00CA5AE3" w:rsidRPr="009626F7" w:rsidRDefault="00CA5AE3" w:rsidP="009626F7">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其  它</w:t>
            </w:r>
          </w:p>
        </w:tc>
        <w:tc>
          <w:tcPr>
            <w:tcW w:w="439" w:type="pct"/>
            <w:vMerge/>
            <w:vAlign w:val="center"/>
          </w:tcPr>
          <w:p w:rsidR="00CA5AE3" w:rsidRDefault="00CA5AE3" w:rsidP="00E07285">
            <w:pPr>
              <w:adjustRightInd w:val="0"/>
              <w:snapToGrid w:val="0"/>
              <w:spacing w:line="360" w:lineRule="exact"/>
              <w:jc w:val="center"/>
              <w:rPr>
                <w:rFonts w:ascii="Times New Roman" w:hAnsi="Times New Roman"/>
              </w:rPr>
            </w:pP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第一章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4</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4</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第二章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第三章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4</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6</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第四章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3</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4</w:t>
            </w:r>
          </w:p>
        </w:tc>
      </w:tr>
      <w:tr w:rsidR="00CA5AE3" w:rsidTr="00E07285">
        <w:trPr>
          <w:trHeight w:val="90"/>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第五章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第六章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6</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8</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第七章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第八章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4</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6</w:t>
            </w:r>
          </w:p>
        </w:tc>
      </w:tr>
      <w:tr w:rsidR="00CA5AE3" w:rsidTr="00E07285">
        <w:trPr>
          <w:trHeight w:val="45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第九章</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r>
      <w:tr w:rsidR="00CA5AE3" w:rsidTr="00E07285">
        <w:trPr>
          <w:trHeight w:val="334"/>
          <w:jc w:val="center"/>
        </w:trPr>
        <w:tc>
          <w:tcPr>
            <w:tcW w:w="1624"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共  计</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22</w:t>
            </w: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w:t>
            </w:r>
          </w:p>
        </w:tc>
        <w:tc>
          <w:tcPr>
            <w:tcW w:w="489"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90" w:type="pct"/>
            <w:vAlign w:val="center"/>
          </w:tcPr>
          <w:p w:rsidR="00CA5AE3" w:rsidRPr="009626F7" w:rsidRDefault="00CA5AE3" w:rsidP="009626F7">
            <w:pPr>
              <w:spacing w:line="360" w:lineRule="exact"/>
              <w:jc w:val="center"/>
              <w:rPr>
                <w:rFonts w:ascii="仿宋_GB2312" w:hAnsi="仿宋_GB2312" w:cs="仿宋_GB2312"/>
                <w:bCs/>
                <w:sz w:val="24"/>
                <w:szCs w:val="24"/>
              </w:rPr>
            </w:pPr>
          </w:p>
        </w:tc>
        <w:tc>
          <w:tcPr>
            <w:tcW w:w="439" w:type="pct"/>
            <w:vAlign w:val="center"/>
          </w:tcPr>
          <w:p w:rsidR="00CA5AE3" w:rsidRPr="009626F7" w:rsidRDefault="00CA5AE3" w:rsidP="009626F7">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32</w:t>
            </w:r>
          </w:p>
        </w:tc>
      </w:tr>
    </w:tbl>
    <w:p w:rsidR="00CA5AE3" w:rsidRPr="009626F7" w:rsidRDefault="00CA5AE3" w:rsidP="00CA5AE3">
      <w:pPr>
        <w:keepNext/>
        <w:spacing w:beforeLines="100" w:before="312" w:afterLines="50" w:after="156" w:line="360" w:lineRule="exact"/>
        <w:outlineLvl w:val="0"/>
        <w:rPr>
          <w:rFonts w:ascii="仿宋" w:eastAsia="仿宋" w:hAnsi="仿宋"/>
          <w:b/>
          <w:sz w:val="28"/>
          <w:szCs w:val="28"/>
        </w:rPr>
      </w:pPr>
      <w:r w:rsidRPr="009626F7">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809"/>
        <w:gridCol w:w="3338"/>
      </w:tblGrid>
      <w:tr w:rsidR="00CA5AE3" w:rsidTr="00854B2C">
        <w:trPr>
          <w:trHeight w:val="454"/>
          <w:jc w:val="center"/>
        </w:trPr>
        <w:tc>
          <w:tcPr>
            <w:tcW w:w="343" w:type="pct"/>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序号</w:t>
            </w:r>
          </w:p>
        </w:tc>
        <w:tc>
          <w:tcPr>
            <w:tcW w:w="1555" w:type="pct"/>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课程思政教学目标</w:t>
            </w:r>
          </w:p>
        </w:tc>
        <w:tc>
          <w:tcPr>
            <w:tcW w:w="1090" w:type="pct"/>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授课章节</w:t>
            </w:r>
          </w:p>
        </w:tc>
        <w:tc>
          <w:tcPr>
            <w:tcW w:w="2012" w:type="pct"/>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课程思政融入点（至少5处）</w:t>
            </w:r>
          </w:p>
        </w:tc>
      </w:tr>
      <w:tr w:rsidR="00CA5AE3" w:rsidTr="00854B2C">
        <w:trPr>
          <w:trHeight w:val="454"/>
          <w:jc w:val="center"/>
        </w:trPr>
        <w:tc>
          <w:tcPr>
            <w:tcW w:w="34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1555"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正确政治导向</w:t>
            </w:r>
          </w:p>
        </w:tc>
        <w:tc>
          <w:tcPr>
            <w:tcW w:w="1090"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第一章</w:t>
            </w:r>
          </w:p>
        </w:tc>
        <w:tc>
          <w:tcPr>
            <w:tcW w:w="2012" w:type="pct"/>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强调责任感和主人翁意识，明确课程学习目标、专业发展目标。</w:t>
            </w:r>
            <w:r w:rsidRPr="009626F7">
              <w:rPr>
                <w:rFonts w:ascii="仿宋_GB2312" w:hAnsi="仿宋_GB2312" w:cs="仿宋_GB2312" w:hint="eastAsia"/>
                <w:bCs/>
                <w:sz w:val="24"/>
                <w:szCs w:val="24"/>
              </w:rPr>
              <w:t>使其认识到建设工程招投标是对工程建设进行科学管理的必不可少的手段。</w:t>
            </w:r>
          </w:p>
        </w:tc>
      </w:tr>
      <w:tr w:rsidR="00CA5AE3" w:rsidTr="00854B2C">
        <w:trPr>
          <w:trHeight w:val="454"/>
          <w:jc w:val="center"/>
        </w:trPr>
        <w:tc>
          <w:tcPr>
            <w:tcW w:w="34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1555"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社会主义核心价值观教育</w:t>
            </w:r>
          </w:p>
        </w:tc>
        <w:tc>
          <w:tcPr>
            <w:tcW w:w="1090"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第二章</w:t>
            </w:r>
          </w:p>
        </w:tc>
        <w:tc>
          <w:tcPr>
            <w:tcW w:w="2012" w:type="pct"/>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对招投标过程进行研究是提高工程管理及工作效率的有效手段。</w:t>
            </w:r>
            <w:r w:rsidRPr="009626F7">
              <w:rPr>
                <w:rFonts w:ascii="仿宋_GB2312" w:hAnsi="仿宋_GB2312" w:cs="仿宋_GB2312"/>
                <w:bCs/>
                <w:sz w:val="24"/>
                <w:szCs w:val="24"/>
              </w:rPr>
              <w:t>开阔学生视野，进行爱国教育、增强民族荣誉感、职业自豪感。</w:t>
            </w:r>
          </w:p>
        </w:tc>
      </w:tr>
      <w:tr w:rsidR="00CA5AE3" w:rsidTr="00854B2C">
        <w:trPr>
          <w:trHeight w:val="454"/>
          <w:jc w:val="center"/>
        </w:trPr>
        <w:tc>
          <w:tcPr>
            <w:tcW w:w="34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3</w:t>
            </w:r>
          </w:p>
        </w:tc>
        <w:tc>
          <w:tcPr>
            <w:tcW w:w="1555"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远大理想塑造</w:t>
            </w:r>
          </w:p>
        </w:tc>
        <w:tc>
          <w:tcPr>
            <w:tcW w:w="1090"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第一~四章</w:t>
            </w:r>
          </w:p>
        </w:tc>
        <w:tc>
          <w:tcPr>
            <w:tcW w:w="2012" w:type="pct"/>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随着建筑设计及施工工艺、新技术的不断发展变化，工程造价管理人员要面对新问题不断学习，不断寻求新的解决办法</w:t>
            </w:r>
          </w:p>
        </w:tc>
      </w:tr>
      <w:tr w:rsidR="00CA5AE3" w:rsidTr="00854B2C">
        <w:trPr>
          <w:trHeight w:val="454"/>
          <w:jc w:val="center"/>
        </w:trPr>
        <w:tc>
          <w:tcPr>
            <w:tcW w:w="34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4</w:t>
            </w:r>
          </w:p>
        </w:tc>
        <w:tc>
          <w:tcPr>
            <w:tcW w:w="1555"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健康心态培育</w:t>
            </w:r>
          </w:p>
        </w:tc>
        <w:tc>
          <w:tcPr>
            <w:tcW w:w="1090"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第五~八章</w:t>
            </w:r>
          </w:p>
        </w:tc>
        <w:tc>
          <w:tcPr>
            <w:tcW w:w="2012" w:type="pct"/>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通过案例，强调正确价值观，及时关注行业信息，培养认真细致、守时守约职业精神。</w:t>
            </w:r>
          </w:p>
        </w:tc>
      </w:tr>
      <w:tr w:rsidR="00CA5AE3" w:rsidTr="00854B2C">
        <w:trPr>
          <w:trHeight w:val="454"/>
          <w:jc w:val="center"/>
        </w:trPr>
        <w:tc>
          <w:tcPr>
            <w:tcW w:w="343"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lastRenderedPageBreak/>
              <w:t>5</w:t>
            </w:r>
          </w:p>
        </w:tc>
        <w:tc>
          <w:tcPr>
            <w:tcW w:w="1555"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道德品质培养</w:t>
            </w:r>
          </w:p>
        </w:tc>
        <w:tc>
          <w:tcPr>
            <w:tcW w:w="1090" w:type="pct"/>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第五~九章</w:t>
            </w:r>
          </w:p>
        </w:tc>
        <w:tc>
          <w:tcPr>
            <w:tcW w:w="2012" w:type="pct"/>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让学生深刻理解“鲁班精神”，培养有社会责任感、正确价值观、利益观和强烈伦理道德意识、善于观察、勤于动脑、勇于实践、勇于创新、吃苦耐劳的适应行业发展的技术技能型人才。</w:t>
            </w:r>
          </w:p>
        </w:tc>
      </w:tr>
    </w:tbl>
    <w:p w:rsidR="009626F7" w:rsidRDefault="009626F7" w:rsidP="009626F7">
      <w:pPr>
        <w:spacing w:line="360" w:lineRule="exact"/>
        <w:rPr>
          <w:rFonts w:ascii="黑体" w:eastAsia="黑体" w:hAnsi="黑体"/>
          <w:b/>
          <w:sz w:val="28"/>
          <w:szCs w:val="28"/>
        </w:rPr>
      </w:pPr>
    </w:p>
    <w:p w:rsidR="009626F7" w:rsidRDefault="009626F7" w:rsidP="009626F7">
      <w:pPr>
        <w:spacing w:line="360" w:lineRule="exact"/>
        <w:rPr>
          <w:rFonts w:ascii="黑体" w:eastAsia="黑体" w:hAnsi="黑体"/>
          <w:b/>
          <w:sz w:val="28"/>
          <w:szCs w:val="28"/>
        </w:rPr>
      </w:pPr>
      <w:r>
        <w:rPr>
          <w:rFonts w:ascii="黑体" w:eastAsia="黑体" w:hAnsi="黑体" w:hint="eastAsia"/>
          <w:b/>
          <w:sz w:val="28"/>
          <w:szCs w:val="28"/>
        </w:rPr>
        <w:t>五、课程考核方式与成绩评定</w:t>
      </w:r>
    </w:p>
    <w:p w:rsidR="00CA5AE3" w:rsidRPr="009626F7" w:rsidRDefault="00CA5AE3" w:rsidP="009626F7">
      <w:pPr>
        <w:spacing w:line="360" w:lineRule="auto"/>
        <w:ind w:firstLine="331"/>
        <w:rPr>
          <w:rFonts w:ascii="仿宋_GB2312" w:hAnsi="仿宋_GB2312" w:cs="仿宋_GB2312"/>
          <w:bCs/>
          <w:sz w:val="28"/>
          <w:szCs w:val="28"/>
        </w:rPr>
      </w:pPr>
      <w:r w:rsidRPr="009626F7">
        <w:rPr>
          <w:rFonts w:ascii="仿宋_GB2312" w:hAnsi="仿宋_GB2312" w:cs="仿宋_GB2312"/>
          <w:bCs/>
          <w:sz w:val="28"/>
          <w:szCs w:val="28"/>
        </w:rPr>
        <w:t>（1）考核方式</w:t>
      </w:r>
    </w:p>
    <w:p w:rsidR="00CA5AE3" w:rsidRPr="009626F7" w:rsidRDefault="00CA5AE3" w:rsidP="009626F7">
      <w:pPr>
        <w:spacing w:line="360" w:lineRule="auto"/>
        <w:ind w:firstLine="331"/>
        <w:rPr>
          <w:rFonts w:ascii="仿宋_GB2312" w:hAnsi="仿宋_GB2312" w:cs="仿宋_GB2312"/>
          <w:bCs/>
          <w:sz w:val="28"/>
          <w:szCs w:val="28"/>
        </w:rPr>
      </w:pPr>
      <w:r w:rsidRPr="009626F7">
        <w:rPr>
          <w:rFonts w:ascii="仿宋_GB2312" w:hAnsi="仿宋_GB2312" w:cs="仿宋_GB2312"/>
          <w:bCs/>
          <w:sz w:val="28"/>
          <w:szCs w:val="28"/>
        </w:rPr>
        <w:t>本课程考核方式为考试，其中期末考核方式为标准答案考试，过程考核方式为课堂出勤、课堂讨论展示、作业完成情况及平时随堂测验等。</w:t>
      </w:r>
    </w:p>
    <w:p w:rsidR="00CA5AE3" w:rsidRPr="009626F7" w:rsidRDefault="00CA5AE3" w:rsidP="009626F7">
      <w:pPr>
        <w:spacing w:line="360" w:lineRule="auto"/>
        <w:ind w:firstLine="331"/>
        <w:rPr>
          <w:rFonts w:ascii="仿宋_GB2312" w:hAnsi="仿宋_GB2312" w:cs="仿宋_GB2312"/>
          <w:bCs/>
          <w:sz w:val="28"/>
          <w:szCs w:val="28"/>
        </w:rPr>
      </w:pPr>
      <w:r w:rsidRPr="009626F7">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881"/>
        <w:gridCol w:w="672"/>
        <w:gridCol w:w="672"/>
        <w:gridCol w:w="672"/>
        <w:gridCol w:w="672"/>
        <w:gridCol w:w="672"/>
        <w:gridCol w:w="677"/>
        <w:gridCol w:w="656"/>
        <w:gridCol w:w="667"/>
      </w:tblGrid>
      <w:tr w:rsidR="00CA5AE3" w:rsidTr="00E07285">
        <w:trPr>
          <w:trHeight w:val="454"/>
          <w:jc w:val="center"/>
        </w:trPr>
        <w:tc>
          <w:tcPr>
            <w:tcW w:w="396" w:type="pct"/>
            <w:vMerge w:val="restart"/>
            <w:tcBorders>
              <w:top w:val="single" w:sz="4" w:space="0" w:color="000000"/>
              <w:left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课程</w:t>
            </w:r>
          </w:p>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目标</w:t>
            </w:r>
          </w:p>
        </w:tc>
        <w:tc>
          <w:tcPr>
            <w:tcW w:w="3956" w:type="pct"/>
            <w:gridSpan w:val="8"/>
            <w:tcBorders>
              <w:top w:val="single" w:sz="4" w:space="0" w:color="000000"/>
              <w:left w:val="single" w:sz="4" w:space="0" w:color="auto"/>
              <w:bottom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考核方式及成绩比例（%）</w:t>
            </w:r>
          </w:p>
        </w:tc>
      </w:tr>
      <w:tr w:rsidR="00CA5AE3" w:rsidTr="00E07285">
        <w:trPr>
          <w:trHeight w:val="454"/>
          <w:jc w:val="center"/>
        </w:trPr>
        <w:tc>
          <w:tcPr>
            <w:tcW w:w="396" w:type="pct"/>
            <w:vMerge/>
            <w:tcBorders>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p>
        </w:tc>
        <w:tc>
          <w:tcPr>
            <w:tcW w:w="496"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考勤</w:t>
            </w:r>
          </w:p>
        </w:tc>
        <w:tc>
          <w:tcPr>
            <w:tcW w:w="496"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作业</w:t>
            </w:r>
          </w:p>
        </w:tc>
        <w:tc>
          <w:tcPr>
            <w:tcW w:w="496"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讨论</w:t>
            </w:r>
          </w:p>
        </w:tc>
        <w:tc>
          <w:tcPr>
            <w:tcW w:w="496"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实验</w:t>
            </w:r>
          </w:p>
        </w:tc>
        <w:tc>
          <w:tcPr>
            <w:tcW w:w="496"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测验</w:t>
            </w:r>
          </w:p>
        </w:tc>
        <w:tc>
          <w:tcPr>
            <w:tcW w:w="499"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考试</w:t>
            </w:r>
          </w:p>
        </w:tc>
        <w:tc>
          <w:tcPr>
            <w:tcW w:w="484"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w:t>
            </w:r>
          </w:p>
        </w:tc>
        <w:tc>
          <w:tcPr>
            <w:tcW w:w="492" w:type="pct"/>
            <w:tcBorders>
              <w:top w:val="single" w:sz="4" w:space="0" w:color="auto"/>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合计</w:t>
            </w:r>
          </w:p>
        </w:tc>
      </w:tr>
      <w:tr w:rsidR="00CA5AE3" w:rsidTr="00E07285">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目标1</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13</w:t>
            </w:r>
          </w:p>
        </w:tc>
      </w:tr>
      <w:tr w:rsidR="00CA5AE3" w:rsidTr="00E07285">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40</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51</w:t>
            </w:r>
          </w:p>
        </w:tc>
      </w:tr>
      <w:tr w:rsidR="00CA5AE3" w:rsidTr="00E07285">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目标3</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30</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36</w:t>
            </w:r>
          </w:p>
        </w:tc>
      </w:tr>
      <w:tr w:rsidR="00CA5AE3" w:rsidTr="00E07285">
        <w:trPr>
          <w:trHeight w:val="454"/>
          <w:jc w:val="center"/>
        </w:trPr>
        <w:tc>
          <w:tcPr>
            <w:tcW w:w="1044" w:type="pct"/>
            <w:gridSpan w:val="2"/>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共计</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5</w:t>
            </w: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80</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100</w:t>
            </w:r>
          </w:p>
        </w:tc>
      </w:tr>
    </w:tbl>
    <w:p w:rsidR="00CA5AE3" w:rsidRPr="009626F7" w:rsidRDefault="00CA5AE3" w:rsidP="009626F7">
      <w:pPr>
        <w:spacing w:line="360" w:lineRule="auto"/>
        <w:ind w:firstLine="331"/>
        <w:rPr>
          <w:rFonts w:ascii="仿宋_GB2312" w:hAnsi="仿宋_GB2312" w:cs="仿宋_GB2312"/>
          <w:bCs/>
          <w:sz w:val="28"/>
          <w:szCs w:val="28"/>
        </w:rPr>
      </w:pPr>
      <w:r w:rsidRPr="009626F7">
        <w:rPr>
          <w:rFonts w:ascii="仿宋_GB2312" w:hAnsi="仿宋_GB2312" w:cs="仿宋_GB2312" w:hint="eastAsia"/>
          <w:bCs/>
          <w:sz w:val="28"/>
          <w:szCs w:val="28"/>
        </w:rPr>
        <w:t>（3）考核（评价）要求：</w:t>
      </w:r>
      <w:r w:rsidRPr="009626F7">
        <w:rPr>
          <w:rFonts w:ascii="仿宋_GB2312" w:hAnsi="仿宋_GB2312" w:cs="仿宋_GB2312"/>
          <w:bCs/>
          <w:sz w:val="28"/>
          <w:szCs w:val="28"/>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51"/>
        <w:gridCol w:w="951"/>
        <w:gridCol w:w="4782"/>
        <w:gridCol w:w="1042"/>
      </w:tblGrid>
      <w:tr w:rsidR="00CA5AE3" w:rsidTr="00E07285">
        <w:trPr>
          <w:trHeight w:val="454"/>
          <w:jc w:val="center"/>
        </w:trPr>
        <w:tc>
          <w:tcPr>
            <w:tcW w:w="343" w:type="pct"/>
            <w:tcBorders>
              <w:top w:val="single" w:sz="4" w:space="0" w:color="000000"/>
              <w:left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hint="eastAsia"/>
                <w:b/>
                <w:bCs/>
                <w:sz w:val="24"/>
                <w:szCs w:val="24"/>
              </w:rPr>
              <w:t>目标分值</w:t>
            </w:r>
          </w:p>
        </w:tc>
        <w:tc>
          <w:tcPr>
            <w:tcW w:w="2880" w:type="pct"/>
            <w:tcBorders>
              <w:top w:val="single" w:sz="4" w:space="0" w:color="000000"/>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CA5AE3" w:rsidRPr="009626F7" w:rsidRDefault="00CA5AE3" w:rsidP="00E07285">
            <w:pPr>
              <w:spacing w:line="360" w:lineRule="exact"/>
              <w:jc w:val="center"/>
              <w:rPr>
                <w:rFonts w:ascii="仿宋_GB2312" w:hAnsi="仿宋_GB2312" w:cs="仿宋_GB2312"/>
                <w:b/>
                <w:bCs/>
                <w:sz w:val="24"/>
                <w:szCs w:val="24"/>
              </w:rPr>
            </w:pPr>
            <w:r w:rsidRPr="009626F7">
              <w:rPr>
                <w:rFonts w:ascii="仿宋_GB2312" w:hAnsi="仿宋_GB2312" w:cs="仿宋_GB2312"/>
                <w:b/>
                <w:bCs/>
                <w:sz w:val="24"/>
                <w:szCs w:val="24"/>
              </w:rPr>
              <w:t>支撑课程教学目标</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出勤统计不少于授课次数的2/3；通过出勤统计结果考核学生学习态度和遵守课堂纪律等基本情况。</w:t>
            </w:r>
            <w:r w:rsidRPr="009626F7">
              <w:rPr>
                <w:rFonts w:ascii="仿宋_GB2312" w:hAnsi="仿宋_GB2312" w:cs="仿宋_GB2312"/>
                <w:bCs/>
                <w:sz w:val="24"/>
                <w:szCs w:val="24"/>
              </w:rPr>
              <w:t xml:space="preserve"> </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1</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目标2</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2</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bCs/>
                <w:sz w:val="24"/>
                <w:szCs w:val="24"/>
              </w:rPr>
              <w:t>课后作业</w:t>
            </w:r>
            <w:r w:rsidRPr="009626F7">
              <w:rPr>
                <w:rFonts w:ascii="仿宋_GB2312" w:hAnsi="仿宋_GB2312" w:cs="仿宋_GB2312" w:hint="eastAsia"/>
                <w:bCs/>
                <w:sz w:val="24"/>
                <w:szCs w:val="24"/>
              </w:rPr>
              <w:t>布置5次；通过课后作业考核学生对建设工程招投标的基本原理、概念等的掌握情况。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目标1</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目标2</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讨论</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讨论环节设置4次；通过对部分章节关键知</w:t>
            </w:r>
            <w:r w:rsidRPr="009626F7">
              <w:rPr>
                <w:rFonts w:ascii="仿宋_GB2312" w:hAnsi="仿宋_GB2312" w:cs="仿宋_GB2312" w:hint="eastAsia"/>
                <w:bCs/>
                <w:sz w:val="24"/>
                <w:szCs w:val="24"/>
              </w:rPr>
              <w:lastRenderedPageBreak/>
              <w:t>识点设置分组讨论，考核学生对建设工程招投标的编制原理、各种评标方法的理解及掌握情况，加深对工程招投标的理解。</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lastRenderedPageBreak/>
              <w:t>目标1</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lastRenderedPageBreak/>
              <w:t>目标2</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lastRenderedPageBreak/>
              <w:t>4</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测验</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章节测验设置1次；</w:t>
            </w:r>
            <w:r w:rsidRPr="009626F7">
              <w:rPr>
                <w:rFonts w:ascii="仿宋_GB2312" w:hAnsi="仿宋_GB2312" w:cs="仿宋_GB2312"/>
                <w:bCs/>
                <w:sz w:val="24"/>
                <w:szCs w:val="24"/>
              </w:rPr>
              <w:t>通过对</w:t>
            </w:r>
            <w:r w:rsidRPr="009626F7">
              <w:rPr>
                <w:rFonts w:ascii="仿宋_GB2312" w:hAnsi="仿宋_GB2312" w:cs="仿宋_GB2312" w:hint="eastAsia"/>
                <w:bCs/>
                <w:sz w:val="24"/>
                <w:szCs w:val="24"/>
              </w:rPr>
              <w:t>第三</w:t>
            </w:r>
            <w:r w:rsidRPr="009626F7">
              <w:rPr>
                <w:rFonts w:ascii="仿宋_GB2312" w:hAnsi="仿宋_GB2312" w:cs="仿宋_GB2312"/>
                <w:bCs/>
                <w:sz w:val="24"/>
                <w:szCs w:val="24"/>
              </w:rPr>
              <w:t>章关键知识点设置随堂测验，考核学生对</w:t>
            </w:r>
            <w:r w:rsidRPr="009626F7">
              <w:rPr>
                <w:rFonts w:ascii="仿宋_GB2312" w:hAnsi="仿宋_GB2312" w:cs="仿宋_GB2312" w:hint="eastAsia"/>
                <w:bCs/>
                <w:sz w:val="24"/>
                <w:szCs w:val="24"/>
              </w:rPr>
              <w:t>招投标文件编制的掌握</w:t>
            </w:r>
            <w:r w:rsidRPr="009626F7">
              <w:rPr>
                <w:rFonts w:ascii="仿宋_GB2312" w:hAnsi="仿宋_GB2312" w:cs="仿宋_GB2312"/>
                <w:bCs/>
                <w:sz w:val="24"/>
                <w:szCs w:val="24"/>
              </w:rPr>
              <w:t>情况。</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目标2</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5</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left"/>
              <w:rPr>
                <w:rFonts w:ascii="仿宋_GB2312" w:hAnsi="仿宋_GB2312" w:cs="仿宋_GB2312"/>
                <w:bCs/>
                <w:sz w:val="24"/>
                <w:szCs w:val="24"/>
              </w:rPr>
            </w:pPr>
            <w:r w:rsidRPr="009626F7">
              <w:rPr>
                <w:rFonts w:ascii="仿宋_GB2312" w:hAnsi="仿宋_GB2312" w:cs="仿宋_GB2312" w:hint="eastAsia"/>
                <w:bCs/>
                <w:sz w:val="24"/>
                <w:szCs w:val="24"/>
              </w:rPr>
              <w:t>期末考试采用</w:t>
            </w:r>
            <w:r w:rsidRPr="009626F7">
              <w:rPr>
                <w:rFonts w:ascii="仿宋_GB2312" w:hAnsi="仿宋_GB2312" w:cs="仿宋_GB2312"/>
                <w:bCs/>
                <w:sz w:val="24"/>
                <w:szCs w:val="24"/>
              </w:rPr>
              <w:t>标准答案考试</w:t>
            </w:r>
            <w:r w:rsidRPr="009626F7">
              <w:rPr>
                <w:rFonts w:ascii="仿宋_GB2312" w:hAnsi="仿宋_GB2312" w:cs="仿宋_GB2312" w:hint="eastAsia"/>
                <w:bCs/>
                <w:sz w:val="24"/>
                <w:szCs w:val="24"/>
              </w:rPr>
              <w:t>。考试范围基本涵盖所有讲授内容，考试内容主要反映学生对本课程主要概念的理解和掌握程度，以及综合运用的能力。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1</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hint="eastAsia"/>
                <w:bCs/>
                <w:sz w:val="24"/>
                <w:szCs w:val="24"/>
              </w:rPr>
              <w:t>目标2</w:t>
            </w:r>
          </w:p>
          <w:p w:rsidR="00CA5AE3" w:rsidRPr="009626F7" w:rsidRDefault="00CA5AE3" w:rsidP="00E07285">
            <w:pPr>
              <w:spacing w:line="360" w:lineRule="exact"/>
              <w:jc w:val="center"/>
              <w:rPr>
                <w:rFonts w:ascii="仿宋_GB2312" w:hAnsi="仿宋_GB2312" w:cs="仿宋_GB2312"/>
                <w:bCs/>
                <w:sz w:val="24"/>
                <w:szCs w:val="24"/>
              </w:rPr>
            </w:pPr>
            <w:r w:rsidRPr="009626F7">
              <w:rPr>
                <w:rFonts w:ascii="仿宋_GB2312" w:hAnsi="仿宋_GB2312" w:cs="仿宋_GB2312"/>
                <w:bCs/>
                <w:sz w:val="24"/>
                <w:szCs w:val="24"/>
              </w:rPr>
              <w:t>目标</w:t>
            </w:r>
            <w:r w:rsidRPr="009626F7">
              <w:rPr>
                <w:rFonts w:ascii="仿宋_GB2312" w:hAnsi="仿宋_GB2312" w:cs="仿宋_GB2312" w:hint="eastAsia"/>
                <w:bCs/>
                <w:sz w:val="24"/>
                <w:szCs w:val="24"/>
              </w:rPr>
              <w:t>3</w:t>
            </w:r>
          </w:p>
        </w:tc>
      </w:tr>
    </w:tbl>
    <w:p w:rsidR="009626F7" w:rsidRDefault="009626F7" w:rsidP="009626F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9626F7" w:rsidRPr="009626F7" w:rsidRDefault="009626F7" w:rsidP="009626F7">
      <w:pPr>
        <w:spacing w:line="360" w:lineRule="auto"/>
        <w:ind w:firstLine="331"/>
        <w:rPr>
          <w:rFonts w:ascii="仿宋_GB2312" w:hAnsi="仿宋_GB2312" w:cs="仿宋_GB2312"/>
          <w:bCs/>
          <w:sz w:val="28"/>
          <w:szCs w:val="28"/>
        </w:rPr>
      </w:pPr>
      <w:r w:rsidRPr="009626F7">
        <w:rPr>
          <w:rFonts w:ascii="仿宋_GB2312" w:hAnsi="仿宋_GB2312" w:cs="仿宋_GB2312"/>
          <w:bCs/>
          <w:sz w:val="28"/>
          <w:szCs w:val="28"/>
        </w:rPr>
        <w:t>1. 教  材：《</w:t>
      </w:r>
      <w:r w:rsidRPr="009626F7">
        <w:rPr>
          <w:rFonts w:ascii="仿宋_GB2312" w:hAnsi="仿宋_GB2312" w:cs="仿宋_GB2312" w:hint="eastAsia"/>
          <w:bCs/>
          <w:sz w:val="28"/>
          <w:szCs w:val="28"/>
        </w:rPr>
        <w:t>建设工程招投标与</w:t>
      </w:r>
      <w:r w:rsidRPr="009626F7">
        <w:rPr>
          <w:rFonts w:ascii="仿宋_GB2312" w:hAnsi="仿宋_GB2312" w:cs="仿宋_GB2312"/>
          <w:bCs/>
          <w:sz w:val="28"/>
          <w:szCs w:val="28"/>
        </w:rPr>
        <w:t>合同管理》，苟伯让主编，武汉理工大学出版社，2016年</w:t>
      </w:r>
    </w:p>
    <w:p w:rsidR="009626F7" w:rsidRPr="009626F7" w:rsidRDefault="009626F7" w:rsidP="009626F7">
      <w:pPr>
        <w:spacing w:line="360" w:lineRule="auto"/>
        <w:ind w:firstLine="331"/>
        <w:rPr>
          <w:rFonts w:ascii="仿宋_GB2312" w:hAnsi="仿宋_GB2312" w:cs="仿宋_GB2312"/>
          <w:bCs/>
          <w:sz w:val="28"/>
          <w:szCs w:val="28"/>
        </w:rPr>
      </w:pPr>
      <w:r w:rsidRPr="009626F7">
        <w:rPr>
          <w:rFonts w:ascii="仿宋_GB2312" w:hAnsi="仿宋_GB2312" w:cs="仿宋_GB2312"/>
          <w:bCs/>
          <w:sz w:val="28"/>
          <w:szCs w:val="28"/>
        </w:rPr>
        <w:t>2. 参考书：[1] 工程招投标与合同管理，刘春江主编，化学工业出版社，2017年</w:t>
      </w:r>
    </w:p>
    <w:p w:rsidR="009626F7" w:rsidRPr="009626F7" w:rsidRDefault="009626F7" w:rsidP="009626F7">
      <w:pPr>
        <w:spacing w:line="360" w:lineRule="auto"/>
        <w:ind w:firstLine="331"/>
        <w:rPr>
          <w:rFonts w:ascii="仿宋_GB2312" w:hAnsi="仿宋_GB2312" w:cs="仿宋_GB2312"/>
          <w:bCs/>
          <w:sz w:val="28"/>
          <w:szCs w:val="28"/>
        </w:rPr>
      </w:pPr>
      <w:r w:rsidRPr="009626F7">
        <w:rPr>
          <w:rFonts w:ascii="仿宋_GB2312" w:hAnsi="仿宋_GB2312" w:cs="仿宋_GB2312"/>
          <w:bCs/>
          <w:sz w:val="28"/>
          <w:szCs w:val="28"/>
        </w:rPr>
        <w:t>[2] 招投标典型案例评析，白如银主编，中国电力出版社，201</w:t>
      </w:r>
      <w:r w:rsidRPr="009626F7">
        <w:rPr>
          <w:rFonts w:ascii="仿宋_GB2312" w:hAnsi="仿宋_GB2312" w:cs="仿宋_GB2312" w:hint="eastAsia"/>
          <w:bCs/>
          <w:sz w:val="28"/>
          <w:szCs w:val="28"/>
        </w:rPr>
        <w:t>7</w:t>
      </w:r>
      <w:r w:rsidRPr="009626F7">
        <w:rPr>
          <w:rFonts w:ascii="仿宋_GB2312" w:hAnsi="仿宋_GB2312" w:cs="仿宋_GB2312"/>
          <w:bCs/>
          <w:sz w:val="28"/>
          <w:szCs w:val="28"/>
        </w:rPr>
        <w:t>年</w:t>
      </w:r>
    </w:p>
    <w:p w:rsidR="009626F7" w:rsidRPr="009626F7" w:rsidRDefault="009626F7" w:rsidP="009626F7">
      <w:pPr>
        <w:spacing w:line="360" w:lineRule="auto"/>
        <w:ind w:firstLine="331"/>
        <w:rPr>
          <w:rFonts w:ascii="仿宋_GB2312" w:hAnsi="仿宋_GB2312" w:cs="仿宋_GB2312"/>
          <w:bCs/>
          <w:sz w:val="28"/>
          <w:szCs w:val="28"/>
        </w:rPr>
      </w:pPr>
      <w:r w:rsidRPr="009626F7">
        <w:rPr>
          <w:rFonts w:ascii="仿宋_GB2312" w:hAnsi="仿宋_GB2312" w:cs="仿宋_GB2312"/>
          <w:bCs/>
          <w:sz w:val="28"/>
          <w:szCs w:val="28"/>
        </w:rPr>
        <w:t>[3] 建设工程招投标与合同管理，陶红霞，任松主编，清华大学出版社，20</w:t>
      </w:r>
      <w:r w:rsidRPr="009626F7">
        <w:rPr>
          <w:rFonts w:ascii="仿宋_GB2312" w:hAnsi="仿宋_GB2312" w:cs="仿宋_GB2312" w:hint="eastAsia"/>
          <w:bCs/>
          <w:sz w:val="28"/>
          <w:szCs w:val="28"/>
        </w:rPr>
        <w:t>20</w:t>
      </w:r>
      <w:r w:rsidRPr="009626F7">
        <w:rPr>
          <w:rFonts w:ascii="仿宋_GB2312" w:hAnsi="仿宋_GB2312" w:cs="仿宋_GB2312"/>
          <w:bCs/>
          <w:sz w:val="28"/>
          <w:szCs w:val="28"/>
        </w:rPr>
        <w:t>年</w:t>
      </w:r>
    </w:p>
    <w:p w:rsidR="009626F7" w:rsidRPr="009626F7" w:rsidRDefault="009626F7" w:rsidP="009626F7">
      <w:pPr>
        <w:spacing w:line="360" w:lineRule="auto"/>
        <w:ind w:firstLine="331"/>
        <w:rPr>
          <w:rFonts w:ascii="仿宋_GB2312" w:hAnsi="仿宋_GB2312" w:cs="仿宋_GB2312"/>
          <w:bCs/>
          <w:sz w:val="28"/>
          <w:szCs w:val="28"/>
        </w:rPr>
      </w:pPr>
      <w:r w:rsidRPr="009626F7">
        <w:rPr>
          <w:rFonts w:ascii="仿宋_GB2312" w:hAnsi="仿宋_GB2312" w:cs="仿宋_GB2312" w:hint="eastAsia"/>
          <w:bCs/>
          <w:sz w:val="28"/>
          <w:szCs w:val="28"/>
        </w:rPr>
        <w:t xml:space="preserve">[4] </w:t>
      </w:r>
      <w:r w:rsidRPr="009626F7">
        <w:rPr>
          <w:rFonts w:ascii="仿宋_GB2312" w:hAnsi="仿宋_GB2312" w:cs="仿宋_GB2312"/>
          <w:bCs/>
          <w:sz w:val="28"/>
          <w:szCs w:val="28"/>
        </w:rPr>
        <w:t>工程招投标与合同管理，</w:t>
      </w:r>
      <w:r w:rsidRPr="009626F7">
        <w:rPr>
          <w:rFonts w:ascii="仿宋_GB2312" w:hAnsi="仿宋_GB2312" w:cs="仿宋_GB2312" w:hint="eastAsia"/>
          <w:bCs/>
          <w:sz w:val="28"/>
          <w:szCs w:val="28"/>
        </w:rPr>
        <w:t>沈中友</w:t>
      </w:r>
      <w:r w:rsidRPr="009626F7">
        <w:rPr>
          <w:rFonts w:ascii="仿宋_GB2312" w:hAnsi="仿宋_GB2312" w:cs="仿宋_GB2312"/>
          <w:bCs/>
          <w:sz w:val="28"/>
          <w:szCs w:val="28"/>
        </w:rPr>
        <w:t>主编，</w:t>
      </w:r>
      <w:r w:rsidRPr="009626F7">
        <w:rPr>
          <w:rFonts w:ascii="仿宋_GB2312" w:hAnsi="仿宋_GB2312" w:cs="仿宋_GB2312" w:hint="eastAsia"/>
          <w:bCs/>
          <w:sz w:val="28"/>
          <w:szCs w:val="28"/>
        </w:rPr>
        <w:t>机械工业</w:t>
      </w:r>
      <w:r w:rsidRPr="009626F7">
        <w:rPr>
          <w:rFonts w:ascii="仿宋_GB2312" w:hAnsi="仿宋_GB2312" w:cs="仿宋_GB2312"/>
          <w:bCs/>
          <w:sz w:val="28"/>
          <w:szCs w:val="28"/>
        </w:rPr>
        <w:t>出版社，20</w:t>
      </w:r>
      <w:r w:rsidRPr="009626F7">
        <w:rPr>
          <w:rFonts w:ascii="仿宋_GB2312" w:hAnsi="仿宋_GB2312" w:cs="仿宋_GB2312" w:hint="eastAsia"/>
          <w:bCs/>
          <w:sz w:val="28"/>
          <w:szCs w:val="28"/>
        </w:rPr>
        <w:t>19</w:t>
      </w:r>
      <w:r w:rsidRPr="009626F7">
        <w:rPr>
          <w:rFonts w:ascii="仿宋_GB2312" w:hAnsi="仿宋_GB2312" w:cs="仿宋_GB2312"/>
          <w:bCs/>
          <w:sz w:val="28"/>
          <w:szCs w:val="28"/>
        </w:rPr>
        <w:t>年</w:t>
      </w:r>
    </w:p>
    <w:p w:rsidR="009626F7" w:rsidRDefault="009626F7" w:rsidP="009626F7">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大纲撰写人：</w:t>
      </w:r>
    </w:p>
    <w:p w:rsidR="009626F7" w:rsidRDefault="009626F7" w:rsidP="009626F7">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课程负责人：</w:t>
      </w:r>
    </w:p>
    <w:p w:rsidR="009626F7" w:rsidRDefault="009626F7" w:rsidP="009626F7">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审核人：</w:t>
      </w:r>
    </w:p>
    <w:p w:rsidR="009626F7" w:rsidRDefault="009626F7" w:rsidP="009626F7">
      <w:pPr>
        <w:jc w:val="center"/>
        <w:rPr>
          <w:rFonts w:ascii="仿宋_GB2312" w:hint="eastAsia"/>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9626F7" w:rsidRDefault="009626F7" w:rsidP="009626F7">
      <w:pPr>
        <w:ind w:firstLineChars="2000" w:firstLine="5600"/>
        <w:jc w:val="left"/>
        <w:rPr>
          <w:rFonts w:ascii="仿宋" w:hAnsi="仿宋"/>
          <w:sz w:val="28"/>
          <w:szCs w:val="28"/>
        </w:rPr>
      </w:pPr>
      <w:r>
        <w:rPr>
          <w:rFonts w:ascii="仿宋_GB2312" w:hAnsi="微软雅黑" w:hint="eastAsia"/>
          <w:sz w:val="28"/>
          <w:szCs w:val="28"/>
        </w:rPr>
        <w:t xml:space="preserve">    </w:t>
      </w:r>
    </w:p>
    <w:p w:rsidR="009626F7" w:rsidRDefault="009626F7" w:rsidP="009626F7">
      <w:pPr>
        <w:jc w:val="left"/>
        <w:rPr>
          <w:rFonts w:ascii="仿宋_GB2312" w:hAnsi="黑体"/>
          <w:sz w:val="28"/>
          <w:szCs w:val="28"/>
        </w:rPr>
      </w:pPr>
      <w:r>
        <w:rPr>
          <w:rFonts w:ascii="仿宋" w:eastAsia="仿宋" w:hAnsi="仿宋" w:hint="eastAsia"/>
          <w:sz w:val="28"/>
          <w:szCs w:val="28"/>
        </w:rPr>
        <w:t xml:space="preserve">                                         年    月</w:t>
      </w:r>
    </w:p>
    <w:p w:rsidR="00854B2C" w:rsidRDefault="00854B2C" w:rsidP="00854B2C">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854B2C">
        <w:rPr>
          <w:rFonts w:ascii="方正小标宋简体" w:eastAsia="方正小标宋简体" w:hAnsi="宋体" w:hint="eastAsia"/>
          <w:kern w:val="0"/>
          <w:szCs w:val="32"/>
        </w:rPr>
        <w:t>工程项目管理</w:t>
      </w:r>
      <w:r>
        <w:rPr>
          <w:rFonts w:ascii="方正小标宋简体" w:eastAsia="方正小标宋简体" w:hAnsi="宋体" w:hint="eastAsia"/>
          <w:kern w:val="0"/>
          <w:szCs w:val="32"/>
        </w:rPr>
        <w:t>》课程教学大纲</w:t>
      </w:r>
    </w:p>
    <w:p w:rsidR="00854B2C" w:rsidRDefault="00854B2C" w:rsidP="00854B2C">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一、课程信息</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英文名称：</w:t>
      </w:r>
      <w:r w:rsidRPr="00854B2C">
        <w:rPr>
          <w:rFonts w:ascii="仿宋_GB2312" w:hAnsi="仿宋_GB2312" w:cs="仿宋_GB2312"/>
          <w:bCs/>
          <w:sz w:val="28"/>
          <w:szCs w:val="28"/>
        </w:rPr>
        <w:t>Engineering Project Management</w:t>
      </w:r>
    </w:p>
    <w:p w:rsidR="00854B2C" w:rsidRDefault="00854B2C" w:rsidP="00854B2C">
      <w:pPr>
        <w:spacing w:line="360" w:lineRule="auto"/>
        <w:ind w:firstLine="331"/>
        <w:jc w:val="left"/>
        <w:rPr>
          <w:rFonts w:ascii="仿宋_GB2312" w:hAnsi="仿宋_GB2312" w:cs="仿宋_GB2312" w:hint="eastAsia"/>
          <w:bCs/>
          <w:sz w:val="28"/>
          <w:szCs w:val="28"/>
        </w:rPr>
      </w:pPr>
      <w:r>
        <w:rPr>
          <w:rFonts w:ascii="仿宋_GB2312" w:hAnsi="仿宋_GB2312" w:cs="仿宋_GB2312" w:hint="eastAsia"/>
          <w:bCs/>
          <w:sz w:val="28"/>
          <w:szCs w:val="28"/>
        </w:rPr>
        <w:t>课程编码：</w:t>
      </w:r>
      <w:r w:rsidRPr="00854B2C">
        <w:rPr>
          <w:rFonts w:ascii="仿宋_GB2312" w:hAnsi="仿宋_GB2312" w:cs="仿宋_GB2312"/>
          <w:bCs/>
          <w:sz w:val="28"/>
          <w:szCs w:val="28"/>
        </w:rPr>
        <w:t>Z2805330</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授课语言：中文</w:t>
      </w:r>
    </w:p>
    <w:p w:rsidR="00854B2C" w:rsidRDefault="00854B2C" w:rsidP="00854B2C">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授课方式：线下</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课程类别：专业发展课程</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课程性质：必修</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2.5</w:t>
      </w:r>
    </w:p>
    <w:p w:rsidR="00854B2C" w:rsidRDefault="00854B2C" w:rsidP="00854B2C">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40</w:t>
      </w:r>
      <w:r>
        <w:rPr>
          <w:rFonts w:ascii="仿宋_GB2312" w:hAnsi="仿宋_GB2312" w:cs="仿宋_GB2312" w:hint="eastAsia"/>
          <w:bCs/>
          <w:sz w:val="28"/>
          <w:szCs w:val="28"/>
        </w:rPr>
        <w:t>学时</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适用对象：</w:t>
      </w:r>
      <w:r w:rsidRPr="00854B2C">
        <w:rPr>
          <w:rFonts w:ascii="仿宋_GB2312" w:hAnsi="仿宋_GB2312" w:cs="仿宋_GB2312" w:hint="eastAsia"/>
          <w:bCs/>
          <w:sz w:val="28"/>
          <w:szCs w:val="28"/>
        </w:rPr>
        <w:t>工程造价专业</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先修课程：</w:t>
      </w:r>
      <w:r w:rsidRPr="00854B2C">
        <w:rPr>
          <w:rFonts w:ascii="仿宋_GB2312" w:hAnsi="仿宋_GB2312" w:cs="仿宋_GB2312" w:hint="eastAsia"/>
          <w:bCs/>
          <w:sz w:val="28"/>
          <w:szCs w:val="28"/>
        </w:rPr>
        <w:t>管理学、土木工程施工与组织、工程结构</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开课院系：建筑工程学院</w:t>
      </w:r>
      <w:r w:rsidRPr="00854B2C">
        <w:rPr>
          <w:rFonts w:ascii="仿宋_GB2312" w:hAnsi="仿宋_GB2312" w:cs="仿宋_GB2312" w:hint="eastAsia"/>
          <w:bCs/>
          <w:sz w:val="28"/>
          <w:szCs w:val="28"/>
        </w:rPr>
        <w:t>建工学院造价与施工教研室</w:t>
      </w:r>
    </w:p>
    <w:p w:rsidR="00854B2C" w:rsidRDefault="00854B2C" w:rsidP="00854B2C">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二、课程简介</w:t>
      </w:r>
    </w:p>
    <w:p w:rsidR="00CA5AE3" w:rsidRPr="00854B2C" w:rsidRDefault="00CA5AE3" w:rsidP="00854B2C">
      <w:pPr>
        <w:spacing w:line="360" w:lineRule="auto"/>
        <w:rPr>
          <w:rFonts w:ascii="仿宋_GB2312" w:hAnsi="仿宋_GB2312" w:cs="仿宋_GB2312"/>
          <w:bCs/>
          <w:sz w:val="28"/>
          <w:szCs w:val="28"/>
        </w:rPr>
      </w:pPr>
      <w:bookmarkStart w:id="31" w:name="_Toc466189659"/>
      <w:bookmarkStart w:id="32" w:name="_Toc455429322"/>
      <w:bookmarkStart w:id="33" w:name="_Toc466189249"/>
      <w:bookmarkStart w:id="34" w:name="_Toc466188450"/>
      <w:r w:rsidRPr="00854B2C">
        <w:rPr>
          <w:rFonts w:ascii="仿宋_GB2312" w:hAnsi="仿宋_GB2312" w:cs="仿宋_GB2312"/>
          <w:bCs/>
          <w:sz w:val="28"/>
          <w:szCs w:val="28"/>
        </w:rPr>
        <w:t>课程教学目标</w:t>
      </w:r>
      <w:bookmarkEnd w:id="31"/>
      <w:bookmarkEnd w:id="32"/>
      <w:bookmarkEnd w:id="33"/>
      <w:bookmarkEnd w:id="34"/>
    </w:p>
    <w:p w:rsidR="00CA5AE3" w:rsidRPr="00854B2C" w:rsidRDefault="00CA5AE3"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t>本课程是面向工程</w:t>
      </w:r>
      <w:r w:rsidRPr="00854B2C">
        <w:rPr>
          <w:rFonts w:ascii="仿宋_GB2312" w:hAnsi="仿宋_GB2312" w:cs="仿宋_GB2312" w:hint="eastAsia"/>
          <w:bCs/>
          <w:sz w:val="28"/>
          <w:szCs w:val="28"/>
        </w:rPr>
        <w:t>造价</w:t>
      </w:r>
      <w:r w:rsidRPr="00854B2C">
        <w:rPr>
          <w:rFonts w:ascii="仿宋_GB2312" w:hAnsi="仿宋_GB2312" w:cs="仿宋_GB2312"/>
          <w:bCs/>
          <w:sz w:val="28"/>
          <w:szCs w:val="28"/>
        </w:rPr>
        <w:t>专业开设的专业</w:t>
      </w:r>
      <w:r w:rsidRPr="00854B2C">
        <w:rPr>
          <w:rFonts w:ascii="仿宋_GB2312" w:hAnsi="仿宋_GB2312" w:cs="仿宋_GB2312" w:hint="eastAsia"/>
          <w:bCs/>
          <w:sz w:val="28"/>
          <w:szCs w:val="28"/>
        </w:rPr>
        <w:t>发展</w:t>
      </w:r>
      <w:r w:rsidRPr="00854B2C">
        <w:rPr>
          <w:rFonts w:ascii="仿宋_GB2312" w:hAnsi="仿宋_GB2312" w:cs="仿宋_GB2312"/>
          <w:bCs/>
          <w:sz w:val="28"/>
          <w:szCs w:val="28"/>
        </w:rPr>
        <w:t>课程，</w:t>
      </w:r>
      <w:r w:rsidRPr="00854B2C">
        <w:rPr>
          <w:rFonts w:ascii="仿宋_GB2312" w:hAnsi="仿宋_GB2312" w:cs="仿宋_GB2312" w:hint="eastAsia"/>
          <w:bCs/>
          <w:sz w:val="28"/>
          <w:szCs w:val="28"/>
        </w:rPr>
        <w:t>是工程造价专业的必</w:t>
      </w:r>
      <w:r w:rsidRPr="00854B2C">
        <w:rPr>
          <w:rFonts w:ascii="仿宋_GB2312" w:hAnsi="仿宋_GB2312" w:cs="仿宋_GB2312"/>
          <w:bCs/>
          <w:sz w:val="28"/>
          <w:szCs w:val="28"/>
        </w:rPr>
        <w:t>修课，旨在通过理论教学，使学生掌握</w:t>
      </w:r>
      <w:r w:rsidRPr="00854B2C">
        <w:rPr>
          <w:rFonts w:ascii="仿宋_GB2312" w:hAnsi="仿宋_GB2312" w:cs="仿宋_GB2312" w:hint="eastAsia"/>
          <w:bCs/>
          <w:sz w:val="28"/>
          <w:szCs w:val="28"/>
        </w:rPr>
        <w:t>工程项目管理</w:t>
      </w:r>
      <w:r w:rsidRPr="00854B2C">
        <w:rPr>
          <w:rFonts w:ascii="仿宋_GB2312" w:hAnsi="仿宋_GB2312" w:cs="仿宋_GB2312"/>
          <w:bCs/>
          <w:sz w:val="28"/>
          <w:szCs w:val="28"/>
        </w:rPr>
        <w:t>的基础知识、</w:t>
      </w:r>
      <w:r w:rsidRPr="00854B2C">
        <w:rPr>
          <w:rFonts w:ascii="仿宋_GB2312" w:hAnsi="仿宋_GB2312" w:cs="仿宋_GB2312" w:hint="eastAsia"/>
          <w:bCs/>
          <w:sz w:val="28"/>
          <w:szCs w:val="28"/>
        </w:rPr>
        <w:t>工程项目运行中的规划和实施方案和控制方法，</w:t>
      </w:r>
      <w:r w:rsidRPr="00854B2C">
        <w:rPr>
          <w:rFonts w:ascii="仿宋_GB2312" w:hAnsi="仿宋_GB2312" w:cs="仿宋_GB2312"/>
          <w:bCs/>
          <w:sz w:val="28"/>
          <w:szCs w:val="28"/>
        </w:rPr>
        <w:t>如何使用新兴的</w:t>
      </w:r>
      <w:r w:rsidRPr="00854B2C">
        <w:rPr>
          <w:rFonts w:ascii="仿宋_GB2312" w:hAnsi="仿宋_GB2312" w:cs="仿宋_GB2312" w:hint="eastAsia"/>
          <w:bCs/>
          <w:sz w:val="28"/>
          <w:szCs w:val="28"/>
        </w:rPr>
        <w:t>工程项目管理</w:t>
      </w:r>
      <w:r w:rsidRPr="00854B2C">
        <w:rPr>
          <w:rFonts w:ascii="仿宋_GB2312" w:hAnsi="仿宋_GB2312" w:cs="仿宋_GB2312"/>
          <w:bCs/>
          <w:sz w:val="28"/>
          <w:szCs w:val="28"/>
        </w:rPr>
        <w:t>技术，提高</w:t>
      </w:r>
      <w:r w:rsidRPr="00854B2C">
        <w:rPr>
          <w:rFonts w:ascii="仿宋_GB2312" w:hAnsi="仿宋_GB2312" w:cs="仿宋_GB2312" w:hint="eastAsia"/>
          <w:bCs/>
          <w:sz w:val="28"/>
          <w:szCs w:val="28"/>
        </w:rPr>
        <w:t>工程项目管理水平</w:t>
      </w:r>
      <w:r w:rsidRPr="00854B2C">
        <w:rPr>
          <w:rFonts w:ascii="仿宋_GB2312" w:hAnsi="仿宋_GB2312" w:cs="仿宋_GB2312"/>
          <w:bCs/>
          <w:sz w:val="28"/>
          <w:szCs w:val="28"/>
        </w:rPr>
        <w:t>，保障整个建筑全寿命期内的高效运作</w:t>
      </w:r>
      <w:r w:rsidRPr="00854B2C">
        <w:rPr>
          <w:rFonts w:ascii="仿宋_GB2312" w:hAnsi="仿宋_GB2312" w:cs="仿宋_GB2312" w:hint="eastAsia"/>
          <w:bCs/>
          <w:sz w:val="28"/>
          <w:szCs w:val="28"/>
        </w:rPr>
        <w:t>和投资收益最大化，同时</w:t>
      </w:r>
      <w:r w:rsidRPr="00854B2C">
        <w:rPr>
          <w:rFonts w:ascii="仿宋_GB2312" w:hAnsi="仿宋_GB2312" w:cs="仿宋_GB2312"/>
          <w:bCs/>
          <w:sz w:val="28"/>
          <w:szCs w:val="28"/>
        </w:rPr>
        <w:t>具备</w:t>
      </w:r>
      <w:r w:rsidRPr="00854B2C">
        <w:rPr>
          <w:rFonts w:ascii="仿宋_GB2312" w:hAnsi="仿宋_GB2312" w:cs="仿宋_GB2312" w:hint="eastAsia"/>
          <w:bCs/>
          <w:sz w:val="28"/>
          <w:szCs w:val="28"/>
        </w:rPr>
        <w:t>开展工程项目全寿命期各阶段的工程科学管理的</w:t>
      </w:r>
      <w:r w:rsidRPr="00854B2C">
        <w:rPr>
          <w:rFonts w:ascii="仿宋_GB2312" w:hAnsi="仿宋_GB2312" w:cs="仿宋_GB2312"/>
          <w:bCs/>
          <w:sz w:val="28"/>
          <w:szCs w:val="28"/>
        </w:rPr>
        <w:t>初步能力；培养学生具备建筑行业道德和强烈</w:t>
      </w:r>
      <w:r w:rsidRPr="00854B2C">
        <w:rPr>
          <w:rFonts w:ascii="仿宋_GB2312" w:hAnsi="仿宋_GB2312" w:cs="仿宋_GB2312"/>
          <w:bCs/>
          <w:sz w:val="28"/>
          <w:szCs w:val="28"/>
        </w:rPr>
        <w:lastRenderedPageBreak/>
        <w:t>的社会责任感，能够在工程实践中理解并遵守工程职业道德和规范，履行</w:t>
      </w:r>
      <w:r w:rsidRPr="00854B2C">
        <w:rPr>
          <w:rFonts w:ascii="仿宋_GB2312" w:hAnsi="仿宋_GB2312" w:cs="仿宋_GB2312" w:hint="eastAsia"/>
          <w:bCs/>
          <w:sz w:val="28"/>
          <w:szCs w:val="28"/>
        </w:rPr>
        <w:t>社会</w:t>
      </w:r>
      <w:r w:rsidRPr="00854B2C">
        <w:rPr>
          <w:rFonts w:ascii="仿宋_GB2312" w:hAnsi="仿宋_GB2312" w:cs="仿宋_GB2312"/>
          <w:bCs/>
          <w:sz w:val="28"/>
          <w:szCs w:val="28"/>
        </w:rPr>
        <w:t>责任。</w:t>
      </w:r>
      <w:r w:rsidRPr="00854B2C">
        <w:rPr>
          <w:rFonts w:ascii="仿宋_GB2312" w:hAnsi="仿宋_GB2312" w:cs="仿宋_GB2312" w:hint="eastAsia"/>
          <w:bCs/>
          <w:sz w:val="28"/>
          <w:szCs w:val="28"/>
        </w:rPr>
        <w:t>最终使学生能对工程项目形成一种系统的、全面的、整体优化的管理理念，掌握常用的项目管理方法和技术，成为既懂技术又会管理的高级复合型人才。</w:t>
      </w:r>
    </w:p>
    <w:p w:rsidR="00CA5AE3" w:rsidRPr="00854B2C" w:rsidRDefault="00CA5AE3"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3770"/>
        <w:gridCol w:w="884"/>
        <w:gridCol w:w="3071"/>
      </w:tblGrid>
      <w:tr w:rsidR="00CA5AE3" w:rsidTr="00854B2C">
        <w:trPr>
          <w:trHeight w:val="454"/>
          <w:jc w:val="center"/>
        </w:trPr>
        <w:tc>
          <w:tcPr>
            <w:tcW w:w="344" w:type="pct"/>
            <w:vMerge w:val="restar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序号</w:t>
            </w:r>
          </w:p>
        </w:tc>
        <w:tc>
          <w:tcPr>
            <w:tcW w:w="2272" w:type="pct"/>
            <w:vMerge w:val="restart"/>
            <w:tcBorders>
              <w:top w:val="single" w:sz="4" w:space="0" w:color="000000"/>
              <w:left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课程教学目标</w:t>
            </w:r>
          </w:p>
        </w:tc>
        <w:tc>
          <w:tcPr>
            <w:tcW w:w="2385" w:type="pct"/>
            <w:gridSpan w:val="2"/>
            <w:tcBorders>
              <w:top w:val="single" w:sz="4" w:space="0" w:color="000000"/>
              <w:left w:val="single" w:sz="4" w:space="0" w:color="000000"/>
              <w:bottom w:val="single" w:sz="4" w:space="0" w:color="auto"/>
              <w:right w:val="single" w:sz="4" w:space="0" w:color="auto"/>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支撑毕业要求指标点</w:t>
            </w:r>
          </w:p>
        </w:tc>
      </w:tr>
      <w:tr w:rsidR="00CA5AE3" w:rsidTr="00854B2C">
        <w:trPr>
          <w:trHeight w:val="454"/>
          <w:jc w:val="center"/>
        </w:trPr>
        <w:tc>
          <w:tcPr>
            <w:tcW w:w="344" w:type="pct"/>
            <w:vMerge/>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widowControl/>
              <w:spacing w:line="360" w:lineRule="exact"/>
              <w:jc w:val="center"/>
              <w:rPr>
                <w:rFonts w:ascii="仿宋_GB2312" w:hAnsi="仿宋_GB2312" w:cs="仿宋_GB2312"/>
                <w:b/>
                <w:bCs/>
                <w:sz w:val="24"/>
                <w:szCs w:val="24"/>
              </w:rPr>
            </w:pPr>
          </w:p>
        </w:tc>
        <w:tc>
          <w:tcPr>
            <w:tcW w:w="2272" w:type="pct"/>
            <w:vMerge/>
            <w:tcBorders>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
                <w:bCs/>
                <w:sz w:val="24"/>
                <w:szCs w:val="24"/>
              </w:rPr>
            </w:pPr>
          </w:p>
        </w:tc>
        <w:tc>
          <w:tcPr>
            <w:tcW w:w="533" w:type="pct"/>
            <w:tcBorders>
              <w:top w:val="single" w:sz="4" w:space="0" w:color="auto"/>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指标点</w:t>
            </w:r>
          </w:p>
        </w:tc>
        <w:tc>
          <w:tcPr>
            <w:tcW w:w="1852" w:type="pct"/>
            <w:tcBorders>
              <w:top w:val="single" w:sz="4" w:space="0" w:color="auto"/>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指标点内容</w:t>
            </w:r>
          </w:p>
        </w:tc>
      </w:tr>
      <w:tr w:rsidR="00CA5AE3" w:rsidTr="00854B2C">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1</w:t>
            </w:r>
          </w:p>
        </w:tc>
        <w:tc>
          <w:tcPr>
            <w:tcW w:w="2272"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目标1：了解</w:t>
            </w:r>
            <w:r w:rsidRPr="00854B2C">
              <w:rPr>
                <w:rFonts w:ascii="仿宋_GB2312" w:hAnsi="仿宋_GB2312" w:cs="仿宋_GB2312" w:hint="eastAsia"/>
                <w:bCs/>
                <w:sz w:val="24"/>
                <w:szCs w:val="24"/>
              </w:rPr>
              <w:t>工程项目管理</w:t>
            </w:r>
            <w:r w:rsidRPr="00854B2C">
              <w:rPr>
                <w:rFonts w:ascii="仿宋_GB2312" w:hAnsi="仿宋_GB2312" w:cs="仿宋_GB2312"/>
                <w:bCs/>
                <w:sz w:val="24"/>
                <w:szCs w:val="24"/>
              </w:rPr>
              <w:t>背景及必要性，熟悉</w:t>
            </w:r>
            <w:r w:rsidRPr="00854B2C">
              <w:rPr>
                <w:rFonts w:ascii="仿宋_GB2312" w:hAnsi="仿宋_GB2312" w:cs="仿宋_GB2312" w:hint="eastAsia"/>
                <w:bCs/>
                <w:sz w:val="24"/>
                <w:szCs w:val="24"/>
              </w:rPr>
              <w:t>工程项目</w:t>
            </w:r>
            <w:r w:rsidRPr="00854B2C">
              <w:rPr>
                <w:rFonts w:ascii="仿宋_GB2312" w:hAnsi="仿宋_GB2312" w:cs="仿宋_GB2312"/>
                <w:bCs/>
                <w:sz w:val="24"/>
                <w:szCs w:val="24"/>
              </w:rPr>
              <w:t>管理的定义和内容，认识到</w:t>
            </w:r>
            <w:r w:rsidRPr="00854B2C">
              <w:rPr>
                <w:rFonts w:ascii="仿宋_GB2312" w:hAnsi="仿宋_GB2312" w:cs="仿宋_GB2312" w:hint="eastAsia"/>
                <w:bCs/>
                <w:sz w:val="24"/>
                <w:szCs w:val="24"/>
              </w:rPr>
              <w:t>项目管理</w:t>
            </w:r>
            <w:r w:rsidRPr="00854B2C">
              <w:rPr>
                <w:rFonts w:ascii="仿宋_GB2312" w:hAnsi="仿宋_GB2312" w:cs="仿宋_GB2312"/>
                <w:bCs/>
                <w:sz w:val="24"/>
                <w:szCs w:val="24"/>
              </w:rPr>
              <w:t>的市场前景。了解</w:t>
            </w:r>
            <w:r w:rsidRPr="00854B2C">
              <w:rPr>
                <w:rFonts w:ascii="仿宋_GB2312" w:hAnsi="仿宋_GB2312" w:cs="仿宋_GB2312" w:hint="eastAsia"/>
                <w:bCs/>
                <w:sz w:val="24"/>
                <w:szCs w:val="24"/>
              </w:rPr>
              <w:t>工程项目管理</w:t>
            </w:r>
            <w:r w:rsidRPr="00854B2C">
              <w:rPr>
                <w:rFonts w:ascii="仿宋_GB2312" w:hAnsi="仿宋_GB2312" w:cs="仿宋_GB2312"/>
                <w:bCs/>
                <w:sz w:val="24"/>
                <w:szCs w:val="24"/>
              </w:rPr>
              <w:t>案例，增强课程内容的综合认知</w:t>
            </w:r>
            <w:r w:rsidRPr="00854B2C">
              <w:rPr>
                <w:rFonts w:ascii="仿宋_GB2312" w:hAnsi="仿宋_GB2312" w:cs="仿宋_GB2312" w:hint="eastAsia"/>
                <w:bCs/>
                <w:sz w:val="24"/>
                <w:szCs w:val="24"/>
              </w:rPr>
              <w:t>和社会责任感</w:t>
            </w:r>
            <w:r w:rsidRPr="00854B2C">
              <w:rPr>
                <w:rFonts w:ascii="仿宋_GB2312" w:hAnsi="仿宋_GB2312" w:cs="仿宋_GB2312"/>
                <w:bCs/>
                <w:sz w:val="24"/>
                <w:szCs w:val="24"/>
              </w:rPr>
              <w:t>。</w:t>
            </w:r>
          </w:p>
        </w:tc>
        <w:tc>
          <w:tcPr>
            <w:tcW w:w="53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2.1</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具备扎实的</w:t>
            </w:r>
            <w:r w:rsidRPr="00854B2C">
              <w:rPr>
                <w:rFonts w:ascii="仿宋_GB2312" w:hAnsi="仿宋_GB2312" w:cs="仿宋_GB2312"/>
                <w:bCs/>
                <w:sz w:val="24"/>
                <w:szCs w:val="24"/>
              </w:rPr>
              <w:t xml:space="preserve">人文社会科学知识，具有健全的人格和健康体魄，具有良好 </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 xml:space="preserve">的文化修养和道德水准，具备社会责任感，理解并坚守职业道德规范，有意愿并有能力服务社会； </w:t>
            </w:r>
          </w:p>
          <w:p w:rsidR="00CA5AE3" w:rsidRPr="00854B2C" w:rsidRDefault="00CA5AE3" w:rsidP="00E07285">
            <w:pPr>
              <w:spacing w:line="360" w:lineRule="exact"/>
              <w:jc w:val="left"/>
              <w:rPr>
                <w:rFonts w:ascii="仿宋_GB2312" w:hAnsi="仿宋_GB2312" w:cs="仿宋_GB2312"/>
                <w:bCs/>
                <w:sz w:val="24"/>
                <w:szCs w:val="24"/>
              </w:rPr>
            </w:pPr>
          </w:p>
        </w:tc>
      </w:tr>
      <w:tr w:rsidR="00CA5AE3" w:rsidTr="00854B2C">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2272"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目标2：熟悉工程项目管理的基本理论和方法，能对工程项目形成一种系统的、全面的、整体优化的管理理念，掌握常用的项目管理方法和技术，使学生成为既懂技术又懂管理的高级复合型人才。</w:t>
            </w:r>
          </w:p>
          <w:p w:rsidR="00CA5AE3" w:rsidRPr="00854B2C" w:rsidRDefault="00CA5AE3" w:rsidP="00E07285">
            <w:pPr>
              <w:spacing w:line="360" w:lineRule="exact"/>
              <w:jc w:val="left"/>
              <w:rPr>
                <w:rFonts w:ascii="仿宋_GB2312" w:hAnsi="仿宋_GB2312" w:cs="仿宋_GB2312"/>
                <w:bCs/>
                <w:sz w:val="24"/>
                <w:szCs w:val="24"/>
              </w:rPr>
            </w:pPr>
          </w:p>
        </w:tc>
        <w:tc>
          <w:tcPr>
            <w:tcW w:w="53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2.2</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 xml:space="preserve">具备扎实的数学、自然科学知识，掌握从事本专业所需的基础理论知识 </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及专业技术能力，具备注册造价工程师的能力；</w:t>
            </w:r>
          </w:p>
          <w:p w:rsidR="00CA5AE3" w:rsidRPr="00854B2C" w:rsidRDefault="00CA5AE3" w:rsidP="00E07285">
            <w:pPr>
              <w:spacing w:line="360" w:lineRule="exact"/>
              <w:jc w:val="left"/>
              <w:rPr>
                <w:rFonts w:ascii="仿宋_GB2312" w:hAnsi="仿宋_GB2312" w:cs="仿宋_GB2312"/>
                <w:bCs/>
                <w:sz w:val="24"/>
                <w:szCs w:val="24"/>
              </w:rPr>
            </w:pPr>
          </w:p>
        </w:tc>
      </w:tr>
      <w:tr w:rsidR="00CA5AE3" w:rsidTr="00854B2C">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3</w:t>
            </w:r>
          </w:p>
        </w:tc>
        <w:tc>
          <w:tcPr>
            <w:tcW w:w="2272"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目标3：</w:t>
            </w:r>
            <w:r w:rsidRPr="00854B2C">
              <w:rPr>
                <w:rFonts w:ascii="仿宋_GB2312" w:hAnsi="仿宋_GB2312" w:cs="仿宋_GB2312" w:hint="eastAsia"/>
                <w:bCs/>
                <w:sz w:val="24"/>
                <w:szCs w:val="24"/>
              </w:rPr>
              <w:t>树立工程项目全寿命观念，能依据科学发展观和国家相关规定，科学处理工程项目在不同阶段中的目标关系和定位，</w:t>
            </w:r>
            <w:r w:rsidRPr="00854B2C">
              <w:rPr>
                <w:rFonts w:ascii="仿宋_GB2312" w:hAnsi="仿宋_GB2312" w:cs="仿宋_GB2312"/>
                <w:bCs/>
                <w:sz w:val="24"/>
                <w:szCs w:val="24"/>
              </w:rPr>
              <w:t>熟悉</w:t>
            </w:r>
            <w:r w:rsidRPr="00854B2C">
              <w:rPr>
                <w:rFonts w:ascii="仿宋_GB2312" w:hAnsi="仿宋_GB2312" w:cs="仿宋_GB2312" w:hint="eastAsia"/>
                <w:bCs/>
                <w:sz w:val="24"/>
                <w:szCs w:val="24"/>
              </w:rPr>
              <w:t>相关工程项目管理软件的应用，理解并掌握工程项目管理在工程项目中的应用。能够在工程实践中进行有效的沟通和交流，</w:t>
            </w:r>
            <w:r w:rsidRPr="00854B2C">
              <w:rPr>
                <w:rFonts w:ascii="仿宋_GB2312" w:hAnsi="仿宋_GB2312" w:cs="仿宋_GB2312" w:hint="eastAsia"/>
                <w:bCs/>
                <w:sz w:val="24"/>
                <w:szCs w:val="24"/>
              </w:rPr>
              <w:lastRenderedPageBreak/>
              <w:t>并在工程项目管理中具备一定的国际视野。</w:t>
            </w:r>
          </w:p>
        </w:tc>
        <w:tc>
          <w:tcPr>
            <w:tcW w:w="53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lastRenderedPageBreak/>
              <w:t>2.4</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能在土木工程领域或相关行业从事工程可行性研究、工程招投标、工程</w:t>
            </w:r>
            <w:r w:rsidRPr="00854B2C">
              <w:rPr>
                <w:rFonts w:ascii="仿宋_GB2312" w:hAnsi="仿宋_GB2312" w:cs="仿宋_GB2312"/>
                <w:bCs/>
                <w:sz w:val="24"/>
                <w:szCs w:val="24"/>
              </w:rPr>
              <w:t>量计算和估价、工程项目管理、成本控制、工程项目审计等项目全寿命周期内的 造价管理与控制工作；</w:t>
            </w:r>
          </w:p>
          <w:p w:rsidR="00CA5AE3" w:rsidRPr="00854B2C" w:rsidRDefault="00CA5AE3" w:rsidP="00E07285">
            <w:pPr>
              <w:spacing w:line="360" w:lineRule="exact"/>
              <w:jc w:val="left"/>
              <w:rPr>
                <w:rFonts w:ascii="仿宋_GB2312" w:hAnsi="仿宋_GB2312" w:cs="仿宋_GB2312"/>
                <w:bCs/>
                <w:sz w:val="24"/>
                <w:szCs w:val="24"/>
              </w:rPr>
            </w:pPr>
          </w:p>
        </w:tc>
      </w:tr>
    </w:tbl>
    <w:p w:rsidR="00854B2C" w:rsidRDefault="00854B2C" w:rsidP="00854B2C">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lastRenderedPageBreak/>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3"/>
        <w:gridCol w:w="2149"/>
        <w:gridCol w:w="954"/>
        <w:gridCol w:w="596"/>
        <w:gridCol w:w="926"/>
      </w:tblGrid>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序号</w:t>
            </w:r>
          </w:p>
        </w:tc>
        <w:tc>
          <w:tcPr>
            <w:tcW w:w="1870" w:type="pct"/>
            <w:tcBorders>
              <w:top w:val="single" w:sz="4" w:space="0" w:color="000000"/>
              <w:left w:val="single" w:sz="4" w:space="0" w:color="000000"/>
              <w:right w:val="single" w:sz="4" w:space="0" w:color="auto"/>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教学内容及重点、难点</w:t>
            </w:r>
          </w:p>
        </w:tc>
        <w:tc>
          <w:tcPr>
            <w:tcW w:w="1295" w:type="pct"/>
            <w:tcBorders>
              <w:top w:val="single" w:sz="4" w:space="0" w:color="000000"/>
              <w:left w:val="single" w:sz="4" w:space="0" w:color="auto"/>
              <w:right w:val="single" w:sz="4" w:space="0" w:color="auto"/>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支撑课程教学目标</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1</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内容：第一章</w:t>
            </w:r>
            <w:r w:rsidRPr="00854B2C">
              <w:rPr>
                <w:rFonts w:ascii="仿宋_GB2312" w:hAnsi="仿宋_GB2312" w:cs="仿宋_GB2312" w:hint="eastAsia"/>
                <w:bCs/>
                <w:sz w:val="24"/>
                <w:szCs w:val="24"/>
              </w:rPr>
              <w:t xml:space="preserve"> </w:t>
            </w:r>
            <w:r w:rsidRPr="00854B2C">
              <w:rPr>
                <w:rFonts w:ascii="仿宋_GB2312" w:hAnsi="仿宋_GB2312" w:cs="仿宋_GB2312"/>
                <w:bCs/>
                <w:sz w:val="24"/>
                <w:szCs w:val="24"/>
              </w:rPr>
              <w:t>概述</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w:t>
            </w:r>
            <w:r w:rsidRPr="00854B2C">
              <w:rPr>
                <w:rFonts w:ascii="仿宋_GB2312" w:hAnsi="仿宋_GB2312" w:cs="仿宋_GB2312" w:hint="eastAsia"/>
                <w:bCs/>
                <w:sz w:val="24"/>
                <w:szCs w:val="24"/>
              </w:rPr>
              <w:t>工程项目和项目管理基本概念、特点、分类，工程项目管理的</w:t>
            </w:r>
            <w:r w:rsidRPr="00854B2C">
              <w:rPr>
                <w:rFonts w:ascii="仿宋_GB2312" w:hAnsi="仿宋_GB2312" w:cs="仿宋_GB2312"/>
                <w:bCs/>
                <w:sz w:val="24"/>
                <w:szCs w:val="24"/>
              </w:rPr>
              <w:t>背景及必要性</w:t>
            </w:r>
            <w:r w:rsidRPr="00854B2C">
              <w:rPr>
                <w:rFonts w:ascii="仿宋_GB2312" w:hAnsi="仿宋_GB2312" w:cs="仿宋_GB2312" w:hint="eastAsia"/>
                <w:bCs/>
                <w:sz w:val="24"/>
                <w:szCs w:val="24"/>
              </w:rPr>
              <w:t>，工程项目管理理论发展。</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w:t>
            </w:r>
            <w:r w:rsidRPr="00854B2C">
              <w:rPr>
                <w:rFonts w:ascii="仿宋_GB2312" w:hAnsi="仿宋_GB2312" w:cs="仿宋_GB2312" w:hint="eastAsia"/>
                <w:bCs/>
                <w:sz w:val="24"/>
                <w:szCs w:val="24"/>
              </w:rPr>
              <w:t>工程项目生命周期，</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5F6318">
            <w:pPr>
              <w:numPr>
                <w:ilvl w:val="0"/>
                <w:numId w:val="76"/>
              </w:num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了解基本概念和名词、树立起工程项目管理的系统思想。</w:t>
            </w:r>
          </w:p>
          <w:p w:rsidR="00CA5AE3" w:rsidRPr="00854B2C" w:rsidRDefault="00CA5AE3" w:rsidP="005F6318">
            <w:pPr>
              <w:numPr>
                <w:ilvl w:val="0"/>
                <w:numId w:val="76"/>
              </w:num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了解工程项目管理的理论发展，增强社会责任感。</w:t>
            </w:r>
          </w:p>
          <w:p w:rsidR="00CA5AE3" w:rsidRPr="00854B2C" w:rsidRDefault="00CA5AE3" w:rsidP="00E07285">
            <w:pPr>
              <w:spacing w:line="360" w:lineRule="exact"/>
              <w:jc w:val="left"/>
              <w:rPr>
                <w:rFonts w:ascii="仿宋_GB2312" w:hAnsi="仿宋_GB2312" w:cs="仿宋_GB2312"/>
                <w:bCs/>
                <w:sz w:val="24"/>
                <w:szCs w:val="24"/>
              </w:rPr>
            </w:pP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目标1</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内容：第二章</w:t>
            </w:r>
            <w:r w:rsidRPr="00854B2C">
              <w:rPr>
                <w:rFonts w:ascii="仿宋_GB2312" w:hAnsi="仿宋_GB2312" w:cs="仿宋_GB2312" w:hint="eastAsia"/>
                <w:bCs/>
                <w:sz w:val="24"/>
                <w:szCs w:val="24"/>
              </w:rPr>
              <w:t xml:space="preserve"> 项目管理的组织理论</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w:t>
            </w:r>
            <w:r w:rsidRPr="00854B2C">
              <w:rPr>
                <w:rFonts w:ascii="仿宋_GB2312" w:hAnsi="仿宋_GB2312" w:cs="仿宋_GB2312" w:hint="eastAsia"/>
                <w:bCs/>
                <w:sz w:val="24"/>
                <w:szCs w:val="24"/>
              </w:rPr>
              <w:t>组织的基本模式、组织分工、工程项目结构、工程项目管理规划与工程项目组织设计，项目经理部</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w:t>
            </w:r>
            <w:r w:rsidRPr="00854B2C">
              <w:rPr>
                <w:rFonts w:ascii="仿宋_GB2312" w:hAnsi="仿宋_GB2312" w:cs="仿宋_GB2312" w:hint="eastAsia"/>
                <w:bCs/>
                <w:sz w:val="24"/>
                <w:szCs w:val="24"/>
              </w:rPr>
              <w:t>WBS工作分解</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5F6318">
            <w:pPr>
              <w:numPr>
                <w:ilvl w:val="0"/>
                <w:numId w:val="77"/>
              </w:num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工程项目组织的特点，组织的基本原侧，组织的形式，工程项目管理主体间的相互关系。</w:t>
            </w:r>
          </w:p>
          <w:p w:rsidR="00CA5AE3" w:rsidRPr="00854B2C" w:rsidRDefault="00CA5AE3" w:rsidP="005F6318">
            <w:pPr>
              <w:numPr>
                <w:ilvl w:val="0"/>
                <w:numId w:val="77"/>
              </w:num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了解组织特点和使用条件，熟悉项目经理部的组织职能和对合格的项目经理的要求。</w:t>
            </w:r>
          </w:p>
          <w:p w:rsidR="00CA5AE3" w:rsidRPr="00854B2C" w:rsidRDefault="00CA5AE3" w:rsidP="00E07285">
            <w:pPr>
              <w:spacing w:line="360" w:lineRule="exact"/>
              <w:jc w:val="left"/>
              <w:rPr>
                <w:rFonts w:ascii="仿宋_GB2312" w:hAnsi="仿宋_GB2312" w:cs="仿宋_GB2312"/>
                <w:bCs/>
                <w:sz w:val="24"/>
                <w:szCs w:val="24"/>
              </w:rPr>
            </w:pP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课堂授课</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互动讨论</w:t>
            </w:r>
          </w:p>
          <w:p w:rsidR="00CA5AE3" w:rsidRPr="00854B2C" w:rsidRDefault="00CA5AE3" w:rsidP="00E07285">
            <w:pPr>
              <w:spacing w:line="360" w:lineRule="exact"/>
              <w:jc w:val="left"/>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目标2</w:t>
            </w:r>
            <w:r w:rsidRPr="00854B2C">
              <w:rPr>
                <w:rFonts w:ascii="仿宋_GB2312" w:hAnsi="仿宋_GB2312" w:cs="仿宋_GB2312" w:hint="eastAsia"/>
                <w:bCs/>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内容：第三章</w:t>
            </w:r>
            <w:r w:rsidRPr="00854B2C">
              <w:rPr>
                <w:rFonts w:ascii="仿宋_GB2312" w:hAnsi="仿宋_GB2312" w:cs="仿宋_GB2312" w:hint="eastAsia"/>
                <w:bCs/>
                <w:sz w:val="24"/>
                <w:szCs w:val="24"/>
              </w:rPr>
              <w:t xml:space="preserve"> 工程项目策划</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w:t>
            </w:r>
            <w:r w:rsidRPr="00854B2C">
              <w:rPr>
                <w:rFonts w:ascii="仿宋_GB2312" w:hAnsi="仿宋_GB2312" w:cs="仿宋_GB2312" w:hint="eastAsia"/>
                <w:bCs/>
                <w:sz w:val="24"/>
                <w:szCs w:val="24"/>
              </w:rPr>
              <w:t>工程项目策划的基本概念，方法、理念、目标。工程项目前期策划的工作，项目的构思，项目的目标设计，项目定义，策划中的问题，策划方案决策。</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w:t>
            </w:r>
            <w:r w:rsidRPr="00854B2C">
              <w:rPr>
                <w:rFonts w:ascii="仿宋_GB2312" w:hAnsi="仿宋_GB2312" w:cs="仿宋_GB2312" w:hint="eastAsia"/>
                <w:bCs/>
                <w:sz w:val="24"/>
                <w:szCs w:val="24"/>
              </w:rPr>
              <w:t>策划实施</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w:t>
            </w:r>
            <w:r w:rsidRPr="00854B2C">
              <w:rPr>
                <w:rFonts w:ascii="仿宋_GB2312" w:hAnsi="仿宋_GB2312" w:cs="仿宋_GB2312" w:hint="eastAsia"/>
                <w:bCs/>
                <w:sz w:val="24"/>
                <w:szCs w:val="24"/>
              </w:rPr>
              <w:t>通过对策划理论的学习，建立起正确的策划对项目的增值的意义。</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课堂授课</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案例</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互动讨论</w:t>
            </w:r>
          </w:p>
          <w:p w:rsidR="00CA5AE3" w:rsidRPr="00854B2C" w:rsidRDefault="00CA5AE3" w:rsidP="00E07285">
            <w:pPr>
              <w:spacing w:line="360" w:lineRule="exact"/>
              <w:jc w:val="left"/>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目标2</w:t>
            </w:r>
            <w:r w:rsidRPr="00854B2C">
              <w:rPr>
                <w:rFonts w:ascii="仿宋_GB2312" w:hAnsi="仿宋_GB2312" w:cs="仿宋_GB2312" w:hint="eastAsia"/>
                <w:bCs/>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lastRenderedPageBreak/>
              <w:t>4</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w:t>
            </w:r>
            <w:r w:rsidRPr="00854B2C">
              <w:rPr>
                <w:rFonts w:ascii="仿宋_GB2312" w:hAnsi="仿宋_GB2312" w:cs="仿宋_GB2312" w:hint="eastAsia"/>
                <w:bCs/>
                <w:sz w:val="24"/>
                <w:szCs w:val="24"/>
              </w:rPr>
              <w:t>第四章工程项目目标管理</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重点：目标控制概念、动态控制原理、控制措施</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1.了解目标控制的基本方法。能在工程应用中加强主动管理。</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 熟悉动态控制原理及在工程中的灵活应用。</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3.熟悉纠偏措施，能够寻求纠正工程目标运行中偏差的有效途径和实施方案。</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课堂授课</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随堂测验</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目标2</w:t>
            </w:r>
            <w:r w:rsidRPr="00854B2C">
              <w:rPr>
                <w:rFonts w:ascii="仿宋_GB2312" w:hAnsi="仿宋_GB2312" w:cs="仿宋_GB2312" w:hint="eastAsia"/>
                <w:bCs/>
                <w:sz w:val="24"/>
                <w:szCs w:val="24"/>
              </w:rPr>
              <w:t>、3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5</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内容：第五章</w:t>
            </w:r>
            <w:r w:rsidRPr="00854B2C">
              <w:rPr>
                <w:rFonts w:ascii="仿宋_GB2312" w:hAnsi="仿宋_GB2312" w:cs="仿宋_GB2312" w:hint="eastAsia"/>
                <w:bCs/>
                <w:sz w:val="24"/>
                <w:szCs w:val="24"/>
              </w:rPr>
              <w:t>工程项目采购管理</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w:t>
            </w:r>
            <w:r w:rsidRPr="00854B2C">
              <w:rPr>
                <w:rFonts w:ascii="仿宋_GB2312" w:hAnsi="仿宋_GB2312" w:cs="仿宋_GB2312" w:hint="eastAsia"/>
                <w:bCs/>
                <w:sz w:val="24"/>
                <w:szCs w:val="24"/>
              </w:rPr>
              <w:t>采购的基本原则、工程项目承发包的基本模式，工程项目采购的发展趋势。</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w:t>
            </w:r>
            <w:r w:rsidRPr="00854B2C">
              <w:rPr>
                <w:rFonts w:ascii="仿宋_GB2312" w:hAnsi="仿宋_GB2312" w:cs="仿宋_GB2312" w:hint="eastAsia"/>
                <w:bCs/>
                <w:sz w:val="24"/>
                <w:szCs w:val="24"/>
              </w:rPr>
              <w:t>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1.了解采购模式的基本原则和主要内容主要内容。</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 熟悉工程项目采购的基本模式和不同模式的差异和特点。能正确的根据工程项目的条件和管理目标合理确定项目承发包模式。</w:t>
            </w:r>
          </w:p>
          <w:p w:rsidR="00CA5AE3" w:rsidRPr="00854B2C" w:rsidRDefault="00CA5AE3" w:rsidP="00E07285">
            <w:pPr>
              <w:spacing w:line="360" w:lineRule="exact"/>
              <w:jc w:val="left"/>
              <w:rPr>
                <w:rFonts w:ascii="仿宋_GB2312" w:hAnsi="仿宋_GB2312" w:cs="仿宋_GB2312"/>
                <w:bCs/>
                <w:sz w:val="24"/>
                <w:szCs w:val="24"/>
              </w:rPr>
            </w:pP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6</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内容：第六章</w:t>
            </w:r>
            <w:r w:rsidRPr="00854B2C">
              <w:rPr>
                <w:rFonts w:ascii="仿宋_GB2312" w:hAnsi="仿宋_GB2312" w:cs="仿宋_GB2312" w:hint="eastAsia"/>
                <w:bCs/>
                <w:sz w:val="24"/>
                <w:szCs w:val="24"/>
              </w:rPr>
              <w:t xml:space="preserve"> 工程项目投资控制</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w:t>
            </w:r>
            <w:r w:rsidRPr="00854B2C">
              <w:rPr>
                <w:rFonts w:ascii="仿宋_GB2312" w:hAnsi="仿宋_GB2312" w:cs="仿宋_GB2312" w:hint="eastAsia"/>
                <w:bCs/>
                <w:sz w:val="24"/>
                <w:szCs w:val="24"/>
              </w:rPr>
              <w:t>投资控制的含义和目的、设计阶段投资控制的意义和技术方法、招标采购中的投资控制、工程项目投资规划</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1.了解投资控制的含义</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 理解设计阶段是投资控制的关节环节</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3.熟悉投资规划编制的内容。</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4.掌握招投采购中的投资控制方法。</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课堂授课</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随堂测验</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7</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内容：第七章</w:t>
            </w:r>
            <w:r w:rsidRPr="00854B2C">
              <w:rPr>
                <w:rFonts w:ascii="仿宋_GB2312" w:hAnsi="仿宋_GB2312" w:cs="仿宋_GB2312" w:hint="eastAsia"/>
                <w:bCs/>
                <w:sz w:val="24"/>
                <w:szCs w:val="24"/>
              </w:rPr>
              <w:t xml:space="preserve"> 工程项目进度</w:t>
            </w:r>
            <w:r w:rsidRPr="00854B2C">
              <w:rPr>
                <w:rFonts w:ascii="仿宋_GB2312" w:hAnsi="仿宋_GB2312" w:cs="仿宋_GB2312"/>
                <w:bCs/>
                <w:sz w:val="24"/>
                <w:szCs w:val="24"/>
              </w:rPr>
              <w:t>管理</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w:t>
            </w:r>
            <w:r w:rsidRPr="00854B2C">
              <w:rPr>
                <w:rFonts w:ascii="仿宋_GB2312" w:hAnsi="仿宋_GB2312" w:cs="仿宋_GB2312" w:hint="eastAsia"/>
                <w:bCs/>
                <w:sz w:val="24"/>
                <w:szCs w:val="24"/>
              </w:rPr>
              <w:t>工程项目进度计划的编制、工程项目进度计划的检查与调整、工程项目进度</w:t>
            </w:r>
            <w:r w:rsidRPr="00854B2C">
              <w:rPr>
                <w:rFonts w:ascii="仿宋_GB2312" w:hAnsi="仿宋_GB2312" w:cs="仿宋_GB2312" w:hint="eastAsia"/>
                <w:bCs/>
                <w:sz w:val="24"/>
                <w:szCs w:val="24"/>
              </w:rPr>
              <w:lastRenderedPageBreak/>
              <w:t>控制。</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w:t>
            </w:r>
            <w:r w:rsidRPr="00854B2C">
              <w:rPr>
                <w:rFonts w:ascii="仿宋_GB2312" w:hAnsi="仿宋_GB2312" w:cs="仿宋_GB2312" w:hint="eastAsia"/>
                <w:bCs/>
                <w:sz w:val="24"/>
                <w:szCs w:val="24"/>
              </w:rPr>
              <w:t>进度检查与调整方法</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lastRenderedPageBreak/>
              <w:t>1.了解工程项目运行中不同阶段进度管理的内容。</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 熟悉进度计划编制的方法与工程</w:t>
            </w:r>
            <w:r w:rsidRPr="00854B2C">
              <w:rPr>
                <w:rFonts w:ascii="仿宋_GB2312" w:hAnsi="仿宋_GB2312" w:cs="仿宋_GB2312" w:hint="eastAsia"/>
                <w:bCs/>
                <w:sz w:val="24"/>
                <w:szCs w:val="24"/>
              </w:rPr>
              <w:lastRenderedPageBreak/>
              <w:t>实施中的检查方法理解基于物联网和大数据的实时全过程管理。</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3.掌握进度计划的调整方法。</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lastRenderedPageBreak/>
              <w:t>课堂授课</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随堂测验</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8</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ind w:left="720" w:hangingChars="300" w:hanging="720"/>
              <w:jc w:val="left"/>
              <w:rPr>
                <w:rFonts w:ascii="仿宋_GB2312" w:hAnsi="仿宋_GB2312" w:cs="仿宋_GB2312"/>
                <w:bCs/>
                <w:sz w:val="24"/>
                <w:szCs w:val="24"/>
              </w:rPr>
            </w:pPr>
            <w:r w:rsidRPr="00854B2C">
              <w:rPr>
                <w:rFonts w:ascii="仿宋_GB2312" w:hAnsi="仿宋_GB2312" w:cs="仿宋_GB2312"/>
                <w:bCs/>
                <w:sz w:val="24"/>
                <w:szCs w:val="24"/>
              </w:rPr>
              <w:t>内容：第八章</w:t>
            </w:r>
            <w:r w:rsidRPr="00854B2C">
              <w:rPr>
                <w:rFonts w:ascii="仿宋_GB2312" w:hAnsi="仿宋_GB2312" w:cs="仿宋_GB2312" w:hint="eastAsia"/>
                <w:bCs/>
                <w:sz w:val="24"/>
                <w:szCs w:val="24"/>
              </w:rPr>
              <w:t>工程项目质量和安全管理</w:t>
            </w:r>
          </w:p>
          <w:p w:rsidR="00CA5AE3" w:rsidRPr="00854B2C" w:rsidRDefault="00CA5AE3" w:rsidP="00E07285">
            <w:pPr>
              <w:spacing w:line="360" w:lineRule="exact"/>
              <w:ind w:left="720" w:hangingChars="300" w:hanging="720"/>
              <w:jc w:val="left"/>
              <w:rPr>
                <w:rFonts w:ascii="仿宋_GB2312" w:hAnsi="仿宋_GB2312" w:cs="仿宋_GB2312"/>
                <w:bCs/>
                <w:sz w:val="24"/>
                <w:szCs w:val="24"/>
              </w:rPr>
            </w:pPr>
            <w:r w:rsidRPr="00854B2C">
              <w:rPr>
                <w:rFonts w:ascii="仿宋_GB2312" w:hAnsi="仿宋_GB2312" w:cs="仿宋_GB2312" w:hint="eastAsia"/>
                <w:bCs/>
                <w:sz w:val="24"/>
                <w:szCs w:val="24"/>
              </w:rPr>
              <w:t>重点：质量管理概述、工程项目质量参与各方的责任和义务、工程项目质量控制（施工阶段）、工程项目安全管理体系、施工阶段安全管理</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1.了解质量管理各方的责任义务和安全管理体系及主要内容。</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2.理解广义质量的概念、熟悉现场安全评估和环境保护的主要内容。</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3.掌握施工质量控制的内容和措施。</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课堂授课</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互动讨论</w:t>
            </w:r>
          </w:p>
          <w:p w:rsidR="00CA5AE3" w:rsidRPr="00854B2C" w:rsidRDefault="00CA5AE3" w:rsidP="00E07285">
            <w:pPr>
              <w:spacing w:line="360" w:lineRule="exact"/>
              <w:jc w:val="left"/>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w:t>
            </w:r>
            <w:r w:rsidRPr="00854B2C">
              <w:rPr>
                <w:rFonts w:ascii="仿宋_GB2312" w:hAnsi="仿宋_GB2312" w:cs="仿宋_GB2312"/>
                <w:bCs/>
                <w:sz w:val="24"/>
                <w:szCs w:val="24"/>
              </w:rPr>
              <w:t>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9</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内容：第九章 组织协调和信息管理</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重点：组织协调概述，项目中几个重要的沟通方式，沟通中的问题及原因，沟通方式，项目手册。信息管理概述，工程项目管理信息系统，工程项目文档管理，工程项目报告系统，工程项目管理中的应用软件介绍。</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1.了解组织协调的重要性，工程项目管理中的应用软件。</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2.熟悉沟通的几个方式，会进行沟通。</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课堂授课</w:t>
            </w:r>
          </w:p>
          <w:p w:rsidR="00CA5AE3" w:rsidRPr="00854B2C" w:rsidRDefault="00CA5AE3" w:rsidP="00E07285">
            <w:pPr>
              <w:spacing w:line="360" w:lineRule="exact"/>
              <w:jc w:val="left"/>
              <w:rPr>
                <w:rFonts w:ascii="仿宋_GB2312" w:hAnsi="仿宋_GB2312" w:cs="仿宋_GB2312"/>
                <w:bCs/>
                <w:sz w:val="24"/>
                <w:szCs w:val="24"/>
              </w:rPr>
            </w:pPr>
          </w:p>
          <w:p w:rsidR="00CA5AE3" w:rsidRPr="00854B2C" w:rsidRDefault="00CA5AE3" w:rsidP="00E07285">
            <w:pPr>
              <w:spacing w:line="360" w:lineRule="exact"/>
              <w:jc w:val="left"/>
              <w:rPr>
                <w:rFonts w:ascii="仿宋_GB2312" w:hAnsi="仿宋_GB2312" w:cs="仿宋_GB2312"/>
                <w:bCs/>
                <w:sz w:val="24"/>
                <w:szCs w:val="24"/>
              </w:rPr>
            </w:pPr>
          </w:p>
          <w:p w:rsidR="00CA5AE3" w:rsidRPr="00854B2C" w:rsidRDefault="00CA5AE3" w:rsidP="00E07285">
            <w:pPr>
              <w:spacing w:line="360" w:lineRule="exact"/>
              <w:jc w:val="left"/>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p>
          <w:p w:rsidR="00CA5AE3" w:rsidRPr="00854B2C" w:rsidRDefault="00CA5AE3" w:rsidP="00E07285">
            <w:pPr>
              <w:spacing w:line="360" w:lineRule="exact"/>
              <w:jc w:val="left"/>
              <w:rPr>
                <w:rFonts w:ascii="仿宋_GB2312" w:hAnsi="仿宋_GB2312" w:cs="仿宋_GB2312"/>
                <w:bCs/>
                <w:sz w:val="24"/>
                <w:szCs w:val="24"/>
              </w:rPr>
            </w:pP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内容：第十章 工程施工阶段的项目管理</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重点：施工阶段管理概述，施工阶段成本管理、质量管理、进度管理、现场管理、工程价款结算、工程竣工验收</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1.了解施工阶段工程项目实施控制系统，现场管理内容、竣工验收程序和要求，</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2.理解质量成本的概念。</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熟悉施工项目进度、成本和质量控制的检查，控制内容和方法，质量管</w:t>
            </w:r>
            <w:r w:rsidRPr="00854B2C">
              <w:rPr>
                <w:rFonts w:ascii="仿宋_GB2312" w:hAnsi="仿宋_GB2312" w:cs="仿宋_GB2312" w:hint="eastAsia"/>
                <w:bCs/>
                <w:sz w:val="24"/>
                <w:szCs w:val="24"/>
              </w:rPr>
              <w:lastRenderedPageBreak/>
              <w:t>理的统计方法。</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3.掌握成本的工期动态控制方法；</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lastRenderedPageBreak/>
              <w:t>课堂授课</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作业</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随堂测验</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10</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9</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内容：第九章</w:t>
            </w:r>
            <w:r w:rsidRPr="00854B2C">
              <w:rPr>
                <w:rFonts w:ascii="仿宋_GB2312" w:hAnsi="仿宋_GB2312" w:cs="仿宋_GB2312" w:hint="eastAsia"/>
                <w:bCs/>
                <w:sz w:val="24"/>
                <w:szCs w:val="24"/>
              </w:rPr>
              <w:t xml:space="preserve"> </w:t>
            </w:r>
            <w:r w:rsidRPr="00854B2C">
              <w:rPr>
                <w:rFonts w:ascii="仿宋_GB2312" w:hAnsi="仿宋_GB2312" w:cs="仿宋_GB2312"/>
                <w:bCs/>
                <w:sz w:val="24"/>
                <w:szCs w:val="24"/>
              </w:rPr>
              <w:t>案例分析</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重点：无</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了解某工程项目管理案例。</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互动讨论</w:t>
            </w:r>
          </w:p>
          <w:p w:rsidR="00CA5AE3" w:rsidRPr="00854B2C" w:rsidRDefault="00CA5AE3" w:rsidP="00E07285">
            <w:pPr>
              <w:spacing w:line="360" w:lineRule="exact"/>
              <w:jc w:val="left"/>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机动</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p>
        </w:tc>
      </w:tr>
    </w:tbl>
    <w:p w:rsidR="00CA5AE3" w:rsidRPr="00854B2C" w:rsidRDefault="00CA5AE3" w:rsidP="00CA5AE3">
      <w:pPr>
        <w:keepNext/>
        <w:spacing w:beforeLines="100" w:before="312" w:afterLines="50" w:after="156" w:line="360" w:lineRule="exact"/>
        <w:outlineLvl w:val="0"/>
        <w:rPr>
          <w:rFonts w:ascii="仿宋" w:eastAsia="仿宋" w:hAnsi="仿宋"/>
          <w:b/>
          <w:sz w:val="28"/>
          <w:szCs w:val="28"/>
        </w:rPr>
      </w:pPr>
      <w:r w:rsidRPr="00854B2C">
        <w:rPr>
          <w:rFonts w:ascii="仿宋" w:eastAsia="仿宋" w:hAnsi="仿宋"/>
          <w:b/>
          <w:sz w:val="28"/>
          <w:szCs w:val="28"/>
        </w:rPr>
        <w:t>课内实践教学内容及要求</w:t>
      </w:r>
    </w:p>
    <w:p w:rsidR="00CA5AE3" w:rsidRPr="00854B2C" w:rsidRDefault="00CA5AE3" w:rsidP="00CA5AE3">
      <w:pPr>
        <w:adjustRightInd w:val="0"/>
        <w:snapToGrid w:val="0"/>
        <w:spacing w:line="360" w:lineRule="exact"/>
        <w:rPr>
          <w:rFonts w:ascii="Times New Roman" w:hAnsi="Times New Roman"/>
          <w:sz w:val="28"/>
          <w:szCs w:val="28"/>
        </w:rPr>
      </w:pPr>
      <w:r w:rsidRPr="00854B2C">
        <w:rPr>
          <w:rFonts w:ascii="Times New Roman" w:hAnsi="Times New Roman"/>
          <w:sz w:val="28"/>
          <w:szCs w:val="28"/>
        </w:rPr>
        <w:t>无</w:t>
      </w:r>
    </w:p>
    <w:p w:rsidR="00CA5AE3" w:rsidRPr="00854B2C" w:rsidRDefault="00CA5AE3" w:rsidP="00CA5AE3">
      <w:pPr>
        <w:keepNext/>
        <w:spacing w:beforeLines="100" w:before="312" w:afterLines="50" w:after="156" w:line="360" w:lineRule="exact"/>
        <w:outlineLvl w:val="0"/>
        <w:rPr>
          <w:rFonts w:ascii="仿宋" w:eastAsia="仿宋" w:hAnsi="仿宋"/>
          <w:b/>
          <w:sz w:val="28"/>
          <w:szCs w:val="28"/>
        </w:rPr>
      </w:pPr>
      <w:r w:rsidRPr="00854B2C">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CA5AE3" w:rsidTr="00E07285">
        <w:trPr>
          <w:trHeight w:val="454"/>
          <w:jc w:val="center"/>
        </w:trPr>
        <w:tc>
          <w:tcPr>
            <w:tcW w:w="1624" w:type="pct"/>
            <w:vMerge w:val="restart"/>
            <w:vAlign w:val="center"/>
          </w:tcPr>
          <w:p w:rsidR="00CA5AE3" w:rsidRPr="00854B2C" w:rsidRDefault="00CA5AE3" w:rsidP="00E07285">
            <w:pPr>
              <w:pStyle w:val="a9"/>
              <w:pBdr>
                <w:bottom w:val="none" w:sz="0" w:space="0" w:color="auto"/>
              </w:pBdr>
              <w:tabs>
                <w:tab w:val="clear" w:pos="4153"/>
                <w:tab w:val="clear" w:pos="8306"/>
              </w:tabs>
              <w:adjustRightInd w:val="0"/>
              <w:spacing w:line="360" w:lineRule="exact"/>
              <w:rPr>
                <w:rFonts w:ascii="仿宋_GB2312" w:hAnsi="仿宋_GB2312" w:cs="仿宋_GB2312"/>
                <w:b/>
                <w:bCs/>
                <w:sz w:val="24"/>
                <w:szCs w:val="24"/>
              </w:rPr>
            </w:pPr>
            <w:r w:rsidRPr="00854B2C">
              <w:rPr>
                <w:rFonts w:ascii="仿宋_GB2312" w:hAnsi="仿宋_GB2312" w:cs="仿宋_GB2312"/>
                <w:b/>
                <w:bCs/>
                <w:sz w:val="24"/>
                <w:szCs w:val="24"/>
              </w:rPr>
              <w:t>章  节</w:t>
            </w:r>
          </w:p>
        </w:tc>
        <w:tc>
          <w:tcPr>
            <w:tcW w:w="2937" w:type="pct"/>
            <w:gridSpan w:val="6"/>
            <w:vAlign w:val="center"/>
          </w:tcPr>
          <w:p w:rsidR="00CA5AE3" w:rsidRPr="00854B2C" w:rsidRDefault="00CA5AE3" w:rsidP="00E07285">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学 时 分 配</w:t>
            </w:r>
          </w:p>
        </w:tc>
        <w:tc>
          <w:tcPr>
            <w:tcW w:w="439" w:type="pct"/>
            <w:vMerge w:val="restart"/>
            <w:vAlign w:val="center"/>
          </w:tcPr>
          <w:p w:rsidR="00CA5AE3" w:rsidRPr="00854B2C" w:rsidRDefault="00CA5AE3" w:rsidP="00E07285">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合  计</w:t>
            </w:r>
          </w:p>
        </w:tc>
      </w:tr>
      <w:tr w:rsidR="00CA5AE3" w:rsidTr="00E07285">
        <w:trPr>
          <w:trHeight w:val="454"/>
          <w:jc w:val="center"/>
        </w:trPr>
        <w:tc>
          <w:tcPr>
            <w:tcW w:w="1624" w:type="pct"/>
            <w:vMerge/>
            <w:vAlign w:val="center"/>
          </w:tcPr>
          <w:p w:rsidR="00CA5AE3" w:rsidRDefault="00CA5AE3" w:rsidP="00E07285">
            <w:pPr>
              <w:adjustRightInd w:val="0"/>
              <w:snapToGrid w:val="0"/>
              <w:spacing w:line="360" w:lineRule="exact"/>
              <w:jc w:val="center"/>
              <w:rPr>
                <w:rFonts w:ascii="Times New Roman" w:hAnsi="Times New Roman"/>
                <w:b/>
              </w:rPr>
            </w:pPr>
          </w:p>
        </w:tc>
        <w:tc>
          <w:tcPr>
            <w:tcW w:w="489" w:type="pct"/>
            <w:vAlign w:val="center"/>
          </w:tcPr>
          <w:p w:rsidR="00CA5AE3" w:rsidRPr="00854B2C" w:rsidRDefault="00CA5AE3" w:rsidP="00854B2C">
            <w:pPr>
              <w:pStyle w:val="a9"/>
              <w:pBdr>
                <w:bottom w:val="none" w:sz="0" w:space="0" w:color="auto"/>
              </w:pBdr>
              <w:tabs>
                <w:tab w:val="clear" w:pos="4153"/>
                <w:tab w:val="clear" w:pos="8306"/>
              </w:tabs>
              <w:adjustRightInd w:val="0"/>
              <w:spacing w:line="360" w:lineRule="exact"/>
              <w:rPr>
                <w:rFonts w:ascii="仿宋_GB2312" w:hAnsi="仿宋_GB2312" w:cs="仿宋_GB2312"/>
                <w:b/>
                <w:bCs/>
                <w:sz w:val="24"/>
                <w:szCs w:val="24"/>
              </w:rPr>
            </w:pPr>
            <w:r w:rsidRPr="00854B2C">
              <w:rPr>
                <w:rFonts w:ascii="仿宋_GB2312" w:hAnsi="仿宋_GB2312" w:cs="仿宋_GB2312"/>
                <w:b/>
                <w:bCs/>
                <w:sz w:val="24"/>
                <w:szCs w:val="24"/>
              </w:rPr>
              <w:t>讲  课</w:t>
            </w:r>
          </w:p>
        </w:tc>
        <w:tc>
          <w:tcPr>
            <w:tcW w:w="490" w:type="pct"/>
            <w:vAlign w:val="center"/>
          </w:tcPr>
          <w:p w:rsidR="00CA5AE3" w:rsidRPr="00854B2C" w:rsidRDefault="00CA5AE3" w:rsidP="00854B2C">
            <w:pPr>
              <w:pStyle w:val="a9"/>
              <w:pBdr>
                <w:bottom w:val="none" w:sz="0" w:space="0" w:color="auto"/>
              </w:pBdr>
              <w:tabs>
                <w:tab w:val="clear" w:pos="4153"/>
                <w:tab w:val="clear" w:pos="8306"/>
              </w:tabs>
              <w:adjustRightInd w:val="0"/>
              <w:spacing w:line="360" w:lineRule="exact"/>
              <w:rPr>
                <w:rFonts w:ascii="仿宋_GB2312" w:hAnsi="仿宋_GB2312" w:cs="仿宋_GB2312"/>
                <w:b/>
                <w:bCs/>
                <w:sz w:val="24"/>
                <w:szCs w:val="24"/>
              </w:rPr>
            </w:pPr>
            <w:r w:rsidRPr="00854B2C">
              <w:rPr>
                <w:rFonts w:ascii="仿宋_GB2312" w:hAnsi="仿宋_GB2312" w:cs="仿宋_GB2312"/>
                <w:b/>
                <w:bCs/>
                <w:sz w:val="24"/>
                <w:szCs w:val="24"/>
              </w:rPr>
              <w:t>实验课</w:t>
            </w:r>
          </w:p>
        </w:tc>
        <w:tc>
          <w:tcPr>
            <w:tcW w:w="489" w:type="pct"/>
            <w:vAlign w:val="center"/>
          </w:tcPr>
          <w:p w:rsidR="00CA5AE3" w:rsidRPr="00854B2C" w:rsidRDefault="00CA5AE3" w:rsidP="00854B2C">
            <w:pPr>
              <w:pStyle w:val="a9"/>
              <w:pBdr>
                <w:bottom w:val="none" w:sz="0" w:space="0" w:color="auto"/>
              </w:pBdr>
              <w:tabs>
                <w:tab w:val="clear" w:pos="4153"/>
                <w:tab w:val="clear" w:pos="8306"/>
              </w:tabs>
              <w:adjustRightInd w:val="0"/>
              <w:spacing w:line="360" w:lineRule="exact"/>
              <w:rPr>
                <w:rFonts w:ascii="仿宋_GB2312" w:hAnsi="仿宋_GB2312" w:cs="仿宋_GB2312"/>
                <w:b/>
                <w:bCs/>
                <w:sz w:val="24"/>
                <w:szCs w:val="24"/>
              </w:rPr>
            </w:pPr>
            <w:r w:rsidRPr="00854B2C">
              <w:rPr>
                <w:rFonts w:ascii="仿宋_GB2312" w:hAnsi="仿宋_GB2312" w:cs="仿宋_GB2312"/>
                <w:b/>
                <w:bCs/>
                <w:sz w:val="24"/>
                <w:szCs w:val="24"/>
              </w:rPr>
              <w:t>上机课</w:t>
            </w:r>
          </w:p>
        </w:tc>
        <w:tc>
          <w:tcPr>
            <w:tcW w:w="490" w:type="pct"/>
            <w:vAlign w:val="center"/>
          </w:tcPr>
          <w:p w:rsidR="00CA5AE3" w:rsidRPr="00854B2C" w:rsidRDefault="00CA5AE3" w:rsidP="00854B2C">
            <w:pPr>
              <w:pStyle w:val="a9"/>
              <w:pBdr>
                <w:bottom w:val="none" w:sz="0" w:space="0" w:color="auto"/>
              </w:pBdr>
              <w:tabs>
                <w:tab w:val="clear" w:pos="4153"/>
                <w:tab w:val="clear" w:pos="8306"/>
              </w:tabs>
              <w:adjustRightInd w:val="0"/>
              <w:spacing w:line="360" w:lineRule="exact"/>
              <w:rPr>
                <w:rFonts w:ascii="仿宋_GB2312" w:hAnsi="仿宋_GB2312" w:cs="仿宋_GB2312"/>
                <w:b/>
                <w:bCs/>
                <w:sz w:val="24"/>
                <w:szCs w:val="24"/>
              </w:rPr>
            </w:pPr>
            <w:r w:rsidRPr="00854B2C">
              <w:rPr>
                <w:rFonts w:ascii="仿宋_GB2312" w:hAnsi="仿宋_GB2312" w:cs="仿宋_GB2312"/>
                <w:b/>
                <w:bCs/>
                <w:sz w:val="24"/>
                <w:szCs w:val="24"/>
              </w:rPr>
              <w:t>讨论课</w:t>
            </w:r>
          </w:p>
        </w:tc>
        <w:tc>
          <w:tcPr>
            <w:tcW w:w="489" w:type="pct"/>
            <w:vAlign w:val="center"/>
          </w:tcPr>
          <w:p w:rsidR="00CA5AE3" w:rsidRPr="00854B2C" w:rsidRDefault="00CA5AE3" w:rsidP="00854B2C">
            <w:pPr>
              <w:pStyle w:val="a9"/>
              <w:pBdr>
                <w:bottom w:val="none" w:sz="0" w:space="0" w:color="auto"/>
              </w:pBdr>
              <w:tabs>
                <w:tab w:val="clear" w:pos="4153"/>
                <w:tab w:val="clear" w:pos="8306"/>
              </w:tabs>
              <w:adjustRightInd w:val="0"/>
              <w:spacing w:line="360" w:lineRule="exact"/>
              <w:rPr>
                <w:rFonts w:ascii="仿宋_GB2312" w:hAnsi="仿宋_GB2312" w:cs="仿宋_GB2312"/>
                <w:b/>
                <w:bCs/>
                <w:sz w:val="24"/>
                <w:szCs w:val="24"/>
              </w:rPr>
            </w:pPr>
            <w:r w:rsidRPr="00854B2C">
              <w:rPr>
                <w:rFonts w:ascii="仿宋_GB2312" w:hAnsi="仿宋_GB2312" w:cs="仿宋_GB2312"/>
                <w:b/>
                <w:bCs/>
                <w:sz w:val="24"/>
                <w:szCs w:val="24"/>
              </w:rPr>
              <w:t>习题课</w:t>
            </w:r>
          </w:p>
        </w:tc>
        <w:tc>
          <w:tcPr>
            <w:tcW w:w="490" w:type="pct"/>
            <w:vAlign w:val="center"/>
          </w:tcPr>
          <w:p w:rsidR="00CA5AE3" w:rsidRPr="00854B2C" w:rsidRDefault="00CA5AE3" w:rsidP="00854B2C">
            <w:pPr>
              <w:pStyle w:val="a9"/>
              <w:pBdr>
                <w:bottom w:val="none" w:sz="0" w:space="0" w:color="auto"/>
              </w:pBdr>
              <w:tabs>
                <w:tab w:val="clear" w:pos="4153"/>
                <w:tab w:val="clear" w:pos="8306"/>
              </w:tabs>
              <w:adjustRightInd w:val="0"/>
              <w:spacing w:line="360" w:lineRule="exact"/>
              <w:rPr>
                <w:rFonts w:ascii="仿宋_GB2312" w:hAnsi="仿宋_GB2312" w:cs="仿宋_GB2312"/>
                <w:b/>
                <w:bCs/>
                <w:sz w:val="24"/>
                <w:szCs w:val="24"/>
              </w:rPr>
            </w:pPr>
            <w:r w:rsidRPr="00854B2C">
              <w:rPr>
                <w:rFonts w:ascii="仿宋_GB2312" w:hAnsi="仿宋_GB2312" w:cs="仿宋_GB2312"/>
                <w:b/>
                <w:bCs/>
                <w:sz w:val="24"/>
                <w:szCs w:val="24"/>
              </w:rPr>
              <w:t>其  它</w:t>
            </w:r>
          </w:p>
        </w:tc>
        <w:tc>
          <w:tcPr>
            <w:tcW w:w="439" w:type="pct"/>
            <w:vMerge/>
            <w:vAlign w:val="center"/>
          </w:tcPr>
          <w:p w:rsidR="00CA5AE3" w:rsidRDefault="00CA5AE3" w:rsidP="00E07285">
            <w:pPr>
              <w:adjustRightInd w:val="0"/>
              <w:snapToGrid w:val="0"/>
              <w:spacing w:line="360" w:lineRule="exact"/>
              <w:jc w:val="center"/>
              <w:rPr>
                <w:rFonts w:ascii="Times New Roman" w:hAnsi="Times New Roman"/>
              </w:rPr>
            </w:pP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第一章</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第二章</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4</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4</w:t>
            </w: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第三章</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3</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1</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4</w:t>
            </w: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第四章</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第五章</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4</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4</w:t>
            </w: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第六章</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第七章</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第八章</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3</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1</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4</w:t>
            </w: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第九章</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第十章</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7</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10</w:t>
            </w: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案例</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机动</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r>
      <w:tr w:rsidR="00CA5AE3" w:rsidRPr="00854B2C" w:rsidTr="00E07285">
        <w:trPr>
          <w:trHeight w:val="454"/>
          <w:jc w:val="center"/>
        </w:trPr>
        <w:tc>
          <w:tcPr>
            <w:tcW w:w="1624"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共计</w:t>
            </w: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8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90"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p>
        </w:tc>
        <w:tc>
          <w:tcPr>
            <w:tcW w:w="439" w:type="pct"/>
            <w:vAlign w:val="center"/>
          </w:tcPr>
          <w:p w:rsidR="00CA5AE3" w:rsidRPr="00854B2C" w:rsidRDefault="00CA5AE3" w:rsidP="00E07285">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40</w:t>
            </w:r>
          </w:p>
        </w:tc>
      </w:tr>
    </w:tbl>
    <w:p w:rsidR="00CA5AE3" w:rsidRPr="00854B2C" w:rsidRDefault="00CA5AE3" w:rsidP="00CA5AE3">
      <w:pPr>
        <w:keepNext/>
        <w:spacing w:beforeLines="100" w:before="312" w:afterLines="50" w:after="156" w:line="360" w:lineRule="exact"/>
        <w:outlineLvl w:val="0"/>
        <w:rPr>
          <w:rFonts w:ascii="仿宋" w:eastAsia="仿宋" w:hAnsi="仿宋"/>
          <w:b/>
          <w:sz w:val="28"/>
          <w:szCs w:val="28"/>
        </w:rPr>
      </w:pPr>
      <w:r w:rsidRPr="00854B2C">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930"/>
        <w:gridCol w:w="3217"/>
      </w:tblGrid>
      <w:tr w:rsidR="00CA5AE3" w:rsidTr="00E07285">
        <w:trPr>
          <w:trHeight w:val="454"/>
          <w:jc w:val="center"/>
        </w:trPr>
        <w:tc>
          <w:tcPr>
            <w:tcW w:w="343" w:type="pct"/>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序号</w:t>
            </w:r>
          </w:p>
        </w:tc>
        <w:tc>
          <w:tcPr>
            <w:tcW w:w="1555" w:type="pct"/>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课程思政教学目标</w:t>
            </w:r>
          </w:p>
        </w:tc>
        <w:tc>
          <w:tcPr>
            <w:tcW w:w="1163" w:type="pct"/>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授课章节</w:t>
            </w:r>
          </w:p>
        </w:tc>
        <w:tc>
          <w:tcPr>
            <w:tcW w:w="1939" w:type="pct"/>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课程思政融入点（至少5处）</w:t>
            </w:r>
          </w:p>
        </w:tc>
      </w:tr>
      <w:tr w:rsidR="00CA5AE3" w:rsidTr="00E07285">
        <w:trPr>
          <w:trHeight w:val="454"/>
          <w:jc w:val="center"/>
        </w:trPr>
        <w:tc>
          <w:tcPr>
            <w:tcW w:w="343"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1</w:t>
            </w:r>
          </w:p>
        </w:tc>
        <w:tc>
          <w:tcPr>
            <w:tcW w:w="1555"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正确政治导向</w:t>
            </w:r>
          </w:p>
        </w:tc>
        <w:tc>
          <w:tcPr>
            <w:tcW w:w="1163"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第一章</w:t>
            </w:r>
          </w:p>
        </w:tc>
        <w:tc>
          <w:tcPr>
            <w:tcW w:w="1939" w:type="pct"/>
            <w:vAlign w:val="center"/>
          </w:tcPr>
          <w:p w:rsidR="00CA5AE3" w:rsidRPr="00854B2C" w:rsidRDefault="00CA5AE3" w:rsidP="00854B2C">
            <w:pPr>
              <w:adjustRightInd w:val="0"/>
              <w:snapToGrid w:val="0"/>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建筑全寿命期项目管理是时</w:t>
            </w:r>
            <w:r w:rsidRPr="00854B2C">
              <w:rPr>
                <w:rFonts w:ascii="仿宋_GB2312" w:hAnsi="仿宋_GB2312" w:cs="仿宋_GB2312" w:hint="eastAsia"/>
                <w:bCs/>
                <w:sz w:val="24"/>
                <w:szCs w:val="24"/>
              </w:rPr>
              <w:lastRenderedPageBreak/>
              <w:t>代要求</w:t>
            </w:r>
          </w:p>
        </w:tc>
      </w:tr>
      <w:tr w:rsidR="00CA5AE3" w:rsidTr="00E07285">
        <w:trPr>
          <w:trHeight w:val="454"/>
          <w:jc w:val="center"/>
        </w:trPr>
        <w:tc>
          <w:tcPr>
            <w:tcW w:w="343"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lastRenderedPageBreak/>
              <w:t>2</w:t>
            </w:r>
          </w:p>
        </w:tc>
        <w:tc>
          <w:tcPr>
            <w:tcW w:w="1555"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社会主义核心价值观教育</w:t>
            </w:r>
          </w:p>
        </w:tc>
        <w:tc>
          <w:tcPr>
            <w:tcW w:w="1163"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第一~十章</w:t>
            </w:r>
          </w:p>
        </w:tc>
        <w:tc>
          <w:tcPr>
            <w:tcW w:w="1939" w:type="pct"/>
            <w:vAlign w:val="center"/>
          </w:tcPr>
          <w:p w:rsidR="00CA5AE3" w:rsidRPr="00854B2C" w:rsidRDefault="00CA5AE3" w:rsidP="00854B2C">
            <w:pPr>
              <w:adjustRightInd w:val="0"/>
              <w:snapToGrid w:val="0"/>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先进技术是提升生活质量的有力工具</w:t>
            </w:r>
          </w:p>
        </w:tc>
      </w:tr>
      <w:tr w:rsidR="00CA5AE3" w:rsidTr="00E07285">
        <w:trPr>
          <w:trHeight w:val="454"/>
          <w:jc w:val="center"/>
        </w:trPr>
        <w:tc>
          <w:tcPr>
            <w:tcW w:w="343"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3</w:t>
            </w:r>
          </w:p>
        </w:tc>
        <w:tc>
          <w:tcPr>
            <w:tcW w:w="1555"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远大理想塑造</w:t>
            </w:r>
          </w:p>
        </w:tc>
        <w:tc>
          <w:tcPr>
            <w:tcW w:w="1163"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第一~四章</w:t>
            </w:r>
          </w:p>
        </w:tc>
        <w:tc>
          <w:tcPr>
            <w:tcW w:w="1939" w:type="pct"/>
            <w:vAlign w:val="center"/>
          </w:tcPr>
          <w:p w:rsidR="00CA5AE3" w:rsidRPr="00854B2C" w:rsidRDefault="00CA5AE3" w:rsidP="00854B2C">
            <w:pPr>
              <w:adjustRightInd w:val="0"/>
              <w:snapToGrid w:val="0"/>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科学的项目管理理念和技术尚有广阔的技术发展空间</w:t>
            </w:r>
          </w:p>
        </w:tc>
      </w:tr>
      <w:tr w:rsidR="00CA5AE3" w:rsidTr="00E07285">
        <w:trPr>
          <w:trHeight w:val="454"/>
          <w:jc w:val="center"/>
        </w:trPr>
        <w:tc>
          <w:tcPr>
            <w:tcW w:w="343"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4</w:t>
            </w:r>
          </w:p>
        </w:tc>
        <w:tc>
          <w:tcPr>
            <w:tcW w:w="1555"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健康心态培育</w:t>
            </w:r>
          </w:p>
        </w:tc>
        <w:tc>
          <w:tcPr>
            <w:tcW w:w="1163"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第一~十章</w:t>
            </w:r>
          </w:p>
        </w:tc>
        <w:tc>
          <w:tcPr>
            <w:tcW w:w="1939" w:type="pct"/>
            <w:vAlign w:val="center"/>
          </w:tcPr>
          <w:p w:rsidR="00CA5AE3" w:rsidRPr="00854B2C" w:rsidRDefault="00CA5AE3" w:rsidP="00854B2C">
            <w:pPr>
              <w:adjustRightInd w:val="0"/>
              <w:snapToGrid w:val="0"/>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各种新技术需要不断创新、不断学习，应勇于面对新问题并着力寻求解决</w:t>
            </w:r>
          </w:p>
        </w:tc>
      </w:tr>
      <w:tr w:rsidR="00CA5AE3" w:rsidTr="00E07285">
        <w:trPr>
          <w:trHeight w:val="454"/>
          <w:jc w:val="center"/>
        </w:trPr>
        <w:tc>
          <w:tcPr>
            <w:tcW w:w="343"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5</w:t>
            </w:r>
          </w:p>
        </w:tc>
        <w:tc>
          <w:tcPr>
            <w:tcW w:w="1555"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道德品质培养</w:t>
            </w:r>
          </w:p>
        </w:tc>
        <w:tc>
          <w:tcPr>
            <w:tcW w:w="1163" w:type="pct"/>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第一~十章</w:t>
            </w:r>
          </w:p>
        </w:tc>
        <w:tc>
          <w:tcPr>
            <w:tcW w:w="1939" w:type="pct"/>
            <w:vAlign w:val="center"/>
          </w:tcPr>
          <w:p w:rsidR="00CA5AE3" w:rsidRPr="00854B2C" w:rsidRDefault="00CA5AE3" w:rsidP="00854B2C">
            <w:pPr>
              <w:adjustRightInd w:val="0"/>
              <w:snapToGrid w:val="0"/>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各项技术和方法要应用于解决项目运行中的合理需求，切实服务于社会。</w:t>
            </w:r>
          </w:p>
        </w:tc>
      </w:tr>
    </w:tbl>
    <w:p w:rsidR="00854B2C" w:rsidRDefault="00854B2C" w:rsidP="00854B2C">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五、课程考核方式与成绩评定</w:t>
      </w:r>
    </w:p>
    <w:p w:rsidR="00CA5AE3" w:rsidRPr="00854B2C" w:rsidRDefault="00CA5AE3"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t>（1）考核方式</w:t>
      </w:r>
    </w:p>
    <w:p w:rsidR="00CA5AE3" w:rsidRPr="00854B2C" w:rsidRDefault="00CA5AE3"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t>本课程考核方式为考试，其中期末考核方式为非标准答案考试，过程考核方式为课堂出勤、课堂讨论展示、作业完成情况及平时随堂测验等。</w:t>
      </w:r>
    </w:p>
    <w:p w:rsidR="00CA5AE3" w:rsidRPr="00854B2C" w:rsidRDefault="00CA5AE3"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881"/>
        <w:gridCol w:w="672"/>
        <w:gridCol w:w="672"/>
        <w:gridCol w:w="672"/>
        <w:gridCol w:w="672"/>
        <w:gridCol w:w="672"/>
        <w:gridCol w:w="677"/>
        <w:gridCol w:w="656"/>
        <w:gridCol w:w="667"/>
      </w:tblGrid>
      <w:tr w:rsidR="00CA5AE3" w:rsidTr="00E07285">
        <w:trPr>
          <w:trHeight w:val="454"/>
          <w:jc w:val="center"/>
        </w:trPr>
        <w:tc>
          <w:tcPr>
            <w:tcW w:w="396" w:type="pct"/>
            <w:vMerge w:val="restart"/>
            <w:tcBorders>
              <w:top w:val="single" w:sz="4" w:space="0" w:color="000000"/>
              <w:left w:val="single" w:sz="4" w:space="0" w:color="000000"/>
              <w:right w:val="single" w:sz="4" w:space="0" w:color="000000"/>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课程</w:t>
            </w:r>
          </w:p>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目标</w:t>
            </w:r>
          </w:p>
        </w:tc>
        <w:tc>
          <w:tcPr>
            <w:tcW w:w="3956" w:type="pct"/>
            <w:gridSpan w:val="8"/>
            <w:tcBorders>
              <w:top w:val="single" w:sz="4" w:space="0" w:color="000000"/>
              <w:left w:val="single" w:sz="4" w:space="0" w:color="auto"/>
              <w:bottom w:val="single" w:sz="4" w:space="0" w:color="auto"/>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考核方式及成绩比例（%）</w:t>
            </w:r>
          </w:p>
        </w:tc>
      </w:tr>
      <w:tr w:rsidR="00CA5AE3" w:rsidTr="00E07285">
        <w:trPr>
          <w:trHeight w:val="454"/>
          <w:jc w:val="center"/>
        </w:trPr>
        <w:tc>
          <w:tcPr>
            <w:tcW w:w="396" w:type="pct"/>
            <w:vMerge/>
            <w:tcBorders>
              <w:left w:val="single" w:sz="4" w:space="0" w:color="000000"/>
              <w:bottom w:val="single" w:sz="4" w:space="0" w:color="000000"/>
              <w:right w:val="single" w:sz="4" w:space="0" w:color="000000"/>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p>
        </w:tc>
        <w:tc>
          <w:tcPr>
            <w:tcW w:w="496" w:type="pct"/>
            <w:tcBorders>
              <w:top w:val="single" w:sz="4" w:space="0" w:color="auto"/>
              <w:left w:val="single" w:sz="4" w:space="0" w:color="auto"/>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考勤</w:t>
            </w:r>
          </w:p>
        </w:tc>
        <w:tc>
          <w:tcPr>
            <w:tcW w:w="496" w:type="pct"/>
            <w:tcBorders>
              <w:top w:val="single" w:sz="4" w:space="0" w:color="auto"/>
              <w:left w:val="single" w:sz="4" w:space="0" w:color="auto"/>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作业</w:t>
            </w:r>
          </w:p>
        </w:tc>
        <w:tc>
          <w:tcPr>
            <w:tcW w:w="496" w:type="pct"/>
            <w:tcBorders>
              <w:top w:val="single" w:sz="4" w:space="0" w:color="auto"/>
              <w:left w:val="single" w:sz="4" w:space="0" w:color="auto"/>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讨论</w:t>
            </w:r>
          </w:p>
        </w:tc>
        <w:tc>
          <w:tcPr>
            <w:tcW w:w="496" w:type="pct"/>
            <w:tcBorders>
              <w:top w:val="single" w:sz="4" w:space="0" w:color="auto"/>
              <w:left w:val="single" w:sz="4" w:space="0" w:color="auto"/>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实验</w:t>
            </w:r>
          </w:p>
        </w:tc>
        <w:tc>
          <w:tcPr>
            <w:tcW w:w="496" w:type="pct"/>
            <w:tcBorders>
              <w:top w:val="single" w:sz="4" w:space="0" w:color="auto"/>
              <w:left w:val="single" w:sz="4" w:space="0" w:color="auto"/>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测验</w:t>
            </w:r>
          </w:p>
        </w:tc>
        <w:tc>
          <w:tcPr>
            <w:tcW w:w="499" w:type="pct"/>
            <w:tcBorders>
              <w:top w:val="single" w:sz="4" w:space="0" w:color="auto"/>
              <w:left w:val="single" w:sz="4" w:space="0" w:color="auto"/>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考试</w:t>
            </w:r>
          </w:p>
        </w:tc>
        <w:tc>
          <w:tcPr>
            <w:tcW w:w="484" w:type="pct"/>
            <w:tcBorders>
              <w:top w:val="single" w:sz="4" w:space="0" w:color="auto"/>
              <w:left w:val="single" w:sz="4" w:space="0" w:color="auto"/>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w:t>
            </w:r>
          </w:p>
        </w:tc>
        <w:tc>
          <w:tcPr>
            <w:tcW w:w="492" w:type="pct"/>
            <w:tcBorders>
              <w:top w:val="single" w:sz="4" w:space="0" w:color="auto"/>
              <w:left w:val="single" w:sz="4" w:space="0" w:color="auto"/>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合计</w:t>
            </w:r>
          </w:p>
        </w:tc>
      </w:tr>
      <w:tr w:rsidR="00CA5AE3" w:rsidTr="00E07285">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目标1</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15</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17</w:t>
            </w:r>
          </w:p>
        </w:tc>
      </w:tr>
      <w:tr w:rsidR="00CA5AE3" w:rsidTr="00E07285">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目标2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6</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3</w:t>
            </w: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40</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61</w:t>
            </w:r>
          </w:p>
        </w:tc>
      </w:tr>
      <w:tr w:rsidR="00CA5AE3" w:rsidTr="00E07285">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目标3</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3</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15</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22</w:t>
            </w:r>
          </w:p>
        </w:tc>
      </w:tr>
      <w:tr w:rsidR="00CA5AE3" w:rsidTr="00E07285">
        <w:trPr>
          <w:trHeight w:val="454"/>
          <w:jc w:val="center"/>
        </w:trPr>
        <w:tc>
          <w:tcPr>
            <w:tcW w:w="1044" w:type="pct"/>
            <w:gridSpan w:val="2"/>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共计</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5</w:t>
            </w:r>
          </w:p>
        </w:tc>
        <w:tc>
          <w:tcPr>
            <w:tcW w:w="499"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70</w:t>
            </w:r>
          </w:p>
        </w:tc>
        <w:tc>
          <w:tcPr>
            <w:tcW w:w="484"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100</w:t>
            </w:r>
          </w:p>
        </w:tc>
      </w:tr>
    </w:tbl>
    <w:p w:rsidR="00CA5AE3" w:rsidRPr="00854B2C" w:rsidRDefault="00CA5AE3" w:rsidP="00854B2C">
      <w:pPr>
        <w:spacing w:line="360" w:lineRule="auto"/>
        <w:ind w:firstLine="331"/>
        <w:rPr>
          <w:rFonts w:ascii="仿宋_GB2312" w:hAnsi="仿宋_GB2312" w:cs="仿宋_GB2312"/>
          <w:bCs/>
          <w:sz w:val="28"/>
          <w:szCs w:val="28"/>
        </w:rPr>
      </w:pPr>
      <w:r w:rsidRPr="00854B2C">
        <w:rPr>
          <w:rFonts w:ascii="仿宋_GB2312" w:hAnsi="仿宋_GB2312" w:cs="仿宋_GB2312" w:hint="eastAsia"/>
          <w:bCs/>
          <w:sz w:val="28"/>
          <w:szCs w:val="28"/>
        </w:rPr>
        <w:t>（3）考核（评价）要求：</w:t>
      </w:r>
      <w:r w:rsidRPr="00854B2C">
        <w:rPr>
          <w:rFonts w:ascii="仿宋_GB2312" w:hAnsi="仿宋_GB2312" w:cs="仿宋_GB2312"/>
          <w:bCs/>
          <w:sz w:val="28"/>
          <w:szCs w:val="28"/>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51"/>
        <w:gridCol w:w="951"/>
        <w:gridCol w:w="4782"/>
        <w:gridCol w:w="1042"/>
      </w:tblGrid>
      <w:tr w:rsidR="00CA5AE3" w:rsidTr="00E07285">
        <w:trPr>
          <w:trHeight w:val="454"/>
          <w:jc w:val="center"/>
        </w:trPr>
        <w:tc>
          <w:tcPr>
            <w:tcW w:w="343" w:type="pct"/>
            <w:tcBorders>
              <w:top w:val="single" w:sz="4" w:space="0" w:color="000000"/>
              <w:left w:val="single" w:sz="4" w:space="0" w:color="000000"/>
              <w:right w:val="single" w:sz="4" w:space="0" w:color="000000"/>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hint="eastAsia"/>
                <w:b/>
                <w:bCs/>
                <w:sz w:val="24"/>
                <w:szCs w:val="24"/>
              </w:rPr>
              <w:t>目标分值</w:t>
            </w:r>
          </w:p>
        </w:tc>
        <w:tc>
          <w:tcPr>
            <w:tcW w:w="2880" w:type="pct"/>
            <w:tcBorders>
              <w:top w:val="single" w:sz="4" w:space="0" w:color="000000"/>
              <w:left w:val="single" w:sz="4" w:space="0" w:color="auto"/>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支撑课程教学目标</w:t>
            </w:r>
          </w:p>
        </w:tc>
      </w:tr>
      <w:tr w:rsidR="00CA5AE3" w:rsidRPr="00854B2C"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出勤统计不少于授课次数的2/3；通过出勤统计结果考核学生学习态度和遵守课堂纪律</w:t>
            </w:r>
            <w:r w:rsidRPr="00854B2C">
              <w:rPr>
                <w:rFonts w:ascii="仿宋_GB2312" w:hAnsi="仿宋_GB2312" w:cs="仿宋_GB2312" w:hint="eastAsia"/>
                <w:bCs/>
                <w:sz w:val="24"/>
                <w:szCs w:val="24"/>
              </w:rPr>
              <w:lastRenderedPageBreak/>
              <w:t>等基本情况。</w:t>
            </w:r>
            <w:r w:rsidRPr="00854B2C">
              <w:rPr>
                <w:rFonts w:ascii="仿宋_GB2312" w:hAnsi="仿宋_GB2312" w:cs="仿宋_GB2312"/>
                <w:bCs/>
                <w:sz w:val="24"/>
                <w:szCs w:val="24"/>
              </w:rPr>
              <w:t xml:space="preserve"> </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lastRenderedPageBreak/>
              <w:t>目标</w:t>
            </w:r>
            <w:r w:rsidRPr="00854B2C">
              <w:rPr>
                <w:rFonts w:ascii="仿宋_GB2312" w:hAnsi="仿宋_GB2312" w:cs="仿宋_GB2312" w:hint="eastAsia"/>
                <w:bCs/>
                <w:sz w:val="24"/>
                <w:szCs w:val="24"/>
              </w:rPr>
              <w:t>1</w:t>
            </w:r>
          </w:p>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目标2</w:t>
            </w:r>
          </w:p>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lastRenderedPageBreak/>
              <w:t>目标</w:t>
            </w:r>
            <w:r w:rsidRPr="00854B2C">
              <w:rPr>
                <w:rFonts w:ascii="仿宋_GB2312" w:hAnsi="仿宋_GB2312" w:cs="仿宋_GB2312" w:hint="eastAsia"/>
                <w:bCs/>
                <w:sz w:val="24"/>
                <w:szCs w:val="24"/>
              </w:rPr>
              <w:t>3</w:t>
            </w:r>
          </w:p>
        </w:tc>
      </w:tr>
      <w:tr w:rsidR="00CA5AE3" w:rsidRPr="00854B2C"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lastRenderedPageBreak/>
              <w:t>2</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课后作业</w:t>
            </w:r>
            <w:r w:rsidRPr="00854B2C">
              <w:rPr>
                <w:rFonts w:ascii="仿宋_GB2312" w:hAnsi="仿宋_GB2312" w:cs="仿宋_GB2312" w:hint="eastAsia"/>
                <w:bCs/>
                <w:sz w:val="24"/>
                <w:szCs w:val="24"/>
              </w:rPr>
              <w:t>布置4次；通过课后作业考核学生对工程项目管理理论的掌握情况。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w:t>
            </w:r>
          </w:p>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目标2</w:t>
            </w:r>
          </w:p>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3</w:t>
            </w:r>
          </w:p>
        </w:tc>
      </w:tr>
      <w:tr w:rsidR="00CA5AE3" w:rsidRPr="00854B2C"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讨论</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讨论环节设置4次；通过对部分章节关键知识点设置分组讨论，考核学生对复杂工程问题的推理分析能力、总结归纳能力、文字组织能力以及协同工作能力等。</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目标1</w:t>
            </w:r>
          </w:p>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目标2</w:t>
            </w:r>
          </w:p>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3</w:t>
            </w:r>
          </w:p>
        </w:tc>
      </w:tr>
      <w:tr w:rsidR="00CA5AE3" w:rsidRPr="00854B2C"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4</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测验</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章节测验设置2次；</w:t>
            </w:r>
            <w:r w:rsidRPr="00854B2C">
              <w:rPr>
                <w:rFonts w:ascii="仿宋_GB2312" w:hAnsi="仿宋_GB2312" w:cs="仿宋_GB2312"/>
                <w:bCs/>
                <w:sz w:val="24"/>
                <w:szCs w:val="24"/>
              </w:rPr>
              <w:t>通过对部分章节关键知识点设置随堂测验，考核学生对</w:t>
            </w:r>
            <w:r w:rsidRPr="00854B2C">
              <w:rPr>
                <w:rFonts w:ascii="仿宋_GB2312" w:hAnsi="仿宋_GB2312" w:cs="仿宋_GB2312" w:hint="eastAsia"/>
                <w:bCs/>
                <w:sz w:val="24"/>
                <w:szCs w:val="24"/>
              </w:rPr>
              <w:t>基本</w:t>
            </w:r>
            <w:r w:rsidRPr="00854B2C">
              <w:rPr>
                <w:rFonts w:ascii="仿宋_GB2312" w:hAnsi="仿宋_GB2312" w:cs="仿宋_GB2312"/>
                <w:bCs/>
                <w:sz w:val="24"/>
                <w:szCs w:val="24"/>
              </w:rPr>
              <w:t>概念理解</w:t>
            </w:r>
            <w:r w:rsidRPr="00854B2C">
              <w:rPr>
                <w:rFonts w:ascii="仿宋_GB2312" w:hAnsi="仿宋_GB2312" w:cs="仿宋_GB2312" w:hint="eastAsia"/>
                <w:bCs/>
                <w:sz w:val="24"/>
                <w:szCs w:val="24"/>
              </w:rPr>
              <w:t>和掌握的</w:t>
            </w:r>
            <w:r w:rsidRPr="00854B2C">
              <w:rPr>
                <w:rFonts w:ascii="仿宋_GB2312" w:hAnsi="仿宋_GB2312" w:cs="仿宋_GB2312"/>
                <w:bCs/>
                <w:sz w:val="24"/>
                <w:szCs w:val="24"/>
              </w:rPr>
              <w:t>情况。</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目标2</w:t>
            </w:r>
          </w:p>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3</w:t>
            </w:r>
          </w:p>
        </w:tc>
      </w:tr>
      <w:tr w:rsidR="00CA5AE3" w:rsidRPr="00854B2C"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5</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期末考试采用</w:t>
            </w:r>
            <w:r w:rsidRPr="00854B2C">
              <w:rPr>
                <w:rFonts w:ascii="仿宋_GB2312" w:hAnsi="仿宋_GB2312" w:cs="仿宋_GB2312"/>
                <w:bCs/>
                <w:sz w:val="24"/>
                <w:szCs w:val="24"/>
              </w:rPr>
              <w:t>非标准答案考试</w:t>
            </w:r>
            <w:r w:rsidRPr="00854B2C">
              <w:rPr>
                <w:rFonts w:ascii="仿宋_GB2312" w:hAnsi="仿宋_GB2312" w:cs="仿宋_GB2312" w:hint="eastAsia"/>
                <w:bCs/>
                <w:sz w:val="24"/>
                <w:szCs w:val="24"/>
              </w:rPr>
              <w:t>。考试范围基本涵盖所有讲授内容，考试内容主要反映学生对本课程主要概念的理解和掌握的程度，以及综合运用的能力。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w:t>
            </w:r>
          </w:p>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目标2</w:t>
            </w:r>
          </w:p>
          <w:p w:rsidR="00CA5AE3" w:rsidRPr="00854B2C" w:rsidRDefault="00CA5AE3" w:rsidP="00854B2C">
            <w:pPr>
              <w:adjustRightInd w:val="0"/>
              <w:snapToGrid w:val="0"/>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3</w:t>
            </w:r>
          </w:p>
        </w:tc>
      </w:tr>
    </w:tbl>
    <w:p w:rsidR="00CA5AE3" w:rsidRDefault="00CA5AE3" w:rsidP="00CA5AE3">
      <w:pPr>
        <w:adjustRightInd w:val="0"/>
        <w:snapToGrid w:val="0"/>
        <w:spacing w:line="360" w:lineRule="exact"/>
        <w:ind w:firstLineChars="200" w:firstLine="640"/>
        <w:rPr>
          <w:rFonts w:ascii="Times New Roman" w:hAnsi="Times New Roman"/>
        </w:rPr>
      </w:pPr>
    </w:p>
    <w:p w:rsidR="00854B2C" w:rsidRDefault="00854B2C" w:rsidP="00854B2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854B2C" w:rsidRPr="00854B2C" w:rsidRDefault="00854B2C"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t>1. 教  材：《</w:t>
      </w:r>
      <w:r w:rsidRPr="00854B2C">
        <w:rPr>
          <w:rFonts w:ascii="仿宋_GB2312" w:hAnsi="仿宋_GB2312" w:cs="仿宋_GB2312" w:hint="eastAsia"/>
          <w:bCs/>
          <w:sz w:val="28"/>
          <w:szCs w:val="28"/>
        </w:rPr>
        <w:t>工程项目管理</w:t>
      </w:r>
      <w:r w:rsidRPr="00854B2C">
        <w:rPr>
          <w:rFonts w:ascii="仿宋_GB2312" w:hAnsi="仿宋_GB2312" w:cs="仿宋_GB2312"/>
          <w:bCs/>
          <w:sz w:val="28"/>
          <w:szCs w:val="28"/>
        </w:rPr>
        <w:t>》，</w:t>
      </w:r>
      <w:r w:rsidRPr="00854B2C">
        <w:rPr>
          <w:rFonts w:ascii="仿宋_GB2312" w:hAnsi="仿宋_GB2312" w:cs="仿宋_GB2312" w:hint="eastAsia"/>
          <w:bCs/>
          <w:sz w:val="28"/>
          <w:szCs w:val="28"/>
        </w:rPr>
        <w:t>丁士昭主编</w:t>
      </w:r>
      <w:r w:rsidRPr="00854B2C">
        <w:rPr>
          <w:rFonts w:ascii="仿宋_GB2312" w:hAnsi="仿宋_GB2312" w:cs="仿宋_GB2312"/>
          <w:bCs/>
          <w:sz w:val="28"/>
          <w:szCs w:val="28"/>
        </w:rPr>
        <w:t>，中国建筑工业出版社，201</w:t>
      </w:r>
      <w:r w:rsidRPr="00854B2C">
        <w:rPr>
          <w:rFonts w:ascii="仿宋_GB2312" w:hAnsi="仿宋_GB2312" w:cs="仿宋_GB2312" w:hint="eastAsia"/>
          <w:bCs/>
          <w:sz w:val="28"/>
          <w:szCs w:val="28"/>
        </w:rPr>
        <w:t>4.</w:t>
      </w:r>
      <w:r w:rsidRPr="00854B2C">
        <w:rPr>
          <w:rFonts w:ascii="仿宋_GB2312" w:hAnsi="仿宋_GB2312" w:cs="仿宋_GB2312"/>
          <w:bCs/>
          <w:sz w:val="28"/>
          <w:szCs w:val="28"/>
        </w:rPr>
        <w:t>年</w:t>
      </w:r>
      <w:r w:rsidRPr="00854B2C">
        <w:rPr>
          <w:rFonts w:ascii="仿宋_GB2312" w:hAnsi="仿宋_GB2312" w:cs="仿宋_GB2312" w:hint="eastAsia"/>
          <w:bCs/>
          <w:sz w:val="28"/>
          <w:szCs w:val="28"/>
        </w:rPr>
        <w:t>（第二版）</w:t>
      </w:r>
    </w:p>
    <w:p w:rsidR="00854B2C" w:rsidRPr="00854B2C" w:rsidRDefault="00854B2C"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t>2. 参考书：《</w:t>
      </w:r>
      <w:r w:rsidRPr="00854B2C">
        <w:rPr>
          <w:rFonts w:ascii="仿宋_GB2312" w:hAnsi="仿宋_GB2312" w:cs="仿宋_GB2312" w:hint="eastAsia"/>
          <w:bCs/>
          <w:sz w:val="28"/>
          <w:szCs w:val="28"/>
        </w:rPr>
        <w:t>工程项目</w:t>
      </w:r>
      <w:r w:rsidRPr="00854B2C">
        <w:rPr>
          <w:rFonts w:ascii="仿宋_GB2312" w:hAnsi="仿宋_GB2312" w:cs="仿宋_GB2312"/>
          <w:bCs/>
          <w:sz w:val="28"/>
          <w:szCs w:val="28"/>
        </w:rPr>
        <w:t>管理》，</w:t>
      </w:r>
      <w:r w:rsidRPr="00854B2C">
        <w:rPr>
          <w:rFonts w:ascii="仿宋_GB2312" w:hAnsi="仿宋_GB2312" w:cs="仿宋_GB2312" w:hint="eastAsia"/>
          <w:bCs/>
          <w:sz w:val="28"/>
          <w:szCs w:val="28"/>
        </w:rPr>
        <w:t>成虎等主编</w:t>
      </w:r>
      <w:r w:rsidRPr="00854B2C">
        <w:rPr>
          <w:rFonts w:ascii="仿宋_GB2312" w:hAnsi="仿宋_GB2312" w:cs="仿宋_GB2312"/>
          <w:bCs/>
          <w:sz w:val="28"/>
          <w:szCs w:val="28"/>
        </w:rPr>
        <w:t>，中国建筑工业出版社，201</w:t>
      </w:r>
      <w:r w:rsidRPr="00854B2C">
        <w:rPr>
          <w:rFonts w:ascii="仿宋_GB2312" w:hAnsi="仿宋_GB2312" w:cs="仿宋_GB2312" w:hint="eastAsia"/>
          <w:bCs/>
          <w:sz w:val="28"/>
          <w:szCs w:val="28"/>
        </w:rPr>
        <w:t>8</w:t>
      </w:r>
      <w:r w:rsidRPr="00854B2C">
        <w:rPr>
          <w:rFonts w:ascii="仿宋_GB2312" w:hAnsi="仿宋_GB2312" w:cs="仿宋_GB2312"/>
          <w:bCs/>
          <w:sz w:val="28"/>
          <w:szCs w:val="28"/>
        </w:rPr>
        <w:t>年</w:t>
      </w:r>
    </w:p>
    <w:p w:rsidR="00CA5AE3" w:rsidRPr="00854B2C" w:rsidRDefault="00CA5AE3" w:rsidP="00CA5AE3">
      <w:pPr>
        <w:spacing w:line="360" w:lineRule="exact"/>
        <w:ind w:firstLineChars="196" w:firstLine="627"/>
        <w:rPr>
          <w:rFonts w:ascii="Times New Roman" w:hAnsi="Times New Roman"/>
          <w:szCs w:val="21"/>
        </w:rPr>
      </w:pPr>
    </w:p>
    <w:p w:rsidR="00854B2C" w:rsidRDefault="00854B2C" w:rsidP="00854B2C">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大纲撰写人：</w:t>
      </w:r>
      <w:r w:rsidRPr="00854B2C">
        <w:rPr>
          <w:rFonts w:ascii="仿宋" w:eastAsia="仿宋" w:hAnsi="仿宋" w:hint="eastAsia"/>
          <w:sz w:val="28"/>
          <w:szCs w:val="28"/>
        </w:rPr>
        <w:t>来延肖</w:t>
      </w:r>
    </w:p>
    <w:p w:rsidR="00854B2C" w:rsidRDefault="00854B2C" w:rsidP="00854B2C">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课程负责人：</w:t>
      </w:r>
    </w:p>
    <w:p w:rsidR="00854B2C" w:rsidRDefault="00854B2C" w:rsidP="00854B2C">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审核人：</w:t>
      </w:r>
    </w:p>
    <w:p w:rsidR="00854B2C" w:rsidRDefault="00854B2C" w:rsidP="00854B2C">
      <w:pPr>
        <w:jc w:val="center"/>
        <w:rPr>
          <w:rFonts w:ascii="仿宋_GB2312" w:hint="eastAsia"/>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854B2C" w:rsidRDefault="00854B2C" w:rsidP="00854B2C">
      <w:pPr>
        <w:ind w:firstLineChars="2000" w:firstLine="5600"/>
        <w:jc w:val="left"/>
        <w:rPr>
          <w:rFonts w:ascii="仿宋" w:hAnsi="仿宋"/>
          <w:sz w:val="28"/>
          <w:szCs w:val="28"/>
        </w:rPr>
      </w:pPr>
      <w:r>
        <w:rPr>
          <w:rFonts w:ascii="仿宋_GB2312" w:hAnsi="微软雅黑" w:hint="eastAsia"/>
          <w:sz w:val="28"/>
          <w:szCs w:val="28"/>
        </w:rPr>
        <w:t xml:space="preserve">    </w:t>
      </w:r>
    </w:p>
    <w:p w:rsidR="00854B2C" w:rsidRDefault="00854B2C" w:rsidP="00854B2C">
      <w:pPr>
        <w:jc w:val="left"/>
        <w:rPr>
          <w:rFonts w:ascii="仿宋_GB2312" w:hAnsi="黑体"/>
          <w:sz w:val="28"/>
          <w:szCs w:val="28"/>
        </w:rPr>
      </w:pPr>
      <w:r>
        <w:rPr>
          <w:rFonts w:ascii="仿宋" w:eastAsia="仿宋" w:hAnsi="仿宋" w:hint="eastAsia"/>
          <w:sz w:val="28"/>
          <w:szCs w:val="28"/>
        </w:rPr>
        <w:t xml:space="preserve">                                         年    月</w:t>
      </w:r>
    </w:p>
    <w:p w:rsidR="00CA5AE3" w:rsidRDefault="00CA5AE3" w:rsidP="00CA5AE3">
      <w:pPr>
        <w:spacing w:line="360" w:lineRule="exact"/>
        <w:ind w:firstLineChars="196" w:firstLine="627"/>
        <w:rPr>
          <w:rFonts w:ascii="Times New Roman" w:hAnsi="Times New Roman"/>
          <w:szCs w:val="21"/>
        </w:rPr>
      </w:pPr>
    </w:p>
    <w:p w:rsidR="00854B2C" w:rsidRDefault="00854B2C" w:rsidP="00854B2C">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854B2C">
        <w:rPr>
          <w:rFonts w:ascii="方正小标宋简体" w:eastAsia="方正小标宋简体" w:hAnsi="宋体" w:hint="eastAsia"/>
          <w:kern w:val="0"/>
          <w:szCs w:val="32"/>
        </w:rPr>
        <w:t>工程风险管理</w:t>
      </w:r>
      <w:r>
        <w:rPr>
          <w:rFonts w:ascii="方正小标宋简体" w:eastAsia="方正小标宋简体" w:hAnsi="宋体" w:hint="eastAsia"/>
          <w:kern w:val="0"/>
          <w:szCs w:val="32"/>
        </w:rPr>
        <w:t>》课程教学大纲</w:t>
      </w:r>
    </w:p>
    <w:p w:rsidR="00854B2C" w:rsidRDefault="00854B2C" w:rsidP="00854B2C">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一、课程信息</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英文名称：</w:t>
      </w:r>
      <w:r w:rsidRPr="00854B2C">
        <w:rPr>
          <w:rFonts w:ascii="仿宋_GB2312" w:hAnsi="仿宋_GB2312" w:cs="仿宋_GB2312"/>
          <w:bCs/>
          <w:sz w:val="28"/>
          <w:szCs w:val="28"/>
        </w:rPr>
        <w:t>Project Risk Management</w:t>
      </w:r>
    </w:p>
    <w:p w:rsidR="00854B2C" w:rsidRDefault="00854B2C" w:rsidP="00854B2C">
      <w:pPr>
        <w:spacing w:line="360" w:lineRule="auto"/>
        <w:ind w:firstLine="331"/>
        <w:jc w:val="left"/>
        <w:rPr>
          <w:rFonts w:ascii="仿宋_GB2312" w:hAnsi="仿宋_GB2312" w:cs="仿宋_GB2312" w:hint="eastAsia"/>
          <w:bCs/>
          <w:sz w:val="28"/>
          <w:szCs w:val="28"/>
        </w:rPr>
      </w:pPr>
      <w:r>
        <w:rPr>
          <w:rFonts w:ascii="仿宋_GB2312" w:hAnsi="仿宋_GB2312" w:cs="仿宋_GB2312" w:hint="eastAsia"/>
          <w:bCs/>
          <w:sz w:val="28"/>
          <w:szCs w:val="28"/>
        </w:rPr>
        <w:t>课程编码：</w:t>
      </w:r>
      <w:r w:rsidRPr="00854B2C">
        <w:rPr>
          <w:rFonts w:ascii="仿宋_GB2312" w:hAnsi="仿宋_GB2312" w:cs="仿宋_GB2312"/>
          <w:bCs/>
          <w:sz w:val="28"/>
          <w:szCs w:val="28"/>
        </w:rPr>
        <w:t>Z2805340</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授课语言：中文</w:t>
      </w:r>
    </w:p>
    <w:p w:rsidR="00854B2C" w:rsidRDefault="00854B2C" w:rsidP="00854B2C">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授课方式：线下</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课程类别：专业发展课程</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课程性质：选修</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w:t>
      </w:r>
    </w:p>
    <w:p w:rsidR="00854B2C" w:rsidRDefault="00854B2C" w:rsidP="00854B2C">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16</w:t>
      </w:r>
      <w:r>
        <w:rPr>
          <w:rFonts w:ascii="仿宋_GB2312" w:hAnsi="仿宋_GB2312" w:cs="仿宋_GB2312" w:hint="eastAsia"/>
          <w:bCs/>
          <w:sz w:val="28"/>
          <w:szCs w:val="28"/>
        </w:rPr>
        <w:t>学时</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适用对象：</w:t>
      </w:r>
      <w:r w:rsidRPr="00854B2C">
        <w:rPr>
          <w:rFonts w:ascii="仿宋_GB2312" w:hAnsi="仿宋_GB2312" w:cs="仿宋_GB2312" w:hint="eastAsia"/>
          <w:bCs/>
          <w:sz w:val="28"/>
          <w:szCs w:val="28"/>
        </w:rPr>
        <w:t>工程造价专业</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先修课程：</w:t>
      </w:r>
      <w:r w:rsidRPr="00854B2C">
        <w:rPr>
          <w:rFonts w:ascii="仿宋_GB2312" w:hAnsi="仿宋_GB2312" w:cs="仿宋_GB2312" w:hint="eastAsia"/>
          <w:bCs/>
          <w:sz w:val="28"/>
          <w:szCs w:val="28"/>
        </w:rPr>
        <w:t>工程项目管理、经济学概论等</w:t>
      </w:r>
    </w:p>
    <w:p w:rsidR="00854B2C" w:rsidRDefault="00854B2C" w:rsidP="00854B2C">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开课院系：</w:t>
      </w:r>
      <w:r w:rsidRPr="00854B2C">
        <w:rPr>
          <w:rFonts w:ascii="仿宋_GB2312" w:hAnsi="仿宋_GB2312" w:cs="仿宋_GB2312" w:hint="eastAsia"/>
          <w:bCs/>
          <w:sz w:val="28"/>
          <w:szCs w:val="28"/>
        </w:rPr>
        <w:t>土木工程学院工程造价与施工教研室</w:t>
      </w:r>
    </w:p>
    <w:p w:rsidR="00CA5AE3" w:rsidRDefault="00854B2C" w:rsidP="00854B2C">
      <w:pPr>
        <w:spacing w:beforeLines="50" w:before="156" w:afterLines="50" w:after="156" w:line="560" w:lineRule="exact"/>
        <w:rPr>
          <w:rFonts w:ascii="Times New Roman" w:hAnsi="Times New Roman"/>
          <w:b/>
          <w:szCs w:val="21"/>
        </w:rPr>
      </w:pPr>
      <w:r>
        <w:rPr>
          <w:rFonts w:ascii="黑体" w:eastAsia="黑体" w:hAnsi="黑体" w:hint="eastAsia"/>
          <w:b/>
          <w:sz w:val="28"/>
          <w:szCs w:val="28"/>
        </w:rPr>
        <w:t>二、课程简介</w:t>
      </w:r>
    </w:p>
    <w:p w:rsidR="00CA5AE3" w:rsidRPr="00854B2C" w:rsidRDefault="00CA5AE3" w:rsidP="00854B2C">
      <w:pPr>
        <w:spacing w:line="360" w:lineRule="auto"/>
        <w:rPr>
          <w:rFonts w:ascii="仿宋_GB2312" w:hAnsi="仿宋_GB2312" w:cs="仿宋_GB2312"/>
          <w:bCs/>
          <w:sz w:val="28"/>
          <w:szCs w:val="28"/>
        </w:rPr>
      </w:pPr>
      <w:r w:rsidRPr="00854B2C">
        <w:rPr>
          <w:rFonts w:ascii="仿宋_GB2312" w:hAnsi="仿宋_GB2312" w:cs="仿宋_GB2312"/>
          <w:bCs/>
          <w:sz w:val="28"/>
          <w:szCs w:val="28"/>
        </w:rPr>
        <w:t>课程教学目标</w:t>
      </w:r>
    </w:p>
    <w:p w:rsidR="00CA5AE3" w:rsidRPr="00854B2C" w:rsidRDefault="00CA5AE3" w:rsidP="00854B2C">
      <w:pPr>
        <w:spacing w:line="360" w:lineRule="auto"/>
        <w:ind w:firstLine="331"/>
        <w:rPr>
          <w:rFonts w:ascii="仿宋_GB2312" w:hAnsi="仿宋_GB2312" w:cs="仿宋_GB2312"/>
          <w:bCs/>
          <w:sz w:val="28"/>
          <w:szCs w:val="28"/>
        </w:rPr>
      </w:pPr>
      <w:r w:rsidRPr="00854B2C">
        <w:rPr>
          <w:rFonts w:ascii="仿宋_GB2312" w:hAnsi="仿宋_GB2312" w:cs="仿宋_GB2312" w:hint="eastAsia"/>
          <w:bCs/>
          <w:sz w:val="28"/>
          <w:szCs w:val="28"/>
        </w:rPr>
        <w:t>本课程是面向工程造价专业开设的专业方向课程，旨在通过理论教学，使学生系统地了解工程</w:t>
      </w:r>
      <w:r w:rsidRPr="00854B2C">
        <w:rPr>
          <w:rFonts w:ascii="仿宋_GB2312" w:hAnsi="仿宋_GB2312" w:cs="仿宋_GB2312"/>
          <w:bCs/>
          <w:sz w:val="28"/>
          <w:szCs w:val="28"/>
        </w:rPr>
        <w:t>风险管理的基础知识</w:t>
      </w:r>
      <w:r w:rsidRPr="00854B2C">
        <w:rPr>
          <w:rFonts w:ascii="仿宋_GB2312" w:hAnsi="仿宋_GB2312" w:cs="仿宋_GB2312" w:hint="eastAsia"/>
          <w:bCs/>
          <w:sz w:val="28"/>
          <w:szCs w:val="28"/>
        </w:rPr>
        <w:t>、</w:t>
      </w:r>
      <w:r w:rsidRPr="00854B2C">
        <w:rPr>
          <w:rFonts w:ascii="仿宋_GB2312" w:hAnsi="仿宋_GB2312" w:cs="仿宋_GB2312"/>
          <w:bCs/>
          <w:sz w:val="28"/>
          <w:szCs w:val="28"/>
        </w:rPr>
        <w:t>基本技能和基本方法</w:t>
      </w:r>
      <w:r w:rsidRPr="00854B2C">
        <w:rPr>
          <w:rFonts w:ascii="仿宋_GB2312" w:hAnsi="仿宋_GB2312" w:cs="仿宋_GB2312" w:hint="eastAsia"/>
          <w:bCs/>
          <w:sz w:val="28"/>
          <w:szCs w:val="28"/>
        </w:rPr>
        <w:t>，具备工程领域中进行风险管理的初步能力。培养学生具备</w:t>
      </w:r>
      <w:r w:rsidRPr="00854B2C">
        <w:rPr>
          <w:rFonts w:ascii="仿宋_GB2312" w:hAnsi="仿宋_GB2312" w:cs="仿宋_GB2312"/>
          <w:bCs/>
          <w:sz w:val="28"/>
          <w:szCs w:val="28"/>
        </w:rPr>
        <w:t>建筑行业道德和强烈的社会责任感，能够在工程实践中理解并遵守工程职业道德和规范，履行责任。</w:t>
      </w:r>
    </w:p>
    <w:p w:rsidR="00CA5AE3" w:rsidRPr="00854B2C" w:rsidRDefault="00CA5AE3"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t>本课程教学目标及对毕业要求指标点的支撑关系见下表：（每个课</w:t>
      </w:r>
      <w:r w:rsidRPr="00854B2C">
        <w:rPr>
          <w:rFonts w:ascii="仿宋_GB2312" w:hAnsi="仿宋_GB2312" w:cs="仿宋_GB2312"/>
          <w:bCs/>
          <w:sz w:val="28"/>
          <w:szCs w:val="28"/>
        </w:rPr>
        <w:lastRenderedPageBreak/>
        <w:t>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768"/>
        <w:gridCol w:w="886"/>
        <w:gridCol w:w="3073"/>
      </w:tblGrid>
      <w:tr w:rsidR="00CA5AE3" w:rsidTr="00E07285">
        <w:trPr>
          <w:trHeight w:val="454"/>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序号</w:t>
            </w:r>
          </w:p>
        </w:tc>
        <w:tc>
          <w:tcPr>
            <w:tcW w:w="2271" w:type="pct"/>
            <w:vMerge w:val="restart"/>
            <w:tcBorders>
              <w:top w:val="single" w:sz="4" w:space="0" w:color="000000"/>
              <w:left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课程教学目标</w:t>
            </w:r>
          </w:p>
        </w:tc>
        <w:tc>
          <w:tcPr>
            <w:tcW w:w="2386" w:type="pct"/>
            <w:gridSpan w:val="2"/>
            <w:tcBorders>
              <w:top w:val="single" w:sz="4" w:space="0" w:color="000000"/>
              <w:left w:val="single" w:sz="4" w:space="0" w:color="000000"/>
              <w:bottom w:val="single" w:sz="4" w:space="0" w:color="auto"/>
              <w:right w:val="single" w:sz="4" w:space="0" w:color="auto"/>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支撑毕业要求指标点</w:t>
            </w:r>
          </w:p>
        </w:tc>
      </w:tr>
      <w:tr w:rsidR="00CA5AE3" w:rsidTr="00E07285">
        <w:trPr>
          <w:trHeight w:val="454"/>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widowControl/>
              <w:spacing w:line="360" w:lineRule="exact"/>
              <w:jc w:val="center"/>
              <w:rPr>
                <w:rFonts w:ascii="仿宋_GB2312" w:hAnsi="仿宋_GB2312" w:cs="仿宋_GB2312"/>
                <w:b/>
                <w:bCs/>
                <w:sz w:val="24"/>
                <w:szCs w:val="24"/>
              </w:rPr>
            </w:pPr>
          </w:p>
        </w:tc>
        <w:tc>
          <w:tcPr>
            <w:tcW w:w="2271" w:type="pct"/>
            <w:vMerge/>
            <w:tcBorders>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
                <w:bCs/>
                <w:sz w:val="24"/>
                <w:szCs w:val="24"/>
              </w:rPr>
            </w:pPr>
          </w:p>
        </w:tc>
        <w:tc>
          <w:tcPr>
            <w:tcW w:w="534" w:type="pct"/>
            <w:tcBorders>
              <w:top w:val="single" w:sz="4" w:space="0" w:color="auto"/>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指标点</w:t>
            </w:r>
          </w:p>
        </w:tc>
        <w:tc>
          <w:tcPr>
            <w:tcW w:w="1852" w:type="pct"/>
            <w:tcBorders>
              <w:top w:val="single" w:sz="4" w:space="0" w:color="auto"/>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指标点内容</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1</w:t>
            </w:r>
          </w:p>
        </w:tc>
        <w:tc>
          <w:tcPr>
            <w:tcW w:w="2271"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目标1：</w:t>
            </w:r>
            <w:r w:rsidRPr="00854B2C">
              <w:rPr>
                <w:rFonts w:ascii="仿宋_GB2312" w:hAnsi="仿宋_GB2312" w:cs="仿宋_GB2312" w:hint="eastAsia"/>
                <w:bCs/>
                <w:sz w:val="24"/>
                <w:szCs w:val="24"/>
              </w:rPr>
              <w:t>了解工程风险的概念，工程风险管理的基本职能；理解工程风险的识别、分析、评价。</w:t>
            </w:r>
          </w:p>
        </w:tc>
        <w:tc>
          <w:tcPr>
            <w:tcW w:w="534"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6</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能够基于工程相关背景知识进行合理分析，评价专业工程实践和复杂工程问题解决方案对社会、健康、安全、法律法规及文化的影响，并理解应承担的责任。</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2271"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目标2：</w:t>
            </w:r>
            <w:r w:rsidRPr="00854B2C">
              <w:rPr>
                <w:rFonts w:ascii="仿宋_GB2312" w:hAnsi="仿宋_GB2312" w:cs="仿宋_GB2312" w:hint="eastAsia"/>
                <w:bCs/>
                <w:sz w:val="24"/>
                <w:szCs w:val="24"/>
              </w:rPr>
              <w:t>理解在工程实践中所应负有的社会责任，所应遵从的职业道德和行为规范。</w:t>
            </w:r>
          </w:p>
        </w:tc>
        <w:tc>
          <w:tcPr>
            <w:tcW w:w="534"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8</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具有人文社会科学素养、社会责任感，能够在工程实践中理解并遵守工程职业道德和规范，履行责任。</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3</w:t>
            </w:r>
          </w:p>
        </w:tc>
        <w:tc>
          <w:tcPr>
            <w:tcW w:w="2271"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目标3：</w:t>
            </w:r>
            <w:r w:rsidRPr="00854B2C">
              <w:rPr>
                <w:rFonts w:ascii="仿宋_GB2312" w:hAnsi="仿宋_GB2312" w:cs="仿宋_GB2312" w:hint="eastAsia"/>
                <w:bCs/>
                <w:sz w:val="24"/>
                <w:szCs w:val="24"/>
              </w:rPr>
              <w:t>掌握工程</w:t>
            </w:r>
            <w:r w:rsidRPr="00854B2C">
              <w:rPr>
                <w:rFonts w:ascii="仿宋_GB2312" w:hAnsi="仿宋_GB2312" w:cs="仿宋_GB2312"/>
                <w:bCs/>
                <w:sz w:val="24"/>
                <w:szCs w:val="24"/>
              </w:rPr>
              <w:t>风险管理的目标与组织</w:t>
            </w:r>
            <w:r w:rsidRPr="00854B2C">
              <w:rPr>
                <w:rFonts w:ascii="仿宋_GB2312" w:hAnsi="仿宋_GB2312" w:cs="仿宋_GB2312" w:hint="eastAsia"/>
                <w:bCs/>
                <w:sz w:val="24"/>
                <w:szCs w:val="24"/>
              </w:rPr>
              <w:t>，工程风险管理的基本程序；具备运用工程风险管理解决实际问题的基本能力。</w:t>
            </w:r>
          </w:p>
        </w:tc>
        <w:tc>
          <w:tcPr>
            <w:tcW w:w="534"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10</w:t>
            </w:r>
          </w:p>
        </w:tc>
        <w:tc>
          <w:tcPr>
            <w:tcW w:w="1852"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能够针对复杂的工程问题与业界同行及社会公众进行有效沟通和交流，包括撰写报告和设计文稿、陈述发言、清晰表达或回应指令，并具备一定国际视野，能够在跨文化背景下进行沟通和交流。</w:t>
            </w:r>
          </w:p>
        </w:tc>
      </w:tr>
    </w:tbl>
    <w:p w:rsidR="00854B2C" w:rsidRDefault="00854B2C" w:rsidP="00854B2C">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3"/>
        <w:gridCol w:w="2149"/>
        <w:gridCol w:w="954"/>
        <w:gridCol w:w="596"/>
        <w:gridCol w:w="926"/>
      </w:tblGrid>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序号</w:t>
            </w:r>
          </w:p>
        </w:tc>
        <w:tc>
          <w:tcPr>
            <w:tcW w:w="1870" w:type="pct"/>
            <w:tcBorders>
              <w:top w:val="single" w:sz="4" w:space="0" w:color="000000"/>
              <w:left w:val="single" w:sz="4" w:space="0" w:color="000000"/>
              <w:right w:val="single" w:sz="4" w:space="0" w:color="auto"/>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教学内容及重点、难点</w:t>
            </w:r>
          </w:p>
        </w:tc>
        <w:tc>
          <w:tcPr>
            <w:tcW w:w="1295" w:type="pct"/>
            <w:tcBorders>
              <w:top w:val="single" w:sz="4" w:space="0" w:color="000000"/>
              <w:left w:val="single" w:sz="4" w:space="0" w:color="auto"/>
              <w:right w:val="single" w:sz="4" w:space="0" w:color="auto"/>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CA5AE3" w:rsidRPr="00854B2C" w:rsidRDefault="00CA5AE3" w:rsidP="00E07285">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支撑课程教学目标</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1</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内容：第一章</w:t>
            </w:r>
            <w:r w:rsidRPr="00854B2C">
              <w:rPr>
                <w:rFonts w:ascii="仿宋_GB2312" w:hAnsi="仿宋_GB2312" w:cs="仿宋_GB2312" w:hint="eastAsia"/>
                <w:bCs/>
                <w:sz w:val="24"/>
                <w:szCs w:val="24"/>
              </w:rPr>
              <w:t xml:space="preserve"> 工程</w:t>
            </w:r>
            <w:r w:rsidRPr="00854B2C">
              <w:rPr>
                <w:rFonts w:ascii="仿宋_GB2312" w:hAnsi="仿宋_GB2312" w:cs="仿宋_GB2312"/>
                <w:bCs/>
                <w:sz w:val="24"/>
                <w:szCs w:val="24"/>
              </w:rPr>
              <w:t>风险管理概论</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w:t>
            </w:r>
            <w:r w:rsidRPr="00854B2C">
              <w:rPr>
                <w:rFonts w:ascii="仿宋_GB2312" w:hAnsi="仿宋_GB2312" w:cs="仿宋_GB2312" w:hint="eastAsia"/>
                <w:bCs/>
                <w:sz w:val="24"/>
                <w:szCs w:val="24"/>
              </w:rPr>
              <w:t>工程风险管理的目标</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w:t>
            </w:r>
            <w:r w:rsidRPr="00854B2C">
              <w:rPr>
                <w:rFonts w:ascii="仿宋_GB2312" w:hAnsi="仿宋_GB2312" w:cs="仿宋_GB2312" w:hint="eastAsia"/>
                <w:bCs/>
                <w:sz w:val="24"/>
                <w:szCs w:val="24"/>
              </w:rPr>
              <w:t>了解风险及风险管理的基本理论</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2.掌握工程风险及工程风险管理的基本理论</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目标1</w:t>
            </w:r>
            <w:r w:rsidRPr="00854B2C">
              <w:rPr>
                <w:rFonts w:ascii="仿宋_GB2312" w:hAnsi="仿宋_GB2312" w:cs="仿宋_GB2312" w:hint="eastAsia"/>
                <w:bCs/>
                <w:sz w:val="24"/>
                <w:szCs w:val="24"/>
              </w:rPr>
              <w:t>、2、3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内容：第二章</w:t>
            </w:r>
            <w:r w:rsidRPr="00854B2C">
              <w:rPr>
                <w:rFonts w:ascii="仿宋_GB2312" w:hAnsi="仿宋_GB2312" w:cs="仿宋_GB2312" w:hint="eastAsia"/>
                <w:bCs/>
                <w:sz w:val="24"/>
                <w:szCs w:val="24"/>
              </w:rPr>
              <w:t xml:space="preserve"> 工程</w:t>
            </w:r>
            <w:r w:rsidRPr="00854B2C">
              <w:rPr>
                <w:rFonts w:ascii="仿宋_GB2312" w:hAnsi="仿宋_GB2312" w:cs="仿宋_GB2312"/>
                <w:bCs/>
                <w:sz w:val="24"/>
                <w:szCs w:val="24"/>
              </w:rPr>
              <w:t>风险</w:t>
            </w:r>
            <w:r w:rsidRPr="00854B2C">
              <w:rPr>
                <w:rFonts w:ascii="仿宋_GB2312" w:hAnsi="仿宋_GB2312" w:cs="仿宋_GB2312" w:hint="eastAsia"/>
                <w:bCs/>
                <w:sz w:val="24"/>
                <w:szCs w:val="24"/>
              </w:rPr>
              <w:t>的</w:t>
            </w:r>
            <w:r w:rsidRPr="00854B2C">
              <w:rPr>
                <w:rFonts w:ascii="仿宋_GB2312" w:hAnsi="仿宋_GB2312" w:cs="仿宋_GB2312"/>
                <w:bCs/>
                <w:sz w:val="24"/>
                <w:szCs w:val="24"/>
              </w:rPr>
              <w:t>识别</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lastRenderedPageBreak/>
              <w:t>重点：</w:t>
            </w:r>
            <w:r w:rsidRPr="00854B2C">
              <w:rPr>
                <w:rFonts w:ascii="仿宋_GB2312" w:hAnsi="仿宋_GB2312" w:cs="仿宋_GB2312" w:hint="eastAsia"/>
                <w:bCs/>
                <w:sz w:val="24"/>
                <w:szCs w:val="24"/>
              </w:rPr>
              <w:t>工程风险识别的流程</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w:t>
            </w:r>
            <w:r w:rsidRPr="00854B2C">
              <w:rPr>
                <w:rFonts w:ascii="仿宋_GB2312" w:hAnsi="仿宋_GB2312" w:cs="仿宋_GB2312" w:hint="eastAsia"/>
                <w:bCs/>
                <w:sz w:val="24"/>
                <w:szCs w:val="24"/>
              </w:rPr>
              <w:t>工程风险识别的方法</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lastRenderedPageBreak/>
              <w:t>1.</w:t>
            </w:r>
            <w:r w:rsidRPr="00854B2C">
              <w:rPr>
                <w:rFonts w:ascii="仿宋_GB2312" w:hAnsi="仿宋_GB2312" w:cs="仿宋_GB2312" w:hint="eastAsia"/>
                <w:bCs/>
                <w:sz w:val="24"/>
                <w:szCs w:val="24"/>
              </w:rPr>
              <w:t>了解工程风险识别的内涵、原则及</w:t>
            </w:r>
            <w:r w:rsidRPr="00854B2C">
              <w:rPr>
                <w:rFonts w:ascii="仿宋_GB2312" w:hAnsi="仿宋_GB2312" w:cs="仿宋_GB2312" w:hint="eastAsia"/>
                <w:bCs/>
                <w:sz w:val="24"/>
                <w:szCs w:val="24"/>
              </w:rPr>
              <w:lastRenderedPageBreak/>
              <w:t>依据</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2.理解工程风险识别的流程</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3.掌握工程风险识别的方法（德尔菲法、头脑风暴法等）</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内容：第三章</w:t>
            </w:r>
            <w:r w:rsidRPr="00854B2C">
              <w:rPr>
                <w:rFonts w:ascii="仿宋_GB2312" w:hAnsi="仿宋_GB2312" w:cs="仿宋_GB2312" w:hint="eastAsia"/>
                <w:bCs/>
                <w:sz w:val="24"/>
                <w:szCs w:val="24"/>
              </w:rPr>
              <w:t xml:space="preserve"> 工程风险的估计</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w:t>
            </w:r>
            <w:r w:rsidRPr="00854B2C">
              <w:rPr>
                <w:rFonts w:ascii="仿宋_GB2312" w:hAnsi="仿宋_GB2312" w:cs="仿宋_GB2312" w:hint="eastAsia"/>
                <w:bCs/>
                <w:sz w:val="24"/>
                <w:szCs w:val="24"/>
              </w:rPr>
              <w:t>工程风险发生概率及风险损失的估计</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w:t>
            </w:r>
            <w:r w:rsidRPr="00854B2C">
              <w:rPr>
                <w:rFonts w:ascii="仿宋_GB2312" w:hAnsi="仿宋_GB2312" w:cs="仿宋_GB2312" w:hint="eastAsia"/>
                <w:bCs/>
                <w:sz w:val="24"/>
                <w:szCs w:val="24"/>
              </w:rPr>
              <w:t>了解工程风险估计的内涵、作用、过程、内容及基础</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2.理解工程风险发生概率的估计方法</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3.理解工程风险损失的估计</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4</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内容：第四章</w:t>
            </w:r>
            <w:r w:rsidRPr="00854B2C">
              <w:rPr>
                <w:rFonts w:ascii="仿宋_GB2312" w:hAnsi="仿宋_GB2312" w:cs="仿宋_GB2312" w:hint="eastAsia"/>
                <w:bCs/>
                <w:sz w:val="24"/>
                <w:szCs w:val="24"/>
              </w:rPr>
              <w:t xml:space="preserve"> 工程风险的评价</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w:t>
            </w:r>
            <w:r w:rsidRPr="00854B2C">
              <w:rPr>
                <w:rFonts w:ascii="仿宋_GB2312" w:hAnsi="仿宋_GB2312" w:cs="仿宋_GB2312" w:hint="eastAsia"/>
                <w:bCs/>
                <w:sz w:val="24"/>
                <w:szCs w:val="24"/>
              </w:rPr>
              <w:t>工程风险的评价方法</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w:t>
            </w:r>
            <w:r w:rsidRPr="00854B2C">
              <w:rPr>
                <w:rFonts w:ascii="仿宋_GB2312" w:hAnsi="仿宋_GB2312" w:cs="仿宋_GB2312" w:hint="eastAsia"/>
                <w:bCs/>
                <w:sz w:val="24"/>
                <w:szCs w:val="24"/>
              </w:rPr>
              <w:t>工程风险的定量分析评价方法</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w:t>
            </w:r>
            <w:r w:rsidRPr="00854B2C">
              <w:rPr>
                <w:rFonts w:ascii="仿宋_GB2312" w:hAnsi="仿宋_GB2312" w:cs="仿宋_GB2312" w:hint="eastAsia"/>
                <w:bCs/>
                <w:sz w:val="24"/>
                <w:szCs w:val="24"/>
              </w:rPr>
              <w:t>了解工程风险评价的内涵、步骤和评价标准</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2.理解工程风险的评价方法-定性分析及定量分析</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5</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内容：第五章</w:t>
            </w:r>
            <w:r w:rsidRPr="00854B2C">
              <w:rPr>
                <w:rFonts w:ascii="仿宋_GB2312" w:hAnsi="仿宋_GB2312" w:cs="仿宋_GB2312" w:hint="eastAsia"/>
                <w:bCs/>
                <w:sz w:val="24"/>
                <w:szCs w:val="24"/>
              </w:rPr>
              <w:t xml:space="preserve"> 工程</w:t>
            </w:r>
            <w:r w:rsidRPr="00854B2C">
              <w:rPr>
                <w:rFonts w:ascii="仿宋_GB2312" w:hAnsi="仿宋_GB2312" w:cs="仿宋_GB2312"/>
                <w:bCs/>
                <w:sz w:val="24"/>
                <w:szCs w:val="24"/>
              </w:rPr>
              <w:t>风险的</w:t>
            </w:r>
            <w:r w:rsidRPr="00854B2C">
              <w:rPr>
                <w:rFonts w:ascii="仿宋_GB2312" w:hAnsi="仿宋_GB2312" w:cs="仿宋_GB2312" w:hint="eastAsia"/>
                <w:bCs/>
                <w:sz w:val="24"/>
                <w:szCs w:val="24"/>
              </w:rPr>
              <w:t>决策</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w:t>
            </w:r>
            <w:r w:rsidRPr="00854B2C">
              <w:rPr>
                <w:rFonts w:ascii="仿宋_GB2312" w:hAnsi="仿宋_GB2312" w:cs="仿宋_GB2312" w:hint="eastAsia"/>
                <w:bCs/>
                <w:sz w:val="24"/>
                <w:szCs w:val="24"/>
              </w:rPr>
              <w:t>工程风险态度</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w:t>
            </w:r>
            <w:r w:rsidRPr="00854B2C">
              <w:rPr>
                <w:rFonts w:ascii="仿宋_GB2312" w:hAnsi="仿宋_GB2312" w:cs="仿宋_GB2312" w:hint="eastAsia"/>
                <w:bCs/>
                <w:sz w:val="24"/>
                <w:szCs w:val="24"/>
              </w:rPr>
              <w:t>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w:t>
            </w:r>
            <w:r w:rsidRPr="00854B2C">
              <w:rPr>
                <w:rFonts w:ascii="仿宋_GB2312" w:hAnsi="仿宋_GB2312" w:cs="仿宋_GB2312" w:hint="eastAsia"/>
                <w:bCs/>
                <w:sz w:val="24"/>
                <w:szCs w:val="24"/>
              </w:rPr>
              <w:t>了解工程风险决策的基本原则、关键要素及程序</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2.理解风险态度</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3.掌握风险决策方法（损益值法、效用值等）</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6</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内容：第六章</w:t>
            </w:r>
            <w:r w:rsidRPr="00854B2C">
              <w:rPr>
                <w:rFonts w:ascii="仿宋_GB2312" w:hAnsi="仿宋_GB2312" w:cs="仿宋_GB2312" w:hint="eastAsia"/>
                <w:bCs/>
                <w:sz w:val="24"/>
                <w:szCs w:val="24"/>
              </w:rPr>
              <w:t xml:space="preserve"> 工程风险的应对</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w:t>
            </w:r>
            <w:r w:rsidRPr="00854B2C">
              <w:rPr>
                <w:rFonts w:ascii="仿宋_GB2312" w:hAnsi="仿宋_GB2312" w:cs="仿宋_GB2312" w:hint="eastAsia"/>
                <w:bCs/>
                <w:sz w:val="24"/>
                <w:szCs w:val="24"/>
              </w:rPr>
              <w:t>突发事件的应急管理</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w:t>
            </w:r>
            <w:r w:rsidRPr="00854B2C">
              <w:rPr>
                <w:rFonts w:ascii="仿宋_GB2312" w:hAnsi="仿宋_GB2312" w:cs="仿宋_GB2312" w:hint="eastAsia"/>
                <w:bCs/>
                <w:sz w:val="24"/>
                <w:szCs w:val="24"/>
              </w:rPr>
              <w:t>了解工程风险应对计划及监控</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2.掌握突发事件的应急管理</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1、2、3</w:t>
            </w:r>
          </w:p>
        </w:tc>
      </w:tr>
      <w:tr w:rsidR="00CA5AE3" w:rsidTr="00E07285">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7</w:t>
            </w:r>
          </w:p>
        </w:tc>
        <w:tc>
          <w:tcPr>
            <w:tcW w:w="1870"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内容：第七章</w:t>
            </w:r>
            <w:r w:rsidRPr="00854B2C">
              <w:rPr>
                <w:rFonts w:ascii="仿宋_GB2312" w:hAnsi="仿宋_GB2312" w:cs="仿宋_GB2312" w:hint="eastAsia"/>
                <w:bCs/>
                <w:sz w:val="24"/>
                <w:szCs w:val="24"/>
              </w:rPr>
              <w:t xml:space="preserve"> 工程保险</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重点：</w:t>
            </w:r>
            <w:r w:rsidRPr="00854B2C">
              <w:rPr>
                <w:rFonts w:ascii="仿宋_GB2312" w:hAnsi="仿宋_GB2312" w:cs="仿宋_GB2312" w:hint="eastAsia"/>
                <w:bCs/>
                <w:sz w:val="24"/>
                <w:szCs w:val="24"/>
              </w:rPr>
              <w:t>工程索赔与理赔</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w:t>
            </w:r>
            <w:r w:rsidRPr="00854B2C">
              <w:rPr>
                <w:rFonts w:ascii="仿宋_GB2312" w:hAnsi="仿宋_GB2312" w:cs="仿宋_GB2312" w:hint="eastAsia"/>
                <w:bCs/>
                <w:sz w:val="24"/>
                <w:szCs w:val="24"/>
              </w:rPr>
              <w:t>了解工程保险相关概念</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2.熟悉工程保险投保及保险合同管理</w:t>
            </w:r>
          </w:p>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3.掌握工程保险索赔及理赔</w:t>
            </w:r>
          </w:p>
        </w:tc>
        <w:tc>
          <w:tcPr>
            <w:tcW w:w="575" w:type="pct"/>
            <w:tcBorders>
              <w:top w:val="single" w:sz="4" w:space="0" w:color="000000"/>
              <w:left w:val="single" w:sz="4" w:space="0" w:color="auto"/>
              <w:bottom w:val="single" w:sz="4" w:space="0" w:color="000000"/>
              <w:right w:val="single" w:sz="4" w:space="0" w:color="000000"/>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E07285">
            <w:pPr>
              <w:spacing w:line="360" w:lineRule="exact"/>
              <w:jc w:val="center"/>
              <w:rPr>
                <w:rFonts w:ascii="仿宋_GB2312" w:hAnsi="仿宋_GB2312" w:cs="仿宋_GB2312"/>
                <w:bCs/>
                <w:sz w:val="24"/>
                <w:szCs w:val="24"/>
              </w:rPr>
            </w:pPr>
            <w:r w:rsidRPr="00854B2C">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1、2、3</w:t>
            </w:r>
          </w:p>
        </w:tc>
      </w:tr>
    </w:tbl>
    <w:p w:rsidR="00CA5AE3" w:rsidRPr="00854B2C" w:rsidRDefault="00CA5AE3" w:rsidP="00CA5AE3">
      <w:pPr>
        <w:keepNext/>
        <w:spacing w:beforeLines="100" w:before="312" w:afterLines="50" w:after="156" w:line="360" w:lineRule="exact"/>
        <w:outlineLvl w:val="0"/>
        <w:rPr>
          <w:rFonts w:ascii="仿宋" w:eastAsia="仿宋" w:hAnsi="仿宋"/>
          <w:b/>
          <w:sz w:val="28"/>
          <w:szCs w:val="28"/>
        </w:rPr>
      </w:pPr>
      <w:r w:rsidRPr="00854B2C">
        <w:rPr>
          <w:rFonts w:ascii="仿宋" w:eastAsia="仿宋" w:hAnsi="仿宋"/>
          <w:b/>
          <w:sz w:val="28"/>
          <w:szCs w:val="28"/>
        </w:rPr>
        <w:lastRenderedPageBreak/>
        <w:t>课内实践教学内容及要求</w:t>
      </w:r>
    </w:p>
    <w:p w:rsidR="00CA5AE3" w:rsidRPr="00854B2C" w:rsidRDefault="00CA5AE3" w:rsidP="00CA5AE3">
      <w:pPr>
        <w:adjustRightInd w:val="0"/>
        <w:snapToGrid w:val="0"/>
        <w:spacing w:line="360" w:lineRule="exact"/>
        <w:rPr>
          <w:rFonts w:ascii="Times New Roman" w:hAnsi="Times New Roman"/>
          <w:sz w:val="28"/>
          <w:szCs w:val="28"/>
        </w:rPr>
      </w:pPr>
      <w:r w:rsidRPr="00854B2C">
        <w:rPr>
          <w:rFonts w:ascii="Times New Roman" w:hAnsi="Times New Roman"/>
          <w:sz w:val="28"/>
          <w:szCs w:val="28"/>
        </w:rPr>
        <w:t>无</w:t>
      </w:r>
    </w:p>
    <w:p w:rsidR="00CA5AE3" w:rsidRPr="00854B2C" w:rsidRDefault="00CA5AE3" w:rsidP="00CA5AE3">
      <w:pPr>
        <w:keepNext/>
        <w:spacing w:beforeLines="100" w:before="312" w:afterLines="50" w:after="156" w:line="360" w:lineRule="exact"/>
        <w:outlineLvl w:val="0"/>
        <w:rPr>
          <w:rFonts w:ascii="仿宋" w:eastAsia="仿宋" w:hAnsi="仿宋"/>
          <w:b/>
          <w:sz w:val="28"/>
          <w:szCs w:val="28"/>
        </w:rPr>
      </w:pPr>
      <w:r w:rsidRPr="00854B2C">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CA5AE3" w:rsidTr="00E07285">
        <w:trPr>
          <w:trHeight w:val="454"/>
          <w:jc w:val="center"/>
        </w:trPr>
        <w:tc>
          <w:tcPr>
            <w:tcW w:w="1624" w:type="pct"/>
            <w:vMerge w:val="restart"/>
            <w:vAlign w:val="center"/>
          </w:tcPr>
          <w:p w:rsidR="00CA5AE3" w:rsidRPr="00854B2C" w:rsidRDefault="00CA5AE3" w:rsidP="00854B2C">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章  节</w:t>
            </w:r>
          </w:p>
        </w:tc>
        <w:tc>
          <w:tcPr>
            <w:tcW w:w="2937" w:type="pct"/>
            <w:gridSpan w:val="6"/>
            <w:vAlign w:val="center"/>
          </w:tcPr>
          <w:p w:rsidR="00CA5AE3" w:rsidRPr="00854B2C" w:rsidRDefault="00CA5AE3" w:rsidP="00854B2C">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学 时 分 配</w:t>
            </w:r>
          </w:p>
        </w:tc>
        <w:tc>
          <w:tcPr>
            <w:tcW w:w="439" w:type="pct"/>
            <w:vMerge w:val="restart"/>
            <w:vAlign w:val="center"/>
          </w:tcPr>
          <w:p w:rsidR="00CA5AE3" w:rsidRPr="00854B2C" w:rsidRDefault="00CA5AE3" w:rsidP="00854B2C">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合  计</w:t>
            </w:r>
          </w:p>
        </w:tc>
      </w:tr>
      <w:tr w:rsidR="00CA5AE3" w:rsidTr="00E07285">
        <w:trPr>
          <w:trHeight w:val="454"/>
          <w:jc w:val="center"/>
        </w:trPr>
        <w:tc>
          <w:tcPr>
            <w:tcW w:w="1624" w:type="pct"/>
            <w:vMerge/>
            <w:vAlign w:val="center"/>
          </w:tcPr>
          <w:p w:rsidR="00CA5AE3" w:rsidRDefault="00CA5AE3" w:rsidP="00E07285">
            <w:pPr>
              <w:adjustRightInd w:val="0"/>
              <w:snapToGrid w:val="0"/>
              <w:spacing w:line="360" w:lineRule="exact"/>
              <w:jc w:val="center"/>
              <w:rPr>
                <w:rFonts w:ascii="Times New Roman" w:hAnsi="Times New Roman"/>
                <w:b/>
              </w:rPr>
            </w:pPr>
          </w:p>
        </w:tc>
        <w:tc>
          <w:tcPr>
            <w:tcW w:w="489" w:type="pct"/>
            <w:vAlign w:val="center"/>
          </w:tcPr>
          <w:p w:rsidR="00CA5AE3" w:rsidRPr="00854B2C" w:rsidRDefault="00CA5AE3" w:rsidP="00854B2C">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讲  课</w:t>
            </w:r>
          </w:p>
        </w:tc>
        <w:tc>
          <w:tcPr>
            <w:tcW w:w="490" w:type="pct"/>
            <w:vAlign w:val="center"/>
          </w:tcPr>
          <w:p w:rsidR="00CA5AE3" w:rsidRPr="00854B2C" w:rsidRDefault="00CA5AE3" w:rsidP="00854B2C">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实验课</w:t>
            </w:r>
          </w:p>
        </w:tc>
        <w:tc>
          <w:tcPr>
            <w:tcW w:w="489" w:type="pct"/>
            <w:vAlign w:val="center"/>
          </w:tcPr>
          <w:p w:rsidR="00CA5AE3" w:rsidRPr="00854B2C" w:rsidRDefault="00CA5AE3" w:rsidP="00854B2C">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上机课</w:t>
            </w:r>
          </w:p>
        </w:tc>
        <w:tc>
          <w:tcPr>
            <w:tcW w:w="490" w:type="pct"/>
            <w:vAlign w:val="center"/>
          </w:tcPr>
          <w:p w:rsidR="00CA5AE3" w:rsidRPr="00854B2C" w:rsidRDefault="00CA5AE3" w:rsidP="00854B2C">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讨论课</w:t>
            </w:r>
          </w:p>
        </w:tc>
        <w:tc>
          <w:tcPr>
            <w:tcW w:w="489" w:type="pct"/>
            <w:vAlign w:val="center"/>
          </w:tcPr>
          <w:p w:rsidR="00CA5AE3" w:rsidRPr="00854B2C" w:rsidRDefault="00CA5AE3" w:rsidP="00854B2C">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习题课</w:t>
            </w:r>
          </w:p>
        </w:tc>
        <w:tc>
          <w:tcPr>
            <w:tcW w:w="490" w:type="pct"/>
            <w:vAlign w:val="center"/>
          </w:tcPr>
          <w:p w:rsidR="00CA5AE3" w:rsidRPr="00854B2C" w:rsidRDefault="00CA5AE3" w:rsidP="00854B2C">
            <w:pPr>
              <w:spacing w:line="360" w:lineRule="exact"/>
              <w:jc w:val="center"/>
              <w:rPr>
                <w:rFonts w:ascii="仿宋_GB2312" w:hAnsi="仿宋_GB2312" w:cs="仿宋_GB2312"/>
                <w:b/>
                <w:bCs/>
                <w:sz w:val="24"/>
                <w:szCs w:val="24"/>
              </w:rPr>
            </w:pPr>
            <w:r w:rsidRPr="00854B2C">
              <w:rPr>
                <w:rFonts w:ascii="仿宋_GB2312" w:hAnsi="仿宋_GB2312" w:cs="仿宋_GB2312"/>
                <w:b/>
                <w:bCs/>
                <w:sz w:val="24"/>
                <w:szCs w:val="24"/>
              </w:rPr>
              <w:t>其  它</w:t>
            </w:r>
          </w:p>
        </w:tc>
        <w:tc>
          <w:tcPr>
            <w:tcW w:w="439" w:type="pct"/>
            <w:vMerge/>
            <w:vAlign w:val="center"/>
          </w:tcPr>
          <w:p w:rsidR="00CA5AE3" w:rsidRDefault="00CA5AE3" w:rsidP="00E07285">
            <w:pPr>
              <w:adjustRightInd w:val="0"/>
              <w:snapToGrid w:val="0"/>
              <w:spacing w:line="360" w:lineRule="exact"/>
              <w:jc w:val="center"/>
              <w:rPr>
                <w:rFonts w:ascii="Times New Roman" w:hAnsi="Times New Roman"/>
              </w:rPr>
            </w:pPr>
          </w:p>
        </w:tc>
      </w:tr>
      <w:tr w:rsidR="00CA5AE3" w:rsidRPr="00854B2C" w:rsidTr="00E07285">
        <w:trPr>
          <w:trHeight w:val="454"/>
          <w:jc w:val="center"/>
        </w:trPr>
        <w:tc>
          <w:tcPr>
            <w:tcW w:w="1624"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第一章</w:t>
            </w: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w:t>
            </w:r>
          </w:p>
        </w:tc>
      </w:tr>
      <w:tr w:rsidR="00CA5AE3" w:rsidRPr="00854B2C" w:rsidTr="00E07285">
        <w:trPr>
          <w:trHeight w:val="454"/>
          <w:jc w:val="center"/>
        </w:trPr>
        <w:tc>
          <w:tcPr>
            <w:tcW w:w="1624"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第二章</w:t>
            </w: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4</w:t>
            </w: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4</w:t>
            </w:r>
          </w:p>
        </w:tc>
      </w:tr>
      <w:tr w:rsidR="00CA5AE3" w:rsidRPr="00854B2C" w:rsidTr="00E07285">
        <w:trPr>
          <w:trHeight w:val="454"/>
          <w:jc w:val="center"/>
        </w:trPr>
        <w:tc>
          <w:tcPr>
            <w:tcW w:w="1624"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第三章</w:t>
            </w: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w:t>
            </w:r>
          </w:p>
        </w:tc>
      </w:tr>
      <w:tr w:rsidR="00CA5AE3" w:rsidRPr="00854B2C" w:rsidTr="00E07285">
        <w:trPr>
          <w:trHeight w:val="454"/>
          <w:jc w:val="center"/>
        </w:trPr>
        <w:tc>
          <w:tcPr>
            <w:tcW w:w="1624"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第四章</w:t>
            </w: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2</w:t>
            </w: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2</w:t>
            </w:r>
          </w:p>
        </w:tc>
      </w:tr>
      <w:tr w:rsidR="00CA5AE3" w:rsidRPr="00854B2C" w:rsidTr="00E07285">
        <w:trPr>
          <w:trHeight w:val="454"/>
          <w:jc w:val="center"/>
        </w:trPr>
        <w:tc>
          <w:tcPr>
            <w:tcW w:w="1624"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第五章</w:t>
            </w: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2</w:t>
            </w: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2</w:t>
            </w:r>
          </w:p>
        </w:tc>
      </w:tr>
      <w:tr w:rsidR="00CA5AE3" w:rsidRPr="00854B2C" w:rsidTr="00E07285">
        <w:trPr>
          <w:trHeight w:val="454"/>
          <w:jc w:val="center"/>
        </w:trPr>
        <w:tc>
          <w:tcPr>
            <w:tcW w:w="1624"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第六章</w:t>
            </w: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2</w:t>
            </w: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2</w:t>
            </w:r>
          </w:p>
        </w:tc>
      </w:tr>
      <w:tr w:rsidR="00CA5AE3" w:rsidRPr="00854B2C" w:rsidTr="00E07285">
        <w:trPr>
          <w:trHeight w:val="454"/>
          <w:jc w:val="center"/>
        </w:trPr>
        <w:tc>
          <w:tcPr>
            <w:tcW w:w="1624"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第七章</w:t>
            </w: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2</w:t>
            </w: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2</w:t>
            </w:r>
          </w:p>
        </w:tc>
      </w:tr>
      <w:tr w:rsidR="00CA5AE3" w:rsidRPr="00854B2C" w:rsidTr="00E07285">
        <w:trPr>
          <w:trHeight w:val="454"/>
          <w:jc w:val="center"/>
        </w:trPr>
        <w:tc>
          <w:tcPr>
            <w:tcW w:w="1624"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共  计</w:t>
            </w: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16</w:t>
            </w: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89"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90" w:type="pct"/>
            <w:vAlign w:val="center"/>
          </w:tcPr>
          <w:p w:rsidR="00CA5AE3" w:rsidRPr="00854B2C" w:rsidRDefault="00CA5AE3" w:rsidP="00854B2C">
            <w:pPr>
              <w:spacing w:line="360" w:lineRule="exact"/>
              <w:jc w:val="left"/>
              <w:rPr>
                <w:rFonts w:ascii="仿宋_GB2312" w:hAnsi="仿宋_GB2312" w:cs="仿宋_GB2312"/>
                <w:bCs/>
                <w:sz w:val="24"/>
                <w:szCs w:val="24"/>
              </w:rPr>
            </w:pPr>
          </w:p>
        </w:tc>
        <w:tc>
          <w:tcPr>
            <w:tcW w:w="4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16</w:t>
            </w:r>
          </w:p>
        </w:tc>
      </w:tr>
    </w:tbl>
    <w:p w:rsidR="00CA5AE3" w:rsidRPr="00854B2C" w:rsidRDefault="00CA5AE3" w:rsidP="00854B2C">
      <w:pPr>
        <w:keepNext/>
        <w:spacing w:beforeLines="100" w:before="312" w:afterLines="50" w:after="156" w:line="360" w:lineRule="exact"/>
        <w:outlineLvl w:val="0"/>
        <w:rPr>
          <w:rFonts w:ascii="仿宋" w:eastAsia="仿宋" w:hAnsi="仿宋"/>
          <w:b/>
          <w:sz w:val="28"/>
          <w:szCs w:val="28"/>
        </w:rPr>
      </w:pPr>
      <w:r w:rsidRPr="00854B2C">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930"/>
        <w:gridCol w:w="3217"/>
      </w:tblGrid>
      <w:tr w:rsidR="00CA5AE3" w:rsidTr="00E07285">
        <w:trPr>
          <w:trHeight w:val="454"/>
          <w:jc w:val="center"/>
        </w:trPr>
        <w:tc>
          <w:tcPr>
            <w:tcW w:w="343" w:type="pct"/>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序号</w:t>
            </w:r>
          </w:p>
        </w:tc>
        <w:tc>
          <w:tcPr>
            <w:tcW w:w="1555" w:type="pct"/>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课程思政教学目标</w:t>
            </w:r>
          </w:p>
        </w:tc>
        <w:tc>
          <w:tcPr>
            <w:tcW w:w="1163" w:type="pct"/>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授课章节</w:t>
            </w:r>
          </w:p>
        </w:tc>
        <w:tc>
          <w:tcPr>
            <w:tcW w:w="1939" w:type="pct"/>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课程思政融入点（至少5处）</w:t>
            </w:r>
          </w:p>
        </w:tc>
      </w:tr>
      <w:tr w:rsidR="00CA5AE3" w:rsidTr="00E07285">
        <w:trPr>
          <w:trHeight w:val="454"/>
          <w:jc w:val="center"/>
        </w:trPr>
        <w:tc>
          <w:tcPr>
            <w:tcW w:w="343"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w:t>
            </w:r>
          </w:p>
        </w:tc>
        <w:tc>
          <w:tcPr>
            <w:tcW w:w="1555"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正确政治导向</w:t>
            </w:r>
          </w:p>
        </w:tc>
        <w:tc>
          <w:tcPr>
            <w:tcW w:w="1163"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第一、七章</w:t>
            </w:r>
          </w:p>
        </w:tc>
        <w:tc>
          <w:tcPr>
            <w:tcW w:w="19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新时代要求提升风险意识</w:t>
            </w:r>
          </w:p>
        </w:tc>
      </w:tr>
      <w:tr w:rsidR="00CA5AE3" w:rsidTr="00E07285">
        <w:trPr>
          <w:trHeight w:val="454"/>
          <w:jc w:val="center"/>
        </w:trPr>
        <w:tc>
          <w:tcPr>
            <w:tcW w:w="343"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2</w:t>
            </w:r>
          </w:p>
        </w:tc>
        <w:tc>
          <w:tcPr>
            <w:tcW w:w="1555"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社会主义核心价值观教育</w:t>
            </w:r>
          </w:p>
        </w:tc>
        <w:tc>
          <w:tcPr>
            <w:tcW w:w="1163"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第一~七章</w:t>
            </w:r>
          </w:p>
        </w:tc>
        <w:tc>
          <w:tcPr>
            <w:tcW w:w="19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工程风险防控技术是保证工程项目顺利实施的有力保障</w:t>
            </w:r>
          </w:p>
        </w:tc>
      </w:tr>
      <w:tr w:rsidR="00CA5AE3" w:rsidTr="00E07285">
        <w:trPr>
          <w:trHeight w:val="454"/>
          <w:jc w:val="center"/>
        </w:trPr>
        <w:tc>
          <w:tcPr>
            <w:tcW w:w="343"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3</w:t>
            </w:r>
          </w:p>
        </w:tc>
        <w:tc>
          <w:tcPr>
            <w:tcW w:w="1555"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远大理想塑造</w:t>
            </w:r>
          </w:p>
        </w:tc>
        <w:tc>
          <w:tcPr>
            <w:tcW w:w="1163"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第二~七章</w:t>
            </w:r>
          </w:p>
        </w:tc>
        <w:tc>
          <w:tcPr>
            <w:tcW w:w="19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风险理论及相关技术具有广阔的发展空间</w:t>
            </w:r>
          </w:p>
        </w:tc>
      </w:tr>
      <w:tr w:rsidR="00CA5AE3" w:rsidTr="00E07285">
        <w:trPr>
          <w:trHeight w:val="454"/>
          <w:jc w:val="center"/>
        </w:trPr>
        <w:tc>
          <w:tcPr>
            <w:tcW w:w="343"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4</w:t>
            </w:r>
          </w:p>
        </w:tc>
        <w:tc>
          <w:tcPr>
            <w:tcW w:w="1555"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健康心态培育</w:t>
            </w:r>
          </w:p>
        </w:tc>
        <w:tc>
          <w:tcPr>
            <w:tcW w:w="1163"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第二~七章</w:t>
            </w:r>
          </w:p>
        </w:tc>
        <w:tc>
          <w:tcPr>
            <w:tcW w:w="19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风险理论及相关技术具有不断创新的需求，面对新问题并不断学习，致力寻求解决途径</w:t>
            </w:r>
          </w:p>
        </w:tc>
      </w:tr>
      <w:tr w:rsidR="00CA5AE3" w:rsidTr="00E07285">
        <w:trPr>
          <w:trHeight w:val="454"/>
          <w:jc w:val="center"/>
        </w:trPr>
        <w:tc>
          <w:tcPr>
            <w:tcW w:w="343"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5</w:t>
            </w:r>
          </w:p>
        </w:tc>
        <w:tc>
          <w:tcPr>
            <w:tcW w:w="1555"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道德品质培养</w:t>
            </w:r>
          </w:p>
        </w:tc>
        <w:tc>
          <w:tcPr>
            <w:tcW w:w="1163"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第一~七章</w:t>
            </w:r>
          </w:p>
        </w:tc>
        <w:tc>
          <w:tcPr>
            <w:tcW w:w="1939" w:type="pct"/>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以人为本，生命至上，在利益与风险的得失之间把握好自己的正确立场</w:t>
            </w:r>
          </w:p>
        </w:tc>
      </w:tr>
    </w:tbl>
    <w:p w:rsidR="00854B2C" w:rsidRDefault="00854B2C" w:rsidP="00854B2C">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五、课程考核方式与成绩评定</w:t>
      </w:r>
    </w:p>
    <w:p w:rsidR="00CA5AE3" w:rsidRPr="00854B2C" w:rsidRDefault="00CA5AE3"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lastRenderedPageBreak/>
        <w:t>（1）考核方式</w:t>
      </w:r>
    </w:p>
    <w:p w:rsidR="00CA5AE3" w:rsidRPr="00854B2C" w:rsidRDefault="00CA5AE3"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t>本课程考核方式为考试，其中期末考核方式为非标准答案考试，过程考核方式为课堂出勤</w:t>
      </w:r>
      <w:r w:rsidR="00854B2C">
        <w:rPr>
          <w:rFonts w:ascii="仿宋_GB2312" w:hAnsi="仿宋_GB2312" w:cs="仿宋_GB2312" w:hint="eastAsia"/>
          <w:bCs/>
          <w:sz w:val="28"/>
          <w:szCs w:val="28"/>
        </w:rPr>
        <w:t>及</w:t>
      </w:r>
      <w:r w:rsidRPr="00854B2C">
        <w:rPr>
          <w:rFonts w:ascii="仿宋_GB2312" w:hAnsi="仿宋_GB2312" w:cs="仿宋_GB2312"/>
          <w:bCs/>
          <w:sz w:val="28"/>
          <w:szCs w:val="28"/>
        </w:rPr>
        <w:t>作业完成情况等。</w:t>
      </w:r>
    </w:p>
    <w:p w:rsidR="00CA5AE3" w:rsidRPr="00854B2C" w:rsidRDefault="00CA5AE3"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880"/>
        <w:gridCol w:w="1340"/>
        <w:gridCol w:w="1340"/>
        <w:gridCol w:w="1340"/>
        <w:gridCol w:w="1342"/>
      </w:tblGrid>
      <w:tr w:rsidR="00CA5AE3" w:rsidTr="00E07285">
        <w:trPr>
          <w:trHeight w:val="454"/>
          <w:jc w:val="center"/>
        </w:trPr>
        <w:tc>
          <w:tcPr>
            <w:tcW w:w="397" w:type="pct"/>
            <w:vMerge w:val="restart"/>
            <w:tcBorders>
              <w:top w:val="single" w:sz="4" w:space="0" w:color="000000"/>
              <w:left w:val="single" w:sz="4" w:space="0" w:color="000000"/>
              <w:right w:val="single" w:sz="4" w:space="0" w:color="000000"/>
            </w:tcBorders>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课程</w:t>
            </w:r>
          </w:p>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目标</w:t>
            </w:r>
          </w:p>
        </w:tc>
        <w:tc>
          <w:tcPr>
            <w:tcW w:w="3954" w:type="pct"/>
            <w:gridSpan w:val="4"/>
            <w:tcBorders>
              <w:top w:val="single" w:sz="4" w:space="0" w:color="000000"/>
              <w:left w:val="single" w:sz="4" w:space="0" w:color="auto"/>
              <w:bottom w:val="single" w:sz="4" w:space="0" w:color="auto"/>
              <w:right w:val="single" w:sz="4" w:space="0" w:color="auto"/>
            </w:tcBorders>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考核方式及成绩比例（%）</w:t>
            </w:r>
          </w:p>
        </w:tc>
      </w:tr>
      <w:tr w:rsidR="00CA5AE3" w:rsidTr="00E07285">
        <w:trPr>
          <w:trHeight w:val="454"/>
          <w:jc w:val="center"/>
        </w:trPr>
        <w:tc>
          <w:tcPr>
            <w:tcW w:w="397" w:type="pct"/>
            <w:vMerge/>
            <w:tcBorders>
              <w:left w:val="single" w:sz="4" w:space="0" w:color="000000"/>
              <w:bottom w:val="single" w:sz="4" w:space="0" w:color="000000"/>
              <w:right w:val="single" w:sz="4" w:space="0" w:color="000000"/>
            </w:tcBorders>
            <w:vAlign w:val="center"/>
          </w:tcPr>
          <w:p w:rsidR="00CA5AE3" w:rsidRPr="00854B2C" w:rsidRDefault="00CA5AE3" w:rsidP="00854B2C">
            <w:pPr>
              <w:spacing w:line="360" w:lineRule="exact"/>
              <w:jc w:val="left"/>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
                <w:bCs/>
                <w:sz w:val="24"/>
                <w:szCs w:val="24"/>
              </w:rPr>
            </w:pPr>
          </w:p>
        </w:tc>
        <w:tc>
          <w:tcPr>
            <w:tcW w:w="988" w:type="pct"/>
            <w:tcBorders>
              <w:top w:val="single" w:sz="4" w:space="0" w:color="auto"/>
              <w:left w:val="single" w:sz="4" w:space="0" w:color="auto"/>
              <w:right w:val="single" w:sz="4" w:space="0" w:color="auto"/>
            </w:tcBorders>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考勤</w:t>
            </w:r>
          </w:p>
        </w:tc>
        <w:tc>
          <w:tcPr>
            <w:tcW w:w="988" w:type="pct"/>
            <w:tcBorders>
              <w:top w:val="single" w:sz="4" w:space="0" w:color="auto"/>
              <w:left w:val="single" w:sz="4" w:space="0" w:color="auto"/>
              <w:right w:val="single" w:sz="4" w:space="0" w:color="auto"/>
            </w:tcBorders>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作业</w:t>
            </w:r>
          </w:p>
        </w:tc>
        <w:tc>
          <w:tcPr>
            <w:tcW w:w="988" w:type="pct"/>
            <w:tcBorders>
              <w:top w:val="single" w:sz="4" w:space="0" w:color="auto"/>
              <w:left w:val="single" w:sz="4" w:space="0" w:color="auto"/>
              <w:right w:val="single" w:sz="4" w:space="0" w:color="auto"/>
            </w:tcBorders>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考试</w:t>
            </w:r>
          </w:p>
        </w:tc>
        <w:tc>
          <w:tcPr>
            <w:tcW w:w="989" w:type="pct"/>
            <w:tcBorders>
              <w:top w:val="single" w:sz="4" w:space="0" w:color="auto"/>
              <w:left w:val="single" w:sz="4" w:space="0" w:color="auto"/>
              <w:right w:val="single" w:sz="4" w:space="0" w:color="auto"/>
            </w:tcBorders>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合计</w:t>
            </w:r>
          </w:p>
        </w:tc>
      </w:tr>
      <w:tr w:rsidR="00CA5AE3" w:rsidTr="00E07285">
        <w:trPr>
          <w:trHeight w:val="454"/>
          <w:jc w:val="center"/>
        </w:trPr>
        <w:tc>
          <w:tcPr>
            <w:tcW w:w="397"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目标1</w:t>
            </w:r>
          </w:p>
        </w:tc>
        <w:tc>
          <w:tcPr>
            <w:tcW w:w="98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4</w:t>
            </w:r>
          </w:p>
        </w:tc>
        <w:tc>
          <w:tcPr>
            <w:tcW w:w="98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4</w:t>
            </w:r>
          </w:p>
        </w:tc>
        <w:tc>
          <w:tcPr>
            <w:tcW w:w="98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40</w:t>
            </w:r>
          </w:p>
        </w:tc>
        <w:tc>
          <w:tcPr>
            <w:tcW w:w="989"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48</w:t>
            </w:r>
          </w:p>
        </w:tc>
      </w:tr>
      <w:tr w:rsidR="00CA5AE3" w:rsidTr="00E07285">
        <w:trPr>
          <w:trHeight w:val="454"/>
          <w:jc w:val="center"/>
        </w:trPr>
        <w:tc>
          <w:tcPr>
            <w:tcW w:w="397"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目标2</w:t>
            </w:r>
          </w:p>
        </w:tc>
        <w:tc>
          <w:tcPr>
            <w:tcW w:w="98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4</w:t>
            </w:r>
          </w:p>
        </w:tc>
        <w:tc>
          <w:tcPr>
            <w:tcW w:w="98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98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5</w:t>
            </w:r>
          </w:p>
        </w:tc>
        <w:tc>
          <w:tcPr>
            <w:tcW w:w="989"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11</w:t>
            </w:r>
          </w:p>
        </w:tc>
      </w:tr>
      <w:tr w:rsidR="00CA5AE3" w:rsidTr="00E07285">
        <w:trPr>
          <w:trHeight w:val="454"/>
          <w:jc w:val="center"/>
        </w:trPr>
        <w:tc>
          <w:tcPr>
            <w:tcW w:w="397"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目标3</w:t>
            </w:r>
          </w:p>
        </w:tc>
        <w:tc>
          <w:tcPr>
            <w:tcW w:w="98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2</w:t>
            </w:r>
          </w:p>
        </w:tc>
        <w:tc>
          <w:tcPr>
            <w:tcW w:w="98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4</w:t>
            </w:r>
          </w:p>
        </w:tc>
        <w:tc>
          <w:tcPr>
            <w:tcW w:w="98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3</w:t>
            </w:r>
            <w:r w:rsidRPr="00854B2C">
              <w:rPr>
                <w:rFonts w:ascii="仿宋_GB2312" w:hAnsi="仿宋_GB2312" w:cs="仿宋_GB2312"/>
                <w:bCs/>
                <w:sz w:val="24"/>
                <w:szCs w:val="24"/>
              </w:rPr>
              <w:t>5</w:t>
            </w:r>
          </w:p>
        </w:tc>
        <w:tc>
          <w:tcPr>
            <w:tcW w:w="989"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41</w:t>
            </w:r>
          </w:p>
        </w:tc>
      </w:tr>
      <w:tr w:rsidR="00CA5AE3" w:rsidTr="00E07285">
        <w:trPr>
          <w:trHeight w:val="454"/>
          <w:jc w:val="center"/>
        </w:trPr>
        <w:tc>
          <w:tcPr>
            <w:tcW w:w="1046" w:type="pct"/>
            <w:gridSpan w:val="2"/>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共计</w:t>
            </w:r>
          </w:p>
        </w:tc>
        <w:tc>
          <w:tcPr>
            <w:tcW w:w="98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10</w:t>
            </w:r>
          </w:p>
        </w:tc>
        <w:tc>
          <w:tcPr>
            <w:tcW w:w="98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10</w:t>
            </w:r>
          </w:p>
        </w:tc>
        <w:tc>
          <w:tcPr>
            <w:tcW w:w="98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80</w:t>
            </w:r>
          </w:p>
        </w:tc>
        <w:tc>
          <w:tcPr>
            <w:tcW w:w="989"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100</w:t>
            </w:r>
          </w:p>
        </w:tc>
      </w:tr>
    </w:tbl>
    <w:p w:rsidR="00CA5AE3" w:rsidRPr="00854B2C" w:rsidRDefault="00CA5AE3" w:rsidP="00854B2C">
      <w:pPr>
        <w:spacing w:line="360" w:lineRule="auto"/>
        <w:ind w:firstLine="331"/>
        <w:rPr>
          <w:rFonts w:ascii="仿宋_GB2312" w:hAnsi="仿宋_GB2312" w:cs="仿宋_GB2312"/>
          <w:bCs/>
          <w:sz w:val="28"/>
          <w:szCs w:val="28"/>
        </w:rPr>
      </w:pPr>
      <w:r>
        <w:rPr>
          <w:rFonts w:ascii="Times New Roman" w:hAnsi="Times New Roman" w:hint="eastAsia"/>
        </w:rPr>
        <w:t>（</w:t>
      </w:r>
      <w:r>
        <w:rPr>
          <w:rFonts w:ascii="Times New Roman" w:hAnsi="Times New Roman" w:hint="eastAsia"/>
        </w:rPr>
        <w:t>3</w:t>
      </w:r>
      <w:r>
        <w:rPr>
          <w:rFonts w:ascii="Times New Roman" w:hAnsi="Times New Roman" w:hint="eastAsia"/>
        </w:rPr>
        <w:t>）考核（评价）要求：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51"/>
        <w:gridCol w:w="951"/>
        <w:gridCol w:w="4782"/>
        <w:gridCol w:w="1042"/>
      </w:tblGrid>
      <w:tr w:rsidR="00CA5AE3" w:rsidTr="00E07285">
        <w:trPr>
          <w:trHeight w:val="454"/>
          <w:jc w:val="center"/>
        </w:trPr>
        <w:tc>
          <w:tcPr>
            <w:tcW w:w="344" w:type="pct"/>
            <w:tcBorders>
              <w:top w:val="single" w:sz="4" w:space="0" w:color="000000"/>
              <w:left w:val="single" w:sz="4" w:space="0" w:color="000000"/>
              <w:right w:val="single" w:sz="4" w:space="0" w:color="000000"/>
            </w:tcBorders>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hint="eastAsia"/>
                <w:b/>
                <w:bCs/>
                <w:sz w:val="24"/>
                <w:szCs w:val="24"/>
              </w:rPr>
              <w:t>目标分值</w:t>
            </w:r>
          </w:p>
        </w:tc>
        <w:tc>
          <w:tcPr>
            <w:tcW w:w="2882" w:type="pct"/>
            <w:tcBorders>
              <w:top w:val="single" w:sz="4" w:space="0" w:color="000000"/>
              <w:left w:val="single" w:sz="4" w:space="0" w:color="auto"/>
              <w:right w:val="single" w:sz="4" w:space="0" w:color="auto"/>
            </w:tcBorders>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CA5AE3" w:rsidRPr="00854B2C" w:rsidRDefault="00CA5AE3" w:rsidP="00854B2C">
            <w:pPr>
              <w:spacing w:line="360" w:lineRule="exact"/>
              <w:jc w:val="left"/>
              <w:rPr>
                <w:rFonts w:ascii="仿宋_GB2312" w:hAnsi="仿宋_GB2312" w:cs="仿宋_GB2312"/>
                <w:b/>
                <w:bCs/>
                <w:sz w:val="24"/>
                <w:szCs w:val="24"/>
              </w:rPr>
            </w:pPr>
            <w:r w:rsidRPr="00854B2C">
              <w:rPr>
                <w:rFonts w:ascii="仿宋_GB2312" w:hAnsi="仿宋_GB2312" w:cs="仿宋_GB2312"/>
                <w:b/>
                <w:bCs/>
                <w:sz w:val="24"/>
                <w:szCs w:val="24"/>
              </w:rPr>
              <w:t>支撑课程教学目标</w:t>
            </w:r>
          </w:p>
        </w:tc>
      </w:tr>
      <w:tr w:rsidR="00CA5AE3" w:rsidRPr="00854B2C" w:rsidTr="00E07285">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出勤统计不少于授课次数的2/3；通过出勤统计结果考核学生学习态度和遵守课堂纪律等基本情况。</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w:t>
            </w:r>
          </w:p>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目标2</w:t>
            </w:r>
          </w:p>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3</w:t>
            </w:r>
          </w:p>
        </w:tc>
      </w:tr>
      <w:tr w:rsidR="00CA5AE3" w:rsidRPr="00854B2C" w:rsidTr="00E07285">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2</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课后作业</w:t>
            </w:r>
            <w:r w:rsidRPr="00854B2C">
              <w:rPr>
                <w:rFonts w:ascii="仿宋_GB2312" w:hAnsi="仿宋_GB2312" w:cs="仿宋_GB2312" w:hint="eastAsia"/>
                <w:bCs/>
                <w:sz w:val="24"/>
                <w:szCs w:val="24"/>
              </w:rPr>
              <w:t>布置3次；通过课后作业考核学生对本课程基本概念的掌握情况。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w:t>
            </w:r>
          </w:p>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目标2</w:t>
            </w:r>
          </w:p>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3</w:t>
            </w:r>
          </w:p>
        </w:tc>
      </w:tr>
      <w:tr w:rsidR="00CA5AE3" w:rsidRPr="00854B2C" w:rsidTr="00E07285">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E07285">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期末考试采用</w:t>
            </w:r>
            <w:r w:rsidRPr="00854B2C">
              <w:rPr>
                <w:rFonts w:ascii="仿宋_GB2312" w:hAnsi="仿宋_GB2312" w:cs="仿宋_GB2312"/>
                <w:bCs/>
                <w:sz w:val="24"/>
                <w:szCs w:val="24"/>
              </w:rPr>
              <w:t>非标准答案考试</w:t>
            </w:r>
            <w:r w:rsidRPr="00854B2C">
              <w:rPr>
                <w:rFonts w:ascii="仿宋_GB2312" w:hAnsi="仿宋_GB2312" w:cs="仿宋_GB2312" w:hint="eastAsia"/>
                <w:bCs/>
                <w:sz w:val="24"/>
                <w:szCs w:val="24"/>
              </w:rPr>
              <w:t>。考试范围基本涵盖所有讲授内容，考试内容主要反映学生对本课程主要概念的理解和掌握的程度，以及综合运用的能力。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1</w:t>
            </w:r>
          </w:p>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hint="eastAsia"/>
                <w:bCs/>
                <w:sz w:val="24"/>
                <w:szCs w:val="24"/>
              </w:rPr>
              <w:t>目标2</w:t>
            </w:r>
          </w:p>
          <w:p w:rsidR="00CA5AE3" w:rsidRPr="00854B2C" w:rsidRDefault="00CA5AE3" w:rsidP="00854B2C">
            <w:pPr>
              <w:spacing w:line="360" w:lineRule="exact"/>
              <w:jc w:val="left"/>
              <w:rPr>
                <w:rFonts w:ascii="仿宋_GB2312" w:hAnsi="仿宋_GB2312" w:cs="仿宋_GB2312"/>
                <w:bCs/>
                <w:sz w:val="24"/>
                <w:szCs w:val="24"/>
              </w:rPr>
            </w:pPr>
            <w:r w:rsidRPr="00854B2C">
              <w:rPr>
                <w:rFonts w:ascii="仿宋_GB2312" w:hAnsi="仿宋_GB2312" w:cs="仿宋_GB2312"/>
                <w:bCs/>
                <w:sz w:val="24"/>
                <w:szCs w:val="24"/>
              </w:rPr>
              <w:t>目标</w:t>
            </w:r>
            <w:r w:rsidRPr="00854B2C">
              <w:rPr>
                <w:rFonts w:ascii="仿宋_GB2312" w:hAnsi="仿宋_GB2312" w:cs="仿宋_GB2312" w:hint="eastAsia"/>
                <w:bCs/>
                <w:sz w:val="24"/>
                <w:szCs w:val="24"/>
              </w:rPr>
              <w:t>3</w:t>
            </w:r>
          </w:p>
        </w:tc>
      </w:tr>
    </w:tbl>
    <w:p w:rsidR="00CA5AE3" w:rsidRPr="00854B2C" w:rsidRDefault="00CA5AE3" w:rsidP="00854B2C">
      <w:pPr>
        <w:spacing w:line="360" w:lineRule="exact"/>
        <w:jc w:val="left"/>
        <w:rPr>
          <w:rFonts w:ascii="仿宋_GB2312" w:hAnsi="仿宋_GB2312" w:cs="仿宋_GB2312"/>
          <w:bCs/>
          <w:sz w:val="24"/>
          <w:szCs w:val="24"/>
        </w:rPr>
      </w:pPr>
    </w:p>
    <w:p w:rsidR="00854B2C" w:rsidRDefault="00854B2C" w:rsidP="00854B2C">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854B2C" w:rsidRPr="00854B2C" w:rsidRDefault="00854B2C"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t>1. 教  材：《</w:t>
      </w:r>
      <w:r w:rsidRPr="00854B2C">
        <w:rPr>
          <w:rFonts w:ascii="仿宋_GB2312" w:hAnsi="仿宋_GB2312" w:cs="仿宋_GB2312" w:hint="eastAsia"/>
          <w:bCs/>
          <w:sz w:val="28"/>
          <w:szCs w:val="28"/>
        </w:rPr>
        <w:t>工程风险</w:t>
      </w:r>
      <w:r w:rsidRPr="00854B2C">
        <w:rPr>
          <w:rFonts w:ascii="仿宋_GB2312" w:hAnsi="仿宋_GB2312" w:cs="仿宋_GB2312"/>
          <w:bCs/>
          <w:sz w:val="28"/>
          <w:szCs w:val="28"/>
        </w:rPr>
        <w:t>管理》，</w:t>
      </w:r>
      <w:r w:rsidRPr="00854B2C">
        <w:rPr>
          <w:rFonts w:ascii="仿宋_GB2312" w:hAnsi="仿宋_GB2312" w:cs="仿宋_GB2312" w:hint="eastAsia"/>
          <w:bCs/>
          <w:sz w:val="28"/>
          <w:szCs w:val="28"/>
        </w:rPr>
        <w:t>任旭主编</w:t>
      </w:r>
      <w:r w:rsidRPr="00854B2C">
        <w:rPr>
          <w:rFonts w:ascii="仿宋_GB2312" w:hAnsi="仿宋_GB2312" w:cs="仿宋_GB2312"/>
          <w:bCs/>
          <w:sz w:val="28"/>
          <w:szCs w:val="28"/>
        </w:rPr>
        <w:t>，</w:t>
      </w:r>
      <w:r w:rsidRPr="00854B2C">
        <w:rPr>
          <w:rFonts w:ascii="仿宋_GB2312" w:hAnsi="仿宋_GB2312" w:cs="仿宋_GB2312" w:hint="eastAsia"/>
          <w:bCs/>
          <w:sz w:val="28"/>
          <w:szCs w:val="28"/>
        </w:rPr>
        <w:t>清华</w:t>
      </w:r>
      <w:r w:rsidRPr="00854B2C">
        <w:rPr>
          <w:rFonts w:ascii="仿宋_GB2312" w:hAnsi="仿宋_GB2312" w:cs="仿宋_GB2312"/>
          <w:bCs/>
          <w:sz w:val="28"/>
          <w:szCs w:val="28"/>
        </w:rPr>
        <w:t>大学出版社，201</w:t>
      </w:r>
      <w:r w:rsidRPr="00854B2C">
        <w:rPr>
          <w:rFonts w:ascii="仿宋_GB2312" w:hAnsi="仿宋_GB2312" w:cs="仿宋_GB2312" w:hint="eastAsia"/>
          <w:bCs/>
          <w:sz w:val="28"/>
          <w:szCs w:val="28"/>
        </w:rPr>
        <w:t>8</w:t>
      </w:r>
      <w:r w:rsidRPr="00854B2C">
        <w:rPr>
          <w:rFonts w:ascii="仿宋_GB2312" w:hAnsi="仿宋_GB2312" w:cs="仿宋_GB2312"/>
          <w:bCs/>
          <w:sz w:val="28"/>
          <w:szCs w:val="28"/>
        </w:rPr>
        <w:t>年</w:t>
      </w:r>
      <w:r w:rsidRPr="00854B2C">
        <w:rPr>
          <w:rFonts w:ascii="仿宋_GB2312" w:hAnsi="仿宋_GB2312" w:cs="仿宋_GB2312" w:hint="eastAsia"/>
          <w:bCs/>
          <w:sz w:val="28"/>
          <w:szCs w:val="28"/>
        </w:rPr>
        <w:t>2月</w:t>
      </w:r>
    </w:p>
    <w:p w:rsidR="00854B2C" w:rsidRPr="00854B2C" w:rsidRDefault="00854B2C" w:rsidP="00854B2C">
      <w:pPr>
        <w:spacing w:line="360" w:lineRule="auto"/>
        <w:ind w:firstLine="331"/>
        <w:rPr>
          <w:rFonts w:ascii="仿宋_GB2312" w:hAnsi="仿宋_GB2312" w:cs="仿宋_GB2312"/>
          <w:bCs/>
          <w:sz w:val="28"/>
          <w:szCs w:val="28"/>
        </w:rPr>
      </w:pPr>
      <w:r w:rsidRPr="00854B2C">
        <w:rPr>
          <w:rFonts w:ascii="仿宋_GB2312" w:hAnsi="仿宋_GB2312" w:cs="仿宋_GB2312"/>
          <w:bCs/>
          <w:sz w:val="28"/>
          <w:szCs w:val="28"/>
        </w:rPr>
        <w:t>2. 参考书：《</w:t>
      </w:r>
      <w:r w:rsidRPr="00854B2C">
        <w:rPr>
          <w:rFonts w:ascii="仿宋_GB2312" w:hAnsi="仿宋_GB2312" w:cs="仿宋_GB2312" w:hint="eastAsia"/>
          <w:bCs/>
          <w:sz w:val="28"/>
          <w:szCs w:val="28"/>
        </w:rPr>
        <w:t>建设工程合同管理与索赔</w:t>
      </w:r>
      <w:r w:rsidRPr="00854B2C">
        <w:rPr>
          <w:rFonts w:ascii="仿宋_GB2312" w:hAnsi="仿宋_GB2312" w:cs="仿宋_GB2312"/>
          <w:bCs/>
          <w:sz w:val="28"/>
          <w:szCs w:val="28"/>
        </w:rPr>
        <w:t>》，</w:t>
      </w:r>
      <w:r w:rsidRPr="00854B2C">
        <w:rPr>
          <w:rFonts w:ascii="仿宋_GB2312" w:hAnsi="仿宋_GB2312" w:cs="仿宋_GB2312" w:hint="eastAsia"/>
          <w:bCs/>
          <w:sz w:val="28"/>
          <w:szCs w:val="28"/>
        </w:rPr>
        <w:t>苟伯让</w:t>
      </w:r>
      <w:r w:rsidRPr="00854B2C">
        <w:rPr>
          <w:rFonts w:ascii="仿宋_GB2312" w:hAnsi="仿宋_GB2312" w:cs="仿宋_GB2312"/>
          <w:bCs/>
          <w:sz w:val="28"/>
          <w:szCs w:val="28"/>
        </w:rPr>
        <w:t>编，</w:t>
      </w:r>
      <w:r w:rsidRPr="00854B2C">
        <w:rPr>
          <w:rFonts w:ascii="仿宋_GB2312" w:hAnsi="仿宋_GB2312" w:cs="仿宋_GB2312" w:hint="eastAsia"/>
          <w:bCs/>
          <w:sz w:val="28"/>
          <w:szCs w:val="28"/>
        </w:rPr>
        <w:t>机械工业出</w:t>
      </w:r>
      <w:r w:rsidRPr="00854B2C">
        <w:rPr>
          <w:rFonts w:ascii="仿宋_GB2312" w:hAnsi="仿宋_GB2312" w:cs="仿宋_GB2312" w:hint="eastAsia"/>
          <w:bCs/>
          <w:sz w:val="28"/>
          <w:szCs w:val="28"/>
        </w:rPr>
        <w:lastRenderedPageBreak/>
        <w:t>版社</w:t>
      </w:r>
      <w:r w:rsidRPr="00854B2C">
        <w:rPr>
          <w:rFonts w:ascii="仿宋_GB2312" w:hAnsi="仿宋_GB2312" w:cs="仿宋_GB2312"/>
          <w:bCs/>
          <w:sz w:val="28"/>
          <w:szCs w:val="28"/>
        </w:rPr>
        <w:t>，20</w:t>
      </w:r>
      <w:r w:rsidRPr="00854B2C">
        <w:rPr>
          <w:rFonts w:ascii="仿宋_GB2312" w:hAnsi="仿宋_GB2312" w:cs="仿宋_GB2312" w:hint="eastAsia"/>
          <w:bCs/>
          <w:sz w:val="28"/>
          <w:szCs w:val="28"/>
        </w:rPr>
        <w:t>03</w:t>
      </w:r>
      <w:r w:rsidRPr="00854B2C">
        <w:rPr>
          <w:rFonts w:ascii="仿宋_GB2312" w:hAnsi="仿宋_GB2312" w:cs="仿宋_GB2312"/>
          <w:bCs/>
          <w:sz w:val="28"/>
          <w:szCs w:val="28"/>
        </w:rPr>
        <w:t>年</w:t>
      </w:r>
    </w:p>
    <w:p w:rsidR="00CA5AE3" w:rsidRPr="00854B2C" w:rsidRDefault="00CA5AE3" w:rsidP="00CA5AE3">
      <w:pPr>
        <w:spacing w:line="360" w:lineRule="exact"/>
        <w:ind w:firstLineChars="196" w:firstLine="627"/>
        <w:rPr>
          <w:rFonts w:ascii="Times New Roman" w:hAnsi="Times New Roman"/>
          <w:szCs w:val="21"/>
        </w:rPr>
      </w:pPr>
    </w:p>
    <w:p w:rsidR="00854B2C" w:rsidRDefault="00854B2C" w:rsidP="00854B2C">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大纲撰写人：</w:t>
      </w:r>
      <w:r w:rsidRPr="00854B2C">
        <w:rPr>
          <w:rFonts w:ascii="仿宋" w:eastAsia="仿宋" w:hAnsi="仿宋" w:hint="eastAsia"/>
          <w:sz w:val="28"/>
          <w:szCs w:val="28"/>
        </w:rPr>
        <w:t>马昕</w:t>
      </w:r>
    </w:p>
    <w:p w:rsidR="00854B2C" w:rsidRDefault="00854B2C" w:rsidP="00854B2C">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课程负责人：</w:t>
      </w:r>
    </w:p>
    <w:p w:rsidR="00854B2C" w:rsidRDefault="00854B2C" w:rsidP="00854B2C">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审核人：</w:t>
      </w:r>
    </w:p>
    <w:p w:rsidR="00854B2C" w:rsidRDefault="00854B2C" w:rsidP="00854B2C">
      <w:pPr>
        <w:jc w:val="center"/>
        <w:rPr>
          <w:rFonts w:ascii="仿宋_GB2312" w:hint="eastAsia"/>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854B2C" w:rsidRDefault="00854B2C" w:rsidP="00854B2C">
      <w:pPr>
        <w:ind w:firstLineChars="2000" w:firstLine="5600"/>
        <w:jc w:val="left"/>
        <w:rPr>
          <w:rFonts w:ascii="仿宋" w:hAnsi="仿宋"/>
          <w:sz w:val="28"/>
          <w:szCs w:val="28"/>
        </w:rPr>
      </w:pPr>
      <w:r>
        <w:rPr>
          <w:rFonts w:ascii="仿宋_GB2312" w:hAnsi="微软雅黑" w:hint="eastAsia"/>
          <w:sz w:val="28"/>
          <w:szCs w:val="28"/>
        </w:rPr>
        <w:t xml:space="preserve">    </w:t>
      </w:r>
    </w:p>
    <w:p w:rsidR="00854B2C" w:rsidRDefault="00854B2C" w:rsidP="00854B2C">
      <w:pPr>
        <w:jc w:val="left"/>
        <w:rPr>
          <w:rFonts w:ascii="仿宋_GB2312" w:hAnsi="黑体"/>
          <w:sz w:val="28"/>
          <w:szCs w:val="28"/>
        </w:rPr>
      </w:pPr>
      <w:r>
        <w:rPr>
          <w:rFonts w:ascii="仿宋" w:eastAsia="仿宋" w:hAnsi="仿宋" w:hint="eastAsia"/>
          <w:sz w:val="28"/>
          <w:szCs w:val="28"/>
        </w:rPr>
        <w:t xml:space="preserve">                                         年    月</w:t>
      </w:r>
    </w:p>
    <w:p w:rsidR="00F11446" w:rsidRDefault="00F11446"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bCs/>
          <w:kern w:val="0"/>
          <w:szCs w:val="32"/>
        </w:rPr>
      </w:pPr>
    </w:p>
    <w:p w:rsidR="00854B2C" w:rsidRDefault="00854B2C" w:rsidP="00CA5AE3">
      <w:pPr>
        <w:widowControl/>
        <w:spacing w:line="400" w:lineRule="exact"/>
        <w:rPr>
          <w:rFonts w:ascii="黑体" w:eastAsia="黑体" w:hAnsi="黑体" w:cs="宋体" w:hint="eastAsia"/>
          <w:bCs/>
          <w:kern w:val="0"/>
          <w:szCs w:val="32"/>
        </w:rPr>
      </w:pPr>
    </w:p>
    <w:p w:rsidR="0053675D" w:rsidRDefault="0053675D" w:rsidP="0053675D">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53675D">
        <w:rPr>
          <w:rFonts w:ascii="方正小标宋简体" w:eastAsia="方正小标宋简体" w:hAnsi="宋体" w:hint="eastAsia"/>
          <w:kern w:val="0"/>
          <w:szCs w:val="32"/>
        </w:rPr>
        <w:t>BIM建模与应用技术</w:t>
      </w:r>
      <w:r>
        <w:rPr>
          <w:rFonts w:ascii="方正小标宋简体" w:eastAsia="方正小标宋简体" w:hAnsi="宋体" w:hint="eastAsia"/>
          <w:kern w:val="0"/>
          <w:szCs w:val="32"/>
        </w:rPr>
        <w:t>》课程教学大纲</w:t>
      </w:r>
    </w:p>
    <w:p w:rsidR="0053675D" w:rsidRDefault="0053675D" w:rsidP="0053675D">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一、课程信息</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英文名称：</w:t>
      </w:r>
      <w:r w:rsidRPr="0053675D">
        <w:rPr>
          <w:rFonts w:ascii="仿宋_GB2312" w:hAnsi="仿宋_GB2312" w:cs="仿宋_GB2312"/>
          <w:bCs/>
          <w:sz w:val="28"/>
          <w:szCs w:val="28"/>
        </w:rPr>
        <w:t>BIM Modeling and Application Technology</w:t>
      </w:r>
    </w:p>
    <w:p w:rsidR="0053675D" w:rsidRDefault="0053675D" w:rsidP="0053675D">
      <w:pPr>
        <w:spacing w:line="360" w:lineRule="auto"/>
        <w:ind w:firstLine="331"/>
        <w:jc w:val="left"/>
        <w:rPr>
          <w:rFonts w:ascii="仿宋_GB2312" w:hAnsi="仿宋_GB2312" w:cs="仿宋_GB2312" w:hint="eastAsia"/>
          <w:bCs/>
          <w:sz w:val="28"/>
          <w:szCs w:val="28"/>
        </w:rPr>
      </w:pPr>
      <w:r>
        <w:rPr>
          <w:rFonts w:ascii="仿宋_GB2312" w:hAnsi="仿宋_GB2312" w:cs="仿宋_GB2312" w:hint="eastAsia"/>
          <w:bCs/>
          <w:sz w:val="28"/>
          <w:szCs w:val="28"/>
        </w:rPr>
        <w:t>课程编码：</w:t>
      </w:r>
      <w:r w:rsidRPr="0053675D">
        <w:rPr>
          <w:rFonts w:ascii="仿宋_GB2312" w:hAnsi="仿宋_GB2312" w:cs="仿宋_GB2312"/>
          <w:bCs/>
          <w:sz w:val="28"/>
          <w:szCs w:val="28"/>
        </w:rPr>
        <w:t>Z2805260</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授课语言：中文</w:t>
      </w:r>
    </w:p>
    <w:p w:rsidR="0053675D" w:rsidRDefault="0053675D" w:rsidP="0053675D">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授课方式：线下</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课程类别：专业发展课程</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课程性质：选修</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53675D" w:rsidRDefault="0053675D" w:rsidP="0053675D">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适用对象：</w:t>
      </w:r>
      <w:r w:rsidRPr="0053675D">
        <w:rPr>
          <w:rFonts w:ascii="仿宋_GB2312" w:hAnsi="仿宋_GB2312" w:cs="仿宋_GB2312" w:hint="eastAsia"/>
          <w:bCs/>
          <w:sz w:val="28"/>
          <w:szCs w:val="28"/>
        </w:rPr>
        <w:t>工程造价专业</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先修课程：</w:t>
      </w:r>
      <w:r w:rsidRPr="0053675D">
        <w:rPr>
          <w:rFonts w:ascii="仿宋_GB2312" w:hAnsi="仿宋_GB2312" w:cs="仿宋_GB2312" w:hint="eastAsia"/>
          <w:bCs/>
          <w:sz w:val="28"/>
          <w:szCs w:val="28"/>
        </w:rPr>
        <w:t>房屋建筑学、混凝土与砌体结构，土木工程施工技术等</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开课院系：</w:t>
      </w:r>
      <w:r w:rsidRPr="0053675D">
        <w:rPr>
          <w:rFonts w:ascii="仿宋_GB2312" w:hAnsi="仿宋_GB2312" w:cs="仿宋_GB2312" w:hint="eastAsia"/>
          <w:bCs/>
          <w:sz w:val="28"/>
          <w:szCs w:val="28"/>
        </w:rPr>
        <w:t>建筑工程学院工程造价与施工教研室</w:t>
      </w:r>
    </w:p>
    <w:p w:rsidR="0053675D" w:rsidRDefault="0053675D" w:rsidP="0053675D">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二、课程简介</w:t>
      </w:r>
    </w:p>
    <w:p w:rsidR="00CD00D2" w:rsidRPr="0053675D" w:rsidRDefault="00CD00D2"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课程教学目标</w:t>
      </w:r>
    </w:p>
    <w:p w:rsidR="00CD00D2" w:rsidRPr="0053675D" w:rsidRDefault="00CD00D2"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本课程是</w:t>
      </w:r>
      <w:r w:rsidRPr="0053675D">
        <w:rPr>
          <w:rFonts w:ascii="仿宋_GB2312" w:hAnsi="仿宋_GB2312" w:cs="仿宋_GB2312" w:hint="eastAsia"/>
          <w:bCs/>
          <w:sz w:val="28"/>
          <w:szCs w:val="28"/>
        </w:rPr>
        <w:t>面向工程造价专业开设的选修专业课程，是针对现代土木工程全寿命周期的发展趋势。利用计算机技术建立BIM建筑信息模型，对建筑空间几何信息、建筑空间功能信息、建筑施工管理信息以及设备等各专业相关数据信息进行数据集成与一体化管理。BIM技术的应用，能改变传统的建筑管理理念，能引领建筑信息技术走向更高层次，它的全面应用，将大大提高建筑管理的集成化程度。通过本课</w:t>
      </w:r>
      <w:r w:rsidRPr="0053675D">
        <w:rPr>
          <w:rFonts w:ascii="仿宋_GB2312" w:hAnsi="仿宋_GB2312" w:cs="仿宋_GB2312" w:hint="eastAsia"/>
          <w:bCs/>
          <w:sz w:val="28"/>
          <w:szCs w:val="28"/>
        </w:rPr>
        <w:lastRenderedPageBreak/>
        <w:t>程学习，培养学生综合开发和运用现代计算机技术和信息化技术的能力，提升传统土木工程施工技术和管理水平。并能够掌握BIM的概念，可使用常用的BIM建模软件进行简单BIM模型的创建，能够对简单的项目进行综合分析，为毕业后从事相关工作奠定基础。</w:t>
      </w:r>
      <w:r w:rsidRPr="0053675D">
        <w:rPr>
          <w:rFonts w:ascii="仿宋_GB2312" w:hAnsi="仿宋_GB2312" w:cs="仿宋_GB2312"/>
          <w:bCs/>
          <w:sz w:val="28"/>
          <w:szCs w:val="28"/>
        </w:rPr>
        <w:t>培养学生具备建筑行业道德和强烈的社会责任感，能够在工程实践中理解并遵守工程职业道德和规范，履行责任。</w:t>
      </w:r>
    </w:p>
    <w:p w:rsidR="00CD00D2" w:rsidRPr="0053675D" w:rsidRDefault="00CD00D2"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768"/>
        <w:gridCol w:w="886"/>
        <w:gridCol w:w="3073"/>
      </w:tblGrid>
      <w:tr w:rsidR="00CD00D2" w:rsidTr="00CD00D2">
        <w:trPr>
          <w:trHeight w:val="454"/>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序号</w:t>
            </w:r>
          </w:p>
        </w:tc>
        <w:tc>
          <w:tcPr>
            <w:tcW w:w="2271" w:type="pct"/>
            <w:vMerge w:val="restart"/>
            <w:tcBorders>
              <w:top w:val="single" w:sz="4" w:space="0" w:color="000000"/>
              <w:left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课程教学目标</w:t>
            </w:r>
          </w:p>
        </w:tc>
        <w:tc>
          <w:tcPr>
            <w:tcW w:w="2386" w:type="pct"/>
            <w:gridSpan w:val="2"/>
            <w:tcBorders>
              <w:top w:val="single" w:sz="4" w:space="0" w:color="000000"/>
              <w:left w:val="single" w:sz="4" w:space="0" w:color="000000"/>
              <w:bottom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支撑毕业要求指标点</w:t>
            </w:r>
          </w:p>
        </w:tc>
      </w:tr>
      <w:tr w:rsidR="00CD00D2" w:rsidTr="00CD00D2">
        <w:trPr>
          <w:trHeight w:val="454"/>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widowControl/>
              <w:spacing w:line="360" w:lineRule="exact"/>
              <w:jc w:val="center"/>
              <w:rPr>
                <w:rFonts w:ascii="仿宋_GB2312" w:hAnsi="仿宋_GB2312" w:cs="仿宋_GB2312"/>
                <w:b/>
                <w:bCs/>
                <w:sz w:val="24"/>
                <w:szCs w:val="24"/>
              </w:rPr>
            </w:pPr>
          </w:p>
        </w:tc>
        <w:tc>
          <w:tcPr>
            <w:tcW w:w="2271" w:type="pct"/>
            <w:vMerge/>
            <w:tcBorders>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
                <w:bCs/>
                <w:sz w:val="24"/>
                <w:szCs w:val="24"/>
              </w:rPr>
            </w:pPr>
          </w:p>
        </w:tc>
        <w:tc>
          <w:tcPr>
            <w:tcW w:w="534" w:type="pct"/>
            <w:tcBorders>
              <w:top w:val="single" w:sz="4" w:space="0" w:color="auto"/>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指标点</w:t>
            </w:r>
          </w:p>
        </w:tc>
        <w:tc>
          <w:tcPr>
            <w:tcW w:w="1852" w:type="pct"/>
            <w:tcBorders>
              <w:top w:val="single" w:sz="4" w:space="0" w:color="auto"/>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指标点内容</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2271"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20" w:lineRule="exact"/>
              <w:jc w:val="left"/>
              <w:rPr>
                <w:rFonts w:ascii="仿宋_GB2312" w:hAnsi="仿宋_GB2312" w:cs="仿宋_GB2312"/>
                <w:bCs/>
                <w:sz w:val="24"/>
                <w:szCs w:val="24"/>
              </w:rPr>
            </w:pPr>
            <w:r w:rsidRPr="0053675D">
              <w:rPr>
                <w:rFonts w:ascii="仿宋_GB2312" w:hAnsi="仿宋_GB2312" w:cs="仿宋_GB2312"/>
                <w:bCs/>
                <w:sz w:val="24"/>
                <w:szCs w:val="24"/>
              </w:rPr>
              <w:t>目标1：了解</w:t>
            </w:r>
            <w:r w:rsidRPr="0053675D">
              <w:rPr>
                <w:rFonts w:ascii="仿宋_GB2312" w:hAnsi="仿宋_GB2312" w:cs="仿宋_GB2312" w:hint="eastAsia"/>
                <w:bCs/>
                <w:sz w:val="24"/>
                <w:szCs w:val="24"/>
              </w:rPr>
              <w:t>BIM技术基本概念，特点，应用现状，标准规程，软件平台；了解BIM技术在土木工程中的应用现状，及未来的发展前景。</w:t>
            </w:r>
          </w:p>
        </w:tc>
        <w:tc>
          <w:tcPr>
            <w:tcW w:w="534"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2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3.12</w:t>
            </w:r>
          </w:p>
        </w:tc>
        <w:tc>
          <w:tcPr>
            <w:tcW w:w="1852"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20" w:lineRule="exact"/>
              <w:jc w:val="left"/>
              <w:rPr>
                <w:rFonts w:ascii="仿宋_GB2312" w:hAnsi="仿宋_GB2312" w:cs="仿宋_GB2312"/>
                <w:bCs/>
                <w:sz w:val="24"/>
                <w:szCs w:val="24"/>
              </w:rPr>
            </w:pPr>
            <w:r w:rsidRPr="0053675D">
              <w:rPr>
                <w:rFonts w:ascii="仿宋_GB2312" w:hAnsi="仿宋_GB2312" w:cs="仿宋_GB2312" w:hint="eastAsia"/>
                <w:bCs/>
                <w:sz w:val="24"/>
                <w:szCs w:val="24"/>
              </w:rPr>
              <w:t>具有自主学习和终身学习的意识，有不断学习和适应发展的能力。</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2271"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20" w:lineRule="exact"/>
              <w:jc w:val="left"/>
              <w:rPr>
                <w:rFonts w:ascii="仿宋_GB2312" w:hAnsi="仿宋_GB2312" w:cs="仿宋_GB2312"/>
                <w:bCs/>
                <w:sz w:val="24"/>
                <w:szCs w:val="24"/>
              </w:rPr>
            </w:pPr>
            <w:r w:rsidRPr="0053675D">
              <w:rPr>
                <w:rFonts w:ascii="仿宋_GB2312" w:hAnsi="仿宋_GB2312" w:cs="仿宋_GB2312"/>
                <w:bCs/>
                <w:sz w:val="24"/>
                <w:szCs w:val="24"/>
              </w:rPr>
              <w:t>目标2：</w:t>
            </w:r>
            <w:r w:rsidRPr="0053675D">
              <w:rPr>
                <w:rFonts w:ascii="仿宋_GB2312" w:hAnsi="仿宋_GB2312" w:cs="仿宋_GB2312" w:hint="eastAsia"/>
                <w:bCs/>
                <w:sz w:val="24"/>
                <w:szCs w:val="24"/>
              </w:rPr>
              <w:t>了解BIM建模技术的基本软件，掌握Revit建模的基本操作技巧；学习BIM技术在设计、施工中不同项目中的应用案例；了解BIM 5D软件在施工管理中的应用范围及局限性。</w:t>
            </w:r>
          </w:p>
        </w:tc>
        <w:tc>
          <w:tcPr>
            <w:tcW w:w="534"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2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3.5</w:t>
            </w:r>
          </w:p>
        </w:tc>
        <w:tc>
          <w:tcPr>
            <w:tcW w:w="1852"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20" w:lineRule="exact"/>
              <w:jc w:val="left"/>
              <w:rPr>
                <w:rFonts w:ascii="仿宋_GB2312" w:hAnsi="仿宋_GB2312" w:cs="仿宋_GB2312"/>
                <w:bCs/>
                <w:sz w:val="24"/>
                <w:szCs w:val="24"/>
              </w:rPr>
            </w:pPr>
            <w:r w:rsidRPr="0053675D">
              <w:rPr>
                <w:rFonts w:ascii="仿宋_GB2312" w:hAnsi="仿宋_GB2312" w:cs="仿宋_GB2312" w:hint="eastAsia"/>
                <w:bCs/>
                <w:sz w:val="24"/>
                <w:szCs w:val="24"/>
              </w:rPr>
              <w:t>能够针对复杂工程问题，开发、选择与使用恰当的技术、资源、现代工程工具和信息技术工具，包括对复杂工程经济问题的预测与模拟，并能够理解其局限性。</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c>
          <w:tcPr>
            <w:tcW w:w="2271"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20" w:lineRule="exact"/>
              <w:jc w:val="left"/>
              <w:rPr>
                <w:rFonts w:ascii="仿宋_GB2312" w:hAnsi="仿宋_GB2312" w:cs="仿宋_GB2312"/>
                <w:bCs/>
                <w:sz w:val="24"/>
                <w:szCs w:val="24"/>
              </w:rPr>
            </w:pPr>
            <w:r w:rsidRPr="0053675D">
              <w:rPr>
                <w:rFonts w:ascii="仿宋_GB2312" w:hAnsi="仿宋_GB2312" w:cs="仿宋_GB2312"/>
                <w:bCs/>
                <w:sz w:val="24"/>
                <w:szCs w:val="24"/>
              </w:rPr>
              <w:t>目标3：</w:t>
            </w:r>
            <w:r w:rsidRPr="0053675D">
              <w:rPr>
                <w:rFonts w:ascii="仿宋_GB2312" w:hAnsi="仿宋_GB2312" w:cs="仿宋_GB2312" w:hint="eastAsia"/>
                <w:bCs/>
                <w:sz w:val="24"/>
                <w:szCs w:val="24"/>
              </w:rPr>
              <w:t>了解BIM技术在解决大型复杂工程项目管理中的优势，掌握BIM技术在工程项目全生命周期应用的基本流程和步骤。</w:t>
            </w:r>
          </w:p>
        </w:tc>
        <w:tc>
          <w:tcPr>
            <w:tcW w:w="534"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2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3.7</w:t>
            </w:r>
          </w:p>
        </w:tc>
        <w:tc>
          <w:tcPr>
            <w:tcW w:w="1852"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20" w:lineRule="exact"/>
              <w:jc w:val="left"/>
              <w:rPr>
                <w:rFonts w:ascii="仿宋_GB2312" w:hAnsi="仿宋_GB2312" w:cs="仿宋_GB2312"/>
                <w:bCs/>
                <w:sz w:val="24"/>
                <w:szCs w:val="24"/>
              </w:rPr>
            </w:pPr>
            <w:r w:rsidRPr="0053675D">
              <w:rPr>
                <w:rFonts w:ascii="仿宋_GB2312" w:hAnsi="仿宋_GB2312" w:cs="仿宋_GB2312" w:hint="eastAsia"/>
                <w:bCs/>
                <w:sz w:val="24"/>
                <w:szCs w:val="24"/>
              </w:rPr>
              <w:t>能够理解和评价针对复杂工程问题的专业工程实践对环境、社会可持续发展的影响。</w:t>
            </w:r>
          </w:p>
        </w:tc>
      </w:tr>
    </w:tbl>
    <w:p w:rsidR="0053675D" w:rsidRDefault="0053675D" w:rsidP="0053675D">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3"/>
        <w:gridCol w:w="2149"/>
        <w:gridCol w:w="954"/>
        <w:gridCol w:w="596"/>
        <w:gridCol w:w="926"/>
      </w:tblGrid>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序号</w:t>
            </w:r>
          </w:p>
        </w:tc>
        <w:tc>
          <w:tcPr>
            <w:tcW w:w="1870" w:type="pct"/>
            <w:tcBorders>
              <w:top w:val="single" w:sz="4" w:space="0" w:color="000000"/>
              <w:left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教学内容及重点、难点</w:t>
            </w:r>
          </w:p>
        </w:tc>
        <w:tc>
          <w:tcPr>
            <w:tcW w:w="1295" w:type="pct"/>
            <w:tcBorders>
              <w:top w:val="single" w:sz="4" w:space="0" w:color="000000"/>
              <w:left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支撑课程教学目标</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lastRenderedPageBreak/>
              <w:t>1</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内容：第一章</w:t>
            </w:r>
            <w:r w:rsidRPr="0053675D">
              <w:rPr>
                <w:rFonts w:ascii="仿宋_GB2312" w:hAnsi="仿宋_GB2312" w:cs="仿宋_GB2312" w:hint="eastAsia"/>
                <w:bCs/>
                <w:sz w:val="24"/>
                <w:szCs w:val="24"/>
              </w:rPr>
              <w:t>BIM技术</w:t>
            </w:r>
            <w:r w:rsidRPr="0053675D">
              <w:rPr>
                <w:rFonts w:ascii="仿宋_GB2312" w:hAnsi="仿宋_GB2312" w:cs="仿宋_GB2312"/>
                <w:bCs/>
                <w:sz w:val="24"/>
                <w:szCs w:val="24"/>
              </w:rPr>
              <w:t>概述</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BIM技术的</w:t>
            </w:r>
            <w:r w:rsidRPr="0053675D">
              <w:rPr>
                <w:rFonts w:ascii="仿宋_GB2312" w:hAnsi="仿宋_GB2312" w:cs="仿宋_GB2312"/>
                <w:bCs/>
                <w:sz w:val="24"/>
                <w:szCs w:val="24"/>
              </w:rPr>
              <w:t>定义和</w:t>
            </w:r>
            <w:r w:rsidRPr="0053675D">
              <w:rPr>
                <w:rFonts w:ascii="仿宋_GB2312" w:hAnsi="仿宋_GB2312" w:cs="仿宋_GB2312" w:hint="eastAsia"/>
                <w:bCs/>
                <w:sz w:val="24"/>
                <w:szCs w:val="24"/>
              </w:rPr>
              <w:t>特点</w:t>
            </w:r>
            <w:r w:rsidRPr="0053675D">
              <w:rPr>
                <w:rFonts w:ascii="仿宋_GB2312" w:hAnsi="仿宋_GB2312" w:cs="仿宋_GB2312"/>
                <w:bCs/>
                <w:sz w:val="24"/>
                <w:szCs w:val="24"/>
              </w:rPr>
              <w:t>、</w:t>
            </w:r>
            <w:r w:rsidRPr="0053675D">
              <w:rPr>
                <w:rFonts w:ascii="仿宋_GB2312" w:hAnsi="仿宋_GB2312" w:cs="仿宋_GB2312" w:hint="eastAsia"/>
                <w:bCs/>
                <w:sz w:val="24"/>
                <w:szCs w:val="24"/>
              </w:rPr>
              <w:t>发展现状及未来发展趋势</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1.了解</w:t>
            </w:r>
            <w:r w:rsidRPr="0053675D">
              <w:rPr>
                <w:rFonts w:ascii="仿宋_GB2312" w:hAnsi="仿宋_GB2312" w:cs="仿宋_GB2312" w:hint="eastAsia"/>
                <w:bCs/>
                <w:sz w:val="24"/>
                <w:szCs w:val="24"/>
              </w:rPr>
              <w:t>BIM技术的发展历程及国内外发展现状，BIM定义及特点，相关软件平台及特点，BIM的发展趋势</w:t>
            </w:r>
            <w:r w:rsidRPr="0053675D">
              <w:rPr>
                <w:rFonts w:ascii="仿宋_GB2312" w:hAnsi="仿宋_GB2312" w:cs="仿宋_GB2312"/>
                <w:bCs/>
                <w:sz w:val="24"/>
                <w:szCs w:val="24"/>
              </w:rPr>
              <w:t>。</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 理解</w:t>
            </w:r>
            <w:r w:rsidRPr="0053675D">
              <w:rPr>
                <w:rFonts w:ascii="仿宋_GB2312" w:hAnsi="仿宋_GB2312" w:cs="仿宋_GB2312" w:hint="eastAsia"/>
                <w:bCs/>
                <w:sz w:val="24"/>
                <w:szCs w:val="24"/>
              </w:rPr>
              <w:t>BIM技术在土木工程项目中产生的深远影响，并时刻关注与了解BIM技术的发展动态和发展方向</w:t>
            </w:r>
            <w:r w:rsidRPr="0053675D">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目标1</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内容：第二章</w:t>
            </w:r>
            <w:r w:rsidRPr="0053675D">
              <w:rPr>
                <w:rFonts w:ascii="仿宋_GB2312" w:hAnsi="仿宋_GB2312" w:cs="仿宋_GB2312" w:hint="eastAsia"/>
                <w:bCs/>
                <w:sz w:val="24"/>
                <w:szCs w:val="24"/>
              </w:rPr>
              <w:t>Revit建模技术</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掌握Revit中轴线、墙体、门窗、窗族、楼板、屋顶、楼梯、场地等设计操作方法和出图的基本操作。</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1.了解</w:t>
            </w:r>
            <w:r w:rsidRPr="0053675D">
              <w:rPr>
                <w:rFonts w:ascii="仿宋_GB2312" w:hAnsi="仿宋_GB2312" w:cs="仿宋_GB2312" w:hint="eastAsia"/>
                <w:bCs/>
                <w:sz w:val="24"/>
                <w:szCs w:val="24"/>
              </w:rPr>
              <w:t>Revit建模的基本流程；</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 xml:space="preserve">2. </w:t>
            </w:r>
            <w:r w:rsidRPr="0053675D">
              <w:rPr>
                <w:rFonts w:ascii="仿宋_GB2312" w:hAnsi="仿宋_GB2312" w:cs="仿宋_GB2312" w:hint="eastAsia"/>
                <w:bCs/>
                <w:sz w:val="24"/>
                <w:szCs w:val="24"/>
              </w:rPr>
              <w:t>掌握Revit中轴线、墙体、门窗、窗族、楼板、屋顶、楼梯、场地等内容设计操作方法</w:t>
            </w:r>
            <w:r w:rsidRPr="0053675D">
              <w:rPr>
                <w:rFonts w:ascii="仿宋_GB2312" w:hAnsi="仿宋_GB2312" w:cs="仿宋_GB2312"/>
                <w:bCs/>
                <w:sz w:val="24"/>
                <w:szCs w:val="24"/>
              </w:rPr>
              <w:t>。</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3.掌握</w:t>
            </w:r>
            <w:r w:rsidRPr="0053675D">
              <w:rPr>
                <w:rFonts w:ascii="仿宋_GB2312" w:hAnsi="仿宋_GB2312" w:cs="仿宋_GB2312" w:hint="eastAsia"/>
                <w:bCs/>
                <w:sz w:val="24"/>
                <w:szCs w:val="24"/>
              </w:rPr>
              <w:t>建模过程中各部分参数意义，实现参数化设计。</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12</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内容：第三章</w:t>
            </w:r>
            <w:r w:rsidRPr="0053675D">
              <w:rPr>
                <w:rFonts w:ascii="仿宋_GB2312" w:hAnsi="仿宋_GB2312" w:cs="仿宋_GB2312" w:hint="eastAsia"/>
                <w:bCs/>
                <w:sz w:val="24"/>
                <w:szCs w:val="24"/>
              </w:rPr>
              <w:t>BIM技术在设计中应用</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了解BIM技术在建筑/结构设计中的应用流程。</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w:t>
            </w:r>
            <w:r w:rsidRPr="0053675D">
              <w:rPr>
                <w:rFonts w:ascii="仿宋_GB2312" w:hAnsi="仿宋_GB2312" w:cs="仿宋_GB2312" w:hint="eastAsia"/>
                <w:bCs/>
                <w:sz w:val="24"/>
                <w:szCs w:val="24"/>
              </w:rPr>
              <w:t>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w:t>
            </w:r>
            <w:r w:rsidRPr="0053675D">
              <w:rPr>
                <w:rFonts w:ascii="仿宋_GB2312" w:hAnsi="仿宋_GB2312" w:cs="仿宋_GB2312" w:hint="eastAsia"/>
                <w:bCs/>
                <w:sz w:val="24"/>
                <w:szCs w:val="24"/>
              </w:rPr>
              <w:t>结合相关设计案例介绍BIM技术的应用流程和各流程中关键技术内容。</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2</w:t>
            </w:r>
            <w:r w:rsidRPr="0053675D">
              <w:rPr>
                <w:rFonts w:ascii="仿宋_GB2312" w:hAnsi="仿宋_GB2312" w:cs="仿宋_GB2312"/>
                <w:bCs/>
                <w:sz w:val="24"/>
                <w:szCs w:val="24"/>
              </w:rPr>
              <w:t>.</w:t>
            </w:r>
            <w:r w:rsidRPr="0053675D">
              <w:rPr>
                <w:rFonts w:ascii="仿宋_GB2312" w:hAnsi="仿宋_GB2312" w:cs="仿宋_GB2312" w:hint="eastAsia"/>
                <w:bCs/>
                <w:sz w:val="24"/>
                <w:szCs w:val="24"/>
              </w:rPr>
              <w:t>了解BIM技术在设计中的地位及具体解决的工程问题</w:t>
            </w:r>
            <w:r w:rsidRPr="0053675D">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3</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3</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内容：第四章</w:t>
            </w:r>
            <w:r w:rsidRPr="0053675D">
              <w:rPr>
                <w:rFonts w:ascii="仿宋_GB2312" w:hAnsi="仿宋_GB2312" w:cs="仿宋_GB2312" w:hint="eastAsia"/>
                <w:bCs/>
                <w:sz w:val="24"/>
                <w:szCs w:val="24"/>
              </w:rPr>
              <w:t>BIM技术在施工中应用</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了解BIM技术在施工过程管理中的应用流程。</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w:t>
            </w:r>
            <w:r w:rsidRPr="0053675D">
              <w:rPr>
                <w:rFonts w:ascii="仿宋_GB2312" w:hAnsi="仿宋_GB2312" w:cs="仿宋_GB2312" w:hint="eastAsia"/>
                <w:bCs/>
                <w:sz w:val="24"/>
                <w:szCs w:val="24"/>
              </w:rPr>
              <w:t>结合相关施工管理案例介绍BIM技术的应用流程和各流程中关键技术内容。</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2</w:t>
            </w:r>
            <w:r w:rsidRPr="0053675D">
              <w:rPr>
                <w:rFonts w:ascii="仿宋_GB2312" w:hAnsi="仿宋_GB2312" w:cs="仿宋_GB2312"/>
                <w:bCs/>
                <w:sz w:val="24"/>
                <w:szCs w:val="24"/>
              </w:rPr>
              <w:t>.</w:t>
            </w:r>
            <w:r w:rsidRPr="0053675D">
              <w:rPr>
                <w:rFonts w:ascii="仿宋_GB2312" w:hAnsi="仿宋_GB2312" w:cs="仿宋_GB2312" w:hint="eastAsia"/>
                <w:bCs/>
                <w:sz w:val="24"/>
                <w:szCs w:val="24"/>
              </w:rPr>
              <w:t>了解BIM技术在施工管理中的地位</w:t>
            </w:r>
            <w:r w:rsidRPr="0053675D">
              <w:rPr>
                <w:rFonts w:ascii="仿宋_GB2312" w:hAnsi="仿宋_GB2312" w:cs="仿宋_GB2312" w:hint="eastAsia"/>
                <w:bCs/>
                <w:sz w:val="24"/>
                <w:szCs w:val="24"/>
              </w:rPr>
              <w:lastRenderedPageBreak/>
              <w:t>及解决的实际工程问题</w:t>
            </w:r>
            <w:r w:rsidRPr="0053675D">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课堂授课</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随堂测验</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3</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3</w:t>
            </w:r>
          </w:p>
        </w:tc>
      </w:tr>
      <w:tr w:rsidR="00CD00D2"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5</w:t>
            </w:r>
          </w:p>
        </w:tc>
        <w:tc>
          <w:tcPr>
            <w:tcW w:w="1870"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内容：第五章</w:t>
            </w:r>
            <w:r w:rsidRPr="0053675D">
              <w:rPr>
                <w:rFonts w:ascii="仿宋_GB2312" w:hAnsi="仿宋_GB2312" w:cs="仿宋_GB2312" w:hint="eastAsia"/>
                <w:bCs/>
                <w:sz w:val="24"/>
                <w:szCs w:val="24"/>
              </w:rPr>
              <w:t>BIM 5D技术</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BIM 5D技术在工程项目管理中的应用</w:t>
            </w:r>
            <w:r w:rsidRPr="0053675D">
              <w:rPr>
                <w:rFonts w:ascii="仿宋_GB2312" w:hAnsi="仿宋_GB2312" w:cs="仿宋_GB2312"/>
                <w:bCs/>
                <w:sz w:val="24"/>
                <w:szCs w:val="24"/>
              </w:rPr>
              <w:t>。</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w:t>
            </w:r>
            <w:r w:rsidRPr="0053675D">
              <w:rPr>
                <w:rFonts w:ascii="仿宋_GB2312" w:hAnsi="仿宋_GB2312" w:cs="仿宋_GB2312" w:hint="eastAsia"/>
                <w:bCs/>
                <w:sz w:val="24"/>
                <w:szCs w:val="24"/>
              </w:rPr>
              <w:t>了解BIM 5D软件的基本组成</w:t>
            </w:r>
            <w:r w:rsidRPr="0053675D">
              <w:rPr>
                <w:rFonts w:ascii="仿宋_GB2312" w:hAnsi="仿宋_GB2312" w:cs="仿宋_GB2312"/>
                <w:bCs/>
                <w:sz w:val="24"/>
                <w:szCs w:val="24"/>
              </w:rPr>
              <w:t>。</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2</w:t>
            </w:r>
            <w:r w:rsidRPr="0053675D">
              <w:rPr>
                <w:rFonts w:ascii="仿宋_GB2312" w:hAnsi="仿宋_GB2312" w:cs="仿宋_GB2312"/>
                <w:bCs/>
                <w:sz w:val="24"/>
                <w:szCs w:val="24"/>
              </w:rPr>
              <w:t>.</w:t>
            </w:r>
            <w:r w:rsidRPr="0053675D">
              <w:rPr>
                <w:rFonts w:ascii="仿宋_GB2312" w:hAnsi="仿宋_GB2312" w:cs="仿宋_GB2312" w:hint="eastAsia"/>
                <w:bCs/>
                <w:sz w:val="24"/>
                <w:szCs w:val="24"/>
              </w:rPr>
              <w:t>了解BIM5D技术在施工过程管理的特点及优势</w:t>
            </w:r>
            <w:r w:rsidRPr="0053675D">
              <w:rPr>
                <w:rFonts w:ascii="仿宋_GB2312" w:hAnsi="仿宋_GB2312" w:cs="仿宋_GB2312"/>
                <w:bCs/>
                <w:sz w:val="24"/>
                <w:szCs w:val="24"/>
              </w:rPr>
              <w:t>。</w:t>
            </w:r>
          </w:p>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3. 了解BIM 5D的基本操作流程。</w:t>
            </w:r>
          </w:p>
        </w:tc>
        <w:tc>
          <w:tcPr>
            <w:tcW w:w="575" w:type="pct"/>
            <w:tcBorders>
              <w:top w:val="single" w:sz="4" w:space="0" w:color="000000"/>
              <w:left w:val="single" w:sz="4" w:space="0" w:color="auto"/>
              <w:bottom w:val="single" w:sz="4" w:space="0" w:color="000000"/>
              <w:right w:val="single" w:sz="4" w:space="0" w:color="000000"/>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w:t>
            </w:r>
          </w:p>
        </w:tc>
      </w:tr>
    </w:tbl>
    <w:p w:rsidR="00CD00D2" w:rsidRPr="0053675D" w:rsidRDefault="00CD00D2" w:rsidP="00CD00D2">
      <w:pPr>
        <w:keepNext/>
        <w:spacing w:beforeLines="100" w:before="312" w:afterLines="50" w:after="156" w:line="360" w:lineRule="exact"/>
        <w:outlineLvl w:val="0"/>
        <w:rPr>
          <w:rFonts w:ascii="仿宋" w:eastAsia="仿宋" w:hAnsi="仿宋"/>
          <w:b/>
          <w:sz w:val="28"/>
          <w:szCs w:val="28"/>
        </w:rPr>
      </w:pPr>
      <w:r w:rsidRPr="0053675D">
        <w:rPr>
          <w:rFonts w:ascii="仿宋" w:eastAsia="仿宋" w:hAnsi="仿宋"/>
          <w:b/>
          <w:sz w:val="28"/>
          <w:szCs w:val="28"/>
        </w:rPr>
        <w:t>课内实践教学内容及要求</w:t>
      </w:r>
    </w:p>
    <w:p w:rsidR="00CD00D2" w:rsidRPr="0053675D" w:rsidRDefault="00CD00D2" w:rsidP="00CD00D2">
      <w:pPr>
        <w:adjustRightInd w:val="0"/>
        <w:snapToGrid w:val="0"/>
        <w:spacing w:line="360" w:lineRule="exact"/>
        <w:rPr>
          <w:rFonts w:ascii="Times New Roman" w:hAnsi="Times New Roman"/>
          <w:sz w:val="28"/>
          <w:szCs w:val="28"/>
        </w:rPr>
      </w:pPr>
      <w:r w:rsidRPr="0053675D">
        <w:rPr>
          <w:rFonts w:ascii="Times New Roman" w:hAnsi="Times New Roman"/>
          <w:sz w:val="28"/>
          <w:szCs w:val="28"/>
        </w:rPr>
        <w:t>无</w:t>
      </w:r>
    </w:p>
    <w:p w:rsidR="00CD00D2" w:rsidRPr="0053675D" w:rsidRDefault="00CD00D2" w:rsidP="00CD00D2">
      <w:pPr>
        <w:keepNext/>
        <w:spacing w:beforeLines="100" w:before="312" w:afterLines="50" w:after="156" w:line="360" w:lineRule="exact"/>
        <w:outlineLvl w:val="0"/>
        <w:rPr>
          <w:rFonts w:ascii="仿宋" w:eastAsia="仿宋" w:hAnsi="仿宋"/>
          <w:b/>
          <w:sz w:val="28"/>
          <w:szCs w:val="28"/>
        </w:rPr>
      </w:pPr>
      <w:r w:rsidRPr="0053675D">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CD00D2" w:rsidRPr="0053675D" w:rsidTr="00CD00D2">
        <w:trPr>
          <w:trHeight w:val="454"/>
          <w:jc w:val="center"/>
        </w:trPr>
        <w:tc>
          <w:tcPr>
            <w:tcW w:w="1624" w:type="pct"/>
            <w:vMerge w:val="restart"/>
            <w:vAlign w:val="center"/>
          </w:tcPr>
          <w:p w:rsidR="00CD00D2" w:rsidRPr="0053675D" w:rsidRDefault="00CD00D2"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章  节</w:t>
            </w:r>
          </w:p>
        </w:tc>
        <w:tc>
          <w:tcPr>
            <w:tcW w:w="2937" w:type="pct"/>
            <w:gridSpan w:val="6"/>
            <w:vAlign w:val="center"/>
          </w:tcPr>
          <w:p w:rsidR="00CD00D2" w:rsidRPr="0053675D" w:rsidRDefault="00CD00D2"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学 时 分 配</w:t>
            </w:r>
          </w:p>
        </w:tc>
        <w:tc>
          <w:tcPr>
            <w:tcW w:w="439" w:type="pct"/>
            <w:vMerge w:val="restart"/>
            <w:vAlign w:val="center"/>
          </w:tcPr>
          <w:p w:rsidR="00CD00D2" w:rsidRPr="0053675D" w:rsidRDefault="00CD00D2"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合  计</w:t>
            </w:r>
          </w:p>
        </w:tc>
      </w:tr>
      <w:tr w:rsidR="00CD00D2" w:rsidRPr="0053675D" w:rsidTr="00CD00D2">
        <w:trPr>
          <w:trHeight w:val="454"/>
          <w:jc w:val="center"/>
        </w:trPr>
        <w:tc>
          <w:tcPr>
            <w:tcW w:w="1624" w:type="pct"/>
            <w:vMerge/>
            <w:vAlign w:val="center"/>
          </w:tcPr>
          <w:p w:rsidR="00CD00D2" w:rsidRPr="0053675D" w:rsidRDefault="00CD00D2" w:rsidP="0053675D">
            <w:pPr>
              <w:spacing w:line="360" w:lineRule="exact"/>
              <w:jc w:val="center"/>
              <w:rPr>
                <w:rFonts w:ascii="仿宋_GB2312" w:hAnsi="仿宋_GB2312" w:cs="仿宋_GB2312"/>
                <w:b/>
                <w:bCs/>
                <w:sz w:val="24"/>
                <w:szCs w:val="24"/>
              </w:rPr>
            </w:pPr>
          </w:p>
        </w:tc>
        <w:tc>
          <w:tcPr>
            <w:tcW w:w="489" w:type="pct"/>
            <w:vAlign w:val="center"/>
          </w:tcPr>
          <w:p w:rsidR="00CD00D2" w:rsidRPr="0053675D" w:rsidRDefault="00CD00D2"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讲  课</w:t>
            </w:r>
          </w:p>
        </w:tc>
        <w:tc>
          <w:tcPr>
            <w:tcW w:w="490" w:type="pct"/>
            <w:vAlign w:val="center"/>
          </w:tcPr>
          <w:p w:rsidR="00CD00D2" w:rsidRPr="0053675D" w:rsidRDefault="00CD00D2"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实验课</w:t>
            </w:r>
          </w:p>
        </w:tc>
        <w:tc>
          <w:tcPr>
            <w:tcW w:w="489" w:type="pct"/>
            <w:vAlign w:val="center"/>
          </w:tcPr>
          <w:p w:rsidR="00CD00D2" w:rsidRPr="0053675D" w:rsidRDefault="00CD00D2"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上机课</w:t>
            </w:r>
          </w:p>
        </w:tc>
        <w:tc>
          <w:tcPr>
            <w:tcW w:w="490" w:type="pct"/>
            <w:vAlign w:val="center"/>
          </w:tcPr>
          <w:p w:rsidR="00CD00D2" w:rsidRPr="0053675D" w:rsidRDefault="00CD00D2"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讨论课</w:t>
            </w:r>
          </w:p>
        </w:tc>
        <w:tc>
          <w:tcPr>
            <w:tcW w:w="489" w:type="pct"/>
            <w:vAlign w:val="center"/>
          </w:tcPr>
          <w:p w:rsidR="00CD00D2" w:rsidRPr="0053675D" w:rsidRDefault="00CD00D2"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习题课</w:t>
            </w:r>
          </w:p>
        </w:tc>
        <w:tc>
          <w:tcPr>
            <w:tcW w:w="490" w:type="pct"/>
            <w:vAlign w:val="center"/>
          </w:tcPr>
          <w:p w:rsidR="00CD00D2" w:rsidRPr="0053675D" w:rsidRDefault="00CD00D2"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其  它</w:t>
            </w:r>
          </w:p>
        </w:tc>
        <w:tc>
          <w:tcPr>
            <w:tcW w:w="439" w:type="pct"/>
            <w:vMerge/>
            <w:vAlign w:val="center"/>
          </w:tcPr>
          <w:p w:rsidR="00CD00D2" w:rsidRPr="0053675D" w:rsidRDefault="00CD00D2" w:rsidP="0053675D">
            <w:pPr>
              <w:spacing w:line="360" w:lineRule="exact"/>
              <w:jc w:val="center"/>
              <w:rPr>
                <w:rFonts w:ascii="仿宋_GB2312" w:hAnsi="仿宋_GB2312" w:cs="仿宋_GB2312"/>
                <w:b/>
                <w:bCs/>
                <w:sz w:val="24"/>
                <w:szCs w:val="24"/>
              </w:rPr>
            </w:pPr>
          </w:p>
        </w:tc>
      </w:tr>
      <w:tr w:rsidR="00CD00D2" w:rsidTr="00CD00D2">
        <w:trPr>
          <w:trHeight w:val="454"/>
          <w:jc w:val="center"/>
        </w:trPr>
        <w:tc>
          <w:tcPr>
            <w:tcW w:w="1624"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第一章</w:t>
            </w: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3</w:t>
            </w: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w:t>
            </w: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39"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4</w:t>
            </w:r>
          </w:p>
        </w:tc>
      </w:tr>
      <w:tr w:rsidR="00CD00D2" w:rsidTr="00CD00D2">
        <w:trPr>
          <w:trHeight w:val="454"/>
          <w:jc w:val="center"/>
        </w:trPr>
        <w:tc>
          <w:tcPr>
            <w:tcW w:w="1624"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第二章</w:t>
            </w: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12</w:t>
            </w: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39"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12</w:t>
            </w:r>
          </w:p>
        </w:tc>
      </w:tr>
      <w:tr w:rsidR="00CD00D2" w:rsidTr="00CD00D2">
        <w:trPr>
          <w:trHeight w:val="454"/>
          <w:jc w:val="center"/>
        </w:trPr>
        <w:tc>
          <w:tcPr>
            <w:tcW w:w="1624"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第三章</w:t>
            </w: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39"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3</w:t>
            </w:r>
          </w:p>
        </w:tc>
      </w:tr>
      <w:tr w:rsidR="00CD00D2" w:rsidTr="00CD00D2">
        <w:trPr>
          <w:trHeight w:val="454"/>
          <w:jc w:val="center"/>
        </w:trPr>
        <w:tc>
          <w:tcPr>
            <w:tcW w:w="1624"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第四章</w:t>
            </w: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w:t>
            </w: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w:t>
            </w: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39"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3</w:t>
            </w:r>
          </w:p>
        </w:tc>
      </w:tr>
      <w:tr w:rsidR="00CD00D2" w:rsidTr="00CD00D2">
        <w:trPr>
          <w:trHeight w:val="454"/>
          <w:jc w:val="center"/>
        </w:trPr>
        <w:tc>
          <w:tcPr>
            <w:tcW w:w="1624"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第五章</w:t>
            </w: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39"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r>
      <w:tr w:rsidR="00CD00D2" w:rsidTr="00CD00D2">
        <w:trPr>
          <w:trHeight w:val="454"/>
          <w:jc w:val="center"/>
        </w:trPr>
        <w:tc>
          <w:tcPr>
            <w:tcW w:w="1624"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共  计</w:t>
            </w: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22</w:t>
            </w: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w:t>
            </w:r>
          </w:p>
        </w:tc>
        <w:tc>
          <w:tcPr>
            <w:tcW w:w="489"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90" w:type="pct"/>
            <w:vAlign w:val="center"/>
          </w:tcPr>
          <w:p w:rsidR="00CD00D2" w:rsidRPr="0053675D" w:rsidRDefault="00CD00D2" w:rsidP="0053675D">
            <w:pPr>
              <w:spacing w:line="360" w:lineRule="exact"/>
              <w:jc w:val="center"/>
              <w:rPr>
                <w:rFonts w:ascii="仿宋_GB2312" w:hAnsi="仿宋_GB2312" w:cs="仿宋_GB2312"/>
                <w:bCs/>
                <w:sz w:val="24"/>
                <w:szCs w:val="24"/>
              </w:rPr>
            </w:pPr>
          </w:p>
        </w:tc>
        <w:tc>
          <w:tcPr>
            <w:tcW w:w="439" w:type="pct"/>
            <w:vAlign w:val="center"/>
          </w:tcPr>
          <w:p w:rsidR="00CD00D2" w:rsidRPr="0053675D" w:rsidRDefault="00CD00D2"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24</w:t>
            </w:r>
          </w:p>
        </w:tc>
      </w:tr>
    </w:tbl>
    <w:p w:rsidR="00CD00D2" w:rsidRPr="0053675D" w:rsidRDefault="00CD00D2" w:rsidP="00CD00D2">
      <w:pPr>
        <w:keepNext/>
        <w:spacing w:beforeLines="100" w:before="312" w:afterLines="50" w:after="156" w:line="360" w:lineRule="exact"/>
        <w:outlineLvl w:val="0"/>
        <w:rPr>
          <w:rFonts w:ascii="仿宋" w:eastAsia="仿宋" w:hAnsi="仿宋"/>
          <w:b/>
          <w:sz w:val="28"/>
          <w:szCs w:val="28"/>
        </w:rPr>
      </w:pPr>
      <w:r w:rsidRPr="0053675D">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930"/>
        <w:gridCol w:w="3217"/>
      </w:tblGrid>
      <w:tr w:rsidR="00CD00D2" w:rsidTr="00CD00D2">
        <w:trPr>
          <w:trHeight w:val="454"/>
          <w:jc w:val="center"/>
        </w:trPr>
        <w:tc>
          <w:tcPr>
            <w:tcW w:w="343" w:type="pct"/>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序号</w:t>
            </w:r>
          </w:p>
        </w:tc>
        <w:tc>
          <w:tcPr>
            <w:tcW w:w="1555" w:type="pct"/>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课程思政教学目标</w:t>
            </w:r>
          </w:p>
        </w:tc>
        <w:tc>
          <w:tcPr>
            <w:tcW w:w="1163" w:type="pct"/>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授课章节</w:t>
            </w:r>
          </w:p>
        </w:tc>
        <w:tc>
          <w:tcPr>
            <w:tcW w:w="1939" w:type="pct"/>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课程思政融入点（至少5处）</w:t>
            </w:r>
          </w:p>
        </w:tc>
      </w:tr>
      <w:tr w:rsidR="00CD00D2" w:rsidTr="00CD00D2">
        <w:trPr>
          <w:trHeight w:val="454"/>
          <w:jc w:val="center"/>
        </w:trPr>
        <w:tc>
          <w:tcPr>
            <w:tcW w:w="343"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1555"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正确政治导向</w:t>
            </w:r>
          </w:p>
        </w:tc>
        <w:tc>
          <w:tcPr>
            <w:tcW w:w="1163"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第一章</w:t>
            </w:r>
          </w:p>
        </w:tc>
        <w:tc>
          <w:tcPr>
            <w:tcW w:w="1939" w:type="pct"/>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BIM技术是实现建筑业信息化和工业化的技术手段</w:t>
            </w:r>
          </w:p>
        </w:tc>
      </w:tr>
      <w:tr w:rsidR="00CD00D2" w:rsidTr="00CD00D2">
        <w:trPr>
          <w:trHeight w:val="454"/>
          <w:jc w:val="center"/>
        </w:trPr>
        <w:tc>
          <w:tcPr>
            <w:tcW w:w="343"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1555"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社会主义核心价值观教育</w:t>
            </w:r>
          </w:p>
        </w:tc>
        <w:tc>
          <w:tcPr>
            <w:tcW w:w="1163"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第一~五章</w:t>
            </w:r>
          </w:p>
        </w:tc>
        <w:tc>
          <w:tcPr>
            <w:tcW w:w="1939" w:type="pct"/>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BIM技术可以实现建筑业精细化管理，实现社会资源的合理利用，促进建筑转型升级</w:t>
            </w:r>
          </w:p>
        </w:tc>
      </w:tr>
      <w:tr w:rsidR="00CD00D2" w:rsidTr="00CD00D2">
        <w:trPr>
          <w:trHeight w:val="454"/>
          <w:jc w:val="center"/>
        </w:trPr>
        <w:tc>
          <w:tcPr>
            <w:tcW w:w="343"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c>
          <w:tcPr>
            <w:tcW w:w="1555"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远大理想塑造</w:t>
            </w:r>
          </w:p>
        </w:tc>
        <w:tc>
          <w:tcPr>
            <w:tcW w:w="1163"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第一~五章</w:t>
            </w:r>
          </w:p>
        </w:tc>
        <w:tc>
          <w:tcPr>
            <w:tcW w:w="1939" w:type="pct"/>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BIM技术属于新事物，尚有广阔的技术发展空间</w:t>
            </w:r>
          </w:p>
        </w:tc>
      </w:tr>
      <w:tr w:rsidR="00CD00D2" w:rsidTr="00CD00D2">
        <w:trPr>
          <w:trHeight w:val="454"/>
          <w:jc w:val="center"/>
        </w:trPr>
        <w:tc>
          <w:tcPr>
            <w:tcW w:w="343"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lastRenderedPageBreak/>
              <w:t>4</w:t>
            </w:r>
          </w:p>
        </w:tc>
        <w:tc>
          <w:tcPr>
            <w:tcW w:w="1555"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健康心态培育</w:t>
            </w:r>
          </w:p>
        </w:tc>
        <w:tc>
          <w:tcPr>
            <w:tcW w:w="1163"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第一~五章</w:t>
            </w:r>
          </w:p>
        </w:tc>
        <w:tc>
          <w:tcPr>
            <w:tcW w:w="1939" w:type="pct"/>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各种新技术需要不断创新、不断学习，应勇于面对新问题并着力寻求解决</w:t>
            </w:r>
          </w:p>
        </w:tc>
      </w:tr>
      <w:tr w:rsidR="00CD00D2" w:rsidTr="00CD00D2">
        <w:trPr>
          <w:trHeight w:val="454"/>
          <w:jc w:val="center"/>
        </w:trPr>
        <w:tc>
          <w:tcPr>
            <w:tcW w:w="343"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5</w:t>
            </w:r>
          </w:p>
        </w:tc>
        <w:tc>
          <w:tcPr>
            <w:tcW w:w="1555"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道德品质培养</w:t>
            </w:r>
          </w:p>
        </w:tc>
        <w:tc>
          <w:tcPr>
            <w:tcW w:w="1163" w:type="pct"/>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第一~五章</w:t>
            </w:r>
          </w:p>
        </w:tc>
        <w:tc>
          <w:tcPr>
            <w:tcW w:w="1939" w:type="pct"/>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BIM技术要应用于解决市场的合理需求，切实服务于社会</w:t>
            </w:r>
          </w:p>
        </w:tc>
      </w:tr>
    </w:tbl>
    <w:p w:rsidR="0053675D" w:rsidRDefault="0053675D" w:rsidP="0053675D">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五、课程考核方式与成绩评定</w:t>
      </w:r>
    </w:p>
    <w:p w:rsidR="00CD00D2" w:rsidRPr="0053675D" w:rsidRDefault="00CD00D2"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（1）考核方式</w:t>
      </w:r>
    </w:p>
    <w:p w:rsidR="00CD00D2" w:rsidRPr="0053675D" w:rsidRDefault="00CD00D2"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本课程考核方式为考试，其中期末考核方式为非标准答案考试，过程考核方式为课堂出勤、课堂讨论展示、作业完成情况及平时随堂测验等。</w:t>
      </w:r>
    </w:p>
    <w:p w:rsidR="00CD00D2" w:rsidRPr="0053675D" w:rsidRDefault="00CD00D2"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881"/>
        <w:gridCol w:w="672"/>
        <w:gridCol w:w="672"/>
        <w:gridCol w:w="672"/>
        <w:gridCol w:w="672"/>
        <w:gridCol w:w="672"/>
        <w:gridCol w:w="677"/>
        <w:gridCol w:w="656"/>
        <w:gridCol w:w="667"/>
      </w:tblGrid>
      <w:tr w:rsidR="00CD00D2" w:rsidRPr="0053675D" w:rsidTr="00CD00D2">
        <w:trPr>
          <w:trHeight w:val="454"/>
          <w:jc w:val="center"/>
        </w:trPr>
        <w:tc>
          <w:tcPr>
            <w:tcW w:w="396" w:type="pct"/>
            <w:vMerge w:val="restart"/>
            <w:tcBorders>
              <w:top w:val="single" w:sz="4" w:space="0" w:color="000000"/>
              <w:left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课程</w:t>
            </w:r>
          </w:p>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目标</w:t>
            </w:r>
          </w:p>
        </w:tc>
        <w:tc>
          <w:tcPr>
            <w:tcW w:w="3956" w:type="pct"/>
            <w:gridSpan w:val="8"/>
            <w:tcBorders>
              <w:top w:val="single" w:sz="4" w:space="0" w:color="000000"/>
              <w:left w:val="single" w:sz="4" w:space="0" w:color="auto"/>
              <w:bottom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考核方式及成绩比例（%）</w:t>
            </w:r>
          </w:p>
        </w:tc>
      </w:tr>
      <w:tr w:rsidR="00CD00D2" w:rsidRPr="0053675D" w:rsidTr="00CD00D2">
        <w:trPr>
          <w:trHeight w:val="454"/>
          <w:jc w:val="center"/>
        </w:trPr>
        <w:tc>
          <w:tcPr>
            <w:tcW w:w="396" w:type="pct"/>
            <w:vMerge/>
            <w:tcBorders>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p>
        </w:tc>
        <w:tc>
          <w:tcPr>
            <w:tcW w:w="496" w:type="pct"/>
            <w:tcBorders>
              <w:top w:val="single" w:sz="4" w:space="0" w:color="auto"/>
              <w:left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考勤</w:t>
            </w:r>
          </w:p>
        </w:tc>
        <w:tc>
          <w:tcPr>
            <w:tcW w:w="496" w:type="pct"/>
            <w:tcBorders>
              <w:top w:val="single" w:sz="4" w:space="0" w:color="auto"/>
              <w:left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作业</w:t>
            </w:r>
          </w:p>
        </w:tc>
        <w:tc>
          <w:tcPr>
            <w:tcW w:w="496" w:type="pct"/>
            <w:tcBorders>
              <w:top w:val="single" w:sz="4" w:space="0" w:color="auto"/>
              <w:left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讨论</w:t>
            </w:r>
          </w:p>
        </w:tc>
        <w:tc>
          <w:tcPr>
            <w:tcW w:w="496" w:type="pct"/>
            <w:tcBorders>
              <w:top w:val="single" w:sz="4" w:space="0" w:color="auto"/>
              <w:left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实验</w:t>
            </w:r>
          </w:p>
        </w:tc>
        <w:tc>
          <w:tcPr>
            <w:tcW w:w="496" w:type="pct"/>
            <w:tcBorders>
              <w:top w:val="single" w:sz="4" w:space="0" w:color="auto"/>
              <w:left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测验</w:t>
            </w:r>
          </w:p>
        </w:tc>
        <w:tc>
          <w:tcPr>
            <w:tcW w:w="499" w:type="pct"/>
            <w:tcBorders>
              <w:top w:val="single" w:sz="4" w:space="0" w:color="auto"/>
              <w:left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考试</w:t>
            </w:r>
          </w:p>
        </w:tc>
        <w:tc>
          <w:tcPr>
            <w:tcW w:w="484" w:type="pct"/>
            <w:tcBorders>
              <w:top w:val="single" w:sz="4" w:space="0" w:color="auto"/>
              <w:left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w:t>
            </w:r>
          </w:p>
        </w:tc>
        <w:tc>
          <w:tcPr>
            <w:tcW w:w="492" w:type="pct"/>
            <w:tcBorders>
              <w:top w:val="single" w:sz="4" w:space="0" w:color="auto"/>
              <w:left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合计</w:t>
            </w:r>
          </w:p>
        </w:tc>
      </w:tr>
      <w:tr w:rsidR="00CD00D2"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目标1</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6</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rPr>
                <w:rFonts w:ascii="仿宋_GB2312" w:hAnsi="仿宋_GB2312" w:cs="仿宋_GB2312"/>
                <w:bCs/>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16</w:t>
            </w:r>
          </w:p>
        </w:tc>
      </w:tr>
      <w:tr w:rsidR="00CD00D2"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目标2</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8</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50</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58</w:t>
            </w:r>
          </w:p>
        </w:tc>
      </w:tr>
      <w:tr w:rsidR="00CD00D2"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目标3</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6</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20</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26</w:t>
            </w:r>
          </w:p>
        </w:tc>
      </w:tr>
      <w:tr w:rsidR="00CD00D2" w:rsidTr="00CD00D2">
        <w:trPr>
          <w:trHeight w:val="454"/>
          <w:jc w:val="center"/>
        </w:trPr>
        <w:tc>
          <w:tcPr>
            <w:tcW w:w="1044" w:type="pct"/>
            <w:gridSpan w:val="2"/>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共计</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20</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50</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30</w:t>
            </w: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100</w:t>
            </w:r>
          </w:p>
        </w:tc>
      </w:tr>
    </w:tbl>
    <w:p w:rsidR="00CD00D2" w:rsidRDefault="00CD00D2" w:rsidP="0053675D">
      <w:pPr>
        <w:spacing w:line="360" w:lineRule="auto"/>
        <w:ind w:firstLine="331"/>
      </w:pPr>
      <w:r w:rsidRPr="0053675D">
        <w:rPr>
          <w:rFonts w:ascii="仿宋_GB2312" w:hAnsi="仿宋_GB2312" w:cs="仿宋_GB2312" w:hint="eastAsia"/>
          <w:bCs/>
          <w:sz w:val="28"/>
          <w:szCs w:val="28"/>
        </w:rPr>
        <w:t>（3）考核（评价）要求：</w:t>
      </w:r>
      <w: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51"/>
        <w:gridCol w:w="951"/>
        <w:gridCol w:w="4782"/>
        <w:gridCol w:w="1042"/>
      </w:tblGrid>
      <w:tr w:rsidR="00CD00D2" w:rsidTr="00CD00D2">
        <w:trPr>
          <w:trHeight w:val="454"/>
          <w:jc w:val="center"/>
        </w:trPr>
        <w:tc>
          <w:tcPr>
            <w:tcW w:w="344" w:type="pct"/>
            <w:tcBorders>
              <w:top w:val="single" w:sz="4" w:space="0" w:color="000000"/>
              <w:left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hint="eastAsia"/>
                <w:b/>
                <w:bCs/>
                <w:sz w:val="24"/>
                <w:szCs w:val="24"/>
              </w:rPr>
              <w:t>目标分值</w:t>
            </w:r>
          </w:p>
        </w:tc>
        <w:tc>
          <w:tcPr>
            <w:tcW w:w="2882" w:type="pct"/>
            <w:tcBorders>
              <w:top w:val="single" w:sz="4" w:space="0" w:color="000000"/>
              <w:left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CD00D2" w:rsidRPr="0053675D" w:rsidRDefault="00CD00D2"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支撑课程教学目标</w:t>
            </w:r>
          </w:p>
        </w:tc>
      </w:tr>
      <w:tr w:rsidR="00CD00D2" w:rsidTr="00CD00D2">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出勤统计不少于授课次数的2/3；通过出勤统计结果考核学生学习态度和遵守课堂纪律等基本情况。</w:t>
            </w:r>
            <w:r w:rsidRPr="0053675D">
              <w:rPr>
                <w:rFonts w:ascii="仿宋_GB2312" w:hAnsi="仿宋_GB2312" w:cs="仿宋_GB2312"/>
                <w:bCs/>
                <w:sz w:val="24"/>
                <w:szCs w:val="24"/>
              </w:rPr>
              <w:t xml:space="preserve"> </w:t>
            </w:r>
          </w:p>
        </w:tc>
        <w:tc>
          <w:tcPr>
            <w:tcW w:w="628"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1</w:t>
            </w:r>
          </w:p>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目标2</w:t>
            </w:r>
          </w:p>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3</w:t>
            </w:r>
          </w:p>
        </w:tc>
      </w:tr>
      <w:tr w:rsidR="00CD00D2" w:rsidTr="00CD00D2">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573"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课后作业</w:t>
            </w:r>
            <w:r w:rsidRPr="0053675D">
              <w:rPr>
                <w:rFonts w:ascii="仿宋_GB2312" w:hAnsi="仿宋_GB2312" w:cs="仿宋_GB2312" w:hint="eastAsia"/>
                <w:bCs/>
                <w:sz w:val="24"/>
                <w:szCs w:val="24"/>
              </w:rPr>
              <w:t>布置5次，通过课后作业考核学生对Revit建模操作的掌握程度。</w:t>
            </w:r>
          </w:p>
        </w:tc>
        <w:tc>
          <w:tcPr>
            <w:tcW w:w="628"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目标2</w:t>
            </w:r>
          </w:p>
        </w:tc>
      </w:tr>
      <w:tr w:rsidR="00CD00D2" w:rsidTr="00CD00D2">
        <w:trPr>
          <w:trHeight w:val="454"/>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讨论</w:t>
            </w:r>
          </w:p>
        </w:tc>
        <w:tc>
          <w:tcPr>
            <w:tcW w:w="573"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100</w:t>
            </w:r>
          </w:p>
        </w:tc>
        <w:tc>
          <w:tcPr>
            <w:tcW w:w="2882"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讨论环节设置2次；通过对部分章节关键知识点设置开放式讨论，考核学生对BIM技术在设计、施工中应用的认识、总结归纳能</w:t>
            </w:r>
            <w:r w:rsidRPr="0053675D">
              <w:rPr>
                <w:rFonts w:ascii="仿宋_GB2312" w:hAnsi="仿宋_GB2312" w:cs="仿宋_GB2312" w:hint="eastAsia"/>
                <w:bCs/>
                <w:sz w:val="24"/>
                <w:szCs w:val="24"/>
              </w:rPr>
              <w:lastRenderedPageBreak/>
              <w:t>力、文字组织能力以及协同工作能力等。</w:t>
            </w:r>
          </w:p>
        </w:tc>
        <w:tc>
          <w:tcPr>
            <w:tcW w:w="628" w:type="pct"/>
            <w:tcBorders>
              <w:top w:val="single" w:sz="4" w:space="0" w:color="000000"/>
              <w:left w:val="single" w:sz="4" w:space="0" w:color="auto"/>
              <w:bottom w:val="single" w:sz="4" w:space="0" w:color="000000"/>
              <w:right w:val="single" w:sz="4" w:space="0" w:color="auto"/>
            </w:tcBorders>
            <w:vAlign w:val="center"/>
          </w:tcPr>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lastRenderedPageBreak/>
              <w:t>目标1</w:t>
            </w:r>
          </w:p>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目标2</w:t>
            </w:r>
          </w:p>
          <w:p w:rsidR="00CD00D2" w:rsidRPr="0053675D" w:rsidRDefault="00CD00D2"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3</w:t>
            </w:r>
          </w:p>
        </w:tc>
      </w:tr>
    </w:tbl>
    <w:p w:rsidR="00CD00D2" w:rsidRDefault="00CD00D2" w:rsidP="00CD00D2">
      <w:pPr>
        <w:adjustRightInd w:val="0"/>
        <w:snapToGrid w:val="0"/>
        <w:spacing w:line="360" w:lineRule="exact"/>
        <w:ind w:firstLineChars="200" w:firstLine="640"/>
        <w:rPr>
          <w:rFonts w:ascii="Times New Roman" w:hAnsi="Times New Roman"/>
        </w:rPr>
      </w:pPr>
    </w:p>
    <w:p w:rsidR="0053675D" w:rsidRDefault="0053675D" w:rsidP="0053675D">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53675D" w:rsidRPr="0053675D" w:rsidRDefault="0053675D"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1. 教  材：</w:t>
      </w:r>
      <w:r w:rsidRPr="0053675D">
        <w:rPr>
          <w:rFonts w:ascii="仿宋_GB2312" w:hAnsi="仿宋_GB2312" w:cs="仿宋_GB2312" w:hint="eastAsia"/>
          <w:bCs/>
          <w:sz w:val="28"/>
          <w:szCs w:val="28"/>
        </w:rPr>
        <w:t>《BIM技术及工程应用》，冯小平主编，中国建筑工业出版社, 2017</w:t>
      </w:r>
    </w:p>
    <w:p w:rsidR="0053675D" w:rsidRPr="0053675D" w:rsidRDefault="0053675D"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2. 参考书：《</w:t>
      </w:r>
      <w:r w:rsidRPr="0053675D">
        <w:rPr>
          <w:rFonts w:ascii="仿宋_GB2312" w:hAnsi="仿宋_GB2312" w:cs="仿宋_GB2312" w:hint="eastAsia"/>
          <w:bCs/>
          <w:sz w:val="28"/>
          <w:szCs w:val="28"/>
        </w:rPr>
        <w:t>土木建筑工程BIM技术-Revit建模与应用</w:t>
      </w:r>
      <w:r w:rsidRPr="0053675D">
        <w:rPr>
          <w:rFonts w:ascii="仿宋_GB2312" w:hAnsi="仿宋_GB2312" w:cs="仿宋_GB2312"/>
          <w:bCs/>
          <w:sz w:val="28"/>
          <w:szCs w:val="28"/>
        </w:rPr>
        <w:t>》，</w:t>
      </w:r>
      <w:r w:rsidRPr="0053675D">
        <w:rPr>
          <w:rFonts w:ascii="仿宋_GB2312" w:hAnsi="仿宋_GB2312" w:cs="仿宋_GB2312" w:hint="eastAsia"/>
          <w:bCs/>
          <w:sz w:val="28"/>
          <w:szCs w:val="28"/>
        </w:rPr>
        <w:t>牛春来等主编</w:t>
      </w:r>
      <w:r w:rsidRPr="0053675D">
        <w:rPr>
          <w:rFonts w:ascii="仿宋_GB2312" w:hAnsi="仿宋_GB2312" w:cs="仿宋_GB2312"/>
          <w:bCs/>
          <w:sz w:val="28"/>
          <w:szCs w:val="28"/>
        </w:rPr>
        <w:t>，</w:t>
      </w:r>
      <w:r w:rsidRPr="0053675D">
        <w:rPr>
          <w:rFonts w:ascii="仿宋_GB2312" w:hAnsi="仿宋_GB2312" w:cs="仿宋_GB2312" w:hint="eastAsia"/>
          <w:bCs/>
          <w:sz w:val="28"/>
          <w:szCs w:val="28"/>
        </w:rPr>
        <w:t>清华</w:t>
      </w:r>
      <w:r w:rsidRPr="0053675D">
        <w:rPr>
          <w:rFonts w:ascii="仿宋_GB2312" w:hAnsi="仿宋_GB2312" w:cs="仿宋_GB2312"/>
          <w:bCs/>
          <w:sz w:val="28"/>
          <w:szCs w:val="28"/>
        </w:rPr>
        <w:t>大学出版社，20</w:t>
      </w:r>
      <w:r w:rsidRPr="0053675D">
        <w:rPr>
          <w:rFonts w:ascii="仿宋_GB2312" w:hAnsi="仿宋_GB2312" w:cs="仿宋_GB2312" w:hint="eastAsia"/>
          <w:bCs/>
          <w:sz w:val="28"/>
          <w:szCs w:val="28"/>
        </w:rPr>
        <w:t xml:space="preserve">20 </w:t>
      </w:r>
    </w:p>
    <w:p w:rsidR="0053675D" w:rsidRPr="0053675D" w:rsidRDefault="0053675D" w:rsidP="0053675D">
      <w:pPr>
        <w:spacing w:line="360" w:lineRule="auto"/>
        <w:ind w:firstLine="331"/>
        <w:rPr>
          <w:rFonts w:ascii="仿宋_GB2312" w:hAnsi="仿宋_GB2312" w:cs="仿宋_GB2312"/>
          <w:bCs/>
          <w:sz w:val="28"/>
          <w:szCs w:val="28"/>
        </w:rPr>
      </w:pPr>
      <w:r w:rsidRPr="0053675D">
        <w:rPr>
          <w:rFonts w:ascii="仿宋_GB2312" w:hAnsi="仿宋_GB2312" w:cs="仿宋_GB2312" w:hint="eastAsia"/>
          <w:bCs/>
          <w:sz w:val="28"/>
          <w:szCs w:val="28"/>
        </w:rPr>
        <w:t xml:space="preserve">          《BIM案例分析》，刘占省主编，机械工业出版社，2019</w:t>
      </w:r>
    </w:p>
    <w:p w:rsidR="0053675D" w:rsidRDefault="0053675D" w:rsidP="0053675D">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大纲撰写人：</w:t>
      </w:r>
      <w:r w:rsidRPr="0053675D">
        <w:rPr>
          <w:rFonts w:ascii="仿宋" w:eastAsia="仿宋" w:hAnsi="仿宋" w:hint="eastAsia"/>
          <w:sz w:val="28"/>
          <w:szCs w:val="28"/>
        </w:rPr>
        <w:t>秦朝刚</w:t>
      </w:r>
    </w:p>
    <w:p w:rsidR="0053675D" w:rsidRDefault="0053675D" w:rsidP="0053675D">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课程负责人：</w:t>
      </w:r>
    </w:p>
    <w:p w:rsidR="0053675D" w:rsidRDefault="0053675D" w:rsidP="0053675D">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审核人：</w:t>
      </w:r>
    </w:p>
    <w:p w:rsidR="0053675D" w:rsidRDefault="0053675D" w:rsidP="0053675D">
      <w:pPr>
        <w:jc w:val="center"/>
        <w:rPr>
          <w:rFonts w:ascii="仿宋_GB2312" w:hint="eastAsia"/>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53675D" w:rsidRDefault="0053675D" w:rsidP="0053675D">
      <w:pPr>
        <w:ind w:firstLineChars="2000" w:firstLine="5600"/>
        <w:jc w:val="left"/>
        <w:rPr>
          <w:rFonts w:ascii="仿宋" w:hAnsi="仿宋"/>
          <w:sz w:val="28"/>
          <w:szCs w:val="28"/>
        </w:rPr>
      </w:pPr>
      <w:r>
        <w:rPr>
          <w:rFonts w:ascii="仿宋_GB2312" w:hAnsi="微软雅黑" w:hint="eastAsia"/>
          <w:sz w:val="28"/>
          <w:szCs w:val="28"/>
        </w:rPr>
        <w:t xml:space="preserve">    </w:t>
      </w:r>
    </w:p>
    <w:p w:rsidR="0053675D" w:rsidRDefault="0053675D" w:rsidP="0053675D">
      <w:pPr>
        <w:jc w:val="left"/>
        <w:rPr>
          <w:rFonts w:ascii="仿宋_GB2312" w:hAnsi="黑体"/>
          <w:sz w:val="28"/>
          <w:szCs w:val="28"/>
        </w:rPr>
      </w:pPr>
      <w:r>
        <w:rPr>
          <w:rFonts w:ascii="仿宋" w:eastAsia="仿宋" w:hAnsi="仿宋" w:hint="eastAsia"/>
          <w:sz w:val="28"/>
          <w:szCs w:val="28"/>
        </w:rPr>
        <w:t xml:space="preserve">                                         年    月</w:t>
      </w:r>
    </w:p>
    <w:p w:rsidR="0053675D" w:rsidRDefault="0053675D" w:rsidP="00AD1D5F">
      <w:pPr>
        <w:spacing w:beforeLines="100" w:before="312" w:afterLines="100" w:after="312"/>
        <w:jc w:val="center"/>
        <w:outlineLvl w:val="0"/>
        <w:rPr>
          <w:rFonts w:ascii="Times New Roman" w:hAnsi="Times New Roman"/>
        </w:rPr>
      </w:pPr>
    </w:p>
    <w:p w:rsidR="0053675D" w:rsidRDefault="0053675D" w:rsidP="00AD1D5F">
      <w:pPr>
        <w:spacing w:beforeLines="100" w:before="312" w:afterLines="100" w:after="312"/>
        <w:jc w:val="center"/>
        <w:outlineLvl w:val="0"/>
        <w:rPr>
          <w:rFonts w:ascii="Times New Roman" w:hAnsi="Times New Roman"/>
        </w:rPr>
      </w:pPr>
    </w:p>
    <w:p w:rsidR="0053675D" w:rsidRDefault="0053675D" w:rsidP="00AD1D5F">
      <w:pPr>
        <w:spacing w:beforeLines="100" w:before="312" w:afterLines="100" w:after="312"/>
        <w:jc w:val="center"/>
        <w:outlineLvl w:val="0"/>
        <w:rPr>
          <w:rFonts w:ascii="Times New Roman" w:hAnsi="Times New Roman"/>
        </w:rPr>
      </w:pPr>
    </w:p>
    <w:p w:rsidR="0053675D" w:rsidRDefault="0053675D" w:rsidP="00AD1D5F">
      <w:pPr>
        <w:spacing w:beforeLines="100" w:before="312" w:afterLines="100" w:after="312"/>
        <w:jc w:val="center"/>
        <w:outlineLvl w:val="0"/>
        <w:rPr>
          <w:rFonts w:ascii="Times New Roman" w:hAnsi="Times New Roman"/>
        </w:rPr>
      </w:pPr>
    </w:p>
    <w:p w:rsidR="0053675D" w:rsidRDefault="0053675D" w:rsidP="00AD1D5F">
      <w:pPr>
        <w:spacing w:beforeLines="100" w:before="312" w:afterLines="100" w:after="312"/>
        <w:jc w:val="center"/>
        <w:outlineLvl w:val="0"/>
        <w:rPr>
          <w:rFonts w:ascii="Times New Roman" w:hAnsi="Times New Roman"/>
        </w:rPr>
      </w:pPr>
    </w:p>
    <w:p w:rsidR="0053675D" w:rsidRDefault="00AD1D5F" w:rsidP="0053675D">
      <w:pPr>
        <w:widowControl/>
        <w:spacing w:line="360" w:lineRule="auto"/>
        <w:jc w:val="center"/>
        <w:rPr>
          <w:rFonts w:ascii="方正小标宋简体" w:eastAsia="方正小标宋简体" w:hAnsi="宋体"/>
          <w:kern w:val="0"/>
          <w:szCs w:val="32"/>
        </w:rPr>
      </w:pPr>
      <w:r w:rsidRPr="0053675D">
        <w:rPr>
          <w:rFonts w:ascii="方正小标宋简体" w:eastAsia="方正小标宋简体" w:hAnsi="宋体" w:hint="eastAsia"/>
          <w:kern w:val="0"/>
          <w:szCs w:val="32"/>
        </w:rPr>
        <w:lastRenderedPageBreak/>
        <w:t>《工程监理概论》</w:t>
      </w:r>
      <w:r w:rsidR="0053675D">
        <w:rPr>
          <w:rFonts w:ascii="方正小标宋简体" w:eastAsia="方正小标宋简体" w:hAnsi="宋体" w:hint="eastAsia"/>
          <w:kern w:val="0"/>
          <w:szCs w:val="32"/>
        </w:rPr>
        <w:t>课程教学大纲</w:t>
      </w:r>
    </w:p>
    <w:p w:rsidR="0053675D" w:rsidRDefault="0053675D" w:rsidP="0053675D">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一、课程信息</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英文名称：</w:t>
      </w:r>
      <w:r w:rsidRPr="0053675D">
        <w:rPr>
          <w:rFonts w:ascii="仿宋_GB2312" w:hAnsi="仿宋_GB2312" w:cs="仿宋_GB2312"/>
          <w:bCs/>
          <w:sz w:val="28"/>
          <w:szCs w:val="28"/>
        </w:rPr>
        <w:t>Construction Supervision Summary</w:t>
      </w:r>
    </w:p>
    <w:p w:rsidR="0053675D" w:rsidRDefault="0053675D" w:rsidP="0053675D">
      <w:pPr>
        <w:spacing w:line="360" w:lineRule="auto"/>
        <w:ind w:firstLine="331"/>
        <w:jc w:val="left"/>
        <w:rPr>
          <w:rFonts w:ascii="仿宋_GB2312" w:hAnsi="仿宋_GB2312" w:cs="仿宋_GB2312" w:hint="eastAsia"/>
          <w:bCs/>
          <w:sz w:val="28"/>
          <w:szCs w:val="28"/>
        </w:rPr>
      </w:pPr>
      <w:r>
        <w:rPr>
          <w:rFonts w:ascii="仿宋_GB2312" w:hAnsi="仿宋_GB2312" w:cs="仿宋_GB2312" w:hint="eastAsia"/>
          <w:bCs/>
          <w:sz w:val="28"/>
          <w:szCs w:val="28"/>
        </w:rPr>
        <w:t>课程编码：</w:t>
      </w:r>
      <w:r w:rsidRPr="0053675D">
        <w:rPr>
          <w:rFonts w:ascii="仿宋_GB2312" w:hAnsi="仿宋_GB2312" w:cs="仿宋_GB2312"/>
          <w:bCs/>
          <w:sz w:val="28"/>
          <w:szCs w:val="28"/>
        </w:rPr>
        <w:t>Z2805360</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授课语言：中文</w:t>
      </w:r>
    </w:p>
    <w:p w:rsidR="0053675D" w:rsidRDefault="0053675D" w:rsidP="0053675D">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授课方式：线下</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课程类别：专业发展课程</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课程性质：选修</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53675D" w:rsidRDefault="0053675D" w:rsidP="0053675D">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适用对象：</w:t>
      </w:r>
      <w:r w:rsidRPr="0053675D">
        <w:rPr>
          <w:rFonts w:ascii="仿宋_GB2312" w:hAnsi="仿宋_GB2312" w:cs="仿宋_GB2312" w:hint="eastAsia"/>
          <w:bCs/>
          <w:sz w:val="28"/>
          <w:szCs w:val="28"/>
        </w:rPr>
        <w:t>工程造价专业</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先修课程：</w:t>
      </w:r>
      <w:r w:rsidRPr="0053675D">
        <w:rPr>
          <w:rFonts w:ascii="仿宋_GB2312" w:hAnsi="仿宋_GB2312" w:cs="仿宋_GB2312" w:hint="eastAsia"/>
          <w:bCs/>
          <w:sz w:val="28"/>
          <w:szCs w:val="28"/>
        </w:rPr>
        <w:t>土木工程施工、工程计量与计价</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开课院系：建筑工程学院</w:t>
      </w:r>
      <w:r w:rsidRPr="0053675D">
        <w:rPr>
          <w:rFonts w:ascii="仿宋_GB2312" w:hAnsi="仿宋_GB2312" w:cs="仿宋_GB2312" w:hint="eastAsia"/>
          <w:bCs/>
          <w:sz w:val="28"/>
          <w:szCs w:val="28"/>
        </w:rPr>
        <w:t>工程造价与施工教研室</w:t>
      </w:r>
    </w:p>
    <w:p w:rsidR="0053675D" w:rsidRDefault="0053675D" w:rsidP="0053675D">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二、课程简介</w:t>
      </w:r>
    </w:p>
    <w:p w:rsidR="00AD1D5F" w:rsidRPr="0053675D" w:rsidRDefault="00AD1D5F" w:rsidP="0053675D">
      <w:pPr>
        <w:spacing w:line="360" w:lineRule="auto"/>
        <w:rPr>
          <w:rFonts w:ascii="仿宋_GB2312" w:hAnsi="仿宋_GB2312" w:cs="仿宋_GB2312"/>
          <w:bCs/>
          <w:sz w:val="28"/>
          <w:szCs w:val="28"/>
        </w:rPr>
      </w:pPr>
      <w:r w:rsidRPr="0053675D">
        <w:rPr>
          <w:rFonts w:ascii="仿宋_GB2312" w:hAnsi="仿宋_GB2312" w:cs="仿宋_GB2312"/>
          <w:bCs/>
          <w:sz w:val="28"/>
          <w:szCs w:val="28"/>
        </w:rPr>
        <w:t>课程教学目标</w:t>
      </w:r>
    </w:p>
    <w:p w:rsidR="00AD1D5F" w:rsidRPr="0053675D" w:rsidRDefault="00AD1D5F" w:rsidP="0053675D">
      <w:pPr>
        <w:spacing w:line="360" w:lineRule="auto"/>
        <w:ind w:firstLine="331"/>
        <w:rPr>
          <w:rFonts w:ascii="仿宋_GB2312" w:hAnsi="仿宋_GB2312" w:cs="仿宋_GB2312"/>
          <w:bCs/>
          <w:sz w:val="28"/>
          <w:szCs w:val="28"/>
        </w:rPr>
      </w:pPr>
      <w:r w:rsidRPr="0053675D">
        <w:rPr>
          <w:rFonts w:ascii="仿宋_GB2312" w:hAnsi="仿宋_GB2312" w:cs="仿宋_GB2312" w:hint="eastAsia"/>
          <w:bCs/>
          <w:sz w:val="28"/>
          <w:szCs w:val="28"/>
        </w:rPr>
        <w:t>《工程监理概论》是工程造价专业的一门专业发展选修课程，主要研究了工程监理的相关法律、法规、规章及监理规范，重点阐述了工程监理工作程序、内容、方法和手段，为确定工程造价奠定专业基础的学科。《工程监理概论》具有实践性强、涉及面广等特点，通过本课程的学习，使学生掌握工程建设监理的基本概念、熟悉相关监理程序，具备有一定的分析与处理工程监理相关实际问题的能力；培养学</w:t>
      </w:r>
      <w:r w:rsidRPr="0053675D">
        <w:rPr>
          <w:rFonts w:ascii="仿宋_GB2312" w:hAnsi="仿宋_GB2312" w:cs="仿宋_GB2312" w:hint="eastAsia"/>
          <w:bCs/>
          <w:sz w:val="28"/>
          <w:szCs w:val="28"/>
        </w:rPr>
        <w:lastRenderedPageBreak/>
        <w:t>生良好的组织协调能力，良好的团队精神；深刻理解监理和建筑工程管理的关系，树立为国家经济建设服务的思想，严格遵循工程监理的法规、制度和程序，自觉抵制工程监理中不公平、不公正的错误。</w:t>
      </w:r>
    </w:p>
    <w:p w:rsidR="00AD1D5F" w:rsidRPr="0053675D" w:rsidRDefault="00AD1D5F"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本课程教学目标及对毕业要求指标点的支撑关系见下表：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768"/>
        <w:gridCol w:w="886"/>
        <w:gridCol w:w="3073"/>
      </w:tblGrid>
      <w:tr w:rsidR="00AD1D5F" w:rsidTr="00CD00D2">
        <w:trPr>
          <w:trHeight w:val="454"/>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序号</w:t>
            </w:r>
          </w:p>
        </w:tc>
        <w:tc>
          <w:tcPr>
            <w:tcW w:w="2271" w:type="pct"/>
            <w:vMerge w:val="restart"/>
            <w:tcBorders>
              <w:top w:val="single" w:sz="4" w:space="0" w:color="000000"/>
              <w:left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课程教学目标</w:t>
            </w:r>
          </w:p>
        </w:tc>
        <w:tc>
          <w:tcPr>
            <w:tcW w:w="2386" w:type="pct"/>
            <w:gridSpan w:val="2"/>
            <w:tcBorders>
              <w:top w:val="single" w:sz="4" w:space="0" w:color="000000"/>
              <w:left w:val="single" w:sz="4" w:space="0" w:color="000000"/>
              <w:bottom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支撑毕业要求指标点</w:t>
            </w:r>
          </w:p>
        </w:tc>
      </w:tr>
      <w:tr w:rsidR="00AD1D5F" w:rsidTr="00CD00D2">
        <w:trPr>
          <w:trHeight w:val="454"/>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widowControl/>
              <w:spacing w:line="360" w:lineRule="exact"/>
              <w:jc w:val="center"/>
              <w:rPr>
                <w:rFonts w:ascii="仿宋_GB2312" w:hAnsi="仿宋_GB2312" w:cs="仿宋_GB2312"/>
                <w:b/>
                <w:bCs/>
                <w:sz w:val="24"/>
                <w:szCs w:val="24"/>
              </w:rPr>
            </w:pPr>
          </w:p>
        </w:tc>
        <w:tc>
          <w:tcPr>
            <w:tcW w:w="2271" w:type="pct"/>
            <w:vMerge/>
            <w:tcBorders>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p>
        </w:tc>
        <w:tc>
          <w:tcPr>
            <w:tcW w:w="534" w:type="pct"/>
            <w:tcBorders>
              <w:top w:val="single" w:sz="4" w:space="0" w:color="auto"/>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指标点</w:t>
            </w:r>
          </w:p>
        </w:tc>
        <w:tc>
          <w:tcPr>
            <w:tcW w:w="1852" w:type="pct"/>
            <w:tcBorders>
              <w:top w:val="single" w:sz="4" w:space="0" w:color="auto"/>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指标点内容</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2271"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目标1</w:t>
            </w:r>
            <w:r w:rsidRPr="0053675D">
              <w:rPr>
                <w:rFonts w:ascii="仿宋_GB2312" w:hAnsi="仿宋_GB2312" w:cs="仿宋_GB2312" w:hint="eastAsia"/>
                <w:bCs/>
                <w:sz w:val="24"/>
                <w:szCs w:val="24"/>
              </w:rPr>
              <w:t>：了解我国建设工程监理的发展与现状，理解建设工程监理的涵义、法律地位和责任；了解工程监理相关制度、法规，熟悉工程监理规范。</w:t>
            </w:r>
          </w:p>
        </w:tc>
        <w:tc>
          <w:tcPr>
            <w:tcW w:w="534"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8</w:t>
            </w:r>
          </w:p>
        </w:tc>
        <w:tc>
          <w:tcPr>
            <w:tcW w:w="1852"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具有人文社会科学素养、社会责任感，能够在工程实践中理解并遵守工程职业道德和规范，履行责任。</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2271"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w:t>
            </w:r>
            <w:r w:rsidRPr="0053675D">
              <w:rPr>
                <w:rFonts w:ascii="仿宋_GB2312" w:hAnsi="仿宋_GB2312" w:cs="仿宋_GB2312" w:hint="eastAsia"/>
                <w:bCs/>
                <w:sz w:val="24"/>
                <w:szCs w:val="24"/>
              </w:rPr>
              <w:t>熟悉项目监理机构的组织形式、人员配备及职责分工；理解建设工程目标控制原理，掌握建设工程质量、投资、进度控制的内容及工程监理的主要方式；熟悉监理工作文件及监理实施细则的构成及报审程序，掌握监理规划及实施细则编写内容。</w:t>
            </w:r>
          </w:p>
        </w:tc>
        <w:tc>
          <w:tcPr>
            <w:tcW w:w="534"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1852"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能够将数学、自然科学、工程基础和专业知识用于解决复杂工程问题。</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c>
          <w:tcPr>
            <w:tcW w:w="2271"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目标3：</w:t>
            </w:r>
            <w:r w:rsidRPr="0053675D">
              <w:rPr>
                <w:rFonts w:ascii="仿宋_GB2312" w:hAnsi="仿宋_GB2312" w:cs="仿宋_GB2312" w:hint="eastAsia"/>
                <w:bCs/>
                <w:sz w:val="24"/>
                <w:szCs w:val="24"/>
              </w:rPr>
              <w:t>熟悉建设工程监理文件资料的管理职责和要求，掌握建设工程监理基本表式及主要文件资料内容；理解工程监理与项目管理一体化要求，完善项目管理知识体系。</w:t>
            </w:r>
          </w:p>
        </w:tc>
        <w:tc>
          <w:tcPr>
            <w:tcW w:w="534"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11</w:t>
            </w:r>
          </w:p>
        </w:tc>
        <w:tc>
          <w:tcPr>
            <w:tcW w:w="1852"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理解并掌握工程管理原理与经济决策方法，并能在多类工程项目中应用。</w:t>
            </w:r>
          </w:p>
        </w:tc>
      </w:tr>
    </w:tbl>
    <w:p w:rsidR="0053675D" w:rsidRDefault="0053675D" w:rsidP="0053675D">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3"/>
        <w:gridCol w:w="2149"/>
        <w:gridCol w:w="954"/>
        <w:gridCol w:w="596"/>
        <w:gridCol w:w="926"/>
      </w:tblGrid>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序号</w:t>
            </w:r>
          </w:p>
        </w:tc>
        <w:tc>
          <w:tcPr>
            <w:tcW w:w="1870" w:type="pct"/>
            <w:tcBorders>
              <w:top w:val="single" w:sz="4" w:space="0" w:color="000000"/>
              <w:left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教学内容及重点、难点</w:t>
            </w:r>
          </w:p>
        </w:tc>
        <w:tc>
          <w:tcPr>
            <w:tcW w:w="1295" w:type="pct"/>
            <w:tcBorders>
              <w:top w:val="single" w:sz="4" w:space="0" w:color="000000"/>
              <w:left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支撑课程教学目标</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内容：第一章</w:t>
            </w:r>
            <w:r w:rsidRPr="0053675D">
              <w:rPr>
                <w:rFonts w:ascii="仿宋_GB2312" w:hAnsi="仿宋_GB2312" w:cs="仿宋_GB2312" w:hint="eastAsia"/>
                <w:bCs/>
                <w:sz w:val="24"/>
                <w:szCs w:val="24"/>
              </w:rPr>
              <w:t>建设工程监理概述。</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重点：</w:t>
            </w:r>
            <w:r w:rsidRPr="0053675D">
              <w:rPr>
                <w:rFonts w:ascii="仿宋_GB2312" w:hAnsi="仿宋_GB2312" w:cs="仿宋_GB2312" w:hint="eastAsia"/>
                <w:bCs/>
                <w:sz w:val="24"/>
                <w:szCs w:val="24"/>
              </w:rPr>
              <w:t>工程监理的涵义、法律地位和责任，建设工程监理规范。</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难点：无</w:t>
            </w:r>
            <w:r w:rsidRPr="0053675D">
              <w:rPr>
                <w:rFonts w:ascii="仿宋_GB2312" w:hAnsi="仿宋_GB2312" w:cs="仿宋_GB2312" w:hint="eastAsia"/>
                <w:bCs/>
                <w:sz w:val="24"/>
                <w:szCs w:val="24"/>
              </w:rPr>
              <w:t>。</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1.</w:t>
            </w:r>
            <w:r w:rsidRPr="0053675D">
              <w:rPr>
                <w:rFonts w:ascii="仿宋_GB2312" w:hAnsi="仿宋_GB2312" w:cs="仿宋_GB2312" w:hint="eastAsia"/>
                <w:bCs/>
                <w:sz w:val="24"/>
                <w:szCs w:val="24"/>
              </w:rPr>
              <w:t>了解建设工程监理相关制度、法律</w:t>
            </w:r>
            <w:r w:rsidRPr="0053675D">
              <w:rPr>
                <w:rFonts w:ascii="仿宋_GB2312" w:hAnsi="仿宋_GB2312" w:cs="仿宋_GB2312" w:hint="eastAsia"/>
                <w:bCs/>
                <w:sz w:val="24"/>
                <w:szCs w:val="24"/>
              </w:rPr>
              <w:lastRenderedPageBreak/>
              <w:t>法规及建设工程监理的发展现状</w:t>
            </w:r>
            <w:r w:rsidRPr="0053675D">
              <w:rPr>
                <w:rFonts w:ascii="仿宋_GB2312" w:hAnsi="仿宋_GB2312" w:cs="仿宋_GB2312"/>
                <w:bCs/>
                <w:sz w:val="24"/>
                <w:szCs w:val="24"/>
              </w:rPr>
              <w:t>。</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r w:rsidRPr="0053675D">
              <w:rPr>
                <w:rFonts w:ascii="仿宋_GB2312" w:hAnsi="仿宋_GB2312" w:cs="仿宋_GB2312" w:hint="eastAsia"/>
                <w:bCs/>
                <w:sz w:val="24"/>
                <w:szCs w:val="24"/>
              </w:rPr>
              <w:t>理解建设工程监理的涵义、法律地位和责任</w:t>
            </w:r>
            <w:r w:rsidRPr="0053675D">
              <w:rPr>
                <w:rFonts w:ascii="仿宋_GB2312" w:hAnsi="仿宋_GB2312" w:cs="仿宋_GB2312"/>
                <w:bCs/>
                <w:sz w:val="24"/>
                <w:szCs w:val="24"/>
              </w:rPr>
              <w:t>。</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3</w:t>
            </w:r>
            <w:r w:rsidRPr="0053675D">
              <w:rPr>
                <w:rFonts w:ascii="仿宋_GB2312" w:hAnsi="仿宋_GB2312" w:cs="仿宋_GB2312"/>
                <w:bCs/>
                <w:sz w:val="24"/>
                <w:szCs w:val="24"/>
              </w:rPr>
              <w:t>.</w:t>
            </w:r>
            <w:r w:rsidRPr="0053675D">
              <w:rPr>
                <w:rFonts w:ascii="仿宋_GB2312" w:hAnsi="仿宋_GB2312" w:cs="仿宋_GB2312" w:hint="eastAsia"/>
                <w:bCs/>
                <w:sz w:val="24"/>
                <w:szCs w:val="24"/>
              </w:rPr>
              <w:t>掌握建设工程监理规范和监理收费标准。</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目标1</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内容：第二章</w:t>
            </w:r>
            <w:r w:rsidRPr="0053675D">
              <w:rPr>
                <w:rFonts w:ascii="仿宋_GB2312" w:hAnsi="仿宋_GB2312" w:cs="仿宋_GB2312" w:hint="eastAsia"/>
                <w:bCs/>
                <w:sz w:val="24"/>
                <w:szCs w:val="24"/>
              </w:rPr>
              <w:t>监理工程师和工程监理企业。</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监理工程师注册制度、法律地位和责任；工程监理企业经营活动基本准则。</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难点：无</w:t>
            </w:r>
            <w:r w:rsidRPr="0053675D">
              <w:rPr>
                <w:rFonts w:ascii="仿宋_GB2312" w:hAnsi="仿宋_GB2312" w:cs="仿宋_GB2312" w:hint="eastAsia"/>
                <w:bCs/>
                <w:sz w:val="24"/>
                <w:szCs w:val="24"/>
              </w:rPr>
              <w:t>。</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1</w:t>
            </w:r>
            <w:r w:rsidRPr="0053675D">
              <w:rPr>
                <w:rFonts w:ascii="仿宋_GB2312" w:hAnsi="仿宋_GB2312" w:cs="仿宋_GB2312"/>
                <w:bCs/>
                <w:sz w:val="24"/>
                <w:szCs w:val="24"/>
              </w:rPr>
              <w:t>.</w:t>
            </w:r>
            <w:r w:rsidRPr="0053675D">
              <w:rPr>
                <w:rFonts w:ascii="仿宋_GB2312" w:hAnsi="仿宋_GB2312" w:cs="仿宋_GB2312" w:hint="eastAsia"/>
                <w:bCs/>
                <w:sz w:val="24"/>
                <w:szCs w:val="24"/>
              </w:rPr>
              <w:t>了解监理工程师的执业特点；工程监理企业的组织形式、规章制度。</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2</w:t>
            </w:r>
            <w:r w:rsidRPr="0053675D">
              <w:rPr>
                <w:rFonts w:ascii="仿宋_GB2312" w:hAnsi="仿宋_GB2312" w:cs="仿宋_GB2312"/>
                <w:bCs/>
                <w:sz w:val="24"/>
                <w:szCs w:val="24"/>
              </w:rPr>
              <w:t>.</w:t>
            </w:r>
            <w:r w:rsidRPr="0053675D">
              <w:rPr>
                <w:rFonts w:ascii="仿宋_GB2312" w:hAnsi="仿宋_GB2312" w:cs="仿宋_GB2312" w:hint="eastAsia"/>
                <w:bCs/>
                <w:sz w:val="24"/>
                <w:szCs w:val="24"/>
              </w:rPr>
              <w:t>熟悉监理工程师的法律地位和责任，监理工程师注册制度，工程监理费的构成。</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3.</w:t>
            </w:r>
            <w:r w:rsidRPr="0053675D">
              <w:rPr>
                <w:rFonts w:ascii="仿宋_GB2312" w:hAnsi="仿宋_GB2312" w:cs="仿宋_GB2312" w:hint="eastAsia"/>
                <w:bCs/>
                <w:sz w:val="24"/>
                <w:szCs w:val="24"/>
              </w:rPr>
              <w:t>掌握监理工程师的内容；工程监理企业经营活动基本准则。</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目标1</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内容：第三章</w:t>
            </w:r>
            <w:r w:rsidRPr="0053675D">
              <w:rPr>
                <w:rFonts w:ascii="仿宋_GB2312" w:hAnsi="仿宋_GB2312" w:cs="仿宋_GB2312" w:hint="eastAsia"/>
                <w:bCs/>
                <w:sz w:val="24"/>
                <w:szCs w:val="24"/>
              </w:rPr>
              <w:t>建设工程监理招投标与合同管理。</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建设工程监理招标程序，建设工程监理投标内容，建设工程监理合同管理。</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w:t>
            </w:r>
            <w:r w:rsidRPr="0053675D">
              <w:rPr>
                <w:rFonts w:ascii="仿宋_GB2312" w:hAnsi="仿宋_GB2312" w:cs="仿宋_GB2312" w:hint="eastAsia"/>
                <w:bCs/>
                <w:sz w:val="24"/>
                <w:szCs w:val="24"/>
              </w:rPr>
              <w:t>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1</w:t>
            </w:r>
            <w:r w:rsidRPr="0053675D">
              <w:rPr>
                <w:rFonts w:ascii="仿宋_GB2312" w:hAnsi="仿宋_GB2312" w:cs="仿宋_GB2312"/>
                <w:bCs/>
                <w:sz w:val="24"/>
                <w:szCs w:val="24"/>
              </w:rPr>
              <w:t>.</w:t>
            </w:r>
            <w:r w:rsidRPr="0053675D">
              <w:rPr>
                <w:rFonts w:ascii="仿宋_GB2312" w:hAnsi="仿宋_GB2312" w:cs="仿宋_GB2312" w:hint="eastAsia"/>
                <w:bCs/>
                <w:sz w:val="24"/>
                <w:szCs w:val="24"/>
              </w:rPr>
              <w:t>了解建设工程监理招投标的涵义与策略，建设工程监理合同管理的概念。</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2</w:t>
            </w:r>
            <w:r w:rsidRPr="0053675D">
              <w:rPr>
                <w:rFonts w:ascii="仿宋_GB2312" w:hAnsi="仿宋_GB2312" w:cs="仿宋_GB2312"/>
                <w:bCs/>
                <w:sz w:val="24"/>
                <w:szCs w:val="24"/>
              </w:rPr>
              <w:t>.</w:t>
            </w:r>
            <w:r w:rsidRPr="0053675D">
              <w:rPr>
                <w:rFonts w:ascii="仿宋_GB2312" w:hAnsi="仿宋_GB2312" w:cs="仿宋_GB2312" w:hint="eastAsia"/>
                <w:bCs/>
                <w:sz w:val="24"/>
                <w:szCs w:val="24"/>
              </w:rPr>
              <w:t>熟悉建设工程监理招投标的程序及内容，建设工程监理合同的主要内容。</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目标1</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内容：第四章</w:t>
            </w:r>
            <w:r w:rsidRPr="0053675D">
              <w:rPr>
                <w:rFonts w:ascii="仿宋_GB2312" w:hAnsi="仿宋_GB2312" w:cs="仿宋_GB2312" w:hint="eastAsia"/>
                <w:bCs/>
                <w:sz w:val="24"/>
                <w:szCs w:val="24"/>
              </w:rPr>
              <w:t>建设工程监理组织</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建设工程监理委托方式及实施程序，监理机构及人员职责。</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1</w:t>
            </w:r>
            <w:r w:rsidRPr="0053675D">
              <w:rPr>
                <w:rFonts w:ascii="仿宋_GB2312" w:hAnsi="仿宋_GB2312" w:cs="仿宋_GB2312"/>
                <w:bCs/>
                <w:sz w:val="24"/>
                <w:szCs w:val="24"/>
              </w:rPr>
              <w:t>.</w:t>
            </w:r>
            <w:r w:rsidRPr="0053675D">
              <w:rPr>
                <w:rFonts w:ascii="仿宋_GB2312" w:hAnsi="仿宋_GB2312" w:cs="仿宋_GB2312" w:hint="eastAsia"/>
                <w:bCs/>
                <w:sz w:val="24"/>
                <w:szCs w:val="24"/>
              </w:rPr>
              <w:t>了解组织机构概念，项目总承包管理模式。</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r w:rsidRPr="0053675D">
              <w:rPr>
                <w:rFonts w:ascii="仿宋_GB2312" w:hAnsi="仿宋_GB2312" w:cs="仿宋_GB2312" w:hint="eastAsia"/>
                <w:bCs/>
                <w:sz w:val="24"/>
                <w:szCs w:val="24"/>
              </w:rPr>
              <w:t>熟悉组织机构基本原理，不同承发包模式，组织协调的内容及方法。</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lastRenderedPageBreak/>
              <w:t>3</w:t>
            </w:r>
            <w:r w:rsidRPr="0053675D">
              <w:rPr>
                <w:rFonts w:ascii="仿宋_GB2312" w:hAnsi="仿宋_GB2312" w:cs="仿宋_GB2312"/>
                <w:bCs/>
                <w:sz w:val="24"/>
                <w:szCs w:val="24"/>
              </w:rPr>
              <w:t>.</w:t>
            </w:r>
            <w:r w:rsidRPr="0053675D">
              <w:rPr>
                <w:rFonts w:ascii="仿宋_GB2312" w:hAnsi="仿宋_GB2312" w:cs="仿宋_GB2312" w:hint="eastAsia"/>
                <w:bCs/>
                <w:sz w:val="24"/>
                <w:szCs w:val="24"/>
              </w:rPr>
              <w:t>掌握监理模式、实施程序、监理机构的建立步骤，以及项目监理机构的组织形式、人员配备和职责分工。</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5</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内容：第五章</w:t>
            </w:r>
            <w:r w:rsidRPr="0053675D">
              <w:rPr>
                <w:rFonts w:ascii="仿宋_GB2312" w:hAnsi="仿宋_GB2312" w:cs="仿宋_GB2312" w:hint="eastAsia"/>
                <w:bCs/>
                <w:sz w:val="24"/>
                <w:szCs w:val="24"/>
              </w:rPr>
              <w:t>建设工程目标控制、管理和协调</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工程质量控制，工程造价控制，工程进度控制，安全生产管理的监理工作</w:t>
            </w:r>
            <w:r w:rsidRPr="0053675D">
              <w:rPr>
                <w:rFonts w:ascii="仿宋_GB2312" w:hAnsi="仿宋_GB2312" w:cs="仿宋_GB2312"/>
                <w:bCs/>
                <w:sz w:val="24"/>
                <w:szCs w:val="24"/>
              </w:rPr>
              <w:t>。</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w:t>
            </w:r>
            <w:r w:rsidRPr="0053675D">
              <w:rPr>
                <w:rFonts w:ascii="仿宋_GB2312" w:hAnsi="仿宋_GB2312" w:cs="仿宋_GB2312" w:hint="eastAsia"/>
                <w:bCs/>
                <w:sz w:val="24"/>
                <w:szCs w:val="24"/>
              </w:rPr>
              <w:t>工程目标控制的原理。</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1</w:t>
            </w:r>
            <w:r w:rsidRPr="0053675D">
              <w:rPr>
                <w:rFonts w:ascii="仿宋_GB2312" w:hAnsi="仿宋_GB2312" w:cs="仿宋_GB2312"/>
                <w:bCs/>
                <w:sz w:val="24"/>
                <w:szCs w:val="24"/>
              </w:rPr>
              <w:t>.</w:t>
            </w:r>
            <w:r w:rsidRPr="0053675D">
              <w:rPr>
                <w:rFonts w:ascii="仿宋_GB2312" w:hAnsi="仿宋_GB2312" w:cs="仿宋_GB2312" w:hint="eastAsia"/>
                <w:bCs/>
                <w:sz w:val="24"/>
                <w:szCs w:val="24"/>
              </w:rPr>
              <w:t>了解目标分解，设计和施工阶段目标控制的特点。</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2</w:t>
            </w:r>
            <w:r w:rsidRPr="0053675D">
              <w:rPr>
                <w:rFonts w:ascii="仿宋_GB2312" w:hAnsi="仿宋_GB2312" w:cs="仿宋_GB2312"/>
                <w:bCs/>
                <w:sz w:val="24"/>
                <w:szCs w:val="24"/>
              </w:rPr>
              <w:t>.</w:t>
            </w:r>
            <w:r w:rsidRPr="0053675D">
              <w:rPr>
                <w:rFonts w:ascii="仿宋_GB2312" w:hAnsi="仿宋_GB2312" w:cs="仿宋_GB2312" w:hint="eastAsia"/>
                <w:bCs/>
                <w:sz w:val="24"/>
                <w:szCs w:val="24"/>
              </w:rPr>
              <w:t>熟悉目标控制的原理。</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3</w:t>
            </w:r>
            <w:r w:rsidRPr="0053675D">
              <w:rPr>
                <w:rFonts w:ascii="仿宋_GB2312" w:hAnsi="仿宋_GB2312" w:cs="仿宋_GB2312"/>
                <w:bCs/>
                <w:sz w:val="24"/>
                <w:szCs w:val="24"/>
              </w:rPr>
              <w:t>.</w:t>
            </w:r>
            <w:r w:rsidRPr="0053675D">
              <w:rPr>
                <w:rFonts w:ascii="仿宋_GB2312" w:hAnsi="仿宋_GB2312" w:cs="仿宋_GB2312" w:hint="eastAsia"/>
                <w:bCs/>
                <w:sz w:val="24"/>
                <w:szCs w:val="24"/>
              </w:rPr>
              <w:t>掌握建设工程质量、投资、进度控制的内容，以及建设工程监理的主要方式。</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6</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目标2、3</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6</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内容：第六章</w:t>
            </w:r>
            <w:r w:rsidRPr="0053675D">
              <w:rPr>
                <w:rFonts w:ascii="仿宋_GB2312" w:hAnsi="仿宋_GB2312" w:cs="仿宋_GB2312" w:hint="eastAsia"/>
                <w:bCs/>
                <w:sz w:val="24"/>
                <w:szCs w:val="24"/>
              </w:rPr>
              <w:t>建设工程监理规划与监理实施细则</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建设工程监理规划和监理实施细则的编制内容和依据。</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w:t>
            </w:r>
            <w:r w:rsidRPr="0053675D">
              <w:rPr>
                <w:rFonts w:ascii="仿宋_GB2312" w:hAnsi="仿宋_GB2312" w:cs="仿宋_GB2312" w:hint="eastAsia"/>
                <w:bCs/>
                <w:sz w:val="24"/>
                <w:szCs w:val="24"/>
              </w:rPr>
              <w:t>工程监理规划编制的依据。</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1</w:t>
            </w:r>
            <w:r w:rsidRPr="0053675D">
              <w:rPr>
                <w:rFonts w:ascii="仿宋_GB2312" w:hAnsi="仿宋_GB2312" w:cs="仿宋_GB2312"/>
                <w:bCs/>
                <w:sz w:val="24"/>
                <w:szCs w:val="24"/>
              </w:rPr>
              <w:t>.</w:t>
            </w:r>
            <w:r w:rsidRPr="0053675D">
              <w:rPr>
                <w:rFonts w:ascii="仿宋_GB2312" w:hAnsi="仿宋_GB2312" w:cs="仿宋_GB2312" w:hint="eastAsia"/>
                <w:bCs/>
                <w:sz w:val="24"/>
                <w:szCs w:val="24"/>
              </w:rPr>
              <w:t>了解监理规划编写的依据，监理实施细则编写的依据。</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2</w:t>
            </w:r>
            <w:r w:rsidRPr="0053675D">
              <w:rPr>
                <w:rFonts w:ascii="仿宋_GB2312" w:hAnsi="仿宋_GB2312" w:cs="仿宋_GB2312"/>
                <w:bCs/>
                <w:sz w:val="24"/>
                <w:szCs w:val="24"/>
              </w:rPr>
              <w:t>.</w:t>
            </w:r>
            <w:r w:rsidRPr="0053675D">
              <w:rPr>
                <w:rFonts w:ascii="仿宋_GB2312" w:hAnsi="仿宋_GB2312" w:cs="仿宋_GB2312" w:hint="eastAsia"/>
                <w:bCs/>
                <w:sz w:val="24"/>
                <w:szCs w:val="24"/>
              </w:rPr>
              <w:t>熟悉监理工作文件及监理实施细则的构成及报审。</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3</w:t>
            </w:r>
            <w:r w:rsidRPr="0053675D">
              <w:rPr>
                <w:rFonts w:ascii="仿宋_GB2312" w:hAnsi="仿宋_GB2312" w:cs="仿宋_GB2312"/>
                <w:bCs/>
                <w:sz w:val="24"/>
                <w:szCs w:val="24"/>
              </w:rPr>
              <w:t>.</w:t>
            </w:r>
            <w:r w:rsidRPr="0053675D">
              <w:rPr>
                <w:rFonts w:ascii="仿宋_GB2312" w:hAnsi="仿宋_GB2312" w:cs="仿宋_GB2312" w:hint="eastAsia"/>
                <w:bCs/>
                <w:sz w:val="24"/>
                <w:szCs w:val="24"/>
              </w:rPr>
              <w:t>掌握工程监理规划及实施细则编写内容。</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目标2、3</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7</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内容：第七章</w:t>
            </w:r>
            <w:r w:rsidRPr="0053675D">
              <w:rPr>
                <w:rFonts w:ascii="仿宋_GB2312" w:hAnsi="仿宋_GB2312" w:cs="仿宋_GB2312" w:hint="eastAsia"/>
                <w:bCs/>
                <w:sz w:val="24"/>
                <w:szCs w:val="24"/>
              </w:rPr>
              <w:t>建设工程监理文件资料管理</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建设工程监理基本表式及主要文件资料内容，建设工程监理文件资料管理的管理职责和要求。</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1</w:t>
            </w:r>
            <w:r w:rsidRPr="0053675D">
              <w:rPr>
                <w:rFonts w:ascii="仿宋_GB2312" w:hAnsi="仿宋_GB2312" w:cs="仿宋_GB2312"/>
                <w:bCs/>
                <w:sz w:val="24"/>
                <w:szCs w:val="24"/>
              </w:rPr>
              <w:t>.</w:t>
            </w:r>
            <w:r w:rsidRPr="0053675D">
              <w:rPr>
                <w:rFonts w:ascii="仿宋_GB2312" w:hAnsi="仿宋_GB2312" w:cs="仿宋_GB2312" w:hint="eastAsia"/>
                <w:bCs/>
                <w:sz w:val="24"/>
                <w:szCs w:val="24"/>
              </w:rPr>
              <w:t>了解建设工程监理文件资料管理的管理职责和要求。</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2</w:t>
            </w:r>
            <w:r w:rsidRPr="0053675D">
              <w:rPr>
                <w:rFonts w:ascii="仿宋_GB2312" w:hAnsi="仿宋_GB2312" w:cs="仿宋_GB2312"/>
                <w:bCs/>
                <w:sz w:val="24"/>
                <w:szCs w:val="24"/>
              </w:rPr>
              <w:t>.</w:t>
            </w:r>
            <w:r w:rsidRPr="0053675D">
              <w:rPr>
                <w:rFonts w:ascii="仿宋_GB2312" w:hAnsi="仿宋_GB2312" w:cs="仿宋_GB2312" w:hint="eastAsia"/>
                <w:bCs/>
                <w:sz w:val="24"/>
                <w:szCs w:val="24"/>
              </w:rPr>
              <w:t>掌握建设工程监理基本表式及主要文件资料内容。</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目标2、3</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8</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内容：第八章</w:t>
            </w:r>
            <w:r w:rsidRPr="0053675D">
              <w:rPr>
                <w:rFonts w:ascii="仿宋_GB2312" w:hAnsi="仿宋_GB2312" w:cs="仿宋_GB2312" w:hint="eastAsia"/>
                <w:bCs/>
                <w:sz w:val="24"/>
                <w:szCs w:val="24"/>
              </w:rPr>
              <w:t>项目管理服务</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项目管理知识体系，建设工程监理与项目管理一体化，项目全过程集成化管理。</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lastRenderedPageBreak/>
              <w:t>1</w:t>
            </w:r>
            <w:r w:rsidRPr="0053675D">
              <w:rPr>
                <w:rFonts w:ascii="仿宋_GB2312" w:hAnsi="仿宋_GB2312" w:cs="仿宋_GB2312"/>
                <w:bCs/>
                <w:sz w:val="24"/>
                <w:szCs w:val="24"/>
              </w:rPr>
              <w:t>.</w:t>
            </w:r>
            <w:r w:rsidRPr="0053675D">
              <w:rPr>
                <w:rFonts w:ascii="仿宋_GB2312" w:hAnsi="仿宋_GB2312" w:cs="仿宋_GB2312" w:hint="eastAsia"/>
                <w:bCs/>
                <w:sz w:val="24"/>
                <w:szCs w:val="24"/>
              </w:rPr>
              <w:t>理解建设工程监理与项目管理一体化要求。</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2</w:t>
            </w:r>
            <w:r w:rsidRPr="0053675D">
              <w:rPr>
                <w:rFonts w:ascii="仿宋_GB2312" w:hAnsi="仿宋_GB2312" w:cs="仿宋_GB2312"/>
                <w:bCs/>
                <w:sz w:val="24"/>
                <w:szCs w:val="24"/>
              </w:rPr>
              <w:t>.</w:t>
            </w:r>
            <w:r w:rsidRPr="0053675D">
              <w:rPr>
                <w:rFonts w:ascii="仿宋_GB2312" w:hAnsi="仿宋_GB2312" w:cs="仿宋_GB2312" w:hint="eastAsia"/>
                <w:bCs/>
                <w:sz w:val="24"/>
                <w:szCs w:val="24"/>
              </w:rPr>
              <w:t>了解项目全过程集成化管理，熟悉</w:t>
            </w:r>
            <w:r w:rsidRPr="0053675D">
              <w:rPr>
                <w:rFonts w:ascii="仿宋_GB2312" w:hAnsi="仿宋_GB2312" w:cs="仿宋_GB2312" w:hint="eastAsia"/>
                <w:bCs/>
                <w:sz w:val="24"/>
                <w:szCs w:val="24"/>
              </w:rPr>
              <w:lastRenderedPageBreak/>
              <w:t>项目管理知识体系。</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目标3</w:t>
            </w:r>
          </w:p>
        </w:tc>
      </w:tr>
    </w:tbl>
    <w:p w:rsidR="00AD1D5F" w:rsidRPr="0053675D" w:rsidRDefault="00AD1D5F" w:rsidP="00AD1D5F">
      <w:pPr>
        <w:keepNext/>
        <w:spacing w:beforeLines="100" w:before="312" w:afterLines="50" w:after="156" w:line="360" w:lineRule="exact"/>
        <w:outlineLvl w:val="0"/>
        <w:rPr>
          <w:rFonts w:ascii="仿宋" w:eastAsia="仿宋" w:hAnsi="仿宋"/>
          <w:b/>
          <w:sz w:val="28"/>
          <w:szCs w:val="28"/>
        </w:rPr>
      </w:pPr>
      <w:r w:rsidRPr="0053675D">
        <w:rPr>
          <w:rFonts w:ascii="仿宋" w:eastAsia="仿宋" w:hAnsi="仿宋"/>
          <w:b/>
          <w:sz w:val="28"/>
          <w:szCs w:val="28"/>
        </w:rPr>
        <w:t>课内实践教学内容及要求</w:t>
      </w:r>
    </w:p>
    <w:p w:rsidR="00AD1D5F" w:rsidRPr="0053675D" w:rsidRDefault="00AD1D5F" w:rsidP="00AD1D5F">
      <w:pPr>
        <w:adjustRightInd w:val="0"/>
        <w:snapToGrid w:val="0"/>
        <w:spacing w:line="360" w:lineRule="exact"/>
        <w:rPr>
          <w:rFonts w:ascii="Times New Roman" w:hAnsi="Times New Roman"/>
          <w:sz w:val="28"/>
          <w:szCs w:val="28"/>
        </w:rPr>
      </w:pPr>
      <w:r w:rsidRPr="0053675D">
        <w:rPr>
          <w:rFonts w:ascii="Times New Roman" w:hAnsi="Times New Roman"/>
          <w:sz w:val="28"/>
          <w:szCs w:val="28"/>
        </w:rPr>
        <w:t>无</w:t>
      </w:r>
    </w:p>
    <w:p w:rsidR="00AD1D5F" w:rsidRPr="0053675D" w:rsidRDefault="00AD1D5F" w:rsidP="00AD1D5F">
      <w:pPr>
        <w:keepNext/>
        <w:spacing w:beforeLines="100" w:before="312" w:afterLines="50" w:after="156" w:line="360" w:lineRule="exact"/>
        <w:outlineLvl w:val="0"/>
        <w:rPr>
          <w:rFonts w:ascii="仿宋" w:eastAsia="仿宋" w:hAnsi="仿宋"/>
          <w:b/>
          <w:sz w:val="28"/>
          <w:szCs w:val="28"/>
        </w:rPr>
      </w:pPr>
      <w:r w:rsidRPr="0053675D">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AD1D5F" w:rsidTr="00CD00D2">
        <w:trPr>
          <w:trHeight w:val="454"/>
          <w:jc w:val="center"/>
        </w:trPr>
        <w:tc>
          <w:tcPr>
            <w:tcW w:w="1624" w:type="pct"/>
            <w:vMerge w:val="restart"/>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章  节</w:t>
            </w:r>
          </w:p>
        </w:tc>
        <w:tc>
          <w:tcPr>
            <w:tcW w:w="2937" w:type="pct"/>
            <w:gridSpan w:val="6"/>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学 时 分 配</w:t>
            </w:r>
          </w:p>
        </w:tc>
        <w:tc>
          <w:tcPr>
            <w:tcW w:w="439" w:type="pct"/>
            <w:vMerge w:val="restart"/>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合  计</w:t>
            </w:r>
          </w:p>
        </w:tc>
      </w:tr>
      <w:tr w:rsidR="00AD1D5F" w:rsidTr="00CD00D2">
        <w:trPr>
          <w:trHeight w:val="454"/>
          <w:jc w:val="center"/>
        </w:trPr>
        <w:tc>
          <w:tcPr>
            <w:tcW w:w="1624" w:type="pct"/>
            <w:vMerge/>
            <w:vAlign w:val="center"/>
          </w:tcPr>
          <w:p w:rsidR="00AD1D5F" w:rsidRDefault="00AD1D5F" w:rsidP="00CD00D2">
            <w:pPr>
              <w:adjustRightInd w:val="0"/>
              <w:snapToGrid w:val="0"/>
              <w:spacing w:line="360" w:lineRule="exact"/>
              <w:jc w:val="center"/>
              <w:rPr>
                <w:rFonts w:ascii="Times New Roman" w:hAnsi="Times New Roman"/>
                <w:b/>
              </w:rPr>
            </w:pPr>
          </w:p>
        </w:tc>
        <w:tc>
          <w:tcPr>
            <w:tcW w:w="489" w:type="pct"/>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讲  课</w:t>
            </w:r>
          </w:p>
        </w:tc>
        <w:tc>
          <w:tcPr>
            <w:tcW w:w="490" w:type="pct"/>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实验课</w:t>
            </w:r>
          </w:p>
        </w:tc>
        <w:tc>
          <w:tcPr>
            <w:tcW w:w="489" w:type="pct"/>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上机课</w:t>
            </w:r>
          </w:p>
        </w:tc>
        <w:tc>
          <w:tcPr>
            <w:tcW w:w="490" w:type="pct"/>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讨论课</w:t>
            </w:r>
          </w:p>
        </w:tc>
        <w:tc>
          <w:tcPr>
            <w:tcW w:w="489" w:type="pct"/>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习题课</w:t>
            </w:r>
          </w:p>
        </w:tc>
        <w:tc>
          <w:tcPr>
            <w:tcW w:w="490" w:type="pct"/>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其  它</w:t>
            </w:r>
          </w:p>
        </w:tc>
        <w:tc>
          <w:tcPr>
            <w:tcW w:w="439" w:type="pct"/>
            <w:vMerge/>
            <w:vAlign w:val="center"/>
          </w:tcPr>
          <w:p w:rsidR="00AD1D5F" w:rsidRDefault="00AD1D5F" w:rsidP="00CD00D2">
            <w:pPr>
              <w:adjustRightInd w:val="0"/>
              <w:snapToGrid w:val="0"/>
              <w:spacing w:line="360" w:lineRule="exact"/>
              <w:jc w:val="center"/>
              <w:rPr>
                <w:rFonts w:ascii="Times New Roman" w:hAnsi="Times New Roman"/>
              </w:rPr>
            </w:pPr>
          </w:p>
        </w:tc>
      </w:tr>
      <w:tr w:rsidR="00AD1D5F" w:rsidTr="00CD00D2">
        <w:trPr>
          <w:trHeight w:val="454"/>
          <w:jc w:val="center"/>
        </w:trPr>
        <w:tc>
          <w:tcPr>
            <w:tcW w:w="1624"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第一章</w:t>
            </w: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4</w:t>
            </w: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4</w:t>
            </w:r>
          </w:p>
        </w:tc>
      </w:tr>
      <w:tr w:rsidR="00AD1D5F" w:rsidTr="00CD00D2">
        <w:trPr>
          <w:trHeight w:val="454"/>
          <w:jc w:val="center"/>
        </w:trPr>
        <w:tc>
          <w:tcPr>
            <w:tcW w:w="1624"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第二章</w:t>
            </w: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r>
      <w:tr w:rsidR="00AD1D5F" w:rsidTr="00CD00D2">
        <w:trPr>
          <w:trHeight w:val="454"/>
          <w:jc w:val="center"/>
        </w:trPr>
        <w:tc>
          <w:tcPr>
            <w:tcW w:w="1624"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第三章</w:t>
            </w: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r>
      <w:tr w:rsidR="00AD1D5F" w:rsidTr="00CD00D2">
        <w:trPr>
          <w:trHeight w:val="454"/>
          <w:jc w:val="center"/>
        </w:trPr>
        <w:tc>
          <w:tcPr>
            <w:tcW w:w="1624"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第四章</w:t>
            </w: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r>
      <w:tr w:rsidR="00AD1D5F" w:rsidTr="00CD00D2">
        <w:trPr>
          <w:trHeight w:val="454"/>
          <w:jc w:val="center"/>
        </w:trPr>
        <w:tc>
          <w:tcPr>
            <w:tcW w:w="1624"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第五章</w:t>
            </w: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6</w:t>
            </w: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6</w:t>
            </w:r>
          </w:p>
        </w:tc>
      </w:tr>
      <w:tr w:rsidR="00AD1D5F" w:rsidTr="00CD00D2">
        <w:trPr>
          <w:trHeight w:val="454"/>
          <w:jc w:val="center"/>
        </w:trPr>
        <w:tc>
          <w:tcPr>
            <w:tcW w:w="1624"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第六章</w:t>
            </w: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4</w:t>
            </w: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4</w:t>
            </w:r>
          </w:p>
        </w:tc>
      </w:tr>
      <w:tr w:rsidR="00AD1D5F" w:rsidTr="00CD00D2">
        <w:trPr>
          <w:trHeight w:val="454"/>
          <w:jc w:val="center"/>
        </w:trPr>
        <w:tc>
          <w:tcPr>
            <w:tcW w:w="1624"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第七章</w:t>
            </w: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r>
      <w:tr w:rsidR="00AD1D5F" w:rsidTr="00CD00D2">
        <w:trPr>
          <w:trHeight w:val="454"/>
          <w:jc w:val="center"/>
        </w:trPr>
        <w:tc>
          <w:tcPr>
            <w:tcW w:w="1624"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第八章</w:t>
            </w: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r>
      <w:tr w:rsidR="00AD1D5F" w:rsidTr="00CD00D2">
        <w:trPr>
          <w:trHeight w:val="454"/>
          <w:jc w:val="center"/>
        </w:trPr>
        <w:tc>
          <w:tcPr>
            <w:tcW w:w="1624"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共  计</w:t>
            </w: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24</w:t>
            </w: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24</w:t>
            </w:r>
          </w:p>
        </w:tc>
      </w:tr>
    </w:tbl>
    <w:p w:rsidR="00AD1D5F" w:rsidRPr="0053675D" w:rsidRDefault="00AD1D5F" w:rsidP="00AD1D5F">
      <w:pPr>
        <w:keepNext/>
        <w:spacing w:beforeLines="100" w:before="312" w:afterLines="50" w:after="156" w:line="360" w:lineRule="exact"/>
        <w:outlineLvl w:val="0"/>
        <w:rPr>
          <w:rFonts w:ascii="仿宋" w:eastAsia="仿宋" w:hAnsi="仿宋"/>
          <w:b/>
          <w:sz w:val="28"/>
          <w:szCs w:val="28"/>
        </w:rPr>
      </w:pPr>
      <w:r w:rsidRPr="0053675D">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930"/>
        <w:gridCol w:w="3217"/>
      </w:tblGrid>
      <w:tr w:rsidR="00AD1D5F" w:rsidTr="00CD00D2">
        <w:trPr>
          <w:trHeight w:val="454"/>
          <w:jc w:val="center"/>
        </w:trPr>
        <w:tc>
          <w:tcPr>
            <w:tcW w:w="343" w:type="pct"/>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序号</w:t>
            </w:r>
          </w:p>
        </w:tc>
        <w:tc>
          <w:tcPr>
            <w:tcW w:w="1555" w:type="pct"/>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课程思政教学目标</w:t>
            </w:r>
          </w:p>
        </w:tc>
        <w:tc>
          <w:tcPr>
            <w:tcW w:w="1163" w:type="pct"/>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授课章节</w:t>
            </w:r>
          </w:p>
        </w:tc>
        <w:tc>
          <w:tcPr>
            <w:tcW w:w="1939" w:type="pct"/>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课程思政融入点</w:t>
            </w:r>
          </w:p>
        </w:tc>
      </w:tr>
      <w:tr w:rsidR="00AD1D5F" w:rsidTr="00CD00D2">
        <w:trPr>
          <w:trHeight w:val="847"/>
          <w:jc w:val="center"/>
        </w:trPr>
        <w:tc>
          <w:tcPr>
            <w:tcW w:w="343"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w:t>
            </w:r>
          </w:p>
        </w:tc>
        <w:tc>
          <w:tcPr>
            <w:tcW w:w="1555"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树立</w:t>
            </w:r>
            <w:r w:rsidRPr="0053675D">
              <w:rPr>
                <w:rFonts w:ascii="仿宋_GB2312" w:hAnsi="仿宋_GB2312" w:cs="仿宋_GB2312"/>
                <w:bCs/>
                <w:sz w:val="24"/>
                <w:szCs w:val="24"/>
              </w:rPr>
              <w:t>正确</w:t>
            </w:r>
            <w:r w:rsidRPr="0053675D">
              <w:rPr>
                <w:rFonts w:ascii="仿宋_GB2312" w:hAnsi="仿宋_GB2312" w:cs="仿宋_GB2312" w:hint="eastAsia"/>
                <w:bCs/>
                <w:sz w:val="24"/>
                <w:szCs w:val="24"/>
              </w:rPr>
              <w:t>的</w:t>
            </w:r>
            <w:r w:rsidRPr="0053675D">
              <w:rPr>
                <w:rFonts w:ascii="仿宋_GB2312" w:hAnsi="仿宋_GB2312" w:cs="仿宋_GB2312"/>
                <w:bCs/>
                <w:sz w:val="24"/>
                <w:szCs w:val="24"/>
              </w:rPr>
              <w:t>政治</w:t>
            </w:r>
            <w:r w:rsidRPr="0053675D">
              <w:rPr>
                <w:rFonts w:ascii="仿宋_GB2312" w:hAnsi="仿宋_GB2312" w:cs="仿宋_GB2312" w:hint="eastAsia"/>
                <w:bCs/>
                <w:sz w:val="24"/>
                <w:szCs w:val="24"/>
              </w:rPr>
              <w:t>方向</w:t>
            </w:r>
          </w:p>
        </w:tc>
        <w:tc>
          <w:tcPr>
            <w:tcW w:w="1163"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第一章</w:t>
            </w:r>
          </w:p>
        </w:tc>
        <w:tc>
          <w:tcPr>
            <w:tcW w:w="19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工程监理的法律地位及其在新时期社会主义建设中的重要意义。</w:t>
            </w:r>
          </w:p>
        </w:tc>
      </w:tr>
      <w:tr w:rsidR="00AD1D5F" w:rsidTr="00CD00D2">
        <w:trPr>
          <w:trHeight w:val="670"/>
          <w:jc w:val="center"/>
        </w:trPr>
        <w:tc>
          <w:tcPr>
            <w:tcW w:w="343"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c>
          <w:tcPr>
            <w:tcW w:w="1555"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良好</w:t>
            </w:r>
            <w:r w:rsidRPr="0053675D">
              <w:rPr>
                <w:rFonts w:ascii="仿宋_GB2312" w:hAnsi="仿宋_GB2312" w:cs="仿宋_GB2312"/>
                <w:bCs/>
                <w:sz w:val="24"/>
                <w:szCs w:val="24"/>
              </w:rPr>
              <w:t>道德品质</w:t>
            </w:r>
            <w:r w:rsidRPr="0053675D">
              <w:rPr>
                <w:rFonts w:ascii="仿宋_GB2312" w:hAnsi="仿宋_GB2312" w:cs="仿宋_GB2312" w:hint="eastAsia"/>
                <w:bCs/>
                <w:sz w:val="24"/>
                <w:szCs w:val="24"/>
              </w:rPr>
              <w:t>培养</w:t>
            </w:r>
          </w:p>
        </w:tc>
        <w:tc>
          <w:tcPr>
            <w:tcW w:w="1163"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第一~三章</w:t>
            </w:r>
          </w:p>
        </w:tc>
        <w:tc>
          <w:tcPr>
            <w:tcW w:w="19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在工程实践中理解并遵守工程监理职业道德和规范，践行</w:t>
            </w:r>
            <w:r w:rsidRPr="0053675D">
              <w:rPr>
                <w:rFonts w:ascii="仿宋_GB2312" w:hAnsi="仿宋_GB2312" w:cs="仿宋_GB2312"/>
                <w:bCs/>
                <w:sz w:val="24"/>
                <w:szCs w:val="24"/>
              </w:rPr>
              <w:t>社会主义核心价值观</w:t>
            </w:r>
            <w:r w:rsidRPr="0053675D">
              <w:rPr>
                <w:rFonts w:ascii="仿宋_GB2312" w:hAnsi="仿宋_GB2312" w:cs="仿宋_GB2312" w:hint="eastAsia"/>
                <w:bCs/>
                <w:sz w:val="24"/>
                <w:szCs w:val="24"/>
              </w:rPr>
              <w:t>，</w:t>
            </w:r>
          </w:p>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履行职业责任，培养良好道德品质。</w:t>
            </w:r>
          </w:p>
        </w:tc>
      </w:tr>
      <w:tr w:rsidR="00AD1D5F" w:rsidTr="00CD00D2">
        <w:trPr>
          <w:trHeight w:val="918"/>
          <w:jc w:val="center"/>
        </w:trPr>
        <w:tc>
          <w:tcPr>
            <w:tcW w:w="343"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3</w:t>
            </w:r>
          </w:p>
        </w:tc>
        <w:tc>
          <w:tcPr>
            <w:tcW w:w="1555"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协作沟通意识</w:t>
            </w:r>
            <w:r w:rsidRPr="0053675D">
              <w:rPr>
                <w:rFonts w:ascii="仿宋_GB2312" w:hAnsi="仿宋_GB2312" w:cs="仿宋_GB2312"/>
                <w:bCs/>
                <w:sz w:val="24"/>
                <w:szCs w:val="24"/>
              </w:rPr>
              <w:t>塑造</w:t>
            </w:r>
          </w:p>
        </w:tc>
        <w:tc>
          <w:tcPr>
            <w:tcW w:w="1163"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第四章</w:t>
            </w:r>
          </w:p>
        </w:tc>
        <w:tc>
          <w:tcPr>
            <w:tcW w:w="19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明确项目监理机构的组织形式、人员配备和职责分工，树立协作沟通意识。</w:t>
            </w:r>
          </w:p>
        </w:tc>
      </w:tr>
      <w:tr w:rsidR="00AD1D5F" w:rsidTr="00CD00D2">
        <w:trPr>
          <w:trHeight w:val="900"/>
          <w:jc w:val="center"/>
        </w:trPr>
        <w:tc>
          <w:tcPr>
            <w:tcW w:w="343"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4</w:t>
            </w:r>
          </w:p>
        </w:tc>
        <w:tc>
          <w:tcPr>
            <w:tcW w:w="1555"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健康心态培育</w:t>
            </w:r>
          </w:p>
        </w:tc>
        <w:tc>
          <w:tcPr>
            <w:tcW w:w="1163"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第五~七章</w:t>
            </w:r>
          </w:p>
        </w:tc>
        <w:tc>
          <w:tcPr>
            <w:tcW w:w="19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在工程监理工作中面对复杂技术与管理问题，需不断学习，应勇于面对挫折，积极寻求解决方案。</w:t>
            </w:r>
          </w:p>
        </w:tc>
      </w:tr>
      <w:tr w:rsidR="00AD1D5F" w:rsidTr="00CD00D2">
        <w:trPr>
          <w:trHeight w:val="868"/>
          <w:jc w:val="center"/>
        </w:trPr>
        <w:tc>
          <w:tcPr>
            <w:tcW w:w="343"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5</w:t>
            </w:r>
          </w:p>
        </w:tc>
        <w:tc>
          <w:tcPr>
            <w:tcW w:w="1555"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服务意识</w:t>
            </w:r>
            <w:r w:rsidRPr="0053675D">
              <w:rPr>
                <w:rFonts w:ascii="仿宋_GB2312" w:hAnsi="仿宋_GB2312" w:cs="仿宋_GB2312"/>
                <w:bCs/>
                <w:sz w:val="24"/>
                <w:szCs w:val="24"/>
              </w:rPr>
              <w:t>培养</w:t>
            </w:r>
          </w:p>
        </w:tc>
        <w:tc>
          <w:tcPr>
            <w:tcW w:w="1163"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第八章</w:t>
            </w:r>
          </w:p>
        </w:tc>
        <w:tc>
          <w:tcPr>
            <w:tcW w:w="1939" w:type="pct"/>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在项目管理过程中树立服务意识，积极服务于社会。</w:t>
            </w:r>
          </w:p>
        </w:tc>
      </w:tr>
    </w:tbl>
    <w:p w:rsidR="0053675D" w:rsidRDefault="0053675D" w:rsidP="0053675D">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五、课程考核方式与成绩评定</w:t>
      </w:r>
    </w:p>
    <w:p w:rsidR="00AD1D5F" w:rsidRPr="0053675D" w:rsidRDefault="00AD1D5F"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（1）考核方式</w:t>
      </w:r>
    </w:p>
    <w:p w:rsidR="00AD1D5F" w:rsidRPr="0053675D" w:rsidRDefault="00AD1D5F"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本课程考核方式为考试，其中期末考核方式为非标准答案考试，过程考核方式为课堂出勤、作业完成情况等。</w:t>
      </w:r>
    </w:p>
    <w:p w:rsidR="00AD1D5F" w:rsidRPr="0053675D" w:rsidRDefault="00AD1D5F"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881"/>
        <w:gridCol w:w="672"/>
        <w:gridCol w:w="672"/>
        <w:gridCol w:w="672"/>
        <w:gridCol w:w="672"/>
        <w:gridCol w:w="672"/>
        <w:gridCol w:w="677"/>
        <w:gridCol w:w="656"/>
        <w:gridCol w:w="667"/>
      </w:tblGrid>
      <w:tr w:rsidR="00AD1D5F" w:rsidTr="00CD00D2">
        <w:trPr>
          <w:trHeight w:val="454"/>
          <w:jc w:val="center"/>
        </w:trPr>
        <w:tc>
          <w:tcPr>
            <w:tcW w:w="396" w:type="pct"/>
            <w:vMerge w:val="restart"/>
            <w:tcBorders>
              <w:top w:val="single" w:sz="4" w:space="0" w:color="000000"/>
              <w:left w:val="single" w:sz="4" w:space="0" w:color="000000"/>
              <w:right w:val="single" w:sz="4" w:space="0" w:color="000000"/>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课程</w:t>
            </w:r>
          </w:p>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目标</w:t>
            </w:r>
          </w:p>
        </w:tc>
        <w:tc>
          <w:tcPr>
            <w:tcW w:w="3956" w:type="pct"/>
            <w:gridSpan w:val="8"/>
            <w:tcBorders>
              <w:top w:val="single" w:sz="4" w:space="0" w:color="000000"/>
              <w:left w:val="single" w:sz="4" w:space="0" w:color="auto"/>
              <w:bottom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考核方式及成绩比例（%）</w:t>
            </w:r>
          </w:p>
        </w:tc>
      </w:tr>
      <w:tr w:rsidR="00AD1D5F" w:rsidTr="00CD00D2">
        <w:trPr>
          <w:trHeight w:val="454"/>
          <w:jc w:val="center"/>
        </w:trPr>
        <w:tc>
          <w:tcPr>
            <w:tcW w:w="396" w:type="pct"/>
            <w:vMerge/>
            <w:tcBorders>
              <w:left w:val="single" w:sz="4" w:space="0" w:color="000000"/>
              <w:bottom w:val="single" w:sz="4" w:space="0" w:color="000000"/>
              <w:right w:val="single" w:sz="4" w:space="0" w:color="000000"/>
            </w:tcBorders>
            <w:vAlign w:val="center"/>
          </w:tcPr>
          <w:p w:rsidR="00AD1D5F" w:rsidRPr="0053675D" w:rsidRDefault="00AD1D5F" w:rsidP="0053675D">
            <w:pPr>
              <w:spacing w:line="360" w:lineRule="exact"/>
              <w:jc w:val="left"/>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p>
        </w:tc>
        <w:tc>
          <w:tcPr>
            <w:tcW w:w="496" w:type="pct"/>
            <w:tcBorders>
              <w:top w:val="single" w:sz="4" w:space="0" w:color="auto"/>
              <w:left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考勤</w:t>
            </w:r>
          </w:p>
        </w:tc>
        <w:tc>
          <w:tcPr>
            <w:tcW w:w="496" w:type="pct"/>
            <w:tcBorders>
              <w:top w:val="single" w:sz="4" w:space="0" w:color="auto"/>
              <w:left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作业</w:t>
            </w:r>
          </w:p>
        </w:tc>
        <w:tc>
          <w:tcPr>
            <w:tcW w:w="496" w:type="pct"/>
            <w:tcBorders>
              <w:top w:val="single" w:sz="4" w:space="0" w:color="auto"/>
              <w:left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讨论</w:t>
            </w:r>
          </w:p>
        </w:tc>
        <w:tc>
          <w:tcPr>
            <w:tcW w:w="496" w:type="pct"/>
            <w:tcBorders>
              <w:top w:val="single" w:sz="4" w:space="0" w:color="auto"/>
              <w:left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实验</w:t>
            </w:r>
          </w:p>
        </w:tc>
        <w:tc>
          <w:tcPr>
            <w:tcW w:w="496" w:type="pct"/>
            <w:tcBorders>
              <w:top w:val="single" w:sz="4" w:space="0" w:color="auto"/>
              <w:left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测验</w:t>
            </w:r>
          </w:p>
        </w:tc>
        <w:tc>
          <w:tcPr>
            <w:tcW w:w="499" w:type="pct"/>
            <w:tcBorders>
              <w:top w:val="single" w:sz="4" w:space="0" w:color="auto"/>
              <w:left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考试</w:t>
            </w:r>
          </w:p>
        </w:tc>
        <w:tc>
          <w:tcPr>
            <w:tcW w:w="484" w:type="pct"/>
            <w:tcBorders>
              <w:top w:val="single" w:sz="4" w:space="0" w:color="auto"/>
              <w:left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w:t>
            </w:r>
          </w:p>
        </w:tc>
        <w:tc>
          <w:tcPr>
            <w:tcW w:w="492" w:type="pct"/>
            <w:tcBorders>
              <w:top w:val="single" w:sz="4" w:space="0" w:color="auto"/>
              <w:left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合计</w:t>
            </w:r>
          </w:p>
        </w:tc>
      </w:tr>
      <w:tr w:rsidR="00AD1D5F"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目标1</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25</w:t>
            </w:r>
          </w:p>
        </w:tc>
        <w:tc>
          <w:tcPr>
            <w:tcW w:w="484"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27</w:t>
            </w:r>
          </w:p>
        </w:tc>
      </w:tr>
      <w:tr w:rsidR="00AD1D5F"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6</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40</w:t>
            </w:r>
          </w:p>
        </w:tc>
        <w:tc>
          <w:tcPr>
            <w:tcW w:w="484"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56</w:t>
            </w:r>
          </w:p>
        </w:tc>
      </w:tr>
      <w:tr w:rsidR="00AD1D5F"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目标3</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15</w:t>
            </w:r>
          </w:p>
        </w:tc>
        <w:tc>
          <w:tcPr>
            <w:tcW w:w="484"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17</w:t>
            </w:r>
          </w:p>
        </w:tc>
      </w:tr>
      <w:tr w:rsidR="00AD1D5F" w:rsidTr="00CD00D2">
        <w:trPr>
          <w:trHeight w:val="454"/>
          <w:jc w:val="center"/>
        </w:trPr>
        <w:tc>
          <w:tcPr>
            <w:tcW w:w="1044" w:type="pct"/>
            <w:gridSpan w:val="2"/>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共计</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10</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80</w:t>
            </w:r>
          </w:p>
        </w:tc>
        <w:tc>
          <w:tcPr>
            <w:tcW w:w="484"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100</w:t>
            </w:r>
          </w:p>
        </w:tc>
      </w:tr>
    </w:tbl>
    <w:p w:rsidR="00AD1D5F" w:rsidRDefault="00AD1D5F" w:rsidP="0053675D">
      <w:pPr>
        <w:spacing w:line="360" w:lineRule="auto"/>
        <w:ind w:firstLine="331"/>
      </w:pPr>
      <w:r w:rsidRPr="0053675D">
        <w:rPr>
          <w:rFonts w:ascii="仿宋_GB2312" w:hAnsi="仿宋_GB2312" w:cs="仿宋_GB2312" w:hint="eastAsia"/>
          <w:bCs/>
          <w:sz w:val="28"/>
          <w:szCs w:val="28"/>
        </w:rPr>
        <w:t>（3）考核（评价）要求：</w:t>
      </w:r>
      <w:r>
        <w:t xml:space="preserve"> </w:t>
      </w:r>
    </w:p>
    <w:tbl>
      <w:tblPr>
        <w:tblW w:w="40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928"/>
        <w:gridCol w:w="954"/>
        <w:gridCol w:w="3030"/>
        <w:gridCol w:w="1191"/>
      </w:tblGrid>
      <w:tr w:rsidR="00AD1D5F" w:rsidTr="00CD00D2">
        <w:trPr>
          <w:trHeight w:val="454"/>
          <w:jc w:val="center"/>
        </w:trPr>
        <w:tc>
          <w:tcPr>
            <w:tcW w:w="496" w:type="pct"/>
            <w:tcBorders>
              <w:top w:val="single" w:sz="4" w:space="0" w:color="000000"/>
              <w:left w:val="single" w:sz="4" w:space="0" w:color="000000"/>
              <w:right w:val="single" w:sz="4" w:space="0" w:color="000000"/>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序号</w:t>
            </w:r>
          </w:p>
        </w:tc>
        <w:tc>
          <w:tcPr>
            <w:tcW w:w="685" w:type="pct"/>
            <w:tcBorders>
              <w:top w:val="single" w:sz="4" w:space="0" w:color="000000"/>
              <w:left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hint="eastAsia"/>
                <w:b/>
                <w:bCs/>
                <w:sz w:val="24"/>
                <w:szCs w:val="24"/>
              </w:rPr>
              <w:t>考核环节</w:t>
            </w:r>
          </w:p>
        </w:tc>
        <w:tc>
          <w:tcPr>
            <w:tcW w:w="704" w:type="pct"/>
            <w:tcBorders>
              <w:top w:val="single" w:sz="4" w:space="0" w:color="000000"/>
              <w:left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hint="eastAsia"/>
                <w:b/>
                <w:bCs/>
                <w:sz w:val="24"/>
                <w:szCs w:val="24"/>
              </w:rPr>
              <w:t>目标分值</w:t>
            </w:r>
          </w:p>
        </w:tc>
        <w:tc>
          <w:tcPr>
            <w:tcW w:w="2236" w:type="pct"/>
            <w:tcBorders>
              <w:top w:val="single" w:sz="4" w:space="0" w:color="000000"/>
              <w:left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hint="eastAsia"/>
                <w:b/>
                <w:bCs/>
                <w:sz w:val="24"/>
                <w:szCs w:val="24"/>
              </w:rPr>
              <w:t>考核（评价）要求</w:t>
            </w:r>
          </w:p>
        </w:tc>
        <w:tc>
          <w:tcPr>
            <w:tcW w:w="879" w:type="pct"/>
            <w:tcBorders>
              <w:top w:val="single" w:sz="4" w:space="0" w:color="000000"/>
              <w:left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支撑课程教学目标</w:t>
            </w:r>
          </w:p>
        </w:tc>
      </w:tr>
      <w:tr w:rsidR="00AD1D5F" w:rsidTr="00CD00D2">
        <w:trPr>
          <w:trHeight w:val="454"/>
          <w:jc w:val="center"/>
        </w:trPr>
        <w:tc>
          <w:tcPr>
            <w:tcW w:w="496"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w:t>
            </w:r>
          </w:p>
        </w:tc>
        <w:tc>
          <w:tcPr>
            <w:tcW w:w="685"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考勤</w:t>
            </w:r>
          </w:p>
        </w:tc>
        <w:tc>
          <w:tcPr>
            <w:tcW w:w="704"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100</w:t>
            </w:r>
          </w:p>
        </w:tc>
        <w:tc>
          <w:tcPr>
            <w:tcW w:w="223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出勤统计不少于授课次数的2/3；通过出勤统计结果考核学生学习态度和遵守课堂纪律等基本情况。</w:t>
            </w:r>
            <w:r w:rsidRPr="0053675D">
              <w:rPr>
                <w:rFonts w:ascii="仿宋_GB2312" w:hAnsi="仿宋_GB2312" w:cs="仿宋_GB2312"/>
                <w:bCs/>
                <w:sz w:val="24"/>
                <w:szCs w:val="24"/>
              </w:rPr>
              <w:t xml:space="preserve"> </w:t>
            </w:r>
          </w:p>
        </w:tc>
        <w:tc>
          <w:tcPr>
            <w:tcW w:w="879"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1</w:t>
            </w:r>
          </w:p>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目标2</w:t>
            </w:r>
          </w:p>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3</w:t>
            </w:r>
          </w:p>
        </w:tc>
      </w:tr>
      <w:tr w:rsidR="00AD1D5F" w:rsidTr="00CD00D2">
        <w:trPr>
          <w:trHeight w:val="454"/>
          <w:jc w:val="center"/>
        </w:trPr>
        <w:tc>
          <w:tcPr>
            <w:tcW w:w="496"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p>
        </w:tc>
        <w:tc>
          <w:tcPr>
            <w:tcW w:w="685"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作业</w:t>
            </w:r>
          </w:p>
        </w:tc>
        <w:tc>
          <w:tcPr>
            <w:tcW w:w="704"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100</w:t>
            </w:r>
          </w:p>
        </w:tc>
        <w:tc>
          <w:tcPr>
            <w:tcW w:w="223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课后作业</w:t>
            </w:r>
            <w:r w:rsidRPr="0053675D">
              <w:rPr>
                <w:rFonts w:ascii="仿宋_GB2312" w:hAnsi="仿宋_GB2312" w:cs="仿宋_GB2312" w:hint="eastAsia"/>
                <w:bCs/>
                <w:sz w:val="24"/>
                <w:szCs w:val="24"/>
              </w:rPr>
              <w:t>布置</w:t>
            </w:r>
            <w:r w:rsidRPr="0053675D">
              <w:rPr>
                <w:rFonts w:ascii="仿宋_GB2312" w:hAnsi="仿宋_GB2312" w:cs="仿宋_GB2312"/>
                <w:bCs/>
                <w:sz w:val="24"/>
                <w:szCs w:val="24"/>
              </w:rPr>
              <w:t>2</w:t>
            </w:r>
            <w:r w:rsidRPr="0053675D">
              <w:rPr>
                <w:rFonts w:ascii="仿宋_GB2312" w:hAnsi="仿宋_GB2312" w:cs="仿宋_GB2312" w:hint="eastAsia"/>
                <w:bCs/>
                <w:sz w:val="24"/>
                <w:szCs w:val="24"/>
              </w:rPr>
              <w:t>次；通过课后作业考核学生对工程监理相关概念的掌握情况。</w:t>
            </w:r>
          </w:p>
        </w:tc>
        <w:tc>
          <w:tcPr>
            <w:tcW w:w="879"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目标</w:t>
            </w:r>
            <w:r w:rsidRPr="0053675D">
              <w:rPr>
                <w:rFonts w:ascii="仿宋_GB2312" w:hAnsi="仿宋_GB2312" w:cs="仿宋_GB2312"/>
                <w:bCs/>
                <w:sz w:val="24"/>
                <w:szCs w:val="24"/>
              </w:rPr>
              <w:t>2</w:t>
            </w:r>
          </w:p>
        </w:tc>
      </w:tr>
      <w:tr w:rsidR="00AD1D5F" w:rsidTr="00CD00D2">
        <w:trPr>
          <w:trHeight w:val="454"/>
          <w:jc w:val="center"/>
        </w:trPr>
        <w:tc>
          <w:tcPr>
            <w:tcW w:w="496"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3</w:t>
            </w:r>
          </w:p>
        </w:tc>
        <w:tc>
          <w:tcPr>
            <w:tcW w:w="685"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考试</w:t>
            </w:r>
          </w:p>
        </w:tc>
        <w:tc>
          <w:tcPr>
            <w:tcW w:w="704"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100</w:t>
            </w:r>
          </w:p>
        </w:tc>
        <w:tc>
          <w:tcPr>
            <w:tcW w:w="223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期末考试范围基本涵盖所有讲授内容，考试内容主</w:t>
            </w:r>
            <w:r w:rsidRPr="0053675D">
              <w:rPr>
                <w:rFonts w:ascii="仿宋_GB2312" w:hAnsi="仿宋_GB2312" w:cs="仿宋_GB2312" w:hint="eastAsia"/>
                <w:bCs/>
                <w:sz w:val="24"/>
                <w:szCs w:val="24"/>
              </w:rPr>
              <w:lastRenderedPageBreak/>
              <w:t>要反映学生对本课程主要概念的理解和掌握的程度，以及综合运用的能力。</w:t>
            </w:r>
          </w:p>
        </w:tc>
        <w:tc>
          <w:tcPr>
            <w:tcW w:w="879"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目标</w:t>
            </w:r>
            <w:r w:rsidRPr="0053675D">
              <w:rPr>
                <w:rFonts w:ascii="仿宋_GB2312" w:hAnsi="仿宋_GB2312" w:cs="仿宋_GB2312" w:hint="eastAsia"/>
                <w:bCs/>
                <w:sz w:val="24"/>
                <w:szCs w:val="24"/>
              </w:rPr>
              <w:t>1</w:t>
            </w:r>
          </w:p>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目标2</w:t>
            </w:r>
          </w:p>
          <w:p w:rsidR="00AD1D5F" w:rsidRPr="0053675D" w:rsidRDefault="00AD1D5F" w:rsidP="0053675D">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目标</w:t>
            </w:r>
            <w:r w:rsidRPr="0053675D">
              <w:rPr>
                <w:rFonts w:ascii="仿宋_GB2312" w:hAnsi="仿宋_GB2312" w:cs="仿宋_GB2312" w:hint="eastAsia"/>
                <w:bCs/>
                <w:sz w:val="24"/>
                <w:szCs w:val="24"/>
              </w:rPr>
              <w:t>3</w:t>
            </w:r>
          </w:p>
        </w:tc>
      </w:tr>
    </w:tbl>
    <w:p w:rsidR="00AD1D5F" w:rsidRDefault="00AD1D5F" w:rsidP="00AD1D5F">
      <w:pPr>
        <w:adjustRightInd w:val="0"/>
        <w:snapToGrid w:val="0"/>
        <w:spacing w:line="360" w:lineRule="exact"/>
        <w:ind w:firstLineChars="200" w:firstLine="640"/>
        <w:rPr>
          <w:rFonts w:ascii="Times New Roman" w:hAnsi="Times New Roman"/>
        </w:rPr>
      </w:pPr>
    </w:p>
    <w:p w:rsidR="0053675D" w:rsidRDefault="0053675D" w:rsidP="0053675D">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53675D" w:rsidRPr="0053675D" w:rsidRDefault="0053675D"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1. 教  材：《</w:t>
      </w:r>
      <w:r w:rsidRPr="0053675D">
        <w:rPr>
          <w:rFonts w:ascii="仿宋_GB2312" w:hAnsi="仿宋_GB2312" w:cs="仿宋_GB2312" w:hint="eastAsia"/>
          <w:bCs/>
          <w:sz w:val="28"/>
          <w:szCs w:val="28"/>
        </w:rPr>
        <w:t>建设工程监理概论</w:t>
      </w:r>
      <w:r w:rsidRPr="0053675D">
        <w:rPr>
          <w:rFonts w:ascii="仿宋_GB2312" w:hAnsi="仿宋_GB2312" w:cs="仿宋_GB2312"/>
          <w:bCs/>
          <w:sz w:val="28"/>
          <w:szCs w:val="28"/>
        </w:rPr>
        <w:t>》，</w:t>
      </w:r>
      <w:r w:rsidRPr="0053675D">
        <w:rPr>
          <w:rFonts w:ascii="仿宋_GB2312" w:hAnsi="仿宋_GB2312" w:cs="仿宋_GB2312" w:hint="eastAsia"/>
          <w:bCs/>
          <w:sz w:val="28"/>
          <w:szCs w:val="28"/>
        </w:rPr>
        <w:t>中国建设监理协会</w:t>
      </w:r>
      <w:r w:rsidRPr="0053675D">
        <w:rPr>
          <w:rFonts w:ascii="仿宋_GB2312" w:hAnsi="仿宋_GB2312" w:cs="仿宋_GB2312"/>
          <w:bCs/>
          <w:sz w:val="28"/>
          <w:szCs w:val="28"/>
        </w:rPr>
        <w:t>著，</w:t>
      </w:r>
      <w:r w:rsidRPr="0053675D">
        <w:rPr>
          <w:rFonts w:ascii="仿宋_GB2312" w:hAnsi="仿宋_GB2312" w:cs="仿宋_GB2312" w:hint="eastAsia"/>
          <w:bCs/>
          <w:sz w:val="28"/>
          <w:szCs w:val="28"/>
        </w:rPr>
        <w:t>中国建筑工业出版社, 2016</w:t>
      </w:r>
    </w:p>
    <w:p w:rsidR="0053675D" w:rsidRPr="0053675D" w:rsidRDefault="0053675D"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2. 参考书：《</w:t>
      </w:r>
      <w:r w:rsidRPr="0053675D">
        <w:rPr>
          <w:rFonts w:ascii="仿宋_GB2312" w:hAnsi="仿宋_GB2312" w:cs="仿宋_GB2312" w:hint="eastAsia"/>
          <w:bCs/>
          <w:sz w:val="28"/>
          <w:szCs w:val="28"/>
        </w:rPr>
        <w:t>建设工程监理</w:t>
      </w:r>
      <w:r w:rsidRPr="0053675D">
        <w:rPr>
          <w:rFonts w:ascii="仿宋_GB2312" w:hAnsi="仿宋_GB2312" w:cs="仿宋_GB2312"/>
          <w:bCs/>
          <w:sz w:val="28"/>
          <w:szCs w:val="28"/>
        </w:rPr>
        <w:t>》，</w:t>
      </w:r>
      <w:r w:rsidRPr="0053675D">
        <w:rPr>
          <w:rFonts w:ascii="仿宋_GB2312" w:hAnsi="仿宋_GB2312" w:cs="仿宋_GB2312" w:hint="eastAsia"/>
          <w:bCs/>
          <w:sz w:val="28"/>
          <w:szCs w:val="28"/>
        </w:rPr>
        <w:t>李惠强等主编</w:t>
      </w:r>
      <w:r w:rsidRPr="0053675D">
        <w:rPr>
          <w:rFonts w:ascii="仿宋_GB2312" w:hAnsi="仿宋_GB2312" w:cs="仿宋_GB2312"/>
          <w:bCs/>
          <w:sz w:val="28"/>
          <w:szCs w:val="28"/>
        </w:rPr>
        <w:t>，</w:t>
      </w:r>
      <w:r w:rsidRPr="0053675D">
        <w:rPr>
          <w:rFonts w:ascii="仿宋_GB2312" w:hAnsi="仿宋_GB2312" w:cs="仿宋_GB2312" w:hint="eastAsia"/>
          <w:bCs/>
          <w:sz w:val="28"/>
          <w:szCs w:val="28"/>
        </w:rPr>
        <w:t>中国建筑工业出版社，2017</w:t>
      </w:r>
    </w:p>
    <w:p w:rsidR="00AD1D5F" w:rsidRPr="0053675D" w:rsidRDefault="00AD1D5F" w:rsidP="00AD1D5F">
      <w:pPr>
        <w:spacing w:line="360" w:lineRule="exact"/>
        <w:ind w:firstLineChars="196" w:firstLine="627"/>
        <w:rPr>
          <w:rFonts w:ascii="Times New Roman" w:hAnsi="Times New Roman"/>
          <w:szCs w:val="21"/>
        </w:rPr>
      </w:pPr>
    </w:p>
    <w:p w:rsidR="0053675D" w:rsidRDefault="0053675D" w:rsidP="0053675D">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大纲撰写人：</w:t>
      </w:r>
    </w:p>
    <w:p w:rsidR="0053675D" w:rsidRDefault="0053675D" w:rsidP="0053675D">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课程负责人：</w:t>
      </w:r>
    </w:p>
    <w:p w:rsidR="0053675D" w:rsidRDefault="0053675D" w:rsidP="0053675D">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审核人：</w:t>
      </w:r>
    </w:p>
    <w:p w:rsidR="0053675D" w:rsidRDefault="0053675D" w:rsidP="0053675D">
      <w:pPr>
        <w:jc w:val="center"/>
        <w:rPr>
          <w:rFonts w:ascii="仿宋_GB2312" w:hint="eastAsia"/>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53675D" w:rsidRDefault="0053675D" w:rsidP="0053675D">
      <w:pPr>
        <w:ind w:firstLineChars="2000" w:firstLine="5600"/>
        <w:jc w:val="left"/>
        <w:rPr>
          <w:rFonts w:ascii="仿宋" w:hAnsi="仿宋"/>
          <w:sz w:val="28"/>
          <w:szCs w:val="28"/>
        </w:rPr>
      </w:pPr>
      <w:r>
        <w:rPr>
          <w:rFonts w:ascii="仿宋_GB2312" w:hAnsi="微软雅黑" w:hint="eastAsia"/>
          <w:sz w:val="28"/>
          <w:szCs w:val="28"/>
        </w:rPr>
        <w:t xml:space="preserve">    </w:t>
      </w:r>
    </w:p>
    <w:p w:rsidR="0053675D" w:rsidRDefault="0053675D" w:rsidP="0053675D">
      <w:pPr>
        <w:jc w:val="left"/>
        <w:rPr>
          <w:rFonts w:ascii="仿宋_GB2312" w:hAnsi="黑体"/>
          <w:sz w:val="28"/>
          <w:szCs w:val="28"/>
        </w:rPr>
      </w:pPr>
      <w:r>
        <w:rPr>
          <w:rFonts w:ascii="仿宋" w:eastAsia="仿宋" w:hAnsi="仿宋" w:hint="eastAsia"/>
          <w:sz w:val="28"/>
          <w:szCs w:val="28"/>
        </w:rPr>
        <w:t xml:space="preserve">                                         年    月</w:t>
      </w:r>
    </w:p>
    <w:p w:rsidR="00AD1D5F" w:rsidRDefault="00AD1D5F" w:rsidP="00AD1D5F">
      <w:pPr>
        <w:spacing w:line="360" w:lineRule="exact"/>
        <w:ind w:firstLineChars="196" w:firstLine="627"/>
        <w:rPr>
          <w:rFonts w:ascii="Times New Roman" w:hAnsi="Times New Roman"/>
          <w:szCs w:val="21"/>
        </w:rPr>
      </w:pPr>
    </w:p>
    <w:p w:rsidR="0053675D" w:rsidRDefault="0053675D" w:rsidP="00AD1D5F">
      <w:pPr>
        <w:spacing w:beforeLines="100" w:before="312" w:afterLines="100" w:after="312"/>
        <w:jc w:val="center"/>
        <w:outlineLvl w:val="0"/>
        <w:rPr>
          <w:rFonts w:ascii="Times New Roman" w:eastAsia="方正小标宋简体" w:hAnsi="Times New Roman"/>
          <w:spacing w:val="-4"/>
          <w:sz w:val="36"/>
          <w:szCs w:val="36"/>
        </w:rPr>
      </w:pPr>
    </w:p>
    <w:p w:rsidR="0053675D" w:rsidRDefault="0053675D" w:rsidP="00AD1D5F">
      <w:pPr>
        <w:spacing w:beforeLines="100" w:before="312" w:afterLines="100" w:after="312"/>
        <w:jc w:val="center"/>
        <w:outlineLvl w:val="0"/>
        <w:rPr>
          <w:rFonts w:ascii="Times New Roman" w:eastAsia="方正小标宋简体" w:hAnsi="Times New Roman"/>
          <w:spacing w:val="-4"/>
          <w:sz w:val="36"/>
          <w:szCs w:val="36"/>
        </w:rPr>
      </w:pPr>
    </w:p>
    <w:p w:rsidR="0053675D" w:rsidRDefault="0053675D" w:rsidP="00AD1D5F">
      <w:pPr>
        <w:spacing w:beforeLines="100" w:before="312" w:afterLines="100" w:after="312"/>
        <w:jc w:val="center"/>
        <w:outlineLvl w:val="0"/>
        <w:rPr>
          <w:rFonts w:ascii="Times New Roman" w:eastAsia="方正小标宋简体" w:hAnsi="Times New Roman"/>
          <w:spacing w:val="-4"/>
          <w:sz w:val="36"/>
          <w:szCs w:val="36"/>
        </w:rPr>
      </w:pPr>
    </w:p>
    <w:p w:rsidR="0053675D" w:rsidRDefault="0053675D" w:rsidP="00AD1D5F">
      <w:pPr>
        <w:spacing w:beforeLines="100" w:before="312" w:afterLines="100" w:after="312"/>
        <w:jc w:val="center"/>
        <w:outlineLvl w:val="0"/>
        <w:rPr>
          <w:rFonts w:ascii="Times New Roman" w:eastAsia="方正小标宋简体" w:hAnsi="Times New Roman"/>
          <w:spacing w:val="-4"/>
          <w:sz w:val="36"/>
          <w:szCs w:val="36"/>
        </w:rPr>
      </w:pPr>
    </w:p>
    <w:p w:rsidR="0053675D" w:rsidRDefault="0053675D" w:rsidP="0053675D">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53675D">
        <w:rPr>
          <w:rFonts w:ascii="方正小标宋简体" w:eastAsia="方正小标宋简体" w:hAnsi="宋体" w:hint="eastAsia"/>
          <w:kern w:val="0"/>
          <w:szCs w:val="32"/>
        </w:rPr>
        <w:t>BIM与造价应用</w:t>
      </w:r>
      <w:r>
        <w:rPr>
          <w:rFonts w:ascii="方正小标宋简体" w:eastAsia="方正小标宋简体" w:hAnsi="宋体" w:hint="eastAsia"/>
          <w:kern w:val="0"/>
          <w:szCs w:val="32"/>
        </w:rPr>
        <w:t>》课程教学大纲</w:t>
      </w:r>
    </w:p>
    <w:p w:rsidR="0053675D" w:rsidRDefault="0053675D" w:rsidP="0053675D">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一、课程信息</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英文名称：</w:t>
      </w:r>
      <w:r w:rsidRPr="0053675D">
        <w:rPr>
          <w:rFonts w:ascii="仿宋_GB2312" w:hAnsi="仿宋_GB2312" w:cs="仿宋_GB2312"/>
          <w:bCs/>
          <w:sz w:val="28"/>
          <w:szCs w:val="28"/>
        </w:rPr>
        <w:t>BIM and Cost Application</w:t>
      </w:r>
    </w:p>
    <w:p w:rsidR="0053675D" w:rsidRDefault="0053675D" w:rsidP="0053675D">
      <w:pPr>
        <w:spacing w:line="360" w:lineRule="auto"/>
        <w:ind w:firstLine="331"/>
        <w:jc w:val="left"/>
        <w:rPr>
          <w:rFonts w:ascii="仿宋_GB2312" w:hAnsi="仿宋_GB2312" w:cs="仿宋_GB2312" w:hint="eastAsia"/>
          <w:bCs/>
          <w:sz w:val="28"/>
          <w:szCs w:val="28"/>
        </w:rPr>
      </w:pPr>
      <w:r>
        <w:rPr>
          <w:rFonts w:ascii="仿宋_GB2312" w:hAnsi="仿宋_GB2312" w:cs="仿宋_GB2312" w:hint="eastAsia"/>
          <w:bCs/>
          <w:sz w:val="28"/>
          <w:szCs w:val="28"/>
        </w:rPr>
        <w:t>课程编码：</w:t>
      </w:r>
      <w:r w:rsidRPr="0053675D">
        <w:rPr>
          <w:rFonts w:ascii="仿宋_GB2312" w:hAnsi="仿宋_GB2312" w:cs="仿宋_GB2312"/>
          <w:bCs/>
          <w:sz w:val="28"/>
          <w:szCs w:val="28"/>
        </w:rPr>
        <w:t>Z2805370</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授课语言：中文</w:t>
      </w:r>
    </w:p>
    <w:p w:rsidR="0053675D" w:rsidRDefault="0053675D" w:rsidP="0053675D">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授课方式：线下</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课程类别：专业发展课程</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课程性质：必修</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53675D" w:rsidRDefault="0053675D" w:rsidP="0053675D">
      <w:pPr>
        <w:spacing w:line="360" w:lineRule="auto"/>
        <w:ind w:leftChars="103" w:left="1779" w:hanging="1449"/>
        <w:rPr>
          <w:rFonts w:ascii="仿宋_GB2312" w:hAnsi="仿宋_GB2312" w:cs="仿宋_GB2312" w:hint="eastAsia"/>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适用对象：XX专业</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先修课程：</w:t>
      </w:r>
      <w:r w:rsidRPr="0053675D">
        <w:rPr>
          <w:rFonts w:ascii="仿宋_GB2312" w:hAnsi="仿宋_GB2312" w:cs="仿宋_GB2312" w:hint="eastAsia"/>
          <w:bCs/>
          <w:sz w:val="28"/>
          <w:szCs w:val="28"/>
        </w:rPr>
        <w:t>工程造价专业</w:t>
      </w:r>
    </w:p>
    <w:p w:rsidR="0053675D" w:rsidRDefault="0053675D" w:rsidP="0053675D">
      <w:pPr>
        <w:spacing w:line="360" w:lineRule="auto"/>
        <w:ind w:firstLine="331"/>
        <w:rPr>
          <w:rFonts w:ascii="仿宋_GB2312" w:hAnsi="仿宋_GB2312" w:cs="仿宋_GB2312" w:hint="eastAsia"/>
          <w:bCs/>
          <w:sz w:val="28"/>
          <w:szCs w:val="28"/>
        </w:rPr>
      </w:pPr>
      <w:r>
        <w:rPr>
          <w:rFonts w:ascii="仿宋_GB2312" w:hAnsi="仿宋_GB2312" w:cs="仿宋_GB2312" w:hint="eastAsia"/>
          <w:bCs/>
          <w:sz w:val="28"/>
          <w:szCs w:val="28"/>
        </w:rPr>
        <w:t>开课院系：</w:t>
      </w:r>
      <w:r w:rsidRPr="0053675D">
        <w:rPr>
          <w:rFonts w:ascii="仿宋_GB2312" w:hAnsi="仿宋_GB2312" w:cs="仿宋_GB2312" w:hint="eastAsia"/>
          <w:bCs/>
          <w:sz w:val="28"/>
          <w:szCs w:val="28"/>
        </w:rPr>
        <w:t>建筑工程学院工程造价与施工教研室</w:t>
      </w:r>
    </w:p>
    <w:p w:rsidR="00AD1D5F" w:rsidRPr="0053675D" w:rsidRDefault="0053675D" w:rsidP="0053675D">
      <w:pPr>
        <w:spacing w:beforeLines="50" w:before="156" w:afterLines="50" w:after="156" w:line="560" w:lineRule="exact"/>
        <w:rPr>
          <w:rFonts w:ascii="Times New Roman" w:hAnsi="Times New Roman" w:hint="eastAsia"/>
          <w:b/>
          <w:color w:val="000000"/>
          <w:szCs w:val="21"/>
        </w:rPr>
      </w:pPr>
      <w:r>
        <w:rPr>
          <w:rFonts w:ascii="黑体" w:eastAsia="黑体" w:hAnsi="黑体" w:hint="eastAsia"/>
          <w:b/>
          <w:sz w:val="28"/>
          <w:szCs w:val="28"/>
        </w:rPr>
        <w:t>二、课程简介</w:t>
      </w:r>
    </w:p>
    <w:p w:rsidR="00AD1D5F" w:rsidRPr="0053675D" w:rsidRDefault="00AD1D5F" w:rsidP="0053675D">
      <w:pPr>
        <w:spacing w:line="360" w:lineRule="auto"/>
        <w:rPr>
          <w:rFonts w:ascii="仿宋_GB2312" w:hAnsi="仿宋_GB2312" w:cs="仿宋_GB2312"/>
          <w:bCs/>
          <w:sz w:val="28"/>
          <w:szCs w:val="28"/>
        </w:rPr>
      </w:pPr>
      <w:r w:rsidRPr="0053675D">
        <w:rPr>
          <w:rFonts w:ascii="仿宋_GB2312" w:hAnsi="仿宋_GB2312" w:cs="仿宋_GB2312"/>
          <w:bCs/>
          <w:sz w:val="28"/>
          <w:szCs w:val="28"/>
        </w:rPr>
        <w:t>课程教学目标</w:t>
      </w:r>
    </w:p>
    <w:p w:rsidR="00AD1D5F" w:rsidRPr="0053675D" w:rsidRDefault="00AD1D5F" w:rsidP="0053675D">
      <w:pPr>
        <w:spacing w:line="360" w:lineRule="auto"/>
        <w:ind w:firstLine="331"/>
        <w:rPr>
          <w:rFonts w:ascii="仿宋_GB2312" w:hAnsi="仿宋_GB2312" w:cs="仿宋_GB2312"/>
          <w:bCs/>
          <w:sz w:val="28"/>
          <w:szCs w:val="28"/>
        </w:rPr>
      </w:pPr>
      <w:r w:rsidRPr="0053675D">
        <w:rPr>
          <w:rFonts w:ascii="仿宋_GB2312" w:hAnsi="仿宋_GB2312" w:cs="仿宋_GB2312" w:hint="eastAsia"/>
          <w:bCs/>
          <w:sz w:val="28"/>
          <w:szCs w:val="28"/>
        </w:rPr>
        <w:t>BIM(Building Information Modeling)技术作为建筑业的一种综合性的创新技术，使用BIM软件建立建筑信息模型，可以将工程项目各个阶段的信息整合在一起，促进项目各主体的参与和配合，在工程实际施工前就进行造价管理，从而实现从设计到施工、运营的全过程造价管理。这门课程通过向学生传授主流BIM软件的使用方法和技巧，旨在使学生了解BIM技术的核心价值体系与应用领域，增强学生</w:t>
      </w:r>
      <w:r w:rsidRPr="0053675D">
        <w:rPr>
          <w:rFonts w:ascii="仿宋_GB2312" w:hAnsi="仿宋_GB2312" w:cs="仿宋_GB2312" w:hint="eastAsia"/>
          <w:bCs/>
          <w:sz w:val="28"/>
          <w:szCs w:val="28"/>
        </w:rPr>
        <w:lastRenderedPageBreak/>
        <w:t>对 BIM技术的认识，使学生了解BIM技术在建筑设计、工程造价管理中的应用方法和技术，以及工程建设期间各部门及相关专业之间的协作关系。授课中，从工程实用角度出发，重点要求学生掌握在工程造价阶段中，工程各流程和各工序编排控制进度时与BIM的对接运行应用技术，并熟悉和掌握BIM技术相关软件的基本操作，掌握BIM技术的可视化与虚拟施工功能，同时了解BIM在建筑全生命周期中的应用，掌握建筑模型的创建方法，达到具备解决实际项目中遇到的问题的能力。</w:t>
      </w:r>
    </w:p>
    <w:p w:rsidR="00AD1D5F" w:rsidRPr="0053675D" w:rsidRDefault="00AD1D5F"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本课程教学目标及对毕业要求指标点的支撑关系见下表：（每个课程教学目标不应支撑多个指标点）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768"/>
        <w:gridCol w:w="886"/>
        <w:gridCol w:w="3073"/>
      </w:tblGrid>
      <w:tr w:rsidR="00AD1D5F" w:rsidTr="00CD00D2">
        <w:trPr>
          <w:trHeight w:val="454"/>
          <w:jc w:val="center"/>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序号</w:t>
            </w:r>
          </w:p>
        </w:tc>
        <w:tc>
          <w:tcPr>
            <w:tcW w:w="2271" w:type="pct"/>
            <w:vMerge w:val="restart"/>
            <w:tcBorders>
              <w:top w:val="single" w:sz="4" w:space="0" w:color="000000"/>
              <w:left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课程教学目标</w:t>
            </w:r>
          </w:p>
        </w:tc>
        <w:tc>
          <w:tcPr>
            <w:tcW w:w="2386" w:type="pct"/>
            <w:gridSpan w:val="2"/>
            <w:tcBorders>
              <w:top w:val="single" w:sz="4" w:space="0" w:color="000000"/>
              <w:left w:val="single" w:sz="4" w:space="0" w:color="000000"/>
              <w:bottom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支撑毕业要求指标点</w:t>
            </w:r>
          </w:p>
        </w:tc>
      </w:tr>
      <w:tr w:rsidR="00AD1D5F" w:rsidTr="00CD00D2">
        <w:trPr>
          <w:trHeight w:val="454"/>
          <w:jc w:val="center"/>
        </w:trPr>
        <w:tc>
          <w:tcPr>
            <w:tcW w:w="343" w:type="pct"/>
            <w:vMerge/>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widowControl/>
              <w:spacing w:line="360" w:lineRule="exact"/>
              <w:jc w:val="center"/>
              <w:rPr>
                <w:rFonts w:ascii="仿宋_GB2312" w:hAnsi="仿宋_GB2312" w:cs="仿宋_GB2312"/>
                <w:b/>
                <w:bCs/>
                <w:sz w:val="24"/>
                <w:szCs w:val="24"/>
              </w:rPr>
            </w:pPr>
          </w:p>
        </w:tc>
        <w:tc>
          <w:tcPr>
            <w:tcW w:w="2271" w:type="pct"/>
            <w:vMerge/>
            <w:tcBorders>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p>
        </w:tc>
        <w:tc>
          <w:tcPr>
            <w:tcW w:w="534" w:type="pct"/>
            <w:tcBorders>
              <w:top w:val="single" w:sz="4" w:space="0" w:color="auto"/>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指标点</w:t>
            </w:r>
          </w:p>
        </w:tc>
        <w:tc>
          <w:tcPr>
            <w:tcW w:w="1852" w:type="pct"/>
            <w:tcBorders>
              <w:top w:val="single" w:sz="4" w:space="0" w:color="auto"/>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指标点内容</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2271"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目标1：了解</w:t>
            </w:r>
            <w:r w:rsidRPr="0053675D">
              <w:rPr>
                <w:rFonts w:ascii="仿宋_GB2312" w:hAnsi="仿宋_GB2312" w:cs="仿宋_GB2312" w:hint="eastAsia"/>
                <w:bCs/>
                <w:sz w:val="24"/>
                <w:szCs w:val="24"/>
              </w:rPr>
              <w:t>BIM的概念及其产生和发展过程、BIM的整体应用；</w:t>
            </w:r>
            <w:r w:rsidRPr="0053675D">
              <w:rPr>
                <w:rFonts w:ascii="仿宋_GB2312" w:hAnsi="仿宋_GB2312" w:cs="仿宋_GB2312"/>
                <w:bCs/>
                <w:sz w:val="24"/>
                <w:szCs w:val="24"/>
              </w:rPr>
              <w:t>熟悉</w:t>
            </w:r>
            <w:r w:rsidRPr="0053675D">
              <w:rPr>
                <w:rFonts w:ascii="仿宋_GB2312" w:hAnsi="仿宋_GB2312" w:cs="仿宋_GB2312" w:hint="eastAsia"/>
                <w:bCs/>
                <w:sz w:val="24"/>
                <w:szCs w:val="24"/>
              </w:rPr>
              <w:t>BIM在工程造价行业应用现状分析、基于BIM的全过程造价管理，BIM对建设项目各参与方的影响与建议。</w:t>
            </w:r>
          </w:p>
        </w:tc>
        <w:tc>
          <w:tcPr>
            <w:tcW w:w="534"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11.1</w:t>
            </w:r>
          </w:p>
        </w:tc>
        <w:tc>
          <w:tcPr>
            <w:tcW w:w="1852"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ind w:firstLineChars="200" w:firstLine="480"/>
              <w:jc w:val="left"/>
              <w:rPr>
                <w:rFonts w:ascii="仿宋_GB2312" w:hAnsi="仿宋_GB2312" w:cs="仿宋_GB2312"/>
                <w:bCs/>
                <w:sz w:val="24"/>
                <w:szCs w:val="24"/>
              </w:rPr>
            </w:pPr>
            <w:r w:rsidRPr="0053675D">
              <w:rPr>
                <w:rFonts w:ascii="仿宋_GB2312" w:hAnsi="仿宋_GB2312" w:cs="仿宋_GB2312" w:hint="eastAsia"/>
                <w:bCs/>
                <w:sz w:val="24"/>
                <w:szCs w:val="24"/>
              </w:rPr>
              <w:t>能够了解BIM产生和发展的基本过程，</w:t>
            </w:r>
            <w:r w:rsidRPr="0053675D">
              <w:rPr>
                <w:rFonts w:ascii="仿宋_GB2312" w:hAnsi="仿宋_GB2312" w:cs="仿宋_GB2312"/>
                <w:bCs/>
                <w:sz w:val="24"/>
                <w:szCs w:val="24"/>
              </w:rPr>
              <w:t>熟悉</w:t>
            </w:r>
            <w:r w:rsidRPr="0053675D">
              <w:rPr>
                <w:rFonts w:ascii="仿宋_GB2312" w:hAnsi="仿宋_GB2312" w:cs="仿宋_GB2312" w:hint="eastAsia"/>
                <w:bCs/>
                <w:sz w:val="24"/>
                <w:szCs w:val="24"/>
              </w:rPr>
              <w:t>BIM在工程造价行业应用现状分析、基于BIM的全过程造价管理，BIM在工程项目建设中发挥的巨大作用。</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2271"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目标2：熟悉</w:t>
            </w:r>
            <w:r w:rsidRPr="0053675D">
              <w:rPr>
                <w:rFonts w:ascii="仿宋_GB2312" w:hAnsi="仿宋_GB2312" w:cs="仿宋_GB2312" w:hint="eastAsia"/>
                <w:bCs/>
                <w:sz w:val="24"/>
                <w:szCs w:val="24"/>
              </w:rPr>
              <w:t>BIM钢筋工程信息设置、BIM钢筋工程构件绘图输入、BIM钢筋工程文件报表设置，</w:t>
            </w:r>
            <w:r w:rsidRPr="0053675D">
              <w:rPr>
                <w:rFonts w:ascii="仿宋_GB2312" w:hAnsi="仿宋_GB2312" w:cs="仿宋_GB2312"/>
                <w:bCs/>
                <w:sz w:val="24"/>
                <w:szCs w:val="24"/>
              </w:rPr>
              <w:t>掌握</w:t>
            </w:r>
            <w:r w:rsidRPr="0053675D">
              <w:rPr>
                <w:rFonts w:ascii="仿宋_GB2312" w:hAnsi="仿宋_GB2312" w:cs="仿宋_GB2312" w:hint="eastAsia"/>
                <w:bCs/>
                <w:sz w:val="24"/>
                <w:szCs w:val="24"/>
              </w:rPr>
              <w:t>BIM软件钢筋算量。</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 xml:space="preserve">    熟悉BIM土建工程信息设置、BIM土建工程构件绘图输入、BIM土建工程文件报表设置，</w:t>
            </w:r>
            <w:r w:rsidRPr="0053675D">
              <w:rPr>
                <w:rFonts w:ascii="仿宋_GB2312" w:hAnsi="仿宋_GB2312" w:cs="仿宋_GB2312"/>
                <w:bCs/>
                <w:sz w:val="24"/>
                <w:szCs w:val="24"/>
              </w:rPr>
              <w:t>掌握</w:t>
            </w:r>
            <w:r w:rsidRPr="0053675D">
              <w:rPr>
                <w:rFonts w:ascii="仿宋_GB2312" w:hAnsi="仿宋_GB2312" w:cs="仿宋_GB2312" w:hint="eastAsia"/>
                <w:bCs/>
                <w:sz w:val="24"/>
                <w:szCs w:val="24"/>
              </w:rPr>
              <w:t>BIM软件土建算量。</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 xml:space="preserve">    熟悉BIM土建评分测评软件应用、BIM土建对量分析软件应用，</w:t>
            </w:r>
            <w:r w:rsidRPr="0053675D">
              <w:rPr>
                <w:rFonts w:ascii="仿宋_GB2312" w:hAnsi="仿宋_GB2312" w:cs="仿宋_GB2312"/>
                <w:bCs/>
                <w:sz w:val="24"/>
                <w:szCs w:val="24"/>
              </w:rPr>
              <w:t>掌握</w:t>
            </w:r>
            <w:r w:rsidRPr="0053675D">
              <w:rPr>
                <w:rFonts w:ascii="仿宋_GB2312" w:hAnsi="仿宋_GB2312" w:cs="仿宋_GB2312" w:hint="eastAsia"/>
                <w:bCs/>
                <w:sz w:val="24"/>
                <w:szCs w:val="24"/>
              </w:rPr>
              <w:t>BIM算量软件。</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 xml:space="preserve">    熟悉CAD图纸管理、CAD构件</w:t>
            </w:r>
            <w:r w:rsidRPr="0053675D">
              <w:rPr>
                <w:rFonts w:ascii="仿宋_GB2312" w:hAnsi="仿宋_GB2312" w:cs="仿宋_GB2312" w:hint="eastAsia"/>
                <w:bCs/>
                <w:sz w:val="24"/>
                <w:szCs w:val="24"/>
              </w:rPr>
              <w:lastRenderedPageBreak/>
              <w:t>识别；</w:t>
            </w:r>
            <w:r w:rsidRPr="0053675D">
              <w:rPr>
                <w:rFonts w:ascii="仿宋_GB2312" w:hAnsi="仿宋_GB2312" w:cs="仿宋_GB2312"/>
                <w:bCs/>
                <w:sz w:val="24"/>
                <w:szCs w:val="24"/>
              </w:rPr>
              <w:t>掌握</w:t>
            </w:r>
            <w:r w:rsidRPr="0053675D">
              <w:rPr>
                <w:rFonts w:ascii="仿宋_GB2312" w:hAnsi="仿宋_GB2312" w:cs="仿宋_GB2312" w:hint="eastAsia"/>
                <w:bCs/>
                <w:sz w:val="24"/>
                <w:szCs w:val="24"/>
              </w:rPr>
              <w:t>BIM算量CAD导图。</w:t>
            </w:r>
          </w:p>
        </w:tc>
        <w:tc>
          <w:tcPr>
            <w:tcW w:w="534"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lastRenderedPageBreak/>
              <w:t>2.2</w:t>
            </w:r>
          </w:p>
        </w:tc>
        <w:tc>
          <w:tcPr>
            <w:tcW w:w="1852"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ind w:firstLineChars="200" w:firstLine="480"/>
              <w:jc w:val="left"/>
              <w:rPr>
                <w:rFonts w:ascii="仿宋_GB2312" w:hAnsi="仿宋_GB2312" w:cs="仿宋_GB2312"/>
                <w:bCs/>
                <w:sz w:val="24"/>
                <w:szCs w:val="24"/>
              </w:rPr>
            </w:pPr>
            <w:r w:rsidRPr="0053675D">
              <w:rPr>
                <w:rFonts w:ascii="仿宋_GB2312" w:hAnsi="仿宋_GB2312" w:cs="仿宋_GB2312" w:hint="eastAsia"/>
                <w:bCs/>
                <w:sz w:val="24"/>
                <w:szCs w:val="24"/>
              </w:rPr>
              <w:t>在当前工程信息化管理类软件快速发展，已经对工程建设的管理工作起到巨大促进作用并且取得了巨大成效的大背景下，让学生们能够认识到不断探索和学习的必要性，自觉跟踪土木工程专业领域前沿科学技术的发展步伐，加强自觉学习、自主学习和终身学习的兴趣和能力。</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lastRenderedPageBreak/>
              <w:t>3</w:t>
            </w:r>
          </w:p>
        </w:tc>
        <w:tc>
          <w:tcPr>
            <w:tcW w:w="2271"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目标3：熟悉理解</w:t>
            </w:r>
            <w:r w:rsidRPr="0053675D">
              <w:rPr>
                <w:rFonts w:ascii="仿宋_GB2312" w:hAnsi="仿宋_GB2312" w:cs="仿宋_GB2312" w:hint="eastAsia"/>
                <w:bCs/>
                <w:sz w:val="24"/>
                <w:szCs w:val="24"/>
              </w:rPr>
              <w:t>招标控制价编制，</w:t>
            </w:r>
            <w:r w:rsidRPr="0053675D">
              <w:rPr>
                <w:rFonts w:ascii="仿宋_GB2312" w:hAnsi="仿宋_GB2312" w:cs="仿宋_GB2312"/>
                <w:bCs/>
                <w:sz w:val="24"/>
                <w:szCs w:val="24"/>
              </w:rPr>
              <w:t>掌握</w:t>
            </w:r>
            <w:r w:rsidRPr="0053675D">
              <w:rPr>
                <w:rFonts w:ascii="仿宋_GB2312" w:hAnsi="仿宋_GB2312" w:cs="仿宋_GB2312" w:hint="eastAsia"/>
                <w:bCs/>
                <w:sz w:val="24"/>
                <w:szCs w:val="24"/>
              </w:rPr>
              <w:t>BIM建筑工程计价。</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 xml:space="preserve">    了解BIM建模规则及模型应用，通过BIM模型应用实例讲解，</w:t>
            </w:r>
            <w:r w:rsidRPr="0053675D">
              <w:rPr>
                <w:rFonts w:ascii="仿宋_GB2312" w:hAnsi="仿宋_GB2312" w:cs="仿宋_GB2312"/>
                <w:bCs/>
                <w:sz w:val="24"/>
                <w:szCs w:val="24"/>
              </w:rPr>
              <w:t>掌握</w:t>
            </w:r>
            <w:r w:rsidRPr="0053675D">
              <w:rPr>
                <w:rFonts w:ascii="仿宋_GB2312" w:hAnsi="仿宋_GB2312" w:cs="仿宋_GB2312" w:hint="eastAsia"/>
                <w:bCs/>
                <w:sz w:val="24"/>
                <w:szCs w:val="24"/>
              </w:rPr>
              <w:t>BIM模型造价应用。</w:t>
            </w:r>
          </w:p>
          <w:p w:rsidR="00AD1D5F" w:rsidRPr="0053675D" w:rsidRDefault="00AD1D5F" w:rsidP="00CD00D2">
            <w:pPr>
              <w:spacing w:line="360" w:lineRule="exact"/>
              <w:ind w:firstLineChars="150" w:firstLine="360"/>
              <w:jc w:val="left"/>
              <w:rPr>
                <w:rFonts w:ascii="仿宋_GB2312" w:hAnsi="仿宋_GB2312" w:cs="仿宋_GB2312"/>
                <w:bCs/>
                <w:sz w:val="24"/>
                <w:szCs w:val="24"/>
              </w:rPr>
            </w:pPr>
            <w:r w:rsidRPr="0053675D">
              <w:rPr>
                <w:rFonts w:ascii="仿宋_GB2312" w:hAnsi="仿宋_GB2312" w:cs="仿宋_GB2312"/>
                <w:bCs/>
                <w:sz w:val="24"/>
                <w:szCs w:val="24"/>
              </w:rPr>
              <w:t>理解</w:t>
            </w:r>
            <w:r w:rsidRPr="0053675D">
              <w:rPr>
                <w:rFonts w:ascii="仿宋_GB2312" w:hAnsi="仿宋_GB2312" w:cs="仿宋_GB2312" w:hint="eastAsia"/>
                <w:bCs/>
                <w:sz w:val="24"/>
                <w:szCs w:val="24"/>
              </w:rPr>
              <w:t>BIM模型造价应用及BIM数据指标应用原理，</w:t>
            </w:r>
            <w:r w:rsidRPr="0053675D">
              <w:rPr>
                <w:rFonts w:ascii="仿宋_GB2312" w:hAnsi="仿宋_GB2312" w:cs="仿宋_GB2312"/>
                <w:bCs/>
                <w:sz w:val="24"/>
                <w:szCs w:val="24"/>
              </w:rPr>
              <w:t>掌握</w:t>
            </w:r>
            <w:r w:rsidRPr="0053675D">
              <w:rPr>
                <w:rFonts w:ascii="仿宋_GB2312" w:hAnsi="仿宋_GB2312" w:cs="仿宋_GB2312" w:hint="eastAsia"/>
                <w:bCs/>
                <w:sz w:val="24"/>
                <w:szCs w:val="24"/>
              </w:rPr>
              <w:t>BIM模型造价应用及数据指标应用</w:t>
            </w:r>
            <w:r w:rsidRPr="0053675D">
              <w:rPr>
                <w:rFonts w:ascii="仿宋_GB2312" w:hAnsi="仿宋_GB2312" w:cs="仿宋_GB2312"/>
                <w:bCs/>
                <w:sz w:val="24"/>
                <w:szCs w:val="24"/>
              </w:rPr>
              <w:t>。</w:t>
            </w:r>
          </w:p>
        </w:tc>
        <w:tc>
          <w:tcPr>
            <w:tcW w:w="534"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3.4</w:t>
            </w:r>
          </w:p>
        </w:tc>
        <w:tc>
          <w:tcPr>
            <w:tcW w:w="1852"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ind w:firstLineChars="200" w:firstLine="480"/>
              <w:jc w:val="left"/>
              <w:rPr>
                <w:rFonts w:ascii="仿宋_GB2312" w:hAnsi="仿宋_GB2312" w:cs="仿宋_GB2312"/>
                <w:bCs/>
                <w:sz w:val="24"/>
                <w:szCs w:val="24"/>
              </w:rPr>
            </w:pPr>
            <w:r w:rsidRPr="0053675D">
              <w:rPr>
                <w:rFonts w:ascii="仿宋_GB2312" w:hAnsi="仿宋_GB2312" w:cs="仿宋_GB2312" w:hint="eastAsia"/>
                <w:bCs/>
                <w:sz w:val="24"/>
                <w:szCs w:val="24"/>
              </w:rPr>
              <w:t>能够从工作实际需要出发，在今后的项目的设计、工程招投标、工程项目施工管理、工程造价计算以及成本管理控制等领域，熟练使用BIM高效地完成相关的工作，并且为将来个人技术业务能力的不断提高打下良好的基础。</w:t>
            </w:r>
          </w:p>
        </w:tc>
      </w:tr>
    </w:tbl>
    <w:p w:rsidR="0053675D" w:rsidRDefault="0053675D" w:rsidP="0053675D">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四、教学内容安排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3"/>
        <w:gridCol w:w="2149"/>
        <w:gridCol w:w="954"/>
        <w:gridCol w:w="596"/>
        <w:gridCol w:w="926"/>
      </w:tblGrid>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序号</w:t>
            </w:r>
          </w:p>
        </w:tc>
        <w:tc>
          <w:tcPr>
            <w:tcW w:w="1870" w:type="pct"/>
            <w:tcBorders>
              <w:top w:val="single" w:sz="4" w:space="0" w:color="000000"/>
              <w:left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教学内容及重点、难点</w:t>
            </w:r>
          </w:p>
        </w:tc>
        <w:tc>
          <w:tcPr>
            <w:tcW w:w="1295" w:type="pct"/>
            <w:tcBorders>
              <w:top w:val="single" w:sz="4" w:space="0" w:color="000000"/>
              <w:left w:val="single" w:sz="4" w:space="0" w:color="auto"/>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学生学习预期</w:t>
            </w:r>
          </w:p>
        </w:tc>
        <w:tc>
          <w:tcPr>
            <w:tcW w:w="575" w:type="pct"/>
            <w:tcBorders>
              <w:top w:val="single" w:sz="4" w:space="0" w:color="000000"/>
              <w:left w:val="single" w:sz="4" w:space="0" w:color="auto"/>
              <w:right w:val="single" w:sz="4" w:space="0" w:color="000000"/>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教学方式</w:t>
            </w:r>
          </w:p>
        </w:tc>
        <w:tc>
          <w:tcPr>
            <w:tcW w:w="359" w:type="pct"/>
            <w:tcBorders>
              <w:top w:val="single" w:sz="4" w:space="0" w:color="000000"/>
              <w:left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学时</w:t>
            </w:r>
          </w:p>
        </w:tc>
        <w:tc>
          <w:tcPr>
            <w:tcW w:w="558" w:type="pct"/>
            <w:tcBorders>
              <w:top w:val="single" w:sz="4" w:space="0" w:color="000000"/>
              <w:left w:val="single" w:sz="4" w:space="0" w:color="000000"/>
              <w:right w:val="single" w:sz="4" w:space="0" w:color="auto"/>
            </w:tcBorders>
            <w:vAlign w:val="center"/>
          </w:tcPr>
          <w:p w:rsidR="00AD1D5F" w:rsidRPr="0053675D" w:rsidRDefault="00AD1D5F" w:rsidP="0053675D">
            <w:pPr>
              <w:spacing w:line="360" w:lineRule="exact"/>
              <w:jc w:val="left"/>
              <w:rPr>
                <w:rFonts w:ascii="仿宋_GB2312" w:hAnsi="仿宋_GB2312" w:cs="仿宋_GB2312"/>
                <w:b/>
                <w:bCs/>
                <w:sz w:val="24"/>
                <w:szCs w:val="24"/>
              </w:rPr>
            </w:pPr>
            <w:r w:rsidRPr="0053675D">
              <w:rPr>
                <w:rFonts w:ascii="仿宋_GB2312" w:hAnsi="仿宋_GB2312" w:cs="仿宋_GB2312"/>
                <w:b/>
                <w:bCs/>
                <w:sz w:val="24"/>
                <w:szCs w:val="24"/>
              </w:rPr>
              <w:t>支撑课程教学目标</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内容：第一章</w:t>
            </w:r>
            <w:r w:rsidRPr="0053675D">
              <w:rPr>
                <w:rFonts w:ascii="仿宋_GB2312" w:hAnsi="仿宋_GB2312" w:cs="仿宋_GB2312" w:hint="eastAsia"/>
                <w:bCs/>
                <w:sz w:val="24"/>
                <w:szCs w:val="24"/>
              </w:rPr>
              <w:t xml:space="preserve"> BIM整体应用概述</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 xml:space="preserve">重点： </w:t>
            </w:r>
            <w:r w:rsidRPr="0053675D">
              <w:rPr>
                <w:rFonts w:ascii="仿宋_GB2312" w:hAnsi="仿宋_GB2312" w:cs="仿宋_GB2312" w:hint="eastAsia"/>
                <w:bCs/>
                <w:sz w:val="24"/>
                <w:szCs w:val="24"/>
              </w:rPr>
              <w:t>无</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 了解</w:t>
            </w:r>
            <w:r w:rsidRPr="0053675D">
              <w:rPr>
                <w:rFonts w:ascii="仿宋_GB2312" w:hAnsi="仿宋_GB2312" w:cs="仿宋_GB2312" w:hint="eastAsia"/>
                <w:bCs/>
                <w:sz w:val="24"/>
                <w:szCs w:val="24"/>
              </w:rPr>
              <w:t>BIM的概念及其产生和发展过程、了解BIM的整体应用。</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 xml:space="preserve">2. </w:t>
            </w:r>
            <w:r w:rsidRPr="0053675D">
              <w:rPr>
                <w:rFonts w:ascii="仿宋_GB2312" w:hAnsi="仿宋_GB2312" w:cs="仿宋_GB2312" w:hint="eastAsia"/>
                <w:bCs/>
                <w:sz w:val="24"/>
                <w:szCs w:val="24"/>
              </w:rPr>
              <w:t>理解本学科的特点、研究对象及要求。</w:t>
            </w:r>
            <w:r w:rsidRPr="0053675D">
              <w:rPr>
                <w:rFonts w:ascii="仿宋_GB2312" w:hAnsi="仿宋_GB2312" w:cs="仿宋_GB2312"/>
                <w:bCs/>
                <w:sz w:val="24"/>
                <w:szCs w:val="24"/>
              </w:rPr>
              <w:t xml:space="preserve"> </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目标1</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内容：第二章</w:t>
            </w:r>
            <w:r w:rsidRPr="0053675D">
              <w:rPr>
                <w:rFonts w:ascii="仿宋_GB2312" w:hAnsi="仿宋_GB2312" w:cs="仿宋_GB2312" w:hint="eastAsia"/>
                <w:bCs/>
                <w:sz w:val="24"/>
                <w:szCs w:val="24"/>
              </w:rPr>
              <w:t xml:space="preserve"> BIM工程造价应用概述</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BIM对建设项目各参与方的影响与建议</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w:t>
            </w:r>
            <w:r w:rsidRPr="0053675D">
              <w:rPr>
                <w:rFonts w:ascii="仿宋_GB2312" w:hAnsi="仿宋_GB2312" w:cs="仿宋_GB2312" w:hint="eastAsia"/>
                <w:bCs/>
                <w:sz w:val="24"/>
                <w:szCs w:val="24"/>
              </w:rPr>
              <w:t>了解BIM在工程造价行业应用现状分析。</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 xml:space="preserve">2. </w:t>
            </w:r>
            <w:r w:rsidRPr="0053675D">
              <w:rPr>
                <w:rFonts w:ascii="仿宋_GB2312" w:hAnsi="仿宋_GB2312" w:cs="仿宋_GB2312" w:hint="eastAsia"/>
                <w:bCs/>
                <w:sz w:val="24"/>
                <w:szCs w:val="24"/>
              </w:rPr>
              <w:t>理解基于BIM的全过程造价管理，BIM对建设项目各参与方的影响与建议</w:t>
            </w:r>
            <w:r w:rsidRPr="0053675D">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目标3</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内容：第三章</w:t>
            </w:r>
            <w:r w:rsidRPr="0053675D">
              <w:rPr>
                <w:rFonts w:ascii="仿宋_GB2312" w:hAnsi="仿宋_GB2312" w:cs="仿宋_GB2312" w:hint="eastAsia"/>
                <w:bCs/>
                <w:sz w:val="24"/>
                <w:szCs w:val="24"/>
              </w:rPr>
              <w:t xml:space="preserve"> 钢筋算量软件案例实务1</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 xml:space="preserve">重点： </w:t>
            </w:r>
            <w:r w:rsidRPr="0053675D">
              <w:rPr>
                <w:rFonts w:ascii="仿宋_GB2312" w:hAnsi="仿宋_GB2312" w:cs="仿宋_GB2312" w:hint="eastAsia"/>
                <w:bCs/>
                <w:sz w:val="24"/>
                <w:szCs w:val="24"/>
              </w:rPr>
              <w:t>BIM钢筋工程信息设置、BIM钢筋工程构件绘图输入、BIM钢筋工程文件</w:t>
            </w:r>
            <w:r w:rsidRPr="0053675D">
              <w:rPr>
                <w:rFonts w:ascii="仿宋_GB2312" w:hAnsi="仿宋_GB2312" w:cs="仿宋_GB2312" w:hint="eastAsia"/>
                <w:bCs/>
                <w:sz w:val="24"/>
                <w:szCs w:val="24"/>
              </w:rPr>
              <w:lastRenderedPageBreak/>
              <w:t>报表设置</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 xml:space="preserve">难点： </w:t>
            </w:r>
            <w:r w:rsidRPr="0053675D">
              <w:rPr>
                <w:rFonts w:ascii="仿宋_GB2312" w:hAnsi="仿宋_GB2312" w:cs="仿宋_GB2312" w:hint="eastAsia"/>
                <w:bCs/>
                <w:sz w:val="24"/>
                <w:szCs w:val="24"/>
              </w:rPr>
              <w:t>BIM软件钢筋算量实训</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1.了解</w:t>
            </w:r>
            <w:r w:rsidRPr="0053675D">
              <w:rPr>
                <w:rFonts w:ascii="仿宋_GB2312" w:hAnsi="仿宋_GB2312" w:cs="仿宋_GB2312" w:hint="eastAsia"/>
                <w:bCs/>
                <w:sz w:val="24"/>
                <w:szCs w:val="24"/>
              </w:rPr>
              <w:t>BIM钢筋算量软件的原理及操作流程。</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 理解</w:t>
            </w:r>
            <w:r w:rsidRPr="0053675D">
              <w:rPr>
                <w:rFonts w:ascii="仿宋_GB2312" w:hAnsi="仿宋_GB2312" w:cs="仿宋_GB2312" w:hint="eastAsia"/>
                <w:bCs/>
                <w:sz w:val="24"/>
                <w:szCs w:val="24"/>
              </w:rPr>
              <w:t>BIM钢筋工程信息设置、</w:t>
            </w:r>
            <w:r w:rsidRPr="0053675D">
              <w:rPr>
                <w:rFonts w:ascii="仿宋_GB2312" w:hAnsi="仿宋_GB2312" w:cs="仿宋_GB2312" w:hint="eastAsia"/>
                <w:bCs/>
                <w:sz w:val="24"/>
                <w:szCs w:val="24"/>
              </w:rPr>
              <w:lastRenderedPageBreak/>
              <w:t>BIM钢筋工程构件绘图输入、BIM钢筋工程文件报表设置。</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3.掌握</w:t>
            </w:r>
            <w:r w:rsidRPr="0053675D">
              <w:rPr>
                <w:rFonts w:ascii="仿宋_GB2312" w:hAnsi="仿宋_GB2312" w:cs="仿宋_GB2312" w:hint="eastAsia"/>
                <w:bCs/>
                <w:sz w:val="24"/>
                <w:szCs w:val="24"/>
              </w:rPr>
              <w:t>BIM软件钢筋算量。</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课堂授课</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内容：第四章</w:t>
            </w:r>
            <w:r w:rsidRPr="0053675D">
              <w:rPr>
                <w:rFonts w:ascii="仿宋_GB2312" w:hAnsi="仿宋_GB2312" w:cs="仿宋_GB2312" w:hint="eastAsia"/>
                <w:bCs/>
                <w:sz w:val="24"/>
                <w:szCs w:val="24"/>
              </w:rPr>
              <w:t xml:space="preserve"> 土建算量软件案例实务2</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BIM土建工程信息设置、BIM土建工程构件绘图输入、BIM土建工程文件报表设置</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w:t>
            </w:r>
            <w:r w:rsidRPr="0053675D">
              <w:rPr>
                <w:rFonts w:ascii="仿宋_GB2312" w:hAnsi="仿宋_GB2312" w:cs="仿宋_GB2312" w:hint="eastAsia"/>
                <w:bCs/>
                <w:sz w:val="24"/>
                <w:szCs w:val="24"/>
              </w:rPr>
              <w:t>BIM软件土建算量综合实训</w:t>
            </w:r>
          </w:p>
          <w:p w:rsidR="00AD1D5F" w:rsidRPr="0053675D" w:rsidRDefault="00AD1D5F" w:rsidP="00CD00D2">
            <w:pPr>
              <w:spacing w:line="360" w:lineRule="exact"/>
              <w:jc w:val="left"/>
              <w:rPr>
                <w:rFonts w:ascii="仿宋_GB2312" w:hAnsi="仿宋_GB2312" w:cs="仿宋_GB2312"/>
                <w:bCs/>
                <w:sz w:val="24"/>
                <w:szCs w:val="24"/>
              </w:rPr>
            </w:pPr>
          </w:p>
          <w:p w:rsidR="00AD1D5F" w:rsidRPr="0053675D" w:rsidRDefault="00AD1D5F" w:rsidP="00CD00D2">
            <w:pPr>
              <w:spacing w:line="360" w:lineRule="exact"/>
              <w:jc w:val="left"/>
              <w:rPr>
                <w:rFonts w:ascii="仿宋_GB2312" w:hAnsi="仿宋_GB2312" w:cs="仿宋_GB2312"/>
                <w:bCs/>
                <w:sz w:val="24"/>
                <w:szCs w:val="24"/>
              </w:rPr>
            </w:pPr>
          </w:p>
          <w:p w:rsidR="00AD1D5F" w:rsidRPr="0053675D" w:rsidRDefault="00AD1D5F" w:rsidP="00CD00D2">
            <w:pPr>
              <w:spacing w:line="360" w:lineRule="exact"/>
              <w:jc w:val="left"/>
              <w:rPr>
                <w:rFonts w:ascii="仿宋_GB2312" w:hAnsi="仿宋_GB2312" w:cs="仿宋_GB2312"/>
                <w:bCs/>
                <w:sz w:val="24"/>
                <w:szCs w:val="24"/>
              </w:rPr>
            </w:pP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1.了解</w:t>
            </w:r>
            <w:r w:rsidRPr="0053675D">
              <w:rPr>
                <w:rFonts w:ascii="仿宋_GB2312" w:hAnsi="仿宋_GB2312" w:cs="仿宋_GB2312" w:hint="eastAsia"/>
                <w:bCs/>
                <w:sz w:val="24"/>
                <w:szCs w:val="24"/>
              </w:rPr>
              <w:t>BIM土建算量软件的原理及操作。</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w:t>
            </w:r>
            <w:r w:rsidRPr="0053675D">
              <w:rPr>
                <w:rFonts w:ascii="仿宋_GB2312" w:hAnsi="仿宋_GB2312" w:cs="仿宋_GB2312" w:hint="eastAsia"/>
                <w:bCs/>
                <w:sz w:val="24"/>
                <w:szCs w:val="24"/>
              </w:rPr>
              <w:t xml:space="preserve"> </w:t>
            </w:r>
            <w:r w:rsidRPr="0053675D">
              <w:rPr>
                <w:rFonts w:ascii="仿宋_GB2312" w:hAnsi="仿宋_GB2312" w:cs="仿宋_GB2312"/>
                <w:bCs/>
                <w:sz w:val="24"/>
                <w:szCs w:val="24"/>
              </w:rPr>
              <w:t>理解</w:t>
            </w:r>
            <w:r w:rsidRPr="0053675D">
              <w:rPr>
                <w:rFonts w:ascii="仿宋_GB2312" w:hAnsi="仿宋_GB2312" w:cs="仿宋_GB2312" w:hint="eastAsia"/>
                <w:bCs/>
                <w:sz w:val="24"/>
                <w:szCs w:val="24"/>
              </w:rPr>
              <w:t>BIM土建工程信息设置、BIM土建工程构件绘图输入、BIM土建工程文件报表设置。</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3.掌握</w:t>
            </w:r>
            <w:r w:rsidRPr="0053675D">
              <w:rPr>
                <w:rFonts w:ascii="仿宋_GB2312" w:hAnsi="仿宋_GB2312" w:cs="仿宋_GB2312" w:hint="eastAsia"/>
                <w:bCs/>
                <w:sz w:val="24"/>
                <w:szCs w:val="24"/>
              </w:rPr>
              <w:t>BIM软件土建算量</w:t>
            </w:r>
            <w:r w:rsidRPr="0053675D">
              <w:rPr>
                <w:rFonts w:ascii="仿宋_GB2312" w:hAnsi="仿宋_GB2312" w:cs="仿宋_GB2312"/>
                <w:bCs/>
                <w:sz w:val="24"/>
                <w:szCs w:val="24"/>
              </w:rPr>
              <w:t>。</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5</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内容：第五章</w:t>
            </w:r>
            <w:r w:rsidRPr="0053675D">
              <w:rPr>
                <w:rFonts w:ascii="仿宋_GB2312" w:hAnsi="仿宋_GB2312" w:cs="仿宋_GB2312" w:hint="eastAsia"/>
                <w:bCs/>
                <w:sz w:val="24"/>
                <w:szCs w:val="24"/>
              </w:rPr>
              <w:t xml:space="preserve"> BIM算量软件案例工程测评</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 xml:space="preserve">重点： </w:t>
            </w:r>
            <w:r w:rsidRPr="0053675D">
              <w:rPr>
                <w:rFonts w:ascii="仿宋_GB2312" w:hAnsi="仿宋_GB2312" w:cs="仿宋_GB2312" w:hint="eastAsia"/>
                <w:bCs/>
                <w:sz w:val="24"/>
                <w:szCs w:val="24"/>
              </w:rPr>
              <w:t>BIM土建评分测评软件应用、BIM土建对量分析软件应用</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 xml:space="preserve">难点： </w:t>
            </w:r>
            <w:r w:rsidRPr="0053675D">
              <w:rPr>
                <w:rFonts w:ascii="仿宋_GB2312" w:hAnsi="仿宋_GB2312" w:cs="仿宋_GB2312" w:hint="eastAsia"/>
                <w:bCs/>
                <w:sz w:val="24"/>
                <w:szCs w:val="24"/>
              </w:rPr>
              <w:t>BIM算量软件案例</w:t>
            </w:r>
          </w:p>
          <w:p w:rsidR="00AD1D5F" w:rsidRPr="0053675D" w:rsidRDefault="00AD1D5F" w:rsidP="00CD00D2">
            <w:pPr>
              <w:spacing w:line="360" w:lineRule="exact"/>
              <w:jc w:val="left"/>
              <w:rPr>
                <w:rFonts w:ascii="仿宋_GB2312" w:hAnsi="仿宋_GB2312" w:cs="仿宋_GB2312"/>
                <w:bCs/>
                <w:sz w:val="24"/>
                <w:szCs w:val="24"/>
              </w:rPr>
            </w:pP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1.了解</w:t>
            </w:r>
            <w:r w:rsidRPr="0053675D">
              <w:rPr>
                <w:rFonts w:ascii="仿宋_GB2312" w:hAnsi="仿宋_GB2312" w:cs="仿宋_GB2312" w:hint="eastAsia"/>
                <w:bCs/>
                <w:sz w:val="24"/>
                <w:szCs w:val="24"/>
              </w:rPr>
              <w:t>BIM土建评分测评软件、对量分析软件的优点。</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 理解</w:t>
            </w:r>
            <w:r w:rsidRPr="0053675D">
              <w:rPr>
                <w:rFonts w:ascii="仿宋_GB2312" w:hAnsi="仿宋_GB2312" w:cs="仿宋_GB2312" w:hint="eastAsia"/>
                <w:bCs/>
                <w:sz w:val="24"/>
                <w:szCs w:val="24"/>
              </w:rPr>
              <w:t>BIM土建评分测评软件应用、BIM土建对量分析软件应用。</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3.掌握</w:t>
            </w:r>
            <w:r w:rsidRPr="0053675D">
              <w:rPr>
                <w:rFonts w:ascii="仿宋_GB2312" w:hAnsi="仿宋_GB2312" w:cs="仿宋_GB2312" w:hint="eastAsia"/>
                <w:bCs/>
                <w:sz w:val="24"/>
                <w:szCs w:val="24"/>
              </w:rPr>
              <w:t>BIM算量软件案例。</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6</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内容：第六章</w:t>
            </w:r>
            <w:r w:rsidRPr="0053675D">
              <w:rPr>
                <w:rFonts w:ascii="仿宋_GB2312" w:hAnsi="仿宋_GB2312" w:cs="仿宋_GB2312" w:hint="eastAsia"/>
                <w:bCs/>
                <w:sz w:val="24"/>
                <w:szCs w:val="24"/>
              </w:rPr>
              <w:t xml:space="preserve"> BIM算量CAD导图案例实务</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CAD图纸管理、CAD构件识别</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w:t>
            </w:r>
            <w:r w:rsidRPr="0053675D">
              <w:rPr>
                <w:rFonts w:ascii="仿宋_GB2312" w:hAnsi="仿宋_GB2312" w:cs="仿宋_GB2312" w:hint="eastAsia"/>
                <w:bCs/>
                <w:sz w:val="24"/>
                <w:szCs w:val="24"/>
              </w:rPr>
              <w:t>BIM算量CAD导图</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1.了解</w:t>
            </w:r>
            <w:r w:rsidRPr="0053675D">
              <w:rPr>
                <w:rFonts w:ascii="仿宋_GB2312" w:hAnsi="仿宋_GB2312" w:cs="仿宋_GB2312" w:hint="eastAsia"/>
                <w:bCs/>
                <w:sz w:val="24"/>
                <w:szCs w:val="24"/>
              </w:rPr>
              <w:t>BIM算量CAD导图原理。</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 理解</w:t>
            </w:r>
            <w:r w:rsidRPr="0053675D">
              <w:rPr>
                <w:rFonts w:ascii="仿宋_GB2312" w:hAnsi="仿宋_GB2312" w:cs="仿宋_GB2312" w:hint="eastAsia"/>
                <w:bCs/>
                <w:sz w:val="24"/>
                <w:szCs w:val="24"/>
              </w:rPr>
              <w:t>CAD图纸管理、CAD构件识别。</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3.掌握</w:t>
            </w:r>
            <w:r w:rsidRPr="0053675D">
              <w:rPr>
                <w:rFonts w:ascii="仿宋_GB2312" w:hAnsi="仿宋_GB2312" w:cs="仿宋_GB2312" w:hint="eastAsia"/>
                <w:bCs/>
                <w:sz w:val="24"/>
                <w:szCs w:val="24"/>
              </w:rPr>
              <w:t xml:space="preserve">BIM算量CAD导图。 </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7</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内容：第七章</w:t>
            </w:r>
            <w:r w:rsidRPr="0053675D">
              <w:rPr>
                <w:rFonts w:ascii="仿宋_GB2312" w:hAnsi="仿宋_GB2312" w:cs="仿宋_GB2312" w:hint="eastAsia"/>
                <w:bCs/>
                <w:sz w:val="24"/>
                <w:szCs w:val="24"/>
              </w:rPr>
              <w:t xml:space="preserve"> BIM建筑工程计价案例实务</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招标控制价编制</w:t>
            </w:r>
            <w:r w:rsidRPr="0053675D">
              <w:rPr>
                <w:rFonts w:ascii="仿宋_GB2312" w:hAnsi="仿宋_GB2312" w:cs="仿宋_GB2312"/>
                <w:bCs/>
                <w:sz w:val="24"/>
                <w:szCs w:val="24"/>
              </w:rPr>
              <w:t xml:space="preserve"> </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w:t>
            </w:r>
            <w:r w:rsidRPr="0053675D">
              <w:rPr>
                <w:rFonts w:ascii="仿宋_GB2312" w:hAnsi="仿宋_GB2312" w:cs="仿宋_GB2312" w:hint="eastAsia"/>
                <w:bCs/>
                <w:sz w:val="24"/>
                <w:szCs w:val="24"/>
              </w:rPr>
              <w:t>案例项目报表实例</w:t>
            </w:r>
            <w:r w:rsidRPr="0053675D">
              <w:rPr>
                <w:rFonts w:ascii="仿宋_GB2312" w:hAnsi="仿宋_GB2312" w:cs="仿宋_GB2312"/>
                <w:bCs/>
                <w:sz w:val="24"/>
                <w:szCs w:val="24"/>
              </w:rPr>
              <w:t xml:space="preserve"> </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1.了解</w:t>
            </w:r>
            <w:r w:rsidRPr="0053675D">
              <w:rPr>
                <w:rFonts w:ascii="仿宋_GB2312" w:hAnsi="仿宋_GB2312" w:cs="仿宋_GB2312" w:hint="eastAsia"/>
                <w:bCs/>
                <w:sz w:val="24"/>
                <w:szCs w:val="24"/>
              </w:rPr>
              <w:t>招标控制价编制要求。</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 理解</w:t>
            </w:r>
            <w:r w:rsidRPr="0053675D">
              <w:rPr>
                <w:rFonts w:ascii="仿宋_GB2312" w:hAnsi="仿宋_GB2312" w:cs="仿宋_GB2312" w:hint="eastAsia"/>
                <w:bCs/>
                <w:sz w:val="24"/>
                <w:szCs w:val="24"/>
              </w:rPr>
              <w:t>招标控制价编制</w:t>
            </w:r>
            <w:r w:rsidRPr="0053675D">
              <w:rPr>
                <w:rFonts w:ascii="仿宋_GB2312" w:hAnsi="仿宋_GB2312" w:cs="仿宋_GB2312"/>
                <w:bCs/>
                <w:sz w:val="24"/>
                <w:szCs w:val="24"/>
              </w:rPr>
              <w:t>。</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3.掌握</w:t>
            </w:r>
            <w:r w:rsidRPr="0053675D">
              <w:rPr>
                <w:rFonts w:ascii="仿宋_GB2312" w:hAnsi="仿宋_GB2312" w:cs="仿宋_GB2312" w:hint="eastAsia"/>
                <w:bCs/>
                <w:sz w:val="24"/>
                <w:szCs w:val="24"/>
              </w:rPr>
              <w:t>BIM建筑工</w:t>
            </w:r>
            <w:r w:rsidRPr="0053675D">
              <w:rPr>
                <w:rFonts w:ascii="仿宋_GB2312" w:hAnsi="仿宋_GB2312" w:cs="仿宋_GB2312" w:hint="eastAsia"/>
                <w:bCs/>
                <w:sz w:val="24"/>
                <w:szCs w:val="24"/>
              </w:rPr>
              <w:lastRenderedPageBreak/>
              <w:t xml:space="preserve">程计价。 </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lastRenderedPageBreak/>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目标4</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8</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内容：第八章</w:t>
            </w:r>
            <w:r w:rsidRPr="0053675D">
              <w:rPr>
                <w:rFonts w:ascii="仿宋_GB2312" w:hAnsi="仿宋_GB2312" w:cs="仿宋_GB2312" w:hint="eastAsia"/>
                <w:bCs/>
                <w:sz w:val="24"/>
                <w:szCs w:val="24"/>
              </w:rPr>
              <w:t xml:space="preserve"> BIM造价应用场景概述</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 xml:space="preserve">重点： </w:t>
            </w:r>
            <w:r w:rsidRPr="0053675D">
              <w:rPr>
                <w:rFonts w:ascii="仿宋_GB2312" w:hAnsi="仿宋_GB2312" w:cs="仿宋_GB2312" w:hint="eastAsia"/>
                <w:bCs/>
                <w:sz w:val="24"/>
                <w:szCs w:val="24"/>
              </w:rPr>
              <w:t>无</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难点：无</w:t>
            </w: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1.了解</w:t>
            </w:r>
            <w:r w:rsidRPr="0053675D">
              <w:rPr>
                <w:rFonts w:ascii="仿宋_GB2312" w:hAnsi="仿宋_GB2312" w:cs="仿宋_GB2312" w:hint="eastAsia"/>
                <w:bCs/>
                <w:sz w:val="24"/>
                <w:szCs w:val="24"/>
              </w:rPr>
              <w:t>BIM造价应用场景。</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目标2、4</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9</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内容：第九章</w:t>
            </w:r>
            <w:r w:rsidRPr="0053675D">
              <w:rPr>
                <w:rFonts w:ascii="仿宋_GB2312" w:hAnsi="仿宋_GB2312" w:cs="仿宋_GB2312" w:hint="eastAsia"/>
                <w:bCs/>
                <w:sz w:val="24"/>
                <w:szCs w:val="24"/>
              </w:rPr>
              <w:t xml:space="preserve"> BIM模型造价应用实例</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重点：</w:t>
            </w:r>
            <w:r w:rsidRPr="0053675D">
              <w:rPr>
                <w:rFonts w:ascii="仿宋_GB2312" w:hAnsi="仿宋_GB2312" w:cs="仿宋_GB2312" w:hint="eastAsia"/>
                <w:bCs/>
                <w:sz w:val="24"/>
                <w:szCs w:val="24"/>
              </w:rPr>
              <w:t>BIM模型应用讲解实例</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w:t>
            </w:r>
            <w:r w:rsidRPr="0053675D">
              <w:rPr>
                <w:rFonts w:ascii="仿宋_GB2312" w:hAnsi="仿宋_GB2312" w:cs="仿宋_GB2312" w:hint="eastAsia"/>
                <w:bCs/>
                <w:sz w:val="24"/>
                <w:szCs w:val="24"/>
              </w:rPr>
              <w:t>BIM造价应用实训</w:t>
            </w:r>
          </w:p>
          <w:p w:rsidR="00AD1D5F" w:rsidRPr="0053675D" w:rsidRDefault="00AD1D5F" w:rsidP="00CD00D2">
            <w:pPr>
              <w:spacing w:line="360" w:lineRule="exact"/>
              <w:jc w:val="left"/>
              <w:rPr>
                <w:rFonts w:ascii="仿宋_GB2312" w:hAnsi="仿宋_GB2312" w:cs="仿宋_GB2312"/>
                <w:bCs/>
                <w:sz w:val="24"/>
                <w:szCs w:val="24"/>
              </w:rPr>
            </w:pP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1.了解</w:t>
            </w:r>
            <w:r w:rsidRPr="0053675D">
              <w:rPr>
                <w:rFonts w:ascii="仿宋_GB2312" w:hAnsi="仿宋_GB2312" w:cs="仿宋_GB2312" w:hint="eastAsia"/>
                <w:bCs/>
                <w:sz w:val="24"/>
                <w:szCs w:val="24"/>
              </w:rPr>
              <w:t>BIM建模规则及模型应用概述</w:t>
            </w:r>
            <w:r w:rsidRPr="0053675D">
              <w:rPr>
                <w:rFonts w:ascii="仿宋_GB2312" w:hAnsi="仿宋_GB2312" w:cs="仿宋_GB2312"/>
                <w:bCs/>
                <w:sz w:val="24"/>
                <w:szCs w:val="24"/>
              </w:rPr>
              <w:t>。</w:t>
            </w:r>
            <w:r w:rsidRPr="0053675D">
              <w:rPr>
                <w:rFonts w:ascii="仿宋_GB2312" w:hAnsi="仿宋_GB2312" w:cs="仿宋_GB2312" w:hint="eastAsia"/>
                <w:bCs/>
                <w:sz w:val="24"/>
                <w:szCs w:val="24"/>
              </w:rPr>
              <w:t xml:space="preserve"> </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 理解</w:t>
            </w:r>
            <w:r w:rsidRPr="0053675D">
              <w:rPr>
                <w:rFonts w:ascii="仿宋_GB2312" w:hAnsi="仿宋_GB2312" w:cs="仿宋_GB2312" w:hint="eastAsia"/>
                <w:bCs/>
                <w:sz w:val="24"/>
                <w:szCs w:val="24"/>
              </w:rPr>
              <w:t>BIM模型应用讲解实例</w:t>
            </w:r>
            <w:r w:rsidRPr="0053675D">
              <w:rPr>
                <w:rFonts w:ascii="仿宋_GB2312" w:hAnsi="仿宋_GB2312" w:cs="仿宋_GB2312"/>
                <w:bCs/>
                <w:sz w:val="24"/>
                <w:szCs w:val="24"/>
              </w:rPr>
              <w:t>。</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3.掌握</w:t>
            </w:r>
            <w:r w:rsidRPr="0053675D">
              <w:rPr>
                <w:rFonts w:ascii="仿宋_GB2312" w:hAnsi="仿宋_GB2312" w:cs="仿宋_GB2312" w:hint="eastAsia"/>
                <w:bCs/>
                <w:sz w:val="24"/>
                <w:szCs w:val="24"/>
              </w:rPr>
              <w:t>BIM模型造价应用实训。</w:t>
            </w:r>
            <w:r w:rsidRPr="0053675D">
              <w:rPr>
                <w:rFonts w:ascii="仿宋_GB2312" w:hAnsi="仿宋_GB2312" w:cs="仿宋_GB2312"/>
                <w:bCs/>
                <w:sz w:val="24"/>
                <w:szCs w:val="24"/>
              </w:rPr>
              <w:t xml:space="preserve"> </w:t>
            </w: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互动讨论</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目标2、4</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10</w:t>
            </w:r>
          </w:p>
        </w:tc>
        <w:tc>
          <w:tcPr>
            <w:tcW w:w="1870"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内容：第</w:t>
            </w:r>
            <w:r w:rsidRPr="0053675D">
              <w:rPr>
                <w:rFonts w:ascii="仿宋_GB2312" w:hAnsi="仿宋_GB2312" w:cs="仿宋_GB2312" w:hint="eastAsia"/>
                <w:bCs/>
                <w:sz w:val="24"/>
                <w:szCs w:val="24"/>
              </w:rPr>
              <w:t>十</w:t>
            </w:r>
            <w:r w:rsidRPr="0053675D">
              <w:rPr>
                <w:rFonts w:ascii="仿宋_GB2312" w:hAnsi="仿宋_GB2312" w:cs="仿宋_GB2312"/>
                <w:bCs/>
                <w:sz w:val="24"/>
                <w:szCs w:val="24"/>
              </w:rPr>
              <w:t>章</w:t>
            </w:r>
            <w:r w:rsidRPr="0053675D">
              <w:rPr>
                <w:rFonts w:ascii="仿宋_GB2312" w:hAnsi="仿宋_GB2312" w:cs="仿宋_GB2312" w:hint="eastAsia"/>
                <w:bCs/>
                <w:sz w:val="24"/>
                <w:szCs w:val="24"/>
              </w:rPr>
              <w:t xml:space="preserve"> BIM数据指标应用实例</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 xml:space="preserve">重点： </w:t>
            </w:r>
            <w:r w:rsidRPr="0053675D">
              <w:rPr>
                <w:rFonts w:ascii="仿宋_GB2312" w:hAnsi="仿宋_GB2312" w:cs="仿宋_GB2312" w:hint="eastAsia"/>
                <w:bCs/>
                <w:sz w:val="24"/>
                <w:szCs w:val="24"/>
              </w:rPr>
              <w:t>BIM数据指标应用原理</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难点：</w:t>
            </w:r>
            <w:r w:rsidRPr="0053675D">
              <w:rPr>
                <w:rFonts w:ascii="仿宋_GB2312" w:hAnsi="仿宋_GB2312" w:cs="仿宋_GB2312" w:hint="eastAsia"/>
                <w:bCs/>
                <w:sz w:val="24"/>
                <w:szCs w:val="24"/>
              </w:rPr>
              <w:t xml:space="preserve"> BIM数据指标实际应用</w:t>
            </w:r>
          </w:p>
          <w:p w:rsidR="00AD1D5F" w:rsidRPr="0053675D" w:rsidRDefault="00AD1D5F" w:rsidP="00CD00D2">
            <w:pPr>
              <w:spacing w:line="360" w:lineRule="exact"/>
              <w:jc w:val="left"/>
              <w:rPr>
                <w:rFonts w:ascii="仿宋_GB2312" w:hAnsi="仿宋_GB2312" w:cs="仿宋_GB2312"/>
                <w:bCs/>
                <w:sz w:val="24"/>
                <w:szCs w:val="24"/>
              </w:rPr>
            </w:pPr>
          </w:p>
        </w:tc>
        <w:tc>
          <w:tcPr>
            <w:tcW w:w="1295"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1.了解</w:t>
            </w:r>
            <w:r w:rsidRPr="0053675D">
              <w:rPr>
                <w:rFonts w:ascii="仿宋_GB2312" w:hAnsi="仿宋_GB2312" w:cs="仿宋_GB2312" w:hint="eastAsia"/>
                <w:bCs/>
                <w:sz w:val="24"/>
                <w:szCs w:val="24"/>
              </w:rPr>
              <w:t>BIM模型造价应用及数据指标应用现状</w:t>
            </w:r>
            <w:r w:rsidRPr="0053675D">
              <w:rPr>
                <w:rFonts w:ascii="仿宋_GB2312" w:hAnsi="仿宋_GB2312" w:cs="仿宋_GB2312"/>
                <w:bCs/>
                <w:sz w:val="24"/>
                <w:szCs w:val="24"/>
              </w:rPr>
              <w:t>。</w:t>
            </w:r>
            <w:r w:rsidRPr="0053675D">
              <w:rPr>
                <w:rFonts w:ascii="仿宋_GB2312" w:hAnsi="仿宋_GB2312" w:cs="仿宋_GB2312" w:hint="eastAsia"/>
                <w:bCs/>
                <w:sz w:val="24"/>
                <w:szCs w:val="24"/>
              </w:rPr>
              <w:t xml:space="preserve"> </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2. 理解</w:t>
            </w:r>
            <w:r w:rsidRPr="0053675D">
              <w:rPr>
                <w:rFonts w:ascii="仿宋_GB2312" w:hAnsi="仿宋_GB2312" w:cs="仿宋_GB2312" w:hint="eastAsia"/>
                <w:bCs/>
                <w:sz w:val="24"/>
                <w:szCs w:val="24"/>
              </w:rPr>
              <w:t>BIM数据指标应用原理</w:t>
            </w:r>
            <w:r w:rsidRPr="0053675D">
              <w:rPr>
                <w:rFonts w:ascii="仿宋_GB2312" w:hAnsi="仿宋_GB2312" w:cs="仿宋_GB2312"/>
                <w:bCs/>
                <w:sz w:val="24"/>
                <w:szCs w:val="24"/>
              </w:rPr>
              <w:t>。</w:t>
            </w:r>
          </w:p>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3.掌握</w:t>
            </w:r>
            <w:r w:rsidRPr="0053675D">
              <w:rPr>
                <w:rFonts w:ascii="仿宋_GB2312" w:hAnsi="仿宋_GB2312" w:cs="仿宋_GB2312" w:hint="eastAsia"/>
                <w:bCs/>
                <w:sz w:val="24"/>
                <w:szCs w:val="24"/>
              </w:rPr>
              <w:t>BIM模型造价应用及数据指标应用。</w:t>
            </w:r>
            <w:r w:rsidRPr="0053675D">
              <w:rPr>
                <w:rFonts w:ascii="仿宋_GB2312" w:hAnsi="仿宋_GB2312" w:cs="仿宋_GB2312"/>
                <w:bCs/>
                <w:sz w:val="24"/>
                <w:szCs w:val="24"/>
              </w:rPr>
              <w:t xml:space="preserve"> </w:t>
            </w:r>
          </w:p>
          <w:p w:rsidR="00AD1D5F" w:rsidRPr="0053675D" w:rsidRDefault="00AD1D5F" w:rsidP="00CD00D2">
            <w:pPr>
              <w:spacing w:line="360" w:lineRule="exact"/>
              <w:jc w:val="left"/>
              <w:rPr>
                <w:rFonts w:ascii="仿宋_GB2312" w:hAnsi="仿宋_GB2312" w:cs="仿宋_GB2312"/>
                <w:bCs/>
                <w:sz w:val="24"/>
                <w:szCs w:val="24"/>
              </w:rPr>
            </w:pPr>
          </w:p>
        </w:tc>
        <w:tc>
          <w:tcPr>
            <w:tcW w:w="575" w:type="pct"/>
            <w:tcBorders>
              <w:top w:val="single" w:sz="4" w:space="0" w:color="000000"/>
              <w:left w:val="single" w:sz="4" w:space="0" w:color="auto"/>
              <w:bottom w:val="single" w:sz="4" w:space="0" w:color="000000"/>
              <w:right w:val="single" w:sz="4" w:space="0" w:color="000000"/>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课堂授课</w:t>
            </w:r>
          </w:p>
        </w:tc>
        <w:tc>
          <w:tcPr>
            <w:tcW w:w="359"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558"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目标2、3</w:t>
            </w:r>
          </w:p>
        </w:tc>
      </w:tr>
    </w:tbl>
    <w:p w:rsidR="00AD1D5F" w:rsidRPr="0053675D" w:rsidRDefault="00AD1D5F" w:rsidP="00AD1D5F">
      <w:pPr>
        <w:keepNext/>
        <w:spacing w:beforeLines="100" w:before="312" w:afterLines="50" w:after="156" w:line="360" w:lineRule="exact"/>
        <w:outlineLvl w:val="0"/>
        <w:rPr>
          <w:rFonts w:ascii="仿宋" w:eastAsia="仿宋" w:hAnsi="仿宋"/>
          <w:b/>
          <w:sz w:val="28"/>
          <w:szCs w:val="28"/>
        </w:rPr>
      </w:pPr>
      <w:r w:rsidRPr="0053675D">
        <w:rPr>
          <w:rFonts w:ascii="仿宋" w:eastAsia="仿宋" w:hAnsi="仿宋"/>
          <w:b/>
          <w:sz w:val="28"/>
          <w:szCs w:val="28"/>
        </w:rPr>
        <w:t>课内实践教学内容及要求</w:t>
      </w:r>
    </w:p>
    <w:p w:rsidR="00AD1D5F" w:rsidRPr="0053675D" w:rsidRDefault="00AD1D5F" w:rsidP="00AD1D5F">
      <w:pPr>
        <w:adjustRightInd w:val="0"/>
        <w:snapToGrid w:val="0"/>
        <w:spacing w:line="360" w:lineRule="exact"/>
        <w:rPr>
          <w:rFonts w:ascii="Times New Roman" w:hAnsi="Times New Roman"/>
          <w:sz w:val="28"/>
          <w:szCs w:val="28"/>
        </w:rPr>
      </w:pPr>
      <w:r w:rsidRPr="0053675D">
        <w:rPr>
          <w:rFonts w:ascii="Times New Roman" w:hAnsi="Times New Roman"/>
          <w:sz w:val="28"/>
          <w:szCs w:val="28"/>
        </w:rPr>
        <w:t>无</w:t>
      </w:r>
    </w:p>
    <w:p w:rsidR="00AD1D5F" w:rsidRPr="0053675D" w:rsidRDefault="00AD1D5F" w:rsidP="00AD1D5F">
      <w:pPr>
        <w:keepNext/>
        <w:spacing w:beforeLines="100" w:before="312" w:afterLines="50" w:after="156" w:line="360" w:lineRule="exact"/>
        <w:outlineLvl w:val="0"/>
        <w:rPr>
          <w:rFonts w:ascii="仿宋" w:eastAsia="仿宋" w:hAnsi="仿宋"/>
          <w:b/>
          <w:sz w:val="28"/>
          <w:szCs w:val="28"/>
        </w:rPr>
      </w:pPr>
      <w:r w:rsidRPr="0053675D">
        <w:rPr>
          <w:rFonts w:ascii="仿宋" w:eastAsia="仿宋" w:hAnsi="仿宋"/>
          <w:b/>
          <w:sz w:val="28"/>
          <w:szCs w:val="28"/>
        </w:rPr>
        <w:t>学时分配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811"/>
        <w:gridCol w:w="813"/>
        <w:gridCol w:w="811"/>
        <w:gridCol w:w="813"/>
        <w:gridCol w:w="811"/>
        <w:gridCol w:w="813"/>
        <w:gridCol w:w="728"/>
      </w:tblGrid>
      <w:tr w:rsidR="00AD1D5F" w:rsidTr="00CD00D2">
        <w:trPr>
          <w:trHeight w:val="454"/>
          <w:jc w:val="center"/>
        </w:trPr>
        <w:tc>
          <w:tcPr>
            <w:tcW w:w="1624" w:type="pct"/>
            <w:vMerge w:val="restart"/>
            <w:vAlign w:val="center"/>
          </w:tcPr>
          <w:p w:rsidR="00AD1D5F" w:rsidRPr="0053675D" w:rsidRDefault="00AD1D5F"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章  节</w:t>
            </w:r>
          </w:p>
        </w:tc>
        <w:tc>
          <w:tcPr>
            <w:tcW w:w="2937" w:type="pct"/>
            <w:gridSpan w:val="6"/>
            <w:vAlign w:val="center"/>
          </w:tcPr>
          <w:p w:rsidR="00AD1D5F" w:rsidRPr="0053675D" w:rsidRDefault="00AD1D5F"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学 时 分 配</w:t>
            </w:r>
          </w:p>
        </w:tc>
        <w:tc>
          <w:tcPr>
            <w:tcW w:w="439" w:type="pct"/>
            <w:vMerge w:val="restart"/>
            <w:vAlign w:val="center"/>
          </w:tcPr>
          <w:p w:rsidR="00AD1D5F" w:rsidRPr="0053675D" w:rsidRDefault="00AD1D5F"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合  计</w:t>
            </w:r>
          </w:p>
        </w:tc>
      </w:tr>
      <w:tr w:rsidR="00AD1D5F" w:rsidTr="00CD00D2">
        <w:trPr>
          <w:trHeight w:val="454"/>
          <w:jc w:val="center"/>
        </w:trPr>
        <w:tc>
          <w:tcPr>
            <w:tcW w:w="1624" w:type="pct"/>
            <w:vMerge/>
            <w:vAlign w:val="center"/>
          </w:tcPr>
          <w:p w:rsidR="00AD1D5F" w:rsidRDefault="00AD1D5F" w:rsidP="00CD00D2">
            <w:pPr>
              <w:adjustRightInd w:val="0"/>
              <w:snapToGrid w:val="0"/>
              <w:spacing w:line="360" w:lineRule="exact"/>
              <w:jc w:val="center"/>
              <w:rPr>
                <w:rFonts w:ascii="Times New Roman" w:hAnsi="Times New Roman"/>
                <w:b/>
              </w:rPr>
            </w:pPr>
          </w:p>
        </w:tc>
        <w:tc>
          <w:tcPr>
            <w:tcW w:w="489" w:type="pct"/>
            <w:vAlign w:val="center"/>
          </w:tcPr>
          <w:p w:rsidR="00AD1D5F" w:rsidRPr="0053675D" w:rsidRDefault="00AD1D5F"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讲  课</w:t>
            </w:r>
          </w:p>
        </w:tc>
        <w:tc>
          <w:tcPr>
            <w:tcW w:w="490" w:type="pct"/>
            <w:vAlign w:val="center"/>
          </w:tcPr>
          <w:p w:rsidR="00AD1D5F" w:rsidRPr="0053675D" w:rsidRDefault="00AD1D5F"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实验课</w:t>
            </w:r>
          </w:p>
        </w:tc>
        <w:tc>
          <w:tcPr>
            <w:tcW w:w="489" w:type="pct"/>
            <w:vAlign w:val="center"/>
          </w:tcPr>
          <w:p w:rsidR="00AD1D5F" w:rsidRPr="0053675D" w:rsidRDefault="00AD1D5F"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上机课</w:t>
            </w:r>
          </w:p>
        </w:tc>
        <w:tc>
          <w:tcPr>
            <w:tcW w:w="490" w:type="pct"/>
            <w:vAlign w:val="center"/>
          </w:tcPr>
          <w:p w:rsidR="00AD1D5F" w:rsidRPr="0053675D" w:rsidRDefault="00AD1D5F"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讨论课</w:t>
            </w:r>
          </w:p>
        </w:tc>
        <w:tc>
          <w:tcPr>
            <w:tcW w:w="489" w:type="pct"/>
            <w:vAlign w:val="center"/>
          </w:tcPr>
          <w:p w:rsidR="00AD1D5F" w:rsidRPr="0053675D" w:rsidRDefault="00AD1D5F"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习题课</w:t>
            </w:r>
          </w:p>
        </w:tc>
        <w:tc>
          <w:tcPr>
            <w:tcW w:w="490" w:type="pct"/>
            <w:vAlign w:val="center"/>
          </w:tcPr>
          <w:p w:rsidR="00AD1D5F" w:rsidRPr="0053675D" w:rsidRDefault="00AD1D5F" w:rsidP="0053675D">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其  它</w:t>
            </w:r>
          </w:p>
        </w:tc>
        <w:tc>
          <w:tcPr>
            <w:tcW w:w="439" w:type="pct"/>
            <w:vMerge/>
            <w:vAlign w:val="center"/>
          </w:tcPr>
          <w:p w:rsidR="00AD1D5F" w:rsidRDefault="00AD1D5F" w:rsidP="00CD00D2">
            <w:pPr>
              <w:adjustRightInd w:val="0"/>
              <w:snapToGrid w:val="0"/>
              <w:spacing w:line="360" w:lineRule="exact"/>
              <w:jc w:val="center"/>
              <w:rPr>
                <w:rFonts w:ascii="Times New Roman" w:hAnsi="Times New Roman"/>
              </w:rPr>
            </w:pPr>
          </w:p>
        </w:tc>
      </w:tr>
      <w:tr w:rsidR="00AD1D5F" w:rsidTr="00CD00D2">
        <w:trPr>
          <w:trHeight w:val="454"/>
          <w:jc w:val="center"/>
        </w:trPr>
        <w:tc>
          <w:tcPr>
            <w:tcW w:w="1624"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第一章</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r>
      <w:tr w:rsidR="00AD1D5F" w:rsidTr="00CD00D2">
        <w:trPr>
          <w:trHeight w:val="454"/>
          <w:jc w:val="center"/>
        </w:trPr>
        <w:tc>
          <w:tcPr>
            <w:tcW w:w="1624"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第二章</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r>
      <w:tr w:rsidR="00AD1D5F" w:rsidTr="00CD00D2">
        <w:trPr>
          <w:trHeight w:val="454"/>
          <w:jc w:val="center"/>
        </w:trPr>
        <w:tc>
          <w:tcPr>
            <w:tcW w:w="1624"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第三章</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r>
      <w:tr w:rsidR="00AD1D5F" w:rsidTr="00CD00D2">
        <w:trPr>
          <w:trHeight w:val="454"/>
          <w:jc w:val="center"/>
        </w:trPr>
        <w:tc>
          <w:tcPr>
            <w:tcW w:w="1624"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第四章</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w:t>
            </w: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r>
      <w:tr w:rsidR="00AD1D5F" w:rsidTr="00CD00D2">
        <w:trPr>
          <w:trHeight w:val="454"/>
          <w:jc w:val="center"/>
        </w:trPr>
        <w:tc>
          <w:tcPr>
            <w:tcW w:w="1624"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第五章</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r>
      <w:tr w:rsidR="00AD1D5F" w:rsidTr="00CD00D2">
        <w:trPr>
          <w:trHeight w:val="454"/>
          <w:jc w:val="center"/>
        </w:trPr>
        <w:tc>
          <w:tcPr>
            <w:tcW w:w="1624"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第六章</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w:t>
            </w: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r>
      <w:tr w:rsidR="00AD1D5F" w:rsidTr="00CD00D2">
        <w:trPr>
          <w:trHeight w:val="454"/>
          <w:jc w:val="center"/>
        </w:trPr>
        <w:tc>
          <w:tcPr>
            <w:tcW w:w="1624"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lastRenderedPageBreak/>
              <w:t>第七章</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r>
      <w:tr w:rsidR="00AD1D5F" w:rsidTr="00CD00D2">
        <w:trPr>
          <w:trHeight w:val="454"/>
          <w:jc w:val="center"/>
        </w:trPr>
        <w:tc>
          <w:tcPr>
            <w:tcW w:w="1624"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第八章</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r>
      <w:tr w:rsidR="00AD1D5F" w:rsidTr="00CD00D2">
        <w:trPr>
          <w:trHeight w:val="454"/>
          <w:jc w:val="center"/>
        </w:trPr>
        <w:tc>
          <w:tcPr>
            <w:tcW w:w="1624"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第九章</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r>
      <w:tr w:rsidR="00AD1D5F" w:rsidTr="00CD00D2">
        <w:trPr>
          <w:trHeight w:val="454"/>
          <w:jc w:val="center"/>
        </w:trPr>
        <w:tc>
          <w:tcPr>
            <w:tcW w:w="1624"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第</w:t>
            </w:r>
            <w:r w:rsidRPr="0053675D">
              <w:rPr>
                <w:rFonts w:ascii="仿宋_GB2312" w:hAnsi="仿宋_GB2312" w:cs="仿宋_GB2312" w:hint="eastAsia"/>
                <w:bCs/>
                <w:sz w:val="24"/>
                <w:szCs w:val="24"/>
              </w:rPr>
              <w:t>十</w:t>
            </w:r>
            <w:r w:rsidRPr="0053675D">
              <w:rPr>
                <w:rFonts w:ascii="仿宋_GB2312" w:hAnsi="仿宋_GB2312" w:cs="仿宋_GB2312"/>
                <w:bCs/>
                <w:sz w:val="24"/>
                <w:szCs w:val="24"/>
              </w:rPr>
              <w:t>章</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r>
      <w:tr w:rsidR="00AD1D5F" w:rsidTr="00CD00D2">
        <w:trPr>
          <w:trHeight w:val="454"/>
          <w:jc w:val="center"/>
        </w:trPr>
        <w:tc>
          <w:tcPr>
            <w:tcW w:w="1624"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共  计</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r w:rsidRPr="0053675D">
              <w:rPr>
                <w:rFonts w:ascii="仿宋_GB2312" w:hAnsi="仿宋_GB2312" w:cs="仿宋_GB2312" w:hint="eastAsia"/>
                <w:bCs/>
                <w:sz w:val="24"/>
                <w:szCs w:val="24"/>
              </w:rPr>
              <w:t>6</w:t>
            </w: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8</w:t>
            </w:r>
          </w:p>
        </w:tc>
        <w:tc>
          <w:tcPr>
            <w:tcW w:w="489"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90" w:type="pct"/>
            <w:vAlign w:val="center"/>
          </w:tcPr>
          <w:p w:rsidR="00AD1D5F" w:rsidRPr="0053675D" w:rsidRDefault="00AD1D5F" w:rsidP="0053675D">
            <w:pPr>
              <w:spacing w:line="360" w:lineRule="exact"/>
              <w:jc w:val="center"/>
              <w:rPr>
                <w:rFonts w:ascii="仿宋_GB2312" w:hAnsi="仿宋_GB2312" w:cs="仿宋_GB2312"/>
                <w:bCs/>
                <w:sz w:val="24"/>
                <w:szCs w:val="24"/>
              </w:rPr>
            </w:pPr>
          </w:p>
        </w:tc>
        <w:tc>
          <w:tcPr>
            <w:tcW w:w="439" w:type="pct"/>
            <w:vAlign w:val="center"/>
          </w:tcPr>
          <w:p w:rsidR="00AD1D5F" w:rsidRPr="0053675D" w:rsidRDefault="00AD1D5F" w:rsidP="0053675D">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24</w:t>
            </w:r>
          </w:p>
        </w:tc>
      </w:tr>
    </w:tbl>
    <w:p w:rsidR="00AD1D5F" w:rsidRPr="0053675D" w:rsidRDefault="00AD1D5F" w:rsidP="00AD1D5F">
      <w:pPr>
        <w:keepNext/>
        <w:spacing w:beforeLines="100" w:before="312" w:afterLines="50" w:after="156" w:line="360" w:lineRule="exact"/>
        <w:outlineLvl w:val="0"/>
        <w:rPr>
          <w:rFonts w:ascii="仿宋" w:eastAsia="仿宋" w:hAnsi="仿宋"/>
          <w:b/>
          <w:sz w:val="28"/>
          <w:szCs w:val="28"/>
        </w:rPr>
      </w:pPr>
      <w:r w:rsidRPr="0053675D">
        <w:rPr>
          <w:rFonts w:ascii="仿宋" w:eastAsia="仿宋" w:hAnsi="仿宋"/>
          <w:b/>
          <w:sz w:val="28"/>
          <w:szCs w:val="28"/>
        </w:rPr>
        <w:t>课程思政教学设计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0"/>
        <w:gridCol w:w="1930"/>
        <w:gridCol w:w="3217"/>
      </w:tblGrid>
      <w:tr w:rsidR="00AD1D5F" w:rsidTr="00CD00D2">
        <w:trPr>
          <w:trHeight w:val="454"/>
          <w:jc w:val="center"/>
        </w:trPr>
        <w:tc>
          <w:tcPr>
            <w:tcW w:w="343" w:type="pct"/>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序号</w:t>
            </w:r>
          </w:p>
        </w:tc>
        <w:tc>
          <w:tcPr>
            <w:tcW w:w="1555" w:type="pct"/>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课程思政教学目标</w:t>
            </w:r>
          </w:p>
        </w:tc>
        <w:tc>
          <w:tcPr>
            <w:tcW w:w="1163" w:type="pct"/>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授课章节</w:t>
            </w:r>
          </w:p>
        </w:tc>
        <w:tc>
          <w:tcPr>
            <w:tcW w:w="1939" w:type="pct"/>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课程思政融入点（至少5处）</w:t>
            </w:r>
          </w:p>
        </w:tc>
      </w:tr>
      <w:tr w:rsidR="00AD1D5F" w:rsidTr="00CD00D2">
        <w:trPr>
          <w:trHeight w:val="454"/>
          <w:jc w:val="center"/>
        </w:trPr>
        <w:tc>
          <w:tcPr>
            <w:tcW w:w="343"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1555"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正确政治导向</w:t>
            </w:r>
          </w:p>
        </w:tc>
        <w:tc>
          <w:tcPr>
            <w:tcW w:w="1163"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第一~二章</w:t>
            </w:r>
          </w:p>
        </w:tc>
        <w:tc>
          <w:tcPr>
            <w:tcW w:w="1939" w:type="pct"/>
            <w:vAlign w:val="center"/>
          </w:tcPr>
          <w:p w:rsidR="00AD1D5F" w:rsidRPr="0053675D" w:rsidRDefault="00AD1D5F" w:rsidP="00CD00D2">
            <w:pPr>
              <w:spacing w:line="360" w:lineRule="exact"/>
              <w:ind w:firstLineChars="200" w:firstLine="480"/>
              <w:jc w:val="left"/>
              <w:rPr>
                <w:rFonts w:ascii="仿宋_GB2312" w:hAnsi="仿宋_GB2312" w:cs="仿宋_GB2312"/>
                <w:bCs/>
                <w:sz w:val="24"/>
                <w:szCs w:val="24"/>
              </w:rPr>
            </w:pPr>
            <w:r w:rsidRPr="0053675D">
              <w:rPr>
                <w:rFonts w:ascii="仿宋_GB2312" w:hAnsi="仿宋_GB2312" w:cs="仿宋_GB2312" w:hint="eastAsia"/>
                <w:bCs/>
                <w:sz w:val="24"/>
                <w:szCs w:val="24"/>
              </w:rPr>
              <w:t>BIM技术对建设工程的全过程造价管理、对建设项目各参与方都会产生巨大的影响</w:t>
            </w:r>
          </w:p>
        </w:tc>
      </w:tr>
      <w:tr w:rsidR="00AD1D5F" w:rsidTr="00CD00D2">
        <w:trPr>
          <w:trHeight w:val="454"/>
          <w:jc w:val="center"/>
        </w:trPr>
        <w:tc>
          <w:tcPr>
            <w:tcW w:w="343"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1555"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社会主义核心价值观教育</w:t>
            </w:r>
          </w:p>
        </w:tc>
        <w:tc>
          <w:tcPr>
            <w:tcW w:w="1163"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第三章</w:t>
            </w:r>
          </w:p>
        </w:tc>
        <w:tc>
          <w:tcPr>
            <w:tcW w:w="1939" w:type="pct"/>
            <w:vAlign w:val="center"/>
          </w:tcPr>
          <w:p w:rsidR="00AD1D5F" w:rsidRPr="0053675D" w:rsidRDefault="00AD1D5F" w:rsidP="00CD00D2">
            <w:pPr>
              <w:spacing w:line="360" w:lineRule="exact"/>
              <w:ind w:firstLineChars="200" w:firstLine="480"/>
              <w:jc w:val="left"/>
              <w:rPr>
                <w:rFonts w:ascii="仿宋_GB2312" w:hAnsi="仿宋_GB2312" w:cs="仿宋_GB2312"/>
                <w:bCs/>
                <w:sz w:val="24"/>
                <w:szCs w:val="24"/>
              </w:rPr>
            </w:pPr>
            <w:r w:rsidRPr="0053675D">
              <w:rPr>
                <w:rFonts w:ascii="仿宋_GB2312" w:hAnsi="仿宋_GB2312" w:cs="仿宋_GB2312" w:hint="eastAsia"/>
                <w:bCs/>
                <w:sz w:val="24"/>
                <w:szCs w:val="24"/>
              </w:rPr>
              <w:t>能够快速且准确地计算工程中钢筋的工程量，对工程的施工及造价管理有着巨大的帮助</w:t>
            </w:r>
          </w:p>
        </w:tc>
      </w:tr>
      <w:tr w:rsidR="00AD1D5F" w:rsidTr="00CD00D2">
        <w:trPr>
          <w:trHeight w:val="454"/>
          <w:jc w:val="center"/>
        </w:trPr>
        <w:tc>
          <w:tcPr>
            <w:tcW w:w="343"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c>
          <w:tcPr>
            <w:tcW w:w="1555"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远大理想塑造</w:t>
            </w:r>
          </w:p>
        </w:tc>
        <w:tc>
          <w:tcPr>
            <w:tcW w:w="1163"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第一~四章</w:t>
            </w:r>
          </w:p>
        </w:tc>
        <w:tc>
          <w:tcPr>
            <w:tcW w:w="1939" w:type="pct"/>
            <w:vAlign w:val="center"/>
          </w:tcPr>
          <w:p w:rsidR="00AD1D5F" w:rsidRPr="0053675D" w:rsidRDefault="00AD1D5F" w:rsidP="00CD00D2">
            <w:pPr>
              <w:spacing w:line="360" w:lineRule="exact"/>
              <w:ind w:firstLineChars="200" w:firstLine="480"/>
              <w:jc w:val="left"/>
              <w:rPr>
                <w:rFonts w:ascii="仿宋_GB2312" w:hAnsi="仿宋_GB2312" w:cs="仿宋_GB2312"/>
                <w:bCs/>
                <w:sz w:val="24"/>
                <w:szCs w:val="24"/>
              </w:rPr>
            </w:pPr>
            <w:r w:rsidRPr="0053675D">
              <w:rPr>
                <w:rFonts w:ascii="仿宋_GB2312" w:hAnsi="仿宋_GB2312" w:cs="仿宋_GB2312" w:hint="eastAsia"/>
                <w:bCs/>
                <w:sz w:val="24"/>
                <w:szCs w:val="24"/>
              </w:rPr>
              <w:t>建设项目实施过程中，利用BIM进行土建算量，可以帮助管理人员大量地减少繁重重复的计算工作，从极大地提高工作效率</w:t>
            </w:r>
          </w:p>
        </w:tc>
      </w:tr>
      <w:tr w:rsidR="00AD1D5F" w:rsidTr="00CD00D2">
        <w:trPr>
          <w:trHeight w:val="454"/>
          <w:jc w:val="center"/>
        </w:trPr>
        <w:tc>
          <w:tcPr>
            <w:tcW w:w="343"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w:t>
            </w:r>
          </w:p>
        </w:tc>
        <w:tc>
          <w:tcPr>
            <w:tcW w:w="1555"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健康心态培育</w:t>
            </w:r>
          </w:p>
        </w:tc>
        <w:tc>
          <w:tcPr>
            <w:tcW w:w="1163"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第五~八章</w:t>
            </w:r>
          </w:p>
        </w:tc>
        <w:tc>
          <w:tcPr>
            <w:tcW w:w="1939" w:type="pct"/>
            <w:vAlign w:val="center"/>
          </w:tcPr>
          <w:p w:rsidR="00AD1D5F" w:rsidRPr="0053675D" w:rsidRDefault="00AD1D5F" w:rsidP="00CD00D2">
            <w:pPr>
              <w:spacing w:line="360" w:lineRule="exact"/>
              <w:ind w:firstLineChars="200" w:firstLine="480"/>
              <w:jc w:val="left"/>
              <w:rPr>
                <w:rFonts w:ascii="仿宋_GB2312" w:hAnsi="仿宋_GB2312" w:cs="仿宋_GB2312"/>
                <w:bCs/>
                <w:sz w:val="24"/>
                <w:szCs w:val="24"/>
              </w:rPr>
            </w:pPr>
            <w:r w:rsidRPr="0053675D">
              <w:rPr>
                <w:rFonts w:ascii="仿宋_GB2312" w:hAnsi="仿宋_GB2312" w:cs="仿宋_GB2312" w:hint="eastAsia"/>
                <w:bCs/>
                <w:sz w:val="24"/>
                <w:szCs w:val="24"/>
              </w:rPr>
              <w:t>随着建筑领域相关技术尤其是工程管理软件的快速进步，工程管理人员需要具有不断学习并运用新知识的动力与能力</w:t>
            </w:r>
          </w:p>
        </w:tc>
      </w:tr>
      <w:tr w:rsidR="00AD1D5F" w:rsidTr="00CD00D2">
        <w:trPr>
          <w:trHeight w:val="454"/>
          <w:jc w:val="center"/>
        </w:trPr>
        <w:tc>
          <w:tcPr>
            <w:tcW w:w="343"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5</w:t>
            </w:r>
          </w:p>
        </w:tc>
        <w:tc>
          <w:tcPr>
            <w:tcW w:w="1555"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道德品质培养</w:t>
            </w:r>
          </w:p>
        </w:tc>
        <w:tc>
          <w:tcPr>
            <w:tcW w:w="1163" w:type="pct"/>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第五~九章</w:t>
            </w:r>
          </w:p>
        </w:tc>
        <w:tc>
          <w:tcPr>
            <w:tcW w:w="1939" w:type="pct"/>
            <w:vAlign w:val="center"/>
          </w:tcPr>
          <w:p w:rsidR="00AD1D5F" w:rsidRPr="0053675D" w:rsidRDefault="00AD1D5F" w:rsidP="00CD00D2">
            <w:pPr>
              <w:spacing w:line="360" w:lineRule="exact"/>
              <w:ind w:firstLineChars="200" w:firstLine="480"/>
              <w:jc w:val="left"/>
              <w:rPr>
                <w:rFonts w:ascii="仿宋_GB2312" w:hAnsi="仿宋_GB2312" w:cs="仿宋_GB2312"/>
                <w:bCs/>
                <w:sz w:val="24"/>
                <w:szCs w:val="24"/>
              </w:rPr>
            </w:pPr>
            <w:r w:rsidRPr="0053675D">
              <w:rPr>
                <w:rFonts w:ascii="仿宋_GB2312" w:hAnsi="仿宋_GB2312" w:cs="仿宋_GB2312" w:hint="eastAsia"/>
                <w:bCs/>
                <w:sz w:val="24"/>
                <w:szCs w:val="24"/>
              </w:rPr>
              <w:t>高效优质的工程管理工作离不开先进的管理技术手段</w:t>
            </w:r>
          </w:p>
        </w:tc>
      </w:tr>
    </w:tbl>
    <w:p w:rsidR="0053675D" w:rsidRDefault="0053675D" w:rsidP="0053675D">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五、课程考核方式与成绩评定</w:t>
      </w:r>
    </w:p>
    <w:p w:rsidR="00AD1D5F" w:rsidRPr="0053675D" w:rsidRDefault="00AD1D5F"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（1）考核方式</w:t>
      </w:r>
    </w:p>
    <w:p w:rsidR="00AD1D5F" w:rsidRPr="0053675D" w:rsidRDefault="00AD1D5F"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本课程考核方式为考试，其中期末考核方式为标准答案考试，过程</w:t>
      </w:r>
      <w:r w:rsidRPr="0053675D">
        <w:rPr>
          <w:rFonts w:ascii="仿宋_GB2312" w:hAnsi="仿宋_GB2312" w:cs="仿宋_GB2312"/>
          <w:bCs/>
          <w:sz w:val="28"/>
          <w:szCs w:val="28"/>
        </w:rPr>
        <w:lastRenderedPageBreak/>
        <w:t>考核方式为课堂出勤、课堂讨论展示、作业完成情况等。</w:t>
      </w:r>
    </w:p>
    <w:p w:rsidR="00AD1D5F" w:rsidRPr="0053675D" w:rsidRDefault="00AD1D5F"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（2）成绩评定</w:t>
      </w:r>
    </w:p>
    <w:tbl>
      <w:tblPr>
        <w:tblW w:w="40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881"/>
        <w:gridCol w:w="672"/>
        <w:gridCol w:w="672"/>
        <w:gridCol w:w="672"/>
        <w:gridCol w:w="672"/>
        <w:gridCol w:w="672"/>
        <w:gridCol w:w="677"/>
        <w:gridCol w:w="656"/>
        <w:gridCol w:w="667"/>
      </w:tblGrid>
      <w:tr w:rsidR="00AD1D5F" w:rsidTr="00CD00D2">
        <w:trPr>
          <w:trHeight w:val="454"/>
          <w:jc w:val="center"/>
        </w:trPr>
        <w:tc>
          <w:tcPr>
            <w:tcW w:w="396" w:type="pct"/>
            <w:vMerge w:val="restart"/>
            <w:tcBorders>
              <w:top w:val="single" w:sz="4" w:space="0" w:color="000000"/>
              <w:left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序号</w:t>
            </w:r>
          </w:p>
        </w:tc>
        <w:tc>
          <w:tcPr>
            <w:tcW w:w="649" w:type="pct"/>
            <w:vMerge w:val="restart"/>
            <w:tcBorders>
              <w:top w:val="single" w:sz="4" w:space="0" w:color="000000"/>
              <w:left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课程</w:t>
            </w:r>
          </w:p>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目标</w:t>
            </w:r>
          </w:p>
        </w:tc>
        <w:tc>
          <w:tcPr>
            <w:tcW w:w="3956" w:type="pct"/>
            <w:gridSpan w:val="8"/>
            <w:tcBorders>
              <w:top w:val="single" w:sz="4" w:space="0" w:color="000000"/>
              <w:left w:val="single" w:sz="4" w:space="0" w:color="auto"/>
              <w:bottom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考核方式及成绩比例（%）</w:t>
            </w:r>
          </w:p>
        </w:tc>
      </w:tr>
      <w:tr w:rsidR="00AD1D5F" w:rsidTr="00CD00D2">
        <w:trPr>
          <w:trHeight w:val="454"/>
          <w:jc w:val="center"/>
        </w:trPr>
        <w:tc>
          <w:tcPr>
            <w:tcW w:w="396" w:type="pct"/>
            <w:vMerge/>
            <w:tcBorders>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p>
        </w:tc>
        <w:tc>
          <w:tcPr>
            <w:tcW w:w="649" w:type="pct"/>
            <w:vMerge/>
            <w:tcBorders>
              <w:left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p>
        </w:tc>
        <w:tc>
          <w:tcPr>
            <w:tcW w:w="496" w:type="pct"/>
            <w:tcBorders>
              <w:top w:val="single" w:sz="4" w:space="0" w:color="auto"/>
              <w:left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考勤</w:t>
            </w:r>
          </w:p>
        </w:tc>
        <w:tc>
          <w:tcPr>
            <w:tcW w:w="496" w:type="pct"/>
            <w:tcBorders>
              <w:top w:val="single" w:sz="4" w:space="0" w:color="auto"/>
              <w:left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作业</w:t>
            </w:r>
          </w:p>
        </w:tc>
        <w:tc>
          <w:tcPr>
            <w:tcW w:w="496" w:type="pct"/>
            <w:tcBorders>
              <w:top w:val="single" w:sz="4" w:space="0" w:color="auto"/>
              <w:left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讨论</w:t>
            </w:r>
          </w:p>
        </w:tc>
        <w:tc>
          <w:tcPr>
            <w:tcW w:w="496" w:type="pct"/>
            <w:tcBorders>
              <w:top w:val="single" w:sz="4" w:space="0" w:color="auto"/>
              <w:left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实验</w:t>
            </w:r>
          </w:p>
        </w:tc>
        <w:tc>
          <w:tcPr>
            <w:tcW w:w="496" w:type="pct"/>
            <w:tcBorders>
              <w:top w:val="single" w:sz="4" w:space="0" w:color="auto"/>
              <w:left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测验</w:t>
            </w:r>
          </w:p>
        </w:tc>
        <w:tc>
          <w:tcPr>
            <w:tcW w:w="499" w:type="pct"/>
            <w:tcBorders>
              <w:top w:val="single" w:sz="4" w:space="0" w:color="auto"/>
              <w:left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考试</w:t>
            </w:r>
          </w:p>
        </w:tc>
        <w:tc>
          <w:tcPr>
            <w:tcW w:w="484" w:type="pct"/>
            <w:tcBorders>
              <w:top w:val="single" w:sz="4" w:space="0" w:color="auto"/>
              <w:left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w:t>
            </w:r>
          </w:p>
        </w:tc>
        <w:tc>
          <w:tcPr>
            <w:tcW w:w="492" w:type="pct"/>
            <w:tcBorders>
              <w:top w:val="single" w:sz="4" w:space="0" w:color="auto"/>
              <w:left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合计</w:t>
            </w:r>
          </w:p>
        </w:tc>
      </w:tr>
      <w:tr w:rsidR="00AD1D5F"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649"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目标1</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10</w:t>
            </w:r>
          </w:p>
        </w:tc>
        <w:tc>
          <w:tcPr>
            <w:tcW w:w="484"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13</w:t>
            </w:r>
          </w:p>
        </w:tc>
      </w:tr>
      <w:tr w:rsidR="00AD1D5F"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649"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目标2</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5</w:t>
            </w:r>
          </w:p>
        </w:tc>
        <w:tc>
          <w:tcPr>
            <w:tcW w:w="499"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40</w:t>
            </w:r>
          </w:p>
        </w:tc>
        <w:tc>
          <w:tcPr>
            <w:tcW w:w="484"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51</w:t>
            </w:r>
          </w:p>
        </w:tc>
      </w:tr>
      <w:tr w:rsidR="00AD1D5F" w:rsidTr="00CD00D2">
        <w:trPr>
          <w:trHeight w:val="454"/>
          <w:jc w:val="center"/>
        </w:trPr>
        <w:tc>
          <w:tcPr>
            <w:tcW w:w="396"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w:t>
            </w:r>
          </w:p>
        </w:tc>
        <w:tc>
          <w:tcPr>
            <w:tcW w:w="649"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目标3</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p>
        </w:tc>
        <w:tc>
          <w:tcPr>
            <w:tcW w:w="499"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30</w:t>
            </w:r>
          </w:p>
        </w:tc>
        <w:tc>
          <w:tcPr>
            <w:tcW w:w="484"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36</w:t>
            </w:r>
          </w:p>
        </w:tc>
      </w:tr>
      <w:tr w:rsidR="00AD1D5F" w:rsidTr="00CD00D2">
        <w:trPr>
          <w:trHeight w:val="454"/>
          <w:jc w:val="center"/>
        </w:trPr>
        <w:tc>
          <w:tcPr>
            <w:tcW w:w="1044" w:type="pct"/>
            <w:gridSpan w:val="2"/>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共计</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5</w:t>
            </w: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p>
        </w:tc>
        <w:tc>
          <w:tcPr>
            <w:tcW w:w="496"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5</w:t>
            </w:r>
          </w:p>
        </w:tc>
        <w:tc>
          <w:tcPr>
            <w:tcW w:w="499"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80</w:t>
            </w:r>
          </w:p>
        </w:tc>
        <w:tc>
          <w:tcPr>
            <w:tcW w:w="484"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100</w:t>
            </w:r>
          </w:p>
        </w:tc>
      </w:tr>
    </w:tbl>
    <w:p w:rsidR="00AD1D5F" w:rsidRPr="0053675D" w:rsidRDefault="00AD1D5F" w:rsidP="0053675D">
      <w:pPr>
        <w:spacing w:line="360" w:lineRule="auto"/>
        <w:ind w:firstLine="331"/>
        <w:rPr>
          <w:rFonts w:ascii="仿宋_GB2312" w:hAnsi="仿宋_GB2312" w:cs="仿宋_GB2312"/>
          <w:bCs/>
          <w:sz w:val="28"/>
          <w:szCs w:val="28"/>
        </w:rPr>
      </w:pPr>
      <w:r w:rsidRPr="0053675D">
        <w:rPr>
          <w:rFonts w:ascii="仿宋_GB2312" w:hAnsi="仿宋_GB2312" w:cs="仿宋_GB2312" w:hint="eastAsia"/>
          <w:bCs/>
          <w:sz w:val="28"/>
          <w:szCs w:val="28"/>
        </w:rPr>
        <w:t>（3）考核（评价）要求：</w:t>
      </w:r>
      <w:r w:rsidRPr="0053675D">
        <w:rPr>
          <w:rFonts w:ascii="仿宋_GB2312" w:hAnsi="仿宋_GB2312" w:cs="仿宋_GB2312"/>
          <w:bCs/>
          <w:sz w:val="28"/>
          <w:szCs w:val="28"/>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51"/>
        <w:gridCol w:w="951"/>
        <w:gridCol w:w="4782"/>
        <w:gridCol w:w="1042"/>
      </w:tblGrid>
      <w:tr w:rsidR="00AD1D5F" w:rsidTr="00CD00D2">
        <w:trPr>
          <w:trHeight w:val="454"/>
          <w:jc w:val="center"/>
        </w:trPr>
        <w:tc>
          <w:tcPr>
            <w:tcW w:w="343" w:type="pct"/>
            <w:tcBorders>
              <w:top w:val="single" w:sz="4" w:space="0" w:color="000000"/>
              <w:left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序号</w:t>
            </w:r>
          </w:p>
        </w:tc>
        <w:tc>
          <w:tcPr>
            <w:tcW w:w="573" w:type="pct"/>
            <w:tcBorders>
              <w:top w:val="single" w:sz="4" w:space="0" w:color="000000"/>
              <w:left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hint="eastAsia"/>
                <w:b/>
                <w:bCs/>
                <w:sz w:val="24"/>
                <w:szCs w:val="24"/>
              </w:rPr>
              <w:t>考核环节</w:t>
            </w:r>
          </w:p>
        </w:tc>
        <w:tc>
          <w:tcPr>
            <w:tcW w:w="573" w:type="pct"/>
            <w:tcBorders>
              <w:top w:val="single" w:sz="4" w:space="0" w:color="000000"/>
              <w:left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hint="eastAsia"/>
                <w:b/>
                <w:bCs/>
                <w:sz w:val="24"/>
                <w:szCs w:val="24"/>
              </w:rPr>
              <w:t>目标分值</w:t>
            </w:r>
          </w:p>
        </w:tc>
        <w:tc>
          <w:tcPr>
            <w:tcW w:w="2880" w:type="pct"/>
            <w:tcBorders>
              <w:top w:val="single" w:sz="4" w:space="0" w:color="000000"/>
              <w:left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hint="eastAsia"/>
                <w:b/>
                <w:bCs/>
                <w:sz w:val="24"/>
                <w:szCs w:val="24"/>
              </w:rPr>
              <w:t>考核（评价）要求</w:t>
            </w:r>
          </w:p>
        </w:tc>
        <w:tc>
          <w:tcPr>
            <w:tcW w:w="628" w:type="pct"/>
            <w:tcBorders>
              <w:top w:val="single" w:sz="4" w:space="0" w:color="000000"/>
              <w:left w:val="single" w:sz="4" w:space="0" w:color="auto"/>
              <w:right w:val="single" w:sz="4" w:space="0" w:color="auto"/>
            </w:tcBorders>
            <w:vAlign w:val="center"/>
          </w:tcPr>
          <w:p w:rsidR="00AD1D5F" w:rsidRPr="0053675D" w:rsidRDefault="00AD1D5F" w:rsidP="00CD00D2">
            <w:pPr>
              <w:spacing w:line="360" w:lineRule="exact"/>
              <w:jc w:val="center"/>
              <w:rPr>
                <w:rFonts w:ascii="仿宋_GB2312" w:hAnsi="仿宋_GB2312" w:cs="仿宋_GB2312"/>
                <w:b/>
                <w:bCs/>
                <w:sz w:val="24"/>
                <w:szCs w:val="24"/>
              </w:rPr>
            </w:pPr>
            <w:r w:rsidRPr="0053675D">
              <w:rPr>
                <w:rFonts w:ascii="仿宋_GB2312" w:hAnsi="仿宋_GB2312" w:cs="仿宋_GB2312"/>
                <w:b/>
                <w:bCs/>
                <w:sz w:val="24"/>
                <w:szCs w:val="24"/>
              </w:rPr>
              <w:t>支撑课程教学目标</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1</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考勤</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出勤统计不少于授课次数的2/3；通过出勤统计结果考核学生学习态度和遵守课堂纪律等基本情况。</w:t>
            </w:r>
            <w:r w:rsidRPr="0053675D">
              <w:rPr>
                <w:rFonts w:ascii="仿宋_GB2312" w:hAnsi="仿宋_GB2312" w:cs="仿宋_GB2312"/>
                <w:bCs/>
                <w:sz w:val="24"/>
                <w:szCs w:val="24"/>
              </w:rPr>
              <w:t xml:space="preserve"> </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1</w:t>
            </w:r>
          </w:p>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目标2</w:t>
            </w:r>
          </w:p>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3</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2</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作业</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bCs/>
                <w:sz w:val="24"/>
                <w:szCs w:val="24"/>
              </w:rPr>
              <w:t>课后作业</w:t>
            </w:r>
            <w:r w:rsidRPr="0053675D">
              <w:rPr>
                <w:rFonts w:ascii="仿宋_GB2312" w:hAnsi="仿宋_GB2312" w:cs="仿宋_GB2312" w:hint="eastAsia"/>
                <w:bCs/>
                <w:sz w:val="24"/>
                <w:szCs w:val="24"/>
              </w:rPr>
              <w:t>布置5次；通过课后作业考核学生对建设工程定额的基本原理、概念等的掌握情况。</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目标1</w:t>
            </w:r>
          </w:p>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目标2</w:t>
            </w:r>
          </w:p>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3</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3</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讨论</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讨论环节设置5次；通过对部分章节关键知识点设置分组讨论，考核学生对建设工程定额的编制原理、各种定额的应用的理解及掌握情况，加深对工程定额的理解。</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目标1</w:t>
            </w:r>
          </w:p>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目标2</w:t>
            </w:r>
          </w:p>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3</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4</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测验</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章节测验设置1次；</w:t>
            </w:r>
            <w:r w:rsidRPr="0053675D">
              <w:rPr>
                <w:rFonts w:ascii="仿宋_GB2312" w:hAnsi="仿宋_GB2312" w:cs="仿宋_GB2312"/>
                <w:bCs/>
                <w:sz w:val="24"/>
                <w:szCs w:val="24"/>
              </w:rPr>
              <w:t>通过对</w:t>
            </w:r>
            <w:r w:rsidRPr="0053675D">
              <w:rPr>
                <w:rFonts w:ascii="仿宋_GB2312" w:hAnsi="仿宋_GB2312" w:cs="仿宋_GB2312" w:hint="eastAsia"/>
                <w:bCs/>
                <w:sz w:val="24"/>
                <w:szCs w:val="24"/>
              </w:rPr>
              <w:t>第三</w:t>
            </w:r>
            <w:r w:rsidRPr="0053675D">
              <w:rPr>
                <w:rFonts w:ascii="仿宋_GB2312" w:hAnsi="仿宋_GB2312" w:cs="仿宋_GB2312"/>
                <w:bCs/>
                <w:sz w:val="24"/>
                <w:szCs w:val="24"/>
              </w:rPr>
              <w:t>章关键知识点设置随堂测验，考核学生对</w:t>
            </w:r>
            <w:r w:rsidRPr="0053675D">
              <w:rPr>
                <w:rFonts w:ascii="仿宋_GB2312" w:hAnsi="仿宋_GB2312" w:cs="仿宋_GB2312" w:hint="eastAsia"/>
                <w:bCs/>
                <w:sz w:val="24"/>
                <w:szCs w:val="24"/>
              </w:rPr>
              <w:t>科学计算法的掌握</w:t>
            </w:r>
            <w:r w:rsidRPr="0053675D">
              <w:rPr>
                <w:rFonts w:ascii="仿宋_GB2312" w:hAnsi="仿宋_GB2312" w:cs="仿宋_GB2312"/>
                <w:bCs/>
                <w:sz w:val="24"/>
                <w:szCs w:val="24"/>
              </w:rPr>
              <w:t>情况。</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目标2</w:t>
            </w:r>
          </w:p>
        </w:tc>
      </w:tr>
      <w:tr w:rsidR="00AD1D5F" w:rsidTr="00CD00D2">
        <w:trPr>
          <w:trHeight w:val="454"/>
          <w:jc w:val="center"/>
        </w:trPr>
        <w:tc>
          <w:tcPr>
            <w:tcW w:w="343" w:type="pct"/>
            <w:tcBorders>
              <w:top w:val="single" w:sz="4" w:space="0" w:color="000000"/>
              <w:left w:val="single" w:sz="4" w:space="0" w:color="000000"/>
              <w:bottom w:val="single" w:sz="4" w:space="0" w:color="000000"/>
              <w:right w:val="single" w:sz="4" w:space="0" w:color="000000"/>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5</w:t>
            </w:r>
          </w:p>
        </w:tc>
        <w:tc>
          <w:tcPr>
            <w:tcW w:w="573" w:type="pct"/>
            <w:tcBorders>
              <w:top w:val="single" w:sz="4" w:space="0" w:color="000000"/>
              <w:left w:val="single" w:sz="4" w:space="0" w:color="000000"/>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考试</w:t>
            </w:r>
          </w:p>
        </w:tc>
        <w:tc>
          <w:tcPr>
            <w:tcW w:w="573"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100</w:t>
            </w:r>
          </w:p>
        </w:tc>
        <w:tc>
          <w:tcPr>
            <w:tcW w:w="2880"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left"/>
              <w:rPr>
                <w:rFonts w:ascii="仿宋_GB2312" w:hAnsi="仿宋_GB2312" w:cs="仿宋_GB2312"/>
                <w:bCs/>
                <w:sz w:val="24"/>
                <w:szCs w:val="24"/>
              </w:rPr>
            </w:pPr>
            <w:r w:rsidRPr="0053675D">
              <w:rPr>
                <w:rFonts w:ascii="仿宋_GB2312" w:hAnsi="仿宋_GB2312" w:cs="仿宋_GB2312" w:hint="eastAsia"/>
                <w:bCs/>
                <w:sz w:val="24"/>
                <w:szCs w:val="24"/>
              </w:rPr>
              <w:t>期末考试采用</w:t>
            </w:r>
            <w:r w:rsidRPr="0053675D">
              <w:rPr>
                <w:rFonts w:ascii="仿宋_GB2312" w:hAnsi="仿宋_GB2312" w:cs="仿宋_GB2312"/>
                <w:bCs/>
                <w:sz w:val="24"/>
                <w:szCs w:val="24"/>
              </w:rPr>
              <w:t>标准答案考试</w:t>
            </w:r>
            <w:r w:rsidRPr="0053675D">
              <w:rPr>
                <w:rFonts w:ascii="仿宋_GB2312" w:hAnsi="仿宋_GB2312" w:cs="仿宋_GB2312" w:hint="eastAsia"/>
                <w:bCs/>
                <w:sz w:val="24"/>
                <w:szCs w:val="24"/>
              </w:rPr>
              <w:t>。考试范围基本涵盖所有讲授内容，考试内容主要反映学生对本课程主要概念的理解和掌握程度，以及综合运用的能力。</w:t>
            </w:r>
          </w:p>
        </w:tc>
        <w:tc>
          <w:tcPr>
            <w:tcW w:w="628" w:type="pct"/>
            <w:tcBorders>
              <w:top w:val="single" w:sz="4" w:space="0" w:color="000000"/>
              <w:left w:val="single" w:sz="4" w:space="0" w:color="auto"/>
              <w:bottom w:val="single" w:sz="4" w:space="0" w:color="000000"/>
              <w:right w:val="single" w:sz="4" w:space="0" w:color="auto"/>
            </w:tcBorders>
            <w:vAlign w:val="center"/>
          </w:tcPr>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1</w:t>
            </w:r>
          </w:p>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hint="eastAsia"/>
                <w:bCs/>
                <w:sz w:val="24"/>
                <w:szCs w:val="24"/>
              </w:rPr>
              <w:t>目标2</w:t>
            </w:r>
          </w:p>
          <w:p w:rsidR="00AD1D5F" w:rsidRPr="0053675D" w:rsidRDefault="00AD1D5F" w:rsidP="00CD00D2">
            <w:pPr>
              <w:spacing w:line="360" w:lineRule="exact"/>
              <w:jc w:val="center"/>
              <w:rPr>
                <w:rFonts w:ascii="仿宋_GB2312" w:hAnsi="仿宋_GB2312" w:cs="仿宋_GB2312"/>
                <w:bCs/>
                <w:sz w:val="24"/>
                <w:szCs w:val="24"/>
              </w:rPr>
            </w:pPr>
            <w:r w:rsidRPr="0053675D">
              <w:rPr>
                <w:rFonts w:ascii="仿宋_GB2312" w:hAnsi="仿宋_GB2312" w:cs="仿宋_GB2312"/>
                <w:bCs/>
                <w:sz w:val="24"/>
                <w:szCs w:val="24"/>
              </w:rPr>
              <w:t>目标</w:t>
            </w:r>
            <w:r w:rsidRPr="0053675D">
              <w:rPr>
                <w:rFonts w:ascii="仿宋_GB2312" w:hAnsi="仿宋_GB2312" w:cs="仿宋_GB2312" w:hint="eastAsia"/>
                <w:bCs/>
                <w:sz w:val="24"/>
                <w:szCs w:val="24"/>
              </w:rPr>
              <w:t>3</w:t>
            </w:r>
          </w:p>
        </w:tc>
      </w:tr>
    </w:tbl>
    <w:p w:rsidR="00AD1D5F" w:rsidRDefault="00AD1D5F" w:rsidP="00AD1D5F">
      <w:pPr>
        <w:adjustRightInd w:val="0"/>
        <w:snapToGrid w:val="0"/>
        <w:spacing w:line="360" w:lineRule="exact"/>
        <w:ind w:firstLineChars="200" w:firstLine="640"/>
        <w:rPr>
          <w:rFonts w:ascii="Times New Roman" w:hAnsi="Times New Roman"/>
        </w:rPr>
      </w:pPr>
    </w:p>
    <w:p w:rsidR="0053675D" w:rsidRDefault="0053675D" w:rsidP="0053675D">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53675D" w:rsidRPr="0053675D" w:rsidRDefault="0053675D"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1. 教  材：《</w:t>
      </w:r>
      <w:r w:rsidRPr="0053675D">
        <w:rPr>
          <w:rFonts w:ascii="仿宋_GB2312" w:hAnsi="仿宋_GB2312" w:cs="仿宋_GB2312" w:hint="eastAsia"/>
          <w:bCs/>
          <w:sz w:val="28"/>
          <w:szCs w:val="28"/>
        </w:rPr>
        <w:t>建筑工程BIM造价应用</w:t>
      </w:r>
      <w:r w:rsidRPr="0053675D">
        <w:rPr>
          <w:rFonts w:ascii="仿宋_GB2312" w:hAnsi="仿宋_GB2312" w:cs="仿宋_GB2312"/>
          <w:bCs/>
          <w:sz w:val="28"/>
          <w:szCs w:val="28"/>
        </w:rPr>
        <w:t>》，</w:t>
      </w:r>
      <w:r w:rsidRPr="0053675D">
        <w:rPr>
          <w:rFonts w:ascii="仿宋_GB2312" w:hAnsi="仿宋_GB2312" w:cs="仿宋_GB2312" w:hint="eastAsia"/>
          <w:bCs/>
          <w:sz w:val="28"/>
          <w:szCs w:val="28"/>
        </w:rPr>
        <w:t>朱溢镕、兰丽、邹雪梅，</w:t>
      </w:r>
      <w:r w:rsidRPr="0053675D">
        <w:rPr>
          <w:rFonts w:ascii="仿宋_GB2312" w:hAnsi="仿宋_GB2312" w:cs="仿宋_GB2312" w:hint="eastAsia"/>
          <w:bCs/>
          <w:sz w:val="28"/>
          <w:szCs w:val="28"/>
        </w:rPr>
        <w:lastRenderedPageBreak/>
        <w:t>化学工业出版社，2020</w:t>
      </w:r>
    </w:p>
    <w:p w:rsidR="0053675D" w:rsidRPr="0053675D" w:rsidRDefault="0053675D" w:rsidP="0053675D">
      <w:pPr>
        <w:spacing w:line="360" w:lineRule="auto"/>
        <w:ind w:firstLine="331"/>
        <w:rPr>
          <w:rFonts w:ascii="仿宋_GB2312" w:hAnsi="仿宋_GB2312" w:cs="仿宋_GB2312"/>
          <w:bCs/>
          <w:sz w:val="28"/>
          <w:szCs w:val="28"/>
        </w:rPr>
      </w:pPr>
      <w:r w:rsidRPr="0053675D">
        <w:rPr>
          <w:rFonts w:ascii="仿宋_GB2312" w:hAnsi="仿宋_GB2312" w:cs="仿宋_GB2312"/>
          <w:bCs/>
          <w:sz w:val="28"/>
          <w:szCs w:val="28"/>
        </w:rPr>
        <w:t>2. 参考书：</w:t>
      </w:r>
      <w:r w:rsidRPr="0053675D">
        <w:rPr>
          <w:rFonts w:ascii="仿宋_GB2312" w:hAnsi="仿宋_GB2312" w:cs="仿宋_GB2312" w:hint="eastAsia"/>
          <w:bCs/>
          <w:sz w:val="28"/>
          <w:szCs w:val="28"/>
        </w:rPr>
        <w:t>[1] 计算机辅助工程造价，张向荣，闫俊爱，荆树伟，化学工业出版社，2020</w:t>
      </w:r>
    </w:p>
    <w:p w:rsidR="0053675D" w:rsidRPr="0053675D" w:rsidRDefault="0053675D" w:rsidP="0053675D">
      <w:pPr>
        <w:spacing w:line="360" w:lineRule="auto"/>
        <w:ind w:firstLine="331"/>
        <w:rPr>
          <w:rFonts w:ascii="仿宋_GB2312" w:hAnsi="仿宋_GB2312" w:cs="仿宋_GB2312"/>
          <w:bCs/>
          <w:sz w:val="28"/>
          <w:szCs w:val="28"/>
        </w:rPr>
      </w:pPr>
      <w:r w:rsidRPr="0053675D">
        <w:rPr>
          <w:rFonts w:ascii="仿宋_GB2312" w:hAnsi="仿宋_GB2312" w:cs="仿宋_GB2312" w:hint="eastAsia"/>
          <w:bCs/>
          <w:sz w:val="28"/>
          <w:szCs w:val="28"/>
        </w:rPr>
        <w:t>[2] BIM应用施工，丁烈云，同济大学出版社，2015</w:t>
      </w:r>
    </w:p>
    <w:p w:rsidR="00AD1D5F" w:rsidRPr="0053675D" w:rsidRDefault="00AD1D5F" w:rsidP="00AD1D5F">
      <w:pPr>
        <w:spacing w:line="360" w:lineRule="exact"/>
        <w:ind w:firstLineChars="196" w:firstLine="627"/>
        <w:rPr>
          <w:rFonts w:ascii="Times New Roman" w:hAnsi="Times New Roman"/>
          <w:szCs w:val="21"/>
        </w:rPr>
      </w:pPr>
    </w:p>
    <w:p w:rsidR="0053675D" w:rsidRDefault="0053675D" w:rsidP="0053675D">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大纲撰写人：李慧</w:t>
      </w:r>
    </w:p>
    <w:p w:rsidR="0053675D" w:rsidRDefault="0053675D" w:rsidP="0053675D">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课程负责人：</w:t>
      </w:r>
    </w:p>
    <w:p w:rsidR="0053675D" w:rsidRDefault="0053675D" w:rsidP="0053675D">
      <w:pPr>
        <w:spacing w:line="360" w:lineRule="auto"/>
        <w:ind w:firstLineChars="1200" w:firstLine="3360"/>
        <w:rPr>
          <w:rFonts w:ascii="仿宋" w:eastAsia="仿宋" w:hAnsi="仿宋" w:hint="eastAsia"/>
          <w:sz w:val="28"/>
          <w:szCs w:val="28"/>
        </w:rPr>
      </w:pPr>
      <w:r>
        <w:rPr>
          <w:rFonts w:ascii="仿宋" w:eastAsia="仿宋" w:hAnsi="仿宋" w:hint="eastAsia"/>
          <w:sz w:val="28"/>
          <w:szCs w:val="28"/>
        </w:rPr>
        <w:t>审核人：</w:t>
      </w:r>
    </w:p>
    <w:p w:rsidR="0053675D" w:rsidRDefault="0053675D" w:rsidP="0053675D">
      <w:pPr>
        <w:jc w:val="center"/>
        <w:rPr>
          <w:rFonts w:ascii="仿宋_GB2312" w:hint="eastAsia"/>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53675D" w:rsidRDefault="0053675D" w:rsidP="0053675D">
      <w:pPr>
        <w:ind w:firstLineChars="2000" w:firstLine="5600"/>
        <w:jc w:val="left"/>
        <w:rPr>
          <w:rFonts w:ascii="仿宋" w:hAnsi="仿宋"/>
          <w:sz w:val="28"/>
          <w:szCs w:val="28"/>
        </w:rPr>
      </w:pPr>
      <w:r>
        <w:rPr>
          <w:rFonts w:ascii="仿宋_GB2312" w:hAnsi="微软雅黑" w:hint="eastAsia"/>
          <w:sz w:val="28"/>
          <w:szCs w:val="28"/>
        </w:rPr>
        <w:t xml:space="preserve">    </w:t>
      </w:r>
    </w:p>
    <w:p w:rsidR="0053675D" w:rsidRDefault="0053675D" w:rsidP="0053675D">
      <w:pPr>
        <w:jc w:val="left"/>
        <w:rPr>
          <w:rFonts w:ascii="仿宋_GB2312" w:hAnsi="黑体"/>
          <w:sz w:val="28"/>
          <w:szCs w:val="28"/>
        </w:rPr>
      </w:pPr>
      <w:r>
        <w:rPr>
          <w:rFonts w:ascii="仿宋" w:eastAsia="仿宋" w:hAnsi="仿宋" w:hint="eastAsia"/>
          <w:sz w:val="28"/>
          <w:szCs w:val="28"/>
        </w:rPr>
        <w:t xml:space="preserve">                                         年    月</w:t>
      </w:r>
    </w:p>
    <w:p w:rsidR="00AD1D5F" w:rsidRDefault="00AD1D5F" w:rsidP="00AD1D5F">
      <w:pPr>
        <w:spacing w:line="360" w:lineRule="exact"/>
        <w:ind w:firstLineChars="196" w:firstLine="627"/>
        <w:rPr>
          <w:rFonts w:ascii="Times New Roman" w:hAnsi="Times New Roman"/>
          <w:szCs w:val="21"/>
        </w:rPr>
      </w:pPr>
    </w:p>
    <w:p w:rsidR="0053675D" w:rsidRDefault="0053675D" w:rsidP="008C3907">
      <w:pPr>
        <w:widowControl/>
        <w:spacing w:line="360" w:lineRule="auto"/>
        <w:jc w:val="center"/>
        <w:rPr>
          <w:rFonts w:ascii="Times New Roman" w:hAnsi="Times New Roman"/>
        </w:rPr>
      </w:pPr>
    </w:p>
    <w:p w:rsidR="0053675D" w:rsidRDefault="0053675D" w:rsidP="008C3907">
      <w:pPr>
        <w:widowControl/>
        <w:spacing w:line="360" w:lineRule="auto"/>
        <w:jc w:val="center"/>
        <w:rPr>
          <w:rFonts w:ascii="Times New Roman" w:hAnsi="Times New Roman"/>
        </w:rPr>
      </w:pPr>
    </w:p>
    <w:p w:rsidR="0053675D" w:rsidRDefault="0053675D" w:rsidP="008C3907">
      <w:pPr>
        <w:widowControl/>
        <w:spacing w:line="360" w:lineRule="auto"/>
        <w:jc w:val="center"/>
        <w:rPr>
          <w:rFonts w:ascii="Times New Roman" w:hAnsi="Times New Roman"/>
        </w:rPr>
      </w:pPr>
    </w:p>
    <w:p w:rsidR="0053675D" w:rsidRDefault="0053675D" w:rsidP="008C3907">
      <w:pPr>
        <w:widowControl/>
        <w:spacing w:line="360" w:lineRule="auto"/>
        <w:jc w:val="center"/>
        <w:rPr>
          <w:rFonts w:ascii="Times New Roman" w:hAnsi="Times New Roman"/>
        </w:rPr>
      </w:pPr>
    </w:p>
    <w:p w:rsidR="0053675D" w:rsidRDefault="0053675D" w:rsidP="008C3907">
      <w:pPr>
        <w:widowControl/>
        <w:spacing w:line="360" w:lineRule="auto"/>
        <w:jc w:val="center"/>
        <w:rPr>
          <w:rFonts w:ascii="Times New Roman" w:hAnsi="Times New Roman"/>
        </w:rPr>
      </w:pPr>
    </w:p>
    <w:p w:rsidR="0053675D" w:rsidRDefault="0053675D" w:rsidP="008C3907">
      <w:pPr>
        <w:widowControl/>
        <w:spacing w:line="360" w:lineRule="auto"/>
        <w:jc w:val="center"/>
        <w:rPr>
          <w:rFonts w:ascii="Times New Roman" w:hAnsi="Times New Roman"/>
        </w:rPr>
      </w:pPr>
    </w:p>
    <w:p w:rsidR="0053675D" w:rsidRDefault="0053675D" w:rsidP="008C3907">
      <w:pPr>
        <w:widowControl/>
        <w:spacing w:line="360" w:lineRule="auto"/>
        <w:jc w:val="center"/>
        <w:rPr>
          <w:rFonts w:ascii="Times New Roman" w:hAnsi="Times New Roman"/>
        </w:rPr>
      </w:pPr>
    </w:p>
    <w:p w:rsidR="0053675D" w:rsidRDefault="0053675D" w:rsidP="008C3907">
      <w:pPr>
        <w:widowControl/>
        <w:spacing w:line="360" w:lineRule="auto"/>
        <w:jc w:val="center"/>
        <w:rPr>
          <w:rFonts w:ascii="Times New Roman" w:hAnsi="Times New Roman"/>
        </w:rPr>
      </w:pPr>
    </w:p>
    <w:p w:rsidR="0053675D" w:rsidRDefault="0053675D" w:rsidP="008C3907">
      <w:pPr>
        <w:widowControl/>
        <w:spacing w:line="360" w:lineRule="auto"/>
        <w:jc w:val="center"/>
        <w:rPr>
          <w:rFonts w:ascii="Times New Roman" w:hAnsi="Times New Roman"/>
        </w:rPr>
      </w:pPr>
    </w:p>
    <w:p w:rsidR="0053675D" w:rsidRDefault="0053675D" w:rsidP="008C3907">
      <w:pPr>
        <w:widowControl/>
        <w:spacing w:line="360" w:lineRule="auto"/>
        <w:jc w:val="center"/>
        <w:rPr>
          <w:rFonts w:ascii="Times New Roman" w:hAnsi="Times New Roman"/>
        </w:rPr>
      </w:pPr>
    </w:p>
    <w:p w:rsidR="0053675D" w:rsidRDefault="0053675D" w:rsidP="008C3907">
      <w:pPr>
        <w:widowControl/>
        <w:spacing w:line="360" w:lineRule="auto"/>
        <w:jc w:val="center"/>
        <w:rPr>
          <w:rFonts w:ascii="Times New Roman" w:hAnsi="Times New Roman"/>
        </w:rPr>
      </w:pPr>
    </w:p>
    <w:p w:rsidR="008C3907" w:rsidRDefault="008C3907" w:rsidP="008C3907">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《有机化学（双语）》课程教学大纲</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8C3907" w:rsidRDefault="008C3907" w:rsidP="008C3907">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英文名称：Organic Chemistry</w:t>
      </w:r>
    </w:p>
    <w:p w:rsidR="008C3907" w:rsidRDefault="008C3907" w:rsidP="008C3907">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课程编码：Z2806010</w:t>
      </w:r>
    </w:p>
    <w:p w:rsidR="008C3907" w:rsidRDefault="008C3907" w:rsidP="008C3907">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授课语言：汉语、英语</w:t>
      </w:r>
    </w:p>
    <w:p w:rsidR="008C3907" w:rsidRDefault="008C3907" w:rsidP="008C3907">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 xml:space="preserve"> 授课方式：线下</w:t>
      </w:r>
    </w:p>
    <w:p w:rsidR="008C3907" w:rsidRDefault="008C3907" w:rsidP="008C3907">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8C3907" w:rsidRDefault="008C3907" w:rsidP="008C3907">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8C3907" w:rsidRDefault="008C3907" w:rsidP="008C3907">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分：2.0</w:t>
      </w:r>
    </w:p>
    <w:p w:rsidR="008C3907" w:rsidRDefault="008C3907" w:rsidP="008C3907">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 xml:space="preserve"> 学    时：36学时（授课36学时）</w:t>
      </w:r>
    </w:p>
    <w:p w:rsidR="008C3907" w:rsidRDefault="008C3907" w:rsidP="008C3907">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适用对象：给排水科学与工程卓越工程师专业</w:t>
      </w:r>
    </w:p>
    <w:p w:rsidR="008C3907" w:rsidRDefault="008C3907" w:rsidP="008C3907">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先修课程：无</w:t>
      </w:r>
    </w:p>
    <w:p w:rsidR="008C3907" w:rsidRDefault="008C3907" w:rsidP="008C3907">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8C3907" w:rsidRDefault="008C3907" w:rsidP="008C3907">
      <w:pPr>
        <w:snapToGrid w:val="0"/>
        <w:spacing w:line="560" w:lineRule="exact"/>
        <w:rPr>
          <w:rFonts w:ascii="仿宋_GB2312" w:hAnsi="仿宋_GB2312" w:cs="仿宋_GB2312"/>
          <w:bCs/>
          <w:sz w:val="28"/>
          <w:szCs w:val="28"/>
        </w:rPr>
      </w:pPr>
      <w:r>
        <w:rPr>
          <w:rFonts w:ascii="仿宋_GB2312" w:hAnsi="仿宋_GB2312" w:cs="仿宋_GB2312" w:hint="eastAsia"/>
          <w:bCs/>
          <w:sz w:val="28"/>
          <w:szCs w:val="28"/>
        </w:rPr>
        <w:t xml:space="preserve">  </w:t>
      </w:r>
      <w:r>
        <w:rPr>
          <w:rFonts w:ascii="仿宋_GB2312" w:hAnsi="仿宋_GB2312" w:cs="仿宋_GB2312"/>
          <w:bCs/>
          <w:sz w:val="28"/>
          <w:szCs w:val="28"/>
        </w:rPr>
        <w:t>《有机化学</w:t>
      </w:r>
      <w:r>
        <w:rPr>
          <w:rFonts w:ascii="仿宋_GB2312" w:hAnsi="仿宋_GB2312" w:cs="仿宋_GB2312" w:hint="eastAsia"/>
          <w:bCs/>
          <w:sz w:val="28"/>
          <w:szCs w:val="28"/>
        </w:rPr>
        <w:t>（双语）</w:t>
      </w:r>
      <w:r>
        <w:rPr>
          <w:rFonts w:ascii="仿宋_GB2312" w:hAnsi="仿宋_GB2312" w:cs="仿宋_GB2312"/>
          <w:bCs/>
          <w:sz w:val="28"/>
          <w:szCs w:val="28"/>
        </w:rPr>
        <w:t>》是给排水科学与工程</w:t>
      </w:r>
      <w:r>
        <w:rPr>
          <w:rFonts w:ascii="仿宋_GB2312" w:hAnsi="仿宋_GB2312" w:cs="仿宋_GB2312" w:hint="eastAsia"/>
          <w:bCs/>
          <w:sz w:val="28"/>
          <w:szCs w:val="28"/>
        </w:rPr>
        <w:t>卓越工程师</w:t>
      </w:r>
      <w:r>
        <w:rPr>
          <w:rFonts w:ascii="仿宋_GB2312" w:hAnsi="仿宋_GB2312" w:cs="仿宋_GB2312"/>
          <w:bCs/>
          <w:sz w:val="28"/>
          <w:szCs w:val="28"/>
        </w:rPr>
        <w:t>专业学生的学科专业发展选修课。通过课程教学，学生应掌握本专业所需要的有机化学基础知识，并能结合其他相关专业知识，具备解决实际工程应用的能力，具有对水处理中涉及有机污染质所设计的流程及工业参数、影响因素等进行研究的能力。</w:t>
      </w:r>
    </w:p>
    <w:p w:rsidR="008C3907" w:rsidRDefault="008C3907" w:rsidP="008C3907">
      <w:pPr>
        <w:snapToGrid w:val="0"/>
        <w:spacing w:line="560" w:lineRule="exact"/>
        <w:rPr>
          <w:rFonts w:ascii="仿宋_GB2312" w:hAnsi="仿宋_GB2312" w:cs="仿宋_GB2312"/>
          <w:bCs/>
          <w:sz w:val="28"/>
          <w:szCs w:val="28"/>
        </w:rPr>
      </w:pPr>
      <w:r>
        <w:rPr>
          <w:rFonts w:ascii="仿宋_GB2312" w:hAnsi="仿宋_GB2312" w:cs="仿宋_GB2312" w:hint="eastAsia"/>
          <w:bCs/>
          <w:sz w:val="28"/>
          <w:szCs w:val="28"/>
        </w:rPr>
        <w:t xml:space="preserve">   </w:t>
      </w:r>
      <w:r>
        <w:rPr>
          <w:rFonts w:ascii="仿宋_GB2312" w:hAnsi="仿宋_GB2312" w:cs="仿宋_GB2312"/>
          <w:bCs/>
          <w:sz w:val="28"/>
          <w:szCs w:val="28"/>
        </w:rPr>
        <w:t>教学方式采用PPT、板书、课后思考题和练习题等相结合进行授课，教学中采用双语教学，在学生掌握课程内容的基础上，熟悉专业英语词汇，提高英语听说及阅读能力。</w:t>
      </w:r>
    </w:p>
    <w:p w:rsidR="008C3907" w:rsidRDefault="008C3907" w:rsidP="008C3907">
      <w:pPr>
        <w:spacing w:beforeLines="50" w:before="156" w:afterLines="50" w:after="156" w:line="560" w:lineRule="exact"/>
        <w:rPr>
          <w:rFonts w:ascii="黑体" w:eastAsia="黑体" w:hAnsi="黑体"/>
          <w:b/>
          <w:sz w:val="28"/>
          <w:szCs w:val="28"/>
        </w:rPr>
      </w:pP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三、课程任务、目标与要求</w:t>
      </w:r>
    </w:p>
    <w:p w:rsidR="008C3907" w:rsidRDefault="008C3907" w:rsidP="008C3907">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8C3907" w:rsidRDefault="008C3907" w:rsidP="008C3907">
      <w:pPr>
        <w:spacing w:line="560" w:lineRule="exact"/>
        <w:ind w:firstLine="329"/>
        <w:rPr>
          <w:rFonts w:ascii="仿宋_GB2312" w:hAnsi="仿宋_GB2312" w:cs="仿宋_GB2312"/>
          <w:bCs/>
          <w:sz w:val="28"/>
          <w:szCs w:val="28"/>
        </w:rPr>
      </w:pPr>
      <w:r>
        <w:rPr>
          <w:rFonts w:ascii="仿宋_GB2312" w:hAnsi="仿宋_GB2312" w:cs="仿宋_GB2312"/>
          <w:bCs/>
          <w:sz w:val="28"/>
          <w:szCs w:val="28"/>
        </w:rPr>
        <w:t>《有机化学</w:t>
      </w:r>
      <w:r>
        <w:rPr>
          <w:rFonts w:ascii="仿宋_GB2312" w:hAnsi="仿宋_GB2312" w:cs="仿宋_GB2312" w:hint="eastAsia"/>
          <w:bCs/>
          <w:sz w:val="28"/>
          <w:szCs w:val="28"/>
        </w:rPr>
        <w:t>（双语）</w:t>
      </w:r>
      <w:r>
        <w:rPr>
          <w:rFonts w:ascii="仿宋_GB2312" w:hAnsi="仿宋_GB2312" w:cs="仿宋_GB2312"/>
          <w:bCs/>
          <w:sz w:val="28"/>
          <w:szCs w:val="28"/>
        </w:rPr>
        <w:t>》</w:t>
      </w:r>
      <w:r>
        <w:rPr>
          <w:rFonts w:ascii="仿宋_GB2312" w:hAnsi="仿宋_GB2312" w:cs="仿宋_GB2312" w:hint="eastAsia"/>
          <w:bCs/>
          <w:sz w:val="28"/>
          <w:szCs w:val="28"/>
        </w:rPr>
        <w:t>课程是讲授</w:t>
      </w:r>
      <w:r>
        <w:rPr>
          <w:rFonts w:ascii="仿宋_GB2312" w:hAnsi="仿宋_GB2312" w:cs="仿宋_GB2312"/>
          <w:bCs/>
          <w:sz w:val="28"/>
          <w:szCs w:val="28"/>
        </w:rPr>
        <w:t>有机化合物的组成、结构、合成、物理性质、化学性质及其相互转化规律的</w:t>
      </w:r>
      <w:r>
        <w:rPr>
          <w:rFonts w:ascii="仿宋_GB2312" w:hAnsi="仿宋_GB2312" w:cs="仿宋_GB2312" w:hint="eastAsia"/>
          <w:bCs/>
          <w:sz w:val="28"/>
          <w:szCs w:val="28"/>
        </w:rPr>
        <w:t>课程</w:t>
      </w:r>
      <w:r>
        <w:rPr>
          <w:rFonts w:ascii="仿宋_GB2312" w:hAnsi="仿宋_GB2312" w:cs="仿宋_GB2312"/>
          <w:bCs/>
          <w:sz w:val="28"/>
          <w:szCs w:val="28"/>
        </w:rPr>
        <w:t>，是工程类（本科）各专业的重要基础课。它使学生了解近代有机化学的基本理论，具备必要的基本知识和一定的基本技能，并</w:t>
      </w:r>
      <w:r>
        <w:rPr>
          <w:rFonts w:ascii="仿宋_GB2312" w:hAnsi="仿宋_GB2312" w:cs="仿宋_GB2312" w:hint="eastAsia"/>
          <w:bCs/>
          <w:sz w:val="28"/>
          <w:szCs w:val="28"/>
        </w:rPr>
        <w:t>能够</w:t>
      </w:r>
      <w:r>
        <w:rPr>
          <w:rFonts w:ascii="仿宋_GB2312" w:hAnsi="仿宋_GB2312" w:cs="仿宋_GB2312"/>
          <w:bCs/>
          <w:sz w:val="28"/>
          <w:szCs w:val="28"/>
        </w:rPr>
        <w:t>结合本专业，对一些有机环境污染问题</w:t>
      </w:r>
      <w:r>
        <w:rPr>
          <w:rFonts w:ascii="仿宋_GB2312" w:hAnsi="仿宋_GB2312" w:cs="仿宋_GB2312" w:hint="eastAsia"/>
          <w:bCs/>
          <w:sz w:val="28"/>
          <w:szCs w:val="28"/>
        </w:rPr>
        <w:t>、涉及有机物的</w:t>
      </w:r>
      <w:r>
        <w:rPr>
          <w:rFonts w:ascii="仿宋_GB2312" w:hAnsi="仿宋_GB2312" w:cs="仿宋_GB2312"/>
          <w:bCs/>
          <w:sz w:val="28"/>
          <w:szCs w:val="28"/>
        </w:rPr>
        <w:t>水处理技术等问题可进行</w:t>
      </w:r>
      <w:r>
        <w:rPr>
          <w:rFonts w:ascii="仿宋_GB2312" w:hAnsi="仿宋_GB2312" w:cs="仿宋_GB2312" w:hint="eastAsia"/>
          <w:bCs/>
          <w:sz w:val="28"/>
          <w:szCs w:val="28"/>
        </w:rPr>
        <w:t>探讨</w:t>
      </w:r>
      <w:r>
        <w:rPr>
          <w:rFonts w:ascii="仿宋_GB2312" w:hAnsi="仿宋_GB2312" w:cs="仿宋_GB2312"/>
          <w:bCs/>
          <w:sz w:val="28"/>
          <w:szCs w:val="28"/>
        </w:rPr>
        <w:t>、学习</w:t>
      </w:r>
      <w:r>
        <w:rPr>
          <w:rFonts w:ascii="仿宋_GB2312" w:hAnsi="仿宋_GB2312" w:cs="仿宋_GB2312" w:hint="eastAsia"/>
          <w:bCs/>
          <w:sz w:val="28"/>
          <w:szCs w:val="28"/>
        </w:rPr>
        <w:t>；</w:t>
      </w:r>
      <w:r>
        <w:rPr>
          <w:rFonts w:ascii="仿宋_GB2312" w:hAnsi="仿宋_GB2312" w:cs="仿宋_GB2312"/>
          <w:bCs/>
          <w:sz w:val="28"/>
          <w:szCs w:val="28"/>
        </w:rPr>
        <w:t>此外</w:t>
      </w:r>
      <w:r>
        <w:rPr>
          <w:rFonts w:ascii="仿宋_GB2312" w:hAnsi="仿宋_GB2312" w:cs="仿宋_GB2312" w:hint="eastAsia"/>
          <w:bCs/>
          <w:sz w:val="28"/>
          <w:szCs w:val="28"/>
        </w:rPr>
        <w:t>，通过双语教学，提高学生英文阅读及听说能力，</w:t>
      </w:r>
      <w:r>
        <w:rPr>
          <w:rFonts w:ascii="仿宋_GB2312" w:hAnsi="仿宋_GB2312" w:cs="仿宋_GB2312"/>
          <w:bCs/>
          <w:sz w:val="28"/>
          <w:szCs w:val="28"/>
        </w:rPr>
        <w:t>为后继课程和进一步</w:t>
      </w:r>
      <w:r>
        <w:rPr>
          <w:rFonts w:ascii="仿宋_GB2312" w:hAnsi="仿宋_GB2312" w:cs="仿宋_GB2312" w:hint="eastAsia"/>
          <w:bCs/>
          <w:sz w:val="28"/>
          <w:szCs w:val="28"/>
        </w:rPr>
        <w:t>深造</w:t>
      </w:r>
      <w:r>
        <w:rPr>
          <w:rFonts w:ascii="仿宋_GB2312" w:hAnsi="仿宋_GB2312" w:cs="仿宋_GB2312"/>
          <w:bCs/>
          <w:sz w:val="28"/>
          <w:szCs w:val="28"/>
        </w:rPr>
        <w:t>学习打下必要的基础。</w:t>
      </w:r>
    </w:p>
    <w:p w:rsidR="008C3907" w:rsidRDefault="008C3907"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8C3907" w:rsidRDefault="008C3907" w:rsidP="008C3907">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8C3907" w:rsidRDefault="008C3907" w:rsidP="008C3907">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知识目标：通过学习本门课程学习，</w:t>
      </w:r>
      <w:r>
        <w:rPr>
          <w:rFonts w:ascii="仿宋_GB2312" w:hAnsi="仿宋_GB2312" w:cs="仿宋_GB2312"/>
          <w:bCs/>
          <w:sz w:val="28"/>
          <w:szCs w:val="28"/>
        </w:rPr>
        <w:t>使学生掌握有机化学的基本概念和基本理论知识</w:t>
      </w:r>
      <w:r>
        <w:rPr>
          <w:rFonts w:ascii="仿宋_GB2312" w:hAnsi="仿宋_GB2312" w:cs="仿宋_GB2312" w:hint="eastAsia"/>
          <w:bCs/>
          <w:sz w:val="28"/>
          <w:szCs w:val="28"/>
        </w:rPr>
        <w:t>：</w:t>
      </w:r>
      <w:r>
        <w:rPr>
          <w:rFonts w:ascii="仿宋_GB2312" w:hAnsi="仿宋_GB2312" w:cs="仿宋_GB2312"/>
          <w:bCs/>
          <w:sz w:val="28"/>
          <w:szCs w:val="28"/>
        </w:rPr>
        <w:t>掌握常见有机物烃</w:t>
      </w:r>
      <w:r>
        <w:rPr>
          <w:rFonts w:ascii="仿宋_GB2312" w:hAnsi="仿宋_GB2312" w:cs="仿宋_GB2312" w:hint="eastAsia"/>
          <w:bCs/>
          <w:sz w:val="28"/>
          <w:szCs w:val="28"/>
        </w:rPr>
        <w:t>、</w:t>
      </w:r>
      <w:r>
        <w:rPr>
          <w:rFonts w:ascii="仿宋_GB2312" w:hAnsi="仿宋_GB2312" w:cs="仿宋_GB2312"/>
          <w:bCs/>
          <w:sz w:val="28"/>
          <w:szCs w:val="28"/>
        </w:rPr>
        <w:t>卤代烃</w:t>
      </w:r>
      <w:r>
        <w:rPr>
          <w:rFonts w:ascii="仿宋_GB2312" w:hAnsi="仿宋_GB2312" w:cs="仿宋_GB2312" w:hint="eastAsia"/>
          <w:bCs/>
          <w:sz w:val="28"/>
          <w:szCs w:val="28"/>
        </w:rPr>
        <w:t>、</w:t>
      </w:r>
      <w:r>
        <w:rPr>
          <w:rFonts w:ascii="仿宋_GB2312" w:hAnsi="仿宋_GB2312" w:cs="仿宋_GB2312"/>
          <w:bCs/>
          <w:sz w:val="28"/>
          <w:szCs w:val="28"/>
        </w:rPr>
        <w:t>醇</w:t>
      </w:r>
      <w:r>
        <w:rPr>
          <w:rFonts w:ascii="仿宋_GB2312" w:hAnsi="仿宋_GB2312" w:cs="仿宋_GB2312" w:hint="eastAsia"/>
          <w:bCs/>
          <w:sz w:val="28"/>
          <w:szCs w:val="28"/>
        </w:rPr>
        <w:t>、</w:t>
      </w:r>
      <w:r>
        <w:rPr>
          <w:rFonts w:ascii="仿宋_GB2312" w:hAnsi="仿宋_GB2312" w:cs="仿宋_GB2312"/>
          <w:bCs/>
          <w:sz w:val="28"/>
          <w:szCs w:val="28"/>
        </w:rPr>
        <w:t>酚</w:t>
      </w:r>
      <w:r>
        <w:rPr>
          <w:rFonts w:ascii="仿宋_GB2312" w:hAnsi="仿宋_GB2312" w:cs="仿宋_GB2312" w:hint="eastAsia"/>
          <w:bCs/>
          <w:sz w:val="28"/>
          <w:szCs w:val="28"/>
        </w:rPr>
        <w:t>、</w:t>
      </w:r>
      <w:r>
        <w:rPr>
          <w:rFonts w:ascii="仿宋_GB2312" w:hAnsi="仿宋_GB2312" w:cs="仿宋_GB2312"/>
          <w:bCs/>
          <w:sz w:val="28"/>
          <w:szCs w:val="28"/>
        </w:rPr>
        <w:t>醚</w:t>
      </w:r>
      <w:r>
        <w:rPr>
          <w:rFonts w:ascii="仿宋_GB2312" w:hAnsi="仿宋_GB2312" w:cs="仿宋_GB2312" w:hint="eastAsia"/>
          <w:bCs/>
          <w:sz w:val="28"/>
          <w:szCs w:val="28"/>
        </w:rPr>
        <w:t>、</w:t>
      </w:r>
      <w:r>
        <w:rPr>
          <w:rFonts w:ascii="仿宋_GB2312" w:hAnsi="仿宋_GB2312" w:cs="仿宋_GB2312"/>
          <w:bCs/>
          <w:sz w:val="28"/>
          <w:szCs w:val="28"/>
        </w:rPr>
        <w:t>醛</w:t>
      </w:r>
      <w:r>
        <w:rPr>
          <w:rFonts w:ascii="仿宋_GB2312" w:hAnsi="仿宋_GB2312" w:cs="仿宋_GB2312" w:hint="eastAsia"/>
          <w:bCs/>
          <w:sz w:val="28"/>
          <w:szCs w:val="28"/>
        </w:rPr>
        <w:t>、</w:t>
      </w:r>
      <w:r>
        <w:rPr>
          <w:rFonts w:ascii="仿宋_GB2312" w:hAnsi="仿宋_GB2312" w:cs="仿宋_GB2312"/>
          <w:bCs/>
          <w:sz w:val="28"/>
          <w:szCs w:val="28"/>
        </w:rPr>
        <w:t>酮</w:t>
      </w:r>
      <w:r>
        <w:rPr>
          <w:rFonts w:ascii="仿宋_GB2312" w:hAnsi="仿宋_GB2312" w:cs="仿宋_GB2312" w:hint="eastAsia"/>
          <w:bCs/>
          <w:sz w:val="28"/>
          <w:szCs w:val="28"/>
        </w:rPr>
        <w:t>、</w:t>
      </w:r>
      <w:r>
        <w:rPr>
          <w:rFonts w:ascii="仿宋_GB2312" w:hAnsi="仿宋_GB2312" w:cs="仿宋_GB2312"/>
          <w:bCs/>
          <w:sz w:val="28"/>
          <w:szCs w:val="28"/>
        </w:rPr>
        <w:t>羧酸及其衍生物</w:t>
      </w:r>
      <w:r>
        <w:rPr>
          <w:rFonts w:ascii="仿宋_GB2312" w:hAnsi="仿宋_GB2312" w:cs="仿宋_GB2312" w:hint="eastAsia"/>
          <w:bCs/>
          <w:sz w:val="28"/>
          <w:szCs w:val="28"/>
        </w:rPr>
        <w:t>、</w:t>
      </w:r>
      <w:r>
        <w:rPr>
          <w:rFonts w:ascii="仿宋_GB2312" w:hAnsi="仿宋_GB2312" w:cs="仿宋_GB2312"/>
          <w:bCs/>
          <w:sz w:val="28"/>
          <w:szCs w:val="28"/>
        </w:rPr>
        <w:t>含硫</w:t>
      </w:r>
      <w:r>
        <w:rPr>
          <w:rFonts w:ascii="仿宋_GB2312" w:hAnsi="仿宋_GB2312" w:cs="仿宋_GB2312" w:hint="eastAsia"/>
          <w:bCs/>
          <w:sz w:val="28"/>
          <w:szCs w:val="28"/>
        </w:rPr>
        <w:t>、</w:t>
      </w:r>
      <w:r>
        <w:rPr>
          <w:rFonts w:ascii="仿宋_GB2312" w:hAnsi="仿宋_GB2312" w:cs="仿宋_GB2312"/>
          <w:bCs/>
          <w:sz w:val="28"/>
          <w:szCs w:val="28"/>
        </w:rPr>
        <w:t>含氮有机物</w:t>
      </w:r>
      <w:r>
        <w:rPr>
          <w:rFonts w:ascii="仿宋_GB2312" w:hAnsi="仿宋_GB2312" w:cs="仿宋_GB2312" w:hint="eastAsia"/>
          <w:bCs/>
          <w:sz w:val="28"/>
          <w:szCs w:val="28"/>
        </w:rPr>
        <w:t>、</w:t>
      </w:r>
      <w:r>
        <w:rPr>
          <w:rFonts w:ascii="仿宋_GB2312" w:hAnsi="仿宋_GB2312" w:cs="仿宋_GB2312"/>
          <w:bCs/>
          <w:sz w:val="28"/>
          <w:szCs w:val="28"/>
        </w:rPr>
        <w:t>杂化化合物</w:t>
      </w:r>
      <w:r>
        <w:rPr>
          <w:rFonts w:ascii="仿宋_GB2312" w:hAnsi="仿宋_GB2312" w:cs="仿宋_GB2312" w:hint="eastAsia"/>
          <w:bCs/>
          <w:sz w:val="28"/>
          <w:szCs w:val="28"/>
        </w:rPr>
        <w:t>、</w:t>
      </w:r>
      <w:r>
        <w:rPr>
          <w:rFonts w:ascii="仿宋_GB2312" w:hAnsi="仿宋_GB2312" w:cs="仿宋_GB2312"/>
          <w:bCs/>
          <w:sz w:val="28"/>
          <w:szCs w:val="28"/>
        </w:rPr>
        <w:t>碳水化合物</w:t>
      </w:r>
      <w:r>
        <w:rPr>
          <w:rFonts w:ascii="仿宋_GB2312" w:hAnsi="仿宋_GB2312" w:cs="仿宋_GB2312" w:hint="eastAsia"/>
          <w:bCs/>
          <w:sz w:val="28"/>
          <w:szCs w:val="28"/>
        </w:rPr>
        <w:t>、</w:t>
      </w:r>
      <w:r>
        <w:rPr>
          <w:rFonts w:ascii="仿宋_GB2312" w:hAnsi="仿宋_GB2312" w:cs="仿宋_GB2312"/>
          <w:bCs/>
          <w:sz w:val="28"/>
          <w:szCs w:val="28"/>
        </w:rPr>
        <w:t>氨基酸</w:t>
      </w:r>
      <w:r>
        <w:rPr>
          <w:rFonts w:ascii="仿宋_GB2312" w:hAnsi="仿宋_GB2312" w:cs="仿宋_GB2312" w:hint="eastAsia"/>
          <w:bCs/>
          <w:sz w:val="28"/>
          <w:szCs w:val="28"/>
        </w:rPr>
        <w:t>、</w:t>
      </w:r>
      <w:r>
        <w:rPr>
          <w:rFonts w:ascii="仿宋_GB2312" w:hAnsi="仿宋_GB2312" w:cs="仿宋_GB2312"/>
          <w:bCs/>
          <w:sz w:val="28"/>
          <w:szCs w:val="28"/>
        </w:rPr>
        <w:t>蛋白质</w:t>
      </w:r>
      <w:r>
        <w:rPr>
          <w:rFonts w:ascii="仿宋_GB2312" w:hAnsi="仿宋_GB2312" w:cs="仿宋_GB2312" w:hint="eastAsia"/>
          <w:bCs/>
          <w:sz w:val="28"/>
          <w:szCs w:val="28"/>
        </w:rPr>
        <w:t>、</w:t>
      </w:r>
      <w:r>
        <w:rPr>
          <w:rFonts w:ascii="仿宋_GB2312" w:hAnsi="仿宋_GB2312" w:cs="仿宋_GB2312"/>
          <w:bCs/>
          <w:sz w:val="28"/>
          <w:szCs w:val="28"/>
        </w:rPr>
        <w:t>核酸</w:t>
      </w:r>
      <w:r>
        <w:rPr>
          <w:rFonts w:ascii="仿宋_GB2312" w:hAnsi="仿宋_GB2312" w:cs="仿宋_GB2312" w:hint="eastAsia"/>
          <w:bCs/>
          <w:sz w:val="28"/>
          <w:szCs w:val="28"/>
        </w:rPr>
        <w:t>、</w:t>
      </w:r>
      <w:r>
        <w:rPr>
          <w:rFonts w:ascii="仿宋_GB2312" w:hAnsi="仿宋_GB2312" w:cs="仿宋_GB2312"/>
          <w:bCs/>
          <w:sz w:val="28"/>
          <w:szCs w:val="28"/>
        </w:rPr>
        <w:t>高分子化合物的结构和物理化学性质以及在现实生活生产中的应用</w:t>
      </w:r>
      <w:r>
        <w:rPr>
          <w:rFonts w:ascii="仿宋_GB2312" w:hAnsi="仿宋_GB2312" w:cs="仿宋_GB2312" w:hint="eastAsia"/>
          <w:bCs/>
          <w:sz w:val="28"/>
          <w:szCs w:val="28"/>
        </w:rPr>
        <w:t>；掌握立体化学基础及测定有机物结构的物理方法；熟知水处理中常见的有机物及其检测、去除方法。</w:t>
      </w:r>
    </w:p>
    <w:p w:rsidR="008C3907" w:rsidRDefault="008C3907" w:rsidP="008C3907">
      <w:pPr>
        <w:spacing w:line="560" w:lineRule="exact"/>
        <w:ind w:firstLine="329"/>
        <w:rPr>
          <w:rFonts w:ascii="仿宋_GB2312" w:hAnsi="仿宋_GB2312" w:cs="仿宋_GB2312"/>
          <w:bCs/>
          <w:sz w:val="28"/>
          <w:szCs w:val="28"/>
        </w:rPr>
      </w:pPr>
      <w:r>
        <w:rPr>
          <w:rFonts w:ascii="仿宋_GB2312" w:hAnsi="仿宋_GB2312" w:cs="仿宋_GB2312" w:hint="eastAsia"/>
          <w:sz w:val="28"/>
          <w:szCs w:val="28"/>
        </w:rPr>
        <w:t>能力目标：能够明确</w:t>
      </w:r>
      <w:r>
        <w:rPr>
          <w:rFonts w:ascii="仿宋_GB2312" w:hAnsi="仿宋_GB2312" w:cs="仿宋_GB2312"/>
          <w:bCs/>
          <w:sz w:val="28"/>
          <w:szCs w:val="28"/>
        </w:rPr>
        <w:t>水处理工程中所涉及的有机污染质的种类和性质，具备在实际工程应用中相关有机污染质的分析及处理能力</w:t>
      </w:r>
      <w:r>
        <w:rPr>
          <w:rFonts w:ascii="仿宋_GB2312" w:hAnsi="仿宋_GB2312" w:cs="仿宋_GB2312" w:hint="eastAsia"/>
          <w:bCs/>
          <w:sz w:val="28"/>
          <w:szCs w:val="28"/>
        </w:rPr>
        <w:t>；</w:t>
      </w:r>
      <w:r>
        <w:rPr>
          <w:rFonts w:ascii="仿宋_GB2312" w:hAnsi="仿宋_GB2312" w:cs="仿宋_GB2312"/>
          <w:bCs/>
          <w:sz w:val="28"/>
          <w:szCs w:val="28"/>
        </w:rPr>
        <w:t>英语</w:t>
      </w:r>
      <w:r>
        <w:rPr>
          <w:rFonts w:ascii="仿宋_GB2312" w:hAnsi="仿宋_GB2312" w:cs="仿宋_GB2312" w:hint="eastAsia"/>
          <w:bCs/>
          <w:sz w:val="28"/>
          <w:szCs w:val="28"/>
        </w:rPr>
        <w:t>听说</w:t>
      </w:r>
      <w:r>
        <w:rPr>
          <w:rFonts w:ascii="仿宋_GB2312" w:hAnsi="仿宋_GB2312" w:cs="仿宋_GB2312"/>
          <w:bCs/>
          <w:sz w:val="28"/>
          <w:szCs w:val="28"/>
        </w:rPr>
        <w:t>能力</w:t>
      </w:r>
      <w:r>
        <w:rPr>
          <w:rFonts w:ascii="仿宋_GB2312" w:hAnsi="仿宋_GB2312" w:cs="仿宋_GB2312" w:hint="eastAsia"/>
          <w:bCs/>
          <w:sz w:val="28"/>
          <w:szCs w:val="28"/>
        </w:rPr>
        <w:t>、专业文献阅读能力</w:t>
      </w:r>
      <w:r>
        <w:rPr>
          <w:rFonts w:ascii="仿宋_GB2312" w:hAnsi="仿宋_GB2312" w:cs="仿宋_GB2312"/>
          <w:bCs/>
          <w:sz w:val="28"/>
          <w:szCs w:val="28"/>
        </w:rPr>
        <w:t>得到强化与提升</w:t>
      </w:r>
      <w:r>
        <w:rPr>
          <w:rFonts w:ascii="仿宋_GB2312" w:hAnsi="仿宋_GB2312" w:cs="仿宋_GB2312" w:hint="eastAsia"/>
          <w:bCs/>
          <w:sz w:val="28"/>
          <w:szCs w:val="28"/>
        </w:rPr>
        <w:t>。</w:t>
      </w:r>
    </w:p>
    <w:p w:rsidR="008C3907" w:rsidRDefault="008C3907" w:rsidP="008C3907">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情感态度与价值观目标：加强专业素养、弘扬创新精神，树立专业自信和职业责任感，规划职业发展，激发爱国热情。</w:t>
      </w:r>
    </w:p>
    <w:p w:rsidR="008C3907" w:rsidRDefault="008C3907" w:rsidP="008C3907">
      <w:pPr>
        <w:spacing w:before="120" w:after="480" w:line="560" w:lineRule="exact"/>
        <w:ind w:firstLine="329"/>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493"/>
        <w:gridCol w:w="493"/>
        <w:gridCol w:w="498"/>
        <w:gridCol w:w="498"/>
        <w:gridCol w:w="487"/>
        <w:gridCol w:w="487"/>
        <w:gridCol w:w="498"/>
        <w:gridCol w:w="499"/>
        <w:gridCol w:w="488"/>
        <w:gridCol w:w="510"/>
        <w:gridCol w:w="510"/>
        <w:gridCol w:w="510"/>
      </w:tblGrid>
      <w:tr w:rsidR="008C3907" w:rsidTr="008C3907">
        <w:trPr>
          <w:trHeight w:hRule="exact" w:val="454"/>
          <w:jc w:val="center"/>
        </w:trPr>
        <w:tc>
          <w:tcPr>
            <w:tcW w:w="2743" w:type="dxa"/>
            <w:vMerge w:val="restart"/>
            <w:shd w:val="clear" w:color="auto" w:fill="auto"/>
            <w:vAlign w:val="center"/>
          </w:tcPr>
          <w:p w:rsidR="008C3907" w:rsidRDefault="008C3907" w:rsidP="008C3907">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lastRenderedPageBreak/>
              <w:t>课程目标</w:t>
            </w:r>
          </w:p>
        </w:tc>
        <w:tc>
          <w:tcPr>
            <w:tcW w:w="6233" w:type="dxa"/>
            <w:gridSpan w:val="12"/>
            <w:shd w:val="clear" w:color="auto" w:fill="auto"/>
            <w:vAlign w:val="center"/>
          </w:tcPr>
          <w:p w:rsidR="008C3907" w:rsidRDefault="008C3907" w:rsidP="008C3907">
            <w:pPr>
              <w:jc w:val="center"/>
              <w:rPr>
                <w:rFonts w:ascii="仿宋_GB2312" w:hAnsi="仿宋_GB2312" w:cs="仿宋_GB2312"/>
                <w:bCs/>
                <w:sz w:val="20"/>
                <w:szCs w:val="20"/>
              </w:rPr>
            </w:pPr>
            <w:r>
              <w:rPr>
                <w:rFonts w:ascii="仿宋_GB2312" w:hAnsi="仿宋_GB2312" w:cs="仿宋_GB2312" w:hint="eastAsia"/>
                <w:bCs/>
                <w:sz w:val="20"/>
                <w:szCs w:val="20"/>
              </w:rPr>
              <w:t>毕业要求</w:t>
            </w:r>
          </w:p>
        </w:tc>
      </w:tr>
      <w:tr w:rsidR="008C3907" w:rsidTr="008C3907">
        <w:trPr>
          <w:trHeight w:hRule="exact" w:val="454"/>
          <w:jc w:val="center"/>
        </w:trPr>
        <w:tc>
          <w:tcPr>
            <w:tcW w:w="2743" w:type="dxa"/>
            <w:vMerge/>
            <w:shd w:val="clear" w:color="auto" w:fill="auto"/>
          </w:tcPr>
          <w:p w:rsidR="008C3907" w:rsidRDefault="008C3907" w:rsidP="008C3907">
            <w:pPr>
              <w:spacing w:line="360" w:lineRule="auto"/>
              <w:rPr>
                <w:rFonts w:ascii="仿宋_GB2312" w:hAnsi="仿宋_GB2312" w:cs="仿宋_GB2312"/>
                <w:bCs/>
                <w:sz w:val="20"/>
                <w:szCs w:val="20"/>
              </w:rPr>
            </w:pPr>
          </w:p>
        </w:tc>
        <w:tc>
          <w:tcPr>
            <w:tcW w:w="519" w:type="dxa"/>
            <w:shd w:val="clear" w:color="auto" w:fill="auto"/>
            <w:vAlign w:val="center"/>
          </w:tcPr>
          <w:p w:rsidR="008C3907" w:rsidRDefault="008C3907" w:rsidP="008C3907">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1</w:t>
            </w:r>
          </w:p>
        </w:tc>
        <w:tc>
          <w:tcPr>
            <w:tcW w:w="519" w:type="dxa"/>
            <w:shd w:val="clear" w:color="auto" w:fill="auto"/>
            <w:vAlign w:val="center"/>
          </w:tcPr>
          <w:p w:rsidR="008C3907" w:rsidRDefault="008C3907" w:rsidP="008C3907">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2</w:t>
            </w:r>
          </w:p>
        </w:tc>
        <w:tc>
          <w:tcPr>
            <w:tcW w:w="519" w:type="dxa"/>
            <w:shd w:val="clear" w:color="auto" w:fill="auto"/>
            <w:vAlign w:val="center"/>
          </w:tcPr>
          <w:p w:rsidR="008C3907" w:rsidRDefault="008C3907" w:rsidP="008C3907">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3</w:t>
            </w: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4</w:t>
            </w: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5</w:t>
            </w: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6</w:t>
            </w: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7</w:t>
            </w:r>
          </w:p>
        </w:tc>
        <w:tc>
          <w:tcPr>
            <w:tcW w:w="520"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8</w:t>
            </w:r>
          </w:p>
        </w:tc>
        <w:tc>
          <w:tcPr>
            <w:tcW w:w="520"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9</w:t>
            </w:r>
          </w:p>
        </w:tc>
        <w:tc>
          <w:tcPr>
            <w:tcW w:w="520"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10</w:t>
            </w:r>
          </w:p>
        </w:tc>
        <w:tc>
          <w:tcPr>
            <w:tcW w:w="520"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11</w:t>
            </w:r>
          </w:p>
        </w:tc>
        <w:tc>
          <w:tcPr>
            <w:tcW w:w="520"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12</w:t>
            </w:r>
          </w:p>
        </w:tc>
      </w:tr>
      <w:tr w:rsidR="008C3907" w:rsidTr="008C3907">
        <w:trPr>
          <w:trHeight w:hRule="exact" w:val="454"/>
          <w:jc w:val="center"/>
        </w:trPr>
        <w:tc>
          <w:tcPr>
            <w:tcW w:w="2743" w:type="dxa"/>
            <w:shd w:val="clear" w:color="auto" w:fill="auto"/>
            <w:vAlign w:val="center"/>
          </w:tcPr>
          <w:p w:rsidR="008C3907" w:rsidRDefault="008C3907" w:rsidP="008C3907">
            <w:pPr>
              <w:tabs>
                <w:tab w:val="left" w:pos="6300"/>
              </w:tabs>
              <w:spacing w:line="360" w:lineRule="atLeast"/>
              <w:jc w:val="center"/>
              <w:rPr>
                <w:rFonts w:ascii="仿宋_GB2312" w:hAnsi="仿宋_GB2312" w:cs="仿宋_GB2312"/>
                <w:bCs/>
                <w:sz w:val="20"/>
                <w:szCs w:val="20"/>
              </w:rPr>
            </w:pPr>
            <w:r>
              <w:rPr>
                <w:rFonts w:ascii="仿宋_GB2312" w:hAnsi="仿宋_GB2312" w:cs="仿宋_GB2312" w:hint="eastAsia"/>
                <w:bCs/>
                <w:sz w:val="20"/>
                <w:szCs w:val="20"/>
              </w:rPr>
              <w:t>知识目标</w:t>
            </w: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20" w:type="dxa"/>
            <w:shd w:val="clear" w:color="auto" w:fill="auto"/>
          </w:tcPr>
          <w:p w:rsidR="008C3907" w:rsidRDefault="008C3907" w:rsidP="008C3907">
            <w:pPr>
              <w:spacing w:line="360" w:lineRule="auto"/>
              <w:rPr>
                <w:rFonts w:ascii="仿宋_GB2312" w:hAnsi="仿宋_GB2312" w:cs="仿宋_GB2312"/>
                <w:bCs/>
                <w:sz w:val="20"/>
                <w:szCs w:val="20"/>
              </w:rPr>
            </w:pPr>
          </w:p>
        </w:tc>
        <w:tc>
          <w:tcPr>
            <w:tcW w:w="520" w:type="dxa"/>
            <w:shd w:val="clear" w:color="auto" w:fill="auto"/>
          </w:tcPr>
          <w:p w:rsidR="008C3907" w:rsidRDefault="008C3907" w:rsidP="008C3907">
            <w:pPr>
              <w:spacing w:line="360" w:lineRule="auto"/>
              <w:rPr>
                <w:rFonts w:ascii="仿宋_GB2312" w:hAnsi="仿宋_GB2312" w:cs="仿宋_GB2312"/>
                <w:bCs/>
                <w:sz w:val="20"/>
                <w:szCs w:val="20"/>
              </w:rPr>
            </w:pPr>
          </w:p>
        </w:tc>
        <w:tc>
          <w:tcPr>
            <w:tcW w:w="520" w:type="dxa"/>
            <w:shd w:val="clear" w:color="auto" w:fill="auto"/>
          </w:tcPr>
          <w:p w:rsidR="008C3907" w:rsidRDefault="008C3907" w:rsidP="008C3907">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L</w:t>
            </w:r>
          </w:p>
        </w:tc>
        <w:tc>
          <w:tcPr>
            <w:tcW w:w="520" w:type="dxa"/>
            <w:shd w:val="clear" w:color="auto" w:fill="auto"/>
          </w:tcPr>
          <w:p w:rsidR="008C3907" w:rsidRDefault="008C3907" w:rsidP="008C3907">
            <w:pPr>
              <w:spacing w:line="360" w:lineRule="auto"/>
              <w:rPr>
                <w:rFonts w:ascii="仿宋_GB2312" w:hAnsi="仿宋_GB2312" w:cs="仿宋_GB2312"/>
                <w:bCs/>
                <w:sz w:val="20"/>
                <w:szCs w:val="20"/>
              </w:rPr>
            </w:pPr>
          </w:p>
        </w:tc>
        <w:tc>
          <w:tcPr>
            <w:tcW w:w="520" w:type="dxa"/>
            <w:shd w:val="clear" w:color="auto" w:fill="auto"/>
          </w:tcPr>
          <w:p w:rsidR="008C3907" w:rsidRDefault="008C3907" w:rsidP="008C3907">
            <w:pPr>
              <w:spacing w:line="360" w:lineRule="auto"/>
              <w:rPr>
                <w:rFonts w:ascii="仿宋_GB2312" w:hAnsi="仿宋_GB2312" w:cs="仿宋_GB2312"/>
                <w:bCs/>
                <w:sz w:val="20"/>
                <w:szCs w:val="20"/>
              </w:rPr>
            </w:pPr>
          </w:p>
        </w:tc>
      </w:tr>
      <w:tr w:rsidR="008C3907" w:rsidTr="008C3907">
        <w:trPr>
          <w:trHeight w:hRule="exact" w:val="454"/>
          <w:jc w:val="center"/>
        </w:trPr>
        <w:tc>
          <w:tcPr>
            <w:tcW w:w="2743" w:type="dxa"/>
            <w:shd w:val="clear" w:color="auto" w:fill="auto"/>
          </w:tcPr>
          <w:p w:rsidR="008C3907" w:rsidRDefault="008C3907" w:rsidP="008C3907">
            <w:pPr>
              <w:tabs>
                <w:tab w:val="left" w:pos="6300"/>
              </w:tabs>
              <w:spacing w:line="360" w:lineRule="atLeast"/>
              <w:jc w:val="center"/>
              <w:rPr>
                <w:rFonts w:ascii="仿宋_GB2312" w:hAnsi="仿宋_GB2312" w:cs="仿宋_GB2312"/>
                <w:bCs/>
                <w:sz w:val="20"/>
                <w:szCs w:val="20"/>
              </w:rPr>
            </w:pPr>
            <w:r>
              <w:rPr>
                <w:rFonts w:ascii="仿宋_GB2312" w:hAnsi="仿宋_GB2312" w:cs="仿宋_GB2312" w:hint="eastAsia"/>
                <w:bCs/>
                <w:sz w:val="20"/>
                <w:szCs w:val="20"/>
              </w:rPr>
              <w:t>能力目标</w:t>
            </w:r>
          </w:p>
        </w:tc>
        <w:tc>
          <w:tcPr>
            <w:tcW w:w="519" w:type="dxa"/>
            <w:shd w:val="clear" w:color="auto" w:fill="auto"/>
            <w:vAlign w:val="center"/>
          </w:tcPr>
          <w:p w:rsidR="008C3907" w:rsidRDefault="008C3907" w:rsidP="008C3907">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H</w:t>
            </w:r>
          </w:p>
        </w:tc>
        <w:tc>
          <w:tcPr>
            <w:tcW w:w="519" w:type="dxa"/>
            <w:shd w:val="clear" w:color="auto" w:fill="auto"/>
            <w:vAlign w:val="center"/>
          </w:tcPr>
          <w:p w:rsidR="008C3907" w:rsidRDefault="008C3907" w:rsidP="008C3907">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H</w:t>
            </w: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20" w:type="dxa"/>
            <w:shd w:val="clear" w:color="auto" w:fill="auto"/>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20" w:type="dxa"/>
            <w:shd w:val="clear" w:color="auto" w:fill="auto"/>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20" w:type="dxa"/>
            <w:shd w:val="clear" w:color="auto" w:fill="auto"/>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20" w:type="dxa"/>
            <w:shd w:val="clear" w:color="auto" w:fill="auto"/>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20" w:type="dxa"/>
            <w:shd w:val="clear" w:color="auto" w:fill="auto"/>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r>
      <w:tr w:rsidR="008C3907" w:rsidTr="008C3907">
        <w:trPr>
          <w:trHeight w:hRule="exact" w:val="454"/>
          <w:jc w:val="center"/>
        </w:trPr>
        <w:tc>
          <w:tcPr>
            <w:tcW w:w="2743" w:type="dxa"/>
            <w:shd w:val="clear" w:color="auto" w:fill="auto"/>
          </w:tcPr>
          <w:p w:rsidR="008C3907" w:rsidRDefault="008C3907" w:rsidP="008C3907">
            <w:pPr>
              <w:tabs>
                <w:tab w:val="left" w:pos="6300"/>
              </w:tabs>
              <w:spacing w:line="360" w:lineRule="atLeast"/>
              <w:jc w:val="center"/>
              <w:rPr>
                <w:rFonts w:ascii="仿宋_GB2312" w:hAnsi="仿宋_GB2312" w:cs="仿宋_GB2312"/>
                <w:bCs/>
                <w:sz w:val="20"/>
                <w:szCs w:val="20"/>
              </w:rPr>
            </w:pPr>
            <w:r>
              <w:rPr>
                <w:rFonts w:ascii="仿宋_GB2312" w:hAnsi="仿宋_GB2312" w:cs="仿宋_GB2312" w:hint="eastAsia"/>
                <w:bCs/>
                <w:sz w:val="20"/>
                <w:szCs w:val="20"/>
              </w:rPr>
              <w:t>情感态度与价值观目标</w:t>
            </w:r>
          </w:p>
        </w:tc>
        <w:tc>
          <w:tcPr>
            <w:tcW w:w="519" w:type="dxa"/>
            <w:shd w:val="clear" w:color="auto" w:fill="auto"/>
            <w:vAlign w:val="center"/>
          </w:tcPr>
          <w:p w:rsidR="008C3907" w:rsidRDefault="008C3907" w:rsidP="008C3907">
            <w:pPr>
              <w:spacing w:line="360" w:lineRule="auto"/>
              <w:jc w:val="center"/>
              <w:rPr>
                <w:rFonts w:ascii="仿宋_GB2312" w:hAnsi="仿宋_GB2312" w:cs="仿宋_GB2312"/>
                <w:bCs/>
                <w:sz w:val="20"/>
                <w:szCs w:val="20"/>
              </w:rPr>
            </w:pPr>
          </w:p>
        </w:tc>
        <w:tc>
          <w:tcPr>
            <w:tcW w:w="519" w:type="dxa"/>
            <w:shd w:val="clear" w:color="auto" w:fill="auto"/>
            <w:vAlign w:val="center"/>
          </w:tcPr>
          <w:p w:rsidR="008C3907" w:rsidRDefault="008C3907" w:rsidP="008C3907">
            <w:pPr>
              <w:spacing w:line="360" w:lineRule="auto"/>
              <w:jc w:val="center"/>
              <w:rPr>
                <w:rFonts w:ascii="仿宋_GB2312" w:hAnsi="仿宋_GB2312" w:cs="仿宋_GB2312"/>
                <w:bCs/>
                <w:sz w:val="20"/>
                <w:szCs w:val="20"/>
              </w:rPr>
            </w:pP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20" w:type="dxa"/>
            <w:shd w:val="clear" w:color="auto" w:fill="auto"/>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c>
          <w:tcPr>
            <w:tcW w:w="520" w:type="dxa"/>
            <w:shd w:val="clear" w:color="auto" w:fill="auto"/>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L</w:t>
            </w:r>
          </w:p>
        </w:tc>
        <w:tc>
          <w:tcPr>
            <w:tcW w:w="520" w:type="dxa"/>
            <w:shd w:val="clear" w:color="auto" w:fill="auto"/>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20" w:type="dxa"/>
            <w:shd w:val="clear" w:color="auto" w:fill="auto"/>
          </w:tcPr>
          <w:p w:rsidR="008C3907" w:rsidRDefault="008C3907" w:rsidP="008C3907">
            <w:pPr>
              <w:tabs>
                <w:tab w:val="left" w:pos="6300"/>
              </w:tabs>
              <w:spacing w:line="360" w:lineRule="atLeast"/>
              <w:jc w:val="center"/>
              <w:rPr>
                <w:rFonts w:ascii="华文中宋" w:eastAsia="华文中宋" w:hAnsi="华文中宋" w:cs="宋体"/>
                <w:bCs/>
                <w:sz w:val="20"/>
                <w:szCs w:val="20"/>
              </w:rPr>
            </w:pPr>
          </w:p>
        </w:tc>
        <w:tc>
          <w:tcPr>
            <w:tcW w:w="520" w:type="dxa"/>
            <w:shd w:val="clear" w:color="auto" w:fill="auto"/>
          </w:tcPr>
          <w:p w:rsidR="008C3907" w:rsidRDefault="008C3907"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r>
    </w:tbl>
    <w:p w:rsidR="008C3907" w:rsidRDefault="008C3907" w:rsidP="008C3907">
      <w:pPr>
        <w:spacing w:before="240" w:line="360" w:lineRule="auto"/>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课程重点：有机物的种类、结构、理化性质及其实际应用</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课程难点：给排水水质工程中的有机化学原理与应用。</w:t>
      </w:r>
    </w:p>
    <w:p w:rsidR="008C3907" w:rsidRDefault="008C3907" w:rsidP="008C3907">
      <w:pPr>
        <w:spacing w:line="360" w:lineRule="auto"/>
        <w:ind w:left="331"/>
        <w:rPr>
          <w:rFonts w:ascii="仿宋_GB2312" w:hAnsi="仿宋_GB2312" w:cs="仿宋_GB2312"/>
          <w:sz w:val="28"/>
          <w:szCs w:val="28"/>
        </w:rPr>
      </w:pPr>
      <w:r>
        <w:rPr>
          <w:rFonts w:ascii="仿宋_GB2312" w:hAnsi="仿宋_GB2312" w:cs="仿宋_GB2312" w:hint="eastAsia"/>
          <w:sz w:val="28"/>
          <w:szCs w:val="28"/>
        </w:rPr>
        <w:t>4. 课程思政设计</w:t>
      </w:r>
    </w:p>
    <w:p w:rsidR="008C3907" w:rsidRDefault="008C3907" w:rsidP="008C3907">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在教学过程中，以知识传授和能力培养为基底，通过教师和学生之间充分的思想交流、具有创新意识的思维碰撞，利用教师积极的生活态度、学习及生活经验等多种形式，引领学生正确的价值取向，在充分展现我国的文化自信的同时，引导学生成为社会新的中流砥柱，完成他们的历史担当。通过对课程知识点进行重新梳理，整理传统文化、马克思主义和中国发展建设过程中的相关成就，挖掘本课程的思想教育元素如下：</w:t>
      </w:r>
    </w:p>
    <w:p w:rsidR="008C3907" w:rsidRDefault="008C3907" w:rsidP="008C3907">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结合我国有关有机物合成及使用的历史和经验，展现文化自信。如：1965年胰岛素的合成、1981年实现化学结构与天然物相同的核糖核酸的合成，推动基因工程发展；我国出现了很多著名的化学家，如候德榜、庄长恭教授在有机合成方面做出卓越贡献；赵承嘏教授对植物化学，特别是对生物碱的分离结晶有独到之处；黄鸣龙教授发明的“黄鸣龙还原法”对有机化合物的合成和结构的测定已被国际上广泛应用，并写入各国有机化学教材。此外，</w:t>
      </w:r>
      <w:r>
        <w:rPr>
          <w:rFonts w:ascii="仿宋_GB2312" w:hAnsi="仿宋_GB2312" w:cs="仿宋_GB2312"/>
          <w:bCs/>
          <w:sz w:val="28"/>
          <w:szCs w:val="28"/>
        </w:rPr>
        <w:t>屠呦呦教授研究发现了青蒿素</w:t>
      </w:r>
      <w:r>
        <w:rPr>
          <w:rFonts w:ascii="仿宋_GB2312" w:hAnsi="仿宋_GB2312" w:cs="仿宋_GB2312" w:hint="eastAsia"/>
          <w:bCs/>
          <w:sz w:val="28"/>
          <w:szCs w:val="28"/>
        </w:rPr>
        <w:t>，</w:t>
      </w:r>
      <w:r>
        <w:rPr>
          <w:rFonts w:ascii="仿宋_GB2312" w:hAnsi="仿宋_GB2312" w:cs="仿宋_GB2312"/>
          <w:bCs/>
          <w:sz w:val="28"/>
          <w:szCs w:val="28"/>
        </w:rPr>
        <w:t>成为中国首位诺贝尔医学奖获得者</w:t>
      </w:r>
      <w:r>
        <w:rPr>
          <w:rFonts w:ascii="仿宋_GB2312" w:hAnsi="仿宋_GB2312" w:cs="仿宋_GB2312" w:hint="eastAsia"/>
          <w:bCs/>
          <w:sz w:val="28"/>
          <w:szCs w:val="28"/>
        </w:rPr>
        <w:t>。</w:t>
      </w:r>
    </w:p>
    <w:p w:rsidR="008C3907" w:rsidRDefault="008C3907" w:rsidP="008C3907">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lastRenderedPageBreak/>
        <w:t>（2）近年来我国生存环境的改善，展现我国将国民健康放在首位的爱民、为民的国策。如大气污染治理、土壤和水污染治理等国家规划的实施；生态文明建设列入宪法等等。这些从根本上保障了人民的基本权利及对美好生活的向往。</w:t>
      </w:r>
    </w:p>
    <w:p w:rsidR="008C3907" w:rsidRDefault="008C3907" w:rsidP="008C3907">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（3）重大疫情积极有效的防治和救助，展现了大国责任和担当，充分体现我国国家政策的优越性和先进性。</w:t>
      </w:r>
    </w:p>
    <w:p w:rsidR="008C3907" w:rsidRDefault="008C3907" w:rsidP="005F6318">
      <w:pPr>
        <w:numPr>
          <w:ilvl w:val="0"/>
          <w:numId w:val="35"/>
        </w:num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723"/>
        <w:gridCol w:w="708"/>
        <w:gridCol w:w="3119"/>
        <w:gridCol w:w="3093"/>
      </w:tblGrid>
      <w:tr w:rsidR="008C3907" w:rsidTr="008C3907">
        <w:trPr>
          <w:cantSplit/>
          <w:trHeight w:val="785"/>
        </w:trPr>
        <w:tc>
          <w:tcPr>
            <w:tcW w:w="512" w:type="dxa"/>
            <w:vAlign w:val="center"/>
          </w:tcPr>
          <w:p w:rsidR="008C3907" w:rsidRDefault="008C3907" w:rsidP="008C3907">
            <w:pPr>
              <w:jc w:val="center"/>
              <w:rPr>
                <w:kern w:val="0"/>
                <w:sz w:val="20"/>
                <w:szCs w:val="20"/>
              </w:rPr>
            </w:pPr>
            <w:r>
              <w:rPr>
                <w:rFonts w:hint="eastAsia"/>
                <w:kern w:val="0"/>
                <w:sz w:val="20"/>
                <w:szCs w:val="20"/>
              </w:rPr>
              <w:t>序号</w:t>
            </w:r>
          </w:p>
        </w:tc>
        <w:tc>
          <w:tcPr>
            <w:tcW w:w="1723" w:type="dxa"/>
            <w:vAlign w:val="center"/>
          </w:tcPr>
          <w:p w:rsidR="008C3907" w:rsidRDefault="008C3907" w:rsidP="008C3907">
            <w:pPr>
              <w:jc w:val="center"/>
              <w:rPr>
                <w:kern w:val="0"/>
                <w:sz w:val="20"/>
                <w:szCs w:val="20"/>
              </w:rPr>
            </w:pPr>
            <w:r>
              <w:rPr>
                <w:rFonts w:hint="eastAsia"/>
                <w:kern w:val="0"/>
                <w:sz w:val="20"/>
                <w:szCs w:val="20"/>
              </w:rPr>
              <w:t>章</w:t>
            </w:r>
            <w:r>
              <w:rPr>
                <w:rFonts w:hint="eastAsia"/>
                <w:kern w:val="0"/>
                <w:sz w:val="20"/>
                <w:szCs w:val="20"/>
              </w:rPr>
              <w:t xml:space="preserve">  </w:t>
            </w:r>
            <w:r>
              <w:rPr>
                <w:rFonts w:hint="eastAsia"/>
                <w:kern w:val="0"/>
                <w:sz w:val="20"/>
                <w:szCs w:val="20"/>
              </w:rPr>
              <w:t>节</w:t>
            </w:r>
          </w:p>
        </w:tc>
        <w:tc>
          <w:tcPr>
            <w:tcW w:w="708" w:type="dxa"/>
            <w:vAlign w:val="center"/>
          </w:tcPr>
          <w:p w:rsidR="008C3907" w:rsidRDefault="008C3907" w:rsidP="008C3907">
            <w:pPr>
              <w:jc w:val="center"/>
              <w:rPr>
                <w:kern w:val="0"/>
                <w:sz w:val="20"/>
                <w:szCs w:val="20"/>
              </w:rPr>
            </w:pPr>
            <w:r>
              <w:rPr>
                <w:rFonts w:hint="eastAsia"/>
                <w:kern w:val="0"/>
                <w:sz w:val="20"/>
                <w:szCs w:val="20"/>
              </w:rPr>
              <w:t>参考学时</w:t>
            </w:r>
          </w:p>
        </w:tc>
        <w:tc>
          <w:tcPr>
            <w:tcW w:w="3119" w:type="dxa"/>
            <w:vAlign w:val="center"/>
          </w:tcPr>
          <w:p w:rsidR="008C3907" w:rsidRDefault="008C3907" w:rsidP="008C3907">
            <w:pPr>
              <w:jc w:val="center"/>
              <w:rPr>
                <w:kern w:val="0"/>
                <w:sz w:val="20"/>
                <w:szCs w:val="20"/>
              </w:rPr>
            </w:pPr>
            <w:r>
              <w:rPr>
                <w:rFonts w:hint="eastAsia"/>
                <w:kern w:val="0"/>
                <w:sz w:val="20"/>
                <w:szCs w:val="20"/>
              </w:rPr>
              <w:t>教学内容</w:t>
            </w:r>
          </w:p>
        </w:tc>
        <w:tc>
          <w:tcPr>
            <w:tcW w:w="3093" w:type="dxa"/>
            <w:vAlign w:val="center"/>
          </w:tcPr>
          <w:p w:rsidR="008C3907" w:rsidRDefault="008C3907" w:rsidP="008C3907">
            <w:pPr>
              <w:jc w:val="center"/>
              <w:rPr>
                <w:kern w:val="0"/>
                <w:sz w:val="20"/>
                <w:szCs w:val="20"/>
              </w:rPr>
            </w:pPr>
            <w:r>
              <w:rPr>
                <w:rFonts w:hint="eastAsia"/>
                <w:kern w:val="0"/>
                <w:sz w:val="20"/>
                <w:szCs w:val="20"/>
              </w:rPr>
              <w:t>基本要求</w:t>
            </w:r>
          </w:p>
        </w:tc>
      </w:tr>
      <w:tr w:rsidR="008C3907" w:rsidTr="008C3907">
        <w:trPr>
          <w:trHeight w:val="428"/>
        </w:trPr>
        <w:tc>
          <w:tcPr>
            <w:tcW w:w="512" w:type="dxa"/>
            <w:vAlign w:val="center"/>
          </w:tcPr>
          <w:p w:rsidR="008C3907" w:rsidRDefault="008C3907" w:rsidP="008C3907">
            <w:pPr>
              <w:jc w:val="center"/>
              <w:rPr>
                <w:kern w:val="0"/>
                <w:sz w:val="20"/>
                <w:szCs w:val="20"/>
              </w:rPr>
            </w:pPr>
            <w:r>
              <w:rPr>
                <w:rFonts w:hint="eastAsia"/>
                <w:kern w:val="0"/>
                <w:sz w:val="20"/>
                <w:szCs w:val="20"/>
              </w:rPr>
              <w:t>1</w:t>
            </w:r>
          </w:p>
        </w:tc>
        <w:tc>
          <w:tcPr>
            <w:tcW w:w="1723" w:type="dxa"/>
            <w:vAlign w:val="center"/>
          </w:tcPr>
          <w:p w:rsidR="008C3907" w:rsidRDefault="008C3907" w:rsidP="008C3907">
            <w:pPr>
              <w:jc w:val="center"/>
              <w:rPr>
                <w:kern w:val="0"/>
                <w:sz w:val="20"/>
                <w:szCs w:val="20"/>
              </w:rPr>
            </w:pPr>
            <w:r>
              <w:rPr>
                <w:kern w:val="0"/>
                <w:sz w:val="20"/>
                <w:szCs w:val="20"/>
              </w:rPr>
              <w:t>第一章</w:t>
            </w:r>
            <w:r>
              <w:rPr>
                <w:rFonts w:hint="eastAsia"/>
                <w:kern w:val="0"/>
                <w:sz w:val="20"/>
                <w:szCs w:val="20"/>
              </w:rPr>
              <w:t xml:space="preserve"> </w:t>
            </w:r>
            <w:r>
              <w:rPr>
                <w:rFonts w:hint="eastAsia"/>
                <w:kern w:val="0"/>
                <w:sz w:val="20"/>
                <w:szCs w:val="20"/>
              </w:rPr>
              <w:t>绪论</w:t>
            </w:r>
          </w:p>
        </w:tc>
        <w:tc>
          <w:tcPr>
            <w:tcW w:w="708" w:type="dxa"/>
            <w:vAlign w:val="center"/>
          </w:tcPr>
          <w:p w:rsidR="008C3907" w:rsidRDefault="008C3907" w:rsidP="008C3907">
            <w:pPr>
              <w:jc w:val="center"/>
              <w:rPr>
                <w:kern w:val="0"/>
                <w:sz w:val="20"/>
                <w:szCs w:val="20"/>
              </w:rPr>
            </w:pPr>
            <w:r>
              <w:rPr>
                <w:rFonts w:hint="eastAsia"/>
                <w:kern w:val="0"/>
                <w:sz w:val="20"/>
                <w:szCs w:val="20"/>
              </w:rPr>
              <w:t>2</w:t>
            </w:r>
          </w:p>
        </w:tc>
        <w:tc>
          <w:tcPr>
            <w:tcW w:w="3119" w:type="dxa"/>
            <w:vAlign w:val="center"/>
          </w:tcPr>
          <w:p w:rsidR="008C3907" w:rsidRDefault="008C3907" w:rsidP="008C3907">
            <w:pPr>
              <w:rPr>
                <w:kern w:val="0"/>
                <w:sz w:val="20"/>
                <w:szCs w:val="20"/>
              </w:rPr>
            </w:pPr>
            <w:r>
              <w:rPr>
                <w:rFonts w:hint="eastAsia"/>
                <w:kern w:val="0"/>
                <w:sz w:val="20"/>
                <w:szCs w:val="20"/>
              </w:rPr>
              <w:t>1.1</w:t>
            </w:r>
            <w:r>
              <w:rPr>
                <w:rFonts w:hint="eastAsia"/>
                <w:kern w:val="0"/>
                <w:sz w:val="20"/>
                <w:szCs w:val="20"/>
              </w:rPr>
              <w:t>有机化合物和有机化学</w:t>
            </w:r>
          </w:p>
          <w:p w:rsidR="008C3907" w:rsidRDefault="008C3907" w:rsidP="008C3907">
            <w:pPr>
              <w:rPr>
                <w:kern w:val="0"/>
                <w:sz w:val="20"/>
                <w:szCs w:val="20"/>
              </w:rPr>
            </w:pPr>
            <w:r>
              <w:rPr>
                <w:rFonts w:hint="eastAsia"/>
                <w:kern w:val="0"/>
                <w:sz w:val="20"/>
                <w:szCs w:val="20"/>
              </w:rPr>
              <w:t xml:space="preserve">1.2 </w:t>
            </w:r>
            <w:r>
              <w:rPr>
                <w:rFonts w:hint="eastAsia"/>
                <w:kern w:val="0"/>
                <w:sz w:val="20"/>
                <w:szCs w:val="20"/>
              </w:rPr>
              <w:t>有机化合物特点</w:t>
            </w:r>
          </w:p>
          <w:p w:rsidR="008C3907" w:rsidRDefault="008C3907" w:rsidP="008C3907">
            <w:pPr>
              <w:rPr>
                <w:kern w:val="0"/>
                <w:sz w:val="20"/>
                <w:szCs w:val="20"/>
              </w:rPr>
            </w:pPr>
            <w:r>
              <w:rPr>
                <w:rFonts w:hint="eastAsia"/>
                <w:kern w:val="0"/>
                <w:sz w:val="20"/>
                <w:szCs w:val="20"/>
              </w:rPr>
              <w:t>1.3</w:t>
            </w:r>
            <w:r>
              <w:rPr>
                <w:rFonts w:hint="eastAsia"/>
                <w:kern w:val="0"/>
                <w:sz w:val="20"/>
                <w:szCs w:val="20"/>
              </w:rPr>
              <w:t>有机化合物的结构</w:t>
            </w:r>
          </w:p>
          <w:p w:rsidR="008C3907" w:rsidRDefault="008C3907" w:rsidP="008C3907">
            <w:pPr>
              <w:rPr>
                <w:kern w:val="0"/>
                <w:sz w:val="20"/>
                <w:szCs w:val="20"/>
              </w:rPr>
            </w:pPr>
            <w:r>
              <w:rPr>
                <w:rFonts w:hint="eastAsia"/>
                <w:kern w:val="0"/>
                <w:sz w:val="20"/>
                <w:szCs w:val="20"/>
              </w:rPr>
              <w:t>1.4</w:t>
            </w:r>
            <w:r>
              <w:rPr>
                <w:rFonts w:hint="eastAsia"/>
                <w:kern w:val="0"/>
                <w:sz w:val="20"/>
                <w:szCs w:val="20"/>
              </w:rPr>
              <w:t>有机化学基本反应类型</w:t>
            </w:r>
          </w:p>
          <w:p w:rsidR="008C3907" w:rsidRDefault="008C3907" w:rsidP="008C3907">
            <w:pPr>
              <w:rPr>
                <w:kern w:val="0"/>
                <w:sz w:val="20"/>
                <w:szCs w:val="20"/>
              </w:rPr>
            </w:pPr>
            <w:r>
              <w:rPr>
                <w:rFonts w:hint="eastAsia"/>
                <w:kern w:val="0"/>
                <w:sz w:val="20"/>
                <w:szCs w:val="20"/>
              </w:rPr>
              <w:t>1.5</w:t>
            </w:r>
            <w:r>
              <w:rPr>
                <w:rFonts w:hint="eastAsia"/>
                <w:kern w:val="0"/>
                <w:sz w:val="20"/>
                <w:szCs w:val="20"/>
              </w:rPr>
              <w:t>有机化合物的分类</w:t>
            </w:r>
          </w:p>
          <w:p w:rsidR="008C3907" w:rsidRDefault="008C3907" w:rsidP="008C3907">
            <w:pPr>
              <w:rPr>
                <w:kern w:val="0"/>
                <w:sz w:val="20"/>
                <w:szCs w:val="20"/>
              </w:rPr>
            </w:pPr>
            <w:r>
              <w:rPr>
                <w:rFonts w:hint="eastAsia"/>
                <w:kern w:val="0"/>
                <w:sz w:val="20"/>
                <w:szCs w:val="20"/>
              </w:rPr>
              <w:t>1.6</w:t>
            </w:r>
            <w:r>
              <w:rPr>
                <w:rFonts w:hint="eastAsia"/>
                <w:kern w:val="0"/>
                <w:sz w:val="20"/>
                <w:szCs w:val="20"/>
              </w:rPr>
              <w:t>有机化学与建筑工程</w:t>
            </w:r>
          </w:p>
        </w:tc>
        <w:tc>
          <w:tcPr>
            <w:tcW w:w="3093" w:type="dxa"/>
            <w:vAlign w:val="center"/>
          </w:tcPr>
          <w:p w:rsidR="008C3907" w:rsidRDefault="008C3907" w:rsidP="008C3907">
            <w:pPr>
              <w:rPr>
                <w:kern w:val="0"/>
                <w:sz w:val="20"/>
                <w:szCs w:val="20"/>
              </w:rPr>
            </w:pPr>
            <w:r>
              <w:rPr>
                <w:kern w:val="0"/>
                <w:sz w:val="20"/>
                <w:szCs w:val="20"/>
              </w:rPr>
              <w:t>了解有机化学的基本理论和重要概念：原子、电子、轨道、价键和极性</w:t>
            </w:r>
            <w:r>
              <w:rPr>
                <w:rFonts w:hint="eastAsia"/>
                <w:kern w:val="0"/>
                <w:sz w:val="20"/>
                <w:szCs w:val="20"/>
              </w:rPr>
              <w:t>；</w:t>
            </w:r>
            <w:r>
              <w:rPr>
                <w:kern w:val="0"/>
                <w:sz w:val="20"/>
                <w:szCs w:val="20"/>
              </w:rPr>
              <w:t>掌握简单分子的结构</w:t>
            </w:r>
          </w:p>
        </w:tc>
      </w:tr>
      <w:tr w:rsidR="008C3907" w:rsidTr="008C3907">
        <w:trPr>
          <w:trHeight w:val="519"/>
        </w:trPr>
        <w:tc>
          <w:tcPr>
            <w:tcW w:w="512" w:type="dxa"/>
            <w:vAlign w:val="center"/>
          </w:tcPr>
          <w:p w:rsidR="008C3907" w:rsidRDefault="008C3907" w:rsidP="008C3907">
            <w:pPr>
              <w:jc w:val="center"/>
              <w:rPr>
                <w:kern w:val="0"/>
                <w:sz w:val="20"/>
                <w:szCs w:val="20"/>
              </w:rPr>
            </w:pPr>
            <w:r>
              <w:rPr>
                <w:rFonts w:hint="eastAsia"/>
                <w:kern w:val="0"/>
                <w:sz w:val="20"/>
                <w:szCs w:val="20"/>
              </w:rPr>
              <w:t>2</w:t>
            </w:r>
          </w:p>
        </w:tc>
        <w:tc>
          <w:tcPr>
            <w:tcW w:w="1723" w:type="dxa"/>
            <w:vAlign w:val="center"/>
          </w:tcPr>
          <w:p w:rsidR="008C3907" w:rsidRDefault="008C3907" w:rsidP="008C3907">
            <w:pPr>
              <w:jc w:val="center"/>
              <w:rPr>
                <w:kern w:val="0"/>
                <w:sz w:val="20"/>
                <w:szCs w:val="20"/>
              </w:rPr>
            </w:pPr>
            <w:r>
              <w:rPr>
                <w:kern w:val="0"/>
                <w:sz w:val="20"/>
                <w:szCs w:val="20"/>
              </w:rPr>
              <w:t>第二章</w:t>
            </w:r>
            <w:r>
              <w:rPr>
                <w:rFonts w:hint="eastAsia"/>
                <w:kern w:val="0"/>
                <w:sz w:val="20"/>
                <w:szCs w:val="20"/>
              </w:rPr>
              <w:t xml:space="preserve"> </w:t>
            </w:r>
            <w:r>
              <w:rPr>
                <w:rFonts w:hint="eastAsia"/>
                <w:kern w:val="0"/>
                <w:sz w:val="20"/>
                <w:szCs w:val="20"/>
              </w:rPr>
              <w:t>烃</w:t>
            </w:r>
          </w:p>
        </w:tc>
        <w:tc>
          <w:tcPr>
            <w:tcW w:w="708" w:type="dxa"/>
            <w:vAlign w:val="center"/>
          </w:tcPr>
          <w:p w:rsidR="008C3907" w:rsidRDefault="008C3907" w:rsidP="008C3907">
            <w:pPr>
              <w:jc w:val="center"/>
              <w:rPr>
                <w:kern w:val="0"/>
                <w:sz w:val="20"/>
                <w:szCs w:val="20"/>
              </w:rPr>
            </w:pPr>
            <w:r>
              <w:rPr>
                <w:rFonts w:hint="eastAsia"/>
                <w:kern w:val="0"/>
                <w:sz w:val="20"/>
                <w:szCs w:val="20"/>
              </w:rPr>
              <w:t>12</w:t>
            </w:r>
          </w:p>
        </w:tc>
        <w:tc>
          <w:tcPr>
            <w:tcW w:w="3119" w:type="dxa"/>
            <w:vAlign w:val="center"/>
          </w:tcPr>
          <w:p w:rsidR="008C3907" w:rsidRDefault="008C3907" w:rsidP="008C3907">
            <w:pPr>
              <w:rPr>
                <w:kern w:val="0"/>
                <w:sz w:val="20"/>
                <w:szCs w:val="20"/>
              </w:rPr>
            </w:pPr>
            <w:r>
              <w:rPr>
                <w:rFonts w:hint="eastAsia"/>
                <w:kern w:val="0"/>
                <w:sz w:val="20"/>
                <w:szCs w:val="20"/>
              </w:rPr>
              <w:t xml:space="preserve">2.1 </w:t>
            </w:r>
            <w:r>
              <w:rPr>
                <w:rFonts w:hint="eastAsia"/>
                <w:kern w:val="0"/>
                <w:sz w:val="20"/>
                <w:szCs w:val="20"/>
              </w:rPr>
              <w:t>开链烃的概况</w:t>
            </w:r>
          </w:p>
          <w:p w:rsidR="008C3907" w:rsidRDefault="008C3907" w:rsidP="008C3907">
            <w:pPr>
              <w:rPr>
                <w:kern w:val="0"/>
                <w:sz w:val="20"/>
                <w:szCs w:val="20"/>
              </w:rPr>
            </w:pPr>
            <w:r>
              <w:rPr>
                <w:rFonts w:hint="eastAsia"/>
                <w:kern w:val="0"/>
                <w:sz w:val="20"/>
                <w:szCs w:val="20"/>
              </w:rPr>
              <w:t xml:space="preserve">2.2 </w:t>
            </w:r>
            <w:r>
              <w:rPr>
                <w:rFonts w:hint="eastAsia"/>
                <w:kern w:val="0"/>
                <w:sz w:val="20"/>
                <w:szCs w:val="20"/>
              </w:rPr>
              <w:t>饱和烃（烷烃）</w:t>
            </w:r>
          </w:p>
          <w:p w:rsidR="008C3907" w:rsidRDefault="008C3907" w:rsidP="008C3907">
            <w:pPr>
              <w:rPr>
                <w:kern w:val="0"/>
                <w:sz w:val="20"/>
                <w:szCs w:val="20"/>
              </w:rPr>
            </w:pPr>
            <w:r>
              <w:rPr>
                <w:rFonts w:hint="eastAsia"/>
                <w:kern w:val="0"/>
                <w:sz w:val="20"/>
                <w:szCs w:val="20"/>
              </w:rPr>
              <w:t xml:space="preserve">2.3 </w:t>
            </w:r>
            <w:r>
              <w:rPr>
                <w:rFonts w:hint="eastAsia"/>
                <w:kern w:val="0"/>
                <w:sz w:val="20"/>
                <w:szCs w:val="20"/>
              </w:rPr>
              <w:t>不饱和烃</w:t>
            </w:r>
          </w:p>
          <w:p w:rsidR="008C3907" w:rsidRDefault="008C3907" w:rsidP="008C3907">
            <w:pPr>
              <w:rPr>
                <w:kern w:val="0"/>
                <w:sz w:val="20"/>
                <w:szCs w:val="20"/>
              </w:rPr>
            </w:pPr>
            <w:r>
              <w:rPr>
                <w:rFonts w:hint="eastAsia"/>
                <w:kern w:val="0"/>
                <w:sz w:val="20"/>
                <w:szCs w:val="20"/>
              </w:rPr>
              <w:t xml:space="preserve">2.4 </w:t>
            </w:r>
            <w:r>
              <w:rPr>
                <w:rFonts w:hint="eastAsia"/>
                <w:kern w:val="0"/>
                <w:sz w:val="20"/>
                <w:szCs w:val="20"/>
              </w:rPr>
              <w:t>脂环烃</w:t>
            </w:r>
          </w:p>
          <w:p w:rsidR="008C3907" w:rsidRDefault="008C3907" w:rsidP="008C3907">
            <w:pPr>
              <w:rPr>
                <w:kern w:val="0"/>
                <w:sz w:val="20"/>
                <w:szCs w:val="20"/>
              </w:rPr>
            </w:pPr>
            <w:r>
              <w:rPr>
                <w:rFonts w:hint="eastAsia"/>
                <w:kern w:val="0"/>
                <w:sz w:val="20"/>
                <w:szCs w:val="20"/>
              </w:rPr>
              <w:t xml:space="preserve">2.5 </w:t>
            </w:r>
            <w:r>
              <w:rPr>
                <w:rFonts w:hint="eastAsia"/>
                <w:kern w:val="0"/>
                <w:sz w:val="20"/>
                <w:szCs w:val="20"/>
              </w:rPr>
              <w:t>芳香烃</w:t>
            </w:r>
          </w:p>
          <w:p w:rsidR="008C3907" w:rsidRDefault="008C3907" w:rsidP="008C3907">
            <w:pPr>
              <w:rPr>
                <w:kern w:val="0"/>
                <w:sz w:val="20"/>
                <w:szCs w:val="20"/>
              </w:rPr>
            </w:pPr>
          </w:p>
        </w:tc>
        <w:tc>
          <w:tcPr>
            <w:tcW w:w="3093" w:type="dxa"/>
            <w:vAlign w:val="center"/>
          </w:tcPr>
          <w:p w:rsidR="008C3907" w:rsidRDefault="008C3907" w:rsidP="008C3907">
            <w:pPr>
              <w:rPr>
                <w:kern w:val="0"/>
                <w:sz w:val="20"/>
                <w:szCs w:val="20"/>
              </w:rPr>
            </w:pPr>
            <w:r>
              <w:rPr>
                <w:kern w:val="0"/>
                <w:sz w:val="20"/>
                <w:szCs w:val="20"/>
              </w:rPr>
              <w:t>掌握烷烃的命名、结构特征、化学性质，了解烷烃的反应类型、制备方法及自由基反应历程；掌握烯烃的命名、结构；掌握烯烃的化学性质，了解烯烃的反应机理及相关反应；掌握炔烃的命名、结构特征、化学性质，了解炔烃的反应；掌握脂环烃的命名、物理、化学性质，了解环烷烃的构象及其稳定性；掌握苯的结构和芳烃的命名、物理化学性质</w:t>
            </w:r>
            <w:r>
              <w:rPr>
                <w:kern w:val="0"/>
                <w:sz w:val="20"/>
                <w:szCs w:val="20"/>
              </w:rPr>
              <w:t>,</w:t>
            </w:r>
            <w:r>
              <w:rPr>
                <w:kern w:val="0"/>
                <w:sz w:val="20"/>
                <w:szCs w:val="20"/>
              </w:rPr>
              <w:t>掌握取代反应的机理及定位规则。</w:t>
            </w:r>
          </w:p>
        </w:tc>
      </w:tr>
      <w:tr w:rsidR="008C3907" w:rsidTr="008C3907">
        <w:trPr>
          <w:trHeight w:val="555"/>
        </w:trPr>
        <w:tc>
          <w:tcPr>
            <w:tcW w:w="512" w:type="dxa"/>
            <w:vAlign w:val="center"/>
          </w:tcPr>
          <w:p w:rsidR="008C3907" w:rsidRDefault="008C3907" w:rsidP="008C3907">
            <w:pPr>
              <w:jc w:val="center"/>
              <w:rPr>
                <w:kern w:val="0"/>
                <w:sz w:val="20"/>
                <w:szCs w:val="20"/>
              </w:rPr>
            </w:pPr>
            <w:r>
              <w:rPr>
                <w:rFonts w:hint="eastAsia"/>
                <w:kern w:val="0"/>
                <w:sz w:val="20"/>
                <w:szCs w:val="20"/>
              </w:rPr>
              <w:t>3</w:t>
            </w:r>
          </w:p>
        </w:tc>
        <w:tc>
          <w:tcPr>
            <w:tcW w:w="1723" w:type="dxa"/>
            <w:vAlign w:val="center"/>
          </w:tcPr>
          <w:p w:rsidR="008C3907" w:rsidRDefault="008C3907" w:rsidP="008C3907">
            <w:pPr>
              <w:jc w:val="center"/>
              <w:rPr>
                <w:kern w:val="0"/>
                <w:sz w:val="20"/>
                <w:szCs w:val="20"/>
              </w:rPr>
            </w:pPr>
            <w:r>
              <w:rPr>
                <w:rFonts w:hint="eastAsia"/>
                <w:kern w:val="0"/>
                <w:sz w:val="20"/>
                <w:szCs w:val="20"/>
              </w:rPr>
              <w:t>第三章</w:t>
            </w:r>
            <w:r>
              <w:rPr>
                <w:rFonts w:hint="eastAsia"/>
                <w:kern w:val="0"/>
                <w:sz w:val="20"/>
                <w:szCs w:val="20"/>
              </w:rPr>
              <w:t xml:space="preserve"> </w:t>
            </w:r>
            <w:r>
              <w:rPr>
                <w:rFonts w:hint="eastAsia"/>
                <w:kern w:val="0"/>
                <w:sz w:val="20"/>
                <w:szCs w:val="20"/>
              </w:rPr>
              <w:t>烃的卤素衍生物</w:t>
            </w:r>
          </w:p>
        </w:tc>
        <w:tc>
          <w:tcPr>
            <w:tcW w:w="708" w:type="dxa"/>
            <w:vAlign w:val="center"/>
          </w:tcPr>
          <w:p w:rsidR="008C3907" w:rsidRDefault="008C3907" w:rsidP="008C3907">
            <w:pPr>
              <w:jc w:val="center"/>
              <w:rPr>
                <w:kern w:val="0"/>
                <w:sz w:val="20"/>
                <w:szCs w:val="20"/>
              </w:rPr>
            </w:pPr>
            <w:r>
              <w:rPr>
                <w:rFonts w:hint="eastAsia"/>
                <w:kern w:val="0"/>
                <w:sz w:val="20"/>
                <w:szCs w:val="20"/>
              </w:rPr>
              <w:t>2</w:t>
            </w:r>
          </w:p>
        </w:tc>
        <w:tc>
          <w:tcPr>
            <w:tcW w:w="3119" w:type="dxa"/>
            <w:vAlign w:val="center"/>
          </w:tcPr>
          <w:p w:rsidR="008C3907" w:rsidRDefault="008C3907" w:rsidP="008C3907">
            <w:pPr>
              <w:rPr>
                <w:kern w:val="0"/>
                <w:sz w:val="20"/>
                <w:szCs w:val="20"/>
              </w:rPr>
            </w:pPr>
            <w:r>
              <w:rPr>
                <w:rFonts w:hint="eastAsia"/>
                <w:kern w:val="0"/>
                <w:sz w:val="20"/>
                <w:szCs w:val="20"/>
              </w:rPr>
              <w:t>3.1</w:t>
            </w:r>
            <w:r>
              <w:rPr>
                <w:rFonts w:hint="eastAsia"/>
                <w:kern w:val="0"/>
                <w:sz w:val="20"/>
                <w:szCs w:val="20"/>
              </w:rPr>
              <w:t>卤代烃的分类、同分异构现象及命名</w:t>
            </w:r>
          </w:p>
          <w:p w:rsidR="008C3907" w:rsidRDefault="008C3907" w:rsidP="008C3907">
            <w:pPr>
              <w:rPr>
                <w:kern w:val="0"/>
                <w:sz w:val="20"/>
                <w:szCs w:val="20"/>
              </w:rPr>
            </w:pPr>
            <w:r>
              <w:rPr>
                <w:rFonts w:hint="eastAsia"/>
                <w:kern w:val="0"/>
                <w:sz w:val="20"/>
                <w:szCs w:val="20"/>
              </w:rPr>
              <w:t xml:space="preserve">3.2 </w:t>
            </w:r>
            <w:r>
              <w:rPr>
                <w:rFonts w:hint="eastAsia"/>
                <w:kern w:val="0"/>
                <w:sz w:val="20"/>
                <w:szCs w:val="20"/>
              </w:rPr>
              <w:t>卤代烃的性质</w:t>
            </w:r>
          </w:p>
          <w:p w:rsidR="008C3907" w:rsidRDefault="008C3907" w:rsidP="008C3907">
            <w:pPr>
              <w:rPr>
                <w:kern w:val="0"/>
                <w:sz w:val="20"/>
                <w:szCs w:val="20"/>
              </w:rPr>
            </w:pPr>
            <w:r>
              <w:rPr>
                <w:rFonts w:hint="eastAsia"/>
                <w:kern w:val="0"/>
                <w:sz w:val="20"/>
                <w:szCs w:val="20"/>
              </w:rPr>
              <w:t xml:space="preserve">3.3 </w:t>
            </w:r>
            <w:r>
              <w:rPr>
                <w:rFonts w:hint="eastAsia"/>
                <w:kern w:val="0"/>
                <w:sz w:val="20"/>
                <w:szCs w:val="20"/>
              </w:rPr>
              <w:t>卤代烯烃和卤代芳烃</w:t>
            </w:r>
          </w:p>
          <w:p w:rsidR="008C3907" w:rsidRDefault="008C3907" w:rsidP="008C3907">
            <w:pPr>
              <w:rPr>
                <w:kern w:val="0"/>
                <w:sz w:val="20"/>
                <w:szCs w:val="20"/>
              </w:rPr>
            </w:pPr>
            <w:r>
              <w:rPr>
                <w:rFonts w:hint="eastAsia"/>
                <w:kern w:val="0"/>
                <w:sz w:val="20"/>
                <w:szCs w:val="20"/>
              </w:rPr>
              <w:t xml:space="preserve">3.4 </w:t>
            </w:r>
            <w:r>
              <w:rPr>
                <w:rFonts w:hint="eastAsia"/>
                <w:kern w:val="0"/>
                <w:sz w:val="20"/>
                <w:szCs w:val="20"/>
              </w:rPr>
              <w:t>重要的卤代烃</w:t>
            </w:r>
          </w:p>
        </w:tc>
        <w:tc>
          <w:tcPr>
            <w:tcW w:w="3093" w:type="dxa"/>
            <w:vAlign w:val="center"/>
          </w:tcPr>
          <w:p w:rsidR="008C3907" w:rsidRDefault="008C3907" w:rsidP="008C3907">
            <w:pPr>
              <w:rPr>
                <w:kern w:val="0"/>
                <w:sz w:val="20"/>
                <w:szCs w:val="20"/>
              </w:rPr>
            </w:pPr>
            <w:r>
              <w:rPr>
                <w:kern w:val="0"/>
                <w:sz w:val="20"/>
                <w:szCs w:val="20"/>
              </w:rPr>
              <w:t>掌握卤代烃的命名及性质</w:t>
            </w:r>
            <w:r>
              <w:rPr>
                <w:rFonts w:hint="eastAsia"/>
                <w:kern w:val="0"/>
                <w:sz w:val="20"/>
                <w:szCs w:val="20"/>
              </w:rPr>
              <w:t>；</w:t>
            </w:r>
            <w:r>
              <w:rPr>
                <w:kern w:val="0"/>
                <w:sz w:val="20"/>
                <w:szCs w:val="20"/>
              </w:rPr>
              <w:t>了解卤代烯烃和卤代芳烃以及一些中重要的卤代烃；掌握亲核取代和消去反应的类型及反应机理。</w:t>
            </w:r>
          </w:p>
        </w:tc>
      </w:tr>
      <w:tr w:rsidR="008C3907" w:rsidTr="008C3907">
        <w:trPr>
          <w:trHeight w:val="555"/>
        </w:trPr>
        <w:tc>
          <w:tcPr>
            <w:tcW w:w="512" w:type="dxa"/>
            <w:vAlign w:val="center"/>
          </w:tcPr>
          <w:p w:rsidR="008C3907" w:rsidRDefault="008C3907" w:rsidP="008C3907">
            <w:pPr>
              <w:jc w:val="center"/>
              <w:rPr>
                <w:kern w:val="0"/>
                <w:sz w:val="20"/>
                <w:szCs w:val="20"/>
              </w:rPr>
            </w:pPr>
            <w:r>
              <w:rPr>
                <w:rFonts w:hint="eastAsia"/>
                <w:kern w:val="0"/>
                <w:sz w:val="20"/>
                <w:szCs w:val="20"/>
              </w:rPr>
              <w:t>4</w:t>
            </w:r>
          </w:p>
        </w:tc>
        <w:tc>
          <w:tcPr>
            <w:tcW w:w="1723" w:type="dxa"/>
            <w:vAlign w:val="center"/>
          </w:tcPr>
          <w:p w:rsidR="008C3907" w:rsidRDefault="008C3907" w:rsidP="008C3907">
            <w:pPr>
              <w:jc w:val="center"/>
              <w:rPr>
                <w:kern w:val="0"/>
                <w:sz w:val="20"/>
                <w:szCs w:val="20"/>
              </w:rPr>
            </w:pPr>
            <w:r>
              <w:rPr>
                <w:rFonts w:hint="eastAsia"/>
                <w:kern w:val="0"/>
                <w:sz w:val="20"/>
                <w:szCs w:val="20"/>
              </w:rPr>
              <w:t>第四章</w:t>
            </w:r>
            <w:r>
              <w:rPr>
                <w:rFonts w:hint="eastAsia"/>
                <w:kern w:val="0"/>
                <w:sz w:val="20"/>
                <w:szCs w:val="20"/>
              </w:rPr>
              <w:t xml:space="preserve"> </w:t>
            </w:r>
            <w:r>
              <w:rPr>
                <w:rFonts w:hint="eastAsia"/>
                <w:kern w:val="0"/>
                <w:sz w:val="20"/>
                <w:szCs w:val="20"/>
              </w:rPr>
              <w:t>醇、酚、醚</w:t>
            </w:r>
          </w:p>
        </w:tc>
        <w:tc>
          <w:tcPr>
            <w:tcW w:w="708" w:type="dxa"/>
            <w:vAlign w:val="center"/>
          </w:tcPr>
          <w:p w:rsidR="008C3907" w:rsidRDefault="008C3907" w:rsidP="008C3907">
            <w:pPr>
              <w:jc w:val="center"/>
              <w:rPr>
                <w:kern w:val="0"/>
                <w:sz w:val="20"/>
                <w:szCs w:val="20"/>
              </w:rPr>
            </w:pPr>
            <w:r>
              <w:rPr>
                <w:rFonts w:hint="eastAsia"/>
                <w:kern w:val="0"/>
                <w:sz w:val="20"/>
                <w:szCs w:val="20"/>
              </w:rPr>
              <w:t>2</w:t>
            </w:r>
          </w:p>
        </w:tc>
        <w:tc>
          <w:tcPr>
            <w:tcW w:w="3119" w:type="dxa"/>
            <w:vAlign w:val="center"/>
          </w:tcPr>
          <w:p w:rsidR="008C3907" w:rsidRDefault="008C3907" w:rsidP="008C3907">
            <w:pPr>
              <w:rPr>
                <w:kern w:val="0"/>
                <w:sz w:val="20"/>
                <w:szCs w:val="20"/>
              </w:rPr>
            </w:pPr>
            <w:r>
              <w:rPr>
                <w:rFonts w:hint="eastAsia"/>
                <w:kern w:val="0"/>
                <w:sz w:val="20"/>
                <w:szCs w:val="20"/>
              </w:rPr>
              <w:t xml:space="preserve">4.1 </w:t>
            </w:r>
            <w:r>
              <w:rPr>
                <w:rFonts w:hint="eastAsia"/>
                <w:kern w:val="0"/>
                <w:sz w:val="20"/>
                <w:szCs w:val="20"/>
              </w:rPr>
              <w:t>醇</w:t>
            </w:r>
          </w:p>
          <w:p w:rsidR="008C3907" w:rsidRDefault="008C3907" w:rsidP="008C3907">
            <w:pPr>
              <w:rPr>
                <w:kern w:val="0"/>
                <w:sz w:val="20"/>
                <w:szCs w:val="20"/>
              </w:rPr>
            </w:pPr>
            <w:r>
              <w:rPr>
                <w:rFonts w:hint="eastAsia"/>
                <w:kern w:val="0"/>
                <w:sz w:val="20"/>
                <w:szCs w:val="20"/>
              </w:rPr>
              <w:t xml:space="preserve">4.2 </w:t>
            </w:r>
            <w:r>
              <w:rPr>
                <w:rFonts w:hint="eastAsia"/>
                <w:kern w:val="0"/>
                <w:sz w:val="20"/>
                <w:szCs w:val="20"/>
              </w:rPr>
              <w:t>酚</w:t>
            </w:r>
          </w:p>
          <w:p w:rsidR="008C3907" w:rsidRDefault="008C3907" w:rsidP="008C3907">
            <w:pPr>
              <w:rPr>
                <w:kern w:val="0"/>
                <w:sz w:val="20"/>
                <w:szCs w:val="20"/>
              </w:rPr>
            </w:pPr>
            <w:r>
              <w:rPr>
                <w:rFonts w:hint="eastAsia"/>
                <w:kern w:val="0"/>
                <w:sz w:val="20"/>
                <w:szCs w:val="20"/>
              </w:rPr>
              <w:t xml:space="preserve">4.3 </w:t>
            </w:r>
            <w:r>
              <w:rPr>
                <w:rFonts w:hint="eastAsia"/>
                <w:kern w:val="0"/>
                <w:sz w:val="20"/>
                <w:szCs w:val="20"/>
              </w:rPr>
              <w:t>醚</w:t>
            </w:r>
          </w:p>
        </w:tc>
        <w:tc>
          <w:tcPr>
            <w:tcW w:w="3093" w:type="dxa"/>
            <w:vAlign w:val="center"/>
          </w:tcPr>
          <w:p w:rsidR="008C3907" w:rsidRDefault="008C3907" w:rsidP="008C3907">
            <w:pPr>
              <w:rPr>
                <w:kern w:val="0"/>
                <w:sz w:val="20"/>
                <w:szCs w:val="20"/>
              </w:rPr>
            </w:pPr>
            <w:r>
              <w:rPr>
                <w:kern w:val="0"/>
                <w:sz w:val="20"/>
                <w:szCs w:val="20"/>
              </w:rPr>
              <w:t>掌握醇、酚命名及性质</w:t>
            </w:r>
            <w:r>
              <w:rPr>
                <w:rFonts w:hint="eastAsia"/>
                <w:kern w:val="0"/>
                <w:sz w:val="20"/>
                <w:szCs w:val="20"/>
              </w:rPr>
              <w:t>；</w:t>
            </w:r>
            <w:r>
              <w:rPr>
                <w:kern w:val="0"/>
                <w:sz w:val="20"/>
                <w:szCs w:val="20"/>
              </w:rPr>
              <w:t>了解醇、酚反应形式以及一些中重要的醇、酚</w:t>
            </w:r>
            <w:r>
              <w:rPr>
                <w:kern w:val="0"/>
                <w:sz w:val="20"/>
                <w:szCs w:val="20"/>
              </w:rPr>
              <w:t xml:space="preserve">; </w:t>
            </w:r>
            <w:r>
              <w:rPr>
                <w:kern w:val="0"/>
                <w:sz w:val="20"/>
                <w:szCs w:val="20"/>
              </w:rPr>
              <w:t>掌握、醚命名及性质</w:t>
            </w:r>
            <w:r>
              <w:rPr>
                <w:rFonts w:hint="eastAsia"/>
                <w:kern w:val="0"/>
                <w:sz w:val="20"/>
                <w:szCs w:val="20"/>
              </w:rPr>
              <w:t>；</w:t>
            </w:r>
            <w:r>
              <w:rPr>
                <w:kern w:val="0"/>
                <w:sz w:val="20"/>
                <w:szCs w:val="20"/>
              </w:rPr>
              <w:t>了解醚反应形式以及一些水处理中重要的醚。</w:t>
            </w:r>
          </w:p>
        </w:tc>
      </w:tr>
      <w:tr w:rsidR="008C3907" w:rsidTr="008C3907">
        <w:trPr>
          <w:trHeight w:val="555"/>
        </w:trPr>
        <w:tc>
          <w:tcPr>
            <w:tcW w:w="512" w:type="dxa"/>
            <w:vAlign w:val="center"/>
          </w:tcPr>
          <w:p w:rsidR="008C3907" w:rsidRDefault="008C3907" w:rsidP="008C3907">
            <w:pPr>
              <w:jc w:val="center"/>
              <w:rPr>
                <w:kern w:val="0"/>
                <w:sz w:val="20"/>
                <w:szCs w:val="20"/>
              </w:rPr>
            </w:pPr>
            <w:r>
              <w:rPr>
                <w:rFonts w:hint="eastAsia"/>
                <w:kern w:val="0"/>
                <w:sz w:val="20"/>
                <w:szCs w:val="20"/>
              </w:rPr>
              <w:lastRenderedPageBreak/>
              <w:t>5</w:t>
            </w:r>
          </w:p>
        </w:tc>
        <w:tc>
          <w:tcPr>
            <w:tcW w:w="1723" w:type="dxa"/>
            <w:vAlign w:val="center"/>
          </w:tcPr>
          <w:p w:rsidR="008C3907" w:rsidRDefault="008C3907" w:rsidP="008C3907">
            <w:pPr>
              <w:jc w:val="center"/>
              <w:rPr>
                <w:kern w:val="0"/>
                <w:sz w:val="20"/>
                <w:szCs w:val="20"/>
              </w:rPr>
            </w:pPr>
            <w:r>
              <w:rPr>
                <w:rFonts w:hint="eastAsia"/>
                <w:kern w:val="0"/>
                <w:sz w:val="20"/>
                <w:szCs w:val="20"/>
              </w:rPr>
              <w:t>第五章</w:t>
            </w:r>
            <w:r>
              <w:rPr>
                <w:rFonts w:hint="eastAsia"/>
                <w:kern w:val="0"/>
                <w:sz w:val="20"/>
                <w:szCs w:val="20"/>
              </w:rPr>
              <w:t xml:space="preserve"> </w:t>
            </w:r>
            <w:r>
              <w:rPr>
                <w:rFonts w:hint="eastAsia"/>
                <w:kern w:val="0"/>
                <w:sz w:val="20"/>
                <w:szCs w:val="20"/>
              </w:rPr>
              <w:t>醛和酮</w:t>
            </w:r>
          </w:p>
        </w:tc>
        <w:tc>
          <w:tcPr>
            <w:tcW w:w="708" w:type="dxa"/>
            <w:vAlign w:val="center"/>
          </w:tcPr>
          <w:p w:rsidR="008C3907" w:rsidRDefault="008C3907" w:rsidP="008C3907">
            <w:pPr>
              <w:jc w:val="center"/>
              <w:rPr>
                <w:kern w:val="0"/>
                <w:sz w:val="20"/>
                <w:szCs w:val="20"/>
              </w:rPr>
            </w:pPr>
            <w:r>
              <w:rPr>
                <w:rFonts w:hint="eastAsia"/>
                <w:kern w:val="0"/>
                <w:sz w:val="20"/>
                <w:szCs w:val="20"/>
              </w:rPr>
              <w:t>3</w:t>
            </w:r>
          </w:p>
        </w:tc>
        <w:tc>
          <w:tcPr>
            <w:tcW w:w="3119" w:type="dxa"/>
            <w:vAlign w:val="center"/>
          </w:tcPr>
          <w:p w:rsidR="008C3907" w:rsidRDefault="008C3907" w:rsidP="008C3907">
            <w:pPr>
              <w:rPr>
                <w:kern w:val="0"/>
                <w:sz w:val="20"/>
                <w:szCs w:val="20"/>
              </w:rPr>
            </w:pPr>
            <w:r>
              <w:rPr>
                <w:rFonts w:hint="eastAsia"/>
                <w:kern w:val="0"/>
                <w:sz w:val="20"/>
                <w:szCs w:val="20"/>
              </w:rPr>
              <w:t xml:space="preserve">5.1 </w:t>
            </w:r>
            <w:r>
              <w:rPr>
                <w:rFonts w:hint="eastAsia"/>
                <w:kern w:val="0"/>
                <w:sz w:val="20"/>
                <w:szCs w:val="20"/>
              </w:rPr>
              <w:t>醛、酮的结构、分类和命名</w:t>
            </w:r>
          </w:p>
          <w:p w:rsidR="008C3907" w:rsidRDefault="008C3907" w:rsidP="008C3907">
            <w:pPr>
              <w:rPr>
                <w:kern w:val="0"/>
                <w:sz w:val="20"/>
                <w:szCs w:val="20"/>
              </w:rPr>
            </w:pPr>
            <w:r>
              <w:rPr>
                <w:rFonts w:hint="eastAsia"/>
                <w:kern w:val="0"/>
                <w:sz w:val="20"/>
                <w:szCs w:val="20"/>
              </w:rPr>
              <w:t xml:space="preserve">5.2 </w:t>
            </w:r>
            <w:r>
              <w:rPr>
                <w:rFonts w:hint="eastAsia"/>
                <w:kern w:val="0"/>
                <w:sz w:val="20"/>
                <w:szCs w:val="20"/>
              </w:rPr>
              <w:t>醛、酮的物理性质</w:t>
            </w:r>
          </w:p>
          <w:p w:rsidR="008C3907" w:rsidRDefault="008C3907" w:rsidP="008C3907">
            <w:pPr>
              <w:rPr>
                <w:kern w:val="0"/>
                <w:sz w:val="20"/>
                <w:szCs w:val="20"/>
              </w:rPr>
            </w:pPr>
            <w:r>
              <w:rPr>
                <w:rFonts w:hint="eastAsia"/>
                <w:kern w:val="0"/>
                <w:sz w:val="20"/>
                <w:szCs w:val="20"/>
              </w:rPr>
              <w:t xml:space="preserve">5.3 </w:t>
            </w:r>
            <w:r>
              <w:rPr>
                <w:rFonts w:hint="eastAsia"/>
                <w:kern w:val="0"/>
                <w:sz w:val="20"/>
                <w:szCs w:val="20"/>
              </w:rPr>
              <w:t>醛、酮的化学性质</w:t>
            </w:r>
          </w:p>
          <w:p w:rsidR="008C3907" w:rsidRDefault="008C3907" w:rsidP="008C3907">
            <w:pPr>
              <w:rPr>
                <w:kern w:val="0"/>
                <w:sz w:val="20"/>
                <w:szCs w:val="20"/>
              </w:rPr>
            </w:pPr>
            <w:r>
              <w:rPr>
                <w:rFonts w:hint="eastAsia"/>
                <w:kern w:val="0"/>
                <w:sz w:val="20"/>
                <w:szCs w:val="20"/>
              </w:rPr>
              <w:t xml:space="preserve">5.4 </w:t>
            </w:r>
            <w:r>
              <w:rPr>
                <w:rFonts w:hint="eastAsia"/>
                <w:kern w:val="0"/>
                <w:sz w:val="20"/>
                <w:szCs w:val="20"/>
              </w:rPr>
              <w:t>重要的醛酮</w:t>
            </w:r>
          </w:p>
        </w:tc>
        <w:tc>
          <w:tcPr>
            <w:tcW w:w="3093" w:type="dxa"/>
            <w:vAlign w:val="center"/>
          </w:tcPr>
          <w:p w:rsidR="008C3907" w:rsidRDefault="008C3907" w:rsidP="008C3907">
            <w:pPr>
              <w:rPr>
                <w:kern w:val="0"/>
                <w:sz w:val="20"/>
                <w:szCs w:val="20"/>
              </w:rPr>
            </w:pPr>
            <w:r>
              <w:rPr>
                <w:kern w:val="0"/>
                <w:sz w:val="20"/>
                <w:szCs w:val="20"/>
              </w:rPr>
              <w:t>掌握醛、酮命名及性质</w:t>
            </w:r>
            <w:r>
              <w:rPr>
                <w:rFonts w:hint="eastAsia"/>
                <w:kern w:val="0"/>
                <w:sz w:val="20"/>
                <w:szCs w:val="20"/>
              </w:rPr>
              <w:t>；</w:t>
            </w:r>
            <w:r>
              <w:rPr>
                <w:kern w:val="0"/>
                <w:sz w:val="20"/>
                <w:szCs w:val="20"/>
              </w:rPr>
              <w:t>了解醛、酮反应形式以及一些水处理中重要的醛、酮。</w:t>
            </w:r>
          </w:p>
        </w:tc>
      </w:tr>
      <w:tr w:rsidR="008C3907" w:rsidTr="008C3907">
        <w:trPr>
          <w:trHeight w:val="555"/>
        </w:trPr>
        <w:tc>
          <w:tcPr>
            <w:tcW w:w="512" w:type="dxa"/>
            <w:vAlign w:val="center"/>
          </w:tcPr>
          <w:p w:rsidR="008C3907" w:rsidRDefault="008C3907" w:rsidP="008C3907">
            <w:pPr>
              <w:jc w:val="center"/>
              <w:rPr>
                <w:kern w:val="0"/>
                <w:sz w:val="20"/>
                <w:szCs w:val="20"/>
              </w:rPr>
            </w:pPr>
            <w:r>
              <w:rPr>
                <w:rFonts w:hint="eastAsia"/>
                <w:kern w:val="0"/>
                <w:sz w:val="20"/>
                <w:szCs w:val="20"/>
              </w:rPr>
              <w:t>6</w:t>
            </w:r>
          </w:p>
        </w:tc>
        <w:tc>
          <w:tcPr>
            <w:tcW w:w="1723" w:type="dxa"/>
            <w:vAlign w:val="center"/>
          </w:tcPr>
          <w:p w:rsidR="008C3907" w:rsidRDefault="008C3907" w:rsidP="008C3907">
            <w:pPr>
              <w:jc w:val="center"/>
              <w:rPr>
                <w:kern w:val="0"/>
                <w:sz w:val="20"/>
                <w:szCs w:val="20"/>
              </w:rPr>
            </w:pPr>
            <w:r>
              <w:rPr>
                <w:rFonts w:hint="eastAsia"/>
                <w:kern w:val="0"/>
                <w:sz w:val="20"/>
                <w:szCs w:val="20"/>
              </w:rPr>
              <w:t>第六章</w:t>
            </w:r>
            <w:r>
              <w:rPr>
                <w:rFonts w:hint="eastAsia"/>
                <w:kern w:val="0"/>
                <w:sz w:val="20"/>
                <w:szCs w:val="20"/>
              </w:rPr>
              <w:t xml:space="preserve"> </w:t>
            </w:r>
            <w:r>
              <w:rPr>
                <w:rFonts w:hint="eastAsia"/>
                <w:kern w:val="0"/>
                <w:sz w:val="20"/>
                <w:szCs w:val="20"/>
              </w:rPr>
              <w:t>羧酸及羧酸衍生物</w:t>
            </w:r>
          </w:p>
        </w:tc>
        <w:tc>
          <w:tcPr>
            <w:tcW w:w="708" w:type="dxa"/>
            <w:vAlign w:val="center"/>
          </w:tcPr>
          <w:p w:rsidR="008C3907" w:rsidRDefault="008C3907" w:rsidP="008C3907">
            <w:pPr>
              <w:jc w:val="center"/>
              <w:rPr>
                <w:kern w:val="0"/>
                <w:sz w:val="20"/>
                <w:szCs w:val="20"/>
              </w:rPr>
            </w:pPr>
            <w:r>
              <w:rPr>
                <w:rFonts w:hint="eastAsia"/>
                <w:kern w:val="0"/>
                <w:sz w:val="20"/>
                <w:szCs w:val="20"/>
              </w:rPr>
              <w:t>3</w:t>
            </w:r>
          </w:p>
        </w:tc>
        <w:tc>
          <w:tcPr>
            <w:tcW w:w="3119" w:type="dxa"/>
            <w:vAlign w:val="center"/>
          </w:tcPr>
          <w:p w:rsidR="008C3907" w:rsidRDefault="008C3907" w:rsidP="008C3907">
            <w:pPr>
              <w:rPr>
                <w:kern w:val="0"/>
                <w:sz w:val="20"/>
                <w:szCs w:val="20"/>
              </w:rPr>
            </w:pPr>
            <w:r>
              <w:rPr>
                <w:rFonts w:hint="eastAsia"/>
                <w:kern w:val="0"/>
                <w:sz w:val="20"/>
                <w:szCs w:val="20"/>
              </w:rPr>
              <w:t xml:space="preserve">6.1 </w:t>
            </w:r>
            <w:r>
              <w:rPr>
                <w:rFonts w:hint="eastAsia"/>
                <w:kern w:val="0"/>
                <w:sz w:val="20"/>
                <w:szCs w:val="20"/>
              </w:rPr>
              <w:t>羧酸及其羧酸衍生物</w:t>
            </w:r>
          </w:p>
          <w:p w:rsidR="008C3907" w:rsidRDefault="008C3907" w:rsidP="008C3907">
            <w:pPr>
              <w:rPr>
                <w:kern w:val="0"/>
                <w:sz w:val="20"/>
                <w:szCs w:val="20"/>
              </w:rPr>
            </w:pPr>
            <w:r>
              <w:rPr>
                <w:rFonts w:hint="eastAsia"/>
                <w:kern w:val="0"/>
                <w:sz w:val="20"/>
                <w:szCs w:val="20"/>
              </w:rPr>
              <w:t xml:space="preserve">6.2 </w:t>
            </w:r>
            <w:r>
              <w:rPr>
                <w:rFonts w:hint="eastAsia"/>
                <w:kern w:val="0"/>
                <w:sz w:val="20"/>
                <w:szCs w:val="20"/>
              </w:rPr>
              <w:t>羧酸的物理性质</w:t>
            </w:r>
          </w:p>
          <w:p w:rsidR="008C3907" w:rsidRDefault="008C3907" w:rsidP="008C3907">
            <w:pPr>
              <w:rPr>
                <w:kern w:val="0"/>
                <w:sz w:val="20"/>
                <w:szCs w:val="20"/>
              </w:rPr>
            </w:pPr>
            <w:r>
              <w:rPr>
                <w:rFonts w:hint="eastAsia"/>
                <w:kern w:val="0"/>
                <w:sz w:val="20"/>
                <w:szCs w:val="20"/>
              </w:rPr>
              <w:t xml:space="preserve">6.3 </w:t>
            </w:r>
            <w:r>
              <w:rPr>
                <w:rFonts w:hint="eastAsia"/>
                <w:kern w:val="0"/>
                <w:sz w:val="20"/>
                <w:szCs w:val="20"/>
              </w:rPr>
              <w:t>羧酸的化学性质</w:t>
            </w:r>
          </w:p>
          <w:p w:rsidR="008C3907" w:rsidRDefault="008C3907" w:rsidP="008C3907">
            <w:pPr>
              <w:rPr>
                <w:kern w:val="0"/>
                <w:sz w:val="20"/>
                <w:szCs w:val="20"/>
              </w:rPr>
            </w:pPr>
            <w:r>
              <w:rPr>
                <w:rFonts w:hint="eastAsia"/>
                <w:kern w:val="0"/>
                <w:sz w:val="20"/>
                <w:szCs w:val="20"/>
              </w:rPr>
              <w:t xml:space="preserve">6.4 </w:t>
            </w:r>
            <w:r>
              <w:rPr>
                <w:rFonts w:hint="eastAsia"/>
                <w:kern w:val="0"/>
                <w:sz w:val="20"/>
                <w:szCs w:val="20"/>
              </w:rPr>
              <w:t>羧酸衍生物命名</w:t>
            </w:r>
          </w:p>
          <w:p w:rsidR="008C3907" w:rsidRDefault="008C3907" w:rsidP="008C3907">
            <w:pPr>
              <w:rPr>
                <w:kern w:val="0"/>
                <w:sz w:val="20"/>
                <w:szCs w:val="20"/>
              </w:rPr>
            </w:pPr>
            <w:r>
              <w:rPr>
                <w:rFonts w:hint="eastAsia"/>
                <w:kern w:val="0"/>
                <w:sz w:val="20"/>
                <w:szCs w:val="20"/>
              </w:rPr>
              <w:t xml:space="preserve">6.5 </w:t>
            </w:r>
            <w:r>
              <w:rPr>
                <w:rFonts w:hint="eastAsia"/>
                <w:kern w:val="0"/>
                <w:sz w:val="20"/>
                <w:szCs w:val="20"/>
              </w:rPr>
              <w:t>羧酸衍生物的物理性质</w:t>
            </w:r>
          </w:p>
          <w:p w:rsidR="008C3907" w:rsidRDefault="008C3907" w:rsidP="008C3907">
            <w:pPr>
              <w:rPr>
                <w:kern w:val="0"/>
                <w:sz w:val="20"/>
                <w:szCs w:val="20"/>
              </w:rPr>
            </w:pPr>
            <w:r>
              <w:rPr>
                <w:rFonts w:hint="eastAsia"/>
                <w:kern w:val="0"/>
                <w:sz w:val="20"/>
                <w:szCs w:val="20"/>
              </w:rPr>
              <w:t xml:space="preserve">6.6 </w:t>
            </w:r>
            <w:r>
              <w:rPr>
                <w:rFonts w:hint="eastAsia"/>
                <w:kern w:val="0"/>
                <w:sz w:val="20"/>
                <w:szCs w:val="20"/>
              </w:rPr>
              <w:t>羧酸衍生物的化学性质</w:t>
            </w:r>
          </w:p>
          <w:p w:rsidR="008C3907" w:rsidRDefault="008C3907" w:rsidP="008C3907">
            <w:pPr>
              <w:rPr>
                <w:kern w:val="0"/>
                <w:sz w:val="20"/>
                <w:szCs w:val="20"/>
              </w:rPr>
            </w:pPr>
            <w:r>
              <w:rPr>
                <w:rFonts w:hint="eastAsia"/>
                <w:kern w:val="0"/>
                <w:sz w:val="20"/>
                <w:szCs w:val="20"/>
              </w:rPr>
              <w:t xml:space="preserve">6.7 </w:t>
            </w:r>
            <w:r>
              <w:rPr>
                <w:rFonts w:hint="eastAsia"/>
                <w:kern w:val="0"/>
                <w:sz w:val="20"/>
                <w:szCs w:val="20"/>
              </w:rPr>
              <w:t>重要的羧酸和羧酸衍生物</w:t>
            </w:r>
          </w:p>
        </w:tc>
        <w:tc>
          <w:tcPr>
            <w:tcW w:w="3093" w:type="dxa"/>
            <w:vAlign w:val="center"/>
          </w:tcPr>
          <w:p w:rsidR="008C3907" w:rsidRDefault="008C3907" w:rsidP="008C3907">
            <w:pPr>
              <w:rPr>
                <w:kern w:val="0"/>
                <w:sz w:val="20"/>
                <w:szCs w:val="20"/>
              </w:rPr>
            </w:pPr>
            <w:r>
              <w:rPr>
                <w:kern w:val="0"/>
                <w:sz w:val="20"/>
                <w:szCs w:val="20"/>
              </w:rPr>
              <w:t>了解羧酸及其衍生物的命名、结构特质及物理性质</w:t>
            </w:r>
            <w:r>
              <w:rPr>
                <w:rFonts w:hint="eastAsia"/>
                <w:kern w:val="0"/>
                <w:sz w:val="20"/>
                <w:szCs w:val="20"/>
              </w:rPr>
              <w:t>；</w:t>
            </w:r>
            <w:r>
              <w:rPr>
                <w:kern w:val="0"/>
                <w:sz w:val="20"/>
                <w:szCs w:val="20"/>
              </w:rPr>
              <w:t>掌握其重要的化学反应。</w:t>
            </w:r>
          </w:p>
          <w:p w:rsidR="008C3907" w:rsidRDefault="008C3907" w:rsidP="008C3907">
            <w:pPr>
              <w:rPr>
                <w:kern w:val="0"/>
                <w:sz w:val="20"/>
                <w:szCs w:val="20"/>
              </w:rPr>
            </w:pPr>
          </w:p>
        </w:tc>
      </w:tr>
      <w:tr w:rsidR="008C3907" w:rsidTr="008C3907">
        <w:trPr>
          <w:trHeight w:val="548"/>
        </w:trPr>
        <w:tc>
          <w:tcPr>
            <w:tcW w:w="512" w:type="dxa"/>
            <w:vAlign w:val="center"/>
          </w:tcPr>
          <w:p w:rsidR="008C3907" w:rsidRDefault="008C3907" w:rsidP="008C3907">
            <w:pPr>
              <w:jc w:val="center"/>
              <w:rPr>
                <w:kern w:val="0"/>
                <w:sz w:val="20"/>
                <w:szCs w:val="20"/>
              </w:rPr>
            </w:pPr>
            <w:r>
              <w:rPr>
                <w:rFonts w:hint="eastAsia"/>
                <w:kern w:val="0"/>
                <w:sz w:val="20"/>
                <w:szCs w:val="20"/>
              </w:rPr>
              <w:t>7</w:t>
            </w:r>
          </w:p>
        </w:tc>
        <w:tc>
          <w:tcPr>
            <w:tcW w:w="1723" w:type="dxa"/>
            <w:vAlign w:val="center"/>
          </w:tcPr>
          <w:p w:rsidR="008C3907" w:rsidRDefault="008C3907" w:rsidP="008C3907">
            <w:pPr>
              <w:jc w:val="center"/>
              <w:rPr>
                <w:kern w:val="0"/>
                <w:sz w:val="20"/>
                <w:szCs w:val="20"/>
              </w:rPr>
            </w:pPr>
            <w:r>
              <w:rPr>
                <w:kern w:val="0"/>
                <w:sz w:val="20"/>
                <w:szCs w:val="20"/>
              </w:rPr>
              <w:t>第七章</w:t>
            </w:r>
            <w:r>
              <w:rPr>
                <w:rFonts w:hint="eastAsia"/>
                <w:kern w:val="0"/>
                <w:sz w:val="20"/>
                <w:szCs w:val="20"/>
              </w:rPr>
              <w:t xml:space="preserve"> </w:t>
            </w:r>
            <w:r>
              <w:rPr>
                <w:rFonts w:hint="eastAsia"/>
                <w:kern w:val="0"/>
                <w:sz w:val="20"/>
                <w:szCs w:val="20"/>
              </w:rPr>
              <w:t>含硫有机化合物</w:t>
            </w:r>
          </w:p>
        </w:tc>
        <w:tc>
          <w:tcPr>
            <w:tcW w:w="708" w:type="dxa"/>
            <w:vAlign w:val="center"/>
          </w:tcPr>
          <w:p w:rsidR="008C3907" w:rsidRDefault="008C3907" w:rsidP="008C3907">
            <w:pPr>
              <w:jc w:val="center"/>
              <w:rPr>
                <w:kern w:val="0"/>
                <w:sz w:val="20"/>
                <w:szCs w:val="20"/>
              </w:rPr>
            </w:pPr>
            <w:r>
              <w:rPr>
                <w:rFonts w:hint="eastAsia"/>
                <w:kern w:val="0"/>
                <w:sz w:val="20"/>
                <w:szCs w:val="20"/>
              </w:rPr>
              <w:t>1</w:t>
            </w:r>
          </w:p>
        </w:tc>
        <w:tc>
          <w:tcPr>
            <w:tcW w:w="3119" w:type="dxa"/>
            <w:vAlign w:val="center"/>
          </w:tcPr>
          <w:p w:rsidR="008C3907" w:rsidRDefault="008C3907" w:rsidP="008C3907">
            <w:pPr>
              <w:rPr>
                <w:kern w:val="0"/>
                <w:sz w:val="20"/>
                <w:szCs w:val="20"/>
              </w:rPr>
            </w:pPr>
            <w:r>
              <w:rPr>
                <w:rFonts w:hint="eastAsia"/>
                <w:kern w:val="0"/>
                <w:sz w:val="20"/>
                <w:szCs w:val="20"/>
              </w:rPr>
              <w:t xml:space="preserve">7.1 </w:t>
            </w:r>
            <w:r>
              <w:rPr>
                <w:rFonts w:hint="eastAsia"/>
                <w:kern w:val="0"/>
                <w:sz w:val="20"/>
                <w:szCs w:val="20"/>
              </w:rPr>
              <w:t>硫醇和硫醚</w:t>
            </w:r>
          </w:p>
          <w:p w:rsidR="008C3907" w:rsidRDefault="008C3907" w:rsidP="008C3907">
            <w:pPr>
              <w:rPr>
                <w:kern w:val="0"/>
                <w:sz w:val="20"/>
                <w:szCs w:val="20"/>
              </w:rPr>
            </w:pPr>
            <w:r>
              <w:rPr>
                <w:rFonts w:hint="eastAsia"/>
                <w:kern w:val="0"/>
                <w:sz w:val="20"/>
                <w:szCs w:val="20"/>
              </w:rPr>
              <w:t xml:space="preserve">7.2 </w:t>
            </w:r>
            <w:r>
              <w:rPr>
                <w:rFonts w:hint="eastAsia"/>
                <w:kern w:val="0"/>
                <w:sz w:val="20"/>
                <w:szCs w:val="20"/>
              </w:rPr>
              <w:t>磺酸</w:t>
            </w:r>
          </w:p>
          <w:p w:rsidR="008C3907" w:rsidRDefault="008C3907" w:rsidP="008C3907">
            <w:pPr>
              <w:rPr>
                <w:kern w:val="0"/>
                <w:sz w:val="20"/>
                <w:szCs w:val="20"/>
              </w:rPr>
            </w:pPr>
            <w:r>
              <w:rPr>
                <w:rFonts w:hint="eastAsia"/>
                <w:kern w:val="0"/>
                <w:sz w:val="20"/>
                <w:szCs w:val="20"/>
              </w:rPr>
              <w:t xml:space="preserve">7.3 </w:t>
            </w:r>
            <w:r>
              <w:rPr>
                <w:rFonts w:hint="eastAsia"/>
                <w:kern w:val="0"/>
                <w:sz w:val="20"/>
                <w:szCs w:val="20"/>
              </w:rPr>
              <w:t>表面活性剂的概况</w:t>
            </w:r>
          </w:p>
        </w:tc>
        <w:tc>
          <w:tcPr>
            <w:tcW w:w="3093" w:type="dxa"/>
            <w:vAlign w:val="center"/>
          </w:tcPr>
          <w:p w:rsidR="008C3907" w:rsidRDefault="008C3907" w:rsidP="008C3907">
            <w:pPr>
              <w:rPr>
                <w:kern w:val="0"/>
                <w:sz w:val="20"/>
                <w:szCs w:val="20"/>
              </w:rPr>
            </w:pPr>
            <w:r>
              <w:rPr>
                <w:kern w:val="0"/>
                <w:sz w:val="20"/>
                <w:szCs w:val="20"/>
              </w:rPr>
              <w:t>了解硫醇</w:t>
            </w:r>
            <w:r>
              <w:rPr>
                <w:rFonts w:hint="eastAsia"/>
                <w:kern w:val="0"/>
                <w:sz w:val="20"/>
                <w:szCs w:val="20"/>
              </w:rPr>
              <w:t>、</w:t>
            </w:r>
            <w:r>
              <w:rPr>
                <w:kern w:val="0"/>
                <w:sz w:val="20"/>
                <w:szCs w:val="20"/>
              </w:rPr>
              <w:t>硫醚的结构及物理化学性质</w:t>
            </w:r>
            <w:r>
              <w:rPr>
                <w:rFonts w:hint="eastAsia"/>
                <w:kern w:val="0"/>
                <w:sz w:val="20"/>
                <w:szCs w:val="20"/>
              </w:rPr>
              <w:t>；掌握磺酸和表面活性剂的结构特点及性质</w:t>
            </w:r>
          </w:p>
        </w:tc>
      </w:tr>
      <w:tr w:rsidR="008C3907" w:rsidTr="008C3907">
        <w:trPr>
          <w:trHeight w:val="548"/>
        </w:trPr>
        <w:tc>
          <w:tcPr>
            <w:tcW w:w="512" w:type="dxa"/>
            <w:vAlign w:val="center"/>
          </w:tcPr>
          <w:p w:rsidR="008C3907" w:rsidRDefault="008C3907" w:rsidP="008C3907">
            <w:pPr>
              <w:jc w:val="center"/>
              <w:rPr>
                <w:kern w:val="0"/>
                <w:sz w:val="20"/>
                <w:szCs w:val="20"/>
              </w:rPr>
            </w:pPr>
            <w:r>
              <w:rPr>
                <w:rFonts w:hint="eastAsia"/>
                <w:kern w:val="0"/>
                <w:sz w:val="20"/>
                <w:szCs w:val="20"/>
              </w:rPr>
              <w:t>8</w:t>
            </w:r>
          </w:p>
        </w:tc>
        <w:tc>
          <w:tcPr>
            <w:tcW w:w="1723" w:type="dxa"/>
            <w:vAlign w:val="center"/>
          </w:tcPr>
          <w:p w:rsidR="008C3907" w:rsidRDefault="008C3907" w:rsidP="008C3907">
            <w:pPr>
              <w:jc w:val="center"/>
              <w:rPr>
                <w:kern w:val="0"/>
                <w:sz w:val="20"/>
                <w:szCs w:val="20"/>
              </w:rPr>
            </w:pPr>
            <w:r>
              <w:rPr>
                <w:rFonts w:hint="eastAsia"/>
                <w:kern w:val="0"/>
                <w:sz w:val="20"/>
                <w:szCs w:val="20"/>
              </w:rPr>
              <w:t>第八章</w:t>
            </w:r>
            <w:r>
              <w:rPr>
                <w:rFonts w:hint="eastAsia"/>
                <w:kern w:val="0"/>
                <w:sz w:val="20"/>
                <w:szCs w:val="20"/>
              </w:rPr>
              <w:t xml:space="preserve"> </w:t>
            </w:r>
            <w:r>
              <w:rPr>
                <w:rFonts w:hint="eastAsia"/>
                <w:kern w:val="0"/>
                <w:sz w:val="20"/>
                <w:szCs w:val="20"/>
              </w:rPr>
              <w:t>含氮有机化合物</w:t>
            </w:r>
          </w:p>
        </w:tc>
        <w:tc>
          <w:tcPr>
            <w:tcW w:w="708" w:type="dxa"/>
            <w:vAlign w:val="center"/>
          </w:tcPr>
          <w:p w:rsidR="008C3907" w:rsidRDefault="008C3907" w:rsidP="008C3907">
            <w:pPr>
              <w:jc w:val="center"/>
              <w:rPr>
                <w:kern w:val="0"/>
                <w:sz w:val="20"/>
                <w:szCs w:val="20"/>
              </w:rPr>
            </w:pPr>
            <w:r>
              <w:rPr>
                <w:rFonts w:hint="eastAsia"/>
                <w:kern w:val="0"/>
                <w:sz w:val="20"/>
                <w:szCs w:val="20"/>
              </w:rPr>
              <w:t>2</w:t>
            </w:r>
          </w:p>
        </w:tc>
        <w:tc>
          <w:tcPr>
            <w:tcW w:w="3119" w:type="dxa"/>
            <w:vAlign w:val="center"/>
          </w:tcPr>
          <w:p w:rsidR="008C3907" w:rsidRDefault="008C3907" w:rsidP="008C3907">
            <w:pPr>
              <w:rPr>
                <w:kern w:val="0"/>
                <w:sz w:val="20"/>
                <w:szCs w:val="20"/>
              </w:rPr>
            </w:pPr>
            <w:r>
              <w:rPr>
                <w:rFonts w:hint="eastAsia"/>
                <w:kern w:val="0"/>
                <w:sz w:val="20"/>
                <w:szCs w:val="20"/>
              </w:rPr>
              <w:t xml:space="preserve">8.1 </w:t>
            </w:r>
            <w:r>
              <w:rPr>
                <w:rFonts w:hint="eastAsia"/>
                <w:kern w:val="0"/>
                <w:sz w:val="20"/>
                <w:szCs w:val="20"/>
              </w:rPr>
              <w:t>硝基化合物</w:t>
            </w:r>
          </w:p>
          <w:p w:rsidR="008C3907" w:rsidRDefault="008C3907" w:rsidP="008C3907">
            <w:pPr>
              <w:rPr>
                <w:kern w:val="0"/>
                <w:sz w:val="20"/>
                <w:szCs w:val="20"/>
              </w:rPr>
            </w:pPr>
            <w:r>
              <w:rPr>
                <w:rFonts w:hint="eastAsia"/>
                <w:kern w:val="0"/>
                <w:sz w:val="20"/>
                <w:szCs w:val="20"/>
              </w:rPr>
              <w:t xml:space="preserve">8.2 </w:t>
            </w:r>
            <w:r>
              <w:rPr>
                <w:rFonts w:hint="eastAsia"/>
                <w:kern w:val="0"/>
                <w:sz w:val="20"/>
                <w:szCs w:val="20"/>
              </w:rPr>
              <w:t>胺</w:t>
            </w:r>
          </w:p>
          <w:p w:rsidR="008C3907" w:rsidRDefault="008C3907" w:rsidP="008C3907">
            <w:pPr>
              <w:rPr>
                <w:kern w:val="0"/>
                <w:sz w:val="20"/>
                <w:szCs w:val="20"/>
              </w:rPr>
            </w:pPr>
            <w:r>
              <w:rPr>
                <w:rFonts w:hint="eastAsia"/>
                <w:kern w:val="0"/>
                <w:sz w:val="20"/>
                <w:szCs w:val="20"/>
              </w:rPr>
              <w:t xml:space="preserve">8.3 </w:t>
            </w:r>
            <w:r>
              <w:rPr>
                <w:rFonts w:hint="eastAsia"/>
                <w:kern w:val="0"/>
                <w:sz w:val="20"/>
                <w:szCs w:val="20"/>
              </w:rPr>
              <w:t>腈</w:t>
            </w:r>
          </w:p>
          <w:p w:rsidR="008C3907" w:rsidRDefault="008C3907" w:rsidP="008C3907">
            <w:pPr>
              <w:rPr>
                <w:kern w:val="0"/>
                <w:sz w:val="20"/>
                <w:szCs w:val="20"/>
              </w:rPr>
            </w:pPr>
            <w:r>
              <w:rPr>
                <w:rFonts w:hint="eastAsia"/>
                <w:kern w:val="0"/>
                <w:sz w:val="20"/>
                <w:szCs w:val="20"/>
              </w:rPr>
              <w:t xml:space="preserve">8.4 </w:t>
            </w:r>
            <w:r>
              <w:rPr>
                <w:rFonts w:hint="eastAsia"/>
                <w:kern w:val="0"/>
                <w:sz w:val="20"/>
                <w:szCs w:val="20"/>
              </w:rPr>
              <w:t>重氮和偶氮化合物</w:t>
            </w:r>
          </w:p>
          <w:p w:rsidR="008C3907" w:rsidRDefault="008C3907" w:rsidP="008C3907">
            <w:pPr>
              <w:rPr>
                <w:kern w:val="0"/>
                <w:sz w:val="20"/>
                <w:szCs w:val="20"/>
              </w:rPr>
            </w:pPr>
            <w:r>
              <w:rPr>
                <w:rFonts w:hint="eastAsia"/>
                <w:kern w:val="0"/>
                <w:sz w:val="20"/>
                <w:szCs w:val="20"/>
              </w:rPr>
              <w:t xml:space="preserve">8.5 </w:t>
            </w:r>
            <w:r>
              <w:rPr>
                <w:rFonts w:hint="eastAsia"/>
                <w:kern w:val="0"/>
                <w:sz w:val="20"/>
                <w:szCs w:val="20"/>
              </w:rPr>
              <w:t>物质的颜色和物质结构的关系简介</w:t>
            </w:r>
          </w:p>
        </w:tc>
        <w:tc>
          <w:tcPr>
            <w:tcW w:w="3093" w:type="dxa"/>
            <w:vAlign w:val="center"/>
          </w:tcPr>
          <w:p w:rsidR="008C3907" w:rsidRDefault="008C3907" w:rsidP="008C3907">
            <w:pPr>
              <w:rPr>
                <w:kern w:val="0"/>
                <w:sz w:val="20"/>
                <w:szCs w:val="20"/>
              </w:rPr>
            </w:pPr>
            <w:r>
              <w:rPr>
                <w:kern w:val="0"/>
                <w:sz w:val="20"/>
                <w:szCs w:val="20"/>
              </w:rPr>
              <w:t>了解含氮有机化合物的物理化学性质以及一些重要的含氮有机物的特性；了解物质颜色与机构的关系</w:t>
            </w:r>
          </w:p>
        </w:tc>
      </w:tr>
      <w:tr w:rsidR="008C3907" w:rsidTr="008C3907">
        <w:trPr>
          <w:trHeight w:val="548"/>
        </w:trPr>
        <w:tc>
          <w:tcPr>
            <w:tcW w:w="512" w:type="dxa"/>
            <w:vAlign w:val="center"/>
          </w:tcPr>
          <w:p w:rsidR="008C3907" w:rsidRDefault="008C3907" w:rsidP="008C3907">
            <w:pPr>
              <w:jc w:val="center"/>
              <w:rPr>
                <w:kern w:val="0"/>
                <w:sz w:val="20"/>
                <w:szCs w:val="20"/>
              </w:rPr>
            </w:pPr>
            <w:r>
              <w:rPr>
                <w:rFonts w:hint="eastAsia"/>
                <w:kern w:val="0"/>
                <w:sz w:val="20"/>
                <w:szCs w:val="20"/>
              </w:rPr>
              <w:t>9</w:t>
            </w:r>
          </w:p>
        </w:tc>
        <w:tc>
          <w:tcPr>
            <w:tcW w:w="1723" w:type="dxa"/>
            <w:vAlign w:val="center"/>
          </w:tcPr>
          <w:p w:rsidR="008C3907" w:rsidRDefault="008C3907" w:rsidP="008C3907">
            <w:pPr>
              <w:jc w:val="center"/>
              <w:rPr>
                <w:kern w:val="0"/>
                <w:sz w:val="20"/>
                <w:szCs w:val="20"/>
              </w:rPr>
            </w:pPr>
            <w:r>
              <w:rPr>
                <w:rFonts w:hint="eastAsia"/>
                <w:kern w:val="0"/>
                <w:sz w:val="20"/>
                <w:szCs w:val="20"/>
              </w:rPr>
              <w:t>第九章</w:t>
            </w:r>
            <w:r>
              <w:rPr>
                <w:rFonts w:hint="eastAsia"/>
                <w:kern w:val="0"/>
                <w:sz w:val="20"/>
                <w:szCs w:val="20"/>
              </w:rPr>
              <w:t xml:space="preserve"> </w:t>
            </w:r>
            <w:r>
              <w:rPr>
                <w:rFonts w:hint="eastAsia"/>
                <w:kern w:val="0"/>
                <w:sz w:val="20"/>
                <w:szCs w:val="20"/>
              </w:rPr>
              <w:t>杂环化合物</w:t>
            </w:r>
          </w:p>
        </w:tc>
        <w:tc>
          <w:tcPr>
            <w:tcW w:w="708" w:type="dxa"/>
            <w:vAlign w:val="center"/>
          </w:tcPr>
          <w:p w:rsidR="008C3907" w:rsidRDefault="008C3907" w:rsidP="008C3907">
            <w:pPr>
              <w:jc w:val="center"/>
              <w:rPr>
                <w:kern w:val="0"/>
                <w:sz w:val="20"/>
                <w:szCs w:val="20"/>
              </w:rPr>
            </w:pPr>
            <w:r>
              <w:rPr>
                <w:rFonts w:hint="eastAsia"/>
                <w:kern w:val="0"/>
                <w:sz w:val="20"/>
                <w:szCs w:val="20"/>
              </w:rPr>
              <w:t>1</w:t>
            </w:r>
          </w:p>
        </w:tc>
        <w:tc>
          <w:tcPr>
            <w:tcW w:w="3119" w:type="dxa"/>
            <w:vAlign w:val="center"/>
          </w:tcPr>
          <w:p w:rsidR="008C3907" w:rsidRDefault="008C3907" w:rsidP="008C3907">
            <w:pPr>
              <w:rPr>
                <w:kern w:val="0"/>
                <w:sz w:val="20"/>
                <w:szCs w:val="20"/>
              </w:rPr>
            </w:pPr>
            <w:r>
              <w:rPr>
                <w:rFonts w:hint="eastAsia"/>
                <w:kern w:val="0"/>
                <w:sz w:val="20"/>
                <w:szCs w:val="20"/>
              </w:rPr>
              <w:t xml:space="preserve">9.1 </w:t>
            </w:r>
            <w:r>
              <w:rPr>
                <w:rFonts w:hint="eastAsia"/>
                <w:kern w:val="0"/>
                <w:sz w:val="20"/>
                <w:szCs w:val="20"/>
              </w:rPr>
              <w:t>杂环化合物一般概况</w:t>
            </w:r>
          </w:p>
          <w:p w:rsidR="008C3907" w:rsidRDefault="008C3907" w:rsidP="008C3907">
            <w:pPr>
              <w:rPr>
                <w:kern w:val="0"/>
                <w:sz w:val="20"/>
                <w:szCs w:val="20"/>
              </w:rPr>
            </w:pPr>
            <w:r>
              <w:rPr>
                <w:rFonts w:hint="eastAsia"/>
                <w:kern w:val="0"/>
                <w:sz w:val="20"/>
                <w:szCs w:val="20"/>
              </w:rPr>
              <w:t xml:space="preserve">9.2 </w:t>
            </w:r>
            <w:r>
              <w:rPr>
                <w:rFonts w:hint="eastAsia"/>
                <w:kern w:val="0"/>
                <w:sz w:val="20"/>
                <w:szCs w:val="20"/>
              </w:rPr>
              <w:t>五元杂环化合物</w:t>
            </w:r>
          </w:p>
          <w:p w:rsidR="008C3907" w:rsidRDefault="008C3907" w:rsidP="008C3907">
            <w:pPr>
              <w:rPr>
                <w:kern w:val="0"/>
                <w:sz w:val="20"/>
                <w:szCs w:val="20"/>
              </w:rPr>
            </w:pPr>
            <w:r>
              <w:rPr>
                <w:rFonts w:hint="eastAsia"/>
                <w:kern w:val="0"/>
                <w:sz w:val="20"/>
                <w:szCs w:val="20"/>
              </w:rPr>
              <w:t xml:space="preserve">9.3 </w:t>
            </w:r>
            <w:r>
              <w:rPr>
                <w:rFonts w:hint="eastAsia"/>
                <w:kern w:val="0"/>
                <w:sz w:val="20"/>
                <w:szCs w:val="20"/>
              </w:rPr>
              <w:t>六元杂化化合物</w:t>
            </w:r>
          </w:p>
          <w:p w:rsidR="008C3907" w:rsidRDefault="008C3907" w:rsidP="008C3907">
            <w:pPr>
              <w:rPr>
                <w:kern w:val="0"/>
                <w:sz w:val="20"/>
                <w:szCs w:val="20"/>
              </w:rPr>
            </w:pPr>
            <w:r>
              <w:rPr>
                <w:rFonts w:hint="eastAsia"/>
                <w:kern w:val="0"/>
                <w:sz w:val="20"/>
                <w:szCs w:val="20"/>
              </w:rPr>
              <w:t xml:space="preserve">9.4 </w:t>
            </w:r>
            <w:r>
              <w:rPr>
                <w:rFonts w:hint="eastAsia"/>
                <w:kern w:val="0"/>
                <w:sz w:val="20"/>
                <w:szCs w:val="20"/>
              </w:rPr>
              <w:t>稠杂化化合物</w:t>
            </w:r>
          </w:p>
        </w:tc>
        <w:tc>
          <w:tcPr>
            <w:tcW w:w="3093" w:type="dxa"/>
            <w:vAlign w:val="center"/>
          </w:tcPr>
          <w:p w:rsidR="008C3907" w:rsidRDefault="008C3907" w:rsidP="008C3907">
            <w:pPr>
              <w:rPr>
                <w:kern w:val="0"/>
                <w:sz w:val="20"/>
                <w:szCs w:val="20"/>
              </w:rPr>
            </w:pPr>
            <w:r>
              <w:rPr>
                <w:rFonts w:hint="eastAsia"/>
                <w:kern w:val="0"/>
                <w:sz w:val="20"/>
                <w:szCs w:val="20"/>
              </w:rPr>
              <w:t>了解杂环化合物的种类及结构特征</w:t>
            </w:r>
          </w:p>
        </w:tc>
      </w:tr>
      <w:tr w:rsidR="008C3907" w:rsidTr="008C3907">
        <w:trPr>
          <w:trHeight w:val="548"/>
        </w:trPr>
        <w:tc>
          <w:tcPr>
            <w:tcW w:w="512" w:type="dxa"/>
            <w:vAlign w:val="center"/>
          </w:tcPr>
          <w:p w:rsidR="008C3907" w:rsidRDefault="008C3907" w:rsidP="008C3907">
            <w:pPr>
              <w:jc w:val="center"/>
              <w:rPr>
                <w:kern w:val="0"/>
                <w:sz w:val="20"/>
                <w:szCs w:val="20"/>
              </w:rPr>
            </w:pPr>
            <w:r>
              <w:rPr>
                <w:rFonts w:hint="eastAsia"/>
                <w:kern w:val="0"/>
                <w:sz w:val="20"/>
                <w:szCs w:val="20"/>
              </w:rPr>
              <w:t>10</w:t>
            </w:r>
          </w:p>
        </w:tc>
        <w:tc>
          <w:tcPr>
            <w:tcW w:w="1723" w:type="dxa"/>
            <w:vAlign w:val="center"/>
          </w:tcPr>
          <w:p w:rsidR="008C3907" w:rsidRDefault="008C3907" w:rsidP="008C3907">
            <w:pPr>
              <w:jc w:val="center"/>
              <w:rPr>
                <w:kern w:val="0"/>
                <w:sz w:val="20"/>
                <w:szCs w:val="20"/>
              </w:rPr>
            </w:pPr>
            <w:r>
              <w:rPr>
                <w:rFonts w:hint="eastAsia"/>
                <w:kern w:val="0"/>
                <w:sz w:val="20"/>
                <w:szCs w:val="20"/>
              </w:rPr>
              <w:t>第十章</w:t>
            </w:r>
            <w:r>
              <w:rPr>
                <w:rFonts w:hint="eastAsia"/>
                <w:kern w:val="0"/>
                <w:sz w:val="20"/>
                <w:szCs w:val="20"/>
              </w:rPr>
              <w:t xml:space="preserve"> </w:t>
            </w:r>
            <w:r>
              <w:rPr>
                <w:rFonts w:hint="eastAsia"/>
                <w:kern w:val="0"/>
                <w:sz w:val="20"/>
                <w:szCs w:val="20"/>
              </w:rPr>
              <w:t>碳水化合物</w:t>
            </w:r>
          </w:p>
        </w:tc>
        <w:tc>
          <w:tcPr>
            <w:tcW w:w="708" w:type="dxa"/>
            <w:vAlign w:val="center"/>
          </w:tcPr>
          <w:p w:rsidR="008C3907" w:rsidRDefault="008C3907" w:rsidP="008C3907">
            <w:pPr>
              <w:jc w:val="center"/>
              <w:rPr>
                <w:kern w:val="0"/>
                <w:sz w:val="20"/>
                <w:szCs w:val="20"/>
              </w:rPr>
            </w:pPr>
            <w:r>
              <w:rPr>
                <w:rFonts w:hint="eastAsia"/>
                <w:kern w:val="0"/>
                <w:sz w:val="20"/>
                <w:szCs w:val="20"/>
              </w:rPr>
              <w:t>2</w:t>
            </w:r>
          </w:p>
        </w:tc>
        <w:tc>
          <w:tcPr>
            <w:tcW w:w="3119" w:type="dxa"/>
            <w:vAlign w:val="center"/>
          </w:tcPr>
          <w:p w:rsidR="008C3907" w:rsidRDefault="008C3907" w:rsidP="008C3907">
            <w:pPr>
              <w:rPr>
                <w:kern w:val="0"/>
                <w:sz w:val="20"/>
                <w:szCs w:val="20"/>
              </w:rPr>
            </w:pPr>
            <w:r>
              <w:rPr>
                <w:rFonts w:hint="eastAsia"/>
                <w:kern w:val="0"/>
                <w:sz w:val="20"/>
                <w:szCs w:val="20"/>
              </w:rPr>
              <w:t xml:space="preserve">10.1 </w:t>
            </w:r>
            <w:r>
              <w:rPr>
                <w:rFonts w:hint="eastAsia"/>
                <w:kern w:val="0"/>
                <w:sz w:val="20"/>
                <w:szCs w:val="20"/>
              </w:rPr>
              <w:t>单糖</w:t>
            </w:r>
          </w:p>
          <w:p w:rsidR="008C3907" w:rsidRDefault="008C3907" w:rsidP="008C3907">
            <w:pPr>
              <w:rPr>
                <w:kern w:val="0"/>
                <w:sz w:val="20"/>
                <w:szCs w:val="20"/>
              </w:rPr>
            </w:pPr>
            <w:r>
              <w:rPr>
                <w:rFonts w:hint="eastAsia"/>
                <w:kern w:val="0"/>
                <w:sz w:val="20"/>
                <w:szCs w:val="20"/>
              </w:rPr>
              <w:t xml:space="preserve">10.2 </w:t>
            </w:r>
            <w:r>
              <w:rPr>
                <w:rFonts w:hint="eastAsia"/>
                <w:kern w:val="0"/>
                <w:sz w:val="20"/>
                <w:szCs w:val="20"/>
              </w:rPr>
              <w:t>二糖</w:t>
            </w:r>
          </w:p>
          <w:p w:rsidR="008C3907" w:rsidRDefault="008C3907" w:rsidP="008C3907">
            <w:pPr>
              <w:rPr>
                <w:kern w:val="0"/>
                <w:sz w:val="20"/>
                <w:szCs w:val="20"/>
              </w:rPr>
            </w:pPr>
            <w:r>
              <w:rPr>
                <w:rFonts w:hint="eastAsia"/>
                <w:kern w:val="0"/>
                <w:sz w:val="20"/>
                <w:szCs w:val="20"/>
              </w:rPr>
              <w:t xml:space="preserve">10.3 </w:t>
            </w:r>
            <w:r>
              <w:rPr>
                <w:rFonts w:hint="eastAsia"/>
                <w:kern w:val="0"/>
                <w:sz w:val="20"/>
                <w:szCs w:val="20"/>
              </w:rPr>
              <w:t>多糖</w:t>
            </w:r>
          </w:p>
          <w:p w:rsidR="008C3907" w:rsidRDefault="008C3907" w:rsidP="008C3907">
            <w:pPr>
              <w:rPr>
                <w:kern w:val="0"/>
                <w:sz w:val="20"/>
                <w:szCs w:val="20"/>
              </w:rPr>
            </w:pPr>
            <w:r>
              <w:rPr>
                <w:rFonts w:hint="eastAsia"/>
                <w:kern w:val="0"/>
                <w:sz w:val="20"/>
                <w:szCs w:val="20"/>
              </w:rPr>
              <w:t xml:space="preserve">10.4 </w:t>
            </w:r>
            <w:r>
              <w:rPr>
                <w:rFonts w:hint="eastAsia"/>
                <w:kern w:val="0"/>
                <w:sz w:val="20"/>
                <w:szCs w:val="20"/>
              </w:rPr>
              <w:t>立体化学简介</w:t>
            </w:r>
          </w:p>
        </w:tc>
        <w:tc>
          <w:tcPr>
            <w:tcW w:w="3093" w:type="dxa"/>
            <w:vAlign w:val="center"/>
          </w:tcPr>
          <w:p w:rsidR="008C3907" w:rsidRDefault="008C3907" w:rsidP="008C3907">
            <w:pPr>
              <w:rPr>
                <w:kern w:val="0"/>
                <w:sz w:val="20"/>
                <w:szCs w:val="20"/>
              </w:rPr>
            </w:pPr>
            <w:r>
              <w:rPr>
                <w:kern w:val="0"/>
                <w:sz w:val="20"/>
                <w:szCs w:val="20"/>
              </w:rPr>
              <w:t>掌握单糖、多糖的结构特征及重要的化学性质</w:t>
            </w:r>
            <w:r>
              <w:rPr>
                <w:rFonts w:hint="eastAsia"/>
                <w:kern w:val="0"/>
                <w:sz w:val="20"/>
                <w:szCs w:val="20"/>
              </w:rPr>
              <w:t>；</w:t>
            </w:r>
            <w:r>
              <w:rPr>
                <w:kern w:val="0"/>
                <w:sz w:val="20"/>
                <w:szCs w:val="20"/>
              </w:rPr>
              <w:t>了解立体化学基本概念和原理</w:t>
            </w:r>
          </w:p>
        </w:tc>
      </w:tr>
      <w:tr w:rsidR="008C3907" w:rsidTr="008C3907">
        <w:trPr>
          <w:trHeight w:val="548"/>
        </w:trPr>
        <w:tc>
          <w:tcPr>
            <w:tcW w:w="512" w:type="dxa"/>
            <w:vAlign w:val="center"/>
          </w:tcPr>
          <w:p w:rsidR="008C3907" w:rsidRDefault="008C3907" w:rsidP="008C3907">
            <w:pPr>
              <w:jc w:val="center"/>
              <w:rPr>
                <w:kern w:val="0"/>
                <w:sz w:val="20"/>
                <w:szCs w:val="20"/>
              </w:rPr>
            </w:pPr>
            <w:r>
              <w:rPr>
                <w:rFonts w:hint="eastAsia"/>
                <w:kern w:val="0"/>
                <w:sz w:val="20"/>
                <w:szCs w:val="20"/>
              </w:rPr>
              <w:t>11</w:t>
            </w:r>
          </w:p>
        </w:tc>
        <w:tc>
          <w:tcPr>
            <w:tcW w:w="1723" w:type="dxa"/>
            <w:vAlign w:val="center"/>
          </w:tcPr>
          <w:p w:rsidR="008C3907" w:rsidRDefault="008C3907" w:rsidP="008C3907">
            <w:pPr>
              <w:jc w:val="center"/>
              <w:rPr>
                <w:kern w:val="0"/>
                <w:sz w:val="20"/>
                <w:szCs w:val="20"/>
              </w:rPr>
            </w:pPr>
            <w:r>
              <w:rPr>
                <w:rFonts w:hint="eastAsia"/>
                <w:kern w:val="0"/>
                <w:sz w:val="20"/>
                <w:szCs w:val="20"/>
              </w:rPr>
              <w:t>第十一章</w:t>
            </w:r>
            <w:r>
              <w:rPr>
                <w:rFonts w:hint="eastAsia"/>
                <w:kern w:val="0"/>
                <w:sz w:val="20"/>
                <w:szCs w:val="20"/>
              </w:rPr>
              <w:t xml:space="preserve"> </w:t>
            </w:r>
            <w:r>
              <w:rPr>
                <w:rFonts w:hint="eastAsia"/>
                <w:kern w:val="0"/>
                <w:sz w:val="20"/>
                <w:szCs w:val="20"/>
              </w:rPr>
              <w:t>氨基酸</w:t>
            </w:r>
            <w:r>
              <w:rPr>
                <w:rFonts w:hint="eastAsia"/>
                <w:kern w:val="0"/>
                <w:sz w:val="20"/>
                <w:szCs w:val="20"/>
              </w:rPr>
              <w:t xml:space="preserve"> </w:t>
            </w:r>
            <w:r>
              <w:rPr>
                <w:rFonts w:hint="eastAsia"/>
                <w:kern w:val="0"/>
                <w:sz w:val="20"/>
                <w:szCs w:val="20"/>
              </w:rPr>
              <w:t>蛋白质</w:t>
            </w:r>
            <w:r>
              <w:rPr>
                <w:rFonts w:hint="eastAsia"/>
                <w:kern w:val="0"/>
                <w:sz w:val="20"/>
                <w:szCs w:val="20"/>
              </w:rPr>
              <w:t xml:space="preserve"> </w:t>
            </w:r>
            <w:r>
              <w:rPr>
                <w:rFonts w:hint="eastAsia"/>
                <w:kern w:val="0"/>
                <w:sz w:val="20"/>
                <w:szCs w:val="20"/>
              </w:rPr>
              <w:t>核酸</w:t>
            </w:r>
          </w:p>
        </w:tc>
        <w:tc>
          <w:tcPr>
            <w:tcW w:w="708" w:type="dxa"/>
            <w:vAlign w:val="center"/>
          </w:tcPr>
          <w:p w:rsidR="008C3907" w:rsidRDefault="008C3907" w:rsidP="008C3907">
            <w:pPr>
              <w:jc w:val="center"/>
              <w:rPr>
                <w:kern w:val="0"/>
                <w:sz w:val="20"/>
                <w:szCs w:val="20"/>
              </w:rPr>
            </w:pPr>
            <w:r>
              <w:rPr>
                <w:rFonts w:hint="eastAsia"/>
                <w:kern w:val="0"/>
                <w:sz w:val="20"/>
                <w:szCs w:val="20"/>
              </w:rPr>
              <w:t>2</w:t>
            </w:r>
          </w:p>
        </w:tc>
        <w:tc>
          <w:tcPr>
            <w:tcW w:w="3119" w:type="dxa"/>
            <w:vAlign w:val="center"/>
          </w:tcPr>
          <w:p w:rsidR="008C3907" w:rsidRDefault="008C3907" w:rsidP="008C3907">
            <w:pPr>
              <w:rPr>
                <w:kern w:val="0"/>
                <w:sz w:val="20"/>
                <w:szCs w:val="20"/>
              </w:rPr>
            </w:pPr>
            <w:r>
              <w:rPr>
                <w:rFonts w:hint="eastAsia"/>
                <w:kern w:val="0"/>
                <w:sz w:val="20"/>
                <w:szCs w:val="20"/>
              </w:rPr>
              <w:t xml:space="preserve">11.1 </w:t>
            </w:r>
            <w:r>
              <w:rPr>
                <w:rFonts w:hint="eastAsia"/>
                <w:kern w:val="0"/>
                <w:sz w:val="20"/>
                <w:szCs w:val="20"/>
              </w:rPr>
              <w:t>氨基酸</w:t>
            </w:r>
          </w:p>
          <w:p w:rsidR="008C3907" w:rsidRDefault="008C3907" w:rsidP="008C3907">
            <w:pPr>
              <w:rPr>
                <w:kern w:val="0"/>
                <w:sz w:val="20"/>
                <w:szCs w:val="20"/>
              </w:rPr>
            </w:pPr>
            <w:r>
              <w:rPr>
                <w:rFonts w:hint="eastAsia"/>
                <w:kern w:val="0"/>
                <w:sz w:val="20"/>
                <w:szCs w:val="20"/>
              </w:rPr>
              <w:t xml:space="preserve">11.2 </w:t>
            </w:r>
            <w:r>
              <w:rPr>
                <w:rFonts w:hint="eastAsia"/>
                <w:kern w:val="0"/>
                <w:sz w:val="20"/>
                <w:szCs w:val="20"/>
              </w:rPr>
              <w:t>蛋白质</w:t>
            </w:r>
          </w:p>
          <w:p w:rsidR="008C3907" w:rsidRDefault="008C3907" w:rsidP="008C3907">
            <w:pPr>
              <w:rPr>
                <w:kern w:val="0"/>
                <w:sz w:val="20"/>
                <w:szCs w:val="20"/>
              </w:rPr>
            </w:pPr>
            <w:r>
              <w:rPr>
                <w:rFonts w:hint="eastAsia"/>
                <w:kern w:val="0"/>
                <w:sz w:val="20"/>
                <w:szCs w:val="20"/>
              </w:rPr>
              <w:t xml:space="preserve">11.3 </w:t>
            </w:r>
            <w:r>
              <w:rPr>
                <w:rFonts w:hint="eastAsia"/>
                <w:kern w:val="0"/>
                <w:sz w:val="20"/>
                <w:szCs w:val="20"/>
              </w:rPr>
              <w:t>核酸</w:t>
            </w:r>
          </w:p>
        </w:tc>
        <w:tc>
          <w:tcPr>
            <w:tcW w:w="3093" w:type="dxa"/>
            <w:vAlign w:val="center"/>
          </w:tcPr>
          <w:p w:rsidR="008C3907" w:rsidRDefault="008C3907" w:rsidP="008C3907">
            <w:pPr>
              <w:rPr>
                <w:kern w:val="0"/>
                <w:sz w:val="20"/>
                <w:szCs w:val="20"/>
              </w:rPr>
            </w:pPr>
            <w:r>
              <w:rPr>
                <w:kern w:val="0"/>
                <w:sz w:val="20"/>
                <w:szCs w:val="20"/>
              </w:rPr>
              <w:t>掌握氨基酸的结构特征及性质</w:t>
            </w:r>
            <w:r>
              <w:rPr>
                <w:rFonts w:hint="eastAsia"/>
                <w:kern w:val="0"/>
                <w:sz w:val="20"/>
                <w:szCs w:val="20"/>
              </w:rPr>
              <w:t>；</w:t>
            </w:r>
            <w:r>
              <w:rPr>
                <w:kern w:val="0"/>
                <w:sz w:val="20"/>
                <w:szCs w:val="20"/>
              </w:rPr>
              <w:t>了解蛋白质、核酸的组成、结构、性质、功能。</w:t>
            </w:r>
          </w:p>
        </w:tc>
      </w:tr>
      <w:tr w:rsidR="008C3907" w:rsidTr="008C3907">
        <w:trPr>
          <w:trHeight w:val="548"/>
        </w:trPr>
        <w:tc>
          <w:tcPr>
            <w:tcW w:w="512" w:type="dxa"/>
            <w:vAlign w:val="center"/>
          </w:tcPr>
          <w:p w:rsidR="008C3907" w:rsidRDefault="008C3907" w:rsidP="008C3907">
            <w:pPr>
              <w:jc w:val="center"/>
              <w:rPr>
                <w:kern w:val="0"/>
                <w:sz w:val="20"/>
                <w:szCs w:val="20"/>
              </w:rPr>
            </w:pPr>
            <w:r>
              <w:rPr>
                <w:rFonts w:hint="eastAsia"/>
                <w:kern w:val="0"/>
                <w:sz w:val="20"/>
                <w:szCs w:val="20"/>
              </w:rPr>
              <w:t>12</w:t>
            </w:r>
          </w:p>
        </w:tc>
        <w:tc>
          <w:tcPr>
            <w:tcW w:w="1723" w:type="dxa"/>
            <w:vAlign w:val="center"/>
          </w:tcPr>
          <w:p w:rsidR="008C3907" w:rsidRDefault="008C3907" w:rsidP="008C3907">
            <w:pPr>
              <w:jc w:val="center"/>
              <w:rPr>
                <w:kern w:val="0"/>
                <w:sz w:val="20"/>
                <w:szCs w:val="20"/>
              </w:rPr>
            </w:pPr>
            <w:r>
              <w:rPr>
                <w:rFonts w:hint="eastAsia"/>
                <w:kern w:val="0"/>
                <w:sz w:val="20"/>
                <w:szCs w:val="20"/>
              </w:rPr>
              <w:t>第十二章</w:t>
            </w:r>
            <w:r>
              <w:rPr>
                <w:rFonts w:hint="eastAsia"/>
                <w:kern w:val="0"/>
                <w:sz w:val="20"/>
                <w:szCs w:val="20"/>
              </w:rPr>
              <w:t xml:space="preserve"> </w:t>
            </w:r>
            <w:r>
              <w:rPr>
                <w:rFonts w:hint="eastAsia"/>
                <w:kern w:val="0"/>
                <w:sz w:val="20"/>
                <w:szCs w:val="20"/>
              </w:rPr>
              <w:t>合成高分子化合物</w:t>
            </w:r>
          </w:p>
        </w:tc>
        <w:tc>
          <w:tcPr>
            <w:tcW w:w="708" w:type="dxa"/>
            <w:vAlign w:val="center"/>
          </w:tcPr>
          <w:p w:rsidR="008C3907" w:rsidRDefault="008C3907" w:rsidP="008C3907">
            <w:pPr>
              <w:jc w:val="center"/>
              <w:rPr>
                <w:kern w:val="0"/>
                <w:sz w:val="20"/>
                <w:szCs w:val="20"/>
              </w:rPr>
            </w:pPr>
            <w:r>
              <w:rPr>
                <w:rFonts w:hint="eastAsia"/>
                <w:kern w:val="0"/>
                <w:sz w:val="20"/>
                <w:szCs w:val="20"/>
              </w:rPr>
              <w:t>2</w:t>
            </w:r>
          </w:p>
        </w:tc>
        <w:tc>
          <w:tcPr>
            <w:tcW w:w="3119" w:type="dxa"/>
            <w:vAlign w:val="center"/>
          </w:tcPr>
          <w:p w:rsidR="008C3907" w:rsidRDefault="008C3907" w:rsidP="008C3907">
            <w:pPr>
              <w:rPr>
                <w:kern w:val="0"/>
                <w:sz w:val="20"/>
                <w:szCs w:val="20"/>
              </w:rPr>
            </w:pPr>
            <w:r>
              <w:rPr>
                <w:rFonts w:hint="eastAsia"/>
                <w:kern w:val="0"/>
                <w:sz w:val="20"/>
                <w:szCs w:val="20"/>
              </w:rPr>
              <w:t xml:space="preserve">12.1 </w:t>
            </w:r>
            <w:r>
              <w:rPr>
                <w:rFonts w:hint="eastAsia"/>
                <w:kern w:val="0"/>
                <w:sz w:val="20"/>
                <w:szCs w:val="20"/>
              </w:rPr>
              <w:t>概述</w:t>
            </w:r>
          </w:p>
          <w:p w:rsidR="008C3907" w:rsidRDefault="008C3907" w:rsidP="008C3907">
            <w:pPr>
              <w:rPr>
                <w:kern w:val="0"/>
                <w:sz w:val="20"/>
                <w:szCs w:val="20"/>
              </w:rPr>
            </w:pPr>
            <w:r>
              <w:rPr>
                <w:rFonts w:hint="eastAsia"/>
                <w:kern w:val="0"/>
                <w:sz w:val="20"/>
                <w:szCs w:val="20"/>
              </w:rPr>
              <w:t xml:space="preserve">12.2 </w:t>
            </w:r>
            <w:r>
              <w:rPr>
                <w:rFonts w:hint="eastAsia"/>
                <w:kern w:val="0"/>
                <w:sz w:val="20"/>
                <w:szCs w:val="20"/>
              </w:rPr>
              <w:t>高分子化合物的合成及性能</w:t>
            </w:r>
          </w:p>
          <w:p w:rsidR="008C3907" w:rsidRDefault="008C3907" w:rsidP="008C3907">
            <w:pPr>
              <w:rPr>
                <w:kern w:val="0"/>
                <w:sz w:val="20"/>
                <w:szCs w:val="20"/>
              </w:rPr>
            </w:pPr>
            <w:r>
              <w:rPr>
                <w:rFonts w:hint="eastAsia"/>
                <w:kern w:val="0"/>
                <w:sz w:val="20"/>
                <w:szCs w:val="20"/>
              </w:rPr>
              <w:t xml:space="preserve">12.3 </w:t>
            </w:r>
            <w:r>
              <w:rPr>
                <w:rFonts w:hint="eastAsia"/>
                <w:kern w:val="0"/>
                <w:sz w:val="20"/>
                <w:szCs w:val="20"/>
              </w:rPr>
              <w:t>高分子化合物各论</w:t>
            </w:r>
          </w:p>
          <w:p w:rsidR="008C3907" w:rsidRDefault="008C3907" w:rsidP="008C3907">
            <w:pPr>
              <w:rPr>
                <w:kern w:val="0"/>
                <w:sz w:val="20"/>
                <w:szCs w:val="20"/>
              </w:rPr>
            </w:pPr>
            <w:r>
              <w:rPr>
                <w:rFonts w:hint="eastAsia"/>
                <w:kern w:val="0"/>
                <w:sz w:val="20"/>
                <w:szCs w:val="20"/>
              </w:rPr>
              <w:t xml:space="preserve">12.4 </w:t>
            </w:r>
            <w:r>
              <w:rPr>
                <w:rFonts w:hint="eastAsia"/>
                <w:kern w:val="0"/>
                <w:sz w:val="20"/>
                <w:szCs w:val="20"/>
              </w:rPr>
              <w:t>离子交换剂</w:t>
            </w:r>
          </w:p>
          <w:p w:rsidR="008C3907" w:rsidRDefault="008C3907" w:rsidP="008C3907">
            <w:pPr>
              <w:rPr>
                <w:kern w:val="0"/>
                <w:sz w:val="20"/>
                <w:szCs w:val="20"/>
              </w:rPr>
            </w:pPr>
            <w:r>
              <w:rPr>
                <w:rFonts w:hint="eastAsia"/>
                <w:kern w:val="0"/>
                <w:sz w:val="20"/>
                <w:szCs w:val="20"/>
              </w:rPr>
              <w:t xml:space="preserve">12.5 </w:t>
            </w:r>
            <w:r>
              <w:rPr>
                <w:rFonts w:hint="eastAsia"/>
                <w:kern w:val="0"/>
                <w:sz w:val="20"/>
                <w:szCs w:val="20"/>
              </w:rPr>
              <w:t>高分子分离膜</w:t>
            </w:r>
          </w:p>
          <w:p w:rsidR="008C3907" w:rsidRDefault="008C3907" w:rsidP="008C3907">
            <w:pPr>
              <w:rPr>
                <w:kern w:val="0"/>
                <w:sz w:val="20"/>
                <w:szCs w:val="20"/>
              </w:rPr>
            </w:pPr>
            <w:r>
              <w:rPr>
                <w:rFonts w:hint="eastAsia"/>
                <w:kern w:val="0"/>
                <w:sz w:val="20"/>
                <w:szCs w:val="20"/>
              </w:rPr>
              <w:t xml:space="preserve">12.6 </w:t>
            </w:r>
            <w:r>
              <w:rPr>
                <w:rFonts w:hint="eastAsia"/>
                <w:kern w:val="0"/>
                <w:sz w:val="20"/>
                <w:szCs w:val="20"/>
              </w:rPr>
              <w:t>有机高分子絮凝剂</w:t>
            </w:r>
          </w:p>
          <w:p w:rsidR="008C3907" w:rsidRDefault="008C3907" w:rsidP="008C3907">
            <w:pPr>
              <w:rPr>
                <w:kern w:val="0"/>
                <w:sz w:val="20"/>
                <w:szCs w:val="20"/>
              </w:rPr>
            </w:pPr>
            <w:r>
              <w:rPr>
                <w:rFonts w:hint="eastAsia"/>
                <w:kern w:val="0"/>
                <w:sz w:val="20"/>
                <w:szCs w:val="20"/>
              </w:rPr>
              <w:t xml:space="preserve">12.7 </w:t>
            </w:r>
            <w:r>
              <w:rPr>
                <w:rFonts w:hint="eastAsia"/>
                <w:kern w:val="0"/>
                <w:sz w:val="20"/>
                <w:szCs w:val="20"/>
              </w:rPr>
              <w:t>生物可降解高分子材料</w:t>
            </w:r>
          </w:p>
        </w:tc>
        <w:tc>
          <w:tcPr>
            <w:tcW w:w="3093" w:type="dxa"/>
            <w:vAlign w:val="center"/>
          </w:tcPr>
          <w:p w:rsidR="008C3907" w:rsidRDefault="008C3907" w:rsidP="008C3907">
            <w:pPr>
              <w:rPr>
                <w:kern w:val="0"/>
                <w:sz w:val="20"/>
                <w:szCs w:val="20"/>
              </w:rPr>
            </w:pPr>
            <w:r>
              <w:rPr>
                <w:kern w:val="0"/>
                <w:sz w:val="20"/>
                <w:szCs w:val="20"/>
              </w:rPr>
              <w:t>了解高分子化合物的合成及性能以及一些重要的高分子化合物，及水处理中常用的高分子化合物。</w:t>
            </w:r>
          </w:p>
        </w:tc>
      </w:tr>
      <w:tr w:rsidR="008C3907" w:rsidTr="008C3907">
        <w:trPr>
          <w:trHeight w:val="548"/>
        </w:trPr>
        <w:tc>
          <w:tcPr>
            <w:tcW w:w="512" w:type="dxa"/>
            <w:vAlign w:val="center"/>
          </w:tcPr>
          <w:p w:rsidR="008C3907" w:rsidRDefault="008C3907" w:rsidP="008C3907">
            <w:pPr>
              <w:jc w:val="center"/>
              <w:rPr>
                <w:kern w:val="0"/>
                <w:sz w:val="20"/>
                <w:szCs w:val="20"/>
              </w:rPr>
            </w:pPr>
            <w:r>
              <w:rPr>
                <w:rFonts w:hint="eastAsia"/>
                <w:kern w:val="0"/>
                <w:sz w:val="20"/>
                <w:szCs w:val="20"/>
              </w:rPr>
              <w:t>13</w:t>
            </w:r>
          </w:p>
        </w:tc>
        <w:tc>
          <w:tcPr>
            <w:tcW w:w="1723" w:type="dxa"/>
            <w:vAlign w:val="center"/>
          </w:tcPr>
          <w:p w:rsidR="008C3907" w:rsidRDefault="008C3907" w:rsidP="008C3907">
            <w:pPr>
              <w:jc w:val="center"/>
              <w:rPr>
                <w:kern w:val="0"/>
                <w:sz w:val="20"/>
                <w:szCs w:val="20"/>
              </w:rPr>
            </w:pPr>
            <w:r>
              <w:rPr>
                <w:rFonts w:hint="eastAsia"/>
                <w:kern w:val="0"/>
                <w:sz w:val="20"/>
                <w:szCs w:val="20"/>
              </w:rPr>
              <w:t>第十三章</w:t>
            </w:r>
            <w:r>
              <w:rPr>
                <w:rFonts w:hint="eastAsia"/>
                <w:kern w:val="0"/>
                <w:sz w:val="20"/>
                <w:szCs w:val="20"/>
              </w:rPr>
              <w:t xml:space="preserve"> </w:t>
            </w:r>
            <w:r>
              <w:rPr>
                <w:rFonts w:hint="eastAsia"/>
                <w:kern w:val="0"/>
                <w:sz w:val="20"/>
                <w:szCs w:val="20"/>
              </w:rPr>
              <w:t>测定有机物结构的物理方法</w:t>
            </w:r>
          </w:p>
        </w:tc>
        <w:tc>
          <w:tcPr>
            <w:tcW w:w="708" w:type="dxa"/>
            <w:vAlign w:val="center"/>
          </w:tcPr>
          <w:p w:rsidR="008C3907" w:rsidRDefault="008C3907" w:rsidP="008C3907">
            <w:pPr>
              <w:jc w:val="center"/>
              <w:rPr>
                <w:kern w:val="0"/>
                <w:sz w:val="20"/>
                <w:szCs w:val="20"/>
              </w:rPr>
            </w:pPr>
            <w:r>
              <w:rPr>
                <w:rFonts w:hint="eastAsia"/>
                <w:kern w:val="0"/>
                <w:sz w:val="20"/>
                <w:szCs w:val="20"/>
              </w:rPr>
              <w:t>2</w:t>
            </w:r>
          </w:p>
        </w:tc>
        <w:tc>
          <w:tcPr>
            <w:tcW w:w="3119" w:type="dxa"/>
            <w:vAlign w:val="center"/>
          </w:tcPr>
          <w:p w:rsidR="008C3907" w:rsidRDefault="008C3907" w:rsidP="008C3907">
            <w:pPr>
              <w:rPr>
                <w:kern w:val="0"/>
                <w:sz w:val="20"/>
                <w:szCs w:val="20"/>
              </w:rPr>
            </w:pPr>
            <w:r>
              <w:rPr>
                <w:rFonts w:hint="eastAsia"/>
                <w:kern w:val="0"/>
                <w:sz w:val="20"/>
                <w:szCs w:val="20"/>
              </w:rPr>
              <w:t xml:space="preserve">13.1 </w:t>
            </w:r>
            <w:r>
              <w:rPr>
                <w:rFonts w:hint="eastAsia"/>
                <w:kern w:val="0"/>
                <w:sz w:val="20"/>
                <w:szCs w:val="20"/>
              </w:rPr>
              <w:t>紫外</w:t>
            </w:r>
            <w:r>
              <w:rPr>
                <w:rFonts w:hint="eastAsia"/>
                <w:kern w:val="0"/>
                <w:sz w:val="20"/>
                <w:szCs w:val="20"/>
              </w:rPr>
              <w:t>-</w:t>
            </w:r>
            <w:r>
              <w:rPr>
                <w:rFonts w:hint="eastAsia"/>
                <w:kern w:val="0"/>
                <w:sz w:val="20"/>
                <w:szCs w:val="20"/>
              </w:rPr>
              <w:t>可见光谱</w:t>
            </w:r>
          </w:p>
          <w:p w:rsidR="008C3907" w:rsidRDefault="008C3907" w:rsidP="008C3907">
            <w:pPr>
              <w:rPr>
                <w:kern w:val="0"/>
                <w:sz w:val="20"/>
                <w:szCs w:val="20"/>
              </w:rPr>
            </w:pPr>
            <w:r>
              <w:rPr>
                <w:rFonts w:hint="eastAsia"/>
                <w:kern w:val="0"/>
                <w:sz w:val="20"/>
                <w:szCs w:val="20"/>
              </w:rPr>
              <w:t xml:space="preserve">13.2 </w:t>
            </w:r>
            <w:r>
              <w:rPr>
                <w:rFonts w:hint="eastAsia"/>
                <w:kern w:val="0"/>
                <w:sz w:val="20"/>
                <w:szCs w:val="20"/>
              </w:rPr>
              <w:t>红外光谱</w:t>
            </w:r>
          </w:p>
          <w:p w:rsidR="008C3907" w:rsidRDefault="008C3907" w:rsidP="008C3907">
            <w:pPr>
              <w:rPr>
                <w:kern w:val="0"/>
                <w:sz w:val="20"/>
                <w:szCs w:val="20"/>
              </w:rPr>
            </w:pPr>
            <w:r>
              <w:rPr>
                <w:rFonts w:hint="eastAsia"/>
                <w:kern w:val="0"/>
                <w:sz w:val="20"/>
                <w:szCs w:val="20"/>
              </w:rPr>
              <w:t xml:space="preserve">13.3 </w:t>
            </w:r>
            <w:r>
              <w:rPr>
                <w:rFonts w:hint="eastAsia"/>
                <w:kern w:val="0"/>
                <w:sz w:val="20"/>
                <w:szCs w:val="20"/>
              </w:rPr>
              <w:t>核磁共振光谱</w:t>
            </w:r>
          </w:p>
          <w:p w:rsidR="008C3907" w:rsidRDefault="008C3907" w:rsidP="008C3907">
            <w:pPr>
              <w:rPr>
                <w:kern w:val="0"/>
                <w:sz w:val="20"/>
                <w:szCs w:val="20"/>
              </w:rPr>
            </w:pPr>
            <w:r>
              <w:rPr>
                <w:rFonts w:hint="eastAsia"/>
                <w:kern w:val="0"/>
                <w:sz w:val="20"/>
                <w:szCs w:val="20"/>
              </w:rPr>
              <w:t xml:space="preserve">13.4 </w:t>
            </w:r>
            <w:r>
              <w:rPr>
                <w:rFonts w:hint="eastAsia"/>
                <w:kern w:val="0"/>
                <w:sz w:val="20"/>
                <w:szCs w:val="20"/>
              </w:rPr>
              <w:t>质谱</w:t>
            </w:r>
          </w:p>
        </w:tc>
        <w:tc>
          <w:tcPr>
            <w:tcW w:w="3093" w:type="dxa"/>
            <w:vAlign w:val="center"/>
          </w:tcPr>
          <w:p w:rsidR="008C3907" w:rsidRDefault="008C3907" w:rsidP="008C3907">
            <w:pPr>
              <w:rPr>
                <w:kern w:val="0"/>
                <w:sz w:val="20"/>
                <w:szCs w:val="20"/>
              </w:rPr>
            </w:pPr>
            <w:r>
              <w:rPr>
                <w:kern w:val="0"/>
                <w:sz w:val="20"/>
                <w:szCs w:val="20"/>
              </w:rPr>
              <w:t>了解紫外、红外、核磁及质谱用于测定有机物结构的原理、特点及应用。</w:t>
            </w:r>
          </w:p>
        </w:tc>
      </w:tr>
    </w:tbl>
    <w:p w:rsidR="008C3907" w:rsidRDefault="008C3907" w:rsidP="008C3907">
      <w:pPr>
        <w:spacing w:beforeLines="50" w:before="156" w:afterLines="50" w:after="156" w:line="560" w:lineRule="exact"/>
        <w:rPr>
          <w:rFonts w:ascii="黑体" w:eastAsia="黑体" w:hAnsi="黑体"/>
          <w:b/>
          <w:sz w:val="28"/>
          <w:szCs w:val="28"/>
        </w:rPr>
      </w:pP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五、课程考核方式与成绩评定</w:t>
      </w:r>
    </w:p>
    <w:p w:rsidR="008C3907" w:rsidRDefault="008C3907" w:rsidP="008C3907">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课程成绩由平时成绩和期终考试两个环节的成绩综合评定产生。各评价环节所占比例及对教学目标的支撑如下表所示。其中，期终考试采取闭卷形式，内容涉及课程的基本概念和基本方法，题型包括名词解释、选择题、简答题、综合题等。</w:t>
      </w:r>
    </w:p>
    <w:p w:rsidR="008C3907" w:rsidRDefault="008C3907" w:rsidP="008C3907">
      <w:pPr>
        <w:spacing w:beforeLines="50" w:before="156" w:afterLines="50" w:after="156" w:line="460" w:lineRule="exact"/>
        <w:ind w:firstLineChars="200" w:firstLine="560"/>
        <w:rPr>
          <w:rFonts w:ascii="仿宋_GB2312" w:hAnsi="仿宋_GB2312" w:cs="仿宋_GB2312"/>
          <w:sz w:val="28"/>
          <w:szCs w:val="28"/>
        </w:rPr>
      </w:pPr>
      <w:r>
        <w:rPr>
          <w:rFonts w:ascii="仿宋_GB2312" w:hAnsi="仿宋_GB2312" w:cs="仿宋_GB2312"/>
          <w:sz w:val="28"/>
          <w:szCs w:val="28"/>
        </w:rPr>
        <w:t>课程总成绩=期末成绩</w:t>
      </w:r>
      <w:r>
        <w:rPr>
          <w:rFonts w:ascii="仿宋_GB2312" w:hAnsi="仿宋_GB2312" w:cs="仿宋_GB2312" w:hint="eastAsia"/>
          <w:sz w:val="28"/>
          <w:szCs w:val="28"/>
        </w:rPr>
        <w:t>（70%）+平时</w:t>
      </w:r>
      <w:r>
        <w:rPr>
          <w:rFonts w:ascii="仿宋_GB2312" w:hAnsi="仿宋_GB2312" w:cs="仿宋_GB2312"/>
          <w:sz w:val="28"/>
          <w:szCs w:val="28"/>
        </w:rPr>
        <w:t>成绩</w:t>
      </w:r>
      <w:r>
        <w:rPr>
          <w:rFonts w:ascii="仿宋_GB2312" w:hAnsi="仿宋_GB2312" w:cs="仿宋_GB2312" w:hint="eastAsia"/>
          <w:sz w:val="28"/>
          <w:szCs w:val="28"/>
        </w:rPr>
        <w:t>（30%）</w:t>
      </w:r>
    </w:p>
    <w:p w:rsidR="008C3907" w:rsidRDefault="008C3907" w:rsidP="008C3907">
      <w:pPr>
        <w:spacing w:beforeLines="50" w:before="156" w:afterLines="50" w:after="156" w:line="460" w:lineRule="exact"/>
        <w:ind w:firstLineChars="200" w:firstLine="560"/>
        <w:rPr>
          <w:rFonts w:ascii="仿宋_GB2312" w:hAnsi="仿宋_GB2312" w:cs="仿宋_GB2312"/>
          <w:sz w:val="28"/>
          <w:szCs w:val="28"/>
        </w:rPr>
      </w:pPr>
      <w:r>
        <w:rPr>
          <w:rFonts w:ascii="仿宋_GB2312" w:hAnsi="仿宋_GB2312" w:cs="仿宋_GB2312" w:hint="eastAsia"/>
          <w:sz w:val="28"/>
          <w:szCs w:val="28"/>
        </w:rPr>
        <w:t>平时成绩考核标准：出勤率和课后作业各占15%。</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8C3907" w:rsidRDefault="008C3907" w:rsidP="008C3907">
      <w:pPr>
        <w:spacing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8C3907" w:rsidRDefault="008C3907" w:rsidP="008C3907">
      <w:pPr>
        <w:spacing w:line="560" w:lineRule="exact"/>
        <w:ind w:firstLine="329"/>
        <w:rPr>
          <w:rFonts w:ascii="仿宋_GB2312" w:hAnsi="仿宋_GB2312" w:cs="仿宋_GB2312"/>
          <w:bCs/>
          <w:sz w:val="28"/>
          <w:szCs w:val="28"/>
        </w:rPr>
      </w:pPr>
      <w:r>
        <w:rPr>
          <w:rFonts w:ascii="仿宋_GB2312" w:hAnsi="仿宋_GB2312" w:cs="仿宋_GB2312"/>
          <w:bCs/>
          <w:sz w:val="28"/>
          <w:szCs w:val="28"/>
        </w:rPr>
        <w:t>主教材：有机化学（第</w:t>
      </w:r>
      <w:r>
        <w:rPr>
          <w:rFonts w:ascii="仿宋_GB2312" w:hAnsi="仿宋_GB2312" w:cs="仿宋_GB2312" w:hint="eastAsia"/>
          <w:bCs/>
          <w:sz w:val="28"/>
          <w:szCs w:val="28"/>
        </w:rPr>
        <w:t>四</w:t>
      </w:r>
      <w:r>
        <w:rPr>
          <w:rFonts w:ascii="仿宋_GB2312" w:hAnsi="仿宋_GB2312" w:cs="仿宋_GB2312"/>
          <w:bCs/>
          <w:sz w:val="28"/>
          <w:szCs w:val="28"/>
        </w:rPr>
        <w:t>版），蔡素德主编，中国建筑工业出版社，20</w:t>
      </w:r>
      <w:r>
        <w:rPr>
          <w:rFonts w:ascii="仿宋_GB2312" w:hAnsi="仿宋_GB2312" w:cs="仿宋_GB2312" w:hint="eastAsia"/>
          <w:bCs/>
          <w:sz w:val="28"/>
          <w:szCs w:val="28"/>
        </w:rPr>
        <w:t>17</w:t>
      </w:r>
      <w:r>
        <w:rPr>
          <w:rFonts w:ascii="仿宋_GB2312" w:hAnsi="仿宋_GB2312" w:cs="仿宋_GB2312"/>
          <w:bCs/>
          <w:sz w:val="28"/>
          <w:szCs w:val="28"/>
        </w:rPr>
        <w:t>年</w:t>
      </w:r>
      <w:r>
        <w:rPr>
          <w:rFonts w:ascii="仿宋_GB2312" w:hAnsi="仿宋_GB2312" w:cs="仿宋_GB2312" w:hint="eastAsia"/>
          <w:bCs/>
          <w:sz w:val="28"/>
          <w:szCs w:val="28"/>
        </w:rPr>
        <w:t>1</w:t>
      </w:r>
      <w:r>
        <w:rPr>
          <w:rFonts w:ascii="仿宋_GB2312" w:hAnsi="仿宋_GB2312" w:cs="仿宋_GB2312"/>
          <w:bCs/>
          <w:sz w:val="28"/>
          <w:szCs w:val="28"/>
        </w:rPr>
        <w:t>月出版。</w:t>
      </w:r>
    </w:p>
    <w:p w:rsidR="008C3907" w:rsidRDefault="008C3907" w:rsidP="008C3907">
      <w:pPr>
        <w:spacing w:line="560" w:lineRule="exact"/>
        <w:ind w:firstLine="329"/>
        <w:rPr>
          <w:rFonts w:ascii="仿宋_GB2312" w:hAnsi="仿宋_GB2312" w:cs="仿宋_GB2312"/>
          <w:bCs/>
          <w:sz w:val="28"/>
          <w:szCs w:val="28"/>
        </w:rPr>
      </w:pPr>
      <w:r>
        <w:rPr>
          <w:rFonts w:ascii="仿宋_GB2312" w:hAnsi="仿宋_GB2312" w:cs="仿宋_GB2312"/>
          <w:bCs/>
          <w:sz w:val="28"/>
          <w:szCs w:val="28"/>
        </w:rPr>
        <w:t>辅助教材：有机化学（英文版），朱红军、王兴涌主编，化学工业出版社，2007年8月出版。</w:t>
      </w:r>
    </w:p>
    <w:p w:rsidR="008C3907" w:rsidRDefault="008C3907" w:rsidP="008C3907">
      <w:pPr>
        <w:spacing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8C3907" w:rsidRDefault="008C3907" w:rsidP="008C3907">
      <w:pPr>
        <w:spacing w:line="560" w:lineRule="exact"/>
        <w:ind w:firstLine="329"/>
        <w:rPr>
          <w:rFonts w:ascii="仿宋_GB2312" w:hAnsi="仿宋_GB2312" w:cs="仿宋_GB2312"/>
          <w:bCs/>
          <w:sz w:val="28"/>
          <w:szCs w:val="28"/>
        </w:rPr>
      </w:pPr>
      <w:r>
        <w:rPr>
          <w:rFonts w:ascii="仿宋_GB2312" w:hAnsi="仿宋_GB2312" w:cs="仿宋_GB2312"/>
          <w:bCs/>
          <w:sz w:val="28"/>
          <w:szCs w:val="28"/>
        </w:rPr>
        <w:t>Organic Chemistry（7E），L.G. Wade, Jr主编，机械工业出版社，2011年11月出版。</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8C3907" w:rsidRDefault="008C3907" w:rsidP="008C3907">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w:t>
      </w:r>
    </w:p>
    <w:p w:rsidR="008C3907" w:rsidRDefault="008C3907" w:rsidP="008C3907">
      <w:pPr>
        <w:spacing w:line="360" w:lineRule="auto"/>
        <w:ind w:firstLineChars="1200" w:firstLine="3360"/>
        <w:rPr>
          <w:rFonts w:ascii="仿宋" w:eastAsia="仿宋" w:hAnsi="仿宋"/>
          <w:sz w:val="28"/>
          <w:szCs w:val="28"/>
        </w:rPr>
      </w:pPr>
    </w:p>
    <w:p w:rsidR="008C3907" w:rsidRDefault="008C3907" w:rsidP="008C3907">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大纲撰写人：赵晓红</w:t>
      </w:r>
    </w:p>
    <w:p w:rsidR="008C3907" w:rsidRDefault="008C3907" w:rsidP="008C3907">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课程负责人：赵晓红</w:t>
      </w:r>
    </w:p>
    <w:p w:rsidR="008C3907" w:rsidRDefault="008C3907" w:rsidP="008C3907">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审核人：杨利伟、赵红梅</w:t>
      </w:r>
    </w:p>
    <w:p w:rsidR="002A3242" w:rsidRPr="002A3242" w:rsidRDefault="008C3907" w:rsidP="002A3242">
      <w:pPr>
        <w:jc w:val="center"/>
        <w:rPr>
          <w:rFonts w:ascii="仿宋" w:eastAsia="仿宋" w:hAnsi="仿宋" w:hint="eastAsia"/>
          <w:sz w:val="28"/>
          <w:szCs w:val="28"/>
        </w:rPr>
      </w:pPr>
      <w:r>
        <w:rPr>
          <w:rFonts w:ascii="仿宋" w:eastAsia="仿宋" w:hAnsi="仿宋" w:hint="eastAsia"/>
          <w:sz w:val="28"/>
          <w:szCs w:val="28"/>
        </w:rPr>
        <w:t xml:space="preserve">            2021.4    </w:t>
      </w:r>
    </w:p>
    <w:p w:rsidR="00CA5AE3" w:rsidRDefault="00CA5AE3" w:rsidP="00CA5AE3">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《有机化学（双语）》课程教学大纲</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A5AE3" w:rsidRDefault="00CA5AE3" w:rsidP="00CA5AE3">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英文名称：Organic Chemistry</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Z2806020</w:t>
      </w:r>
    </w:p>
    <w:p w:rsidR="00CA5AE3" w:rsidRDefault="00CA5AE3" w:rsidP="00CA5AE3">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授课语言：汉语、英语</w:t>
      </w:r>
    </w:p>
    <w:p w:rsidR="00CA5AE3" w:rsidRDefault="00CA5AE3" w:rsidP="00CA5AE3">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 xml:space="preserve"> 授课方式：线下</w:t>
      </w:r>
    </w:p>
    <w:p w:rsidR="00CA5AE3" w:rsidRDefault="00CA5AE3" w:rsidP="00CA5AE3">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A5AE3" w:rsidRDefault="00CA5AE3" w:rsidP="00CA5AE3">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CA5AE3" w:rsidRDefault="00CA5AE3" w:rsidP="00CA5AE3">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分：2.0</w:t>
      </w:r>
    </w:p>
    <w:p w:rsidR="00CA5AE3" w:rsidRDefault="00CA5AE3" w:rsidP="00CA5AE3">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 xml:space="preserve"> 学    时：32学时（授课32学时）</w:t>
      </w:r>
    </w:p>
    <w:p w:rsidR="00CA5AE3" w:rsidRDefault="00CA5AE3" w:rsidP="00CA5AE3">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适用对象：给排水科学与工程卓越工程师专业</w:t>
      </w:r>
    </w:p>
    <w:p w:rsidR="00CA5AE3" w:rsidRDefault="00CA5AE3" w:rsidP="00CA5AE3">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先修课程：无</w:t>
      </w:r>
    </w:p>
    <w:p w:rsidR="00CA5AE3" w:rsidRDefault="00CA5AE3" w:rsidP="00CA5AE3">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A5AE3" w:rsidRDefault="00CA5AE3" w:rsidP="00CA5AE3">
      <w:pPr>
        <w:snapToGrid w:val="0"/>
        <w:spacing w:line="560" w:lineRule="exact"/>
        <w:rPr>
          <w:rFonts w:ascii="仿宋_GB2312" w:hAnsi="仿宋_GB2312" w:cs="仿宋_GB2312"/>
          <w:bCs/>
          <w:sz w:val="28"/>
          <w:szCs w:val="28"/>
        </w:rPr>
      </w:pPr>
      <w:r>
        <w:rPr>
          <w:rFonts w:ascii="仿宋_GB2312" w:hAnsi="仿宋_GB2312" w:cs="仿宋_GB2312" w:hint="eastAsia"/>
          <w:bCs/>
          <w:sz w:val="28"/>
          <w:szCs w:val="28"/>
        </w:rPr>
        <w:t xml:space="preserve">  </w:t>
      </w:r>
      <w:r>
        <w:rPr>
          <w:rFonts w:ascii="仿宋_GB2312" w:hAnsi="仿宋_GB2312" w:cs="仿宋_GB2312"/>
          <w:bCs/>
          <w:sz w:val="28"/>
          <w:szCs w:val="28"/>
        </w:rPr>
        <w:t>《有机化学</w:t>
      </w:r>
      <w:r>
        <w:rPr>
          <w:rFonts w:ascii="仿宋_GB2312" w:hAnsi="仿宋_GB2312" w:cs="仿宋_GB2312" w:hint="eastAsia"/>
          <w:bCs/>
          <w:sz w:val="28"/>
          <w:szCs w:val="28"/>
        </w:rPr>
        <w:t>（双语）</w:t>
      </w:r>
      <w:r>
        <w:rPr>
          <w:rFonts w:ascii="仿宋_GB2312" w:hAnsi="仿宋_GB2312" w:cs="仿宋_GB2312"/>
          <w:bCs/>
          <w:sz w:val="28"/>
          <w:szCs w:val="28"/>
        </w:rPr>
        <w:t>》是给排水科学与工程</w:t>
      </w:r>
      <w:r>
        <w:rPr>
          <w:rFonts w:ascii="仿宋_GB2312" w:hAnsi="仿宋_GB2312" w:cs="仿宋_GB2312" w:hint="eastAsia"/>
          <w:bCs/>
          <w:sz w:val="28"/>
          <w:szCs w:val="28"/>
        </w:rPr>
        <w:t>卓越工程师</w:t>
      </w:r>
      <w:r>
        <w:rPr>
          <w:rFonts w:ascii="仿宋_GB2312" w:hAnsi="仿宋_GB2312" w:cs="仿宋_GB2312"/>
          <w:bCs/>
          <w:sz w:val="28"/>
          <w:szCs w:val="28"/>
        </w:rPr>
        <w:t>专业学生的学科专业发展选修课。通过课程教学，学生应掌握本专业所需要的有机化学基础知识，并能结合其他相关专业知识，具备解决实际工程应用的能力，具有对水处理中涉及有机污染质所设计的流程及工业参数、影响因素等进行研究的能力。</w:t>
      </w:r>
    </w:p>
    <w:p w:rsidR="00CA5AE3" w:rsidRDefault="00CA5AE3" w:rsidP="00CA5AE3">
      <w:pPr>
        <w:snapToGrid w:val="0"/>
        <w:spacing w:line="560" w:lineRule="exact"/>
        <w:rPr>
          <w:rFonts w:ascii="仿宋_GB2312" w:hAnsi="仿宋_GB2312" w:cs="仿宋_GB2312"/>
          <w:bCs/>
          <w:sz w:val="28"/>
          <w:szCs w:val="28"/>
        </w:rPr>
      </w:pPr>
      <w:r>
        <w:rPr>
          <w:rFonts w:ascii="仿宋_GB2312" w:hAnsi="仿宋_GB2312" w:cs="仿宋_GB2312" w:hint="eastAsia"/>
          <w:bCs/>
          <w:sz w:val="28"/>
          <w:szCs w:val="28"/>
        </w:rPr>
        <w:t xml:space="preserve">   </w:t>
      </w:r>
      <w:r>
        <w:rPr>
          <w:rFonts w:ascii="仿宋_GB2312" w:hAnsi="仿宋_GB2312" w:cs="仿宋_GB2312"/>
          <w:bCs/>
          <w:sz w:val="28"/>
          <w:szCs w:val="28"/>
        </w:rPr>
        <w:t>教学方式采用PPT、板书、课后思考题和练习题等相结合进行授课，教学中采用双语教学，在学生掌握课程内容的基础上，熟悉专业英语词汇，提高英语听说及阅读能力。</w:t>
      </w:r>
    </w:p>
    <w:p w:rsidR="00CA5AE3" w:rsidRDefault="00CA5AE3" w:rsidP="00CA5AE3">
      <w:pPr>
        <w:spacing w:beforeLines="50" w:before="156" w:afterLines="50" w:after="156" w:line="560" w:lineRule="exact"/>
        <w:rPr>
          <w:rFonts w:ascii="黑体" w:eastAsia="黑体" w:hAnsi="黑体"/>
          <w:b/>
          <w:sz w:val="28"/>
          <w:szCs w:val="28"/>
        </w:rPr>
      </w:pP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三、课程任务、目标与要求</w:t>
      </w:r>
    </w:p>
    <w:p w:rsidR="00CA5AE3" w:rsidRDefault="00CA5AE3" w:rsidP="00CA5AE3">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bCs/>
          <w:sz w:val="28"/>
          <w:szCs w:val="28"/>
        </w:rPr>
        <w:t>《有机化学</w:t>
      </w:r>
      <w:r>
        <w:rPr>
          <w:rFonts w:ascii="仿宋_GB2312" w:hAnsi="仿宋_GB2312" w:cs="仿宋_GB2312" w:hint="eastAsia"/>
          <w:bCs/>
          <w:sz w:val="28"/>
          <w:szCs w:val="28"/>
        </w:rPr>
        <w:t>（双语）</w:t>
      </w:r>
      <w:r>
        <w:rPr>
          <w:rFonts w:ascii="仿宋_GB2312" w:hAnsi="仿宋_GB2312" w:cs="仿宋_GB2312"/>
          <w:bCs/>
          <w:sz w:val="28"/>
          <w:szCs w:val="28"/>
        </w:rPr>
        <w:t>》</w:t>
      </w:r>
      <w:r>
        <w:rPr>
          <w:rFonts w:ascii="仿宋_GB2312" w:hAnsi="仿宋_GB2312" w:cs="仿宋_GB2312" w:hint="eastAsia"/>
          <w:bCs/>
          <w:sz w:val="28"/>
          <w:szCs w:val="28"/>
        </w:rPr>
        <w:t>课程是讲授</w:t>
      </w:r>
      <w:r>
        <w:rPr>
          <w:rFonts w:ascii="仿宋_GB2312" w:hAnsi="仿宋_GB2312" w:cs="仿宋_GB2312"/>
          <w:bCs/>
          <w:sz w:val="28"/>
          <w:szCs w:val="28"/>
        </w:rPr>
        <w:t>有机化合物的组成、结构、合成、物理性质、化学性质及其相互转化规律的</w:t>
      </w:r>
      <w:r>
        <w:rPr>
          <w:rFonts w:ascii="仿宋_GB2312" w:hAnsi="仿宋_GB2312" w:cs="仿宋_GB2312" w:hint="eastAsia"/>
          <w:bCs/>
          <w:sz w:val="28"/>
          <w:szCs w:val="28"/>
        </w:rPr>
        <w:t>课程</w:t>
      </w:r>
      <w:r>
        <w:rPr>
          <w:rFonts w:ascii="仿宋_GB2312" w:hAnsi="仿宋_GB2312" w:cs="仿宋_GB2312"/>
          <w:bCs/>
          <w:sz w:val="28"/>
          <w:szCs w:val="28"/>
        </w:rPr>
        <w:t>，是工程类（本科）各专业的重要基础课。它使学生了解近代有机化学的基本理论，具备必要的基本知识和一定的基本技能，并</w:t>
      </w:r>
      <w:r>
        <w:rPr>
          <w:rFonts w:ascii="仿宋_GB2312" w:hAnsi="仿宋_GB2312" w:cs="仿宋_GB2312" w:hint="eastAsia"/>
          <w:bCs/>
          <w:sz w:val="28"/>
          <w:szCs w:val="28"/>
        </w:rPr>
        <w:t>能够</w:t>
      </w:r>
      <w:r>
        <w:rPr>
          <w:rFonts w:ascii="仿宋_GB2312" w:hAnsi="仿宋_GB2312" w:cs="仿宋_GB2312"/>
          <w:bCs/>
          <w:sz w:val="28"/>
          <w:szCs w:val="28"/>
        </w:rPr>
        <w:t>结合本专业，对一些有机环境污染问题</w:t>
      </w:r>
      <w:r>
        <w:rPr>
          <w:rFonts w:ascii="仿宋_GB2312" w:hAnsi="仿宋_GB2312" w:cs="仿宋_GB2312" w:hint="eastAsia"/>
          <w:bCs/>
          <w:sz w:val="28"/>
          <w:szCs w:val="28"/>
        </w:rPr>
        <w:t>、涉及有机物的</w:t>
      </w:r>
      <w:r>
        <w:rPr>
          <w:rFonts w:ascii="仿宋_GB2312" w:hAnsi="仿宋_GB2312" w:cs="仿宋_GB2312"/>
          <w:bCs/>
          <w:sz w:val="28"/>
          <w:szCs w:val="28"/>
        </w:rPr>
        <w:t>水处理技术等问题可进行</w:t>
      </w:r>
      <w:r>
        <w:rPr>
          <w:rFonts w:ascii="仿宋_GB2312" w:hAnsi="仿宋_GB2312" w:cs="仿宋_GB2312" w:hint="eastAsia"/>
          <w:bCs/>
          <w:sz w:val="28"/>
          <w:szCs w:val="28"/>
        </w:rPr>
        <w:t>探讨</w:t>
      </w:r>
      <w:r>
        <w:rPr>
          <w:rFonts w:ascii="仿宋_GB2312" w:hAnsi="仿宋_GB2312" w:cs="仿宋_GB2312"/>
          <w:bCs/>
          <w:sz w:val="28"/>
          <w:szCs w:val="28"/>
        </w:rPr>
        <w:t>、学习</w:t>
      </w:r>
      <w:r>
        <w:rPr>
          <w:rFonts w:ascii="仿宋_GB2312" w:hAnsi="仿宋_GB2312" w:cs="仿宋_GB2312" w:hint="eastAsia"/>
          <w:bCs/>
          <w:sz w:val="28"/>
          <w:szCs w:val="28"/>
        </w:rPr>
        <w:t>；</w:t>
      </w:r>
      <w:r>
        <w:rPr>
          <w:rFonts w:ascii="仿宋_GB2312" w:hAnsi="仿宋_GB2312" w:cs="仿宋_GB2312"/>
          <w:bCs/>
          <w:sz w:val="28"/>
          <w:szCs w:val="28"/>
        </w:rPr>
        <w:t>此外</w:t>
      </w:r>
      <w:r>
        <w:rPr>
          <w:rFonts w:ascii="仿宋_GB2312" w:hAnsi="仿宋_GB2312" w:cs="仿宋_GB2312" w:hint="eastAsia"/>
          <w:bCs/>
          <w:sz w:val="28"/>
          <w:szCs w:val="28"/>
        </w:rPr>
        <w:t>，通过双语教学，提高学生英文阅读及听说能力，</w:t>
      </w:r>
      <w:r>
        <w:rPr>
          <w:rFonts w:ascii="仿宋_GB2312" w:hAnsi="仿宋_GB2312" w:cs="仿宋_GB2312"/>
          <w:bCs/>
          <w:sz w:val="28"/>
          <w:szCs w:val="28"/>
        </w:rPr>
        <w:t>为后继课程和进一步</w:t>
      </w:r>
      <w:r>
        <w:rPr>
          <w:rFonts w:ascii="仿宋_GB2312" w:hAnsi="仿宋_GB2312" w:cs="仿宋_GB2312" w:hint="eastAsia"/>
          <w:bCs/>
          <w:sz w:val="28"/>
          <w:szCs w:val="28"/>
        </w:rPr>
        <w:t>深造</w:t>
      </w:r>
      <w:r>
        <w:rPr>
          <w:rFonts w:ascii="仿宋_GB2312" w:hAnsi="仿宋_GB2312" w:cs="仿宋_GB2312"/>
          <w:bCs/>
          <w:sz w:val="28"/>
          <w:szCs w:val="28"/>
        </w:rPr>
        <w:t>学习打下必要的基础。</w:t>
      </w:r>
    </w:p>
    <w:p w:rsidR="00CA5AE3" w:rsidRDefault="00CA5AE3"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CA5AE3" w:rsidRDefault="00CA5AE3" w:rsidP="00CA5AE3">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CA5AE3" w:rsidRDefault="00CA5AE3" w:rsidP="00CA5AE3">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知识目标：通过学习本门课程学习，</w:t>
      </w:r>
      <w:r>
        <w:rPr>
          <w:rFonts w:ascii="仿宋_GB2312" w:hAnsi="仿宋_GB2312" w:cs="仿宋_GB2312"/>
          <w:bCs/>
          <w:sz w:val="28"/>
          <w:szCs w:val="28"/>
        </w:rPr>
        <w:t>使学生掌握有机化学的基本概念和基本理论知识</w:t>
      </w:r>
      <w:r>
        <w:rPr>
          <w:rFonts w:ascii="仿宋_GB2312" w:hAnsi="仿宋_GB2312" w:cs="仿宋_GB2312" w:hint="eastAsia"/>
          <w:bCs/>
          <w:sz w:val="28"/>
          <w:szCs w:val="28"/>
        </w:rPr>
        <w:t>：</w:t>
      </w:r>
      <w:r>
        <w:rPr>
          <w:rFonts w:ascii="仿宋_GB2312" w:hAnsi="仿宋_GB2312" w:cs="仿宋_GB2312"/>
          <w:bCs/>
          <w:sz w:val="28"/>
          <w:szCs w:val="28"/>
        </w:rPr>
        <w:t>掌握常见有机物烃</w:t>
      </w:r>
      <w:r>
        <w:rPr>
          <w:rFonts w:ascii="仿宋_GB2312" w:hAnsi="仿宋_GB2312" w:cs="仿宋_GB2312" w:hint="eastAsia"/>
          <w:bCs/>
          <w:sz w:val="28"/>
          <w:szCs w:val="28"/>
        </w:rPr>
        <w:t>、</w:t>
      </w:r>
      <w:r>
        <w:rPr>
          <w:rFonts w:ascii="仿宋_GB2312" w:hAnsi="仿宋_GB2312" w:cs="仿宋_GB2312"/>
          <w:bCs/>
          <w:sz w:val="28"/>
          <w:szCs w:val="28"/>
        </w:rPr>
        <w:t>卤代烃</w:t>
      </w:r>
      <w:r>
        <w:rPr>
          <w:rFonts w:ascii="仿宋_GB2312" w:hAnsi="仿宋_GB2312" w:cs="仿宋_GB2312" w:hint="eastAsia"/>
          <w:bCs/>
          <w:sz w:val="28"/>
          <w:szCs w:val="28"/>
        </w:rPr>
        <w:t>、</w:t>
      </w:r>
      <w:r>
        <w:rPr>
          <w:rFonts w:ascii="仿宋_GB2312" w:hAnsi="仿宋_GB2312" w:cs="仿宋_GB2312"/>
          <w:bCs/>
          <w:sz w:val="28"/>
          <w:szCs w:val="28"/>
        </w:rPr>
        <w:t>醇</w:t>
      </w:r>
      <w:r>
        <w:rPr>
          <w:rFonts w:ascii="仿宋_GB2312" w:hAnsi="仿宋_GB2312" w:cs="仿宋_GB2312" w:hint="eastAsia"/>
          <w:bCs/>
          <w:sz w:val="28"/>
          <w:szCs w:val="28"/>
        </w:rPr>
        <w:t>、</w:t>
      </w:r>
      <w:r>
        <w:rPr>
          <w:rFonts w:ascii="仿宋_GB2312" w:hAnsi="仿宋_GB2312" w:cs="仿宋_GB2312"/>
          <w:bCs/>
          <w:sz w:val="28"/>
          <w:szCs w:val="28"/>
        </w:rPr>
        <w:t>酚</w:t>
      </w:r>
      <w:r>
        <w:rPr>
          <w:rFonts w:ascii="仿宋_GB2312" w:hAnsi="仿宋_GB2312" w:cs="仿宋_GB2312" w:hint="eastAsia"/>
          <w:bCs/>
          <w:sz w:val="28"/>
          <w:szCs w:val="28"/>
        </w:rPr>
        <w:t>、</w:t>
      </w:r>
      <w:r>
        <w:rPr>
          <w:rFonts w:ascii="仿宋_GB2312" w:hAnsi="仿宋_GB2312" w:cs="仿宋_GB2312"/>
          <w:bCs/>
          <w:sz w:val="28"/>
          <w:szCs w:val="28"/>
        </w:rPr>
        <w:t>醚</w:t>
      </w:r>
      <w:r>
        <w:rPr>
          <w:rFonts w:ascii="仿宋_GB2312" w:hAnsi="仿宋_GB2312" w:cs="仿宋_GB2312" w:hint="eastAsia"/>
          <w:bCs/>
          <w:sz w:val="28"/>
          <w:szCs w:val="28"/>
        </w:rPr>
        <w:t>、</w:t>
      </w:r>
      <w:r>
        <w:rPr>
          <w:rFonts w:ascii="仿宋_GB2312" w:hAnsi="仿宋_GB2312" w:cs="仿宋_GB2312"/>
          <w:bCs/>
          <w:sz w:val="28"/>
          <w:szCs w:val="28"/>
        </w:rPr>
        <w:t>醛和酮</w:t>
      </w:r>
      <w:r>
        <w:rPr>
          <w:rFonts w:ascii="仿宋_GB2312" w:hAnsi="仿宋_GB2312" w:cs="仿宋_GB2312" w:hint="eastAsia"/>
          <w:bCs/>
          <w:sz w:val="28"/>
          <w:szCs w:val="28"/>
        </w:rPr>
        <w:t>、</w:t>
      </w:r>
      <w:r>
        <w:rPr>
          <w:rFonts w:ascii="仿宋_GB2312" w:hAnsi="仿宋_GB2312" w:cs="仿宋_GB2312"/>
          <w:bCs/>
          <w:sz w:val="28"/>
          <w:szCs w:val="28"/>
        </w:rPr>
        <w:t>羧酸及其衍生物</w:t>
      </w:r>
      <w:r>
        <w:rPr>
          <w:rFonts w:ascii="仿宋_GB2312" w:hAnsi="仿宋_GB2312" w:cs="仿宋_GB2312" w:hint="eastAsia"/>
          <w:bCs/>
          <w:sz w:val="28"/>
          <w:szCs w:val="28"/>
        </w:rPr>
        <w:t>、</w:t>
      </w:r>
      <w:r>
        <w:rPr>
          <w:rFonts w:ascii="仿宋_GB2312" w:hAnsi="仿宋_GB2312" w:cs="仿宋_GB2312"/>
          <w:bCs/>
          <w:sz w:val="28"/>
          <w:szCs w:val="28"/>
        </w:rPr>
        <w:t>含硫</w:t>
      </w:r>
      <w:r>
        <w:rPr>
          <w:rFonts w:ascii="仿宋_GB2312" w:hAnsi="仿宋_GB2312" w:cs="仿宋_GB2312" w:hint="eastAsia"/>
          <w:bCs/>
          <w:sz w:val="28"/>
          <w:szCs w:val="28"/>
        </w:rPr>
        <w:t>、</w:t>
      </w:r>
      <w:r>
        <w:rPr>
          <w:rFonts w:ascii="仿宋_GB2312" w:hAnsi="仿宋_GB2312" w:cs="仿宋_GB2312"/>
          <w:bCs/>
          <w:sz w:val="28"/>
          <w:szCs w:val="28"/>
        </w:rPr>
        <w:t>含氮有机物</w:t>
      </w:r>
      <w:r>
        <w:rPr>
          <w:rFonts w:ascii="仿宋_GB2312" w:hAnsi="仿宋_GB2312" w:cs="仿宋_GB2312" w:hint="eastAsia"/>
          <w:bCs/>
          <w:sz w:val="28"/>
          <w:szCs w:val="28"/>
        </w:rPr>
        <w:t>、</w:t>
      </w:r>
      <w:r>
        <w:rPr>
          <w:rFonts w:ascii="仿宋_GB2312" w:hAnsi="仿宋_GB2312" w:cs="仿宋_GB2312"/>
          <w:bCs/>
          <w:sz w:val="28"/>
          <w:szCs w:val="28"/>
        </w:rPr>
        <w:t>杂化化合物</w:t>
      </w:r>
      <w:r>
        <w:rPr>
          <w:rFonts w:ascii="仿宋_GB2312" w:hAnsi="仿宋_GB2312" w:cs="仿宋_GB2312" w:hint="eastAsia"/>
          <w:bCs/>
          <w:sz w:val="28"/>
          <w:szCs w:val="28"/>
        </w:rPr>
        <w:t>、</w:t>
      </w:r>
      <w:r>
        <w:rPr>
          <w:rFonts w:ascii="仿宋_GB2312" w:hAnsi="仿宋_GB2312" w:cs="仿宋_GB2312"/>
          <w:bCs/>
          <w:sz w:val="28"/>
          <w:szCs w:val="28"/>
        </w:rPr>
        <w:t>碳水化合物</w:t>
      </w:r>
      <w:r>
        <w:rPr>
          <w:rFonts w:ascii="仿宋_GB2312" w:hAnsi="仿宋_GB2312" w:cs="仿宋_GB2312" w:hint="eastAsia"/>
          <w:bCs/>
          <w:sz w:val="28"/>
          <w:szCs w:val="28"/>
        </w:rPr>
        <w:t>、</w:t>
      </w:r>
      <w:r>
        <w:rPr>
          <w:rFonts w:ascii="仿宋_GB2312" w:hAnsi="仿宋_GB2312" w:cs="仿宋_GB2312"/>
          <w:bCs/>
          <w:sz w:val="28"/>
          <w:szCs w:val="28"/>
        </w:rPr>
        <w:t>氨基酸</w:t>
      </w:r>
      <w:r>
        <w:rPr>
          <w:rFonts w:ascii="仿宋_GB2312" w:hAnsi="仿宋_GB2312" w:cs="仿宋_GB2312" w:hint="eastAsia"/>
          <w:bCs/>
          <w:sz w:val="28"/>
          <w:szCs w:val="28"/>
        </w:rPr>
        <w:t>、</w:t>
      </w:r>
      <w:r>
        <w:rPr>
          <w:rFonts w:ascii="仿宋_GB2312" w:hAnsi="仿宋_GB2312" w:cs="仿宋_GB2312"/>
          <w:bCs/>
          <w:sz w:val="28"/>
          <w:szCs w:val="28"/>
        </w:rPr>
        <w:t>蛋白质</w:t>
      </w:r>
      <w:r>
        <w:rPr>
          <w:rFonts w:ascii="仿宋_GB2312" w:hAnsi="仿宋_GB2312" w:cs="仿宋_GB2312" w:hint="eastAsia"/>
          <w:bCs/>
          <w:sz w:val="28"/>
          <w:szCs w:val="28"/>
        </w:rPr>
        <w:t>、</w:t>
      </w:r>
      <w:r>
        <w:rPr>
          <w:rFonts w:ascii="仿宋_GB2312" w:hAnsi="仿宋_GB2312" w:cs="仿宋_GB2312"/>
          <w:bCs/>
          <w:sz w:val="28"/>
          <w:szCs w:val="28"/>
        </w:rPr>
        <w:t>核酸</w:t>
      </w:r>
      <w:r>
        <w:rPr>
          <w:rFonts w:ascii="仿宋_GB2312" w:hAnsi="仿宋_GB2312" w:cs="仿宋_GB2312" w:hint="eastAsia"/>
          <w:bCs/>
          <w:sz w:val="28"/>
          <w:szCs w:val="28"/>
        </w:rPr>
        <w:t>、</w:t>
      </w:r>
      <w:r>
        <w:rPr>
          <w:rFonts w:ascii="仿宋_GB2312" w:hAnsi="仿宋_GB2312" w:cs="仿宋_GB2312"/>
          <w:bCs/>
          <w:sz w:val="28"/>
          <w:szCs w:val="28"/>
        </w:rPr>
        <w:t>高分子化合物的结构和物理化学性质以及在现实生活生产中的应用</w:t>
      </w:r>
      <w:r>
        <w:rPr>
          <w:rFonts w:ascii="仿宋_GB2312" w:hAnsi="仿宋_GB2312" w:cs="仿宋_GB2312" w:hint="eastAsia"/>
          <w:bCs/>
          <w:sz w:val="28"/>
          <w:szCs w:val="28"/>
        </w:rPr>
        <w:t>；掌握立体化学基础及测定有机物结构的物理方法；熟知水处理中常见的有机物及其检测、去除方法。</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sz w:val="28"/>
          <w:szCs w:val="28"/>
        </w:rPr>
        <w:t>能力目标：能够明确</w:t>
      </w:r>
      <w:r>
        <w:rPr>
          <w:rFonts w:ascii="仿宋_GB2312" w:hAnsi="仿宋_GB2312" w:cs="仿宋_GB2312"/>
          <w:bCs/>
          <w:sz w:val="28"/>
          <w:szCs w:val="28"/>
        </w:rPr>
        <w:t>水处理工程中所涉及的有机污染质的种类和性质，具备在实际工程应用中相关有机污染质的分析及处理能力</w:t>
      </w:r>
      <w:r>
        <w:rPr>
          <w:rFonts w:ascii="仿宋_GB2312" w:hAnsi="仿宋_GB2312" w:cs="仿宋_GB2312" w:hint="eastAsia"/>
          <w:bCs/>
          <w:sz w:val="28"/>
          <w:szCs w:val="28"/>
        </w:rPr>
        <w:t>；</w:t>
      </w:r>
      <w:r>
        <w:rPr>
          <w:rFonts w:ascii="仿宋_GB2312" w:hAnsi="仿宋_GB2312" w:cs="仿宋_GB2312"/>
          <w:bCs/>
          <w:sz w:val="28"/>
          <w:szCs w:val="28"/>
        </w:rPr>
        <w:t>英语能力得到强化与提升</w:t>
      </w:r>
      <w:r>
        <w:rPr>
          <w:rFonts w:ascii="仿宋_GB2312" w:hAnsi="仿宋_GB2312" w:cs="仿宋_GB2312" w:hint="eastAsia"/>
          <w:bCs/>
          <w:sz w:val="28"/>
          <w:szCs w:val="28"/>
        </w:rPr>
        <w:t>，提高专业文献阅读能力。</w:t>
      </w:r>
    </w:p>
    <w:p w:rsidR="00CA5AE3" w:rsidRDefault="00CA5AE3" w:rsidP="00CA5AE3">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情感态度与价值观目标：加强专业素养、弘扬创新精神，树立专业自信和职业责任感，明确自身价值，规划职业发展，激发爱国热情。</w:t>
      </w:r>
    </w:p>
    <w:p w:rsidR="00CA5AE3" w:rsidRDefault="00CA5AE3" w:rsidP="00CA5AE3">
      <w:pPr>
        <w:spacing w:before="120" w:after="480" w:line="560" w:lineRule="exact"/>
        <w:ind w:firstLine="329"/>
        <w:rPr>
          <w:rFonts w:ascii="仿宋_GB2312" w:hAnsi="仿宋_GB2312" w:cs="仿宋_GB2312"/>
          <w:bCs/>
          <w:sz w:val="28"/>
          <w:szCs w:val="28"/>
        </w:rPr>
      </w:pPr>
      <w:r>
        <w:rPr>
          <w:rFonts w:ascii="仿宋_GB2312" w:hAnsi="仿宋_GB2312" w:cs="仿宋_GB2312" w:hint="eastAsia"/>
          <w:bCs/>
          <w:sz w:val="28"/>
          <w:szCs w:val="28"/>
        </w:rPr>
        <w:lastRenderedPageBreak/>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489"/>
        <w:gridCol w:w="489"/>
        <w:gridCol w:w="489"/>
        <w:gridCol w:w="489"/>
        <w:gridCol w:w="489"/>
        <w:gridCol w:w="489"/>
        <w:gridCol w:w="489"/>
        <w:gridCol w:w="490"/>
        <w:gridCol w:w="490"/>
        <w:gridCol w:w="509"/>
        <w:gridCol w:w="509"/>
        <w:gridCol w:w="509"/>
      </w:tblGrid>
      <w:tr w:rsidR="00CA5AE3" w:rsidTr="00E07285">
        <w:trPr>
          <w:trHeight w:hRule="exact" w:val="454"/>
          <w:jc w:val="center"/>
        </w:trPr>
        <w:tc>
          <w:tcPr>
            <w:tcW w:w="2743" w:type="dxa"/>
            <w:vMerge w:val="restart"/>
            <w:shd w:val="clear" w:color="auto" w:fill="auto"/>
            <w:vAlign w:val="center"/>
          </w:tcPr>
          <w:p w:rsidR="00CA5AE3" w:rsidRDefault="00CA5AE3" w:rsidP="00E07285">
            <w:pPr>
              <w:spacing w:line="360" w:lineRule="auto"/>
              <w:jc w:val="center"/>
              <w:rPr>
                <w:rFonts w:ascii="仿宋_GB2312" w:hAnsi="仿宋_GB2312" w:cs="仿宋_GB2312"/>
                <w:bCs/>
                <w:sz w:val="28"/>
                <w:szCs w:val="28"/>
              </w:rPr>
            </w:pPr>
            <w:r>
              <w:rPr>
                <w:rFonts w:ascii="仿宋_GB2312" w:hAnsi="仿宋_GB2312" w:cs="仿宋_GB2312" w:hint="eastAsia"/>
                <w:bCs/>
                <w:sz w:val="24"/>
              </w:rPr>
              <w:t>课程目标</w:t>
            </w:r>
          </w:p>
        </w:tc>
        <w:tc>
          <w:tcPr>
            <w:tcW w:w="6233" w:type="dxa"/>
            <w:gridSpan w:val="12"/>
            <w:shd w:val="clear" w:color="auto" w:fill="auto"/>
            <w:vAlign w:val="center"/>
          </w:tcPr>
          <w:p w:rsidR="00CA5AE3" w:rsidRDefault="00CA5AE3" w:rsidP="00E07285">
            <w:pPr>
              <w:jc w:val="center"/>
              <w:rPr>
                <w:rFonts w:ascii="仿宋_GB2312" w:hAnsi="仿宋_GB2312" w:cs="仿宋_GB2312"/>
                <w:bCs/>
                <w:sz w:val="28"/>
                <w:szCs w:val="28"/>
              </w:rPr>
            </w:pPr>
            <w:r>
              <w:rPr>
                <w:rFonts w:ascii="仿宋_GB2312" w:hAnsi="仿宋_GB2312" w:cs="仿宋_GB2312" w:hint="eastAsia"/>
                <w:bCs/>
                <w:sz w:val="24"/>
              </w:rPr>
              <w:t>毕业要求</w:t>
            </w:r>
          </w:p>
        </w:tc>
      </w:tr>
      <w:tr w:rsidR="00CA5AE3" w:rsidTr="00E07285">
        <w:trPr>
          <w:trHeight w:hRule="exact" w:val="454"/>
          <w:jc w:val="center"/>
        </w:trPr>
        <w:tc>
          <w:tcPr>
            <w:tcW w:w="2743" w:type="dxa"/>
            <w:vMerge/>
            <w:shd w:val="clear" w:color="auto" w:fill="auto"/>
          </w:tcPr>
          <w:p w:rsidR="00CA5AE3" w:rsidRDefault="00CA5AE3" w:rsidP="00E07285">
            <w:pPr>
              <w:spacing w:line="360" w:lineRule="auto"/>
              <w:rPr>
                <w:rFonts w:ascii="仿宋_GB2312" w:hAnsi="仿宋_GB2312" w:cs="仿宋_GB2312"/>
                <w:bCs/>
                <w:sz w:val="28"/>
                <w:szCs w:val="28"/>
              </w:rPr>
            </w:pP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1</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2</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3</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4</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5</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6</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7</w:t>
            </w:r>
          </w:p>
        </w:tc>
        <w:tc>
          <w:tcPr>
            <w:tcW w:w="520"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8</w:t>
            </w:r>
          </w:p>
        </w:tc>
        <w:tc>
          <w:tcPr>
            <w:tcW w:w="520"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9</w:t>
            </w:r>
          </w:p>
        </w:tc>
        <w:tc>
          <w:tcPr>
            <w:tcW w:w="520"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10</w:t>
            </w:r>
          </w:p>
        </w:tc>
        <w:tc>
          <w:tcPr>
            <w:tcW w:w="520"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11</w:t>
            </w:r>
          </w:p>
        </w:tc>
        <w:tc>
          <w:tcPr>
            <w:tcW w:w="520"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12</w:t>
            </w:r>
          </w:p>
        </w:tc>
      </w:tr>
      <w:tr w:rsidR="00CA5AE3" w:rsidTr="00E07285">
        <w:trPr>
          <w:trHeight w:hRule="exact" w:val="454"/>
          <w:jc w:val="center"/>
        </w:trPr>
        <w:tc>
          <w:tcPr>
            <w:tcW w:w="2743"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rPr>
              <w:t>知识目标</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H</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H</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M</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M</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M</w:t>
            </w:r>
          </w:p>
        </w:tc>
        <w:tc>
          <w:tcPr>
            <w:tcW w:w="520" w:type="dxa"/>
            <w:shd w:val="clear" w:color="auto" w:fill="auto"/>
          </w:tcPr>
          <w:p w:rsidR="00CA5AE3" w:rsidRPr="002A3242" w:rsidRDefault="00CA5AE3" w:rsidP="002A3242">
            <w:pPr>
              <w:spacing w:line="360" w:lineRule="auto"/>
              <w:rPr>
                <w:rFonts w:ascii="仿宋_GB2312" w:hAnsi="仿宋_GB2312" w:cs="仿宋_GB2312"/>
                <w:bCs/>
                <w:sz w:val="24"/>
              </w:rPr>
            </w:pPr>
          </w:p>
        </w:tc>
        <w:tc>
          <w:tcPr>
            <w:tcW w:w="520" w:type="dxa"/>
            <w:shd w:val="clear" w:color="auto" w:fill="auto"/>
          </w:tcPr>
          <w:p w:rsidR="00CA5AE3" w:rsidRPr="002A3242" w:rsidRDefault="00CA5AE3" w:rsidP="002A3242">
            <w:pPr>
              <w:spacing w:line="360" w:lineRule="auto"/>
              <w:rPr>
                <w:rFonts w:ascii="仿宋_GB2312" w:hAnsi="仿宋_GB2312" w:cs="仿宋_GB2312"/>
                <w:bCs/>
                <w:sz w:val="24"/>
              </w:rPr>
            </w:pPr>
          </w:p>
        </w:tc>
        <w:tc>
          <w:tcPr>
            <w:tcW w:w="520" w:type="dxa"/>
            <w:shd w:val="clear" w:color="auto" w:fill="auto"/>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L</w:t>
            </w:r>
          </w:p>
        </w:tc>
        <w:tc>
          <w:tcPr>
            <w:tcW w:w="520" w:type="dxa"/>
            <w:shd w:val="clear" w:color="auto" w:fill="auto"/>
          </w:tcPr>
          <w:p w:rsidR="00CA5AE3" w:rsidRPr="002A3242" w:rsidRDefault="00CA5AE3" w:rsidP="002A3242">
            <w:pPr>
              <w:spacing w:line="360" w:lineRule="auto"/>
              <w:rPr>
                <w:rFonts w:ascii="仿宋_GB2312" w:hAnsi="仿宋_GB2312" w:cs="仿宋_GB2312"/>
                <w:bCs/>
                <w:sz w:val="24"/>
              </w:rPr>
            </w:pPr>
          </w:p>
        </w:tc>
        <w:tc>
          <w:tcPr>
            <w:tcW w:w="520" w:type="dxa"/>
            <w:shd w:val="clear" w:color="auto" w:fill="auto"/>
          </w:tcPr>
          <w:p w:rsidR="00CA5AE3" w:rsidRPr="002A3242" w:rsidRDefault="00CA5AE3" w:rsidP="002A3242">
            <w:pPr>
              <w:spacing w:line="360" w:lineRule="auto"/>
              <w:rPr>
                <w:rFonts w:ascii="仿宋_GB2312" w:hAnsi="仿宋_GB2312" w:cs="仿宋_GB2312"/>
                <w:bCs/>
                <w:sz w:val="24"/>
              </w:rPr>
            </w:pPr>
          </w:p>
        </w:tc>
      </w:tr>
      <w:tr w:rsidR="00CA5AE3" w:rsidTr="00E07285">
        <w:trPr>
          <w:trHeight w:hRule="exact" w:val="454"/>
          <w:jc w:val="center"/>
        </w:trPr>
        <w:tc>
          <w:tcPr>
            <w:tcW w:w="2743" w:type="dxa"/>
            <w:shd w:val="clear" w:color="auto" w:fill="auto"/>
          </w:tcPr>
          <w:p w:rsidR="00CA5AE3" w:rsidRDefault="00CA5AE3" w:rsidP="00E07285">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rPr>
              <w:t>能力目标</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H</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H</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M</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M</w:t>
            </w: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p>
        </w:tc>
        <w:tc>
          <w:tcPr>
            <w:tcW w:w="519" w:type="dxa"/>
            <w:shd w:val="clear" w:color="auto" w:fill="auto"/>
            <w:vAlign w:val="center"/>
          </w:tcPr>
          <w:p w:rsidR="00CA5AE3" w:rsidRPr="002A3242" w:rsidRDefault="00CA5AE3" w:rsidP="002A3242">
            <w:pPr>
              <w:spacing w:line="360" w:lineRule="auto"/>
              <w:jc w:val="center"/>
              <w:rPr>
                <w:rFonts w:ascii="仿宋_GB2312" w:hAnsi="仿宋_GB2312" w:cs="仿宋_GB2312"/>
                <w:bCs/>
                <w:sz w:val="24"/>
              </w:rPr>
            </w:pPr>
          </w:p>
        </w:tc>
        <w:tc>
          <w:tcPr>
            <w:tcW w:w="520" w:type="dxa"/>
            <w:shd w:val="clear" w:color="auto" w:fill="auto"/>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M</w:t>
            </w:r>
          </w:p>
        </w:tc>
        <w:tc>
          <w:tcPr>
            <w:tcW w:w="520" w:type="dxa"/>
            <w:shd w:val="clear" w:color="auto" w:fill="auto"/>
          </w:tcPr>
          <w:p w:rsidR="00CA5AE3" w:rsidRPr="002A3242" w:rsidRDefault="00CA5AE3" w:rsidP="002A3242">
            <w:pPr>
              <w:spacing w:line="360" w:lineRule="auto"/>
              <w:jc w:val="center"/>
              <w:rPr>
                <w:rFonts w:ascii="仿宋_GB2312" w:hAnsi="仿宋_GB2312" w:cs="仿宋_GB2312"/>
                <w:bCs/>
                <w:sz w:val="24"/>
              </w:rPr>
            </w:pPr>
          </w:p>
        </w:tc>
        <w:tc>
          <w:tcPr>
            <w:tcW w:w="520" w:type="dxa"/>
            <w:shd w:val="clear" w:color="auto" w:fill="auto"/>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M</w:t>
            </w:r>
          </w:p>
        </w:tc>
        <w:tc>
          <w:tcPr>
            <w:tcW w:w="520" w:type="dxa"/>
            <w:shd w:val="clear" w:color="auto" w:fill="auto"/>
          </w:tcPr>
          <w:p w:rsidR="00CA5AE3" w:rsidRPr="002A3242" w:rsidRDefault="00CA5AE3" w:rsidP="002A3242">
            <w:pPr>
              <w:spacing w:line="360" w:lineRule="auto"/>
              <w:jc w:val="center"/>
              <w:rPr>
                <w:rFonts w:ascii="仿宋_GB2312" w:hAnsi="仿宋_GB2312" w:cs="仿宋_GB2312"/>
                <w:bCs/>
                <w:sz w:val="24"/>
              </w:rPr>
            </w:pPr>
          </w:p>
        </w:tc>
        <w:tc>
          <w:tcPr>
            <w:tcW w:w="520" w:type="dxa"/>
            <w:shd w:val="clear" w:color="auto" w:fill="auto"/>
          </w:tcPr>
          <w:p w:rsidR="00CA5AE3" w:rsidRPr="002A3242" w:rsidRDefault="00CA5AE3" w:rsidP="002A3242">
            <w:pPr>
              <w:spacing w:line="360" w:lineRule="auto"/>
              <w:jc w:val="center"/>
              <w:rPr>
                <w:rFonts w:ascii="仿宋_GB2312" w:hAnsi="仿宋_GB2312" w:cs="仿宋_GB2312"/>
                <w:bCs/>
                <w:sz w:val="24"/>
              </w:rPr>
            </w:pPr>
            <w:r w:rsidRPr="002A3242">
              <w:rPr>
                <w:rFonts w:ascii="仿宋_GB2312" w:hAnsi="仿宋_GB2312" w:cs="仿宋_GB2312" w:hint="eastAsia"/>
                <w:bCs/>
                <w:sz w:val="24"/>
              </w:rPr>
              <w:t>M</w:t>
            </w:r>
          </w:p>
        </w:tc>
      </w:tr>
      <w:tr w:rsidR="00CA5AE3" w:rsidTr="00E07285">
        <w:trPr>
          <w:trHeight w:hRule="exact" w:val="454"/>
          <w:jc w:val="center"/>
        </w:trPr>
        <w:tc>
          <w:tcPr>
            <w:tcW w:w="2743" w:type="dxa"/>
            <w:shd w:val="clear" w:color="auto" w:fill="auto"/>
          </w:tcPr>
          <w:p w:rsidR="00CA5AE3" w:rsidRDefault="00CA5AE3" w:rsidP="00E07285">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rPr>
              <w:t>情感态度与价值观目标</w:t>
            </w:r>
          </w:p>
        </w:tc>
        <w:tc>
          <w:tcPr>
            <w:tcW w:w="519" w:type="dxa"/>
            <w:shd w:val="clear" w:color="auto" w:fill="auto"/>
            <w:vAlign w:val="center"/>
          </w:tcPr>
          <w:p w:rsidR="00CA5AE3" w:rsidRPr="002A3242" w:rsidRDefault="00CA5AE3" w:rsidP="00E07285">
            <w:pPr>
              <w:spacing w:line="360" w:lineRule="auto"/>
              <w:jc w:val="center"/>
              <w:rPr>
                <w:rFonts w:ascii="仿宋_GB2312" w:hAnsi="仿宋_GB2312" w:cs="仿宋_GB2312"/>
                <w:bCs/>
                <w:sz w:val="24"/>
              </w:rPr>
            </w:pPr>
          </w:p>
        </w:tc>
        <w:tc>
          <w:tcPr>
            <w:tcW w:w="519" w:type="dxa"/>
            <w:shd w:val="clear" w:color="auto" w:fill="auto"/>
            <w:vAlign w:val="center"/>
          </w:tcPr>
          <w:p w:rsidR="00CA5AE3" w:rsidRPr="002A3242" w:rsidRDefault="00CA5AE3" w:rsidP="00E07285">
            <w:pPr>
              <w:spacing w:line="360" w:lineRule="auto"/>
              <w:jc w:val="center"/>
              <w:rPr>
                <w:rFonts w:ascii="仿宋_GB2312" w:hAnsi="仿宋_GB2312" w:cs="仿宋_GB2312"/>
                <w:bCs/>
                <w:sz w:val="24"/>
              </w:rPr>
            </w:pPr>
          </w:p>
        </w:tc>
        <w:tc>
          <w:tcPr>
            <w:tcW w:w="519" w:type="dxa"/>
            <w:shd w:val="clear" w:color="auto" w:fill="auto"/>
            <w:vAlign w:val="center"/>
          </w:tcPr>
          <w:p w:rsidR="00CA5AE3" w:rsidRPr="002A3242" w:rsidRDefault="00CA5AE3" w:rsidP="00E07285">
            <w:pPr>
              <w:tabs>
                <w:tab w:val="left" w:pos="6300"/>
              </w:tabs>
              <w:spacing w:line="360" w:lineRule="atLeast"/>
              <w:jc w:val="center"/>
              <w:rPr>
                <w:rFonts w:ascii="仿宋_GB2312" w:hAnsi="仿宋_GB2312" w:cs="仿宋_GB2312"/>
                <w:bCs/>
                <w:sz w:val="24"/>
              </w:rPr>
            </w:pPr>
          </w:p>
        </w:tc>
        <w:tc>
          <w:tcPr>
            <w:tcW w:w="519" w:type="dxa"/>
            <w:shd w:val="clear" w:color="auto" w:fill="auto"/>
            <w:vAlign w:val="center"/>
          </w:tcPr>
          <w:p w:rsidR="00CA5AE3" w:rsidRPr="002A3242" w:rsidRDefault="00CA5AE3" w:rsidP="00E07285">
            <w:pPr>
              <w:tabs>
                <w:tab w:val="left" w:pos="6300"/>
              </w:tabs>
              <w:spacing w:line="360" w:lineRule="atLeast"/>
              <w:jc w:val="center"/>
              <w:rPr>
                <w:rFonts w:ascii="仿宋_GB2312" w:hAnsi="仿宋_GB2312" w:cs="仿宋_GB2312"/>
                <w:bCs/>
                <w:sz w:val="24"/>
              </w:rPr>
            </w:pPr>
          </w:p>
        </w:tc>
        <w:tc>
          <w:tcPr>
            <w:tcW w:w="519" w:type="dxa"/>
            <w:shd w:val="clear" w:color="auto" w:fill="auto"/>
            <w:vAlign w:val="center"/>
          </w:tcPr>
          <w:p w:rsidR="00CA5AE3" w:rsidRPr="002A3242" w:rsidRDefault="00CA5AE3" w:rsidP="00E07285">
            <w:pPr>
              <w:tabs>
                <w:tab w:val="left" w:pos="6300"/>
              </w:tabs>
              <w:spacing w:line="360" w:lineRule="atLeast"/>
              <w:jc w:val="center"/>
              <w:rPr>
                <w:rFonts w:ascii="仿宋_GB2312" w:hAnsi="仿宋_GB2312" w:cs="仿宋_GB2312"/>
                <w:bCs/>
                <w:sz w:val="24"/>
              </w:rPr>
            </w:pPr>
          </w:p>
        </w:tc>
        <w:tc>
          <w:tcPr>
            <w:tcW w:w="519" w:type="dxa"/>
            <w:shd w:val="clear" w:color="auto" w:fill="auto"/>
            <w:vAlign w:val="center"/>
          </w:tcPr>
          <w:p w:rsidR="00CA5AE3" w:rsidRPr="002A3242" w:rsidRDefault="00CA5AE3" w:rsidP="00E07285">
            <w:pPr>
              <w:tabs>
                <w:tab w:val="left" w:pos="6300"/>
              </w:tabs>
              <w:spacing w:line="360" w:lineRule="atLeast"/>
              <w:jc w:val="center"/>
              <w:rPr>
                <w:rFonts w:ascii="仿宋_GB2312" w:hAnsi="仿宋_GB2312" w:cs="仿宋_GB2312"/>
                <w:bCs/>
                <w:sz w:val="24"/>
              </w:rPr>
            </w:pPr>
          </w:p>
        </w:tc>
        <w:tc>
          <w:tcPr>
            <w:tcW w:w="519" w:type="dxa"/>
            <w:shd w:val="clear" w:color="auto" w:fill="auto"/>
            <w:vAlign w:val="center"/>
          </w:tcPr>
          <w:p w:rsidR="00CA5AE3" w:rsidRPr="002A3242" w:rsidRDefault="00CA5AE3" w:rsidP="00E07285">
            <w:pPr>
              <w:tabs>
                <w:tab w:val="left" w:pos="6300"/>
              </w:tabs>
              <w:spacing w:line="360" w:lineRule="atLeast"/>
              <w:jc w:val="center"/>
              <w:rPr>
                <w:rFonts w:ascii="仿宋_GB2312" w:hAnsi="仿宋_GB2312" w:cs="仿宋_GB2312"/>
                <w:bCs/>
                <w:sz w:val="24"/>
              </w:rPr>
            </w:pPr>
          </w:p>
        </w:tc>
        <w:tc>
          <w:tcPr>
            <w:tcW w:w="520" w:type="dxa"/>
            <w:shd w:val="clear" w:color="auto" w:fill="auto"/>
          </w:tcPr>
          <w:p w:rsidR="00CA5AE3" w:rsidRPr="002A3242" w:rsidRDefault="00CA5AE3" w:rsidP="00E07285">
            <w:pPr>
              <w:tabs>
                <w:tab w:val="left" w:pos="6300"/>
              </w:tabs>
              <w:spacing w:line="360" w:lineRule="atLeast"/>
              <w:jc w:val="center"/>
              <w:rPr>
                <w:rFonts w:ascii="仿宋_GB2312" w:hAnsi="仿宋_GB2312" w:cs="仿宋_GB2312"/>
                <w:bCs/>
                <w:sz w:val="24"/>
              </w:rPr>
            </w:pPr>
            <w:r w:rsidRPr="002A3242">
              <w:rPr>
                <w:rFonts w:ascii="仿宋_GB2312" w:hAnsi="仿宋_GB2312" w:cs="仿宋_GB2312" w:hint="eastAsia"/>
                <w:bCs/>
                <w:sz w:val="24"/>
              </w:rPr>
              <w:t>H</w:t>
            </w:r>
          </w:p>
        </w:tc>
        <w:tc>
          <w:tcPr>
            <w:tcW w:w="520" w:type="dxa"/>
            <w:shd w:val="clear" w:color="auto" w:fill="auto"/>
          </w:tcPr>
          <w:p w:rsidR="00CA5AE3" w:rsidRPr="002A3242" w:rsidRDefault="00CA5AE3" w:rsidP="00E07285">
            <w:pPr>
              <w:tabs>
                <w:tab w:val="left" w:pos="6300"/>
              </w:tabs>
              <w:spacing w:line="360" w:lineRule="atLeast"/>
              <w:jc w:val="center"/>
              <w:rPr>
                <w:rFonts w:ascii="仿宋_GB2312" w:hAnsi="仿宋_GB2312" w:cs="仿宋_GB2312"/>
                <w:bCs/>
                <w:sz w:val="24"/>
              </w:rPr>
            </w:pPr>
            <w:r w:rsidRPr="002A3242">
              <w:rPr>
                <w:rFonts w:ascii="仿宋_GB2312" w:hAnsi="仿宋_GB2312" w:cs="仿宋_GB2312" w:hint="eastAsia"/>
                <w:bCs/>
                <w:sz w:val="24"/>
              </w:rPr>
              <w:t>L</w:t>
            </w:r>
          </w:p>
        </w:tc>
        <w:tc>
          <w:tcPr>
            <w:tcW w:w="520" w:type="dxa"/>
            <w:shd w:val="clear" w:color="auto" w:fill="auto"/>
          </w:tcPr>
          <w:p w:rsidR="00CA5AE3" w:rsidRPr="002A3242" w:rsidRDefault="00CA5AE3" w:rsidP="00E07285">
            <w:pPr>
              <w:tabs>
                <w:tab w:val="left" w:pos="6300"/>
              </w:tabs>
              <w:spacing w:line="360" w:lineRule="atLeast"/>
              <w:jc w:val="center"/>
              <w:rPr>
                <w:rFonts w:ascii="仿宋_GB2312" w:hAnsi="仿宋_GB2312" w:cs="仿宋_GB2312"/>
                <w:bCs/>
                <w:sz w:val="24"/>
              </w:rPr>
            </w:pPr>
            <w:r w:rsidRPr="002A3242">
              <w:rPr>
                <w:rFonts w:ascii="仿宋_GB2312" w:hAnsi="仿宋_GB2312" w:cs="仿宋_GB2312" w:hint="eastAsia"/>
                <w:bCs/>
                <w:sz w:val="24"/>
              </w:rPr>
              <w:t>M</w:t>
            </w:r>
          </w:p>
        </w:tc>
        <w:tc>
          <w:tcPr>
            <w:tcW w:w="520" w:type="dxa"/>
            <w:shd w:val="clear" w:color="auto" w:fill="auto"/>
          </w:tcPr>
          <w:p w:rsidR="00CA5AE3" w:rsidRPr="002A3242" w:rsidRDefault="00CA5AE3" w:rsidP="00E07285">
            <w:pPr>
              <w:tabs>
                <w:tab w:val="left" w:pos="6300"/>
              </w:tabs>
              <w:spacing w:line="360" w:lineRule="atLeast"/>
              <w:jc w:val="center"/>
              <w:rPr>
                <w:rFonts w:ascii="仿宋_GB2312" w:hAnsi="仿宋_GB2312" w:cs="仿宋_GB2312"/>
                <w:bCs/>
                <w:sz w:val="24"/>
              </w:rPr>
            </w:pPr>
          </w:p>
        </w:tc>
        <w:tc>
          <w:tcPr>
            <w:tcW w:w="520" w:type="dxa"/>
            <w:shd w:val="clear" w:color="auto" w:fill="auto"/>
          </w:tcPr>
          <w:p w:rsidR="00CA5AE3" w:rsidRPr="002A3242" w:rsidRDefault="00CA5AE3" w:rsidP="00E07285">
            <w:pPr>
              <w:tabs>
                <w:tab w:val="left" w:pos="6300"/>
              </w:tabs>
              <w:spacing w:line="360" w:lineRule="atLeast"/>
              <w:jc w:val="center"/>
              <w:rPr>
                <w:rFonts w:ascii="仿宋_GB2312" w:hAnsi="仿宋_GB2312" w:cs="仿宋_GB2312"/>
                <w:bCs/>
                <w:sz w:val="24"/>
              </w:rPr>
            </w:pPr>
            <w:r w:rsidRPr="002A3242">
              <w:rPr>
                <w:rFonts w:ascii="仿宋_GB2312" w:hAnsi="仿宋_GB2312" w:cs="仿宋_GB2312" w:hint="eastAsia"/>
                <w:bCs/>
                <w:sz w:val="24"/>
              </w:rPr>
              <w:t>H</w:t>
            </w:r>
          </w:p>
        </w:tc>
      </w:tr>
    </w:tbl>
    <w:p w:rsidR="00CA5AE3" w:rsidRDefault="00CA5AE3" w:rsidP="00CA5AE3">
      <w:pPr>
        <w:spacing w:before="240" w:line="360" w:lineRule="auto"/>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CA5AE3" w:rsidRDefault="00CA5AE3" w:rsidP="00CA5AE3">
      <w:p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课程重点：有机物的种类、结构、化学反应特征及实际应用</w:t>
      </w:r>
    </w:p>
    <w:p w:rsidR="00CA5AE3" w:rsidRDefault="00CA5AE3" w:rsidP="00CA5AE3">
      <w:p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课程难点：给排水水质工程中的有机化学原理与应用。</w:t>
      </w:r>
    </w:p>
    <w:p w:rsidR="00CA5AE3" w:rsidRDefault="00CA5AE3" w:rsidP="00CA5AE3">
      <w:pPr>
        <w:spacing w:line="360" w:lineRule="auto"/>
        <w:ind w:left="331"/>
        <w:rPr>
          <w:rFonts w:ascii="仿宋_GB2312" w:hAnsi="仿宋_GB2312" w:cs="仿宋_GB2312"/>
          <w:sz w:val="28"/>
          <w:szCs w:val="28"/>
        </w:rPr>
      </w:pPr>
      <w:r>
        <w:rPr>
          <w:rFonts w:ascii="仿宋_GB2312" w:hAnsi="仿宋_GB2312" w:cs="仿宋_GB2312" w:hint="eastAsia"/>
          <w:sz w:val="28"/>
          <w:szCs w:val="28"/>
        </w:rPr>
        <w:t>4. 课程思政设计</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言传身教，利用教师积极的生活态度、学习及生活经验等多种形式，引领学生正确的价值取向，在充分展现我国的文化自信的同时，引导学生成为社会新的中流砥柱，完成他们的历史担当。梳理，整理传统文化、马克思主义和中国发展建设过程中的相关成就，挖掘出本课程的思想教育元素，例如：</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w:t>
      </w:r>
      <w:r>
        <w:rPr>
          <w:rFonts w:ascii="仿宋_GB2312" w:hAnsi="仿宋_GB2312" w:cs="仿宋_GB2312"/>
          <w:bCs/>
          <w:sz w:val="28"/>
          <w:szCs w:val="28"/>
        </w:rPr>
        <w:t>被人们称为“近代化学之父”的法国化学家拉瓦锡在一系列实验事实的基础上，推翻了统治化学理论界达百年之久的“燃素说”，建立了以氧化为中心的燃烧理论，使化学这门学科向前推进了一大步。拉瓦锡对科学孜孜不倦的探索精神，通过判断推理提出新的学术思想的创新精神，以及敢于挑战权威理论的批判精神，都能培养学生的科学思维与创新意识，帮助学生树立正确的人生观和价值</w:t>
      </w:r>
      <w:r>
        <w:rPr>
          <w:rFonts w:ascii="仿宋_GB2312" w:hAnsi="仿宋_GB2312" w:cs="仿宋_GB2312" w:hint="eastAsia"/>
          <w:bCs/>
          <w:sz w:val="28"/>
          <w:szCs w:val="28"/>
        </w:rPr>
        <w:t>观。</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w:t>
      </w:r>
      <w:r>
        <w:rPr>
          <w:rFonts w:ascii="仿宋_GB2312" w:hAnsi="仿宋_GB2312" w:cs="仿宋_GB2312"/>
          <w:bCs/>
          <w:sz w:val="28"/>
          <w:szCs w:val="28"/>
        </w:rPr>
        <w:t>邢其毅先生编写的《基础有机化学》教材，陪着中国有机化学教育走过近40年，是好几代人的共同记忆。1937年，邢其毅放弃国外优越的研究工作条件回国投入到祖国的科学研究中。邢其毅等科</w:t>
      </w:r>
      <w:r>
        <w:rPr>
          <w:rFonts w:ascii="仿宋_GB2312" w:hAnsi="仿宋_GB2312" w:cs="仿宋_GB2312"/>
          <w:bCs/>
          <w:sz w:val="28"/>
          <w:szCs w:val="28"/>
        </w:rPr>
        <w:lastRenderedPageBreak/>
        <w:t>学家经过数年的共同努力，于1965年第一次人工合成了具有活性的蛋白质——结晶牛胰岛素，标志着中国科学家在蛋白质和多肽合成化学领域已经处于世界领先地位。邢其毅先生在教学上奉行的格言“劳则思，逸则罔”，不仅激励学生勤劳好学，也鞭挞着有机化学教育工作者要勤勤恳恳的从事教学工作，治学严谨，诲人不倦。这些中国科学家的事例能很大程度地激起学生们的爱国热情，提高学习兴趣，增强学习动力，深化文化认同感，增强民族自信心</w:t>
      </w:r>
      <w:r>
        <w:rPr>
          <w:rFonts w:ascii="仿宋_GB2312" w:hAnsi="仿宋_GB2312" w:cs="仿宋_GB2312" w:hint="eastAsia"/>
          <w:bCs/>
          <w:sz w:val="28"/>
          <w:szCs w:val="28"/>
        </w:rPr>
        <w:t>。</w:t>
      </w:r>
    </w:p>
    <w:p w:rsidR="00CA5AE3" w:rsidRDefault="00CA5AE3" w:rsidP="005F6318">
      <w:pPr>
        <w:numPr>
          <w:ilvl w:val="0"/>
          <w:numId w:val="35"/>
        </w:num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723"/>
        <w:gridCol w:w="708"/>
        <w:gridCol w:w="3119"/>
        <w:gridCol w:w="3093"/>
      </w:tblGrid>
      <w:tr w:rsidR="00CA5AE3" w:rsidTr="00E07285">
        <w:trPr>
          <w:cantSplit/>
          <w:trHeight w:val="785"/>
        </w:trPr>
        <w:tc>
          <w:tcPr>
            <w:tcW w:w="512" w:type="dxa"/>
            <w:vAlign w:val="center"/>
          </w:tcPr>
          <w:p w:rsidR="00CA5AE3" w:rsidRPr="002A3242" w:rsidRDefault="00CA5AE3" w:rsidP="00E07285">
            <w:pPr>
              <w:jc w:val="center"/>
              <w:rPr>
                <w:b/>
                <w:kern w:val="0"/>
                <w:sz w:val="24"/>
                <w:szCs w:val="24"/>
              </w:rPr>
            </w:pPr>
            <w:r w:rsidRPr="002A3242">
              <w:rPr>
                <w:rFonts w:hint="eastAsia"/>
                <w:b/>
                <w:kern w:val="0"/>
                <w:sz w:val="24"/>
                <w:szCs w:val="24"/>
              </w:rPr>
              <w:t>序号</w:t>
            </w:r>
          </w:p>
        </w:tc>
        <w:tc>
          <w:tcPr>
            <w:tcW w:w="1723" w:type="dxa"/>
            <w:vAlign w:val="center"/>
          </w:tcPr>
          <w:p w:rsidR="00CA5AE3" w:rsidRPr="002A3242" w:rsidRDefault="00CA5AE3" w:rsidP="00E07285">
            <w:pPr>
              <w:jc w:val="center"/>
              <w:rPr>
                <w:b/>
                <w:kern w:val="0"/>
                <w:sz w:val="24"/>
                <w:szCs w:val="24"/>
              </w:rPr>
            </w:pPr>
            <w:r w:rsidRPr="002A3242">
              <w:rPr>
                <w:rFonts w:hint="eastAsia"/>
                <w:b/>
                <w:kern w:val="0"/>
                <w:sz w:val="24"/>
                <w:szCs w:val="24"/>
              </w:rPr>
              <w:t>章</w:t>
            </w:r>
            <w:r w:rsidRPr="002A3242">
              <w:rPr>
                <w:rFonts w:hint="eastAsia"/>
                <w:b/>
                <w:kern w:val="0"/>
                <w:sz w:val="24"/>
                <w:szCs w:val="24"/>
              </w:rPr>
              <w:t xml:space="preserve">  </w:t>
            </w:r>
            <w:r w:rsidRPr="002A3242">
              <w:rPr>
                <w:rFonts w:hint="eastAsia"/>
                <w:b/>
                <w:kern w:val="0"/>
                <w:sz w:val="24"/>
                <w:szCs w:val="24"/>
              </w:rPr>
              <w:t>节</w:t>
            </w:r>
          </w:p>
        </w:tc>
        <w:tc>
          <w:tcPr>
            <w:tcW w:w="708" w:type="dxa"/>
            <w:vAlign w:val="center"/>
          </w:tcPr>
          <w:p w:rsidR="00CA5AE3" w:rsidRPr="002A3242" w:rsidRDefault="00CA5AE3" w:rsidP="00E07285">
            <w:pPr>
              <w:jc w:val="center"/>
              <w:rPr>
                <w:b/>
                <w:kern w:val="0"/>
                <w:sz w:val="24"/>
                <w:szCs w:val="24"/>
              </w:rPr>
            </w:pPr>
            <w:r w:rsidRPr="002A3242">
              <w:rPr>
                <w:rFonts w:hint="eastAsia"/>
                <w:b/>
                <w:kern w:val="0"/>
                <w:sz w:val="24"/>
                <w:szCs w:val="24"/>
              </w:rPr>
              <w:t>参考学时</w:t>
            </w:r>
          </w:p>
        </w:tc>
        <w:tc>
          <w:tcPr>
            <w:tcW w:w="3119" w:type="dxa"/>
            <w:vAlign w:val="center"/>
          </w:tcPr>
          <w:p w:rsidR="00CA5AE3" w:rsidRPr="002A3242" w:rsidRDefault="00CA5AE3" w:rsidP="00E07285">
            <w:pPr>
              <w:jc w:val="center"/>
              <w:rPr>
                <w:b/>
                <w:kern w:val="0"/>
                <w:sz w:val="24"/>
                <w:szCs w:val="24"/>
              </w:rPr>
            </w:pPr>
            <w:r w:rsidRPr="002A3242">
              <w:rPr>
                <w:rFonts w:hint="eastAsia"/>
                <w:b/>
                <w:kern w:val="0"/>
                <w:sz w:val="24"/>
                <w:szCs w:val="24"/>
              </w:rPr>
              <w:t>教学内容</w:t>
            </w:r>
          </w:p>
        </w:tc>
        <w:tc>
          <w:tcPr>
            <w:tcW w:w="3093" w:type="dxa"/>
            <w:vAlign w:val="center"/>
          </w:tcPr>
          <w:p w:rsidR="00CA5AE3" w:rsidRPr="002A3242" w:rsidRDefault="00CA5AE3" w:rsidP="00E07285">
            <w:pPr>
              <w:jc w:val="center"/>
              <w:rPr>
                <w:b/>
                <w:kern w:val="0"/>
                <w:sz w:val="24"/>
                <w:szCs w:val="24"/>
              </w:rPr>
            </w:pPr>
            <w:r w:rsidRPr="002A3242">
              <w:rPr>
                <w:rFonts w:hint="eastAsia"/>
                <w:b/>
                <w:kern w:val="0"/>
                <w:sz w:val="24"/>
                <w:szCs w:val="24"/>
              </w:rPr>
              <w:t>基本要求</w:t>
            </w:r>
          </w:p>
        </w:tc>
      </w:tr>
      <w:tr w:rsidR="00CA5AE3" w:rsidTr="00E07285">
        <w:trPr>
          <w:trHeight w:val="428"/>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1</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第一章：绪论</w:t>
            </w:r>
          </w:p>
          <w:p w:rsidR="00CA5AE3" w:rsidRPr="002A3242" w:rsidRDefault="00CA5AE3" w:rsidP="00E07285">
            <w:pPr>
              <w:spacing w:line="560" w:lineRule="exact"/>
              <w:ind w:firstLine="329"/>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widowControl/>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 有机化合物和有机化学</w:t>
            </w:r>
          </w:p>
          <w:p w:rsidR="00CA5AE3" w:rsidRPr="002A3242" w:rsidRDefault="00CA5AE3" w:rsidP="00E07285">
            <w:pPr>
              <w:widowControl/>
              <w:spacing w:line="560" w:lineRule="exact"/>
              <w:ind w:firstLine="329"/>
              <w:rPr>
                <w:rFonts w:ascii="仿宋_GB2312" w:hAnsi="仿宋_GB2312" w:cs="仿宋_GB2312"/>
                <w:bCs/>
                <w:sz w:val="24"/>
                <w:szCs w:val="24"/>
              </w:rPr>
            </w:pPr>
          </w:p>
          <w:p w:rsidR="00CA5AE3" w:rsidRPr="002A3242" w:rsidRDefault="00CA5AE3" w:rsidP="00E07285">
            <w:pPr>
              <w:widowControl/>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原子、电子和轨道</w:t>
            </w:r>
          </w:p>
          <w:p w:rsidR="00CA5AE3" w:rsidRPr="002A3242" w:rsidRDefault="00CA5AE3" w:rsidP="00E07285">
            <w:pPr>
              <w:widowControl/>
              <w:spacing w:line="560" w:lineRule="exact"/>
              <w:ind w:firstLine="329"/>
              <w:rPr>
                <w:rFonts w:ascii="仿宋_GB2312" w:hAnsi="仿宋_GB2312" w:cs="仿宋_GB2312"/>
                <w:bCs/>
                <w:sz w:val="24"/>
                <w:szCs w:val="24"/>
              </w:rPr>
            </w:pPr>
          </w:p>
          <w:p w:rsidR="00CA5AE3" w:rsidRPr="002A3242" w:rsidRDefault="00CA5AE3" w:rsidP="00E07285">
            <w:pPr>
              <w:widowControl/>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 离子键和共价键</w:t>
            </w:r>
          </w:p>
          <w:p w:rsidR="00CA5AE3" w:rsidRPr="002A3242" w:rsidRDefault="00CA5AE3" w:rsidP="00E07285">
            <w:pPr>
              <w:widowControl/>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4 电负性和极性共价键</w:t>
            </w:r>
          </w:p>
          <w:p w:rsidR="00CA5AE3" w:rsidRPr="002A3242" w:rsidRDefault="00CA5AE3" w:rsidP="00E07285">
            <w:pPr>
              <w:widowControl/>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5 简单分子的结构</w:t>
            </w:r>
          </w:p>
          <w:p w:rsidR="00CA5AE3" w:rsidRPr="002A3242" w:rsidRDefault="00CA5AE3" w:rsidP="00E07285">
            <w:pPr>
              <w:spacing w:line="560" w:lineRule="exact"/>
              <w:ind w:firstLine="329"/>
              <w:rPr>
                <w:rFonts w:ascii="仿宋_GB2312" w:hAnsi="仿宋_GB2312" w:cs="仿宋_GB2312"/>
                <w:bCs/>
                <w:sz w:val="24"/>
                <w:szCs w:val="24"/>
              </w:rPr>
            </w:pP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bCs/>
                <w:sz w:val="24"/>
                <w:szCs w:val="24"/>
              </w:rPr>
              <w:t>了解有机化学的基本理论和重要概念：原子、电子、轨道、价键和极性</w:t>
            </w:r>
            <w:r w:rsidRPr="002A3242">
              <w:rPr>
                <w:rFonts w:ascii="仿宋_GB2312" w:hAnsi="仿宋_GB2312" w:cs="仿宋_GB2312" w:hint="eastAsia"/>
                <w:bCs/>
                <w:sz w:val="24"/>
                <w:szCs w:val="24"/>
              </w:rPr>
              <w:t>；</w:t>
            </w:r>
            <w:r w:rsidRPr="002A3242">
              <w:rPr>
                <w:rFonts w:ascii="仿宋_GB2312" w:hAnsi="仿宋_GB2312" w:cs="仿宋_GB2312"/>
                <w:bCs/>
                <w:sz w:val="24"/>
                <w:szCs w:val="24"/>
              </w:rPr>
              <w:t>掌握简单分子的结构</w:t>
            </w:r>
          </w:p>
        </w:tc>
      </w:tr>
      <w:tr w:rsidR="00CA5AE3" w:rsidTr="00E07285">
        <w:trPr>
          <w:trHeight w:val="519"/>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2</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第二章：烃</w:t>
            </w:r>
          </w:p>
          <w:p w:rsidR="00CA5AE3" w:rsidRPr="002A3242" w:rsidRDefault="00CA5AE3" w:rsidP="00E07285">
            <w:pPr>
              <w:spacing w:line="560" w:lineRule="exact"/>
              <w:ind w:firstLineChars="48" w:firstLine="115"/>
              <w:rPr>
                <w:rFonts w:ascii="仿宋_GB2312" w:hAnsi="仿宋_GB2312" w:cs="仿宋_GB2312"/>
                <w:bCs/>
                <w:sz w:val="24"/>
                <w:szCs w:val="24"/>
              </w:rPr>
            </w:pPr>
            <w:r w:rsidRPr="002A3242">
              <w:rPr>
                <w:rFonts w:ascii="仿宋_GB2312" w:hAnsi="仿宋_GB2312" w:cs="仿宋_GB2312" w:hint="eastAsia"/>
                <w:bCs/>
                <w:sz w:val="24"/>
                <w:szCs w:val="24"/>
              </w:rPr>
              <w:t>第一节 烷烃</w:t>
            </w:r>
          </w:p>
          <w:p w:rsidR="00CA5AE3" w:rsidRPr="002A3242" w:rsidRDefault="00CA5AE3" w:rsidP="00E07285">
            <w:pPr>
              <w:spacing w:line="560" w:lineRule="exact"/>
              <w:ind w:firstLine="329"/>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widowControl/>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1烷烃的同系列和异构</w:t>
            </w:r>
          </w:p>
          <w:p w:rsidR="00CA5AE3" w:rsidRPr="002A3242" w:rsidRDefault="00CA5AE3" w:rsidP="00E07285">
            <w:pPr>
              <w:widowControl/>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烷烃的命名</w:t>
            </w:r>
          </w:p>
          <w:p w:rsidR="00CA5AE3" w:rsidRPr="002A3242" w:rsidRDefault="00CA5AE3" w:rsidP="00E07285">
            <w:pPr>
              <w:widowControl/>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3烷烃的构象</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4烷烃的物理性质</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5烷烃的反应</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lastRenderedPageBreak/>
              <w:t>6烷烃的制备</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lastRenderedPageBreak/>
              <w:t>掌握烷烃的命名、烷烃的结构特征、化学性质，了解烷烃的反应类型及制备方法。</w:t>
            </w:r>
          </w:p>
        </w:tc>
      </w:tr>
      <w:tr w:rsidR="00CA5AE3" w:rsidTr="00E07285">
        <w:trPr>
          <w:trHeight w:val="555"/>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lastRenderedPageBreak/>
              <w:t>3</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第二节 烯 烃</w:t>
            </w:r>
          </w:p>
          <w:p w:rsidR="00CA5AE3" w:rsidRPr="002A3242" w:rsidRDefault="00CA5AE3" w:rsidP="00E07285">
            <w:pPr>
              <w:spacing w:line="560" w:lineRule="exact"/>
              <w:ind w:firstLine="329"/>
              <w:jc w:val="center"/>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 烯烃的结构、异构和命名</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烯烃的相对稳定性</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 烯烃的制备</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4 消去反应的机理</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5 烯烃的反应</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掌握烯烃的命名、烯烃的结构特征、化学性质，了解烯烃的反应机理及相关反应。</w:t>
            </w:r>
          </w:p>
        </w:tc>
      </w:tr>
      <w:tr w:rsidR="00CA5AE3" w:rsidTr="00E07285">
        <w:trPr>
          <w:trHeight w:val="555"/>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4</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第三节 炔烃和二烯烃</w:t>
            </w:r>
          </w:p>
          <w:p w:rsidR="00CA5AE3" w:rsidRPr="002A3242" w:rsidRDefault="00CA5AE3" w:rsidP="00E07285">
            <w:pPr>
              <w:spacing w:line="560" w:lineRule="exact"/>
              <w:ind w:firstLine="329"/>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spacing w:line="560" w:lineRule="exact"/>
              <w:ind w:firstLine="329"/>
              <w:rPr>
                <w:rFonts w:ascii="仿宋_GB2312" w:hAnsi="仿宋_GB2312" w:cs="仿宋_GB2312"/>
                <w:bCs/>
                <w:sz w:val="24"/>
                <w:szCs w:val="24"/>
              </w:rPr>
            </w:pP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 炔烃的结构、异构和命名</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炔烃的反应</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 炔烃的制备</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4 二烯烃</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掌握炔烃的命名、炔烃的结构特征、化学性质，了解炔烃的反应</w:t>
            </w:r>
            <w:r w:rsidRPr="002A3242">
              <w:rPr>
                <w:rFonts w:ascii="仿宋_GB2312" w:hAnsi="仿宋_GB2312" w:cs="仿宋_GB2312"/>
                <w:bCs/>
                <w:sz w:val="24"/>
                <w:szCs w:val="24"/>
              </w:rPr>
              <w:t>。</w:t>
            </w:r>
          </w:p>
        </w:tc>
      </w:tr>
      <w:tr w:rsidR="00CA5AE3" w:rsidTr="00E07285">
        <w:trPr>
          <w:trHeight w:val="555"/>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5</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第四节：脂环烃</w:t>
            </w:r>
          </w:p>
          <w:p w:rsidR="00CA5AE3" w:rsidRPr="002A3242" w:rsidRDefault="00CA5AE3" w:rsidP="00E07285">
            <w:pPr>
              <w:spacing w:line="560" w:lineRule="exact"/>
              <w:ind w:firstLine="329"/>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widowControl/>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 环烷烃的分类、命名和异构</w:t>
            </w:r>
          </w:p>
          <w:p w:rsidR="00CA5AE3" w:rsidRPr="002A3242" w:rsidRDefault="00CA5AE3" w:rsidP="00E07285">
            <w:pPr>
              <w:widowControl/>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环烷烃的物理性质和化学反应</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 环烷烃的稳定性</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掌握脂环烃的命名、物理、化学性质，了解环烷烃的构象及其稳定性</w:t>
            </w:r>
            <w:r w:rsidRPr="002A3242">
              <w:rPr>
                <w:rFonts w:ascii="仿宋_GB2312" w:hAnsi="仿宋_GB2312" w:cs="仿宋_GB2312"/>
                <w:bCs/>
                <w:sz w:val="24"/>
                <w:szCs w:val="24"/>
              </w:rPr>
              <w:t>。</w:t>
            </w:r>
          </w:p>
        </w:tc>
      </w:tr>
      <w:tr w:rsidR="00CA5AE3" w:rsidTr="00E07285">
        <w:trPr>
          <w:trHeight w:val="555"/>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6</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第五节：芳香烃</w:t>
            </w:r>
          </w:p>
          <w:p w:rsidR="00CA5AE3" w:rsidRPr="002A3242" w:rsidRDefault="00CA5AE3" w:rsidP="00E07285">
            <w:pPr>
              <w:spacing w:line="560" w:lineRule="exact"/>
              <w:ind w:firstLine="329"/>
              <w:jc w:val="center"/>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 苯的结构</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芳香烃化合物的命名</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 苯环上的亲电取代反应</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4 苯环上取代反应的定位规律</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lastRenderedPageBreak/>
              <w:t>5多环芳烃和稠环芳烃</w:t>
            </w:r>
          </w:p>
          <w:p w:rsidR="00CA5AE3" w:rsidRPr="002A3242" w:rsidRDefault="00CA5AE3" w:rsidP="00E07285">
            <w:pPr>
              <w:spacing w:line="560" w:lineRule="exact"/>
              <w:ind w:firstLine="329"/>
              <w:rPr>
                <w:rFonts w:ascii="仿宋_GB2312" w:hAnsi="仿宋_GB2312" w:cs="仿宋_GB2312"/>
                <w:bCs/>
                <w:sz w:val="24"/>
                <w:szCs w:val="24"/>
              </w:rPr>
            </w:pP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lastRenderedPageBreak/>
              <w:t>掌握苯的结构和芳烃的命名、物理化学性质,掌握取代反应的机理及定位规则</w:t>
            </w:r>
            <w:r w:rsidRPr="002A3242">
              <w:rPr>
                <w:rFonts w:ascii="仿宋_GB2312" w:hAnsi="仿宋_GB2312" w:cs="仿宋_GB2312"/>
                <w:bCs/>
                <w:sz w:val="24"/>
                <w:szCs w:val="24"/>
              </w:rPr>
              <w:t>。</w:t>
            </w:r>
          </w:p>
          <w:p w:rsidR="00CA5AE3" w:rsidRPr="002A3242" w:rsidRDefault="00CA5AE3" w:rsidP="00E07285">
            <w:pPr>
              <w:spacing w:line="560" w:lineRule="exact"/>
              <w:ind w:firstLine="329"/>
              <w:rPr>
                <w:rFonts w:ascii="仿宋_GB2312" w:hAnsi="仿宋_GB2312" w:cs="仿宋_GB2312"/>
                <w:bCs/>
                <w:sz w:val="24"/>
                <w:szCs w:val="24"/>
              </w:rPr>
            </w:pPr>
          </w:p>
        </w:tc>
      </w:tr>
      <w:tr w:rsidR="00CA5AE3" w:rsidTr="00E07285">
        <w:trPr>
          <w:trHeight w:val="548"/>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lastRenderedPageBreak/>
              <w:t>7</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第三章 烃的卤素衍生物</w:t>
            </w:r>
            <w:r w:rsidRPr="002A3242">
              <w:rPr>
                <w:rFonts w:ascii="仿宋_GB2312" w:hAnsi="仿宋_GB2312" w:cs="仿宋_GB2312"/>
                <w:bCs/>
                <w:sz w:val="24"/>
                <w:szCs w:val="24"/>
              </w:rPr>
              <w:t xml:space="preserve"> </w:t>
            </w:r>
          </w:p>
          <w:p w:rsidR="00CA5AE3" w:rsidRPr="002A3242" w:rsidRDefault="00CA5AE3" w:rsidP="00E07285">
            <w:pPr>
              <w:spacing w:line="560" w:lineRule="exact"/>
              <w:ind w:firstLine="329"/>
              <w:jc w:val="center"/>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 卤代烷的命名</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卤代烷的性质</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 卤代烯烃和卤代芳烃</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4水处理中的卤代烃</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bCs/>
                <w:sz w:val="24"/>
                <w:szCs w:val="24"/>
              </w:rPr>
              <w:t>了</w:t>
            </w:r>
            <w:r w:rsidRPr="002A3242">
              <w:rPr>
                <w:rFonts w:ascii="仿宋_GB2312" w:hAnsi="仿宋_GB2312" w:cs="仿宋_GB2312" w:hint="eastAsia"/>
                <w:bCs/>
                <w:sz w:val="24"/>
                <w:szCs w:val="24"/>
              </w:rPr>
              <w:t>掌握卤代烃的命名及性质，了解卤代烯烃和卤代芳烃以及一些中重要的卤代烃。</w:t>
            </w:r>
          </w:p>
        </w:tc>
      </w:tr>
      <w:tr w:rsidR="00CA5AE3" w:rsidTr="00E07285">
        <w:trPr>
          <w:trHeight w:val="1812"/>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8</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第四章 醇、酚、醚</w:t>
            </w:r>
          </w:p>
          <w:p w:rsidR="00CA5AE3" w:rsidRPr="002A3242" w:rsidRDefault="00CA5AE3" w:rsidP="00E07285">
            <w:pPr>
              <w:spacing w:line="560" w:lineRule="exact"/>
              <w:ind w:firstLine="329"/>
              <w:jc w:val="center"/>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 醇的结构和命名</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醇的反应</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 酚的结构和反应</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4 醚的结构、命名和性质</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5 醚的反应</w:t>
            </w:r>
            <w:r w:rsidRPr="002A3242">
              <w:rPr>
                <w:rFonts w:ascii="仿宋_GB2312" w:hAnsi="仿宋_GB2312" w:cs="仿宋_GB2312"/>
                <w:bCs/>
                <w:sz w:val="24"/>
                <w:szCs w:val="24"/>
              </w:rPr>
              <w:t xml:space="preserve"> </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6水处理中的醇、酚、醚</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掌握醇、酚命名及性质，了解醇、酚反应形式以及一些中重要的醇、酚; 掌握、醚命名及性质，了解醚反应形式以及一些水处理中重要的醚。</w:t>
            </w:r>
          </w:p>
        </w:tc>
      </w:tr>
      <w:tr w:rsidR="00CA5AE3" w:rsidTr="00E07285">
        <w:trPr>
          <w:trHeight w:val="548"/>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9</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 xml:space="preserve">第五章  醛、酮 </w:t>
            </w:r>
          </w:p>
          <w:p w:rsidR="00CA5AE3" w:rsidRPr="002A3242" w:rsidRDefault="00CA5AE3" w:rsidP="00E07285">
            <w:pPr>
              <w:spacing w:line="560" w:lineRule="exact"/>
              <w:ind w:firstLine="329"/>
              <w:jc w:val="center"/>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 醛酮的结构和命名</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醛酮的性质和反应</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 水处理中的醛酮物</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掌握醛、酮命名及性质，了解醛、酮反应形式以及一些中重要的醛、酮。</w:t>
            </w:r>
          </w:p>
        </w:tc>
      </w:tr>
      <w:tr w:rsidR="00CA5AE3" w:rsidTr="00E07285">
        <w:trPr>
          <w:trHeight w:val="548"/>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10</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 xml:space="preserve">第六章  羧酸及其衍生物 </w:t>
            </w:r>
          </w:p>
          <w:p w:rsidR="00CA5AE3" w:rsidRPr="002A3242" w:rsidRDefault="00CA5AE3" w:rsidP="00E07285">
            <w:pPr>
              <w:spacing w:line="560" w:lineRule="exact"/>
              <w:ind w:firstLine="329"/>
              <w:jc w:val="center"/>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 羧酸的分类和命名</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羧酸的物理化学性质</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 羧酸衍生物的物理化学性质</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4 重要的羧酸和衍生物</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了解羧酸及其衍生物的命名及物理性质;掌握其重要的化学反应。</w:t>
            </w:r>
          </w:p>
        </w:tc>
      </w:tr>
      <w:tr w:rsidR="00CA5AE3" w:rsidTr="00E07285">
        <w:trPr>
          <w:trHeight w:val="548"/>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11</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第八章 含氮有机化合物</w:t>
            </w:r>
          </w:p>
          <w:p w:rsidR="00CA5AE3" w:rsidRPr="002A3242" w:rsidRDefault="00CA5AE3" w:rsidP="00E07285">
            <w:pPr>
              <w:spacing w:line="560" w:lineRule="exact"/>
              <w:ind w:firstLine="329"/>
              <w:jc w:val="center"/>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 芳香族硝基化合物</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胺、腈</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3重氮、偶氮化合物</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了解含氮有机化合物的物化性质以及一些重要的含氮有机物的特性</w:t>
            </w:r>
            <w:r w:rsidRPr="002A3242">
              <w:rPr>
                <w:rFonts w:ascii="仿宋_GB2312" w:hAnsi="仿宋_GB2312" w:cs="仿宋_GB2312"/>
                <w:bCs/>
                <w:sz w:val="24"/>
                <w:szCs w:val="24"/>
              </w:rPr>
              <w:t>。</w:t>
            </w:r>
          </w:p>
        </w:tc>
      </w:tr>
      <w:tr w:rsidR="00CA5AE3" w:rsidTr="00E07285">
        <w:trPr>
          <w:trHeight w:val="548"/>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12</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第十章 合</w:t>
            </w:r>
            <w:r w:rsidRPr="002A3242">
              <w:rPr>
                <w:rFonts w:ascii="仿宋_GB2312" w:hAnsi="仿宋_GB2312" w:cs="仿宋_GB2312" w:hint="eastAsia"/>
                <w:bCs/>
                <w:sz w:val="24"/>
                <w:szCs w:val="24"/>
              </w:rPr>
              <w:lastRenderedPageBreak/>
              <w:t>成高分子化合物</w:t>
            </w:r>
          </w:p>
          <w:p w:rsidR="00CA5AE3" w:rsidRPr="002A3242" w:rsidRDefault="00CA5AE3" w:rsidP="00E07285">
            <w:pPr>
              <w:spacing w:line="560" w:lineRule="exact"/>
              <w:ind w:firstLine="329"/>
              <w:jc w:val="center"/>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jc w:val="center"/>
              <w:rPr>
                <w:rFonts w:ascii="仿宋_GB2312" w:hAnsi="仿宋_GB2312" w:cs="仿宋_GB2312"/>
                <w:bCs/>
                <w:sz w:val="24"/>
                <w:szCs w:val="24"/>
              </w:rPr>
            </w:pPr>
            <w:r w:rsidRPr="002A3242">
              <w:rPr>
                <w:rFonts w:ascii="仿宋_GB2312" w:hAnsi="仿宋_GB2312" w:cs="仿宋_GB2312" w:hint="eastAsia"/>
                <w:bCs/>
                <w:sz w:val="24"/>
                <w:szCs w:val="24"/>
              </w:rPr>
              <w:lastRenderedPageBreak/>
              <w:t>2</w:t>
            </w:r>
          </w:p>
        </w:tc>
        <w:tc>
          <w:tcPr>
            <w:tcW w:w="3119"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1高分子化合物的合成及</w:t>
            </w:r>
            <w:r w:rsidRPr="002A3242">
              <w:rPr>
                <w:rFonts w:ascii="仿宋_GB2312" w:hAnsi="仿宋_GB2312" w:cs="仿宋_GB2312" w:hint="eastAsia"/>
                <w:bCs/>
                <w:sz w:val="24"/>
                <w:szCs w:val="24"/>
              </w:rPr>
              <w:lastRenderedPageBreak/>
              <w:t>性能</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2一些高分子化合物</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3离子交换树脂</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4 高分子分离膜</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5 有机高分子絮凝剂</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6 生物可降解高分子材料</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lastRenderedPageBreak/>
              <w:t>了解高分子化合物的合</w:t>
            </w:r>
            <w:r w:rsidRPr="002A3242">
              <w:rPr>
                <w:rFonts w:ascii="仿宋_GB2312" w:hAnsi="仿宋_GB2312" w:cs="仿宋_GB2312" w:hint="eastAsia"/>
                <w:bCs/>
                <w:sz w:val="24"/>
                <w:szCs w:val="24"/>
              </w:rPr>
              <w:lastRenderedPageBreak/>
              <w:t>成及性能以及一些重要的高分子化合物，及水处理中常用的高分子化合物</w:t>
            </w:r>
            <w:r w:rsidRPr="002A3242">
              <w:rPr>
                <w:rFonts w:ascii="仿宋_GB2312" w:hAnsi="仿宋_GB2312" w:cs="仿宋_GB2312"/>
                <w:bCs/>
                <w:sz w:val="24"/>
                <w:szCs w:val="24"/>
              </w:rPr>
              <w:t>。</w:t>
            </w:r>
          </w:p>
        </w:tc>
      </w:tr>
      <w:tr w:rsidR="00CA5AE3" w:rsidTr="00E07285">
        <w:trPr>
          <w:trHeight w:val="548"/>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lastRenderedPageBreak/>
              <w:t>13</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第十一章 碳水化合物</w:t>
            </w:r>
          </w:p>
          <w:p w:rsidR="00CA5AE3" w:rsidRPr="002A3242" w:rsidRDefault="00CA5AE3" w:rsidP="00E07285">
            <w:pPr>
              <w:spacing w:line="560" w:lineRule="exact"/>
              <w:ind w:firstLine="329"/>
              <w:jc w:val="center"/>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 单糖</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低聚糖</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 多糖</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掌握单糖、多糖的结构特征及重要的化学性质</w:t>
            </w:r>
            <w:r w:rsidRPr="002A3242">
              <w:rPr>
                <w:rFonts w:ascii="仿宋_GB2312" w:hAnsi="仿宋_GB2312" w:cs="仿宋_GB2312"/>
                <w:bCs/>
                <w:sz w:val="24"/>
                <w:szCs w:val="24"/>
              </w:rPr>
              <w:t>。</w:t>
            </w:r>
          </w:p>
        </w:tc>
      </w:tr>
      <w:tr w:rsidR="00CA5AE3" w:rsidTr="00E07285">
        <w:trPr>
          <w:trHeight w:val="548"/>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14</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第十二章 氨基酸 蛋白质 核酸</w:t>
            </w:r>
          </w:p>
          <w:p w:rsidR="00CA5AE3" w:rsidRPr="002A3242" w:rsidRDefault="00CA5AE3" w:rsidP="00E07285">
            <w:pPr>
              <w:spacing w:line="560" w:lineRule="exact"/>
              <w:ind w:firstLine="329"/>
              <w:jc w:val="center"/>
              <w:rPr>
                <w:rFonts w:ascii="仿宋_GB2312" w:hAnsi="仿宋_GB2312" w:cs="仿宋_GB2312"/>
                <w:bCs/>
                <w:sz w:val="24"/>
                <w:szCs w:val="24"/>
              </w:rPr>
            </w:pPr>
          </w:p>
        </w:tc>
        <w:tc>
          <w:tcPr>
            <w:tcW w:w="708" w:type="dxa"/>
            <w:vAlign w:val="center"/>
          </w:tcPr>
          <w:p w:rsidR="00CA5AE3" w:rsidRPr="002A3242" w:rsidRDefault="00CA5AE3" w:rsidP="00E07285">
            <w:pPr>
              <w:spacing w:line="560" w:lineRule="exact"/>
              <w:ind w:firstLine="329"/>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 氨基酸的结构和性质</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 蛋白质的组成、结构和性质</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 核酸的组成、结构、性质及功能</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掌握氨基酸的结构特征及性质、了解蛋白质、核酸的组成、结构、性质、功能。</w:t>
            </w:r>
          </w:p>
        </w:tc>
      </w:tr>
      <w:tr w:rsidR="00CA5AE3" w:rsidTr="00E07285">
        <w:trPr>
          <w:trHeight w:val="548"/>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15</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第十四章 测定有机物结构的物理方法</w:t>
            </w:r>
          </w:p>
        </w:tc>
        <w:tc>
          <w:tcPr>
            <w:tcW w:w="708" w:type="dxa"/>
            <w:vAlign w:val="center"/>
          </w:tcPr>
          <w:p w:rsidR="00CA5AE3" w:rsidRPr="002A3242" w:rsidRDefault="00CA5AE3" w:rsidP="00E07285">
            <w:pPr>
              <w:spacing w:line="560" w:lineRule="exact"/>
              <w:ind w:firstLine="329"/>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1紫外光谱</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2红外光谱</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3核磁共振</w:t>
            </w:r>
          </w:p>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4 质谱</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了解紫外、红外、核磁及质谱用于测定有机物结构的原理、特点及应用。</w:t>
            </w:r>
          </w:p>
        </w:tc>
      </w:tr>
      <w:tr w:rsidR="00CA5AE3" w:rsidTr="00E07285">
        <w:trPr>
          <w:trHeight w:val="548"/>
        </w:trPr>
        <w:tc>
          <w:tcPr>
            <w:tcW w:w="512" w:type="dxa"/>
            <w:vAlign w:val="center"/>
          </w:tcPr>
          <w:p w:rsidR="00CA5AE3" w:rsidRPr="002A3242" w:rsidRDefault="00CA5AE3" w:rsidP="00E07285">
            <w:pPr>
              <w:jc w:val="center"/>
              <w:rPr>
                <w:kern w:val="0"/>
                <w:sz w:val="24"/>
                <w:szCs w:val="24"/>
              </w:rPr>
            </w:pPr>
            <w:r w:rsidRPr="002A3242">
              <w:rPr>
                <w:rFonts w:hint="eastAsia"/>
                <w:kern w:val="0"/>
                <w:sz w:val="24"/>
                <w:szCs w:val="24"/>
              </w:rPr>
              <w:t>16</w:t>
            </w:r>
          </w:p>
        </w:tc>
        <w:tc>
          <w:tcPr>
            <w:tcW w:w="1723"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复习</w:t>
            </w:r>
          </w:p>
        </w:tc>
        <w:tc>
          <w:tcPr>
            <w:tcW w:w="708" w:type="dxa"/>
            <w:vAlign w:val="center"/>
          </w:tcPr>
          <w:p w:rsidR="00CA5AE3" w:rsidRPr="002A3242" w:rsidRDefault="00CA5AE3" w:rsidP="00E07285">
            <w:pPr>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3119" w:type="dxa"/>
            <w:vAlign w:val="center"/>
          </w:tcPr>
          <w:p w:rsidR="00CA5AE3" w:rsidRPr="002A3242" w:rsidRDefault="00CA5AE3" w:rsidP="00E07285">
            <w:pPr>
              <w:adjustRightInd w:val="0"/>
              <w:snapToGrid w:val="0"/>
              <w:spacing w:line="560" w:lineRule="exact"/>
              <w:ind w:firstLine="329"/>
              <w:rPr>
                <w:rFonts w:ascii="仿宋_GB2312" w:hAnsi="仿宋_GB2312" w:cs="仿宋_GB2312"/>
                <w:bCs/>
                <w:sz w:val="24"/>
                <w:szCs w:val="24"/>
              </w:rPr>
            </w:pPr>
            <w:r w:rsidRPr="002A3242">
              <w:rPr>
                <w:rFonts w:ascii="仿宋_GB2312" w:hAnsi="仿宋_GB2312" w:cs="仿宋_GB2312" w:hint="eastAsia"/>
                <w:bCs/>
                <w:sz w:val="24"/>
                <w:szCs w:val="24"/>
              </w:rPr>
              <w:t>复习</w:t>
            </w:r>
          </w:p>
        </w:tc>
        <w:tc>
          <w:tcPr>
            <w:tcW w:w="3093" w:type="dxa"/>
            <w:vAlign w:val="center"/>
          </w:tcPr>
          <w:p w:rsidR="00CA5AE3" w:rsidRPr="002A3242" w:rsidRDefault="00CA5AE3" w:rsidP="00E07285">
            <w:pPr>
              <w:spacing w:line="560" w:lineRule="exact"/>
              <w:ind w:firstLine="329"/>
              <w:rPr>
                <w:rFonts w:ascii="仿宋_GB2312" w:hAnsi="仿宋_GB2312" w:cs="仿宋_GB2312"/>
                <w:bCs/>
                <w:sz w:val="24"/>
                <w:szCs w:val="24"/>
              </w:rPr>
            </w:pPr>
          </w:p>
        </w:tc>
      </w:tr>
    </w:tbl>
    <w:p w:rsidR="00CA5AE3" w:rsidRDefault="00CA5AE3" w:rsidP="00CA5AE3">
      <w:pPr>
        <w:spacing w:beforeLines="50" w:before="156" w:afterLines="50" w:after="156" w:line="560" w:lineRule="exact"/>
        <w:rPr>
          <w:rFonts w:ascii="黑体" w:eastAsia="黑体" w:hAnsi="黑体"/>
          <w:b/>
          <w:sz w:val="28"/>
          <w:szCs w:val="28"/>
        </w:rPr>
      </w:pP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课程成绩由平时成绩和期终考试两个环节的成绩综合评定产生。</w:t>
      </w:r>
      <w:r>
        <w:rPr>
          <w:rFonts w:ascii="仿宋_GB2312" w:hAnsi="仿宋_GB2312" w:cs="仿宋_GB2312" w:hint="eastAsia"/>
          <w:bCs/>
          <w:sz w:val="28"/>
          <w:szCs w:val="28"/>
        </w:rPr>
        <w:lastRenderedPageBreak/>
        <w:t>各评价环节所占比例及对教学目标的支撑如下表所示。其中，期终考试采取闭卷形式，内容涉及课程的基本概念和基本方法，题型包括名词解释、选择题、简答题、综合题等。</w:t>
      </w:r>
    </w:p>
    <w:p w:rsidR="00CA5AE3" w:rsidRDefault="00CA5AE3" w:rsidP="00CA5AE3">
      <w:pPr>
        <w:spacing w:beforeLines="50" w:before="156" w:afterLines="50" w:after="156" w:line="460" w:lineRule="exact"/>
        <w:ind w:firstLineChars="200" w:firstLine="560"/>
        <w:rPr>
          <w:rFonts w:ascii="仿宋_GB2312" w:hAnsi="仿宋_GB2312" w:cs="仿宋_GB2312"/>
          <w:sz w:val="28"/>
          <w:szCs w:val="28"/>
        </w:rPr>
      </w:pPr>
      <w:r>
        <w:rPr>
          <w:rFonts w:ascii="仿宋_GB2312" w:hAnsi="仿宋_GB2312" w:cs="仿宋_GB2312"/>
          <w:sz w:val="28"/>
          <w:szCs w:val="28"/>
        </w:rPr>
        <w:t>课程总成绩=期末成绩</w:t>
      </w:r>
      <w:r>
        <w:rPr>
          <w:rFonts w:ascii="仿宋_GB2312" w:hAnsi="仿宋_GB2312" w:cs="仿宋_GB2312" w:hint="eastAsia"/>
          <w:sz w:val="28"/>
          <w:szCs w:val="28"/>
        </w:rPr>
        <w:t>（80%）+平时</w:t>
      </w:r>
      <w:r>
        <w:rPr>
          <w:rFonts w:ascii="仿宋_GB2312" w:hAnsi="仿宋_GB2312" w:cs="仿宋_GB2312"/>
          <w:sz w:val="28"/>
          <w:szCs w:val="28"/>
        </w:rPr>
        <w:t>成绩</w:t>
      </w:r>
      <w:r>
        <w:rPr>
          <w:rFonts w:ascii="仿宋_GB2312" w:hAnsi="仿宋_GB2312" w:cs="仿宋_GB2312" w:hint="eastAsia"/>
          <w:sz w:val="28"/>
          <w:szCs w:val="28"/>
        </w:rPr>
        <w:t>（20%）</w:t>
      </w:r>
    </w:p>
    <w:p w:rsidR="00CA5AE3" w:rsidRDefault="00CA5AE3" w:rsidP="00CA5AE3">
      <w:pPr>
        <w:spacing w:beforeLines="50" w:before="156" w:afterLines="50" w:after="156" w:line="460" w:lineRule="exact"/>
        <w:ind w:firstLineChars="200" w:firstLine="560"/>
        <w:rPr>
          <w:rFonts w:ascii="仿宋_GB2312" w:hAnsi="仿宋_GB2312" w:cs="仿宋_GB2312"/>
          <w:sz w:val="28"/>
          <w:szCs w:val="28"/>
        </w:rPr>
      </w:pPr>
      <w:r>
        <w:rPr>
          <w:rFonts w:ascii="仿宋_GB2312" w:hAnsi="仿宋_GB2312" w:cs="仿宋_GB2312" w:hint="eastAsia"/>
          <w:sz w:val="28"/>
          <w:szCs w:val="28"/>
        </w:rPr>
        <w:t>平时成绩考核标准：出勤率和课后作业各占15%。</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A5AE3" w:rsidRDefault="00CA5AE3" w:rsidP="00CA5AE3">
      <w:pPr>
        <w:spacing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bCs/>
          <w:sz w:val="28"/>
          <w:szCs w:val="28"/>
        </w:rPr>
        <w:t>主教材：有机化学（第</w:t>
      </w:r>
      <w:r>
        <w:rPr>
          <w:rFonts w:ascii="仿宋_GB2312" w:hAnsi="仿宋_GB2312" w:cs="仿宋_GB2312" w:hint="eastAsia"/>
          <w:bCs/>
          <w:sz w:val="28"/>
          <w:szCs w:val="28"/>
        </w:rPr>
        <w:t>四</w:t>
      </w:r>
      <w:r>
        <w:rPr>
          <w:rFonts w:ascii="仿宋_GB2312" w:hAnsi="仿宋_GB2312" w:cs="仿宋_GB2312"/>
          <w:bCs/>
          <w:sz w:val="28"/>
          <w:szCs w:val="28"/>
        </w:rPr>
        <w:t>版），蔡素德主编，中国建筑工业出版社，20</w:t>
      </w:r>
      <w:r>
        <w:rPr>
          <w:rFonts w:ascii="仿宋_GB2312" w:hAnsi="仿宋_GB2312" w:cs="仿宋_GB2312" w:hint="eastAsia"/>
          <w:bCs/>
          <w:sz w:val="28"/>
          <w:szCs w:val="28"/>
        </w:rPr>
        <w:t>17</w:t>
      </w:r>
      <w:r>
        <w:rPr>
          <w:rFonts w:ascii="仿宋_GB2312" w:hAnsi="仿宋_GB2312" w:cs="仿宋_GB2312"/>
          <w:bCs/>
          <w:sz w:val="28"/>
          <w:szCs w:val="28"/>
        </w:rPr>
        <w:t>年</w:t>
      </w:r>
      <w:r>
        <w:rPr>
          <w:rFonts w:ascii="仿宋_GB2312" w:hAnsi="仿宋_GB2312" w:cs="仿宋_GB2312" w:hint="eastAsia"/>
          <w:bCs/>
          <w:sz w:val="28"/>
          <w:szCs w:val="28"/>
        </w:rPr>
        <w:t>1</w:t>
      </w:r>
      <w:r>
        <w:rPr>
          <w:rFonts w:ascii="仿宋_GB2312" w:hAnsi="仿宋_GB2312" w:cs="仿宋_GB2312"/>
          <w:bCs/>
          <w:sz w:val="28"/>
          <w:szCs w:val="28"/>
        </w:rPr>
        <w:t>月出版。</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bCs/>
          <w:sz w:val="28"/>
          <w:szCs w:val="28"/>
        </w:rPr>
        <w:t>辅助教材：《基础有机化学(第4版)</w:t>
      </w:r>
      <w:r>
        <w:rPr>
          <w:rFonts w:ascii="仿宋_GB2312" w:hAnsi="仿宋_GB2312" w:cs="仿宋_GB2312" w:hint="eastAsia"/>
          <w:bCs/>
          <w:sz w:val="28"/>
          <w:szCs w:val="28"/>
        </w:rPr>
        <w:t>》</w:t>
      </w:r>
      <w:r>
        <w:rPr>
          <w:rFonts w:ascii="仿宋_GB2312" w:hAnsi="仿宋_GB2312" w:cs="仿宋_GB2312"/>
          <w:bCs/>
          <w:sz w:val="28"/>
          <w:szCs w:val="28"/>
        </w:rPr>
        <w:t>，</w:t>
      </w:r>
      <w:hyperlink r:id="rId23" w:tgtFrame="_blank" w:history="1">
        <w:r>
          <w:rPr>
            <w:rFonts w:ascii="仿宋_GB2312" w:hAnsi="仿宋_GB2312" w:cs="仿宋_GB2312"/>
            <w:bCs/>
            <w:sz w:val="28"/>
            <w:szCs w:val="28"/>
          </w:rPr>
          <w:t>邢其毅</w:t>
        </w:r>
      </w:hyperlink>
      <w:r>
        <w:rPr>
          <w:rFonts w:ascii="仿宋_GB2312" w:hAnsi="仿宋_GB2312" w:cs="仿宋_GB2312"/>
          <w:bCs/>
          <w:sz w:val="28"/>
          <w:szCs w:val="28"/>
        </w:rPr>
        <w:t>,</w:t>
      </w:r>
      <w:hyperlink r:id="rId24" w:tgtFrame="_blank" w:history="1">
        <w:r>
          <w:rPr>
            <w:rFonts w:ascii="仿宋_GB2312" w:hAnsi="仿宋_GB2312" w:cs="仿宋_GB2312"/>
            <w:bCs/>
            <w:sz w:val="28"/>
            <w:szCs w:val="28"/>
          </w:rPr>
          <w:t>裴伟伟</w:t>
        </w:r>
      </w:hyperlink>
      <w:r>
        <w:rPr>
          <w:rFonts w:ascii="仿宋_GB2312" w:hAnsi="仿宋_GB2312" w:cs="仿宋_GB2312"/>
          <w:bCs/>
          <w:sz w:val="28"/>
          <w:szCs w:val="28"/>
        </w:rPr>
        <w:t>主编，</w:t>
      </w:r>
      <w:hyperlink r:id="rId25" w:tgtFrame="_blank" w:history="1">
        <w:r>
          <w:rPr>
            <w:rFonts w:ascii="仿宋_GB2312" w:hAnsi="仿宋_GB2312" w:cs="仿宋_GB2312"/>
            <w:bCs/>
            <w:sz w:val="28"/>
            <w:szCs w:val="28"/>
          </w:rPr>
          <w:t>高等教育出版社</w:t>
        </w:r>
      </w:hyperlink>
      <w:r>
        <w:rPr>
          <w:rFonts w:ascii="仿宋_GB2312" w:hAnsi="仿宋_GB2312" w:cs="仿宋_GB2312"/>
          <w:bCs/>
          <w:sz w:val="28"/>
          <w:szCs w:val="28"/>
        </w:rPr>
        <w:t>，200</w:t>
      </w:r>
      <w:r>
        <w:rPr>
          <w:rFonts w:ascii="仿宋_GB2312" w:hAnsi="仿宋_GB2312" w:cs="仿宋_GB2312" w:hint="eastAsia"/>
          <w:bCs/>
          <w:sz w:val="28"/>
          <w:szCs w:val="28"/>
        </w:rPr>
        <w:t>5</w:t>
      </w:r>
      <w:r>
        <w:rPr>
          <w:rFonts w:ascii="仿宋_GB2312" w:hAnsi="仿宋_GB2312" w:cs="仿宋_GB2312"/>
          <w:bCs/>
          <w:sz w:val="28"/>
          <w:szCs w:val="28"/>
        </w:rPr>
        <w:t>年</w:t>
      </w:r>
      <w:r>
        <w:rPr>
          <w:rFonts w:ascii="仿宋_GB2312" w:hAnsi="仿宋_GB2312" w:cs="仿宋_GB2312" w:hint="eastAsia"/>
          <w:bCs/>
          <w:sz w:val="28"/>
          <w:szCs w:val="28"/>
        </w:rPr>
        <w:t>12</w:t>
      </w:r>
      <w:r>
        <w:rPr>
          <w:rFonts w:ascii="仿宋_GB2312" w:hAnsi="仿宋_GB2312" w:cs="仿宋_GB2312"/>
          <w:bCs/>
          <w:sz w:val="28"/>
          <w:szCs w:val="28"/>
        </w:rPr>
        <w:t>月出版。</w:t>
      </w:r>
    </w:p>
    <w:p w:rsidR="00CA5AE3" w:rsidRDefault="00CA5AE3" w:rsidP="00CA5AE3">
      <w:pPr>
        <w:spacing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bCs/>
          <w:sz w:val="28"/>
          <w:szCs w:val="28"/>
        </w:rPr>
        <w:t>Organic Chemistry（7E），L.G. Wade, Jr主编，机械工业出版社，2011年11月出版。</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CA5AE3" w:rsidRDefault="00CA5AE3" w:rsidP="00CA5AE3">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w:t>
      </w:r>
    </w:p>
    <w:p w:rsidR="00CA5AE3" w:rsidRDefault="00CA5AE3" w:rsidP="00CA5AE3">
      <w:pPr>
        <w:spacing w:line="360" w:lineRule="auto"/>
        <w:ind w:firstLineChars="1200" w:firstLine="3360"/>
        <w:rPr>
          <w:rFonts w:ascii="仿宋" w:eastAsia="仿宋" w:hAnsi="仿宋"/>
          <w:sz w:val="28"/>
          <w:szCs w:val="28"/>
        </w:rPr>
      </w:pPr>
    </w:p>
    <w:p w:rsidR="00CA5AE3" w:rsidRDefault="00CA5AE3" w:rsidP="00CA5AE3">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大纲撰写人：秦晋一</w:t>
      </w:r>
    </w:p>
    <w:p w:rsidR="00CA5AE3" w:rsidRDefault="00CA5AE3" w:rsidP="00CA5AE3">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课程负责人：秦晋一</w:t>
      </w:r>
    </w:p>
    <w:p w:rsidR="00CA5AE3" w:rsidRDefault="00CA5AE3" w:rsidP="00CA5AE3">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审核人：杨利伟、赵红梅</w:t>
      </w:r>
    </w:p>
    <w:p w:rsidR="00CA5AE3" w:rsidRDefault="00CA5AE3" w:rsidP="00CA5AE3">
      <w:pPr>
        <w:jc w:val="center"/>
        <w:rPr>
          <w:rFonts w:ascii="仿宋" w:eastAsia="仿宋" w:hAnsi="仿宋"/>
          <w:sz w:val="28"/>
          <w:szCs w:val="28"/>
        </w:rPr>
      </w:pPr>
      <w:r>
        <w:rPr>
          <w:rFonts w:ascii="仿宋" w:eastAsia="仿宋" w:hAnsi="仿宋" w:hint="eastAsia"/>
          <w:sz w:val="28"/>
          <w:szCs w:val="28"/>
        </w:rPr>
        <w:t xml:space="preserve">            2021.4    </w:t>
      </w:r>
    </w:p>
    <w:p w:rsidR="00CA5AE3" w:rsidRDefault="00CA5AE3" w:rsidP="00CA5AE3">
      <w:pPr>
        <w:jc w:val="left"/>
        <w:rPr>
          <w:rFonts w:ascii="仿宋" w:eastAsia="仿宋" w:hAnsi="仿宋"/>
          <w:sz w:val="28"/>
          <w:szCs w:val="28"/>
        </w:rPr>
      </w:pPr>
    </w:p>
    <w:p w:rsidR="00CA5AE3" w:rsidRDefault="00CA5AE3" w:rsidP="002A3242">
      <w:pPr>
        <w:rPr>
          <w:rFonts w:ascii="宋体" w:hAnsi="宋体"/>
          <w:b/>
          <w:szCs w:val="32"/>
        </w:rPr>
      </w:pPr>
    </w:p>
    <w:p w:rsidR="00CA5AE3" w:rsidRPr="002A3242" w:rsidRDefault="00CA5AE3" w:rsidP="002A3242">
      <w:pPr>
        <w:widowControl/>
        <w:spacing w:line="360" w:lineRule="auto"/>
        <w:jc w:val="center"/>
        <w:rPr>
          <w:rFonts w:ascii="方正小标宋简体" w:eastAsia="方正小标宋简体" w:hAnsi="宋体"/>
          <w:kern w:val="0"/>
          <w:szCs w:val="32"/>
        </w:rPr>
      </w:pPr>
      <w:r w:rsidRPr="002A3242">
        <w:rPr>
          <w:rFonts w:ascii="方正小标宋简体" w:eastAsia="方正小标宋简体" w:hAnsi="宋体" w:hint="eastAsia"/>
          <w:kern w:val="0"/>
          <w:szCs w:val="32"/>
        </w:rPr>
        <w:lastRenderedPageBreak/>
        <w:t>《</w:t>
      </w:r>
      <w:bookmarkStart w:id="35" w:name="OLE_LINK4"/>
      <w:bookmarkStart w:id="36" w:name="OLE_LINK3"/>
      <w:r w:rsidRPr="002A3242">
        <w:rPr>
          <w:rFonts w:ascii="方正小标宋简体" w:eastAsia="方正小标宋简体" w:hAnsi="宋体" w:hint="eastAsia"/>
          <w:kern w:val="0"/>
          <w:szCs w:val="32"/>
        </w:rPr>
        <w:t>水工艺设备基础</w:t>
      </w:r>
      <w:bookmarkEnd w:id="35"/>
      <w:bookmarkEnd w:id="36"/>
      <w:r w:rsidRPr="002A3242">
        <w:rPr>
          <w:rFonts w:ascii="方正小标宋简体" w:eastAsia="方正小标宋简体" w:hAnsi="宋体" w:hint="eastAsia"/>
          <w:kern w:val="0"/>
          <w:szCs w:val="32"/>
        </w:rPr>
        <w:t>》课程教学大纲</w:t>
      </w:r>
    </w:p>
    <w:p w:rsidR="00CA5AE3" w:rsidRPr="002A3242" w:rsidRDefault="00CA5AE3" w:rsidP="002A3242">
      <w:pPr>
        <w:spacing w:beforeLines="50" w:before="156" w:afterLines="50" w:after="156" w:line="560" w:lineRule="exact"/>
        <w:rPr>
          <w:rFonts w:ascii="黑体" w:eastAsia="黑体" w:hAnsi="黑体"/>
          <w:b/>
          <w:sz w:val="28"/>
          <w:szCs w:val="28"/>
        </w:rPr>
      </w:pPr>
      <w:r w:rsidRPr="002A3242">
        <w:rPr>
          <w:rFonts w:ascii="黑体" w:eastAsia="黑体" w:hAnsi="黑体" w:hint="eastAsia"/>
          <w:b/>
          <w:sz w:val="28"/>
          <w:szCs w:val="28"/>
        </w:rPr>
        <w:t>一、基本信息</w:t>
      </w:r>
    </w:p>
    <w:p w:rsidR="00CA5AE3" w:rsidRDefault="00CA5AE3" w:rsidP="00CA5AE3">
      <w:pPr>
        <w:snapToGrid w:val="0"/>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英文名称：Basis of Water Treatment Procedure Equipment</w:t>
      </w:r>
    </w:p>
    <w:p w:rsidR="00CA5AE3" w:rsidRDefault="00CA5AE3" w:rsidP="00CA5AE3">
      <w:pPr>
        <w:snapToGrid w:val="0"/>
        <w:spacing w:line="360" w:lineRule="auto"/>
        <w:ind w:firstLineChars="157" w:firstLine="440"/>
        <w:rPr>
          <w:rFonts w:ascii="仿宋_GB2312" w:hAnsi="仿宋_GB2312" w:cs="仿宋_GB2312"/>
          <w:bCs/>
          <w:sz w:val="28"/>
          <w:szCs w:val="28"/>
        </w:rPr>
      </w:pPr>
      <w:r>
        <w:rPr>
          <w:rFonts w:ascii="仿宋_GB2312" w:hAnsi="仿宋_GB2312" w:cs="仿宋_GB2312" w:hint="eastAsia"/>
          <w:bCs/>
          <w:sz w:val="28"/>
          <w:szCs w:val="28"/>
        </w:rPr>
        <w:t>课程编码：Z2806030</w:t>
      </w:r>
    </w:p>
    <w:p w:rsidR="00CA5AE3" w:rsidRDefault="00CA5AE3" w:rsidP="00CA5AE3">
      <w:pPr>
        <w:snapToGrid w:val="0"/>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授课语言：汉语</w:t>
      </w:r>
    </w:p>
    <w:p w:rsidR="00CA5AE3" w:rsidRDefault="00CA5AE3" w:rsidP="00CA5AE3">
      <w:pPr>
        <w:snapToGrid w:val="0"/>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授课方式：线下</w:t>
      </w:r>
    </w:p>
    <w:p w:rsidR="00CA5AE3" w:rsidRDefault="00CA5AE3" w:rsidP="00CA5AE3">
      <w:pPr>
        <w:snapToGrid w:val="0"/>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课程类别：专业发展</w:t>
      </w:r>
    </w:p>
    <w:p w:rsidR="00CA5AE3" w:rsidRDefault="00CA5AE3" w:rsidP="00CA5AE3">
      <w:pPr>
        <w:snapToGrid w:val="0"/>
        <w:spacing w:line="360" w:lineRule="auto"/>
        <w:ind w:firstLineChars="150" w:firstLine="420"/>
        <w:rPr>
          <w:rFonts w:ascii="仿宋_GB2312" w:hAnsi="仿宋_GB2312" w:cs="仿宋_GB2312"/>
          <w:bCs/>
          <w:sz w:val="28"/>
          <w:szCs w:val="28"/>
        </w:rPr>
      </w:pPr>
      <w:r>
        <w:rPr>
          <w:rFonts w:ascii="仿宋_GB2312" w:hAnsi="仿宋_GB2312" w:cs="仿宋_GB2312"/>
          <w:bCs/>
          <w:sz w:val="28"/>
          <w:szCs w:val="28"/>
        </w:rPr>
        <w:t>课程性质</w:t>
      </w:r>
      <w:r>
        <w:rPr>
          <w:rFonts w:ascii="仿宋_GB2312" w:hAnsi="仿宋_GB2312" w:cs="仿宋_GB2312" w:hint="eastAsia"/>
          <w:bCs/>
          <w:sz w:val="28"/>
          <w:szCs w:val="28"/>
        </w:rPr>
        <w:t>：选修</w:t>
      </w:r>
    </w:p>
    <w:p w:rsidR="00CA5AE3" w:rsidRDefault="00CA5AE3" w:rsidP="00CA5AE3">
      <w:pPr>
        <w:snapToGrid w:val="0"/>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学　　分：1</w:t>
      </w:r>
    </w:p>
    <w:p w:rsidR="00CA5AE3" w:rsidRDefault="00CA5AE3" w:rsidP="00CA5AE3">
      <w:pPr>
        <w:snapToGrid w:val="0"/>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学    时：20学时（授课20，实验0，上机0，课外0）</w:t>
      </w:r>
    </w:p>
    <w:p w:rsidR="00CA5AE3" w:rsidRDefault="00CA5AE3" w:rsidP="00CA5AE3">
      <w:pPr>
        <w:snapToGrid w:val="0"/>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适用对象：给排水科学与工程</w:t>
      </w:r>
    </w:p>
    <w:p w:rsidR="00CA5AE3" w:rsidRDefault="00CA5AE3" w:rsidP="00CA5AE3">
      <w:pPr>
        <w:snapToGrid w:val="0"/>
        <w:spacing w:line="360" w:lineRule="auto"/>
        <w:ind w:leftChars="50" w:left="160" w:firstLineChars="100" w:firstLine="280"/>
        <w:rPr>
          <w:rFonts w:ascii="仿宋_GB2312" w:hAnsi="仿宋_GB2312" w:cs="仿宋_GB2312"/>
          <w:bCs/>
          <w:sz w:val="28"/>
          <w:szCs w:val="28"/>
        </w:rPr>
      </w:pPr>
      <w:r>
        <w:rPr>
          <w:rFonts w:ascii="仿宋_GB2312" w:hAnsi="仿宋_GB2312" w:cs="仿宋_GB2312" w:hint="eastAsia"/>
          <w:bCs/>
          <w:sz w:val="28"/>
          <w:szCs w:val="28"/>
        </w:rPr>
        <w:t>先修课程：</w:t>
      </w:r>
      <w:r>
        <w:rPr>
          <w:rFonts w:ascii="仿宋_GB2312" w:hAnsi="仿宋_GB2312" w:cs="仿宋_GB2312"/>
          <w:bCs/>
          <w:sz w:val="28"/>
          <w:szCs w:val="28"/>
        </w:rPr>
        <w:t xml:space="preserve"> 无</w:t>
      </w:r>
    </w:p>
    <w:p w:rsidR="00CA5AE3" w:rsidRDefault="00CA5AE3" w:rsidP="00CA5AE3">
      <w:pPr>
        <w:snapToGrid w:val="0"/>
        <w:spacing w:line="360" w:lineRule="auto"/>
        <w:ind w:firstLineChars="150" w:firstLine="420"/>
        <w:rPr>
          <w:rFonts w:ascii="仿宋_GB2312" w:hAnsi="仿宋_GB2312" w:cs="仿宋_GB2312"/>
          <w:bCs/>
          <w:sz w:val="28"/>
          <w:szCs w:val="28"/>
        </w:rPr>
      </w:pPr>
      <w:r>
        <w:rPr>
          <w:rFonts w:ascii="仿宋_GB2312" w:hAnsi="仿宋_GB2312" w:cs="仿宋_GB2312" w:hint="eastAsia"/>
          <w:bCs/>
          <w:sz w:val="28"/>
          <w:szCs w:val="28"/>
        </w:rPr>
        <w:t>开课院系：建工学院给排水科学与工程系</w:t>
      </w:r>
    </w:p>
    <w:p w:rsidR="00CA5AE3" w:rsidRDefault="00CA5AE3" w:rsidP="00CA5AE3">
      <w:pPr>
        <w:snapToGrid w:val="0"/>
        <w:spacing w:line="360" w:lineRule="auto"/>
        <w:ind w:firstLineChars="157" w:firstLine="440"/>
        <w:rPr>
          <w:rFonts w:ascii="仿宋_GB2312" w:hAnsi="仿宋_GB2312" w:cs="仿宋_GB2312"/>
          <w:bCs/>
          <w:sz w:val="28"/>
          <w:szCs w:val="28"/>
        </w:rPr>
      </w:pPr>
      <w:r>
        <w:rPr>
          <w:rFonts w:ascii="仿宋_GB2312" w:hAnsi="仿宋_GB2312" w:cs="仿宋_GB2312" w:hint="eastAsia"/>
          <w:bCs/>
          <w:sz w:val="28"/>
          <w:szCs w:val="28"/>
        </w:rPr>
        <w:t xml:space="preserve">使用教材或讲义： </w:t>
      </w:r>
    </w:p>
    <w:p w:rsidR="00CA5AE3" w:rsidRDefault="00CA5AE3" w:rsidP="00CA5AE3">
      <w:pPr>
        <w:snapToGrid w:val="0"/>
        <w:spacing w:line="360" w:lineRule="auto"/>
        <w:ind w:firstLineChars="307" w:firstLine="860"/>
        <w:rPr>
          <w:rFonts w:ascii="仿宋_GB2312" w:hAnsi="仿宋_GB2312" w:cs="仿宋_GB2312"/>
          <w:bCs/>
          <w:sz w:val="28"/>
          <w:szCs w:val="28"/>
        </w:rPr>
      </w:pPr>
      <w:r>
        <w:rPr>
          <w:rFonts w:ascii="仿宋_GB2312" w:hAnsi="仿宋_GB2312" w:cs="仿宋_GB2312"/>
          <w:bCs/>
          <w:sz w:val="28"/>
          <w:szCs w:val="28"/>
        </w:rPr>
        <w:t>主教材</w:t>
      </w:r>
      <w:r>
        <w:rPr>
          <w:rFonts w:ascii="仿宋_GB2312" w:hAnsi="仿宋_GB2312" w:cs="仿宋_GB2312" w:hint="eastAsia"/>
          <w:bCs/>
          <w:sz w:val="28"/>
          <w:szCs w:val="28"/>
        </w:rPr>
        <w:t>：水工艺设备基础（第三版），黄廷林等编著，中国建筑工业出版社，2015年12月出版。</w:t>
      </w:r>
    </w:p>
    <w:p w:rsidR="00CA5AE3" w:rsidRDefault="00CA5AE3" w:rsidP="00CA5AE3">
      <w:pPr>
        <w:tabs>
          <w:tab w:val="left" w:pos="1134"/>
          <w:tab w:val="left" w:pos="1276"/>
        </w:tabs>
        <w:snapToGrid w:val="0"/>
        <w:spacing w:line="360" w:lineRule="auto"/>
        <w:ind w:firstLineChars="300" w:firstLine="840"/>
        <w:rPr>
          <w:rFonts w:ascii="仿宋_GB2312" w:hAnsi="仿宋_GB2312" w:cs="仿宋_GB2312"/>
          <w:bCs/>
          <w:sz w:val="28"/>
          <w:szCs w:val="28"/>
        </w:rPr>
      </w:pPr>
      <w:r>
        <w:rPr>
          <w:rFonts w:ascii="仿宋_GB2312" w:hAnsi="仿宋_GB2312" w:cs="仿宋_GB2312"/>
          <w:bCs/>
          <w:sz w:val="28"/>
          <w:szCs w:val="28"/>
        </w:rPr>
        <w:t>辅助教材</w:t>
      </w:r>
      <w:r>
        <w:rPr>
          <w:rFonts w:ascii="仿宋_GB2312" w:hAnsi="仿宋_GB2312" w:cs="仿宋_GB2312" w:hint="eastAsia"/>
          <w:bCs/>
          <w:sz w:val="28"/>
          <w:szCs w:val="28"/>
        </w:rPr>
        <w:t>：无</w:t>
      </w:r>
    </w:p>
    <w:p w:rsidR="00CA5AE3" w:rsidRDefault="00CA5AE3" w:rsidP="00CA5AE3">
      <w:pPr>
        <w:snapToGrid w:val="0"/>
        <w:spacing w:line="360" w:lineRule="auto"/>
        <w:ind w:firstLineChars="300" w:firstLine="840"/>
        <w:rPr>
          <w:rFonts w:ascii="仿宋_GB2312" w:hAnsi="仿宋_GB2312" w:cs="仿宋_GB2312"/>
          <w:bCs/>
          <w:sz w:val="28"/>
          <w:szCs w:val="28"/>
        </w:rPr>
      </w:pPr>
      <w:r>
        <w:rPr>
          <w:rFonts w:ascii="仿宋_GB2312" w:hAnsi="仿宋_GB2312" w:cs="仿宋_GB2312"/>
          <w:bCs/>
          <w:sz w:val="28"/>
          <w:szCs w:val="28"/>
        </w:rPr>
        <w:t>参考教材</w:t>
      </w:r>
      <w:r>
        <w:rPr>
          <w:rFonts w:ascii="仿宋_GB2312" w:hAnsi="仿宋_GB2312" w:cs="仿宋_GB2312" w:hint="eastAsia"/>
          <w:bCs/>
          <w:sz w:val="28"/>
          <w:szCs w:val="28"/>
        </w:rPr>
        <w:t>：1.《给水工程》，中国建筑工业出版社</w:t>
      </w:r>
    </w:p>
    <w:p w:rsidR="00CA5AE3" w:rsidRDefault="00CA5AE3" w:rsidP="00CA5AE3">
      <w:pPr>
        <w:snapToGrid w:val="0"/>
        <w:spacing w:line="360" w:lineRule="auto"/>
        <w:ind w:firstLineChars="810" w:firstLine="2268"/>
        <w:rPr>
          <w:rFonts w:ascii="仿宋_GB2312" w:hAnsi="仿宋_GB2312" w:cs="仿宋_GB2312"/>
          <w:bCs/>
          <w:sz w:val="28"/>
          <w:szCs w:val="28"/>
        </w:rPr>
      </w:pPr>
      <w:r>
        <w:rPr>
          <w:rFonts w:ascii="仿宋_GB2312" w:hAnsi="仿宋_GB2312" w:cs="仿宋_GB2312" w:hint="eastAsia"/>
          <w:bCs/>
          <w:sz w:val="28"/>
          <w:szCs w:val="28"/>
        </w:rPr>
        <w:t>2.《排水工程》，中国建筑工业出版社</w:t>
      </w:r>
    </w:p>
    <w:p w:rsidR="00CA5AE3" w:rsidRPr="002A3242" w:rsidRDefault="00CA5AE3" w:rsidP="002A3242">
      <w:pPr>
        <w:spacing w:beforeLines="50" w:before="156" w:afterLines="50" w:after="156" w:line="560" w:lineRule="exact"/>
        <w:rPr>
          <w:rFonts w:ascii="黑体" w:eastAsia="黑体" w:hAnsi="黑体"/>
          <w:b/>
          <w:sz w:val="28"/>
          <w:szCs w:val="28"/>
        </w:rPr>
      </w:pPr>
      <w:r w:rsidRPr="002A3242">
        <w:rPr>
          <w:rFonts w:ascii="黑体" w:eastAsia="黑体" w:hAnsi="黑体" w:hint="eastAsia"/>
          <w:b/>
          <w:sz w:val="28"/>
          <w:szCs w:val="28"/>
        </w:rPr>
        <w:t>二、</w:t>
      </w:r>
      <w:r w:rsidRPr="002A3242">
        <w:rPr>
          <w:rFonts w:ascii="黑体" w:eastAsia="黑体" w:hAnsi="黑体"/>
          <w:b/>
          <w:sz w:val="28"/>
          <w:szCs w:val="28"/>
        </w:rPr>
        <w:t>课程简介</w:t>
      </w:r>
    </w:p>
    <w:p w:rsidR="00CA5AE3" w:rsidRDefault="00CA5AE3" w:rsidP="00CA5AE3">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1. 课程任务</w:t>
      </w:r>
    </w:p>
    <w:p w:rsidR="00CA5AE3" w:rsidRDefault="00CA5AE3" w:rsidP="00CA5AE3">
      <w:pPr>
        <w:adjustRightInd w:val="0"/>
        <w:snapToGrid w:val="0"/>
        <w:spacing w:line="312" w:lineRule="auto"/>
        <w:ind w:firstLineChars="200" w:firstLine="560"/>
        <w:rPr>
          <w:rFonts w:ascii="仿宋_GB2312" w:hAnsi="仿宋_GB2312" w:cs="仿宋_GB2312"/>
          <w:bCs/>
          <w:sz w:val="28"/>
          <w:szCs w:val="28"/>
        </w:rPr>
      </w:pPr>
      <w:r>
        <w:rPr>
          <w:rFonts w:ascii="仿宋_GB2312" w:hAnsi="仿宋_GB2312" w:cs="仿宋_GB2312"/>
          <w:bCs/>
          <w:sz w:val="28"/>
          <w:szCs w:val="28"/>
        </w:rPr>
        <w:t>《水工艺设备基础》是给水排水工程专业根据学科发展需要新设置的一门专业</w:t>
      </w:r>
      <w:r>
        <w:rPr>
          <w:rFonts w:ascii="仿宋_GB2312" w:hAnsi="仿宋_GB2312" w:cs="仿宋_GB2312" w:hint="eastAsia"/>
          <w:bCs/>
          <w:sz w:val="28"/>
          <w:szCs w:val="28"/>
        </w:rPr>
        <w:t>发展</w:t>
      </w:r>
      <w:r>
        <w:rPr>
          <w:rFonts w:ascii="仿宋_GB2312" w:hAnsi="仿宋_GB2312" w:cs="仿宋_GB2312"/>
          <w:bCs/>
          <w:sz w:val="28"/>
          <w:szCs w:val="28"/>
        </w:rPr>
        <w:t>课程。其主要任务是介绍与水工艺设备的制造、设计、工艺特点、适用条件等有关的基本知识</w:t>
      </w:r>
      <w:r>
        <w:rPr>
          <w:rFonts w:ascii="仿宋_GB2312" w:hAnsi="仿宋_GB2312" w:cs="仿宋_GB2312" w:hint="eastAsia"/>
          <w:bCs/>
          <w:sz w:val="28"/>
          <w:szCs w:val="28"/>
        </w:rPr>
        <w:t>。</w:t>
      </w:r>
    </w:p>
    <w:p w:rsidR="00CA5AE3" w:rsidRDefault="00CA5AE3" w:rsidP="00CA5AE3">
      <w:pPr>
        <w:adjustRightInd w:val="0"/>
        <w:snapToGrid w:val="0"/>
        <w:spacing w:line="312" w:lineRule="auto"/>
        <w:ind w:firstLineChars="200" w:firstLine="560"/>
        <w:rPr>
          <w:rFonts w:ascii="仿宋_GB2312" w:hAnsi="仿宋_GB2312" w:cs="仿宋_GB2312"/>
          <w:bCs/>
          <w:sz w:val="28"/>
          <w:szCs w:val="28"/>
        </w:rPr>
      </w:pPr>
      <w:r>
        <w:rPr>
          <w:rFonts w:ascii="仿宋_GB2312" w:hAnsi="仿宋_GB2312" w:cs="仿宋_GB2312"/>
          <w:bCs/>
          <w:sz w:val="28"/>
          <w:szCs w:val="28"/>
        </w:rPr>
        <w:lastRenderedPageBreak/>
        <w:t>主要内容包括</w:t>
      </w:r>
      <w:r>
        <w:rPr>
          <w:rFonts w:ascii="仿宋_GB2312" w:hAnsi="仿宋_GB2312" w:cs="仿宋_GB2312" w:hint="eastAsia"/>
          <w:bCs/>
          <w:sz w:val="28"/>
          <w:szCs w:val="28"/>
        </w:rPr>
        <w:t>基础知识篇和水工艺设备篇，</w:t>
      </w:r>
      <w:r>
        <w:rPr>
          <w:rFonts w:ascii="仿宋_GB2312" w:hAnsi="仿宋_GB2312" w:cs="仿宋_GB2312"/>
          <w:bCs/>
          <w:sz w:val="28"/>
          <w:szCs w:val="28"/>
        </w:rPr>
        <w:t>基础知识篇,主要讲述与水工艺设备的制造、设计、工艺特点、适用条件等相关的基础知识,包括水工艺设备常用材料的分类、性能,材料的腐蚀防护原理,材料的保温,以及容器应力基本理论、机械传动原理、机械制造加工及热量交换理论等。水工艺设备篇,以讲述水处理工艺中专用设备的分类、组成、特点及使用条件等方面的内容为主,包括容器(塔)设备、搅拌设备、换热设备、分离设备、污泥处置设备以及投药设备。</w:t>
      </w:r>
    </w:p>
    <w:p w:rsidR="00CA5AE3" w:rsidRDefault="00CA5AE3" w:rsidP="00CA5AE3">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 xml:space="preserve">. </w:t>
      </w:r>
      <w:r>
        <w:rPr>
          <w:rFonts w:ascii="仿宋_GB2312" w:hAnsi="仿宋_GB2312" w:cs="仿宋_GB2312" w:hint="eastAsia"/>
          <w:sz w:val="28"/>
          <w:szCs w:val="28"/>
        </w:rPr>
        <w:t>课程基本要求：</w:t>
      </w:r>
    </w:p>
    <w:p w:rsidR="00CA5AE3" w:rsidRDefault="00CA5AE3" w:rsidP="00CA5AE3">
      <w:pPr>
        <w:spacing w:line="360" w:lineRule="auto"/>
        <w:ind w:firstLine="329"/>
        <w:rPr>
          <w:rFonts w:ascii="仿宋_GB2312" w:hAnsi="仿宋_GB2312" w:cs="仿宋_GB2312"/>
          <w:bCs/>
          <w:sz w:val="28"/>
          <w:szCs w:val="28"/>
        </w:rPr>
      </w:pPr>
      <w:r>
        <w:rPr>
          <w:rFonts w:ascii="仿宋_GB2312" w:hAnsi="仿宋_GB2312" w:cs="仿宋_GB2312" w:hint="eastAsia"/>
          <w:bCs/>
          <w:sz w:val="28"/>
          <w:szCs w:val="28"/>
        </w:rPr>
        <w:t>2.1课程目标</w:t>
      </w:r>
    </w:p>
    <w:p w:rsidR="00CA5AE3" w:rsidRDefault="00CA5AE3" w:rsidP="00CA5AE3">
      <w:pPr>
        <w:adjustRightInd w:val="0"/>
        <w:snapToGrid w:val="0"/>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知识目标：通过</w:t>
      </w:r>
      <w:r>
        <w:rPr>
          <w:rFonts w:ascii="仿宋_GB2312" w:hAnsi="仿宋_GB2312" w:cs="仿宋_GB2312"/>
          <w:bCs/>
          <w:sz w:val="28"/>
          <w:szCs w:val="28"/>
        </w:rPr>
        <w:t>介绍与水工艺设备的制造、设计、工艺特点、适用条件等有关的基本知识。基本掌握与水工艺设备设计、制造有关的材料学、机械制造与传动、结构力学、传热学等方面的基本知识。系统了解和掌握常用水工艺设备的基本原理、典型构造、工艺特点与分类及其适用条件。能够为水工艺设备的开发、研制或改进提出工艺、材料、结构等方面的要求。能够根据工程及工艺要求，选择适宜的设备（器材）类型。</w:t>
      </w:r>
    </w:p>
    <w:p w:rsidR="00CA5AE3" w:rsidRDefault="00CA5AE3" w:rsidP="00CA5AE3">
      <w:pPr>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能力目标：在了解</w:t>
      </w:r>
      <w:r>
        <w:rPr>
          <w:rFonts w:ascii="仿宋_GB2312" w:hAnsi="仿宋_GB2312" w:cs="仿宋_GB2312"/>
          <w:bCs/>
          <w:sz w:val="28"/>
          <w:szCs w:val="28"/>
        </w:rPr>
        <w:t>水工艺设备理论</w:t>
      </w:r>
      <w:r>
        <w:rPr>
          <w:rFonts w:ascii="仿宋_GB2312" w:hAnsi="仿宋_GB2312" w:cs="仿宋_GB2312" w:hint="eastAsia"/>
          <w:bCs/>
          <w:sz w:val="28"/>
          <w:szCs w:val="28"/>
        </w:rPr>
        <w:t>基础上，达到熟悉</w:t>
      </w:r>
      <w:r>
        <w:rPr>
          <w:rFonts w:ascii="仿宋_GB2312" w:hAnsi="仿宋_GB2312" w:cs="仿宋_GB2312"/>
          <w:bCs/>
          <w:sz w:val="28"/>
          <w:szCs w:val="28"/>
        </w:rPr>
        <w:t>水工艺设备常用材料及性能、</w:t>
      </w:r>
      <w:r>
        <w:rPr>
          <w:rFonts w:ascii="仿宋_GB2312" w:hAnsi="仿宋_GB2312" w:cs="仿宋_GB2312" w:hint="eastAsia"/>
          <w:bCs/>
          <w:sz w:val="28"/>
          <w:szCs w:val="28"/>
        </w:rPr>
        <w:t>以及牢记</w:t>
      </w:r>
      <w:r>
        <w:rPr>
          <w:rFonts w:ascii="仿宋_GB2312" w:hAnsi="仿宋_GB2312" w:cs="仿宋_GB2312"/>
          <w:bCs/>
          <w:sz w:val="28"/>
          <w:szCs w:val="28"/>
        </w:rPr>
        <w:t>典型水工艺设备</w:t>
      </w:r>
      <w:r>
        <w:rPr>
          <w:rFonts w:ascii="仿宋_GB2312" w:hAnsi="仿宋_GB2312" w:cs="仿宋_GB2312" w:hint="eastAsia"/>
          <w:bCs/>
          <w:sz w:val="28"/>
          <w:szCs w:val="28"/>
        </w:rPr>
        <w:t>的运行机制的目的，会根据所学的知识，根据水厂的实际运营工况，对其水工艺处理流程进行自我判定，对不完善的地方提供改善的建议，然后对相同的工艺环节提出多种可供选择的处理设备。培养研究设计能力，应用水工艺基础理论知识和材料、设备信息，解决复杂水环境与水相关的生态环境问题。</w:t>
      </w:r>
    </w:p>
    <w:p w:rsidR="00CA5AE3" w:rsidRDefault="00CA5AE3" w:rsidP="00CA5AE3">
      <w:pPr>
        <w:spacing w:line="360" w:lineRule="auto"/>
        <w:ind w:firstLineChars="200" w:firstLine="560"/>
        <w:rPr>
          <w:rFonts w:ascii="仿宋_GB2312" w:hAnsi="仿宋_GB2312" w:cs="仿宋_GB2312"/>
          <w:bCs/>
          <w:sz w:val="28"/>
          <w:szCs w:val="28"/>
        </w:rPr>
      </w:pPr>
      <w:r>
        <w:rPr>
          <w:rFonts w:ascii="仿宋_GB2312" w:hAnsi="仿宋_GB2312" w:cs="仿宋_GB2312" w:hint="eastAsia"/>
          <w:sz w:val="28"/>
          <w:szCs w:val="28"/>
        </w:rPr>
        <w:t>情感态度与价值观目标：建立一丝不苟、刻苦钻研、勤于创新的</w:t>
      </w:r>
      <w:r>
        <w:rPr>
          <w:rFonts w:ascii="仿宋_GB2312" w:hAnsi="仿宋_GB2312" w:cs="仿宋_GB2312" w:hint="eastAsia"/>
          <w:sz w:val="28"/>
          <w:szCs w:val="28"/>
        </w:rPr>
        <w:lastRenderedPageBreak/>
        <w:t>工匠精神；学习知识之余产生对生命的思考以及对社会责任的思考；明确自身价值，激发爱国热情。</w:t>
      </w:r>
    </w:p>
    <w:p w:rsidR="00CA5AE3" w:rsidRDefault="00CA5AE3" w:rsidP="00CA5AE3">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504"/>
        <w:gridCol w:w="503"/>
        <w:gridCol w:w="516"/>
        <w:gridCol w:w="503"/>
        <w:gridCol w:w="485"/>
        <w:gridCol w:w="503"/>
        <w:gridCol w:w="485"/>
        <w:gridCol w:w="485"/>
        <w:gridCol w:w="485"/>
        <w:gridCol w:w="613"/>
        <w:gridCol w:w="613"/>
        <w:gridCol w:w="613"/>
      </w:tblGrid>
      <w:tr w:rsidR="00CA5AE3" w:rsidTr="00E07285">
        <w:trPr>
          <w:trHeight w:hRule="exact" w:val="454"/>
          <w:jc w:val="center"/>
        </w:trPr>
        <w:tc>
          <w:tcPr>
            <w:tcW w:w="2743" w:type="dxa"/>
            <w:vMerge w:val="restart"/>
            <w:shd w:val="clear" w:color="auto" w:fill="auto"/>
            <w:vAlign w:val="center"/>
          </w:tcPr>
          <w:p w:rsidR="00CA5AE3" w:rsidRDefault="00CA5AE3" w:rsidP="00E07285">
            <w:pPr>
              <w:spacing w:line="360" w:lineRule="auto"/>
              <w:jc w:val="center"/>
              <w:rPr>
                <w:rFonts w:ascii="仿宋_GB2312" w:hAnsi="仿宋_GB2312" w:cs="仿宋_GB2312"/>
                <w:bCs/>
                <w:sz w:val="28"/>
                <w:szCs w:val="28"/>
              </w:rPr>
            </w:pPr>
            <w:r>
              <w:rPr>
                <w:rFonts w:ascii="仿宋_GB2312" w:hAnsi="仿宋_GB2312" w:cs="仿宋_GB2312" w:hint="eastAsia"/>
                <w:bCs/>
                <w:sz w:val="24"/>
                <w:szCs w:val="24"/>
              </w:rPr>
              <w:t>课程目标</w:t>
            </w:r>
          </w:p>
        </w:tc>
        <w:tc>
          <w:tcPr>
            <w:tcW w:w="6233" w:type="dxa"/>
            <w:gridSpan w:val="12"/>
            <w:shd w:val="clear" w:color="auto" w:fill="auto"/>
            <w:vAlign w:val="center"/>
          </w:tcPr>
          <w:p w:rsidR="00CA5AE3" w:rsidRDefault="00CA5AE3" w:rsidP="00E07285">
            <w:pPr>
              <w:jc w:val="center"/>
              <w:rPr>
                <w:rFonts w:ascii="仿宋_GB2312" w:hAnsi="仿宋_GB2312" w:cs="仿宋_GB2312"/>
                <w:bCs/>
                <w:sz w:val="28"/>
                <w:szCs w:val="28"/>
              </w:rPr>
            </w:pPr>
            <w:r>
              <w:rPr>
                <w:rFonts w:ascii="仿宋_GB2312" w:hAnsi="仿宋_GB2312" w:cs="仿宋_GB2312" w:hint="eastAsia"/>
                <w:bCs/>
                <w:sz w:val="24"/>
                <w:szCs w:val="24"/>
              </w:rPr>
              <w:t>毕业要求</w:t>
            </w:r>
          </w:p>
        </w:tc>
      </w:tr>
      <w:tr w:rsidR="00CA5AE3" w:rsidTr="00E07285">
        <w:trPr>
          <w:trHeight w:hRule="exact" w:val="454"/>
          <w:jc w:val="center"/>
        </w:trPr>
        <w:tc>
          <w:tcPr>
            <w:tcW w:w="2743" w:type="dxa"/>
            <w:vMerge/>
            <w:shd w:val="clear" w:color="auto" w:fill="auto"/>
          </w:tcPr>
          <w:p w:rsidR="00CA5AE3" w:rsidRDefault="00CA5AE3" w:rsidP="00E07285">
            <w:pPr>
              <w:spacing w:line="360" w:lineRule="auto"/>
              <w:rPr>
                <w:rFonts w:ascii="仿宋_GB2312" w:hAnsi="仿宋_GB2312" w:cs="仿宋_GB2312"/>
                <w:bCs/>
                <w:sz w:val="28"/>
                <w:szCs w:val="28"/>
              </w:rPr>
            </w:pP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Cs w:val="21"/>
              </w:rPr>
              <w:t>1</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Cs w:val="21"/>
              </w:rPr>
              <w:t>2</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Cs w:val="21"/>
              </w:rPr>
              <w:t>3</w:t>
            </w: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4</w:t>
            </w: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5</w:t>
            </w: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6</w:t>
            </w: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7</w:t>
            </w:r>
          </w:p>
        </w:tc>
        <w:tc>
          <w:tcPr>
            <w:tcW w:w="520"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8</w:t>
            </w:r>
          </w:p>
        </w:tc>
        <w:tc>
          <w:tcPr>
            <w:tcW w:w="520"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9</w:t>
            </w:r>
          </w:p>
        </w:tc>
        <w:tc>
          <w:tcPr>
            <w:tcW w:w="520"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10</w:t>
            </w:r>
          </w:p>
        </w:tc>
        <w:tc>
          <w:tcPr>
            <w:tcW w:w="520"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11</w:t>
            </w:r>
          </w:p>
        </w:tc>
        <w:tc>
          <w:tcPr>
            <w:tcW w:w="520"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12</w:t>
            </w:r>
          </w:p>
        </w:tc>
      </w:tr>
      <w:tr w:rsidR="00CA5AE3" w:rsidTr="00E07285">
        <w:trPr>
          <w:trHeight w:hRule="exact" w:val="454"/>
          <w:jc w:val="center"/>
        </w:trPr>
        <w:tc>
          <w:tcPr>
            <w:tcW w:w="2743"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知识目标</w:t>
            </w: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H</w:t>
            </w: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H</w:t>
            </w: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H</w:t>
            </w: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H</w:t>
            </w: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L</w:t>
            </w: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p>
        </w:tc>
        <w:tc>
          <w:tcPr>
            <w:tcW w:w="520" w:type="dxa"/>
            <w:shd w:val="clear" w:color="auto" w:fill="auto"/>
          </w:tcPr>
          <w:p w:rsidR="00CA5AE3" w:rsidRDefault="00CA5AE3" w:rsidP="00E07285">
            <w:pPr>
              <w:spacing w:line="360" w:lineRule="auto"/>
              <w:rPr>
                <w:rFonts w:ascii="仿宋_GB2312" w:hAnsi="仿宋_GB2312" w:cs="仿宋_GB2312"/>
                <w:bCs/>
                <w:sz w:val="28"/>
                <w:szCs w:val="28"/>
              </w:rPr>
            </w:pPr>
          </w:p>
        </w:tc>
        <w:tc>
          <w:tcPr>
            <w:tcW w:w="520" w:type="dxa"/>
            <w:shd w:val="clear" w:color="auto" w:fill="auto"/>
          </w:tcPr>
          <w:p w:rsidR="00CA5AE3" w:rsidRDefault="00CA5AE3" w:rsidP="00E07285">
            <w:pPr>
              <w:spacing w:line="360" w:lineRule="auto"/>
              <w:rPr>
                <w:rFonts w:ascii="仿宋_GB2312" w:hAnsi="仿宋_GB2312" w:cs="仿宋_GB2312"/>
                <w:bCs/>
                <w:sz w:val="28"/>
                <w:szCs w:val="28"/>
              </w:rPr>
            </w:pPr>
          </w:p>
        </w:tc>
        <w:tc>
          <w:tcPr>
            <w:tcW w:w="520" w:type="dxa"/>
            <w:shd w:val="clear" w:color="auto" w:fill="auto"/>
          </w:tcPr>
          <w:p w:rsidR="00CA5AE3" w:rsidRDefault="00CA5AE3" w:rsidP="00E07285">
            <w:pPr>
              <w:spacing w:line="360" w:lineRule="auto"/>
              <w:rPr>
                <w:rFonts w:ascii="仿宋_GB2312" w:hAnsi="仿宋_GB2312" w:cs="仿宋_GB2312"/>
                <w:bCs/>
                <w:sz w:val="28"/>
                <w:szCs w:val="28"/>
              </w:rPr>
            </w:pPr>
          </w:p>
        </w:tc>
        <w:tc>
          <w:tcPr>
            <w:tcW w:w="520" w:type="dxa"/>
            <w:shd w:val="clear" w:color="auto" w:fill="auto"/>
          </w:tcPr>
          <w:p w:rsidR="00CA5AE3" w:rsidRDefault="00CA5AE3" w:rsidP="00E07285">
            <w:pPr>
              <w:spacing w:line="360" w:lineRule="auto"/>
              <w:rPr>
                <w:rFonts w:ascii="仿宋_GB2312" w:hAnsi="仿宋_GB2312" w:cs="仿宋_GB2312"/>
                <w:bCs/>
                <w:sz w:val="28"/>
                <w:szCs w:val="28"/>
              </w:rPr>
            </w:pPr>
          </w:p>
        </w:tc>
        <w:tc>
          <w:tcPr>
            <w:tcW w:w="520" w:type="dxa"/>
            <w:shd w:val="clear" w:color="auto" w:fill="auto"/>
          </w:tcPr>
          <w:p w:rsidR="00CA5AE3" w:rsidRDefault="00CA5AE3" w:rsidP="00E07285">
            <w:pPr>
              <w:spacing w:line="360" w:lineRule="auto"/>
              <w:rPr>
                <w:rFonts w:ascii="仿宋_GB2312" w:hAnsi="仿宋_GB2312" w:cs="仿宋_GB2312"/>
                <w:bCs/>
                <w:sz w:val="28"/>
                <w:szCs w:val="28"/>
              </w:rPr>
            </w:pPr>
          </w:p>
        </w:tc>
      </w:tr>
      <w:tr w:rsidR="00CA5AE3" w:rsidTr="00E07285">
        <w:trPr>
          <w:trHeight w:hRule="exact" w:val="454"/>
          <w:jc w:val="center"/>
        </w:trPr>
        <w:tc>
          <w:tcPr>
            <w:tcW w:w="2743" w:type="dxa"/>
            <w:shd w:val="clear" w:color="auto" w:fill="auto"/>
          </w:tcPr>
          <w:p w:rsidR="00CA5AE3" w:rsidRDefault="00CA5AE3" w:rsidP="00E07285">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能力目标</w:t>
            </w:r>
          </w:p>
        </w:tc>
        <w:tc>
          <w:tcPr>
            <w:tcW w:w="519" w:type="dxa"/>
            <w:shd w:val="clear" w:color="auto" w:fill="auto"/>
            <w:vAlign w:val="center"/>
          </w:tcPr>
          <w:p w:rsidR="00CA5AE3" w:rsidRDefault="00CA5AE3" w:rsidP="00E07285">
            <w:pPr>
              <w:widowControl/>
              <w:snapToGrid w:val="0"/>
              <w:jc w:val="center"/>
              <w:rPr>
                <w:rFonts w:ascii="仿宋" w:eastAsia="仿宋" w:hAnsi="仿宋"/>
                <w:color w:val="000000"/>
                <w:kern w:val="0"/>
                <w:szCs w:val="21"/>
              </w:rPr>
            </w:pPr>
            <w:r>
              <w:rPr>
                <w:rFonts w:ascii="仿宋" w:eastAsia="仿宋" w:hAnsi="仿宋" w:hint="eastAsia"/>
                <w:color w:val="000000"/>
                <w:kern w:val="0"/>
                <w:szCs w:val="21"/>
              </w:rPr>
              <w:t>H</w:t>
            </w:r>
          </w:p>
        </w:tc>
        <w:tc>
          <w:tcPr>
            <w:tcW w:w="519" w:type="dxa"/>
            <w:shd w:val="clear" w:color="auto" w:fill="auto"/>
            <w:vAlign w:val="center"/>
          </w:tcPr>
          <w:p w:rsidR="00CA5AE3" w:rsidRDefault="00CA5AE3" w:rsidP="00E07285">
            <w:pPr>
              <w:widowControl/>
              <w:snapToGrid w:val="0"/>
              <w:jc w:val="center"/>
              <w:rPr>
                <w:rFonts w:ascii="仿宋" w:eastAsia="仿宋" w:hAnsi="仿宋"/>
                <w:color w:val="000000"/>
                <w:kern w:val="0"/>
                <w:szCs w:val="21"/>
              </w:rPr>
            </w:pPr>
            <w:r>
              <w:rPr>
                <w:rFonts w:ascii="仿宋" w:eastAsia="仿宋" w:hAnsi="仿宋" w:hint="eastAsia"/>
                <w:color w:val="000000"/>
                <w:kern w:val="0"/>
                <w:szCs w:val="21"/>
              </w:rPr>
              <w:t>H</w:t>
            </w:r>
          </w:p>
        </w:tc>
        <w:tc>
          <w:tcPr>
            <w:tcW w:w="519" w:type="dxa"/>
            <w:shd w:val="clear" w:color="auto" w:fill="auto"/>
            <w:vAlign w:val="center"/>
          </w:tcPr>
          <w:p w:rsidR="00CA5AE3" w:rsidRDefault="00CA5AE3" w:rsidP="00E07285">
            <w:pPr>
              <w:widowControl/>
              <w:snapToGrid w:val="0"/>
              <w:jc w:val="center"/>
              <w:rPr>
                <w:rFonts w:ascii="仿宋" w:eastAsia="仿宋" w:hAnsi="仿宋"/>
                <w:color w:val="000000"/>
                <w:kern w:val="0"/>
                <w:szCs w:val="21"/>
              </w:rPr>
            </w:pPr>
            <w:r>
              <w:rPr>
                <w:rFonts w:ascii="仿宋" w:eastAsia="仿宋" w:hAnsi="仿宋" w:hint="eastAsia"/>
                <w:color w:val="000000"/>
                <w:kern w:val="0"/>
                <w:szCs w:val="21"/>
              </w:rPr>
              <w:t>M</w:t>
            </w:r>
          </w:p>
        </w:tc>
        <w:tc>
          <w:tcPr>
            <w:tcW w:w="519" w:type="dxa"/>
            <w:shd w:val="clear" w:color="auto" w:fill="auto"/>
            <w:vAlign w:val="center"/>
          </w:tcPr>
          <w:p w:rsidR="00CA5AE3" w:rsidRDefault="00CA5AE3" w:rsidP="00E07285">
            <w:pPr>
              <w:widowControl/>
              <w:snapToGrid w:val="0"/>
              <w:jc w:val="center"/>
              <w:rPr>
                <w:rFonts w:ascii="仿宋" w:eastAsia="仿宋" w:hAnsi="仿宋"/>
                <w:kern w:val="0"/>
                <w:szCs w:val="21"/>
              </w:rPr>
            </w:pPr>
            <w:r>
              <w:rPr>
                <w:rFonts w:ascii="仿宋" w:eastAsia="仿宋" w:hAnsi="仿宋" w:hint="eastAsia"/>
                <w:kern w:val="0"/>
                <w:szCs w:val="21"/>
              </w:rPr>
              <w:t>L</w:t>
            </w:r>
          </w:p>
        </w:tc>
        <w:tc>
          <w:tcPr>
            <w:tcW w:w="519" w:type="dxa"/>
            <w:shd w:val="clear" w:color="auto" w:fill="auto"/>
            <w:vAlign w:val="center"/>
          </w:tcPr>
          <w:p w:rsidR="00CA5AE3" w:rsidRDefault="00CA5AE3" w:rsidP="00E07285">
            <w:pPr>
              <w:widowControl/>
              <w:snapToGrid w:val="0"/>
              <w:jc w:val="center"/>
              <w:rPr>
                <w:rFonts w:ascii="仿宋" w:eastAsia="仿宋" w:hAnsi="仿宋"/>
                <w:kern w:val="0"/>
                <w:szCs w:val="21"/>
              </w:rPr>
            </w:pPr>
            <w:r>
              <w:rPr>
                <w:rFonts w:ascii="仿宋" w:eastAsia="仿宋" w:hAnsi="仿宋"/>
                <w:kern w:val="0"/>
                <w:szCs w:val="21"/>
              </w:rPr>
              <w:t>H</w:t>
            </w:r>
          </w:p>
        </w:tc>
        <w:tc>
          <w:tcPr>
            <w:tcW w:w="519" w:type="dxa"/>
            <w:shd w:val="clear" w:color="auto" w:fill="auto"/>
            <w:vAlign w:val="center"/>
          </w:tcPr>
          <w:p w:rsidR="00CA5AE3" w:rsidRDefault="00CA5AE3" w:rsidP="00E07285">
            <w:pPr>
              <w:widowControl/>
              <w:snapToGrid w:val="0"/>
              <w:jc w:val="center"/>
              <w:rPr>
                <w:rFonts w:ascii="仿宋" w:eastAsia="仿宋" w:hAnsi="仿宋"/>
                <w:color w:val="000000"/>
                <w:kern w:val="0"/>
                <w:szCs w:val="21"/>
              </w:rPr>
            </w:pPr>
          </w:p>
        </w:tc>
        <w:tc>
          <w:tcPr>
            <w:tcW w:w="519" w:type="dxa"/>
            <w:shd w:val="clear" w:color="auto" w:fill="auto"/>
            <w:vAlign w:val="center"/>
          </w:tcPr>
          <w:p w:rsidR="00CA5AE3" w:rsidRDefault="00CA5AE3" w:rsidP="00E07285">
            <w:pPr>
              <w:widowControl/>
              <w:snapToGrid w:val="0"/>
              <w:jc w:val="center"/>
              <w:rPr>
                <w:rFonts w:ascii="仿宋" w:eastAsia="仿宋" w:hAnsi="仿宋"/>
                <w:color w:val="000000"/>
                <w:kern w:val="0"/>
                <w:szCs w:val="21"/>
              </w:rPr>
            </w:pPr>
          </w:p>
        </w:tc>
        <w:tc>
          <w:tcPr>
            <w:tcW w:w="520" w:type="dxa"/>
            <w:shd w:val="clear" w:color="auto" w:fill="auto"/>
            <w:vAlign w:val="center"/>
          </w:tcPr>
          <w:p w:rsidR="00CA5AE3" w:rsidRDefault="00CA5AE3" w:rsidP="00E07285">
            <w:pPr>
              <w:widowControl/>
              <w:snapToGrid w:val="0"/>
              <w:jc w:val="center"/>
              <w:rPr>
                <w:rFonts w:ascii="仿宋" w:eastAsia="仿宋" w:hAnsi="仿宋"/>
                <w:color w:val="000000"/>
                <w:kern w:val="0"/>
                <w:szCs w:val="21"/>
              </w:rPr>
            </w:pPr>
          </w:p>
        </w:tc>
        <w:tc>
          <w:tcPr>
            <w:tcW w:w="520" w:type="dxa"/>
            <w:shd w:val="clear" w:color="auto" w:fill="auto"/>
            <w:vAlign w:val="center"/>
          </w:tcPr>
          <w:p w:rsidR="00CA5AE3" w:rsidRDefault="00CA5AE3" w:rsidP="00E07285">
            <w:pPr>
              <w:widowControl/>
              <w:snapToGrid w:val="0"/>
              <w:jc w:val="center"/>
              <w:rPr>
                <w:rFonts w:ascii="仿宋" w:eastAsia="仿宋" w:hAnsi="仿宋"/>
                <w:color w:val="000000"/>
                <w:kern w:val="0"/>
                <w:szCs w:val="21"/>
              </w:rPr>
            </w:pPr>
          </w:p>
        </w:tc>
        <w:tc>
          <w:tcPr>
            <w:tcW w:w="520" w:type="dxa"/>
            <w:shd w:val="clear" w:color="auto" w:fill="auto"/>
            <w:vAlign w:val="center"/>
          </w:tcPr>
          <w:p w:rsidR="00CA5AE3" w:rsidRDefault="00CA5AE3" w:rsidP="00E07285">
            <w:pPr>
              <w:widowControl/>
              <w:snapToGrid w:val="0"/>
              <w:jc w:val="center"/>
              <w:rPr>
                <w:rFonts w:ascii="仿宋" w:eastAsia="仿宋" w:hAnsi="仿宋"/>
                <w:color w:val="000000"/>
                <w:kern w:val="0"/>
                <w:szCs w:val="21"/>
              </w:rPr>
            </w:pPr>
          </w:p>
        </w:tc>
        <w:tc>
          <w:tcPr>
            <w:tcW w:w="520" w:type="dxa"/>
            <w:shd w:val="clear" w:color="auto" w:fill="auto"/>
            <w:vAlign w:val="center"/>
          </w:tcPr>
          <w:p w:rsidR="00CA5AE3" w:rsidRDefault="00CA5AE3" w:rsidP="00E07285">
            <w:pPr>
              <w:widowControl/>
              <w:snapToGrid w:val="0"/>
              <w:jc w:val="center"/>
              <w:rPr>
                <w:rFonts w:ascii="仿宋" w:eastAsia="仿宋" w:hAnsi="仿宋"/>
                <w:color w:val="000000"/>
                <w:kern w:val="0"/>
                <w:szCs w:val="21"/>
              </w:rPr>
            </w:pPr>
            <w:r>
              <w:rPr>
                <w:rFonts w:ascii="仿宋" w:eastAsia="仿宋" w:hAnsi="仿宋" w:hint="eastAsia"/>
                <w:color w:val="000000"/>
                <w:kern w:val="0"/>
                <w:szCs w:val="21"/>
              </w:rPr>
              <w:t>M</w:t>
            </w:r>
          </w:p>
        </w:tc>
        <w:tc>
          <w:tcPr>
            <w:tcW w:w="520" w:type="dxa"/>
            <w:shd w:val="clear" w:color="auto" w:fill="auto"/>
            <w:vAlign w:val="center"/>
          </w:tcPr>
          <w:p w:rsidR="00CA5AE3" w:rsidRDefault="00CA5AE3" w:rsidP="00E07285">
            <w:pPr>
              <w:widowControl/>
              <w:snapToGrid w:val="0"/>
              <w:jc w:val="center"/>
              <w:rPr>
                <w:rFonts w:ascii="仿宋" w:eastAsia="仿宋" w:hAnsi="仿宋"/>
                <w:color w:val="000000"/>
                <w:kern w:val="0"/>
                <w:szCs w:val="21"/>
              </w:rPr>
            </w:pPr>
          </w:p>
        </w:tc>
      </w:tr>
      <w:tr w:rsidR="00CA5AE3" w:rsidTr="00E07285">
        <w:trPr>
          <w:trHeight w:hRule="exact" w:val="454"/>
          <w:jc w:val="center"/>
        </w:trPr>
        <w:tc>
          <w:tcPr>
            <w:tcW w:w="2743" w:type="dxa"/>
            <w:shd w:val="clear" w:color="auto" w:fill="auto"/>
          </w:tcPr>
          <w:p w:rsidR="00CA5AE3" w:rsidRDefault="00CA5AE3" w:rsidP="00E07285">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情感态度与价值观目标</w:t>
            </w:r>
          </w:p>
        </w:tc>
        <w:tc>
          <w:tcPr>
            <w:tcW w:w="519" w:type="dxa"/>
            <w:shd w:val="clear" w:color="auto" w:fill="auto"/>
            <w:vAlign w:val="center"/>
          </w:tcPr>
          <w:p w:rsidR="00CA5AE3" w:rsidRDefault="00CA5AE3" w:rsidP="00E07285">
            <w:pPr>
              <w:spacing w:line="360" w:lineRule="auto"/>
              <w:jc w:val="center"/>
              <w:rPr>
                <w:rFonts w:ascii="仿宋_GB2312" w:hAnsi="仿宋_GB2312" w:cs="仿宋_GB2312"/>
                <w:bCs/>
                <w:sz w:val="28"/>
                <w:szCs w:val="28"/>
              </w:rPr>
            </w:pPr>
          </w:p>
        </w:tc>
        <w:tc>
          <w:tcPr>
            <w:tcW w:w="519" w:type="dxa"/>
            <w:shd w:val="clear" w:color="auto" w:fill="auto"/>
            <w:vAlign w:val="center"/>
          </w:tcPr>
          <w:p w:rsidR="00CA5AE3" w:rsidRDefault="00CA5AE3" w:rsidP="00E07285">
            <w:pPr>
              <w:spacing w:line="360" w:lineRule="auto"/>
              <w:jc w:val="center"/>
              <w:rPr>
                <w:rFonts w:ascii="仿宋_GB2312" w:hAnsi="仿宋_GB2312" w:cs="仿宋_GB2312"/>
                <w:bCs/>
                <w:sz w:val="28"/>
                <w:szCs w:val="28"/>
              </w:rPr>
            </w:pP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M</w:t>
            </w: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H</w:t>
            </w:r>
          </w:p>
        </w:tc>
        <w:tc>
          <w:tcPr>
            <w:tcW w:w="519" w:type="dxa"/>
            <w:shd w:val="clear" w:color="auto" w:fill="auto"/>
            <w:vAlign w:val="center"/>
          </w:tcPr>
          <w:p w:rsidR="00CA5AE3" w:rsidRDefault="00CA5AE3" w:rsidP="00E07285">
            <w:pPr>
              <w:tabs>
                <w:tab w:val="left" w:pos="6300"/>
              </w:tabs>
              <w:spacing w:line="360" w:lineRule="atLeast"/>
              <w:jc w:val="center"/>
              <w:rPr>
                <w:rFonts w:ascii="华文中宋" w:eastAsia="华文中宋" w:hAnsi="华文中宋" w:cs="宋体"/>
                <w:bCs/>
                <w:szCs w:val="21"/>
              </w:rPr>
            </w:pPr>
            <w:r>
              <w:rPr>
                <w:rFonts w:ascii="华文中宋" w:eastAsia="华文中宋" w:hAnsi="华文中宋" w:cs="宋体" w:hint="eastAsia"/>
                <w:bCs/>
                <w:szCs w:val="21"/>
              </w:rPr>
              <w:t>L</w:t>
            </w:r>
          </w:p>
        </w:tc>
        <w:tc>
          <w:tcPr>
            <w:tcW w:w="520" w:type="dxa"/>
            <w:shd w:val="clear" w:color="auto" w:fill="auto"/>
          </w:tcPr>
          <w:p w:rsidR="00CA5AE3" w:rsidRDefault="00CA5AE3" w:rsidP="00E07285">
            <w:pPr>
              <w:spacing w:line="360" w:lineRule="auto"/>
              <w:rPr>
                <w:rFonts w:ascii="仿宋_GB2312" w:hAnsi="仿宋_GB2312" w:cs="仿宋_GB2312"/>
                <w:bCs/>
                <w:sz w:val="28"/>
                <w:szCs w:val="28"/>
              </w:rPr>
            </w:pPr>
          </w:p>
        </w:tc>
        <w:tc>
          <w:tcPr>
            <w:tcW w:w="520" w:type="dxa"/>
            <w:shd w:val="clear" w:color="auto" w:fill="auto"/>
          </w:tcPr>
          <w:p w:rsidR="00CA5AE3" w:rsidRDefault="00CA5AE3" w:rsidP="00E07285">
            <w:pPr>
              <w:spacing w:line="360" w:lineRule="auto"/>
              <w:rPr>
                <w:rFonts w:ascii="仿宋_GB2312" w:hAnsi="仿宋_GB2312" w:cs="仿宋_GB2312"/>
                <w:bCs/>
                <w:sz w:val="28"/>
                <w:szCs w:val="28"/>
              </w:rPr>
            </w:pPr>
          </w:p>
        </w:tc>
        <w:tc>
          <w:tcPr>
            <w:tcW w:w="520" w:type="dxa"/>
            <w:shd w:val="clear" w:color="auto" w:fill="auto"/>
          </w:tcPr>
          <w:p w:rsidR="00CA5AE3" w:rsidRDefault="00CA5AE3" w:rsidP="00E07285">
            <w:pPr>
              <w:spacing w:line="360" w:lineRule="auto"/>
              <w:rPr>
                <w:rFonts w:ascii="仿宋_GB2312" w:hAnsi="仿宋_GB2312" w:cs="仿宋_GB2312"/>
                <w:bCs/>
                <w:sz w:val="28"/>
                <w:szCs w:val="28"/>
              </w:rPr>
            </w:pPr>
          </w:p>
        </w:tc>
        <w:tc>
          <w:tcPr>
            <w:tcW w:w="520" w:type="dxa"/>
            <w:shd w:val="clear" w:color="auto" w:fill="auto"/>
          </w:tcPr>
          <w:p w:rsidR="00CA5AE3" w:rsidRDefault="00CA5AE3" w:rsidP="00E07285">
            <w:pPr>
              <w:spacing w:line="360" w:lineRule="auto"/>
              <w:rPr>
                <w:rFonts w:ascii="仿宋_GB2312" w:hAnsi="仿宋_GB2312" w:cs="仿宋_GB2312"/>
                <w:bCs/>
                <w:sz w:val="28"/>
                <w:szCs w:val="28"/>
              </w:rPr>
            </w:pPr>
          </w:p>
        </w:tc>
        <w:tc>
          <w:tcPr>
            <w:tcW w:w="520" w:type="dxa"/>
            <w:shd w:val="clear" w:color="auto" w:fill="auto"/>
          </w:tcPr>
          <w:p w:rsidR="00CA5AE3" w:rsidRDefault="00CA5AE3" w:rsidP="00E07285">
            <w:pPr>
              <w:spacing w:line="360" w:lineRule="auto"/>
              <w:rPr>
                <w:rFonts w:ascii="仿宋_GB2312" w:hAnsi="仿宋_GB2312" w:cs="仿宋_GB2312"/>
                <w:bCs/>
                <w:sz w:val="28"/>
                <w:szCs w:val="28"/>
              </w:rPr>
            </w:pPr>
          </w:p>
        </w:tc>
      </w:tr>
    </w:tbl>
    <w:p w:rsidR="00CA5AE3" w:rsidRDefault="00CA5AE3" w:rsidP="00CA5AE3">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3. 课程的重点、难点</w:t>
      </w:r>
    </w:p>
    <w:p w:rsidR="00CA5AE3" w:rsidRDefault="00CA5AE3" w:rsidP="00CA5AE3">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熟练掌握水处理设备中各材料的使用条件，从而对水处理工艺过程中各设备能够进行合理选材；了解水处理设备中薄壁应力理论和弯曲应力理论，特别是对理论公式的推导能够自我完成，融会贯通在实际中学会使用该理论；通过了解水处理各设备的基本构造，熟悉水处理设备工艺原理，掌握水处理设备的适用范围和使用条件。</w:t>
      </w:r>
    </w:p>
    <w:p w:rsidR="00CA5AE3" w:rsidRDefault="00CA5AE3" w:rsidP="00CA5AE3">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4. 课程思政设计</w:t>
      </w:r>
    </w:p>
    <w:p w:rsidR="00CA5AE3" w:rsidRDefault="00CA5AE3" w:rsidP="00CA5AE3">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教师言传身教：教师是学生学习的榜样，起着潜移默化的作用，影响着他们的生活。教师的品格、知识、授课艺术、炽热的心是培养和造就人才所必须具备的基本素质。在教学中要感染学生，平等公正的对待学生，做学生的良师益友。宣传正确思想、传播科学文化知识。</w:t>
      </w:r>
    </w:p>
    <w:p w:rsidR="00CA5AE3" w:rsidRDefault="00CA5AE3" w:rsidP="00CA5AE3">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专业的有效融合：水工艺基础理论的严谨、设备传动的精妙之处、材料成分的相互组合……发掘专业课与思政课的契合点和闪光点，在专业课程中融入思政元素，努力使课堂主渠道的功能实现最大化。有意识地培养学生的工匠精神、职业素质，结合我国自主研发新材料、智能化操控等方面的成就来坚定学生的“四个自信”。</w:t>
      </w:r>
    </w:p>
    <w:p w:rsidR="00CA5AE3" w:rsidRDefault="00CA5AE3" w:rsidP="002A3242">
      <w:pPr>
        <w:spacing w:beforeLines="50" w:before="156" w:afterLines="50" w:after="156" w:line="560" w:lineRule="exact"/>
        <w:rPr>
          <w:rFonts w:ascii="仿宋_GB2312" w:hAnsi="仿宋_GB2312" w:cs="仿宋_GB2312"/>
          <w:sz w:val="28"/>
          <w:szCs w:val="28"/>
        </w:rPr>
      </w:pPr>
      <w:r>
        <w:rPr>
          <w:rFonts w:ascii="仿宋_GB2312" w:hAnsi="仿宋_GB2312" w:cs="仿宋_GB2312" w:hint="eastAsia"/>
          <w:sz w:val="28"/>
          <w:szCs w:val="28"/>
        </w:rPr>
        <w:lastRenderedPageBreak/>
        <w:t>目标的远近衔接：受市场经济的快餐文化、消费文化和社会上浮躁、急功近利之风的影响，部分学生重视成绩忽视过程、重视知识忽视素质、重视当下忽视长远，因此，培育学生认识问题和思考问题的宏大视野，教会他们敢于担当社会责任与历史使命。</w:t>
      </w:r>
    </w:p>
    <w:p w:rsidR="00CA5AE3" w:rsidRPr="002A3242" w:rsidRDefault="00CA5AE3" w:rsidP="002A3242">
      <w:pPr>
        <w:spacing w:beforeLines="50" w:before="156" w:afterLines="50" w:after="156" w:line="560" w:lineRule="exact"/>
        <w:rPr>
          <w:rFonts w:ascii="黑体" w:eastAsia="黑体" w:hAnsi="黑体"/>
          <w:b/>
          <w:sz w:val="28"/>
          <w:szCs w:val="28"/>
        </w:rPr>
      </w:pPr>
      <w:r w:rsidRPr="002A3242">
        <w:rPr>
          <w:rFonts w:ascii="黑体" w:eastAsia="黑体" w:hAnsi="黑体" w:hint="eastAsia"/>
          <w:b/>
          <w:sz w:val="28"/>
          <w:szCs w:val="28"/>
        </w:rPr>
        <w:t>四、教学内容安排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183"/>
        <w:gridCol w:w="650"/>
        <w:gridCol w:w="2737"/>
        <w:gridCol w:w="3269"/>
      </w:tblGrid>
      <w:tr w:rsidR="00CA5AE3" w:rsidTr="00E07285">
        <w:trPr>
          <w:cantSplit/>
          <w:trHeight w:val="661"/>
        </w:trPr>
        <w:tc>
          <w:tcPr>
            <w:tcW w:w="247" w:type="pct"/>
            <w:vAlign w:val="center"/>
          </w:tcPr>
          <w:p w:rsidR="00CA5AE3" w:rsidRPr="002A3242" w:rsidRDefault="00CA5AE3" w:rsidP="00E07285">
            <w:pPr>
              <w:jc w:val="center"/>
              <w:rPr>
                <w:rFonts w:ascii="仿宋_GB2312" w:hAnsi="仿宋_GB2312" w:cs="仿宋_GB2312"/>
                <w:b/>
                <w:sz w:val="24"/>
                <w:szCs w:val="24"/>
              </w:rPr>
            </w:pPr>
            <w:r w:rsidRPr="002A3242">
              <w:rPr>
                <w:rFonts w:ascii="仿宋_GB2312" w:hAnsi="仿宋_GB2312" w:cs="仿宋_GB2312" w:hint="eastAsia"/>
                <w:b/>
                <w:sz w:val="24"/>
                <w:szCs w:val="24"/>
              </w:rPr>
              <w:t>序号</w:t>
            </w:r>
          </w:p>
        </w:tc>
        <w:tc>
          <w:tcPr>
            <w:tcW w:w="720" w:type="pct"/>
            <w:vAlign w:val="center"/>
          </w:tcPr>
          <w:p w:rsidR="00CA5AE3" w:rsidRPr="002A3242" w:rsidRDefault="00CA5AE3" w:rsidP="00E07285">
            <w:pPr>
              <w:jc w:val="center"/>
              <w:rPr>
                <w:rFonts w:ascii="仿宋_GB2312" w:hAnsi="仿宋_GB2312" w:cs="仿宋_GB2312"/>
                <w:b/>
                <w:sz w:val="24"/>
                <w:szCs w:val="24"/>
              </w:rPr>
            </w:pPr>
            <w:r w:rsidRPr="002A3242">
              <w:rPr>
                <w:rFonts w:ascii="仿宋_GB2312" w:hAnsi="仿宋_GB2312" w:cs="仿宋_GB2312" w:hint="eastAsia"/>
                <w:b/>
                <w:sz w:val="24"/>
                <w:szCs w:val="24"/>
              </w:rPr>
              <w:t>章  节</w:t>
            </w:r>
          </w:p>
        </w:tc>
        <w:tc>
          <w:tcPr>
            <w:tcW w:w="399" w:type="pct"/>
            <w:vAlign w:val="center"/>
          </w:tcPr>
          <w:p w:rsidR="00CA5AE3" w:rsidRPr="002A3242" w:rsidRDefault="00CA5AE3" w:rsidP="00E07285">
            <w:pPr>
              <w:jc w:val="center"/>
              <w:rPr>
                <w:rFonts w:ascii="仿宋_GB2312" w:hAnsi="仿宋_GB2312" w:cs="仿宋_GB2312"/>
                <w:b/>
                <w:sz w:val="24"/>
                <w:szCs w:val="24"/>
              </w:rPr>
            </w:pPr>
          </w:p>
          <w:p w:rsidR="00CA5AE3" w:rsidRPr="002A3242" w:rsidRDefault="00CA5AE3" w:rsidP="00E07285">
            <w:pPr>
              <w:jc w:val="center"/>
              <w:rPr>
                <w:rFonts w:ascii="仿宋_GB2312" w:hAnsi="仿宋_GB2312" w:cs="仿宋_GB2312"/>
                <w:b/>
                <w:sz w:val="24"/>
                <w:szCs w:val="24"/>
              </w:rPr>
            </w:pPr>
            <w:r w:rsidRPr="002A3242">
              <w:rPr>
                <w:rFonts w:ascii="仿宋_GB2312" w:hAnsi="仿宋_GB2312" w:cs="仿宋_GB2312" w:hint="eastAsia"/>
                <w:b/>
                <w:sz w:val="24"/>
                <w:szCs w:val="24"/>
              </w:rPr>
              <w:t>参考学时</w:t>
            </w:r>
          </w:p>
          <w:p w:rsidR="00CA5AE3" w:rsidRPr="002A3242" w:rsidRDefault="00CA5AE3" w:rsidP="00E07285">
            <w:pPr>
              <w:jc w:val="center"/>
              <w:rPr>
                <w:rFonts w:ascii="仿宋_GB2312" w:hAnsi="仿宋_GB2312" w:cs="仿宋_GB2312"/>
                <w:b/>
                <w:sz w:val="24"/>
                <w:szCs w:val="24"/>
              </w:rPr>
            </w:pPr>
          </w:p>
        </w:tc>
        <w:tc>
          <w:tcPr>
            <w:tcW w:w="1656" w:type="pct"/>
            <w:vAlign w:val="center"/>
          </w:tcPr>
          <w:p w:rsidR="00CA5AE3" w:rsidRPr="002A3242" w:rsidRDefault="00CA5AE3" w:rsidP="00E07285">
            <w:pPr>
              <w:ind w:firstLineChars="600" w:firstLine="1446"/>
              <w:rPr>
                <w:rFonts w:ascii="仿宋_GB2312" w:hAnsi="仿宋_GB2312" w:cs="仿宋_GB2312"/>
                <w:b/>
                <w:sz w:val="24"/>
                <w:szCs w:val="24"/>
              </w:rPr>
            </w:pPr>
            <w:r w:rsidRPr="002A3242">
              <w:rPr>
                <w:rFonts w:ascii="仿宋_GB2312" w:hAnsi="仿宋_GB2312" w:cs="仿宋_GB2312" w:hint="eastAsia"/>
                <w:b/>
                <w:sz w:val="24"/>
                <w:szCs w:val="24"/>
              </w:rPr>
              <w:t>教学内容</w:t>
            </w:r>
          </w:p>
        </w:tc>
        <w:tc>
          <w:tcPr>
            <w:tcW w:w="1977" w:type="pct"/>
            <w:vAlign w:val="center"/>
          </w:tcPr>
          <w:p w:rsidR="00CA5AE3" w:rsidRPr="002A3242" w:rsidRDefault="00CA5AE3" w:rsidP="00E07285">
            <w:pPr>
              <w:jc w:val="center"/>
              <w:rPr>
                <w:rFonts w:ascii="仿宋_GB2312" w:hAnsi="仿宋_GB2312" w:cs="仿宋_GB2312"/>
                <w:b/>
                <w:sz w:val="24"/>
                <w:szCs w:val="24"/>
              </w:rPr>
            </w:pPr>
            <w:r w:rsidRPr="002A3242">
              <w:rPr>
                <w:rFonts w:ascii="仿宋_GB2312" w:hAnsi="仿宋_GB2312" w:cs="仿宋_GB2312" w:hint="eastAsia"/>
                <w:b/>
                <w:sz w:val="24"/>
                <w:szCs w:val="24"/>
              </w:rPr>
              <w:t>基本要求</w:t>
            </w:r>
          </w:p>
        </w:tc>
      </w:tr>
      <w:tr w:rsidR="00CA5AE3" w:rsidTr="00E07285">
        <w:trPr>
          <w:trHeight w:val="3725"/>
        </w:trPr>
        <w:tc>
          <w:tcPr>
            <w:tcW w:w="247"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1</w:t>
            </w:r>
          </w:p>
        </w:tc>
        <w:tc>
          <w:tcPr>
            <w:tcW w:w="720"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第一章</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绪论</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第二章</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水工艺设备常用材料</w:t>
            </w:r>
          </w:p>
        </w:tc>
        <w:tc>
          <w:tcPr>
            <w:tcW w:w="399"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2</w:t>
            </w:r>
          </w:p>
        </w:tc>
        <w:tc>
          <w:tcPr>
            <w:tcW w:w="1656"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绪论</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第一章 水工艺设备常用材料</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第一节 金属材料</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第二节 无机非金属材料</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第三节 高分子材料</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第四节 复合材料</w:t>
            </w:r>
          </w:p>
          <w:p w:rsidR="00CA5AE3" w:rsidRPr="002A3242" w:rsidRDefault="00CA5AE3" w:rsidP="00E07285">
            <w:pPr>
              <w:ind w:firstLineChars="100" w:firstLine="240"/>
              <w:rPr>
                <w:rFonts w:ascii="仿宋_GB2312" w:hAnsi="仿宋_GB2312" w:cs="仿宋_GB2312"/>
                <w:sz w:val="24"/>
                <w:szCs w:val="24"/>
              </w:rPr>
            </w:pPr>
          </w:p>
        </w:tc>
        <w:tc>
          <w:tcPr>
            <w:tcW w:w="1977"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1、熟悉水处理中材料基本性能</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2、掌握水处理中各材料的使用条件。</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3、了解水处理工艺过程中如何合理选材。</w:t>
            </w:r>
          </w:p>
        </w:tc>
      </w:tr>
      <w:tr w:rsidR="00CA5AE3" w:rsidTr="00E07285">
        <w:trPr>
          <w:trHeight w:val="2203"/>
        </w:trPr>
        <w:tc>
          <w:tcPr>
            <w:tcW w:w="247" w:type="pct"/>
            <w:vAlign w:val="center"/>
          </w:tcPr>
          <w:p w:rsidR="00CA5AE3" w:rsidRPr="002A3242" w:rsidRDefault="00CA5AE3" w:rsidP="00E07285">
            <w:pPr>
              <w:rPr>
                <w:rFonts w:ascii="仿宋_GB2312" w:hAnsi="仿宋_GB2312" w:cs="仿宋_GB2312"/>
                <w:sz w:val="24"/>
                <w:szCs w:val="24"/>
              </w:rPr>
            </w:pP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2</w:t>
            </w:r>
          </w:p>
        </w:tc>
        <w:tc>
          <w:tcPr>
            <w:tcW w:w="720"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第二章</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材料设备的腐蚀、防护与保温</w:t>
            </w:r>
          </w:p>
        </w:tc>
        <w:tc>
          <w:tcPr>
            <w:tcW w:w="399"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2</w:t>
            </w:r>
          </w:p>
        </w:tc>
        <w:tc>
          <w:tcPr>
            <w:tcW w:w="1656" w:type="pct"/>
            <w:vAlign w:val="center"/>
          </w:tcPr>
          <w:p w:rsidR="00CA5AE3" w:rsidRPr="002A3242" w:rsidRDefault="00CA5AE3" w:rsidP="00E07285">
            <w:pPr>
              <w:ind w:left="960" w:hangingChars="400" w:hanging="960"/>
              <w:rPr>
                <w:rFonts w:ascii="仿宋_GB2312" w:hAnsi="仿宋_GB2312" w:cs="仿宋_GB2312"/>
                <w:sz w:val="24"/>
                <w:szCs w:val="24"/>
              </w:rPr>
            </w:pPr>
            <w:r w:rsidRPr="002A3242">
              <w:rPr>
                <w:rFonts w:ascii="仿宋_GB2312" w:hAnsi="仿宋_GB2312" w:cs="仿宋_GB2312" w:hint="eastAsia"/>
                <w:sz w:val="24"/>
                <w:szCs w:val="24"/>
              </w:rPr>
              <w:t>第二章材料设备的腐蚀、防护与保温</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第一节 材料设备的腐蚀与防护</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第二节 设备的保温</w:t>
            </w:r>
          </w:p>
          <w:p w:rsidR="00CA5AE3" w:rsidRPr="002A3242" w:rsidRDefault="00CA5AE3" w:rsidP="00E07285">
            <w:pPr>
              <w:ind w:firstLineChars="100" w:firstLine="240"/>
              <w:rPr>
                <w:rFonts w:ascii="仿宋_GB2312" w:hAnsi="仿宋_GB2312" w:cs="仿宋_GB2312"/>
                <w:sz w:val="24"/>
                <w:szCs w:val="24"/>
              </w:rPr>
            </w:pPr>
          </w:p>
        </w:tc>
        <w:tc>
          <w:tcPr>
            <w:tcW w:w="1977"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1、熟悉各设备腐蚀的原理和控制措施。</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2、掌握设备保温的具体措施。</w:t>
            </w:r>
          </w:p>
        </w:tc>
      </w:tr>
      <w:tr w:rsidR="00CA5AE3" w:rsidTr="00E07285">
        <w:trPr>
          <w:trHeight w:val="2324"/>
        </w:trPr>
        <w:tc>
          <w:tcPr>
            <w:tcW w:w="247"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3</w:t>
            </w:r>
          </w:p>
        </w:tc>
        <w:tc>
          <w:tcPr>
            <w:tcW w:w="720"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第三章</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水工艺设备理论基础</w:t>
            </w:r>
          </w:p>
        </w:tc>
        <w:tc>
          <w:tcPr>
            <w:tcW w:w="399"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2</w:t>
            </w:r>
          </w:p>
        </w:tc>
        <w:tc>
          <w:tcPr>
            <w:tcW w:w="1656"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第三章  水工艺设备理论基础</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第一节  容器应力理论</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第二节  机械传动理论</w:t>
            </w:r>
          </w:p>
          <w:p w:rsidR="00CA5AE3" w:rsidRPr="002A3242" w:rsidRDefault="00CA5AE3" w:rsidP="00E07285">
            <w:pPr>
              <w:ind w:firstLineChars="100" w:firstLine="240"/>
              <w:rPr>
                <w:rFonts w:ascii="仿宋_GB2312" w:hAnsi="仿宋_GB2312" w:cs="仿宋_GB2312"/>
                <w:sz w:val="24"/>
                <w:szCs w:val="24"/>
              </w:rPr>
            </w:pPr>
          </w:p>
        </w:tc>
        <w:tc>
          <w:tcPr>
            <w:tcW w:w="1977"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1、掌握水处理设备当中薄壁应力理论和弯曲应力理论。</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2、了解个应力理论公式的推导和发展。</w:t>
            </w:r>
          </w:p>
          <w:p w:rsidR="00CA5AE3" w:rsidRPr="002A3242" w:rsidRDefault="00CA5AE3" w:rsidP="00E07285">
            <w:pPr>
              <w:rPr>
                <w:rFonts w:ascii="仿宋_GB2312" w:hAnsi="仿宋_GB2312" w:cs="仿宋_GB2312"/>
                <w:sz w:val="24"/>
                <w:szCs w:val="24"/>
              </w:rPr>
            </w:pPr>
          </w:p>
        </w:tc>
      </w:tr>
      <w:tr w:rsidR="00CA5AE3" w:rsidTr="00E07285">
        <w:trPr>
          <w:trHeight w:val="1380"/>
        </w:trPr>
        <w:tc>
          <w:tcPr>
            <w:tcW w:w="247"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lastRenderedPageBreak/>
              <w:t>4</w:t>
            </w:r>
          </w:p>
        </w:tc>
        <w:tc>
          <w:tcPr>
            <w:tcW w:w="720"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第三章</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水工艺设备理论基础</w:t>
            </w:r>
          </w:p>
        </w:tc>
        <w:tc>
          <w:tcPr>
            <w:tcW w:w="399"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2</w:t>
            </w:r>
          </w:p>
        </w:tc>
        <w:tc>
          <w:tcPr>
            <w:tcW w:w="1656"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第三章  水工艺设备理论基础</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第三节 机械制造工艺</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第四节 热量传递与交换理论</w:t>
            </w:r>
          </w:p>
        </w:tc>
        <w:tc>
          <w:tcPr>
            <w:tcW w:w="1977"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1、掌握机械制造工艺的流程。</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2、熟悉热传递与交换的理论、推导及发展。</w:t>
            </w:r>
          </w:p>
        </w:tc>
      </w:tr>
      <w:tr w:rsidR="00CA5AE3" w:rsidTr="00E07285">
        <w:trPr>
          <w:trHeight w:val="1269"/>
        </w:trPr>
        <w:tc>
          <w:tcPr>
            <w:tcW w:w="247"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5</w:t>
            </w:r>
          </w:p>
        </w:tc>
        <w:tc>
          <w:tcPr>
            <w:tcW w:w="720"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第四章 水工艺设备的分类</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第五章 容器（塔）设备</w:t>
            </w:r>
          </w:p>
        </w:tc>
        <w:tc>
          <w:tcPr>
            <w:tcW w:w="399"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2</w:t>
            </w:r>
          </w:p>
        </w:tc>
        <w:tc>
          <w:tcPr>
            <w:tcW w:w="1656"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第四章 水工艺设备的分类</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第一节 通用机械设备</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第二节 专用设备</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第五章 容器（塔）设备</w:t>
            </w:r>
          </w:p>
          <w:p w:rsidR="00CA5AE3" w:rsidRPr="002A3242" w:rsidRDefault="00CA5AE3" w:rsidP="005F6318">
            <w:pPr>
              <w:numPr>
                <w:ilvl w:val="0"/>
                <w:numId w:val="36"/>
              </w:numPr>
              <w:rPr>
                <w:rFonts w:ascii="仿宋_GB2312" w:hAnsi="仿宋_GB2312" w:cs="仿宋_GB2312"/>
                <w:sz w:val="24"/>
                <w:szCs w:val="24"/>
              </w:rPr>
            </w:pPr>
            <w:r w:rsidRPr="002A3242">
              <w:rPr>
                <w:rFonts w:ascii="仿宋_GB2312" w:hAnsi="仿宋_GB2312" w:cs="仿宋_GB2312" w:hint="eastAsia"/>
                <w:sz w:val="24"/>
                <w:szCs w:val="24"/>
              </w:rPr>
              <w:t>压力容器法兰</w:t>
            </w:r>
          </w:p>
          <w:p w:rsidR="00CA5AE3" w:rsidRPr="002A3242" w:rsidRDefault="00CA5AE3" w:rsidP="005F6318">
            <w:pPr>
              <w:numPr>
                <w:ilvl w:val="0"/>
                <w:numId w:val="36"/>
              </w:numPr>
              <w:rPr>
                <w:rFonts w:ascii="仿宋_GB2312" w:hAnsi="仿宋_GB2312" w:cs="仿宋_GB2312"/>
                <w:sz w:val="24"/>
                <w:szCs w:val="24"/>
              </w:rPr>
            </w:pPr>
            <w:r w:rsidRPr="002A3242">
              <w:rPr>
                <w:rFonts w:ascii="仿宋_GB2312" w:hAnsi="仿宋_GB2312" w:cs="仿宋_GB2312" w:hint="eastAsia"/>
                <w:sz w:val="24"/>
                <w:szCs w:val="24"/>
              </w:rPr>
              <w:t>管法兰</w:t>
            </w:r>
          </w:p>
          <w:p w:rsidR="00CA5AE3" w:rsidRPr="002A3242" w:rsidRDefault="00CA5AE3" w:rsidP="005F6318">
            <w:pPr>
              <w:numPr>
                <w:ilvl w:val="0"/>
                <w:numId w:val="36"/>
              </w:numPr>
              <w:rPr>
                <w:rFonts w:ascii="仿宋_GB2312" w:hAnsi="仿宋_GB2312" w:cs="仿宋_GB2312"/>
                <w:sz w:val="24"/>
                <w:szCs w:val="24"/>
              </w:rPr>
            </w:pPr>
            <w:r w:rsidRPr="002A3242">
              <w:rPr>
                <w:rFonts w:ascii="仿宋_GB2312" w:hAnsi="仿宋_GB2312" w:cs="仿宋_GB2312" w:hint="eastAsia"/>
                <w:sz w:val="24"/>
                <w:szCs w:val="24"/>
              </w:rPr>
              <w:t>支座</w:t>
            </w:r>
          </w:p>
          <w:p w:rsidR="00CA5AE3" w:rsidRPr="002A3242" w:rsidRDefault="00CA5AE3" w:rsidP="005F6318">
            <w:pPr>
              <w:numPr>
                <w:ilvl w:val="0"/>
                <w:numId w:val="36"/>
              </w:numPr>
              <w:rPr>
                <w:rFonts w:ascii="仿宋_GB2312" w:hAnsi="仿宋_GB2312" w:cs="仿宋_GB2312"/>
                <w:sz w:val="24"/>
                <w:szCs w:val="24"/>
              </w:rPr>
            </w:pPr>
            <w:r w:rsidRPr="002A3242">
              <w:rPr>
                <w:rFonts w:ascii="仿宋_GB2312" w:hAnsi="仿宋_GB2312" w:cs="仿宋_GB2312" w:hint="eastAsia"/>
                <w:sz w:val="24"/>
                <w:szCs w:val="24"/>
              </w:rPr>
              <w:t>安全泄放装置</w:t>
            </w:r>
          </w:p>
          <w:p w:rsidR="00CA5AE3" w:rsidRPr="002A3242" w:rsidRDefault="00CA5AE3" w:rsidP="005F6318">
            <w:pPr>
              <w:numPr>
                <w:ilvl w:val="0"/>
                <w:numId w:val="36"/>
              </w:numPr>
              <w:rPr>
                <w:rFonts w:ascii="仿宋_GB2312" w:hAnsi="仿宋_GB2312" w:cs="仿宋_GB2312"/>
                <w:sz w:val="24"/>
                <w:szCs w:val="24"/>
              </w:rPr>
            </w:pPr>
            <w:r w:rsidRPr="002A3242">
              <w:rPr>
                <w:rFonts w:ascii="仿宋_GB2312" w:hAnsi="仿宋_GB2312" w:cs="仿宋_GB2312" w:hint="eastAsia"/>
                <w:sz w:val="24"/>
                <w:szCs w:val="24"/>
              </w:rPr>
              <w:t>填料及其支撑装置</w:t>
            </w:r>
          </w:p>
          <w:p w:rsidR="00CA5AE3" w:rsidRPr="002A3242" w:rsidRDefault="00CA5AE3" w:rsidP="005F6318">
            <w:pPr>
              <w:numPr>
                <w:ilvl w:val="0"/>
                <w:numId w:val="36"/>
              </w:numPr>
              <w:rPr>
                <w:rFonts w:ascii="仿宋_GB2312" w:hAnsi="仿宋_GB2312" w:cs="仿宋_GB2312"/>
                <w:sz w:val="24"/>
                <w:szCs w:val="24"/>
              </w:rPr>
            </w:pPr>
            <w:r w:rsidRPr="002A3242">
              <w:rPr>
                <w:rFonts w:ascii="仿宋_GB2312" w:hAnsi="仿宋_GB2312" w:cs="仿宋_GB2312" w:hint="eastAsia"/>
                <w:sz w:val="24"/>
                <w:szCs w:val="24"/>
              </w:rPr>
              <w:t>布水（气、汽）装置</w:t>
            </w:r>
          </w:p>
        </w:tc>
        <w:tc>
          <w:tcPr>
            <w:tcW w:w="1977"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1、熟悉水处理设备工艺原理。</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2、掌握水处理设备的适用范围和使用条件。</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3、了解水处理设备的基本构造。</w:t>
            </w:r>
          </w:p>
          <w:p w:rsidR="00CA5AE3" w:rsidRPr="002A3242" w:rsidRDefault="00CA5AE3" w:rsidP="00E07285">
            <w:pPr>
              <w:rPr>
                <w:rFonts w:ascii="仿宋_GB2312" w:hAnsi="仿宋_GB2312" w:cs="仿宋_GB2312"/>
                <w:sz w:val="24"/>
                <w:szCs w:val="24"/>
              </w:rPr>
            </w:pPr>
          </w:p>
        </w:tc>
      </w:tr>
      <w:tr w:rsidR="00CA5AE3" w:rsidTr="00E07285">
        <w:trPr>
          <w:trHeight w:val="990"/>
        </w:trPr>
        <w:tc>
          <w:tcPr>
            <w:tcW w:w="247"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6</w:t>
            </w:r>
          </w:p>
        </w:tc>
        <w:tc>
          <w:tcPr>
            <w:tcW w:w="720"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第六章</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搅拌设备</w:t>
            </w:r>
          </w:p>
          <w:p w:rsidR="00CA5AE3" w:rsidRPr="002A3242" w:rsidRDefault="00CA5AE3" w:rsidP="00E07285">
            <w:pPr>
              <w:jc w:val="center"/>
              <w:rPr>
                <w:rFonts w:ascii="仿宋_GB2312" w:hAnsi="仿宋_GB2312" w:cs="仿宋_GB2312"/>
                <w:sz w:val="24"/>
                <w:szCs w:val="24"/>
              </w:rPr>
            </w:pPr>
          </w:p>
        </w:tc>
        <w:tc>
          <w:tcPr>
            <w:tcW w:w="399"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2</w:t>
            </w:r>
          </w:p>
        </w:tc>
        <w:tc>
          <w:tcPr>
            <w:tcW w:w="1656"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第六章 搅拌设备</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第一节  搅拌设备的用途及分类</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第二节  机械搅拌设备结构及其工作原理</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第三节  水处理工艺中常用的机械搅拌设备</w:t>
            </w:r>
          </w:p>
          <w:p w:rsidR="00CA5AE3" w:rsidRPr="002A3242" w:rsidRDefault="00CA5AE3" w:rsidP="00E07285">
            <w:pPr>
              <w:rPr>
                <w:rFonts w:ascii="仿宋_GB2312" w:hAnsi="仿宋_GB2312" w:cs="仿宋_GB2312"/>
                <w:sz w:val="24"/>
                <w:szCs w:val="24"/>
              </w:rPr>
            </w:pPr>
          </w:p>
        </w:tc>
        <w:tc>
          <w:tcPr>
            <w:tcW w:w="1977"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1、熟悉水处理设备工艺原理。</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2、掌握水处理设备的适用范围和使用条件。</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3、了解水处理设备的基本构造。</w:t>
            </w:r>
          </w:p>
          <w:p w:rsidR="00CA5AE3" w:rsidRPr="002A3242" w:rsidRDefault="00CA5AE3" w:rsidP="00E07285">
            <w:pPr>
              <w:rPr>
                <w:rFonts w:ascii="仿宋_GB2312" w:hAnsi="仿宋_GB2312" w:cs="仿宋_GB2312"/>
                <w:sz w:val="24"/>
                <w:szCs w:val="24"/>
              </w:rPr>
            </w:pPr>
          </w:p>
        </w:tc>
      </w:tr>
      <w:tr w:rsidR="00CA5AE3" w:rsidTr="00E07285">
        <w:trPr>
          <w:trHeight w:val="990"/>
        </w:trPr>
        <w:tc>
          <w:tcPr>
            <w:tcW w:w="247"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7</w:t>
            </w:r>
          </w:p>
        </w:tc>
        <w:tc>
          <w:tcPr>
            <w:tcW w:w="720"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第七章 曝气设备</w:t>
            </w:r>
          </w:p>
        </w:tc>
        <w:tc>
          <w:tcPr>
            <w:tcW w:w="399"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2</w:t>
            </w:r>
          </w:p>
        </w:tc>
        <w:tc>
          <w:tcPr>
            <w:tcW w:w="1656"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第七章 曝气设备</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第一节  曝气设备的用途及分类</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第二节 表面曝气设备</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第三节 空气压缩机与鼓风机</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第四节 鼓风曝气设备</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第五节 水下曝气设备</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第六节 其他曝气方式</w:t>
            </w:r>
          </w:p>
        </w:tc>
        <w:tc>
          <w:tcPr>
            <w:tcW w:w="1977"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1、熟悉水处理设备工艺原理。</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2、掌握水处理设备的适用范围和使用条件。</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3、了解水处理设备的基本构造。</w:t>
            </w:r>
          </w:p>
          <w:p w:rsidR="00CA5AE3" w:rsidRPr="002A3242" w:rsidRDefault="00CA5AE3" w:rsidP="00E07285">
            <w:pPr>
              <w:rPr>
                <w:rFonts w:ascii="仿宋_GB2312" w:hAnsi="仿宋_GB2312" w:cs="仿宋_GB2312"/>
                <w:sz w:val="24"/>
                <w:szCs w:val="24"/>
              </w:rPr>
            </w:pPr>
          </w:p>
        </w:tc>
      </w:tr>
      <w:tr w:rsidR="00CA5AE3" w:rsidTr="00E07285">
        <w:trPr>
          <w:trHeight w:val="1244"/>
        </w:trPr>
        <w:tc>
          <w:tcPr>
            <w:tcW w:w="247"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8</w:t>
            </w:r>
          </w:p>
        </w:tc>
        <w:tc>
          <w:tcPr>
            <w:tcW w:w="720"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第八章</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换热设备</w:t>
            </w:r>
          </w:p>
          <w:p w:rsidR="00CA5AE3" w:rsidRPr="002A3242" w:rsidRDefault="00CA5AE3" w:rsidP="00E07285">
            <w:pPr>
              <w:jc w:val="center"/>
              <w:rPr>
                <w:rFonts w:ascii="仿宋_GB2312" w:hAnsi="仿宋_GB2312" w:cs="仿宋_GB2312"/>
                <w:sz w:val="24"/>
                <w:szCs w:val="24"/>
              </w:rPr>
            </w:pPr>
          </w:p>
        </w:tc>
        <w:tc>
          <w:tcPr>
            <w:tcW w:w="399"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2</w:t>
            </w:r>
          </w:p>
        </w:tc>
        <w:tc>
          <w:tcPr>
            <w:tcW w:w="1656"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第八章 换热设备</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第一节 换热设备的功能和分类</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第二节 常用换热器的结构和特点</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第三节 换热器的适用条件和选型</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 xml:space="preserve">  第四节 换热器计算</w:t>
            </w:r>
          </w:p>
        </w:tc>
        <w:tc>
          <w:tcPr>
            <w:tcW w:w="1977"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1、熟悉水处理设备工艺原理。</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2、掌握水处理设备的适用范围和使用条件。</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3、了解水处理设备的基本构造。</w:t>
            </w:r>
          </w:p>
          <w:p w:rsidR="00CA5AE3" w:rsidRPr="002A3242" w:rsidRDefault="00CA5AE3" w:rsidP="00E07285">
            <w:pPr>
              <w:rPr>
                <w:rFonts w:ascii="仿宋_GB2312" w:hAnsi="仿宋_GB2312" w:cs="仿宋_GB2312"/>
                <w:sz w:val="24"/>
                <w:szCs w:val="24"/>
              </w:rPr>
            </w:pPr>
          </w:p>
        </w:tc>
      </w:tr>
      <w:tr w:rsidR="00CA5AE3" w:rsidTr="00E07285">
        <w:trPr>
          <w:trHeight w:val="1244"/>
        </w:trPr>
        <w:tc>
          <w:tcPr>
            <w:tcW w:w="247"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lastRenderedPageBreak/>
              <w:t>9</w:t>
            </w:r>
          </w:p>
        </w:tc>
        <w:tc>
          <w:tcPr>
            <w:tcW w:w="720"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第九章</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分离设备</w:t>
            </w:r>
          </w:p>
        </w:tc>
        <w:tc>
          <w:tcPr>
            <w:tcW w:w="399" w:type="pct"/>
            <w:vAlign w:val="center"/>
          </w:tcPr>
          <w:p w:rsidR="00CA5AE3" w:rsidRPr="002A3242" w:rsidRDefault="00CA5AE3" w:rsidP="00E07285">
            <w:pPr>
              <w:jc w:val="center"/>
              <w:rPr>
                <w:rFonts w:ascii="仿宋_GB2312" w:hAnsi="仿宋_GB2312" w:cs="仿宋_GB2312"/>
                <w:sz w:val="24"/>
                <w:szCs w:val="24"/>
              </w:rPr>
            </w:pPr>
          </w:p>
        </w:tc>
        <w:tc>
          <w:tcPr>
            <w:tcW w:w="1656"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第九章 分离设备</w:t>
            </w:r>
          </w:p>
          <w:p w:rsidR="00CA5AE3" w:rsidRPr="002A3242" w:rsidRDefault="00CA5AE3" w:rsidP="00E07285">
            <w:pPr>
              <w:ind w:leftChars="100" w:left="320" w:firstLine="1"/>
              <w:rPr>
                <w:rFonts w:ascii="仿宋_GB2312" w:hAnsi="仿宋_GB2312" w:cs="仿宋_GB2312"/>
                <w:sz w:val="24"/>
                <w:szCs w:val="24"/>
              </w:rPr>
            </w:pPr>
            <w:r w:rsidRPr="002A3242">
              <w:rPr>
                <w:rFonts w:ascii="仿宋_GB2312" w:hAnsi="仿宋_GB2312" w:cs="仿宋_GB2312" w:hint="eastAsia"/>
                <w:sz w:val="24"/>
                <w:szCs w:val="24"/>
              </w:rPr>
              <w:t>第一节 分离设备的用途及分类</w:t>
            </w:r>
          </w:p>
          <w:p w:rsidR="00CA5AE3" w:rsidRPr="002A3242" w:rsidRDefault="00CA5AE3" w:rsidP="00E07285">
            <w:pPr>
              <w:ind w:leftChars="-33" w:left="-106" w:firstLine="284"/>
              <w:rPr>
                <w:rFonts w:ascii="仿宋_GB2312" w:hAnsi="仿宋_GB2312" w:cs="仿宋_GB2312"/>
                <w:sz w:val="24"/>
                <w:szCs w:val="24"/>
              </w:rPr>
            </w:pPr>
            <w:r w:rsidRPr="002A3242">
              <w:rPr>
                <w:rFonts w:ascii="仿宋_GB2312" w:hAnsi="仿宋_GB2312" w:cs="仿宋_GB2312" w:hint="eastAsia"/>
                <w:sz w:val="24"/>
                <w:szCs w:val="24"/>
              </w:rPr>
              <w:t>第二节 气浮分离设备</w:t>
            </w:r>
          </w:p>
          <w:p w:rsidR="00CA5AE3" w:rsidRPr="002A3242" w:rsidRDefault="00CA5AE3" w:rsidP="00E07285">
            <w:pPr>
              <w:ind w:leftChars="-33" w:left="-106" w:firstLine="284"/>
              <w:rPr>
                <w:rFonts w:ascii="仿宋_GB2312" w:hAnsi="仿宋_GB2312" w:cs="仿宋_GB2312"/>
                <w:sz w:val="24"/>
                <w:szCs w:val="24"/>
              </w:rPr>
            </w:pPr>
            <w:r w:rsidRPr="002A3242">
              <w:rPr>
                <w:rFonts w:ascii="仿宋_GB2312" w:hAnsi="仿宋_GB2312" w:cs="仿宋_GB2312" w:hint="eastAsia"/>
                <w:sz w:val="24"/>
                <w:szCs w:val="24"/>
              </w:rPr>
              <w:t>第三节 筛滤设备</w:t>
            </w:r>
          </w:p>
          <w:p w:rsidR="00CA5AE3" w:rsidRPr="002A3242" w:rsidRDefault="00CA5AE3" w:rsidP="00E07285">
            <w:pPr>
              <w:ind w:leftChars="-33" w:left="-106" w:firstLine="284"/>
              <w:rPr>
                <w:rFonts w:ascii="仿宋_GB2312" w:hAnsi="仿宋_GB2312" w:cs="仿宋_GB2312"/>
                <w:sz w:val="24"/>
                <w:szCs w:val="24"/>
              </w:rPr>
            </w:pPr>
            <w:r w:rsidRPr="002A3242">
              <w:rPr>
                <w:rFonts w:ascii="仿宋_GB2312" w:hAnsi="仿宋_GB2312" w:cs="仿宋_GB2312" w:hint="eastAsia"/>
                <w:sz w:val="24"/>
                <w:szCs w:val="24"/>
              </w:rPr>
              <w:t>第四节 膜分离设备</w:t>
            </w:r>
          </w:p>
          <w:p w:rsidR="00CA5AE3" w:rsidRPr="002A3242" w:rsidRDefault="00CA5AE3" w:rsidP="00E07285">
            <w:pPr>
              <w:ind w:leftChars="-33" w:left="-106" w:firstLine="284"/>
              <w:rPr>
                <w:rFonts w:ascii="仿宋_GB2312" w:hAnsi="仿宋_GB2312" w:cs="仿宋_GB2312"/>
                <w:sz w:val="24"/>
                <w:szCs w:val="24"/>
              </w:rPr>
            </w:pPr>
            <w:r w:rsidRPr="002A3242">
              <w:rPr>
                <w:rFonts w:ascii="仿宋_GB2312" w:hAnsi="仿宋_GB2312" w:cs="仿宋_GB2312" w:hint="eastAsia"/>
                <w:sz w:val="24"/>
                <w:szCs w:val="24"/>
              </w:rPr>
              <w:t>第五节 其他分离设备</w:t>
            </w:r>
          </w:p>
        </w:tc>
        <w:tc>
          <w:tcPr>
            <w:tcW w:w="1977"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1、熟悉水处理设备工艺原理。</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2、掌握水处理设备的适用范围和使用条件。</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3、了解水处理设备的基本构造。</w:t>
            </w:r>
          </w:p>
          <w:p w:rsidR="00CA5AE3" w:rsidRPr="002A3242" w:rsidRDefault="00CA5AE3" w:rsidP="00E07285">
            <w:pPr>
              <w:rPr>
                <w:rFonts w:ascii="仿宋_GB2312" w:hAnsi="仿宋_GB2312" w:cs="仿宋_GB2312"/>
                <w:sz w:val="24"/>
                <w:szCs w:val="24"/>
              </w:rPr>
            </w:pPr>
          </w:p>
        </w:tc>
      </w:tr>
      <w:tr w:rsidR="00CA5AE3" w:rsidTr="00E07285">
        <w:trPr>
          <w:trHeight w:val="1244"/>
        </w:trPr>
        <w:tc>
          <w:tcPr>
            <w:tcW w:w="247"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10</w:t>
            </w:r>
          </w:p>
        </w:tc>
        <w:tc>
          <w:tcPr>
            <w:tcW w:w="720"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第十章</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污泥处置设备</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第十一章</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计量与投药设备</w:t>
            </w:r>
          </w:p>
          <w:p w:rsidR="00CA5AE3" w:rsidRPr="002A3242" w:rsidRDefault="00CA5AE3" w:rsidP="00E07285">
            <w:pPr>
              <w:rPr>
                <w:rFonts w:ascii="仿宋_GB2312" w:hAnsi="仿宋_GB2312" w:cs="仿宋_GB2312"/>
                <w:sz w:val="24"/>
                <w:szCs w:val="24"/>
              </w:rPr>
            </w:pPr>
          </w:p>
        </w:tc>
        <w:tc>
          <w:tcPr>
            <w:tcW w:w="399" w:type="pct"/>
            <w:vAlign w:val="center"/>
          </w:tcPr>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2</w:t>
            </w:r>
          </w:p>
        </w:tc>
        <w:tc>
          <w:tcPr>
            <w:tcW w:w="1656"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第十章 污泥处置设备</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第一节 排泥设备</w:t>
            </w:r>
          </w:p>
          <w:p w:rsidR="00CA5AE3" w:rsidRPr="002A3242" w:rsidRDefault="00CA5AE3" w:rsidP="00E07285">
            <w:pPr>
              <w:ind w:firstLineChars="100" w:firstLine="240"/>
              <w:rPr>
                <w:rFonts w:ascii="仿宋_GB2312" w:hAnsi="仿宋_GB2312" w:cs="仿宋_GB2312"/>
                <w:sz w:val="24"/>
                <w:szCs w:val="24"/>
              </w:rPr>
            </w:pPr>
            <w:r w:rsidRPr="002A3242">
              <w:rPr>
                <w:rFonts w:ascii="仿宋_GB2312" w:hAnsi="仿宋_GB2312" w:cs="仿宋_GB2312" w:hint="eastAsia"/>
                <w:sz w:val="24"/>
                <w:szCs w:val="24"/>
              </w:rPr>
              <w:t>第二节 污泥浓缩与脱水设备</w:t>
            </w:r>
          </w:p>
          <w:p w:rsidR="00CA5AE3" w:rsidRPr="002A3242" w:rsidRDefault="00CA5AE3" w:rsidP="00E07285">
            <w:pPr>
              <w:jc w:val="center"/>
              <w:rPr>
                <w:rFonts w:ascii="仿宋_GB2312" w:hAnsi="仿宋_GB2312" w:cs="仿宋_GB2312"/>
                <w:sz w:val="24"/>
                <w:szCs w:val="24"/>
              </w:rPr>
            </w:pPr>
            <w:r w:rsidRPr="002A3242">
              <w:rPr>
                <w:rFonts w:ascii="仿宋_GB2312" w:hAnsi="仿宋_GB2312" w:cs="仿宋_GB2312" w:hint="eastAsia"/>
                <w:sz w:val="24"/>
                <w:szCs w:val="24"/>
              </w:rPr>
              <w:t>第十一章 计量与投药设备</w:t>
            </w:r>
          </w:p>
          <w:p w:rsidR="00CA5AE3" w:rsidRPr="002A3242" w:rsidRDefault="00CA5AE3" w:rsidP="005F6318">
            <w:pPr>
              <w:numPr>
                <w:ilvl w:val="0"/>
                <w:numId w:val="37"/>
              </w:numPr>
              <w:rPr>
                <w:rFonts w:ascii="仿宋_GB2312" w:hAnsi="仿宋_GB2312" w:cs="仿宋_GB2312"/>
                <w:sz w:val="24"/>
                <w:szCs w:val="24"/>
              </w:rPr>
            </w:pPr>
            <w:r w:rsidRPr="002A3242">
              <w:rPr>
                <w:rFonts w:ascii="仿宋_GB2312" w:hAnsi="仿宋_GB2312" w:cs="仿宋_GB2312" w:hint="eastAsia"/>
                <w:sz w:val="24"/>
                <w:szCs w:val="24"/>
              </w:rPr>
              <w:t>计量设备</w:t>
            </w:r>
          </w:p>
          <w:p w:rsidR="00CA5AE3" w:rsidRPr="002A3242" w:rsidRDefault="00CA5AE3" w:rsidP="005F6318">
            <w:pPr>
              <w:numPr>
                <w:ilvl w:val="0"/>
                <w:numId w:val="37"/>
              </w:numPr>
              <w:rPr>
                <w:rFonts w:ascii="仿宋_GB2312" w:hAnsi="仿宋_GB2312" w:cs="仿宋_GB2312"/>
                <w:sz w:val="24"/>
                <w:szCs w:val="24"/>
              </w:rPr>
            </w:pPr>
            <w:r w:rsidRPr="002A3242">
              <w:rPr>
                <w:rFonts w:ascii="仿宋_GB2312" w:hAnsi="仿宋_GB2312" w:cs="仿宋_GB2312" w:hint="eastAsia"/>
                <w:sz w:val="24"/>
                <w:szCs w:val="24"/>
              </w:rPr>
              <w:t>投加设备</w:t>
            </w:r>
          </w:p>
        </w:tc>
        <w:tc>
          <w:tcPr>
            <w:tcW w:w="1977" w:type="pct"/>
            <w:vAlign w:val="center"/>
          </w:tcPr>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1、熟悉水处理设备工艺原理。</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2、掌握水处理设备的适用范围和使用条件。</w:t>
            </w:r>
          </w:p>
          <w:p w:rsidR="00CA5AE3" w:rsidRPr="002A3242" w:rsidRDefault="00CA5AE3" w:rsidP="00E07285">
            <w:pPr>
              <w:rPr>
                <w:rFonts w:ascii="仿宋_GB2312" w:hAnsi="仿宋_GB2312" w:cs="仿宋_GB2312"/>
                <w:sz w:val="24"/>
                <w:szCs w:val="24"/>
              </w:rPr>
            </w:pPr>
            <w:r w:rsidRPr="002A3242">
              <w:rPr>
                <w:rFonts w:ascii="仿宋_GB2312" w:hAnsi="仿宋_GB2312" w:cs="仿宋_GB2312" w:hint="eastAsia"/>
                <w:sz w:val="24"/>
                <w:szCs w:val="24"/>
              </w:rPr>
              <w:t>3、了解水处理设备的基本构造。</w:t>
            </w:r>
          </w:p>
          <w:p w:rsidR="00CA5AE3" w:rsidRPr="002A3242" w:rsidRDefault="00CA5AE3" w:rsidP="00E07285">
            <w:pPr>
              <w:rPr>
                <w:rFonts w:ascii="仿宋_GB2312" w:hAnsi="仿宋_GB2312" w:cs="仿宋_GB2312"/>
                <w:sz w:val="24"/>
                <w:szCs w:val="24"/>
              </w:rPr>
            </w:pPr>
          </w:p>
        </w:tc>
      </w:tr>
    </w:tbl>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A5AE3" w:rsidRDefault="00CA5AE3" w:rsidP="00CA5AE3">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A5AE3" w:rsidRDefault="00CA5AE3" w:rsidP="00CA5AE3">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采用平时成绩+期末考试方式确定总评成绩</w:t>
      </w:r>
    </w:p>
    <w:p w:rsidR="00CA5AE3" w:rsidRDefault="00CA5AE3"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A5AE3" w:rsidRDefault="00CA5AE3" w:rsidP="00CA5AE3">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成绩评定方式为百分制，平时成绩考核包括作业、讨论、出勤等内容，期末考试采用闭卷方式；平时成绩占20%</w:t>
      </w:r>
      <w:r>
        <w:rPr>
          <w:rFonts w:ascii="Times New Roman" w:hAnsi="Times New Roman"/>
          <w:sz w:val="28"/>
          <w:szCs w:val="28"/>
        </w:rPr>
        <w:t>~</w:t>
      </w:r>
      <w:r>
        <w:rPr>
          <w:rFonts w:ascii="仿宋_GB2312" w:hAnsi="仿宋_GB2312" w:cs="仿宋_GB2312" w:hint="eastAsia"/>
          <w:sz w:val="28"/>
          <w:szCs w:val="28"/>
        </w:rPr>
        <w:t>30%。</w:t>
      </w:r>
    </w:p>
    <w:p w:rsidR="00CA5AE3" w:rsidRDefault="00CA5AE3" w:rsidP="00CA5AE3">
      <w:pPr>
        <w:spacing w:line="360" w:lineRule="auto"/>
        <w:ind w:firstLineChars="203" w:firstLine="568"/>
        <w:rPr>
          <w:rFonts w:ascii="仿宋_GB2312" w:hAnsi="仿宋_GB2312" w:cs="仿宋_GB2312"/>
          <w:sz w:val="28"/>
          <w:szCs w:val="28"/>
        </w:rPr>
      </w:pPr>
      <w:r>
        <w:rPr>
          <w:rFonts w:ascii="仿宋_GB2312" w:hAnsi="仿宋_GB2312" w:cs="仿宋_GB2312"/>
          <w:sz w:val="28"/>
          <w:szCs w:val="28"/>
        </w:rPr>
        <w:t>课程总成绩=期末成绩（80</w:t>
      </w:r>
      <w:r>
        <w:rPr>
          <w:rFonts w:ascii="Times New Roman" w:hAnsi="Times New Roman"/>
          <w:sz w:val="28"/>
          <w:szCs w:val="28"/>
        </w:rPr>
        <w:t>~</w:t>
      </w:r>
      <w:r>
        <w:rPr>
          <w:rFonts w:ascii="仿宋_GB2312" w:hAnsi="仿宋_GB2312" w:cs="仿宋_GB2312"/>
          <w:sz w:val="28"/>
          <w:szCs w:val="28"/>
        </w:rPr>
        <w:t>70）%+平时成绩（20</w:t>
      </w:r>
      <w:r>
        <w:rPr>
          <w:rFonts w:ascii="Times New Roman" w:hAnsi="Times New Roman"/>
          <w:sz w:val="28"/>
          <w:szCs w:val="28"/>
        </w:rPr>
        <w:t>~</w:t>
      </w:r>
      <w:r>
        <w:rPr>
          <w:rFonts w:ascii="仿宋_GB2312" w:hAnsi="仿宋_GB2312" w:cs="仿宋_GB2312"/>
          <w:sz w:val="28"/>
          <w:szCs w:val="28"/>
        </w:rPr>
        <w:t>30）</w:t>
      </w:r>
      <w:r>
        <w:rPr>
          <w:rFonts w:ascii="仿宋_GB2312" w:hAnsi="仿宋_GB2312" w:cs="仿宋_GB2312" w:hint="eastAsia"/>
          <w:sz w:val="28"/>
          <w:szCs w:val="28"/>
        </w:rPr>
        <w:t>%</w:t>
      </w:r>
    </w:p>
    <w:p w:rsidR="00CA5AE3" w:rsidRDefault="00CA5AE3" w:rsidP="00CA5AE3">
      <w:pPr>
        <w:jc w:val="center"/>
        <w:rPr>
          <w:rFonts w:ascii="华文中宋" w:eastAsia="华文中宋" w:hAnsi="华文中宋"/>
          <w:szCs w:val="21"/>
        </w:rPr>
      </w:pP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六、其他</w:t>
      </w:r>
    </w:p>
    <w:p w:rsidR="00CA5AE3" w:rsidRDefault="00CA5AE3" w:rsidP="00CA5AE3">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CA5AE3" w:rsidRDefault="00CA5AE3" w:rsidP="00CA5AE3">
      <w:pPr>
        <w:spacing w:line="360" w:lineRule="auto"/>
        <w:ind w:firstLineChars="1800" w:firstLine="5040"/>
        <w:rPr>
          <w:rFonts w:ascii="仿宋" w:eastAsia="仿宋" w:hAnsi="仿宋"/>
          <w:sz w:val="28"/>
          <w:szCs w:val="28"/>
        </w:rPr>
      </w:pPr>
      <w:r>
        <w:rPr>
          <w:rFonts w:ascii="仿宋" w:eastAsia="仿宋" w:hAnsi="仿宋" w:hint="eastAsia"/>
          <w:sz w:val="28"/>
          <w:szCs w:val="28"/>
        </w:rPr>
        <w:t>大纲撰写人：秦晋一</w:t>
      </w:r>
    </w:p>
    <w:p w:rsidR="00CA5AE3" w:rsidRDefault="00CA5AE3" w:rsidP="00CA5AE3">
      <w:pPr>
        <w:spacing w:line="360" w:lineRule="auto"/>
        <w:ind w:firstLineChars="1800" w:firstLine="5040"/>
        <w:rPr>
          <w:rFonts w:ascii="仿宋" w:eastAsia="仿宋" w:hAnsi="仿宋"/>
          <w:sz w:val="28"/>
          <w:szCs w:val="28"/>
        </w:rPr>
      </w:pPr>
      <w:r>
        <w:rPr>
          <w:rFonts w:ascii="仿宋" w:eastAsia="仿宋" w:hAnsi="仿宋" w:hint="eastAsia"/>
          <w:sz w:val="28"/>
          <w:szCs w:val="28"/>
        </w:rPr>
        <w:t>课程负责人：秦晋一</w:t>
      </w:r>
    </w:p>
    <w:p w:rsidR="00CA5AE3" w:rsidRDefault="00CA5AE3" w:rsidP="00CA5AE3">
      <w:pPr>
        <w:spacing w:line="360" w:lineRule="auto"/>
        <w:ind w:firstLineChars="1800" w:firstLine="5040"/>
        <w:rPr>
          <w:rFonts w:ascii="仿宋" w:eastAsia="仿宋" w:hAnsi="仿宋"/>
          <w:sz w:val="28"/>
          <w:szCs w:val="28"/>
        </w:rPr>
      </w:pPr>
      <w:r>
        <w:rPr>
          <w:rFonts w:ascii="仿宋" w:eastAsia="仿宋" w:hAnsi="仿宋" w:hint="eastAsia"/>
          <w:sz w:val="28"/>
          <w:szCs w:val="28"/>
        </w:rPr>
        <w:t>审核人：杨利伟</w:t>
      </w:r>
    </w:p>
    <w:p w:rsidR="00CA5AE3" w:rsidRDefault="00CA5AE3" w:rsidP="00CA5AE3">
      <w:pPr>
        <w:jc w:val="center"/>
        <w:rPr>
          <w:rFonts w:ascii="华文中宋" w:eastAsia="华文中宋" w:hAnsi="华文中宋"/>
          <w:szCs w:val="21"/>
        </w:rPr>
      </w:pPr>
      <w:r>
        <w:rPr>
          <w:rFonts w:ascii="华文中宋" w:eastAsia="华文中宋" w:hAnsi="华文中宋" w:hint="eastAsia"/>
          <w:szCs w:val="21"/>
        </w:rPr>
        <w:t xml:space="preserve">                       </w:t>
      </w:r>
    </w:p>
    <w:p w:rsidR="00CA5AE3" w:rsidRDefault="00CA5AE3" w:rsidP="00CA5AE3">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《水力学》课程教学大纲</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英文名称： Hydraulics</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课程编码：Z2806040</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授课语言：中文</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授课方式：线下</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课程类别：专业发展必修课</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课程性质：必修</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学    分：4.5</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学    时：72学时（授课62学时，实验10学时）</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适用对象：给水排水专业</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先修课程：高等数学、理论力学、大学物理、制图</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开课院系：建工学院给水排水系</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《水力学》是给排水工程专业一门重要的专业基础课，其任务是以水为研究对象，用实验和理论分析的方法，来研究液体平衡和机械运动规律以及如何运用这些规律来解决工程实际问题。</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教学方式采用PPT、板书、水力学实验、课后思考题和练习题等相结合进行授课。</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本课程旨在使学生了解水流运动的基本现象，熟悉水流运动参数的变化规律，掌握控制水流运动的三大方程及水流运动的损失规律，熟练应用基本法则及实验手段解决实际工程各种典型的流动问题，并为专业课的学习打下良好的基础。</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三、课程任务、目标与要求</w:t>
      </w:r>
    </w:p>
    <w:p w:rsidR="00CA5AE3" w:rsidRDefault="00CA5AE3" w:rsidP="00CA5AE3">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A5AE3" w:rsidRDefault="00CA5AE3" w:rsidP="00CA5AE3">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水力学课程的主要任务是使学生掌握液体运动的一般规律和有关的基本概念、基本理论，学会必要的分析计算方法和一定的实验操作技术，为学习专业课程，从事专业技术工作，进行科学研究打下必要的坚实基础。</w:t>
      </w:r>
    </w:p>
    <w:p w:rsidR="00CA5AE3" w:rsidRDefault="00CA5AE3"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sz w:val="28"/>
          <w:szCs w:val="28"/>
        </w:rPr>
        <w:t xml:space="preserve">   </w:t>
      </w:r>
      <w:r>
        <w:rPr>
          <w:rFonts w:ascii="仿宋_GB2312" w:hAnsi="仿宋_GB2312" w:cs="仿宋_GB2312" w:hint="eastAsia"/>
          <w:bCs/>
          <w:sz w:val="28"/>
          <w:szCs w:val="28"/>
        </w:rPr>
        <w:t xml:space="preserve"> 课程要求学生掌握水流运动的内因与外因，即作用在液体上的力及液体的主要物理性质；掌握水静力学的主要问题，压强的性质及分布规律，平面及曲面上的静水总压力；掌握水流运动的三大方程及损失规律，并能分析工程上各种典型水流的运动规律。</w:t>
      </w:r>
    </w:p>
    <w:p w:rsidR="00CA5AE3" w:rsidRDefault="00CA5AE3" w:rsidP="00CA5AE3">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
          <w:color w:val="FF0000"/>
          <w:sz w:val="21"/>
          <w:szCs w:val="21"/>
        </w:rPr>
        <w:t xml:space="preserve">  </w:t>
      </w:r>
      <w:r>
        <w:rPr>
          <w:rFonts w:ascii="仿宋_GB2312" w:hAnsi="仿宋_GB2312" w:cs="仿宋_GB2312" w:hint="eastAsia"/>
          <w:bCs/>
          <w:sz w:val="28"/>
          <w:szCs w:val="28"/>
        </w:rPr>
        <w:t xml:space="preserve"> 理论课课程目标</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（1）能够将高等数学、普通物理、工程力学、制图等知识为基础，掌握水力学基本知识、基本原理并开展应用。</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（2）应用水力学的基本概念、基本原理及基本计算，解决实际的复杂工程问题， 具有一定的分析、解决本专业涉及水力学问题的能力，为后续专业课程的学习打下良好的基础。</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（3）应用水力学的基本概念、基本原理及基本计算，解决实际的典型流动问题。</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 xml:space="preserve">   实践课课程目标</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掌握开展水力学实验的基本技能，使学生加深验证水力学基本理论，</w:t>
      </w:r>
      <w:r>
        <w:rPr>
          <w:rFonts w:ascii="仿宋_GB2312" w:hAnsi="仿宋_GB2312" w:cs="仿宋_GB2312" w:hint="eastAsia"/>
          <w:bCs/>
          <w:sz w:val="28"/>
          <w:szCs w:val="28"/>
        </w:rPr>
        <w:lastRenderedPageBreak/>
        <w:t>具有一定的分析、解决本专业涉及水力学问题的实际动手能力。</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培养学生的团队协作精神、探讨科学的兴趣及树立对劳动的正确态度</w:t>
      </w:r>
    </w:p>
    <w:p w:rsidR="00CA5AE3" w:rsidRDefault="00CA5AE3" w:rsidP="00CA5AE3">
      <w:pPr>
        <w:spacing w:line="360" w:lineRule="auto"/>
        <w:rPr>
          <w:rFonts w:ascii="仿宋_GB2312" w:hAnsi="仿宋_GB2312" w:cs="仿宋_GB2312"/>
          <w:bCs/>
          <w:sz w:val="28"/>
          <w:szCs w:val="28"/>
        </w:rPr>
      </w:pPr>
    </w:p>
    <w:p w:rsidR="00CA5AE3" w:rsidRDefault="00CA5AE3" w:rsidP="00CA5AE3">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（一）教学目标具体要求如下：</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（1）能够将高等数学、普通物理、工程力学、制图等知识为基础，掌握水力学基本知识、基本原理并开展应用。</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（2）应用水力学的基本概念、基本原理及基本计算，解决实际的复杂工程问题， 具有一定的分析、解决本专业涉及水力学问题的能力，为后续专业课程的学习打下良好的基础。</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（3）应用水力学的基本概念、基本原理及基本计算，解决实际的典型流动问题。</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（4）掌握开展水力学实验的基本技能，使学生加深验证水力学基本理论，具有一定的分析、解决本专业涉及水力学问题的实际动手能力。</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（二）教学目标对毕业要求的支撑矩阵</w:t>
      </w:r>
    </w:p>
    <w:tbl>
      <w:tblPr>
        <w:tblStyle w:val="af0"/>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3"/>
        <w:gridCol w:w="519"/>
        <w:gridCol w:w="519"/>
        <w:gridCol w:w="519"/>
        <w:gridCol w:w="519"/>
        <w:gridCol w:w="519"/>
        <w:gridCol w:w="519"/>
        <w:gridCol w:w="519"/>
        <w:gridCol w:w="520"/>
        <w:gridCol w:w="520"/>
        <w:gridCol w:w="520"/>
        <w:gridCol w:w="520"/>
        <w:gridCol w:w="520"/>
      </w:tblGrid>
      <w:tr w:rsidR="00CA5AE3" w:rsidTr="00E07285">
        <w:trPr>
          <w:trHeight w:hRule="exact" w:val="454"/>
          <w:jc w:val="center"/>
        </w:trPr>
        <w:tc>
          <w:tcPr>
            <w:tcW w:w="2743" w:type="dxa"/>
            <w:vMerge w:val="restart"/>
            <w:vAlign w:val="center"/>
          </w:tcPr>
          <w:p w:rsidR="00CA5AE3" w:rsidRDefault="00CA5AE3" w:rsidP="00E07285">
            <w:pPr>
              <w:spacing w:line="360" w:lineRule="auto"/>
              <w:jc w:val="center"/>
              <w:rPr>
                <w:rFonts w:ascii="仿宋_GB2312" w:hAnsi="仿宋_GB2312" w:cs="仿宋_GB2312"/>
                <w:bCs/>
                <w:sz w:val="20"/>
              </w:rPr>
            </w:pPr>
            <w:r>
              <w:rPr>
                <w:rFonts w:ascii="仿宋_GB2312" w:hAnsi="仿宋_GB2312" w:cs="仿宋_GB2312" w:hint="eastAsia"/>
                <w:bCs/>
                <w:sz w:val="20"/>
              </w:rPr>
              <w:t>课程目标</w:t>
            </w:r>
          </w:p>
        </w:tc>
        <w:tc>
          <w:tcPr>
            <w:tcW w:w="6233" w:type="dxa"/>
            <w:gridSpan w:val="12"/>
            <w:vAlign w:val="center"/>
          </w:tcPr>
          <w:p w:rsidR="00CA5AE3" w:rsidRDefault="00CA5AE3" w:rsidP="00E07285">
            <w:pPr>
              <w:jc w:val="center"/>
              <w:rPr>
                <w:rFonts w:ascii="仿宋_GB2312" w:hAnsi="仿宋_GB2312" w:cs="仿宋_GB2312"/>
                <w:bCs/>
                <w:sz w:val="20"/>
              </w:rPr>
            </w:pPr>
            <w:r>
              <w:rPr>
                <w:rFonts w:ascii="仿宋_GB2312" w:hAnsi="仿宋_GB2312" w:cs="仿宋_GB2312" w:hint="eastAsia"/>
                <w:bCs/>
                <w:sz w:val="20"/>
              </w:rPr>
              <w:t>毕业要求</w:t>
            </w:r>
          </w:p>
        </w:tc>
      </w:tr>
      <w:tr w:rsidR="00CA5AE3" w:rsidTr="00E07285">
        <w:trPr>
          <w:trHeight w:hRule="exact" w:val="454"/>
          <w:jc w:val="center"/>
        </w:trPr>
        <w:tc>
          <w:tcPr>
            <w:tcW w:w="2743" w:type="dxa"/>
            <w:vMerge/>
          </w:tcPr>
          <w:p w:rsidR="00CA5AE3" w:rsidRDefault="00CA5AE3" w:rsidP="00E07285">
            <w:pPr>
              <w:spacing w:line="360" w:lineRule="auto"/>
              <w:rPr>
                <w:rFonts w:ascii="仿宋_GB2312" w:hAnsi="仿宋_GB2312" w:cs="仿宋_GB2312"/>
                <w:bCs/>
                <w:sz w:val="20"/>
              </w:rPr>
            </w:pPr>
          </w:p>
        </w:tc>
        <w:tc>
          <w:tcPr>
            <w:tcW w:w="519" w:type="dxa"/>
            <w:vAlign w:val="center"/>
          </w:tcPr>
          <w:p w:rsidR="00CA5AE3" w:rsidRDefault="00CA5AE3" w:rsidP="00E07285">
            <w:pPr>
              <w:tabs>
                <w:tab w:val="left" w:pos="6300"/>
              </w:tabs>
              <w:spacing w:line="360" w:lineRule="atLeast"/>
              <w:jc w:val="center"/>
              <w:rPr>
                <w:rFonts w:ascii="仿宋_GB2312" w:hAnsi="仿宋_GB2312" w:cs="仿宋_GB2312"/>
                <w:bCs/>
                <w:sz w:val="20"/>
              </w:rPr>
            </w:pPr>
            <w:r>
              <w:rPr>
                <w:rFonts w:ascii="华文中宋" w:eastAsia="华文中宋" w:hAnsi="华文中宋" w:cs="宋体" w:hint="eastAsia"/>
                <w:bCs/>
                <w:sz w:val="20"/>
              </w:rPr>
              <w:t>1</w:t>
            </w:r>
          </w:p>
        </w:tc>
        <w:tc>
          <w:tcPr>
            <w:tcW w:w="519" w:type="dxa"/>
            <w:vAlign w:val="center"/>
          </w:tcPr>
          <w:p w:rsidR="00CA5AE3" w:rsidRDefault="00CA5AE3" w:rsidP="00E07285">
            <w:pPr>
              <w:tabs>
                <w:tab w:val="left" w:pos="6300"/>
              </w:tabs>
              <w:spacing w:line="360" w:lineRule="atLeast"/>
              <w:jc w:val="center"/>
              <w:rPr>
                <w:rFonts w:ascii="仿宋_GB2312" w:hAnsi="仿宋_GB2312" w:cs="仿宋_GB2312"/>
                <w:bCs/>
                <w:sz w:val="20"/>
              </w:rPr>
            </w:pPr>
            <w:r>
              <w:rPr>
                <w:rFonts w:ascii="华文中宋" w:eastAsia="华文中宋" w:hAnsi="华文中宋" w:cs="宋体" w:hint="eastAsia"/>
                <w:bCs/>
                <w:sz w:val="20"/>
              </w:rPr>
              <w:t>2</w:t>
            </w:r>
          </w:p>
        </w:tc>
        <w:tc>
          <w:tcPr>
            <w:tcW w:w="519" w:type="dxa"/>
            <w:vAlign w:val="center"/>
          </w:tcPr>
          <w:p w:rsidR="00CA5AE3" w:rsidRDefault="00CA5AE3" w:rsidP="00E07285">
            <w:pPr>
              <w:tabs>
                <w:tab w:val="left" w:pos="6300"/>
              </w:tabs>
              <w:spacing w:line="360" w:lineRule="atLeast"/>
              <w:jc w:val="center"/>
              <w:rPr>
                <w:rFonts w:ascii="仿宋_GB2312" w:hAnsi="仿宋_GB2312" w:cs="仿宋_GB2312"/>
                <w:bCs/>
                <w:sz w:val="20"/>
              </w:rPr>
            </w:pPr>
            <w:r>
              <w:rPr>
                <w:rFonts w:ascii="华文中宋" w:eastAsia="华文中宋" w:hAnsi="华文中宋" w:cs="宋体" w:hint="eastAsia"/>
                <w:bCs/>
                <w:sz w:val="20"/>
              </w:rPr>
              <w:t>3</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4</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5</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6</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7</w:t>
            </w:r>
          </w:p>
        </w:tc>
        <w:tc>
          <w:tcPr>
            <w:tcW w:w="520"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8</w:t>
            </w:r>
          </w:p>
        </w:tc>
        <w:tc>
          <w:tcPr>
            <w:tcW w:w="520"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9</w:t>
            </w:r>
          </w:p>
        </w:tc>
        <w:tc>
          <w:tcPr>
            <w:tcW w:w="520"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10</w:t>
            </w:r>
          </w:p>
        </w:tc>
        <w:tc>
          <w:tcPr>
            <w:tcW w:w="520"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11</w:t>
            </w:r>
          </w:p>
        </w:tc>
        <w:tc>
          <w:tcPr>
            <w:tcW w:w="520"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12</w:t>
            </w:r>
          </w:p>
        </w:tc>
      </w:tr>
      <w:tr w:rsidR="00CA5AE3" w:rsidTr="00E07285">
        <w:trPr>
          <w:trHeight w:hRule="exact" w:val="454"/>
          <w:jc w:val="center"/>
        </w:trPr>
        <w:tc>
          <w:tcPr>
            <w:tcW w:w="2743" w:type="dxa"/>
            <w:vAlign w:val="center"/>
          </w:tcPr>
          <w:p w:rsidR="00CA5AE3" w:rsidRDefault="00CA5AE3"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知识目标</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H</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H</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H</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M</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M</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L</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L</w:t>
            </w:r>
          </w:p>
        </w:tc>
        <w:tc>
          <w:tcPr>
            <w:tcW w:w="520" w:type="dxa"/>
          </w:tcPr>
          <w:p w:rsidR="00CA5AE3" w:rsidRDefault="00CA5AE3" w:rsidP="00E07285">
            <w:pPr>
              <w:spacing w:line="360" w:lineRule="auto"/>
              <w:rPr>
                <w:rFonts w:ascii="仿宋_GB2312" w:hAnsi="仿宋_GB2312" w:cs="仿宋_GB2312"/>
                <w:bCs/>
                <w:sz w:val="20"/>
              </w:rPr>
            </w:pPr>
          </w:p>
        </w:tc>
        <w:tc>
          <w:tcPr>
            <w:tcW w:w="520" w:type="dxa"/>
          </w:tcPr>
          <w:p w:rsidR="00CA5AE3" w:rsidRDefault="00CA5AE3" w:rsidP="00E07285">
            <w:pPr>
              <w:spacing w:line="360" w:lineRule="auto"/>
              <w:rPr>
                <w:rFonts w:ascii="仿宋_GB2312" w:hAnsi="仿宋_GB2312" w:cs="仿宋_GB2312"/>
                <w:bCs/>
                <w:sz w:val="20"/>
              </w:rPr>
            </w:pPr>
          </w:p>
        </w:tc>
        <w:tc>
          <w:tcPr>
            <w:tcW w:w="520" w:type="dxa"/>
          </w:tcPr>
          <w:p w:rsidR="00CA5AE3" w:rsidRDefault="00CA5AE3" w:rsidP="00E07285">
            <w:pPr>
              <w:spacing w:line="360" w:lineRule="auto"/>
              <w:rPr>
                <w:rFonts w:ascii="仿宋_GB2312" w:hAnsi="仿宋_GB2312" w:cs="仿宋_GB2312"/>
                <w:bCs/>
                <w:sz w:val="20"/>
              </w:rPr>
            </w:pPr>
          </w:p>
        </w:tc>
        <w:tc>
          <w:tcPr>
            <w:tcW w:w="520" w:type="dxa"/>
          </w:tcPr>
          <w:p w:rsidR="00CA5AE3" w:rsidRDefault="00CA5AE3" w:rsidP="00E07285">
            <w:pPr>
              <w:spacing w:line="360" w:lineRule="auto"/>
              <w:rPr>
                <w:rFonts w:ascii="仿宋_GB2312" w:hAnsi="仿宋_GB2312" w:cs="仿宋_GB2312"/>
                <w:bCs/>
                <w:sz w:val="20"/>
              </w:rPr>
            </w:pPr>
          </w:p>
        </w:tc>
        <w:tc>
          <w:tcPr>
            <w:tcW w:w="520" w:type="dxa"/>
          </w:tcPr>
          <w:p w:rsidR="00CA5AE3" w:rsidRDefault="00CA5AE3" w:rsidP="00E07285">
            <w:pPr>
              <w:spacing w:line="360" w:lineRule="auto"/>
              <w:rPr>
                <w:rFonts w:ascii="仿宋_GB2312" w:hAnsi="仿宋_GB2312" w:cs="仿宋_GB2312"/>
                <w:bCs/>
                <w:sz w:val="20"/>
              </w:rPr>
            </w:pPr>
            <w:r>
              <w:rPr>
                <w:rFonts w:ascii="华文中宋" w:eastAsia="华文中宋" w:hAnsi="华文中宋" w:cs="宋体" w:hint="eastAsia"/>
                <w:bCs/>
                <w:sz w:val="20"/>
              </w:rPr>
              <w:t>L</w:t>
            </w:r>
          </w:p>
        </w:tc>
      </w:tr>
      <w:tr w:rsidR="00CA5AE3" w:rsidTr="00E07285">
        <w:trPr>
          <w:trHeight w:hRule="exact" w:val="454"/>
          <w:jc w:val="center"/>
        </w:trPr>
        <w:tc>
          <w:tcPr>
            <w:tcW w:w="2743" w:type="dxa"/>
          </w:tcPr>
          <w:p w:rsidR="00CA5AE3" w:rsidRDefault="00CA5AE3"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能力目标</w:t>
            </w:r>
          </w:p>
        </w:tc>
        <w:tc>
          <w:tcPr>
            <w:tcW w:w="519" w:type="dxa"/>
            <w:vAlign w:val="center"/>
          </w:tcPr>
          <w:p w:rsidR="00CA5AE3" w:rsidRDefault="00CA5AE3" w:rsidP="00E07285">
            <w:pPr>
              <w:tabs>
                <w:tab w:val="left" w:pos="6300"/>
              </w:tabs>
              <w:spacing w:line="360" w:lineRule="atLeast"/>
              <w:jc w:val="center"/>
              <w:rPr>
                <w:rFonts w:ascii="仿宋_GB2312" w:hAnsi="仿宋_GB2312" w:cs="仿宋_GB2312"/>
                <w:bCs/>
                <w:sz w:val="20"/>
              </w:rPr>
            </w:pPr>
            <w:r>
              <w:rPr>
                <w:rFonts w:ascii="华文中宋" w:eastAsia="华文中宋" w:hAnsi="华文中宋" w:cs="宋体" w:hint="eastAsia"/>
                <w:bCs/>
                <w:sz w:val="20"/>
              </w:rPr>
              <w:t>H</w:t>
            </w:r>
          </w:p>
        </w:tc>
        <w:tc>
          <w:tcPr>
            <w:tcW w:w="519" w:type="dxa"/>
            <w:vAlign w:val="center"/>
          </w:tcPr>
          <w:p w:rsidR="00CA5AE3" w:rsidRDefault="00CA5AE3" w:rsidP="00E07285">
            <w:pPr>
              <w:tabs>
                <w:tab w:val="left" w:pos="6300"/>
              </w:tabs>
              <w:spacing w:line="360" w:lineRule="atLeast"/>
              <w:jc w:val="center"/>
              <w:rPr>
                <w:rFonts w:ascii="仿宋_GB2312" w:hAnsi="仿宋_GB2312" w:cs="仿宋_GB2312"/>
                <w:bCs/>
                <w:sz w:val="20"/>
              </w:rPr>
            </w:pPr>
            <w:r>
              <w:rPr>
                <w:rFonts w:ascii="华文中宋" w:eastAsia="华文中宋" w:hAnsi="华文中宋" w:cs="宋体" w:hint="eastAsia"/>
                <w:bCs/>
                <w:sz w:val="20"/>
              </w:rPr>
              <w:t>H</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H</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M</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M</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L</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L</w:t>
            </w:r>
          </w:p>
        </w:tc>
        <w:tc>
          <w:tcPr>
            <w:tcW w:w="520" w:type="dxa"/>
          </w:tcPr>
          <w:p w:rsidR="00CA5AE3" w:rsidRDefault="00CA5AE3" w:rsidP="00E07285">
            <w:pPr>
              <w:spacing w:line="360" w:lineRule="auto"/>
              <w:rPr>
                <w:rFonts w:ascii="仿宋_GB2312" w:hAnsi="仿宋_GB2312" w:cs="仿宋_GB2312"/>
                <w:bCs/>
                <w:sz w:val="20"/>
              </w:rPr>
            </w:pPr>
          </w:p>
        </w:tc>
        <w:tc>
          <w:tcPr>
            <w:tcW w:w="520" w:type="dxa"/>
          </w:tcPr>
          <w:p w:rsidR="00CA5AE3" w:rsidRDefault="00CA5AE3" w:rsidP="00E07285">
            <w:pPr>
              <w:spacing w:line="360" w:lineRule="auto"/>
              <w:rPr>
                <w:rFonts w:ascii="仿宋_GB2312" w:hAnsi="仿宋_GB2312" w:cs="仿宋_GB2312"/>
                <w:bCs/>
                <w:sz w:val="20"/>
              </w:rPr>
            </w:pPr>
          </w:p>
        </w:tc>
        <w:tc>
          <w:tcPr>
            <w:tcW w:w="520" w:type="dxa"/>
          </w:tcPr>
          <w:p w:rsidR="00CA5AE3" w:rsidRDefault="00CA5AE3" w:rsidP="00E07285">
            <w:pPr>
              <w:spacing w:line="360" w:lineRule="auto"/>
              <w:rPr>
                <w:rFonts w:ascii="仿宋_GB2312" w:hAnsi="仿宋_GB2312" w:cs="仿宋_GB2312"/>
                <w:bCs/>
                <w:sz w:val="20"/>
              </w:rPr>
            </w:pPr>
          </w:p>
        </w:tc>
        <w:tc>
          <w:tcPr>
            <w:tcW w:w="520" w:type="dxa"/>
          </w:tcPr>
          <w:p w:rsidR="00CA5AE3" w:rsidRDefault="00CA5AE3" w:rsidP="00E07285">
            <w:pPr>
              <w:spacing w:line="360" w:lineRule="auto"/>
              <w:rPr>
                <w:rFonts w:ascii="仿宋_GB2312" w:hAnsi="仿宋_GB2312" w:cs="仿宋_GB2312"/>
                <w:bCs/>
                <w:sz w:val="20"/>
              </w:rPr>
            </w:pPr>
          </w:p>
        </w:tc>
        <w:tc>
          <w:tcPr>
            <w:tcW w:w="520" w:type="dxa"/>
          </w:tcPr>
          <w:p w:rsidR="00CA5AE3" w:rsidRDefault="00CA5AE3" w:rsidP="00E07285">
            <w:pPr>
              <w:spacing w:line="360" w:lineRule="auto"/>
              <w:rPr>
                <w:rFonts w:ascii="仿宋_GB2312" w:hAnsi="仿宋_GB2312" w:cs="仿宋_GB2312"/>
                <w:bCs/>
                <w:sz w:val="20"/>
              </w:rPr>
            </w:pPr>
            <w:r>
              <w:rPr>
                <w:rFonts w:ascii="华文中宋" w:eastAsia="华文中宋" w:hAnsi="华文中宋" w:cs="宋体" w:hint="eastAsia"/>
                <w:bCs/>
                <w:sz w:val="20"/>
              </w:rPr>
              <w:t>L</w:t>
            </w:r>
          </w:p>
        </w:tc>
      </w:tr>
      <w:tr w:rsidR="00CA5AE3" w:rsidTr="00E07285">
        <w:trPr>
          <w:trHeight w:hRule="exact" w:val="454"/>
          <w:jc w:val="center"/>
        </w:trPr>
        <w:tc>
          <w:tcPr>
            <w:tcW w:w="2743" w:type="dxa"/>
          </w:tcPr>
          <w:p w:rsidR="00CA5AE3" w:rsidRDefault="00CA5AE3"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情感态度与价值观目标</w:t>
            </w:r>
          </w:p>
        </w:tc>
        <w:tc>
          <w:tcPr>
            <w:tcW w:w="519" w:type="dxa"/>
            <w:vAlign w:val="center"/>
          </w:tcPr>
          <w:p w:rsidR="00CA5AE3" w:rsidRDefault="00CA5AE3" w:rsidP="00E07285">
            <w:pPr>
              <w:spacing w:line="360" w:lineRule="auto"/>
              <w:jc w:val="center"/>
              <w:rPr>
                <w:rFonts w:ascii="仿宋_GB2312" w:hAnsi="仿宋_GB2312" w:cs="仿宋_GB2312"/>
                <w:bCs/>
                <w:sz w:val="20"/>
              </w:rPr>
            </w:pPr>
            <w:r>
              <w:rPr>
                <w:rFonts w:ascii="华文中宋" w:eastAsia="华文中宋" w:hAnsi="华文中宋" w:cs="宋体" w:hint="eastAsia"/>
                <w:bCs/>
                <w:sz w:val="20"/>
              </w:rPr>
              <w:t>L</w:t>
            </w:r>
          </w:p>
        </w:tc>
        <w:tc>
          <w:tcPr>
            <w:tcW w:w="519" w:type="dxa"/>
            <w:vAlign w:val="center"/>
          </w:tcPr>
          <w:p w:rsidR="00CA5AE3" w:rsidRDefault="00CA5AE3" w:rsidP="00E07285">
            <w:pPr>
              <w:spacing w:line="360" w:lineRule="auto"/>
              <w:jc w:val="center"/>
              <w:rPr>
                <w:rFonts w:ascii="仿宋_GB2312" w:hAnsi="仿宋_GB2312" w:cs="仿宋_GB2312"/>
                <w:bCs/>
                <w:sz w:val="20"/>
              </w:rPr>
            </w:pPr>
            <w:r>
              <w:rPr>
                <w:rFonts w:ascii="华文中宋" w:eastAsia="华文中宋" w:hAnsi="华文中宋" w:cs="宋体" w:hint="eastAsia"/>
                <w:bCs/>
                <w:sz w:val="20"/>
              </w:rPr>
              <w:t>L</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L</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L</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L</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L</w:t>
            </w:r>
          </w:p>
        </w:tc>
        <w:tc>
          <w:tcPr>
            <w:tcW w:w="519" w:type="dxa"/>
            <w:vAlign w:val="center"/>
          </w:tcPr>
          <w:p w:rsidR="00CA5AE3" w:rsidRDefault="00CA5AE3" w:rsidP="00E07285">
            <w:pPr>
              <w:tabs>
                <w:tab w:val="left" w:pos="6300"/>
              </w:tabs>
              <w:spacing w:line="360" w:lineRule="atLeast"/>
              <w:jc w:val="center"/>
              <w:rPr>
                <w:rFonts w:ascii="华文中宋" w:eastAsia="华文中宋" w:hAnsi="华文中宋" w:cs="宋体"/>
                <w:bCs/>
                <w:sz w:val="20"/>
              </w:rPr>
            </w:pPr>
            <w:r>
              <w:rPr>
                <w:rFonts w:ascii="华文中宋" w:eastAsia="华文中宋" w:hAnsi="华文中宋" w:cs="宋体" w:hint="eastAsia"/>
                <w:bCs/>
                <w:sz w:val="20"/>
              </w:rPr>
              <w:t>L</w:t>
            </w:r>
          </w:p>
        </w:tc>
        <w:tc>
          <w:tcPr>
            <w:tcW w:w="520" w:type="dxa"/>
          </w:tcPr>
          <w:p w:rsidR="00CA5AE3" w:rsidRDefault="00CA5AE3" w:rsidP="00E07285">
            <w:pPr>
              <w:spacing w:line="360" w:lineRule="auto"/>
              <w:rPr>
                <w:rFonts w:ascii="仿宋_GB2312" w:hAnsi="仿宋_GB2312" w:cs="仿宋_GB2312"/>
                <w:bCs/>
                <w:sz w:val="20"/>
              </w:rPr>
            </w:pPr>
          </w:p>
        </w:tc>
        <w:tc>
          <w:tcPr>
            <w:tcW w:w="520" w:type="dxa"/>
          </w:tcPr>
          <w:p w:rsidR="00CA5AE3" w:rsidRDefault="00CA5AE3" w:rsidP="00E07285">
            <w:pPr>
              <w:spacing w:line="360" w:lineRule="auto"/>
              <w:rPr>
                <w:rFonts w:ascii="仿宋_GB2312" w:hAnsi="仿宋_GB2312" w:cs="仿宋_GB2312"/>
                <w:bCs/>
                <w:sz w:val="20"/>
              </w:rPr>
            </w:pPr>
          </w:p>
        </w:tc>
        <w:tc>
          <w:tcPr>
            <w:tcW w:w="520" w:type="dxa"/>
          </w:tcPr>
          <w:p w:rsidR="00CA5AE3" w:rsidRDefault="00CA5AE3" w:rsidP="00E07285">
            <w:pPr>
              <w:spacing w:line="360" w:lineRule="auto"/>
              <w:rPr>
                <w:rFonts w:ascii="仿宋_GB2312" w:hAnsi="仿宋_GB2312" w:cs="仿宋_GB2312"/>
                <w:bCs/>
                <w:sz w:val="20"/>
              </w:rPr>
            </w:pPr>
          </w:p>
        </w:tc>
        <w:tc>
          <w:tcPr>
            <w:tcW w:w="520" w:type="dxa"/>
          </w:tcPr>
          <w:p w:rsidR="00CA5AE3" w:rsidRDefault="00CA5AE3" w:rsidP="00E07285">
            <w:pPr>
              <w:spacing w:line="360" w:lineRule="auto"/>
              <w:rPr>
                <w:rFonts w:ascii="仿宋_GB2312" w:hAnsi="仿宋_GB2312" w:cs="仿宋_GB2312"/>
                <w:bCs/>
                <w:sz w:val="20"/>
              </w:rPr>
            </w:pPr>
          </w:p>
        </w:tc>
        <w:tc>
          <w:tcPr>
            <w:tcW w:w="520" w:type="dxa"/>
          </w:tcPr>
          <w:p w:rsidR="00CA5AE3" w:rsidRDefault="00CA5AE3" w:rsidP="00E07285">
            <w:pPr>
              <w:spacing w:line="360" w:lineRule="auto"/>
              <w:rPr>
                <w:rFonts w:ascii="仿宋_GB2312" w:hAnsi="仿宋_GB2312" w:cs="仿宋_GB2312"/>
                <w:bCs/>
                <w:sz w:val="20"/>
              </w:rPr>
            </w:pPr>
            <w:r>
              <w:rPr>
                <w:rFonts w:ascii="华文中宋" w:eastAsia="华文中宋" w:hAnsi="华文中宋" w:cs="宋体" w:hint="eastAsia"/>
                <w:bCs/>
                <w:sz w:val="20"/>
              </w:rPr>
              <w:t>L</w:t>
            </w:r>
          </w:p>
        </w:tc>
      </w:tr>
    </w:tbl>
    <w:p w:rsidR="00CA5AE3" w:rsidRDefault="00CA5AE3" w:rsidP="00CA5AE3">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3.课程重点、难点及思政设计</w:t>
      </w:r>
    </w:p>
    <w:p w:rsidR="00CA5AE3" w:rsidRDefault="00CA5AE3" w:rsidP="00CA5AE3">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3.1 课程的重点、难点</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课程重点包括：液体的粘性及牛顿内摩擦定律、静水压强的分布规律、</w:t>
      </w:r>
      <w:r>
        <w:rPr>
          <w:rFonts w:ascii="仿宋_GB2312" w:hAnsi="仿宋_GB2312" w:cs="仿宋_GB2312" w:hint="eastAsia"/>
          <w:bCs/>
          <w:sz w:val="28"/>
          <w:szCs w:val="28"/>
        </w:rPr>
        <w:lastRenderedPageBreak/>
        <w:t>作用在平面及曲面上的静水总压力、描述液体运动的三大方程及损失规律等。</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课程难点包括：牛顿内摩擦定律、作用在平面及曲面上的静水总压力、能量方程、动量方程、水流损失的计算、明渠水面线的分析及计算等。</w:t>
      </w:r>
    </w:p>
    <w:p w:rsidR="00CA5AE3" w:rsidRDefault="00CA5AE3" w:rsidP="00CA5AE3">
      <w:pPr>
        <w:spacing w:line="360" w:lineRule="auto"/>
        <w:ind w:left="331"/>
        <w:rPr>
          <w:rFonts w:ascii="仿宋_GB2312" w:hAnsi="仿宋_GB2312" w:cs="仿宋_GB2312"/>
          <w:sz w:val="28"/>
          <w:szCs w:val="28"/>
        </w:rPr>
      </w:pPr>
      <w:r>
        <w:rPr>
          <w:rFonts w:ascii="仿宋_GB2312" w:hAnsi="仿宋_GB2312" w:cs="仿宋_GB2312" w:hint="eastAsia"/>
          <w:sz w:val="28"/>
          <w:szCs w:val="28"/>
        </w:rPr>
        <w:t>3.2课程思政设计</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sz w:val="28"/>
          <w:szCs w:val="28"/>
        </w:rPr>
        <w:t xml:space="preserve">    </w:t>
      </w:r>
      <w:r>
        <w:rPr>
          <w:rFonts w:ascii="仿宋_GB2312" w:hAnsi="仿宋_GB2312" w:cs="仿宋_GB2312" w:hint="eastAsia"/>
          <w:bCs/>
          <w:sz w:val="28"/>
          <w:szCs w:val="28"/>
        </w:rPr>
        <w:t>我们《水力学》这门课主要是讨论水的特性及水流的特征，并在实际中的应用，主要是为给水排水专业课学习打基础的一门专业基础课。基于这些特点，首先要引导教育学生热爱我们的专业，只有把事业当爱好，才能全心投入把所从事的事业做好；其次就是借鉴水及水流特点引导学生学习水的良好特性，应用到实际的学习及生活中。比如介绍水的能量方程时，水流要消耗自身的能量才能向前流动，好比人只有提高自身的能力才有前进的动力，就是要好好学习提高自己；再比如讲连续方程时，可以引导学生做人做事要有一贯性，只有持之以恒才能有所成就；最后是鼓励学生独立思考，从课程中提高科学知识和思想品德，努力做一个合格的人才、一个的对社会有用的人。</w:t>
      </w:r>
    </w:p>
    <w:p w:rsidR="00CA5AE3" w:rsidRDefault="00CA5AE3" w:rsidP="005F6318">
      <w:pPr>
        <w:numPr>
          <w:ilvl w:val="0"/>
          <w:numId w:val="38"/>
        </w:num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教学内容安排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843"/>
        <w:gridCol w:w="637"/>
        <w:gridCol w:w="2472"/>
        <w:gridCol w:w="2894"/>
      </w:tblGrid>
      <w:tr w:rsidR="00CA5AE3" w:rsidTr="00E07285">
        <w:trPr>
          <w:cantSplit/>
          <w:trHeight w:val="661"/>
        </w:trPr>
        <w:tc>
          <w:tcPr>
            <w:tcW w:w="27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序号</w:t>
            </w:r>
          </w:p>
        </w:tc>
        <w:tc>
          <w:tcPr>
            <w:tcW w:w="111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章  节</w:t>
            </w:r>
          </w:p>
        </w:tc>
        <w:tc>
          <w:tcPr>
            <w:tcW w:w="384" w:type="pct"/>
            <w:vAlign w:val="center"/>
          </w:tcPr>
          <w:p w:rsidR="00CA5AE3" w:rsidRDefault="00CA5AE3" w:rsidP="00E07285">
            <w:pPr>
              <w:spacing w:line="360" w:lineRule="auto"/>
              <w:jc w:val="center"/>
              <w:rPr>
                <w:rFonts w:ascii="仿宋_GB2312" w:hAnsi="仿宋_GB2312" w:cs="仿宋_GB2312"/>
                <w:bCs/>
                <w:sz w:val="20"/>
                <w:szCs w:val="20"/>
              </w:rPr>
            </w:pP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参考学时</w:t>
            </w:r>
          </w:p>
          <w:p w:rsidR="00CA5AE3" w:rsidRDefault="00CA5AE3" w:rsidP="00E07285">
            <w:pPr>
              <w:spacing w:line="360" w:lineRule="auto"/>
              <w:jc w:val="center"/>
              <w:rPr>
                <w:rFonts w:ascii="仿宋_GB2312" w:hAnsi="仿宋_GB2312" w:cs="仿宋_GB2312"/>
                <w:bCs/>
                <w:sz w:val="20"/>
                <w:szCs w:val="20"/>
              </w:rPr>
            </w:pPr>
          </w:p>
        </w:tc>
        <w:tc>
          <w:tcPr>
            <w:tcW w:w="1490"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教学内容</w:t>
            </w:r>
          </w:p>
        </w:tc>
        <w:tc>
          <w:tcPr>
            <w:tcW w:w="174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基本要求</w:t>
            </w:r>
          </w:p>
        </w:tc>
      </w:tr>
      <w:tr w:rsidR="00CA5AE3" w:rsidTr="00E07285">
        <w:trPr>
          <w:trHeight w:val="1237"/>
        </w:trPr>
        <w:tc>
          <w:tcPr>
            <w:tcW w:w="27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w:t>
            </w:r>
          </w:p>
        </w:tc>
        <w:tc>
          <w:tcPr>
            <w:tcW w:w="111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第一章</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绪论</w:t>
            </w:r>
          </w:p>
        </w:tc>
        <w:tc>
          <w:tcPr>
            <w:tcW w:w="38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w:t>
            </w:r>
          </w:p>
        </w:tc>
        <w:tc>
          <w:tcPr>
            <w:tcW w:w="1490"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水力学及其任务</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作用于液体上的力</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 液体的主要物理性质</w:t>
            </w:r>
          </w:p>
          <w:p w:rsidR="00CA5AE3" w:rsidRDefault="00CA5AE3" w:rsidP="00E07285">
            <w:pPr>
              <w:spacing w:line="360" w:lineRule="auto"/>
              <w:jc w:val="center"/>
              <w:rPr>
                <w:rFonts w:ascii="仿宋_GB2312" w:hAnsi="仿宋_GB2312" w:cs="仿宋_GB2312"/>
                <w:bCs/>
                <w:sz w:val="20"/>
                <w:szCs w:val="20"/>
              </w:rPr>
            </w:pPr>
          </w:p>
        </w:tc>
        <w:tc>
          <w:tcPr>
            <w:tcW w:w="174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lastRenderedPageBreak/>
              <w:t>1.了解水力学课程的特点、任务、学习方法和课程目标。</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2.理解作用于液体上的力及分</w:t>
            </w:r>
            <w:r>
              <w:rPr>
                <w:rFonts w:ascii="仿宋_GB2312" w:hAnsi="仿宋_GB2312" w:cs="仿宋_GB2312" w:hint="eastAsia"/>
                <w:bCs/>
                <w:sz w:val="20"/>
                <w:szCs w:val="20"/>
              </w:rPr>
              <w:lastRenderedPageBreak/>
              <w:t>类</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3.掌握液体的主要物理性质</w:t>
            </w:r>
          </w:p>
          <w:p w:rsidR="00CA5AE3" w:rsidRDefault="00CA5AE3" w:rsidP="00E07285">
            <w:pPr>
              <w:spacing w:line="360" w:lineRule="auto"/>
              <w:jc w:val="center"/>
              <w:rPr>
                <w:rFonts w:ascii="仿宋_GB2312" w:hAnsi="仿宋_GB2312" w:cs="仿宋_GB2312"/>
                <w:bCs/>
                <w:sz w:val="20"/>
                <w:szCs w:val="20"/>
              </w:rPr>
            </w:pPr>
          </w:p>
        </w:tc>
      </w:tr>
      <w:tr w:rsidR="00CA5AE3" w:rsidTr="00E07285">
        <w:trPr>
          <w:trHeight w:val="1113"/>
        </w:trPr>
        <w:tc>
          <w:tcPr>
            <w:tcW w:w="27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w:t>
            </w:r>
          </w:p>
        </w:tc>
        <w:tc>
          <w:tcPr>
            <w:tcW w:w="111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第二章</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水静力学</w:t>
            </w:r>
          </w:p>
        </w:tc>
        <w:tc>
          <w:tcPr>
            <w:tcW w:w="38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8</w:t>
            </w:r>
          </w:p>
        </w:tc>
        <w:tc>
          <w:tcPr>
            <w:tcW w:w="1490"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1.静止液体中压强的特性</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2.液体平衡微分方程</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3.重力作用下静止液体中压强的分布规律</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4.液柱式测压计</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5.液体的相对平衡</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6.液体作用在平面壁上的静水总压力</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7.液体作用在曲面壁上的静水总压力</w:t>
            </w:r>
          </w:p>
        </w:tc>
        <w:tc>
          <w:tcPr>
            <w:tcW w:w="174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 掌握静水压强的两个特性；</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2.掌握液体平衡微分方程及平衡微分方程的综合式；</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3．掌握静止和相对平衡时的压强分布规律，熟悉压强的测量方法；</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4掌握平面和曲面上静水总压力的求法。</w:t>
            </w:r>
          </w:p>
        </w:tc>
      </w:tr>
      <w:tr w:rsidR="00CA5AE3" w:rsidTr="00E07285">
        <w:trPr>
          <w:trHeight w:val="1113"/>
        </w:trPr>
        <w:tc>
          <w:tcPr>
            <w:tcW w:w="27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w:t>
            </w:r>
          </w:p>
        </w:tc>
        <w:tc>
          <w:tcPr>
            <w:tcW w:w="111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第三章</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水动力学基础</w:t>
            </w:r>
          </w:p>
        </w:tc>
        <w:tc>
          <w:tcPr>
            <w:tcW w:w="38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10</w:t>
            </w:r>
          </w:p>
        </w:tc>
        <w:tc>
          <w:tcPr>
            <w:tcW w:w="1490"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 液体运动的描述方法</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 欧拉法的基本概念</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 连续性方程</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4． 液体运动的微分方程</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5． 伯努利方程</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6． 动量方程</w:t>
            </w:r>
          </w:p>
        </w:tc>
        <w:tc>
          <w:tcPr>
            <w:tcW w:w="174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1.掌握描述液体运动的两种方法</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2.熟悉欧拉法的基本概念；</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3.掌握连续性方程、伯努利方程、动量的推导过程及应用三大方程解决实际水流问题；</w:t>
            </w:r>
          </w:p>
          <w:p w:rsidR="00CA5AE3" w:rsidRDefault="00CA5AE3" w:rsidP="00E07285">
            <w:pPr>
              <w:spacing w:line="360" w:lineRule="auto"/>
              <w:jc w:val="center"/>
              <w:rPr>
                <w:rFonts w:ascii="仿宋_GB2312" w:hAnsi="仿宋_GB2312" w:cs="仿宋_GB2312"/>
                <w:bCs/>
                <w:sz w:val="20"/>
                <w:szCs w:val="20"/>
              </w:rPr>
            </w:pPr>
          </w:p>
        </w:tc>
      </w:tr>
      <w:tr w:rsidR="00CA5AE3" w:rsidTr="00E07285">
        <w:trPr>
          <w:trHeight w:val="1113"/>
        </w:trPr>
        <w:tc>
          <w:tcPr>
            <w:tcW w:w="27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4</w:t>
            </w:r>
          </w:p>
        </w:tc>
        <w:tc>
          <w:tcPr>
            <w:tcW w:w="111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第四章</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相似原理与量纲分析</w:t>
            </w:r>
          </w:p>
        </w:tc>
        <w:tc>
          <w:tcPr>
            <w:tcW w:w="38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选学</w:t>
            </w:r>
          </w:p>
        </w:tc>
        <w:tc>
          <w:tcPr>
            <w:tcW w:w="1490"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相似原理</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 模型试验</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 量纲分析</w:t>
            </w:r>
          </w:p>
          <w:p w:rsidR="00CA5AE3" w:rsidRDefault="00CA5AE3" w:rsidP="00E07285">
            <w:pPr>
              <w:spacing w:line="360" w:lineRule="auto"/>
              <w:jc w:val="center"/>
              <w:rPr>
                <w:rFonts w:ascii="仿宋_GB2312" w:hAnsi="仿宋_GB2312" w:cs="仿宋_GB2312"/>
                <w:bCs/>
                <w:sz w:val="20"/>
                <w:szCs w:val="20"/>
              </w:rPr>
            </w:pPr>
          </w:p>
        </w:tc>
        <w:tc>
          <w:tcPr>
            <w:tcW w:w="174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了解相似原理有关概念并掌握相似准则；</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理解模型试验的原理及应用；</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掌握量纲分析的原理及方法；</w:t>
            </w:r>
          </w:p>
        </w:tc>
      </w:tr>
      <w:tr w:rsidR="00CA5AE3" w:rsidTr="00E07285">
        <w:trPr>
          <w:trHeight w:val="1113"/>
        </w:trPr>
        <w:tc>
          <w:tcPr>
            <w:tcW w:w="27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5</w:t>
            </w:r>
          </w:p>
        </w:tc>
        <w:tc>
          <w:tcPr>
            <w:tcW w:w="111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第五章</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水头损失</w:t>
            </w:r>
          </w:p>
        </w:tc>
        <w:tc>
          <w:tcPr>
            <w:tcW w:w="38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8</w:t>
            </w:r>
          </w:p>
        </w:tc>
        <w:tc>
          <w:tcPr>
            <w:tcW w:w="1490"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1．水头损失的分类</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2．雷诺实验与流态</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3．沿程水头损失与切应力的关系</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4．圆管中的层流运动</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lastRenderedPageBreak/>
              <w:t>5. 液体的紊流运动</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6.局部水头损失</w:t>
            </w:r>
          </w:p>
        </w:tc>
        <w:tc>
          <w:tcPr>
            <w:tcW w:w="174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lastRenderedPageBreak/>
              <w:t>1. 掌握水头损失的分类及分类方法，熟悉均匀流基本方程；</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 掌握沿程水头损失的分区情况；掌握沿程水头损失计算</w:t>
            </w:r>
            <w:r>
              <w:rPr>
                <w:rFonts w:ascii="仿宋_GB2312" w:hAnsi="仿宋_GB2312" w:cs="仿宋_GB2312" w:hint="eastAsia"/>
                <w:bCs/>
                <w:sz w:val="20"/>
                <w:szCs w:val="20"/>
              </w:rPr>
              <w:lastRenderedPageBreak/>
              <w:t>的分区公式；</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3.熟练应用局部水头损失计算。</w:t>
            </w:r>
          </w:p>
        </w:tc>
      </w:tr>
      <w:tr w:rsidR="00CA5AE3" w:rsidTr="00E07285">
        <w:trPr>
          <w:trHeight w:val="1113"/>
        </w:trPr>
        <w:tc>
          <w:tcPr>
            <w:tcW w:w="27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6</w:t>
            </w:r>
          </w:p>
        </w:tc>
        <w:tc>
          <w:tcPr>
            <w:tcW w:w="111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第六章</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有压管路</w:t>
            </w:r>
          </w:p>
        </w:tc>
        <w:tc>
          <w:tcPr>
            <w:tcW w:w="38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8</w:t>
            </w:r>
          </w:p>
        </w:tc>
        <w:tc>
          <w:tcPr>
            <w:tcW w:w="1490"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1．短管的水力计算</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 长管的水力计算</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3．管网水力计算基础</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4．有压管流中的水击</w:t>
            </w:r>
          </w:p>
        </w:tc>
        <w:tc>
          <w:tcPr>
            <w:tcW w:w="174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1.了解短管和长管的分类，掌握简单管路的计算，及串联并联管路的计算；</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 熟悉管网水力计算基础、有压管流中水击计算及消除方法。</w:t>
            </w:r>
          </w:p>
        </w:tc>
      </w:tr>
      <w:tr w:rsidR="00CA5AE3" w:rsidTr="00E07285">
        <w:trPr>
          <w:trHeight w:val="1113"/>
        </w:trPr>
        <w:tc>
          <w:tcPr>
            <w:tcW w:w="27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7</w:t>
            </w:r>
          </w:p>
        </w:tc>
        <w:tc>
          <w:tcPr>
            <w:tcW w:w="111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第七章</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明渠流动</w:t>
            </w:r>
          </w:p>
        </w:tc>
        <w:tc>
          <w:tcPr>
            <w:tcW w:w="38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10</w:t>
            </w:r>
          </w:p>
        </w:tc>
        <w:tc>
          <w:tcPr>
            <w:tcW w:w="1490"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1．明渠流动概述</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2．明渠均匀流</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 无压圆管均匀流</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4．明渠非均匀流基本概念</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5．水跃与水跌</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6.棱柱形渠道非均匀渐变流水面曲线的分析</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7.明渠非均匀渐变流水面曲线的计算</w:t>
            </w:r>
          </w:p>
        </w:tc>
        <w:tc>
          <w:tcPr>
            <w:tcW w:w="174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1.掌握明渠均匀流的水力特征与基本公式、水力计算的基本问题；</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2.熟悉梯形断面渠道的水力最优断面及无压圆管的水力计算；</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3.了解明渠非均匀流的基本概念与水面曲线分析。</w:t>
            </w:r>
          </w:p>
        </w:tc>
      </w:tr>
      <w:tr w:rsidR="00CA5AE3" w:rsidTr="00E07285">
        <w:trPr>
          <w:trHeight w:val="1113"/>
        </w:trPr>
        <w:tc>
          <w:tcPr>
            <w:tcW w:w="271" w:type="pct"/>
            <w:vAlign w:val="center"/>
          </w:tcPr>
          <w:p w:rsidR="00CA5AE3" w:rsidRDefault="00CA5AE3" w:rsidP="00E07285">
            <w:pPr>
              <w:spacing w:line="360" w:lineRule="auto"/>
              <w:jc w:val="center"/>
              <w:rPr>
                <w:rFonts w:ascii="仿宋_GB2312" w:hAnsi="仿宋_GB2312" w:cs="仿宋_GB2312"/>
                <w:bCs/>
                <w:sz w:val="20"/>
                <w:szCs w:val="20"/>
              </w:rPr>
            </w:pPr>
          </w:p>
        </w:tc>
        <w:tc>
          <w:tcPr>
            <w:tcW w:w="111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第八章</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孔口、管嘴出流与堰流</w:t>
            </w:r>
          </w:p>
        </w:tc>
        <w:tc>
          <w:tcPr>
            <w:tcW w:w="38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8</w:t>
            </w:r>
          </w:p>
        </w:tc>
        <w:tc>
          <w:tcPr>
            <w:tcW w:w="1490"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1．孔口出流</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2．管嘴出流</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3．堰流</w:t>
            </w:r>
          </w:p>
        </w:tc>
        <w:tc>
          <w:tcPr>
            <w:tcW w:w="174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1.了解孔口与管嘴出流概念、掌握计算方法；</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2.了解堰流的概念及分类、熟悉堰流的计算方法。</w:t>
            </w:r>
          </w:p>
        </w:tc>
      </w:tr>
      <w:tr w:rsidR="00CA5AE3" w:rsidTr="00E07285">
        <w:trPr>
          <w:trHeight w:val="1113"/>
        </w:trPr>
        <w:tc>
          <w:tcPr>
            <w:tcW w:w="271" w:type="pct"/>
            <w:vAlign w:val="center"/>
          </w:tcPr>
          <w:p w:rsidR="00CA5AE3" w:rsidRDefault="00CA5AE3" w:rsidP="00E07285">
            <w:pPr>
              <w:spacing w:line="360" w:lineRule="auto"/>
              <w:jc w:val="center"/>
              <w:rPr>
                <w:rFonts w:ascii="仿宋_GB2312" w:hAnsi="仿宋_GB2312" w:cs="仿宋_GB2312"/>
                <w:bCs/>
                <w:sz w:val="20"/>
                <w:szCs w:val="20"/>
              </w:rPr>
            </w:pPr>
          </w:p>
        </w:tc>
        <w:tc>
          <w:tcPr>
            <w:tcW w:w="1111"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第九章</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渗流</w:t>
            </w:r>
          </w:p>
        </w:tc>
        <w:tc>
          <w:tcPr>
            <w:tcW w:w="38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8</w:t>
            </w:r>
          </w:p>
        </w:tc>
        <w:tc>
          <w:tcPr>
            <w:tcW w:w="1490"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1．概述</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2．渗流的达西定律</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3．地下水的渐变渗流</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4．井和井群</w:t>
            </w:r>
          </w:p>
        </w:tc>
        <w:tc>
          <w:tcPr>
            <w:tcW w:w="1744" w:type="pct"/>
            <w:vAlign w:val="center"/>
          </w:tcPr>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1.掌握渗流现象与渗流模型、达西渗流定律；</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2. 掌握恒定渐变渗流的裘布依公式；</w:t>
            </w:r>
          </w:p>
          <w:p w:rsidR="00CA5AE3" w:rsidRDefault="00CA5AE3"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3.熟悉井、渗渠和井群的水力计算。</w:t>
            </w:r>
          </w:p>
        </w:tc>
      </w:tr>
    </w:tbl>
    <w:p w:rsidR="00CA5AE3" w:rsidRDefault="00CA5AE3" w:rsidP="00CA5AE3">
      <w:pPr>
        <w:spacing w:beforeLines="50" w:before="156" w:afterLines="50" w:after="156" w:line="560" w:lineRule="exact"/>
        <w:rPr>
          <w:rFonts w:ascii="黑体" w:eastAsia="黑体" w:hAnsi="黑体"/>
          <w:b/>
          <w:sz w:val="28"/>
          <w:szCs w:val="28"/>
        </w:rPr>
      </w:pP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A5AE3" w:rsidRDefault="00CA5AE3" w:rsidP="00CA5AE3">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课程考核由平时考核和期终考试两个环节的综合评定。平时考核采用统计出勤、作业、实验、实验报告等；期终考试采取闭卷形式，内容涉及课程的基本概念和基本方法，题型包括名词解释、选择题、简答题、计算题、分析题等。</w:t>
      </w:r>
    </w:p>
    <w:p w:rsidR="00CA5AE3" w:rsidRDefault="00CA5AE3" w:rsidP="00CA5AE3">
      <w:pPr>
        <w:spacing w:line="360" w:lineRule="auto"/>
        <w:rPr>
          <w:rFonts w:ascii="仿宋_GB2312" w:hAnsi="仿宋_GB2312" w:cs="仿宋_GB2312"/>
          <w:bCs/>
          <w:sz w:val="28"/>
          <w:szCs w:val="28"/>
        </w:rPr>
      </w:pPr>
    </w:p>
    <w:p w:rsidR="00CA5AE3" w:rsidRDefault="00CA5AE3"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课程成绩由平时成绩和期终考试两个环节的成绩综合评定产生。各评价环节所占比例及对教学目标的支撑如下表所示。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2"/>
        <w:gridCol w:w="2841"/>
        <w:gridCol w:w="2841"/>
      </w:tblGrid>
      <w:tr w:rsidR="00CA5AE3" w:rsidTr="00E07285">
        <w:tc>
          <w:tcPr>
            <w:tcW w:w="2732" w:type="dxa"/>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成绩评定</w:t>
            </w:r>
          </w:p>
        </w:tc>
        <w:tc>
          <w:tcPr>
            <w:tcW w:w="2841" w:type="dxa"/>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评价环节</w:t>
            </w:r>
          </w:p>
        </w:tc>
        <w:tc>
          <w:tcPr>
            <w:tcW w:w="2841" w:type="dxa"/>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教学目标</w:t>
            </w:r>
          </w:p>
        </w:tc>
      </w:tr>
      <w:tr w:rsidR="00CA5AE3" w:rsidTr="00E07285">
        <w:tc>
          <w:tcPr>
            <w:tcW w:w="2732" w:type="dxa"/>
            <w:vMerge w:val="restart"/>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平时成绩（</w:t>
            </w:r>
            <w:r>
              <w:rPr>
                <w:rFonts w:ascii="Times New Roman" w:hAnsi="Times New Roman" w:hint="eastAsia"/>
                <w:kern w:val="0"/>
                <w:sz w:val="20"/>
                <w:szCs w:val="20"/>
              </w:rPr>
              <w:t>15%</w:t>
            </w:r>
            <w:r>
              <w:rPr>
                <w:rFonts w:ascii="Times New Roman" w:hAnsi="Times New Roman" w:hint="eastAsia"/>
                <w:kern w:val="0"/>
                <w:sz w:val="20"/>
                <w:szCs w:val="20"/>
              </w:rPr>
              <w:t>）</w:t>
            </w:r>
          </w:p>
        </w:tc>
        <w:tc>
          <w:tcPr>
            <w:tcW w:w="2841" w:type="dxa"/>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考勤（</w:t>
            </w:r>
            <w:r>
              <w:rPr>
                <w:rFonts w:ascii="Times New Roman" w:hAnsi="Times New Roman" w:hint="eastAsia"/>
                <w:kern w:val="0"/>
                <w:sz w:val="20"/>
                <w:szCs w:val="20"/>
              </w:rPr>
              <w:t>5%</w:t>
            </w:r>
            <w:r>
              <w:rPr>
                <w:rFonts w:ascii="Times New Roman" w:hAnsi="Times New Roman" w:hint="eastAsia"/>
                <w:kern w:val="0"/>
                <w:sz w:val="20"/>
                <w:szCs w:val="20"/>
              </w:rPr>
              <w:t>）</w:t>
            </w:r>
          </w:p>
        </w:tc>
        <w:tc>
          <w:tcPr>
            <w:tcW w:w="2841" w:type="dxa"/>
          </w:tcPr>
          <w:p w:rsidR="00CA5AE3" w:rsidRDefault="00CA5AE3" w:rsidP="00E07285">
            <w:pPr>
              <w:jc w:val="center"/>
              <w:rPr>
                <w:rFonts w:ascii="Times New Roman" w:hAnsi="Times New Roman"/>
                <w:kern w:val="0"/>
                <w:sz w:val="20"/>
                <w:szCs w:val="20"/>
              </w:rPr>
            </w:pPr>
          </w:p>
        </w:tc>
      </w:tr>
      <w:tr w:rsidR="00CA5AE3" w:rsidTr="00E07285">
        <w:tc>
          <w:tcPr>
            <w:tcW w:w="2732" w:type="dxa"/>
            <w:vMerge/>
          </w:tcPr>
          <w:p w:rsidR="00CA5AE3" w:rsidRDefault="00CA5AE3" w:rsidP="00E07285">
            <w:pPr>
              <w:jc w:val="center"/>
              <w:rPr>
                <w:rFonts w:ascii="Times New Roman" w:hAnsi="Times New Roman"/>
                <w:kern w:val="0"/>
                <w:sz w:val="20"/>
                <w:szCs w:val="20"/>
              </w:rPr>
            </w:pPr>
          </w:p>
        </w:tc>
        <w:tc>
          <w:tcPr>
            <w:tcW w:w="2841" w:type="dxa"/>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作业（</w:t>
            </w:r>
            <w:r>
              <w:rPr>
                <w:rFonts w:ascii="Times New Roman" w:hAnsi="Times New Roman" w:hint="eastAsia"/>
                <w:kern w:val="0"/>
                <w:sz w:val="20"/>
                <w:szCs w:val="20"/>
              </w:rPr>
              <w:t>10%</w:t>
            </w:r>
            <w:r>
              <w:rPr>
                <w:rFonts w:ascii="Times New Roman" w:hAnsi="Times New Roman" w:hint="eastAsia"/>
                <w:kern w:val="0"/>
                <w:sz w:val="20"/>
                <w:szCs w:val="20"/>
              </w:rPr>
              <w:t>）</w:t>
            </w:r>
          </w:p>
        </w:tc>
        <w:tc>
          <w:tcPr>
            <w:tcW w:w="2841" w:type="dxa"/>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w:t>
            </w:r>
            <w:r>
              <w:rPr>
                <w:rFonts w:ascii="Times New Roman" w:hAnsi="Times New Roman" w:hint="eastAsia"/>
                <w:kern w:val="0"/>
                <w:sz w:val="20"/>
                <w:szCs w:val="20"/>
              </w:rPr>
              <w:t>2</w:t>
            </w:r>
            <w:r>
              <w:rPr>
                <w:rFonts w:ascii="Times New Roman" w:hAnsi="Times New Roman" w:hint="eastAsia"/>
                <w:kern w:val="0"/>
                <w:sz w:val="20"/>
                <w:szCs w:val="20"/>
              </w:rPr>
              <w:t>、</w:t>
            </w:r>
            <w:r>
              <w:rPr>
                <w:rFonts w:ascii="Times New Roman" w:hAnsi="Times New Roman" w:hint="eastAsia"/>
                <w:kern w:val="0"/>
                <w:sz w:val="20"/>
                <w:szCs w:val="20"/>
              </w:rPr>
              <w:t>3</w:t>
            </w:r>
            <w:r>
              <w:rPr>
                <w:rFonts w:ascii="Times New Roman" w:hAnsi="Times New Roman" w:hint="eastAsia"/>
                <w:kern w:val="0"/>
                <w:sz w:val="20"/>
                <w:szCs w:val="20"/>
              </w:rPr>
              <w:t>、</w:t>
            </w:r>
            <w:r>
              <w:rPr>
                <w:rFonts w:ascii="Times New Roman" w:hAnsi="Times New Roman" w:hint="eastAsia"/>
                <w:kern w:val="0"/>
                <w:sz w:val="20"/>
                <w:szCs w:val="20"/>
              </w:rPr>
              <w:t>5</w:t>
            </w:r>
          </w:p>
        </w:tc>
      </w:tr>
      <w:tr w:rsidR="00CA5AE3" w:rsidTr="00E07285">
        <w:tc>
          <w:tcPr>
            <w:tcW w:w="2732" w:type="dxa"/>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实验成绩（</w:t>
            </w:r>
            <w:r>
              <w:rPr>
                <w:rFonts w:ascii="Times New Roman" w:hAnsi="Times New Roman" w:hint="eastAsia"/>
                <w:kern w:val="0"/>
                <w:sz w:val="20"/>
                <w:szCs w:val="20"/>
              </w:rPr>
              <w:t>15%</w:t>
            </w:r>
            <w:r>
              <w:rPr>
                <w:rFonts w:ascii="Times New Roman" w:hAnsi="Times New Roman" w:hint="eastAsia"/>
                <w:kern w:val="0"/>
                <w:sz w:val="20"/>
                <w:szCs w:val="20"/>
              </w:rPr>
              <w:t>）</w:t>
            </w:r>
          </w:p>
        </w:tc>
        <w:tc>
          <w:tcPr>
            <w:tcW w:w="2841" w:type="dxa"/>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实验报告（</w:t>
            </w:r>
            <w:r>
              <w:rPr>
                <w:rFonts w:ascii="Times New Roman" w:hAnsi="Times New Roman" w:hint="eastAsia"/>
                <w:kern w:val="0"/>
                <w:sz w:val="20"/>
                <w:szCs w:val="20"/>
              </w:rPr>
              <w:t>10%</w:t>
            </w:r>
            <w:r>
              <w:rPr>
                <w:rFonts w:ascii="Times New Roman" w:hAnsi="Times New Roman" w:hint="eastAsia"/>
                <w:kern w:val="0"/>
                <w:sz w:val="20"/>
                <w:szCs w:val="20"/>
              </w:rPr>
              <w:t>）考勤（</w:t>
            </w:r>
            <w:r>
              <w:rPr>
                <w:rFonts w:ascii="Times New Roman" w:hAnsi="Times New Roman" w:hint="eastAsia"/>
                <w:kern w:val="0"/>
                <w:sz w:val="20"/>
                <w:szCs w:val="20"/>
              </w:rPr>
              <w:t>5%</w:t>
            </w:r>
            <w:r>
              <w:rPr>
                <w:rFonts w:ascii="Times New Roman" w:hAnsi="Times New Roman" w:hint="eastAsia"/>
                <w:kern w:val="0"/>
                <w:sz w:val="20"/>
                <w:szCs w:val="20"/>
              </w:rPr>
              <w:t>）</w:t>
            </w:r>
          </w:p>
        </w:tc>
        <w:tc>
          <w:tcPr>
            <w:tcW w:w="2841" w:type="dxa"/>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w:t>
            </w:r>
            <w:r>
              <w:rPr>
                <w:rFonts w:ascii="Times New Roman" w:hAnsi="Times New Roman" w:hint="eastAsia"/>
                <w:kern w:val="0"/>
                <w:sz w:val="20"/>
                <w:szCs w:val="20"/>
              </w:rPr>
              <w:t>5</w:t>
            </w:r>
            <w:r>
              <w:rPr>
                <w:rFonts w:ascii="Times New Roman" w:hAnsi="Times New Roman" w:hint="eastAsia"/>
                <w:kern w:val="0"/>
                <w:sz w:val="20"/>
                <w:szCs w:val="20"/>
              </w:rPr>
              <w:t>、</w:t>
            </w:r>
          </w:p>
        </w:tc>
      </w:tr>
      <w:tr w:rsidR="00CA5AE3" w:rsidTr="00E07285">
        <w:tc>
          <w:tcPr>
            <w:tcW w:w="2732" w:type="dxa"/>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期末成绩（</w:t>
            </w:r>
            <w:r>
              <w:rPr>
                <w:rFonts w:ascii="Times New Roman" w:hAnsi="Times New Roman" w:hint="eastAsia"/>
                <w:kern w:val="0"/>
                <w:sz w:val="20"/>
                <w:szCs w:val="20"/>
              </w:rPr>
              <w:t>70%</w:t>
            </w:r>
            <w:r>
              <w:rPr>
                <w:rFonts w:ascii="Times New Roman" w:hAnsi="Times New Roman" w:hint="eastAsia"/>
                <w:kern w:val="0"/>
                <w:sz w:val="20"/>
                <w:szCs w:val="20"/>
              </w:rPr>
              <w:t>）</w:t>
            </w:r>
          </w:p>
        </w:tc>
        <w:tc>
          <w:tcPr>
            <w:tcW w:w="2841" w:type="dxa"/>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试卷（</w:t>
            </w:r>
            <w:r>
              <w:rPr>
                <w:rFonts w:ascii="Times New Roman" w:hAnsi="Times New Roman" w:hint="eastAsia"/>
                <w:kern w:val="0"/>
                <w:sz w:val="20"/>
                <w:szCs w:val="20"/>
              </w:rPr>
              <w:t>70%</w:t>
            </w:r>
            <w:r>
              <w:rPr>
                <w:rFonts w:ascii="Times New Roman" w:hAnsi="Times New Roman" w:hint="eastAsia"/>
                <w:kern w:val="0"/>
                <w:sz w:val="20"/>
                <w:szCs w:val="20"/>
              </w:rPr>
              <w:t>）</w:t>
            </w:r>
          </w:p>
        </w:tc>
        <w:tc>
          <w:tcPr>
            <w:tcW w:w="2841" w:type="dxa"/>
          </w:tcPr>
          <w:p w:rsidR="00CA5AE3" w:rsidRDefault="00CA5AE3" w:rsidP="00E07285">
            <w:pPr>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w:t>
            </w:r>
            <w:r>
              <w:rPr>
                <w:rFonts w:ascii="Times New Roman" w:hAnsi="Times New Roman" w:hint="eastAsia"/>
                <w:kern w:val="0"/>
                <w:sz w:val="20"/>
                <w:szCs w:val="20"/>
              </w:rPr>
              <w:t>2</w:t>
            </w:r>
            <w:r>
              <w:rPr>
                <w:rFonts w:ascii="Times New Roman" w:hAnsi="Times New Roman" w:hint="eastAsia"/>
                <w:kern w:val="0"/>
                <w:sz w:val="20"/>
                <w:szCs w:val="20"/>
              </w:rPr>
              <w:t>、</w:t>
            </w:r>
            <w:r>
              <w:rPr>
                <w:rFonts w:ascii="Times New Roman" w:hAnsi="Times New Roman" w:hint="eastAsia"/>
                <w:kern w:val="0"/>
                <w:sz w:val="20"/>
                <w:szCs w:val="20"/>
              </w:rPr>
              <w:t>3</w:t>
            </w:r>
          </w:p>
        </w:tc>
      </w:tr>
    </w:tbl>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通过平时作业与期终考试等对学生核心知识、基本计算、科学研究能力等进行考核， 通过实验对学生观察问题、分析问题和解决问题、理论联系实际等能力进行考核， 即对毕业要求的相关指标点的达成度进行评估。</w:t>
      </w:r>
    </w:p>
    <w:p w:rsidR="00CA5AE3" w:rsidRDefault="00CA5AE3" w:rsidP="00CA5AE3">
      <w:pPr>
        <w:spacing w:line="360" w:lineRule="auto"/>
        <w:rPr>
          <w:rFonts w:ascii="仿宋_GB2312" w:hAnsi="仿宋_GB2312" w:cs="仿宋_GB2312"/>
          <w:bCs/>
          <w:sz w:val="28"/>
          <w:szCs w:val="28"/>
        </w:rPr>
      </w:pP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1．建议课程教材：</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lastRenderedPageBreak/>
        <w:t xml:space="preserve">     《水力学》，张维佳主编，中国建筑工业出版社，2008年</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 xml:space="preserve">   2．主要参考资料：</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 xml:space="preserve">《流体力学》，刘鹤年主编，中国建筑工业出版社，2004年 </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《水力学》，，西南交通大学 ，高等教育出版社，1961年</w:t>
      </w:r>
    </w:p>
    <w:p w:rsidR="00CA5AE3" w:rsidRDefault="00CA5AE3" w:rsidP="00CA5AE3">
      <w:pPr>
        <w:spacing w:line="360" w:lineRule="auto"/>
        <w:rPr>
          <w:rFonts w:ascii="仿宋_GB2312" w:hAnsi="仿宋_GB2312" w:cs="仿宋_GB2312"/>
          <w:bCs/>
          <w:sz w:val="28"/>
          <w:szCs w:val="28"/>
        </w:rPr>
      </w:pPr>
    </w:p>
    <w:p w:rsidR="00CA5AE3" w:rsidRDefault="00CA5AE3" w:rsidP="00CA5AE3">
      <w:pPr>
        <w:spacing w:line="360" w:lineRule="auto"/>
        <w:rPr>
          <w:rFonts w:ascii="仿宋_GB2312" w:hAnsi="仿宋_GB2312" w:cs="仿宋_GB2312"/>
          <w:bCs/>
          <w:sz w:val="28"/>
          <w:szCs w:val="28"/>
        </w:rPr>
      </w:pPr>
    </w:p>
    <w:p w:rsidR="00CA5AE3" w:rsidRDefault="00CA5AE3" w:rsidP="00CA5AE3">
      <w:pPr>
        <w:spacing w:line="360" w:lineRule="auto"/>
        <w:ind w:firstLineChars="1100" w:firstLine="3080"/>
        <w:rPr>
          <w:rFonts w:ascii="仿宋_GB2312" w:hAnsi="仿宋_GB2312" w:cs="仿宋_GB2312"/>
          <w:bCs/>
          <w:sz w:val="28"/>
          <w:szCs w:val="28"/>
        </w:rPr>
      </w:pPr>
      <w:r>
        <w:rPr>
          <w:rFonts w:ascii="仿宋_GB2312" w:hAnsi="仿宋_GB2312" w:cs="仿宋_GB2312" w:hint="eastAsia"/>
          <w:bCs/>
          <w:sz w:val="28"/>
          <w:szCs w:val="28"/>
        </w:rPr>
        <w:t>大纲撰写人：韩大鹏</w:t>
      </w:r>
    </w:p>
    <w:p w:rsidR="00CA5AE3" w:rsidRDefault="00CA5AE3" w:rsidP="00CA5AE3">
      <w:pPr>
        <w:spacing w:line="360" w:lineRule="auto"/>
        <w:ind w:firstLineChars="1100" w:firstLine="3080"/>
        <w:rPr>
          <w:rFonts w:ascii="仿宋_GB2312" w:hAnsi="仿宋_GB2312" w:cs="仿宋_GB2312"/>
          <w:bCs/>
          <w:sz w:val="28"/>
          <w:szCs w:val="28"/>
        </w:rPr>
      </w:pPr>
      <w:r>
        <w:rPr>
          <w:rFonts w:ascii="仿宋_GB2312" w:hAnsi="仿宋_GB2312" w:cs="仿宋_GB2312" w:hint="eastAsia"/>
          <w:bCs/>
          <w:sz w:val="28"/>
          <w:szCs w:val="28"/>
        </w:rPr>
        <w:t>课程负责人：韩大鹏</w:t>
      </w:r>
    </w:p>
    <w:p w:rsidR="00CA5AE3" w:rsidRDefault="00CA5AE3" w:rsidP="00CA5AE3">
      <w:pPr>
        <w:spacing w:line="360" w:lineRule="auto"/>
        <w:ind w:firstLineChars="1100" w:firstLine="3080"/>
        <w:rPr>
          <w:rFonts w:ascii="仿宋_GB2312" w:hAnsi="仿宋_GB2312" w:cs="仿宋_GB2312"/>
          <w:bCs/>
          <w:sz w:val="28"/>
          <w:szCs w:val="28"/>
        </w:rPr>
      </w:pPr>
      <w:r>
        <w:rPr>
          <w:rFonts w:ascii="仿宋_GB2312" w:hAnsi="仿宋_GB2312" w:cs="仿宋_GB2312" w:hint="eastAsia"/>
          <w:bCs/>
          <w:sz w:val="28"/>
          <w:szCs w:val="28"/>
        </w:rPr>
        <w:t>审核人：</w:t>
      </w:r>
    </w:p>
    <w:p w:rsidR="00CA5AE3" w:rsidRDefault="00CA5AE3" w:rsidP="00CA5AE3">
      <w:pPr>
        <w:spacing w:line="360" w:lineRule="auto"/>
        <w:rPr>
          <w:rFonts w:ascii="仿宋_GB2312" w:hAnsi="仿宋_GB2312" w:cs="仿宋_GB2312"/>
          <w:bCs/>
          <w:sz w:val="28"/>
          <w:szCs w:val="28"/>
        </w:rPr>
      </w:pPr>
      <w:r>
        <w:rPr>
          <w:rFonts w:ascii="仿宋_GB2312" w:hAnsi="仿宋_GB2312" w:cs="仿宋_GB2312" w:hint="eastAsia"/>
          <w:bCs/>
          <w:sz w:val="28"/>
          <w:szCs w:val="28"/>
        </w:rPr>
        <w:t xml:space="preserve">                         </w:t>
      </w:r>
    </w:p>
    <w:p w:rsidR="00CA5AE3" w:rsidRDefault="00CA5AE3" w:rsidP="00CA5AE3">
      <w:pPr>
        <w:spacing w:line="360" w:lineRule="auto"/>
        <w:ind w:firstLineChars="1300" w:firstLine="3640"/>
        <w:rPr>
          <w:rFonts w:ascii="仿宋_GB2312" w:hAnsi="仿宋_GB2312" w:cs="仿宋_GB2312"/>
          <w:bCs/>
          <w:sz w:val="28"/>
          <w:szCs w:val="28"/>
        </w:rPr>
      </w:pPr>
      <w:r>
        <w:rPr>
          <w:rFonts w:ascii="仿宋_GB2312" w:hAnsi="仿宋_GB2312" w:cs="仿宋_GB2312" w:hint="eastAsia"/>
          <w:bCs/>
          <w:sz w:val="28"/>
          <w:szCs w:val="28"/>
        </w:rPr>
        <w:t xml:space="preserve"> 2021 年 4 月</w:t>
      </w:r>
    </w:p>
    <w:p w:rsidR="00CA5AE3" w:rsidRDefault="00CA5AE3" w:rsidP="00CA5AE3"/>
    <w:p w:rsidR="00CA5AE3" w:rsidRDefault="00CA5AE3" w:rsidP="00CA5AE3">
      <w:pPr>
        <w:jc w:val="left"/>
        <w:rPr>
          <w:rFonts w:ascii="仿宋" w:eastAsia="仿宋" w:hAnsi="仿宋"/>
          <w:sz w:val="28"/>
          <w:szCs w:val="28"/>
        </w:rPr>
      </w:pPr>
    </w:p>
    <w:p w:rsidR="00CA5AE3" w:rsidRDefault="00CA5AE3" w:rsidP="00CA5AE3">
      <w:pPr>
        <w:jc w:val="left"/>
        <w:rPr>
          <w:rFonts w:ascii="仿宋" w:eastAsia="仿宋" w:hAnsi="仿宋"/>
          <w:sz w:val="28"/>
          <w:szCs w:val="28"/>
        </w:rPr>
      </w:pPr>
    </w:p>
    <w:p w:rsidR="00CA5AE3" w:rsidRDefault="00CA5AE3" w:rsidP="00CA5AE3">
      <w:pPr>
        <w:jc w:val="left"/>
        <w:rPr>
          <w:rFonts w:ascii="仿宋" w:eastAsia="仿宋" w:hAnsi="仿宋"/>
          <w:sz w:val="28"/>
          <w:szCs w:val="28"/>
        </w:rPr>
      </w:pPr>
    </w:p>
    <w:p w:rsidR="00CA5AE3" w:rsidRDefault="00CA5AE3" w:rsidP="00CA5AE3">
      <w:pPr>
        <w:jc w:val="left"/>
        <w:rPr>
          <w:rFonts w:ascii="仿宋" w:eastAsia="仿宋" w:hAnsi="仿宋"/>
          <w:sz w:val="28"/>
          <w:szCs w:val="28"/>
        </w:rPr>
      </w:pPr>
    </w:p>
    <w:p w:rsidR="00CA5AE3" w:rsidRDefault="00CA5AE3" w:rsidP="00CA5AE3">
      <w:pPr>
        <w:jc w:val="left"/>
        <w:rPr>
          <w:rFonts w:ascii="仿宋" w:eastAsia="仿宋" w:hAnsi="仿宋"/>
          <w:sz w:val="28"/>
          <w:szCs w:val="28"/>
        </w:rPr>
      </w:pPr>
    </w:p>
    <w:p w:rsidR="00CA5AE3" w:rsidRDefault="00CA5AE3" w:rsidP="00CA5AE3">
      <w:pPr>
        <w:jc w:val="left"/>
        <w:rPr>
          <w:rFonts w:ascii="仿宋" w:eastAsia="仿宋" w:hAnsi="仿宋"/>
          <w:sz w:val="28"/>
          <w:szCs w:val="28"/>
        </w:rPr>
      </w:pPr>
    </w:p>
    <w:p w:rsidR="00CA5AE3" w:rsidRDefault="00CA5AE3" w:rsidP="00CA5AE3">
      <w:pPr>
        <w:jc w:val="left"/>
        <w:rPr>
          <w:rFonts w:ascii="仿宋" w:eastAsia="仿宋" w:hAnsi="仿宋"/>
          <w:sz w:val="28"/>
          <w:szCs w:val="28"/>
        </w:rPr>
      </w:pPr>
    </w:p>
    <w:p w:rsidR="00CA5AE3" w:rsidRDefault="00CA5AE3" w:rsidP="00CA5AE3">
      <w:pPr>
        <w:jc w:val="left"/>
        <w:rPr>
          <w:rFonts w:ascii="仿宋" w:eastAsia="仿宋" w:hAnsi="仿宋"/>
          <w:sz w:val="28"/>
          <w:szCs w:val="28"/>
        </w:rPr>
      </w:pPr>
    </w:p>
    <w:p w:rsidR="00CA5AE3" w:rsidRDefault="00CA5AE3" w:rsidP="00CA5AE3">
      <w:pPr>
        <w:jc w:val="left"/>
        <w:rPr>
          <w:rFonts w:ascii="仿宋" w:eastAsia="仿宋" w:hAnsi="仿宋"/>
          <w:sz w:val="28"/>
          <w:szCs w:val="28"/>
        </w:rPr>
      </w:pPr>
    </w:p>
    <w:p w:rsidR="00CA5AE3" w:rsidRDefault="00CA5AE3" w:rsidP="00CA5AE3">
      <w:pPr>
        <w:jc w:val="left"/>
        <w:rPr>
          <w:rFonts w:ascii="仿宋" w:eastAsia="仿宋" w:hAnsi="仿宋"/>
          <w:sz w:val="28"/>
          <w:szCs w:val="28"/>
        </w:rPr>
      </w:pPr>
    </w:p>
    <w:p w:rsidR="00CA5AE3" w:rsidRDefault="00CA5AE3" w:rsidP="00CA5AE3">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《水处理生物学》课程教学大纲</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Biology for Water and Wastewater Treatment</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课程编码：Z28060</w:t>
      </w:r>
      <w:r>
        <w:rPr>
          <w:rFonts w:ascii="仿宋_GB2312" w:hAnsi="仿宋_GB2312" w:cs="仿宋_GB2312"/>
          <w:bCs/>
          <w:sz w:val="28"/>
          <w:szCs w:val="28"/>
        </w:rPr>
        <w:t>5</w:t>
      </w:r>
      <w:r>
        <w:rPr>
          <w:rFonts w:ascii="仿宋_GB2312" w:hAnsi="仿宋_GB2312" w:cs="仿宋_GB2312" w:hint="eastAsia"/>
          <w:bCs/>
          <w:sz w:val="28"/>
          <w:szCs w:val="28"/>
        </w:rPr>
        <w:t>0</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授课语言：汉语</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授课方式：线下</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课程类别：学科基础</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课程性质：必修课</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学　　分：1.5</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学    时：24学时（授课24，实验0，上机0，课外0）</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适用对象：给排水科学与工程</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先修课程：</w:t>
      </w:r>
      <w:r>
        <w:rPr>
          <w:rFonts w:ascii="仿宋_GB2312" w:hAnsi="仿宋_GB2312" w:cs="仿宋_GB2312"/>
          <w:bCs/>
          <w:sz w:val="28"/>
          <w:szCs w:val="28"/>
        </w:rPr>
        <w:t xml:space="preserve"> 无</w:t>
      </w:r>
    </w:p>
    <w:p w:rsidR="00CA5AE3" w:rsidRDefault="00CA5AE3" w:rsidP="00CA5AE3">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w:t>
      </w:r>
      <w:r>
        <w:rPr>
          <w:rFonts w:ascii="黑体" w:eastAsia="黑体" w:hAnsi="黑体"/>
          <w:b/>
          <w:sz w:val="28"/>
          <w:szCs w:val="28"/>
        </w:rPr>
        <w:t>课程简介</w:t>
      </w:r>
    </w:p>
    <w:p w:rsidR="00CA5AE3" w:rsidRDefault="00CA5AE3" w:rsidP="00CA5AE3">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水处理生物学》是给排水科学与工程专业学生的学科基础必修课，涉及水处理过程中的各类微生物以及相关的大型水生植物的介绍，微生物的代谢与生长，水处理工艺中主要微生物作用机理及代谢过程，水的卫生细菌学等基本知识，通过该课程的学习，掌握水处理的基本生物学原理，能更好的理解工艺的设计与改进，是生物水处理技术的核心课程。</w:t>
      </w:r>
    </w:p>
    <w:p w:rsidR="00CA5AE3" w:rsidRDefault="00CA5AE3" w:rsidP="00CA5AE3">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教学内容为水处理生物学基础包括原核微生物，古菌，真核微生物，病毒，微生物的生理特点，生长和遗传变异，微生物生态和大型水生生物，以及微生物对污染物的生物分解与转化，污水处理系统中</w:t>
      </w:r>
      <w:r>
        <w:rPr>
          <w:rFonts w:ascii="仿宋_GB2312" w:hAnsi="仿宋_GB2312" w:cs="仿宋_GB2312" w:hint="eastAsia"/>
          <w:sz w:val="28"/>
          <w:szCs w:val="28"/>
        </w:rPr>
        <w:lastRenderedPageBreak/>
        <w:t>的主要微生物，大型水生植物的水质净化作用及应用，水质安全与生物监测等。</w:t>
      </w:r>
    </w:p>
    <w:p w:rsidR="00CA5AE3" w:rsidRDefault="00CA5AE3" w:rsidP="00CA5AE3">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教学方式</w:t>
      </w:r>
      <w:r>
        <w:rPr>
          <w:rFonts w:ascii="仿宋_GB2312" w:hAnsi="仿宋_GB2312" w:cs="仿宋_GB2312" w:hint="eastAsia"/>
          <w:sz w:val="28"/>
          <w:szCs w:val="28"/>
        </w:rPr>
        <w:t>采用</w:t>
      </w:r>
      <w:r>
        <w:rPr>
          <w:rFonts w:ascii="仿宋_GB2312" w:hAnsi="仿宋_GB2312" w:cs="仿宋_GB2312"/>
          <w:sz w:val="28"/>
          <w:szCs w:val="28"/>
        </w:rPr>
        <w:t>PPT</w:t>
      </w:r>
      <w:r>
        <w:rPr>
          <w:rFonts w:ascii="仿宋_GB2312" w:hAnsi="仿宋_GB2312" w:cs="仿宋_GB2312" w:hint="eastAsia"/>
          <w:sz w:val="28"/>
          <w:szCs w:val="28"/>
        </w:rPr>
        <w:t>（基础知识点降解）、板书（工艺结构简图，物质转移转化过程图）、视频（微生物形态）、课下反思报告和练习题等相结合，使学生理解水处理工艺设计的依据，具备工艺优化的分析能力。</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w:t>
      </w:r>
      <w:r>
        <w:rPr>
          <w:rFonts w:ascii="黑体" w:eastAsia="黑体" w:hAnsi="黑体"/>
          <w:b/>
          <w:sz w:val="28"/>
          <w:szCs w:val="28"/>
        </w:rPr>
        <w:t>任务</w:t>
      </w:r>
      <w:r>
        <w:rPr>
          <w:rFonts w:ascii="黑体" w:eastAsia="黑体" w:hAnsi="黑体" w:hint="eastAsia"/>
          <w:b/>
          <w:sz w:val="28"/>
          <w:szCs w:val="28"/>
        </w:rPr>
        <w:t>、目的与要求</w:t>
      </w:r>
    </w:p>
    <w:p w:rsidR="00CA5AE3" w:rsidRDefault="00CA5AE3" w:rsidP="00CA5AE3">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课程任务</w:t>
      </w:r>
    </w:p>
    <w:p w:rsidR="00CA5AE3" w:rsidRDefault="00CA5AE3" w:rsidP="00CA5AE3">
      <w:pPr>
        <w:spacing w:line="560" w:lineRule="exact"/>
        <w:ind w:firstLineChars="203" w:firstLine="568"/>
        <w:rPr>
          <w:rFonts w:ascii="仿宋_GB2312" w:hAnsi="仿宋_GB2312" w:cs="仿宋_GB2312"/>
          <w:sz w:val="28"/>
          <w:szCs w:val="28"/>
        </w:rPr>
      </w:pPr>
      <w:r>
        <w:rPr>
          <w:rFonts w:ascii="仿宋_GB2312" w:hAnsi="仿宋_GB2312" w:cs="仿宋_GB2312" w:hint="eastAsia"/>
          <w:sz w:val="28"/>
          <w:szCs w:val="28"/>
        </w:rPr>
        <w:t>《水处理生物学》课程是给排水科学与工程专业的一门必修课，是使学生掌握与水处理相关的（微）生物学基本知识，掌握微生物、水生植物、水生动物等再水体净化和水处理中的作用机理和规律，学习水中微生物的检验方法等。</w:t>
      </w:r>
      <w:r>
        <w:rPr>
          <w:rFonts w:ascii="仿宋_GB2312" w:hAnsi="仿宋_GB2312" w:cs="仿宋_GB2312"/>
          <w:sz w:val="28"/>
          <w:szCs w:val="28"/>
        </w:rPr>
        <w:t xml:space="preserve"> </w:t>
      </w:r>
    </w:p>
    <w:p w:rsidR="00CA5AE3" w:rsidRDefault="00CA5AE3" w:rsidP="00CA5AE3">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 xml:space="preserve">2. </w:t>
      </w:r>
      <w:r>
        <w:rPr>
          <w:rFonts w:ascii="仿宋_GB2312" w:hAnsi="仿宋_GB2312" w:cs="仿宋_GB2312" w:hint="eastAsia"/>
          <w:sz w:val="28"/>
          <w:szCs w:val="28"/>
        </w:rPr>
        <w:t>课程基本要求</w:t>
      </w:r>
    </w:p>
    <w:p w:rsidR="00CA5AE3" w:rsidRDefault="00CA5AE3" w:rsidP="00CA5AE3">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 xml:space="preserve">.1 </w:t>
      </w:r>
      <w:r>
        <w:rPr>
          <w:rFonts w:ascii="仿宋_GB2312" w:hAnsi="仿宋_GB2312" w:cs="仿宋_GB2312" w:hint="eastAsia"/>
          <w:sz w:val="28"/>
          <w:szCs w:val="28"/>
        </w:rPr>
        <w:t>课程目标</w:t>
      </w:r>
    </w:p>
    <w:p w:rsidR="00CA5AE3" w:rsidRDefault="00CA5AE3" w:rsidP="00CA5AE3">
      <w:pPr>
        <w:spacing w:line="560" w:lineRule="exact"/>
        <w:ind w:firstLineChars="203" w:firstLine="568"/>
        <w:rPr>
          <w:rFonts w:ascii="仿宋_GB2312" w:hAnsi="仿宋_GB2312" w:cs="仿宋_GB2312"/>
          <w:sz w:val="28"/>
          <w:szCs w:val="28"/>
        </w:rPr>
      </w:pPr>
      <w:r>
        <w:rPr>
          <w:rFonts w:ascii="仿宋_GB2312" w:hAnsi="仿宋_GB2312" w:cs="仿宋_GB2312" w:hint="eastAsia"/>
          <w:sz w:val="28"/>
          <w:szCs w:val="28"/>
        </w:rPr>
        <w:t>知识目标：应掌握原核微生物，真核微生物，古菌，病毒的种类和特点，通过微生物生理特点及生长和遗传变异的学习，掌握微生物代谢的几种方式，结合微生物生态的学习，了解微生物与环境之间的作用关系，理解影响微生物生长的环境因素的意义；通过微生物对污染物的分解与转化的学习，掌握不同种类的有机物在微生物体内的转移转化过程，结合好氧和厌氧条件下污水生物处理系统的主要微生物的学习，理解污水的好氧和厌氧处理的基本原理；通过大型水生生物的种类和水质净化作用的学习，了解水生生物的水处理应用技术。</w:t>
      </w:r>
    </w:p>
    <w:p w:rsidR="00CA5AE3" w:rsidRDefault="00CA5AE3" w:rsidP="00CA5AE3">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能力目标：在理解各种微生物的种类及形态的基础上，掌握污水治理过程中微生物的生长特点及其指示作用，能根据微生物特性大致</w:t>
      </w:r>
      <w:r>
        <w:rPr>
          <w:rFonts w:ascii="仿宋_GB2312" w:hAnsi="仿宋_GB2312" w:cs="仿宋_GB2312" w:hint="eastAsia"/>
          <w:sz w:val="28"/>
          <w:szCs w:val="28"/>
        </w:rPr>
        <w:lastRenderedPageBreak/>
        <w:t>判断水体的污染情况。在理解与掌握微生物代谢途径等知识点的基础上，能合理的解释并分析污染物降解过程，并能诊断出污水处理过程中可能出现的问题。根据污染物分解与转化及污水生物处理系统中的主要微生物相关知识，能针对不同的物质，理解水处理工艺设计的依据，具备工艺优化的分析能力。通过学习大型水生植物，理解人工湿地及海绵城市建设过程中的生态修复原理，并作为设计依据。</w:t>
      </w:r>
    </w:p>
    <w:p w:rsidR="00CA5AE3" w:rsidRDefault="00CA5AE3" w:rsidP="00CA5AE3">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情感态度与价值观目标：学会运用辩证思维去思考问题，理论联系实际，理论指导实践，透过表观抓住本质，理解事物的本质，顺应自然规律，合理运用规律，解决社会问题。将普适性规律拓展应用，举一反三，培养学生的科学思维能力和作为工程技术人员的社会责任感。</w:t>
      </w:r>
    </w:p>
    <w:p w:rsidR="00CA5AE3" w:rsidRDefault="00CA5AE3" w:rsidP="00CA5AE3">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417"/>
        <w:gridCol w:w="417"/>
        <w:gridCol w:w="478"/>
        <w:gridCol w:w="478"/>
        <w:gridCol w:w="478"/>
        <w:gridCol w:w="478"/>
        <w:gridCol w:w="478"/>
        <w:gridCol w:w="478"/>
        <w:gridCol w:w="478"/>
        <w:gridCol w:w="514"/>
        <w:gridCol w:w="514"/>
        <w:gridCol w:w="563"/>
      </w:tblGrid>
      <w:tr w:rsidR="00CA5AE3" w:rsidTr="00E07285">
        <w:trPr>
          <w:trHeight w:hRule="exact" w:val="454"/>
          <w:jc w:val="center"/>
        </w:trPr>
        <w:tc>
          <w:tcPr>
            <w:tcW w:w="3213" w:type="dxa"/>
            <w:vMerge w:val="restart"/>
            <w:shd w:val="clear" w:color="auto" w:fill="auto"/>
            <w:vAlign w:val="center"/>
          </w:tcPr>
          <w:p w:rsidR="00CA5AE3" w:rsidRDefault="00CA5AE3" w:rsidP="00E07285">
            <w:pPr>
              <w:spacing w:line="360" w:lineRule="auto"/>
              <w:jc w:val="center"/>
              <w:rPr>
                <w:rFonts w:ascii="仿宋_GB2312" w:hAnsi="仿宋_GB2312" w:cs="仿宋_GB2312"/>
                <w:sz w:val="28"/>
                <w:szCs w:val="28"/>
              </w:rPr>
            </w:pPr>
            <w:r>
              <w:rPr>
                <w:rFonts w:ascii="仿宋_GB2312" w:hAnsi="仿宋_GB2312" w:cs="仿宋_GB2312" w:hint="eastAsia"/>
                <w:sz w:val="28"/>
                <w:szCs w:val="28"/>
              </w:rPr>
              <w:t>课程目标</w:t>
            </w:r>
          </w:p>
        </w:tc>
        <w:tc>
          <w:tcPr>
            <w:tcW w:w="6136" w:type="dxa"/>
            <w:gridSpan w:val="12"/>
            <w:shd w:val="clear" w:color="auto" w:fill="auto"/>
            <w:vAlign w:val="center"/>
          </w:tcPr>
          <w:p w:rsidR="00CA5AE3" w:rsidRDefault="00CA5AE3" w:rsidP="00E07285">
            <w:pPr>
              <w:jc w:val="center"/>
              <w:rPr>
                <w:rFonts w:ascii="仿宋_GB2312" w:hAnsi="仿宋_GB2312" w:cs="仿宋_GB2312"/>
                <w:sz w:val="28"/>
                <w:szCs w:val="28"/>
              </w:rPr>
            </w:pPr>
            <w:r>
              <w:rPr>
                <w:rFonts w:ascii="仿宋_GB2312" w:hAnsi="仿宋_GB2312" w:cs="仿宋_GB2312" w:hint="eastAsia"/>
                <w:sz w:val="28"/>
                <w:szCs w:val="28"/>
              </w:rPr>
              <w:t>毕业要求</w:t>
            </w:r>
          </w:p>
        </w:tc>
      </w:tr>
      <w:tr w:rsidR="00CA5AE3" w:rsidTr="00E07285">
        <w:trPr>
          <w:trHeight w:hRule="exact" w:val="454"/>
          <w:jc w:val="center"/>
        </w:trPr>
        <w:tc>
          <w:tcPr>
            <w:tcW w:w="3213" w:type="dxa"/>
            <w:vMerge/>
            <w:shd w:val="clear" w:color="auto" w:fill="auto"/>
          </w:tcPr>
          <w:p w:rsidR="00CA5AE3" w:rsidRDefault="00CA5AE3" w:rsidP="00E07285">
            <w:pPr>
              <w:spacing w:line="360" w:lineRule="auto"/>
              <w:rPr>
                <w:rFonts w:ascii="仿宋_GB2312" w:hAnsi="仿宋_GB2312" w:cs="仿宋_GB2312"/>
                <w:sz w:val="28"/>
                <w:szCs w:val="28"/>
              </w:rPr>
            </w:pPr>
          </w:p>
        </w:tc>
        <w:tc>
          <w:tcPr>
            <w:tcW w:w="438"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1</w:t>
            </w:r>
          </w:p>
        </w:tc>
        <w:tc>
          <w:tcPr>
            <w:tcW w:w="437"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2</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3</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4</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5</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6</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7</w:t>
            </w:r>
          </w:p>
        </w:tc>
        <w:tc>
          <w:tcPr>
            <w:tcW w:w="520"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8</w:t>
            </w:r>
          </w:p>
        </w:tc>
        <w:tc>
          <w:tcPr>
            <w:tcW w:w="520"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9</w:t>
            </w:r>
          </w:p>
        </w:tc>
        <w:tc>
          <w:tcPr>
            <w:tcW w:w="520"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10</w:t>
            </w:r>
          </w:p>
        </w:tc>
        <w:tc>
          <w:tcPr>
            <w:tcW w:w="520"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11</w:t>
            </w:r>
          </w:p>
        </w:tc>
        <w:tc>
          <w:tcPr>
            <w:tcW w:w="586"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12</w:t>
            </w:r>
          </w:p>
        </w:tc>
      </w:tr>
      <w:tr w:rsidR="00CA5AE3" w:rsidTr="00E07285">
        <w:trPr>
          <w:trHeight w:hRule="exact" w:val="454"/>
          <w:jc w:val="center"/>
        </w:trPr>
        <w:tc>
          <w:tcPr>
            <w:tcW w:w="3213"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知识目标</w:t>
            </w:r>
          </w:p>
        </w:tc>
        <w:tc>
          <w:tcPr>
            <w:tcW w:w="438"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H</w:t>
            </w:r>
          </w:p>
        </w:tc>
        <w:tc>
          <w:tcPr>
            <w:tcW w:w="437"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M</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p>
        </w:tc>
        <w:tc>
          <w:tcPr>
            <w:tcW w:w="520" w:type="dxa"/>
            <w:shd w:val="clear" w:color="auto" w:fill="auto"/>
          </w:tcPr>
          <w:p w:rsidR="00CA5AE3" w:rsidRDefault="00CA5AE3" w:rsidP="00E07285">
            <w:pPr>
              <w:spacing w:line="360" w:lineRule="auto"/>
              <w:rPr>
                <w:rFonts w:ascii="仿宋_GB2312" w:hAnsi="仿宋_GB2312" w:cs="仿宋_GB2312"/>
                <w:sz w:val="28"/>
                <w:szCs w:val="28"/>
              </w:rPr>
            </w:pPr>
          </w:p>
        </w:tc>
        <w:tc>
          <w:tcPr>
            <w:tcW w:w="520" w:type="dxa"/>
            <w:shd w:val="clear" w:color="auto" w:fill="auto"/>
          </w:tcPr>
          <w:p w:rsidR="00CA5AE3" w:rsidRDefault="00CA5AE3" w:rsidP="00E07285">
            <w:pPr>
              <w:spacing w:line="360" w:lineRule="auto"/>
              <w:rPr>
                <w:rFonts w:ascii="仿宋_GB2312" w:hAnsi="仿宋_GB2312" w:cs="仿宋_GB2312"/>
                <w:sz w:val="28"/>
                <w:szCs w:val="28"/>
              </w:rPr>
            </w:pPr>
          </w:p>
        </w:tc>
        <w:tc>
          <w:tcPr>
            <w:tcW w:w="520" w:type="dxa"/>
            <w:shd w:val="clear" w:color="auto" w:fill="auto"/>
          </w:tcPr>
          <w:p w:rsidR="00CA5AE3" w:rsidRDefault="00CA5AE3" w:rsidP="00E07285">
            <w:pPr>
              <w:spacing w:line="360" w:lineRule="auto"/>
              <w:rPr>
                <w:rFonts w:ascii="仿宋_GB2312" w:hAnsi="仿宋_GB2312" w:cs="仿宋_GB2312"/>
                <w:sz w:val="28"/>
                <w:szCs w:val="28"/>
              </w:rPr>
            </w:pPr>
          </w:p>
        </w:tc>
        <w:tc>
          <w:tcPr>
            <w:tcW w:w="520" w:type="dxa"/>
            <w:shd w:val="clear" w:color="auto" w:fill="auto"/>
          </w:tcPr>
          <w:p w:rsidR="00CA5AE3" w:rsidRDefault="00CA5AE3" w:rsidP="00E07285">
            <w:pPr>
              <w:spacing w:line="360" w:lineRule="auto"/>
              <w:rPr>
                <w:rFonts w:ascii="仿宋_GB2312" w:hAnsi="仿宋_GB2312" w:cs="仿宋_GB2312"/>
                <w:sz w:val="28"/>
                <w:szCs w:val="28"/>
              </w:rPr>
            </w:pPr>
          </w:p>
        </w:tc>
        <w:tc>
          <w:tcPr>
            <w:tcW w:w="586" w:type="dxa"/>
            <w:shd w:val="clear" w:color="auto" w:fill="auto"/>
          </w:tcPr>
          <w:p w:rsidR="00CA5AE3" w:rsidRDefault="00CA5AE3" w:rsidP="00E07285">
            <w:pPr>
              <w:spacing w:line="360" w:lineRule="auto"/>
              <w:rPr>
                <w:rFonts w:ascii="仿宋_GB2312" w:hAnsi="仿宋_GB2312" w:cs="仿宋_GB2312"/>
                <w:sz w:val="28"/>
                <w:szCs w:val="28"/>
              </w:rPr>
            </w:pPr>
          </w:p>
        </w:tc>
      </w:tr>
      <w:tr w:rsidR="00CA5AE3" w:rsidTr="00E07285">
        <w:trPr>
          <w:trHeight w:hRule="exact" w:val="454"/>
          <w:jc w:val="center"/>
        </w:trPr>
        <w:tc>
          <w:tcPr>
            <w:tcW w:w="3213" w:type="dxa"/>
            <w:shd w:val="clear" w:color="auto" w:fill="auto"/>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能力目标</w:t>
            </w:r>
          </w:p>
        </w:tc>
        <w:tc>
          <w:tcPr>
            <w:tcW w:w="438"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p>
        </w:tc>
        <w:tc>
          <w:tcPr>
            <w:tcW w:w="437"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sz w:val="28"/>
                <w:szCs w:val="28"/>
              </w:rPr>
              <w:t>H</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H</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L</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L</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p>
        </w:tc>
        <w:tc>
          <w:tcPr>
            <w:tcW w:w="520" w:type="dxa"/>
            <w:shd w:val="clear" w:color="auto" w:fill="auto"/>
          </w:tcPr>
          <w:p w:rsidR="00CA5AE3" w:rsidRDefault="00CA5AE3" w:rsidP="00E07285">
            <w:pPr>
              <w:spacing w:line="360" w:lineRule="auto"/>
              <w:rPr>
                <w:rFonts w:ascii="仿宋_GB2312" w:hAnsi="仿宋_GB2312" w:cs="仿宋_GB2312"/>
                <w:sz w:val="28"/>
                <w:szCs w:val="28"/>
              </w:rPr>
            </w:pPr>
          </w:p>
        </w:tc>
        <w:tc>
          <w:tcPr>
            <w:tcW w:w="520" w:type="dxa"/>
            <w:shd w:val="clear" w:color="auto" w:fill="auto"/>
          </w:tcPr>
          <w:p w:rsidR="00CA5AE3" w:rsidRDefault="00CA5AE3" w:rsidP="00E07285">
            <w:pPr>
              <w:spacing w:line="360" w:lineRule="auto"/>
              <w:rPr>
                <w:rFonts w:ascii="仿宋_GB2312" w:hAnsi="仿宋_GB2312" w:cs="仿宋_GB2312"/>
                <w:sz w:val="28"/>
                <w:szCs w:val="28"/>
              </w:rPr>
            </w:pPr>
          </w:p>
        </w:tc>
        <w:tc>
          <w:tcPr>
            <w:tcW w:w="520" w:type="dxa"/>
            <w:shd w:val="clear" w:color="auto" w:fill="auto"/>
          </w:tcPr>
          <w:p w:rsidR="00CA5AE3" w:rsidRDefault="00CA5AE3" w:rsidP="00E07285">
            <w:pPr>
              <w:spacing w:line="360" w:lineRule="auto"/>
              <w:rPr>
                <w:rFonts w:ascii="仿宋_GB2312" w:hAnsi="仿宋_GB2312" w:cs="仿宋_GB2312"/>
                <w:sz w:val="28"/>
                <w:szCs w:val="28"/>
              </w:rPr>
            </w:pPr>
          </w:p>
        </w:tc>
        <w:tc>
          <w:tcPr>
            <w:tcW w:w="520" w:type="dxa"/>
            <w:shd w:val="clear" w:color="auto" w:fill="auto"/>
          </w:tcPr>
          <w:p w:rsidR="00CA5AE3" w:rsidRDefault="00CA5AE3" w:rsidP="00E07285">
            <w:pPr>
              <w:spacing w:line="360" w:lineRule="auto"/>
              <w:rPr>
                <w:rFonts w:ascii="仿宋_GB2312" w:hAnsi="仿宋_GB2312" w:cs="仿宋_GB2312"/>
                <w:sz w:val="28"/>
                <w:szCs w:val="28"/>
              </w:rPr>
            </w:pPr>
          </w:p>
        </w:tc>
        <w:tc>
          <w:tcPr>
            <w:tcW w:w="586" w:type="dxa"/>
            <w:shd w:val="clear" w:color="auto" w:fill="auto"/>
          </w:tcPr>
          <w:p w:rsidR="00CA5AE3" w:rsidRDefault="00CA5AE3" w:rsidP="00E07285">
            <w:pPr>
              <w:spacing w:line="360" w:lineRule="auto"/>
              <w:rPr>
                <w:rFonts w:ascii="仿宋_GB2312" w:hAnsi="仿宋_GB2312" w:cs="仿宋_GB2312"/>
                <w:sz w:val="28"/>
                <w:szCs w:val="28"/>
              </w:rPr>
            </w:pPr>
          </w:p>
        </w:tc>
      </w:tr>
      <w:tr w:rsidR="00CA5AE3" w:rsidTr="00E07285">
        <w:trPr>
          <w:trHeight w:hRule="exact" w:val="454"/>
          <w:jc w:val="center"/>
        </w:trPr>
        <w:tc>
          <w:tcPr>
            <w:tcW w:w="3213" w:type="dxa"/>
            <w:shd w:val="clear" w:color="auto" w:fill="auto"/>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情感态度与价值观目标</w:t>
            </w:r>
          </w:p>
        </w:tc>
        <w:tc>
          <w:tcPr>
            <w:tcW w:w="438" w:type="dxa"/>
            <w:shd w:val="clear" w:color="auto" w:fill="auto"/>
            <w:vAlign w:val="center"/>
          </w:tcPr>
          <w:p w:rsidR="00CA5AE3" w:rsidRDefault="00CA5AE3" w:rsidP="00E07285">
            <w:pPr>
              <w:spacing w:line="360" w:lineRule="auto"/>
              <w:jc w:val="center"/>
              <w:rPr>
                <w:rFonts w:ascii="仿宋_GB2312" w:hAnsi="仿宋_GB2312" w:cs="仿宋_GB2312"/>
                <w:sz w:val="28"/>
                <w:szCs w:val="28"/>
              </w:rPr>
            </w:pPr>
          </w:p>
        </w:tc>
        <w:tc>
          <w:tcPr>
            <w:tcW w:w="437" w:type="dxa"/>
            <w:shd w:val="clear" w:color="auto" w:fill="auto"/>
            <w:vAlign w:val="center"/>
          </w:tcPr>
          <w:p w:rsidR="00CA5AE3" w:rsidRDefault="00CA5AE3" w:rsidP="00E07285">
            <w:pPr>
              <w:spacing w:line="360" w:lineRule="auto"/>
              <w:jc w:val="center"/>
              <w:rPr>
                <w:rFonts w:ascii="仿宋_GB2312" w:hAnsi="仿宋_GB2312" w:cs="仿宋_GB2312"/>
                <w:sz w:val="28"/>
                <w:szCs w:val="28"/>
              </w:rPr>
            </w:pP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M</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L</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hint="eastAsia"/>
                <w:sz w:val="28"/>
                <w:szCs w:val="28"/>
              </w:rPr>
              <w:t>H</w:t>
            </w:r>
          </w:p>
        </w:tc>
        <w:tc>
          <w:tcPr>
            <w:tcW w:w="519" w:type="dxa"/>
            <w:shd w:val="clear" w:color="auto" w:fill="auto"/>
            <w:vAlign w:val="center"/>
          </w:tcPr>
          <w:p w:rsidR="00CA5AE3" w:rsidRDefault="00CA5AE3" w:rsidP="00E07285">
            <w:pPr>
              <w:tabs>
                <w:tab w:val="left" w:pos="6300"/>
              </w:tabs>
              <w:spacing w:line="360" w:lineRule="atLeast"/>
              <w:jc w:val="center"/>
              <w:rPr>
                <w:rFonts w:ascii="仿宋_GB2312" w:hAnsi="仿宋_GB2312" w:cs="仿宋_GB2312"/>
                <w:sz w:val="28"/>
                <w:szCs w:val="28"/>
              </w:rPr>
            </w:pPr>
            <w:r>
              <w:rPr>
                <w:rFonts w:ascii="仿宋_GB2312" w:hAnsi="仿宋_GB2312" w:cs="仿宋_GB2312"/>
                <w:sz w:val="28"/>
                <w:szCs w:val="28"/>
              </w:rPr>
              <w:t>L</w:t>
            </w:r>
          </w:p>
        </w:tc>
        <w:tc>
          <w:tcPr>
            <w:tcW w:w="520" w:type="dxa"/>
            <w:shd w:val="clear" w:color="auto" w:fill="auto"/>
          </w:tcPr>
          <w:p w:rsidR="00CA5AE3" w:rsidRDefault="00CA5AE3" w:rsidP="00E07285">
            <w:pPr>
              <w:spacing w:line="360" w:lineRule="auto"/>
              <w:rPr>
                <w:rFonts w:ascii="仿宋_GB2312" w:hAnsi="仿宋_GB2312" w:cs="仿宋_GB2312"/>
                <w:sz w:val="28"/>
                <w:szCs w:val="28"/>
              </w:rPr>
            </w:pPr>
          </w:p>
        </w:tc>
        <w:tc>
          <w:tcPr>
            <w:tcW w:w="520" w:type="dxa"/>
            <w:shd w:val="clear" w:color="auto" w:fill="auto"/>
          </w:tcPr>
          <w:p w:rsidR="00CA5AE3" w:rsidRDefault="00CA5AE3" w:rsidP="00E07285">
            <w:pPr>
              <w:spacing w:line="360" w:lineRule="auto"/>
              <w:rPr>
                <w:rFonts w:ascii="仿宋_GB2312" w:hAnsi="仿宋_GB2312" w:cs="仿宋_GB2312"/>
                <w:sz w:val="28"/>
                <w:szCs w:val="28"/>
              </w:rPr>
            </w:pPr>
          </w:p>
        </w:tc>
        <w:tc>
          <w:tcPr>
            <w:tcW w:w="520" w:type="dxa"/>
            <w:shd w:val="clear" w:color="auto" w:fill="auto"/>
          </w:tcPr>
          <w:p w:rsidR="00CA5AE3" w:rsidRDefault="00CA5AE3" w:rsidP="00E07285">
            <w:pPr>
              <w:spacing w:line="360" w:lineRule="auto"/>
              <w:rPr>
                <w:rFonts w:ascii="仿宋_GB2312" w:hAnsi="仿宋_GB2312" w:cs="仿宋_GB2312"/>
                <w:sz w:val="28"/>
                <w:szCs w:val="28"/>
              </w:rPr>
            </w:pPr>
          </w:p>
        </w:tc>
        <w:tc>
          <w:tcPr>
            <w:tcW w:w="520" w:type="dxa"/>
            <w:shd w:val="clear" w:color="auto" w:fill="auto"/>
          </w:tcPr>
          <w:p w:rsidR="00CA5AE3" w:rsidRDefault="00CA5AE3" w:rsidP="00E07285">
            <w:pPr>
              <w:spacing w:line="360" w:lineRule="auto"/>
              <w:rPr>
                <w:rFonts w:ascii="仿宋_GB2312" w:hAnsi="仿宋_GB2312" w:cs="仿宋_GB2312"/>
                <w:sz w:val="28"/>
                <w:szCs w:val="28"/>
              </w:rPr>
            </w:pPr>
          </w:p>
        </w:tc>
        <w:tc>
          <w:tcPr>
            <w:tcW w:w="586" w:type="dxa"/>
            <w:shd w:val="clear" w:color="auto" w:fill="auto"/>
          </w:tcPr>
          <w:p w:rsidR="00CA5AE3" w:rsidRDefault="00CA5AE3" w:rsidP="00E07285">
            <w:pPr>
              <w:spacing w:line="360" w:lineRule="auto"/>
              <w:rPr>
                <w:rFonts w:ascii="仿宋_GB2312" w:hAnsi="仿宋_GB2312" w:cs="仿宋_GB2312"/>
                <w:sz w:val="28"/>
                <w:szCs w:val="28"/>
              </w:rPr>
            </w:pPr>
            <w:r>
              <w:rPr>
                <w:rFonts w:ascii="仿宋_GB2312" w:hAnsi="仿宋_GB2312" w:cs="仿宋_GB2312" w:hint="eastAsia"/>
                <w:sz w:val="28"/>
                <w:szCs w:val="28"/>
              </w:rPr>
              <w:t>M</w:t>
            </w:r>
          </w:p>
        </w:tc>
      </w:tr>
    </w:tbl>
    <w:p w:rsidR="00CA5AE3" w:rsidRDefault="00CA5AE3" w:rsidP="00CA5AE3">
      <w:pPr>
        <w:spacing w:beforeLines="50" w:before="156" w:line="360" w:lineRule="auto"/>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CA5AE3" w:rsidRDefault="00CA5AE3" w:rsidP="00CA5AE3">
      <w:pPr>
        <w:spacing w:line="560" w:lineRule="exact"/>
        <w:ind w:firstLineChars="400" w:firstLine="1120"/>
        <w:rPr>
          <w:rFonts w:ascii="仿宋_GB2312" w:hAnsi="仿宋_GB2312" w:cs="仿宋_GB2312"/>
          <w:sz w:val="28"/>
          <w:szCs w:val="28"/>
        </w:rPr>
      </w:pPr>
      <w:r>
        <w:rPr>
          <w:rFonts w:ascii="仿宋_GB2312" w:hAnsi="仿宋_GB2312" w:cs="仿宋_GB2312" w:hint="eastAsia"/>
          <w:sz w:val="28"/>
          <w:szCs w:val="28"/>
        </w:rPr>
        <w:t>重点在于掌握微生物代谢途径，污染物的生物分解与转化规律，注意对于环境条件和营养条件的要求，难点在于运用微生物对于外界条件的要求，进行合理驯化和利用，并以此为基础进行工艺开发和优化。</w:t>
      </w:r>
    </w:p>
    <w:p w:rsidR="00CA5AE3" w:rsidRDefault="00CA5AE3" w:rsidP="00CA5AE3">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A5AE3" w:rsidRDefault="00CA5AE3" w:rsidP="00CA5AE3">
      <w:pPr>
        <w:spacing w:line="560" w:lineRule="exact"/>
        <w:ind w:firstLineChars="400" w:firstLine="1120"/>
        <w:rPr>
          <w:rFonts w:ascii="仿宋_GB2312" w:hAnsi="仿宋_GB2312" w:cs="仿宋_GB2312"/>
          <w:sz w:val="28"/>
          <w:szCs w:val="28"/>
        </w:rPr>
      </w:pPr>
      <w:r>
        <w:rPr>
          <w:rFonts w:ascii="仿宋_GB2312" w:hAnsi="仿宋_GB2312" w:cs="仿宋_GB2312" w:hint="eastAsia"/>
          <w:sz w:val="28"/>
          <w:szCs w:val="28"/>
        </w:rPr>
        <w:t>以知识传授和能力培养为载体，将社会主义核心价值观有机融入课程教学过程中，对学生的进行“德智体”全方面教育，综合运</w:t>
      </w:r>
      <w:r>
        <w:rPr>
          <w:rFonts w:ascii="仿宋_GB2312" w:hAnsi="仿宋_GB2312" w:cs="仿宋_GB2312" w:hint="eastAsia"/>
          <w:sz w:val="28"/>
          <w:szCs w:val="28"/>
        </w:rPr>
        <w:lastRenderedPageBreak/>
        <w:t>用讲授、案例、专题、讨论、反思、联系等手段将思政内容融入教学过程。如水处理生物学篇章，通过微生物个体生长和群体生长特征的学习，深入理解个人各集体利益的关系，构建和谐社会,促进人的全面发展。通过对微生物生态的学习，较强对习近平生态文明思想介绍，坚定“四个自信”，引导培养低碳环保的意识，明确低碳生活价值观的确立，推进生态文明建设。通过污染物的生物分解与转化，引导学生树立创新意识，积极探索培育新知识；作为新时代的大学生，要敢于担当，把个人发展与国家需要、社会发展相结合，确立职业的概念和意识；通过污水处理行业的发展历史及我国水行业发展现状，激发学生爱国主义情怀，培养学生的责任感和使命感、精益求精的大国工匠精神以及精忠报国的家国情怀和使命担当。</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四、教学内容及要求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708"/>
        <w:gridCol w:w="3471"/>
        <w:gridCol w:w="3188"/>
      </w:tblGrid>
      <w:tr w:rsidR="00CA5AE3" w:rsidTr="00E07285">
        <w:trPr>
          <w:cantSplit/>
          <w:trHeight w:val="661"/>
        </w:trPr>
        <w:tc>
          <w:tcPr>
            <w:tcW w:w="817" w:type="dxa"/>
            <w:vAlign w:val="center"/>
          </w:tcPr>
          <w:p w:rsidR="00CA5AE3" w:rsidRDefault="00CA5AE3" w:rsidP="00E07285">
            <w:pPr>
              <w:jc w:val="left"/>
              <w:rPr>
                <w:rFonts w:ascii="Times New Roman" w:hAnsi="Times New Roman"/>
                <w:b/>
                <w:bCs/>
                <w:kern w:val="0"/>
                <w:sz w:val="20"/>
                <w:szCs w:val="20"/>
              </w:rPr>
            </w:pPr>
            <w:r>
              <w:rPr>
                <w:rFonts w:ascii="Times New Roman" w:hAnsi="Times New Roman" w:hint="eastAsia"/>
                <w:b/>
                <w:bCs/>
                <w:kern w:val="0"/>
                <w:sz w:val="20"/>
                <w:szCs w:val="20"/>
              </w:rPr>
              <w:t>序号</w:t>
            </w:r>
          </w:p>
        </w:tc>
        <w:tc>
          <w:tcPr>
            <w:tcW w:w="1418" w:type="dxa"/>
            <w:vAlign w:val="center"/>
          </w:tcPr>
          <w:p w:rsidR="00CA5AE3" w:rsidRDefault="00CA5AE3" w:rsidP="00E07285">
            <w:pPr>
              <w:jc w:val="left"/>
              <w:rPr>
                <w:rFonts w:ascii="Times New Roman" w:hAnsi="Times New Roman"/>
                <w:b/>
                <w:bCs/>
                <w:kern w:val="0"/>
                <w:sz w:val="20"/>
                <w:szCs w:val="20"/>
              </w:rPr>
            </w:pPr>
            <w:r>
              <w:rPr>
                <w:rFonts w:ascii="Times New Roman" w:hAnsi="Times New Roman" w:hint="eastAsia"/>
                <w:b/>
                <w:bCs/>
                <w:kern w:val="0"/>
                <w:sz w:val="20"/>
                <w:szCs w:val="20"/>
              </w:rPr>
              <w:t>章</w:t>
            </w:r>
            <w:r>
              <w:rPr>
                <w:rFonts w:ascii="Times New Roman" w:hAnsi="Times New Roman" w:hint="eastAsia"/>
                <w:b/>
                <w:bCs/>
                <w:kern w:val="0"/>
                <w:sz w:val="20"/>
                <w:szCs w:val="20"/>
              </w:rPr>
              <w:t xml:space="preserve">  </w:t>
            </w:r>
            <w:r>
              <w:rPr>
                <w:rFonts w:ascii="Times New Roman" w:hAnsi="Times New Roman" w:hint="eastAsia"/>
                <w:b/>
                <w:bCs/>
                <w:kern w:val="0"/>
                <w:sz w:val="20"/>
                <w:szCs w:val="20"/>
              </w:rPr>
              <w:t>节</w:t>
            </w:r>
          </w:p>
        </w:tc>
        <w:tc>
          <w:tcPr>
            <w:tcW w:w="708" w:type="dxa"/>
            <w:vAlign w:val="center"/>
          </w:tcPr>
          <w:p w:rsidR="00CA5AE3" w:rsidRDefault="00CA5AE3" w:rsidP="00E07285">
            <w:pPr>
              <w:jc w:val="left"/>
              <w:rPr>
                <w:rFonts w:ascii="Times New Roman" w:hAnsi="Times New Roman"/>
                <w:b/>
                <w:bCs/>
                <w:kern w:val="0"/>
                <w:sz w:val="20"/>
                <w:szCs w:val="20"/>
              </w:rPr>
            </w:pPr>
          </w:p>
          <w:p w:rsidR="00CA5AE3" w:rsidRDefault="00CA5AE3" w:rsidP="00E07285">
            <w:pPr>
              <w:jc w:val="left"/>
              <w:rPr>
                <w:rFonts w:ascii="Times New Roman" w:hAnsi="Times New Roman"/>
                <w:b/>
                <w:bCs/>
                <w:kern w:val="0"/>
                <w:sz w:val="20"/>
                <w:szCs w:val="20"/>
              </w:rPr>
            </w:pPr>
            <w:r>
              <w:rPr>
                <w:rFonts w:ascii="Times New Roman" w:hAnsi="Times New Roman" w:hint="eastAsia"/>
                <w:b/>
                <w:bCs/>
                <w:kern w:val="0"/>
                <w:sz w:val="20"/>
                <w:szCs w:val="20"/>
              </w:rPr>
              <w:t>参考学时</w:t>
            </w:r>
          </w:p>
          <w:p w:rsidR="00CA5AE3" w:rsidRDefault="00CA5AE3" w:rsidP="00E07285">
            <w:pPr>
              <w:jc w:val="left"/>
              <w:rPr>
                <w:rFonts w:ascii="Times New Roman" w:hAnsi="Times New Roman"/>
                <w:b/>
                <w:bCs/>
                <w:kern w:val="0"/>
                <w:sz w:val="20"/>
                <w:szCs w:val="20"/>
              </w:rPr>
            </w:pPr>
          </w:p>
        </w:tc>
        <w:tc>
          <w:tcPr>
            <w:tcW w:w="3471" w:type="dxa"/>
            <w:vAlign w:val="center"/>
          </w:tcPr>
          <w:p w:rsidR="00CA5AE3" w:rsidRDefault="00CA5AE3" w:rsidP="00E07285">
            <w:pPr>
              <w:ind w:firstLineChars="600" w:firstLine="1205"/>
              <w:jc w:val="left"/>
              <w:rPr>
                <w:rFonts w:ascii="Times New Roman" w:hAnsi="Times New Roman"/>
                <w:b/>
                <w:bCs/>
                <w:kern w:val="0"/>
                <w:sz w:val="20"/>
                <w:szCs w:val="20"/>
              </w:rPr>
            </w:pPr>
            <w:r>
              <w:rPr>
                <w:rFonts w:ascii="Times New Roman" w:hAnsi="Times New Roman" w:hint="eastAsia"/>
                <w:b/>
                <w:bCs/>
                <w:kern w:val="0"/>
                <w:sz w:val="20"/>
                <w:szCs w:val="20"/>
              </w:rPr>
              <w:t>教学内容</w:t>
            </w:r>
          </w:p>
        </w:tc>
        <w:tc>
          <w:tcPr>
            <w:tcW w:w="3188" w:type="dxa"/>
            <w:vAlign w:val="center"/>
          </w:tcPr>
          <w:p w:rsidR="00CA5AE3" w:rsidRDefault="00CA5AE3" w:rsidP="00E07285">
            <w:pPr>
              <w:jc w:val="left"/>
              <w:rPr>
                <w:rFonts w:ascii="Times New Roman" w:hAnsi="Times New Roman"/>
                <w:b/>
                <w:bCs/>
                <w:kern w:val="0"/>
                <w:sz w:val="20"/>
                <w:szCs w:val="20"/>
              </w:rPr>
            </w:pPr>
            <w:r>
              <w:rPr>
                <w:rFonts w:ascii="Times New Roman" w:hAnsi="Times New Roman" w:hint="eastAsia"/>
                <w:b/>
                <w:bCs/>
                <w:kern w:val="0"/>
                <w:sz w:val="20"/>
                <w:szCs w:val="20"/>
              </w:rPr>
              <w:t>基本要求</w:t>
            </w:r>
          </w:p>
        </w:tc>
      </w:tr>
      <w:tr w:rsidR="00CA5AE3" w:rsidTr="00E07285">
        <w:trPr>
          <w:trHeight w:val="3725"/>
        </w:trPr>
        <w:tc>
          <w:tcPr>
            <w:tcW w:w="817"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1</w:t>
            </w:r>
          </w:p>
        </w:tc>
        <w:tc>
          <w:tcPr>
            <w:tcW w:w="141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第一章</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绪论</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第二章</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原核微生物</w:t>
            </w:r>
          </w:p>
        </w:tc>
        <w:tc>
          <w:tcPr>
            <w:tcW w:w="70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p>
        </w:tc>
        <w:tc>
          <w:tcPr>
            <w:tcW w:w="3471"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第一章</w:t>
            </w:r>
            <w:r>
              <w:rPr>
                <w:rFonts w:ascii="Times New Roman" w:hAnsi="Times New Roman" w:hint="eastAsia"/>
                <w:kern w:val="0"/>
                <w:sz w:val="20"/>
                <w:szCs w:val="20"/>
              </w:rPr>
              <w:t xml:space="preserve"> </w:t>
            </w:r>
            <w:r>
              <w:rPr>
                <w:rFonts w:ascii="Times New Roman" w:hAnsi="Times New Roman" w:hint="eastAsia"/>
                <w:kern w:val="0"/>
                <w:sz w:val="20"/>
                <w:szCs w:val="20"/>
              </w:rPr>
              <w:t>绪论</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第二章</w:t>
            </w:r>
            <w:r>
              <w:rPr>
                <w:rFonts w:ascii="Times New Roman" w:hAnsi="Times New Roman" w:hint="eastAsia"/>
                <w:kern w:val="0"/>
                <w:sz w:val="20"/>
                <w:szCs w:val="20"/>
              </w:rPr>
              <w:t xml:space="preserve"> </w:t>
            </w:r>
            <w:r>
              <w:rPr>
                <w:rFonts w:ascii="Times New Roman" w:hAnsi="Times New Roman" w:hint="eastAsia"/>
                <w:kern w:val="0"/>
                <w:sz w:val="20"/>
                <w:szCs w:val="20"/>
              </w:rPr>
              <w:t>原核微生物</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细菌</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放线菌</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丝状细菌</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光合细菌</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第五节</w:t>
            </w:r>
            <w:r>
              <w:rPr>
                <w:rFonts w:ascii="Times New Roman" w:hAnsi="Times New Roman" w:hint="eastAsia"/>
                <w:kern w:val="0"/>
                <w:sz w:val="20"/>
                <w:szCs w:val="20"/>
              </w:rPr>
              <w:t xml:space="preserve"> </w:t>
            </w:r>
            <w:r>
              <w:rPr>
                <w:rFonts w:ascii="Times New Roman" w:hAnsi="Times New Roman" w:hint="eastAsia"/>
                <w:kern w:val="0"/>
                <w:sz w:val="20"/>
                <w:szCs w:val="20"/>
              </w:rPr>
              <w:t>蓝细菌</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第六节</w:t>
            </w:r>
            <w:r>
              <w:rPr>
                <w:rFonts w:ascii="Times New Roman" w:hAnsi="Times New Roman" w:hint="eastAsia"/>
                <w:kern w:val="0"/>
                <w:sz w:val="20"/>
                <w:szCs w:val="20"/>
              </w:rPr>
              <w:t xml:space="preserve"> </w:t>
            </w:r>
            <w:r>
              <w:rPr>
                <w:rFonts w:ascii="Times New Roman" w:hAnsi="Times New Roman" w:hint="eastAsia"/>
                <w:kern w:val="0"/>
                <w:sz w:val="20"/>
                <w:szCs w:val="20"/>
              </w:rPr>
              <w:t>支原体，立克次氏体和衣原体</w:t>
            </w:r>
          </w:p>
        </w:tc>
        <w:tc>
          <w:tcPr>
            <w:tcW w:w="318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、了解水处理生物学研究的对象和任务、水中常见微生物及其特点。</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、掌握原核微生物的形态、结构特点，细胞壁的结构特点，革兰氏染色机理、细胞膜的结构及功能，各细胞器的结构及功能。</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、放线菌，丝状细菌包括铁细菌，硫磺细菌、球衣细菌、光和细菌、蓝细菌的繁殖与生长特征。</w:t>
            </w:r>
          </w:p>
        </w:tc>
      </w:tr>
      <w:tr w:rsidR="00CA5AE3" w:rsidTr="00E07285">
        <w:trPr>
          <w:trHeight w:val="2203"/>
        </w:trPr>
        <w:tc>
          <w:tcPr>
            <w:tcW w:w="817" w:type="dxa"/>
            <w:vAlign w:val="center"/>
          </w:tcPr>
          <w:p w:rsidR="00CA5AE3" w:rsidRDefault="00CA5AE3" w:rsidP="00E07285">
            <w:pPr>
              <w:jc w:val="left"/>
              <w:rPr>
                <w:rFonts w:ascii="Times New Roman" w:hAnsi="Times New Roman"/>
                <w:kern w:val="0"/>
                <w:sz w:val="20"/>
                <w:szCs w:val="20"/>
              </w:rPr>
            </w:pP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p>
        </w:tc>
        <w:tc>
          <w:tcPr>
            <w:tcW w:w="141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第三章</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古菌</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第四章</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真核微生物</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第五章</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病毒</w:t>
            </w:r>
          </w:p>
        </w:tc>
        <w:tc>
          <w:tcPr>
            <w:tcW w:w="70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4</w:t>
            </w:r>
          </w:p>
        </w:tc>
        <w:tc>
          <w:tcPr>
            <w:tcW w:w="3471"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第三章</w:t>
            </w:r>
            <w:r>
              <w:rPr>
                <w:rFonts w:ascii="Times New Roman" w:hAnsi="Times New Roman" w:hint="eastAsia"/>
                <w:kern w:val="0"/>
                <w:sz w:val="20"/>
                <w:szCs w:val="20"/>
              </w:rPr>
              <w:t xml:space="preserve"> </w:t>
            </w:r>
            <w:r>
              <w:rPr>
                <w:rFonts w:ascii="Times New Roman" w:hAnsi="Times New Roman" w:hint="eastAsia"/>
                <w:kern w:val="0"/>
                <w:sz w:val="20"/>
                <w:szCs w:val="20"/>
              </w:rPr>
              <w:t>古菌</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古菌的特点与分类</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常见古菌</w:t>
            </w:r>
          </w:p>
          <w:p w:rsidR="00CA5AE3" w:rsidRDefault="00CA5AE3" w:rsidP="00E07285">
            <w:pPr>
              <w:ind w:leftChars="100" w:left="920" w:hangingChars="300" w:hanging="600"/>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古菌与水污染防治</w:t>
            </w:r>
          </w:p>
          <w:p w:rsidR="00CA5AE3" w:rsidRDefault="00CA5AE3" w:rsidP="00E07285">
            <w:pPr>
              <w:ind w:left="800" w:hangingChars="400" w:hanging="800"/>
              <w:jc w:val="left"/>
              <w:rPr>
                <w:rFonts w:ascii="Times New Roman" w:hAnsi="Times New Roman"/>
                <w:kern w:val="0"/>
                <w:sz w:val="20"/>
                <w:szCs w:val="20"/>
              </w:rPr>
            </w:pPr>
            <w:r>
              <w:rPr>
                <w:rFonts w:ascii="Times New Roman" w:hAnsi="Times New Roman" w:hint="eastAsia"/>
                <w:kern w:val="0"/>
                <w:sz w:val="20"/>
                <w:szCs w:val="20"/>
              </w:rPr>
              <w:t>第四章</w:t>
            </w:r>
            <w:r>
              <w:rPr>
                <w:rFonts w:ascii="Times New Roman" w:hAnsi="Times New Roman" w:hint="eastAsia"/>
                <w:kern w:val="0"/>
                <w:sz w:val="20"/>
                <w:szCs w:val="20"/>
              </w:rPr>
              <w:t xml:space="preserve"> </w:t>
            </w:r>
            <w:r>
              <w:rPr>
                <w:rFonts w:ascii="Times New Roman" w:hAnsi="Times New Roman" w:hint="eastAsia"/>
                <w:kern w:val="0"/>
                <w:sz w:val="20"/>
                <w:szCs w:val="20"/>
              </w:rPr>
              <w:t>真核微生物</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概述</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酵母菌</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霉菌</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藻类</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第五节</w:t>
            </w:r>
            <w:r>
              <w:rPr>
                <w:rFonts w:ascii="Times New Roman" w:hAnsi="Times New Roman" w:hint="eastAsia"/>
                <w:kern w:val="0"/>
                <w:sz w:val="20"/>
                <w:szCs w:val="20"/>
              </w:rPr>
              <w:t xml:space="preserve"> </w:t>
            </w:r>
            <w:r>
              <w:rPr>
                <w:rFonts w:ascii="Times New Roman" w:hAnsi="Times New Roman" w:hint="eastAsia"/>
                <w:kern w:val="0"/>
                <w:sz w:val="20"/>
                <w:szCs w:val="20"/>
              </w:rPr>
              <w:t>原生和微型后生动物</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第六节</w:t>
            </w:r>
            <w:r>
              <w:rPr>
                <w:rFonts w:ascii="Times New Roman" w:hAnsi="Times New Roman" w:hint="eastAsia"/>
                <w:kern w:val="0"/>
                <w:sz w:val="20"/>
                <w:szCs w:val="20"/>
              </w:rPr>
              <w:t xml:space="preserve"> </w:t>
            </w:r>
            <w:r>
              <w:rPr>
                <w:rFonts w:ascii="Times New Roman" w:hAnsi="Times New Roman" w:hint="eastAsia"/>
                <w:kern w:val="0"/>
                <w:sz w:val="20"/>
                <w:szCs w:val="20"/>
              </w:rPr>
              <w:t>底栖动物</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第五章</w:t>
            </w:r>
            <w:r>
              <w:rPr>
                <w:rFonts w:ascii="Times New Roman" w:hAnsi="Times New Roman" w:hint="eastAsia"/>
                <w:kern w:val="0"/>
                <w:sz w:val="20"/>
                <w:szCs w:val="20"/>
              </w:rPr>
              <w:t xml:space="preserve"> </w:t>
            </w:r>
            <w:r>
              <w:rPr>
                <w:rFonts w:ascii="Times New Roman" w:hAnsi="Times New Roman" w:hint="eastAsia"/>
                <w:kern w:val="0"/>
                <w:sz w:val="20"/>
                <w:szCs w:val="20"/>
              </w:rPr>
              <w:t>病毒</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病毒的基本特诊</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病毒的繁殖</w:t>
            </w:r>
          </w:p>
        </w:tc>
        <w:tc>
          <w:tcPr>
            <w:tcW w:w="318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、掌握常见古菌的种类及其生长特点。</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、掌握真核生物和原核生物之间的区别。</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、酵母菌的形态，繁殖方式，霉菌的分布，形态与构造，藻类的特点及对环境工程的影响。</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、掌握原生动物的营养与繁殖及在污水生物处理中的作用。</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、了解代表性微型后生动物及在水处理中的作用。</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hint="eastAsia"/>
                <w:kern w:val="0"/>
                <w:sz w:val="20"/>
                <w:szCs w:val="20"/>
              </w:rPr>
              <w:t>、掌握病毒的一般特征，形态结构，繁殖方式等。</w:t>
            </w:r>
          </w:p>
        </w:tc>
      </w:tr>
      <w:tr w:rsidR="00CA5AE3" w:rsidTr="00E07285">
        <w:trPr>
          <w:trHeight w:val="2324"/>
        </w:trPr>
        <w:tc>
          <w:tcPr>
            <w:tcW w:w="817"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3</w:t>
            </w:r>
          </w:p>
        </w:tc>
        <w:tc>
          <w:tcPr>
            <w:tcW w:w="141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第六章</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微生物的生理特征</w:t>
            </w:r>
          </w:p>
        </w:tc>
        <w:tc>
          <w:tcPr>
            <w:tcW w:w="70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4</w:t>
            </w:r>
          </w:p>
        </w:tc>
        <w:tc>
          <w:tcPr>
            <w:tcW w:w="3471"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第六章</w:t>
            </w:r>
            <w:r>
              <w:rPr>
                <w:rFonts w:ascii="Times New Roman" w:hAnsi="Times New Roman" w:hint="eastAsia"/>
                <w:kern w:val="0"/>
                <w:sz w:val="20"/>
                <w:szCs w:val="20"/>
              </w:rPr>
              <w:t xml:space="preserve">  </w:t>
            </w:r>
            <w:r>
              <w:rPr>
                <w:rFonts w:ascii="Times New Roman" w:hAnsi="Times New Roman" w:hint="eastAsia"/>
                <w:kern w:val="0"/>
                <w:sz w:val="20"/>
                <w:szCs w:val="20"/>
              </w:rPr>
              <w:t>微生物的生理特征</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微生物营养</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酶及其作用</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微生物的代谢</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环境因素对微生物生长的影响</w:t>
            </w:r>
          </w:p>
          <w:p w:rsidR="00CA5AE3" w:rsidRDefault="00CA5AE3" w:rsidP="00E07285">
            <w:pPr>
              <w:jc w:val="left"/>
              <w:rPr>
                <w:rFonts w:ascii="Times New Roman" w:hAnsi="Times New Roman"/>
                <w:kern w:val="0"/>
                <w:sz w:val="20"/>
                <w:szCs w:val="20"/>
              </w:rPr>
            </w:pPr>
          </w:p>
        </w:tc>
        <w:tc>
          <w:tcPr>
            <w:tcW w:w="318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、熟悉微生物的营养物质组成。</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、掌握微生物的营养类型及培养基种类，营养物质的吸收和运输方式。</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、了解微生物体内酶的种类及结构，掌握酶促反应动力学内容。</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、掌握微生物代谢的三大主要途径。</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、熟悉影响微生物生长的环境因素。</w:t>
            </w:r>
          </w:p>
        </w:tc>
      </w:tr>
      <w:tr w:rsidR="00CA5AE3" w:rsidTr="00E07285">
        <w:trPr>
          <w:trHeight w:val="1380"/>
        </w:trPr>
        <w:tc>
          <w:tcPr>
            <w:tcW w:w="817"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4</w:t>
            </w:r>
          </w:p>
        </w:tc>
        <w:tc>
          <w:tcPr>
            <w:tcW w:w="141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第七章</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微生物的生长与遗传变异</w:t>
            </w:r>
          </w:p>
        </w:tc>
        <w:tc>
          <w:tcPr>
            <w:tcW w:w="70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p>
        </w:tc>
        <w:tc>
          <w:tcPr>
            <w:tcW w:w="3471"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第一章</w:t>
            </w:r>
            <w:r>
              <w:rPr>
                <w:rFonts w:ascii="Times New Roman" w:hAnsi="Times New Roman" w:hint="eastAsia"/>
                <w:kern w:val="0"/>
                <w:sz w:val="20"/>
                <w:szCs w:val="20"/>
              </w:rPr>
              <w:t xml:space="preserve">  </w:t>
            </w:r>
            <w:r>
              <w:rPr>
                <w:rFonts w:ascii="Times New Roman" w:hAnsi="Times New Roman" w:hint="eastAsia"/>
                <w:kern w:val="0"/>
                <w:sz w:val="20"/>
                <w:szCs w:val="20"/>
              </w:rPr>
              <w:t>微生物的生长与遗传变异</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微生物的生长及其特性</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微生物的遗传</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微生物的变异</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遗传工程</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第五节</w:t>
            </w:r>
            <w:r>
              <w:rPr>
                <w:rFonts w:ascii="Times New Roman" w:hAnsi="Times New Roman" w:hint="eastAsia"/>
                <w:kern w:val="0"/>
                <w:sz w:val="20"/>
                <w:szCs w:val="20"/>
              </w:rPr>
              <w:t xml:space="preserve"> </w:t>
            </w:r>
            <w:r>
              <w:rPr>
                <w:rFonts w:ascii="Times New Roman" w:hAnsi="Times New Roman" w:hint="eastAsia"/>
                <w:kern w:val="0"/>
                <w:sz w:val="20"/>
                <w:szCs w:val="20"/>
              </w:rPr>
              <w:t>微生物的训化与保藏</w:t>
            </w:r>
          </w:p>
        </w:tc>
        <w:tc>
          <w:tcPr>
            <w:tcW w:w="318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、掌握微生物生长曲线的特性。，理解生长曲线与污水生物处理的关系。</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、了解生物膜的生长特性。</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、了解生物遗传的基础及基因表达调控的方式，微生物的变异方式</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、了解训化与保藏的方式。</w:t>
            </w:r>
          </w:p>
        </w:tc>
      </w:tr>
      <w:tr w:rsidR="00CA5AE3" w:rsidTr="00E07285">
        <w:trPr>
          <w:trHeight w:val="1269"/>
        </w:trPr>
        <w:tc>
          <w:tcPr>
            <w:tcW w:w="817"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5</w:t>
            </w:r>
          </w:p>
        </w:tc>
        <w:tc>
          <w:tcPr>
            <w:tcW w:w="141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第八章</w:t>
            </w:r>
            <w:r>
              <w:rPr>
                <w:rFonts w:ascii="Times New Roman" w:hAnsi="Times New Roman" w:hint="eastAsia"/>
                <w:kern w:val="0"/>
                <w:sz w:val="20"/>
                <w:szCs w:val="20"/>
              </w:rPr>
              <w:t xml:space="preserve"> </w:t>
            </w:r>
            <w:r>
              <w:rPr>
                <w:rFonts w:ascii="Times New Roman" w:hAnsi="Times New Roman" w:hint="eastAsia"/>
                <w:kern w:val="0"/>
                <w:sz w:val="20"/>
                <w:szCs w:val="20"/>
              </w:rPr>
              <w:t>微生物的生态</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第十三章水卫生生物学</w:t>
            </w:r>
          </w:p>
        </w:tc>
        <w:tc>
          <w:tcPr>
            <w:tcW w:w="70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p>
        </w:tc>
        <w:tc>
          <w:tcPr>
            <w:tcW w:w="3471"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第八章</w:t>
            </w:r>
            <w:r>
              <w:rPr>
                <w:rFonts w:ascii="Times New Roman" w:hAnsi="Times New Roman" w:hint="eastAsia"/>
                <w:kern w:val="0"/>
                <w:sz w:val="20"/>
                <w:szCs w:val="20"/>
              </w:rPr>
              <w:t xml:space="preserve"> </w:t>
            </w:r>
            <w:r>
              <w:rPr>
                <w:rFonts w:ascii="Times New Roman" w:hAnsi="Times New Roman" w:hint="eastAsia"/>
                <w:kern w:val="0"/>
                <w:sz w:val="20"/>
                <w:szCs w:val="20"/>
              </w:rPr>
              <w:t>微生物的生态</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生态系统的基本概念及特征</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微生物在环境中的分布</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微生物之间的相互关系</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微生物生态学研究方法</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第十三章</w:t>
            </w:r>
            <w:r>
              <w:rPr>
                <w:rFonts w:ascii="Times New Roman" w:hAnsi="Times New Roman" w:hint="eastAsia"/>
                <w:kern w:val="0"/>
                <w:sz w:val="20"/>
                <w:szCs w:val="20"/>
              </w:rPr>
              <w:t xml:space="preserve"> </w:t>
            </w:r>
            <w:r>
              <w:rPr>
                <w:rFonts w:ascii="Times New Roman" w:hAnsi="Times New Roman" w:hint="eastAsia"/>
                <w:kern w:val="0"/>
                <w:sz w:val="20"/>
                <w:szCs w:val="20"/>
              </w:rPr>
              <w:t>水卫生生物学</w:t>
            </w:r>
          </w:p>
          <w:p w:rsidR="00CA5AE3" w:rsidRDefault="00CA5AE3" w:rsidP="005F6318">
            <w:pPr>
              <w:numPr>
                <w:ilvl w:val="0"/>
                <w:numId w:val="36"/>
              </w:numPr>
              <w:jc w:val="left"/>
              <w:rPr>
                <w:rFonts w:ascii="Times New Roman" w:hAnsi="Times New Roman"/>
                <w:kern w:val="0"/>
                <w:sz w:val="20"/>
                <w:szCs w:val="20"/>
              </w:rPr>
            </w:pPr>
            <w:r>
              <w:rPr>
                <w:rFonts w:ascii="Times New Roman" w:hAnsi="Times New Roman" w:hint="eastAsia"/>
                <w:kern w:val="0"/>
                <w:sz w:val="20"/>
                <w:szCs w:val="20"/>
              </w:rPr>
              <w:t>水中的病原微生物</w:t>
            </w:r>
          </w:p>
          <w:p w:rsidR="00CA5AE3" w:rsidRDefault="00CA5AE3" w:rsidP="005F6318">
            <w:pPr>
              <w:numPr>
                <w:ilvl w:val="0"/>
                <w:numId w:val="36"/>
              </w:numPr>
              <w:jc w:val="left"/>
              <w:rPr>
                <w:rFonts w:ascii="Times New Roman" w:hAnsi="Times New Roman"/>
                <w:kern w:val="0"/>
                <w:sz w:val="20"/>
                <w:szCs w:val="20"/>
              </w:rPr>
            </w:pPr>
            <w:r>
              <w:rPr>
                <w:rFonts w:ascii="Times New Roman" w:hAnsi="Times New Roman" w:hint="eastAsia"/>
                <w:kern w:val="0"/>
                <w:sz w:val="20"/>
                <w:szCs w:val="20"/>
              </w:rPr>
              <w:t>水质生物学指标</w:t>
            </w:r>
          </w:p>
        </w:tc>
        <w:tc>
          <w:tcPr>
            <w:tcW w:w="318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、熟悉种群，群落，生态系统和生物圈的概念。</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、了解微生物在环境中的分布，掌握微生物之间的相互关系。</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、了解水中病原微生物的种类，及大肠杆菌作为检测指标的原因和意义。</w:t>
            </w:r>
          </w:p>
        </w:tc>
      </w:tr>
      <w:tr w:rsidR="00CA5AE3" w:rsidTr="00E07285">
        <w:trPr>
          <w:trHeight w:val="990"/>
        </w:trPr>
        <w:tc>
          <w:tcPr>
            <w:tcW w:w="817"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6</w:t>
            </w:r>
          </w:p>
        </w:tc>
        <w:tc>
          <w:tcPr>
            <w:tcW w:w="141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第十章</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微生物对污染物的分解与转</w:t>
            </w:r>
            <w:r>
              <w:rPr>
                <w:rFonts w:ascii="Times New Roman" w:hAnsi="Times New Roman" w:hint="eastAsia"/>
                <w:kern w:val="0"/>
                <w:sz w:val="20"/>
                <w:szCs w:val="20"/>
              </w:rPr>
              <w:lastRenderedPageBreak/>
              <w:t>化</w:t>
            </w:r>
          </w:p>
        </w:tc>
        <w:tc>
          <w:tcPr>
            <w:tcW w:w="70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lastRenderedPageBreak/>
              <w:t>4</w:t>
            </w:r>
          </w:p>
        </w:tc>
        <w:tc>
          <w:tcPr>
            <w:tcW w:w="3471"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第十章</w:t>
            </w:r>
            <w:r>
              <w:rPr>
                <w:rFonts w:ascii="Times New Roman" w:hAnsi="Times New Roman" w:hint="eastAsia"/>
                <w:kern w:val="0"/>
                <w:sz w:val="20"/>
                <w:szCs w:val="20"/>
              </w:rPr>
              <w:t xml:space="preserve"> </w:t>
            </w:r>
            <w:r>
              <w:rPr>
                <w:rFonts w:ascii="Times New Roman" w:hAnsi="Times New Roman" w:hint="eastAsia"/>
                <w:kern w:val="0"/>
                <w:sz w:val="20"/>
                <w:szCs w:val="20"/>
              </w:rPr>
              <w:t>微生物对污染物的分解与转化</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微生物对有机物的分解作用</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lastRenderedPageBreak/>
              <w:t>第二节</w:t>
            </w:r>
            <w:r>
              <w:rPr>
                <w:rFonts w:ascii="Times New Roman" w:hAnsi="Times New Roman" w:hint="eastAsia"/>
                <w:kern w:val="0"/>
                <w:sz w:val="20"/>
                <w:szCs w:val="20"/>
              </w:rPr>
              <w:t xml:space="preserve">  </w:t>
            </w:r>
            <w:r>
              <w:rPr>
                <w:rFonts w:ascii="Times New Roman" w:hAnsi="Times New Roman" w:hint="eastAsia"/>
                <w:kern w:val="0"/>
                <w:sz w:val="20"/>
                <w:szCs w:val="20"/>
              </w:rPr>
              <w:t>有机物的生物分解性</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不含氮有机物的生物分解</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含氮有机物的生物分解</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第五节</w:t>
            </w:r>
            <w:r>
              <w:rPr>
                <w:rFonts w:ascii="Times New Roman" w:hAnsi="Times New Roman" w:hint="eastAsia"/>
                <w:kern w:val="0"/>
                <w:sz w:val="20"/>
                <w:szCs w:val="20"/>
              </w:rPr>
              <w:t xml:space="preserve"> </w:t>
            </w:r>
            <w:r>
              <w:rPr>
                <w:rFonts w:ascii="Times New Roman" w:hAnsi="Times New Roman" w:hint="eastAsia"/>
                <w:kern w:val="0"/>
                <w:sz w:val="20"/>
                <w:szCs w:val="20"/>
              </w:rPr>
              <w:t>微生物对无机元素的转化作用</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第六节</w:t>
            </w:r>
            <w:r>
              <w:rPr>
                <w:rFonts w:ascii="Times New Roman" w:hAnsi="Times New Roman" w:hint="eastAsia"/>
                <w:kern w:val="0"/>
                <w:sz w:val="20"/>
                <w:szCs w:val="20"/>
              </w:rPr>
              <w:t xml:space="preserve"> </w:t>
            </w:r>
            <w:r>
              <w:rPr>
                <w:rFonts w:ascii="Times New Roman" w:hAnsi="Times New Roman" w:hint="eastAsia"/>
                <w:kern w:val="0"/>
                <w:sz w:val="20"/>
                <w:szCs w:val="20"/>
              </w:rPr>
              <w:t>生物对污染物的浓缩和吸附作用</w:t>
            </w:r>
          </w:p>
        </w:tc>
        <w:tc>
          <w:tcPr>
            <w:tcW w:w="318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lastRenderedPageBreak/>
              <w:t>1</w:t>
            </w:r>
            <w:r>
              <w:rPr>
                <w:rFonts w:ascii="Times New Roman" w:hAnsi="Times New Roman" w:hint="eastAsia"/>
                <w:kern w:val="0"/>
                <w:sz w:val="20"/>
                <w:szCs w:val="20"/>
              </w:rPr>
              <w:t>、掌握有机物的好氧生物分解和厌氧生物分解过程。</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、了解有机物的生物分解性评价</w:t>
            </w:r>
            <w:r>
              <w:rPr>
                <w:rFonts w:ascii="Times New Roman" w:hAnsi="Times New Roman" w:hint="eastAsia"/>
                <w:kern w:val="0"/>
                <w:sz w:val="20"/>
                <w:szCs w:val="20"/>
              </w:rPr>
              <w:lastRenderedPageBreak/>
              <w:t>方法。</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、重点掌握不含氮有机物，含氮有机物的生物分解过程。</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、掌握微生物对无机元素如硫，磷，及金属的转化。</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、了解水生生物对污染物的浓缩作用，对金属的吸附作用。</w:t>
            </w:r>
          </w:p>
        </w:tc>
      </w:tr>
      <w:tr w:rsidR="00CA5AE3" w:rsidTr="00E07285">
        <w:trPr>
          <w:trHeight w:val="1244"/>
        </w:trPr>
        <w:tc>
          <w:tcPr>
            <w:tcW w:w="817"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lastRenderedPageBreak/>
              <w:t>7</w:t>
            </w:r>
          </w:p>
        </w:tc>
        <w:tc>
          <w:tcPr>
            <w:tcW w:w="141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第十一章</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污水生物处理系统中的主要微生物</w:t>
            </w:r>
          </w:p>
        </w:tc>
        <w:tc>
          <w:tcPr>
            <w:tcW w:w="70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4</w:t>
            </w:r>
          </w:p>
        </w:tc>
        <w:tc>
          <w:tcPr>
            <w:tcW w:w="3471"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第十一章</w:t>
            </w:r>
            <w:r>
              <w:rPr>
                <w:rFonts w:ascii="Times New Roman" w:hAnsi="Times New Roman" w:hint="eastAsia"/>
                <w:kern w:val="0"/>
                <w:sz w:val="20"/>
                <w:szCs w:val="20"/>
              </w:rPr>
              <w:t xml:space="preserve"> </w:t>
            </w:r>
            <w:r>
              <w:rPr>
                <w:rFonts w:ascii="Times New Roman" w:hAnsi="Times New Roman" w:hint="eastAsia"/>
                <w:kern w:val="0"/>
                <w:sz w:val="20"/>
                <w:szCs w:val="20"/>
              </w:rPr>
              <w:t>污水生物处理系统中的主要微生物</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污水生物处理的基本原理</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好氧生物处理基本原理</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厌氧生物处理基本原理</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 xml:space="preserve">  </w:t>
            </w: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无机污染物生物处理基本原理</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 xml:space="preserve">  </w:t>
            </w:r>
            <w:r>
              <w:rPr>
                <w:rFonts w:ascii="Times New Roman" w:hAnsi="Times New Roman" w:hint="eastAsia"/>
                <w:kern w:val="0"/>
                <w:sz w:val="20"/>
                <w:szCs w:val="20"/>
              </w:rPr>
              <w:t>第五节</w:t>
            </w:r>
            <w:r>
              <w:rPr>
                <w:rFonts w:ascii="Times New Roman" w:hAnsi="Times New Roman" w:hint="eastAsia"/>
                <w:kern w:val="0"/>
                <w:sz w:val="20"/>
                <w:szCs w:val="20"/>
              </w:rPr>
              <w:t xml:space="preserve"> </w:t>
            </w:r>
            <w:r>
              <w:rPr>
                <w:rFonts w:ascii="Times New Roman" w:hAnsi="Times New Roman" w:hint="eastAsia"/>
                <w:kern w:val="0"/>
                <w:sz w:val="20"/>
                <w:szCs w:val="20"/>
              </w:rPr>
              <w:t>生物处理法对污水水质的要求</w:t>
            </w:r>
          </w:p>
        </w:tc>
        <w:tc>
          <w:tcPr>
            <w:tcW w:w="318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、重点掌握污水的好氧和厌氧生物处理过程。</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、掌握活性污泥法运行过程中常见的问题，及造成污泥膨胀的原因及应对措施。</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、了解生物膜法及其主要微生物结构。</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、掌握生物脱氮除磷的基本原理及影响因素。</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、了解含硫，含金属离子废水的生物处理方法。</w:t>
            </w:r>
          </w:p>
        </w:tc>
      </w:tr>
      <w:tr w:rsidR="00CA5AE3" w:rsidTr="00E07285">
        <w:trPr>
          <w:trHeight w:val="1244"/>
        </w:trPr>
        <w:tc>
          <w:tcPr>
            <w:tcW w:w="817"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8</w:t>
            </w:r>
          </w:p>
        </w:tc>
        <w:tc>
          <w:tcPr>
            <w:tcW w:w="141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第九章</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大型水生植物</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第十二章</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水生植物的水质净化作用及其应用</w:t>
            </w:r>
          </w:p>
          <w:p w:rsidR="00CA5AE3" w:rsidRDefault="00CA5AE3" w:rsidP="00E07285">
            <w:pPr>
              <w:jc w:val="left"/>
              <w:rPr>
                <w:rFonts w:ascii="Times New Roman" w:hAnsi="Times New Roman"/>
                <w:kern w:val="0"/>
                <w:sz w:val="20"/>
                <w:szCs w:val="20"/>
              </w:rPr>
            </w:pPr>
          </w:p>
        </w:tc>
        <w:tc>
          <w:tcPr>
            <w:tcW w:w="70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p>
        </w:tc>
        <w:tc>
          <w:tcPr>
            <w:tcW w:w="3471"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第九章</w:t>
            </w:r>
            <w:r>
              <w:rPr>
                <w:rFonts w:ascii="Times New Roman" w:hAnsi="Times New Roman" w:hint="eastAsia"/>
                <w:kern w:val="0"/>
                <w:sz w:val="20"/>
                <w:szCs w:val="20"/>
              </w:rPr>
              <w:t xml:space="preserve"> </w:t>
            </w:r>
            <w:r>
              <w:rPr>
                <w:rFonts w:ascii="Times New Roman" w:hAnsi="Times New Roman" w:hint="eastAsia"/>
                <w:kern w:val="0"/>
                <w:sz w:val="20"/>
                <w:szCs w:val="20"/>
              </w:rPr>
              <w:t>大型水生植物</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大型水生植物的特点</w:t>
            </w:r>
          </w:p>
          <w:p w:rsidR="00CA5AE3" w:rsidRDefault="00CA5AE3" w:rsidP="00E07285">
            <w:pPr>
              <w:ind w:firstLineChars="100" w:firstLine="200"/>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常见的大型水生植物</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第十二章</w:t>
            </w:r>
            <w:r>
              <w:rPr>
                <w:rFonts w:ascii="Times New Roman" w:hAnsi="Times New Roman" w:hint="eastAsia"/>
                <w:kern w:val="0"/>
                <w:sz w:val="20"/>
                <w:szCs w:val="20"/>
              </w:rPr>
              <w:t xml:space="preserve"> </w:t>
            </w:r>
            <w:r>
              <w:rPr>
                <w:rFonts w:ascii="Times New Roman" w:hAnsi="Times New Roman" w:hint="eastAsia"/>
                <w:kern w:val="0"/>
                <w:sz w:val="20"/>
                <w:szCs w:val="20"/>
              </w:rPr>
              <w:t>水生植物的水质净化作用及其应用</w:t>
            </w:r>
          </w:p>
          <w:p w:rsidR="00CA5AE3" w:rsidRDefault="00CA5AE3" w:rsidP="005F6318">
            <w:pPr>
              <w:numPr>
                <w:ilvl w:val="0"/>
                <w:numId w:val="37"/>
              </w:numPr>
              <w:jc w:val="left"/>
              <w:rPr>
                <w:rFonts w:ascii="Times New Roman" w:hAnsi="Times New Roman"/>
                <w:kern w:val="0"/>
                <w:sz w:val="20"/>
                <w:szCs w:val="20"/>
              </w:rPr>
            </w:pPr>
            <w:r>
              <w:rPr>
                <w:rFonts w:ascii="Times New Roman" w:hAnsi="Times New Roman" w:hint="eastAsia"/>
                <w:kern w:val="0"/>
                <w:sz w:val="20"/>
                <w:szCs w:val="20"/>
              </w:rPr>
              <w:t>水生植物的水质净化作用</w:t>
            </w:r>
          </w:p>
          <w:p w:rsidR="00CA5AE3" w:rsidRDefault="00CA5AE3" w:rsidP="005F6318">
            <w:pPr>
              <w:numPr>
                <w:ilvl w:val="0"/>
                <w:numId w:val="37"/>
              </w:numPr>
              <w:jc w:val="left"/>
              <w:rPr>
                <w:rFonts w:ascii="Times New Roman" w:hAnsi="Times New Roman"/>
                <w:kern w:val="0"/>
                <w:sz w:val="20"/>
                <w:szCs w:val="20"/>
              </w:rPr>
            </w:pPr>
            <w:r>
              <w:rPr>
                <w:rFonts w:ascii="Times New Roman" w:hAnsi="Times New Roman" w:hint="eastAsia"/>
                <w:kern w:val="0"/>
                <w:sz w:val="20"/>
                <w:szCs w:val="20"/>
              </w:rPr>
              <w:t>水处理与水体修复生态工程技术</w:t>
            </w:r>
          </w:p>
        </w:tc>
        <w:tc>
          <w:tcPr>
            <w:tcW w:w="3188" w:type="dxa"/>
            <w:vAlign w:val="center"/>
          </w:tcPr>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、了解大型水生植物的主要类群，常见的大型水生植物及其代表植物。</w:t>
            </w:r>
          </w:p>
          <w:p w:rsidR="00CA5AE3" w:rsidRDefault="00CA5AE3"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、了解大型水生植物在水质净化中的作用，及其应用。</w:t>
            </w:r>
          </w:p>
        </w:tc>
      </w:tr>
    </w:tbl>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A5AE3" w:rsidRDefault="00CA5AE3" w:rsidP="00CA5AE3">
      <w:pPr>
        <w:spacing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w:t>
      </w:r>
      <w:r>
        <w:rPr>
          <w:rFonts w:ascii="仿宋_GB2312" w:hAnsi="仿宋_GB2312" w:cs="仿宋_GB2312"/>
          <w:sz w:val="28"/>
          <w:szCs w:val="28"/>
        </w:rPr>
        <w:t>.</w:t>
      </w:r>
      <w:r>
        <w:rPr>
          <w:rFonts w:ascii="仿宋_GB2312" w:hAnsi="仿宋_GB2312" w:cs="仿宋_GB2312" w:hint="eastAsia"/>
          <w:sz w:val="28"/>
          <w:szCs w:val="28"/>
        </w:rPr>
        <w:t>课程考核</w:t>
      </w:r>
    </w:p>
    <w:p w:rsidR="00CA5AE3" w:rsidRDefault="00CA5AE3" w:rsidP="00CA5AE3">
      <w:pPr>
        <w:spacing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平时成绩考核包括五问反思报告、出勤、课堂表现等内容。期末考试采用闭卷形式。</w:t>
      </w:r>
    </w:p>
    <w:p w:rsidR="00CA5AE3" w:rsidRDefault="00CA5AE3" w:rsidP="00CA5AE3">
      <w:pPr>
        <w:spacing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w:t>
      </w:r>
      <w:r>
        <w:rPr>
          <w:rFonts w:ascii="仿宋_GB2312" w:hAnsi="仿宋_GB2312" w:cs="仿宋_GB2312" w:hint="eastAsia"/>
          <w:sz w:val="28"/>
          <w:szCs w:val="28"/>
        </w:rPr>
        <w:t>成绩评定</w:t>
      </w:r>
    </w:p>
    <w:p w:rsidR="00CA5AE3" w:rsidRDefault="00CA5AE3" w:rsidP="00CA5AE3">
      <w:pPr>
        <w:spacing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成绩评定方式为百分制，平时成绩占（</w:t>
      </w:r>
      <w:r>
        <w:rPr>
          <w:rFonts w:ascii="仿宋_GB2312" w:hAnsi="仿宋_GB2312" w:cs="仿宋_GB2312"/>
          <w:sz w:val="28"/>
          <w:szCs w:val="28"/>
        </w:rPr>
        <w:t>30-4</w:t>
      </w:r>
      <w:r>
        <w:rPr>
          <w:rFonts w:ascii="仿宋_GB2312" w:hAnsi="仿宋_GB2312" w:cs="仿宋_GB2312" w:hint="eastAsia"/>
          <w:sz w:val="28"/>
          <w:szCs w:val="28"/>
        </w:rPr>
        <w:t>0</w:t>
      </w:r>
      <w:r>
        <w:rPr>
          <w:rFonts w:ascii="仿宋_GB2312" w:hAnsi="仿宋_GB2312" w:cs="仿宋_GB2312"/>
          <w:sz w:val="28"/>
          <w:szCs w:val="28"/>
        </w:rPr>
        <w:t>）</w:t>
      </w:r>
      <w:r>
        <w:rPr>
          <w:rFonts w:ascii="仿宋_GB2312" w:hAnsi="仿宋_GB2312" w:cs="仿宋_GB2312" w:hint="eastAsia"/>
          <w:sz w:val="28"/>
          <w:szCs w:val="28"/>
        </w:rPr>
        <w:t>%，期末考试</w:t>
      </w:r>
      <w:r>
        <w:rPr>
          <w:rFonts w:ascii="仿宋_GB2312" w:hAnsi="仿宋_GB2312" w:cs="仿宋_GB2312"/>
          <w:sz w:val="28"/>
          <w:szCs w:val="28"/>
        </w:rPr>
        <w:t>60-70）%</w:t>
      </w:r>
      <w:r>
        <w:rPr>
          <w:rFonts w:ascii="仿宋_GB2312" w:hAnsi="仿宋_GB2312" w:cs="仿宋_GB2312" w:hint="eastAsia"/>
          <w:sz w:val="28"/>
          <w:szCs w:val="28"/>
        </w:rPr>
        <w:t>。</w:t>
      </w:r>
    </w:p>
    <w:p w:rsidR="00CA5AE3" w:rsidRDefault="00CA5AE3" w:rsidP="00CA5AE3">
      <w:pPr>
        <w:spacing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本课程课外需要学生进行拓展学习完成五问反思报告。这是一项以知识点为中心的延展练习，旨在培养学生的发散思维，联系应用能</w:t>
      </w:r>
      <w:r>
        <w:rPr>
          <w:rFonts w:ascii="仿宋_GB2312" w:hAnsi="仿宋_GB2312" w:cs="仿宋_GB2312" w:hint="eastAsia"/>
          <w:sz w:val="28"/>
          <w:szCs w:val="28"/>
        </w:rPr>
        <w:lastRenderedPageBreak/>
        <w:t>力。</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A5AE3" w:rsidRDefault="00CA5AE3" w:rsidP="00CA5AE3">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A5AE3" w:rsidRDefault="00CA5AE3" w:rsidP="00CA5AE3">
      <w:pPr>
        <w:spacing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水处理生物学（第五版），顾夏声，胡洪营，文湘华，王慧等编著，中国建筑工业出版社，2014年8月出版。</w:t>
      </w:r>
    </w:p>
    <w:p w:rsidR="00CA5AE3" w:rsidRDefault="00CA5AE3" w:rsidP="00CA5AE3">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A5AE3" w:rsidRDefault="00CA5AE3" w:rsidP="00CA5AE3">
      <w:pPr>
        <w:spacing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w:t>
      </w:r>
      <w:r>
        <w:rPr>
          <w:rFonts w:ascii="仿宋_GB2312" w:hAnsi="仿宋_GB2312" w:cs="仿宋_GB2312" w:hint="eastAsia"/>
          <w:sz w:val="28"/>
          <w:szCs w:val="28"/>
        </w:rPr>
        <w:tab/>
        <w:t>李建政，任南琪，污染控制微生物生态学，哈尔滨工业大学出版社，2005</w:t>
      </w:r>
    </w:p>
    <w:p w:rsidR="00CA5AE3" w:rsidRDefault="00CA5AE3" w:rsidP="00CA5AE3">
      <w:pPr>
        <w:spacing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hint="eastAsia"/>
          <w:sz w:val="28"/>
          <w:szCs w:val="28"/>
        </w:rPr>
        <w:tab/>
        <w:t>马放，污染控制微生物学原理与应用，化学工业出版社，2003</w:t>
      </w:r>
    </w:p>
    <w:p w:rsidR="00CA5AE3" w:rsidRDefault="00CA5AE3" w:rsidP="00CA5AE3">
      <w:pPr>
        <w:spacing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3、B</w:t>
      </w:r>
      <w:r>
        <w:rPr>
          <w:rFonts w:ascii="仿宋_GB2312" w:hAnsi="仿宋_GB2312" w:cs="仿宋_GB2312"/>
          <w:sz w:val="28"/>
          <w:szCs w:val="28"/>
        </w:rPr>
        <w:t>ROCK Biology of Microorganisms(Fourteenth Edition), Michael T. Madigan, John M.Martinko Kellys. Bender et al.</w:t>
      </w:r>
    </w:p>
    <w:p w:rsidR="00CA5AE3" w:rsidRDefault="00CA5AE3" w:rsidP="00CA5AE3">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 xml:space="preserve">   七、其他</w:t>
      </w:r>
    </w:p>
    <w:p w:rsidR="00CA5AE3" w:rsidRDefault="00CA5AE3" w:rsidP="00CA5AE3">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CA5AE3" w:rsidRDefault="00CA5AE3" w:rsidP="00CA5AE3">
      <w:pPr>
        <w:spacing w:line="360" w:lineRule="auto"/>
        <w:ind w:firstLineChars="1800" w:firstLine="5040"/>
        <w:rPr>
          <w:rFonts w:ascii="仿宋" w:eastAsia="仿宋" w:hAnsi="仿宋"/>
          <w:sz w:val="28"/>
          <w:szCs w:val="28"/>
        </w:rPr>
      </w:pPr>
      <w:r>
        <w:rPr>
          <w:rFonts w:ascii="仿宋" w:eastAsia="仿宋" w:hAnsi="仿宋" w:hint="eastAsia"/>
          <w:sz w:val="28"/>
          <w:szCs w:val="28"/>
        </w:rPr>
        <w:t>大纲撰写人：李晓玲</w:t>
      </w:r>
    </w:p>
    <w:p w:rsidR="00CA5AE3" w:rsidRDefault="00CA5AE3" w:rsidP="00CA5AE3">
      <w:pPr>
        <w:spacing w:line="360" w:lineRule="auto"/>
        <w:ind w:firstLineChars="1800" w:firstLine="5040"/>
        <w:rPr>
          <w:rFonts w:ascii="仿宋" w:eastAsia="仿宋" w:hAnsi="仿宋"/>
          <w:sz w:val="28"/>
          <w:szCs w:val="28"/>
        </w:rPr>
      </w:pPr>
      <w:r>
        <w:rPr>
          <w:rFonts w:ascii="仿宋" w:eastAsia="仿宋" w:hAnsi="仿宋" w:hint="eastAsia"/>
          <w:sz w:val="28"/>
          <w:szCs w:val="28"/>
        </w:rPr>
        <w:t>课程负责人：李晓玲</w:t>
      </w:r>
    </w:p>
    <w:p w:rsidR="00CA5AE3" w:rsidRDefault="00CA5AE3" w:rsidP="00CA5AE3">
      <w:pPr>
        <w:spacing w:line="360" w:lineRule="auto"/>
        <w:ind w:firstLineChars="2000" w:firstLine="5600"/>
        <w:rPr>
          <w:rFonts w:ascii="仿宋" w:eastAsia="仿宋" w:hAnsi="仿宋"/>
          <w:sz w:val="28"/>
          <w:szCs w:val="28"/>
        </w:rPr>
      </w:pPr>
      <w:r>
        <w:rPr>
          <w:rFonts w:ascii="仿宋" w:eastAsia="仿宋" w:hAnsi="仿宋" w:hint="eastAsia"/>
          <w:sz w:val="28"/>
          <w:szCs w:val="28"/>
        </w:rPr>
        <w:t>审核人：杨利伟</w:t>
      </w:r>
    </w:p>
    <w:p w:rsidR="00CA5AE3" w:rsidRDefault="00CA5AE3" w:rsidP="00CA5AE3">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  年  </w:t>
      </w:r>
      <w:r>
        <w:rPr>
          <w:rFonts w:ascii="仿宋" w:eastAsia="仿宋" w:hAnsi="仿宋"/>
          <w:sz w:val="28"/>
          <w:szCs w:val="28"/>
        </w:rPr>
        <w:t>4</w:t>
      </w:r>
      <w:r>
        <w:rPr>
          <w:rFonts w:ascii="仿宋" w:eastAsia="仿宋" w:hAnsi="仿宋" w:hint="eastAsia"/>
          <w:sz w:val="28"/>
          <w:szCs w:val="28"/>
        </w:rPr>
        <w:t xml:space="preserve">  月</w:t>
      </w:r>
    </w:p>
    <w:p w:rsidR="00CA5AE3" w:rsidRDefault="00CA5AE3"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hint="eastAsia"/>
          <w:sz w:val="28"/>
          <w:szCs w:val="28"/>
        </w:rPr>
      </w:pPr>
    </w:p>
    <w:p w:rsidR="005F6318" w:rsidRDefault="005F6318" w:rsidP="005F6318">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《水处理生物学实验》课程教学大纲</w:t>
      </w:r>
    </w:p>
    <w:p w:rsidR="005F6318" w:rsidRDefault="005F6318" w:rsidP="005F6318">
      <w:pPr>
        <w:spacing w:line="360" w:lineRule="auto"/>
        <w:rPr>
          <w:rFonts w:ascii="黑体" w:eastAsia="黑体" w:hAnsi="黑体"/>
          <w:b/>
          <w:sz w:val="28"/>
          <w:szCs w:val="28"/>
        </w:rPr>
      </w:pPr>
      <w:r>
        <w:rPr>
          <w:rFonts w:ascii="黑体" w:eastAsia="黑体" w:hAnsi="黑体" w:hint="eastAsia"/>
          <w:b/>
          <w:sz w:val="28"/>
          <w:szCs w:val="28"/>
        </w:rPr>
        <w:t>一、实验课程信息</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实验课程名称：水处理生物学实验</w:t>
      </w:r>
    </w:p>
    <w:p w:rsidR="005F6318" w:rsidRDefault="005F6318" w:rsidP="005F6318">
      <w:pPr>
        <w:spacing w:line="560" w:lineRule="exact"/>
        <w:ind w:firstLine="329"/>
        <w:rPr>
          <w:rFonts w:ascii="Times New Roman" w:hAnsi="Times New Roman"/>
          <w:bCs/>
          <w:sz w:val="28"/>
          <w:szCs w:val="28"/>
        </w:rPr>
      </w:pPr>
      <w:r>
        <w:rPr>
          <w:rFonts w:ascii="Times New Roman" w:hAnsi="Times New Roman"/>
          <w:bCs/>
          <w:sz w:val="28"/>
          <w:szCs w:val="28"/>
        </w:rPr>
        <w:t>Experiment of Biology for Water and Wastewater Treatment</w:t>
      </w:r>
    </w:p>
    <w:p w:rsidR="005F6318" w:rsidRDefault="005F6318" w:rsidP="005F6318">
      <w:pPr>
        <w:spacing w:line="560" w:lineRule="exact"/>
        <w:ind w:firstLine="329"/>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Times New Roman" w:hAnsi="Times New Roman"/>
          <w:bCs/>
          <w:sz w:val="28"/>
          <w:szCs w:val="28"/>
        </w:rPr>
        <w:t>Z2806060</w:t>
      </w:r>
    </w:p>
    <w:p w:rsidR="005F6318" w:rsidRDefault="005F6318" w:rsidP="005F6318">
      <w:pPr>
        <w:spacing w:line="560" w:lineRule="exact"/>
        <w:ind w:firstLine="329"/>
        <w:rPr>
          <w:rFonts w:ascii="Times New Roman" w:hAnsi="Times New Roman"/>
          <w:bCs/>
          <w:sz w:val="28"/>
          <w:szCs w:val="28"/>
        </w:rPr>
      </w:pPr>
      <w:r>
        <w:rPr>
          <w:rFonts w:ascii="Times New Roman" w:hAnsi="Times New Roman"/>
          <w:bCs/>
          <w:sz w:val="28"/>
          <w:szCs w:val="28"/>
        </w:rPr>
        <w:t>授课语言：中文</w:t>
      </w:r>
    </w:p>
    <w:p w:rsidR="005F6318" w:rsidRDefault="005F6318" w:rsidP="005F6318">
      <w:pPr>
        <w:spacing w:line="560" w:lineRule="exact"/>
        <w:ind w:firstLine="329"/>
        <w:rPr>
          <w:rFonts w:ascii="Times New Roman" w:hAnsi="Times New Roman"/>
          <w:bCs/>
          <w:color w:val="FF0000"/>
          <w:sz w:val="28"/>
          <w:szCs w:val="28"/>
        </w:rPr>
      </w:pPr>
      <w:r>
        <w:rPr>
          <w:rFonts w:ascii="Times New Roman" w:hAnsi="Times New Roman"/>
          <w:bCs/>
          <w:sz w:val="28"/>
          <w:szCs w:val="28"/>
        </w:rPr>
        <w:t>实验课性质：独立设课</w:t>
      </w:r>
    </w:p>
    <w:p w:rsidR="005F6318" w:rsidRDefault="005F6318" w:rsidP="005F6318">
      <w:pPr>
        <w:spacing w:line="560" w:lineRule="exact"/>
        <w:ind w:firstLine="329"/>
        <w:rPr>
          <w:rFonts w:ascii="Times New Roman" w:hAnsi="Times New Roman"/>
          <w:bCs/>
          <w:sz w:val="28"/>
          <w:szCs w:val="28"/>
        </w:rPr>
      </w:pPr>
      <w:r>
        <w:rPr>
          <w:rFonts w:ascii="Times New Roman" w:hAnsi="Times New Roman"/>
          <w:bCs/>
          <w:sz w:val="28"/>
          <w:szCs w:val="28"/>
        </w:rPr>
        <w:t>适用专业：给排水科学与工程专业</w:t>
      </w:r>
    </w:p>
    <w:p w:rsidR="005F6318" w:rsidRDefault="005F6318" w:rsidP="005F6318">
      <w:pPr>
        <w:spacing w:line="560" w:lineRule="exact"/>
        <w:ind w:firstLine="329"/>
        <w:rPr>
          <w:rFonts w:ascii="Times New Roman" w:hAnsi="Times New Roman"/>
          <w:bCs/>
          <w:sz w:val="28"/>
          <w:szCs w:val="28"/>
        </w:rPr>
      </w:pPr>
      <w:r>
        <w:rPr>
          <w:rFonts w:ascii="Times New Roman" w:hAnsi="Times New Roman"/>
          <w:bCs/>
          <w:sz w:val="28"/>
          <w:szCs w:val="28"/>
        </w:rPr>
        <w:t>学时学分：</w:t>
      </w:r>
      <w:r>
        <w:rPr>
          <w:rFonts w:ascii="Times New Roman" w:hAnsi="Times New Roman" w:hint="eastAsia"/>
          <w:bCs/>
          <w:sz w:val="28"/>
          <w:szCs w:val="28"/>
        </w:rPr>
        <w:t>1.5</w:t>
      </w:r>
      <w:r>
        <w:rPr>
          <w:rFonts w:ascii="Times New Roman" w:hAnsi="Times New Roman"/>
          <w:bCs/>
          <w:sz w:val="28"/>
          <w:szCs w:val="28"/>
        </w:rPr>
        <w:t>；课程总学时：</w:t>
      </w:r>
      <w:r>
        <w:rPr>
          <w:rFonts w:ascii="Times New Roman" w:hAnsi="Times New Roman"/>
          <w:bCs/>
          <w:sz w:val="28"/>
          <w:szCs w:val="28"/>
        </w:rPr>
        <w:t>24</w:t>
      </w:r>
      <w:r>
        <w:rPr>
          <w:rFonts w:ascii="Times New Roman" w:hAnsi="Times New Roman"/>
          <w:bCs/>
          <w:sz w:val="28"/>
          <w:szCs w:val="28"/>
        </w:rPr>
        <w:t>；总学分：</w:t>
      </w:r>
      <w:r>
        <w:rPr>
          <w:rFonts w:ascii="Times New Roman" w:hAnsi="Times New Roman"/>
          <w:bCs/>
          <w:sz w:val="28"/>
          <w:szCs w:val="28"/>
        </w:rPr>
        <w:t>1.5</w:t>
      </w:r>
      <w:r>
        <w:rPr>
          <w:rFonts w:ascii="Times New Roman" w:hAnsi="Times New Roman"/>
          <w:bCs/>
          <w:sz w:val="28"/>
          <w:szCs w:val="28"/>
        </w:rPr>
        <w:t>；实验课总学时：</w:t>
      </w:r>
      <w:r>
        <w:rPr>
          <w:rFonts w:ascii="Times New Roman" w:hAnsi="Times New Roman"/>
          <w:bCs/>
          <w:sz w:val="28"/>
          <w:szCs w:val="28"/>
        </w:rPr>
        <w:t>24</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开课院系：建筑工程学院是给排水科学与工程系</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实验项目名称和学时分配：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227"/>
        <w:gridCol w:w="650"/>
        <w:gridCol w:w="713"/>
        <w:gridCol w:w="586"/>
        <w:gridCol w:w="678"/>
        <w:gridCol w:w="650"/>
        <w:gridCol w:w="758"/>
        <w:gridCol w:w="671"/>
        <w:gridCol w:w="847"/>
      </w:tblGrid>
      <w:tr w:rsidR="005F6318" w:rsidTr="002A3242">
        <w:tc>
          <w:tcPr>
            <w:tcW w:w="516" w:type="dxa"/>
          </w:tcPr>
          <w:p w:rsidR="005F6318" w:rsidRPr="002A3242" w:rsidRDefault="005F6318" w:rsidP="00843889">
            <w:pPr>
              <w:jc w:val="center"/>
              <w:rPr>
                <w:rFonts w:ascii="仿宋_GB2312" w:hAnsi="仿宋_GB2312" w:cs="仿宋_GB2312"/>
                <w:b/>
                <w:bCs/>
                <w:sz w:val="24"/>
                <w:szCs w:val="24"/>
              </w:rPr>
            </w:pPr>
            <w:r w:rsidRPr="002A3242">
              <w:rPr>
                <w:rFonts w:ascii="仿宋_GB2312" w:hAnsi="仿宋_GB2312" w:cs="仿宋_GB2312" w:hint="eastAsia"/>
                <w:b/>
                <w:bCs/>
                <w:sz w:val="24"/>
                <w:szCs w:val="24"/>
              </w:rPr>
              <w:t>序号</w:t>
            </w:r>
          </w:p>
        </w:tc>
        <w:tc>
          <w:tcPr>
            <w:tcW w:w="2227" w:type="dxa"/>
          </w:tcPr>
          <w:p w:rsidR="005F6318" w:rsidRPr="002A3242" w:rsidRDefault="005F6318" w:rsidP="00843889">
            <w:pPr>
              <w:jc w:val="center"/>
              <w:rPr>
                <w:rFonts w:ascii="仿宋_GB2312" w:hAnsi="仿宋_GB2312" w:cs="仿宋_GB2312"/>
                <w:b/>
                <w:bCs/>
                <w:sz w:val="24"/>
                <w:szCs w:val="24"/>
              </w:rPr>
            </w:pPr>
            <w:r w:rsidRPr="002A3242">
              <w:rPr>
                <w:rFonts w:ascii="仿宋_GB2312" w:hAnsi="仿宋_GB2312" w:cs="仿宋_GB2312" w:hint="eastAsia"/>
                <w:b/>
                <w:bCs/>
                <w:sz w:val="24"/>
                <w:szCs w:val="24"/>
              </w:rPr>
              <w:t>实验项目名称</w:t>
            </w:r>
          </w:p>
        </w:tc>
        <w:tc>
          <w:tcPr>
            <w:tcW w:w="650" w:type="dxa"/>
          </w:tcPr>
          <w:p w:rsidR="005F6318" w:rsidRPr="002A3242" w:rsidRDefault="005F6318" w:rsidP="00843889">
            <w:pPr>
              <w:jc w:val="center"/>
              <w:rPr>
                <w:rFonts w:ascii="仿宋_GB2312" w:hAnsi="仿宋_GB2312" w:cs="仿宋_GB2312"/>
                <w:b/>
                <w:bCs/>
                <w:sz w:val="24"/>
                <w:szCs w:val="24"/>
              </w:rPr>
            </w:pPr>
            <w:r w:rsidRPr="002A3242">
              <w:rPr>
                <w:rFonts w:ascii="仿宋_GB2312" w:hAnsi="仿宋_GB2312" w:cs="仿宋_GB2312" w:hint="eastAsia"/>
                <w:b/>
                <w:bCs/>
                <w:sz w:val="24"/>
                <w:szCs w:val="24"/>
              </w:rPr>
              <w:t>学时分配</w:t>
            </w:r>
          </w:p>
        </w:tc>
        <w:tc>
          <w:tcPr>
            <w:tcW w:w="713" w:type="dxa"/>
          </w:tcPr>
          <w:p w:rsidR="005F6318" w:rsidRPr="002A3242" w:rsidRDefault="005F6318" w:rsidP="00843889">
            <w:pPr>
              <w:jc w:val="center"/>
              <w:rPr>
                <w:rFonts w:ascii="仿宋_GB2312" w:hAnsi="仿宋_GB2312" w:cs="仿宋_GB2312"/>
                <w:b/>
                <w:bCs/>
                <w:sz w:val="24"/>
                <w:szCs w:val="24"/>
              </w:rPr>
            </w:pPr>
            <w:r w:rsidRPr="002A3242">
              <w:rPr>
                <w:rFonts w:ascii="仿宋_GB2312" w:hAnsi="仿宋_GB2312" w:cs="仿宋_GB2312" w:hint="eastAsia"/>
                <w:b/>
                <w:bCs/>
                <w:sz w:val="24"/>
                <w:szCs w:val="24"/>
              </w:rPr>
              <w:t>实验属性</w:t>
            </w:r>
          </w:p>
        </w:tc>
        <w:tc>
          <w:tcPr>
            <w:tcW w:w="586" w:type="dxa"/>
          </w:tcPr>
          <w:p w:rsidR="005F6318" w:rsidRPr="002A3242" w:rsidRDefault="005F6318" w:rsidP="00843889">
            <w:pPr>
              <w:jc w:val="center"/>
              <w:rPr>
                <w:rFonts w:ascii="仿宋_GB2312" w:hAnsi="仿宋_GB2312" w:cs="仿宋_GB2312"/>
                <w:b/>
                <w:bCs/>
                <w:sz w:val="24"/>
                <w:szCs w:val="24"/>
              </w:rPr>
            </w:pPr>
            <w:r w:rsidRPr="002A3242">
              <w:rPr>
                <w:rFonts w:ascii="仿宋_GB2312" w:hAnsi="仿宋_GB2312" w:cs="仿宋_GB2312" w:hint="eastAsia"/>
                <w:b/>
                <w:bCs/>
                <w:sz w:val="24"/>
                <w:szCs w:val="24"/>
              </w:rPr>
              <w:t>实验类型</w:t>
            </w:r>
          </w:p>
        </w:tc>
        <w:tc>
          <w:tcPr>
            <w:tcW w:w="678" w:type="dxa"/>
          </w:tcPr>
          <w:p w:rsidR="005F6318" w:rsidRPr="002A3242" w:rsidRDefault="005F6318" w:rsidP="00843889">
            <w:pPr>
              <w:jc w:val="center"/>
              <w:rPr>
                <w:rFonts w:ascii="仿宋_GB2312" w:hAnsi="仿宋_GB2312" w:cs="仿宋_GB2312"/>
                <w:b/>
                <w:bCs/>
                <w:sz w:val="24"/>
                <w:szCs w:val="24"/>
              </w:rPr>
            </w:pPr>
            <w:r w:rsidRPr="002A3242">
              <w:rPr>
                <w:rFonts w:ascii="仿宋_GB2312" w:hAnsi="仿宋_GB2312" w:cs="仿宋_GB2312" w:hint="eastAsia"/>
                <w:b/>
                <w:bCs/>
                <w:sz w:val="24"/>
                <w:szCs w:val="24"/>
              </w:rPr>
              <w:t>每组人数</w:t>
            </w:r>
          </w:p>
        </w:tc>
        <w:tc>
          <w:tcPr>
            <w:tcW w:w="650" w:type="dxa"/>
          </w:tcPr>
          <w:p w:rsidR="005F6318" w:rsidRPr="002A3242" w:rsidRDefault="005F6318" w:rsidP="00843889">
            <w:pPr>
              <w:jc w:val="center"/>
              <w:rPr>
                <w:rFonts w:ascii="仿宋_GB2312" w:hAnsi="仿宋_GB2312" w:cs="仿宋_GB2312"/>
                <w:b/>
                <w:bCs/>
                <w:sz w:val="24"/>
                <w:szCs w:val="24"/>
              </w:rPr>
            </w:pPr>
            <w:r w:rsidRPr="002A3242">
              <w:rPr>
                <w:rFonts w:ascii="仿宋_GB2312" w:hAnsi="仿宋_GB2312" w:cs="仿宋_GB2312" w:hint="eastAsia"/>
                <w:b/>
                <w:bCs/>
                <w:sz w:val="24"/>
                <w:szCs w:val="24"/>
              </w:rPr>
              <w:t>实验性质</w:t>
            </w:r>
          </w:p>
        </w:tc>
        <w:tc>
          <w:tcPr>
            <w:tcW w:w="758" w:type="dxa"/>
          </w:tcPr>
          <w:p w:rsidR="005F6318" w:rsidRPr="002A3242" w:rsidRDefault="005F6318" w:rsidP="00843889">
            <w:pPr>
              <w:jc w:val="center"/>
              <w:rPr>
                <w:rFonts w:ascii="仿宋_GB2312" w:hAnsi="仿宋_GB2312" w:cs="仿宋_GB2312"/>
                <w:b/>
                <w:bCs/>
                <w:sz w:val="24"/>
                <w:szCs w:val="24"/>
              </w:rPr>
            </w:pPr>
            <w:r w:rsidRPr="002A3242">
              <w:rPr>
                <w:rFonts w:ascii="仿宋_GB2312" w:hAnsi="仿宋_GB2312" w:cs="仿宋_GB2312" w:hint="eastAsia"/>
                <w:b/>
                <w:bCs/>
                <w:sz w:val="24"/>
                <w:szCs w:val="24"/>
              </w:rPr>
              <w:t>虚拟仿真实验</w:t>
            </w:r>
          </w:p>
        </w:tc>
        <w:tc>
          <w:tcPr>
            <w:tcW w:w="671" w:type="dxa"/>
          </w:tcPr>
          <w:p w:rsidR="005F6318" w:rsidRPr="002A3242" w:rsidRDefault="005F6318" w:rsidP="00843889">
            <w:pPr>
              <w:jc w:val="center"/>
              <w:rPr>
                <w:rFonts w:ascii="仿宋_GB2312" w:hAnsi="仿宋_GB2312" w:cs="仿宋_GB2312"/>
                <w:b/>
                <w:bCs/>
                <w:sz w:val="24"/>
                <w:szCs w:val="24"/>
              </w:rPr>
            </w:pPr>
            <w:r w:rsidRPr="002A3242">
              <w:rPr>
                <w:rFonts w:ascii="仿宋_GB2312" w:hAnsi="仿宋_GB2312" w:cs="仿宋_GB2312" w:hint="eastAsia"/>
                <w:b/>
                <w:bCs/>
                <w:sz w:val="24"/>
                <w:szCs w:val="24"/>
              </w:rPr>
              <w:t>开放实验</w:t>
            </w:r>
          </w:p>
        </w:tc>
        <w:tc>
          <w:tcPr>
            <w:tcW w:w="847" w:type="dxa"/>
          </w:tcPr>
          <w:p w:rsidR="005F6318" w:rsidRPr="002A3242" w:rsidRDefault="005F6318" w:rsidP="00843889">
            <w:pPr>
              <w:jc w:val="center"/>
              <w:rPr>
                <w:rFonts w:ascii="仿宋_GB2312" w:hAnsi="仿宋_GB2312" w:cs="仿宋_GB2312"/>
                <w:b/>
                <w:bCs/>
                <w:sz w:val="24"/>
                <w:szCs w:val="24"/>
              </w:rPr>
            </w:pPr>
            <w:r w:rsidRPr="002A3242">
              <w:rPr>
                <w:rFonts w:ascii="仿宋_GB2312" w:hAnsi="仿宋_GB2312" w:cs="仿宋_GB2312" w:hint="eastAsia"/>
                <w:b/>
                <w:bCs/>
                <w:sz w:val="24"/>
                <w:szCs w:val="24"/>
              </w:rPr>
              <w:t>指导教师人数</w:t>
            </w:r>
          </w:p>
        </w:tc>
      </w:tr>
      <w:tr w:rsidR="005F6318" w:rsidTr="002A3242">
        <w:tc>
          <w:tcPr>
            <w:tcW w:w="51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w:t>
            </w:r>
          </w:p>
        </w:tc>
        <w:tc>
          <w:tcPr>
            <w:tcW w:w="222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显微镜的使用与微生物的形态的观察</w:t>
            </w:r>
          </w:p>
        </w:tc>
        <w:tc>
          <w:tcPr>
            <w:tcW w:w="65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713" w:type="dxa"/>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专业基础</w:t>
            </w:r>
          </w:p>
        </w:tc>
        <w:tc>
          <w:tcPr>
            <w:tcW w:w="58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验证</w:t>
            </w:r>
          </w:p>
        </w:tc>
        <w:tc>
          <w:tcPr>
            <w:tcW w:w="67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c>
          <w:tcPr>
            <w:tcW w:w="650"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必修</w:t>
            </w:r>
          </w:p>
        </w:tc>
        <w:tc>
          <w:tcPr>
            <w:tcW w:w="75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67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84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r>
      <w:tr w:rsidR="005F6318" w:rsidTr="002A3242">
        <w:tc>
          <w:tcPr>
            <w:tcW w:w="51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222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微型动物的计数</w:t>
            </w:r>
          </w:p>
        </w:tc>
        <w:tc>
          <w:tcPr>
            <w:tcW w:w="65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713" w:type="dxa"/>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专业基础</w:t>
            </w:r>
          </w:p>
        </w:tc>
        <w:tc>
          <w:tcPr>
            <w:tcW w:w="58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验证</w:t>
            </w:r>
          </w:p>
        </w:tc>
        <w:tc>
          <w:tcPr>
            <w:tcW w:w="67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c>
          <w:tcPr>
            <w:tcW w:w="650"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选修</w:t>
            </w:r>
          </w:p>
        </w:tc>
        <w:tc>
          <w:tcPr>
            <w:tcW w:w="75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67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84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r>
      <w:tr w:rsidR="005F6318" w:rsidTr="002A3242">
        <w:tc>
          <w:tcPr>
            <w:tcW w:w="51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3</w:t>
            </w:r>
          </w:p>
        </w:tc>
        <w:tc>
          <w:tcPr>
            <w:tcW w:w="222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细菌、霉菌、酵母菌、放线菌等生物形态的观察</w:t>
            </w:r>
          </w:p>
        </w:tc>
        <w:tc>
          <w:tcPr>
            <w:tcW w:w="65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713" w:type="dxa"/>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专业基础</w:t>
            </w:r>
          </w:p>
        </w:tc>
        <w:tc>
          <w:tcPr>
            <w:tcW w:w="58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验证</w:t>
            </w:r>
          </w:p>
        </w:tc>
        <w:tc>
          <w:tcPr>
            <w:tcW w:w="67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c>
          <w:tcPr>
            <w:tcW w:w="650"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必修</w:t>
            </w:r>
          </w:p>
        </w:tc>
        <w:tc>
          <w:tcPr>
            <w:tcW w:w="75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67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84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r>
      <w:tr w:rsidR="005F6318" w:rsidTr="002A3242">
        <w:tc>
          <w:tcPr>
            <w:tcW w:w="51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4</w:t>
            </w:r>
          </w:p>
        </w:tc>
        <w:tc>
          <w:tcPr>
            <w:tcW w:w="222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培养基的制备及灭菌</w:t>
            </w:r>
          </w:p>
        </w:tc>
        <w:tc>
          <w:tcPr>
            <w:tcW w:w="65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4</w:t>
            </w:r>
          </w:p>
        </w:tc>
        <w:tc>
          <w:tcPr>
            <w:tcW w:w="713" w:type="dxa"/>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专业基础</w:t>
            </w:r>
          </w:p>
        </w:tc>
        <w:tc>
          <w:tcPr>
            <w:tcW w:w="58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综合</w:t>
            </w:r>
          </w:p>
        </w:tc>
        <w:tc>
          <w:tcPr>
            <w:tcW w:w="67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c>
          <w:tcPr>
            <w:tcW w:w="650"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必修</w:t>
            </w:r>
          </w:p>
        </w:tc>
        <w:tc>
          <w:tcPr>
            <w:tcW w:w="75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67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84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r>
      <w:tr w:rsidR="005F6318" w:rsidTr="002A3242">
        <w:tc>
          <w:tcPr>
            <w:tcW w:w="51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5</w:t>
            </w:r>
          </w:p>
        </w:tc>
        <w:tc>
          <w:tcPr>
            <w:tcW w:w="222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微生物的纯种分离、培养及接种技术</w:t>
            </w:r>
          </w:p>
        </w:tc>
        <w:tc>
          <w:tcPr>
            <w:tcW w:w="65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713" w:type="dxa"/>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专业基础</w:t>
            </w:r>
          </w:p>
        </w:tc>
        <w:tc>
          <w:tcPr>
            <w:tcW w:w="58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综合</w:t>
            </w:r>
          </w:p>
        </w:tc>
        <w:tc>
          <w:tcPr>
            <w:tcW w:w="67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c>
          <w:tcPr>
            <w:tcW w:w="650"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必修</w:t>
            </w:r>
          </w:p>
        </w:tc>
        <w:tc>
          <w:tcPr>
            <w:tcW w:w="75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67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84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r>
      <w:tr w:rsidR="005F6318" w:rsidTr="002A3242">
        <w:tc>
          <w:tcPr>
            <w:tcW w:w="51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6</w:t>
            </w:r>
          </w:p>
        </w:tc>
        <w:tc>
          <w:tcPr>
            <w:tcW w:w="222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纯培养菌种的菌体、菌落形态观察</w:t>
            </w:r>
          </w:p>
        </w:tc>
        <w:tc>
          <w:tcPr>
            <w:tcW w:w="65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713" w:type="dxa"/>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专业基础</w:t>
            </w:r>
          </w:p>
        </w:tc>
        <w:tc>
          <w:tcPr>
            <w:tcW w:w="58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综合</w:t>
            </w:r>
          </w:p>
        </w:tc>
        <w:tc>
          <w:tcPr>
            <w:tcW w:w="67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c>
          <w:tcPr>
            <w:tcW w:w="650"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必修</w:t>
            </w:r>
          </w:p>
        </w:tc>
        <w:tc>
          <w:tcPr>
            <w:tcW w:w="75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67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84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r>
      <w:tr w:rsidR="005F6318" w:rsidTr="002A3242">
        <w:tc>
          <w:tcPr>
            <w:tcW w:w="51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lastRenderedPageBreak/>
              <w:t>7</w:t>
            </w:r>
          </w:p>
        </w:tc>
        <w:tc>
          <w:tcPr>
            <w:tcW w:w="222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微生物的染色技术</w:t>
            </w:r>
          </w:p>
        </w:tc>
        <w:tc>
          <w:tcPr>
            <w:tcW w:w="65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4</w:t>
            </w:r>
          </w:p>
        </w:tc>
        <w:tc>
          <w:tcPr>
            <w:tcW w:w="713" w:type="dxa"/>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专业基础</w:t>
            </w:r>
          </w:p>
        </w:tc>
        <w:tc>
          <w:tcPr>
            <w:tcW w:w="58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综合</w:t>
            </w:r>
          </w:p>
        </w:tc>
        <w:tc>
          <w:tcPr>
            <w:tcW w:w="67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c>
          <w:tcPr>
            <w:tcW w:w="650"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必修</w:t>
            </w:r>
          </w:p>
        </w:tc>
        <w:tc>
          <w:tcPr>
            <w:tcW w:w="75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67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84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r>
      <w:tr w:rsidR="005F6318" w:rsidTr="002A3242">
        <w:tc>
          <w:tcPr>
            <w:tcW w:w="51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8</w:t>
            </w:r>
          </w:p>
        </w:tc>
        <w:tc>
          <w:tcPr>
            <w:tcW w:w="222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大肠杆菌群生理生化实验、生活饮用水中细菌总数及大肠杆菌群的测定</w:t>
            </w:r>
          </w:p>
        </w:tc>
        <w:tc>
          <w:tcPr>
            <w:tcW w:w="65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8</w:t>
            </w:r>
          </w:p>
        </w:tc>
        <w:tc>
          <w:tcPr>
            <w:tcW w:w="713" w:type="dxa"/>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专业基础</w:t>
            </w:r>
          </w:p>
        </w:tc>
        <w:tc>
          <w:tcPr>
            <w:tcW w:w="58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综合</w:t>
            </w:r>
          </w:p>
        </w:tc>
        <w:tc>
          <w:tcPr>
            <w:tcW w:w="67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c>
          <w:tcPr>
            <w:tcW w:w="650"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必修</w:t>
            </w:r>
          </w:p>
        </w:tc>
        <w:tc>
          <w:tcPr>
            <w:tcW w:w="75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67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84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r>
      <w:tr w:rsidR="005F6318" w:rsidTr="002A3242">
        <w:tc>
          <w:tcPr>
            <w:tcW w:w="51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9</w:t>
            </w:r>
          </w:p>
        </w:tc>
        <w:tc>
          <w:tcPr>
            <w:tcW w:w="222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藻类形态观察</w:t>
            </w:r>
          </w:p>
        </w:tc>
        <w:tc>
          <w:tcPr>
            <w:tcW w:w="65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713" w:type="dxa"/>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专业基础</w:t>
            </w:r>
          </w:p>
        </w:tc>
        <w:tc>
          <w:tcPr>
            <w:tcW w:w="58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验证</w:t>
            </w:r>
          </w:p>
        </w:tc>
        <w:tc>
          <w:tcPr>
            <w:tcW w:w="67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c>
          <w:tcPr>
            <w:tcW w:w="650"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选修</w:t>
            </w:r>
          </w:p>
        </w:tc>
        <w:tc>
          <w:tcPr>
            <w:tcW w:w="75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67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84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r>
      <w:tr w:rsidR="005F6318" w:rsidTr="002A3242">
        <w:tc>
          <w:tcPr>
            <w:tcW w:w="51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10</w:t>
            </w:r>
          </w:p>
        </w:tc>
        <w:tc>
          <w:tcPr>
            <w:tcW w:w="222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秸秆降解菌的分离纯化及鉴定</w:t>
            </w:r>
          </w:p>
        </w:tc>
        <w:tc>
          <w:tcPr>
            <w:tcW w:w="65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6</w:t>
            </w:r>
          </w:p>
        </w:tc>
        <w:tc>
          <w:tcPr>
            <w:tcW w:w="713" w:type="dxa"/>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专业基础</w:t>
            </w:r>
          </w:p>
        </w:tc>
        <w:tc>
          <w:tcPr>
            <w:tcW w:w="58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综合</w:t>
            </w:r>
          </w:p>
        </w:tc>
        <w:tc>
          <w:tcPr>
            <w:tcW w:w="67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c>
          <w:tcPr>
            <w:tcW w:w="650"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选修</w:t>
            </w:r>
          </w:p>
        </w:tc>
        <w:tc>
          <w:tcPr>
            <w:tcW w:w="75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67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84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r>
      <w:tr w:rsidR="005F6318" w:rsidTr="002A3242">
        <w:tc>
          <w:tcPr>
            <w:tcW w:w="51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11</w:t>
            </w:r>
          </w:p>
        </w:tc>
        <w:tc>
          <w:tcPr>
            <w:tcW w:w="222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好氧反硝化菌的分离纯化及鉴定</w:t>
            </w:r>
          </w:p>
        </w:tc>
        <w:tc>
          <w:tcPr>
            <w:tcW w:w="65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713" w:type="dxa"/>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专业基础</w:t>
            </w:r>
          </w:p>
        </w:tc>
        <w:tc>
          <w:tcPr>
            <w:tcW w:w="58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综合</w:t>
            </w:r>
          </w:p>
        </w:tc>
        <w:tc>
          <w:tcPr>
            <w:tcW w:w="67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c>
          <w:tcPr>
            <w:tcW w:w="650"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选修</w:t>
            </w:r>
          </w:p>
        </w:tc>
        <w:tc>
          <w:tcPr>
            <w:tcW w:w="75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67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否</w:t>
            </w:r>
          </w:p>
        </w:tc>
        <w:tc>
          <w:tcPr>
            <w:tcW w:w="847" w:type="dxa"/>
            <w:vAlign w:val="center"/>
          </w:tcPr>
          <w:p w:rsidR="005F6318" w:rsidRPr="002A3242" w:rsidRDefault="005F6318" w:rsidP="00843889">
            <w:pPr>
              <w:jc w:val="center"/>
              <w:rPr>
                <w:rFonts w:ascii="仿宋_GB2312" w:hAnsi="仿宋_GB2312" w:cs="仿宋_GB2312"/>
                <w:bCs/>
                <w:sz w:val="24"/>
                <w:szCs w:val="24"/>
              </w:rPr>
            </w:pPr>
            <w:r w:rsidRPr="002A3242">
              <w:rPr>
                <w:rFonts w:ascii="仿宋_GB2312" w:hAnsi="仿宋_GB2312" w:cs="仿宋_GB2312" w:hint="eastAsia"/>
                <w:bCs/>
                <w:sz w:val="24"/>
                <w:szCs w:val="24"/>
              </w:rPr>
              <w:t>1~2</w:t>
            </w:r>
          </w:p>
        </w:tc>
      </w:tr>
    </w:tbl>
    <w:p w:rsidR="005F6318" w:rsidRDefault="005F6318" w:rsidP="005F6318">
      <w:pPr>
        <w:spacing w:line="360" w:lineRule="auto"/>
        <w:rPr>
          <w:rFonts w:ascii="黑体" w:eastAsia="黑体" w:hAnsi="黑体"/>
          <w:b/>
          <w:sz w:val="28"/>
          <w:szCs w:val="28"/>
        </w:rPr>
      </w:pPr>
      <w:r>
        <w:rPr>
          <w:rFonts w:ascii="黑体" w:eastAsia="黑体" w:hAnsi="黑体" w:hint="eastAsia"/>
          <w:b/>
          <w:sz w:val="28"/>
          <w:szCs w:val="28"/>
        </w:rPr>
        <w:t>二、实验课程简介</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水微生物学实验是给排水科学与工程专业的专业基础实验课,它是在学生掌握生物学、水分析化学、物理学等方面知识的基础上，通过实验加深学生对基本概念、原理的理解和检验技术的运用，从而达到掌握微生物学基本知识，了解水微生物的形态、生理特性和控制它们的方法；基本掌握微生物学在水处理中的作用机理和规律，以便有效地去除水中有害的微生物，或为有益的微生物提供适宜的繁殖条件，提高废水处理效率；掌握水中微生物的检验方法，确定水和废水的生物学性质，判定水体污染和自净程度。</w:t>
      </w:r>
    </w:p>
    <w:p w:rsidR="005F6318" w:rsidRDefault="005F6318" w:rsidP="005F6318">
      <w:pPr>
        <w:spacing w:beforeLines="50" w:before="156" w:afterLines="50" w:after="156" w:line="360" w:lineRule="auto"/>
        <w:jc w:val="left"/>
        <w:rPr>
          <w:rFonts w:ascii="黑体" w:eastAsia="黑体" w:hAnsi="黑体"/>
          <w:b/>
          <w:sz w:val="28"/>
          <w:szCs w:val="28"/>
        </w:rPr>
      </w:pPr>
      <w:r>
        <w:rPr>
          <w:rFonts w:ascii="黑体" w:eastAsia="黑体" w:hAnsi="黑体" w:hint="eastAsia"/>
          <w:b/>
          <w:sz w:val="28"/>
          <w:szCs w:val="28"/>
        </w:rPr>
        <w:t>三、实验课程目标与要求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1.实验课程目标</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通过本课程的学习与训练，学生应具备以下几方面的能力:</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（1）掌握水处理生物学的基本实验方法和操作技术。</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（2）通过实验设计的讨论和实验结果分析，培养学生科学思维方法，提高独立工作能力</w:t>
      </w:r>
    </w:p>
    <w:p w:rsidR="005F6318" w:rsidRDefault="005F6318" w:rsidP="005F6318">
      <w:pPr>
        <w:spacing w:line="560" w:lineRule="exact"/>
        <w:ind w:firstLine="329"/>
        <w:rPr>
          <w:rFonts w:ascii="仿宋_GB2312" w:hAnsi="仿宋_GB2312" w:cs="仿宋_GB2312"/>
          <w:bCs/>
          <w:sz w:val="28"/>
          <w:szCs w:val="28"/>
        </w:rPr>
      </w:pP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2.实验课程要求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（1）每次实习前必须做好预习，明确实验目的、原理、方法及操作中的注意事项等，避免和减少发生错误。</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（2）实验过程中必须持严肃认真的态度。</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（3）对实验结果必须进行仔细地观察和认真地记录，然后进行科学分析，得出恰当结论。</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（4）独立认真完成实验报告，书写实验报告要字迹清楚，语言简练，表格清晰，画图应力求反映实际标本的原状。</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（5）切实遵守实验室规则。</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3.实验课程思政设计</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水处理生物学实验是在水处理生物学理论课的基础上开设的专业实验课程。作为一门实验课程，水处理生物学实验课的设置是为了使学生掌握水处理生物学实验的主要技术与方法，帮助学生用实验来验证理论知识 ， 并将理论知识转化为实践能力。</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水处理生物学验课程内容主要包括微生物显微观察、培养基的制备和灭菌、微生物染色技术、无菌操作技术、大肠杆菌的鉴定等一系列实验内容。通过改革教学内容，积极挖掘课程思政的融入点，力求让实验内容与课程思政紧密联系起来。</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（1）通过讲授典型微生物的用途教育学生发扬中华优秀传统文化；</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（2）通过采集实验样品进行生态文明与环境保护教育，鼓励学生开展科研活动。</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（3）引导在实际生产和生活中合理地应用微生物，做到扬长避短、化弊为利，不仅要防止和控制有害微生物，减少和消除微生物带来的</w:t>
      </w:r>
      <w:r>
        <w:rPr>
          <w:rFonts w:ascii="仿宋_GB2312" w:hAnsi="仿宋_GB2312" w:cs="仿宋_GB2312" w:hint="eastAsia"/>
          <w:bCs/>
          <w:sz w:val="28"/>
          <w:szCs w:val="28"/>
        </w:rPr>
        <w:lastRenderedPageBreak/>
        <w:t>危害，更要充分利用微生物的有益作用，达到让微生物为人类服务的目的，使学生学会运用辩证的思维看待社会生活、工作学习中的现象，能客观理性地分析事物的两面性，提高学生的辩证思维能力，树立辩证唯物主义的世界观。</w:t>
      </w:r>
    </w:p>
    <w:p w:rsidR="005F6318" w:rsidRDefault="005F6318" w:rsidP="005F6318">
      <w:pPr>
        <w:spacing w:beforeLines="50" w:before="156" w:afterLines="50" w:after="156"/>
        <w:jc w:val="left"/>
        <w:rPr>
          <w:rFonts w:ascii="黑体" w:eastAsia="黑体" w:hAnsi="黑体"/>
          <w:b/>
          <w:sz w:val="28"/>
          <w:szCs w:val="28"/>
        </w:rPr>
      </w:pPr>
      <w:r>
        <w:rPr>
          <w:rFonts w:ascii="黑体" w:eastAsia="黑体" w:hAnsi="黑体" w:hint="eastAsia"/>
          <w:b/>
          <w:sz w:val="28"/>
          <w:szCs w:val="28"/>
        </w:rPr>
        <w:t>四、单项实验的内容和要求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1）实验项目名称：显微镜的使用与微生物形态的观察</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（1）实验内容</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①各种显微镜结构和各部分作用；</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②各种显微镜的使用和方法；</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③各种微生物相与原生动物的观察。</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①学习各种显微镜的使用方法；</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②认识原生动物、菌胶团等微生物形态。</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③确定原生动物、菌胶团在水质净化过程中所处阶段及作用。</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（3）应配备的主要设备名称和台件数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160"/>
        <w:gridCol w:w="1980"/>
        <w:gridCol w:w="1440"/>
        <w:gridCol w:w="1260"/>
      </w:tblGrid>
      <w:tr w:rsidR="005F6318" w:rsidTr="00843889">
        <w:trPr>
          <w:trHeight w:val="360"/>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序号</w:t>
            </w:r>
          </w:p>
        </w:tc>
        <w:tc>
          <w:tcPr>
            <w:tcW w:w="216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设备名称</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每组应配备台件数</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现有台件数</w:t>
            </w:r>
          </w:p>
        </w:tc>
        <w:tc>
          <w:tcPr>
            <w:tcW w:w="126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备注</w:t>
            </w:r>
          </w:p>
        </w:tc>
      </w:tr>
      <w:tr w:rsidR="005F6318" w:rsidTr="00843889">
        <w:trPr>
          <w:trHeight w:val="360"/>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216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显微镜</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17</w:t>
            </w:r>
          </w:p>
        </w:tc>
        <w:tc>
          <w:tcPr>
            <w:tcW w:w="1260" w:type="dxa"/>
            <w:vAlign w:val="center"/>
          </w:tcPr>
          <w:p w:rsidR="005F6318" w:rsidRDefault="005F6318" w:rsidP="00843889">
            <w:pPr>
              <w:spacing w:line="360" w:lineRule="auto"/>
              <w:jc w:val="center"/>
              <w:rPr>
                <w:rFonts w:ascii="Times New Roman" w:eastAsia="华文中宋" w:hAnsi="Times New Roman"/>
                <w:sz w:val="21"/>
                <w:szCs w:val="21"/>
              </w:rPr>
            </w:pPr>
          </w:p>
        </w:tc>
      </w:tr>
      <w:tr w:rsidR="005F6318" w:rsidTr="00843889">
        <w:trPr>
          <w:trHeight w:val="360"/>
          <w:jc w:val="center"/>
        </w:trPr>
        <w:tc>
          <w:tcPr>
            <w:tcW w:w="72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 xml:space="preserve">2 </w:t>
            </w:r>
          </w:p>
        </w:tc>
        <w:tc>
          <w:tcPr>
            <w:tcW w:w="216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数码显微镜</w:t>
            </w:r>
          </w:p>
        </w:tc>
        <w:tc>
          <w:tcPr>
            <w:tcW w:w="198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8~16</w:t>
            </w:r>
            <w:r>
              <w:rPr>
                <w:rFonts w:ascii="Times New Roman" w:eastAsia="华文中宋" w:hAnsi="Times New Roman"/>
                <w:sz w:val="21"/>
                <w:szCs w:val="21"/>
              </w:rPr>
              <w:t>组配一台</w:t>
            </w:r>
          </w:p>
        </w:tc>
        <w:tc>
          <w:tcPr>
            <w:tcW w:w="144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0</w:t>
            </w:r>
          </w:p>
        </w:tc>
        <w:tc>
          <w:tcPr>
            <w:tcW w:w="126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p>
        </w:tc>
      </w:tr>
    </w:tbl>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2）实验项目名称：微型动物的计数</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（1）实验内容</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①测定活性污泥法曝气池混合液中微型动物的数目；</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①掌握微生物的计数方法；</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（3）应配备的主要设备名称和台件数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160"/>
        <w:gridCol w:w="1980"/>
        <w:gridCol w:w="1440"/>
        <w:gridCol w:w="1260"/>
      </w:tblGrid>
      <w:tr w:rsidR="005F6318" w:rsidTr="00843889">
        <w:trPr>
          <w:trHeight w:val="360"/>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lastRenderedPageBreak/>
              <w:t>序号</w:t>
            </w:r>
          </w:p>
        </w:tc>
        <w:tc>
          <w:tcPr>
            <w:tcW w:w="216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设备名称</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每组应配备台件数</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现有台件数</w:t>
            </w:r>
          </w:p>
        </w:tc>
        <w:tc>
          <w:tcPr>
            <w:tcW w:w="126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备注</w:t>
            </w:r>
          </w:p>
        </w:tc>
      </w:tr>
      <w:tr w:rsidR="005F6318" w:rsidTr="00843889">
        <w:trPr>
          <w:trHeight w:val="360"/>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216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显微镜</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17</w:t>
            </w:r>
          </w:p>
        </w:tc>
        <w:tc>
          <w:tcPr>
            <w:tcW w:w="1260" w:type="dxa"/>
            <w:vAlign w:val="center"/>
          </w:tcPr>
          <w:p w:rsidR="005F6318" w:rsidRDefault="005F6318" w:rsidP="00843889">
            <w:pPr>
              <w:spacing w:line="360" w:lineRule="auto"/>
              <w:jc w:val="center"/>
              <w:rPr>
                <w:rFonts w:ascii="Times New Roman" w:eastAsia="华文中宋" w:hAnsi="Times New Roman"/>
                <w:sz w:val="21"/>
                <w:szCs w:val="21"/>
              </w:rPr>
            </w:pPr>
          </w:p>
        </w:tc>
      </w:tr>
      <w:tr w:rsidR="005F6318" w:rsidTr="00843889">
        <w:trPr>
          <w:trHeight w:val="360"/>
          <w:jc w:val="center"/>
        </w:trPr>
        <w:tc>
          <w:tcPr>
            <w:tcW w:w="72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 xml:space="preserve">2 </w:t>
            </w:r>
          </w:p>
        </w:tc>
        <w:tc>
          <w:tcPr>
            <w:tcW w:w="216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数码显微镜</w:t>
            </w:r>
          </w:p>
        </w:tc>
        <w:tc>
          <w:tcPr>
            <w:tcW w:w="198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8~16</w:t>
            </w:r>
            <w:r>
              <w:rPr>
                <w:rFonts w:ascii="Times New Roman" w:eastAsia="华文中宋" w:hAnsi="Times New Roman"/>
                <w:sz w:val="21"/>
                <w:szCs w:val="21"/>
              </w:rPr>
              <w:t>组配一台</w:t>
            </w:r>
          </w:p>
        </w:tc>
        <w:tc>
          <w:tcPr>
            <w:tcW w:w="144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0</w:t>
            </w:r>
          </w:p>
        </w:tc>
        <w:tc>
          <w:tcPr>
            <w:tcW w:w="126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p>
        </w:tc>
      </w:tr>
    </w:tbl>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3）实验项目名称：细菌、霉菌、酵母菌、放线菌等生物形态的观察</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（2）实验内容</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①观察细菌的形态构造；</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②观察霉菌、酵母菌、纺线菌形态。</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①观察细菌、霉菌、酵母菌、纺线菌等形态构造；</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②找出它们与细菌间的区别。</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（3）应配备的主要设备名称和台件数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160"/>
        <w:gridCol w:w="1980"/>
        <w:gridCol w:w="1440"/>
        <w:gridCol w:w="1260"/>
      </w:tblGrid>
      <w:tr w:rsidR="005F6318" w:rsidTr="00843889">
        <w:trPr>
          <w:trHeight w:val="360"/>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序号</w:t>
            </w:r>
          </w:p>
        </w:tc>
        <w:tc>
          <w:tcPr>
            <w:tcW w:w="216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设备名称</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每组应配备台件数</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现有台件数</w:t>
            </w:r>
          </w:p>
        </w:tc>
        <w:tc>
          <w:tcPr>
            <w:tcW w:w="126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备注</w:t>
            </w:r>
          </w:p>
        </w:tc>
      </w:tr>
      <w:tr w:rsidR="005F6318" w:rsidTr="00843889">
        <w:trPr>
          <w:trHeight w:val="360"/>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216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显微镜</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17</w:t>
            </w:r>
          </w:p>
        </w:tc>
        <w:tc>
          <w:tcPr>
            <w:tcW w:w="1260" w:type="dxa"/>
            <w:vAlign w:val="center"/>
          </w:tcPr>
          <w:p w:rsidR="005F6318" w:rsidRDefault="005F6318" w:rsidP="00843889">
            <w:pPr>
              <w:spacing w:line="360" w:lineRule="auto"/>
              <w:jc w:val="center"/>
              <w:rPr>
                <w:rFonts w:ascii="Times New Roman" w:eastAsia="华文中宋" w:hAnsi="Times New Roman"/>
                <w:sz w:val="21"/>
                <w:szCs w:val="21"/>
              </w:rPr>
            </w:pPr>
          </w:p>
        </w:tc>
      </w:tr>
      <w:tr w:rsidR="005F6318" w:rsidTr="00843889">
        <w:trPr>
          <w:trHeight w:val="360"/>
          <w:jc w:val="center"/>
        </w:trPr>
        <w:tc>
          <w:tcPr>
            <w:tcW w:w="72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 xml:space="preserve">2 </w:t>
            </w:r>
          </w:p>
        </w:tc>
        <w:tc>
          <w:tcPr>
            <w:tcW w:w="216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数码显微镜</w:t>
            </w:r>
          </w:p>
        </w:tc>
        <w:tc>
          <w:tcPr>
            <w:tcW w:w="198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8~16</w:t>
            </w:r>
            <w:r>
              <w:rPr>
                <w:rFonts w:ascii="Times New Roman" w:eastAsia="华文中宋" w:hAnsi="Times New Roman"/>
                <w:sz w:val="21"/>
                <w:szCs w:val="21"/>
              </w:rPr>
              <w:t>组配一台</w:t>
            </w:r>
          </w:p>
        </w:tc>
        <w:tc>
          <w:tcPr>
            <w:tcW w:w="144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0</w:t>
            </w:r>
          </w:p>
        </w:tc>
        <w:tc>
          <w:tcPr>
            <w:tcW w:w="1260" w:type="dxa"/>
            <w:tcBorders>
              <w:bottom w:val="single" w:sz="4" w:space="0" w:color="auto"/>
            </w:tcBorders>
            <w:vAlign w:val="center"/>
          </w:tcPr>
          <w:p w:rsidR="005F6318" w:rsidRDefault="005F6318" w:rsidP="00843889">
            <w:pPr>
              <w:spacing w:line="360" w:lineRule="auto"/>
              <w:jc w:val="center"/>
              <w:rPr>
                <w:rFonts w:ascii="Times New Roman" w:eastAsia="华文中宋" w:hAnsi="Times New Roman"/>
                <w:sz w:val="21"/>
                <w:szCs w:val="21"/>
              </w:rPr>
            </w:pPr>
          </w:p>
        </w:tc>
      </w:tr>
    </w:tbl>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4）实验项目名称：培养基的制备及灭菌</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（1）实验内容</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①玻璃器皿的洗刷与包装；</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②培养基的制备；</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③高压蒸汽灭菌。</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①掌握培养基配置的制备方法；</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②掌握灭菌技术；</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③理解培养基的制备原理，比较两种灭菌技术的优劣。</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（3）应配备的主要设备名称和台件数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356"/>
        <w:gridCol w:w="2144"/>
        <w:gridCol w:w="1440"/>
        <w:gridCol w:w="900"/>
      </w:tblGrid>
      <w:tr w:rsidR="005F6318" w:rsidTr="002A3242">
        <w:trPr>
          <w:trHeight w:val="405"/>
          <w:jc w:val="center"/>
        </w:trPr>
        <w:tc>
          <w:tcPr>
            <w:tcW w:w="900" w:type="dxa"/>
            <w:vAlign w:val="center"/>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lastRenderedPageBreak/>
              <w:t>序号</w:t>
            </w:r>
          </w:p>
        </w:tc>
        <w:tc>
          <w:tcPr>
            <w:tcW w:w="2356" w:type="dxa"/>
            <w:vAlign w:val="center"/>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设备名称</w:t>
            </w:r>
          </w:p>
        </w:tc>
        <w:tc>
          <w:tcPr>
            <w:tcW w:w="2144" w:type="dxa"/>
            <w:vAlign w:val="center"/>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每组应配备台件数</w:t>
            </w:r>
          </w:p>
        </w:tc>
        <w:tc>
          <w:tcPr>
            <w:tcW w:w="1440" w:type="dxa"/>
            <w:vAlign w:val="center"/>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现有台件数</w:t>
            </w:r>
          </w:p>
        </w:tc>
        <w:tc>
          <w:tcPr>
            <w:tcW w:w="900" w:type="dxa"/>
            <w:vAlign w:val="center"/>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备注</w:t>
            </w:r>
          </w:p>
        </w:tc>
      </w:tr>
      <w:tr w:rsidR="005F6318" w:rsidTr="002A3242">
        <w:trPr>
          <w:trHeight w:val="405"/>
          <w:jc w:val="center"/>
        </w:trPr>
        <w:tc>
          <w:tcPr>
            <w:tcW w:w="90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1</w:t>
            </w:r>
          </w:p>
        </w:tc>
        <w:tc>
          <w:tcPr>
            <w:tcW w:w="235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高压蒸汽灭菌器</w:t>
            </w:r>
          </w:p>
        </w:tc>
        <w:tc>
          <w:tcPr>
            <w:tcW w:w="2144"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每</w:t>
            </w:r>
            <w:r w:rsidRPr="002A3242">
              <w:rPr>
                <w:rFonts w:ascii="仿宋_GB2312" w:hAnsi="仿宋_GB2312" w:cs="仿宋_GB2312" w:hint="eastAsia"/>
                <w:bCs/>
                <w:sz w:val="24"/>
                <w:szCs w:val="24"/>
              </w:rPr>
              <w:t>30</w:t>
            </w:r>
            <w:r w:rsidRPr="002A3242">
              <w:rPr>
                <w:rFonts w:ascii="仿宋_GB2312" w:hAnsi="仿宋_GB2312" w:cs="仿宋_GB2312"/>
                <w:bCs/>
                <w:sz w:val="24"/>
                <w:szCs w:val="24"/>
              </w:rPr>
              <w:t>个组配一台</w:t>
            </w:r>
          </w:p>
        </w:tc>
        <w:tc>
          <w:tcPr>
            <w:tcW w:w="144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1</w:t>
            </w:r>
          </w:p>
        </w:tc>
        <w:tc>
          <w:tcPr>
            <w:tcW w:w="900" w:type="dxa"/>
            <w:vAlign w:val="center"/>
          </w:tcPr>
          <w:p w:rsidR="005F6318" w:rsidRPr="002A3242" w:rsidRDefault="005F6318" w:rsidP="00843889">
            <w:pPr>
              <w:spacing w:line="360" w:lineRule="auto"/>
              <w:jc w:val="center"/>
              <w:rPr>
                <w:rFonts w:ascii="仿宋_GB2312" w:hAnsi="仿宋_GB2312" w:cs="仿宋_GB2312"/>
                <w:bCs/>
                <w:sz w:val="24"/>
                <w:szCs w:val="24"/>
              </w:rPr>
            </w:pPr>
          </w:p>
        </w:tc>
      </w:tr>
      <w:tr w:rsidR="005F6318" w:rsidTr="002A3242">
        <w:trPr>
          <w:trHeight w:val="405"/>
          <w:jc w:val="center"/>
        </w:trPr>
        <w:tc>
          <w:tcPr>
            <w:tcW w:w="90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2</w:t>
            </w:r>
          </w:p>
        </w:tc>
        <w:tc>
          <w:tcPr>
            <w:tcW w:w="235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酸度计</w:t>
            </w:r>
          </w:p>
        </w:tc>
        <w:tc>
          <w:tcPr>
            <w:tcW w:w="2144"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每8个组配一台</w:t>
            </w:r>
          </w:p>
        </w:tc>
        <w:tc>
          <w:tcPr>
            <w:tcW w:w="144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4</w:t>
            </w:r>
          </w:p>
        </w:tc>
        <w:tc>
          <w:tcPr>
            <w:tcW w:w="900" w:type="dxa"/>
            <w:vAlign w:val="center"/>
          </w:tcPr>
          <w:p w:rsidR="005F6318" w:rsidRPr="002A3242" w:rsidRDefault="005F6318" w:rsidP="00843889">
            <w:pPr>
              <w:spacing w:line="360" w:lineRule="auto"/>
              <w:jc w:val="center"/>
              <w:rPr>
                <w:rFonts w:ascii="仿宋_GB2312" w:hAnsi="仿宋_GB2312" w:cs="仿宋_GB2312"/>
                <w:bCs/>
                <w:sz w:val="24"/>
                <w:szCs w:val="24"/>
              </w:rPr>
            </w:pPr>
          </w:p>
        </w:tc>
      </w:tr>
      <w:tr w:rsidR="005F6318" w:rsidTr="002A3242">
        <w:trPr>
          <w:trHeight w:val="405"/>
          <w:jc w:val="center"/>
        </w:trPr>
        <w:tc>
          <w:tcPr>
            <w:tcW w:w="90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3</w:t>
            </w:r>
          </w:p>
        </w:tc>
        <w:tc>
          <w:tcPr>
            <w:tcW w:w="235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干燥箱</w:t>
            </w:r>
          </w:p>
        </w:tc>
        <w:tc>
          <w:tcPr>
            <w:tcW w:w="2144"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每</w:t>
            </w:r>
            <w:r w:rsidRPr="002A3242">
              <w:rPr>
                <w:rFonts w:ascii="仿宋_GB2312" w:hAnsi="仿宋_GB2312" w:cs="仿宋_GB2312" w:hint="eastAsia"/>
                <w:bCs/>
                <w:sz w:val="24"/>
                <w:szCs w:val="24"/>
              </w:rPr>
              <w:t>16</w:t>
            </w:r>
            <w:r w:rsidRPr="002A3242">
              <w:rPr>
                <w:rFonts w:ascii="仿宋_GB2312" w:hAnsi="仿宋_GB2312" w:cs="仿宋_GB2312"/>
                <w:bCs/>
                <w:sz w:val="24"/>
                <w:szCs w:val="24"/>
              </w:rPr>
              <w:t>个组配一台</w:t>
            </w:r>
          </w:p>
        </w:tc>
        <w:tc>
          <w:tcPr>
            <w:tcW w:w="144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3</w:t>
            </w:r>
          </w:p>
        </w:tc>
        <w:tc>
          <w:tcPr>
            <w:tcW w:w="900" w:type="dxa"/>
            <w:vAlign w:val="center"/>
          </w:tcPr>
          <w:p w:rsidR="005F6318" w:rsidRPr="002A3242" w:rsidRDefault="005F6318" w:rsidP="00843889">
            <w:pPr>
              <w:spacing w:line="360" w:lineRule="auto"/>
              <w:jc w:val="center"/>
              <w:rPr>
                <w:rFonts w:ascii="仿宋_GB2312" w:hAnsi="仿宋_GB2312" w:cs="仿宋_GB2312"/>
                <w:bCs/>
                <w:sz w:val="24"/>
                <w:szCs w:val="24"/>
              </w:rPr>
            </w:pPr>
          </w:p>
        </w:tc>
      </w:tr>
      <w:tr w:rsidR="005F6318" w:rsidTr="002A3242">
        <w:trPr>
          <w:trHeight w:val="405"/>
          <w:jc w:val="center"/>
        </w:trPr>
        <w:tc>
          <w:tcPr>
            <w:tcW w:w="90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4</w:t>
            </w:r>
          </w:p>
        </w:tc>
        <w:tc>
          <w:tcPr>
            <w:tcW w:w="235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冰箱</w:t>
            </w:r>
          </w:p>
        </w:tc>
        <w:tc>
          <w:tcPr>
            <w:tcW w:w="2144"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每</w:t>
            </w:r>
            <w:r w:rsidRPr="002A3242">
              <w:rPr>
                <w:rFonts w:ascii="仿宋_GB2312" w:hAnsi="仿宋_GB2312" w:cs="仿宋_GB2312" w:hint="eastAsia"/>
                <w:bCs/>
                <w:sz w:val="24"/>
                <w:szCs w:val="24"/>
              </w:rPr>
              <w:t>30</w:t>
            </w:r>
            <w:r w:rsidRPr="002A3242">
              <w:rPr>
                <w:rFonts w:ascii="仿宋_GB2312" w:hAnsi="仿宋_GB2312" w:cs="仿宋_GB2312"/>
                <w:bCs/>
                <w:sz w:val="24"/>
                <w:szCs w:val="24"/>
              </w:rPr>
              <w:t>个组配一台</w:t>
            </w:r>
          </w:p>
        </w:tc>
        <w:tc>
          <w:tcPr>
            <w:tcW w:w="144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900" w:type="dxa"/>
            <w:vAlign w:val="center"/>
          </w:tcPr>
          <w:p w:rsidR="005F6318" w:rsidRPr="002A3242" w:rsidRDefault="005F6318" w:rsidP="00843889">
            <w:pPr>
              <w:spacing w:line="360" w:lineRule="auto"/>
              <w:jc w:val="center"/>
              <w:rPr>
                <w:rFonts w:ascii="仿宋_GB2312" w:hAnsi="仿宋_GB2312" w:cs="仿宋_GB2312"/>
                <w:bCs/>
                <w:sz w:val="24"/>
                <w:szCs w:val="24"/>
              </w:rPr>
            </w:pPr>
          </w:p>
        </w:tc>
      </w:tr>
      <w:tr w:rsidR="005F6318" w:rsidTr="002A3242">
        <w:trPr>
          <w:trHeight w:val="405"/>
          <w:jc w:val="center"/>
        </w:trPr>
        <w:tc>
          <w:tcPr>
            <w:tcW w:w="90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5</w:t>
            </w:r>
          </w:p>
        </w:tc>
        <w:tc>
          <w:tcPr>
            <w:tcW w:w="2356"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摇床</w:t>
            </w:r>
          </w:p>
        </w:tc>
        <w:tc>
          <w:tcPr>
            <w:tcW w:w="2144"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每</w:t>
            </w:r>
            <w:r w:rsidRPr="002A3242">
              <w:rPr>
                <w:rFonts w:ascii="仿宋_GB2312" w:hAnsi="仿宋_GB2312" w:cs="仿宋_GB2312" w:hint="eastAsia"/>
                <w:bCs/>
                <w:sz w:val="24"/>
                <w:szCs w:val="24"/>
              </w:rPr>
              <w:t>16</w:t>
            </w:r>
            <w:r w:rsidRPr="002A3242">
              <w:rPr>
                <w:rFonts w:ascii="仿宋_GB2312" w:hAnsi="仿宋_GB2312" w:cs="仿宋_GB2312"/>
                <w:bCs/>
                <w:sz w:val="24"/>
                <w:szCs w:val="24"/>
              </w:rPr>
              <w:t>个组配一台</w:t>
            </w:r>
          </w:p>
        </w:tc>
        <w:tc>
          <w:tcPr>
            <w:tcW w:w="144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1</w:t>
            </w:r>
          </w:p>
        </w:tc>
        <w:tc>
          <w:tcPr>
            <w:tcW w:w="900" w:type="dxa"/>
            <w:vAlign w:val="center"/>
          </w:tcPr>
          <w:p w:rsidR="005F6318" w:rsidRPr="002A3242" w:rsidRDefault="005F6318" w:rsidP="00843889">
            <w:pPr>
              <w:spacing w:line="360" w:lineRule="auto"/>
              <w:jc w:val="center"/>
              <w:rPr>
                <w:rFonts w:ascii="仿宋_GB2312" w:hAnsi="仿宋_GB2312" w:cs="仿宋_GB2312"/>
                <w:bCs/>
                <w:sz w:val="24"/>
                <w:szCs w:val="24"/>
              </w:rPr>
            </w:pPr>
          </w:p>
        </w:tc>
      </w:tr>
    </w:tbl>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5）实验项目名称：微生物的纯种分离、培养及接种技术</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（1）实验内容</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①活性污泥纯种分离与培养；</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②其他一些接种的操作。</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①掌握平板划线分离方法；</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②学会斜面接种技术。</w:t>
      </w:r>
    </w:p>
    <w:p w:rsidR="005F6318" w:rsidRDefault="005F6318" w:rsidP="005F6318">
      <w:pPr>
        <w:spacing w:line="560" w:lineRule="exact"/>
        <w:ind w:firstLine="329"/>
        <w:rPr>
          <w:rFonts w:ascii="Times New Roman" w:hAnsi="Times New Roman"/>
          <w:sz w:val="28"/>
          <w:szCs w:val="28"/>
        </w:rPr>
      </w:pPr>
      <w:r>
        <w:rPr>
          <w:rFonts w:ascii="仿宋_GB2312" w:hAnsi="仿宋_GB2312" w:cs="仿宋_GB2312" w:hint="eastAsia"/>
          <w:bCs/>
          <w:sz w:val="28"/>
          <w:szCs w:val="28"/>
        </w:rPr>
        <w:t>（3）应配备的主要设备名称和台件数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824"/>
        <w:gridCol w:w="2076"/>
        <w:gridCol w:w="1446"/>
        <w:gridCol w:w="1314"/>
      </w:tblGrid>
      <w:tr w:rsidR="005F6318" w:rsidTr="00843889">
        <w:trPr>
          <w:trHeight w:val="375"/>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序号</w:t>
            </w:r>
          </w:p>
        </w:tc>
        <w:tc>
          <w:tcPr>
            <w:tcW w:w="1824"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设备名称</w:t>
            </w:r>
          </w:p>
        </w:tc>
        <w:tc>
          <w:tcPr>
            <w:tcW w:w="2076"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每组应配备台件数</w:t>
            </w:r>
          </w:p>
        </w:tc>
        <w:tc>
          <w:tcPr>
            <w:tcW w:w="1446"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现有台件数</w:t>
            </w:r>
          </w:p>
        </w:tc>
        <w:tc>
          <w:tcPr>
            <w:tcW w:w="1314"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备注</w:t>
            </w:r>
          </w:p>
        </w:tc>
      </w:tr>
      <w:tr w:rsidR="005F6318" w:rsidTr="00843889">
        <w:trPr>
          <w:trHeight w:val="375"/>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824"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无菌操作台</w:t>
            </w:r>
          </w:p>
        </w:tc>
        <w:tc>
          <w:tcPr>
            <w:tcW w:w="2076"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w:t>
            </w:r>
            <w:r>
              <w:rPr>
                <w:rFonts w:ascii="Times New Roman" w:eastAsia="华文中宋" w:hAnsi="Times New Roman" w:hint="eastAsia"/>
                <w:sz w:val="21"/>
                <w:szCs w:val="21"/>
              </w:rPr>
              <w:t>8</w:t>
            </w:r>
            <w:r>
              <w:rPr>
                <w:rFonts w:ascii="Times New Roman" w:eastAsia="华文中宋" w:hAnsi="Times New Roman"/>
                <w:sz w:val="21"/>
                <w:szCs w:val="21"/>
              </w:rPr>
              <w:t>个组配一台</w:t>
            </w:r>
          </w:p>
        </w:tc>
        <w:tc>
          <w:tcPr>
            <w:tcW w:w="1446"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1314" w:type="dxa"/>
            <w:vAlign w:val="center"/>
          </w:tcPr>
          <w:p w:rsidR="005F6318" w:rsidRDefault="005F6318" w:rsidP="00843889">
            <w:pPr>
              <w:spacing w:line="360" w:lineRule="auto"/>
              <w:jc w:val="center"/>
              <w:rPr>
                <w:rFonts w:ascii="Times New Roman" w:eastAsia="华文中宋" w:hAnsi="Times New Roman"/>
                <w:sz w:val="21"/>
                <w:szCs w:val="21"/>
              </w:rPr>
            </w:pPr>
          </w:p>
        </w:tc>
      </w:tr>
      <w:tr w:rsidR="005F6318" w:rsidTr="00843889">
        <w:trPr>
          <w:trHeight w:val="375"/>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2</w:t>
            </w:r>
          </w:p>
        </w:tc>
        <w:tc>
          <w:tcPr>
            <w:tcW w:w="1824"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培养箱</w:t>
            </w:r>
          </w:p>
        </w:tc>
        <w:tc>
          <w:tcPr>
            <w:tcW w:w="2076"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w:t>
            </w:r>
            <w:r>
              <w:rPr>
                <w:rFonts w:ascii="Times New Roman" w:eastAsia="华文中宋" w:hAnsi="Times New Roman" w:hint="eastAsia"/>
                <w:sz w:val="21"/>
                <w:szCs w:val="21"/>
              </w:rPr>
              <w:t>30</w:t>
            </w:r>
            <w:r>
              <w:rPr>
                <w:rFonts w:ascii="Times New Roman" w:eastAsia="华文中宋" w:hAnsi="Times New Roman"/>
                <w:sz w:val="21"/>
                <w:szCs w:val="21"/>
              </w:rPr>
              <w:t>个组配一台</w:t>
            </w:r>
          </w:p>
        </w:tc>
        <w:tc>
          <w:tcPr>
            <w:tcW w:w="1446"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1314" w:type="dxa"/>
            <w:vAlign w:val="center"/>
          </w:tcPr>
          <w:p w:rsidR="005F6318" w:rsidRDefault="005F6318" w:rsidP="00843889">
            <w:pPr>
              <w:spacing w:line="360" w:lineRule="auto"/>
              <w:jc w:val="center"/>
              <w:rPr>
                <w:rFonts w:ascii="Times New Roman" w:eastAsia="华文中宋" w:hAnsi="Times New Roman"/>
                <w:sz w:val="21"/>
                <w:szCs w:val="21"/>
              </w:rPr>
            </w:pPr>
          </w:p>
        </w:tc>
      </w:tr>
      <w:tr w:rsidR="005F6318" w:rsidTr="00843889">
        <w:trPr>
          <w:trHeight w:val="375"/>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3</w:t>
            </w:r>
          </w:p>
        </w:tc>
        <w:tc>
          <w:tcPr>
            <w:tcW w:w="1824"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冰箱</w:t>
            </w:r>
          </w:p>
        </w:tc>
        <w:tc>
          <w:tcPr>
            <w:tcW w:w="2076"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w:t>
            </w:r>
            <w:r>
              <w:rPr>
                <w:rFonts w:ascii="Times New Roman" w:eastAsia="华文中宋" w:hAnsi="Times New Roman" w:hint="eastAsia"/>
                <w:sz w:val="21"/>
                <w:szCs w:val="21"/>
              </w:rPr>
              <w:t>30</w:t>
            </w:r>
            <w:r>
              <w:rPr>
                <w:rFonts w:ascii="Times New Roman" w:eastAsia="华文中宋" w:hAnsi="Times New Roman"/>
                <w:sz w:val="21"/>
                <w:szCs w:val="21"/>
              </w:rPr>
              <w:t>个组配一台</w:t>
            </w:r>
          </w:p>
        </w:tc>
        <w:tc>
          <w:tcPr>
            <w:tcW w:w="1446"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1314" w:type="dxa"/>
            <w:vAlign w:val="center"/>
          </w:tcPr>
          <w:p w:rsidR="005F6318" w:rsidRDefault="005F6318" w:rsidP="00843889">
            <w:pPr>
              <w:spacing w:line="360" w:lineRule="auto"/>
              <w:jc w:val="center"/>
              <w:rPr>
                <w:rFonts w:ascii="Times New Roman" w:eastAsia="华文中宋" w:hAnsi="Times New Roman"/>
                <w:sz w:val="21"/>
                <w:szCs w:val="21"/>
              </w:rPr>
            </w:pPr>
          </w:p>
        </w:tc>
      </w:tr>
    </w:tbl>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6）实验项目名称：纯培养菌种的菌体、菌落形态观察</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（1）实验内容</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①接种斜面培养基；</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②菌落形态特征的观察；</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③微生物个体形态观察。</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①进一步掌握微生物的接种方法；</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②了解活性污泥大体是由哪些类群的微生物组成。</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lastRenderedPageBreak/>
        <w:t>（3）应配备的主要设备名称和台件数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980"/>
        <w:gridCol w:w="1980"/>
        <w:gridCol w:w="1440"/>
        <w:gridCol w:w="1080"/>
      </w:tblGrid>
      <w:tr w:rsidR="005F6318" w:rsidTr="00843889">
        <w:trPr>
          <w:trHeight w:val="405"/>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序号</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设备名称</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每组应配备台件数</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现有台件数</w:t>
            </w:r>
          </w:p>
        </w:tc>
        <w:tc>
          <w:tcPr>
            <w:tcW w:w="10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备注</w:t>
            </w:r>
          </w:p>
        </w:tc>
      </w:tr>
      <w:tr w:rsidR="005F6318" w:rsidTr="00843889">
        <w:trPr>
          <w:trHeight w:val="405"/>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显微镜</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17</w:t>
            </w:r>
          </w:p>
        </w:tc>
        <w:tc>
          <w:tcPr>
            <w:tcW w:w="1080" w:type="dxa"/>
            <w:vAlign w:val="center"/>
          </w:tcPr>
          <w:p w:rsidR="005F6318" w:rsidRDefault="005F6318" w:rsidP="00843889">
            <w:pPr>
              <w:spacing w:line="360" w:lineRule="auto"/>
              <w:jc w:val="center"/>
              <w:rPr>
                <w:rFonts w:ascii="Times New Roman" w:eastAsia="华文中宋" w:hAnsi="Times New Roman"/>
                <w:sz w:val="21"/>
                <w:szCs w:val="21"/>
              </w:rPr>
            </w:pPr>
          </w:p>
        </w:tc>
      </w:tr>
      <w:tr w:rsidR="005F6318" w:rsidTr="00843889">
        <w:trPr>
          <w:trHeight w:val="405"/>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2</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无菌操作台</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w:t>
            </w:r>
            <w:r>
              <w:rPr>
                <w:rFonts w:ascii="Times New Roman" w:eastAsia="华文中宋" w:hAnsi="Times New Roman" w:hint="eastAsia"/>
                <w:sz w:val="21"/>
                <w:szCs w:val="21"/>
              </w:rPr>
              <w:t>8</w:t>
            </w:r>
            <w:r>
              <w:rPr>
                <w:rFonts w:ascii="Times New Roman" w:eastAsia="华文中宋" w:hAnsi="Times New Roman"/>
                <w:sz w:val="21"/>
                <w:szCs w:val="21"/>
              </w:rPr>
              <w:t>个组配一台</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1080" w:type="dxa"/>
            <w:vAlign w:val="center"/>
          </w:tcPr>
          <w:p w:rsidR="005F6318" w:rsidRDefault="005F6318" w:rsidP="00843889">
            <w:pPr>
              <w:spacing w:line="360" w:lineRule="auto"/>
              <w:jc w:val="center"/>
              <w:rPr>
                <w:rFonts w:ascii="Times New Roman" w:eastAsia="华文中宋" w:hAnsi="Times New Roman"/>
                <w:sz w:val="21"/>
                <w:szCs w:val="21"/>
              </w:rPr>
            </w:pPr>
          </w:p>
        </w:tc>
      </w:tr>
      <w:tr w:rsidR="005F6318" w:rsidTr="00843889">
        <w:trPr>
          <w:trHeight w:val="405"/>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3</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培养箱</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w:t>
            </w:r>
            <w:r>
              <w:rPr>
                <w:rFonts w:ascii="Times New Roman" w:eastAsia="华文中宋" w:hAnsi="Times New Roman" w:hint="eastAsia"/>
                <w:sz w:val="21"/>
                <w:szCs w:val="21"/>
              </w:rPr>
              <w:t>30</w:t>
            </w:r>
            <w:r>
              <w:rPr>
                <w:rFonts w:ascii="Times New Roman" w:eastAsia="华文中宋" w:hAnsi="Times New Roman"/>
                <w:sz w:val="21"/>
                <w:szCs w:val="21"/>
              </w:rPr>
              <w:t>个组配一台</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1080" w:type="dxa"/>
            <w:vAlign w:val="center"/>
          </w:tcPr>
          <w:p w:rsidR="005F6318" w:rsidRDefault="005F6318" w:rsidP="00843889">
            <w:pPr>
              <w:spacing w:line="360" w:lineRule="auto"/>
              <w:jc w:val="center"/>
              <w:rPr>
                <w:rFonts w:ascii="Times New Roman" w:eastAsia="华文中宋" w:hAnsi="Times New Roman"/>
                <w:sz w:val="21"/>
                <w:szCs w:val="21"/>
              </w:rPr>
            </w:pPr>
          </w:p>
        </w:tc>
      </w:tr>
      <w:tr w:rsidR="005F6318" w:rsidTr="00843889">
        <w:trPr>
          <w:trHeight w:val="405"/>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4</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冰箱</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w:t>
            </w:r>
            <w:r>
              <w:rPr>
                <w:rFonts w:ascii="Times New Roman" w:eastAsia="华文中宋" w:hAnsi="Times New Roman" w:hint="eastAsia"/>
                <w:sz w:val="21"/>
                <w:szCs w:val="21"/>
              </w:rPr>
              <w:t>30</w:t>
            </w:r>
            <w:r>
              <w:rPr>
                <w:rFonts w:ascii="Times New Roman" w:eastAsia="华文中宋" w:hAnsi="Times New Roman"/>
                <w:sz w:val="21"/>
                <w:szCs w:val="21"/>
              </w:rPr>
              <w:t>个组配一台</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1080" w:type="dxa"/>
            <w:vAlign w:val="center"/>
          </w:tcPr>
          <w:p w:rsidR="005F6318" w:rsidRDefault="005F6318" w:rsidP="00843889">
            <w:pPr>
              <w:spacing w:line="360" w:lineRule="auto"/>
              <w:jc w:val="center"/>
              <w:rPr>
                <w:rFonts w:ascii="Times New Roman" w:eastAsia="华文中宋" w:hAnsi="Times New Roman"/>
                <w:sz w:val="21"/>
                <w:szCs w:val="21"/>
              </w:rPr>
            </w:pPr>
          </w:p>
        </w:tc>
      </w:tr>
      <w:tr w:rsidR="005F6318" w:rsidTr="00843889">
        <w:trPr>
          <w:trHeight w:val="405"/>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5</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数码显微镜</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8~16</w:t>
            </w:r>
            <w:r>
              <w:rPr>
                <w:rFonts w:ascii="Times New Roman" w:eastAsia="华文中宋" w:hAnsi="Times New Roman"/>
                <w:sz w:val="21"/>
                <w:szCs w:val="21"/>
              </w:rPr>
              <w:t>组配一台</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0</w:t>
            </w:r>
          </w:p>
        </w:tc>
        <w:tc>
          <w:tcPr>
            <w:tcW w:w="1080" w:type="dxa"/>
            <w:vAlign w:val="center"/>
          </w:tcPr>
          <w:p w:rsidR="005F6318" w:rsidRDefault="005F6318" w:rsidP="00843889">
            <w:pPr>
              <w:spacing w:line="360" w:lineRule="auto"/>
              <w:jc w:val="center"/>
              <w:rPr>
                <w:rFonts w:ascii="Times New Roman" w:eastAsia="华文中宋" w:hAnsi="Times New Roman"/>
                <w:sz w:val="21"/>
                <w:szCs w:val="21"/>
              </w:rPr>
            </w:pPr>
          </w:p>
        </w:tc>
      </w:tr>
    </w:tbl>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7）实验项目名称：微生物的染色技术</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（1）实验内容：</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①单染色；</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②革兰氏染色</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①学习微生物涂片染色的操作技术；</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②掌握微生物的普通染色法（单染色法）和革兰氏染色法。</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（3）应配备的主要设备名称和台套数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980"/>
        <w:gridCol w:w="1980"/>
        <w:gridCol w:w="1440"/>
        <w:gridCol w:w="1080"/>
      </w:tblGrid>
      <w:tr w:rsidR="005F6318" w:rsidTr="00843889">
        <w:trPr>
          <w:trHeight w:val="405"/>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序号</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设备名称</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每组应配备台件数</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现有台件数</w:t>
            </w:r>
          </w:p>
        </w:tc>
        <w:tc>
          <w:tcPr>
            <w:tcW w:w="10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备注</w:t>
            </w:r>
          </w:p>
        </w:tc>
      </w:tr>
      <w:tr w:rsidR="005F6318" w:rsidTr="00843889">
        <w:trPr>
          <w:trHeight w:val="405"/>
          <w:jc w:val="center"/>
        </w:trPr>
        <w:tc>
          <w:tcPr>
            <w:tcW w:w="720"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980"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显微镜</w:t>
            </w:r>
          </w:p>
        </w:tc>
        <w:tc>
          <w:tcPr>
            <w:tcW w:w="1980"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w:t>
            </w:r>
          </w:p>
        </w:tc>
        <w:tc>
          <w:tcPr>
            <w:tcW w:w="1440"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17</w:t>
            </w:r>
          </w:p>
        </w:tc>
        <w:tc>
          <w:tcPr>
            <w:tcW w:w="1080" w:type="dxa"/>
          </w:tcPr>
          <w:p w:rsidR="005F6318" w:rsidRDefault="005F6318" w:rsidP="00843889">
            <w:pPr>
              <w:spacing w:line="360" w:lineRule="auto"/>
              <w:jc w:val="center"/>
              <w:rPr>
                <w:rFonts w:ascii="Times New Roman" w:eastAsia="华文中宋" w:hAnsi="Times New Roman"/>
                <w:sz w:val="21"/>
                <w:szCs w:val="21"/>
              </w:rPr>
            </w:pPr>
          </w:p>
        </w:tc>
      </w:tr>
      <w:tr w:rsidR="005F6318" w:rsidTr="00843889">
        <w:trPr>
          <w:trHeight w:val="405"/>
          <w:jc w:val="center"/>
        </w:trPr>
        <w:tc>
          <w:tcPr>
            <w:tcW w:w="72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数码显微镜</w:t>
            </w:r>
          </w:p>
        </w:tc>
        <w:tc>
          <w:tcPr>
            <w:tcW w:w="198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8~16</w:t>
            </w:r>
            <w:r>
              <w:rPr>
                <w:rFonts w:ascii="Times New Roman" w:eastAsia="华文中宋" w:hAnsi="Times New Roman"/>
                <w:sz w:val="21"/>
                <w:szCs w:val="21"/>
              </w:rPr>
              <w:t>组配一台</w:t>
            </w:r>
          </w:p>
        </w:tc>
        <w:tc>
          <w:tcPr>
            <w:tcW w:w="1440" w:type="dxa"/>
            <w:vAlign w:val="center"/>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sz w:val="21"/>
                <w:szCs w:val="21"/>
              </w:rPr>
              <w:t>0</w:t>
            </w:r>
          </w:p>
        </w:tc>
        <w:tc>
          <w:tcPr>
            <w:tcW w:w="1080" w:type="dxa"/>
            <w:vAlign w:val="center"/>
          </w:tcPr>
          <w:p w:rsidR="005F6318" w:rsidRDefault="005F6318" w:rsidP="00843889">
            <w:pPr>
              <w:spacing w:line="360" w:lineRule="auto"/>
              <w:jc w:val="center"/>
              <w:rPr>
                <w:rFonts w:ascii="Times New Roman" w:eastAsia="华文中宋" w:hAnsi="Times New Roman"/>
                <w:sz w:val="21"/>
                <w:szCs w:val="21"/>
              </w:rPr>
            </w:pPr>
          </w:p>
        </w:tc>
      </w:tr>
    </w:tbl>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 xml:space="preserve">8）实验项目名称：大肠杆菌群生理生化实验、生活饮用水中细菌总数及大肠杆菌群的测定       </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（1）实验内容：</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①大肠杆菌群生理生化实验；</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②生活饮用水中细菌总数；</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③生活饮用水中大肠杆菌群测定。</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①了解和学习大肠杆菌群生理生化特性；</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lastRenderedPageBreak/>
        <w:t>②了解和学习水中细菌总数和大肠菌群的测定原理和测定意义和检测方法；</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③学习和掌握用稀释平板计数法测定水中细菌总数的方法；明确饮用水卫生指标和水的有机污染程度。</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（3）配备的主要设备名称和台套数</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128"/>
        <w:gridCol w:w="2630"/>
        <w:gridCol w:w="1481"/>
        <w:gridCol w:w="1122"/>
      </w:tblGrid>
      <w:tr w:rsidR="005F6318" w:rsidTr="002A3242">
        <w:trPr>
          <w:trHeight w:val="311"/>
          <w:jc w:val="center"/>
        </w:trPr>
        <w:tc>
          <w:tcPr>
            <w:tcW w:w="844" w:type="dxa"/>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序号</w:t>
            </w:r>
          </w:p>
        </w:tc>
        <w:tc>
          <w:tcPr>
            <w:tcW w:w="2128" w:type="dxa"/>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设备名称</w:t>
            </w:r>
          </w:p>
        </w:tc>
        <w:tc>
          <w:tcPr>
            <w:tcW w:w="2630" w:type="dxa"/>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每组应配台套数</w:t>
            </w:r>
          </w:p>
        </w:tc>
        <w:tc>
          <w:tcPr>
            <w:tcW w:w="1481" w:type="dxa"/>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现有台套数</w:t>
            </w:r>
          </w:p>
        </w:tc>
        <w:tc>
          <w:tcPr>
            <w:tcW w:w="1122" w:type="dxa"/>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备注</w:t>
            </w:r>
          </w:p>
        </w:tc>
      </w:tr>
      <w:tr w:rsidR="005F6318" w:rsidTr="002A3242">
        <w:trPr>
          <w:jc w:val="center"/>
        </w:trPr>
        <w:tc>
          <w:tcPr>
            <w:tcW w:w="844"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1</w:t>
            </w:r>
          </w:p>
        </w:tc>
        <w:tc>
          <w:tcPr>
            <w:tcW w:w="2128"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显微镜</w:t>
            </w:r>
          </w:p>
        </w:tc>
        <w:tc>
          <w:tcPr>
            <w:tcW w:w="2630"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1</w:t>
            </w:r>
          </w:p>
        </w:tc>
        <w:tc>
          <w:tcPr>
            <w:tcW w:w="1481"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17</w:t>
            </w:r>
          </w:p>
        </w:tc>
        <w:tc>
          <w:tcPr>
            <w:tcW w:w="1122" w:type="dxa"/>
          </w:tcPr>
          <w:p w:rsidR="005F6318" w:rsidRPr="002A3242" w:rsidRDefault="005F6318" w:rsidP="00843889">
            <w:pPr>
              <w:spacing w:line="360" w:lineRule="auto"/>
              <w:jc w:val="center"/>
              <w:rPr>
                <w:rFonts w:ascii="仿宋_GB2312" w:hAnsi="仿宋_GB2312" w:cs="仿宋_GB2312"/>
                <w:bCs/>
                <w:sz w:val="24"/>
                <w:szCs w:val="24"/>
              </w:rPr>
            </w:pPr>
          </w:p>
        </w:tc>
      </w:tr>
      <w:tr w:rsidR="005F6318" w:rsidTr="002A3242">
        <w:trPr>
          <w:jc w:val="center"/>
        </w:trPr>
        <w:tc>
          <w:tcPr>
            <w:tcW w:w="844"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2</w:t>
            </w:r>
          </w:p>
        </w:tc>
        <w:tc>
          <w:tcPr>
            <w:tcW w:w="212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无菌操作台</w:t>
            </w:r>
          </w:p>
        </w:tc>
        <w:tc>
          <w:tcPr>
            <w:tcW w:w="263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每</w:t>
            </w:r>
            <w:r w:rsidRPr="002A3242">
              <w:rPr>
                <w:rFonts w:ascii="仿宋_GB2312" w:hAnsi="仿宋_GB2312" w:cs="仿宋_GB2312" w:hint="eastAsia"/>
                <w:bCs/>
                <w:sz w:val="24"/>
                <w:szCs w:val="24"/>
              </w:rPr>
              <w:t>8</w:t>
            </w:r>
            <w:r w:rsidRPr="002A3242">
              <w:rPr>
                <w:rFonts w:ascii="仿宋_GB2312" w:hAnsi="仿宋_GB2312" w:cs="仿宋_GB2312"/>
                <w:bCs/>
                <w:sz w:val="24"/>
                <w:szCs w:val="24"/>
              </w:rPr>
              <w:t>个组配一台</w:t>
            </w:r>
          </w:p>
        </w:tc>
        <w:tc>
          <w:tcPr>
            <w:tcW w:w="148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1122" w:type="dxa"/>
            <w:vAlign w:val="center"/>
          </w:tcPr>
          <w:p w:rsidR="005F6318" w:rsidRPr="002A3242" w:rsidRDefault="005F6318" w:rsidP="00843889">
            <w:pPr>
              <w:spacing w:line="360" w:lineRule="auto"/>
              <w:jc w:val="center"/>
              <w:rPr>
                <w:rFonts w:ascii="仿宋_GB2312" w:hAnsi="仿宋_GB2312" w:cs="仿宋_GB2312"/>
                <w:bCs/>
                <w:sz w:val="24"/>
                <w:szCs w:val="24"/>
              </w:rPr>
            </w:pPr>
          </w:p>
        </w:tc>
      </w:tr>
      <w:tr w:rsidR="005F6318" w:rsidTr="002A3242">
        <w:trPr>
          <w:jc w:val="center"/>
        </w:trPr>
        <w:tc>
          <w:tcPr>
            <w:tcW w:w="844"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3</w:t>
            </w:r>
          </w:p>
        </w:tc>
        <w:tc>
          <w:tcPr>
            <w:tcW w:w="2128"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培养箱</w:t>
            </w:r>
          </w:p>
        </w:tc>
        <w:tc>
          <w:tcPr>
            <w:tcW w:w="2630"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每</w:t>
            </w:r>
            <w:r w:rsidRPr="002A3242">
              <w:rPr>
                <w:rFonts w:ascii="仿宋_GB2312" w:hAnsi="仿宋_GB2312" w:cs="仿宋_GB2312" w:hint="eastAsia"/>
                <w:bCs/>
                <w:sz w:val="24"/>
                <w:szCs w:val="24"/>
              </w:rPr>
              <w:t>30</w:t>
            </w:r>
            <w:r w:rsidRPr="002A3242">
              <w:rPr>
                <w:rFonts w:ascii="仿宋_GB2312" w:hAnsi="仿宋_GB2312" w:cs="仿宋_GB2312"/>
                <w:bCs/>
                <w:sz w:val="24"/>
                <w:szCs w:val="24"/>
              </w:rPr>
              <w:t>个组配一台</w:t>
            </w:r>
          </w:p>
        </w:tc>
        <w:tc>
          <w:tcPr>
            <w:tcW w:w="1481"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1122" w:type="dxa"/>
          </w:tcPr>
          <w:p w:rsidR="005F6318" w:rsidRPr="002A3242" w:rsidRDefault="005F6318" w:rsidP="00843889">
            <w:pPr>
              <w:spacing w:line="360" w:lineRule="auto"/>
              <w:jc w:val="center"/>
              <w:rPr>
                <w:rFonts w:ascii="仿宋_GB2312" w:hAnsi="仿宋_GB2312" w:cs="仿宋_GB2312"/>
                <w:bCs/>
                <w:sz w:val="24"/>
                <w:szCs w:val="24"/>
              </w:rPr>
            </w:pPr>
          </w:p>
        </w:tc>
      </w:tr>
      <w:tr w:rsidR="005F6318" w:rsidTr="002A3242">
        <w:trPr>
          <w:jc w:val="center"/>
        </w:trPr>
        <w:tc>
          <w:tcPr>
            <w:tcW w:w="844"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4</w:t>
            </w:r>
          </w:p>
        </w:tc>
        <w:tc>
          <w:tcPr>
            <w:tcW w:w="212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冰箱</w:t>
            </w:r>
          </w:p>
        </w:tc>
        <w:tc>
          <w:tcPr>
            <w:tcW w:w="263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每</w:t>
            </w:r>
            <w:r w:rsidRPr="002A3242">
              <w:rPr>
                <w:rFonts w:ascii="仿宋_GB2312" w:hAnsi="仿宋_GB2312" w:cs="仿宋_GB2312" w:hint="eastAsia"/>
                <w:bCs/>
                <w:sz w:val="24"/>
                <w:szCs w:val="24"/>
              </w:rPr>
              <w:t>30</w:t>
            </w:r>
            <w:r w:rsidRPr="002A3242">
              <w:rPr>
                <w:rFonts w:ascii="仿宋_GB2312" w:hAnsi="仿宋_GB2312" w:cs="仿宋_GB2312"/>
                <w:bCs/>
                <w:sz w:val="24"/>
                <w:szCs w:val="24"/>
              </w:rPr>
              <w:t>个组配一台</w:t>
            </w:r>
          </w:p>
        </w:tc>
        <w:tc>
          <w:tcPr>
            <w:tcW w:w="148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1122" w:type="dxa"/>
          </w:tcPr>
          <w:p w:rsidR="005F6318" w:rsidRPr="002A3242" w:rsidRDefault="005F6318" w:rsidP="00843889">
            <w:pPr>
              <w:spacing w:line="360" w:lineRule="auto"/>
              <w:jc w:val="center"/>
              <w:rPr>
                <w:rFonts w:ascii="仿宋_GB2312" w:hAnsi="仿宋_GB2312" w:cs="仿宋_GB2312"/>
                <w:bCs/>
                <w:sz w:val="24"/>
                <w:szCs w:val="24"/>
              </w:rPr>
            </w:pPr>
          </w:p>
        </w:tc>
      </w:tr>
    </w:tbl>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9）实验项目名称：藻类形态观察</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（1）实验内容：</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①掌握藻类形态特征及观察方法</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①认识藻类及其主要门的主要特征，并了解藻类在系统分类中的进化地位。</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（3）应配备的主要设备名称和台套数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969"/>
        <w:gridCol w:w="2171"/>
        <w:gridCol w:w="1440"/>
        <w:gridCol w:w="1260"/>
      </w:tblGrid>
      <w:tr w:rsidR="005F6318" w:rsidTr="002A3242">
        <w:trPr>
          <w:trHeight w:val="360"/>
          <w:jc w:val="center"/>
        </w:trPr>
        <w:tc>
          <w:tcPr>
            <w:tcW w:w="720" w:type="dxa"/>
            <w:vAlign w:val="center"/>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序号</w:t>
            </w:r>
          </w:p>
        </w:tc>
        <w:tc>
          <w:tcPr>
            <w:tcW w:w="1969" w:type="dxa"/>
            <w:vAlign w:val="center"/>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设备名称</w:t>
            </w:r>
          </w:p>
        </w:tc>
        <w:tc>
          <w:tcPr>
            <w:tcW w:w="2171" w:type="dxa"/>
            <w:vAlign w:val="center"/>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每组应配备台件数</w:t>
            </w:r>
          </w:p>
        </w:tc>
        <w:tc>
          <w:tcPr>
            <w:tcW w:w="1440" w:type="dxa"/>
            <w:vAlign w:val="center"/>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现有台件数</w:t>
            </w:r>
          </w:p>
        </w:tc>
        <w:tc>
          <w:tcPr>
            <w:tcW w:w="1260" w:type="dxa"/>
            <w:vAlign w:val="center"/>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备注</w:t>
            </w:r>
          </w:p>
        </w:tc>
      </w:tr>
      <w:tr w:rsidR="005F6318" w:rsidTr="002A3242">
        <w:trPr>
          <w:trHeight w:val="360"/>
          <w:jc w:val="center"/>
        </w:trPr>
        <w:tc>
          <w:tcPr>
            <w:tcW w:w="72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1</w:t>
            </w:r>
          </w:p>
        </w:tc>
        <w:tc>
          <w:tcPr>
            <w:tcW w:w="1969"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显微镜</w:t>
            </w:r>
          </w:p>
        </w:tc>
        <w:tc>
          <w:tcPr>
            <w:tcW w:w="2171"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1</w:t>
            </w:r>
          </w:p>
        </w:tc>
        <w:tc>
          <w:tcPr>
            <w:tcW w:w="144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17</w:t>
            </w:r>
          </w:p>
        </w:tc>
        <w:tc>
          <w:tcPr>
            <w:tcW w:w="1260" w:type="dxa"/>
            <w:vAlign w:val="center"/>
          </w:tcPr>
          <w:p w:rsidR="005F6318" w:rsidRPr="002A3242" w:rsidRDefault="005F6318" w:rsidP="00843889">
            <w:pPr>
              <w:spacing w:line="360" w:lineRule="auto"/>
              <w:jc w:val="center"/>
              <w:rPr>
                <w:rFonts w:ascii="仿宋_GB2312" w:hAnsi="仿宋_GB2312" w:cs="仿宋_GB2312"/>
                <w:bCs/>
                <w:sz w:val="24"/>
                <w:szCs w:val="24"/>
              </w:rPr>
            </w:pPr>
          </w:p>
        </w:tc>
      </w:tr>
      <w:tr w:rsidR="005F6318" w:rsidTr="002A3242">
        <w:trPr>
          <w:trHeight w:val="360"/>
          <w:jc w:val="center"/>
        </w:trPr>
        <w:tc>
          <w:tcPr>
            <w:tcW w:w="720" w:type="dxa"/>
            <w:tcBorders>
              <w:bottom w:val="single" w:sz="4" w:space="0" w:color="auto"/>
            </w:tcBorders>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 xml:space="preserve">2 </w:t>
            </w:r>
          </w:p>
        </w:tc>
        <w:tc>
          <w:tcPr>
            <w:tcW w:w="1969" w:type="dxa"/>
            <w:tcBorders>
              <w:bottom w:val="single" w:sz="4" w:space="0" w:color="auto"/>
            </w:tcBorders>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数码显微镜</w:t>
            </w:r>
          </w:p>
        </w:tc>
        <w:tc>
          <w:tcPr>
            <w:tcW w:w="2171" w:type="dxa"/>
            <w:tcBorders>
              <w:bottom w:val="single" w:sz="4" w:space="0" w:color="auto"/>
            </w:tcBorders>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8~16组配一台</w:t>
            </w:r>
          </w:p>
        </w:tc>
        <w:tc>
          <w:tcPr>
            <w:tcW w:w="1440" w:type="dxa"/>
            <w:tcBorders>
              <w:bottom w:val="single" w:sz="4" w:space="0" w:color="auto"/>
            </w:tcBorders>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0</w:t>
            </w:r>
          </w:p>
        </w:tc>
        <w:tc>
          <w:tcPr>
            <w:tcW w:w="1260" w:type="dxa"/>
            <w:tcBorders>
              <w:bottom w:val="single" w:sz="4" w:space="0" w:color="auto"/>
            </w:tcBorders>
            <w:vAlign w:val="center"/>
          </w:tcPr>
          <w:p w:rsidR="005F6318" w:rsidRPr="002A3242" w:rsidRDefault="005F6318" w:rsidP="00843889">
            <w:pPr>
              <w:spacing w:line="360" w:lineRule="auto"/>
              <w:jc w:val="center"/>
              <w:rPr>
                <w:rFonts w:ascii="仿宋_GB2312" w:hAnsi="仿宋_GB2312" w:cs="仿宋_GB2312"/>
                <w:bCs/>
                <w:sz w:val="24"/>
                <w:szCs w:val="24"/>
              </w:rPr>
            </w:pPr>
          </w:p>
        </w:tc>
      </w:tr>
    </w:tbl>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10）实验项目名称：秸秆降解菌的分离纯化及鉴定</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（1）实验内容：</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①从肥沃土壤中分离出来的秸秆降解菌为材料；</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②进行菌体形态、菌落形态特征的观察，以及生理生化分析；</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（2）实验要求：</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①了解秸秆降解菌大体由哪些类群的微生物所组成；</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lastRenderedPageBreak/>
        <w:t>②为实际的秸秆生物降解提供必要的理论依据。</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（3）应配备的主要设备名称和台套数</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270"/>
        <w:gridCol w:w="2488"/>
        <w:gridCol w:w="1623"/>
        <w:gridCol w:w="980"/>
      </w:tblGrid>
      <w:tr w:rsidR="005F6318" w:rsidTr="002A3242">
        <w:trPr>
          <w:trHeight w:val="311"/>
          <w:jc w:val="center"/>
        </w:trPr>
        <w:tc>
          <w:tcPr>
            <w:tcW w:w="844" w:type="dxa"/>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序号</w:t>
            </w:r>
          </w:p>
        </w:tc>
        <w:tc>
          <w:tcPr>
            <w:tcW w:w="2270" w:type="dxa"/>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设备名称</w:t>
            </w:r>
          </w:p>
        </w:tc>
        <w:tc>
          <w:tcPr>
            <w:tcW w:w="2488" w:type="dxa"/>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每组应配台套数</w:t>
            </w:r>
          </w:p>
        </w:tc>
        <w:tc>
          <w:tcPr>
            <w:tcW w:w="1623" w:type="dxa"/>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现有台套数</w:t>
            </w:r>
          </w:p>
        </w:tc>
        <w:tc>
          <w:tcPr>
            <w:tcW w:w="980" w:type="dxa"/>
          </w:tcPr>
          <w:p w:rsidR="005F6318" w:rsidRPr="002A3242" w:rsidRDefault="005F6318" w:rsidP="00843889">
            <w:pPr>
              <w:spacing w:line="360" w:lineRule="auto"/>
              <w:jc w:val="center"/>
              <w:rPr>
                <w:rFonts w:ascii="仿宋_GB2312" w:hAnsi="仿宋_GB2312" w:cs="仿宋_GB2312"/>
                <w:b/>
                <w:bCs/>
                <w:sz w:val="24"/>
                <w:szCs w:val="24"/>
              </w:rPr>
            </w:pPr>
            <w:r w:rsidRPr="002A3242">
              <w:rPr>
                <w:rFonts w:ascii="仿宋_GB2312" w:hAnsi="仿宋_GB2312" w:cs="仿宋_GB2312"/>
                <w:b/>
                <w:bCs/>
                <w:sz w:val="24"/>
                <w:szCs w:val="24"/>
              </w:rPr>
              <w:t>备注</w:t>
            </w:r>
          </w:p>
        </w:tc>
      </w:tr>
      <w:tr w:rsidR="005F6318" w:rsidTr="002A3242">
        <w:trPr>
          <w:jc w:val="center"/>
        </w:trPr>
        <w:tc>
          <w:tcPr>
            <w:tcW w:w="844"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1</w:t>
            </w:r>
          </w:p>
        </w:tc>
        <w:tc>
          <w:tcPr>
            <w:tcW w:w="2270"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显微镜</w:t>
            </w:r>
          </w:p>
        </w:tc>
        <w:tc>
          <w:tcPr>
            <w:tcW w:w="2488"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1</w:t>
            </w:r>
          </w:p>
        </w:tc>
        <w:tc>
          <w:tcPr>
            <w:tcW w:w="1623"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17</w:t>
            </w:r>
          </w:p>
        </w:tc>
        <w:tc>
          <w:tcPr>
            <w:tcW w:w="980" w:type="dxa"/>
          </w:tcPr>
          <w:p w:rsidR="005F6318" w:rsidRPr="002A3242" w:rsidRDefault="005F6318" w:rsidP="00843889">
            <w:pPr>
              <w:spacing w:line="360" w:lineRule="auto"/>
              <w:jc w:val="center"/>
              <w:rPr>
                <w:rFonts w:ascii="仿宋_GB2312" w:hAnsi="仿宋_GB2312" w:cs="仿宋_GB2312"/>
                <w:bCs/>
                <w:sz w:val="24"/>
                <w:szCs w:val="24"/>
              </w:rPr>
            </w:pPr>
          </w:p>
        </w:tc>
      </w:tr>
      <w:tr w:rsidR="005F6318" w:rsidTr="002A3242">
        <w:trPr>
          <w:jc w:val="center"/>
        </w:trPr>
        <w:tc>
          <w:tcPr>
            <w:tcW w:w="844"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2</w:t>
            </w:r>
          </w:p>
        </w:tc>
        <w:tc>
          <w:tcPr>
            <w:tcW w:w="227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无菌操作台</w:t>
            </w:r>
          </w:p>
        </w:tc>
        <w:tc>
          <w:tcPr>
            <w:tcW w:w="248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每</w:t>
            </w:r>
            <w:r w:rsidRPr="002A3242">
              <w:rPr>
                <w:rFonts w:ascii="仿宋_GB2312" w:hAnsi="仿宋_GB2312" w:cs="仿宋_GB2312" w:hint="eastAsia"/>
                <w:bCs/>
                <w:sz w:val="24"/>
                <w:szCs w:val="24"/>
              </w:rPr>
              <w:t>8</w:t>
            </w:r>
            <w:r w:rsidRPr="002A3242">
              <w:rPr>
                <w:rFonts w:ascii="仿宋_GB2312" w:hAnsi="仿宋_GB2312" w:cs="仿宋_GB2312"/>
                <w:bCs/>
                <w:sz w:val="24"/>
                <w:szCs w:val="24"/>
              </w:rPr>
              <w:t>个组配一台</w:t>
            </w:r>
          </w:p>
        </w:tc>
        <w:tc>
          <w:tcPr>
            <w:tcW w:w="1623"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980" w:type="dxa"/>
            <w:vAlign w:val="center"/>
          </w:tcPr>
          <w:p w:rsidR="005F6318" w:rsidRPr="002A3242" w:rsidRDefault="005F6318" w:rsidP="00843889">
            <w:pPr>
              <w:spacing w:line="360" w:lineRule="auto"/>
              <w:jc w:val="center"/>
              <w:rPr>
                <w:rFonts w:ascii="仿宋_GB2312" w:hAnsi="仿宋_GB2312" w:cs="仿宋_GB2312"/>
                <w:bCs/>
                <w:sz w:val="24"/>
                <w:szCs w:val="24"/>
              </w:rPr>
            </w:pPr>
          </w:p>
        </w:tc>
      </w:tr>
      <w:tr w:rsidR="005F6318" w:rsidTr="002A3242">
        <w:trPr>
          <w:jc w:val="center"/>
        </w:trPr>
        <w:tc>
          <w:tcPr>
            <w:tcW w:w="844"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3</w:t>
            </w:r>
          </w:p>
        </w:tc>
        <w:tc>
          <w:tcPr>
            <w:tcW w:w="2270"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培养箱</w:t>
            </w:r>
          </w:p>
        </w:tc>
        <w:tc>
          <w:tcPr>
            <w:tcW w:w="2488"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每</w:t>
            </w:r>
            <w:r w:rsidRPr="002A3242">
              <w:rPr>
                <w:rFonts w:ascii="仿宋_GB2312" w:hAnsi="仿宋_GB2312" w:cs="仿宋_GB2312" w:hint="eastAsia"/>
                <w:bCs/>
                <w:sz w:val="24"/>
                <w:szCs w:val="24"/>
              </w:rPr>
              <w:t>30</w:t>
            </w:r>
            <w:r w:rsidRPr="002A3242">
              <w:rPr>
                <w:rFonts w:ascii="仿宋_GB2312" w:hAnsi="仿宋_GB2312" w:cs="仿宋_GB2312"/>
                <w:bCs/>
                <w:sz w:val="24"/>
                <w:szCs w:val="24"/>
              </w:rPr>
              <w:t>个组配一台</w:t>
            </w:r>
          </w:p>
        </w:tc>
        <w:tc>
          <w:tcPr>
            <w:tcW w:w="1623"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980" w:type="dxa"/>
          </w:tcPr>
          <w:p w:rsidR="005F6318" w:rsidRPr="002A3242" w:rsidRDefault="005F6318" w:rsidP="00843889">
            <w:pPr>
              <w:spacing w:line="360" w:lineRule="auto"/>
              <w:jc w:val="center"/>
              <w:rPr>
                <w:rFonts w:ascii="仿宋_GB2312" w:hAnsi="仿宋_GB2312" w:cs="仿宋_GB2312"/>
                <w:bCs/>
                <w:sz w:val="24"/>
                <w:szCs w:val="24"/>
              </w:rPr>
            </w:pPr>
          </w:p>
        </w:tc>
      </w:tr>
      <w:tr w:rsidR="005F6318" w:rsidTr="002A3242">
        <w:trPr>
          <w:jc w:val="center"/>
        </w:trPr>
        <w:tc>
          <w:tcPr>
            <w:tcW w:w="844"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4</w:t>
            </w:r>
          </w:p>
        </w:tc>
        <w:tc>
          <w:tcPr>
            <w:tcW w:w="227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冰箱</w:t>
            </w:r>
          </w:p>
        </w:tc>
        <w:tc>
          <w:tcPr>
            <w:tcW w:w="248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每</w:t>
            </w:r>
            <w:r w:rsidRPr="002A3242">
              <w:rPr>
                <w:rFonts w:ascii="仿宋_GB2312" w:hAnsi="仿宋_GB2312" w:cs="仿宋_GB2312" w:hint="eastAsia"/>
                <w:bCs/>
                <w:sz w:val="24"/>
                <w:szCs w:val="24"/>
              </w:rPr>
              <w:t>30</w:t>
            </w:r>
            <w:r w:rsidRPr="002A3242">
              <w:rPr>
                <w:rFonts w:ascii="仿宋_GB2312" w:hAnsi="仿宋_GB2312" w:cs="仿宋_GB2312"/>
                <w:bCs/>
                <w:sz w:val="24"/>
                <w:szCs w:val="24"/>
              </w:rPr>
              <w:t>个组配一台</w:t>
            </w:r>
          </w:p>
        </w:tc>
        <w:tc>
          <w:tcPr>
            <w:tcW w:w="1623"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2</w:t>
            </w:r>
          </w:p>
        </w:tc>
        <w:tc>
          <w:tcPr>
            <w:tcW w:w="980" w:type="dxa"/>
          </w:tcPr>
          <w:p w:rsidR="005F6318" w:rsidRPr="002A3242" w:rsidRDefault="005F6318" w:rsidP="00843889">
            <w:pPr>
              <w:spacing w:line="360" w:lineRule="auto"/>
              <w:jc w:val="center"/>
              <w:rPr>
                <w:rFonts w:ascii="仿宋_GB2312" w:hAnsi="仿宋_GB2312" w:cs="仿宋_GB2312"/>
                <w:bCs/>
                <w:sz w:val="24"/>
                <w:szCs w:val="24"/>
              </w:rPr>
            </w:pPr>
          </w:p>
        </w:tc>
      </w:tr>
      <w:tr w:rsidR="005F6318" w:rsidTr="002A3242">
        <w:trPr>
          <w:jc w:val="center"/>
        </w:trPr>
        <w:tc>
          <w:tcPr>
            <w:tcW w:w="844" w:type="dxa"/>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5</w:t>
            </w:r>
          </w:p>
        </w:tc>
        <w:tc>
          <w:tcPr>
            <w:tcW w:w="2270"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气相色谱</w:t>
            </w:r>
          </w:p>
        </w:tc>
        <w:tc>
          <w:tcPr>
            <w:tcW w:w="2488"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bCs/>
                <w:sz w:val="24"/>
                <w:szCs w:val="24"/>
              </w:rPr>
              <w:t>每</w:t>
            </w:r>
            <w:r w:rsidRPr="002A3242">
              <w:rPr>
                <w:rFonts w:ascii="仿宋_GB2312" w:hAnsi="仿宋_GB2312" w:cs="仿宋_GB2312" w:hint="eastAsia"/>
                <w:bCs/>
                <w:sz w:val="24"/>
                <w:szCs w:val="24"/>
              </w:rPr>
              <w:t>30</w:t>
            </w:r>
            <w:r w:rsidRPr="002A3242">
              <w:rPr>
                <w:rFonts w:ascii="仿宋_GB2312" w:hAnsi="仿宋_GB2312" w:cs="仿宋_GB2312"/>
                <w:bCs/>
                <w:sz w:val="24"/>
                <w:szCs w:val="24"/>
              </w:rPr>
              <w:t>个组配一台</w:t>
            </w:r>
          </w:p>
        </w:tc>
        <w:tc>
          <w:tcPr>
            <w:tcW w:w="1623" w:type="dxa"/>
            <w:vAlign w:val="center"/>
          </w:tcPr>
          <w:p w:rsidR="005F6318" w:rsidRPr="002A3242" w:rsidRDefault="005F6318" w:rsidP="00843889">
            <w:pPr>
              <w:spacing w:line="360" w:lineRule="auto"/>
              <w:jc w:val="center"/>
              <w:rPr>
                <w:rFonts w:ascii="仿宋_GB2312" w:hAnsi="仿宋_GB2312" w:cs="仿宋_GB2312"/>
                <w:bCs/>
                <w:sz w:val="24"/>
                <w:szCs w:val="24"/>
              </w:rPr>
            </w:pPr>
            <w:r w:rsidRPr="002A3242">
              <w:rPr>
                <w:rFonts w:ascii="仿宋_GB2312" w:hAnsi="仿宋_GB2312" w:cs="仿宋_GB2312" w:hint="eastAsia"/>
                <w:bCs/>
                <w:sz w:val="24"/>
                <w:szCs w:val="24"/>
              </w:rPr>
              <w:t>0</w:t>
            </w:r>
          </w:p>
        </w:tc>
        <w:tc>
          <w:tcPr>
            <w:tcW w:w="980" w:type="dxa"/>
          </w:tcPr>
          <w:p w:rsidR="005F6318" w:rsidRPr="002A3242" w:rsidRDefault="005F6318" w:rsidP="00843889">
            <w:pPr>
              <w:spacing w:line="360" w:lineRule="auto"/>
              <w:jc w:val="center"/>
              <w:rPr>
                <w:rFonts w:ascii="仿宋_GB2312" w:hAnsi="仿宋_GB2312" w:cs="仿宋_GB2312"/>
                <w:bCs/>
                <w:sz w:val="24"/>
                <w:szCs w:val="24"/>
              </w:rPr>
            </w:pPr>
          </w:p>
        </w:tc>
      </w:tr>
    </w:tbl>
    <w:p w:rsidR="005F6318" w:rsidRDefault="005F6318" w:rsidP="005F6318">
      <w:pPr>
        <w:ind w:left="330" w:firstLineChars="50" w:firstLine="140"/>
        <w:rPr>
          <w:rFonts w:ascii="Times New Roman" w:hAnsi="Times New Roman"/>
          <w:sz w:val="28"/>
          <w:szCs w:val="28"/>
        </w:rPr>
      </w:pPr>
    </w:p>
    <w:p w:rsidR="005F6318" w:rsidRDefault="005F6318" w:rsidP="005F6318">
      <w:pPr>
        <w:spacing w:beforeLines="50" w:before="156" w:afterLines="50" w:after="156"/>
        <w:jc w:val="left"/>
        <w:rPr>
          <w:rFonts w:ascii="黑体" w:eastAsia="黑体" w:hAnsi="黑体"/>
          <w:b/>
          <w:sz w:val="28"/>
          <w:szCs w:val="28"/>
        </w:rPr>
      </w:pPr>
      <w:r>
        <w:rPr>
          <w:rFonts w:ascii="黑体" w:eastAsia="黑体" w:hAnsi="黑体" w:hint="eastAsia"/>
          <w:b/>
          <w:sz w:val="28"/>
          <w:szCs w:val="28"/>
        </w:rPr>
        <w:t>五、实验课程考核方式</w:t>
      </w:r>
    </w:p>
    <w:p w:rsidR="005F6318" w:rsidRDefault="005F6318" w:rsidP="005F6318">
      <w:pPr>
        <w:spacing w:line="560" w:lineRule="exact"/>
        <w:ind w:firstLine="329"/>
        <w:rPr>
          <w:rFonts w:ascii="仿宋_GB2312" w:hAnsi="仿宋_GB2312" w:cs="仿宋_GB2312"/>
          <w:bCs/>
          <w:sz w:val="28"/>
          <w:szCs w:val="28"/>
        </w:rPr>
      </w:pPr>
      <w:r>
        <w:rPr>
          <w:rFonts w:ascii="Times New Roman" w:hAnsi="Times New Roman"/>
          <w:sz w:val="28"/>
          <w:szCs w:val="28"/>
        </w:rPr>
        <w:t>（</w:t>
      </w:r>
      <w:r>
        <w:rPr>
          <w:rFonts w:ascii="仿宋_GB2312" w:hAnsi="仿宋_GB2312" w:cs="仿宋_GB2312" w:hint="eastAsia"/>
          <w:bCs/>
          <w:sz w:val="28"/>
          <w:szCs w:val="28"/>
        </w:rPr>
        <w:t>1）实验报告</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①学生参加实验后，应按时完成每个项目的实验报告，并交指导教师评阅。</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②实验报告应包含实验项目名称、实验目的、实验原理简述、实验操作或观察记录、实验误差分析、实验结果讨论（或实验结论）等内容。</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③教师应结合学生的实验操作、实验课的表现与动手能力等情况对学生实验报告进行认真评阅，并作为学生平时实验成绩的原始记。</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（2）考核方式</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按参加实验情况和实验报告来确定实验成绩，其中实验报告和平时成绩分别占60%与40%。考核未通过的学生，必须重修。</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 xml:space="preserve">   六、实验课程建议教材及主要参考资料</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1.建议教材</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《水处理生物学（第六版）》，顾夏声等，</w:t>
      </w:r>
      <w:hyperlink r:id="rId26" w:tgtFrame="_blank" w:history="1">
        <w:r>
          <w:rPr>
            <w:rFonts w:ascii="仿宋_GB2312" w:hAnsi="仿宋_GB2312" w:cs="仿宋_GB2312" w:hint="eastAsia"/>
            <w:bCs/>
            <w:sz w:val="28"/>
            <w:szCs w:val="28"/>
          </w:rPr>
          <w:t>中国建筑工业出版社</w:t>
        </w:r>
      </w:hyperlink>
      <w:r>
        <w:rPr>
          <w:rFonts w:ascii="仿宋_GB2312" w:hAnsi="仿宋_GB2312" w:cs="仿宋_GB2312" w:hint="eastAsia"/>
          <w:bCs/>
          <w:sz w:val="28"/>
          <w:szCs w:val="28"/>
        </w:rPr>
        <w:t>，北京，2018年09月出版</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lastRenderedPageBreak/>
        <w:t>2.主要参考资料</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《微生物学（第8版）》，沈萍等，高等教育出版社，北京，2016年01月出版</w:t>
      </w:r>
    </w:p>
    <w:p w:rsidR="005F6318" w:rsidRDefault="005F6318" w:rsidP="005F6318">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《微生物学实验（第四版）》，</w:t>
      </w:r>
      <w:hyperlink r:id="rId27" w:tgtFrame="_blank" w:history="1">
        <w:r>
          <w:rPr>
            <w:rFonts w:ascii="仿宋_GB2312" w:hAnsi="仿宋_GB2312" w:cs="仿宋_GB2312" w:hint="eastAsia"/>
            <w:bCs/>
            <w:sz w:val="28"/>
            <w:szCs w:val="28"/>
          </w:rPr>
          <w:t>蔡信之</w:t>
        </w:r>
      </w:hyperlink>
      <w:r>
        <w:rPr>
          <w:rFonts w:ascii="仿宋_GB2312" w:hAnsi="仿宋_GB2312" w:cs="仿宋_GB2312" w:hint="eastAsia"/>
          <w:bCs/>
          <w:sz w:val="28"/>
          <w:szCs w:val="28"/>
        </w:rPr>
        <w:t>等，</w:t>
      </w:r>
      <w:hyperlink r:id="rId28" w:tgtFrame="_blank" w:history="1">
        <w:r>
          <w:rPr>
            <w:rFonts w:ascii="仿宋_GB2312" w:hAnsi="仿宋_GB2312" w:cs="仿宋_GB2312" w:hint="eastAsia"/>
            <w:bCs/>
            <w:sz w:val="28"/>
            <w:szCs w:val="28"/>
          </w:rPr>
          <w:t>科学出版社</w:t>
        </w:r>
      </w:hyperlink>
      <w:r>
        <w:rPr>
          <w:rFonts w:ascii="仿宋_GB2312" w:hAnsi="仿宋_GB2312" w:cs="仿宋_GB2312" w:hint="eastAsia"/>
          <w:bCs/>
          <w:sz w:val="28"/>
          <w:szCs w:val="28"/>
        </w:rPr>
        <w:t>，北京，2021年02月出版</w:t>
      </w:r>
    </w:p>
    <w:p w:rsidR="005F6318" w:rsidRDefault="005F6318" w:rsidP="005F6318">
      <w:pPr>
        <w:spacing w:beforeLines="50" w:before="156" w:afterLines="50" w:after="156" w:line="460" w:lineRule="exact"/>
        <w:rPr>
          <w:rFonts w:ascii="黑体" w:eastAsia="黑体" w:hAnsi="黑体"/>
          <w:b/>
          <w:sz w:val="28"/>
          <w:szCs w:val="28"/>
        </w:rPr>
      </w:pPr>
    </w:p>
    <w:p w:rsidR="005F6318" w:rsidRDefault="005F6318" w:rsidP="005F6318">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大纲撰写人：吴沛</w:t>
      </w:r>
    </w:p>
    <w:p w:rsidR="005F6318" w:rsidRDefault="005F6318" w:rsidP="005F6318">
      <w:pPr>
        <w:spacing w:line="360" w:lineRule="auto"/>
        <w:ind w:firstLineChars="1200" w:firstLine="3360"/>
        <w:rPr>
          <w:rFonts w:ascii="仿宋" w:eastAsia="仿宋" w:hAnsi="仿宋"/>
          <w:sz w:val="28"/>
          <w:szCs w:val="28"/>
        </w:rPr>
      </w:pPr>
      <w:r>
        <w:rPr>
          <w:rFonts w:ascii="仿宋" w:eastAsia="仿宋" w:hAnsi="仿宋" w:hint="eastAsia"/>
          <w:sz w:val="28"/>
          <w:szCs w:val="28"/>
        </w:rPr>
        <w:t>负责人：吴沛</w:t>
      </w:r>
    </w:p>
    <w:p w:rsidR="005F6318" w:rsidRDefault="005F6318" w:rsidP="005F6318">
      <w:pPr>
        <w:spacing w:line="360" w:lineRule="auto"/>
        <w:ind w:firstLineChars="1200" w:firstLine="3360"/>
        <w:rPr>
          <w:rFonts w:ascii="仿宋" w:eastAsia="仿宋" w:hAnsi="仿宋"/>
          <w:sz w:val="28"/>
          <w:szCs w:val="28"/>
        </w:rPr>
      </w:pPr>
      <w:r>
        <w:rPr>
          <w:rFonts w:ascii="仿宋" w:eastAsia="仿宋" w:hAnsi="仿宋" w:hint="eastAsia"/>
          <w:sz w:val="28"/>
          <w:szCs w:val="28"/>
        </w:rPr>
        <w:t>审核人：胡博</w:t>
      </w:r>
    </w:p>
    <w:p w:rsidR="005F6318" w:rsidRDefault="005F6318" w:rsidP="005F6318">
      <w:pPr>
        <w:jc w:val="center"/>
        <w:rPr>
          <w:rFonts w:ascii="仿宋" w:hAnsi="仿宋"/>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5F6318" w:rsidRDefault="005F6318" w:rsidP="005F6318">
      <w:pPr>
        <w:jc w:val="left"/>
        <w:rPr>
          <w:rFonts w:ascii="仿宋" w:eastAsia="仿宋" w:hAnsi="仿宋"/>
          <w:szCs w:val="32"/>
        </w:rPr>
      </w:pPr>
      <w:r>
        <w:rPr>
          <w:rFonts w:ascii="仿宋" w:eastAsia="仿宋" w:hAnsi="仿宋" w:hint="eastAsia"/>
          <w:sz w:val="28"/>
          <w:szCs w:val="28"/>
        </w:rPr>
        <w:t xml:space="preserve">                                    2021年04月</w:t>
      </w:r>
    </w:p>
    <w:p w:rsidR="005F6318" w:rsidRDefault="005F6318" w:rsidP="00CA5AE3">
      <w:pPr>
        <w:jc w:val="left"/>
        <w:rPr>
          <w:rFonts w:ascii="仿宋" w:eastAsia="仿宋" w:hAnsi="仿宋"/>
          <w:sz w:val="28"/>
          <w:szCs w:val="28"/>
        </w:rPr>
      </w:pPr>
    </w:p>
    <w:p w:rsidR="00CA5AE3" w:rsidRDefault="00CA5AE3"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hint="eastAsia"/>
          <w:sz w:val="28"/>
          <w:szCs w:val="28"/>
        </w:rPr>
      </w:pPr>
    </w:p>
    <w:p w:rsidR="00E07285" w:rsidRDefault="00E07285" w:rsidP="00E07285">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《泵与泵站》课程教学大纲</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E07285" w:rsidRDefault="00E07285" w:rsidP="00E07285">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英文名称：pump and pump station</w:t>
      </w:r>
    </w:p>
    <w:p w:rsidR="00E07285" w:rsidRDefault="00E07285" w:rsidP="00E07285">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课程编码：Z2806070</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授课方式：线下、混合（</w:t>
      </w:r>
      <w:r>
        <w:rPr>
          <w:rFonts w:ascii="Times New Roman" w:hAnsi="Times New Roman"/>
          <w:bCs/>
          <w:sz w:val="28"/>
          <w:szCs w:val="28"/>
        </w:rPr>
        <w:t>20~30%</w:t>
      </w:r>
      <w:r>
        <w:rPr>
          <w:rFonts w:ascii="仿宋_GB2312" w:hAnsi="仿宋_GB2312" w:cs="仿宋_GB2312" w:hint="eastAsia"/>
          <w:bCs/>
          <w:sz w:val="28"/>
          <w:szCs w:val="28"/>
        </w:rPr>
        <w:t>）</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分：1.5</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时：26学时（授课24学时，实验2学时）</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适用对象：给排水科学与工程、给排水科学与工程（卓越工程师）专业</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先修课程：水力学、电工学、水工艺设备基础等</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泵与泵站》是给排水科学与工程专业的主要专业基础课程之一，理论和实践相结合，在掌握原理、设备基本构造的基础上，能够结合应用条件展开分析、计算和应用。学生通过该课程学习在给水排水工程中经常使用的水泵的基本知识、基本理论和应用的基本方法，获得水泵及泵站设计的能力。</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教学内容为离心泵、轴流泵和其他类型泵的工作原理、性能和基本构造，离心泵和轴流泵的应用性能、给水、排水泵站工艺设计的基础知识和能力、泵站的维护运行、节能途径等。</w:t>
      </w:r>
    </w:p>
    <w:p w:rsidR="00E07285" w:rsidRDefault="00E07285" w:rsidP="00E07285">
      <w:pPr>
        <w:spacing w:line="560" w:lineRule="exact"/>
        <w:ind w:firstLineChars="200" w:firstLine="560"/>
        <w:rPr>
          <w:rFonts w:ascii="宋体" w:eastAsia="宋体" w:hAnsi="宋体"/>
          <w:b/>
          <w:color w:val="FF0000"/>
          <w:sz w:val="21"/>
          <w:szCs w:val="21"/>
        </w:rPr>
      </w:pPr>
      <w:r>
        <w:rPr>
          <w:rFonts w:ascii="仿宋_GB2312" w:hAnsi="仿宋_GB2312" w:cs="仿宋_GB2312" w:hint="eastAsia"/>
          <w:sz w:val="28"/>
          <w:szCs w:val="28"/>
        </w:rPr>
        <w:lastRenderedPageBreak/>
        <w:t>教学方式采用PPT（构造与设计讲解）、板书（计算实例、图解）、水泵实验、课后思考题和练习题等相结合进行授课，并结合课程设计教学环节，使学生具备泵站的设计、计算、制图能力，能够分析泵站设计、运行中遇到的问题给出相应的解决方案，提出泵站节能降噪措施，了解国家相关政策和规范，明确自己的职业能力和职业责任，激发爱国热情。</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E07285" w:rsidRDefault="00E07285" w:rsidP="00E07285">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E07285" w:rsidRDefault="00E07285" w:rsidP="00E07285">
      <w:pPr>
        <w:spacing w:line="560" w:lineRule="exact"/>
        <w:ind w:firstLineChars="203" w:firstLine="568"/>
        <w:rPr>
          <w:rFonts w:ascii="仿宋_GB2312" w:hAnsi="仿宋_GB2312" w:cs="仿宋_GB2312"/>
          <w:sz w:val="28"/>
          <w:szCs w:val="28"/>
        </w:rPr>
      </w:pPr>
      <w:r>
        <w:rPr>
          <w:rFonts w:ascii="仿宋_GB2312" w:hAnsi="仿宋_GB2312" w:cs="仿宋_GB2312" w:hint="eastAsia"/>
          <w:sz w:val="28"/>
          <w:szCs w:val="28"/>
        </w:rPr>
        <w:t>围绕对泵及泵站的重要性，以离心泵为重点，介绍叶片式泵的结构、多泵串并联工况、单塔或多塔供水电算化分析、给水和排水泵站设计、泵站水锤及防护等知识点的讲解，基于给排水工程应用特点，介绍取水泵站、配水泵站、污水提升泵站、雨水泵站的工艺特点，介绍泵站的水泵选择方法、管路设计思路、泵房平面设计及高程设计的要点、运行和为维护等遇到问题及解决方案的案例分析，让学生掌握泵及相关设备的单独或组合运行特性，并结合国家政策及技术的相关要求、与社会可持续发展的紧密关系、泵站运行特征、构筑物及附属设施的功能要求，能进行泵站设计，具备分析解决相关问题的能力，为后续《泵站课程设计》、《给水处理厂》、《污水处理厂》、《建筑给水排水工程设计》等实践环节开展奠定理论基础。</w:t>
      </w:r>
    </w:p>
    <w:p w:rsidR="00E07285" w:rsidRDefault="00E07285"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E07285" w:rsidRDefault="00E07285" w:rsidP="00E07285">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E07285" w:rsidRDefault="00E07285" w:rsidP="00E07285">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知识目标：通过学习本门课程学习，掌握以叶片泵为主的相关基础知识、了解国家相关政策、应用背景及发展前景，能够掌握水泵等相关设备的构造、运行特征、设备节能方式及重要参数分析计</w:t>
      </w:r>
      <w:r>
        <w:rPr>
          <w:rFonts w:ascii="仿宋_GB2312" w:hAnsi="仿宋_GB2312" w:cs="仿宋_GB2312" w:hint="eastAsia"/>
          <w:sz w:val="28"/>
          <w:szCs w:val="28"/>
        </w:rPr>
        <w:lastRenderedPageBreak/>
        <w:t>算方法；掌握水泵站设计原则及设计要点及泵站节能、防水锤措施。</w:t>
      </w:r>
    </w:p>
    <w:p w:rsidR="00E07285" w:rsidRDefault="00E07285" w:rsidP="00E07285">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能力目标：能够根据给排水工程应用功能及运行要求设计出一级、二级给水泵站和排水泵站，同时能够对水泵的运行进行合理安排，并达到节能目的，同时能够合理分析泵站设计、运行和为维护中遇到问题，运用科学的手段给出解决方案。</w:t>
      </w:r>
    </w:p>
    <w:p w:rsidR="00E07285" w:rsidRDefault="00E07285" w:rsidP="00E07285">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情感态度与价值观目标：加强对专业素养、弘扬创新精神，树立专业自信和职业责任感，明确自身价值，规划职业发展，激发爱国热情。</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tbl>
      <w:tblPr>
        <w:tblStyle w:val="a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495"/>
        <w:gridCol w:w="499"/>
        <w:gridCol w:w="499"/>
        <w:gridCol w:w="487"/>
        <w:gridCol w:w="487"/>
        <w:gridCol w:w="494"/>
        <w:gridCol w:w="499"/>
        <w:gridCol w:w="488"/>
        <w:gridCol w:w="488"/>
        <w:gridCol w:w="512"/>
        <w:gridCol w:w="512"/>
        <w:gridCol w:w="512"/>
      </w:tblGrid>
      <w:tr w:rsidR="00E07285" w:rsidTr="00E07285">
        <w:trPr>
          <w:trHeight w:hRule="exact" w:val="454"/>
          <w:jc w:val="center"/>
        </w:trPr>
        <w:tc>
          <w:tcPr>
            <w:tcW w:w="2743" w:type="dxa"/>
            <w:vMerge w:val="restart"/>
            <w:vAlign w:val="center"/>
          </w:tcPr>
          <w:p w:rsidR="00E07285" w:rsidRDefault="00E07285" w:rsidP="00E07285">
            <w:pPr>
              <w:spacing w:line="360" w:lineRule="auto"/>
              <w:jc w:val="center"/>
              <w:rPr>
                <w:rFonts w:ascii="仿宋_GB2312" w:hAnsi="仿宋_GB2312" w:cs="仿宋_GB2312"/>
                <w:bCs/>
                <w:sz w:val="28"/>
                <w:szCs w:val="28"/>
              </w:rPr>
            </w:pPr>
            <w:r>
              <w:rPr>
                <w:rFonts w:ascii="仿宋_GB2312" w:hAnsi="仿宋_GB2312" w:cs="仿宋_GB2312" w:hint="eastAsia"/>
                <w:bCs/>
                <w:sz w:val="24"/>
                <w:szCs w:val="24"/>
              </w:rPr>
              <w:t>课程目标</w:t>
            </w:r>
          </w:p>
        </w:tc>
        <w:tc>
          <w:tcPr>
            <w:tcW w:w="6233" w:type="dxa"/>
            <w:gridSpan w:val="12"/>
            <w:vAlign w:val="center"/>
          </w:tcPr>
          <w:p w:rsidR="00E07285" w:rsidRDefault="00E07285" w:rsidP="00E07285">
            <w:pPr>
              <w:jc w:val="center"/>
              <w:rPr>
                <w:rFonts w:ascii="仿宋_GB2312" w:hAnsi="仿宋_GB2312" w:cs="仿宋_GB2312"/>
                <w:bCs/>
                <w:sz w:val="28"/>
                <w:szCs w:val="28"/>
              </w:rPr>
            </w:pPr>
            <w:r>
              <w:rPr>
                <w:rFonts w:ascii="仿宋_GB2312" w:hAnsi="仿宋_GB2312" w:cs="仿宋_GB2312" w:hint="eastAsia"/>
                <w:bCs/>
                <w:sz w:val="24"/>
                <w:szCs w:val="24"/>
              </w:rPr>
              <w:t>毕业要求</w:t>
            </w:r>
          </w:p>
        </w:tc>
      </w:tr>
      <w:tr w:rsidR="00E07285" w:rsidTr="00E07285">
        <w:trPr>
          <w:trHeight w:hRule="exact" w:val="454"/>
          <w:jc w:val="center"/>
        </w:trPr>
        <w:tc>
          <w:tcPr>
            <w:tcW w:w="2743" w:type="dxa"/>
            <w:vMerge/>
          </w:tcPr>
          <w:p w:rsidR="00E07285" w:rsidRDefault="00E07285" w:rsidP="00E07285">
            <w:pPr>
              <w:spacing w:line="360" w:lineRule="auto"/>
              <w:rPr>
                <w:rFonts w:ascii="仿宋_GB2312" w:hAnsi="仿宋_GB2312" w:cs="仿宋_GB2312"/>
                <w:bCs/>
                <w:sz w:val="28"/>
                <w:szCs w:val="28"/>
              </w:rPr>
            </w:pP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1</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2</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3</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4</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5</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6</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7</w:t>
            </w:r>
          </w:p>
        </w:tc>
        <w:tc>
          <w:tcPr>
            <w:tcW w:w="520"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8</w:t>
            </w:r>
          </w:p>
        </w:tc>
        <w:tc>
          <w:tcPr>
            <w:tcW w:w="520"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9</w:t>
            </w:r>
          </w:p>
        </w:tc>
        <w:tc>
          <w:tcPr>
            <w:tcW w:w="520"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10</w:t>
            </w:r>
          </w:p>
        </w:tc>
        <w:tc>
          <w:tcPr>
            <w:tcW w:w="520"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11</w:t>
            </w:r>
          </w:p>
        </w:tc>
        <w:tc>
          <w:tcPr>
            <w:tcW w:w="520"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12</w:t>
            </w:r>
          </w:p>
        </w:tc>
      </w:tr>
      <w:tr w:rsidR="00E07285" w:rsidTr="00E07285">
        <w:trPr>
          <w:trHeight w:hRule="exact" w:val="454"/>
          <w:jc w:val="center"/>
        </w:trPr>
        <w:tc>
          <w:tcPr>
            <w:tcW w:w="2743" w:type="dxa"/>
            <w:vAlign w:val="center"/>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知识目标</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r>
      <w:tr w:rsidR="00E07285" w:rsidTr="00E07285">
        <w:trPr>
          <w:trHeight w:hRule="exact" w:val="454"/>
          <w:jc w:val="center"/>
        </w:trPr>
        <w:tc>
          <w:tcPr>
            <w:tcW w:w="2743" w:type="dxa"/>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能力目标</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r>
      <w:tr w:rsidR="00E07285" w:rsidTr="00E07285">
        <w:trPr>
          <w:trHeight w:hRule="exact" w:val="454"/>
          <w:jc w:val="center"/>
        </w:trPr>
        <w:tc>
          <w:tcPr>
            <w:tcW w:w="2743" w:type="dxa"/>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情感态度与价值观目标</w:t>
            </w:r>
          </w:p>
        </w:tc>
        <w:tc>
          <w:tcPr>
            <w:tcW w:w="519" w:type="dxa"/>
            <w:vAlign w:val="center"/>
          </w:tcPr>
          <w:p w:rsidR="00E07285" w:rsidRDefault="00E07285" w:rsidP="00E07285">
            <w:pPr>
              <w:spacing w:line="360" w:lineRule="auto"/>
              <w:jc w:val="center"/>
              <w:rPr>
                <w:rFonts w:ascii="仿宋_GB2312" w:hAnsi="仿宋_GB2312" w:cs="仿宋_GB2312"/>
                <w:bCs/>
                <w:sz w:val="28"/>
                <w:szCs w:val="28"/>
              </w:rPr>
            </w:pPr>
          </w:p>
        </w:tc>
        <w:tc>
          <w:tcPr>
            <w:tcW w:w="519" w:type="dxa"/>
            <w:vAlign w:val="center"/>
          </w:tcPr>
          <w:p w:rsidR="00E07285" w:rsidRDefault="00E07285" w:rsidP="00E07285">
            <w:pPr>
              <w:spacing w:line="360" w:lineRule="auto"/>
              <w:jc w:val="center"/>
              <w:rPr>
                <w:rFonts w:ascii="仿宋_GB2312" w:hAnsi="仿宋_GB2312" w:cs="仿宋_GB2312"/>
                <w:bCs/>
                <w:sz w:val="28"/>
                <w:szCs w:val="28"/>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r>
    </w:tbl>
    <w:p w:rsidR="00E07285" w:rsidRDefault="00E07285" w:rsidP="00E07285">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E07285" w:rsidRDefault="00E07285" w:rsidP="00E07285">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相似定律、比例率、切削定律、泵的比转数、最大安装高度分析；调速泵、叶轮切削后泵特性参数求取及特性曲线分析；同型号、不同型号多泵串联、并联工况分析；单塔、多塔供水工况分析；给水泵站、排水泵站设计及节能、防水锤措施。</w:t>
      </w:r>
    </w:p>
    <w:p w:rsidR="00E07285" w:rsidRDefault="00E07285" w:rsidP="00E07285">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E07285" w:rsidRDefault="00E07285" w:rsidP="00E07285">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《泵与泵站》是一门优良的课程，通过了解学生的身心发展状况，实行针对性的教学，由大到国内重大民生工程，如“南水北调”等，小到一个水景观中水的循环使用，引出水资源、淡水资源总量有限，</w:t>
      </w:r>
      <w:r>
        <w:rPr>
          <w:rFonts w:ascii="仿宋_GB2312" w:hAnsi="仿宋_GB2312" w:cs="仿宋_GB2312" w:hint="eastAsia"/>
          <w:sz w:val="28"/>
          <w:szCs w:val="28"/>
        </w:rPr>
        <w:lastRenderedPageBreak/>
        <w:t>让学生形成节约用水、水资源合理调配观念，提升职业素养，同时结合本课程的特点，倡导节能观念，结合“碳达峰、碳中和”的国家目标，使学生在泵选型、泵站设计及泵运行等相关工作中考虑节能，通过专学习了解国家的国策，激发爱国热情，明确自己的职业责任感，树立专业自信。</w:t>
      </w:r>
    </w:p>
    <w:p w:rsidR="00E07285" w:rsidRDefault="00E07285" w:rsidP="00E07285">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此外，在各课程教学中融入思政教育，从学生的实际情况出发，结合各个教学环节，进行思政教育，实现对思政方法和载体的不断更新，可预期较为显著的思想政治教育效果。</w:t>
      </w:r>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1374"/>
        <w:gridCol w:w="2661"/>
        <w:gridCol w:w="4119"/>
      </w:tblGrid>
      <w:tr w:rsidR="00E07285" w:rsidTr="00E07285">
        <w:trPr>
          <w:cantSplit/>
          <w:trHeight w:val="785"/>
          <w:jc w:val="center"/>
        </w:trPr>
        <w:tc>
          <w:tcPr>
            <w:tcW w:w="813"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序号</w:t>
            </w:r>
          </w:p>
        </w:tc>
        <w:tc>
          <w:tcPr>
            <w:tcW w:w="1374"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2661"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4119"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思政内容</w:t>
            </w:r>
          </w:p>
        </w:tc>
      </w:tr>
      <w:tr w:rsidR="00E07285" w:rsidTr="00E07285">
        <w:trPr>
          <w:trHeight w:val="428"/>
          <w:jc w:val="center"/>
        </w:trPr>
        <w:tc>
          <w:tcPr>
            <w:tcW w:w="813" w:type="dxa"/>
            <w:vAlign w:val="center"/>
          </w:tcPr>
          <w:p w:rsidR="00E07285" w:rsidRDefault="00E07285" w:rsidP="00E07285">
            <w:pPr>
              <w:jc w:val="center"/>
              <w:rPr>
                <w:rFonts w:ascii="Times New Roman" w:hAnsi="Times New Roman"/>
                <w:kern w:val="0"/>
                <w:sz w:val="20"/>
                <w:szCs w:val="20"/>
              </w:rPr>
            </w:pP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1</w:t>
            </w:r>
          </w:p>
        </w:tc>
        <w:tc>
          <w:tcPr>
            <w:tcW w:w="1374" w:type="dxa"/>
            <w:vAlign w:val="center"/>
          </w:tcPr>
          <w:p w:rsidR="00E07285" w:rsidRDefault="00E07285" w:rsidP="00E07285">
            <w:pPr>
              <w:jc w:val="center"/>
              <w:rPr>
                <w:rFonts w:ascii="Times New Roman" w:hAnsi="Times New Roman"/>
                <w:kern w:val="0"/>
                <w:sz w:val="20"/>
                <w:szCs w:val="20"/>
              </w:rPr>
            </w:pP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第一章</w:t>
            </w: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绪</w:t>
            </w:r>
            <w:r>
              <w:rPr>
                <w:rFonts w:ascii="Times New Roman" w:hAnsi="Times New Roman" w:hint="eastAsia"/>
                <w:kern w:val="0"/>
                <w:sz w:val="20"/>
                <w:szCs w:val="20"/>
              </w:rPr>
              <w:t xml:space="preserve"> </w:t>
            </w:r>
            <w:r>
              <w:rPr>
                <w:rFonts w:ascii="Times New Roman" w:hAnsi="Times New Roman" w:hint="eastAsia"/>
                <w:kern w:val="0"/>
                <w:sz w:val="20"/>
                <w:szCs w:val="20"/>
              </w:rPr>
              <w:t>论</w:t>
            </w: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第二章</w:t>
            </w: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叶片式泵</w:t>
            </w:r>
          </w:p>
        </w:tc>
        <w:tc>
          <w:tcPr>
            <w:tcW w:w="2661"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1.1</w:t>
            </w:r>
            <w:r>
              <w:rPr>
                <w:rFonts w:ascii="Times New Roman" w:hAnsi="Times New Roman" w:hint="eastAsia"/>
                <w:kern w:val="0"/>
                <w:sz w:val="20"/>
                <w:szCs w:val="20"/>
              </w:rPr>
              <w:t>泵在“南水北调”等工程的重要</w:t>
            </w:r>
            <w:r>
              <w:rPr>
                <w:rFonts w:ascii="Times New Roman" w:hAnsi="Times New Roman" w:hint="eastAsia"/>
                <w:kern w:val="0"/>
                <w:sz w:val="20"/>
                <w:szCs w:val="20"/>
              </w:rPr>
              <w:t xml:space="preserve"> </w:t>
            </w:r>
            <w:r>
              <w:rPr>
                <w:rFonts w:ascii="Times New Roman" w:hAnsi="Times New Roman" w:hint="eastAsia"/>
                <w:kern w:val="0"/>
                <w:sz w:val="20"/>
                <w:szCs w:val="20"/>
              </w:rPr>
              <w:t>作用；</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2.1</w:t>
            </w:r>
            <w:r>
              <w:rPr>
                <w:rFonts w:ascii="Times New Roman" w:hAnsi="Times New Roman" w:hint="eastAsia"/>
                <w:kern w:val="0"/>
                <w:sz w:val="20"/>
                <w:szCs w:val="20"/>
              </w:rPr>
              <w:t>“减漏环”等；</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2.2</w:t>
            </w:r>
            <w:r>
              <w:rPr>
                <w:rFonts w:ascii="Times New Roman" w:hAnsi="Times New Roman" w:hint="eastAsia"/>
                <w:kern w:val="0"/>
                <w:sz w:val="20"/>
                <w:szCs w:val="20"/>
              </w:rPr>
              <w:t>、</w:t>
            </w:r>
            <w:r>
              <w:rPr>
                <w:rFonts w:ascii="Times New Roman" w:hAnsi="Times New Roman" w:hint="eastAsia"/>
                <w:kern w:val="0"/>
                <w:sz w:val="20"/>
                <w:szCs w:val="20"/>
              </w:rPr>
              <w:t>2.3</w:t>
            </w:r>
            <w:r>
              <w:rPr>
                <w:rFonts w:ascii="Times New Roman" w:hAnsi="Times New Roman" w:hint="eastAsia"/>
                <w:kern w:val="0"/>
                <w:sz w:val="20"/>
                <w:szCs w:val="20"/>
              </w:rPr>
              <w:t>由离心泵的特性引出；</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2.4</w:t>
            </w:r>
            <w:r>
              <w:rPr>
                <w:rFonts w:ascii="Times New Roman" w:hAnsi="Times New Roman" w:hint="eastAsia"/>
                <w:kern w:val="0"/>
                <w:sz w:val="20"/>
                <w:szCs w:val="20"/>
              </w:rPr>
              <w:t>由“工况点是动态的”引出；</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2.5</w:t>
            </w:r>
            <w:r>
              <w:rPr>
                <w:rFonts w:ascii="Times New Roman" w:hAnsi="Times New Roman" w:hint="eastAsia"/>
                <w:kern w:val="0"/>
                <w:sz w:val="20"/>
                <w:szCs w:val="20"/>
              </w:rPr>
              <w:t>相似定律及比转数、比例律、叶轮切削定律引出节能；</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2.6</w:t>
            </w:r>
            <w:r>
              <w:rPr>
                <w:rFonts w:ascii="Times New Roman" w:hAnsi="Times New Roman" w:hint="eastAsia"/>
                <w:kern w:val="0"/>
                <w:sz w:val="20"/>
                <w:szCs w:val="20"/>
              </w:rPr>
              <w:t>离心泵并联，串联引出；</w:t>
            </w:r>
          </w:p>
          <w:p w:rsidR="00E07285" w:rsidRDefault="00E07285" w:rsidP="00E07285">
            <w:pPr>
              <w:jc w:val="left"/>
              <w:rPr>
                <w:rFonts w:ascii="Times New Roman" w:hAnsi="Times New Roman"/>
                <w:kern w:val="0"/>
                <w:sz w:val="20"/>
                <w:szCs w:val="20"/>
              </w:rPr>
            </w:pPr>
          </w:p>
        </w:tc>
        <w:tc>
          <w:tcPr>
            <w:tcW w:w="4119"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水资源问题、国家重大工程、做人不能像没有泵的液体“随波逐流”等；</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小零件大作用，明确个人贡献对社会进步的意义等；</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引导学生要对自己有正确的认知，知道自己的优势和不足，逐步明确各人的发展方向，建立个人自信、专业自信等；</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国策“碳达峰，碳中和”，能源、发展、科技之间的关系，鼓励创新；</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个人的发展也是动态过程，有起有落，要正确的面对低谷，蓄势待发。</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hint="eastAsia"/>
                <w:kern w:val="0"/>
                <w:sz w:val="20"/>
                <w:szCs w:val="20"/>
              </w:rPr>
              <w:t>团队合作重要性，对如何发挥自己在团队中的作用及如何合作，引发思考。</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w:t>
            </w:r>
          </w:p>
        </w:tc>
      </w:tr>
      <w:tr w:rsidR="00E07285" w:rsidTr="00E07285">
        <w:trPr>
          <w:trHeight w:val="519"/>
          <w:jc w:val="center"/>
        </w:trPr>
        <w:tc>
          <w:tcPr>
            <w:tcW w:w="813"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3</w:t>
            </w:r>
          </w:p>
        </w:tc>
        <w:tc>
          <w:tcPr>
            <w:tcW w:w="1374"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第三章</w:t>
            </w: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其他泵与风机</w:t>
            </w:r>
          </w:p>
        </w:tc>
        <w:tc>
          <w:tcPr>
            <w:tcW w:w="2661"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3.1</w:t>
            </w:r>
            <w:r>
              <w:rPr>
                <w:rFonts w:ascii="Times New Roman" w:hAnsi="Times New Roman" w:hint="eastAsia"/>
                <w:kern w:val="0"/>
                <w:sz w:val="20"/>
                <w:szCs w:val="20"/>
              </w:rPr>
              <w:t>、</w:t>
            </w:r>
            <w:r>
              <w:rPr>
                <w:rFonts w:ascii="Times New Roman" w:hAnsi="Times New Roman" w:hint="eastAsia"/>
                <w:kern w:val="0"/>
                <w:sz w:val="20"/>
                <w:szCs w:val="20"/>
              </w:rPr>
              <w:t>3.2</w:t>
            </w:r>
            <w:r>
              <w:rPr>
                <w:rFonts w:ascii="Times New Roman" w:hAnsi="Times New Roman" w:hint="eastAsia"/>
                <w:kern w:val="0"/>
                <w:sz w:val="20"/>
                <w:szCs w:val="20"/>
              </w:rPr>
              <w:t>实现水的提升方法有很多种，引出；</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3.3</w:t>
            </w:r>
            <w:r>
              <w:rPr>
                <w:rFonts w:ascii="Times New Roman" w:hAnsi="Times New Roman" w:hint="eastAsia"/>
                <w:kern w:val="0"/>
                <w:sz w:val="20"/>
                <w:szCs w:val="20"/>
              </w:rPr>
              <w:t>泵和风机都有都具有叶轮，叶轮有何种加工工艺；</w:t>
            </w:r>
          </w:p>
        </w:tc>
        <w:tc>
          <w:tcPr>
            <w:tcW w:w="4119" w:type="dxa"/>
            <w:vAlign w:val="center"/>
          </w:tcPr>
          <w:p w:rsidR="00E07285" w:rsidRDefault="00E07285" w:rsidP="005F6318">
            <w:pPr>
              <w:numPr>
                <w:ilvl w:val="0"/>
                <w:numId w:val="39"/>
              </w:numPr>
              <w:jc w:val="left"/>
              <w:rPr>
                <w:rFonts w:ascii="Times New Roman" w:hAnsi="Times New Roman"/>
                <w:kern w:val="0"/>
                <w:sz w:val="20"/>
                <w:szCs w:val="20"/>
              </w:rPr>
            </w:pPr>
            <w:r>
              <w:rPr>
                <w:rFonts w:ascii="Times New Roman" w:hAnsi="Times New Roman" w:hint="eastAsia"/>
                <w:kern w:val="0"/>
                <w:sz w:val="20"/>
                <w:szCs w:val="20"/>
              </w:rPr>
              <w:t>解决问题的方式是多元化的，在很多时候都要避免“一根筋式”的问题解决方式；</w:t>
            </w:r>
          </w:p>
          <w:p w:rsidR="00E07285" w:rsidRDefault="00E07285" w:rsidP="005F6318">
            <w:pPr>
              <w:numPr>
                <w:ilvl w:val="0"/>
                <w:numId w:val="39"/>
              </w:numPr>
              <w:jc w:val="left"/>
              <w:rPr>
                <w:rFonts w:ascii="Times New Roman" w:hAnsi="Times New Roman"/>
                <w:kern w:val="0"/>
                <w:sz w:val="20"/>
                <w:szCs w:val="20"/>
              </w:rPr>
            </w:pPr>
            <w:r>
              <w:rPr>
                <w:rFonts w:ascii="Times New Roman" w:hAnsi="Times New Roman" w:hint="eastAsia"/>
                <w:kern w:val="0"/>
                <w:sz w:val="20"/>
                <w:szCs w:val="20"/>
              </w:rPr>
              <w:t>引出，目前在世界竞争中关键技术的重要性，鼓励学生创新；</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w:t>
            </w:r>
          </w:p>
        </w:tc>
      </w:tr>
      <w:tr w:rsidR="00E07285" w:rsidTr="00E07285">
        <w:trPr>
          <w:trHeight w:val="555"/>
          <w:jc w:val="center"/>
        </w:trPr>
        <w:tc>
          <w:tcPr>
            <w:tcW w:w="813"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4</w:t>
            </w:r>
          </w:p>
        </w:tc>
        <w:tc>
          <w:tcPr>
            <w:tcW w:w="1374"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第四章</w:t>
            </w: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给水泵站</w:t>
            </w:r>
          </w:p>
        </w:tc>
        <w:tc>
          <w:tcPr>
            <w:tcW w:w="2661"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4.1</w:t>
            </w:r>
            <w:r>
              <w:rPr>
                <w:rFonts w:ascii="Times New Roman" w:hAnsi="Times New Roman" w:hint="eastAsia"/>
                <w:kern w:val="0"/>
                <w:sz w:val="20"/>
                <w:szCs w:val="20"/>
              </w:rPr>
              <w:t>、</w:t>
            </w:r>
            <w:r>
              <w:rPr>
                <w:rFonts w:ascii="Times New Roman" w:hAnsi="Times New Roman" w:hint="eastAsia"/>
                <w:kern w:val="0"/>
                <w:sz w:val="20"/>
                <w:szCs w:val="20"/>
              </w:rPr>
              <w:t>4.2</w:t>
            </w:r>
            <w:r>
              <w:rPr>
                <w:rFonts w:ascii="Times New Roman" w:hAnsi="Times New Roman" w:hint="eastAsia"/>
                <w:kern w:val="0"/>
                <w:sz w:val="20"/>
                <w:szCs w:val="20"/>
              </w:rPr>
              <w:t>泵站设计、节能设计等；</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4.3</w:t>
            </w:r>
            <w:r>
              <w:rPr>
                <w:rFonts w:ascii="Times New Roman" w:hAnsi="Times New Roman" w:hint="eastAsia"/>
                <w:kern w:val="0"/>
                <w:sz w:val="20"/>
                <w:szCs w:val="20"/>
              </w:rPr>
              <w:t>泵站水锤及防护；</w:t>
            </w:r>
          </w:p>
        </w:tc>
        <w:tc>
          <w:tcPr>
            <w:tcW w:w="4119"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设计中有很多因素，“细节决定成败”我们做设计也要有匠心，建立职业责任感；</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“泵站水锤及防护措施”是长安大学给排水学科研究特色之一，加强学生对长大专业团队的认可、加强对学校的认可，提升专业自认。</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w:t>
            </w:r>
          </w:p>
        </w:tc>
      </w:tr>
      <w:tr w:rsidR="00E07285" w:rsidTr="00E07285">
        <w:trPr>
          <w:trHeight w:val="548"/>
          <w:jc w:val="center"/>
        </w:trPr>
        <w:tc>
          <w:tcPr>
            <w:tcW w:w="813"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lastRenderedPageBreak/>
              <w:t>5</w:t>
            </w:r>
          </w:p>
        </w:tc>
        <w:tc>
          <w:tcPr>
            <w:tcW w:w="1374"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第五篇</w:t>
            </w: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排水泵站</w:t>
            </w:r>
          </w:p>
        </w:tc>
        <w:tc>
          <w:tcPr>
            <w:tcW w:w="2661"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5.1</w:t>
            </w:r>
            <w:r>
              <w:rPr>
                <w:rFonts w:ascii="Times New Roman" w:hAnsi="Times New Roman" w:hint="eastAsia"/>
                <w:kern w:val="0"/>
                <w:sz w:val="20"/>
                <w:szCs w:val="20"/>
              </w:rPr>
              <w:t>污水泵站、雨水泵站。</w:t>
            </w:r>
          </w:p>
        </w:tc>
        <w:tc>
          <w:tcPr>
            <w:tcW w:w="4119" w:type="dxa"/>
            <w:vAlign w:val="center"/>
          </w:tcPr>
          <w:p w:rsidR="00E07285" w:rsidRDefault="00E07285" w:rsidP="005F6318">
            <w:pPr>
              <w:numPr>
                <w:ilvl w:val="0"/>
                <w:numId w:val="40"/>
              </w:numPr>
              <w:jc w:val="left"/>
              <w:rPr>
                <w:rFonts w:ascii="Times New Roman" w:hAnsi="Times New Roman"/>
                <w:kern w:val="0"/>
                <w:sz w:val="20"/>
                <w:szCs w:val="20"/>
              </w:rPr>
            </w:pPr>
            <w:r>
              <w:rPr>
                <w:rFonts w:ascii="Times New Roman" w:hAnsi="Times New Roman" w:hint="eastAsia"/>
                <w:kern w:val="0"/>
                <w:sz w:val="20"/>
                <w:szCs w:val="20"/>
              </w:rPr>
              <w:t>结合“海绵城市、综合管廊技术”等阐述专业对民生和社会的重要性，还有许多问题要去解决</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w:t>
            </w:r>
          </w:p>
        </w:tc>
      </w:tr>
    </w:tbl>
    <w:p w:rsidR="00E07285" w:rsidRDefault="00E07285" w:rsidP="005F6318">
      <w:pPr>
        <w:numPr>
          <w:ilvl w:val="0"/>
          <w:numId w:val="41"/>
        </w:num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教学内容安排</w:t>
      </w:r>
    </w:p>
    <w:tbl>
      <w:tblPr>
        <w:tblW w:w="904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084"/>
        <w:gridCol w:w="1056"/>
        <w:gridCol w:w="2896"/>
        <w:gridCol w:w="3368"/>
      </w:tblGrid>
      <w:tr w:rsidR="00E07285" w:rsidTr="00E07285">
        <w:trPr>
          <w:cantSplit/>
          <w:trHeight w:val="785"/>
        </w:trPr>
        <w:tc>
          <w:tcPr>
            <w:tcW w:w="640"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序号</w:t>
            </w:r>
          </w:p>
        </w:tc>
        <w:tc>
          <w:tcPr>
            <w:tcW w:w="1084"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1056"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2896"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3368"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E07285" w:rsidTr="00E07285">
        <w:trPr>
          <w:trHeight w:val="428"/>
        </w:trPr>
        <w:tc>
          <w:tcPr>
            <w:tcW w:w="640" w:type="dxa"/>
            <w:vAlign w:val="center"/>
          </w:tcPr>
          <w:p w:rsidR="00E07285" w:rsidRDefault="00E07285" w:rsidP="00E07285">
            <w:pPr>
              <w:jc w:val="center"/>
              <w:rPr>
                <w:rFonts w:ascii="Times New Roman" w:hAnsi="Times New Roman"/>
                <w:kern w:val="0"/>
                <w:sz w:val="20"/>
                <w:szCs w:val="20"/>
              </w:rPr>
            </w:pP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1</w:t>
            </w:r>
          </w:p>
        </w:tc>
        <w:tc>
          <w:tcPr>
            <w:tcW w:w="1084" w:type="dxa"/>
            <w:vAlign w:val="center"/>
          </w:tcPr>
          <w:p w:rsidR="00E07285" w:rsidRDefault="00E07285" w:rsidP="00E07285">
            <w:pPr>
              <w:jc w:val="center"/>
              <w:rPr>
                <w:rFonts w:ascii="Times New Roman" w:hAnsi="Times New Roman"/>
                <w:kern w:val="0"/>
                <w:sz w:val="20"/>
                <w:szCs w:val="20"/>
              </w:rPr>
            </w:pP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第一章</w:t>
            </w: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绪</w:t>
            </w:r>
            <w:r>
              <w:rPr>
                <w:rFonts w:ascii="Times New Roman" w:hAnsi="Times New Roman" w:hint="eastAsia"/>
                <w:kern w:val="0"/>
                <w:sz w:val="20"/>
                <w:szCs w:val="20"/>
              </w:rPr>
              <w:t xml:space="preserve"> </w:t>
            </w:r>
            <w:r>
              <w:rPr>
                <w:rFonts w:ascii="Times New Roman" w:hAnsi="Times New Roman" w:hint="eastAsia"/>
                <w:kern w:val="0"/>
                <w:sz w:val="20"/>
                <w:szCs w:val="20"/>
              </w:rPr>
              <w:t>论</w:t>
            </w: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第二章</w:t>
            </w: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叶片式泵</w:t>
            </w:r>
          </w:p>
        </w:tc>
        <w:tc>
          <w:tcPr>
            <w:tcW w:w="1056"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14</w:t>
            </w:r>
          </w:p>
        </w:tc>
        <w:tc>
          <w:tcPr>
            <w:tcW w:w="2896"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1.1</w:t>
            </w:r>
            <w:r>
              <w:rPr>
                <w:rFonts w:ascii="Times New Roman" w:hAnsi="Times New Roman" w:hint="eastAsia"/>
                <w:kern w:val="0"/>
                <w:sz w:val="20"/>
                <w:szCs w:val="20"/>
              </w:rPr>
              <w:t>概述</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2.1</w:t>
            </w:r>
            <w:r>
              <w:rPr>
                <w:rFonts w:ascii="Times New Roman" w:hAnsi="Times New Roman" w:hint="eastAsia"/>
                <w:kern w:val="0"/>
                <w:sz w:val="20"/>
                <w:szCs w:val="20"/>
              </w:rPr>
              <w:t>离心泵工作原理基本构造和零件</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2.2</w:t>
            </w:r>
            <w:r>
              <w:rPr>
                <w:rFonts w:ascii="Times New Roman" w:hAnsi="Times New Roman" w:hint="eastAsia"/>
                <w:kern w:val="0"/>
                <w:sz w:val="20"/>
                <w:szCs w:val="20"/>
              </w:rPr>
              <w:t>基本性能参数、基本方程</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2.3</w:t>
            </w:r>
            <w:r>
              <w:rPr>
                <w:rFonts w:ascii="Times New Roman" w:hAnsi="Times New Roman" w:hint="eastAsia"/>
                <w:kern w:val="0"/>
                <w:sz w:val="20"/>
                <w:szCs w:val="20"/>
              </w:rPr>
              <w:t>离心泵特性曲线</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2.4</w:t>
            </w:r>
            <w:r>
              <w:rPr>
                <w:rFonts w:ascii="Times New Roman" w:hAnsi="Times New Roman" w:hint="eastAsia"/>
                <w:kern w:val="0"/>
                <w:sz w:val="20"/>
                <w:szCs w:val="20"/>
              </w:rPr>
              <w:t>离心泵定速工况</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离心泵工况点，意义及应用技术</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2.5</w:t>
            </w:r>
            <w:r>
              <w:rPr>
                <w:rFonts w:ascii="Times New Roman" w:hAnsi="Times New Roman" w:hint="eastAsia"/>
                <w:kern w:val="0"/>
                <w:sz w:val="20"/>
                <w:szCs w:val="20"/>
              </w:rPr>
              <w:t>相似定律及比转数、比例律、叶轮切削定律</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2.6</w:t>
            </w:r>
            <w:r>
              <w:rPr>
                <w:rFonts w:ascii="Times New Roman" w:hAnsi="Times New Roman" w:hint="eastAsia"/>
                <w:kern w:val="0"/>
                <w:sz w:val="20"/>
                <w:szCs w:val="20"/>
              </w:rPr>
              <w:t>离心泵并联及串联运行工况</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2.7</w:t>
            </w:r>
            <w:r>
              <w:rPr>
                <w:rFonts w:ascii="Times New Roman" w:hAnsi="Times New Roman" w:hint="eastAsia"/>
                <w:kern w:val="0"/>
                <w:sz w:val="20"/>
                <w:szCs w:val="20"/>
              </w:rPr>
              <w:t>离心泵吸水性能</w:t>
            </w:r>
          </w:p>
          <w:p w:rsidR="00E07285" w:rsidRDefault="00E07285" w:rsidP="00E07285">
            <w:pPr>
              <w:jc w:val="left"/>
              <w:rPr>
                <w:rFonts w:ascii="Times New Roman" w:hAnsi="Times New Roman"/>
                <w:kern w:val="0"/>
                <w:sz w:val="20"/>
                <w:szCs w:val="20"/>
              </w:rPr>
            </w:pPr>
          </w:p>
        </w:tc>
        <w:tc>
          <w:tcPr>
            <w:tcW w:w="3368"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掌握水泵定义，分类及离心泵工作原理，熟悉离心泵基本构造。</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掌握离心泵基本方程及推导。</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掌握离心泵特性曲线的应用方法。</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掌握离心泵工况点的意义及应用技术，理解相似定律及比转速的意义，掌握比例律、切削叶轮技术应用及相应情况下工况分析。</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掌握离心泵并联及串联工况的图解和数解分析方法，了解复杂工况的模拟及工况分析。</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hint="eastAsia"/>
                <w:kern w:val="0"/>
                <w:sz w:val="20"/>
                <w:szCs w:val="20"/>
              </w:rPr>
              <w:t>理解允许吸上真空高度和气蚀余量概念，能进行离心泵安装高度计算。</w:t>
            </w:r>
          </w:p>
        </w:tc>
      </w:tr>
      <w:tr w:rsidR="00E07285" w:rsidTr="00E07285">
        <w:trPr>
          <w:trHeight w:val="519"/>
        </w:trPr>
        <w:tc>
          <w:tcPr>
            <w:tcW w:w="640"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3</w:t>
            </w:r>
          </w:p>
        </w:tc>
        <w:tc>
          <w:tcPr>
            <w:tcW w:w="1084"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第三章</w:t>
            </w: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其他泵与风机</w:t>
            </w:r>
          </w:p>
        </w:tc>
        <w:tc>
          <w:tcPr>
            <w:tcW w:w="1056"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4</w:t>
            </w:r>
          </w:p>
        </w:tc>
        <w:tc>
          <w:tcPr>
            <w:tcW w:w="2896"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3.1</w:t>
            </w:r>
            <w:r>
              <w:rPr>
                <w:rFonts w:ascii="Times New Roman" w:hAnsi="Times New Roman" w:hint="eastAsia"/>
                <w:kern w:val="0"/>
                <w:sz w:val="20"/>
                <w:szCs w:val="20"/>
              </w:rPr>
              <w:t>射流泵</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3.2</w:t>
            </w:r>
            <w:r>
              <w:rPr>
                <w:rFonts w:ascii="Times New Roman" w:hAnsi="Times New Roman" w:hint="eastAsia"/>
                <w:kern w:val="0"/>
                <w:sz w:val="20"/>
                <w:szCs w:val="20"/>
              </w:rPr>
              <w:t>气升泵</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3.3</w:t>
            </w:r>
            <w:r>
              <w:rPr>
                <w:rFonts w:ascii="Times New Roman" w:hAnsi="Times New Roman" w:hint="eastAsia"/>
                <w:kern w:val="0"/>
                <w:sz w:val="20"/>
                <w:szCs w:val="20"/>
              </w:rPr>
              <w:t>其他泵与风机</w:t>
            </w:r>
          </w:p>
        </w:tc>
        <w:tc>
          <w:tcPr>
            <w:tcW w:w="3368"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掌握射流泵工作原理的基本构造及性能参数。</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掌握气升泵工作原理和基本构。</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了解其他泵与风机。</w:t>
            </w:r>
          </w:p>
        </w:tc>
      </w:tr>
      <w:tr w:rsidR="00E07285" w:rsidTr="00E07285">
        <w:trPr>
          <w:trHeight w:val="555"/>
        </w:trPr>
        <w:tc>
          <w:tcPr>
            <w:tcW w:w="640"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4</w:t>
            </w:r>
          </w:p>
        </w:tc>
        <w:tc>
          <w:tcPr>
            <w:tcW w:w="1084"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第四章</w:t>
            </w: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给水泵站</w:t>
            </w:r>
          </w:p>
        </w:tc>
        <w:tc>
          <w:tcPr>
            <w:tcW w:w="1056"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4</w:t>
            </w:r>
          </w:p>
        </w:tc>
        <w:tc>
          <w:tcPr>
            <w:tcW w:w="2896"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4.1</w:t>
            </w:r>
            <w:r>
              <w:rPr>
                <w:rFonts w:ascii="Times New Roman" w:hAnsi="Times New Roman" w:hint="eastAsia"/>
                <w:kern w:val="0"/>
                <w:sz w:val="20"/>
                <w:szCs w:val="20"/>
              </w:rPr>
              <w:t>泵站分类、选泵及节能</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4.2</w:t>
            </w:r>
            <w:r>
              <w:rPr>
                <w:rFonts w:ascii="Times New Roman" w:hAnsi="Times New Roman" w:hint="eastAsia"/>
                <w:kern w:val="0"/>
                <w:sz w:val="20"/>
                <w:szCs w:val="20"/>
              </w:rPr>
              <w:t>水泵机组和基础，吸、压水管路</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4.3</w:t>
            </w:r>
            <w:r>
              <w:rPr>
                <w:rFonts w:ascii="Times New Roman" w:hAnsi="Times New Roman" w:hint="eastAsia"/>
                <w:kern w:val="0"/>
                <w:sz w:val="20"/>
                <w:szCs w:val="20"/>
              </w:rPr>
              <w:t>泵站水锤及防护</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4.4</w:t>
            </w:r>
            <w:r>
              <w:rPr>
                <w:rFonts w:ascii="Times New Roman" w:hAnsi="Times New Roman" w:hint="eastAsia"/>
                <w:kern w:val="0"/>
                <w:sz w:val="20"/>
                <w:szCs w:val="20"/>
              </w:rPr>
              <w:t>给水泵站土建、工艺设计</w:t>
            </w:r>
          </w:p>
          <w:p w:rsidR="00E07285" w:rsidRDefault="00E07285" w:rsidP="00E07285">
            <w:pPr>
              <w:jc w:val="left"/>
              <w:rPr>
                <w:rFonts w:ascii="Times New Roman" w:hAnsi="Times New Roman"/>
                <w:kern w:val="0"/>
                <w:sz w:val="20"/>
                <w:szCs w:val="20"/>
              </w:rPr>
            </w:pPr>
          </w:p>
        </w:tc>
        <w:tc>
          <w:tcPr>
            <w:tcW w:w="3368"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掌握水泵选型技术及节能技术。</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掌握水泵机组及吸压水管路设计及布置要求。</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掌握泵站水锤产生的原理</w:t>
            </w:r>
            <w:r>
              <w:rPr>
                <w:rFonts w:ascii="Times New Roman" w:hAnsi="Times New Roman" w:hint="eastAsia"/>
                <w:kern w:val="0"/>
                <w:sz w:val="20"/>
                <w:szCs w:val="20"/>
              </w:rPr>
              <w:t>,</w:t>
            </w:r>
            <w:r>
              <w:rPr>
                <w:rFonts w:ascii="Times New Roman" w:hAnsi="Times New Roman" w:hint="eastAsia"/>
                <w:kern w:val="0"/>
                <w:sz w:val="20"/>
                <w:szCs w:val="20"/>
              </w:rPr>
              <w:t>理解模拟停泵水锤的边界条件</w:t>
            </w:r>
            <w:r>
              <w:rPr>
                <w:rFonts w:ascii="Times New Roman" w:hAnsi="Times New Roman" w:hint="eastAsia"/>
                <w:kern w:val="0"/>
                <w:sz w:val="20"/>
                <w:szCs w:val="20"/>
              </w:rPr>
              <w:t>,</w:t>
            </w:r>
            <w:r>
              <w:rPr>
                <w:rFonts w:ascii="Times New Roman" w:hAnsi="Times New Roman" w:hint="eastAsia"/>
                <w:kern w:val="0"/>
                <w:sz w:val="20"/>
                <w:szCs w:val="20"/>
              </w:rPr>
              <w:t>能够对停泵水锤模拟结果进行分析</w:t>
            </w:r>
            <w:r>
              <w:rPr>
                <w:rFonts w:ascii="Times New Roman" w:hAnsi="Times New Roman" w:hint="eastAsia"/>
                <w:kern w:val="0"/>
                <w:sz w:val="20"/>
                <w:szCs w:val="20"/>
              </w:rPr>
              <w:t>,</w:t>
            </w:r>
            <w:r>
              <w:rPr>
                <w:rFonts w:ascii="Times New Roman" w:hAnsi="Times New Roman" w:hint="eastAsia"/>
                <w:kern w:val="0"/>
                <w:sz w:val="20"/>
                <w:szCs w:val="20"/>
              </w:rPr>
              <w:t>提出防护方法措施。</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掌握泵站土建要求，水泵站工艺设计的基本步骤。</w:t>
            </w:r>
          </w:p>
        </w:tc>
      </w:tr>
      <w:tr w:rsidR="00E07285" w:rsidTr="00E07285">
        <w:trPr>
          <w:trHeight w:val="548"/>
        </w:trPr>
        <w:tc>
          <w:tcPr>
            <w:tcW w:w="640"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5</w:t>
            </w:r>
          </w:p>
        </w:tc>
        <w:tc>
          <w:tcPr>
            <w:tcW w:w="1084"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第五章</w:t>
            </w: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排水泵站</w:t>
            </w:r>
          </w:p>
        </w:tc>
        <w:tc>
          <w:tcPr>
            <w:tcW w:w="1056"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2</w:t>
            </w:r>
          </w:p>
        </w:tc>
        <w:tc>
          <w:tcPr>
            <w:tcW w:w="2896"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5.1</w:t>
            </w:r>
            <w:r>
              <w:rPr>
                <w:rFonts w:ascii="Times New Roman" w:hAnsi="Times New Roman" w:hint="eastAsia"/>
                <w:kern w:val="0"/>
                <w:sz w:val="20"/>
                <w:szCs w:val="20"/>
              </w:rPr>
              <w:t>污水泵站</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5.2</w:t>
            </w:r>
            <w:r>
              <w:rPr>
                <w:rFonts w:ascii="Times New Roman" w:hAnsi="Times New Roman" w:hint="eastAsia"/>
                <w:kern w:val="0"/>
                <w:sz w:val="20"/>
                <w:szCs w:val="20"/>
              </w:rPr>
              <w:t>雨水、合流、螺旋泵站</w:t>
            </w:r>
          </w:p>
        </w:tc>
        <w:tc>
          <w:tcPr>
            <w:tcW w:w="3368" w:type="dxa"/>
            <w:vAlign w:val="center"/>
          </w:tcPr>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掌握污水泵站的特征、分类、基本流程和设计方法。</w:t>
            </w:r>
          </w:p>
          <w:p w:rsidR="00E07285" w:rsidRDefault="00E07285" w:rsidP="00E07285">
            <w:pPr>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掌握雨水、合流几螺旋泵站的特征、分类和设计方法。</w:t>
            </w:r>
          </w:p>
        </w:tc>
      </w:tr>
    </w:tbl>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E07285" w:rsidRDefault="00E07285" w:rsidP="00E07285">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lastRenderedPageBreak/>
        <w:t>1. 课程考核</w:t>
      </w:r>
    </w:p>
    <w:p w:rsidR="00E07285" w:rsidRDefault="00E07285" w:rsidP="00E07285">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采用平时成绩+期末考试方式确定总评成绩</w:t>
      </w:r>
    </w:p>
    <w:p w:rsidR="00E07285" w:rsidRDefault="00E07285"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E07285" w:rsidRDefault="00E07285" w:rsidP="00E07285">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成绩评定方式为百分制，平时成绩考核包括作业、讨论、出勤等内容，期末考试采用闭卷方式；非混动教学时平时成绩占20%</w:t>
      </w:r>
      <w:r>
        <w:rPr>
          <w:rFonts w:ascii="Times New Roman" w:hAnsi="Times New Roman"/>
          <w:sz w:val="28"/>
          <w:szCs w:val="28"/>
        </w:rPr>
        <w:t>~</w:t>
      </w:r>
      <w:r>
        <w:rPr>
          <w:rFonts w:ascii="仿宋_GB2312" w:hAnsi="仿宋_GB2312" w:cs="仿宋_GB2312" w:hint="eastAsia"/>
          <w:sz w:val="28"/>
          <w:szCs w:val="28"/>
        </w:rPr>
        <w:t>30%，采用混动教学时，，期末考试成绩占60%，平时成绩占40%（其中讨论和出勤占20%，线上成绩占20%）。</w:t>
      </w:r>
    </w:p>
    <w:p w:rsidR="00E07285" w:rsidRDefault="00E07285" w:rsidP="00E07285">
      <w:pPr>
        <w:spacing w:line="360" w:lineRule="auto"/>
        <w:ind w:firstLineChars="203" w:firstLine="568"/>
        <w:rPr>
          <w:rFonts w:ascii="仿宋_GB2312" w:hAnsi="仿宋_GB2312" w:cs="仿宋_GB2312"/>
          <w:sz w:val="28"/>
          <w:szCs w:val="28"/>
        </w:rPr>
      </w:pPr>
      <w:r>
        <w:rPr>
          <w:rFonts w:ascii="仿宋_GB2312" w:hAnsi="仿宋_GB2312" w:cs="仿宋_GB2312"/>
          <w:sz w:val="28"/>
          <w:szCs w:val="28"/>
        </w:rPr>
        <w:t>课程总成绩=期末成绩（80</w:t>
      </w:r>
      <w:r>
        <w:rPr>
          <w:rFonts w:ascii="Times New Roman" w:hAnsi="Times New Roman"/>
          <w:sz w:val="28"/>
          <w:szCs w:val="28"/>
        </w:rPr>
        <w:t>~</w:t>
      </w:r>
      <w:r>
        <w:rPr>
          <w:rFonts w:ascii="仿宋_GB2312" w:hAnsi="仿宋_GB2312" w:cs="仿宋_GB2312"/>
          <w:sz w:val="28"/>
          <w:szCs w:val="28"/>
        </w:rPr>
        <w:t>60）%+平时成绩（20</w:t>
      </w:r>
      <w:r>
        <w:rPr>
          <w:rFonts w:ascii="Times New Roman" w:hAnsi="Times New Roman"/>
          <w:sz w:val="28"/>
          <w:szCs w:val="28"/>
        </w:rPr>
        <w:t>~</w:t>
      </w:r>
      <w:r>
        <w:rPr>
          <w:rFonts w:ascii="仿宋_GB2312" w:hAnsi="仿宋_GB2312" w:cs="仿宋_GB2312"/>
          <w:sz w:val="28"/>
          <w:szCs w:val="28"/>
        </w:rPr>
        <w:t>40）</w:t>
      </w:r>
      <w:r>
        <w:rPr>
          <w:rFonts w:ascii="仿宋_GB2312" w:hAnsi="仿宋_GB2312" w:cs="仿宋_GB2312" w:hint="eastAsia"/>
          <w:sz w:val="28"/>
          <w:szCs w:val="28"/>
        </w:rPr>
        <w:t xml:space="preserve">%  </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E07285" w:rsidRDefault="00E07285" w:rsidP="00E07285">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E07285" w:rsidRDefault="00E07285" w:rsidP="00E07285">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泵与泵站，张朝升等主编，中国建筑工业出版社，2016年9月出版。</w:t>
      </w:r>
    </w:p>
    <w:p w:rsidR="00E07285" w:rsidRDefault="00E07285" w:rsidP="00E07285">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E07285" w:rsidRDefault="00E07285" w:rsidP="00E07285">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主要参考书：</w:t>
      </w:r>
    </w:p>
    <w:p w:rsidR="00E07285" w:rsidRDefault="00E07285" w:rsidP="00E07285">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水泵与水泵站 张伟等北京大学出版社，2014.1.</w:t>
      </w:r>
    </w:p>
    <w:p w:rsidR="00E07285" w:rsidRDefault="00E07285" w:rsidP="00E07285">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水泵及水泵站，李亚峰等主编，机械工业出版社，2009年7月出版；</w:t>
      </w:r>
    </w:p>
    <w:p w:rsidR="00E07285" w:rsidRDefault="00E07285" w:rsidP="00E07285">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水泵及水泵站，把多铎等主编，中国水利水电出版社，2004年2月出版。</w:t>
      </w:r>
    </w:p>
    <w:p w:rsidR="00E07285" w:rsidRDefault="00E07285" w:rsidP="00E07285">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慕课资源：</w:t>
      </w:r>
    </w:p>
    <w:p w:rsidR="00E07285" w:rsidRDefault="00E07285" w:rsidP="00E07285">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 xml:space="preserve"> 中国大学MOOC网，《泵与泵站》，北京建筑大学，冯翠敏等</w:t>
      </w:r>
    </w:p>
    <w:p w:rsidR="00E07285" w:rsidRDefault="00E07285" w:rsidP="00E07285">
      <w:pPr>
        <w:spacing w:beforeLines="50" w:before="156" w:afterLines="50" w:after="156" w:line="460" w:lineRule="exact"/>
        <w:ind w:firstLineChars="200" w:firstLine="560"/>
        <w:rPr>
          <w:rFonts w:ascii="仿宋_GB2312" w:hAnsi="仿宋_GB2312" w:cs="仿宋_GB2312"/>
          <w:sz w:val="28"/>
          <w:szCs w:val="28"/>
        </w:rPr>
      </w:pPr>
      <w:r>
        <w:rPr>
          <w:rFonts w:ascii="仿宋_GB2312" w:hAnsi="仿宋_GB2312" w:cs="仿宋_GB2312" w:hint="eastAsia"/>
          <w:sz w:val="28"/>
          <w:szCs w:val="28"/>
        </w:rPr>
        <w:t>中国大学MOOC网，《泵与泵站》，戴红玲等</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七、其他</w:t>
      </w:r>
    </w:p>
    <w:p w:rsidR="00E07285" w:rsidRDefault="00E07285" w:rsidP="00E07285">
      <w:pPr>
        <w:spacing w:beforeLines="50" w:before="156" w:afterLines="50" w:after="156" w:line="460" w:lineRule="exact"/>
        <w:ind w:firstLineChars="200" w:firstLine="560"/>
        <w:rPr>
          <w:rFonts w:ascii="仿宋_GB2312" w:hAnsi="仿宋_GB2312" w:cs="仿宋_GB2312"/>
          <w:sz w:val="28"/>
          <w:szCs w:val="28"/>
        </w:rPr>
      </w:pPr>
      <w:r>
        <w:rPr>
          <w:rFonts w:ascii="仿宋_GB2312" w:hAnsi="仿宋_GB2312" w:cs="仿宋_GB2312" w:hint="eastAsia"/>
          <w:sz w:val="28"/>
          <w:szCs w:val="28"/>
        </w:rPr>
        <w:t>课内实验（上机）名称及基本要求</w:t>
      </w:r>
    </w:p>
    <w:tbl>
      <w:tblPr>
        <w:tblW w:w="9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1207"/>
        <w:gridCol w:w="3019"/>
        <w:gridCol w:w="4027"/>
      </w:tblGrid>
      <w:tr w:rsidR="00E07285" w:rsidTr="00E07285">
        <w:trPr>
          <w:cantSplit/>
          <w:trHeight w:val="680"/>
          <w:jc w:val="center"/>
        </w:trPr>
        <w:tc>
          <w:tcPr>
            <w:tcW w:w="793"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序号</w:t>
            </w:r>
          </w:p>
        </w:tc>
        <w:tc>
          <w:tcPr>
            <w:tcW w:w="1207" w:type="dxa"/>
            <w:vAlign w:val="center"/>
          </w:tcPr>
          <w:p w:rsidR="00E07285" w:rsidRDefault="00E07285" w:rsidP="00E07285">
            <w:pPr>
              <w:jc w:val="center"/>
              <w:rPr>
                <w:rFonts w:ascii="Times New Roman" w:hAnsi="Times New Roman"/>
                <w:kern w:val="0"/>
                <w:sz w:val="20"/>
                <w:szCs w:val="20"/>
              </w:rPr>
            </w:pPr>
          </w:p>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参考学时</w:t>
            </w:r>
          </w:p>
          <w:p w:rsidR="00E07285" w:rsidRDefault="00E07285" w:rsidP="00E07285">
            <w:pPr>
              <w:jc w:val="center"/>
              <w:rPr>
                <w:rFonts w:ascii="Times New Roman" w:hAnsi="Times New Roman"/>
                <w:kern w:val="0"/>
                <w:sz w:val="20"/>
                <w:szCs w:val="20"/>
              </w:rPr>
            </w:pPr>
          </w:p>
        </w:tc>
        <w:tc>
          <w:tcPr>
            <w:tcW w:w="3019"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实验（上机）名称</w:t>
            </w:r>
          </w:p>
        </w:tc>
        <w:tc>
          <w:tcPr>
            <w:tcW w:w="4027"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E07285" w:rsidTr="00E07285">
        <w:trPr>
          <w:trHeight w:val="567"/>
          <w:jc w:val="center"/>
        </w:trPr>
        <w:tc>
          <w:tcPr>
            <w:tcW w:w="793"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1</w:t>
            </w:r>
          </w:p>
        </w:tc>
        <w:tc>
          <w:tcPr>
            <w:tcW w:w="1207"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2</w:t>
            </w:r>
          </w:p>
        </w:tc>
        <w:tc>
          <w:tcPr>
            <w:tcW w:w="3019"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泵与泵站实验</w:t>
            </w:r>
          </w:p>
        </w:tc>
        <w:tc>
          <w:tcPr>
            <w:tcW w:w="4027" w:type="dxa"/>
            <w:vAlign w:val="center"/>
          </w:tcPr>
          <w:p w:rsidR="00E07285" w:rsidRDefault="00E07285" w:rsidP="00E07285">
            <w:pPr>
              <w:jc w:val="center"/>
              <w:rPr>
                <w:rFonts w:ascii="Times New Roman" w:hAnsi="Times New Roman"/>
                <w:kern w:val="0"/>
                <w:sz w:val="20"/>
                <w:szCs w:val="20"/>
              </w:rPr>
            </w:pPr>
            <w:r>
              <w:rPr>
                <w:rFonts w:ascii="Times New Roman" w:hAnsi="Times New Roman" w:hint="eastAsia"/>
                <w:kern w:val="0"/>
                <w:sz w:val="20"/>
                <w:szCs w:val="20"/>
              </w:rPr>
              <w:t>离心泵流量、扬程、轴功率、转速的测定；离心泵操作方法。</w:t>
            </w:r>
          </w:p>
        </w:tc>
      </w:tr>
      <w:tr w:rsidR="00E07285" w:rsidTr="00E07285">
        <w:trPr>
          <w:trHeight w:val="567"/>
          <w:jc w:val="center"/>
        </w:trPr>
        <w:tc>
          <w:tcPr>
            <w:tcW w:w="793" w:type="dxa"/>
            <w:vAlign w:val="center"/>
          </w:tcPr>
          <w:p w:rsidR="00E07285" w:rsidRDefault="00E07285" w:rsidP="00E07285">
            <w:pPr>
              <w:jc w:val="center"/>
              <w:rPr>
                <w:rFonts w:ascii="Times New Roman" w:hAnsi="Times New Roman"/>
                <w:kern w:val="0"/>
                <w:sz w:val="20"/>
                <w:szCs w:val="20"/>
              </w:rPr>
            </w:pPr>
          </w:p>
        </w:tc>
        <w:tc>
          <w:tcPr>
            <w:tcW w:w="1207" w:type="dxa"/>
            <w:vAlign w:val="center"/>
          </w:tcPr>
          <w:p w:rsidR="00E07285" w:rsidRDefault="00E07285" w:rsidP="00E07285">
            <w:pPr>
              <w:jc w:val="center"/>
              <w:rPr>
                <w:rFonts w:ascii="Times New Roman" w:hAnsi="Times New Roman"/>
                <w:kern w:val="0"/>
                <w:sz w:val="20"/>
                <w:szCs w:val="20"/>
              </w:rPr>
            </w:pPr>
          </w:p>
        </w:tc>
        <w:tc>
          <w:tcPr>
            <w:tcW w:w="3019" w:type="dxa"/>
            <w:vAlign w:val="center"/>
          </w:tcPr>
          <w:p w:rsidR="00E07285" w:rsidRDefault="00E07285" w:rsidP="00E07285">
            <w:pPr>
              <w:jc w:val="center"/>
              <w:rPr>
                <w:rFonts w:ascii="Times New Roman" w:hAnsi="Times New Roman"/>
                <w:kern w:val="0"/>
                <w:sz w:val="20"/>
                <w:szCs w:val="20"/>
              </w:rPr>
            </w:pPr>
          </w:p>
        </w:tc>
        <w:tc>
          <w:tcPr>
            <w:tcW w:w="4027" w:type="dxa"/>
            <w:vAlign w:val="center"/>
          </w:tcPr>
          <w:p w:rsidR="00E07285" w:rsidRDefault="00E07285" w:rsidP="00E07285">
            <w:pPr>
              <w:jc w:val="center"/>
              <w:rPr>
                <w:rFonts w:ascii="Times New Roman" w:hAnsi="Times New Roman"/>
                <w:kern w:val="0"/>
                <w:sz w:val="20"/>
                <w:szCs w:val="20"/>
              </w:rPr>
            </w:pPr>
          </w:p>
        </w:tc>
      </w:tr>
    </w:tbl>
    <w:p w:rsidR="00E07285" w:rsidRDefault="00E07285" w:rsidP="00E07285">
      <w:pPr>
        <w:spacing w:beforeLines="50" w:before="156" w:afterLines="50" w:after="156" w:line="460" w:lineRule="exact"/>
        <w:rPr>
          <w:rFonts w:ascii="黑体" w:eastAsia="黑体" w:hAnsi="黑体"/>
          <w:b/>
          <w:sz w:val="28"/>
          <w:szCs w:val="28"/>
        </w:rPr>
      </w:pPr>
    </w:p>
    <w:p w:rsidR="00E07285" w:rsidRDefault="00E07285" w:rsidP="00E07285">
      <w:pPr>
        <w:spacing w:beforeLines="50" w:before="156" w:afterLines="50" w:after="156" w:line="460" w:lineRule="exact"/>
        <w:rPr>
          <w:rFonts w:ascii="黑体" w:eastAsia="黑体" w:hAnsi="黑体"/>
          <w:b/>
          <w:sz w:val="28"/>
          <w:szCs w:val="28"/>
        </w:rPr>
      </w:pPr>
    </w:p>
    <w:p w:rsidR="00E07285" w:rsidRDefault="00E07285" w:rsidP="00E07285">
      <w:pPr>
        <w:spacing w:beforeLines="50" w:before="156" w:afterLines="50" w:after="156" w:line="460" w:lineRule="exact"/>
        <w:rPr>
          <w:rFonts w:ascii="黑体" w:eastAsia="黑体" w:hAnsi="黑体"/>
          <w:b/>
          <w:sz w:val="28"/>
          <w:szCs w:val="28"/>
        </w:rPr>
      </w:pPr>
    </w:p>
    <w:p w:rsidR="00E07285" w:rsidRDefault="00E07285" w:rsidP="00E07285">
      <w:pPr>
        <w:spacing w:beforeLines="50" w:before="156" w:afterLines="50" w:after="156" w:line="460" w:lineRule="exact"/>
        <w:rPr>
          <w:rFonts w:ascii="黑体" w:eastAsia="黑体" w:hAnsi="黑体"/>
          <w:b/>
          <w:sz w:val="28"/>
          <w:szCs w:val="28"/>
        </w:rPr>
      </w:pP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 xml:space="preserve">大纲撰写人：王  彤 韩大鹏 赵红梅 </w:t>
      </w: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课程负责人：王彤 赵红梅</w:t>
      </w: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w:t>
      </w:r>
    </w:p>
    <w:p w:rsidR="00E07285" w:rsidRDefault="00E07285" w:rsidP="00E07285">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E07285" w:rsidRDefault="00E07285" w:rsidP="00E07285">
      <w:pPr>
        <w:ind w:firstLineChars="2000" w:firstLine="5600"/>
        <w:jc w:val="left"/>
        <w:rPr>
          <w:rFonts w:ascii="仿宋" w:hAnsi="仿宋"/>
          <w:sz w:val="28"/>
          <w:szCs w:val="28"/>
        </w:rPr>
      </w:pPr>
      <w:r>
        <w:rPr>
          <w:rFonts w:ascii="仿宋_GB2312" w:hAnsi="微软雅黑" w:hint="eastAsia"/>
          <w:sz w:val="28"/>
          <w:szCs w:val="28"/>
        </w:rPr>
        <w:t xml:space="preserve">    </w:t>
      </w:r>
    </w:p>
    <w:p w:rsidR="00E07285" w:rsidRDefault="00E07285" w:rsidP="00E07285">
      <w:pPr>
        <w:jc w:val="left"/>
        <w:rPr>
          <w:rFonts w:ascii="仿宋_GB2312" w:hAnsi="黑体"/>
          <w:sz w:val="28"/>
          <w:szCs w:val="28"/>
        </w:rPr>
      </w:pPr>
      <w:r>
        <w:rPr>
          <w:rFonts w:ascii="仿宋" w:eastAsia="仿宋" w:hAnsi="仿宋" w:hint="eastAsia"/>
          <w:sz w:val="28"/>
          <w:szCs w:val="28"/>
        </w:rPr>
        <w:t xml:space="preserve">                                         年    月</w:t>
      </w:r>
    </w:p>
    <w:p w:rsidR="00E07285" w:rsidRDefault="00E07285" w:rsidP="00E07285">
      <w:pPr>
        <w:widowControl/>
        <w:spacing w:line="400" w:lineRule="exact"/>
        <w:rPr>
          <w:rFonts w:ascii="黑体" w:eastAsia="黑体" w:hAnsi="黑体" w:cs="宋体"/>
          <w:bCs/>
          <w:color w:val="000000"/>
          <w:kern w:val="0"/>
          <w:szCs w:val="32"/>
        </w:rPr>
      </w:pPr>
    </w:p>
    <w:p w:rsidR="00E07285" w:rsidRDefault="00E07285" w:rsidP="00E07285"/>
    <w:p w:rsidR="00E07285" w:rsidRDefault="00E07285" w:rsidP="00E07285"/>
    <w:p w:rsidR="00E07285" w:rsidRDefault="00E07285" w:rsidP="00E07285"/>
    <w:p w:rsidR="002A3242" w:rsidRDefault="002A3242" w:rsidP="00E07285"/>
    <w:p w:rsidR="002A3242" w:rsidRDefault="002A3242" w:rsidP="00E07285">
      <w:pPr>
        <w:rPr>
          <w:rFonts w:hint="eastAsia"/>
        </w:rPr>
      </w:pPr>
    </w:p>
    <w:p w:rsidR="00E07285" w:rsidRDefault="00E07285" w:rsidP="00E07285"/>
    <w:p w:rsidR="00E07285" w:rsidRDefault="00E07285" w:rsidP="00E07285">
      <w:pPr>
        <w:widowControl/>
        <w:spacing w:line="560" w:lineRule="exact"/>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《给水管网》课程教学大纲</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E07285" w:rsidRDefault="00E07285" w:rsidP="00E07285">
      <w:pPr>
        <w:spacing w:line="560" w:lineRule="exact"/>
        <w:ind w:firstLine="331"/>
        <w:rPr>
          <w:rFonts w:ascii="Times New Roman" w:hAnsi="Times New Roman"/>
          <w:bCs/>
          <w:sz w:val="28"/>
          <w:szCs w:val="28"/>
        </w:rPr>
      </w:pPr>
      <w:r>
        <w:rPr>
          <w:rFonts w:ascii="仿宋_GB2312" w:hAnsi="仿宋_GB2312" w:cs="仿宋_GB2312" w:hint="eastAsia"/>
          <w:bCs/>
          <w:sz w:val="28"/>
          <w:szCs w:val="28"/>
        </w:rPr>
        <w:t>英文名称：</w:t>
      </w:r>
      <w:r>
        <w:rPr>
          <w:rFonts w:ascii="Times New Roman" w:hAnsi="Times New Roman" w:hint="eastAsia"/>
          <w:bCs/>
          <w:sz w:val="28"/>
          <w:szCs w:val="28"/>
        </w:rPr>
        <w:t>W</w:t>
      </w:r>
      <w:r>
        <w:rPr>
          <w:rFonts w:ascii="Times New Roman" w:hAnsi="Times New Roman"/>
          <w:bCs/>
          <w:sz w:val="28"/>
          <w:szCs w:val="28"/>
        </w:rPr>
        <w:t xml:space="preserve">ater </w:t>
      </w:r>
      <w:r>
        <w:rPr>
          <w:rFonts w:ascii="Times New Roman" w:hAnsi="Times New Roman" w:hint="eastAsia"/>
          <w:bCs/>
          <w:sz w:val="28"/>
          <w:szCs w:val="28"/>
        </w:rPr>
        <w:t>S</w:t>
      </w:r>
      <w:r>
        <w:rPr>
          <w:rFonts w:ascii="Times New Roman" w:hAnsi="Times New Roman"/>
          <w:bCs/>
          <w:sz w:val="28"/>
          <w:szCs w:val="28"/>
        </w:rPr>
        <w:t xml:space="preserve">upply </w:t>
      </w:r>
      <w:r>
        <w:rPr>
          <w:rFonts w:ascii="Times New Roman" w:hAnsi="Times New Roman" w:hint="eastAsia"/>
          <w:bCs/>
          <w:sz w:val="28"/>
          <w:szCs w:val="28"/>
        </w:rPr>
        <w:t>Pipe</w:t>
      </w:r>
      <w:r>
        <w:rPr>
          <w:rFonts w:ascii="Times New Roman" w:hAnsi="Times New Roman"/>
          <w:bCs/>
          <w:sz w:val="28"/>
          <w:szCs w:val="28"/>
        </w:rPr>
        <w:t xml:space="preserve"> </w:t>
      </w:r>
      <w:r>
        <w:rPr>
          <w:rFonts w:ascii="Times New Roman" w:hAnsi="Times New Roman" w:hint="eastAsia"/>
          <w:bCs/>
          <w:sz w:val="28"/>
          <w:szCs w:val="28"/>
        </w:rPr>
        <w:t>Netw</w:t>
      </w:r>
      <w:r>
        <w:rPr>
          <w:rFonts w:ascii="Times New Roman" w:hAnsi="Times New Roman"/>
          <w:bCs/>
          <w:sz w:val="28"/>
          <w:szCs w:val="28"/>
        </w:rPr>
        <w:t>ork</w:t>
      </w:r>
    </w:p>
    <w:p w:rsidR="00E07285" w:rsidRDefault="00E07285" w:rsidP="00E07285">
      <w:pPr>
        <w:spacing w:line="560" w:lineRule="exact"/>
        <w:ind w:firstLine="331"/>
        <w:rPr>
          <w:rFonts w:ascii="Times New Roman" w:hAnsi="Times New Roman"/>
          <w:bCs/>
          <w:sz w:val="28"/>
          <w:szCs w:val="28"/>
        </w:rPr>
      </w:pPr>
      <w:r>
        <w:rPr>
          <w:rFonts w:ascii="Times New Roman" w:hAnsi="Times New Roman"/>
          <w:bCs/>
          <w:sz w:val="28"/>
          <w:szCs w:val="28"/>
        </w:rPr>
        <w:t>课程编码：</w:t>
      </w:r>
      <w:r>
        <w:rPr>
          <w:rFonts w:ascii="Times New Roman" w:hAnsi="Times New Roman"/>
          <w:bCs/>
          <w:sz w:val="28"/>
          <w:szCs w:val="28"/>
        </w:rPr>
        <w:t>Z2806080</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课程类别：专业发展课程</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学时（授课24学时，实验</w:t>
      </w:r>
      <w:r>
        <w:rPr>
          <w:rFonts w:ascii="仿宋_GB2312" w:hAnsi="仿宋_GB2312" w:cs="仿宋_GB2312"/>
          <w:bCs/>
          <w:sz w:val="28"/>
          <w:szCs w:val="28"/>
        </w:rPr>
        <w:t>0</w:t>
      </w:r>
      <w:r>
        <w:rPr>
          <w:rFonts w:ascii="仿宋_GB2312" w:hAnsi="仿宋_GB2312" w:cs="仿宋_GB2312" w:hint="eastAsia"/>
          <w:bCs/>
          <w:sz w:val="28"/>
          <w:szCs w:val="28"/>
        </w:rPr>
        <w:t>学时，上机</w:t>
      </w:r>
      <w:r>
        <w:rPr>
          <w:rFonts w:ascii="仿宋_GB2312" w:hAnsi="仿宋_GB2312" w:cs="仿宋_GB2312"/>
          <w:bCs/>
          <w:sz w:val="28"/>
          <w:szCs w:val="28"/>
        </w:rPr>
        <w:t>0</w:t>
      </w:r>
      <w:r>
        <w:rPr>
          <w:rFonts w:ascii="仿宋_GB2312" w:hAnsi="仿宋_GB2312" w:cs="仿宋_GB2312" w:hint="eastAsia"/>
          <w:bCs/>
          <w:sz w:val="28"/>
          <w:szCs w:val="28"/>
        </w:rPr>
        <w:t>学时，课外</w:t>
      </w:r>
      <w:r>
        <w:rPr>
          <w:rFonts w:ascii="仿宋_GB2312" w:hAnsi="仿宋_GB2312" w:cs="仿宋_GB2312"/>
          <w:bCs/>
          <w:sz w:val="28"/>
          <w:szCs w:val="28"/>
        </w:rPr>
        <w:t>0</w:t>
      </w:r>
      <w:r>
        <w:rPr>
          <w:rFonts w:ascii="仿宋_GB2312" w:hAnsi="仿宋_GB2312" w:cs="仿宋_GB2312" w:hint="eastAsia"/>
          <w:bCs/>
          <w:sz w:val="28"/>
          <w:szCs w:val="28"/>
        </w:rPr>
        <w:t>学时）</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w:t>
      </w:r>
      <w:r>
        <w:rPr>
          <w:rFonts w:ascii="仿宋_GB2312" w:hAnsi="仿宋_GB2312" w:cs="仿宋_GB2312"/>
          <w:bCs/>
          <w:sz w:val="28"/>
          <w:szCs w:val="28"/>
        </w:rPr>
        <w:t>与工程</w:t>
      </w:r>
      <w:r>
        <w:rPr>
          <w:rFonts w:ascii="仿宋_GB2312" w:hAnsi="仿宋_GB2312" w:cs="仿宋_GB2312" w:hint="eastAsia"/>
          <w:bCs/>
          <w:sz w:val="28"/>
          <w:szCs w:val="28"/>
        </w:rPr>
        <w:t>专业</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先修课程：水力学、泵与泵站、水资源利用与保护</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w:t>
      </w:r>
      <w:r>
        <w:rPr>
          <w:rFonts w:ascii="仿宋_GB2312" w:hAnsi="仿宋_GB2312" w:cs="仿宋_GB2312"/>
          <w:bCs/>
          <w:sz w:val="28"/>
          <w:szCs w:val="28"/>
        </w:rPr>
        <w:t>工程</w:t>
      </w:r>
      <w:r>
        <w:rPr>
          <w:rFonts w:ascii="仿宋_GB2312" w:hAnsi="仿宋_GB2312" w:cs="仿宋_GB2312" w:hint="eastAsia"/>
          <w:bCs/>
          <w:sz w:val="28"/>
          <w:szCs w:val="28"/>
        </w:rPr>
        <w:t>学院给排水科学</w:t>
      </w:r>
      <w:r>
        <w:rPr>
          <w:rFonts w:ascii="仿宋_GB2312" w:hAnsi="仿宋_GB2312" w:cs="仿宋_GB2312"/>
          <w:bCs/>
          <w:sz w:val="28"/>
          <w:szCs w:val="28"/>
        </w:rPr>
        <w:t>与工程</w:t>
      </w:r>
      <w:r>
        <w:rPr>
          <w:rFonts w:ascii="仿宋_GB2312" w:hAnsi="仿宋_GB2312" w:cs="仿宋_GB2312" w:hint="eastAsia"/>
          <w:bCs/>
          <w:sz w:val="28"/>
          <w:szCs w:val="28"/>
        </w:rPr>
        <w:t>系</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E07285" w:rsidRDefault="00E07285" w:rsidP="00E07285">
      <w:pPr>
        <w:pStyle w:val="a3"/>
        <w:spacing w:line="56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给水管网》是给水排水科学与工程专业的重要主干课程之一，针对给水工程中水的输送、分配管道系统的工程设计及计算理论所需求的内容，系统地论述给水管道系统的功能、布置原理、水量计算、水力计算理论和方法、工程优化设计理论和方法及管道系统的运行管理理论及实践。</w:t>
      </w:r>
    </w:p>
    <w:p w:rsidR="00E07285" w:rsidRDefault="00E07285" w:rsidP="00E07285">
      <w:pPr>
        <w:spacing w:line="560" w:lineRule="exact"/>
        <w:ind w:firstLineChars="200" w:firstLine="560"/>
        <w:jc w:val="left"/>
        <w:rPr>
          <w:rFonts w:ascii="仿宋_GB2312" w:hAnsi="仿宋_GB2312" w:cs="仿宋_GB2312"/>
          <w:bCs/>
          <w:sz w:val="28"/>
          <w:szCs w:val="28"/>
        </w:rPr>
      </w:pPr>
      <w:r>
        <w:rPr>
          <w:rFonts w:ascii="仿宋_GB2312" w:hAnsi="仿宋_GB2312" w:cs="仿宋_GB2312"/>
          <w:bCs/>
          <w:sz w:val="28"/>
          <w:szCs w:val="28"/>
        </w:rPr>
        <w:t>课程主要内容：</w:t>
      </w:r>
      <w:r>
        <w:rPr>
          <w:rFonts w:ascii="仿宋_GB2312" w:hAnsi="仿宋_GB2312" w:cs="仿宋_GB2312" w:hint="eastAsia"/>
          <w:bCs/>
          <w:sz w:val="28"/>
          <w:szCs w:val="28"/>
        </w:rPr>
        <w:t>给水系统，设计用水量，给水系统的工作情况，管网和输水管渠布置，管段流量，管径和水头损失，管网水力计算，管网技术经济计算，分区给水系统，水管、管网附件和附属</w:t>
      </w:r>
      <w:r>
        <w:rPr>
          <w:rFonts w:ascii="仿宋_GB2312" w:hAnsi="仿宋_GB2312" w:cs="仿宋_GB2312" w:hint="eastAsia"/>
          <w:bCs/>
          <w:sz w:val="28"/>
          <w:szCs w:val="28"/>
        </w:rPr>
        <w:lastRenderedPageBreak/>
        <w:t>构筑物，管网的技术管理</w:t>
      </w:r>
    </w:p>
    <w:p w:rsidR="00E07285" w:rsidRDefault="00E07285" w:rsidP="00E07285">
      <w:pPr>
        <w:snapToGri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课程授课</w:t>
      </w:r>
      <w:r>
        <w:rPr>
          <w:rFonts w:ascii="仿宋_GB2312" w:hAnsi="仿宋_GB2312" w:cs="仿宋_GB2312"/>
          <w:bCs/>
          <w:sz w:val="28"/>
          <w:szCs w:val="28"/>
        </w:rPr>
        <w:t>方式</w:t>
      </w:r>
      <w:r>
        <w:rPr>
          <w:rFonts w:ascii="仿宋_GB2312" w:hAnsi="仿宋_GB2312" w:cs="仿宋_GB2312" w:hint="eastAsia"/>
          <w:bCs/>
          <w:sz w:val="28"/>
          <w:szCs w:val="28"/>
        </w:rPr>
        <w:t>采用</w:t>
      </w:r>
      <w:r>
        <w:rPr>
          <w:rFonts w:ascii="仿宋_GB2312" w:hAnsi="仿宋_GB2312" w:cs="仿宋_GB2312"/>
          <w:bCs/>
          <w:sz w:val="28"/>
          <w:szCs w:val="28"/>
        </w:rPr>
        <w:t>PPT</w:t>
      </w:r>
      <w:r>
        <w:rPr>
          <w:rFonts w:ascii="仿宋_GB2312" w:hAnsi="仿宋_GB2312" w:cs="仿宋_GB2312" w:hint="eastAsia"/>
          <w:bCs/>
          <w:sz w:val="28"/>
          <w:szCs w:val="28"/>
        </w:rPr>
        <w:t>、板书、课后思考题和练习题等相结合进行授课，使学生具备给水管网的设计计算</w:t>
      </w:r>
      <w:r>
        <w:rPr>
          <w:rFonts w:ascii="仿宋_GB2312" w:hAnsi="仿宋_GB2312" w:cs="仿宋_GB2312"/>
          <w:bCs/>
          <w:sz w:val="28"/>
          <w:szCs w:val="28"/>
        </w:rPr>
        <w:t>能力</w:t>
      </w:r>
      <w:r>
        <w:rPr>
          <w:rFonts w:ascii="仿宋_GB2312" w:hAnsi="仿宋_GB2312" w:cs="仿宋_GB2312" w:hint="eastAsia"/>
          <w:bCs/>
          <w:sz w:val="28"/>
          <w:szCs w:val="28"/>
        </w:rPr>
        <w:t>。</w:t>
      </w:r>
    </w:p>
    <w:p w:rsidR="00E07285" w:rsidRDefault="00E07285" w:rsidP="00E07285">
      <w:pPr>
        <w:pStyle w:val="a3"/>
        <w:spacing w:line="56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通过</w:t>
      </w:r>
      <w:r>
        <w:rPr>
          <w:rFonts w:ascii="仿宋_GB2312" w:eastAsia="仿宋_GB2312" w:hAnsi="仿宋_GB2312" w:cs="仿宋_GB2312"/>
          <w:bCs/>
          <w:sz w:val="28"/>
          <w:szCs w:val="28"/>
        </w:rPr>
        <w:t>该课程的学习</w:t>
      </w:r>
      <w:r>
        <w:rPr>
          <w:rFonts w:ascii="仿宋_GB2312" w:eastAsia="仿宋_GB2312" w:hAnsi="仿宋_GB2312" w:cs="仿宋_GB2312" w:hint="eastAsia"/>
          <w:bCs/>
          <w:sz w:val="28"/>
          <w:szCs w:val="28"/>
        </w:rPr>
        <w:t>使学生</w:t>
      </w:r>
      <w:r>
        <w:rPr>
          <w:rFonts w:ascii="仿宋_GB2312" w:eastAsia="仿宋_GB2312" w:hAnsi="仿宋_GB2312" w:cs="仿宋_GB2312"/>
          <w:bCs/>
          <w:sz w:val="28"/>
          <w:szCs w:val="28"/>
        </w:rPr>
        <w:t>能够将有关</w:t>
      </w:r>
      <w:r>
        <w:rPr>
          <w:rFonts w:ascii="仿宋_GB2312" w:eastAsia="仿宋_GB2312" w:hAnsi="仿宋_GB2312" w:cs="仿宋_GB2312" w:hint="eastAsia"/>
          <w:bCs/>
          <w:sz w:val="28"/>
          <w:szCs w:val="28"/>
        </w:rPr>
        <w:t>专业</w:t>
      </w:r>
      <w:r>
        <w:rPr>
          <w:rFonts w:ascii="仿宋_GB2312" w:eastAsia="仿宋_GB2312" w:hAnsi="仿宋_GB2312" w:cs="仿宋_GB2312"/>
          <w:bCs/>
          <w:sz w:val="28"/>
          <w:szCs w:val="28"/>
        </w:rPr>
        <w:t>知识应用于</w:t>
      </w:r>
      <w:r>
        <w:rPr>
          <w:rFonts w:ascii="仿宋_GB2312" w:eastAsia="仿宋_GB2312" w:hAnsi="仿宋_GB2312" w:cs="仿宋_GB2312" w:hint="eastAsia"/>
          <w:bCs/>
          <w:sz w:val="28"/>
          <w:szCs w:val="28"/>
        </w:rPr>
        <w:t>给</w:t>
      </w:r>
      <w:r>
        <w:rPr>
          <w:rFonts w:ascii="仿宋_GB2312" w:eastAsia="仿宋_GB2312" w:hAnsi="仿宋_GB2312" w:cs="仿宋_GB2312"/>
          <w:bCs/>
          <w:sz w:val="28"/>
          <w:szCs w:val="28"/>
        </w:rPr>
        <w:t>水</w:t>
      </w:r>
      <w:r>
        <w:rPr>
          <w:rFonts w:ascii="仿宋_GB2312" w:eastAsia="仿宋_GB2312" w:hAnsi="仿宋_GB2312" w:cs="仿宋_GB2312" w:hint="eastAsia"/>
          <w:bCs/>
          <w:sz w:val="28"/>
          <w:szCs w:val="28"/>
        </w:rPr>
        <w:t>管道</w:t>
      </w:r>
      <w:r>
        <w:rPr>
          <w:rFonts w:ascii="仿宋_GB2312" w:eastAsia="仿宋_GB2312" w:hAnsi="仿宋_GB2312" w:cs="仿宋_GB2312"/>
          <w:bCs/>
          <w:sz w:val="28"/>
          <w:szCs w:val="28"/>
        </w:rPr>
        <w:t>系统，</w:t>
      </w:r>
      <w:r>
        <w:rPr>
          <w:rFonts w:ascii="仿宋_GB2312" w:eastAsia="仿宋_GB2312" w:hAnsi="仿宋_GB2312" w:cs="仿宋_GB2312" w:hint="eastAsia"/>
          <w:bCs/>
          <w:sz w:val="28"/>
          <w:szCs w:val="28"/>
        </w:rPr>
        <w:t xml:space="preserve">选择给水管网形式，管道系统优化和工程设计，初步具备分析和解决理论及工程实际问题的能力。 </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E07285" w:rsidRDefault="00E07285" w:rsidP="00E07285">
      <w:pPr>
        <w:snapToGrid w:val="0"/>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基本掌握给水管道系统的功能、系统结构和规划设计原理；掌握给水管道系统的水量计算和管道系统水力计算理论和方法；了解给水管道系统优化设计与计算理论和计算方法； 了解管道系统运行管理方法、现代管理模式和信息化技术，具备解决常见生产实际问题的能力；</w:t>
      </w:r>
      <w:bookmarkStart w:id="37" w:name="_Hlk69940838"/>
      <w:r>
        <w:rPr>
          <w:rFonts w:ascii="仿宋_GB2312" w:hAnsi="仿宋_GB2312" w:cs="仿宋_GB2312" w:hint="eastAsia"/>
          <w:sz w:val="28"/>
          <w:szCs w:val="28"/>
        </w:rPr>
        <w:t xml:space="preserve"> 学会进行管道系统规划和工程设计，编制工程设计文件；了解管道系统科学技术发展过程和方向，初步具备分析和解决理论及工程实际问题的能力。</w:t>
      </w:r>
      <w:bookmarkEnd w:id="37"/>
    </w:p>
    <w:p w:rsidR="00E07285" w:rsidRDefault="00E07285"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E07285" w:rsidRDefault="00E07285" w:rsidP="00E07285">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知识目标：通过学习本门课程，</w:t>
      </w:r>
      <w:r>
        <w:rPr>
          <w:rFonts w:ascii="仿宋_GB2312" w:hAnsi="仿宋_GB2312" w:cs="仿宋_GB2312"/>
          <w:bCs/>
          <w:sz w:val="28"/>
          <w:szCs w:val="28"/>
        </w:rPr>
        <w:t>学生</w:t>
      </w:r>
      <w:r>
        <w:rPr>
          <w:rFonts w:ascii="仿宋_GB2312" w:hAnsi="仿宋_GB2312" w:cs="仿宋_GB2312" w:hint="eastAsia"/>
          <w:bCs/>
          <w:sz w:val="28"/>
          <w:szCs w:val="28"/>
        </w:rPr>
        <w:t>应</w:t>
      </w:r>
      <w:r>
        <w:rPr>
          <w:rFonts w:ascii="仿宋_GB2312" w:hAnsi="仿宋_GB2312" w:cs="仿宋_GB2312"/>
          <w:bCs/>
          <w:sz w:val="28"/>
          <w:szCs w:val="28"/>
        </w:rPr>
        <w:t>掌握</w:t>
      </w:r>
      <w:r>
        <w:rPr>
          <w:rFonts w:ascii="仿宋_GB2312" w:hAnsi="仿宋_GB2312" w:cs="仿宋_GB2312" w:hint="eastAsia"/>
          <w:bCs/>
          <w:sz w:val="28"/>
          <w:szCs w:val="28"/>
        </w:rPr>
        <w:t>给水系统分类组成及布置</w:t>
      </w:r>
      <w:r>
        <w:rPr>
          <w:rFonts w:ascii="仿宋_GB2312" w:hAnsi="仿宋_GB2312" w:cs="仿宋_GB2312"/>
          <w:bCs/>
          <w:sz w:val="28"/>
          <w:szCs w:val="28"/>
        </w:rPr>
        <w:t>；</w:t>
      </w:r>
      <w:r>
        <w:rPr>
          <w:rFonts w:ascii="仿宋_GB2312" w:hAnsi="仿宋_GB2312" w:cs="仿宋_GB2312" w:hint="eastAsia"/>
          <w:sz w:val="28"/>
          <w:szCs w:val="28"/>
        </w:rPr>
        <w:t>设计用水量计算；管网水力计算；管网技术经济计算；分区给水系统能量分析及计算；管网附件及附属构筑物和技术管理</w:t>
      </w:r>
      <w:r>
        <w:rPr>
          <w:rFonts w:ascii="仿宋_GB2312" w:hAnsi="仿宋_GB2312" w:cs="仿宋_GB2312" w:hint="eastAsia"/>
          <w:bCs/>
          <w:sz w:val="28"/>
          <w:szCs w:val="28"/>
        </w:rPr>
        <w:t>。</w:t>
      </w:r>
      <w:r>
        <w:rPr>
          <w:rFonts w:ascii="仿宋_GB2312" w:hAnsi="仿宋_GB2312" w:cs="仿宋_GB2312" w:hint="eastAsia"/>
          <w:sz w:val="28"/>
          <w:szCs w:val="28"/>
        </w:rPr>
        <w:t xml:space="preserve">  </w:t>
      </w:r>
    </w:p>
    <w:p w:rsidR="00E07285" w:rsidRDefault="00E07285" w:rsidP="00E07285">
      <w:pPr>
        <w:spacing w:line="560" w:lineRule="exact"/>
        <w:ind w:firstLineChars="200" w:firstLine="560"/>
        <w:jc w:val="left"/>
        <w:rPr>
          <w:rFonts w:ascii="仿宋_GB2312" w:hAnsi="仿宋_GB2312" w:cs="仿宋_GB2312"/>
          <w:bCs/>
          <w:sz w:val="28"/>
          <w:szCs w:val="28"/>
        </w:rPr>
      </w:pPr>
      <w:r>
        <w:rPr>
          <w:rFonts w:ascii="仿宋_GB2312" w:hAnsi="仿宋_GB2312" w:cs="仿宋_GB2312" w:hint="eastAsia"/>
          <w:sz w:val="28"/>
          <w:szCs w:val="28"/>
        </w:rPr>
        <w:t>能力目标：能进行管道系统规划和工程设计，编制工程设计文件；了解管道系统科学技术发展过程和方向，初步具备分析和解决理论及工程实际问题的能力。</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bCs/>
          <w:sz w:val="28"/>
          <w:szCs w:val="28"/>
        </w:rPr>
        <w:t>情感态度与价值观目标：理解管网设计对提供安全水，保障人们</w:t>
      </w:r>
      <w:r>
        <w:rPr>
          <w:rFonts w:ascii="仿宋_GB2312" w:hAnsi="仿宋_GB2312" w:cs="仿宋_GB2312" w:hint="eastAsia"/>
          <w:bCs/>
          <w:sz w:val="28"/>
          <w:szCs w:val="28"/>
        </w:rPr>
        <w:lastRenderedPageBreak/>
        <w:t>用水需求的重要意义，对</w:t>
      </w:r>
      <w:r>
        <w:rPr>
          <w:rFonts w:ascii="仿宋_GB2312" w:hAnsi="仿宋_GB2312" w:cs="仿宋_GB2312"/>
          <w:bCs/>
          <w:sz w:val="28"/>
          <w:szCs w:val="28"/>
        </w:rPr>
        <w:t>新时代社会主义建设的重要意义，</w:t>
      </w:r>
      <w:r>
        <w:rPr>
          <w:rFonts w:ascii="仿宋_GB2312" w:hAnsi="仿宋_GB2312" w:cs="仿宋_GB2312" w:hint="eastAsia"/>
          <w:bCs/>
          <w:sz w:val="28"/>
          <w:szCs w:val="28"/>
        </w:rPr>
        <w:t>树立专业自信和职业责任感，激发爱国热情，增强“四个自信”。</w:t>
      </w:r>
      <w:r>
        <w:rPr>
          <w:rFonts w:ascii="仿宋_GB2312" w:hAnsi="仿宋_GB2312" w:cs="仿宋_GB2312"/>
          <w:sz w:val="28"/>
          <w:szCs w:val="28"/>
        </w:rPr>
        <w:t xml:space="preserve"> </w:t>
      </w:r>
    </w:p>
    <w:p w:rsidR="00E07285" w:rsidRDefault="00E07285" w:rsidP="00E07285">
      <w:pPr>
        <w:spacing w:line="560" w:lineRule="exact"/>
        <w:ind w:firstLineChars="200" w:firstLine="560"/>
        <w:rPr>
          <w:rFonts w:ascii="仿宋_GB2312" w:hAnsi="仿宋_GB2312" w:cs="仿宋_GB2312"/>
          <w:bCs/>
          <w:sz w:val="28"/>
          <w:szCs w:val="28"/>
        </w:rPr>
      </w:pPr>
    </w:p>
    <w:p w:rsidR="00E07285" w:rsidRDefault="00E07285" w:rsidP="00E07285">
      <w:pPr>
        <w:spacing w:line="560" w:lineRule="exact"/>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494"/>
        <w:gridCol w:w="495"/>
        <w:gridCol w:w="495"/>
        <w:gridCol w:w="488"/>
        <w:gridCol w:w="488"/>
        <w:gridCol w:w="495"/>
        <w:gridCol w:w="499"/>
        <w:gridCol w:w="489"/>
        <w:gridCol w:w="489"/>
        <w:gridCol w:w="512"/>
        <w:gridCol w:w="512"/>
        <w:gridCol w:w="512"/>
      </w:tblGrid>
      <w:tr w:rsidR="00E07285" w:rsidTr="00E07285">
        <w:trPr>
          <w:trHeight w:hRule="exact" w:val="454"/>
          <w:jc w:val="center"/>
        </w:trPr>
        <w:tc>
          <w:tcPr>
            <w:tcW w:w="2743" w:type="dxa"/>
            <w:vMerge w:val="restart"/>
            <w:vAlign w:val="center"/>
          </w:tcPr>
          <w:p w:rsidR="00E07285" w:rsidRDefault="00E07285" w:rsidP="00E07285">
            <w:pPr>
              <w:spacing w:line="360" w:lineRule="auto"/>
              <w:jc w:val="center"/>
              <w:rPr>
                <w:rFonts w:ascii="仿宋_GB2312" w:hAnsi="仿宋_GB2312" w:cs="仿宋_GB2312"/>
                <w:bCs/>
                <w:sz w:val="28"/>
                <w:szCs w:val="28"/>
              </w:rPr>
            </w:pPr>
            <w:r>
              <w:rPr>
                <w:rFonts w:ascii="仿宋_GB2312" w:hAnsi="仿宋_GB2312" w:cs="仿宋_GB2312" w:hint="eastAsia"/>
                <w:bCs/>
                <w:sz w:val="24"/>
                <w:szCs w:val="24"/>
              </w:rPr>
              <w:t>课程目标</w:t>
            </w:r>
          </w:p>
        </w:tc>
        <w:tc>
          <w:tcPr>
            <w:tcW w:w="6233" w:type="dxa"/>
            <w:gridSpan w:val="12"/>
            <w:vAlign w:val="center"/>
          </w:tcPr>
          <w:p w:rsidR="00E07285" w:rsidRDefault="00E07285" w:rsidP="00E07285">
            <w:pPr>
              <w:jc w:val="center"/>
              <w:rPr>
                <w:rFonts w:ascii="仿宋_GB2312" w:hAnsi="仿宋_GB2312" w:cs="仿宋_GB2312"/>
                <w:bCs/>
                <w:sz w:val="28"/>
                <w:szCs w:val="28"/>
              </w:rPr>
            </w:pPr>
            <w:r>
              <w:rPr>
                <w:rFonts w:ascii="仿宋_GB2312" w:hAnsi="仿宋_GB2312" w:cs="仿宋_GB2312" w:hint="eastAsia"/>
                <w:bCs/>
                <w:sz w:val="24"/>
                <w:szCs w:val="24"/>
              </w:rPr>
              <w:t>毕业要求</w:t>
            </w:r>
          </w:p>
        </w:tc>
      </w:tr>
      <w:tr w:rsidR="00E07285" w:rsidTr="00E07285">
        <w:trPr>
          <w:trHeight w:hRule="exact" w:val="454"/>
          <w:jc w:val="center"/>
        </w:trPr>
        <w:tc>
          <w:tcPr>
            <w:tcW w:w="2743" w:type="dxa"/>
            <w:vMerge/>
          </w:tcPr>
          <w:p w:rsidR="00E07285" w:rsidRDefault="00E07285" w:rsidP="00E07285">
            <w:pPr>
              <w:spacing w:line="360" w:lineRule="auto"/>
              <w:rPr>
                <w:rFonts w:ascii="仿宋_GB2312" w:hAnsi="仿宋_GB2312" w:cs="仿宋_GB2312"/>
                <w:bCs/>
                <w:sz w:val="28"/>
                <w:szCs w:val="28"/>
              </w:rPr>
            </w:pP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1</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2</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3</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4</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5</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6</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7</w:t>
            </w:r>
          </w:p>
        </w:tc>
        <w:tc>
          <w:tcPr>
            <w:tcW w:w="520"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8</w:t>
            </w:r>
          </w:p>
        </w:tc>
        <w:tc>
          <w:tcPr>
            <w:tcW w:w="520"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9</w:t>
            </w:r>
          </w:p>
        </w:tc>
        <w:tc>
          <w:tcPr>
            <w:tcW w:w="520"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10</w:t>
            </w:r>
          </w:p>
        </w:tc>
        <w:tc>
          <w:tcPr>
            <w:tcW w:w="520"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11</w:t>
            </w:r>
          </w:p>
        </w:tc>
        <w:tc>
          <w:tcPr>
            <w:tcW w:w="520"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12</w:t>
            </w:r>
          </w:p>
        </w:tc>
      </w:tr>
      <w:tr w:rsidR="00E07285" w:rsidTr="00E07285">
        <w:trPr>
          <w:trHeight w:hRule="exact" w:val="454"/>
          <w:jc w:val="center"/>
        </w:trPr>
        <w:tc>
          <w:tcPr>
            <w:tcW w:w="2743" w:type="dxa"/>
            <w:vAlign w:val="center"/>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知识目标</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r>
      <w:tr w:rsidR="00E07285" w:rsidTr="00E07285">
        <w:trPr>
          <w:trHeight w:hRule="exact" w:val="454"/>
          <w:jc w:val="center"/>
        </w:trPr>
        <w:tc>
          <w:tcPr>
            <w:tcW w:w="2743" w:type="dxa"/>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能力目标</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8"/>
                <w:szCs w:val="28"/>
              </w:rPr>
            </w:pP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8"/>
                <w:szCs w:val="28"/>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r>
      <w:tr w:rsidR="00E07285" w:rsidTr="00E07285">
        <w:trPr>
          <w:trHeight w:hRule="exact" w:val="454"/>
          <w:jc w:val="center"/>
        </w:trPr>
        <w:tc>
          <w:tcPr>
            <w:tcW w:w="2743" w:type="dxa"/>
          </w:tcPr>
          <w:p w:rsidR="00E07285" w:rsidRDefault="00E07285" w:rsidP="00E07285">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情感态度与价值观目标</w:t>
            </w:r>
          </w:p>
        </w:tc>
        <w:tc>
          <w:tcPr>
            <w:tcW w:w="519" w:type="dxa"/>
            <w:vAlign w:val="center"/>
          </w:tcPr>
          <w:p w:rsidR="00E07285" w:rsidRDefault="00E07285" w:rsidP="00E07285">
            <w:pPr>
              <w:spacing w:line="360" w:lineRule="auto"/>
              <w:jc w:val="center"/>
              <w:rPr>
                <w:rFonts w:ascii="仿宋_GB2312" w:hAnsi="仿宋_GB2312" w:cs="仿宋_GB2312"/>
                <w:bCs/>
                <w:sz w:val="28"/>
                <w:szCs w:val="28"/>
              </w:rPr>
            </w:pPr>
          </w:p>
        </w:tc>
        <w:tc>
          <w:tcPr>
            <w:tcW w:w="519" w:type="dxa"/>
            <w:vAlign w:val="center"/>
          </w:tcPr>
          <w:p w:rsidR="00E07285" w:rsidRDefault="00E07285" w:rsidP="00E07285">
            <w:pPr>
              <w:spacing w:line="360" w:lineRule="auto"/>
              <w:jc w:val="center"/>
              <w:rPr>
                <w:rFonts w:ascii="仿宋_GB2312" w:hAnsi="仿宋_GB2312" w:cs="仿宋_GB2312"/>
                <w:bCs/>
                <w:sz w:val="28"/>
                <w:szCs w:val="28"/>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c>
          <w:tcPr>
            <w:tcW w:w="520" w:type="dxa"/>
          </w:tcPr>
          <w:p w:rsidR="00E07285" w:rsidRDefault="00E07285" w:rsidP="00E07285">
            <w:pPr>
              <w:spacing w:line="360" w:lineRule="auto"/>
              <w:rPr>
                <w:rFonts w:ascii="仿宋_GB2312" w:hAnsi="仿宋_GB2312" w:cs="仿宋_GB2312"/>
                <w:bCs/>
                <w:sz w:val="28"/>
                <w:szCs w:val="28"/>
              </w:rPr>
            </w:pPr>
          </w:p>
        </w:tc>
      </w:tr>
    </w:tbl>
    <w:p w:rsidR="00E07285" w:rsidRDefault="00E07285" w:rsidP="00E07285">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hint="eastAsia"/>
          <w:sz w:val="28"/>
          <w:szCs w:val="28"/>
        </w:rPr>
        <w:t>课程的重点：</w:t>
      </w:r>
      <w:r>
        <w:rPr>
          <w:rFonts w:ascii="仿宋_GB2312" w:hAnsi="仿宋_GB2312" w:cs="仿宋_GB2312" w:hint="eastAsia"/>
          <w:bCs/>
          <w:sz w:val="28"/>
          <w:szCs w:val="28"/>
        </w:rPr>
        <w:t>给水系统分类组成，设计用水量计算，给水系统流量水压关系，管网、输水管渠定线，比流量、沿线流量、节点流量、管段流量计算，管网水力计算，分区给水的能量分析，水管、管网附件和附属构筑物。</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hint="eastAsia"/>
          <w:sz w:val="28"/>
          <w:szCs w:val="28"/>
        </w:rPr>
        <w:t>课程的难点：</w:t>
      </w:r>
      <w:r>
        <w:rPr>
          <w:rFonts w:ascii="仿宋_GB2312" w:hAnsi="仿宋_GB2312" w:cs="仿宋_GB2312" w:hint="eastAsia"/>
          <w:bCs/>
          <w:sz w:val="28"/>
          <w:szCs w:val="28"/>
        </w:rPr>
        <w:t>设计用水量计算，给水系统水压关系、环状网水力计算，分区给水的能量分析。</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以</w:t>
      </w:r>
      <w:r>
        <w:rPr>
          <w:rFonts w:ascii="仿宋_GB2312" w:hAnsi="仿宋_GB2312" w:cs="仿宋_GB2312"/>
          <w:bCs/>
          <w:sz w:val="28"/>
          <w:szCs w:val="28"/>
        </w:rPr>
        <w:t>学生为中心，</w:t>
      </w:r>
      <w:r>
        <w:rPr>
          <w:rFonts w:ascii="仿宋_GB2312" w:hAnsi="仿宋_GB2312" w:cs="仿宋_GB2312" w:hint="eastAsia"/>
          <w:bCs/>
          <w:sz w:val="28"/>
          <w:szCs w:val="28"/>
        </w:rPr>
        <w:t>教学过程中采用理论</w:t>
      </w:r>
      <w:r>
        <w:rPr>
          <w:rFonts w:ascii="仿宋_GB2312" w:hAnsi="仿宋_GB2312" w:cs="仿宋_GB2312"/>
          <w:bCs/>
          <w:sz w:val="28"/>
          <w:szCs w:val="28"/>
        </w:rPr>
        <w:t>联系实际的</w:t>
      </w:r>
      <w:r>
        <w:rPr>
          <w:rFonts w:ascii="仿宋_GB2312" w:hAnsi="仿宋_GB2312" w:cs="仿宋_GB2312" w:hint="eastAsia"/>
          <w:bCs/>
          <w:sz w:val="28"/>
          <w:szCs w:val="28"/>
        </w:rPr>
        <w:t>教学方式，真切</w:t>
      </w:r>
      <w:r>
        <w:rPr>
          <w:rFonts w:ascii="仿宋_GB2312" w:hAnsi="仿宋_GB2312" w:cs="仿宋_GB2312"/>
          <w:bCs/>
          <w:sz w:val="28"/>
          <w:szCs w:val="28"/>
        </w:rPr>
        <w:t>领悟</w:t>
      </w:r>
      <w:bookmarkStart w:id="38" w:name="_Hlk69940925"/>
      <w:r>
        <w:rPr>
          <w:rFonts w:ascii="仿宋_GB2312" w:hAnsi="仿宋_GB2312" w:cs="仿宋_GB2312" w:hint="eastAsia"/>
          <w:bCs/>
          <w:sz w:val="28"/>
          <w:szCs w:val="28"/>
        </w:rPr>
        <w:t>提供安全水，保障人们用水需求的重要意义</w:t>
      </w:r>
      <w:bookmarkEnd w:id="38"/>
      <w:r>
        <w:rPr>
          <w:rFonts w:ascii="仿宋_GB2312" w:hAnsi="仿宋_GB2312" w:cs="仿宋_GB2312" w:hint="eastAsia"/>
          <w:bCs/>
          <w:sz w:val="28"/>
          <w:szCs w:val="28"/>
        </w:rPr>
        <w:t>，以知识为载体，传授给水管网的设计计算方法，</w:t>
      </w:r>
      <w:r>
        <w:rPr>
          <w:rFonts w:ascii="仿宋_GB2312" w:hAnsi="仿宋_GB2312" w:cs="仿宋_GB2312"/>
          <w:bCs/>
          <w:sz w:val="28"/>
          <w:szCs w:val="28"/>
        </w:rPr>
        <w:t>引导学生树立积极向上的价值观、客观科学的世界观</w:t>
      </w:r>
      <w:r>
        <w:rPr>
          <w:rFonts w:ascii="仿宋_GB2312" w:hAnsi="仿宋_GB2312" w:cs="仿宋_GB2312" w:hint="eastAsia"/>
          <w:bCs/>
          <w:sz w:val="28"/>
          <w:szCs w:val="28"/>
        </w:rPr>
        <w:t>。</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p w:rsidR="00E07285" w:rsidRDefault="00E07285" w:rsidP="00E07285">
      <w:pPr>
        <w:spacing w:line="560" w:lineRule="exact"/>
        <w:outlineLvl w:val="0"/>
        <w:rPr>
          <w:rFonts w:ascii="仿宋_GB2312" w:hAnsi="仿宋_GB2312" w:cs="仿宋_GB2312"/>
          <w:sz w:val="28"/>
          <w:szCs w:val="28"/>
        </w:rPr>
      </w:pPr>
      <w:r>
        <w:rPr>
          <w:rFonts w:ascii="仿宋_GB2312" w:hAnsi="仿宋_GB2312" w:cs="仿宋_GB2312"/>
          <w:sz w:val="28"/>
          <w:szCs w:val="28"/>
        </w:rPr>
        <w:t>（一）教学内容结构关系图</w:t>
      </w:r>
    </w:p>
    <w:p w:rsidR="00E07285" w:rsidRDefault="00E07285" w:rsidP="00E07285">
      <w:pPr>
        <w:spacing w:line="560" w:lineRule="exact"/>
        <w:outlineLvl w:val="0"/>
        <w:rPr>
          <w:rFonts w:ascii="仿宋_GB2312" w:hAnsi="仿宋_GB2312" w:cs="仿宋_GB2312"/>
          <w:sz w:val="28"/>
          <w:szCs w:val="28"/>
        </w:rPr>
      </w:pPr>
    </w:p>
    <w:p w:rsidR="00E07285" w:rsidRDefault="00E07285" w:rsidP="00E07285">
      <w:pPr>
        <w:spacing w:line="560" w:lineRule="exact"/>
        <w:rPr>
          <w:szCs w:val="21"/>
        </w:rPr>
      </w:pPr>
      <w:r>
        <w:rPr>
          <w:rFonts w:ascii="仿宋_GB2312" w:hAnsi="仿宋_GB2312" w:cs="仿宋_GB2312"/>
          <w:noProof/>
          <w:sz w:val="28"/>
          <w:szCs w:val="28"/>
        </w:rPr>
        <mc:AlternateContent>
          <mc:Choice Requires="wps">
            <w:drawing>
              <wp:anchor distT="0" distB="0" distL="114300" distR="114300" simplePos="0" relativeHeight="251661312" behindDoc="0" locked="0" layoutInCell="1" allowOverlap="1" wp14:anchorId="369B97DB" wp14:editId="0A1D77B7">
                <wp:simplePos x="0" y="0"/>
                <wp:positionH relativeFrom="column">
                  <wp:posOffset>1835785</wp:posOffset>
                </wp:positionH>
                <wp:positionV relativeFrom="paragraph">
                  <wp:posOffset>12700</wp:posOffset>
                </wp:positionV>
                <wp:extent cx="1083310" cy="261620"/>
                <wp:effectExtent l="4445" t="4445" r="9525" b="8255"/>
                <wp:wrapNone/>
                <wp:docPr id="4" name="文本框 4"/>
                <wp:cNvGraphicFramePr/>
                <a:graphic xmlns:a="http://schemas.openxmlformats.org/drawingml/2006/main">
                  <a:graphicData uri="http://schemas.microsoft.com/office/word/2010/wordprocessingShape">
                    <wps:wsp>
                      <wps:cNvSpPr txBox="1"/>
                      <wps:spPr>
                        <a:xfrm>
                          <a:off x="0" y="0"/>
                          <a:ext cx="1083310" cy="2616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spacing w:line="240" w:lineRule="atLeast"/>
                              <w:ind w:firstLineChars="50" w:firstLine="100"/>
                              <w:jc w:val="left"/>
                              <w:rPr>
                                <w:sz w:val="20"/>
                                <w:szCs w:val="20"/>
                              </w:rPr>
                            </w:pPr>
                            <w:r>
                              <w:rPr>
                                <w:rFonts w:hint="eastAsia"/>
                                <w:sz w:val="20"/>
                                <w:szCs w:val="20"/>
                              </w:rPr>
                              <w:t>给水系统总论总论</w:t>
                            </w:r>
                          </w:p>
                        </w:txbxContent>
                      </wps:txbx>
                      <wps:bodyPr upright="1"/>
                    </wps:wsp>
                  </a:graphicData>
                </a:graphic>
              </wp:anchor>
            </w:drawing>
          </mc:Choice>
          <mc:Fallback>
            <w:pict>
              <v:shapetype w14:anchorId="369B97DB" id="_x0000_t202" coordsize="21600,21600" o:spt="202" path="m,l,21600r21600,l21600,xe">
                <v:stroke joinstyle="miter"/>
                <v:path gradientshapeok="t" o:connecttype="rect"/>
              </v:shapetype>
              <v:shape id="文本框 4" o:spid="_x0000_s1026" type="#_x0000_t202" style="position:absolute;left:0;text-align:left;margin-left:144.55pt;margin-top:1pt;width:85.3pt;height:20.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">
                <v:textbox>
                  <w:txbxContent>
                    <w:p w:rsidR="00702523" w:rsidRDefault="00702523" w:rsidP="00E07285">
                      <w:pPr>
                        <w:spacing w:line="240" w:lineRule="atLeast"/>
                        <w:ind w:firstLineChars="50" w:firstLine="100"/>
                        <w:jc w:val="left"/>
                        <w:rPr>
                          <w:sz w:val="20"/>
                          <w:szCs w:val="20"/>
                        </w:rPr>
                      </w:pPr>
                      <w:r>
                        <w:rPr>
                          <w:rFonts w:hint="eastAsia"/>
                          <w:sz w:val="20"/>
                          <w:szCs w:val="20"/>
                        </w:rPr>
                        <w:t>给水系统总论总论</w:t>
                      </w:r>
                    </w:p>
                  </w:txbxContent>
                </v:textbox>
              </v:shape>
            </w:pict>
          </mc:Fallback>
        </mc:AlternateContent>
      </w:r>
      <w:r>
        <w:rPr>
          <w:noProof/>
          <w:szCs w:val="21"/>
        </w:rPr>
        <mc:AlternateContent>
          <mc:Choice Requires="wps">
            <w:drawing>
              <wp:anchor distT="0" distB="0" distL="114300" distR="114300" simplePos="0" relativeHeight="251662336" behindDoc="0" locked="0" layoutInCell="1" allowOverlap="1" wp14:anchorId="27866214" wp14:editId="696D4E63">
                <wp:simplePos x="0" y="0"/>
                <wp:positionH relativeFrom="column">
                  <wp:posOffset>2370455</wp:posOffset>
                </wp:positionH>
                <wp:positionV relativeFrom="paragraph">
                  <wp:posOffset>357505</wp:posOffset>
                </wp:positionV>
                <wp:extent cx="635" cy="236855"/>
                <wp:effectExtent l="37465" t="0" r="38100" b="6985"/>
                <wp:wrapNone/>
                <wp:docPr id="5" name="直接箭头连接符 5"/>
                <wp:cNvGraphicFramePr/>
                <a:graphic xmlns:a="http://schemas.openxmlformats.org/drawingml/2006/main">
                  <a:graphicData uri="http://schemas.microsoft.com/office/word/2010/wordprocessingShape">
                    <wps:wsp>
                      <wps:cNvCnPr/>
                      <wps:spPr>
                        <a:xfrm>
                          <a:off x="0" y="0"/>
                          <a:ext cx="635" cy="2368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type w14:anchorId="385F2AD4" id="_x0000_t32" coordsize="21600,21600" o:spt="32" o:oned="t" path="m,l21600,21600e" filled="f">
                <v:path arrowok="t" fillok="f" o:connecttype="none"/>
                <o:lock v:ext="edit" shapetype="t"/>
              </v:shapetype>
              <v:shape id="直接箭头连接符 5" o:spid="_x0000_s1026" type="#_x0000_t32" style="position:absolute;left:0;text-align:left;margin-left:186.65pt;margin-top:28.15pt;width:.05pt;height:18.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">
                <v:stroke endarrow="block"/>
              </v:shape>
            </w:pict>
          </mc:Fallback>
        </mc:AlternateContent>
      </w:r>
    </w:p>
    <w:p w:rsidR="00E07285" w:rsidRDefault="00E07285" w:rsidP="00E07285">
      <w:pPr>
        <w:spacing w:line="560" w:lineRule="exact"/>
        <w:rPr>
          <w:szCs w:val="21"/>
        </w:rPr>
      </w:pPr>
      <w:r>
        <w:rPr>
          <w:noProof/>
          <w:szCs w:val="21"/>
        </w:rPr>
        <w:lastRenderedPageBreak/>
        <mc:AlternateContent>
          <mc:Choice Requires="wps">
            <w:drawing>
              <wp:anchor distT="0" distB="0" distL="114300" distR="114300" simplePos="0" relativeHeight="251664384" behindDoc="0" locked="0" layoutInCell="1" allowOverlap="1" wp14:anchorId="216523DA" wp14:editId="401D2DA6">
                <wp:simplePos x="0" y="0"/>
                <wp:positionH relativeFrom="column">
                  <wp:posOffset>-192405</wp:posOffset>
                </wp:positionH>
                <wp:positionV relativeFrom="paragraph">
                  <wp:posOffset>238760</wp:posOffset>
                </wp:positionV>
                <wp:extent cx="5584190" cy="1131570"/>
                <wp:effectExtent l="4445" t="4445" r="19685" b="6985"/>
                <wp:wrapNone/>
                <wp:docPr id="6" name="矩形 6"/>
                <wp:cNvGraphicFramePr/>
                <a:graphic xmlns:a="http://schemas.openxmlformats.org/drawingml/2006/main">
                  <a:graphicData uri="http://schemas.microsoft.com/office/word/2010/wordprocessingShape">
                    <wps:wsp>
                      <wps:cNvSpPr/>
                      <wps:spPr>
                        <a:xfrm>
                          <a:off x="0" y="0"/>
                          <a:ext cx="5584190" cy="1131570"/>
                        </a:xfrm>
                        <a:prstGeom prst="rect">
                          <a:avLst/>
                        </a:prstGeom>
                        <a:noFill/>
                        <a:ln w="9525" cap="flat" cmpd="sng">
                          <a:solidFill>
                            <a:srgbClr val="000000"/>
                          </a:solidFill>
                          <a:prstDash val="lgDash"/>
                          <a:miter/>
                          <a:headEnd type="none" w="med" len="med"/>
                          <a:tailEnd type="none" w="med" len="med"/>
                        </a:ln>
                      </wps:spPr>
                      <wps:bodyPr upright="1"/>
                    </wps:wsp>
                  </a:graphicData>
                </a:graphic>
              </wp:anchor>
            </w:drawing>
          </mc:Choice>
          <mc:Fallback>
            <w:pict>
              <v:rect w14:anchorId="7789C7A2" id="矩形 6" o:spid="_x0000_s1026" style="position:absolute;left:0;text-align:left;margin-left:-15.15pt;margin-top:18.8pt;width:439.7pt;height:8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" filled="f">
                <v:stroke dashstyle="longDash"/>
              </v:rect>
            </w:pict>
          </mc:Fallback>
        </mc:AlternateContent>
      </w:r>
    </w:p>
    <w:p w:rsidR="00E07285" w:rsidRDefault="00E07285" w:rsidP="00E07285">
      <w:pPr>
        <w:spacing w:line="560" w:lineRule="exact"/>
        <w:rPr>
          <w:szCs w:val="21"/>
        </w:rPr>
      </w:pPr>
      <w:r>
        <w:rPr>
          <w:noProof/>
          <w:szCs w:val="21"/>
        </w:rPr>
        <mc:AlternateContent>
          <mc:Choice Requires="wps">
            <w:drawing>
              <wp:anchor distT="0" distB="0" distL="114300" distR="114300" simplePos="0" relativeHeight="251663360" behindDoc="0" locked="0" layoutInCell="1" allowOverlap="1" wp14:anchorId="3A6D0FC6" wp14:editId="0502E9F0">
                <wp:simplePos x="0" y="0"/>
                <wp:positionH relativeFrom="column">
                  <wp:posOffset>274320</wp:posOffset>
                </wp:positionH>
                <wp:positionV relativeFrom="paragraph">
                  <wp:posOffset>36830</wp:posOffset>
                </wp:positionV>
                <wp:extent cx="1089025" cy="805180"/>
                <wp:effectExtent l="4445" t="4445" r="19050" b="13335"/>
                <wp:wrapNone/>
                <wp:docPr id="20" name="文本框 20"/>
                <wp:cNvGraphicFramePr/>
                <a:graphic xmlns:a="http://schemas.openxmlformats.org/drawingml/2006/main">
                  <a:graphicData uri="http://schemas.microsoft.com/office/word/2010/wordprocessingShape">
                    <wps:wsp>
                      <wps:cNvSpPr txBox="1"/>
                      <wps:spPr>
                        <a:xfrm>
                          <a:off x="0" y="0"/>
                          <a:ext cx="1089025" cy="805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spacing w:line="240" w:lineRule="atLeast"/>
                              <w:rPr>
                                <w:sz w:val="20"/>
                                <w:szCs w:val="20"/>
                              </w:rPr>
                            </w:pPr>
                            <w:r>
                              <w:rPr>
                                <w:rFonts w:hint="eastAsia"/>
                                <w:sz w:val="20"/>
                                <w:szCs w:val="20"/>
                              </w:rPr>
                              <w:t>给水系统分类、组成和布置，影响给水系统布置的因素</w:t>
                            </w:r>
                          </w:p>
                        </w:txbxContent>
                      </wps:txbx>
                      <wps:bodyPr upright="1"/>
                    </wps:wsp>
                  </a:graphicData>
                </a:graphic>
              </wp:anchor>
            </w:drawing>
          </mc:Choice>
          <mc:Fallback>
            <w:pict>
              <v:shape w14:anchorId="3A6D0FC6" id="文本框 20" o:spid="_x0000_s1027" type="#_x0000_t202" style="position:absolute;left:0;text-align:left;margin-left:21.6pt;margin-top:2.9pt;width:85.75pt;height:6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">
                <v:textbox>
                  <w:txbxContent>
                    <w:p w:rsidR="00702523" w:rsidRDefault="00702523" w:rsidP="00E07285">
                      <w:pPr>
                        <w:spacing w:line="240" w:lineRule="atLeast"/>
                        <w:rPr>
                          <w:sz w:val="20"/>
                          <w:szCs w:val="20"/>
                        </w:rPr>
                      </w:pPr>
                      <w:r>
                        <w:rPr>
                          <w:rFonts w:hint="eastAsia"/>
                          <w:sz w:val="20"/>
                          <w:szCs w:val="20"/>
                        </w:rPr>
                        <w:t>给水系统分类、组成和布置，影响给水系统布置的因素</w:t>
                      </w:r>
                    </w:p>
                  </w:txbxContent>
                </v:textbox>
              </v:shape>
            </w:pict>
          </mc:Fallback>
        </mc:AlternateContent>
      </w:r>
      <w:r>
        <w:rPr>
          <w:noProof/>
          <w:szCs w:val="21"/>
        </w:rPr>
        <mc:AlternateContent>
          <mc:Choice Requires="wps">
            <w:drawing>
              <wp:anchor distT="0" distB="0" distL="114300" distR="114300" simplePos="0" relativeHeight="251665408" behindDoc="0" locked="0" layoutInCell="1" allowOverlap="1" wp14:anchorId="5BD548D8" wp14:editId="20586A33">
                <wp:simplePos x="0" y="0"/>
                <wp:positionH relativeFrom="column">
                  <wp:posOffset>1946275</wp:posOffset>
                </wp:positionH>
                <wp:positionV relativeFrom="paragraph">
                  <wp:posOffset>47625</wp:posOffset>
                </wp:positionV>
                <wp:extent cx="1160780" cy="798830"/>
                <wp:effectExtent l="5080" t="4445" r="7620" b="19685"/>
                <wp:wrapNone/>
                <wp:docPr id="18" name="文本框 18"/>
                <wp:cNvGraphicFramePr/>
                <a:graphic xmlns:a="http://schemas.openxmlformats.org/drawingml/2006/main">
                  <a:graphicData uri="http://schemas.microsoft.com/office/word/2010/wordprocessingShape">
                    <wps:wsp>
                      <wps:cNvSpPr txBox="1"/>
                      <wps:spPr>
                        <a:xfrm>
                          <a:off x="0" y="0"/>
                          <a:ext cx="1160780" cy="7988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spacing w:line="240" w:lineRule="atLeast"/>
                              <w:rPr>
                                <w:sz w:val="20"/>
                                <w:szCs w:val="20"/>
                              </w:rPr>
                            </w:pPr>
                            <w:r>
                              <w:rPr>
                                <w:rFonts w:hint="eastAsia"/>
                                <w:sz w:val="20"/>
                                <w:szCs w:val="20"/>
                              </w:rPr>
                              <w:t>用水量定额，变化及计算</w:t>
                            </w:r>
                          </w:p>
                        </w:txbxContent>
                      </wps:txbx>
                      <wps:bodyPr upright="1"/>
                    </wps:wsp>
                  </a:graphicData>
                </a:graphic>
              </wp:anchor>
            </w:drawing>
          </mc:Choice>
          <mc:Fallback>
            <w:pict>
              <v:shape w14:anchorId="5BD548D8" id="文本框 18" o:spid="_x0000_s1028" type="#_x0000_t202" style="position:absolute;left:0;text-align:left;margin-left:153.25pt;margin-top:3.75pt;width:91.4pt;height:62.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">
                <v:textbox>
                  <w:txbxContent>
                    <w:p w:rsidR="00702523" w:rsidRDefault="00702523" w:rsidP="00E07285">
                      <w:pPr>
                        <w:spacing w:line="240" w:lineRule="atLeast"/>
                        <w:rPr>
                          <w:sz w:val="20"/>
                          <w:szCs w:val="20"/>
                        </w:rPr>
                      </w:pPr>
                      <w:r>
                        <w:rPr>
                          <w:rFonts w:hint="eastAsia"/>
                          <w:sz w:val="20"/>
                          <w:szCs w:val="20"/>
                        </w:rPr>
                        <w:t>用水量定额，变化及计算</w:t>
                      </w:r>
                    </w:p>
                  </w:txbxContent>
                </v:textbox>
              </v:shape>
            </w:pict>
          </mc:Fallback>
        </mc:AlternateContent>
      </w:r>
      <w:r>
        <w:rPr>
          <w:noProof/>
          <w:szCs w:val="21"/>
        </w:rPr>
        <mc:AlternateContent>
          <mc:Choice Requires="wps">
            <w:drawing>
              <wp:anchor distT="0" distB="0" distL="114300" distR="114300" simplePos="0" relativeHeight="251666432" behindDoc="0" locked="0" layoutInCell="1" allowOverlap="1" wp14:anchorId="7AEEF74C" wp14:editId="3C921778">
                <wp:simplePos x="0" y="0"/>
                <wp:positionH relativeFrom="column">
                  <wp:posOffset>3789680</wp:posOffset>
                </wp:positionH>
                <wp:positionV relativeFrom="paragraph">
                  <wp:posOffset>36830</wp:posOffset>
                </wp:positionV>
                <wp:extent cx="1239520" cy="798830"/>
                <wp:effectExtent l="5080" t="4445" r="5080" b="19685"/>
                <wp:wrapNone/>
                <wp:docPr id="15" name="文本框 15"/>
                <wp:cNvGraphicFramePr/>
                <a:graphic xmlns:a="http://schemas.openxmlformats.org/drawingml/2006/main">
                  <a:graphicData uri="http://schemas.microsoft.com/office/word/2010/wordprocessingShape">
                    <wps:wsp>
                      <wps:cNvSpPr txBox="1"/>
                      <wps:spPr>
                        <a:xfrm>
                          <a:off x="0" y="0"/>
                          <a:ext cx="1239520" cy="7988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spacing w:line="240" w:lineRule="atLeast"/>
                              <w:rPr>
                                <w:sz w:val="20"/>
                                <w:szCs w:val="20"/>
                              </w:rPr>
                            </w:pPr>
                            <w:r>
                              <w:rPr>
                                <w:rFonts w:hint="eastAsia"/>
                                <w:sz w:val="20"/>
                                <w:szCs w:val="20"/>
                              </w:rPr>
                              <w:t>给水系统的流量、水压关系，水塔和清水池的容积计算</w:t>
                            </w:r>
                          </w:p>
                        </w:txbxContent>
                      </wps:txbx>
                      <wps:bodyPr upright="1"/>
                    </wps:wsp>
                  </a:graphicData>
                </a:graphic>
              </wp:anchor>
            </w:drawing>
          </mc:Choice>
          <mc:Fallback>
            <w:pict>
              <v:shape w14:anchorId="7AEEF74C" id="文本框 15" o:spid="_x0000_s1029" type="#_x0000_t202" style="position:absolute;left:0;text-align:left;margin-left:298.4pt;margin-top:2.9pt;width:97.6pt;height:62.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">
                <v:textbox>
                  <w:txbxContent>
                    <w:p w:rsidR="00702523" w:rsidRDefault="00702523" w:rsidP="00E07285">
                      <w:pPr>
                        <w:spacing w:line="240" w:lineRule="atLeast"/>
                        <w:rPr>
                          <w:sz w:val="20"/>
                          <w:szCs w:val="20"/>
                        </w:rPr>
                      </w:pPr>
                      <w:r>
                        <w:rPr>
                          <w:rFonts w:hint="eastAsia"/>
                          <w:sz w:val="20"/>
                          <w:szCs w:val="20"/>
                        </w:rPr>
                        <w:t>给水系统的流量、水压关系，水塔和清水池的容积计算</w:t>
                      </w:r>
                    </w:p>
                  </w:txbxContent>
                </v:textbox>
              </v:shape>
            </w:pict>
          </mc:Fallback>
        </mc:AlternateContent>
      </w:r>
    </w:p>
    <w:p w:rsidR="00E07285" w:rsidRDefault="00E07285" w:rsidP="00E07285">
      <w:pPr>
        <w:spacing w:line="560" w:lineRule="exact"/>
        <w:rPr>
          <w:szCs w:val="21"/>
        </w:rPr>
      </w:pPr>
    </w:p>
    <w:p w:rsidR="00E07285" w:rsidRDefault="00E07285" w:rsidP="00E07285">
      <w:pPr>
        <w:spacing w:line="560" w:lineRule="exact"/>
        <w:rPr>
          <w:szCs w:val="21"/>
        </w:rPr>
      </w:pPr>
      <w:r>
        <w:rPr>
          <w:noProof/>
          <w:szCs w:val="21"/>
        </w:rPr>
        <mc:AlternateContent>
          <mc:Choice Requires="wps">
            <w:drawing>
              <wp:anchor distT="0" distB="0" distL="114300" distR="114300" simplePos="0" relativeHeight="251668480" behindDoc="0" locked="0" layoutInCell="1" allowOverlap="1" wp14:anchorId="4B9B2FFC" wp14:editId="1B8CA4C6">
                <wp:simplePos x="0" y="0"/>
                <wp:positionH relativeFrom="column">
                  <wp:posOffset>2402205</wp:posOffset>
                </wp:positionH>
                <wp:positionV relativeFrom="paragraph">
                  <wp:posOffset>303530</wp:posOffset>
                </wp:positionV>
                <wp:extent cx="1270" cy="262255"/>
                <wp:effectExtent l="37465" t="0" r="37465" b="12065"/>
                <wp:wrapNone/>
                <wp:docPr id="17" name="直接箭头连接符 17"/>
                <wp:cNvGraphicFramePr/>
                <a:graphic xmlns:a="http://schemas.openxmlformats.org/drawingml/2006/main">
                  <a:graphicData uri="http://schemas.microsoft.com/office/word/2010/wordprocessingShape">
                    <wps:wsp>
                      <wps:cNvCnPr/>
                      <wps:spPr>
                        <a:xfrm>
                          <a:off x="0" y="0"/>
                          <a:ext cx="1270" cy="262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F952E45" id="直接箭头连接符 17" o:spid="_x0000_s1026" type="#_x0000_t32" style="position:absolute;left:0;text-align:left;margin-left:189.15pt;margin-top:23.9pt;width:.1pt;height:20.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">
                <v:stroke endarrow="block"/>
              </v:shape>
            </w:pict>
          </mc:Fallback>
        </mc:AlternateContent>
      </w:r>
    </w:p>
    <w:p w:rsidR="00E07285" w:rsidRDefault="00E07285" w:rsidP="00E07285">
      <w:pPr>
        <w:spacing w:line="560" w:lineRule="exact"/>
        <w:rPr>
          <w:szCs w:val="21"/>
        </w:rPr>
      </w:pPr>
      <w:r>
        <w:rPr>
          <w:noProof/>
          <w:szCs w:val="21"/>
        </w:rPr>
        <mc:AlternateContent>
          <mc:Choice Requires="wps">
            <w:drawing>
              <wp:anchor distT="0" distB="0" distL="114300" distR="114300" simplePos="0" relativeHeight="251667456" behindDoc="0" locked="0" layoutInCell="1" allowOverlap="1" wp14:anchorId="7D9A0BAE" wp14:editId="19BF048E">
                <wp:simplePos x="0" y="0"/>
                <wp:positionH relativeFrom="column">
                  <wp:posOffset>1804670</wp:posOffset>
                </wp:positionH>
                <wp:positionV relativeFrom="paragraph">
                  <wp:posOffset>210185</wp:posOffset>
                </wp:positionV>
                <wp:extent cx="1254125" cy="248920"/>
                <wp:effectExtent l="4445" t="5080" r="6350" b="5080"/>
                <wp:wrapNone/>
                <wp:docPr id="16" name="文本框 16"/>
                <wp:cNvGraphicFramePr/>
                <a:graphic xmlns:a="http://schemas.openxmlformats.org/drawingml/2006/main">
                  <a:graphicData uri="http://schemas.microsoft.com/office/word/2010/wordprocessingShape">
                    <wps:wsp>
                      <wps:cNvSpPr txBox="1"/>
                      <wps:spPr>
                        <a:xfrm>
                          <a:off x="0" y="0"/>
                          <a:ext cx="1254125" cy="2489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spacing w:line="240" w:lineRule="atLeast"/>
                              <w:ind w:firstLineChars="50" w:firstLine="100"/>
                              <w:rPr>
                                <w:sz w:val="20"/>
                                <w:szCs w:val="20"/>
                              </w:rPr>
                            </w:pPr>
                            <w:r>
                              <w:rPr>
                                <w:rFonts w:hint="eastAsia"/>
                                <w:sz w:val="20"/>
                                <w:szCs w:val="20"/>
                              </w:rPr>
                              <w:t>输水和配水工程</w:t>
                            </w:r>
                          </w:p>
                        </w:txbxContent>
                      </wps:txbx>
                      <wps:bodyPr upright="1"/>
                    </wps:wsp>
                  </a:graphicData>
                </a:graphic>
              </wp:anchor>
            </w:drawing>
          </mc:Choice>
          <mc:Fallback>
            <w:pict>
              <v:shape w14:anchorId="7D9A0BAE" id="文本框 16" o:spid="_x0000_s1030" type="#_x0000_t202" style="position:absolute;left:0;text-align:left;margin-left:142.1pt;margin-top:16.55pt;width:98.75pt;height:19.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">
                <v:textbox>
                  <w:txbxContent>
                    <w:p w:rsidR="00702523" w:rsidRDefault="00702523" w:rsidP="00E07285">
                      <w:pPr>
                        <w:spacing w:line="240" w:lineRule="atLeast"/>
                        <w:ind w:firstLineChars="50" w:firstLine="100"/>
                        <w:rPr>
                          <w:sz w:val="20"/>
                          <w:szCs w:val="20"/>
                        </w:rPr>
                      </w:pPr>
                      <w:r>
                        <w:rPr>
                          <w:rFonts w:hint="eastAsia"/>
                          <w:sz w:val="20"/>
                          <w:szCs w:val="20"/>
                        </w:rPr>
                        <w:t>输水和配水工程</w:t>
                      </w:r>
                    </w:p>
                  </w:txbxContent>
                </v:textbox>
              </v:shape>
            </w:pict>
          </mc:Fallback>
        </mc:AlternateContent>
      </w:r>
    </w:p>
    <w:p w:rsidR="00E07285" w:rsidRDefault="00E07285" w:rsidP="00E07285">
      <w:pPr>
        <w:spacing w:line="560" w:lineRule="exact"/>
        <w:outlineLvl w:val="0"/>
        <w:rPr>
          <w:rFonts w:ascii="仿宋_GB2312" w:hAnsi="仿宋_GB2312" w:cs="仿宋_GB2312"/>
          <w:sz w:val="28"/>
          <w:szCs w:val="28"/>
        </w:rPr>
      </w:pPr>
      <w:r>
        <w:rPr>
          <w:rFonts w:ascii="仿宋_GB2312" w:hAnsi="仿宋_GB2312" w:cs="仿宋_GB2312"/>
          <w:noProof/>
          <w:sz w:val="28"/>
          <w:szCs w:val="28"/>
        </w:rPr>
        <mc:AlternateContent>
          <mc:Choice Requires="wps">
            <w:drawing>
              <wp:anchor distT="0" distB="0" distL="114300" distR="114300" simplePos="0" relativeHeight="251669504" behindDoc="0" locked="0" layoutInCell="1" allowOverlap="1" wp14:anchorId="501E7641" wp14:editId="3BAB7E12">
                <wp:simplePos x="0" y="0"/>
                <wp:positionH relativeFrom="column">
                  <wp:posOffset>2403475</wp:posOffset>
                </wp:positionH>
                <wp:positionV relativeFrom="paragraph">
                  <wp:posOffset>175895</wp:posOffset>
                </wp:positionV>
                <wp:extent cx="1270" cy="262255"/>
                <wp:effectExtent l="37465" t="0" r="37465" b="12065"/>
                <wp:wrapNone/>
                <wp:docPr id="19" name="直接箭头连接符 19"/>
                <wp:cNvGraphicFramePr/>
                <a:graphic xmlns:a="http://schemas.openxmlformats.org/drawingml/2006/main">
                  <a:graphicData uri="http://schemas.microsoft.com/office/word/2010/wordprocessingShape">
                    <wps:wsp>
                      <wps:cNvCnPr/>
                      <wps:spPr>
                        <a:xfrm>
                          <a:off x="0" y="0"/>
                          <a:ext cx="1270" cy="262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319E4F3" id="直接箭头连接符 19" o:spid="_x0000_s1026" type="#_x0000_t32" style="position:absolute;left:0;text-align:left;margin-left:189.25pt;margin-top:13.85pt;width:.1pt;height:20.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">
                <v:stroke endarrow="block"/>
              </v:shape>
            </w:pict>
          </mc:Fallback>
        </mc:AlternateContent>
      </w:r>
    </w:p>
    <w:p w:rsidR="00E07285" w:rsidRDefault="00E07285" w:rsidP="00E07285">
      <w:pPr>
        <w:spacing w:line="560" w:lineRule="exact"/>
        <w:outlineLvl w:val="0"/>
        <w:rPr>
          <w:rFonts w:ascii="仿宋_GB2312" w:hAnsi="仿宋_GB2312" w:cs="仿宋_GB2312"/>
          <w:sz w:val="28"/>
          <w:szCs w:val="28"/>
        </w:rPr>
      </w:pPr>
      <w:r>
        <w:rPr>
          <w:rFonts w:ascii="仿宋_GB2312" w:hAnsi="仿宋_GB2312" w:cs="仿宋_GB2312"/>
          <w:noProof/>
          <w:sz w:val="28"/>
          <w:szCs w:val="28"/>
        </w:rPr>
        <mc:AlternateContent>
          <mc:Choice Requires="wps">
            <w:drawing>
              <wp:anchor distT="0" distB="0" distL="114300" distR="114300" simplePos="0" relativeHeight="251670528" behindDoc="0" locked="0" layoutInCell="1" allowOverlap="1" wp14:anchorId="3D1045F1" wp14:editId="3457FA61">
                <wp:simplePos x="0" y="0"/>
                <wp:positionH relativeFrom="column">
                  <wp:posOffset>-181610</wp:posOffset>
                </wp:positionH>
                <wp:positionV relativeFrom="paragraph">
                  <wp:posOffset>139700</wp:posOffset>
                </wp:positionV>
                <wp:extent cx="5589270" cy="2291080"/>
                <wp:effectExtent l="4445" t="5080" r="14605" b="5080"/>
                <wp:wrapNone/>
                <wp:docPr id="13" name="矩形 13"/>
                <wp:cNvGraphicFramePr/>
                <a:graphic xmlns:a="http://schemas.openxmlformats.org/drawingml/2006/main">
                  <a:graphicData uri="http://schemas.microsoft.com/office/word/2010/wordprocessingShape">
                    <wps:wsp>
                      <wps:cNvSpPr/>
                      <wps:spPr>
                        <a:xfrm>
                          <a:off x="0" y="0"/>
                          <a:ext cx="5589270" cy="2291080"/>
                        </a:xfrm>
                        <a:prstGeom prst="rect">
                          <a:avLst/>
                        </a:prstGeom>
                        <a:noFill/>
                        <a:ln w="9525" cap="flat" cmpd="sng">
                          <a:solidFill>
                            <a:srgbClr val="000000"/>
                          </a:solidFill>
                          <a:prstDash val="lgDash"/>
                          <a:miter/>
                          <a:headEnd type="none" w="med" len="med"/>
                          <a:tailEnd type="none" w="med" len="med"/>
                        </a:ln>
                      </wps:spPr>
                      <wps:bodyPr upright="1"/>
                    </wps:wsp>
                  </a:graphicData>
                </a:graphic>
              </wp:anchor>
            </w:drawing>
          </mc:Choice>
          <mc:Fallback>
            <w:pict>
              <v:rect w14:anchorId="28439803" id="矩形 13" o:spid="_x0000_s1026" style="position:absolute;left:0;text-align:left;margin-left:-14.3pt;margin-top:11pt;width:440.1pt;height:180.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" filled="f">
                <v:stroke dashstyle="longDash"/>
              </v:rect>
            </w:pict>
          </mc:Fallback>
        </mc:AlternateContent>
      </w:r>
      <w:r>
        <w:rPr>
          <w:rFonts w:ascii="仿宋_GB2312" w:hAnsi="仿宋_GB2312" w:cs="仿宋_GB2312"/>
          <w:noProof/>
          <w:sz w:val="28"/>
          <w:szCs w:val="28"/>
        </w:rPr>
        <mc:AlternateContent>
          <mc:Choice Requires="wps">
            <w:drawing>
              <wp:anchor distT="0" distB="0" distL="114300" distR="114300" simplePos="0" relativeHeight="251674624" behindDoc="0" locked="0" layoutInCell="1" allowOverlap="1" wp14:anchorId="2E2D2E2F" wp14:editId="16519DD7">
                <wp:simplePos x="0" y="0"/>
                <wp:positionH relativeFrom="column">
                  <wp:posOffset>4118610</wp:posOffset>
                </wp:positionH>
                <wp:positionV relativeFrom="paragraph">
                  <wp:posOffset>286385</wp:posOffset>
                </wp:positionV>
                <wp:extent cx="1010285" cy="805180"/>
                <wp:effectExtent l="4445" t="4445" r="6350" b="13335"/>
                <wp:wrapNone/>
                <wp:docPr id="7" name="文本框 7"/>
                <wp:cNvGraphicFramePr/>
                <a:graphic xmlns:a="http://schemas.openxmlformats.org/drawingml/2006/main">
                  <a:graphicData uri="http://schemas.microsoft.com/office/word/2010/wordprocessingShape">
                    <wps:wsp>
                      <wps:cNvSpPr txBox="1"/>
                      <wps:spPr>
                        <a:xfrm>
                          <a:off x="0" y="0"/>
                          <a:ext cx="1010285" cy="805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spacing w:line="240" w:lineRule="atLeast"/>
                              <w:rPr>
                                <w:sz w:val="20"/>
                                <w:szCs w:val="20"/>
                              </w:rPr>
                            </w:pPr>
                            <w:r>
                              <w:rPr>
                                <w:rFonts w:hint="eastAsia"/>
                                <w:sz w:val="20"/>
                                <w:szCs w:val="20"/>
                              </w:rPr>
                              <w:t>管网年费用折算、输水管、管网经济计算</w:t>
                            </w:r>
                          </w:p>
                        </w:txbxContent>
                      </wps:txbx>
                      <wps:bodyPr upright="1"/>
                    </wps:wsp>
                  </a:graphicData>
                </a:graphic>
              </wp:anchor>
            </w:drawing>
          </mc:Choice>
          <mc:Fallback>
            <w:pict>
              <v:shape w14:anchorId="2E2D2E2F" id="文本框 7" o:spid="_x0000_s1031" type="#_x0000_t202" style="position:absolute;left:0;text-align:left;margin-left:324.3pt;margin-top:22.55pt;width:79.55pt;height:63.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">
                <v:textbox>
                  <w:txbxContent>
                    <w:p w:rsidR="00702523" w:rsidRDefault="00702523" w:rsidP="00E07285">
                      <w:pPr>
                        <w:spacing w:line="240" w:lineRule="atLeast"/>
                        <w:rPr>
                          <w:sz w:val="20"/>
                          <w:szCs w:val="20"/>
                        </w:rPr>
                      </w:pPr>
                      <w:r>
                        <w:rPr>
                          <w:rFonts w:hint="eastAsia"/>
                          <w:sz w:val="20"/>
                          <w:szCs w:val="20"/>
                        </w:rPr>
                        <w:t>管网年费用折算、输水管、管网经济计算</w:t>
                      </w:r>
                    </w:p>
                  </w:txbxContent>
                </v:textbox>
              </v:shape>
            </w:pict>
          </mc:Fallback>
        </mc:AlternateContent>
      </w:r>
      <w:r>
        <w:rPr>
          <w:rFonts w:ascii="仿宋_GB2312" w:hAnsi="仿宋_GB2312" w:cs="仿宋_GB2312"/>
          <w:noProof/>
          <w:sz w:val="28"/>
          <w:szCs w:val="28"/>
        </w:rPr>
        <mc:AlternateContent>
          <mc:Choice Requires="wps">
            <w:drawing>
              <wp:anchor distT="0" distB="0" distL="114300" distR="114300" simplePos="0" relativeHeight="251673600" behindDoc="0" locked="0" layoutInCell="1" allowOverlap="1" wp14:anchorId="5420EFA3" wp14:editId="0E961257">
                <wp:simplePos x="0" y="0"/>
                <wp:positionH relativeFrom="column">
                  <wp:posOffset>2797175</wp:posOffset>
                </wp:positionH>
                <wp:positionV relativeFrom="paragraph">
                  <wp:posOffset>286385</wp:posOffset>
                </wp:positionV>
                <wp:extent cx="1010285" cy="805180"/>
                <wp:effectExtent l="4445" t="4445" r="6350" b="13335"/>
                <wp:wrapNone/>
                <wp:docPr id="9" name="文本框 9"/>
                <wp:cNvGraphicFramePr/>
                <a:graphic xmlns:a="http://schemas.openxmlformats.org/drawingml/2006/main">
                  <a:graphicData uri="http://schemas.microsoft.com/office/word/2010/wordprocessingShape">
                    <wps:wsp>
                      <wps:cNvSpPr txBox="1"/>
                      <wps:spPr>
                        <a:xfrm>
                          <a:off x="0" y="0"/>
                          <a:ext cx="1010285" cy="805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spacing w:line="240" w:lineRule="atLeast"/>
                              <w:rPr>
                                <w:sz w:val="20"/>
                                <w:szCs w:val="20"/>
                              </w:rPr>
                            </w:pPr>
                            <w:r>
                              <w:rPr>
                                <w:rFonts w:hint="eastAsia"/>
                                <w:sz w:val="20"/>
                                <w:szCs w:val="20"/>
                              </w:rPr>
                              <w:t>树状网、环状网、输水管渠计算</w:t>
                            </w:r>
                          </w:p>
                        </w:txbxContent>
                      </wps:txbx>
                      <wps:bodyPr upright="1"/>
                    </wps:wsp>
                  </a:graphicData>
                </a:graphic>
              </wp:anchor>
            </w:drawing>
          </mc:Choice>
          <mc:Fallback>
            <w:pict>
              <v:shape w14:anchorId="5420EFA3" id="文本框 9" o:spid="_x0000_s1032" type="#_x0000_t202" style="position:absolute;left:0;text-align:left;margin-left:220.25pt;margin-top:22.55pt;width:79.55pt;height:63.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">
                <v:textbox>
                  <w:txbxContent>
                    <w:p w:rsidR="00702523" w:rsidRDefault="00702523" w:rsidP="00E07285">
                      <w:pPr>
                        <w:spacing w:line="240" w:lineRule="atLeast"/>
                        <w:rPr>
                          <w:sz w:val="20"/>
                          <w:szCs w:val="20"/>
                        </w:rPr>
                      </w:pPr>
                      <w:r>
                        <w:rPr>
                          <w:rFonts w:hint="eastAsia"/>
                          <w:sz w:val="20"/>
                          <w:szCs w:val="20"/>
                        </w:rPr>
                        <w:t>树状网、环状网、输水管渠计算</w:t>
                      </w:r>
                    </w:p>
                  </w:txbxContent>
                </v:textbox>
              </v:shape>
            </w:pict>
          </mc:Fallback>
        </mc:AlternateContent>
      </w:r>
      <w:r>
        <w:rPr>
          <w:rFonts w:ascii="仿宋_GB2312" w:hAnsi="仿宋_GB2312" w:cs="仿宋_GB2312"/>
          <w:noProof/>
          <w:sz w:val="28"/>
          <w:szCs w:val="28"/>
        </w:rPr>
        <mc:AlternateContent>
          <mc:Choice Requires="wps">
            <w:drawing>
              <wp:anchor distT="0" distB="0" distL="114300" distR="114300" simplePos="0" relativeHeight="251672576" behindDoc="0" locked="0" layoutInCell="1" allowOverlap="1" wp14:anchorId="2E4A4A14" wp14:editId="7308BD20">
                <wp:simplePos x="0" y="0"/>
                <wp:positionH relativeFrom="column">
                  <wp:posOffset>1282065</wp:posOffset>
                </wp:positionH>
                <wp:positionV relativeFrom="paragraph">
                  <wp:posOffset>286385</wp:posOffset>
                </wp:positionV>
                <wp:extent cx="1276985" cy="805180"/>
                <wp:effectExtent l="4445" t="4445" r="13970" b="13335"/>
                <wp:wrapNone/>
                <wp:docPr id="10" name="文本框 10"/>
                <wp:cNvGraphicFramePr/>
                <a:graphic xmlns:a="http://schemas.openxmlformats.org/drawingml/2006/main">
                  <a:graphicData uri="http://schemas.microsoft.com/office/word/2010/wordprocessingShape">
                    <wps:wsp>
                      <wps:cNvSpPr txBox="1"/>
                      <wps:spPr>
                        <a:xfrm>
                          <a:off x="0" y="0"/>
                          <a:ext cx="1276985" cy="805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spacing w:line="240" w:lineRule="atLeast"/>
                              <w:rPr>
                                <w:sz w:val="20"/>
                                <w:szCs w:val="20"/>
                              </w:rPr>
                            </w:pPr>
                            <w:r>
                              <w:rPr>
                                <w:rFonts w:hint="eastAsia"/>
                                <w:sz w:val="20"/>
                                <w:szCs w:val="20"/>
                              </w:rPr>
                              <w:t>沿线、节点、管段流量计算，管径水头损失计算，管网计算方程、方法</w:t>
                            </w:r>
                          </w:p>
                        </w:txbxContent>
                      </wps:txbx>
                      <wps:bodyPr upright="1"/>
                    </wps:wsp>
                  </a:graphicData>
                </a:graphic>
              </wp:anchor>
            </w:drawing>
          </mc:Choice>
          <mc:Fallback>
            <w:pict>
              <v:shape w14:anchorId="2E4A4A14" id="文本框 10" o:spid="_x0000_s1033" type="#_x0000_t202" style="position:absolute;left:0;text-align:left;margin-left:100.95pt;margin-top:22.55pt;width:100.55pt;height:63.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">
                <v:textbox>
                  <w:txbxContent>
                    <w:p w:rsidR="00702523" w:rsidRDefault="00702523" w:rsidP="00E07285">
                      <w:pPr>
                        <w:spacing w:line="240" w:lineRule="atLeast"/>
                        <w:rPr>
                          <w:sz w:val="20"/>
                          <w:szCs w:val="20"/>
                        </w:rPr>
                      </w:pPr>
                      <w:r>
                        <w:rPr>
                          <w:rFonts w:hint="eastAsia"/>
                          <w:sz w:val="20"/>
                          <w:szCs w:val="20"/>
                        </w:rPr>
                        <w:t>沿线、节点、管段流量计算，管径水头损失计算，管网计算方程、方法</w:t>
                      </w:r>
                    </w:p>
                  </w:txbxContent>
                </v:textbox>
              </v:shape>
            </w:pict>
          </mc:Fallback>
        </mc:AlternateContent>
      </w:r>
      <w:r>
        <w:rPr>
          <w:rFonts w:ascii="仿宋_GB2312" w:hAnsi="仿宋_GB2312" w:cs="仿宋_GB2312"/>
          <w:noProof/>
          <w:sz w:val="28"/>
          <w:szCs w:val="28"/>
        </w:rPr>
        <mc:AlternateContent>
          <mc:Choice Requires="wps">
            <w:drawing>
              <wp:anchor distT="0" distB="0" distL="114300" distR="114300" simplePos="0" relativeHeight="251671552" behindDoc="0" locked="0" layoutInCell="1" allowOverlap="1" wp14:anchorId="314C68FD" wp14:editId="5B648F32">
                <wp:simplePos x="0" y="0"/>
                <wp:positionH relativeFrom="column">
                  <wp:posOffset>143510</wp:posOffset>
                </wp:positionH>
                <wp:positionV relativeFrom="paragraph">
                  <wp:posOffset>312420</wp:posOffset>
                </wp:positionV>
                <wp:extent cx="1010285" cy="805180"/>
                <wp:effectExtent l="4445" t="4445" r="6350" b="13335"/>
                <wp:wrapNone/>
                <wp:docPr id="14" name="文本框 14"/>
                <wp:cNvGraphicFramePr/>
                <a:graphic xmlns:a="http://schemas.openxmlformats.org/drawingml/2006/main">
                  <a:graphicData uri="http://schemas.microsoft.com/office/word/2010/wordprocessingShape">
                    <wps:wsp>
                      <wps:cNvSpPr txBox="1"/>
                      <wps:spPr>
                        <a:xfrm>
                          <a:off x="0" y="0"/>
                          <a:ext cx="1010285" cy="805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spacing w:line="240" w:lineRule="atLeast"/>
                              <w:rPr>
                                <w:sz w:val="20"/>
                                <w:szCs w:val="20"/>
                              </w:rPr>
                            </w:pPr>
                            <w:r>
                              <w:rPr>
                                <w:rFonts w:hint="eastAsia"/>
                                <w:sz w:val="20"/>
                                <w:szCs w:val="20"/>
                              </w:rPr>
                              <w:t>管网布置形式、管网、输水管渠定线</w:t>
                            </w:r>
                          </w:p>
                        </w:txbxContent>
                      </wps:txbx>
                      <wps:bodyPr upright="1"/>
                    </wps:wsp>
                  </a:graphicData>
                </a:graphic>
              </wp:anchor>
            </w:drawing>
          </mc:Choice>
          <mc:Fallback>
            <w:pict>
              <v:shape w14:anchorId="314C68FD" id="文本框 14" o:spid="_x0000_s1034" type="#_x0000_t202" style="position:absolute;left:0;text-align:left;margin-left:11.3pt;margin-top:24.6pt;width:79.55pt;height:6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">
                <v:textbox>
                  <w:txbxContent>
                    <w:p w:rsidR="00702523" w:rsidRDefault="00702523" w:rsidP="00E07285">
                      <w:pPr>
                        <w:spacing w:line="240" w:lineRule="atLeast"/>
                        <w:rPr>
                          <w:sz w:val="20"/>
                          <w:szCs w:val="20"/>
                        </w:rPr>
                      </w:pPr>
                      <w:r>
                        <w:rPr>
                          <w:rFonts w:hint="eastAsia"/>
                          <w:sz w:val="20"/>
                          <w:szCs w:val="20"/>
                        </w:rPr>
                        <w:t>管网布置形式、管网、输水管渠定线</w:t>
                      </w:r>
                    </w:p>
                  </w:txbxContent>
                </v:textbox>
              </v:shape>
            </w:pict>
          </mc:Fallback>
        </mc:AlternateContent>
      </w:r>
    </w:p>
    <w:p w:rsidR="00E07285" w:rsidRDefault="00E07285" w:rsidP="00E07285">
      <w:pPr>
        <w:spacing w:line="560" w:lineRule="exact"/>
        <w:outlineLvl w:val="0"/>
        <w:rPr>
          <w:rFonts w:ascii="仿宋_GB2312" w:hAnsi="仿宋_GB2312" w:cs="仿宋_GB2312"/>
          <w:sz w:val="28"/>
          <w:szCs w:val="28"/>
        </w:rPr>
      </w:pPr>
    </w:p>
    <w:p w:rsidR="00E07285" w:rsidRDefault="00E07285" w:rsidP="00E07285">
      <w:pPr>
        <w:spacing w:line="560" w:lineRule="exact"/>
        <w:outlineLvl w:val="0"/>
        <w:rPr>
          <w:rFonts w:ascii="仿宋_GB2312" w:hAnsi="仿宋_GB2312" w:cs="仿宋_GB2312"/>
          <w:sz w:val="28"/>
          <w:szCs w:val="28"/>
        </w:rPr>
      </w:pPr>
    </w:p>
    <w:p w:rsidR="00E07285" w:rsidRDefault="00E07285" w:rsidP="00E07285">
      <w:pPr>
        <w:spacing w:line="560" w:lineRule="exact"/>
        <w:outlineLvl w:val="0"/>
        <w:rPr>
          <w:rFonts w:ascii="仿宋_GB2312" w:hAnsi="仿宋_GB2312" w:cs="仿宋_GB2312"/>
          <w:sz w:val="28"/>
          <w:szCs w:val="28"/>
        </w:rPr>
      </w:pPr>
      <w:r>
        <w:rPr>
          <w:rFonts w:ascii="仿宋_GB2312" w:hAnsi="仿宋_GB2312" w:cs="仿宋_GB2312"/>
          <w:noProof/>
          <w:sz w:val="28"/>
          <w:szCs w:val="28"/>
        </w:rPr>
        <mc:AlternateContent>
          <mc:Choice Requires="wps">
            <w:drawing>
              <wp:anchor distT="0" distB="0" distL="114300" distR="114300" simplePos="0" relativeHeight="251676672" behindDoc="0" locked="0" layoutInCell="1" allowOverlap="1" wp14:anchorId="3BD65079" wp14:editId="27DA0D99">
                <wp:simplePos x="0" y="0"/>
                <wp:positionH relativeFrom="column">
                  <wp:posOffset>2089150</wp:posOffset>
                </wp:positionH>
                <wp:positionV relativeFrom="paragraph">
                  <wp:posOffset>342265</wp:posOffset>
                </wp:positionV>
                <wp:extent cx="1010285" cy="805180"/>
                <wp:effectExtent l="4445" t="4445" r="6350" b="13335"/>
                <wp:wrapNone/>
                <wp:docPr id="11" name="文本框 11"/>
                <wp:cNvGraphicFramePr/>
                <a:graphic xmlns:a="http://schemas.openxmlformats.org/drawingml/2006/main">
                  <a:graphicData uri="http://schemas.microsoft.com/office/word/2010/wordprocessingShape">
                    <wps:wsp>
                      <wps:cNvSpPr txBox="1"/>
                      <wps:spPr>
                        <a:xfrm>
                          <a:off x="0" y="0"/>
                          <a:ext cx="1010285" cy="805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spacing w:line="240" w:lineRule="atLeast"/>
                              <w:rPr>
                                <w:sz w:val="20"/>
                                <w:szCs w:val="20"/>
                              </w:rPr>
                            </w:pPr>
                            <w:r>
                              <w:rPr>
                                <w:rFonts w:hint="eastAsia"/>
                                <w:sz w:val="20"/>
                                <w:szCs w:val="20"/>
                              </w:rPr>
                              <w:t>水管材料、配件、管网附件、附属构筑物、调节构筑物</w:t>
                            </w:r>
                          </w:p>
                        </w:txbxContent>
                      </wps:txbx>
                      <wps:bodyPr upright="1"/>
                    </wps:wsp>
                  </a:graphicData>
                </a:graphic>
              </wp:anchor>
            </w:drawing>
          </mc:Choice>
          <mc:Fallback>
            <w:pict>
              <v:shape w14:anchorId="3BD65079" id="文本框 11" o:spid="_x0000_s1035" type="#_x0000_t202" style="position:absolute;left:0;text-align:left;margin-left:164.5pt;margin-top:26.95pt;width:79.55pt;height:63.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">
                <v:textbox>
                  <w:txbxContent>
                    <w:p w:rsidR="00702523" w:rsidRDefault="00702523" w:rsidP="00E07285">
                      <w:pPr>
                        <w:spacing w:line="240" w:lineRule="atLeast"/>
                        <w:rPr>
                          <w:sz w:val="20"/>
                          <w:szCs w:val="20"/>
                        </w:rPr>
                      </w:pPr>
                      <w:r>
                        <w:rPr>
                          <w:rFonts w:hint="eastAsia"/>
                          <w:sz w:val="20"/>
                          <w:szCs w:val="20"/>
                        </w:rPr>
                        <w:t>水管材料、配件、管网附件、附属构筑物、调节构筑物</w:t>
                      </w:r>
                    </w:p>
                  </w:txbxContent>
                </v:textbox>
              </v:shape>
            </w:pict>
          </mc:Fallback>
        </mc:AlternateContent>
      </w:r>
      <w:r>
        <w:rPr>
          <w:rFonts w:ascii="仿宋_GB2312" w:hAnsi="仿宋_GB2312" w:cs="仿宋_GB2312"/>
          <w:noProof/>
          <w:sz w:val="28"/>
          <w:szCs w:val="28"/>
        </w:rPr>
        <mc:AlternateContent>
          <mc:Choice Requires="wps">
            <w:drawing>
              <wp:anchor distT="0" distB="0" distL="114300" distR="114300" simplePos="0" relativeHeight="251677696" behindDoc="0" locked="0" layoutInCell="1" allowOverlap="1" wp14:anchorId="73485FAD" wp14:editId="3A8B596C">
                <wp:simplePos x="0" y="0"/>
                <wp:positionH relativeFrom="column">
                  <wp:posOffset>3496945</wp:posOffset>
                </wp:positionH>
                <wp:positionV relativeFrom="paragraph">
                  <wp:posOffset>292735</wp:posOffset>
                </wp:positionV>
                <wp:extent cx="1538605" cy="838835"/>
                <wp:effectExtent l="5080" t="4445" r="10795" b="10160"/>
                <wp:wrapNone/>
                <wp:docPr id="12" name="文本框 12"/>
                <wp:cNvGraphicFramePr/>
                <a:graphic xmlns:a="http://schemas.openxmlformats.org/drawingml/2006/main">
                  <a:graphicData uri="http://schemas.microsoft.com/office/word/2010/wordprocessingShape">
                    <wps:wsp>
                      <wps:cNvSpPr txBox="1"/>
                      <wps:spPr>
                        <a:xfrm>
                          <a:off x="0" y="0"/>
                          <a:ext cx="1538605" cy="8388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spacing w:line="240" w:lineRule="atLeast"/>
                              <w:rPr>
                                <w:sz w:val="20"/>
                                <w:szCs w:val="20"/>
                              </w:rPr>
                            </w:pPr>
                            <w:r>
                              <w:rPr>
                                <w:rFonts w:hint="eastAsia"/>
                                <w:sz w:val="20"/>
                                <w:szCs w:val="20"/>
                              </w:rPr>
                              <w:t>管网捡漏、水压流量测定、防腐、清垢和涂料、管网技术资料、调度管理、维持管网水质</w:t>
                            </w:r>
                          </w:p>
                        </w:txbxContent>
                      </wps:txbx>
                      <wps:bodyPr upright="1"/>
                    </wps:wsp>
                  </a:graphicData>
                </a:graphic>
              </wp:anchor>
            </w:drawing>
          </mc:Choice>
          <mc:Fallback>
            <w:pict>
              <v:shape w14:anchorId="73485FAD" id="文本框 12" o:spid="_x0000_s1036" type="#_x0000_t202" style="position:absolute;left:0;text-align:left;margin-left:275.35pt;margin-top:23.05pt;width:121.15pt;height:66.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">
                <v:textbox>
                  <w:txbxContent>
                    <w:p w:rsidR="00702523" w:rsidRDefault="00702523" w:rsidP="00E07285">
                      <w:pPr>
                        <w:spacing w:line="240" w:lineRule="atLeast"/>
                        <w:rPr>
                          <w:sz w:val="20"/>
                          <w:szCs w:val="20"/>
                        </w:rPr>
                      </w:pPr>
                      <w:r>
                        <w:rPr>
                          <w:rFonts w:hint="eastAsia"/>
                          <w:sz w:val="20"/>
                          <w:szCs w:val="20"/>
                        </w:rPr>
                        <w:t>管网捡漏、水压流量测定、防腐、清垢和涂料、管网技术资料、调度管理、维持管网水质</w:t>
                      </w:r>
                    </w:p>
                  </w:txbxContent>
                </v:textbox>
              </v:shape>
            </w:pict>
          </mc:Fallback>
        </mc:AlternateContent>
      </w:r>
    </w:p>
    <w:p w:rsidR="00E07285" w:rsidRDefault="00E07285" w:rsidP="00E07285">
      <w:pPr>
        <w:spacing w:line="560" w:lineRule="exact"/>
        <w:outlineLvl w:val="0"/>
        <w:rPr>
          <w:rFonts w:ascii="仿宋_GB2312" w:hAnsi="仿宋_GB2312" w:cs="仿宋_GB2312"/>
          <w:sz w:val="28"/>
          <w:szCs w:val="28"/>
        </w:rPr>
      </w:pPr>
      <w:r>
        <w:rPr>
          <w:rFonts w:ascii="仿宋_GB2312" w:hAnsi="仿宋_GB2312" w:cs="仿宋_GB2312"/>
          <w:noProof/>
          <w:sz w:val="28"/>
          <w:szCs w:val="28"/>
        </w:rPr>
        <mc:AlternateContent>
          <mc:Choice Requires="wps">
            <w:drawing>
              <wp:anchor distT="0" distB="0" distL="114300" distR="114300" simplePos="0" relativeHeight="251675648" behindDoc="0" locked="0" layoutInCell="1" allowOverlap="1" wp14:anchorId="0EF25B87" wp14:editId="02AE14FA">
                <wp:simplePos x="0" y="0"/>
                <wp:positionH relativeFrom="column">
                  <wp:posOffset>700405</wp:posOffset>
                </wp:positionH>
                <wp:positionV relativeFrom="paragraph">
                  <wp:posOffset>17145</wp:posOffset>
                </wp:positionV>
                <wp:extent cx="1010285" cy="805180"/>
                <wp:effectExtent l="4445" t="4445" r="6350" b="13335"/>
                <wp:wrapNone/>
                <wp:docPr id="8" name="文本框 8"/>
                <wp:cNvGraphicFramePr/>
                <a:graphic xmlns:a="http://schemas.openxmlformats.org/drawingml/2006/main">
                  <a:graphicData uri="http://schemas.microsoft.com/office/word/2010/wordprocessingShape">
                    <wps:wsp>
                      <wps:cNvSpPr txBox="1"/>
                      <wps:spPr>
                        <a:xfrm>
                          <a:off x="0" y="0"/>
                          <a:ext cx="1010285" cy="805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spacing w:line="240" w:lineRule="atLeast"/>
                              <w:rPr>
                                <w:sz w:val="20"/>
                                <w:szCs w:val="20"/>
                              </w:rPr>
                            </w:pPr>
                            <w:r>
                              <w:rPr>
                                <w:rFonts w:hint="eastAsia"/>
                                <w:sz w:val="20"/>
                                <w:szCs w:val="20"/>
                              </w:rPr>
                              <w:t>分区给水系统能量分析、设计</w:t>
                            </w:r>
                          </w:p>
                        </w:txbxContent>
                      </wps:txbx>
                      <wps:bodyPr upright="1"/>
                    </wps:wsp>
                  </a:graphicData>
                </a:graphic>
              </wp:anchor>
            </w:drawing>
          </mc:Choice>
          <mc:Fallback>
            <w:pict>
              <v:shape w14:anchorId="0EF25B87" id="文本框 8" o:spid="_x0000_s1037" type="#_x0000_t202" style="position:absolute;left:0;text-align:left;margin-left:55.15pt;margin-top:1.35pt;width:79.55pt;height:63.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">
                <v:textbox>
                  <w:txbxContent>
                    <w:p w:rsidR="00702523" w:rsidRDefault="00702523" w:rsidP="00E07285">
                      <w:pPr>
                        <w:spacing w:line="240" w:lineRule="atLeast"/>
                        <w:rPr>
                          <w:sz w:val="20"/>
                          <w:szCs w:val="20"/>
                        </w:rPr>
                      </w:pPr>
                      <w:r>
                        <w:rPr>
                          <w:rFonts w:hint="eastAsia"/>
                          <w:sz w:val="20"/>
                          <w:szCs w:val="20"/>
                        </w:rPr>
                        <w:t>分区给水系统能量分析、设计</w:t>
                      </w:r>
                    </w:p>
                  </w:txbxContent>
                </v:textbox>
              </v:shape>
            </w:pict>
          </mc:Fallback>
        </mc:AlternateContent>
      </w:r>
    </w:p>
    <w:p w:rsidR="00E07285" w:rsidRDefault="00E07285" w:rsidP="00E07285">
      <w:pPr>
        <w:spacing w:line="560" w:lineRule="exact"/>
        <w:outlineLvl w:val="0"/>
        <w:rPr>
          <w:rFonts w:ascii="仿宋_GB2312" w:hAnsi="仿宋_GB2312" w:cs="仿宋_GB2312"/>
          <w:sz w:val="28"/>
          <w:szCs w:val="28"/>
        </w:rPr>
      </w:pPr>
    </w:p>
    <w:p w:rsidR="00E07285" w:rsidRDefault="00E07285" w:rsidP="00E07285">
      <w:pPr>
        <w:spacing w:line="560" w:lineRule="exact"/>
        <w:outlineLvl w:val="0"/>
        <w:rPr>
          <w:rFonts w:ascii="仿宋_GB2312" w:hAnsi="仿宋_GB2312" w:cs="仿宋_GB2312"/>
          <w:sz w:val="28"/>
          <w:szCs w:val="28"/>
        </w:rPr>
      </w:pPr>
    </w:p>
    <w:p w:rsidR="00E07285" w:rsidRDefault="00E07285" w:rsidP="00E07285">
      <w:pPr>
        <w:spacing w:line="560" w:lineRule="exact"/>
        <w:outlineLvl w:val="0"/>
        <w:rPr>
          <w:rFonts w:ascii="仿宋_GB2312" w:hAnsi="仿宋_GB2312" w:cs="仿宋_GB2312"/>
          <w:sz w:val="28"/>
          <w:szCs w:val="28"/>
        </w:rPr>
      </w:pPr>
    </w:p>
    <w:p w:rsidR="00E07285" w:rsidRDefault="00E07285" w:rsidP="00E07285">
      <w:pPr>
        <w:spacing w:line="560" w:lineRule="exact"/>
        <w:outlineLvl w:val="0"/>
        <w:rPr>
          <w:rFonts w:ascii="仿宋_GB2312" w:hAnsi="仿宋_GB2312" w:cs="仿宋_GB2312"/>
          <w:sz w:val="28"/>
          <w:szCs w:val="28"/>
        </w:rPr>
      </w:pPr>
      <w:r>
        <w:rPr>
          <w:rFonts w:ascii="仿宋_GB2312" w:hAnsi="仿宋_GB2312" w:cs="仿宋_GB2312"/>
          <w:sz w:val="28"/>
          <w:szCs w:val="28"/>
        </w:rPr>
        <w:t>（二）具体教学内容</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709"/>
        <w:gridCol w:w="2551"/>
        <w:gridCol w:w="4391"/>
      </w:tblGrid>
      <w:tr w:rsidR="00E07285" w:rsidTr="00E07285">
        <w:trPr>
          <w:cantSplit/>
          <w:trHeight w:val="389"/>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序号</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kern w:val="0"/>
                <w:sz w:val="20"/>
                <w:szCs w:val="20"/>
              </w:rPr>
              <w:t>节</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参考学时</w:t>
            </w:r>
          </w:p>
        </w:tc>
        <w:tc>
          <w:tcPr>
            <w:tcW w:w="2551" w:type="dxa"/>
            <w:vAlign w:val="center"/>
          </w:tcPr>
          <w:p w:rsidR="00E07285" w:rsidRDefault="00E07285" w:rsidP="00E07285">
            <w:pPr>
              <w:spacing w:line="360" w:lineRule="auto"/>
              <w:ind w:firstLineChars="450" w:firstLine="900"/>
              <w:jc w:val="left"/>
              <w:rPr>
                <w:rFonts w:ascii="Times New Roman" w:hAnsi="Times New Roman"/>
                <w:kern w:val="0"/>
                <w:sz w:val="20"/>
                <w:szCs w:val="20"/>
              </w:rPr>
            </w:pPr>
            <w:r>
              <w:rPr>
                <w:rFonts w:ascii="Times New Roman" w:hAnsi="Times New Roman"/>
                <w:kern w:val="0"/>
                <w:sz w:val="20"/>
                <w:szCs w:val="20"/>
              </w:rPr>
              <w:t>教学内容</w:t>
            </w:r>
          </w:p>
        </w:tc>
        <w:tc>
          <w:tcPr>
            <w:tcW w:w="4391"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基本要求</w:t>
            </w:r>
          </w:p>
        </w:tc>
      </w:tr>
      <w:tr w:rsidR="00E07285" w:rsidTr="00E07285">
        <w:trPr>
          <w:cantSplit/>
          <w:trHeight w:val="990"/>
        </w:trPr>
        <w:tc>
          <w:tcPr>
            <w:tcW w:w="534" w:type="dxa"/>
            <w:vAlign w:val="center"/>
          </w:tcPr>
          <w:p w:rsidR="00E07285" w:rsidRDefault="00E07285" w:rsidP="00E07285">
            <w:pPr>
              <w:spacing w:line="360" w:lineRule="auto"/>
              <w:jc w:val="center"/>
              <w:rPr>
                <w:rFonts w:ascii="Times New Roman" w:hAnsi="Times New Roman"/>
                <w:kern w:val="0"/>
                <w:sz w:val="20"/>
                <w:szCs w:val="20"/>
              </w:rPr>
            </w:pPr>
            <w:bookmarkStart w:id="39" w:name="_Hlk69939609"/>
            <w:r>
              <w:rPr>
                <w:rFonts w:ascii="Times New Roman" w:hAnsi="Times New Roman"/>
                <w:kern w:val="0"/>
                <w:sz w:val="20"/>
                <w:szCs w:val="20"/>
              </w:rPr>
              <w:t>1</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第一章</w:t>
            </w:r>
          </w:p>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给水系统</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2</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给水系统分类</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给水系统的组成和布置</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影响给水系统布置的因素</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工业给水系统</w:t>
            </w:r>
          </w:p>
        </w:tc>
        <w:tc>
          <w:tcPr>
            <w:tcW w:w="439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掌握给水系统分类和结构，明晰影响系统布置的因素，区分理解工业给水系统的特殊性。</w:t>
            </w:r>
          </w:p>
        </w:tc>
      </w:tr>
      <w:tr w:rsidR="00E07285" w:rsidTr="00E07285">
        <w:trPr>
          <w:trHeight w:val="2430"/>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lastRenderedPageBreak/>
              <w:t>2</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第二章</w:t>
            </w:r>
          </w:p>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设计用水量</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2</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用水量定额</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用水量变化</w:t>
            </w:r>
          </w:p>
          <w:p w:rsidR="00E07285" w:rsidRDefault="00E07285" w:rsidP="00E07285">
            <w:pPr>
              <w:spacing w:line="360" w:lineRule="auto"/>
              <w:ind w:left="600" w:hangingChars="300" w:hanging="600"/>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用水量计算</w:t>
            </w:r>
          </w:p>
        </w:tc>
        <w:tc>
          <w:tcPr>
            <w:tcW w:w="4391" w:type="dxa"/>
            <w:vAlign w:val="center"/>
          </w:tcPr>
          <w:p w:rsidR="00E07285" w:rsidRDefault="00E07285" w:rsidP="00E07285">
            <w:pPr>
              <w:widowControl/>
              <w:spacing w:line="360" w:lineRule="auto"/>
              <w:jc w:val="left"/>
              <w:rPr>
                <w:rFonts w:ascii="Times New Roman" w:hAnsi="Times New Roman"/>
                <w:kern w:val="0"/>
                <w:sz w:val="20"/>
                <w:szCs w:val="20"/>
              </w:rPr>
            </w:pPr>
            <w:r>
              <w:rPr>
                <w:rFonts w:ascii="Times New Roman" w:hAnsi="Times New Roman" w:hint="eastAsia"/>
                <w:kern w:val="0"/>
                <w:sz w:val="20"/>
                <w:szCs w:val="20"/>
              </w:rPr>
              <w:t>掌握给水系统的理论知识，对用水量的设计理论，计算方法和计算过程熟练掌握。</w:t>
            </w:r>
          </w:p>
        </w:tc>
      </w:tr>
      <w:tr w:rsidR="00E07285" w:rsidTr="00E07285">
        <w:trPr>
          <w:trHeight w:val="2203"/>
        </w:trPr>
        <w:tc>
          <w:tcPr>
            <w:tcW w:w="534" w:type="dxa"/>
            <w:vAlign w:val="center"/>
          </w:tcPr>
          <w:p w:rsidR="00E07285" w:rsidRDefault="00E07285" w:rsidP="00E07285">
            <w:pPr>
              <w:spacing w:line="360" w:lineRule="auto"/>
              <w:jc w:val="center"/>
              <w:rPr>
                <w:rFonts w:ascii="Times New Roman" w:hAnsi="Times New Roman"/>
                <w:kern w:val="0"/>
                <w:sz w:val="20"/>
                <w:szCs w:val="20"/>
              </w:rPr>
            </w:pPr>
          </w:p>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3</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第三章</w:t>
            </w:r>
          </w:p>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给水系统的</w:t>
            </w:r>
          </w:p>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工作情况</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2</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给水系统的流量关系</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水塔和清水池的容积计算</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给水系统的水压关系</w:t>
            </w:r>
          </w:p>
        </w:tc>
        <w:tc>
          <w:tcPr>
            <w:tcW w:w="4391" w:type="dxa"/>
            <w:vAlign w:val="center"/>
          </w:tcPr>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掌握给水系统理论知识，明晰给水系统的流量关系和水压关系，掌握水塔和清水池的容积计算。</w:t>
            </w:r>
          </w:p>
        </w:tc>
      </w:tr>
      <w:tr w:rsidR="00E07285" w:rsidTr="00E07285">
        <w:trPr>
          <w:trHeight w:val="274"/>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4</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第四章</w:t>
            </w:r>
          </w:p>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管网和输水管渠布置</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1</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管网布置形式</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管网定线</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输水管定线</w:t>
            </w:r>
          </w:p>
        </w:tc>
        <w:tc>
          <w:tcPr>
            <w:tcW w:w="439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了解管网布置形式及其选择条件，掌握城市管网定线的考虑要素以及干管和工厂、学校、医院等分配管之间的连接方式，了解输水灌渠形式，掌握管渠定线基本原则，管渠输配选择和输水方式。</w:t>
            </w:r>
          </w:p>
        </w:tc>
      </w:tr>
      <w:tr w:rsidR="00E07285" w:rsidTr="00E07285">
        <w:trPr>
          <w:trHeight w:val="1204"/>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5</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第五章</w:t>
            </w:r>
          </w:p>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管段流量、管径和水头损失</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4</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管网计算的课题</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管网图形及简化</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沿线流量和节点流量</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管段计算流量</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管径计算</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hint="eastAsia"/>
                <w:kern w:val="0"/>
                <w:sz w:val="20"/>
                <w:szCs w:val="20"/>
              </w:rPr>
              <w:t>水头损失计算</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7.</w:t>
            </w:r>
            <w:r>
              <w:rPr>
                <w:rFonts w:ascii="Times New Roman" w:hAnsi="Times New Roman" w:hint="eastAsia"/>
                <w:kern w:val="0"/>
                <w:sz w:val="20"/>
                <w:szCs w:val="20"/>
              </w:rPr>
              <w:t>管网计算基础方程</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8.</w:t>
            </w:r>
            <w:r>
              <w:rPr>
                <w:rFonts w:ascii="Times New Roman" w:hAnsi="Times New Roman" w:hint="eastAsia"/>
                <w:kern w:val="0"/>
                <w:sz w:val="20"/>
                <w:szCs w:val="20"/>
              </w:rPr>
              <w:t>管网计算方法分类</w:t>
            </w:r>
          </w:p>
        </w:tc>
        <w:tc>
          <w:tcPr>
            <w:tcW w:w="4391" w:type="dxa"/>
            <w:vAlign w:val="center"/>
          </w:tcPr>
          <w:p w:rsidR="00E07285" w:rsidRDefault="00E07285" w:rsidP="00E07285">
            <w:pPr>
              <w:snapToGrid w:val="0"/>
              <w:spacing w:line="360" w:lineRule="auto"/>
              <w:jc w:val="left"/>
              <w:rPr>
                <w:rFonts w:ascii="Times New Roman" w:hAnsi="Times New Roman"/>
                <w:kern w:val="0"/>
                <w:sz w:val="20"/>
                <w:szCs w:val="20"/>
              </w:rPr>
            </w:pPr>
            <w:r>
              <w:rPr>
                <w:rFonts w:ascii="Times New Roman" w:hAnsi="Times New Roman" w:hint="eastAsia"/>
                <w:kern w:val="0"/>
                <w:sz w:val="20"/>
                <w:szCs w:val="20"/>
              </w:rPr>
              <w:t>掌握管网系统理论知识和设计方法。熟练掌握管网计算步骤，能够熟练简化管线，进行沿线流量和节点流量计算，明晰设计原理，并能相对应参数进行技术分析，熟练掌握树状管网、环状管网的流量分配、管径计算和水头损失计算，熟悉管网计算原理得出的连续性方程和能量方程，了解管网水力计算方法的分类。</w:t>
            </w:r>
          </w:p>
        </w:tc>
      </w:tr>
      <w:tr w:rsidR="00E07285" w:rsidTr="00E07285">
        <w:trPr>
          <w:trHeight w:val="1204"/>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6</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第六章</w:t>
            </w:r>
          </w:p>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管网水力计算</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4</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树状管网计算</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环状网计算原理</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环状网平差方法</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输水管（渠）计算</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应用计算机解管网问题</w:t>
            </w:r>
          </w:p>
        </w:tc>
        <w:tc>
          <w:tcPr>
            <w:tcW w:w="4391" w:type="dxa"/>
            <w:vAlign w:val="center"/>
          </w:tcPr>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熟练掌握树状管网的水力计算过程。熟练掌握控制点的选择，管网流量设计，水头损失计算。了解环状管网计算原理，熟练掌握环状网计算，熟悉哈代</w:t>
            </w:r>
            <w:r>
              <w:rPr>
                <w:rFonts w:ascii="Times New Roman" w:hAnsi="Times New Roman" w:hint="eastAsia"/>
                <w:kern w:val="0"/>
                <w:sz w:val="20"/>
                <w:szCs w:val="20"/>
              </w:rPr>
              <w:t>-</w:t>
            </w:r>
            <w:r>
              <w:rPr>
                <w:rFonts w:ascii="Times New Roman" w:hAnsi="Times New Roman" w:hint="eastAsia"/>
                <w:kern w:val="0"/>
                <w:sz w:val="20"/>
                <w:szCs w:val="20"/>
              </w:rPr>
              <w:t>克罗斯法和最大闭合差的环校正法，掌握多水源时的管网计算以及最终管网的核算。掌握输水管渠计算，输水管渠设计流量的选定以及重</w:t>
            </w:r>
            <w:r>
              <w:rPr>
                <w:rFonts w:ascii="Times New Roman" w:hAnsi="Times New Roman" w:hint="eastAsia"/>
                <w:kern w:val="0"/>
                <w:sz w:val="20"/>
                <w:szCs w:val="20"/>
              </w:rPr>
              <w:lastRenderedPageBreak/>
              <w:t>力供水和水泵供水时的压力输水管水力计算。了解应用计算机运算解决管网问题。</w:t>
            </w:r>
          </w:p>
        </w:tc>
      </w:tr>
      <w:tr w:rsidR="00E07285" w:rsidTr="00E07285">
        <w:trPr>
          <w:trHeight w:val="1204"/>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lastRenderedPageBreak/>
              <w:t>7</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第七章</w:t>
            </w:r>
          </w:p>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管网技术</w:t>
            </w:r>
          </w:p>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经济计算</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2</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管网年费用折算值</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输水管的技术经济计算</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管网技术经济计算</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近似优化计算</w:t>
            </w:r>
          </w:p>
        </w:tc>
        <w:tc>
          <w:tcPr>
            <w:tcW w:w="4391" w:type="dxa"/>
            <w:vAlign w:val="center"/>
          </w:tcPr>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了解管网年费用折算中的目标函数和函数的约束条件以及变量关系，分别区分掌握压力和重力输水管的技术经济计算，掌握管网的技术经济计算，包括起点水压未给与起点水压已给两类。熟悉近似计算方法，掌握界限流量、经济管径和折算流量的计算方法。</w:t>
            </w:r>
          </w:p>
        </w:tc>
      </w:tr>
      <w:tr w:rsidR="00E07285" w:rsidTr="00E07285">
        <w:trPr>
          <w:trHeight w:val="1204"/>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8</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第八章</w:t>
            </w:r>
          </w:p>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分区给水系统</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2</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分区给水的能量分析</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分区给水系统的设计</w:t>
            </w:r>
          </w:p>
        </w:tc>
        <w:tc>
          <w:tcPr>
            <w:tcW w:w="4391" w:type="dxa"/>
            <w:vAlign w:val="center"/>
          </w:tcPr>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熟悉分区给水系统的分类，熟练掌握输水管和管网的供水能量分析，能够采用适当的串或并联方式进行给水系统的设计。</w:t>
            </w:r>
          </w:p>
        </w:tc>
      </w:tr>
      <w:tr w:rsidR="00E07285" w:rsidTr="00E07285">
        <w:trPr>
          <w:trHeight w:val="1204"/>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9</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第九章</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水管、管网附件和附属构筑物</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2</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水管材料和配件</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管网附件</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管网附属构筑物</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调节构筑物</w:t>
            </w:r>
          </w:p>
        </w:tc>
        <w:tc>
          <w:tcPr>
            <w:tcW w:w="4391" w:type="dxa"/>
            <w:vAlign w:val="center"/>
          </w:tcPr>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掌握水管各种不同材料的优缺点和连接方式，熟悉管网附件如各种阀门、止回阀、排气阀、泄水阀及消火栓的作用原理，了解附属构筑物阀门井、支墩等及调节构筑物水塔、水池等的作用。</w:t>
            </w:r>
          </w:p>
        </w:tc>
      </w:tr>
      <w:tr w:rsidR="00E07285" w:rsidTr="00E07285">
        <w:trPr>
          <w:trHeight w:val="1204"/>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0</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第十章</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管网的技术管理</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1</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管网技术资料</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检漏</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管网水压和流量测定</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水管防腐蚀</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清垢和涂料</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hint="eastAsia"/>
                <w:kern w:val="0"/>
                <w:sz w:val="20"/>
                <w:szCs w:val="20"/>
              </w:rPr>
              <w:t>维持管网水质</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7.</w:t>
            </w:r>
            <w:r>
              <w:rPr>
                <w:rFonts w:ascii="Times New Roman" w:hAnsi="Times New Roman" w:hint="eastAsia"/>
                <w:kern w:val="0"/>
                <w:sz w:val="20"/>
                <w:szCs w:val="20"/>
              </w:rPr>
              <w:t>调度管理</w:t>
            </w:r>
          </w:p>
        </w:tc>
        <w:tc>
          <w:tcPr>
            <w:tcW w:w="4391" w:type="dxa"/>
            <w:vAlign w:val="center"/>
          </w:tcPr>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了解管网技术管理的日常工作，尤其对水管的检漏方法，管网水压和流量测定以及防腐蚀和清垢方法充分理解，并能解决工程问题。</w:t>
            </w:r>
          </w:p>
        </w:tc>
      </w:tr>
    </w:tbl>
    <w:bookmarkEnd w:id="39"/>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本课程考核方式</w:t>
      </w:r>
      <w:r>
        <w:rPr>
          <w:rFonts w:ascii="仿宋_GB2312" w:hAnsi="仿宋_GB2312" w:cs="仿宋_GB2312"/>
          <w:sz w:val="28"/>
          <w:szCs w:val="28"/>
        </w:rPr>
        <w:t>为考</w:t>
      </w:r>
      <w:r>
        <w:rPr>
          <w:rFonts w:ascii="仿宋_GB2312" w:hAnsi="仿宋_GB2312" w:cs="仿宋_GB2312" w:hint="eastAsia"/>
          <w:sz w:val="28"/>
          <w:szCs w:val="28"/>
        </w:rPr>
        <w:t>试。</w:t>
      </w:r>
    </w:p>
    <w:p w:rsidR="00E07285" w:rsidRDefault="00E07285"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E07285" w:rsidRDefault="00E07285" w:rsidP="00E07285">
      <w:pPr>
        <w:spacing w:line="560" w:lineRule="exact"/>
        <w:ind w:left="560"/>
        <w:rPr>
          <w:rFonts w:ascii="仿宋_GB2312" w:hAnsi="仿宋_GB2312" w:cs="仿宋_GB2312"/>
          <w:sz w:val="28"/>
          <w:szCs w:val="28"/>
        </w:rPr>
      </w:pPr>
      <w:r>
        <w:rPr>
          <w:rFonts w:ascii="仿宋_GB2312" w:hAnsi="仿宋_GB2312" w:cs="仿宋_GB2312" w:hint="eastAsia"/>
          <w:sz w:val="28"/>
          <w:szCs w:val="28"/>
        </w:rPr>
        <w:t>成绩评定方式</w:t>
      </w:r>
      <w:r>
        <w:rPr>
          <w:rFonts w:ascii="仿宋_GB2312" w:hAnsi="仿宋_GB2312" w:cs="仿宋_GB2312"/>
          <w:sz w:val="28"/>
          <w:szCs w:val="28"/>
        </w:rPr>
        <w:t>采用百分</w:t>
      </w:r>
      <w:r>
        <w:rPr>
          <w:rFonts w:ascii="仿宋_GB2312" w:hAnsi="仿宋_GB2312" w:cs="仿宋_GB2312" w:hint="eastAsia"/>
          <w:sz w:val="28"/>
          <w:szCs w:val="28"/>
        </w:rPr>
        <w:t>制</w:t>
      </w:r>
      <w:r>
        <w:rPr>
          <w:rFonts w:ascii="仿宋_GB2312" w:hAnsi="仿宋_GB2312" w:cs="仿宋_GB2312"/>
          <w:sz w:val="28"/>
          <w:szCs w:val="28"/>
        </w:rPr>
        <w:t>。</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本课程不设课外学时，针对难点和重点，通过每章节布置一定数量思考题和习题对</w:t>
      </w:r>
      <w:r>
        <w:rPr>
          <w:rFonts w:ascii="仿宋_GB2312" w:eastAsia="仿宋_GB2312" w:hAnsi="仿宋_GB2312" w:cs="仿宋_GB2312"/>
          <w:sz w:val="28"/>
          <w:szCs w:val="28"/>
        </w:rPr>
        <w:t>学生进行</w:t>
      </w:r>
      <w:r>
        <w:rPr>
          <w:rFonts w:ascii="仿宋_GB2312" w:eastAsia="仿宋_GB2312" w:hAnsi="仿宋_GB2312" w:cs="仿宋_GB2312" w:hint="eastAsia"/>
          <w:sz w:val="28"/>
          <w:szCs w:val="28"/>
        </w:rPr>
        <w:t>训练，使学生加深对所学知识的理解和掌握。</w:t>
      </w:r>
      <w:r>
        <w:rPr>
          <w:rFonts w:ascii="仿宋_GB2312" w:eastAsia="仿宋_GB2312" w:hAnsi="仿宋_GB2312" w:cs="仿宋_GB2312"/>
          <w:sz w:val="28"/>
          <w:szCs w:val="28"/>
        </w:rPr>
        <w:t>采用期末成绩</w:t>
      </w:r>
      <w:r>
        <w:rPr>
          <w:rFonts w:ascii="仿宋_GB2312" w:eastAsia="仿宋_GB2312" w:hAnsi="仿宋_GB2312" w:cs="仿宋_GB2312" w:hint="eastAsia"/>
          <w:sz w:val="28"/>
          <w:szCs w:val="28"/>
        </w:rPr>
        <w:t>+平时</w:t>
      </w:r>
      <w:r>
        <w:rPr>
          <w:rFonts w:ascii="仿宋_GB2312" w:eastAsia="仿宋_GB2312" w:hAnsi="仿宋_GB2312" w:cs="仿宋_GB2312"/>
          <w:sz w:val="28"/>
          <w:szCs w:val="28"/>
        </w:rPr>
        <w:t>成绩确定课程总成绩，</w:t>
      </w:r>
      <w:r>
        <w:rPr>
          <w:rFonts w:ascii="仿宋_GB2312" w:eastAsia="仿宋_GB2312" w:hAnsi="仿宋_GB2312" w:cs="仿宋_GB2312" w:hint="eastAsia"/>
          <w:sz w:val="28"/>
          <w:szCs w:val="28"/>
        </w:rPr>
        <w:t>其中平时成绩主要包括考勤、作业和讨论等环节，期末考试采取考试方式。期末考试成绩占8</w:t>
      </w:r>
      <w:r>
        <w:rPr>
          <w:rFonts w:ascii="仿宋_GB2312" w:eastAsia="仿宋_GB2312" w:hAnsi="仿宋_GB2312" w:cs="仿宋_GB2312"/>
          <w:sz w:val="28"/>
          <w:szCs w:val="28"/>
        </w:rPr>
        <w:t>0</w:t>
      </w:r>
      <w:r>
        <w:rPr>
          <w:rFonts w:ascii="仿宋_GB2312" w:eastAsia="仿宋_GB2312" w:hAnsi="仿宋_GB2312" w:cs="仿宋_GB2312" w:hint="eastAsia"/>
          <w:sz w:val="28"/>
          <w:szCs w:val="28"/>
        </w:rPr>
        <w:t>%</w:t>
      </w:r>
      <w:r>
        <w:rPr>
          <w:rFonts w:ascii="仿宋" w:eastAsia="仿宋" w:hAnsi="仿宋" w:cs="仿宋_GB2312" w:hint="eastAsia"/>
          <w:sz w:val="28"/>
          <w:szCs w:val="28"/>
        </w:rPr>
        <w:t>～</w:t>
      </w:r>
      <w:r>
        <w:rPr>
          <w:rFonts w:ascii="仿宋_GB2312" w:eastAsia="仿宋_GB2312" w:hAnsi="仿宋_GB2312" w:cs="仿宋_GB2312" w:hint="eastAsia"/>
          <w:sz w:val="28"/>
          <w:szCs w:val="28"/>
        </w:rPr>
        <w:t>70%，平时成绩占20%</w:t>
      </w:r>
      <w:r>
        <w:rPr>
          <w:rFonts w:ascii="仿宋" w:eastAsia="仿宋" w:hAnsi="仿宋" w:cs="仿宋_GB2312" w:hint="eastAsia"/>
          <w:sz w:val="28"/>
          <w:szCs w:val="28"/>
        </w:rPr>
        <w:t>～</w:t>
      </w:r>
      <w:r>
        <w:rPr>
          <w:rFonts w:ascii="仿宋_GB2312" w:eastAsia="仿宋_GB2312" w:hAnsi="仿宋_GB2312" w:cs="仿宋_GB2312"/>
          <w:sz w:val="28"/>
          <w:szCs w:val="28"/>
        </w:rPr>
        <w:t>30%</w:t>
      </w:r>
      <w:r>
        <w:rPr>
          <w:rFonts w:ascii="仿宋_GB2312" w:eastAsia="仿宋_GB2312" w:hAnsi="仿宋_GB2312" w:cs="仿宋_GB2312" w:hint="eastAsia"/>
          <w:sz w:val="28"/>
          <w:szCs w:val="28"/>
        </w:rPr>
        <w:t>。</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sz w:val="28"/>
          <w:szCs w:val="28"/>
        </w:rPr>
        <w:t>课程总成绩=期末成绩（</w:t>
      </w:r>
      <w:r>
        <w:rPr>
          <w:rFonts w:ascii="仿宋_GB2312" w:eastAsia="仿宋_GB2312" w:hAnsi="仿宋_GB2312" w:cs="仿宋_GB2312" w:hint="eastAsia"/>
          <w:sz w:val="28"/>
          <w:szCs w:val="28"/>
        </w:rPr>
        <w:t>8</w:t>
      </w:r>
      <w:r>
        <w:rPr>
          <w:rFonts w:ascii="仿宋_GB2312" w:eastAsia="仿宋_GB2312" w:hAnsi="仿宋_GB2312" w:cs="仿宋_GB2312"/>
          <w:sz w:val="28"/>
          <w:szCs w:val="28"/>
        </w:rPr>
        <w:t>0</w:t>
      </w:r>
      <w:r>
        <w:rPr>
          <w:rFonts w:ascii="仿宋" w:eastAsia="仿宋" w:hAnsi="仿宋" w:cs="仿宋_GB2312" w:hint="eastAsia"/>
          <w:sz w:val="28"/>
          <w:szCs w:val="28"/>
        </w:rPr>
        <w:t>～</w:t>
      </w:r>
      <w:r>
        <w:rPr>
          <w:rFonts w:ascii="仿宋_GB2312" w:eastAsia="仿宋_GB2312" w:hAnsi="仿宋_GB2312" w:cs="仿宋_GB2312" w:hint="eastAsia"/>
          <w:sz w:val="28"/>
          <w:szCs w:val="28"/>
        </w:rPr>
        <w:t>70</w:t>
      </w:r>
      <w:r>
        <w:rPr>
          <w:rFonts w:ascii="仿宋_GB2312" w:eastAsia="仿宋_GB2312" w:hAnsi="仿宋_GB2312" w:cs="仿宋_GB2312"/>
          <w:sz w:val="28"/>
          <w:szCs w:val="28"/>
        </w:rPr>
        <w:t>）% + 平时成绩（</w:t>
      </w:r>
      <w:r>
        <w:rPr>
          <w:rFonts w:ascii="仿宋_GB2312" w:eastAsia="仿宋_GB2312" w:hAnsi="仿宋_GB2312" w:cs="仿宋_GB2312" w:hint="eastAsia"/>
          <w:sz w:val="28"/>
          <w:szCs w:val="28"/>
        </w:rPr>
        <w:t>20</w:t>
      </w:r>
      <w:r>
        <w:rPr>
          <w:rFonts w:ascii="仿宋" w:eastAsia="仿宋" w:hAnsi="仿宋" w:cs="仿宋_GB2312" w:hint="eastAsia"/>
          <w:sz w:val="28"/>
          <w:szCs w:val="28"/>
        </w:rPr>
        <w:t>～</w:t>
      </w:r>
      <w:r>
        <w:rPr>
          <w:rFonts w:ascii="仿宋_GB2312" w:eastAsia="仿宋_GB2312" w:hAnsi="仿宋_GB2312" w:cs="仿宋_GB2312"/>
          <w:sz w:val="28"/>
          <w:szCs w:val="28"/>
        </w:rPr>
        <w:t>30）</w:t>
      </w:r>
      <w:r>
        <w:rPr>
          <w:rFonts w:ascii="仿宋_GB2312" w:eastAsia="仿宋_GB2312" w:hAnsi="仿宋_GB2312" w:cs="仿宋_GB2312" w:hint="eastAsia"/>
          <w:sz w:val="28"/>
          <w:szCs w:val="28"/>
        </w:rPr>
        <w:t>%</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E07285" w:rsidRDefault="00E07285" w:rsidP="00E07285">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sz w:val="28"/>
          <w:szCs w:val="28"/>
        </w:rPr>
        <w:t>严煦世、范瑾初主编，《给水工程》(第四版)，</w:t>
      </w:r>
      <w:r>
        <w:rPr>
          <w:rFonts w:ascii="仿宋_GB2312" w:eastAsia="仿宋_GB2312" w:hAnsi="仿宋_GB2312" w:cs="仿宋_GB2312" w:hint="eastAsia"/>
          <w:sz w:val="28"/>
          <w:szCs w:val="28"/>
        </w:rPr>
        <w:t>北京：</w:t>
      </w:r>
      <w:r>
        <w:rPr>
          <w:rFonts w:ascii="仿宋_GB2312" w:eastAsia="仿宋_GB2312" w:hAnsi="仿宋_GB2312" w:cs="仿宋_GB2312"/>
          <w:sz w:val="28"/>
          <w:szCs w:val="28"/>
        </w:rPr>
        <w:t>中国建筑工业出版社，1999年12月。</w:t>
      </w:r>
    </w:p>
    <w:p w:rsidR="00E07285" w:rsidRDefault="00E07285" w:rsidP="00E07285">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sz w:val="28"/>
          <w:szCs w:val="28"/>
        </w:rPr>
        <w:t>（1）</w:t>
      </w:r>
      <w:r>
        <w:rPr>
          <w:rFonts w:ascii="仿宋_GB2312" w:eastAsia="仿宋_GB2312" w:hAnsi="仿宋_GB2312" w:cs="仿宋_GB2312" w:hint="eastAsia"/>
          <w:sz w:val="28"/>
          <w:szCs w:val="28"/>
        </w:rPr>
        <w:t>《给水管网设计理论与计算》，严煦世，中国建筑工业出版社</w:t>
      </w:r>
    </w:p>
    <w:p w:rsidR="00E07285" w:rsidRDefault="00E07285" w:rsidP="00E07285">
      <w:pPr>
        <w:pStyle w:val="a3"/>
        <w:spacing w:line="560" w:lineRule="exact"/>
        <w:ind w:leftChars="200" w:left="1480" w:hangingChars="300" w:hanging="84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给水</w:t>
      </w:r>
      <w:r>
        <w:rPr>
          <w:rFonts w:ascii="仿宋_GB2312" w:eastAsia="仿宋_GB2312" w:hAnsi="仿宋_GB2312" w:cs="仿宋_GB2312"/>
          <w:sz w:val="28"/>
          <w:szCs w:val="28"/>
        </w:rPr>
        <w:t>排水设计手册</w:t>
      </w:r>
      <w:r>
        <w:rPr>
          <w:rFonts w:ascii="仿宋_GB2312" w:eastAsia="仿宋_GB2312" w:hAnsi="仿宋_GB2312" w:cs="仿宋_GB2312" w:hint="eastAsia"/>
          <w:sz w:val="28"/>
          <w:szCs w:val="28"/>
        </w:rPr>
        <w:t>-第0</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 xml:space="preserve">册 </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，上海</w:t>
      </w:r>
      <w:r>
        <w:rPr>
          <w:rFonts w:ascii="仿宋_GB2312" w:eastAsia="仿宋_GB2312" w:hAnsi="仿宋_GB2312" w:cs="仿宋_GB2312"/>
          <w:sz w:val="28"/>
          <w:szCs w:val="28"/>
        </w:rPr>
        <w:t>市政工程设计研究院</w:t>
      </w:r>
      <w:r>
        <w:rPr>
          <w:rFonts w:ascii="仿宋_GB2312" w:eastAsia="仿宋_GB2312" w:hAnsi="仿宋_GB2312" w:cs="仿宋_GB2312" w:hint="eastAsia"/>
          <w:sz w:val="28"/>
          <w:szCs w:val="28"/>
        </w:rPr>
        <w:t>主编，</w:t>
      </w:r>
      <w:r>
        <w:rPr>
          <w:rFonts w:ascii="仿宋_GB2312" w:eastAsia="仿宋_GB2312" w:hAnsi="仿宋_GB2312" w:cs="仿宋_GB2312"/>
          <w:sz w:val="28"/>
          <w:szCs w:val="28"/>
        </w:rPr>
        <w:t>中国建筑工业出版社</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E07285" w:rsidRDefault="00E07285" w:rsidP="00E07285">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E07285" w:rsidRDefault="00E07285" w:rsidP="00E07285">
      <w:pPr>
        <w:spacing w:line="560" w:lineRule="exact"/>
        <w:ind w:firstLineChars="1350" w:firstLine="3780"/>
        <w:rPr>
          <w:rFonts w:ascii="仿宋_GB2312" w:hAnsi="仿宋_GB2312" w:cs="仿宋_GB2312"/>
          <w:sz w:val="28"/>
          <w:szCs w:val="28"/>
        </w:rPr>
      </w:pPr>
      <w:r>
        <w:rPr>
          <w:rFonts w:ascii="仿宋_GB2312" w:hAnsi="仿宋_GB2312" w:cs="仿宋_GB2312" w:hint="eastAsia"/>
          <w:sz w:val="28"/>
          <w:szCs w:val="28"/>
        </w:rPr>
        <w:t>大纲撰写人：王彤 高</w:t>
      </w:r>
      <w:r>
        <w:rPr>
          <w:rFonts w:ascii="仿宋_GB2312" w:hAnsi="仿宋_GB2312" w:cs="仿宋_GB2312"/>
          <w:sz w:val="28"/>
          <w:szCs w:val="28"/>
        </w:rPr>
        <w:t>晓梅</w:t>
      </w:r>
    </w:p>
    <w:p w:rsidR="00E07285" w:rsidRDefault="00E07285" w:rsidP="00E07285">
      <w:pPr>
        <w:spacing w:line="560" w:lineRule="exact"/>
        <w:ind w:firstLineChars="1350" w:firstLine="3780"/>
        <w:rPr>
          <w:rFonts w:ascii="仿宋_GB2312" w:hAnsi="仿宋_GB2312" w:cs="仿宋_GB2312"/>
          <w:sz w:val="28"/>
          <w:szCs w:val="28"/>
        </w:rPr>
      </w:pPr>
      <w:r>
        <w:rPr>
          <w:rFonts w:ascii="仿宋_GB2312" w:hAnsi="仿宋_GB2312" w:cs="仿宋_GB2312" w:hint="eastAsia"/>
          <w:sz w:val="28"/>
          <w:szCs w:val="28"/>
        </w:rPr>
        <w:t>课程负责人： 王彤</w:t>
      </w:r>
    </w:p>
    <w:p w:rsidR="00E07285" w:rsidRDefault="00E07285" w:rsidP="00E07285">
      <w:pPr>
        <w:spacing w:line="560" w:lineRule="exact"/>
        <w:ind w:firstLineChars="1350" w:firstLine="3780"/>
        <w:rPr>
          <w:rFonts w:ascii="仿宋_GB2312" w:hAnsi="仿宋_GB2312" w:cs="仿宋_GB2312"/>
          <w:sz w:val="28"/>
          <w:szCs w:val="28"/>
        </w:rPr>
      </w:pPr>
      <w:r>
        <w:rPr>
          <w:rFonts w:ascii="仿宋_GB2312" w:hAnsi="仿宋_GB2312" w:cs="仿宋_GB2312" w:hint="eastAsia"/>
          <w:sz w:val="28"/>
          <w:szCs w:val="28"/>
        </w:rPr>
        <w:t>审核人： 杨利伟</w:t>
      </w:r>
    </w:p>
    <w:p w:rsidR="00E07285" w:rsidRDefault="00E07285" w:rsidP="00E07285">
      <w:pPr>
        <w:spacing w:line="560" w:lineRule="exact"/>
        <w:jc w:val="center"/>
        <w:rPr>
          <w:rFonts w:ascii="仿宋_GB2312" w:hAnsi="仿宋_GB2312" w:cs="仿宋_GB2312"/>
          <w:sz w:val="28"/>
          <w:szCs w:val="28"/>
        </w:rPr>
      </w:pPr>
      <w:r>
        <w:rPr>
          <w:rFonts w:ascii="仿宋_GB2312" w:hAnsi="仿宋_GB2312" w:cs="仿宋_GB2312" w:hint="eastAsia"/>
          <w:sz w:val="28"/>
          <w:szCs w:val="28"/>
        </w:rPr>
        <w:t xml:space="preserve">                         </w:t>
      </w:r>
    </w:p>
    <w:p w:rsidR="00E07285" w:rsidRDefault="00E07285" w:rsidP="00E07285">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 xml:space="preserve"> </w:t>
      </w:r>
      <w:r>
        <w:rPr>
          <w:rFonts w:ascii="仿宋_GB2312" w:hAnsi="仿宋_GB2312" w:cs="仿宋_GB2312"/>
          <w:sz w:val="28"/>
          <w:szCs w:val="28"/>
        </w:rPr>
        <w:t>2021</w:t>
      </w:r>
      <w:r>
        <w:rPr>
          <w:rFonts w:ascii="仿宋_GB2312" w:hAnsi="仿宋_GB2312" w:cs="仿宋_GB2312" w:hint="eastAsia"/>
          <w:sz w:val="28"/>
          <w:szCs w:val="28"/>
        </w:rPr>
        <w:t xml:space="preserve"> 年 </w:t>
      </w:r>
      <w:r>
        <w:rPr>
          <w:rFonts w:ascii="仿宋_GB2312" w:hAnsi="仿宋_GB2312" w:cs="仿宋_GB2312"/>
          <w:sz w:val="28"/>
          <w:szCs w:val="28"/>
        </w:rPr>
        <w:t>4</w:t>
      </w:r>
      <w:r>
        <w:rPr>
          <w:rFonts w:ascii="仿宋_GB2312" w:hAnsi="仿宋_GB2312" w:cs="仿宋_GB2312" w:hint="eastAsia"/>
          <w:sz w:val="28"/>
          <w:szCs w:val="28"/>
        </w:rPr>
        <w:t xml:space="preserve"> 月</w:t>
      </w:r>
    </w:p>
    <w:p w:rsidR="00CA5AE3" w:rsidRDefault="00CA5AE3" w:rsidP="00CA5AE3">
      <w:pPr>
        <w:jc w:val="left"/>
        <w:rPr>
          <w:rFonts w:ascii="仿宋" w:eastAsia="仿宋" w:hAnsi="仿宋" w:hint="eastAsia"/>
          <w:sz w:val="28"/>
          <w:szCs w:val="28"/>
        </w:rPr>
      </w:pPr>
    </w:p>
    <w:p w:rsidR="008C3907" w:rsidRDefault="008C3907" w:rsidP="008C3907">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Pr>
          <w:rFonts w:ascii="方正小标宋简体" w:eastAsia="方正小标宋简体" w:hAnsi="宋体"/>
          <w:kern w:val="0"/>
          <w:szCs w:val="32"/>
        </w:rPr>
        <w:t>水文及水文地质学</w:t>
      </w:r>
      <w:r>
        <w:rPr>
          <w:rFonts w:ascii="方正小标宋简体" w:eastAsia="方正小标宋简体" w:hAnsi="宋体" w:hint="eastAsia"/>
          <w:kern w:val="0"/>
          <w:szCs w:val="32"/>
        </w:rPr>
        <w:t>》课程教学大纲</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Hydrology and hydrogeology</w:t>
      </w:r>
    </w:p>
    <w:p w:rsidR="008C3907" w:rsidRDefault="008C3907" w:rsidP="008C3907">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Z2806110</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8C3907" w:rsidRDefault="008C3907" w:rsidP="008C3907">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课程类别：学科基础</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8C3907" w:rsidRDefault="008C3907" w:rsidP="008C3907">
      <w:pPr>
        <w:spacing w:line="360" w:lineRule="auto"/>
        <w:ind w:firstLine="331"/>
        <w:rPr>
          <w:rFonts w:ascii="宋体" w:eastAsia="宋体" w:hAnsi="宋体" w:cs="仿宋_GB2312"/>
          <w:bCs/>
          <w:sz w:val="24"/>
          <w:szCs w:val="24"/>
        </w:rPr>
      </w:pPr>
      <w:r>
        <w:rPr>
          <w:rFonts w:ascii="仿宋_GB2312" w:hAnsi="仿宋_GB2312" w:cs="仿宋_GB2312" w:hint="eastAsia"/>
          <w:bCs/>
          <w:sz w:val="28"/>
          <w:szCs w:val="28"/>
        </w:rPr>
        <w:t>学    分：</w:t>
      </w:r>
      <w:r>
        <w:rPr>
          <w:rFonts w:ascii="宋体" w:eastAsia="宋体" w:hAnsi="宋体" w:cs="仿宋_GB2312" w:hint="eastAsia"/>
          <w:bCs/>
          <w:sz w:val="28"/>
          <w:szCs w:val="28"/>
        </w:rPr>
        <w:t xml:space="preserve"> </w:t>
      </w:r>
      <w:r>
        <w:rPr>
          <w:rFonts w:ascii="仿宋_GB2312" w:hAnsi="仿宋_GB2312" w:cs="仿宋_GB2312" w:hint="eastAsia"/>
          <w:bCs/>
          <w:sz w:val="28"/>
          <w:szCs w:val="28"/>
        </w:rPr>
        <w:t>3.0</w:t>
      </w:r>
    </w:p>
    <w:p w:rsidR="008C3907" w:rsidRDefault="008C3907" w:rsidP="008C3907">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时：48学时</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w:t>
      </w:r>
      <w:r>
        <w:rPr>
          <w:rFonts w:ascii="仿宋_GB2312" w:hAnsi="仿宋_GB2312" w:cs="仿宋_GB2312"/>
          <w:bCs/>
          <w:sz w:val="28"/>
          <w:szCs w:val="28"/>
        </w:rPr>
        <w:t>给水排水科学与工程</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Pr>
          <w:rFonts w:ascii="仿宋_GB2312" w:hAnsi="仿宋_GB2312" w:cs="仿宋_GB2312"/>
          <w:bCs/>
          <w:sz w:val="28"/>
          <w:szCs w:val="28"/>
        </w:rPr>
        <w:t>水力学，水分析化学</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开课院系：建工学院给排水科学与工程系</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8C3907" w:rsidRDefault="008C3907" w:rsidP="008C3907">
      <w:pPr>
        <w:spacing w:line="560" w:lineRule="exact"/>
        <w:ind w:left="420" w:firstLine="331"/>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水文及水文地质学课程是给排水排水科学与工程专业的一门</w:t>
      </w:r>
      <w:r>
        <w:rPr>
          <w:rFonts w:ascii="仿宋_GB2312" w:hAnsi="仿宋_GB2312" w:cs="仿宋_GB2312" w:hint="eastAsia"/>
          <w:sz w:val="28"/>
          <w:szCs w:val="28"/>
        </w:rPr>
        <w:t>专业基础</w:t>
      </w:r>
      <w:r>
        <w:rPr>
          <w:rFonts w:ascii="仿宋_GB2312" w:hAnsi="仿宋_GB2312" w:cs="仿宋_GB2312"/>
          <w:sz w:val="28"/>
          <w:szCs w:val="28"/>
        </w:rPr>
        <w:t>课，</w:t>
      </w:r>
      <w:r>
        <w:rPr>
          <w:rFonts w:ascii="仿宋_GB2312" w:hAnsi="仿宋_GB2312" w:cs="仿宋_GB2312" w:hint="eastAsia"/>
          <w:sz w:val="28"/>
          <w:szCs w:val="28"/>
        </w:rPr>
        <w:t>从内容上</w:t>
      </w:r>
      <w:r>
        <w:rPr>
          <w:rFonts w:ascii="仿宋_GB2312" w:hAnsi="仿宋_GB2312" w:cs="仿宋_GB2312"/>
          <w:sz w:val="28"/>
          <w:szCs w:val="28"/>
        </w:rPr>
        <w:t>是地质学、水文学和</w:t>
      </w:r>
      <w:r>
        <w:rPr>
          <w:rFonts w:ascii="仿宋_GB2312" w:hAnsi="仿宋_GB2312" w:cs="仿宋_GB2312" w:hint="eastAsia"/>
          <w:sz w:val="28"/>
          <w:szCs w:val="28"/>
        </w:rPr>
        <w:t>供水水文地质学的</w:t>
      </w:r>
      <w:r>
        <w:rPr>
          <w:rFonts w:ascii="仿宋_GB2312" w:hAnsi="仿宋_GB2312" w:cs="仿宋_GB2312"/>
          <w:sz w:val="28"/>
          <w:szCs w:val="28"/>
        </w:rPr>
        <w:t>综合</w:t>
      </w:r>
      <w:r>
        <w:rPr>
          <w:rFonts w:ascii="仿宋_GB2312" w:hAnsi="仿宋_GB2312" w:cs="仿宋_GB2312" w:hint="eastAsia"/>
          <w:sz w:val="28"/>
          <w:szCs w:val="28"/>
        </w:rPr>
        <w:t>，包含《水文学》和《供水水文地质》两教材内容，结合给排水科学与工程专业的需要，《水文学》重点阐述的内容是从降水到径流入海的水循环运动规律、量测方法及在给水工程和排水工程上的应用。《供水水文地质》重点阐述的内容是地下水存储和循环、地下水运动规律以及在给水工程中的应用。</w:t>
      </w:r>
    </w:p>
    <w:p w:rsidR="008C3907" w:rsidRDefault="008C3907" w:rsidP="008C3907">
      <w:pPr>
        <w:spacing w:line="560" w:lineRule="exact"/>
        <w:ind w:left="420" w:firstLineChars="200" w:firstLine="560"/>
        <w:jc w:val="left"/>
        <w:rPr>
          <w:rFonts w:ascii="仿宋_GB2312" w:hAnsi="仿宋_GB2312" w:cs="仿宋_GB2312"/>
          <w:sz w:val="28"/>
          <w:szCs w:val="28"/>
        </w:rPr>
      </w:pPr>
      <w:r>
        <w:rPr>
          <w:rFonts w:ascii="仿宋_GB2312" w:hAnsi="仿宋_GB2312" w:cs="仿宋_GB2312" w:hint="eastAsia"/>
          <w:sz w:val="28"/>
          <w:szCs w:val="28"/>
        </w:rPr>
        <w:t>通过水文学，</w:t>
      </w:r>
      <w:r>
        <w:rPr>
          <w:rFonts w:ascii="仿宋_GB2312" w:hAnsi="仿宋_GB2312" w:cs="仿宋_GB2312"/>
          <w:sz w:val="28"/>
          <w:szCs w:val="28"/>
        </w:rPr>
        <w:t>掌握</w:t>
      </w:r>
      <w:r>
        <w:rPr>
          <w:rFonts w:ascii="仿宋_GB2312" w:hAnsi="仿宋_GB2312" w:cs="仿宋_GB2312" w:hint="eastAsia"/>
          <w:sz w:val="28"/>
          <w:szCs w:val="28"/>
        </w:rPr>
        <w:t>地表水源的水文知识，培养给水工程和</w:t>
      </w:r>
      <w:r>
        <w:rPr>
          <w:rFonts w:ascii="仿宋_GB2312" w:hAnsi="仿宋_GB2312" w:cs="仿宋_GB2312"/>
          <w:sz w:val="28"/>
          <w:szCs w:val="28"/>
        </w:rPr>
        <w:t>排</w:t>
      </w:r>
      <w:r>
        <w:rPr>
          <w:rFonts w:ascii="仿宋_GB2312" w:hAnsi="仿宋_GB2312" w:cs="仿宋_GB2312"/>
          <w:sz w:val="28"/>
          <w:szCs w:val="28"/>
        </w:rPr>
        <w:lastRenderedPageBreak/>
        <w:t>水工程中</w:t>
      </w:r>
      <w:r>
        <w:rPr>
          <w:rFonts w:ascii="仿宋_GB2312" w:hAnsi="仿宋_GB2312" w:cs="仿宋_GB2312" w:hint="eastAsia"/>
          <w:sz w:val="28"/>
          <w:szCs w:val="28"/>
        </w:rPr>
        <w:t>所涉及</w:t>
      </w:r>
      <w:r>
        <w:rPr>
          <w:rFonts w:ascii="仿宋_GB2312" w:hAnsi="仿宋_GB2312" w:cs="仿宋_GB2312"/>
          <w:sz w:val="28"/>
          <w:szCs w:val="28"/>
        </w:rPr>
        <w:t>的</w:t>
      </w:r>
      <w:r>
        <w:rPr>
          <w:rFonts w:ascii="仿宋_GB2312" w:hAnsi="仿宋_GB2312" w:cs="仿宋_GB2312" w:hint="eastAsia"/>
          <w:sz w:val="28"/>
          <w:szCs w:val="28"/>
        </w:rPr>
        <w:t>水文频率分析、洪水及枯水设计、</w:t>
      </w:r>
      <w:r>
        <w:rPr>
          <w:rFonts w:ascii="仿宋_GB2312" w:hAnsi="仿宋_GB2312" w:cs="仿宋_GB2312"/>
          <w:sz w:val="28"/>
          <w:szCs w:val="28"/>
        </w:rPr>
        <w:t>暴雨</w:t>
      </w:r>
      <w:r>
        <w:rPr>
          <w:rFonts w:ascii="仿宋_GB2312" w:hAnsi="仿宋_GB2312" w:cs="仿宋_GB2312" w:hint="eastAsia"/>
          <w:sz w:val="28"/>
          <w:szCs w:val="28"/>
        </w:rPr>
        <w:t>公式推求、</w:t>
      </w:r>
      <w:r>
        <w:rPr>
          <w:rFonts w:ascii="仿宋_GB2312" w:hAnsi="仿宋_GB2312" w:cs="仿宋_GB2312"/>
          <w:sz w:val="28"/>
          <w:szCs w:val="28"/>
        </w:rPr>
        <w:t>小流域暴雨洪峰流量计算</w:t>
      </w:r>
      <w:r>
        <w:rPr>
          <w:rFonts w:ascii="仿宋_GB2312" w:hAnsi="仿宋_GB2312" w:cs="仿宋_GB2312" w:hint="eastAsia"/>
          <w:sz w:val="28"/>
          <w:szCs w:val="28"/>
        </w:rPr>
        <w:t>等能力，为给水排水工程的规划、设计、施工和管理提供正确的水文资料及分析成果。通过供水水文地质，全面系统了解地质基础、地下水存储和循环、地下水物理和化学性质以及地下水运动特征的基本理论，学会作为供水水源的供水井出</w:t>
      </w:r>
      <w:r>
        <w:rPr>
          <w:rFonts w:ascii="仿宋_GB2312" w:hAnsi="仿宋_GB2312" w:cs="仿宋_GB2312"/>
          <w:sz w:val="28"/>
          <w:szCs w:val="28"/>
        </w:rPr>
        <w:t>水量计算</w:t>
      </w:r>
      <w:r>
        <w:rPr>
          <w:rFonts w:ascii="仿宋_GB2312" w:hAnsi="仿宋_GB2312" w:cs="仿宋_GB2312" w:hint="eastAsia"/>
          <w:sz w:val="28"/>
          <w:szCs w:val="28"/>
        </w:rPr>
        <w:t>。同时也</w:t>
      </w:r>
      <w:r>
        <w:rPr>
          <w:rFonts w:ascii="仿宋_GB2312" w:hAnsi="仿宋_GB2312" w:cs="仿宋_GB2312"/>
          <w:sz w:val="28"/>
          <w:szCs w:val="28"/>
        </w:rPr>
        <w:t>为注册公用设备（给水排水）工程师资质考试打下基础。</w:t>
      </w:r>
    </w:p>
    <w:p w:rsidR="008C3907" w:rsidRDefault="008C3907" w:rsidP="008C3907">
      <w:pPr>
        <w:spacing w:line="560" w:lineRule="exact"/>
        <w:ind w:left="420" w:firstLineChars="200" w:firstLine="560"/>
        <w:jc w:val="left"/>
        <w:rPr>
          <w:rFonts w:ascii="仿宋_GB2312" w:hAnsi="仿宋_GB2312" w:cs="仿宋_GB2312"/>
          <w:sz w:val="28"/>
          <w:szCs w:val="28"/>
        </w:rPr>
      </w:pPr>
      <w:r>
        <w:rPr>
          <w:rFonts w:ascii="仿宋_GB2312" w:hAnsi="仿宋_GB2312" w:cs="仿宋_GB2312" w:hint="eastAsia"/>
          <w:sz w:val="28"/>
          <w:szCs w:val="28"/>
        </w:rPr>
        <w:t>采用PPT和板书相结合的课堂授课方法，布置课后思考题和练习题，查阅资料，用图片展示太白山地质公园的地质景观和西安海绵城市示范基地，巩固加深学生对抽象的地质知识的理解，将河川径流（以渭河流域为例）的理论知识应用于实践（以沣西新城海绵城市设计为例）中。通过考勤、作业、讨论和答疑等方式督促检查学生学习情况，保障学生达到预期学习成果。</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8C3907" w:rsidRDefault="008C3907" w:rsidP="008C3907">
      <w:pPr>
        <w:spacing w:line="560" w:lineRule="exact"/>
        <w:ind w:left="420"/>
        <w:rPr>
          <w:rFonts w:ascii="仿宋_GB2312" w:hAnsi="仿宋_GB2312" w:cs="仿宋_GB2312"/>
          <w:sz w:val="28"/>
          <w:szCs w:val="28"/>
        </w:rPr>
      </w:pPr>
      <w:r>
        <w:rPr>
          <w:rFonts w:ascii="仿宋_GB2312" w:hAnsi="仿宋_GB2312" w:cs="仿宋_GB2312" w:hint="eastAsia"/>
          <w:sz w:val="28"/>
          <w:szCs w:val="28"/>
        </w:rPr>
        <w:t xml:space="preserve"> （1）了解水文现象及水文循环；掌握河川径流形成及其特征、水文测验；掌握地下水相关的地质基础知识、地下水存储、运动和循环等基础知识。</w:t>
      </w:r>
    </w:p>
    <w:p w:rsidR="008C3907" w:rsidRDefault="008C3907" w:rsidP="008C3907">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（2）掌握水文频率分析、地表水年径流及洪枯径流、</w:t>
      </w:r>
      <w:r>
        <w:rPr>
          <w:rFonts w:ascii="仿宋_GB2312" w:hAnsi="仿宋_GB2312" w:cs="仿宋_GB2312"/>
          <w:bCs/>
          <w:sz w:val="28"/>
          <w:szCs w:val="28"/>
        </w:rPr>
        <w:t>暴雨</w:t>
      </w:r>
      <w:r>
        <w:rPr>
          <w:rFonts w:ascii="仿宋_GB2312" w:hAnsi="仿宋_GB2312" w:cs="仿宋_GB2312" w:hint="eastAsia"/>
          <w:bCs/>
          <w:sz w:val="28"/>
          <w:szCs w:val="28"/>
        </w:rPr>
        <w:t>强度公式推求、以及</w:t>
      </w:r>
      <w:r>
        <w:rPr>
          <w:rFonts w:ascii="仿宋_GB2312" w:hAnsi="仿宋_GB2312" w:cs="仿宋_GB2312"/>
          <w:bCs/>
          <w:sz w:val="28"/>
          <w:szCs w:val="28"/>
        </w:rPr>
        <w:t>小流域暴雨洪峰流量</w:t>
      </w:r>
      <w:r>
        <w:rPr>
          <w:rFonts w:ascii="仿宋_GB2312" w:hAnsi="仿宋_GB2312" w:cs="仿宋_GB2312" w:hint="eastAsia"/>
          <w:bCs/>
          <w:sz w:val="28"/>
          <w:szCs w:val="28"/>
        </w:rPr>
        <w:t>计算。掌握基于达西定理的各种地下水井流计算。</w:t>
      </w:r>
    </w:p>
    <w:p w:rsidR="008C3907" w:rsidRDefault="008C3907" w:rsidP="008C3907">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（3）学会水文地质图件的阅读和分析。</w:t>
      </w:r>
    </w:p>
    <w:p w:rsidR="008C3907" w:rsidRDefault="008C3907"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8C3907" w:rsidRDefault="008C3907" w:rsidP="008C3907">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8C3907" w:rsidRDefault="008C3907" w:rsidP="008C3907">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lastRenderedPageBreak/>
        <w:t xml:space="preserve">   知识目标：通过水文学的学习，认识自然界水及水文循环的现象及规律，掌握河川径流形成过程及表征物理量，水文频率分析方法，理解设计年流、设计洪水和设计枯水的概念及分析方法，熟悉暴雨资料的收集、整理及暴雨强度公式的两种类型及特征。了解小流域暴雨洪水计算特点，掌握小流域暴雨洪峰流量计算方法。</w:t>
      </w:r>
    </w:p>
    <w:p w:rsidR="008C3907" w:rsidRDefault="008C3907" w:rsidP="008C3907">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通过供水水文地质学的学习，掌握三大类岩石、岩层的产状及其表征、地层时代、岩石的接触关系等地质基础知识；重点掌握地下水的存储、运动和循环的理论知识，基于达西定律和质量守恒定律的地下水稳定运动和非稳定运动的各种井流计算公式。能够分析和确定实际工程中地表河流水体的径流特征以及地下水水文地质条件。具有供水工程中水源地选择的分析和初步判定能力。</w:t>
      </w:r>
    </w:p>
    <w:p w:rsidR="008C3907" w:rsidRDefault="008C3907" w:rsidP="008C3907">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能力目标：学会监测河流水位、流速和流量等水文测验；在收集水文资料的基础上，能够进行水文频率计算；根据工程设计要求进行给水设计工程中的设计年径流及设计洪、枯径流推求计算；在收集降雨资料的基础上，学会能够进行排水设计工程中的</w:t>
      </w:r>
      <w:r>
        <w:rPr>
          <w:rFonts w:ascii="仿宋_GB2312" w:hAnsi="仿宋_GB2312" w:cs="仿宋_GB2312"/>
          <w:bCs/>
          <w:sz w:val="28"/>
          <w:szCs w:val="28"/>
        </w:rPr>
        <w:t>暴雨</w:t>
      </w:r>
      <w:r>
        <w:rPr>
          <w:rFonts w:ascii="仿宋_GB2312" w:hAnsi="仿宋_GB2312" w:cs="仿宋_GB2312" w:hint="eastAsia"/>
          <w:bCs/>
          <w:sz w:val="28"/>
          <w:szCs w:val="28"/>
        </w:rPr>
        <w:t>强度公式的推求、以及</w:t>
      </w:r>
      <w:r>
        <w:rPr>
          <w:rFonts w:ascii="仿宋_GB2312" w:hAnsi="仿宋_GB2312" w:cs="仿宋_GB2312"/>
          <w:bCs/>
          <w:sz w:val="28"/>
          <w:szCs w:val="28"/>
        </w:rPr>
        <w:t>小流域暴雨洪峰流量</w:t>
      </w:r>
      <w:r>
        <w:rPr>
          <w:rFonts w:ascii="仿宋_GB2312" w:hAnsi="仿宋_GB2312" w:cs="仿宋_GB2312" w:hint="eastAsia"/>
          <w:bCs/>
          <w:sz w:val="28"/>
          <w:szCs w:val="28"/>
        </w:rPr>
        <w:t>计算。依据地下水各种井流公式，能够进行地下水供水工程设计中的供水井的布置及出水量计算；运用地质基础知识，能够阅读和分析地质图件，从而判定地层分布、接触关系、构造类型等，并能够画出断面地质剖面图。</w:t>
      </w:r>
    </w:p>
    <w:p w:rsidR="008C3907" w:rsidRDefault="008C3907" w:rsidP="008C3907">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情感态度与价值目标：水源地有地表水和地下水，地表水水源由于易污染性而容易导致水质污染，地下水水源由于易过度开采引发环境负效应，因此要学会对水源环境保护的</w:t>
      </w:r>
      <w:r>
        <w:rPr>
          <w:rFonts w:ascii="仿宋_GB2312" w:hAnsi="仿宋_GB2312" w:cs="仿宋_GB2312"/>
          <w:bCs/>
          <w:sz w:val="28"/>
          <w:szCs w:val="28"/>
        </w:rPr>
        <w:t>责任意识的审视，</w:t>
      </w:r>
      <w:r>
        <w:rPr>
          <w:rFonts w:ascii="仿宋_GB2312" w:hAnsi="仿宋_GB2312" w:cs="仿宋_GB2312"/>
          <w:bCs/>
          <w:sz w:val="28"/>
          <w:szCs w:val="28"/>
        </w:rPr>
        <w:lastRenderedPageBreak/>
        <w:t>敬畏</w:t>
      </w:r>
      <w:r>
        <w:rPr>
          <w:rFonts w:ascii="仿宋_GB2312" w:hAnsi="仿宋_GB2312" w:cs="仿宋_GB2312" w:hint="eastAsia"/>
          <w:bCs/>
          <w:sz w:val="28"/>
          <w:szCs w:val="28"/>
        </w:rPr>
        <w:t>环境，</w:t>
      </w:r>
      <w:r>
        <w:rPr>
          <w:rFonts w:ascii="仿宋_GB2312" w:hAnsi="仿宋_GB2312" w:cs="仿宋_GB2312"/>
          <w:bCs/>
          <w:sz w:val="28"/>
          <w:szCs w:val="28"/>
        </w:rPr>
        <w:t>善待</w:t>
      </w:r>
      <w:r>
        <w:rPr>
          <w:rFonts w:ascii="仿宋_GB2312" w:hAnsi="仿宋_GB2312" w:cs="仿宋_GB2312" w:hint="eastAsia"/>
          <w:bCs/>
          <w:sz w:val="28"/>
          <w:szCs w:val="28"/>
        </w:rPr>
        <w:t>环境，</w:t>
      </w:r>
      <w:r>
        <w:rPr>
          <w:rFonts w:ascii="仿宋_GB2312" w:hAnsi="仿宋_GB2312" w:cs="仿宋_GB2312"/>
          <w:bCs/>
          <w:sz w:val="28"/>
          <w:szCs w:val="28"/>
        </w:rPr>
        <w:t>培养</w:t>
      </w:r>
      <w:r>
        <w:rPr>
          <w:rFonts w:ascii="仿宋_GB2312" w:hAnsi="仿宋_GB2312" w:cs="仿宋_GB2312" w:hint="eastAsia"/>
          <w:bCs/>
          <w:sz w:val="28"/>
          <w:szCs w:val="28"/>
        </w:rPr>
        <w:t>“人类社会与自然环境和谐发展”的科学思维</w:t>
      </w:r>
      <w:r>
        <w:rPr>
          <w:rFonts w:ascii="仿宋_GB2312" w:hAnsi="仿宋_GB2312" w:cs="仿宋_GB2312"/>
          <w:bCs/>
          <w:sz w:val="28"/>
          <w:szCs w:val="28"/>
        </w:rPr>
        <w:t>。</w:t>
      </w:r>
      <w:r>
        <w:rPr>
          <w:rFonts w:ascii="仿宋_GB2312" w:hAnsi="仿宋_GB2312" w:cs="仿宋_GB2312" w:hint="eastAsia"/>
          <w:bCs/>
          <w:sz w:val="28"/>
          <w:szCs w:val="28"/>
        </w:rPr>
        <w:t>水文计算及地下水井流计算要依靠水文测验和地下水野外现场勘查等方法获取数据，获取的资料和数据应具有代表性和真实性，培养学生具有艰苦专业吃苦耐劳精神，实事求是、一丝不苟的科学研究态度，学会在艰苦环境下取得成绩，树立正确的价值观和事业观。</w:t>
      </w:r>
    </w:p>
    <w:p w:rsidR="008C3907" w:rsidRDefault="008C3907" w:rsidP="008C3907">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4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450"/>
        <w:gridCol w:w="450"/>
        <w:gridCol w:w="450"/>
        <w:gridCol w:w="408"/>
        <w:gridCol w:w="408"/>
        <w:gridCol w:w="450"/>
        <w:gridCol w:w="477"/>
        <w:gridCol w:w="408"/>
        <w:gridCol w:w="408"/>
        <w:gridCol w:w="545"/>
        <w:gridCol w:w="545"/>
        <w:gridCol w:w="539"/>
      </w:tblGrid>
      <w:tr w:rsidR="008C3907" w:rsidTr="008C3907">
        <w:trPr>
          <w:trHeight w:hRule="exact" w:val="567"/>
          <w:jc w:val="center"/>
        </w:trPr>
        <w:tc>
          <w:tcPr>
            <w:tcW w:w="1515" w:type="pct"/>
            <w:vMerge w:val="restart"/>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毕业要求</w:t>
            </w:r>
          </w:p>
        </w:tc>
        <w:tc>
          <w:tcPr>
            <w:tcW w:w="3485" w:type="pct"/>
            <w:gridSpan w:val="12"/>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毕业要求</w:t>
            </w:r>
          </w:p>
        </w:tc>
      </w:tr>
      <w:tr w:rsidR="008C3907" w:rsidTr="008C3907">
        <w:trPr>
          <w:trHeight w:hRule="exact" w:val="567"/>
          <w:jc w:val="center"/>
        </w:trPr>
        <w:tc>
          <w:tcPr>
            <w:tcW w:w="1515" w:type="pct"/>
            <w:vMerge/>
          </w:tcPr>
          <w:p w:rsidR="008C3907" w:rsidRDefault="008C3907" w:rsidP="008C3907">
            <w:pPr>
              <w:spacing w:line="560" w:lineRule="exact"/>
              <w:jc w:val="center"/>
              <w:rPr>
                <w:rFonts w:ascii="仿宋_GB2312" w:hAnsi="仿宋_GB2312" w:cs="仿宋_GB2312"/>
                <w:bCs/>
                <w:sz w:val="20"/>
                <w:szCs w:val="20"/>
              </w:rPr>
            </w:pPr>
          </w:p>
        </w:tc>
        <w:tc>
          <w:tcPr>
            <w:tcW w:w="283"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w:t>
            </w:r>
          </w:p>
        </w:tc>
        <w:tc>
          <w:tcPr>
            <w:tcW w:w="283"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2</w:t>
            </w:r>
          </w:p>
        </w:tc>
        <w:tc>
          <w:tcPr>
            <w:tcW w:w="283"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3</w:t>
            </w:r>
          </w:p>
        </w:tc>
        <w:tc>
          <w:tcPr>
            <w:tcW w:w="257"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4</w:t>
            </w:r>
          </w:p>
        </w:tc>
        <w:tc>
          <w:tcPr>
            <w:tcW w:w="257"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5</w:t>
            </w:r>
          </w:p>
        </w:tc>
        <w:tc>
          <w:tcPr>
            <w:tcW w:w="283"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6</w:t>
            </w:r>
          </w:p>
        </w:tc>
        <w:tc>
          <w:tcPr>
            <w:tcW w:w="300"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7</w:t>
            </w:r>
          </w:p>
        </w:tc>
        <w:tc>
          <w:tcPr>
            <w:tcW w:w="257"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8</w:t>
            </w:r>
          </w:p>
        </w:tc>
        <w:tc>
          <w:tcPr>
            <w:tcW w:w="257"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9</w:t>
            </w:r>
          </w:p>
        </w:tc>
        <w:tc>
          <w:tcPr>
            <w:tcW w:w="343"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10</w:t>
            </w:r>
          </w:p>
        </w:tc>
        <w:tc>
          <w:tcPr>
            <w:tcW w:w="343"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11</w:t>
            </w:r>
          </w:p>
        </w:tc>
        <w:tc>
          <w:tcPr>
            <w:tcW w:w="340"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12</w:t>
            </w:r>
          </w:p>
        </w:tc>
      </w:tr>
      <w:tr w:rsidR="008C3907" w:rsidTr="008C3907">
        <w:trPr>
          <w:trHeight w:hRule="exact" w:val="567"/>
          <w:jc w:val="center"/>
        </w:trPr>
        <w:tc>
          <w:tcPr>
            <w:tcW w:w="1515"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知识目标</w:t>
            </w:r>
          </w:p>
        </w:tc>
        <w:tc>
          <w:tcPr>
            <w:tcW w:w="283"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283"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283" w:type="pct"/>
          </w:tcPr>
          <w:p w:rsidR="008C3907" w:rsidRDefault="008C3907" w:rsidP="008C3907">
            <w:pPr>
              <w:tabs>
                <w:tab w:val="left" w:pos="6300"/>
              </w:tabs>
              <w:spacing w:line="560" w:lineRule="exact"/>
              <w:jc w:val="center"/>
              <w:rPr>
                <w:rFonts w:ascii="仿宋_GB2312" w:hAnsi="仿宋_GB2312" w:cs="仿宋_GB2312"/>
                <w:bCs/>
                <w:sz w:val="20"/>
                <w:szCs w:val="20"/>
              </w:rPr>
            </w:pPr>
          </w:p>
        </w:tc>
        <w:tc>
          <w:tcPr>
            <w:tcW w:w="257" w:type="pct"/>
          </w:tcPr>
          <w:p w:rsidR="008C3907" w:rsidRDefault="008C3907" w:rsidP="008C3907">
            <w:pPr>
              <w:tabs>
                <w:tab w:val="left" w:pos="6300"/>
              </w:tabs>
              <w:spacing w:line="560" w:lineRule="exact"/>
              <w:jc w:val="center"/>
              <w:rPr>
                <w:rFonts w:ascii="仿宋_GB2312" w:hAnsi="仿宋_GB2312" w:cs="仿宋_GB2312"/>
                <w:bCs/>
                <w:sz w:val="20"/>
                <w:szCs w:val="20"/>
              </w:rPr>
            </w:pPr>
          </w:p>
        </w:tc>
        <w:tc>
          <w:tcPr>
            <w:tcW w:w="257" w:type="pct"/>
          </w:tcPr>
          <w:p w:rsidR="008C3907" w:rsidRDefault="008C3907" w:rsidP="008C3907">
            <w:pPr>
              <w:tabs>
                <w:tab w:val="left" w:pos="6300"/>
              </w:tabs>
              <w:spacing w:line="560" w:lineRule="exact"/>
              <w:jc w:val="center"/>
              <w:rPr>
                <w:rFonts w:ascii="仿宋_GB2312" w:hAnsi="仿宋_GB2312" w:cs="仿宋_GB2312"/>
                <w:bCs/>
                <w:sz w:val="20"/>
                <w:szCs w:val="20"/>
              </w:rPr>
            </w:pPr>
          </w:p>
        </w:tc>
        <w:tc>
          <w:tcPr>
            <w:tcW w:w="283" w:type="pct"/>
          </w:tcPr>
          <w:p w:rsidR="008C3907" w:rsidRDefault="008C3907" w:rsidP="008C3907">
            <w:pPr>
              <w:tabs>
                <w:tab w:val="left" w:pos="6300"/>
              </w:tabs>
              <w:spacing w:line="560" w:lineRule="exact"/>
              <w:jc w:val="center"/>
              <w:rPr>
                <w:rFonts w:ascii="仿宋_GB2312" w:hAnsi="仿宋_GB2312" w:cs="仿宋_GB2312"/>
                <w:bCs/>
                <w:sz w:val="20"/>
                <w:szCs w:val="20"/>
              </w:rPr>
            </w:pPr>
          </w:p>
        </w:tc>
        <w:tc>
          <w:tcPr>
            <w:tcW w:w="300" w:type="pct"/>
          </w:tcPr>
          <w:p w:rsidR="008C3907" w:rsidRDefault="008C3907" w:rsidP="008C3907">
            <w:pPr>
              <w:tabs>
                <w:tab w:val="left" w:pos="6300"/>
              </w:tabs>
              <w:spacing w:line="560" w:lineRule="exact"/>
              <w:jc w:val="center"/>
              <w:rPr>
                <w:rFonts w:ascii="仿宋_GB2312" w:hAnsi="仿宋_GB2312" w:cs="仿宋_GB2312"/>
                <w:bCs/>
                <w:sz w:val="20"/>
                <w:szCs w:val="20"/>
              </w:rPr>
            </w:pPr>
          </w:p>
        </w:tc>
        <w:tc>
          <w:tcPr>
            <w:tcW w:w="257" w:type="pct"/>
          </w:tcPr>
          <w:p w:rsidR="008C3907" w:rsidRDefault="008C3907" w:rsidP="008C3907">
            <w:pPr>
              <w:spacing w:line="560" w:lineRule="exact"/>
              <w:jc w:val="center"/>
              <w:rPr>
                <w:rFonts w:ascii="仿宋_GB2312" w:hAnsi="仿宋_GB2312" w:cs="仿宋_GB2312"/>
                <w:bCs/>
                <w:sz w:val="20"/>
                <w:szCs w:val="20"/>
              </w:rPr>
            </w:pPr>
          </w:p>
        </w:tc>
        <w:tc>
          <w:tcPr>
            <w:tcW w:w="257" w:type="pct"/>
          </w:tcPr>
          <w:p w:rsidR="008C3907" w:rsidRDefault="008C3907" w:rsidP="008C3907">
            <w:pPr>
              <w:spacing w:line="560" w:lineRule="exact"/>
              <w:jc w:val="center"/>
              <w:rPr>
                <w:rFonts w:ascii="仿宋_GB2312" w:hAnsi="仿宋_GB2312" w:cs="仿宋_GB2312"/>
                <w:bCs/>
                <w:sz w:val="20"/>
                <w:szCs w:val="20"/>
              </w:rPr>
            </w:pPr>
          </w:p>
        </w:tc>
        <w:tc>
          <w:tcPr>
            <w:tcW w:w="343" w:type="pct"/>
          </w:tcPr>
          <w:p w:rsidR="008C3907" w:rsidRDefault="008C3907" w:rsidP="008C3907">
            <w:pPr>
              <w:spacing w:line="560" w:lineRule="exact"/>
              <w:jc w:val="center"/>
              <w:rPr>
                <w:rFonts w:ascii="仿宋_GB2312" w:hAnsi="仿宋_GB2312" w:cs="仿宋_GB2312"/>
                <w:bCs/>
                <w:sz w:val="20"/>
                <w:szCs w:val="20"/>
              </w:rPr>
            </w:pPr>
          </w:p>
        </w:tc>
        <w:tc>
          <w:tcPr>
            <w:tcW w:w="343" w:type="pct"/>
          </w:tcPr>
          <w:p w:rsidR="008C3907" w:rsidRDefault="008C3907" w:rsidP="008C3907">
            <w:pPr>
              <w:spacing w:line="560" w:lineRule="exact"/>
              <w:jc w:val="center"/>
              <w:rPr>
                <w:rFonts w:ascii="仿宋_GB2312" w:hAnsi="仿宋_GB2312" w:cs="仿宋_GB2312"/>
                <w:bCs/>
                <w:sz w:val="20"/>
                <w:szCs w:val="20"/>
              </w:rPr>
            </w:pPr>
          </w:p>
        </w:tc>
        <w:tc>
          <w:tcPr>
            <w:tcW w:w="340" w:type="pct"/>
          </w:tcPr>
          <w:p w:rsidR="008C3907" w:rsidRDefault="008C3907" w:rsidP="008C3907">
            <w:pPr>
              <w:spacing w:line="560" w:lineRule="exact"/>
              <w:jc w:val="center"/>
              <w:rPr>
                <w:rFonts w:ascii="仿宋_GB2312" w:hAnsi="仿宋_GB2312" w:cs="仿宋_GB2312"/>
                <w:bCs/>
                <w:sz w:val="20"/>
                <w:szCs w:val="20"/>
              </w:rPr>
            </w:pPr>
          </w:p>
        </w:tc>
      </w:tr>
      <w:tr w:rsidR="008C3907" w:rsidTr="008C3907">
        <w:trPr>
          <w:trHeight w:hRule="exact" w:val="567"/>
          <w:jc w:val="center"/>
        </w:trPr>
        <w:tc>
          <w:tcPr>
            <w:tcW w:w="1515"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能力目标</w:t>
            </w:r>
          </w:p>
        </w:tc>
        <w:tc>
          <w:tcPr>
            <w:tcW w:w="283"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283"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283"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257"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L</w:t>
            </w:r>
          </w:p>
        </w:tc>
        <w:tc>
          <w:tcPr>
            <w:tcW w:w="257" w:type="pct"/>
          </w:tcPr>
          <w:p w:rsidR="008C3907" w:rsidRDefault="008C3907" w:rsidP="008C3907">
            <w:pPr>
              <w:tabs>
                <w:tab w:val="left" w:pos="6300"/>
              </w:tabs>
              <w:spacing w:line="560" w:lineRule="exact"/>
              <w:jc w:val="center"/>
              <w:rPr>
                <w:rFonts w:ascii="仿宋_GB2312" w:hAnsi="仿宋_GB2312" w:cs="仿宋_GB2312"/>
                <w:bCs/>
                <w:sz w:val="20"/>
                <w:szCs w:val="20"/>
              </w:rPr>
            </w:pPr>
          </w:p>
        </w:tc>
        <w:tc>
          <w:tcPr>
            <w:tcW w:w="283"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300" w:type="pct"/>
          </w:tcPr>
          <w:p w:rsidR="008C3907" w:rsidRDefault="008C3907" w:rsidP="008C3907">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M</w:t>
            </w:r>
          </w:p>
        </w:tc>
        <w:tc>
          <w:tcPr>
            <w:tcW w:w="257" w:type="pct"/>
          </w:tcPr>
          <w:p w:rsidR="008C3907" w:rsidRDefault="008C3907" w:rsidP="008C3907">
            <w:pPr>
              <w:spacing w:line="560" w:lineRule="exact"/>
              <w:jc w:val="center"/>
              <w:rPr>
                <w:rFonts w:ascii="仿宋_GB2312" w:hAnsi="仿宋_GB2312" w:cs="仿宋_GB2312"/>
                <w:bCs/>
                <w:sz w:val="20"/>
                <w:szCs w:val="20"/>
              </w:rPr>
            </w:pPr>
          </w:p>
        </w:tc>
        <w:tc>
          <w:tcPr>
            <w:tcW w:w="257" w:type="pct"/>
          </w:tcPr>
          <w:p w:rsidR="008C3907" w:rsidRDefault="008C3907" w:rsidP="008C3907">
            <w:pPr>
              <w:spacing w:line="560" w:lineRule="exact"/>
              <w:jc w:val="center"/>
              <w:rPr>
                <w:rFonts w:ascii="仿宋_GB2312" w:hAnsi="仿宋_GB2312" w:cs="仿宋_GB2312"/>
                <w:bCs/>
                <w:sz w:val="20"/>
                <w:szCs w:val="20"/>
              </w:rPr>
            </w:pPr>
          </w:p>
        </w:tc>
        <w:tc>
          <w:tcPr>
            <w:tcW w:w="343" w:type="pct"/>
          </w:tcPr>
          <w:p w:rsidR="008C3907" w:rsidRDefault="008C3907" w:rsidP="008C3907">
            <w:pPr>
              <w:spacing w:line="560" w:lineRule="exact"/>
              <w:jc w:val="center"/>
              <w:rPr>
                <w:rFonts w:ascii="仿宋_GB2312" w:hAnsi="仿宋_GB2312" w:cs="仿宋_GB2312"/>
                <w:bCs/>
                <w:sz w:val="20"/>
                <w:szCs w:val="20"/>
              </w:rPr>
            </w:pPr>
          </w:p>
        </w:tc>
        <w:tc>
          <w:tcPr>
            <w:tcW w:w="343" w:type="pct"/>
          </w:tcPr>
          <w:p w:rsidR="008C3907" w:rsidRDefault="008C3907" w:rsidP="008C3907">
            <w:pPr>
              <w:spacing w:line="560" w:lineRule="exact"/>
              <w:jc w:val="center"/>
              <w:rPr>
                <w:rFonts w:ascii="仿宋_GB2312" w:hAnsi="仿宋_GB2312" w:cs="仿宋_GB2312"/>
                <w:bCs/>
                <w:sz w:val="20"/>
                <w:szCs w:val="20"/>
              </w:rPr>
            </w:pPr>
          </w:p>
        </w:tc>
        <w:tc>
          <w:tcPr>
            <w:tcW w:w="340" w:type="pct"/>
          </w:tcPr>
          <w:p w:rsidR="008C3907" w:rsidRDefault="008C3907" w:rsidP="008C3907">
            <w:pPr>
              <w:spacing w:line="560" w:lineRule="exact"/>
              <w:jc w:val="center"/>
              <w:rPr>
                <w:rFonts w:ascii="仿宋_GB2312" w:hAnsi="仿宋_GB2312" w:cs="仿宋_GB2312"/>
                <w:bCs/>
                <w:sz w:val="20"/>
                <w:szCs w:val="20"/>
              </w:rPr>
            </w:pPr>
          </w:p>
        </w:tc>
      </w:tr>
      <w:tr w:rsidR="008C3907" w:rsidTr="008C3907">
        <w:trPr>
          <w:trHeight w:hRule="exact" w:val="567"/>
          <w:jc w:val="center"/>
        </w:trPr>
        <w:tc>
          <w:tcPr>
            <w:tcW w:w="1515" w:type="pct"/>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情感态度与价值观目标</w:t>
            </w:r>
          </w:p>
        </w:tc>
        <w:tc>
          <w:tcPr>
            <w:tcW w:w="283" w:type="pct"/>
          </w:tcPr>
          <w:p w:rsidR="008C3907" w:rsidRDefault="008C3907" w:rsidP="008C3907">
            <w:pPr>
              <w:spacing w:line="560" w:lineRule="exact"/>
              <w:jc w:val="center"/>
              <w:rPr>
                <w:rFonts w:ascii="仿宋_GB2312" w:hAnsi="仿宋_GB2312" w:cs="仿宋_GB2312"/>
                <w:bCs/>
                <w:sz w:val="20"/>
                <w:szCs w:val="20"/>
              </w:rPr>
            </w:pPr>
          </w:p>
        </w:tc>
        <w:tc>
          <w:tcPr>
            <w:tcW w:w="283" w:type="pct"/>
          </w:tcPr>
          <w:p w:rsidR="008C3907" w:rsidRDefault="008C3907" w:rsidP="008C3907">
            <w:pPr>
              <w:spacing w:line="560" w:lineRule="exact"/>
              <w:jc w:val="center"/>
              <w:rPr>
                <w:rFonts w:ascii="仿宋_GB2312" w:hAnsi="仿宋_GB2312" w:cs="仿宋_GB2312"/>
                <w:bCs/>
                <w:sz w:val="20"/>
                <w:szCs w:val="20"/>
              </w:rPr>
            </w:pPr>
          </w:p>
        </w:tc>
        <w:tc>
          <w:tcPr>
            <w:tcW w:w="283" w:type="pct"/>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257" w:type="pct"/>
          </w:tcPr>
          <w:p w:rsidR="008C3907" w:rsidRDefault="008C3907" w:rsidP="008C3907">
            <w:pPr>
              <w:spacing w:line="560" w:lineRule="exact"/>
              <w:jc w:val="center"/>
              <w:rPr>
                <w:rFonts w:ascii="仿宋_GB2312" w:hAnsi="仿宋_GB2312" w:cs="仿宋_GB2312"/>
                <w:bCs/>
                <w:sz w:val="20"/>
                <w:szCs w:val="20"/>
              </w:rPr>
            </w:pPr>
          </w:p>
        </w:tc>
        <w:tc>
          <w:tcPr>
            <w:tcW w:w="257" w:type="pct"/>
          </w:tcPr>
          <w:p w:rsidR="008C3907" w:rsidRDefault="008C3907" w:rsidP="008C3907">
            <w:pPr>
              <w:spacing w:line="560" w:lineRule="exact"/>
              <w:jc w:val="center"/>
              <w:rPr>
                <w:rFonts w:ascii="仿宋_GB2312" w:hAnsi="仿宋_GB2312" w:cs="仿宋_GB2312"/>
                <w:bCs/>
                <w:sz w:val="20"/>
                <w:szCs w:val="20"/>
              </w:rPr>
            </w:pPr>
          </w:p>
        </w:tc>
        <w:tc>
          <w:tcPr>
            <w:tcW w:w="283" w:type="pct"/>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300" w:type="pct"/>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M</w:t>
            </w:r>
          </w:p>
        </w:tc>
        <w:tc>
          <w:tcPr>
            <w:tcW w:w="257" w:type="pct"/>
          </w:tcPr>
          <w:p w:rsidR="008C3907" w:rsidRDefault="008C3907" w:rsidP="008C3907">
            <w:pPr>
              <w:spacing w:line="560" w:lineRule="exact"/>
              <w:jc w:val="center"/>
              <w:rPr>
                <w:rFonts w:ascii="仿宋_GB2312" w:hAnsi="仿宋_GB2312" w:cs="仿宋_GB2312"/>
                <w:bCs/>
                <w:sz w:val="20"/>
                <w:szCs w:val="20"/>
              </w:rPr>
            </w:pPr>
          </w:p>
        </w:tc>
        <w:tc>
          <w:tcPr>
            <w:tcW w:w="257" w:type="pct"/>
          </w:tcPr>
          <w:p w:rsidR="008C3907" w:rsidRDefault="008C3907" w:rsidP="008C3907">
            <w:pPr>
              <w:spacing w:line="560" w:lineRule="exact"/>
              <w:jc w:val="center"/>
              <w:rPr>
                <w:rFonts w:ascii="仿宋_GB2312" w:hAnsi="仿宋_GB2312" w:cs="仿宋_GB2312"/>
                <w:bCs/>
                <w:sz w:val="20"/>
                <w:szCs w:val="20"/>
              </w:rPr>
            </w:pPr>
          </w:p>
        </w:tc>
        <w:tc>
          <w:tcPr>
            <w:tcW w:w="343" w:type="pct"/>
          </w:tcPr>
          <w:p w:rsidR="008C3907" w:rsidRDefault="008C3907" w:rsidP="008C3907">
            <w:pPr>
              <w:spacing w:line="560" w:lineRule="exact"/>
              <w:jc w:val="center"/>
              <w:rPr>
                <w:rFonts w:ascii="仿宋_GB2312" w:hAnsi="仿宋_GB2312" w:cs="仿宋_GB2312"/>
                <w:bCs/>
                <w:sz w:val="20"/>
                <w:szCs w:val="20"/>
              </w:rPr>
            </w:pPr>
          </w:p>
        </w:tc>
        <w:tc>
          <w:tcPr>
            <w:tcW w:w="343" w:type="pct"/>
          </w:tcPr>
          <w:p w:rsidR="008C3907" w:rsidRDefault="008C3907" w:rsidP="008C3907">
            <w:pPr>
              <w:spacing w:line="560" w:lineRule="exact"/>
              <w:jc w:val="center"/>
              <w:rPr>
                <w:rFonts w:ascii="仿宋_GB2312" w:hAnsi="仿宋_GB2312" w:cs="仿宋_GB2312"/>
                <w:bCs/>
                <w:sz w:val="20"/>
                <w:szCs w:val="20"/>
              </w:rPr>
            </w:pPr>
          </w:p>
        </w:tc>
        <w:tc>
          <w:tcPr>
            <w:tcW w:w="340" w:type="pct"/>
          </w:tcPr>
          <w:p w:rsidR="008C3907" w:rsidRDefault="008C3907" w:rsidP="008C3907">
            <w:pPr>
              <w:spacing w:line="560" w:lineRule="exact"/>
              <w:jc w:val="center"/>
              <w:rPr>
                <w:rFonts w:ascii="仿宋_GB2312" w:hAnsi="仿宋_GB2312" w:cs="仿宋_GB2312"/>
                <w:bCs/>
                <w:sz w:val="20"/>
                <w:szCs w:val="20"/>
              </w:rPr>
            </w:pPr>
          </w:p>
        </w:tc>
      </w:tr>
    </w:tbl>
    <w:p w:rsidR="008C3907" w:rsidRDefault="008C3907" w:rsidP="008C3907">
      <w:pPr>
        <w:spacing w:line="360" w:lineRule="auto"/>
        <w:ind w:firstLine="331"/>
        <w:jc w:val="right"/>
        <w:rPr>
          <w:rFonts w:ascii="仿宋_GB2312" w:hAnsi="仿宋_GB2312" w:cs="仿宋_GB2312"/>
          <w:b/>
          <w:sz w:val="28"/>
          <w:szCs w:val="28"/>
        </w:rPr>
      </w:pP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8C3907" w:rsidRDefault="008C3907" w:rsidP="008C3907">
      <w:pPr>
        <w:spacing w:line="560" w:lineRule="exact"/>
        <w:ind w:left="420"/>
        <w:rPr>
          <w:rFonts w:ascii="仿宋_GB2312" w:hAnsi="仿宋_GB2312" w:cs="仿宋_GB2312"/>
          <w:sz w:val="28"/>
          <w:szCs w:val="28"/>
        </w:rPr>
      </w:pPr>
      <w:r>
        <w:rPr>
          <w:rFonts w:ascii="仿宋_GB2312" w:hAnsi="仿宋_GB2312" w:cs="仿宋_GB2312" w:hint="eastAsia"/>
          <w:sz w:val="28"/>
          <w:szCs w:val="28"/>
        </w:rPr>
        <w:t xml:space="preserve">  课程的重点：（1）水文频率计算、</w:t>
      </w:r>
      <w:r>
        <w:rPr>
          <w:rFonts w:ascii="仿宋_GB2312" w:hAnsi="仿宋_GB2312" w:cs="仿宋_GB2312"/>
          <w:sz w:val="28"/>
          <w:szCs w:val="28"/>
        </w:rPr>
        <w:t>设计年径流及洪、枯径流</w:t>
      </w:r>
      <w:r>
        <w:rPr>
          <w:rFonts w:ascii="仿宋_GB2312" w:hAnsi="仿宋_GB2312" w:cs="仿宋_GB2312" w:hint="eastAsia"/>
          <w:sz w:val="28"/>
          <w:szCs w:val="28"/>
        </w:rPr>
        <w:t>计算、暴雨强度公式推求、小流域洪峰流量计算；（2）地下水的储存类型、地下水的补给、径流和排泄等循环过程、地下水井流计算。</w:t>
      </w:r>
    </w:p>
    <w:p w:rsidR="008C3907" w:rsidRDefault="008C3907" w:rsidP="008C3907">
      <w:pPr>
        <w:spacing w:line="560" w:lineRule="exact"/>
        <w:ind w:left="420"/>
        <w:rPr>
          <w:rFonts w:ascii="仿宋_GB2312" w:hAnsi="仿宋_GB2312" w:cs="仿宋_GB2312"/>
          <w:sz w:val="28"/>
          <w:szCs w:val="28"/>
        </w:rPr>
      </w:pPr>
      <w:r>
        <w:rPr>
          <w:rFonts w:ascii="仿宋_GB2312" w:hAnsi="仿宋_GB2312" w:cs="仿宋_GB2312" w:hint="eastAsia"/>
          <w:sz w:val="28"/>
          <w:szCs w:val="28"/>
        </w:rPr>
        <w:t xml:space="preserve">  课程的难点：（1）水文频率计算、暴雨强度公式推求、小流域洪峰流量计算； （2）地下水井流计算。</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8C3907" w:rsidRDefault="008C3907" w:rsidP="008C3907">
      <w:pPr>
        <w:spacing w:line="560" w:lineRule="exact"/>
        <w:ind w:left="420"/>
        <w:rPr>
          <w:rFonts w:ascii="仿宋_GB2312" w:hAnsi="仿宋_GB2312" w:cs="仿宋_GB2312"/>
          <w:sz w:val="28"/>
          <w:szCs w:val="28"/>
        </w:rPr>
      </w:pPr>
      <w:r>
        <w:rPr>
          <w:rFonts w:ascii="仿宋_GB2312" w:hAnsi="仿宋_GB2312" w:cs="仿宋_GB2312" w:hint="eastAsia"/>
          <w:sz w:val="28"/>
          <w:szCs w:val="28"/>
        </w:rPr>
        <w:t>《水文学》课程思政：</w:t>
      </w:r>
    </w:p>
    <w:p w:rsidR="008C3907" w:rsidRDefault="008C3907" w:rsidP="008C3907">
      <w:pPr>
        <w:spacing w:line="560" w:lineRule="exact"/>
        <w:ind w:left="420"/>
        <w:rPr>
          <w:rFonts w:ascii="仿宋_GB2312" w:hAnsi="仿宋_GB2312" w:cs="仿宋_GB2312"/>
          <w:sz w:val="28"/>
          <w:szCs w:val="28"/>
        </w:rPr>
      </w:pPr>
      <w:r>
        <w:rPr>
          <w:rFonts w:ascii="仿宋_GB2312" w:hAnsi="仿宋_GB2312" w:cs="仿宋_GB2312" w:hint="eastAsia"/>
          <w:sz w:val="28"/>
          <w:szCs w:val="28"/>
        </w:rPr>
        <w:t>（1）学习从降水到径流入海的水循环运动规律和量测方法的同时，指导学生广泛查阅资料，深入了解我国面临的“地表水环境”、“黑</w:t>
      </w:r>
      <w:r>
        <w:rPr>
          <w:rFonts w:ascii="仿宋_GB2312" w:hAnsi="仿宋_GB2312" w:cs="仿宋_GB2312" w:hint="eastAsia"/>
          <w:sz w:val="28"/>
          <w:szCs w:val="28"/>
        </w:rPr>
        <w:lastRenderedPageBreak/>
        <w:t>臭水体”、“农村饮水安全”、“城镇水质提升” 等水环境突出问题，并对“绿水青山就是金山银山”政策认识进行讨论。学会对</w:t>
      </w:r>
      <w:r>
        <w:rPr>
          <w:rFonts w:ascii="仿宋_GB2312" w:hAnsi="仿宋_GB2312" w:cs="仿宋_GB2312"/>
          <w:sz w:val="28"/>
          <w:szCs w:val="28"/>
        </w:rPr>
        <w:t>环境保护责任意识的审视，敬畏</w:t>
      </w:r>
      <w:r>
        <w:rPr>
          <w:rFonts w:ascii="仿宋_GB2312" w:hAnsi="仿宋_GB2312" w:cs="仿宋_GB2312" w:hint="eastAsia"/>
          <w:sz w:val="28"/>
          <w:szCs w:val="28"/>
        </w:rPr>
        <w:t>环境，</w:t>
      </w:r>
      <w:r>
        <w:rPr>
          <w:rFonts w:ascii="仿宋_GB2312" w:hAnsi="仿宋_GB2312" w:cs="仿宋_GB2312"/>
          <w:sz w:val="28"/>
          <w:szCs w:val="28"/>
        </w:rPr>
        <w:t>善待</w:t>
      </w:r>
      <w:r>
        <w:rPr>
          <w:rFonts w:ascii="仿宋_GB2312" w:hAnsi="仿宋_GB2312" w:cs="仿宋_GB2312" w:hint="eastAsia"/>
          <w:sz w:val="28"/>
          <w:szCs w:val="28"/>
        </w:rPr>
        <w:t>环境，改善环境，</w:t>
      </w:r>
      <w:r>
        <w:rPr>
          <w:rFonts w:ascii="仿宋_GB2312" w:hAnsi="仿宋_GB2312" w:cs="仿宋_GB2312"/>
          <w:sz w:val="28"/>
          <w:szCs w:val="28"/>
        </w:rPr>
        <w:t>培养</w:t>
      </w:r>
      <w:r>
        <w:rPr>
          <w:rFonts w:ascii="仿宋_GB2312" w:hAnsi="仿宋_GB2312" w:cs="仿宋_GB2312" w:hint="eastAsia"/>
          <w:sz w:val="28"/>
          <w:szCs w:val="28"/>
        </w:rPr>
        <w:t>“人类社会与自然环境和谐发展”的科学思维</w:t>
      </w:r>
      <w:r>
        <w:rPr>
          <w:rFonts w:ascii="仿宋_GB2312" w:hAnsi="仿宋_GB2312" w:cs="仿宋_GB2312"/>
          <w:sz w:val="28"/>
          <w:szCs w:val="28"/>
        </w:rPr>
        <w:t>。</w:t>
      </w:r>
    </w:p>
    <w:p w:rsidR="008C3907" w:rsidRDefault="008C3907" w:rsidP="008C3907">
      <w:pPr>
        <w:spacing w:line="560" w:lineRule="exact"/>
        <w:ind w:left="420"/>
        <w:rPr>
          <w:rFonts w:ascii="仿宋_GB2312" w:hAnsi="仿宋_GB2312" w:cs="仿宋_GB2312"/>
          <w:sz w:val="28"/>
          <w:szCs w:val="28"/>
        </w:rPr>
      </w:pPr>
      <w:r>
        <w:rPr>
          <w:rFonts w:ascii="仿宋_GB2312" w:hAnsi="仿宋_GB2312" w:cs="仿宋_GB2312" w:hint="eastAsia"/>
          <w:sz w:val="28"/>
          <w:szCs w:val="28"/>
        </w:rPr>
        <w:t>（2）掌握洪水、枯水径流设计、暴雨强度公式推求和小流域暴雨洪峰流量计算能力的同时，通过渭河流域的河川径流理论知识应用于海绵城市设计中的实践案例分析，训练和培养理论联系实践，理论指导实践，以及理论、认识、实践，再认识、再实践的科学思维和工程技术人员的职业素养。</w:t>
      </w:r>
    </w:p>
    <w:p w:rsidR="008C3907" w:rsidRDefault="008C3907" w:rsidP="008C3907">
      <w:pPr>
        <w:spacing w:line="560" w:lineRule="exact"/>
        <w:ind w:left="420"/>
        <w:rPr>
          <w:rFonts w:ascii="仿宋_GB2312" w:hAnsi="仿宋_GB2312" w:cs="仿宋_GB2312"/>
          <w:sz w:val="28"/>
          <w:szCs w:val="28"/>
        </w:rPr>
      </w:pPr>
      <w:r>
        <w:rPr>
          <w:rFonts w:ascii="仿宋_GB2312" w:hAnsi="仿宋_GB2312" w:cs="仿宋_GB2312" w:hint="eastAsia"/>
          <w:sz w:val="28"/>
          <w:szCs w:val="28"/>
        </w:rPr>
        <w:t>《供水水文地质》课程思政：</w:t>
      </w:r>
    </w:p>
    <w:p w:rsidR="008C3907" w:rsidRDefault="008C3907" w:rsidP="008C3907">
      <w:pPr>
        <w:spacing w:line="560" w:lineRule="exact"/>
        <w:ind w:left="420"/>
        <w:rPr>
          <w:rFonts w:ascii="仿宋_GB2312" w:hAnsi="仿宋_GB2312" w:cs="仿宋_GB2312"/>
          <w:sz w:val="28"/>
          <w:szCs w:val="28"/>
        </w:rPr>
      </w:pPr>
      <w:r>
        <w:rPr>
          <w:rFonts w:ascii="仿宋_GB2312" w:hAnsi="仿宋_GB2312" w:cs="仿宋_GB2312" w:hint="eastAsia"/>
          <w:sz w:val="28"/>
          <w:szCs w:val="28"/>
        </w:rPr>
        <w:t>（1）在地质基础知识的授课过程中，向同学们介绍我国著名地质学家李四光，课余时间阅读《李四光》、《温家宝地质笔记》等书籍，让学生了解地质学家是如何在艰苦的环境下取得成就，从而树立正确的价值观、事业观和人生观，培养艰苦专业的吃苦耐劳精神以及行业自豪感。珍惜当下学习机会，历练本领，为实现中华民族伟大复兴做出贡献。</w:t>
      </w:r>
    </w:p>
    <w:p w:rsidR="008C3907" w:rsidRDefault="008C3907" w:rsidP="008C3907">
      <w:pPr>
        <w:spacing w:line="560" w:lineRule="exact"/>
        <w:ind w:left="420"/>
        <w:rPr>
          <w:rFonts w:ascii="仿宋_GB2312" w:hAnsi="仿宋_GB2312" w:cs="仿宋_GB2312"/>
          <w:sz w:val="28"/>
          <w:szCs w:val="28"/>
        </w:rPr>
      </w:pPr>
      <w:r>
        <w:rPr>
          <w:rFonts w:ascii="仿宋_GB2312" w:hAnsi="仿宋_GB2312" w:cs="仿宋_GB2312" w:hint="eastAsia"/>
          <w:sz w:val="28"/>
          <w:szCs w:val="28"/>
        </w:rPr>
        <w:t>（2）增加太白山国家地质公园的地质景观和地质构造的图片和材料的展示，把教材抽象的地质知识直观化，加深学生对专业知识的理解，拓展视野，增强“尊重自然，保护自然”的深刻认识。</w:t>
      </w:r>
    </w:p>
    <w:p w:rsidR="008C3907" w:rsidRDefault="008C3907" w:rsidP="008C3907">
      <w:pPr>
        <w:spacing w:line="560" w:lineRule="exact"/>
        <w:ind w:left="420"/>
        <w:rPr>
          <w:rFonts w:ascii="仿宋_GB2312" w:hAnsi="仿宋_GB2312" w:cs="仿宋_GB2312"/>
          <w:sz w:val="28"/>
          <w:szCs w:val="28"/>
        </w:rPr>
      </w:pPr>
      <w:r>
        <w:rPr>
          <w:rFonts w:ascii="仿宋_GB2312" w:hAnsi="仿宋_GB2312" w:cs="仿宋_GB2312" w:hint="eastAsia"/>
          <w:sz w:val="28"/>
          <w:szCs w:val="28"/>
        </w:rPr>
        <w:t>（3）了解地下水的存储、循环及运动规律，将</w:t>
      </w:r>
      <w:r>
        <w:rPr>
          <w:rFonts w:ascii="仿宋_GB2312" w:hAnsi="仿宋_GB2312" w:cs="仿宋_GB2312"/>
          <w:sz w:val="28"/>
          <w:szCs w:val="28"/>
        </w:rPr>
        <w:t>十九大强调</w:t>
      </w:r>
      <w:r>
        <w:rPr>
          <w:rFonts w:ascii="仿宋_GB2312" w:hAnsi="仿宋_GB2312" w:cs="仿宋_GB2312" w:hint="eastAsia"/>
          <w:sz w:val="28"/>
          <w:szCs w:val="28"/>
        </w:rPr>
        <w:t>的“</w:t>
      </w:r>
      <w:r>
        <w:rPr>
          <w:rFonts w:ascii="仿宋_GB2312" w:hAnsi="仿宋_GB2312" w:cs="仿宋_GB2312"/>
          <w:sz w:val="28"/>
          <w:szCs w:val="28"/>
        </w:rPr>
        <w:t>坚持人与自然和谐共生</w:t>
      </w:r>
      <w:r>
        <w:rPr>
          <w:rFonts w:ascii="仿宋_GB2312" w:hAnsi="仿宋_GB2312" w:cs="仿宋_GB2312" w:hint="eastAsia"/>
          <w:sz w:val="28"/>
          <w:szCs w:val="28"/>
        </w:rPr>
        <w:t>”、“水资源可持续发展”</w:t>
      </w:r>
      <w:r>
        <w:rPr>
          <w:rFonts w:ascii="仿宋_GB2312" w:hAnsi="仿宋_GB2312" w:cs="仿宋_GB2312"/>
          <w:sz w:val="28"/>
          <w:szCs w:val="28"/>
        </w:rPr>
        <w:t>的理念</w:t>
      </w:r>
      <w:r>
        <w:rPr>
          <w:rFonts w:ascii="仿宋_GB2312" w:hAnsi="仿宋_GB2312" w:cs="仿宋_GB2312" w:hint="eastAsia"/>
          <w:sz w:val="28"/>
          <w:szCs w:val="28"/>
        </w:rPr>
        <w:t>融入给水工程水源井设计及计算的内容中，培养学生遵循大气水、地表水、土壤水和地下水相互转化的自然运动规律，建立人与自然和谐发展的理念。</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四、教学内容安排</w:t>
      </w:r>
    </w:p>
    <w:p w:rsidR="008C3907" w:rsidRDefault="008C3907" w:rsidP="008C3907">
      <w:pPr>
        <w:spacing w:beforeLines="50" w:before="156" w:afterLines="50" w:after="156" w:line="560" w:lineRule="exact"/>
        <w:rPr>
          <w:rFonts w:ascii="黑体" w:eastAsia="黑体" w:hAnsi="黑体"/>
          <w:b/>
          <w:sz w:val="28"/>
          <w:szCs w:val="28"/>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709"/>
        <w:gridCol w:w="2410"/>
        <w:gridCol w:w="3649"/>
      </w:tblGrid>
      <w:tr w:rsidR="008C3907" w:rsidTr="008C3907">
        <w:tc>
          <w:tcPr>
            <w:tcW w:w="817"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bCs/>
                <w:sz w:val="20"/>
                <w:szCs w:val="20"/>
              </w:rPr>
              <w:t>序号</w:t>
            </w:r>
          </w:p>
        </w:tc>
        <w:tc>
          <w:tcPr>
            <w:tcW w:w="1701"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bCs/>
                <w:sz w:val="20"/>
                <w:szCs w:val="20"/>
              </w:rPr>
              <w:t>章</w:t>
            </w:r>
            <w:r>
              <w:rPr>
                <w:rFonts w:ascii="仿宋_GB2312" w:hAnsi="仿宋_GB2312" w:cs="仿宋_GB2312" w:hint="eastAsia"/>
                <w:bCs/>
                <w:sz w:val="20"/>
                <w:szCs w:val="20"/>
              </w:rPr>
              <w:t xml:space="preserve">  </w:t>
            </w:r>
            <w:r>
              <w:rPr>
                <w:rFonts w:ascii="仿宋_GB2312" w:hAnsi="仿宋_GB2312" w:cs="仿宋_GB2312"/>
                <w:bCs/>
                <w:sz w:val="20"/>
                <w:szCs w:val="20"/>
              </w:rPr>
              <w:t>节</w:t>
            </w:r>
          </w:p>
        </w:tc>
        <w:tc>
          <w:tcPr>
            <w:tcW w:w="709"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bCs/>
                <w:sz w:val="20"/>
                <w:szCs w:val="20"/>
              </w:rPr>
              <w:t>参考</w:t>
            </w:r>
          </w:p>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bCs/>
                <w:sz w:val="20"/>
                <w:szCs w:val="20"/>
              </w:rPr>
              <w:t>学时</w:t>
            </w:r>
          </w:p>
        </w:tc>
        <w:tc>
          <w:tcPr>
            <w:tcW w:w="2410"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bCs/>
                <w:sz w:val="20"/>
                <w:szCs w:val="20"/>
              </w:rPr>
              <w:t>教学内容</w:t>
            </w:r>
          </w:p>
        </w:tc>
        <w:tc>
          <w:tcPr>
            <w:tcW w:w="3649"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bCs/>
                <w:sz w:val="20"/>
                <w:szCs w:val="20"/>
              </w:rPr>
              <w:t>基本要求</w:t>
            </w:r>
          </w:p>
        </w:tc>
      </w:tr>
      <w:tr w:rsidR="008C3907" w:rsidTr="008C3907">
        <w:trPr>
          <w:trHeight w:val="983"/>
        </w:trPr>
        <w:tc>
          <w:tcPr>
            <w:tcW w:w="817"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bCs/>
                <w:sz w:val="20"/>
                <w:szCs w:val="20"/>
              </w:rPr>
              <w:t>1</w:t>
            </w:r>
          </w:p>
        </w:tc>
        <w:tc>
          <w:tcPr>
            <w:tcW w:w="1701"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第1章 绪论</w:t>
            </w:r>
          </w:p>
        </w:tc>
        <w:tc>
          <w:tcPr>
            <w:tcW w:w="709"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2</w:t>
            </w:r>
          </w:p>
        </w:tc>
        <w:tc>
          <w:tcPr>
            <w:tcW w:w="2410"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 xml:space="preserve"> 第1章 绪论</w:t>
            </w:r>
          </w:p>
        </w:tc>
        <w:tc>
          <w:tcPr>
            <w:tcW w:w="3649"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1.</w:t>
            </w:r>
            <w:r>
              <w:rPr>
                <w:rFonts w:ascii="仿宋_GB2312" w:hAnsi="仿宋_GB2312" w:cs="仿宋_GB2312" w:hint="eastAsia"/>
                <w:bCs/>
                <w:sz w:val="20"/>
                <w:szCs w:val="20"/>
              </w:rPr>
              <w:t>掌握</w:t>
            </w:r>
            <w:r>
              <w:rPr>
                <w:rFonts w:ascii="仿宋_GB2312" w:hAnsi="仿宋_GB2312" w:cs="仿宋_GB2312"/>
                <w:bCs/>
                <w:sz w:val="20"/>
                <w:szCs w:val="20"/>
              </w:rPr>
              <w:t>水分循环</w:t>
            </w:r>
            <w:r>
              <w:rPr>
                <w:rFonts w:ascii="仿宋_GB2312" w:hAnsi="仿宋_GB2312" w:cs="仿宋_GB2312" w:hint="eastAsia"/>
                <w:bCs/>
                <w:sz w:val="20"/>
                <w:szCs w:val="20"/>
              </w:rPr>
              <w:t>和</w:t>
            </w:r>
            <w:r>
              <w:rPr>
                <w:rFonts w:ascii="仿宋_GB2312" w:hAnsi="仿宋_GB2312" w:cs="仿宋_GB2312"/>
                <w:bCs/>
                <w:sz w:val="20"/>
                <w:szCs w:val="20"/>
              </w:rPr>
              <w:t>水文现象</w:t>
            </w:r>
            <w:r>
              <w:rPr>
                <w:rFonts w:ascii="仿宋_GB2312" w:hAnsi="仿宋_GB2312" w:cs="仿宋_GB2312" w:hint="eastAsia"/>
                <w:bCs/>
                <w:sz w:val="20"/>
                <w:szCs w:val="20"/>
              </w:rPr>
              <w:t>；</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2.了解</w:t>
            </w:r>
            <w:r>
              <w:rPr>
                <w:rFonts w:ascii="仿宋_GB2312" w:hAnsi="仿宋_GB2312" w:cs="仿宋_GB2312"/>
                <w:bCs/>
                <w:sz w:val="20"/>
                <w:szCs w:val="20"/>
              </w:rPr>
              <w:t>水文现象的研究方法。</w:t>
            </w:r>
          </w:p>
        </w:tc>
      </w:tr>
      <w:tr w:rsidR="008C3907" w:rsidTr="008C3907">
        <w:trPr>
          <w:trHeight w:val="1630"/>
        </w:trPr>
        <w:tc>
          <w:tcPr>
            <w:tcW w:w="817"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2-3</w:t>
            </w:r>
          </w:p>
        </w:tc>
        <w:tc>
          <w:tcPr>
            <w:tcW w:w="1701"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第2章 水文学一般概念及水文测验</w:t>
            </w:r>
          </w:p>
        </w:tc>
        <w:tc>
          <w:tcPr>
            <w:tcW w:w="709"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3</w:t>
            </w:r>
          </w:p>
        </w:tc>
        <w:tc>
          <w:tcPr>
            <w:tcW w:w="2410"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2.1 河流与流域</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2.2 河川径流</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2.3 水文测验</w:t>
            </w:r>
          </w:p>
        </w:tc>
        <w:tc>
          <w:tcPr>
            <w:tcW w:w="3649"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1</w:t>
            </w:r>
            <w:r>
              <w:rPr>
                <w:rFonts w:ascii="仿宋_GB2312" w:hAnsi="仿宋_GB2312" w:cs="仿宋_GB2312"/>
                <w:bCs/>
                <w:sz w:val="20"/>
                <w:szCs w:val="20"/>
              </w:rPr>
              <w:t>.掌握水文学的一般概念和水文测验；</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2.掌握</w:t>
            </w:r>
            <w:r>
              <w:rPr>
                <w:rFonts w:ascii="仿宋_GB2312" w:hAnsi="仿宋_GB2312" w:cs="仿宋_GB2312"/>
                <w:bCs/>
                <w:sz w:val="20"/>
                <w:szCs w:val="20"/>
              </w:rPr>
              <w:t>河川径流形成过程即其表示方法。</w:t>
            </w:r>
          </w:p>
        </w:tc>
      </w:tr>
      <w:tr w:rsidR="008C3907" w:rsidTr="008C3907">
        <w:tc>
          <w:tcPr>
            <w:tcW w:w="817"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3-5</w:t>
            </w:r>
          </w:p>
        </w:tc>
        <w:tc>
          <w:tcPr>
            <w:tcW w:w="1701"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第3章 水文统计基本原理与方法</w:t>
            </w:r>
          </w:p>
        </w:tc>
        <w:tc>
          <w:tcPr>
            <w:tcW w:w="709"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5</w:t>
            </w:r>
          </w:p>
        </w:tc>
        <w:tc>
          <w:tcPr>
            <w:tcW w:w="2410" w:type="dxa"/>
            <w:vAlign w:val="center"/>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3.1 概述</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3.2 概率和频率</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3.3 理论频率曲线</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3.4 抽样误差</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3.5 水文频率计算方法</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3.6 相关分析</w:t>
            </w:r>
          </w:p>
        </w:tc>
        <w:tc>
          <w:tcPr>
            <w:tcW w:w="3649"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1.熟悉水文统计的意义及基本概念；掌握经验频率曲线与理论频率曲线的绘制及应用；</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2.掌握水文频率分析方法；熟悉相关分析方法在水文频率分析中的统计资料处理的应用。</w:t>
            </w:r>
          </w:p>
        </w:tc>
      </w:tr>
      <w:tr w:rsidR="008C3907" w:rsidTr="008C3907">
        <w:tc>
          <w:tcPr>
            <w:tcW w:w="817"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6-9</w:t>
            </w:r>
          </w:p>
        </w:tc>
        <w:tc>
          <w:tcPr>
            <w:tcW w:w="1701"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第4章 年径流及洪枯径流</w:t>
            </w:r>
          </w:p>
        </w:tc>
        <w:tc>
          <w:tcPr>
            <w:tcW w:w="709"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7</w:t>
            </w:r>
          </w:p>
        </w:tc>
        <w:tc>
          <w:tcPr>
            <w:tcW w:w="2410"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4.1年径流计算及分析</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4.2 设计洪水流量和水位</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4.3设计枯水流量和水位</w:t>
            </w:r>
          </w:p>
        </w:tc>
        <w:tc>
          <w:tcPr>
            <w:tcW w:w="3649"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1.熟悉设计年径流及洪、枯径流的基本概念；</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2.掌握设计年径流的计算方法；</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3.掌握设计洪水、设计枯水的推求方法。</w:t>
            </w:r>
          </w:p>
        </w:tc>
      </w:tr>
      <w:tr w:rsidR="008C3907" w:rsidTr="008C3907">
        <w:trPr>
          <w:trHeight w:val="1173"/>
        </w:trPr>
        <w:tc>
          <w:tcPr>
            <w:tcW w:w="817"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9-11</w:t>
            </w:r>
          </w:p>
        </w:tc>
        <w:tc>
          <w:tcPr>
            <w:tcW w:w="1701"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第5章 降水资料的收集与整理</w:t>
            </w:r>
          </w:p>
        </w:tc>
        <w:tc>
          <w:tcPr>
            <w:tcW w:w="709"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5</w:t>
            </w:r>
          </w:p>
        </w:tc>
        <w:tc>
          <w:tcPr>
            <w:tcW w:w="2410" w:type="dxa"/>
            <w:vAlign w:val="center"/>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5.1</w:t>
            </w:r>
            <w:r>
              <w:rPr>
                <w:rFonts w:ascii="仿宋_GB2312" w:hAnsi="仿宋_GB2312" w:cs="仿宋_GB2312"/>
                <w:bCs/>
                <w:sz w:val="20"/>
                <w:szCs w:val="20"/>
              </w:rPr>
              <w:t xml:space="preserve"> 降水资料收集与整理</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5.2 暴雨公式推求</w:t>
            </w:r>
          </w:p>
        </w:tc>
        <w:tc>
          <w:tcPr>
            <w:tcW w:w="3649"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1.</w:t>
            </w:r>
            <w:r>
              <w:rPr>
                <w:rFonts w:ascii="仿宋_GB2312" w:hAnsi="仿宋_GB2312" w:cs="仿宋_GB2312"/>
                <w:bCs/>
                <w:sz w:val="20"/>
                <w:szCs w:val="20"/>
              </w:rPr>
              <w:t>掌握</w:t>
            </w:r>
            <w:r>
              <w:rPr>
                <w:rFonts w:ascii="仿宋_GB2312" w:hAnsi="仿宋_GB2312" w:cs="仿宋_GB2312" w:hint="eastAsia"/>
                <w:bCs/>
                <w:sz w:val="20"/>
                <w:szCs w:val="20"/>
              </w:rPr>
              <w:t>降水资料的整理</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2.掌握</w:t>
            </w:r>
            <w:r>
              <w:rPr>
                <w:rFonts w:ascii="仿宋_GB2312" w:hAnsi="仿宋_GB2312" w:cs="仿宋_GB2312"/>
                <w:bCs/>
                <w:sz w:val="20"/>
                <w:szCs w:val="20"/>
              </w:rPr>
              <w:t>暴雨强度公式的推求</w:t>
            </w:r>
            <w:r>
              <w:rPr>
                <w:rFonts w:ascii="仿宋_GB2312" w:hAnsi="仿宋_GB2312" w:cs="仿宋_GB2312" w:hint="eastAsia"/>
                <w:bCs/>
                <w:sz w:val="20"/>
                <w:szCs w:val="20"/>
              </w:rPr>
              <w:t>;</w:t>
            </w:r>
          </w:p>
        </w:tc>
      </w:tr>
      <w:tr w:rsidR="008C3907" w:rsidTr="008C3907">
        <w:trPr>
          <w:trHeight w:val="1680"/>
        </w:trPr>
        <w:tc>
          <w:tcPr>
            <w:tcW w:w="817"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lastRenderedPageBreak/>
              <w:t>12-13</w:t>
            </w:r>
          </w:p>
        </w:tc>
        <w:tc>
          <w:tcPr>
            <w:tcW w:w="1701"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第6章 小流域暴雨洪峰流量的计算</w:t>
            </w:r>
          </w:p>
        </w:tc>
        <w:tc>
          <w:tcPr>
            <w:tcW w:w="709"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3</w:t>
            </w:r>
          </w:p>
        </w:tc>
        <w:tc>
          <w:tcPr>
            <w:tcW w:w="2410" w:type="dxa"/>
            <w:vAlign w:val="center"/>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6.1 小流域特征</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6.2 洪峰流量形成过程</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6.3 小流域洪峰流量计算</w:t>
            </w:r>
          </w:p>
        </w:tc>
        <w:tc>
          <w:tcPr>
            <w:tcW w:w="3649"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1.</w:t>
            </w:r>
            <w:r>
              <w:rPr>
                <w:rFonts w:ascii="仿宋_GB2312" w:hAnsi="仿宋_GB2312" w:cs="仿宋_GB2312"/>
                <w:bCs/>
                <w:sz w:val="20"/>
                <w:szCs w:val="20"/>
              </w:rPr>
              <w:t>掌握小流域暴雨洪水的形成过程；</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2.</w:t>
            </w:r>
            <w:r>
              <w:rPr>
                <w:rFonts w:ascii="仿宋_GB2312" w:hAnsi="仿宋_GB2312" w:cs="仿宋_GB2312"/>
                <w:bCs/>
                <w:sz w:val="20"/>
                <w:szCs w:val="20"/>
              </w:rPr>
              <w:t>掌握小流域暴雨洪峰流量的三种计算方法。</w:t>
            </w:r>
          </w:p>
        </w:tc>
      </w:tr>
      <w:tr w:rsidR="008C3907" w:rsidTr="008C3907">
        <w:tc>
          <w:tcPr>
            <w:tcW w:w="817"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13-14</w:t>
            </w:r>
          </w:p>
        </w:tc>
        <w:tc>
          <w:tcPr>
            <w:tcW w:w="1701"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第7章 水文地质基础知识</w:t>
            </w:r>
          </w:p>
        </w:tc>
        <w:tc>
          <w:tcPr>
            <w:tcW w:w="709"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4</w:t>
            </w:r>
          </w:p>
        </w:tc>
        <w:tc>
          <w:tcPr>
            <w:tcW w:w="2410" w:type="dxa"/>
            <w:vAlign w:val="center"/>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7.1 矿物与岩石</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7.2 岩层的地质时代</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7.</w:t>
            </w:r>
            <w:r>
              <w:rPr>
                <w:rFonts w:ascii="仿宋_GB2312" w:hAnsi="仿宋_GB2312" w:cs="仿宋_GB2312"/>
                <w:bCs/>
                <w:sz w:val="20"/>
                <w:szCs w:val="20"/>
              </w:rPr>
              <w:t>3地质构造</w:t>
            </w:r>
          </w:p>
        </w:tc>
        <w:tc>
          <w:tcPr>
            <w:tcW w:w="3649"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1.了解</w:t>
            </w:r>
            <w:r>
              <w:rPr>
                <w:rFonts w:ascii="仿宋_GB2312" w:hAnsi="仿宋_GB2312" w:cs="仿宋_GB2312"/>
                <w:bCs/>
                <w:sz w:val="20"/>
                <w:szCs w:val="20"/>
              </w:rPr>
              <w:t>岩石、矿物</w:t>
            </w:r>
            <w:r>
              <w:rPr>
                <w:rFonts w:ascii="仿宋_GB2312" w:hAnsi="仿宋_GB2312" w:cs="仿宋_GB2312" w:hint="eastAsia"/>
                <w:bCs/>
                <w:sz w:val="20"/>
                <w:szCs w:val="20"/>
              </w:rPr>
              <w:t>和</w:t>
            </w:r>
            <w:r>
              <w:rPr>
                <w:rFonts w:ascii="仿宋_GB2312" w:hAnsi="仿宋_GB2312" w:cs="仿宋_GB2312"/>
                <w:bCs/>
                <w:sz w:val="20"/>
                <w:szCs w:val="20"/>
              </w:rPr>
              <w:t>地质时代</w:t>
            </w:r>
            <w:r>
              <w:rPr>
                <w:rFonts w:ascii="仿宋_GB2312" w:hAnsi="仿宋_GB2312" w:cs="仿宋_GB2312" w:hint="eastAsia"/>
                <w:bCs/>
                <w:sz w:val="20"/>
                <w:szCs w:val="20"/>
              </w:rPr>
              <w:t>、</w:t>
            </w:r>
            <w:r>
              <w:rPr>
                <w:rFonts w:ascii="仿宋_GB2312" w:hAnsi="仿宋_GB2312" w:cs="仿宋_GB2312"/>
                <w:bCs/>
                <w:sz w:val="20"/>
                <w:szCs w:val="20"/>
              </w:rPr>
              <w:t>、地质构造等地质基础知识</w:t>
            </w:r>
            <w:r>
              <w:rPr>
                <w:rFonts w:ascii="仿宋_GB2312" w:hAnsi="仿宋_GB2312" w:cs="仿宋_GB2312" w:hint="eastAsia"/>
                <w:bCs/>
                <w:sz w:val="20"/>
                <w:szCs w:val="20"/>
              </w:rPr>
              <w:t>；</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2.掌握</w:t>
            </w:r>
            <w:r>
              <w:rPr>
                <w:rFonts w:ascii="仿宋_GB2312" w:hAnsi="仿宋_GB2312" w:cs="仿宋_GB2312"/>
                <w:bCs/>
                <w:sz w:val="20"/>
                <w:szCs w:val="20"/>
              </w:rPr>
              <w:t>岩层产状、岩层接触关系</w:t>
            </w:r>
            <w:r>
              <w:rPr>
                <w:rFonts w:ascii="仿宋_GB2312" w:hAnsi="仿宋_GB2312" w:cs="仿宋_GB2312" w:hint="eastAsia"/>
                <w:bCs/>
                <w:sz w:val="20"/>
                <w:szCs w:val="20"/>
              </w:rPr>
              <w:t>。</w:t>
            </w:r>
          </w:p>
        </w:tc>
      </w:tr>
      <w:tr w:rsidR="008C3907" w:rsidTr="008C3907">
        <w:tc>
          <w:tcPr>
            <w:tcW w:w="817"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15-16</w:t>
            </w:r>
          </w:p>
        </w:tc>
        <w:tc>
          <w:tcPr>
            <w:tcW w:w="1701"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第8章 地下水的储存与循环</w:t>
            </w:r>
          </w:p>
        </w:tc>
        <w:tc>
          <w:tcPr>
            <w:tcW w:w="709"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4</w:t>
            </w:r>
          </w:p>
        </w:tc>
        <w:tc>
          <w:tcPr>
            <w:tcW w:w="2410" w:type="dxa"/>
            <w:vAlign w:val="center"/>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8.1 地下水的储存与岩石的水理性质</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8.2 含水层与隔水层</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8.3 地下水的类型</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8.4 地下水的循环</w:t>
            </w:r>
          </w:p>
        </w:tc>
        <w:tc>
          <w:tcPr>
            <w:tcW w:w="3649"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1.掌握地下水的储存类型、岩石的三个水理性质及表达；</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2.掌握含水层和隔水层的基本概念、掌握含水层的9种分类、掌握潜水和承压水的特征；</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3.掌握地下水的补给、径流和排泄等循环过程。</w:t>
            </w:r>
          </w:p>
        </w:tc>
      </w:tr>
      <w:tr w:rsidR="008C3907" w:rsidTr="008C3907">
        <w:tc>
          <w:tcPr>
            <w:tcW w:w="817"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17-24</w:t>
            </w:r>
          </w:p>
        </w:tc>
        <w:tc>
          <w:tcPr>
            <w:tcW w:w="1701"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第9章 地下水的运动</w:t>
            </w:r>
          </w:p>
        </w:tc>
        <w:tc>
          <w:tcPr>
            <w:tcW w:w="709" w:type="dxa"/>
          </w:tcPr>
          <w:p w:rsidR="008C3907" w:rsidRDefault="008C3907" w:rsidP="008C3907">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14</w:t>
            </w:r>
          </w:p>
        </w:tc>
        <w:tc>
          <w:tcPr>
            <w:tcW w:w="2410"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9.1 地下水运动特点及规律</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9.2 地下水流向完整井的稳定运动</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9.3地下水流向完整井的非稳定运动</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9.4 地下水向非完整井</w:t>
            </w:r>
            <w:r>
              <w:rPr>
                <w:rFonts w:ascii="仿宋_GB2312" w:hAnsi="仿宋_GB2312" w:cs="仿宋_GB2312" w:hint="eastAsia"/>
                <w:bCs/>
                <w:sz w:val="20"/>
                <w:szCs w:val="20"/>
              </w:rPr>
              <w:t>的</w:t>
            </w:r>
            <w:r>
              <w:rPr>
                <w:rFonts w:ascii="仿宋_GB2312" w:hAnsi="仿宋_GB2312" w:cs="仿宋_GB2312"/>
                <w:bCs/>
                <w:sz w:val="20"/>
                <w:szCs w:val="20"/>
              </w:rPr>
              <w:t>运动</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9.5 完整井井群运动</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9.6 边界附近的井流运</w:t>
            </w:r>
            <w:r>
              <w:rPr>
                <w:rFonts w:ascii="仿宋_GB2312" w:hAnsi="仿宋_GB2312" w:cs="仿宋_GB2312" w:hint="eastAsia"/>
                <w:bCs/>
                <w:sz w:val="20"/>
                <w:szCs w:val="20"/>
              </w:rPr>
              <w:lastRenderedPageBreak/>
              <w:t>动</w:t>
            </w:r>
          </w:p>
        </w:tc>
        <w:tc>
          <w:tcPr>
            <w:tcW w:w="3649" w:type="dxa"/>
          </w:tcPr>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lastRenderedPageBreak/>
              <w:t>1.掌握地下水的运动特征和基本规律、地下水运动的达西定律；</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bCs/>
                <w:sz w:val="20"/>
                <w:szCs w:val="20"/>
              </w:rPr>
              <w:t>2.掌握地下水流向完整井的稳定运动</w:t>
            </w:r>
            <w:r>
              <w:rPr>
                <w:rFonts w:ascii="仿宋_GB2312" w:hAnsi="仿宋_GB2312" w:cs="仿宋_GB2312" w:hint="eastAsia"/>
                <w:bCs/>
                <w:sz w:val="20"/>
                <w:szCs w:val="20"/>
              </w:rPr>
              <w:t>（</w:t>
            </w:r>
            <w:r>
              <w:rPr>
                <w:rFonts w:ascii="仿宋_GB2312" w:hAnsi="仿宋_GB2312" w:cs="仿宋_GB2312"/>
                <w:bCs/>
                <w:sz w:val="20"/>
                <w:szCs w:val="20"/>
              </w:rPr>
              <w:t>裘布依</w:t>
            </w:r>
            <w:r>
              <w:rPr>
                <w:rFonts w:ascii="仿宋_GB2312" w:hAnsi="仿宋_GB2312" w:cs="仿宋_GB2312" w:hint="eastAsia"/>
                <w:bCs/>
                <w:sz w:val="20"/>
                <w:szCs w:val="20"/>
              </w:rPr>
              <w:t>）</w:t>
            </w:r>
            <w:r>
              <w:rPr>
                <w:rFonts w:ascii="仿宋_GB2312" w:hAnsi="仿宋_GB2312" w:cs="仿宋_GB2312"/>
                <w:bCs/>
                <w:sz w:val="20"/>
                <w:szCs w:val="20"/>
              </w:rPr>
              <w:t>公式的推求及其计算</w:t>
            </w:r>
            <w:r>
              <w:rPr>
                <w:rFonts w:ascii="仿宋_GB2312" w:hAnsi="仿宋_GB2312" w:cs="仿宋_GB2312" w:hint="eastAsia"/>
                <w:bCs/>
                <w:sz w:val="20"/>
                <w:szCs w:val="20"/>
              </w:rPr>
              <w:t>；</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3.掌握</w:t>
            </w:r>
            <w:r>
              <w:rPr>
                <w:rFonts w:ascii="仿宋_GB2312" w:hAnsi="仿宋_GB2312" w:cs="仿宋_GB2312"/>
                <w:bCs/>
                <w:sz w:val="20"/>
                <w:szCs w:val="20"/>
              </w:rPr>
              <w:t>地下水流向完整井的非稳定运动</w:t>
            </w:r>
            <w:r>
              <w:rPr>
                <w:rFonts w:ascii="仿宋_GB2312" w:hAnsi="仿宋_GB2312" w:cs="仿宋_GB2312" w:hint="eastAsia"/>
                <w:bCs/>
                <w:sz w:val="20"/>
                <w:szCs w:val="20"/>
              </w:rPr>
              <w:t>（泰斯）</w:t>
            </w:r>
            <w:r>
              <w:rPr>
                <w:rFonts w:ascii="仿宋_GB2312" w:hAnsi="仿宋_GB2312" w:cs="仿宋_GB2312"/>
                <w:bCs/>
                <w:sz w:val="20"/>
                <w:szCs w:val="20"/>
              </w:rPr>
              <w:t xml:space="preserve">公式的推求及其计算； </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4.掌握井群的稳定运动及非稳定运动规律；</w:t>
            </w:r>
          </w:p>
          <w:p w:rsidR="008C3907" w:rsidRDefault="008C3907" w:rsidP="008C3907">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5.掌握河流边界附近的井流运动特征及运动公式。</w:t>
            </w:r>
          </w:p>
        </w:tc>
      </w:tr>
    </w:tbl>
    <w:p w:rsidR="008C3907" w:rsidRDefault="008C3907" w:rsidP="008C3907">
      <w:pPr>
        <w:spacing w:beforeLines="50" w:before="156" w:afterLines="50" w:after="156" w:line="560" w:lineRule="exact"/>
        <w:rPr>
          <w:rFonts w:ascii="黑体" w:eastAsia="黑体" w:hAnsi="黑体"/>
          <w:b/>
          <w:sz w:val="28"/>
          <w:szCs w:val="28"/>
        </w:rPr>
      </w:pP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8C3907" w:rsidRDefault="008C3907" w:rsidP="008C3907">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8C3907" w:rsidRDefault="008C3907" w:rsidP="008C3907">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 xml:space="preserve">  本课程采样期末闭卷考试进行考核。</w:t>
      </w:r>
    </w:p>
    <w:p w:rsidR="008C3907" w:rsidRDefault="008C3907"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8C3907" w:rsidRDefault="008C3907" w:rsidP="008C3907">
      <w:pPr>
        <w:spacing w:line="560" w:lineRule="exact"/>
        <w:ind w:left="420"/>
        <w:rPr>
          <w:rFonts w:ascii="宋体" w:eastAsia="宋体" w:hAnsi="宋体" w:cs="宋体"/>
          <w:color w:val="000000"/>
          <w:sz w:val="21"/>
          <w:szCs w:val="21"/>
        </w:rPr>
      </w:pPr>
      <w:r>
        <w:rPr>
          <w:rFonts w:ascii="宋体" w:eastAsia="宋体" w:hAnsi="宋体" w:hint="eastAsia"/>
          <w:sz w:val="24"/>
          <w:szCs w:val="24"/>
        </w:rPr>
        <w:t xml:space="preserve">   </w:t>
      </w:r>
      <w:r>
        <w:rPr>
          <w:rFonts w:ascii="仿宋_GB2312" w:hAnsi="仿宋_GB2312" w:cs="仿宋_GB2312"/>
          <w:sz w:val="28"/>
          <w:szCs w:val="28"/>
        </w:rPr>
        <w:t>采用平时成绩</w:t>
      </w:r>
      <w:r>
        <w:rPr>
          <w:rFonts w:ascii="仿宋_GB2312" w:hAnsi="仿宋_GB2312" w:cs="仿宋_GB2312" w:hint="eastAsia"/>
          <w:sz w:val="28"/>
          <w:szCs w:val="28"/>
        </w:rPr>
        <w:t>和</w:t>
      </w:r>
      <w:r>
        <w:rPr>
          <w:rFonts w:ascii="仿宋_GB2312" w:hAnsi="仿宋_GB2312" w:cs="仿宋_GB2312"/>
          <w:sz w:val="28"/>
          <w:szCs w:val="28"/>
        </w:rPr>
        <w:t>期末考试</w:t>
      </w:r>
      <w:r>
        <w:rPr>
          <w:rFonts w:ascii="仿宋_GB2312" w:hAnsi="仿宋_GB2312" w:cs="仿宋_GB2312" w:hint="eastAsia"/>
          <w:sz w:val="28"/>
          <w:szCs w:val="28"/>
        </w:rPr>
        <w:t>试卷成绩</w:t>
      </w:r>
      <w:r>
        <w:rPr>
          <w:rFonts w:ascii="仿宋_GB2312" w:hAnsi="仿宋_GB2312" w:cs="仿宋_GB2312"/>
          <w:sz w:val="28"/>
          <w:szCs w:val="28"/>
        </w:rPr>
        <w:t>确定</w:t>
      </w:r>
      <w:r>
        <w:rPr>
          <w:rFonts w:ascii="仿宋_GB2312" w:hAnsi="仿宋_GB2312" w:cs="仿宋_GB2312" w:hint="eastAsia"/>
          <w:sz w:val="28"/>
          <w:szCs w:val="28"/>
        </w:rPr>
        <w:t>最终</w:t>
      </w:r>
      <w:r>
        <w:rPr>
          <w:rFonts w:ascii="仿宋_GB2312" w:hAnsi="仿宋_GB2312" w:cs="仿宋_GB2312"/>
          <w:sz w:val="28"/>
          <w:szCs w:val="28"/>
        </w:rPr>
        <w:t>成绩</w:t>
      </w:r>
      <w:r>
        <w:rPr>
          <w:rFonts w:ascii="仿宋_GB2312" w:hAnsi="仿宋_GB2312" w:cs="仿宋_GB2312" w:hint="eastAsia"/>
          <w:sz w:val="28"/>
          <w:szCs w:val="28"/>
        </w:rPr>
        <w:t>。</w:t>
      </w:r>
      <w:r>
        <w:rPr>
          <w:rFonts w:ascii="仿宋_GB2312" w:hAnsi="仿宋_GB2312" w:cs="仿宋_GB2312"/>
          <w:sz w:val="28"/>
          <w:szCs w:val="28"/>
        </w:rPr>
        <w:t>课程总成绩=期末成绩</w:t>
      </w:r>
      <w:r>
        <w:rPr>
          <w:rFonts w:ascii="仿宋_GB2312" w:hAnsi="仿宋_GB2312" w:cs="仿宋_GB2312" w:hint="eastAsia"/>
          <w:sz w:val="28"/>
          <w:szCs w:val="28"/>
        </w:rPr>
        <w:t>75%+平时</w:t>
      </w:r>
      <w:r>
        <w:rPr>
          <w:rFonts w:ascii="仿宋_GB2312" w:hAnsi="仿宋_GB2312" w:cs="仿宋_GB2312"/>
          <w:sz w:val="28"/>
          <w:szCs w:val="28"/>
        </w:rPr>
        <w:t>成绩25</w:t>
      </w:r>
      <w:r>
        <w:rPr>
          <w:rFonts w:ascii="仿宋_GB2312" w:hAnsi="仿宋_GB2312" w:cs="仿宋_GB2312" w:hint="eastAsia"/>
          <w:sz w:val="28"/>
          <w:szCs w:val="28"/>
        </w:rPr>
        <w:t>%，</w:t>
      </w:r>
      <w:r>
        <w:rPr>
          <w:rFonts w:ascii="仿宋_GB2312" w:hAnsi="仿宋_GB2312" w:cs="仿宋_GB2312"/>
          <w:sz w:val="28"/>
          <w:szCs w:val="28"/>
        </w:rPr>
        <w:t>平时成绩考核包括作业</w:t>
      </w:r>
      <w:r>
        <w:rPr>
          <w:rFonts w:ascii="仿宋_GB2312" w:hAnsi="仿宋_GB2312" w:cs="仿宋_GB2312" w:hint="eastAsia"/>
          <w:sz w:val="28"/>
          <w:szCs w:val="28"/>
        </w:rPr>
        <w:t>（</w:t>
      </w:r>
      <w:r>
        <w:rPr>
          <w:rFonts w:ascii="仿宋_GB2312" w:hAnsi="仿宋_GB2312" w:cs="仿宋_GB2312"/>
          <w:sz w:val="28"/>
          <w:szCs w:val="28"/>
        </w:rPr>
        <w:t>思考题、练习题</w:t>
      </w:r>
      <w:r>
        <w:rPr>
          <w:rFonts w:ascii="仿宋_GB2312" w:hAnsi="仿宋_GB2312" w:cs="仿宋_GB2312" w:hint="eastAsia"/>
          <w:sz w:val="28"/>
          <w:szCs w:val="28"/>
        </w:rPr>
        <w:t>）、讨论和上课</w:t>
      </w:r>
      <w:r>
        <w:rPr>
          <w:rFonts w:ascii="仿宋_GB2312" w:hAnsi="仿宋_GB2312" w:cs="仿宋_GB2312"/>
          <w:sz w:val="28"/>
          <w:szCs w:val="28"/>
        </w:rPr>
        <w:t>出勤等</w:t>
      </w:r>
      <w:r>
        <w:rPr>
          <w:rFonts w:ascii="仿宋_GB2312" w:hAnsi="仿宋_GB2312" w:cs="仿宋_GB2312" w:hint="eastAsia"/>
          <w:sz w:val="28"/>
          <w:szCs w:val="28"/>
        </w:rPr>
        <w:t>。</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 xml:space="preserve">     </w:t>
      </w:r>
      <w:r>
        <w:rPr>
          <w:rFonts w:ascii="仿宋_GB2312" w:hAnsi="仿宋_GB2312" w:cs="仿宋_GB2312" w:hint="eastAsia"/>
          <w:sz w:val="28"/>
          <w:szCs w:val="28"/>
        </w:rPr>
        <w:t>1.建议教材</w:t>
      </w:r>
    </w:p>
    <w:p w:rsidR="008C3907" w:rsidRDefault="008C3907" w:rsidP="008C3907">
      <w:pPr>
        <w:spacing w:beforeLines="50" w:before="156" w:afterLines="50" w:after="156" w:line="560" w:lineRule="exact"/>
        <w:ind w:left="420"/>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（1）黄廷林、马学尼主编</w:t>
      </w:r>
      <w:r>
        <w:rPr>
          <w:rFonts w:ascii="仿宋_GB2312" w:hAnsi="仿宋_GB2312" w:cs="仿宋_GB2312" w:hint="eastAsia"/>
          <w:sz w:val="28"/>
          <w:szCs w:val="28"/>
        </w:rPr>
        <w:t>.</w:t>
      </w:r>
      <w:r>
        <w:rPr>
          <w:rFonts w:ascii="仿宋_GB2312" w:hAnsi="仿宋_GB2312" w:cs="仿宋_GB2312"/>
          <w:sz w:val="28"/>
          <w:szCs w:val="28"/>
        </w:rPr>
        <w:t>水文学</w:t>
      </w:r>
      <w:r>
        <w:rPr>
          <w:rFonts w:ascii="仿宋_GB2312" w:hAnsi="仿宋_GB2312" w:cs="仿宋_GB2312" w:hint="eastAsia"/>
          <w:sz w:val="28"/>
          <w:szCs w:val="28"/>
        </w:rPr>
        <w:t>（第五版）</w:t>
      </w:r>
      <w:r>
        <w:rPr>
          <w:rFonts w:ascii="仿宋_GB2312" w:hAnsi="仿宋_GB2312" w:cs="仿宋_GB2312"/>
          <w:sz w:val="28"/>
          <w:szCs w:val="28"/>
        </w:rPr>
        <w:t>，中国建筑工业出版社，201</w:t>
      </w:r>
      <w:r>
        <w:rPr>
          <w:rFonts w:ascii="仿宋_GB2312" w:hAnsi="仿宋_GB2312" w:cs="仿宋_GB2312" w:hint="eastAsia"/>
          <w:sz w:val="28"/>
          <w:szCs w:val="28"/>
        </w:rPr>
        <w:t>9.</w:t>
      </w:r>
      <w:r>
        <w:rPr>
          <w:rFonts w:ascii="仿宋_GB2312" w:hAnsi="仿宋_GB2312" w:cs="仿宋_GB2312"/>
          <w:sz w:val="28"/>
          <w:szCs w:val="28"/>
        </w:rPr>
        <w:t xml:space="preserve">         </w:t>
      </w:r>
    </w:p>
    <w:p w:rsidR="008C3907" w:rsidRDefault="008C3907" w:rsidP="008C3907">
      <w:pPr>
        <w:spacing w:beforeLines="50" w:before="156" w:afterLines="50" w:after="156" w:line="560" w:lineRule="exact"/>
        <w:ind w:left="420"/>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（2）刘兆昌、李广贺等主编</w:t>
      </w:r>
      <w:r>
        <w:rPr>
          <w:rFonts w:ascii="仿宋_GB2312" w:hAnsi="仿宋_GB2312" w:cs="仿宋_GB2312" w:hint="eastAsia"/>
          <w:sz w:val="28"/>
          <w:szCs w:val="28"/>
        </w:rPr>
        <w:t>.</w:t>
      </w:r>
      <w:r>
        <w:rPr>
          <w:rFonts w:ascii="仿宋_GB2312" w:hAnsi="仿宋_GB2312" w:cs="仿宋_GB2312"/>
          <w:sz w:val="28"/>
          <w:szCs w:val="28"/>
        </w:rPr>
        <w:t>供水水文地质</w:t>
      </w:r>
      <w:r>
        <w:rPr>
          <w:rFonts w:ascii="仿宋_GB2312" w:hAnsi="仿宋_GB2312" w:cs="仿宋_GB2312" w:hint="eastAsia"/>
          <w:sz w:val="28"/>
          <w:szCs w:val="28"/>
        </w:rPr>
        <w:t>(第四版）</w:t>
      </w:r>
      <w:r>
        <w:rPr>
          <w:rFonts w:ascii="仿宋_GB2312" w:hAnsi="仿宋_GB2312" w:cs="仿宋_GB2312"/>
          <w:sz w:val="28"/>
          <w:szCs w:val="28"/>
        </w:rPr>
        <w:t>，中国建筑工业出版社，2011</w:t>
      </w:r>
      <w:r>
        <w:rPr>
          <w:rFonts w:ascii="仿宋_GB2312" w:hAnsi="仿宋_GB2312" w:cs="仿宋_GB2312" w:hint="eastAsia"/>
          <w:sz w:val="28"/>
          <w:szCs w:val="28"/>
        </w:rPr>
        <w:t>.</w:t>
      </w:r>
    </w:p>
    <w:p w:rsidR="008C3907" w:rsidRDefault="008C3907" w:rsidP="008C3907">
      <w:pPr>
        <w:spacing w:beforeLines="50" w:before="156" w:afterLines="50" w:after="156" w:line="360" w:lineRule="auto"/>
        <w:ind w:left="420"/>
        <w:rPr>
          <w:rFonts w:ascii="仿宋_GB2312" w:hAnsi="仿宋_GB2312" w:cs="仿宋_GB2312"/>
          <w:sz w:val="28"/>
          <w:szCs w:val="28"/>
        </w:rPr>
      </w:pPr>
      <w:r>
        <w:rPr>
          <w:rFonts w:ascii="仿宋_GB2312" w:hAnsi="仿宋_GB2312" w:cs="仿宋_GB2312" w:hint="eastAsia"/>
          <w:sz w:val="28"/>
          <w:szCs w:val="28"/>
        </w:rPr>
        <w:t>2.主要参考资料</w:t>
      </w:r>
    </w:p>
    <w:p w:rsidR="008C3907" w:rsidRDefault="008C3907" w:rsidP="008C3907">
      <w:pPr>
        <w:spacing w:beforeLines="50" w:before="156" w:afterLines="50" w:after="156" w:line="560" w:lineRule="exact"/>
        <w:ind w:left="420" w:firstLineChars="147" w:firstLine="353"/>
        <w:rPr>
          <w:rFonts w:ascii="宋体" w:eastAsia="宋体" w:hAnsi="宋体" w:cs="仿宋_GB2312"/>
          <w:sz w:val="24"/>
          <w:szCs w:val="24"/>
        </w:rPr>
      </w:pPr>
      <w:r>
        <w:rPr>
          <w:rFonts w:ascii="宋体" w:eastAsia="宋体" w:hAnsi="宋体" w:cs="仿宋_GB2312" w:hint="eastAsia"/>
          <w:sz w:val="24"/>
          <w:szCs w:val="24"/>
        </w:rPr>
        <w:t xml:space="preserve">   </w:t>
      </w:r>
      <w:r>
        <w:rPr>
          <w:rFonts w:ascii="仿宋_GB2312" w:hAnsi="仿宋_GB2312" w:cs="仿宋_GB2312" w:hint="eastAsia"/>
          <w:sz w:val="28"/>
          <w:szCs w:val="28"/>
        </w:rPr>
        <w:t>无</w:t>
      </w:r>
    </w:p>
    <w:p w:rsidR="008C3907" w:rsidRDefault="008C3907" w:rsidP="008C3907">
      <w:pPr>
        <w:spacing w:beforeLines="50" w:before="156" w:afterLines="50" w:after="156" w:line="460" w:lineRule="exact"/>
        <w:rPr>
          <w:rFonts w:ascii="黑体" w:eastAsia="黑体" w:hAnsi="黑体"/>
          <w:b/>
          <w:sz w:val="28"/>
          <w:szCs w:val="28"/>
        </w:rPr>
      </w:pPr>
      <w:r>
        <w:rPr>
          <w:rFonts w:ascii="黑体" w:eastAsia="黑体" w:hAnsi="黑体" w:hint="eastAsia"/>
          <w:b/>
          <w:sz w:val="28"/>
          <w:szCs w:val="28"/>
        </w:rPr>
        <w:t>七、其他</w:t>
      </w:r>
    </w:p>
    <w:p w:rsidR="008C3907" w:rsidRPr="008B7812"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 xml:space="preserve">     </w:t>
      </w:r>
      <w:r>
        <w:rPr>
          <w:rFonts w:ascii="仿宋_GB2312" w:hAnsi="仿宋_GB2312" w:cs="仿宋_GB2312" w:hint="eastAsia"/>
          <w:sz w:val="28"/>
          <w:szCs w:val="28"/>
        </w:rPr>
        <w:t>无</w:t>
      </w:r>
    </w:p>
    <w:p w:rsidR="008C3907" w:rsidRDefault="008C3907" w:rsidP="008C3907">
      <w:pPr>
        <w:spacing w:line="560" w:lineRule="exact"/>
        <w:ind w:firstLineChars="1200" w:firstLine="3360"/>
        <w:rPr>
          <w:rFonts w:ascii="仿宋" w:eastAsia="仿宋" w:hAnsi="仿宋"/>
          <w:sz w:val="28"/>
          <w:szCs w:val="28"/>
        </w:rPr>
      </w:pPr>
    </w:p>
    <w:p w:rsidR="008C3907" w:rsidRDefault="008C3907" w:rsidP="008C3907">
      <w:pPr>
        <w:spacing w:line="560" w:lineRule="exact"/>
        <w:ind w:firstLineChars="1200" w:firstLine="3360"/>
        <w:rPr>
          <w:rFonts w:ascii="仿宋" w:eastAsia="仿宋" w:hAnsi="仿宋"/>
          <w:sz w:val="28"/>
          <w:szCs w:val="28"/>
        </w:rPr>
      </w:pPr>
    </w:p>
    <w:p w:rsidR="008C3907" w:rsidRDefault="008C3907" w:rsidP="008C3907">
      <w:pPr>
        <w:spacing w:line="560" w:lineRule="exact"/>
        <w:ind w:firstLineChars="1200" w:firstLine="3360"/>
        <w:rPr>
          <w:rFonts w:ascii="仿宋" w:eastAsia="仿宋" w:hAnsi="仿宋"/>
          <w:sz w:val="28"/>
          <w:szCs w:val="28"/>
        </w:rPr>
      </w:pPr>
      <w:r>
        <w:rPr>
          <w:rFonts w:ascii="仿宋" w:eastAsia="仿宋" w:hAnsi="仿宋" w:hint="eastAsia"/>
          <w:sz w:val="28"/>
          <w:szCs w:val="28"/>
        </w:rPr>
        <w:lastRenderedPageBreak/>
        <w:t>大纲撰写人：姜桂华</w:t>
      </w:r>
    </w:p>
    <w:p w:rsidR="008C3907" w:rsidRDefault="008C3907" w:rsidP="008C3907">
      <w:pPr>
        <w:spacing w:line="560" w:lineRule="exact"/>
        <w:ind w:firstLineChars="1200" w:firstLine="3360"/>
        <w:rPr>
          <w:rFonts w:ascii="仿宋" w:eastAsia="仿宋" w:hAnsi="仿宋"/>
          <w:sz w:val="28"/>
          <w:szCs w:val="28"/>
        </w:rPr>
      </w:pPr>
      <w:r>
        <w:rPr>
          <w:rFonts w:ascii="仿宋" w:eastAsia="仿宋" w:hAnsi="仿宋" w:hint="eastAsia"/>
          <w:sz w:val="28"/>
          <w:szCs w:val="28"/>
        </w:rPr>
        <w:t>课程负责人：姜桂华</w:t>
      </w:r>
    </w:p>
    <w:p w:rsidR="008C3907" w:rsidRDefault="008C3907" w:rsidP="008C3907">
      <w:pPr>
        <w:spacing w:line="560" w:lineRule="exact"/>
        <w:ind w:firstLineChars="1200" w:firstLine="3360"/>
        <w:rPr>
          <w:rFonts w:ascii="仿宋" w:eastAsia="仿宋" w:hAnsi="仿宋"/>
          <w:sz w:val="28"/>
          <w:szCs w:val="28"/>
        </w:rPr>
      </w:pPr>
      <w:r>
        <w:rPr>
          <w:rFonts w:ascii="仿宋" w:eastAsia="仿宋" w:hAnsi="仿宋" w:hint="eastAsia"/>
          <w:sz w:val="28"/>
          <w:szCs w:val="28"/>
        </w:rPr>
        <w:t>审核人：</w:t>
      </w:r>
    </w:p>
    <w:p w:rsidR="008C3907" w:rsidRDefault="008C3907" w:rsidP="008C3907">
      <w:pPr>
        <w:spacing w:line="560" w:lineRule="exact"/>
        <w:ind w:firstLineChars="1200" w:firstLine="2880"/>
        <w:rPr>
          <w:rFonts w:ascii="仿宋_GB2312" w:hAnsi="仿宋_GB2312" w:cs="仿宋_GB2312"/>
          <w:sz w:val="24"/>
          <w:szCs w:val="24"/>
        </w:rPr>
      </w:pPr>
    </w:p>
    <w:p w:rsidR="008C3907" w:rsidRDefault="008C3907" w:rsidP="008C3907">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8C3907" w:rsidRDefault="008C3907" w:rsidP="008C3907">
      <w:pPr>
        <w:spacing w:line="360" w:lineRule="auto"/>
        <w:ind w:firstLineChars="1200" w:firstLine="3360"/>
        <w:rPr>
          <w:rFonts w:ascii="仿宋" w:hAnsi="仿宋"/>
          <w:sz w:val="28"/>
          <w:szCs w:val="28"/>
        </w:rPr>
      </w:pPr>
      <w:r>
        <w:rPr>
          <w:rFonts w:ascii="仿宋_GB2312" w:hAnsi="微软雅黑" w:hint="eastAsia"/>
          <w:sz w:val="28"/>
          <w:szCs w:val="28"/>
        </w:rPr>
        <w:t xml:space="preserve">               </w:t>
      </w:r>
      <w:r>
        <w:rPr>
          <w:rFonts w:ascii="仿宋" w:eastAsia="仿宋" w:hAnsi="仿宋" w:hint="eastAsia"/>
          <w:sz w:val="28"/>
          <w:szCs w:val="28"/>
        </w:rPr>
        <w:t>2021年4月</w:t>
      </w:r>
    </w:p>
    <w:p w:rsidR="008C3907" w:rsidRDefault="008C3907" w:rsidP="008C3907">
      <w:pPr>
        <w:spacing w:line="360" w:lineRule="auto"/>
        <w:ind w:firstLineChars="1200" w:firstLine="3360"/>
        <w:rPr>
          <w:rFonts w:ascii="仿宋" w:eastAsia="仿宋" w:hAnsi="仿宋"/>
          <w:sz w:val="28"/>
          <w:szCs w:val="28"/>
        </w:rPr>
      </w:pPr>
      <w:r>
        <w:rPr>
          <w:rFonts w:ascii="仿宋" w:eastAsia="仿宋" w:hAnsi="仿宋" w:hint="eastAsia"/>
          <w:sz w:val="28"/>
          <w:szCs w:val="28"/>
        </w:rPr>
        <w:t xml:space="preserve">                                                          </w:t>
      </w:r>
    </w:p>
    <w:p w:rsidR="008C3907" w:rsidRDefault="008C3907" w:rsidP="008C3907"/>
    <w:p w:rsidR="008C3907" w:rsidRDefault="008C3907"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sz w:val="28"/>
          <w:szCs w:val="28"/>
        </w:rPr>
      </w:pPr>
    </w:p>
    <w:p w:rsidR="002A3242" w:rsidRDefault="002A3242" w:rsidP="00CA5AE3">
      <w:pPr>
        <w:jc w:val="left"/>
        <w:rPr>
          <w:rFonts w:ascii="仿宋" w:eastAsia="仿宋" w:hAnsi="仿宋" w:hint="eastAsia"/>
          <w:sz w:val="28"/>
          <w:szCs w:val="28"/>
        </w:rPr>
      </w:pPr>
    </w:p>
    <w:p w:rsidR="00E07285" w:rsidRPr="002A3242" w:rsidRDefault="00E07285" w:rsidP="002A3242">
      <w:pPr>
        <w:widowControl/>
        <w:spacing w:line="360" w:lineRule="auto"/>
        <w:jc w:val="center"/>
        <w:rPr>
          <w:rFonts w:ascii="方正小标宋简体" w:eastAsia="方正小标宋简体" w:hAnsi="宋体"/>
          <w:kern w:val="0"/>
          <w:szCs w:val="32"/>
        </w:rPr>
      </w:pPr>
      <w:bookmarkStart w:id="40" w:name="_Toc497394984"/>
      <w:bookmarkStart w:id="41" w:name="_Toc497397322"/>
      <w:bookmarkStart w:id="42" w:name="_Toc497483242"/>
      <w:r w:rsidRPr="002A3242">
        <w:rPr>
          <w:rFonts w:ascii="方正小标宋简体" w:eastAsia="方正小标宋简体" w:hAnsi="宋体" w:hint="eastAsia"/>
          <w:kern w:val="0"/>
          <w:szCs w:val="32"/>
        </w:rPr>
        <w:lastRenderedPageBreak/>
        <w:t>《建筑给水排水工程》课程教学大纲</w:t>
      </w:r>
      <w:bookmarkEnd w:id="40"/>
      <w:bookmarkEnd w:id="41"/>
      <w:bookmarkEnd w:id="42"/>
    </w:p>
    <w:p w:rsidR="00E07285" w:rsidRDefault="00E07285" w:rsidP="00E07285">
      <w:pPr>
        <w:spacing w:beforeLines="50" w:before="156" w:afterLines="50" w:after="156" w:line="560" w:lineRule="exact"/>
        <w:rPr>
          <w:rFonts w:ascii="黑体" w:eastAsia="黑体" w:hAnsi="黑体"/>
          <w:b/>
          <w:sz w:val="28"/>
          <w:szCs w:val="28"/>
        </w:rPr>
      </w:pPr>
      <w:bookmarkStart w:id="43" w:name="_Toc497394985"/>
      <w:r>
        <w:rPr>
          <w:rFonts w:ascii="黑体" w:eastAsia="黑体" w:hAnsi="黑体" w:hint="eastAsia"/>
          <w:b/>
          <w:sz w:val="28"/>
          <w:szCs w:val="28"/>
        </w:rPr>
        <w:t>一、课程信息</w:t>
      </w:r>
    </w:p>
    <w:p w:rsidR="00E07285" w:rsidRDefault="00E07285" w:rsidP="00E07285">
      <w:pPr>
        <w:snapToGrid w:val="0"/>
        <w:spacing w:line="560" w:lineRule="exact"/>
        <w:ind w:firstLineChars="100" w:firstLine="280"/>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hint="eastAsia"/>
          <w:sz w:val="28"/>
          <w:szCs w:val="28"/>
        </w:rPr>
        <w:t>Building Water Supply and Drainage Engineering</w:t>
      </w:r>
    </w:p>
    <w:p w:rsidR="00E07285" w:rsidRDefault="00E07285" w:rsidP="00E07285">
      <w:pPr>
        <w:snapToGrid w:val="0"/>
        <w:spacing w:line="560" w:lineRule="exact"/>
        <w:ind w:firstLineChars="100" w:firstLine="280"/>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hint="eastAsia"/>
          <w:sz w:val="28"/>
          <w:szCs w:val="28"/>
        </w:rPr>
        <w:t>Z2806120</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w:t>
      </w:r>
      <w:r>
        <w:rPr>
          <w:rFonts w:ascii="仿宋_GB2312" w:hAnsi="仿宋_GB2312" w:cs="仿宋_GB2312" w:hint="eastAsia"/>
          <w:sz w:val="28"/>
          <w:szCs w:val="28"/>
        </w:rPr>
        <w:t>汉语</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分：2.5</w:t>
      </w:r>
    </w:p>
    <w:p w:rsidR="00E07285" w:rsidRDefault="00E07285" w:rsidP="00E07285">
      <w:pPr>
        <w:spacing w:line="560" w:lineRule="exact"/>
        <w:ind w:firstLineChars="100" w:firstLine="280"/>
        <w:rPr>
          <w:rFonts w:ascii="仿宋_GB2312" w:hAnsi="仿宋_GB2312" w:cs="仿宋_GB2312"/>
          <w:bCs/>
          <w:sz w:val="28"/>
          <w:szCs w:val="28"/>
        </w:rPr>
      </w:pPr>
      <w:r>
        <w:rPr>
          <w:rFonts w:ascii="仿宋_GB2312" w:hAnsi="仿宋_GB2312" w:cs="仿宋_GB2312" w:hint="eastAsia"/>
          <w:bCs/>
          <w:sz w:val="28"/>
          <w:szCs w:val="28"/>
        </w:rPr>
        <w:t>学    时：40学时（授课40学时，实验0学时，上机0学时，课外0学时）</w:t>
      </w:r>
    </w:p>
    <w:p w:rsidR="00E07285" w:rsidRDefault="00E07285" w:rsidP="00E07285">
      <w:pPr>
        <w:snapToGrid w:val="0"/>
        <w:spacing w:line="560" w:lineRule="exact"/>
        <w:ind w:firstLineChars="100" w:firstLine="280"/>
        <w:rPr>
          <w:rFonts w:ascii="仿宋_GB2312" w:hAnsi="仿宋_GB2312" w:cs="仿宋_GB2312"/>
          <w:bCs/>
          <w:sz w:val="28"/>
          <w:szCs w:val="28"/>
        </w:rPr>
      </w:pPr>
      <w:r>
        <w:rPr>
          <w:rFonts w:ascii="仿宋_GB2312" w:hAnsi="仿宋_GB2312" w:cs="仿宋_GB2312" w:hint="eastAsia"/>
          <w:bCs/>
          <w:sz w:val="28"/>
          <w:szCs w:val="28"/>
        </w:rPr>
        <w:t>适用对象：</w:t>
      </w:r>
      <w:r>
        <w:rPr>
          <w:rFonts w:ascii="仿宋_GB2312" w:hAnsi="仿宋_GB2312" w:cs="仿宋_GB2312" w:hint="eastAsia"/>
          <w:sz w:val="28"/>
          <w:szCs w:val="28"/>
        </w:rPr>
        <w:t>给排水科学与工程</w:t>
      </w:r>
      <w:r>
        <w:rPr>
          <w:rFonts w:ascii="仿宋_GB2312" w:hAnsi="仿宋_GB2312" w:cs="仿宋_GB2312" w:hint="eastAsia"/>
          <w:bCs/>
          <w:sz w:val="28"/>
          <w:szCs w:val="28"/>
        </w:rPr>
        <w:t>专业</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w:t>
      </w:r>
      <w:r>
        <w:rPr>
          <w:rFonts w:ascii="仿宋_GB2312" w:hAnsi="仿宋_GB2312" w:cs="仿宋_GB2312" w:hint="eastAsia"/>
          <w:sz w:val="28"/>
          <w:szCs w:val="28"/>
        </w:rPr>
        <w:t>土建工程基础、水力学、水泵及水泵站等。</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w:t>
      </w:r>
      <w:r>
        <w:rPr>
          <w:rFonts w:ascii="仿宋_GB2312" w:hAnsi="仿宋_GB2312" w:cs="仿宋_GB2312" w:hint="eastAsia"/>
          <w:sz w:val="28"/>
          <w:szCs w:val="28"/>
        </w:rPr>
        <w:t>建筑工程学院给排水科学与工程系</w:t>
      </w:r>
    </w:p>
    <w:p w:rsidR="00E07285" w:rsidRDefault="00E07285" w:rsidP="00E07285">
      <w:pPr>
        <w:spacing w:beforeLines="50" w:before="156" w:afterLines="50" w:after="156" w:line="560" w:lineRule="exact"/>
        <w:rPr>
          <w:rFonts w:ascii="仿宋_GB2312" w:hAnsi="仿宋_GB2312" w:cs="仿宋_GB2312"/>
          <w:b/>
          <w:sz w:val="28"/>
          <w:szCs w:val="28"/>
        </w:rPr>
      </w:pPr>
      <w:r>
        <w:rPr>
          <w:rFonts w:ascii="黑体" w:eastAsia="黑体" w:hAnsi="黑体" w:hint="eastAsia"/>
          <w:b/>
          <w:sz w:val="28"/>
          <w:szCs w:val="28"/>
        </w:rPr>
        <w:t>二、</w:t>
      </w:r>
      <w:r>
        <w:rPr>
          <w:rFonts w:ascii="仿宋_GB2312" w:hAnsi="仿宋_GB2312" w:cs="仿宋_GB2312" w:hint="eastAsia"/>
          <w:b/>
          <w:sz w:val="28"/>
          <w:szCs w:val="28"/>
        </w:rPr>
        <w:t>课程简介</w:t>
      </w:r>
    </w:p>
    <w:bookmarkEnd w:id="43"/>
    <w:p w:rsidR="00E07285" w:rsidRDefault="00E07285" w:rsidP="00E07285">
      <w:pPr>
        <w:snapToGrid w:val="0"/>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建筑给水排水工程》是一门为工业与民用建筑提供必需的生产条件和安全、卫生、舒适生活环境的课程。学生通过该课程学习建筑水工程的基本知识、基本理论和基本方法，获得建筑给水排水工程设计与施工的核心能力。教学内容为建筑内部的给水、消防给水、排水、雨水、热水供应以及水景、小区给水排水和中水工程的基本理论、设计原理、设计方法以及安装和管理等方面的基本知识和技术。</w:t>
      </w:r>
    </w:p>
    <w:p w:rsidR="00E07285" w:rsidRDefault="00E07285" w:rsidP="00E07285">
      <w:pPr>
        <w:snapToGrid w:val="0"/>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教学方式采用PPT（原理与设计案例讲解）、板书（计算讲解）、实例参观、课后思考题和练习题等相结合进行授课，并结合课程设计</w:t>
      </w:r>
      <w:r>
        <w:rPr>
          <w:rFonts w:ascii="仿宋_GB2312" w:hAnsi="仿宋_GB2312" w:cs="仿宋_GB2312" w:hint="eastAsia"/>
          <w:sz w:val="28"/>
          <w:szCs w:val="28"/>
        </w:rPr>
        <w:lastRenderedPageBreak/>
        <w:t>教学环节，使学生具备最基本建筑给排水的设计、计算、制图能力。</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E07285" w:rsidRDefault="00E07285" w:rsidP="00E07285">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E07285" w:rsidRDefault="00E07285" w:rsidP="00E07285">
      <w:pPr>
        <w:snapToGrid w:val="0"/>
        <w:spacing w:line="560" w:lineRule="exact"/>
        <w:ind w:left="420" w:firstLineChars="200" w:firstLine="560"/>
        <w:rPr>
          <w:rFonts w:ascii="仿宋_GB2312" w:hAnsi="仿宋_GB2312" w:cs="仿宋_GB2312"/>
          <w:sz w:val="28"/>
          <w:szCs w:val="28"/>
        </w:rPr>
      </w:pPr>
      <w:r>
        <w:rPr>
          <w:rFonts w:ascii="仿宋_GB2312" w:hAnsi="仿宋_GB2312" w:cs="仿宋_GB2312" w:hint="eastAsia"/>
          <w:sz w:val="28"/>
          <w:szCs w:val="28"/>
        </w:rPr>
        <w:t>本课程着重使学生掌握建筑给水排水工程的基本概念、设计原理和方法以及安装、管理方面的基本知识，具备建筑给水排水工程各系统设计和管理的工程实践能力，了解建筑给水排水工程各系统的基本安装要求及管材的选用。对重要的公式需要明确其意义，结合大作业能进行民用高层建筑的给排水工程设计及计算，同时注重培养学生提高自学与更新本专业知识的能力。</w:t>
      </w:r>
    </w:p>
    <w:p w:rsidR="00E07285" w:rsidRDefault="00E07285"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知识目标：了解并掌握建筑给水排水工程的基本概念、设计原理和方法以及安装、管理方面的基本知识。具有建筑给水排水工程的设计能力，了解本学科国内外的发展动向和先进技术。课程学习结束后应能完成一幢民用建筑的给排水及消防工程的设计、计算、制图等工作。</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能力目标:</w:t>
      </w:r>
      <w:r>
        <w:rPr>
          <w:rFonts w:ascii="仿宋_GB2312" w:hAnsi="仿宋_GB2312" w:cs="仿宋_GB2312" w:hint="eastAsia"/>
          <w:color w:val="000000"/>
          <w:sz w:val="28"/>
          <w:szCs w:val="28"/>
        </w:rPr>
        <w:t>要求学生掌握建筑给水排水工程各个系统基本概念、工作原理、设计相关参数正确选取，熟悉相关规范、技术标准；具备合理制定设计方案，并开展设计的绘制和计算工作的能力；训练强化学生理论联系实际及实践动手能力，培养学生发现问题、分析问题、创新设计、个人表现和沟通交流的能力。</w:t>
      </w:r>
    </w:p>
    <w:p w:rsidR="00E07285" w:rsidRDefault="00E07285" w:rsidP="00E07285">
      <w:pPr>
        <w:spacing w:line="560" w:lineRule="exact"/>
        <w:ind w:firstLineChars="200" w:firstLine="560"/>
        <w:rPr>
          <w:rFonts w:ascii="宋体" w:eastAsia="宋体" w:hAnsi="宋体" w:cs="宋体"/>
          <w:sz w:val="24"/>
          <w:szCs w:val="24"/>
        </w:rPr>
      </w:pPr>
      <w:r>
        <w:rPr>
          <w:rFonts w:ascii="仿宋_GB2312" w:hAnsi="仿宋_GB2312" w:cs="仿宋_GB2312" w:hint="eastAsia"/>
          <w:sz w:val="28"/>
          <w:szCs w:val="28"/>
        </w:rPr>
        <w:t>情感态度与价值目标：学会把专业理论知识转化为实践能力；具备可持续、生态文明、健康环保等环境意识；在规范设计的基础上具有创新意识；激发爱国主义热情、培养责任感、使命感。</w:t>
      </w:r>
    </w:p>
    <w:p w:rsidR="00E07285" w:rsidRDefault="00E07285" w:rsidP="00E07285">
      <w:pPr>
        <w:spacing w:line="560" w:lineRule="exact"/>
        <w:rPr>
          <w:rFonts w:ascii="仿宋_GB2312" w:hAnsi="仿宋_GB2312" w:cs="仿宋_GB2312"/>
          <w:bCs/>
          <w:sz w:val="28"/>
          <w:szCs w:val="28"/>
        </w:rPr>
      </w:pPr>
      <w:r>
        <w:rPr>
          <w:rFonts w:ascii="仿宋_GB2312" w:hAnsi="仿宋_GB2312" w:cs="仿宋_GB2312" w:hint="eastAsia"/>
          <w:bCs/>
          <w:sz w:val="28"/>
          <w:szCs w:val="28"/>
        </w:rPr>
        <w:lastRenderedPageBreak/>
        <w:t>2.2 课程目标与毕业要求之间的对应关系</w:t>
      </w:r>
    </w:p>
    <w:tbl>
      <w:tblPr>
        <w:tblStyle w:val="a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488"/>
        <w:gridCol w:w="488"/>
        <w:gridCol w:w="488"/>
        <w:gridCol w:w="488"/>
        <w:gridCol w:w="488"/>
        <w:gridCol w:w="488"/>
        <w:gridCol w:w="488"/>
        <w:gridCol w:w="489"/>
        <w:gridCol w:w="489"/>
        <w:gridCol w:w="504"/>
        <w:gridCol w:w="504"/>
        <w:gridCol w:w="504"/>
      </w:tblGrid>
      <w:tr w:rsidR="00E07285" w:rsidTr="00E07285">
        <w:trPr>
          <w:trHeight w:hRule="exact" w:val="454"/>
          <w:jc w:val="center"/>
        </w:trPr>
        <w:tc>
          <w:tcPr>
            <w:tcW w:w="2743" w:type="dxa"/>
            <w:vMerge w:val="restart"/>
            <w:vAlign w:val="center"/>
          </w:tcPr>
          <w:p w:rsidR="00E07285" w:rsidRDefault="00E07285" w:rsidP="00E07285">
            <w:pPr>
              <w:spacing w:line="360" w:lineRule="auto"/>
              <w:jc w:val="center"/>
              <w:rPr>
                <w:rFonts w:ascii="仿宋_GB2312" w:hAnsi="仿宋_GB2312" w:cs="仿宋_GB2312"/>
                <w:bCs/>
                <w:sz w:val="20"/>
              </w:rPr>
            </w:pPr>
            <w:r>
              <w:rPr>
                <w:rFonts w:ascii="仿宋_GB2312" w:hAnsi="仿宋_GB2312" w:cs="仿宋_GB2312" w:hint="eastAsia"/>
                <w:bCs/>
                <w:sz w:val="20"/>
              </w:rPr>
              <w:t>课程目标</w:t>
            </w:r>
          </w:p>
        </w:tc>
        <w:tc>
          <w:tcPr>
            <w:tcW w:w="6233" w:type="dxa"/>
            <w:gridSpan w:val="12"/>
            <w:vAlign w:val="center"/>
          </w:tcPr>
          <w:p w:rsidR="00E07285" w:rsidRDefault="00E07285" w:rsidP="00E07285">
            <w:pPr>
              <w:jc w:val="center"/>
              <w:rPr>
                <w:rFonts w:ascii="仿宋_GB2312" w:hAnsi="仿宋_GB2312" w:cs="仿宋_GB2312"/>
                <w:bCs/>
                <w:sz w:val="20"/>
              </w:rPr>
            </w:pPr>
            <w:r>
              <w:rPr>
                <w:rFonts w:ascii="仿宋_GB2312" w:hAnsi="仿宋_GB2312" w:cs="仿宋_GB2312" w:hint="eastAsia"/>
                <w:bCs/>
                <w:sz w:val="20"/>
              </w:rPr>
              <w:t>毕业要求</w:t>
            </w:r>
          </w:p>
        </w:tc>
      </w:tr>
      <w:tr w:rsidR="00E07285" w:rsidTr="00E07285">
        <w:trPr>
          <w:trHeight w:hRule="exact" w:val="454"/>
          <w:jc w:val="center"/>
        </w:trPr>
        <w:tc>
          <w:tcPr>
            <w:tcW w:w="2743" w:type="dxa"/>
            <w:vMerge/>
          </w:tcPr>
          <w:p w:rsidR="00E07285" w:rsidRDefault="00E07285" w:rsidP="00E07285">
            <w:pPr>
              <w:spacing w:line="360" w:lineRule="auto"/>
              <w:rPr>
                <w:rFonts w:ascii="仿宋_GB2312" w:hAnsi="仿宋_GB2312" w:cs="仿宋_GB2312"/>
                <w:bCs/>
                <w:sz w:val="20"/>
              </w:rPr>
            </w:pP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1</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2</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3</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4</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5</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6</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7</w:t>
            </w:r>
          </w:p>
        </w:tc>
        <w:tc>
          <w:tcPr>
            <w:tcW w:w="520"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8</w:t>
            </w:r>
          </w:p>
        </w:tc>
        <w:tc>
          <w:tcPr>
            <w:tcW w:w="520"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9</w:t>
            </w:r>
          </w:p>
        </w:tc>
        <w:tc>
          <w:tcPr>
            <w:tcW w:w="520"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10</w:t>
            </w:r>
          </w:p>
        </w:tc>
        <w:tc>
          <w:tcPr>
            <w:tcW w:w="520"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11</w:t>
            </w:r>
          </w:p>
        </w:tc>
        <w:tc>
          <w:tcPr>
            <w:tcW w:w="520"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12</w:t>
            </w:r>
          </w:p>
        </w:tc>
      </w:tr>
      <w:tr w:rsidR="00E07285" w:rsidTr="00E07285">
        <w:trPr>
          <w:trHeight w:hRule="exact" w:val="454"/>
          <w:jc w:val="center"/>
        </w:trPr>
        <w:tc>
          <w:tcPr>
            <w:tcW w:w="2743"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知识目标</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H</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M</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M</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L</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r>
      <w:tr w:rsidR="00E07285" w:rsidTr="00E07285">
        <w:trPr>
          <w:trHeight w:hRule="exact" w:val="454"/>
          <w:jc w:val="center"/>
        </w:trPr>
        <w:tc>
          <w:tcPr>
            <w:tcW w:w="2743" w:type="dxa"/>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能力目标</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H</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H</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H</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L</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H</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M</w:t>
            </w:r>
          </w:p>
        </w:tc>
        <w:tc>
          <w:tcPr>
            <w:tcW w:w="520" w:type="dxa"/>
          </w:tcPr>
          <w:p w:rsidR="00E07285" w:rsidRDefault="00E07285" w:rsidP="00E07285">
            <w:pPr>
              <w:spacing w:line="360" w:lineRule="auto"/>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r>
      <w:tr w:rsidR="00E07285" w:rsidTr="00E07285">
        <w:trPr>
          <w:trHeight w:hRule="exact" w:val="454"/>
          <w:jc w:val="center"/>
        </w:trPr>
        <w:tc>
          <w:tcPr>
            <w:tcW w:w="2743" w:type="dxa"/>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情感态度与价值观目标</w:t>
            </w:r>
          </w:p>
        </w:tc>
        <w:tc>
          <w:tcPr>
            <w:tcW w:w="519" w:type="dxa"/>
            <w:vAlign w:val="center"/>
          </w:tcPr>
          <w:p w:rsidR="00E07285" w:rsidRDefault="00E07285" w:rsidP="00E07285">
            <w:pPr>
              <w:spacing w:line="360" w:lineRule="auto"/>
              <w:jc w:val="center"/>
              <w:rPr>
                <w:rFonts w:ascii="仿宋_GB2312" w:hAnsi="仿宋_GB2312" w:cs="仿宋_GB2312"/>
                <w:bCs/>
                <w:sz w:val="20"/>
              </w:rPr>
            </w:pPr>
          </w:p>
        </w:tc>
        <w:tc>
          <w:tcPr>
            <w:tcW w:w="519" w:type="dxa"/>
            <w:vAlign w:val="center"/>
          </w:tcPr>
          <w:p w:rsidR="00E07285" w:rsidRDefault="00E07285" w:rsidP="00E07285">
            <w:pPr>
              <w:spacing w:line="360" w:lineRule="auto"/>
              <w:jc w:val="center"/>
              <w:rPr>
                <w:rFonts w:ascii="仿宋_GB2312" w:hAnsi="仿宋_GB2312" w:cs="仿宋_GB2312"/>
                <w:bCs/>
                <w:sz w:val="20"/>
              </w:rPr>
            </w:pP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M</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H</w:t>
            </w:r>
          </w:p>
        </w:tc>
        <w:tc>
          <w:tcPr>
            <w:tcW w:w="519" w:type="dxa"/>
            <w:vAlign w:val="center"/>
          </w:tcPr>
          <w:p w:rsidR="00E07285" w:rsidRDefault="00E07285" w:rsidP="00E07285">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L</w:t>
            </w:r>
          </w:p>
        </w:tc>
        <w:tc>
          <w:tcPr>
            <w:tcW w:w="520" w:type="dxa"/>
          </w:tcPr>
          <w:p w:rsidR="00E07285" w:rsidRDefault="00E07285" w:rsidP="00E07285">
            <w:pPr>
              <w:spacing w:line="360" w:lineRule="auto"/>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c>
          <w:tcPr>
            <w:tcW w:w="520" w:type="dxa"/>
          </w:tcPr>
          <w:p w:rsidR="00E07285" w:rsidRDefault="00E07285" w:rsidP="00E07285">
            <w:pPr>
              <w:spacing w:line="360" w:lineRule="auto"/>
              <w:rPr>
                <w:rFonts w:ascii="仿宋_GB2312" w:hAnsi="仿宋_GB2312" w:cs="仿宋_GB2312"/>
                <w:bCs/>
                <w:sz w:val="20"/>
              </w:rPr>
            </w:pPr>
          </w:p>
        </w:tc>
      </w:tr>
    </w:tbl>
    <w:p w:rsidR="00E07285" w:rsidRDefault="00E07285" w:rsidP="00E07285">
      <w:pPr>
        <w:spacing w:line="360" w:lineRule="auto"/>
        <w:rPr>
          <w:rFonts w:ascii="宋体" w:eastAsia="宋体" w:hAnsi="宋体" w:cs="宋体"/>
          <w:bCs/>
          <w:sz w:val="24"/>
          <w:szCs w:val="24"/>
        </w:rPr>
      </w:pPr>
    </w:p>
    <w:p w:rsidR="00E07285" w:rsidRDefault="00E07285" w:rsidP="005F6318">
      <w:pPr>
        <w:numPr>
          <w:ilvl w:val="0"/>
          <w:numId w:val="42"/>
        </w:numPr>
        <w:spacing w:line="560" w:lineRule="exact"/>
        <w:ind w:firstLine="331"/>
        <w:rPr>
          <w:rFonts w:ascii="黑体" w:eastAsia="黑体" w:hAnsi="黑体" w:cs="黑体"/>
          <w:b/>
          <w:sz w:val="28"/>
          <w:szCs w:val="28"/>
        </w:rPr>
      </w:pPr>
      <w:bookmarkStart w:id="44" w:name="_Toc497394988"/>
      <w:r>
        <w:rPr>
          <w:rFonts w:ascii="黑体" w:eastAsia="黑体" w:hAnsi="黑体" w:cs="黑体" w:hint="eastAsia"/>
          <w:b/>
          <w:sz w:val="28"/>
          <w:szCs w:val="28"/>
        </w:rPr>
        <w:t>教学内容及要求</w:t>
      </w:r>
      <w:bookmarkEnd w:id="44"/>
    </w:p>
    <w:p w:rsidR="00E07285" w:rsidRDefault="00E07285" w:rsidP="00E07285">
      <w:pPr>
        <w:spacing w:line="560" w:lineRule="exact"/>
        <w:ind w:firstLineChars="100" w:firstLine="280"/>
        <w:rPr>
          <w:rFonts w:ascii="仿宋_GB2312" w:hAnsi="仿宋_GB2312" w:cs="仿宋_GB2312"/>
          <w:sz w:val="28"/>
          <w:szCs w:val="28"/>
        </w:rPr>
      </w:pPr>
      <w:r>
        <w:rPr>
          <w:rFonts w:ascii="仿宋_GB2312" w:hAnsi="仿宋_GB2312" w:cs="仿宋_GB2312" w:hint="eastAsia"/>
          <w:sz w:val="28"/>
          <w:szCs w:val="28"/>
        </w:rPr>
        <w:t>3. 课程的重点、难点</w:t>
      </w:r>
    </w:p>
    <w:p w:rsidR="00E07285" w:rsidRDefault="00E07285" w:rsidP="00E07285">
      <w:pPr>
        <w:spacing w:line="56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（1）建筑给水系统不同供水工况下参数确定</w:t>
      </w:r>
    </w:p>
    <w:p w:rsidR="00E07285" w:rsidRDefault="00E07285" w:rsidP="00E07285">
      <w:pPr>
        <w:spacing w:line="56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（2）消火栓给水系统、自动喷水灭火系工作过程；消防水量确定；</w:t>
      </w:r>
    </w:p>
    <w:p w:rsidR="00E07285" w:rsidRDefault="00E07285" w:rsidP="00E07285">
      <w:pPr>
        <w:spacing w:line="56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（3）排水系统水气流动特点，建筑底层单排</w:t>
      </w:r>
    </w:p>
    <w:p w:rsidR="00E07285" w:rsidRDefault="00E07285" w:rsidP="00E07285">
      <w:pPr>
        <w:spacing w:line="56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（4）建筑热水系统耗热量、热水量和热媒耗量的计算</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E07285" w:rsidRDefault="00E07285" w:rsidP="00E07285">
      <w:pPr>
        <w:spacing w:line="560" w:lineRule="exact"/>
        <w:rPr>
          <w:rFonts w:ascii="仿宋_GB2312" w:hAnsi="仿宋_GB2312" w:cs="仿宋_GB2312"/>
          <w:sz w:val="28"/>
          <w:szCs w:val="28"/>
        </w:rPr>
      </w:pPr>
      <w:r>
        <w:rPr>
          <w:rFonts w:ascii="仿宋_GB2312" w:hAnsi="仿宋_GB2312" w:cs="仿宋_GB2312" w:hint="eastAsia"/>
          <w:sz w:val="28"/>
          <w:szCs w:val="28"/>
        </w:rPr>
        <w:t>以教学案例为引领，从知识、工程伦理、政治文化、生态经济、哲学等方面，全面实现专业知识和育人的有机结合。</w:t>
      </w:r>
    </w:p>
    <w:p w:rsidR="00E07285" w:rsidRDefault="00E07285" w:rsidP="005F6318">
      <w:pPr>
        <w:numPr>
          <w:ilvl w:val="0"/>
          <w:numId w:val="43"/>
        </w:numPr>
        <w:spacing w:line="560" w:lineRule="exact"/>
        <w:rPr>
          <w:rFonts w:ascii="仿宋_GB2312" w:hAnsi="仿宋_GB2312" w:cs="仿宋_GB2312"/>
          <w:sz w:val="28"/>
          <w:szCs w:val="28"/>
        </w:rPr>
      </w:pPr>
      <w:r>
        <w:rPr>
          <w:rFonts w:ascii="仿宋_GB2312" w:hAnsi="仿宋_GB2312" w:cs="仿宋_GB2312" w:hint="eastAsia"/>
          <w:sz w:val="28"/>
          <w:szCs w:val="28"/>
        </w:rPr>
        <w:t>讲讲“自来水”是如何“自来”的：从水源地长途跋涉到达处理厂，又如何经过复杂管路系统到达用水点的，达到增强节水、不浪费水的意识的培养。</w:t>
      </w:r>
    </w:p>
    <w:p w:rsidR="00E07285" w:rsidRDefault="00E07285" w:rsidP="005F6318">
      <w:pPr>
        <w:numPr>
          <w:ilvl w:val="0"/>
          <w:numId w:val="44"/>
        </w:numPr>
        <w:spacing w:line="560" w:lineRule="exact"/>
        <w:rPr>
          <w:rFonts w:ascii="仿宋_GB2312" w:hAnsi="仿宋_GB2312" w:cs="仿宋_GB2312"/>
          <w:sz w:val="28"/>
          <w:szCs w:val="28"/>
        </w:rPr>
      </w:pPr>
      <w:r>
        <w:rPr>
          <w:rFonts w:ascii="仿宋_GB2312" w:hAnsi="仿宋_GB2312" w:cs="仿宋_GB2312" w:hint="eastAsia"/>
          <w:sz w:val="28"/>
          <w:szCs w:val="28"/>
        </w:rPr>
        <w:t>认识水在给排水工程领域的循环历程；认识建筑给排水工程在城镇建设中的重大作用；建筑给排水工程中节水、节能以及水质保证问题是给排水工程师的责任和使命之一。</w:t>
      </w:r>
    </w:p>
    <w:p w:rsidR="00E07285" w:rsidRDefault="00E07285" w:rsidP="00E07285">
      <w:pPr>
        <w:spacing w:line="560" w:lineRule="exact"/>
        <w:rPr>
          <w:rFonts w:ascii="仿宋_GB2312" w:hAnsi="仿宋_GB2312" w:cs="仿宋_GB2312"/>
          <w:sz w:val="28"/>
          <w:szCs w:val="28"/>
        </w:rPr>
      </w:pPr>
      <w:r>
        <w:rPr>
          <w:rFonts w:ascii="仿宋_GB2312" w:hAnsi="仿宋_GB2312" w:cs="仿宋_GB2312" w:hint="eastAsia"/>
          <w:sz w:val="28"/>
          <w:szCs w:val="28"/>
        </w:rPr>
        <w:t>（3）让学生理解和掌握与水质安全、生态文明建设、可持续发展理念以及建设节约型社会等方面相关的政策，正确理解党的治国方针，使社会主义核心价值观深植学生内心。</w:t>
      </w:r>
    </w:p>
    <w:p w:rsidR="00E07285" w:rsidRDefault="00E07285" w:rsidP="00E07285">
      <w:pPr>
        <w:snapToGrid w:val="0"/>
        <w:spacing w:line="360" w:lineRule="auto"/>
        <w:rPr>
          <w:rFonts w:ascii="黑体" w:eastAsia="黑体" w:hAnsi="黑体" w:cs="黑体"/>
          <w:b/>
          <w:sz w:val="28"/>
          <w:szCs w:val="28"/>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916"/>
        <w:gridCol w:w="654"/>
        <w:gridCol w:w="2209"/>
        <w:gridCol w:w="3444"/>
      </w:tblGrid>
      <w:tr w:rsidR="00E07285" w:rsidTr="00E07285">
        <w:trPr>
          <w:cantSplit/>
          <w:trHeight w:val="661"/>
        </w:trPr>
        <w:tc>
          <w:tcPr>
            <w:tcW w:w="532"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序号</w:t>
            </w:r>
          </w:p>
        </w:tc>
        <w:tc>
          <w:tcPr>
            <w:tcW w:w="1916"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章  节</w:t>
            </w:r>
          </w:p>
        </w:tc>
        <w:tc>
          <w:tcPr>
            <w:tcW w:w="654" w:type="dxa"/>
            <w:vAlign w:val="center"/>
          </w:tcPr>
          <w:p w:rsidR="00E07285" w:rsidRDefault="00E07285" w:rsidP="00E07285">
            <w:pPr>
              <w:spacing w:beforeLines="50" w:before="156" w:afterLines="50" w:after="156" w:line="360" w:lineRule="auto"/>
              <w:jc w:val="center"/>
              <w:rPr>
                <w:rFonts w:ascii="仿宋_GB2312" w:hAnsi="仿宋_GB2312" w:cs="仿宋_GB2312"/>
                <w:sz w:val="20"/>
                <w:szCs w:val="20"/>
              </w:rPr>
            </w:pPr>
            <w:r>
              <w:rPr>
                <w:rFonts w:ascii="仿宋_GB2312" w:hAnsi="仿宋_GB2312" w:cs="仿宋_GB2312" w:hint="eastAsia"/>
                <w:sz w:val="20"/>
                <w:szCs w:val="20"/>
              </w:rPr>
              <w:t>参考学时</w:t>
            </w:r>
          </w:p>
        </w:tc>
        <w:tc>
          <w:tcPr>
            <w:tcW w:w="2209"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教学内容</w:t>
            </w:r>
          </w:p>
        </w:tc>
        <w:tc>
          <w:tcPr>
            <w:tcW w:w="3444" w:type="dxa"/>
            <w:vAlign w:val="center"/>
          </w:tcPr>
          <w:p w:rsidR="00E07285" w:rsidRDefault="00E07285" w:rsidP="00E07285">
            <w:pPr>
              <w:spacing w:line="360" w:lineRule="auto"/>
              <w:ind w:firstLineChars="400" w:firstLine="800"/>
              <w:rPr>
                <w:rFonts w:ascii="仿宋_GB2312" w:hAnsi="仿宋_GB2312" w:cs="仿宋_GB2312"/>
                <w:sz w:val="20"/>
                <w:szCs w:val="20"/>
              </w:rPr>
            </w:pPr>
            <w:r>
              <w:rPr>
                <w:rFonts w:ascii="仿宋_GB2312" w:hAnsi="仿宋_GB2312" w:cs="仿宋_GB2312" w:hint="eastAsia"/>
                <w:sz w:val="20"/>
                <w:szCs w:val="20"/>
              </w:rPr>
              <w:t>基本要求</w:t>
            </w:r>
          </w:p>
        </w:tc>
      </w:tr>
      <w:tr w:rsidR="00E07285" w:rsidTr="00E07285">
        <w:trPr>
          <w:trHeight w:hRule="exact" w:val="3212"/>
        </w:trPr>
        <w:tc>
          <w:tcPr>
            <w:tcW w:w="532"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1</w:t>
            </w:r>
          </w:p>
        </w:tc>
        <w:tc>
          <w:tcPr>
            <w:tcW w:w="1916"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第一章</w:t>
            </w:r>
          </w:p>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建筑给水系统</w:t>
            </w:r>
          </w:p>
        </w:tc>
        <w:tc>
          <w:tcPr>
            <w:tcW w:w="654"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4</w:t>
            </w:r>
          </w:p>
        </w:tc>
        <w:tc>
          <w:tcPr>
            <w:tcW w:w="2209" w:type="dxa"/>
            <w:vAlign w:val="center"/>
          </w:tcPr>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建筑给水排水工程概述；给水系统的分类和组成；给水方式；给水管道的布置与敷设</w:t>
            </w:r>
          </w:p>
        </w:tc>
        <w:tc>
          <w:tcPr>
            <w:tcW w:w="3444" w:type="dxa"/>
            <w:vAlign w:val="center"/>
          </w:tcPr>
          <w:p w:rsidR="00E07285" w:rsidRDefault="00E07285" w:rsidP="00E07285">
            <w:pPr>
              <w:rPr>
                <w:rFonts w:ascii="仿宋_GB2312" w:hAnsi="仿宋_GB2312" w:cs="仿宋_GB2312"/>
                <w:sz w:val="20"/>
                <w:szCs w:val="20"/>
              </w:rPr>
            </w:pPr>
            <w:r>
              <w:rPr>
                <w:rFonts w:ascii="仿宋_GB2312" w:hAnsi="仿宋_GB2312" w:cs="仿宋_GB2312" w:hint="eastAsia"/>
                <w:kern w:val="0"/>
                <w:sz w:val="20"/>
                <w:szCs w:val="20"/>
              </w:rPr>
              <w:t>掌握建筑给水系统一般组成；掌握</w:t>
            </w:r>
            <w:r>
              <w:rPr>
                <w:rFonts w:ascii="仿宋_GB2312" w:hAnsi="仿宋_GB2312" w:cs="仿宋_GB2312" w:hint="eastAsia"/>
                <w:sz w:val="20"/>
                <w:szCs w:val="20"/>
              </w:rPr>
              <w:t>建筑给水系统主要供水方式；初步具备给水系统平面及轴测图布置的能力。认识水在给排水工程领域的循环历程；认识建筑给排水工程在城镇建设中的重大作用；建筑给排水工程中如何节水、节能以及水质保证等是给排水工程师的责任和使命之一。</w:t>
            </w:r>
          </w:p>
          <w:p w:rsidR="00E07285" w:rsidRDefault="00E07285" w:rsidP="00E07285">
            <w:pPr>
              <w:rPr>
                <w:rFonts w:ascii="仿宋_GB2312" w:hAnsi="仿宋_GB2312" w:cs="仿宋_GB2312"/>
                <w:sz w:val="20"/>
                <w:szCs w:val="20"/>
              </w:rPr>
            </w:pPr>
          </w:p>
          <w:p w:rsidR="00E07285" w:rsidRDefault="00E07285" w:rsidP="00E07285">
            <w:pPr>
              <w:spacing w:line="360" w:lineRule="auto"/>
              <w:jc w:val="center"/>
              <w:rPr>
                <w:rFonts w:ascii="仿宋_GB2312" w:hAnsi="仿宋_GB2312" w:cs="仿宋_GB2312"/>
                <w:sz w:val="20"/>
                <w:szCs w:val="20"/>
              </w:rPr>
            </w:pPr>
          </w:p>
        </w:tc>
      </w:tr>
      <w:tr w:rsidR="00E07285" w:rsidTr="00E07285">
        <w:trPr>
          <w:trHeight w:hRule="exact" w:val="2805"/>
        </w:trPr>
        <w:tc>
          <w:tcPr>
            <w:tcW w:w="532"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2</w:t>
            </w:r>
          </w:p>
        </w:tc>
        <w:tc>
          <w:tcPr>
            <w:tcW w:w="1916"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第二章</w:t>
            </w:r>
          </w:p>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建筑内部给水系统的计算</w:t>
            </w:r>
          </w:p>
        </w:tc>
        <w:tc>
          <w:tcPr>
            <w:tcW w:w="654"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6</w:t>
            </w:r>
          </w:p>
        </w:tc>
        <w:tc>
          <w:tcPr>
            <w:tcW w:w="2209" w:type="dxa"/>
            <w:vAlign w:val="center"/>
          </w:tcPr>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给水系统所需水压；给水系统所需水；给水管网的设计流量与水力计算量；</w:t>
            </w:r>
          </w:p>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增压和贮水设备；</w:t>
            </w:r>
          </w:p>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高层建筑给水系统</w:t>
            </w:r>
          </w:p>
        </w:tc>
        <w:tc>
          <w:tcPr>
            <w:tcW w:w="3444" w:type="dxa"/>
            <w:vAlign w:val="center"/>
          </w:tcPr>
          <w:p w:rsidR="00E07285" w:rsidRDefault="00E07285" w:rsidP="00E07285">
            <w:pPr>
              <w:jc w:val="center"/>
              <w:rPr>
                <w:rFonts w:ascii="仿宋_GB2312" w:hAnsi="仿宋_GB2312" w:cs="仿宋_GB2312"/>
                <w:sz w:val="20"/>
                <w:szCs w:val="20"/>
              </w:rPr>
            </w:pPr>
            <w:r>
              <w:rPr>
                <w:rFonts w:ascii="仿宋_GB2312" w:hAnsi="仿宋_GB2312" w:cs="仿宋_GB2312" w:hint="eastAsia"/>
                <w:sz w:val="20"/>
                <w:szCs w:val="20"/>
              </w:rPr>
              <w:t>掌握建筑给水系统不同供水工况下参数确定；具备熟练运用公式进行设计计算的能力；了解关于“建筑给水系统”有关规范手册条文；理解和掌握与水质安全、绿色建筑、可持续发展理念以及建设节约型社会等方面相关的政策，正确理解党的治国方针。</w:t>
            </w:r>
          </w:p>
          <w:p w:rsidR="00E07285" w:rsidRDefault="00E07285" w:rsidP="00E07285">
            <w:pPr>
              <w:jc w:val="center"/>
              <w:rPr>
                <w:rFonts w:ascii="仿宋_GB2312" w:hAnsi="仿宋_GB2312" w:cs="仿宋_GB2312"/>
                <w:sz w:val="20"/>
                <w:szCs w:val="20"/>
              </w:rPr>
            </w:pPr>
          </w:p>
          <w:p w:rsidR="00E07285" w:rsidRDefault="00E07285" w:rsidP="00E07285">
            <w:pPr>
              <w:jc w:val="center"/>
              <w:rPr>
                <w:rFonts w:ascii="仿宋_GB2312" w:hAnsi="仿宋_GB2312" w:cs="仿宋_GB2312"/>
                <w:sz w:val="20"/>
                <w:szCs w:val="20"/>
              </w:rPr>
            </w:pPr>
          </w:p>
        </w:tc>
      </w:tr>
      <w:tr w:rsidR="00E07285" w:rsidTr="00E07285">
        <w:trPr>
          <w:trHeight w:hRule="exact" w:val="2676"/>
        </w:trPr>
        <w:tc>
          <w:tcPr>
            <w:tcW w:w="532" w:type="dxa"/>
            <w:vAlign w:val="center"/>
          </w:tcPr>
          <w:p w:rsidR="00E07285" w:rsidRDefault="00E07285" w:rsidP="00E07285">
            <w:pPr>
              <w:spacing w:line="360" w:lineRule="auto"/>
              <w:rPr>
                <w:rFonts w:ascii="仿宋_GB2312" w:hAnsi="仿宋_GB2312" w:cs="仿宋_GB2312"/>
                <w:sz w:val="20"/>
                <w:szCs w:val="20"/>
              </w:rPr>
            </w:pPr>
          </w:p>
          <w:p w:rsidR="00E07285" w:rsidRDefault="00E07285" w:rsidP="00E07285">
            <w:pPr>
              <w:spacing w:line="360" w:lineRule="auto"/>
              <w:rPr>
                <w:rFonts w:ascii="仿宋_GB2312" w:hAnsi="仿宋_GB2312" w:cs="仿宋_GB2312"/>
                <w:sz w:val="20"/>
                <w:szCs w:val="20"/>
              </w:rPr>
            </w:pPr>
            <w:r>
              <w:rPr>
                <w:rFonts w:ascii="仿宋_GB2312" w:hAnsi="仿宋_GB2312" w:cs="仿宋_GB2312" w:hint="eastAsia"/>
                <w:sz w:val="20"/>
                <w:szCs w:val="20"/>
              </w:rPr>
              <w:t>3</w:t>
            </w:r>
          </w:p>
        </w:tc>
        <w:tc>
          <w:tcPr>
            <w:tcW w:w="1916"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第三章</w:t>
            </w:r>
          </w:p>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建筑消防系统及计算</w:t>
            </w:r>
          </w:p>
        </w:tc>
        <w:tc>
          <w:tcPr>
            <w:tcW w:w="654"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8</w:t>
            </w:r>
          </w:p>
        </w:tc>
        <w:tc>
          <w:tcPr>
            <w:tcW w:w="2209" w:type="dxa"/>
            <w:vAlign w:val="center"/>
          </w:tcPr>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消火栓给水系统及其设计计算；自动喷水灭火系统及其设计计算；高层建筑消防给水系统</w:t>
            </w:r>
          </w:p>
        </w:tc>
        <w:tc>
          <w:tcPr>
            <w:tcW w:w="3444" w:type="dxa"/>
            <w:vAlign w:val="center"/>
          </w:tcPr>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了解建筑灭火特点、建筑消防类别划分；掌握消火栓给水系统、自动喷水灭火系统工作原理、工作过程及组成；掌握消防水量确定；初步具备消防系统管网布置及设计、计算的能力；认识建筑消防工程关乎人民生命财产安全的重要性，基于工程设计职责，强化社会责任感;</w:t>
            </w:r>
          </w:p>
        </w:tc>
      </w:tr>
      <w:tr w:rsidR="00E07285" w:rsidTr="00E07285">
        <w:trPr>
          <w:trHeight w:hRule="exact" w:val="2296"/>
        </w:trPr>
        <w:tc>
          <w:tcPr>
            <w:tcW w:w="532"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4</w:t>
            </w:r>
          </w:p>
        </w:tc>
        <w:tc>
          <w:tcPr>
            <w:tcW w:w="1916"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第四章</w:t>
            </w:r>
          </w:p>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建筑内部排水系统</w:t>
            </w:r>
          </w:p>
        </w:tc>
        <w:tc>
          <w:tcPr>
            <w:tcW w:w="654"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6</w:t>
            </w:r>
          </w:p>
        </w:tc>
        <w:tc>
          <w:tcPr>
            <w:tcW w:w="2209" w:type="dxa"/>
            <w:vAlign w:val="center"/>
          </w:tcPr>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建筑排水系统的分类及组成；排水管系中水气流动规律及与水力计算；排水管道的布置与敷设；污废水提升和局部处理</w:t>
            </w:r>
          </w:p>
        </w:tc>
        <w:tc>
          <w:tcPr>
            <w:tcW w:w="3444" w:type="dxa"/>
            <w:vAlign w:val="center"/>
          </w:tcPr>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掌握建筑排水系统水流流动特点、排水系统基本组成；掌握排水系统水气流动规律；掌握建筑底层单排特点；初步具备排水系统平面及轴测图布置的能力。</w:t>
            </w:r>
          </w:p>
        </w:tc>
      </w:tr>
      <w:tr w:rsidR="00E07285" w:rsidTr="00E07285">
        <w:trPr>
          <w:trHeight w:hRule="exact" w:val="1277"/>
        </w:trPr>
        <w:tc>
          <w:tcPr>
            <w:tcW w:w="532"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lastRenderedPageBreak/>
              <w:t>5</w:t>
            </w:r>
          </w:p>
        </w:tc>
        <w:tc>
          <w:tcPr>
            <w:tcW w:w="1916"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第五章</w:t>
            </w:r>
          </w:p>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建筑内部排水系统的计算</w:t>
            </w:r>
          </w:p>
        </w:tc>
        <w:tc>
          <w:tcPr>
            <w:tcW w:w="654"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2</w:t>
            </w:r>
          </w:p>
        </w:tc>
        <w:tc>
          <w:tcPr>
            <w:tcW w:w="2209" w:type="dxa"/>
            <w:vAlign w:val="center"/>
          </w:tcPr>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排水定额和排水设计秒流量</w:t>
            </w:r>
          </w:p>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排水管网水力计算</w:t>
            </w:r>
          </w:p>
        </w:tc>
        <w:tc>
          <w:tcPr>
            <w:tcW w:w="3444"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具备熟练运用公式进行设计计算的能力</w:t>
            </w:r>
          </w:p>
        </w:tc>
      </w:tr>
      <w:tr w:rsidR="00E07285" w:rsidTr="00E07285">
        <w:trPr>
          <w:trHeight w:hRule="exact" w:val="1640"/>
        </w:trPr>
        <w:tc>
          <w:tcPr>
            <w:tcW w:w="532"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6</w:t>
            </w:r>
          </w:p>
        </w:tc>
        <w:tc>
          <w:tcPr>
            <w:tcW w:w="1916"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第六章</w:t>
            </w:r>
          </w:p>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建筑雨水排水系统</w:t>
            </w:r>
          </w:p>
        </w:tc>
        <w:tc>
          <w:tcPr>
            <w:tcW w:w="654"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2</w:t>
            </w:r>
          </w:p>
        </w:tc>
        <w:tc>
          <w:tcPr>
            <w:tcW w:w="2209" w:type="dxa"/>
            <w:vAlign w:val="center"/>
          </w:tcPr>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建筑雨水排水系统；雨水内排水系统中的水气流动规律与水力计算</w:t>
            </w:r>
          </w:p>
        </w:tc>
        <w:tc>
          <w:tcPr>
            <w:tcW w:w="3444" w:type="dxa"/>
            <w:vAlign w:val="center"/>
          </w:tcPr>
          <w:p w:rsidR="00E07285" w:rsidRDefault="00E07285" w:rsidP="00E07285">
            <w:pPr>
              <w:jc w:val="center"/>
              <w:rPr>
                <w:rFonts w:ascii="仿宋_GB2312" w:hAnsi="仿宋_GB2312" w:cs="仿宋_GB2312"/>
                <w:sz w:val="20"/>
                <w:szCs w:val="20"/>
              </w:rPr>
            </w:pPr>
            <w:r>
              <w:rPr>
                <w:rFonts w:ascii="仿宋_GB2312" w:hAnsi="仿宋_GB2312" w:cs="仿宋_GB2312" w:hint="eastAsia"/>
                <w:sz w:val="20"/>
                <w:szCs w:val="20"/>
              </w:rPr>
              <w:t>掌握建筑屋面雨水排水系统基本组成、水流流动特点、排水系统设计流量确定；初步具备屋面雨水排水系统平面及轴测图布置的能力。</w:t>
            </w:r>
          </w:p>
        </w:tc>
      </w:tr>
      <w:tr w:rsidR="00E07285" w:rsidTr="00E07285">
        <w:trPr>
          <w:trHeight w:hRule="exact" w:val="2170"/>
        </w:trPr>
        <w:tc>
          <w:tcPr>
            <w:tcW w:w="532"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7</w:t>
            </w:r>
          </w:p>
        </w:tc>
        <w:tc>
          <w:tcPr>
            <w:tcW w:w="1916"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第七、八章</w:t>
            </w:r>
          </w:p>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建筑热水供应系统及计算</w:t>
            </w:r>
          </w:p>
        </w:tc>
        <w:tc>
          <w:tcPr>
            <w:tcW w:w="654"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8</w:t>
            </w:r>
          </w:p>
        </w:tc>
        <w:tc>
          <w:tcPr>
            <w:tcW w:w="2209" w:type="dxa"/>
            <w:vAlign w:val="center"/>
          </w:tcPr>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热水供应系统的分类、组成及供水方式；热水供应系统的热源、加热设备和贮热设备；耗热量、热水量和热媒耗量的计算；热水管网的水力计算；</w:t>
            </w:r>
          </w:p>
          <w:p w:rsidR="00E07285" w:rsidRDefault="00E07285" w:rsidP="00E07285">
            <w:pPr>
              <w:rPr>
                <w:rFonts w:ascii="仿宋_GB2312" w:hAnsi="仿宋_GB2312" w:cs="仿宋_GB2312"/>
                <w:sz w:val="20"/>
                <w:szCs w:val="20"/>
              </w:rPr>
            </w:pPr>
            <w:r>
              <w:rPr>
                <w:rFonts w:ascii="仿宋_GB2312" w:hAnsi="仿宋_GB2312" w:cs="仿宋_GB2312" w:hint="eastAsia"/>
                <w:sz w:val="20"/>
                <w:szCs w:val="20"/>
              </w:rPr>
              <w:t>高层建筑热水供应系统</w:t>
            </w:r>
          </w:p>
        </w:tc>
        <w:tc>
          <w:tcPr>
            <w:tcW w:w="3444" w:type="dxa"/>
            <w:vAlign w:val="center"/>
          </w:tcPr>
          <w:p w:rsidR="00E07285" w:rsidRDefault="00E07285" w:rsidP="00E07285">
            <w:pPr>
              <w:jc w:val="center"/>
              <w:rPr>
                <w:rFonts w:ascii="仿宋_GB2312" w:hAnsi="仿宋_GB2312" w:cs="仿宋_GB2312"/>
                <w:sz w:val="20"/>
                <w:szCs w:val="20"/>
              </w:rPr>
            </w:pPr>
            <w:r>
              <w:rPr>
                <w:rFonts w:ascii="仿宋_GB2312" w:hAnsi="仿宋_GB2312" w:cs="仿宋_GB2312" w:hint="eastAsia"/>
                <w:kern w:val="0"/>
                <w:sz w:val="20"/>
                <w:szCs w:val="20"/>
              </w:rPr>
              <w:t>认识建筑热水系统热源；掌握第一、二循环系统组成、工作原理；主要换热设备及其特点；掌握</w:t>
            </w:r>
            <w:r>
              <w:rPr>
                <w:rFonts w:ascii="仿宋_GB2312" w:hAnsi="仿宋_GB2312" w:cs="仿宋_GB2312" w:hint="eastAsia"/>
                <w:sz w:val="20"/>
                <w:szCs w:val="20"/>
              </w:rPr>
              <w:t>建筑热水系统耗热量、热水量和热媒耗量的计算与之间的关系；初步具备热水给水系统平面、轴测图布置及管网水力计算的能力。</w:t>
            </w:r>
          </w:p>
        </w:tc>
      </w:tr>
      <w:tr w:rsidR="00E07285" w:rsidTr="00E07285">
        <w:trPr>
          <w:trHeight w:hRule="exact" w:val="1312"/>
        </w:trPr>
        <w:tc>
          <w:tcPr>
            <w:tcW w:w="532"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8</w:t>
            </w:r>
          </w:p>
        </w:tc>
        <w:tc>
          <w:tcPr>
            <w:tcW w:w="1916" w:type="dxa"/>
            <w:vAlign w:val="center"/>
          </w:tcPr>
          <w:p w:rsidR="00E07285" w:rsidRDefault="00E07285" w:rsidP="00E07285">
            <w:pPr>
              <w:spacing w:line="360" w:lineRule="auto"/>
              <w:ind w:firstLineChars="300" w:firstLine="600"/>
              <w:rPr>
                <w:rFonts w:ascii="仿宋_GB2312" w:hAnsi="仿宋_GB2312" w:cs="仿宋_GB2312"/>
                <w:sz w:val="20"/>
                <w:szCs w:val="20"/>
              </w:rPr>
            </w:pPr>
            <w:r>
              <w:rPr>
                <w:rFonts w:ascii="仿宋_GB2312" w:hAnsi="仿宋_GB2312" w:cs="仿宋_GB2312" w:hint="eastAsia"/>
                <w:sz w:val="20"/>
                <w:szCs w:val="20"/>
              </w:rPr>
              <w:t>第十三章</w:t>
            </w:r>
          </w:p>
          <w:p w:rsidR="00E07285" w:rsidRDefault="00E07285" w:rsidP="00E07285">
            <w:pPr>
              <w:spacing w:line="360" w:lineRule="auto"/>
              <w:rPr>
                <w:rFonts w:ascii="仿宋_GB2312" w:hAnsi="仿宋_GB2312" w:cs="仿宋_GB2312"/>
                <w:sz w:val="20"/>
                <w:szCs w:val="20"/>
              </w:rPr>
            </w:pPr>
            <w:r>
              <w:rPr>
                <w:rFonts w:ascii="仿宋_GB2312" w:hAnsi="仿宋_GB2312" w:cs="仿宋_GB2312" w:hint="eastAsia"/>
                <w:sz w:val="20"/>
                <w:szCs w:val="20"/>
              </w:rPr>
              <w:t>建筑给水排水设计程序、施工验收及运行管理</w:t>
            </w:r>
          </w:p>
        </w:tc>
        <w:tc>
          <w:tcPr>
            <w:tcW w:w="654" w:type="dxa"/>
            <w:vAlign w:val="center"/>
          </w:tcPr>
          <w:p w:rsidR="00E07285" w:rsidRDefault="00E07285" w:rsidP="00E07285">
            <w:pPr>
              <w:spacing w:line="360" w:lineRule="auto"/>
              <w:jc w:val="center"/>
              <w:rPr>
                <w:rFonts w:ascii="仿宋_GB2312" w:hAnsi="仿宋_GB2312" w:cs="仿宋_GB2312"/>
                <w:sz w:val="20"/>
                <w:szCs w:val="20"/>
              </w:rPr>
            </w:pPr>
            <w:r>
              <w:rPr>
                <w:rFonts w:ascii="仿宋_GB2312" w:hAnsi="仿宋_GB2312" w:cs="仿宋_GB2312" w:hint="eastAsia"/>
                <w:sz w:val="20"/>
                <w:szCs w:val="20"/>
              </w:rPr>
              <w:t>2</w:t>
            </w:r>
          </w:p>
        </w:tc>
        <w:tc>
          <w:tcPr>
            <w:tcW w:w="2209" w:type="dxa"/>
            <w:vAlign w:val="center"/>
          </w:tcPr>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建筑给排水设计程序和图纸要求</w:t>
            </w:r>
          </w:p>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建筑给排水工程竣工验收</w:t>
            </w:r>
          </w:p>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建筑给排水设备的运行管理</w:t>
            </w:r>
          </w:p>
        </w:tc>
        <w:tc>
          <w:tcPr>
            <w:tcW w:w="3444" w:type="dxa"/>
            <w:vAlign w:val="center"/>
          </w:tcPr>
          <w:p w:rsidR="00E07285" w:rsidRDefault="00E07285" w:rsidP="00E07285">
            <w:pPr>
              <w:jc w:val="left"/>
              <w:rPr>
                <w:rFonts w:ascii="仿宋_GB2312" w:hAnsi="仿宋_GB2312" w:cs="仿宋_GB2312"/>
                <w:sz w:val="20"/>
                <w:szCs w:val="20"/>
              </w:rPr>
            </w:pPr>
            <w:r>
              <w:rPr>
                <w:rFonts w:ascii="仿宋_GB2312" w:hAnsi="仿宋_GB2312" w:cs="仿宋_GB2312" w:hint="eastAsia"/>
                <w:sz w:val="20"/>
                <w:szCs w:val="20"/>
              </w:rPr>
              <w:t>了解建筑给排水工程竣工验收基本流程及了解基本设计过程。</w:t>
            </w:r>
          </w:p>
          <w:p w:rsidR="00E07285" w:rsidRDefault="00E07285" w:rsidP="00E07285">
            <w:pPr>
              <w:spacing w:line="360" w:lineRule="auto"/>
              <w:jc w:val="center"/>
              <w:rPr>
                <w:rFonts w:ascii="仿宋_GB2312" w:hAnsi="仿宋_GB2312" w:cs="仿宋_GB2312"/>
                <w:sz w:val="20"/>
                <w:szCs w:val="20"/>
              </w:rPr>
            </w:pPr>
          </w:p>
        </w:tc>
      </w:tr>
    </w:tbl>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hint="eastAsia"/>
          <w:bCs/>
          <w:color w:val="000000"/>
          <w:sz w:val="28"/>
          <w:szCs w:val="28"/>
        </w:rPr>
        <w:t>该课程考核方式为考试。</w:t>
      </w:r>
      <w:r>
        <w:rPr>
          <w:rFonts w:ascii="仿宋_GB2312" w:hAnsi="仿宋_GB2312" w:cs="仿宋_GB2312" w:hint="eastAsia"/>
          <w:bCs/>
          <w:sz w:val="28"/>
          <w:szCs w:val="28"/>
        </w:rPr>
        <w:t>期终考试采取闭卷形式，内容涉及课程的基本概念和基本方法，题型包括名词解释、选择题、简答题、计算题等。</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2.成绩评定</w:t>
      </w:r>
    </w:p>
    <w:p w:rsidR="00E07285" w:rsidRDefault="00E07285" w:rsidP="00E07285">
      <w:pPr>
        <w:spacing w:line="56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考核方式：采用平时成绩+期末考试方式确定总评成绩。其中平时成绩考核包括作业、讨论、出勤等内容，期末考试采用闭卷方式。平时成绩占20%，期末考试成绩占80%。</w:t>
      </w:r>
    </w:p>
    <w:p w:rsidR="00E07285" w:rsidRDefault="00E07285" w:rsidP="00E07285">
      <w:pPr>
        <w:spacing w:line="360" w:lineRule="auto"/>
        <w:jc w:val="left"/>
        <w:rPr>
          <w:rFonts w:ascii="仿宋_GB2312" w:hAnsi="仿宋_GB2312" w:cs="仿宋_GB2312"/>
          <w:b/>
          <w:sz w:val="28"/>
          <w:szCs w:val="28"/>
          <w:highlight w:val="green"/>
        </w:rPr>
      </w:pPr>
      <w:r>
        <w:rPr>
          <w:rFonts w:ascii="黑体" w:eastAsia="黑体" w:hAnsi="黑体" w:hint="eastAsia"/>
          <w:b/>
          <w:sz w:val="28"/>
          <w:szCs w:val="28"/>
        </w:rPr>
        <w:t>六、课程建议教材及主要参考资料</w:t>
      </w:r>
    </w:p>
    <w:p w:rsidR="00E07285" w:rsidRDefault="00E07285" w:rsidP="00E07285">
      <w:pPr>
        <w:snapToGrid w:val="0"/>
        <w:spacing w:line="560" w:lineRule="exact"/>
        <w:rPr>
          <w:rFonts w:ascii="仿宋_GB2312" w:hAnsi="仿宋_GB2312" w:cs="仿宋_GB2312"/>
          <w:b/>
          <w:sz w:val="28"/>
          <w:szCs w:val="28"/>
        </w:rPr>
      </w:pPr>
      <w:r>
        <w:rPr>
          <w:rFonts w:ascii="仿宋_GB2312" w:hAnsi="仿宋_GB2312" w:cs="仿宋_GB2312" w:hint="eastAsia"/>
          <w:bCs/>
          <w:sz w:val="28"/>
          <w:szCs w:val="28"/>
        </w:rPr>
        <w:t>1.建议教材：</w:t>
      </w:r>
      <w:r>
        <w:rPr>
          <w:rFonts w:ascii="仿宋_GB2312" w:hAnsi="仿宋_GB2312" w:cs="仿宋_GB2312" w:hint="eastAsia"/>
          <w:b/>
          <w:sz w:val="28"/>
          <w:szCs w:val="28"/>
        </w:rPr>
        <w:t xml:space="preserve"> </w:t>
      </w:r>
    </w:p>
    <w:p w:rsidR="00E07285" w:rsidRDefault="00E07285" w:rsidP="00E07285">
      <w:pPr>
        <w:snapToGrid w:val="0"/>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建筑给水排水工程（第七版），</w:t>
      </w:r>
    </w:p>
    <w:p w:rsidR="00E07285" w:rsidRDefault="00E07285" w:rsidP="00E07285">
      <w:pPr>
        <w:snapToGrid w:val="0"/>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lastRenderedPageBreak/>
        <w:t>王增长，中国建筑工业出版社，2016年12月出版。</w:t>
      </w:r>
    </w:p>
    <w:p w:rsidR="00E07285" w:rsidRDefault="00E07285" w:rsidP="00E07285">
      <w:pPr>
        <w:spacing w:line="560" w:lineRule="exact"/>
        <w:rPr>
          <w:rFonts w:ascii="仿宋_GB2312" w:hAnsi="仿宋_GB2312" w:cs="仿宋_GB2312"/>
          <w:sz w:val="28"/>
          <w:szCs w:val="28"/>
        </w:rPr>
      </w:pPr>
      <w:r>
        <w:rPr>
          <w:rFonts w:ascii="仿宋_GB2312" w:hAnsi="仿宋_GB2312" w:cs="仿宋_GB2312" w:hint="eastAsia"/>
          <w:sz w:val="28"/>
          <w:szCs w:val="28"/>
        </w:rPr>
        <w:t xml:space="preserve">2.主要参考教材： </w:t>
      </w:r>
    </w:p>
    <w:p w:rsidR="00E07285" w:rsidRDefault="00E07285" w:rsidP="00E07285">
      <w:pPr>
        <w:spacing w:line="560" w:lineRule="exact"/>
        <w:jc w:val="left"/>
        <w:rPr>
          <w:rFonts w:ascii="仿宋_GB2312" w:hAnsi="仿宋_GB2312" w:cs="仿宋_GB2312"/>
          <w:sz w:val="28"/>
          <w:szCs w:val="28"/>
        </w:rPr>
      </w:pPr>
      <w:r>
        <w:rPr>
          <w:rFonts w:ascii="仿宋_GB2312" w:hAnsi="仿宋_GB2312" w:cs="仿宋_GB2312" w:hint="eastAsia"/>
          <w:sz w:val="28"/>
          <w:szCs w:val="28"/>
        </w:rPr>
        <w:t>（1）《建筑给水排水设计标准》GB 50015—2019版</w:t>
      </w:r>
    </w:p>
    <w:p w:rsidR="00E07285" w:rsidRDefault="00E07285" w:rsidP="00E07285">
      <w:pPr>
        <w:spacing w:line="560" w:lineRule="exact"/>
        <w:jc w:val="left"/>
        <w:rPr>
          <w:rFonts w:ascii="仿宋_GB2312" w:hAnsi="仿宋_GB2312" w:cs="仿宋_GB2312"/>
          <w:sz w:val="28"/>
          <w:szCs w:val="28"/>
        </w:rPr>
      </w:pPr>
      <w:r>
        <w:rPr>
          <w:rFonts w:ascii="仿宋_GB2312" w:hAnsi="仿宋_GB2312" w:cs="仿宋_GB2312" w:hint="eastAsia"/>
          <w:sz w:val="28"/>
          <w:szCs w:val="28"/>
        </w:rPr>
        <w:t>（2）《全国民用建筑工程设计技术措施》—给水排水2009JSCS—3</w:t>
      </w:r>
    </w:p>
    <w:p w:rsidR="00E07285" w:rsidRDefault="00E07285" w:rsidP="00E07285">
      <w:pPr>
        <w:spacing w:line="560" w:lineRule="exact"/>
        <w:jc w:val="left"/>
        <w:rPr>
          <w:rFonts w:ascii="仿宋_GB2312" w:hAnsi="仿宋_GB2312" w:cs="仿宋_GB2312"/>
          <w:sz w:val="28"/>
          <w:szCs w:val="28"/>
        </w:rPr>
      </w:pPr>
      <w:r>
        <w:rPr>
          <w:rFonts w:ascii="仿宋_GB2312" w:hAnsi="仿宋_GB2312" w:cs="仿宋_GB2312" w:hint="eastAsia"/>
          <w:sz w:val="28"/>
          <w:szCs w:val="28"/>
        </w:rPr>
        <w:t>（3）《建筑设计防火规范》GB 50016—2014</w:t>
      </w:r>
    </w:p>
    <w:p w:rsidR="00E07285" w:rsidRDefault="00E07285" w:rsidP="00E07285">
      <w:pPr>
        <w:spacing w:line="560" w:lineRule="exact"/>
        <w:jc w:val="left"/>
        <w:rPr>
          <w:rFonts w:ascii="仿宋_GB2312" w:hAnsi="仿宋_GB2312" w:cs="仿宋_GB2312"/>
          <w:sz w:val="28"/>
          <w:szCs w:val="28"/>
        </w:rPr>
      </w:pPr>
      <w:r>
        <w:rPr>
          <w:rFonts w:ascii="仿宋_GB2312" w:hAnsi="仿宋_GB2312" w:cs="仿宋_GB2312" w:hint="eastAsia"/>
          <w:sz w:val="28"/>
          <w:szCs w:val="28"/>
        </w:rPr>
        <w:t>（4）《消防给水及消火栓系统技术规范》GB50974—2014</w:t>
      </w:r>
      <w:r>
        <w:rPr>
          <w:rFonts w:ascii="仿宋_GB2312" w:hAnsi="仿宋_GB2312" w:cs="仿宋_GB2312" w:hint="eastAsia"/>
          <w:sz w:val="28"/>
          <w:szCs w:val="28"/>
        </w:rPr>
        <w:br/>
        <w:t>（5）《自动喷水灭火系统设计规范》GB 50084—2017</w:t>
      </w:r>
    </w:p>
    <w:p w:rsidR="00E07285" w:rsidRDefault="00E07285" w:rsidP="00E07285">
      <w:pPr>
        <w:spacing w:line="560" w:lineRule="exact"/>
        <w:jc w:val="left"/>
        <w:rPr>
          <w:rFonts w:ascii="仿宋_GB2312" w:hAnsi="仿宋_GB2312" w:cs="仿宋_GB2312"/>
          <w:sz w:val="28"/>
          <w:szCs w:val="28"/>
        </w:rPr>
      </w:pPr>
      <w:r>
        <w:rPr>
          <w:rFonts w:ascii="仿宋_GB2312" w:hAnsi="仿宋_GB2312" w:cs="仿宋_GB2312" w:hint="eastAsia"/>
          <w:sz w:val="28"/>
          <w:szCs w:val="28"/>
        </w:rPr>
        <w:t>（6）建筑给排水设计图集</w:t>
      </w:r>
    </w:p>
    <w:p w:rsidR="00E07285" w:rsidRDefault="00E07285" w:rsidP="005F5429">
      <w:pPr>
        <w:spacing w:line="560" w:lineRule="exact"/>
        <w:jc w:val="left"/>
        <w:rPr>
          <w:rFonts w:ascii="仿宋_GB2312" w:hAnsi="仿宋_GB2312" w:cs="仿宋_GB2312"/>
          <w:sz w:val="28"/>
          <w:szCs w:val="28"/>
        </w:rPr>
      </w:pPr>
      <w:r>
        <w:rPr>
          <w:rFonts w:ascii="仿宋_GB2312" w:hAnsi="仿宋_GB2312" w:cs="仿宋_GB2312" w:hint="eastAsia"/>
          <w:sz w:val="28"/>
          <w:szCs w:val="28"/>
        </w:rPr>
        <w:t>慕课资源：</w:t>
      </w:r>
    </w:p>
    <w:p w:rsidR="00E07285" w:rsidRDefault="00E07285" w:rsidP="005F5429">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中国大学MOOC网，《建筑给水排水工程》，太原理工大学</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E07285" w:rsidRPr="005F5429" w:rsidRDefault="00E07285" w:rsidP="005F5429">
      <w:pPr>
        <w:spacing w:line="560" w:lineRule="exact"/>
        <w:jc w:val="left"/>
        <w:rPr>
          <w:rFonts w:ascii="仿宋_GB2312" w:hAnsi="仿宋_GB2312" w:cs="仿宋_GB2312"/>
          <w:sz w:val="28"/>
          <w:szCs w:val="28"/>
        </w:rPr>
      </w:pPr>
      <w:r w:rsidRPr="005F5429">
        <w:t>1</w:t>
      </w:r>
      <w:r w:rsidRPr="005F5429">
        <w:t>、教学中应注重基本知识、基本理论和基本方法的讲授，做到精讲多练。</w:t>
      </w:r>
    </w:p>
    <w:p w:rsidR="00E07285" w:rsidRPr="005F5429" w:rsidRDefault="00E07285" w:rsidP="005F5429">
      <w:pPr>
        <w:spacing w:line="560" w:lineRule="exact"/>
        <w:jc w:val="left"/>
        <w:rPr>
          <w:rFonts w:ascii="仿宋_GB2312" w:hAnsi="仿宋_GB2312" w:cs="仿宋_GB2312"/>
          <w:sz w:val="28"/>
          <w:szCs w:val="28"/>
        </w:rPr>
      </w:pPr>
      <w:r w:rsidRPr="005F5429">
        <w:t>2</w:t>
      </w:r>
      <w:r w:rsidRPr="005F5429">
        <w:t>、抓好课程设计环节，重视学生实践能力的培养。</w:t>
      </w:r>
    </w:p>
    <w:p w:rsidR="00E07285" w:rsidRPr="005F5429" w:rsidRDefault="00E07285" w:rsidP="005F5429">
      <w:pPr>
        <w:spacing w:line="560" w:lineRule="exact"/>
        <w:jc w:val="left"/>
        <w:rPr>
          <w:rFonts w:ascii="仿宋_GB2312" w:hAnsi="仿宋_GB2312" w:cs="仿宋_GB2312"/>
          <w:sz w:val="28"/>
          <w:szCs w:val="28"/>
        </w:rPr>
      </w:pPr>
      <w:r w:rsidRPr="005F5429">
        <w:t>3</w:t>
      </w:r>
      <w:r w:rsidRPr="005F5429">
        <w:t>、课程设计综合所学理论，培养学生拟定方案，并对方案的特点进行分析和运用，同时进一步提高学生计算和绘图等能力。设计成绩单独评分。</w:t>
      </w:r>
    </w:p>
    <w:p w:rsidR="00E07285" w:rsidRPr="005F5429" w:rsidRDefault="00E07285" w:rsidP="005F5429">
      <w:pPr>
        <w:spacing w:line="560" w:lineRule="exact"/>
        <w:jc w:val="left"/>
        <w:rPr>
          <w:rFonts w:ascii="仿宋_GB2312" w:hAnsi="仿宋_GB2312" w:cs="仿宋_GB2312" w:hint="eastAsia"/>
          <w:sz w:val="28"/>
          <w:szCs w:val="28"/>
        </w:rPr>
      </w:pPr>
      <w:r w:rsidRPr="005F5429">
        <w:t>4</w:t>
      </w:r>
      <w:r w:rsidRPr="005F5429">
        <w:t>、大纲内章节的顺序和内容的安排仅供参考，教师可根据情况作适当的变动。</w:t>
      </w:r>
    </w:p>
    <w:p w:rsidR="00E07285" w:rsidRDefault="00E07285" w:rsidP="00E07285">
      <w:pPr>
        <w:spacing w:line="360" w:lineRule="auto"/>
        <w:ind w:firstLineChars="1000" w:firstLine="2800"/>
        <w:rPr>
          <w:rFonts w:ascii="仿宋" w:eastAsia="仿宋" w:hAnsi="仿宋"/>
          <w:sz w:val="28"/>
          <w:szCs w:val="28"/>
        </w:rPr>
      </w:pPr>
      <w:r>
        <w:rPr>
          <w:rFonts w:ascii="仿宋" w:eastAsia="仿宋" w:hAnsi="仿宋" w:hint="eastAsia"/>
          <w:sz w:val="28"/>
          <w:szCs w:val="28"/>
        </w:rPr>
        <w:t>大纲撰写人：杨利伟、王彤、张莉平、杨东娟</w:t>
      </w:r>
    </w:p>
    <w:p w:rsidR="00E07285" w:rsidRDefault="00E07285" w:rsidP="00E07285">
      <w:pPr>
        <w:spacing w:line="360" w:lineRule="auto"/>
        <w:ind w:firstLineChars="1000" w:firstLine="2800"/>
        <w:rPr>
          <w:rFonts w:ascii="仿宋" w:eastAsia="仿宋" w:hAnsi="仿宋"/>
          <w:sz w:val="28"/>
          <w:szCs w:val="28"/>
        </w:rPr>
      </w:pPr>
      <w:r>
        <w:rPr>
          <w:rFonts w:ascii="仿宋" w:eastAsia="仿宋" w:hAnsi="仿宋" w:hint="eastAsia"/>
          <w:sz w:val="28"/>
          <w:szCs w:val="28"/>
        </w:rPr>
        <w:t>课程负责人：张莉平、杨东娟</w:t>
      </w: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w:t>
      </w:r>
    </w:p>
    <w:p w:rsidR="00E07285" w:rsidRDefault="00E07285" w:rsidP="00E07285">
      <w:pPr>
        <w:spacing w:beforeLines="50" w:before="156" w:afterLines="50" w:after="156" w:line="460" w:lineRule="exact"/>
        <w:rPr>
          <w:rFonts w:ascii="黑体" w:eastAsia="黑体" w:hAnsi="黑体"/>
          <w:b/>
          <w:sz w:val="28"/>
          <w:szCs w:val="28"/>
        </w:rPr>
      </w:pPr>
    </w:p>
    <w:p w:rsidR="00CA5AE3" w:rsidRPr="005F5429" w:rsidRDefault="00E07285" w:rsidP="005F5429">
      <w:pPr>
        <w:widowControl/>
        <w:jc w:val="left"/>
        <w:rPr>
          <w:rFonts w:ascii="华文中宋" w:eastAsia="华文中宋" w:hAnsi="华文中宋" w:cs="华文中宋" w:hint="eastAsia"/>
          <w:sz w:val="21"/>
        </w:rPr>
      </w:pPr>
      <w:r>
        <w:rPr>
          <w:rFonts w:ascii="华文中宋" w:eastAsia="华文中宋" w:hAnsi="华文中宋" w:cs="华文中宋" w:hint="eastAsia"/>
          <w:sz w:val="21"/>
        </w:rPr>
        <w:lastRenderedPageBreak/>
        <w:t xml:space="preserve">                                            </w:t>
      </w:r>
      <w:r>
        <w:rPr>
          <w:rFonts w:ascii="仿宋_GB2312" w:hAnsi="仿宋_GB2312" w:cs="仿宋_GB2312" w:hint="eastAsia"/>
          <w:sz w:val="28"/>
          <w:szCs w:val="28"/>
        </w:rPr>
        <w:t xml:space="preserve"> 2021年4月</w:t>
      </w:r>
    </w:p>
    <w:p w:rsidR="00CD00D2" w:rsidRPr="005F5429" w:rsidRDefault="00CD00D2" w:rsidP="005F5429">
      <w:pPr>
        <w:widowControl/>
        <w:spacing w:line="360" w:lineRule="auto"/>
        <w:jc w:val="center"/>
        <w:rPr>
          <w:rFonts w:ascii="方正小标宋简体" w:eastAsia="方正小标宋简体" w:hAnsi="宋体"/>
          <w:kern w:val="0"/>
          <w:szCs w:val="32"/>
        </w:rPr>
      </w:pPr>
      <w:r w:rsidRPr="005F5429">
        <w:rPr>
          <w:rFonts w:ascii="方正小标宋简体" w:eastAsia="方正小标宋简体" w:hAnsi="宋体" w:hint="eastAsia"/>
          <w:kern w:val="0"/>
          <w:szCs w:val="32"/>
        </w:rPr>
        <w:t>《给水排水管网系统》教学大纲</w:t>
      </w:r>
    </w:p>
    <w:p w:rsidR="00CD00D2" w:rsidRDefault="00CD00D2" w:rsidP="00CD00D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英文名称：</w:t>
      </w:r>
      <w:hyperlink r:id="rId29" w:history="1">
        <w:r>
          <w:rPr>
            <w:rFonts w:ascii="仿宋_GB2312" w:hAnsi="仿宋_GB2312" w:cs="仿宋_GB2312" w:hint="eastAsia"/>
            <w:sz w:val="28"/>
            <w:szCs w:val="28"/>
          </w:rPr>
          <w:t>Water</w:t>
        </w:r>
      </w:hyperlink>
      <w:r>
        <w:rPr>
          <w:rFonts w:ascii="仿宋_GB2312" w:hAnsi="仿宋_GB2312" w:cs="仿宋_GB2312" w:hint="eastAsia"/>
          <w:sz w:val="28"/>
          <w:szCs w:val="28"/>
        </w:rPr>
        <w:t> </w:t>
      </w:r>
      <w:hyperlink r:id="rId30" w:history="1">
        <w:r>
          <w:rPr>
            <w:rFonts w:ascii="仿宋_GB2312" w:hAnsi="仿宋_GB2312" w:cs="仿宋_GB2312" w:hint="eastAsia"/>
            <w:sz w:val="28"/>
            <w:szCs w:val="28"/>
          </w:rPr>
          <w:t>and</w:t>
        </w:r>
      </w:hyperlink>
      <w:r>
        <w:rPr>
          <w:rFonts w:ascii="仿宋_GB2312" w:hAnsi="仿宋_GB2312" w:cs="仿宋_GB2312" w:hint="eastAsia"/>
          <w:sz w:val="28"/>
          <w:szCs w:val="28"/>
        </w:rPr>
        <w:t> </w:t>
      </w:r>
      <w:bookmarkStart w:id="45" w:name="13995479-0-3"/>
      <w:r>
        <w:rPr>
          <w:rFonts w:ascii="仿宋_GB2312" w:hAnsi="仿宋_GB2312" w:cs="仿宋_GB2312" w:hint="eastAsia"/>
          <w:sz w:val="28"/>
          <w:szCs w:val="28"/>
        </w:rPr>
        <w:fldChar w:fldCharType="begin"/>
      </w:r>
      <w:r>
        <w:rPr>
          <w:rFonts w:ascii="仿宋_GB2312" w:hAnsi="仿宋_GB2312" w:cs="仿宋_GB2312" w:hint="eastAsia"/>
          <w:sz w:val="28"/>
          <w:szCs w:val="28"/>
        </w:rPr>
        <w:instrText xml:space="preserve"> HYPERLINK "https://cn.bing.com/dict/search?q=wastewater&amp;FORM=BDVSP6&amp;mkt=zh-cn" </w:instrText>
      </w:r>
      <w:r>
        <w:rPr>
          <w:rFonts w:ascii="仿宋_GB2312" w:hAnsi="仿宋_GB2312" w:cs="仿宋_GB2312" w:hint="eastAsia"/>
          <w:sz w:val="28"/>
          <w:szCs w:val="28"/>
        </w:rPr>
        <w:fldChar w:fldCharType="separate"/>
      </w:r>
      <w:r>
        <w:rPr>
          <w:rFonts w:ascii="仿宋_GB2312" w:hAnsi="仿宋_GB2312" w:cs="仿宋_GB2312" w:hint="eastAsia"/>
          <w:sz w:val="28"/>
          <w:szCs w:val="28"/>
        </w:rPr>
        <w:t>Wastewater</w:t>
      </w:r>
      <w:bookmarkEnd w:id="45"/>
      <w:r>
        <w:rPr>
          <w:rFonts w:ascii="仿宋_GB2312" w:hAnsi="仿宋_GB2312" w:cs="仿宋_GB2312" w:hint="eastAsia"/>
          <w:sz w:val="28"/>
          <w:szCs w:val="28"/>
        </w:rPr>
        <w:fldChar w:fldCharType="end"/>
      </w:r>
      <w:r>
        <w:rPr>
          <w:rFonts w:ascii="仿宋_GB2312" w:hAnsi="仿宋_GB2312" w:cs="仿宋_GB2312" w:hint="eastAsia"/>
          <w:sz w:val="28"/>
          <w:szCs w:val="28"/>
        </w:rPr>
        <w:t> </w:t>
      </w:r>
      <w:bookmarkStart w:id="46" w:name="13995479-0-5"/>
      <w:r>
        <w:rPr>
          <w:rFonts w:ascii="仿宋_GB2312" w:hAnsi="仿宋_GB2312" w:cs="仿宋_GB2312" w:hint="eastAsia"/>
          <w:sz w:val="28"/>
          <w:szCs w:val="28"/>
        </w:rPr>
        <w:fldChar w:fldCharType="begin"/>
      </w:r>
      <w:r>
        <w:rPr>
          <w:rFonts w:ascii="仿宋_GB2312" w:hAnsi="仿宋_GB2312" w:cs="仿宋_GB2312" w:hint="eastAsia"/>
          <w:sz w:val="28"/>
          <w:szCs w:val="28"/>
        </w:rPr>
        <w:instrText xml:space="preserve"> HYPERLINK "https://cn.bing.com/dict/search?q=systems&amp;FORM=BDVSP6&amp;mkt=zh-cn" </w:instrText>
      </w:r>
      <w:r>
        <w:rPr>
          <w:rFonts w:ascii="仿宋_GB2312" w:hAnsi="仿宋_GB2312" w:cs="仿宋_GB2312" w:hint="eastAsia"/>
          <w:sz w:val="28"/>
          <w:szCs w:val="28"/>
        </w:rPr>
        <w:fldChar w:fldCharType="separate"/>
      </w:r>
      <w:r>
        <w:rPr>
          <w:rFonts w:ascii="仿宋_GB2312" w:hAnsi="仿宋_GB2312" w:cs="仿宋_GB2312" w:hint="eastAsia"/>
          <w:sz w:val="28"/>
          <w:szCs w:val="28"/>
        </w:rPr>
        <w:t>Systems</w:t>
      </w:r>
      <w:bookmarkEnd w:id="46"/>
      <w:r>
        <w:rPr>
          <w:rFonts w:ascii="仿宋_GB2312" w:hAnsi="仿宋_GB2312" w:cs="仿宋_GB2312" w:hint="eastAsia"/>
          <w:sz w:val="28"/>
          <w:szCs w:val="28"/>
        </w:rPr>
        <w:fldChar w:fldCharType="end"/>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课程编码：Z28061</w:t>
      </w:r>
      <w:r>
        <w:rPr>
          <w:rFonts w:ascii="仿宋_GB2312" w:hAnsi="仿宋_GB2312" w:cs="仿宋_GB2312"/>
          <w:sz w:val="28"/>
          <w:szCs w:val="28"/>
        </w:rPr>
        <w:t>30</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授课语言：汉语</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授课方式：线下</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课程类别：专业发展</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课程性质：必修</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学    分：3</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学    时：48学时（授课48学时，实验0学时，上机0学时，课外0学时）</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适用对象：给排水科学与工程专业</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先修课程：水力学，水文与水文地质学，泵与泵站等</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开课院系：建筑工程学院给排水科学与工程系</w:t>
      </w:r>
    </w:p>
    <w:p w:rsidR="00CD00D2" w:rsidRDefault="00CD00D2" w:rsidP="00CD00D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给水排水管网系统》是一门专业技术课程，是给排水科学与工程专业的主要专业课之一，是整个给排水工程的重要组成部分。本课程主要介绍给水管网系统、排水管网系统的主要构成、设计原理，设计方法和运行管理方面的基础知识和技术。</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在教学内容方面包括给水、排水管网系统两部分。给水管网系统着重使学生掌握给水管网系统的基本概念、工程设计和运行管理的基础理论和方法，初步掌握给水管网系统规划、设计、计算及运行管理方</w:t>
      </w:r>
      <w:r>
        <w:rPr>
          <w:rFonts w:ascii="仿宋_GB2312" w:hAnsi="仿宋_GB2312" w:cs="仿宋_GB2312" w:hint="eastAsia"/>
          <w:sz w:val="28"/>
          <w:szCs w:val="28"/>
        </w:rPr>
        <w:lastRenderedPageBreak/>
        <w:t xml:space="preserve">面的基本技能，初步具备给水管网系统的方案设计和运行管理和科学研究能力。排水管网系统着重使学生掌握污水管网、雨水管网及合流管渠的设计计算理论与方法；在实践能力方面着重培养学生综合分析能力与设计能力。 </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本课程要求学生具备牢固的高等数学、物理、工程制图、工程测量、水力学、水泵与泵站等课程知识。该课程将为学生对水处理工程、给排水工程施工及给排水工程经济等课程学习提供必要的理论知识。本课程为必修课。本课程以线下授课方式为主，配合线上学习资料及作业共同促进学生对本课程知识的理解和掌握。</w:t>
      </w:r>
    </w:p>
    <w:p w:rsidR="00CD00D2" w:rsidRDefault="00CD00D2" w:rsidP="00CD00D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1. 课程任务</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本课程着重使学生掌握给水排水管网系统的基本概念、工程设计的基础理论和方法，初步掌握给水排水管网系统规划、设计、计算等方面的基本技能，初步具备给水排水管网系统的方案设计、设计计算理论与方法；通过本课程的学习，学生能够具备给水排水管网可研阶段的规划、设计能力。</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（1）掌握给水排水系统的基本组成、给水管网分区、排水体制及总平面布置的形式；</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（2）掌握给水管网、污水管网、雨水管网与合流管网平面布置的特点及设计流量的计算方法；</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（3）掌握给水排水管网水力计算的基本要点及计算方法。</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2.1课程目标</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知识目标：通过学习本门课程学习， 要求学生了解并掌握给水、雨、污水管道系统的功能、原理、体制及我国排水系统发展趋势；掌</w:t>
      </w:r>
      <w:r>
        <w:rPr>
          <w:rFonts w:ascii="仿宋_GB2312" w:hAnsi="仿宋_GB2312" w:cs="仿宋_GB2312" w:hint="eastAsia"/>
          <w:sz w:val="28"/>
          <w:szCs w:val="28"/>
        </w:rPr>
        <w:lastRenderedPageBreak/>
        <w:t>握给水、雨、污水管道系统的基本理论和工程学方法，掌握雨污管网设计计算；</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能力目标：</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掌握给水管网系统的布置原理、水量分析、水力计算理论和方法、工程优化设计方法及管道系统的运行管理。</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能够合理划分排水流域，正确选择雨污水系统设计参数，能独立开展雨污水管网系统设计、计算；具备雨污水管网的初步工程设计能力。</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情感态度与价值观目标：加强对专业素养、弘扬创新精神，树立专业自信和职业责任感，明确自身价值，规划职业发展，激发爱国热情。</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2.2 课程目标与毕业要求之间的对应关系</w:t>
      </w:r>
    </w:p>
    <w:tbl>
      <w:tblPr>
        <w:tblStyle w:val="a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489"/>
        <w:gridCol w:w="489"/>
        <w:gridCol w:w="489"/>
        <w:gridCol w:w="489"/>
        <w:gridCol w:w="489"/>
        <w:gridCol w:w="489"/>
        <w:gridCol w:w="489"/>
        <w:gridCol w:w="490"/>
        <w:gridCol w:w="490"/>
        <w:gridCol w:w="509"/>
        <w:gridCol w:w="509"/>
        <w:gridCol w:w="509"/>
      </w:tblGrid>
      <w:tr w:rsidR="00CD00D2" w:rsidTr="00CD00D2">
        <w:trPr>
          <w:trHeight w:hRule="exact" w:val="454"/>
          <w:jc w:val="center"/>
        </w:trPr>
        <w:tc>
          <w:tcPr>
            <w:tcW w:w="2743" w:type="dxa"/>
            <w:vMerge w:val="restart"/>
            <w:vAlign w:val="center"/>
          </w:tcPr>
          <w:p w:rsidR="00CD00D2" w:rsidRDefault="00CD00D2" w:rsidP="00CD00D2">
            <w:pPr>
              <w:spacing w:line="360" w:lineRule="auto"/>
              <w:jc w:val="center"/>
              <w:rPr>
                <w:rFonts w:ascii="宋体" w:hAnsi="宋体" w:cs="宋体"/>
                <w:bCs/>
                <w:sz w:val="24"/>
              </w:rPr>
            </w:pPr>
            <w:r>
              <w:rPr>
                <w:rFonts w:ascii="宋体" w:hAnsi="宋体" w:cs="宋体" w:hint="eastAsia"/>
                <w:bCs/>
                <w:sz w:val="24"/>
              </w:rPr>
              <w:t>课程目标</w:t>
            </w:r>
          </w:p>
        </w:tc>
        <w:tc>
          <w:tcPr>
            <w:tcW w:w="6233" w:type="dxa"/>
            <w:gridSpan w:val="12"/>
            <w:vAlign w:val="center"/>
          </w:tcPr>
          <w:p w:rsidR="00CD00D2" w:rsidRDefault="00CD00D2" w:rsidP="00CD00D2">
            <w:pPr>
              <w:jc w:val="center"/>
              <w:rPr>
                <w:rFonts w:ascii="宋体" w:hAnsi="宋体" w:cs="宋体"/>
                <w:bCs/>
                <w:sz w:val="24"/>
              </w:rPr>
            </w:pPr>
            <w:r>
              <w:rPr>
                <w:rFonts w:ascii="宋体" w:hAnsi="宋体" w:cs="宋体" w:hint="eastAsia"/>
                <w:bCs/>
                <w:sz w:val="24"/>
              </w:rPr>
              <w:t>毕业要求</w:t>
            </w:r>
          </w:p>
        </w:tc>
      </w:tr>
      <w:tr w:rsidR="00CD00D2" w:rsidTr="00CD00D2">
        <w:trPr>
          <w:trHeight w:hRule="exact" w:val="454"/>
          <w:jc w:val="center"/>
        </w:trPr>
        <w:tc>
          <w:tcPr>
            <w:tcW w:w="2743" w:type="dxa"/>
            <w:vMerge/>
          </w:tcPr>
          <w:p w:rsidR="00CD00D2" w:rsidRDefault="00CD00D2" w:rsidP="00CD00D2">
            <w:pPr>
              <w:spacing w:line="360" w:lineRule="auto"/>
              <w:rPr>
                <w:rFonts w:ascii="宋体" w:hAnsi="宋体" w:cs="宋体"/>
                <w:bCs/>
                <w:sz w:val="24"/>
              </w:rPr>
            </w:pP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1</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2</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3</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4</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5</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6</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7</w:t>
            </w:r>
          </w:p>
        </w:tc>
        <w:tc>
          <w:tcPr>
            <w:tcW w:w="520"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8</w:t>
            </w:r>
          </w:p>
        </w:tc>
        <w:tc>
          <w:tcPr>
            <w:tcW w:w="520"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9</w:t>
            </w:r>
          </w:p>
        </w:tc>
        <w:tc>
          <w:tcPr>
            <w:tcW w:w="520"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10</w:t>
            </w:r>
          </w:p>
        </w:tc>
        <w:tc>
          <w:tcPr>
            <w:tcW w:w="520"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11</w:t>
            </w:r>
          </w:p>
        </w:tc>
        <w:tc>
          <w:tcPr>
            <w:tcW w:w="520"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12</w:t>
            </w:r>
          </w:p>
        </w:tc>
      </w:tr>
      <w:tr w:rsidR="00CD00D2" w:rsidTr="00CD00D2">
        <w:trPr>
          <w:trHeight w:hRule="exact" w:val="454"/>
          <w:jc w:val="center"/>
        </w:trPr>
        <w:tc>
          <w:tcPr>
            <w:tcW w:w="2743"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知识目标</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H</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M</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M</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L</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r>
      <w:tr w:rsidR="00CD00D2" w:rsidTr="00CD00D2">
        <w:trPr>
          <w:trHeight w:hRule="exact" w:val="454"/>
          <w:jc w:val="center"/>
        </w:trPr>
        <w:tc>
          <w:tcPr>
            <w:tcW w:w="2743" w:type="dxa"/>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能力目标</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H</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H</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H</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L</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H</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M</w:t>
            </w:r>
          </w:p>
        </w:tc>
        <w:tc>
          <w:tcPr>
            <w:tcW w:w="520" w:type="dxa"/>
          </w:tcPr>
          <w:p w:rsidR="00CD00D2" w:rsidRDefault="00CD00D2" w:rsidP="00CD00D2">
            <w:pPr>
              <w:spacing w:line="360" w:lineRule="auto"/>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r>
      <w:tr w:rsidR="00CD00D2" w:rsidTr="00CD00D2">
        <w:trPr>
          <w:trHeight w:hRule="exact" w:val="454"/>
          <w:jc w:val="center"/>
        </w:trPr>
        <w:tc>
          <w:tcPr>
            <w:tcW w:w="2743" w:type="dxa"/>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情感态度与价值观目标</w:t>
            </w:r>
          </w:p>
        </w:tc>
        <w:tc>
          <w:tcPr>
            <w:tcW w:w="519" w:type="dxa"/>
            <w:vAlign w:val="center"/>
          </w:tcPr>
          <w:p w:rsidR="00CD00D2" w:rsidRDefault="00CD00D2" w:rsidP="00CD00D2">
            <w:pPr>
              <w:spacing w:line="360" w:lineRule="auto"/>
              <w:jc w:val="center"/>
              <w:rPr>
                <w:rFonts w:ascii="宋体" w:hAnsi="宋体" w:cs="宋体"/>
                <w:bCs/>
                <w:sz w:val="24"/>
              </w:rPr>
            </w:pPr>
          </w:p>
        </w:tc>
        <w:tc>
          <w:tcPr>
            <w:tcW w:w="519" w:type="dxa"/>
            <w:vAlign w:val="center"/>
          </w:tcPr>
          <w:p w:rsidR="00CD00D2" w:rsidRDefault="00CD00D2" w:rsidP="00CD00D2">
            <w:pPr>
              <w:spacing w:line="360" w:lineRule="auto"/>
              <w:jc w:val="center"/>
              <w:rPr>
                <w:rFonts w:ascii="宋体" w:hAnsi="宋体" w:cs="宋体"/>
                <w:bCs/>
                <w:sz w:val="24"/>
              </w:rPr>
            </w:pP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M</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H</w:t>
            </w:r>
          </w:p>
        </w:tc>
        <w:tc>
          <w:tcPr>
            <w:tcW w:w="519" w:type="dxa"/>
            <w:vAlign w:val="center"/>
          </w:tcPr>
          <w:p w:rsidR="00CD00D2" w:rsidRDefault="00CD00D2" w:rsidP="00CD00D2">
            <w:pPr>
              <w:tabs>
                <w:tab w:val="left" w:pos="6300"/>
              </w:tabs>
              <w:spacing w:line="360" w:lineRule="atLeast"/>
              <w:jc w:val="center"/>
              <w:rPr>
                <w:rFonts w:ascii="宋体" w:hAnsi="宋体" w:cs="宋体"/>
                <w:bCs/>
                <w:sz w:val="24"/>
              </w:rPr>
            </w:pPr>
            <w:r>
              <w:rPr>
                <w:rFonts w:ascii="宋体" w:hAnsi="宋体" w:cs="宋体" w:hint="eastAsia"/>
                <w:bCs/>
                <w:sz w:val="24"/>
              </w:rPr>
              <w:t>L</w:t>
            </w:r>
          </w:p>
        </w:tc>
        <w:tc>
          <w:tcPr>
            <w:tcW w:w="520" w:type="dxa"/>
          </w:tcPr>
          <w:p w:rsidR="00CD00D2" w:rsidRDefault="00CD00D2" w:rsidP="00CD00D2">
            <w:pPr>
              <w:spacing w:line="360" w:lineRule="auto"/>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c>
          <w:tcPr>
            <w:tcW w:w="520" w:type="dxa"/>
          </w:tcPr>
          <w:p w:rsidR="00CD00D2" w:rsidRDefault="00CD00D2" w:rsidP="00CD00D2">
            <w:pPr>
              <w:spacing w:line="360" w:lineRule="auto"/>
              <w:rPr>
                <w:rFonts w:ascii="宋体" w:hAnsi="宋体" w:cs="宋体"/>
                <w:bCs/>
                <w:sz w:val="24"/>
              </w:rPr>
            </w:pPr>
          </w:p>
        </w:tc>
      </w:tr>
    </w:tbl>
    <w:p w:rsidR="00CD00D2" w:rsidRDefault="00CD00D2" w:rsidP="00CD00D2">
      <w:pPr>
        <w:rPr>
          <w:rFonts w:ascii="仿宋_GB2312" w:hAnsi="仿宋_GB2312" w:cs="仿宋_GB2312"/>
          <w:sz w:val="24"/>
        </w:rPr>
      </w:pPr>
    </w:p>
    <w:p w:rsidR="00CD00D2" w:rsidRDefault="00CD00D2" w:rsidP="00CD00D2">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本课程重点包括：</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（1）给水管网系统的拓扑结构和区块化规划设计原理；</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（2）给水管网系统水力平衡计算理论和方法；</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（3）污水设计流量的确定：污水管道水力计算。</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（4）雨水管渠设计流量的确定；雨水管道水力计算。</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（5）合流管渠设计流量的求定；合流管道水力计算。</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本课程难点包括：管网技术经济计算</w:t>
      </w:r>
    </w:p>
    <w:p w:rsidR="00CD00D2" w:rsidRDefault="00CD00D2" w:rsidP="00CD00D2">
      <w:pPr>
        <w:spacing w:line="360" w:lineRule="auto"/>
        <w:rPr>
          <w:rFonts w:ascii="仿宋_GB2312" w:hAnsi="仿宋_GB2312" w:cs="仿宋_GB2312"/>
          <w:sz w:val="28"/>
          <w:szCs w:val="28"/>
        </w:rPr>
      </w:pPr>
      <w:r>
        <w:rPr>
          <w:rFonts w:ascii="仿宋_GB2312" w:hAnsi="仿宋_GB2312" w:cs="仿宋_GB2312" w:hint="eastAsia"/>
          <w:sz w:val="28"/>
          <w:szCs w:val="28"/>
        </w:rPr>
        <w:t>4. 课程思政设计</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可通过PPT图片、播放相关影音资料介绍或者带领学生现场体会</w:t>
      </w:r>
      <w:r>
        <w:rPr>
          <w:rFonts w:ascii="仿宋_GB2312" w:hAnsi="仿宋_GB2312" w:cs="仿宋_GB2312" w:hint="eastAsia"/>
          <w:sz w:val="28"/>
          <w:szCs w:val="28"/>
        </w:rPr>
        <w:lastRenderedPageBreak/>
        <w:t>综合管廊建设项目、海绵城市建设项目；了解国家对于综合管廊建设、老旧供水管网更新改造、海绵城市建设的有关政策采取 ；了解海绵城市建设对于城市雨洪调蓄、改善城市生态环境与可持续发展的重要性；让学生从感官上体察到自身专业在社会中所处的位置，感受到新时代国家对水事业的认可和重视，形成对专业的归属感。使学生认识到在日后工作中 ，将个人事业和理想与实现中国梦的共同理想紧密联系。</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了解国内给排水管道的发展史，引导学生认识给排水专业在社会发展与国民经济中的重要 性，培养学生的社会责任感、使命感。</w:t>
      </w:r>
    </w:p>
    <w:p w:rsidR="00CD00D2" w:rsidRDefault="00CD00D2" w:rsidP="00CD00D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59"/>
        <w:gridCol w:w="670"/>
        <w:gridCol w:w="3162"/>
        <w:gridCol w:w="2652"/>
      </w:tblGrid>
      <w:tr w:rsidR="00CD00D2" w:rsidTr="00CD00D2">
        <w:trPr>
          <w:cantSplit/>
          <w:trHeight w:val="785"/>
        </w:trPr>
        <w:tc>
          <w:tcPr>
            <w:tcW w:w="512" w:type="dxa"/>
            <w:vAlign w:val="center"/>
          </w:tcPr>
          <w:p w:rsidR="00CD00D2" w:rsidRPr="005F5429" w:rsidRDefault="00CD00D2" w:rsidP="00CD00D2">
            <w:pPr>
              <w:jc w:val="center"/>
              <w:rPr>
                <w:rFonts w:ascii="仿宋_GB2312" w:hAnsi="仿宋_GB2312" w:cs="仿宋_GB2312"/>
                <w:b/>
                <w:sz w:val="24"/>
                <w:szCs w:val="24"/>
              </w:rPr>
            </w:pPr>
            <w:r w:rsidRPr="005F5429">
              <w:rPr>
                <w:rFonts w:ascii="仿宋_GB2312" w:hAnsi="仿宋_GB2312" w:cs="仿宋_GB2312" w:hint="eastAsia"/>
                <w:b/>
                <w:sz w:val="24"/>
                <w:szCs w:val="24"/>
              </w:rPr>
              <w:t>序号</w:t>
            </w:r>
          </w:p>
        </w:tc>
        <w:tc>
          <w:tcPr>
            <w:tcW w:w="2159" w:type="dxa"/>
            <w:vAlign w:val="center"/>
          </w:tcPr>
          <w:p w:rsidR="00CD00D2" w:rsidRPr="005F5429" w:rsidRDefault="00CD00D2" w:rsidP="00CD00D2">
            <w:pPr>
              <w:jc w:val="center"/>
              <w:rPr>
                <w:rFonts w:ascii="仿宋_GB2312" w:hAnsi="仿宋_GB2312" w:cs="仿宋_GB2312"/>
                <w:b/>
                <w:sz w:val="24"/>
                <w:szCs w:val="24"/>
              </w:rPr>
            </w:pPr>
            <w:r w:rsidRPr="005F5429">
              <w:rPr>
                <w:rFonts w:ascii="仿宋_GB2312" w:hAnsi="仿宋_GB2312" w:cs="仿宋_GB2312" w:hint="eastAsia"/>
                <w:b/>
                <w:sz w:val="24"/>
                <w:szCs w:val="24"/>
              </w:rPr>
              <w:t>章  节</w:t>
            </w:r>
          </w:p>
        </w:tc>
        <w:tc>
          <w:tcPr>
            <w:tcW w:w="670" w:type="dxa"/>
            <w:vAlign w:val="center"/>
          </w:tcPr>
          <w:p w:rsidR="00CD00D2" w:rsidRPr="005F5429" w:rsidRDefault="00CD00D2" w:rsidP="00CD00D2">
            <w:pPr>
              <w:jc w:val="center"/>
              <w:rPr>
                <w:rFonts w:ascii="仿宋_GB2312" w:hAnsi="仿宋_GB2312" w:cs="仿宋_GB2312"/>
                <w:b/>
                <w:sz w:val="24"/>
                <w:szCs w:val="24"/>
              </w:rPr>
            </w:pPr>
            <w:r w:rsidRPr="005F5429">
              <w:rPr>
                <w:rFonts w:ascii="仿宋_GB2312" w:hAnsi="仿宋_GB2312" w:cs="仿宋_GB2312" w:hint="eastAsia"/>
                <w:b/>
                <w:sz w:val="24"/>
                <w:szCs w:val="24"/>
              </w:rPr>
              <w:t>参考学时</w:t>
            </w:r>
          </w:p>
        </w:tc>
        <w:tc>
          <w:tcPr>
            <w:tcW w:w="3162" w:type="dxa"/>
            <w:vAlign w:val="center"/>
          </w:tcPr>
          <w:p w:rsidR="00CD00D2" w:rsidRPr="005F5429" w:rsidRDefault="00CD00D2" w:rsidP="00CD00D2">
            <w:pPr>
              <w:jc w:val="center"/>
              <w:rPr>
                <w:rFonts w:ascii="仿宋_GB2312" w:hAnsi="仿宋_GB2312" w:cs="仿宋_GB2312"/>
                <w:b/>
                <w:sz w:val="24"/>
                <w:szCs w:val="24"/>
              </w:rPr>
            </w:pPr>
            <w:r w:rsidRPr="005F5429">
              <w:rPr>
                <w:rFonts w:ascii="仿宋_GB2312" w:hAnsi="仿宋_GB2312" w:cs="仿宋_GB2312" w:hint="eastAsia"/>
                <w:b/>
                <w:sz w:val="24"/>
                <w:szCs w:val="24"/>
              </w:rPr>
              <w:t>教学内容</w:t>
            </w:r>
          </w:p>
        </w:tc>
        <w:tc>
          <w:tcPr>
            <w:tcW w:w="2652" w:type="dxa"/>
            <w:vAlign w:val="center"/>
          </w:tcPr>
          <w:p w:rsidR="00CD00D2" w:rsidRPr="005F5429" w:rsidRDefault="00CD00D2" w:rsidP="00CD00D2">
            <w:pPr>
              <w:jc w:val="center"/>
              <w:rPr>
                <w:rFonts w:ascii="仿宋_GB2312" w:hAnsi="仿宋_GB2312" w:cs="仿宋_GB2312"/>
                <w:b/>
                <w:sz w:val="24"/>
                <w:szCs w:val="24"/>
              </w:rPr>
            </w:pPr>
            <w:r w:rsidRPr="005F5429">
              <w:rPr>
                <w:rFonts w:ascii="仿宋_GB2312" w:hAnsi="仿宋_GB2312" w:cs="仿宋_GB2312" w:hint="eastAsia"/>
                <w:b/>
                <w:sz w:val="24"/>
                <w:szCs w:val="24"/>
              </w:rPr>
              <w:t>基本要求</w:t>
            </w:r>
          </w:p>
        </w:tc>
      </w:tr>
      <w:tr w:rsidR="00CD00D2" w:rsidTr="00CD00D2">
        <w:trPr>
          <w:cantSplit/>
          <w:trHeight w:val="785"/>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1</w:t>
            </w:r>
          </w:p>
        </w:tc>
        <w:tc>
          <w:tcPr>
            <w:tcW w:w="2159"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第一章</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给水系统</w:t>
            </w:r>
          </w:p>
        </w:tc>
        <w:tc>
          <w:tcPr>
            <w:tcW w:w="670"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2</w:t>
            </w:r>
          </w:p>
        </w:tc>
        <w:tc>
          <w:tcPr>
            <w:tcW w:w="316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1.给水系统分类</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2.给水系统的组成和布置</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3.影响给水系统布置的因素</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4.工业给水系统</w:t>
            </w:r>
          </w:p>
        </w:tc>
        <w:tc>
          <w:tcPr>
            <w:tcW w:w="265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掌握给水系统分类和结构，明晰影响系统布置的因素，区分理解工业给水系统的特殊性。</w:t>
            </w:r>
          </w:p>
        </w:tc>
      </w:tr>
      <w:tr w:rsidR="00CD00D2" w:rsidTr="00CD00D2">
        <w:trPr>
          <w:cantSplit/>
          <w:trHeight w:val="785"/>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2</w:t>
            </w:r>
          </w:p>
        </w:tc>
        <w:tc>
          <w:tcPr>
            <w:tcW w:w="2159"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第二章</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设计用水量</w:t>
            </w:r>
          </w:p>
        </w:tc>
        <w:tc>
          <w:tcPr>
            <w:tcW w:w="670"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2</w:t>
            </w:r>
          </w:p>
        </w:tc>
        <w:tc>
          <w:tcPr>
            <w:tcW w:w="316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1.用水量定额</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2.用水量变化</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3.用水量计算</w:t>
            </w:r>
          </w:p>
        </w:tc>
        <w:tc>
          <w:tcPr>
            <w:tcW w:w="265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掌握给水系统的理论知识，对用水量的设计理论，计算方法和计算过程熟练掌握。</w:t>
            </w:r>
          </w:p>
        </w:tc>
      </w:tr>
      <w:tr w:rsidR="00CD00D2" w:rsidTr="00CD00D2">
        <w:trPr>
          <w:cantSplit/>
          <w:trHeight w:val="785"/>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3</w:t>
            </w:r>
          </w:p>
        </w:tc>
        <w:tc>
          <w:tcPr>
            <w:tcW w:w="2159"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第三章</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给水系统的</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工作情况</w:t>
            </w:r>
          </w:p>
        </w:tc>
        <w:tc>
          <w:tcPr>
            <w:tcW w:w="670"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2</w:t>
            </w:r>
          </w:p>
        </w:tc>
        <w:tc>
          <w:tcPr>
            <w:tcW w:w="316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1.给水系统的流量关系</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2.水塔和清水池的容积计算</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3.给水系统的水压关系</w:t>
            </w:r>
          </w:p>
        </w:tc>
        <w:tc>
          <w:tcPr>
            <w:tcW w:w="265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掌握给水系统理论知识，明晰给水系统的流量关系和水压关系，掌握水塔和清水池的容积计算。</w:t>
            </w:r>
          </w:p>
        </w:tc>
      </w:tr>
      <w:tr w:rsidR="00CD00D2" w:rsidTr="00CD00D2">
        <w:trPr>
          <w:cantSplit/>
          <w:trHeight w:val="785"/>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4</w:t>
            </w:r>
          </w:p>
        </w:tc>
        <w:tc>
          <w:tcPr>
            <w:tcW w:w="2159"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第四章</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管网和</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输水管渠布置</w:t>
            </w:r>
          </w:p>
        </w:tc>
        <w:tc>
          <w:tcPr>
            <w:tcW w:w="670"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2</w:t>
            </w:r>
          </w:p>
        </w:tc>
        <w:tc>
          <w:tcPr>
            <w:tcW w:w="316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1.管网布置形式</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2.管网定线</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3.输水管定线</w:t>
            </w:r>
          </w:p>
        </w:tc>
        <w:tc>
          <w:tcPr>
            <w:tcW w:w="265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掌握管渠定线基本原则，管渠输配选择和输水方式。</w:t>
            </w:r>
          </w:p>
        </w:tc>
      </w:tr>
      <w:tr w:rsidR="00CD00D2" w:rsidTr="00CD00D2">
        <w:trPr>
          <w:cantSplit/>
          <w:trHeight w:val="785"/>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lastRenderedPageBreak/>
              <w:t>5</w:t>
            </w:r>
          </w:p>
        </w:tc>
        <w:tc>
          <w:tcPr>
            <w:tcW w:w="2159"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第五章</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管段流量、管径和</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水头损失</w:t>
            </w:r>
          </w:p>
        </w:tc>
        <w:tc>
          <w:tcPr>
            <w:tcW w:w="670"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4</w:t>
            </w:r>
          </w:p>
        </w:tc>
        <w:tc>
          <w:tcPr>
            <w:tcW w:w="316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1.管网计算的课题</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2.管网图形及简化</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3.沿线流量和节点流量</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4.管段计算流量</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5.管径计算</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6.水头损失计算</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7.管网计算基础方程</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8.管网计算方法分类</w:t>
            </w:r>
          </w:p>
        </w:tc>
        <w:tc>
          <w:tcPr>
            <w:tcW w:w="265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掌握管网系统理论知识和设计方法。熟练掌握管网计算步骤，能够熟练简化管线，进行沿线流量和节点流量计算，明晰设计原理，并能相对应参数进行技术分析，熟练掌握树状管网、环状管网的流量分配、管径计算和水头损失计算，熟悉管网计算原理得出的连续性方程和能量方程，了解管网水力计算方法的分类。</w:t>
            </w:r>
          </w:p>
        </w:tc>
      </w:tr>
      <w:tr w:rsidR="00CD00D2" w:rsidTr="00CD00D2">
        <w:trPr>
          <w:cantSplit/>
          <w:trHeight w:val="785"/>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6</w:t>
            </w:r>
          </w:p>
        </w:tc>
        <w:tc>
          <w:tcPr>
            <w:tcW w:w="2159"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第六章</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管网水力计算</w:t>
            </w:r>
          </w:p>
        </w:tc>
        <w:tc>
          <w:tcPr>
            <w:tcW w:w="670"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4</w:t>
            </w:r>
          </w:p>
        </w:tc>
        <w:tc>
          <w:tcPr>
            <w:tcW w:w="316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1.树状管网计算</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2.环状网计算原理</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3.环状网平差方法</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4.输水管（渠）计算</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5.应用计算机解管网问题</w:t>
            </w:r>
          </w:p>
        </w:tc>
        <w:tc>
          <w:tcPr>
            <w:tcW w:w="265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熟练掌握树状管网的水力计算过程。熟练掌握控制点的选择，管网流量设计，水头损失计算。了解环状管网计算原理，熟练掌握环状网计算，熟悉哈代-克罗斯法和最大闭合差的环校正法，掌握多水源时的管网计算以及最终管网的核算。掌握输水管渠计算，输水管渠设计流量的选定以及重力供水和水泵供水时的压力输水管水力计算。了解应用计算机运算解决管网问题。</w:t>
            </w:r>
          </w:p>
        </w:tc>
      </w:tr>
      <w:tr w:rsidR="00CD00D2" w:rsidTr="00CD00D2">
        <w:trPr>
          <w:cantSplit/>
          <w:trHeight w:val="785"/>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7</w:t>
            </w:r>
          </w:p>
        </w:tc>
        <w:tc>
          <w:tcPr>
            <w:tcW w:w="2159"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第七章</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管网技术</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经济计算</w:t>
            </w:r>
          </w:p>
        </w:tc>
        <w:tc>
          <w:tcPr>
            <w:tcW w:w="670"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3</w:t>
            </w:r>
          </w:p>
        </w:tc>
        <w:tc>
          <w:tcPr>
            <w:tcW w:w="316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1.管网年费用折算值</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2.输水管的技术经济计算</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3.管网技术经济计算</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4.近似优化计算</w:t>
            </w:r>
          </w:p>
        </w:tc>
        <w:tc>
          <w:tcPr>
            <w:tcW w:w="265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了解管网年费用折算中的目标函数和函数的约束条件以及变量关系，分别区分掌握压力和重力输水管的技术经济计算，掌握管网的技术经济计算，包括起点水压未给与起点水压已给两类。熟悉近似计算方法，掌握界限流量、经济管径和折算流量的计算方法。</w:t>
            </w:r>
          </w:p>
        </w:tc>
      </w:tr>
      <w:tr w:rsidR="00CD00D2" w:rsidTr="00CD00D2">
        <w:trPr>
          <w:cantSplit/>
          <w:trHeight w:val="785"/>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lastRenderedPageBreak/>
              <w:t>8</w:t>
            </w:r>
          </w:p>
        </w:tc>
        <w:tc>
          <w:tcPr>
            <w:tcW w:w="2159"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第八章</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分区给水系统</w:t>
            </w:r>
          </w:p>
        </w:tc>
        <w:tc>
          <w:tcPr>
            <w:tcW w:w="670"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2</w:t>
            </w:r>
          </w:p>
        </w:tc>
        <w:tc>
          <w:tcPr>
            <w:tcW w:w="316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1.分区给水的能量分析</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2.分区给水系统的设计</w:t>
            </w:r>
          </w:p>
        </w:tc>
        <w:tc>
          <w:tcPr>
            <w:tcW w:w="265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熟悉分区给水系统的分类，熟练掌握输水管和管网的供水能量分析，能够采用适当的串或并联方式进行给水系统的设计。</w:t>
            </w:r>
          </w:p>
        </w:tc>
      </w:tr>
      <w:tr w:rsidR="00CD00D2" w:rsidTr="00CD00D2">
        <w:trPr>
          <w:cantSplit/>
          <w:trHeight w:val="785"/>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9</w:t>
            </w:r>
          </w:p>
        </w:tc>
        <w:tc>
          <w:tcPr>
            <w:tcW w:w="2159"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第九章</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水管、管网附件和</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附属构筑物</w:t>
            </w:r>
          </w:p>
        </w:tc>
        <w:tc>
          <w:tcPr>
            <w:tcW w:w="670"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2</w:t>
            </w:r>
          </w:p>
        </w:tc>
        <w:tc>
          <w:tcPr>
            <w:tcW w:w="316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1.水管材料和配件</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2.管网附件</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3.管网附属构筑物</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4.调节构筑物</w:t>
            </w:r>
          </w:p>
        </w:tc>
        <w:tc>
          <w:tcPr>
            <w:tcW w:w="265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掌握水管各种不同材料的优缺点和连接方式，熟悉管网附件如各种阀门、止回阀、排气阀、泄水阀及消火栓的作用原理，了解附属构筑物阀门井、支墩等及调节构筑物水塔、水池等的作用。</w:t>
            </w:r>
          </w:p>
        </w:tc>
      </w:tr>
      <w:tr w:rsidR="00CD00D2" w:rsidTr="00CD00D2">
        <w:trPr>
          <w:cantSplit/>
          <w:trHeight w:val="785"/>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10</w:t>
            </w:r>
          </w:p>
        </w:tc>
        <w:tc>
          <w:tcPr>
            <w:tcW w:w="2159"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第十章</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管网的技术管理</w:t>
            </w:r>
          </w:p>
        </w:tc>
        <w:tc>
          <w:tcPr>
            <w:tcW w:w="670"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1</w:t>
            </w:r>
          </w:p>
        </w:tc>
        <w:tc>
          <w:tcPr>
            <w:tcW w:w="316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1.管网技术资料</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2.检漏</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3.管网水压和流量测定</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4.水管防腐蚀</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5.清垢和涂料</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6.维持管网水质</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7.调度管理</w:t>
            </w:r>
          </w:p>
        </w:tc>
        <w:tc>
          <w:tcPr>
            <w:tcW w:w="265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了解管网技术管理的日常工作，尤其对水管的检漏方法，管网水压和流量测定以及防腐蚀和清垢方法充分理解，并能解决工程问题。</w:t>
            </w:r>
          </w:p>
        </w:tc>
      </w:tr>
      <w:tr w:rsidR="00CD00D2" w:rsidTr="00CD00D2">
        <w:trPr>
          <w:trHeight w:val="428"/>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1</w:t>
            </w:r>
          </w:p>
        </w:tc>
        <w:tc>
          <w:tcPr>
            <w:tcW w:w="2159" w:type="dxa"/>
            <w:vAlign w:val="center"/>
          </w:tcPr>
          <w:p w:rsidR="00CD00D2" w:rsidRPr="005F5429" w:rsidRDefault="00CD00D2" w:rsidP="00CD00D2">
            <w:pPr>
              <w:ind w:firstLineChars="300" w:firstLine="720"/>
              <w:rPr>
                <w:rFonts w:ascii="仿宋_GB2312" w:hAnsi="仿宋_GB2312" w:cs="仿宋_GB2312"/>
                <w:sz w:val="24"/>
                <w:szCs w:val="24"/>
              </w:rPr>
            </w:pPr>
            <w:r w:rsidRPr="005F5429">
              <w:rPr>
                <w:rFonts w:ascii="仿宋_GB2312" w:hAnsi="仿宋_GB2312" w:cs="仿宋_GB2312" w:hint="eastAsia"/>
                <w:sz w:val="24"/>
                <w:szCs w:val="24"/>
              </w:rPr>
              <w:t>第十一章</w:t>
            </w:r>
          </w:p>
          <w:p w:rsidR="00CD00D2" w:rsidRPr="005F5429" w:rsidRDefault="00CD00D2" w:rsidP="00CD00D2">
            <w:pPr>
              <w:ind w:firstLineChars="100" w:firstLine="240"/>
              <w:rPr>
                <w:rFonts w:ascii="仿宋_GB2312" w:hAnsi="仿宋_GB2312" w:cs="仿宋_GB2312"/>
                <w:sz w:val="24"/>
                <w:szCs w:val="24"/>
              </w:rPr>
            </w:pPr>
            <w:r w:rsidRPr="005F5429">
              <w:rPr>
                <w:rFonts w:ascii="仿宋_GB2312" w:hAnsi="仿宋_GB2312" w:cs="仿宋_GB2312" w:hint="eastAsia"/>
                <w:sz w:val="24"/>
                <w:szCs w:val="24"/>
              </w:rPr>
              <w:t>排水系统概论</w:t>
            </w:r>
          </w:p>
        </w:tc>
        <w:tc>
          <w:tcPr>
            <w:tcW w:w="670" w:type="dxa"/>
            <w:vAlign w:val="center"/>
          </w:tcPr>
          <w:p w:rsidR="00CD00D2" w:rsidRPr="005F5429" w:rsidRDefault="00CD00D2" w:rsidP="00CD00D2">
            <w:pPr>
              <w:ind w:firstLineChars="100" w:firstLine="240"/>
              <w:rPr>
                <w:rFonts w:ascii="仿宋_GB2312" w:hAnsi="仿宋_GB2312" w:cs="仿宋_GB2312"/>
                <w:sz w:val="24"/>
                <w:szCs w:val="24"/>
              </w:rPr>
            </w:pPr>
            <w:r w:rsidRPr="005F5429">
              <w:rPr>
                <w:rFonts w:ascii="仿宋_GB2312" w:hAnsi="仿宋_GB2312" w:cs="仿宋_GB2312" w:hint="eastAsia"/>
                <w:sz w:val="24"/>
                <w:szCs w:val="24"/>
              </w:rPr>
              <w:t>2</w:t>
            </w:r>
          </w:p>
        </w:tc>
        <w:tc>
          <w:tcPr>
            <w:tcW w:w="316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1、概述</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2、排水系统的体制及其选择</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3、排水系统的主要组成部分</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4、排水系统的布置形式</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5、工业企业排水系统与城市排水系统的关系</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6、废水的综合治理和区域排水系统</w:t>
            </w:r>
          </w:p>
        </w:tc>
        <w:tc>
          <w:tcPr>
            <w:tcW w:w="265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了解排水管道发展史、认识给排水专业在社会发展与国民经济中的重要性；掌握排水系统体制、主要组成及基本布置形式；了解并掌握工业企业排水系统与城市排水系统的关系</w:t>
            </w:r>
          </w:p>
        </w:tc>
      </w:tr>
      <w:tr w:rsidR="00CD00D2" w:rsidTr="00CD00D2">
        <w:trPr>
          <w:trHeight w:val="519"/>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2</w:t>
            </w:r>
          </w:p>
        </w:tc>
        <w:tc>
          <w:tcPr>
            <w:tcW w:w="2159" w:type="dxa"/>
            <w:vAlign w:val="center"/>
          </w:tcPr>
          <w:p w:rsidR="00CD00D2" w:rsidRPr="005F5429" w:rsidRDefault="00CD00D2" w:rsidP="00CD00D2">
            <w:pPr>
              <w:ind w:firstLineChars="300" w:firstLine="720"/>
              <w:rPr>
                <w:rFonts w:ascii="仿宋_GB2312" w:hAnsi="仿宋_GB2312" w:cs="仿宋_GB2312"/>
                <w:sz w:val="24"/>
                <w:szCs w:val="24"/>
              </w:rPr>
            </w:pPr>
            <w:r w:rsidRPr="005F5429">
              <w:rPr>
                <w:rFonts w:ascii="仿宋_GB2312" w:hAnsi="仿宋_GB2312" w:cs="仿宋_GB2312" w:hint="eastAsia"/>
                <w:sz w:val="24"/>
                <w:szCs w:val="24"/>
              </w:rPr>
              <w:t>第十二章</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污水管道系统的设计</w:t>
            </w:r>
          </w:p>
          <w:p w:rsidR="00CD00D2" w:rsidRPr="005F5429" w:rsidRDefault="00CD00D2" w:rsidP="00CD00D2">
            <w:pPr>
              <w:rPr>
                <w:rFonts w:ascii="仿宋_GB2312" w:hAnsi="仿宋_GB2312" w:cs="仿宋_GB2312"/>
                <w:sz w:val="24"/>
                <w:szCs w:val="24"/>
              </w:rPr>
            </w:pPr>
          </w:p>
        </w:tc>
        <w:tc>
          <w:tcPr>
            <w:tcW w:w="670" w:type="dxa"/>
            <w:vAlign w:val="center"/>
          </w:tcPr>
          <w:p w:rsidR="00CD00D2" w:rsidRPr="005F5429" w:rsidRDefault="00CD00D2" w:rsidP="00CD00D2">
            <w:pPr>
              <w:ind w:firstLineChars="100" w:firstLine="240"/>
              <w:rPr>
                <w:rFonts w:ascii="仿宋_GB2312" w:hAnsi="仿宋_GB2312" w:cs="仿宋_GB2312"/>
                <w:sz w:val="24"/>
                <w:szCs w:val="24"/>
              </w:rPr>
            </w:pPr>
            <w:r w:rsidRPr="005F5429">
              <w:rPr>
                <w:rFonts w:ascii="仿宋_GB2312" w:hAnsi="仿宋_GB2312" w:cs="仿宋_GB2312" w:hint="eastAsia"/>
                <w:sz w:val="24"/>
                <w:szCs w:val="24"/>
              </w:rPr>
              <w:t>6</w:t>
            </w:r>
          </w:p>
        </w:tc>
        <w:tc>
          <w:tcPr>
            <w:tcW w:w="3162" w:type="dxa"/>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1、设计资料的调查及设计方案的确定</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2、污水设计流量的确定</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3、污水管道的水力计算</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4、污水管道的设计</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5、污水管道的设计计算举例</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6、污水管道平面图和纵剖面图的绘制</w:t>
            </w:r>
          </w:p>
        </w:tc>
        <w:tc>
          <w:tcPr>
            <w:tcW w:w="265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掌握污水流量组成及求定方法；掌握污水管道系统水力计算原理、划分排水流域、覆土厚度、埋深计算方法；掌握污水管道系统设计计算过程</w:t>
            </w:r>
          </w:p>
        </w:tc>
      </w:tr>
      <w:tr w:rsidR="00CD00D2" w:rsidTr="00CD00D2">
        <w:trPr>
          <w:trHeight w:val="555"/>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3</w:t>
            </w:r>
          </w:p>
        </w:tc>
        <w:tc>
          <w:tcPr>
            <w:tcW w:w="2159" w:type="dxa"/>
            <w:vAlign w:val="center"/>
          </w:tcPr>
          <w:p w:rsidR="00CD00D2" w:rsidRPr="005F5429" w:rsidRDefault="00CD00D2" w:rsidP="00CD00D2">
            <w:pPr>
              <w:ind w:firstLineChars="300" w:firstLine="720"/>
              <w:rPr>
                <w:rFonts w:ascii="仿宋_GB2312" w:hAnsi="仿宋_GB2312" w:cs="仿宋_GB2312"/>
                <w:sz w:val="24"/>
                <w:szCs w:val="24"/>
              </w:rPr>
            </w:pPr>
            <w:r w:rsidRPr="005F5429">
              <w:rPr>
                <w:rFonts w:ascii="仿宋_GB2312" w:hAnsi="仿宋_GB2312" w:cs="仿宋_GB2312" w:hint="eastAsia"/>
                <w:sz w:val="24"/>
                <w:szCs w:val="24"/>
              </w:rPr>
              <w:t>第十三章</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雨水管渠系统的设计</w:t>
            </w:r>
          </w:p>
          <w:p w:rsidR="00CD00D2" w:rsidRPr="005F5429" w:rsidRDefault="00CD00D2" w:rsidP="00CD00D2">
            <w:pPr>
              <w:rPr>
                <w:rFonts w:ascii="仿宋_GB2312" w:hAnsi="仿宋_GB2312" w:cs="仿宋_GB2312"/>
                <w:sz w:val="24"/>
                <w:szCs w:val="24"/>
              </w:rPr>
            </w:pPr>
          </w:p>
        </w:tc>
        <w:tc>
          <w:tcPr>
            <w:tcW w:w="670" w:type="dxa"/>
            <w:vAlign w:val="center"/>
          </w:tcPr>
          <w:p w:rsidR="00CD00D2" w:rsidRPr="005F5429" w:rsidRDefault="00CD00D2" w:rsidP="00CD00D2">
            <w:pPr>
              <w:ind w:firstLineChars="100" w:firstLine="240"/>
              <w:rPr>
                <w:rFonts w:ascii="仿宋_GB2312" w:hAnsi="仿宋_GB2312" w:cs="仿宋_GB2312"/>
                <w:sz w:val="24"/>
                <w:szCs w:val="24"/>
              </w:rPr>
            </w:pPr>
            <w:r w:rsidRPr="005F5429">
              <w:rPr>
                <w:rFonts w:ascii="仿宋_GB2312" w:hAnsi="仿宋_GB2312" w:cs="仿宋_GB2312" w:hint="eastAsia"/>
                <w:sz w:val="24"/>
                <w:szCs w:val="24"/>
              </w:rPr>
              <w:t>8</w:t>
            </w:r>
          </w:p>
        </w:tc>
        <w:tc>
          <w:tcPr>
            <w:tcW w:w="3162" w:type="dxa"/>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1、雨量分析和暴雨强度公式</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2、雨水管渠设计流量的确定</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3、雨水管渠系统的设计和计算</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4、雨水综合利用</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5、排洪沟的设计与计算</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lastRenderedPageBreak/>
              <w:t>6、“海绵城市”的设计</w:t>
            </w:r>
          </w:p>
        </w:tc>
        <w:tc>
          <w:tcPr>
            <w:tcW w:w="265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lastRenderedPageBreak/>
              <w:t>掌握暴雨强度公式参数确定；掌握流量法和面积法雨量计算；掌握雨水管道系统设计计算过程；了解并掌握雨量调节，排洪沟设计计算；了</w:t>
            </w:r>
            <w:r w:rsidRPr="005F5429">
              <w:rPr>
                <w:rFonts w:ascii="仿宋_GB2312" w:hAnsi="仿宋_GB2312" w:cs="仿宋_GB2312" w:hint="eastAsia"/>
                <w:sz w:val="24"/>
                <w:szCs w:val="24"/>
              </w:rPr>
              <w:lastRenderedPageBreak/>
              <w:t>解海绵城市建设对于城市雨洪调蓄、改善城市生态环境与可持续发展的重要性</w:t>
            </w:r>
          </w:p>
        </w:tc>
      </w:tr>
      <w:tr w:rsidR="00CD00D2" w:rsidTr="00CD00D2">
        <w:trPr>
          <w:trHeight w:val="1072"/>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lastRenderedPageBreak/>
              <w:t>4</w:t>
            </w:r>
          </w:p>
        </w:tc>
        <w:tc>
          <w:tcPr>
            <w:tcW w:w="2159"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第十四章</w:t>
            </w:r>
          </w:p>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合流制管渠系统的设计</w:t>
            </w:r>
          </w:p>
        </w:tc>
        <w:tc>
          <w:tcPr>
            <w:tcW w:w="670"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4</w:t>
            </w:r>
          </w:p>
        </w:tc>
        <w:tc>
          <w:tcPr>
            <w:tcW w:w="3162" w:type="dxa"/>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1、合流制排水管渠的使用条件和布置特点</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2、合流制排水管渠的设计流量</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3、合流制排水管渠的水力计算要点4、合流制排水管渠的水力计算例题</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5、城市旧合流制排水管渠系统的改造</w:t>
            </w:r>
          </w:p>
        </w:tc>
        <w:tc>
          <w:tcPr>
            <w:tcW w:w="265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掌握合流制管渠系统设计流量的确定、布置特点；掌握合流制管渠系统水力计算过程</w:t>
            </w:r>
          </w:p>
        </w:tc>
      </w:tr>
      <w:tr w:rsidR="00CD00D2" w:rsidTr="00CD00D2">
        <w:trPr>
          <w:trHeight w:val="548"/>
        </w:trPr>
        <w:tc>
          <w:tcPr>
            <w:tcW w:w="512"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5</w:t>
            </w:r>
          </w:p>
        </w:tc>
        <w:tc>
          <w:tcPr>
            <w:tcW w:w="2159" w:type="dxa"/>
            <w:vAlign w:val="center"/>
          </w:tcPr>
          <w:p w:rsidR="00CD00D2" w:rsidRPr="005F5429" w:rsidRDefault="00CD00D2" w:rsidP="00CD00D2">
            <w:pPr>
              <w:ind w:firstLineChars="300" w:firstLine="720"/>
              <w:rPr>
                <w:rFonts w:ascii="仿宋_GB2312" w:hAnsi="仿宋_GB2312" w:cs="仿宋_GB2312"/>
                <w:sz w:val="24"/>
                <w:szCs w:val="24"/>
              </w:rPr>
            </w:pPr>
            <w:r w:rsidRPr="005F5429">
              <w:rPr>
                <w:rFonts w:ascii="仿宋_GB2312" w:hAnsi="仿宋_GB2312" w:cs="仿宋_GB2312" w:hint="eastAsia"/>
                <w:sz w:val="24"/>
                <w:szCs w:val="24"/>
              </w:rPr>
              <w:t>第十五章</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 xml:space="preserve">  排水管渠的材料、接口及基础</w:t>
            </w:r>
          </w:p>
          <w:p w:rsidR="00CD00D2" w:rsidRPr="005F5429" w:rsidRDefault="00CD00D2" w:rsidP="00CD00D2">
            <w:pPr>
              <w:jc w:val="center"/>
              <w:rPr>
                <w:rFonts w:ascii="仿宋_GB2312" w:hAnsi="仿宋_GB2312" w:cs="仿宋_GB2312"/>
                <w:sz w:val="24"/>
                <w:szCs w:val="24"/>
              </w:rPr>
            </w:pPr>
          </w:p>
        </w:tc>
        <w:tc>
          <w:tcPr>
            <w:tcW w:w="670" w:type="dxa"/>
            <w:vAlign w:val="center"/>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2</w:t>
            </w:r>
          </w:p>
        </w:tc>
        <w:tc>
          <w:tcPr>
            <w:tcW w:w="3162" w:type="dxa"/>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1、排水管渠的断面及材料</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2、排水管道的接口</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3、排水管道的基础</w:t>
            </w:r>
          </w:p>
          <w:p w:rsidR="00CD00D2" w:rsidRPr="005F5429" w:rsidRDefault="00CD00D2" w:rsidP="00CD00D2">
            <w:pPr>
              <w:rPr>
                <w:rFonts w:ascii="仿宋_GB2312" w:hAnsi="仿宋_GB2312" w:cs="仿宋_GB2312"/>
                <w:sz w:val="24"/>
                <w:szCs w:val="24"/>
              </w:rPr>
            </w:pPr>
          </w:p>
        </w:tc>
        <w:tc>
          <w:tcPr>
            <w:tcW w:w="2652" w:type="dxa"/>
            <w:vAlign w:val="center"/>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了解国内外排水管材；了解并掌握排水管材及接口形式</w:t>
            </w:r>
          </w:p>
        </w:tc>
      </w:tr>
      <w:tr w:rsidR="00CD00D2" w:rsidTr="00CD00D2">
        <w:trPr>
          <w:trHeight w:val="1618"/>
        </w:trPr>
        <w:tc>
          <w:tcPr>
            <w:tcW w:w="512" w:type="dxa"/>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6</w:t>
            </w:r>
          </w:p>
        </w:tc>
        <w:tc>
          <w:tcPr>
            <w:tcW w:w="2159" w:type="dxa"/>
          </w:tcPr>
          <w:p w:rsidR="00CD00D2" w:rsidRPr="005F5429" w:rsidRDefault="00CD00D2" w:rsidP="00CD00D2">
            <w:pPr>
              <w:ind w:firstLineChars="300" w:firstLine="720"/>
              <w:rPr>
                <w:rFonts w:ascii="仿宋_GB2312" w:hAnsi="仿宋_GB2312" w:cs="仿宋_GB2312"/>
                <w:sz w:val="24"/>
                <w:szCs w:val="24"/>
              </w:rPr>
            </w:pPr>
            <w:r w:rsidRPr="005F5429">
              <w:rPr>
                <w:rFonts w:ascii="仿宋_GB2312" w:hAnsi="仿宋_GB2312" w:cs="仿宋_GB2312" w:hint="eastAsia"/>
                <w:sz w:val="24"/>
                <w:szCs w:val="24"/>
              </w:rPr>
              <w:t xml:space="preserve">第十六章   </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排水管渠系统上的构筑物</w:t>
            </w:r>
          </w:p>
        </w:tc>
        <w:tc>
          <w:tcPr>
            <w:tcW w:w="670" w:type="dxa"/>
          </w:tcPr>
          <w:p w:rsidR="00CD00D2" w:rsidRPr="005F5429" w:rsidRDefault="00CD00D2" w:rsidP="00CD00D2">
            <w:pPr>
              <w:jc w:val="center"/>
              <w:rPr>
                <w:rFonts w:ascii="仿宋_GB2312" w:hAnsi="仿宋_GB2312" w:cs="仿宋_GB2312"/>
                <w:sz w:val="24"/>
                <w:szCs w:val="24"/>
              </w:rPr>
            </w:pPr>
            <w:r w:rsidRPr="005F5429">
              <w:rPr>
                <w:rFonts w:ascii="仿宋_GB2312" w:hAnsi="仿宋_GB2312" w:cs="仿宋_GB2312" w:hint="eastAsia"/>
                <w:sz w:val="24"/>
                <w:szCs w:val="24"/>
              </w:rPr>
              <w:t>2</w:t>
            </w:r>
          </w:p>
        </w:tc>
        <w:tc>
          <w:tcPr>
            <w:tcW w:w="3162" w:type="dxa"/>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1、雨水口、连接暗井、溢流井</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2、检查井、跌水井、水封井、换气井</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3、倒虹管</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4、冲洗井、防潮门</w:t>
            </w:r>
          </w:p>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5、出水口</w:t>
            </w:r>
          </w:p>
        </w:tc>
        <w:tc>
          <w:tcPr>
            <w:tcW w:w="2652" w:type="dxa"/>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了解并掌握排水管渠系统上主要附属构筑物构造、功能</w:t>
            </w:r>
          </w:p>
        </w:tc>
      </w:tr>
    </w:tbl>
    <w:p w:rsidR="00CD00D2" w:rsidRDefault="00CD00D2" w:rsidP="00CD00D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1. 课程考核</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该课程考核方式为考试。期终考试采取闭卷形式，内容涉及课程的基本概念和基本方法，题型包括名词解释、选择题、简答题、计算题等。</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2.成绩评定</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成绩评定方式为百分制</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课程成绩由平时成绩和期终考试两个环节的成绩综合评定产生。各评价环节所占比例如下表所示。</w:t>
      </w:r>
      <w:r>
        <w:rPr>
          <w:rFonts w:ascii="仿宋_GB2312" w:hAnsi="仿宋_GB2312" w:cs="仿宋_GB2312"/>
          <w:sz w:val="28"/>
          <w:szCs w:val="28"/>
        </w:rPr>
        <w:t>课程总成绩=期末成绩</w:t>
      </w:r>
      <w:r>
        <w:rPr>
          <w:rFonts w:ascii="仿宋_GB2312" w:hAnsi="仿宋_GB2312" w:cs="仿宋_GB2312" w:hint="eastAsia"/>
          <w:sz w:val="28"/>
          <w:szCs w:val="28"/>
        </w:rPr>
        <w:t>80%+平时</w:t>
      </w:r>
      <w:r>
        <w:rPr>
          <w:rFonts w:ascii="仿宋_GB2312" w:hAnsi="仿宋_GB2312" w:cs="仿宋_GB2312"/>
          <w:sz w:val="28"/>
          <w:szCs w:val="28"/>
        </w:rPr>
        <w:t>成绩</w:t>
      </w:r>
      <w:r>
        <w:rPr>
          <w:rFonts w:ascii="仿宋_GB2312" w:hAnsi="仿宋_GB2312" w:cs="仿宋_GB2312" w:hint="eastAsia"/>
          <w:sz w:val="28"/>
          <w:szCs w:val="28"/>
        </w:rPr>
        <w:t xml:space="preserve">20%  </w:t>
      </w:r>
    </w:p>
    <w:tbl>
      <w:tblPr>
        <w:tblpPr w:leftFromText="180" w:rightFromText="180" w:vertAnchor="text" w:horzAnchor="page" w:tblpX="2147" w:tblpY="66"/>
        <w:tblOverlap w:val="never"/>
        <w:tblW w:w="5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2"/>
        <w:gridCol w:w="2841"/>
      </w:tblGrid>
      <w:tr w:rsidR="00CD00D2" w:rsidTr="00CD00D2">
        <w:tc>
          <w:tcPr>
            <w:tcW w:w="2732" w:type="dxa"/>
            <w:shd w:val="clear" w:color="auto" w:fill="auto"/>
          </w:tcPr>
          <w:p w:rsidR="00CD00D2" w:rsidRPr="005F5429" w:rsidRDefault="00CD00D2" w:rsidP="00CD00D2">
            <w:pPr>
              <w:rPr>
                <w:rFonts w:ascii="仿宋_GB2312" w:hAnsi="仿宋_GB2312" w:cs="仿宋_GB2312"/>
                <w:b/>
                <w:sz w:val="24"/>
                <w:szCs w:val="24"/>
              </w:rPr>
            </w:pPr>
            <w:r w:rsidRPr="005F5429">
              <w:rPr>
                <w:rFonts w:ascii="仿宋_GB2312" w:hAnsi="仿宋_GB2312" w:cs="仿宋_GB2312" w:hint="eastAsia"/>
                <w:b/>
                <w:sz w:val="24"/>
                <w:szCs w:val="24"/>
              </w:rPr>
              <w:t>成绩评定</w:t>
            </w:r>
          </w:p>
        </w:tc>
        <w:tc>
          <w:tcPr>
            <w:tcW w:w="2841" w:type="dxa"/>
            <w:shd w:val="clear" w:color="auto" w:fill="auto"/>
          </w:tcPr>
          <w:p w:rsidR="00CD00D2" w:rsidRPr="005F5429" w:rsidRDefault="00CD00D2" w:rsidP="00CD00D2">
            <w:pPr>
              <w:rPr>
                <w:rFonts w:ascii="仿宋_GB2312" w:hAnsi="仿宋_GB2312" w:cs="仿宋_GB2312"/>
                <w:b/>
                <w:sz w:val="24"/>
                <w:szCs w:val="24"/>
              </w:rPr>
            </w:pPr>
            <w:r w:rsidRPr="005F5429">
              <w:rPr>
                <w:rFonts w:ascii="仿宋_GB2312" w:hAnsi="仿宋_GB2312" w:cs="仿宋_GB2312" w:hint="eastAsia"/>
                <w:b/>
                <w:sz w:val="24"/>
                <w:szCs w:val="24"/>
              </w:rPr>
              <w:t>评价环节</w:t>
            </w:r>
          </w:p>
        </w:tc>
      </w:tr>
      <w:tr w:rsidR="00CD00D2" w:rsidTr="00CD00D2">
        <w:tc>
          <w:tcPr>
            <w:tcW w:w="2732" w:type="dxa"/>
            <w:vMerge w:val="restart"/>
            <w:shd w:val="clear" w:color="auto" w:fill="auto"/>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lastRenderedPageBreak/>
              <w:t>平时成绩（20%）</w:t>
            </w:r>
          </w:p>
        </w:tc>
        <w:tc>
          <w:tcPr>
            <w:tcW w:w="2841" w:type="dxa"/>
            <w:shd w:val="clear" w:color="auto" w:fill="auto"/>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考勤（10%）</w:t>
            </w:r>
          </w:p>
        </w:tc>
      </w:tr>
      <w:tr w:rsidR="00CD00D2" w:rsidTr="00CD00D2">
        <w:tc>
          <w:tcPr>
            <w:tcW w:w="2732" w:type="dxa"/>
            <w:vMerge/>
            <w:shd w:val="clear" w:color="auto" w:fill="auto"/>
          </w:tcPr>
          <w:p w:rsidR="00CD00D2" w:rsidRPr="005F5429" w:rsidRDefault="00CD00D2" w:rsidP="00CD00D2">
            <w:pPr>
              <w:rPr>
                <w:rFonts w:ascii="仿宋_GB2312" w:hAnsi="仿宋_GB2312" w:cs="仿宋_GB2312"/>
                <w:sz w:val="24"/>
                <w:szCs w:val="24"/>
              </w:rPr>
            </w:pPr>
          </w:p>
        </w:tc>
        <w:tc>
          <w:tcPr>
            <w:tcW w:w="2841" w:type="dxa"/>
            <w:shd w:val="clear" w:color="auto" w:fill="auto"/>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作业（10%）</w:t>
            </w:r>
          </w:p>
        </w:tc>
      </w:tr>
      <w:tr w:rsidR="00CD00D2" w:rsidTr="00CD00D2">
        <w:tc>
          <w:tcPr>
            <w:tcW w:w="2732" w:type="dxa"/>
            <w:shd w:val="clear" w:color="auto" w:fill="auto"/>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期末成绩（80%）</w:t>
            </w:r>
          </w:p>
        </w:tc>
        <w:tc>
          <w:tcPr>
            <w:tcW w:w="2841" w:type="dxa"/>
            <w:shd w:val="clear" w:color="auto" w:fill="auto"/>
          </w:tcPr>
          <w:p w:rsidR="00CD00D2" w:rsidRPr="005F5429" w:rsidRDefault="00CD00D2" w:rsidP="00CD00D2">
            <w:pPr>
              <w:rPr>
                <w:rFonts w:ascii="仿宋_GB2312" w:hAnsi="仿宋_GB2312" w:cs="仿宋_GB2312"/>
                <w:sz w:val="24"/>
                <w:szCs w:val="24"/>
              </w:rPr>
            </w:pPr>
            <w:r w:rsidRPr="005F5429">
              <w:rPr>
                <w:rFonts w:ascii="仿宋_GB2312" w:hAnsi="仿宋_GB2312" w:cs="仿宋_GB2312" w:hint="eastAsia"/>
                <w:sz w:val="24"/>
                <w:szCs w:val="24"/>
              </w:rPr>
              <w:t>试卷（80%）</w:t>
            </w:r>
          </w:p>
        </w:tc>
      </w:tr>
    </w:tbl>
    <w:p w:rsidR="00CD00D2" w:rsidRDefault="00CD00D2" w:rsidP="00CD00D2">
      <w:pPr>
        <w:spacing w:line="360" w:lineRule="auto"/>
        <w:rPr>
          <w:rFonts w:ascii="宋体" w:hAnsi="宋体"/>
          <w:b/>
          <w:color w:val="FF0000"/>
          <w:szCs w:val="21"/>
        </w:rPr>
      </w:pPr>
    </w:p>
    <w:p w:rsidR="005F5429" w:rsidRDefault="005F5429" w:rsidP="00CD00D2">
      <w:pPr>
        <w:spacing w:beforeLines="50" w:before="156" w:afterLines="50" w:after="156" w:line="560" w:lineRule="exact"/>
        <w:rPr>
          <w:rFonts w:ascii="黑体" w:eastAsia="黑体" w:hAnsi="黑体"/>
          <w:b/>
          <w:sz w:val="28"/>
          <w:szCs w:val="28"/>
        </w:rPr>
      </w:pPr>
    </w:p>
    <w:p w:rsidR="00CD00D2" w:rsidRDefault="00CD00D2" w:rsidP="00CD00D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1.建议教材</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给水工程上册第五版，严煦世 高乃云主编，中国建筑工业出版社，2020年7月出版。</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排水工程上册第五版，张智主编，中国建筑工业出版社，2015年11月出版。</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2.主要参考资料</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（1）给水管网系统理论与分析，赵洪宾著，中国建筑工业出版社</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（2）排水管网理论与计算，周玉文、赵洪宾主编，中国建筑工业出版社</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sz w:val="28"/>
          <w:szCs w:val="28"/>
        </w:rPr>
        <w:t>3</w:t>
      </w:r>
      <w:r>
        <w:rPr>
          <w:rFonts w:ascii="仿宋_GB2312" w:hAnsi="仿宋_GB2312" w:cs="仿宋_GB2312" w:hint="eastAsia"/>
          <w:sz w:val="28"/>
          <w:szCs w:val="28"/>
        </w:rPr>
        <w:t>）室外给水设计标准 GB 5001</w:t>
      </w:r>
      <w:r>
        <w:rPr>
          <w:rFonts w:ascii="仿宋_GB2312" w:hAnsi="仿宋_GB2312" w:cs="仿宋_GB2312"/>
          <w:sz w:val="28"/>
          <w:szCs w:val="28"/>
        </w:rPr>
        <w:t>3</w:t>
      </w:r>
      <w:r>
        <w:rPr>
          <w:rFonts w:ascii="仿宋_GB2312" w:hAnsi="仿宋_GB2312" w:cs="仿宋_GB2312" w:hint="eastAsia"/>
          <w:sz w:val="28"/>
          <w:szCs w:val="28"/>
        </w:rPr>
        <w:t>-2018，中国计划出版社</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sz w:val="28"/>
          <w:szCs w:val="28"/>
        </w:rPr>
        <w:t>4</w:t>
      </w:r>
      <w:r>
        <w:rPr>
          <w:rFonts w:ascii="仿宋_GB2312" w:hAnsi="仿宋_GB2312" w:cs="仿宋_GB2312" w:hint="eastAsia"/>
          <w:sz w:val="28"/>
          <w:szCs w:val="28"/>
        </w:rPr>
        <w:t>）室外排水设计规范 GB 50014-2006(2018版）中国计划出版社</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sz w:val="28"/>
          <w:szCs w:val="28"/>
        </w:rPr>
        <w:t>5</w:t>
      </w:r>
      <w:r>
        <w:rPr>
          <w:rFonts w:ascii="仿宋_GB2312" w:hAnsi="仿宋_GB2312" w:cs="仿宋_GB2312" w:hint="eastAsia"/>
          <w:sz w:val="28"/>
          <w:szCs w:val="28"/>
        </w:rPr>
        <w:t>）市政排水管道快速设计与实例，冯学安主编，中国建筑工业出版社</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（6）注册公用设备工程设给排水考试习题集《给水排水管网》部分</w:t>
      </w:r>
    </w:p>
    <w:p w:rsidR="00CD00D2" w:rsidRDefault="00CD00D2" w:rsidP="00CD00D2">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sz w:val="28"/>
          <w:szCs w:val="28"/>
        </w:rPr>
        <w:t>1、教学中应注重基本知识、基本理论和基本方法的讲授，做到精讲多练。</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sz w:val="28"/>
          <w:szCs w:val="28"/>
        </w:rPr>
        <w:t>2、抓好课程设计环节，重视学生实践能力的培养。</w:t>
      </w:r>
    </w:p>
    <w:p w:rsidR="00CD00D2" w:rsidRDefault="00CD00D2" w:rsidP="00CD00D2">
      <w:pPr>
        <w:spacing w:line="560" w:lineRule="exact"/>
        <w:ind w:firstLine="329"/>
        <w:rPr>
          <w:rFonts w:ascii="仿宋_GB2312" w:hAnsi="仿宋_GB2312" w:cs="仿宋_GB2312"/>
          <w:sz w:val="28"/>
          <w:szCs w:val="28"/>
        </w:rPr>
      </w:pPr>
      <w:r>
        <w:rPr>
          <w:rFonts w:ascii="仿宋_GB2312" w:hAnsi="仿宋_GB2312" w:cs="仿宋_GB2312"/>
          <w:sz w:val="28"/>
          <w:szCs w:val="28"/>
        </w:rPr>
        <w:lastRenderedPageBreak/>
        <w:t>3、课程设计综合所学理论，培养学生拟定方案，并对方案的特点进行分析和运用，同时进一步提高学生计算和绘图等能力。设计成绩单独评分。</w:t>
      </w:r>
    </w:p>
    <w:p w:rsidR="00CD00D2" w:rsidRPr="009F38D4" w:rsidRDefault="00CD00D2" w:rsidP="00CD00D2">
      <w:pPr>
        <w:spacing w:line="560" w:lineRule="exact"/>
        <w:ind w:firstLine="329"/>
        <w:rPr>
          <w:rFonts w:ascii="宋体" w:hAnsi="宋体"/>
          <w:color w:val="000000"/>
          <w:sz w:val="22"/>
        </w:rPr>
      </w:pPr>
      <w:r>
        <w:rPr>
          <w:rFonts w:ascii="仿宋_GB2312" w:hAnsi="仿宋_GB2312" w:cs="仿宋_GB2312"/>
          <w:sz w:val="28"/>
          <w:szCs w:val="28"/>
        </w:rPr>
        <w:t>4、大纲内章节的顺序和内容的安排仅供参考，教师可根据情况作适当的变动。</w:t>
      </w:r>
    </w:p>
    <w:p w:rsidR="00CD00D2" w:rsidRDefault="00CD00D2" w:rsidP="00CD00D2">
      <w:pPr>
        <w:spacing w:line="560" w:lineRule="exact"/>
        <w:ind w:firstLineChars="1200" w:firstLine="3360"/>
        <w:rPr>
          <w:rFonts w:ascii="仿宋" w:eastAsia="仿宋" w:hAnsi="仿宋"/>
          <w:sz w:val="28"/>
          <w:szCs w:val="28"/>
        </w:rPr>
      </w:pPr>
      <w:r>
        <w:rPr>
          <w:rFonts w:ascii="仿宋" w:eastAsia="仿宋" w:hAnsi="仿宋" w:hint="eastAsia"/>
          <w:sz w:val="28"/>
          <w:szCs w:val="28"/>
        </w:rPr>
        <w:t>大纲撰写人：王彤、杨东娟</w:t>
      </w:r>
    </w:p>
    <w:p w:rsidR="00CD00D2" w:rsidRDefault="00CD00D2" w:rsidP="00CD00D2">
      <w:pPr>
        <w:spacing w:line="560" w:lineRule="exact"/>
        <w:ind w:firstLineChars="1200" w:firstLine="3360"/>
        <w:rPr>
          <w:rFonts w:ascii="仿宋" w:eastAsia="仿宋" w:hAnsi="仿宋"/>
          <w:sz w:val="28"/>
          <w:szCs w:val="28"/>
        </w:rPr>
      </w:pPr>
      <w:r>
        <w:rPr>
          <w:rFonts w:ascii="仿宋" w:eastAsia="仿宋" w:hAnsi="仿宋" w:hint="eastAsia"/>
          <w:sz w:val="28"/>
          <w:szCs w:val="28"/>
        </w:rPr>
        <w:t>课程负责人：王彤、杨东娟</w:t>
      </w:r>
    </w:p>
    <w:p w:rsidR="00CD00D2" w:rsidRDefault="00CD00D2" w:rsidP="00CD00D2">
      <w:pPr>
        <w:spacing w:line="560" w:lineRule="exact"/>
        <w:ind w:firstLineChars="1200" w:firstLine="3360"/>
        <w:rPr>
          <w:rFonts w:ascii="仿宋" w:hAnsi="仿宋"/>
          <w:sz w:val="28"/>
          <w:szCs w:val="28"/>
        </w:rPr>
      </w:pPr>
      <w:r>
        <w:rPr>
          <w:rFonts w:ascii="仿宋" w:eastAsia="仿宋" w:hAnsi="仿宋" w:hint="eastAsia"/>
          <w:sz w:val="28"/>
          <w:szCs w:val="28"/>
        </w:rPr>
        <w:t xml:space="preserve">审核人：杨利伟              </w:t>
      </w:r>
      <w:r>
        <w:rPr>
          <w:rFonts w:ascii="仿宋_GB2312" w:hAnsi="微软雅黑" w:hint="eastAsia"/>
          <w:sz w:val="28"/>
          <w:szCs w:val="28"/>
        </w:rPr>
        <w:t xml:space="preserve">           </w:t>
      </w:r>
    </w:p>
    <w:p w:rsidR="00CD00D2" w:rsidRDefault="00CD00D2" w:rsidP="00CD00D2">
      <w:pPr>
        <w:spacing w:line="560" w:lineRule="exact"/>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 年 </w:t>
      </w:r>
      <w:r>
        <w:rPr>
          <w:rFonts w:ascii="仿宋" w:eastAsia="仿宋" w:hAnsi="仿宋"/>
          <w:sz w:val="28"/>
          <w:szCs w:val="28"/>
        </w:rPr>
        <w:t>4</w:t>
      </w:r>
      <w:r>
        <w:rPr>
          <w:rFonts w:ascii="仿宋" w:eastAsia="仿宋" w:hAnsi="仿宋" w:hint="eastAsia"/>
          <w:sz w:val="28"/>
          <w:szCs w:val="28"/>
        </w:rPr>
        <w:t xml:space="preserve"> 月</w:t>
      </w:r>
    </w:p>
    <w:p w:rsidR="00CD00D2" w:rsidRDefault="00CD00D2" w:rsidP="00CD00D2">
      <w:pPr>
        <w:widowControl/>
        <w:spacing w:line="400" w:lineRule="exact"/>
        <w:rPr>
          <w:rFonts w:ascii="黑体" w:eastAsia="黑体" w:hAnsi="黑体" w:cs="宋体"/>
          <w:bCs/>
          <w:kern w:val="0"/>
          <w:szCs w:val="32"/>
        </w:rPr>
      </w:pPr>
    </w:p>
    <w:p w:rsidR="00CD00D2" w:rsidRDefault="00CD00D2" w:rsidP="00CD00D2">
      <w:pPr>
        <w:spacing w:beforeLines="100" w:before="312" w:afterLines="100" w:after="312"/>
        <w:jc w:val="center"/>
        <w:outlineLvl w:val="0"/>
        <w:rPr>
          <w:rFonts w:ascii="Times New Roman" w:eastAsia="方正小标宋简体" w:hAnsi="Times New Roman"/>
          <w:spacing w:val="-4"/>
          <w:sz w:val="36"/>
          <w:szCs w:val="36"/>
        </w:rPr>
      </w:pPr>
    </w:p>
    <w:p w:rsidR="00CD00D2" w:rsidRDefault="00CD00D2" w:rsidP="00CD00D2">
      <w:pPr>
        <w:spacing w:beforeLines="100" w:before="312" w:afterLines="100" w:after="312"/>
        <w:jc w:val="center"/>
        <w:outlineLvl w:val="0"/>
        <w:rPr>
          <w:rFonts w:ascii="Times New Roman" w:hAnsi="Times New Roman"/>
          <w:szCs w:val="21"/>
        </w:rPr>
      </w:pPr>
      <w:r>
        <w:rPr>
          <w:rFonts w:ascii="Times New Roman" w:eastAsia="方正小标宋简体" w:hAnsi="Times New Roman"/>
          <w:spacing w:val="-4"/>
          <w:sz w:val="36"/>
          <w:szCs w:val="36"/>
        </w:rPr>
        <w:t xml:space="preserve"> </w:t>
      </w:r>
    </w:p>
    <w:p w:rsidR="00CD00D2" w:rsidRDefault="00CD00D2" w:rsidP="00CD00D2">
      <w:pPr>
        <w:widowControl/>
        <w:spacing w:line="400" w:lineRule="exact"/>
        <w:rPr>
          <w:rFonts w:ascii="黑体" w:eastAsia="黑体" w:hAnsi="黑体" w:cs="宋体"/>
          <w:bCs/>
          <w:color w:val="000000"/>
          <w:kern w:val="0"/>
          <w:szCs w:val="32"/>
        </w:rPr>
      </w:pPr>
    </w:p>
    <w:p w:rsidR="00CD00D2" w:rsidRDefault="00CD00D2" w:rsidP="00CA5AE3">
      <w:pPr>
        <w:jc w:val="left"/>
        <w:rPr>
          <w:rFonts w:ascii="仿宋" w:eastAsia="仿宋" w:hAnsi="仿宋"/>
          <w:sz w:val="28"/>
          <w:szCs w:val="28"/>
        </w:rPr>
      </w:pPr>
    </w:p>
    <w:p w:rsidR="00CD00D2" w:rsidRDefault="00CD00D2" w:rsidP="00CA5AE3">
      <w:pPr>
        <w:jc w:val="left"/>
        <w:rPr>
          <w:rFonts w:ascii="仿宋" w:eastAsia="仿宋" w:hAnsi="仿宋"/>
          <w:sz w:val="28"/>
          <w:szCs w:val="28"/>
        </w:rPr>
      </w:pPr>
    </w:p>
    <w:p w:rsidR="00CD00D2" w:rsidRDefault="00CD00D2"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hint="eastAsia"/>
          <w:sz w:val="28"/>
          <w:szCs w:val="28"/>
        </w:rPr>
      </w:pPr>
    </w:p>
    <w:p w:rsidR="00E07285" w:rsidRDefault="00E07285" w:rsidP="00E07285">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《水资源利用与保护》课程教学大纲</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Utilization and protection of water resources</w:t>
      </w:r>
    </w:p>
    <w:p w:rsidR="00E07285" w:rsidRDefault="00E07285" w:rsidP="00E07285">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Z2806140</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E07285" w:rsidRDefault="00E07285" w:rsidP="00E07285">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课程类别：学科基础</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宋体" w:eastAsia="宋体" w:hAnsi="宋体" w:cs="仿宋_GB2312" w:hint="eastAsia"/>
          <w:bCs/>
          <w:sz w:val="28"/>
          <w:szCs w:val="28"/>
        </w:rPr>
        <w:t xml:space="preserve"> </w:t>
      </w:r>
      <w:r>
        <w:rPr>
          <w:rFonts w:ascii="仿宋_GB2312" w:hAnsi="仿宋_GB2312" w:cs="仿宋_GB2312" w:hint="eastAsia"/>
          <w:bCs/>
          <w:sz w:val="28"/>
          <w:szCs w:val="28"/>
        </w:rPr>
        <w:t>1.5</w:t>
      </w:r>
    </w:p>
    <w:p w:rsidR="00E07285" w:rsidRDefault="00E07285" w:rsidP="00E07285">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时：24学时</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w:t>
      </w:r>
      <w:r>
        <w:rPr>
          <w:rFonts w:ascii="仿宋_GB2312" w:hAnsi="仿宋_GB2312" w:cs="仿宋_GB2312"/>
          <w:bCs/>
          <w:sz w:val="28"/>
          <w:szCs w:val="28"/>
        </w:rPr>
        <w:t>给水排水科学与工程</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Pr>
          <w:rFonts w:ascii="仿宋_GB2312" w:hAnsi="仿宋_GB2312" w:cs="仿宋_GB2312"/>
          <w:bCs/>
          <w:sz w:val="28"/>
          <w:szCs w:val="28"/>
        </w:rPr>
        <w:t>水力学，水文及水文地质学，泵</w:t>
      </w:r>
      <w:r>
        <w:rPr>
          <w:rFonts w:ascii="仿宋_GB2312" w:hAnsi="仿宋_GB2312" w:cs="仿宋_GB2312" w:hint="eastAsia"/>
          <w:bCs/>
          <w:sz w:val="28"/>
          <w:szCs w:val="28"/>
        </w:rPr>
        <w:t>与</w:t>
      </w:r>
      <w:r>
        <w:rPr>
          <w:rFonts w:ascii="仿宋_GB2312" w:hAnsi="仿宋_GB2312" w:cs="仿宋_GB2312"/>
          <w:bCs/>
          <w:sz w:val="28"/>
          <w:szCs w:val="28"/>
        </w:rPr>
        <w:t>泵站</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开课院系：建工学院给排水科学与工程系</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E07285" w:rsidRDefault="00E07285" w:rsidP="00E07285">
      <w:pPr>
        <w:spacing w:line="560" w:lineRule="exact"/>
        <w:ind w:left="420"/>
        <w:jc w:val="left"/>
        <w:rPr>
          <w:rFonts w:ascii="仿宋_GB2312" w:hAnsi="仿宋_GB2312" w:cs="仿宋_GB2312"/>
          <w:bCs/>
          <w:sz w:val="28"/>
          <w:szCs w:val="28"/>
        </w:rPr>
      </w:pPr>
      <w:r>
        <w:rPr>
          <w:rFonts w:ascii="仿宋_GB2312" w:hAnsi="仿宋_GB2312" w:cs="仿宋_GB2312" w:hint="eastAsia"/>
          <w:bCs/>
          <w:sz w:val="28"/>
          <w:szCs w:val="28"/>
        </w:rPr>
        <w:t xml:space="preserve">   </w:t>
      </w:r>
      <w:r>
        <w:rPr>
          <w:rFonts w:ascii="仿宋_GB2312" w:hAnsi="仿宋_GB2312" w:cs="仿宋_GB2312"/>
          <w:bCs/>
          <w:sz w:val="28"/>
          <w:szCs w:val="28"/>
        </w:rPr>
        <w:t>水资源利用与保护课程是给排水排水科学与工程专业的一门必修专业基础课，</w:t>
      </w:r>
      <w:r>
        <w:rPr>
          <w:rFonts w:ascii="仿宋_GB2312" w:hAnsi="仿宋_GB2312" w:cs="仿宋_GB2312" w:hint="eastAsia"/>
          <w:bCs/>
          <w:sz w:val="28"/>
          <w:szCs w:val="28"/>
        </w:rPr>
        <w:t>是</w:t>
      </w:r>
      <w:r>
        <w:rPr>
          <w:rFonts w:ascii="仿宋_GB2312" w:hAnsi="仿宋_GB2312" w:cs="仿宋_GB2312"/>
          <w:bCs/>
          <w:sz w:val="28"/>
          <w:szCs w:val="28"/>
        </w:rPr>
        <w:t>与取水工程联系紧密的实践性较强的一门课程</w:t>
      </w:r>
      <w:r>
        <w:rPr>
          <w:rFonts w:ascii="仿宋_GB2312" w:hAnsi="仿宋_GB2312" w:cs="仿宋_GB2312" w:hint="eastAsia"/>
          <w:bCs/>
          <w:sz w:val="28"/>
          <w:szCs w:val="28"/>
        </w:rPr>
        <w:t>。通过线下授课，使学生掌握</w:t>
      </w:r>
      <w:r>
        <w:rPr>
          <w:rFonts w:ascii="仿宋_GB2312" w:hAnsi="仿宋_GB2312" w:cs="仿宋_GB2312"/>
          <w:bCs/>
          <w:sz w:val="28"/>
          <w:szCs w:val="28"/>
        </w:rPr>
        <w:t>水资源特性</w:t>
      </w:r>
      <w:r>
        <w:rPr>
          <w:rFonts w:ascii="仿宋_GB2312" w:hAnsi="仿宋_GB2312" w:cs="仿宋_GB2312" w:hint="eastAsia"/>
          <w:bCs/>
          <w:sz w:val="28"/>
          <w:szCs w:val="28"/>
        </w:rPr>
        <w:t>、</w:t>
      </w:r>
      <w:r>
        <w:rPr>
          <w:rFonts w:ascii="仿宋_GB2312" w:hAnsi="仿宋_GB2312" w:cs="仿宋_GB2312"/>
          <w:bCs/>
          <w:sz w:val="28"/>
          <w:szCs w:val="28"/>
        </w:rPr>
        <w:t>水资源</w:t>
      </w:r>
      <w:r>
        <w:rPr>
          <w:rFonts w:ascii="仿宋_GB2312" w:hAnsi="仿宋_GB2312" w:cs="仿宋_GB2312" w:hint="eastAsia"/>
          <w:bCs/>
          <w:sz w:val="28"/>
          <w:szCs w:val="28"/>
        </w:rPr>
        <w:t>分析及</w:t>
      </w:r>
      <w:r>
        <w:rPr>
          <w:rFonts w:ascii="仿宋_GB2312" w:hAnsi="仿宋_GB2312" w:cs="仿宋_GB2312"/>
          <w:bCs/>
          <w:sz w:val="28"/>
          <w:szCs w:val="28"/>
        </w:rPr>
        <w:t>评价方法</w:t>
      </w:r>
      <w:r>
        <w:rPr>
          <w:rFonts w:ascii="仿宋_GB2312" w:hAnsi="仿宋_GB2312" w:cs="仿宋_GB2312" w:hint="eastAsia"/>
          <w:bCs/>
          <w:sz w:val="28"/>
          <w:szCs w:val="28"/>
        </w:rPr>
        <w:t>、</w:t>
      </w:r>
      <w:r>
        <w:rPr>
          <w:rFonts w:ascii="仿宋_GB2312" w:hAnsi="仿宋_GB2312" w:cs="仿宋_GB2312"/>
          <w:bCs/>
          <w:sz w:val="28"/>
          <w:szCs w:val="28"/>
        </w:rPr>
        <w:t>水源地取水位置的选择和取水构筑物设计</w:t>
      </w:r>
      <w:r>
        <w:rPr>
          <w:rFonts w:ascii="仿宋_GB2312" w:hAnsi="仿宋_GB2312" w:cs="仿宋_GB2312" w:hint="eastAsia"/>
          <w:bCs/>
          <w:sz w:val="28"/>
          <w:szCs w:val="28"/>
        </w:rPr>
        <w:t>，培养学生具有</w:t>
      </w:r>
      <w:r>
        <w:rPr>
          <w:rFonts w:ascii="仿宋_GB2312" w:hAnsi="仿宋_GB2312" w:cs="仿宋_GB2312"/>
          <w:bCs/>
          <w:sz w:val="28"/>
          <w:szCs w:val="28"/>
        </w:rPr>
        <w:t>取水工程设计</w:t>
      </w:r>
      <w:r>
        <w:rPr>
          <w:rFonts w:ascii="仿宋_GB2312" w:hAnsi="仿宋_GB2312" w:cs="仿宋_GB2312" w:hint="eastAsia"/>
          <w:bCs/>
          <w:sz w:val="28"/>
          <w:szCs w:val="28"/>
        </w:rPr>
        <w:t>及</w:t>
      </w:r>
      <w:r>
        <w:rPr>
          <w:rFonts w:ascii="仿宋_GB2312" w:hAnsi="仿宋_GB2312" w:cs="仿宋_GB2312"/>
          <w:bCs/>
          <w:sz w:val="28"/>
          <w:szCs w:val="28"/>
        </w:rPr>
        <w:t>制图能力</w:t>
      </w:r>
      <w:r>
        <w:rPr>
          <w:rFonts w:ascii="仿宋_GB2312" w:hAnsi="仿宋_GB2312" w:cs="仿宋_GB2312" w:hint="eastAsia"/>
          <w:bCs/>
          <w:sz w:val="28"/>
          <w:szCs w:val="28"/>
        </w:rPr>
        <w:t>，为今后从事相关专业工作打下基础。</w:t>
      </w:r>
    </w:p>
    <w:p w:rsidR="00E07285" w:rsidRDefault="00E07285" w:rsidP="00E07285">
      <w:pPr>
        <w:spacing w:line="560" w:lineRule="exact"/>
        <w:ind w:left="420"/>
        <w:jc w:val="left"/>
        <w:rPr>
          <w:rFonts w:ascii="仿宋_GB2312" w:hAnsi="仿宋_GB2312" w:cs="仿宋_GB2312"/>
          <w:bCs/>
          <w:sz w:val="28"/>
          <w:szCs w:val="28"/>
        </w:rPr>
      </w:pPr>
      <w:r>
        <w:rPr>
          <w:rFonts w:ascii="仿宋_GB2312" w:hAnsi="仿宋_GB2312" w:cs="仿宋_GB2312" w:hint="eastAsia"/>
          <w:bCs/>
          <w:sz w:val="28"/>
          <w:szCs w:val="28"/>
        </w:rPr>
        <w:t xml:space="preserve">  采用PPT和板书相结合的课堂授课方法，布置课后思考题巩固学生所学知识。通过考勤、讨论和答疑等方式督促检查学生学习情况。课余时间参观西安海绵城市示范基地，加深对理论知识的</w:t>
      </w:r>
      <w:r>
        <w:rPr>
          <w:rFonts w:ascii="仿宋_GB2312" w:hAnsi="仿宋_GB2312" w:cs="仿宋_GB2312" w:hint="eastAsia"/>
          <w:bCs/>
          <w:sz w:val="28"/>
          <w:szCs w:val="28"/>
        </w:rPr>
        <w:lastRenderedPageBreak/>
        <w:t>理解，保障达到预期学习成果。</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sz w:val="28"/>
          <w:szCs w:val="28"/>
        </w:rPr>
        <w:t xml:space="preserve">1. </w:t>
      </w:r>
      <w:r>
        <w:rPr>
          <w:rFonts w:ascii="仿宋_GB2312" w:hAnsi="仿宋_GB2312" w:cs="仿宋_GB2312" w:hint="eastAsia"/>
          <w:bCs/>
          <w:sz w:val="28"/>
          <w:szCs w:val="28"/>
        </w:rPr>
        <w:t>课程任务</w:t>
      </w:r>
    </w:p>
    <w:p w:rsidR="00E07285" w:rsidRDefault="00E07285" w:rsidP="00E07285">
      <w:pPr>
        <w:spacing w:line="560" w:lineRule="exact"/>
        <w:ind w:left="902" w:hanging="482"/>
        <w:rPr>
          <w:rFonts w:ascii="仿宋_GB2312" w:hAnsi="仿宋_GB2312" w:cs="仿宋_GB2312"/>
          <w:bCs/>
          <w:sz w:val="28"/>
          <w:szCs w:val="28"/>
        </w:rPr>
      </w:pPr>
      <w:r>
        <w:rPr>
          <w:rFonts w:ascii="仿宋_GB2312" w:hAnsi="仿宋_GB2312" w:cs="仿宋_GB2312" w:hint="eastAsia"/>
          <w:bCs/>
          <w:sz w:val="28"/>
          <w:szCs w:val="28"/>
        </w:rPr>
        <w:t>（1）了解水资源特性、我国水</w:t>
      </w:r>
      <w:r>
        <w:rPr>
          <w:rFonts w:ascii="仿宋_GB2312" w:hAnsi="仿宋_GB2312" w:cs="仿宋_GB2312"/>
          <w:bCs/>
          <w:sz w:val="28"/>
          <w:szCs w:val="28"/>
        </w:rPr>
        <w:t>资源</w:t>
      </w:r>
      <w:r>
        <w:rPr>
          <w:rFonts w:ascii="仿宋_GB2312" w:hAnsi="仿宋_GB2312" w:cs="仿宋_GB2312" w:hint="eastAsia"/>
          <w:bCs/>
          <w:sz w:val="28"/>
          <w:szCs w:val="28"/>
        </w:rPr>
        <w:t>开发利用状况及面临的问题；</w:t>
      </w:r>
    </w:p>
    <w:p w:rsidR="00E07285" w:rsidRDefault="00E07285" w:rsidP="00E07285">
      <w:pPr>
        <w:spacing w:line="560" w:lineRule="exact"/>
        <w:ind w:left="902" w:hanging="482"/>
        <w:rPr>
          <w:rFonts w:ascii="仿宋_GB2312" w:hAnsi="仿宋_GB2312" w:cs="仿宋_GB2312"/>
          <w:bCs/>
          <w:sz w:val="28"/>
          <w:szCs w:val="28"/>
        </w:rPr>
      </w:pPr>
      <w:r>
        <w:rPr>
          <w:rFonts w:ascii="仿宋_GB2312" w:hAnsi="仿宋_GB2312" w:cs="仿宋_GB2312" w:hint="eastAsia"/>
          <w:bCs/>
          <w:sz w:val="28"/>
          <w:szCs w:val="28"/>
        </w:rPr>
        <w:t>（2）掌握水资源量评价、供水水源水质评价、水资源供需平衡分析；</w:t>
      </w:r>
    </w:p>
    <w:p w:rsidR="00E07285" w:rsidRDefault="00E07285" w:rsidP="00E07285">
      <w:pPr>
        <w:spacing w:line="560" w:lineRule="exact"/>
        <w:ind w:left="902" w:hanging="482"/>
        <w:rPr>
          <w:rFonts w:ascii="仿宋_GB2312" w:hAnsi="仿宋_GB2312" w:cs="仿宋_GB2312"/>
          <w:bCs/>
          <w:sz w:val="28"/>
          <w:szCs w:val="28"/>
        </w:rPr>
      </w:pPr>
      <w:r>
        <w:rPr>
          <w:rFonts w:ascii="仿宋_GB2312" w:hAnsi="仿宋_GB2312" w:cs="仿宋_GB2312" w:hint="eastAsia"/>
          <w:bCs/>
          <w:sz w:val="28"/>
          <w:szCs w:val="28"/>
        </w:rPr>
        <w:t>（3）掌握地表水、地下水取水构筑物的类型及其设计要求和计算、与水资源保护有关的法律、法规及其水资源保护措施。</w:t>
      </w:r>
    </w:p>
    <w:p w:rsidR="00E07285" w:rsidRDefault="00E07285"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E07285" w:rsidRDefault="00E07285" w:rsidP="00E07285">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知识目标：认识水资源自然属性特性，了解我国水</w:t>
      </w:r>
      <w:r>
        <w:rPr>
          <w:rFonts w:ascii="仿宋_GB2312" w:hAnsi="仿宋_GB2312" w:cs="仿宋_GB2312"/>
          <w:bCs/>
          <w:sz w:val="28"/>
          <w:szCs w:val="28"/>
        </w:rPr>
        <w:t>资源</w:t>
      </w:r>
      <w:r>
        <w:rPr>
          <w:rFonts w:ascii="仿宋_GB2312" w:hAnsi="仿宋_GB2312" w:cs="仿宋_GB2312" w:hint="eastAsia"/>
          <w:bCs/>
          <w:sz w:val="28"/>
          <w:szCs w:val="28"/>
        </w:rPr>
        <w:t>开发利用现状况及面临的问题；掌握供水水资源（量和水质）评价原理及方法,水资源供需平衡分析方法；掌握水资源开发利用过程中容易出现的环境问题以及保护管理措施。</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能力目标：熟悉资源开发利用相关的法律、法规，建立水资源可持续发展，人与自然和谐发展的科学思维；能够从供水水量和水质两方面进行水资源评价、水资源供需平衡分析；根据给定的水源条件进行水源地选择，取水（地表水、地下水）工程取水构筑物的初步设计，以及构筑物的合理布置及其制图的能力。</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情感态度与价值观目标：培养尊重自然水循环规律，保护我国有限的水资源和脆弱环境的意识，建立水资源可持续、生态文明的科学思维和职业素养，承担保护水资源及其环境的责任与担当。</w:t>
      </w:r>
    </w:p>
    <w:p w:rsidR="00E07285" w:rsidRDefault="00E07285" w:rsidP="00E07285">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8"/>
        <w:gridCol w:w="474"/>
        <w:gridCol w:w="519"/>
        <w:gridCol w:w="519"/>
        <w:gridCol w:w="519"/>
        <w:gridCol w:w="519"/>
        <w:gridCol w:w="519"/>
        <w:gridCol w:w="519"/>
        <w:gridCol w:w="520"/>
        <w:gridCol w:w="520"/>
        <w:gridCol w:w="520"/>
        <w:gridCol w:w="520"/>
        <w:gridCol w:w="520"/>
      </w:tblGrid>
      <w:tr w:rsidR="00E07285" w:rsidTr="00E07285">
        <w:trPr>
          <w:trHeight w:hRule="exact" w:val="567"/>
          <w:jc w:val="center"/>
        </w:trPr>
        <w:tc>
          <w:tcPr>
            <w:tcW w:w="2788" w:type="dxa"/>
            <w:vMerge w:val="restart"/>
            <w:vAlign w:val="center"/>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lastRenderedPageBreak/>
              <w:t>毕业要求</w:t>
            </w:r>
          </w:p>
        </w:tc>
        <w:tc>
          <w:tcPr>
            <w:tcW w:w="6188" w:type="dxa"/>
            <w:gridSpan w:val="12"/>
            <w:vAlign w:val="center"/>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毕业要求</w:t>
            </w:r>
          </w:p>
        </w:tc>
      </w:tr>
      <w:tr w:rsidR="00E07285" w:rsidTr="00E07285">
        <w:trPr>
          <w:trHeight w:hRule="exact" w:val="567"/>
          <w:jc w:val="center"/>
        </w:trPr>
        <w:tc>
          <w:tcPr>
            <w:tcW w:w="2788" w:type="dxa"/>
            <w:vMerge/>
          </w:tcPr>
          <w:p w:rsidR="00E07285" w:rsidRDefault="00E07285" w:rsidP="00E07285">
            <w:pPr>
              <w:spacing w:line="560" w:lineRule="exact"/>
              <w:rPr>
                <w:rFonts w:ascii="仿宋_GB2312" w:hAnsi="仿宋_GB2312" w:cs="仿宋_GB2312"/>
                <w:bCs/>
                <w:sz w:val="20"/>
                <w:szCs w:val="20"/>
              </w:rPr>
            </w:pPr>
          </w:p>
        </w:tc>
        <w:tc>
          <w:tcPr>
            <w:tcW w:w="474"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2</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3</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4</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5</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6</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7</w:t>
            </w:r>
          </w:p>
        </w:tc>
        <w:tc>
          <w:tcPr>
            <w:tcW w:w="520"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8</w:t>
            </w:r>
          </w:p>
        </w:tc>
        <w:tc>
          <w:tcPr>
            <w:tcW w:w="520"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9</w:t>
            </w:r>
          </w:p>
        </w:tc>
        <w:tc>
          <w:tcPr>
            <w:tcW w:w="520"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10</w:t>
            </w:r>
          </w:p>
        </w:tc>
        <w:tc>
          <w:tcPr>
            <w:tcW w:w="520"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11</w:t>
            </w:r>
          </w:p>
        </w:tc>
        <w:tc>
          <w:tcPr>
            <w:tcW w:w="520"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12</w:t>
            </w:r>
          </w:p>
        </w:tc>
      </w:tr>
      <w:tr w:rsidR="00E07285" w:rsidTr="00E07285">
        <w:trPr>
          <w:trHeight w:hRule="exact" w:val="567"/>
          <w:jc w:val="center"/>
        </w:trPr>
        <w:tc>
          <w:tcPr>
            <w:tcW w:w="2788"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知识目标</w:t>
            </w:r>
          </w:p>
        </w:tc>
        <w:tc>
          <w:tcPr>
            <w:tcW w:w="474"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r>
      <w:tr w:rsidR="00E07285" w:rsidTr="00E07285">
        <w:trPr>
          <w:trHeight w:hRule="exact" w:val="567"/>
          <w:jc w:val="center"/>
        </w:trPr>
        <w:tc>
          <w:tcPr>
            <w:tcW w:w="2788" w:type="dxa"/>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能力目标</w:t>
            </w:r>
          </w:p>
        </w:tc>
        <w:tc>
          <w:tcPr>
            <w:tcW w:w="474"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L</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M</w:t>
            </w: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r>
      <w:tr w:rsidR="00E07285" w:rsidTr="00E07285">
        <w:trPr>
          <w:trHeight w:hRule="exact" w:val="567"/>
          <w:jc w:val="center"/>
        </w:trPr>
        <w:tc>
          <w:tcPr>
            <w:tcW w:w="2788" w:type="dxa"/>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情感态度与价值观目标</w:t>
            </w:r>
          </w:p>
        </w:tc>
        <w:tc>
          <w:tcPr>
            <w:tcW w:w="474" w:type="dxa"/>
            <w:vAlign w:val="center"/>
          </w:tcPr>
          <w:p w:rsidR="00E07285" w:rsidRDefault="00E07285" w:rsidP="00E07285">
            <w:pPr>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L</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M</w:t>
            </w: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r>
    </w:tbl>
    <w:p w:rsidR="00E07285" w:rsidRDefault="00E07285" w:rsidP="00E07285">
      <w:pPr>
        <w:spacing w:line="360" w:lineRule="auto"/>
        <w:ind w:firstLine="331"/>
        <w:rPr>
          <w:rFonts w:ascii="仿宋_GB2312" w:hAnsi="仿宋_GB2312" w:cs="仿宋_GB2312"/>
          <w:b/>
          <w:sz w:val="28"/>
          <w:szCs w:val="28"/>
        </w:rPr>
      </w:pPr>
    </w:p>
    <w:p w:rsidR="00E07285" w:rsidRDefault="00E07285" w:rsidP="00E07285">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E07285" w:rsidRDefault="00E07285" w:rsidP="00E07285">
      <w:pPr>
        <w:spacing w:line="560" w:lineRule="exact"/>
        <w:ind w:left="420"/>
        <w:rPr>
          <w:rFonts w:ascii="仿宋_GB2312" w:hAnsi="仿宋_GB2312" w:cs="仿宋_GB2312"/>
          <w:sz w:val="28"/>
          <w:szCs w:val="28"/>
        </w:rPr>
      </w:pPr>
      <w:r>
        <w:rPr>
          <w:rFonts w:ascii="仿宋_GB2312" w:hAnsi="仿宋_GB2312" w:cs="仿宋_GB2312" w:hint="eastAsia"/>
          <w:sz w:val="28"/>
          <w:szCs w:val="28"/>
        </w:rPr>
        <w:t xml:space="preserve">   课程的重点和难点：供水水资源评价，地表水和地下水的取水构筑物的类型及其设计要求和计算。</w:t>
      </w:r>
    </w:p>
    <w:p w:rsidR="00E07285" w:rsidRDefault="00E07285" w:rsidP="00E07285">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E07285" w:rsidRDefault="00E07285" w:rsidP="00E07285">
      <w:pPr>
        <w:spacing w:line="560" w:lineRule="exact"/>
        <w:ind w:left="420"/>
        <w:rPr>
          <w:rFonts w:ascii="仿宋_GB2312" w:hAnsi="仿宋_GB2312" w:cs="仿宋_GB2312"/>
          <w:sz w:val="28"/>
          <w:szCs w:val="28"/>
        </w:rPr>
      </w:pPr>
      <w:r>
        <w:rPr>
          <w:rFonts w:ascii="仿宋_GB2312" w:hAnsi="仿宋_GB2312" w:cs="仿宋_GB2312" w:hint="eastAsia"/>
          <w:sz w:val="28"/>
          <w:szCs w:val="28"/>
        </w:rPr>
        <w:t xml:space="preserve">  （1）水资源具有自然属性和社会属性，水资源具有水资源的循环性、储量的有限性、利用的多样性等自然属性，以及唯一性和不可替代的社会属性。在了解水资源这些特性的基础上，更要让学生意识到水资源是与自然、社会、人文、经济等方面密切联系的“战略资源”。针对人类活动引起的水资源变化问题，熟悉联合国环境与发展大会上通过的《里约热内卢环境与发展宣告》、《21世纪议程》等环境和水资源的重要文件。从1991年起每年就全球水资源问题召开的“国际水会议”。关注“减少水资源污染”、“加强</w:t>
      </w:r>
      <w:r>
        <w:rPr>
          <w:rFonts w:ascii="宋体" w:eastAsia="宋体" w:hAnsi="宋体" w:cs="仿宋_GB2312" w:hint="eastAsia"/>
          <w:sz w:val="24"/>
          <w:szCs w:val="24"/>
        </w:rPr>
        <w:t>饮</w:t>
      </w:r>
      <w:r>
        <w:rPr>
          <w:rFonts w:ascii="仿宋_GB2312" w:hAnsi="仿宋_GB2312" w:cs="仿宋_GB2312" w:hint="eastAsia"/>
          <w:sz w:val="28"/>
          <w:szCs w:val="28"/>
        </w:rPr>
        <w:t>水安全保障”、“促进跨界水问题合作”等解决和缓解水资源和水环境危机提出的一系列战略措施。</w:t>
      </w:r>
    </w:p>
    <w:p w:rsidR="00E07285" w:rsidRDefault="00E07285" w:rsidP="00E07285">
      <w:pPr>
        <w:spacing w:line="560" w:lineRule="exact"/>
        <w:ind w:left="420"/>
        <w:rPr>
          <w:rFonts w:ascii="仿宋_GB2312" w:hAnsi="仿宋_GB2312" w:cs="仿宋_GB2312"/>
          <w:sz w:val="28"/>
          <w:szCs w:val="28"/>
        </w:rPr>
      </w:pPr>
      <w:r>
        <w:rPr>
          <w:rFonts w:ascii="仿宋_GB2312" w:hAnsi="仿宋_GB2312" w:cs="仿宋_GB2312" w:hint="eastAsia"/>
          <w:sz w:val="28"/>
          <w:szCs w:val="28"/>
        </w:rPr>
        <w:t xml:space="preserve">  （2）通过沣西新城海绵城市示范基地的成果照片和资料展示，就“水资源、生态环境和社会经济和谐发展”进行分组讨论。培养学生尊重自然水循环规律，保护人类有限的水资源和脆弱的水环境，建设生态文明的科学思维和职业素养，并且承担起环境人</w:t>
      </w:r>
      <w:r>
        <w:rPr>
          <w:rFonts w:ascii="仿宋_GB2312" w:hAnsi="仿宋_GB2312" w:cs="仿宋_GB2312" w:hint="eastAsia"/>
          <w:sz w:val="28"/>
          <w:szCs w:val="28"/>
        </w:rPr>
        <w:lastRenderedPageBreak/>
        <w:t>的责任与担当。</w:t>
      </w:r>
    </w:p>
    <w:p w:rsidR="00E07285" w:rsidRDefault="00E07285" w:rsidP="00E07285">
      <w:pPr>
        <w:spacing w:line="560" w:lineRule="exact"/>
        <w:ind w:left="420"/>
        <w:rPr>
          <w:rFonts w:ascii="仿宋_GB2312" w:hAnsi="仿宋_GB2312" w:cs="仿宋_GB2312"/>
          <w:sz w:val="28"/>
          <w:szCs w:val="28"/>
        </w:rPr>
      </w:pPr>
      <w:r>
        <w:rPr>
          <w:rFonts w:ascii="仿宋_GB2312" w:hAnsi="仿宋_GB2312" w:cs="仿宋_GB2312" w:hint="eastAsia"/>
          <w:sz w:val="28"/>
          <w:szCs w:val="28"/>
        </w:rPr>
        <w:t xml:space="preserve">  （3）通过某灌区示范区的水资源供需平衡的实例讲解，培养学生“认识到实践，再认识再实践” 的理论与实践相结合的科学观，增强对“</w:t>
      </w:r>
      <w:r>
        <w:rPr>
          <w:rFonts w:ascii="仿宋_GB2312" w:hAnsi="仿宋_GB2312" w:cs="仿宋_GB2312"/>
          <w:sz w:val="28"/>
          <w:szCs w:val="28"/>
        </w:rPr>
        <w:t>绿水青山就是金山银山</w:t>
      </w:r>
      <w:r>
        <w:rPr>
          <w:rFonts w:ascii="仿宋_GB2312" w:hAnsi="仿宋_GB2312" w:cs="仿宋_GB2312" w:hint="eastAsia"/>
          <w:sz w:val="28"/>
          <w:szCs w:val="28"/>
        </w:rPr>
        <w:t>”、“生态文明建设”</w:t>
      </w:r>
      <w:r>
        <w:rPr>
          <w:rFonts w:ascii="仿宋_GB2312" w:hAnsi="仿宋_GB2312" w:cs="仿宋_GB2312"/>
          <w:sz w:val="28"/>
          <w:szCs w:val="28"/>
        </w:rPr>
        <w:t>理念</w:t>
      </w:r>
      <w:r>
        <w:rPr>
          <w:rFonts w:ascii="仿宋_GB2312" w:hAnsi="仿宋_GB2312" w:cs="仿宋_GB2312" w:hint="eastAsia"/>
          <w:sz w:val="28"/>
          <w:szCs w:val="28"/>
        </w:rPr>
        <w:t>的认识，增强“满足社会、经济、环境、生态需求为前提的水资源可持续发展”的社会发展观的深入认识。</w:t>
      </w:r>
    </w:p>
    <w:p w:rsidR="00E07285" w:rsidRDefault="00E07285" w:rsidP="00E07285">
      <w:pPr>
        <w:spacing w:line="560" w:lineRule="exact"/>
        <w:ind w:left="420"/>
        <w:rPr>
          <w:rFonts w:ascii="仿宋_GB2312" w:hAnsi="仿宋_GB2312" w:cs="仿宋_GB2312"/>
          <w:sz w:val="28"/>
          <w:szCs w:val="28"/>
        </w:rPr>
      </w:pPr>
      <w:r>
        <w:rPr>
          <w:rFonts w:ascii="仿宋_GB2312" w:hAnsi="仿宋_GB2312" w:cs="仿宋_GB2312" w:hint="eastAsia"/>
          <w:sz w:val="28"/>
          <w:szCs w:val="28"/>
        </w:rPr>
        <w:t xml:space="preserve">  （4）在掌握地表水和地下水取水构筑物的类型及构筑物设计要求的基础上，能够综合考虑水源特征与“和谐社会”、“用水安全”、“生态健康”等环境政策，合理选择取水构筑物类型，规范设计。</w:t>
      </w:r>
    </w:p>
    <w:p w:rsidR="00E07285" w:rsidRDefault="00E07285" w:rsidP="00E07285">
      <w:pPr>
        <w:spacing w:line="560" w:lineRule="exact"/>
        <w:ind w:left="420"/>
        <w:rPr>
          <w:rFonts w:ascii="仿宋_GB2312" w:hAnsi="仿宋_GB2312" w:cs="仿宋_GB2312"/>
          <w:sz w:val="28"/>
          <w:szCs w:val="28"/>
        </w:rPr>
      </w:pPr>
      <w:r>
        <w:rPr>
          <w:rFonts w:ascii="仿宋_GB2312" w:hAnsi="仿宋_GB2312" w:cs="仿宋_GB2312" w:hint="eastAsia"/>
          <w:sz w:val="28"/>
          <w:szCs w:val="28"/>
        </w:rPr>
        <w:t xml:space="preserve">  （5）人类大规模的经济和社会活动对环境和生态产生了极为深远的影响，环境与生态的变异又反过来促进了水资源的变化，通过对水资源变化规律与社会发展和经济建设之间的内在关系的认识，不仅仅让学生掌握有效利用水资源、节水、污水再生回用、水体污染控制与修复技术的现代理论与技术，更重要的是培养“尊重自然环境，保护水环境，改善生态环境，提升人类生活环境”意识，具有水资源与社会长期和谐发展的科学思维观和职业观。</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p w:rsidR="00E07285" w:rsidRDefault="00E07285" w:rsidP="00E07285">
      <w:pPr>
        <w:spacing w:beforeLines="50" w:before="156" w:afterLines="50" w:after="156" w:line="560" w:lineRule="exact"/>
        <w:rPr>
          <w:rFonts w:ascii="黑体" w:eastAsia="黑体" w:hAnsi="黑体"/>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843"/>
        <w:gridCol w:w="708"/>
        <w:gridCol w:w="2975"/>
        <w:gridCol w:w="3401"/>
      </w:tblGrid>
      <w:tr w:rsidR="00E07285" w:rsidTr="00E07285">
        <w:tc>
          <w:tcPr>
            <w:tcW w:w="537"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bCs/>
                <w:sz w:val="20"/>
                <w:szCs w:val="20"/>
              </w:rPr>
              <w:t>序号</w:t>
            </w:r>
          </w:p>
        </w:tc>
        <w:tc>
          <w:tcPr>
            <w:tcW w:w="1843"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bCs/>
                <w:sz w:val="20"/>
                <w:szCs w:val="20"/>
              </w:rPr>
              <w:t>章节</w:t>
            </w:r>
          </w:p>
        </w:tc>
        <w:tc>
          <w:tcPr>
            <w:tcW w:w="708"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bCs/>
                <w:sz w:val="20"/>
                <w:szCs w:val="20"/>
              </w:rPr>
              <w:t>参考</w:t>
            </w:r>
          </w:p>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bCs/>
                <w:sz w:val="20"/>
                <w:szCs w:val="20"/>
              </w:rPr>
              <w:t>学时</w:t>
            </w:r>
          </w:p>
        </w:tc>
        <w:tc>
          <w:tcPr>
            <w:tcW w:w="2975"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bCs/>
                <w:sz w:val="20"/>
                <w:szCs w:val="20"/>
              </w:rPr>
              <w:t>教学内容</w:t>
            </w:r>
          </w:p>
        </w:tc>
        <w:tc>
          <w:tcPr>
            <w:tcW w:w="3401"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bCs/>
                <w:sz w:val="20"/>
                <w:szCs w:val="20"/>
              </w:rPr>
              <w:t>基本要求</w:t>
            </w:r>
          </w:p>
        </w:tc>
      </w:tr>
      <w:tr w:rsidR="00E07285" w:rsidTr="00E07285">
        <w:trPr>
          <w:trHeight w:val="1975"/>
        </w:trPr>
        <w:tc>
          <w:tcPr>
            <w:tcW w:w="537" w:type="dxa"/>
            <w:vMerge w:val="restart"/>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w:t>
            </w:r>
          </w:p>
          <w:p w:rsidR="00E07285" w:rsidRDefault="00E07285" w:rsidP="00E07285">
            <w:pPr>
              <w:spacing w:line="560" w:lineRule="exact"/>
              <w:jc w:val="center"/>
              <w:rPr>
                <w:rFonts w:ascii="仿宋_GB2312" w:hAnsi="仿宋_GB2312" w:cs="仿宋_GB2312"/>
                <w:bCs/>
                <w:sz w:val="20"/>
                <w:szCs w:val="20"/>
              </w:rPr>
            </w:pPr>
          </w:p>
          <w:p w:rsidR="00E07285" w:rsidRDefault="00E07285" w:rsidP="00E07285">
            <w:pPr>
              <w:spacing w:line="560" w:lineRule="exact"/>
              <w:jc w:val="center"/>
              <w:rPr>
                <w:rFonts w:ascii="仿宋_GB2312" w:hAnsi="仿宋_GB2312" w:cs="仿宋_GB2312"/>
                <w:bCs/>
                <w:sz w:val="20"/>
                <w:szCs w:val="20"/>
              </w:rPr>
            </w:pPr>
          </w:p>
          <w:p w:rsidR="00E07285" w:rsidRDefault="00E07285" w:rsidP="00E07285">
            <w:pPr>
              <w:spacing w:line="560" w:lineRule="exact"/>
              <w:jc w:val="center"/>
              <w:rPr>
                <w:rFonts w:ascii="仿宋_GB2312" w:hAnsi="仿宋_GB2312" w:cs="仿宋_GB2312"/>
                <w:bCs/>
                <w:sz w:val="20"/>
                <w:szCs w:val="20"/>
              </w:rPr>
            </w:pPr>
          </w:p>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lastRenderedPageBreak/>
              <w:t>2</w:t>
            </w:r>
          </w:p>
        </w:tc>
        <w:tc>
          <w:tcPr>
            <w:tcW w:w="1843"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lastRenderedPageBreak/>
              <w:t>第1章 绪论</w:t>
            </w:r>
          </w:p>
          <w:p w:rsidR="00E07285" w:rsidRDefault="00E07285" w:rsidP="00E07285">
            <w:pPr>
              <w:spacing w:line="560" w:lineRule="exact"/>
              <w:jc w:val="left"/>
              <w:rPr>
                <w:rFonts w:ascii="仿宋_GB2312" w:hAnsi="仿宋_GB2312" w:cs="仿宋_GB2312"/>
                <w:bCs/>
                <w:sz w:val="20"/>
                <w:szCs w:val="20"/>
              </w:rPr>
            </w:pPr>
          </w:p>
        </w:tc>
        <w:tc>
          <w:tcPr>
            <w:tcW w:w="708"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2</w:t>
            </w:r>
          </w:p>
        </w:tc>
        <w:tc>
          <w:tcPr>
            <w:tcW w:w="2975"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1.1水资源的含义</w:t>
            </w:r>
          </w:p>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1.2水资源研究现状</w:t>
            </w:r>
          </w:p>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1.3 水资源利用与保护的任务和内容</w:t>
            </w:r>
          </w:p>
        </w:tc>
        <w:tc>
          <w:tcPr>
            <w:tcW w:w="3401" w:type="dxa"/>
          </w:tcPr>
          <w:p w:rsidR="00E07285" w:rsidRDefault="00E07285" w:rsidP="00E07285">
            <w:pPr>
              <w:spacing w:line="560" w:lineRule="exact"/>
              <w:rPr>
                <w:rFonts w:ascii="仿宋_GB2312" w:hAnsi="仿宋_GB2312" w:cs="仿宋_GB2312"/>
                <w:bCs/>
                <w:sz w:val="20"/>
                <w:szCs w:val="20"/>
              </w:rPr>
            </w:pPr>
            <w:r>
              <w:rPr>
                <w:rFonts w:ascii="仿宋_GB2312" w:hAnsi="仿宋_GB2312" w:cs="仿宋_GB2312"/>
                <w:bCs/>
                <w:sz w:val="20"/>
                <w:szCs w:val="20"/>
              </w:rPr>
              <w:t>了解水资源的含义、掌握水资源自然属性和社会属性</w:t>
            </w:r>
            <w:r>
              <w:rPr>
                <w:rFonts w:ascii="仿宋_GB2312" w:hAnsi="仿宋_GB2312" w:cs="仿宋_GB2312" w:hint="eastAsia"/>
                <w:bCs/>
                <w:sz w:val="20"/>
                <w:szCs w:val="20"/>
              </w:rPr>
              <w:t>。</w:t>
            </w:r>
          </w:p>
        </w:tc>
      </w:tr>
      <w:tr w:rsidR="00E07285" w:rsidTr="00E07285">
        <w:trPr>
          <w:trHeight w:val="1975"/>
        </w:trPr>
        <w:tc>
          <w:tcPr>
            <w:tcW w:w="537" w:type="dxa"/>
            <w:vMerge/>
          </w:tcPr>
          <w:p w:rsidR="00E07285" w:rsidRDefault="00E07285" w:rsidP="00E07285">
            <w:pPr>
              <w:spacing w:line="560" w:lineRule="exact"/>
              <w:jc w:val="center"/>
              <w:rPr>
                <w:rFonts w:ascii="仿宋_GB2312" w:hAnsi="仿宋_GB2312" w:cs="仿宋_GB2312"/>
                <w:bCs/>
                <w:sz w:val="20"/>
                <w:szCs w:val="20"/>
              </w:rPr>
            </w:pPr>
          </w:p>
        </w:tc>
        <w:tc>
          <w:tcPr>
            <w:tcW w:w="1843"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第2章 水循环及水资源开发利用状况</w:t>
            </w:r>
          </w:p>
        </w:tc>
        <w:tc>
          <w:tcPr>
            <w:tcW w:w="708"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2</w:t>
            </w:r>
          </w:p>
        </w:tc>
        <w:tc>
          <w:tcPr>
            <w:tcW w:w="2975"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2.1 全球水资源开发利用状况及存在的问题</w:t>
            </w:r>
          </w:p>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2.2 中国水资源开发利用状况及存在的问题</w:t>
            </w:r>
          </w:p>
        </w:tc>
        <w:tc>
          <w:tcPr>
            <w:tcW w:w="3401" w:type="dxa"/>
          </w:tcPr>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了解</w:t>
            </w:r>
            <w:r>
              <w:rPr>
                <w:rFonts w:ascii="仿宋_GB2312" w:hAnsi="仿宋_GB2312" w:cs="仿宋_GB2312"/>
                <w:bCs/>
                <w:sz w:val="20"/>
                <w:szCs w:val="20"/>
              </w:rPr>
              <w:t>中国水资源开发利用状况、存在的问题及发展趋势。</w:t>
            </w:r>
          </w:p>
        </w:tc>
      </w:tr>
      <w:tr w:rsidR="00E07285" w:rsidTr="00E07285">
        <w:trPr>
          <w:trHeight w:val="1832"/>
        </w:trPr>
        <w:tc>
          <w:tcPr>
            <w:tcW w:w="537"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3</w:t>
            </w:r>
          </w:p>
        </w:tc>
        <w:tc>
          <w:tcPr>
            <w:tcW w:w="1843"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第3章 供水水源质量评价</w:t>
            </w:r>
          </w:p>
        </w:tc>
        <w:tc>
          <w:tcPr>
            <w:tcW w:w="708"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2</w:t>
            </w:r>
          </w:p>
        </w:tc>
        <w:tc>
          <w:tcPr>
            <w:tcW w:w="2975"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3.1生活饮用水与饮用水源水质量质量评价</w:t>
            </w:r>
          </w:p>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3.2 工业用水质量评价</w:t>
            </w:r>
          </w:p>
        </w:tc>
        <w:tc>
          <w:tcPr>
            <w:tcW w:w="3401" w:type="dxa"/>
          </w:tcPr>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1</w:t>
            </w:r>
            <w:r>
              <w:rPr>
                <w:rFonts w:ascii="仿宋_GB2312" w:hAnsi="仿宋_GB2312" w:cs="仿宋_GB2312"/>
                <w:bCs/>
                <w:sz w:val="20"/>
                <w:szCs w:val="20"/>
              </w:rPr>
              <w:t>.掌握供水水质指标体系、掌握生活饮用水、饮用水源水质的质量标准及评价；</w:t>
            </w:r>
          </w:p>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2.</w:t>
            </w:r>
            <w:r>
              <w:rPr>
                <w:rFonts w:ascii="仿宋_GB2312" w:hAnsi="仿宋_GB2312" w:cs="仿宋_GB2312"/>
                <w:bCs/>
                <w:sz w:val="20"/>
                <w:szCs w:val="20"/>
              </w:rPr>
              <w:t>掌握锅炉用水水质评价</w:t>
            </w:r>
            <w:r>
              <w:rPr>
                <w:rFonts w:ascii="仿宋_GB2312" w:hAnsi="仿宋_GB2312" w:cs="仿宋_GB2312" w:hint="eastAsia"/>
                <w:bCs/>
                <w:sz w:val="20"/>
                <w:szCs w:val="20"/>
              </w:rPr>
              <w:t>。</w:t>
            </w:r>
          </w:p>
        </w:tc>
      </w:tr>
      <w:tr w:rsidR="00E07285" w:rsidTr="00E07285">
        <w:trPr>
          <w:trHeight w:val="1832"/>
        </w:trPr>
        <w:tc>
          <w:tcPr>
            <w:tcW w:w="537"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5</w:t>
            </w:r>
          </w:p>
        </w:tc>
        <w:tc>
          <w:tcPr>
            <w:tcW w:w="1843"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第4章 水资源量评价</w:t>
            </w:r>
          </w:p>
        </w:tc>
        <w:tc>
          <w:tcPr>
            <w:tcW w:w="708"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4</w:t>
            </w:r>
          </w:p>
        </w:tc>
        <w:tc>
          <w:tcPr>
            <w:tcW w:w="2975"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4.1地表水资源量评价</w:t>
            </w:r>
          </w:p>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4.2地下水资源量评价</w:t>
            </w:r>
          </w:p>
        </w:tc>
        <w:tc>
          <w:tcPr>
            <w:tcW w:w="3401" w:type="dxa"/>
          </w:tcPr>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1.</w:t>
            </w:r>
            <w:r>
              <w:rPr>
                <w:rFonts w:ascii="仿宋_GB2312" w:hAnsi="仿宋_GB2312" w:cs="仿宋_GB2312"/>
                <w:bCs/>
                <w:sz w:val="20"/>
                <w:szCs w:val="20"/>
              </w:rPr>
              <w:t>掌握地表水资源量评价方法；</w:t>
            </w:r>
          </w:p>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2</w:t>
            </w:r>
            <w:r>
              <w:rPr>
                <w:rFonts w:ascii="仿宋_GB2312" w:hAnsi="仿宋_GB2312" w:cs="仿宋_GB2312"/>
                <w:bCs/>
                <w:sz w:val="20"/>
                <w:szCs w:val="20"/>
              </w:rPr>
              <w:t>.掌握地下水资源量的分类、掌握补给量、储存量、地下水允许开采量的计算方法。</w:t>
            </w:r>
          </w:p>
        </w:tc>
      </w:tr>
      <w:tr w:rsidR="00E07285" w:rsidTr="00E07285">
        <w:trPr>
          <w:trHeight w:val="1266"/>
        </w:trPr>
        <w:tc>
          <w:tcPr>
            <w:tcW w:w="537"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6</w:t>
            </w:r>
          </w:p>
        </w:tc>
        <w:tc>
          <w:tcPr>
            <w:tcW w:w="1843"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第5章 水资源供需平衡分析</w:t>
            </w:r>
          </w:p>
        </w:tc>
        <w:tc>
          <w:tcPr>
            <w:tcW w:w="708"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2</w:t>
            </w:r>
          </w:p>
        </w:tc>
        <w:tc>
          <w:tcPr>
            <w:tcW w:w="2975"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5.1 水资源供需平衡概述</w:t>
            </w:r>
          </w:p>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5.2供需平衡分析方法</w:t>
            </w:r>
          </w:p>
        </w:tc>
        <w:tc>
          <w:tcPr>
            <w:tcW w:w="3401" w:type="dxa"/>
          </w:tcPr>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1.</w:t>
            </w:r>
            <w:r>
              <w:rPr>
                <w:rFonts w:ascii="仿宋_GB2312" w:hAnsi="仿宋_GB2312" w:cs="仿宋_GB2312"/>
                <w:bCs/>
                <w:sz w:val="20"/>
                <w:szCs w:val="20"/>
              </w:rPr>
              <w:t>掌握</w:t>
            </w:r>
            <w:r>
              <w:rPr>
                <w:rFonts w:ascii="仿宋_GB2312" w:hAnsi="仿宋_GB2312" w:cs="仿宋_GB2312" w:hint="eastAsia"/>
                <w:bCs/>
                <w:sz w:val="20"/>
                <w:szCs w:val="20"/>
              </w:rPr>
              <w:t>可供水量的含义及影响因素；</w:t>
            </w:r>
          </w:p>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2.掌握需水量的计算</w:t>
            </w:r>
          </w:p>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3.掌握</w:t>
            </w:r>
            <w:r>
              <w:rPr>
                <w:rFonts w:ascii="仿宋_GB2312" w:hAnsi="仿宋_GB2312" w:cs="仿宋_GB2312"/>
                <w:bCs/>
                <w:sz w:val="20"/>
                <w:szCs w:val="20"/>
              </w:rPr>
              <w:t>水资源供需平衡分析中的典型年法</w:t>
            </w:r>
            <w:r>
              <w:rPr>
                <w:rFonts w:ascii="仿宋_GB2312" w:hAnsi="仿宋_GB2312" w:cs="仿宋_GB2312" w:hint="eastAsia"/>
                <w:bCs/>
                <w:sz w:val="20"/>
                <w:szCs w:val="20"/>
              </w:rPr>
              <w:t>。</w:t>
            </w:r>
          </w:p>
        </w:tc>
      </w:tr>
      <w:tr w:rsidR="00E07285" w:rsidTr="00E07285">
        <w:trPr>
          <w:trHeight w:val="1266"/>
        </w:trPr>
        <w:tc>
          <w:tcPr>
            <w:tcW w:w="537"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10</w:t>
            </w:r>
          </w:p>
        </w:tc>
        <w:tc>
          <w:tcPr>
            <w:tcW w:w="1843"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第6章 取水工程</w:t>
            </w:r>
          </w:p>
        </w:tc>
        <w:tc>
          <w:tcPr>
            <w:tcW w:w="708"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7</w:t>
            </w:r>
          </w:p>
        </w:tc>
        <w:tc>
          <w:tcPr>
            <w:tcW w:w="2975"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6.1地表水资源供水特征与水源地选择</w:t>
            </w:r>
          </w:p>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6.2 地表水取水工程</w:t>
            </w:r>
          </w:p>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6.3地下水水源地选择</w:t>
            </w:r>
          </w:p>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6.4地下水取工程</w:t>
            </w:r>
          </w:p>
        </w:tc>
        <w:tc>
          <w:tcPr>
            <w:tcW w:w="3401" w:type="dxa"/>
          </w:tcPr>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1</w:t>
            </w:r>
            <w:r>
              <w:rPr>
                <w:rFonts w:ascii="仿宋_GB2312" w:hAnsi="仿宋_GB2312" w:cs="仿宋_GB2312"/>
                <w:bCs/>
                <w:sz w:val="20"/>
                <w:szCs w:val="20"/>
              </w:rPr>
              <w:t>.掌握地表水源的供水特征、水源地位置的选择、取水位置选择的影响因素及条件；</w:t>
            </w:r>
          </w:p>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2.</w:t>
            </w:r>
            <w:r>
              <w:rPr>
                <w:rFonts w:ascii="仿宋_GB2312" w:hAnsi="仿宋_GB2312" w:cs="仿宋_GB2312"/>
                <w:bCs/>
                <w:sz w:val="20"/>
                <w:szCs w:val="20"/>
              </w:rPr>
              <w:t>掌握地表水取水构筑物设计的原则；</w:t>
            </w:r>
          </w:p>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3.</w:t>
            </w:r>
            <w:r>
              <w:rPr>
                <w:rFonts w:ascii="仿宋_GB2312" w:hAnsi="仿宋_GB2312" w:cs="仿宋_GB2312"/>
                <w:bCs/>
                <w:sz w:val="20"/>
                <w:szCs w:val="20"/>
              </w:rPr>
              <w:t>掌握固定式、活动式、山区浅水等三大地表水取水构筑物的构造组成、设计、计算及要求、以及应用条件。</w:t>
            </w:r>
          </w:p>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lastRenderedPageBreak/>
              <w:t>4.</w:t>
            </w:r>
            <w:r>
              <w:rPr>
                <w:rFonts w:ascii="仿宋_GB2312" w:hAnsi="仿宋_GB2312" w:cs="仿宋_GB2312"/>
                <w:bCs/>
                <w:sz w:val="20"/>
                <w:szCs w:val="20"/>
              </w:rPr>
              <w:t>掌握管井、大口井、复合井、辐射井、渗渠等地下水取水工程的构造组成、设计、计算及要求。</w:t>
            </w:r>
          </w:p>
        </w:tc>
      </w:tr>
      <w:tr w:rsidR="00E07285" w:rsidTr="00E07285">
        <w:tc>
          <w:tcPr>
            <w:tcW w:w="537"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lastRenderedPageBreak/>
              <w:t>12</w:t>
            </w:r>
          </w:p>
        </w:tc>
        <w:tc>
          <w:tcPr>
            <w:tcW w:w="1843"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bCs/>
                <w:sz w:val="20"/>
                <w:szCs w:val="20"/>
              </w:rPr>
              <w:t>第7章 水资源保护</w:t>
            </w:r>
          </w:p>
        </w:tc>
        <w:tc>
          <w:tcPr>
            <w:tcW w:w="708" w:type="dxa"/>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bCs/>
                <w:sz w:val="20"/>
                <w:szCs w:val="20"/>
              </w:rPr>
              <w:t>4</w:t>
            </w:r>
          </w:p>
        </w:tc>
        <w:tc>
          <w:tcPr>
            <w:tcW w:w="2975" w:type="dxa"/>
          </w:tcPr>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7</w:t>
            </w:r>
            <w:r>
              <w:rPr>
                <w:rFonts w:ascii="仿宋_GB2312" w:hAnsi="仿宋_GB2312" w:cs="仿宋_GB2312"/>
                <w:bCs/>
                <w:sz w:val="20"/>
                <w:szCs w:val="20"/>
              </w:rPr>
              <w:t>.1 水资源保护概述</w:t>
            </w:r>
          </w:p>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7</w:t>
            </w:r>
            <w:r>
              <w:rPr>
                <w:rFonts w:ascii="仿宋_GB2312" w:hAnsi="仿宋_GB2312" w:cs="仿宋_GB2312"/>
                <w:bCs/>
                <w:sz w:val="20"/>
                <w:szCs w:val="20"/>
              </w:rPr>
              <w:t>.2 水体污染的理论体系</w:t>
            </w:r>
          </w:p>
          <w:p w:rsidR="00E07285" w:rsidRDefault="00E07285" w:rsidP="00E07285">
            <w:pPr>
              <w:spacing w:line="560" w:lineRule="exact"/>
              <w:jc w:val="left"/>
              <w:rPr>
                <w:rFonts w:ascii="仿宋_GB2312" w:hAnsi="仿宋_GB2312" w:cs="仿宋_GB2312"/>
                <w:bCs/>
                <w:sz w:val="20"/>
                <w:szCs w:val="20"/>
              </w:rPr>
            </w:pPr>
            <w:r>
              <w:rPr>
                <w:rFonts w:ascii="仿宋_GB2312" w:hAnsi="仿宋_GB2312" w:cs="仿宋_GB2312" w:hint="eastAsia"/>
                <w:bCs/>
                <w:sz w:val="20"/>
                <w:szCs w:val="20"/>
              </w:rPr>
              <w:t>7</w:t>
            </w:r>
            <w:r>
              <w:rPr>
                <w:rFonts w:ascii="仿宋_GB2312" w:hAnsi="仿宋_GB2312" w:cs="仿宋_GB2312"/>
                <w:bCs/>
                <w:sz w:val="20"/>
                <w:szCs w:val="20"/>
              </w:rPr>
              <w:t>.3 水资源保护措施</w:t>
            </w:r>
          </w:p>
        </w:tc>
        <w:tc>
          <w:tcPr>
            <w:tcW w:w="3401" w:type="dxa"/>
          </w:tcPr>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1.</w:t>
            </w:r>
            <w:r>
              <w:rPr>
                <w:rFonts w:ascii="仿宋_GB2312" w:hAnsi="仿宋_GB2312" w:cs="仿宋_GB2312"/>
                <w:bCs/>
                <w:sz w:val="20"/>
                <w:szCs w:val="20"/>
              </w:rPr>
              <w:t>了解水资源保护含义、掌握水体污染的特征、掌握水体污染的来源和途径</w:t>
            </w:r>
            <w:r>
              <w:rPr>
                <w:rFonts w:ascii="仿宋_GB2312" w:hAnsi="仿宋_GB2312" w:cs="仿宋_GB2312" w:hint="eastAsia"/>
                <w:bCs/>
                <w:sz w:val="20"/>
                <w:szCs w:val="20"/>
              </w:rPr>
              <w:t>；</w:t>
            </w:r>
          </w:p>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2.了解</w:t>
            </w:r>
            <w:r>
              <w:rPr>
                <w:rFonts w:ascii="仿宋_GB2312" w:hAnsi="仿宋_GB2312" w:cs="仿宋_GB2312"/>
                <w:bCs/>
                <w:sz w:val="20"/>
                <w:szCs w:val="20"/>
              </w:rPr>
              <w:t>污水排放控制的法律法规体系</w:t>
            </w:r>
            <w:r>
              <w:rPr>
                <w:rFonts w:ascii="仿宋_GB2312" w:hAnsi="仿宋_GB2312" w:cs="仿宋_GB2312" w:hint="eastAsia"/>
                <w:bCs/>
                <w:sz w:val="20"/>
                <w:szCs w:val="20"/>
              </w:rPr>
              <w:t>；</w:t>
            </w:r>
          </w:p>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3.</w:t>
            </w:r>
            <w:r>
              <w:rPr>
                <w:rFonts w:ascii="仿宋_GB2312" w:hAnsi="仿宋_GB2312" w:cs="仿宋_GB2312"/>
                <w:bCs/>
                <w:sz w:val="20"/>
                <w:szCs w:val="20"/>
              </w:rPr>
              <w:t>掌握污水再生的基本处理方法和再利用的基本途径。</w:t>
            </w:r>
          </w:p>
          <w:p w:rsidR="00E07285" w:rsidRDefault="00E07285" w:rsidP="00E07285">
            <w:pPr>
              <w:spacing w:line="560" w:lineRule="exact"/>
              <w:rPr>
                <w:rFonts w:ascii="仿宋_GB2312" w:hAnsi="仿宋_GB2312" w:cs="仿宋_GB2312"/>
                <w:bCs/>
                <w:sz w:val="20"/>
                <w:szCs w:val="20"/>
              </w:rPr>
            </w:pPr>
            <w:r>
              <w:rPr>
                <w:rFonts w:ascii="仿宋_GB2312" w:hAnsi="仿宋_GB2312" w:cs="仿宋_GB2312" w:hint="eastAsia"/>
                <w:bCs/>
                <w:sz w:val="20"/>
                <w:szCs w:val="20"/>
              </w:rPr>
              <w:t>4.了解水资源保护措施。</w:t>
            </w:r>
          </w:p>
        </w:tc>
      </w:tr>
    </w:tbl>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E07285" w:rsidRDefault="00E07285" w:rsidP="00E07285">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E07285" w:rsidRDefault="00E07285" w:rsidP="00E07285">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 xml:space="preserve">  本课程采样期末闭卷考试进行考核。</w:t>
      </w:r>
    </w:p>
    <w:p w:rsidR="00E07285" w:rsidRDefault="00E07285"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E07285" w:rsidRDefault="00E07285" w:rsidP="00E07285">
      <w:pPr>
        <w:spacing w:line="560" w:lineRule="exact"/>
        <w:ind w:left="420"/>
        <w:rPr>
          <w:rFonts w:ascii="宋体" w:eastAsia="宋体" w:hAnsi="宋体" w:cs="宋体"/>
          <w:color w:val="000000"/>
          <w:sz w:val="21"/>
          <w:szCs w:val="21"/>
        </w:rPr>
      </w:pPr>
      <w:r>
        <w:rPr>
          <w:rFonts w:ascii="宋体" w:eastAsia="宋体" w:hAnsi="宋体" w:hint="eastAsia"/>
          <w:sz w:val="24"/>
          <w:szCs w:val="24"/>
        </w:rPr>
        <w:t xml:space="preserve">    </w:t>
      </w:r>
      <w:r>
        <w:rPr>
          <w:rFonts w:ascii="仿宋_GB2312" w:hAnsi="仿宋_GB2312" w:cs="仿宋_GB2312"/>
          <w:sz w:val="28"/>
          <w:szCs w:val="28"/>
        </w:rPr>
        <w:t>采用平时成绩</w:t>
      </w:r>
      <w:r>
        <w:rPr>
          <w:rFonts w:ascii="仿宋_GB2312" w:hAnsi="仿宋_GB2312" w:cs="仿宋_GB2312" w:hint="eastAsia"/>
          <w:sz w:val="28"/>
          <w:szCs w:val="28"/>
        </w:rPr>
        <w:t>和</w:t>
      </w:r>
      <w:r>
        <w:rPr>
          <w:rFonts w:ascii="仿宋_GB2312" w:hAnsi="仿宋_GB2312" w:cs="仿宋_GB2312"/>
          <w:sz w:val="28"/>
          <w:szCs w:val="28"/>
        </w:rPr>
        <w:t>期末考试</w:t>
      </w:r>
      <w:r>
        <w:rPr>
          <w:rFonts w:ascii="仿宋_GB2312" w:hAnsi="仿宋_GB2312" w:cs="仿宋_GB2312" w:hint="eastAsia"/>
          <w:sz w:val="28"/>
          <w:szCs w:val="28"/>
        </w:rPr>
        <w:t>试卷成绩</w:t>
      </w:r>
      <w:r>
        <w:rPr>
          <w:rFonts w:ascii="仿宋_GB2312" w:hAnsi="仿宋_GB2312" w:cs="仿宋_GB2312"/>
          <w:sz w:val="28"/>
          <w:szCs w:val="28"/>
        </w:rPr>
        <w:t>确定</w:t>
      </w:r>
      <w:r>
        <w:rPr>
          <w:rFonts w:ascii="仿宋_GB2312" w:hAnsi="仿宋_GB2312" w:cs="仿宋_GB2312" w:hint="eastAsia"/>
          <w:sz w:val="28"/>
          <w:szCs w:val="28"/>
        </w:rPr>
        <w:t>最终</w:t>
      </w:r>
      <w:r>
        <w:rPr>
          <w:rFonts w:ascii="仿宋_GB2312" w:hAnsi="仿宋_GB2312" w:cs="仿宋_GB2312"/>
          <w:sz w:val="28"/>
          <w:szCs w:val="28"/>
        </w:rPr>
        <w:t>成绩</w:t>
      </w:r>
      <w:r>
        <w:rPr>
          <w:rFonts w:ascii="仿宋_GB2312" w:hAnsi="仿宋_GB2312" w:cs="仿宋_GB2312" w:hint="eastAsia"/>
          <w:sz w:val="28"/>
          <w:szCs w:val="28"/>
        </w:rPr>
        <w:t>。</w:t>
      </w:r>
      <w:r>
        <w:rPr>
          <w:rFonts w:ascii="仿宋_GB2312" w:hAnsi="仿宋_GB2312" w:cs="仿宋_GB2312"/>
          <w:sz w:val="28"/>
          <w:szCs w:val="28"/>
        </w:rPr>
        <w:t>课程总成绩=期末成绩</w:t>
      </w:r>
      <w:r>
        <w:rPr>
          <w:rFonts w:ascii="仿宋_GB2312" w:hAnsi="仿宋_GB2312" w:cs="仿宋_GB2312" w:hint="eastAsia"/>
          <w:sz w:val="28"/>
          <w:szCs w:val="28"/>
        </w:rPr>
        <w:t>80%+平时</w:t>
      </w:r>
      <w:r>
        <w:rPr>
          <w:rFonts w:ascii="仿宋_GB2312" w:hAnsi="仿宋_GB2312" w:cs="仿宋_GB2312"/>
          <w:sz w:val="28"/>
          <w:szCs w:val="28"/>
        </w:rPr>
        <w:t>成绩20</w:t>
      </w:r>
      <w:r>
        <w:rPr>
          <w:rFonts w:ascii="仿宋_GB2312" w:hAnsi="仿宋_GB2312" w:cs="仿宋_GB2312" w:hint="eastAsia"/>
          <w:sz w:val="28"/>
          <w:szCs w:val="28"/>
        </w:rPr>
        <w:t>%</w:t>
      </w:r>
      <w:r>
        <w:rPr>
          <w:rFonts w:ascii="仿宋_GB2312" w:hAnsi="仿宋_GB2312" w:cs="仿宋_GB2312"/>
          <w:sz w:val="28"/>
          <w:szCs w:val="28"/>
        </w:rPr>
        <w:t xml:space="preserve">  </w:t>
      </w:r>
      <w:r>
        <w:rPr>
          <w:rFonts w:ascii="仿宋_GB2312" w:hAnsi="仿宋_GB2312" w:cs="仿宋_GB2312" w:hint="eastAsia"/>
          <w:sz w:val="28"/>
          <w:szCs w:val="28"/>
        </w:rPr>
        <w:t>。</w:t>
      </w:r>
      <w:r>
        <w:rPr>
          <w:rFonts w:ascii="仿宋_GB2312" w:hAnsi="仿宋_GB2312" w:cs="仿宋_GB2312"/>
          <w:sz w:val="28"/>
          <w:szCs w:val="28"/>
        </w:rPr>
        <w:t>平时成绩考核包括作业</w:t>
      </w:r>
      <w:r>
        <w:rPr>
          <w:rFonts w:ascii="仿宋_GB2312" w:hAnsi="仿宋_GB2312" w:cs="仿宋_GB2312" w:hint="eastAsia"/>
          <w:sz w:val="28"/>
          <w:szCs w:val="28"/>
        </w:rPr>
        <w:t>（</w:t>
      </w:r>
      <w:r>
        <w:rPr>
          <w:rFonts w:ascii="仿宋_GB2312" w:hAnsi="仿宋_GB2312" w:cs="仿宋_GB2312"/>
          <w:sz w:val="28"/>
          <w:szCs w:val="28"/>
        </w:rPr>
        <w:t>思考题</w:t>
      </w:r>
      <w:r>
        <w:rPr>
          <w:rFonts w:ascii="仿宋_GB2312" w:hAnsi="仿宋_GB2312" w:cs="仿宋_GB2312" w:hint="eastAsia"/>
          <w:sz w:val="28"/>
          <w:szCs w:val="28"/>
        </w:rPr>
        <w:t>）、讨论和上课</w:t>
      </w:r>
      <w:r>
        <w:rPr>
          <w:rFonts w:ascii="仿宋_GB2312" w:hAnsi="仿宋_GB2312" w:cs="仿宋_GB2312"/>
          <w:sz w:val="28"/>
          <w:szCs w:val="28"/>
        </w:rPr>
        <w:t>出勤等</w:t>
      </w:r>
      <w:r>
        <w:rPr>
          <w:rFonts w:ascii="仿宋_GB2312" w:hAnsi="仿宋_GB2312" w:cs="仿宋_GB2312" w:hint="eastAsia"/>
          <w:sz w:val="28"/>
          <w:szCs w:val="28"/>
        </w:rPr>
        <w:t>。</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E07285" w:rsidRDefault="00E07285" w:rsidP="00E07285">
      <w:pPr>
        <w:spacing w:beforeLines="50" w:before="156" w:afterLines="50" w:after="156" w:line="360" w:lineRule="auto"/>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E07285" w:rsidRDefault="00E07285" w:rsidP="00E07285">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sz w:val="28"/>
          <w:szCs w:val="28"/>
        </w:rPr>
        <w:t>李广贺主编</w:t>
      </w:r>
      <w:r>
        <w:rPr>
          <w:rFonts w:ascii="仿宋_GB2312" w:hAnsi="仿宋_GB2312" w:cs="仿宋_GB2312" w:hint="eastAsia"/>
          <w:sz w:val="28"/>
          <w:szCs w:val="28"/>
        </w:rPr>
        <w:t>.</w:t>
      </w:r>
      <w:r>
        <w:rPr>
          <w:rFonts w:ascii="仿宋_GB2312" w:hAnsi="仿宋_GB2312" w:cs="仿宋_GB2312"/>
          <w:sz w:val="28"/>
          <w:szCs w:val="28"/>
        </w:rPr>
        <w:t>水资源利用与保护（</w:t>
      </w:r>
      <w:r>
        <w:rPr>
          <w:rFonts w:ascii="仿宋_GB2312" w:hAnsi="仿宋_GB2312" w:cs="仿宋_GB2312" w:hint="eastAsia"/>
          <w:sz w:val="28"/>
          <w:szCs w:val="28"/>
        </w:rPr>
        <w:t>第三版）</w:t>
      </w:r>
      <w:r>
        <w:rPr>
          <w:rFonts w:ascii="仿宋_GB2312" w:hAnsi="仿宋_GB2312" w:cs="仿宋_GB2312"/>
          <w:sz w:val="28"/>
          <w:szCs w:val="28"/>
        </w:rPr>
        <w:t>，中国建筑工业出版社，201</w:t>
      </w:r>
      <w:r>
        <w:rPr>
          <w:rFonts w:ascii="仿宋_GB2312" w:hAnsi="仿宋_GB2312" w:cs="仿宋_GB2312" w:hint="eastAsia"/>
          <w:sz w:val="28"/>
          <w:szCs w:val="28"/>
        </w:rPr>
        <w:t>8.</w:t>
      </w:r>
    </w:p>
    <w:p w:rsidR="00E07285" w:rsidRDefault="00E07285" w:rsidP="00E07285">
      <w:pPr>
        <w:spacing w:beforeLines="50" w:before="156" w:afterLines="50" w:after="156" w:line="360" w:lineRule="auto"/>
        <w:ind w:firstLineChars="147" w:firstLine="412"/>
        <w:rPr>
          <w:rFonts w:ascii="仿宋_GB2312" w:hAnsi="仿宋_GB2312" w:cs="仿宋_GB2312"/>
          <w:sz w:val="28"/>
          <w:szCs w:val="28"/>
        </w:rPr>
      </w:pPr>
      <w:r>
        <w:rPr>
          <w:rFonts w:ascii="仿宋_GB2312" w:hAnsi="仿宋_GB2312" w:cs="仿宋_GB2312" w:hint="eastAsia"/>
          <w:sz w:val="28"/>
          <w:szCs w:val="28"/>
        </w:rPr>
        <w:lastRenderedPageBreak/>
        <w:t>2.主要参考资料</w:t>
      </w:r>
    </w:p>
    <w:p w:rsidR="00E07285" w:rsidRDefault="00E07285" w:rsidP="00E07285">
      <w:pPr>
        <w:spacing w:beforeLines="50" w:before="156" w:afterLines="50" w:after="156" w:line="560" w:lineRule="exact"/>
        <w:ind w:firstLineChars="147" w:firstLine="353"/>
        <w:rPr>
          <w:rFonts w:ascii="仿宋_GB2312" w:hAnsi="仿宋_GB2312" w:cs="仿宋_GB2312"/>
          <w:sz w:val="28"/>
          <w:szCs w:val="28"/>
        </w:rPr>
      </w:pPr>
      <w:r>
        <w:rPr>
          <w:rFonts w:ascii="宋体" w:eastAsia="宋体" w:hAnsi="宋体" w:cs="仿宋_GB2312" w:hint="eastAsia"/>
          <w:sz w:val="24"/>
          <w:szCs w:val="24"/>
        </w:rPr>
        <w:t xml:space="preserve">  </w:t>
      </w:r>
      <w:r>
        <w:rPr>
          <w:rFonts w:ascii="仿宋_GB2312" w:hAnsi="仿宋_GB2312" w:cs="仿宋_GB2312" w:hint="eastAsia"/>
          <w:sz w:val="28"/>
          <w:szCs w:val="28"/>
        </w:rPr>
        <w:t>无</w:t>
      </w:r>
    </w:p>
    <w:p w:rsidR="00E07285" w:rsidRDefault="00E07285" w:rsidP="00E07285">
      <w:pPr>
        <w:spacing w:beforeLines="50" w:before="156" w:afterLines="50" w:after="156" w:line="460" w:lineRule="exact"/>
        <w:rPr>
          <w:rFonts w:ascii="黑体" w:eastAsia="黑体" w:hAnsi="黑体"/>
          <w:b/>
          <w:sz w:val="28"/>
          <w:szCs w:val="28"/>
        </w:rPr>
      </w:pPr>
      <w:r>
        <w:rPr>
          <w:rFonts w:ascii="黑体" w:eastAsia="黑体" w:hAnsi="黑体" w:hint="eastAsia"/>
          <w:b/>
          <w:sz w:val="28"/>
          <w:szCs w:val="28"/>
        </w:rPr>
        <w:t xml:space="preserve"> 七、其他</w:t>
      </w:r>
    </w:p>
    <w:p w:rsidR="00E07285" w:rsidRDefault="00E07285" w:rsidP="00E07285">
      <w:pPr>
        <w:spacing w:beforeLines="50" w:before="156" w:afterLines="50" w:after="156" w:line="560" w:lineRule="exact"/>
        <w:rPr>
          <w:rFonts w:ascii="黑体" w:eastAsia="黑体" w:hAnsi="黑体"/>
          <w:b/>
          <w:sz w:val="28"/>
          <w:szCs w:val="28"/>
        </w:rPr>
      </w:pPr>
      <w:r>
        <w:rPr>
          <w:rFonts w:ascii="仿宋_GB2312" w:hAnsi="仿宋_GB2312" w:cs="仿宋_GB2312" w:hint="eastAsia"/>
          <w:sz w:val="28"/>
          <w:szCs w:val="28"/>
        </w:rPr>
        <w:t xml:space="preserve">     无</w:t>
      </w:r>
    </w:p>
    <w:p w:rsidR="00E07285" w:rsidRDefault="00E07285" w:rsidP="005F5429">
      <w:pPr>
        <w:spacing w:line="360" w:lineRule="auto"/>
        <w:rPr>
          <w:rFonts w:ascii="仿宋" w:eastAsia="仿宋" w:hAnsi="仿宋" w:hint="eastAsia"/>
          <w:sz w:val="28"/>
          <w:szCs w:val="28"/>
        </w:rPr>
      </w:pPr>
    </w:p>
    <w:p w:rsidR="00E07285" w:rsidRDefault="00E07285" w:rsidP="00E07285">
      <w:pPr>
        <w:spacing w:line="560" w:lineRule="exact"/>
        <w:ind w:firstLineChars="1200" w:firstLine="3360"/>
        <w:rPr>
          <w:rFonts w:ascii="仿宋" w:eastAsia="仿宋" w:hAnsi="仿宋"/>
          <w:sz w:val="28"/>
          <w:szCs w:val="28"/>
        </w:rPr>
      </w:pPr>
      <w:r>
        <w:rPr>
          <w:rFonts w:ascii="仿宋" w:eastAsia="仿宋" w:hAnsi="仿宋" w:hint="eastAsia"/>
          <w:sz w:val="28"/>
          <w:szCs w:val="28"/>
        </w:rPr>
        <w:t>大纲撰写人：姜桂华</w:t>
      </w:r>
    </w:p>
    <w:p w:rsidR="00E07285" w:rsidRDefault="00E07285" w:rsidP="00E07285">
      <w:pPr>
        <w:spacing w:line="560" w:lineRule="exact"/>
        <w:ind w:firstLineChars="1200" w:firstLine="3360"/>
        <w:rPr>
          <w:rFonts w:ascii="仿宋" w:eastAsia="仿宋" w:hAnsi="仿宋"/>
          <w:sz w:val="28"/>
          <w:szCs w:val="28"/>
        </w:rPr>
      </w:pPr>
      <w:r>
        <w:rPr>
          <w:rFonts w:ascii="仿宋" w:eastAsia="仿宋" w:hAnsi="仿宋" w:hint="eastAsia"/>
          <w:sz w:val="28"/>
          <w:szCs w:val="28"/>
        </w:rPr>
        <w:t>课程负责人：姜桂华</w:t>
      </w:r>
    </w:p>
    <w:p w:rsidR="00E07285" w:rsidRDefault="00E07285" w:rsidP="00E07285">
      <w:pPr>
        <w:spacing w:line="560" w:lineRule="exact"/>
        <w:ind w:firstLineChars="1200" w:firstLine="3360"/>
        <w:rPr>
          <w:rFonts w:ascii="仿宋" w:eastAsia="仿宋" w:hAnsi="仿宋"/>
          <w:sz w:val="28"/>
          <w:szCs w:val="28"/>
        </w:rPr>
      </w:pPr>
      <w:r>
        <w:rPr>
          <w:rFonts w:ascii="仿宋" w:eastAsia="仿宋" w:hAnsi="仿宋" w:hint="eastAsia"/>
          <w:sz w:val="28"/>
          <w:szCs w:val="28"/>
        </w:rPr>
        <w:t>审核人：</w:t>
      </w:r>
    </w:p>
    <w:p w:rsidR="00E07285" w:rsidRDefault="00E07285" w:rsidP="00E07285">
      <w:pPr>
        <w:spacing w:line="560" w:lineRule="exact"/>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E07285" w:rsidRDefault="00E07285" w:rsidP="00E07285">
      <w:pPr>
        <w:spacing w:line="560" w:lineRule="exact"/>
        <w:ind w:firstLineChars="2000" w:firstLine="5600"/>
        <w:jc w:val="left"/>
        <w:rPr>
          <w:rFonts w:ascii="仿宋" w:hAnsi="仿宋"/>
          <w:sz w:val="28"/>
          <w:szCs w:val="28"/>
        </w:rPr>
      </w:pPr>
      <w:r>
        <w:rPr>
          <w:rFonts w:ascii="仿宋_GB2312" w:hAnsi="微软雅黑" w:hint="eastAsia"/>
          <w:sz w:val="28"/>
          <w:szCs w:val="28"/>
        </w:rPr>
        <w:t xml:space="preserve">    </w:t>
      </w:r>
    </w:p>
    <w:p w:rsidR="00E07285" w:rsidRDefault="00E07285" w:rsidP="00E07285">
      <w:pPr>
        <w:spacing w:line="560" w:lineRule="exact"/>
        <w:jc w:val="left"/>
        <w:rPr>
          <w:rFonts w:ascii="仿宋_GB2312" w:hAnsi="黑体"/>
          <w:sz w:val="28"/>
          <w:szCs w:val="28"/>
        </w:rPr>
      </w:pPr>
      <w:r>
        <w:rPr>
          <w:rFonts w:ascii="仿宋" w:eastAsia="仿宋" w:hAnsi="仿宋" w:hint="eastAsia"/>
          <w:sz w:val="28"/>
          <w:szCs w:val="28"/>
        </w:rPr>
        <w:t xml:space="preserve">                                        2021 年 4月</w:t>
      </w:r>
    </w:p>
    <w:p w:rsidR="00E07285" w:rsidRDefault="00E07285" w:rsidP="00E07285">
      <w:pPr>
        <w:widowControl/>
        <w:spacing w:line="400" w:lineRule="exact"/>
        <w:rPr>
          <w:rFonts w:ascii="黑体" w:eastAsia="黑体" w:hAnsi="黑体" w:cs="宋体"/>
          <w:bCs/>
          <w:color w:val="000000"/>
          <w:kern w:val="0"/>
          <w:szCs w:val="32"/>
        </w:rPr>
      </w:pPr>
    </w:p>
    <w:p w:rsidR="00CA5AE3" w:rsidRDefault="00CA5AE3"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sz w:val="28"/>
          <w:szCs w:val="28"/>
        </w:rPr>
      </w:pPr>
    </w:p>
    <w:p w:rsidR="005F5429" w:rsidRDefault="005F5429" w:rsidP="00CA5AE3">
      <w:pPr>
        <w:jc w:val="left"/>
        <w:rPr>
          <w:rFonts w:ascii="仿宋" w:eastAsia="仿宋" w:hAnsi="仿宋" w:hint="eastAsia"/>
          <w:sz w:val="28"/>
          <w:szCs w:val="28"/>
        </w:rPr>
      </w:pPr>
    </w:p>
    <w:p w:rsidR="00E07285" w:rsidRDefault="00E07285" w:rsidP="00E07285">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《环境监测与评价》课程教学大纲</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environmental monitoring and evaluating</w:t>
      </w:r>
    </w:p>
    <w:p w:rsidR="00E07285" w:rsidRDefault="00E07285" w:rsidP="00E07285">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Z2806150</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E07285" w:rsidRDefault="00E07285" w:rsidP="00E07285">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课程类别：学科基础</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 1.0</w:t>
      </w:r>
    </w:p>
    <w:p w:rsidR="00E07285" w:rsidRDefault="00E07285" w:rsidP="00E07285">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时：16学时</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w:t>
      </w:r>
      <w:r>
        <w:rPr>
          <w:rFonts w:ascii="仿宋_GB2312" w:hAnsi="仿宋_GB2312" w:cs="仿宋_GB2312"/>
          <w:bCs/>
          <w:sz w:val="28"/>
          <w:szCs w:val="28"/>
        </w:rPr>
        <w:t>给水排水科学与工程</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Pr>
          <w:rFonts w:ascii="仿宋_GB2312" w:hAnsi="仿宋_GB2312" w:cs="仿宋_GB2312"/>
          <w:bCs/>
          <w:sz w:val="28"/>
          <w:szCs w:val="28"/>
        </w:rPr>
        <w:t>水分析化学，水文及水文地质学，水处理微生物学</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开课院系：建工学院给排水科学与工程系</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E07285" w:rsidRDefault="00E07285" w:rsidP="00E07285">
      <w:pPr>
        <w:spacing w:line="560" w:lineRule="exact"/>
        <w:ind w:left="420" w:firstLineChars="200" w:firstLine="560"/>
        <w:rPr>
          <w:rFonts w:ascii="仿宋_GB2312" w:hAnsi="仿宋_GB2312" w:cs="仿宋_GB2312"/>
          <w:bCs/>
          <w:sz w:val="28"/>
          <w:szCs w:val="28"/>
        </w:rPr>
      </w:pPr>
      <w:r>
        <w:rPr>
          <w:rFonts w:ascii="仿宋_GB2312" w:hAnsi="仿宋_GB2312" w:cs="仿宋_GB2312"/>
          <w:bCs/>
          <w:sz w:val="28"/>
          <w:szCs w:val="28"/>
        </w:rPr>
        <w:t>环境监测与评价课程是给排水排水科学与工程专业的专业发展选修课，是</w:t>
      </w:r>
      <w:r>
        <w:rPr>
          <w:rFonts w:ascii="仿宋_GB2312" w:hAnsi="仿宋_GB2312" w:cs="仿宋_GB2312" w:hint="eastAsia"/>
          <w:bCs/>
          <w:sz w:val="28"/>
          <w:szCs w:val="28"/>
        </w:rPr>
        <w:t>环境监测与环境评价</w:t>
      </w:r>
      <w:r>
        <w:rPr>
          <w:rFonts w:ascii="仿宋_GB2312" w:hAnsi="仿宋_GB2312" w:cs="仿宋_GB2312"/>
          <w:bCs/>
          <w:sz w:val="28"/>
          <w:szCs w:val="28"/>
        </w:rPr>
        <w:t>综合</w:t>
      </w:r>
      <w:r>
        <w:rPr>
          <w:rFonts w:ascii="仿宋_GB2312" w:hAnsi="仿宋_GB2312" w:cs="仿宋_GB2312" w:hint="eastAsia"/>
          <w:bCs/>
          <w:sz w:val="28"/>
          <w:szCs w:val="28"/>
        </w:rPr>
        <w:t>、理论和实践密切联系</w:t>
      </w:r>
      <w:r>
        <w:rPr>
          <w:rFonts w:ascii="仿宋_GB2312" w:hAnsi="仿宋_GB2312" w:cs="仿宋_GB2312"/>
          <w:bCs/>
          <w:sz w:val="28"/>
          <w:szCs w:val="28"/>
        </w:rPr>
        <w:t>的</w:t>
      </w:r>
      <w:r>
        <w:rPr>
          <w:rFonts w:ascii="仿宋_GB2312" w:hAnsi="仿宋_GB2312" w:cs="仿宋_GB2312" w:hint="eastAsia"/>
          <w:bCs/>
          <w:sz w:val="28"/>
          <w:szCs w:val="28"/>
        </w:rPr>
        <w:t>一门</w:t>
      </w:r>
      <w:r>
        <w:rPr>
          <w:rFonts w:ascii="仿宋_GB2312" w:hAnsi="仿宋_GB2312" w:cs="仿宋_GB2312"/>
          <w:bCs/>
          <w:sz w:val="28"/>
          <w:szCs w:val="28"/>
        </w:rPr>
        <w:t>课程。</w:t>
      </w:r>
      <w:r>
        <w:rPr>
          <w:rFonts w:ascii="仿宋_GB2312" w:hAnsi="仿宋_GB2312" w:cs="仿宋_GB2312" w:hint="eastAsia"/>
          <w:bCs/>
          <w:sz w:val="28"/>
          <w:szCs w:val="28"/>
        </w:rPr>
        <w:t>环境监测、环境评价都是环境科学的一个重要分支，是环境管理的一项重要工作。通过环境监测课程，掌握大气环境、水体环境、土壤环境和声环境等环境要素进行</w:t>
      </w:r>
      <w:r>
        <w:rPr>
          <w:rFonts w:ascii="仿宋_GB2312" w:hAnsi="仿宋_GB2312" w:cs="仿宋_GB2312"/>
          <w:bCs/>
          <w:sz w:val="28"/>
          <w:szCs w:val="28"/>
        </w:rPr>
        <w:t>监测</w:t>
      </w:r>
      <w:r>
        <w:rPr>
          <w:rFonts w:ascii="仿宋_GB2312" w:hAnsi="仿宋_GB2312" w:cs="仿宋_GB2312" w:hint="eastAsia"/>
          <w:bCs/>
          <w:sz w:val="28"/>
          <w:szCs w:val="28"/>
        </w:rPr>
        <w:t>的</w:t>
      </w:r>
      <w:r>
        <w:rPr>
          <w:rFonts w:ascii="仿宋_GB2312" w:hAnsi="仿宋_GB2312" w:cs="仿宋_GB2312"/>
          <w:bCs/>
          <w:sz w:val="28"/>
          <w:szCs w:val="28"/>
        </w:rPr>
        <w:t>理论</w:t>
      </w:r>
      <w:r>
        <w:rPr>
          <w:rFonts w:ascii="仿宋_GB2312" w:hAnsi="仿宋_GB2312" w:cs="仿宋_GB2312" w:hint="eastAsia"/>
          <w:bCs/>
          <w:sz w:val="28"/>
          <w:szCs w:val="28"/>
        </w:rPr>
        <w:t>和</w:t>
      </w:r>
      <w:r>
        <w:rPr>
          <w:rFonts w:ascii="仿宋_GB2312" w:hAnsi="仿宋_GB2312" w:cs="仿宋_GB2312"/>
          <w:bCs/>
          <w:sz w:val="28"/>
          <w:szCs w:val="28"/>
        </w:rPr>
        <w:t>方法</w:t>
      </w:r>
      <w:r>
        <w:rPr>
          <w:rFonts w:ascii="仿宋_GB2312" w:hAnsi="仿宋_GB2312" w:cs="仿宋_GB2312" w:hint="eastAsia"/>
          <w:bCs/>
          <w:sz w:val="28"/>
          <w:szCs w:val="28"/>
        </w:rPr>
        <w:t>。在取得环境监测数据的基础上，能够对相应的</w:t>
      </w:r>
      <w:r>
        <w:rPr>
          <w:rFonts w:ascii="仿宋_GB2312" w:hAnsi="仿宋_GB2312" w:cs="仿宋_GB2312"/>
          <w:bCs/>
          <w:sz w:val="28"/>
          <w:szCs w:val="28"/>
        </w:rPr>
        <w:t>环境质量</w:t>
      </w:r>
      <w:r>
        <w:rPr>
          <w:rFonts w:ascii="仿宋_GB2312" w:hAnsi="仿宋_GB2312" w:cs="仿宋_GB2312" w:hint="eastAsia"/>
          <w:bCs/>
          <w:sz w:val="28"/>
          <w:szCs w:val="28"/>
        </w:rPr>
        <w:t>及发展趋势进行评价，为环境管理、污染源控制、环境规划提供科学依据。根据中国的环境评价制度，全面系统学习</w:t>
      </w:r>
      <w:r>
        <w:rPr>
          <w:rFonts w:ascii="仿宋_GB2312" w:hAnsi="仿宋_GB2312" w:cs="仿宋_GB2312"/>
          <w:bCs/>
          <w:sz w:val="28"/>
          <w:szCs w:val="28"/>
        </w:rPr>
        <w:t>建设项目</w:t>
      </w:r>
      <w:r>
        <w:rPr>
          <w:rFonts w:ascii="仿宋_GB2312" w:hAnsi="仿宋_GB2312" w:cs="仿宋_GB2312" w:hint="eastAsia"/>
          <w:bCs/>
          <w:sz w:val="28"/>
          <w:szCs w:val="28"/>
        </w:rPr>
        <w:t>的</w:t>
      </w:r>
      <w:r>
        <w:rPr>
          <w:rFonts w:ascii="仿宋_GB2312" w:hAnsi="仿宋_GB2312" w:cs="仿宋_GB2312"/>
          <w:bCs/>
          <w:sz w:val="28"/>
          <w:szCs w:val="28"/>
        </w:rPr>
        <w:t>环境影响评</w:t>
      </w:r>
      <w:r>
        <w:rPr>
          <w:rFonts w:ascii="仿宋_GB2312" w:hAnsi="仿宋_GB2312" w:cs="仿宋_GB2312"/>
          <w:bCs/>
          <w:sz w:val="28"/>
          <w:szCs w:val="28"/>
        </w:rPr>
        <w:lastRenderedPageBreak/>
        <w:t>价</w:t>
      </w:r>
      <w:r>
        <w:rPr>
          <w:rFonts w:ascii="仿宋_GB2312" w:hAnsi="仿宋_GB2312" w:cs="仿宋_GB2312" w:hint="eastAsia"/>
          <w:bCs/>
          <w:sz w:val="28"/>
          <w:szCs w:val="28"/>
        </w:rPr>
        <w:t>相关的工作流程、内容和</w:t>
      </w:r>
      <w:r>
        <w:rPr>
          <w:rFonts w:ascii="仿宋_GB2312" w:hAnsi="仿宋_GB2312" w:cs="仿宋_GB2312"/>
          <w:bCs/>
          <w:sz w:val="28"/>
          <w:szCs w:val="28"/>
        </w:rPr>
        <w:t>方法。</w:t>
      </w:r>
      <w:r>
        <w:rPr>
          <w:rFonts w:ascii="仿宋_GB2312" w:hAnsi="仿宋_GB2312" w:cs="仿宋_GB2312" w:hint="eastAsia"/>
          <w:bCs/>
          <w:sz w:val="28"/>
          <w:szCs w:val="28"/>
        </w:rPr>
        <w:t>为今后从事环境评价、环境评估、环境保护和管理打下基础。</w:t>
      </w:r>
    </w:p>
    <w:p w:rsidR="00E07285" w:rsidRDefault="00E07285" w:rsidP="00E07285">
      <w:pPr>
        <w:spacing w:line="560" w:lineRule="exact"/>
        <w:ind w:left="420"/>
        <w:rPr>
          <w:rFonts w:ascii="仿宋_GB2312" w:hAnsi="仿宋_GB2312" w:cs="仿宋_GB2312"/>
          <w:bCs/>
          <w:sz w:val="28"/>
          <w:szCs w:val="28"/>
        </w:rPr>
      </w:pPr>
      <w:r>
        <w:rPr>
          <w:rFonts w:ascii="宋体" w:eastAsia="宋体" w:hAnsi="宋体" w:cs="仿宋_GB2312" w:hint="eastAsia"/>
          <w:bCs/>
          <w:sz w:val="24"/>
          <w:szCs w:val="24"/>
        </w:rPr>
        <w:t xml:space="preserve">     </w:t>
      </w:r>
      <w:r>
        <w:rPr>
          <w:rFonts w:ascii="仿宋_GB2312" w:hAnsi="仿宋_GB2312" w:cs="仿宋_GB2312" w:hint="eastAsia"/>
          <w:bCs/>
          <w:sz w:val="28"/>
          <w:szCs w:val="28"/>
        </w:rPr>
        <w:t>采用PPT和板书相结合的课堂授课方式，让学生认识和掌握中国环境标准和评价制度、以及环境监测的理论和方法。通过实际工程环评案例的讲解分析，将建设项目环境影响评价的技术方法应用于实践中，培养学生解决实际工程问题的能力。通过考勤、课后思考题、案例讨论和答疑等方式督促检查学生学习情况，保障学习达到预期成果。</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E07285" w:rsidRDefault="00E07285" w:rsidP="00E07285">
      <w:pPr>
        <w:spacing w:line="360" w:lineRule="auto"/>
        <w:ind w:firstLine="331"/>
        <w:rPr>
          <w:rFonts w:ascii="仿宋_GB2312" w:hAnsi="仿宋_GB2312" w:cs="仿宋_GB2312"/>
          <w:bCs/>
          <w:sz w:val="28"/>
          <w:szCs w:val="28"/>
        </w:rPr>
      </w:pPr>
      <w:r>
        <w:rPr>
          <w:rFonts w:ascii="仿宋_GB2312" w:hAnsi="仿宋_GB2312" w:cs="仿宋_GB2312" w:hint="eastAsia"/>
          <w:sz w:val="28"/>
          <w:szCs w:val="28"/>
        </w:rPr>
        <w:t xml:space="preserve">1. </w:t>
      </w:r>
      <w:r>
        <w:rPr>
          <w:rFonts w:ascii="仿宋_GB2312" w:hAnsi="仿宋_GB2312" w:cs="仿宋_GB2312" w:hint="eastAsia"/>
          <w:bCs/>
          <w:sz w:val="28"/>
          <w:szCs w:val="28"/>
        </w:rPr>
        <w:t>课程任务</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熟悉中国环境标准体系及环境评价制度，掌握</w:t>
      </w:r>
      <w:r>
        <w:rPr>
          <w:rFonts w:ascii="仿宋_GB2312" w:hAnsi="仿宋_GB2312" w:cs="仿宋_GB2312"/>
          <w:bCs/>
          <w:sz w:val="28"/>
          <w:szCs w:val="28"/>
        </w:rPr>
        <w:t>大气、水体、土壤和噪声</w:t>
      </w:r>
      <w:r>
        <w:rPr>
          <w:rFonts w:ascii="仿宋_GB2312" w:hAnsi="仿宋_GB2312" w:cs="仿宋_GB2312" w:hint="eastAsia"/>
          <w:bCs/>
          <w:sz w:val="28"/>
          <w:szCs w:val="28"/>
        </w:rPr>
        <w:t>等环境要素的质量标准、污染物排放标准；掌握大</w:t>
      </w:r>
      <w:r>
        <w:rPr>
          <w:rFonts w:ascii="仿宋_GB2312" w:hAnsi="仿宋_GB2312" w:cs="仿宋_GB2312"/>
          <w:bCs/>
          <w:sz w:val="28"/>
          <w:szCs w:val="28"/>
        </w:rPr>
        <w:t>气、水体、土壤和噪监</w:t>
      </w:r>
      <w:r>
        <w:rPr>
          <w:rFonts w:ascii="仿宋_GB2312" w:hAnsi="仿宋_GB2312" w:cs="仿宋_GB2312" w:hint="eastAsia"/>
          <w:bCs/>
          <w:sz w:val="28"/>
          <w:szCs w:val="28"/>
        </w:rPr>
        <w:t>的监</w:t>
      </w:r>
      <w:r>
        <w:rPr>
          <w:rFonts w:ascii="仿宋_GB2312" w:hAnsi="仿宋_GB2312" w:cs="仿宋_GB2312"/>
          <w:bCs/>
          <w:sz w:val="28"/>
          <w:szCs w:val="28"/>
        </w:rPr>
        <w:t>测</w:t>
      </w:r>
      <w:r>
        <w:rPr>
          <w:rFonts w:ascii="仿宋_GB2312" w:hAnsi="仿宋_GB2312" w:cs="仿宋_GB2312" w:hint="eastAsia"/>
          <w:bCs/>
          <w:sz w:val="28"/>
          <w:szCs w:val="28"/>
        </w:rPr>
        <w:t>理论与方法及其环境质量</w:t>
      </w:r>
      <w:r>
        <w:rPr>
          <w:rFonts w:ascii="仿宋_GB2312" w:hAnsi="仿宋_GB2312" w:cs="仿宋_GB2312"/>
          <w:bCs/>
          <w:sz w:val="28"/>
          <w:szCs w:val="28"/>
        </w:rPr>
        <w:t>评价方法</w:t>
      </w:r>
      <w:r>
        <w:rPr>
          <w:rFonts w:ascii="仿宋_GB2312" w:hAnsi="仿宋_GB2312" w:cs="仿宋_GB2312" w:hint="eastAsia"/>
          <w:bCs/>
          <w:sz w:val="28"/>
          <w:szCs w:val="28"/>
        </w:rPr>
        <w:t>；</w:t>
      </w:r>
      <w:r>
        <w:rPr>
          <w:rFonts w:ascii="仿宋_GB2312" w:hAnsi="仿宋_GB2312" w:cs="仿宋_GB2312"/>
          <w:bCs/>
          <w:sz w:val="28"/>
          <w:szCs w:val="28"/>
        </w:rPr>
        <w:t>掌握建设项目</w:t>
      </w:r>
      <w:r>
        <w:rPr>
          <w:rFonts w:ascii="仿宋_GB2312" w:hAnsi="仿宋_GB2312" w:cs="仿宋_GB2312" w:hint="eastAsia"/>
          <w:bCs/>
          <w:sz w:val="28"/>
          <w:szCs w:val="28"/>
        </w:rPr>
        <w:t>对大气、地表水体、噪声的</w:t>
      </w:r>
      <w:r>
        <w:rPr>
          <w:rFonts w:ascii="仿宋_GB2312" w:hAnsi="仿宋_GB2312" w:cs="仿宋_GB2312"/>
          <w:bCs/>
          <w:sz w:val="28"/>
          <w:szCs w:val="28"/>
        </w:rPr>
        <w:t>环境影响评价</w:t>
      </w:r>
      <w:r>
        <w:rPr>
          <w:rFonts w:ascii="仿宋_GB2312" w:hAnsi="仿宋_GB2312" w:cs="仿宋_GB2312" w:hint="eastAsia"/>
          <w:bCs/>
          <w:sz w:val="28"/>
          <w:szCs w:val="28"/>
        </w:rPr>
        <w:t>及分析的原理与</w:t>
      </w:r>
      <w:r>
        <w:rPr>
          <w:rFonts w:ascii="仿宋_GB2312" w:hAnsi="仿宋_GB2312" w:cs="仿宋_GB2312"/>
          <w:bCs/>
          <w:sz w:val="28"/>
          <w:szCs w:val="28"/>
        </w:rPr>
        <w:t>方法。</w:t>
      </w:r>
    </w:p>
    <w:p w:rsidR="00E07285" w:rsidRDefault="00E07285" w:rsidP="00E07285">
      <w:pPr>
        <w:spacing w:line="360" w:lineRule="auto"/>
        <w:ind w:left="420"/>
        <w:rPr>
          <w:rFonts w:ascii="仿宋_GB2312" w:hAnsi="仿宋_GB2312" w:cs="仿宋_GB2312"/>
          <w:bCs/>
          <w:sz w:val="28"/>
          <w:szCs w:val="28"/>
        </w:rPr>
      </w:pPr>
      <w:r>
        <w:rPr>
          <w:rFonts w:ascii="仿宋_GB2312" w:hAnsi="仿宋_GB2312" w:cs="仿宋_GB2312" w:hint="eastAsia"/>
          <w:bCs/>
          <w:sz w:val="28"/>
          <w:szCs w:val="28"/>
        </w:rPr>
        <w:t>2课程基本要求</w:t>
      </w:r>
    </w:p>
    <w:p w:rsidR="00E07285" w:rsidRDefault="00E07285" w:rsidP="00E07285">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知识目标：</w:t>
      </w:r>
      <w:r>
        <w:rPr>
          <w:rFonts w:ascii="仿宋_GB2312" w:hAnsi="仿宋_GB2312" w:cs="仿宋_GB2312"/>
          <w:bCs/>
          <w:sz w:val="28"/>
          <w:szCs w:val="28"/>
        </w:rPr>
        <w:t>熟悉</w:t>
      </w:r>
      <w:r>
        <w:rPr>
          <w:rFonts w:ascii="仿宋_GB2312" w:hAnsi="仿宋_GB2312" w:cs="仿宋_GB2312" w:hint="eastAsia"/>
          <w:bCs/>
          <w:sz w:val="28"/>
          <w:szCs w:val="28"/>
        </w:rPr>
        <w:t>中国环境标准体系、环境评价制度及法律、法规；</w:t>
      </w:r>
      <w:r>
        <w:rPr>
          <w:rFonts w:ascii="仿宋_GB2312" w:hAnsi="仿宋_GB2312" w:cs="仿宋_GB2312"/>
          <w:bCs/>
          <w:sz w:val="28"/>
          <w:szCs w:val="28"/>
        </w:rPr>
        <w:t>掌握大气、水体、土壤和噪声等环境</w:t>
      </w:r>
      <w:r>
        <w:rPr>
          <w:rFonts w:ascii="仿宋_GB2312" w:hAnsi="仿宋_GB2312" w:cs="仿宋_GB2312" w:hint="eastAsia"/>
          <w:bCs/>
          <w:sz w:val="28"/>
          <w:szCs w:val="28"/>
        </w:rPr>
        <w:t>要素</w:t>
      </w:r>
      <w:r>
        <w:rPr>
          <w:rFonts w:ascii="仿宋_GB2312" w:hAnsi="仿宋_GB2312" w:cs="仿宋_GB2312"/>
          <w:bCs/>
          <w:sz w:val="28"/>
          <w:szCs w:val="28"/>
        </w:rPr>
        <w:t>的</w:t>
      </w:r>
      <w:r>
        <w:rPr>
          <w:rFonts w:ascii="仿宋_GB2312" w:hAnsi="仿宋_GB2312" w:cs="仿宋_GB2312" w:hint="eastAsia"/>
          <w:bCs/>
          <w:sz w:val="28"/>
          <w:szCs w:val="28"/>
        </w:rPr>
        <w:t>质量标准及污染物排放标准；掌握</w:t>
      </w:r>
      <w:r>
        <w:rPr>
          <w:rFonts w:ascii="仿宋_GB2312" w:hAnsi="仿宋_GB2312" w:cs="仿宋_GB2312"/>
          <w:bCs/>
          <w:sz w:val="28"/>
          <w:szCs w:val="28"/>
        </w:rPr>
        <w:t>气、水体、土壤和噪</w:t>
      </w:r>
      <w:r>
        <w:rPr>
          <w:rFonts w:ascii="仿宋_GB2312" w:hAnsi="仿宋_GB2312" w:cs="仿宋_GB2312" w:hint="eastAsia"/>
          <w:bCs/>
          <w:sz w:val="28"/>
          <w:szCs w:val="28"/>
        </w:rPr>
        <w:t>声等环境要素的</w:t>
      </w:r>
      <w:r>
        <w:rPr>
          <w:rFonts w:ascii="仿宋_GB2312" w:hAnsi="仿宋_GB2312" w:cs="仿宋_GB2312"/>
          <w:bCs/>
          <w:sz w:val="28"/>
          <w:szCs w:val="28"/>
        </w:rPr>
        <w:t>监测</w:t>
      </w:r>
      <w:r>
        <w:rPr>
          <w:rFonts w:ascii="仿宋_GB2312" w:hAnsi="仿宋_GB2312" w:cs="仿宋_GB2312" w:hint="eastAsia"/>
          <w:bCs/>
          <w:sz w:val="28"/>
          <w:szCs w:val="28"/>
        </w:rPr>
        <w:t>原理、技术和方法及其质量评价方法；熟悉</w:t>
      </w:r>
      <w:r>
        <w:rPr>
          <w:rFonts w:ascii="仿宋_GB2312" w:hAnsi="仿宋_GB2312" w:cs="仿宋_GB2312"/>
          <w:bCs/>
          <w:sz w:val="28"/>
          <w:szCs w:val="28"/>
        </w:rPr>
        <w:t>建设项目环境影响评价</w:t>
      </w:r>
      <w:r>
        <w:rPr>
          <w:rFonts w:ascii="仿宋_GB2312" w:hAnsi="仿宋_GB2312" w:cs="仿宋_GB2312" w:hint="eastAsia"/>
          <w:bCs/>
          <w:sz w:val="28"/>
          <w:szCs w:val="28"/>
        </w:rPr>
        <w:t>技术工作流程及影响评价预测方法。</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能力目标：根据监测数据和评价标准能够进行环境质量评价；结合案例，能够</w:t>
      </w:r>
      <w:r>
        <w:rPr>
          <w:rFonts w:ascii="仿宋_GB2312" w:hAnsi="仿宋_GB2312" w:cs="仿宋_GB2312"/>
          <w:bCs/>
          <w:sz w:val="28"/>
          <w:szCs w:val="28"/>
        </w:rPr>
        <w:t>编制环</w:t>
      </w:r>
      <w:r>
        <w:rPr>
          <w:rFonts w:ascii="仿宋_GB2312" w:hAnsi="仿宋_GB2312" w:cs="仿宋_GB2312" w:hint="eastAsia"/>
          <w:bCs/>
          <w:sz w:val="28"/>
          <w:szCs w:val="28"/>
        </w:rPr>
        <w:t>境影响评价大纲，针对大气、地表水和噪</w:t>
      </w:r>
      <w:r>
        <w:rPr>
          <w:rFonts w:ascii="仿宋_GB2312" w:hAnsi="仿宋_GB2312" w:cs="仿宋_GB2312" w:hint="eastAsia"/>
          <w:bCs/>
          <w:sz w:val="28"/>
          <w:szCs w:val="28"/>
        </w:rPr>
        <w:lastRenderedPageBreak/>
        <w:t>声等开展环境质量现状监测和现状评价，釆用数学模型方法进行环境影响预测及影响分析；具备环境影响评价工作应有的基本技能。</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情感态度和价值观目标：了解国家有关环境政策的发展动态，紧跟时代步伐，从环境与人类活动的关系变化中，学会尊重环境，爱护环境，改善环境，承担起环境人的责任与担当，培养人类社会与环境和谐发展的科学思维；培养沟通、互动的团队协作，理论联系实际的科学态度和职业素养。</w:t>
      </w:r>
    </w:p>
    <w:p w:rsidR="00E07285" w:rsidRDefault="00E07285" w:rsidP="00E07285">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8"/>
        <w:gridCol w:w="474"/>
        <w:gridCol w:w="519"/>
        <w:gridCol w:w="519"/>
        <w:gridCol w:w="519"/>
        <w:gridCol w:w="519"/>
        <w:gridCol w:w="519"/>
        <w:gridCol w:w="519"/>
        <w:gridCol w:w="520"/>
        <w:gridCol w:w="520"/>
        <w:gridCol w:w="520"/>
        <w:gridCol w:w="520"/>
        <w:gridCol w:w="520"/>
      </w:tblGrid>
      <w:tr w:rsidR="00E07285" w:rsidTr="00E07285">
        <w:trPr>
          <w:trHeight w:hRule="exact" w:val="567"/>
          <w:jc w:val="center"/>
        </w:trPr>
        <w:tc>
          <w:tcPr>
            <w:tcW w:w="2788" w:type="dxa"/>
            <w:vMerge w:val="restart"/>
            <w:vAlign w:val="center"/>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毕业要求</w:t>
            </w:r>
          </w:p>
        </w:tc>
        <w:tc>
          <w:tcPr>
            <w:tcW w:w="6188" w:type="dxa"/>
            <w:gridSpan w:val="12"/>
            <w:vAlign w:val="center"/>
          </w:tcPr>
          <w:p w:rsidR="00E07285" w:rsidRDefault="00E07285" w:rsidP="00E07285">
            <w:pPr>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毕业要求</w:t>
            </w:r>
          </w:p>
        </w:tc>
      </w:tr>
      <w:tr w:rsidR="00E07285" w:rsidTr="00E07285">
        <w:trPr>
          <w:trHeight w:hRule="exact" w:val="567"/>
          <w:jc w:val="center"/>
        </w:trPr>
        <w:tc>
          <w:tcPr>
            <w:tcW w:w="2788" w:type="dxa"/>
            <w:vMerge/>
          </w:tcPr>
          <w:p w:rsidR="00E07285" w:rsidRDefault="00E07285" w:rsidP="00E07285">
            <w:pPr>
              <w:spacing w:line="560" w:lineRule="exact"/>
              <w:rPr>
                <w:rFonts w:ascii="仿宋_GB2312" w:hAnsi="仿宋_GB2312" w:cs="仿宋_GB2312"/>
                <w:bCs/>
                <w:sz w:val="20"/>
                <w:szCs w:val="20"/>
              </w:rPr>
            </w:pPr>
          </w:p>
        </w:tc>
        <w:tc>
          <w:tcPr>
            <w:tcW w:w="474"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2</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3</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4</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5</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6</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7</w:t>
            </w:r>
          </w:p>
        </w:tc>
        <w:tc>
          <w:tcPr>
            <w:tcW w:w="520"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8</w:t>
            </w:r>
          </w:p>
        </w:tc>
        <w:tc>
          <w:tcPr>
            <w:tcW w:w="520"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9</w:t>
            </w:r>
          </w:p>
        </w:tc>
        <w:tc>
          <w:tcPr>
            <w:tcW w:w="520"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10</w:t>
            </w:r>
          </w:p>
        </w:tc>
        <w:tc>
          <w:tcPr>
            <w:tcW w:w="520"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11</w:t>
            </w:r>
          </w:p>
        </w:tc>
        <w:tc>
          <w:tcPr>
            <w:tcW w:w="520"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12</w:t>
            </w:r>
          </w:p>
        </w:tc>
      </w:tr>
      <w:tr w:rsidR="00E07285" w:rsidTr="00E07285">
        <w:trPr>
          <w:trHeight w:hRule="exact" w:val="567"/>
          <w:jc w:val="center"/>
        </w:trPr>
        <w:tc>
          <w:tcPr>
            <w:tcW w:w="2788"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知识目标</w:t>
            </w:r>
          </w:p>
        </w:tc>
        <w:tc>
          <w:tcPr>
            <w:tcW w:w="474"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r>
      <w:tr w:rsidR="00E07285" w:rsidTr="00E07285">
        <w:trPr>
          <w:trHeight w:hRule="exact" w:val="567"/>
          <w:jc w:val="center"/>
        </w:trPr>
        <w:tc>
          <w:tcPr>
            <w:tcW w:w="2788" w:type="dxa"/>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能力目标</w:t>
            </w:r>
          </w:p>
        </w:tc>
        <w:tc>
          <w:tcPr>
            <w:tcW w:w="474"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L</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r>
      <w:tr w:rsidR="00E07285" w:rsidTr="00E07285">
        <w:trPr>
          <w:trHeight w:hRule="exact" w:val="567"/>
          <w:jc w:val="center"/>
        </w:trPr>
        <w:tc>
          <w:tcPr>
            <w:tcW w:w="2788" w:type="dxa"/>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情感态度与价值观目标</w:t>
            </w:r>
          </w:p>
        </w:tc>
        <w:tc>
          <w:tcPr>
            <w:tcW w:w="474" w:type="dxa"/>
            <w:vAlign w:val="center"/>
          </w:tcPr>
          <w:p w:rsidR="00E07285" w:rsidRDefault="00E07285" w:rsidP="00E07285">
            <w:pPr>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L</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19" w:type="dxa"/>
            <w:vAlign w:val="center"/>
          </w:tcPr>
          <w:p w:rsidR="00E07285" w:rsidRDefault="00E07285" w:rsidP="00E07285">
            <w:pPr>
              <w:tabs>
                <w:tab w:val="left" w:pos="6300"/>
              </w:tabs>
              <w:spacing w:line="560" w:lineRule="exact"/>
              <w:jc w:val="center"/>
              <w:rPr>
                <w:rFonts w:ascii="仿宋_GB2312" w:hAnsi="仿宋_GB2312" w:cs="仿宋_GB2312"/>
                <w:bCs/>
                <w:sz w:val="20"/>
                <w:szCs w:val="20"/>
              </w:rPr>
            </w:pPr>
            <w:r>
              <w:rPr>
                <w:rFonts w:ascii="仿宋_GB2312" w:hAnsi="仿宋_GB2312" w:cs="仿宋_GB2312" w:hint="eastAsia"/>
                <w:bCs/>
                <w:sz w:val="20"/>
                <w:szCs w:val="20"/>
              </w:rPr>
              <w:t>H</w:t>
            </w: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c>
          <w:tcPr>
            <w:tcW w:w="520" w:type="dxa"/>
          </w:tcPr>
          <w:p w:rsidR="00E07285" w:rsidRDefault="00E07285" w:rsidP="00E07285">
            <w:pPr>
              <w:spacing w:line="560" w:lineRule="exact"/>
              <w:rPr>
                <w:rFonts w:ascii="仿宋_GB2312" w:hAnsi="仿宋_GB2312" w:cs="仿宋_GB2312"/>
                <w:bCs/>
                <w:sz w:val="20"/>
                <w:szCs w:val="20"/>
              </w:rPr>
            </w:pPr>
          </w:p>
        </w:tc>
      </w:tr>
    </w:tbl>
    <w:p w:rsidR="00E07285" w:rsidRDefault="00E07285" w:rsidP="005F5429">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3. 课程的重点、难点</w:t>
      </w:r>
    </w:p>
    <w:p w:rsidR="00E07285" w:rsidRDefault="00E07285" w:rsidP="00E07285">
      <w:pPr>
        <w:spacing w:line="360" w:lineRule="auto"/>
        <w:ind w:firstLineChars="200" w:firstLine="560"/>
        <w:jc w:val="left"/>
        <w:rPr>
          <w:rFonts w:ascii="仿宋_GB2312" w:hAnsi="仿宋_GB2312" w:cs="仿宋_GB2312"/>
          <w:bCs/>
          <w:sz w:val="28"/>
          <w:szCs w:val="28"/>
        </w:rPr>
      </w:pPr>
      <w:r>
        <w:rPr>
          <w:rFonts w:ascii="仿宋_GB2312" w:hAnsi="仿宋_GB2312" w:cs="仿宋_GB2312" w:hint="eastAsia"/>
          <w:bCs/>
          <w:sz w:val="28"/>
          <w:szCs w:val="28"/>
        </w:rPr>
        <w:t>课程的重点和难点：环境质量评价及建设项目环境影响预测及分析。</w:t>
      </w:r>
    </w:p>
    <w:p w:rsidR="00E07285" w:rsidRDefault="00E07285" w:rsidP="00E07285">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（1）把国务院发布的 《“十三五”节能减排综合工作方案》”、 《“十四五”碳中和、碳达峰》的要求，融入大气环境监测内容讲解中，树立学生“创新、协调、绿色、开放、共享”的发展理念。</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（2）将建设“美丽中国”、“青山绿水”的深刻内涵融入环境质量、环境评价等环境概念内容中。在环境标准体系、环境评价制度、法律法规学习时， 让学生查阅资料，全面了解 “全面加强</w:t>
      </w:r>
      <w:r>
        <w:rPr>
          <w:rFonts w:ascii="仿宋_GB2312" w:hAnsi="仿宋_GB2312" w:cs="仿宋_GB2312" w:hint="eastAsia"/>
          <w:bCs/>
          <w:sz w:val="28"/>
          <w:szCs w:val="28"/>
        </w:rPr>
        <w:lastRenderedPageBreak/>
        <w:t>生态环境保护”、“坚决打好污染防治攻坚战”、“生态保护红线”、“水污染防治行动计划”、“土壤污染防治行动计划”、“蓝天保卫战”、“挥发性有机物污染防治”、“农业农村污染治理攻坚战”、“涉重金属行业污染防控”等国家在大气、水体和土壤等环境方面的政策，了解最新发展动态，紧跟时代步伐。从环境与人类活动的关系变化中，学会尊重环境，爱护环境，承担起环境人的责任与担当。</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（3）环境质量评价不仅仅讲解和训练环境评价的技术方法，更</w:t>
      </w:r>
      <w:r>
        <w:rPr>
          <w:rFonts w:ascii="仿宋_GB2312" w:hAnsi="仿宋_GB2312" w:cs="仿宋_GB2312"/>
          <w:bCs/>
          <w:sz w:val="28"/>
          <w:szCs w:val="28"/>
        </w:rPr>
        <w:t>要注重</w:t>
      </w:r>
      <w:r>
        <w:rPr>
          <w:rFonts w:ascii="仿宋_GB2312" w:hAnsi="仿宋_GB2312" w:cs="仿宋_GB2312" w:hint="eastAsia"/>
          <w:bCs/>
          <w:sz w:val="28"/>
          <w:szCs w:val="28"/>
        </w:rPr>
        <w:t>训练</w:t>
      </w:r>
      <w:r>
        <w:rPr>
          <w:rFonts w:ascii="仿宋_GB2312" w:hAnsi="仿宋_GB2312" w:cs="仿宋_GB2312"/>
          <w:bCs/>
          <w:sz w:val="28"/>
          <w:szCs w:val="28"/>
        </w:rPr>
        <w:t>学生</w:t>
      </w:r>
      <w:r>
        <w:rPr>
          <w:rFonts w:ascii="仿宋_GB2312" w:hAnsi="仿宋_GB2312" w:cs="仿宋_GB2312" w:hint="eastAsia"/>
          <w:bCs/>
          <w:sz w:val="28"/>
          <w:szCs w:val="28"/>
        </w:rPr>
        <w:t>对环境</w:t>
      </w:r>
      <w:r>
        <w:rPr>
          <w:rFonts w:ascii="仿宋_GB2312" w:hAnsi="仿宋_GB2312" w:cs="仿宋_GB2312"/>
          <w:bCs/>
          <w:sz w:val="28"/>
          <w:szCs w:val="28"/>
        </w:rPr>
        <w:t>价值的思考，对环境保护责任意识的审视，敬畏</w:t>
      </w:r>
      <w:r>
        <w:rPr>
          <w:rFonts w:ascii="仿宋_GB2312" w:hAnsi="仿宋_GB2312" w:cs="仿宋_GB2312" w:hint="eastAsia"/>
          <w:bCs/>
          <w:sz w:val="28"/>
          <w:szCs w:val="28"/>
        </w:rPr>
        <w:t>环境，</w:t>
      </w:r>
      <w:r>
        <w:rPr>
          <w:rFonts w:ascii="仿宋_GB2312" w:hAnsi="仿宋_GB2312" w:cs="仿宋_GB2312"/>
          <w:bCs/>
          <w:sz w:val="28"/>
          <w:szCs w:val="28"/>
        </w:rPr>
        <w:t>善待</w:t>
      </w:r>
      <w:r>
        <w:rPr>
          <w:rFonts w:ascii="仿宋_GB2312" w:hAnsi="仿宋_GB2312" w:cs="仿宋_GB2312" w:hint="eastAsia"/>
          <w:bCs/>
          <w:sz w:val="28"/>
          <w:szCs w:val="28"/>
        </w:rPr>
        <w:t>环境，改善环境，</w:t>
      </w:r>
      <w:r>
        <w:rPr>
          <w:rFonts w:ascii="仿宋_GB2312" w:hAnsi="仿宋_GB2312" w:cs="仿宋_GB2312"/>
          <w:bCs/>
          <w:sz w:val="28"/>
          <w:szCs w:val="28"/>
        </w:rPr>
        <w:t>培养</w:t>
      </w:r>
      <w:r>
        <w:rPr>
          <w:rFonts w:ascii="仿宋_GB2312" w:hAnsi="仿宋_GB2312" w:cs="仿宋_GB2312" w:hint="eastAsia"/>
          <w:bCs/>
          <w:sz w:val="28"/>
          <w:szCs w:val="28"/>
        </w:rPr>
        <w:t>人类社会与自然环境和谐发展的科学思维和职业观</w:t>
      </w:r>
      <w:r>
        <w:rPr>
          <w:rFonts w:ascii="仿宋_GB2312" w:hAnsi="仿宋_GB2312" w:cs="仿宋_GB2312"/>
          <w:bCs/>
          <w:sz w:val="28"/>
          <w:szCs w:val="28"/>
        </w:rPr>
        <w:t>。</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（4）环境评价工程实践性很强，为了增强理论与实践密切联系，课程以“××建设项目环境影响评价”作为典型案例，</w:t>
      </w:r>
      <w:r>
        <w:rPr>
          <w:rFonts w:ascii="仿宋_GB2312" w:hAnsi="仿宋_GB2312" w:cs="仿宋_GB2312"/>
          <w:bCs/>
          <w:sz w:val="28"/>
          <w:szCs w:val="28"/>
        </w:rPr>
        <w:t>分别进行</w:t>
      </w:r>
      <w:r>
        <w:rPr>
          <w:rFonts w:ascii="仿宋_GB2312" w:hAnsi="仿宋_GB2312" w:cs="仿宋_GB2312" w:hint="eastAsia"/>
          <w:bCs/>
          <w:sz w:val="28"/>
          <w:szCs w:val="28"/>
        </w:rPr>
        <w:t>地表</w:t>
      </w:r>
      <w:r>
        <w:rPr>
          <w:rFonts w:ascii="仿宋_GB2312" w:hAnsi="仿宋_GB2312" w:cs="仿宋_GB2312"/>
          <w:bCs/>
          <w:sz w:val="28"/>
          <w:szCs w:val="28"/>
        </w:rPr>
        <w:t>水、</w:t>
      </w:r>
      <w:r>
        <w:rPr>
          <w:rFonts w:ascii="仿宋_GB2312" w:hAnsi="仿宋_GB2312" w:cs="仿宋_GB2312" w:hint="eastAsia"/>
          <w:bCs/>
          <w:sz w:val="28"/>
          <w:szCs w:val="28"/>
        </w:rPr>
        <w:t>大</w:t>
      </w:r>
      <w:r>
        <w:rPr>
          <w:rFonts w:ascii="仿宋_GB2312" w:hAnsi="仿宋_GB2312" w:cs="仿宋_GB2312"/>
          <w:bCs/>
          <w:sz w:val="28"/>
          <w:szCs w:val="28"/>
        </w:rPr>
        <w:t>气、</w:t>
      </w:r>
      <w:r>
        <w:rPr>
          <w:rFonts w:ascii="仿宋_GB2312" w:hAnsi="仿宋_GB2312" w:cs="仿宋_GB2312" w:hint="eastAsia"/>
          <w:bCs/>
          <w:sz w:val="28"/>
          <w:szCs w:val="28"/>
        </w:rPr>
        <w:t>固废、</w:t>
      </w:r>
      <w:r>
        <w:rPr>
          <w:rFonts w:ascii="仿宋_GB2312" w:hAnsi="仿宋_GB2312" w:cs="仿宋_GB2312"/>
          <w:bCs/>
          <w:sz w:val="28"/>
          <w:szCs w:val="28"/>
        </w:rPr>
        <w:t>噪声</w:t>
      </w:r>
      <w:r>
        <w:rPr>
          <w:rFonts w:ascii="仿宋_GB2312" w:hAnsi="仿宋_GB2312" w:cs="仿宋_GB2312" w:hint="eastAsia"/>
          <w:bCs/>
          <w:sz w:val="28"/>
          <w:szCs w:val="28"/>
        </w:rPr>
        <w:t>等</w:t>
      </w:r>
      <w:r>
        <w:rPr>
          <w:rFonts w:ascii="仿宋_GB2312" w:hAnsi="仿宋_GB2312" w:cs="仿宋_GB2312"/>
          <w:bCs/>
          <w:sz w:val="28"/>
          <w:szCs w:val="28"/>
        </w:rPr>
        <w:t>环境影响评价专项</w:t>
      </w:r>
      <w:r>
        <w:rPr>
          <w:rFonts w:ascii="仿宋_GB2312" w:hAnsi="仿宋_GB2312" w:cs="仿宋_GB2312" w:hint="eastAsia"/>
          <w:bCs/>
          <w:sz w:val="28"/>
          <w:szCs w:val="28"/>
        </w:rPr>
        <w:t>分组</w:t>
      </w:r>
      <w:r>
        <w:rPr>
          <w:rFonts w:ascii="仿宋_GB2312" w:hAnsi="仿宋_GB2312" w:cs="仿宋_GB2312"/>
          <w:bCs/>
          <w:sz w:val="28"/>
          <w:szCs w:val="28"/>
        </w:rPr>
        <w:t>实践</w:t>
      </w:r>
      <w:r>
        <w:rPr>
          <w:rFonts w:ascii="仿宋_GB2312" w:hAnsi="仿宋_GB2312" w:cs="仿宋_GB2312" w:hint="eastAsia"/>
          <w:bCs/>
          <w:sz w:val="28"/>
          <w:szCs w:val="28"/>
        </w:rPr>
        <w:t>练习，训练和培养学生沟通、互动、协作、严谨、学与致用、理论联系实践的能力和良好的职业操守。</w:t>
      </w:r>
    </w:p>
    <w:p w:rsidR="00E07285" w:rsidRDefault="00E07285" w:rsidP="00E07285">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四、教学内容安排</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62"/>
        <w:gridCol w:w="708"/>
        <w:gridCol w:w="2691"/>
        <w:gridCol w:w="3791"/>
      </w:tblGrid>
      <w:tr w:rsidR="00E07285" w:rsidTr="005F5429">
        <w:trPr>
          <w:cantSplit/>
        </w:trPr>
        <w:tc>
          <w:tcPr>
            <w:tcW w:w="534"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序号</w:t>
            </w:r>
          </w:p>
        </w:tc>
        <w:tc>
          <w:tcPr>
            <w:tcW w:w="1562"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章节</w:t>
            </w:r>
          </w:p>
        </w:tc>
        <w:tc>
          <w:tcPr>
            <w:tcW w:w="708"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参考</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学时</w:t>
            </w:r>
          </w:p>
        </w:tc>
        <w:tc>
          <w:tcPr>
            <w:tcW w:w="2691"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教学内容</w:t>
            </w:r>
          </w:p>
        </w:tc>
        <w:tc>
          <w:tcPr>
            <w:tcW w:w="3791"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基本要求</w:t>
            </w:r>
          </w:p>
        </w:tc>
      </w:tr>
      <w:tr w:rsidR="00E07285" w:rsidTr="005F5429">
        <w:trPr>
          <w:cantSplit/>
          <w:trHeight w:val="3757"/>
        </w:trPr>
        <w:tc>
          <w:tcPr>
            <w:tcW w:w="534"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lastRenderedPageBreak/>
              <w:t>1</w:t>
            </w:r>
            <w:r>
              <w:rPr>
                <w:rFonts w:ascii="仿宋_GB2312" w:hAnsi="仿宋_GB2312" w:cs="仿宋_GB2312" w:hint="eastAsia"/>
                <w:bCs/>
                <w:sz w:val="20"/>
                <w:szCs w:val="20"/>
              </w:rPr>
              <w:t>-2</w:t>
            </w:r>
          </w:p>
        </w:tc>
        <w:tc>
          <w:tcPr>
            <w:tcW w:w="1562"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第1章 环境监测及评价概述</w:t>
            </w:r>
          </w:p>
        </w:tc>
        <w:tc>
          <w:tcPr>
            <w:tcW w:w="708"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4</w:t>
            </w:r>
          </w:p>
        </w:tc>
        <w:tc>
          <w:tcPr>
            <w:tcW w:w="2691"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1.1 环境监测</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1.2 环境质量评价</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1.3 环境影响评价</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1.4大气和废气监测</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1.5 水和废水监测</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1.6 噪声监测</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1.7 环境质量现状评价</w:t>
            </w:r>
          </w:p>
        </w:tc>
        <w:tc>
          <w:tcPr>
            <w:tcW w:w="3791"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1.掌握环境监测、掌握有关的环境标准；</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2.掌握大气环境和空气污染物的监测因子和监测方法、掌握水体和废水的监测因子和监测方法；</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3.掌握噪声的物理量度和噪声的测量方法</w:t>
            </w:r>
            <w:r>
              <w:rPr>
                <w:rFonts w:ascii="仿宋_GB2312" w:hAnsi="仿宋_GB2312" w:cs="仿宋_GB2312" w:hint="eastAsia"/>
                <w:bCs/>
                <w:sz w:val="20"/>
                <w:szCs w:val="20"/>
              </w:rPr>
              <w:t>；</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4.掌握污染源的评价方法和污染源强计算；掌握大气、地表水、环境质量评价方法；</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5.掌握环境噪的物理量度及质量评价方法。</w:t>
            </w:r>
          </w:p>
        </w:tc>
      </w:tr>
      <w:tr w:rsidR="00E07285" w:rsidTr="005F5429">
        <w:trPr>
          <w:cantSplit/>
          <w:trHeight w:val="1946"/>
        </w:trPr>
        <w:tc>
          <w:tcPr>
            <w:tcW w:w="534"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hint="eastAsia"/>
                <w:bCs/>
                <w:sz w:val="20"/>
                <w:szCs w:val="20"/>
              </w:rPr>
              <w:t>3-4</w:t>
            </w:r>
          </w:p>
        </w:tc>
        <w:tc>
          <w:tcPr>
            <w:tcW w:w="1562"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第2章 大气环境影响评价</w:t>
            </w:r>
          </w:p>
        </w:tc>
        <w:tc>
          <w:tcPr>
            <w:tcW w:w="708"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4</w:t>
            </w:r>
          </w:p>
        </w:tc>
        <w:tc>
          <w:tcPr>
            <w:tcW w:w="2691"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2.1 评价因子、评价等级、评价范围</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2.2大气环境质量现状调查与评价</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2.3大气环境影响预测</w:t>
            </w:r>
          </w:p>
        </w:tc>
        <w:tc>
          <w:tcPr>
            <w:tcW w:w="3791"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1.掌握评价因子的选择、评价等级和评价范围的确定。</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2.掌握项目区大气污染源调查、大气环境质量现状监测方法；</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3.掌握大气环境影响预测内容、预测模型及预测结果评价。</w:t>
            </w:r>
          </w:p>
        </w:tc>
      </w:tr>
      <w:tr w:rsidR="00E07285" w:rsidTr="00E07285">
        <w:tc>
          <w:tcPr>
            <w:tcW w:w="534"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hint="eastAsia"/>
                <w:bCs/>
                <w:sz w:val="20"/>
                <w:szCs w:val="20"/>
              </w:rPr>
              <w:t>5-6</w:t>
            </w:r>
          </w:p>
        </w:tc>
        <w:tc>
          <w:tcPr>
            <w:tcW w:w="1562"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第3章  地表水环境响评价</w:t>
            </w:r>
          </w:p>
        </w:tc>
        <w:tc>
          <w:tcPr>
            <w:tcW w:w="708"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4</w:t>
            </w:r>
          </w:p>
        </w:tc>
        <w:tc>
          <w:tcPr>
            <w:tcW w:w="2691"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3.1评价因子、评价等级</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3.2 地表水环境质量现状评价</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3.3 地表水环境影响预测</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3.4 实例分析</w:t>
            </w:r>
          </w:p>
        </w:tc>
        <w:tc>
          <w:tcPr>
            <w:tcW w:w="3791"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1.掌握评价因子的选择、评价等级和评价范围的确定；</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2. 掌握项目区地表水环境质量现状监监测方法；</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3. 掌握地表水环境影响预测模型。</w:t>
            </w:r>
          </w:p>
        </w:tc>
      </w:tr>
      <w:tr w:rsidR="00E07285" w:rsidTr="00E07285">
        <w:tc>
          <w:tcPr>
            <w:tcW w:w="534"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hint="eastAsia"/>
                <w:bCs/>
                <w:sz w:val="20"/>
                <w:szCs w:val="20"/>
              </w:rPr>
              <w:t>7-8</w:t>
            </w:r>
          </w:p>
        </w:tc>
        <w:tc>
          <w:tcPr>
            <w:tcW w:w="1562"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第4章 噪声环境影响评价</w:t>
            </w:r>
          </w:p>
        </w:tc>
        <w:tc>
          <w:tcPr>
            <w:tcW w:w="708"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4</w:t>
            </w:r>
          </w:p>
        </w:tc>
        <w:tc>
          <w:tcPr>
            <w:tcW w:w="2691"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4.1评价因子、评价等级及评价范围</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lastRenderedPageBreak/>
              <w:t>4.2 声环境质量现状监测与评价</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4.3 声环境影响预测</w:t>
            </w:r>
          </w:p>
        </w:tc>
        <w:tc>
          <w:tcPr>
            <w:tcW w:w="3791" w:type="dxa"/>
          </w:tcPr>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lastRenderedPageBreak/>
              <w:t>1.评价等级和评价范围的确定；</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t>2.项目区声环境质量现状监测方法；</w:t>
            </w:r>
          </w:p>
          <w:p w:rsidR="00E07285" w:rsidRDefault="00E07285" w:rsidP="00E07285">
            <w:pPr>
              <w:adjustRightInd w:val="0"/>
              <w:snapToGrid w:val="0"/>
              <w:spacing w:line="560" w:lineRule="exact"/>
              <w:rPr>
                <w:rFonts w:ascii="仿宋_GB2312" w:hAnsi="仿宋_GB2312" w:cs="仿宋_GB2312"/>
                <w:bCs/>
                <w:sz w:val="20"/>
                <w:szCs w:val="20"/>
              </w:rPr>
            </w:pPr>
            <w:r>
              <w:rPr>
                <w:rFonts w:ascii="仿宋_GB2312" w:hAnsi="仿宋_GB2312" w:cs="仿宋_GB2312"/>
                <w:bCs/>
                <w:sz w:val="20"/>
                <w:szCs w:val="20"/>
              </w:rPr>
              <w:lastRenderedPageBreak/>
              <w:t>3.掌握声环境影响预测方法。</w:t>
            </w:r>
          </w:p>
        </w:tc>
      </w:tr>
    </w:tbl>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五、课程考核方式与成绩评定</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 xml:space="preserve">  本课程采样期末开卷考试进行考核。</w:t>
      </w:r>
    </w:p>
    <w:p w:rsidR="00E07285" w:rsidRDefault="00E07285"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E07285" w:rsidRDefault="00E07285" w:rsidP="00E07285">
      <w:pPr>
        <w:spacing w:line="560" w:lineRule="exact"/>
        <w:ind w:left="420"/>
        <w:rPr>
          <w:rFonts w:ascii="仿宋_GB2312" w:hAnsi="仿宋_GB2312" w:cs="仿宋_GB2312"/>
          <w:bCs/>
          <w:sz w:val="28"/>
          <w:szCs w:val="28"/>
        </w:rPr>
      </w:pPr>
      <w:r>
        <w:rPr>
          <w:rFonts w:ascii="宋体" w:eastAsia="宋体" w:hAnsi="宋体" w:hint="eastAsia"/>
          <w:sz w:val="24"/>
          <w:szCs w:val="24"/>
        </w:rPr>
        <w:t xml:space="preserve">    </w:t>
      </w:r>
      <w:r>
        <w:rPr>
          <w:rFonts w:ascii="仿宋_GB2312" w:hAnsi="仿宋_GB2312" w:cs="仿宋_GB2312"/>
          <w:bCs/>
          <w:sz w:val="28"/>
          <w:szCs w:val="28"/>
        </w:rPr>
        <w:t>采用平时成绩</w:t>
      </w:r>
      <w:r>
        <w:rPr>
          <w:rFonts w:ascii="仿宋_GB2312" w:hAnsi="仿宋_GB2312" w:cs="仿宋_GB2312" w:hint="eastAsia"/>
          <w:bCs/>
          <w:sz w:val="28"/>
          <w:szCs w:val="28"/>
        </w:rPr>
        <w:t>和</w:t>
      </w:r>
      <w:r>
        <w:rPr>
          <w:rFonts w:ascii="仿宋_GB2312" w:hAnsi="仿宋_GB2312" w:cs="仿宋_GB2312"/>
          <w:bCs/>
          <w:sz w:val="28"/>
          <w:szCs w:val="28"/>
        </w:rPr>
        <w:t>期末考试</w:t>
      </w:r>
      <w:r>
        <w:rPr>
          <w:rFonts w:ascii="仿宋_GB2312" w:hAnsi="仿宋_GB2312" w:cs="仿宋_GB2312" w:hint="eastAsia"/>
          <w:bCs/>
          <w:sz w:val="28"/>
          <w:szCs w:val="28"/>
        </w:rPr>
        <w:t>试卷成绩</w:t>
      </w:r>
      <w:r>
        <w:rPr>
          <w:rFonts w:ascii="仿宋_GB2312" w:hAnsi="仿宋_GB2312" w:cs="仿宋_GB2312"/>
          <w:bCs/>
          <w:sz w:val="28"/>
          <w:szCs w:val="28"/>
        </w:rPr>
        <w:t>确定</w:t>
      </w:r>
      <w:r>
        <w:rPr>
          <w:rFonts w:ascii="仿宋_GB2312" w:hAnsi="仿宋_GB2312" w:cs="仿宋_GB2312" w:hint="eastAsia"/>
          <w:bCs/>
          <w:sz w:val="28"/>
          <w:szCs w:val="28"/>
        </w:rPr>
        <w:t>最终</w:t>
      </w:r>
      <w:r>
        <w:rPr>
          <w:rFonts w:ascii="仿宋_GB2312" w:hAnsi="仿宋_GB2312" w:cs="仿宋_GB2312"/>
          <w:bCs/>
          <w:sz w:val="28"/>
          <w:szCs w:val="28"/>
        </w:rPr>
        <w:t>成绩</w:t>
      </w:r>
      <w:r>
        <w:rPr>
          <w:rFonts w:ascii="仿宋_GB2312" w:hAnsi="仿宋_GB2312" w:cs="仿宋_GB2312" w:hint="eastAsia"/>
          <w:bCs/>
          <w:sz w:val="28"/>
          <w:szCs w:val="28"/>
        </w:rPr>
        <w:t>。</w:t>
      </w:r>
      <w:r>
        <w:rPr>
          <w:rFonts w:ascii="仿宋_GB2312" w:hAnsi="仿宋_GB2312" w:cs="仿宋_GB2312"/>
          <w:bCs/>
          <w:sz w:val="28"/>
          <w:szCs w:val="28"/>
        </w:rPr>
        <w:t>课程总成绩=期末成绩</w:t>
      </w:r>
      <w:r>
        <w:rPr>
          <w:rFonts w:ascii="仿宋_GB2312" w:hAnsi="仿宋_GB2312" w:cs="仿宋_GB2312" w:hint="eastAsia"/>
          <w:bCs/>
          <w:sz w:val="28"/>
          <w:szCs w:val="28"/>
        </w:rPr>
        <w:t>75%+平时</w:t>
      </w:r>
      <w:r>
        <w:rPr>
          <w:rFonts w:ascii="仿宋_GB2312" w:hAnsi="仿宋_GB2312" w:cs="仿宋_GB2312"/>
          <w:bCs/>
          <w:sz w:val="28"/>
          <w:szCs w:val="28"/>
        </w:rPr>
        <w:t>成绩25</w:t>
      </w:r>
      <w:r>
        <w:rPr>
          <w:rFonts w:ascii="仿宋_GB2312" w:hAnsi="仿宋_GB2312" w:cs="仿宋_GB2312" w:hint="eastAsia"/>
          <w:bCs/>
          <w:sz w:val="28"/>
          <w:szCs w:val="28"/>
        </w:rPr>
        <w:t>%</w:t>
      </w:r>
      <w:r>
        <w:rPr>
          <w:rFonts w:ascii="仿宋_GB2312" w:hAnsi="仿宋_GB2312" w:cs="仿宋_GB2312"/>
          <w:bCs/>
          <w:sz w:val="28"/>
          <w:szCs w:val="28"/>
        </w:rPr>
        <w:t xml:space="preserve">  </w:t>
      </w:r>
      <w:r>
        <w:rPr>
          <w:rFonts w:ascii="仿宋_GB2312" w:hAnsi="仿宋_GB2312" w:cs="仿宋_GB2312" w:hint="eastAsia"/>
          <w:bCs/>
          <w:sz w:val="28"/>
          <w:szCs w:val="28"/>
        </w:rPr>
        <w:t>。</w:t>
      </w:r>
      <w:r>
        <w:rPr>
          <w:rFonts w:ascii="仿宋_GB2312" w:hAnsi="仿宋_GB2312" w:cs="仿宋_GB2312"/>
          <w:bCs/>
          <w:sz w:val="28"/>
          <w:szCs w:val="28"/>
        </w:rPr>
        <w:t>平时成绩考核包括</w:t>
      </w:r>
      <w:r>
        <w:rPr>
          <w:rFonts w:ascii="仿宋_GB2312" w:hAnsi="仿宋_GB2312" w:cs="仿宋_GB2312" w:hint="eastAsia"/>
          <w:bCs/>
          <w:sz w:val="28"/>
          <w:szCs w:val="28"/>
        </w:rPr>
        <w:t>课后</w:t>
      </w:r>
      <w:r>
        <w:rPr>
          <w:rFonts w:ascii="仿宋_GB2312" w:hAnsi="仿宋_GB2312" w:cs="仿宋_GB2312"/>
          <w:bCs/>
          <w:sz w:val="28"/>
          <w:szCs w:val="28"/>
        </w:rPr>
        <w:t>思考题</w:t>
      </w:r>
      <w:r>
        <w:rPr>
          <w:rFonts w:ascii="仿宋_GB2312" w:hAnsi="仿宋_GB2312" w:cs="仿宋_GB2312" w:hint="eastAsia"/>
          <w:bCs/>
          <w:sz w:val="28"/>
          <w:szCs w:val="28"/>
        </w:rPr>
        <w:t>、案例讨论和上课</w:t>
      </w:r>
      <w:r>
        <w:rPr>
          <w:rFonts w:ascii="仿宋_GB2312" w:hAnsi="仿宋_GB2312" w:cs="仿宋_GB2312"/>
          <w:bCs/>
          <w:sz w:val="28"/>
          <w:szCs w:val="28"/>
        </w:rPr>
        <w:t>出勤等</w:t>
      </w:r>
      <w:r>
        <w:rPr>
          <w:rFonts w:ascii="仿宋_GB2312" w:hAnsi="仿宋_GB2312" w:cs="仿宋_GB2312" w:hint="eastAsia"/>
          <w:bCs/>
          <w:sz w:val="28"/>
          <w:szCs w:val="28"/>
        </w:rPr>
        <w:t>。</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 xml:space="preserve">    </w:t>
      </w:r>
      <w:r>
        <w:rPr>
          <w:rFonts w:ascii="仿宋_GB2312" w:hAnsi="仿宋_GB2312" w:cs="仿宋_GB2312" w:hint="eastAsia"/>
          <w:sz w:val="28"/>
          <w:szCs w:val="28"/>
        </w:rPr>
        <w:t>1.建议教材</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（1）</w:t>
      </w:r>
      <w:r>
        <w:rPr>
          <w:rFonts w:ascii="仿宋_GB2312" w:hAnsi="仿宋_GB2312" w:cs="仿宋_GB2312"/>
          <w:bCs/>
          <w:sz w:val="28"/>
          <w:szCs w:val="28"/>
        </w:rPr>
        <w:t>环境评价教</w:t>
      </w:r>
      <w:r>
        <w:rPr>
          <w:rFonts w:ascii="仿宋_GB2312" w:hAnsi="仿宋_GB2312" w:cs="仿宋_GB2312" w:hint="eastAsia"/>
          <w:bCs/>
          <w:sz w:val="28"/>
          <w:szCs w:val="28"/>
        </w:rPr>
        <w:t>程（第二版）</w:t>
      </w:r>
      <w:r>
        <w:rPr>
          <w:rFonts w:ascii="仿宋_GB2312" w:hAnsi="仿宋_GB2312" w:cs="仿宋_GB2312"/>
          <w:bCs/>
          <w:sz w:val="28"/>
          <w:szCs w:val="28"/>
        </w:rPr>
        <w:t>，徐新阳主编，化学工业出版社，2010年9月</w:t>
      </w:r>
      <w:r>
        <w:rPr>
          <w:rFonts w:ascii="仿宋_GB2312" w:hAnsi="仿宋_GB2312" w:cs="仿宋_GB2312" w:hint="eastAsia"/>
          <w:bCs/>
          <w:sz w:val="28"/>
          <w:szCs w:val="28"/>
        </w:rPr>
        <w:t>.</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（2）</w:t>
      </w:r>
      <w:r>
        <w:rPr>
          <w:rFonts w:ascii="仿宋_GB2312" w:hAnsi="仿宋_GB2312" w:cs="仿宋_GB2312"/>
          <w:bCs/>
          <w:sz w:val="28"/>
          <w:szCs w:val="28"/>
        </w:rPr>
        <w:t>环境监测，赵建夫主编，化学工业出版社，2008年8月</w:t>
      </w:r>
      <w:r>
        <w:rPr>
          <w:rFonts w:ascii="仿宋_GB2312" w:hAnsi="仿宋_GB2312" w:cs="仿宋_GB2312" w:hint="eastAsia"/>
          <w:bCs/>
          <w:sz w:val="28"/>
          <w:szCs w:val="28"/>
        </w:rPr>
        <w:t>.</w:t>
      </w:r>
    </w:p>
    <w:p w:rsidR="00E07285" w:rsidRDefault="00E07285" w:rsidP="00E07285">
      <w:pPr>
        <w:spacing w:line="560" w:lineRule="exact"/>
        <w:ind w:left="420"/>
        <w:rPr>
          <w:rFonts w:ascii="仿宋_GB2312" w:hAnsi="仿宋_GB2312" w:cs="仿宋_GB2312"/>
          <w:bCs/>
          <w:sz w:val="28"/>
          <w:szCs w:val="28"/>
        </w:rPr>
      </w:pPr>
      <w:r>
        <w:rPr>
          <w:rFonts w:ascii="仿宋_GB2312" w:hAnsi="仿宋_GB2312" w:cs="仿宋_GB2312" w:hint="eastAsia"/>
          <w:bCs/>
          <w:sz w:val="28"/>
          <w:szCs w:val="28"/>
        </w:rPr>
        <w:t xml:space="preserve"> </w:t>
      </w:r>
      <w:r>
        <w:rPr>
          <w:rFonts w:ascii="仿宋_GB2312" w:hAnsi="仿宋_GB2312" w:cs="仿宋_GB2312" w:hint="eastAsia"/>
          <w:sz w:val="28"/>
          <w:szCs w:val="28"/>
        </w:rPr>
        <w:t>2.主要参考资料</w:t>
      </w:r>
    </w:p>
    <w:p w:rsidR="00E07285" w:rsidRDefault="00E07285" w:rsidP="00E07285">
      <w:pPr>
        <w:spacing w:line="560" w:lineRule="exact"/>
        <w:ind w:left="420" w:firstLineChars="200" w:firstLine="480"/>
        <w:rPr>
          <w:rFonts w:ascii="仿宋_GB2312" w:hAnsi="仿宋_GB2312" w:cs="仿宋_GB2312"/>
          <w:bCs/>
          <w:sz w:val="28"/>
          <w:szCs w:val="28"/>
        </w:rPr>
      </w:pPr>
      <w:r>
        <w:rPr>
          <w:rFonts w:ascii="宋体" w:eastAsia="宋体" w:hAnsi="宋体" w:cs="仿宋_GB2312" w:hint="eastAsia"/>
          <w:sz w:val="24"/>
          <w:szCs w:val="24"/>
        </w:rPr>
        <w:t xml:space="preserve">  </w:t>
      </w:r>
      <w:r>
        <w:rPr>
          <w:rFonts w:ascii="仿宋_GB2312" w:hAnsi="仿宋_GB2312" w:cs="仿宋_GB2312" w:hint="eastAsia"/>
          <w:bCs/>
          <w:sz w:val="28"/>
          <w:szCs w:val="28"/>
        </w:rPr>
        <w:t>无</w:t>
      </w:r>
    </w:p>
    <w:p w:rsidR="00E07285" w:rsidRDefault="00E07285" w:rsidP="00E07285">
      <w:pPr>
        <w:spacing w:beforeLines="50" w:before="156" w:afterLines="50" w:after="156" w:line="460" w:lineRule="exact"/>
        <w:rPr>
          <w:rFonts w:ascii="黑体" w:eastAsia="黑体" w:hAnsi="黑体"/>
          <w:b/>
          <w:sz w:val="28"/>
          <w:szCs w:val="28"/>
        </w:rPr>
      </w:pPr>
      <w:r>
        <w:rPr>
          <w:rFonts w:ascii="黑体" w:eastAsia="黑体" w:hAnsi="黑体" w:hint="eastAsia"/>
          <w:b/>
          <w:sz w:val="28"/>
          <w:szCs w:val="28"/>
        </w:rPr>
        <w:t>七、其他</w:t>
      </w:r>
    </w:p>
    <w:p w:rsidR="00E07285" w:rsidRDefault="00E07285" w:rsidP="00E07285">
      <w:pPr>
        <w:spacing w:beforeLines="50" w:before="156" w:afterLines="50" w:after="156" w:line="460" w:lineRule="exact"/>
        <w:rPr>
          <w:rFonts w:ascii="黑体" w:eastAsia="黑体" w:hAnsi="黑体" w:hint="eastAsia"/>
          <w:b/>
          <w:sz w:val="28"/>
          <w:szCs w:val="28"/>
        </w:rPr>
      </w:pPr>
      <w:r>
        <w:rPr>
          <w:rFonts w:ascii="仿宋_GB2312" w:hAnsi="仿宋_GB2312" w:cs="仿宋_GB2312" w:hint="eastAsia"/>
          <w:bCs/>
          <w:sz w:val="28"/>
          <w:szCs w:val="28"/>
        </w:rPr>
        <w:t xml:space="preserve">   无</w:t>
      </w:r>
    </w:p>
    <w:p w:rsidR="00E07285" w:rsidRDefault="00E07285" w:rsidP="00E07285">
      <w:pPr>
        <w:spacing w:line="560" w:lineRule="exact"/>
        <w:ind w:firstLineChars="1200" w:firstLine="3360"/>
        <w:rPr>
          <w:rFonts w:ascii="仿宋" w:eastAsia="仿宋" w:hAnsi="仿宋"/>
          <w:sz w:val="28"/>
          <w:szCs w:val="28"/>
        </w:rPr>
      </w:pPr>
      <w:r>
        <w:rPr>
          <w:rFonts w:ascii="仿宋" w:eastAsia="仿宋" w:hAnsi="仿宋" w:hint="eastAsia"/>
          <w:sz w:val="28"/>
          <w:szCs w:val="28"/>
        </w:rPr>
        <w:t>大纲撰写人：姜桂华</w:t>
      </w:r>
    </w:p>
    <w:p w:rsidR="00E07285" w:rsidRDefault="00E07285" w:rsidP="00E07285">
      <w:pPr>
        <w:spacing w:line="560" w:lineRule="exact"/>
        <w:ind w:firstLineChars="1200" w:firstLine="3360"/>
        <w:rPr>
          <w:rFonts w:ascii="仿宋" w:eastAsia="仿宋" w:hAnsi="仿宋"/>
          <w:sz w:val="28"/>
          <w:szCs w:val="28"/>
        </w:rPr>
      </w:pPr>
      <w:r>
        <w:rPr>
          <w:rFonts w:ascii="仿宋" w:eastAsia="仿宋" w:hAnsi="仿宋" w:hint="eastAsia"/>
          <w:sz w:val="28"/>
          <w:szCs w:val="28"/>
        </w:rPr>
        <w:t>课程负责人：姜桂华</w:t>
      </w:r>
    </w:p>
    <w:p w:rsidR="00E07285" w:rsidRDefault="00E07285" w:rsidP="005F5429">
      <w:pPr>
        <w:spacing w:line="560" w:lineRule="exact"/>
        <w:ind w:firstLineChars="1200" w:firstLine="3360"/>
        <w:rPr>
          <w:rFonts w:ascii="仿宋" w:hAnsi="仿宋"/>
          <w:sz w:val="28"/>
          <w:szCs w:val="28"/>
        </w:rPr>
      </w:pPr>
      <w:r>
        <w:rPr>
          <w:rFonts w:ascii="仿宋" w:eastAsia="仿宋" w:hAnsi="仿宋" w:hint="eastAsia"/>
          <w:sz w:val="28"/>
          <w:szCs w:val="28"/>
        </w:rPr>
        <w:t>审核人：</w:t>
      </w:r>
      <w:r>
        <w:rPr>
          <w:rFonts w:ascii="仿宋_GB2312" w:hAnsi="微软雅黑" w:hint="eastAsia"/>
          <w:sz w:val="28"/>
          <w:szCs w:val="28"/>
        </w:rPr>
        <w:t xml:space="preserve"> </w:t>
      </w:r>
    </w:p>
    <w:p w:rsidR="00E07285" w:rsidRDefault="00E07285" w:rsidP="00E07285">
      <w:pPr>
        <w:spacing w:line="560" w:lineRule="exact"/>
        <w:jc w:val="left"/>
        <w:rPr>
          <w:rFonts w:ascii="仿宋" w:eastAsia="仿宋" w:hAnsi="仿宋"/>
          <w:sz w:val="28"/>
          <w:szCs w:val="28"/>
        </w:rPr>
      </w:pPr>
      <w:r>
        <w:rPr>
          <w:rFonts w:ascii="仿宋" w:eastAsia="仿宋" w:hAnsi="仿宋" w:hint="eastAsia"/>
          <w:sz w:val="28"/>
          <w:szCs w:val="28"/>
        </w:rPr>
        <w:t xml:space="preserve">                                        2021 年 4月</w:t>
      </w:r>
    </w:p>
    <w:p w:rsidR="00E07285" w:rsidRDefault="00E07285" w:rsidP="00E07285">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Pr>
          <w:rFonts w:ascii="方正小标宋简体" w:eastAsia="方正小标宋简体" w:hAnsi="宋体"/>
          <w:kern w:val="0"/>
          <w:szCs w:val="32"/>
        </w:rPr>
        <w:t>水质工程学</w:t>
      </w:r>
      <w:r>
        <w:rPr>
          <w:rFonts w:ascii="方正小标宋简体" w:eastAsia="方正小标宋简体" w:hAnsi="宋体"/>
          <w:kern w:val="0"/>
          <w:szCs w:val="32"/>
        </w:rPr>
        <w:t>Ⅰ</w:t>
      </w:r>
      <w:r>
        <w:rPr>
          <w:rFonts w:ascii="方正小标宋简体" w:eastAsia="方正小标宋简体" w:hAnsi="宋体" w:hint="eastAsia"/>
          <w:kern w:val="0"/>
          <w:szCs w:val="32"/>
        </w:rPr>
        <w:t>》课程教学大纲</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E07285" w:rsidRDefault="00E07285" w:rsidP="00E07285">
      <w:pPr>
        <w:spacing w:line="560" w:lineRule="exact"/>
        <w:ind w:firstLine="331"/>
        <w:rPr>
          <w:rFonts w:ascii="Times New Roman" w:hAnsi="Times New Roman"/>
          <w:bCs/>
          <w:sz w:val="28"/>
          <w:szCs w:val="28"/>
        </w:rPr>
      </w:pPr>
      <w:r>
        <w:rPr>
          <w:rFonts w:ascii="仿宋_GB2312" w:hAnsi="仿宋_GB2312" w:cs="仿宋_GB2312" w:hint="eastAsia"/>
          <w:bCs/>
          <w:sz w:val="28"/>
          <w:szCs w:val="28"/>
        </w:rPr>
        <w:t>英文名称：</w:t>
      </w:r>
      <w:r>
        <w:rPr>
          <w:rFonts w:ascii="Times New Roman" w:hAnsi="Times New Roman"/>
          <w:bCs/>
          <w:sz w:val="28"/>
          <w:szCs w:val="28"/>
        </w:rPr>
        <w:t>Water quality engineering I</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课程编码：</w:t>
      </w:r>
      <w:r>
        <w:rPr>
          <w:rFonts w:ascii="Times New Roman" w:hAnsi="Times New Roman"/>
          <w:bCs/>
          <w:sz w:val="28"/>
          <w:szCs w:val="28"/>
        </w:rPr>
        <w:t>Z2806160</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课程类别：专业发展课程</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3</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48</w:t>
      </w:r>
      <w:r>
        <w:rPr>
          <w:rFonts w:ascii="仿宋_GB2312" w:hAnsi="仿宋_GB2312" w:cs="仿宋_GB2312" w:hint="eastAsia"/>
          <w:bCs/>
          <w:sz w:val="28"/>
          <w:szCs w:val="28"/>
        </w:rPr>
        <w:t>学时（授课48学时，实验</w:t>
      </w:r>
      <w:r>
        <w:rPr>
          <w:rFonts w:ascii="仿宋_GB2312" w:hAnsi="仿宋_GB2312" w:cs="仿宋_GB2312"/>
          <w:bCs/>
          <w:sz w:val="28"/>
          <w:szCs w:val="28"/>
        </w:rPr>
        <w:t>0</w:t>
      </w:r>
      <w:r>
        <w:rPr>
          <w:rFonts w:ascii="仿宋_GB2312" w:hAnsi="仿宋_GB2312" w:cs="仿宋_GB2312" w:hint="eastAsia"/>
          <w:bCs/>
          <w:sz w:val="28"/>
          <w:szCs w:val="28"/>
        </w:rPr>
        <w:t>学时，上机</w:t>
      </w:r>
      <w:r>
        <w:rPr>
          <w:rFonts w:ascii="仿宋_GB2312" w:hAnsi="仿宋_GB2312" w:cs="仿宋_GB2312"/>
          <w:bCs/>
          <w:sz w:val="28"/>
          <w:szCs w:val="28"/>
        </w:rPr>
        <w:t>0</w:t>
      </w:r>
      <w:r>
        <w:rPr>
          <w:rFonts w:ascii="仿宋_GB2312" w:hAnsi="仿宋_GB2312" w:cs="仿宋_GB2312" w:hint="eastAsia"/>
          <w:bCs/>
          <w:sz w:val="28"/>
          <w:szCs w:val="28"/>
        </w:rPr>
        <w:t>学时，课外</w:t>
      </w:r>
      <w:r>
        <w:rPr>
          <w:rFonts w:ascii="仿宋_GB2312" w:hAnsi="仿宋_GB2312" w:cs="仿宋_GB2312"/>
          <w:bCs/>
          <w:sz w:val="28"/>
          <w:szCs w:val="28"/>
        </w:rPr>
        <w:t>0</w:t>
      </w:r>
      <w:r>
        <w:rPr>
          <w:rFonts w:ascii="仿宋_GB2312" w:hAnsi="仿宋_GB2312" w:cs="仿宋_GB2312" w:hint="eastAsia"/>
          <w:bCs/>
          <w:sz w:val="28"/>
          <w:szCs w:val="28"/>
        </w:rPr>
        <w:t>学时）</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w:t>
      </w:r>
      <w:r>
        <w:rPr>
          <w:rFonts w:ascii="仿宋_GB2312" w:hAnsi="仿宋_GB2312" w:cs="仿宋_GB2312"/>
          <w:bCs/>
          <w:sz w:val="28"/>
          <w:szCs w:val="28"/>
        </w:rPr>
        <w:t>与工程</w:t>
      </w:r>
      <w:r>
        <w:rPr>
          <w:rFonts w:ascii="仿宋_GB2312" w:hAnsi="仿宋_GB2312" w:cs="仿宋_GB2312" w:hint="eastAsia"/>
          <w:bCs/>
          <w:sz w:val="28"/>
          <w:szCs w:val="28"/>
        </w:rPr>
        <w:t>专业</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先修课程：普通</w:t>
      </w:r>
      <w:r>
        <w:rPr>
          <w:rFonts w:ascii="仿宋_GB2312" w:hAnsi="仿宋_GB2312" w:cs="仿宋_GB2312"/>
          <w:bCs/>
          <w:sz w:val="28"/>
          <w:szCs w:val="28"/>
        </w:rPr>
        <w:t>化学，给水排水物理化学，水分析化学，</w:t>
      </w:r>
      <w:r>
        <w:rPr>
          <w:rFonts w:ascii="仿宋_GB2312" w:hAnsi="仿宋_GB2312" w:cs="仿宋_GB2312" w:hint="eastAsia"/>
          <w:bCs/>
          <w:sz w:val="28"/>
          <w:szCs w:val="28"/>
        </w:rPr>
        <w:t>水力学</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w:t>
      </w:r>
      <w:r>
        <w:rPr>
          <w:rFonts w:ascii="仿宋_GB2312" w:hAnsi="仿宋_GB2312" w:cs="仿宋_GB2312"/>
          <w:bCs/>
          <w:sz w:val="28"/>
          <w:szCs w:val="28"/>
        </w:rPr>
        <w:t>工程</w:t>
      </w:r>
      <w:r>
        <w:rPr>
          <w:rFonts w:ascii="仿宋_GB2312" w:hAnsi="仿宋_GB2312" w:cs="仿宋_GB2312" w:hint="eastAsia"/>
          <w:bCs/>
          <w:sz w:val="28"/>
          <w:szCs w:val="28"/>
        </w:rPr>
        <w:t>学院给排水科学</w:t>
      </w:r>
      <w:r>
        <w:rPr>
          <w:rFonts w:ascii="仿宋_GB2312" w:hAnsi="仿宋_GB2312" w:cs="仿宋_GB2312"/>
          <w:bCs/>
          <w:sz w:val="28"/>
          <w:szCs w:val="28"/>
        </w:rPr>
        <w:t>与工程</w:t>
      </w:r>
      <w:r>
        <w:rPr>
          <w:rFonts w:ascii="仿宋_GB2312" w:hAnsi="仿宋_GB2312" w:cs="仿宋_GB2312" w:hint="eastAsia"/>
          <w:bCs/>
          <w:sz w:val="28"/>
          <w:szCs w:val="28"/>
        </w:rPr>
        <w:t>系</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E07285" w:rsidRDefault="00E07285" w:rsidP="00E07285">
      <w:pPr>
        <w:spacing w:line="560" w:lineRule="exact"/>
        <w:ind w:firstLineChars="250" w:firstLine="700"/>
        <w:rPr>
          <w:rFonts w:ascii="仿宋_GB2312" w:hAnsi="仿宋_GB2312" w:cs="仿宋_GB2312"/>
          <w:bCs/>
          <w:sz w:val="28"/>
          <w:szCs w:val="28"/>
        </w:rPr>
      </w:pPr>
      <w:r>
        <w:rPr>
          <w:rFonts w:ascii="仿宋_GB2312" w:hAnsi="仿宋_GB2312" w:cs="仿宋_GB2312"/>
          <w:bCs/>
          <w:sz w:val="28"/>
          <w:szCs w:val="28"/>
        </w:rPr>
        <w:t>《水质工程学</w:t>
      </w:r>
      <w:r>
        <w:rPr>
          <w:rFonts w:ascii="仿宋_GB2312" w:hAnsi="仿宋_GB2312" w:cs="仿宋_GB2312" w:hint="eastAsia"/>
          <w:bCs/>
          <w:sz w:val="28"/>
          <w:szCs w:val="28"/>
        </w:rPr>
        <w:t>Ⅰ</w:t>
      </w:r>
      <w:r>
        <w:rPr>
          <w:rFonts w:ascii="仿宋_GB2312" w:hAnsi="仿宋_GB2312" w:cs="仿宋_GB2312"/>
          <w:bCs/>
          <w:sz w:val="28"/>
          <w:szCs w:val="28"/>
        </w:rPr>
        <w:t>》是给排水科学与工程专业学生的专业发展必修课，是一门综合性、多学科交叉实践性很强的课程。本课程旨在使学生掌握净水厂水处理的基本方法、理论和工艺，熟悉各处理构筑物的工作原理、结构和设计，了解相关水质标准、掌握净水处理工艺和现代技术方法，配合实验、实习和课程设计等教学环节，使学生能够独立地进行城市净水厂处理工程的设计</w:t>
      </w:r>
      <w:r>
        <w:rPr>
          <w:rFonts w:ascii="仿宋_GB2312" w:hAnsi="仿宋_GB2312" w:cs="仿宋_GB2312" w:hint="eastAsia"/>
          <w:bCs/>
          <w:sz w:val="28"/>
          <w:szCs w:val="28"/>
        </w:rPr>
        <w:t>，掌握净水厂</w:t>
      </w:r>
      <w:r>
        <w:rPr>
          <w:rFonts w:ascii="仿宋_GB2312" w:hAnsi="仿宋_GB2312" w:cs="仿宋_GB2312"/>
          <w:bCs/>
          <w:sz w:val="28"/>
          <w:szCs w:val="28"/>
        </w:rPr>
        <w:t>运行管理</w:t>
      </w:r>
      <w:r>
        <w:rPr>
          <w:rFonts w:ascii="仿宋_GB2312" w:hAnsi="仿宋_GB2312" w:cs="仿宋_GB2312" w:hint="eastAsia"/>
          <w:bCs/>
          <w:sz w:val="28"/>
          <w:szCs w:val="28"/>
        </w:rPr>
        <w:t>等方面的</w:t>
      </w:r>
      <w:r>
        <w:rPr>
          <w:rFonts w:ascii="仿宋_GB2312" w:hAnsi="仿宋_GB2312" w:cs="仿宋_GB2312"/>
          <w:bCs/>
          <w:sz w:val="28"/>
          <w:szCs w:val="28"/>
        </w:rPr>
        <w:t>知识。了解国内外给水</w:t>
      </w:r>
      <w:r>
        <w:rPr>
          <w:rFonts w:ascii="仿宋_GB2312" w:hAnsi="仿宋_GB2312" w:cs="仿宋_GB2312" w:hint="eastAsia"/>
          <w:bCs/>
          <w:sz w:val="28"/>
          <w:szCs w:val="28"/>
        </w:rPr>
        <w:t>处理新</w:t>
      </w:r>
      <w:r>
        <w:rPr>
          <w:rFonts w:ascii="仿宋_GB2312" w:hAnsi="仿宋_GB2312" w:cs="仿宋_GB2312"/>
          <w:bCs/>
          <w:sz w:val="28"/>
          <w:szCs w:val="28"/>
        </w:rPr>
        <w:t>理论、新技术</w:t>
      </w:r>
      <w:r>
        <w:rPr>
          <w:rFonts w:ascii="仿宋_GB2312" w:hAnsi="仿宋_GB2312" w:cs="仿宋_GB2312" w:hint="eastAsia"/>
          <w:bCs/>
          <w:sz w:val="28"/>
          <w:szCs w:val="28"/>
        </w:rPr>
        <w:t>和</w:t>
      </w:r>
      <w:r>
        <w:rPr>
          <w:rFonts w:ascii="仿宋_GB2312" w:hAnsi="仿宋_GB2312" w:cs="仿宋_GB2312"/>
          <w:bCs/>
          <w:sz w:val="28"/>
          <w:szCs w:val="28"/>
        </w:rPr>
        <w:t>新设备。</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课程主要内容：水质和水质标准</w:t>
      </w:r>
      <w:r>
        <w:rPr>
          <w:rFonts w:ascii="仿宋_GB2312" w:hAnsi="仿宋_GB2312" w:cs="仿宋_GB2312" w:hint="eastAsia"/>
          <w:bCs/>
          <w:sz w:val="28"/>
          <w:szCs w:val="28"/>
        </w:rPr>
        <w:t>，</w:t>
      </w:r>
      <w:r>
        <w:rPr>
          <w:rFonts w:ascii="仿宋_GB2312" w:hAnsi="仿宋_GB2312" w:cs="仿宋_GB2312"/>
          <w:bCs/>
          <w:sz w:val="28"/>
          <w:szCs w:val="28"/>
        </w:rPr>
        <w:t>反应器原理</w:t>
      </w:r>
      <w:r>
        <w:rPr>
          <w:rFonts w:ascii="仿宋_GB2312" w:hAnsi="仿宋_GB2312" w:cs="仿宋_GB2312" w:hint="eastAsia"/>
          <w:bCs/>
          <w:sz w:val="28"/>
          <w:szCs w:val="28"/>
        </w:rPr>
        <w:t>，</w:t>
      </w:r>
      <w:r>
        <w:rPr>
          <w:rFonts w:ascii="仿宋_GB2312" w:hAnsi="仿宋_GB2312" w:cs="仿宋_GB2312"/>
          <w:bCs/>
          <w:sz w:val="28"/>
          <w:szCs w:val="28"/>
        </w:rPr>
        <w:t>混凝动力学、混</w:t>
      </w:r>
      <w:r>
        <w:rPr>
          <w:rFonts w:ascii="仿宋_GB2312" w:hAnsi="仿宋_GB2312" w:cs="仿宋_GB2312"/>
          <w:bCs/>
          <w:sz w:val="28"/>
          <w:szCs w:val="28"/>
        </w:rPr>
        <w:lastRenderedPageBreak/>
        <w:t>合和絮凝设备，自由沉淀、拥挤沉淀和絮凝沉淀、平流和斜管沉淀池，澄清池，过滤理论，滤料和承托层，滤池反冲洗，普通快滤池，虹吸滤池，</w:t>
      </w:r>
      <w:r>
        <w:rPr>
          <w:rFonts w:ascii="仿宋_GB2312" w:hAnsi="仿宋_GB2312" w:cs="仿宋_GB2312" w:hint="eastAsia"/>
          <w:bCs/>
          <w:sz w:val="28"/>
          <w:szCs w:val="28"/>
        </w:rPr>
        <w:t>无</w:t>
      </w:r>
      <w:r>
        <w:rPr>
          <w:rFonts w:ascii="仿宋_GB2312" w:hAnsi="仿宋_GB2312" w:cs="仿宋_GB2312"/>
          <w:bCs/>
          <w:sz w:val="28"/>
          <w:szCs w:val="28"/>
        </w:rPr>
        <w:t>阀滤池，V型滤池，</w:t>
      </w:r>
      <w:r>
        <w:rPr>
          <w:rFonts w:ascii="仿宋_GB2312" w:hAnsi="仿宋_GB2312" w:cs="仿宋_GB2312" w:hint="eastAsia"/>
          <w:bCs/>
          <w:sz w:val="28"/>
          <w:szCs w:val="28"/>
        </w:rPr>
        <w:t>氯</w:t>
      </w:r>
      <w:r>
        <w:rPr>
          <w:rFonts w:ascii="仿宋_GB2312" w:hAnsi="仿宋_GB2312" w:cs="仿宋_GB2312"/>
          <w:bCs/>
          <w:sz w:val="28"/>
          <w:szCs w:val="28"/>
        </w:rPr>
        <w:t>消毒</w:t>
      </w:r>
      <w:r>
        <w:rPr>
          <w:rFonts w:ascii="仿宋_GB2312" w:hAnsi="仿宋_GB2312" w:cs="仿宋_GB2312" w:hint="eastAsia"/>
          <w:bCs/>
          <w:sz w:val="28"/>
          <w:szCs w:val="28"/>
        </w:rPr>
        <w:t>和</w:t>
      </w:r>
      <w:r>
        <w:rPr>
          <w:rFonts w:ascii="仿宋_GB2312" w:hAnsi="仿宋_GB2312" w:cs="仿宋_GB2312"/>
          <w:bCs/>
          <w:sz w:val="28"/>
          <w:szCs w:val="28"/>
        </w:rPr>
        <w:t>二氧化氯</w:t>
      </w:r>
      <w:r>
        <w:rPr>
          <w:rFonts w:ascii="仿宋_GB2312" w:hAnsi="仿宋_GB2312" w:cs="仿宋_GB2312" w:hint="eastAsia"/>
          <w:bCs/>
          <w:sz w:val="28"/>
          <w:szCs w:val="28"/>
        </w:rPr>
        <w:t>消毒</w:t>
      </w:r>
      <w:r>
        <w:rPr>
          <w:rFonts w:ascii="仿宋_GB2312" w:hAnsi="仿宋_GB2312" w:cs="仿宋_GB2312"/>
          <w:bCs/>
          <w:sz w:val="28"/>
          <w:szCs w:val="28"/>
        </w:rPr>
        <w:t>、净水厂设计等。</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课程授课</w:t>
      </w:r>
      <w:r>
        <w:rPr>
          <w:rFonts w:ascii="仿宋_GB2312" w:hAnsi="仿宋_GB2312" w:cs="仿宋_GB2312"/>
          <w:bCs/>
          <w:sz w:val="28"/>
          <w:szCs w:val="28"/>
        </w:rPr>
        <w:t>方式</w:t>
      </w:r>
      <w:r>
        <w:rPr>
          <w:rFonts w:ascii="仿宋_GB2312" w:hAnsi="仿宋_GB2312" w:cs="仿宋_GB2312" w:hint="eastAsia"/>
          <w:bCs/>
          <w:sz w:val="28"/>
          <w:szCs w:val="28"/>
        </w:rPr>
        <w:t>采用</w:t>
      </w:r>
      <w:r>
        <w:rPr>
          <w:rFonts w:ascii="仿宋_GB2312" w:hAnsi="仿宋_GB2312" w:cs="仿宋_GB2312"/>
          <w:bCs/>
          <w:sz w:val="28"/>
          <w:szCs w:val="28"/>
        </w:rPr>
        <w:t>PPT</w:t>
      </w:r>
      <w:r>
        <w:rPr>
          <w:rFonts w:ascii="仿宋_GB2312" w:hAnsi="仿宋_GB2312" w:cs="仿宋_GB2312" w:hint="eastAsia"/>
          <w:bCs/>
          <w:sz w:val="28"/>
          <w:szCs w:val="28"/>
        </w:rPr>
        <w:t>、板书、课后思考题和练习题等相结合进行授课，使学生具备给水处理的设计计算</w:t>
      </w:r>
      <w:r>
        <w:rPr>
          <w:rFonts w:ascii="仿宋_GB2312" w:hAnsi="仿宋_GB2312" w:cs="仿宋_GB2312"/>
          <w:bCs/>
          <w:sz w:val="28"/>
          <w:szCs w:val="28"/>
        </w:rPr>
        <w:t>能力</w:t>
      </w:r>
      <w:r>
        <w:rPr>
          <w:rFonts w:ascii="仿宋_GB2312" w:hAnsi="仿宋_GB2312" w:cs="仿宋_GB2312" w:hint="eastAsia"/>
          <w:bCs/>
          <w:sz w:val="28"/>
          <w:szCs w:val="28"/>
        </w:rPr>
        <w:t>。</w:t>
      </w:r>
    </w:p>
    <w:p w:rsidR="00E07285" w:rsidRDefault="00E07285" w:rsidP="00E07285">
      <w:pPr>
        <w:pStyle w:val="a3"/>
        <w:spacing w:line="56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通过</w:t>
      </w:r>
      <w:r>
        <w:rPr>
          <w:rFonts w:ascii="仿宋_GB2312" w:eastAsia="仿宋_GB2312" w:hAnsi="仿宋_GB2312" w:cs="仿宋_GB2312"/>
          <w:bCs/>
          <w:sz w:val="28"/>
          <w:szCs w:val="28"/>
        </w:rPr>
        <w:t>该课程的学习</w:t>
      </w:r>
      <w:r>
        <w:rPr>
          <w:rFonts w:ascii="仿宋_GB2312" w:eastAsia="仿宋_GB2312" w:hAnsi="仿宋_GB2312" w:cs="仿宋_GB2312" w:hint="eastAsia"/>
          <w:bCs/>
          <w:sz w:val="28"/>
          <w:szCs w:val="28"/>
        </w:rPr>
        <w:t>使学生</w:t>
      </w:r>
      <w:r>
        <w:rPr>
          <w:rFonts w:ascii="仿宋_GB2312" w:eastAsia="仿宋_GB2312" w:hAnsi="仿宋_GB2312" w:cs="仿宋_GB2312"/>
          <w:bCs/>
          <w:sz w:val="28"/>
          <w:szCs w:val="28"/>
        </w:rPr>
        <w:t>能够将有关</w:t>
      </w:r>
      <w:r>
        <w:rPr>
          <w:rFonts w:ascii="仿宋_GB2312" w:eastAsia="仿宋_GB2312" w:hAnsi="仿宋_GB2312" w:cs="仿宋_GB2312" w:hint="eastAsia"/>
          <w:bCs/>
          <w:sz w:val="28"/>
          <w:szCs w:val="28"/>
        </w:rPr>
        <w:t>专业</w:t>
      </w:r>
      <w:r>
        <w:rPr>
          <w:rFonts w:ascii="仿宋_GB2312" w:eastAsia="仿宋_GB2312" w:hAnsi="仿宋_GB2312" w:cs="仿宋_GB2312"/>
          <w:bCs/>
          <w:sz w:val="28"/>
          <w:szCs w:val="28"/>
        </w:rPr>
        <w:t>知识应用于</w:t>
      </w:r>
      <w:r>
        <w:rPr>
          <w:rFonts w:ascii="仿宋_GB2312" w:eastAsia="仿宋_GB2312" w:hAnsi="仿宋_GB2312" w:cs="仿宋_GB2312" w:hint="eastAsia"/>
          <w:bCs/>
          <w:sz w:val="28"/>
          <w:szCs w:val="28"/>
        </w:rPr>
        <w:t>给</w:t>
      </w:r>
      <w:r>
        <w:rPr>
          <w:rFonts w:ascii="仿宋_GB2312" w:eastAsia="仿宋_GB2312" w:hAnsi="仿宋_GB2312" w:cs="仿宋_GB2312"/>
          <w:bCs/>
          <w:sz w:val="28"/>
          <w:szCs w:val="28"/>
        </w:rPr>
        <w:t>水处理系统，</w:t>
      </w:r>
      <w:r>
        <w:rPr>
          <w:rFonts w:ascii="仿宋_GB2312" w:eastAsia="仿宋_GB2312" w:hAnsi="仿宋_GB2312" w:cs="仿宋_GB2312" w:hint="eastAsia"/>
          <w:bCs/>
          <w:sz w:val="28"/>
          <w:szCs w:val="28"/>
        </w:rPr>
        <w:t>根据不同原水水质和</w:t>
      </w:r>
      <w:r>
        <w:rPr>
          <w:rFonts w:ascii="仿宋_GB2312" w:eastAsia="仿宋_GB2312" w:hAnsi="仿宋_GB2312" w:cs="仿宋_GB2312"/>
          <w:bCs/>
          <w:sz w:val="28"/>
          <w:szCs w:val="28"/>
        </w:rPr>
        <w:t>影响因素</w:t>
      </w:r>
      <w:r>
        <w:rPr>
          <w:rFonts w:ascii="仿宋_GB2312" w:eastAsia="仿宋_GB2312" w:hAnsi="仿宋_GB2312" w:cs="仿宋_GB2312" w:hint="eastAsia"/>
          <w:bCs/>
          <w:sz w:val="28"/>
          <w:szCs w:val="28"/>
        </w:rPr>
        <w:t>，提供地表水厂设计</w:t>
      </w:r>
      <w:r>
        <w:rPr>
          <w:rFonts w:ascii="仿宋_GB2312" w:eastAsia="仿宋_GB2312" w:hAnsi="仿宋_GB2312" w:cs="仿宋_GB2312"/>
          <w:bCs/>
          <w:sz w:val="28"/>
          <w:szCs w:val="28"/>
        </w:rPr>
        <w:t>方案</w:t>
      </w:r>
      <w:r>
        <w:rPr>
          <w:rFonts w:ascii="仿宋_GB2312" w:eastAsia="仿宋_GB2312" w:hAnsi="仿宋_GB2312" w:cs="仿宋_GB2312" w:hint="eastAsia"/>
          <w:bCs/>
          <w:sz w:val="28"/>
          <w:szCs w:val="28"/>
        </w:rPr>
        <w:t>，选择合理的工艺参数，确定净水</w:t>
      </w:r>
      <w:r>
        <w:rPr>
          <w:rFonts w:ascii="仿宋_GB2312" w:eastAsia="仿宋_GB2312" w:hAnsi="仿宋_GB2312" w:cs="仿宋_GB2312"/>
          <w:bCs/>
          <w:sz w:val="28"/>
          <w:szCs w:val="28"/>
        </w:rPr>
        <w:t>厂</w:t>
      </w:r>
      <w:r>
        <w:rPr>
          <w:rFonts w:ascii="仿宋_GB2312" w:eastAsia="仿宋_GB2312" w:hAnsi="仿宋_GB2312" w:cs="仿宋_GB2312" w:hint="eastAsia"/>
          <w:bCs/>
          <w:sz w:val="28"/>
          <w:szCs w:val="28"/>
        </w:rPr>
        <w:t>水</w:t>
      </w:r>
      <w:r>
        <w:rPr>
          <w:rFonts w:ascii="仿宋_GB2312" w:eastAsia="仿宋_GB2312" w:hAnsi="仿宋_GB2312" w:cs="仿宋_GB2312"/>
          <w:bCs/>
          <w:sz w:val="28"/>
          <w:szCs w:val="28"/>
        </w:rPr>
        <w:t>处理</w:t>
      </w:r>
      <w:r>
        <w:rPr>
          <w:rFonts w:ascii="仿宋_GB2312" w:eastAsia="仿宋_GB2312" w:hAnsi="仿宋_GB2312" w:cs="仿宋_GB2312" w:hint="eastAsia"/>
          <w:bCs/>
          <w:sz w:val="28"/>
          <w:szCs w:val="28"/>
        </w:rPr>
        <w:t>工艺</w:t>
      </w:r>
      <w:r>
        <w:rPr>
          <w:rFonts w:ascii="仿宋_GB2312" w:eastAsia="仿宋_GB2312" w:hAnsi="仿宋_GB2312" w:cs="仿宋_GB2312"/>
          <w:bCs/>
          <w:sz w:val="28"/>
          <w:szCs w:val="28"/>
        </w:rPr>
        <w:t>流程</w:t>
      </w:r>
      <w:r>
        <w:rPr>
          <w:rFonts w:ascii="仿宋_GB2312" w:eastAsia="仿宋_GB2312" w:hAnsi="仿宋_GB2312" w:cs="仿宋_GB2312" w:hint="eastAsia"/>
          <w:bCs/>
          <w:sz w:val="28"/>
          <w:szCs w:val="28"/>
        </w:rPr>
        <w:t>。</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通过</w:t>
      </w:r>
      <w:r>
        <w:rPr>
          <w:rFonts w:ascii="仿宋_GB2312" w:hAnsi="仿宋_GB2312" w:cs="仿宋_GB2312" w:hint="eastAsia"/>
          <w:sz w:val="28"/>
          <w:szCs w:val="28"/>
        </w:rPr>
        <w:t>该</w:t>
      </w:r>
      <w:r>
        <w:rPr>
          <w:rFonts w:ascii="仿宋_GB2312" w:hAnsi="仿宋_GB2312" w:cs="仿宋_GB2312"/>
          <w:sz w:val="28"/>
          <w:szCs w:val="28"/>
        </w:rPr>
        <w:t>课程</w:t>
      </w:r>
      <w:r>
        <w:rPr>
          <w:rFonts w:ascii="仿宋_GB2312" w:hAnsi="仿宋_GB2312" w:cs="仿宋_GB2312" w:hint="eastAsia"/>
          <w:sz w:val="28"/>
          <w:szCs w:val="28"/>
        </w:rPr>
        <w:t>的</w:t>
      </w:r>
      <w:r>
        <w:rPr>
          <w:rFonts w:ascii="仿宋_GB2312" w:hAnsi="仿宋_GB2312" w:cs="仿宋_GB2312"/>
          <w:sz w:val="28"/>
          <w:szCs w:val="28"/>
        </w:rPr>
        <w:t>学习使学生</w:t>
      </w:r>
      <w:r>
        <w:rPr>
          <w:rFonts w:ascii="仿宋_GB2312" w:hAnsi="仿宋_GB2312" w:cs="仿宋_GB2312" w:hint="eastAsia"/>
          <w:sz w:val="28"/>
          <w:szCs w:val="28"/>
        </w:rPr>
        <w:t>了解</w:t>
      </w:r>
      <w:r>
        <w:rPr>
          <w:rFonts w:ascii="仿宋_GB2312" w:hAnsi="仿宋_GB2312" w:cs="仿宋_GB2312"/>
          <w:sz w:val="28"/>
          <w:szCs w:val="28"/>
        </w:rPr>
        <w:t>我国现行《</w:t>
      </w:r>
      <w:r>
        <w:rPr>
          <w:rFonts w:ascii="仿宋_GB2312" w:hAnsi="仿宋_GB2312" w:cs="仿宋_GB2312" w:hint="eastAsia"/>
          <w:sz w:val="28"/>
          <w:szCs w:val="28"/>
        </w:rPr>
        <w:t>生活饮用水</w:t>
      </w:r>
      <w:r>
        <w:rPr>
          <w:rFonts w:ascii="仿宋_GB2312" w:hAnsi="仿宋_GB2312" w:cs="仿宋_GB2312"/>
          <w:sz w:val="28"/>
          <w:szCs w:val="28"/>
        </w:rPr>
        <w:t>卫生</w:t>
      </w:r>
      <w:r>
        <w:rPr>
          <w:rFonts w:ascii="仿宋_GB2312" w:hAnsi="仿宋_GB2312" w:cs="仿宋_GB2312" w:hint="eastAsia"/>
          <w:sz w:val="28"/>
          <w:szCs w:val="28"/>
        </w:rPr>
        <w:t>标准</w:t>
      </w:r>
      <w:r>
        <w:rPr>
          <w:rFonts w:ascii="仿宋_GB2312" w:hAnsi="仿宋_GB2312" w:cs="仿宋_GB2312"/>
          <w:sz w:val="28"/>
          <w:szCs w:val="28"/>
        </w:rPr>
        <w:t>》</w:t>
      </w:r>
      <w:r>
        <w:rPr>
          <w:rFonts w:ascii="仿宋_GB2312" w:hAnsi="仿宋_GB2312" w:cs="仿宋_GB2312" w:hint="eastAsia"/>
          <w:sz w:val="28"/>
          <w:szCs w:val="28"/>
        </w:rPr>
        <w:t>，</w:t>
      </w:r>
      <w:r>
        <w:rPr>
          <w:rFonts w:ascii="仿宋_GB2312" w:hAnsi="仿宋_GB2312" w:cs="仿宋_GB2312"/>
          <w:sz w:val="28"/>
          <w:szCs w:val="28"/>
        </w:rPr>
        <w:t>了解反应器原理</w:t>
      </w:r>
      <w:r>
        <w:rPr>
          <w:rFonts w:ascii="仿宋_GB2312" w:hAnsi="仿宋_GB2312" w:cs="仿宋_GB2312" w:hint="eastAsia"/>
          <w:sz w:val="28"/>
          <w:szCs w:val="28"/>
        </w:rPr>
        <w:t>应</w:t>
      </w:r>
      <w:r>
        <w:rPr>
          <w:rFonts w:ascii="仿宋_GB2312" w:hAnsi="仿宋_GB2312" w:cs="仿宋_GB2312"/>
          <w:sz w:val="28"/>
          <w:szCs w:val="28"/>
        </w:rPr>
        <w:t>用于水处理</w:t>
      </w:r>
      <w:r>
        <w:rPr>
          <w:rFonts w:ascii="仿宋_GB2312" w:hAnsi="仿宋_GB2312" w:cs="仿宋_GB2312" w:hint="eastAsia"/>
          <w:sz w:val="28"/>
          <w:szCs w:val="28"/>
        </w:rPr>
        <w:t>单元</w:t>
      </w:r>
      <w:r>
        <w:rPr>
          <w:rFonts w:ascii="仿宋_GB2312" w:hAnsi="仿宋_GB2312" w:cs="仿宋_GB2312"/>
          <w:sz w:val="28"/>
          <w:szCs w:val="28"/>
        </w:rPr>
        <w:t>的作用和特点。通过混凝的学习，应掌握混凝机理，速度梯度G值的涵义，对当前净水厂中常用的混合和絮凝设备掌握其选型和设计计算。通过沉淀的学习，应掌握自由沉淀、拥挤沉淀和絮凝沉淀的特点，应掌握平流沉淀池和斜板（管）沉淀池的设计计算，掌握澄清池的构造、工作原理和特点。通过过滤的学习，掌握过滤机理，等速过滤和变速过滤的优缺点，掌握大阻力</w:t>
      </w:r>
      <w:r>
        <w:rPr>
          <w:rFonts w:ascii="仿宋_GB2312" w:hAnsi="仿宋_GB2312" w:cs="仿宋_GB2312" w:hint="eastAsia"/>
          <w:sz w:val="28"/>
          <w:szCs w:val="28"/>
        </w:rPr>
        <w:t>和</w:t>
      </w:r>
      <w:r>
        <w:rPr>
          <w:rFonts w:ascii="仿宋_GB2312" w:hAnsi="仿宋_GB2312" w:cs="仿宋_GB2312"/>
          <w:sz w:val="28"/>
          <w:szCs w:val="28"/>
        </w:rPr>
        <w:t>小阻力配水系统</w:t>
      </w:r>
      <w:r>
        <w:rPr>
          <w:rFonts w:ascii="仿宋_GB2312" w:hAnsi="仿宋_GB2312" w:cs="仿宋_GB2312" w:hint="eastAsia"/>
          <w:sz w:val="28"/>
          <w:szCs w:val="28"/>
        </w:rPr>
        <w:t>的</w:t>
      </w:r>
      <w:r>
        <w:rPr>
          <w:rFonts w:ascii="仿宋_GB2312" w:hAnsi="仿宋_GB2312" w:cs="仿宋_GB2312"/>
          <w:sz w:val="28"/>
          <w:szCs w:val="28"/>
        </w:rPr>
        <w:t>构造</w:t>
      </w:r>
      <w:r>
        <w:rPr>
          <w:rFonts w:ascii="仿宋_GB2312" w:hAnsi="仿宋_GB2312" w:cs="仿宋_GB2312" w:hint="eastAsia"/>
          <w:sz w:val="28"/>
          <w:szCs w:val="28"/>
        </w:rPr>
        <w:t>特点</w:t>
      </w:r>
      <w:r>
        <w:rPr>
          <w:rFonts w:ascii="仿宋_GB2312" w:hAnsi="仿宋_GB2312" w:cs="仿宋_GB2312"/>
          <w:sz w:val="28"/>
          <w:szCs w:val="28"/>
        </w:rPr>
        <w:t>，掌握普通快滤池、V型滤池、虹吸滤池和无阀滤池的设计计算。通过消毒的学习，了解各种消毒方法及其优缺点。通过水厂设计的学习，了解厂址选择应考虑的因素，掌握水厂工艺流程和处理构筑物选择，掌握水厂平面和高程布置，了解水厂生产过程检测和自动控制。</w:t>
      </w:r>
    </w:p>
    <w:p w:rsidR="00E07285" w:rsidRDefault="00E07285"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E07285" w:rsidRDefault="00E07285" w:rsidP="00E07285">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E07285" w:rsidRDefault="00E07285" w:rsidP="00E07285">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lastRenderedPageBreak/>
        <w:t>知识目标：通过学习本门课程，</w:t>
      </w:r>
      <w:r>
        <w:rPr>
          <w:rFonts w:ascii="仿宋_GB2312" w:hAnsi="仿宋_GB2312" w:cs="仿宋_GB2312"/>
          <w:bCs/>
          <w:sz w:val="28"/>
          <w:szCs w:val="28"/>
        </w:rPr>
        <w:t>了解并掌握水源水质性质，水质标准与可持续发展的方针政策和法规；掌握常规水处理技术的基本理论和工程学方法；能够独立选择确定净水处理工艺并进行基本的设计计算</w:t>
      </w:r>
      <w:r>
        <w:rPr>
          <w:rFonts w:ascii="仿宋_GB2312" w:hAnsi="仿宋_GB2312" w:cs="仿宋_GB2312" w:hint="eastAsia"/>
          <w:bCs/>
          <w:sz w:val="28"/>
          <w:szCs w:val="28"/>
        </w:rPr>
        <w:t>。</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hint="eastAsia"/>
          <w:sz w:val="28"/>
          <w:szCs w:val="28"/>
        </w:rPr>
        <w:t>能力目标：学生能够</w:t>
      </w:r>
      <w:r>
        <w:rPr>
          <w:rFonts w:ascii="仿宋_GB2312" w:hAnsi="仿宋_GB2312" w:cs="仿宋_GB2312"/>
          <w:bCs/>
          <w:sz w:val="28"/>
          <w:szCs w:val="28"/>
        </w:rPr>
        <w:t>根据不同水源水质，经过方案比选后确定合理的净水工艺流程</w:t>
      </w:r>
      <w:r>
        <w:rPr>
          <w:rFonts w:ascii="仿宋_GB2312" w:hAnsi="仿宋_GB2312" w:cs="仿宋_GB2312" w:hint="eastAsia"/>
          <w:bCs/>
          <w:sz w:val="28"/>
          <w:szCs w:val="28"/>
        </w:rPr>
        <w:t>；</w:t>
      </w:r>
      <w:r>
        <w:rPr>
          <w:rFonts w:ascii="仿宋_GB2312" w:hAnsi="仿宋_GB2312" w:cs="仿宋_GB2312"/>
          <w:bCs/>
          <w:sz w:val="28"/>
          <w:szCs w:val="28"/>
        </w:rPr>
        <w:t>初步具备净水厂处理工程的设计及相关科学研究能力</w:t>
      </w:r>
      <w:r>
        <w:rPr>
          <w:rFonts w:ascii="仿宋_GB2312" w:hAnsi="仿宋_GB2312" w:cs="仿宋_GB2312" w:hint="eastAsia"/>
          <w:bCs/>
          <w:sz w:val="28"/>
          <w:szCs w:val="28"/>
        </w:rPr>
        <w:t>；</w:t>
      </w:r>
      <w:r>
        <w:rPr>
          <w:rFonts w:ascii="仿宋_GB2312" w:hAnsi="仿宋_GB2312" w:cs="仿宋_GB2312"/>
          <w:bCs/>
          <w:sz w:val="28"/>
          <w:szCs w:val="28"/>
        </w:rPr>
        <w:t>了解国内外给水处理的新工艺与新技术</w:t>
      </w:r>
      <w:r>
        <w:rPr>
          <w:rFonts w:ascii="仿宋_GB2312" w:hAnsi="仿宋_GB2312" w:cs="仿宋_GB2312" w:hint="eastAsia"/>
          <w:bCs/>
          <w:sz w:val="28"/>
          <w:szCs w:val="28"/>
        </w:rPr>
        <w:t>；具备给排水</w:t>
      </w:r>
      <w:r>
        <w:rPr>
          <w:rFonts w:ascii="仿宋_GB2312" w:hAnsi="仿宋_GB2312" w:cs="仿宋_GB2312"/>
          <w:bCs/>
          <w:sz w:val="28"/>
          <w:szCs w:val="28"/>
        </w:rPr>
        <w:t>专业的工程设计、科研及运行管理等方面的</w:t>
      </w:r>
      <w:r>
        <w:rPr>
          <w:rFonts w:ascii="仿宋_GB2312" w:hAnsi="仿宋_GB2312" w:cs="仿宋_GB2312" w:hint="eastAsia"/>
          <w:bCs/>
          <w:sz w:val="28"/>
          <w:szCs w:val="28"/>
        </w:rPr>
        <w:t>能力</w:t>
      </w:r>
      <w:r>
        <w:rPr>
          <w:rFonts w:ascii="仿宋_GB2312" w:hAnsi="仿宋_GB2312" w:cs="仿宋_GB2312"/>
          <w:bCs/>
          <w:sz w:val="28"/>
          <w:szCs w:val="28"/>
        </w:rPr>
        <w:t>。</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情感态度与价值观目标：理解水资源保护、饮用水质安全、生态文明建设</w:t>
      </w:r>
      <w:r>
        <w:rPr>
          <w:rFonts w:ascii="仿宋_GB2312" w:hAnsi="仿宋_GB2312" w:cs="仿宋_GB2312"/>
          <w:bCs/>
          <w:sz w:val="28"/>
          <w:szCs w:val="28"/>
        </w:rPr>
        <w:t>的重要意义，</w:t>
      </w:r>
      <w:r>
        <w:rPr>
          <w:rFonts w:ascii="仿宋_GB2312" w:hAnsi="仿宋_GB2312" w:cs="仿宋_GB2312" w:hint="eastAsia"/>
          <w:bCs/>
          <w:sz w:val="28"/>
          <w:szCs w:val="28"/>
        </w:rPr>
        <w:t>领会两山理论的深刻内涵，树立专业自信和职业责任感，激发爱国热情。</w:t>
      </w:r>
      <w:r>
        <w:rPr>
          <w:rFonts w:ascii="仿宋_GB2312" w:hAnsi="仿宋_GB2312" w:cs="仿宋_GB2312"/>
          <w:sz w:val="28"/>
          <w:szCs w:val="28"/>
        </w:rPr>
        <w:t xml:space="preserve"> </w:t>
      </w:r>
    </w:p>
    <w:p w:rsidR="00E07285" w:rsidRDefault="00E07285" w:rsidP="00E07285">
      <w:pPr>
        <w:spacing w:line="560" w:lineRule="exact"/>
        <w:ind w:firstLineChars="200" w:firstLine="560"/>
        <w:rPr>
          <w:rFonts w:ascii="仿宋_GB2312" w:hAnsi="仿宋_GB2312" w:cs="仿宋_GB2312"/>
          <w:bCs/>
          <w:sz w:val="28"/>
          <w:szCs w:val="28"/>
        </w:rPr>
      </w:pPr>
    </w:p>
    <w:p w:rsidR="00E07285" w:rsidRDefault="00E07285" w:rsidP="00E07285">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489"/>
        <w:gridCol w:w="489"/>
        <w:gridCol w:w="489"/>
        <w:gridCol w:w="489"/>
        <w:gridCol w:w="489"/>
        <w:gridCol w:w="489"/>
        <w:gridCol w:w="489"/>
        <w:gridCol w:w="490"/>
        <w:gridCol w:w="490"/>
        <w:gridCol w:w="509"/>
        <w:gridCol w:w="509"/>
        <w:gridCol w:w="509"/>
      </w:tblGrid>
      <w:tr w:rsidR="00E07285" w:rsidTr="00E07285">
        <w:trPr>
          <w:trHeight w:hRule="exact" w:val="454"/>
          <w:jc w:val="center"/>
        </w:trPr>
        <w:tc>
          <w:tcPr>
            <w:tcW w:w="2743" w:type="dxa"/>
            <w:vMerge w:val="restart"/>
            <w:shd w:val="clear" w:color="auto" w:fill="auto"/>
            <w:vAlign w:val="center"/>
          </w:tcPr>
          <w:p w:rsidR="00E07285" w:rsidRDefault="00E07285" w:rsidP="00E07285">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课程目标</w:t>
            </w:r>
          </w:p>
        </w:tc>
        <w:tc>
          <w:tcPr>
            <w:tcW w:w="6233" w:type="dxa"/>
            <w:gridSpan w:val="12"/>
            <w:shd w:val="clear" w:color="auto" w:fill="auto"/>
            <w:vAlign w:val="center"/>
          </w:tcPr>
          <w:p w:rsidR="00E07285" w:rsidRDefault="00E07285" w:rsidP="00E07285">
            <w:pPr>
              <w:jc w:val="center"/>
              <w:rPr>
                <w:rFonts w:ascii="仿宋_GB2312" w:hAnsi="仿宋_GB2312" w:cs="仿宋_GB2312"/>
                <w:bCs/>
                <w:sz w:val="24"/>
                <w:szCs w:val="24"/>
              </w:rPr>
            </w:pPr>
            <w:r>
              <w:rPr>
                <w:rFonts w:ascii="仿宋_GB2312" w:hAnsi="仿宋_GB2312" w:cs="仿宋_GB2312" w:hint="eastAsia"/>
                <w:bCs/>
                <w:sz w:val="24"/>
                <w:szCs w:val="24"/>
              </w:rPr>
              <w:t>毕业要求</w:t>
            </w:r>
          </w:p>
        </w:tc>
      </w:tr>
      <w:tr w:rsidR="00E07285" w:rsidTr="00E07285">
        <w:trPr>
          <w:trHeight w:hRule="exact" w:val="454"/>
          <w:jc w:val="center"/>
        </w:trPr>
        <w:tc>
          <w:tcPr>
            <w:tcW w:w="2743" w:type="dxa"/>
            <w:vMerge/>
            <w:shd w:val="clear" w:color="auto" w:fill="auto"/>
          </w:tcPr>
          <w:p w:rsidR="00E07285" w:rsidRDefault="00E07285" w:rsidP="00E07285">
            <w:pPr>
              <w:spacing w:line="360" w:lineRule="auto"/>
              <w:rPr>
                <w:rFonts w:ascii="仿宋_GB2312" w:hAnsi="仿宋_GB2312" w:cs="仿宋_GB2312"/>
                <w:bCs/>
                <w:sz w:val="24"/>
                <w:szCs w:val="24"/>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1</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2</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3</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4</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5</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6</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7</w:t>
            </w: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8</w:t>
            </w: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9</w:t>
            </w: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10</w:t>
            </w: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11</w:t>
            </w: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12</w:t>
            </w:r>
          </w:p>
        </w:tc>
      </w:tr>
      <w:tr w:rsidR="00E07285" w:rsidTr="00E07285">
        <w:trPr>
          <w:trHeight w:hRule="exact" w:val="454"/>
          <w:jc w:val="center"/>
        </w:trPr>
        <w:tc>
          <w:tcPr>
            <w:tcW w:w="2743" w:type="dxa"/>
            <w:shd w:val="clear" w:color="auto" w:fill="auto"/>
            <w:vAlign w:val="center"/>
          </w:tcPr>
          <w:p w:rsidR="00E07285" w:rsidRDefault="00E07285" w:rsidP="00E07285">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知识目标</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r>
              <w:rPr>
                <w:rFonts w:ascii="仿宋" w:eastAsia="仿宋" w:hAnsi="仿宋" w:hint="eastAsia"/>
                <w:color w:val="000000"/>
                <w:kern w:val="0"/>
                <w:sz w:val="21"/>
                <w:szCs w:val="21"/>
              </w:rPr>
              <w:t>H</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r>
              <w:rPr>
                <w:rFonts w:ascii="仿宋" w:eastAsia="仿宋" w:hAnsi="仿宋" w:hint="eastAsia"/>
                <w:color w:val="000000"/>
                <w:kern w:val="0"/>
                <w:sz w:val="21"/>
                <w:szCs w:val="21"/>
              </w:rPr>
              <w:t>H</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r>
              <w:rPr>
                <w:rFonts w:ascii="仿宋" w:eastAsia="仿宋" w:hAnsi="仿宋" w:hint="eastAsia"/>
                <w:color w:val="000000"/>
                <w:kern w:val="0"/>
                <w:sz w:val="21"/>
                <w:szCs w:val="21"/>
              </w:rPr>
              <w:t>L</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r>
      <w:tr w:rsidR="00E07285" w:rsidTr="00E07285">
        <w:trPr>
          <w:trHeight w:hRule="exact" w:val="454"/>
          <w:jc w:val="center"/>
        </w:trPr>
        <w:tc>
          <w:tcPr>
            <w:tcW w:w="2743" w:type="dxa"/>
            <w:shd w:val="clear" w:color="auto" w:fill="auto"/>
            <w:vAlign w:val="center"/>
          </w:tcPr>
          <w:p w:rsidR="00E07285" w:rsidRDefault="00E07285" w:rsidP="00E07285">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能力目标</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r>
              <w:rPr>
                <w:rFonts w:ascii="仿宋" w:eastAsia="仿宋" w:hAnsi="仿宋" w:hint="eastAsia"/>
                <w:kern w:val="0"/>
                <w:sz w:val="21"/>
                <w:szCs w:val="21"/>
              </w:rPr>
              <w:t>H</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r>
              <w:rPr>
                <w:rFonts w:ascii="仿宋" w:eastAsia="仿宋" w:hAnsi="仿宋" w:hint="eastAsia"/>
                <w:kern w:val="0"/>
                <w:sz w:val="21"/>
                <w:szCs w:val="21"/>
              </w:rPr>
              <w:t>H</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r>
      <w:tr w:rsidR="00E07285" w:rsidTr="00E07285">
        <w:trPr>
          <w:trHeight w:hRule="exact" w:val="454"/>
          <w:jc w:val="center"/>
        </w:trPr>
        <w:tc>
          <w:tcPr>
            <w:tcW w:w="2743" w:type="dxa"/>
            <w:shd w:val="clear" w:color="auto" w:fill="auto"/>
            <w:vAlign w:val="center"/>
          </w:tcPr>
          <w:p w:rsidR="00E07285" w:rsidRDefault="00E07285" w:rsidP="00E07285">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情感态度与价值观目标</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1"/>
                <w:szCs w:val="21"/>
              </w:rPr>
            </w:pPr>
            <w:r>
              <w:rPr>
                <w:rFonts w:ascii="仿宋" w:eastAsia="仿宋" w:hAnsi="仿宋" w:hint="eastAsia"/>
                <w:kern w:val="0"/>
                <w:sz w:val="21"/>
                <w:szCs w:val="21"/>
              </w:rPr>
              <w:t>M</w:t>
            </w: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E07285" w:rsidRDefault="00E07285" w:rsidP="00E07285">
            <w:pPr>
              <w:tabs>
                <w:tab w:val="left" w:pos="6300"/>
              </w:tabs>
              <w:spacing w:line="360" w:lineRule="atLeast"/>
              <w:jc w:val="center"/>
              <w:rPr>
                <w:rFonts w:ascii="仿宋_GB2312" w:hAnsi="华文中宋" w:cs="宋体"/>
                <w:bCs/>
                <w:sz w:val="24"/>
                <w:szCs w:val="24"/>
              </w:rPr>
            </w:pPr>
          </w:p>
        </w:tc>
      </w:tr>
    </w:tbl>
    <w:p w:rsidR="00E07285" w:rsidRDefault="00E07285" w:rsidP="00E07285">
      <w:pPr>
        <w:spacing w:line="360" w:lineRule="auto"/>
        <w:ind w:firstLine="331"/>
        <w:rPr>
          <w:rFonts w:ascii="仿宋_GB2312" w:hAnsi="仿宋_GB2312" w:cs="仿宋_GB2312"/>
          <w:b/>
          <w:color w:val="FF0000"/>
          <w:sz w:val="28"/>
          <w:szCs w:val="28"/>
        </w:rPr>
      </w:pP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课程的重点：了解</w:t>
      </w:r>
      <w:r>
        <w:rPr>
          <w:rFonts w:ascii="仿宋_GB2312" w:hAnsi="仿宋_GB2312" w:cs="仿宋_GB2312"/>
          <w:sz w:val="28"/>
          <w:szCs w:val="28"/>
        </w:rPr>
        <w:t>我国现行《</w:t>
      </w:r>
      <w:r>
        <w:rPr>
          <w:rFonts w:ascii="仿宋_GB2312" w:hAnsi="仿宋_GB2312" w:cs="仿宋_GB2312" w:hint="eastAsia"/>
          <w:sz w:val="28"/>
          <w:szCs w:val="28"/>
        </w:rPr>
        <w:t>生活饮用水</w:t>
      </w:r>
      <w:r>
        <w:rPr>
          <w:rFonts w:ascii="仿宋_GB2312" w:hAnsi="仿宋_GB2312" w:cs="仿宋_GB2312"/>
          <w:sz w:val="28"/>
          <w:szCs w:val="28"/>
        </w:rPr>
        <w:t>卫生</w:t>
      </w:r>
      <w:r>
        <w:rPr>
          <w:rFonts w:ascii="仿宋_GB2312" w:hAnsi="仿宋_GB2312" w:cs="仿宋_GB2312" w:hint="eastAsia"/>
          <w:sz w:val="28"/>
          <w:szCs w:val="28"/>
        </w:rPr>
        <w:t>标准</w:t>
      </w:r>
      <w:r>
        <w:rPr>
          <w:rFonts w:ascii="仿宋_GB2312" w:hAnsi="仿宋_GB2312" w:cs="仿宋_GB2312"/>
          <w:sz w:val="28"/>
          <w:szCs w:val="28"/>
        </w:rPr>
        <w:t>》</w:t>
      </w:r>
      <w:r>
        <w:rPr>
          <w:rFonts w:ascii="仿宋_GB2312" w:hAnsi="仿宋_GB2312" w:cs="仿宋_GB2312" w:hint="eastAsia"/>
          <w:sz w:val="28"/>
          <w:szCs w:val="28"/>
        </w:rPr>
        <w:t>，</w:t>
      </w:r>
      <w:r>
        <w:rPr>
          <w:rFonts w:ascii="仿宋_GB2312" w:hAnsi="仿宋_GB2312" w:cs="仿宋_GB2312"/>
          <w:sz w:val="28"/>
          <w:szCs w:val="28"/>
        </w:rPr>
        <w:t>反应器原理</w:t>
      </w:r>
      <w:r>
        <w:rPr>
          <w:rFonts w:ascii="仿宋_GB2312" w:hAnsi="仿宋_GB2312" w:cs="仿宋_GB2312" w:hint="eastAsia"/>
          <w:sz w:val="28"/>
          <w:szCs w:val="28"/>
        </w:rPr>
        <w:t>，</w:t>
      </w:r>
      <w:r>
        <w:rPr>
          <w:rFonts w:ascii="仿宋_GB2312" w:hAnsi="仿宋_GB2312" w:cs="仿宋_GB2312"/>
          <w:sz w:val="28"/>
          <w:szCs w:val="28"/>
        </w:rPr>
        <w:t>混凝机理，速度梯度G值的涵义，混合和絮凝设备选型</w:t>
      </w:r>
      <w:r>
        <w:rPr>
          <w:rFonts w:ascii="仿宋_GB2312" w:hAnsi="仿宋_GB2312" w:cs="仿宋_GB2312" w:hint="eastAsia"/>
          <w:sz w:val="28"/>
          <w:szCs w:val="28"/>
        </w:rPr>
        <w:t>及</w:t>
      </w:r>
      <w:r>
        <w:rPr>
          <w:rFonts w:ascii="仿宋_GB2312" w:hAnsi="仿宋_GB2312" w:cs="仿宋_GB2312"/>
          <w:sz w:val="28"/>
          <w:szCs w:val="28"/>
        </w:rPr>
        <w:t>设计计算</w:t>
      </w:r>
      <w:r>
        <w:rPr>
          <w:rFonts w:ascii="仿宋_GB2312" w:hAnsi="仿宋_GB2312" w:cs="仿宋_GB2312" w:hint="eastAsia"/>
          <w:sz w:val="28"/>
          <w:szCs w:val="28"/>
        </w:rPr>
        <w:t>，</w:t>
      </w:r>
      <w:r>
        <w:rPr>
          <w:rFonts w:ascii="仿宋_GB2312" w:hAnsi="仿宋_GB2312" w:cs="仿宋_GB2312"/>
          <w:sz w:val="28"/>
          <w:szCs w:val="28"/>
        </w:rPr>
        <w:t>自由沉淀、拥挤沉淀和絮凝沉淀的特点，平流沉淀池和斜板（管）沉淀池的设计计算，澄清池的构造、工作原理和特点。过滤机理，等速过滤和变速过滤的优缺点，大阻力</w:t>
      </w:r>
      <w:r>
        <w:rPr>
          <w:rFonts w:ascii="仿宋_GB2312" w:hAnsi="仿宋_GB2312" w:cs="仿宋_GB2312" w:hint="eastAsia"/>
          <w:sz w:val="28"/>
          <w:szCs w:val="28"/>
        </w:rPr>
        <w:t>和</w:t>
      </w:r>
      <w:r>
        <w:rPr>
          <w:rFonts w:ascii="仿宋_GB2312" w:hAnsi="仿宋_GB2312" w:cs="仿宋_GB2312"/>
          <w:sz w:val="28"/>
          <w:szCs w:val="28"/>
        </w:rPr>
        <w:t>小阻力配水系统</w:t>
      </w:r>
      <w:r>
        <w:rPr>
          <w:rFonts w:ascii="仿宋_GB2312" w:hAnsi="仿宋_GB2312" w:cs="仿宋_GB2312" w:hint="eastAsia"/>
          <w:sz w:val="28"/>
          <w:szCs w:val="28"/>
        </w:rPr>
        <w:t>的</w:t>
      </w:r>
      <w:r>
        <w:rPr>
          <w:rFonts w:ascii="仿宋_GB2312" w:hAnsi="仿宋_GB2312" w:cs="仿宋_GB2312"/>
          <w:sz w:val="28"/>
          <w:szCs w:val="28"/>
        </w:rPr>
        <w:t>构造</w:t>
      </w:r>
      <w:r>
        <w:rPr>
          <w:rFonts w:ascii="仿宋_GB2312" w:hAnsi="仿宋_GB2312" w:cs="仿宋_GB2312" w:hint="eastAsia"/>
          <w:sz w:val="28"/>
          <w:szCs w:val="28"/>
        </w:rPr>
        <w:t>特点</w:t>
      </w:r>
      <w:r>
        <w:rPr>
          <w:rFonts w:ascii="仿宋_GB2312" w:hAnsi="仿宋_GB2312" w:cs="仿宋_GB2312"/>
          <w:sz w:val="28"/>
          <w:szCs w:val="28"/>
        </w:rPr>
        <w:t>，</w:t>
      </w:r>
      <w:r>
        <w:rPr>
          <w:rFonts w:ascii="仿宋_GB2312" w:hAnsi="仿宋_GB2312" w:cs="仿宋_GB2312"/>
          <w:sz w:val="28"/>
          <w:szCs w:val="28"/>
        </w:rPr>
        <w:lastRenderedPageBreak/>
        <w:t>普通快滤池、V型滤池、虹吸滤池和无阀滤池的设计计算。各种消毒方法及其优缺点。水厂工艺流程和处理构筑物选择，水厂平面和高程布置，水厂生产过程检测和自动控制。</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课程的难点：</w:t>
      </w:r>
      <w:r>
        <w:rPr>
          <w:rFonts w:ascii="仿宋_GB2312" w:hAnsi="仿宋_GB2312" w:cs="仿宋_GB2312"/>
          <w:sz w:val="28"/>
          <w:szCs w:val="28"/>
        </w:rPr>
        <w:t>反应器原理</w:t>
      </w:r>
      <w:r>
        <w:rPr>
          <w:rFonts w:ascii="仿宋_GB2312" w:hAnsi="仿宋_GB2312" w:cs="仿宋_GB2312" w:hint="eastAsia"/>
          <w:sz w:val="28"/>
          <w:szCs w:val="28"/>
        </w:rPr>
        <w:t>，</w:t>
      </w:r>
      <w:r>
        <w:rPr>
          <w:rFonts w:ascii="仿宋_GB2312" w:hAnsi="仿宋_GB2312" w:cs="仿宋_GB2312"/>
          <w:sz w:val="28"/>
          <w:szCs w:val="28"/>
        </w:rPr>
        <w:t>混凝机理，自由沉淀、拥挤沉淀和絮凝沉淀的特点，澄清池的构造</w:t>
      </w:r>
      <w:r>
        <w:rPr>
          <w:rFonts w:ascii="仿宋_GB2312" w:hAnsi="仿宋_GB2312" w:cs="仿宋_GB2312" w:hint="eastAsia"/>
          <w:sz w:val="28"/>
          <w:szCs w:val="28"/>
        </w:rPr>
        <w:t>及</w:t>
      </w:r>
      <w:r>
        <w:rPr>
          <w:rFonts w:ascii="仿宋_GB2312" w:hAnsi="仿宋_GB2312" w:cs="仿宋_GB2312"/>
          <w:sz w:val="28"/>
          <w:szCs w:val="28"/>
        </w:rPr>
        <w:t>工作原理。过滤机理，等速过滤和变速过滤的优缺点，大阻力</w:t>
      </w:r>
      <w:r>
        <w:rPr>
          <w:rFonts w:ascii="仿宋_GB2312" w:hAnsi="仿宋_GB2312" w:cs="仿宋_GB2312" w:hint="eastAsia"/>
          <w:sz w:val="28"/>
          <w:szCs w:val="28"/>
        </w:rPr>
        <w:t>和</w:t>
      </w:r>
      <w:r>
        <w:rPr>
          <w:rFonts w:ascii="仿宋_GB2312" w:hAnsi="仿宋_GB2312" w:cs="仿宋_GB2312"/>
          <w:sz w:val="28"/>
          <w:szCs w:val="28"/>
        </w:rPr>
        <w:t>小阻力配水系统</w:t>
      </w:r>
      <w:r>
        <w:rPr>
          <w:rFonts w:ascii="仿宋_GB2312" w:hAnsi="仿宋_GB2312" w:cs="仿宋_GB2312" w:hint="eastAsia"/>
          <w:sz w:val="28"/>
          <w:szCs w:val="28"/>
        </w:rPr>
        <w:t>的</w:t>
      </w:r>
      <w:r>
        <w:rPr>
          <w:rFonts w:ascii="仿宋_GB2312" w:hAnsi="仿宋_GB2312" w:cs="仿宋_GB2312"/>
          <w:sz w:val="28"/>
          <w:szCs w:val="28"/>
        </w:rPr>
        <w:t>构造</w:t>
      </w:r>
      <w:r>
        <w:rPr>
          <w:rFonts w:ascii="仿宋_GB2312" w:hAnsi="仿宋_GB2312" w:cs="仿宋_GB2312" w:hint="eastAsia"/>
          <w:sz w:val="28"/>
          <w:szCs w:val="28"/>
        </w:rPr>
        <w:t>特点</w:t>
      </w:r>
      <w:r>
        <w:rPr>
          <w:rFonts w:ascii="仿宋_GB2312" w:hAnsi="仿宋_GB2312" w:cs="仿宋_GB2312"/>
          <w:sz w:val="28"/>
          <w:szCs w:val="28"/>
        </w:rPr>
        <w:t>，普通快滤池、V型滤池、虹吸滤池的设计计算。</w:t>
      </w:r>
      <w:r>
        <w:rPr>
          <w:rFonts w:ascii="仿宋_GB2312" w:hAnsi="仿宋_GB2312" w:cs="仿宋_GB2312" w:hint="eastAsia"/>
          <w:sz w:val="28"/>
          <w:szCs w:val="28"/>
        </w:rPr>
        <w:t>氯</w:t>
      </w:r>
      <w:r>
        <w:rPr>
          <w:rFonts w:ascii="仿宋_GB2312" w:hAnsi="仿宋_GB2312" w:cs="仿宋_GB2312"/>
          <w:sz w:val="28"/>
          <w:szCs w:val="28"/>
        </w:rPr>
        <w:t>消毒</w:t>
      </w:r>
      <w:r>
        <w:rPr>
          <w:rFonts w:ascii="仿宋_GB2312" w:hAnsi="仿宋_GB2312" w:cs="仿宋_GB2312" w:hint="eastAsia"/>
          <w:sz w:val="28"/>
          <w:szCs w:val="28"/>
        </w:rPr>
        <w:t>，</w:t>
      </w:r>
      <w:r>
        <w:rPr>
          <w:rFonts w:ascii="仿宋_GB2312" w:hAnsi="仿宋_GB2312" w:cs="仿宋_GB2312"/>
          <w:sz w:val="28"/>
          <w:szCs w:val="28"/>
        </w:rPr>
        <w:t>水厂工艺流程和处理构筑物选择，水厂平面和高程布置。</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E07285" w:rsidRDefault="00E07285" w:rsidP="00E07285">
      <w:pPr>
        <w:snapToGrid w:val="0"/>
        <w:spacing w:line="560" w:lineRule="exact"/>
        <w:ind w:firstLineChars="200" w:firstLine="560"/>
        <w:outlineLvl w:val="0"/>
        <w:rPr>
          <w:rFonts w:ascii="仿宋_GB2312" w:hAnsi="仿宋_GB2312" w:cs="仿宋_GB2312"/>
          <w:bCs/>
          <w:sz w:val="28"/>
          <w:szCs w:val="28"/>
        </w:rPr>
      </w:pPr>
      <w:r>
        <w:rPr>
          <w:rFonts w:ascii="仿宋_GB2312" w:hAnsi="仿宋_GB2312" w:cs="仿宋_GB2312" w:hint="eastAsia"/>
          <w:bCs/>
          <w:sz w:val="28"/>
          <w:szCs w:val="28"/>
        </w:rPr>
        <w:t>以</w:t>
      </w:r>
      <w:r>
        <w:rPr>
          <w:rFonts w:ascii="仿宋_GB2312" w:hAnsi="仿宋_GB2312" w:cs="仿宋_GB2312"/>
          <w:bCs/>
          <w:sz w:val="28"/>
          <w:szCs w:val="28"/>
        </w:rPr>
        <w:t>学生为中心，</w:t>
      </w:r>
      <w:r>
        <w:rPr>
          <w:rFonts w:ascii="仿宋_GB2312" w:hAnsi="仿宋_GB2312" w:cs="仿宋_GB2312" w:hint="eastAsia"/>
          <w:bCs/>
          <w:sz w:val="28"/>
          <w:szCs w:val="28"/>
        </w:rPr>
        <w:t>教学过程中采用理论</w:t>
      </w:r>
      <w:r>
        <w:rPr>
          <w:rFonts w:ascii="仿宋_GB2312" w:hAnsi="仿宋_GB2312" w:cs="仿宋_GB2312"/>
          <w:bCs/>
          <w:sz w:val="28"/>
          <w:szCs w:val="28"/>
        </w:rPr>
        <w:t>联系实际的</w:t>
      </w:r>
      <w:r>
        <w:rPr>
          <w:rFonts w:ascii="仿宋_GB2312" w:hAnsi="仿宋_GB2312" w:cs="仿宋_GB2312" w:hint="eastAsia"/>
          <w:bCs/>
          <w:sz w:val="28"/>
          <w:szCs w:val="28"/>
        </w:rPr>
        <w:t>教学方式，通过</w:t>
      </w:r>
      <w:r>
        <w:rPr>
          <w:rFonts w:ascii="仿宋_GB2312" w:hAnsi="仿宋_GB2312" w:cs="仿宋_GB2312"/>
          <w:bCs/>
          <w:sz w:val="28"/>
          <w:szCs w:val="28"/>
        </w:rPr>
        <w:t>例举典型事例</w:t>
      </w:r>
      <w:r>
        <w:rPr>
          <w:rFonts w:ascii="仿宋_GB2312" w:hAnsi="仿宋_GB2312" w:cs="仿宋_GB2312" w:hint="eastAsia"/>
          <w:bCs/>
          <w:sz w:val="28"/>
          <w:szCs w:val="28"/>
        </w:rPr>
        <w:t>说明环境</w:t>
      </w:r>
      <w:r>
        <w:rPr>
          <w:rFonts w:ascii="仿宋_GB2312" w:hAnsi="仿宋_GB2312" w:cs="仿宋_GB2312"/>
          <w:bCs/>
          <w:sz w:val="28"/>
          <w:szCs w:val="28"/>
        </w:rPr>
        <w:t>保护、水源保护、</w:t>
      </w:r>
      <w:r>
        <w:rPr>
          <w:rFonts w:ascii="仿宋_GB2312" w:hAnsi="仿宋_GB2312" w:cs="仿宋_GB2312" w:hint="eastAsia"/>
          <w:bCs/>
          <w:sz w:val="28"/>
          <w:szCs w:val="28"/>
        </w:rPr>
        <w:t>水安全</w:t>
      </w:r>
      <w:r>
        <w:rPr>
          <w:rFonts w:ascii="仿宋_GB2312" w:hAnsi="仿宋_GB2312" w:cs="仿宋_GB2312"/>
          <w:bCs/>
          <w:sz w:val="28"/>
          <w:szCs w:val="28"/>
        </w:rPr>
        <w:t>的重要性，</w:t>
      </w:r>
      <w:r>
        <w:rPr>
          <w:rFonts w:ascii="仿宋_GB2312" w:hAnsi="仿宋_GB2312" w:cs="仿宋_GB2312" w:hint="eastAsia"/>
          <w:bCs/>
          <w:sz w:val="28"/>
          <w:szCs w:val="28"/>
        </w:rPr>
        <w:t>真切</w:t>
      </w:r>
      <w:r>
        <w:rPr>
          <w:rFonts w:ascii="仿宋_GB2312" w:hAnsi="仿宋_GB2312" w:cs="仿宋_GB2312"/>
          <w:bCs/>
          <w:sz w:val="28"/>
          <w:szCs w:val="28"/>
        </w:rPr>
        <w:t>领悟</w:t>
      </w:r>
      <w:r>
        <w:rPr>
          <w:rFonts w:ascii="仿宋_GB2312" w:hAnsi="仿宋_GB2312" w:cs="仿宋_GB2312" w:hint="eastAsia"/>
          <w:bCs/>
          <w:sz w:val="28"/>
          <w:szCs w:val="28"/>
        </w:rPr>
        <w:t>习近平</w:t>
      </w:r>
      <w:r>
        <w:rPr>
          <w:rFonts w:ascii="仿宋_GB2312" w:hAnsi="仿宋_GB2312" w:cs="仿宋_GB2312"/>
          <w:bCs/>
          <w:sz w:val="28"/>
          <w:szCs w:val="28"/>
        </w:rPr>
        <w:t>“绿水青山就是金山银山”的深刻内涵</w:t>
      </w:r>
      <w:r>
        <w:rPr>
          <w:rFonts w:ascii="仿宋_GB2312" w:hAnsi="仿宋_GB2312" w:cs="仿宋_GB2312" w:hint="eastAsia"/>
          <w:bCs/>
          <w:sz w:val="28"/>
          <w:szCs w:val="28"/>
        </w:rPr>
        <w:t>，推进生态文明建设，保障饮水</w:t>
      </w:r>
      <w:r>
        <w:rPr>
          <w:rFonts w:ascii="仿宋_GB2312" w:hAnsi="仿宋_GB2312" w:cs="仿宋_GB2312"/>
          <w:bCs/>
          <w:sz w:val="28"/>
          <w:szCs w:val="28"/>
        </w:rPr>
        <w:t>安全，守护青山绿水就是守护我们的美丽中国。</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p w:rsidR="00E07285" w:rsidRDefault="00E07285" w:rsidP="00E07285">
      <w:pPr>
        <w:spacing w:line="400" w:lineRule="exact"/>
        <w:outlineLvl w:val="0"/>
        <w:rPr>
          <w:rFonts w:ascii="仿宋_GB2312" w:hAnsi="仿宋_GB2312" w:cs="仿宋_GB2312"/>
          <w:bCs/>
          <w:sz w:val="28"/>
          <w:szCs w:val="28"/>
        </w:rPr>
      </w:pPr>
      <w:r>
        <w:rPr>
          <w:rFonts w:ascii="仿宋_GB2312" w:hAnsi="仿宋_GB2312" w:cs="仿宋_GB2312"/>
          <w:bCs/>
          <w:sz w:val="28"/>
          <w:szCs w:val="28"/>
        </w:rPr>
        <w:t>（一）教学内容结构关系图</w:t>
      </w:r>
    </w:p>
    <w:p w:rsidR="00E07285" w:rsidRDefault="00E07285" w:rsidP="00E07285">
      <w:pPr>
        <w:spacing w:line="360" w:lineRule="auto"/>
        <w:rPr>
          <w:szCs w:val="21"/>
        </w:rPr>
      </w:pPr>
      <w:r>
        <w:rPr>
          <w:noProof/>
        </w:rPr>
        <mc:AlternateContent>
          <mc:Choice Requires="wps">
            <w:drawing>
              <wp:anchor distT="0" distB="0" distL="114300" distR="114300" simplePos="0" relativeHeight="251679744" behindDoc="0" locked="0" layoutInCell="1" allowOverlap="1" wp14:anchorId="3AC8F557" wp14:editId="4A78DCBA">
                <wp:simplePos x="0" y="0"/>
                <wp:positionH relativeFrom="column">
                  <wp:posOffset>1912620</wp:posOffset>
                </wp:positionH>
                <wp:positionV relativeFrom="paragraph">
                  <wp:posOffset>218440</wp:posOffset>
                </wp:positionV>
                <wp:extent cx="1112520" cy="261620"/>
                <wp:effectExtent l="5080" t="4445" r="10160" b="8255"/>
                <wp:wrapNone/>
                <wp:docPr id="22" name="文本框 22"/>
                <wp:cNvGraphicFramePr/>
                <a:graphic xmlns:a="http://schemas.openxmlformats.org/drawingml/2006/main">
                  <a:graphicData uri="http://schemas.microsoft.com/office/word/2010/wordprocessingShape">
                    <wps:wsp>
                      <wps:cNvSpPr txBox="1"/>
                      <wps:spPr>
                        <a:xfrm>
                          <a:off x="0" y="0"/>
                          <a:ext cx="1112520" cy="2616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水质工程学</w:t>
                            </w:r>
                            <w:r>
                              <w:rPr>
                                <w:rFonts w:ascii="仿宋" w:eastAsia="仿宋" w:hAnsi="仿宋"/>
                                <w:snapToGrid w:val="0"/>
                                <w:sz w:val="24"/>
                                <w:szCs w:val="24"/>
                              </w:rPr>
                              <w:t>Ⅰ</w:t>
                            </w:r>
                          </w:p>
                        </w:txbxContent>
                      </wps:txbx>
                      <wps:bodyPr upright="1"/>
                    </wps:wsp>
                  </a:graphicData>
                </a:graphic>
              </wp:anchor>
            </w:drawing>
          </mc:Choice>
          <mc:Fallback>
            <w:pict>
              <v:shape w14:anchorId="3AC8F557" id="文本框 22" o:spid="_x0000_s1038" type="#_x0000_t202" style="position:absolute;left:0;text-align:left;margin-left:150.6pt;margin-top:17.2pt;width:87.6pt;height:20.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">
                <v:textbo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水质工程学</w:t>
                      </w:r>
                      <w:r>
                        <w:rPr>
                          <w:rFonts w:ascii="仿宋" w:eastAsia="仿宋" w:hAnsi="仿宋"/>
                          <w:snapToGrid w:val="0"/>
                          <w:sz w:val="24"/>
                          <w:szCs w:val="24"/>
                        </w:rPr>
                        <w:t>Ⅰ</w:t>
                      </w:r>
                    </w:p>
                  </w:txbxContent>
                </v:textbox>
              </v:shape>
            </w:pict>
          </mc:Fallback>
        </mc:AlternateContent>
      </w:r>
    </w:p>
    <w:p w:rsidR="00E07285" w:rsidRDefault="00E07285" w:rsidP="00E07285">
      <w:pPr>
        <w:spacing w:line="360" w:lineRule="auto"/>
        <w:rPr>
          <w:szCs w:val="21"/>
        </w:rPr>
      </w:pPr>
      <w:r>
        <w:rPr>
          <w:noProof/>
          <w:szCs w:val="21"/>
        </w:rPr>
        <mc:AlternateContent>
          <mc:Choice Requires="wps">
            <w:drawing>
              <wp:anchor distT="0" distB="0" distL="114300" distR="114300" simplePos="0" relativeHeight="251680768" behindDoc="0" locked="0" layoutInCell="1" allowOverlap="1" wp14:anchorId="19B8A869" wp14:editId="5C2179A4">
                <wp:simplePos x="0" y="0"/>
                <wp:positionH relativeFrom="column">
                  <wp:posOffset>2447925</wp:posOffset>
                </wp:positionH>
                <wp:positionV relativeFrom="paragraph">
                  <wp:posOffset>107950</wp:posOffset>
                </wp:positionV>
                <wp:extent cx="635" cy="194945"/>
                <wp:effectExtent l="37465" t="0" r="38100" b="3175"/>
                <wp:wrapNone/>
                <wp:docPr id="21" name="直接箭头连接符 21"/>
                <wp:cNvGraphicFramePr/>
                <a:graphic xmlns:a="http://schemas.openxmlformats.org/drawingml/2006/main">
                  <a:graphicData uri="http://schemas.microsoft.com/office/word/2010/wordprocessingShape">
                    <wps:wsp>
                      <wps:cNvCnPr/>
                      <wps:spPr>
                        <a:xfrm>
                          <a:off x="0" y="0"/>
                          <a:ext cx="635" cy="1949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831C7B6" id="直接箭头连接符 21" o:spid="_x0000_s1026" type="#_x0000_t32" style="position:absolute;left:0;text-align:left;margin-left:192.75pt;margin-top:8.5pt;width:.05pt;height:15.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">
                <v:stroke endarrow="block"/>
              </v:shape>
            </w:pict>
          </mc:Fallback>
        </mc:AlternateContent>
      </w:r>
      <w:r>
        <w:rPr>
          <w:noProof/>
          <w:szCs w:val="21"/>
        </w:rPr>
        <mc:AlternateContent>
          <mc:Choice Requires="wps">
            <w:drawing>
              <wp:anchor distT="0" distB="0" distL="114300" distR="114300" simplePos="0" relativeHeight="251681792" behindDoc="0" locked="0" layoutInCell="1" allowOverlap="1" wp14:anchorId="0B447CF2" wp14:editId="5D7A06C3">
                <wp:simplePos x="0" y="0"/>
                <wp:positionH relativeFrom="column">
                  <wp:posOffset>838835</wp:posOffset>
                </wp:positionH>
                <wp:positionV relativeFrom="paragraph">
                  <wp:posOffset>315595</wp:posOffset>
                </wp:positionV>
                <wp:extent cx="3747135" cy="268605"/>
                <wp:effectExtent l="5080" t="4445" r="12065" b="16510"/>
                <wp:wrapNone/>
                <wp:docPr id="23" name="文本框 23"/>
                <wp:cNvGraphicFramePr/>
                <a:graphic xmlns:a="http://schemas.openxmlformats.org/drawingml/2006/main">
                  <a:graphicData uri="http://schemas.microsoft.com/office/word/2010/wordprocessingShape">
                    <wps:wsp>
                      <wps:cNvSpPr txBox="1"/>
                      <wps:spPr>
                        <a:xfrm>
                          <a:off x="0" y="0"/>
                          <a:ext cx="374713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ind w:firstLineChars="50" w:firstLine="120"/>
                              <w:rPr>
                                <w:sz w:val="21"/>
                                <w:szCs w:val="21"/>
                              </w:rPr>
                            </w:pPr>
                            <w:r>
                              <w:rPr>
                                <w:rFonts w:ascii="仿宋" w:eastAsia="仿宋" w:hAnsi="仿宋" w:hint="eastAsia"/>
                                <w:sz w:val="24"/>
                                <w:szCs w:val="24"/>
                              </w:rPr>
                              <w:t xml:space="preserve">原水水质特点 </w:t>
                            </w:r>
                            <w:r>
                              <w:rPr>
                                <w:rFonts w:ascii="仿宋" w:eastAsia="仿宋" w:hAnsi="仿宋"/>
                                <w:sz w:val="24"/>
                                <w:szCs w:val="24"/>
                              </w:rPr>
                              <w:t xml:space="preserve"> </w:t>
                            </w:r>
                            <w:r>
                              <w:rPr>
                                <w:rFonts w:ascii="仿宋" w:eastAsia="仿宋" w:hAnsi="仿宋" w:hint="eastAsia"/>
                                <w:sz w:val="24"/>
                                <w:szCs w:val="24"/>
                              </w:rPr>
                              <w:t xml:space="preserve"> 饮用水水质标准    反应器原</w:t>
                            </w:r>
                            <w:r>
                              <w:rPr>
                                <w:rFonts w:hint="eastAsia"/>
                                <w:sz w:val="21"/>
                                <w:szCs w:val="21"/>
                              </w:rPr>
                              <w:t>理</w:t>
                            </w:r>
                          </w:p>
                        </w:txbxContent>
                      </wps:txbx>
                      <wps:bodyPr upright="1"/>
                    </wps:wsp>
                  </a:graphicData>
                </a:graphic>
              </wp:anchor>
            </w:drawing>
          </mc:Choice>
          <mc:Fallback>
            <w:pict>
              <v:shape w14:anchorId="0B447CF2" id="文本框 23" o:spid="_x0000_s1039" type="#_x0000_t202" style="position:absolute;left:0;text-align:left;margin-left:66.05pt;margin-top:24.85pt;width:295.05pt;height:21.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">
                <v:textbox>
                  <w:txbxContent>
                    <w:p w:rsidR="00702523" w:rsidRDefault="00702523" w:rsidP="00E07285">
                      <w:pPr>
                        <w:ind w:firstLineChars="50" w:firstLine="120"/>
                        <w:rPr>
                          <w:sz w:val="21"/>
                          <w:szCs w:val="21"/>
                        </w:rPr>
                      </w:pPr>
                      <w:r>
                        <w:rPr>
                          <w:rFonts w:ascii="仿宋" w:eastAsia="仿宋" w:hAnsi="仿宋" w:hint="eastAsia"/>
                          <w:sz w:val="24"/>
                          <w:szCs w:val="24"/>
                        </w:rPr>
                        <w:t xml:space="preserve">原水水质特点 </w:t>
                      </w:r>
                      <w:r>
                        <w:rPr>
                          <w:rFonts w:ascii="仿宋" w:eastAsia="仿宋" w:hAnsi="仿宋"/>
                          <w:sz w:val="24"/>
                          <w:szCs w:val="24"/>
                        </w:rPr>
                        <w:t xml:space="preserve"> </w:t>
                      </w:r>
                      <w:r>
                        <w:rPr>
                          <w:rFonts w:ascii="仿宋" w:eastAsia="仿宋" w:hAnsi="仿宋" w:hint="eastAsia"/>
                          <w:sz w:val="24"/>
                          <w:szCs w:val="24"/>
                        </w:rPr>
                        <w:t xml:space="preserve"> 饮用水水质标准    反应器原</w:t>
                      </w:r>
                      <w:r>
                        <w:rPr>
                          <w:rFonts w:hint="eastAsia"/>
                          <w:sz w:val="21"/>
                          <w:szCs w:val="21"/>
                        </w:rPr>
                        <w:t>理</w:t>
                      </w:r>
                    </w:p>
                  </w:txbxContent>
                </v:textbox>
              </v:shape>
            </w:pict>
          </mc:Fallback>
        </mc:AlternateContent>
      </w:r>
    </w:p>
    <w:p w:rsidR="00E07285" w:rsidRDefault="00E07285" w:rsidP="00E07285">
      <w:pPr>
        <w:spacing w:line="360" w:lineRule="auto"/>
        <w:rPr>
          <w:szCs w:val="21"/>
        </w:rPr>
      </w:pPr>
      <w:r>
        <w:rPr>
          <w:noProof/>
          <w:szCs w:val="21"/>
        </w:rPr>
        <mc:AlternateContent>
          <mc:Choice Requires="wps">
            <w:drawing>
              <wp:anchor distT="0" distB="0" distL="114300" distR="114300" simplePos="0" relativeHeight="251682816" behindDoc="0" locked="0" layoutInCell="1" allowOverlap="1" wp14:anchorId="2D623F2F" wp14:editId="2D1EA779">
                <wp:simplePos x="0" y="0"/>
                <wp:positionH relativeFrom="column">
                  <wp:posOffset>2447925</wp:posOffset>
                </wp:positionH>
                <wp:positionV relativeFrom="paragraph">
                  <wp:posOffset>212090</wp:posOffset>
                </wp:positionV>
                <wp:extent cx="0" cy="220980"/>
                <wp:effectExtent l="38100" t="0" r="38100" b="7620"/>
                <wp:wrapNone/>
                <wp:docPr id="24" name="直接箭头连接符 24"/>
                <wp:cNvGraphicFramePr/>
                <a:graphic xmlns:a="http://schemas.openxmlformats.org/drawingml/2006/main">
                  <a:graphicData uri="http://schemas.microsoft.com/office/word/2010/wordprocessingShape">
                    <wps:wsp>
                      <wps:cNvCnPr/>
                      <wps:spPr>
                        <a:xfrm>
                          <a:off x="0" y="0"/>
                          <a:ext cx="0" cy="2209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5005DF5" id="直接箭头连接符 24" o:spid="_x0000_s1026" type="#_x0000_t32" style="position:absolute;left:0;text-align:left;margin-left:192.75pt;margin-top:16.7pt;width:0;height:17.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">
                <v:stroke endarrow="block"/>
              </v:shape>
            </w:pict>
          </mc:Fallback>
        </mc:AlternateContent>
      </w:r>
    </w:p>
    <w:p w:rsidR="00E07285" w:rsidRDefault="00E07285" w:rsidP="00E07285">
      <w:pPr>
        <w:spacing w:line="360" w:lineRule="auto"/>
        <w:rPr>
          <w:szCs w:val="21"/>
        </w:rPr>
      </w:pPr>
      <w:r>
        <w:rPr>
          <w:noProof/>
          <w:szCs w:val="21"/>
        </w:rPr>
        <mc:AlternateContent>
          <mc:Choice Requires="wps">
            <w:drawing>
              <wp:anchor distT="0" distB="0" distL="114300" distR="114300" simplePos="0" relativeHeight="251687936" behindDoc="0" locked="0" layoutInCell="1" allowOverlap="1" wp14:anchorId="0C0B85AE" wp14:editId="31142AF2">
                <wp:simplePos x="0" y="0"/>
                <wp:positionH relativeFrom="column">
                  <wp:posOffset>3766185</wp:posOffset>
                </wp:positionH>
                <wp:positionV relativeFrom="paragraph">
                  <wp:posOffset>92710</wp:posOffset>
                </wp:positionV>
                <wp:extent cx="809625" cy="307975"/>
                <wp:effectExtent l="4445" t="4445" r="8890" b="7620"/>
                <wp:wrapNone/>
                <wp:docPr id="30" name="文本框 30"/>
                <wp:cNvGraphicFramePr/>
                <a:graphic xmlns:a="http://schemas.openxmlformats.org/drawingml/2006/main">
                  <a:graphicData uri="http://schemas.microsoft.com/office/word/2010/wordprocessingShape">
                    <wps:wsp>
                      <wps:cNvSpPr txBox="1"/>
                      <wps:spPr>
                        <a:xfrm>
                          <a:off x="0" y="0"/>
                          <a:ext cx="809625" cy="3079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消毒</w:t>
                            </w:r>
                          </w:p>
                        </w:txbxContent>
                      </wps:txbx>
                      <wps:bodyPr upright="1"/>
                    </wps:wsp>
                  </a:graphicData>
                </a:graphic>
              </wp:anchor>
            </w:drawing>
          </mc:Choice>
          <mc:Fallback>
            <w:pict>
              <v:shape w14:anchorId="0C0B85AE" id="文本框 30" o:spid="_x0000_s1040" type="#_x0000_t202" style="position:absolute;left:0;text-align:left;margin-left:296.55pt;margin-top:7.3pt;width:63.75pt;height:24.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">
                <v:textbo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消毒</w:t>
                      </w:r>
                    </w:p>
                  </w:txbxContent>
                </v:textbox>
              </v:shape>
            </w:pict>
          </mc:Fallback>
        </mc:AlternateContent>
      </w:r>
      <w:r>
        <w:rPr>
          <w:noProof/>
          <w:szCs w:val="21"/>
        </w:rPr>
        <mc:AlternateContent>
          <mc:Choice Requires="wps">
            <w:drawing>
              <wp:anchor distT="0" distB="0" distL="114300" distR="114300" simplePos="0" relativeHeight="251686912" behindDoc="0" locked="0" layoutInCell="1" allowOverlap="1" wp14:anchorId="6DC04B5F" wp14:editId="051863F7">
                <wp:simplePos x="0" y="0"/>
                <wp:positionH relativeFrom="column">
                  <wp:posOffset>2814955</wp:posOffset>
                </wp:positionH>
                <wp:positionV relativeFrom="paragraph">
                  <wp:posOffset>118745</wp:posOffset>
                </wp:positionV>
                <wp:extent cx="788035" cy="266700"/>
                <wp:effectExtent l="4445" t="4445" r="15240" b="18415"/>
                <wp:wrapNone/>
                <wp:docPr id="31" name="文本框 31"/>
                <wp:cNvGraphicFramePr/>
                <a:graphic xmlns:a="http://schemas.openxmlformats.org/drawingml/2006/main">
                  <a:graphicData uri="http://schemas.microsoft.com/office/word/2010/wordprocessingShape">
                    <wps:wsp>
                      <wps:cNvSpPr txBox="1"/>
                      <wps:spPr>
                        <a:xfrm>
                          <a:off x="0" y="0"/>
                          <a:ext cx="78803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 xml:space="preserve"> 过滤</w:t>
                            </w:r>
                          </w:p>
                        </w:txbxContent>
                      </wps:txbx>
                      <wps:bodyPr upright="1"/>
                    </wps:wsp>
                  </a:graphicData>
                </a:graphic>
              </wp:anchor>
            </w:drawing>
          </mc:Choice>
          <mc:Fallback>
            <w:pict>
              <v:shape w14:anchorId="6DC04B5F" id="文本框 31" o:spid="_x0000_s1041" type="#_x0000_t202" style="position:absolute;left:0;text-align:left;margin-left:221.65pt;margin-top:9.35pt;width:62.05pt;height:2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">
                <v:textbo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 xml:space="preserve"> 过滤</w:t>
                      </w:r>
                    </w:p>
                  </w:txbxContent>
                </v:textbox>
              </v:shape>
            </w:pict>
          </mc:Fallback>
        </mc:AlternateContent>
      </w:r>
      <w:r>
        <w:rPr>
          <w:noProof/>
          <w:szCs w:val="21"/>
        </w:rPr>
        <mc:AlternateContent>
          <mc:Choice Requires="wps">
            <w:drawing>
              <wp:anchor distT="0" distB="0" distL="114300" distR="114300" simplePos="0" relativeHeight="251685888" behindDoc="0" locked="0" layoutInCell="1" allowOverlap="1" wp14:anchorId="13BFB64D" wp14:editId="3CC16AF6">
                <wp:simplePos x="0" y="0"/>
                <wp:positionH relativeFrom="column">
                  <wp:posOffset>1511300</wp:posOffset>
                </wp:positionH>
                <wp:positionV relativeFrom="paragraph">
                  <wp:posOffset>118745</wp:posOffset>
                </wp:positionV>
                <wp:extent cx="1073785" cy="266700"/>
                <wp:effectExtent l="4445" t="4445" r="19050" b="18415"/>
                <wp:wrapNone/>
                <wp:docPr id="25" name="文本框 25"/>
                <wp:cNvGraphicFramePr/>
                <a:graphic xmlns:a="http://schemas.openxmlformats.org/drawingml/2006/main">
                  <a:graphicData uri="http://schemas.microsoft.com/office/word/2010/wordprocessingShape">
                    <wps:wsp>
                      <wps:cNvSpPr txBox="1"/>
                      <wps:spPr>
                        <a:xfrm>
                          <a:off x="0" y="0"/>
                          <a:ext cx="107378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沉淀和澄清</w:t>
                            </w:r>
                          </w:p>
                        </w:txbxContent>
                      </wps:txbx>
                      <wps:bodyPr upright="1"/>
                    </wps:wsp>
                  </a:graphicData>
                </a:graphic>
              </wp:anchor>
            </w:drawing>
          </mc:Choice>
          <mc:Fallback>
            <w:pict>
              <v:shape w14:anchorId="13BFB64D" id="文本框 25" o:spid="_x0000_s1042" type="#_x0000_t202" style="position:absolute;left:0;text-align:left;margin-left:119pt;margin-top:9.35pt;width:84.55pt;height:2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">
                <v:textbo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沉淀和澄清</w:t>
                      </w:r>
                    </w:p>
                  </w:txbxContent>
                </v:textbox>
              </v:shape>
            </w:pict>
          </mc:Fallback>
        </mc:AlternateContent>
      </w:r>
      <w:r>
        <w:rPr>
          <w:noProof/>
          <w:szCs w:val="21"/>
        </w:rPr>
        <mc:AlternateContent>
          <mc:Choice Requires="wps">
            <w:drawing>
              <wp:anchor distT="0" distB="0" distL="114300" distR="114300" simplePos="0" relativeHeight="251684864" behindDoc="0" locked="0" layoutInCell="1" allowOverlap="1" wp14:anchorId="633121AD" wp14:editId="6EE5E088">
                <wp:simplePos x="0" y="0"/>
                <wp:positionH relativeFrom="column">
                  <wp:posOffset>361950</wp:posOffset>
                </wp:positionH>
                <wp:positionV relativeFrom="paragraph">
                  <wp:posOffset>60960</wp:posOffset>
                </wp:positionV>
                <wp:extent cx="4409440" cy="364490"/>
                <wp:effectExtent l="4445" t="5080" r="5715" b="11430"/>
                <wp:wrapNone/>
                <wp:docPr id="26" name="矩形 26"/>
                <wp:cNvGraphicFramePr/>
                <a:graphic xmlns:a="http://schemas.openxmlformats.org/drawingml/2006/main">
                  <a:graphicData uri="http://schemas.microsoft.com/office/word/2010/wordprocessingShape">
                    <wps:wsp>
                      <wps:cNvSpPr/>
                      <wps:spPr>
                        <a:xfrm>
                          <a:off x="0" y="0"/>
                          <a:ext cx="4409440" cy="364490"/>
                        </a:xfrm>
                        <a:prstGeom prst="rect">
                          <a:avLst/>
                        </a:prstGeom>
                        <a:noFill/>
                        <a:ln w="9525" cap="flat" cmpd="sng">
                          <a:solidFill>
                            <a:srgbClr val="000000"/>
                          </a:solidFill>
                          <a:prstDash val="lgDash"/>
                          <a:miter/>
                          <a:headEnd type="none" w="med" len="med"/>
                          <a:tailEnd type="none" w="med" len="med"/>
                        </a:ln>
                      </wps:spPr>
                      <wps:bodyPr upright="1"/>
                    </wps:wsp>
                  </a:graphicData>
                </a:graphic>
              </wp:anchor>
            </w:drawing>
          </mc:Choice>
          <mc:Fallback>
            <w:pict>
              <v:rect w14:anchorId="00E4D60F" id="矩形 26" o:spid="_x0000_s1026" style="position:absolute;left:0;text-align:left;margin-left:28.5pt;margin-top:4.8pt;width:347.2pt;height:28.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" filled="f">
                <v:stroke dashstyle="longDash"/>
              </v:rect>
            </w:pict>
          </mc:Fallback>
        </mc:AlternateContent>
      </w:r>
      <w:r>
        <w:rPr>
          <w:noProof/>
          <w:szCs w:val="21"/>
        </w:rPr>
        <mc:AlternateContent>
          <mc:Choice Requires="wps">
            <w:drawing>
              <wp:anchor distT="0" distB="0" distL="114300" distR="114300" simplePos="0" relativeHeight="251683840" behindDoc="0" locked="0" layoutInCell="1" allowOverlap="1" wp14:anchorId="03E3B6D3" wp14:editId="51E9620A">
                <wp:simplePos x="0" y="0"/>
                <wp:positionH relativeFrom="column">
                  <wp:posOffset>406400</wp:posOffset>
                </wp:positionH>
                <wp:positionV relativeFrom="paragraph">
                  <wp:posOffset>118745</wp:posOffset>
                </wp:positionV>
                <wp:extent cx="809625" cy="266700"/>
                <wp:effectExtent l="4445" t="4445" r="8890" b="18415"/>
                <wp:wrapNone/>
                <wp:docPr id="27" name="文本框 27"/>
                <wp:cNvGraphicFramePr/>
                <a:graphic xmlns:a="http://schemas.openxmlformats.org/drawingml/2006/main">
                  <a:graphicData uri="http://schemas.microsoft.com/office/word/2010/wordprocessingShape">
                    <wps:wsp>
                      <wps:cNvSpPr txBox="1"/>
                      <wps:spPr>
                        <a:xfrm>
                          <a:off x="0" y="0"/>
                          <a:ext cx="8096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混凝</w:t>
                            </w:r>
                          </w:p>
                        </w:txbxContent>
                      </wps:txbx>
                      <wps:bodyPr upright="1"/>
                    </wps:wsp>
                  </a:graphicData>
                </a:graphic>
              </wp:anchor>
            </w:drawing>
          </mc:Choice>
          <mc:Fallback>
            <w:pict>
              <v:shape w14:anchorId="03E3B6D3" id="文本框 27" o:spid="_x0000_s1043" type="#_x0000_t202" style="position:absolute;left:0;text-align:left;margin-left:32pt;margin-top:9.35pt;width:63.75pt;height: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">
                <v:textbo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混凝</w:t>
                      </w:r>
                    </w:p>
                  </w:txbxContent>
                </v:textbox>
              </v:shape>
            </w:pict>
          </mc:Fallback>
        </mc:AlternateContent>
      </w:r>
    </w:p>
    <w:p w:rsidR="00E07285" w:rsidRDefault="00E07285" w:rsidP="00E07285">
      <w:pPr>
        <w:spacing w:line="360" w:lineRule="auto"/>
        <w:rPr>
          <w:szCs w:val="21"/>
        </w:rPr>
      </w:pPr>
      <w:r>
        <w:rPr>
          <w:noProof/>
          <w:szCs w:val="21"/>
        </w:rPr>
        <mc:AlternateContent>
          <mc:Choice Requires="wps">
            <w:drawing>
              <wp:anchor distT="0" distB="0" distL="114300" distR="114300" simplePos="0" relativeHeight="251689984" behindDoc="0" locked="0" layoutInCell="1" allowOverlap="1" wp14:anchorId="01630BFA" wp14:editId="4FCF3057">
                <wp:simplePos x="0" y="0"/>
                <wp:positionH relativeFrom="column">
                  <wp:posOffset>2447925</wp:posOffset>
                </wp:positionH>
                <wp:positionV relativeFrom="paragraph">
                  <wp:posOffset>53340</wp:posOffset>
                </wp:positionV>
                <wp:extent cx="0" cy="217170"/>
                <wp:effectExtent l="38100" t="0" r="38100" b="11430"/>
                <wp:wrapNone/>
                <wp:docPr id="28" name="直接箭头连接符 28"/>
                <wp:cNvGraphicFramePr/>
                <a:graphic xmlns:a="http://schemas.openxmlformats.org/drawingml/2006/main">
                  <a:graphicData uri="http://schemas.microsoft.com/office/word/2010/wordprocessingShape">
                    <wps:wsp>
                      <wps:cNvCnPr/>
                      <wps:spPr>
                        <a:xfrm>
                          <a:off x="0" y="0"/>
                          <a:ext cx="0" cy="2171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D58182E" id="直接箭头连接符 28" o:spid="_x0000_s1026" type="#_x0000_t32" style="position:absolute;left:0;text-align:left;margin-left:192.75pt;margin-top:4.2pt;width:0;height:17.1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">
                <v:stroke endarrow="block"/>
              </v:shape>
            </w:pict>
          </mc:Fallback>
        </mc:AlternateContent>
      </w:r>
      <w:r>
        <w:rPr>
          <w:noProof/>
          <w:szCs w:val="21"/>
        </w:rPr>
        <mc:AlternateContent>
          <mc:Choice Requires="wps">
            <w:drawing>
              <wp:anchor distT="0" distB="0" distL="114300" distR="114300" simplePos="0" relativeHeight="251688960" behindDoc="0" locked="0" layoutInCell="1" allowOverlap="1" wp14:anchorId="5A7E4E20" wp14:editId="3A8802BC">
                <wp:simplePos x="0" y="0"/>
                <wp:positionH relativeFrom="column">
                  <wp:posOffset>1864360</wp:posOffset>
                </wp:positionH>
                <wp:positionV relativeFrom="paragraph">
                  <wp:posOffset>270510</wp:posOffset>
                </wp:positionV>
                <wp:extent cx="1160780" cy="276225"/>
                <wp:effectExtent l="4445" t="4445" r="8255" b="8890"/>
                <wp:wrapNone/>
                <wp:docPr id="29" name="文本框 29"/>
                <wp:cNvGraphicFramePr/>
                <a:graphic xmlns:a="http://schemas.openxmlformats.org/drawingml/2006/main">
                  <a:graphicData uri="http://schemas.microsoft.com/office/word/2010/wordprocessingShape">
                    <wps:wsp>
                      <wps:cNvSpPr txBox="1"/>
                      <wps:spPr>
                        <a:xfrm>
                          <a:off x="0" y="0"/>
                          <a:ext cx="116078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净水厂设计</w:t>
                            </w:r>
                          </w:p>
                        </w:txbxContent>
                      </wps:txbx>
                      <wps:bodyPr upright="1"/>
                    </wps:wsp>
                  </a:graphicData>
                </a:graphic>
              </wp:anchor>
            </w:drawing>
          </mc:Choice>
          <mc:Fallback>
            <w:pict>
              <v:shape w14:anchorId="5A7E4E20" id="文本框 29" o:spid="_x0000_s1044" type="#_x0000_t202" style="position:absolute;left:0;text-align:left;margin-left:146.8pt;margin-top:21.3pt;width:91.4pt;height:21.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">
                <v:textbo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净水厂设计</w:t>
                      </w:r>
                    </w:p>
                  </w:txbxContent>
                </v:textbox>
              </v:shape>
            </w:pict>
          </mc:Fallback>
        </mc:AlternateContent>
      </w:r>
    </w:p>
    <w:p w:rsidR="00E07285" w:rsidRDefault="00E07285" w:rsidP="00E07285">
      <w:pPr>
        <w:spacing w:line="360" w:lineRule="auto"/>
        <w:rPr>
          <w:szCs w:val="21"/>
        </w:rPr>
      </w:pPr>
    </w:p>
    <w:p w:rsidR="00E07285" w:rsidRDefault="00E07285" w:rsidP="00E07285">
      <w:pPr>
        <w:spacing w:line="400" w:lineRule="exact"/>
        <w:outlineLvl w:val="0"/>
        <w:rPr>
          <w:rFonts w:ascii="仿宋_GB2312" w:hAnsi="仿宋_GB2312" w:cs="仿宋_GB2312"/>
          <w:bCs/>
          <w:sz w:val="28"/>
          <w:szCs w:val="28"/>
        </w:rPr>
      </w:pPr>
      <w:r>
        <w:rPr>
          <w:rFonts w:ascii="仿宋_GB2312" w:hAnsi="仿宋_GB2312" w:cs="仿宋_GB2312"/>
          <w:bCs/>
          <w:sz w:val="28"/>
          <w:szCs w:val="28"/>
        </w:rPr>
        <w:t>（二）具体教学内容</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709"/>
        <w:gridCol w:w="2551"/>
        <w:gridCol w:w="4391"/>
      </w:tblGrid>
      <w:tr w:rsidR="00E07285" w:rsidTr="00E07285">
        <w:trPr>
          <w:cantSplit/>
          <w:trHeight w:val="389"/>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序号</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kern w:val="0"/>
                <w:sz w:val="20"/>
                <w:szCs w:val="20"/>
              </w:rPr>
              <w:t>节</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参考学时</w:t>
            </w:r>
          </w:p>
        </w:tc>
        <w:tc>
          <w:tcPr>
            <w:tcW w:w="2551" w:type="dxa"/>
            <w:vAlign w:val="center"/>
          </w:tcPr>
          <w:p w:rsidR="00E07285" w:rsidRDefault="00E07285" w:rsidP="00E07285">
            <w:pPr>
              <w:spacing w:line="360" w:lineRule="auto"/>
              <w:ind w:firstLineChars="450" w:firstLine="900"/>
              <w:jc w:val="left"/>
              <w:rPr>
                <w:rFonts w:ascii="Times New Roman" w:hAnsi="Times New Roman"/>
                <w:kern w:val="0"/>
                <w:sz w:val="20"/>
                <w:szCs w:val="20"/>
              </w:rPr>
            </w:pPr>
            <w:r>
              <w:rPr>
                <w:rFonts w:ascii="Times New Roman" w:hAnsi="Times New Roman"/>
                <w:kern w:val="0"/>
                <w:sz w:val="20"/>
                <w:szCs w:val="20"/>
              </w:rPr>
              <w:t>教学内容</w:t>
            </w:r>
          </w:p>
        </w:tc>
        <w:tc>
          <w:tcPr>
            <w:tcW w:w="4391"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基本要求</w:t>
            </w:r>
          </w:p>
        </w:tc>
      </w:tr>
      <w:tr w:rsidR="00E07285" w:rsidTr="00E07285">
        <w:trPr>
          <w:cantSplit/>
          <w:trHeight w:val="990"/>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lastRenderedPageBreak/>
              <w:t>1</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14</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给水处理</w:t>
            </w:r>
          </w:p>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概论</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4</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14.1  </w:t>
            </w:r>
            <w:r>
              <w:rPr>
                <w:rFonts w:ascii="Times New Roman" w:hAnsi="Times New Roman" w:hint="eastAsia"/>
                <w:kern w:val="0"/>
                <w:sz w:val="20"/>
                <w:szCs w:val="20"/>
              </w:rPr>
              <w:t>水源水质</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14.2  </w:t>
            </w:r>
            <w:r>
              <w:rPr>
                <w:rFonts w:ascii="Times New Roman" w:hAnsi="Times New Roman" w:hint="eastAsia"/>
                <w:kern w:val="0"/>
                <w:sz w:val="20"/>
                <w:szCs w:val="20"/>
              </w:rPr>
              <w:t>水质标准</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14.3  </w:t>
            </w:r>
            <w:r>
              <w:rPr>
                <w:rFonts w:ascii="Times New Roman" w:hAnsi="Times New Roman" w:hint="eastAsia"/>
                <w:kern w:val="0"/>
                <w:sz w:val="20"/>
                <w:szCs w:val="20"/>
              </w:rPr>
              <w:t>给水处理方法概述</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14.4  </w:t>
            </w:r>
            <w:r>
              <w:rPr>
                <w:rFonts w:ascii="Times New Roman" w:hAnsi="Times New Roman" w:hint="eastAsia"/>
                <w:kern w:val="0"/>
                <w:sz w:val="20"/>
                <w:szCs w:val="20"/>
              </w:rPr>
              <w:t>反应器</w:t>
            </w:r>
          </w:p>
        </w:tc>
        <w:tc>
          <w:tcPr>
            <w:tcW w:w="4391" w:type="dxa"/>
            <w:vAlign w:val="center"/>
          </w:tcPr>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、了解地表水和地下水水质特点。</w:t>
            </w:r>
          </w:p>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、了解现行生活饮用水水质标准。</w:t>
            </w:r>
          </w:p>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、了解各种给水处理方法。</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、掌握三种理想反应器容积或停留时间的计算。掌握纵向分散模型对分析研究水处理设备的作用。</w:t>
            </w:r>
          </w:p>
        </w:tc>
      </w:tr>
      <w:tr w:rsidR="00E07285" w:rsidTr="00E07285">
        <w:trPr>
          <w:trHeight w:val="2430"/>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2</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15</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混凝</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10</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15.1 </w:t>
            </w:r>
            <w:r>
              <w:rPr>
                <w:rFonts w:ascii="Times New Roman" w:hAnsi="Times New Roman" w:hint="eastAsia"/>
                <w:kern w:val="0"/>
                <w:sz w:val="20"/>
                <w:szCs w:val="20"/>
              </w:rPr>
              <w:t>混凝机理</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15.2 </w:t>
            </w:r>
            <w:r>
              <w:rPr>
                <w:rFonts w:ascii="Times New Roman" w:hAnsi="Times New Roman" w:hint="eastAsia"/>
                <w:kern w:val="0"/>
                <w:sz w:val="20"/>
                <w:szCs w:val="20"/>
              </w:rPr>
              <w:t>混凝剂、助凝剂</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15.3 </w:t>
            </w:r>
            <w:r>
              <w:rPr>
                <w:rFonts w:ascii="Times New Roman" w:hAnsi="Times New Roman" w:hint="eastAsia"/>
                <w:kern w:val="0"/>
                <w:sz w:val="20"/>
                <w:szCs w:val="20"/>
              </w:rPr>
              <w:t>混凝动力学</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15.4 </w:t>
            </w:r>
            <w:r>
              <w:rPr>
                <w:rFonts w:ascii="Times New Roman" w:hAnsi="Times New Roman" w:hint="eastAsia"/>
                <w:kern w:val="0"/>
                <w:sz w:val="20"/>
                <w:szCs w:val="20"/>
              </w:rPr>
              <w:t>影响混凝效果的主要因素</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15.5 </w:t>
            </w:r>
            <w:r>
              <w:rPr>
                <w:rFonts w:ascii="Times New Roman" w:hAnsi="Times New Roman" w:hint="eastAsia"/>
                <w:kern w:val="0"/>
                <w:sz w:val="20"/>
                <w:szCs w:val="20"/>
              </w:rPr>
              <w:t>混凝剂的投加</w:t>
            </w:r>
          </w:p>
          <w:p w:rsidR="00E07285" w:rsidRDefault="00E07285" w:rsidP="00E07285">
            <w:pPr>
              <w:spacing w:line="360" w:lineRule="auto"/>
              <w:ind w:left="600" w:hangingChars="300" w:hanging="600"/>
              <w:jc w:val="left"/>
              <w:rPr>
                <w:rFonts w:ascii="Times New Roman" w:hAnsi="Times New Roman"/>
                <w:kern w:val="0"/>
                <w:sz w:val="20"/>
                <w:szCs w:val="20"/>
              </w:rPr>
            </w:pPr>
            <w:r>
              <w:rPr>
                <w:rFonts w:ascii="Times New Roman" w:hAnsi="Times New Roman" w:hint="eastAsia"/>
                <w:kern w:val="0"/>
                <w:sz w:val="20"/>
                <w:szCs w:val="20"/>
              </w:rPr>
              <w:t xml:space="preserve">15.6 </w:t>
            </w:r>
            <w:r>
              <w:rPr>
                <w:rFonts w:ascii="Times New Roman" w:hAnsi="Times New Roman" w:hint="eastAsia"/>
                <w:kern w:val="0"/>
                <w:sz w:val="20"/>
                <w:szCs w:val="20"/>
              </w:rPr>
              <w:t>混合絮凝设备</w:t>
            </w:r>
          </w:p>
        </w:tc>
        <w:tc>
          <w:tcPr>
            <w:tcW w:w="4391" w:type="dxa"/>
            <w:vAlign w:val="center"/>
          </w:tcPr>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、掌握胶体的稳定性，四种混凝机理。</w:t>
            </w:r>
          </w:p>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、熟悉我国混凝剂有哪几种，各有何优缺点。</w:t>
            </w:r>
          </w:p>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、异向絮凝和同向絮凝其碰撞速率与哪些因素有关，理解</w:t>
            </w:r>
            <w:r>
              <w:rPr>
                <w:rFonts w:ascii="Times New Roman" w:hAnsi="Times New Roman" w:hint="eastAsia"/>
                <w:kern w:val="0"/>
                <w:sz w:val="20"/>
                <w:szCs w:val="20"/>
              </w:rPr>
              <w:t>G</w:t>
            </w:r>
            <w:r>
              <w:rPr>
                <w:rFonts w:ascii="Times New Roman" w:hAnsi="Times New Roman" w:hint="eastAsia"/>
                <w:kern w:val="0"/>
                <w:sz w:val="20"/>
                <w:szCs w:val="20"/>
              </w:rPr>
              <w:t>值的真正涵义。</w:t>
            </w:r>
          </w:p>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、掌握影响混凝效果的主要因素，说明其原因</w:t>
            </w:r>
          </w:p>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、混凝剂的投加方式及在工程中的应用。</w:t>
            </w:r>
          </w:p>
          <w:p w:rsidR="00E07285" w:rsidRDefault="00E07285" w:rsidP="00E07285">
            <w:pPr>
              <w:widowControl/>
              <w:spacing w:line="360" w:lineRule="auto"/>
              <w:jc w:val="left"/>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hint="eastAsia"/>
                <w:kern w:val="0"/>
                <w:sz w:val="20"/>
                <w:szCs w:val="20"/>
              </w:rPr>
              <w:t>、掌握混合絮凝设备的设计计算及在工程中的应用。</w:t>
            </w:r>
          </w:p>
        </w:tc>
      </w:tr>
      <w:tr w:rsidR="00E07285" w:rsidTr="00E07285">
        <w:trPr>
          <w:trHeight w:val="2203"/>
        </w:trPr>
        <w:tc>
          <w:tcPr>
            <w:tcW w:w="534" w:type="dxa"/>
            <w:vAlign w:val="center"/>
          </w:tcPr>
          <w:p w:rsidR="00E07285" w:rsidRDefault="00E07285" w:rsidP="00E07285">
            <w:pPr>
              <w:spacing w:line="360" w:lineRule="auto"/>
              <w:jc w:val="center"/>
              <w:rPr>
                <w:rFonts w:ascii="Times New Roman" w:hAnsi="Times New Roman"/>
                <w:kern w:val="0"/>
                <w:sz w:val="20"/>
                <w:szCs w:val="20"/>
              </w:rPr>
            </w:pPr>
          </w:p>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3</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16</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沉淀和澄清</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10</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16.1 </w:t>
            </w:r>
            <w:r>
              <w:rPr>
                <w:rFonts w:ascii="Times New Roman" w:hAnsi="Times New Roman" w:hint="eastAsia"/>
                <w:kern w:val="0"/>
                <w:sz w:val="20"/>
                <w:szCs w:val="20"/>
              </w:rPr>
              <w:t>悬浮颗粒在静水中的沉淀</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16.2 </w:t>
            </w:r>
            <w:r>
              <w:rPr>
                <w:rFonts w:ascii="Times New Roman" w:hAnsi="Times New Roman" w:hint="eastAsia"/>
                <w:kern w:val="0"/>
                <w:sz w:val="20"/>
                <w:szCs w:val="20"/>
              </w:rPr>
              <w:t>平流式沉淀池</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16.3 </w:t>
            </w:r>
            <w:r>
              <w:rPr>
                <w:rFonts w:ascii="Times New Roman" w:hAnsi="Times New Roman" w:hint="eastAsia"/>
                <w:kern w:val="0"/>
                <w:sz w:val="20"/>
                <w:szCs w:val="20"/>
              </w:rPr>
              <w:t>斜板斜管沉淀池</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16.4 </w:t>
            </w:r>
            <w:r>
              <w:rPr>
                <w:rFonts w:ascii="Times New Roman" w:hAnsi="Times New Roman" w:hint="eastAsia"/>
                <w:kern w:val="0"/>
                <w:sz w:val="20"/>
                <w:szCs w:val="20"/>
              </w:rPr>
              <w:t>澄清池</w:t>
            </w:r>
          </w:p>
        </w:tc>
        <w:tc>
          <w:tcPr>
            <w:tcW w:w="4391" w:type="dxa"/>
            <w:vAlign w:val="center"/>
          </w:tcPr>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、掌握悬浮颗粒在静水中的自由沉淀和拥挤沉淀。</w:t>
            </w:r>
          </w:p>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、掌握平流式沉淀池的的构造、设计原则、设计方法、设计内容及在工程中的应用。</w:t>
            </w:r>
          </w:p>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、掌握斜板斜管沉淀池的构造、设计原则、设计方法、设计内容及在工程中的应用。</w:t>
            </w:r>
          </w:p>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、掌握泥渣悬浮型澄清池和泥渣循环型澄清池的构造、设计原则、设计方法、设计内容及在工程中的应用。</w:t>
            </w:r>
          </w:p>
        </w:tc>
      </w:tr>
      <w:tr w:rsidR="00E07285" w:rsidTr="00E07285">
        <w:trPr>
          <w:trHeight w:val="274"/>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4</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17</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过滤</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16</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17.1  </w:t>
            </w:r>
            <w:r>
              <w:rPr>
                <w:rFonts w:ascii="Times New Roman" w:hAnsi="Times New Roman" w:hint="eastAsia"/>
                <w:kern w:val="0"/>
                <w:sz w:val="20"/>
                <w:szCs w:val="20"/>
              </w:rPr>
              <w:t>过滤概述</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17.2  </w:t>
            </w:r>
            <w:r>
              <w:rPr>
                <w:rFonts w:ascii="Times New Roman" w:hAnsi="Times New Roman" w:hint="eastAsia"/>
                <w:kern w:val="0"/>
                <w:sz w:val="20"/>
                <w:szCs w:val="20"/>
              </w:rPr>
              <w:t>过滤理论</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17.3  </w:t>
            </w:r>
            <w:r>
              <w:rPr>
                <w:rFonts w:ascii="Times New Roman" w:hAnsi="Times New Roman" w:hint="eastAsia"/>
                <w:kern w:val="0"/>
                <w:sz w:val="20"/>
                <w:szCs w:val="20"/>
              </w:rPr>
              <w:t>滤料和承托层</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17.4  </w:t>
            </w:r>
            <w:r>
              <w:rPr>
                <w:rFonts w:ascii="Times New Roman" w:hAnsi="Times New Roman" w:hint="eastAsia"/>
                <w:kern w:val="0"/>
                <w:sz w:val="20"/>
                <w:szCs w:val="20"/>
              </w:rPr>
              <w:t>滤池冲洗</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17.5  </w:t>
            </w:r>
            <w:r>
              <w:rPr>
                <w:rFonts w:ascii="Times New Roman" w:hAnsi="Times New Roman" w:hint="eastAsia"/>
                <w:kern w:val="0"/>
                <w:sz w:val="20"/>
                <w:szCs w:val="20"/>
              </w:rPr>
              <w:t>普通快滤池</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17.6  </w:t>
            </w:r>
            <w:r>
              <w:rPr>
                <w:rFonts w:ascii="Times New Roman" w:hAnsi="Times New Roman" w:hint="eastAsia"/>
                <w:kern w:val="0"/>
                <w:sz w:val="20"/>
                <w:szCs w:val="20"/>
              </w:rPr>
              <w:t>无阀滤池</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lastRenderedPageBreak/>
              <w:t xml:space="preserve">17.7  </w:t>
            </w:r>
            <w:r>
              <w:rPr>
                <w:rFonts w:ascii="Times New Roman" w:hAnsi="Times New Roman" w:hint="eastAsia"/>
                <w:kern w:val="0"/>
                <w:sz w:val="20"/>
                <w:szCs w:val="20"/>
              </w:rPr>
              <w:t>其他形式滤池</w:t>
            </w:r>
          </w:p>
        </w:tc>
        <w:tc>
          <w:tcPr>
            <w:tcW w:w="439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lastRenderedPageBreak/>
              <w:t>1</w:t>
            </w:r>
            <w:r>
              <w:rPr>
                <w:rFonts w:ascii="Times New Roman" w:hAnsi="Times New Roman" w:hint="eastAsia"/>
                <w:kern w:val="0"/>
                <w:sz w:val="20"/>
                <w:szCs w:val="20"/>
              </w:rPr>
              <w:t>、掌握过滤机理、过滤水力学。</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、掌握滤料粒径级配、滤料筛选方法。</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、掌握等速过滤和变速过滤的优缺点。</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、掌握滤池气水反冲洗的冲洗强度、滤层膨胀度；大、小阻力配水系统的计算。</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、掌握普通快滤池、无阀滤池、虹吸滤池、</w:t>
            </w:r>
            <w:r>
              <w:rPr>
                <w:rFonts w:ascii="Times New Roman" w:hAnsi="Times New Roman" w:hint="eastAsia"/>
                <w:kern w:val="0"/>
                <w:sz w:val="20"/>
                <w:szCs w:val="20"/>
              </w:rPr>
              <w:t>V</w:t>
            </w:r>
            <w:r>
              <w:rPr>
                <w:rFonts w:ascii="Times New Roman" w:hAnsi="Times New Roman" w:hint="eastAsia"/>
                <w:kern w:val="0"/>
                <w:sz w:val="20"/>
                <w:szCs w:val="20"/>
              </w:rPr>
              <w:lastRenderedPageBreak/>
              <w:t>型滤池的构造、设计原则、设计方法、设计内容及在工程中的应用。</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hint="eastAsia"/>
                <w:kern w:val="0"/>
                <w:sz w:val="20"/>
                <w:szCs w:val="20"/>
              </w:rPr>
              <w:t>、了解移动罩滤池、压力滤池。</w:t>
            </w:r>
          </w:p>
        </w:tc>
      </w:tr>
      <w:tr w:rsidR="00E07285" w:rsidTr="00E07285">
        <w:trPr>
          <w:trHeight w:val="1204"/>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lastRenderedPageBreak/>
              <w:t>5</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18</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消毒</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kern w:val="0"/>
                <w:sz w:val="20"/>
                <w:szCs w:val="20"/>
              </w:rPr>
              <w:t>4</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18.1  </w:t>
            </w:r>
            <w:r>
              <w:rPr>
                <w:rFonts w:ascii="Times New Roman" w:hAnsi="Times New Roman" w:hint="eastAsia"/>
                <w:kern w:val="0"/>
                <w:sz w:val="20"/>
                <w:szCs w:val="20"/>
              </w:rPr>
              <w:t>氯消毒</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18.2  </w:t>
            </w:r>
            <w:r>
              <w:rPr>
                <w:rFonts w:ascii="Times New Roman" w:hAnsi="Times New Roman" w:hint="eastAsia"/>
                <w:kern w:val="0"/>
                <w:sz w:val="20"/>
                <w:szCs w:val="20"/>
              </w:rPr>
              <w:t>其它消毒法</w:t>
            </w:r>
          </w:p>
        </w:tc>
        <w:tc>
          <w:tcPr>
            <w:tcW w:w="4391" w:type="dxa"/>
            <w:vAlign w:val="center"/>
          </w:tcPr>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、掌握自由性氯、化合性氯、折点加氯。</w:t>
            </w:r>
          </w:p>
          <w:p w:rsidR="00E07285" w:rsidRDefault="00E07285" w:rsidP="00E07285">
            <w:pPr>
              <w:snapToGrid w:val="0"/>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、掌握氯、二氧化氯消毒、臭氧消毒的特点及其应用。</w:t>
            </w:r>
          </w:p>
        </w:tc>
      </w:tr>
      <w:tr w:rsidR="00E07285" w:rsidTr="00E07285">
        <w:trPr>
          <w:trHeight w:val="1204"/>
        </w:trPr>
        <w:tc>
          <w:tcPr>
            <w:tcW w:w="534"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6</w:t>
            </w:r>
          </w:p>
        </w:tc>
        <w:tc>
          <w:tcPr>
            <w:tcW w:w="1417"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20</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水厂设计</w:t>
            </w:r>
          </w:p>
        </w:tc>
        <w:tc>
          <w:tcPr>
            <w:tcW w:w="709" w:type="dxa"/>
            <w:vAlign w:val="center"/>
          </w:tcPr>
          <w:p w:rsidR="00E07285" w:rsidRDefault="00E07285" w:rsidP="00E07285">
            <w:pPr>
              <w:spacing w:line="360" w:lineRule="auto"/>
              <w:jc w:val="center"/>
              <w:rPr>
                <w:rFonts w:ascii="Times New Roman" w:hAnsi="Times New Roman"/>
                <w:kern w:val="0"/>
                <w:sz w:val="20"/>
                <w:szCs w:val="20"/>
              </w:rPr>
            </w:pPr>
            <w:r>
              <w:rPr>
                <w:rFonts w:ascii="Times New Roman" w:hAnsi="Times New Roman" w:hint="eastAsia"/>
                <w:kern w:val="0"/>
                <w:sz w:val="20"/>
                <w:szCs w:val="20"/>
              </w:rPr>
              <w:t>4</w:t>
            </w:r>
          </w:p>
        </w:tc>
        <w:tc>
          <w:tcPr>
            <w:tcW w:w="2551" w:type="dxa"/>
            <w:vAlign w:val="center"/>
          </w:tcPr>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20.1</w:t>
            </w:r>
            <w:r>
              <w:rPr>
                <w:rFonts w:ascii="Times New Roman" w:hAnsi="Times New Roman" w:hint="eastAsia"/>
                <w:kern w:val="0"/>
                <w:sz w:val="20"/>
                <w:szCs w:val="20"/>
              </w:rPr>
              <w:t>设计原则</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20.2</w:t>
            </w:r>
            <w:r>
              <w:rPr>
                <w:rFonts w:ascii="Times New Roman" w:hAnsi="Times New Roman" w:hint="eastAsia"/>
                <w:kern w:val="0"/>
                <w:sz w:val="20"/>
                <w:szCs w:val="20"/>
              </w:rPr>
              <w:t>厂址选择</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20.3</w:t>
            </w:r>
            <w:r>
              <w:rPr>
                <w:rFonts w:ascii="Times New Roman" w:hAnsi="Times New Roman" w:hint="eastAsia"/>
                <w:kern w:val="0"/>
                <w:sz w:val="20"/>
                <w:szCs w:val="20"/>
              </w:rPr>
              <w:t>水厂工艺流程和处理构筑物选择</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20.4</w:t>
            </w:r>
            <w:r>
              <w:rPr>
                <w:rFonts w:ascii="Times New Roman" w:hAnsi="Times New Roman" w:hint="eastAsia"/>
                <w:kern w:val="0"/>
                <w:sz w:val="20"/>
                <w:szCs w:val="20"/>
              </w:rPr>
              <w:t>水厂平面和高程布置</w:t>
            </w:r>
          </w:p>
          <w:p w:rsidR="00E07285" w:rsidRDefault="00E07285" w:rsidP="00E07285">
            <w:pPr>
              <w:spacing w:line="360" w:lineRule="auto"/>
              <w:jc w:val="left"/>
              <w:rPr>
                <w:rFonts w:ascii="Times New Roman" w:hAnsi="Times New Roman"/>
                <w:kern w:val="0"/>
                <w:sz w:val="20"/>
                <w:szCs w:val="20"/>
              </w:rPr>
            </w:pPr>
            <w:r>
              <w:rPr>
                <w:rFonts w:ascii="Times New Roman" w:hAnsi="Times New Roman" w:hint="eastAsia"/>
                <w:kern w:val="0"/>
                <w:sz w:val="20"/>
                <w:szCs w:val="20"/>
              </w:rPr>
              <w:t>20.5</w:t>
            </w:r>
            <w:r>
              <w:rPr>
                <w:rFonts w:ascii="Times New Roman" w:hAnsi="Times New Roman" w:hint="eastAsia"/>
                <w:kern w:val="0"/>
                <w:sz w:val="20"/>
                <w:szCs w:val="20"/>
              </w:rPr>
              <w:t>水厂生产过程检测和自动控制</w:t>
            </w:r>
          </w:p>
        </w:tc>
        <w:tc>
          <w:tcPr>
            <w:tcW w:w="4391" w:type="dxa"/>
            <w:vAlign w:val="center"/>
          </w:tcPr>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、了解选择厂址应考虑哪些因素。</w:t>
            </w:r>
          </w:p>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、掌握水厂工艺流程和处理构筑物选择。</w:t>
            </w:r>
          </w:p>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、掌握水厂平面和高程布置。</w:t>
            </w:r>
          </w:p>
          <w:p w:rsidR="00E07285" w:rsidRDefault="00E07285" w:rsidP="00E07285">
            <w:pPr>
              <w:spacing w:line="360" w:lineRule="auto"/>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、了解水厂生产过程检测和自动控制。</w:t>
            </w:r>
          </w:p>
        </w:tc>
      </w:tr>
    </w:tbl>
    <w:p w:rsidR="00E07285" w:rsidRDefault="00E07285" w:rsidP="00E07285">
      <w:pPr>
        <w:spacing w:beforeLines="50" w:before="156" w:afterLines="50" w:after="156" w:line="560" w:lineRule="exact"/>
        <w:rPr>
          <w:rFonts w:ascii="黑体" w:eastAsia="黑体" w:hAnsi="黑体"/>
          <w:b/>
          <w:sz w:val="28"/>
          <w:szCs w:val="28"/>
        </w:rPr>
      </w:pP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本课程考核方式</w:t>
      </w:r>
      <w:r>
        <w:rPr>
          <w:rFonts w:ascii="仿宋_GB2312" w:hAnsi="仿宋_GB2312" w:cs="仿宋_GB2312"/>
          <w:sz w:val="28"/>
          <w:szCs w:val="28"/>
        </w:rPr>
        <w:t>为</w:t>
      </w:r>
      <w:r>
        <w:rPr>
          <w:rFonts w:ascii="仿宋_GB2312" w:hAnsi="仿宋_GB2312" w:cs="仿宋_GB2312" w:hint="eastAsia"/>
          <w:sz w:val="28"/>
          <w:szCs w:val="28"/>
        </w:rPr>
        <w:t>考试。</w:t>
      </w:r>
    </w:p>
    <w:p w:rsidR="00E07285" w:rsidRDefault="00E07285"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E07285" w:rsidRDefault="00E07285" w:rsidP="00E07285">
      <w:pPr>
        <w:spacing w:line="560" w:lineRule="exact"/>
        <w:ind w:left="560"/>
        <w:rPr>
          <w:rFonts w:ascii="仿宋_GB2312" w:hAnsi="仿宋_GB2312" w:cs="仿宋_GB2312"/>
          <w:sz w:val="28"/>
          <w:szCs w:val="28"/>
        </w:rPr>
      </w:pPr>
      <w:r>
        <w:rPr>
          <w:rFonts w:ascii="仿宋_GB2312" w:hAnsi="仿宋_GB2312" w:cs="仿宋_GB2312" w:hint="eastAsia"/>
          <w:sz w:val="28"/>
          <w:szCs w:val="28"/>
        </w:rPr>
        <w:t>成绩评定方式</w:t>
      </w:r>
      <w:r>
        <w:rPr>
          <w:rFonts w:ascii="仿宋_GB2312" w:hAnsi="仿宋_GB2312" w:cs="仿宋_GB2312"/>
          <w:sz w:val="28"/>
          <w:szCs w:val="28"/>
        </w:rPr>
        <w:t>采用百分</w:t>
      </w:r>
      <w:r>
        <w:rPr>
          <w:rFonts w:ascii="仿宋_GB2312" w:hAnsi="仿宋_GB2312" w:cs="仿宋_GB2312" w:hint="eastAsia"/>
          <w:sz w:val="28"/>
          <w:szCs w:val="28"/>
        </w:rPr>
        <w:t>制</w:t>
      </w:r>
      <w:r>
        <w:rPr>
          <w:rFonts w:ascii="仿宋_GB2312" w:hAnsi="仿宋_GB2312" w:cs="仿宋_GB2312"/>
          <w:sz w:val="28"/>
          <w:szCs w:val="28"/>
        </w:rPr>
        <w:t>。</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本课程不设课外学时，针对难点和重点，通过每章节布置一定数量思考题和习题训练，使学生加深对所学知识的理解和掌握。</w:t>
      </w:r>
      <w:r>
        <w:rPr>
          <w:rFonts w:ascii="仿宋_GB2312" w:eastAsia="仿宋_GB2312" w:hAnsi="仿宋_GB2312" w:cs="仿宋_GB2312"/>
          <w:sz w:val="28"/>
          <w:szCs w:val="28"/>
        </w:rPr>
        <w:t>采用期末成绩</w:t>
      </w:r>
      <w:r>
        <w:rPr>
          <w:rFonts w:ascii="仿宋_GB2312" w:eastAsia="仿宋_GB2312" w:hAnsi="仿宋_GB2312" w:cs="仿宋_GB2312" w:hint="eastAsia"/>
          <w:sz w:val="28"/>
          <w:szCs w:val="28"/>
        </w:rPr>
        <w:t>+平时</w:t>
      </w:r>
      <w:r>
        <w:rPr>
          <w:rFonts w:ascii="仿宋_GB2312" w:eastAsia="仿宋_GB2312" w:hAnsi="仿宋_GB2312" w:cs="仿宋_GB2312"/>
          <w:sz w:val="28"/>
          <w:szCs w:val="28"/>
        </w:rPr>
        <w:t>成绩确定课程总成绩，</w:t>
      </w:r>
      <w:r>
        <w:rPr>
          <w:rFonts w:ascii="仿宋_GB2312" w:eastAsia="仿宋_GB2312" w:hAnsi="仿宋_GB2312" w:cs="仿宋_GB2312" w:hint="eastAsia"/>
          <w:sz w:val="28"/>
          <w:szCs w:val="28"/>
        </w:rPr>
        <w:t>其中平时成绩主要包括考勤、作业和讨论等环节，期末考试采取考试方式。平时成绩占</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0%-</w:t>
      </w:r>
      <w:r>
        <w:rPr>
          <w:rFonts w:ascii="仿宋_GB2312" w:eastAsia="仿宋_GB2312" w:hAnsi="仿宋_GB2312" w:cs="仿宋_GB2312"/>
          <w:sz w:val="28"/>
          <w:szCs w:val="28"/>
        </w:rPr>
        <w:t>20%</w:t>
      </w:r>
      <w:r>
        <w:rPr>
          <w:rFonts w:ascii="仿宋_GB2312" w:eastAsia="仿宋_GB2312" w:hAnsi="仿宋_GB2312" w:cs="仿宋_GB2312" w:hint="eastAsia"/>
          <w:sz w:val="28"/>
          <w:szCs w:val="28"/>
        </w:rPr>
        <w:t>，期末考试成绩占7</w:t>
      </w:r>
      <w:r>
        <w:rPr>
          <w:rFonts w:ascii="仿宋_GB2312" w:eastAsia="仿宋_GB2312" w:hAnsi="仿宋_GB2312" w:cs="仿宋_GB2312"/>
          <w:sz w:val="28"/>
          <w:szCs w:val="28"/>
        </w:rPr>
        <w:t>0</w:t>
      </w:r>
      <w:r>
        <w:rPr>
          <w:rFonts w:ascii="仿宋_GB2312" w:eastAsia="仿宋_GB2312" w:hAnsi="仿宋_GB2312" w:cs="仿宋_GB2312"/>
          <w:sz w:val="28"/>
          <w:szCs w:val="28"/>
        </w:rPr>
        <w:softHyphen/>
        <w:t>%-</w:t>
      </w:r>
      <w:r>
        <w:rPr>
          <w:rFonts w:ascii="仿宋_GB2312" w:eastAsia="仿宋_GB2312" w:hAnsi="仿宋_GB2312" w:cs="仿宋_GB2312" w:hint="eastAsia"/>
          <w:sz w:val="28"/>
          <w:szCs w:val="28"/>
        </w:rPr>
        <w:t>80%。</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课程总成绩=期末成绩（80～70）% + 平时成绩（20～30）%</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E07285" w:rsidRDefault="00E07285" w:rsidP="00E07285">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lastRenderedPageBreak/>
        <w:t>1.建议教材</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sz w:val="28"/>
          <w:szCs w:val="28"/>
        </w:rPr>
        <w:t>严煦世、范瑾初主编，《给水工程》(第四版)，</w:t>
      </w:r>
      <w:r>
        <w:rPr>
          <w:rFonts w:ascii="仿宋_GB2312" w:eastAsia="仿宋_GB2312" w:hAnsi="仿宋_GB2312" w:cs="仿宋_GB2312" w:hint="eastAsia"/>
          <w:sz w:val="28"/>
          <w:szCs w:val="28"/>
        </w:rPr>
        <w:t>北京：</w:t>
      </w:r>
      <w:r>
        <w:rPr>
          <w:rFonts w:ascii="仿宋_GB2312" w:eastAsia="仿宋_GB2312" w:hAnsi="仿宋_GB2312" w:cs="仿宋_GB2312"/>
          <w:sz w:val="28"/>
          <w:szCs w:val="28"/>
        </w:rPr>
        <w:t>中国建筑工业出版社，1999年12月。</w:t>
      </w:r>
    </w:p>
    <w:p w:rsidR="00E07285" w:rsidRDefault="00E07285" w:rsidP="00E07285">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sz w:val="28"/>
          <w:szCs w:val="28"/>
        </w:rPr>
        <w:t>（1）李圭白，张杰，《水质工程学》，</w:t>
      </w:r>
      <w:r>
        <w:rPr>
          <w:rFonts w:ascii="仿宋_GB2312" w:eastAsia="仿宋_GB2312" w:hAnsi="仿宋_GB2312" w:cs="仿宋_GB2312" w:hint="eastAsia"/>
          <w:sz w:val="28"/>
          <w:szCs w:val="28"/>
        </w:rPr>
        <w:t>北京：</w:t>
      </w:r>
      <w:r>
        <w:rPr>
          <w:rFonts w:ascii="仿宋_GB2312" w:eastAsia="仿宋_GB2312" w:hAnsi="仿宋_GB2312" w:cs="仿宋_GB2312"/>
          <w:sz w:val="28"/>
          <w:szCs w:val="28"/>
        </w:rPr>
        <w:t>中国建筑工业出版社，2013年3月；</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上海</w:t>
      </w:r>
      <w:r>
        <w:rPr>
          <w:rFonts w:ascii="仿宋_GB2312" w:eastAsia="仿宋_GB2312" w:hAnsi="仿宋_GB2312" w:cs="仿宋_GB2312"/>
          <w:sz w:val="28"/>
          <w:szCs w:val="28"/>
        </w:rPr>
        <w:t>市政工程设计研究院</w:t>
      </w:r>
      <w:r>
        <w:rPr>
          <w:rFonts w:ascii="仿宋_GB2312" w:eastAsia="仿宋_GB2312" w:hAnsi="仿宋_GB2312" w:cs="仿宋_GB2312" w:hint="eastAsia"/>
          <w:sz w:val="28"/>
          <w:szCs w:val="28"/>
        </w:rPr>
        <w:t>主编，</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给水</w:t>
      </w:r>
      <w:r>
        <w:rPr>
          <w:rFonts w:ascii="仿宋_GB2312" w:eastAsia="仿宋_GB2312" w:hAnsi="仿宋_GB2312" w:cs="仿宋_GB2312"/>
          <w:sz w:val="28"/>
          <w:szCs w:val="28"/>
        </w:rPr>
        <w:t>排水设计手册</w:t>
      </w:r>
      <w:r>
        <w:rPr>
          <w:rFonts w:ascii="仿宋_GB2312" w:eastAsia="仿宋_GB2312" w:hAnsi="仿宋_GB2312" w:cs="仿宋_GB2312" w:hint="eastAsia"/>
          <w:sz w:val="28"/>
          <w:szCs w:val="28"/>
        </w:rPr>
        <w:t xml:space="preserve">-第03册 </w:t>
      </w:r>
      <w:r>
        <w:rPr>
          <w:rFonts w:ascii="仿宋_GB2312" w:eastAsia="仿宋_GB2312" w:hAnsi="仿宋_GB2312" w:cs="仿宋_GB2312"/>
          <w:sz w:val="28"/>
          <w:szCs w:val="28"/>
        </w:rPr>
        <w:t>城镇给水》</w:t>
      </w:r>
      <w:r>
        <w:rPr>
          <w:rFonts w:ascii="仿宋_GB2312" w:eastAsia="仿宋_GB2312" w:hAnsi="仿宋_GB2312" w:cs="仿宋_GB2312" w:hint="eastAsia"/>
          <w:sz w:val="28"/>
          <w:szCs w:val="28"/>
        </w:rPr>
        <w:t>（第二版</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，北京：</w:t>
      </w:r>
      <w:r>
        <w:rPr>
          <w:rFonts w:ascii="仿宋_GB2312" w:eastAsia="仿宋_GB2312" w:hAnsi="仿宋_GB2312" w:cs="仿宋_GB2312"/>
          <w:sz w:val="28"/>
          <w:szCs w:val="28"/>
        </w:rPr>
        <w:t>中国建筑工业出版社，2006年5月</w:t>
      </w:r>
      <w:r>
        <w:rPr>
          <w:rFonts w:ascii="仿宋_GB2312" w:eastAsia="仿宋_GB2312" w:hAnsi="仿宋_GB2312" w:cs="仿宋_GB2312" w:hint="eastAsia"/>
          <w:sz w:val="28"/>
          <w:szCs w:val="28"/>
        </w:rPr>
        <w:t>。</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E07285" w:rsidRDefault="00E07285" w:rsidP="00E07285">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E07285" w:rsidRDefault="00E07285" w:rsidP="00E07285">
      <w:pPr>
        <w:spacing w:beforeLines="50" w:before="156" w:afterLines="50" w:after="156" w:line="460" w:lineRule="exact"/>
        <w:rPr>
          <w:rFonts w:ascii="黑体" w:eastAsia="黑体" w:hAnsi="黑体"/>
          <w:b/>
          <w:sz w:val="28"/>
          <w:szCs w:val="28"/>
        </w:rPr>
      </w:pP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大纲撰写人：张</w:t>
      </w:r>
      <w:r>
        <w:rPr>
          <w:rFonts w:ascii="仿宋" w:eastAsia="仿宋" w:hAnsi="仿宋"/>
          <w:sz w:val="28"/>
          <w:szCs w:val="28"/>
        </w:rPr>
        <w:t>莉平</w:t>
      </w:r>
      <w:r>
        <w:rPr>
          <w:rFonts w:ascii="仿宋" w:eastAsia="仿宋" w:hAnsi="仿宋" w:hint="eastAsia"/>
          <w:sz w:val="28"/>
          <w:szCs w:val="28"/>
        </w:rPr>
        <w:t xml:space="preserve"> 高</w:t>
      </w:r>
      <w:r>
        <w:rPr>
          <w:rFonts w:ascii="仿宋" w:eastAsia="仿宋" w:hAnsi="仿宋"/>
          <w:sz w:val="28"/>
          <w:szCs w:val="28"/>
        </w:rPr>
        <w:t>晓梅</w:t>
      </w: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课程负责人：张</w:t>
      </w:r>
      <w:r>
        <w:rPr>
          <w:rFonts w:ascii="仿宋" w:eastAsia="仿宋" w:hAnsi="仿宋"/>
          <w:sz w:val="28"/>
          <w:szCs w:val="28"/>
        </w:rPr>
        <w:t>莉平</w:t>
      </w:r>
      <w:r>
        <w:rPr>
          <w:rFonts w:ascii="仿宋" w:eastAsia="仿宋" w:hAnsi="仿宋" w:hint="eastAsia"/>
          <w:sz w:val="28"/>
          <w:szCs w:val="28"/>
        </w:rPr>
        <w:t xml:space="preserve"> 高</w:t>
      </w:r>
      <w:r>
        <w:rPr>
          <w:rFonts w:ascii="仿宋" w:eastAsia="仿宋" w:hAnsi="仿宋"/>
          <w:sz w:val="28"/>
          <w:szCs w:val="28"/>
        </w:rPr>
        <w:t>晓梅</w:t>
      </w: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w:t>
      </w:r>
    </w:p>
    <w:p w:rsidR="00E07285" w:rsidRDefault="00E07285" w:rsidP="00E07285">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E07285" w:rsidRDefault="00E07285" w:rsidP="00E07285">
      <w:pPr>
        <w:ind w:firstLineChars="2000" w:firstLine="5600"/>
        <w:jc w:val="left"/>
        <w:rPr>
          <w:rFonts w:ascii="仿宋" w:hAnsi="仿宋"/>
          <w:sz w:val="28"/>
          <w:szCs w:val="28"/>
        </w:rPr>
      </w:pPr>
      <w:r>
        <w:rPr>
          <w:rFonts w:ascii="仿宋_GB2312" w:hAnsi="微软雅黑" w:hint="eastAsia"/>
          <w:sz w:val="28"/>
          <w:szCs w:val="28"/>
        </w:rPr>
        <w:t xml:space="preserve">    </w:t>
      </w:r>
    </w:p>
    <w:p w:rsidR="00E07285" w:rsidRDefault="00E07285" w:rsidP="00E07285">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4</w:t>
      </w:r>
      <w:r>
        <w:rPr>
          <w:rFonts w:ascii="仿宋" w:eastAsia="仿宋" w:hAnsi="仿宋" w:hint="eastAsia"/>
          <w:sz w:val="28"/>
          <w:szCs w:val="28"/>
        </w:rPr>
        <w:t xml:space="preserve"> 月</w:t>
      </w:r>
    </w:p>
    <w:p w:rsidR="00E07285" w:rsidRDefault="00E07285" w:rsidP="00E07285">
      <w:pPr>
        <w:widowControl/>
        <w:spacing w:line="400" w:lineRule="exact"/>
        <w:rPr>
          <w:rFonts w:ascii="黑体" w:eastAsia="黑体" w:hAnsi="黑体" w:cs="宋体"/>
          <w:bCs/>
          <w:color w:val="000000"/>
          <w:kern w:val="0"/>
          <w:szCs w:val="32"/>
        </w:rPr>
      </w:pPr>
    </w:p>
    <w:p w:rsidR="00E07285" w:rsidRDefault="00E07285" w:rsidP="00E07285"/>
    <w:p w:rsidR="00E07285" w:rsidRDefault="00E07285" w:rsidP="00E07285">
      <w:pPr>
        <w:spacing w:line="560" w:lineRule="exact"/>
        <w:jc w:val="left"/>
        <w:rPr>
          <w:rFonts w:ascii="仿宋" w:eastAsia="仿宋" w:hAnsi="仿宋"/>
          <w:sz w:val="28"/>
          <w:szCs w:val="28"/>
        </w:rPr>
      </w:pPr>
    </w:p>
    <w:p w:rsidR="00E07285" w:rsidRDefault="00E07285" w:rsidP="00E07285">
      <w:pPr>
        <w:spacing w:line="560" w:lineRule="exact"/>
        <w:jc w:val="left"/>
        <w:rPr>
          <w:rFonts w:ascii="仿宋" w:eastAsia="仿宋" w:hAnsi="仿宋"/>
          <w:sz w:val="28"/>
          <w:szCs w:val="28"/>
        </w:rPr>
      </w:pPr>
    </w:p>
    <w:p w:rsidR="00E07285" w:rsidRDefault="00E07285" w:rsidP="00E07285">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Pr>
          <w:rFonts w:ascii="方正小标宋简体" w:eastAsia="方正小标宋简体" w:hAnsi="宋体"/>
          <w:kern w:val="0"/>
          <w:szCs w:val="32"/>
        </w:rPr>
        <w:t>水质工程学II</w:t>
      </w:r>
      <w:r>
        <w:rPr>
          <w:rFonts w:ascii="方正小标宋简体" w:eastAsia="方正小标宋简体" w:hAnsi="宋体" w:hint="eastAsia"/>
          <w:kern w:val="0"/>
          <w:szCs w:val="32"/>
        </w:rPr>
        <w:t>》课程教学大纲</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 xml:space="preserve">Water Quality Engineering </w:t>
      </w:r>
      <w:r>
        <w:rPr>
          <w:rFonts w:ascii="宋体" w:hAnsi="宋体"/>
          <w:snapToGrid w:val="0"/>
          <w:szCs w:val="32"/>
        </w:rPr>
        <w:t>II</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Z2806170</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授课方式：线下、混合（</w:t>
      </w:r>
      <w:r>
        <w:rPr>
          <w:rFonts w:ascii="Times New Roman" w:hAnsi="Times New Roman"/>
          <w:bCs/>
          <w:sz w:val="28"/>
          <w:szCs w:val="28"/>
        </w:rPr>
        <w:t>20~30%</w:t>
      </w:r>
      <w:r>
        <w:rPr>
          <w:rFonts w:ascii="仿宋_GB2312" w:hAnsi="仿宋_GB2312" w:cs="仿宋_GB2312" w:hint="eastAsia"/>
          <w:bCs/>
          <w:sz w:val="28"/>
          <w:szCs w:val="28"/>
        </w:rPr>
        <w:t>）</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分：3.5</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时：56学时（授课56学时）</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适用对象：给排水科学与工程专业</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w:t>
      </w:r>
      <w:r>
        <w:rPr>
          <w:rFonts w:ascii="仿宋_GB2312" w:hAnsi="仿宋_GB2312" w:cs="仿宋_GB2312"/>
          <w:bCs/>
          <w:sz w:val="28"/>
          <w:szCs w:val="28"/>
        </w:rPr>
        <w:t>环境工程微生物学、水力学、物理化学、无机化学、分析化学、有机化学</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E07285" w:rsidRDefault="00E07285" w:rsidP="00E07285">
      <w:pPr>
        <w:spacing w:line="560" w:lineRule="exact"/>
        <w:ind w:firstLineChars="200" w:firstLine="560"/>
        <w:jc w:val="left"/>
        <w:rPr>
          <w:rFonts w:ascii="Times New Roman" w:hAnsi="宋体"/>
          <w:sz w:val="28"/>
          <w:szCs w:val="28"/>
        </w:rPr>
      </w:pPr>
      <w:r>
        <w:rPr>
          <w:rFonts w:ascii="Times New Roman" w:hAnsi="宋体"/>
          <w:sz w:val="28"/>
          <w:szCs w:val="28"/>
        </w:rPr>
        <w:t>《</w:t>
      </w:r>
      <w:r>
        <w:rPr>
          <w:rFonts w:ascii="Times New Roman" w:hAnsi="宋体" w:hint="eastAsia"/>
          <w:sz w:val="28"/>
          <w:szCs w:val="28"/>
        </w:rPr>
        <w:t>水质工程学</w:t>
      </w:r>
      <w:r>
        <w:rPr>
          <w:rFonts w:ascii="Times New Roman" w:hAnsi="宋体" w:hint="eastAsia"/>
          <w:sz w:val="28"/>
          <w:szCs w:val="28"/>
        </w:rPr>
        <w:t>II</w:t>
      </w:r>
      <w:r>
        <w:rPr>
          <w:rFonts w:ascii="Times New Roman" w:hAnsi="宋体"/>
          <w:sz w:val="28"/>
          <w:szCs w:val="28"/>
        </w:rPr>
        <w:t>》是给排水科学与工程专业学生的专业发展必修课，是一门综合性、多学科交叉实践性很强的课程。通过该课程的学习，使学生全面系统的了解污水的特性、污染物形态、分类及指标，掌握城市污水处理技术的基本原理、技术特征、设计要点及计算方法，</w:t>
      </w:r>
      <w:r>
        <w:rPr>
          <w:rFonts w:ascii="Times New Roman" w:hAnsi="宋体" w:hint="eastAsia"/>
          <w:sz w:val="28"/>
          <w:szCs w:val="28"/>
        </w:rPr>
        <w:t>熟悉</w:t>
      </w:r>
      <w:r>
        <w:rPr>
          <w:rFonts w:ascii="Times New Roman" w:hAnsi="宋体"/>
          <w:sz w:val="28"/>
          <w:szCs w:val="28"/>
        </w:rPr>
        <w:t>国内外污水处理新技术和新工艺，获得</w:t>
      </w:r>
      <w:r>
        <w:rPr>
          <w:rFonts w:ascii="Times New Roman" w:hAnsi="宋体" w:hint="eastAsia"/>
          <w:sz w:val="28"/>
          <w:szCs w:val="28"/>
        </w:rPr>
        <w:t>污水处理厂</w:t>
      </w:r>
      <w:r>
        <w:rPr>
          <w:rFonts w:ascii="Times New Roman" w:hAnsi="宋体"/>
          <w:sz w:val="28"/>
          <w:szCs w:val="28"/>
        </w:rPr>
        <w:t>设计与施工的核心能力。</w:t>
      </w:r>
    </w:p>
    <w:p w:rsidR="00E07285" w:rsidRDefault="00E07285" w:rsidP="00E07285">
      <w:pPr>
        <w:snapToGrid w:val="0"/>
        <w:spacing w:line="560" w:lineRule="exact"/>
        <w:ind w:firstLineChars="200" w:firstLine="560"/>
        <w:rPr>
          <w:rFonts w:ascii="Times New Roman" w:hAnsi="Times New Roman"/>
          <w:sz w:val="28"/>
          <w:szCs w:val="28"/>
        </w:rPr>
      </w:pPr>
      <w:r>
        <w:rPr>
          <w:rFonts w:ascii="Times New Roman" w:hAnsi="宋体"/>
          <w:sz w:val="28"/>
          <w:szCs w:val="28"/>
        </w:rPr>
        <w:t>课程主要内容：水污染特性和指标、自净规律及模型、污水处理方法分类、污水预处理、活性污泥处理基本原理、污泥系统影响因素</w:t>
      </w:r>
      <w:r>
        <w:rPr>
          <w:rFonts w:ascii="Times New Roman" w:hAnsi="宋体"/>
          <w:sz w:val="28"/>
          <w:szCs w:val="28"/>
        </w:rPr>
        <w:lastRenderedPageBreak/>
        <w:t>与主要设计运行参数、反应动力学、活性污泥反应器、泥水分离器、处理工艺系统、脱氮除磷工艺、膜处理法、自然生物处理、消毒、深度处理、污泥处理、污水处理厂设计等。</w:t>
      </w:r>
    </w:p>
    <w:p w:rsidR="00E07285" w:rsidRDefault="00E07285" w:rsidP="00E07285">
      <w:pPr>
        <w:spacing w:line="560" w:lineRule="exact"/>
        <w:ind w:firstLineChars="200" w:firstLine="560"/>
        <w:jc w:val="left"/>
        <w:rPr>
          <w:rFonts w:ascii="宋体" w:eastAsia="宋体" w:hAnsi="宋体"/>
          <w:b/>
          <w:color w:val="FF0000"/>
          <w:sz w:val="28"/>
          <w:szCs w:val="28"/>
        </w:rPr>
      </w:pPr>
      <w:r>
        <w:rPr>
          <w:rFonts w:ascii="Times New Roman" w:hAnsi="宋体"/>
          <w:sz w:val="28"/>
          <w:szCs w:val="28"/>
        </w:rPr>
        <w:t>教学方式采用</w:t>
      </w:r>
      <w:r>
        <w:rPr>
          <w:rFonts w:ascii="Times New Roman" w:hAnsi="Times New Roman"/>
          <w:sz w:val="28"/>
          <w:szCs w:val="28"/>
        </w:rPr>
        <w:t>PPT</w:t>
      </w:r>
      <w:r>
        <w:rPr>
          <w:rFonts w:ascii="Times New Roman" w:hAnsi="宋体" w:hint="eastAsia"/>
          <w:sz w:val="28"/>
          <w:szCs w:val="28"/>
        </w:rPr>
        <w:t>与</w:t>
      </w:r>
      <w:r>
        <w:rPr>
          <w:rFonts w:ascii="Times New Roman" w:hAnsi="宋体"/>
          <w:sz w:val="28"/>
          <w:szCs w:val="28"/>
        </w:rPr>
        <w:t>板书</w:t>
      </w:r>
      <w:r>
        <w:rPr>
          <w:rFonts w:ascii="Times New Roman" w:hAnsi="宋体" w:hint="eastAsia"/>
          <w:sz w:val="28"/>
          <w:szCs w:val="28"/>
        </w:rPr>
        <w:t>结合</w:t>
      </w:r>
      <w:r>
        <w:rPr>
          <w:rFonts w:ascii="Times New Roman" w:hAnsi="宋体"/>
          <w:sz w:val="28"/>
          <w:szCs w:val="28"/>
        </w:rPr>
        <w:t>、</w:t>
      </w:r>
      <w:r>
        <w:rPr>
          <w:rFonts w:ascii="Times New Roman" w:hAnsi="宋体" w:hint="eastAsia"/>
          <w:sz w:val="28"/>
          <w:szCs w:val="28"/>
        </w:rPr>
        <w:t>辅以</w:t>
      </w:r>
      <w:r>
        <w:rPr>
          <w:rFonts w:ascii="Times New Roman" w:hAnsi="宋体"/>
          <w:sz w:val="28"/>
          <w:szCs w:val="28"/>
        </w:rPr>
        <w:t>课后思考题和练习题等相结合进行授课，并结合污水处理厂课程设计教学环节，使学生具备污水处理厂的设计能力。</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E07285" w:rsidRDefault="00E07285" w:rsidP="00E07285">
      <w:pPr>
        <w:spacing w:line="560" w:lineRule="exact"/>
        <w:ind w:firstLineChars="200" w:firstLine="560"/>
        <w:jc w:val="left"/>
        <w:rPr>
          <w:rFonts w:ascii="Times New Roman" w:hAnsi="宋体"/>
          <w:sz w:val="28"/>
          <w:szCs w:val="28"/>
        </w:rPr>
      </w:pPr>
      <w:r>
        <w:rPr>
          <w:rFonts w:ascii="Times New Roman" w:hAnsi="宋体"/>
          <w:sz w:val="28"/>
          <w:szCs w:val="28"/>
        </w:rPr>
        <w:t>《</w:t>
      </w:r>
      <w:r>
        <w:rPr>
          <w:rFonts w:ascii="Times New Roman" w:hAnsi="宋体" w:hint="eastAsia"/>
          <w:sz w:val="28"/>
          <w:szCs w:val="28"/>
        </w:rPr>
        <w:t>水质工程学</w:t>
      </w:r>
      <w:r>
        <w:rPr>
          <w:rFonts w:ascii="Times New Roman" w:hAnsi="宋体" w:hint="eastAsia"/>
          <w:sz w:val="28"/>
          <w:szCs w:val="28"/>
        </w:rPr>
        <w:t>II</w:t>
      </w:r>
      <w:r>
        <w:rPr>
          <w:rFonts w:ascii="Times New Roman" w:hAnsi="宋体"/>
          <w:sz w:val="28"/>
          <w:szCs w:val="28"/>
        </w:rPr>
        <w:t>》课程的主要任务是使学生掌握污水处理的基本概念、基本理论、基本方法；根据污水特性，经过方案比选后确定合理的污水处理工艺流程。掌握各单元污水处理构筑物的工作机理、设计和计算，了解国内外污水处理的新工艺与新技术，为将来从事本专业的工程设计、科研及运行管理等方面的工作奠定必要的理论和应用基础。</w:t>
      </w:r>
    </w:p>
    <w:p w:rsidR="00E07285" w:rsidRDefault="00E07285"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E07285" w:rsidRDefault="00E07285" w:rsidP="00E07285">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E07285" w:rsidRDefault="00E07285" w:rsidP="00E07285">
      <w:pPr>
        <w:spacing w:line="560" w:lineRule="exact"/>
        <w:ind w:firstLineChars="200" w:firstLine="560"/>
        <w:rPr>
          <w:rFonts w:ascii="Times New Roman" w:hAnsi="宋体"/>
          <w:sz w:val="28"/>
          <w:szCs w:val="28"/>
        </w:rPr>
      </w:pPr>
      <w:r>
        <w:rPr>
          <w:rFonts w:ascii="Times New Roman" w:hAnsi="宋体" w:hint="eastAsia"/>
          <w:sz w:val="28"/>
          <w:szCs w:val="28"/>
        </w:rPr>
        <w:t>知识目标：</w:t>
      </w:r>
      <w:r>
        <w:rPr>
          <w:rFonts w:ascii="Times New Roman" w:hAnsi="宋体"/>
          <w:sz w:val="28"/>
          <w:szCs w:val="28"/>
        </w:rPr>
        <w:t>通过污水特性的学习，掌握污染物形态、分类，污染物指标。对于预处理技术，通过学习各项物理预处理技术，掌握污水处理的一级处理方法。对于中间处理技术，通过学习活性污泥处理工艺基本原理，掌握系统影响参数、设计参数，活性污泥动力学</w:t>
      </w:r>
      <w:r>
        <w:rPr>
          <w:rFonts w:ascii="Times New Roman" w:hAnsi="宋体" w:hint="eastAsia"/>
          <w:sz w:val="28"/>
          <w:szCs w:val="28"/>
        </w:rPr>
        <w:t>Monod</w:t>
      </w:r>
      <w:r>
        <w:rPr>
          <w:rFonts w:ascii="Times New Roman" w:hAnsi="宋体" w:hint="eastAsia"/>
          <w:sz w:val="28"/>
          <w:szCs w:val="28"/>
        </w:rPr>
        <w:t>方程</w:t>
      </w:r>
      <w:r>
        <w:rPr>
          <w:rFonts w:ascii="Times New Roman" w:hAnsi="宋体"/>
          <w:sz w:val="28"/>
          <w:szCs w:val="28"/>
        </w:rPr>
        <w:t>、劳</w:t>
      </w:r>
      <w:r>
        <w:rPr>
          <w:rFonts w:ascii="Times New Roman" w:hAnsi="宋体" w:hint="eastAsia"/>
          <w:sz w:val="28"/>
          <w:szCs w:val="28"/>
        </w:rPr>
        <w:t>-</w:t>
      </w:r>
      <w:r>
        <w:rPr>
          <w:rFonts w:ascii="Times New Roman" w:hAnsi="宋体"/>
          <w:sz w:val="28"/>
          <w:szCs w:val="28"/>
        </w:rPr>
        <w:t>麦</w:t>
      </w:r>
      <w:r>
        <w:rPr>
          <w:rFonts w:ascii="Times New Roman" w:hAnsi="宋体" w:hint="eastAsia"/>
          <w:sz w:val="28"/>
          <w:szCs w:val="28"/>
        </w:rPr>
        <w:t>方程</w:t>
      </w:r>
      <w:r>
        <w:rPr>
          <w:rFonts w:ascii="Times New Roman" w:hAnsi="宋体"/>
          <w:sz w:val="28"/>
          <w:szCs w:val="28"/>
        </w:rPr>
        <w:t>；通过氧传质理论及反应器学习，掌握反应器及充氧设备设计计算基本方法；通过处理工艺系统的学习，掌握目前城市污水生物处理多种常用工艺系统；通过脱氮除磷工艺的学习，掌握生物脱氮除磷的基本原理和方法；通过生物膜处理方法的学习，掌握生物</w:t>
      </w:r>
      <w:r>
        <w:rPr>
          <w:rFonts w:ascii="Times New Roman" w:hAnsi="宋体"/>
          <w:sz w:val="28"/>
          <w:szCs w:val="28"/>
        </w:rPr>
        <w:lastRenderedPageBreak/>
        <w:t>膜处理基本原理、传统工艺，熟悉新工艺。对于深度处理，通过学习污水的消毒和深度处理技术，掌握污水消毒的基本方法及对比，了解污水深度处理新工艺。通过对污泥的处理与处置方法学习，熟悉污泥的特性指标，掌握处理处置方案，包括掌握污泥浓缩的基本原理和方法。通过污水处理厂设计的学习，熟悉污水处理厂址选择原则，掌握处理工艺流程和处理构筑物选择，掌握厂区平面和高程布置，熟悉厂区除臭。</w:t>
      </w:r>
    </w:p>
    <w:p w:rsidR="00E07285" w:rsidRDefault="00E07285" w:rsidP="00E07285">
      <w:pPr>
        <w:spacing w:line="560" w:lineRule="exact"/>
        <w:ind w:firstLineChars="200" w:firstLine="560"/>
        <w:rPr>
          <w:rFonts w:ascii="Times New Roman" w:hAnsi="宋体"/>
          <w:sz w:val="28"/>
          <w:szCs w:val="28"/>
        </w:rPr>
      </w:pPr>
      <w:r>
        <w:rPr>
          <w:rFonts w:ascii="Times New Roman" w:hAnsi="宋体" w:hint="eastAsia"/>
          <w:sz w:val="28"/>
          <w:szCs w:val="28"/>
        </w:rPr>
        <w:t>能力目标：掌握污水性质与污染物指标以及水污染控制技术的发展趋势和方向；掌握主要污水处理技术的基本理论和工程学方法；能够独立选择确定污水处理工艺并进行基本的设计计算；具备污水处理工程的设计及相关科学研究能力。</w:t>
      </w:r>
    </w:p>
    <w:p w:rsidR="00E07285" w:rsidRDefault="00E07285" w:rsidP="00E07285">
      <w:pPr>
        <w:spacing w:line="560" w:lineRule="exact"/>
        <w:ind w:firstLineChars="200" w:firstLine="560"/>
        <w:jc w:val="left"/>
        <w:rPr>
          <w:rFonts w:ascii="Times New Roman" w:hAnsi="宋体"/>
          <w:sz w:val="28"/>
          <w:szCs w:val="28"/>
        </w:rPr>
      </w:pPr>
      <w:r>
        <w:rPr>
          <w:rFonts w:ascii="仿宋_GB2312" w:hAnsi="仿宋_GB2312" w:cs="仿宋_GB2312" w:hint="eastAsia"/>
          <w:sz w:val="28"/>
          <w:szCs w:val="28"/>
        </w:rPr>
        <w:t>情感态度与价值观目标：加强对专业素养、弘扬创新精神，树立专业自信和职业责任感，明确自身价值，规划职业发展，激发爱国热情。</w:t>
      </w:r>
    </w:p>
    <w:p w:rsidR="00E07285" w:rsidRDefault="00E07285" w:rsidP="00E07285">
      <w:pPr>
        <w:spacing w:line="560" w:lineRule="exact"/>
        <w:ind w:firstLine="422"/>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494"/>
        <w:gridCol w:w="498"/>
        <w:gridCol w:w="498"/>
        <w:gridCol w:w="487"/>
        <w:gridCol w:w="494"/>
        <w:gridCol w:w="494"/>
        <w:gridCol w:w="498"/>
        <w:gridCol w:w="499"/>
        <w:gridCol w:w="487"/>
        <w:gridCol w:w="512"/>
        <w:gridCol w:w="512"/>
        <w:gridCol w:w="512"/>
      </w:tblGrid>
      <w:tr w:rsidR="00E07285" w:rsidTr="00E07285">
        <w:trPr>
          <w:trHeight w:hRule="exact" w:val="454"/>
          <w:jc w:val="center"/>
        </w:trPr>
        <w:tc>
          <w:tcPr>
            <w:tcW w:w="2743" w:type="dxa"/>
            <w:vMerge w:val="restart"/>
            <w:vAlign w:val="center"/>
          </w:tcPr>
          <w:p w:rsidR="00E07285" w:rsidRDefault="00E07285" w:rsidP="00E07285">
            <w:pPr>
              <w:adjustRightInd w:val="0"/>
              <w:snapToGrid w:val="0"/>
              <w:jc w:val="center"/>
              <w:rPr>
                <w:rFonts w:ascii="仿宋_GB2312" w:hAnsi="仿宋_GB2312" w:cs="仿宋_GB2312"/>
                <w:bCs/>
                <w:sz w:val="28"/>
                <w:szCs w:val="28"/>
              </w:rPr>
            </w:pPr>
            <w:r>
              <w:rPr>
                <w:rFonts w:ascii="仿宋_GB2312" w:hAnsi="仿宋_GB2312" w:cs="仿宋_GB2312" w:hint="eastAsia"/>
                <w:bCs/>
                <w:sz w:val="24"/>
                <w:szCs w:val="24"/>
              </w:rPr>
              <w:t>课程目标</w:t>
            </w:r>
          </w:p>
        </w:tc>
        <w:tc>
          <w:tcPr>
            <w:tcW w:w="6233" w:type="dxa"/>
            <w:gridSpan w:val="12"/>
            <w:vAlign w:val="center"/>
          </w:tcPr>
          <w:p w:rsidR="00E07285" w:rsidRDefault="00E07285" w:rsidP="00E07285">
            <w:pPr>
              <w:adjustRightInd w:val="0"/>
              <w:snapToGrid w:val="0"/>
              <w:jc w:val="center"/>
              <w:rPr>
                <w:rFonts w:ascii="仿宋_GB2312" w:hAnsi="仿宋_GB2312" w:cs="仿宋_GB2312"/>
                <w:bCs/>
                <w:sz w:val="28"/>
                <w:szCs w:val="28"/>
              </w:rPr>
            </w:pPr>
            <w:r>
              <w:rPr>
                <w:rFonts w:ascii="仿宋_GB2312" w:hAnsi="仿宋_GB2312" w:cs="仿宋_GB2312" w:hint="eastAsia"/>
                <w:bCs/>
                <w:sz w:val="24"/>
                <w:szCs w:val="24"/>
              </w:rPr>
              <w:t>毕业要求</w:t>
            </w:r>
          </w:p>
        </w:tc>
      </w:tr>
      <w:tr w:rsidR="00E07285" w:rsidTr="00E07285">
        <w:trPr>
          <w:trHeight w:hRule="exact" w:val="454"/>
          <w:jc w:val="center"/>
        </w:trPr>
        <w:tc>
          <w:tcPr>
            <w:tcW w:w="2743" w:type="dxa"/>
            <w:vMerge/>
          </w:tcPr>
          <w:p w:rsidR="00E07285" w:rsidRDefault="00E07285" w:rsidP="00E07285">
            <w:pPr>
              <w:adjustRightInd w:val="0"/>
              <w:snapToGrid w:val="0"/>
              <w:rPr>
                <w:rFonts w:ascii="仿宋_GB2312" w:hAnsi="仿宋_GB2312" w:cs="仿宋_GB2312"/>
                <w:bCs/>
                <w:sz w:val="28"/>
                <w:szCs w:val="28"/>
              </w:rPr>
            </w:pPr>
          </w:p>
        </w:tc>
        <w:tc>
          <w:tcPr>
            <w:tcW w:w="519" w:type="dxa"/>
            <w:vAlign w:val="center"/>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华文中宋" w:eastAsia="华文中宋" w:hAnsi="华文中宋" w:cs="宋体" w:hint="eastAsia"/>
                <w:bCs/>
                <w:sz w:val="21"/>
                <w:szCs w:val="21"/>
              </w:rPr>
              <w:t>1</w:t>
            </w:r>
          </w:p>
        </w:tc>
        <w:tc>
          <w:tcPr>
            <w:tcW w:w="519" w:type="dxa"/>
            <w:vAlign w:val="center"/>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华文中宋" w:eastAsia="华文中宋" w:hAnsi="华文中宋" w:cs="宋体" w:hint="eastAsia"/>
                <w:bCs/>
                <w:sz w:val="21"/>
                <w:szCs w:val="21"/>
              </w:rPr>
              <w:t>2</w:t>
            </w:r>
          </w:p>
        </w:tc>
        <w:tc>
          <w:tcPr>
            <w:tcW w:w="519" w:type="dxa"/>
            <w:vAlign w:val="center"/>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华文中宋" w:eastAsia="华文中宋" w:hAnsi="华文中宋" w:cs="宋体" w:hint="eastAsia"/>
                <w:bCs/>
                <w:sz w:val="21"/>
                <w:szCs w:val="21"/>
              </w:rPr>
              <w:t>3</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4</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5</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6</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7</w:t>
            </w: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8</w:t>
            </w: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9</w:t>
            </w: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10</w:t>
            </w: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11</w:t>
            </w: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12</w:t>
            </w:r>
          </w:p>
        </w:tc>
      </w:tr>
      <w:tr w:rsidR="00E07285" w:rsidTr="00E07285">
        <w:trPr>
          <w:trHeight w:hRule="exact" w:val="454"/>
          <w:jc w:val="center"/>
        </w:trPr>
        <w:tc>
          <w:tcPr>
            <w:tcW w:w="2743" w:type="dxa"/>
            <w:vAlign w:val="center"/>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仿宋_GB2312" w:hAnsi="仿宋_GB2312" w:cs="仿宋_GB2312" w:hint="eastAsia"/>
                <w:bCs/>
                <w:sz w:val="24"/>
                <w:szCs w:val="24"/>
              </w:rPr>
              <w:t>知识目标</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bCs/>
                <w:sz w:val="21"/>
                <w:szCs w:val="21"/>
              </w:rPr>
              <w:t>L</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20" w:type="dxa"/>
            <w:vAlign w:val="center"/>
          </w:tcPr>
          <w:p w:rsidR="00E07285" w:rsidRDefault="00E07285" w:rsidP="00E07285">
            <w:pPr>
              <w:adjustRightInd w:val="0"/>
              <w:snapToGrid w:val="0"/>
              <w:jc w:val="center"/>
              <w:rPr>
                <w:rFonts w:ascii="仿宋_GB2312" w:hAnsi="仿宋_GB2312" w:cs="仿宋_GB2312"/>
                <w:bCs/>
                <w:sz w:val="28"/>
                <w:szCs w:val="28"/>
              </w:rPr>
            </w:pPr>
            <w:r>
              <w:rPr>
                <w:rFonts w:ascii="华文中宋" w:eastAsia="华文中宋" w:hAnsi="华文中宋" w:cs="宋体" w:hint="eastAsia"/>
                <w:bCs/>
                <w:sz w:val="21"/>
                <w:szCs w:val="21"/>
              </w:rPr>
              <w:t>M</w:t>
            </w:r>
          </w:p>
        </w:tc>
        <w:tc>
          <w:tcPr>
            <w:tcW w:w="520" w:type="dxa"/>
            <w:vAlign w:val="center"/>
          </w:tcPr>
          <w:p w:rsidR="00E07285" w:rsidRDefault="00E07285" w:rsidP="00E07285">
            <w:pPr>
              <w:adjustRightInd w:val="0"/>
              <w:snapToGrid w:val="0"/>
              <w:jc w:val="center"/>
              <w:rPr>
                <w:rFonts w:ascii="仿宋_GB2312" w:hAnsi="仿宋_GB2312" w:cs="仿宋_GB2312"/>
                <w:bCs/>
                <w:sz w:val="28"/>
                <w:szCs w:val="28"/>
              </w:rPr>
            </w:pPr>
          </w:p>
        </w:tc>
        <w:tc>
          <w:tcPr>
            <w:tcW w:w="520" w:type="dxa"/>
            <w:vAlign w:val="center"/>
          </w:tcPr>
          <w:p w:rsidR="00E07285" w:rsidRDefault="00E07285" w:rsidP="00E07285">
            <w:pPr>
              <w:adjustRightInd w:val="0"/>
              <w:snapToGrid w:val="0"/>
              <w:jc w:val="center"/>
              <w:rPr>
                <w:rFonts w:ascii="仿宋_GB2312" w:hAnsi="仿宋_GB2312" w:cs="仿宋_GB2312"/>
                <w:bCs/>
                <w:sz w:val="28"/>
                <w:szCs w:val="28"/>
              </w:rPr>
            </w:pPr>
            <w:r>
              <w:rPr>
                <w:rFonts w:ascii="华文中宋" w:eastAsia="华文中宋" w:hAnsi="华文中宋" w:cs="宋体" w:hint="eastAsia"/>
                <w:bCs/>
                <w:sz w:val="21"/>
                <w:szCs w:val="21"/>
              </w:rPr>
              <w:t>M</w:t>
            </w:r>
          </w:p>
        </w:tc>
        <w:tc>
          <w:tcPr>
            <w:tcW w:w="520" w:type="dxa"/>
            <w:vAlign w:val="center"/>
          </w:tcPr>
          <w:p w:rsidR="00E07285" w:rsidRDefault="00E07285" w:rsidP="00E07285">
            <w:pPr>
              <w:adjustRightInd w:val="0"/>
              <w:snapToGrid w:val="0"/>
              <w:jc w:val="center"/>
              <w:rPr>
                <w:rFonts w:ascii="仿宋_GB2312" w:hAnsi="仿宋_GB2312" w:cs="仿宋_GB2312"/>
                <w:bCs/>
                <w:sz w:val="28"/>
                <w:szCs w:val="28"/>
              </w:rPr>
            </w:pPr>
          </w:p>
        </w:tc>
        <w:tc>
          <w:tcPr>
            <w:tcW w:w="520" w:type="dxa"/>
            <w:vAlign w:val="center"/>
          </w:tcPr>
          <w:p w:rsidR="00E07285" w:rsidRDefault="00E07285" w:rsidP="00E07285">
            <w:pPr>
              <w:adjustRightInd w:val="0"/>
              <w:snapToGrid w:val="0"/>
              <w:jc w:val="center"/>
              <w:rPr>
                <w:rFonts w:ascii="仿宋_GB2312" w:hAnsi="仿宋_GB2312" w:cs="仿宋_GB2312"/>
                <w:bCs/>
                <w:sz w:val="28"/>
                <w:szCs w:val="28"/>
              </w:rPr>
            </w:pPr>
          </w:p>
        </w:tc>
      </w:tr>
      <w:tr w:rsidR="00E07285" w:rsidTr="00E07285">
        <w:trPr>
          <w:trHeight w:hRule="exact" w:val="454"/>
          <w:jc w:val="center"/>
        </w:trPr>
        <w:tc>
          <w:tcPr>
            <w:tcW w:w="2743" w:type="dxa"/>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仿宋_GB2312" w:hAnsi="仿宋_GB2312" w:cs="仿宋_GB2312" w:hint="eastAsia"/>
                <w:bCs/>
                <w:sz w:val="24"/>
                <w:szCs w:val="24"/>
              </w:rPr>
              <w:t>能力目标</w:t>
            </w:r>
          </w:p>
        </w:tc>
        <w:tc>
          <w:tcPr>
            <w:tcW w:w="519" w:type="dxa"/>
            <w:vAlign w:val="center"/>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华文中宋" w:eastAsia="华文中宋" w:hAnsi="华文中宋" w:cs="宋体"/>
                <w:bCs/>
                <w:sz w:val="21"/>
                <w:szCs w:val="21"/>
              </w:rPr>
              <w:t>M</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r>
      <w:tr w:rsidR="00E07285" w:rsidTr="00E07285">
        <w:trPr>
          <w:trHeight w:hRule="exact" w:val="454"/>
          <w:jc w:val="center"/>
        </w:trPr>
        <w:tc>
          <w:tcPr>
            <w:tcW w:w="2743" w:type="dxa"/>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仿宋_GB2312" w:hAnsi="仿宋_GB2312" w:cs="仿宋_GB2312" w:hint="eastAsia"/>
                <w:bCs/>
                <w:sz w:val="24"/>
                <w:szCs w:val="24"/>
              </w:rPr>
              <w:t>情感态度与价值观目标</w:t>
            </w:r>
          </w:p>
        </w:tc>
        <w:tc>
          <w:tcPr>
            <w:tcW w:w="519" w:type="dxa"/>
            <w:vAlign w:val="center"/>
          </w:tcPr>
          <w:p w:rsidR="00E07285" w:rsidRDefault="00E07285" w:rsidP="00E07285">
            <w:pPr>
              <w:adjustRightInd w:val="0"/>
              <w:snapToGrid w:val="0"/>
              <w:jc w:val="center"/>
              <w:rPr>
                <w:rFonts w:ascii="仿宋_GB2312" w:hAnsi="仿宋_GB2312" w:cs="仿宋_GB2312"/>
                <w:bCs/>
                <w:sz w:val="28"/>
                <w:szCs w:val="28"/>
              </w:rPr>
            </w:pPr>
          </w:p>
        </w:tc>
        <w:tc>
          <w:tcPr>
            <w:tcW w:w="519" w:type="dxa"/>
            <w:vAlign w:val="center"/>
          </w:tcPr>
          <w:p w:rsidR="00E07285" w:rsidRDefault="00E07285" w:rsidP="00E07285">
            <w:pPr>
              <w:adjustRightInd w:val="0"/>
              <w:snapToGrid w:val="0"/>
              <w:jc w:val="center"/>
              <w:rPr>
                <w:rFonts w:ascii="仿宋_GB2312" w:hAnsi="仿宋_GB2312" w:cs="仿宋_GB2312"/>
                <w:bCs/>
                <w:sz w:val="28"/>
                <w:szCs w:val="28"/>
              </w:rPr>
            </w:pP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r>
    </w:tbl>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E07285" w:rsidRDefault="00E07285" w:rsidP="00E07285">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本课程的重点包括水环境保护法律、法规和条例的应用；污水生物脱氮除磷原理；活性污泥反应动力学；污水处理厂的平面布置及设计计算；</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E07285" w:rsidRDefault="00E07285" w:rsidP="00E07285">
      <w:pPr>
        <w:spacing w:line="560" w:lineRule="exact"/>
        <w:ind w:firstLineChars="200" w:firstLine="560"/>
        <w:jc w:val="left"/>
        <w:rPr>
          <w:rFonts w:ascii="Times New Roman" w:hAnsi="宋体"/>
          <w:sz w:val="28"/>
          <w:szCs w:val="28"/>
        </w:rPr>
      </w:pPr>
      <w:r>
        <w:rPr>
          <w:rFonts w:ascii="Times New Roman" w:hAnsi="宋体"/>
          <w:sz w:val="28"/>
          <w:szCs w:val="28"/>
        </w:rPr>
        <w:lastRenderedPageBreak/>
        <w:t>《</w:t>
      </w:r>
      <w:r>
        <w:rPr>
          <w:rFonts w:ascii="Times New Roman" w:hAnsi="宋体" w:hint="eastAsia"/>
          <w:sz w:val="28"/>
          <w:szCs w:val="28"/>
        </w:rPr>
        <w:t>水质工程学</w:t>
      </w:r>
      <w:r>
        <w:rPr>
          <w:rFonts w:ascii="Times New Roman" w:hAnsi="宋体" w:hint="eastAsia"/>
          <w:sz w:val="28"/>
          <w:szCs w:val="28"/>
        </w:rPr>
        <w:t>II</w:t>
      </w:r>
      <w:r>
        <w:rPr>
          <w:rFonts w:ascii="Times New Roman" w:hAnsi="宋体"/>
          <w:sz w:val="28"/>
          <w:szCs w:val="28"/>
        </w:rPr>
        <w:t>》</w:t>
      </w:r>
      <w:r>
        <w:rPr>
          <w:rFonts w:ascii="Times New Roman" w:hAnsi="宋体" w:hint="eastAsia"/>
          <w:sz w:val="28"/>
          <w:szCs w:val="28"/>
        </w:rPr>
        <w:t>作为给排水科学与工程专业的一门专业发展课程，课程思政的内容主要围绕专业定位、我国给排水科学与工程专业的发展历史展开。本课程讲授知识和技术属于水的社会循环的收集和末端处理环节。开展本课程的学习中，可以将党中央建设生态中国和美丽中国的战略决策与课程讲授相融合，开展课程思政建设。此外，我国的给排水科学与工程专业的脱胎于卫生工程（欧美）和上下水道工程（日本），经历过老一辈给排水人的引进、消化、吸收和改进，历经了百余年，逐渐形成了自己的特色。在此期间涌现出了许多具有家国情怀的给排水人，如刘茀祺、陶葆楷、顾夏声、张自杰等。在课程讲授过程中，可以将老一辈给排水人的人生故事融入其中，开展学生的家国注意教育。</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419"/>
        <w:gridCol w:w="1097"/>
        <w:gridCol w:w="3156"/>
        <w:gridCol w:w="3398"/>
      </w:tblGrid>
      <w:tr w:rsidR="00E07285" w:rsidTr="00E07285">
        <w:trPr>
          <w:cantSplit/>
          <w:trHeight w:val="661"/>
        </w:trPr>
        <w:tc>
          <w:tcPr>
            <w:tcW w:w="532" w:type="dxa"/>
            <w:vAlign w:val="center"/>
          </w:tcPr>
          <w:p w:rsidR="00E07285" w:rsidRPr="00383A10" w:rsidRDefault="00E07285" w:rsidP="00E07285">
            <w:pPr>
              <w:spacing w:line="560" w:lineRule="exact"/>
              <w:jc w:val="center"/>
              <w:rPr>
                <w:rFonts w:ascii="Times New Roman" w:hAnsi="宋体"/>
                <w:b/>
                <w:sz w:val="24"/>
                <w:szCs w:val="24"/>
              </w:rPr>
            </w:pPr>
            <w:r w:rsidRPr="00383A10">
              <w:rPr>
                <w:rFonts w:ascii="Times New Roman" w:hAnsi="宋体"/>
                <w:b/>
                <w:sz w:val="24"/>
                <w:szCs w:val="24"/>
              </w:rPr>
              <w:t>序号</w:t>
            </w:r>
          </w:p>
        </w:tc>
        <w:tc>
          <w:tcPr>
            <w:tcW w:w="1419" w:type="dxa"/>
            <w:vAlign w:val="center"/>
          </w:tcPr>
          <w:p w:rsidR="00E07285" w:rsidRPr="00383A10" w:rsidRDefault="00E07285" w:rsidP="00E07285">
            <w:pPr>
              <w:spacing w:line="560" w:lineRule="exact"/>
              <w:jc w:val="center"/>
              <w:rPr>
                <w:rFonts w:ascii="Times New Roman" w:hAnsi="宋体"/>
                <w:b/>
                <w:sz w:val="24"/>
                <w:szCs w:val="24"/>
              </w:rPr>
            </w:pPr>
            <w:r w:rsidRPr="00383A10">
              <w:rPr>
                <w:rFonts w:ascii="Times New Roman" w:hAnsi="宋体"/>
                <w:b/>
                <w:sz w:val="24"/>
                <w:szCs w:val="24"/>
              </w:rPr>
              <w:t>章</w:t>
            </w:r>
            <w:r w:rsidRPr="00383A10">
              <w:rPr>
                <w:rFonts w:ascii="Times New Roman" w:hAnsi="宋体"/>
                <w:b/>
                <w:sz w:val="24"/>
                <w:szCs w:val="24"/>
              </w:rPr>
              <w:t xml:space="preserve">  </w:t>
            </w:r>
            <w:r w:rsidRPr="00383A10">
              <w:rPr>
                <w:rFonts w:ascii="Times New Roman" w:hAnsi="宋体"/>
                <w:b/>
                <w:sz w:val="24"/>
                <w:szCs w:val="24"/>
              </w:rPr>
              <w:t>节</w:t>
            </w:r>
          </w:p>
        </w:tc>
        <w:tc>
          <w:tcPr>
            <w:tcW w:w="1097" w:type="dxa"/>
            <w:vAlign w:val="center"/>
          </w:tcPr>
          <w:p w:rsidR="00E07285" w:rsidRPr="00383A10" w:rsidRDefault="00E07285" w:rsidP="00E07285">
            <w:pPr>
              <w:spacing w:line="560" w:lineRule="exact"/>
              <w:jc w:val="center"/>
              <w:rPr>
                <w:rFonts w:ascii="Times New Roman" w:hAnsi="宋体"/>
                <w:b/>
                <w:sz w:val="24"/>
                <w:szCs w:val="24"/>
              </w:rPr>
            </w:pPr>
            <w:r w:rsidRPr="00383A10">
              <w:rPr>
                <w:rFonts w:ascii="Times New Roman" w:hAnsi="宋体"/>
                <w:b/>
                <w:sz w:val="24"/>
                <w:szCs w:val="24"/>
              </w:rPr>
              <w:t>参考学时</w:t>
            </w:r>
          </w:p>
        </w:tc>
        <w:tc>
          <w:tcPr>
            <w:tcW w:w="3156" w:type="dxa"/>
            <w:vAlign w:val="center"/>
          </w:tcPr>
          <w:p w:rsidR="00E07285" w:rsidRPr="00383A10" w:rsidRDefault="00E07285" w:rsidP="00E07285">
            <w:pPr>
              <w:spacing w:line="560" w:lineRule="exact"/>
              <w:ind w:firstLineChars="450" w:firstLine="1084"/>
              <w:rPr>
                <w:rFonts w:ascii="Times New Roman" w:hAnsi="宋体"/>
                <w:b/>
                <w:sz w:val="24"/>
                <w:szCs w:val="24"/>
              </w:rPr>
            </w:pPr>
            <w:r w:rsidRPr="00383A10">
              <w:rPr>
                <w:rFonts w:ascii="Times New Roman" w:hAnsi="宋体"/>
                <w:b/>
                <w:sz w:val="24"/>
                <w:szCs w:val="24"/>
              </w:rPr>
              <w:t>教学内容</w:t>
            </w:r>
          </w:p>
        </w:tc>
        <w:tc>
          <w:tcPr>
            <w:tcW w:w="3398" w:type="dxa"/>
            <w:vAlign w:val="center"/>
          </w:tcPr>
          <w:p w:rsidR="00E07285" w:rsidRPr="00383A10" w:rsidRDefault="00E07285" w:rsidP="00E07285">
            <w:pPr>
              <w:spacing w:line="560" w:lineRule="exact"/>
              <w:jc w:val="center"/>
              <w:rPr>
                <w:rFonts w:ascii="Times New Roman" w:hAnsi="宋体"/>
                <w:b/>
                <w:sz w:val="24"/>
                <w:szCs w:val="24"/>
              </w:rPr>
            </w:pPr>
            <w:r w:rsidRPr="00383A10">
              <w:rPr>
                <w:rFonts w:ascii="Times New Roman" w:hAnsi="宋体"/>
                <w:b/>
                <w:sz w:val="24"/>
                <w:szCs w:val="24"/>
              </w:rPr>
              <w:t>基本要求</w:t>
            </w:r>
          </w:p>
        </w:tc>
      </w:tr>
      <w:tr w:rsidR="00E07285" w:rsidTr="00E07285">
        <w:trPr>
          <w:trHeight w:val="1915"/>
        </w:trPr>
        <w:tc>
          <w:tcPr>
            <w:tcW w:w="532"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1</w:t>
            </w:r>
          </w:p>
        </w:tc>
        <w:tc>
          <w:tcPr>
            <w:tcW w:w="1419" w:type="dxa"/>
            <w:vAlign w:val="center"/>
          </w:tcPr>
          <w:p w:rsidR="00E07285" w:rsidRPr="00383A10" w:rsidRDefault="00E07285" w:rsidP="005F6318">
            <w:pPr>
              <w:numPr>
                <w:ilvl w:val="0"/>
                <w:numId w:val="45"/>
              </w:numPr>
              <w:spacing w:line="560" w:lineRule="exact"/>
              <w:jc w:val="left"/>
              <w:rPr>
                <w:rFonts w:ascii="Times New Roman" w:hAnsi="宋体"/>
                <w:sz w:val="24"/>
                <w:szCs w:val="24"/>
              </w:rPr>
            </w:pPr>
            <w:r w:rsidRPr="00383A10">
              <w:rPr>
                <w:rFonts w:ascii="Times New Roman" w:hAnsi="宋体"/>
                <w:sz w:val="24"/>
                <w:szCs w:val="24"/>
              </w:rPr>
              <w:t>污水的性质与污染指标</w:t>
            </w:r>
          </w:p>
          <w:p w:rsidR="00E07285" w:rsidRPr="00383A10" w:rsidRDefault="00E07285" w:rsidP="005F6318">
            <w:pPr>
              <w:numPr>
                <w:ilvl w:val="0"/>
                <w:numId w:val="45"/>
              </w:numPr>
              <w:spacing w:line="560" w:lineRule="exact"/>
              <w:jc w:val="left"/>
              <w:rPr>
                <w:rFonts w:ascii="Times New Roman" w:hAnsi="宋体"/>
                <w:sz w:val="24"/>
                <w:szCs w:val="24"/>
              </w:rPr>
            </w:pPr>
            <w:r w:rsidRPr="00383A10">
              <w:rPr>
                <w:rFonts w:ascii="Times New Roman" w:hAnsi="宋体"/>
                <w:sz w:val="24"/>
                <w:szCs w:val="24"/>
              </w:rPr>
              <w:t>水体污染与自净</w:t>
            </w:r>
          </w:p>
        </w:tc>
        <w:tc>
          <w:tcPr>
            <w:tcW w:w="1097"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4</w:t>
            </w:r>
          </w:p>
        </w:tc>
        <w:tc>
          <w:tcPr>
            <w:tcW w:w="3156" w:type="dxa"/>
            <w:vAlign w:val="center"/>
          </w:tcPr>
          <w:p w:rsidR="00E07285" w:rsidRPr="00383A10" w:rsidRDefault="00E07285" w:rsidP="00E07285">
            <w:pPr>
              <w:spacing w:line="560" w:lineRule="exact"/>
              <w:jc w:val="left"/>
              <w:rPr>
                <w:rFonts w:ascii="Times New Roman" w:hAnsi="宋体"/>
                <w:sz w:val="24"/>
                <w:szCs w:val="24"/>
              </w:rPr>
            </w:pPr>
            <w:r w:rsidRPr="00383A10">
              <w:rPr>
                <w:rFonts w:ascii="Times New Roman" w:hAnsi="宋体"/>
                <w:sz w:val="24"/>
                <w:szCs w:val="24"/>
              </w:rPr>
              <w:t>1.1</w:t>
            </w:r>
            <w:r w:rsidRPr="00383A10">
              <w:rPr>
                <w:rFonts w:ascii="Times New Roman" w:hAnsi="宋体"/>
                <w:sz w:val="24"/>
                <w:szCs w:val="24"/>
              </w:rPr>
              <w:t>污水</w:t>
            </w:r>
          </w:p>
          <w:p w:rsidR="00E07285" w:rsidRPr="00383A10" w:rsidRDefault="00E07285" w:rsidP="00E07285">
            <w:pPr>
              <w:spacing w:line="560" w:lineRule="exact"/>
              <w:jc w:val="left"/>
              <w:rPr>
                <w:rFonts w:ascii="Times New Roman" w:hAnsi="宋体"/>
                <w:sz w:val="24"/>
                <w:szCs w:val="24"/>
              </w:rPr>
            </w:pPr>
            <w:r w:rsidRPr="00383A10">
              <w:rPr>
                <w:rFonts w:ascii="Times New Roman" w:hAnsi="宋体"/>
                <w:sz w:val="24"/>
                <w:szCs w:val="24"/>
              </w:rPr>
              <w:t>1.2</w:t>
            </w:r>
            <w:r w:rsidRPr="00383A10">
              <w:rPr>
                <w:rFonts w:ascii="Times New Roman" w:hAnsi="宋体"/>
                <w:sz w:val="24"/>
                <w:szCs w:val="24"/>
              </w:rPr>
              <w:t>城市污水特性与污染指标</w:t>
            </w:r>
          </w:p>
          <w:p w:rsidR="00E07285" w:rsidRPr="00383A10" w:rsidRDefault="00E07285" w:rsidP="00E07285">
            <w:pPr>
              <w:spacing w:line="560" w:lineRule="exact"/>
              <w:jc w:val="left"/>
              <w:rPr>
                <w:rFonts w:ascii="Times New Roman" w:hAnsi="宋体"/>
                <w:sz w:val="24"/>
                <w:szCs w:val="24"/>
              </w:rPr>
            </w:pPr>
            <w:r w:rsidRPr="00383A10">
              <w:rPr>
                <w:rFonts w:ascii="Times New Roman" w:hAnsi="宋体"/>
                <w:sz w:val="24"/>
                <w:szCs w:val="24"/>
              </w:rPr>
              <w:t>2.1</w:t>
            </w:r>
            <w:r w:rsidRPr="00383A10">
              <w:rPr>
                <w:rFonts w:ascii="Times New Roman" w:hAnsi="宋体"/>
                <w:sz w:val="24"/>
                <w:szCs w:val="24"/>
              </w:rPr>
              <w:t>物体污染及危害</w:t>
            </w:r>
          </w:p>
          <w:p w:rsidR="00E07285" w:rsidRPr="00383A10" w:rsidRDefault="00E07285" w:rsidP="00E07285">
            <w:pPr>
              <w:spacing w:line="560" w:lineRule="exact"/>
              <w:jc w:val="left"/>
              <w:rPr>
                <w:rFonts w:ascii="Times New Roman" w:hAnsi="宋体"/>
                <w:sz w:val="24"/>
                <w:szCs w:val="24"/>
              </w:rPr>
            </w:pPr>
            <w:r w:rsidRPr="00383A10">
              <w:rPr>
                <w:rFonts w:ascii="Times New Roman" w:hAnsi="宋体"/>
                <w:sz w:val="24"/>
                <w:szCs w:val="24"/>
              </w:rPr>
              <w:t>2.2</w:t>
            </w:r>
            <w:r w:rsidRPr="00383A10">
              <w:rPr>
                <w:rFonts w:ascii="Times New Roman" w:hAnsi="宋体"/>
                <w:sz w:val="24"/>
                <w:szCs w:val="24"/>
              </w:rPr>
              <w:t>水体自净</w:t>
            </w:r>
          </w:p>
          <w:p w:rsidR="00E07285" w:rsidRPr="00383A10" w:rsidRDefault="00E07285" w:rsidP="00E07285">
            <w:pPr>
              <w:spacing w:line="560" w:lineRule="exact"/>
              <w:jc w:val="left"/>
              <w:rPr>
                <w:rFonts w:ascii="Times New Roman" w:hAnsi="宋体"/>
                <w:sz w:val="24"/>
                <w:szCs w:val="24"/>
              </w:rPr>
            </w:pPr>
            <w:r w:rsidRPr="00383A10">
              <w:rPr>
                <w:rFonts w:ascii="Times New Roman" w:hAnsi="宋体"/>
                <w:sz w:val="24"/>
                <w:szCs w:val="24"/>
              </w:rPr>
              <w:t>2.3</w:t>
            </w:r>
            <w:r w:rsidRPr="00383A10">
              <w:rPr>
                <w:rFonts w:ascii="Times New Roman" w:hAnsi="宋体"/>
                <w:sz w:val="24"/>
                <w:szCs w:val="24"/>
              </w:rPr>
              <w:t>水环境保护</w:t>
            </w:r>
          </w:p>
          <w:p w:rsidR="00E07285" w:rsidRPr="00383A10" w:rsidRDefault="00E07285" w:rsidP="00E07285">
            <w:pPr>
              <w:spacing w:line="560" w:lineRule="exact"/>
              <w:jc w:val="left"/>
              <w:rPr>
                <w:rFonts w:ascii="Times New Roman" w:hAnsi="宋体"/>
                <w:sz w:val="24"/>
                <w:szCs w:val="24"/>
              </w:rPr>
            </w:pPr>
            <w:r w:rsidRPr="00383A10">
              <w:rPr>
                <w:rFonts w:ascii="Times New Roman" w:hAnsi="宋体"/>
                <w:sz w:val="24"/>
                <w:szCs w:val="24"/>
              </w:rPr>
              <w:t>2.4</w:t>
            </w:r>
            <w:r w:rsidRPr="00383A10">
              <w:rPr>
                <w:rFonts w:ascii="Times New Roman" w:hAnsi="宋体"/>
                <w:sz w:val="24"/>
                <w:szCs w:val="24"/>
              </w:rPr>
              <w:t>污水处理基本方法与程度</w:t>
            </w:r>
          </w:p>
        </w:tc>
        <w:tc>
          <w:tcPr>
            <w:tcW w:w="3398" w:type="dxa"/>
            <w:vAlign w:val="center"/>
          </w:tcPr>
          <w:p w:rsidR="00E07285" w:rsidRPr="00383A10" w:rsidRDefault="00E07285" w:rsidP="005F6318">
            <w:pPr>
              <w:numPr>
                <w:ilvl w:val="0"/>
                <w:numId w:val="46"/>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掌握污染物形态、分类，污染物指标；</w:t>
            </w:r>
          </w:p>
          <w:p w:rsidR="00E07285" w:rsidRPr="00383A10" w:rsidRDefault="00E07285" w:rsidP="005F6318">
            <w:pPr>
              <w:numPr>
                <w:ilvl w:val="0"/>
                <w:numId w:val="46"/>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掌握水体自净原理；</w:t>
            </w:r>
          </w:p>
          <w:p w:rsidR="00E07285" w:rsidRPr="00383A10" w:rsidRDefault="00E07285" w:rsidP="005F6318">
            <w:pPr>
              <w:numPr>
                <w:ilvl w:val="0"/>
                <w:numId w:val="46"/>
              </w:numPr>
              <w:tabs>
                <w:tab w:val="clear" w:pos="312"/>
                <w:tab w:val="left" w:pos="220"/>
              </w:tabs>
              <w:spacing w:line="560" w:lineRule="exact"/>
              <w:rPr>
                <w:rFonts w:ascii="Times New Roman" w:hAnsi="宋体"/>
                <w:sz w:val="24"/>
                <w:szCs w:val="24"/>
              </w:rPr>
            </w:pPr>
            <w:r w:rsidRPr="00383A10">
              <w:rPr>
                <w:rFonts w:ascii="Times New Roman" w:hAnsi="宋体"/>
                <w:sz w:val="24"/>
                <w:szCs w:val="24"/>
              </w:rPr>
              <w:t>了解水环境保护及相关法规；</w:t>
            </w:r>
          </w:p>
          <w:p w:rsidR="00E07285" w:rsidRPr="00383A10" w:rsidRDefault="00E07285" w:rsidP="005F6318">
            <w:pPr>
              <w:numPr>
                <w:ilvl w:val="0"/>
                <w:numId w:val="46"/>
              </w:numPr>
              <w:tabs>
                <w:tab w:val="clear" w:pos="312"/>
                <w:tab w:val="left" w:pos="220"/>
              </w:tabs>
              <w:spacing w:line="560" w:lineRule="exact"/>
              <w:rPr>
                <w:rFonts w:ascii="Times New Roman" w:hAnsi="宋体"/>
                <w:sz w:val="24"/>
                <w:szCs w:val="24"/>
              </w:rPr>
            </w:pPr>
            <w:r w:rsidRPr="00383A10">
              <w:rPr>
                <w:rFonts w:ascii="Times New Roman" w:hAnsi="宋体"/>
                <w:sz w:val="24"/>
                <w:szCs w:val="24"/>
              </w:rPr>
              <w:t>熟悉污水处理基本方法与分级，基本流程。</w:t>
            </w:r>
          </w:p>
        </w:tc>
      </w:tr>
      <w:tr w:rsidR="00E07285" w:rsidTr="00E07285">
        <w:trPr>
          <w:trHeight w:val="1368"/>
        </w:trPr>
        <w:tc>
          <w:tcPr>
            <w:tcW w:w="532" w:type="dxa"/>
            <w:vAlign w:val="center"/>
          </w:tcPr>
          <w:p w:rsidR="00E07285" w:rsidRPr="00383A10" w:rsidRDefault="00E07285" w:rsidP="00E07285">
            <w:pPr>
              <w:spacing w:line="560" w:lineRule="exact"/>
              <w:rPr>
                <w:rFonts w:ascii="Times New Roman" w:hAnsi="宋体"/>
                <w:sz w:val="24"/>
                <w:szCs w:val="24"/>
              </w:rPr>
            </w:pP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2</w:t>
            </w:r>
          </w:p>
        </w:tc>
        <w:tc>
          <w:tcPr>
            <w:tcW w:w="1419"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第三章</w:t>
            </w:r>
          </w:p>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污水的物理处理</w:t>
            </w:r>
          </w:p>
        </w:tc>
        <w:tc>
          <w:tcPr>
            <w:tcW w:w="1097"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4</w:t>
            </w:r>
          </w:p>
        </w:tc>
        <w:tc>
          <w:tcPr>
            <w:tcW w:w="3156" w:type="dxa"/>
            <w:vAlign w:val="center"/>
          </w:tcPr>
          <w:p w:rsidR="00E07285" w:rsidRPr="00383A10" w:rsidRDefault="00E07285" w:rsidP="00E07285">
            <w:pPr>
              <w:spacing w:line="560" w:lineRule="exact"/>
              <w:jc w:val="left"/>
              <w:rPr>
                <w:rFonts w:ascii="Times New Roman" w:hAnsi="宋体"/>
                <w:sz w:val="24"/>
                <w:szCs w:val="24"/>
              </w:rPr>
            </w:pPr>
            <w:r w:rsidRPr="00383A10">
              <w:rPr>
                <w:rFonts w:ascii="Times New Roman" w:hAnsi="宋体"/>
                <w:sz w:val="24"/>
                <w:szCs w:val="24"/>
              </w:rPr>
              <w:t>3.1</w:t>
            </w:r>
            <w:r w:rsidRPr="00383A10">
              <w:rPr>
                <w:rFonts w:ascii="Times New Roman" w:hAnsi="宋体"/>
                <w:sz w:val="24"/>
                <w:szCs w:val="24"/>
              </w:rPr>
              <w:t>格栅与破碎</w:t>
            </w:r>
          </w:p>
          <w:p w:rsidR="00E07285" w:rsidRPr="00383A10" w:rsidRDefault="00E07285" w:rsidP="00E07285">
            <w:pPr>
              <w:spacing w:line="560" w:lineRule="exact"/>
              <w:jc w:val="left"/>
              <w:rPr>
                <w:rFonts w:ascii="Times New Roman" w:hAnsi="宋体"/>
                <w:sz w:val="24"/>
                <w:szCs w:val="24"/>
              </w:rPr>
            </w:pPr>
            <w:r w:rsidRPr="00383A10">
              <w:rPr>
                <w:rFonts w:ascii="Times New Roman" w:hAnsi="宋体"/>
                <w:sz w:val="24"/>
                <w:szCs w:val="24"/>
              </w:rPr>
              <w:t>3.2</w:t>
            </w:r>
            <w:r w:rsidRPr="00383A10">
              <w:rPr>
                <w:rFonts w:ascii="Times New Roman" w:hAnsi="宋体"/>
                <w:sz w:val="24"/>
                <w:szCs w:val="24"/>
              </w:rPr>
              <w:t>沉淀理论</w:t>
            </w:r>
          </w:p>
          <w:p w:rsidR="00E07285" w:rsidRPr="00383A10" w:rsidRDefault="00E07285" w:rsidP="00E07285">
            <w:pPr>
              <w:spacing w:line="560" w:lineRule="exact"/>
              <w:jc w:val="left"/>
              <w:rPr>
                <w:rFonts w:ascii="Times New Roman" w:hAnsi="宋体"/>
                <w:sz w:val="24"/>
                <w:szCs w:val="24"/>
              </w:rPr>
            </w:pPr>
            <w:r w:rsidRPr="00383A10">
              <w:rPr>
                <w:rFonts w:ascii="Times New Roman" w:hAnsi="宋体"/>
                <w:sz w:val="24"/>
                <w:szCs w:val="24"/>
              </w:rPr>
              <w:t>3.3</w:t>
            </w:r>
            <w:r w:rsidRPr="00383A10">
              <w:rPr>
                <w:rFonts w:ascii="Times New Roman" w:hAnsi="宋体"/>
                <w:sz w:val="24"/>
                <w:szCs w:val="24"/>
              </w:rPr>
              <w:t>沉砂池与沉淀池</w:t>
            </w:r>
          </w:p>
          <w:p w:rsidR="00E07285" w:rsidRPr="00383A10" w:rsidRDefault="00E07285" w:rsidP="00E07285">
            <w:pPr>
              <w:spacing w:line="560" w:lineRule="exact"/>
              <w:jc w:val="left"/>
              <w:rPr>
                <w:rFonts w:ascii="Times New Roman" w:hAnsi="宋体"/>
                <w:sz w:val="24"/>
                <w:szCs w:val="24"/>
              </w:rPr>
            </w:pPr>
            <w:r w:rsidRPr="00383A10">
              <w:rPr>
                <w:rFonts w:ascii="Times New Roman" w:hAnsi="宋体"/>
                <w:sz w:val="24"/>
                <w:szCs w:val="24"/>
              </w:rPr>
              <w:t>3.4</w:t>
            </w:r>
            <w:r w:rsidRPr="00383A10">
              <w:rPr>
                <w:rFonts w:ascii="Times New Roman" w:hAnsi="宋体"/>
                <w:sz w:val="24"/>
                <w:szCs w:val="24"/>
              </w:rPr>
              <w:t>强化一级处理</w:t>
            </w:r>
          </w:p>
        </w:tc>
        <w:tc>
          <w:tcPr>
            <w:tcW w:w="3398" w:type="dxa"/>
            <w:vAlign w:val="center"/>
          </w:tcPr>
          <w:p w:rsidR="00E07285" w:rsidRPr="00383A10" w:rsidRDefault="00E07285" w:rsidP="005F6318">
            <w:pPr>
              <w:numPr>
                <w:ilvl w:val="0"/>
                <w:numId w:val="47"/>
              </w:numPr>
              <w:tabs>
                <w:tab w:val="clear" w:pos="312"/>
                <w:tab w:val="left" w:pos="220"/>
              </w:tabs>
              <w:spacing w:line="560" w:lineRule="exact"/>
              <w:rPr>
                <w:rFonts w:ascii="Times New Roman" w:hAnsi="宋体"/>
                <w:sz w:val="24"/>
                <w:szCs w:val="24"/>
              </w:rPr>
            </w:pPr>
            <w:r w:rsidRPr="00383A10">
              <w:rPr>
                <w:rFonts w:ascii="Times New Roman" w:hAnsi="宋体"/>
                <w:sz w:val="24"/>
                <w:szCs w:val="24"/>
              </w:rPr>
              <w:t>熟悉预处理方法，掌握沉淀理论与沉淀池设计方法；</w:t>
            </w:r>
          </w:p>
          <w:p w:rsidR="00E07285" w:rsidRPr="00383A10" w:rsidRDefault="00E07285" w:rsidP="005F6318">
            <w:pPr>
              <w:numPr>
                <w:ilvl w:val="0"/>
                <w:numId w:val="47"/>
              </w:numPr>
              <w:tabs>
                <w:tab w:val="clear" w:pos="312"/>
                <w:tab w:val="left" w:pos="220"/>
              </w:tabs>
              <w:spacing w:line="560" w:lineRule="exact"/>
              <w:rPr>
                <w:rFonts w:ascii="Times New Roman" w:hAnsi="宋体"/>
                <w:sz w:val="24"/>
                <w:szCs w:val="24"/>
              </w:rPr>
            </w:pPr>
            <w:r w:rsidRPr="00383A10">
              <w:rPr>
                <w:rFonts w:ascii="Times New Roman" w:hAnsi="宋体"/>
                <w:sz w:val="24"/>
                <w:szCs w:val="24"/>
              </w:rPr>
              <w:t>了解强化一级处理</w:t>
            </w:r>
          </w:p>
        </w:tc>
      </w:tr>
      <w:tr w:rsidR="00E07285" w:rsidTr="00E07285">
        <w:trPr>
          <w:trHeight w:val="707"/>
        </w:trPr>
        <w:tc>
          <w:tcPr>
            <w:tcW w:w="532"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3</w:t>
            </w:r>
          </w:p>
        </w:tc>
        <w:tc>
          <w:tcPr>
            <w:tcW w:w="1419"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第四章</w:t>
            </w:r>
          </w:p>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活性污泥处理工艺的基本原理</w:t>
            </w:r>
          </w:p>
          <w:p w:rsidR="00E07285" w:rsidRPr="00383A10" w:rsidRDefault="00E07285" w:rsidP="00E07285">
            <w:pPr>
              <w:spacing w:line="560" w:lineRule="exact"/>
              <w:jc w:val="center"/>
              <w:rPr>
                <w:rFonts w:ascii="Times New Roman" w:hAnsi="宋体"/>
                <w:sz w:val="24"/>
                <w:szCs w:val="24"/>
              </w:rPr>
            </w:pPr>
          </w:p>
          <w:p w:rsidR="00E07285" w:rsidRPr="00383A10" w:rsidRDefault="00E07285" w:rsidP="00E07285">
            <w:pPr>
              <w:spacing w:line="560" w:lineRule="exact"/>
              <w:jc w:val="center"/>
              <w:rPr>
                <w:rFonts w:ascii="Times New Roman" w:hAnsi="宋体"/>
                <w:sz w:val="24"/>
                <w:szCs w:val="24"/>
              </w:rPr>
            </w:pPr>
          </w:p>
        </w:tc>
        <w:tc>
          <w:tcPr>
            <w:tcW w:w="1097"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14</w:t>
            </w:r>
          </w:p>
        </w:tc>
        <w:tc>
          <w:tcPr>
            <w:tcW w:w="3156" w:type="dxa"/>
            <w:vAlign w:val="center"/>
          </w:tcPr>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4.1</w:t>
            </w:r>
            <w:r w:rsidRPr="00383A10">
              <w:rPr>
                <w:rFonts w:ascii="Times New Roman" w:hAnsi="宋体"/>
                <w:sz w:val="24"/>
                <w:szCs w:val="24"/>
              </w:rPr>
              <w:t>活性污泥工艺基本原理</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4.2</w:t>
            </w:r>
            <w:r w:rsidRPr="00383A10">
              <w:rPr>
                <w:rFonts w:ascii="Times New Roman" w:hAnsi="宋体"/>
                <w:sz w:val="24"/>
                <w:szCs w:val="24"/>
              </w:rPr>
              <w:t>影响因素与主要设计运行参数</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4.3</w:t>
            </w:r>
            <w:r w:rsidRPr="00383A10">
              <w:rPr>
                <w:rFonts w:ascii="Times New Roman" w:hAnsi="宋体"/>
                <w:sz w:val="24"/>
                <w:szCs w:val="24"/>
              </w:rPr>
              <w:t>系统重要参数的相关性</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4.4</w:t>
            </w:r>
            <w:r w:rsidRPr="00383A10">
              <w:rPr>
                <w:rFonts w:ascii="Times New Roman" w:hAnsi="宋体"/>
                <w:sz w:val="24"/>
                <w:szCs w:val="24"/>
              </w:rPr>
              <w:t>反应动力学</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4.5</w:t>
            </w:r>
            <w:r w:rsidRPr="00383A10">
              <w:rPr>
                <w:rFonts w:ascii="Times New Roman" w:hAnsi="宋体"/>
                <w:sz w:val="24"/>
                <w:szCs w:val="24"/>
              </w:rPr>
              <w:t>氧传质理论与扩散装置</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4.6</w:t>
            </w:r>
            <w:r w:rsidRPr="00383A10">
              <w:rPr>
                <w:rFonts w:ascii="Times New Roman" w:hAnsi="宋体"/>
                <w:sz w:val="24"/>
                <w:szCs w:val="24"/>
              </w:rPr>
              <w:t>活性污泥反应器</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4.7</w:t>
            </w:r>
            <w:r w:rsidRPr="00383A10">
              <w:rPr>
                <w:rFonts w:ascii="Times New Roman" w:hAnsi="宋体"/>
                <w:sz w:val="24"/>
                <w:szCs w:val="24"/>
              </w:rPr>
              <w:t>泥水分离器</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4.8</w:t>
            </w:r>
            <w:r w:rsidRPr="00383A10">
              <w:rPr>
                <w:rFonts w:ascii="Times New Roman" w:hAnsi="宋体"/>
                <w:sz w:val="24"/>
                <w:szCs w:val="24"/>
              </w:rPr>
              <w:t>污泥的驯化与异常控制</w:t>
            </w:r>
          </w:p>
        </w:tc>
        <w:tc>
          <w:tcPr>
            <w:tcW w:w="3398" w:type="dxa"/>
            <w:vAlign w:val="center"/>
          </w:tcPr>
          <w:p w:rsidR="00E07285" w:rsidRPr="00383A10" w:rsidRDefault="00E07285" w:rsidP="005F6318">
            <w:pPr>
              <w:numPr>
                <w:ilvl w:val="0"/>
                <w:numId w:val="48"/>
              </w:numPr>
              <w:tabs>
                <w:tab w:val="clear" w:pos="312"/>
                <w:tab w:val="left" w:pos="220"/>
              </w:tabs>
              <w:spacing w:line="560" w:lineRule="exact"/>
              <w:rPr>
                <w:rFonts w:ascii="Times New Roman" w:hAnsi="宋体"/>
                <w:sz w:val="24"/>
                <w:szCs w:val="24"/>
              </w:rPr>
            </w:pPr>
            <w:r w:rsidRPr="00383A10">
              <w:rPr>
                <w:rFonts w:ascii="Times New Roman" w:hAnsi="宋体"/>
                <w:sz w:val="24"/>
                <w:szCs w:val="24"/>
              </w:rPr>
              <w:t>熟悉活性污泥法及其净化机理；</w:t>
            </w:r>
          </w:p>
          <w:p w:rsidR="00E07285" w:rsidRPr="00383A10" w:rsidRDefault="00E07285" w:rsidP="005F6318">
            <w:pPr>
              <w:numPr>
                <w:ilvl w:val="0"/>
                <w:numId w:val="48"/>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掌握活性污泥形态、微生物作用、增殖规律及影响因素；</w:t>
            </w:r>
          </w:p>
          <w:p w:rsidR="00E07285" w:rsidRPr="00383A10" w:rsidRDefault="00E07285" w:rsidP="005F6318">
            <w:pPr>
              <w:numPr>
                <w:ilvl w:val="0"/>
                <w:numId w:val="48"/>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掌握系统主要设计参数及相关性；</w:t>
            </w:r>
          </w:p>
          <w:p w:rsidR="00E07285" w:rsidRPr="00383A10" w:rsidRDefault="00E07285" w:rsidP="005F6318">
            <w:pPr>
              <w:numPr>
                <w:ilvl w:val="0"/>
                <w:numId w:val="48"/>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掌握活性污泥性能及动力学指标；</w:t>
            </w:r>
          </w:p>
          <w:p w:rsidR="00E07285" w:rsidRPr="00383A10" w:rsidRDefault="00E07285" w:rsidP="005F6318">
            <w:pPr>
              <w:numPr>
                <w:ilvl w:val="0"/>
                <w:numId w:val="48"/>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掌握氧转移原理及影响因素；</w:t>
            </w:r>
          </w:p>
          <w:p w:rsidR="00E07285" w:rsidRPr="00383A10" w:rsidRDefault="00E07285" w:rsidP="005F6318">
            <w:pPr>
              <w:numPr>
                <w:ilvl w:val="0"/>
                <w:numId w:val="48"/>
              </w:numPr>
              <w:tabs>
                <w:tab w:val="clear" w:pos="312"/>
                <w:tab w:val="left" w:pos="220"/>
              </w:tabs>
              <w:spacing w:line="560" w:lineRule="exact"/>
              <w:rPr>
                <w:rFonts w:ascii="Times New Roman" w:hAnsi="宋体"/>
                <w:sz w:val="24"/>
                <w:szCs w:val="24"/>
              </w:rPr>
            </w:pPr>
            <w:r w:rsidRPr="00383A10">
              <w:rPr>
                <w:rFonts w:ascii="Times New Roman" w:hAnsi="宋体"/>
                <w:sz w:val="24"/>
                <w:szCs w:val="24"/>
              </w:rPr>
              <w:t>熟悉污泥驯化系统运行参数控制方法。</w:t>
            </w:r>
          </w:p>
        </w:tc>
      </w:tr>
      <w:tr w:rsidR="00E07285" w:rsidTr="00E07285">
        <w:trPr>
          <w:trHeight w:val="1190"/>
        </w:trPr>
        <w:tc>
          <w:tcPr>
            <w:tcW w:w="532"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4</w:t>
            </w:r>
          </w:p>
        </w:tc>
        <w:tc>
          <w:tcPr>
            <w:tcW w:w="1419"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第五章</w:t>
            </w:r>
          </w:p>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活性污泥处理工艺系统</w:t>
            </w:r>
          </w:p>
        </w:tc>
        <w:tc>
          <w:tcPr>
            <w:tcW w:w="1097"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4</w:t>
            </w:r>
          </w:p>
        </w:tc>
        <w:tc>
          <w:tcPr>
            <w:tcW w:w="3156" w:type="dxa"/>
            <w:vAlign w:val="center"/>
          </w:tcPr>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5.1</w:t>
            </w:r>
            <w:r w:rsidRPr="00383A10">
              <w:rPr>
                <w:rFonts w:ascii="Times New Roman" w:hAnsi="宋体"/>
                <w:sz w:val="24"/>
                <w:szCs w:val="24"/>
              </w:rPr>
              <w:t>活性污泥法传统工艺</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5.2SBR</w:t>
            </w:r>
            <w:r w:rsidRPr="00383A10">
              <w:rPr>
                <w:rFonts w:ascii="Times New Roman" w:hAnsi="宋体"/>
                <w:sz w:val="24"/>
                <w:szCs w:val="24"/>
              </w:rPr>
              <w:t>及其衍生工艺、</w:t>
            </w:r>
            <w:r w:rsidRPr="00383A10">
              <w:rPr>
                <w:rFonts w:ascii="Times New Roman" w:hAnsi="宋体"/>
                <w:sz w:val="24"/>
                <w:szCs w:val="24"/>
              </w:rPr>
              <w:t>OD</w:t>
            </w:r>
            <w:r w:rsidRPr="00383A10">
              <w:rPr>
                <w:rFonts w:ascii="Times New Roman" w:hAnsi="宋体"/>
                <w:sz w:val="24"/>
                <w:szCs w:val="24"/>
              </w:rPr>
              <w:t>工艺、</w:t>
            </w:r>
            <w:r w:rsidRPr="00383A10">
              <w:rPr>
                <w:rFonts w:ascii="Times New Roman" w:hAnsi="宋体"/>
                <w:sz w:val="24"/>
                <w:szCs w:val="24"/>
              </w:rPr>
              <w:t>A-B</w:t>
            </w:r>
            <w:r w:rsidRPr="00383A10">
              <w:rPr>
                <w:rFonts w:ascii="Times New Roman" w:hAnsi="宋体"/>
                <w:sz w:val="24"/>
                <w:szCs w:val="24"/>
              </w:rPr>
              <w:t>工艺</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5.3MBR</w:t>
            </w:r>
            <w:r w:rsidRPr="00383A10">
              <w:rPr>
                <w:rFonts w:ascii="Times New Roman" w:hAnsi="宋体"/>
                <w:sz w:val="24"/>
                <w:szCs w:val="24"/>
              </w:rPr>
              <w:t>、</w:t>
            </w:r>
            <w:r w:rsidRPr="00383A10">
              <w:rPr>
                <w:rFonts w:ascii="Times New Roman" w:hAnsi="宋体"/>
                <w:sz w:val="24"/>
                <w:szCs w:val="24"/>
              </w:rPr>
              <w:t>BIOLAK</w:t>
            </w:r>
            <w:r w:rsidRPr="00383A10">
              <w:rPr>
                <w:rFonts w:ascii="Times New Roman" w:hAnsi="宋体"/>
                <w:sz w:val="24"/>
                <w:szCs w:val="24"/>
              </w:rPr>
              <w:t>等工艺</w:t>
            </w:r>
          </w:p>
        </w:tc>
        <w:tc>
          <w:tcPr>
            <w:tcW w:w="3398" w:type="dxa"/>
            <w:vAlign w:val="center"/>
          </w:tcPr>
          <w:p w:rsidR="00E07285" w:rsidRPr="00383A10" w:rsidRDefault="00E07285" w:rsidP="005F6318">
            <w:pPr>
              <w:numPr>
                <w:ilvl w:val="0"/>
                <w:numId w:val="49"/>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掌握活性污泥传统工艺系统；</w:t>
            </w:r>
          </w:p>
          <w:p w:rsidR="00E07285" w:rsidRPr="00383A10" w:rsidRDefault="00E07285" w:rsidP="005F6318">
            <w:pPr>
              <w:numPr>
                <w:ilvl w:val="0"/>
                <w:numId w:val="49"/>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掌握活性污泥常用工艺系统，了解新工艺。</w:t>
            </w:r>
          </w:p>
        </w:tc>
      </w:tr>
      <w:tr w:rsidR="00E07285" w:rsidTr="00E07285">
        <w:trPr>
          <w:trHeight w:val="1269"/>
        </w:trPr>
        <w:tc>
          <w:tcPr>
            <w:tcW w:w="532"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5</w:t>
            </w:r>
          </w:p>
        </w:tc>
        <w:tc>
          <w:tcPr>
            <w:tcW w:w="1419"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第六章</w:t>
            </w:r>
          </w:p>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生物脱氮</w:t>
            </w:r>
          </w:p>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除磷</w:t>
            </w:r>
          </w:p>
        </w:tc>
        <w:tc>
          <w:tcPr>
            <w:tcW w:w="1097"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4</w:t>
            </w:r>
          </w:p>
        </w:tc>
        <w:tc>
          <w:tcPr>
            <w:tcW w:w="3156" w:type="dxa"/>
            <w:vAlign w:val="center"/>
          </w:tcPr>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6.1</w:t>
            </w:r>
            <w:r w:rsidRPr="00383A10">
              <w:rPr>
                <w:rFonts w:ascii="Times New Roman" w:hAnsi="宋体"/>
                <w:sz w:val="24"/>
                <w:szCs w:val="24"/>
              </w:rPr>
              <w:t>生物脱氮除磷原理及工艺</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6.2</w:t>
            </w:r>
            <w:r w:rsidRPr="00383A10">
              <w:rPr>
                <w:rFonts w:ascii="Times New Roman" w:hAnsi="宋体"/>
                <w:sz w:val="24"/>
                <w:szCs w:val="24"/>
              </w:rPr>
              <w:t>同步生物脱氮除磷工艺</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6.3</w:t>
            </w:r>
            <w:r w:rsidRPr="00383A10">
              <w:rPr>
                <w:rFonts w:ascii="Times New Roman" w:hAnsi="宋体"/>
                <w:sz w:val="24"/>
                <w:szCs w:val="24"/>
              </w:rPr>
              <w:t>生物辅以化学除磷工艺</w:t>
            </w:r>
          </w:p>
        </w:tc>
        <w:tc>
          <w:tcPr>
            <w:tcW w:w="3398" w:type="dxa"/>
            <w:vAlign w:val="center"/>
          </w:tcPr>
          <w:p w:rsidR="00E07285" w:rsidRPr="00383A10" w:rsidRDefault="00E07285" w:rsidP="005F6318">
            <w:pPr>
              <w:numPr>
                <w:ilvl w:val="0"/>
                <w:numId w:val="50"/>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掌握生物脱氮除磷原理；</w:t>
            </w:r>
          </w:p>
          <w:p w:rsidR="00E07285" w:rsidRPr="00383A10" w:rsidRDefault="00E07285" w:rsidP="005F6318">
            <w:pPr>
              <w:numPr>
                <w:ilvl w:val="0"/>
                <w:numId w:val="50"/>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掌握脱氮除磷工艺。</w:t>
            </w:r>
          </w:p>
        </w:tc>
      </w:tr>
      <w:tr w:rsidR="00E07285" w:rsidTr="00E07285">
        <w:trPr>
          <w:trHeight w:val="990"/>
        </w:trPr>
        <w:tc>
          <w:tcPr>
            <w:tcW w:w="532"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lastRenderedPageBreak/>
              <w:t>6</w:t>
            </w:r>
          </w:p>
        </w:tc>
        <w:tc>
          <w:tcPr>
            <w:tcW w:w="1419"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第七章</w:t>
            </w:r>
          </w:p>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生物膜法</w:t>
            </w:r>
          </w:p>
        </w:tc>
        <w:tc>
          <w:tcPr>
            <w:tcW w:w="1097"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8</w:t>
            </w:r>
          </w:p>
        </w:tc>
        <w:tc>
          <w:tcPr>
            <w:tcW w:w="3156" w:type="dxa"/>
            <w:vAlign w:val="center"/>
          </w:tcPr>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7.1</w:t>
            </w:r>
            <w:r w:rsidRPr="00383A10">
              <w:rPr>
                <w:rFonts w:ascii="Times New Roman" w:hAnsi="宋体"/>
                <w:sz w:val="24"/>
                <w:szCs w:val="24"/>
              </w:rPr>
              <w:t>生物膜法处理的基本原理及特征</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7.2</w:t>
            </w:r>
            <w:r w:rsidRPr="00383A10">
              <w:rPr>
                <w:rFonts w:ascii="Times New Roman" w:hAnsi="宋体"/>
                <w:sz w:val="24"/>
                <w:szCs w:val="24"/>
              </w:rPr>
              <w:t>生物膜法传统工艺</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7.3</w:t>
            </w:r>
            <w:r w:rsidRPr="00383A10">
              <w:rPr>
                <w:rFonts w:ascii="Times New Roman" w:hAnsi="宋体"/>
                <w:sz w:val="24"/>
                <w:szCs w:val="24"/>
              </w:rPr>
              <w:t>生物流化床</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7.4BAF</w:t>
            </w:r>
            <w:r w:rsidRPr="00383A10">
              <w:rPr>
                <w:rFonts w:ascii="Times New Roman" w:hAnsi="宋体"/>
                <w:sz w:val="24"/>
                <w:szCs w:val="24"/>
              </w:rPr>
              <w:t>及其派生工艺、</w:t>
            </w:r>
            <w:r w:rsidRPr="00383A10">
              <w:rPr>
                <w:rFonts w:ascii="Times New Roman" w:hAnsi="宋体"/>
                <w:sz w:val="24"/>
                <w:szCs w:val="24"/>
              </w:rPr>
              <w:t>MBBR</w:t>
            </w:r>
          </w:p>
        </w:tc>
        <w:tc>
          <w:tcPr>
            <w:tcW w:w="3398" w:type="dxa"/>
            <w:vAlign w:val="center"/>
          </w:tcPr>
          <w:p w:rsidR="00E07285" w:rsidRPr="00383A10" w:rsidRDefault="00E07285" w:rsidP="005F6318">
            <w:pPr>
              <w:numPr>
                <w:ilvl w:val="0"/>
                <w:numId w:val="51"/>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掌握生物膜法基本概念与基本原理；掌握生物膜增长动力学</w:t>
            </w:r>
          </w:p>
          <w:p w:rsidR="00E07285" w:rsidRPr="00383A10" w:rsidRDefault="00E07285" w:rsidP="005F6318">
            <w:pPr>
              <w:numPr>
                <w:ilvl w:val="0"/>
                <w:numId w:val="51"/>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掌握生物滤池工作原理及影响因素，熟悉相关新工艺；</w:t>
            </w:r>
          </w:p>
          <w:p w:rsidR="00E07285" w:rsidRPr="00383A10" w:rsidRDefault="00E07285" w:rsidP="005F6318">
            <w:pPr>
              <w:numPr>
                <w:ilvl w:val="0"/>
                <w:numId w:val="51"/>
              </w:numPr>
              <w:tabs>
                <w:tab w:val="clear" w:pos="312"/>
                <w:tab w:val="left" w:pos="220"/>
              </w:tabs>
              <w:spacing w:line="560" w:lineRule="exact"/>
              <w:rPr>
                <w:rFonts w:ascii="Times New Roman" w:hAnsi="宋体"/>
                <w:sz w:val="24"/>
                <w:szCs w:val="24"/>
              </w:rPr>
            </w:pPr>
            <w:r w:rsidRPr="00383A10">
              <w:rPr>
                <w:rFonts w:ascii="Times New Roman" w:hAnsi="宋体"/>
                <w:sz w:val="24"/>
                <w:szCs w:val="24"/>
              </w:rPr>
              <w:t>了解生物膜法处理系统的运行与管理。</w:t>
            </w:r>
          </w:p>
        </w:tc>
      </w:tr>
      <w:tr w:rsidR="00E07285" w:rsidTr="00E07285">
        <w:trPr>
          <w:trHeight w:val="990"/>
        </w:trPr>
        <w:tc>
          <w:tcPr>
            <w:tcW w:w="532"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7</w:t>
            </w:r>
          </w:p>
        </w:tc>
        <w:tc>
          <w:tcPr>
            <w:tcW w:w="1419"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第八章</w:t>
            </w:r>
            <w:r w:rsidRPr="00383A10">
              <w:rPr>
                <w:rFonts w:ascii="Times New Roman" w:hAnsi="宋体"/>
                <w:sz w:val="24"/>
                <w:szCs w:val="24"/>
              </w:rPr>
              <w:t xml:space="preserve"> </w:t>
            </w:r>
            <w:r w:rsidRPr="00383A10">
              <w:rPr>
                <w:rFonts w:ascii="Times New Roman" w:hAnsi="宋体"/>
                <w:sz w:val="24"/>
                <w:szCs w:val="24"/>
              </w:rPr>
              <w:t>污水自然处理</w:t>
            </w:r>
          </w:p>
        </w:tc>
        <w:tc>
          <w:tcPr>
            <w:tcW w:w="1097"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2</w:t>
            </w:r>
          </w:p>
        </w:tc>
        <w:tc>
          <w:tcPr>
            <w:tcW w:w="3156" w:type="dxa"/>
            <w:vAlign w:val="center"/>
          </w:tcPr>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8.1</w:t>
            </w:r>
            <w:r w:rsidRPr="00383A10">
              <w:rPr>
                <w:rFonts w:ascii="Times New Roman" w:hAnsi="宋体"/>
                <w:sz w:val="24"/>
                <w:szCs w:val="24"/>
              </w:rPr>
              <w:t>稳定塘</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8.2</w:t>
            </w:r>
            <w:r w:rsidRPr="00383A10">
              <w:rPr>
                <w:rFonts w:ascii="Times New Roman" w:hAnsi="宋体"/>
                <w:sz w:val="24"/>
                <w:szCs w:val="24"/>
              </w:rPr>
              <w:t>土地处理系统</w:t>
            </w:r>
          </w:p>
        </w:tc>
        <w:tc>
          <w:tcPr>
            <w:tcW w:w="3398" w:type="dxa"/>
            <w:vAlign w:val="center"/>
          </w:tcPr>
          <w:p w:rsidR="00E07285" w:rsidRPr="00383A10" w:rsidRDefault="00E07285" w:rsidP="005F6318">
            <w:pPr>
              <w:numPr>
                <w:ilvl w:val="0"/>
                <w:numId w:val="52"/>
              </w:numPr>
              <w:tabs>
                <w:tab w:val="clear" w:pos="312"/>
                <w:tab w:val="left" w:pos="220"/>
              </w:tabs>
              <w:spacing w:line="560" w:lineRule="exact"/>
              <w:rPr>
                <w:rFonts w:ascii="Times New Roman" w:hAnsi="宋体"/>
                <w:sz w:val="24"/>
                <w:szCs w:val="24"/>
              </w:rPr>
            </w:pPr>
            <w:r w:rsidRPr="00383A10">
              <w:rPr>
                <w:rFonts w:ascii="Times New Roman" w:hAnsi="宋体"/>
                <w:sz w:val="24"/>
                <w:szCs w:val="24"/>
              </w:rPr>
              <w:t>熟悉稳定塘法处理基本原理；</w:t>
            </w:r>
          </w:p>
          <w:p w:rsidR="00E07285" w:rsidRPr="00383A10" w:rsidRDefault="00E07285" w:rsidP="005F6318">
            <w:pPr>
              <w:numPr>
                <w:ilvl w:val="0"/>
                <w:numId w:val="52"/>
              </w:numPr>
              <w:tabs>
                <w:tab w:val="clear" w:pos="312"/>
                <w:tab w:val="left" w:pos="220"/>
              </w:tabs>
              <w:spacing w:line="560" w:lineRule="exact"/>
              <w:rPr>
                <w:rFonts w:ascii="Times New Roman" w:hAnsi="宋体"/>
                <w:sz w:val="24"/>
                <w:szCs w:val="24"/>
              </w:rPr>
            </w:pPr>
            <w:r w:rsidRPr="00383A10">
              <w:rPr>
                <w:rFonts w:ascii="Times New Roman" w:hAnsi="宋体"/>
                <w:sz w:val="24"/>
                <w:szCs w:val="24"/>
              </w:rPr>
              <w:t>熟悉土地处理系统原理</w:t>
            </w:r>
          </w:p>
        </w:tc>
      </w:tr>
      <w:tr w:rsidR="00E07285" w:rsidTr="00E07285">
        <w:trPr>
          <w:trHeight w:val="990"/>
        </w:trPr>
        <w:tc>
          <w:tcPr>
            <w:tcW w:w="532"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8</w:t>
            </w:r>
          </w:p>
        </w:tc>
        <w:tc>
          <w:tcPr>
            <w:tcW w:w="1419"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第九章</w:t>
            </w:r>
            <w:r w:rsidRPr="00383A10">
              <w:rPr>
                <w:rFonts w:ascii="Times New Roman" w:hAnsi="宋体"/>
                <w:sz w:val="24"/>
                <w:szCs w:val="24"/>
              </w:rPr>
              <w:t xml:space="preserve"> </w:t>
            </w:r>
          </w:p>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消毒与深度处理</w:t>
            </w:r>
          </w:p>
        </w:tc>
        <w:tc>
          <w:tcPr>
            <w:tcW w:w="1097"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4</w:t>
            </w:r>
          </w:p>
        </w:tc>
        <w:tc>
          <w:tcPr>
            <w:tcW w:w="3156" w:type="dxa"/>
            <w:vAlign w:val="center"/>
          </w:tcPr>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9.1</w:t>
            </w:r>
            <w:r w:rsidRPr="00383A10">
              <w:rPr>
                <w:rFonts w:ascii="Times New Roman" w:hAnsi="宋体"/>
                <w:sz w:val="24"/>
                <w:szCs w:val="24"/>
              </w:rPr>
              <w:t>污水消毒</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9.2</w:t>
            </w:r>
            <w:r w:rsidRPr="00383A10">
              <w:rPr>
                <w:rFonts w:ascii="Times New Roman" w:hAnsi="宋体"/>
                <w:sz w:val="24"/>
                <w:szCs w:val="24"/>
              </w:rPr>
              <w:t>污水的深度处理</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9.3</w:t>
            </w:r>
            <w:r w:rsidRPr="00383A10">
              <w:rPr>
                <w:rFonts w:ascii="Times New Roman" w:hAnsi="宋体"/>
                <w:sz w:val="24"/>
                <w:szCs w:val="24"/>
              </w:rPr>
              <w:t>污水回用</w:t>
            </w:r>
          </w:p>
        </w:tc>
        <w:tc>
          <w:tcPr>
            <w:tcW w:w="3398" w:type="dxa"/>
            <w:vAlign w:val="center"/>
          </w:tcPr>
          <w:p w:rsidR="00E07285" w:rsidRPr="00383A10" w:rsidRDefault="00E07285" w:rsidP="005F6318">
            <w:pPr>
              <w:numPr>
                <w:ilvl w:val="0"/>
                <w:numId w:val="53"/>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掌握污水消毒的基本方法及对比；</w:t>
            </w:r>
          </w:p>
          <w:p w:rsidR="00E07285" w:rsidRPr="00383A10" w:rsidRDefault="00E07285" w:rsidP="005F6318">
            <w:pPr>
              <w:numPr>
                <w:ilvl w:val="0"/>
                <w:numId w:val="53"/>
              </w:numPr>
              <w:tabs>
                <w:tab w:val="clear" w:pos="312"/>
                <w:tab w:val="left" w:pos="220"/>
              </w:tabs>
              <w:spacing w:line="560" w:lineRule="exact"/>
              <w:rPr>
                <w:rFonts w:ascii="Times New Roman" w:hAnsi="宋体"/>
                <w:sz w:val="24"/>
                <w:szCs w:val="24"/>
              </w:rPr>
            </w:pPr>
            <w:r w:rsidRPr="00383A10">
              <w:rPr>
                <w:rFonts w:ascii="Times New Roman" w:hAnsi="宋体"/>
                <w:sz w:val="24"/>
                <w:szCs w:val="24"/>
              </w:rPr>
              <w:t>熟悉污水深度处理技术，了解新工艺。</w:t>
            </w:r>
          </w:p>
        </w:tc>
      </w:tr>
      <w:tr w:rsidR="00E07285" w:rsidTr="00E07285">
        <w:trPr>
          <w:trHeight w:val="990"/>
        </w:trPr>
        <w:tc>
          <w:tcPr>
            <w:tcW w:w="532"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9</w:t>
            </w:r>
          </w:p>
        </w:tc>
        <w:tc>
          <w:tcPr>
            <w:tcW w:w="1419"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第十章</w:t>
            </w:r>
          </w:p>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污泥处理与处置</w:t>
            </w:r>
          </w:p>
        </w:tc>
        <w:tc>
          <w:tcPr>
            <w:tcW w:w="1097"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8</w:t>
            </w:r>
          </w:p>
        </w:tc>
        <w:tc>
          <w:tcPr>
            <w:tcW w:w="3156" w:type="dxa"/>
            <w:vAlign w:val="center"/>
          </w:tcPr>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10.1</w:t>
            </w:r>
            <w:r w:rsidRPr="00383A10">
              <w:rPr>
                <w:rFonts w:ascii="Times New Roman" w:hAnsi="宋体"/>
                <w:sz w:val="24"/>
                <w:szCs w:val="24"/>
              </w:rPr>
              <w:t>污泥来源及性质指标</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10.2</w:t>
            </w:r>
            <w:r w:rsidRPr="00383A10">
              <w:rPr>
                <w:rFonts w:ascii="Times New Roman" w:hAnsi="宋体"/>
                <w:sz w:val="24"/>
                <w:szCs w:val="24"/>
              </w:rPr>
              <w:t>污泥处置基本方案</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10.3</w:t>
            </w:r>
            <w:r w:rsidRPr="00383A10">
              <w:rPr>
                <w:rFonts w:ascii="Times New Roman" w:hAnsi="宋体"/>
                <w:sz w:val="24"/>
                <w:szCs w:val="24"/>
              </w:rPr>
              <w:t>污泥流动特性与输送</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10.4</w:t>
            </w:r>
            <w:r w:rsidRPr="00383A10">
              <w:rPr>
                <w:rFonts w:ascii="Times New Roman" w:hAnsi="宋体"/>
                <w:sz w:val="24"/>
                <w:szCs w:val="24"/>
              </w:rPr>
              <w:t>污泥浓缩</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10.5</w:t>
            </w:r>
            <w:r w:rsidRPr="00383A10">
              <w:rPr>
                <w:rFonts w:ascii="Times New Roman" w:hAnsi="宋体"/>
                <w:sz w:val="24"/>
                <w:szCs w:val="24"/>
              </w:rPr>
              <w:t>污泥的厌氧、好氧消化</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10.6</w:t>
            </w:r>
            <w:r w:rsidRPr="00383A10">
              <w:rPr>
                <w:rFonts w:ascii="Times New Roman" w:hAnsi="宋体"/>
                <w:sz w:val="24"/>
                <w:szCs w:val="24"/>
              </w:rPr>
              <w:t>污泥调蓄与浓缩脱水</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10.7</w:t>
            </w:r>
            <w:r w:rsidRPr="00383A10">
              <w:rPr>
                <w:rFonts w:ascii="Times New Roman" w:hAnsi="宋体"/>
                <w:sz w:val="24"/>
                <w:szCs w:val="24"/>
              </w:rPr>
              <w:t>污泥的稳定与再利用</w:t>
            </w:r>
          </w:p>
        </w:tc>
        <w:tc>
          <w:tcPr>
            <w:tcW w:w="3398" w:type="dxa"/>
            <w:vAlign w:val="center"/>
          </w:tcPr>
          <w:p w:rsidR="00E07285" w:rsidRPr="00383A10" w:rsidRDefault="00E07285" w:rsidP="005F6318">
            <w:pPr>
              <w:numPr>
                <w:ilvl w:val="0"/>
                <w:numId w:val="54"/>
              </w:numPr>
              <w:tabs>
                <w:tab w:val="clear" w:pos="312"/>
                <w:tab w:val="left" w:pos="220"/>
              </w:tabs>
              <w:spacing w:line="560" w:lineRule="exact"/>
              <w:rPr>
                <w:rFonts w:ascii="Times New Roman" w:hAnsi="宋体"/>
                <w:sz w:val="24"/>
                <w:szCs w:val="24"/>
              </w:rPr>
            </w:pPr>
            <w:r w:rsidRPr="00383A10">
              <w:rPr>
                <w:rFonts w:ascii="Times New Roman" w:hAnsi="宋体"/>
                <w:sz w:val="24"/>
                <w:szCs w:val="24"/>
              </w:rPr>
              <w:t>熟悉污泥的分类、性质与计算；</w:t>
            </w:r>
          </w:p>
          <w:p w:rsidR="00E07285" w:rsidRPr="00383A10" w:rsidRDefault="00E07285" w:rsidP="005F6318">
            <w:pPr>
              <w:numPr>
                <w:ilvl w:val="0"/>
                <w:numId w:val="54"/>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掌握污泥处理的基本流程；</w:t>
            </w:r>
          </w:p>
          <w:p w:rsidR="00E07285" w:rsidRPr="00383A10" w:rsidRDefault="00E07285" w:rsidP="005F6318">
            <w:pPr>
              <w:numPr>
                <w:ilvl w:val="0"/>
                <w:numId w:val="54"/>
              </w:numPr>
              <w:tabs>
                <w:tab w:val="clear" w:pos="312"/>
                <w:tab w:val="left" w:pos="220"/>
              </w:tabs>
              <w:spacing w:line="560" w:lineRule="exact"/>
              <w:rPr>
                <w:rFonts w:ascii="Times New Roman" w:hAnsi="宋体"/>
                <w:sz w:val="24"/>
                <w:szCs w:val="24"/>
              </w:rPr>
            </w:pPr>
            <w:r w:rsidRPr="00383A10">
              <w:rPr>
                <w:rFonts w:ascii="Times New Roman" w:hAnsi="宋体"/>
                <w:sz w:val="24"/>
                <w:szCs w:val="24"/>
              </w:rPr>
              <w:t>了解污泥的流动特性及输送；</w:t>
            </w:r>
          </w:p>
          <w:p w:rsidR="00E07285" w:rsidRPr="00383A10" w:rsidRDefault="00E07285" w:rsidP="005F6318">
            <w:pPr>
              <w:numPr>
                <w:ilvl w:val="0"/>
                <w:numId w:val="54"/>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掌握污泥浓缩原理及基本工艺方法；</w:t>
            </w:r>
          </w:p>
          <w:p w:rsidR="00E07285" w:rsidRPr="00383A10" w:rsidRDefault="00E07285" w:rsidP="005F6318">
            <w:pPr>
              <w:numPr>
                <w:ilvl w:val="0"/>
                <w:numId w:val="54"/>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掌握厌氧、好氧消化原理、熟悉相关工艺；</w:t>
            </w:r>
          </w:p>
          <w:p w:rsidR="00E07285" w:rsidRPr="00383A10" w:rsidRDefault="00E07285" w:rsidP="005F6318">
            <w:pPr>
              <w:numPr>
                <w:ilvl w:val="0"/>
                <w:numId w:val="54"/>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掌握污泥干化、机械脱水与</w:t>
            </w:r>
            <w:r w:rsidRPr="00383A10">
              <w:rPr>
                <w:rFonts w:ascii="Times New Roman" w:hAnsi="宋体"/>
                <w:sz w:val="24"/>
                <w:szCs w:val="24"/>
              </w:rPr>
              <w:lastRenderedPageBreak/>
              <w:t>焚化基本原理，了解相关设备；</w:t>
            </w:r>
          </w:p>
          <w:p w:rsidR="00E07285" w:rsidRPr="00383A10" w:rsidRDefault="00E07285" w:rsidP="005F6318">
            <w:pPr>
              <w:numPr>
                <w:ilvl w:val="0"/>
                <w:numId w:val="54"/>
              </w:numPr>
              <w:tabs>
                <w:tab w:val="clear" w:pos="312"/>
                <w:tab w:val="left" w:pos="220"/>
              </w:tabs>
              <w:spacing w:line="560" w:lineRule="exact"/>
              <w:rPr>
                <w:rFonts w:ascii="Times New Roman" w:hAnsi="宋体"/>
                <w:sz w:val="24"/>
                <w:szCs w:val="24"/>
              </w:rPr>
            </w:pPr>
            <w:r w:rsidRPr="00383A10">
              <w:rPr>
                <w:rFonts w:ascii="Times New Roman" w:hAnsi="宋体"/>
                <w:sz w:val="24"/>
                <w:szCs w:val="24"/>
              </w:rPr>
              <w:t>了解污泥的稳定与再利用相关技术。</w:t>
            </w:r>
          </w:p>
        </w:tc>
      </w:tr>
      <w:tr w:rsidR="00E07285" w:rsidTr="00E07285">
        <w:trPr>
          <w:trHeight w:val="990"/>
        </w:trPr>
        <w:tc>
          <w:tcPr>
            <w:tcW w:w="532"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lastRenderedPageBreak/>
              <w:t>10</w:t>
            </w:r>
          </w:p>
        </w:tc>
        <w:tc>
          <w:tcPr>
            <w:tcW w:w="1419"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第十一章</w:t>
            </w:r>
          </w:p>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污水处理厂设计</w:t>
            </w:r>
          </w:p>
        </w:tc>
        <w:tc>
          <w:tcPr>
            <w:tcW w:w="1097" w:type="dxa"/>
            <w:vAlign w:val="center"/>
          </w:tcPr>
          <w:p w:rsidR="00E07285" w:rsidRPr="00383A10" w:rsidRDefault="00E07285" w:rsidP="00E07285">
            <w:pPr>
              <w:spacing w:line="560" w:lineRule="exact"/>
              <w:jc w:val="center"/>
              <w:rPr>
                <w:rFonts w:ascii="Times New Roman" w:hAnsi="宋体"/>
                <w:sz w:val="24"/>
                <w:szCs w:val="24"/>
              </w:rPr>
            </w:pPr>
            <w:r w:rsidRPr="00383A10">
              <w:rPr>
                <w:rFonts w:ascii="Times New Roman" w:hAnsi="宋体"/>
                <w:sz w:val="24"/>
                <w:szCs w:val="24"/>
              </w:rPr>
              <w:t>4</w:t>
            </w:r>
          </w:p>
        </w:tc>
        <w:tc>
          <w:tcPr>
            <w:tcW w:w="3156" w:type="dxa"/>
            <w:vAlign w:val="center"/>
          </w:tcPr>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11.1</w:t>
            </w:r>
            <w:r w:rsidRPr="00383A10">
              <w:rPr>
                <w:rFonts w:ascii="Times New Roman" w:hAnsi="宋体"/>
                <w:sz w:val="24"/>
                <w:szCs w:val="24"/>
              </w:rPr>
              <w:t>污水处理厂规模及水质的确定</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11.2</w:t>
            </w:r>
            <w:r w:rsidRPr="00383A10">
              <w:rPr>
                <w:rFonts w:ascii="Times New Roman" w:hAnsi="宋体"/>
                <w:sz w:val="24"/>
                <w:szCs w:val="24"/>
              </w:rPr>
              <w:t>处理工艺的选择</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11.3</w:t>
            </w:r>
            <w:r w:rsidRPr="00383A10">
              <w:rPr>
                <w:rFonts w:ascii="Times New Roman" w:hAnsi="宋体"/>
                <w:sz w:val="24"/>
                <w:szCs w:val="24"/>
              </w:rPr>
              <w:t>选址原则及平面与高程布置</w:t>
            </w:r>
          </w:p>
          <w:p w:rsidR="00E07285" w:rsidRPr="00383A10" w:rsidRDefault="00E07285" w:rsidP="00E07285">
            <w:pPr>
              <w:spacing w:line="560" w:lineRule="exact"/>
              <w:rPr>
                <w:rFonts w:ascii="Times New Roman" w:hAnsi="宋体"/>
                <w:sz w:val="24"/>
                <w:szCs w:val="24"/>
              </w:rPr>
            </w:pPr>
            <w:r w:rsidRPr="00383A10">
              <w:rPr>
                <w:rFonts w:ascii="Times New Roman" w:hAnsi="宋体"/>
                <w:sz w:val="24"/>
                <w:szCs w:val="24"/>
              </w:rPr>
              <w:t>11.4</w:t>
            </w:r>
            <w:r w:rsidRPr="00383A10">
              <w:rPr>
                <w:rFonts w:ascii="Times New Roman" w:hAnsi="宋体"/>
                <w:sz w:val="24"/>
                <w:szCs w:val="24"/>
              </w:rPr>
              <w:t>污水处理厂除臭、配水等计算</w:t>
            </w:r>
          </w:p>
        </w:tc>
        <w:tc>
          <w:tcPr>
            <w:tcW w:w="3398" w:type="dxa"/>
            <w:vAlign w:val="center"/>
          </w:tcPr>
          <w:p w:rsidR="00E07285" w:rsidRPr="00383A10" w:rsidRDefault="00E07285" w:rsidP="005F6318">
            <w:pPr>
              <w:numPr>
                <w:ilvl w:val="0"/>
                <w:numId w:val="55"/>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掌握污水水量计算方式及水质分析；</w:t>
            </w:r>
          </w:p>
          <w:p w:rsidR="00E07285" w:rsidRPr="00383A10" w:rsidRDefault="00E07285" w:rsidP="005F6318">
            <w:pPr>
              <w:numPr>
                <w:ilvl w:val="0"/>
                <w:numId w:val="55"/>
              </w:numPr>
              <w:tabs>
                <w:tab w:val="clear" w:pos="312"/>
                <w:tab w:val="left" w:pos="220"/>
              </w:tabs>
              <w:spacing w:line="560" w:lineRule="exact"/>
              <w:rPr>
                <w:rFonts w:ascii="Times New Roman" w:hAnsi="宋体"/>
                <w:sz w:val="24"/>
                <w:szCs w:val="24"/>
              </w:rPr>
            </w:pPr>
            <w:r w:rsidRPr="00383A10">
              <w:rPr>
                <w:rFonts w:ascii="Times New Roman" w:hAnsi="宋体"/>
                <w:sz w:val="24"/>
                <w:szCs w:val="24"/>
              </w:rPr>
              <w:t>学会根据水质、水量选择基本处理方法和工艺；</w:t>
            </w:r>
          </w:p>
          <w:p w:rsidR="00E07285" w:rsidRPr="00383A10" w:rsidRDefault="00E07285" w:rsidP="005F6318">
            <w:pPr>
              <w:numPr>
                <w:ilvl w:val="0"/>
                <w:numId w:val="55"/>
              </w:numPr>
              <w:tabs>
                <w:tab w:val="clear" w:pos="312"/>
                <w:tab w:val="left" w:pos="220"/>
              </w:tabs>
              <w:spacing w:line="560" w:lineRule="exact"/>
              <w:rPr>
                <w:rFonts w:ascii="Times New Roman" w:hAnsi="宋体"/>
                <w:sz w:val="24"/>
                <w:szCs w:val="24"/>
              </w:rPr>
            </w:pPr>
            <w:r w:rsidRPr="00383A10">
              <w:rPr>
                <w:rFonts w:ascii="Times New Roman" w:hAnsi="宋体"/>
                <w:sz w:val="24"/>
                <w:szCs w:val="24"/>
              </w:rPr>
              <w:t>熟悉选址、平面和高程布置的原则和方法；</w:t>
            </w:r>
          </w:p>
          <w:p w:rsidR="00E07285" w:rsidRPr="00383A10" w:rsidRDefault="00E07285" w:rsidP="005F6318">
            <w:pPr>
              <w:numPr>
                <w:ilvl w:val="0"/>
                <w:numId w:val="55"/>
              </w:numPr>
              <w:tabs>
                <w:tab w:val="clear" w:pos="312"/>
                <w:tab w:val="left" w:pos="220"/>
              </w:tabs>
              <w:spacing w:line="560" w:lineRule="exact"/>
              <w:rPr>
                <w:rFonts w:ascii="Times New Roman" w:hAnsi="宋体"/>
                <w:sz w:val="24"/>
                <w:szCs w:val="24"/>
              </w:rPr>
            </w:pPr>
            <w:r w:rsidRPr="00383A10">
              <w:rPr>
                <w:rFonts w:ascii="Times New Roman" w:hAnsi="宋体"/>
                <w:sz w:val="24"/>
                <w:szCs w:val="24"/>
              </w:rPr>
              <w:t>掌握污水厂相关设计计算，熟悉厂区除臭技术</w:t>
            </w:r>
          </w:p>
        </w:tc>
      </w:tr>
    </w:tbl>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E07285" w:rsidRDefault="00E07285" w:rsidP="00E07285">
      <w:pPr>
        <w:spacing w:line="560" w:lineRule="exact"/>
        <w:ind w:firstLineChars="200" w:firstLine="560"/>
        <w:rPr>
          <w:rFonts w:ascii="宋体" w:eastAsia="宋体" w:hAnsi="宋体"/>
          <w:b/>
          <w:color w:val="FF0000"/>
          <w:sz w:val="21"/>
          <w:szCs w:val="21"/>
        </w:rPr>
      </w:pPr>
      <w:r>
        <w:rPr>
          <w:rFonts w:ascii="仿宋_GB2312" w:hAnsi="仿宋_GB2312" w:cs="仿宋_GB2312" w:hint="eastAsia"/>
          <w:sz w:val="28"/>
          <w:szCs w:val="28"/>
        </w:rPr>
        <w:t>采用平时成绩+期末考试方式确定总评成绩</w:t>
      </w:r>
    </w:p>
    <w:p w:rsidR="00E07285" w:rsidRDefault="00E07285"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E07285" w:rsidRDefault="00E07285" w:rsidP="00E07285">
      <w:pPr>
        <w:spacing w:line="560" w:lineRule="exact"/>
        <w:ind w:firstLineChars="203" w:firstLine="568"/>
        <w:rPr>
          <w:rFonts w:ascii="仿宋_GB2312" w:hAnsi="仿宋_GB2312" w:cs="仿宋_GB2312"/>
          <w:sz w:val="28"/>
          <w:szCs w:val="28"/>
        </w:rPr>
      </w:pPr>
      <w:r>
        <w:rPr>
          <w:rFonts w:ascii="仿宋_GB2312" w:hAnsi="仿宋_GB2312" w:cs="仿宋_GB2312" w:hint="eastAsia"/>
          <w:sz w:val="28"/>
          <w:szCs w:val="28"/>
        </w:rPr>
        <w:t>成绩评定方式为百分制，平时成绩考核包括作业、讨论、出勤等内容，期末考试采用闭卷方式；非混动教学时平时成绩占20%</w:t>
      </w:r>
      <w:r>
        <w:rPr>
          <w:rFonts w:ascii="Times New Roman" w:hAnsi="Times New Roman"/>
          <w:sz w:val="28"/>
          <w:szCs w:val="28"/>
        </w:rPr>
        <w:t>~</w:t>
      </w:r>
      <w:r>
        <w:rPr>
          <w:rFonts w:ascii="仿宋_GB2312" w:hAnsi="仿宋_GB2312" w:cs="仿宋_GB2312" w:hint="eastAsia"/>
          <w:sz w:val="28"/>
          <w:szCs w:val="28"/>
        </w:rPr>
        <w:t>30%，采用混动教学时，期末考试成绩占60%，平时成绩占40%（其中讨论和出勤占20%，线上成绩占20%）。</w:t>
      </w:r>
    </w:p>
    <w:p w:rsidR="00E07285" w:rsidRDefault="00E07285" w:rsidP="00E07285">
      <w:pPr>
        <w:spacing w:line="560" w:lineRule="exact"/>
        <w:ind w:firstLineChars="203" w:firstLine="568"/>
        <w:rPr>
          <w:rFonts w:ascii="仿宋_GB2312" w:hAnsi="仿宋_GB2312" w:cs="仿宋_GB2312"/>
          <w:sz w:val="28"/>
          <w:szCs w:val="28"/>
        </w:rPr>
      </w:pPr>
      <w:r>
        <w:rPr>
          <w:rFonts w:ascii="仿宋_GB2312" w:hAnsi="仿宋_GB2312" w:cs="仿宋_GB2312"/>
          <w:sz w:val="28"/>
          <w:szCs w:val="28"/>
        </w:rPr>
        <w:t>课程总成绩=期末成绩（80</w:t>
      </w:r>
      <w:r>
        <w:rPr>
          <w:rFonts w:ascii="Times New Roman" w:hAnsi="Times New Roman"/>
          <w:sz w:val="28"/>
          <w:szCs w:val="28"/>
        </w:rPr>
        <w:t>~</w:t>
      </w:r>
      <w:r>
        <w:rPr>
          <w:rFonts w:ascii="仿宋_GB2312" w:hAnsi="仿宋_GB2312" w:cs="仿宋_GB2312"/>
          <w:sz w:val="28"/>
          <w:szCs w:val="28"/>
        </w:rPr>
        <w:t>60）%+平时成绩（20</w:t>
      </w:r>
      <w:r>
        <w:rPr>
          <w:rFonts w:ascii="Times New Roman" w:hAnsi="Times New Roman"/>
          <w:sz w:val="28"/>
          <w:szCs w:val="28"/>
        </w:rPr>
        <w:t>~</w:t>
      </w:r>
      <w:r>
        <w:rPr>
          <w:rFonts w:ascii="仿宋_GB2312" w:hAnsi="仿宋_GB2312" w:cs="仿宋_GB2312"/>
          <w:sz w:val="28"/>
          <w:szCs w:val="28"/>
        </w:rPr>
        <w:t>40）</w:t>
      </w:r>
      <w:r>
        <w:rPr>
          <w:rFonts w:ascii="仿宋_GB2312" w:hAnsi="仿宋_GB2312" w:cs="仿宋_GB2312" w:hint="eastAsia"/>
          <w:sz w:val="28"/>
          <w:szCs w:val="28"/>
        </w:rPr>
        <w:t>%。</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1.建议教材</w:t>
      </w:r>
    </w:p>
    <w:p w:rsidR="00E07285" w:rsidRDefault="00E07285" w:rsidP="00E07285">
      <w:pPr>
        <w:spacing w:line="560" w:lineRule="exact"/>
        <w:ind w:firstLineChars="200" w:firstLine="560"/>
        <w:rPr>
          <w:rFonts w:ascii="仿宋_GB2312" w:hAnsi="仿宋_GB2312" w:cs="仿宋_GB2312"/>
          <w:sz w:val="28"/>
          <w:szCs w:val="28"/>
        </w:rPr>
      </w:pPr>
      <w:r>
        <w:rPr>
          <w:rFonts w:hAnsi="宋体"/>
          <w:sz w:val="28"/>
          <w:szCs w:val="28"/>
        </w:rPr>
        <w:t>《排水工程》</w:t>
      </w:r>
      <w:r>
        <w:rPr>
          <w:sz w:val="28"/>
          <w:szCs w:val="28"/>
        </w:rPr>
        <w:t>(</w:t>
      </w:r>
      <w:r>
        <w:rPr>
          <w:rFonts w:hAnsi="宋体"/>
          <w:sz w:val="28"/>
          <w:szCs w:val="28"/>
        </w:rPr>
        <w:t>第五版</w:t>
      </w:r>
      <w:r>
        <w:rPr>
          <w:sz w:val="28"/>
          <w:szCs w:val="28"/>
        </w:rPr>
        <w:t>)</w:t>
      </w:r>
      <w:r>
        <w:rPr>
          <w:rFonts w:hAnsi="宋体"/>
          <w:sz w:val="28"/>
          <w:szCs w:val="28"/>
        </w:rPr>
        <w:t>，张自杰主编，中国建筑工业出版社，</w:t>
      </w:r>
      <w:r>
        <w:rPr>
          <w:sz w:val="28"/>
          <w:szCs w:val="28"/>
        </w:rPr>
        <w:t>2015</w:t>
      </w:r>
      <w:r>
        <w:rPr>
          <w:rFonts w:hAnsi="宋体"/>
          <w:sz w:val="28"/>
          <w:szCs w:val="28"/>
        </w:rPr>
        <w:lastRenderedPageBreak/>
        <w:t>年</w:t>
      </w:r>
      <w:r>
        <w:rPr>
          <w:sz w:val="28"/>
          <w:szCs w:val="28"/>
        </w:rPr>
        <w:t>2</w:t>
      </w:r>
      <w:r>
        <w:rPr>
          <w:rFonts w:hAnsi="宋体"/>
          <w:sz w:val="28"/>
          <w:szCs w:val="28"/>
        </w:rPr>
        <w:t>月。</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2.主要参考资料</w:t>
      </w:r>
    </w:p>
    <w:p w:rsidR="00E07285" w:rsidRDefault="00E07285" w:rsidP="00E07285">
      <w:pPr>
        <w:spacing w:line="560" w:lineRule="exact"/>
        <w:ind w:firstLineChars="200" w:firstLine="560"/>
        <w:rPr>
          <w:kern w:val="0"/>
          <w:sz w:val="28"/>
          <w:szCs w:val="28"/>
        </w:rPr>
      </w:pPr>
      <w:r>
        <w:rPr>
          <w:rFonts w:hint="eastAsia"/>
          <w:sz w:val="28"/>
          <w:szCs w:val="28"/>
        </w:rPr>
        <w:t>《</w:t>
      </w:r>
      <w:r>
        <w:rPr>
          <w:sz w:val="28"/>
          <w:szCs w:val="28"/>
        </w:rPr>
        <w:t>Wastewater Engineering Treatment Disposal Reuse, (Forth edition)</w:t>
      </w:r>
      <w:r>
        <w:rPr>
          <w:rFonts w:hint="eastAsia"/>
          <w:sz w:val="28"/>
          <w:szCs w:val="28"/>
        </w:rPr>
        <w:t>》</w:t>
      </w:r>
      <w:r>
        <w:rPr>
          <w:sz w:val="28"/>
          <w:szCs w:val="28"/>
        </w:rPr>
        <w:t>,</w:t>
      </w:r>
      <w:r>
        <w:rPr>
          <w:rFonts w:hint="eastAsia"/>
          <w:sz w:val="28"/>
          <w:szCs w:val="28"/>
        </w:rPr>
        <w:t xml:space="preserve"> </w:t>
      </w:r>
      <w:r>
        <w:rPr>
          <w:sz w:val="28"/>
          <w:szCs w:val="28"/>
        </w:rPr>
        <w:t>McGraw-Hill Book Company</w:t>
      </w:r>
      <w:r>
        <w:rPr>
          <w:sz w:val="28"/>
          <w:szCs w:val="28"/>
          <w:lang w:val="en-GB"/>
        </w:rPr>
        <w:t>，</w:t>
      </w:r>
      <w:r>
        <w:rPr>
          <w:sz w:val="28"/>
          <w:szCs w:val="28"/>
        </w:rPr>
        <w:t>2003</w:t>
      </w:r>
      <w:r>
        <w:rPr>
          <w:rFonts w:hint="eastAsia"/>
          <w:sz w:val="28"/>
          <w:szCs w:val="28"/>
        </w:rPr>
        <w:t>；《</w:t>
      </w:r>
      <w:r>
        <w:rPr>
          <w:sz w:val="28"/>
          <w:szCs w:val="28"/>
        </w:rPr>
        <w:t>当代给水与废水处理原理</w:t>
      </w:r>
      <w:r>
        <w:rPr>
          <w:rFonts w:hint="eastAsia"/>
          <w:sz w:val="28"/>
          <w:szCs w:val="28"/>
        </w:rPr>
        <w:t>》</w:t>
      </w:r>
      <w:r>
        <w:rPr>
          <w:sz w:val="28"/>
          <w:szCs w:val="28"/>
        </w:rPr>
        <w:t>，许保玖、龙腾锐，</w:t>
      </w:r>
      <w:bookmarkStart w:id="47" w:name="OLE_LINK47"/>
      <w:bookmarkStart w:id="48" w:name="OLE_LINK48"/>
      <w:r>
        <w:rPr>
          <w:sz w:val="28"/>
          <w:szCs w:val="28"/>
        </w:rPr>
        <w:t>高等教育出版社</w:t>
      </w:r>
      <w:bookmarkEnd w:id="47"/>
      <w:bookmarkEnd w:id="48"/>
      <w:r>
        <w:rPr>
          <w:sz w:val="28"/>
          <w:szCs w:val="28"/>
        </w:rPr>
        <w:t>，</w:t>
      </w:r>
      <w:r>
        <w:rPr>
          <w:sz w:val="28"/>
          <w:szCs w:val="28"/>
        </w:rPr>
        <w:t>2000</w:t>
      </w:r>
      <w:r>
        <w:rPr>
          <w:rFonts w:hint="eastAsia"/>
          <w:sz w:val="28"/>
          <w:szCs w:val="28"/>
        </w:rPr>
        <w:t>；</w:t>
      </w:r>
      <w:r>
        <w:rPr>
          <w:rFonts w:hint="eastAsia"/>
          <w:sz w:val="28"/>
          <w:szCs w:val="28"/>
        </w:rPr>
        <w:t xml:space="preserve"> </w:t>
      </w:r>
      <w:r>
        <w:rPr>
          <w:rFonts w:hint="eastAsia"/>
          <w:sz w:val="28"/>
          <w:szCs w:val="28"/>
        </w:rPr>
        <w:t>《</w:t>
      </w:r>
      <w:r>
        <w:rPr>
          <w:sz w:val="28"/>
          <w:szCs w:val="28"/>
        </w:rPr>
        <w:t>废水生物技术：原理与应用</w:t>
      </w:r>
      <w:r>
        <w:rPr>
          <w:sz w:val="28"/>
          <w:szCs w:val="28"/>
        </w:rPr>
        <w:t>.</w:t>
      </w:r>
      <w:r>
        <w:rPr>
          <w:rFonts w:hint="eastAsia"/>
          <w:sz w:val="28"/>
          <w:szCs w:val="28"/>
        </w:rPr>
        <w:t>》</w:t>
      </w:r>
      <w:r>
        <w:rPr>
          <w:kern w:val="0"/>
          <w:sz w:val="28"/>
          <w:szCs w:val="28"/>
        </w:rPr>
        <w:t>Rittman B. E. and McCarty P. L., McGraw-Hill Book Company, 2001.</w:t>
      </w:r>
    </w:p>
    <w:p w:rsidR="00E07285" w:rsidRDefault="00E07285" w:rsidP="00E07285">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慕课资源：</w:t>
      </w:r>
    </w:p>
    <w:p w:rsidR="00E07285" w:rsidRDefault="00E07285" w:rsidP="00E07285">
      <w:pPr>
        <w:spacing w:line="560" w:lineRule="exact"/>
        <w:ind w:firstLineChars="200" w:firstLine="560"/>
        <w:rPr>
          <w:kern w:val="0"/>
          <w:sz w:val="28"/>
          <w:szCs w:val="28"/>
        </w:rPr>
      </w:pPr>
      <w:r>
        <w:rPr>
          <w:rFonts w:hint="eastAsia"/>
          <w:kern w:val="0"/>
          <w:sz w:val="28"/>
          <w:szCs w:val="28"/>
        </w:rPr>
        <w:t>智慧树在线教育平台</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E07285" w:rsidRDefault="00E07285" w:rsidP="00E07285">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E07285" w:rsidRDefault="00E07285" w:rsidP="00E07285">
      <w:pPr>
        <w:spacing w:beforeLines="50" w:before="156" w:afterLines="50" w:after="156" w:line="560" w:lineRule="exact"/>
        <w:rPr>
          <w:rFonts w:ascii="黑体" w:eastAsia="黑体" w:hAnsi="黑体"/>
          <w:b/>
          <w:sz w:val="28"/>
          <w:szCs w:val="28"/>
        </w:rPr>
      </w:pPr>
    </w:p>
    <w:p w:rsidR="00E07285" w:rsidRDefault="00E07285" w:rsidP="00E07285">
      <w:pPr>
        <w:spacing w:line="560" w:lineRule="exact"/>
        <w:ind w:firstLineChars="1200" w:firstLine="3360"/>
        <w:rPr>
          <w:rFonts w:ascii="仿宋" w:eastAsia="仿宋" w:hAnsi="仿宋"/>
          <w:sz w:val="28"/>
          <w:szCs w:val="28"/>
        </w:rPr>
      </w:pPr>
      <w:r>
        <w:rPr>
          <w:rFonts w:ascii="仿宋" w:eastAsia="仿宋" w:hAnsi="仿宋" w:hint="eastAsia"/>
          <w:sz w:val="28"/>
          <w:szCs w:val="28"/>
        </w:rPr>
        <w:t>大纲撰写人：赵红梅、赵庆、胡博</w:t>
      </w:r>
    </w:p>
    <w:p w:rsidR="00E07285" w:rsidRDefault="00E07285" w:rsidP="00E07285">
      <w:pPr>
        <w:spacing w:line="560" w:lineRule="exact"/>
        <w:ind w:firstLineChars="1200" w:firstLine="3360"/>
        <w:rPr>
          <w:rFonts w:ascii="仿宋" w:eastAsia="仿宋" w:hAnsi="仿宋"/>
          <w:sz w:val="28"/>
          <w:szCs w:val="28"/>
        </w:rPr>
      </w:pPr>
      <w:r>
        <w:rPr>
          <w:rFonts w:ascii="仿宋" w:eastAsia="仿宋" w:hAnsi="仿宋" w:hint="eastAsia"/>
          <w:sz w:val="28"/>
          <w:szCs w:val="28"/>
        </w:rPr>
        <w:t>课程负责人：赵红梅、赵庆、胡博</w:t>
      </w:r>
    </w:p>
    <w:p w:rsidR="00E07285" w:rsidRDefault="00E07285" w:rsidP="00E07285">
      <w:pPr>
        <w:spacing w:line="560" w:lineRule="exact"/>
        <w:ind w:firstLineChars="1200" w:firstLine="3360"/>
        <w:rPr>
          <w:rFonts w:ascii="仿宋" w:eastAsia="仿宋" w:hAnsi="仿宋"/>
          <w:sz w:val="28"/>
          <w:szCs w:val="28"/>
        </w:rPr>
      </w:pPr>
      <w:r>
        <w:rPr>
          <w:rFonts w:ascii="仿宋" w:eastAsia="仿宋" w:hAnsi="仿宋" w:hint="eastAsia"/>
          <w:sz w:val="28"/>
          <w:szCs w:val="28"/>
        </w:rPr>
        <w:t>审核人：杨利伟</w:t>
      </w:r>
    </w:p>
    <w:p w:rsidR="00E07285" w:rsidRDefault="00E07285" w:rsidP="00E07285">
      <w:pPr>
        <w:spacing w:line="560" w:lineRule="exact"/>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E07285" w:rsidRDefault="00E07285" w:rsidP="00E07285">
      <w:pPr>
        <w:spacing w:line="560" w:lineRule="exact"/>
        <w:ind w:firstLineChars="2000" w:firstLine="5600"/>
        <w:jc w:val="left"/>
        <w:rPr>
          <w:rFonts w:ascii="仿宋" w:hAnsi="仿宋"/>
          <w:sz w:val="28"/>
          <w:szCs w:val="28"/>
        </w:rPr>
      </w:pPr>
      <w:r>
        <w:rPr>
          <w:rFonts w:ascii="仿宋_GB2312" w:hAnsi="微软雅黑" w:hint="eastAsia"/>
          <w:sz w:val="28"/>
          <w:szCs w:val="28"/>
        </w:rPr>
        <w:t xml:space="preserve">    </w:t>
      </w:r>
    </w:p>
    <w:p w:rsidR="00E07285" w:rsidRDefault="00E07285" w:rsidP="00E07285">
      <w:pPr>
        <w:spacing w:line="560" w:lineRule="exact"/>
        <w:jc w:val="left"/>
        <w:rPr>
          <w:rFonts w:ascii="仿宋_GB2312" w:hAnsi="黑体"/>
          <w:sz w:val="28"/>
          <w:szCs w:val="28"/>
        </w:rPr>
      </w:pPr>
      <w:r>
        <w:rPr>
          <w:rFonts w:ascii="仿宋" w:eastAsia="仿宋" w:hAnsi="仿宋" w:hint="eastAsia"/>
          <w:sz w:val="28"/>
          <w:szCs w:val="28"/>
        </w:rPr>
        <w:t xml:space="preserve">                                        2021 年  4  月</w:t>
      </w:r>
    </w:p>
    <w:p w:rsidR="00E07285" w:rsidRDefault="00E07285" w:rsidP="00E07285">
      <w:pPr>
        <w:widowControl/>
        <w:spacing w:line="400" w:lineRule="exact"/>
        <w:rPr>
          <w:rFonts w:ascii="黑体" w:eastAsia="黑体" w:hAnsi="黑体" w:cs="宋体"/>
          <w:bCs/>
          <w:color w:val="000000"/>
          <w:kern w:val="0"/>
          <w:szCs w:val="32"/>
        </w:rPr>
      </w:pPr>
    </w:p>
    <w:p w:rsidR="00383A10" w:rsidRDefault="00383A10" w:rsidP="00E07285">
      <w:pPr>
        <w:widowControl/>
        <w:spacing w:line="400" w:lineRule="exact"/>
        <w:rPr>
          <w:rFonts w:ascii="黑体" w:eastAsia="黑体" w:hAnsi="黑体" w:cs="宋体"/>
          <w:bCs/>
          <w:color w:val="000000"/>
          <w:kern w:val="0"/>
          <w:szCs w:val="32"/>
        </w:rPr>
      </w:pPr>
    </w:p>
    <w:p w:rsidR="00383A10" w:rsidRDefault="00383A10" w:rsidP="00E07285">
      <w:pPr>
        <w:widowControl/>
        <w:spacing w:line="400" w:lineRule="exact"/>
        <w:rPr>
          <w:rFonts w:ascii="黑体" w:eastAsia="黑体" w:hAnsi="黑体" w:cs="宋体"/>
          <w:bCs/>
          <w:color w:val="000000"/>
          <w:kern w:val="0"/>
          <w:szCs w:val="32"/>
        </w:rPr>
      </w:pPr>
    </w:p>
    <w:p w:rsidR="00383A10" w:rsidRDefault="00383A10" w:rsidP="00E07285">
      <w:pPr>
        <w:widowControl/>
        <w:spacing w:line="400" w:lineRule="exact"/>
        <w:rPr>
          <w:rFonts w:ascii="黑体" w:eastAsia="黑体" w:hAnsi="黑体" w:cs="宋体"/>
          <w:bCs/>
          <w:color w:val="000000"/>
          <w:kern w:val="0"/>
          <w:szCs w:val="32"/>
        </w:rPr>
      </w:pPr>
    </w:p>
    <w:p w:rsidR="00383A10" w:rsidRDefault="00383A10" w:rsidP="00E07285">
      <w:pPr>
        <w:widowControl/>
        <w:spacing w:line="400" w:lineRule="exact"/>
        <w:rPr>
          <w:rFonts w:ascii="黑体" w:eastAsia="黑体" w:hAnsi="黑体" w:cs="宋体"/>
          <w:bCs/>
          <w:color w:val="000000"/>
          <w:kern w:val="0"/>
          <w:szCs w:val="32"/>
        </w:rPr>
      </w:pPr>
    </w:p>
    <w:p w:rsidR="00383A10" w:rsidRDefault="00383A10" w:rsidP="00E07285">
      <w:pPr>
        <w:widowControl/>
        <w:spacing w:line="400" w:lineRule="exact"/>
        <w:rPr>
          <w:rFonts w:ascii="黑体" w:eastAsia="黑体" w:hAnsi="黑体" w:cs="宋体" w:hint="eastAsia"/>
          <w:bCs/>
          <w:color w:val="000000"/>
          <w:kern w:val="0"/>
          <w:szCs w:val="32"/>
        </w:rPr>
      </w:pPr>
    </w:p>
    <w:p w:rsidR="00E07285" w:rsidRDefault="00E07285" w:rsidP="00E07285">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《给水处理</w:t>
      </w:r>
      <w:r>
        <w:rPr>
          <w:rFonts w:ascii="方正小标宋简体" w:eastAsia="方正小标宋简体" w:hAnsi="宋体"/>
          <w:kern w:val="0"/>
          <w:szCs w:val="32"/>
        </w:rPr>
        <w:t>理论与技术</w:t>
      </w:r>
      <w:r>
        <w:rPr>
          <w:rFonts w:ascii="方正小标宋简体" w:eastAsia="方正小标宋简体" w:hAnsi="宋体" w:hint="eastAsia"/>
          <w:kern w:val="0"/>
          <w:szCs w:val="32"/>
        </w:rPr>
        <w:t>》课程教学大纲</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E07285" w:rsidRDefault="00E07285" w:rsidP="00E07285">
      <w:pPr>
        <w:spacing w:line="560" w:lineRule="exact"/>
        <w:ind w:firstLine="331"/>
        <w:rPr>
          <w:rFonts w:ascii="Times New Roman" w:eastAsia="黑体" w:hAnsi="Times New Roman"/>
          <w:sz w:val="24"/>
        </w:rPr>
      </w:pPr>
      <w:r>
        <w:rPr>
          <w:rFonts w:ascii="仿宋_GB2312" w:hAnsi="仿宋_GB2312" w:cs="仿宋_GB2312" w:hint="eastAsia"/>
          <w:bCs/>
          <w:sz w:val="28"/>
          <w:szCs w:val="28"/>
        </w:rPr>
        <w:t>英文名称：</w:t>
      </w:r>
      <w:r>
        <w:rPr>
          <w:rFonts w:ascii="仿宋_GB2312" w:hAnsi="仿宋_GB2312" w:cs="仿宋_GB2312"/>
          <w:bCs/>
          <w:sz w:val="28"/>
          <w:szCs w:val="28"/>
        </w:rPr>
        <w:t>Theory and technology of water treatment</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Z2806180</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课程类别：专业发展课程</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3</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48</w:t>
      </w:r>
      <w:r>
        <w:rPr>
          <w:rFonts w:ascii="仿宋_GB2312" w:hAnsi="仿宋_GB2312" w:cs="仿宋_GB2312" w:hint="eastAsia"/>
          <w:bCs/>
          <w:sz w:val="28"/>
          <w:szCs w:val="28"/>
        </w:rPr>
        <w:t>学时（授课48学时，实验</w:t>
      </w:r>
      <w:r>
        <w:rPr>
          <w:rFonts w:ascii="仿宋_GB2312" w:hAnsi="仿宋_GB2312" w:cs="仿宋_GB2312"/>
          <w:bCs/>
          <w:sz w:val="28"/>
          <w:szCs w:val="28"/>
        </w:rPr>
        <w:t>0</w:t>
      </w:r>
      <w:r>
        <w:rPr>
          <w:rFonts w:ascii="仿宋_GB2312" w:hAnsi="仿宋_GB2312" w:cs="仿宋_GB2312" w:hint="eastAsia"/>
          <w:bCs/>
          <w:sz w:val="28"/>
          <w:szCs w:val="28"/>
        </w:rPr>
        <w:t>学时，上机</w:t>
      </w:r>
      <w:r>
        <w:rPr>
          <w:rFonts w:ascii="仿宋_GB2312" w:hAnsi="仿宋_GB2312" w:cs="仿宋_GB2312"/>
          <w:bCs/>
          <w:sz w:val="28"/>
          <w:szCs w:val="28"/>
        </w:rPr>
        <w:t>0</w:t>
      </w:r>
      <w:r>
        <w:rPr>
          <w:rFonts w:ascii="仿宋_GB2312" w:hAnsi="仿宋_GB2312" w:cs="仿宋_GB2312" w:hint="eastAsia"/>
          <w:bCs/>
          <w:sz w:val="28"/>
          <w:szCs w:val="28"/>
        </w:rPr>
        <w:t>学时，课外</w:t>
      </w:r>
      <w:r>
        <w:rPr>
          <w:rFonts w:ascii="仿宋_GB2312" w:hAnsi="仿宋_GB2312" w:cs="仿宋_GB2312"/>
          <w:bCs/>
          <w:sz w:val="28"/>
          <w:szCs w:val="28"/>
        </w:rPr>
        <w:t>0</w:t>
      </w:r>
      <w:r>
        <w:rPr>
          <w:rFonts w:ascii="仿宋_GB2312" w:hAnsi="仿宋_GB2312" w:cs="仿宋_GB2312" w:hint="eastAsia"/>
          <w:bCs/>
          <w:sz w:val="28"/>
          <w:szCs w:val="28"/>
        </w:rPr>
        <w:t>学时）</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w:t>
      </w:r>
      <w:r>
        <w:rPr>
          <w:rFonts w:ascii="仿宋_GB2312" w:hAnsi="仿宋_GB2312" w:cs="仿宋_GB2312"/>
          <w:bCs/>
          <w:sz w:val="28"/>
          <w:szCs w:val="28"/>
        </w:rPr>
        <w:t>与工程</w:t>
      </w:r>
      <w:r>
        <w:rPr>
          <w:rFonts w:ascii="仿宋_GB2312" w:hAnsi="仿宋_GB2312" w:cs="仿宋_GB2312" w:hint="eastAsia"/>
          <w:bCs/>
          <w:sz w:val="28"/>
          <w:szCs w:val="28"/>
        </w:rPr>
        <w:t>专业（卓越</w:t>
      </w:r>
      <w:r>
        <w:rPr>
          <w:rFonts w:ascii="仿宋_GB2312" w:hAnsi="仿宋_GB2312" w:cs="仿宋_GB2312"/>
          <w:bCs/>
          <w:sz w:val="28"/>
          <w:szCs w:val="28"/>
        </w:rPr>
        <w:t>工程师）</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先修课程：普通</w:t>
      </w:r>
      <w:r>
        <w:rPr>
          <w:rFonts w:ascii="仿宋_GB2312" w:hAnsi="仿宋_GB2312" w:cs="仿宋_GB2312"/>
          <w:bCs/>
          <w:sz w:val="28"/>
          <w:szCs w:val="28"/>
        </w:rPr>
        <w:t>化学，给水排水物理化学，水分析化学，</w:t>
      </w:r>
      <w:r>
        <w:rPr>
          <w:rFonts w:ascii="仿宋_GB2312" w:hAnsi="仿宋_GB2312" w:cs="仿宋_GB2312" w:hint="eastAsia"/>
          <w:bCs/>
          <w:sz w:val="28"/>
          <w:szCs w:val="28"/>
        </w:rPr>
        <w:t>水力学</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w:t>
      </w:r>
      <w:r>
        <w:rPr>
          <w:rFonts w:ascii="仿宋_GB2312" w:hAnsi="仿宋_GB2312" w:cs="仿宋_GB2312"/>
          <w:bCs/>
          <w:sz w:val="28"/>
          <w:szCs w:val="28"/>
        </w:rPr>
        <w:t>工程</w:t>
      </w:r>
      <w:r>
        <w:rPr>
          <w:rFonts w:ascii="仿宋_GB2312" w:hAnsi="仿宋_GB2312" w:cs="仿宋_GB2312" w:hint="eastAsia"/>
          <w:bCs/>
          <w:sz w:val="28"/>
          <w:szCs w:val="28"/>
        </w:rPr>
        <w:t>学院给排水科学</w:t>
      </w:r>
      <w:r>
        <w:rPr>
          <w:rFonts w:ascii="仿宋_GB2312" w:hAnsi="仿宋_GB2312" w:cs="仿宋_GB2312"/>
          <w:bCs/>
          <w:sz w:val="28"/>
          <w:szCs w:val="28"/>
        </w:rPr>
        <w:t>与工程</w:t>
      </w:r>
      <w:r>
        <w:rPr>
          <w:rFonts w:ascii="仿宋_GB2312" w:hAnsi="仿宋_GB2312" w:cs="仿宋_GB2312" w:hint="eastAsia"/>
          <w:bCs/>
          <w:sz w:val="28"/>
          <w:szCs w:val="28"/>
        </w:rPr>
        <w:t>系</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E07285" w:rsidRDefault="00E07285" w:rsidP="00E07285">
      <w:pPr>
        <w:spacing w:line="560" w:lineRule="exact"/>
        <w:ind w:firstLineChars="250" w:firstLine="700"/>
        <w:rPr>
          <w:rFonts w:ascii="仿宋_GB2312" w:hAnsi="仿宋_GB2312" w:cs="仿宋_GB2312"/>
          <w:bCs/>
          <w:sz w:val="28"/>
          <w:szCs w:val="28"/>
        </w:rPr>
      </w:pPr>
      <w:r>
        <w:rPr>
          <w:rFonts w:ascii="仿宋_GB2312" w:hAnsi="仿宋_GB2312" w:cs="仿宋_GB2312"/>
          <w:bCs/>
          <w:sz w:val="28"/>
          <w:szCs w:val="28"/>
        </w:rPr>
        <w:t>《</w:t>
      </w:r>
      <w:r>
        <w:rPr>
          <w:rFonts w:ascii="仿宋_GB2312" w:hAnsi="仿宋_GB2312" w:cs="仿宋_GB2312" w:hint="eastAsia"/>
          <w:bCs/>
          <w:sz w:val="28"/>
          <w:szCs w:val="28"/>
        </w:rPr>
        <w:t>给水处理</w:t>
      </w:r>
      <w:r>
        <w:rPr>
          <w:rFonts w:ascii="仿宋_GB2312" w:hAnsi="仿宋_GB2312" w:cs="仿宋_GB2312"/>
          <w:bCs/>
          <w:sz w:val="28"/>
          <w:szCs w:val="28"/>
        </w:rPr>
        <w:t>理论与技术》是给排水科学与工程专业学生的专业发展必修课，是一门综合性、多学科交叉实践性很强的课程。本课程旨在使学生掌握净水厂水处理的基本方法、理论和工艺，熟悉各处理构筑物的工作原理、结构和设计，了解相关水质标准、掌握净水处理工艺和现代技术方法，配合实验、实习和课程设计等教学环节，使学生能够独立地进行城市净水厂处理工程的设计</w:t>
      </w:r>
      <w:r>
        <w:rPr>
          <w:rFonts w:ascii="仿宋_GB2312" w:hAnsi="仿宋_GB2312" w:cs="仿宋_GB2312" w:hint="eastAsia"/>
          <w:bCs/>
          <w:sz w:val="28"/>
          <w:szCs w:val="28"/>
        </w:rPr>
        <w:t>，掌握净水厂</w:t>
      </w:r>
      <w:r>
        <w:rPr>
          <w:rFonts w:ascii="仿宋_GB2312" w:hAnsi="仿宋_GB2312" w:cs="仿宋_GB2312"/>
          <w:bCs/>
          <w:sz w:val="28"/>
          <w:szCs w:val="28"/>
        </w:rPr>
        <w:t>运行管理</w:t>
      </w:r>
      <w:r>
        <w:rPr>
          <w:rFonts w:ascii="仿宋_GB2312" w:hAnsi="仿宋_GB2312" w:cs="仿宋_GB2312" w:hint="eastAsia"/>
          <w:bCs/>
          <w:sz w:val="28"/>
          <w:szCs w:val="28"/>
        </w:rPr>
        <w:t>等方面的</w:t>
      </w:r>
      <w:r>
        <w:rPr>
          <w:rFonts w:ascii="仿宋_GB2312" w:hAnsi="仿宋_GB2312" w:cs="仿宋_GB2312"/>
          <w:bCs/>
          <w:sz w:val="28"/>
          <w:szCs w:val="28"/>
        </w:rPr>
        <w:t>知识。了解国内外给水</w:t>
      </w:r>
      <w:r>
        <w:rPr>
          <w:rFonts w:ascii="仿宋_GB2312" w:hAnsi="仿宋_GB2312" w:cs="仿宋_GB2312" w:hint="eastAsia"/>
          <w:bCs/>
          <w:sz w:val="28"/>
          <w:szCs w:val="28"/>
        </w:rPr>
        <w:t>处理新</w:t>
      </w:r>
      <w:r>
        <w:rPr>
          <w:rFonts w:ascii="仿宋_GB2312" w:hAnsi="仿宋_GB2312" w:cs="仿宋_GB2312"/>
          <w:bCs/>
          <w:sz w:val="28"/>
          <w:szCs w:val="28"/>
        </w:rPr>
        <w:t>理论、新技术</w:t>
      </w:r>
      <w:r>
        <w:rPr>
          <w:rFonts w:ascii="仿宋_GB2312" w:hAnsi="仿宋_GB2312" w:cs="仿宋_GB2312" w:hint="eastAsia"/>
          <w:bCs/>
          <w:sz w:val="28"/>
          <w:szCs w:val="28"/>
        </w:rPr>
        <w:t>和</w:t>
      </w:r>
      <w:r>
        <w:rPr>
          <w:rFonts w:ascii="仿宋_GB2312" w:hAnsi="仿宋_GB2312" w:cs="仿宋_GB2312"/>
          <w:bCs/>
          <w:sz w:val="28"/>
          <w:szCs w:val="28"/>
        </w:rPr>
        <w:t>新设备。</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课程主要内容：水质和水质标准</w:t>
      </w:r>
      <w:r>
        <w:rPr>
          <w:rFonts w:ascii="仿宋_GB2312" w:hAnsi="仿宋_GB2312" w:cs="仿宋_GB2312" w:hint="eastAsia"/>
          <w:bCs/>
          <w:sz w:val="28"/>
          <w:szCs w:val="28"/>
        </w:rPr>
        <w:t>，</w:t>
      </w:r>
      <w:r>
        <w:rPr>
          <w:rFonts w:ascii="仿宋_GB2312" w:hAnsi="仿宋_GB2312" w:cs="仿宋_GB2312"/>
          <w:bCs/>
          <w:sz w:val="28"/>
          <w:szCs w:val="28"/>
        </w:rPr>
        <w:t>反应器原理</w:t>
      </w:r>
      <w:r>
        <w:rPr>
          <w:rFonts w:ascii="仿宋_GB2312" w:hAnsi="仿宋_GB2312" w:cs="仿宋_GB2312" w:hint="eastAsia"/>
          <w:bCs/>
          <w:sz w:val="28"/>
          <w:szCs w:val="28"/>
        </w:rPr>
        <w:t>，</w:t>
      </w:r>
      <w:r>
        <w:rPr>
          <w:rFonts w:ascii="仿宋_GB2312" w:hAnsi="仿宋_GB2312" w:cs="仿宋_GB2312"/>
          <w:bCs/>
          <w:sz w:val="28"/>
          <w:szCs w:val="28"/>
        </w:rPr>
        <w:t>混凝动力学、混</w:t>
      </w:r>
      <w:r>
        <w:rPr>
          <w:rFonts w:ascii="仿宋_GB2312" w:hAnsi="仿宋_GB2312" w:cs="仿宋_GB2312"/>
          <w:bCs/>
          <w:sz w:val="28"/>
          <w:szCs w:val="28"/>
        </w:rPr>
        <w:lastRenderedPageBreak/>
        <w:t>合和絮凝设备，自由沉淀、拥挤沉淀和絮凝沉淀、平流和斜管沉淀池，澄清池，过滤理论，滤料和承托层，滤池反冲洗，普通快滤池，虹吸滤池，</w:t>
      </w:r>
      <w:r>
        <w:rPr>
          <w:rFonts w:ascii="仿宋_GB2312" w:hAnsi="仿宋_GB2312" w:cs="仿宋_GB2312" w:hint="eastAsia"/>
          <w:bCs/>
          <w:sz w:val="28"/>
          <w:szCs w:val="28"/>
        </w:rPr>
        <w:t>无</w:t>
      </w:r>
      <w:r>
        <w:rPr>
          <w:rFonts w:ascii="仿宋_GB2312" w:hAnsi="仿宋_GB2312" w:cs="仿宋_GB2312"/>
          <w:bCs/>
          <w:sz w:val="28"/>
          <w:szCs w:val="28"/>
        </w:rPr>
        <w:t>阀滤池，V型滤池，</w:t>
      </w:r>
      <w:r>
        <w:rPr>
          <w:rFonts w:ascii="仿宋_GB2312" w:hAnsi="仿宋_GB2312" w:cs="仿宋_GB2312" w:hint="eastAsia"/>
          <w:bCs/>
          <w:sz w:val="28"/>
          <w:szCs w:val="28"/>
        </w:rPr>
        <w:t>氯</w:t>
      </w:r>
      <w:r>
        <w:rPr>
          <w:rFonts w:ascii="仿宋_GB2312" w:hAnsi="仿宋_GB2312" w:cs="仿宋_GB2312"/>
          <w:bCs/>
          <w:sz w:val="28"/>
          <w:szCs w:val="28"/>
        </w:rPr>
        <w:t>消毒</w:t>
      </w:r>
      <w:r>
        <w:rPr>
          <w:rFonts w:ascii="仿宋_GB2312" w:hAnsi="仿宋_GB2312" w:cs="仿宋_GB2312" w:hint="eastAsia"/>
          <w:bCs/>
          <w:sz w:val="28"/>
          <w:szCs w:val="28"/>
        </w:rPr>
        <w:t>和</w:t>
      </w:r>
      <w:r>
        <w:rPr>
          <w:rFonts w:ascii="仿宋_GB2312" w:hAnsi="仿宋_GB2312" w:cs="仿宋_GB2312"/>
          <w:bCs/>
          <w:sz w:val="28"/>
          <w:szCs w:val="28"/>
        </w:rPr>
        <w:t>二氧化氯</w:t>
      </w:r>
      <w:r>
        <w:rPr>
          <w:rFonts w:ascii="仿宋_GB2312" w:hAnsi="仿宋_GB2312" w:cs="仿宋_GB2312" w:hint="eastAsia"/>
          <w:bCs/>
          <w:sz w:val="28"/>
          <w:szCs w:val="28"/>
        </w:rPr>
        <w:t>消毒</w:t>
      </w:r>
      <w:r>
        <w:rPr>
          <w:rFonts w:ascii="仿宋_GB2312" w:hAnsi="仿宋_GB2312" w:cs="仿宋_GB2312"/>
          <w:bCs/>
          <w:sz w:val="28"/>
          <w:szCs w:val="28"/>
        </w:rPr>
        <w:t>、净水厂设计等。</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课程授课</w:t>
      </w:r>
      <w:r>
        <w:rPr>
          <w:rFonts w:ascii="仿宋_GB2312" w:hAnsi="仿宋_GB2312" w:cs="仿宋_GB2312"/>
          <w:bCs/>
          <w:sz w:val="28"/>
          <w:szCs w:val="28"/>
        </w:rPr>
        <w:t>方式</w:t>
      </w:r>
      <w:r>
        <w:rPr>
          <w:rFonts w:ascii="仿宋_GB2312" w:hAnsi="仿宋_GB2312" w:cs="仿宋_GB2312" w:hint="eastAsia"/>
          <w:bCs/>
          <w:sz w:val="28"/>
          <w:szCs w:val="28"/>
        </w:rPr>
        <w:t>采用</w:t>
      </w:r>
      <w:r>
        <w:rPr>
          <w:rFonts w:ascii="仿宋_GB2312" w:hAnsi="仿宋_GB2312" w:cs="仿宋_GB2312"/>
          <w:bCs/>
          <w:sz w:val="28"/>
          <w:szCs w:val="28"/>
        </w:rPr>
        <w:t>PPT</w:t>
      </w:r>
      <w:r>
        <w:rPr>
          <w:rFonts w:ascii="仿宋_GB2312" w:hAnsi="仿宋_GB2312" w:cs="仿宋_GB2312" w:hint="eastAsia"/>
          <w:bCs/>
          <w:sz w:val="28"/>
          <w:szCs w:val="28"/>
        </w:rPr>
        <w:t>、板书、课后思考题和练习题等相结合进行授课，使学生具备给水处理的设计计算</w:t>
      </w:r>
      <w:r>
        <w:rPr>
          <w:rFonts w:ascii="仿宋_GB2312" w:hAnsi="仿宋_GB2312" w:cs="仿宋_GB2312"/>
          <w:bCs/>
          <w:sz w:val="28"/>
          <w:szCs w:val="28"/>
        </w:rPr>
        <w:t>能力</w:t>
      </w:r>
      <w:r>
        <w:rPr>
          <w:rFonts w:ascii="仿宋_GB2312" w:hAnsi="仿宋_GB2312" w:cs="仿宋_GB2312" w:hint="eastAsia"/>
          <w:bCs/>
          <w:sz w:val="28"/>
          <w:szCs w:val="28"/>
        </w:rPr>
        <w:t>。</w:t>
      </w:r>
    </w:p>
    <w:p w:rsidR="00E07285" w:rsidRDefault="00E07285" w:rsidP="00E07285">
      <w:pPr>
        <w:pStyle w:val="a3"/>
        <w:spacing w:line="56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通过</w:t>
      </w:r>
      <w:r>
        <w:rPr>
          <w:rFonts w:ascii="仿宋_GB2312" w:eastAsia="仿宋_GB2312" w:hAnsi="仿宋_GB2312" w:cs="仿宋_GB2312"/>
          <w:bCs/>
          <w:sz w:val="28"/>
          <w:szCs w:val="28"/>
        </w:rPr>
        <w:t>该课程的学习</w:t>
      </w:r>
      <w:r>
        <w:rPr>
          <w:rFonts w:ascii="仿宋_GB2312" w:eastAsia="仿宋_GB2312" w:hAnsi="仿宋_GB2312" w:cs="仿宋_GB2312" w:hint="eastAsia"/>
          <w:bCs/>
          <w:sz w:val="28"/>
          <w:szCs w:val="28"/>
        </w:rPr>
        <w:t>使学生</w:t>
      </w:r>
      <w:r>
        <w:rPr>
          <w:rFonts w:ascii="仿宋_GB2312" w:eastAsia="仿宋_GB2312" w:hAnsi="仿宋_GB2312" w:cs="仿宋_GB2312"/>
          <w:bCs/>
          <w:sz w:val="28"/>
          <w:szCs w:val="28"/>
        </w:rPr>
        <w:t>能够将有关</w:t>
      </w:r>
      <w:r>
        <w:rPr>
          <w:rFonts w:ascii="仿宋_GB2312" w:eastAsia="仿宋_GB2312" w:hAnsi="仿宋_GB2312" w:cs="仿宋_GB2312" w:hint="eastAsia"/>
          <w:bCs/>
          <w:sz w:val="28"/>
          <w:szCs w:val="28"/>
        </w:rPr>
        <w:t>专业</w:t>
      </w:r>
      <w:r>
        <w:rPr>
          <w:rFonts w:ascii="仿宋_GB2312" w:eastAsia="仿宋_GB2312" w:hAnsi="仿宋_GB2312" w:cs="仿宋_GB2312"/>
          <w:bCs/>
          <w:sz w:val="28"/>
          <w:szCs w:val="28"/>
        </w:rPr>
        <w:t>知识应用于</w:t>
      </w:r>
      <w:r>
        <w:rPr>
          <w:rFonts w:ascii="仿宋_GB2312" w:eastAsia="仿宋_GB2312" w:hAnsi="仿宋_GB2312" w:cs="仿宋_GB2312" w:hint="eastAsia"/>
          <w:bCs/>
          <w:sz w:val="28"/>
          <w:szCs w:val="28"/>
        </w:rPr>
        <w:t>给</w:t>
      </w:r>
      <w:r>
        <w:rPr>
          <w:rFonts w:ascii="仿宋_GB2312" w:eastAsia="仿宋_GB2312" w:hAnsi="仿宋_GB2312" w:cs="仿宋_GB2312"/>
          <w:bCs/>
          <w:sz w:val="28"/>
          <w:szCs w:val="28"/>
        </w:rPr>
        <w:t>水处理系统，</w:t>
      </w:r>
      <w:r>
        <w:rPr>
          <w:rFonts w:ascii="仿宋_GB2312" w:eastAsia="仿宋_GB2312" w:hAnsi="仿宋_GB2312" w:cs="仿宋_GB2312" w:hint="eastAsia"/>
          <w:bCs/>
          <w:sz w:val="28"/>
          <w:szCs w:val="28"/>
        </w:rPr>
        <w:t>根据不同原水水质和</w:t>
      </w:r>
      <w:r>
        <w:rPr>
          <w:rFonts w:ascii="仿宋_GB2312" w:eastAsia="仿宋_GB2312" w:hAnsi="仿宋_GB2312" w:cs="仿宋_GB2312"/>
          <w:bCs/>
          <w:sz w:val="28"/>
          <w:szCs w:val="28"/>
        </w:rPr>
        <w:t>影响因素</w:t>
      </w:r>
      <w:r>
        <w:rPr>
          <w:rFonts w:ascii="仿宋_GB2312" w:eastAsia="仿宋_GB2312" w:hAnsi="仿宋_GB2312" w:cs="仿宋_GB2312" w:hint="eastAsia"/>
          <w:bCs/>
          <w:sz w:val="28"/>
          <w:szCs w:val="28"/>
        </w:rPr>
        <w:t>，提供地表水厂设计</w:t>
      </w:r>
      <w:r>
        <w:rPr>
          <w:rFonts w:ascii="仿宋_GB2312" w:eastAsia="仿宋_GB2312" w:hAnsi="仿宋_GB2312" w:cs="仿宋_GB2312"/>
          <w:bCs/>
          <w:sz w:val="28"/>
          <w:szCs w:val="28"/>
        </w:rPr>
        <w:t>方案</w:t>
      </w:r>
      <w:r>
        <w:rPr>
          <w:rFonts w:ascii="仿宋_GB2312" w:eastAsia="仿宋_GB2312" w:hAnsi="仿宋_GB2312" w:cs="仿宋_GB2312" w:hint="eastAsia"/>
          <w:bCs/>
          <w:sz w:val="28"/>
          <w:szCs w:val="28"/>
        </w:rPr>
        <w:t>，选择合理的工艺参数，确定净水</w:t>
      </w:r>
      <w:r>
        <w:rPr>
          <w:rFonts w:ascii="仿宋_GB2312" w:eastAsia="仿宋_GB2312" w:hAnsi="仿宋_GB2312" w:cs="仿宋_GB2312"/>
          <w:bCs/>
          <w:sz w:val="28"/>
          <w:szCs w:val="28"/>
        </w:rPr>
        <w:t>厂</w:t>
      </w:r>
      <w:r>
        <w:rPr>
          <w:rFonts w:ascii="仿宋_GB2312" w:eastAsia="仿宋_GB2312" w:hAnsi="仿宋_GB2312" w:cs="仿宋_GB2312" w:hint="eastAsia"/>
          <w:bCs/>
          <w:sz w:val="28"/>
          <w:szCs w:val="28"/>
        </w:rPr>
        <w:t>水</w:t>
      </w:r>
      <w:r>
        <w:rPr>
          <w:rFonts w:ascii="仿宋_GB2312" w:eastAsia="仿宋_GB2312" w:hAnsi="仿宋_GB2312" w:cs="仿宋_GB2312"/>
          <w:bCs/>
          <w:sz w:val="28"/>
          <w:szCs w:val="28"/>
        </w:rPr>
        <w:t>处理</w:t>
      </w:r>
      <w:r>
        <w:rPr>
          <w:rFonts w:ascii="仿宋_GB2312" w:eastAsia="仿宋_GB2312" w:hAnsi="仿宋_GB2312" w:cs="仿宋_GB2312" w:hint="eastAsia"/>
          <w:bCs/>
          <w:sz w:val="28"/>
          <w:szCs w:val="28"/>
        </w:rPr>
        <w:t>工艺</w:t>
      </w:r>
      <w:r>
        <w:rPr>
          <w:rFonts w:ascii="仿宋_GB2312" w:eastAsia="仿宋_GB2312" w:hAnsi="仿宋_GB2312" w:cs="仿宋_GB2312"/>
          <w:bCs/>
          <w:sz w:val="28"/>
          <w:szCs w:val="28"/>
        </w:rPr>
        <w:t>流程</w:t>
      </w:r>
      <w:r>
        <w:rPr>
          <w:rFonts w:ascii="仿宋_GB2312" w:eastAsia="仿宋_GB2312" w:hAnsi="仿宋_GB2312" w:cs="仿宋_GB2312" w:hint="eastAsia"/>
          <w:bCs/>
          <w:sz w:val="28"/>
          <w:szCs w:val="28"/>
        </w:rPr>
        <w:t>。</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通过</w:t>
      </w:r>
      <w:r>
        <w:rPr>
          <w:rFonts w:ascii="仿宋_GB2312" w:hAnsi="仿宋_GB2312" w:cs="仿宋_GB2312" w:hint="eastAsia"/>
          <w:sz w:val="28"/>
          <w:szCs w:val="28"/>
        </w:rPr>
        <w:t>该</w:t>
      </w:r>
      <w:r>
        <w:rPr>
          <w:rFonts w:ascii="仿宋_GB2312" w:hAnsi="仿宋_GB2312" w:cs="仿宋_GB2312"/>
          <w:sz w:val="28"/>
          <w:szCs w:val="28"/>
        </w:rPr>
        <w:t>课程</w:t>
      </w:r>
      <w:r>
        <w:rPr>
          <w:rFonts w:ascii="仿宋_GB2312" w:hAnsi="仿宋_GB2312" w:cs="仿宋_GB2312" w:hint="eastAsia"/>
          <w:sz w:val="28"/>
          <w:szCs w:val="28"/>
        </w:rPr>
        <w:t>的</w:t>
      </w:r>
      <w:r>
        <w:rPr>
          <w:rFonts w:ascii="仿宋_GB2312" w:hAnsi="仿宋_GB2312" w:cs="仿宋_GB2312"/>
          <w:sz w:val="28"/>
          <w:szCs w:val="28"/>
        </w:rPr>
        <w:t>学习使学生</w:t>
      </w:r>
      <w:r>
        <w:rPr>
          <w:rFonts w:ascii="仿宋_GB2312" w:hAnsi="仿宋_GB2312" w:cs="仿宋_GB2312" w:hint="eastAsia"/>
          <w:sz w:val="28"/>
          <w:szCs w:val="28"/>
        </w:rPr>
        <w:t>了解</w:t>
      </w:r>
      <w:r>
        <w:rPr>
          <w:rFonts w:ascii="仿宋_GB2312" w:hAnsi="仿宋_GB2312" w:cs="仿宋_GB2312"/>
          <w:sz w:val="28"/>
          <w:szCs w:val="28"/>
        </w:rPr>
        <w:t>我国现行《</w:t>
      </w:r>
      <w:r>
        <w:rPr>
          <w:rFonts w:ascii="仿宋_GB2312" w:hAnsi="仿宋_GB2312" w:cs="仿宋_GB2312" w:hint="eastAsia"/>
          <w:sz w:val="28"/>
          <w:szCs w:val="28"/>
        </w:rPr>
        <w:t>生活饮用水</w:t>
      </w:r>
      <w:r>
        <w:rPr>
          <w:rFonts w:ascii="仿宋_GB2312" w:hAnsi="仿宋_GB2312" w:cs="仿宋_GB2312"/>
          <w:sz w:val="28"/>
          <w:szCs w:val="28"/>
        </w:rPr>
        <w:t>卫生</w:t>
      </w:r>
      <w:r>
        <w:rPr>
          <w:rFonts w:ascii="仿宋_GB2312" w:hAnsi="仿宋_GB2312" w:cs="仿宋_GB2312" w:hint="eastAsia"/>
          <w:sz w:val="28"/>
          <w:szCs w:val="28"/>
        </w:rPr>
        <w:t>标准</w:t>
      </w:r>
      <w:r>
        <w:rPr>
          <w:rFonts w:ascii="仿宋_GB2312" w:hAnsi="仿宋_GB2312" w:cs="仿宋_GB2312"/>
          <w:sz w:val="28"/>
          <w:szCs w:val="28"/>
        </w:rPr>
        <w:t>》</w:t>
      </w:r>
      <w:r>
        <w:rPr>
          <w:rFonts w:ascii="仿宋_GB2312" w:hAnsi="仿宋_GB2312" w:cs="仿宋_GB2312" w:hint="eastAsia"/>
          <w:sz w:val="28"/>
          <w:szCs w:val="28"/>
        </w:rPr>
        <w:t>，</w:t>
      </w:r>
      <w:r>
        <w:rPr>
          <w:rFonts w:ascii="仿宋_GB2312" w:hAnsi="仿宋_GB2312" w:cs="仿宋_GB2312"/>
          <w:sz w:val="28"/>
          <w:szCs w:val="28"/>
        </w:rPr>
        <w:t>了解反应器原理</w:t>
      </w:r>
      <w:r>
        <w:rPr>
          <w:rFonts w:ascii="仿宋_GB2312" w:hAnsi="仿宋_GB2312" w:cs="仿宋_GB2312" w:hint="eastAsia"/>
          <w:sz w:val="28"/>
          <w:szCs w:val="28"/>
        </w:rPr>
        <w:t>应</w:t>
      </w:r>
      <w:r>
        <w:rPr>
          <w:rFonts w:ascii="仿宋_GB2312" w:hAnsi="仿宋_GB2312" w:cs="仿宋_GB2312"/>
          <w:sz w:val="28"/>
          <w:szCs w:val="28"/>
        </w:rPr>
        <w:t>用于水处理</w:t>
      </w:r>
      <w:r>
        <w:rPr>
          <w:rFonts w:ascii="仿宋_GB2312" w:hAnsi="仿宋_GB2312" w:cs="仿宋_GB2312" w:hint="eastAsia"/>
          <w:sz w:val="28"/>
          <w:szCs w:val="28"/>
        </w:rPr>
        <w:t>单元</w:t>
      </w:r>
      <w:r>
        <w:rPr>
          <w:rFonts w:ascii="仿宋_GB2312" w:hAnsi="仿宋_GB2312" w:cs="仿宋_GB2312"/>
          <w:sz w:val="28"/>
          <w:szCs w:val="28"/>
        </w:rPr>
        <w:t>的作用和特点。通过混凝的学习，应掌握混凝机理，速度梯度G值的涵义，对当前净水厂中常用的混合和絮凝设备掌握其选型和设计计算。通过沉淀的学习，应掌握自由沉淀、拥挤沉淀和絮凝沉淀的特点，应掌握平流沉淀池和斜板（管）沉淀池的设计计算，掌握澄清池的构造、工作原理和特点。通过过滤的学习，掌握过滤机理，等速过滤和变速过滤的优缺点，掌握大阻力</w:t>
      </w:r>
      <w:r>
        <w:rPr>
          <w:rFonts w:ascii="仿宋_GB2312" w:hAnsi="仿宋_GB2312" w:cs="仿宋_GB2312" w:hint="eastAsia"/>
          <w:sz w:val="28"/>
          <w:szCs w:val="28"/>
        </w:rPr>
        <w:t>和</w:t>
      </w:r>
      <w:r>
        <w:rPr>
          <w:rFonts w:ascii="仿宋_GB2312" w:hAnsi="仿宋_GB2312" w:cs="仿宋_GB2312"/>
          <w:sz w:val="28"/>
          <w:szCs w:val="28"/>
        </w:rPr>
        <w:t>小阻力配水系统</w:t>
      </w:r>
      <w:r>
        <w:rPr>
          <w:rFonts w:ascii="仿宋_GB2312" w:hAnsi="仿宋_GB2312" w:cs="仿宋_GB2312" w:hint="eastAsia"/>
          <w:sz w:val="28"/>
          <w:szCs w:val="28"/>
        </w:rPr>
        <w:t>的</w:t>
      </w:r>
      <w:r>
        <w:rPr>
          <w:rFonts w:ascii="仿宋_GB2312" w:hAnsi="仿宋_GB2312" w:cs="仿宋_GB2312"/>
          <w:sz w:val="28"/>
          <w:szCs w:val="28"/>
        </w:rPr>
        <w:t>构造</w:t>
      </w:r>
      <w:r>
        <w:rPr>
          <w:rFonts w:ascii="仿宋_GB2312" w:hAnsi="仿宋_GB2312" w:cs="仿宋_GB2312" w:hint="eastAsia"/>
          <w:sz w:val="28"/>
          <w:szCs w:val="28"/>
        </w:rPr>
        <w:t>特点</w:t>
      </w:r>
      <w:r>
        <w:rPr>
          <w:rFonts w:ascii="仿宋_GB2312" w:hAnsi="仿宋_GB2312" w:cs="仿宋_GB2312"/>
          <w:sz w:val="28"/>
          <w:szCs w:val="28"/>
        </w:rPr>
        <w:t>，掌握普通快滤池、V型滤池、虹吸滤池和无阀滤池的设计计算。通过消毒的学习，了解各种消毒方法及其优缺点。通过水厂设计的学习，了解厂址选择应考虑的因素，掌握水厂工艺流程和处理构筑物选择，掌握水厂平面和高程布置，了解水厂生产过程检测和自动控制。</w:t>
      </w:r>
    </w:p>
    <w:p w:rsidR="00E07285" w:rsidRDefault="00E07285"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E07285" w:rsidRDefault="00E07285" w:rsidP="00E07285">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lastRenderedPageBreak/>
        <w:t>掌握给水处理的基本概念、基本理论、基本方法；根据不同水源水质，经过方案比选后确定合理的净水工艺流程。掌握各单元给水构筑物的净水机理、设计和计算，了解国内外给水处理的新工艺与新技术，为将来从事本专业的工程设计、科研及运行管理等方面的工作奠定必要的理论和应用基础。</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教学目标具体要求如下：</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知识目标：</w:t>
      </w:r>
      <w:r>
        <w:rPr>
          <w:rFonts w:ascii="仿宋_GB2312" w:hAnsi="仿宋_GB2312" w:cs="仿宋_GB2312"/>
          <w:bCs/>
          <w:sz w:val="28"/>
          <w:szCs w:val="28"/>
        </w:rPr>
        <w:t>了解并掌握水源水质性质，水质标准与可持续发展的方针政策和法规；掌握常规水处理技术的基本理论和工程学方法；</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能力目标：</w:t>
      </w:r>
      <w:r>
        <w:rPr>
          <w:rFonts w:ascii="仿宋_GB2312" w:hAnsi="仿宋_GB2312" w:cs="仿宋_GB2312"/>
          <w:bCs/>
          <w:sz w:val="28"/>
          <w:szCs w:val="28"/>
        </w:rPr>
        <w:t>要求学生能够独立选择确定净水处理工艺并进行基本的设计计算；要求学生初步具备净水厂处理工程的设计及相关科学研究能力。</w:t>
      </w:r>
    </w:p>
    <w:p w:rsidR="00E07285" w:rsidRDefault="00E07285" w:rsidP="00E07285">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情感态度与价值观目标：理解和掌握与水资源保护、水质安全、生态文明建设等方面相关的政策，正确理解党的治国方针，使社会主义核心价值观深植学生内心，增强“四个自信”。</w:t>
      </w:r>
    </w:p>
    <w:p w:rsidR="00E07285" w:rsidRDefault="00E07285" w:rsidP="00E07285">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494"/>
        <w:gridCol w:w="498"/>
        <w:gridCol w:w="498"/>
        <w:gridCol w:w="487"/>
        <w:gridCol w:w="487"/>
        <w:gridCol w:w="494"/>
        <w:gridCol w:w="498"/>
        <w:gridCol w:w="488"/>
        <w:gridCol w:w="488"/>
        <w:gridCol w:w="510"/>
        <w:gridCol w:w="510"/>
        <w:gridCol w:w="510"/>
      </w:tblGrid>
      <w:tr w:rsidR="00E07285" w:rsidTr="00E07285">
        <w:trPr>
          <w:trHeight w:hRule="exact" w:val="454"/>
          <w:jc w:val="center"/>
        </w:trPr>
        <w:tc>
          <w:tcPr>
            <w:tcW w:w="2743" w:type="dxa"/>
            <w:vMerge w:val="restart"/>
            <w:shd w:val="clear" w:color="auto" w:fill="auto"/>
            <w:vAlign w:val="center"/>
          </w:tcPr>
          <w:p w:rsidR="00E07285" w:rsidRDefault="00E07285" w:rsidP="00E07285">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t>课程目标</w:t>
            </w:r>
          </w:p>
        </w:tc>
        <w:tc>
          <w:tcPr>
            <w:tcW w:w="6233" w:type="dxa"/>
            <w:gridSpan w:val="12"/>
            <w:shd w:val="clear" w:color="auto" w:fill="auto"/>
            <w:vAlign w:val="center"/>
          </w:tcPr>
          <w:p w:rsidR="00E07285" w:rsidRDefault="00E07285" w:rsidP="00E07285">
            <w:pPr>
              <w:jc w:val="center"/>
              <w:rPr>
                <w:rFonts w:ascii="仿宋_GB2312" w:hAnsi="仿宋_GB2312" w:cs="仿宋_GB2312"/>
                <w:bCs/>
                <w:sz w:val="20"/>
                <w:szCs w:val="20"/>
              </w:rPr>
            </w:pPr>
            <w:r>
              <w:rPr>
                <w:rFonts w:ascii="仿宋_GB2312" w:hAnsi="仿宋_GB2312" w:cs="仿宋_GB2312" w:hint="eastAsia"/>
                <w:bCs/>
                <w:sz w:val="20"/>
                <w:szCs w:val="20"/>
              </w:rPr>
              <w:t>毕业要求</w:t>
            </w:r>
          </w:p>
        </w:tc>
      </w:tr>
      <w:tr w:rsidR="00E07285" w:rsidTr="00E07285">
        <w:trPr>
          <w:trHeight w:hRule="exact" w:val="454"/>
          <w:jc w:val="center"/>
        </w:trPr>
        <w:tc>
          <w:tcPr>
            <w:tcW w:w="2743" w:type="dxa"/>
            <w:vMerge/>
            <w:shd w:val="clear" w:color="auto" w:fill="auto"/>
          </w:tcPr>
          <w:p w:rsidR="00E07285" w:rsidRDefault="00E07285" w:rsidP="00E07285">
            <w:pPr>
              <w:spacing w:line="360" w:lineRule="auto"/>
              <w:rPr>
                <w:rFonts w:ascii="仿宋_GB2312" w:hAnsi="仿宋_GB2312" w:cs="仿宋_GB2312"/>
                <w:bCs/>
                <w:sz w:val="20"/>
                <w:szCs w:val="20"/>
              </w:rPr>
            </w:pP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1</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2</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3</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4</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5</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6</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7</w:t>
            </w:r>
          </w:p>
        </w:tc>
        <w:tc>
          <w:tcPr>
            <w:tcW w:w="520"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8</w:t>
            </w:r>
          </w:p>
        </w:tc>
        <w:tc>
          <w:tcPr>
            <w:tcW w:w="520"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9</w:t>
            </w:r>
          </w:p>
        </w:tc>
        <w:tc>
          <w:tcPr>
            <w:tcW w:w="520"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10</w:t>
            </w:r>
          </w:p>
        </w:tc>
        <w:tc>
          <w:tcPr>
            <w:tcW w:w="520"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11</w:t>
            </w:r>
          </w:p>
        </w:tc>
        <w:tc>
          <w:tcPr>
            <w:tcW w:w="520"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12</w:t>
            </w:r>
          </w:p>
        </w:tc>
      </w:tr>
      <w:tr w:rsidR="00E07285" w:rsidTr="00E07285">
        <w:trPr>
          <w:trHeight w:hRule="exact" w:val="454"/>
          <w:jc w:val="center"/>
        </w:trPr>
        <w:tc>
          <w:tcPr>
            <w:tcW w:w="2743" w:type="dxa"/>
            <w:shd w:val="clear" w:color="auto" w:fill="auto"/>
            <w:vAlign w:val="center"/>
          </w:tcPr>
          <w:p w:rsidR="00E07285" w:rsidRDefault="00E07285" w:rsidP="00E07285">
            <w:pPr>
              <w:tabs>
                <w:tab w:val="left" w:pos="6300"/>
              </w:tabs>
              <w:spacing w:line="360" w:lineRule="atLeast"/>
              <w:jc w:val="center"/>
              <w:rPr>
                <w:rFonts w:ascii="仿宋_GB2312" w:hAnsi="仿宋_GB2312" w:cs="仿宋_GB2312"/>
                <w:bCs/>
                <w:sz w:val="20"/>
                <w:szCs w:val="20"/>
              </w:rPr>
            </w:pPr>
            <w:r>
              <w:rPr>
                <w:rFonts w:ascii="仿宋_GB2312" w:hAnsi="仿宋_GB2312" w:cs="仿宋_GB2312" w:hint="eastAsia"/>
                <w:bCs/>
                <w:sz w:val="20"/>
                <w:szCs w:val="20"/>
              </w:rPr>
              <w:t>知识目标</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L</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r>
      <w:tr w:rsidR="00E07285" w:rsidTr="00E07285">
        <w:trPr>
          <w:trHeight w:hRule="exact" w:val="454"/>
          <w:jc w:val="center"/>
        </w:trPr>
        <w:tc>
          <w:tcPr>
            <w:tcW w:w="2743" w:type="dxa"/>
            <w:shd w:val="clear" w:color="auto" w:fill="auto"/>
          </w:tcPr>
          <w:p w:rsidR="00E07285" w:rsidRDefault="00E07285" w:rsidP="00E07285">
            <w:pPr>
              <w:tabs>
                <w:tab w:val="left" w:pos="6300"/>
              </w:tabs>
              <w:spacing w:line="360" w:lineRule="atLeast"/>
              <w:jc w:val="center"/>
              <w:rPr>
                <w:rFonts w:ascii="仿宋_GB2312" w:hAnsi="仿宋_GB2312" w:cs="仿宋_GB2312"/>
                <w:bCs/>
                <w:sz w:val="20"/>
                <w:szCs w:val="20"/>
              </w:rPr>
            </w:pPr>
            <w:r>
              <w:rPr>
                <w:rFonts w:ascii="仿宋_GB2312" w:hAnsi="仿宋_GB2312" w:cs="仿宋_GB2312" w:hint="eastAsia"/>
                <w:bCs/>
                <w:sz w:val="20"/>
                <w:szCs w:val="20"/>
              </w:rPr>
              <w:t>能力目标</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H</w:t>
            </w:r>
          </w:p>
        </w:tc>
        <w:tc>
          <w:tcPr>
            <w:tcW w:w="519" w:type="dxa"/>
            <w:shd w:val="clear" w:color="auto" w:fill="auto"/>
            <w:vAlign w:val="center"/>
          </w:tcPr>
          <w:p w:rsidR="00E07285" w:rsidRDefault="00E07285" w:rsidP="00E07285">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H</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L</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r>
      <w:tr w:rsidR="00E07285" w:rsidTr="00E07285">
        <w:trPr>
          <w:trHeight w:hRule="exact" w:val="454"/>
          <w:jc w:val="center"/>
        </w:trPr>
        <w:tc>
          <w:tcPr>
            <w:tcW w:w="2743" w:type="dxa"/>
            <w:shd w:val="clear" w:color="auto" w:fill="auto"/>
          </w:tcPr>
          <w:p w:rsidR="00E07285" w:rsidRDefault="00E07285" w:rsidP="00E07285">
            <w:pPr>
              <w:tabs>
                <w:tab w:val="left" w:pos="6300"/>
              </w:tabs>
              <w:spacing w:line="360" w:lineRule="atLeast"/>
              <w:jc w:val="center"/>
              <w:rPr>
                <w:rFonts w:ascii="仿宋_GB2312" w:hAnsi="仿宋_GB2312" w:cs="仿宋_GB2312"/>
                <w:bCs/>
                <w:sz w:val="20"/>
                <w:szCs w:val="20"/>
              </w:rPr>
            </w:pPr>
            <w:r>
              <w:rPr>
                <w:rFonts w:ascii="仿宋_GB2312" w:hAnsi="仿宋_GB2312" w:cs="仿宋_GB2312" w:hint="eastAsia"/>
                <w:bCs/>
                <w:sz w:val="20"/>
                <w:szCs w:val="20"/>
              </w:rPr>
              <w:t>情感态度与价值观目标</w:t>
            </w:r>
          </w:p>
        </w:tc>
        <w:tc>
          <w:tcPr>
            <w:tcW w:w="519" w:type="dxa"/>
            <w:shd w:val="clear" w:color="auto" w:fill="auto"/>
            <w:vAlign w:val="center"/>
          </w:tcPr>
          <w:p w:rsidR="00E07285" w:rsidRDefault="00E07285" w:rsidP="00E07285">
            <w:pPr>
              <w:spacing w:line="360" w:lineRule="auto"/>
              <w:jc w:val="center"/>
              <w:rPr>
                <w:rFonts w:ascii="仿宋_GB2312" w:hAnsi="仿宋_GB2312" w:cs="仿宋_GB2312"/>
                <w:bCs/>
                <w:sz w:val="20"/>
                <w:szCs w:val="20"/>
              </w:rPr>
            </w:pPr>
          </w:p>
        </w:tc>
        <w:tc>
          <w:tcPr>
            <w:tcW w:w="519" w:type="dxa"/>
            <w:shd w:val="clear" w:color="auto" w:fill="auto"/>
            <w:vAlign w:val="center"/>
          </w:tcPr>
          <w:p w:rsidR="00E07285" w:rsidRDefault="00E07285" w:rsidP="00E07285">
            <w:pPr>
              <w:spacing w:line="360" w:lineRule="auto"/>
              <w:jc w:val="center"/>
              <w:rPr>
                <w:rFonts w:ascii="仿宋_GB2312" w:hAnsi="仿宋_GB2312" w:cs="仿宋_GB2312"/>
                <w:bCs/>
                <w:sz w:val="20"/>
                <w:szCs w:val="20"/>
              </w:rPr>
            </w:pP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c>
          <w:tcPr>
            <w:tcW w:w="519" w:type="dxa"/>
            <w:shd w:val="clear" w:color="auto" w:fill="auto"/>
            <w:vAlign w:val="center"/>
          </w:tcPr>
          <w:p w:rsidR="00E07285" w:rsidRDefault="00E07285" w:rsidP="00E07285">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L</w:t>
            </w: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c>
          <w:tcPr>
            <w:tcW w:w="520" w:type="dxa"/>
            <w:shd w:val="clear" w:color="auto" w:fill="auto"/>
          </w:tcPr>
          <w:p w:rsidR="00E07285" w:rsidRDefault="00E07285" w:rsidP="00E07285">
            <w:pPr>
              <w:spacing w:line="360" w:lineRule="auto"/>
              <w:rPr>
                <w:rFonts w:ascii="仿宋_GB2312" w:hAnsi="仿宋_GB2312" w:cs="仿宋_GB2312"/>
                <w:bCs/>
                <w:sz w:val="20"/>
                <w:szCs w:val="20"/>
              </w:rPr>
            </w:pPr>
          </w:p>
        </w:tc>
      </w:tr>
    </w:tbl>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课程的重点：了解</w:t>
      </w:r>
      <w:r>
        <w:rPr>
          <w:rFonts w:ascii="仿宋_GB2312" w:hAnsi="仿宋_GB2312" w:cs="仿宋_GB2312"/>
          <w:sz w:val="28"/>
          <w:szCs w:val="28"/>
        </w:rPr>
        <w:t>我国现行《</w:t>
      </w:r>
      <w:r>
        <w:rPr>
          <w:rFonts w:ascii="仿宋_GB2312" w:hAnsi="仿宋_GB2312" w:cs="仿宋_GB2312" w:hint="eastAsia"/>
          <w:sz w:val="28"/>
          <w:szCs w:val="28"/>
        </w:rPr>
        <w:t>生活饮用水</w:t>
      </w:r>
      <w:r>
        <w:rPr>
          <w:rFonts w:ascii="仿宋_GB2312" w:hAnsi="仿宋_GB2312" w:cs="仿宋_GB2312"/>
          <w:sz w:val="28"/>
          <w:szCs w:val="28"/>
        </w:rPr>
        <w:t>卫生</w:t>
      </w:r>
      <w:r>
        <w:rPr>
          <w:rFonts w:ascii="仿宋_GB2312" w:hAnsi="仿宋_GB2312" w:cs="仿宋_GB2312" w:hint="eastAsia"/>
          <w:sz w:val="28"/>
          <w:szCs w:val="28"/>
        </w:rPr>
        <w:t>标准</w:t>
      </w:r>
      <w:r>
        <w:rPr>
          <w:rFonts w:ascii="仿宋_GB2312" w:hAnsi="仿宋_GB2312" w:cs="仿宋_GB2312"/>
          <w:sz w:val="28"/>
          <w:szCs w:val="28"/>
        </w:rPr>
        <w:t>》</w:t>
      </w:r>
      <w:r>
        <w:rPr>
          <w:rFonts w:ascii="仿宋_GB2312" w:hAnsi="仿宋_GB2312" w:cs="仿宋_GB2312" w:hint="eastAsia"/>
          <w:sz w:val="28"/>
          <w:szCs w:val="28"/>
        </w:rPr>
        <w:t>，</w:t>
      </w:r>
      <w:r>
        <w:rPr>
          <w:rFonts w:ascii="仿宋_GB2312" w:hAnsi="仿宋_GB2312" w:cs="仿宋_GB2312"/>
          <w:sz w:val="28"/>
          <w:szCs w:val="28"/>
        </w:rPr>
        <w:t>反应器原理</w:t>
      </w:r>
      <w:r>
        <w:rPr>
          <w:rFonts w:ascii="仿宋_GB2312" w:hAnsi="仿宋_GB2312" w:cs="仿宋_GB2312" w:hint="eastAsia"/>
          <w:sz w:val="28"/>
          <w:szCs w:val="28"/>
        </w:rPr>
        <w:t>，</w:t>
      </w:r>
      <w:r>
        <w:rPr>
          <w:rFonts w:ascii="仿宋_GB2312" w:hAnsi="仿宋_GB2312" w:cs="仿宋_GB2312"/>
          <w:sz w:val="28"/>
          <w:szCs w:val="28"/>
        </w:rPr>
        <w:t>混凝机理，速度梯度G值的涵义，混合和絮凝设备选型</w:t>
      </w:r>
      <w:r>
        <w:rPr>
          <w:rFonts w:ascii="仿宋_GB2312" w:hAnsi="仿宋_GB2312" w:cs="仿宋_GB2312" w:hint="eastAsia"/>
          <w:sz w:val="28"/>
          <w:szCs w:val="28"/>
        </w:rPr>
        <w:t>及</w:t>
      </w:r>
      <w:r>
        <w:rPr>
          <w:rFonts w:ascii="仿宋_GB2312" w:hAnsi="仿宋_GB2312" w:cs="仿宋_GB2312"/>
          <w:sz w:val="28"/>
          <w:szCs w:val="28"/>
        </w:rPr>
        <w:t>设计计算</w:t>
      </w:r>
      <w:r>
        <w:rPr>
          <w:rFonts w:ascii="仿宋_GB2312" w:hAnsi="仿宋_GB2312" w:cs="仿宋_GB2312" w:hint="eastAsia"/>
          <w:sz w:val="28"/>
          <w:szCs w:val="28"/>
        </w:rPr>
        <w:t>，</w:t>
      </w:r>
      <w:r>
        <w:rPr>
          <w:rFonts w:ascii="仿宋_GB2312" w:hAnsi="仿宋_GB2312" w:cs="仿宋_GB2312"/>
          <w:sz w:val="28"/>
          <w:szCs w:val="28"/>
        </w:rPr>
        <w:t>自由沉淀、拥挤沉淀和絮凝沉淀的特点，平流沉淀池和斜板（管）沉淀池的设计计算，澄清池的构造、工作原理和特点。过滤机理，等</w:t>
      </w:r>
      <w:r>
        <w:rPr>
          <w:rFonts w:ascii="仿宋_GB2312" w:hAnsi="仿宋_GB2312" w:cs="仿宋_GB2312"/>
          <w:sz w:val="28"/>
          <w:szCs w:val="28"/>
        </w:rPr>
        <w:lastRenderedPageBreak/>
        <w:t>速过滤和变速过滤的优缺点，大阻力</w:t>
      </w:r>
      <w:r>
        <w:rPr>
          <w:rFonts w:ascii="仿宋_GB2312" w:hAnsi="仿宋_GB2312" w:cs="仿宋_GB2312" w:hint="eastAsia"/>
          <w:sz w:val="28"/>
          <w:szCs w:val="28"/>
        </w:rPr>
        <w:t>和</w:t>
      </w:r>
      <w:r>
        <w:rPr>
          <w:rFonts w:ascii="仿宋_GB2312" w:hAnsi="仿宋_GB2312" w:cs="仿宋_GB2312"/>
          <w:sz w:val="28"/>
          <w:szCs w:val="28"/>
        </w:rPr>
        <w:t>小阻力配水系统</w:t>
      </w:r>
      <w:r>
        <w:rPr>
          <w:rFonts w:ascii="仿宋_GB2312" w:hAnsi="仿宋_GB2312" w:cs="仿宋_GB2312" w:hint="eastAsia"/>
          <w:sz w:val="28"/>
          <w:szCs w:val="28"/>
        </w:rPr>
        <w:t>的</w:t>
      </w:r>
      <w:r>
        <w:rPr>
          <w:rFonts w:ascii="仿宋_GB2312" w:hAnsi="仿宋_GB2312" w:cs="仿宋_GB2312"/>
          <w:sz w:val="28"/>
          <w:szCs w:val="28"/>
        </w:rPr>
        <w:t>构造</w:t>
      </w:r>
      <w:r>
        <w:rPr>
          <w:rFonts w:ascii="仿宋_GB2312" w:hAnsi="仿宋_GB2312" w:cs="仿宋_GB2312" w:hint="eastAsia"/>
          <w:sz w:val="28"/>
          <w:szCs w:val="28"/>
        </w:rPr>
        <w:t>特点</w:t>
      </w:r>
      <w:r>
        <w:rPr>
          <w:rFonts w:ascii="仿宋_GB2312" w:hAnsi="仿宋_GB2312" w:cs="仿宋_GB2312"/>
          <w:sz w:val="28"/>
          <w:szCs w:val="28"/>
        </w:rPr>
        <w:t>，普通快滤池、V型滤池、虹吸滤池和无阀滤池的设计计算。各种消毒方法及其优缺点。水厂工艺流程和处理构筑物选择，水厂平面和高程布置，水厂生产过程检测和自动控制。</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课程的难点：</w:t>
      </w:r>
      <w:r>
        <w:rPr>
          <w:rFonts w:ascii="仿宋_GB2312" w:hAnsi="仿宋_GB2312" w:cs="仿宋_GB2312"/>
          <w:sz w:val="28"/>
          <w:szCs w:val="28"/>
        </w:rPr>
        <w:t>反应器原理</w:t>
      </w:r>
      <w:r>
        <w:rPr>
          <w:rFonts w:ascii="仿宋_GB2312" w:hAnsi="仿宋_GB2312" w:cs="仿宋_GB2312" w:hint="eastAsia"/>
          <w:sz w:val="28"/>
          <w:szCs w:val="28"/>
        </w:rPr>
        <w:t>，</w:t>
      </w:r>
      <w:r>
        <w:rPr>
          <w:rFonts w:ascii="仿宋_GB2312" w:hAnsi="仿宋_GB2312" w:cs="仿宋_GB2312"/>
          <w:sz w:val="28"/>
          <w:szCs w:val="28"/>
        </w:rPr>
        <w:t>混凝机理，自由沉淀、拥挤沉淀和絮凝沉淀的特点，澄清池的构造</w:t>
      </w:r>
      <w:r>
        <w:rPr>
          <w:rFonts w:ascii="仿宋_GB2312" w:hAnsi="仿宋_GB2312" w:cs="仿宋_GB2312" w:hint="eastAsia"/>
          <w:sz w:val="28"/>
          <w:szCs w:val="28"/>
        </w:rPr>
        <w:t>及</w:t>
      </w:r>
      <w:r>
        <w:rPr>
          <w:rFonts w:ascii="仿宋_GB2312" w:hAnsi="仿宋_GB2312" w:cs="仿宋_GB2312"/>
          <w:sz w:val="28"/>
          <w:szCs w:val="28"/>
        </w:rPr>
        <w:t>工作原理。过滤机理，等速过滤和变速过滤的优缺点，大阻力</w:t>
      </w:r>
      <w:r>
        <w:rPr>
          <w:rFonts w:ascii="仿宋_GB2312" w:hAnsi="仿宋_GB2312" w:cs="仿宋_GB2312" w:hint="eastAsia"/>
          <w:sz w:val="28"/>
          <w:szCs w:val="28"/>
        </w:rPr>
        <w:t>和</w:t>
      </w:r>
      <w:r>
        <w:rPr>
          <w:rFonts w:ascii="仿宋_GB2312" w:hAnsi="仿宋_GB2312" w:cs="仿宋_GB2312"/>
          <w:sz w:val="28"/>
          <w:szCs w:val="28"/>
        </w:rPr>
        <w:t>小阻力配水系统</w:t>
      </w:r>
      <w:r>
        <w:rPr>
          <w:rFonts w:ascii="仿宋_GB2312" w:hAnsi="仿宋_GB2312" w:cs="仿宋_GB2312" w:hint="eastAsia"/>
          <w:sz w:val="28"/>
          <w:szCs w:val="28"/>
        </w:rPr>
        <w:t>的</w:t>
      </w:r>
      <w:r>
        <w:rPr>
          <w:rFonts w:ascii="仿宋_GB2312" w:hAnsi="仿宋_GB2312" w:cs="仿宋_GB2312"/>
          <w:sz w:val="28"/>
          <w:szCs w:val="28"/>
        </w:rPr>
        <w:t>构造</w:t>
      </w:r>
      <w:r>
        <w:rPr>
          <w:rFonts w:ascii="仿宋_GB2312" w:hAnsi="仿宋_GB2312" w:cs="仿宋_GB2312" w:hint="eastAsia"/>
          <w:sz w:val="28"/>
          <w:szCs w:val="28"/>
        </w:rPr>
        <w:t>特点</w:t>
      </w:r>
      <w:r>
        <w:rPr>
          <w:rFonts w:ascii="仿宋_GB2312" w:hAnsi="仿宋_GB2312" w:cs="仿宋_GB2312"/>
          <w:sz w:val="28"/>
          <w:szCs w:val="28"/>
        </w:rPr>
        <w:t>，普通快滤池、V型滤池、虹吸滤池的设计计算。</w:t>
      </w:r>
      <w:r>
        <w:rPr>
          <w:rFonts w:ascii="仿宋_GB2312" w:hAnsi="仿宋_GB2312" w:cs="仿宋_GB2312" w:hint="eastAsia"/>
          <w:sz w:val="28"/>
          <w:szCs w:val="28"/>
        </w:rPr>
        <w:t>氯</w:t>
      </w:r>
      <w:r>
        <w:rPr>
          <w:rFonts w:ascii="仿宋_GB2312" w:hAnsi="仿宋_GB2312" w:cs="仿宋_GB2312"/>
          <w:sz w:val="28"/>
          <w:szCs w:val="28"/>
        </w:rPr>
        <w:t>消毒</w:t>
      </w:r>
      <w:r>
        <w:rPr>
          <w:rFonts w:ascii="仿宋_GB2312" w:hAnsi="仿宋_GB2312" w:cs="仿宋_GB2312" w:hint="eastAsia"/>
          <w:sz w:val="28"/>
          <w:szCs w:val="28"/>
        </w:rPr>
        <w:t>，</w:t>
      </w:r>
      <w:r>
        <w:rPr>
          <w:rFonts w:ascii="仿宋_GB2312" w:hAnsi="仿宋_GB2312" w:cs="仿宋_GB2312"/>
          <w:sz w:val="28"/>
          <w:szCs w:val="28"/>
        </w:rPr>
        <w:t>水厂工艺流程和处理构筑物选择，水厂平面和高程布置。</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凝练课程内容，融入生态文明建设、可持续发展、环境保护等新时代政策，全方位发掘该课程中的“敬业、生态、环保、创新、绿色”等思想政治元素，体现社会主义核心价值观。</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p w:rsidR="00E07285" w:rsidRDefault="00E07285" w:rsidP="00E07285">
      <w:pPr>
        <w:spacing w:line="400" w:lineRule="exact"/>
        <w:outlineLvl w:val="0"/>
        <w:rPr>
          <w:rFonts w:ascii="仿宋_GB2312" w:hAnsi="仿宋_GB2312" w:cs="仿宋_GB2312"/>
          <w:bCs/>
          <w:sz w:val="28"/>
          <w:szCs w:val="28"/>
        </w:rPr>
      </w:pPr>
      <w:r>
        <w:rPr>
          <w:rFonts w:ascii="仿宋_GB2312" w:hAnsi="仿宋_GB2312" w:cs="仿宋_GB2312"/>
          <w:bCs/>
          <w:sz w:val="28"/>
          <w:szCs w:val="28"/>
        </w:rPr>
        <w:t>（一）教学内容结构关系图</w:t>
      </w:r>
    </w:p>
    <w:p w:rsidR="00E07285" w:rsidRDefault="00E07285" w:rsidP="00E07285">
      <w:pPr>
        <w:spacing w:line="360" w:lineRule="auto"/>
        <w:jc w:val="center"/>
        <w:rPr>
          <w:szCs w:val="21"/>
        </w:rPr>
      </w:pPr>
      <w:r>
        <w:rPr>
          <w:noProof/>
        </w:rPr>
        <mc:AlternateContent>
          <mc:Choice Requires="wps">
            <w:drawing>
              <wp:anchor distT="0" distB="0" distL="114300" distR="114300" simplePos="0" relativeHeight="251692032" behindDoc="0" locked="0" layoutInCell="1" allowOverlap="1" wp14:anchorId="67C3CA55" wp14:editId="5D36103E">
                <wp:simplePos x="0" y="0"/>
                <wp:positionH relativeFrom="column">
                  <wp:posOffset>1541780</wp:posOffset>
                </wp:positionH>
                <wp:positionV relativeFrom="paragraph">
                  <wp:posOffset>218440</wp:posOffset>
                </wp:positionV>
                <wp:extent cx="1882140" cy="261620"/>
                <wp:effectExtent l="4445" t="4445" r="18415" b="8255"/>
                <wp:wrapNone/>
                <wp:docPr id="35" name="文本框 35"/>
                <wp:cNvGraphicFramePr/>
                <a:graphic xmlns:a="http://schemas.openxmlformats.org/drawingml/2006/main">
                  <a:graphicData uri="http://schemas.microsoft.com/office/word/2010/wordprocessingShape">
                    <wps:wsp>
                      <wps:cNvSpPr txBox="1"/>
                      <wps:spPr>
                        <a:xfrm>
                          <a:off x="0" y="0"/>
                          <a:ext cx="1882140" cy="2616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给水处理</w:t>
                            </w:r>
                            <w:r>
                              <w:rPr>
                                <w:rFonts w:ascii="仿宋" w:eastAsia="仿宋" w:hAnsi="仿宋"/>
                                <w:sz w:val="24"/>
                                <w:szCs w:val="24"/>
                              </w:rPr>
                              <w:t>理论与技术</w:t>
                            </w:r>
                          </w:p>
                        </w:txbxContent>
                      </wps:txbx>
                      <wps:bodyPr upright="1"/>
                    </wps:wsp>
                  </a:graphicData>
                </a:graphic>
              </wp:anchor>
            </w:drawing>
          </mc:Choice>
          <mc:Fallback>
            <w:pict>
              <v:shape w14:anchorId="67C3CA55" id="文本框 35" o:spid="_x0000_s1045" type="#_x0000_t202" style="position:absolute;left:0;text-align:left;margin-left:121.4pt;margin-top:17.2pt;width:148.2pt;height:20.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">
                <v:textbo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给水处理</w:t>
                      </w:r>
                      <w:r>
                        <w:rPr>
                          <w:rFonts w:ascii="仿宋" w:eastAsia="仿宋" w:hAnsi="仿宋"/>
                          <w:sz w:val="24"/>
                          <w:szCs w:val="24"/>
                        </w:rPr>
                        <w:t>理论与技术</w:t>
                      </w:r>
                    </w:p>
                  </w:txbxContent>
                </v:textbox>
              </v:shape>
            </w:pict>
          </mc:Fallback>
        </mc:AlternateContent>
      </w:r>
    </w:p>
    <w:p w:rsidR="00E07285" w:rsidRDefault="00E07285" w:rsidP="00E07285">
      <w:pPr>
        <w:spacing w:line="360" w:lineRule="auto"/>
        <w:jc w:val="center"/>
        <w:rPr>
          <w:szCs w:val="21"/>
        </w:rPr>
      </w:pPr>
      <w:r>
        <w:rPr>
          <w:noProof/>
          <w:szCs w:val="21"/>
        </w:rPr>
        <mc:AlternateContent>
          <mc:Choice Requires="wps">
            <w:drawing>
              <wp:anchor distT="0" distB="0" distL="114300" distR="114300" simplePos="0" relativeHeight="251693056" behindDoc="0" locked="0" layoutInCell="1" allowOverlap="1" wp14:anchorId="7E1A13E7" wp14:editId="497A8F03">
                <wp:simplePos x="0" y="0"/>
                <wp:positionH relativeFrom="column">
                  <wp:posOffset>2447925</wp:posOffset>
                </wp:positionH>
                <wp:positionV relativeFrom="paragraph">
                  <wp:posOffset>107950</wp:posOffset>
                </wp:positionV>
                <wp:extent cx="635" cy="194945"/>
                <wp:effectExtent l="37465" t="0" r="38100" b="3175"/>
                <wp:wrapNone/>
                <wp:docPr id="33" name="直接箭头连接符 33"/>
                <wp:cNvGraphicFramePr/>
                <a:graphic xmlns:a="http://schemas.openxmlformats.org/drawingml/2006/main">
                  <a:graphicData uri="http://schemas.microsoft.com/office/word/2010/wordprocessingShape">
                    <wps:wsp>
                      <wps:cNvCnPr/>
                      <wps:spPr>
                        <a:xfrm>
                          <a:off x="0" y="0"/>
                          <a:ext cx="635" cy="1949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E5E3CE2" id="直接箭头连接符 33" o:spid="_x0000_s1026" type="#_x0000_t32" style="position:absolute;left:0;text-align:left;margin-left:192.75pt;margin-top:8.5pt;width:.05pt;height:15.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">
                <v:stroke endarrow="block"/>
              </v:shape>
            </w:pict>
          </mc:Fallback>
        </mc:AlternateContent>
      </w:r>
      <w:r>
        <w:rPr>
          <w:noProof/>
          <w:szCs w:val="21"/>
        </w:rPr>
        <mc:AlternateContent>
          <mc:Choice Requires="wps">
            <w:drawing>
              <wp:anchor distT="0" distB="0" distL="114300" distR="114300" simplePos="0" relativeHeight="251694080" behindDoc="0" locked="0" layoutInCell="1" allowOverlap="1" wp14:anchorId="7DCD36EF" wp14:editId="44C16EA7">
                <wp:simplePos x="0" y="0"/>
                <wp:positionH relativeFrom="column">
                  <wp:posOffset>838835</wp:posOffset>
                </wp:positionH>
                <wp:positionV relativeFrom="paragraph">
                  <wp:posOffset>315595</wp:posOffset>
                </wp:positionV>
                <wp:extent cx="3747135" cy="268605"/>
                <wp:effectExtent l="5080" t="4445" r="12065" b="16510"/>
                <wp:wrapNone/>
                <wp:docPr id="36" name="文本框 36"/>
                <wp:cNvGraphicFramePr/>
                <a:graphic xmlns:a="http://schemas.openxmlformats.org/drawingml/2006/main">
                  <a:graphicData uri="http://schemas.microsoft.com/office/word/2010/wordprocessingShape">
                    <wps:wsp>
                      <wps:cNvSpPr txBox="1"/>
                      <wps:spPr>
                        <a:xfrm>
                          <a:off x="0" y="0"/>
                          <a:ext cx="374713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ind w:firstLineChars="50" w:firstLine="120"/>
                              <w:rPr>
                                <w:sz w:val="21"/>
                                <w:szCs w:val="21"/>
                              </w:rPr>
                            </w:pPr>
                            <w:r>
                              <w:rPr>
                                <w:rFonts w:ascii="仿宋" w:eastAsia="仿宋" w:hAnsi="仿宋" w:hint="eastAsia"/>
                                <w:sz w:val="24"/>
                                <w:szCs w:val="24"/>
                              </w:rPr>
                              <w:t xml:space="preserve">原水水质特点 </w:t>
                            </w:r>
                            <w:r>
                              <w:rPr>
                                <w:rFonts w:ascii="仿宋" w:eastAsia="仿宋" w:hAnsi="仿宋"/>
                                <w:sz w:val="24"/>
                                <w:szCs w:val="24"/>
                              </w:rPr>
                              <w:t xml:space="preserve"> </w:t>
                            </w:r>
                            <w:r>
                              <w:rPr>
                                <w:rFonts w:ascii="仿宋" w:eastAsia="仿宋" w:hAnsi="仿宋" w:hint="eastAsia"/>
                                <w:sz w:val="24"/>
                                <w:szCs w:val="24"/>
                              </w:rPr>
                              <w:t xml:space="preserve"> 饮用水水质标准    反应器原</w:t>
                            </w:r>
                            <w:r>
                              <w:rPr>
                                <w:rFonts w:hint="eastAsia"/>
                                <w:sz w:val="21"/>
                                <w:szCs w:val="21"/>
                              </w:rPr>
                              <w:t>理</w:t>
                            </w:r>
                          </w:p>
                        </w:txbxContent>
                      </wps:txbx>
                      <wps:bodyPr upright="1"/>
                    </wps:wsp>
                  </a:graphicData>
                </a:graphic>
              </wp:anchor>
            </w:drawing>
          </mc:Choice>
          <mc:Fallback>
            <w:pict>
              <v:shape w14:anchorId="7DCD36EF" id="文本框 36" o:spid="_x0000_s1046" type="#_x0000_t202" style="position:absolute;left:0;text-align:left;margin-left:66.05pt;margin-top:24.85pt;width:295.05pt;height:21.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">
                <v:textbox>
                  <w:txbxContent>
                    <w:p w:rsidR="00702523" w:rsidRDefault="00702523" w:rsidP="00E07285">
                      <w:pPr>
                        <w:ind w:firstLineChars="50" w:firstLine="120"/>
                        <w:rPr>
                          <w:sz w:val="21"/>
                          <w:szCs w:val="21"/>
                        </w:rPr>
                      </w:pPr>
                      <w:r>
                        <w:rPr>
                          <w:rFonts w:ascii="仿宋" w:eastAsia="仿宋" w:hAnsi="仿宋" w:hint="eastAsia"/>
                          <w:sz w:val="24"/>
                          <w:szCs w:val="24"/>
                        </w:rPr>
                        <w:t xml:space="preserve">原水水质特点 </w:t>
                      </w:r>
                      <w:r>
                        <w:rPr>
                          <w:rFonts w:ascii="仿宋" w:eastAsia="仿宋" w:hAnsi="仿宋"/>
                          <w:sz w:val="24"/>
                          <w:szCs w:val="24"/>
                        </w:rPr>
                        <w:t xml:space="preserve"> </w:t>
                      </w:r>
                      <w:r>
                        <w:rPr>
                          <w:rFonts w:ascii="仿宋" w:eastAsia="仿宋" w:hAnsi="仿宋" w:hint="eastAsia"/>
                          <w:sz w:val="24"/>
                          <w:szCs w:val="24"/>
                        </w:rPr>
                        <w:t xml:space="preserve"> 饮用水水质标准    反应器原</w:t>
                      </w:r>
                      <w:r>
                        <w:rPr>
                          <w:rFonts w:hint="eastAsia"/>
                          <w:sz w:val="21"/>
                          <w:szCs w:val="21"/>
                        </w:rPr>
                        <w:t>理</w:t>
                      </w:r>
                    </w:p>
                  </w:txbxContent>
                </v:textbox>
              </v:shape>
            </w:pict>
          </mc:Fallback>
        </mc:AlternateContent>
      </w:r>
    </w:p>
    <w:p w:rsidR="00E07285" w:rsidRDefault="00E07285" w:rsidP="00E07285">
      <w:pPr>
        <w:spacing w:line="360" w:lineRule="auto"/>
        <w:jc w:val="center"/>
        <w:rPr>
          <w:szCs w:val="21"/>
        </w:rPr>
      </w:pPr>
      <w:r>
        <w:rPr>
          <w:noProof/>
          <w:szCs w:val="21"/>
        </w:rPr>
        <mc:AlternateContent>
          <mc:Choice Requires="wps">
            <w:drawing>
              <wp:anchor distT="0" distB="0" distL="114300" distR="114300" simplePos="0" relativeHeight="251695104" behindDoc="0" locked="0" layoutInCell="1" allowOverlap="1" wp14:anchorId="4BBED203" wp14:editId="728B92A8">
                <wp:simplePos x="0" y="0"/>
                <wp:positionH relativeFrom="column">
                  <wp:posOffset>2447925</wp:posOffset>
                </wp:positionH>
                <wp:positionV relativeFrom="paragraph">
                  <wp:posOffset>212090</wp:posOffset>
                </wp:positionV>
                <wp:extent cx="0" cy="220980"/>
                <wp:effectExtent l="38100" t="0" r="38100" b="7620"/>
                <wp:wrapNone/>
                <wp:docPr id="37" name="直接箭头连接符 37"/>
                <wp:cNvGraphicFramePr/>
                <a:graphic xmlns:a="http://schemas.openxmlformats.org/drawingml/2006/main">
                  <a:graphicData uri="http://schemas.microsoft.com/office/word/2010/wordprocessingShape">
                    <wps:wsp>
                      <wps:cNvCnPr/>
                      <wps:spPr>
                        <a:xfrm>
                          <a:off x="0" y="0"/>
                          <a:ext cx="0" cy="2209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C7BD50A" id="直接箭头连接符 37" o:spid="_x0000_s1026" type="#_x0000_t32" style="position:absolute;left:0;text-align:left;margin-left:192.75pt;margin-top:16.7pt;width:0;height:17.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">
                <v:stroke endarrow="block"/>
              </v:shape>
            </w:pict>
          </mc:Fallback>
        </mc:AlternateContent>
      </w:r>
    </w:p>
    <w:p w:rsidR="00E07285" w:rsidRDefault="00E07285" w:rsidP="00E07285">
      <w:pPr>
        <w:spacing w:line="360" w:lineRule="auto"/>
        <w:jc w:val="center"/>
        <w:rPr>
          <w:szCs w:val="21"/>
        </w:rPr>
      </w:pPr>
      <w:r>
        <w:rPr>
          <w:noProof/>
          <w:szCs w:val="21"/>
        </w:rPr>
        <mc:AlternateContent>
          <mc:Choice Requires="wps">
            <w:drawing>
              <wp:anchor distT="0" distB="0" distL="114300" distR="114300" simplePos="0" relativeHeight="251697152" behindDoc="0" locked="0" layoutInCell="1" allowOverlap="1" wp14:anchorId="6F862180" wp14:editId="07C0300D">
                <wp:simplePos x="0" y="0"/>
                <wp:positionH relativeFrom="column">
                  <wp:posOffset>309245</wp:posOffset>
                </wp:positionH>
                <wp:positionV relativeFrom="paragraph">
                  <wp:posOffset>60960</wp:posOffset>
                </wp:positionV>
                <wp:extent cx="4536440" cy="364490"/>
                <wp:effectExtent l="4445" t="4445" r="15875" b="12065"/>
                <wp:wrapNone/>
                <wp:docPr id="38" name="矩形 38"/>
                <wp:cNvGraphicFramePr/>
                <a:graphic xmlns:a="http://schemas.openxmlformats.org/drawingml/2006/main">
                  <a:graphicData uri="http://schemas.microsoft.com/office/word/2010/wordprocessingShape">
                    <wps:wsp>
                      <wps:cNvSpPr/>
                      <wps:spPr>
                        <a:xfrm>
                          <a:off x="0" y="0"/>
                          <a:ext cx="4536440" cy="364490"/>
                        </a:xfrm>
                        <a:prstGeom prst="rect">
                          <a:avLst/>
                        </a:prstGeom>
                        <a:noFill/>
                        <a:ln w="9525" cap="flat" cmpd="sng">
                          <a:solidFill>
                            <a:srgbClr val="000000"/>
                          </a:solidFill>
                          <a:prstDash val="lgDash"/>
                          <a:miter/>
                          <a:headEnd type="none" w="med" len="med"/>
                          <a:tailEnd type="none" w="med" len="med"/>
                        </a:ln>
                      </wps:spPr>
                      <wps:bodyPr upright="1"/>
                    </wps:wsp>
                  </a:graphicData>
                </a:graphic>
              </wp:anchor>
            </w:drawing>
          </mc:Choice>
          <mc:Fallback>
            <w:pict>
              <v:rect w14:anchorId="12A82FDC" id="矩形 38" o:spid="_x0000_s1026" style="position:absolute;left:0;text-align:left;margin-left:24.35pt;margin-top:4.8pt;width:357.2pt;height:28.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" filled="f">
                <v:stroke dashstyle="longDash"/>
              </v:rect>
            </w:pict>
          </mc:Fallback>
        </mc:AlternateContent>
      </w:r>
      <w:r>
        <w:rPr>
          <w:noProof/>
          <w:szCs w:val="21"/>
        </w:rPr>
        <mc:AlternateContent>
          <mc:Choice Requires="wps">
            <w:drawing>
              <wp:anchor distT="0" distB="0" distL="114300" distR="114300" simplePos="0" relativeHeight="251700224" behindDoc="0" locked="0" layoutInCell="1" allowOverlap="1" wp14:anchorId="730022A2" wp14:editId="673D9EBB">
                <wp:simplePos x="0" y="0"/>
                <wp:positionH relativeFrom="column">
                  <wp:posOffset>3912235</wp:posOffset>
                </wp:positionH>
                <wp:positionV relativeFrom="paragraph">
                  <wp:posOffset>118745</wp:posOffset>
                </wp:positionV>
                <wp:extent cx="809625" cy="266700"/>
                <wp:effectExtent l="4445" t="4445" r="8890" b="18415"/>
                <wp:wrapNone/>
                <wp:docPr id="32" name="文本框 32"/>
                <wp:cNvGraphicFramePr/>
                <a:graphic xmlns:a="http://schemas.openxmlformats.org/drawingml/2006/main">
                  <a:graphicData uri="http://schemas.microsoft.com/office/word/2010/wordprocessingShape">
                    <wps:wsp>
                      <wps:cNvSpPr txBox="1"/>
                      <wps:spPr>
                        <a:xfrm>
                          <a:off x="0" y="0"/>
                          <a:ext cx="8096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消毒</w:t>
                            </w:r>
                          </w:p>
                        </w:txbxContent>
                      </wps:txbx>
                      <wps:bodyPr upright="1"/>
                    </wps:wsp>
                  </a:graphicData>
                </a:graphic>
              </wp:anchor>
            </w:drawing>
          </mc:Choice>
          <mc:Fallback>
            <w:pict>
              <v:shape w14:anchorId="730022A2" id="文本框 32" o:spid="_x0000_s1047" type="#_x0000_t202" style="position:absolute;left:0;text-align:left;margin-left:308.05pt;margin-top:9.35pt;width:63.75pt;height:2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">
                <v:textbo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消毒</w:t>
                      </w:r>
                    </w:p>
                  </w:txbxContent>
                </v:textbox>
              </v:shape>
            </w:pict>
          </mc:Fallback>
        </mc:AlternateContent>
      </w:r>
      <w:r>
        <w:rPr>
          <w:noProof/>
          <w:szCs w:val="21"/>
        </w:rPr>
        <mc:AlternateContent>
          <mc:Choice Requires="wps">
            <w:drawing>
              <wp:anchor distT="0" distB="0" distL="114300" distR="114300" simplePos="0" relativeHeight="251699200" behindDoc="0" locked="0" layoutInCell="1" allowOverlap="1" wp14:anchorId="41FF4BC4" wp14:editId="7A0A8441">
                <wp:simplePos x="0" y="0"/>
                <wp:positionH relativeFrom="column">
                  <wp:posOffset>2857500</wp:posOffset>
                </wp:positionH>
                <wp:positionV relativeFrom="paragraph">
                  <wp:posOffset>118745</wp:posOffset>
                </wp:positionV>
                <wp:extent cx="745490" cy="266700"/>
                <wp:effectExtent l="4445" t="4445" r="12065" b="18415"/>
                <wp:wrapNone/>
                <wp:docPr id="39" name="文本框 39"/>
                <wp:cNvGraphicFramePr/>
                <a:graphic xmlns:a="http://schemas.openxmlformats.org/drawingml/2006/main">
                  <a:graphicData uri="http://schemas.microsoft.com/office/word/2010/wordprocessingShape">
                    <wps:wsp>
                      <wps:cNvSpPr txBox="1"/>
                      <wps:spPr>
                        <a:xfrm>
                          <a:off x="0" y="0"/>
                          <a:ext cx="74549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过滤</w:t>
                            </w:r>
                          </w:p>
                        </w:txbxContent>
                      </wps:txbx>
                      <wps:bodyPr upright="1"/>
                    </wps:wsp>
                  </a:graphicData>
                </a:graphic>
              </wp:anchor>
            </w:drawing>
          </mc:Choice>
          <mc:Fallback>
            <w:pict>
              <v:shape w14:anchorId="41FF4BC4" id="文本框 39" o:spid="_x0000_s1048" type="#_x0000_t202" style="position:absolute;left:0;text-align:left;margin-left:225pt;margin-top:9.35pt;width:58.7pt;height:2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">
                <v:textbo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过滤</w:t>
                      </w:r>
                    </w:p>
                  </w:txbxContent>
                </v:textbox>
              </v:shape>
            </w:pict>
          </mc:Fallback>
        </mc:AlternateContent>
      </w:r>
      <w:r>
        <w:rPr>
          <w:noProof/>
          <w:szCs w:val="21"/>
        </w:rPr>
        <mc:AlternateContent>
          <mc:Choice Requires="wps">
            <w:drawing>
              <wp:anchor distT="0" distB="0" distL="114300" distR="114300" simplePos="0" relativeHeight="251698176" behindDoc="0" locked="0" layoutInCell="1" allowOverlap="1" wp14:anchorId="00809A98" wp14:editId="60B758C3">
                <wp:simplePos x="0" y="0"/>
                <wp:positionH relativeFrom="column">
                  <wp:posOffset>1511300</wp:posOffset>
                </wp:positionH>
                <wp:positionV relativeFrom="paragraph">
                  <wp:posOffset>118745</wp:posOffset>
                </wp:positionV>
                <wp:extent cx="1073785" cy="266700"/>
                <wp:effectExtent l="4445" t="4445" r="19050" b="18415"/>
                <wp:wrapNone/>
                <wp:docPr id="40" name="文本框 40"/>
                <wp:cNvGraphicFramePr/>
                <a:graphic xmlns:a="http://schemas.openxmlformats.org/drawingml/2006/main">
                  <a:graphicData uri="http://schemas.microsoft.com/office/word/2010/wordprocessingShape">
                    <wps:wsp>
                      <wps:cNvSpPr txBox="1"/>
                      <wps:spPr>
                        <a:xfrm>
                          <a:off x="0" y="0"/>
                          <a:ext cx="107378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沉淀和澄清</w:t>
                            </w:r>
                          </w:p>
                        </w:txbxContent>
                      </wps:txbx>
                      <wps:bodyPr upright="1"/>
                    </wps:wsp>
                  </a:graphicData>
                </a:graphic>
              </wp:anchor>
            </w:drawing>
          </mc:Choice>
          <mc:Fallback>
            <w:pict>
              <v:shape w14:anchorId="00809A98" id="文本框 40" o:spid="_x0000_s1049" type="#_x0000_t202" style="position:absolute;left:0;text-align:left;margin-left:119pt;margin-top:9.35pt;width:84.55pt;height:2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">
                <v:textbo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沉淀和澄清</w:t>
                      </w:r>
                    </w:p>
                  </w:txbxContent>
                </v:textbox>
              </v:shape>
            </w:pict>
          </mc:Fallback>
        </mc:AlternateContent>
      </w:r>
      <w:r>
        <w:rPr>
          <w:noProof/>
          <w:szCs w:val="21"/>
        </w:rPr>
        <mc:AlternateContent>
          <mc:Choice Requires="wps">
            <w:drawing>
              <wp:anchor distT="0" distB="0" distL="114300" distR="114300" simplePos="0" relativeHeight="251696128" behindDoc="0" locked="0" layoutInCell="1" allowOverlap="1" wp14:anchorId="74D51CBC" wp14:editId="2EBC532E">
                <wp:simplePos x="0" y="0"/>
                <wp:positionH relativeFrom="column">
                  <wp:posOffset>406400</wp:posOffset>
                </wp:positionH>
                <wp:positionV relativeFrom="paragraph">
                  <wp:posOffset>118745</wp:posOffset>
                </wp:positionV>
                <wp:extent cx="809625" cy="266700"/>
                <wp:effectExtent l="4445" t="4445" r="8890" b="18415"/>
                <wp:wrapNone/>
                <wp:docPr id="42" name="文本框 42"/>
                <wp:cNvGraphicFramePr/>
                <a:graphic xmlns:a="http://schemas.openxmlformats.org/drawingml/2006/main">
                  <a:graphicData uri="http://schemas.microsoft.com/office/word/2010/wordprocessingShape">
                    <wps:wsp>
                      <wps:cNvSpPr txBox="1"/>
                      <wps:spPr>
                        <a:xfrm>
                          <a:off x="0" y="0"/>
                          <a:ext cx="8096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ind w:firstLineChars="100" w:firstLine="240"/>
                              <w:rPr>
                                <w:rFonts w:ascii="仿宋" w:eastAsia="仿宋" w:hAnsi="仿宋"/>
                                <w:sz w:val="24"/>
                                <w:szCs w:val="24"/>
                              </w:rPr>
                            </w:pPr>
                            <w:r>
                              <w:rPr>
                                <w:rFonts w:ascii="仿宋" w:eastAsia="仿宋" w:hAnsi="仿宋" w:hint="eastAsia"/>
                                <w:sz w:val="24"/>
                                <w:szCs w:val="24"/>
                              </w:rPr>
                              <w:t>混凝</w:t>
                            </w:r>
                          </w:p>
                        </w:txbxContent>
                      </wps:txbx>
                      <wps:bodyPr upright="1"/>
                    </wps:wsp>
                  </a:graphicData>
                </a:graphic>
              </wp:anchor>
            </w:drawing>
          </mc:Choice>
          <mc:Fallback>
            <w:pict>
              <v:shape w14:anchorId="74D51CBC" id="文本框 42" o:spid="_x0000_s1050" type="#_x0000_t202" style="position:absolute;left:0;text-align:left;margin-left:32pt;margin-top:9.35pt;width:63.75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">
                <v:textbox>
                  <w:txbxContent>
                    <w:p w:rsidR="00702523" w:rsidRDefault="00702523" w:rsidP="00E07285">
                      <w:pPr>
                        <w:ind w:firstLineChars="100" w:firstLine="240"/>
                        <w:rPr>
                          <w:rFonts w:ascii="仿宋" w:eastAsia="仿宋" w:hAnsi="仿宋"/>
                          <w:sz w:val="24"/>
                          <w:szCs w:val="24"/>
                        </w:rPr>
                      </w:pPr>
                      <w:r>
                        <w:rPr>
                          <w:rFonts w:ascii="仿宋" w:eastAsia="仿宋" w:hAnsi="仿宋" w:hint="eastAsia"/>
                          <w:sz w:val="24"/>
                          <w:szCs w:val="24"/>
                        </w:rPr>
                        <w:t>混凝</w:t>
                      </w:r>
                    </w:p>
                  </w:txbxContent>
                </v:textbox>
              </v:shape>
            </w:pict>
          </mc:Fallback>
        </mc:AlternateContent>
      </w:r>
    </w:p>
    <w:p w:rsidR="00E07285" w:rsidRDefault="00E07285" w:rsidP="00E07285">
      <w:pPr>
        <w:spacing w:line="360" w:lineRule="auto"/>
        <w:jc w:val="center"/>
        <w:rPr>
          <w:szCs w:val="21"/>
        </w:rPr>
      </w:pPr>
      <w:r>
        <w:rPr>
          <w:noProof/>
          <w:szCs w:val="21"/>
        </w:rPr>
        <mc:AlternateContent>
          <mc:Choice Requires="wps">
            <w:drawing>
              <wp:anchor distT="0" distB="0" distL="114300" distR="114300" simplePos="0" relativeHeight="251702272" behindDoc="0" locked="0" layoutInCell="1" allowOverlap="1" wp14:anchorId="09CFE15C" wp14:editId="07052B24">
                <wp:simplePos x="0" y="0"/>
                <wp:positionH relativeFrom="column">
                  <wp:posOffset>2447925</wp:posOffset>
                </wp:positionH>
                <wp:positionV relativeFrom="paragraph">
                  <wp:posOffset>53340</wp:posOffset>
                </wp:positionV>
                <wp:extent cx="0" cy="217170"/>
                <wp:effectExtent l="38100" t="0" r="38100" b="11430"/>
                <wp:wrapNone/>
                <wp:docPr id="41" name="直接箭头连接符 41"/>
                <wp:cNvGraphicFramePr/>
                <a:graphic xmlns:a="http://schemas.openxmlformats.org/drawingml/2006/main">
                  <a:graphicData uri="http://schemas.microsoft.com/office/word/2010/wordprocessingShape">
                    <wps:wsp>
                      <wps:cNvCnPr/>
                      <wps:spPr>
                        <a:xfrm>
                          <a:off x="0" y="0"/>
                          <a:ext cx="0" cy="2171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97B455F" id="直接箭头连接符 41" o:spid="_x0000_s1026" type="#_x0000_t32" style="position:absolute;left:0;text-align:left;margin-left:192.75pt;margin-top:4.2pt;width:0;height:17.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">
                <v:stroke endarrow="block"/>
              </v:shape>
            </w:pict>
          </mc:Fallback>
        </mc:AlternateContent>
      </w:r>
      <w:r>
        <w:rPr>
          <w:noProof/>
          <w:szCs w:val="21"/>
        </w:rPr>
        <mc:AlternateContent>
          <mc:Choice Requires="wps">
            <w:drawing>
              <wp:anchor distT="0" distB="0" distL="114300" distR="114300" simplePos="0" relativeHeight="251701248" behindDoc="0" locked="0" layoutInCell="1" allowOverlap="1" wp14:anchorId="6C54B7B4" wp14:editId="09185401">
                <wp:simplePos x="0" y="0"/>
                <wp:positionH relativeFrom="column">
                  <wp:posOffset>1864360</wp:posOffset>
                </wp:positionH>
                <wp:positionV relativeFrom="paragraph">
                  <wp:posOffset>270510</wp:posOffset>
                </wp:positionV>
                <wp:extent cx="1160780" cy="276225"/>
                <wp:effectExtent l="4445" t="4445" r="8255" b="8890"/>
                <wp:wrapNone/>
                <wp:docPr id="34" name="文本框 34"/>
                <wp:cNvGraphicFramePr/>
                <a:graphic xmlns:a="http://schemas.openxmlformats.org/drawingml/2006/main">
                  <a:graphicData uri="http://schemas.microsoft.com/office/word/2010/wordprocessingShape">
                    <wps:wsp>
                      <wps:cNvSpPr txBox="1"/>
                      <wps:spPr>
                        <a:xfrm>
                          <a:off x="0" y="0"/>
                          <a:ext cx="116078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净水厂设计</w:t>
                            </w:r>
                          </w:p>
                        </w:txbxContent>
                      </wps:txbx>
                      <wps:bodyPr upright="1"/>
                    </wps:wsp>
                  </a:graphicData>
                </a:graphic>
              </wp:anchor>
            </w:drawing>
          </mc:Choice>
          <mc:Fallback>
            <w:pict>
              <v:shape w14:anchorId="6C54B7B4" id="文本框 34" o:spid="_x0000_s1051" type="#_x0000_t202" style="position:absolute;left:0;text-align:left;margin-left:146.8pt;margin-top:21.3pt;width:91.4pt;height:21.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">
                <v:textbox>
                  <w:txbxContent>
                    <w:p w:rsidR="00702523" w:rsidRDefault="00702523" w:rsidP="00E07285">
                      <w:pPr>
                        <w:jc w:val="center"/>
                        <w:rPr>
                          <w:rFonts w:ascii="仿宋" w:eastAsia="仿宋" w:hAnsi="仿宋"/>
                          <w:sz w:val="24"/>
                          <w:szCs w:val="24"/>
                        </w:rPr>
                      </w:pPr>
                      <w:r>
                        <w:rPr>
                          <w:rFonts w:ascii="仿宋" w:eastAsia="仿宋" w:hAnsi="仿宋" w:hint="eastAsia"/>
                          <w:sz w:val="24"/>
                          <w:szCs w:val="24"/>
                        </w:rPr>
                        <w:t>净水厂设计</w:t>
                      </w:r>
                    </w:p>
                  </w:txbxContent>
                </v:textbox>
              </v:shape>
            </w:pict>
          </mc:Fallback>
        </mc:AlternateContent>
      </w:r>
    </w:p>
    <w:p w:rsidR="00E07285" w:rsidRDefault="00E07285" w:rsidP="00E07285">
      <w:pPr>
        <w:spacing w:line="360" w:lineRule="auto"/>
        <w:rPr>
          <w:szCs w:val="21"/>
        </w:rPr>
      </w:pPr>
    </w:p>
    <w:p w:rsidR="00E07285" w:rsidRDefault="00E07285" w:rsidP="00E07285">
      <w:pPr>
        <w:spacing w:line="400" w:lineRule="exact"/>
        <w:outlineLvl w:val="0"/>
        <w:rPr>
          <w:rFonts w:ascii="仿宋_GB2312" w:hAnsi="仿宋_GB2312" w:cs="仿宋_GB2312"/>
          <w:bCs/>
          <w:sz w:val="28"/>
          <w:szCs w:val="28"/>
        </w:rPr>
      </w:pPr>
      <w:r>
        <w:rPr>
          <w:rFonts w:ascii="仿宋_GB2312" w:hAnsi="仿宋_GB2312" w:cs="仿宋_GB2312"/>
          <w:bCs/>
          <w:sz w:val="28"/>
          <w:szCs w:val="28"/>
        </w:rPr>
        <w:t>（二）具体教学内容</w:t>
      </w:r>
    </w:p>
    <w:p w:rsidR="00E07285" w:rsidRDefault="00E07285" w:rsidP="00E07285">
      <w:pPr>
        <w:spacing w:line="400" w:lineRule="exact"/>
        <w:outlineLvl w:val="0"/>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709"/>
        <w:gridCol w:w="2693"/>
        <w:gridCol w:w="3261"/>
      </w:tblGrid>
      <w:tr w:rsidR="00E07285" w:rsidTr="00E07285">
        <w:trPr>
          <w:cantSplit/>
          <w:trHeight w:val="425"/>
          <w:jc w:val="center"/>
        </w:trPr>
        <w:tc>
          <w:tcPr>
            <w:tcW w:w="675"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序</w:t>
            </w:r>
          </w:p>
          <w:p w:rsidR="00E07285" w:rsidRDefault="00E07285" w:rsidP="00E07285">
            <w:pPr>
              <w:jc w:val="left"/>
              <w:rPr>
                <w:rFonts w:ascii="Times New Roman" w:hAnsi="Times New Roman"/>
                <w:sz w:val="20"/>
                <w:szCs w:val="20"/>
              </w:rPr>
            </w:pPr>
            <w:r>
              <w:rPr>
                <w:rFonts w:ascii="Times New Roman" w:hAnsi="Times New Roman"/>
                <w:sz w:val="20"/>
                <w:szCs w:val="20"/>
              </w:rPr>
              <w:t>号</w:t>
            </w:r>
          </w:p>
        </w:tc>
        <w:tc>
          <w:tcPr>
            <w:tcW w:w="1134"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章</w:t>
            </w:r>
            <w:r>
              <w:rPr>
                <w:rFonts w:ascii="Times New Roman" w:hAnsi="Times New Roman"/>
                <w:sz w:val="20"/>
                <w:szCs w:val="20"/>
              </w:rPr>
              <w:t xml:space="preserve">  </w:t>
            </w:r>
            <w:r>
              <w:rPr>
                <w:rFonts w:ascii="Times New Roman" w:hAnsi="Times New Roman"/>
                <w:sz w:val="20"/>
                <w:szCs w:val="20"/>
              </w:rPr>
              <w:t>节</w:t>
            </w:r>
          </w:p>
        </w:tc>
        <w:tc>
          <w:tcPr>
            <w:tcW w:w="709"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参考</w:t>
            </w:r>
          </w:p>
          <w:p w:rsidR="00E07285" w:rsidRDefault="00E07285" w:rsidP="00E07285">
            <w:pPr>
              <w:jc w:val="left"/>
              <w:rPr>
                <w:rFonts w:ascii="Times New Roman" w:hAnsi="Times New Roman"/>
                <w:sz w:val="20"/>
                <w:szCs w:val="20"/>
              </w:rPr>
            </w:pPr>
            <w:r>
              <w:rPr>
                <w:rFonts w:ascii="Times New Roman" w:hAnsi="Times New Roman"/>
                <w:sz w:val="20"/>
                <w:szCs w:val="20"/>
              </w:rPr>
              <w:t>学时</w:t>
            </w:r>
          </w:p>
        </w:tc>
        <w:tc>
          <w:tcPr>
            <w:tcW w:w="2693" w:type="dxa"/>
            <w:vAlign w:val="center"/>
          </w:tcPr>
          <w:p w:rsidR="00E07285" w:rsidRDefault="00E07285" w:rsidP="00E07285">
            <w:pPr>
              <w:ind w:firstLineChars="450" w:firstLine="900"/>
              <w:jc w:val="left"/>
              <w:rPr>
                <w:rFonts w:ascii="Times New Roman" w:hAnsi="Times New Roman"/>
                <w:sz w:val="20"/>
                <w:szCs w:val="20"/>
              </w:rPr>
            </w:pPr>
            <w:r>
              <w:rPr>
                <w:rFonts w:ascii="Times New Roman" w:hAnsi="Times New Roman"/>
                <w:sz w:val="20"/>
                <w:szCs w:val="20"/>
              </w:rPr>
              <w:t>教学内容</w:t>
            </w:r>
          </w:p>
        </w:tc>
        <w:tc>
          <w:tcPr>
            <w:tcW w:w="3261" w:type="dxa"/>
            <w:vAlign w:val="center"/>
          </w:tcPr>
          <w:p w:rsidR="00E07285" w:rsidRDefault="00E07285" w:rsidP="00E07285">
            <w:pPr>
              <w:jc w:val="center"/>
              <w:rPr>
                <w:rFonts w:ascii="Times New Roman" w:hAnsi="Times New Roman"/>
                <w:sz w:val="20"/>
                <w:szCs w:val="20"/>
              </w:rPr>
            </w:pPr>
            <w:r>
              <w:rPr>
                <w:rFonts w:ascii="Times New Roman" w:hAnsi="Times New Roman"/>
                <w:sz w:val="20"/>
                <w:szCs w:val="20"/>
              </w:rPr>
              <w:t>基本要求</w:t>
            </w:r>
          </w:p>
        </w:tc>
      </w:tr>
      <w:tr w:rsidR="00E07285" w:rsidTr="00E07285">
        <w:trPr>
          <w:trHeight w:val="274"/>
          <w:jc w:val="center"/>
        </w:trPr>
        <w:tc>
          <w:tcPr>
            <w:tcW w:w="675" w:type="dxa"/>
            <w:vAlign w:val="center"/>
          </w:tcPr>
          <w:p w:rsidR="00E07285" w:rsidRDefault="00E07285" w:rsidP="00E07285">
            <w:pPr>
              <w:spacing w:line="400" w:lineRule="exact"/>
              <w:outlineLvl w:val="0"/>
              <w:rPr>
                <w:rFonts w:ascii="Times New Roman" w:hAnsi="Times New Roman"/>
                <w:sz w:val="20"/>
                <w:szCs w:val="20"/>
              </w:rPr>
            </w:pPr>
            <w:r>
              <w:rPr>
                <w:rFonts w:ascii="Times New Roman" w:hAnsi="Times New Roman"/>
                <w:sz w:val="20"/>
                <w:szCs w:val="20"/>
              </w:rPr>
              <w:lastRenderedPageBreak/>
              <w:t>1</w:t>
            </w:r>
          </w:p>
        </w:tc>
        <w:tc>
          <w:tcPr>
            <w:tcW w:w="1134" w:type="dxa"/>
            <w:vAlign w:val="center"/>
          </w:tcPr>
          <w:p w:rsidR="00E07285" w:rsidRDefault="00E07285" w:rsidP="00E07285">
            <w:pPr>
              <w:spacing w:line="400" w:lineRule="exact"/>
              <w:outlineLvl w:val="0"/>
              <w:rPr>
                <w:rFonts w:ascii="Times New Roman" w:hAnsi="Times New Roman"/>
                <w:sz w:val="20"/>
                <w:szCs w:val="20"/>
              </w:rPr>
            </w:pPr>
            <w:r>
              <w:rPr>
                <w:rFonts w:ascii="Times New Roman" w:hAnsi="Times New Roman"/>
                <w:sz w:val="20"/>
                <w:szCs w:val="20"/>
              </w:rPr>
              <w:t>第</w:t>
            </w:r>
            <w:r>
              <w:rPr>
                <w:rFonts w:ascii="Times New Roman" w:hAnsi="Times New Roman"/>
                <w:sz w:val="20"/>
                <w:szCs w:val="20"/>
              </w:rPr>
              <w:t>14</w:t>
            </w:r>
            <w:r>
              <w:rPr>
                <w:rFonts w:ascii="Times New Roman" w:hAnsi="Times New Roman"/>
                <w:sz w:val="20"/>
                <w:szCs w:val="20"/>
              </w:rPr>
              <w:t>章</w:t>
            </w:r>
            <w:r>
              <w:rPr>
                <w:rFonts w:ascii="Times New Roman" w:hAnsi="Times New Roman"/>
                <w:sz w:val="20"/>
                <w:szCs w:val="20"/>
              </w:rPr>
              <w:t xml:space="preserve">   </w:t>
            </w:r>
            <w:r>
              <w:rPr>
                <w:rFonts w:ascii="Times New Roman" w:hAnsi="Times New Roman"/>
                <w:sz w:val="20"/>
                <w:szCs w:val="20"/>
              </w:rPr>
              <w:t>给水处理</w:t>
            </w:r>
          </w:p>
          <w:p w:rsidR="00E07285" w:rsidRDefault="00E07285" w:rsidP="00E07285">
            <w:pPr>
              <w:spacing w:line="400" w:lineRule="exact"/>
              <w:ind w:firstLineChars="150" w:firstLine="300"/>
              <w:outlineLvl w:val="0"/>
              <w:rPr>
                <w:rFonts w:ascii="Times New Roman" w:hAnsi="Times New Roman"/>
                <w:sz w:val="20"/>
                <w:szCs w:val="20"/>
              </w:rPr>
            </w:pPr>
            <w:r>
              <w:rPr>
                <w:rFonts w:ascii="Times New Roman" w:hAnsi="Times New Roman"/>
                <w:sz w:val="20"/>
                <w:szCs w:val="20"/>
              </w:rPr>
              <w:t>概论</w:t>
            </w:r>
          </w:p>
          <w:p w:rsidR="00E07285" w:rsidRDefault="00E07285" w:rsidP="00E07285">
            <w:pPr>
              <w:spacing w:line="400" w:lineRule="exact"/>
              <w:outlineLvl w:val="0"/>
              <w:rPr>
                <w:rFonts w:ascii="Times New Roman" w:hAnsi="Times New Roman"/>
                <w:sz w:val="20"/>
                <w:szCs w:val="20"/>
              </w:rPr>
            </w:pPr>
          </w:p>
        </w:tc>
        <w:tc>
          <w:tcPr>
            <w:tcW w:w="709" w:type="dxa"/>
            <w:vAlign w:val="center"/>
          </w:tcPr>
          <w:p w:rsidR="00E07285" w:rsidRDefault="00E07285" w:rsidP="00E07285">
            <w:pPr>
              <w:spacing w:line="400" w:lineRule="exact"/>
              <w:jc w:val="center"/>
              <w:outlineLvl w:val="0"/>
              <w:rPr>
                <w:rFonts w:ascii="Times New Roman" w:hAnsi="Times New Roman"/>
                <w:sz w:val="20"/>
                <w:szCs w:val="20"/>
              </w:rPr>
            </w:pPr>
            <w:r>
              <w:rPr>
                <w:rFonts w:ascii="Times New Roman" w:hAnsi="Times New Roman"/>
                <w:sz w:val="20"/>
                <w:szCs w:val="20"/>
              </w:rPr>
              <w:t>4</w:t>
            </w:r>
          </w:p>
        </w:tc>
        <w:tc>
          <w:tcPr>
            <w:tcW w:w="2693" w:type="dxa"/>
            <w:vAlign w:val="center"/>
          </w:tcPr>
          <w:p w:rsidR="00E07285" w:rsidRDefault="00E07285" w:rsidP="00E07285">
            <w:pPr>
              <w:spacing w:line="400" w:lineRule="exact"/>
              <w:outlineLvl w:val="0"/>
              <w:rPr>
                <w:rFonts w:ascii="Times New Roman" w:hAnsi="Times New Roman"/>
                <w:sz w:val="20"/>
                <w:szCs w:val="20"/>
              </w:rPr>
            </w:pPr>
            <w:r>
              <w:rPr>
                <w:rFonts w:ascii="Times New Roman" w:hAnsi="Times New Roman"/>
                <w:sz w:val="20"/>
                <w:szCs w:val="20"/>
              </w:rPr>
              <w:t xml:space="preserve">14.1  </w:t>
            </w:r>
            <w:r>
              <w:rPr>
                <w:rFonts w:ascii="Times New Roman" w:hAnsi="Times New Roman"/>
                <w:sz w:val="20"/>
                <w:szCs w:val="20"/>
              </w:rPr>
              <w:t>水源水质</w:t>
            </w:r>
          </w:p>
          <w:p w:rsidR="00E07285" w:rsidRDefault="00E07285" w:rsidP="00E07285">
            <w:pPr>
              <w:spacing w:line="400" w:lineRule="exact"/>
              <w:outlineLvl w:val="0"/>
              <w:rPr>
                <w:rFonts w:ascii="Times New Roman" w:hAnsi="Times New Roman"/>
                <w:sz w:val="20"/>
                <w:szCs w:val="20"/>
              </w:rPr>
            </w:pPr>
            <w:r>
              <w:rPr>
                <w:rFonts w:ascii="Times New Roman" w:hAnsi="Times New Roman"/>
                <w:sz w:val="20"/>
                <w:szCs w:val="20"/>
              </w:rPr>
              <w:t xml:space="preserve">14.2  </w:t>
            </w:r>
            <w:r>
              <w:rPr>
                <w:rFonts w:ascii="Times New Roman" w:hAnsi="Times New Roman"/>
                <w:sz w:val="20"/>
                <w:szCs w:val="20"/>
              </w:rPr>
              <w:t>水质标准</w:t>
            </w:r>
          </w:p>
          <w:p w:rsidR="00E07285" w:rsidRDefault="00E07285" w:rsidP="00E07285">
            <w:pPr>
              <w:spacing w:line="400" w:lineRule="exact"/>
              <w:outlineLvl w:val="0"/>
              <w:rPr>
                <w:rFonts w:ascii="Times New Roman" w:hAnsi="Times New Roman"/>
                <w:sz w:val="20"/>
                <w:szCs w:val="20"/>
              </w:rPr>
            </w:pPr>
            <w:r>
              <w:rPr>
                <w:rFonts w:ascii="Times New Roman" w:hAnsi="Times New Roman"/>
                <w:sz w:val="20"/>
                <w:szCs w:val="20"/>
              </w:rPr>
              <w:t xml:space="preserve">14.3  </w:t>
            </w:r>
            <w:r>
              <w:rPr>
                <w:rFonts w:ascii="Times New Roman" w:hAnsi="Times New Roman"/>
                <w:sz w:val="20"/>
                <w:szCs w:val="20"/>
              </w:rPr>
              <w:t>给水处理方法概述</w:t>
            </w:r>
          </w:p>
          <w:p w:rsidR="00E07285" w:rsidRDefault="00E07285" w:rsidP="00E07285">
            <w:pPr>
              <w:spacing w:line="400" w:lineRule="exact"/>
              <w:outlineLvl w:val="0"/>
              <w:rPr>
                <w:rFonts w:ascii="Times New Roman" w:hAnsi="Times New Roman"/>
                <w:sz w:val="20"/>
                <w:szCs w:val="20"/>
              </w:rPr>
            </w:pPr>
            <w:r>
              <w:rPr>
                <w:rFonts w:ascii="Times New Roman" w:hAnsi="Times New Roman"/>
                <w:sz w:val="20"/>
                <w:szCs w:val="20"/>
              </w:rPr>
              <w:t xml:space="preserve">14.4  </w:t>
            </w:r>
            <w:r>
              <w:rPr>
                <w:rFonts w:ascii="Times New Roman" w:hAnsi="Times New Roman"/>
                <w:sz w:val="20"/>
                <w:szCs w:val="20"/>
              </w:rPr>
              <w:t>反应器</w:t>
            </w:r>
          </w:p>
        </w:tc>
        <w:tc>
          <w:tcPr>
            <w:tcW w:w="3261" w:type="dxa"/>
            <w:vAlign w:val="center"/>
          </w:tcPr>
          <w:p w:rsidR="00E07285" w:rsidRDefault="00E07285" w:rsidP="00E07285">
            <w:pPr>
              <w:spacing w:line="400" w:lineRule="exact"/>
              <w:outlineLvl w:val="0"/>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、了解地表水和地下水水质特点。</w:t>
            </w:r>
          </w:p>
          <w:p w:rsidR="00E07285" w:rsidRDefault="00E07285" w:rsidP="00E07285">
            <w:pPr>
              <w:spacing w:line="400" w:lineRule="exact"/>
              <w:outlineLvl w:val="0"/>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、了解现行生活饮用水水质标准。</w:t>
            </w:r>
          </w:p>
          <w:p w:rsidR="00E07285" w:rsidRDefault="00E07285" w:rsidP="00E07285">
            <w:pPr>
              <w:spacing w:line="400" w:lineRule="exact"/>
              <w:outlineLvl w:val="0"/>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、了解各种给水处理方法。</w:t>
            </w:r>
          </w:p>
          <w:p w:rsidR="00E07285" w:rsidRDefault="00E07285" w:rsidP="00E07285">
            <w:pPr>
              <w:spacing w:line="400" w:lineRule="exact"/>
              <w:outlineLvl w:val="0"/>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、掌握三种理想反应器容积或停留时间的计算。掌握纵向分散模型对分析研究水处理设备的作用。</w:t>
            </w:r>
          </w:p>
        </w:tc>
      </w:tr>
      <w:tr w:rsidR="00E07285" w:rsidTr="00E07285">
        <w:trPr>
          <w:trHeight w:val="2203"/>
          <w:jc w:val="center"/>
        </w:trPr>
        <w:tc>
          <w:tcPr>
            <w:tcW w:w="675"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2</w:t>
            </w:r>
          </w:p>
        </w:tc>
        <w:tc>
          <w:tcPr>
            <w:tcW w:w="1134" w:type="dxa"/>
            <w:vAlign w:val="center"/>
          </w:tcPr>
          <w:p w:rsidR="00E07285" w:rsidRDefault="00E07285" w:rsidP="00E07285">
            <w:pPr>
              <w:jc w:val="center"/>
              <w:rPr>
                <w:rFonts w:ascii="Times New Roman" w:hAnsi="Times New Roman"/>
                <w:sz w:val="20"/>
                <w:szCs w:val="20"/>
              </w:rPr>
            </w:pPr>
            <w:r>
              <w:rPr>
                <w:rFonts w:ascii="Times New Roman" w:hAnsi="Times New Roman"/>
                <w:sz w:val="20"/>
                <w:szCs w:val="20"/>
              </w:rPr>
              <w:t>第</w:t>
            </w:r>
            <w:r>
              <w:rPr>
                <w:rFonts w:ascii="Times New Roman" w:hAnsi="Times New Roman"/>
                <w:sz w:val="20"/>
                <w:szCs w:val="20"/>
              </w:rPr>
              <w:t>15</w:t>
            </w:r>
            <w:r>
              <w:rPr>
                <w:rFonts w:ascii="Times New Roman" w:hAnsi="Times New Roman"/>
                <w:sz w:val="20"/>
                <w:szCs w:val="20"/>
              </w:rPr>
              <w:t>章</w:t>
            </w:r>
            <w:r>
              <w:rPr>
                <w:rFonts w:ascii="Times New Roman" w:hAnsi="Times New Roman"/>
                <w:sz w:val="20"/>
                <w:szCs w:val="20"/>
              </w:rPr>
              <w:t xml:space="preserve">   </w:t>
            </w:r>
            <w:r>
              <w:rPr>
                <w:rFonts w:ascii="Times New Roman" w:hAnsi="Times New Roman"/>
                <w:sz w:val="20"/>
                <w:szCs w:val="20"/>
              </w:rPr>
              <w:t>混凝</w:t>
            </w:r>
          </w:p>
          <w:p w:rsidR="00E07285" w:rsidRDefault="00E07285" w:rsidP="00E07285">
            <w:pPr>
              <w:jc w:val="left"/>
              <w:rPr>
                <w:rFonts w:ascii="Times New Roman" w:hAnsi="Times New Roman"/>
                <w:sz w:val="20"/>
                <w:szCs w:val="20"/>
              </w:rPr>
            </w:pPr>
          </w:p>
        </w:tc>
        <w:tc>
          <w:tcPr>
            <w:tcW w:w="709" w:type="dxa"/>
            <w:vAlign w:val="center"/>
          </w:tcPr>
          <w:p w:rsidR="00E07285" w:rsidRDefault="00E07285" w:rsidP="00E07285">
            <w:pPr>
              <w:jc w:val="center"/>
              <w:rPr>
                <w:rFonts w:ascii="Times New Roman" w:hAnsi="Times New Roman"/>
                <w:sz w:val="20"/>
                <w:szCs w:val="20"/>
              </w:rPr>
            </w:pPr>
            <w:r>
              <w:rPr>
                <w:rFonts w:ascii="Times New Roman" w:hAnsi="Times New Roman"/>
                <w:sz w:val="20"/>
                <w:szCs w:val="20"/>
              </w:rPr>
              <w:t>10</w:t>
            </w:r>
          </w:p>
        </w:tc>
        <w:tc>
          <w:tcPr>
            <w:tcW w:w="2693"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 xml:space="preserve">15.1 </w:t>
            </w:r>
            <w:r>
              <w:rPr>
                <w:rFonts w:ascii="Times New Roman" w:hAnsi="Times New Roman"/>
                <w:sz w:val="20"/>
                <w:szCs w:val="20"/>
              </w:rPr>
              <w:t>混凝机理</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15.2 </w:t>
            </w:r>
            <w:r>
              <w:rPr>
                <w:rFonts w:ascii="Times New Roman" w:hAnsi="Times New Roman"/>
                <w:sz w:val="20"/>
                <w:szCs w:val="20"/>
              </w:rPr>
              <w:t>混凝剂、助凝剂</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15.3 </w:t>
            </w:r>
            <w:r>
              <w:rPr>
                <w:rFonts w:ascii="Times New Roman" w:hAnsi="Times New Roman"/>
                <w:sz w:val="20"/>
                <w:szCs w:val="20"/>
              </w:rPr>
              <w:t>混凝动力学</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15.4 </w:t>
            </w:r>
            <w:r>
              <w:rPr>
                <w:rFonts w:ascii="Times New Roman" w:hAnsi="Times New Roman"/>
                <w:sz w:val="20"/>
                <w:szCs w:val="20"/>
              </w:rPr>
              <w:t>影响混凝效果的主要因素</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15.5 </w:t>
            </w:r>
            <w:r>
              <w:rPr>
                <w:rFonts w:ascii="Times New Roman" w:hAnsi="Times New Roman"/>
                <w:sz w:val="20"/>
                <w:szCs w:val="20"/>
              </w:rPr>
              <w:t>混凝剂的投加</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15.6 </w:t>
            </w:r>
            <w:r>
              <w:rPr>
                <w:rFonts w:ascii="Times New Roman" w:hAnsi="Times New Roman"/>
                <w:sz w:val="20"/>
                <w:szCs w:val="20"/>
              </w:rPr>
              <w:t>混合絮凝设备</w:t>
            </w:r>
          </w:p>
        </w:tc>
        <w:tc>
          <w:tcPr>
            <w:tcW w:w="3261"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、掌握胶体的稳定性，四种混凝机理。</w:t>
            </w:r>
          </w:p>
          <w:p w:rsidR="00E07285" w:rsidRDefault="00E07285" w:rsidP="00E07285">
            <w:pPr>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、熟悉我国混凝剂有哪几种，各有何优缺点。</w:t>
            </w:r>
          </w:p>
          <w:p w:rsidR="00E07285" w:rsidRDefault="00E07285" w:rsidP="00E07285">
            <w:pPr>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、异向絮凝和同向絮凝其碰撞速率与哪些因素有关，理解</w:t>
            </w:r>
            <w:r>
              <w:rPr>
                <w:rFonts w:ascii="Times New Roman" w:hAnsi="Times New Roman"/>
                <w:sz w:val="20"/>
                <w:szCs w:val="20"/>
              </w:rPr>
              <w:t>G</w:t>
            </w:r>
            <w:r>
              <w:rPr>
                <w:rFonts w:ascii="Times New Roman" w:hAnsi="Times New Roman"/>
                <w:sz w:val="20"/>
                <w:szCs w:val="20"/>
              </w:rPr>
              <w:t>值的真正涵义。</w:t>
            </w:r>
          </w:p>
          <w:p w:rsidR="00E07285" w:rsidRDefault="00E07285" w:rsidP="00E07285">
            <w:pPr>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、掌握影响混凝效果的主要因素，说明其原因</w:t>
            </w:r>
          </w:p>
          <w:p w:rsidR="00E07285" w:rsidRDefault="00E07285" w:rsidP="00E07285">
            <w:pPr>
              <w:jc w:val="left"/>
              <w:rPr>
                <w:rFonts w:ascii="Times New Roman" w:hAnsi="Times New Roman"/>
                <w:sz w:val="20"/>
                <w:szCs w:val="20"/>
              </w:rPr>
            </w:pPr>
            <w:r>
              <w:rPr>
                <w:rFonts w:ascii="Times New Roman" w:hAnsi="Times New Roman"/>
                <w:sz w:val="20"/>
                <w:szCs w:val="20"/>
              </w:rPr>
              <w:t>5</w:t>
            </w:r>
            <w:r>
              <w:rPr>
                <w:rFonts w:ascii="Times New Roman" w:hAnsi="Times New Roman"/>
                <w:sz w:val="20"/>
                <w:szCs w:val="20"/>
              </w:rPr>
              <w:t>、混凝剂的投加方式及在工程中的应用。</w:t>
            </w:r>
          </w:p>
          <w:p w:rsidR="00E07285" w:rsidRDefault="00E07285" w:rsidP="00E07285">
            <w:pPr>
              <w:jc w:val="left"/>
              <w:rPr>
                <w:rFonts w:ascii="Times New Roman" w:hAnsi="Times New Roman"/>
                <w:sz w:val="20"/>
                <w:szCs w:val="20"/>
              </w:rPr>
            </w:pPr>
            <w:r>
              <w:rPr>
                <w:rFonts w:ascii="Times New Roman" w:hAnsi="Times New Roman"/>
                <w:sz w:val="20"/>
                <w:szCs w:val="20"/>
              </w:rPr>
              <w:t>6</w:t>
            </w:r>
            <w:r>
              <w:rPr>
                <w:rFonts w:ascii="Times New Roman" w:hAnsi="Times New Roman"/>
                <w:sz w:val="20"/>
                <w:szCs w:val="20"/>
              </w:rPr>
              <w:t>、掌握混合絮凝设备的设计计算及在工程中的应用。</w:t>
            </w:r>
          </w:p>
        </w:tc>
      </w:tr>
      <w:tr w:rsidR="00E07285" w:rsidTr="00E07285">
        <w:trPr>
          <w:trHeight w:val="1407"/>
          <w:jc w:val="center"/>
        </w:trPr>
        <w:tc>
          <w:tcPr>
            <w:tcW w:w="675" w:type="dxa"/>
            <w:vAlign w:val="center"/>
          </w:tcPr>
          <w:p w:rsidR="00E07285" w:rsidRDefault="00E07285" w:rsidP="00E07285">
            <w:pPr>
              <w:jc w:val="center"/>
              <w:rPr>
                <w:rFonts w:ascii="Times New Roman" w:hAnsi="Times New Roman"/>
                <w:sz w:val="20"/>
                <w:szCs w:val="20"/>
              </w:rPr>
            </w:pPr>
            <w:r>
              <w:rPr>
                <w:rFonts w:ascii="Times New Roman" w:hAnsi="Times New Roman"/>
                <w:sz w:val="20"/>
                <w:szCs w:val="20"/>
              </w:rPr>
              <w:t>3</w:t>
            </w:r>
          </w:p>
        </w:tc>
        <w:tc>
          <w:tcPr>
            <w:tcW w:w="1134" w:type="dxa"/>
            <w:vAlign w:val="center"/>
          </w:tcPr>
          <w:p w:rsidR="00E07285" w:rsidRDefault="00E07285" w:rsidP="00E07285">
            <w:pPr>
              <w:jc w:val="center"/>
              <w:rPr>
                <w:rFonts w:ascii="Times New Roman" w:hAnsi="Times New Roman"/>
                <w:sz w:val="20"/>
                <w:szCs w:val="20"/>
              </w:rPr>
            </w:pPr>
            <w:r>
              <w:rPr>
                <w:rFonts w:ascii="Times New Roman" w:hAnsi="Times New Roman"/>
                <w:sz w:val="20"/>
                <w:szCs w:val="20"/>
              </w:rPr>
              <w:t>第</w:t>
            </w:r>
            <w:r>
              <w:rPr>
                <w:rFonts w:ascii="Times New Roman" w:hAnsi="Times New Roman"/>
                <w:sz w:val="20"/>
                <w:szCs w:val="20"/>
              </w:rPr>
              <w:t>16</w:t>
            </w:r>
            <w:r>
              <w:rPr>
                <w:rFonts w:ascii="Times New Roman" w:hAnsi="Times New Roman"/>
                <w:sz w:val="20"/>
                <w:szCs w:val="20"/>
              </w:rPr>
              <w:t>章</w:t>
            </w:r>
            <w:r>
              <w:rPr>
                <w:rFonts w:ascii="Times New Roman" w:hAnsi="Times New Roman"/>
                <w:sz w:val="20"/>
                <w:szCs w:val="20"/>
              </w:rPr>
              <w:t xml:space="preserve">   </w:t>
            </w:r>
            <w:r>
              <w:rPr>
                <w:rFonts w:ascii="Times New Roman" w:hAnsi="Times New Roman"/>
                <w:sz w:val="20"/>
                <w:szCs w:val="20"/>
              </w:rPr>
              <w:t>沉淀和澄清</w:t>
            </w:r>
          </w:p>
          <w:p w:rsidR="00E07285" w:rsidRDefault="00E07285" w:rsidP="00E07285">
            <w:pPr>
              <w:jc w:val="left"/>
              <w:rPr>
                <w:rFonts w:ascii="Times New Roman" w:hAnsi="Times New Roman"/>
                <w:sz w:val="20"/>
                <w:szCs w:val="20"/>
              </w:rPr>
            </w:pPr>
          </w:p>
        </w:tc>
        <w:tc>
          <w:tcPr>
            <w:tcW w:w="709" w:type="dxa"/>
            <w:vAlign w:val="center"/>
          </w:tcPr>
          <w:p w:rsidR="00E07285" w:rsidRDefault="00E07285" w:rsidP="00E07285">
            <w:pPr>
              <w:jc w:val="center"/>
              <w:rPr>
                <w:rFonts w:ascii="Times New Roman" w:hAnsi="Times New Roman"/>
                <w:sz w:val="20"/>
                <w:szCs w:val="20"/>
              </w:rPr>
            </w:pPr>
            <w:r>
              <w:rPr>
                <w:rFonts w:ascii="Times New Roman" w:hAnsi="Times New Roman"/>
                <w:sz w:val="20"/>
                <w:szCs w:val="20"/>
              </w:rPr>
              <w:t>10</w:t>
            </w:r>
          </w:p>
        </w:tc>
        <w:tc>
          <w:tcPr>
            <w:tcW w:w="2693"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 xml:space="preserve">16.1 </w:t>
            </w:r>
            <w:r>
              <w:rPr>
                <w:rFonts w:ascii="Times New Roman" w:hAnsi="Times New Roman"/>
                <w:sz w:val="20"/>
                <w:szCs w:val="20"/>
              </w:rPr>
              <w:t>悬浮颗粒在静水中的沉淀</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16.2 </w:t>
            </w:r>
            <w:r>
              <w:rPr>
                <w:rFonts w:ascii="Times New Roman" w:hAnsi="Times New Roman"/>
                <w:sz w:val="20"/>
                <w:szCs w:val="20"/>
              </w:rPr>
              <w:t>平流式沉淀池</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16.3 </w:t>
            </w:r>
            <w:r>
              <w:rPr>
                <w:rFonts w:ascii="Times New Roman" w:hAnsi="Times New Roman"/>
                <w:sz w:val="20"/>
                <w:szCs w:val="20"/>
              </w:rPr>
              <w:t>斜板斜管沉淀池</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16.4 </w:t>
            </w:r>
            <w:r>
              <w:rPr>
                <w:rFonts w:ascii="Times New Roman" w:hAnsi="Times New Roman"/>
                <w:sz w:val="20"/>
                <w:szCs w:val="20"/>
              </w:rPr>
              <w:t>澄清池</w:t>
            </w:r>
          </w:p>
        </w:tc>
        <w:tc>
          <w:tcPr>
            <w:tcW w:w="3261"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、掌握悬浮颗粒在静水中的自由沉淀和拥挤沉淀。</w:t>
            </w:r>
          </w:p>
          <w:p w:rsidR="00E07285" w:rsidRDefault="00E07285" w:rsidP="00E07285">
            <w:pPr>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、掌握平流式沉淀池的的构造、设计原则、设计方法、设计内容及在工程中的应用。</w:t>
            </w:r>
          </w:p>
          <w:p w:rsidR="00E07285" w:rsidRDefault="00E07285" w:rsidP="00E07285">
            <w:pPr>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、掌握斜板斜管沉淀池的构造、设计原则、设计方法、设计内容及在工程中的应用。</w:t>
            </w:r>
          </w:p>
          <w:p w:rsidR="00E07285" w:rsidRDefault="00E07285" w:rsidP="00E07285">
            <w:pPr>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、掌握泥渣悬浮型澄清池和泥渣循环型澄清池的构造、设计原则、设计方法、设计内容及在工程中的应用。</w:t>
            </w:r>
          </w:p>
        </w:tc>
      </w:tr>
      <w:tr w:rsidR="00E07285" w:rsidTr="00E07285">
        <w:trPr>
          <w:trHeight w:val="1380"/>
          <w:jc w:val="center"/>
        </w:trPr>
        <w:tc>
          <w:tcPr>
            <w:tcW w:w="675"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4</w:t>
            </w:r>
          </w:p>
        </w:tc>
        <w:tc>
          <w:tcPr>
            <w:tcW w:w="1134" w:type="dxa"/>
            <w:vAlign w:val="center"/>
          </w:tcPr>
          <w:p w:rsidR="00E07285" w:rsidRDefault="00E07285" w:rsidP="00E07285">
            <w:pPr>
              <w:jc w:val="center"/>
              <w:rPr>
                <w:rFonts w:ascii="Times New Roman" w:hAnsi="Times New Roman"/>
                <w:sz w:val="20"/>
                <w:szCs w:val="20"/>
              </w:rPr>
            </w:pPr>
            <w:r>
              <w:rPr>
                <w:rFonts w:ascii="Times New Roman" w:hAnsi="Times New Roman"/>
                <w:sz w:val="20"/>
                <w:szCs w:val="20"/>
              </w:rPr>
              <w:t>第</w:t>
            </w:r>
            <w:r>
              <w:rPr>
                <w:rFonts w:ascii="Times New Roman" w:hAnsi="Times New Roman"/>
                <w:sz w:val="20"/>
                <w:szCs w:val="20"/>
              </w:rPr>
              <w:t>17</w:t>
            </w:r>
            <w:r>
              <w:rPr>
                <w:rFonts w:ascii="Times New Roman" w:hAnsi="Times New Roman"/>
                <w:sz w:val="20"/>
                <w:szCs w:val="20"/>
              </w:rPr>
              <w:t>章</w:t>
            </w:r>
            <w:r>
              <w:rPr>
                <w:rFonts w:ascii="Times New Roman" w:hAnsi="Times New Roman"/>
                <w:sz w:val="20"/>
                <w:szCs w:val="20"/>
              </w:rPr>
              <w:t xml:space="preserve">   </w:t>
            </w:r>
            <w:r>
              <w:rPr>
                <w:rFonts w:ascii="Times New Roman" w:hAnsi="Times New Roman"/>
                <w:sz w:val="20"/>
                <w:szCs w:val="20"/>
              </w:rPr>
              <w:t>过滤</w:t>
            </w:r>
          </w:p>
        </w:tc>
        <w:tc>
          <w:tcPr>
            <w:tcW w:w="709"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16</w:t>
            </w:r>
          </w:p>
        </w:tc>
        <w:tc>
          <w:tcPr>
            <w:tcW w:w="2693"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 xml:space="preserve">17.1  </w:t>
            </w:r>
            <w:r>
              <w:rPr>
                <w:rFonts w:ascii="Times New Roman" w:hAnsi="Times New Roman"/>
                <w:sz w:val="20"/>
                <w:szCs w:val="20"/>
              </w:rPr>
              <w:t>过滤概述</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17.2  </w:t>
            </w:r>
            <w:r>
              <w:rPr>
                <w:rFonts w:ascii="Times New Roman" w:hAnsi="Times New Roman"/>
                <w:sz w:val="20"/>
                <w:szCs w:val="20"/>
              </w:rPr>
              <w:t>过滤理论</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17.3  </w:t>
            </w:r>
            <w:r>
              <w:rPr>
                <w:rFonts w:ascii="Times New Roman" w:hAnsi="Times New Roman"/>
                <w:sz w:val="20"/>
                <w:szCs w:val="20"/>
              </w:rPr>
              <w:t>滤料和承托层</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17.4  </w:t>
            </w:r>
            <w:r>
              <w:rPr>
                <w:rFonts w:ascii="Times New Roman" w:hAnsi="Times New Roman"/>
                <w:sz w:val="20"/>
                <w:szCs w:val="20"/>
              </w:rPr>
              <w:t>滤池冲洗</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17.5  </w:t>
            </w:r>
            <w:r>
              <w:rPr>
                <w:rFonts w:ascii="Times New Roman" w:hAnsi="Times New Roman"/>
                <w:sz w:val="20"/>
                <w:szCs w:val="20"/>
              </w:rPr>
              <w:t>普通快滤池</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17.6  </w:t>
            </w:r>
            <w:r>
              <w:rPr>
                <w:rFonts w:ascii="Times New Roman" w:hAnsi="Times New Roman"/>
                <w:sz w:val="20"/>
                <w:szCs w:val="20"/>
              </w:rPr>
              <w:t>无阀滤池</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17.7  </w:t>
            </w:r>
            <w:r>
              <w:rPr>
                <w:rFonts w:ascii="Times New Roman" w:hAnsi="Times New Roman"/>
                <w:sz w:val="20"/>
                <w:szCs w:val="20"/>
              </w:rPr>
              <w:t>其他形式滤池</w:t>
            </w:r>
          </w:p>
          <w:p w:rsidR="00E07285" w:rsidRDefault="00E07285" w:rsidP="00E07285">
            <w:pPr>
              <w:jc w:val="left"/>
              <w:rPr>
                <w:rFonts w:ascii="Times New Roman" w:hAnsi="Times New Roman"/>
                <w:sz w:val="20"/>
                <w:szCs w:val="20"/>
              </w:rPr>
            </w:pPr>
          </w:p>
          <w:p w:rsidR="00E07285" w:rsidRDefault="00E07285" w:rsidP="00E07285">
            <w:pPr>
              <w:jc w:val="left"/>
              <w:rPr>
                <w:rFonts w:ascii="Times New Roman" w:hAnsi="Times New Roman"/>
                <w:sz w:val="20"/>
                <w:szCs w:val="20"/>
              </w:rPr>
            </w:pPr>
          </w:p>
        </w:tc>
        <w:tc>
          <w:tcPr>
            <w:tcW w:w="3261"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、掌握过滤机理、过滤水力学。</w:t>
            </w:r>
          </w:p>
          <w:p w:rsidR="00E07285" w:rsidRDefault="00E07285" w:rsidP="00E07285">
            <w:pPr>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、掌握滤料粒径级配、滤料筛选方法。</w:t>
            </w:r>
          </w:p>
          <w:p w:rsidR="00E07285" w:rsidRDefault="00E07285" w:rsidP="00E07285">
            <w:pPr>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、掌握等速过滤和变速过滤的优缺点。</w:t>
            </w:r>
          </w:p>
          <w:p w:rsidR="00E07285" w:rsidRDefault="00E07285" w:rsidP="00E07285">
            <w:pPr>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、掌握滤池气水反冲洗的冲洗强度、滤层膨胀度；大、小阻力配水系统的计算。</w:t>
            </w:r>
          </w:p>
          <w:p w:rsidR="00E07285" w:rsidRDefault="00E07285" w:rsidP="00E07285">
            <w:pPr>
              <w:jc w:val="left"/>
              <w:rPr>
                <w:rFonts w:ascii="Times New Roman" w:hAnsi="Times New Roman"/>
                <w:sz w:val="20"/>
                <w:szCs w:val="20"/>
              </w:rPr>
            </w:pPr>
            <w:r>
              <w:rPr>
                <w:rFonts w:ascii="Times New Roman" w:hAnsi="Times New Roman"/>
                <w:sz w:val="20"/>
                <w:szCs w:val="20"/>
              </w:rPr>
              <w:t>5</w:t>
            </w:r>
            <w:r>
              <w:rPr>
                <w:rFonts w:ascii="Times New Roman" w:hAnsi="Times New Roman"/>
                <w:sz w:val="20"/>
                <w:szCs w:val="20"/>
              </w:rPr>
              <w:t>、掌握普通快滤池、无阀滤池、虹吸滤池、</w:t>
            </w:r>
            <w:r>
              <w:rPr>
                <w:rFonts w:ascii="Times New Roman" w:hAnsi="Times New Roman"/>
                <w:sz w:val="20"/>
                <w:szCs w:val="20"/>
              </w:rPr>
              <w:t>V</w:t>
            </w:r>
            <w:r>
              <w:rPr>
                <w:rFonts w:ascii="Times New Roman" w:hAnsi="Times New Roman"/>
                <w:sz w:val="20"/>
                <w:szCs w:val="20"/>
              </w:rPr>
              <w:t>型滤池的构造、设计原则、设计方法、设计内容及在工</w:t>
            </w:r>
            <w:r>
              <w:rPr>
                <w:rFonts w:ascii="Times New Roman" w:hAnsi="Times New Roman"/>
                <w:sz w:val="20"/>
                <w:szCs w:val="20"/>
              </w:rPr>
              <w:lastRenderedPageBreak/>
              <w:t>程中的应用。</w:t>
            </w:r>
          </w:p>
          <w:p w:rsidR="00E07285" w:rsidRDefault="00E07285" w:rsidP="00E07285">
            <w:pPr>
              <w:jc w:val="left"/>
              <w:rPr>
                <w:rFonts w:ascii="Times New Roman" w:hAnsi="Times New Roman"/>
                <w:sz w:val="20"/>
                <w:szCs w:val="20"/>
              </w:rPr>
            </w:pPr>
            <w:r>
              <w:rPr>
                <w:rFonts w:ascii="Times New Roman" w:hAnsi="Times New Roman"/>
                <w:sz w:val="20"/>
                <w:szCs w:val="20"/>
              </w:rPr>
              <w:t>6</w:t>
            </w:r>
            <w:r>
              <w:rPr>
                <w:rFonts w:ascii="Times New Roman" w:hAnsi="Times New Roman"/>
                <w:sz w:val="20"/>
                <w:szCs w:val="20"/>
              </w:rPr>
              <w:t>、了解移动罩滤池、压力滤池。</w:t>
            </w:r>
          </w:p>
        </w:tc>
      </w:tr>
      <w:tr w:rsidR="00E07285" w:rsidTr="00E07285">
        <w:trPr>
          <w:trHeight w:val="1159"/>
          <w:jc w:val="center"/>
        </w:trPr>
        <w:tc>
          <w:tcPr>
            <w:tcW w:w="675"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lastRenderedPageBreak/>
              <w:t>5</w:t>
            </w:r>
          </w:p>
        </w:tc>
        <w:tc>
          <w:tcPr>
            <w:tcW w:w="1134"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第</w:t>
            </w:r>
            <w:r>
              <w:rPr>
                <w:rFonts w:ascii="Times New Roman" w:hAnsi="Times New Roman"/>
                <w:sz w:val="20"/>
                <w:szCs w:val="20"/>
              </w:rPr>
              <w:t>18</w:t>
            </w:r>
            <w:r>
              <w:rPr>
                <w:rFonts w:ascii="Times New Roman" w:hAnsi="Times New Roman"/>
                <w:sz w:val="20"/>
                <w:szCs w:val="20"/>
              </w:rPr>
              <w:t>章</w:t>
            </w:r>
            <w:r>
              <w:rPr>
                <w:rFonts w:ascii="Times New Roman" w:hAnsi="Times New Roman"/>
                <w:sz w:val="20"/>
                <w:szCs w:val="20"/>
              </w:rPr>
              <w:t xml:space="preserve">   </w:t>
            </w:r>
            <w:r>
              <w:rPr>
                <w:rFonts w:ascii="Times New Roman" w:hAnsi="Times New Roman"/>
                <w:sz w:val="20"/>
                <w:szCs w:val="20"/>
              </w:rPr>
              <w:t>消毒</w:t>
            </w:r>
          </w:p>
          <w:p w:rsidR="00E07285" w:rsidRDefault="00E07285" w:rsidP="00E07285">
            <w:pPr>
              <w:jc w:val="left"/>
              <w:rPr>
                <w:rFonts w:ascii="Times New Roman" w:hAnsi="Times New Roman"/>
                <w:sz w:val="20"/>
                <w:szCs w:val="20"/>
              </w:rPr>
            </w:pPr>
          </w:p>
        </w:tc>
        <w:tc>
          <w:tcPr>
            <w:tcW w:w="709"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4</w:t>
            </w:r>
          </w:p>
        </w:tc>
        <w:tc>
          <w:tcPr>
            <w:tcW w:w="2693"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 xml:space="preserve">18.1  </w:t>
            </w:r>
            <w:r>
              <w:rPr>
                <w:rFonts w:ascii="Times New Roman" w:hAnsi="Times New Roman"/>
                <w:sz w:val="20"/>
                <w:szCs w:val="20"/>
              </w:rPr>
              <w:t>氯消毒</w:t>
            </w:r>
          </w:p>
          <w:p w:rsidR="00E07285" w:rsidRDefault="00E07285" w:rsidP="00E07285">
            <w:pPr>
              <w:jc w:val="left"/>
              <w:rPr>
                <w:rFonts w:ascii="Times New Roman" w:hAnsi="Times New Roman"/>
                <w:sz w:val="20"/>
                <w:szCs w:val="20"/>
              </w:rPr>
            </w:pPr>
            <w:r>
              <w:rPr>
                <w:rFonts w:ascii="Times New Roman" w:hAnsi="Times New Roman"/>
                <w:sz w:val="20"/>
                <w:szCs w:val="20"/>
              </w:rPr>
              <w:t xml:space="preserve">18.2  </w:t>
            </w:r>
            <w:r>
              <w:rPr>
                <w:rFonts w:ascii="Times New Roman" w:hAnsi="Times New Roman"/>
                <w:sz w:val="20"/>
                <w:szCs w:val="20"/>
              </w:rPr>
              <w:t>其它消毒法</w:t>
            </w:r>
          </w:p>
        </w:tc>
        <w:tc>
          <w:tcPr>
            <w:tcW w:w="3261"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、掌握自由性氯、化合性氯、折点加氯。</w:t>
            </w:r>
          </w:p>
          <w:p w:rsidR="00E07285" w:rsidRDefault="00E07285" w:rsidP="00E07285">
            <w:pPr>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、掌握氯、二氧化氯消毒、臭氧消毒的特点及其应用。</w:t>
            </w:r>
          </w:p>
        </w:tc>
      </w:tr>
      <w:tr w:rsidR="00E07285" w:rsidTr="00E07285">
        <w:trPr>
          <w:trHeight w:val="990"/>
          <w:jc w:val="center"/>
        </w:trPr>
        <w:tc>
          <w:tcPr>
            <w:tcW w:w="675"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6</w:t>
            </w:r>
          </w:p>
        </w:tc>
        <w:tc>
          <w:tcPr>
            <w:tcW w:w="1134"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第</w:t>
            </w:r>
            <w:r>
              <w:rPr>
                <w:rFonts w:ascii="Times New Roman" w:hAnsi="Times New Roman"/>
                <w:sz w:val="20"/>
                <w:szCs w:val="20"/>
              </w:rPr>
              <w:t>20</w:t>
            </w:r>
            <w:r>
              <w:rPr>
                <w:rFonts w:ascii="Times New Roman" w:hAnsi="Times New Roman"/>
                <w:sz w:val="20"/>
                <w:szCs w:val="20"/>
              </w:rPr>
              <w:t>章</w:t>
            </w:r>
            <w:r>
              <w:rPr>
                <w:rFonts w:ascii="Times New Roman" w:hAnsi="Times New Roman"/>
                <w:sz w:val="20"/>
                <w:szCs w:val="20"/>
              </w:rPr>
              <w:t xml:space="preserve">   </w:t>
            </w:r>
            <w:r>
              <w:rPr>
                <w:rFonts w:ascii="Times New Roman" w:hAnsi="Times New Roman"/>
                <w:sz w:val="20"/>
                <w:szCs w:val="20"/>
              </w:rPr>
              <w:t>水厂设计</w:t>
            </w:r>
          </w:p>
        </w:tc>
        <w:tc>
          <w:tcPr>
            <w:tcW w:w="709"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4</w:t>
            </w:r>
          </w:p>
        </w:tc>
        <w:tc>
          <w:tcPr>
            <w:tcW w:w="2693"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20.1</w:t>
            </w:r>
            <w:r>
              <w:rPr>
                <w:rFonts w:ascii="Times New Roman" w:hAnsi="Times New Roman"/>
                <w:sz w:val="20"/>
                <w:szCs w:val="20"/>
              </w:rPr>
              <w:t>设计原则</w:t>
            </w:r>
          </w:p>
          <w:p w:rsidR="00E07285" w:rsidRDefault="00E07285" w:rsidP="00E07285">
            <w:pPr>
              <w:jc w:val="left"/>
              <w:rPr>
                <w:rFonts w:ascii="Times New Roman" w:hAnsi="Times New Roman"/>
                <w:sz w:val="20"/>
                <w:szCs w:val="20"/>
              </w:rPr>
            </w:pPr>
            <w:r>
              <w:rPr>
                <w:rFonts w:ascii="Times New Roman" w:hAnsi="Times New Roman"/>
                <w:sz w:val="20"/>
                <w:szCs w:val="20"/>
              </w:rPr>
              <w:t>20.2</w:t>
            </w:r>
            <w:r>
              <w:rPr>
                <w:rFonts w:ascii="Times New Roman" w:hAnsi="Times New Roman"/>
                <w:sz w:val="20"/>
                <w:szCs w:val="20"/>
              </w:rPr>
              <w:t>厂址选择</w:t>
            </w:r>
          </w:p>
          <w:p w:rsidR="00E07285" w:rsidRDefault="00E07285" w:rsidP="00E07285">
            <w:pPr>
              <w:jc w:val="left"/>
              <w:rPr>
                <w:rFonts w:ascii="Times New Roman" w:hAnsi="Times New Roman"/>
                <w:sz w:val="20"/>
                <w:szCs w:val="20"/>
              </w:rPr>
            </w:pPr>
            <w:r>
              <w:rPr>
                <w:rFonts w:ascii="Times New Roman" w:hAnsi="Times New Roman"/>
                <w:sz w:val="20"/>
                <w:szCs w:val="20"/>
              </w:rPr>
              <w:t>20.3</w:t>
            </w:r>
            <w:r>
              <w:rPr>
                <w:rFonts w:ascii="Times New Roman" w:hAnsi="Times New Roman"/>
                <w:sz w:val="20"/>
                <w:szCs w:val="20"/>
              </w:rPr>
              <w:t>水厂工艺流程和处理构筑物选择</w:t>
            </w:r>
          </w:p>
          <w:p w:rsidR="00E07285" w:rsidRDefault="00E07285" w:rsidP="00E07285">
            <w:pPr>
              <w:jc w:val="left"/>
              <w:rPr>
                <w:rFonts w:ascii="Times New Roman" w:hAnsi="Times New Roman"/>
                <w:sz w:val="20"/>
                <w:szCs w:val="20"/>
              </w:rPr>
            </w:pPr>
            <w:r>
              <w:rPr>
                <w:rFonts w:ascii="Times New Roman" w:hAnsi="Times New Roman"/>
                <w:sz w:val="20"/>
                <w:szCs w:val="20"/>
              </w:rPr>
              <w:t>20.4</w:t>
            </w:r>
            <w:r>
              <w:rPr>
                <w:rFonts w:ascii="Times New Roman" w:hAnsi="Times New Roman"/>
                <w:sz w:val="20"/>
                <w:szCs w:val="20"/>
              </w:rPr>
              <w:t>水厂平面和高程布置</w:t>
            </w:r>
          </w:p>
          <w:p w:rsidR="00E07285" w:rsidRDefault="00E07285" w:rsidP="00E07285">
            <w:pPr>
              <w:jc w:val="left"/>
              <w:rPr>
                <w:rFonts w:ascii="Times New Roman" w:hAnsi="Times New Roman"/>
                <w:sz w:val="20"/>
                <w:szCs w:val="20"/>
              </w:rPr>
            </w:pPr>
            <w:r>
              <w:rPr>
                <w:rFonts w:ascii="Times New Roman" w:hAnsi="Times New Roman"/>
                <w:sz w:val="20"/>
                <w:szCs w:val="20"/>
              </w:rPr>
              <w:t>20.5</w:t>
            </w:r>
            <w:r>
              <w:rPr>
                <w:rFonts w:ascii="Times New Roman" w:hAnsi="Times New Roman"/>
                <w:sz w:val="20"/>
                <w:szCs w:val="20"/>
              </w:rPr>
              <w:t>水厂生产过程检测和自动控制</w:t>
            </w:r>
          </w:p>
        </w:tc>
        <w:tc>
          <w:tcPr>
            <w:tcW w:w="3261" w:type="dxa"/>
            <w:vAlign w:val="center"/>
          </w:tcPr>
          <w:p w:rsidR="00E07285" w:rsidRDefault="00E07285" w:rsidP="00E07285">
            <w:pPr>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、了解选择厂址应考虑哪些因素。</w:t>
            </w:r>
          </w:p>
          <w:p w:rsidR="00E07285" w:rsidRDefault="00E07285" w:rsidP="00E07285">
            <w:pPr>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、掌握水厂工艺流程和处理构筑物选择。</w:t>
            </w:r>
          </w:p>
          <w:p w:rsidR="00E07285" w:rsidRDefault="00E07285" w:rsidP="00E07285">
            <w:pPr>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、掌握水厂平面和高程布置。</w:t>
            </w:r>
          </w:p>
          <w:p w:rsidR="00E07285" w:rsidRDefault="00E07285" w:rsidP="00E07285">
            <w:pPr>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、了解水厂生产过程检测和自动控制。</w:t>
            </w:r>
          </w:p>
        </w:tc>
      </w:tr>
    </w:tbl>
    <w:p w:rsidR="00E07285" w:rsidRDefault="00E07285" w:rsidP="00E07285">
      <w:pPr>
        <w:spacing w:beforeLines="50" w:before="156" w:afterLines="50" w:after="156" w:line="560" w:lineRule="exact"/>
        <w:rPr>
          <w:rFonts w:ascii="黑体" w:eastAsia="黑体" w:hAnsi="黑体"/>
          <w:b/>
          <w:sz w:val="28"/>
          <w:szCs w:val="28"/>
        </w:rPr>
      </w:pP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本课程考核方式</w:t>
      </w:r>
      <w:r>
        <w:rPr>
          <w:rFonts w:ascii="仿宋_GB2312" w:hAnsi="仿宋_GB2312" w:cs="仿宋_GB2312"/>
          <w:sz w:val="28"/>
          <w:szCs w:val="28"/>
        </w:rPr>
        <w:t>为</w:t>
      </w:r>
      <w:r>
        <w:rPr>
          <w:rFonts w:ascii="仿宋_GB2312" w:hAnsi="仿宋_GB2312" w:cs="仿宋_GB2312" w:hint="eastAsia"/>
          <w:sz w:val="28"/>
          <w:szCs w:val="28"/>
        </w:rPr>
        <w:t>考试。</w:t>
      </w:r>
    </w:p>
    <w:p w:rsidR="00E07285" w:rsidRDefault="00E07285"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E07285" w:rsidRDefault="00E07285" w:rsidP="00E07285">
      <w:pPr>
        <w:spacing w:line="560" w:lineRule="exact"/>
        <w:ind w:left="560"/>
        <w:rPr>
          <w:rFonts w:ascii="仿宋_GB2312" w:hAnsi="仿宋_GB2312" w:cs="仿宋_GB2312"/>
          <w:sz w:val="28"/>
          <w:szCs w:val="28"/>
        </w:rPr>
      </w:pPr>
      <w:r>
        <w:rPr>
          <w:rFonts w:ascii="仿宋_GB2312" w:hAnsi="仿宋_GB2312" w:cs="仿宋_GB2312" w:hint="eastAsia"/>
          <w:sz w:val="28"/>
          <w:szCs w:val="28"/>
        </w:rPr>
        <w:t>成绩评定方式</w:t>
      </w:r>
      <w:r>
        <w:rPr>
          <w:rFonts w:ascii="仿宋_GB2312" w:hAnsi="仿宋_GB2312" w:cs="仿宋_GB2312"/>
          <w:sz w:val="28"/>
          <w:szCs w:val="28"/>
        </w:rPr>
        <w:t>采用百分</w:t>
      </w:r>
      <w:r>
        <w:rPr>
          <w:rFonts w:ascii="仿宋_GB2312" w:hAnsi="仿宋_GB2312" w:cs="仿宋_GB2312" w:hint="eastAsia"/>
          <w:sz w:val="28"/>
          <w:szCs w:val="28"/>
        </w:rPr>
        <w:t>制</w:t>
      </w:r>
      <w:r>
        <w:rPr>
          <w:rFonts w:ascii="仿宋_GB2312" w:hAnsi="仿宋_GB2312" w:cs="仿宋_GB2312"/>
          <w:sz w:val="28"/>
          <w:szCs w:val="28"/>
        </w:rPr>
        <w:t>。</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本课程不设课外学时，针对难点和重点，通过每章节布置一定数量思考题和习题训练，使学生加深对所学知识的理解和掌握。</w:t>
      </w:r>
      <w:r>
        <w:rPr>
          <w:rFonts w:ascii="仿宋_GB2312" w:eastAsia="仿宋_GB2312" w:hAnsi="仿宋_GB2312" w:cs="仿宋_GB2312"/>
          <w:sz w:val="28"/>
          <w:szCs w:val="28"/>
        </w:rPr>
        <w:t>采用期末成绩</w:t>
      </w:r>
      <w:r>
        <w:rPr>
          <w:rFonts w:ascii="仿宋_GB2312" w:eastAsia="仿宋_GB2312" w:hAnsi="仿宋_GB2312" w:cs="仿宋_GB2312" w:hint="eastAsia"/>
          <w:sz w:val="28"/>
          <w:szCs w:val="28"/>
        </w:rPr>
        <w:t>+平时</w:t>
      </w:r>
      <w:r>
        <w:rPr>
          <w:rFonts w:ascii="仿宋_GB2312" w:eastAsia="仿宋_GB2312" w:hAnsi="仿宋_GB2312" w:cs="仿宋_GB2312"/>
          <w:sz w:val="28"/>
          <w:szCs w:val="28"/>
        </w:rPr>
        <w:t>成绩确定课程总成绩，</w:t>
      </w:r>
      <w:r>
        <w:rPr>
          <w:rFonts w:ascii="仿宋_GB2312" w:eastAsia="仿宋_GB2312" w:hAnsi="仿宋_GB2312" w:cs="仿宋_GB2312" w:hint="eastAsia"/>
          <w:sz w:val="28"/>
          <w:szCs w:val="28"/>
        </w:rPr>
        <w:t>其中平时成绩主要包括考勤、作业和讨论等环节，期末考试采取考试方式。平时成绩占20%</w:t>
      </w:r>
      <w:r>
        <w:rPr>
          <w:rFonts w:ascii="仿宋_GB2312" w:eastAsia="仿宋_GB2312" w:hAnsi="仿宋_GB2312" w:cs="仿宋_GB2312"/>
          <w:sz w:val="28"/>
          <w:szCs w:val="28"/>
        </w:rPr>
        <w:t>-30%</w:t>
      </w:r>
      <w:r>
        <w:rPr>
          <w:rFonts w:ascii="仿宋_GB2312" w:eastAsia="仿宋_GB2312" w:hAnsi="仿宋_GB2312" w:cs="仿宋_GB2312" w:hint="eastAsia"/>
          <w:sz w:val="28"/>
          <w:szCs w:val="28"/>
        </w:rPr>
        <w:t>，期末考试成绩占7</w:t>
      </w:r>
      <w:r>
        <w:rPr>
          <w:rFonts w:ascii="仿宋_GB2312" w:eastAsia="仿宋_GB2312" w:hAnsi="仿宋_GB2312" w:cs="仿宋_GB2312"/>
          <w:sz w:val="28"/>
          <w:szCs w:val="28"/>
        </w:rPr>
        <w:t>0%-</w:t>
      </w:r>
      <w:r>
        <w:rPr>
          <w:rFonts w:ascii="仿宋_GB2312" w:eastAsia="仿宋_GB2312" w:hAnsi="仿宋_GB2312" w:cs="仿宋_GB2312" w:hint="eastAsia"/>
          <w:sz w:val="28"/>
          <w:szCs w:val="28"/>
        </w:rPr>
        <w:t>80%。</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E07285" w:rsidRDefault="00E07285" w:rsidP="00E07285">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sz w:val="28"/>
          <w:szCs w:val="28"/>
        </w:rPr>
        <w:t>严煦世、范瑾初主编，《给水工程》(第四版)，</w:t>
      </w:r>
      <w:r>
        <w:rPr>
          <w:rFonts w:ascii="仿宋_GB2312" w:eastAsia="仿宋_GB2312" w:hAnsi="仿宋_GB2312" w:cs="仿宋_GB2312" w:hint="eastAsia"/>
          <w:sz w:val="28"/>
          <w:szCs w:val="28"/>
        </w:rPr>
        <w:t>北京：</w:t>
      </w:r>
      <w:r>
        <w:rPr>
          <w:rFonts w:ascii="仿宋_GB2312" w:eastAsia="仿宋_GB2312" w:hAnsi="仿宋_GB2312" w:cs="仿宋_GB2312"/>
          <w:sz w:val="28"/>
          <w:szCs w:val="28"/>
        </w:rPr>
        <w:t>中国建筑</w:t>
      </w:r>
      <w:r>
        <w:rPr>
          <w:rFonts w:ascii="仿宋_GB2312" w:eastAsia="仿宋_GB2312" w:hAnsi="仿宋_GB2312" w:cs="仿宋_GB2312"/>
          <w:sz w:val="28"/>
          <w:szCs w:val="28"/>
        </w:rPr>
        <w:lastRenderedPageBreak/>
        <w:t>工业出版社，1999年12月。</w:t>
      </w:r>
    </w:p>
    <w:p w:rsidR="00E07285" w:rsidRDefault="00E07285" w:rsidP="00E07285">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sz w:val="28"/>
          <w:szCs w:val="28"/>
        </w:rPr>
        <w:t>（1）李圭白，张杰，《水质工程学》，</w:t>
      </w:r>
      <w:r>
        <w:rPr>
          <w:rFonts w:ascii="仿宋_GB2312" w:eastAsia="仿宋_GB2312" w:hAnsi="仿宋_GB2312" w:cs="仿宋_GB2312" w:hint="eastAsia"/>
          <w:sz w:val="28"/>
          <w:szCs w:val="28"/>
        </w:rPr>
        <w:t>北京：</w:t>
      </w:r>
      <w:r>
        <w:rPr>
          <w:rFonts w:ascii="仿宋_GB2312" w:eastAsia="仿宋_GB2312" w:hAnsi="仿宋_GB2312" w:cs="仿宋_GB2312"/>
          <w:sz w:val="28"/>
          <w:szCs w:val="28"/>
        </w:rPr>
        <w:t>中国建筑工业出版社，2013年3月；</w:t>
      </w:r>
    </w:p>
    <w:p w:rsidR="00E07285" w:rsidRDefault="00E07285" w:rsidP="00E07285">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上海</w:t>
      </w:r>
      <w:r>
        <w:rPr>
          <w:rFonts w:ascii="仿宋_GB2312" w:eastAsia="仿宋_GB2312" w:hAnsi="仿宋_GB2312" w:cs="仿宋_GB2312"/>
          <w:sz w:val="28"/>
          <w:szCs w:val="28"/>
        </w:rPr>
        <w:t>市政工程设计研究院</w:t>
      </w:r>
      <w:r>
        <w:rPr>
          <w:rFonts w:ascii="仿宋_GB2312" w:eastAsia="仿宋_GB2312" w:hAnsi="仿宋_GB2312" w:cs="仿宋_GB2312" w:hint="eastAsia"/>
          <w:sz w:val="28"/>
          <w:szCs w:val="28"/>
        </w:rPr>
        <w:t>主编，</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给水</w:t>
      </w:r>
      <w:r>
        <w:rPr>
          <w:rFonts w:ascii="仿宋_GB2312" w:eastAsia="仿宋_GB2312" w:hAnsi="仿宋_GB2312" w:cs="仿宋_GB2312"/>
          <w:sz w:val="28"/>
          <w:szCs w:val="28"/>
        </w:rPr>
        <w:t>排水设计手册</w:t>
      </w:r>
      <w:r>
        <w:rPr>
          <w:rFonts w:ascii="仿宋_GB2312" w:eastAsia="仿宋_GB2312" w:hAnsi="仿宋_GB2312" w:cs="仿宋_GB2312" w:hint="eastAsia"/>
          <w:sz w:val="28"/>
          <w:szCs w:val="28"/>
        </w:rPr>
        <w:t xml:space="preserve">-第03册 </w:t>
      </w:r>
      <w:r>
        <w:rPr>
          <w:rFonts w:ascii="仿宋_GB2312" w:eastAsia="仿宋_GB2312" w:hAnsi="仿宋_GB2312" w:cs="仿宋_GB2312"/>
          <w:sz w:val="28"/>
          <w:szCs w:val="28"/>
        </w:rPr>
        <w:t>城镇给水》</w:t>
      </w:r>
      <w:r>
        <w:rPr>
          <w:rFonts w:ascii="仿宋_GB2312" w:eastAsia="仿宋_GB2312" w:hAnsi="仿宋_GB2312" w:cs="仿宋_GB2312" w:hint="eastAsia"/>
          <w:sz w:val="28"/>
          <w:szCs w:val="28"/>
        </w:rPr>
        <w:t>（第二版</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，北京：</w:t>
      </w:r>
      <w:r>
        <w:rPr>
          <w:rFonts w:ascii="仿宋_GB2312" w:eastAsia="仿宋_GB2312" w:hAnsi="仿宋_GB2312" w:cs="仿宋_GB2312"/>
          <w:sz w:val="28"/>
          <w:szCs w:val="28"/>
        </w:rPr>
        <w:t>中国建筑工业出版社，2006年5月</w:t>
      </w:r>
      <w:r>
        <w:rPr>
          <w:rFonts w:ascii="仿宋_GB2312" w:eastAsia="仿宋_GB2312" w:hAnsi="仿宋_GB2312" w:cs="仿宋_GB2312" w:hint="eastAsia"/>
          <w:sz w:val="28"/>
          <w:szCs w:val="28"/>
        </w:rPr>
        <w:t>。</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E07285" w:rsidRDefault="00E07285" w:rsidP="00E07285">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E07285" w:rsidRDefault="00E07285" w:rsidP="00E07285">
      <w:pPr>
        <w:spacing w:beforeLines="50" w:before="156" w:afterLines="50" w:after="156" w:line="460" w:lineRule="exact"/>
        <w:rPr>
          <w:rFonts w:ascii="黑体" w:eastAsia="黑体" w:hAnsi="黑体"/>
          <w:b/>
          <w:sz w:val="28"/>
          <w:szCs w:val="28"/>
        </w:rPr>
      </w:pPr>
    </w:p>
    <w:p w:rsidR="00E07285" w:rsidRDefault="00E07285" w:rsidP="00E07285">
      <w:pPr>
        <w:spacing w:beforeLines="50" w:before="156" w:afterLines="50" w:after="156" w:line="460" w:lineRule="exact"/>
        <w:rPr>
          <w:rFonts w:ascii="黑体" w:eastAsia="黑体" w:hAnsi="黑体"/>
          <w:b/>
          <w:sz w:val="28"/>
          <w:szCs w:val="28"/>
        </w:rPr>
      </w:pP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大纲撰写人：张</w:t>
      </w:r>
      <w:r>
        <w:rPr>
          <w:rFonts w:ascii="仿宋" w:eastAsia="仿宋" w:hAnsi="仿宋"/>
          <w:sz w:val="28"/>
          <w:szCs w:val="28"/>
        </w:rPr>
        <w:t>莉平</w:t>
      </w:r>
      <w:r>
        <w:rPr>
          <w:rFonts w:ascii="仿宋" w:eastAsia="仿宋" w:hAnsi="仿宋" w:hint="eastAsia"/>
          <w:sz w:val="28"/>
          <w:szCs w:val="28"/>
        </w:rPr>
        <w:t xml:space="preserve"> 高</w:t>
      </w:r>
      <w:r>
        <w:rPr>
          <w:rFonts w:ascii="仿宋" w:eastAsia="仿宋" w:hAnsi="仿宋"/>
          <w:sz w:val="28"/>
          <w:szCs w:val="28"/>
        </w:rPr>
        <w:t>晓梅</w:t>
      </w:r>
      <w:r>
        <w:rPr>
          <w:rFonts w:ascii="仿宋" w:eastAsia="仿宋" w:hAnsi="仿宋" w:hint="eastAsia"/>
          <w:sz w:val="28"/>
          <w:szCs w:val="28"/>
        </w:rPr>
        <w:t xml:space="preserve"> 赵传靓</w:t>
      </w: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课程负责人：张</w:t>
      </w:r>
      <w:r>
        <w:rPr>
          <w:rFonts w:ascii="仿宋" w:eastAsia="仿宋" w:hAnsi="仿宋"/>
          <w:sz w:val="28"/>
          <w:szCs w:val="28"/>
        </w:rPr>
        <w:t>莉平</w:t>
      </w:r>
      <w:r>
        <w:rPr>
          <w:rFonts w:ascii="仿宋" w:eastAsia="仿宋" w:hAnsi="仿宋" w:hint="eastAsia"/>
          <w:sz w:val="28"/>
          <w:szCs w:val="28"/>
        </w:rPr>
        <w:t xml:space="preserve"> 高</w:t>
      </w:r>
      <w:r>
        <w:rPr>
          <w:rFonts w:ascii="仿宋" w:eastAsia="仿宋" w:hAnsi="仿宋"/>
          <w:sz w:val="28"/>
          <w:szCs w:val="28"/>
        </w:rPr>
        <w:t>晓梅</w:t>
      </w:r>
      <w:r>
        <w:rPr>
          <w:rFonts w:ascii="仿宋" w:eastAsia="仿宋" w:hAnsi="仿宋" w:hint="eastAsia"/>
          <w:sz w:val="28"/>
          <w:szCs w:val="28"/>
        </w:rPr>
        <w:t xml:space="preserve"> 赵传靓</w:t>
      </w: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w:t>
      </w:r>
    </w:p>
    <w:p w:rsidR="00E07285" w:rsidRDefault="00E07285" w:rsidP="00E07285">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E07285" w:rsidRDefault="00E07285" w:rsidP="00E07285">
      <w:pPr>
        <w:ind w:firstLineChars="2000" w:firstLine="5600"/>
        <w:jc w:val="left"/>
        <w:rPr>
          <w:rFonts w:ascii="仿宋" w:hAnsi="仿宋"/>
          <w:sz w:val="28"/>
          <w:szCs w:val="28"/>
        </w:rPr>
      </w:pPr>
      <w:r>
        <w:rPr>
          <w:rFonts w:ascii="仿宋_GB2312" w:hAnsi="微软雅黑" w:hint="eastAsia"/>
          <w:sz w:val="28"/>
          <w:szCs w:val="28"/>
        </w:rPr>
        <w:t xml:space="preserve">    </w:t>
      </w:r>
    </w:p>
    <w:p w:rsidR="00E07285" w:rsidRDefault="00E07285" w:rsidP="00E07285">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4</w:t>
      </w:r>
      <w:r>
        <w:rPr>
          <w:rFonts w:ascii="仿宋" w:eastAsia="仿宋" w:hAnsi="仿宋" w:hint="eastAsia"/>
          <w:sz w:val="28"/>
          <w:szCs w:val="28"/>
        </w:rPr>
        <w:t xml:space="preserve"> 月</w:t>
      </w:r>
    </w:p>
    <w:p w:rsidR="00E07285" w:rsidRDefault="00E07285" w:rsidP="00E07285">
      <w:pPr>
        <w:widowControl/>
        <w:spacing w:line="400" w:lineRule="exact"/>
        <w:rPr>
          <w:rFonts w:ascii="黑体" w:eastAsia="黑体" w:hAnsi="黑体" w:cs="宋体"/>
          <w:bCs/>
          <w:color w:val="000000"/>
          <w:kern w:val="0"/>
          <w:szCs w:val="32"/>
        </w:rPr>
      </w:pPr>
    </w:p>
    <w:p w:rsidR="00E07285" w:rsidRDefault="00E07285" w:rsidP="00E07285"/>
    <w:p w:rsidR="00E07285" w:rsidRDefault="00E07285" w:rsidP="00E07285">
      <w:pPr>
        <w:spacing w:line="560" w:lineRule="exact"/>
        <w:jc w:val="left"/>
        <w:rPr>
          <w:rFonts w:ascii="仿宋" w:eastAsia="仿宋" w:hAnsi="仿宋"/>
          <w:sz w:val="28"/>
          <w:szCs w:val="28"/>
        </w:rPr>
      </w:pPr>
    </w:p>
    <w:p w:rsidR="00E07285" w:rsidRDefault="00E07285" w:rsidP="00E07285">
      <w:pPr>
        <w:spacing w:line="560" w:lineRule="exact"/>
        <w:jc w:val="left"/>
        <w:rPr>
          <w:rFonts w:ascii="仿宋" w:eastAsia="仿宋" w:hAnsi="仿宋"/>
          <w:sz w:val="28"/>
          <w:szCs w:val="28"/>
        </w:rPr>
      </w:pPr>
    </w:p>
    <w:p w:rsidR="00E07285" w:rsidRDefault="00E07285" w:rsidP="00E07285">
      <w:pPr>
        <w:spacing w:line="560" w:lineRule="exact"/>
        <w:jc w:val="left"/>
        <w:rPr>
          <w:rFonts w:ascii="仿宋" w:eastAsia="仿宋" w:hAnsi="仿宋"/>
          <w:sz w:val="28"/>
          <w:szCs w:val="28"/>
        </w:rPr>
      </w:pPr>
    </w:p>
    <w:p w:rsidR="00E07285" w:rsidRDefault="00E07285" w:rsidP="00E07285">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《污水处理理论与技术》课程教学大纲</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Waste water treatment theory and technology</w:t>
      </w:r>
    </w:p>
    <w:p w:rsidR="00E07285" w:rsidRDefault="00E07285" w:rsidP="00E07285">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Z2806190</w:t>
      </w:r>
    </w:p>
    <w:p w:rsidR="00E07285" w:rsidRDefault="00E07285" w:rsidP="00E07285">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授课语言：中文</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分：3.5</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时：56学时（授课56学时）</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适用对象：给排水科学与工程专业</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先修课程：水处理生物学</w:t>
      </w:r>
      <w:r>
        <w:rPr>
          <w:rFonts w:ascii="仿宋_GB2312" w:hAnsi="仿宋_GB2312" w:cs="仿宋_GB2312"/>
          <w:bCs/>
          <w:sz w:val="28"/>
          <w:szCs w:val="28"/>
        </w:rPr>
        <w:t>、水力学、物理化学、无机化学、分析化学、有机化学</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开课院系：建筑工程学院给排水科学与工程专业</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E07285" w:rsidRDefault="00E07285" w:rsidP="00E07285">
      <w:pPr>
        <w:spacing w:line="560" w:lineRule="exact"/>
        <w:ind w:firstLineChars="200" w:firstLine="560"/>
        <w:jc w:val="left"/>
        <w:rPr>
          <w:rFonts w:ascii="Times New Roman" w:hAnsi="宋体"/>
          <w:sz w:val="28"/>
          <w:szCs w:val="28"/>
        </w:rPr>
      </w:pPr>
      <w:r>
        <w:rPr>
          <w:rFonts w:ascii="Times New Roman" w:hAnsi="宋体"/>
          <w:sz w:val="28"/>
          <w:szCs w:val="28"/>
        </w:rPr>
        <w:t>《</w:t>
      </w:r>
      <w:r>
        <w:rPr>
          <w:rFonts w:ascii="Times New Roman" w:hAnsi="宋体" w:hint="eastAsia"/>
          <w:sz w:val="28"/>
          <w:szCs w:val="28"/>
        </w:rPr>
        <w:t>污水处理理论与技术</w:t>
      </w:r>
      <w:r>
        <w:rPr>
          <w:rFonts w:ascii="Times New Roman" w:hAnsi="宋体"/>
          <w:sz w:val="28"/>
          <w:szCs w:val="28"/>
        </w:rPr>
        <w:t>》是给排水科学与工程专业</w:t>
      </w:r>
      <w:r>
        <w:rPr>
          <w:rFonts w:ascii="Times New Roman" w:hAnsi="宋体" w:hint="eastAsia"/>
          <w:sz w:val="28"/>
          <w:szCs w:val="28"/>
        </w:rPr>
        <w:t>卓越工程师体系学生培养</w:t>
      </w:r>
      <w:r>
        <w:rPr>
          <w:rFonts w:ascii="Times New Roman" w:hAnsi="宋体"/>
          <w:sz w:val="28"/>
          <w:szCs w:val="28"/>
        </w:rPr>
        <w:t>的专业发展必修课，是一门综合性、多学科交叉实践性很强的课程。通过该课程的学习，使学生全面系统的了解污水的特性、污染物形态、分类及指标，掌握城市污水处理技术的基本原理、技术特征、设计要点及计算方法，</w:t>
      </w:r>
      <w:r>
        <w:rPr>
          <w:rFonts w:ascii="Times New Roman" w:hAnsi="宋体" w:hint="eastAsia"/>
          <w:sz w:val="28"/>
          <w:szCs w:val="28"/>
        </w:rPr>
        <w:t>熟悉</w:t>
      </w:r>
      <w:r>
        <w:rPr>
          <w:rFonts w:ascii="Times New Roman" w:hAnsi="宋体"/>
          <w:sz w:val="28"/>
          <w:szCs w:val="28"/>
        </w:rPr>
        <w:t>国内外污水处理新技术和新工艺，获得</w:t>
      </w:r>
      <w:r>
        <w:rPr>
          <w:rFonts w:ascii="Times New Roman" w:hAnsi="宋体" w:hint="eastAsia"/>
          <w:sz w:val="28"/>
          <w:szCs w:val="28"/>
        </w:rPr>
        <w:t>污水处理厂</w:t>
      </w:r>
      <w:r>
        <w:rPr>
          <w:rFonts w:ascii="Times New Roman" w:hAnsi="宋体"/>
          <w:sz w:val="28"/>
          <w:szCs w:val="28"/>
        </w:rPr>
        <w:t>设计与施工的核心能力。</w:t>
      </w:r>
    </w:p>
    <w:p w:rsidR="00E07285" w:rsidRDefault="00E07285" w:rsidP="00E07285">
      <w:pPr>
        <w:snapToGrid w:val="0"/>
        <w:spacing w:line="560" w:lineRule="exact"/>
        <w:ind w:firstLineChars="200" w:firstLine="560"/>
        <w:rPr>
          <w:rFonts w:ascii="Times New Roman" w:hAnsi="Times New Roman"/>
          <w:sz w:val="28"/>
          <w:szCs w:val="28"/>
        </w:rPr>
      </w:pPr>
      <w:r>
        <w:rPr>
          <w:rFonts w:ascii="Times New Roman" w:hAnsi="宋体"/>
          <w:sz w:val="28"/>
          <w:szCs w:val="28"/>
        </w:rPr>
        <w:t>课程主要内容：水污染特性和指标、自净规律及模型、污水处理方法分类、污水预处理、活性污泥处理基本原理、污泥系统影响因素</w:t>
      </w:r>
      <w:r>
        <w:rPr>
          <w:rFonts w:ascii="Times New Roman" w:hAnsi="宋体"/>
          <w:sz w:val="28"/>
          <w:szCs w:val="28"/>
        </w:rPr>
        <w:lastRenderedPageBreak/>
        <w:t>与主要设计运行参数、反应动力学、活性污泥反应器、泥水分离器、处理工艺系统、脱氮除磷工艺、膜处理法、自然生物处理、消毒、深度处理、污泥处理、污水处理厂设计等。</w:t>
      </w:r>
    </w:p>
    <w:p w:rsidR="00E07285" w:rsidRDefault="00E07285" w:rsidP="00E07285">
      <w:pPr>
        <w:spacing w:line="560" w:lineRule="exact"/>
        <w:ind w:firstLineChars="200" w:firstLine="560"/>
        <w:jc w:val="left"/>
        <w:rPr>
          <w:rFonts w:ascii="宋体" w:eastAsia="宋体" w:hAnsi="宋体"/>
          <w:b/>
          <w:color w:val="FF0000"/>
          <w:sz w:val="28"/>
          <w:szCs w:val="28"/>
        </w:rPr>
      </w:pPr>
      <w:r>
        <w:rPr>
          <w:rFonts w:ascii="Times New Roman" w:hAnsi="宋体"/>
          <w:sz w:val="28"/>
          <w:szCs w:val="28"/>
        </w:rPr>
        <w:t>教学方式采用</w:t>
      </w:r>
      <w:r>
        <w:rPr>
          <w:rFonts w:ascii="Times New Roman" w:hAnsi="Times New Roman"/>
          <w:sz w:val="28"/>
          <w:szCs w:val="28"/>
        </w:rPr>
        <w:t>PPT</w:t>
      </w:r>
      <w:r>
        <w:rPr>
          <w:rFonts w:ascii="Times New Roman" w:hAnsi="宋体" w:hint="eastAsia"/>
          <w:sz w:val="28"/>
          <w:szCs w:val="28"/>
        </w:rPr>
        <w:t>与</w:t>
      </w:r>
      <w:r>
        <w:rPr>
          <w:rFonts w:ascii="Times New Roman" w:hAnsi="宋体"/>
          <w:sz w:val="28"/>
          <w:szCs w:val="28"/>
        </w:rPr>
        <w:t>板书</w:t>
      </w:r>
      <w:r>
        <w:rPr>
          <w:rFonts w:ascii="Times New Roman" w:hAnsi="宋体" w:hint="eastAsia"/>
          <w:sz w:val="28"/>
          <w:szCs w:val="28"/>
        </w:rPr>
        <w:t>结合</w:t>
      </w:r>
      <w:r>
        <w:rPr>
          <w:rFonts w:ascii="Times New Roman" w:hAnsi="宋体"/>
          <w:sz w:val="28"/>
          <w:szCs w:val="28"/>
        </w:rPr>
        <w:t>、</w:t>
      </w:r>
      <w:r>
        <w:rPr>
          <w:rFonts w:ascii="Times New Roman" w:hAnsi="宋体" w:hint="eastAsia"/>
          <w:sz w:val="28"/>
          <w:szCs w:val="28"/>
        </w:rPr>
        <w:t>辅以教学过程中的反思报告形式</w:t>
      </w:r>
      <w:r>
        <w:rPr>
          <w:rFonts w:ascii="Times New Roman" w:hAnsi="宋体"/>
          <w:sz w:val="28"/>
          <w:szCs w:val="28"/>
        </w:rPr>
        <w:t>和练习题等相结合进行授课，并结合污水处理厂课程设计教学环节，使学生具备污水处理厂的设计能力。</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E07285" w:rsidRDefault="00E07285" w:rsidP="00E07285">
      <w:pPr>
        <w:spacing w:line="560" w:lineRule="exact"/>
        <w:ind w:firstLineChars="200" w:firstLine="560"/>
        <w:jc w:val="left"/>
        <w:rPr>
          <w:rFonts w:ascii="Times New Roman" w:hAnsi="宋体"/>
          <w:sz w:val="28"/>
          <w:szCs w:val="28"/>
        </w:rPr>
      </w:pPr>
      <w:r>
        <w:rPr>
          <w:rFonts w:ascii="Times New Roman" w:hAnsi="宋体"/>
          <w:sz w:val="28"/>
          <w:szCs w:val="28"/>
        </w:rPr>
        <w:t>《</w:t>
      </w:r>
      <w:r>
        <w:rPr>
          <w:rFonts w:ascii="Times New Roman" w:hAnsi="宋体" w:hint="eastAsia"/>
          <w:sz w:val="28"/>
          <w:szCs w:val="28"/>
        </w:rPr>
        <w:t>污水理论理论与技术</w:t>
      </w:r>
      <w:r>
        <w:rPr>
          <w:rFonts w:ascii="Times New Roman" w:hAnsi="宋体"/>
          <w:sz w:val="28"/>
          <w:szCs w:val="28"/>
        </w:rPr>
        <w:t>》课程的主要任务是使学生掌握污水处理的基本概念、基本理论、基本方法；根据污水特性，经过方案比选后确定合理的污水处理工艺流程。掌握各单元污水处理构筑物的工作机理、设计和计算，了解国内外污水处理的新工艺与新技术，为将来从事本专业的工程设计、科研及运行管理等方面的工作奠定必要的理论和应用基础。</w:t>
      </w:r>
    </w:p>
    <w:p w:rsidR="00E07285" w:rsidRDefault="00E07285"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E07285" w:rsidRDefault="00E07285" w:rsidP="00E07285">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E07285" w:rsidRDefault="00E07285" w:rsidP="00E07285">
      <w:pPr>
        <w:spacing w:line="560" w:lineRule="exact"/>
        <w:ind w:firstLineChars="200" w:firstLine="560"/>
        <w:rPr>
          <w:rFonts w:ascii="Times New Roman" w:hAnsi="宋体"/>
          <w:sz w:val="28"/>
          <w:szCs w:val="28"/>
        </w:rPr>
      </w:pPr>
      <w:r>
        <w:rPr>
          <w:rFonts w:ascii="Times New Roman" w:hAnsi="宋体" w:hint="eastAsia"/>
          <w:sz w:val="28"/>
          <w:szCs w:val="28"/>
        </w:rPr>
        <w:t>知识目标：</w:t>
      </w:r>
      <w:r>
        <w:rPr>
          <w:rFonts w:ascii="Times New Roman" w:hAnsi="宋体"/>
          <w:sz w:val="28"/>
          <w:szCs w:val="28"/>
        </w:rPr>
        <w:t>通过污水特性的学习，掌握污染物形态、分类，污染物指标。对于预处理技术，通过学习各项物理预处理技术，掌握污水处理的一级处理方法。对于中间处理技术，通过学习活性污泥处理工艺基本原理，掌握系统影响参数、设计参数，活性污泥动力学</w:t>
      </w:r>
      <w:r>
        <w:rPr>
          <w:rFonts w:ascii="Times New Roman" w:hAnsi="宋体" w:hint="eastAsia"/>
          <w:sz w:val="28"/>
          <w:szCs w:val="28"/>
        </w:rPr>
        <w:t>Monod</w:t>
      </w:r>
      <w:r>
        <w:rPr>
          <w:rFonts w:ascii="Times New Roman" w:hAnsi="宋体" w:hint="eastAsia"/>
          <w:sz w:val="28"/>
          <w:szCs w:val="28"/>
        </w:rPr>
        <w:t>方程</w:t>
      </w:r>
      <w:r>
        <w:rPr>
          <w:rFonts w:ascii="Times New Roman" w:hAnsi="宋体"/>
          <w:sz w:val="28"/>
          <w:szCs w:val="28"/>
        </w:rPr>
        <w:t>、劳</w:t>
      </w:r>
      <w:r>
        <w:rPr>
          <w:rFonts w:ascii="Times New Roman" w:hAnsi="宋体" w:hint="eastAsia"/>
          <w:sz w:val="28"/>
          <w:szCs w:val="28"/>
        </w:rPr>
        <w:t>-</w:t>
      </w:r>
      <w:r>
        <w:rPr>
          <w:rFonts w:ascii="Times New Roman" w:hAnsi="宋体"/>
          <w:sz w:val="28"/>
          <w:szCs w:val="28"/>
        </w:rPr>
        <w:t>麦</w:t>
      </w:r>
      <w:r>
        <w:rPr>
          <w:rFonts w:ascii="Times New Roman" w:hAnsi="宋体" w:hint="eastAsia"/>
          <w:sz w:val="28"/>
          <w:szCs w:val="28"/>
        </w:rPr>
        <w:t>方程</w:t>
      </w:r>
      <w:r>
        <w:rPr>
          <w:rFonts w:ascii="Times New Roman" w:hAnsi="宋体"/>
          <w:sz w:val="28"/>
          <w:szCs w:val="28"/>
        </w:rPr>
        <w:t>；通过氧传质理论及反应器学习，掌握反应器及充氧设备设计计算基本方法；通过处理工艺系统的学习，掌握目前城市污水生物处理多种常用工艺系统；通过脱氮除磷工艺的学习，掌握生物脱氮除磷的基本原理和方法；通过生物膜处理方法的学习，掌握生物</w:t>
      </w:r>
      <w:r>
        <w:rPr>
          <w:rFonts w:ascii="Times New Roman" w:hAnsi="宋体"/>
          <w:sz w:val="28"/>
          <w:szCs w:val="28"/>
        </w:rPr>
        <w:lastRenderedPageBreak/>
        <w:t>膜处理基本原理、传统工艺，熟悉新工艺。对于深度处理，通过学习污水的消毒和深度处理技术，掌握污水消毒的基本方法及对比，了解污水深度处理新工艺。通过对污泥的处理与处置方法学习，熟悉污泥的特性指标，掌握处理处置方案，包括掌握污泥浓缩的基本原理和方法。通过污水处理厂设计的学习，熟悉污水处理厂址选择原则，掌握处理工艺流程和处理构筑物选择，掌握厂区平面和高程布置，熟悉厂区除臭。</w:t>
      </w:r>
    </w:p>
    <w:p w:rsidR="00E07285" w:rsidRDefault="00E07285" w:rsidP="00E07285">
      <w:pPr>
        <w:spacing w:line="560" w:lineRule="exact"/>
        <w:ind w:firstLineChars="200" w:firstLine="560"/>
        <w:rPr>
          <w:rFonts w:ascii="Times New Roman" w:hAnsi="宋体"/>
          <w:sz w:val="28"/>
          <w:szCs w:val="28"/>
        </w:rPr>
      </w:pPr>
      <w:r>
        <w:rPr>
          <w:rFonts w:ascii="Times New Roman" w:hAnsi="宋体" w:hint="eastAsia"/>
          <w:sz w:val="28"/>
          <w:szCs w:val="28"/>
        </w:rPr>
        <w:t>能力目标：掌握污水性质与污染物指标以及水污染控制技术的发展趋势和方向；掌握主要污水处理技术的基本理论和工程学方法；能够独立选择确定污水处理工艺并进行基本的设计计算；具备污水处理工程的设计及相关科学研究能力。</w:t>
      </w:r>
    </w:p>
    <w:p w:rsidR="00E07285" w:rsidRDefault="00E07285" w:rsidP="00E07285">
      <w:pPr>
        <w:spacing w:line="560" w:lineRule="exact"/>
        <w:ind w:firstLineChars="200" w:firstLine="560"/>
        <w:jc w:val="left"/>
        <w:rPr>
          <w:rFonts w:ascii="Times New Roman" w:hAnsi="宋体"/>
          <w:sz w:val="28"/>
          <w:szCs w:val="28"/>
        </w:rPr>
      </w:pPr>
      <w:r>
        <w:rPr>
          <w:rFonts w:ascii="仿宋_GB2312" w:hAnsi="仿宋_GB2312" w:cs="仿宋_GB2312" w:hint="eastAsia"/>
          <w:sz w:val="28"/>
          <w:szCs w:val="28"/>
        </w:rPr>
        <w:t>情感态度与价值观目标：强化工程素质培养，以扎实的专业背景为基础弘扬创新精神，树立专业自信和职业责任感，明确自身价值，规划职业发展，激发爱国热情。</w:t>
      </w:r>
    </w:p>
    <w:p w:rsidR="00E07285" w:rsidRDefault="00E07285" w:rsidP="00E07285">
      <w:pPr>
        <w:spacing w:line="560" w:lineRule="exact"/>
        <w:ind w:firstLine="422"/>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494"/>
        <w:gridCol w:w="499"/>
        <w:gridCol w:w="499"/>
        <w:gridCol w:w="488"/>
        <w:gridCol w:w="488"/>
        <w:gridCol w:w="499"/>
        <w:gridCol w:w="488"/>
        <w:gridCol w:w="489"/>
        <w:gridCol w:w="489"/>
        <w:gridCol w:w="512"/>
        <w:gridCol w:w="512"/>
        <w:gridCol w:w="512"/>
      </w:tblGrid>
      <w:tr w:rsidR="00E07285" w:rsidTr="00E07285">
        <w:trPr>
          <w:trHeight w:hRule="exact" w:val="454"/>
          <w:jc w:val="center"/>
        </w:trPr>
        <w:tc>
          <w:tcPr>
            <w:tcW w:w="2743" w:type="dxa"/>
            <w:vMerge w:val="restart"/>
            <w:shd w:val="clear" w:color="auto" w:fill="auto"/>
            <w:vAlign w:val="center"/>
          </w:tcPr>
          <w:p w:rsidR="00E07285" w:rsidRDefault="00E07285" w:rsidP="00E07285">
            <w:pPr>
              <w:adjustRightInd w:val="0"/>
              <w:snapToGrid w:val="0"/>
              <w:jc w:val="center"/>
              <w:rPr>
                <w:rFonts w:ascii="仿宋_GB2312" w:hAnsi="仿宋_GB2312" w:cs="仿宋_GB2312"/>
                <w:bCs/>
                <w:sz w:val="28"/>
                <w:szCs w:val="28"/>
              </w:rPr>
            </w:pPr>
            <w:r>
              <w:rPr>
                <w:rFonts w:ascii="仿宋_GB2312" w:hAnsi="仿宋_GB2312" w:cs="仿宋_GB2312" w:hint="eastAsia"/>
                <w:bCs/>
                <w:sz w:val="24"/>
                <w:szCs w:val="24"/>
              </w:rPr>
              <w:t>课程目标</w:t>
            </w:r>
          </w:p>
        </w:tc>
        <w:tc>
          <w:tcPr>
            <w:tcW w:w="6233" w:type="dxa"/>
            <w:gridSpan w:val="12"/>
            <w:shd w:val="clear" w:color="auto" w:fill="auto"/>
            <w:vAlign w:val="center"/>
          </w:tcPr>
          <w:p w:rsidR="00E07285" w:rsidRDefault="00E07285" w:rsidP="00E07285">
            <w:pPr>
              <w:adjustRightInd w:val="0"/>
              <w:snapToGrid w:val="0"/>
              <w:jc w:val="center"/>
              <w:rPr>
                <w:rFonts w:ascii="仿宋_GB2312" w:hAnsi="仿宋_GB2312" w:cs="仿宋_GB2312"/>
                <w:bCs/>
                <w:sz w:val="28"/>
                <w:szCs w:val="28"/>
              </w:rPr>
            </w:pPr>
            <w:r>
              <w:rPr>
                <w:rFonts w:ascii="仿宋_GB2312" w:hAnsi="仿宋_GB2312" w:cs="仿宋_GB2312" w:hint="eastAsia"/>
                <w:bCs/>
                <w:sz w:val="24"/>
                <w:szCs w:val="24"/>
              </w:rPr>
              <w:t>毕业要求</w:t>
            </w:r>
          </w:p>
        </w:tc>
      </w:tr>
      <w:tr w:rsidR="00E07285" w:rsidTr="00E07285">
        <w:trPr>
          <w:trHeight w:hRule="exact" w:val="454"/>
          <w:jc w:val="center"/>
        </w:trPr>
        <w:tc>
          <w:tcPr>
            <w:tcW w:w="2743" w:type="dxa"/>
            <w:vMerge/>
            <w:shd w:val="clear" w:color="auto" w:fill="auto"/>
          </w:tcPr>
          <w:p w:rsidR="00E07285" w:rsidRDefault="00E07285" w:rsidP="00E07285">
            <w:pPr>
              <w:adjustRightInd w:val="0"/>
              <w:snapToGrid w:val="0"/>
              <w:rPr>
                <w:rFonts w:ascii="仿宋_GB2312" w:hAnsi="仿宋_GB2312" w:cs="仿宋_GB2312"/>
                <w:bCs/>
                <w:sz w:val="28"/>
                <w:szCs w:val="28"/>
              </w:rPr>
            </w:pPr>
          </w:p>
        </w:tc>
        <w:tc>
          <w:tcPr>
            <w:tcW w:w="519" w:type="dxa"/>
            <w:shd w:val="clear" w:color="auto" w:fill="auto"/>
            <w:vAlign w:val="center"/>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华文中宋" w:eastAsia="华文中宋" w:hAnsi="华文中宋" w:cs="宋体" w:hint="eastAsia"/>
                <w:bCs/>
                <w:sz w:val="21"/>
                <w:szCs w:val="21"/>
              </w:rPr>
              <w:t>1</w:t>
            </w:r>
          </w:p>
        </w:tc>
        <w:tc>
          <w:tcPr>
            <w:tcW w:w="519" w:type="dxa"/>
            <w:shd w:val="clear" w:color="auto" w:fill="auto"/>
            <w:vAlign w:val="center"/>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华文中宋" w:eastAsia="华文中宋" w:hAnsi="华文中宋" w:cs="宋体" w:hint="eastAsia"/>
                <w:bCs/>
                <w:sz w:val="21"/>
                <w:szCs w:val="21"/>
              </w:rPr>
              <w:t>2</w:t>
            </w:r>
          </w:p>
        </w:tc>
        <w:tc>
          <w:tcPr>
            <w:tcW w:w="519" w:type="dxa"/>
            <w:shd w:val="clear" w:color="auto" w:fill="auto"/>
            <w:vAlign w:val="center"/>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华文中宋" w:eastAsia="华文中宋" w:hAnsi="华文中宋" w:cs="宋体" w:hint="eastAsia"/>
                <w:bCs/>
                <w:sz w:val="21"/>
                <w:szCs w:val="21"/>
              </w:rPr>
              <w:t>3</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4</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5</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6</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7</w:t>
            </w: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8</w:t>
            </w: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9</w:t>
            </w: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10</w:t>
            </w: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11</w:t>
            </w: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12</w:t>
            </w:r>
          </w:p>
        </w:tc>
      </w:tr>
      <w:tr w:rsidR="00E07285" w:rsidTr="00E07285">
        <w:trPr>
          <w:trHeight w:hRule="exact" w:val="454"/>
          <w:jc w:val="center"/>
        </w:trPr>
        <w:tc>
          <w:tcPr>
            <w:tcW w:w="2743" w:type="dxa"/>
            <w:shd w:val="clear" w:color="auto" w:fill="auto"/>
            <w:vAlign w:val="center"/>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仿宋_GB2312" w:hAnsi="仿宋_GB2312" w:cs="仿宋_GB2312" w:hint="eastAsia"/>
                <w:bCs/>
                <w:sz w:val="24"/>
                <w:szCs w:val="24"/>
              </w:rPr>
              <w:t>知识目标</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bCs/>
                <w:sz w:val="21"/>
                <w:szCs w:val="21"/>
              </w:rPr>
              <w:t>L</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bCs/>
                <w:sz w:val="21"/>
                <w:szCs w:val="21"/>
              </w:rPr>
              <w:t>M</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shd w:val="clear" w:color="auto" w:fill="auto"/>
            <w:vAlign w:val="center"/>
          </w:tcPr>
          <w:p w:rsidR="00E07285" w:rsidRDefault="00E07285" w:rsidP="00E07285">
            <w:pPr>
              <w:adjustRightInd w:val="0"/>
              <w:snapToGrid w:val="0"/>
              <w:jc w:val="center"/>
              <w:rPr>
                <w:rFonts w:ascii="仿宋_GB2312" w:hAnsi="仿宋_GB2312" w:cs="仿宋_GB2312"/>
                <w:bCs/>
                <w:sz w:val="28"/>
                <w:szCs w:val="28"/>
              </w:rPr>
            </w:pPr>
          </w:p>
        </w:tc>
        <w:tc>
          <w:tcPr>
            <w:tcW w:w="520" w:type="dxa"/>
            <w:shd w:val="clear" w:color="auto" w:fill="auto"/>
            <w:vAlign w:val="center"/>
          </w:tcPr>
          <w:p w:rsidR="00E07285" w:rsidRDefault="00E07285" w:rsidP="00E07285">
            <w:pPr>
              <w:adjustRightInd w:val="0"/>
              <w:snapToGrid w:val="0"/>
              <w:jc w:val="center"/>
              <w:rPr>
                <w:rFonts w:ascii="仿宋_GB2312" w:hAnsi="仿宋_GB2312" w:cs="仿宋_GB2312"/>
                <w:bCs/>
                <w:sz w:val="28"/>
                <w:szCs w:val="28"/>
              </w:rPr>
            </w:pPr>
          </w:p>
        </w:tc>
        <w:tc>
          <w:tcPr>
            <w:tcW w:w="520" w:type="dxa"/>
            <w:shd w:val="clear" w:color="auto" w:fill="auto"/>
            <w:vAlign w:val="center"/>
          </w:tcPr>
          <w:p w:rsidR="00E07285" w:rsidRDefault="00E07285" w:rsidP="00E07285">
            <w:pPr>
              <w:adjustRightInd w:val="0"/>
              <w:snapToGrid w:val="0"/>
              <w:jc w:val="center"/>
              <w:rPr>
                <w:rFonts w:ascii="仿宋_GB2312" w:hAnsi="仿宋_GB2312" w:cs="仿宋_GB2312"/>
                <w:bCs/>
                <w:sz w:val="28"/>
                <w:szCs w:val="28"/>
              </w:rPr>
            </w:pPr>
          </w:p>
        </w:tc>
        <w:tc>
          <w:tcPr>
            <w:tcW w:w="520" w:type="dxa"/>
            <w:shd w:val="clear" w:color="auto" w:fill="auto"/>
            <w:vAlign w:val="center"/>
          </w:tcPr>
          <w:p w:rsidR="00E07285" w:rsidRDefault="00E07285" w:rsidP="00E07285">
            <w:pPr>
              <w:adjustRightInd w:val="0"/>
              <w:snapToGrid w:val="0"/>
              <w:jc w:val="center"/>
              <w:rPr>
                <w:rFonts w:ascii="仿宋_GB2312" w:hAnsi="仿宋_GB2312" w:cs="仿宋_GB2312"/>
                <w:bCs/>
                <w:sz w:val="28"/>
                <w:szCs w:val="28"/>
              </w:rPr>
            </w:pPr>
          </w:p>
        </w:tc>
        <w:tc>
          <w:tcPr>
            <w:tcW w:w="520" w:type="dxa"/>
            <w:shd w:val="clear" w:color="auto" w:fill="auto"/>
            <w:vAlign w:val="center"/>
          </w:tcPr>
          <w:p w:rsidR="00E07285" w:rsidRDefault="00E07285" w:rsidP="00E07285">
            <w:pPr>
              <w:adjustRightInd w:val="0"/>
              <w:snapToGrid w:val="0"/>
              <w:jc w:val="center"/>
              <w:rPr>
                <w:rFonts w:ascii="仿宋_GB2312" w:hAnsi="仿宋_GB2312" w:cs="仿宋_GB2312"/>
                <w:bCs/>
                <w:sz w:val="28"/>
                <w:szCs w:val="28"/>
              </w:rPr>
            </w:pPr>
          </w:p>
        </w:tc>
      </w:tr>
      <w:tr w:rsidR="00E07285" w:rsidTr="00E07285">
        <w:trPr>
          <w:trHeight w:hRule="exact" w:val="454"/>
          <w:jc w:val="center"/>
        </w:trPr>
        <w:tc>
          <w:tcPr>
            <w:tcW w:w="2743" w:type="dxa"/>
            <w:shd w:val="clear" w:color="auto" w:fill="auto"/>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仿宋_GB2312" w:hAnsi="仿宋_GB2312" w:cs="仿宋_GB2312" w:hint="eastAsia"/>
                <w:bCs/>
                <w:sz w:val="24"/>
                <w:szCs w:val="24"/>
              </w:rPr>
              <w:t>能力目标</w:t>
            </w:r>
          </w:p>
        </w:tc>
        <w:tc>
          <w:tcPr>
            <w:tcW w:w="519" w:type="dxa"/>
            <w:shd w:val="clear" w:color="auto" w:fill="auto"/>
            <w:vAlign w:val="center"/>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华文中宋" w:eastAsia="华文中宋" w:hAnsi="华文中宋" w:cs="宋体" w:hint="eastAsia"/>
                <w:bCs/>
                <w:sz w:val="21"/>
                <w:szCs w:val="21"/>
              </w:rPr>
              <w:t>H</w:t>
            </w:r>
          </w:p>
        </w:tc>
        <w:tc>
          <w:tcPr>
            <w:tcW w:w="519" w:type="dxa"/>
            <w:shd w:val="clear" w:color="auto" w:fill="auto"/>
            <w:vAlign w:val="center"/>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华文中宋" w:eastAsia="华文中宋" w:hAnsi="华文中宋" w:cs="宋体"/>
                <w:bCs/>
                <w:sz w:val="21"/>
                <w:szCs w:val="21"/>
              </w:rPr>
              <w:t>M</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bCs/>
                <w:sz w:val="21"/>
                <w:szCs w:val="21"/>
              </w:rPr>
              <w:t>M</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r>
      <w:tr w:rsidR="00E07285" w:rsidTr="00E07285">
        <w:trPr>
          <w:trHeight w:hRule="exact" w:val="454"/>
          <w:jc w:val="center"/>
        </w:trPr>
        <w:tc>
          <w:tcPr>
            <w:tcW w:w="2743" w:type="dxa"/>
            <w:shd w:val="clear" w:color="auto" w:fill="auto"/>
          </w:tcPr>
          <w:p w:rsidR="00E07285" w:rsidRDefault="00E07285" w:rsidP="00E07285">
            <w:pPr>
              <w:tabs>
                <w:tab w:val="left" w:pos="6300"/>
              </w:tabs>
              <w:adjustRightInd w:val="0"/>
              <w:snapToGrid w:val="0"/>
              <w:jc w:val="center"/>
              <w:rPr>
                <w:rFonts w:ascii="仿宋_GB2312" w:hAnsi="仿宋_GB2312" w:cs="仿宋_GB2312"/>
                <w:bCs/>
                <w:sz w:val="28"/>
                <w:szCs w:val="28"/>
              </w:rPr>
            </w:pPr>
            <w:r>
              <w:rPr>
                <w:rFonts w:ascii="仿宋_GB2312" w:hAnsi="仿宋_GB2312" w:cs="仿宋_GB2312" w:hint="eastAsia"/>
                <w:bCs/>
                <w:sz w:val="24"/>
                <w:szCs w:val="24"/>
              </w:rPr>
              <w:t>情感态度与价值观目标</w:t>
            </w:r>
          </w:p>
        </w:tc>
        <w:tc>
          <w:tcPr>
            <w:tcW w:w="519" w:type="dxa"/>
            <w:shd w:val="clear" w:color="auto" w:fill="auto"/>
            <w:vAlign w:val="center"/>
          </w:tcPr>
          <w:p w:rsidR="00E07285" w:rsidRDefault="00E07285" w:rsidP="00E07285">
            <w:pPr>
              <w:adjustRightInd w:val="0"/>
              <w:snapToGrid w:val="0"/>
              <w:jc w:val="center"/>
              <w:rPr>
                <w:rFonts w:ascii="仿宋_GB2312" w:hAnsi="仿宋_GB2312" w:cs="仿宋_GB2312"/>
                <w:bCs/>
                <w:sz w:val="28"/>
                <w:szCs w:val="28"/>
              </w:rPr>
            </w:pPr>
          </w:p>
        </w:tc>
        <w:tc>
          <w:tcPr>
            <w:tcW w:w="519" w:type="dxa"/>
            <w:shd w:val="clear" w:color="auto" w:fill="auto"/>
            <w:vAlign w:val="center"/>
          </w:tcPr>
          <w:p w:rsidR="00E07285" w:rsidRDefault="00E07285" w:rsidP="00E07285">
            <w:pPr>
              <w:adjustRightInd w:val="0"/>
              <w:snapToGrid w:val="0"/>
              <w:jc w:val="center"/>
              <w:rPr>
                <w:rFonts w:ascii="仿宋_GB2312" w:hAnsi="仿宋_GB2312" w:cs="仿宋_GB2312"/>
                <w:bCs/>
                <w:sz w:val="28"/>
                <w:szCs w:val="28"/>
              </w:rPr>
            </w:pP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c>
          <w:tcPr>
            <w:tcW w:w="520" w:type="dxa"/>
            <w:shd w:val="clear" w:color="auto" w:fill="auto"/>
            <w:vAlign w:val="center"/>
          </w:tcPr>
          <w:p w:rsidR="00E07285" w:rsidRDefault="00E07285" w:rsidP="00E07285">
            <w:pPr>
              <w:tabs>
                <w:tab w:val="left" w:pos="6300"/>
              </w:tabs>
              <w:adjustRightInd w:val="0"/>
              <w:snapToGrid w:val="0"/>
              <w:jc w:val="center"/>
              <w:rPr>
                <w:rFonts w:ascii="华文中宋" w:eastAsia="华文中宋" w:hAnsi="华文中宋" w:cs="宋体"/>
                <w:bCs/>
                <w:sz w:val="21"/>
                <w:szCs w:val="21"/>
              </w:rPr>
            </w:pPr>
          </w:p>
        </w:tc>
      </w:tr>
    </w:tbl>
    <w:p w:rsidR="00E07285" w:rsidRDefault="00E07285" w:rsidP="00E07285">
      <w:pPr>
        <w:ind w:firstLine="422"/>
      </w:pPr>
    </w:p>
    <w:p w:rsidR="00E07285" w:rsidRDefault="00E07285" w:rsidP="00E07285">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E07285" w:rsidRDefault="00E07285" w:rsidP="00E07285">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本课程的重点包括水环境保护法律、法规和条例的应用；污水生物脱氮除磷原理；活性污泥反应动力学；污水各处理单元的构筑物结构及运行特点，污水处理厂的平面布置及设计计算；难点在于</w:t>
      </w:r>
      <w:r>
        <w:rPr>
          <w:rFonts w:ascii="仿宋_GB2312" w:hAnsi="仿宋_GB2312" w:cs="仿宋_GB2312" w:hint="eastAsia"/>
          <w:sz w:val="28"/>
          <w:szCs w:val="28"/>
        </w:rPr>
        <w:lastRenderedPageBreak/>
        <w:t>再充分把握污水特征的基础上，设计工艺流程并给出运行方案，合理预测可能遇到的工程问题并能对复杂问题做出合理解决方案。</w:t>
      </w:r>
    </w:p>
    <w:p w:rsidR="00E07285" w:rsidRDefault="00E07285" w:rsidP="00E07285">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E07285" w:rsidRDefault="00E07285" w:rsidP="00E07285">
      <w:pPr>
        <w:spacing w:line="360" w:lineRule="auto"/>
        <w:ind w:firstLineChars="200" w:firstLine="560"/>
        <w:jc w:val="left"/>
        <w:rPr>
          <w:rFonts w:ascii="Times New Roman" w:hAnsi="宋体"/>
          <w:sz w:val="28"/>
          <w:szCs w:val="28"/>
        </w:rPr>
      </w:pPr>
      <w:r>
        <w:rPr>
          <w:rFonts w:ascii="Times New Roman" w:hAnsi="宋体"/>
          <w:sz w:val="28"/>
          <w:szCs w:val="28"/>
        </w:rPr>
        <w:t>《</w:t>
      </w:r>
      <w:r>
        <w:rPr>
          <w:rFonts w:ascii="Times New Roman" w:hAnsi="宋体" w:hint="eastAsia"/>
          <w:sz w:val="28"/>
          <w:szCs w:val="28"/>
        </w:rPr>
        <w:t>污水处理理论与技术</w:t>
      </w:r>
      <w:r>
        <w:rPr>
          <w:rFonts w:ascii="Times New Roman" w:hAnsi="宋体"/>
          <w:sz w:val="28"/>
          <w:szCs w:val="28"/>
        </w:rPr>
        <w:t>》</w:t>
      </w:r>
      <w:r>
        <w:rPr>
          <w:rFonts w:ascii="Times New Roman" w:hAnsi="宋体" w:hint="eastAsia"/>
          <w:sz w:val="28"/>
          <w:szCs w:val="28"/>
        </w:rPr>
        <w:t>作为给排水科学与工程专业卓越工程师教育体系的一门专业发展课程，课程思政的内容主要围绕国内外污水处理技术现状及发展、我国给排水科学与工程行业及专业的发展历史展开。本课程讲授知识和技术属于水的社会循环的收集和末端处理环节。开展本课程的学习中，可以将党中央建设生态中国和美丽中国的战略决策与课程讲授相融合，开展课程思政建设。此外，我国的给排水科学与工程专业的脱胎于卫生工程（欧美）和上下水道工程（日本），经历过老一辈给排水人的引进、消化、吸收和改进，历经了百余年，逐渐形成了自己的特色。在此期间涌现出了许多具有家国情怀的给排水人，如刘茀祺、陶葆楷、顾夏声、张自杰等。在课程讲授过程中，可以将老一辈给排水人的人生故事融入其中，开展学生的家国注意教育。</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419"/>
        <w:gridCol w:w="1097"/>
        <w:gridCol w:w="3156"/>
        <w:gridCol w:w="3398"/>
      </w:tblGrid>
      <w:tr w:rsidR="00E07285" w:rsidTr="00E07285">
        <w:trPr>
          <w:cantSplit/>
          <w:trHeight w:val="661"/>
        </w:trPr>
        <w:tc>
          <w:tcPr>
            <w:tcW w:w="532"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序号</w:t>
            </w:r>
          </w:p>
        </w:tc>
        <w:tc>
          <w:tcPr>
            <w:tcW w:w="1419"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kern w:val="0"/>
                <w:sz w:val="20"/>
                <w:szCs w:val="20"/>
              </w:rPr>
              <w:t>节</w:t>
            </w:r>
          </w:p>
        </w:tc>
        <w:tc>
          <w:tcPr>
            <w:tcW w:w="1097" w:type="dxa"/>
            <w:vAlign w:val="center"/>
          </w:tcPr>
          <w:p w:rsidR="00E07285" w:rsidRDefault="00E07285" w:rsidP="00E07285">
            <w:pPr>
              <w:jc w:val="center"/>
              <w:rPr>
                <w:rFonts w:ascii="Times New Roman" w:hAnsi="Times New Roman"/>
                <w:kern w:val="0"/>
                <w:sz w:val="20"/>
                <w:szCs w:val="20"/>
              </w:rPr>
            </w:pPr>
          </w:p>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参考学时</w:t>
            </w:r>
          </w:p>
          <w:p w:rsidR="00E07285" w:rsidRDefault="00E07285" w:rsidP="00E07285">
            <w:pPr>
              <w:jc w:val="center"/>
              <w:rPr>
                <w:rFonts w:ascii="Times New Roman" w:hAnsi="Times New Roman"/>
                <w:kern w:val="0"/>
                <w:sz w:val="20"/>
                <w:szCs w:val="20"/>
              </w:rPr>
            </w:pPr>
          </w:p>
        </w:tc>
        <w:tc>
          <w:tcPr>
            <w:tcW w:w="3156" w:type="dxa"/>
            <w:vAlign w:val="center"/>
          </w:tcPr>
          <w:p w:rsidR="00E07285" w:rsidRDefault="00E07285" w:rsidP="00E07285">
            <w:pPr>
              <w:ind w:firstLineChars="450" w:firstLine="900"/>
              <w:rPr>
                <w:rFonts w:ascii="Times New Roman" w:hAnsi="Times New Roman"/>
                <w:kern w:val="0"/>
                <w:sz w:val="20"/>
                <w:szCs w:val="20"/>
              </w:rPr>
            </w:pPr>
            <w:r>
              <w:rPr>
                <w:rFonts w:ascii="Times New Roman" w:hAnsi="Times New Roman"/>
                <w:kern w:val="0"/>
                <w:sz w:val="20"/>
                <w:szCs w:val="20"/>
              </w:rPr>
              <w:t>教学内容</w:t>
            </w:r>
          </w:p>
        </w:tc>
        <w:tc>
          <w:tcPr>
            <w:tcW w:w="3398"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基本要求</w:t>
            </w:r>
          </w:p>
        </w:tc>
      </w:tr>
      <w:tr w:rsidR="00E07285" w:rsidTr="00E07285">
        <w:trPr>
          <w:trHeight w:val="1915"/>
        </w:trPr>
        <w:tc>
          <w:tcPr>
            <w:tcW w:w="532"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1</w:t>
            </w:r>
          </w:p>
        </w:tc>
        <w:tc>
          <w:tcPr>
            <w:tcW w:w="1419" w:type="dxa"/>
            <w:vAlign w:val="center"/>
          </w:tcPr>
          <w:p w:rsidR="00E07285" w:rsidRDefault="00E07285" w:rsidP="005F6318">
            <w:pPr>
              <w:numPr>
                <w:ilvl w:val="0"/>
                <w:numId w:val="45"/>
              </w:numPr>
              <w:jc w:val="left"/>
              <w:rPr>
                <w:rFonts w:ascii="Times New Roman" w:hAnsi="Times New Roman"/>
                <w:kern w:val="0"/>
                <w:sz w:val="20"/>
                <w:szCs w:val="20"/>
              </w:rPr>
            </w:pPr>
            <w:r>
              <w:rPr>
                <w:rFonts w:ascii="Times New Roman" w:hAnsi="Times New Roman"/>
                <w:kern w:val="0"/>
                <w:sz w:val="20"/>
                <w:szCs w:val="20"/>
              </w:rPr>
              <w:t>污水的性质与污染指标</w:t>
            </w:r>
          </w:p>
          <w:p w:rsidR="00E07285" w:rsidRDefault="00E07285" w:rsidP="005F6318">
            <w:pPr>
              <w:numPr>
                <w:ilvl w:val="0"/>
                <w:numId w:val="45"/>
              </w:numPr>
              <w:jc w:val="left"/>
              <w:rPr>
                <w:rFonts w:ascii="Times New Roman" w:hAnsi="Times New Roman"/>
                <w:kern w:val="0"/>
                <w:sz w:val="20"/>
                <w:szCs w:val="20"/>
              </w:rPr>
            </w:pPr>
            <w:r>
              <w:rPr>
                <w:rFonts w:ascii="Times New Roman" w:hAnsi="Times New Roman"/>
                <w:kern w:val="0"/>
                <w:sz w:val="20"/>
                <w:szCs w:val="20"/>
              </w:rPr>
              <w:t>水体污染与自净</w:t>
            </w:r>
          </w:p>
        </w:tc>
        <w:tc>
          <w:tcPr>
            <w:tcW w:w="1097"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4</w:t>
            </w:r>
          </w:p>
        </w:tc>
        <w:tc>
          <w:tcPr>
            <w:tcW w:w="3156" w:type="dxa"/>
            <w:vAlign w:val="center"/>
          </w:tcPr>
          <w:p w:rsidR="00E07285" w:rsidRDefault="00E07285" w:rsidP="00E07285">
            <w:pPr>
              <w:jc w:val="left"/>
              <w:rPr>
                <w:rFonts w:ascii="Times New Roman" w:hAnsi="Times New Roman"/>
                <w:kern w:val="0"/>
                <w:sz w:val="20"/>
                <w:szCs w:val="20"/>
              </w:rPr>
            </w:pPr>
            <w:r>
              <w:rPr>
                <w:rFonts w:ascii="Times New Roman" w:hAnsi="Times New Roman"/>
                <w:kern w:val="0"/>
                <w:sz w:val="20"/>
                <w:szCs w:val="20"/>
              </w:rPr>
              <w:t>1.1</w:t>
            </w:r>
            <w:r>
              <w:rPr>
                <w:rFonts w:ascii="Times New Roman" w:hAnsi="Times New Roman"/>
                <w:kern w:val="0"/>
                <w:sz w:val="20"/>
                <w:szCs w:val="20"/>
              </w:rPr>
              <w:t>污水</w:t>
            </w:r>
          </w:p>
          <w:p w:rsidR="00E07285" w:rsidRDefault="00E07285" w:rsidP="00E07285">
            <w:pPr>
              <w:jc w:val="left"/>
              <w:rPr>
                <w:rFonts w:ascii="Times New Roman" w:hAnsi="Times New Roman"/>
                <w:kern w:val="0"/>
                <w:sz w:val="20"/>
                <w:szCs w:val="20"/>
              </w:rPr>
            </w:pPr>
            <w:r>
              <w:rPr>
                <w:rFonts w:ascii="Times New Roman" w:hAnsi="Times New Roman"/>
                <w:kern w:val="0"/>
                <w:sz w:val="20"/>
                <w:szCs w:val="20"/>
              </w:rPr>
              <w:t>1.2</w:t>
            </w:r>
            <w:r>
              <w:rPr>
                <w:rFonts w:ascii="Times New Roman" w:hAnsi="Times New Roman"/>
                <w:kern w:val="0"/>
                <w:sz w:val="20"/>
                <w:szCs w:val="20"/>
              </w:rPr>
              <w:t>城市污水特性与污染指标</w:t>
            </w:r>
          </w:p>
          <w:p w:rsidR="00E07285" w:rsidRDefault="00E07285" w:rsidP="00E07285">
            <w:pPr>
              <w:jc w:val="left"/>
              <w:rPr>
                <w:rFonts w:ascii="Times New Roman" w:hAnsi="Times New Roman"/>
                <w:kern w:val="0"/>
                <w:sz w:val="20"/>
                <w:szCs w:val="20"/>
              </w:rPr>
            </w:pPr>
            <w:r>
              <w:rPr>
                <w:rFonts w:ascii="Times New Roman" w:hAnsi="Times New Roman"/>
                <w:kern w:val="0"/>
                <w:sz w:val="20"/>
                <w:szCs w:val="20"/>
              </w:rPr>
              <w:t>2.1</w:t>
            </w:r>
            <w:r>
              <w:rPr>
                <w:rFonts w:ascii="Times New Roman" w:hAnsi="Times New Roman"/>
                <w:kern w:val="0"/>
                <w:sz w:val="20"/>
                <w:szCs w:val="20"/>
              </w:rPr>
              <w:t>物体污染及危害</w:t>
            </w:r>
          </w:p>
          <w:p w:rsidR="00E07285" w:rsidRDefault="00E07285" w:rsidP="00E07285">
            <w:pPr>
              <w:jc w:val="left"/>
              <w:rPr>
                <w:rFonts w:ascii="Times New Roman" w:hAnsi="Times New Roman"/>
                <w:kern w:val="0"/>
                <w:sz w:val="20"/>
                <w:szCs w:val="20"/>
              </w:rPr>
            </w:pPr>
            <w:r>
              <w:rPr>
                <w:rFonts w:ascii="Times New Roman" w:hAnsi="Times New Roman"/>
                <w:kern w:val="0"/>
                <w:sz w:val="20"/>
                <w:szCs w:val="20"/>
              </w:rPr>
              <w:t>2.2</w:t>
            </w:r>
            <w:r>
              <w:rPr>
                <w:rFonts w:ascii="Times New Roman" w:hAnsi="Times New Roman"/>
                <w:kern w:val="0"/>
                <w:sz w:val="20"/>
                <w:szCs w:val="20"/>
              </w:rPr>
              <w:t>水体自净</w:t>
            </w:r>
          </w:p>
          <w:p w:rsidR="00E07285" w:rsidRDefault="00E07285" w:rsidP="00E07285">
            <w:pPr>
              <w:jc w:val="left"/>
              <w:rPr>
                <w:rFonts w:ascii="Times New Roman" w:hAnsi="Times New Roman"/>
                <w:kern w:val="0"/>
                <w:sz w:val="20"/>
                <w:szCs w:val="20"/>
              </w:rPr>
            </w:pPr>
            <w:r>
              <w:rPr>
                <w:rFonts w:ascii="Times New Roman" w:hAnsi="Times New Roman"/>
                <w:kern w:val="0"/>
                <w:sz w:val="20"/>
                <w:szCs w:val="20"/>
              </w:rPr>
              <w:t>2.3</w:t>
            </w:r>
            <w:r>
              <w:rPr>
                <w:rFonts w:ascii="Times New Roman" w:hAnsi="Times New Roman"/>
                <w:kern w:val="0"/>
                <w:sz w:val="20"/>
                <w:szCs w:val="20"/>
              </w:rPr>
              <w:t>水环境保护</w:t>
            </w:r>
          </w:p>
          <w:p w:rsidR="00E07285" w:rsidRDefault="00E07285" w:rsidP="00E07285">
            <w:pPr>
              <w:jc w:val="left"/>
              <w:rPr>
                <w:rFonts w:ascii="Times New Roman" w:hAnsi="Times New Roman"/>
                <w:kern w:val="0"/>
                <w:sz w:val="20"/>
                <w:szCs w:val="20"/>
              </w:rPr>
            </w:pPr>
            <w:r>
              <w:rPr>
                <w:rFonts w:ascii="Times New Roman" w:hAnsi="Times New Roman"/>
                <w:kern w:val="0"/>
                <w:sz w:val="20"/>
                <w:szCs w:val="20"/>
              </w:rPr>
              <w:t>2.4</w:t>
            </w:r>
            <w:r>
              <w:rPr>
                <w:rFonts w:ascii="Times New Roman" w:hAnsi="Times New Roman"/>
                <w:kern w:val="0"/>
                <w:sz w:val="20"/>
                <w:szCs w:val="20"/>
              </w:rPr>
              <w:t>污水处理基本方法与程度</w:t>
            </w:r>
          </w:p>
        </w:tc>
        <w:tc>
          <w:tcPr>
            <w:tcW w:w="3398" w:type="dxa"/>
            <w:vAlign w:val="center"/>
          </w:tcPr>
          <w:p w:rsidR="00E07285" w:rsidRDefault="00E07285" w:rsidP="005F6318">
            <w:pPr>
              <w:numPr>
                <w:ilvl w:val="0"/>
                <w:numId w:val="46"/>
              </w:numPr>
              <w:tabs>
                <w:tab w:val="clear" w:pos="312"/>
                <w:tab w:val="left" w:pos="220"/>
              </w:tabs>
              <w:rPr>
                <w:rFonts w:ascii="Times New Roman" w:hAnsi="Times New Roman"/>
                <w:kern w:val="0"/>
                <w:sz w:val="20"/>
                <w:szCs w:val="20"/>
              </w:rPr>
            </w:pPr>
            <w:r>
              <w:rPr>
                <w:rFonts w:ascii="Times New Roman" w:hAnsi="Times New Roman"/>
                <w:kern w:val="0"/>
                <w:sz w:val="20"/>
                <w:szCs w:val="20"/>
              </w:rPr>
              <w:t>掌握污染物形态、分类，污染物指标；</w:t>
            </w:r>
          </w:p>
          <w:p w:rsidR="00E07285" w:rsidRDefault="00E07285" w:rsidP="005F6318">
            <w:pPr>
              <w:numPr>
                <w:ilvl w:val="0"/>
                <w:numId w:val="46"/>
              </w:numPr>
              <w:tabs>
                <w:tab w:val="clear" w:pos="312"/>
                <w:tab w:val="left" w:pos="220"/>
              </w:tabs>
              <w:rPr>
                <w:rFonts w:ascii="Times New Roman" w:hAnsi="Times New Roman"/>
                <w:kern w:val="0"/>
                <w:sz w:val="20"/>
                <w:szCs w:val="20"/>
              </w:rPr>
            </w:pPr>
            <w:r>
              <w:rPr>
                <w:rFonts w:ascii="Times New Roman" w:hAnsi="Times New Roman"/>
                <w:kern w:val="0"/>
                <w:sz w:val="20"/>
                <w:szCs w:val="20"/>
              </w:rPr>
              <w:t>掌握水体自净原理；</w:t>
            </w:r>
          </w:p>
          <w:p w:rsidR="00E07285" w:rsidRDefault="00E07285" w:rsidP="005F6318">
            <w:pPr>
              <w:numPr>
                <w:ilvl w:val="0"/>
                <w:numId w:val="46"/>
              </w:numPr>
              <w:tabs>
                <w:tab w:val="clear" w:pos="312"/>
                <w:tab w:val="left" w:pos="220"/>
              </w:tabs>
              <w:rPr>
                <w:rFonts w:ascii="Times New Roman" w:hAnsi="Times New Roman"/>
                <w:kern w:val="0"/>
                <w:sz w:val="20"/>
                <w:szCs w:val="20"/>
              </w:rPr>
            </w:pPr>
            <w:r>
              <w:rPr>
                <w:rFonts w:ascii="Times New Roman" w:hAnsi="Times New Roman"/>
                <w:kern w:val="0"/>
                <w:sz w:val="20"/>
                <w:szCs w:val="20"/>
              </w:rPr>
              <w:t>了解水环境保护及相关法规；</w:t>
            </w:r>
          </w:p>
          <w:p w:rsidR="00E07285" w:rsidRDefault="00E07285" w:rsidP="005F6318">
            <w:pPr>
              <w:numPr>
                <w:ilvl w:val="0"/>
                <w:numId w:val="46"/>
              </w:numPr>
              <w:tabs>
                <w:tab w:val="clear" w:pos="312"/>
                <w:tab w:val="left" w:pos="220"/>
              </w:tabs>
              <w:rPr>
                <w:rFonts w:ascii="Times New Roman" w:hAnsi="Times New Roman"/>
                <w:kern w:val="0"/>
                <w:sz w:val="20"/>
                <w:szCs w:val="20"/>
              </w:rPr>
            </w:pPr>
            <w:r>
              <w:rPr>
                <w:rFonts w:ascii="Times New Roman" w:hAnsi="Times New Roman"/>
                <w:kern w:val="0"/>
                <w:sz w:val="20"/>
                <w:szCs w:val="20"/>
              </w:rPr>
              <w:t>熟悉污水处理基本方法与分级，基本流程。</w:t>
            </w:r>
          </w:p>
        </w:tc>
      </w:tr>
      <w:tr w:rsidR="00E07285" w:rsidTr="00E07285">
        <w:trPr>
          <w:trHeight w:val="1368"/>
        </w:trPr>
        <w:tc>
          <w:tcPr>
            <w:tcW w:w="532" w:type="dxa"/>
            <w:vAlign w:val="center"/>
          </w:tcPr>
          <w:p w:rsidR="00E07285" w:rsidRDefault="00E07285" w:rsidP="00E07285">
            <w:pPr>
              <w:jc w:val="center"/>
              <w:rPr>
                <w:rFonts w:ascii="Times New Roman" w:hAnsi="Times New Roman"/>
                <w:kern w:val="0"/>
                <w:sz w:val="20"/>
                <w:szCs w:val="20"/>
              </w:rPr>
            </w:pPr>
          </w:p>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2</w:t>
            </w:r>
          </w:p>
        </w:tc>
        <w:tc>
          <w:tcPr>
            <w:tcW w:w="1419"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第三章</w:t>
            </w:r>
          </w:p>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污水的物理处理</w:t>
            </w:r>
          </w:p>
        </w:tc>
        <w:tc>
          <w:tcPr>
            <w:tcW w:w="1097"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4</w:t>
            </w:r>
          </w:p>
        </w:tc>
        <w:tc>
          <w:tcPr>
            <w:tcW w:w="3156" w:type="dxa"/>
            <w:vAlign w:val="center"/>
          </w:tcPr>
          <w:p w:rsidR="00E07285" w:rsidRDefault="00E07285" w:rsidP="00E07285">
            <w:pPr>
              <w:jc w:val="left"/>
              <w:rPr>
                <w:rFonts w:ascii="Times New Roman" w:hAnsi="Times New Roman"/>
                <w:kern w:val="0"/>
                <w:sz w:val="20"/>
                <w:szCs w:val="20"/>
              </w:rPr>
            </w:pPr>
            <w:r>
              <w:rPr>
                <w:rFonts w:ascii="Times New Roman" w:hAnsi="Times New Roman"/>
                <w:kern w:val="0"/>
                <w:sz w:val="20"/>
                <w:szCs w:val="20"/>
              </w:rPr>
              <w:t>3.1</w:t>
            </w:r>
            <w:r>
              <w:rPr>
                <w:rFonts w:ascii="Times New Roman" w:hAnsi="Times New Roman"/>
                <w:kern w:val="0"/>
                <w:sz w:val="20"/>
                <w:szCs w:val="20"/>
              </w:rPr>
              <w:t>格栅与破碎</w:t>
            </w:r>
          </w:p>
          <w:p w:rsidR="00E07285" w:rsidRDefault="00E07285" w:rsidP="00E07285">
            <w:pPr>
              <w:jc w:val="left"/>
              <w:rPr>
                <w:rFonts w:ascii="Times New Roman" w:hAnsi="Times New Roman"/>
                <w:kern w:val="0"/>
                <w:sz w:val="20"/>
                <w:szCs w:val="20"/>
              </w:rPr>
            </w:pPr>
            <w:r>
              <w:rPr>
                <w:rFonts w:ascii="Times New Roman" w:hAnsi="Times New Roman"/>
                <w:kern w:val="0"/>
                <w:sz w:val="20"/>
                <w:szCs w:val="20"/>
              </w:rPr>
              <w:t>3.2</w:t>
            </w:r>
            <w:r>
              <w:rPr>
                <w:rFonts w:ascii="Times New Roman" w:hAnsi="Times New Roman"/>
                <w:kern w:val="0"/>
                <w:sz w:val="20"/>
                <w:szCs w:val="20"/>
              </w:rPr>
              <w:t>沉淀理论</w:t>
            </w:r>
          </w:p>
          <w:p w:rsidR="00E07285" w:rsidRDefault="00E07285" w:rsidP="00E07285">
            <w:pPr>
              <w:jc w:val="left"/>
              <w:rPr>
                <w:rFonts w:ascii="Times New Roman" w:hAnsi="Times New Roman"/>
                <w:kern w:val="0"/>
                <w:sz w:val="20"/>
                <w:szCs w:val="20"/>
              </w:rPr>
            </w:pPr>
            <w:r>
              <w:rPr>
                <w:rFonts w:ascii="Times New Roman" w:hAnsi="Times New Roman"/>
                <w:kern w:val="0"/>
                <w:sz w:val="20"/>
                <w:szCs w:val="20"/>
              </w:rPr>
              <w:t>3.3</w:t>
            </w:r>
            <w:r>
              <w:rPr>
                <w:rFonts w:ascii="Times New Roman" w:hAnsi="Times New Roman"/>
                <w:kern w:val="0"/>
                <w:sz w:val="20"/>
                <w:szCs w:val="20"/>
              </w:rPr>
              <w:t>沉砂池与沉淀池</w:t>
            </w:r>
          </w:p>
          <w:p w:rsidR="00E07285" w:rsidRDefault="00E07285" w:rsidP="00E07285">
            <w:pPr>
              <w:jc w:val="left"/>
              <w:rPr>
                <w:rFonts w:ascii="Times New Roman" w:hAnsi="Times New Roman"/>
                <w:kern w:val="0"/>
                <w:sz w:val="20"/>
                <w:szCs w:val="20"/>
              </w:rPr>
            </w:pPr>
            <w:r>
              <w:rPr>
                <w:rFonts w:ascii="Times New Roman" w:hAnsi="Times New Roman"/>
                <w:kern w:val="0"/>
                <w:sz w:val="20"/>
                <w:szCs w:val="20"/>
              </w:rPr>
              <w:t>3.4</w:t>
            </w:r>
            <w:r>
              <w:rPr>
                <w:rFonts w:ascii="Times New Roman" w:hAnsi="Times New Roman"/>
                <w:kern w:val="0"/>
                <w:sz w:val="20"/>
                <w:szCs w:val="20"/>
              </w:rPr>
              <w:t>强化一级处理</w:t>
            </w:r>
          </w:p>
        </w:tc>
        <w:tc>
          <w:tcPr>
            <w:tcW w:w="3398" w:type="dxa"/>
            <w:vAlign w:val="center"/>
          </w:tcPr>
          <w:p w:rsidR="00E07285" w:rsidRDefault="00E07285" w:rsidP="005F6318">
            <w:pPr>
              <w:numPr>
                <w:ilvl w:val="0"/>
                <w:numId w:val="47"/>
              </w:numPr>
              <w:tabs>
                <w:tab w:val="clear" w:pos="312"/>
                <w:tab w:val="left" w:pos="220"/>
              </w:tabs>
              <w:jc w:val="left"/>
              <w:rPr>
                <w:rFonts w:ascii="Times New Roman" w:hAnsi="Times New Roman"/>
                <w:kern w:val="0"/>
                <w:sz w:val="20"/>
                <w:szCs w:val="20"/>
              </w:rPr>
            </w:pPr>
            <w:r>
              <w:rPr>
                <w:rFonts w:ascii="Times New Roman" w:hAnsi="Times New Roman"/>
                <w:kern w:val="0"/>
                <w:sz w:val="20"/>
                <w:szCs w:val="20"/>
              </w:rPr>
              <w:t>熟悉预处理方法，掌握沉淀理论与沉淀池设计方法；</w:t>
            </w:r>
          </w:p>
          <w:p w:rsidR="00E07285" w:rsidRDefault="00E07285" w:rsidP="005F6318">
            <w:pPr>
              <w:numPr>
                <w:ilvl w:val="0"/>
                <w:numId w:val="47"/>
              </w:numPr>
              <w:tabs>
                <w:tab w:val="clear" w:pos="312"/>
                <w:tab w:val="left" w:pos="220"/>
              </w:tabs>
              <w:jc w:val="left"/>
              <w:rPr>
                <w:rFonts w:ascii="Times New Roman" w:hAnsi="Times New Roman"/>
                <w:kern w:val="0"/>
                <w:sz w:val="20"/>
                <w:szCs w:val="20"/>
              </w:rPr>
            </w:pPr>
            <w:r>
              <w:rPr>
                <w:rFonts w:ascii="Times New Roman" w:hAnsi="Times New Roman"/>
                <w:kern w:val="0"/>
                <w:sz w:val="20"/>
                <w:szCs w:val="20"/>
              </w:rPr>
              <w:t>了解强化一级处理</w:t>
            </w:r>
          </w:p>
        </w:tc>
      </w:tr>
      <w:tr w:rsidR="00E07285" w:rsidTr="00E07285">
        <w:trPr>
          <w:trHeight w:val="707"/>
        </w:trPr>
        <w:tc>
          <w:tcPr>
            <w:tcW w:w="532"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3</w:t>
            </w:r>
          </w:p>
        </w:tc>
        <w:tc>
          <w:tcPr>
            <w:tcW w:w="1419"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第四章</w:t>
            </w:r>
          </w:p>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活性污泥处理工艺的基本原理</w:t>
            </w:r>
          </w:p>
          <w:p w:rsidR="00E07285" w:rsidRDefault="00E07285" w:rsidP="00E07285">
            <w:pPr>
              <w:jc w:val="center"/>
              <w:rPr>
                <w:rFonts w:ascii="Times New Roman" w:hAnsi="Times New Roman"/>
                <w:kern w:val="0"/>
                <w:sz w:val="20"/>
                <w:szCs w:val="20"/>
              </w:rPr>
            </w:pPr>
          </w:p>
          <w:p w:rsidR="00E07285" w:rsidRDefault="00E07285" w:rsidP="00E07285">
            <w:pPr>
              <w:jc w:val="center"/>
              <w:rPr>
                <w:rFonts w:ascii="Times New Roman" w:hAnsi="Times New Roman"/>
                <w:kern w:val="0"/>
                <w:sz w:val="20"/>
                <w:szCs w:val="20"/>
              </w:rPr>
            </w:pPr>
          </w:p>
        </w:tc>
        <w:tc>
          <w:tcPr>
            <w:tcW w:w="1097"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14</w:t>
            </w:r>
          </w:p>
        </w:tc>
        <w:tc>
          <w:tcPr>
            <w:tcW w:w="3156" w:type="dxa"/>
            <w:vAlign w:val="center"/>
          </w:tcPr>
          <w:p w:rsidR="00E07285" w:rsidRDefault="00E07285" w:rsidP="00E07285">
            <w:pPr>
              <w:rPr>
                <w:rFonts w:ascii="Times New Roman" w:hAnsi="Times New Roman"/>
                <w:kern w:val="0"/>
                <w:sz w:val="20"/>
                <w:szCs w:val="20"/>
              </w:rPr>
            </w:pPr>
            <w:r>
              <w:rPr>
                <w:rFonts w:ascii="Times New Roman" w:hAnsi="Times New Roman"/>
                <w:kern w:val="0"/>
                <w:sz w:val="20"/>
                <w:szCs w:val="20"/>
              </w:rPr>
              <w:t>4.1</w:t>
            </w:r>
            <w:r>
              <w:rPr>
                <w:rFonts w:ascii="Times New Roman" w:hAnsi="Times New Roman"/>
                <w:kern w:val="0"/>
                <w:sz w:val="20"/>
                <w:szCs w:val="20"/>
              </w:rPr>
              <w:t>活性污泥工艺基本原理</w:t>
            </w:r>
          </w:p>
          <w:p w:rsidR="00E07285" w:rsidRDefault="00E07285" w:rsidP="00E07285">
            <w:pPr>
              <w:rPr>
                <w:rFonts w:ascii="Times New Roman" w:hAnsi="Times New Roman"/>
                <w:kern w:val="0"/>
                <w:sz w:val="20"/>
                <w:szCs w:val="20"/>
              </w:rPr>
            </w:pPr>
            <w:r>
              <w:rPr>
                <w:rFonts w:ascii="Times New Roman" w:hAnsi="Times New Roman"/>
                <w:kern w:val="0"/>
                <w:sz w:val="20"/>
                <w:szCs w:val="20"/>
              </w:rPr>
              <w:t>4.2</w:t>
            </w:r>
            <w:r>
              <w:rPr>
                <w:rFonts w:ascii="Times New Roman" w:hAnsi="Times New Roman"/>
                <w:kern w:val="0"/>
                <w:sz w:val="20"/>
                <w:szCs w:val="20"/>
              </w:rPr>
              <w:t>影响因素与主要设计运行参数</w:t>
            </w:r>
          </w:p>
          <w:p w:rsidR="00E07285" w:rsidRDefault="00E07285" w:rsidP="00E07285">
            <w:pPr>
              <w:rPr>
                <w:rFonts w:ascii="Times New Roman" w:hAnsi="Times New Roman"/>
                <w:kern w:val="0"/>
                <w:sz w:val="20"/>
                <w:szCs w:val="20"/>
              </w:rPr>
            </w:pPr>
            <w:r>
              <w:rPr>
                <w:rFonts w:ascii="Times New Roman" w:hAnsi="Times New Roman"/>
                <w:kern w:val="0"/>
                <w:sz w:val="20"/>
                <w:szCs w:val="20"/>
              </w:rPr>
              <w:t>4.3</w:t>
            </w:r>
            <w:r>
              <w:rPr>
                <w:rFonts w:ascii="Times New Roman" w:hAnsi="Times New Roman"/>
                <w:kern w:val="0"/>
                <w:sz w:val="20"/>
                <w:szCs w:val="20"/>
              </w:rPr>
              <w:t>系统重要参数的相关性</w:t>
            </w:r>
          </w:p>
          <w:p w:rsidR="00E07285" w:rsidRDefault="00E07285" w:rsidP="00E07285">
            <w:pPr>
              <w:rPr>
                <w:rFonts w:ascii="Times New Roman" w:hAnsi="Times New Roman"/>
                <w:kern w:val="0"/>
                <w:sz w:val="20"/>
                <w:szCs w:val="20"/>
              </w:rPr>
            </w:pPr>
            <w:r>
              <w:rPr>
                <w:rFonts w:ascii="Times New Roman" w:hAnsi="Times New Roman"/>
                <w:kern w:val="0"/>
                <w:sz w:val="20"/>
                <w:szCs w:val="20"/>
              </w:rPr>
              <w:t>4.4</w:t>
            </w:r>
            <w:r>
              <w:rPr>
                <w:rFonts w:ascii="Times New Roman" w:hAnsi="Times New Roman"/>
                <w:kern w:val="0"/>
                <w:sz w:val="20"/>
                <w:szCs w:val="20"/>
              </w:rPr>
              <w:t>反应动力学</w:t>
            </w:r>
          </w:p>
          <w:p w:rsidR="00E07285" w:rsidRDefault="00E07285" w:rsidP="00E07285">
            <w:pPr>
              <w:rPr>
                <w:rFonts w:ascii="Times New Roman" w:hAnsi="Times New Roman"/>
                <w:kern w:val="0"/>
                <w:sz w:val="20"/>
                <w:szCs w:val="20"/>
              </w:rPr>
            </w:pPr>
            <w:r>
              <w:rPr>
                <w:rFonts w:ascii="Times New Roman" w:hAnsi="Times New Roman"/>
                <w:kern w:val="0"/>
                <w:sz w:val="20"/>
                <w:szCs w:val="20"/>
              </w:rPr>
              <w:t>4.5</w:t>
            </w:r>
            <w:r>
              <w:rPr>
                <w:rFonts w:ascii="Times New Roman" w:hAnsi="Times New Roman"/>
                <w:kern w:val="0"/>
                <w:sz w:val="20"/>
                <w:szCs w:val="20"/>
              </w:rPr>
              <w:t>氧传质理论与扩散装置</w:t>
            </w:r>
          </w:p>
          <w:p w:rsidR="00E07285" w:rsidRDefault="00E07285" w:rsidP="00E07285">
            <w:pPr>
              <w:rPr>
                <w:rFonts w:ascii="Times New Roman" w:hAnsi="Times New Roman"/>
                <w:kern w:val="0"/>
                <w:sz w:val="20"/>
                <w:szCs w:val="20"/>
              </w:rPr>
            </w:pPr>
            <w:r>
              <w:rPr>
                <w:rFonts w:ascii="Times New Roman" w:hAnsi="Times New Roman"/>
                <w:kern w:val="0"/>
                <w:sz w:val="20"/>
                <w:szCs w:val="20"/>
              </w:rPr>
              <w:t>4.6</w:t>
            </w:r>
            <w:r>
              <w:rPr>
                <w:rFonts w:ascii="Times New Roman" w:hAnsi="Times New Roman"/>
                <w:kern w:val="0"/>
                <w:sz w:val="20"/>
                <w:szCs w:val="20"/>
              </w:rPr>
              <w:t>活性污泥反应器</w:t>
            </w:r>
          </w:p>
          <w:p w:rsidR="00E07285" w:rsidRDefault="00E07285" w:rsidP="00E07285">
            <w:pPr>
              <w:rPr>
                <w:rFonts w:ascii="Times New Roman" w:hAnsi="Times New Roman"/>
                <w:kern w:val="0"/>
                <w:sz w:val="20"/>
                <w:szCs w:val="20"/>
              </w:rPr>
            </w:pPr>
            <w:r>
              <w:rPr>
                <w:rFonts w:ascii="Times New Roman" w:hAnsi="Times New Roman"/>
                <w:kern w:val="0"/>
                <w:sz w:val="20"/>
                <w:szCs w:val="20"/>
              </w:rPr>
              <w:t>4.7</w:t>
            </w:r>
            <w:r>
              <w:rPr>
                <w:rFonts w:ascii="Times New Roman" w:hAnsi="Times New Roman"/>
                <w:kern w:val="0"/>
                <w:sz w:val="20"/>
                <w:szCs w:val="20"/>
              </w:rPr>
              <w:t>泥水分离器</w:t>
            </w:r>
          </w:p>
          <w:p w:rsidR="00E07285" w:rsidRDefault="00E07285" w:rsidP="00E07285">
            <w:pPr>
              <w:rPr>
                <w:rFonts w:ascii="Times New Roman" w:hAnsi="Times New Roman"/>
                <w:kern w:val="0"/>
                <w:sz w:val="20"/>
                <w:szCs w:val="20"/>
              </w:rPr>
            </w:pPr>
            <w:r>
              <w:rPr>
                <w:rFonts w:ascii="Times New Roman" w:hAnsi="Times New Roman"/>
                <w:kern w:val="0"/>
                <w:sz w:val="20"/>
                <w:szCs w:val="20"/>
              </w:rPr>
              <w:t>4.8</w:t>
            </w:r>
            <w:r>
              <w:rPr>
                <w:rFonts w:ascii="Times New Roman" w:hAnsi="Times New Roman"/>
                <w:kern w:val="0"/>
                <w:sz w:val="20"/>
                <w:szCs w:val="20"/>
              </w:rPr>
              <w:t>污泥的驯化与异常控制</w:t>
            </w:r>
          </w:p>
        </w:tc>
        <w:tc>
          <w:tcPr>
            <w:tcW w:w="3398" w:type="dxa"/>
            <w:vAlign w:val="center"/>
          </w:tcPr>
          <w:p w:rsidR="00E07285" w:rsidRDefault="00E07285" w:rsidP="005F6318">
            <w:pPr>
              <w:numPr>
                <w:ilvl w:val="0"/>
                <w:numId w:val="48"/>
              </w:numPr>
              <w:tabs>
                <w:tab w:val="clear" w:pos="312"/>
                <w:tab w:val="left" w:pos="220"/>
              </w:tabs>
              <w:rPr>
                <w:rFonts w:ascii="Times New Roman" w:hAnsi="Times New Roman"/>
                <w:kern w:val="0"/>
                <w:sz w:val="20"/>
                <w:szCs w:val="20"/>
              </w:rPr>
            </w:pPr>
            <w:r>
              <w:rPr>
                <w:rFonts w:ascii="Times New Roman" w:hAnsi="Times New Roman"/>
                <w:kern w:val="0"/>
                <w:sz w:val="20"/>
                <w:szCs w:val="20"/>
              </w:rPr>
              <w:t>熟悉活性污泥法及其净化机理；</w:t>
            </w:r>
          </w:p>
          <w:p w:rsidR="00E07285" w:rsidRDefault="00E07285" w:rsidP="005F6318">
            <w:pPr>
              <w:numPr>
                <w:ilvl w:val="0"/>
                <w:numId w:val="48"/>
              </w:numPr>
              <w:tabs>
                <w:tab w:val="clear" w:pos="312"/>
                <w:tab w:val="left" w:pos="220"/>
              </w:tabs>
              <w:rPr>
                <w:rFonts w:ascii="Times New Roman" w:hAnsi="Times New Roman"/>
                <w:kern w:val="0"/>
                <w:sz w:val="20"/>
                <w:szCs w:val="20"/>
              </w:rPr>
            </w:pPr>
            <w:r>
              <w:rPr>
                <w:rFonts w:ascii="Times New Roman" w:hAnsi="Times New Roman"/>
                <w:kern w:val="0"/>
                <w:sz w:val="20"/>
                <w:szCs w:val="20"/>
              </w:rPr>
              <w:t>掌握活性污泥形态、微生物作用、增殖规律及影响因素；</w:t>
            </w:r>
          </w:p>
          <w:p w:rsidR="00E07285" w:rsidRDefault="00E07285" w:rsidP="005F6318">
            <w:pPr>
              <w:numPr>
                <w:ilvl w:val="0"/>
                <w:numId w:val="48"/>
              </w:numPr>
              <w:tabs>
                <w:tab w:val="clear" w:pos="312"/>
                <w:tab w:val="left" w:pos="220"/>
              </w:tabs>
              <w:rPr>
                <w:rFonts w:ascii="Times New Roman" w:hAnsi="Times New Roman"/>
                <w:kern w:val="0"/>
                <w:sz w:val="20"/>
                <w:szCs w:val="20"/>
              </w:rPr>
            </w:pPr>
            <w:r>
              <w:rPr>
                <w:rFonts w:ascii="Times New Roman" w:hAnsi="Times New Roman"/>
                <w:kern w:val="0"/>
                <w:sz w:val="20"/>
                <w:szCs w:val="20"/>
              </w:rPr>
              <w:t>掌握系统主要设计参数及相关性；</w:t>
            </w:r>
          </w:p>
          <w:p w:rsidR="00E07285" w:rsidRDefault="00E07285" w:rsidP="005F6318">
            <w:pPr>
              <w:numPr>
                <w:ilvl w:val="0"/>
                <w:numId w:val="48"/>
              </w:numPr>
              <w:tabs>
                <w:tab w:val="clear" w:pos="312"/>
                <w:tab w:val="left" w:pos="220"/>
              </w:tabs>
              <w:rPr>
                <w:rFonts w:ascii="Times New Roman" w:hAnsi="Times New Roman"/>
                <w:kern w:val="0"/>
                <w:sz w:val="20"/>
                <w:szCs w:val="20"/>
              </w:rPr>
            </w:pPr>
            <w:r>
              <w:rPr>
                <w:rFonts w:ascii="Times New Roman" w:hAnsi="Times New Roman"/>
                <w:kern w:val="0"/>
                <w:sz w:val="20"/>
                <w:szCs w:val="20"/>
              </w:rPr>
              <w:t>掌握活性污泥性能及动力学指标；</w:t>
            </w:r>
          </w:p>
          <w:p w:rsidR="00E07285" w:rsidRDefault="00E07285" w:rsidP="005F6318">
            <w:pPr>
              <w:numPr>
                <w:ilvl w:val="0"/>
                <w:numId w:val="48"/>
              </w:numPr>
              <w:tabs>
                <w:tab w:val="clear" w:pos="312"/>
                <w:tab w:val="left" w:pos="220"/>
              </w:tabs>
              <w:rPr>
                <w:rFonts w:ascii="Times New Roman" w:hAnsi="Times New Roman"/>
                <w:kern w:val="0"/>
                <w:sz w:val="20"/>
                <w:szCs w:val="20"/>
              </w:rPr>
            </w:pPr>
            <w:r>
              <w:rPr>
                <w:rFonts w:ascii="Times New Roman" w:hAnsi="Times New Roman"/>
                <w:kern w:val="0"/>
                <w:sz w:val="20"/>
                <w:szCs w:val="20"/>
              </w:rPr>
              <w:t>掌握氧转移原理及影响因素；</w:t>
            </w:r>
          </w:p>
          <w:p w:rsidR="00E07285" w:rsidRDefault="00E07285" w:rsidP="005F6318">
            <w:pPr>
              <w:numPr>
                <w:ilvl w:val="0"/>
                <w:numId w:val="48"/>
              </w:numPr>
              <w:tabs>
                <w:tab w:val="clear" w:pos="312"/>
                <w:tab w:val="left" w:pos="220"/>
              </w:tabs>
              <w:rPr>
                <w:rFonts w:ascii="Times New Roman" w:hAnsi="Times New Roman"/>
                <w:kern w:val="0"/>
                <w:sz w:val="20"/>
                <w:szCs w:val="20"/>
              </w:rPr>
            </w:pPr>
            <w:r>
              <w:rPr>
                <w:rFonts w:ascii="Times New Roman" w:hAnsi="Times New Roman"/>
                <w:kern w:val="0"/>
                <w:sz w:val="20"/>
                <w:szCs w:val="20"/>
              </w:rPr>
              <w:t>熟悉污泥驯化系统运行参数控制方法。</w:t>
            </w:r>
          </w:p>
        </w:tc>
      </w:tr>
      <w:tr w:rsidR="00E07285" w:rsidTr="00E07285">
        <w:trPr>
          <w:trHeight w:val="1190"/>
        </w:trPr>
        <w:tc>
          <w:tcPr>
            <w:tcW w:w="532"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4</w:t>
            </w:r>
          </w:p>
        </w:tc>
        <w:tc>
          <w:tcPr>
            <w:tcW w:w="1419"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第五章</w:t>
            </w:r>
          </w:p>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活性污泥处理工艺系统</w:t>
            </w:r>
          </w:p>
        </w:tc>
        <w:tc>
          <w:tcPr>
            <w:tcW w:w="1097"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4</w:t>
            </w:r>
          </w:p>
        </w:tc>
        <w:tc>
          <w:tcPr>
            <w:tcW w:w="3156" w:type="dxa"/>
            <w:vAlign w:val="center"/>
          </w:tcPr>
          <w:p w:rsidR="00E07285" w:rsidRDefault="00E07285" w:rsidP="00E07285">
            <w:pPr>
              <w:rPr>
                <w:rFonts w:ascii="Times New Roman" w:hAnsi="Times New Roman"/>
                <w:kern w:val="0"/>
                <w:sz w:val="20"/>
                <w:szCs w:val="20"/>
              </w:rPr>
            </w:pPr>
            <w:r>
              <w:rPr>
                <w:rFonts w:ascii="Times New Roman" w:hAnsi="Times New Roman"/>
                <w:kern w:val="0"/>
                <w:sz w:val="20"/>
                <w:szCs w:val="20"/>
              </w:rPr>
              <w:t>5.1</w:t>
            </w:r>
            <w:r>
              <w:rPr>
                <w:rFonts w:ascii="Times New Roman" w:hAnsi="Times New Roman"/>
                <w:kern w:val="0"/>
                <w:sz w:val="20"/>
                <w:szCs w:val="20"/>
              </w:rPr>
              <w:t>活性污泥法传统工艺</w:t>
            </w:r>
          </w:p>
          <w:p w:rsidR="00E07285" w:rsidRDefault="00E07285" w:rsidP="00E07285">
            <w:pPr>
              <w:rPr>
                <w:rFonts w:ascii="Times New Roman" w:hAnsi="Times New Roman"/>
                <w:kern w:val="0"/>
                <w:sz w:val="20"/>
                <w:szCs w:val="20"/>
              </w:rPr>
            </w:pPr>
            <w:r>
              <w:rPr>
                <w:rFonts w:ascii="Times New Roman" w:hAnsi="Times New Roman"/>
                <w:kern w:val="0"/>
                <w:sz w:val="20"/>
                <w:szCs w:val="20"/>
              </w:rPr>
              <w:t>5.2SBR</w:t>
            </w:r>
            <w:r>
              <w:rPr>
                <w:rFonts w:ascii="Times New Roman" w:hAnsi="Times New Roman"/>
                <w:kern w:val="0"/>
                <w:sz w:val="20"/>
                <w:szCs w:val="20"/>
              </w:rPr>
              <w:t>及其衍生工艺、</w:t>
            </w:r>
            <w:r>
              <w:rPr>
                <w:rFonts w:ascii="Times New Roman" w:hAnsi="Times New Roman"/>
                <w:kern w:val="0"/>
                <w:sz w:val="20"/>
                <w:szCs w:val="20"/>
              </w:rPr>
              <w:t>OD</w:t>
            </w:r>
            <w:r>
              <w:rPr>
                <w:rFonts w:ascii="Times New Roman" w:hAnsi="Times New Roman"/>
                <w:kern w:val="0"/>
                <w:sz w:val="20"/>
                <w:szCs w:val="20"/>
              </w:rPr>
              <w:t>工艺、</w:t>
            </w:r>
            <w:r>
              <w:rPr>
                <w:rFonts w:ascii="Times New Roman" w:hAnsi="Times New Roman"/>
                <w:kern w:val="0"/>
                <w:sz w:val="20"/>
                <w:szCs w:val="20"/>
              </w:rPr>
              <w:t>A-B</w:t>
            </w:r>
            <w:r>
              <w:rPr>
                <w:rFonts w:ascii="Times New Roman" w:hAnsi="Times New Roman"/>
                <w:kern w:val="0"/>
                <w:sz w:val="20"/>
                <w:szCs w:val="20"/>
              </w:rPr>
              <w:t>工艺</w:t>
            </w:r>
          </w:p>
          <w:p w:rsidR="00E07285" w:rsidRDefault="00E07285" w:rsidP="00E07285">
            <w:pPr>
              <w:rPr>
                <w:rFonts w:ascii="Times New Roman" w:hAnsi="Times New Roman"/>
                <w:kern w:val="0"/>
                <w:sz w:val="20"/>
                <w:szCs w:val="20"/>
              </w:rPr>
            </w:pPr>
            <w:r>
              <w:rPr>
                <w:rFonts w:ascii="Times New Roman" w:hAnsi="Times New Roman"/>
                <w:kern w:val="0"/>
                <w:sz w:val="20"/>
                <w:szCs w:val="20"/>
              </w:rPr>
              <w:t>5.3MBR</w:t>
            </w:r>
            <w:r>
              <w:rPr>
                <w:rFonts w:ascii="Times New Roman" w:hAnsi="Times New Roman"/>
                <w:kern w:val="0"/>
                <w:sz w:val="20"/>
                <w:szCs w:val="20"/>
              </w:rPr>
              <w:t>、</w:t>
            </w:r>
            <w:r>
              <w:rPr>
                <w:rFonts w:ascii="Times New Roman" w:hAnsi="Times New Roman"/>
                <w:kern w:val="0"/>
                <w:sz w:val="20"/>
                <w:szCs w:val="20"/>
              </w:rPr>
              <w:t>BIOLAK</w:t>
            </w:r>
            <w:r>
              <w:rPr>
                <w:rFonts w:ascii="Times New Roman" w:hAnsi="Times New Roman"/>
                <w:kern w:val="0"/>
                <w:sz w:val="20"/>
                <w:szCs w:val="20"/>
              </w:rPr>
              <w:t>等工艺</w:t>
            </w:r>
          </w:p>
        </w:tc>
        <w:tc>
          <w:tcPr>
            <w:tcW w:w="3398" w:type="dxa"/>
            <w:vAlign w:val="center"/>
          </w:tcPr>
          <w:p w:rsidR="00E07285" w:rsidRDefault="00E07285" w:rsidP="005F6318">
            <w:pPr>
              <w:numPr>
                <w:ilvl w:val="0"/>
                <w:numId w:val="49"/>
              </w:numPr>
              <w:tabs>
                <w:tab w:val="clear" w:pos="312"/>
                <w:tab w:val="left" w:pos="220"/>
              </w:tabs>
              <w:rPr>
                <w:rFonts w:ascii="Times New Roman" w:hAnsi="Times New Roman"/>
                <w:kern w:val="0"/>
                <w:sz w:val="20"/>
                <w:szCs w:val="20"/>
              </w:rPr>
            </w:pPr>
            <w:r>
              <w:rPr>
                <w:rFonts w:ascii="Times New Roman" w:hAnsi="Times New Roman"/>
                <w:kern w:val="0"/>
                <w:sz w:val="20"/>
                <w:szCs w:val="20"/>
              </w:rPr>
              <w:t>掌握活性污泥传统工艺系统；</w:t>
            </w:r>
          </w:p>
          <w:p w:rsidR="00E07285" w:rsidRDefault="00E07285" w:rsidP="005F6318">
            <w:pPr>
              <w:numPr>
                <w:ilvl w:val="0"/>
                <w:numId w:val="49"/>
              </w:numPr>
              <w:tabs>
                <w:tab w:val="clear" w:pos="312"/>
                <w:tab w:val="left" w:pos="220"/>
              </w:tabs>
              <w:rPr>
                <w:rFonts w:ascii="Times New Roman" w:hAnsi="Times New Roman"/>
                <w:kern w:val="0"/>
                <w:sz w:val="20"/>
                <w:szCs w:val="20"/>
              </w:rPr>
            </w:pPr>
            <w:r>
              <w:rPr>
                <w:rFonts w:ascii="Times New Roman" w:hAnsi="Times New Roman"/>
                <w:kern w:val="0"/>
                <w:sz w:val="20"/>
                <w:szCs w:val="20"/>
              </w:rPr>
              <w:t>掌握活性污泥常用工艺系统，了解新工艺。</w:t>
            </w:r>
          </w:p>
        </w:tc>
      </w:tr>
      <w:tr w:rsidR="00E07285" w:rsidTr="00E07285">
        <w:trPr>
          <w:trHeight w:val="1269"/>
        </w:trPr>
        <w:tc>
          <w:tcPr>
            <w:tcW w:w="532"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5</w:t>
            </w:r>
          </w:p>
        </w:tc>
        <w:tc>
          <w:tcPr>
            <w:tcW w:w="1419"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第六章</w:t>
            </w:r>
          </w:p>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生物脱氮</w:t>
            </w:r>
          </w:p>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除磷</w:t>
            </w:r>
          </w:p>
        </w:tc>
        <w:tc>
          <w:tcPr>
            <w:tcW w:w="1097"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4</w:t>
            </w:r>
          </w:p>
        </w:tc>
        <w:tc>
          <w:tcPr>
            <w:tcW w:w="3156" w:type="dxa"/>
            <w:vAlign w:val="center"/>
          </w:tcPr>
          <w:p w:rsidR="00E07285" w:rsidRDefault="00E07285" w:rsidP="00E07285">
            <w:pPr>
              <w:rPr>
                <w:rFonts w:ascii="Times New Roman" w:hAnsi="Times New Roman"/>
                <w:kern w:val="0"/>
                <w:sz w:val="20"/>
                <w:szCs w:val="20"/>
              </w:rPr>
            </w:pPr>
            <w:r>
              <w:rPr>
                <w:rFonts w:ascii="Times New Roman" w:hAnsi="Times New Roman"/>
                <w:kern w:val="0"/>
                <w:sz w:val="20"/>
                <w:szCs w:val="20"/>
              </w:rPr>
              <w:t>6.1</w:t>
            </w:r>
            <w:r>
              <w:rPr>
                <w:rFonts w:ascii="Times New Roman" w:hAnsi="Times New Roman"/>
                <w:kern w:val="0"/>
                <w:sz w:val="20"/>
                <w:szCs w:val="20"/>
              </w:rPr>
              <w:t>生物脱氮除磷原理及工艺</w:t>
            </w:r>
          </w:p>
          <w:p w:rsidR="00E07285" w:rsidRDefault="00E07285" w:rsidP="00E07285">
            <w:pPr>
              <w:rPr>
                <w:rFonts w:ascii="Times New Roman" w:hAnsi="Times New Roman"/>
                <w:kern w:val="0"/>
                <w:sz w:val="20"/>
                <w:szCs w:val="20"/>
              </w:rPr>
            </w:pPr>
            <w:r>
              <w:rPr>
                <w:rFonts w:ascii="Times New Roman" w:hAnsi="Times New Roman"/>
                <w:kern w:val="0"/>
                <w:sz w:val="20"/>
                <w:szCs w:val="20"/>
              </w:rPr>
              <w:t>6.2</w:t>
            </w:r>
            <w:r>
              <w:rPr>
                <w:rFonts w:ascii="Times New Roman" w:hAnsi="Times New Roman"/>
                <w:kern w:val="0"/>
                <w:sz w:val="20"/>
                <w:szCs w:val="20"/>
              </w:rPr>
              <w:t>同步生物脱氮除磷工艺</w:t>
            </w:r>
          </w:p>
          <w:p w:rsidR="00E07285" w:rsidRDefault="00E07285" w:rsidP="00E07285">
            <w:pPr>
              <w:rPr>
                <w:rFonts w:ascii="Times New Roman" w:hAnsi="Times New Roman"/>
                <w:kern w:val="0"/>
                <w:sz w:val="20"/>
                <w:szCs w:val="20"/>
              </w:rPr>
            </w:pPr>
            <w:r>
              <w:rPr>
                <w:rFonts w:ascii="Times New Roman" w:hAnsi="Times New Roman"/>
                <w:kern w:val="0"/>
                <w:sz w:val="20"/>
                <w:szCs w:val="20"/>
              </w:rPr>
              <w:t>6.3</w:t>
            </w:r>
            <w:r>
              <w:rPr>
                <w:rFonts w:ascii="Times New Roman" w:hAnsi="Times New Roman"/>
                <w:kern w:val="0"/>
                <w:sz w:val="20"/>
                <w:szCs w:val="20"/>
              </w:rPr>
              <w:t>生物辅以化学除磷工艺</w:t>
            </w:r>
          </w:p>
        </w:tc>
        <w:tc>
          <w:tcPr>
            <w:tcW w:w="3398" w:type="dxa"/>
            <w:vAlign w:val="center"/>
          </w:tcPr>
          <w:p w:rsidR="00E07285" w:rsidRDefault="00E07285" w:rsidP="005F6318">
            <w:pPr>
              <w:numPr>
                <w:ilvl w:val="0"/>
                <w:numId w:val="50"/>
              </w:numPr>
              <w:tabs>
                <w:tab w:val="clear" w:pos="312"/>
                <w:tab w:val="left" w:pos="220"/>
              </w:tabs>
              <w:rPr>
                <w:rFonts w:ascii="Times New Roman" w:hAnsi="Times New Roman"/>
                <w:kern w:val="0"/>
                <w:sz w:val="20"/>
                <w:szCs w:val="20"/>
              </w:rPr>
            </w:pPr>
            <w:r>
              <w:rPr>
                <w:rFonts w:ascii="Times New Roman" w:hAnsi="Times New Roman"/>
                <w:kern w:val="0"/>
                <w:sz w:val="20"/>
                <w:szCs w:val="20"/>
              </w:rPr>
              <w:t>掌握生物脱氮除磷原理；</w:t>
            </w:r>
          </w:p>
          <w:p w:rsidR="00E07285" w:rsidRDefault="00E07285" w:rsidP="005F6318">
            <w:pPr>
              <w:numPr>
                <w:ilvl w:val="0"/>
                <w:numId w:val="50"/>
              </w:numPr>
              <w:tabs>
                <w:tab w:val="clear" w:pos="312"/>
                <w:tab w:val="left" w:pos="220"/>
              </w:tabs>
              <w:rPr>
                <w:rFonts w:ascii="Times New Roman" w:hAnsi="Times New Roman"/>
                <w:kern w:val="0"/>
                <w:sz w:val="20"/>
                <w:szCs w:val="20"/>
              </w:rPr>
            </w:pPr>
            <w:r>
              <w:rPr>
                <w:rFonts w:ascii="Times New Roman" w:hAnsi="Times New Roman"/>
                <w:kern w:val="0"/>
                <w:sz w:val="20"/>
                <w:szCs w:val="20"/>
              </w:rPr>
              <w:t>掌握脱氮除磷工艺。</w:t>
            </w:r>
          </w:p>
        </w:tc>
      </w:tr>
      <w:tr w:rsidR="00E07285" w:rsidTr="00E07285">
        <w:trPr>
          <w:trHeight w:val="990"/>
        </w:trPr>
        <w:tc>
          <w:tcPr>
            <w:tcW w:w="532"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6</w:t>
            </w:r>
          </w:p>
        </w:tc>
        <w:tc>
          <w:tcPr>
            <w:tcW w:w="1419"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第七章</w:t>
            </w:r>
          </w:p>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生物膜法</w:t>
            </w:r>
          </w:p>
        </w:tc>
        <w:tc>
          <w:tcPr>
            <w:tcW w:w="1097"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8</w:t>
            </w:r>
          </w:p>
        </w:tc>
        <w:tc>
          <w:tcPr>
            <w:tcW w:w="3156" w:type="dxa"/>
            <w:vAlign w:val="center"/>
          </w:tcPr>
          <w:p w:rsidR="00E07285" w:rsidRDefault="00E07285" w:rsidP="00E07285">
            <w:pPr>
              <w:rPr>
                <w:rFonts w:ascii="Times New Roman" w:hAnsi="Times New Roman"/>
                <w:kern w:val="0"/>
                <w:sz w:val="20"/>
                <w:szCs w:val="20"/>
              </w:rPr>
            </w:pPr>
            <w:r>
              <w:rPr>
                <w:rFonts w:ascii="Times New Roman" w:hAnsi="Times New Roman"/>
                <w:kern w:val="0"/>
                <w:sz w:val="20"/>
                <w:szCs w:val="20"/>
              </w:rPr>
              <w:t>7.1</w:t>
            </w:r>
            <w:r>
              <w:rPr>
                <w:rFonts w:ascii="Times New Roman" w:hAnsi="Times New Roman"/>
                <w:kern w:val="0"/>
                <w:sz w:val="20"/>
                <w:szCs w:val="20"/>
              </w:rPr>
              <w:t>生物膜法处理的基本原理及特征</w:t>
            </w:r>
          </w:p>
          <w:p w:rsidR="00E07285" w:rsidRDefault="00E07285" w:rsidP="00E07285">
            <w:pPr>
              <w:rPr>
                <w:rFonts w:ascii="Times New Roman" w:hAnsi="Times New Roman"/>
                <w:kern w:val="0"/>
                <w:sz w:val="20"/>
                <w:szCs w:val="20"/>
              </w:rPr>
            </w:pPr>
            <w:r>
              <w:rPr>
                <w:rFonts w:ascii="Times New Roman" w:hAnsi="Times New Roman"/>
                <w:kern w:val="0"/>
                <w:sz w:val="20"/>
                <w:szCs w:val="20"/>
              </w:rPr>
              <w:t>7.2</w:t>
            </w:r>
            <w:r>
              <w:rPr>
                <w:rFonts w:ascii="Times New Roman" w:hAnsi="Times New Roman"/>
                <w:kern w:val="0"/>
                <w:sz w:val="20"/>
                <w:szCs w:val="20"/>
              </w:rPr>
              <w:t>生物膜法传统工艺</w:t>
            </w:r>
          </w:p>
          <w:p w:rsidR="00E07285" w:rsidRDefault="00E07285" w:rsidP="00E07285">
            <w:pPr>
              <w:rPr>
                <w:rFonts w:ascii="Times New Roman" w:hAnsi="Times New Roman"/>
                <w:kern w:val="0"/>
                <w:sz w:val="20"/>
                <w:szCs w:val="20"/>
              </w:rPr>
            </w:pPr>
            <w:r>
              <w:rPr>
                <w:rFonts w:ascii="Times New Roman" w:hAnsi="Times New Roman"/>
                <w:kern w:val="0"/>
                <w:sz w:val="20"/>
                <w:szCs w:val="20"/>
              </w:rPr>
              <w:t>7.3</w:t>
            </w:r>
            <w:r>
              <w:rPr>
                <w:rFonts w:ascii="Times New Roman" w:hAnsi="Times New Roman"/>
                <w:kern w:val="0"/>
                <w:sz w:val="20"/>
                <w:szCs w:val="20"/>
              </w:rPr>
              <w:t>生物流化床</w:t>
            </w:r>
          </w:p>
          <w:p w:rsidR="00E07285" w:rsidRDefault="00E07285" w:rsidP="00E07285">
            <w:pPr>
              <w:rPr>
                <w:rFonts w:ascii="Times New Roman" w:hAnsi="Times New Roman"/>
                <w:kern w:val="0"/>
                <w:sz w:val="20"/>
                <w:szCs w:val="20"/>
              </w:rPr>
            </w:pPr>
            <w:r>
              <w:rPr>
                <w:rFonts w:ascii="Times New Roman" w:hAnsi="Times New Roman"/>
                <w:kern w:val="0"/>
                <w:sz w:val="20"/>
                <w:szCs w:val="20"/>
              </w:rPr>
              <w:t>7.4BAF</w:t>
            </w:r>
            <w:r>
              <w:rPr>
                <w:rFonts w:ascii="Times New Roman" w:hAnsi="Times New Roman"/>
                <w:kern w:val="0"/>
                <w:sz w:val="20"/>
                <w:szCs w:val="20"/>
              </w:rPr>
              <w:t>及其派生工艺、</w:t>
            </w:r>
            <w:r>
              <w:rPr>
                <w:rFonts w:ascii="Times New Roman" w:hAnsi="Times New Roman"/>
                <w:kern w:val="0"/>
                <w:sz w:val="20"/>
                <w:szCs w:val="20"/>
              </w:rPr>
              <w:t>MBBR</w:t>
            </w:r>
          </w:p>
        </w:tc>
        <w:tc>
          <w:tcPr>
            <w:tcW w:w="3398" w:type="dxa"/>
            <w:vAlign w:val="center"/>
          </w:tcPr>
          <w:p w:rsidR="00E07285" w:rsidRDefault="00E07285" w:rsidP="005F6318">
            <w:pPr>
              <w:numPr>
                <w:ilvl w:val="0"/>
                <w:numId w:val="51"/>
              </w:numPr>
              <w:tabs>
                <w:tab w:val="clear" w:pos="312"/>
                <w:tab w:val="left" w:pos="220"/>
              </w:tabs>
              <w:rPr>
                <w:rFonts w:ascii="Times New Roman" w:hAnsi="Times New Roman"/>
                <w:kern w:val="0"/>
                <w:sz w:val="20"/>
                <w:szCs w:val="20"/>
              </w:rPr>
            </w:pPr>
            <w:r>
              <w:rPr>
                <w:rFonts w:ascii="Times New Roman" w:hAnsi="Times New Roman"/>
                <w:kern w:val="0"/>
                <w:sz w:val="20"/>
                <w:szCs w:val="20"/>
              </w:rPr>
              <w:t>掌握生物膜法基本概念与基本原理；掌握生物膜增长动力学</w:t>
            </w:r>
          </w:p>
          <w:p w:rsidR="00E07285" w:rsidRDefault="00E07285" w:rsidP="005F6318">
            <w:pPr>
              <w:numPr>
                <w:ilvl w:val="0"/>
                <w:numId w:val="51"/>
              </w:numPr>
              <w:tabs>
                <w:tab w:val="clear" w:pos="312"/>
                <w:tab w:val="left" w:pos="220"/>
              </w:tabs>
              <w:rPr>
                <w:rFonts w:ascii="Times New Roman" w:hAnsi="Times New Roman"/>
                <w:kern w:val="0"/>
                <w:sz w:val="20"/>
                <w:szCs w:val="20"/>
              </w:rPr>
            </w:pPr>
            <w:r>
              <w:rPr>
                <w:rFonts w:ascii="Times New Roman" w:hAnsi="Times New Roman"/>
                <w:kern w:val="0"/>
                <w:sz w:val="20"/>
                <w:szCs w:val="20"/>
              </w:rPr>
              <w:t>掌握生物滤池工作原理及影响因素，熟悉相关新工艺；</w:t>
            </w:r>
          </w:p>
          <w:p w:rsidR="00E07285" w:rsidRDefault="00E07285" w:rsidP="005F6318">
            <w:pPr>
              <w:numPr>
                <w:ilvl w:val="0"/>
                <w:numId w:val="51"/>
              </w:numPr>
              <w:tabs>
                <w:tab w:val="clear" w:pos="312"/>
                <w:tab w:val="left" w:pos="220"/>
              </w:tabs>
              <w:rPr>
                <w:rFonts w:ascii="Times New Roman" w:hAnsi="Times New Roman"/>
                <w:kern w:val="0"/>
                <w:sz w:val="20"/>
                <w:szCs w:val="20"/>
              </w:rPr>
            </w:pPr>
            <w:r>
              <w:rPr>
                <w:rFonts w:ascii="Times New Roman" w:hAnsi="Times New Roman"/>
                <w:kern w:val="0"/>
                <w:sz w:val="20"/>
                <w:szCs w:val="20"/>
              </w:rPr>
              <w:t>了解生物膜法处理系统的运行与管理。</w:t>
            </w:r>
          </w:p>
        </w:tc>
      </w:tr>
      <w:tr w:rsidR="00E07285" w:rsidTr="00E07285">
        <w:trPr>
          <w:trHeight w:val="990"/>
        </w:trPr>
        <w:tc>
          <w:tcPr>
            <w:tcW w:w="532"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7</w:t>
            </w:r>
          </w:p>
        </w:tc>
        <w:tc>
          <w:tcPr>
            <w:tcW w:w="1419"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第八章</w:t>
            </w:r>
            <w:r>
              <w:rPr>
                <w:rFonts w:ascii="Times New Roman" w:hAnsi="Times New Roman"/>
                <w:kern w:val="0"/>
                <w:sz w:val="20"/>
                <w:szCs w:val="20"/>
              </w:rPr>
              <w:t xml:space="preserve"> </w:t>
            </w:r>
            <w:r>
              <w:rPr>
                <w:rFonts w:ascii="Times New Roman" w:hAnsi="Times New Roman"/>
                <w:kern w:val="0"/>
                <w:sz w:val="20"/>
                <w:szCs w:val="20"/>
              </w:rPr>
              <w:t>污水自然处理</w:t>
            </w:r>
          </w:p>
        </w:tc>
        <w:tc>
          <w:tcPr>
            <w:tcW w:w="1097"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2</w:t>
            </w:r>
          </w:p>
        </w:tc>
        <w:tc>
          <w:tcPr>
            <w:tcW w:w="3156" w:type="dxa"/>
            <w:vAlign w:val="center"/>
          </w:tcPr>
          <w:p w:rsidR="00E07285" w:rsidRDefault="00E07285" w:rsidP="00E07285">
            <w:pPr>
              <w:rPr>
                <w:rFonts w:ascii="Times New Roman" w:hAnsi="Times New Roman"/>
                <w:kern w:val="0"/>
                <w:sz w:val="20"/>
                <w:szCs w:val="20"/>
              </w:rPr>
            </w:pPr>
            <w:r>
              <w:rPr>
                <w:rFonts w:ascii="Times New Roman" w:hAnsi="Times New Roman"/>
                <w:kern w:val="0"/>
                <w:sz w:val="20"/>
                <w:szCs w:val="20"/>
              </w:rPr>
              <w:t>8.1</w:t>
            </w:r>
            <w:r>
              <w:rPr>
                <w:rFonts w:ascii="Times New Roman" w:hAnsi="Times New Roman"/>
                <w:kern w:val="0"/>
                <w:sz w:val="20"/>
                <w:szCs w:val="20"/>
              </w:rPr>
              <w:t>稳定塘</w:t>
            </w:r>
          </w:p>
          <w:p w:rsidR="00E07285" w:rsidRDefault="00E07285" w:rsidP="00E07285">
            <w:pPr>
              <w:rPr>
                <w:rFonts w:ascii="Times New Roman" w:hAnsi="Times New Roman"/>
                <w:kern w:val="0"/>
                <w:sz w:val="20"/>
                <w:szCs w:val="20"/>
              </w:rPr>
            </w:pPr>
            <w:r>
              <w:rPr>
                <w:rFonts w:ascii="Times New Roman" w:hAnsi="Times New Roman"/>
                <w:kern w:val="0"/>
                <w:sz w:val="20"/>
                <w:szCs w:val="20"/>
              </w:rPr>
              <w:t>8.2</w:t>
            </w:r>
            <w:r>
              <w:rPr>
                <w:rFonts w:ascii="Times New Roman" w:hAnsi="Times New Roman"/>
                <w:kern w:val="0"/>
                <w:sz w:val="20"/>
                <w:szCs w:val="20"/>
              </w:rPr>
              <w:t>土地处理系统</w:t>
            </w:r>
          </w:p>
        </w:tc>
        <w:tc>
          <w:tcPr>
            <w:tcW w:w="3398" w:type="dxa"/>
            <w:vAlign w:val="center"/>
          </w:tcPr>
          <w:p w:rsidR="00E07285" w:rsidRDefault="00E07285" w:rsidP="005F6318">
            <w:pPr>
              <w:numPr>
                <w:ilvl w:val="0"/>
                <w:numId w:val="52"/>
              </w:numPr>
              <w:tabs>
                <w:tab w:val="clear" w:pos="312"/>
                <w:tab w:val="left" w:pos="220"/>
              </w:tabs>
              <w:rPr>
                <w:rFonts w:ascii="Times New Roman" w:hAnsi="Times New Roman"/>
                <w:kern w:val="0"/>
                <w:sz w:val="20"/>
                <w:szCs w:val="20"/>
              </w:rPr>
            </w:pPr>
            <w:r>
              <w:rPr>
                <w:rFonts w:ascii="Times New Roman" w:hAnsi="Times New Roman"/>
                <w:kern w:val="0"/>
                <w:sz w:val="20"/>
                <w:szCs w:val="20"/>
              </w:rPr>
              <w:t>熟悉稳定塘法处理基本原理；</w:t>
            </w:r>
          </w:p>
          <w:p w:rsidR="00E07285" w:rsidRDefault="00E07285" w:rsidP="005F6318">
            <w:pPr>
              <w:numPr>
                <w:ilvl w:val="0"/>
                <w:numId w:val="52"/>
              </w:numPr>
              <w:tabs>
                <w:tab w:val="clear" w:pos="312"/>
                <w:tab w:val="left" w:pos="220"/>
              </w:tabs>
              <w:rPr>
                <w:rFonts w:ascii="Times New Roman" w:hAnsi="Times New Roman"/>
                <w:kern w:val="0"/>
                <w:sz w:val="20"/>
                <w:szCs w:val="20"/>
              </w:rPr>
            </w:pPr>
            <w:r>
              <w:rPr>
                <w:rFonts w:ascii="Times New Roman" w:hAnsi="Times New Roman"/>
                <w:kern w:val="0"/>
                <w:sz w:val="20"/>
                <w:szCs w:val="20"/>
              </w:rPr>
              <w:t>熟悉土地处理系统原理</w:t>
            </w:r>
          </w:p>
        </w:tc>
      </w:tr>
      <w:tr w:rsidR="00E07285" w:rsidTr="00E07285">
        <w:trPr>
          <w:trHeight w:val="990"/>
        </w:trPr>
        <w:tc>
          <w:tcPr>
            <w:tcW w:w="532"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8</w:t>
            </w:r>
          </w:p>
        </w:tc>
        <w:tc>
          <w:tcPr>
            <w:tcW w:w="1419"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第九章</w:t>
            </w:r>
            <w:r>
              <w:rPr>
                <w:rFonts w:ascii="Times New Roman" w:hAnsi="Times New Roman"/>
                <w:kern w:val="0"/>
                <w:sz w:val="20"/>
                <w:szCs w:val="20"/>
              </w:rPr>
              <w:t xml:space="preserve"> </w:t>
            </w:r>
          </w:p>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消毒与深度处理</w:t>
            </w:r>
          </w:p>
        </w:tc>
        <w:tc>
          <w:tcPr>
            <w:tcW w:w="1097"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4</w:t>
            </w:r>
          </w:p>
        </w:tc>
        <w:tc>
          <w:tcPr>
            <w:tcW w:w="3156" w:type="dxa"/>
            <w:vAlign w:val="center"/>
          </w:tcPr>
          <w:p w:rsidR="00E07285" w:rsidRDefault="00E07285" w:rsidP="00E07285">
            <w:pPr>
              <w:rPr>
                <w:rFonts w:ascii="Times New Roman" w:hAnsi="Times New Roman"/>
                <w:kern w:val="0"/>
                <w:sz w:val="20"/>
                <w:szCs w:val="20"/>
              </w:rPr>
            </w:pPr>
            <w:r>
              <w:rPr>
                <w:rFonts w:ascii="Times New Roman" w:hAnsi="Times New Roman"/>
                <w:kern w:val="0"/>
                <w:sz w:val="20"/>
                <w:szCs w:val="20"/>
              </w:rPr>
              <w:t>9.1</w:t>
            </w:r>
            <w:r>
              <w:rPr>
                <w:rFonts w:ascii="Times New Roman" w:hAnsi="Times New Roman"/>
                <w:kern w:val="0"/>
                <w:sz w:val="20"/>
                <w:szCs w:val="20"/>
              </w:rPr>
              <w:t>污水消毒</w:t>
            </w:r>
          </w:p>
          <w:p w:rsidR="00E07285" w:rsidRDefault="00E07285" w:rsidP="00E07285">
            <w:pPr>
              <w:rPr>
                <w:rFonts w:ascii="Times New Roman" w:hAnsi="Times New Roman"/>
                <w:kern w:val="0"/>
                <w:sz w:val="20"/>
                <w:szCs w:val="20"/>
              </w:rPr>
            </w:pPr>
            <w:r>
              <w:rPr>
                <w:rFonts w:ascii="Times New Roman" w:hAnsi="Times New Roman"/>
                <w:kern w:val="0"/>
                <w:sz w:val="20"/>
                <w:szCs w:val="20"/>
              </w:rPr>
              <w:t>9.2</w:t>
            </w:r>
            <w:r>
              <w:rPr>
                <w:rFonts w:ascii="Times New Roman" w:hAnsi="Times New Roman"/>
                <w:kern w:val="0"/>
                <w:sz w:val="20"/>
                <w:szCs w:val="20"/>
              </w:rPr>
              <w:t>污水的深度处理</w:t>
            </w:r>
          </w:p>
          <w:p w:rsidR="00E07285" w:rsidRDefault="00E07285" w:rsidP="00E07285">
            <w:pPr>
              <w:rPr>
                <w:rFonts w:ascii="Times New Roman" w:hAnsi="Times New Roman"/>
                <w:kern w:val="0"/>
                <w:sz w:val="20"/>
                <w:szCs w:val="20"/>
              </w:rPr>
            </w:pPr>
            <w:r>
              <w:rPr>
                <w:rFonts w:ascii="Times New Roman" w:hAnsi="Times New Roman"/>
                <w:kern w:val="0"/>
                <w:sz w:val="20"/>
                <w:szCs w:val="20"/>
              </w:rPr>
              <w:t>9.3</w:t>
            </w:r>
            <w:r>
              <w:rPr>
                <w:rFonts w:ascii="Times New Roman" w:hAnsi="Times New Roman"/>
                <w:kern w:val="0"/>
                <w:sz w:val="20"/>
                <w:szCs w:val="20"/>
              </w:rPr>
              <w:t>污水回用</w:t>
            </w:r>
          </w:p>
        </w:tc>
        <w:tc>
          <w:tcPr>
            <w:tcW w:w="3398" w:type="dxa"/>
            <w:vAlign w:val="center"/>
          </w:tcPr>
          <w:p w:rsidR="00E07285" w:rsidRDefault="00E07285" w:rsidP="005F6318">
            <w:pPr>
              <w:numPr>
                <w:ilvl w:val="0"/>
                <w:numId w:val="53"/>
              </w:numPr>
              <w:tabs>
                <w:tab w:val="clear" w:pos="312"/>
                <w:tab w:val="left" w:pos="220"/>
              </w:tabs>
              <w:rPr>
                <w:rFonts w:ascii="Times New Roman" w:hAnsi="Times New Roman"/>
                <w:kern w:val="0"/>
                <w:sz w:val="20"/>
                <w:szCs w:val="20"/>
              </w:rPr>
            </w:pPr>
            <w:r>
              <w:rPr>
                <w:rFonts w:ascii="Times New Roman" w:hAnsi="Times New Roman"/>
                <w:kern w:val="0"/>
                <w:sz w:val="20"/>
                <w:szCs w:val="20"/>
              </w:rPr>
              <w:t>掌握污水消毒的基本方法及对比；</w:t>
            </w:r>
          </w:p>
          <w:p w:rsidR="00E07285" w:rsidRDefault="00E07285" w:rsidP="005F6318">
            <w:pPr>
              <w:numPr>
                <w:ilvl w:val="0"/>
                <w:numId w:val="53"/>
              </w:numPr>
              <w:tabs>
                <w:tab w:val="clear" w:pos="312"/>
                <w:tab w:val="left" w:pos="220"/>
              </w:tabs>
              <w:rPr>
                <w:rFonts w:ascii="Times New Roman" w:hAnsi="Times New Roman"/>
                <w:kern w:val="0"/>
                <w:sz w:val="20"/>
                <w:szCs w:val="20"/>
              </w:rPr>
            </w:pPr>
            <w:r>
              <w:rPr>
                <w:rFonts w:ascii="Times New Roman" w:hAnsi="Times New Roman"/>
                <w:kern w:val="0"/>
                <w:sz w:val="20"/>
                <w:szCs w:val="20"/>
              </w:rPr>
              <w:t>熟悉污水深度处理技术，了解新工艺。</w:t>
            </w:r>
          </w:p>
        </w:tc>
      </w:tr>
      <w:tr w:rsidR="00E07285" w:rsidTr="00E07285">
        <w:trPr>
          <w:trHeight w:val="990"/>
        </w:trPr>
        <w:tc>
          <w:tcPr>
            <w:tcW w:w="532"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9</w:t>
            </w:r>
          </w:p>
        </w:tc>
        <w:tc>
          <w:tcPr>
            <w:tcW w:w="1419"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第十章</w:t>
            </w:r>
          </w:p>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污泥处理与处置</w:t>
            </w:r>
          </w:p>
        </w:tc>
        <w:tc>
          <w:tcPr>
            <w:tcW w:w="1097"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8</w:t>
            </w:r>
          </w:p>
        </w:tc>
        <w:tc>
          <w:tcPr>
            <w:tcW w:w="3156" w:type="dxa"/>
            <w:vAlign w:val="center"/>
          </w:tcPr>
          <w:p w:rsidR="00E07285" w:rsidRDefault="00E07285" w:rsidP="00E07285">
            <w:pPr>
              <w:rPr>
                <w:rFonts w:ascii="Times New Roman" w:hAnsi="Times New Roman"/>
                <w:kern w:val="0"/>
                <w:sz w:val="20"/>
                <w:szCs w:val="20"/>
              </w:rPr>
            </w:pPr>
            <w:r>
              <w:rPr>
                <w:rFonts w:ascii="Times New Roman" w:hAnsi="Times New Roman"/>
                <w:kern w:val="0"/>
                <w:sz w:val="20"/>
                <w:szCs w:val="20"/>
              </w:rPr>
              <w:t>10.1</w:t>
            </w:r>
            <w:r>
              <w:rPr>
                <w:rFonts w:ascii="Times New Roman" w:hAnsi="Times New Roman"/>
                <w:kern w:val="0"/>
                <w:sz w:val="20"/>
                <w:szCs w:val="20"/>
              </w:rPr>
              <w:t>污泥来源及性质指标</w:t>
            </w:r>
          </w:p>
          <w:p w:rsidR="00E07285" w:rsidRDefault="00E07285" w:rsidP="00E07285">
            <w:pPr>
              <w:rPr>
                <w:rFonts w:ascii="Times New Roman" w:hAnsi="Times New Roman"/>
                <w:kern w:val="0"/>
                <w:sz w:val="20"/>
                <w:szCs w:val="20"/>
              </w:rPr>
            </w:pPr>
            <w:r>
              <w:rPr>
                <w:rFonts w:ascii="Times New Roman" w:hAnsi="Times New Roman"/>
                <w:kern w:val="0"/>
                <w:sz w:val="20"/>
                <w:szCs w:val="20"/>
              </w:rPr>
              <w:t>10.2</w:t>
            </w:r>
            <w:r>
              <w:rPr>
                <w:rFonts w:ascii="Times New Roman" w:hAnsi="Times New Roman"/>
                <w:kern w:val="0"/>
                <w:sz w:val="20"/>
                <w:szCs w:val="20"/>
              </w:rPr>
              <w:t>污泥处置基本方案</w:t>
            </w:r>
          </w:p>
          <w:p w:rsidR="00E07285" w:rsidRDefault="00E07285" w:rsidP="00E07285">
            <w:pPr>
              <w:rPr>
                <w:rFonts w:ascii="Times New Roman" w:hAnsi="Times New Roman"/>
                <w:kern w:val="0"/>
                <w:sz w:val="20"/>
                <w:szCs w:val="20"/>
              </w:rPr>
            </w:pPr>
            <w:r>
              <w:rPr>
                <w:rFonts w:ascii="Times New Roman" w:hAnsi="Times New Roman"/>
                <w:kern w:val="0"/>
                <w:sz w:val="20"/>
                <w:szCs w:val="20"/>
              </w:rPr>
              <w:t>10.3</w:t>
            </w:r>
            <w:r>
              <w:rPr>
                <w:rFonts w:ascii="Times New Roman" w:hAnsi="Times New Roman"/>
                <w:kern w:val="0"/>
                <w:sz w:val="20"/>
                <w:szCs w:val="20"/>
              </w:rPr>
              <w:t>污泥流动特性与输送</w:t>
            </w:r>
          </w:p>
          <w:p w:rsidR="00E07285" w:rsidRDefault="00E07285" w:rsidP="00E07285">
            <w:pPr>
              <w:rPr>
                <w:rFonts w:ascii="Times New Roman" w:hAnsi="Times New Roman"/>
                <w:kern w:val="0"/>
                <w:sz w:val="20"/>
                <w:szCs w:val="20"/>
              </w:rPr>
            </w:pPr>
            <w:r>
              <w:rPr>
                <w:rFonts w:ascii="Times New Roman" w:hAnsi="Times New Roman"/>
                <w:kern w:val="0"/>
                <w:sz w:val="20"/>
                <w:szCs w:val="20"/>
              </w:rPr>
              <w:t>10.4</w:t>
            </w:r>
            <w:r>
              <w:rPr>
                <w:rFonts w:ascii="Times New Roman" w:hAnsi="Times New Roman"/>
                <w:kern w:val="0"/>
                <w:sz w:val="20"/>
                <w:szCs w:val="20"/>
              </w:rPr>
              <w:t>污泥浓缩</w:t>
            </w:r>
          </w:p>
          <w:p w:rsidR="00E07285" w:rsidRDefault="00E07285" w:rsidP="00E07285">
            <w:pPr>
              <w:rPr>
                <w:rFonts w:ascii="Times New Roman" w:hAnsi="Times New Roman"/>
                <w:kern w:val="0"/>
                <w:sz w:val="20"/>
                <w:szCs w:val="20"/>
              </w:rPr>
            </w:pPr>
            <w:r>
              <w:rPr>
                <w:rFonts w:ascii="Times New Roman" w:hAnsi="Times New Roman"/>
                <w:kern w:val="0"/>
                <w:sz w:val="20"/>
                <w:szCs w:val="20"/>
              </w:rPr>
              <w:t>10.5</w:t>
            </w:r>
            <w:r>
              <w:rPr>
                <w:rFonts w:ascii="Times New Roman" w:hAnsi="Times New Roman"/>
                <w:kern w:val="0"/>
                <w:sz w:val="20"/>
                <w:szCs w:val="20"/>
              </w:rPr>
              <w:t>污泥的厌氧、好氧消化</w:t>
            </w:r>
          </w:p>
          <w:p w:rsidR="00E07285" w:rsidRDefault="00E07285" w:rsidP="00E07285">
            <w:pPr>
              <w:rPr>
                <w:rFonts w:ascii="Times New Roman" w:hAnsi="Times New Roman"/>
                <w:kern w:val="0"/>
                <w:sz w:val="20"/>
                <w:szCs w:val="20"/>
              </w:rPr>
            </w:pPr>
            <w:r>
              <w:rPr>
                <w:rFonts w:ascii="Times New Roman" w:hAnsi="Times New Roman"/>
                <w:kern w:val="0"/>
                <w:sz w:val="20"/>
                <w:szCs w:val="20"/>
              </w:rPr>
              <w:t>10.6</w:t>
            </w:r>
            <w:r>
              <w:rPr>
                <w:rFonts w:ascii="Times New Roman" w:hAnsi="Times New Roman"/>
                <w:kern w:val="0"/>
                <w:sz w:val="20"/>
                <w:szCs w:val="20"/>
              </w:rPr>
              <w:t>污泥调蓄与浓缩脱水</w:t>
            </w:r>
          </w:p>
          <w:p w:rsidR="00E07285" w:rsidRDefault="00E07285" w:rsidP="00E07285">
            <w:pPr>
              <w:rPr>
                <w:rFonts w:ascii="Times New Roman" w:hAnsi="Times New Roman"/>
                <w:kern w:val="0"/>
                <w:sz w:val="20"/>
                <w:szCs w:val="20"/>
              </w:rPr>
            </w:pPr>
            <w:r>
              <w:rPr>
                <w:rFonts w:ascii="Times New Roman" w:hAnsi="Times New Roman"/>
                <w:kern w:val="0"/>
                <w:sz w:val="20"/>
                <w:szCs w:val="20"/>
              </w:rPr>
              <w:t>10.7</w:t>
            </w:r>
            <w:r>
              <w:rPr>
                <w:rFonts w:ascii="Times New Roman" w:hAnsi="Times New Roman"/>
                <w:kern w:val="0"/>
                <w:sz w:val="20"/>
                <w:szCs w:val="20"/>
              </w:rPr>
              <w:t>污泥的稳定与再利用</w:t>
            </w:r>
          </w:p>
        </w:tc>
        <w:tc>
          <w:tcPr>
            <w:tcW w:w="3398" w:type="dxa"/>
            <w:vAlign w:val="center"/>
          </w:tcPr>
          <w:p w:rsidR="00E07285" w:rsidRDefault="00E07285" w:rsidP="005F6318">
            <w:pPr>
              <w:numPr>
                <w:ilvl w:val="0"/>
                <w:numId w:val="54"/>
              </w:numPr>
              <w:tabs>
                <w:tab w:val="clear" w:pos="312"/>
                <w:tab w:val="left" w:pos="220"/>
              </w:tabs>
              <w:rPr>
                <w:rFonts w:ascii="Times New Roman" w:hAnsi="Times New Roman"/>
                <w:kern w:val="0"/>
                <w:sz w:val="20"/>
                <w:szCs w:val="20"/>
              </w:rPr>
            </w:pPr>
            <w:r>
              <w:rPr>
                <w:rFonts w:ascii="Times New Roman" w:hAnsi="Times New Roman"/>
                <w:kern w:val="0"/>
                <w:sz w:val="20"/>
                <w:szCs w:val="20"/>
              </w:rPr>
              <w:t>熟悉污泥的分类、性质与计算；</w:t>
            </w:r>
          </w:p>
          <w:p w:rsidR="00E07285" w:rsidRDefault="00E07285" w:rsidP="005F6318">
            <w:pPr>
              <w:numPr>
                <w:ilvl w:val="0"/>
                <w:numId w:val="54"/>
              </w:numPr>
              <w:tabs>
                <w:tab w:val="clear" w:pos="312"/>
                <w:tab w:val="left" w:pos="220"/>
              </w:tabs>
              <w:rPr>
                <w:rFonts w:ascii="Times New Roman" w:hAnsi="Times New Roman"/>
                <w:kern w:val="0"/>
                <w:sz w:val="20"/>
                <w:szCs w:val="20"/>
              </w:rPr>
            </w:pPr>
            <w:r>
              <w:rPr>
                <w:rFonts w:ascii="Times New Roman" w:hAnsi="Times New Roman"/>
                <w:kern w:val="0"/>
                <w:sz w:val="20"/>
                <w:szCs w:val="20"/>
              </w:rPr>
              <w:t>掌握污泥处理的基本流程；</w:t>
            </w:r>
          </w:p>
          <w:p w:rsidR="00E07285" w:rsidRDefault="00E07285" w:rsidP="005F6318">
            <w:pPr>
              <w:numPr>
                <w:ilvl w:val="0"/>
                <w:numId w:val="54"/>
              </w:numPr>
              <w:tabs>
                <w:tab w:val="clear" w:pos="312"/>
                <w:tab w:val="left" w:pos="220"/>
              </w:tabs>
              <w:rPr>
                <w:rFonts w:ascii="Times New Roman" w:hAnsi="Times New Roman"/>
                <w:kern w:val="0"/>
                <w:sz w:val="20"/>
                <w:szCs w:val="20"/>
              </w:rPr>
            </w:pPr>
            <w:r>
              <w:rPr>
                <w:rFonts w:ascii="Times New Roman" w:hAnsi="Times New Roman"/>
                <w:kern w:val="0"/>
                <w:sz w:val="20"/>
                <w:szCs w:val="20"/>
              </w:rPr>
              <w:t>了解污泥的流动特性及输送；</w:t>
            </w:r>
          </w:p>
          <w:p w:rsidR="00E07285" w:rsidRDefault="00E07285" w:rsidP="005F6318">
            <w:pPr>
              <w:numPr>
                <w:ilvl w:val="0"/>
                <w:numId w:val="54"/>
              </w:numPr>
              <w:tabs>
                <w:tab w:val="clear" w:pos="312"/>
                <w:tab w:val="left" w:pos="220"/>
              </w:tabs>
              <w:rPr>
                <w:rFonts w:ascii="Times New Roman" w:hAnsi="Times New Roman"/>
                <w:kern w:val="0"/>
                <w:sz w:val="20"/>
                <w:szCs w:val="20"/>
              </w:rPr>
            </w:pPr>
            <w:r>
              <w:rPr>
                <w:rFonts w:ascii="Times New Roman" w:hAnsi="Times New Roman"/>
                <w:kern w:val="0"/>
                <w:sz w:val="20"/>
                <w:szCs w:val="20"/>
              </w:rPr>
              <w:t>掌握污泥浓缩原理及基本工艺方法；</w:t>
            </w:r>
          </w:p>
          <w:p w:rsidR="00E07285" w:rsidRDefault="00E07285" w:rsidP="005F6318">
            <w:pPr>
              <w:numPr>
                <w:ilvl w:val="0"/>
                <w:numId w:val="54"/>
              </w:numPr>
              <w:tabs>
                <w:tab w:val="clear" w:pos="312"/>
                <w:tab w:val="left" w:pos="220"/>
              </w:tabs>
              <w:rPr>
                <w:rFonts w:ascii="Times New Roman" w:hAnsi="Times New Roman"/>
                <w:kern w:val="0"/>
                <w:sz w:val="20"/>
                <w:szCs w:val="20"/>
              </w:rPr>
            </w:pPr>
            <w:r>
              <w:rPr>
                <w:rFonts w:ascii="Times New Roman" w:hAnsi="Times New Roman"/>
                <w:kern w:val="0"/>
                <w:sz w:val="20"/>
                <w:szCs w:val="20"/>
              </w:rPr>
              <w:t>掌握厌氧、好氧消化原理、熟悉相关工艺；</w:t>
            </w:r>
          </w:p>
          <w:p w:rsidR="00E07285" w:rsidRDefault="00E07285" w:rsidP="005F6318">
            <w:pPr>
              <w:numPr>
                <w:ilvl w:val="0"/>
                <w:numId w:val="54"/>
              </w:numPr>
              <w:tabs>
                <w:tab w:val="clear" w:pos="312"/>
                <w:tab w:val="left" w:pos="220"/>
              </w:tabs>
              <w:rPr>
                <w:rFonts w:ascii="Times New Roman" w:hAnsi="Times New Roman"/>
                <w:kern w:val="0"/>
                <w:sz w:val="20"/>
                <w:szCs w:val="20"/>
              </w:rPr>
            </w:pPr>
            <w:r>
              <w:rPr>
                <w:rFonts w:ascii="Times New Roman" w:hAnsi="Times New Roman"/>
                <w:kern w:val="0"/>
                <w:sz w:val="20"/>
                <w:szCs w:val="20"/>
              </w:rPr>
              <w:t>掌握污泥干化、机械脱水与焚化基本原理，了解相关设备；</w:t>
            </w:r>
          </w:p>
          <w:p w:rsidR="00E07285" w:rsidRDefault="00E07285" w:rsidP="005F6318">
            <w:pPr>
              <w:numPr>
                <w:ilvl w:val="0"/>
                <w:numId w:val="54"/>
              </w:numPr>
              <w:tabs>
                <w:tab w:val="clear" w:pos="312"/>
                <w:tab w:val="left" w:pos="220"/>
              </w:tabs>
              <w:rPr>
                <w:rFonts w:ascii="Times New Roman" w:hAnsi="Times New Roman"/>
                <w:kern w:val="0"/>
                <w:sz w:val="20"/>
                <w:szCs w:val="20"/>
              </w:rPr>
            </w:pPr>
            <w:r>
              <w:rPr>
                <w:rFonts w:ascii="Times New Roman" w:hAnsi="Times New Roman"/>
                <w:kern w:val="0"/>
                <w:sz w:val="20"/>
                <w:szCs w:val="20"/>
              </w:rPr>
              <w:t>了解污泥的稳定与再利用相关</w:t>
            </w:r>
            <w:r>
              <w:rPr>
                <w:rFonts w:ascii="Times New Roman" w:hAnsi="Times New Roman"/>
                <w:kern w:val="0"/>
                <w:sz w:val="20"/>
                <w:szCs w:val="20"/>
              </w:rPr>
              <w:lastRenderedPageBreak/>
              <w:t>技术。</w:t>
            </w:r>
          </w:p>
        </w:tc>
      </w:tr>
      <w:tr w:rsidR="00E07285" w:rsidTr="00E07285">
        <w:trPr>
          <w:trHeight w:val="990"/>
        </w:trPr>
        <w:tc>
          <w:tcPr>
            <w:tcW w:w="532"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lastRenderedPageBreak/>
              <w:t>10</w:t>
            </w:r>
          </w:p>
        </w:tc>
        <w:tc>
          <w:tcPr>
            <w:tcW w:w="1419"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第十一章</w:t>
            </w:r>
          </w:p>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污水处理厂设计</w:t>
            </w:r>
          </w:p>
        </w:tc>
        <w:tc>
          <w:tcPr>
            <w:tcW w:w="1097" w:type="dxa"/>
            <w:vAlign w:val="center"/>
          </w:tcPr>
          <w:p w:rsidR="00E07285" w:rsidRDefault="00E07285" w:rsidP="00E07285">
            <w:pPr>
              <w:jc w:val="center"/>
              <w:rPr>
                <w:rFonts w:ascii="Times New Roman" w:hAnsi="Times New Roman"/>
                <w:kern w:val="0"/>
                <w:sz w:val="20"/>
                <w:szCs w:val="20"/>
              </w:rPr>
            </w:pPr>
            <w:r>
              <w:rPr>
                <w:rFonts w:ascii="Times New Roman" w:hAnsi="Times New Roman"/>
                <w:kern w:val="0"/>
                <w:sz w:val="20"/>
                <w:szCs w:val="20"/>
              </w:rPr>
              <w:t>4</w:t>
            </w:r>
          </w:p>
        </w:tc>
        <w:tc>
          <w:tcPr>
            <w:tcW w:w="3156" w:type="dxa"/>
            <w:vAlign w:val="center"/>
          </w:tcPr>
          <w:p w:rsidR="00E07285" w:rsidRDefault="00E07285" w:rsidP="00E07285">
            <w:pPr>
              <w:rPr>
                <w:rFonts w:ascii="Times New Roman" w:hAnsi="Times New Roman"/>
                <w:kern w:val="0"/>
                <w:sz w:val="20"/>
                <w:szCs w:val="20"/>
              </w:rPr>
            </w:pPr>
            <w:r>
              <w:rPr>
                <w:rFonts w:ascii="Times New Roman" w:hAnsi="Times New Roman"/>
                <w:kern w:val="0"/>
                <w:sz w:val="20"/>
                <w:szCs w:val="20"/>
              </w:rPr>
              <w:t>11.1</w:t>
            </w:r>
            <w:r>
              <w:rPr>
                <w:rFonts w:ascii="Times New Roman" w:hAnsi="Times New Roman"/>
                <w:kern w:val="0"/>
                <w:sz w:val="20"/>
                <w:szCs w:val="20"/>
              </w:rPr>
              <w:t>污水处理厂规模及水质的确定</w:t>
            </w:r>
          </w:p>
          <w:p w:rsidR="00E07285" w:rsidRDefault="00E07285" w:rsidP="00E07285">
            <w:pPr>
              <w:rPr>
                <w:rFonts w:ascii="Times New Roman" w:hAnsi="Times New Roman"/>
                <w:kern w:val="0"/>
                <w:sz w:val="20"/>
                <w:szCs w:val="20"/>
              </w:rPr>
            </w:pPr>
            <w:r>
              <w:rPr>
                <w:rFonts w:ascii="Times New Roman" w:hAnsi="Times New Roman"/>
                <w:kern w:val="0"/>
                <w:sz w:val="20"/>
                <w:szCs w:val="20"/>
              </w:rPr>
              <w:t>11.2</w:t>
            </w:r>
            <w:r>
              <w:rPr>
                <w:rFonts w:ascii="Times New Roman" w:hAnsi="Times New Roman"/>
                <w:kern w:val="0"/>
                <w:sz w:val="20"/>
                <w:szCs w:val="20"/>
              </w:rPr>
              <w:t>处理工艺的选择</w:t>
            </w:r>
          </w:p>
          <w:p w:rsidR="00E07285" w:rsidRDefault="00E07285" w:rsidP="00E07285">
            <w:pPr>
              <w:rPr>
                <w:rFonts w:ascii="Times New Roman" w:hAnsi="Times New Roman"/>
                <w:kern w:val="0"/>
                <w:sz w:val="20"/>
                <w:szCs w:val="20"/>
              </w:rPr>
            </w:pPr>
            <w:r>
              <w:rPr>
                <w:rFonts w:ascii="Times New Roman" w:hAnsi="Times New Roman"/>
                <w:kern w:val="0"/>
                <w:sz w:val="20"/>
                <w:szCs w:val="20"/>
              </w:rPr>
              <w:t>11.3</w:t>
            </w:r>
            <w:r>
              <w:rPr>
                <w:rFonts w:ascii="Times New Roman" w:hAnsi="Times New Roman"/>
                <w:kern w:val="0"/>
                <w:sz w:val="20"/>
                <w:szCs w:val="20"/>
              </w:rPr>
              <w:t>选址原则及平面与高程布置</w:t>
            </w:r>
          </w:p>
          <w:p w:rsidR="00E07285" w:rsidRDefault="00E07285" w:rsidP="00E07285">
            <w:pPr>
              <w:rPr>
                <w:rFonts w:ascii="Times New Roman" w:hAnsi="Times New Roman"/>
                <w:kern w:val="0"/>
                <w:sz w:val="20"/>
                <w:szCs w:val="20"/>
              </w:rPr>
            </w:pPr>
            <w:r>
              <w:rPr>
                <w:rFonts w:ascii="Times New Roman" w:hAnsi="Times New Roman"/>
                <w:kern w:val="0"/>
                <w:sz w:val="20"/>
                <w:szCs w:val="20"/>
              </w:rPr>
              <w:t>11.4</w:t>
            </w:r>
            <w:r>
              <w:rPr>
                <w:rFonts w:ascii="Times New Roman" w:hAnsi="Times New Roman"/>
                <w:kern w:val="0"/>
                <w:sz w:val="20"/>
                <w:szCs w:val="20"/>
              </w:rPr>
              <w:t>污水处理厂除臭、配水等计算</w:t>
            </w:r>
          </w:p>
        </w:tc>
        <w:tc>
          <w:tcPr>
            <w:tcW w:w="3398" w:type="dxa"/>
            <w:vAlign w:val="center"/>
          </w:tcPr>
          <w:p w:rsidR="00E07285" w:rsidRDefault="00E07285" w:rsidP="005F6318">
            <w:pPr>
              <w:numPr>
                <w:ilvl w:val="0"/>
                <w:numId w:val="55"/>
              </w:numPr>
              <w:tabs>
                <w:tab w:val="clear" w:pos="312"/>
                <w:tab w:val="left" w:pos="220"/>
              </w:tabs>
              <w:rPr>
                <w:rFonts w:ascii="Times New Roman" w:hAnsi="Times New Roman"/>
                <w:kern w:val="0"/>
                <w:sz w:val="20"/>
                <w:szCs w:val="20"/>
              </w:rPr>
            </w:pPr>
            <w:r>
              <w:rPr>
                <w:rFonts w:ascii="Times New Roman" w:hAnsi="Times New Roman"/>
                <w:kern w:val="0"/>
                <w:sz w:val="20"/>
                <w:szCs w:val="20"/>
              </w:rPr>
              <w:t>掌握污水水量计算方式及水质分析；</w:t>
            </w:r>
          </w:p>
          <w:p w:rsidR="00E07285" w:rsidRDefault="00E07285" w:rsidP="005F6318">
            <w:pPr>
              <w:numPr>
                <w:ilvl w:val="0"/>
                <w:numId w:val="55"/>
              </w:numPr>
              <w:tabs>
                <w:tab w:val="clear" w:pos="312"/>
                <w:tab w:val="left" w:pos="220"/>
              </w:tabs>
              <w:rPr>
                <w:rFonts w:ascii="Times New Roman" w:hAnsi="Times New Roman"/>
                <w:kern w:val="0"/>
                <w:sz w:val="20"/>
                <w:szCs w:val="20"/>
              </w:rPr>
            </w:pPr>
            <w:r>
              <w:rPr>
                <w:rFonts w:ascii="Times New Roman" w:hAnsi="Times New Roman"/>
                <w:kern w:val="0"/>
                <w:sz w:val="20"/>
                <w:szCs w:val="20"/>
              </w:rPr>
              <w:t>学会根据水质、水量选择基本处理方法和工艺；</w:t>
            </w:r>
          </w:p>
          <w:p w:rsidR="00E07285" w:rsidRDefault="00E07285" w:rsidP="005F6318">
            <w:pPr>
              <w:numPr>
                <w:ilvl w:val="0"/>
                <w:numId w:val="55"/>
              </w:numPr>
              <w:tabs>
                <w:tab w:val="clear" w:pos="312"/>
                <w:tab w:val="left" w:pos="220"/>
              </w:tabs>
              <w:rPr>
                <w:rFonts w:ascii="Times New Roman" w:hAnsi="Times New Roman"/>
                <w:kern w:val="0"/>
                <w:sz w:val="20"/>
                <w:szCs w:val="20"/>
              </w:rPr>
            </w:pPr>
            <w:r>
              <w:rPr>
                <w:rFonts w:ascii="Times New Roman" w:hAnsi="Times New Roman"/>
                <w:kern w:val="0"/>
                <w:sz w:val="20"/>
                <w:szCs w:val="20"/>
              </w:rPr>
              <w:t>熟悉选址、平面和高程布置的原则和方法；</w:t>
            </w:r>
          </w:p>
          <w:p w:rsidR="00E07285" w:rsidRDefault="00E07285" w:rsidP="005F6318">
            <w:pPr>
              <w:numPr>
                <w:ilvl w:val="0"/>
                <w:numId w:val="55"/>
              </w:numPr>
              <w:tabs>
                <w:tab w:val="clear" w:pos="312"/>
                <w:tab w:val="left" w:pos="220"/>
              </w:tabs>
              <w:rPr>
                <w:rFonts w:ascii="Times New Roman" w:hAnsi="Times New Roman"/>
                <w:kern w:val="0"/>
                <w:sz w:val="20"/>
                <w:szCs w:val="20"/>
              </w:rPr>
            </w:pPr>
            <w:r>
              <w:rPr>
                <w:rFonts w:ascii="Times New Roman" w:hAnsi="Times New Roman"/>
                <w:kern w:val="0"/>
                <w:sz w:val="20"/>
                <w:szCs w:val="20"/>
              </w:rPr>
              <w:t>掌握污水厂相关设计计算，熟悉厂区除臭技术</w:t>
            </w:r>
          </w:p>
        </w:tc>
      </w:tr>
    </w:tbl>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E07285" w:rsidRDefault="00E07285" w:rsidP="00E07285">
      <w:pPr>
        <w:spacing w:line="560" w:lineRule="exact"/>
        <w:ind w:firstLineChars="200" w:firstLine="560"/>
        <w:rPr>
          <w:rFonts w:ascii="宋体" w:eastAsia="宋体" w:hAnsi="宋体"/>
          <w:b/>
          <w:color w:val="FF0000"/>
          <w:sz w:val="21"/>
          <w:szCs w:val="21"/>
        </w:rPr>
      </w:pPr>
      <w:r>
        <w:rPr>
          <w:rFonts w:ascii="仿宋_GB2312" w:hAnsi="仿宋_GB2312" w:cs="仿宋_GB2312" w:hint="eastAsia"/>
          <w:sz w:val="28"/>
          <w:szCs w:val="28"/>
        </w:rPr>
        <w:t>采用平时成绩+期末考试方式确定总评成绩。</w:t>
      </w:r>
    </w:p>
    <w:p w:rsidR="00E07285" w:rsidRDefault="00E07285"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成绩评定方式为百分制，平时成绩包括教学过程中的反思报告、讨论、出勤等内容，期末考试采用闭卷方式，过程评测部分占3</w:t>
      </w:r>
      <w:r>
        <w:rPr>
          <w:rFonts w:ascii="仿宋_GB2312" w:hAnsi="仿宋_GB2312" w:cs="仿宋_GB2312"/>
          <w:sz w:val="28"/>
          <w:szCs w:val="28"/>
        </w:rPr>
        <w:t>0</w:t>
      </w:r>
      <w:r>
        <w:rPr>
          <w:rFonts w:ascii="仿宋_GB2312" w:hAnsi="仿宋_GB2312" w:cs="仿宋_GB2312" w:hint="eastAsia"/>
          <w:sz w:val="28"/>
          <w:szCs w:val="28"/>
        </w:rPr>
        <w:t>%</w:t>
      </w:r>
      <w:r>
        <w:rPr>
          <w:rFonts w:ascii="Times New Roman" w:hAnsi="Times New Roman"/>
          <w:sz w:val="28"/>
          <w:szCs w:val="28"/>
        </w:rPr>
        <w:t>~</w:t>
      </w:r>
      <w:r>
        <w:rPr>
          <w:rFonts w:ascii="仿宋_GB2312" w:hAnsi="仿宋_GB2312" w:cs="仿宋_GB2312"/>
          <w:sz w:val="28"/>
          <w:szCs w:val="28"/>
        </w:rPr>
        <w:t>4</w:t>
      </w:r>
      <w:r>
        <w:rPr>
          <w:rFonts w:ascii="仿宋_GB2312" w:hAnsi="仿宋_GB2312" w:cs="仿宋_GB2312" w:hint="eastAsia"/>
          <w:sz w:val="28"/>
          <w:szCs w:val="28"/>
        </w:rPr>
        <w:t>0%，期末考试成绩占60%.</w:t>
      </w:r>
      <w:r>
        <w:rPr>
          <w:rFonts w:ascii="仿宋_GB2312" w:hAnsi="仿宋_GB2312" w:cs="仿宋_GB2312"/>
          <w:sz w:val="28"/>
          <w:szCs w:val="28"/>
        </w:rPr>
        <w:t xml:space="preserve"> </w:t>
      </w:r>
    </w:p>
    <w:p w:rsidR="00E07285" w:rsidRDefault="00E07285" w:rsidP="00E07285">
      <w:pPr>
        <w:spacing w:line="560" w:lineRule="exact"/>
        <w:ind w:firstLineChars="200" w:firstLine="560"/>
        <w:rPr>
          <w:rStyle w:val="fontstyle11"/>
          <w:rFonts w:eastAsia="宋体"/>
          <w:color w:val="0000FF"/>
        </w:rPr>
      </w:pPr>
      <w:r>
        <w:rPr>
          <w:rFonts w:ascii="仿宋_GB2312" w:hAnsi="仿宋_GB2312" w:cs="仿宋_GB2312"/>
          <w:sz w:val="28"/>
          <w:szCs w:val="28"/>
        </w:rPr>
        <w:t>课程总成绩=期末成绩（60</w:t>
      </w:r>
      <w:r>
        <w:rPr>
          <w:rFonts w:ascii="Times New Roman" w:hAnsi="Times New Roman"/>
          <w:sz w:val="28"/>
          <w:szCs w:val="28"/>
        </w:rPr>
        <w:t>~</w:t>
      </w:r>
      <w:r>
        <w:rPr>
          <w:rFonts w:ascii="仿宋_GB2312" w:hAnsi="仿宋_GB2312" w:cs="仿宋_GB2312"/>
          <w:sz w:val="28"/>
          <w:szCs w:val="28"/>
        </w:rPr>
        <w:t>70）%+平时成绩（30</w:t>
      </w:r>
      <w:r>
        <w:rPr>
          <w:rFonts w:ascii="Times New Roman" w:hAnsi="Times New Roman"/>
          <w:sz w:val="28"/>
          <w:szCs w:val="28"/>
        </w:rPr>
        <w:t>~</w:t>
      </w:r>
      <w:r>
        <w:rPr>
          <w:rFonts w:ascii="仿宋_GB2312" w:hAnsi="仿宋_GB2312" w:cs="仿宋_GB2312"/>
          <w:sz w:val="28"/>
          <w:szCs w:val="28"/>
        </w:rPr>
        <w:t>40）</w:t>
      </w:r>
      <w:r>
        <w:rPr>
          <w:rFonts w:ascii="仿宋_GB2312" w:hAnsi="仿宋_GB2312" w:cs="仿宋_GB2312" w:hint="eastAsia"/>
          <w:sz w:val="28"/>
          <w:szCs w:val="28"/>
        </w:rPr>
        <w:t>%</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1.建议教材</w:t>
      </w:r>
    </w:p>
    <w:p w:rsidR="00E07285" w:rsidRDefault="00E07285" w:rsidP="00E07285">
      <w:pPr>
        <w:spacing w:line="560" w:lineRule="exact"/>
        <w:ind w:firstLineChars="200" w:firstLine="560"/>
        <w:rPr>
          <w:rFonts w:ascii="仿宋_GB2312" w:hAnsi="仿宋_GB2312" w:cs="仿宋_GB2312"/>
          <w:sz w:val="28"/>
          <w:szCs w:val="28"/>
        </w:rPr>
      </w:pPr>
      <w:r>
        <w:rPr>
          <w:rFonts w:hAnsi="宋体"/>
          <w:sz w:val="28"/>
          <w:szCs w:val="28"/>
        </w:rPr>
        <w:t>《排水工程》</w:t>
      </w:r>
      <w:r>
        <w:rPr>
          <w:sz w:val="28"/>
          <w:szCs w:val="28"/>
        </w:rPr>
        <w:t>(</w:t>
      </w:r>
      <w:r>
        <w:rPr>
          <w:rFonts w:hAnsi="宋体"/>
          <w:sz w:val="28"/>
          <w:szCs w:val="28"/>
        </w:rPr>
        <w:t>第五版</w:t>
      </w:r>
      <w:r>
        <w:rPr>
          <w:sz w:val="28"/>
          <w:szCs w:val="28"/>
        </w:rPr>
        <w:t>)</w:t>
      </w:r>
      <w:r>
        <w:rPr>
          <w:rFonts w:hAnsi="宋体"/>
          <w:sz w:val="28"/>
          <w:szCs w:val="28"/>
        </w:rPr>
        <w:t>，张自杰主编，中国建筑工业出版社，</w:t>
      </w:r>
      <w:r>
        <w:rPr>
          <w:sz w:val="28"/>
          <w:szCs w:val="28"/>
        </w:rPr>
        <w:t>2015</w:t>
      </w:r>
      <w:r>
        <w:rPr>
          <w:rFonts w:hAnsi="宋体"/>
          <w:sz w:val="28"/>
          <w:szCs w:val="28"/>
        </w:rPr>
        <w:t>年</w:t>
      </w:r>
      <w:r>
        <w:rPr>
          <w:sz w:val="28"/>
          <w:szCs w:val="28"/>
        </w:rPr>
        <w:t>2</w:t>
      </w:r>
      <w:r>
        <w:rPr>
          <w:rFonts w:hAnsi="宋体"/>
          <w:sz w:val="28"/>
          <w:szCs w:val="28"/>
        </w:rPr>
        <w:t>月。</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2.主要参考资料</w:t>
      </w:r>
    </w:p>
    <w:p w:rsidR="00E07285" w:rsidRDefault="00E07285" w:rsidP="00E07285">
      <w:pPr>
        <w:spacing w:line="560" w:lineRule="exact"/>
        <w:ind w:firstLineChars="200" w:firstLine="560"/>
        <w:rPr>
          <w:sz w:val="28"/>
          <w:szCs w:val="28"/>
        </w:rPr>
      </w:pPr>
      <w:r>
        <w:rPr>
          <w:rFonts w:hint="eastAsia"/>
          <w:sz w:val="28"/>
          <w:szCs w:val="28"/>
        </w:rPr>
        <w:t>《</w:t>
      </w:r>
      <w:r>
        <w:rPr>
          <w:sz w:val="28"/>
          <w:szCs w:val="28"/>
        </w:rPr>
        <w:t>Wastewater Engineering Treatment Disposal Reuse, (Forth edition)</w:t>
      </w:r>
      <w:r>
        <w:rPr>
          <w:rFonts w:hint="eastAsia"/>
          <w:sz w:val="28"/>
          <w:szCs w:val="28"/>
        </w:rPr>
        <w:t>》</w:t>
      </w:r>
      <w:r>
        <w:rPr>
          <w:sz w:val="28"/>
          <w:szCs w:val="28"/>
        </w:rPr>
        <w:t>,</w:t>
      </w:r>
      <w:r>
        <w:rPr>
          <w:rFonts w:hint="eastAsia"/>
          <w:sz w:val="28"/>
          <w:szCs w:val="28"/>
        </w:rPr>
        <w:t xml:space="preserve"> </w:t>
      </w:r>
      <w:r>
        <w:rPr>
          <w:sz w:val="28"/>
          <w:szCs w:val="28"/>
        </w:rPr>
        <w:t>McGraw-Hill Book Company</w:t>
      </w:r>
      <w:r>
        <w:rPr>
          <w:sz w:val="28"/>
          <w:szCs w:val="28"/>
          <w:lang w:val="en-GB"/>
        </w:rPr>
        <w:t>，</w:t>
      </w:r>
      <w:r>
        <w:rPr>
          <w:sz w:val="28"/>
          <w:szCs w:val="28"/>
        </w:rPr>
        <w:t>2003</w:t>
      </w:r>
      <w:r>
        <w:rPr>
          <w:rFonts w:hint="eastAsia"/>
          <w:sz w:val="28"/>
          <w:szCs w:val="28"/>
        </w:rPr>
        <w:t>；</w:t>
      </w:r>
    </w:p>
    <w:p w:rsidR="00E07285" w:rsidRDefault="00E07285" w:rsidP="00E07285">
      <w:pPr>
        <w:spacing w:line="560" w:lineRule="exact"/>
        <w:ind w:firstLineChars="200" w:firstLine="560"/>
        <w:rPr>
          <w:sz w:val="28"/>
          <w:szCs w:val="28"/>
        </w:rPr>
      </w:pPr>
      <w:r>
        <w:rPr>
          <w:rFonts w:hint="eastAsia"/>
          <w:sz w:val="28"/>
          <w:szCs w:val="28"/>
        </w:rPr>
        <w:t>《</w:t>
      </w:r>
      <w:r>
        <w:rPr>
          <w:sz w:val="28"/>
          <w:szCs w:val="28"/>
        </w:rPr>
        <w:t>当代给水与废水处理原理</w:t>
      </w:r>
      <w:r>
        <w:rPr>
          <w:rFonts w:hint="eastAsia"/>
          <w:sz w:val="28"/>
          <w:szCs w:val="28"/>
        </w:rPr>
        <w:t>》</w:t>
      </w:r>
      <w:r>
        <w:rPr>
          <w:sz w:val="28"/>
          <w:szCs w:val="28"/>
        </w:rPr>
        <w:t>，许保玖、龙腾锐，高等教育出版社，</w:t>
      </w:r>
      <w:r>
        <w:rPr>
          <w:sz w:val="28"/>
          <w:szCs w:val="28"/>
        </w:rPr>
        <w:t>2000</w:t>
      </w:r>
      <w:r>
        <w:rPr>
          <w:rFonts w:hint="eastAsia"/>
          <w:sz w:val="28"/>
          <w:szCs w:val="28"/>
        </w:rPr>
        <w:t>；</w:t>
      </w:r>
      <w:r>
        <w:rPr>
          <w:rFonts w:hint="eastAsia"/>
          <w:sz w:val="28"/>
          <w:szCs w:val="28"/>
        </w:rPr>
        <w:t xml:space="preserve"> </w:t>
      </w:r>
    </w:p>
    <w:p w:rsidR="00E07285" w:rsidRDefault="00E07285" w:rsidP="00E07285">
      <w:pPr>
        <w:spacing w:line="560" w:lineRule="exact"/>
        <w:ind w:firstLineChars="200" w:firstLine="560"/>
        <w:rPr>
          <w:rFonts w:ascii="宋体" w:eastAsia="宋体" w:hAnsi="宋体"/>
          <w:b/>
          <w:color w:val="FF0000"/>
          <w:sz w:val="28"/>
          <w:szCs w:val="28"/>
        </w:rPr>
      </w:pPr>
      <w:r>
        <w:rPr>
          <w:rFonts w:hint="eastAsia"/>
          <w:sz w:val="28"/>
          <w:szCs w:val="28"/>
        </w:rPr>
        <w:lastRenderedPageBreak/>
        <w:t>《</w:t>
      </w:r>
      <w:r>
        <w:rPr>
          <w:sz w:val="28"/>
          <w:szCs w:val="28"/>
        </w:rPr>
        <w:t>废水生物技术：原理与应用</w:t>
      </w:r>
      <w:r>
        <w:rPr>
          <w:rFonts w:hint="eastAsia"/>
          <w:sz w:val="28"/>
          <w:szCs w:val="28"/>
        </w:rPr>
        <w:t>》</w:t>
      </w:r>
      <w:r>
        <w:rPr>
          <w:kern w:val="0"/>
          <w:sz w:val="28"/>
          <w:szCs w:val="28"/>
        </w:rPr>
        <w:t>Rittman B. E. and McCarty P. L., McGraw-Hill Book Company, 2001.</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E07285" w:rsidRDefault="00E07285" w:rsidP="00E07285">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E07285" w:rsidRDefault="00E07285" w:rsidP="00E07285">
      <w:pPr>
        <w:spacing w:beforeLines="50" w:before="156" w:afterLines="50" w:after="156" w:line="460" w:lineRule="exact"/>
        <w:rPr>
          <w:rFonts w:ascii="黑体" w:eastAsia="黑体" w:hAnsi="黑体"/>
          <w:b/>
          <w:sz w:val="28"/>
          <w:szCs w:val="28"/>
        </w:rPr>
      </w:pP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 xml:space="preserve">大纲撰写人：赵庆、胡博、李晓玲 </w:t>
      </w: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课程负责人：赵庆、李晓玲</w:t>
      </w:r>
    </w:p>
    <w:p w:rsidR="00E07285" w:rsidRDefault="00E07285" w:rsidP="00E07285">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w:t>
      </w:r>
    </w:p>
    <w:p w:rsidR="00E07285" w:rsidRDefault="00E07285" w:rsidP="00E07285">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E07285" w:rsidRDefault="00E07285" w:rsidP="00E07285">
      <w:pPr>
        <w:ind w:firstLineChars="2000" w:firstLine="5600"/>
        <w:jc w:val="left"/>
        <w:rPr>
          <w:rFonts w:ascii="仿宋" w:hAnsi="仿宋"/>
          <w:sz w:val="28"/>
          <w:szCs w:val="28"/>
        </w:rPr>
      </w:pPr>
      <w:r>
        <w:rPr>
          <w:rFonts w:ascii="仿宋_GB2312" w:hAnsi="微软雅黑" w:hint="eastAsia"/>
          <w:sz w:val="28"/>
          <w:szCs w:val="28"/>
        </w:rPr>
        <w:t xml:space="preserve">    </w:t>
      </w:r>
    </w:p>
    <w:p w:rsidR="00E07285" w:rsidRDefault="00E07285" w:rsidP="00E07285">
      <w:pPr>
        <w:jc w:val="left"/>
        <w:rPr>
          <w:rFonts w:ascii="仿宋_GB2312" w:hAnsi="黑体"/>
          <w:sz w:val="28"/>
          <w:szCs w:val="28"/>
        </w:rPr>
      </w:pPr>
      <w:r>
        <w:rPr>
          <w:rFonts w:ascii="仿宋" w:eastAsia="仿宋" w:hAnsi="仿宋" w:hint="eastAsia"/>
          <w:sz w:val="28"/>
          <w:szCs w:val="28"/>
        </w:rPr>
        <w:t xml:space="preserve">                                        2021 年  4  月</w:t>
      </w:r>
    </w:p>
    <w:p w:rsidR="00E07285" w:rsidRDefault="00E07285" w:rsidP="00E07285"/>
    <w:p w:rsidR="00383A10" w:rsidRDefault="00383A10" w:rsidP="00E07285"/>
    <w:p w:rsidR="00383A10" w:rsidRDefault="00383A10" w:rsidP="00E07285"/>
    <w:p w:rsidR="00383A10" w:rsidRDefault="00383A10" w:rsidP="00E07285"/>
    <w:p w:rsidR="00383A10" w:rsidRDefault="00383A10" w:rsidP="00E07285"/>
    <w:p w:rsidR="00383A10" w:rsidRDefault="00383A10" w:rsidP="00E07285"/>
    <w:p w:rsidR="00383A10" w:rsidRDefault="00383A10" w:rsidP="00E07285"/>
    <w:p w:rsidR="00383A10" w:rsidRDefault="00383A10" w:rsidP="00E07285"/>
    <w:p w:rsidR="00383A10" w:rsidRDefault="00383A10" w:rsidP="00E07285"/>
    <w:p w:rsidR="00383A10" w:rsidRDefault="00383A10" w:rsidP="00E07285"/>
    <w:p w:rsidR="00383A10" w:rsidRDefault="00383A10" w:rsidP="00E07285">
      <w:pPr>
        <w:rPr>
          <w:rFonts w:hint="eastAsia"/>
        </w:rPr>
      </w:pPr>
    </w:p>
    <w:p w:rsidR="005F6318" w:rsidRDefault="005F6318" w:rsidP="005F6318">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《水质工程学实验》课程教学大纲</w:t>
      </w:r>
    </w:p>
    <w:p w:rsidR="005F6318" w:rsidRDefault="005F6318" w:rsidP="005F6318">
      <w:pPr>
        <w:spacing w:beforeLines="50" w:before="156" w:afterLines="50" w:after="156" w:line="360" w:lineRule="auto"/>
        <w:jc w:val="center"/>
        <w:rPr>
          <w:rFonts w:ascii="宋体" w:hAnsi="宋体" w:cs="仿宋_GB2312"/>
          <w:b/>
          <w:color w:val="FF0000"/>
          <w:szCs w:val="21"/>
          <w:u w:val="single"/>
        </w:rPr>
      </w:pPr>
    </w:p>
    <w:p w:rsidR="005F6318" w:rsidRDefault="005F6318" w:rsidP="005F6318">
      <w:pPr>
        <w:spacing w:line="360" w:lineRule="auto"/>
        <w:rPr>
          <w:rFonts w:ascii="黑体" w:eastAsia="黑体" w:hAnsi="黑体"/>
          <w:b/>
          <w:sz w:val="28"/>
          <w:szCs w:val="28"/>
        </w:rPr>
      </w:pPr>
      <w:r>
        <w:rPr>
          <w:rFonts w:ascii="黑体" w:eastAsia="黑体" w:hAnsi="黑体" w:hint="eastAsia"/>
          <w:b/>
          <w:sz w:val="28"/>
          <w:szCs w:val="28"/>
        </w:rPr>
        <w:t>一、实验课程信息</w:t>
      </w:r>
    </w:p>
    <w:p w:rsidR="005F6318" w:rsidRDefault="005F6318" w:rsidP="005F6318">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实验课程名称：水质工程学实验</w:t>
      </w:r>
    </w:p>
    <w:p w:rsidR="005F6318" w:rsidRDefault="005F6318" w:rsidP="00383A10">
      <w:pPr>
        <w:spacing w:line="360" w:lineRule="auto"/>
        <w:ind w:firstLineChars="700" w:firstLine="1960"/>
        <w:rPr>
          <w:rFonts w:ascii="仿宋_GB2312" w:hAnsi="仿宋_GB2312" w:cs="仿宋_GB2312"/>
          <w:bCs/>
          <w:sz w:val="28"/>
          <w:szCs w:val="28"/>
        </w:rPr>
      </w:pPr>
      <w:r>
        <w:rPr>
          <w:rFonts w:ascii="仿宋_GB2312" w:hAnsi="仿宋_GB2312" w:cs="仿宋_GB2312"/>
          <w:bCs/>
          <w:sz w:val="28"/>
          <w:szCs w:val="28"/>
        </w:rPr>
        <w:t>Experiments of Water Quality Engineering</w:t>
      </w:r>
    </w:p>
    <w:p w:rsidR="005F6318" w:rsidRDefault="005F6318" w:rsidP="005F6318">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Z2806200</w:t>
      </w:r>
    </w:p>
    <w:p w:rsidR="005F6318" w:rsidRDefault="005F6318" w:rsidP="005F6318">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5F6318" w:rsidRDefault="005F6318" w:rsidP="005F6318">
      <w:pPr>
        <w:spacing w:line="360" w:lineRule="auto"/>
        <w:ind w:firstLine="331"/>
        <w:rPr>
          <w:rFonts w:ascii="仿宋_GB2312" w:hAnsi="仿宋_GB2312" w:cs="仿宋_GB2312"/>
          <w:bCs/>
          <w:color w:val="FF0000"/>
          <w:sz w:val="28"/>
          <w:szCs w:val="28"/>
        </w:rPr>
      </w:pPr>
      <w:r>
        <w:rPr>
          <w:rFonts w:ascii="仿宋_GB2312" w:hAnsi="仿宋_GB2312" w:cs="仿宋_GB2312" w:hint="eastAsia"/>
          <w:bCs/>
          <w:sz w:val="28"/>
          <w:szCs w:val="28"/>
        </w:rPr>
        <w:t>实验课性质：独立设课的专业发展课程</w:t>
      </w:r>
    </w:p>
    <w:p w:rsidR="005F6318" w:rsidRDefault="005F6318" w:rsidP="005F6318">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适用专业：给排水科学与工程专业</w:t>
      </w:r>
    </w:p>
    <w:p w:rsidR="005F6318" w:rsidRDefault="005F6318" w:rsidP="005F6318">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学时学分：水质工程学实验课程总学时：24；总学分：1.5；实验课总学时：24</w:t>
      </w:r>
    </w:p>
    <w:p w:rsidR="005F6318" w:rsidRDefault="005F6318" w:rsidP="005F6318">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开课院系：建工学院学院给排水科学与工程系</w:t>
      </w:r>
    </w:p>
    <w:p w:rsidR="005F6318" w:rsidRDefault="005F6318" w:rsidP="005F6318">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实验项目名称和学时分配：</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204"/>
        <w:gridCol w:w="648"/>
        <w:gridCol w:w="647"/>
        <w:gridCol w:w="648"/>
        <w:gridCol w:w="695"/>
        <w:gridCol w:w="648"/>
        <w:gridCol w:w="758"/>
        <w:gridCol w:w="669"/>
        <w:gridCol w:w="845"/>
      </w:tblGrid>
      <w:tr w:rsidR="005F6318" w:rsidTr="00843889">
        <w:tc>
          <w:tcPr>
            <w:tcW w:w="426" w:type="dxa"/>
          </w:tcPr>
          <w:p w:rsidR="005F6318" w:rsidRDefault="005F6318" w:rsidP="00843889">
            <w:pPr>
              <w:jc w:val="center"/>
              <w:rPr>
                <w:rFonts w:ascii="Times New Roman" w:eastAsia="华文中宋" w:hAnsi="Times New Roman"/>
                <w:sz w:val="21"/>
                <w:szCs w:val="21"/>
              </w:rPr>
            </w:pPr>
            <w:r>
              <w:rPr>
                <w:rFonts w:ascii="Times New Roman" w:eastAsia="华文中宋" w:hAnsi="Times New Roman" w:hint="eastAsia"/>
                <w:sz w:val="21"/>
                <w:szCs w:val="21"/>
              </w:rPr>
              <w:t>序号</w:t>
            </w:r>
          </w:p>
        </w:tc>
        <w:tc>
          <w:tcPr>
            <w:tcW w:w="2693" w:type="dxa"/>
          </w:tcPr>
          <w:p w:rsidR="005F6318" w:rsidRDefault="005F6318" w:rsidP="00843889">
            <w:pPr>
              <w:jc w:val="center"/>
              <w:rPr>
                <w:rFonts w:ascii="Times New Roman" w:eastAsia="华文中宋" w:hAnsi="Times New Roman"/>
                <w:sz w:val="21"/>
                <w:szCs w:val="21"/>
              </w:rPr>
            </w:pPr>
            <w:r>
              <w:rPr>
                <w:rFonts w:ascii="Times New Roman" w:eastAsia="华文中宋" w:hAnsi="Times New Roman" w:hint="eastAsia"/>
                <w:sz w:val="21"/>
                <w:szCs w:val="21"/>
              </w:rPr>
              <w:t>实验项目名称</w:t>
            </w:r>
          </w:p>
        </w:tc>
        <w:tc>
          <w:tcPr>
            <w:tcW w:w="709" w:type="dxa"/>
          </w:tcPr>
          <w:p w:rsidR="005F6318" w:rsidRDefault="005F6318" w:rsidP="00843889">
            <w:pPr>
              <w:jc w:val="center"/>
              <w:rPr>
                <w:rFonts w:ascii="Times New Roman" w:eastAsia="华文中宋" w:hAnsi="Times New Roman"/>
                <w:sz w:val="21"/>
                <w:szCs w:val="21"/>
              </w:rPr>
            </w:pPr>
            <w:r>
              <w:rPr>
                <w:rFonts w:ascii="Times New Roman" w:eastAsia="华文中宋" w:hAnsi="Times New Roman" w:hint="eastAsia"/>
                <w:sz w:val="21"/>
                <w:szCs w:val="21"/>
              </w:rPr>
              <w:t>学时分配</w:t>
            </w:r>
          </w:p>
        </w:tc>
        <w:tc>
          <w:tcPr>
            <w:tcW w:w="708" w:type="dxa"/>
          </w:tcPr>
          <w:p w:rsidR="005F6318" w:rsidRDefault="005F6318" w:rsidP="00843889">
            <w:pPr>
              <w:jc w:val="center"/>
              <w:rPr>
                <w:rFonts w:ascii="Times New Roman" w:eastAsia="华文中宋" w:hAnsi="Times New Roman"/>
                <w:sz w:val="21"/>
                <w:szCs w:val="21"/>
              </w:rPr>
            </w:pPr>
            <w:r>
              <w:rPr>
                <w:rFonts w:ascii="Times New Roman" w:eastAsia="华文中宋" w:hAnsi="Times New Roman" w:hint="eastAsia"/>
                <w:sz w:val="21"/>
                <w:szCs w:val="21"/>
              </w:rPr>
              <w:t>实验属性</w:t>
            </w:r>
          </w:p>
        </w:tc>
        <w:tc>
          <w:tcPr>
            <w:tcW w:w="709" w:type="dxa"/>
          </w:tcPr>
          <w:p w:rsidR="005F6318" w:rsidRDefault="005F6318" w:rsidP="00843889">
            <w:pPr>
              <w:jc w:val="center"/>
              <w:rPr>
                <w:rFonts w:ascii="Times New Roman" w:eastAsia="华文中宋" w:hAnsi="Times New Roman"/>
                <w:sz w:val="21"/>
                <w:szCs w:val="21"/>
              </w:rPr>
            </w:pPr>
            <w:r>
              <w:rPr>
                <w:rFonts w:ascii="Times New Roman" w:eastAsia="华文中宋" w:hAnsi="Times New Roman" w:hint="eastAsia"/>
                <w:sz w:val="21"/>
                <w:szCs w:val="21"/>
              </w:rPr>
              <w:t>实验类型</w:t>
            </w:r>
          </w:p>
        </w:tc>
        <w:tc>
          <w:tcPr>
            <w:tcW w:w="709" w:type="dxa"/>
          </w:tcPr>
          <w:p w:rsidR="005F6318" w:rsidRDefault="005F6318" w:rsidP="00843889">
            <w:pPr>
              <w:jc w:val="center"/>
              <w:rPr>
                <w:rFonts w:ascii="Times New Roman" w:eastAsia="华文中宋" w:hAnsi="Times New Roman"/>
                <w:sz w:val="21"/>
                <w:szCs w:val="21"/>
              </w:rPr>
            </w:pPr>
            <w:r>
              <w:rPr>
                <w:rFonts w:ascii="Times New Roman" w:eastAsia="华文中宋" w:hAnsi="Times New Roman" w:hint="eastAsia"/>
                <w:sz w:val="21"/>
                <w:szCs w:val="21"/>
              </w:rPr>
              <w:t>每组人数</w:t>
            </w:r>
          </w:p>
        </w:tc>
        <w:tc>
          <w:tcPr>
            <w:tcW w:w="709" w:type="dxa"/>
          </w:tcPr>
          <w:p w:rsidR="005F6318" w:rsidRDefault="005F6318" w:rsidP="00843889">
            <w:pPr>
              <w:jc w:val="center"/>
              <w:rPr>
                <w:rFonts w:ascii="Times New Roman" w:eastAsia="华文中宋" w:hAnsi="Times New Roman"/>
                <w:sz w:val="21"/>
                <w:szCs w:val="21"/>
              </w:rPr>
            </w:pPr>
            <w:r>
              <w:rPr>
                <w:rFonts w:ascii="Times New Roman" w:eastAsia="华文中宋" w:hAnsi="Times New Roman" w:hint="eastAsia"/>
                <w:sz w:val="21"/>
                <w:szCs w:val="21"/>
              </w:rPr>
              <w:t>实验性质</w:t>
            </w:r>
          </w:p>
        </w:tc>
        <w:tc>
          <w:tcPr>
            <w:tcW w:w="850" w:type="dxa"/>
          </w:tcPr>
          <w:p w:rsidR="005F6318" w:rsidRDefault="005F6318" w:rsidP="00843889">
            <w:pPr>
              <w:jc w:val="center"/>
              <w:rPr>
                <w:rFonts w:ascii="Times New Roman" w:eastAsia="华文中宋" w:hAnsi="Times New Roman"/>
                <w:sz w:val="21"/>
                <w:szCs w:val="21"/>
              </w:rPr>
            </w:pPr>
            <w:r>
              <w:rPr>
                <w:rFonts w:ascii="Times New Roman" w:eastAsia="华文中宋" w:hAnsi="Times New Roman" w:hint="eastAsia"/>
                <w:sz w:val="21"/>
                <w:szCs w:val="21"/>
              </w:rPr>
              <w:t>虚拟仿真实验</w:t>
            </w:r>
          </w:p>
        </w:tc>
        <w:tc>
          <w:tcPr>
            <w:tcW w:w="736" w:type="dxa"/>
          </w:tcPr>
          <w:p w:rsidR="005F6318" w:rsidRDefault="005F6318" w:rsidP="00843889">
            <w:pPr>
              <w:jc w:val="center"/>
              <w:rPr>
                <w:rFonts w:ascii="Times New Roman" w:eastAsia="华文中宋" w:hAnsi="Times New Roman"/>
                <w:sz w:val="21"/>
                <w:szCs w:val="21"/>
              </w:rPr>
            </w:pPr>
            <w:r>
              <w:rPr>
                <w:rFonts w:ascii="Times New Roman" w:eastAsia="华文中宋" w:hAnsi="Times New Roman" w:hint="eastAsia"/>
                <w:sz w:val="21"/>
                <w:szCs w:val="21"/>
              </w:rPr>
              <w:t>开放实验</w:t>
            </w:r>
          </w:p>
        </w:tc>
        <w:tc>
          <w:tcPr>
            <w:tcW w:w="929" w:type="dxa"/>
          </w:tcPr>
          <w:p w:rsidR="005F6318" w:rsidRDefault="005F6318" w:rsidP="00843889">
            <w:pPr>
              <w:jc w:val="center"/>
              <w:rPr>
                <w:rFonts w:ascii="Times New Roman" w:eastAsia="华文中宋" w:hAnsi="Times New Roman"/>
                <w:sz w:val="21"/>
                <w:szCs w:val="21"/>
              </w:rPr>
            </w:pPr>
            <w:r>
              <w:rPr>
                <w:rFonts w:ascii="Times New Roman" w:eastAsia="华文中宋" w:hAnsi="Times New Roman" w:hint="eastAsia"/>
                <w:sz w:val="21"/>
                <w:szCs w:val="21"/>
              </w:rPr>
              <w:t>指导教师人数</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1</w:t>
            </w:r>
          </w:p>
        </w:tc>
        <w:tc>
          <w:tcPr>
            <w:tcW w:w="2693" w:type="dxa"/>
          </w:tcPr>
          <w:p w:rsidR="005F6318" w:rsidRDefault="005F6318" w:rsidP="00843889">
            <w:pPr>
              <w:rPr>
                <w:sz w:val="21"/>
                <w:szCs w:val="21"/>
              </w:rPr>
            </w:pPr>
            <w:r>
              <w:rPr>
                <w:rFonts w:hint="eastAsia"/>
                <w:sz w:val="21"/>
                <w:szCs w:val="21"/>
              </w:rPr>
              <w:t>混凝试验</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3</w:t>
            </w:r>
          </w:p>
        </w:tc>
        <w:tc>
          <w:tcPr>
            <w:tcW w:w="708"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设计</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4~6</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必修</w:t>
            </w:r>
          </w:p>
        </w:tc>
        <w:tc>
          <w:tcPr>
            <w:tcW w:w="850" w:type="dxa"/>
          </w:tcPr>
          <w:p w:rsidR="005F6318" w:rsidRDefault="005F6318" w:rsidP="00843889">
            <w:pPr>
              <w:spacing w:line="360" w:lineRule="auto"/>
              <w:rPr>
                <w:rFonts w:ascii="Times New Roman" w:eastAsia="华文中宋" w:hAnsi="Times New Roman"/>
                <w:sz w:val="21"/>
                <w:szCs w:val="21"/>
              </w:rPr>
            </w:pPr>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1~2</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2693" w:type="dxa"/>
          </w:tcPr>
          <w:p w:rsidR="005F6318" w:rsidRDefault="005F6318" w:rsidP="00843889">
            <w:pPr>
              <w:rPr>
                <w:sz w:val="21"/>
                <w:szCs w:val="21"/>
              </w:rPr>
            </w:pPr>
            <w:r>
              <w:rPr>
                <w:rFonts w:hint="eastAsia"/>
                <w:sz w:val="21"/>
                <w:szCs w:val="21"/>
              </w:rPr>
              <w:t>颗粒自由沉淀实验</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708" w:type="dxa"/>
          </w:tcPr>
          <w:p w:rsidR="005F6318" w:rsidRDefault="005F6318" w:rsidP="00843889">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验证</w:t>
            </w:r>
          </w:p>
        </w:tc>
        <w:tc>
          <w:tcPr>
            <w:tcW w:w="709" w:type="dxa"/>
          </w:tcPr>
          <w:p w:rsidR="005F6318" w:rsidRDefault="005F6318" w:rsidP="00843889">
            <w:r>
              <w:rPr>
                <w:rFonts w:ascii="Times New Roman" w:eastAsia="华文中宋" w:hAnsi="Times New Roman" w:hint="eastAsia"/>
                <w:sz w:val="21"/>
                <w:szCs w:val="21"/>
              </w:rPr>
              <w:t>4~6</w:t>
            </w:r>
          </w:p>
        </w:tc>
        <w:tc>
          <w:tcPr>
            <w:tcW w:w="709" w:type="dxa"/>
          </w:tcPr>
          <w:p w:rsidR="005F6318" w:rsidRDefault="005F6318" w:rsidP="00843889">
            <w:r>
              <w:rPr>
                <w:rFonts w:ascii="Times New Roman" w:eastAsia="华文中宋" w:hAnsi="Times New Roman" w:hint="eastAsia"/>
                <w:sz w:val="21"/>
                <w:szCs w:val="21"/>
              </w:rPr>
              <w:t>必修</w:t>
            </w:r>
          </w:p>
        </w:tc>
        <w:tc>
          <w:tcPr>
            <w:tcW w:w="850" w:type="dxa"/>
          </w:tcPr>
          <w:p w:rsidR="005F6318" w:rsidRDefault="005F6318" w:rsidP="00843889">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r>
              <w:rPr>
                <w:rFonts w:ascii="Times New Roman" w:eastAsia="华文中宋" w:hAnsi="Times New Roman" w:hint="eastAsia"/>
                <w:sz w:val="21"/>
                <w:szCs w:val="21"/>
              </w:rPr>
              <w:t>1~2</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3</w:t>
            </w:r>
          </w:p>
        </w:tc>
        <w:tc>
          <w:tcPr>
            <w:tcW w:w="2693" w:type="dxa"/>
          </w:tcPr>
          <w:p w:rsidR="005F6318" w:rsidRDefault="005F6318" w:rsidP="00843889">
            <w:pPr>
              <w:rPr>
                <w:sz w:val="21"/>
                <w:szCs w:val="21"/>
              </w:rPr>
            </w:pPr>
            <w:r>
              <w:rPr>
                <w:rFonts w:hint="eastAsia"/>
                <w:sz w:val="21"/>
                <w:szCs w:val="21"/>
              </w:rPr>
              <w:t>过滤及反冲洗实验</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708" w:type="dxa"/>
          </w:tcPr>
          <w:p w:rsidR="005F6318" w:rsidRDefault="005F6318" w:rsidP="00843889">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综合</w:t>
            </w:r>
          </w:p>
        </w:tc>
        <w:tc>
          <w:tcPr>
            <w:tcW w:w="709" w:type="dxa"/>
          </w:tcPr>
          <w:p w:rsidR="005F6318" w:rsidRDefault="005F6318" w:rsidP="00843889">
            <w:r>
              <w:rPr>
                <w:rFonts w:ascii="Times New Roman" w:eastAsia="华文中宋" w:hAnsi="Times New Roman" w:hint="eastAsia"/>
                <w:sz w:val="21"/>
                <w:szCs w:val="21"/>
              </w:rPr>
              <w:t>4~6</w:t>
            </w:r>
          </w:p>
        </w:tc>
        <w:tc>
          <w:tcPr>
            <w:tcW w:w="709" w:type="dxa"/>
          </w:tcPr>
          <w:p w:rsidR="005F6318" w:rsidRDefault="005F6318" w:rsidP="00843889">
            <w:r>
              <w:rPr>
                <w:rFonts w:ascii="Times New Roman" w:eastAsia="华文中宋" w:hAnsi="Times New Roman" w:hint="eastAsia"/>
                <w:sz w:val="21"/>
                <w:szCs w:val="21"/>
              </w:rPr>
              <w:t>必修</w:t>
            </w:r>
          </w:p>
        </w:tc>
        <w:tc>
          <w:tcPr>
            <w:tcW w:w="850" w:type="dxa"/>
          </w:tcPr>
          <w:p w:rsidR="005F6318" w:rsidRDefault="005F6318" w:rsidP="00843889">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r>
              <w:rPr>
                <w:rFonts w:ascii="Times New Roman" w:eastAsia="华文中宋" w:hAnsi="Times New Roman" w:hint="eastAsia"/>
                <w:sz w:val="21"/>
                <w:szCs w:val="21"/>
              </w:rPr>
              <w:t>1~2</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4</w:t>
            </w:r>
          </w:p>
        </w:tc>
        <w:tc>
          <w:tcPr>
            <w:tcW w:w="2693" w:type="dxa"/>
          </w:tcPr>
          <w:p w:rsidR="005F6318" w:rsidRDefault="005F6318" w:rsidP="00843889">
            <w:pPr>
              <w:rPr>
                <w:sz w:val="21"/>
                <w:szCs w:val="21"/>
              </w:rPr>
            </w:pPr>
            <w:r>
              <w:rPr>
                <w:rFonts w:hint="eastAsia"/>
                <w:sz w:val="21"/>
                <w:szCs w:val="21"/>
              </w:rPr>
              <w:t>污泥沉降比和污泥指数的测定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3</w:t>
            </w:r>
          </w:p>
        </w:tc>
        <w:tc>
          <w:tcPr>
            <w:tcW w:w="708" w:type="dxa"/>
          </w:tcPr>
          <w:p w:rsidR="005F6318" w:rsidRDefault="005F6318" w:rsidP="00843889">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综合</w:t>
            </w:r>
          </w:p>
        </w:tc>
        <w:tc>
          <w:tcPr>
            <w:tcW w:w="709" w:type="dxa"/>
          </w:tcPr>
          <w:p w:rsidR="005F6318" w:rsidRDefault="005F6318" w:rsidP="00843889">
            <w:r>
              <w:rPr>
                <w:rFonts w:ascii="Times New Roman" w:eastAsia="华文中宋" w:hAnsi="Times New Roman" w:hint="eastAsia"/>
                <w:sz w:val="21"/>
                <w:szCs w:val="21"/>
              </w:rPr>
              <w:t>4~6</w:t>
            </w:r>
          </w:p>
        </w:tc>
        <w:tc>
          <w:tcPr>
            <w:tcW w:w="709" w:type="dxa"/>
          </w:tcPr>
          <w:p w:rsidR="005F6318" w:rsidRDefault="005F6318" w:rsidP="00843889">
            <w:r>
              <w:rPr>
                <w:rFonts w:ascii="Times New Roman" w:eastAsia="华文中宋" w:hAnsi="Times New Roman" w:hint="eastAsia"/>
                <w:sz w:val="21"/>
                <w:szCs w:val="21"/>
              </w:rPr>
              <w:t>必修</w:t>
            </w:r>
          </w:p>
        </w:tc>
        <w:tc>
          <w:tcPr>
            <w:tcW w:w="850" w:type="dxa"/>
          </w:tcPr>
          <w:p w:rsidR="005F6318" w:rsidRDefault="005F6318" w:rsidP="00843889">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r>
              <w:rPr>
                <w:rFonts w:ascii="Times New Roman" w:eastAsia="华文中宋" w:hAnsi="Times New Roman" w:hint="eastAsia"/>
                <w:sz w:val="21"/>
                <w:szCs w:val="21"/>
              </w:rPr>
              <w:t>1~2</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5</w:t>
            </w:r>
          </w:p>
        </w:tc>
        <w:tc>
          <w:tcPr>
            <w:tcW w:w="2693" w:type="dxa"/>
          </w:tcPr>
          <w:p w:rsidR="005F6318" w:rsidRDefault="005F6318" w:rsidP="00843889">
            <w:pPr>
              <w:rPr>
                <w:sz w:val="21"/>
                <w:szCs w:val="21"/>
              </w:rPr>
            </w:pPr>
            <w:r>
              <w:rPr>
                <w:rFonts w:hint="eastAsia"/>
                <w:sz w:val="21"/>
                <w:szCs w:val="21"/>
              </w:rPr>
              <w:t>清水中的的氧转移实验</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708" w:type="dxa"/>
          </w:tcPr>
          <w:p w:rsidR="005F6318" w:rsidRDefault="005F6318" w:rsidP="00843889">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综合</w:t>
            </w:r>
          </w:p>
        </w:tc>
        <w:tc>
          <w:tcPr>
            <w:tcW w:w="709" w:type="dxa"/>
          </w:tcPr>
          <w:p w:rsidR="005F6318" w:rsidRDefault="005F6318" w:rsidP="00843889">
            <w:r>
              <w:rPr>
                <w:rFonts w:ascii="Times New Roman" w:eastAsia="华文中宋" w:hAnsi="Times New Roman" w:hint="eastAsia"/>
                <w:sz w:val="21"/>
                <w:szCs w:val="21"/>
              </w:rPr>
              <w:t>4~6</w:t>
            </w:r>
          </w:p>
        </w:tc>
        <w:tc>
          <w:tcPr>
            <w:tcW w:w="709" w:type="dxa"/>
          </w:tcPr>
          <w:p w:rsidR="005F6318" w:rsidRDefault="005F6318" w:rsidP="00843889">
            <w:r>
              <w:rPr>
                <w:rFonts w:ascii="Times New Roman" w:eastAsia="华文中宋" w:hAnsi="Times New Roman" w:hint="eastAsia"/>
                <w:sz w:val="21"/>
                <w:szCs w:val="21"/>
              </w:rPr>
              <w:t>必修</w:t>
            </w:r>
          </w:p>
        </w:tc>
        <w:tc>
          <w:tcPr>
            <w:tcW w:w="850" w:type="dxa"/>
          </w:tcPr>
          <w:p w:rsidR="005F6318" w:rsidRDefault="005F6318" w:rsidP="00843889">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r>
              <w:rPr>
                <w:rFonts w:ascii="Times New Roman" w:eastAsia="华文中宋" w:hAnsi="Times New Roman" w:hint="eastAsia"/>
                <w:sz w:val="21"/>
                <w:szCs w:val="21"/>
              </w:rPr>
              <w:t>1~2</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6</w:t>
            </w:r>
          </w:p>
        </w:tc>
        <w:tc>
          <w:tcPr>
            <w:tcW w:w="2693" w:type="dxa"/>
          </w:tcPr>
          <w:p w:rsidR="005F6318" w:rsidRDefault="005F6318" w:rsidP="00843889">
            <w:pPr>
              <w:rPr>
                <w:sz w:val="21"/>
                <w:szCs w:val="21"/>
              </w:rPr>
            </w:pPr>
            <w:r>
              <w:rPr>
                <w:rFonts w:hint="eastAsia"/>
                <w:sz w:val="21"/>
                <w:szCs w:val="21"/>
              </w:rPr>
              <w:t>溶气气浮法处理废水实验</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708" w:type="dxa"/>
          </w:tcPr>
          <w:p w:rsidR="005F6318" w:rsidRDefault="005F6318" w:rsidP="00843889">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综合</w:t>
            </w:r>
          </w:p>
        </w:tc>
        <w:tc>
          <w:tcPr>
            <w:tcW w:w="709" w:type="dxa"/>
          </w:tcPr>
          <w:p w:rsidR="005F6318" w:rsidRDefault="005F6318" w:rsidP="00843889">
            <w:r>
              <w:rPr>
                <w:rFonts w:ascii="Times New Roman" w:eastAsia="华文中宋" w:hAnsi="Times New Roman" w:hint="eastAsia"/>
                <w:sz w:val="21"/>
                <w:szCs w:val="21"/>
              </w:rPr>
              <w:t>4~6</w:t>
            </w:r>
          </w:p>
        </w:tc>
        <w:tc>
          <w:tcPr>
            <w:tcW w:w="709" w:type="dxa"/>
          </w:tcPr>
          <w:p w:rsidR="005F6318" w:rsidRDefault="005F6318" w:rsidP="00843889">
            <w:r>
              <w:rPr>
                <w:rFonts w:ascii="Times New Roman" w:eastAsia="华文中宋" w:hAnsi="Times New Roman" w:hint="eastAsia"/>
                <w:sz w:val="21"/>
                <w:szCs w:val="21"/>
              </w:rPr>
              <w:t>必修</w:t>
            </w:r>
          </w:p>
        </w:tc>
        <w:tc>
          <w:tcPr>
            <w:tcW w:w="850" w:type="dxa"/>
          </w:tcPr>
          <w:p w:rsidR="005F6318" w:rsidRDefault="005F6318" w:rsidP="00843889">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r>
              <w:rPr>
                <w:rFonts w:ascii="Times New Roman" w:eastAsia="华文中宋" w:hAnsi="Times New Roman" w:hint="eastAsia"/>
                <w:sz w:val="21"/>
                <w:szCs w:val="21"/>
              </w:rPr>
              <w:t>1~2</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7</w:t>
            </w:r>
          </w:p>
        </w:tc>
        <w:tc>
          <w:tcPr>
            <w:tcW w:w="2693" w:type="dxa"/>
          </w:tcPr>
          <w:p w:rsidR="005F6318" w:rsidRDefault="005F6318" w:rsidP="00843889">
            <w:pPr>
              <w:rPr>
                <w:sz w:val="21"/>
                <w:szCs w:val="21"/>
              </w:rPr>
            </w:pPr>
            <w:r>
              <w:rPr>
                <w:rFonts w:hint="eastAsia"/>
                <w:sz w:val="21"/>
                <w:szCs w:val="21"/>
              </w:rPr>
              <w:t>活性炭吸附实验</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4</w:t>
            </w:r>
          </w:p>
        </w:tc>
        <w:tc>
          <w:tcPr>
            <w:tcW w:w="708" w:type="dxa"/>
          </w:tcPr>
          <w:p w:rsidR="005F6318" w:rsidRDefault="005F6318" w:rsidP="00843889">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综合</w:t>
            </w:r>
          </w:p>
        </w:tc>
        <w:tc>
          <w:tcPr>
            <w:tcW w:w="709" w:type="dxa"/>
          </w:tcPr>
          <w:p w:rsidR="005F6318" w:rsidRDefault="005F6318" w:rsidP="00843889">
            <w:r>
              <w:rPr>
                <w:rFonts w:ascii="Times New Roman" w:eastAsia="华文中宋" w:hAnsi="Times New Roman" w:hint="eastAsia"/>
                <w:sz w:val="21"/>
                <w:szCs w:val="21"/>
              </w:rPr>
              <w:t>4~6</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必修</w:t>
            </w:r>
          </w:p>
        </w:tc>
        <w:tc>
          <w:tcPr>
            <w:tcW w:w="850" w:type="dxa"/>
          </w:tcPr>
          <w:p w:rsidR="005F6318" w:rsidRDefault="005F6318" w:rsidP="00843889">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r>
              <w:rPr>
                <w:rFonts w:ascii="Times New Roman" w:eastAsia="华文中宋" w:hAnsi="Times New Roman" w:hint="eastAsia"/>
                <w:sz w:val="21"/>
                <w:szCs w:val="21"/>
              </w:rPr>
              <w:t>1~2</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8</w:t>
            </w:r>
          </w:p>
        </w:tc>
        <w:tc>
          <w:tcPr>
            <w:tcW w:w="2693" w:type="dxa"/>
          </w:tcPr>
          <w:p w:rsidR="005F6318" w:rsidRDefault="005F6318" w:rsidP="00843889">
            <w:pPr>
              <w:rPr>
                <w:rFonts w:ascii="Times New Roman" w:eastAsia="华文中宋" w:hAnsi="Times New Roman"/>
                <w:sz w:val="21"/>
                <w:szCs w:val="21"/>
              </w:rPr>
            </w:pPr>
            <w:r>
              <w:rPr>
                <w:rFonts w:hint="eastAsia"/>
                <w:sz w:val="21"/>
                <w:szCs w:val="21"/>
              </w:rPr>
              <w:t>建筑给排水综合实验</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4</w:t>
            </w:r>
          </w:p>
        </w:tc>
        <w:tc>
          <w:tcPr>
            <w:tcW w:w="708" w:type="dxa"/>
          </w:tcPr>
          <w:p w:rsidR="005F6318" w:rsidRDefault="005F6318" w:rsidP="00843889">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综合</w:t>
            </w:r>
          </w:p>
        </w:tc>
        <w:tc>
          <w:tcPr>
            <w:tcW w:w="709" w:type="dxa"/>
          </w:tcPr>
          <w:p w:rsidR="005F6318" w:rsidRDefault="005F6318" w:rsidP="00843889">
            <w:r>
              <w:rPr>
                <w:rFonts w:ascii="Times New Roman" w:eastAsia="华文中宋" w:hAnsi="Times New Roman" w:hint="eastAsia"/>
                <w:sz w:val="21"/>
                <w:szCs w:val="21"/>
              </w:rPr>
              <w:t>8~10</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必修</w:t>
            </w:r>
          </w:p>
        </w:tc>
        <w:tc>
          <w:tcPr>
            <w:tcW w:w="850" w:type="dxa"/>
          </w:tcPr>
          <w:p w:rsidR="005F6318" w:rsidRDefault="005F6318" w:rsidP="00843889">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r>
              <w:rPr>
                <w:rFonts w:ascii="Times New Roman" w:eastAsia="华文中宋" w:hAnsi="Times New Roman" w:hint="eastAsia"/>
                <w:sz w:val="21"/>
                <w:szCs w:val="21"/>
              </w:rPr>
              <w:t>1~2</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lastRenderedPageBreak/>
              <w:t>9</w:t>
            </w:r>
          </w:p>
        </w:tc>
        <w:tc>
          <w:tcPr>
            <w:tcW w:w="2693" w:type="dxa"/>
          </w:tcPr>
          <w:p w:rsidR="005F6318" w:rsidRDefault="005F6318" w:rsidP="00843889">
            <w:pPr>
              <w:rPr>
                <w:sz w:val="21"/>
                <w:szCs w:val="21"/>
              </w:rPr>
            </w:pPr>
            <w:r>
              <w:rPr>
                <w:rFonts w:hint="eastAsia"/>
                <w:sz w:val="21"/>
                <w:szCs w:val="21"/>
              </w:rPr>
              <w:t>水处理动态模型实验</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4</w:t>
            </w:r>
          </w:p>
        </w:tc>
        <w:tc>
          <w:tcPr>
            <w:tcW w:w="708" w:type="dxa"/>
          </w:tcPr>
          <w:p w:rsidR="005F6318" w:rsidRDefault="005F6318" w:rsidP="00843889">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综合</w:t>
            </w:r>
          </w:p>
        </w:tc>
        <w:tc>
          <w:tcPr>
            <w:tcW w:w="709" w:type="dxa"/>
          </w:tcPr>
          <w:p w:rsidR="005F6318" w:rsidRDefault="005F6318" w:rsidP="00843889">
            <w:r>
              <w:rPr>
                <w:rFonts w:ascii="Times New Roman" w:eastAsia="华文中宋" w:hAnsi="Times New Roman" w:hint="eastAsia"/>
                <w:sz w:val="21"/>
                <w:szCs w:val="21"/>
              </w:rPr>
              <w:t>4~6</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选修</w:t>
            </w:r>
          </w:p>
        </w:tc>
        <w:tc>
          <w:tcPr>
            <w:tcW w:w="850" w:type="dxa"/>
          </w:tcPr>
          <w:p w:rsidR="005F6318" w:rsidRDefault="005F6318" w:rsidP="00843889">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r>
              <w:rPr>
                <w:rFonts w:ascii="Times New Roman" w:eastAsia="华文中宋" w:hAnsi="Times New Roman" w:hint="eastAsia"/>
                <w:sz w:val="21"/>
                <w:szCs w:val="21"/>
              </w:rPr>
              <w:t>1~2</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10</w:t>
            </w:r>
          </w:p>
        </w:tc>
        <w:tc>
          <w:tcPr>
            <w:tcW w:w="2693" w:type="dxa"/>
          </w:tcPr>
          <w:p w:rsidR="005F6318" w:rsidRDefault="005F6318" w:rsidP="00843889">
            <w:pPr>
              <w:rPr>
                <w:sz w:val="21"/>
                <w:szCs w:val="21"/>
              </w:rPr>
            </w:pPr>
            <w:r>
              <w:rPr>
                <w:rFonts w:hint="eastAsia"/>
                <w:sz w:val="21"/>
                <w:szCs w:val="21"/>
              </w:rPr>
              <w:t>钠型阳树脂工作交换容量测定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708" w:type="dxa"/>
          </w:tcPr>
          <w:p w:rsidR="005F6318" w:rsidRDefault="005F6318" w:rsidP="00843889">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综合</w:t>
            </w:r>
          </w:p>
        </w:tc>
        <w:tc>
          <w:tcPr>
            <w:tcW w:w="709" w:type="dxa"/>
          </w:tcPr>
          <w:p w:rsidR="005F6318" w:rsidRDefault="005F6318" w:rsidP="00843889">
            <w:r>
              <w:rPr>
                <w:rFonts w:ascii="Times New Roman" w:eastAsia="华文中宋" w:hAnsi="Times New Roman" w:hint="eastAsia"/>
                <w:sz w:val="21"/>
                <w:szCs w:val="21"/>
              </w:rPr>
              <w:t>4~6</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选修</w:t>
            </w:r>
          </w:p>
        </w:tc>
        <w:tc>
          <w:tcPr>
            <w:tcW w:w="850" w:type="dxa"/>
          </w:tcPr>
          <w:p w:rsidR="005F6318" w:rsidRDefault="005F6318" w:rsidP="00843889">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r>
              <w:rPr>
                <w:rFonts w:ascii="Times New Roman" w:eastAsia="华文中宋" w:hAnsi="Times New Roman" w:hint="eastAsia"/>
                <w:sz w:val="21"/>
                <w:szCs w:val="21"/>
              </w:rPr>
              <w:t>1~2</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11</w:t>
            </w:r>
          </w:p>
        </w:tc>
        <w:tc>
          <w:tcPr>
            <w:tcW w:w="2693" w:type="dxa"/>
          </w:tcPr>
          <w:p w:rsidR="005F6318" w:rsidRDefault="005F6318" w:rsidP="00843889">
            <w:pPr>
              <w:rPr>
                <w:sz w:val="21"/>
                <w:szCs w:val="21"/>
              </w:rPr>
            </w:pPr>
            <w:r>
              <w:rPr>
                <w:rFonts w:hint="eastAsia"/>
                <w:sz w:val="21"/>
                <w:szCs w:val="21"/>
              </w:rPr>
              <w:t>除盐实验</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2</w:t>
            </w:r>
          </w:p>
        </w:tc>
        <w:tc>
          <w:tcPr>
            <w:tcW w:w="708" w:type="dxa"/>
          </w:tcPr>
          <w:p w:rsidR="005F6318" w:rsidRDefault="005F6318" w:rsidP="00843889">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综合</w:t>
            </w:r>
          </w:p>
        </w:tc>
        <w:tc>
          <w:tcPr>
            <w:tcW w:w="709" w:type="dxa"/>
          </w:tcPr>
          <w:p w:rsidR="005F6318" w:rsidRDefault="005F6318" w:rsidP="00843889">
            <w:r>
              <w:rPr>
                <w:rFonts w:ascii="Times New Roman" w:eastAsia="华文中宋" w:hAnsi="Times New Roman" w:hint="eastAsia"/>
                <w:sz w:val="21"/>
                <w:szCs w:val="21"/>
              </w:rPr>
              <w:t>4~6</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选修</w:t>
            </w:r>
          </w:p>
        </w:tc>
        <w:tc>
          <w:tcPr>
            <w:tcW w:w="850" w:type="dxa"/>
          </w:tcPr>
          <w:p w:rsidR="005F6318" w:rsidRDefault="005F6318" w:rsidP="00843889">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r>
              <w:rPr>
                <w:rFonts w:ascii="Times New Roman" w:eastAsia="华文中宋" w:hAnsi="Times New Roman" w:hint="eastAsia"/>
                <w:sz w:val="21"/>
                <w:szCs w:val="21"/>
              </w:rPr>
              <w:t>1~2</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12</w:t>
            </w:r>
          </w:p>
        </w:tc>
        <w:tc>
          <w:tcPr>
            <w:tcW w:w="2693" w:type="dxa"/>
          </w:tcPr>
          <w:p w:rsidR="005F6318" w:rsidRDefault="005F6318" w:rsidP="00843889">
            <w:pPr>
              <w:rPr>
                <w:sz w:val="21"/>
                <w:szCs w:val="21"/>
              </w:rPr>
            </w:pPr>
            <w:r>
              <w:rPr>
                <w:rFonts w:hint="eastAsia"/>
                <w:sz w:val="21"/>
                <w:szCs w:val="21"/>
              </w:rPr>
              <w:t>水质处理综合实验</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6</w:t>
            </w:r>
          </w:p>
        </w:tc>
        <w:tc>
          <w:tcPr>
            <w:tcW w:w="708" w:type="dxa"/>
          </w:tcPr>
          <w:p w:rsidR="005F6318" w:rsidRDefault="005F6318" w:rsidP="00843889">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综合</w:t>
            </w:r>
          </w:p>
        </w:tc>
        <w:tc>
          <w:tcPr>
            <w:tcW w:w="709" w:type="dxa"/>
          </w:tcPr>
          <w:p w:rsidR="005F6318" w:rsidRDefault="005F6318" w:rsidP="00843889">
            <w:r>
              <w:rPr>
                <w:rFonts w:ascii="Times New Roman" w:eastAsia="华文中宋" w:hAnsi="Times New Roman" w:hint="eastAsia"/>
                <w:sz w:val="21"/>
                <w:szCs w:val="21"/>
              </w:rPr>
              <w:t>4~6</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选修</w:t>
            </w:r>
          </w:p>
        </w:tc>
        <w:tc>
          <w:tcPr>
            <w:tcW w:w="850" w:type="dxa"/>
          </w:tcPr>
          <w:p w:rsidR="005F6318" w:rsidRDefault="005F6318" w:rsidP="00843889">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r>
              <w:rPr>
                <w:rFonts w:ascii="Times New Roman" w:eastAsia="华文中宋" w:hAnsi="Times New Roman" w:hint="eastAsia"/>
                <w:sz w:val="21"/>
                <w:szCs w:val="21"/>
              </w:rPr>
              <w:t>1~2</w:t>
            </w:r>
          </w:p>
        </w:tc>
      </w:tr>
      <w:tr w:rsidR="005F6318" w:rsidTr="00843889">
        <w:tc>
          <w:tcPr>
            <w:tcW w:w="426"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13</w:t>
            </w:r>
          </w:p>
        </w:tc>
        <w:tc>
          <w:tcPr>
            <w:tcW w:w="2693" w:type="dxa"/>
          </w:tcPr>
          <w:p w:rsidR="005F6318" w:rsidRDefault="005F6318" w:rsidP="00843889">
            <w:pPr>
              <w:rPr>
                <w:sz w:val="21"/>
                <w:szCs w:val="21"/>
              </w:rPr>
            </w:pPr>
            <w:r>
              <w:rPr>
                <w:rFonts w:hint="eastAsia"/>
                <w:sz w:val="21"/>
                <w:szCs w:val="21"/>
              </w:rPr>
              <w:t>纯水制备工艺运行实验</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6</w:t>
            </w:r>
          </w:p>
        </w:tc>
        <w:tc>
          <w:tcPr>
            <w:tcW w:w="708" w:type="dxa"/>
          </w:tcPr>
          <w:p w:rsidR="005F6318" w:rsidRDefault="005F6318" w:rsidP="00843889">
            <w:r>
              <w:rPr>
                <w:rFonts w:ascii="Times New Roman" w:eastAsia="华文中宋" w:hAnsi="Times New Roman" w:hint="eastAsia"/>
                <w:sz w:val="21"/>
                <w:szCs w:val="21"/>
              </w:rPr>
              <w:t>专业</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综合</w:t>
            </w:r>
          </w:p>
        </w:tc>
        <w:tc>
          <w:tcPr>
            <w:tcW w:w="709" w:type="dxa"/>
          </w:tcPr>
          <w:p w:rsidR="005F6318" w:rsidRDefault="005F6318" w:rsidP="00843889">
            <w:r>
              <w:rPr>
                <w:rFonts w:ascii="Times New Roman" w:eastAsia="华文中宋" w:hAnsi="Times New Roman" w:hint="eastAsia"/>
                <w:sz w:val="21"/>
                <w:szCs w:val="21"/>
              </w:rPr>
              <w:t>4~6</w:t>
            </w:r>
          </w:p>
        </w:tc>
        <w:tc>
          <w:tcPr>
            <w:tcW w:w="709" w:type="dxa"/>
          </w:tcPr>
          <w:p w:rsidR="005F6318" w:rsidRDefault="005F6318" w:rsidP="00843889">
            <w:pPr>
              <w:spacing w:line="360" w:lineRule="auto"/>
              <w:jc w:val="center"/>
              <w:rPr>
                <w:rFonts w:ascii="Times New Roman" w:eastAsia="华文中宋" w:hAnsi="Times New Roman"/>
                <w:sz w:val="21"/>
                <w:szCs w:val="21"/>
              </w:rPr>
            </w:pPr>
            <w:r>
              <w:rPr>
                <w:rFonts w:ascii="Times New Roman" w:eastAsia="华文中宋" w:hAnsi="Times New Roman" w:hint="eastAsia"/>
                <w:sz w:val="21"/>
                <w:szCs w:val="21"/>
              </w:rPr>
              <w:t>选修</w:t>
            </w:r>
          </w:p>
        </w:tc>
        <w:tc>
          <w:tcPr>
            <w:tcW w:w="850" w:type="dxa"/>
          </w:tcPr>
          <w:p w:rsidR="005F6318" w:rsidRDefault="005F6318" w:rsidP="00843889">
            <w:r>
              <w:rPr>
                <w:rFonts w:ascii="Times New Roman" w:eastAsia="华文中宋" w:hAnsi="Times New Roman" w:hint="eastAsia"/>
                <w:sz w:val="21"/>
                <w:szCs w:val="21"/>
              </w:rPr>
              <w:t>否</w:t>
            </w:r>
          </w:p>
        </w:tc>
        <w:tc>
          <w:tcPr>
            <w:tcW w:w="736" w:type="dxa"/>
          </w:tcPr>
          <w:p w:rsidR="005F6318" w:rsidRDefault="005F6318" w:rsidP="00843889">
            <w:r>
              <w:rPr>
                <w:rFonts w:ascii="Times New Roman" w:eastAsia="华文中宋" w:hAnsi="Times New Roman" w:hint="eastAsia"/>
                <w:sz w:val="21"/>
                <w:szCs w:val="21"/>
              </w:rPr>
              <w:t>否</w:t>
            </w:r>
          </w:p>
        </w:tc>
        <w:tc>
          <w:tcPr>
            <w:tcW w:w="929" w:type="dxa"/>
          </w:tcPr>
          <w:p w:rsidR="005F6318" w:rsidRDefault="005F6318" w:rsidP="00843889">
            <w:r>
              <w:rPr>
                <w:rFonts w:ascii="Times New Roman" w:eastAsia="华文中宋" w:hAnsi="Times New Roman" w:hint="eastAsia"/>
                <w:sz w:val="21"/>
                <w:szCs w:val="21"/>
              </w:rPr>
              <w:t>1~2</w:t>
            </w:r>
          </w:p>
        </w:tc>
      </w:tr>
    </w:tbl>
    <w:p w:rsidR="005F6318" w:rsidRDefault="005F6318" w:rsidP="005F6318">
      <w:pPr>
        <w:spacing w:line="360" w:lineRule="auto"/>
        <w:rPr>
          <w:rFonts w:ascii="黑体" w:eastAsia="黑体" w:hAnsi="黑体"/>
          <w:b/>
          <w:sz w:val="28"/>
          <w:szCs w:val="28"/>
        </w:rPr>
      </w:pPr>
      <w:r>
        <w:rPr>
          <w:rFonts w:ascii="黑体" w:eastAsia="黑体" w:hAnsi="黑体" w:hint="eastAsia"/>
          <w:b/>
          <w:sz w:val="28"/>
          <w:szCs w:val="28"/>
        </w:rPr>
        <w:t>二、实验课程简介</w:t>
      </w:r>
    </w:p>
    <w:p w:rsidR="005F6318" w:rsidRDefault="005F6318" w:rsidP="005F6318">
      <w:pPr>
        <w:spacing w:beforeLines="50" w:before="156" w:afterLines="50" w:after="156"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本课程是给排水科学与工程专业的必选课，是《水质工程学》课程教学的重要组成部分。本课程授课方式是动手实验为主，通过对实验的观察、分析，加深对《水质工程学》课程的基本概念、原理与规范的理解；掌握水处理实验的基本理论和实验的基本技能；培养学生设计和组织水处理实验方案的初步能力，从而提高学生独立思考、分析问题和解决问题的能力，为学习专业课程、从事专业工作和进行科学研究打下基础。</w:t>
      </w:r>
    </w:p>
    <w:p w:rsidR="005F6318" w:rsidRDefault="005F6318" w:rsidP="005F6318">
      <w:pPr>
        <w:spacing w:beforeLines="50" w:before="156" w:afterLines="50" w:after="156" w:line="360" w:lineRule="auto"/>
        <w:jc w:val="left"/>
        <w:rPr>
          <w:rFonts w:ascii="黑体" w:eastAsia="黑体" w:hAnsi="黑体"/>
          <w:b/>
          <w:sz w:val="28"/>
          <w:szCs w:val="28"/>
        </w:rPr>
      </w:pPr>
      <w:r>
        <w:rPr>
          <w:rFonts w:ascii="黑体" w:eastAsia="黑体" w:hAnsi="黑体" w:hint="eastAsia"/>
          <w:b/>
          <w:sz w:val="28"/>
          <w:szCs w:val="28"/>
        </w:rPr>
        <w:t>三、实验课程目标与要求</w:t>
      </w:r>
    </w:p>
    <w:p w:rsidR="005F6318" w:rsidRDefault="005F6318" w:rsidP="005F6318">
      <w:pPr>
        <w:spacing w:line="360" w:lineRule="auto"/>
        <w:ind w:firstLine="331"/>
        <w:rPr>
          <w:rFonts w:ascii="仿宋_GB2312" w:hAnsi="仿宋_GB2312" w:cs="仿宋_GB2312"/>
          <w:b/>
          <w:sz w:val="28"/>
          <w:szCs w:val="28"/>
        </w:rPr>
      </w:pPr>
      <w:r>
        <w:rPr>
          <w:rFonts w:ascii="仿宋_GB2312" w:hAnsi="仿宋_GB2312" w:cs="仿宋_GB2312" w:hint="eastAsia"/>
          <w:sz w:val="28"/>
          <w:szCs w:val="28"/>
        </w:rPr>
        <w:t>1.实验课程目标</w:t>
      </w:r>
    </w:p>
    <w:p w:rsidR="005F6318" w:rsidRDefault="005F6318" w:rsidP="005F6318">
      <w:pPr>
        <w:spacing w:beforeLines="50" w:before="156" w:afterLines="50" w:after="156"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水质工程学实验课》是在学生掌握水处理生物学、水分析化学、水力学、电工学、水文学、水泵与泵站、水质工程等方面知识的基础上，通过实验加强、巩固与扩大学生对给排水科学与工程专业基本原理和设计规范的理解，培养学生掌握基本实验技术操作和开展实验、整理数据和具备解决生产实际问题的能力，培养实事求是的严谨科学态度和工作作风。</w:t>
      </w:r>
    </w:p>
    <w:p w:rsidR="005F6318" w:rsidRDefault="005F6318" w:rsidP="005F6318">
      <w:pPr>
        <w:spacing w:line="360" w:lineRule="auto"/>
        <w:ind w:firstLine="331"/>
        <w:rPr>
          <w:rFonts w:ascii="仿宋_GB2312" w:hAnsi="仿宋_GB2312" w:cs="仿宋_GB2312"/>
          <w:sz w:val="28"/>
          <w:szCs w:val="28"/>
        </w:rPr>
      </w:pPr>
      <w:r>
        <w:rPr>
          <w:rFonts w:ascii="仿宋_GB2312" w:hAnsi="仿宋_GB2312" w:cs="仿宋_GB2312" w:hint="eastAsia"/>
          <w:sz w:val="28"/>
          <w:szCs w:val="28"/>
        </w:rPr>
        <w:lastRenderedPageBreak/>
        <w:t>2.实验课程要求</w:t>
      </w:r>
    </w:p>
    <w:p w:rsidR="005F6318" w:rsidRDefault="005F6318" w:rsidP="005F6318">
      <w:pPr>
        <w:spacing w:line="360" w:lineRule="auto"/>
        <w:ind w:firstLine="331"/>
        <w:rPr>
          <w:rFonts w:ascii="仿宋_GB2312" w:hAnsi="仿宋_GB2312" w:cs="仿宋_GB2312"/>
          <w:sz w:val="28"/>
          <w:szCs w:val="28"/>
        </w:rPr>
      </w:pPr>
      <w:r>
        <w:rPr>
          <w:rFonts w:ascii="仿宋_GB2312" w:hAnsi="仿宋_GB2312" w:cs="仿宋_GB2312" w:hint="eastAsia"/>
          <w:sz w:val="28"/>
          <w:szCs w:val="28"/>
        </w:rPr>
        <w:t>通过实验环节， 可以激发学生对水质工程学的求知欲，培养学生的实验操作技能、观察问题、分析问题及解决问题的能力，并有助于学生理解水质工程学中水处理技术的原理和方法。</w:t>
      </w:r>
    </w:p>
    <w:p w:rsidR="005F6318" w:rsidRDefault="005F6318" w:rsidP="005F6318">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3.实验课程思政设计</w:t>
      </w:r>
    </w:p>
    <w:p w:rsidR="005F6318" w:rsidRDefault="005F6318" w:rsidP="005F6318">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在实验教学中，将节水、节能与水循环利用等专业点融入实验教学中，拓宽专业面，使习近平总书记的青山绿水就是金山银山的观念同专业相结合，提升学生思想认识水平，从而更好地配合党中央国务院完成“碳达峰”和“碳中和”的实施。</w:t>
      </w:r>
    </w:p>
    <w:p w:rsidR="005F6318" w:rsidRDefault="005F6318" w:rsidP="005F6318">
      <w:pPr>
        <w:spacing w:beforeLines="50" w:before="156" w:afterLines="50" w:after="156"/>
        <w:jc w:val="left"/>
        <w:rPr>
          <w:rFonts w:ascii="黑体" w:eastAsia="黑体" w:hAnsi="黑体"/>
          <w:b/>
          <w:sz w:val="28"/>
          <w:szCs w:val="28"/>
        </w:rPr>
      </w:pPr>
      <w:r>
        <w:rPr>
          <w:rFonts w:ascii="黑体" w:eastAsia="黑体" w:hAnsi="黑体" w:hint="eastAsia"/>
          <w:b/>
          <w:sz w:val="28"/>
          <w:szCs w:val="28"/>
        </w:rPr>
        <w:t>四、单项实验的内容和要求</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1）实验项目名称：混凝实验</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（1）实验内容</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 xml:space="preserve">    最佳投药量的确定；最佳PH值确定</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（2）实验要求</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 xml:space="preserve">    掌握混凝试验的方法与步骤，分析试验结果，确定最佳加药量和最佳pH值，加深对混凝理论的理解。</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（3）应配备的主要设备名称和台套数</w:t>
      </w:r>
    </w:p>
    <w:tbl>
      <w:tblPr>
        <w:tblW w:w="496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1560"/>
        <w:gridCol w:w="1985"/>
        <w:gridCol w:w="1432"/>
        <w:gridCol w:w="2659"/>
      </w:tblGrid>
      <w:tr w:rsidR="005F6318" w:rsidTr="00383A10">
        <w:tc>
          <w:tcPr>
            <w:tcW w:w="361"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序号</w:t>
            </w:r>
          </w:p>
        </w:tc>
        <w:tc>
          <w:tcPr>
            <w:tcW w:w="947"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设备名称</w:t>
            </w:r>
          </w:p>
        </w:tc>
        <w:tc>
          <w:tcPr>
            <w:tcW w:w="1206"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每组应配台套数</w:t>
            </w:r>
          </w:p>
        </w:tc>
        <w:tc>
          <w:tcPr>
            <w:tcW w:w="870"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现有台套数</w:t>
            </w:r>
          </w:p>
        </w:tc>
        <w:tc>
          <w:tcPr>
            <w:tcW w:w="1615"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备注</w:t>
            </w:r>
          </w:p>
        </w:tc>
      </w:tr>
      <w:tr w:rsidR="005F6318" w:rsidTr="00383A10">
        <w:tc>
          <w:tcPr>
            <w:tcW w:w="36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7"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浑水搅拌机</w:t>
            </w:r>
          </w:p>
        </w:tc>
        <w:tc>
          <w:tcPr>
            <w:tcW w:w="120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87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1615"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36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2</w:t>
            </w:r>
          </w:p>
        </w:tc>
        <w:tc>
          <w:tcPr>
            <w:tcW w:w="947"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混凝搅拌机</w:t>
            </w:r>
          </w:p>
        </w:tc>
        <w:tc>
          <w:tcPr>
            <w:tcW w:w="120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87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4</w:t>
            </w:r>
          </w:p>
        </w:tc>
        <w:tc>
          <w:tcPr>
            <w:tcW w:w="1615"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36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3</w:t>
            </w:r>
          </w:p>
        </w:tc>
        <w:tc>
          <w:tcPr>
            <w:tcW w:w="947"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酸度计</w:t>
            </w:r>
          </w:p>
        </w:tc>
        <w:tc>
          <w:tcPr>
            <w:tcW w:w="120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87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3</w:t>
            </w:r>
          </w:p>
        </w:tc>
        <w:tc>
          <w:tcPr>
            <w:tcW w:w="1615"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36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4</w:t>
            </w:r>
          </w:p>
        </w:tc>
        <w:tc>
          <w:tcPr>
            <w:tcW w:w="947"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浊度计</w:t>
            </w:r>
          </w:p>
        </w:tc>
        <w:tc>
          <w:tcPr>
            <w:tcW w:w="120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1~2</w:t>
            </w:r>
          </w:p>
        </w:tc>
        <w:tc>
          <w:tcPr>
            <w:tcW w:w="87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6</w:t>
            </w:r>
          </w:p>
        </w:tc>
        <w:tc>
          <w:tcPr>
            <w:tcW w:w="1615"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一台测高浊度；一台测</w:t>
            </w:r>
            <w:r w:rsidRPr="00383A10">
              <w:rPr>
                <w:rFonts w:ascii="仿宋_GB2312" w:hAnsi="仿宋_GB2312" w:cs="仿宋_GB2312" w:hint="eastAsia"/>
                <w:sz w:val="24"/>
                <w:szCs w:val="24"/>
              </w:rPr>
              <w:lastRenderedPageBreak/>
              <w:t>低浊度</w:t>
            </w:r>
          </w:p>
        </w:tc>
      </w:tr>
    </w:tbl>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lastRenderedPageBreak/>
        <w:t>2）实验项目名称：</w:t>
      </w:r>
      <w:r>
        <w:rPr>
          <w:rFonts w:ascii="Times New Roman" w:eastAsia="宋体" w:hAnsi="Times New Roman"/>
          <w:sz w:val="28"/>
          <w:szCs w:val="28"/>
        </w:rPr>
        <w:t>颗粒自由沉淀实验</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（1）实验内容</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 xml:space="preserve">  确定沉淀时间与剩余悬浮物的关系；沉淀时间与去除率的关系；确定沉速与去除率的关系</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（2）实验要求</w:t>
      </w:r>
    </w:p>
    <w:p w:rsidR="005F6318" w:rsidRDefault="005F6318" w:rsidP="005F6318">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掌握颗粒的静止自由沉淀实验的方法，并能对实验数据进行分析处理和绘制颗粒的静止自由沉淀曲线。</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（3）应配备的主要设备名称和台套数</w:t>
      </w:r>
    </w:p>
    <w:tbl>
      <w:tblPr>
        <w:tblW w:w="496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2191"/>
        <w:gridCol w:w="1919"/>
        <w:gridCol w:w="1276"/>
        <w:gridCol w:w="2249"/>
      </w:tblGrid>
      <w:tr w:rsidR="005F6318" w:rsidTr="00383A10">
        <w:tc>
          <w:tcPr>
            <w:tcW w:w="362"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序号</w:t>
            </w:r>
          </w:p>
        </w:tc>
        <w:tc>
          <w:tcPr>
            <w:tcW w:w="1331"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设备名称</w:t>
            </w:r>
          </w:p>
        </w:tc>
        <w:tc>
          <w:tcPr>
            <w:tcW w:w="1166"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每组应配台套数</w:t>
            </w:r>
          </w:p>
        </w:tc>
        <w:tc>
          <w:tcPr>
            <w:tcW w:w="775"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现有台套数</w:t>
            </w:r>
          </w:p>
        </w:tc>
        <w:tc>
          <w:tcPr>
            <w:tcW w:w="1366"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备注</w:t>
            </w:r>
          </w:p>
        </w:tc>
      </w:tr>
      <w:tr w:rsidR="005F6318" w:rsidTr="00383A10">
        <w:tc>
          <w:tcPr>
            <w:tcW w:w="362"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33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自由沉淀实验装置</w:t>
            </w:r>
          </w:p>
        </w:tc>
        <w:tc>
          <w:tcPr>
            <w:tcW w:w="116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775"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366"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362"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2</w:t>
            </w:r>
          </w:p>
        </w:tc>
        <w:tc>
          <w:tcPr>
            <w:tcW w:w="133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浊度计</w:t>
            </w:r>
          </w:p>
        </w:tc>
        <w:tc>
          <w:tcPr>
            <w:tcW w:w="116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2</w:t>
            </w:r>
          </w:p>
        </w:tc>
        <w:tc>
          <w:tcPr>
            <w:tcW w:w="775"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6</w:t>
            </w:r>
          </w:p>
        </w:tc>
        <w:tc>
          <w:tcPr>
            <w:tcW w:w="136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一台测高浊度；一台测低浊度</w:t>
            </w:r>
          </w:p>
        </w:tc>
      </w:tr>
      <w:tr w:rsidR="005F6318" w:rsidTr="00383A10">
        <w:tc>
          <w:tcPr>
            <w:tcW w:w="362"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3</w:t>
            </w:r>
          </w:p>
        </w:tc>
        <w:tc>
          <w:tcPr>
            <w:tcW w:w="1331" w:type="pct"/>
          </w:tcPr>
          <w:p w:rsidR="005F6318" w:rsidRPr="00383A10" w:rsidRDefault="005F6318" w:rsidP="00843889">
            <w:pPr>
              <w:jc w:val="center"/>
              <w:rPr>
                <w:rFonts w:ascii="仿宋_GB2312" w:hAnsi="仿宋_GB2312" w:cs="仿宋_GB2312"/>
                <w:sz w:val="24"/>
                <w:szCs w:val="24"/>
              </w:rPr>
            </w:pPr>
            <w:r w:rsidRPr="00383A10">
              <w:rPr>
                <w:rFonts w:ascii="仿宋_GB2312" w:hAnsi="仿宋_GB2312" w:cs="仿宋_GB2312" w:hint="eastAsia"/>
                <w:sz w:val="24"/>
                <w:szCs w:val="24"/>
              </w:rPr>
              <w:t>浑水搅拌机</w:t>
            </w:r>
          </w:p>
        </w:tc>
        <w:tc>
          <w:tcPr>
            <w:tcW w:w="1166" w:type="pct"/>
          </w:tcPr>
          <w:p w:rsidR="005F6318" w:rsidRPr="00383A10" w:rsidRDefault="005F6318" w:rsidP="00843889">
            <w:pPr>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775" w:type="pct"/>
          </w:tcPr>
          <w:p w:rsidR="005F6318" w:rsidRPr="00383A10" w:rsidRDefault="005F6318" w:rsidP="00843889">
            <w:pPr>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1366" w:type="pct"/>
          </w:tcPr>
          <w:p w:rsidR="005F6318" w:rsidRPr="00383A10" w:rsidRDefault="005F6318" w:rsidP="00843889">
            <w:pPr>
              <w:jc w:val="center"/>
              <w:rPr>
                <w:rFonts w:ascii="仿宋_GB2312" w:hAnsi="仿宋_GB2312" w:cs="仿宋_GB2312"/>
                <w:sz w:val="24"/>
                <w:szCs w:val="24"/>
              </w:rPr>
            </w:pPr>
          </w:p>
        </w:tc>
      </w:tr>
    </w:tbl>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3）实验项目名称：</w:t>
      </w:r>
      <w:r>
        <w:rPr>
          <w:rFonts w:ascii="Times New Roman" w:eastAsia="宋体" w:hAnsi="Times New Roman" w:hint="eastAsia"/>
          <w:sz w:val="28"/>
          <w:szCs w:val="28"/>
        </w:rPr>
        <w:t>过滤及反冲洗实验</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（1）实验内容</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 xml:space="preserve">  通过观察过滤时水头损失、滤速与工作时间的关系，加深对过滤基本规律的理解，观察滤池反冲洗时滤料层膨胀率与冲洗强度的关系，通过实验，证明清洁砂层水头损失与滤速成正比，并将实测值与理论计算值进行对比分析。</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（2）实验要求</w:t>
      </w:r>
    </w:p>
    <w:p w:rsidR="005F6318" w:rsidRDefault="005F6318" w:rsidP="005F6318">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熟悉普通快滤池、冲洗的工作过程，观察过滤时水头损失、滤速、水质与工作时间的关系，加深对过滤基本规律的理解。</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lastRenderedPageBreak/>
        <w:t>（3）应配备的主要设备名称和台套数</w:t>
      </w:r>
    </w:p>
    <w:tbl>
      <w:tblPr>
        <w:tblW w:w="496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
        <w:gridCol w:w="1701"/>
        <w:gridCol w:w="2124"/>
        <w:gridCol w:w="1701"/>
        <w:gridCol w:w="2107"/>
      </w:tblGrid>
      <w:tr w:rsidR="005F6318" w:rsidTr="00383A10">
        <w:tc>
          <w:tcPr>
            <w:tcW w:w="363"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序号</w:t>
            </w:r>
          </w:p>
        </w:tc>
        <w:tc>
          <w:tcPr>
            <w:tcW w:w="1033"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设备名称</w:t>
            </w:r>
          </w:p>
        </w:tc>
        <w:tc>
          <w:tcPr>
            <w:tcW w:w="1290"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每组应配台套数</w:t>
            </w:r>
          </w:p>
        </w:tc>
        <w:tc>
          <w:tcPr>
            <w:tcW w:w="1033"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现有台套数</w:t>
            </w:r>
          </w:p>
        </w:tc>
        <w:tc>
          <w:tcPr>
            <w:tcW w:w="1280"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备注</w:t>
            </w:r>
          </w:p>
        </w:tc>
      </w:tr>
      <w:tr w:rsidR="005F6318" w:rsidTr="00383A10">
        <w:tc>
          <w:tcPr>
            <w:tcW w:w="3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03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过滤实验装置</w:t>
            </w:r>
          </w:p>
        </w:tc>
        <w:tc>
          <w:tcPr>
            <w:tcW w:w="129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03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4</w:t>
            </w:r>
          </w:p>
        </w:tc>
        <w:tc>
          <w:tcPr>
            <w:tcW w:w="1280"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3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2</w:t>
            </w:r>
          </w:p>
        </w:tc>
        <w:tc>
          <w:tcPr>
            <w:tcW w:w="103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浊度计</w:t>
            </w:r>
          </w:p>
        </w:tc>
        <w:tc>
          <w:tcPr>
            <w:tcW w:w="129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03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6</w:t>
            </w:r>
          </w:p>
        </w:tc>
        <w:tc>
          <w:tcPr>
            <w:tcW w:w="1280"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3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3</w:t>
            </w:r>
          </w:p>
        </w:tc>
        <w:tc>
          <w:tcPr>
            <w:tcW w:w="1033" w:type="pct"/>
          </w:tcPr>
          <w:p w:rsidR="005F6318" w:rsidRPr="00383A10" w:rsidRDefault="005F6318" w:rsidP="00843889">
            <w:pPr>
              <w:jc w:val="center"/>
              <w:rPr>
                <w:rFonts w:ascii="仿宋_GB2312" w:hAnsi="仿宋_GB2312" w:cs="仿宋_GB2312"/>
                <w:sz w:val="24"/>
                <w:szCs w:val="24"/>
              </w:rPr>
            </w:pPr>
            <w:r w:rsidRPr="00383A10">
              <w:rPr>
                <w:rFonts w:ascii="仿宋_GB2312" w:hAnsi="仿宋_GB2312" w:cs="仿宋_GB2312" w:hint="eastAsia"/>
                <w:sz w:val="24"/>
                <w:szCs w:val="24"/>
              </w:rPr>
              <w:t>滤料筛分机</w:t>
            </w:r>
          </w:p>
        </w:tc>
        <w:tc>
          <w:tcPr>
            <w:tcW w:w="1290" w:type="pct"/>
          </w:tcPr>
          <w:p w:rsidR="005F6318" w:rsidRPr="00383A10" w:rsidRDefault="005F6318" w:rsidP="00843889">
            <w:pPr>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033" w:type="pct"/>
          </w:tcPr>
          <w:p w:rsidR="005F6318" w:rsidRPr="00383A10" w:rsidRDefault="005F6318" w:rsidP="00843889">
            <w:pPr>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1280" w:type="pct"/>
          </w:tcPr>
          <w:p w:rsidR="005F6318" w:rsidRPr="00383A10" w:rsidRDefault="005F6318" w:rsidP="00843889">
            <w:pPr>
              <w:jc w:val="center"/>
              <w:rPr>
                <w:rFonts w:ascii="仿宋_GB2312" w:hAnsi="仿宋_GB2312" w:cs="仿宋_GB2312"/>
                <w:sz w:val="24"/>
                <w:szCs w:val="24"/>
              </w:rPr>
            </w:pPr>
          </w:p>
        </w:tc>
      </w:tr>
      <w:tr w:rsidR="005F6318" w:rsidTr="00383A10">
        <w:tc>
          <w:tcPr>
            <w:tcW w:w="3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4</w:t>
            </w:r>
          </w:p>
        </w:tc>
        <w:tc>
          <w:tcPr>
            <w:tcW w:w="1033" w:type="pct"/>
          </w:tcPr>
          <w:p w:rsidR="005F6318" w:rsidRPr="00383A10" w:rsidRDefault="005F6318" w:rsidP="00843889">
            <w:pPr>
              <w:jc w:val="center"/>
              <w:rPr>
                <w:rFonts w:ascii="仿宋_GB2312" w:hAnsi="仿宋_GB2312" w:cs="仿宋_GB2312"/>
                <w:sz w:val="24"/>
                <w:szCs w:val="24"/>
              </w:rPr>
            </w:pPr>
            <w:r w:rsidRPr="00383A10">
              <w:rPr>
                <w:rFonts w:ascii="仿宋_GB2312" w:hAnsi="仿宋_GB2312" w:cs="仿宋_GB2312" w:hint="eastAsia"/>
                <w:sz w:val="24"/>
                <w:szCs w:val="24"/>
              </w:rPr>
              <w:t>鼓风干燥箱</w:t>
            </w:r>
          </w:p>
        </w:tc>
        <w:tc>
          <w:tcPr>
            <w:tcW w:w="1290" w:type="pct"/>
          </w:tcPr>
          <w:p w:rsidR="005F6318" w:rsidRPr="00383A10" w:rsidRDefault="005F6318" w:rsidP="00843889">
            <w:pPr>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033" w:type="pct"/>
          </w:tcPr>
          <w:p w:rsidR="005F6318" w:rsidRPr="00383A10" w:rsidRDefault="005F6318" w:rsidP="00843889">
            <w:pPr>
              <w:jc w:val="center"/>
              <w:rPr>
                <w:rFonts w:ascii="仿宋_GB2312" w:hAnsi="仿宋_GB2312" w:cs="仿宋_GB2312"/>
                <w:sz w:val="24"/>
                <w:szCs w:val="24"/>
              </w:rPr>
            </w:pPr>
            <w:r w:rsidRPr="00383A10">
              <w:rPr>
                <w:rFonts w:ascii="仿宋_GB2312" w:hAnsi="仿宋_GB2312" w:cs="仿宋_GB2312" w:hint="eastAsia"/>
                <w:sz w:val="24"/>
                <w:szCs w:val="24"/>
              </w:rPr>
              <w:t>3</w:t>
            </w:r>
          </w:p>
        </w:tc>
        <w:tc>
          <w:tcPr>
            <w:tcW w:w="1280" w:type="pct"/>
          </w:tcPr>
          <w:p w:rsidR="005F6318" w:rsidRPr="00383A10" w:rsidRDefault="005F6318" w:rsidP="00843889">
            <w:pPr>
              <w:jc w:val="center"/>
              <w:rPr>
                <w:rFonts w:ascii="仿宋_GB2312" w:hAnsi="仿宋_GB2312" w:cs="仿宋_GB2312"/>
                <w:sz w:val="24"/>
                <w:szCs w:val="24"/>
              </w:rPr>
            </w:pPr>
          </w:p>
        </w:tc>
      </w:tr>
    </w:tbl>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4）实验项目名称：</w:t>
      </w:r>
      <w:r w:rsidRPr="00383A10">
        <w:rPr>
          <w:rFonts w:ascii="仿宋_GB2312" w:hAnsi="仿宋_GB2312" w:cs="仿宋_GB2312" w:hint="eastAsia"/>
          <w:sz w:val="28"/>
          <w:szCs w:val="28"/>
        </w:rPr>
        <w:t>污泥沉降比和污泥指数的测定</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（1）实验内容</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 xml:space="preserve">  测定污泥沉降比并绘出沉淀曲线，注意观察污泥间隙颗粒大小情况；测定污泥悬浮物浓度；计算污泥指数并判定污泥沉降性能</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（2）实验要求</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掌握沉降比和污泥指数的测定和计算方法，进一步理解污泥沉降比，污泥指数和污泥浓度间的关系以及它们对活性污泥法处理系统的设计和运行控制的意义。</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（3）应配备的主要设备名称和台套数</w:t>
      </w:r>
    </w:p>
    <w:tbl>
      <w:tblPr>
        <w:tblW w:w="496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
        <w:gridCol w:w="2026"/>
        <w:gridCol w:w="2059"/>
        <w:gridCol w:w="1844"/>
        <w:gridCol w:w="1539"/>
      </w:tblGrid>
      <w:tr w:rsidR="005F6318" w:rsidTr="00383A10">
        <w:tc>
          <w:tcPr>
            <w:tcW w:w="463"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序号</w:t>
            </w:r>
          </w:p>
        </w:tc>
        <w:tc>
          <w:tcPr>
            <w:tcW w:w="1231"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设备名称</w:t>
            </w:r>
          </w:p>
        </w:tc>
        <w:tc>
          <w:tcPr>
            <w:tcW w:w="1251"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每组应配台套数</w:t>
            </w:r>
          </w:p>
        </w:tc>
        <w:tc>
          <w:tcPr>
            <w:tcW w:w="1120"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现有台套数</w:t>
            </w:r>
          </w:p>
        </w:tc>
        <w:tc>
          <w:tcPr>
            <w:tcW w:w="935"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备注</w:t>
            </w:r>
          </w:p>
        </w:tc>
      </w:tr>
      <w:tr w:rsidR="005F6318" w:rsidTr="00383A10">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23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电动吸引器</w:t>
            </w:r>
          </w:p>
        </w:tc>
        <w:tc>
          <w:tcPr>
            <w:tcW w:w="125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12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4</w:t>
            </w:r>
          </w:p>
        </w:tc>
        <w:tc>
          <w:tcPr>
            <w:tcW w:w="935"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2</w:t>
            </w:r>
          </w:p>
        </w:tc>
        <w:tc>
          <w:tcPr>
            <w:tcW w:w="123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鼓风干燥箱</w:t>
            </w:r>
          </w:p>
        </w:tc>
        <w:tc>
          <w:tcPr>
            <w:tcW w:w="125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12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3</w:t>
            </w:r>
          </w:p>
        </w:tc>
        <w:tc>
          <w:tcPr>
            <w:tcW w:w="935"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3</w:t>
            </w:r>
          </w:p>
        </w:tc>
        <w:tc>
          <w:tcPr>
            <w:tcW w:w="1231" w:type="pct"/>
          </w:tcPr>
          <w:p w:rsidR="005F6318" w:rsidRPr="00383A10" w:rsidRDefault="005F6318" w:rsidP="00843889">
            <w:pPr>
              <w:jc w:val="center"/>
              <w:rPr>
                <w:rFonts w:ascii="仿宋_GB2312" w:hAnsi="仿宋_GB2312" w:cs="仿宋_GB2312"/>
                <w:sz w:val="24"/>
                <w:szCs w:val="24"/>
              </w:rPr>
            </w:pPr>
            <w:r w:rsidRPr="00383A10">
              <w:rPr>
                <w:rFonts w:ascii="仿宋_GB2312" w:hAnsi="仿宋_GB2312" w:cs="仿宋_GB2312" w:hint="eastAsia"/>
                <w:sz w:val="24"/>
                <w:szCs w:val="24"/>
              </w:rPr>
              <w:t>浑水搅拌机</w:t>
            </w:r>
          </w:p>
        </w:tc>
        <w:tc>
          <w:tcPr>
            <w:tcW w:w="1251" w:type="pct"/>
          </w:tcPr>
          <w:p w:rsidR="005F6318" w:rsidRPr="00383A10" w:rsidRDefault="005F6318" w:rsidP="00843889">
            <w:pPr>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120" w:type="pct"/>
          </w:tcPr>
          <w:p w:rsidR="005F6318" w:rsidRPr="00383A10" w:rsidRDefault="005F6318" w:rsidP="00843889">
            <w:pPr>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935" w:type="pct"/>
          </w:tcPr>
          <w:p w:rsidR="005F6318" w:rsidRPr="00383A10" w:rsidRDefault="005F6318" w:rsidP="00843889">
            <w:pPr>
              <w:jc w:val="center"/>
              <w:rPr>
                <w:rFonts w:ascii="仿宋_GB2312" w:hAnsi="仿宋_GB2312" w:cs="仿宋_GB2312"/>
                <w:sz w:val="24"/>
                <w:szCs w:val="24"/>
              </w:rPr>
            </w:pPr>
          </w:p>
        </w:tc>
      </w:tr>
    </w:tbl>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5）实验项目名称：</w:t>
      </w:r>
      <w:r w:rsidRPr="00383A10">
        <w:rPr>
          <w:rFonts w:ascii="仿宋_GB2312" w:hAnsi="仿宋_GB2312" w:cs="仿宋_GB2312" w:hint="eastAsia"/>
          <w:sz w:val="28"/>
          <w:szCs w:val="28"/>
        </w:rPr>
        <w:t>清水中的的氧转移实验</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（1）实验内容</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 xml:space="preserve">  测定不同曝气设备氧总转移系数Kta，并计算其它各项指标</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（2）实验要求</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lastRenderedPageBreak/>
        <w:t>掌握曝气设备清水充氧能力的实验方法，加深对曝气设备充氧机理和性能的理解。</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（3）应配备的主要设备名称和台套数</w:t>
      </w:r>
    </w:p>
    <w:tbl>
      <w:tblPr>
        <w:tblW w:w="496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2053"/>
        <w:gridCol w:w="2059"/>
        <w:gridCol w:w="1844"/>
        <w:gridCol w:w="1538"/>
      </w:tblGrid>
      <w:tr w:rsidR="005F6318" w:rsidTr="00383A10">
        <w:tc>
          <w:tcPr>
            <w:tcW w:w="448"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序号</w:t>
            </w:r>
          </w:p>
        </w:tc>
        <w:tc>
          <w:tcPr>
            <w:tcW w:w="1245"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设备名称</w:t>
            </w:r>
          </w:p>
        </w:tc>
        <w:tc>
          <w:tcPr>
            <w:tcW w:w="1251"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每组应配台套数</w:t>
            </w:r>
          </w:p>
        </w:tc>
        <w:tc>
          <w:tcPr>
            <w:tcW w:w="1120"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现有台套数</w:t>
            </w:r>
          </w:p>
        </w:tc>
        <w:tc>
          <w:tcPr>
            <w:tcW w:w="935"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备注</w:t>
            </w:r>
          </w:p>
        </w:tc>
      </w:tr>
      <w:tr w:rsidR="005F6318" w:rsidTr="00383A10">
        <w:tc>
          <w:tcPr>
            <w:tcW w:w="448"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247"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氧转移实验装置</w:t>
            </w:r>
          </w:p>
        </w:tc>
        <w:tc>
          <w:tcPr>
            <w:tcW w:w="125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12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35"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448"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2</w:t>
            </w:r>
          </w:p>
        </w:tc>
        <w:tc>
          <w:tcPr>
            <w:tcW w:w="1247"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溶解氧测定仪</w:t>
            </w:r>
          </w:p>
        </w:tc>
        <w:tc>
          <w:tcPr>
            <w:tcW w:w="125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12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4</w:t>
            </w:r>
          </w:p>
        </w:tc>
        <w:tc>
          <w:tcPr>
            <w:tcW w:w="935" w:type="pct"/>
          </w:tcPr>
          <w:p w:rsidR="005F6318" w:rsidRPr="00383A10" w:rsidRDefault="005F6318" w:rsidP="00843889">
            <w:pPr>
              <w:spacing w:line="360" w:lineRule="auto"/>
              <w:jc w:val="center"/>
              <w:rPr>
                <w:rFonts w:ascii="仿宋_GB2312" w:hAnsi="仿宋_GB2312" w:cs="仿宋_GB2312"/>
                <w:sz w:val="24"/>
                <w:szCs w:val="24"/>
              </w:rPr>
            </w:pPr>
          </w:p>
        </w:tc>
      </w:tr>
    </w:tbl>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6）实验项目名称：</w:t>
      </w:r>
      <w:r w:rsidRPr="00383A10">
        <w:rPr>
          <w:rFonts w:ascii="仿宋_GB2312" w:hAnsi="仿宋_GB2312" w:cs="仿宋_GB2312" w:hint="eastAsia"/>
          <w:sz w:val="28"/>
          <w:szCs w:val="28"/>
        </w:rPr>
        <w:t>溶气气浮法处理废水实验</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（1）实验内容</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 xml:space="preserve">  测定溶气水投加量与去除率的关系；了解气浮试验模型工作原理</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（2）实验要求</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掌握加压溶气气浮实验原理，了解溶气水投加量与去除率的关系； 掌握加压溶气气浮的工艺流程及水质变化规律，熟悉实验设备和实验方法。</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（3）应配备的主要设备名称和台套数</w:t>
      </w:r>
    </w:p>
    <w:tbl>
      <w:tblPr>
        <w:tblW w:w="496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1"/>
        <w:gridCol w:w="2242"/>
        <w:gridCol w:w="1987"/>
        <w:gridCol w:w="1134"/>
        <w:gridCol w:w="2107"/>
      </w:tblGrid>
      <w:tr w:rsidR="005F6318" w:rsidTr="00383A10">
        <w:tc>
          <w:tcPr>
            <w:tcW w:w="462"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序号</w:t>
            </w:r>
          </w:p>
        </w:tc>
        <w:tc>
          <w:tcPr>
            <w:tcW w:w="1362"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设备名称</w:t>
            </w:r>
          </w:p>
        </w:tc>
        <w:tc>
          <w:tcPr>
            <w:tcW w:w="1207"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每组应配台套数</w:t>
            </w:r>
          </w:p>
        </w:tc>
        <w:tc>
          <w:tcPr>
            <w:tcW w:w="689"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现有台套数</w:t>
            </w:r>
          </w:p>
        </w:tc>
        <w:tc>
          <w:tcPr>
            <w:tcW w:w="1280"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备注</w:t>
            </w:r>
          </w:p>
        </w:tc>
      </w:tr>
      <w:tr w:rsidR="005F6318" w:rsidTr="00383A10">
        <w:tc>
          <w:tcPr>
            <w:tcW w:w="462"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362"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气浮实验模型装置</w:t>
            </w:r>
          </w:p>
        </w:tc>
        <w:tc>
          <w:tcPr>
            <w:tcW w:w="1207"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689"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280"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462"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2</w:t>
            </w:r>
          </w:p>
        </w:tc>
        <w:tc>
          <w:tcPr>
            <w:tcW w:w="1362"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溶气气浮实验装置</w:t>
            </w:r>
          </w:p>
        </w:tc>
        <w:tc>
          <w:tcPr>
            <w:tcW w:w="1207"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689"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280"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462"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3</w:t>
            </w:r>
          </w:p>
        </w:tc>
        <w:tc>
          <w:tcPr>
            <w:tcW w:w="1362"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浊度计</w:t>
            </w:r>
          </w:p>
        </w:tc>
        <w:tc>
          <w:tcPr>
            <w:tcW w:w="1207"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2</w:t>
            </w:r>
          </w:p>
        </w:tc>
        <w:tc>
          <w:tcPr>
            <w:tcW w:w="689"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6</w:t>
            </w:r>
          </w:p>
        </w:tc>
        <w:tc>
          <w:tcPr>
            <w:tcW w:w="128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一台测高浊度；一台测低浊度</w:t>
            </w:r>
          </w:p>
        </w:tc>
      </w:tr>
    </w:tbl>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7）实验项目名称：</w:t>
      </w:r>
      <w:r w:rsidRPr="00383A10">
        <w:rPr>
          <w:rFonts w:ascii="仿宋_GB2312" w:hAnsi="仿宋_GB2312" w:cs="仿宋_GB2312" w:hint="eastAsia"/>
          <w:sz w:val="28"/>
          <w:szCs w:val="28"/>
        </w:rPr>
        <w:t>活性炭吸附实验</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（1）实验内容</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 xml:space="preserve">  间歇法中粉末与颗粒活性炭的吸附能力对比；了解掌握间歇法与连续流法处理污水。</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lastRenderedPageBreak/>
        <w:t>（2）实验要求</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通过实验进一步了解活性炭吸附的工艺及性能，熟悉实验过程的操作，掌握用间歇法、连续流法确定活性炭处理污水的设计参数及活性炭吸附公式中常数，对比粉末与颗粒两种类型活性炭吸附效果，加深理解吸附的基本原理。</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（3）应配备的主要设备名称和台套数</w:t>
      </w:r>
    </w:p>
    <w:tbl>
      <w:tblPr>
        <w:tblW w:w="496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
        <w:gridCol w:w="2026"/>
        <w:gridCol w:w="2059"/>
        <w:gridCol w:w="1844"/>
        <w:gridCol w:w="1539"/>
      </w:tblGrid>
      <w:tr w:rsidR="005F6318" w:rsidTr="00383A10">
        <w:tc>
          <w:tcPr>
            <w:tcW w:w="463"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序号</w:t>
            </w:r>
          </w:p>
        </w:tc>
        <w:tc>
          <w:tcPr>
            <w:tcW w:w="1231"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设备名称</w:t>
            </w:r>
          </w:p>
        </w:tc>
        <w:tc>
          <w:tcPr>
            <w:tcW w:w="1251"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每组应配台套数</w:t>
            </w:r>
          </w:p>
        </w:tc>
        <w:tc>
          <w:tcPr>
            <w:tcW w:w="1120"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现有台套数</w:t>
            </w:r>
          </w:p>
        </w:tc>
        <w:tc>
          <w:tcPr>
            <w:tcW w:w="935"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备注</w:t>
            </w:r>
          </w:p>
        </w:tc>
      </w:tr>
      <w:tr w:rsidR="005F6318" w:rsidTr="00383A10">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23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活性炭实验装置</w:t>
            </w:r>
          </w:p>
        </w:tc>
        <w:tc>
          <w:tcPr>
            <w:tcW w:w="125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12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35"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2</w:t>
            </w:r>
          </w:p>
        </w:tc>
        <w:tc>
          <w:tcPr>
            <w:tcW w:w="123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弹性连线摇床</w:t>
            </w:r>
          </w:p>
        </w:tc>
        <w:tc>
          <w:tcPr>
            <w:tcW w:w="125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12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935"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3</w:t>
            </w:r>
          </w:p>
        </w:tc>
        <w:tc>
          <w:tcPr>
            <w:tcW w:w="123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紫外分光光度计</w:t>
            </w:r>
          </w:p>
        </w:tc>
        <w:tc>
          <w:tcPr>
            <w:tcW w:w="125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12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3</w:t>
            </w:r>
          </w:p>
        </w:tc>
        <w:tc>
          <w:tcPr>
            <w:tcW w:w="935"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缺少一台</w:t>
            </w:r>
          </w:p>
        </w:tc>
      </w:tr>
    </w:tbl>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8）实验项目名称：</w:t>
      </w:r>
      <w:r w:rsidRPr="00383A10">
        <w:rPr>
          <w:rFonts w:ascii="仿宋_GB2312" w:hAnsi="仿宋_GB2312" w:cs="仿宋_GB2312" w:hint="eastAsia"/>
          <w:sz w:val="28"/>
          <w:szCs w:val="28"/>
        </w:rPr>
        <w:t>建筑给排水综合实验</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（1）实验内容</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 xml:space="preserve">  建筑给水形式了解掌握，二次供水原理结构；建筑排水管系了解掌握和检测；建筑消防系统了解掌握。</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（2）实验要求</w:t>
      </w:r>
    </w:p>
    <w:p w:rsidR="005F6318" w:rsidRDefault="005F6318" w:rsidP="005F6318">
      <w:pPr>
        <w:spacing w:line="360" w:lineRule="auto"/>
        <w:ind w:firstLineChars="50" w:firstLine="140"/>
        <w:rPr>
          <w:rFonts w:ascii="仿宋_GB2312" w:hAnsi="仿宋_GB2312" w:cs="仿宋_GB2312"/>
          <w:sz w:val="28"/>
          <w:szCs w:val="28"/>
        </w:rPr>
      </w:pPr>
      <w:r w:rsidRPr="00383A10">
        <w:rPr>
          <w:rFonts w:ascii="仿宋_GB2312" w:hAnsi="仿宋_GB2312" w:cs="仿宋_GB2312"/>
          <w:sz w:val="28"/>
          <w:szCs w:val="28"/>
        </w:rPr>
        <w:t>了解各种卫生设备的构造；掌握排水系统中横管、立管水气流现象的基本规律；了解</w:t>
      </w:r>
      <w:r w:rsidRPr="00383A10">
        <w:rPr>
          <w:rFonts w:ascii="仿宋_GB2312" w:hAnsi="仿宋_GB2312" w:cs="仿宋_GB2312" w:hint="eastAsia"/>
          <w:sz w:val="28"/>
          <w:szCs w:val="28"/>
        </w:rPr>
        <w:t>掌握</w:t>
      </w:r>
      <w:r w:rsidRPr="00383A10">
        <w:rPr>
          <w:rFonts w:ascii="仿宋_GB2312" w:hAnsi="仿宋_GB2312" w:cs="仿宋_GB2312"/>
          <w:sz w:val="28"/>
          <w:szCs w:val="28"/>
        </w:rPr>
        <w:t>排水系统中卫生器具水封的作用及其破坏原因；认识排水系统中通气管系的作用；通过排水系统的实验，加深对临界流量的认识；了解引起水质回流污染的原因；了解</w:t>
      </w:r>
      <w:r w:rsidRPr="00383A10">
        <w:rPr>
          <w:rFonts w:ascii="仿宋_GB2312" w:hAnsi="仿宋_GB2312" w:cs="仿宋_GB2312" w:hint="eastAsia"/>
          <w:sz w:val="28"/>
          <w:szCs w:val="28"/>
        </w:rPr>
        <w:t>掌握</w:t>
      </w:r>
      <w:r w:rsidRPr="00383A10">
        <w:rPr>
          <w:rFonts w:ascii="仿宋_GB2312" w:hAnsi="仿宋_GB2312" w:cs="仿宋_GB2312"/>
          <w:sz w:val="28"/>
          <w:szCs w:val="28"/>
        </w:rPr>
        <w:t>消防报警系统</w:t>
      </w:r>
      <w:r w:rsidRPr="00383A10">
        <w:rPr>
          <w:rFonts w:ascii="仿宋_GB2312" w:hAnsi="仿宋_GB2312" w:cs="仿宋_GB2312" w:hint="eastAsia"/>
          <w:sz w:val="28"/>
          <w:szCs w:val="28"/>
        </w:rPr>
        <w:t>、自喷系统与消火栓系统</w:t>
      </w:r>
      <w:r w:rsidRPr="00383A10">
        <w:rPr>
          <w:rFonts w:ascii="仿宋_GB2312" w:hAnsi="仿宋_GB2312" w:cs="仿宋_GB2312"/>
          <w:sz w:val="28"/>
          <w:szCs w:val="28"/>
        </w:rPr>
        <w:t>；</w:t>
      </w:r>
      <w:r w:rsidRPr="00383A10">
        <w:rPr>
          <w:rFonts w:ascii="仿宋_GB2312" w:hAnsi="仿宋_GB2312" w:cs="仿宋_GB2312" w:hint="eastAsia"/>
          <w:sz w:val="28"/>
          <w:szCs w:val="28"/>
        </w:rPr>
        <w:t>了解二次供水系统。</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（3）应配备的主要设备名称和台套数</w:t>
      </w:r>
    </w:p>
    <w:tbl>
      <w:tblPr>
        <w:tblW w:w="496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0"/>
        <w:gridCol w:w="2387"/>
        <w:gridCol w:w="2125"/>
        <w:gridCol w:w="1561"/>
        <w:gridCol w:w="1398"/>
      </w:tblGrid>
      <w:tr w:rsidR="005F6318" w:rsidTr="00383A10">
        <w:tc>
          <w:tcPr>
            <w:tcW w:w="462"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序号</w:t>
            </w:r>
          </w:p>
        </w:tc>
        <w:tc>
          <w:tcPr>
            <w:tcW w:w="1450"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设备名称</w:t>
            </w:r>
          </w:p>
        </w:tc>
        <w:tc>
          <w:tcPr>
            <w:tcW w:w="1291"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每组应配台套数</w:t>
            </w:r>
          </w:p>
        </w:tc>
        <w:tc>
          <w:tcPr>
            <w:tcW w:w="948"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现有台套数</w:t>
            </w:r>
          </w:p>
        </w:tc>
        <w:tc>
          <w:tcPr>
            <w:tcW w:w="849" w:type="pct"/>
          </w:tcPr>
          <w:p w:rsidR="005F6318" w:rsidRPr="00383A10" w:rsidRDefault="005F6318" w:rsidP="00843889">
            <w:pPr>
              <w:spacing w:line="360" w:lineRule="auto"/>
              <w:jc w:val="center"/>
              <w:rPr>
                <w:rFonts w:ascii="仿宋_GB2312" w:hAnsi="仿宋_GB2312" w:cs="仿宋_GB2312"/>
                <w:b/>
                <w:sz w:val="24"/>
                <w:szCs w:val="24"/>
              </w:rPr>
            </w:pPr>
            <w:r w:rsidRPr="00383A10">
              <w:rPr>
                <w:rFonts w:ascii="仿宋_GB2312" w:hAnsi="仿宋_GB2312" w:cs="仿宋_GB2312" w:hint="eastAsia"/>
                <w:b/>
                <w:sz w:val="24"/>
                <w:szCs w:val="24"/>
              </w:rPr>
              <w:t>备注</w:t>
            </w:r>
          </w:p>
        </w:tc>
      </w:tr>
      <w:tr w:rsidR="005F6318" w:rsidTr="00383A10">
        <w:tc>
          <w:tcPr>
            <w:tcW w:w="462"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45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建筑给排水实验装置</w:t>
            </w:r>
          </w:p>
        </w:tc>
        <w:tc>
          <w:tcPr>
            <w:tcW w:w="129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8"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849"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462"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lastRenderedPageBreak/>
              <w:t>2</w:t>
            </w:r>
          </w:p>
        </w:tc>
        <w:tc>
          <w:tcPr>
            <w:tcW w:w="145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消防报警实验装置</w:t>
            </w:r>
          </w:p>
        </w:tc>
        <w:tc>
          <w:tcPr>
            <w:tcW w:w="129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8"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849"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383A10">
        <w:tc>
          <w:tcPr>
            <w:tcW w:w="462"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3</w:t>
            </w:r>
          </w:p>
        </w:tc>
        <w:tc>
          <w:tcPr>
            <w:tcW w:w="1450"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二次供水试验装置</w:t>
            </w:r>
          </w:p>
        </w:tc>
        <w:tc>
          <w:tcPr>
            <w:tcW w:w="1291"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8"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849" w:type="pct"/>
          </w:tcPr>
          <w:p w:rsidR="005F6318" w:rsidRPr="00383A10" w:rsidRDefault="005F6318" w:rsidP="00843889">
            <w:pPr>
              <w:spacing w:line="360" w:lineRule="auto"/>
              <w:jc w:val="center"/>
              <w:rPr>
                <w:rFonts w:ascii="仿宋_GB2312" w:hAnsi="仿宋_GB2312" w:cs="仿宋_GB2312"/>
                <w:sz w:val="24"/>
                <w:szCs w:val="24"/>
              </w:rPr>
            </w:pPr>
          </w:p>
        </w:tc>
      </w:tr>
    </w:tbl>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9）实验项目名称：</w:t>
      </w:r>
      <w:r w:rsidRPr="00383A10">
        <w:rPr>
          <w:rFonts w:ascii="仿宋_GB2312" w:hAnsi="仿宋_GB2312" w:cs="仿宋_GB2312" w:hint="eastAsia"/>
          <w:sz w:val="28"/>
          <w:szCs w:val="28"/>
        </w:rPr>
        <w:t>水处理模型动水实验</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（1）实验内容</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 xml:space="preserve">  给水厂动水模拟；给水处理单元各构筑物动水模拟；污水处理厂模拟；污水处理单元各构筑物模拟。</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（2）实验要求</w:t>
      </w:r>
    </w:p>
    <w:p w:rsidR="005F6318" w:rsidRDefault="005F6318" w:rsidP="005F6318">
      <w:pPr>
        <w:spacing w:line="360" w:lineRule="auto"/>
        <w:ind w:firstLineChars="200" w:firstLine="560"/>
        <w:rPr>
          <w:rFonts w:ascii="仿宋_GB2312" w:hAnsi="仿宋_GB2312" w:cs="仿宋_GB2312"/>
          <w:sz w:val="28"/>
          <w:szCs w:val="28"/>
        </w:rPr>
      </w:pPr>
      <w:r w:rsidRPr="00383A10">
        <w:rPr>
          <w:rFonts w:ascii="仿宋_GB2312" w:hAnsi="仿宋_GB2312" w:cs="仿宋_GB2312" w:hint="eastAsia"/>
          <w:sz w:val="28"/>
          <w:szCs w:val="28"/>
        </w:rPr>
        <w:t>针对混凝、沉淀、过滤等给水理论和沉淀、生物处理等的排水理论学习、实验，结合各处理单元构筑物内部构造特点，各处理单元构筑物使用条件，进行动水模拟运行实验，从而达到理论与实践的结合。</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（3）应配备的主要设备名称和台套数</w:t>
      </w:r>
    </w:p>
    <w:tbl>
      <w:tblPr>
        <w:tblW w:w="496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
        <w:gridCol w:w="2952"/>
        <w:gridCol w:w="1702"/>
        <w:gridCol w:w="1557"/>
        <w:gridCol w:w="1258"/>
      </w:tblGrid>
      <w:tr w:rsidR="005F6318" w:rsidTr="008B4EA8">
        <w:tc>
          <w:tcPr>
            <w:tcW w:w="463" w:type="pct"/>
          </w:tcPr>
          <w:p w:rsidR="005F6318" w:rsidRPr="00383A10" w:rsidRDefault="005F6318" w:rsidP="00383A10">
            <w:pPr>
              <w:spacing w:line="360" w:lineRule="auto"/>
              <w:rPr>
                <w:rFonts w:ascii="仿宋_GB2312" w:hAnsi="仿宋_GB2312" w:cs="仿宋_GB2312"/>
                <w:b/>
                <w:sz w:val="24"/>
                <w:szCs w:val="24"/>
              </w:rPr>
            </w:pPr>
            <w:r w:rsidRPr="00383A10">
              <w:rPr>
                <w:rFonts w:ascii="仿宋_GB2312" w:hAnsi="仿宋_GB2312" w:cs="仿宋_GB2312" w:hint="eastAsia"/>
                <w:b/>
                <w:sz w:val="24"/>
                <w:szCs w:val="24"/>
              </w:rPr>
              <w:t>序号</w:t>
            </w:r>
          </w:p>
        </w:tc>
        <w:tc>
          <w:tcPr>
            <w:tcW w:w="1793" w:type="pct"/>
          </w:tcPr>
          <w:p w:rsidR="005F6318" w:rsidRPr="00383A10" w:rsidRDefault="005F6318" w:rsidP="00383A10">
            <w:pPr>
              <w:spacing w:line="360" w:lineRule="auto"/>
              <w:ind w:firstLineChars="200" w:firstLine="482"/>
              <w:rPr>
                <w:rFonts w:ascii="仿宋_GB2312" w:hAnsi="仿宋_GB2312" w:cs="仿宋_GB2312"/>
                <w:b/>
                <w:sz w:val="24"/>
                <w:szCs w:val="24"/>
              </w:rPr>
            </w:pPr>
            <w:r w:rsidRPr="00383A10">
              <w:rPr>
                <w:rFonts w:ascii="仿宋_GB2312" w:hAnsi="仿宋_GB2312" w:cs="仿宋_GB2312" w:hint="eastAsia"/>
                <w:b/>
                <w:sz w:val="24"/>
                <w:szCs w:val="24"/>
              </w:rPr>
              <w:t>设备名称</w:t>
            </w:r>
          </w:p>
        </w:tc>
        <w:tc>
          <w:tcPr>
            <w:tcW w:w="1034" w:type="pct"/>
          </w:tcPr>
          <w:p w:rsidR="005F6318" w:rsidRPr="00383A10" w:rsidRDefault="005F6318" w:rsidP="00383A10">
            <w:pPr>
              <w:spacing w:line="360" w:lineRule="auto"/>
              <w:ind w:firstLineChars="200" w:firstLine="482"/>
              <w:rPr>
                <w:rFonts w:ascii="仿宋_GB2312" w:hAnsi="仿宋_GB2312" w:cs="仿宋_GB2312"/>
                <w:b/>
                <w:sz w:val="24"/>
                <w:szCs w:val="24"/>
              </w:rPr>
            </w:pPr>
            <w:r w:rsidRPr="00383A10">
              <w:rPr>
                <w:rFonts w:ascii="仿宋_GB2312" w:hAnsi="仿宋_GB2312" w:cs="仿宋_GB2312" w:hint="eastAsia"/>
                <w:b/>
                <w:sz w:val="24"/>
                <w:szCs w:val="24"/>
              </w:rPr>
              <w:t>每组应配台套数</w:t>
            </w:r>
          </w:p>
        </w:tc>
        <w:tc>
          <w:tcPr>
            <w:tcW w:w="946" w:type="pct"/>
          </w:tcPr>
          <w:p w:rsidR="005F6318" w:rsidRPr="00383A10" w:rsidRDefault="005F6318" w:rsidP="008B4EA8">
            <w:pPr>
              <w:spacing w:line="360" w:lineRule="auto"/>
              <w:rPr>
                <w:rFonts w:ascii="仿宋_GB2312" w:hAnsi="仿宋_GB2312" w:cs="仿宋_GB2312"/>
                <w:b/>
                <w:sz w:val="24"/>
                <w:szCs w:val="24"/>
              </w:rPr>
            </w:pPr>
            <w:r w:rsidRPr="00383A10">
              <w:rPr>
                <w:rFonts w:ascii="仿宋_GB2312" w:hAnsi="仿宋_GB2312" w:cs="仿宋_GB2312" w:hint="eastAsia"/>
                <w:b/>
                <w:sz w:val="24"/>
                <w:szCs w:val="24"/>
              </w:rPr>
              <w:t>现有台套数</w:t>
            </w:r>
          </w:p>
        </w:tc>
        <w:tc>
          <w:tcPr>
            <w:tcW w:w="764" w:type="pct"/>
          </w:tcPr>
          <w:p w:rsidR="005F6318" w:rsidRPr="00383A10" w:rsidRDefault="005F6318" w:rsidP="00383A10">
            <w:pPr>
              <w:spacing w:line="360" w:lineRule="auto"/>
              <w:ind w:firstLineChars="200" w:firstLine="482"/>
              <w:rPr>
                <w:rFonts w:ascii="仿宋_GB2312" w:hAnsi="仿宋_GB2312" w:cs="仿宋_GB2312"/>
                <w:b/>
                <w:sz w:val="24"/>
                <w:szCs w:val="24"/>
              </w:rPr>
            </w:pPr>
            <w:r w:rsidRPr="00383A10">
              <w:rPr>
                <w:rFonts w:ascii="仿宋_GB2312" w:hAnsi="仿宋_GB2312" w:cs="仿宋_GB2312" w:hint="eastAsia"/>
                <w:b/>
                <w:sz w:val="24"/>
                <w:szCs w:val="24"/>
              </w:rPr>
              <w:t>备注</w:t>
            </w: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给水厂实验装置</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2</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水力循环澄清池实验装置</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3</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平流式沉淀池试验装置</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76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需维修</w:t>
            </w: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4</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机械搅拌澄清池模型</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5</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同向流斜管沉淀池模型</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6</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脉冲澄清池模型</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7</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新型絮凝池</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8</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无阀滤池</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9</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普通快滤池</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10</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虹吸滤池</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11</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V型滤池</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12</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污水厂模型</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13</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曝气沉砂池</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lastRenderedPageBreak/>
              <w:t>14</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SBR实验装置</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15</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MBR实验装置</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16</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三沟式氧化沟</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17</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厌氧折板反应池</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18</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生物塔滤池</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19</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深恶转盘</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20</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新型生物处理模型1</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21</w:t>
            </w:r>
          </w:p>
        </w:tc>
        <w:tc>
          <w:tcPr>
            <w:tcW w:w="1793"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新型生物处理模型1</w:t>
            </w:r>
          </w:p>
        </w:tc>
        <w:tc>
          <w:tcPr>
            <w:tcW w:w="1034"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1</w:t>
            </w:r>
          </w:p>
        </w:tc>
        <w:tc>
          <w:tcPr>
            <w:tcW w:w="946" w:type="pct"/>
          </w:tcPr>
          <w:p w:rsidR="005F6318" w:rsidRPr="00383A10" w:rsidRDefault="005F6318" w:rsidP="00843889">
            <w:pPr>
              <w:spacing w:line="360" w:lineRule="auto"/>
              <w:jc w:val="center"/>
              <w:rPr>
                <w:rFonts w:ascii="仿宋_GB2312" w:hAnsi="仿宋_GB2312" w:cs="仿宋_GB2312"/>
                <w:sz w:val="24"/>
                <w:szCs w:val="24"/>
              </w:rPr>
            </w:pPr>
            <w:r w:rsidRPr="00383A10">
              <w:rPr>
                <w:rFonts w:ascii="仿宋_GB2312" w:hAnsi="仿宋_GB2312" w:cs="仿宋_GB2312" w:hint="eastAsia"/>
                <w:sz w:val="24"/>
                <w:szCs w:val="24"/>
              </w:rPr>
              <w:t>0</w:t>
            </w:r>
          </w:p>
        </w:tc>
        <w:tc>
          <w:tcPr>
            <w:tcW w:w="764" w:type="pct"/>
          </w:tcPr>
          <w:p w:rsidR="005F6318" w:rsidRPr="00383A10" w:rsidRDefault="005F6318" w:rsidP="00843889">
            <w:pPr>
              <w:spacing w:line="360" w:lineRule="auto"/>
              <w:jc w:val="center"/>
              <w:rPr>
                <w:rFonts w:ascii="仿宋_GB2312" w:hAnsi="仿宋_GB2312" w:cs="仿宋_GB2312"/>
                <w:sz w:val="24"/>
                <w:szCs w:val="24"/>
              </w:rPr>
            </w:pPr>
          </w:p>
        </w:tc>
      </w:tr>
    </w:tbl>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10）实验项目名称：</w:t>
      </w:r>
      <w:r w:rsidRPr="008B4EA8">
        <w:rPr>
          <w:rFonts w:ascii="仿宋_GB2312" w:hAnsi="仿宋_GB2312" w:cs="仿宋_GB2312" w:hint="eastAsia"/>
          <w:sz w:val="28"/>
          <w:szCs w:val="28"/>
        </w:rPr>
        <w:t>树脂工作容量测定实验</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（1）实验内容</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 xml:space="preserve">  掌握不同条件下，测定树脂工作交换容量的方法，了解不同主要因素对工作交换容量的影响，熟悉水的硬度的测定方法。</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（2）实验要求</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sz w:val="28"/>
          <w:szCs w:val="28"/>
        </w:rPr>
        <w:t>掌握离子交换树脂交换容量的测定原理和方法；学会离子交换树脂的处理方法；理解离子交换树脂交换容量的含义。</w:t>
      </w:r>
    </w:p>
    <w:p w:rsidR="005F6318" w:rsidRDefault="005F6318" w:rsidP="005F6318">
      <w:pPr>
        <w:spacing w:line="360" w:lineRule="auto"/>
        <w:ind w:firstLineChars="100" w:firstLine="280"/>
        <w:rPr>
          <w:rFonts w:ascii="仿宋_GB2312" w:hAnsi="仿宋_GB2312" w:cs="仿宋_GB2312"/>
          <w:sz w:val="28"/>
          <w:szCs w:val="28"/>
        </w:rPr>
      </w:pPr>
      <w:r>
        <w:rPr>
          <w:rFonts w:ascii="仿宋_GB2312" w:hAnsi="仿宋_GB2312" w:cs="仿宋_GB2312" w:hint="eastAsia"/>
          <w:sz w:val="28"/>
          <w:szCs w:val="28"/>
        </w:rPr>
        <w:t>（3）应配备的主要设备名称和台套数</w:t>
      </w:r>
    </w:p>
    <w:tbl>
      <w:tblPr>
        <w:tblW w:w="496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1"/>
        <w:gridCol w:w="2244"/>
        <w:gridCol w:w="2127"/>
        <w:gridCol w:w="1701"/>
        <w:gridCol w:w="1398"/>
      </w:tblGrid>
      <w:tr w:rsidR="005F6318" w:rsidTr="008B4EA8">
        <w:tc>
          <w:tcPr>
            <w:tcW w:w="463" w:type="pct"/>
          </w:tcPr>
          <w:p w:rsidR="005F6318" w:rsidRPr="008B4EA8" w:rsidRDefault="005F6318" w:rsidP="00843889">
            <w:pPr>
              <w:spacing w:line="360" w:lineRule="auto"/>
              <w:jc w:val="center"/>
              <w:rPr>
                <w:rFonts w:ascii="仿宋_GB2312" w:hAnsi="仿宋_GB2312" w:cs="仿宋_GB2312"/>
                <w:b/>
                <w:sz w:val="24"/>
                <w:szCs w:val="24"/>
              </w:rPr>
            </w:pPr>
            <w:r w:rsidRPr="008B4EA8">
              <w:rPr>
                <w:rFonts w:ascii="仿宋_GB2312" w:hAnsi="仿宋_GB2312" w:cs="仿宋_GB2312" w:hint="eastAsia"/>
                <w:b/>
                <w:sz w:val="24"/>
                <w:szCs w:val="24"/>
              </w:rPr>
              <w:t>序号</w:t>
            </w:r>
          </w:p>
        </w:tc>
        <w:tc>
          <w:tcPr>
            <w:tcW w:w="1363" w:type="pct"/>
          </w:tcPr>
          <w:p w:rsidR="005F6318" w:rsidRPr="008B4EA8" w:rsidRDefault="005F6318" w:rsidP="00843889">
            <w:pPr>
              <w:spacing w:line="360" w:lineRule="auto"/>
              <w:jc w:val="center"/>
              <w:rPr>
                <w:rFonts w:ascii="仿宋_GB2312" w:hAnsi="仿宋_GB2312" w:cs="仿宋_GB2312"/>
                <w:b/>
                <w:sz w:val="24"/>
                <w:szCs w:val="24"/>
              </w:rPr>
            </w:pPr>
            <w:r w:rsidRPr="008B4EA8">
              <w:rPr>
                <w:rFonts w:ascii="仿宋_GB2312" w:hAnsi="仿宋_GB2312" w:cs="仿宋_GB2312" w:hint="eastAsia"/>
                <w:b/>
                <w:sz w:val="24"/>
                <w:szCs w:val="24"/>
              </w:rPr>
              <w:t>设备名称</w:t>
            </w:r>
          </w:p>
        </w:tc>
        <w:tc>
          <w:tcPr>
            <w:tcW w:w="1292" w:type="pct"/>
          </w:tcPr>
          <w:p w:rsidR="005F6318" w:rsidRPr="008B4EA8" w:rsidRDefault="005F6318" w:rsidP="00843889">
            <w:pPr>
              <w:spacing w:line="360" w:lineRule="auto"/>
              <w:jc w:val="center"/>
              <w:rPr>
                <w:rFonts w:ascii="仿宋_GB2312" w:hAnsi="仿宋_GB2312" w:cs="仿宋_GB2312"/>
                <w:b/>
                <w:sz w:val="24"/>
                <w:szCs w:val="24"/>
              </w:rPr>
            </w:pPr>
            <w:r w:rsidRPr="008B4EA8">
              <w:rPr>
                <w:rFonts w:ascii="仿宋_GB2312" w:hAnsi="仿宋_GB2312" w:cs="仿宋_GB2312" w:hint="eastAsia"/>
                <w:b/>
                <w:sz w:val="24"/>
                <w:szCs w:val="24"/>
              </w:rPr>
              <w:t>每组应配台套数</w:t>
            </w:r>
          </w:p>
        </w:tc>
        <w:tc>
          <w:tcPr>
            <w:tcW w:w="1033" w:type="pct"/>
          </w:tcPr>
          <w:p w:rsidR="005F6318" w:rsidRPr="008B4EA8" w:rsidRDefault="005F6318" w:rsidP="00843889">
            <w:pPr>
              <w:spacing w:line="360" w:lineRule="auto"/>
              <w:jc w:val="center"/>
              <w:rPr>
                <w:rFonts w:ascii="仿宋_GB2312" w:hAnsi="仿宋_GB2312" w:cs="仿宋_GB2312"/>
                <w:b/>
                <w:sz w:val="24"/>
                <w:szCs w:val="24"/>
              </w:rPr>
            </w:pPr>
            <w:r w:rsidRPr="008B4EA8">
              <w:rPr>
                <w:rFonts w:ascii="仿宋_GB2312" w:hAnsi="仿宋_GB2312" w:cs="仿宋_GB2312" w:hint="eastAsia"/>
                <w:b/>
                <w:sz w:val="24"/>
                <w:szCs w:val="24"/>
              </w:rPr>
              <w:t>现有台套数</w:t>
            </w:r>
          </w:p>
        </w:tc>
        <w:tc>
          <w:tcPr>
            <w:tcW w:w="849" w:type="pct"/>
          </w:tcPr>
          <w:p w:rsidR="005F6318" w:rsidRPr="008B4EA8" w:rsidRDefault="005F6318" w:rsidP="00843889">
            <w:pPr>
              <w:spacing w:line="360" w:lineRule="auto"/>
              <w:jc w:val="center"/>
              <w:rPr>
                <w:rFonts w:ascii="仿宋_GB2312" w:hAnsi="仿宋_GB2312" w:cs="仿宋_GB2312"/>
                <w:b/>
                <w:sz w:val="24"/>
                <w:szCs w:val="24"/>
              </w:rPr>
            </w:pPr>
            <w:r w:rsidRPr="008B4EA8">
              <w:rPr>
                <w:rFonts w:ascii="仿宋_GB2312" w:hAnsi="仿宋_GB2312" w:cs="仿宋_GB2312" w:hint="eastAsia"/>
                <w:b/>
                <w:sz w:val="24"/>
                <w:szCs w:val="24"/>
              </w:rPr>
              <w:t>备注</w:t>
            </w:r>
          </w:p>
        </w:tc>
      </w:tr>
      <w:tr w:rsidR="005F6318" w:rsidTr="008B4EA8">
        <w:tc>
          <w:tcPr>
            <w:tcW w:w="463" w:type="pct"/>
          </w:tcPr>
          <w:p w:rsidR="005F6318" w:rsidRPr="008B4EA8" w:rsidRDefault="005F6318" w:rsidP="00843889">
            <w:pPr>
              <w:spacing w:line="360" w:lineRule="auto"/>
              <w:jc w:val="center"/>
              <w:rPr>
                <w:rFonts w:ascii="仿宋_GB2312" w:hAnsi="仿宋_GB2312" w:cs="仿宋_GB2312"/>
                <w:sz w:val="24"/>
                <w:szCs w:val="24"/>
              </w:rPr>
            </w:pPr>
            <w:r w:rsidRPr="008B4EA8">
              <w:rPr>
                <w:rFonts w:ascii="仿宋_GB2312" w:hAnsi="仿宋_GB2312" w:cs="仿宋_GB2312" w:hint="eastAsia"/>
                <w:sz w:val="24"/>
                <w:szCs w:val="24"/>
              </w:rPr>
              <w:t>1</w:t>
            </w:r>
          </w:p>
        </w:tc>
        <w:tc>
          <w:tcPr>
            <w:tcW w:w="1363" w:type="pct"/>
          </w:tcPr>
          <w:p w:rsidR="005F6318" w:rsidRPr="008B4EA8" w:rsidRDefault="005F6318" w:rsidP="00843889">
            <w:pPr>
              <w:spacing w:line="360" w:lineRule="auto"/>
              <w:jc w:val="center"/>
              <w:rPr>
                <w:rFonts w:ascii="仿宋_GB2312" w:hAnsi="仿宋_GB2312" w:cs="仿宋_GB2312"/>
                <w:sz w:val="24"/>
                <w:szCs w:val="24"/>
              </w:rPr>
            </w:pPr>
            <w:r w:rsidRPr="008B4EA8">
              <w:rPr>
                <w:rFonts w:ascii="仿宋_GB2312" w:hAnsi="仿宋_GB2312" w:cs="仿宋_GB2312" w:hint="eastAsia"/>
                <w:sz w:val="24"/>
                <w:szCs w:val="24"/>
              </w:rPr>
              <w:t>树脂交换实验装置</w:t>
            </w:r>
          </w:p>
        </w:tc>
        <w:tc>
          <w:tcPr>
            <w:tcW w:w="1292" w:type="pct"/>
          </w:tcPr>
          <w:p w:rsidR="005F6318" w:rsidRPr="008B4EA8" w:rsidRDefault="005F6318" w:rsidP="00843889">
            <w:pPr>
              <w:spacing w:line="360" w:lineRule="auto"/>
              <w:jc w:val="center"/>
              <w:rPr>
                <w:rFonts w:ascii="仿宋_GB2312" w:hAnsi="仿宋_GB2312" w:cs="仿宋_GB2312"/>
                <w:sz w:val="24"/>
                <w:szCs w:val="24"/>
              </w:rPr>
            </w:pPr>
            <w:r w:rsidRPr="008B4EA8">
              <w:rPr>
                <w:rFonts w:ascii="仿宋_GB2312" w:hAnsi="仿宋_GB2312" w:cs="仿宋_GB2312" w:hint="eastAsia"/>
                <w:sz w:val="24"/>
                <w:szCs w:val="24"/>
              </w:rPr>
              <w:t>1</w:t>
            </w:r>
          </w:p>
        </w:tc>
        <w:tc>
          <w:tcPr>
            <w:tcW w:w="1033" w:type="pct"/>
          </w:tcPr>
          <w:p w:rsidR="005F6318" w:rsidRPr="008B4EA8" w:rsidRDefault="005F6318" w:rsidP="00843889">
            <w:pPr>
              <w:spacing w:line="360" w:lineRule="auto"/>
              <w:jc w:val="center"/>
              <w:rPr>
                <w:rFonts w:ascii="仿宋_GB2312" w:hAnsi="仿宋_GB2312" w:cs="仿宋_GB2312"/>
                <w:sz w:val="24"/>
                <w:szCs w:val="24"/>
              </w:rPr>
            </w:pPr>
            <w:r w:rsidRPr="008B4EA8">
              <w:rPr>
                <w:rFonts w:ascii="仿宋_GB2312" w:hAnsi="仿宋_GB2312" w:cs="仿宋_GB2312" w:hint="eastAsia"/>
                <w:sz w:val="24"/>
                <w:szCs w:val="24"/>
              </w:rPr>
              <w:t>0</w:t>
            </w:r>
          </w:p>
        </w:tc>
        <w:tc>
          <w:tcPr>
            <w:tcW w:w="849" w:type="pct"/>
          </w:tcPr>
          <w:p w:rsidR="005F6318" w:rsidRPr="008B4EA8"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8B4EA8" w:rsidRDefault="005F6318" w:rsidP="00843889">
            <w:pPr>
              <w:spacing w:line="360" w:lineRule="auto"/>
              <w:jc w:val="center"/>
              <w:rPr>
                <w:rFonts w:ascii="仿宋_GB2312" w:hAnsi="仿宋_GB2312" w:cs="仿宋_GB2312"/>
                <w:sz w:val="24"/>
                <w:szCs w:val="24"/>
              </w:rPr>
            </w:pPr>
            <w:r w:rsidRPr="008B4EA8">
              <w:rPr>
                <w:rFonts w:ascii="仿宋_GB2312" w:hAnsi="仿宋_GB2312" w:cs="仿宋_GB2312" w:hint="eastAsia"/>
                <w:sz w:val="24"/>
                <w:szCs w:val="24"/>
              </w:rPr>
              <w:t>2</w:t>
            </w:r>
          </w:p>
        </w:tc>
        <w:tc>
          <w:tcPr>
            <w:tcW w:w="1363" w:type="pct"/>
          </w:tcPr>
          <w:p w:rsidR="005F6318" w:rsidRPr="008B4EA8" w:rsidRDefault="005F6318" w:rsidP="00843889">
            <w:pPr>
              <w:spacing w:line="360" w:lineRule="auto"/>
              <w:jc w:val="center"/>
              <w:rPr>
                <w:rFonts w:ascii="仿宋_GB2312" w:hAnsi="仿宋_GB2312" w:cs="仿宋_GB2312"/>
                <w:sz w:val="24"/>
                <w:szCs w:val="24"/>
              </w:rPr>
            </w:pPr>
            <w:r w:rsidRPr="008B4EA8">
              <w:rPr>
                <w:rFonts w:ascii="仿宋_GB2312" w:hAnsi="仿宋_GB2312" w:cs="仿宋_GB2312" w:hint="eastAsia"/>
                <w:sz w:val="24"/>
                <w:szCs w:val="24"/>
              </w:rPr>
              <w:t>水质硬度测定仪</w:t>
            </w:r>
          </w:p>
        </w:tc>
        <w:tc>
          <w:tcPr>
            <w:tcW w:w="1292" w:type="pct"/>
          </w:tcPr>
          <w:p w:rsidR="005F6318" w:rsidRPr="008B4EA8" w:rsidRDefault="005F6318" w:rsidP="00843889">
            <w:pPr>
              <w:spacing w:line="360" w:lineRule="auto"/>
              <w:jc w:val="center"/>
              <w:rPr>
                <w:rFonts w:ascii="仿宋_GB2312" w:hAnsi="仿宋_GB2312" w:cs="仿宋_GB2312"/>
                <w:sz w:val="24"/>
                <w:szCs w:val="24"/>
              </w:rPr>
            </w:pPr>
            <w:r w:rsidRPr="008B4EA8">
              <w:rPr>
                <w:rFonts w:ascii="仿宋_GB2312" w:hAnsi="仿宋_GB2312" w:cs="仿宋_GB2312" w:hint="eastAsia"/>
                <w:sz w:val="24"/>
                <w:szCs w:val="24"/>
              </w:rPr>
              <w:t>1</w:t>
            </w:r>
          </w:p>
        </w:tc>
        <w:tc>
          <w:tcPr>
            <w:tcW w:w="1033" w:type="pct"/>
          </w:tcPr>
          <w:p w:rsidR="005F6318" w:rsidRPr="008B4EA8" w:rsidRDefault="005F6318" w:rsidP="00843889">
            <w:pPr>
              <w:spacing w:line="360" w:lineRule="auto"/>
              <w:jc w:val="center"/>
              <w:rPr>
                <w:rFonts w:ascii="仿宋_GB2312" w:hAnsi="仿宋_GB2312" w:cs="仿宋_GB2312"/>
                <w:sz w:val="24"/>
                <w:szCs w:val="24"/>
              </w:rPr>
            </w:pPr>
            <w:r w:rsidRPr="008B4EA8">
              <w:rPr>
                <w:rFonts w:ascii="仿宋_GB2312" w:hAnsi="仿宋_GB2312" w:cs="仿宋_GB2312" w:hint="eastAsia"/>
                <w:sz w:val="24"/>
                <w:szCs w:val="24"/>
              </w:rPr>
              <w:t>4</w:t>
            </w:r>
          </w:p>
        </w:tc>
        <w:tc>
          <w:tcPr>
            <w:tcW w:w="849" w:type="pct"/>
          </w:tcPr>
          <w:p w:rsidR="005F6318" w:rsidRPr="008B4EA8" w:rsidRDefault="005F6318" w:rsidP="00843889">
            <w:pPr>
              <w:spacing w:line="360" w:lineRule="auto"/>
              <w:jc w:val="center"/>
              <w:rPr>
                <w:rFonts w:ascii="仿宋_GB2312" w:hAnsi="仿宋_GB2312" w:cs="仿宋_GB2312"/>
                <w:sz w:val="24"/>
                <w:szCs w:val="24"/>
              </w:rPr>
            </w:pPr>
          </w:p>
        </w:tc>
      </w:tr>
      <w:tr w:rsidR="005F6318" w:rsidTr="008B4EA8">
        <w:tc>
          <w:tcPr>
            <w:tcW w:w="463" w:type="pct"/>
          </w:tcPr>
          <w:p w:rsidR="005F6318" w:rsidRPr="008B4EA8" w:rsidRDefault="005F6318" w:rsidP="00843889">
            <w:pPr>
              <w:spacing w:line="360" w:lineRule="auto"/>
              <w:jc w:val="center"/>
              <w:rPr>
                <w:rFonts w:ascii="仿宋_GB2312" w:hAnsi="仿宋_GB2312" w:cs="仿宋_GB2312"/>
                <w:sz w:val="24"/>
                <w:szCs w:val="24"/>
              </w:rPr>
            </w:pPr>
          </w:p>
        </w:tc>
        <w:tc>
          <w:tcPr>
            <w:tcW w:w="1363" w:type="pct"/>
          </w:tcPr>
          <w:p w:rsidR="005F6318" w:rsidRPr="008B4EA8" w:rsidRDefault="005F6318" w:rsidP="00843889">
            <w:pPr>
              <w:spacing w:line="360" w:lineRule="auto"/>
              <w:jc w:val="center"/>
              <w:rPr>
                <w:rFonts w:ascii="仿宋_GB2312" w:hAnsi="仿宋_GB2312" w:cs="仿宋_GB2312"/>
                <w:sz w:val="24"/>
                <w:szCs w:val="24"/>
              </w:rPr>
            </w:pPr>
          </w:p>
        </w:tc>
        <w:tc>
          <w:tcPr>
            <w:tcW w:w="1292" w:type="pct"/>
          </w:tcPr>
          <w:p w:rsidR="005F6318" w:rsidRPr="008B4EA8" w:rsidRDefault="005F6318" w:rsidP="00843889">
            <w:pPr>
              <w:spacing w:line="360" w:lineRule="auto"/>
              <w:jc w:val="center"/>
              <w:rPr>
                <w:rFonts w:ascii="仿宋_GB2312" w:hAnsi="仿宋_GB2312" w:cs="仿宋_GB2312"/>
                <w:sz w:val="24"/>
                <w:szCs w:val="24"/>
              </w:rPr>
            </w:pPr>
          </w:p>
        </w:tc>
        <w:tc>
          <w:tcPr>
            <w:tcW w:w="1033" w:type="pct"/>
          </w:tcPr>
          <w:p w:rsidR="005F6318" w:rsidRPr="008B4EA8" w:rsidRDefault="005F6318" w:rsidP="00843889">
            <w:pPr>
              <w:spacing w:line="360" w:lineRule="auto"/>
              <w:jc w:val="center"/>
              <w:rPr>
                <w:rFonts w:ascii="仿宋_GB2312" w:hAnsi="仿宋_GB2312" w:cs="仿宋_GB2312"/>
                <w:sz w:val="24"/>
                <w:szCs w:val="24"/>
              </w:rPr>
            </w:pPr>
          </w:p>
        </w:tc>
        <w:tc>
          <w:tcPr>
            <w:tcW w:w="849" w:type="pct"/>
          </w:tcPr>
          <w:p w:rsidR="005F6318" w:rsidRPr="008B4EA8" w:rsidRDefault="005F6318" w:rsidP="00843889">
            <w:pPr>
              <w:spacing w:line="360" w:lineRule="auto"/>
              <w:jc w:val="center"/>
              <w:rPr>
                <w:rFonts w:ascii="仿宋_GB2312" w:hAnsi="仿宋_GB2312" w:cs="仿宋_GB2312"/>
                <w:sz w:val="24"/>
                <w:szCs w:val="24"/>
              </w:rPr>
            </w:pPr>
          </w:p>
        </w:tc>
      </w:tr>
    </w:tbl>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此外，有以下实验项目可作为选开实验</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1、电渗析除盐实验</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2、纯水制备实验</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3、水处理综合实验</w:t>
      </w:r>
    </w:p>
    <w:p w:rsidR="005F6318" w:rsidRDefault="005F6318" w:rsidP="005F6318">
      <w:pPr>
        <w:spacing w:beforeLines="50" w:before="156" w:afterLines="50" w:after="156"/>
        <w:jc w:val="left"/>
        <w:rPr>
          <w:rFonts w:ascii="黑体" w:eastAsia="黑体" w:hAnsi="黑体"/>
          <w:b/>
          <w:sz w:val="28"/>
          <w:szCs w:val="28"/>
        </w:rPr>
      </w:pPr>
      <w:r>
        <w:rPr>
          <w:rFonts w:ascii="黑体" w:eastAsia="黑体" w:hAnsi="黑体" w:hint="eastAsia"/>
          <w:b/>
          <w:sz w:val="28"/>
          <w:szCs w:val="28"/>
        </w:rPr>
        <w:t>五、实验课程考核方式</w:t>
      </w:r>
    </w:p>
    <w:p w:rsidR="005F6318" w:rsidRDefault="005F6318" w:rsidP="005F6318">
      <w:pPr>
        <w:spacing w:line="360" w:lineRule="auto"/>
        <w:jc w:val="left"/>
        <w:rPr>
          <w:rFonts w:ascii="Times New Roman" w:hAnsi="Times New Roman"/>
          <w:sz w:val="28"/>
          <w:szCs w:val="28"/>
        </w:rPr>
      </w:pPr>
      <w:r>
        <w:rPr>
          <w:rFonts w:ascii="仿宋_GB2312" w:hAnsi="仿宋_GB2312" w:cs="仿宋_GB2312" w:hint="eastAsia"/>
          <w:sz w:val="28"/>
          <w:szCs w:val="28"/>
        </w:rPr>
        <w:lastRenderedPageBreak/>
        <w:t>（1）实验报告</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①</w:t>
      </w:r>
      <w:r>
        <w:rPr>
          <w:rFonts w:ascii="仿宋_GB2312" w:hAnsi="仿宋_GB2312" w:cs="仿宋_GB2312"/>
          <w:sz w:val="28"/>
          <w:szCs w:val="28"/>
        </w:rPr>
        <w:t>学生参加实验后，应按时完成每个项目的实验报告，并交指导教师评阅。</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②</w:t>
      </w:r>
      <w:r>
        <w:rPr>
          <w:rFonts w:ascii="仿宋_GB2312" w:hAnsi="仿宋_GB2312" w:cs="仿宋_GB2312"/>
          <w:sz w:val="28"/>
          <w:szCs w:val="28"/>
        </w:rPr>
        <w:t>实验报告应包含实验项目名称、实验目的、实验原理简述、实验操作或观察记录、实验误差分析、实验结果讨论（或实验结论）等内容。</w:t>
      </w:r>
    </w:p>
    <w:p w:rsidR="005F6318" w:rsidRDefault="005F6318" w:rsidP="005F6318">
      <w:pPr>
        <w:spacing w:line="360" w:lineRule="auto"/>
        <w:ind w:firstLineChars="150" w:firstLine="420"/>
        <w:rPr>
          <w:rFonts w:ascii="仿宋_GB2312" w:hAnsi="仿宋_GB2312" w:cs="仿宋_GB2312"/>
          <w:sz w:val="28"/>
          <w:szCs w:val="28"/>
        </w:rPr>
      </w:pPr>
      <w:r>
        <w:rPr>
          <w:rFonts w:ascii="仿宋_GB2312" w:hAnsi="仿宋_GB2312" w:cs="仿宋_GB2312" w:hint="eastAsia"/>
          <w:sz w:val="28"/>
          <w:szCs w:val="28"/>
        </w:rPr>
        <w:t>③</w:t>
      </w:r>
      <w:r>
        <w:rPr>
          <w:rFonts w:ascii="仿宋_GB2312" w:hAnsi="仿宋_GB2312" w:cs="仿宋_GB2312"/>
          <w:sz w:val="28"/>
          <w:szCs w:val="28"/>
        </w:rPr>
        <w:t>教师应结合学生的实验操作、实验课的表现与动手能力等情况对学生实验报告进行认真评阅，并作为学生平时实验成绩的原始记。</w:t>
      </w:r>
    </w:p>
    <w:p w:rsidR="005F6318" w:rsidRDefault="005F6318" w:rsidP="005F6318">
      <w:pPr>
        <w:spacing w:line="360" w:lineRule="auto"/>
        <w:jc w:val="left"/>
        <w:rPr>
          <w:rStyle w:val="fontstyle11"/>
          <w:rFonts w:ascii="仿宋_GB2312" w:hAnsi="仿宋_GB2312" w:cs="仿宋_GB2312"/>
          <w:sz w:val="28"/>
        </w:rPr>
      </w:pPr>
      <w:r>
        <w:rPr>
          <w:rFonts w:ascii="仿宋_GB2312" w:hAnsi="仿宋_GB2312" w:cs="仿宋_GB2312" w:hint="eastAsia"/>
          <w:sz w:val="28"/>
        </w:rPr>
        <w:t>（2）考核方式</w:t>
      </w:r>
    </w:p>
    <w:p w:rsidR="005F6318" w:rsidRDefault="005F6318" w:rsidP="005F6318">
      <w:pPr>
        <w:ind w:left="330" w:firstLineChars="50" w:firstLine="140"/>
        <w:rPr>
          <w:rFonts w:ascii="仿宋_GB2312" w:hAnsi="仿宋_GB2312" w:cs="仿宋_GB2312"/>
          <w:b/>
          <w:color w:val="FF0000"/>
          <w:sz w:val="21"/>
          <w:szCs w:val="21"/>
        </w:rPr>
      </w:pPr>
      <w:r>
        <w:rPr>
          <w:rFonts w:ascii="Times New Roman" w:hAnsi="Times New Roman"/>
          <w:sz w:val="28"/>
          <w:szCs w:val="28"/>
        </w:rPr>
        <w:t>按参加实验情况和实验报告来确定实验成绩，其中实验报告和</w:t>
      </w:r>
      <w:r>
        <w:rPr>
          <w:rFonts w:ascii="Times New Roman" w:hAnsi="Times New Roman" w:hint="eastAsia"/>
          <w:sz w:val="28"/>
          <w:szCs w:val="28"/>
        </w:rPr>
        <w:t>实验</w:t>
      </w:r>
      <w:r>
        <w:rPr>
          <w:rFonts w:ascii="Times New Roman" w:hAnsi="Times New Roman"/>
          <w:sz w:val="28"/>
          <w:szCs w:val="28"/>
        </w:rPr>
        <w:t>成绩分别占</w:t>
      </w:r>
      <w:r>
        <w:rPr>
          <w:rFonts w:ascii="Times New Roman" w:hAnsi="Times New Roman" w:hint="eastAsia"/>
          <w:sz w:val="28"/>
          <w:szCs w:val="28"/>
        </w:rPr>
        <w:t>5</w:t>
      </w:r>
      <w:r>
        <w:rPr>
          <w:rFonts w:ascii="Times New Roman" w:hAnsi="Times New Roman"/>
          <w:sz w:val="28"/>
          <w:szCs w:val="28"/>
        </w:rPr>
        <w:t>0%</w:t>
      </w:r>
      <w:r>
        <w:rPr>
          <w:rFonts w:ascii="Times New Roman" w:hAnsi="Times New Roman"/>
          <w:sz w:val="28"/>
          <w:szCs w:val="28"/>
        </w:rPr>
        <w:t>与</w:t>
      </w:r>
      <w:r>
        <w:rPr>
          <w:rFonts w:ascii="Times New Roman" w:hAnsi="Times New Roman" w:hint="eastAsia"/>
          <w:sz w:val="28"/>
          <w:szCs w:val="28"/>
        </w:rPr>
        <w:t>5</w:t>
      </w:r>
      <w:r>
        <w:rPr>
          <w:rFonts w:ascii="Times New Roman" w:hAnsi="Times New Roman"/>
          <w:sz w:val="28"/>
          <w:szCs w:val="28"/>
        </w:rPr>
        <w:t>0%</w:t>
      </w:r>
      <w:r>
        <w:rPr>
          <w:rFonts w:ascii="Times New Roman" w:hAnsi="Times New Roman"/>
          <w:sz w:val="28"/>
          <w:szCs w:val="28"/>
        </w:rPr>
        <w:t>。考核未通过的学生，必须重修。</w:t>
      </w:r>
    </w:p>
    <w:p w:rsidR="005F6318" w:rsidRDefault="005F6318" w:rsidP="005F6318">
      <w:pPr>
        <w:spacing w:line="360" w:lineRule="auto"/>
        <w:rPr>
          <w:rFonts w:ascii="黑体" w:eastAsia="黑体" w:hAnsi="黑体"/>
          <w:b/>
          <w:sz w:val="28"/>
          <w:szCs w:val="28"/>
        </w:rPr>
      </w:pPr>
      <w:r>
        <w:rPr>
          <w:rFonts w:ascii="宋体" w:eastAsia="宋体" w:hAnsi="宋体" w:hint="eastAsia"/>
          <w:b/>
          <w:color w:val="FF0000"/>
          <w:sz w:val="21"/>
          <w:szCs w:val="21"/>
        </w:rPr>
        <w:t xml:space="preserve">   </w:t>
      </w:r>
      <w:r>
        <w:rPr>
          <w:rFonts w:ascii="黑体" w:eastAsia="黑体" w:hAnsi="黑体" w:hint="eastAsia"/>
          <w:b/>
          <w:sz w:val="28"/>
          <w:szCs w:val="28"/>
        </w:rPr>
        <w:t>六、实验课程建议教材及主要参考资料</w:t>
      </w:r>
    </w:p>
    <w:p w:rsidR="005F6318" w:rsidRDefault="005F6318" w:rsidP="005F6318">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5F6318" w:rsidRDefault="005F6318" w:rsidP="005F6318">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《给排水科学与工程实验指导书》</w:t>
      </w:r>
    </w:p>
    <w:p w:rsidR="005F6318" w:rsidRDefault="005F6318" w:rsidP="005F6318">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5F6318" w:rsidRDefault="005F6318" w:rsidP="005F6318">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《水处理实验技术》、《给水工程》、《排水工程》（下册）、《建筑给排水》</w:t>
      </w:r>
    </w:p>
    <w:p w:rsidR="005F6318" w:rsidRDefault="005F6318" w:rsidP="005F6318">
      <w:pPr>
        <w:spacing w:beforeLines="50" w:before="156" w:afterLines="50" w:after="156" w:line="460" w:lineRule="exact"/>
        <w:rPr>
          <w:rFonts w:ascii="黑体" w:eastAsia="黑体" w:hAnsi="黑体"/>
          <w:b/>
          <w:sz w:val="28"/>
          <w:szCs w:val="28"/>
        </w:rPr>
      </w:pPr>
    </w:p>
    <w:p w:rsidR="005F6318" w:rsidRDefault="005F6318" w:rsidP="005F6318">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大纲撰写人：韩文生</w:t>
      </w:r>
    </w:p>
    <w:p w:rsidR="005F6318" w:rsidRDefault="005F6318" w:rsidP="005F6318">
      <w:pPr>
        <w:spacing w:line="360" w:lineRule="auto"/>
        <w:ind w:firstLineChars="1200" w:firstLine="3360"/>
        <w:rPr>
          <w:rFonts w:ascii="仿宋" w:eastAsia="仿宋" w:hAnsi="仿宋"/>
          <w:sz w:val="28"/>
          <w:szCs w:val="28"/>
        </w:rPr>
      </w:pPr>
      <w:r>
        <w:rPr>
          <w:rFonts w:ascii="仿宋" w:eastAsia="仿宋" w:hAnsi="仿宋" w:hint="eastAsia"/>
          <w:sz w:val="28"/>
          <w:szCs w:val="28"/>
        </w:rPr>
        <w:t>负责人：赵红梅</w:t>
      </w:r>
    </w:p>
    <w:p w:rsidR="005F6318" w:rsidRDefault="005F6318" w:rsidP="008B4EA8">
      <w:pPr>
        <w:spacing w:line="360" w:lineRule="auto"/>
        <w:ind w:firstLineChars="1200" w:firstLine="3360"/>
        <w:rPr>
          <w:rFonts w:ascii="仿宋" w:hAnsi="仿宋"/>
          <w:sz w:val="28"/>
          <w:szCs w:val="28"/>
        </w:rPr>
      </w:pPr>
      <w:r>
        <w:rPr>
          <w:rFonts w:ascii="仿宋" w:eastAsia="仿宋" w:hAnsi="仿宋" w:hint="eastAsia"/>
          <w:sz w:val="28"/>
          <w:szCs w:val="28"/>
        </w:rPr>
        <w:t>审核人：杨利伟</w:t>
      </w:r>
      <w:r>
        <w:rPr>
          <w:rFonts w:ascii="仿宋_GB2312" w:hAnsi="微软雅黑" w:hint="eastAsia"/>
          <w:sz w:val="28"/>
          <w:szCs w:val="28"/>
        </w:rPr>
        <w:t xml:space="preserve"> </w:t>
      </w:r>
    </w:p>
    <w:p w:rsidR="005F6318" w:rsidRDefault="005F6318" w:rsidP="005F6318">
      <w:pPr>
        <w:jc w:val="left"/>
        <w:rPr>
          <w:rFonts w:ascii="仿宋" w:eastAsia="仿宋" w:hAnsi="仿宋"/>
          <w:szCs w:val="32"/>
        </w:rPr>
      </w:pPr>
      <w:r>
        <w:rPr>
          <w:rFonts w:ascii="仿宋" w:eastAsia="仿宋" w:hAnsi="仿宋" w:hint="eastAsia"/>
          <w:sz w:val="28"/>
          <w:szCs w:val="28"/>
        </w:rPr>
        <w:t xml:space="preserve">                                         2021年4 月</w:t>
      </w:r>
    </w:p>
    <w:p w:rsidR="00E07285" w:rsidRDefault="00E07285" w:rsidP="00E07285">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《给水排水计算机应用》课程教学大纲</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Times New Roman" w:hAnsi="Times New Roman"/>
          <w:sz w:val="28"/>
          <w:szCs w:val="28"/>
        </w:rPr>
        <w:t>Computer Application in Water Suppl and Sewerage engineering</w:t>
      </w:r>
    </w:p>
    <w:p w:rsidR="00E07285" w:rsidRDefault="00E07285" w:rsidP="00E07285">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Times New Roman" w:hAnsi="Times New Roman"/>
          <w:sz w:val="28"/>
          <w:szCs w:val="28"/>
        </w:rPr>
        <w:t>Z2806230</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w:t>
      </w:r>
    </w:p>
    <w:p w:rsidR="00E07285" w:rsidRDefault="00E07285" w:rsidP="00E07285">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16</w:t>
      </w:r>
      <w:r>
        <w:rPr>
          <w:rFonts w:ascii="仿宋_GB2312" w:hAnsi="仿宋_GB2312" w:cs="仿宋_GB2312" w:hint="eastAsia"/>
          <w:bCs/>
          <w:sz w:val="28"/>
          <w:szCs w:val="28"/>
        </w:rPr>
        <w:t>学时</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适用对象：给排水科学与工程专业</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w:t>
      </w:r>
      <w:r>
        <w:rPr>
          <w:rFonts w:ascii="Times New Roman" w:hAnsi="Times New Roman"/>
          <w:sz w:val="28"/>
          <w:szCs w:val="28"/>
        </w:rPr>
        <w:t>《水质工程学</w:t>
      </w:r>
      <w:r>
        <w:rPr>
          <w:rFonts w:ascii="Times New Roman" w:hAnsi="Times New Roman"/>
          <w:sz w:val="28"/>
          <w:szCs w:val="28"/>
        </w:rPr>
        <w:t>I</w:t>
      </w:r>
      <w:r>
        <w:rPr>
          <w:rFonts w:ascii="Times New Roman" w:hAnsi="Times New Roman"/>
          <w:sz w:val="28"/>
          <w:szCs w:val="28"/>
        </w:rPr>
        <w:t>》、《水质工程学</w:t>
      </w:r>
      <w:r>
        <w:rPr>
          <w:rFonts w:ascii="Times New Roman" w:hAnsi="Times New Roman"/>
          <w:sz w:val="28"/>
          <w:szCs w:val="28"/>
        </w:rPr>
        <w:t>II</w:t>
      </w:r>
      <w:r>
        <w:rPr>
          <w:rFonts w:ascii="Times New Roman" w:hAnsi="Times New Roman"/>
          <w:sz w:val="28"/>
          <w:szCs w:val="28"/>
        </w:rPr>
        <w:t>》、《给水处理理论与技术》、《污水处理理论与技术》、《建筑给水排水工程》、《</w:t>
      </w:r>
      <w:r>
        <w:rPr>
          <w:rFonts w:ascii="Times New Roman" w:hAnsi="Times New Roman"/>
          <w:sz w:val="28"/>
          <w:szCs w:val="28"/>
        </w:rPr>
        <w:t>C</w:t>
      </w:r>
      <w:r>
        <w:rPr>
          <w:rFonts w:ascii="Times New Roman" w:hAnsi="Times New Roman"/>
          <w:sz w:val="28"/>
          <w:szCs w:val="28"/>
        </w:rPr>
        <w:t>程序设计》、《泵及泵站》</w:t>
      </w:r>
    </w:p>
    <w:p w:rsidR="00E07285" w:rsidRDefault="00E07285" w:rsidP="00E07285">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E07285" w:rsidRDefault="00E07285" w:rsidP="00E07285">
      <w:pPr>
        <w:snapToGrid w:val="0"/>
        <w:spacing w:line="560" w:lineRule="exact"/>
        <w:ind w:firstLineChars="200" w:firstLine="560"/>
        <w:rPr>
          <w:rFonts w:ascii="Times New Roman" w:hAnsi="Times New Roman"/>
          <w:sz w:val="28"/>
          <w:szCs w:val="28"/>
        </w:rPr>
      </w:pPr>
      <w:r>
        <w:rPr>
          <w:sz w:val="28"/>
          <w:szCs w:val="28"/>
        </w:rPr>
        <w:t>本课程一门建立在计算机科学基础上，同时，又依赖本专业专业知识的一门实践性能强的</w:t>
      </w:r>
      <w:r>
        <w:rPr>
          <w:rFonts w:ascii="Times New Roman" w:hAnsi="Times New Roman"/>
          <w:sz w:val="28"/>
          <w:szCs w:val="28"/>
        </w:rPr>
        <w:t>专业发展选修课</w:t>
      </w:r>
      <w:r>
        <w:rPr>
          <w:sz w:val="28"/>
          <w:szCs w:val="28"/>
        </w:rPr>
        <w:t>。通过本课程的学习使学生掌握给排水</w:t>
      </w:r>
      <w:r>
        <w:rPr>
          <w:rFonts w:hint="eastAsia"/>
          <w:sz w:val="28"/>
          <w:szCs w:val="28"/>
        </w:rPr>
        <w:t>科学与</w:t>
      </w:r>
      <w:r>
        <w:rPr>
          <w:sz w:val="28"/>
          <w:szCs w:val="28"/>
        </w:rPr>
        <w:t>工程专业计算机应用程序设计的基本理论、基本方法及上机操作的基本知识与技能，具备本专业计算机应用程序的初步设计能力，并将其应用于后续的课程设计及毕业设计</w:t>
      </w:r>
      <w:r>
        <w:rPr>
          <w:sz w:val="28"/>
          <w:szCs w:val="28"/>
        </w:rPr>
        <w:t>(</w:t>
      </w:r>
      <w:r>
        <w:rPr>
          <w:sz w:val="28"/>
          <w:szCs w:val="28"/>
        </w:rPr>
        <w:t>论文</w:t>
      </w:r>
      <w:r>
        <w:rPr>
          <w:sz w:val="28"/>
          <w:szCs w:val="28"/>
        </w:rPr>
        <w:t>)</w:t>
      </w:r>
      <w:r>
        <w:rPr>
          <w:rFonts w:hint="eastAsia"/>
          <w:sz w:val="28"/>
          <w:szCs w:val="28"/>
        </w:rPr>
        <w:t>。</w:t>
      </w:r>
    </w:p>
    <w:p w:rsidR="00E07285" w:rsidRDefault="00E07285" w:rsidP="00E07285">
      <w:pPr>
        <w:snapToGrid w:val="0"/>
        <w:spacing w:line="560" w:lineRule="exact"/>
        <w:ind w:firstLineChars="200" w:firstLine="560"/>
        <w:rPr>
          <w:rFonts w:ascii="Times New Roman" w:hAnsi="Times New Roman"/>
          <w:sz w:val="28"/>
          <w:szCs w:val="28"/>
        </w:rPr>
      </w:pPr>
      <w:r>
        <w:rPr>
          <w:rFonts w:ascii="Times New Roman" w:hAnsi="宋体"/>
          <w:sz w:val="28"/>
          <w:szCs w:val="28"/>
        </w:rPr>
        <w:t>课程主要内容：</w:t>
      </w:r>
      <w:r>
        <w:rPr>
          <w:sz w:val="28"/>
          <w:szCs w:val="28"/>
          <w:shd w:val="clear" w:color="auto" w:fill="FFFFFF"/>
        </w:rPr>
        <w:t>给排水</w:t>
      </w:r>
      <w:r>
        <w:rPr>
          <w:rFonts w:hint="eastAsia"/>
          <w:sz w:val="28"/>
          <w:szCs w:val="28"/>
          <w:shd w:val="clear" w:color="auto" w:fill="FFFFFF"/>
        </w:rPr>
        <w:t>科学与工程专业常见数学问题的计算机求</w:t>
      </w:r>
      <w:r>
        <w:rPr>
          <w:rFonts w:hint="eastAsia"/>
          <w:sz w:val="28"/>
          <w:szCs w:val="28"/>
          <w:shd w:val="clear" w:color="auto" w:fill="FFFFFF"/>
        </w:rPr>
        <w:lastRenderedPageBreak/>
        <w:t>解</w:t>
      </w:r>
      <w:r>
        <w:rPr>
          <w:sz w:val="28"/>
          <w:szCs w:val="28"/>
          <w:shd w:val="clear" w:color="auto" w:fill="FFFFFF"/>
        </w:rPr>
        <w:t>方法</w:t>
      </w:r>
      <w:r>
        <w:rPr>
          <w:rFonts w:hint="eastAsia"/>
          <w:sz w:val="28"/>
          <w:szCs w:val="28"/>
          <w:shd w:val="clear" w:color="auto" w:fill="FFFFFF"/>
        </w:rPr>
        <w:t>（</w:t>
      </w:r>
      <w:r>
        <w:rPr>
          <w:sz w:val="28"/>
          <w:szCs w:val="28"/>
          <w:shd w:val="clear" w:color="auto" w:fill="FFFFFF"/>
        </w:rPr>
        <w:t>一元方程</w:t>
      </w:r>
      <w:r>
        <w:rPr>
          <w:rFonts w:hint="eastAsia"/>
          <w:sz w:val="28"/>
          <w:szCs w:val="28"/>
          <w:shd w:val="clear" w:color="auto" w:fill="FFFFFF"/>
        </w:rPr>
        <w:t>、</w:t>
      </w:r>
      <w:r>
        <w:rPr>
          <w:sz w:val="28"/>
          <w:szCs w:val="28"/>
          <w:shd w:val="clear" w:color="auto" w:fill="FFFFFF"/>
        </w:rPr>
        <w:t>矩阵运算和线性代数方程组求解</w:t>
      </w:r>
      <w:r>
        <w:rPr>
          <w:rFonts w:hint="eastAsia"/>
          <w:sz w:val="28"/>
          <w:szCs w:val="28"/>
          <w:shd w:val="clear" w:color="auto" w:fill="FFFFFF"/>
        </w:rPr>
        <w:t>、</w:t>
      </w:r>
      <w:r>
        <w:rPr>
          <w:sz w:val="28"/>
          <w:szCs w:val="28"/>
          <w:shd w:val="clear" w:color="auto" w:fill="FFFFFF"/>
        </w:rPr>
        <w:t>函数插值与曲线拟合</w:t>
      </w:r>
      <w:r>
        <w:rPr>
          <w:rFonts w:hint="eastAsia"/>
          <w:sz w:val="28"/>
          <w:szCs w:val="28"/>
          <w:shd w:val="clear" w:color="auto" w:fill="FFFFFF"/>
        </w:rPr>
        <w:t>、</w:t>
      </w:r>
      <w:r>
        <w:rPr>
          <w:sz w:val="28"/>
          <w:szCs w:val="28"/>
          <w:shd w:val="clear" w:color="auto" w:fill="FFFFFF"/>
        </w:rPr>
        <w:t>数值积分</w:t>
      </w:r>
      <w:r>
        <w:rPr>
          <w:rFonts w:hint="eastAsia"/>
          <w:sz w:val="28"/>
          <w:szCs w:val="28"/>
          <w:shd w:val="clear" w:color="auto" w:fill="FFFFFF"/>
        </w:rPr>
        <w:t>等）</w:t>
      </w:r>
      <w:r>
        <w:rPr>
          <w:rFonts w:ascii="Times New Roman" w:hAnsi="宋体"/>
          <w:sz w:val="28"/>
          <w:szCs w:val="28"/>
        </w:rPr>
        <w:t>、</w:t>
      </w:r>
      <w:r>
        <w:rPr>
          <w:sz w:val="28"/>
          <w:szCs w:val="28"/>
          <w:shd w:val="clear" w:color="auto" w:fill="FFFFFF"/>
        </w:rPr>
        <w:t>水泵与水泵站</w:t>
      </w:r>
      <w:r>
        <w:rPr>
          <w:rFonts w:hint="eastAsia"/>
          <w:sz w:val="28"/>
          <w:szCs w:val="28"/>
          <w:shd w:val="clear" w:color="auto" w:fill="FFFFFF"/>
        </w:rPr>
        <w:t>问题求解的算法设计及程序实现</w:t>
      </w:r>
      <w:r>
        <w:rPr>
          <w:rFonts w:ascii="Times New Roman" w:hAnsi="宋体"/>
          <w:sz w:val="28"/>
          <w:szCs w:val="28"/>
        </w:rPr>
        <w:t>、</w:t>
      </w:r>
      <w:r>
        <w:rPr>
          <w:sz w:val="28"/>
          <w:szCs w:val="28"/>
          <w:shd w:val="clear" w:color="auto" w:fill="FFFFFF"/>
        </w:rPr>
        <w:t>给水排水管网系统</w:t>
      </w:r>
      <w:r>
        <w:rPr>
          <w:rFonts w:hint="eastAsia"/>
          <w:sz w:val="28"/>
          <w:szCs w:val="28"/>
          <w:shd w:val="clear" w:color="auto" w:fill="FFFFFF"/>
        </w:rPr>
        <w:t>问题求解的算法设计及程序实现</w:t>
      </w:r>
      <w:r>
        <w:rPr>
          <w:rFonts w:ascii="Times New Roman" w:hAnsi="宋体"/>
          <w:sz w:val="28"/>
          <w:szCs w:val="28"/>
        </w:rPr>
        <w:t>。</w:t>
      </w:r>
    </w:p>
    <w:p w:rsidR="00E07285" w:rsidRDefault="00E07285" w:rsidP="00E07285">
      <w:pPr>
        <w:spacing w:line="560" w:lineRule="exact"/>
        <w:ind w:firstLineChars="200" w:firstLine="560"/>
        <w:jc w:val="left"/>
        <w:rPr>
          <w:rFonts w:ascii="宋体" w:eastAsia="宋体" w:hAnsi="宋体"/>
          <w:b/>
          <w:color w:val="FF0000"/>
          <w:sz w:val="21"/>
          <w:szCs w:val="21"/>
        </w:rPr>
      </w:pPr>
      <w:r>
        <w:rPr>
          <w:rFonts w:ascii="Times New Roman" w:hAnsi="宋体"/>
          <w:sz w:val="28"/>
          <w:szCs w:val="28"/>
        </w:rPr>
        <w:t>教学方式采用</w:t>
      </w:r>
      <w:r>
        <w:rPr>
          <w:rFonts w:ascii="Times New Roman" w:hAnsi="Times New Roman"/>
          <w:sz w:val="28"/>
          <w:szCs w:val="28"/>
        </w:rPr>
        <w:t>PPT</w:t>
      </w:r>
      <w:r>
        <w:rPr>
          <w:rFonts w:ascii="Times New Roman" w:hAnsi="宋体" w:hint="eastAsia"/>
          <w:sz w:val="28"/>
          <w:szCs w:val="28"/>
        </w:rPr>
        <w:t>与</w:t>
      </w:r>
      <w:r>
        <w:rPr>
          <w:rFonts w:ascii="Times New Roman" w:hAnsi="宋体"/>
          <w:sz w:val="28"/>
          <w:szCs w:val="28"/>
        </w:rPr>
        <w:t>板书</w:t>
      </w:r>
      <w:r>
        <w:rPr>
          <w:rFonts w:ascii="Times New Roman" w:hAnsi="宋体" w:hint="eastAsia"/>
          <w:sz w:val="28"/>
          <w:szCs w:val="28"/>
        </w:rPr>
        <w:t>结合</w:t>
      </w:r>
      <w:r>
        <w:rPr>
          <w:rFonts w:ascii="Times New Roman" w:hAnsi="宋体"/>
          <w:sz w:val="28"/>
          <w:szCs w:val="28"/>
        </w:rPr>
        <w:t>、</w:t>
      </w:r>
      <w:r>
        <w:rPr>
          <w:rFonts w:ascii="Times New Roman" w:hAnsi="宋体" w:hint="eastAsia"/>
          <w:sz w:val="28"/>
          <w:szCs w:val="28"/>
        </w:rPr>
        <w:t>辅以</w:t>
      </w:r>
      <w:r>
        <w:rPr>
          <w:rFonts w:ascii="Times New Roman" w:hAnsi="宋体"/>
          <w:sz w:val="28"/>
          <w:szCs w:val="28"/>
        </w:rPr>
        <w:t>思考题和练习题等相结合进行授课，</w:t>
      </w:r>
      <w:r>
        <w:rPr>
          <w:rFonts w:ascii="Times New Roman" w:hAnsi="宋体" w:hint="eastAsia"/>
          <w:sz w:val="28"/>
          <w:szCs w:val="28"/>
        </w:rPr>
        <w:t>使学生</w:t>
      </w:r>
      <w:r>
        <w:rPr>
          <w:rFonts w:hint="eastAsia"/>
          <w:sz w:val="28"/>
          <w:szCs w:val="28"/>
        </w:rPr>
        <w:t>掌握</w:t>
      </w:r>
      <w:r>
        <w:rPr>
          <w:sz w:val="28"/>
          <w:szCs w:val="28"/>
        </w:rPr>
        <w:t>应用</w:t>
      </w:r>
      <w:r>
        <w:rPr>
          <w:rFonts w:hint="eastAsia"/>
          <w:sz w:val="28"/>
          <w:szCs w:val="28"/>
        </w:rPr>
        <w:t>计算机解决专业问题</w:t>
      </w:r>
      <w:r>
        <w:rPr>
          <w:sz w:val="28"/>
          <w:szCs w:val="28"/>
        </w:rPr>
        <w:t>的初步能力，</w:t>
      </w:r>
      <w:r>
        <w:rPr>
          <w:rFonts w:hint="eastAsia"/>
          <w:sz w:val="28"/>
          <w:szCs w:val="28"/>
        </w:rPr>
        <w:t>通过</w:t>
      </w:r>
      <w:r>
        <w:rPr>
          <w:sz w:val="28"/>
          <w:szCs w:val="28"/>
        </w:rPr>
        <w:t>将其应用于后续的课程设计及毕业设计</w:t>
      </w:r>
      <w:r>
        <w:rPr>
          <w:rFonts w:hint="eastAsia"/>
          <w:sz w:val="28"/>
          <w:szCs w:val="28"/>
        </w:rPr>
        <w:t>（论文）</w:t>
      </w:r>
      <w:r>
        <w:rPr>
          <w:rFonts w:ascii="Times New Roman" w:hAnsi="宋体"/>
          <w:sz w:val="28"/>
          <w:szCs w:val="28"/>
        </w:rPr>
        <w:t>，使学生具备</w:t>
      </w:r>
      <w:r>
        <w:rPr>
          <w:rFonts w:ascii="Times New Roman" w:hAnsi="宋体" w:hint="eastAsia"/>
          <w:sz w:val="28"/>
          <w:szCs w:val="28"/>
        </w:rPr>
        <w:t>运用计算机解决复杂工程问题的</w:t>
      </w:r>
      <w:r>
        <w:rPr>
          <w:rFonts w:ascii="Times New Roman" w:hAnsi="宋体"/>
          <w:sz w:val="28"/>
          <w:szCs w:val="28"/>
        </w:rPr>
        <w:t>能力。</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E07285" w:rsidRDefault="00E07285" w:rsidP="00E07285">
      <w:pPr>
        <w:pStyle w:val="a3"/>
        <w:spacing w:line="560" w:lineRule="exact"/>
        <w:ind w:firstLine="560"/>
        <w:rPr>
          <w:rFonts w:eastAsia="仿宋_GB2312" w:hAnsi="宋体"/>
          <w:sz w:val="28"/>
          <w:szCs w:val="28"/>
        </w:rPr>
      </w:pPr>
      <w:r>
        <w:rPr>
          <w:rFonts w:eastAsia="仿宋_GB2312" w:hAnsi="宋体"/>
          <w:sz w:val="28"/>
          <w:szCs w:val="28"/>
        </w:rPr>
        <w:t>《给水排水计算机应用》是给排水科学与工程专业的一门专业发展选修课，课程的主要任务是掌握给排水专业中</w:t>
      </w:r>
      <w:r>
        <w:rPr>
          <w:rFonts w:eastAsia="仿宋_GB2312" w:hAnsi="宋体" w:hint="eastAsia"/>
          <w:sz w:val="28"/>
          <w:szCs w:val="28"/>
        </w:rPr>
        <w:t>常见数学问题的</w:t>
      </w:r>
      <w:r>
        <w:rPr>
          <w:rFonts w:eastAsia="仿宋_GB2312" w:hAnsi="宋体"/>
          <w:sz w:val="28"/>
          <w:szCs w:val="28"/>
        </w:rPr>
        <w:t>计算方法及其程序设计，初步掌握用计算机来解决本专业科研、设计与实际工程问题的基本思路、方法和步骤，并培养学生独立设计简单的专业计算程序</w:t>
      </w:r>
      <w:r>
        <w:rPr>
          <w:rFonts w:eastAsia="仿宋_GB2312" w:hAnsi="宋体" w:hint="eastAsia"/>
          <w:sz w:val="28"/>
          <w:szCs w:val="28"/>
        </w:rPr>
        <w:t>。</w:t>
      </w:r>
    </w:p>
    <w:p w:rsidR="00E07285" w:rsidRDefault="00E07285" w:rsidP="00E07285">
      <w:pPr>
        <w:pStyle w:val="a3"/>
        <w:spacing w:line="560" w:lineRule="exact"/>
        <w:ind w:firstLine="560"/>
        <w:rPr>
          <w:rFonts w:eastAsia="仿宋_GB2312" w:hAnsi="宋体"/>
          <w:sz w:val="28"/>
          <w:szCs w:val="28"/>
        </w:rPr>
      </w:pPr>
      <w:r>
        <w:rPr>
          <w:rFonts w:eastAsia="仿宋_GB2312" w:hAnsi="宋体"/>
          <w:sz w:val="28"/>
          <w:szCs w:val="28"/>
        </w:rPr>
        <w:t>通过给排水专业中</w:t>
      </w:r>
      <w:r>
        <w:rPr>
          <w:rFonts w:eastAsia="仿宋_GB2312" w:hAnsi="宋体" w:hint="eastAsia"/>
          <w:sz w:val="28"/>
          <w:szCs w:val="28"/>
        </w:rPr>
        <w:t>常见数学问题计算方法的学习，掌握常见数学问题的算法设计和程序实现；通过对</w:t>
      </w:r>
      <w:r>
        <w:rPr>
          <w:rFonts w:eastAsia="仿宋_GB2312" w:hAnsi="宋体"/>
          <w:sz w:val="28"/>
          <w:szCs w:val="28"/>
        </w:rPr>
        <w:t>无压圆管均匀流</w:t>
      </w:r>
      <w:r>
        <w:rPr>
          <w:rFonts w:eastAsia="仿宋_GB2312" w:hAnsi="宋体" w:hint="eastAsia"/>
          <w:sz w:val="28"/>
          <w:szCs w:val="28"/>
        </w:rPr>
        <w:t>和明渠均匀流</w:t>
      </w:r>
      <w:r>
        <w:rPr>
          <w:rFonts w:eastAsia="仿宋_GB2312" w:hAnsi="宋体"/>
          <w:sz w:val="28"/>
          <w:szCs w:val="28"/>
        </w:rPr>
        <w:t>水力特性计算</w:t>
      </w:r>
      <w:r>
        <w:rPr>
          <w:rFonts w:eastAsia="仿宋_GB2312" w:hAnsi="宋体" w:hint="eastAsia"/>
          <w:sz w:val="28"/>
          <w:szCs w:val="28"/>
        </w:rPr>
        <w:t>，掌握管道和明渠的水力学计算算法设计和程序实现；通过对</w:t>
      </w:r>
      <w:r>
        <w:rPr>
          <w:rFonts w:eastAsia="仿宋_GB2312" w:hAnsi="宋体"/>
          <w:sz w:val="28"/>
          <w:szCs w:val="28"/>
        </w:rPr>
        <w:t>水泵与水泵站</w:t>
      </w:r>
      <w:r>
        <w:rPr>
          <w:rFonts w:eastAsia="仿宋_GB2312" w:hAnsi="宋体" w:hint="eastAsia"/>
          <w:sz w:val="28"/>
          <w:szCs w:val="28"/>
        </w:rPr>
        <w:t>中常见问题的求解，掌握离心泵特性曲线拟合及</w:t>
      </w:r>
      <w:r>
        <w:rPr>
          <w:rFonts w:eastAsia="仿宋_GB2312" w:hAnsi="宋体"/>
          <w:sz w:val="28"/>
          <w:szCs w:val="28"/>
        </w:rPr>
        <w:t>单</w:t>
      </w:r>
      <w:r>
        <w:rPr>
          <w:rFonts w:eastAsia="仿宋_GB2312" w:hAnsi="宋体" w:hint="eastAsia"/>
          <w:sz w:val="28"/>
          <w:szCs w:val="28"/>
        </w:rPr>
        <w:t>（多）</w:t>
      </w:r>
      <w:r>
        <w:rPr>
          <w:rFonts w:eastAsia="仿宋_GB2312" w:hAnsi="宋体"/>
          <w:sz w:val="28"/>
          <w:szCs w:val="28"/>
        </w:rPr>
        <w:t>泵</w:t>
      </w:r>
      <w:r>
        <w:rPr>
          <w:rFonts w:eastAsia="仿宋_GB2312" w:hAnsi="宋体" w:hint="eastAsia"/>
          <w:sz w:val="28"/>
          <w:szCs w:val="28"/>
        </w:rPr>
        <w:t>单（</w:t>
      </w:r>
      <w:r>
        <w:rPr>
          <w:rFonts w:eastAsia="仿宋_GB2312" w:hAnsi="宋体"/>
          <w:sz w:val="28"/>
          <w:szCs w:val="28"/>
        </w:rPr>
        <w:t>多</w:t>
      </w:r>
      <w:r>
        <w:rPr>
          <w:rFonts w:eastAsia="仿宋_GB2312" w:hAnsi="宋体" w:hint="eastAsia"/>
          <w:sz w:val="28"/>
          <w:szCs w:val="28"/>
        </w:rPr>
        <w:t>）</w:t>
      </w:r>
      <w:r>
        <w:rPr>
          <w:rFonts w:eastAsia="仿宋_GB2312" w:hAnsi="宋体"/>
          <w:sz w:val="28"/>
          <w:szCs w:val="28"/>
        </w:rPr>
        <w:t>塔供水系统</w:t>
      </w:r>
      <w:r>
        <w:rPr>
          <w:rFonts w:eastAsia="仿宋_GB2312" w:hAnsi="宋体" w:hint="eastAsia"/>
          <w:sz w:val="28"/>
          <w:szCs w:val="28"/>
        </w:rPr>
        <w:t>工况求解的算法设计和程序实现</w:t>
      </w:r>
      <w:r>
        <w:rPr>
          <w:rFonts w:eastAsia="仿宋_GB2312" w:hAnsi="宋体"/>
          <w:sz w:val="28"/>
          <w:szCs w:val="28"/>
        </w:rPr>
        <w:t>；</w:t>
      </w:r>
      <w:r>
        <w:rPr>
          <w:rFonts w:eastAsia="仿宋_GB2312" w:hAnsi="宋体" w:hint="eastAsia"/>
          <w:sz w:val="28"/>
          <w:szCs w:val="28"/>
        </w:rPr>
        <w:t>通过对</w:t>
      </w:r>
      <w:r>
        <w:rPr>
          <w:rFonts w:eastAsia="仿宋_GB2312" w:hAnsi="宋体"/>
          <w:sz w:val="28"/>
          <w:szCs w:val="28"/>
        </w:rPr>
        <w:t>给水管网系统计算程序</w:t>
      </w:r>
      <w:r>
        <w:rPr>
          <w:rFonts w:eastAsia="仿宋_GB2312" w:hAnsi="宋体" w:hint="eastAsia"/>
          <w:sz w:val="28"/>
          <w:szCs w:val="28"/>
        </w:rPr>
        <w:t>的学习，</w:t>
      </w:r>
      <w:r>
        <w:rPr>
          <w:rFonts w:eastAsia="仿宋_GB2312" w:hAnsi="宋体"/>
          <w:sz w:val="28"/>
          <w:szCs w:val="28"/>
        </w:rPr>
        <w:t>掌握单</w:t>
      </w:r>
      <w:r>
        <w:rPr>
          <w:rFonts w:eastAsia="仿宋_GB2312" w:hAnsi="宋体" w:hint="eastAsia"/>
          <w:sz w:val="28"/>
          <w:szCs w:val="28"/>
        </w:rPr>
        <w:t>（多）</w:t>
      </w:r>
      <w:r>
        <w:rPr>
          <w:rFonts w:eastAsia="仿宋_GB2312" w:hAnsi="宋体"/>
          <w:sz w:val="28"/>
          <w:szCs w:val="28"/>
        </w:rPr>
        <w:t>水源给水管网</w:t>
      </w:r>
      <w:r>
        <w:rPr>
          <w:rFonts w:eastAsia="仿宋_GB2312" w:hAnsi="宋体" w:hint="eastAsia"/>
          <w:sz w:val="28"/>
          <w:szCs w:val="28"/>
        </w:rPr>
        <w:t>工况求解的算法设计和程序实现。</w:t>
      </w:r>
    </w:p>
    <w:p w:rsidR="00E07285" w:rsidRDefault="00E07285"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E07285" w:rsidRDefault="00E07285" w:rsidP="00E07285">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E07285" w:rsidRDefault="00E07285" w:rsidP="00E07285">
      <w:pPr>
        <w:spacing w:line="560" w:lineRule="exact"/>
        <w:ind w:firstLineChars="200" w:firstLine="560"/>
        <w:jc w:val="left"/>
        <w:rPr>
          <w:rFonts w:ascii="Times New Roman" w:hAnsi="宋体"/>
          <w:sz w:val="28"/>
          <w:szCs w:val="28"/>
        </w:rPr>
      </w:pPr>
      <w:r>
        <w:rPr>
          <w:rFonts w:ascii="Times New Roman" w:hAnsi="宋体" w:hint="eastAsia"/>
          <w:sz w:val="28"/>
          <w:szCs w:val="28"/>
        </w:rPr>
        <w:t>知识目标：</w:t>
      </w:r>
      <w:r>
        <w:rPr>
          <w:rFonts w:ascii="Times New Roman" w:hAnsi="宋体"/>
          <w:sz w:val="28"/>
          <w:szCs w:val="28"/>
        </w:rPr>
        <w:t>《给水排水计算机应用》是给水排水工程专业的一门</w:t>
      </w:r>
      <w:r>
        <w:rPr>
          <w:rFonts w:ascii="Times New Roman" w:hAnsi="宋体"/>
          <w:sz w:val="28"/>
          <w:szCs w:val="28"/>
        </w:rPr>
        <w:lastRenderedPageBreak/>
        <w:t>重要的实践性课程。通过本课程的理论教学环节和上机实践环节，使学生初步掌握专业应用程序设计的基本理论、基本步骤、基本方法及上机操作的基本知识与技能，使学生采用</w:t>
      </w:r>
      <w:r>
        <w:rPr>
          <w:rFonts w:ascii="Times New Roman" w:hAnsi="宋体"/>
          <w:sz w:val="28"/>
          <w:szCs w:val="28"/>
        </w:rPr>
        <w:t>1</w:t>
      </w:r>
      <w:r>
        <w:rPr>
          <w:rFonts w:ascii="Times New Roman" w:hAnsi="宋体"/>
          <w:sz w:val="28"/>
          <w:szCs w:val="28"/>
        </w:rPr>
        <w:t>门计算机编程语言，在课程设计、毕业设计（论文）中独立完成专业程序设计，具备初步的专业应用程序设计能力，提高在专业工作中应用计算机的能力。</w:t>
      </w:r>
    </w:p>
    <w:p w:rsidR="00E07285" w:rsidRDefault="00E07285" w:rsidP="00E07285">
      <w:pPr>
        <w:spacing w:line="560" w:lineRule="exact"/>
        <w:ind w:firstLineChars="200" w:firstLine="560"/>
        <w:jc w:val="left"/>
        <w:rPr>
          <w:rFonts w:ascii="Times New Roman" w:hAnsi="宋体"/>
          <w:sz w:val="28"/>
          <w:szCs w:val="28"/>
        </w:rPr>
      </w:pPr>
      <w:r>
        <w:rPr>
          <w:rFonts w:ascii="Times New Roman" w:hAnsi="宋体" w:hint="eastAsia"/>
          <w:sz w:val="28"/>
          <w:szCs w:val="28"/>
        </w:rPr>
        <w:t>能力目标：</w:t>
      </w:r>
      <w:r>
        <w:rPr>
          <w:rFonts w:ascii="Times New Roman" w:hAnsi="宋体"/>
          <w:sz w:val="28"/>
          <w:szCs w:val="28"/>
        </w:rPr>
        <w:t>掌握采用常用计算机算法；掌握采用计算机编程求解给水排水常见问题的步骤与程序；掌握水泵与水泵站常用计算机程序的编制过程和方法；掌握给水管网常用计算机程序的编制过程和方法。</w:t>
      </w:r>
    </w:p>
    <w:p w:rsidR="00E07285" w:rsidRDefault="00E07285" w:rsidP="00E07285">
      <w:pPr>
        <w:spacing w:line="560" w:lineRule="exact"/>
        <w:ind w:firstLineChars="200" w:firstLine="560"/>
        <w:jc w:val="left"/>
        <w:rPr>
          <w:rFonts w:ascii="仿宋_GB2312" w:hAnsi="仿宋_GB2312" w:cs="仿宋_GB2312"/>
          <w:sz w:val="28"/>
          <w:szCs w:val="28"/>
        </w:rPr>
      </w:pPr>
      <w:r>
        <w:rPr>
          <w:rFonts w:ascii="Times New Roman" w:hAnsi="宋体" w:hint="eastAsia"/>
          <w:sz w:val="28"/>
          <w:szCs w:val="28"/>
        </w:rPr>
        <w:t>情感态度与价值观：</w:t>
      </w:r>
      <w:r>
        <w:rPr>
          <w:rFonts w:ascii="仿宋_GB2312" w:hAnsi="仿宋_GB2312" w:cs="仿宋_GB2312" w:hint="eastAsia"/>
          <w:sz w:val="28"/>
          <w:szCs w:val="28"/>
        </w:rPr>
        <w:t>加强对专业素养、弘扬创新精神，树立专业自信和职业责任感，明确自身价值，规划职业发展，激发爱国热情。</w:t>
      </w:r>
    </w:p>
    <w:p w:rsidR="00E07285" w:rsidRDefault="00E07285" w:rsidP="00E07285">
      <w:pPr>
        <w:spacing w:line="560" w:lineRule="exact"/>
        <w:ind w:firstLineChars="200" w:firstLine="560"/>
        <w:jc w:val="left"/>
        <w:rPr>
          <w:rFonts w:ascii="仿宋_GB2312" w:hAnsi="仿宋_GB2312" w:cs="仿宋_GB2312"/>
          <w:b/>
          <w:color w:val="FF0000"/>
          <w:sz w:val="28"/>
          <w:szCs w:val="28"/>
        </w:rPr>
      </w:pPr>
      <w:r>
        <w:rPr>
          <w:rFonts w:ascii="仿宋_GB2312" w:hAnsi="仿宋_GB2312" w:cs="仿宋_GB2312" w:hint="eastAsia"/>
          <w:bCs/>
          <w:sz w:val="28"/>
          <w:szCs w:val="28"/>
        </w:rPr>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507"/>
        <w:gridCol w:w="497"/>
        <w:gridCol w:w="507"/>
        <w:gridCol w:w="507"/>
        <w:gridCol w:w="497"/>
        <w:gridCol w:w="497"/>
        <w:gridCol w:w="507"/>
        <w:gridCol w:w="498"/>
        <w:gridCol w:w="484"/>
        <w:gridCol w:w="515"/>
        <w:gridCol w:w="513"/>
        <w:gridCol w:w="515"/>
      </w:tblGrid>
      <w:tr w:rsidR="00E07285" w:rsidTr="00E07285">
        <w:trPr>
          <w:trHeight w:hRule="exact" w:val="454"/>
          <w:jc w:val="center"/>
        </w:trPr>
        <w:tc>
          <w:tcPr>
            <w:tcW w:w="2743" w:type="dxa"/>
            <w:vMerge w:val="restart"/>
            <w:shd w:val="clear" w:color="auto" w:fill="auto"/>
            <w:vAlign w:val="center"/>
          </w:tcPr>
          <w:p w:rsidR="00E07285" w:rsidRDefault="00E07285" w:rsidP="00E07285">
            <w:pPr>
              <w:spacing w:line="360" w:lineRule="auto"/>
              <w:jc w:val="center"/>
              <w:rPr>
                <w:rFonts w:ascii="Times New Roman" w:hAnsi="Times New Roman"/>
                <w:bCs/>
                <w:sz w:val="28"/>
                <w:szCs w:val="28"/>
              </w:rPr>
            </w:pPr>
            <w:r>
              <w:rPr>
                <w:rFonts w:ascii="Times New Roman" w:hAnsi="Times New Roman"/>
                <w:bCs/>
                <w:sz w:val="28"/>
                <w:szCs w:val="28"/>
              </w:rPr>
              <w:t>课程目标</w:t>
            </w:r>
          </w:p>
        </w:tc>
        <w:tc>
          <w:tcPr>
            <w:tcW w:w="6233" w:type="dxa"/>
            <w:gridSpan w:val="12"/>
            <w:shd w:val="clear" w:color="auto" w:fill="auto"/>
            <w:vAlign w:val="center"/>
          </w:tcPr>
          <w:p w:rsidR="00E07285" w:rsidRDefault="00E07285" w:rsidP="00E07285">
            <w:pPr>
              <w:jc w:val="center"/>
              <w:rPr>
                <w:rFonts w:ascii="Times New Roman" w:hAnsi="Times New Roman"/>
                <w:bCs/>
                <w:sz w:val="28"/>
                <w:szCs w:val="28"/>
              </w:rPr>
            </w:pPr>
            <w:r>
              <w:rPr>
                <w:rFonts w:ascii="Times New Roman" w:hAnsi="Times New Roman"/>
                <w:bCs/>
                <w:sz w:val="28"/>
                <w:szCs w:val="28"/>
              </w:rPr>
              <w:t>毕业要求</w:t>
            </w:r>
          </w:p>
        </w:tc>
      </w:tr>
      <w:tr w:rsidR="00E07285" w:rsidTr="00E07285">
        <w:trPr>
          <w:trHeight w:hRule="exact" w:val="454"/>
          <w:jc w:val="center"/>
        </w:trPr>
        <w:tc>
          <w:tcPr>
            <w:tcW w:w="2743" w:type="dxa"/>
            <w:vMerge/>
            <w:shd w:val="clear" w:color="auto" w:fill="auto"/>
          </w:tcPr>
          <w:p w:rsidR="00E07285" w:rsidRDefault="00E07285" w:rsidP="00E07285">
            <w:pPr>
              <w:spacing w:line="360" w:lineRule="auto"/>
              <w:rPr>
                <w:rFonts w:ascii="Times New Roman" w:hAnsi="Times New Roman"/>
                <w:bCs/>
                <w:sz w:val="28"/>
                <w:szCs w:val="28"/>
              </w:rPr>
            </w:pP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hAnsi="Times New Roman"/>
                <w:bCs/>
                <w:sz w:val="28"/>
                <w:szCs w:val="28"/>
              </w:rPr>
            </w:pPr>
            <w:r>
              <w:rPr>
                <w:rFonts w:ascii="Times New Roman" w:eastAsia="华文中宋" w:hAnsi="Times New Roman"/>
                <w:bCs/>
                <w:sz w:val="28"/>
                <w:szCs w:val="28"/>
              </w:rPr>
              <w:t>1</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hAnsi="Times New Roman"/>
                <w:bCs/>
                <w:sz w:val="28"/>
                <w:szCs w:val="28"/>
              </w:rPr>
            </w:pPr>
            <w:r>
              <w:rPr>
                <w:rFonts w:ascii="Times New Roman" w:eastAsia="华文中宋" w:hAnsi="Times New Roman"/>
                <w:bCs/>
                <w:sz w:val="28"/>
                <w:szCs w:val="28"/>
              </w:rPr>
              <w:t>2</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hAnsi="Times New Roman"/>
                <w:bCs/>
                <w:sz w:val="28"/>
                <w:szCs w:val="28"/>
              </w:rPr>
            </w:pPr>
            <w:r>
              <w:rPr>
                <w:rFonts w:ascii="Times New Roman" w:eastAsia="华文中宋" w:hAnsi="Times New Roman"/>
                <w:bCs/>
                <w:sz w:val="28"/>
                <w:szCs w:val="28"/>
              </w:rPr>
              <w:t>3</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4</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5</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6</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7</w:t>
            </w:r>
          </w:p>
        </w:tc>
        <w:tc>
          <w:tcPr>
            <w:tcW w:w="520"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8</w:t>
            </w:r>
          </w:p>
        </w:tc>
        <w:tc>
          <w:tcPr>
            <w:tcW w:w="520"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9</w:t>
            </w:r>
          </w:p>
        </w:tc>
        <w:tc>
          <w:tcPr>
            <w:tcW w:w="520"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10</w:t>
            </w:r>
          </w:p>
        </w:tc>
        <w:tc>
          <w:tcPr>
            <w:tcW w:w="520"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11</w:t>
            </w:r>
          </w:p>
        </w:tc>
        <w:tc>
          <w:tcPr>
            <w:tcW w:w="520"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12</w:t>
            </w:r>
          </w:p>
        </w:tc>
      </w:tr>
      <w:tr w:rsidR="00E07285" w:rsidTr="00E07285">
        <w:trPr>
          <w:trHeight w:hRule="exact" w:val="454"/>
          <w:jc w:val="center"/>
        </w:trPr>
        <w:tc>
          <w:tcPr>
            <w:tcW w:w="2743" w:type="dxa"/>
            <w:shd w:val="clear" w:color="auto" w:fill="auto"/>
            <w:vAlign w:val="center"/>
          </w:tcPr>
          <w:p w:rsidR="00E07285" w:rsidRDefault="00E07285" w:rsidP="00E07285">
            <w:pPr>
              <w:tabs>
                <w:tab w:val="left" w:pos="6300"/>
              </w:tabs>
              <w:spacing w:line="360" w:lineRule="atLeast"/>
              <w:jc w:val="center"/>
              <w:rPr>
                <w:rFonts w:ascii="Times New Roman" w:hAnsi="Times New Roman"/>
                <w:bCs/>
                <w:sz w:val="28"/>
                <w:szCs w:val="28"/>
              </w:rPr>
            </w:pPr>
            <w:r>
              <w:rPr>
                <w:rFonts w:ascii="Times New Roman" w:hAnsi="Times New Roman"/>
                <w:bCs/>
                <w:sz w:val="28"/>
                <w:szCs w:val="28"/>
              </w:rPr>
              <w:t>知识目标</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M</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H</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H</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L</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H</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p>
        </w:tc>
        <w:tc>
          <w:tcPr>
            <w:tcW w:w="520" w:type="dxa"/>
            <w:shd w:val="clear" w:color="auto" w:fill="auto"/>
          </w:tcPr>
          <w:p w:rsidR="00E07285" w:rsidRDefault="00E07285" w:rsidP="00E07285">
            <w:pPr>
              <w:spacing w:line="360" w:lineRule="auto"/>
              <w:rPr>
                <w:rFonts w:ascii="Times New Roman" w:hAnsi="Times New Roman"/>
                <w:bCs/>
                <w:sz w:val="28"/>
                <w:szCs w:val="28"/>
              </w:rPr>
            </w:pPr>
          </w:p>
        </w:tc>
        <w:tc>
          <w:tcPr>
            <w:tcW w:w="520" w:type="dxa"/>
            <w:shd w:val="clear" w:color="auto" w:fill="auto"/>
          </w:tcPr>
          <w:p w:rsidR="00E07285" w:rsidRDefault="00E07285" w:rsidP="00E07285">
            <w:pPr>
              <w:spacing w:line="360" w:lineRule="auto"/>
              <w:rPr>
                <w:rFonts w:ascii="Times New Roman" w:hAnsi="Times New Roman"/>
                <w:bCs/>
                <w:sz w:val="28"/>
                <w:szCs w:val="28"/>
              </w:rPr>
            </w:pPr>
          </w:p>
        </w:tc>
        <w:tc>
          <w:tcPr>
            <w:tcW w:w="520" w:type="dxa"/>
            <w:shd w:val="clear" w:color="auto" w:fill="auto"/>
          </w:tcPr>
          <w:p w:rsidR="00E07285" w:rsidRDefault="00E07285" w:rsidP="00E07285">
            <w:pPr>
              <w:spacing w:line="360" w:lineRule="auto"/>
              <w:rPr>
                <w:rFonts w:ascii="Times New Roman" w:hAnsi="Times New Roman"/>
                <w:bCs/>
                <w:sz w:val="28"/>
                <w:szCs w:val="28"/>
              </w:rPr>
            </w:pPr>
          </w:p>
        </w:tc>
        <w:tc>
          <w:tcPr>
            <w:tcW w:w="520" w:type="dxa"/>
            <w:shd w:val="clear" w:color="auto" w:fill="auto"/>
          </w:tcPr>
          <w:p w:rsidR="00E07285" w:rsidRDefault="00E07285" w:rsidP="00E07285">
            <w:pPr>
              <w:spacing w:line="360" w:lineRule="auto"/>
              <w:rPr>
                <w:rFonts w:ascii="Times New Roman" w:hAnsi="Times New Roman"/>
                <w:bCs/>
                <w:sz w:val="28"/>
                <w:szCs w:val="28"/>
              </w:rPr>
            </w:pPr>
          </w:p>
        </w:tc>
        <w:tc>
          <w:tcPr>
            <w:tcW w:w="520" w:type="dxa"/>
            <w:shd w:val="clear" w:color="auto" w:fill="auto"/>
          </w:tcPr>
          <w:p w:rsidR="00E07285" w:rsidRDefault="00E07285" w:rsidP="00E07285">
            <w:pPr>
              <w:spacing w:line="360" w:lineRule="auto"/>
              <w:rPr>
                <w:rFonts w:ascii="Times New Roman" w:hAnsi="Times New Roman"/>
                <w:bCs/>
                <w:sz w:val="28"/>
                <w:szCs w:val="28"/>
              </w:rPr>
            </w:pPr>
          </w:p>
        </w:tc>
      </w:tr>
      <w:tr w:rsidR="00E07285" w:rsidTr="00E07285">
        <w:trPr>
          <w:trHeight w:hRule="exact" w:val="454"/>
          <w:jc w:val="center"/>
        </w:trPr>
        <w:tc>
          <w:tcPr>
            <w:tcW w:w="2743" w:type="dxa"/>
            <w:shd w:val="clear" w:color="auto" w:fill="auto"/>
          </w:tcPr>
          <w:p w:rsidR="00E07285" w:rsidRDefault="00E07285" w:rsidP="00E07285">
            <w:pPr>
              <w:tabs>
                <w:tab w:val="left" w:pos="6300"/>
              </w:tabs>
              <w:spacing w:line="360" w:lineRule="atLeast"/>
              <w:jc w:val="center"/>
              <w:rPr>
                <w:rFonts w:ascii="Times New Roman" w:hAnsi="Times New Roman"/>
                <w:bCs/>
                <w:sz w:val="28"/>
                <w:szCs w:val="28"/>
              </w:rPr>
            </w:pPr>
            <w:r>
              <w:rPr>
                <w:rFonts w:ascii="Times New Roman" w:hAnsi="Times New Roman"/>
                <w:bCs/>
                <w:sz w:val="28"/>
                <w:szCs w:val="28"/>
              </w:rPr>
              <w:t>能力目标</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hAnsi="Times New Roman"/>
                <w:bCs/>
                <w:sz w:val="28"/>
                <w:szCs w:val="28"/>
              </w:rPr>
            </w:pPr>
            <w:r>
              <w:rPr>
                <w:rFonts w:ascii="Times New Roman" w:eastAsia="华文中宋" w:hAnsi="Times New Roman"/>
                <w:bCs/>
                <w:sz w:val="28"/>
                <w:szCs w:val="28"/>
              </w:rPr>
              <w:t>H</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hAnsi="Times New Roman"/>
                <w:bCs/>
                <w:sz w:val="28"/>
                <w:szCs w:val="28"/>
              </w:rPr>
            </w:pPr>
            <w:r>
              <w:rPr>
                <w:rFonts w:ascii="Times New Roman" w:eastAsia="华文中宋" w:hAnsi="Times New Roman"/>
                <w:bCs/>
                <w:sz w:val="28"/>
                <w:szCs w:val="28"/>
              </w:rPr>
              <w:t>H</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H</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L</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H</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M</w:t>
            </w:r>
          </w:p>
        </w:tc>
        <w:tc>
          <w:tcPr>
            <w:tcW w:w="520" w:type="dxa"/>
            <w:shd w:val="clear" w:color="auto" w:fill="auto"/>
          </w:tcPr>
          <w:p w:rsidR="00E07285" w:rsidRDefault="00E07285" w:rsidP="00E07285">
            <w:pPr>
              <w:spacing w:line="360" w:lineRule="auto"/>
              <w:rPr>
                <w:rFonts w:ascii="Times New Roman" w:hAnsi="Times New Roman"/>
                <w:bCs/>
                <w:sz w:val="28"/>
                <w:szCs w:val="28"/>
              </w:rPr>
            </w:pPr>
          </w:p>
        </w:tc>
        <w:tc>
          <w:tcPr>
            <w:tcW w:w="520" w:type="dxa"/>
            <w:shd w:val="clear" w:color="auto" w:fill="auto"/>
          </w:tcPr>
          <w:p w:rsidR="00E07285" w:rsidRDefault="00E07285" w:rsidP="00E07285">
            <w:pPr>
              <w:spacing w:line="360" w:lineRule="auto"/>
              <w:rPr>
                <w:rFonts w:ascii="Times New Roman" w:hAnsi="Times New Roman"/>
                <w:bCs/>
                <w:sz w:val="28"/>
                <w:szCs w:val="28"/>
              </w:rPr>
            </w:pPr>
          </w:p>
        </w:tc>
        <w:tc>
          <w:tcPr>
            <w:tcW w:w="520" w:type="dxa"/>
            <w:shd w:val="clear" w:color="auto" w:fill="auto"/>
          </w:tcPr>
          <w:p w:rsidR="00E07285" w:rsidRDefault="00E07285" w:rsidP="00E07285">
            <w:pPr>
              <w:spacing w:line="360" w:lineRule="auto"/>
              <w:rPr>
                <w:rFonts w:ascii="Times New Roman" w:hAnsi="Times New Roman"/>
                <w:bCs/>
                <w:sz w:val="28"/>
                <w:szCs w:val="28"/>
              </w:rPr>
            </w:pPr>
          </w:p>
        </w:tc>
        <w:tc>
          <w:tcPr>
            <w:tcW w:w="520" w:type="dxa"/>
            <w:shd w:val="clear" w:color="auto" w:fill="auto"/>
          </w:tcPr>
          <w:p w:rsidR="00E07285" w:rsidRDefault="00E07285" w:rsidP="00E07285">
            <w:pPr>
              <w:spacing w:line="360" w:lineRule="auto"/>
              <w:rPr>
                <w:rFonts w:ascii="Times New Roman" w:hAnsi="Times New Roman"/>
                <w:bCs/>
                <w:sz w:val="28"/>
                <w:szCs w:val="28"/>
              </w:rPr>
            </w:pPr>
          </w:p>
        </w:tc>
        <w:tc>
          <w:tcPr>
            <w:tcW w:w="520" w:type="dxa"/>
            <w:shd w:val="clear" w:color="auto" w:fill="auto"/>
            <w:vAlign w:val="center"/>
          </w:tcPr>
          <w:p w:rsidR="00E07285" w:rsidRDefault="00E07285" w:rsidP="00E07285">
            <w:pPr>
              <w:spacing w:line="360" w:lineRule="auto"/>
              <w:jc w:val="center"/>
              <w:rPr>
                <w:rFonts w:ascii="Times New Roman" w:hAnsi="Times New Roman"/>
                <w:bCs/>
                <w:sz w:val="28"/>
                <w:szCs w:val="28"/>
              </w:rPr>
            </w:pPr>
            <w:r>
              <w:rPr>
                <w:rFonts w:ascii="Times New Roman" w:eastAsia="华文中宋" w:hAnsi="Times New Roman"/>
                <w:bCs/>
                <w:sz w:val="28"/>
                <w:szCs w:val="28"/>
              </w:rPr>
              <w:t>M</w:t>
            </w:r>
          </w:p>
        </w:tc>
      </w:tr>
      <w:tr w:rsidR="00E07285" w:rsidTr="00E07285">
        <w:trPr>
          <w:trHeight w:hRule="exact" w:val="454"/>
          <w:jc w:val="center"/>
        </w:trPr>
        <w:tc>
          <w:tcPr>
            <w:tcW w:w="2743" w:type="dxa"/>
            <w:shd w:val="clear" w:color="auto" w:fill="auto"/>
          </w:tcPr>
          <w:p w:rsidR="00E07285" w:rsidRDefault="00E07285" w:rsidP="00E07285">
            <w:pPr>
              <w:tabs>
                <w:tab w:val="left" w:pos="6300"/>
              </w:tabs>
              <w:spacing w:line="360" w:lineRule="atLeast"/>
              <w:jc w:val="center"/>
              <w:rPr>
                <w:rFonts w:ascii="Times New Roman" w:hAnsi="Times New Roman"/>
                <w:bCs/>
                <w:sz w:val="28"/>
                <w:szCs w:val="28"/>
              </w:rPr>
            </w:pPr>
            <w:r>
              <w:rPr>
                <w:rFonts w:ascii="Times New Roman" w:hAnsi="Times New Roman"/>
                <w:bCs/>
                <w:sz w:val="28"/>
                <w:szCs w:val="28"/>
              </w:rPr>
              <w:t>情感态度与价值观目标</w:t>
            </w:r>
          </w:p>
        </w:tc>
        <w:tc>
          <w:tcPr>
            <w:tcW w:w="519" w:type="dxa"/>
            <w:shd w:val="clear" w:color="auto" w:fill="auto"/>
            <w:vAlign w:val="center"/>
          </w:tcPr>
          <w:p w:rsidR="00E07285" w:rsidRDefault="00E07285" w:rsidP="00E07285">
            <w:pPr>
              <w:spacing w:line="360" w:lineRule="auto"/>
              <w:jc w:val="center"/>
              <w:rPr>
                <w:rFonts w:ascii="Times New Roman" w:hAnsi="Times New Roman"/>
                <w:bCs/>
                <w:sz w:val="28"/>
                <w:szCs w:val="28"/>
              </w:rPr>
            </w:pPr>
          </w:p>
        </w:tc>
        <w:tc>
          <w:tcPr>
            <w:tcW w:w="519" w:type="dxa"/>
            <w:shd w:val="clear" w:color="auto" w:fill="auto"/>
            <w:vAlign w:val="center"/>
          </w:tcPr>
          <w:p w:rsidR="00E07285" w:rsidRDefault="00E07285" w:rsidP="00E07285">
            <w:pPr>
              <w:spacing w:line="360" w:lineRule="auto"/>
              <w:jc w:val="center"/>
              <w:rPr>
                <w:rFonts w:ascii="Times New Roman" w:hAnsi="Times New Roman"/>
                <w:bCs/>
                <w:sz w:val="28"/>
                <w:szCs w:val="28"/>
              </w:rPr>
            </w:pPr>
            <w:r>
              <w:rPr>
                <w:rFonts w:ascii="Times New Roman" w:hAnsi="Times New Roman"/>
                <w:bCs/>
                <w:sz w:val="28"/>
                <w:szCs w:val="28"/>
              </w:rPr>
              <w:t>H</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M</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r>
              <w:rPr>
                <w:rFonts w:ascii="Times New Roman" w:eastAsia="华文中宋" w:hAnsi="Times New Roman"/>
                <w:bCs/>
                <w:sz w:val="28"/>
                <w:szCs w:val="28"/>
              </w:rPr>
              <w:t>M</w:t>
            </w: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p>
        </w:tc>
        <w:tc>
          <w:tcPr>
            <w:tcW w:w="519" w:type="dxa"/>
            <w:shd w:val="clear" w:color="auto" w:fill="auto"/>
            <w:vAlign w:val="center"/>
          </w:tcPr>
          <w:p w:rsidR="00E07285" w:rsidRDefault="00E07285" w:rsidP="00E07285">
            <w:pPr>
              <w:tabs>
                <w:tab w:val="left" w:pos="6300"/>
              </w:tabs>
              <w:spacing w:line="360" w:lineRule="atLeast"/>
              <w:jc w:val="center"/>
              <w:rPr>
                <w:rFonts w:ascii="Times New Roman" w:eastAsia="华文中宋" w:hAnsi="Times New Roman"/>
                <w:bCs/>
                <w:sz w:val="28"/>
                <w:szCs w:val="28"/>
              </w:rPr>
            </w:pPr>
          </w:p>
        </w:tc>
        <w:tc>
          <w:tcPr>
            <w:tcW w:w="520" w:type="dxa"/>
            <w:shd w:val="clear" w:color="auto" w:fill="auto"/>
            <w:vAlign w:val="center"/>
          </w:tcPr>
          <w:p w:rsidR="00E07285" w:rsidRDefault="00E07285" w:rsidP="00E07285">
            <w:pPr>
              <w:spacing w:line="360" w:lineRule="auto"/>
              <w:jc w:val="center"/>
              <w:rPr>
                <w:rFonts w:ascii="Times New Roman" w:hAnsi="Times New Roman"/>
                <w:bCs/>
                <w:sz w:val="28"/>
                <w:szCs w:val="28"/>
              </w:rPr>
            </w:pPr>
            <w:r>
              <w:rPr>
                <w:rFonts w:ascii="Times New Roman" w:eastAsia="华文中宋" w:hAnsi="Times New Roman"/>
                <w:bCs/>
                <w:sz w:val="28"/>
                <w:szCs w:val="28"/>
              </w:rPr>
              <w:t>H</w:t>
            </w:r>
          </w:p>
        </w:tc>
        <w:tc>
          <w:tcPr>
            <w:tcW w:w="520" w:type="dxa"/>
            <w:shd w:val="clear" w:color="auto" w:fill="auto"/>
          </w:tcPr>
          <w:p w:rsidR="00E07285" w:rsidRDefault="00E07285" w:rsidP="00E07285">
            <w:pPr>
              <w:spacing w:line="360" w:lineRule="auto"/>
              <w:rPr>
                <w:rFonts w:ascii="Times New Roman" w:hAnsi="Times New Roman"/>
                <w:bCs/>
                <w:sz w:val="28"/>
                <w:szCs w:val="28"/>
              </w:rPr>
            </w:pPr>
          </w:p>
        </w:tc>
        <w:tc>
          <w:tcPr>
            <w:tcW w:w="520" w:type="dxa"/>
            <w:shd w:val="clear" w:color="auto" w:fill="auto"/>
          </w:tcPr>
          <w:p w:rsidR="00E07285" w:rsidRDefault="00E07285" w:rsidP="00E07285">
            <w:pPr>
              <w:spacing w:line="360" w:lineRule="auto"/>
              <w:rPr>
                <w:rFonts w:ascii="Times New Roman" w:hAnsi="Times New Roman"/>
                <w:bCs/>
                <w:sz w:val="28"/>
                <w:szCs w:val="28"/>
              </w:rPr>
            </w:pPr>
          </w:p>
        </w:tc>
        <w:tc>
          <w:tcPr>
            <w:tcW w:w="520" w:type="dxa"/>
            <w:shd w:val="clear" w:color="auto" w:fill="auto"/>
          </w:tcPr>
          <w:p w:rsidR="00E07285" w:rsidRDefault="00E07285" w:rsidP="00E07285">
            <w:pPr>
              <w:spacing w:line="360" w:lineRule="auto"/>
              <w:rPr>
                <w:rFonts w:ascii="Times New Roman" w:hAnsi="Times New Roman"/>
                <w:bCs/>
                <w:sz w:val="28"/>
                <w:szCs w:val="28"/>
              </w:rPr>
            </w:pPr>
          </w:p>
        </w:tc>
        <w:tc>
          <w:tcPr>
            <w:tcW w:w="520" w:type="dxa"/>
            <w:shd w:val="clear" w:color="auto" w:fill="auto"/>
          </w:tcPr>
          <w:p w:rsidR="00E07285" w:rsidRDefault="00E07285" w:rsidP="00E07285">
            <w:pPr>
              <w:spacing w:line="360" w:lineRule="auto"/>
              <w:rPr>
                <w:rFonts w:ascii="Times New Roman" w:hAnsi="Times New Roman"/>
                <w:bCs/>
                <w:sz w:val="28"/>
                <w:szCs w:val="28"/>
              </w:rPr>
            </w:pPr>
            <w:r>
              <w:rPr>
                <w:rFonts w:ascii="Times New Roman" w:hAnsi="Times New Roman"/>
                <w:bCs/>
                <w:sz w:val="28"/>
                <w:szCs w:val="28"/>
              </w:rPr>
              <w:t>H</w:t>
            </w:r>
          </w:p>
        </w:tc>
      </w:tr>
    </w:tbl>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E07285" w:rsidRDefault="00E07285" w:rsidP="00E07285">
      <w:pPr>
        <w:spacing w:line="560" w:lineRule="exact"/>
        <w:ind w:firstLineChars="200" w:firstLine="560"/>
        <w:jc w:val="left"/>
        <w:rPr>
          <w:rFonts w:ascii="Times New Roman" w:hAnsi="宋体"/>
          <w:sz w:val="28"/>
          <w:szCs w:val="28"/>
        </w:rPr>
      </w:pPr>
      <w:r>
        <w:rPr>
          <w:rFonts w:ascii="Times New Roman" w:hAnsi="宋体" w:hint="eastAsia"/>
          <w:sz w:val="28"/>
          <w:szCs w:val="28"/>
        </w:rPr>
        <w:t>本课程的重点在于对不同算法的理解、掌握及程序的编制，难点在于单泵多塔供水系统工况数求解、多泵多塔单节点供水系统工况数求解、单水源给水管网水力计算、多水源给水管网水力计算、</w:t>
      </w:r>
    </w:p>
    <w:p w:rsidR="00E07285" w:rsidRDefault="00E07285" w:rsidP="00E07285">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E07285" w:rsidRDefault="00E07285" w:rsidP="00E07285">
      <w:pPr>
        <w:spacing w:line="560" w:lineRule="exact"/>
        <w:ind w:firstLineChars="203" w:firstLine="568"/>
        <w:rPr>
          <w:rFonts w:ascii="仿宋_GB2312" w:hAnsi="仿宋_GB2312" w:cs="仿宋_GB2312"/>
          <w:sz w:val="28"/>
          <w:szCs w:val="28"/>
        </w:rPr>
      </w:pPr>
      <w:r>
        <w:rPr>
          <w:rFonts w:ascii="仿宋_GB2312" w:hAnsi="仿宋_GB2312" w:cs="仿宋_GB2312" w:hint="eastAsia"/>
          <w:sz w:val="28"/>
          <w:szCs w:val="28"/>
        </w:rPr>
        <w:t>《</w:t>
      </w:r>
      <w:r>
        <w:rPr>
          <w:rFonts w:ascii="Times New Roman" w:hAnsi="宋体"/>
          <w:sz w:val="28"/>
          <w:szCs w:val="28"/>
        </w:rPr>
        <w:t>给水排水计算机应用</w:t>
      </w:r>
      <w:r>
        <w:rPr>
          <w:rFonts w:ascii="仿宋_GB2312" w:hAnsi="仿宋_GB2312" w:cs="仿宋_GB2312" w:hint="eastAsia"/>
          <w:sz w:val="28"/>
          <w:szCs w:val="28"/>
        </w:rPr>
        <w:t>》是本专业的一门选修课，计算机作为一</w:t>
      </w:r>
      <w:r>
        <w:rPr>
          <w:rFonts w:ascii="仿宋_GB2312" w:hAnsi="仿宋_GB2312" w:cs="仿宋_GB2312" w:hint="eastAsia"/>
          <w:sz w:val="28"/>
          <w:szCs w:val="28"/>
        </w:rPr>
        <w:lastRenderedPageBreak/>
        <w:t>种工具，已在各行各业中广泛使用。在《</w:t>
      </w:r>
      <w:r>
        <w:rPr>
          <w:rFonts w:ascii="Times New Roman" w:hAnsi="宋体"/>
          <w:sz w:val="28"/>
          <w:szCs w:val="28"/>
        </w:rPr>
        <w:t>给水排水计算机应用</w:t>
      </w:r>
      <w:r>
        <w:rPr>
          <w:rFonts w:ascii="仿宋_GB2312" w:hAnsi="仿宋_GB2312" w:cs="仿宋_GB2312" w:hint="eastAsia"/>
          <w:sz w:val="28"/>
          <w:szCs w:val="28"/>
        </w:rPr>
        <w:t>》课程的讲授过程中，将我国计算机技术的发展和给排水行业计算机软件的发展融入其中，激发青年人的创新能力；同时，从计算机软硬件国产化的角度出发，如“龙芯”的研发，突出我国计算机从业人员打破垄断的艰辛与不易，激励年轻人自强不息，顽强奋斗的精神；此外，针对近年来西方国家，以计算机技术为切入点对我国经济开展的打击的案例，使学生理解自主产权的重要性。</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877"/>
        <w:gridCol w:w="680"/>
        <w:gridCol w:w="3491"/>
        <w:gridCol w:w="2857"/>
      </w:tblGrid>
      <w:tr w:rsidR="00E07285" w:rsidTr="00E07285">
        <w:trPr>
          <w:cantSplit/>
          <w:trHeight w:val="661"/>
        </w:trPr>
        <w:tc>
          <w:tcPr>
            <w:tcW w:w="235"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宋体"/>
                <w:sz w:val="24"/>
                <w:szCs w:val="24"/>
              </w:rPr>
              <w:t>序号</w:t>
            </w:r>
          </w:p>
        </w:tc>
        <w:tc>
          <w:tcPr>
            <w:tcW w:w="528"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宋体"/>
                <w:sz w:val="24"/>
                <w:szCs w:val="24"/>
              </w:rPr>
              <w:t>章</w:t>
            </w:r>
            <w:r>
              <w:rPr>
                <w:rFonts w:ascii="Times New Roman" w:hAnsi="Times New Roman"/>
                <w:sz w:val="24"/>
                <w:szCs w:val="24"/>
              </w:rPr>
              <w:t xml:space="preserve">  </w:t>
            </w:r>
            <w:r>
              <w:rPr>
                <w:rFonts w:ascii="Times New Roman" w:hAnsi="宋体"/>
                <w:sz w:val="24"/>
                <w:szCs w:val="24"/>
              </w:rPr>
              <w:t>节</w:t>
            </w:r>
          </w:p>
        </w:tc>
        <w:tc>
          <w:tcPr>
            <w:tcW w:w="410"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宋体"/>
                <w:sz w:val="24"/>
                <w:szCs w:val="24"/>
              </w:rPr>
              <w:t>参考学时</w:t>
            </w:r>
          </w:p>
        </w:tc>
        <w:tc>
          <w:tcPr>
            <w:tcW w:w="2103"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宋体"/>
                <w:sz w:val="24"/>
                <w:szCs w:val="24"/>
              </w:rPr>
              <w:t>教学内容</w:t>
            </w:r>
          </w:p>
        </w:tc>
        <w:tc>
          <w:tcPr>
            <w:tcW w:w="1721"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宋体"/>
                <w:sz w:val="24"/>
                <w:szCs w:val="24"/>
              </w:rPr>
              <w:t>基本要求</w:t>
            </w:r>
          </w:p>
        </w:tc>
      </w:tr>
      <w:tr w:rsidR="00E07285" w:rsidTr="00E07285">
        <w:trPr>
          <w:trHeight w:val="1915"/>
        </w:trPr>
        <w:tc>
          <w:tcPr>
            <w:tcW w:w="235"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Times New Roman"/>
                <w:sz w:val="24"/>
                <w:szCs w:val="24"/>
              </w:rPr>
              <w:t>1</w:t>
            </w:r>
          </w:p>
        </w:tc>
        <w:tc>
          <w:tcPr>
            <w:tcW w:w="528" w:type="pct"/>
            <w:vAlign w:val="center"/>
          </w:tcPr>
          <w:p w:rsidR="00E07285" w:rsidRDefault="00E07285" w:rsidP="005F6318">
            <w:pPr>
              <w:numPr>
                <w:ilvl w:val="0"/>
                <w:numId w:val="45"/>
              </w:numPr>
              <w:adjustRightInd w:val="0"/>
              <w:snapToGrid w:val="0"/>
              <w:spacing w:line="560" w:lineRule="exact"/>
              <w:jc w:val="center"/>
              <w:rPr>
                <w:rFonts w:ascii="Times New Roman" w:hAnsi="Times New Roman"/>
                <w:sz w:val="24"/>
                <w:szCs w:val="24"/>
              </w:rPr>
            </w:pPr>
            <w:r>
              <w:rPr>
                <w:rFonts w:ascii="Times New Roman" w:hAnsi="宋体" w:hint="eastAsia"/>
                <w:sz w:val="24"/>
                <w:szCs w:val="24"/>
              </w:rPr>
              <w:t>绪论</w:t>
            </w:r>
          </w:p>
          <w:p w:rsidR="00E07285" w:rsidRDefault="00E07285" w:rsidP="005F6318">
            <w:pPr>
              <w:numPr>
                <w:ilvl w:val="0"/>
                <w:numId w:val="45"/>
              </w:numPr>
              <w:adjustRightInd w:val="0"/>
              <w:snapToGrid w:val="0"/>
              <w:spacing w:line="560" w:lineRule="exact"/>
              <w:jc w:val="center"/>
              <w:rPr>
                <w:rFonts w:ascii="Times New Roman" w:hAnsi="Times New Roman"/>
                <w:sz w:val="24"/>
                <w:szCs w:val="24"/>
              </w:rPr>
            </w:pPr>
            <w:r>
              <w:rPr>
                <w:sz w:val="24"/>
                <w:szCs w:val="24"/>
                <w:shd w:val="clear" w:color="auto" w:fill="FFFFFF"/>
              </w:rPr>
              <w:t>给水排水常用计算方法</w:t>
            </w:r>
          </w:p>
        </w:tc>
        <w:tc>
          <w:tcPr>
            <w:tcW w:w="410"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Times New Roman" w:hint="eastAsia"/>
                <w:sz w:val="24"/>
                <w:szCs w:val="24"/>
              </w:rPr>
              <w:t>6</w:t>
            </w:r>
          </w:p>
        </w:tc>
        <w:tc>
          <w:tcPr>
            <w:tcW w:w="2103" w:type="pct"/>
            <w:vAlign w:val="center"/>
          </w:tcPr>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1.1</w:t>
            </w:r>
            <w:r>
              <w:rPr>
                <w:sz w:val="24"/>
                <w:szCs w:val="24"/>
                <w:shd w:val="clear" w:color="auto" w:fill="FFFFFF"/>
              </w:rPr>
              <w:t>计算机在给排水中的应用概述</w:t>
            </w:r>
          </w:p>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1.2</w:t>
            </w:r>
            <w:r>
              <w:rPr>
                <w:sz w:val="24"/>
                <w:szCs w:val="24"/>
                <w:shd w:val="clear" w:color="auto" w:fill="FFFFFF"/>
              </w:rPr>
              <w:t>算法与误差</w:t>
            </w:r>
          </w:p>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2.1</w:t>
            </w:r>
            <w:r>
              <w:rPr>
                <w:sz w:val="24"/>
                <w:szCs w:val="24"/>
                <w:shd w:val="clear" w:color="auto" w:fill="FFFFFF"/>
              </w:rPr>
              <w:t>解一元方程</w:t>
            </w:r>
          </w:p>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2.2</w:t>
            </w:r>
            <w:r>
              <w:rPr>
                <w:sz w:val="24"/>
                <w:szCs w:val="24"/>
                <w:shd w:val="clear" w:color="auto" w:fill="FFFFFF"/>
              </w:rPr>
              <w:t>矩阵运算和线性代数方程组求解</w:t>
            </w:r>
          </w:p>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2.3</w:t>
            </w:r>
            <w:r>
              <w:rPr>
                <w:sz w:val="24"/>
                <w:szCs w:val="24"/>
                <w:shd w:val="clear" w:color="auto" w:fill="FFFFFF"/>
              </w:rPr>
              <w:t>函数插值与曲线拟合</w:t>
            </w:r>
          </w:p>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2.4</w:t>
            </w:r>
            <w:r>
              <w:rPr>
                <w:sz w:val="24"/>
                <w:szCs w:val="24"/>
                <w:shd w:val="clear" w:color="auto" w:fill="FFFFFF"/>
              </w:rPr>
              <w:t>数值积分</w:t>
            </w:r>
          </w:p>
        </w:tc>
        <w:tc>
          <w:tcPr>
            <w:tcW w:w="1721" w:type="pct"/>
            <w:vAlign w:val="center"/>
          </w:tcPr>
          <w:p w:rsidR="00E07285" w:rsidRDefault="00E07285" w:rsidP="005F6318">
            <w:pPr>
              <w:numPr>
                <w:ilvl w:val="0"/>
                <w:numId w:val="46"/>
              </w:numPr>
              <w:tabs>
                <w:tab w:val="clear" w:pos="312"/>
                <w:tab w:val="left" w:pos="220"/>
              </w:tabs>
              <w:adjustRightInd w:val="0"/>
              <w:snapToGrid w:val="0"/>
              <w:spacing w:line="560" w:lineRule="exact"/>
              <w:jc w:val="left"/>
              <w:rPr>
                <w:rFonts w:ascii="Times New Roman" w:hAnsi="Times New Roman"/>
                <w:sz w:val="24"/>
                <w:szCs w:val="24"/>
              </w:rPr>
            </w:pPr>
            <w:r>
              <w:rPr>
                <w:sz w:val="24"/>
                <w:szCs w:val="24"/>
              </w:rPr>
              <w:t>了解计算机在排水专业中的应用与发展趋势</w:t>
            </w:r>
            <w:r>
              <w:rPr>
                <w:rFonts w:ascii="Times New Roman" w:hAnsi="宋体"/>
                <w:sz w:val="24"/>
                <w:szCs w:val="24"/>
              </w:rPr>
              <w:t>；</w:t>
            </w:r>
          </w:p>
          <w:p w:rsidR="00E07285" w:rsidRDefault="00E07285" w:rsidP="005F6318">
            <w:pPr>
              <w:numPr>
                <w:ilvl w:val="0"/>
                <w:numId w:val="46"/>
              </w:numPr>
              <w:tabs>
                <w:tab w:val="clear" w:pos="312"/>
                <w:tab w:val="left" w:pos="220"/>
              </w:tabs>
              <w:adjustRightInd w:val="0"/>
              <w:snapToGrid w:val="0"/>
              <w:spacing w:line="560" w:lineRule="exact"/>
              <w:jc w:val="left"/>
              <w:rPr>
                <w:rFonts w:ascii="Times New Roman" w:hAnsi="Times New Roman"/>
                <w:sz w:val="24"/>
                <w:szCs w:val="24"/>
              </w:rPr>
            </w:pPr>
            <w:r>
              <w:rPr>
                <w:rFonts w:ascii="Times New Roman" w:hAnsi="宋体" w:hint="eastAsia"/>
                <w:sz w:val="24"/>
                <w:szCs w:val="24"/>
              </w:rPr>
              <w:t>掌握计算机运算过程中误差的产生及消除方法</w:t>
            </w:r>
            <w:r>
              <w:rPr>
                <w:rFonts w:ascii="Times New Roman" w:hAnsi="宋体"/>
                <w:sz w:val="24"/>
                <w:szCs w:val="24"/>
              </w:rPr>
              <w:t>；</w:t>
            </w:r>
          </w:p>
          <w:p w:rsidR="00E07285" w:rsidRDefault="00E07285" w:rsidP="005F6318">
            <w:pPr>
              <w:numPr>
                <w:ilvl w:val="0"/>
                <w:numId w:val="46"/>
              </w:numPr>
              <w:tabs>
                <w:tab w:val="clear" w:pos="312"/>
                <w:tab w:val="left" w:pos="220"/>
              </w:tabs>
              <w:adjustRightInd w:val="0"/>
              <w:snapToGrid w:val="0"/>
              <w:spacing w:line="560" w:lineRule="exact"/>
              <w:jc w:val="left"/>
              <w:rPr>
                <w:rFonts w:ascii="Times New Roman" w:hAnsi="Times New Roman"/>
                <w:sz w:val="24"/>
                <w:szCs w:val="24"/>
              </w:rPr>
            </w:pPr>
            <w:r>
              <w:rPr>
                <w:sz w:val="24"/>
                <w:szCs w:val="24"/>
              </w:rPr>
              <w:t>掌握给排水专业中常用数值计算方法及其程序设计</w:t>
            </w:r>
          </w:p>
        </w:tc>
      </w:tr>
      <w:tr w:rsidR="00E07285" w:rsidTr="00E07285">
        <w:trPr>
          <w:trHeight w:val="1368"/>
        </w:trPr>
        <w:tc>
          <w:tcPr>
            <w:tcW w:w="235" w:type="pct"/>
            <w:vAlign w:val="center"/>
          </w:tcPr>
          <w:p w:rsidR="00E07285" w:rsidRDefault="00E07285" w:rsidP="00E07285">
            <w:pPr>
              <w:adjustRightInd w:val="0"/>
              <w:snapToGrid w:val="0"/>
              <w:spacing w:line="560" w:lineRule="exact"/>
              <w:jc w:val="center"/>
              <w:rPr>
                <w:rFonts w:ascii="Times New Roman" w:hAnsi="Times New Roman"/>
                <w:sz w:val="24"/>
                <w:szCs w:val="24"/>
              </w:rPr>
            </w:pPr>
          </w:p>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Times New Roman"/>
                <w:sz w:val="24"/>
                <w:szCs w:val="24"/>
              </w:rPr>
              <w:t>2</w:t>
            </w:r>
          </w:p>
        </w:tc>
        <w:tc>
          <w:tcPr>
            <w:tcW w:w="528"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宋体"/>
                <w:sz w:val="24"/>
                <w:szCs w:val="24"/>
              </w:rPr>
              <w:t>第</w:t>
            </w:r>
            <w:r>
              <w:rPr>
                <w:rFonts w:ascii="Times New Roman" w:hAnsi="宋体" w:hint="eastAsia"/>
                <w:sz w:val="24"/>
                <w:szCs w:val="24"/>
              </w:rPr>
              <w:t>三</w:t>
            </w:r>
            <w:r>
              <w:rPr>
                <w:rFonts w:ascii="Times New Roman" w:hAnsi="宋体"/>
                <w:sz w:val="24"/>
                <w:szCs w:val="24"/>
              </w:rPr>
              <w:t>章</w:t>
            </w:r>
          </w:p>
          <w:p w:rsidR="00E07285" w:rsidRDefault="00E07285" w:rsidP="00E07285">
            <w:pPr>
              <w:adjustRightInd w:val="0"/>
              <w:snapToGrid w:val="0"/>
              <w:spacing w:line="560" w:lineRule="exact"/>
              <w:jc w:val="center"/>
              <w:rPr>
                <w:rFonts w:ascii="Times New Roman" w:hAnsi="Times New Roman"/>
                <w:sz w:val="24"/>
                <w:szCs w:val="24"/>
              </w:rPr>
            </w:pPr>
            <w:r>
              <w:rPr>
                <w:sz w:val="24"/>
                <w:szCs w:val="24"/>
                <w:shd w:val="clear" w:color="auto" w:fill="FFFFFF"/>
              </w:rPr>
              <w:t>水力学计</w:t>
            </w:r>
            <w:r>
              <w:rPr>
                <w:sz w:val="24"/>
                <w:szCs w:val="24"/>
                <w:shd w:val="clear" w:color="auto" w:fill="FFFFFF"/>
              </w:rPr>
              <w:lastRenderedPageBreak/>
              <w:t>算程序举例</w:t>
            </w:r>
          </w:p>
        </w:tc>
        <w:tc>
          <w:tcPr>
            <w:tcW w:w="410"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Times New Roman" w:hint="eastAsia"/>
                <w:sz w:val="24"/>
                <w:szCs w:val="24"/>
              </w:rPr>
              <w:lastRenderedPageBreak/>
              <w:t>2</w:t>
            </w:r>
          </w:p>
        </w:tc>
        <w:tc>
          <w:tcPr>
            <w:tcW w:w="2103" w:type="pct"/>
            <w:vAlign w:val="center"/>
          </w:tcPr>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3.1</w:t>
            </w:r>
            <w:r>
              <w:rPr>
                <w:sz w:val="24"/>
                <w:szCs w:val="24"/>
                <w:shd w:val="clear" w:color="auto" w:fill="FFFFFF"/>
              </w:rPr>
              <w:t>无压圆管均匀流水力特性计算</w:t>
            </w:r>
          </w:p>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3.2</w:t>
            </w:r>
            <w:r>
              <w:rPr>
                <w:sz w:val="24"/>
                <w:szCs w:val="24"/>
                <w:shd w:val="clear" w:color="auto" w:fill="FFFFFF"/>
              </w:rPr>
              <w:t>明渠均匀流水力计算</w:t>
            </w:r>
          </w:p>
        </w:tc>
        <w:tc>
          <w:tcPr>
            <w:tcW w:w="1721" w:type="pct"/>
            <w:vAlign w:val="center"/>
          </w:tcPr>
          <w:p w:rsidR="00E07285" w:rsidRDefault="00E07285" w:rsidP="00E07285">
            <w:pPr>
              <w:tabs>
                <w:tab w:val="left" w:pos="220"/>
              </w:tabs>
              <w:adjustRightInd w:val="0"/>
              <w:snapToGrid w:val="0"/>
              <w:spacing w:line="560" w:lineRule="exact"/>
              <w:jc w:val="left"/>
              <w:rPr>
                <w:rFonts w:ascii="Times New Roman" w:hAnsi="Times New Roman"/>
                <w:sz w:val="24"/>
                <w:szCs w:val="24"/>
              </w:rPr>
            </w:pPr>
            <w:r>
              <w:rPr>
                <w:rFonts w:ascii="Times New Roman" w:hAnsi="宋体" w:hint="eastAsia"/>
                <w:sz w:val="24"/>
                <w:szCs w:val="24"/>
              </w:rPr>
              <w:t>掌握管道和明渠的水力学计算算法设计和程序实现</w:t>
            </w:r>
          </w:p>
        </w:tc>
      </w:tr>
      <w:tr w:rsidR="00E07285" w:rsidTr="00E07285">
        <w:trPr>
          <w:trHeight w:val="274"/>
        </w:trPr>
        <w:tc>
          <w:tcPr>
            <w:tcW w:w="235"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Times New Roman"/>
                <w:sz w:val="24"/>
                <w:szCs w:val="24"/>
              </w:rPr>
              <w:t>3</w:t>
            </w:r>
          </w:p>
        </w:tc>
        <w:tc>
          <w:tcPr>
            <w:tcW w:w="528"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宋体"/>
                <w:sz w:val="24"/>
                <w:szCs w:val="24"/>
              </w:rPr>
              <w:t>第四章</w:t>
            </w:r>
          </w:p>
          <w:p w:rsidR="00E07285" w:rsidRDefault="00E07285" w:rsidP="00E07285">
            <w:pPr>
              <w:adjustRightInd w:val="0"/>
              <w:snapToGrid w:val="0"/>
              <w:spacing w:line="560" w:lineRule="exact"/>
              <w:jc w:val="center"/>
              <w:rPr>
                <w:rFonts w:ascii="Times New Roman" w:hAnsi="Times New Roman"/>
                <w:sz w:val="24"/>
                <w:szCs w:val="24"/>
              </w:rPr>
            </w:pPr>
            <w:r>
              <w:rPr>
                <w:sz w:val="24"/>
                <w:szCs w:val="24"/>
                <w:shd w:val="clear" w:color="auto" w:fill="FFFFFF"/>
              </w:rPr>
              <w:t>水泵与水泵站计算程序举例</w:t>
            </w:r>
          </w:p>
          <w:p w:rsidR="00E07285" w:rsidRDefault="00E07285" w:rsidP="00E07285">
            <w:pPr>
              <w:adjustRightInd w:val="0"/>
              <w:snapToGrid w:val="0"/>
              <w:spacing w:line="560" w:lineRule="exact"/>
              <w:jc w:val="center"/>
              <w:rPr>
                <w:rFonts w:ascii="Times New Roman" w:hAnsi="Times New Roman"/>
                <w:sz w:val="24"/>
                <w:szCs w:val="24"/>
              </w:rPr>
            </w:pPr>
          </w:p>
        </w:tc>
        <w:tc>
          <w:tcPr>
            <w:tcW w:w="410"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Times New Roman"/>
                <w:sz w:val="24"/>
                <w:szCs w:val="24"/>
              </w:rPr>
              <w:t>4</w:t>
            </w:r>
          </w:p>
        </w:tc>
        <w:tc>
          <w:tcPr>
            <w:tcW w:w="2103" w:type="pct"/>
            <w:vAlign w:val="center"/>
          </w:tcPr>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4.1</w:t>
            </w:r>
            <w:r>
              <w:rPr>
                <w:sz w:val="24"/>
                <w:szCs w:val="24"/>
                <w:shd w:val="clear" w:color="auto" w:fill="FFFFFF"/>
              </w:rPr>
              <w:t>离心泵特性曲线拟合</w:t>
            </w:r>
          </w:p>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4.2</w:t>
            </w:r>
            <w:r>
              <w:rPr>
                <w:sz w:val="24"/>
                <w:szCs w:val="24"/>
                <w:shd w:val="clear" w:color="auto" w:fill="FFFFFF"/>
              </w:rPr>
              <w:t>单泵多塔供水系统工况数解算例</w:t>
            </w:r>
          </w:p>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4.3</w:t>
            </w:r>
            <w:r>
              <w:rPr>
                <w:sz w:val="24"/>
                <w:szCs w:val="24"/>
                <w:shd w:val="clear" w:color="auto" w:fill="FFFFFF"/>
              </w:rPr>
              <w:t>多泵多塔单节点供水系统工况分析</w:t>
            </w:r>
          </w:p>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4.4</w:t>
            </w:r>
            <w:r>
              <w:rPr>
                <w:sz w:val="24"/>
                <w:szCs w:val="24"/>
                <w:shd w:val="clear" w:color="auto" w:fill="FFFFFF"/>
              </w:rPr>
              <w:t>多泵多塔多节点供水系统工况分析</w:t>
            </w:r>
          </w:p>
        </w:tc>
        <w:tc>
          <w:tcPr>
            <w:tcW w:w="1721" w:type="pct"/>
            <w:vAlign w:val="center"/>
          </w:tcPr>
          <w:p w:rsidR="00E07285" w:rsidRDefault="00E07285" w:rsidP="005F6318">
            <w:pPr>
              <w:numPr>
                <w:ilvl w:val="0"/>
                <w:numId w:val="48"/>
              </w:numPr>
              <w:tabs>
                <w:tab w:val="clear" w:pos="312"/>
                <w:tab w:val="left" w:pos="220"/>
              </w:tabs>
              <w:adjustRightInd w:val="0"/>
              <w:snapToGrid w:val="0"/>
              <w:spacing w:line="560" w:lineRule="exact"/>
              <w:rPr>
                <w:rFonts w:ascii="Times New Roman" w:hAnsi="Times New Roman"/>
                <w:sz w:val="24"/>
                <w:szCs w:val="24"/>
              </w:rPr>
            </w:pPr>
            <w:r>
              <w:rPr>
                <w:rFonts w:ascii="Times New Roman" w:hAnsi="宋体" w:hint="eastAsia"/>
                <w:sz w:val="24"/>
                <w:szCs w:val="24"/>
              </w:rPr>
              <w:t>掌握离心泵特性曲线拟合的算法设计和程序实现</w:t>
            </w:r>
            <w:r>
              <w:rPr>
                <w:rFonts w:ascii="Times New Roman" w:hAnsi="宋体"/>
                <w:sz w:val="24"/>
                <w:szCs w:val="24"/>
              </w:rPr>
              <w:t>；</w:t>
            </w:r>
          </w:p>
          <w:p w:rsidR="00E07285" w:rsidRDefault="00E07285" w:rsidP="005F6318">
            <w:pPr>
              <w:numPr>
                <w:ilvl w:val="0"/>
                <w:numId w:val="48"/>
              </w:numPr>
              <w:tabs>
                <w:tab w:val="clear" w:pos="312"/>
                <w:tab w:val="left" w:pos="220"/>
              </w:tabs>
              <w:adjustRightInd w:val="0"/>
              <w:snapToGrid w:val="0"/>
              <w:spacing w:line="560" w:lineRule="exact"/>
              <w:rPr>
                <w:rFonts w:ascii="Times New Roman" w:hAnsi="Times New Roman"/>
                <w:sz w:val="24"/>
                <w:szCs w:val="24"/>
              </w:rPr>
            </w:pPr>
            <w:r>
              <w:rPr>
                <w:rFonts w:ascii="Times New Roman" w:hAnsi="宋体" w:hint="eastAsia"/>
                <w:sz w:val="24"/>
                <w:szCs w:val="24"/>
              </w:rPr>
              <w:t>掌握</w:t>
            </w:r>
            <w:r>
              <w:rPr>
                <w:sz w:val="24"/>
                <w:szCs w:val="24"/>
                <w:shd w:val="clear" w:color="auto" w:fill="FFFFFF"/>
              </w:rPr>
              <w:t>单</w:t>
            </w:r>
            <w:r>
              <w:rPr>
                <w:rFonts w:hint="eastAsia"/>
                <w:sz w:val="24"/>
                <w:szCs w:val="24"/>
                <w:shd w:val="clear" w:color="auto" w:fill="FFFFFF"/>
              </w:rPr>
              <w:t>（多）</w:t>
            </w:r>
            <w:r>
              <w:rPr>
                <w:sz w:val="24"/>
                <w:szCs w:val="24"/>
                <w:shd w:val="clear" w:color="auto" w:fill="FFFFFF"/>
              </w:rPr>
              <w:t>泵</w:t>
            </w:r>
            <w:r>
              <w:rPr>
                <w:rFonts w:hint="eastAsia"/>
                <w:sz w:val="24"/>
                <w:szCs w:val="24"/>
                <w:shd w:val="clear" w:color="auto" w:fill="FFFFFF"/>
              </w:rPr>
              <w:t>单（</w:t>
            </w:r>
            <w:r>
              <w:rPr>
                <w:sz w:val="24"/>
                <w:szCs w:val="24"/>
                <w:shd w:val="clear" w:color="auto" w:fill="FFFFFF"/>
              </w:rPr>
              <w:t>多</w:t>
            </w:r>
            <w:r>
              <w:rPr>
                <w:rFonts w:hint="eastAsia"/>
                <w:sz w:val="24"/>
                <w:szCs w:val="24"/>
                <w:shd w:val="clear" w:color="auto" w:fill="FFFFFF"/>
              </w:rPr>
              <w:t>）</w:t>
            </w:r>
            <w:r>
              <w:rPr>
                <w:sz w:val="24"/>
                <w:szCs w:val="24"/>
                <w:shd w:val="clear" w:color="auto" w:fill="FFFFFF"/>
              </w:rPr>
              <w:t>塔供水系统</w:t>
            </w:r>
            <w:r>
              <w:rPr>
                <w:rFonts w:hint="eastAsia"/>
                <w:sz w:val="24"/>
                <w:szCs w:val="24"/>
                <w:shd w:val="clear" w:color="auto" w:fill="FFFFFF"/>
              </w:rPr>
              <w:t>工况求解</w:t>
            </w:r>
            <w:r>
              <w:rPr>
                <w:rFonts w:ascii="Times New Roman" w:hAnsi="宋体" w:hint="eastAsia"/>
                <w:sz w:val="24"/>
                <w:szCs w:val="24"/>
              </w:rPr>
              <w:t>的算法设计和程序实现</w:t>
            </w:r>
            <w:r>
              <w:rPr>
                <w:rFonts w:ascii="Times New Roman" w:hAnsi="宋体"/>
                <w:sz w:val="24"/>
                <w:szCs w:val="24"/>
              </w:rPr>
              <w:t>；</w:t>
            </w:r>
          </w:p>
        </w:tc>
      </w:tr>
      <w:tr w:rsidR="00E07285" w:rsidTr="00E07285">
        <w:trPr>
          <w:trHeight w:val="1190"/>
        </w:trPr>
        <w:tc>
          <w:tcPr>
            <w:tcW w:w="235"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Times New Roman"/>
                <w:sz w:val="24"/>
                <w:szCs w:val="24"/>
              </w:rPr>
              <w:t>4</w:t>
            </w:r>
          </w:p>
        </w:tc>
        <w:tc>
          <w:tcPr>
            <w:tcW w:w="528"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宋体"/>
                <w:sz w:val="24"/>
                <w:szCs w:val="24"/>
              </w:rPr>
              <w:t>第五章</w:t>
            </w:r>
          </w:p>
          <w:p w:rsidR="00E07285" w:rsidRDefault="00E07285" w:rsidP="00E07285">
            <w:pPr>
              <w:adjustRightInd w:val="0"/>
              <w:snapToGrid w:val="0"/>
              <w:spacing w:line="560" w:lineRule="exact"/>
              <w:jc w:val="center"/>
              <w:rPr>
                <w:rFonts w:ascii="Times New Roman" w:hAnsi="Times New Roman"/>
                <w:sz w:val="24"/>
                <w:szCs w:val="24"/>
              </w:rPr>
            </w:pPr>
            <w:r>
              <w:rPr>
                <w:sz w:val="24"/>
                <w:szCs w:val="24"/>
                <w:shd w:val="clear" w:color="auto" w:fill="FFFFFF"/>
              </w:rPr>
              <w:t>给水管网系统计算程序举例</w:t>
            </w:r>
          </w:p>
        </w:tc>
        <w:tc>
          <w:tcPr>
            <w:tcW w:w="410" w:type="pct"/>
            <w:vAlign w:val="center"/>
          </w:tcPr>
          <w:p w:rsidR="00E07285" w:rsidRDefault="00E07285" w:rsidP="00E07285">
            <w:pPr>
              <w:adjustRightInd w:val="0"/>
              <w:snapToGrid w:val="0"/>
              <w:spacing w:line="560" w:lineRule="exact"/>
              <w:jc w:val="center"/>
              <w:rPr>
                <w:rFonts w:ascii="Times New Roman" w:hAnsi="Times New Roman"/>
                <w:sz w:val="24"/>
                <w:szCs w:val="24"/>
              </w:rPr>
            </w:pPr>
            <w:r>
              <w:rPr>
                <w:rFonts w:ascii="Times New Roman" w:hAnsi="Times New Roman"/>
                <w:sz w:val="24"/>
                <w:szCs w:val="24"/>
              </w:rPr>
              <w:t>4</w:t>
            </w:r>
          </w:p>
        </w:tc>
        <w:tc>
          <w:tcPr>
            <w:tcW w:w="2103" w:type="pct"/>
            <w:vAlign w:val="center"/>
          </w:tcPr>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5.1</w:t>
            </w:r>
            <w:r>
              <w:rPr>
                <w:sz w:val="24"/>
                <w:szCs w:val="24"/>
                <w:shd w:val="clear" w:color="auto" w:fill="FFFFFF"/>
              </w:rPr>
              <w:t>单水源给水管网水力计算</w:t>
            </w:r>
          </w:p>
          <w:p w:rsidR="00E07285" w:rsidRDefault="00E07285" w:rsidP="00E07285">
            <w:pPr>
              <w:adjustRightInd w:val="0"/>
              <w:snapToGrid w:val="0"/>
              <w:spacing w:line="560" w:lineRule="exact"/>
              <w:jc w:val="left"/>
              <w:rPr>
                <w:rFonts w:ascii="Times New Roman" w:hAnsi="Times New Roman"/>
                <w:sz w:val="24"/>
                <w:szCs w:val="24"/>
              </w:rPr>
            </w:pPr>
            <w:r>
              <w:rPr>
                <w:rFonts w:ascii="Times New Roman" w:hAnsi="Times New Roman"/>
                <w:sz w:val="24"/>
                <w:szCs w:val="24"/>
              </w:rPr>
              <w:t>5.2</w:t>
            </w:r>
            <w:r>
              <w:rPr>
                <w:sz w:val="24"/>
                <w:szCs w:val="24"/>
                <w:shd w:val="clear" w:color="auto" w:fill="FFFFFF"/>
              </w:rPr>
              <w:t>多水源给水管网水力计算</w:t>
            </w:r>
          </w:p>
        </w:tc>
        <w:tc>
          <w:tcPr>
            <w:tcW w:w="1721" w:type="pct"/>
            <w:vAlign w:val="center"/>
          </w:tcPr>
          <w:p w:rsidR="00E07285" w:rsidRDefault="00E07285" w:rsidP="00E07285">
            <w:pPr>
              <w:tabs>
                <w:tab w:val="left" w:pos="220"/>
              </w:tabs>
              <w:adjustRightInd w:val="0"/>
              <w:snapToGrid w:val="0"/>
              <w:spacing w:line="560" w:lineRule="exact"/>
              <w:rPr>
                <w:rFonts w:ascii="Times New Roman" w:hAnsi="Times New Roman"/>
                <w:sz w:val="24"/>
                <w:szCs w:val="24"/>
              </w:rPr>
            </w:pPr>
            <w:r>
              <w:rPr>
                <w:rFonts w:ascii="Times New Roman" w:hAnsi="宋体"/>
                <w:sz w:val="24"/>
                <w:szCs w:val="24"/>
              </w:rPr>
              <w:t>掌握</w:t>
            </w:r>
            <w:r>
              <w:rPr>
                <w:sz w:val="24"/>
                <w:szCs w:val="24"/>
                <w:shd w:val="clear" w:color="auto" w:fill="FFFFFF"/>
              </w:rPr>
              <w:t>单</w:t>
            </w:r>
            <w:r>
              <w:rPr>
                <w:rFonts w:hint="eastAsia"/>
                <w:sz w:val="24"/>
                <w:szCs w:val="24"/>
                <w:shd w:val="clear" w:color="auto" w:fill="FFFFFF"/>
              </w:rPr>
              <w:t>（多）</w:t>
            </w:r>
            <w:r>
              <w:rPr>
                <w:sz w:val="24"/>
                <w:szCs w:val="24"/>
                <w:shd w:val="clear" w:color="auto" w:fill="FFFFFF"/>
              </w:rPr>
              <w:t>水源给水管网</w:t>
            </w:r>
            <w:r>
              <w:rPr>
                <w:rFonts w:hint="eastAsia"/>
                <w:sz w:val="24"/>
                <w:szCs w:val="24"/>
                <w:shd w:val="clear" w:color="auto" w:fill="FFFFFF"/>
              </w:rPr>
              <w:t>工况求解的算法设计和程序实现</w:t>
            </w:r>
          </w:p>
        </w:tc>
      </w:tr>
    </w:tbl>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E07285" w:rsidRDefault="00E07285" w:rsidP="00E07285">
      <w:pPr>
        <w:spacing w:line="560" w:lineRule="exact"/>
        <w:ind w:firstLineChars="200" w:firstLine="560"/>
        <w:rPr>
          <w:rFonts w:ascii="宋体" w:eastAsia="宋体" w:hAnsi="宋体"/>
          <w:b/>
          <w:color w:val="FF0000"/>
          <w:sz w:val="21"/>
          <w:szCs w:val="21"/>
        </w:rPr>
      </w:pPr>
      <w:r>
        <w:rPr>
          <w:rFonts w:ascii="Times New Roman" w:hAnsi="宋体" w:hint="eastAsia"/>
          <w:sz w:val="28"/>
          <w:szCs w:val="28"/>
        </w:rPr>
        <w:t>课程成绩由平时成绩和期终考试两个环节的成绩综合评定产生。各评价环节所占比例及对教学目标的支撑如下表所示。其中，期终考</w:t>
      </w:r>
      <w:r>
        <w:rPr>
          <w:rFonts w:ascii="Times New Roman" w:hAnsi="宋体" w:hint="eastAsia"/>
          <w:sz w:val="28"/>
          <w:szCs w:val="28"/>
        </w:rPr>
        <w:lastRenderedPageBreak/>
        <w:t>试采取闭卷形式，内容涉及课程的基本概念和基本方法，题型包括名词解释、填空题、简答题、程序设计题等。</w:t>
      </w:r>
    </w:p>
    <w:p w:rsidR="00E07285" w:rsidRDefault="00E07285"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E07285" w:rsidRDefault="00E07285" w:rsidP="00E07285">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成绩评定方式为百分制，平时成绩考核包括作业、讨论、出勤等内容，期末考试采用闭卷方式；非混动教学时平时成绩占20%</w:t>
      </w:r>
      <w:r>
        <w:rPr>
          <w:rFonts w:ascii="Times New Roman" w:hAnsi="Times New Roman"/>
          <w:sz w:val="28"/>
          <w:szCs w:val="28"/>
        </w:rPr>
        <w:t>~</w:t>
      </w:r>
      <w:r>
        <w:rPr>
          <w:rFonts w:ascii="仿宋_GB2312" w:hAnsi="仿宋_GB2312" w:cs="仿宋_GB2312" w:hint="eastAsia"/>
          <w:sz w:val="28"/>
          <w:szCs w:val="28"/>
        </w:rPr>
        <w:t>30%，采用混动教学时，，期末考试成绩占60%，平时成绩占40%（其中讨论和出勤占20%，线上成绩占20%）。</w:t>
      </w:r>
    </w:p>
    <w:p w:rsidR="00E07285" w:rsidRDefault="00E07285" w:rsidP="00E07285">
      <w:pPr>
        <w:spacing w:line="560" w:lineRule="exact"/>
        <w:ind w:firstLineChars="200" w:firstLine="560"/>
        <w:rPr>
          <w:rStyle w:val="fontstyle11"/>
          <w:rFonts w:eastAsia="宋体"/>
          <w:color w:val="0000FF"/>
        </w:rPr>
      </w:pPr>
      <w:r>
        <w:rPr>
          <w:rFonts w:ascii="仿宋_GB2312" w:hAnsi="仿宋_GB2312" w:cs="仿宋_GB2312"/>
          <w:sz w:val="28"/>
          <w:szCs w:val="28"/>
        </w:rPr>
        <w:t>课程总成绩=期末成绩（80</w:t>
      </w:r>
      <w:r>
        <w:rPr>
          <w:rFonts w:ascii="Times New Roman" w:hAnsi="Times New Roman"/>
          <w:sz w:val="28"/>
          <w:szCs w:val="28"/>
        </w:rPr>
        <w:t>~</w:t>
      </w:r>
      <w:r>
        <w:rPr>
          <w:rFonts w:ascii="仿宋_GB2312" w:hAnsi="仿宋_GB2312" w:cs="仿宋_GB2312"/>
          <w:sz w:val="28"/>
          <w:szCs w:val="28"/>
        </w:rPr>
        <w:t>60）%+平时成绩（20</w:t>
      </w:r>
      <w:r>
        <w:rPr>
          <w:rFonts w:ascii="Times New Roman" w:hAnsi="Times New Roman"/>
          <w:sz w:val="28"/>
          <w:szCs w:val="28"/>
        </w:rPr>
        <w:t>~</w:t>
      </w:r>
      <w:r>
        <w:rPr>
          <w:rFonts w:ascii="仿宋_GB2312" w:hAnsi="仿宋_GB2312" w:cs="仿宋_GB2312"/>
          <w:sz w:val="28"/>
          <w:szCs w:val="28"/>
        </w:rPr>
        <w:t>40）</w:t>
      </w:r>
      <w:r>
        <w:rPr>
          <w:rFonts w:ascii="仿宋_GB2312" w:hAnsi="仿宋_GB2312" w:cs="仿宋_GB2312" w:hint="eastAsia"/>
          <w:sz w:val="28"/>
          <w:szCs w:val="28"/>
        </w:rPr>
        <w:t>%。</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E07285" w:rsidRDefault="00E07285" w:rsidP="00E07285">
      <w:pPr>
        <w:spacing w:line="500" w:lineRule="exact"/>
        <w:ind w:firstLineChars="200" w:firstLine="560"/>
        <w:rPr>
          <w:rFonts w:ascii="仿宋_GB2312" w:hAnsi="仿宋_GB2312" w:cs="仿宋_GB2312"/>
          <w:sz w:val="28"/>
          <w:szCs w:val="28"/>
        </w:rPr>
      </w:pPr>
      <w:r>
        <w:rPr>
          <w:rFonts w:ascii="仿宋_GB2312" w:hAnsi="仿宋_GB2312" w:cs="仿宋_GB2312" w:hint="eastAsia"/>
          <w:sz w:val="28"/>
          <w:szCs w:val="28"/>
        </w:rPr>
        <w:t>1.建议教材</w:t>
      </w:r>
    </w:p>
    <w:p w:rsidR="00E07285" w:rsidRDefault="00E07285" w:rsidP="00E07285">
      <w:pPr>
        <w:spacing w:line="500" w:lineRule="exact"/>
        <w:ind w:firstLineChars="200" w:firstLine="560"/>
        <w:rPr>
          <w:rFonts w:ascii="仿宋_GB2312" w:hAnsi="仿宋_GB2312" w:cs="仿宋_GB2312"/>
          <w:sz w:val="28"/>
          <w:szCs w:val="28"/>
        </w:rPr>
      </w:pPr>
      <w:r>
        <w:rPr>
          <w:rFonts w:ascii="仿宋_GB2312" w:hAnsi="仿宋_GB2312" w:cs="仿宋_GB2312"/>
          <w:sz w:val="28"/>
          <w:szCs w:val="28"/>
        </w:rPr>
        <w:t>《给水排水计算机应用》，王彤主编，人民交通出版社，2009。</w:t>
      </w:r>
    </w:p>
    <w:p w:rsidR="00E07285" w:rsidRDefault="00E07285" w:rsidP="00E07285">
      <w:pPr>
        <w:spacing w:line="500" w:lineRule="exact"/>
        <w:ind w:firstLineChars="200" w:firstLine="560"/>
        <w:rPr>
          <w:rFonts w:ascii="仿宋_GB2312" w:hAnsi="仿宋_GB2312" w:cs="仿宋_GB2312"/>
          <w:sz w:val="28"/>
          <w:szCs w:val="28"/>
        </w:rPr>
      </w:pPr>
      <w:r>
        <w:rPr>
          <w:rFonts w:ascii="仿宋_GB2312" w:hAnsi="仿宋_GB2312" w:cs="仿宋_GB2312" w:hint="eastAsia"/>
          <w:sz w:val="28"/>
          <w:szCs w:val="28"/>
        </w:rPr>
        <w:t>2.主要参考资料</w:t>
      </w:r>
    </w:p>
    <w:p w:rsidR="00E07285" w:rsidRDefault="00E07285" w:rsidP="00E07285">
      <w:pPr>
        <w:spacing w:line="500" w:lineRule="exact"/>
        <w:ind w:firstLineChars="200" w:firstLine="560"/>
        <w:rPr>
          <w:rFonts w:ascii="仿宋_GB2312" w:hAnsi="仿宋_GB2312" w:cs="仿宋_GB2312"/>
          <w:sz w:val="28"/>
          <w:szCs w:val="28"/>
        </w:rPr>
      </w:pPr>
      <w:r>
        <w:rPr>
          <w:rFonts w:ascii="仿宋_GB2312" w:hAnsi="仿宋_GB2312" w:cs="仿宋_GB2312"/>
          <w:sz w:val="28"/>
          <w:szCs w:val="28"/>
        </w:rPr>
        <w:t>《给水排水工程计算机应用》（第二版），彭永臻，崔福义编著，中国建筑工业出版社，2002年。</w:t>
      </w:r>
    </w:p>
    <w:p w:rsidR="00E07285" w:rsidRDefault="00E07285" w:rsidP="00E07285">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E07285" w:rsidRDefault="00E07285" w:rsidP="00E07285">
      <w:pPr>
        <w:spacing w:line="560" w:lineRule="exact"/>
        <w:ind w:firstLineChars="200" w:firstLine="560"/>
        <w:jc w:val="left"/>
        <w:rPr>
          <w:rFonts w:ascii="黑体" w:eastAsia="黑体" w:hAnsi="黑体"/>
          <w:b/>
          <w:sz w:val="28"/>
          <w:szCs w:val="28"/>
        </w:rPr>
      </w:pPr>
      <w:r>
        <w:rPr>
          <w:rFonts w:ascii="仿宋_GB2312" w:hAnsi="仿宋_GB2312" w:cs="仿宋_GB2312" w:hint="eastAsia"/>
          <w:sz w:val="28"/>
          <w:szCs w:val="28"/>
        </w:rPr>
        <w:t>无。</w:t>
      </w:r>
    </w:p>
    <w:p w:rsidR="00E07285" w:rsidRDefault="00E07285" w:rsidP="00E07285">
      <w:pPr>
        <w:spacing w:line="560" w:lineRule="exact"/>
        <w:ind w:left="1259" w:firstLineChars="1200" w:firstLine="3360"/>
        <w:rPr>
          <w:rFonts w:ascii="仿宋" w:eastAsia="仿宋" w:hAnsi="仿宋"/>
          <w:sz w:val="28"/>
          <w:szCs w:val="28"/>
        </w:rPr>
      </w:pPr>
      <w:r>
        <w:rPr>
          <w:rFonts w:ascii="仿宋" w:eastAsia="仿宋" w:hAnsi="仿宋" w:hint="eastAsia"/>
          <w:sz w:val="28"/>
          <w:szCs w:val="28"/>
        </w:rPr>
        <w:t>大纲撰写人：胡博、王彤</w:t>
      </w:r>
    </w:p>
    <w:p w:rsidR="00E07285" w:rsidRDefault="00E07285" w:rsidP="00E07285">
      <w:pPr>
        <w:spacing w:line="560" w:lineRule="exact"/>
        <w:ind w:left="1259" w:firstLineChars="1200" w:firstLine="3360"/>
        <w:rPr>
          <w:rFonts w:ascii="仿宋" w:eastAsia="仿宋" w:hAnsi="仿宋"/>
          <w:sz w:val="28"/>
          <w:szCs w:val="28"/>
        </w:rPr>
      </w:pPr>
      <w:r>
        <w:rPr>
          <w:rFonts w:ascii="仿宋" w:eastAsia="仿宋" w:hAnsi="仿宋" w:hint="eastAsia"/>
          <w:sz w:val="28"/>
          <w:szCs w:val="28"/>
        </w:rPr>
        <w:t>课程负责人：胡博、王彤</w:t>
      </w:r>
    </w:p>
    <w:p w:rsidR="00E07285" w:rsidRDefault="00E07285" w:rsidP="00E07285">
      <w:pPr>
        <w:spacing w:line="560" w:lineRule="exact"/>
        <w:ind w:left="1259" w:firstLineChars="1200" w:firstLine="3360"/>
        <w:rPr>
          <w:rFonts w:ascii="仿宋" w:eastAsia="仿宋" w:hAnsi="仿宋"/>
          <w:sz w:val="28"/>
          <w:szCs w:val="28"/>
        </w:rPr>
      </w:pPr>
      <w:r>
        <w:rPr>
          <w:rFonts w:ascii="仿宋" w:eastAsia="仿宋" w:hAnsi="仿宋" w:hint="eastAsia"/>
          <w:sz w:val="28"/>
          <w:szCs w:val="28"/>
        </w:rPr>
        <w:t>审核人：杨利伟</w:t>
      </w:r>
    </w:p>
    <w:p w:rsidR="00E07285" w:rsidRDefault="00E07285" w:rsidP="00E07285">
      <w:r>
        <w:rPr>
          <w:rFonts w:ascii="仿宋" w:eastAsia="仿宋" w:hAnsi="仿宋" w:hint="eastAsia"/>
          <w:sz w:val="28"/>
          <w:szCs w:val="28"/>
        </w:rPr>
        <w:t xml:space="preserve">                  </w:t>
      </w:r>
      <w:r>
        <w:rPr>
          <w:rFonts w:ascii="仿宋_GB2312" w:hAnsi="微软雅黑" w:hint="eastAsia"/>
          <w:sz w:val="28"/>
          <w:szCs w:val="28"/>
        </w:rPr>
        <w:t xml:space="preserve">       </w:t>
      </w:r>
      <w:r w:rsidR="009613B4">
        <w:rPr>
          <w:rFonts w:ascii="仿宋" w:eastAsia="仿宋" w:hAnsi="仿宋" w:hint="eastAsia"/>
          <w:sz w:val="28"/>
          <w:szCs w:val="28"/>
        </w:rPr>
        <w:t xml:space="preserve">                </w:t>
      </w: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4</w:t>
      </w:r>
      <w:r>
        <w:rPr>
          <w:rFonts w:ascii="仿宋" w:eastAsia="仿宋" w:hAnsi="仿宋" w:hint="eastAsia"/>
          <w:sz w:val="28"/>
          <w:szCs w:val="28"/>
        </w:rPr>
        <w:t xml:space="preserve"> 月</w:t>
      </w:r>
    </w:p>
    <w:p w:rsidR="00E07285" w:rsidRDefault="00E07285" w:rsidP="00E07285">
      <w:pPr>
        <w:spacing w:line="560" w:lineRule="exact"/>
        <w:jc w:val="left"/>
        <w:rPr>
          <w:rFonts w:ascii="仿宋" w:eastAsia="仿宋" w:hAnsi="仿宋"/>
          <w:sz w:val="28"/>
          <w:szCs w:val="28"/>
        </w:rPr>
      </w:pPr>
    </w:p>
    <w:p w:rsidR="008B4EA8" w:rsidRDefault="008B4EA8" w:rsidP="00E07285">
      <w:pPr>
        <w:spacing w:line="560" w:lineRule="exact"/>
        <w:jc w:val="left"/>
        <w:rPr>
          <w:rFonts w:ascii="仿宋" w:eastAsia="仿宋" w:hAnsi="仿宋"/>
          <w:sz w:val="28"/>
          <w:szCs w:val="28"/>
        </w:rPr>
      </w:pPr>
    </w:p>
    <w:p w:rsidR="008B4EA8" w:rsidRDefault="008B4EA8" w:rsidP="00E07285">
      <w:pPr>
        <w:spacing w:line="560" w:lineRule="exact"/>
        <w:jc w:val="left"/>
        <w:rPr>
          <w:rFonts w:ascii="仿宋" w:eastAsia="仿宋" w:hAnsi="仿宋"/>
          <w:sz w:val="28"/>
          <w:szCs w:val="28"/>
        </w:rPr>
      </w:pPr>
    </w:p>
    <w:p w:rsidR="008B4EA8" w:rsidRDefault="008B4EA8" w:rsidP="00E07285">
      <w:pPr>
        <w:spacing w:line="560" w:lineRule="exact"/>
        <w:jc w:val="left"/>
        <w:rPr>
          <w:rFonts w:ascii="仿宋" w:eastAsia="仿宋" w:hAnsi="仿宋" w:hint="eastAsia"/>
          <w:sz w:val="28"/>
          <w:szCs w:val="28"/>
        </w:rPr>
      </w:pPr>
    </w:p>
    <w:p w:rsidR="009613B4" w:rsidRDefault="009613B4" w:rsidP="009613B4">
      <w:pPr>
        <w:widowControl/>
        <w:spacing w:line="560" w:lineRule="exact"/>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《水工程经济与管理》课程教学大纲</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9613B4" w:rsidRDefault="009613B4" w:rsidP="009613B4">
      <w:pPr>
        <w:spacing w:line="560" w:lineRule="exact"/>
        <w:ind w:firstLine="331"/>
        <w:rPr>
          <w:rFonts w:ascii="Times New Roman" w:hAnsi="Times New Roman"/>
          <w:bCs/>
          <w:sz w:val="28"/>
          <w:szCs w:val="28"/>
        </w:rPr>
      </w:pPr>
      <w:r>
        <w:rPr>
          <w:rFonts w:ascii="仿宋_GB2312" w:hAnsi="仿宋_GB2312" w:cs="仿宋_GB2312" w:hint="eastAsia"/>
          <w:bCs/>
          <w:sz w:val="28"/>
          <w:szCs w:val="28"/>
        </w:rPr>
        <w:t>英文名称：</w:t>
      </w:r>
      <w:r>
        <w:rPr>
          <w:rFonts w:ascii="Times New Roman" w:hAnsi="Times New Roman"/>
          <w:bCs/>
          <w:sz w:val="28"/>
          <w:szCs w:val="28"/>
        </w:rPr>
        <w:t>Water Engineering Economics and Management</w:t>
      </w:r>
    </w:p>
    <w:p w:rsidR="009613B4" w:rsidRDefault="009613B4" w:rsidP="009613B4">
      <w:pPr>
        <w:spacing w:line="560" w:lineRule="exact"/>
        <w:ind w:firstLine="331"/>
        <w:rPr>
          <w:rFonts w:ascii="Times New Roman" w:hAnsi="Times New Roman"/>
          <w:bCs/>
          <w:sz w:val="28"/>
          <w:szCs w:val="28"/>
        </w:rPr>
      </w:pPr>
      <w:r>
        <w:rPr>
          <w:rFonts w:ascii="Times New Roman" w:hAnsi="Times New Roman"/>
          <w:bCs/>
          <w:sz w:val="28"/>
          <w:szCs w:val="28"/>
        </w:rPr>
        <w:t>课程编码：</w:t>
      </w:r>
      <w:r>
        <w:rPr>
          <w:rFonts w:ascii="Times New Roman" w:hAnsi="Times New Roman"/>
          <w:bCs/>
          <w:sz w:val="28"/>
          <w:szCs w:val="28"/>
        </w:rPr>
        <w:t>Z2806250</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9613B4" w:rsidRDefault="009613B4" w:rsidP="009613B4">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课程类别：专业发展课程</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9613B4" w:rsidRDefault="009613B4" w:rsidP="009613B4">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学时（授课24学时，实验</w:t>
      </w:r>
      <w:r>
        <w:rPr>
          <w:rFonts w:ascii="仿宋_GB2312" w:hAnsi="仿宋_GB2312" w:cs="仿宋_GB2312"/>
          <w:bCs/>
          <w:sz w:val="28"/>
          <w:szCs w:val="28"/>
        </w:rPr>
        <w:t>0</w:t>
      </w:r>
      <w:r>
        <w:rPr>
          <w:rFonts w:ascii="仿宋_GB2312" w:hAnsi="仿宋_GB2312" w:cs="仿宋_GB2312" w:hint="eastAsia"/>
          <w:bCs/>
          <w:sz w:val="28"/>
          <w:szCs w:val="28"/>
        </w:rPr>
        <w:t>学时，上机</w:t>
      </w:r>
      <w:r>
        <w:rPr>
          <w:rFonts w:ascii="仿宋_GB2312" w:hAnsi="仿宋_GB2312" w:cs="仿宋_GB2312"/>
          <w:bCs/>
          <w:sz w:val="28"/>
          <w:szCs w:val="28"/>
        </w:rPr>
        <w:t>0</w:t>
      </w:r>
      <w:r>
        <w:rPr>
          <w:rFonts w:ascii="仿宋_GB2312" w:hAnsi="仿宋_GB2312" w:cs="仿宋_GB2312" w:hint="eastAsia"/>
          <w:bCs/>
          <w:sz w:val="28"/>
          <w:szCs w:val="28"/>
        </w:rPr>
        <w:t>学时，课外</w:t>
      </w:r>
      <w:r>
        <w:rPr>
          <w:rFonts w:ascii="仿宋_GB2312" w:hAnsi="仿宋_GB2312" w:cs="仿宋_GB2312"/>
          <w:bCs/>
          <w:sz w:val="28"/>
          <w:szCs w:val="28"/>
        </w:rPr>
        <w:t>0</w:t>
      </w:r>
      <w:r>
        <w:rPr>
          <w:rFonts w:ascii="仿宋_GB2312" w:hAnsi="仿宋_GB2312" w:cs="仿宋_GB2312" w:hint="eastAsia"/>
          <w:bCs/>
          <w:sz w:val="28"/>
          <w:szCs w:val="28"/>
        </w:rPr>
        <w:t>学时）</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w:t>
      </w:r>
      <w:r>
        <w:rPr>
          <w:rFonts w:ascii="仿宋_GB2312" w:hAnsi="仿宋_GB2312" w:cs="仿宋_GB2312"/>
          <w:bCs/>
          <w:sz w:val="28"/>
          <w:szCs w:val="28"/>
        </w:rPr>
        <w:t>与工程</w:t>
      </w:r>
      <w:r>
        <w:rPr>
          <w:rFonts w:ascii="仿宋_GB2312" w:hAnsi="仿宋_GB2312" w:cs="仿宋_GB2312" w:hint="eastAsia"/>
          <w:bCs/>
          <w:sz w:val="28"/>
          <w:szCs w:val="28"/>
        </w:rPr>
        <w:t>专业</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先修课程：水工程施工、水质工程学、建筑给水排水工程等。</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w:t>
      </w:r>
      <w:r>
        <w:rPr>
          <w:rFonts w:ascii="仿宋_GB2312" w:hAnsi="仿宋_GB2312" w:cs="仿宋_GB2312"/>
          <w:bCs/>
          <w:sz w:val="28"/>
          <w:szCs w:val="28"/>
        </w:rPr>
        <w:t>工程</w:t>
      </w:r>
      <w:r>
        <w:rPr>
          <w:rFonts w:ascii="仿宋_GB2312" w:hAnsi="仿宋_GB2312" w:cs="仿宋_GB2312" w:hint="eastAsia"/>
          <w:bCs/>
          <w:sz w:val="28"/>
          <w:szCs w:val="28"/>
        </w:rPr>
        <w:t>学院给排水科学</w:t>
      </w:r>
      <w:r>
        <w:rPr>
          <w:rFonts w:ascii="仿宋_GB2312" w:hAnsi="仿宋_GB2312" w:cs="仿宋_GB2312"/>
          <w:bCs/>
          <w:sz w:val="28"/>
          <w:szCs w:val="28"/>
        </w:rPr>
        <w:t>与工程</w:t>
      </w:r>
      <w:r>
        <w:rPr>
          <w:rFonts w:ascii="仿宋_GB2312" w:hAnsi="仿宋_GB2312" w:cs="仿宋_GB2312" w:hint="eastAsia"/>
          <w:bCs/>
          <w:sz w:val="28"/>
          <w:szCs w:val="28"/>
        </w:rPr>
        <w:t>系</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9613B4" w:rsidRDefault="009613B4" w:rsidP="009613B4">
      <w:pPr>
        <w:snapToGri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水工程经济与管理》是给水排水科学与工程专业的专业基础课程，是一门学科交叉的课程。它从工程经济学的角度出发来研究水工程建设项目的投资、运营和管理。学生通过该课程学习工程经济学基础知识和水工程项目的经济分析与评价方法，能够初步具备进行给排水工程项目投资方案优选、经济评价和管理的能力。</w:t>
      </w:r>
    </w:p>
    <w:p w:rsidR="009613B4" w:rsidRDefault="009613B4" w:rsidP="009613B4">
      <w:pPr>
        <w:snapToGri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教学内容包括工程经济学的基本原理、基础知识和基本分析评价方法；费用—效益分析、国民经济评价的基本方法；水工程建设项目的投资构成和估算编制；水工程项目经济分析、不确定性分析以及各</w:t>
      </w:r>
      <w:r>
        <w:rPr>
          <w:rFonts w:ascii="仿宋_GB2312" w:hAnsi="仿宋_GB2312" w:cs="仿宋_GB2312" w:hint="eastAsia"/>
          <w:bCs/>
          <w:sz w:val="28"/>
          <w:szCs w:val="28"/>
        </w:rPr>
        <w:lastRenderedPageBreak/>
        <w:t>投资方案的选优等。</w:t>
      </w:r>
    </w:p>
    <w:p w:rsidR="009613B4" w:rsidRDefault="009613B4" w:rsidP="009613B4">
      <w:pPr>
        <w:snapToGri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 xml:space="preserve">采用PPT、板书、课后思考题和练习题等相结合的教学方式来进行授课，使学生能够加深对所学知识的理解，培养学生分析和解决问题的能力。 </w:t>
      </w:r>
    </w:p>
    <w:p w:rsidR="009613B4" w:rsidRDefault="009613B4" w:rsidP="009613B4">
      <w:pPr>
        <w:pStyle w:val="a3"/>
        <w:spacing w:line="56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通过</w:t>
      </w:r>
      <w:r>
        <w:rPr>
          <w:rFonts w:ascii="仿宋_GB2312" w:eastAsia="仿宋_GB2312" w:hAnsi="仿宋_GB2312" w:cs="仿宋_GB2312"/>
          <w:bCs/>
          <w:sz w:val="28"/>
          <w:szCs w:val="28"/>
        </w:rPr>
        <w:t>该课程的学习</w:t>
      </w:r>
      <w:r>
        <w:rPr>
          <w:rFonts w:ascii="仿宋_GB2312" w:eastAsia="仿宋_GB2312" w:hAnsi="仿宋_GB2312" w:cs="仿宋_GB2312" w:hint="eastAsia"/>
          <w:bCs/>
          <w:sz w:val="28"/>
          <w:szCs w:val="28"/>
        </w:rPr>
        <w:t>使学生</w:t>
      </w:r>
      <w:r>
        <w:rPr>
          <w:rFonts w:ascii="仿宋_GB2312" w:eastAsia="仿宋_GB2312" w:hAnsi="仿宋_GB2312" w:cs="仿宋_GB2312"/>
          <w:bCs/>
          <w:sz w:val="28"/>
          <w:szCs w:val="28"/>
        </w:rPr>
        <w:t>能够将有关</w:t>
      </w:r>
      <w:r>
        <w:rPr>
          <w:rFonts w:ascii="仿宋_GB2312" w:eastAsia="仿宋_GB2312" w:hAnsi="仿宋_GB2312" w:cs="仿宋_GB2312" w:hint="eastAsia"/>
          <w:bCs/>
          <w:sz w:val="28"/>
          <w:szCs w:val="28"/>
        </w:rPr>
        <w:t>专业</w:t>
      </w:r>
      <w:r>
        <w:rPr>
          <w:rFonts w:ascii="仿宋_GB2312" w:eastAsia="仿宋_GB2312" w:hAnsi="仿宋_GB2312" w:cs="仿宋_GB2312"/>
          <w:bCs/>
          <w:sz w:val="28"/>
          <w:szCs w:val="28"/>
        </w:rPr>
        <w:t>知识应用于</w:t>
      </w:r>
      <w:r>
        <w:rPr>
          <w:rFonts w:ascii="仿宋_GB2312" w:eastAsia="仿宋_GB2312" w:hAnsi="仿宋_GB2312" w:cs="仿宋_GB2312" w:hint="eastAsia"/>
          <w:bCs/>
          <w:sz w:val="28"/>
          <w:szCs w:val="28"/>
        </w:rPr>
        <w:t>水工程项目的经济分析与方案评价，初步具备进行给排水工程项目方案优选、投资估算、经济评价的能力。</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9613B4" w:rsidRDefault="009613B4" w:rsidP="009613B4">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9613B4" w:rsidRDefault="009613B4" w:rsidP="009613B4">
      <w:pPr>
        <w:snapToGrid w:val="0"/>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通过投资方案评价、敏感度和风险分析，工程项目财务分析和费用-效益分析的学习，掌握工程经济学的基本知识，原理和方法。通过项目投资和项目估算编制的学习，了解水工程建设项目基本程序、总投资的构成和工程估算编制的方法和步骤。通过水工程项目运营费用分析的学习，了解水处理成本的构成、计算以及水价的分类、构成和制定。</w:t>
      </w:r>
    </w:p>
    <w:p w:rsidR="009613B4" w:rsidRDefault="009613B4"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知识目标：通过学习本门课程，</w:t>
      </w:r>
      <w:r>
        <w:rPr>
          <w:rFonts w:ascii="仿宋_GB2312" w:hAnsi="仿宋_GB2312" w:cs="仿宋_GB2312"/>
          <w:bCs/>
          <w:sz w:val="28"/>
          <w:szCs w:val="28"/>
        </w:rPr>
        <w:t>学生</w:t>
      </w:r>
      <w:r>
        <w:rPr>
          <w:rFonts w:ascii="仿宋_GB2312" w:hAnsi="仿宋_GB2312" w:cs="仿宋_GB2312" w:hint="eastAsia"/>
          <w:bCs/>
          <w:sz w:val="28"/>
          <w:szCs w:val="28"/>
        </w:rPr>
        <w:t>应</w:t>
      </w:r>
      <w:r>
        <w:rPr>
          <w:rFonts w:ascii="仿宋_GB2312" w:hAnsi="仿宋_GB2312" w:cs="仿宋_GB2312"/>
          <w:bCs/>
          <w:sz w:val="28"/>
          <w:szCs w:val="28"/>
        </w:rPr>
        <w:t>掌握</w:t>
      </w:r>
      <w:r>
        <w:rPr>
          <w:rFonts w:ascii="仿宋_GB2312" w:hAnsi="仿宋_GB2312" w:cs="仿宋_GB2312" w:hint="eastAsia"/>
          <w:bCs/>
          <w:sz w:val="28"/>
          <w:szCs w:val="28"/>
        </w:rPr>
        <w:t>资金的时间价值；方案评价指标及比选</w:t>
      </w:r>
      <w:r>
        <w:rPr>
          <w:rFonts w:ascii="仿宋_GB2312" w:hAnsi="仿宋_GB2312" w:cs="仿宋_GB2312"/>
          <w:bCs/>
          <w:sz w:val="28"/>
          <w:szCs w:val="28"/>
        </w:rPr>
        <w:t>；</w:t>
      </w:r>
      <w:r>
        <w:rPr>
          <w:rFonts w:ascii="仿宋_GB2312" w:hAnsi="仿宋_GB2312" w:cs="仿宋_GB2312" w:hint="eastAsia"/>
          <w:sz w:val="28"/>
          <w:szCs w:val="28"/>
        </w:rPr>
        <w:t>不确定性分析；了解工程项目财务评价、国民经济评价和社会评价；了解水工程建设项目基本程序、总投资的构成、工程估算及运营费用分析</w:t>
      </w:r>
      <w:r>
        <w:rPr>
          <w:rFonts w:ascii="仿宋_GB2312" w:hAnsi="仿宋_GB2312" w:cs="仿宋_GB2312" w:hint="eastAsia"/>
          <w:bCs/>
          <w:sz w:val="28"/>
          <w:szCs w:val="28"/>
        </w:rPr>
        <w:t>。</w:t>
      </w:r>
      <w:r>
        <w:rPr>
          <w:rFonts w:ascii="仿宋_GB2312" w:hAnsi="仿宋_GB2312" w:cs="仿宋_GB2312" w:hint="eastAsia"/>
          <w:sz w:val="28"/>
          <w:szCs w:val="28"/>
        </w:rPr>
        <w:t xml:space="preserve">  </w:t>
      </w:r>
    </w:p>
    <w:p w:rsidR="009613B4" w:rsidRDefault="009613B4" w:rsidP="009613B4">
      <w:pPr>
        <w:spacing w:line="560" w:lineRule="exact"/>
        <w:ind w:firstLineChars="200" w:firstLine="560"/>
        <w:jc w:val="left"/>
        <w:rPr>
          <w:rFonts w:ascii="仿宋_GB2312" w:hAnsi="仿宋_GB2312" w:cs="仿宋_GB2312"/>
          <w:bCs/>
          <w:sz w:val="28"/>
          <w:szCs w:val="28"/>
        </w:rPr>
      </w:pPr>
      <w:r>
        <w:rPr>
          <w:rFonts w:ascii="仿宋_GB2312" w:hAnsi="仿宋_GB2312" w:cs="仿宋_GB2312" w:hint="eastAsia"/>
          <w:sz w:val="28"/>
          <w:szCs w:val="28"/>
        </w:rPr>
        <w:t>能力目标：</w:t>
      </w:r>
      <w:r>
        <w:rPr>
          <w:rFonts w:ascii="仿宋_GB2312" w:hAnsi="仿宋_GB2312" w:cs="仿宋_GB2312"/>
          <w:sz w:val="28"/>
          <w:szCs w:val="28"/>
        </w:rPr>
        <w:t xml:space="preserve"> </w:t>
      </w:r>
      <w:r>
        <w:rPr>
          <w:rFonts w:ascii="仿宋_GB2312" w:hAnsi="仿宋_GB2312" w:cs="仿宋_GB2312" w:hint="eastAsia"/>
          <w:bCs/>
          <w:sz w:val="28"/>
          <w:szCs w:val="28"/>
        </w:rPr>
        <w:t>通过该课程的学习使学生能够将有关专业知识应用于水工程项目的经济分析与方案评价，初步具备进行给排水工程项目方案优选、投资估算、经济评价和的能力。</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bCs/>
          <w:sz w:val="28"/>
          <w:szCs w:val="28"/>
        </w:rPr>
        <w:lastRenderedPageBreak/>
        <w:t>情感态度与价值观目标：树立正确的金钱观、消费观和价值观，建立专业自信和职业责任感，激发爱国热情，增强“四个自信”。</w:t>
      </w:r>
      <w:r>
        <w:rPr>
          <w:rFonts w:ascii="仿宋_GB2312" w:hAnsi="仿宋_GB2312" w:cs="仿宋_GB2312"/>
          <w:sz w:val="28"/>
          <w:szCs w:val="28"/>
        </w:rPr>
        <w:t xml:space="preserve"> </w:t>
      </w:r>
    </w:p>
    <w:p w:rsidR="009613B4" w:rsidRDefault="009613B4" w:rsidP="009613B4">
      <w:pPr>
        <w:spacing w:line="560" w:lineRule="exact"/>
        <w:ind w:firstLineChars="200" w:firstLine="560"/>
        <w:rPr>
          <w:rFonts w:ascii="仿宋_GB2312" w:hAnsi="仿宋_GB2312" w:cs="仿宋_GB2312"/>
          <w:bCs/>
          <w:sz w:val="28"/>
          <w:szCs w:val="28"/>
        </w:rPr>
      </w:pP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489"/>
        <w:gridCol w:w="489"/>
        <w:gridCol w:w="489"/>
        <w:gridCol w:w="489"/>
        <w:gridCol w:w="489"/>
        <w:gridCol w:w="489"/>
        <w:gridCol w:w="489"/>
        <w:gridCol w:w="490"/>
        <w:gridCol w:w="490"/>
        <w:gridCol w:w="509"/>
        <w:gridCol w:w="509"/>
        <w:gridCol w:w="509"/>
      </w:tblGrid>
      <w:tr w:rsidR="009613B4" w:rsidTr="008C3907">
        <w:trPr>
          <w:trHeight w:hRule="exact" w:val="454"/>
          <w:jc w:val="center"/>
        </w:trPr>
        <w:tc>
          <w:tcPr>
            <w:tcW w:w="2743" w:type="dxa"/>
            <w:vMerge w:val="restart"/>
            <w:shd w:val="clear" w:color="auto" w:fill="auto"/>
            <w:vAlign w:val="center"/>
          </w:tcPr>
          <w:p w:rsidR="009613B4" w:rsidRDefault="009613B4" w:rsidP="008C3907">
            <w:pPr>
              <w:spacing w:line="360" w:lineRule="auto"/>
              <w:jc w:val="center"/>
              <w:rPr>
                <w:rFonts w:ascii="仿宋_GB2312" w:hAnsi="仿宋_GB2312" w:cs="仿宋_GB2312"/>
                <w:bCs/>
                <w:sz w:val="24"/>
                <w:szCs w:val="24"/>
              </w:rPr>
            </w:pPr>
            <w:bookmarkStart w:id="49" w:name="_Hlk69806775"/>
            <w:r>
              <w:rPr>
                <w:rFonts w:ascii="仿宋_GB2312" w:hAnsi="仿宋_GB2312" w:cs="仿宋_GB2312" w:hint="eastAsia"/>
                <w:bCs/>
                <w:sz w:val="24"/>
                <w:szCs w:val="24"/>
              </w:rPr>
              <w:t>课程目标</w:t>
            </w:r>
          </w:p>
        </w:tc>
        <w:tc>
          <w:tcPr>
            <w:tcW w:w="6233" w:type="dxa"/>
            <w:gridSpan w:val="12"/>
            <w:shd w:val="clear" w:color="auto" w:fill="auto"/>
            <w:vAlign w:val="center"/>
          </w:tcPr>
          <w:p w:rsidR="009613B4" w:rsidRDefault="009613B4" w:rsidP="008C3907">
            <w:pPr>
              <w:jc w:val="center"/>
              <w:rPr>
                <w:rFonts w:ascii="仿宋_GB2312" w:hAnsi="仿宋_GB2312" w:cs="仿宋_GB2312"/>
                <w:bCs/>
                <w:sz w:val="24"/>
                <w:szCs w:val="24"/>
              </w:rPr>
            </w:pPr>
            <w:r>
              <w:rPr>
                <w:rFonts w:ascii="仿宋_GB2312" w:hAnsi="仿宋_GB2312" w:cs="仿宋_GB2312" w:hint="eastAsia"/>
                <w:bCs/>
                <w:sz w:val="24"/>
                <w:szCs w:val="24"/>
              </w:rPr>
              <w:t>毕业要求</w:t>
            </w:r>
          </w:p>
        </w:tc>
      </w:tr>
      <w:tr w:rsidR="009613B4" w:rsidTr="008C3907">
        <w:trPr>
          <w:trHeight w:hRule="exact" w:val="454"/>
          <w:jc w:val="center"/>
        </w:trPr>
        <w:tc>
          <w:tcPr>
            <w:tcW w:w="2743" w:type="dxa"/>
            <w:vMerge/>
            <w:shd w:val="clear" w:color="auto" w:fill="auto"/>
          </w:tcPr>
          <w:p w:rsidR="009613B4" w:rsidRDefault="009613B4" w:rsidP="008C3907">
            <w:pPr>
              <w:spacing w:line="360" w:lineRule="auto"/>
              <w:rPr>
                <w:rFonts w:ascii="仿宋_GB2312" w:hAnsi="仿宋_GB2312" w:cs="仿宋_GB2312"/>
                <w:bCs/>
                <w:sz w:val="24"/>
                <w:szCs w:val="24"/>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1</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2</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3</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4</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5</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6</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7</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8</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9</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10</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11</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12</w:t>
            </w:r>
          </w:p>
        </w:tc>
      </w:tr>
      <w:tr w:rsidR="009613B4" w:rsidTr="008C3907">
        <w:trPr>
          <w:trHeight w:hRule="exact" w:val="454"/>
          <w:jc w:val="center"/>
        </w:trPr>
        <w:tc>
          <w:tcPr>
            <w:tcW w:w="2743" w:type="dxa"/>
            <w:shd w:val="clear" w:color="auto" w:fill="auto"/>
            <w:vAlign w:val="center"/>
          </w:tcPr>
          <w:p w:rsidR="009613B4" w:rsidRDefault="009613B4" w:rsidP="008C3907">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知识目标</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r>
              <w:rPr>
                <w:rFonts w:ascii="仿宋" w:eastAsia="仿宋" w:hAnsi="仿宋" w:hint="eastAsia"/>
                <w:color w:val="000000"/>
                <w:kern w:val="0"/>
                <w:sz w:val="21"/>
                <w:szCs w:val="21"/>
              </w:rPr>
              <w:t>M</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r>
              <w:rPr>
                <w:rFonts w:ascii="仿宋" w:eastAsia="仿宋" w:hAnsi="仿宋" w:hint="eastAsia"/>
                <w:color w:val="000000"/>
                <w:kern w:val="0"/>
                <w:sz w:val="21"/>
                <w:szCs w:val="21"/>
              </w:rPr>
              <w:t>L</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r>
              <w:rPr>
                <w:rFonts w:ascii="仿宋" w:eastAsia="仿宋" w:hAnsi="仿宋" w:hint="eastAsia"/>
                <w:color w:val="000000"/>
                <w:kern w:val="0"/>
                <w:sz w:val="21"/>
                <w:szCs w:val="21"/>
              </w:rPr>
              <w:t>M</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r>
              <w:rPr>
                <w:rFonts w:ascii="仿宋" w:eastAsia="仿宋" w:hAnsi="仿宋" w:hint="eastAsia"/>
                <w:kern w:val="0"/>
                <w:sz w:val="21"/>
                <w:szCs w:val="21"/>
              </w:rPr>
              <w:t>H</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r>
      <w:tr w:rsidR="009613B4" w:rsidTr="008C3907">
        <w:trPr>
          <w:trHeight w:hRule="exact" w:val="454"/>
          <w:jc w:val="center"/>
        </w:trPr>
        <w:tc>
          <w:tcPr>
            <w:tcW w:w="2743" w:type="dxa"/>
            <w:shd w:val="clear" w:color="auto" w:fill="auto"/>
            <w:vAlign w:val="center"/>
          </w:tcPr>
          <w:p w:rsidR="009613B4" w:rsidRDefault="009613B4" w:rsidP="008C3907">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能力目标</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r>
              <w:rPr>
                <w:rFonts w:ascii="仿宋" w:eastAsia="仿宋" w:hAnsi="仿宋" w:hint="eastAsia"/>
                <w:kern w:val="0"/>
                <w:sz w:val="21"/>
                <w:szCs w:val="21"/>
              </w:rPr>
              <w:t>M</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r>
              <w:rPr>
                <w:rFonts w:ascii="仿宋" w:eastAsia="仿宋" w:hAnsi="仿宋" w:hint="eastAsia"/>
                <w:kern w:val="0"/>
                <w:sz w:val="21"/>
                <w:szCs w:val="21"/>
              </w:rPr>
              <w:t>M</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r>
      <w:tr w:rsidR="009613B4" w:rsidTr="008C3907">
        <w:trPr>
          <w:trHeight w:hRule="exact" w:val="454"/>
          <w:jc w:val="center"/>
        </w:trPr>
        <w:tc>
          <w:tcPr>
            <w:tcW w:w="2743" w:type="dxa"/>
            <w:shd w:val="clear" w:color="auto" w:fill="auto"/>
            <w:vAlign w:val="center"/>
          </w:tcPr>
          <w:p w:rsidR="009613B4" w:rsidRDefault="009613B4" w:rsidP="008C3907">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情感态度与价值观目标</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r>
              <w:rPr>
                <w:rFonts w:ascii="仿宋" w:eastAsia="仿宋" w:hAnsi="仿宋" w:hint="eastAsia"/>
                <w:kern w:val="0"/>
                <w:sz w:val="21"/>
                <w:szCs w:val="21"/>
              </w:rPr>
              <w:t>H</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1"/>
                <w:szCs w:val="21"/>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r>
    </w:tbl>
    <w:bookmarkEnd w:id="49"/>
    <w:p w:rsidR="009613B4" w:rsidRDefault="009613B4" w:rsidP="009613B4">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sz w:val="28"/>
          <w:szCs w:val="28"/>
        </w:rPr>
        <w:t>课程的重点：</w:t>
      </w:r>
      <w:r>
        <w:rPr>
          <w:rFonts w:ascii="仿宋_GB2312" w:hAnsi="仿宋_GB2312" w:cs="仿宋_GB2312" w:hint="eastAsia"/>
          <w:bCs/>
          <w:sz w:val="28"/>
          <w:szCs w:val="28"/>
        </w:rPr>
        <w:t>掌握等值计算和投资方案的比较与选择；了解不确定性分析，工程财务评价、国民经济评价和社会评价的方法；了解水工程建设项目基本程序、总投资的构成和可行性研究报告、可行性研究报告和工程估算的编制；了解水处理成本的构成、计算以及水价的分类、构成和制定；能够初步进行给排水工程项目经济评价。</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sz w:val="28"/>
          <w:szCs w:val="28"/>
        </w:rPr>
        <w:t>课程的难点：</w:t>
      </w:r>
      <w:r>
        <w:rPr>
          <w:rFonts w:ascii="仿宋_GB2312" w:hAnsi="仿宋_GB2312" w:cs="仿宋_GB2312" w:hint="eastAsia"/>
          <w:bCs/>
          <w:sz w:val="28"/>
          <w:szCs w:val="28"/>
        </w:rPr>
        <w:t>等值计算，投资方案比选；敏感度分析；投资估算。</w:t>
      </w:r>
    </w:p>
    <w:p w:rsidR="009613B4" w:rsidRDefault="009613B4" w:rsidP="009613B4">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本课程将社会主义核心价值观教育贯穿在课程教学中，把价值引领、知识传授、能力培养有机统一起来，让学生树立正确的金钱观、消费观和价值观，涉及相关的工程经济评价、比选、价值等问题，介绍相关的经典事件和经典人物，从而传递正能量，加强学生的思想道德教育，推进全员全过程全方位育人，让学生健康成长。</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p w:rsidR="009613B4" w:rsidRDefault="009613B4" w:rsidP="009613B4">
      <w:pPr>
        <w:spacing w:line="560" w:lineRule="exact"/>
        <w:outlineLvl w:val="0"/>
        <w:rPr>
          <w:rFonts w:ascii="仿宋_GB2312" w:hAnsi="仿宋_GB2312" w:cs="仿宋_GB2312"/>
          <w:sz w:val="28"/>
          <w:szCs w:val="28"/>
        </w:rPr>
      </w:pPr>
      <w:r>
        <w:rPr>
          <w:rFonts w:ascii="仿宋_GB2312" w:hAnsi="仿宋_GB2312" w:cs="仿宋_GB2312"/>
          <w:sz w:val="28"/>
          <w:szCs w:val="28"/>
        </w:rPr>
        <w:t>（一）教学内容结构关系图</w:t>
      </w:r>
    </w:p>
    <w:p w:rsidR="009613B4" w:rsidRDefault="009613B4" w:rsidP="009613B4">
      <w:pPr>
        <w:spacing w:line="560" w:lineRule="exact"/>
        <w:rPr>
          <w:szCs w:val="21"/>
        </w:rPr>
      </w:pPr>
      <w:r>
        <w:rPr>
          <w:noProof/>
          <w:szCs w:val="21"/>
        </w:rPr>
        <mc:AlternateContent>
          <mc:Choice Requires="wps">
            <w:drawing>
              <wp:anchor distT="0" distB="0" distL="114300" distR="114300" simplePos="0" relativeHeight="251706368" behindDoc="0" locked="0" layoutInCell="1" allowOverlap="1" wp14:anchorId="6BA06D71" wp14:editId="0493686A">
                <wp:simplePos x="0" y="0"/>
                <wp:positionH relativeFrom="column">
                  <wp:posOffset>822960</wp:posOffset>
                </wp:positionH>
                <wp:positionV relativeFrom="paragraph">
                  <wp:posOffset>115570</wp:posOffset>
                </wp:positionV>
                <wp:extent cx="3241040" cy="556260"/>
                <wp:effectExtent l="4445" t="4445" r="15875" b="18415"/>
                <wp:wrapNone/>
                <wp:docPr id="51" name="文本框 51"/>
                <wp:cNvGraphicFramePr/>
                <a:graphic xmlns:a="http://schemas.openxmlformats.org/drawingml/2006/main">
                  <a:graphicData uri="http://schemas.microsoft.com/office/word/2010/wordprocessingShape">
                    <wps:wsp>
                      <wps:cNvSpPr txBox="1"/>
                      <wps:spPr>
                        <a:xfrm>
                          <a:off x="0" y="0"/>
                          <a:ext cx="3241040" cy="5562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center"/>
                              <w:rPr>
                                <w:b/>
                                <w:sz w:val="24"/>
                                <w:szCs w:val="24"/>
                              </w:rPr>
                            </w:pPr>
                            <w:r>
                              <w:rPr>
                                <w:rFonts w:hint="eastAsia"/>
                                <w:b/>
                                <w:sz w:val="24"/>
                                <w:szCs w:val="24"/>
                              </w:rPr>
                              <w:t>绪</w:t>
                            </w:r>
                            <w:r>
                              <w:rPr>
                                <w:rFonts w:hint="eastAsia"/>
                                <w:b/>
                                <w:sz w:val="24"/>
                                <w:szCs w:val="24"/>
                              </w:rPr>
                              <w:t xml:space="preserve">  </w:t>
                            </w:r>
                            <w:r>
                              <w:rPr>
                                <w:rFonts w:hint="eastAsia"/>
                                <w:b/>
                                <w:sz w:val="24"/>
                                <w:szCs w:val="24"/>
                              </w:rPr>
                              <w:t>论</w:t>
                            </w:r>
                          </w:p>
                          <w:p w:rsidR="00702523" w:rsidRDefault="00702523" w:rsidP="009613B4">
                            <w:pPr>
                              <w:jc w:val="left"/>
                              <w:rPr>
                                <w:sz w:val="24"/>
                                <w:szCs w:val="24"/>
                              </w:rPr>
                            </w:pPr>
                            <w:r>
                              <w:rPr>
                                <w:rFonts w:hint="eastAsia"/>
                                <w:sz w:val="24"/>
                                <w:szCs w:val="24"/>
                              </w:rPr>
                              <w:t>水工程技术经济研究的主要内容、作用和意义。</w:t>
                            </w:r>
                          </w:p>
                        </w:txbxContent>
                      </wps:txbx>
                      <wps:bodyPr upright="1"/>
                    </wps:wsp>
                  </a:graphicData>
                </a:graphic>
              </wp:anchor>
            </w:drawing>
          </mc:Choice>
          <mc:Fallback>
            <w:pict>
              <v:shape w14:anchorId="6BA06D71" id="文本框 51" o:spid="_x0000_s1052" type="#_x0000_t202" style="position:absolute;left:0;text-align:left;margin-left:64.8pt;margin-top:9.1pt;width:255.2pt;height:43.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">
                <v:textbox>
                  <w:txbxContent>
                    <w:p w:rsidR="00702523" w:rsidRDefault="00702523" w:rsidP="009613B4">
                      <w:pPr>
                        <w:jc w:val="center"/>
                        <w:rPr>
                          <w:b/>
                          <w:sz w:val="24"/>
                          <w:szCs w:val="24"/>
                        </w:rPr>
                      </w:pPr>
                      <w:r>
                        <w:rPr>
                          <w:rFonts w:hint="eastAsia"/>
                          <w:b/>
                          <w:sz w:val="24"/>
                          <w:szCs w:val="24"/>
                        </w:rPr>
                        <w:t>绪</w:t>
                      </w:r>
                      <w:r>
                        <w:rPr>
                          <w:rFonts w:hint="eastAsia"/>
                          <w:b/>
                          <w:sz w:val="24"/>
                          <w:szCs w:val="24"/>
                        </w:rPr>
                        <w:t xml:space="preserve">  </w:t>
                      </w:r>
                      <w:r>
                        <w:rPr>
                          <w:rFonts w:hint="eastAsia"/>
                          <w:b/>
                          <w:sz w:val="24"/>
                          <w:szCs w:val="24"/>
                        </w:rPr>
                        <w:t>论</w:t>
                      </w:r>
                    </w:p>
                    <w:p w:rsidR="00702523" w:rsidRDefault="00702523" w:rsidP="009613B4">
                      <w:pPr>
                        <w:jc w:val="left"/>
                        <w:rPr>
                          <w:sz w:val="24"/>
                          <w:szCs w:val="24"/>
                        </w:rPr>
                      </w:pPr>
                      <w:r>
                        <w:rPr>
                          <w:rFonts w:hint="eastAsia"/>
                          <w:sz w:val="24"/>
                          <w:szCs w:val="24"/>
                        </w:rPr>
                        <w:t>水工程技术经济研究的主要内容、作用和意义。</w:t>
                      </w:r>
                    </w:p>
                  </w:txbxContent>
                </v:textbox>
              </v:shape>
            </w:pict>
          </mc:Fallback>
        </mc:AlternateContent>
      </w:r>
    </w:p>
    <w:p w:rsidR="009613B4" w:rsidRDefault="009613B4" w:rsidP="009613B4">
      <w:pPr>
        <w:spacing w:line="560" w:lineRule="exact"/>
        <w:rPr>
          <w:szCs w:val="21"/>
        </w:rPr>
      </w:pPr>
    </w:p>
    <w:p w:rsidR="009613B4" w:rsidRDefault="009613B4" w:rsidP="009613B4">
      <w:pPr>
        <w:spacing w:line="560" w:lineRule="exact"/>
        <w:rPr>
          <w:szCs w:val="21"/>
        </w:rPr>
      </w:pPr>
      <w:r>
        <w:rPr>
          <w:noProof/>
          <w:szCs w:val="21"/>
        </w:rPr>
        <mc:AlternateContent>
          <mc:Choice Requires="wps">
            <w:drawing>
              <wp:anchor distT="0" distB="0" distL="114300" distR="114300" simplePos="0" relativeHeight="251707392" behindDoc="0" locked="0" layoutInCell="1" allowOverlap="1" wp14:anchorId="26194E66" wp14:editId="33E1791F">
                <wp:simplePos x="0" y="0"/>
                <wp:positionH relativeFrom="column">
                  <wp:posOffset>4445</wp:posOffset>
                </wp:positionH>
                <wp:positionV relativeFrom="paragraph">
                  <wp:posOffset>312420</wp:posOffset>
                </wp:positionV>
                <wp:extent cx="5162550" cy="1030605"/>
                <wp:effectExtent l="5080" t="4445" r="13970" b="16510"/>
                <wp:wrapNone/>
                <wp:docPr id="52" name="矩形 52"/>
                <wp:cNvGraphicFramePr/>
                <a:graphic xmlns:a="http://schemas.openxmlformats.org/drawingml/2006/main">
                  <a:graphicData uri="http://schemas.microsoft.com/office/word/2010/wordprocessingShape">
                    <wps:wsp>
                      <wps:cNvSpPr/>
                      <wps:spPr>
                        <a:xfrm>
                          <a:off x="0" y="0"/>
                          <a:ext cx="5162550" cy="1030605"/>
                        </a:xfrm>
                        <a:prstGeom prst="rect">
                          <a:avLst/>
                        </a:prstGeom>
                        <a:noFill/>
                        <a:ln w="9525" cap="flat" cmpd="sng">
                          <a:solidFill>
                            <a:srgbClr val="000000"/>
                          </a:solidFill>
                          <a:prstDash val="lgDash"/>
                          <a:miter/>
                          <a:headEnd type="none" w="med" len="med"/>
                          <a:tailEnd type="none" w="med" len="med"/>
                        </a:ln>
                      </wps:spPr>
                      <wps:bodyPr upright="1"/>
                    </wps:wsp>
                  </a:graphicData>
                </a:graphic>
              </wp:anchor>
            </w:drawing>
          </mc:Choice>
          <mc:Fallback>
            <w:pict>
              <v:rect w14:anchorId="42915AE6" id="矩形 52" o:spid="_x0000_s1026" style="position:absolute;left:0;text-align:left;margin-left:.35pt;margin-top:24.6pt;width:406.5pt;height:81.1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" filled="f">
                <v:stroke dashstyle="longDash"/>
              </v:rect>
            </w:pict>
          </mc:Fallback>
        </mc:AlternateContent>
      </w:r>
      <w:r>
        <w:rPr>
          <w:noProof/>
          <w:szCs w:val="21"/>
        </w:rPr>
        <mc:AlternateContent>
          <mc:Choice Requires="wps">
            <w:drawing>
              <wp:anchor distT="0" distB="0" distL="114300" distR="114300" simplePos="0" relativeHeight="251704320" behindDoc="0" locked="0" layoutInCell="1" allowOverlap="1" wp14:anchorId="6BF05A79" wp14:editId="7ECBC758">
                <wp:simplePos x="0" y="0"/>
                <wp:positionH relativeFrom="column">
                  <wp:posOffset>2432685</wp:posOffset>
                </wp:positionH>
                <wp:positionV relativeFrom="paragraph">
                  <wp:posOffset>8255</wp:posOffset>
                </wp:positionV>
                <wp:extent cx="635" cy="236855"/>
                <wp:effectExtent l="37465" t="0" r="38100" b="6985"/>
                <wp:wrapNone/>
                <wp:docPr id="53" name="直接箭头连接符 53"/>
                <wp:cNvGraphicFramePr/>
                <a:graphic xmlns:a="http://schemas.openxmlformats.org/drawingml/2006/main">
                  <a:graphicData uri="http://schemas.microsoft.com/office/word/2010/wordprocessingShape">
                    <wps:wsp>
                      <wps:cNvCnPr/>
                      <wps:spPr>
                        <a:xfrm>
                          <a:off x="0" y="0"/>
                          <a:ext cx="635" cy="2368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6113880" id="直接箭头连接符 53" o:spid="_x0000_s1026" type="#_x0000_t32" style="position:absolute;left:0;text-align:left;margin-left:191.55pt;margin-top:.65pt;width:.05pt;height:18.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">
                <v:stroke endarrow="block"/>
              </v:shape>
            </w:pict>
          </mc:Fallback>
        </mc:AlternateContent>
      </w:r>
    </w:p>
    <w:p w:rsidR="009613B4" w:rsidRDefault="009613B4" w:rsidP="009613B4">
      <w:pPr>
        <w:spacing w:line="560" w:lineRule="exact"/>
        <w:rPr>
          <w:szCs w:val="21"/>
        </w:rPr>
      </w:pPr>
      <w:r>
        <w:rPr>
          <w:noProof/>
          <w:szCs w:val="21"/>
        </w:rPr>
        <mc:AlternateContent>
          <mc:Choice Requires="wps">
            <w:drawing>
              <wp:anchor distT="0" distB="0" distL="114300" distR="114300" simplePos="0" relativeHeight="251708416" behindDoc="0" locked="0" layoutInCell="1" allowOverlap="1" wp14:anchorId="6AAB70AE" wp14:editId="4E0EAAD6">
                <wp:simplePos x="0" y="0"/>
                <wp:positionH relativeFrom="column">
                  <wp:posOffset>146050</wp:posOffset>
                </wp:positionH>
                <wp:positionV relativeFrom="paragraph">
                  <wp:posOffset>140970</wp:posOffset>
                </wp:positionV>
                <wp:extent cx="2507615" cy="694055"/>
                <wp:effectExtent l="4445" t="4445" r="17780" b="17780"/>
                <wp:wrapNone/>
                <wp:docPr id="54" name="文本框 54"/>
                <wp:cNvGraphicFramePr/>
                <a:graphic xmlns:a="http://schemas.openxmlformats.org/drawingml/2006/main">
                  <a:graphicData uri="http://schemas.microsoft.com/office/word/2010/wordprocessingShape">
                    <wps:wsp>
                      <wps:cNvSpPr txBox="1"/>
                      <wps:spPr>
                        <a:xfrm>
                          <a:off x="0" y="0"/>
                          <a:ext cx="2507615"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center"/>
                              <w:rPr>
                                <w:b/>
                                <w:sz w:val="24"/>
                                <w:szCs w:val="24"/>
                              </w:rPr>
                            </w:pPr>
                            <w:r>
                              <w:rPr>
                                <w:rFonts w:hint="eastAsia"/>
                                <w:b/>
                                <w:sz w:val="24"/>
                                <w:szCs w:val="24"/>
                              </w:rPr>
                              <w:t>资金的时间价值与投资方案评价</w:t>
                            </w:r>
                          </w:p>
                          <w:p w:rsidR="00702523" w:rsidRDefault="00702523" w:rsidP="009613B4">
                            <w:pPr>
                              <w:jc w:val="left"/>
                              <w:rPr>
                                <w:sz w:val="24"/>
                                <w:szCs w:val="24"/>
                              </w:rPr>
                            </w:pPr>
                            <w:r>
                              <w:rPr>
                                <w:rFonts w:hint="eastAsia"/>
                                <w:sz w:val="24"/>
                                <w:szCs w:val="24"/>
                              </w:rPr>
                              <w:t>利息及等值计算、投资方案评价的主要判据及投资方案的比较与选择</w:t>
                            </w:r>
                          </w:p>
                        </w:txbxContent>
                      </wps:txbx>
                      <wps:bodyPr upright="1"/>
                    </wps:wsp>
                  </a:graphicData>
                </a:graphic>
              </wp:anchor>
            </w:drawing>
          </mc:Choice>
          <mc:Fallback>
            <w:pict>
              <v:shape w14:anchorId="6AAB70AE" id="文本框 54" o:spid="_x0000_s1053" type="#_x0000_t202" style="position:absolute;left:0;text-align:left;margin-left:11.5pt;margin-top:11.1pt;width:197.45pt;height:54.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">
                <v:textbox>
                  <w:txbxContent>
                    <w:p w:rsidR="00702523" w:rsidRDefault="00702523" w:rsidP="009613B4">
                      <w:pPr>
                        <w:jc w:val="center"/>
                        <w:rPr>
                          <w:b/>
                          <w:sz w:val="24"/>
                          <w:szCs w:val="24"/>
                        </w:rPr>
                      </w:pPr>
                      <w:r>
                        <w:rPr>
                          <w:rFonts w:hint="eastAsia"/>
                          <w:b/>
                          <w:sz w:val="24"/>
                          <w:szCs w:val="24"/>
                        </w:rPr>
                        <w:t>资金的时间价值与投资方案评价</w:t>
                      </w:r>
                    </w:p>
                    <w:p w:rsidR="00702523" w:rsidRDefault="00702523" w:rsidP="009613B4">
                      <w:pPr>
                        <w:jc w:val="left"/>
                        <w:rPr>
                          <w:sz w:val="24"/>
                          <w:szCs w:val="24"/>
                        </w:rPr>
                      </w:pPr>
                      <w:r>
                        <w:rPr>
                          <w:rFonts w:hint="eastAsia"/>
                          <w:sz w:val="24"/>
                          <w:szCs w:val="24"/>
                        </w:rPr>
                        <w:t>利息及等值计算、投资方案评价的主要判据及投资方案的比较与选择</w:t>
                      </w:r>
                    </w:p>
                  </w:txbxContent>
                </v:textbox>
              </v:shape>
            </w:pict>
          </mc:Fallback>
        </mc:AlternateContent>
      </w:r>
      <w:r>
        <w:rPr>
          <w:rFonts w:ascii="仿宋_GB2312" w:hAnsi="仿宋_GB2312" w:cs="仿宋_GB2312"/>
          <w:noProof/>
          <w:sz w:val="28"/>
          <w:szCs w:val="28"/>
        </w:rPr>
        <mc:AlternateContent>
          <mc:Choice Requires="wps">
            <w:drawing>
              <wp:anchor distT="0" distB="0" distL="114300" distR="114300" simplePos="0" relativeHeight="251709440" behindDoc="0" locked="0" layoutInCell="1" allowOverlap="1" wp14:anchorId="23BCB59A" wp14:editId="198F90F7">
                <wp:simplePos x="0" y="0"/>
                <wp:positionH relativeFrom="column">
                  <wp:posOffset>2749550</wp:posOffset>
                </wp:positionH>
                <wp:positionV relativeFrom="paragraph">
                  <wp:posOffset>133985</wp:posOffset>
                </wp:positionV>
                <wp:extent cx="2207260" cy="652780"/>
                <wp:effectExtent l="5080" t="4445" r="12700" b="13335"/>
                <wp:wrapNone/>
                <wp:docPr id="55" name="文本框 55"/>
                <wp:cNvGraphicFramePr/>
                <a:graphic xmlns:a="http://schemas.openxmlformats.org/drawingml/2006/main">
                  <a:graphicData uri="http://schemas.microsoft.com/office/word/2010/wordprocessingShape">
                    <wps:wsp>
                      <wps:cNvSpPr txBox="1"/>
                      <wps:spPr>
                        <a:xfrm>
                          <a:off x="0" y="0"/>
                          <a:ext cx="2207260" cy="652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center"/>
                              <w:rPr>
                                <w:b/>
                                <w:sz w:val="24"/>
                                <w:szCs w:val="24"/>
                              </w:rPr>
                            </w:pPr>
                            <w:r>
                              <w:rPr>
                                <w:rFonts w:hint="eastAsia"/>
                                <w:b/>
                                <w:sz w:val="24"/>
                                <w:szCs w:val="24"/>
                              </w:rPr>
                              <w:t>敏感度和风险分析</w:t>
                            </w:r>
                          </w:p>
                          <w:p w:rsidR="00702523" w:rsidRDefault="00702523" w:rsidP="009613B4">
                            <w:pPr>
                              <w:rPr>
                                <w:sz w:val="24"/>
                                <w:szCs w:val="24"/>
                              </w:rPr>
                            </w:pPr>
                            <w:r>
                              <w:rPr>
                                <w:rFonts w:hint="eastAsia"/>
                                <w:sz w:val="24"/>
                                <w:szCs w:val="24"/>
                              </w:rPr>
                              <w:t>风险因素、盈亏平衡、敏感性和概率分析</w:t>
                            </w:r>
                          </w:p>
                        </w:txbxContent>
                      </wps:txbx>
                      <wps:bodyPr upright="1"/>
                    </wps:wsp>
                  </a:graphicData>
                </a:graphic>
              </wp:anchor>
            </w:drawing>
          </mc:Choice>
          <mc:Fallback>
            <w:pict>
              <v:shape w14:anchorId="23BCB59A" id="文本框 55" o:spid="_x0000_s1054" type="#_x0000_t202" style="position:absolute;left:0;text-align:left;margin-left:216.5pt;margin-top:10.55pt;width:173.8pt;height:51.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">
                <v:textbox>
                  <w:txbxContent>
                    <w:p w:rsidR="00702523" w:rsidRDefault="00702523" w:rsidP="009613B4">
                      <w:pPr>
                        <w:jc w:val="center"/>
                        <w:rPr>
                          <w:b/>
                          <w:sz w:val="24"/>
                          <w:szCs w:val="24"/>
                        </w:rPr>
                      </w:pPr>
                      <w:r>
                        <w:rPr>
                          <w:rFonts w:hint="eastAsia"/>
                          <w:b/>
                          <w:sz w:val="24"/>
                          <w:szCs w:val="24"/>
                        </w:rPr>
                        <w:t>敏感度和风险分析</w:t>
                      </w:r>
                    </w:p>
                    <w:p w:rsidR="00702523" w:rsidRDefault="00702523" w:rsidP="009613B4">
                      <w:pPr>
                        <w:rPr>
                          <w:sz w:val="24"/>
                          <w:szCs w:val="24"/>
                        </w:rPr>
                      </w:pPr>
                      <w:r>
                        <w:rPr>
                          <w:rFonts w:hint="eastAsia"/>
                          <w:sz w:val="24"/>
                          <w:szCs w:val="24"/>
                        </w:rPr>
                        <w:t>风险因素、盈亏平衡、敏感性和概率分析</w:t>
                      </w:r>
                    </w:p>
                  </w:txbxContent>
                </v:textbox>
              </v:shape>
            </w:pict>
          </mc:Fallback>
        </mc:AlternateContent>
      </w:r>
    </w:p>
    <w:p w:rsidR="009613B4" w:rsidRDefault="009613B4" w:rsidP="009613B4">
      <w:pPr>
        <w:spacing w:line="560" w:lineRule="exact"/>
        <w:rPr>
          <w:szCs w:val="21"/>
        </w:rPr>
      </w:pPr>
    </w:p>
    <w:p w:rsidR="009613B4" w:rsidRDefault="009613B4" w:rsidP="009613B4">
      <w:pPr>
        <w:spacing w:line="560" w:lineRule="exact"/>
        <w:rPr>
          <w:szCs w:val="21"/>
        </w:rPr>
      </w:pPr>
      <w:r>
        <w:rPr>
          <w:noProof/>
          <w:szCs w:val="21"/>
        </w:rPr>
        <mc:AlternateContent>
          <mc:Choice Requires="wps">
            <w:drawing>
              <wp:anchor distT="0" distB="0" distL="114300" distR="114300" simplePos="0" relativeHeight="251705344" behindDoc="0" locked="0" layoutInCell="1" allowOverlap="1" wp14:anchorId="33B91A2A" wp14:editId="5F2D8D34">
                <wp:simplePos x="0" y="0"/>
                <wp:positionH relativeFrom="column">
                  <wp:posOffset>2480945</wp:posOffset>
                </wp:positionH>
                <wp:positionV relativeFrom="paragraph">
                  <wp:posOffset>295910</wp:posOffset>
                </wp:positionV>
                <wp:extent cx="1270" cy="262255"/>
                <wp:effectExtent l="37465" t="0" r="37465" b="12065"/>
                <wp:wrapNone/>
                <wp:docPr id="46" name="直接箭头连接符 46"/>
                <wp:cNvGraphicFramePr/>
                <a:graphic xmlns:a="http://schemas.openxmlformats.org/drawingml/2006/main">
                  <a:graphicData uri="http://schemas.microsoft.com/office/word/2010/wordprocessingShape">
                    <wps:wsp>
                      <wps:cNvCnPr/>
                      <wps:spPr>
                        <a:xfrm>
                          <a:off x="0" y="0"/>
                          <a:ext cx="1270" cy="262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1347733" id="直接箭头连接符 46" o:spid="_x0000_s1026" type="#_x0000_t32" style="position:absolute;left:0;text-align:left;margin-left:195.35pt;margin-top:23.3pt;width:.1pt;height:20.6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">
                <v:stroke endarrow="block"/>
              </v:shape>
            </w:pict>
          </mc:Fallback>
        </mc:AlternateContent>
      </w:r>
    </w:p>
    <w:p w:rsidR="009613B4" w:rsidRDefault="009613B4" w:rsidP="009613B4">
      <w:pPr>
        <w:spacing w:line="560" w:lineRule="exact"/>
        <w:rPr>
          <w:szCs w:val="21"/>
        </w:rPr>
      </w:pPr>
      <w:r>
        <w:rPr>
          <w:rFonts w:hint="eastAsia"/>
          <w:noProof/>
          <w:szCs w:val="21"/>
        </w:rPr>
        <mc:AlternateContent>
          <mc:Choice Requires="wps">
            <w:drawing>
              <wp:anchor distT="0" distB="0" distL="114300" distR="114300" simplePos="0" relativeHeight="251710464" behindDoc="0" locked="0" layoutInCell="1" allowOverlap="1" wp14:anchorId="718EFCD2" wp14:editId="15860AF0">
                <wp:simplePos x="0" y="0"/>
                <wp:positionH relativeFrom="column">
                  <wp:posOffset>4445</wp:posOffset>
                </wp:positionH>
                <wp:positionV relativeFrom="paragraph">
                  <wp:posOffset>297815</wp:posOffset>
                </wp:positionV>
                <wp:extent cx="5180330" cy="1183005"/>
                <wp:effectExtent l="5080" t="4445" r="11430" b="16510"/>
                <wp:wrapNone/>
                <wp:docPr id="56" name="矩形 56"/>
                <wp:cNvGraphicFramePr/>
                <a:graphic xmlns:a="http://schemas.openxmlformats.org/drawingml/2006/main">
                  <a:graphicData uri="http://schemas.microsoft.com/office/word/2010/wordprocessingShape">
                    <wps:wsp>
                      <wps:cNvSpPr/>
                      <wps:spPr>
                        <a:xfrm>
                          <a:off x="0" y="0"/>
                          <a:ext cx="5180330" cy="1183005"/>
                        </a:xfrm>
                        <a:prstGeom prst="rect">
                          <a:avLst/>
                        </a:prstGeom>
                        <a:noFill/>
                        <a:ln w="9525" cap="flat" cmpd="sng">
                          <a:solidFill>
                            <a:srgbClr val="000000"/>
                          </a:solidFill>
                          <a:prstDash val="lgDash"/>
                          <a:miter/>
                          <a:headEnd type="none" w="med" len="med"/>
                          <a:tailEnd type="none" w="med" len="med"/>
                        </a:ln>
                      </wps:spPr>
                      <wps:bodyPr upright="1"/>
                    </wps:wsp>
                  </a:graphicData>
                </a:graphic>
              </wp:anchor>
            </w:drawing>
          </mc:Choice>
          <mc:Fallback>
            <w:pict>
              <v:rect w14:anchorId="559F6043" id="矩形 56" o:spid="_x0000_s1026" style="position:absolute;left:0;text-align:left;margin-left:.35pt;margin-top:23.45pt;width:407.9pt;height:93.1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" filled="f">
                <v:stroke dashstyle="longDash"/>
              </v:rect>
            </w:pict>
          </mc:Fallback>
        </mc:AlternateContent>
      </w:r>
    </w:p>
    <w:p w:rsidR="009613B4" w:rsidRDefault="009613B4" w:rsidP="009613B4">
      <w:pPr>
        <w:spacing w:line="560" w:lineRule="exact"/>
        <w:rPr>
          <w:szCs w:val="21"/>
        </w:rPr>
      </w:pPr>
      <w:r>
        <w:rPr>
          <w:rFonts w:ascii="仿宋_GB2312" w:hAnsi="仿宋_GB2312" w:cs="仿宋_GB2312"/>
          <w:noProof/>
          <w:sz w:val="28"/>
          <w:szCs w:val="28"/>
        </w:rPr>
        <mc:AlternateContent>
          <mc:Choice Requires="wps">
            <w:drawing>
              <wp:anchor distT="0" distB="0" distL="114300" distR="114300" simplePos="0" relativeHeight="251711488" behindDoc="0" locked="0" layoutInCell="1" allowOverlap="1" wp14:anchorId="525E5C66" wp14:editId="090B8C46">
                <wp:simplePos x="0" y="0"/>
                <wp:positionH relativeFrom="column">
                  <wp:posOffset>229870</wp:posOffset>
                </wp:positionH>
                <wp:positionV relativeFrom="paragraph">
                  <wp:posOffset>61595</wp:posOffset>
                </wp:positionV>
                <wp:extent cx="2061845" cy="823595"/>
                <wp:effectExtent l="4445" t="4445" r="6350" b="10160"/>
                <wp:wrapNone/>
                <wp:docPr id="47" name="文本框 47"/>
                <wp:cNvGraphicFramePr/>
                <a:graphic xmlns:a="http://schemas.openxmlformats.org/drawingml/2006/main">
                  <a:graphicData uri="http://schemas.microsoft.com/office/word/2010/wordprocessingShape">
                    <wps:wsp>
                      <wps:cNvSpPr txBox="1"/>
                      <wps:spPr>
                        <a:xfrm>
                          <a:off x="0" y="0"/>
                          <a:ext cx="2061845" cy="8235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center"/>
                              <w:rPr>
                                <w:b/>
                                <w:sz w:val="24"/>
                                <w:szCs w:val="24"/>
                              </w:rPr>
                            </w:pPr>
                            <w:r>
                              <w:rPr>
                                <w:rFonts w:hint="eastAsia"/>
                                <w:b/>
                                <w:sz w:val="24"/>
                                <w:szCs w:val="24"/>
                              </w:rPr>
                              <w:t>工程项目财务分析</w:t>
                            </w:r>
                          </w:p>
                          <w:p w:rsidR="00702523" w:rsidRDefault="00702523" w:rsidP="009613B4">
                            <w:pPr>
                              <w:jc w:val="left"/>
                              <w:rPr>
                                <w:sz w:val="24"/>
                                <w:szCs w:val="24"/>
                              </w:rPr>
                            </w:pPr>
                            <w:r>
                              <w:rPr>
                                <w:rFonts w:hint="eastAsia"/>
                                <w:sz w:val="24"/>
                                <w:szCs w:val="24"/>
                              </w:rPr>
                              <w:t>项目投资费用、盈利能力分析及清偿能力分析</w:t>
                            </w:r>
                          </w:p>
                        </w:txbxContent>
                      </wps:txbx>
                      <wps:bodyPr upright="1"/>
                    </wps:wsp>
                  </a:graphicData>
                </a:graphic>
              </wp:anchor>
            </w:drawing>
          </mc:Choice>
          <mc:Fallback>
            <w:pict>
              <v:shape w14:anchorId="525E5C66" id="文本框 47" o:spid="_x0000_s1055" type="#_x0000_t202" style="position:absolute;left:0;text-align:left;margin-left:18.1pt;margin-top:4.85pt;width:162.35pt;height:64.8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">
                <v:textbox>
                  <w:txbxContent>
                    <w:p w:rsidR="00702523" w:rsidRDefault="00702523" w:rsidP="009613B4">
                      <w:pPr>
                        <w:jc w:val="center"/>
                        <w:rPr>
                          <w:b/>
                          <w:sz w:val="24"/>
                          <w:szCs w:val="24"/>
                        </w:rPr>
                      </w:pPr>
                      <w:r>
                        <w:rPr>
                          <w:rFonts w:hint="eastAsia"/>
                          <w:b/>
                          <w:sz w:val="24"/>
                          <w:szCs w:val="24"/>
                        </w:rPr>
                        <w:t>工程项目财务分析</w:t>
                      </w:r>
                    </w:p>
                    <w:p w:rsidR="00702523" w:rsidRDefault="00702523" w:rsidP="009613B4">
                      <w:pPr>
                        <w:jc w:val="left"/>
                        <w:rPr>
                          <w:sz w:val="24"/>
                          <w:szCs w:val="24"/>
                        </w:rPr>
                      </w:pPr>
                      <w:r>
                        <w:rPr>
                          <w:rFonts w:hint="eastAsia"/>
                          <w:sz w:val="24"/>
                          <w:szCs w:val="24"/>
                        </w:rPr>
                        <w:t>项目投资费用、盈利能力分析及清偿能力分析</w:t>
                      </w:r>
                    </w:p>
                  </w:txbxContent>
                </v:textbox>
              </v:shape>
            </w:pict>
          </mc:Fallback>
        </mc:AlternateContent>
      </w:r>
      <w:r>
        <w:rPr>
          <w:rFonts w:ascii="仿宋_GB2312" w:hAnsi="仿宋_GB2312" w:cs="仿宋_GB2312"/>
          <w:noProof/>
          <w:sz w:val="28"/>
          <w:szCs w:val="28"/>
        </w:rPr>
        <mc:AlternateContent>
          <mc:Choice Requires="wps">
            <w:drawing>
              <wp:anchor distT="0" distB="0" distL="114300" distR="114300" simplePos="0" relativeHeight="251712512" behindDoc="0" locked="0" layoutInCell="1" allowOverlap="1" wp14:anchorId="1B111D64" wp14:editId="7AA15580">
                <wp:simplePos x="0" y="0"/>
                <wp:positionH relativeFrom="column">
                  <wp:posOffset>2556510</wp:posOffset>
                </wp:positionH>
                <wp:positionV relativeFrom="paragraph">
                  <wp:posOffset>27940</wp:posOffset>
                </wp:positionV>
                <wp:extent cx="2374900" cy="893445"/>
                <wp:effectExtent l="4445" t="5080" r="13335" b="15875"/>
                <wp:wrapNone/>
                <wp:docPr id="43" name="文本框 43"/>
                <wp:cNvGraphicFramePr/>
                <a:graphic xmlns:a="http://schemas.openxmlformats.org/drawingml/2006/main">
                  <a:graphicData uri="http://schemas.microsoft.com/office/word/2010/wordprocessingShape">
                    <wps:wsp>
                      <wps:cNvSpPr txBox="1"/>
                      <wps:spPr>
                        <a:xfrm>
                          <a:off x="0" y="0"/>
                          <a:ext cx="2374900" cy="8934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center"/>
                              <w:rPr>
                                <w:b/>
                                <w:sz w:val="24"/>
                                <w:szCs w:val="24"/>
                              </w:rPr>
                            </w:pPr>
                            <w:r>
                              <w:rPr>
                                <w:rFonts w:hint="eastAsia"/>
                                <w:b/>
                                <w:sz w:val="24"/>
                                <w:szCs w:val="24"/>
                              </w:rPr>
                              <w:t>费用—效益分析</w:t>
                            </w:r>
                          </w:p>
                          <w:p w:rsidR="00702523" w:rsidRDefault="00702523" w:rsidP="009613B4">
                            <w:pPr>
                              <w:jc w:val="left"/>
                              <w:rPr>
                                <w:sz w:val="24"/>
                                <w:szCs w:val="24"/>
                              </w:rPr>
                            </w:pPr>
                            <w:r>
                              <w:rPr>
                                <w:rFonts w:hint="eastAsia"/>
                                <w:sz w:val="24"/>
                                <w:szCs w:val="24"/>
                              </w:rPr>
                              <w:t>财务评价、国民经济评价和社会评价；国民经济评价参数、</w:t>
                            </w:r>
                            <w:r>
                              <w:rPr>
                                <w:rFonts w:hint="eastAsia"/>
                                <w:sz w:val="24"/>
                                <w:szCs w:val="24"/>
                              </w:rPr>
                              <w:t xml:space="preserve"> </w:t>
                            </w:r>
                            <w:r>
                              <w:rPr>
                                <w:rFonts w:hint="eastAsia"/>
                                <w:sz w:val="24"/>
                                <w:szCs w:val="24"/>
                              </w:rPr>
                              <w:t>国民经济评价指标及费用效益分析方法</w:t>
                            </w:r>
                          </w:p>
                        </w:txbxContent>
                      </wps:txbx>
                      <wps:bodyPr upright="1"/>
                    </wps:wsp>
                  </a:graphicData>
                </a:graphic>
              </wp:anchor>
            </w:drawing>
          </mc:Choice>
          <mc:Fallback>
            <w:pict>
              <v:shape w14:anchorId="1B111D64" id="文本框 43" o:spid="_x0000_s1056" type="#_x0000_t202" style="position:absolute;left:0;text-align:left;margin-left:201.3pt;margin-top:2.2pt;width:187pt;height:70.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">
                <v:textbox>
                  <w:txbxContent>
                    <w:p w:rsidR="00702523" w:rsidRDefault="00702523" w:rsidP="009613B4">
                      <w:pPr>
                        <w:jc w:val="center"/>
                        <w:rPr>
                          <w:b/>
                          <w:sz w:val="24"/>
                          <w:szCs w:val="24"/>
                        </w:rPr>
                      </w:pPr>
                      <w:r>
                        <w:rPr>
                          <w:rFonts w:hint="eastAsia"/>
                          <w:b/>
                          <w:sz w:val="24"/>
                          <w:szCs w:val="24"/>
                        </w:rPr>
                        <w:t>费用—效益分析</w:t>
                      </w:r>
                    </w:p>
                    <w:p w:rsidR="00702523" w:rsidRDefault="00702523" w:rsidP="009613B4">
                      <w:pPr>
                        <w:jc w:val="left"/>
                        <w:rPr>
                          <w:sz w:val="24"/>
                          <w:szCs w:val="24"/>
                        </w:rPr>
                      </w:pPr>
                      <w:r>
                        <w:rPr>
                          <w:rFonts w:hint="eastAsia"/>
                          <w:sz w:val="24"/>
                          <w:szCs w:val="24"/>
                        </w:rPr>
                        <w:t>财务评价、国民经济评价和社会评价；国民经济评价参数、</w:t>
                      </w:r>
                      <w:r>
                        <w:rPr>
                          <w:rFonts w:hint="eastAsia"/>
                          <w:sz w:val="24"/>
                          <w:szCs w:val="24"/>
                        </w:rPr>
                        <w:t xml:space="preserve"> </w:t>
                      </w:r>
                      <w:r>
                        <w:rPr>
                          <w:rFonts w:hint="eastAsia"/>
                          <w:sz w:val="24"/>
                          <w:szCs w:val="24"/>
                        </w:rPr>
                        <w:t>国民经济评价指标及费用效益分析方法</w:t>
                      </w:r>
                    </w:p>
                  </w:txbxContent>
                </v:textbox>
              </v:shape>
            </w:pict>
          </mc:Fallback>
        </mc:AlternateContent>
      </w:r>
    </w:p>
    <w:p w:rsidR="009613B4" w:rsidRDefault="009613B4" w:rsidP="009613B4">
      <w:pPr>
        <w:spacing w:line="560" w:lineRule="exact"/>
        <w:outlineLvl w:val="0"/>
        <w:rPr>
          <w:rFonts w:ascii="仿宋_GB2312" w:hAnsi="仿宋_GB2312" w:cs="仿宋_GB2312"/>
          <w:sz w:val="28"/>
          <w:szCs w:val="28"/>
        </w:rPr>
      </w:pPr>
    </w:p>
    <w:p w:rsidR="009613B4" w:rsidRDefault="009613B4" w:rsidP="009613B4">
      <w:pPr>
        <w:spacing w:line="560" w:lineRule="exact"/>
        <w:outlineLvl w:val="0"/>
        <w:rPr>
          <w:rFonts w:ascii="仿宋_GB2312" w:hAnsi="仿宋_GB2312" w:cs="仿宋_GB2312"/>
          <w:sz w:val="28"/>
          <w:szCs w:val="28"/>
        </w:rPr>
      </w:pPr>
    </w:p>
    <w:p w:rsidR="009613B4" w:rsidRDefault="009613B4" w:rsidP="009613B4">
      <w:pPr>
        <w:spacing w:line="560" w:lineRule="exact"/>
        <w:outlineLvl w:val="0"/>
        <w:rPr>
          <w:rFonts w:ascii="仿宋_GB2312" w:hAnsi="仿宋_GB2312" w:cs="仿宋_GB2312"/>
          <w:sz w:val="28"/>
          <w:szCs w:val="28"/>
        </w:rPr>
      </w:pPr>
    </w:p>
    <w:p w:rsidR="009613B4" w:rsidRDefault="009613B4" w:rsidP="009613B4">
      <w:pPr>
        <w:spacing w:line="560" w:lineRule="exact"/>
        <w:outlineLvl w:val="0"/>
        <w:rPr>
          <w:rFonts w:ascii="仿宋_GB2312" w:hAnsi="仿宋_GB2312" w:cs="仿宋_GB2312"/>
          <w:sz w:val="28"/>
          <w:szCs w:val="28"/>
        </w:rPr>
      </w:pPr>
      <w:r>
        <w:rPr>
          <w:rFonts w:ascii="仿宋_GB2312" w:hAnsi="仿宋_GB2312" w:cs="仿宋_GB2312"/>
          <w:noProof/>
          <w:sz w:val="28"/>
          <w:szCs w:val="28"/>
        </w:rPr>
        <mc:AlternateContent>
          <mc:Choice Requires="wps">
            <w:drawing>
              <wp:anchor distT="0" distB="0" distL="114300" distR="114300" simplePos="0" relativeHeight="251713536" behindDoc="0" locked="0" layoutInCell="1" allowOverlap="1" wp14:anchorId="1A59F6FB" wp14:editId="0864A8D2">
                <wp:simplePos x="0" y="0"/>
                <wp:positionH relativeFrom="column">
                  <wp:posOffset>2459355</wp:posOffset>
                </wp:positionH>
                <wp:positionV relativeFrom="paragraph">
                  <wp:posOffset>6985</wp:posOffset>
                </wp:positionV>
                <wp:extent cx="0" cy="238125"/>
                <wp:effectExtent l="38100" t="0" r="38100" b="5715"/>
                <wp:wrapNone/>
                <wp:docPr id="50" name="直接箭头连接符 50"/>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E0C322B" id="直接箭头连接符 50" o:spid="_x0000_s1026" type="#_x0000_t32" style="position:absolute;left:0;text-align:left;margin-left:193.65pt;margin-top:.55pt;width:0;height:18.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">
                <v:stroke endarrow="block"/>
              </v:shape>
            </w:pict>
          </mc:Fallback>
        </mc:AlternateContent>
      </w:r>
    </w:p>
    <w:p w:rsidR="009613B4" w:rsidRDefault="009613B4" w:rsidP="009613B4">
      <w:pPr>
        <w:spacing w:line="560" w:lineRule="exact"/>
        <w:outlineLvl w:val="0"/>
        <w:rPr>
          <w:rFonts w:ascii="仿宋_GB2312" w:hAnsi="仿宋_GB2312" w:cs="仿宋_GB2312"/>
          <w:sz w:val="28"/>
          <w:szCs w:val="28"/>
        </w:rPr>
      </w:pPr>
      <w:r>
        <w:rPr>
          <w:rFonts w:ascii="仿宋_GB2312" w:hAnsi="仿宋_GB2312" w:cs="仿宋_GB2312"/>
          <w:noProof/>
          <w:sz w:val="28"/>
          <w:szCs w:val="28"/>
        </w:rPr>
        <mc:AlternateContent>
          <mc:Choice Requires="wps">
            <w:drawing>
              <wp:anchor distT="0" distB="0" distL="114300" distR="114300" simplePos="0" relativeHeight="251717632" behindDoc="0" locked="0" layoutInCell="1" allowOverlap="1" wp14:anchorId="18AD2528" wp14:editId="45773118">
                <wp:simplePos x="0" y="0"/>
                <wp:positionH relativeFrom="column">
                  <wp:posOffset>3588385</wp:posOffset>
                </wp:positionH>
                <wp:positionV relativeFrom="paragraph">
                  <wp:posOffset>182880</wp:posOffset>
                </wp:positionV>
                <wp:extent cx="1567180" cy="1077595"/>
                <wp:effectExtent l="5080" t="4445" r="12700" b="15240"/>
                <wp:wrapNone/>
                <wp:docPr id="44" name="文本框 44"/>
                <wp:cNvGraphicFramePr/>
                <a:graphic xmlns:a="http://schemas.openxmlformats.org/drawingml/2006/main">
                  <a:graphicData uri="http://schemas.microsoft.com/office/word/2010/wordprocessingShape">
                    <wps:wsp>
                      <wps:cNvSpPr txBox="1"/>
                      <wps:spPr>
                        <a:xfrm>
                          <a:off x="0" y="0"/>
                          <a:ext cx="1567180" cy="10775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center"/>
                              <w:rPr>
                                <w:b/>
                                <w:sz w:val="24"/>
                                <w:szCs w:val="24"/>
                              </w:rPr>
                            </w:pPr>
                            <w:r>
                              <w:rPr>
                                <w:rFonts w:hint="eastAsia"/>
                                <w:b/>
                                <w:sz w:val="24"/>
                                <w:szCs w:val="24"/>
                              </w:rPr>
                              <w:t>水工程的运营费用分析</w:t>
                            </w:r>
                          </w:p>
                          <w:p w:rsidR="00702523" w:rsidRDefault="00702523" w:rsidP="009613B4">
                            <w:pPr>
                              <w:jc w:val="left"/>
                              <w:rPr>
                                <w:sz w:val="24"/>
                                <w:szCs w:val="24"/>
                              </w:rPr>
                            </w:pPr>
                            <w:r>
                              <w:rPr>
                                <w:rFonts w:hint="eastAsia"/>
                                <w:sz w:val="24"/>
                                <w:szCs w:val="24"/>
                              </w:rPr>
                              <w:t>运营费用的组成，运营费用的计算及给水排水工程收费预测</w:t>
                            </w:r>
                          </w:p>
                        </w:txbxContent>
                      </wps:txbx>
                      <wps:bodyPr upright="1"/>
                    </wps:wsp>
                  </a:graphicData>
                </a:graphic>
              </wp:anchor>
            </w:drawing>
          </mc:Choice>
          <mc:Fallback>
            <w:pict>
              <v:shape w14:anchorId="18AD2528" id="文本框 44" o:spid="_x0000_s1057" type="#_x0000_t202" style="position:absolute;left:0;text-align:left;margin-left:282.55pt;margin-top:14.4pt;width:123.4pt;height:84.8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">
                <v:textbox>
                  <w:txbxContent>
                    <w:p w:rsidR="00702523" w:rsidRDefault="00702523" w:rsidP="009613B4">
                      <w:pPr>
                        <w:jc w:val="center"/>
                        <w:rPr>
                          <w:b/>
                          <w:sz w:val="24"/>
                          <w:szCs w:val="24"/>
                        </w:rPr>
                      </w:pPr>
                      <w:r>
                        <w:rPr>
                          <w:rFonts w:hint="eastAsia"/>
                          <w:b/>
                          <w:sz w:val="24"/>
                          <w:szCs w:val="24"/>
                        </w:rPr>
                        <w:t>水工程的运营费用分析</w:t>
                      </w:r>
                    </w:p>
                    <w:p w:rsidR="00702523" w:rsidRDefault="00702523" w:rsidP="009613B4">
                      <w:pPr>
                        <w:jc w:val="left"/>
                        <w:rPr>
                          <w:sz w:val="24"/>
                          <w:szCs w:val="24"/>
                        </w:rPr>
                      </w:pPr>
                      <w:r>
                        <w:rPr>
                          <w:rFonts w:hint="eastAsia"/>
                          <w:sz w:val="24"/>
                          <w:szCs w:val="24"/>
                        </w:rPr>
                        <w:t>运营费用的组成，运营费用的计算及给水排水工程收费预测</w:t>
                      </w:r>
                    </w:p>
                  </w:txbxContent>
                </v:textbox>
              </v:shape>
            </w:pict>
          </mc:Fallback>
        </mc:AlternateContent>
      </w:r>
      <w:r>
        <w:rPr>
          <w:rFonts w:ascii="仿宋_GB2312" w:hAnsi="仿宋_GB2312" w:cs="仿宋_GB2312"/>
          <w:noProof/>
          <w:sz w:val="28"/>
          <w:szCs w:val="28"/>
        </w:rPr>
        <mc:AlternateContent>
          <mc:Choice Requires="wps">
            <w:drawing>
              <wp:anchor distT="0" distB="0" distL="114300" distR="114300" simplePos="0" relativeHeight="251716608" behindDoc="0" locked="0" layoutInCell="1" allowOverlap="1" wp14:anchorId="08A33D17" wp14:editId="796B46E3">
                <wp:simplePos x="0" y="0"/>
                <wp:positionH relativeFrom="column">
                  <wp:posOffset>1953895</wp:posOffset>
                </wp:positionH>
                <wp:positionV relativeFrom="paragraph">
                  <wp:posOffset>190500</wp:posOffset>
                </wp:positionV>
                <wp:extent cx="1559560" cy="1104265"/>
                <wp:effectExtent l="4445" t="4445" r="5715" b="19050"/>
                <wp:wrapNone/>
                <wp:docPr id="49" name="文本框 49"/>
                <wp:cNvGraphicFramePr/>
                <a:graphic xmlns:a="http://schemas.openxmlformats.org/drawingml/2006/main">
                  <a:graphicData uri="http://schemas.microsoft.com/office/word/2010/wordprocessingShape">
                    <wps:wsp>
                      <wps:cNvSpPr txBox="1"/>
                      <wps:spPr>
                        <a:xfrm>
                          <a:off x="0" y="0"/>
                          <a:ext cx="1559560" cy="11042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left"/>
                              <w:rPr>
                                <w:b/>
                                <w:sz w:val="24"/>
                                <w:szCs w:val="24"/>
                              </w:rPr>
                            </w:pPr>
                            <w:r>
                              <w:rPr>
                                <w:rFonts w:hint="eastAsia"/>
                                <w:b/>
                                <w:sz w:val="24"/>
                                <w:szCs w:val="24"/>
                              </w:rPr>
                              <w:t>水工程项目估算的编制</w:t>
                            </w:r>
                            <w:r>
                              <w:rPr>
                                <w:rFonts w:hint="eastAsia"/>
                                <w:sz w:val="24"/>
                                <w:szCs w:val="24"/>
                              </w:rPr>
                              <w:t>定额和使用，工程量计算，投资估算的编制方法与步骤</w:t>
                            </w:r>
                          </w:p>
                        </w:txbxContent>
                      </wps:txbx>
                      <wps:bodyPr upright="1"/>
                    </wps:wsp>
                  </a:graphicData>
                </a:graphic>
              </wp:anchor>
            </w:drawing>
          </mc:Choice>
          <mc:Fallback>
            <w:pict>
              <v:shape w14:anchorId="08A33D17" id="文本框 49" o:spid="_x0000_s1058" type="#_x0000_t202" style="position:absolute;left:0;text-align:left;margin-left:153.85pt;margin-top:15pt;width:122.8pt;height:86.9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">
                <v:textbox>
                  <w:txbxContent>
                    <w:p w:rsidR="00702523" w:rsidRDefault="00702523" w:rsidP="009613B4">
                      <w:pPr>
                        <w:jc w:val="left"/>
                        <w:rPr>
                          <w:b/>
                          <w:sz w:val="24"/>
                          <w:szCs w:val="24"/>
                        </w:rPr>
                      </w:pPr>
                      <w:r>
                        <w:rPr>
                          <w:rFonts w:hint="eastAsia"/>
                          <w:b/>
                          <w:sz w:val="24"/>
                          <w:szCs w:val="24"/>
                        </w:rPr>
                        <w:t>水工程项目估算的编制</w:t>
                      </w:r>
                      <w:r>
                        <w:rPr>
                          <w:rFonts w:hint="eastAsia"/>
                          <w:sz w:val="24"/>
                          <w:szCs w:val="24"/>
                        </w:rPr>
                        <w:t>定额和使用，工程量计算，投资估算的编制方法与步骤</w:t>
                      </w:r>
                    </w:p>
                  </w:txbxContent>
                </v:textbox>
              </v:shape>
            </w:pict>
          </mc:Fallback>
        </mc:AlternateContent>
      </w:r>
      <w:r>
        <w:rPr>
          <w:rFonts w:ascii="仿宋_GB2312" w:hAnsi="仿宋_GB2312" w:cs="仿宋_GB2312"/>
          <w:noProof/>
          <w:sz w:val="28"/>
          <w:szCs w:val="28"/>
        </w:rPr>
        <mc:AlternateContent>
          <mc:Choice Requires="wps">
            <w:drawing>
              <wp:anchor distT="0" distB="0" distL="114300" distR="114300" simplePos="0" relativeHeight="251715584" behindDoc="0" locked="0" layoutInCell="1" allowOverlap="1" wp14:anchorId="238B60C3" wp14:editId="350BDAB4">
                <wp:simplePos x="0" y="0"/>
                <wp:positionH relativeFrom="column">
                  <wp:posOffset>81915</wp:posOffset>
                </wp:positionH>
                <wp:positionV relativeFrom="paragraph">
                  <wp:posOffset>198120</wp:posOffset>
                </wp:positionV>
                <wp:extent cx="1799590" cy="1123950"/>
                <wp:effectExtent l="4445" t="4445" r="9525" b="14605"/>
                <wp:wrapNone/>
                <wp:docPr id="48" name="文本框 48"/>
                <wp:cNvGraphicFramePr/>
                <a:graphic xmlns:a="http://schemas.openxmlformats.org/drawingml/2006/main">
                  <a:graphicData uri="http://schemas.microsoft.com/office/word/2010/wordprocessingShape">
                    <wps:wsp>
                      <wps:cNvSpPr txBox="1"/>
                      <wps:spPr>
                        <a:xfrm>
                          <a:off x="0" y="0"/>
                          <a:ext cx="1799590" cy="11239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center"/>
                              <w:rPr>
                                <w:b/>
                                <w:sz w:val="24"/>
                                <w:szCs w:val="24"/>
                              </w:rPr>
                            </w:pPr>
                            <w:r>
                              <w:rPr>
                                <w:rFonts w:hint="eastAsia"/>
                                <w:b/>
                                <w:sz w:val="24"/>
                                <w:szCs w:val="24"/>
                              </w:rPr>
                              <w:t>水工程建设项目投资</w:t>
                            </w:r>
                          </w:p>
                          <w:p w:rsidR="00702523" w:rsidRDefault="00702523" w:rsidP="009613B4">
                            <w:pPr>
                              <w:rPr>
                                <w:sz w:val="24"/>
                                <w:szCs w:val="24"/>
                              </w:rPr>
                            </w:pPr>
                            <w:r>
                              <w:rPr>
                                <w:rFonts w:hint="eastAsia"/>
                                <w:sz w:val="24"/>
                                <w:szCs w:val="24"/>
                              </w:rPr>
                              <w:t>基本建设程序，建设项目可行性研究，建设项目总投资构成及投资估算方法</w:t>
                            </w:r>
                          </w:p>
                        </w:txbxContent>
                      </wps:txbx>
                      <wps:bodyPr upright="1"/>
                    </wps:wsp>
                  </a:graphicData>
                </a:graphic>
              </wp:anchor>
            </w:drawing>
          </mc:Choice>
          <mc:Fallback>
            <w:pict>
              <v:shape w14:anchorId="238B60C3" id="文本框 48" o:spid="_x0000_s1059" type="#_x0000_t202" style="position:absolute;left:0;text-align:left;margin-left:6.45pt;margin-top:15.6pt;width:141.7pt;height:8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">
                <v:textbox>
                  <w:txbxContent>
                    <w:p w:rsidR="00702523" w:rsidRDefault="00702523" w:rsidP="009613B4">
                      <w:pPr>
                        <w:jc w:val="center"/>
                        <w:rPr>
                          <w:b/>
                          <w:sz w:val="24"/>
                          <w:szCs w:val="24"/>
                        </w:rPr>
                      </w:pPr>
                      <w:r>
                        <w:rPr>
                          <w:rFonts w:hint="eastAsia"/>
                          <w:b/>
                          <w:sz w:val="24"/>
                          <w:szCs w:val="24"/>
                        </w:rPr>
                        <w:t>水工程建设项目投资</w:t>
                      </w:r>
                    </w:p>
                    <w:p w:rsidR="00702523" w:rsidRDefault="00702523" w:rsidP="009613B4">
                      <w:pPr>
                        <w:rPr>
                          <w:sz w:val="24"/>
                          <w:szCs w:val="24"/>
                        </w:rPr>
                      </w:pPr>
                      <w:r>
                        <w:rPr>
                          <w:rFonts w:hint="eastAsia"/>
                          <w:sz w:val="24"/>
                          <w:szCs w:val="24"/>
                        </w:rPr>
                        <w:t>基本建设程序，建设项目可行性研究，建设项目总投资构成及投资估算方法</w:t>
                      </w:r>
                    </w:p>
                  </w:txbxContent>
                </v:textbox>
              </v:shape>
            </w:pict>
          </mc:Fallback>
        </mc:AlternateContent>
      </w:r>
      <w:r>
        <w:rPr>
          <w:rFonts w:ascii="仿宋_GB2312" w:hAnsi="仿宋_GB2312" w:cs="仿宋_GB2312"/>
          <w:noProof/>
          <w:sz w:val="28"/>
          <w:szCs w:val="28"/>
        </w:rPr>
        <mc:AlternateContent>
          <mc:Choice Requires="wps">
            <w:drawing>
              <wp:anchor distT="0" distB="0" distL="114300" distR="114300" simplePos="0" relativeHeight="251714560" behindDoc="0" locked="0" layoutInCell="1" allowOverlap="1" wp14:anchorId="22D1F845" wp14:editId="6C2E307A">
                <wp:simplePos x="0" y="0"/>
                <wp:positionH relativeFrom="column">
                  <wp:posOffset>6985</wp:posOffset>
                </wp:positionH>
                <wp:positionV relativeFrom="paragraph">
                  <wp:posOffset>3810</wp:posOffset>
                </wp:positionV>
                <wp:extent cx="5208905" cy="1484630"/>
                <wp:effectExtent l="4445" t="4445" r="13970" b="19685"/>
                <wp:wrapNone/>
                <wp:docPr id="45" name="矩形 45"/>
                <wp:cNvGraphicFramePr/>
                <a:graphic xmlns:a="http://schemas.openxmlformats.org/drawingml/2006/main">
                  <a:graphicData uri="http://schemas.microsoft.com/office/word/2010/wordprocessingShape">
                    <wps:wsp>
                      <wps:cNvSpPr/>
                      <wps:spPr>
                        <a:xfrm>
                          <a:off x="0" y="0"/>
                          <a:ext cx="5208905" cy="1484630"/>
                        </a:xfrm>
                        <a:prstGeom prst="rect">
                          <a:avLst/>
                        </a:prstGeom>
                        <a:noFill/>
                        <a:ln w="9525" cap="flat" cmpd="sng">
                          <a:solidFill>
                            <a:srgbClr val="000000"/>
                          </a:solidFill>
                          <a:prstDash val="lgDash"/>
                          <a:miter/>
                          <a:headEnd type="none" w="med" len="med"/>
                          <a:tailEnd type="none" w="med" len="med"/>
                        </a:ln>
                      </wps:spPr>
                      <wps:bodyPr upright="1"/>
                    </wps:wsp>
                  </a:graphicData>
                </a:graphic>
              </wp:anchor>
            </w:drawing>
          </mc:Choice>
          <mc:Fallback>
            <w:pict>
              <v:rect w14:anchorId="475CF615" id="矩形 45" o:spid="_x0000_s1026" style="position:absolute;left:0;text-align:left;margin-left:.55pt;margin-top:.3pt;width:410.15pt;height:116.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" filled="f">
                <v:stroke dashstyle="longDash"/>
              </v:rect>
            </w:pict>
          </mc:Fallback>
        </mc:AlternateContent>
      </w:r>
    </w:p>
    <w:p w:rsidR="009613B4" w:rsidRDefault="009613B4" w:rsidP="009613B4">
      <w:pPr>
        <w:spacing w:line="560" w:lineRule="exact"/>
        <w:outlineLvl w:val="0"/>
        <w:rPr>
          <w:rFonts w:ascii="仿宋_GB2312" w:hAnsi="仿宋_GB2312" w:cs="仿宋_GB2312"/>
          <w:sz w:val="28"/>
          <w:szCs w:val="28"/>
        </w:rPr>
      </w:pPr>
    </w:p>
    <w:p w:rsidR="009613B4" w:rsidRDefault="009613B4" w:rsidP="009613B4">
      <w:pPr>
        <w:spacing w:line="560" w:lineRule="exact"/>
        <w:outlineLvl w:val="0"/>
        <w:rPr>
          <w:rFonts w:ascii="仿宋_GB2312" w:hAnsi="仿宋_GB2312" w:cs="仿宋_GB2312"/>
          <w:sz w:val="28"/>
          <w:szCs w:val="28"/>
        </w:rPr>
      </w:pPr>
    </w:p>
    <w:p w:rsidR="009613B4" w:rsidRDefault="009613B4" w:rsidP="009613B4">
      <w:pPr>
        <w:spacing w:line="560" w:lineRule="exact"/>
        <w:outlineLvl w:val="0"/>
        <w:rPr>
          <w:rFonts w:ascii="仿宋_GB2312" w:hAnsi="仿宋_GB2312" w:cs="仿宋_GB2312"/>
          <w:sz w:val="28"/>
          <w:szCs w:val="28"/>
        </w:rPr>
      </w:pPr>
    </w:p>
    <w:p w:rsidR="009613B4" w:rsidRDefault="009613B4" w:rsidP="009613B4">
      <w:pPr>
        <w:spacing w:line="560" w:lineRule="exact"/>
        <w:outlineLvl w:val="0"/>
        <w:rPr>
          <w:rFonts w:ascii="仿宋_GB2312" w:hAnsi="仿宋_GB2312" w:cs="仿宋_GB2312"/>
          <w:sz w:val="28"/>
          <w:szCs w:val="28"/>
        </w:rPr>
      </w:pPr>
    </w:p>
    <w:p w:rsidR="009613B4" w:rsidRDefault="009613B4" w:rsidP="009613B4">
      <w:pPr>
        <w:spacing w:line="560" w:lineRule="exact"/>
        <w:outlineLvl w:val="0"/>
        <w:rPr>
          <w:rFonts w:ascii="仿宋_GB2312" w:hAnsi="仿宋_GB2312" w:cs="仿宋_GB2312"/>
          <w:sz w:val="28"/>
          <w:szCs w:val="28"/>
        </w:rPr>
      </w:pPr>
      <w:r>
        <w:rPr>
          <w:rFonts w:ascii="仿宋_GB2312" w:hAnsi="仿宋_GB2312" w:cs="仿宋_GB2312"/>
          <w:sz w:val="28"/>
          <w:szCs w:val="28"/>
        </w:rPr>
        <w:t>（二）具体教学内容</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709"/>
        <w:gridCol w:w="2551"/>
        <w:gridCol w:w="4391"/>
      </w:tblGrid>
      <w:tr w:rsidR="009613B4" w:rsidTr="008C3907">
        <w:trPr>
          <w:cantSplit/>
          <w:trHeight w:val="389"/>
        </w:trPr>
        <w:tc>
          <w:tcPr>
            <w:tcW w:w="534"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序号</w:t>
            </w:r>
          </w:p>
        </w:tc>
        <w:tc>
          <w:tcPr>
            <w:tcW w:w="141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kern w:val="0"/>
                <w:sz w:val="20"/>
                <w:szCs w:val="20"/>
              </w:rPr>
              <w:t>节</w:t>
            </w:r>
          </w:p>
        </w:tc>
        <w:tc>
          <w:tcPr>
            <w:tcW w:w="709"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参考学时</w:t>
            </w:r>
          </w:p>
        </w:tc>
        <w:tc>
          <w:tcPr>
            <w:tcW w:w="2551" w:type="dxa"/>
            <w:vAlign w:val="center"/>
          </w:tcPr>
          <w:p w:rsidR="009613B4" w:rsidRDefault="009613B4" w:rsidP="008C3907">
            <w:pPr>
              <w:spacing w:line="360" w:lineRule="auto"/>
              <w:ind w:firstLineChars="450" w:firstLine="900"/>
              <w:jc w:val="left"/>
              <w:rPr>
                <w:rFonts w:ascii="Times New Roman" w:hAnsi="Times New Roman"/>
                <w:kern w:val="0"/>
                <w:sz w:val="20"/>
                <w:szCs w:val="20"/>
              </w:rPr>
            </w:pPr>
            <w:r>
              <w:rPr>
                <w:rFonts w:ascii="Times New Roman" w:hAnsi="Times New Roman"/>
                <w:kern w:val="0"/>
                <w:sz w:val="20"/>
                <w:szCs w:val="20"/>
              </w:rPr>
              <w:t>教学内容</w:t>
            </w:r>
          </w:p>
        </w:tc>
        <w:tc>
          <w:tcPr>
            <w:tcW w:w="4391"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基本要求</w:t>
            </w:r>
          </w:p>
        </w:tc>
      </w:tr>
      <w:tr w:rsidR="009613B4" w:rsidTr="008C3907">
        <w:trPr>
          <w:cantSplit/>
          <w:trHeight w:val="990"/>
        </w:trPr>
        <w:tc>
          <w:tcPr>
            <w:tcW w:w="534"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1</w:t>
            </w:r>
          </w:p>
        </w:tc>
        <w:tc>
          <w:tcPr>
            <w:tcW w:w="141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第一章</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绪</w:t>
            </w:r>
            <w:r>
              <w:rPr>
                <w:rFonts w:ascii="Times New Roman" w:hAnsi="Times New Roman" w:hint="eastAsia"/>
                <w:kern w:val="0"/>
                <w:sz w:val="20"/>
                <w:szCs w:val="20"/>
              </w:rPr>
              <w:t xml:space="preserve">  </w:t>
            </w:r>
            <w:r>
              <w:rPr>
                <w:rFonts w:ascii="Times New Roman" w:hAnsi="Times New Roman" w:hint="eastAsia"/>
                <w:kern w:val="0"/>
                <w:sz w:val="20"/>
                <w:szCs w:val="20"/>
              </w:rPr>
              <w:t>论</w:t>
            </w:r>
          </w:p>
        </w:tc>
        <w:tc>
          <w:tcPr>
            <w:tcW w:w="709"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1</w:t>
            </w:r>
          </w:p>
        </w:tc>
        <w:tc>
          <w:tcPr>
            <w:tcW w:w="2551" w:type="dxa"/>
            <w:vAlign w:val="center"/>
          </w:tcPr>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工程技术经济学科的产生和发展</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水工程经济研究的目的、意义、对象、内容和作用</w:t>
            </w:r>
          </w:p>
        </w:tc>
        <w:tc>
          <w:tcPr>
            <w:tcW w:w="4391" w:type="dxa"/>
            <w:vAlign w:val="center"/>
          </w:tcPr>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了解本课程的产生与发展，技术、经济的概念，工程技术经济学的基本任务。</w:t>
            </w:r>
          </w:p>
          <w:p w:rsidR="009613B4" w:rsidRDefault="009613B4" w:rsidP="008C3907">
            <w:pPr>
              <w:spacing w:line="360" w:lineRule="auto"/>
              <w:jc w:val="left"/>
              <w:rPr>
                <w:rFonts w:ascii="Times New Roman" w:hAnsi="Times New Roman"/>
                <w:kern w:val="0"/>
                <w:sz w:val="20"/>
                <w:szCs w:val="20"/>
              </w:rPr>
            </w:pPr>
            <w:r>
              <w:rPr>
                <w:rFonts w:ascii="Times New Roman" w:hAnsi="Times New Roman"/>
                <w:kern w:val="0"/>
                <w:sz w:val="20"/>
                <w:szCs w:val="20"/>
              </w:rPr>
              <w:t>2.</w:t>
            </w:r>
            <w:r>
              <w:rPr>
                <w:rFonts w:ascii="Times New Roman" w:hAnsi="Times New Roman" w:hint="eastAsia"/>
                <w:kern w:val="0"/>
                <w:sz w:val="20"/>
                <w:szCs w:val="20"/>
              </w:rPr>
              <w:t>了解水工程技术经济研究的主要内容，水工程进行技术经济分析的作用和意义。</w:t>
            </w:r>
          </w:p>
        </w:tc>
      </w:tr>
      <w:tr w:rsidR="009613B4" w:rsidTr="008C3907">
        <w:trPr>
          <w:trHeight w:val="2430"/>
        </w:trPr>
        <w:tc>
          <w:tcPr>
            <w:tcW w:w="534"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lastRenderedPageBreak/>
              <w:t>2</w:t>
            </w:r>
          </w:p>
        </w:tc>
        <w:tc>
          <w:tcPr>
            <w:tcW w:w="141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第二章</w:t>
            </w:r>
            <w:r>
              <w:rPr>
                <w:rFonts w:ascii="Times New Roman" w:hAnsi="Times New Roman" w:hint="eastAsia"/>
                <w:kern w:val="0"/>
                <w:sz w:val="20"/>
                <w:szCs w:val="20"/>
              </w:rPr>
              <w:t xml:space="preserve"> </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资金的时间价值与投资方案评价</w:t>
            </w:r>
          </w:p>
        </w:tc>
        <w:tc>
          <w:tcPr>
            <w:tcW w:w="709"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7</w:t>
            </w:r>
          </w:p>
        </w:tc>
        <w:tc>
          <w:tcPr>
            <w:tcW w:w="2551" w:type="dxa"/>
            <w:vAlign w:val="center"/>
          </w:tcPr>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利息计算</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等值计算</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投资方案评价的主要判据</w:t>
            </w:r>
          </w:p>
          <w:p w:rsidR="009613B4" w:rsidRDefault="009613B4" w:rsidP="008C3907">
            <w:pPr>
              <w:spacing w:line="360" w:lineRule="auto"/>
              <w:ind w:left="600" w:hangingChars="300" w:hanging="600"/>
              <w:jc w:val="left"/>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投资方案的比较与选择</w:t>
            </w:r>
          </w:p>
        </w:tc>
        <w:tc>
          <w:tcPr>
            <w:tcW w:w="4391" w:type="dxa"/>
            <w:vAlign w:val="center"/>
          </w:tcPr>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掌握利息、名义利率和实际利率的计算，绘制现金流量图。</w:t>
            </w:r>
          </w:p>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了解等值含义，掌握等值计算公式</w:t>
            </w:r>
          </w:p>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掌握投资回收期等评价判据的概念和计算方法，了解几种判据的比较</w:t>
            </w:r>
          </w:p>
          <w:p w:rsidR="009613B4" w:rsidRDefault="009613B4" w:rsidP="008C3907">
            <w:pPr>
              <w:widowControl/>
              <w:spacing w:line="360" w:lineRule="auto"/>
              <w:jc w:val="left"/>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了解投资方案分类和比较原则，静态分析法，掌握动态分析法。</w:t>
            </w:r>
          </w:p>
        </w:tc>
      </w:tr>
      <w:tr w:rsidR="009613B4" w:rsidTr="008C3907">
        <w:trPr>
          <w:trHeight w:val="2203"/>
        </w:trPr>
        <w:tc>
          <w:tcPr>
            <w:tcW w:w="534" w:type="dxa"/>
            <w:vAlign w:val="center"/>
          </w:tcPr>
          <w:p w:rsidR="009613B4" w:rsidRDefault="009613B4" w:rsidP="008C3907">
            <w:pPr>
              <w:spacing w:line="360" w:lineRule="auto"/>
              <w:jc w:val="center"/>
              <w:rPr>
                <w:rFonts w:ascii="Times New Roman" w:hAnsi="Times New Roman"/>
                <w:kern w:val="0"/>
                <w:sz w:val="20"/>
                <w:szCs w:val="20"/>
              </w:rPr>
            </w:pPr>
          </w:p>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3</w:t>
            </w:r>
          </w:p>
        </w:tc>
        <w:tc>
          <w:tcPr>
            <w:tcW w:w="141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第三章</w:t>
            </w:r>
            <w:r>
              <w:rPr>
                <w:rFonts w:ascii="Times New Roman" w:hAnsi="Times New Roman" w:hint="eastAsia"/>
                <w:kern w:val="0"/>
                <w:sz w:val="20"/>
                <w:szCs w:val="20"/>
              </w:rPr>
              <w:t xml:space="preserve"> </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敏感度和风险分析</w:t>
            </w:r>
          </w:p>
        </w:tc>
        <w:tc>
          <w:tcPr>
            <w:tcW w:w="709"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3</w:t>
            </w:r>
          </w:p>
        </w:tc>
        <w:tc>
          <w:tcPr>
            <w:tcW w:w="2551" w:type="dxa"/>
            <w:vAlign w:val="center"/>
          </w:tcPr>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风险因素和敏感度分析</w:t>
            </w:r>
          </w:p>
        </w:tc>
        <w:tc>
          <w:tcPr>
            <w:tcW w:w="4391" w:type="dxa"/>
            <w:vAlign w:val="center"/>
          </w:tcPr>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．了解风险因素和传统决策方法</w:t>
            </w:r>
          </w:p>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．掌握盈亏平衡分析，单因素敏感性分析和概率分析。</w:t>
            </w:r>
          </w:p>
        </w:tc>
      </w:tr>
      <w:tr w:rsidR="009613B4" w:rsidTr="008C3907">
        <w:trPr>
          <w:trHeight w:val="274"/>
        </w:trPr>
        <w:tc>
          <w:tcPr>
            <w:tcW w:w="534"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4</w:t>
            </w:r>
          </w:p>
        </w:tc>
        <w:tc>
          <w:tcPr>
            <w:tcW w:w="141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第四章</w:t>
            </w:r>
            <w:r>
              <w:rPr>
                <w:rFonts w:ascii="Times New Roman" w:hAnsi="Times New Roman" w:hint="eastAsia"/>
                <w:kern w:val="0"/>
                <w:sz w:val="20"/>
                <w:szCs w:val="20"/>
              </w:rPr>
              <w:t xml:space="preserve">  </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工程项目</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财务分析</w:t>
            </w:r>
          </w:p>
        </w:tc>
        <w:tc>
          <w:tcPr>
            <w:tcW w:w="709"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4</w:t>
            </w:r>
          </w:p>
        </w:tc>
        <w:tc>
          <w:tcPr>
            <w:tcW w:w="2551" w:type="dxa"/>
            <w:vAlign w:val="center"/>
          </w:tcPr>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项目投资费用</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盈利能力分析</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清偿能力分析</w:t>
            </w:r>
          </w:p>
        </w:tc>
        <w:tc>
          <w:tcPr>
            <w:tcW w:w="4391" w:type="dxa"/>
            <w:vAlign w:val="center"/>
          </w:tcPr>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．了解项目投资费用构成，投资计划与资金的筹措。</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．了解收入、成本和费用，掌握固定资产折旧方法。</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．了解现金流量表，盈利能力分析。</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4. </w:t>
            </w:r>
            <w:r>
              <w:rPr>
                <w:rFonts w:ascii="Times New Roman" w:hAnsi="Times New Roman" w:hint="eastAsia"/>
                <w:kern w:val="0"/>
                <w:sz w:val="20"/>
                <w:szCs w:val="20"/>
              </w:rPr>
              <w:t>了解资金在时间上的平衡，资产负债表，清偿能力分析。</w:t>
            </w:r>
          </w:p>
        </w:tc>
      </w:tr>
      <w:tr w:rsidR="009613B4" w:rsidTr="008C3907">
        <w:trPr>
          <w:trHeight w:val="1204"/>
        </w:trPr>
        <w:tc>
          <w:tcPr>
            <w:tcW w:w="534"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5</w:t>
            </w:r>
          </w:p>
        </w:tc>
        <w:tc>
          <w:tcPr>
            <w:tcW w:w="141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第五章</w:t>
            </w:r>
            <w:r>
              <w:rPr>
                <w:rFonts w:ascii="Times New Roman" w:hAnsi="Times New Roman" w:hint="eastAsia"/>
                <w:kern w:val="0"/>
                <w:sz w:val="20"/>
                <w:szCs w:val="20"/>
              </w:rPr>
              <w:t xml:space="preserve">  </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费用—效益分析</w:t>
            </w:r>
          </w:p>
        </w:tc>
        <w:tc>
          <w:tcPr>
            <w:tcW w:w="709"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2</w:t>
            </w:r>
          </w:p>
        </w:tc>
        <w:tc>
          <w:tcPr>
            <w:tcW w:w="2551" w:type="dxa"/>
            <w:vAlign w:val="center"/>
          </w:tcPr>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财务评价、国民经济评价和社会评价。</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国民经济评价参数。</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国民经济评价指标。</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费用效益分析</w:t>
            </w:r>
          </w:p>
        </w:tc>
        <w:tc>
          <w:tcPr>
            <w:tcW w:w="4391" w:type="dxa"/>
            <w:vAlign w:val="center"/>
          </w:tcPr>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．了解财务评价，国民经济评价和社会评价的区别，导致评价不同的原因。</w:t>
            </w:r>
          </w:p>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．了解影子价格，费用和效益的识别。</w:t>
            </w:r>
          </w:p>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 xml:space="preserve">3. </w:t>
            </w:r>
            <w:r>
              <w:rPr>
                <w:rFonts w:ascii="Times New Roman" w:hAnsi="Times New Roman" w:hint="eastAsia"/>
                <w:kern w:val="0"/>
                <w:sz w:val="20"/>
                <w:szCs w:val="20"/>
              </w:rPr>
              <w:t>了解经济内部收益率等国民经济评价指标。</w:t>
            </w:r>
          </w:p>
          <w:p w:rsidR="009613B4" w:rsidRDefault="009613B4" w:rsidP="008C3907">
            <w:pPr>
              <w:snapToGrid w:val="0"/>
              <w:spacing w:line="360" w:lineRule="auto"/>
              <w:jc w:val="left"/>
              <w:rPr>
                <w:rFonts w:ascii="Times New Roman" w:hAnsi="Times New Roman"/>
                <w:kern w:val="0"/>
                <w:sz w:val="20"/>
                <w:szCs w:val="20"/>
              </w:rPr>
            </w:pPr>
            <w:r>
              <w:rPr>
                <w:rFonts w:ascii="Times New Roman" w:hAnsi="Times New Roman" w:hint="eastAsia"/>
                <w:kern w:val="0"/>
                <w:sz w:val="20"/>
                <w:szCs w:val="20"/>
              </w:rPr>
              <w:t xml:space="preserve">4. </w:t>
            </w:r>
            <w:r>
              <w:rPr>
                <w:rFonts w:ascii="Times New Roman" w:hAnsi="Times New Roman" w:hint="eastAsia"/>
                <w:kern w:val="0"/>
                <w:sz w:val="20"/>
                <w:szCs w:val="20"/>
              </w:rPr>
              <w:t>了解费用效益分析基本报表，费用效益分析的原则和方法。</w:t>
            </w:r>
          </w:p>
        </w:tc>
      </w:tr>
      <w:tr w:rsidR="009613B4" w:rsidTr="008C3907">
        <w:trPr>
          <w:trHeight w:val="1204"/>
        </w:trPr>
        <w:tc>
          <w:tcPr>
            <w:tcW w:w="534"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6</w:t>
            </w:r>
          </w:p>
        </w:tc>
        <w:tc>
          <w:tcPr>
            <w:tcW w:w="141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第六章</w:t>
            </w:r>
            <w:r>
              <w:rPr>
                <w:rFonts w:ascii="Times New Roman" w:hAnsi="Times New Roman" w:hint="eastAsia"/>
                <w:kern w:val="0"/>
                <w:sz w:val="20"/>
                <w:szCs w:val="20"/>
              </w:rPr>
              <w:t xml:space="preserve"> </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水工程建设项目投资</w:t>
            </w:r>
          </w:p>
        </w:tc>
        <w:tc>
          <w:tcPr>
            <w:tcW w:w="709"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2</w:t>
            </w:r>
          </w:p>
        </w:tc>
        <w:tc>
          <w:tcPr>
            <w:tcW w:w="2551" w:type="dxa"/>
            <w:vAlign w:val="center"/>
          </w:tcPr>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基本建设程序。</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建设项目总投资</w:t>
            </w:r>
          </w:p>
        </w:tc>
        <w:tc>
          <w:tcPr>
            <w:tcW w:w="4391" w:type="dxa"/>
            <w:vAlign w:val="center"/>
          </w:tcPr>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．了解基本建设的定义及内容，基本建设程序，建设项目的可行性研究。</w:t>
            </w:r>
          </w:p>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．了解建设项目的总投资构成，建设项目资产与</w:t>
            </w:r>
            <w:r>
              <w:rPr>
                <w:rFonts w:ascii="Times New Roman" w:hAnsi="Times New Roman" w:hint="eastAsia"/>
                <w:kern w:val="0"/>
                <w:sz w:val="20"/>
                <w:szCs w:val="20"/>
              </w:rPr>
              <w:lastRenderedPageBreak/>
              <w:t>投资的关系，流动资金计算方法，建设项目投资估算方法。</w:t>
            </w:r>
          </w:p>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 xml:space="preserve">3. </w:t>
            </w:r>
            <w:r>
              <w:rPr>
                <w:rFonts w:ascii="Times New Roman" w:hAnsi="Times New Roman" w:hint="eastAsia"/>
                <w:kern w:val="0"/>
                <w:sz w:val="20"/>
                <w:szCs w:val="20"/>
              </w:rPr>
              <w:t>掌握估算概算预算决算之间的关系。</w:t>
            </w:r>
          </w:p>
        </w:tc>
      </w:tr>
      <w:tr w:rsidR="009613B4" w:rsidTr="008C3907">
        <w:trPr>
          <w:trHeight w:val="1204"/>
        </w:trPr>
        <w:tc>
          <w:tcPr>
            <w:tcW w:w="534"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lastRenderedPageBreak/>
              <w:t>7</w:t>
            </w:r>
          </w:p>
        </w:tc>
        <w:tc>
          <w:tcPr>
            <w:tcW w:w="141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第七章</w:t>
            </w:r>
            <w:r>
              <w:rPr>
                <w:rFonts w:ascii="Times New Roman" w:hAnsi="Times New Roman" w:hint="eastAsia"/>
                <w:kern w:val="0"/>
                <w:sz w:val="20"/>
                <w:szCs w:val="20"/>
              </w:rPr>
              <w:t xml:space="preserve">  </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水工程项目估算的编制</w:t>
            </w:r>
          </w:p>
        </w:tc>
        <w:tc>
          <w:tcPr>
            <w:tcW w:w="709"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3</w:t>
            </w:r>
          </w:p>
        </w:tc>
        <w:tc>
          <w:tcPr>
            <w:tcW w:w="2551" w:type="dxa"/>
            <w:vAlign w:val="center"/>
          </w:tcPr>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定额和使用</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工程量计算</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估算的编制方法与步骤</w:t>
            </w:r>
          </w:p>
        </w:tc>
        <w:tc>
          <w:tcPr>
            <w:tcW w:w="4391" w:type="dxa"/>
            <w:vAlign w:val="center"/>
          </w:tcPr>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．了解定额的分类和原则，水工程投资估算指标。</w:t>
            </w:r>
          </w:p>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．了解工程量计算的原则，不同类型工程量的计算</w:t>
            </w:r>
          </w:p>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．了解投资估算文件的组成、编制方法。</w:t>
            </w:r>
          </w:p>
        </w:tc>
      </w:tr>
      <w:tr w:rsidR="009613B4" w:rsidTr="008C3907">
        <w:trPr>
          <w:trHeight w:val="1204"/>
        </w:trPr>
        <w:tc>
          <w:tcPr>
            <w:tcW w:w="534"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8</w:t>
            </w:r>
          </w:p>
        </w:tc>
        <w:tc>
          <w:tcPr>
            <w:tcW w:w="141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第八章</w:t>
            </w:r>
            <w:r>
              <w:rPr>
                <w:rFonts w:ascii="Times New Roman" w:hAnsi="Times New Roman" w:hint="eastAsia"/>
                <w:kern w:val="0"/>
                <w:sz w:val="20"/>
                <w:szCs w:val="20"/>
              </w:rPr>
              <w:t xml:space="preserve">  </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水工程的运营费用分析</w:t>
            </w:r>
          </w:p>
        </w:tc>
        <w:tc>
          <w:tcPr>
            <w:tcW w:w="709"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2</w:t>
            </w:r>
          </w:p>
        </w:tc>
        <w:tc>
          <w:tcPr>
            <w:tcW w:w="2551" w:type="dxa"/>
            <w:vAlign w:val="center"/>
          </w:tcPr>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运营费用的组成</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运营费用的计算。</w:t>
            </w:r>
          </w:p>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给水排水工程收费预测。</w:t>
            </w:r>
          </w:p>
        </w:tc>
        <w:tc>
          <w:tcPr>
            <w:tcW w:w="4391" w:type="dxa"/>
            <w:vAlign w:val="center"/>
          </w:tcPr>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．了解运营费用的组成，运营费用基本计算参数。</w:t>
            </w:r>
          </w:p>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．了解给水工程，污水处理成本计算</w:t>
            </w:r>
            <w:r>
              <w:rPr>
                <w:rFonts w:ascii="Times New Roman" w:hAnsi="Times New Roman" w:hint="eastAsia"/>
                <w:kern w:val="0"/>
                <w:sz w:val="20"/>
                <w:szCs w:val="20"/>
              </w:rPr>
              <w:t xml:space="preserve"> </w:t>
            </w:r>
          </w:p>
          <w:p w:rsidR="009613B4" w:rsidRDefault="009613B4" w:rsidP="008C3907">
            <w:pPr>
              <w:spacing w:line="360" w:lineRule="auto"/>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．了解水价的分类与构成，水价的预测和制定</w:t>
            </w:r>
          </w:p>
        </w:tc>
      </w:tr>
    </w:tbl>
    <w:p w:rsidR="009613B4" w:rsidRDefault="009613B4" w:rsidP="009613B4">
      <w:pPr>
        <w:spacing w:line="560" w:lineRule="exact"/>
        <w:outlineLvl w:val="0"/>
        <w:rPr>
          <w:rFonts w:ascii="仿宋_GB2312" w:hAnsi="仿宋_GB2312" w:cs="仿宋_GB2312"/>
          <w:sz w:val="28"/>
          <w:szCs w:val="28"/>
        </w:rPr>
      </w:pP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本课程考核方式</w:t>
      </w:r>
      <w:r>
        <w:rPr>
          <w:rFonts w:ascii="仿宋_GB2312" w:hAnsi="仿宋_GB2312" w:cs="仿宋_GB2312"/>
          <w:sz w:val="28"/>
          <w:szCs w:val="28"/>
        </w:rPr>
        <w:t>为考查</w:t>
      </w:r>
      <w:r>
        <w:rPr>
          <w:rFonts w:ascii="仿宋_GB2312" w:hAnsi="仿宋_GB2312" w:cs="仿宋_GB2312" w:hint="eastAsia"/>
          <w:sz w:val="28"/>
          <w:szCs w:val="28"/>
        </w:rPr>
        <w:t>。</w:t>
      </w:r>
    </w:p>
    <w:p w:rsidR="009613B4" w:rsidRDefault="009613B4"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9613B4" w:rsidRDefault="009613B4" w:rsidP="009613B4">
      <w:pPr>
        <w:spacing w:line="560" w:lineRule="exact"/>
        <w:ind w:left="560"/>
        <w:rPr>
          <w:rFonts w:ascii="仿宋_GB2312" w:hAnsi="仿宋_GB2312" w:cs="仿宋_GB2312"/>
          <w:sz w:val="28"/>
          <w:szCs w:val="28"/>
        </w:rPr>
      </w:pPr>
      <w:r>
        <w:rPr>
          <w:rFonts w:ascii="仿宋_GB2312" w:hAnsi="仿宋_GB2312" w:cs="仿宋_GB2312" w:hint="eastAsia"/>
          <w:sz w:val="28"/>
          <w:szCs w:val="28"/>
        </w:rPr>
        <w:t>成绩评定方式</w:t>
      </w:r>
      <w:r>
        <w:rPr>
          <w:rFonts w:ascii="仿宋_GB2312" w:hAnsi="仿宋_GB2312" w:cs="仿宋_GB2312"/>
          <w:sz w:val="28"/>
          <w:szCs w:val="28"/>
        </w:rPr>
        <w:t>采用百分</w:t>
      </w:r>
      <w:r>
        <w:rPr>
          <w:rFonts w:ascii="仿宋_GB2312" w:hAnsi="仿宋_GB2312" w:cs="仿宋_GB2312" w:hint="eastAsia"/>
          <w:sz w:val="28"/>
          <w:szCs w:val="28"/>
        </w:rPr>
        <w:t>制</w:t>
      </w:r>
      <w:r>
        <w:rPr>
          <w:rFonts w:ascii="仿宋_GB2312" w:hAnsi="仿宋_GB2312" w:cs="仿宋_GB2312"/>
          <w:sz w:val="28"/>
          <w:szCs w:val="28"/>
        </w:rPr>
        <w:t>。</w:t>
      </w:r>
    </w:p>
    <w:p w:rsidR="009613B4" w:rsidRDefault="009613B4" w:rsidP="009613B4">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本课程不设课外学时，针对难点和重点，通过每章节布置一定数量思考题和习题训练，使学生加深对所学知识的理解和掌握。</w:t>
      </w:r>
      <w:r>
        <w:rPr>
          <w:rFonts w:ascii="仿宋_GB2312" w:eastAsia="仿宋_GB2312" w:hAnsi="仿宋_GB2312" w:cs="仿宋_GB2312"/>
          <w:sz w:val="28"/>
          <w:szCs w:val="28"/>
        </w:rPr>
        <w:t>采用期末成绩</w:t>
      </w:r>
      <w:r>
        <w:rPr>
          <w:rFonts w:ascii="仿宋_GB2312" w:eastAsia="仿宋_GB2312" w:hAnsi="仿宋_GB2312" w:cs="仿宋_GB2312" w:hint="eastAsia"/>
          <w:sz w:val="28"/>
          <w:szCs w:val="28"/>
        </w:rPr>
        <w:t>+平时</w:t>
      </w:r>
      <w:r>
        <w:rPr>
          <w:rFonts w:ascii="仿宋_GB2312" w:eastAsia="仿宋_GB2312" w:hAnsi="仿宋_GB2312" w:cs="仿宋_GB2312"/>
          <w:sz w:val="28"/>
          <w:szCs w:val="28"/>
        </w:rPr>
        <w:t>成绩确定课程总成绩，</w:t>
      </w:r>
      <w:r>
        <w:rPr>
          <w:rFonts w:ascii="仿宋_GB2312" w:eastAsia="仿宋_GB2312" w:hAnsi="仿宋_GB2312" w:cs="仿宋_GB2312" w:hint="eastAsia"/>
          <w:sz w:val="28"/>
          <w:szCs w:val="28"/>
        </w:rPr>
        <w:t>其中平时成绩主要包括考勤、作业和讨论等环节，期末考试采取考试方式。平时成绩占</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0%</w:t>
      </w:r>
      <w:r>
        <w:rPr>
          <w:rFonts w:ascii="仿宋_GB2312" w:eastAsia="仿宋_GB2312" w:hAnsi="仿宋_GB2312" w:cs="仿宋_GB2312"/>
          <w:sz w:val="28"/>
          <w:szCs w:val="28"/>
        </w:rPr>
        <w:t>-20%</w:t>
      </w:r>
      <w:r>
        <w:rPr>
          <w:rFonts w:ascii="仿宋_GB2312" w:eastAsia="仿宋_GB2312" w:hAnsi="仿宋_GB2312" w:cs="仿宋_GB2312" w:hint="eastAsia"/>
          <w:sz w:val="28"/>
          <w:szCs w:val="28"/>
        </w:rPr>
        <w:t>，期末考试成绩占7</w:t>
      </w:r>
      <w:r>
        <w:rPr>
          <w:rFonts w:ascii="仿宋_GB2312" w:eastAsia="仿宋_GB2312" w:hAnsi="仿宋_GB2312" w:cs="仿宋_GB2312"/>
          <w:sz w:val="28"/>
          <w:szCs w:val="28"/>
        </w:rPr>
        <w:t>0</w:t>
      </w:r>
      <w:r>
        <w:rPr>
          <w:rFonts w:ascii="仿宋_GB2312" w:eastAsia="仿宋_GB2312" w:hAnsi="仿宋_GB2312" w:cs="仿宋_GB2312" w:hint="eastAsia"/>
          <w:sz w:val="28"/>
          <w:szCs w:val="28"/>
        </w:rPr>
        <w:t>-80%。</w:t>
      </w:r>
    </w:p>
    <w:p w:rsidR="009613B4" w:rsidRDefault="009613B4" w:rsidP="009613B4">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课程总成绩=期末成绩（80～70）% + 平时成绩（20～30）%。</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lastRenderedPageBreak/>
        <w:t>1.建议教材</w:t>
      </w:r>
    </w:p>
    <w:p w:rsidR="009613B4" w:rsidRDefault="009613B4" w:rsidP="009613B4">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（1）张勤 张建高主编，《水工程经济》，中国建筑工业出版社</w:t>
      </w:r>
      <w:r>
        <w:rPr>
          <w:rFonts w:ascii="仿宋_GB2312" w:eastAsia="仿宋_GB2312" w:hAnsi="仿宋_GB2312" w:cs="仿宋_GB2312"/>
          <w:sz w:val="28"/>
          <w:szCs w:val="28"/>
        </w:rPr>
        <w:t>。</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9613B4" w:rsidRDefault="009613B4" w:rsidP="009613B4">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（1）刘晓君主编，《技术经济学》，高等教育出版社；</w:t>
      </w:r>
    </w:p>
    <w:p w:rsidR="009613B4" w:rsidRDefault="009613B4" w:rsidP="009613B4">
      <w:pPr>
        <w:pStyle w:val="a3"/>
        <w:spacing w:line="560" w:lineRule="exact"/>
        <w:ind w:leftChars="200" w:left="1480" w:hangingChars="300" w:hanging="840"/>
        <w:rPr>
          <w:rFonts w:ascii="仿宋_GB2312" w:eastAsia="仿宋_GB2312" w:hAnsi="仿宋_GB2312" w:cs="仿宋_GB2312"/>
          <w:sz w:val="28"/>
          <w:szCs w:val="28"/>
        </w:rPr>
      </w:pPr>
      <w:r>
        <w:rPr>
          <w:rFonts w:ascii="仿宋_GB2312" w:eastAsia="仿宋_GB2312" w:hAnsi="仿宋_GB2312" w:cs="仿宋_GB2312" w:hint="eastAsia"/>
          <w:sz w:val="28"/>
          <w:szCs w:val="28"/>
        </w:rPr>
        <w:t>（2）《给水排水设计手册》（第10册）技术经济，中国建筑工业出版社。</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9613B4" w:rsidRDefault="009613B4" w:rsidP="009613B4">
      <w:pPr>
        <w:spacing w:line="560" w:lineRule="exact"/>
        <w:ind w:firstLineChars="200" w:firstLine="560"/>
        <w:jc w:val="left"/>
        <w:rPr>
          <w:rFonts w:ascii="仿宋_GB2312" w:hAnsi="仿宋_GB2312" w:cs="仿宋_GB2312"/>
          <w:sz w:val="28"/>
          <w:szCs w:val="28"/>
        </w:rPr>
      </w:pPr>
    </w:p>
    <w:p w:rsidR="009613B4" w:rsidRDefault="009613B4" w:rsidP="009613B4">
      <w:pPr>
        <w:spacing w:line="560" w:lineRule="exact"/>
        <w:ind w:firstLineChars="1200" w:firstLine="3360"/>
        <w:rPr>
          <w:rFonts w:ascii="仿宋" w:eastAsia="仿宋" w:hAnsi="仿宋"/>
          <w:sz w:val="28"/>
          <w:szCs w:val="28"/>
        </w:rPr>
      </w:pPr>
      <w:r>
        <w:rPr>
          <w:rFonts w:ascii="仿宋" w:eastAsia="仿宋" w:hAnsi="仿宋" w:hint="eastAsia"/>
          <w:sz w:val="28"/>
          <w:szCs w:val="28"/>
        </w:rPr>
        <w:t>大纲撰写人：高</w:t>
      </w:r>
      <w:r>
        <w:rPr>
          <w:rFonts w:ascii="仿宋" w:eastAsia="仿宋" w:hAnsi="仿宋"/>
          <w:sz w:val="28"/>
          <w:szCs w:val="28"/>
        </w:rPr>
        <w:t>晓梅</w:t>
      </w:r>
    </w:p>
    <w:p w:rsidR="009613B4" w:rsidRDefault="009613B4" w:rsidP="009613B4">
      <w:pPr>
        <w:spacing w:line="560" w:lineRule="exact"/>
        <w:ind w:firstLineChars="1200" w:firstLine="3360"/>
        <w:rPr>
          <w:rFonts w:ascii="仿宋" w:eastAsia="仿宋" w:hAnsi="仿宋"/>
          <w:sz w:val="28"/>
          <w:szCs w:val="28"/>
        </w:rPr>
      </w:pPr>
      <w:r>
        <w:rPr>
          <w:rFonts w:ascii="仿宋" w:eastAsia="仿宋" w:hAnsi="仿宋" w:hint="eastAsia"/>
          <w:sz w:val="28"/>
          <w:szCs w:val="28"/>
        </w:rPr>
        <w:t>课程负责人：高</w:t>
      </w:r>
      <w:r>
        <w:rPr>
          <w:rFonts w:ascii="仿宋" w:eastAsia="仿宋" w:hAnsi="仿宋"/>
          <w:sz w:val="28"/>
          <w:szCs w:val="28"/>
        </w:rPr>
        <w:t>晓梅</w:t>
      </w:r>
    </w:p>
    <w:p w:rsidR="009613B4" w:rsidRDefault="009613B4" w:rsidP="009613B4">
      <w:pPr>
        <w:spacing w:line="560" w:lineRule="exact"/>
        <w:ind w:firstLineChars="1200" w:firstLine="3360"/>
        <w:rPr>
          <w:rFonts w:ascii="仿宋" w:eastAsia="仿宋" w:hAnsi="仿宋"/>
          <w:sz w:val="28"/>
          <w:szCs w:val="28"/>
        </w:rPr>
      </w:pPr>
      <w:r>
        <w:rPr>
          <w:rFonts w:ascii="仿宋" w:eastAsia="仿宋" w:hAnsi="仿宋" w:hint="eastAsia"/>
          <w:sz w:val="28"/>
          <w:szCs w:val="28"/>
        </w:rPr>
        <w:t>审核人：杨利伟</w:t>
      </w:r>
    </w:p>
    <w:p w:rsidR="009613B4" w:rsidRDefault="009613B4" w:rsidP="009613B4">
      <w:pPr>
        <w:spacing w:line="560" w:lineRule="exact"/>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9613B4" w:rsidRDefault="009613B4" w:rsidP="009613B4">
      <w:pPr>
        <w:spacing w:line="560" w:lineRule="exact"/>
        <w:ind w:firstLineChars="2000" w:firstLine="5600"/>
        <w:jc w:val="left"/>
        <w:rPr>
          <w:rFonts w:ascii="仿宋" w:hAnsi="仿宋"/>
          <w:sz w:val="28"/>
          <w:szCs w:val="28"/>
        </w:rPr>
      </w:pPr>
      <w:r>
        <w:rPr>
          <w:rFonts w:ascii="仿宋_GB2312" w:hAnsi="微软雅黑" w:hint="eastAsia"/>
          <w:sz w:val="28"/>
          <w:szCs w:val="28"/>
        </w:rPr>
        <w:t xml:space="preserve">    </w:t>
      </w:r>
    </w:p>
    <w:p w:rsidR="009613B4" w:rsidRDefault="009613B4" w:rsidP="009613B4">
      <w:pPr>
        <w:spacing w:line="560" w:lineRule="exact"/>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 年 </w:t>
      </w:r>
      <w:r>
        <w:rPr>
          <w:rFonts w:ascii="仿宋" w:eastAsia="仿宋" w:hAnsi="仿宋"/>
          <w:sz w:val="28"/>
          <w:szCs w:val="28"/>
        </w:rPr>
        <w:t>4</w:t>
      </w:r>
      <w:r>
        <w:rPr>
          <w:rFonts w:ascii="仿宋" w:eastAsia="仿宋" w:hAnsi="仿宋" w:hint="eastAsia"/>
          <w:sz w:val="28"/>
          <w:szCs w:val="28"/>
        </w:rPr>
        <w:t xml:space="preserve"> 月</w:t>
      </w:r>
    </w:p>
    <w:p w:rsidR="009613B4" w:rsidRDefault="009613B4" w:rsidP="009613B4">
      <w:pPr>
        <w:widowControl/>
        <w:spacing w:line="560" w:lineRule="exact"/>
        <w:rPr>
          <w:rFonts w:ascii="黑体" w:eastAsia="黑体" w:hAnsi="黑体" w:cs="宋体"/>
          <w:bCs/>
          <w:color w:val="000000"/>
          <w:kern w:val="0"/>
          <w:szCs w:val="32"/>
        </w:rPr>
      </w:pPr>
    </w:p>
    <w:p w:rsidR="008B4EA8" w:rsidRDefault="008B4EA8" w:rsidP="009613B4">
      <w:pPr>
        <w:widowControl/>
        <w:spacing w:line="560" w:lineRule="exact"/>
        <w:rPr>
          <w:rFonts w:ascii="黑体" w:eastAsia="黑体" w:hAnsi="黑体" w:cs="宋体"/>
          <w:bCs/>
          <w:color w:val="000000"/>
          <w:kern w:val="0"/>
          <w:szCs w:val="32"/>
        </w:rPr>
      </w:pPr>
    </w:p>
    <w:p w:rsidR="008B4EA8" w:rsidRDefault="008B4EA8" w:rsidP="009613B4">
      <w:pPr>
        <w:widowControl/>
        <w:spacing w:line="560" w:lineRule="exact"/>
        <w:rPr>
          <w:rFonts w:ascii="黑体" w:eastAsia="黑体" w:hAnsi="黑体" w:cs="宋体"/>
          <w:bCs/>
          <w:color w:val="000000"/>
          <w:kern w:val="0"/>
          <w:szCs w:val="32"/>
        </w:rPr>
      </w:pPr>
    </w:p>
    <w:p w:rsidR="008B4EA8" w:rsidRDefault="008B4EA8" w:rsidP="009613B4">
      <w:pPr>
        <w:widowControl/>
        <w:spacing w:line="560" w:lineRule="exact"/>
        <w:rPr>
          <w:rFonts w:ascii="黑体" w:eastAsia="黑体" w:hAnsi="黑体" w:cs="宋体"/>
          <w:bCs/>
          <w:color w:val="000000"/>
          <w:kern w:val="0"/>
          <w:szCs w:val="32"/>
        </w:rPr>
      </w:pPr>
    </w:p>
    <w:p w:rsidR="008B4EA8" w:rsidRDefault="008B4EA8" w:rsidP="009613B4">
      <w:pPr>
        <w:widowControl/>
        <w:spacing w:line="560" w:lineRule="exact"/>
        <w:rPr>
          <w:rFonts w:ascii="黑体" w:eastAsia="黑体" w:hAnsi="黑体" w:cs="宋体"/>
          <w:bCs/>
          <w:color w:val="000000"/>
          <w:kern w:val="0"/>
          <w:szCs w:val="32"/>
        </w:rPr>
      </w:pPr>
    </w:p>
    <w:p w:rsidR="008B4EA8" w:rsidRDefault="008B4EA8" w:rsidP="009613B4">
      <w:pPr>
        <w:widowControl/>
        <w:spacing w:line="560" w:lineRule="exact"/>
        <w:rPr>
          <w:rFonts w:ascii="黑体" w:eastAsia="黑体" w:hAnsi="黑体" w:cs="宋体"/>
          <w:bCs/>
          <w:color w:val="000000"/>
          <w:kern w:val="0"/>
          <w:szCs w:val="32"/>
        </w:rPr>
      </w:pPr>
    </w:p>
    <w:p w:rsidR="008B4EA8" w:rsidRDefault="008B4EA8" w:rsidP="009613B4">
      <w:pPr>
        <w:widowControl/>
        <w:spacing w:line="560" w:lineRule="exact"/>
        <w:rPr>
          <w:rFonts w:ascii="黑体" w:eastAsia="黑体" w:hAnsi="黑体" w:cs="宋体"/>
          <w:bCs/>
          <w:color w:val="000000"/>
          <w:kern w:val="0"/>
          <w:szCs w:val="32"/>
        </w:rPr>
      </w:pPr>
    </w:p>
    <w:p w:rsidR="008B4EA8" w:rsidRDefault="008B4EA8" w:rsidP="009613B4">
      <w:pPr>
        <w:widowControl/>
        <w:spacing w:line="560" w:lineRule="exact"/>
        <w:rPr>
          <w:rFonts w:ascii="黑体" w:eastAsia="黑体" w:hAnsi="黑体" w:cs="宋体" w:hint="eastAsia"/>
          <w:bCs/>
          <w:color w:val="000000"/>
          <w:kern w:val="0"/>
          <w:szCs w:val="32"/>
        </w:rPr>
      </w:pPr>
    </w:p>
    <w:p w:rsidR="009613B4" w:rsidRDefault="009613B4" w:rsidP="009613B4">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《城市垃圾处理与处置技术》课程教学大纲</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Technology of Municipal Waste Treatment and Disposal</w:t>
      </w:r>
    </w:p>
    <w:p w:rsidR="009613B4" w:rsidRDefault="009613B4" w:rsidP="009613B4">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课程编码：Z</w:t>
      </w:r>
      <w:r>
        <w:rPr>
          <w:rFonts w:ascii="仿宋_GB2312" w:hAnsi="仿宋_GB2312" w:cs="仿宋_GB2312"/>
          <w:bCs/>
          <w:sz w:val="28"/>
          <w:szCs w:val="28"/>
        </w:rPr>
        <w:t>2806</w:t>
      </w:r>
      <w:r>
        <w:rPr>
          <w:rFonts w:ascii="仿宋_GB2312" w:hAnsi="仿宋_GB2312" w:cs="仿宋_GB2312" w:hint="eastAsia"/>
          <w:bCs/>
          <w:sz w:val="28"/>
          <w:szCs w:val="28"/>
        </w:rPr>
        <w:t>270</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9613B4" w:rsidRDefault="009613B4" w:rsidP="009613B4">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9613B4" w:rsidRDefault="009613B4" w:rsidP="009613B4">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学时（授课</w:t>
      </w:r>
      <w:r>
        <w:rPr>
          <w:rFonts w:ascii="仿宋_GB2312" w:hAnsi="仿宋_GB2312" w:cs="仿宋_GB2312"/>
          <w:bCs/>
          <w:sz w:val="28"/>
          <w:szCs w:val="28"/>
        </w:rPr>
        <w:t>24</w:t>
      </w:r>
      <w:r>
        <w:rPr>
          <w:rFonts w:ascii="仿宋_GB2312" w:hAnsi="仿宋_GB2312" w:cs="仿宋_GB2312" w:hint="eastAsia"/>
          <w:bCs/>
          <w:sz w:val="28"/>
          <w:szCs w:val="28"/>
        </w:rPr>
        <w:t>学时，实验</w:t>
      </w:r>
      <w:r>
        <w:rPr>
          <w:rFonts w:ascii="仿宋_GB2312" w:hAnsi="仿宋_GB2312" w:cs="仿宋_GB2312"/>
          <w:bCs/>
          <w:sz w:val="28"/>
          <w:szCs w:val="28"/>
        </w:rPr>
        <w:t>0</w:t>
      </w:r>
      <w:r>
        <w:rPr>
          <w:rFonts w:ascii="仿宋_GB2312" w:hAnsi="仿宋_GB2312" w:cs="仿宋_GB2312" w:hint="eastAsia"/>
          <w:bCs/>
          <w:sz w:val="28"/>
          <w:szCs w:val="28"/>
        </w:rPr>
        <w:t>学时，上机</w:t>
      </w:r>
      <w:r>
        <w:rPr>
          <w:rFonts w:ascii="仿宋_GB2312" w:hAnsi="仿宋_GB2312" w:cs="仿宋_GB2312"/>
          <w:bCs/>
          <w:sz w:val="28"/>
          <w:szCs w:val="28"/>
        </w:rPr>
        <w:t>0</w:t>
      </w:r>
      <w:r>
        <w:rPr>
          <w:rFonts w:ascii="仿宋_GB2312" w:hAnsi="仿宋_GB2312" w:cs="仿宋_GB2312" w:hint="eastAsia"/>
          <w:bCs/>
          <w:sz w:val="28"/>
          <w:szCs w:val="28"/>
        </w:rPr>
        <w:t>学时，课外</w:t>
      </w:r>
      <w:r>
        <w:rPr>
          <w:rFonts w:ascii="仿宋_GB2312" w:hAnsi="仿宋_GB2312" w:cs="仿宋_GB2312"/>
          <w:bCs/>
          <w:sz w:val="28"/>
          <w:szCs w:val="28"/>
        </w:rPr>
        <w:t>0</w:t>
      </w:r>
      <w:r>
        <w:rPr>
          <w:rFonts w:ascii="仿宋_GB2312" w:hAnsi="仿宋_GB2312" w:cs="仿宋_GB2312" w:hint="eastAsia"/>
          <w:bCs/>
          <w:sz w:val="28"/>
          <w:szCs w:val="28"/>
        </w:rPr>
        <w:t>学时）</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w:t>
      </w:r>
      <w:bookmarkStart w:id="50" w:name="_Hlk68091806"/>
      <w:r>
        <w:rPr>
          <w:rFonts w:ascii="仿宋_GB2312" w:hAnsi="仿宋_GB2312" w:cs="仿宋_GB2312" w:hint="eastAsia"/>
          <w:bCs/>
          <w:sz w:val="28"/>
          <w:szCs w:val="28"/>
        </w:rPr>
        <w:t>给排水科学与工程</w:t>
      </w:r>
      <w:bookmarkEnd w:id="50"/>
      <w:r>
        <w:rPr>
          <w:rFonts w:ascii="仿宋_GB2312" w:hAnsi="仿宋_GB2312" w:cs="仿宋_GB2312" w:hint="eastAsia"/>
          <w:bCs/>
          <w:sz w:val="28"/>
          <w:szCs w:val="28"/>
        </w:rPr>
        <w:t>专业</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先修课程：水处理生物学、水工艺设备基础、无机化学、有机化学、排水工程等。</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开课院系：建工学院给排水科学与工</w:t>
      </w:r>
      <w:bookmarkStart w:id="51" w:name="_Hlk68091819"/>
      <w:r>
        <w:rPr>
          <w:rFonts w:ascii="仿宋_GB2312" w:hAnsi="仿宋_GB2312" w:cs="仿宋_GB2312" w:hint="eastAsia"/>
          <w:bCs/>
          <w:sz w:val="28"/>
          <w:szCs w:val="28"/>
        </w:rPr>
        <w:t>程系</w:t>
      </w:r>
    </w:p>
    <w:bookmarkEnd w:id="51"/>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城市垃圾处理与处置技术》是给排水科学与工程专业选修课，通过讲授使学生了解城市垃圾的概念和特性，系统地掌握城市垃圾处理与处置的基本原理、方法、主要设备和典型工艺以及综合利用途径等，培养学生分析和解决日益严峻的城市垃圾污染问题的基本能力，扩展给排水工程领域涉及的环境污染控制与处理的基本知识与方法，</w:t>
      </w:r>
      <w:r>
        <w:rPr>
          <w:rFonts w:ascii="仿宋_GB2312" w:hAnsi="仿宋_GB2312" w:cs="仿宋_GB2312" w:hint="eastAsia"/>
          <w:bCs/>
          <w:sz w:val="28"/>
          <w:szCs w:val="28"/>
        </w:rPr>
        <w:lastRenderedPageBreak/>
        <w:t>在给排水领域工作中树立环保理念，进而增强学生的责任感。</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教学内容依据给排水专业指导委员会的建议在遵从固废处理的“减量化，无害化，资源化”原则的基础上，主要包括城市垃圾的分类，预处理，各种处理方法，以及最终处置方法，为给排水科学与工程专业的毕业生提供涵盖固废，废气，废液三方面的知识体系和专业技能，提高给排水专业人才的市场适应力。</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教学方式采用PPT（知识点）、案例、视频观看、课后思考题和练习题等相结合进行授课，并结合课程设计教学环节，使学生具备城市垃圾处理中最终处置环节填埋场的初步设计能力。</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9613B4" w:rsidRDefault="009613B4" w:rsidP="009613B4">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城市垃圾处理与处置》课程是给排水科学与工程专业选修课，通过本课程的学习，使学生初步掌握城市垃圾处理与处置的方法，原理以及资源化技术，为今后从事城市垃圾处理与处置方面的工程技术和研究开发工作打下初步基础。</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通过</w:t>
      </w:r>
      <w:bookmarkStart w:id="52" w:name="_Hlk68707560"/>
      <w:r>
        <w:rPr>
          <w:rFonts w:ascii="仿宋_GB2312" w:hAnsi="仿宋_GB2312" w:cs="仿宋_GB2312" w:hint="eastAsia"/>
          <w:sz w:val="28"/>
          <w:szCs w:val="28"/>
        </w:rPr>
        <w:t>城市垃圾</w:t>
      </w:r>
      <w:bookmarkEnd w:id="52"/>
      <w:r>
        <w:rPr>
          <w:rFonts w:ascii="仿宋_GB2312" w:hAnsi="仿宋_GB2312" w:cs="仿宋_GB2312" w:hint="eastAsia"/>
          <w:sz w:val="28"/>
          <w:szCs w:val="28"/>
        </w:rPr>
        <w:t>的分类、来源、特点的学习，了解城市垃圾的特征，以及对城市环境的污染和危害，认识到城市垃圾处理与处置的重要性。通过城市垃圾及危险废物的收集、运输、贮存方式的学习，熟悉垃圾的管理与运输技术。通过城市垃圾的压实、破碎、分选、脱水，掌握城市垃圾的预处理技术，为之后城市垃圾的进一步处理处置工艺提供便利条件。通过生活垃圾好氧堆肥、厌氧消化等技术的学习，掌握这两大城市垃圾生物处理技术及其相应的工艺。通过焚烧、填埋、热解技术的学习，掌握城市垃圾的最终处置方法与工艺技术。通过城市垃圾的综合利用和资源化利用技术的学习，</w:t>
      </w:r>
      <w:r>
        <w:rPr>
          <w:rFonts w:ascii="仿宋_GB2312" w:hAnsi="仿宋_GB2312" w:cs="仿宋_GB2312" w:hint="eastAsia"/>
          <w:sz w:val="28"/>
          <w:szCs w:val="28"/>
        </w:rPr>
        <w:lastRenderedPageBreak/>
        <w:t>了解国内外最新的城市垃圾处理处置技术及应用前景。最后通过垃圾填埋场设计实践课程，进一步掌握填埋工艺及其运行管理相关方面的知识。</w:t>
      </w:r>
    </w:p>
    <w:p w:rsidR="009613B4" w:rsidRDefault="009613B4"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9613B4" w:rsidRDefault="009613B4" w:rsidP="009613B4">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9613B4" w:rsidRDefault="009613B4" w:rsidP="009613B4">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知识目标：通过本课程的学习，要求学生了解城市垃圾的分类、产生特征以及对环境的危害，熟悉垃圾的收集与运输过程以及预处理工艺，掌握生活垃圾的生物处理、焚烧处理、填埋处置方法，并熟知生活垃圾中的再生资源的来源和分类，熟悉并掌握相应的再生资源回收方法。</w:t>
      </w:r>
    </w:p>
    <w:p w:rsidR="009613B4" w:rsidRDefault="009613B4" w:rsidP="009613B4">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能力目标：本课程以城市垃圾处理与处置技术为主要内容，学习完毕后应能对城市垃圾的处理方式及工艺进行初步设计，可以完成垃圾填埋场的工艺选择，设计计算，制图等工作，使学生具备城市垃圾处理中最终处置环节填埋场的初步设计能力。</w:t>
      </w:r>
    </w:p>
    <w:p w:rsidR="009613B4" w:rsidRDefault="009613B4" w:rsidP="009613B4">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情感态度与价值观目标：树立专业素养和自信，具有良好的品德修养、社会公德、职业道德和创新精神。</w:t>
      </w:r>
    </w:p>
    <w:p w:rsidR="009613B4" w:rsidRDefault="009613B4" w:rsidP="009613B4">
      <w:pPr>
        <w:spacing w:afterLines="100" w:after="312" w:line="560" w:lineRule="exact"/>
        <w:ind w:firstLine="329"/>
        <w:rPr>
          <w:rFonts w:ascii="仿宋_GB2312" w:hAnsi="仿宋_GB2312" w:cs="仿宋_GB2312"/>
          <w:b/>
          <w:color w:val="FF0000"/>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489"/>
        <w:gridCol w:w="489"/>
        <w:gridCol w:w="489"/>
        <w:gridCol w:w="489"/>
        <w:gridCol w:w="489"/>
        <w:gridCol w:w="489"/>
        <w:gridCol w:w="489"/>
        <w:gridCol w:w="490"/>
        <w:gridCol w:w="490"/>
        <w:gridCol w:w="509"/>
        <w:gridCol w:w="509"/>
        <w:gridCol w:w="509"/>
      </w:tblGrid>
      <w:tr w:rsidR="009613B4" w:rsidTr="008C3907">
        <w:trPr>
          <w:trHeight w:hRule="exact" w:val="454"/>
          <w:jc w:val="center"/>
        </w:trPr>
        <w:tc>
          <w:tcPr>
            <w:tcW w:w="2743" w:type="dxa"/>
            <w:vMerge w:val="restart"/>
            <w:vAlign w:val="center"/>
          </w:tcPr>
          <w:p w:rsidR="009613B4" w:rsidRDefault="009613B4" w:rsidP="008C3907">
            <w:pPr>
              <w:spacing w:line="360" w:lineRule="auto"/>
              <w:jc w:val="center"/>
              <w:rPr>
                <w:rFonts w:ascii="仿宋_GB2312" w:hAnsi="仿宋_GB2312" w:cs="仿宋_GB2312"/>
                <w:bCs/>
                <w:sz w:val="24"/>
                <w:szCs w:val="24"/>
              </w:rPr>
            </w:pPr>
          </w:p>
        </w:tc>
        <w:tc>
          <w:tcPr>
            <w:tcW w:w="6233" w:type="dxa"/>
            <w:gridSpan w:val="12"/>
            <w:vAlign w:val="center"/>
          </w:tcPr>
          <w:p w:rsidR="009613B4" w:rsidRDefault="009613B4" w:rsidP="008C3907">
            <w:pPr>
              <w:jc w:val="center"/>
              <w:rPr>
                <w:rFonts w:ascii="仿宋_GB2312" w:hAnsi="仿宋_GB2312" w:cs="仿宋_GB2312"/>
                <w:bCs/>
                <w:sz w:val="24"/>
                <w:szCs w:val="24"/>
              </w:rPr>
            </w:pPr>
            <w:r>
              <w:rPr>
                <w:rFonts w:ascii="仿宋_GB2312" w:hAnsi="仿宋_GB2312" w:cs="仿宋_GB2312" w:hint="eastAsia"/>
                <w:bCs/>
                <w:sz w:val="24"/>
                <w:szCs w:val="24"/>
              </w:rPr>
              <w:t>毕业要求</w:t>
            </w:r>
          </w:p>
        </w:tc>
      </w:tr>
      <w:tr w:rsidR="009613B4" w:rsidTr="008C3907">
        <w:trPr>
          <w:trHeight w:hRule="exact" w:val="454"/>
          <w:jc w:val="center"/>
        </w:trPr>
        <w:tc>
          <w:tcPr>
            <w:tcW w:w="2743" w:type="dxa"/>
            <w:vMerge/>
          </w:tcPr>
          <w:p w:rsidR="009613B4" w:rsidRDefault="009613B4" w:rsidP="008C3907">
            <w:pPr>
              <w:spacing w:line="360" w:lineRule="auto"/>
              <w:rPr>
                <w:rFonts w:ascii="仿宋_GB2312" w:hAnsi="仿宋_GB2312" w:cs="仿宋_GB2312"/>
                <w:bCs/>
                <w:sz w:val="24"/>
                <w:szCs w:val="24"/>
              </w:rPr>
            </w:pP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1</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2</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3</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4</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5</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6</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7</w:t>
            </w:r>
          </w:p>
        </w:tc>
        <w:tc>
          <w:tcPr>
            <w:tcW w:w="520"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8</w:t>
            </w:r>
          </w:p>
        </w:tc>
        <w:tc>
          <w:tcPr>
            <w:tcW w:w="520"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9</w:t>
            </w:r>
          </w:p>
        </w:tc>
        <w:tc>
          <w:tcPr>
            <w:tcW w:w="520"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10</w:t>
            </w:r>
          </w:p>
        </w:tc>
        <w:tc>
          <w:tcPr>
            <w:tcW w:w="520"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11</w:t>
            </w:r>
          </w:p>
        </w:tc>
        <w:tc>
          <w:tcPr>
            <w:tcW w:w="520"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12</w:t>
            </w:r>
          </w:p>
        </w:tc>
      </w:tr>
      <w:tr w:rsidR="009613B4" w:rsidTr="008C3907">
        <w:trPr>
          <w:trHeight w:hRule="exact" w:val="454"/>
          <w:jc w:val="center"/>
        </w:trPr>
        <w:tc>
          <w:tcPr>
            <w:tcW w:w="2743" w:type="dxa"/>
            <w:vAlign w:val="center"/>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仿宋_GB2312" w:cs="仿宋_GB2312" w:hint="eastAsia"/>
                <w:bCs/>
                <w:sz w:val="24"/>
                <w:szCs w:val="24"/>
              </w:rPr>
              <w:t>知识目标</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L</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r>
      <w:tr w:rsidR="009613B4" w:rsidTr="008C3907">
        <w:trPr>
          <w:trHeight w:hRule="exact" w:val="454"/>
          <w:jc w:val="center"/>
        </w:trPr>
        <w:tc>
          <w:tcPr>
            <w:tcW w:w="2743" w:type="dxa"/>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仿宋_GB2312" w:cs="仿宋_GB2312" w:hint="eastAsia"/>
                <w:bCs/>
                <w:sz w:val="24"/>
                <w:szCs w:val="24"/>
              </w:rPr>
              <w:t>能力目标</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H</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H</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L</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20" w:type="dxa"/>
          </w:tcPr>
          <w:p w:rsidR="009613B4" w:rsidRDefault="009613B4" w:rsidP="008C3907">
            <w:pPr>
              <w:spacing w:line="360" w:lineRule="auto"/>
              <w:rPr>
                <w:rFonts w:ascii="仿宋_GB2312" w:hAnsi="仿宋_GB2312" w:cs="仿宋_GB2312"/>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r>
      <w:tr w:rsidR="009613B4" w:rsidTr="008C3907">
        <w:trPr>
          <w:trHeight w:hRule="exact" w:val="454"/>
          <w:jc w:val="center"/>
        </w:trPr>
        <w:tc>
          <w:tcPr>
            <w:tcW w:w="2743" w:type="dxa"/>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仿宋_GB2312" w:cs="仿宋_GB2312" w:hint="eastAsia"/>
                <w:bCs/>
                <w:sz w:val="24"/>
                <w:szCs w:val="24"/>
              </w:rPr>
              <w:t>情感态度与价值观目标</w:t>
            </w:r>
          </w:p>
        </w:tc>
        <w:tc>
          <w:tcPr>
            <w:tcW w:w="519" w:type="dxa"/>
            <w:vAlign w:val="center"/>
          </w:tcPr>
          <w:p w:rsidR="009613B4" w:rsidRDefault="009613B4" w:rsidP="008C3907">
            <w:pPr>
              <w:spacing w:line="360" w:lineRule="auto"/>
              <w:jc w:val="center"/>
              <w:rPr>
                <w:rFonts w:ascii="仿宋_GB2312" w:hAnsi="仿宋_GB2312" w:cs="仿宋_GB2312"/>
                <w:bCs/>
                <w:sz w:val="24"/>
                <w:szCs w:val="24"/>
              </w:rPr>
            </w:pPr>
          </w:p>
        </w:tc>
        <w:tc>
          <w:tcPr>
            <w:tcW w:w="519" w:type="dxa"/>
            <w:vAlign w:val="center"/>
          </w:tcPr>
          <w:p w:rsidR="009613B4" w:rsidRDefault="009613B4" w:rsidP="008C3907">
            <w:pPr>
              <w:spacing w:line="360" w:lineRule="auto"/>
              <w:jc w:val="center"/>
              <w:rPr>
                <w:rFonts w:ascii="仿宋_GB2312" w:hAnsi="仿宋_GB2312" w:cs="仿宋_GB2312"/>
                <w:bCs/>
                <w:sz w:val="24"/>
                <w:szCs w:val="24"/>
              </w:rPr>
            </w:pP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20" w:type="dxa"/>
          </w:tcPr>
          <w:p w:rsidR="009613B4" w:rsidRDefault="009613B4" w:rsidP="008C3907">
            <w:pPr>
              <w:spacing w:line="360" w:lineRule="auto"/>
              <w:rPr>
                <w:rFonts w:ascii="仿宋_GB2312" w:hAnsi="仿宋_GB2312" w:cs="仿宋_GB2312"/>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c>
          <w:tcPr>
            <w:tcW w:w="520" w:type="dxa"/>
          </w:tcPr>
          <w:p w:rsidR="009613B4" w:rsidRDefault="009613B4" w:rsidP="008C3907">
            <w:pPr>
              <w:spacing w:line="360" w:lineRule="auto"/>
              <w:rPr>
                <w:rFonts w:ascii="仿宋_GB2312" w:hAnsi="仿宋_GB2312" w:cs="仿宋_GB2312"/>
                <w:bCs/>
                <w:sz w:val="24"/>
                <w:szCs w:val="24"/>
              </w:rPr>
            </w:pPr>
          </w:p>
        </w:tc>
      </w:tr>
    </w:tbl>
    <w:p w:rsidR="009613B4" w:rsidRDefault="009613B4" w:rsidP="009613B4">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本课程的重点在于掌握城市垃圾的好氧堆肥和厌氧消化生物处</w:t>
      </w:r>
      <w:r>
        <w:rPr>
          <w:rFonts w:ascii="仿宋_GB2312" w:hAnsi="仿宋_GB2312" w:cs="仿宋_GB2312" w:hint="eastAsia"/>
          <w:sz w:val="28"/>
          <w:szCs w:val="28"/>
        </w:rPr>
        <w:lastRenderedPageBreak/>
        <w:t>理技术、生活垃圾焚烧处理技术以及填埋处置技术。难点在于通过对课程的学习，了解垃圾渗滤液来源及特性，以及影响垃圾渗滤液产生的因素；掌握垃圾渗滤液处理工艺设计现状，熟练掌握并能完成城市生活垃圾填埋场工程设计任务。</w:t>
      </w:r>
    </w:p>
    <w:p w:rsidR="009613B4" w:rsidRDefault="009613B4" w:rsidP="009613B4">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加强城市垃圾的污染防治，不断提高城市垃圾的综合利用，不仅是贯彻习近平总书记关于生态文明思想、推进美丽中国建设的必然要求，也是大力发展循环经济、维护生态环境安全和保障人民群众环境权益的重要举措。基于城市垃圾处理的“减量化，无害化，资源化”原则的基础上，结合城市垃圾的产生特征及其中的再生资源分类，引发学生对日常生活中如何减少垃圾产生，如何“变废为宝”、如何进行合理的垃圾分类、如何创造固废的利用价值等思考。通过在课堂上引入一些由于城市垃圾、企业固废偷排、随意丢弃等引起的重大环境污染的案例，加强学生的环保意识，重视城市垃圾的处置问题，养成良好的垃圾分类习惯。通过讲述我国城市垃圾处理的现状及发展历程，以及目前国际上的城市垃圾处置研究热点和不足之处，激发学生的探究精神、科研热情、创新意识以及用于承担社会责任的意识。</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9613B4" w:rsidTr="008C3907">
        <w:trPr>
          <w:cantSplit/>
          <w:trHeight w:val="78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序号</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9613B4" w:rsidTr="008C3907">
        <w:trPr>
          <w:trHeight w:val="42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第</w:t>
            </w:r>
            <w:r>
              <w:rPr>
                <w:rFonts w:ascii="Times New Roman" w:hAnsi="Times New Roman"/>
                <w:kern w:val="0"/>
                <w:sz w:val="20"/>
                <w:szCs w:val="20"/>
              </w:rPr>
              <w:t>l</w:t>
            </w: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kern w:val="0"/>
                <w:sz w:val="20"/>
                <w:szCs w:val="20"/>
              </w:rPr>
              <w:t>绪论</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城市垃圾的产生特征；城市垃圾的环境危害与资源化潜力；城市垃圾管理体系构成</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对城市垃圾的产生特征及城市垃圾管理体系有初步的认识</w:t>
            </w:r>
          </w:p>
        </w:tc>
      </w:tr>
      <w:tr w:rsidR="009613B4" w:rsidTr="008C3907">
        <w:trPr>
          <w:trHeight w:val="519"/>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第</w:t>
            </w:r>
            <w:r>
              <w:rPr>
                <w:rFonts w:ascii="Times New Roman" w:hAnsi="Times New Roman"/>
                <w:kern w:val="0"/>
                <w:sz w:val="20"/>
                <w:szCs w:val="20"/>
              </w:rPr>
              <w:t>2</w:t>
            </w: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kern w:val="0"/>
                <w:sz w:val="20"/>
                <w:szCs w:val="20"/>
              </w:rPr>
              <w:t>城市垃圾管理</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城市垃圾管理目标和指标；城市垃圾管理法规；城市垃圾管理实施方法</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熟悉城市垃圾管理目标、指标及法规</w:t>
            </w:r>
          </w:p>
        </w:tc>
      </w:tr>
      <w:tr w:rsidR="009613B4" w:rsidTr="008C3907">
        <w:trPr>
          <w:trHeight w:val="55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第</w:t>
            </w:r>
            <w:r>
              <w:rPr>
                <w:rFonts w:ascii="Times New Roman" w:hAnsi="Times New Roman"/>
                <w:kern w:val="0"/>
                <w:sz w:val="20"/>
                <w:szCs w:val="20"/>
              </w:rPr>
              <w:t>3</w:t>
            </w: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kern w:val="0"/>
                <w:sz w:val="20"/>
                <w:szCs w:val="20"/>
              </w:rPr>
              <w:t>生活垃圾的收集与运输</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收集与运输概述</w:t>
            </w:r>
            <w:r>
              <w:rPr>
                <w:rFonts w:ascii="Times New Roman" w:hAnsi="Times New Roman" w:hint="eastAsia"/>
                <w:kern w:val="0"/>
                <w:sz w:val="20"/>
                <w:szCs w:val="20"/>
              </w:rPr>
              <w:t>；</w:t>
            </w:r>
            <w:r>
              <w:rPr>
                <w:rFonts w:ascii="Times New Roman" w:hAnsi="Times New Roman"/>
                <w:kern w:val="0"/>
                <w:sz w:val="20"/>
                <w:szCs w:val="20"/>
              </w:rPr>
              <w:t>生活垃圾收集方法</w:t>
            </w:r>
            <w:r>
              <w:rPr>
                <w:rFonts w:ascii="Times New Roman" w:hAnsi="Times New Roman" w:hint="eastAsia"/>
                <w:kern w:val="0"/>
                <w:sz w:val="20"/>
                <w:szCs w:val="20"/>
              </w:rPr>
              <w:t>；</w:t>
            </w:r>
            <w:r>
              <w:rPr>
                <w:rFonts w:ascii="Times New Roman" w:hAnsi="Times New Roman"/>
                <w:kern w:val="0"/>
                <w:sz w:val="20"/>
                <w:szCs w:val="20"/>
              </w:rPr>
              <w:t>生活垃圾清运方法</w:t>
            </w:r>
            <w:r>
              <w:rPr>
                <w:rFonts w:ascii="Times New Roman" w:hAnsi="Times New Roman" w:hint="eastAsia"/>
                <w:kern w:val="0"/>
                <w:sz w:val="20"/>
                <w:szCs w:val="20"/>
              </w:rPr>
              <w:t>；生活垃</w:t>
            </w:r>
            <w:r>
              <w:rPr>
                <w:rFonts w:ascii="Times New Roman" w:hAnsi="Times New Roman" w:hint="eastAsia"/>
                <w:kern w:val="0"/>
                <w:sz w:val="20"/>
                <w:szCs w:val="20"/>
              </w:rPr>
              <w:lastRenderedPageBreak/>
              <w:t>圾中转运输</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lastRenderedPageBreak/>
              <w:t>了解</w:t>
            </w:r>
            <w:r>
              <w:rPr>
                <w:rFonts w:ascii="Times New Roman" w:hAnsi="Times New Roman"/>
                <w:kern w:val="0"/>
                <w:sz w:val="20"/>
                <w:szCs w:val="20"/>
              </w:rPr>
              <w:t>生活垃圾的收集与运输</w:t>
            </w:r>
            <w:r>
              <w:rPr>
                <w:rFonts w:ascii="Times New Roman" w:hAnsi="Times New Roman" w:hint="eastAsia"/>
                <w:kern w:val="0"/>
                <w:sz w:val="20"/>
                <w:szCs w:val="20"/>
              </w:rPr>
              <w:t>方法</w:t>
            </w:r>
          </w:p>
        </w:tc>
      </w:tr>
      <w:tr w:rsidR="009613B4" w:rsidTr="008C3907">
        <w:trPr>
          <w:trHeight w:val="55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kern w:val="0"/>
                <w:sz w:val="20"/>
                <w:szCs w:val="20"/>
              </w:rPr>
              <w:t>4</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4</w:t>
            </w: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城市垃圾预处理</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城市垃圾分选</w:t>
            </w:r>
            <w:r>
              <w:rPr>
                <w:rFonts w:ascii="Times New Roman" w:hAnsi="Times New Roman" w:hint="eastAsia"/>
                <w:kern w:val="0"/>
                <w:sz w:val="20"/>
                <w:szCs w:val="20"/>
              </w:rPr>
              <w:t>；城市垃圾破；城市垃圾输送设备；城市垃圾预处理流程组合</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掌握城市垃圾分选及预处理流程</w:t>
            </w:r>
          </w:p>
        </w:tc>
      </w:tr>
      <w:tr w:rsidR="009613B4" w:rsidTr="008C3907">
        <w:trPr>
          <w:trHeight w:val="55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5</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第</w:t>
            </w:r>
            <w:r>
              <w:rPr>
                <w:rFonts w:ascii="Times New Roman" w:hAnsi="Times New Roman" w:hint="eastAsia"/>
                <w:kern w:val="0"/>
                <w:sz w:val="20"/>
                <w:szCs w:val="20"/>
              </w:rPr>
              <w:t>5</w:t>
            </w: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kern w:val="0"/>
                <w:sz w:val="20"/>
                <w:szCs w:val="20"/>
              </w:rPr>
              <w:t>生活垃圾生物处理</w:t>
            </w:r>
          </w:p>
          <w:p w:rsidR="009613B4" w:rsidRDefault="009613B4" w:rsidP="008C3907">
            <w:pPr>
              <w:rPr>
                <w:rFonts w:ascii="Times New Roman" w:hAnsi="Times New Roman"/>
                <w:kern w:val="0"/>
                <w:sz w:val="20"/>
                <w:szCs w:val="20"/>
              </w:rPr>
            </w:pP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生物处理途径与方法</w:t>
            </w:r>
            <w:r>
              <w:rPr>
                <w:rFonts w:ascii="Times New Roman" w:hAnsi="Times New Roman" w:hint="eastAsia"/>
                <w:kern w:val="0"/>
                <w:sz w:val="20"/>
                <w:szCs w:val="20"/>
              </w:rPr>
              <w:t>；</w:t>
            </w:r>
            <w:r>
              <w:rPr>
                <w:rFonts w:ascii="Times New Roman" w:hAnsi="Times New Roman"/>
                <w:kern w:val="0"/>
                <w:sz w:val="20"/>
                <w:szCs w:val="20"/>
              </w:rPr>
              <w:t>生活垃圾堆肥处理</w:t>
            </w:r>
            <w:r>
              <w:rPr>
                <w:rFonts w:ascii="Times New Roman" w:hAnsi="Times New Roman" w:hint="eastAsia"/>
                <w:kern w:val="0"/>
                <w:sz w:val="20"/>
                <w:szCs w:val="20"/>
              </w:rPr>
              <w:t>；</w:t>
            </w:r>
            <w:r>
              <w:rPr>
                <w:rFonts w:ascii="Times New Roman" w:hAnsi="Times New Roman"/>
                <w:kern w:val="0"/>
                <w:sz w:val="20"/>
                <w:szCs w:val="20"/>
              </w:rPr>
              <w:t>生活垃圾的厌氧消化处理</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掌握生活垃圾</w:t>
            </w:r>
            <w:r>
              <w:rPr>
                <w:rFonts w:ascii="Times New Roman" w:hAnsi="Times New Roman"/>
                <w:kern w:val="0"/>
                <w:sz w:val="20"/>
                <w:szCs w:val="20"/>
              </w:rPr>
              <w:t>生物处理途径与方法</w:t>
            </w:r>
          </w:p>
        </w:tc>
      </w:tr>
      <w:tr w:rsidR="009613B4" w:rsidTr="008C3907">
        <w:trPr>
          <w:trHeight w:val="55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6</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第</w:t>
            </w:r>
            <w:r>
              <w:rPr>
                <w:rFonts w:ascii="Times New Roman" w:hAnsi="Times New Roman"/>
                <w:kern w:val="0"/>
                <w:sz w:val="20"/>
                <w:szCs w:val="20"/>
              </w:rPr>
              <w:t>6</w:t>
            </w: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hint="eastAsia"/>
                <w:kern w:val="0"/>
                <w:sz w:val="20"/>
                <w:szCs w:val="20"/>
              </w:rPr>
              <w:t>生活</w:t>
            </w:r>
            <w:r>
              <w:rPr>
                <w:rFonts w:ascii="Times New Roman" w:hAnsi="Times New Roman"/>
                <w:kern w:val="0"/>
                <w:sz w:val="20"/>
                <w:szCs w:val="20"/>
              </w:rPr>
              <w:t>垃圾焚烧处理</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燃烧的基本原理</w:t>
            </w:r>
            <w:r>
              <w:rPr>
                <w:rFonts w:ascii="Times New Roman" w:hAnsi="Times New Roman" w:hint="eastAsia"/>
                <w:kern w:val="0"/>
                <w:sz w:val="20"/>
                <w:szCs w:val="20"/>
              </w:rPr>
              <w:t>；</w:t>
            </w:r>
            <w:r>
              <w:rPr>
                <w:rFonts w:ascii="Times New Roman" w:hAnsi="Times New Roman"/>
                <w:kern w:val="0"/>
                <w:sz w:val="20"/>
                <w:szCs w:val="20"/>
              </w:rPr>
              <w:t>焚烧污染控制</w:t>
            </w:r>
            <w:r>
              <w:rPr>
                <w:rFonts w:ascii="Times New Roman" w:hAnsi="Times New Roman" w:hint="eastAsia"/>
                <w:kern w:val="0"/>
                <w:sz w:val="20"/>
                <w:szCs w:val="20"/>
              </w:rPr>
              <w:t>；</w:t>
            </w:r>
            <w:r>
              <w:rPr>
                <w:rFonts w:ascii="Times New Roman" w:hAnsi="Times New Roman"/>
                <w:kern w:val="0"/>
                <w:sz w:val="20"/>
                <w:szCs w:val="20"/>
              </w:rPr>
              <w:t>焚烧工艺与设备</w:t>
            </w:r>
            <w:r>
              <w:rPr>
                <w:rFonts w:ascii="Times New Roman" w:hAnsi="Times New Roman" w:hint="eastAsia"/>
                <w:kern w:val="0"/>
                <w:sz w:val="20"/>
                <w:szCs w:val="20"/>
              </w:rPr>
              <w:t>；焚烧设计计算</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掌握生活垃圾燃烧</w:t>
            </w:r>
            <w:r>
              <w:rPr>
                <w:rFonts w:ascii="Times New Roman" w:hAnsi="Times New Roman" w:hint="eastAsia"/>
                <w:kern w:val="0"/>
                <w:sz w:val="20"/>
                <w:szCs w:val="20"/>
              </w:rPr>
              <w:t>原理、工艺及焚烧设计计算</w:t>
            </w:r>
          </w:p>
        </w:tc>
      </w:tr>
      <w:tr w:rsidR="009613B4" w:rsidTr="008C3907">
        <w:trPr>
          <w:trHeight w:val="55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7</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第</w:t>
            </w:r>
            <w:r>
              <w:rPr>
                <w:rFonts w:ascii="Times New Roman" w:hAnsi="Times New Roman" w:hint="eastAsia"/>
                <w:kern w:val="0"/>
                <w:sz w:val="20"/>
                <w:szCs w:val="20"/>
              </w:rPr>
              <w:t>7</w:t>
            </w: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hint="eastAsia"/>
                <w:kern w:val="0"/>
                <w:sz w:val="20"/>
                <w:szCs w:val="20"/>
              </w:rPr>
              <w:t>生活</w:t>
            </w:r>
            <w:r>
              <w:rPr>
                <w:rFonts w:ascii="Times New Roman" w:hAnsi="Times New Roman"/>
                <w:kern w:val="0"/>
                <w:sz w:val="20"/>
                <w:szCs w:val="20"/>
              </w:rPr>
              <w:t>垃圾填埋处理</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6</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填埋处理的基本概念</w:t>
            </w:r>
            <w:r>
              <w:rPr>
                <w:rFonts w:ascii="Times New Roman" w:hAnsi="Times New Roman" w:hint="eastAsia"/>
                <w:kern w:val="0"/>
                <w:sz w:val="20"/>
                <w:szCs w:val="20"/>
              </w:rPr>
              <w:t>；</w:t>
            </w:r>
            <w:r>
              <w:rPr>
                <w:rFonts w:ascii="Times New Roman" w:hAnsi="Times New Roman"/>
                <w:kern w:val="0"/>
                <w:sz w:val="20"/>
                <w:szCs w:val="20"/>
              </w:rPr>
              <w:t>填埋基本原理</w:t>
            </w:r>
            <w:r>
              <w:rPr>
                <w:rFonts w:ascii="Times New Roman" w:hAnsi="Times New Roman" w:hint="eastAsia"/>
                <w:kern w:val="0"/>
                <w:sz w:val="20"/>
                <w:szCs w:val="20"/>
              </w:rPr>
              <w:t>；生活</w:t>
            </w:r>
            <w:r>
              <w:rPr>
                <w:rFonts w:ascii="Times New Roman" w:hAnsi="Times New Roman"/>
                <w:kern w:val="0"/>
                <w:sz w:val="20"/>
                <w:szCs w:val="20"/>
              </w:rPr>
              <w:t>垃圾卫生填埋场的设计</w:t>
            </w:r>
            <w:r>
              <w:rPr>
                <w:rFonts w:ascii="Times New Roman" w:hAnsi="Times New Roman" w:hint="eastAsia"/>
                <w:kern w:val="0"/>
                <w:sz w:val="20"/>
                <w:szCs w:val="20"/>
              </w:rPr>
              <w:t>；卫生填埋场作业；渗滤液处理；封场管理</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掌握生活垃圾填埋</w:t>
            </w:r>
            <w:r>
              <w:rPr>
                <w:rFonts w:ascii="Times New Roman" w:hAnsi="Times New Roman" w:hint="eastAsia"/>
                <w:kern w:val="0"/>
                <w:sz w:val="20"/>
                <w:szCs w:val="20"/>
              </w:rPr>
              <w:t>处理</w:t>
            </w:r>
            <w:r>
              <w:rPr>
                <w:rFonts w:ascii="Times New Roman" w:hAnsi="Times New Roman"/>
                <w:kern w:val="0"/>
                <w:sz w:val="20"/>
                <w:szCs w:val="20"/>
              </w:rPr>
              <w:t>基本原理</w:t>
            </w:r>
            <w:r>
              <w:rPr>
                <w:rFonts w:ascii="Times New Roman" w:hAnsi="Times New Roman" w:hint="eastAsia"/>
                <w:kern w:val="0"/>
                <w:sz w:val="20"/>
                <w:szCs w:val="20"/>
              </w:rPr>
              <w:t>、</w:t>
            </w:r>
            <w:r>
              <w:rPr>
                <w:rFonts w:ascii="Times New Roman" w:hAnsi="Times New Roman"/>
                <w:kern w:val="0"/>
                <w:sz w:val="20"/>
                <w:szCs w:val="20"/>
              </w:rPr>
              <w:t>填埋场的设计</w:t>
            </w:r>
            <w:r>
              <w:rPr>
                <w:rFonts w:ascii="Times New Roman" w:hAnsi="Times New Roman" w:hint="eastAsia"/>
                <w:kern w:val="0"/>
                <w:sz w:val="20"/>
                <w:szCs w:val="20"/>
              </w:rPr>
              <w:t>及垃圾渗滤液处理</w:t>
            </w:r>
          </w:p>
        </w:tc>
      </w:tr>
      <w:tr w:rsidR="009613B4" w:rsidTr="008C3907">
        <w:trPr>
          <w:trHeight w:val="55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8</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第</w:t>
            </w:r>
            <w:r>
              <w:rPr>
                <w:rFonts w:ascii="Times New Roman" w:hAnsi="Times New Roman" w:hint="eastAsia"/>
                <w:kern w:val="0"/>
                <w:sz w:val="20"/>
                <w:szCs w:val="20"/>
              </w:rPr>
              <w:t>8</w:t>
            </w: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kern w:val="0"/>
                <w:sz w:val="20"/>
                <w:szCs w:val="20"/>
              </w:rPr>
              <w:t>特种城市垃圾处理</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餐厨垃圾处理</w:t>
            </w:r>
            <w:r>
              <w:rPr>
                <w:rFonts w:ascii="Times New Roman" w:hAnsi="Times New Roman" w:hint="eastAsia"/>
                <w:kern w:val="0"/>
                <w:sz w:val="20"/>
                <w:szCs w:val="20"/>
              </w:rPr>
              <w:t>；</w:t>
            </w:r>
            <w:r>
              <w:rPr>
                <w:rFonts w:ascii="Times New Roman" w:hAnsi="Times New Roman"/>
                <w:kern w:val="0"/>
                <w:sz w:val="20"/>
                <w:szCs w:val="20"/>
              </w:rPr>
              <w:t>城市粪便处理</w:t>
            </w:r>
            <w:r>
              <w:rPr>
                <w:rFonts w:ascii="Times New Roman" w:hAnsi="Times New Roman" w:hint="eastAsia"/>
                <w:kern w:val="0"/>
                <w:sz w:val="20"/>
                <w:szCs w:val="20"/>
              </w:rPr>
              <w:t>；</w:t>
            </w:r>
            <w:r>
              <w:rPr>
                <w:rFonts w:ascii="Times New Roman" w:hAnsi="Times New Roman"/>
                <w:kern w:val="0"/>
                <w:sz w:val="20"/>
                <w:szCs w:val="20"/>
              </w:rPr>
              <w:t>城市污泥处理</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了解三种特殊城市垃圾的处理方法</w:t>
            </w:r>
          </w:p>
        </w:tc>
      </w:tr>
      <w:tr w:rsidR="009613B4" w:rsidTr="008C3907">
        <w:trPr>
          <w:trHeight w:val="55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9</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第</w:t>
            </w:r>
            <w:r>
              <w:rPr>
                <w:rFonts w:ascii="Times New Roman" w:hAnsi="Times New Roman" w:hint="eastAsia"/>
                <w:kern w:val="0"/>
                <w:sz w:val="20"/>
                <w:szCs w:val="20"/>
              </w:rPr>
              <w:t>9</w:t>
            </w:r>
            <w:r>
              <w:rPr>
                <w:rFonts w:ascii="Times New Roman" w:hAnsi="Times New Roman"/>
                <w:kern w:val="0"/>
                <w:sz w:val="20"/>
                <w:szCs w:val="20"/>
              </w:rPr>
              <w:t>章生活垃圾中的再生资源回收</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生活垃圾中的再生资源</w:t>
            </w:r>
            <w:r>
              <w:rPr>
                <w:rFonts w:ascii="Times New Roman" w:hAnsi="Times New Roman" w:hint="eastAsia"/>
                <w:kern w:val="0"/>
                <w:sz w:val="20"/>
                <w:szCs w:val="20"/>
              </w:rPr>
              <w:t>；</w:t>
            </w:r>
            <w:r>
              <w:rPr>
                <w:rFonts w:ascii="Times New Roman" w:hAnsi="Times New Roman"/>
                <w:kern w:val="0"/>
                <w:sz w:val="20"/>
                <w:szCs w:val="20"/>
              </w:rPr>
              <w:t>再生资源回收方法</w:t>
            </w:r>
            <w:r>
              <w:rPr>
                <w:rFonts w:ascii="Times New Roman" w:hAnsi="Times New Roman" w:hint="eastAsia"/>
                <w:kern w:val="0"/>
                <w:sz w:val="20"/>
                <w:szCs w:val="20"/>
              </w:rPr>
              <w:t>；典型废品的资源再生方法</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掌握</w:t>
            </w:r>
            <w:r>
              <w:rPr>
                <w:rFonts w:ascii="Times New Roman" w:hAnsi="Times New Roman"/>
                <w:kern w:val="0"/>
                <w:sz w:val="20"/>
                <w:szCs w:val="20"/>
              </w:rPr>
              <w:t>生活垃圾中的再生资源</w:t>
            </w:r>
            <w:r>
              <w:rPr>
                <w:rFonts w:ascii="Times New Roman" w:hAnsi="Times New Roman" w:hint="eastAsia"/>
                <w:kern w:val="0"/>
                <w:sz w:val="20"/>
                <w:szCs w:val="20"/>
              </w:rPr>
              <w:t>及</w:t>
            </w:r>
            <w:r>
              <w:rPr>
                <w:rFonts w:ascii="Times New Roman" w:hAnsi="Times New Roman"/>
                <w:kern w:val="0"/>
                <w:sz w:val="20"/>
                <w:szCs w:val="20"/>
              </w:rPr>
              <w:t>再生资源回收</w:t>
            </w:r>
            <w:r>
              <w:rPr>
                <w:rFonts w:ascii="Times New Roman" w:hAnsi="Times New Roman" w:hint="eastAsia"/>
                <w:kern w:val="0"/>
                <w:sz w:val="20"/>
                <w:szCs w:val="20"/>
              </w:rPr>
              <w:t>再收</w:t>
            </w:r>
            <w:r>
              <w:rPr>
                <w:rFonts w:ascii="Times New Roman" w:hAnsi="Times New Roman"/>
                <w:kern w:val="0"/>
                <w:sz w:val="20"/>
                <w:szCs w:val="20"/>
              </w:rPr>
              <w:t>方法</w:t>
            </w:r>
          </w:p>
        </w:tc>
      </w:tr>
      <w:tr w:rsidR="009613B4" w:rsidTr="008C3907">
        <w:trPr>
          <w:trHeight w:val="55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0</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第</w:t>
            </w:r>
            <w:r>
              <w:rPr>
                <w:rFonts w:ascii="Times New Roman" w:hAnsi="Times New Roman" w:hint="eastAsia"/>
                <w:kern w:val="0"/>
                <w:sz w:val="20"/>
                <w:szCs w:val="20"/>
              </w:rPr>
              <w:t>10</w:t>
            </w: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hint="eastAsia"/>
                <w:kern w:val="0"/>
                <w:sz w:val="20"/>
                <w:szCs w:val="20"/>
              </w:rPr>
              <w:t>生活</w:t>
            </w:r>
            <w:r>
              <w:rPr>
                <w:rFonts w:ascii="Times New Roman" w:hAnsi="Times New Roman"/>
                <w:kern w:val="0"/>
                <w:sz w:val="20"/>
                <w:szCs w:val="20"/>
              </w:rPr>
              <w:t>源危险废物管理</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生活</w:t>
            </w:r>
            <w:r>
              <w:rPr>
                <w:rFonts w:ascii="Times New Roman" w:hAnsi="Times New Roman" w:hint="eastAsia"/>
                <w:kern w:val="0"/>
                <w:sz w:val="20"/>
                <w:szCs w:val="20"/>
              </w:rPr>
              <w:t>源</w:t>
            </w:r>
            <w:r>
              <w:rPr>
                <w:rFonts w:ascii="Times New Roman" w:hAnsi="Times New Roman"/>
                <w:kern w:val="0"/>
                <w:sz w:val="20"/>
                <w:szCs w:val="20"/>
              </w:rPr>
              <w:t>危险废物来源及分类</w:t>
            </w:r>
            <w:r>
              <w:rPr>
                <w:rFonts w:ascii="Times New Roman" w:hAnsi="Times New Roman" w:hint="eastAsia"/>
                <w:kern w:val="0"/>
                <w:sz w:val="20"/>
                <w:szCs w:val="20"/>
              </w:rPr>
              <w:t>；危险</w:t>
            </w:r>
            <w:r>
              <w:rPr>
                <w:rFonts w:ascii="Times New Roman" w:hAnsi="Times New Roman"/>
                <w:kern w:val="0"/>
                <w:sz w:val="20"/>
                <w:szCs w:val="20"/>
              </w:rPr>
              <w:t>废物鉴别方法</w:t>
            </w:r>
            <w:r>
              <w:rPr>
                <w:rFonts w:ascii="Times New Roman" w:hAnsi="Times New Roman" w:hint="eastAsia"/>
                <w:kern w:val="0"/>
                <w:sz w:val="20"/>
                <w:szCs w:val="20"/>
              </w:rPr>
              <w:t>；危险废物管理规范</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熟悉</w:t>
            </w:r>
            <w:r>
              <w:rPr>
                <w:rFonts w:ascii="Times New Roman" w:hAnsi="Times New Roman"/>
                <w:kern w:val="0"/>
                <w:sz w:val="20"/>
                <w:szCs w:val="20"/>
              </w:rPr>
              <w:t>生活</w:t>
            </w:r>
            <w:r>
              <w:rPr>
                <w:rFonts w:ascii="Times New Roman" w:hAnsi="Times New Roman" w:hint="eastAsia"/>
                <w:kern w:val="0"/>
                <w:sz w:val="20"/>
                <w:szCs w:val="20"/>
              </w:rPr>
              <w:t>源</w:t>
            </w:r>
            <w:r>
              <w:rPr>
                <w:rFonts w:ascii="Times New Roman" w:hAnsi="Times New Roman"/>
                <w:kern w:val="0"/>
                <w:sz w:val="20"/>
                <w:szCs w:val="20"/>
              </w:rPr>
              <w:t>危险废物来源及分类</w:t>
            </w:r>
            <w:r>
              <w:rPr>
                <w:rFonts w:ascii="Times New Roman" w:hAnsi="Times New Roman" w:hint="eastAsia"/>
                <w:kern w:val="0"/>
                <w:sz w:val="20"/>
                <w:szCs w:val="20"/>
              </w:rPr>
              <w:t>，掌握鉴别方法及管理规范</w:t>
            </w:r>
          </w:p>
        </w:tc>
      </w:tr>
      <w:tr w:rsidR="009613B4" w:rsidTr="008C3907">
        <w:trPr>
          <w:trHeight w:val="55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1</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第</w:t>
            </w:r>
            <w:r>
              <w:rPr>
                <w:rFonts w:ascii="Times New Roman" w:hAnsi="Times New Roman" w:hint="eastAsia"/>
                <w:kern w:val="0"/>
                <w:sz w:val="20"/>
                <w:szCs w:val="20"/>
              </w:rPr>
              <w:t>11</w:t>
            </w: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hint="eastAsia"/>
                <w:kern w:val="0"/>
                <w:sz w:val="20"/>
                <w:szCs w:val="20"/>
              </w:rPr>
              <w:t>建筑</w:t>
            </w:r>
            <w:r>
              <w:rPr>
                <w:rFonts w:ascii="Times New Roman" w:hAnsi="Times New Roman"/>
                <w:kern w:val="0"/>
                <w:sz w:val="20"/>
                <w:szCs w:val="20"/>
              </w:rPr>
              <w:t>垃圾处理与利用技术</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建筑</w:t>
            </w:r>
            <w:r>
              <w:rPr>
                <w:rFonts w:ascii="Times New Roman" w:hAnsi="Times New Roman"/>
                <w:kern w:val="0"/>
                <w:sz w:val="20"/>
                <w:szCs w:val="20"/>
              </w:rPr>
              <w:t>垃圾消纳与利用途径</w:t>
            </w:r>
            <w:r>
              <w:rPr>
                <w:rFonts w:ascii="Times New Roman" w:hAnsi="Times New Roman" w:hint="eastAsia"/>
                <w:kern w:val="0"/>
                <w:sz w:val="20"/>
                <w:szCs w:val="20"/>
              </w:rPr>
              <w:t>；建筑</w:t>
            </w:r>
            <w:r>
              <w:rPr>
                <w:rFonts w:ascii="Times New Roman" w:hAnsi="Times New Roman"/>
                <w:kern w:val="0"/>
                <w:sz w:val="20"/>
                <w:szCs w:val="20"/>
              </w:rPr>
              <w:t>垃圾集料加工技术</w:t>
            </w:r>
            <w:r>
              <w:rPr>
                <w:rFonts w:ascii="Times New Roman" w:hAnsi="Times New Roman" w:hint="eastAsia"/>
                <w:kern w:val="0"/>
                <w:sz w:val="20"/>
                <w:szCs w:val="20"/>
              </w:rPr>
              <w:t>；建筑垃圾建材利用</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了解建筑垃圾消纳与利用途径，熟悉建筑垃圾建材利用方法</w:t>
            </w:r>
          </w:p>
        </w:tc>
      </w:tr>
    </w:tbl>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采用平时成绩+期末考试方式确定总评成绩。其中平时成绩考核包括作业、讨论、出勤等内容，期末考试采用开卷方式。平时成绩占30%，期末考试成绩占70%。</w:t>
      </w:r>
    </w:p>
    <w:p w:rsidR="009613B4" w:rsidRDefault="009613B4"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成绩评定方式为百分</w:t>
      </w:r>
      <w:r>
        <w:rPr>
          <w:rFonts w:ascii="仿宋_GB2312" w:hAnsi="仿宋_GB2312" w:cs="仿宋_GB2312" w:hint="eastAsia"/>
          <w:sz w:val="28"/>
          <w:szCs w:val="28"/>
        </w:rPr>
        <w:t>制，</w:t>
      </w:r>
      <w:r>
        <w:rPr>
          <w:rFonts w:ascii="仿宋_GB2312" w:hAnsi="仿宋_GB2312" w:cs="仿宋_GB2312"/>
          <w:sz w:val="28"/>
          <w:szCs w:val="28"/>
        </w:rPr>
        <w:t>课程总成绩=期末成绩70</w:t>
      </w:r>
      <w:r>
        <w:rPr>
          <w:rFonts w:ascii="仿宋_GB2312" w:hAnsi="仿宋_GB2312" w:cs="仿宋_GB2312" w:hint="eastAsia"/>
          <w:sz w:val="28"/>
          <w:szCs w:val="28"/>
        </w:rPr>
        <w:t>%+平时</w:t>
      </w:r>
      <w:r>
        <w:rPr>
          <w:rFonts w:ascii="仿宋_GB2312" w:hAnsi="仿宋_GB2312" w:cs="仿宋_GB2312"/>
          <w:sz w:val="28"/>
          <w:szCs w:val="28"/>
        </w:rPr>
        <w:t>成绩30</w:t>
      </w:r>
      <w:r>
        <w:rPr>
          <w:rFonts w:ascii="仿宋_GB2312" w:hAnsi="仿宋_GB2312" w:cs="仿宋_GB2312" w:hint="eastAsia"/>
          <w:sz w:val="28"/>
          <w:szCs w:val="28"/>
        </w:rPr>
        <w:t>%</w:t>
      </w:r>
      <w:r>
        <w:rPr>
          <w:rFonts w:ascii="仿宋_GB2312" w:hAnsi="仿宋_GB2312" w:cs="仿宋_GB2312"/>
          <w:sz w:val="28"/>
          <w:szCs w:val="28"/>
        </w:rPr>
        <w:t>。</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lastRenderedPageBreak/>
        <w:t>1.建议教材</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课程教材：《城市垃圾处理》 何品晶 主编， 中国建筑工业出版社2015年9月</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《固体废物处理与处置》（第二版）芈振明 主编 高等教育出版社 北京 1999年5 月第2 版</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《固体废物处理与处置》  宁平主编 高等教育出版社 ，北京，2007年1月</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《城市污水厂污泥处理与资源化》 谷晋川 蒋文举 雍毅主编，化学工业出版社，北京，2008年6月第1版</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 xml:space="preserve"> 《污泥生物处理技术》 王星 赵天涛 赵由才主编，冶金工业出版社，北京，2010年4月第1版</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9613B4" w:rsidRDefault="009613B4" w:rsidP="009613B4">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9613B4" w:rsidRDefault="009613B4" w:rsidP="009613B4">
      <w:pPr>
        <w:spacing w:beforeLines="50" w:before="156" w:afterLines="50" w:after="156" w:line="460" w:lineRule="exact"/>
        <w:rPr>
          <w:rFonts w:ascii="黑体" w:eastAsia="黑体" w:hAnsi="黑体"/>
          <w:b/>
          <w:sz w:val="28"/>
          <w:szCs w:val="28"/>
        </w:rPr>
      </w:pPr>
    </w:p>
    <w:p w:rsidR="009613B4" w:rsidRDefault="009613B4" w:rsidP="009613B4">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大纲撰写人：孙燕</w:t>
      </w:r>
    </w:p>
    <w:p w:rsidR="009613B4" w:rsidRDefault="009613B4" w:rsidP="009613B4">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课程负责人：孙燕、刘意立</w:t>
      </w:r>
    </w:p>
    <w:p w:rsidR="009613B4" w:rsidRDefault="009613B4" w:rsidP="009613B4">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w:t>
      </w:r>
    </w:p>
    <w:p w:rsidR="009613B4" w:rsidRDefault="009613B4" w:rsidP="009613B4">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9613B4" w:rsidRDefault="009613B4" w:rsidP="009613B4">
      <w:pPr>
        <w:ind w:firstLineChars="2000" w:firstLine="5600"/>
        <w:jc w:val="left"/>
        <w:rPr>
          <w:rFonts w:ascii="仿宋" w:hAnsi="仿宋"/>
          <w:sz w:val="28"/>
          <w:szCs w:val="28"/>
        </w:rPr>
      </w:pPr>
      <w:r>
        <w:rPr>
          <w:rFonts w:ascii="仿宋_GB2312" w:hAnsi="微软雅黑" w:hint="eastAsia"/>
          <w:sz w:val="28"/>
          <w:szCs w:val="28"/>
        </w:rPr>
        <w:t xml:space="preserve">    </w:t>
      </w:r>
    </w:p>
    <w:p w:rsidR="009613B4" w:rsidRDefault="009613B4" w:rsidP="009613B4">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4</w:t>
      </w:r>
      <w:r>
        <w:rPr>
          <w:rFonts w:ascii="仿宋" w:eastAsia="仿宋" w:hAnsi="仿宋" w:hint="eastAsia"/>
          <w:sz w:val="28"/>
          <w:szCs w:val="28"/>
        </w:rPr>
        <w:t xml:space="preserve">  月</w:t>
      </w:r>
    </w:p>
    <w:p w:rsidR="009613B4" w:rsidRDefault="009613B4" w:rsidP="009613B4">
      <w:pPr>
        <w:widowControl/>
        <w:spacing w:line="400" w:lineRule="exact"/>
        <w:rPr>
          <w:rFonts w:ascii="黑体" w:eastAsia="黑体" w:hAnsi="黑体" w:cs="宋体"/>
          <w:bCs/>
          <w:color w:val="000000"/>
          <w:kern w:val="0"/>
          <w:szCs w:val="32"/>
        </w:rPr>
      </w:pPr>
    </w:p>
    <w:p w:rsidR="009613B4" w:rsidRDefault="009613B4" w:rsidP="009613B4">
      <w:pPr>
        <w:widowControl/>
        <w:spacing w:line="560" w:lineRule="exact"/>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《建筑给排水工程》课程教学大纲</w:t>
      </w:r>
    </w:p>
    <w:p w:rsidR="009613B4" w:rsidRDefault="009613B4" w:rsidP="009613B4">
      <w:pPr>
        <w:widowControl/>
        <w:spacing w:line="560" w:lineRule="exact"/>
        <w:jc w:val="left"/>
        <w:rPr>
          <w:rFonts w:ascii="黑体" w:eastAsia="黑体" w:hAnsi="黑体"/>
          <w:b/>
          <w:szCs w:val="28"/>
        </w:rPr>
      </w:pPr>
      <w:r>
        <w:rPr>
          <w:rFonts w:ascii="黑体" w:eastAsia="黑体" w:hAnsi="黑体" w:hint="eastAsia"/>
          <w:b/>
          <w:szCs w:val="28"/>
        </w:rPr>
        <w:t>一、课程信息</w:t>
      </w:r>
    </w:p>
    <w:p w:rsidR="009613B4" w:rsidRPr="008B4EA8" w:rsidRDefault="009613B4" w:rsidP="009613B4">
      <w:pPr>
        <w:snapToGrid w:val="0"/>
        <w:spacing w:line="560" w:lineRule="exact"/>
        <w:ind w:firstLineChars="100" w:firstLine="280"/>
        <w:rPr>
          <w:rFonts w:ascii="仿宋_GB2312" w:hAnsi="仿宋_GB2312" w:cs="仿宋_GB2312"/>
          <w:bCs/>
          <w:sz w:val="28"/>
          <w:szCs w:val="28"/>
        </w:rPr>
      </w:pPr>
      <w:r w:rsidRPr="008B4EA8">
        <w:rPr>
          <w:rFonts w:ascii="仿宋_GB2312" w:hAnsi="仿宋_GB2312" w:cs="仿宋_GB2312" w:hint="eastAsia"/>
          <w:bCs/>
          <w:sz w:val="28"/>
          <w:szCs w:val="28"/>
        </w:rPr>
        <w:t>英文名称：</w:t>
      </w:r>
      <w:r w:rsidRPr="008B4EA8">
        <w:rPr>
          <w:rFonts w:ascii="仿宋_GB2312" w:hAnsi="仿宋_GB2312" w:cs="仿宋_GB2312" w:hint="eastAsia"/>
          <w:sz w:val="28"/>
          <w:szCs w:val="28"/>
        </w:rPr>
        <w:t>Building Water Supply and Drainage Engineering</w:t>
      </w:r>
    </w:p>
    <w:p w:rsidR="009613B4" w:rsidRPr="008B4EA8" w:rsidRDefault="009613B4" w:rsidP="009613B4">
      <w:pPr>
        <w:snapToGrid w:val="0"/>
        <w:spacing w:line="560" w:lineRule="exact"/>
        <w:ind w:firstLineChars="100" w:firstLine="280"/>
        <w:rPr>
          <w:rFonts w:ascii="仿宋_GB2312" w:hAnsi="仿宋_GB2312" w:cs="仿宋_GB2312"/>
          <w:bCs/>
          <w:sz w:val="28"/>
          <w:szCs w:val="28"/>
        </w:rPr>
      </w:pPr>
      <w:r w:rsidRPr="008B4EA8">
        <w:rPr>
          <w:rFonts w:ascii="仿宋_GB2312" w:hAnsi="仿宋_GB2312" w:cs="仿宋_GB2312" w:hint="eastAsia"/>
          <w:bCs/>
          <w:sz w:val="28"/>
          <w:szCs w:val="28"/>
        </w:rPr>
        <w:t>课程编码：</w:t>
      </w:r>
      <w:r w:rsidRPr="008B4EA8">
        <w:rPr>
          <w:rFonts w:ascii="仿宋_GB2312" w:hAnsi="仿宋_GB2312" w:cs="仿宋_GB2312" w:hint="eastAsia"/>
          <w:sz w:val="28"/>
          <w:szCs w:val="28"/>
        </w:rPr>
        <w:t>Z2806</w:t>
      </w:r>
      <w:r w:rsidRPr="008B4EA8">
        <w:rPr>
          <w:rFonts w:ascii="仿宋_GB2312" w:hAnsi="仿宋_GB2312" w:cs="仿宋_GB2312"/>
          <w:sz w:val="28"/>
          <w:szCs w:val="28"/>
        </w:rPr>
        <w:t>280</w:t>
      </w:r>
    </w:p>
    <w:p w:rsidR="009613B4" w:rsidRPr="008B4EA8" w:rsidRDefault="009613B4" w:rsidP="009613B4">
      <w:pPr>
        <w:spacing w:line="560" w:lineRule="exact"/>
        <w:ind w:firstLineChars="100" w:firstLine="280"/>
        <w:rPr>
          <w:rFonts w:ascii="仿宋_GB2312" w:hAnsi="仿宋_GB2312" w:cs="仿宋_GB2312"/>
          <w:bCs/>
          <w:sz w:val="28"/>
          <w:szCs w:val="28"/>
        </w:rPr>
      </w:pPr>
      <w:r w:rsidRPr="008B4EA8">
        <w:rPr>
          <w:rFonts w:ascii="仿宋_GB2312" w:hAnsi="仿宋_GB2312" w:cs="仿宋_GB2312" w:hint="eastAsia"/>
          <w:bCs/>
          <w:sz w:val="28"/>
          <w:szCs w:val="28"/>
        </w:rPr>
        <w:t>授课语言：</w:t>
      </w:r>
      <w:r w:rsidRPr="008B4EA8">
        <w:rPr>
          <w:rFonts w:ascii="仿宋_GB2312" w:hAnsi="仿宋_GB2312" w:cs="仿宋_GB2312" w:hint="eastAsia"/>
          <w:sz w:val="28"/>
          <w:szCs w:val="28"/>
        </w:rPr>
        <w:t>汉语</w:t>
      </w:r>
    </w:p>
    <w:p w:rsidR="009613B4" w:rsidRPr="008B4EA8" w:rsidRDefault="009613B4" w:rsidP="009613B4">
      <w:pPr>
        <w:spacing w:line="560" w:lineRule="exact"/>
        <w:ind w:firstLineChars="100" w:firstLine="280"/>
        <w:rPr>
          <w:rFonts w:ascii="仿宋_GB2312" w:hAnsi="仿宋_GB2312" w:cs="仿宋_GB2312"/>
          <w:sz w:val="28"/>
          <w:szCs w:val="28"/>
        </w:rPr>
      </w:pPr>
      <w:r w:rsidRPr="008B4EA8">
        <w:rPr>
          <w:rFonts w:ascii="仿宋_GB2312" w:hAnsi="仿宋_GB2312" w:cs="仿宋_GB2312" w:hint="eastAsia"/>
          <w:sz w:val="28"/>
          <w:szCs w:val="28"/>
        </w:rPr>
        <w:t>授课方式：线下</w:t>
      </w:r>
    </w:p>
    <w:p w:rsidR="009613B4" w:rsidRPr="008B4EA8" w:rsidRDefault="009613B4" w:rsidP="009613B4">
      <w:pPr>
        <w:spacing w:line="560" w:lineRule="exact"/>
        <w:ind w:firstLineChars="100" w:firstLine="280"/>
        <w:rPr>
          <w:rFonts w:ascii="仿宋_GB2312" w:hAnsi="仿宋_GB2312" w:cs="仿宋_GB2312"/>
          <w:bCs/>
          <w:sz w:val="28"/>
          <w:szCs w:val="28"/>
        </w:rPr>
      </w:pPr>
      <w:r w:rsidRPr="008B4EA8">
        <w:rPr>
          <w:rFonts w:ascii="仿宋_GB2312" w:hAnsi="仿宋_GB2312" w:cs="仿宋_GB2312" w:hint="eastAsia"/>
          <w:bCs/>
          <w:sz w:val="28"/>
          <w:szCs w:val="28"/>
        </w:rPr>
        <w:t>课程类别：专业发展</w:t>
      </w:r>
    </w:p>
    <w:p w:rsidR="009613B4" w:rsidRPr="008B4EA8" w:rsidRDefault="009613B4" w:rsidP="009613B4">
      <w:pPr>
        <w:spacing w:line="560" w:lineRule="exact"/>
        <w:ind w:firstLineChars="100" w:firstLine="280"/>
        <w:rPr>
          <w:rFonts w:ascii="仿宋_GB2312" w:hAnsi="仿宋_GB2312" w:cs="仿宋_GB2312"/>
          <w:bCs/>
          <w:sz w:val="28"/>
          <w:szCs w:val="28"/>
        </w:rPr>
      </w:pPr>
      <w:r w:rsidRPr="008B4EA8">
        <w:rPr>
          <w:rFonts w:ascii="仿宋_GB2312" w:hAnsi="仿宋_GB2312" w:cs="仿宋_GB2312" w:hint="eastAsia"/>
          <w:bCs/>
          <w:sz w:val="28"/>
          <w:szCs w:val="28"/>
        </w:rPr>
        <w:t>课程性质：选修</w:t>
      </w:r>
    </w:p>
    <w:p w:rsidR="009613B4" w:rsidRPr="008B4EA8" w:rsidRDefault="009613B4" w:rsidP="009613B4">
      <w:pPr>
        <w:spacing w:line="560" w:lineRule="exact"/>
        <w:ind w:firstLineChars="100" w:firstLine="280"/>
        <w:rPr>
          <w:rFonts w:ascii="仿宋_GB2312" w:hAnsi="仿宋_GB2312" w:cs="仿宋_GB2312"/>
          <w:bCs/>
          <w:sz w:val="28"/>
          <w:szCs w:val="28"/>
        </w:rPr>
      </w:pPr>
      <w:r w:rsidRPr="008B4EA8">
        <w:rPr>
          <w:rFonts w:ascii="仿宋_GB2312" w:hAnsi="仿宋_GB2312" w:cs="仿宋_GB2312" w:hint="eastAsia"/>
          <w:bCs/>
          <w:sz w:val="28"/>
          <w:szCs w:val="28"/>
        </w:rPr>
        <w:t>学    分：1.5</w:t>
      </w:r>
    </w:p>
    <w:p w:rsidR="009613B4" w:rsidRPr="008B4EA8" w:rsidRDefault="009613B4" w:rsidP="009613B4">
      <w:pPr>
        <w:spacing w:line="560" w:lineRule="exact"/>
        <w:ind w:leftChars="103" w:left="1779" w:hanging="1449"/>
        <w:rPr>
          <w:rFonts w:ascii="仿宋_GB2312" w:hAnsi="仿宋_GB2312" w:cs="仿宋_GB2312"/>
          <w:bCs/>
          <w:sz w:val="28"/>
          <w:szCs w:val="28"/>
        </w:rPr>
      </w:pPr>
      <w:r w:rsidRPr="008B4EA8">
        <w:rPr>
          <w:rFonts w:ascii="仿宋_GB2312" w:hAnsi="仿宋_GB2312" w:cs="仿宋_GB2312" w:hint="eastAsia"/>
          <w:bCs/>
          <w:sz w:val="28"/>
          <w:szCs w:val="28"/>
        </w:rPr>
        <w:t>学    时：24学时（授课24学时，实验0学时，上机0学时，课外0学时）</w:t>
      </w:r>
    </w:p>
    <w:p w:rsidR="009613B4" w:rsidRPr="008B4EA8" w:rsidRDefault="009613B4" w:rsidP="009613B4">
      <w:pPr>
        <w:snapToGrid w:val="0"/>
        <w:spacing w:line="560" w:lineRule="exact"/>
        <w:ind w:firstLineChars="100" w:firstLine="280"/>
        <w:rPr>
          <w:rFonts w:ascii="仿宋_GB2312" w:hAnsi="仿宋_GB2312" w:cs="仿宋_GB2312"/>
          <w:bCs/>
          <w:sz w:val="28"/>
          <w:szCs w:val="28"/>
        </w:rPr>
      </w:pPr>
      <w:r w:rsidRPr="008B4EA8">
        <w:rPr>
          <w:rFonts w:ascii="仿宋_GB2312" w:hAnsi="仿宋_GB2312" w:cs="仿宋_GB2312" w:hint="eastAsia"/>
          <w:bCs/>
          <w:sz w:val="28"/>
          <w:szCs w:val="28"/>
        </w:rPr>
        <w:t>适用对象：</w:t>
      </w:r>
      <w:r w:rsidRPr="008B4EA8">
        <w:rPr>
          <w:rFonts w:ascii="仿宋_GB2312" w:hAnsi="仿宋_GB2312" w:cs="仿宋_GB2312" w:hint="eastAsia"/>
          <w:sz w:val="28"/>
          <w:szCs w:val="28"/>
        </w:rPr>
        <w:t>建筑环境与能源应用、工程造价</w:t>
      </w:r>
      <w:r w:rsidRPr="008B4EA8">
        <w:rPr>
          <w:rFonts w:ascii="仿宋_GB2312" w:hAnsi="仿宋_GB2312" w:cs="仿宋_GB2312" w:hint="eastAsia"/>
          <w:bCs/>
          <w:sz w:val="28"/>
          <w:szCs w:val="28"/>
        </w:rPr>
        <w:t>专业</w:t>
      </w:r>
    </w:p>
    <w:p w:rsidR="009613B4" w:rsidRPr="008B4EA8" w:rsidRDefault="009613B4" w:rsidP="009613B4">
      <w:pPr>
        <w:spacing w:line="560" w:lineRule="exact"/>
        <w:ind w:firstLineChars="100" w:firstLine="280"/>
        <w:rPr>
          <w:rFonts w:ascii="仿宋_GB2312" w:hAnsi="仿宋_GB2312" w:cs="仿宋_GB2312"/>
          <w:bCs/>
          <w:sz w:val="28"/>
          <w:szCs w:val="28"/>
        </w:rPr>
      </w:pPr>
      <w:r w:rsidRPr="008B4EA8">
        <w:rPr>
          <w:rFonts w:ascii="仿宋_GB2312" w:hAnsi="仿宋_GB2312" w:cs="仿宋_GB2312" w:hint="eastAsia"/>
          <w:bCs/>
          <w:sz w:val="28"/>
          <w:szCs w:val="28"/>
        </w:rPr>
        <w:t>先修课程：</w:t>
      </w:r>
      <w:r w:rsidRPr="008B4EA8">
        <w:rPr>
          <w:rFonts w:ascii="仿宋_GB2312" w:hAnsi="仿宋_GB2312" w:cs="仿宋_GB2312" w:hint="eastAsia"/>
          <w:sz w:val="28"/>
          <w:szCs w:val="28"/>
        </w:rPr>
        <w:t>土建工程基础、水力学、水泵及水泵站等。</w:t>
      </w:r>
    </w:p>
    <w:p w:rsidR="009613B4" w:rsidRPr="008B4EA8" w:rsidRDefault="009613B4" w:rsidP="009613B4">
      <w:pPr>
        <w:spacing w:line="560" w:lineRule="exact"/>
        <w:ind w:firstLineChars="100" w:firstLine="280"/>
        <w:rPr>
          <w:rFonts w:ascii="仿宋_GB2312" w:hAnsi="仿宋_GB2312" w:cs="仿宋_GB2312"/>
          <w:bCs/>
          <w:sz w:val="28"/>
          <w:szCs w:val="28"/>
        </w:rPr>
      </w:pPr>
      <w:r w:rsidRPr="008B4EA8">
        <w:rPr>
          <w:rFonts w:ascii="仿宋_GB2312" w:hAnsi="仿宋_GB2312" w:cs="仿宋_GB2312" w:hint="eastAsia"/>
          <w:bCs/>
          <w:sz w:val="28"/>
          <w:szCs w:val="28"/>
        </w:rPr>
        <w:t>开课院系：</w:t>
      </w:r>
      <w:r w:rsidRPr="008B4EA8">
        <w:rPr>
          <w:rFonts w:ascii="仿宋_GB2312" w:hAnsi="仿宋_GB2312" w:cs="仿宋_GB2312" w:hint="eastAsia"/>
          <w:sz w:val="28"/>
          <w:szCs w:val="28"/>
        </w:rPr>
        <w:t>建筑工程学院给排水科学与工程系</w:t>
      </w:r>
    </w:p>
    <w:p w:rsidR="009613B4" w:rsidRDefault="009613B4" w:rsidP="009613B4">
      <w:pPr>
        <w:spacing w:beforeLines="50" w:before="156" w:afterLines="50" w:after="156" w:line="560" w:lineRule="exact"/>
        <w:rPr>
          <w:rFonts w:ascii="黑体" w:eastAsia="黑体" w:hAnsi="黑体"/>
          <w:b/>
          <w:szCs w:val="28"/>
        </w:rPr>
      </w:pPr>
      <w:r>
        <w:rPr>
          <w:rFonts w:ascii="黑体" w:eastAsia="黑体" w:hAnsi="黑体" w:hint="eastAsia"/>
          <w:b/>
          <w:szCs w:val="28"/>
        </w:rPr>
        <w:t>二、课程简介</w:t>
      </w:r>
    </w:p>
    <w:p w:rsidR="009613B4" w:rsidRPr="008B4EA8" w:rsidRDefault="009613B4" w:rsidP="009613B4">
      <w:pPr>
        <w:snapToGrid w:val="0"/>
        <w:spacing w:line="560" w:lineRule="exact"/>
        <w:ind w:firstLineChars="200" w:firstLine="560"/>
        <w:rPr>
          <w:rFonts w:ascii="仿宋_GB2312" w:hAnsi="仿宋_GB2312" w:cs="仿宋_GB2312"/>
          <w:sz w:val="28"/>
          <w:szCs w:val="28"/>
        </w:rPr>
      </w:pPr>
      <w:r w:rsidRPr="008B4EA8">
        <w:rPr>
          <w:rFonts w:ascii="仿宋_GB2312" w:hAnsi="仿宋_GB2312" w:cs="仿宋_GB2312" w:hint="eastAsia"/>
          <w:sz w:val="28"/>
          <w:szCs w:val="28"/>
        </w:rPr>
        <w:t>《建筑给排水工程》是一门为工业与民用建筑提供必需的生产条件和安全、卫生、舒适生活环境的课程。学生通过该课程学习建筑水工程的基本知识、基本理论和基本方法，获得建筑给水排水工程设计与施工的核心能力。教学内容为建筑内部的给水、消防给水、排水、雨水、热水供应及小区给水排水和中水工程的基本理论、设计方法以及安装和管理等方面的知识和技术。</w:t>
      </w:r>
    </w:p>
    <w:p w:rsidR="009613B4" w:rsidRPr="008B4EA8" w:rsidRDefault="009613B4" w:rsidP="009613B4">
      <w:pPr>
        <w:snapToGrid w:val="0"/>
        <w:spacing w:line="560" w:lineRule="exact"/>
        <w:ind w:firstLineChars="200" w:firstLine="560"/>
        <w:rPr>
          <w:rFonts w:ascii="仿宋_GB2312" w:hAnsi="仿宋_GB2312" w:cs="仿宋_GB2312"/>
          <w:sz w:val="28"/>
          <w:szCs w:val="28"/>
        </w:rPr>
      </w:pPr>
      <w:r w:rsidRPr="008B4EA8">
        <w:rPr>
          <w:rFonts w:ascii="仿宋_GB2312" w:hAnsi="仿宋_GB2312" w:cs="仿宋_GB2312" w:hint="eastAsia"/>
          <w:sz w:val="28"/>
          <w:szCs w:val="28"/>
        </w:rPr>
        <w:t>教学方式采用PPT（原理与设计案例讲解）、板书（计算讲解）、课后思考题和练习题等相结合进行授课，使学生初步具备建筑给排水的设计、计算和制图能力。</w:t>
      </w:r>
    </w:p>
    <w:p w:rsidR="009613B4" w:rsidRPr="008B4EA8" w:rsidRDefault="009613B4" w:rsidP="009613B4">
      <w:pPr>
        <w:spacing w:beforeLines="50" w:before="156" w:afterLines="50" w:after="156" w:line="560" w:lineRule="exact"/>
        <w:rPr>
          <w:rFonts w:ascii="黑体" w:eastAsia="黑体" w:hAnsi="黑体"/>
          <w:b/>
          <w:sz w:val="28"/>
          <w:szCs w:val="28"/>
        </w:rPr>
      </w:pPr>
      <w:r w:rsidRPr="008B4EA8">
        <w:rPr>
          <w:rFonts w:ascii="黑体" w:eastAsia="黑体" w:hAnsi="黑体" w:hint="eastAsia"/>
          <w:b/>
          <w:sz w:val="28"/>
          <w:szCs w:val="28"/>
        </w:rPr>
        <w:lastRenderedPageBreak/>
        <w:t>三、课程任务、目标与要求</w:t>
      </w:r>
    </w:p>
    <w:p w:rsidR="009613B4" w:rsidRPr="008B4EA8" w:rsidRDefault="009613B4" w:rsidP="008B4EA8">
      <w:pPr>
        <w:spacing w:line="560" w:lineRule="exact"/>
        <w:rPr>
          <w:rFonts w:ascii="仿宋_GB2312" w:hAnsi="仿宋_GB2312" w:cs="仿宋_GB2312"/>
          <w:bCs/>
          <w:snapToGrid w:val="0"/>
          <w:kern w:val="0"/>
          <w:sz w:val="28"/>
          <w:szCs w:val="28"/>
        </w:rPr>
      </w:pPr>
      <w:r w:rsidRPr="008B4EA8">
        <w:rPr>
          <w:rFonts w:ascii="仿宋_GB2312" w:hAnsi="仿宋_GB2312" w:cs="仿宋_GB2312"/>
          <w:bCs/>
          <w:snapToGrid w:val="0"/>
          <w:kern w:val="0"/>
          <w:sz w:val="28"/>
          <w:szCs w:val="28"/>
        </w:rPr>
        <w:t>1. 课程任务</w:t>
      </w:r>
    </w:p>
    <w:p w:rsidR="009613B4" w:rsidRPr="008B4EA8" w:rsidRDefault="009613B4" w:rsidP="009613B4">
      <w:pPr>
        <w:pStyle w:val="a3"/>
        <w:spacing w:line="56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通过《建筑给排水工程》的</w:t>
      </w:r>
      <w:r>
        <w:rPr>
          <w:rFonts w:ascii="仿宋_GB2312" w:eastAsia="仿宋_GB2312" w:hAnsi="仿宋_GB2312" w:cs="仿宋_GB2312"/>
          <w:bCs/>
          <w:sz w:val="28"/>
          <w:szCs w:val="28"/>
        </w:rPr>
        <w:t>学习，使学生掌握建筑给水排水工程的基本概念、设计原理和方法以及安装、管理</w:t>
      </w:r>
      <w:r>
        <w:rPr>
          <w:rFonts w:ascii="仿宋_GB2312" w:eastAsia="仿宋_GB2312" w:hAnsi="仿宋_GB2312" w:cs="仿宋_GB2312" w:hint="eastAsia"/>
          <w:bCs/>
          <w:sz w:val="28"/>
          <w:szCs w:val="28"/>
        </w:rPr>
        <w:t>等</w:t>
      </w:r>
      <w:r>
        <w:rPr>
          <w:rFonts w:ascii="仿宋_GB2312" w:eastAsia="仿宋_GB2312" w:hAnsi="仿宋_GB2312" w:cs="仿宋_GB2312"/>
          <w:bCs/>
          <w:sz w:val="28"/>
          <w:szCs w:val="28"/>
        </w:rPr>
        <w:t>方面的知识，掌握</w:t>
      </w:r>
      <w:r>
        <w:rPr>
          <w:rFonts w:ascii="仿宋_GB2312" w:eastAsia="仿宋_GB2312" w:hAnsi="仿宋_GB2312" w:cs="仿宋_GB2312" w:hint="eastAsia"/>
          <w:bCs/>
          <w:sz w:val="28"/>
          <w:szCs w:val="28"/>
        </w:rPr>
        <w:t>建筑内部给水系统、消火栓系统</w:t>
      </w:r>
      <w:r>
        <w:rPr>
          <w:rFonts w:ascii="仿宋_GB2312" w:eastAsia="仿宋_GB2312" w:hAnsi="仿宋_GB2312" w:cs="仿宋_GB2312"/>
          <w:bCs/>
          <w:sz w:val="28"/>
          <w:szCs w:val="28"/>
        </w:rPr>
        <w:t>、自动喷水灭火系统</w:t>
      </w:r>
      <w:r>
        <w:rPr>
          <w:rFonts w:ascii="仿宋_GB2312" w:eastAsia="仿宋_GB2312" w:hAnsi="仿宋_GB2312" w:cs="仿宋_GB2312" w:hint="eastAsia"/>
          <w:bCs/>
          <w:sz w:val="28"/>
          <w:szCs w:val="28"/>
        </w:rPr>
        <w:t>、排水系统、雨水系统和热水供应系统</w:t>
      </w:r>
      <w:r>
        <w:rPr>
          <w:rFonts w:ascii="仿宋_GB2312" w:eastAsia="仿宋_GB2312" w:hAnsi="仿宋_GB2312" w:cs="仿宋_GB2312"/>
          <w:bCs/>
          <w:sz w:val="28"/>
          <w:szCs w:val="28"/>
        </w:rPr>
        <w:t>的设计</w:t>
      </w:r>
      <w:r>
        <w:rPr>
          <w:rFonts w:ascii="仿宋_GB2312" w:eastAsia="仿宋_GB2312" w:hAnsi="仿宋_GB2312" w:cs="仿宋_GB2312" w:hint="eastAsia"/>
          <w:bCs/>
          <w:sz w:val="28"/>
          <w:szCs w:val="28"/>
        </w:rPr>
        <w:t>和</w:t>
      </w:r>
      <w:r>
        <w:rPr>
          <w:rFonts w:ascii="仿宋_GB2312" w:eastAsia="仿宋_GB2312" w:hAnsi="仿宋_GB2312" w:cs="仿宋_GB2312"/>
          <w:bCs/>
          <w:sz w:val="28"/>
          <w:szCs w:val="28"/>
        </w:rPr>
        <w:t>计算，了解建筑给水排水工程各系统的安装要求及管材</w:t>
      </w:r>
      <w:r>
        <w:rPr>
          <w:rFonts w:ascii="仿宋_GB2312" w:eastAsia="仿宋_GB2312" w:hAnsi="仿宋_GB2312" w:cs="仿宋_GB2312" w:hint="eastAsia"/>
          <w:bCs/>
          <w:sz w:val="28"/>
          <w:szCs w:val="28"/>
        </w:rPr>
        <w:t>和</w:t>
      </w:r>
      <w:r>
        <w:rPr>
          <w:rFonts w:ascii="仿宋_GB2312" w:eastAsia="仿宋_GB2312" w:hAnsi="仿宋_GB2312" w:cs="仿宋_GB2312"/>
          <w:bCs/>
          <w:sz w:val="28"/>
          <w:szCs w:val="28"/>
        </w:rPr>
        <w:t>设备的选用。</w:t>
      </w:r>
      <w:r>
        <w:rPr>
          <w:rFonts w:ascii="仿宋_GB2312" w:eastAsia="仿宋_GB2312" w:hAnsi="仿宋_GB2312" w:cs="仿宋_GB2312" w:hint="eastAsia"/>
          <w:bCs/>
          <w:sz w:val="28"/>
          <w:szCs w:val="28"/>
        </w:rPr>
        <w:t>了解国家相关政策和规范标准，明确自己的职业能力和职业责任。通过</w:t>
      </w:r>
      <w:r>
        <w:rPr>
          <w:rFonts w:ascii="仿宋_GB2312" w:eastAsia="仿宋_GB2312" w:hAnsi="仿宋_GB2312" w:cs="仿宋_GB2312"/>
          <w:bCs/>
          <w:sz w:val="28"/>
          <w:szCs w:val="28"/>
        </w:rPr>
        <w:t>该课程的学习</w:t>
      </w:r>
      <w:r>
        <w:rPr>
          <w:rFonts w:ascii="仿宋_GB2312" w:eastAsia="仿宋_GB2312" w:hAnsi="仿宋_GB2312" w:cs="仿宋_GB2312" w:hint="eastAsia"/>
          <w:bCs/>
          <w:sz w:val="28"/>
          <w:szCs w:val="28"/>
        </w:rPr>
        <w:t>使学生</w:t>
      </w:r>
      <w:r>
        <w:rPr>
          <w:rFonts w:ascii="仿宋_GB2312" w:eastAsia="仿宋_GB2312" w:hAnsi="仿宋_GB2312" w:cs="仿宋_GB2312"/>
          <w:bCs/>
          <w:sz w:val="28"/>
          <w:szCs w:val="28"/>
        </w:rPr>
        <w:t>能够将有关</w:t>
      </w:r>
      <w:r>
        <w:rPr>
          <w:rFonts w:ascii="仿宋_GB2312" w:eastAsia="仿宋_GB2312" w:hAnsi="仿宋_GB2312" w:cs="仿宋_GB2312" w:hint="eastAsia"/>
          <w:bCs/>
          <w:sz w:val="28"/>
          <w:szCs w:val="28"/>
        </w:rPr>
        <w:t>专业</w:t>
      </w:r>
      <w:r>
        <w:rPr>
          <w:rFonts w:ascii="仿宋_GB2312" w:eastAsia="仿宋_GB2312" w:hAnsi="仿宋_GB2312" w:cs="仿宋_GB2312"/>
          <w:bCs/>
          <w:sz w:val="28"/>
          <w:szCs w:val="28"/>
        </w:rPr>
        <w:t>知识应用于</w:t>
      </w:r>
      <w:r>
        <w:rPr>
          <w:rFonts w:ascii="仿宋_GB2312" w:eastAsia="仿宋_GB2312" w:hAnsi="仿宋_GB2312" w:cs="仿宋_GB2312" w:hint="eastAsia"/>
          <w:bCs/>
          <w:sz w:val="28"/>
          <w:szCs w:val="28"/>
        </w:rPr>
        <w:t>建筑</w:t>
      </w:r>
      <w:r>
        <w:rPr>
          <w:rFonts w:ascii="仿宋_GB2312" w:eastAsia="仿宋_GB2312" w:hAnsi="仿宋_GB2312" w:cs="仿宋_GB2312"/>
          <w:bCs/>
          <w:sz w:val="28"/>
          <w:szCs w:val="28"/>
        </w:rPr>
        <w:t>给排水工程中，</w:t>
      </w:r>
      <w:r>
        <w:rPr>
          <w:rFonts w:ascii="仿宋_GB2312" w:eastAsia="仿宋_GB2312" w:hAnsi="仿宋_GB2312" w:cs="仿宋_GB2312" w:hint="eastAsia"/>
          <w:bCs/>
          <w:sz w:val="28"/>
          <w:szCs w:val="28"/>
        </w:rPr>
        <w:t>可以独立</w:t>
      </w:r>
      <w:r>
        <w:rPr>
          <w:rFonts w:ascii="仿宋_GB2312" w:eastAsia="仿宋_GB2312" w:hAnsi="仿宋_GB2312" w:cs="仿宋_GB2312"/>
          <w:bCs/>
          <w:sz w:val="28"/>
          <w:szCs w:val="28"/>
        </w:rPr>
        <w:t>完成一幢多层建筑的给排</w:t>
      </w:r>
      <w:r w:rsidRPr="008B4EA8">
        <w:rPr>
          <w:rFonts w:ascii="仿宋_GB2312" w:eastAsia="仿宋_GB2312" w:hAnsi="仿宋_GB2312" w:cs="仿宋_GB2312"/>
          <w:bCs/>
          <w:sz w:val="28"/>
          <w:szCs w:val="28"/>
        </w:rPr>
        <w:t>水</w:t>
      </w:r>
      <w:r w:rsidRPr="008B4EA8">
        <w:rPr>
          <w:rFonts w:ascii="仿宋_GB2312" w:eastAsia="仿宋_GB2312" w:hAnsi="仿宋_GB2312" w:cs="仿宋_GB2312" w:hint="eastAsia"/>
          <w:bCs/>
          <w:sz w:val="28"/>
          <w:szCs w:val="28"/>
        </w:rPr>
        <w:t>工程</w:t>
      </w:r>
      <w:r w:rsidRPr="008B4EA8">
        <w:rPr>
          <w:rFonts w:ascii="仿宋_GB2312" w:eastAsia="仿宋_GB2312" w:hAnsi="仿宋_GB2312" w:cs="仿宋_GB2312"/>
          <w:bCs/>
          <w:sz w:val="28"/>
          <w:szCs w:val="28"/>
        </w:rPr>
        <w:t>设计</w:t>
      </w:r>
      <w:r w:rsidRPr="008B4EA8">
        <w:rPr>
          <w:rFonts w:ascii="仿宋_GB2312" w:eastAsia="仿宋_GB2312" w:hAnsi="仿宋_GB2312" w:cs="仿宋_GB2312" w:hint="eastAsia"/>
          <w:bCs/>
          <w:sz w:val="28"/>
          <w:szCs w:val="28"/>
        </w:rPr>
        <w:t>。</w:t>
      </w:r>
    </w:p>
    <w:p w:rsidR="009613B4" w:rsidRPr="008B4EA8" w:rsidRDefault="008B4EA8" w:rsidP="008B4EA8">
      <w:pPr>
        <w:spacing w:line="560" w:lineRule="exact"/>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t>2</w:t>
      </w:r>
      <w:r w:rsidRPr="008B4EA8">
        <w:rPr>
          <w:rFonts w:ascii="仿宋_GB2312" w:hAnsi="仿宋_GB2312" w:cs="仿宋_GB2312"/>
          <w:bCs/>
          <w:snapToGrid w:val="0"/>
          <w:kern w:val="0"/>
          <w:sz w:val="28"/>
          <w:szCs w:val="28"/>
        </w:rPr>
        <w:t>.</w:t>
      </w:r>
      <w:r w:rsidR="009613B4" w:rsidRPr="008B4EA8">
        <w:rPr>
          <w:rFonts w:ascii="仿宋_GB2312" w:hAnsi="仿宋_GB2312" w:cs="仿宋_GB2312"/>
          <w:bCs/>
          <w:snapToGrid w:val="0"/>
          <w:kern w:val="0"/>
          <w:sz w:val="28"/>
          <w:szCs w:val="28"/>
        </w:rPr>
        <w:t>课程基本要求</w:t>
      </w:r>
    </w:p>
    <w:p w:rsidR="009613B4" w:rsidRPr="008B4EA8" w:rsidRDefault="009613B4" w:rsidP="009613B4">
      <w:pPr>
        <w:spacing w:line="560" w:lineRule="exact"/>
        <w:ind w:firstLine="331"/>
        <w:rPr>
          <w:rFonts w:ascii="仿宋_GB2312" w:hAnsi="仿宋_GB2312" w:cs="仿宋_GB2312"/>
          <w:bCs/>
          <w:snapToGrid w:val="0"/>
          <w:kern w:val="0"/>
          <w:sz w:val="28"/>
          <w:szCs w:val="28"/>
        </w:rPr>
      </w:pPr>
      <w:r w:rsidRPr="008B4EA8">
        <w:rPr>
          <w:rFonts w:ascii="仿宋_GB2312" w:hAnsi="仿宋_GB2312" w:cs="仿宋_GB2312"/>
          <w:bCs/>
          <w:snapToGrid w:val="0"/>
          <w:kern w:val="0"/>
          <w:sz w:val="28"/>
          <w:szCs w:val="28"/>
        </w:rPr>
        <w:t>2.1课程目标</w:t>
      </w:r>
    </w:p>
    <w:p w:rsidR="009613B4" w:rsidRPr="008B4EA8" w:rsidRDefault="009613B4" w:rsidP="009613B4">
      <w:pPr>
        <w:spacing w:line="560" w:lineRule="exact"/>
        <w:ind w:firstLineChars="200" w:firstLine="560"/>
        <w:jc w:val="left"/>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t>知识目标：通过学习本门课程，</w:t>
      </w:r>
      <w:r w:rsidRPr="008B4EA8">
        <w:rPr>
          <w:rFonts w:ascii="仿宋_GB2312" w:hAnsi="仿宋_GB2312" w:cs="仿宋_GB2312"/>
          <w:bCs/>
          <w:snapToGrid w:val="0"/>
          <w:kern w:val="0"/>
          <w:sz w:val="28"/>
          <w:szCs w:val="28"/>
        </w:rPr>
        <w:t>学生</w:t>
      </w:r>
      <w:r w:rsidRPr="008B4EA8">
        <w:rPr>
          <w:rFonts w:ascii="仿宋_GB2312" w:hAnsi="仿宋_GB2312" w:cs="仿宋_GB2312" w:hint="eastAsia"/>
          <w:bCs/>
          <w:snapToGrid w:val="0"/>
          <w:kern w:val="0"/>
          <w:sz w:val="28"/>
          <w:szCs w:val="28"/>
        </w:rPr>
        <w:t>应了解</w:t>
      </w:r>
      <w:r w:rsidRPr="008B4EA8">
        <w:rPr>
          <w:rFonts w:ascii="仿宋_GB2312" w:hAnsi="仿宋_GB2312" w:cs="仿宋_GB2312"/>
          <w:bCs/>
          <w:snapToGrid w:val="0"/>
          <w:kern w:val="0"/>
          <w:sz w:val="28"/>
          <w:szCs w:val="28"/>
        </w:rPr>
        <w:t>给水</w:t>
      </w:r>
      <w:r w:rsidRPr="008B4EA8">
        <w:rPr>
          <w:rFonts w:ascii="仿宋_GB2312" w:hAnsi="仿宋_GB2312" w:cs="仿宋_GB2312" w:hint="eastAsia"/>
          <w:bCs/>
          <w:snapToGrid w:val="0"/>
          <w:kern w:val="0"/>
          <w:sz w:val="28"/>
          <w:szCs w:val="28"/>
        </w:rPr>
        <w:t>排水系统</w:t>
      </w:r>
      <w:r w:rsidRPr="008B4EA8">
        <w:rPr>
          <w:rFonts w:ascii="仿宋_GB2312" w:hAnsi="仿宋_GB2312" w:cs="仿宋_GB2312"/>
          <w:bCs/>
          <w:snapToGrid w:val="0"/>
          <w:kern w:val="0"/>
          <w:sz w:val="28"/>
          <w:szCs w:val="28"/>
        </w:rPr>
        <w:t>的分类和组成，</w:t>
      </w:r>
      <w:r w:rsidRPr="008B4EA8">
        <w:rPr>
          <w:rFonts w:ascii="仿宋_GB2312" w:hAnsi="仿宋_GB2312" w:cs="仿宋_GB2312" w:hint="eastAsia"/>
          <w:bCs/>
          <w:snapToGrid w:val="0"/>
          <w:kern w:val="0"/>
          <w:sz w:val="28"/>
          <w:szCs w:val="28"/>
        </w:rPr>
        <w:t>能够掌握给排水</w:t>
      </w:r>
      <w:r w:rsidRPr="008B4EA8">
        <w:rPr>
          <w:rFonts w:ascii="仿宋_GB2312" w:hAnsi="仿宋_GB2312" w:cs="仿宋_GB2312"/>
          <w:bCs/>
          <w:snapToGrid w:val="0"/>
          <w:kern w:val="0"/>
          <w:sz w:val="28"/>
          <w:szCs w:val="28"/>
        </w:rPr>
        <w:t>管道的布置与敷设，</w:t>
      </w:r>
      <w:r w:rsidRPr="008B4EA8">
        <w:rPr>
          <w:rFonts w:ascii="仿宋_GB2312" w:hAnsi="仿宋_GB2312" w:cs="仿宋_GB2312" w:hint="eastAsia"/>
          <w:bCs/>
          <w:snapToGrid w:val="0"/>
          <w:kern w:val="0"/>
          <w:sz w:val="28"/>
          <w:szCs w:val="28"/>
        </w:rPr>
        <w:t>掌握消火栓</w:t>
      </w:r>
      <w:r w:rsidRPr="008B4EA8">
        <w:rPr>
          <w:rFonts w:ascii="仿宋_GB2312" w:hAnsi="仿宋_GB2312" w:cs="仿宋_GB2312"/>
          <w:bCs/>
          <w:snapToGrid w:val="0"/>
          <w:kern w:val="0"/>
          <w:sz w:val="28"/>
          <w:szCs w:val="28"/>
        </w:rPr>
        <w:t>系统和自动喷水灭火系统的</w:t>
      </w:r>
      <w:r w:rsidRPr="008B4EA8">
        <w:rPr>
          <w:rFonts w:ascii="仿宋_GB2312" w:hAnsi="仿宋_GB2312" w:cs="仿宋_GB2312" w:hint="eastAsia"/>
          <w:bCs/>
          <w:snapToGrid w:val="0"/>
          <w:kern w:val="0"/>
          <w:sz w:val="28"/>
          <w:szCs w:val="28"/>
        </w:rPr>
        <w:t>工作</w:t>
      </w:r>
      <w:r w:rsidRPr="008B4EA8">
        <w:rPr>
          <w:rFonts w:ascii="仿宋_GB2312" w:hAnsi="仿宋_GB2312" w:cs="仿宋_GB2312"/>
          <w:bCs/>
          <w:snapToGrid w:val="0"/>
          <w:kern w:val="0"/>
          <w:sz w:val="28"/>
          <w:szCs w:val="28"/>
        </w:rPr>
        <w:t>过程，</w:t>
      </w:r>
      <w:r w:rsidRPr="008B4EA8">
        <w:rPr>
          <w:rFonts w:ascii="仿宋_GB2312" w:hAnsi="仿宋_GB2312" w:cs="仿宋_GB2312" w:hint="eastAsia"/>
          <w:bCs/>
          <w:snapToGrid w:val="0"/>
          <w:kern w:val="0"/>
          <w:sz w:val="28"/>
          <w:szCs w:val="28"/>
        </w:rPr>
        <w:t>掌握建筑</w:t>
      </w:r>
      <w:r w:rsidRPr="008B4EA8">
        <w:rPr>
          <w:rFonts w:ascii="仿宋_GB2312" w:hAnsi="仿宋_GB2312" w:cs="仿宋_GB2312"/>
          <w:bCs/>
          <w:snapToGrid w:val="0"/>
          <w:kern w:val="0"/>
          <w:sz w:val="28"/>
          <w:szCs w:val="28"/>
        </w:rPr>
        <w:t>雨水内排水系统，</w:t>
      </w:r>
      <w:r w:rsidRPr="008B4EA8">
        <w:rPr>
          <w:rFonts w:ascii="仿宋_GB2312" w:hAnsi="仿宋_GB2312" w:cs="仿宋_GB2312" w:hint="eastAsia"/>
          <w:bCs/>
          <w:snapToGrid w:val="0"/>
          <w:kern w:val="0"/>
          <w:sz w:val="28"/>
          <w:szCs w:val="28"/>
        </w:rPr>
        <w:t>掌握热水</w:t>
      </w:r>
      <w:r w:rsidRPr="008B4EA8">
        <w:rPr>
          <w:rFonts w:ascii="仿宋_GB2312" w:hAnsi="仿宋_GB2312" w:cs="仿宋_GB2312"/>
          <w:bCs/>
          <w:snapToGrid w:val="0"/>
          <w:kern w:val="0"/>
          <w:sz w:val="28"/>
          <w:szCs w:val="28"/>
        </w:rPr>
        <w:t>供应系统</w:t>
      </w:r>
      <w:r w:rsidRPr="008B4EA8">
        <w:rPr>
          <w:rFonts w:ascii="仿宋_GB2312" w:hAnsi="仿宋_GB2312" w:cs="仿宋_GB2312" w:hint="eastAsia"/>
          <w:bCs/>
          <w:snapToGrid w:val="0"/>
          <w:kern w:val="0"/>
          <w:sz w:val="28"/>
          <w:szCs w:val="28"/>
        </w:rPr>
        <w:t>及</w:t>
      </w:r>
      <w:r w:rsidRPr="008B4EA8">
        <w:rPr>
          <w:rFonts w:ascii="仿宋_GB2312" w:hAnsi="仿宋_GB2312" w:cs="仿宋_GB2312"/>
          <w:bCs/>
          <w:snapToGrid w:val="0"/>
          <w:kern w:val="0"/>
          <w:sz w:val="28"/>
          <w:szCs w:val="28"/>
        </w:rPr>
        <w:t>管道的布置与敷设</w:t>
      </w:r>
      <w:r w:rsidRPr="008B4EA8">
        <w:rPr>
          <w:rFonts w:ascii="仿宋_GB2312" w:hAnsi="仿宋_GB2312" w:cs="仿宋_GB2312" w:hint="eastAsia"/>
          <w:bCs/>
          <w:snapToGrid w:val="0"/>
          <w:kern w:val="0"/>
          <w:sz w:val="28"/>
          <w:szCs w:val="28"/>
        </w:rPr>
        <w:t>，了解</w:t>
      </w:r>
      <w:r w:rsidRPr="008B4EA8">
        <w:rPr>
          <w:rFonts w:ascii="仿宋_GB2312" w:hAnsi="仿宋_GB2312" w:cs="仿宋_GB2312"/>
          <w:bCs/>
          <w:snapToGrid w:val="0"/>
          <w:kern w:val="0"/>
          <w:sz w:val="28"/>
          <w:szCs w:val="28"/>
        </w:rPr>
        <w:t>建筑内部</w:t>
      </w:r>
      <w:r w:rsidRPr="008B4EA8">
        <w:rPr>
          <w:rFonts w:ascii="仿宋_GB2312" w:hAnsi="仿宋_GB2312" w:cs="仿宋_GB2312" w:hint="eastAsia"/>
          <w:bCs/>
          <w:snapToGrid w:val="0"/>
          <w:kern w:val="0"/>
          <w:sz w:val="28"/>
          <w:szCs w:val="28"/>
        </w:rPr>
        <w:t>给排水常用</w:t>
      </w:r>
      <w:r w:rsidRPr="008B4EA8">
        <w:rPr>
          <w:rFonts w:ascii="仿宋_GB2312" w:hAnsi="仿宋_GB2312" w:cs="仿宋_GB2312"/>
          <w:bCs/>
          <w:snapToGrid w:val="0"/>
          <w:kern w:val="0"/>
          <w:sz w:val="28"/>
          <w:szCs w:val="28"/>
        </w:rPr>
        <w:t>管材与设备</w:t>
      </w:r>
      <w:r w:rsidRPr="008B4EA8">
        <w:rPr>
          <w:rFonts w:ascii="仿宋_GB2312" w:hAnsi="仿宋_GB2312" w:cs="仿宋_GB2312" w:hint="eastAsia"/>
          <w:bCs/>
          <w:snapToGrid w:val="0"/>
          <w:kern w:val="0"/>
          <w:sz w:val="28"/>
          <w:szCs w:val="28"/>
        </w:rPr>
        <w:t>选型</w:t>
      </w:r>
      <w:r w:rsidRPr="008B4EA8">
        <w:rPr>
          <w:rFonts w:ascii="仿宋_GB2312" w:hAnsi="仿宋_GB2312" w:cs="仿宋_GB2312"/>
          <w:bCs/>
          <w:snapToGrid w:val="0"/>
          <w:kern w:val="0"/>
          <w:sz w:val="28"/>
          <w:szCs w:val="28"/>
        </w:rPr>
        <w:t>。</w:t>
      </w:r>
      <w:r w:rsidRPr="008B4EA8">
        <w:rPr>
          <w:rFonts w:ascii="仿宋_GB2312" w:hAnsi="仿宋_GB2312" w:cs="仿宋_GB2312" w:hint="eastAsia"/>
          <w:bCs/>
          <w:snapToGrid w:val="0"/>
          <w:kern w:val="0"/>
          <w:sz w:val="28"/>
          <w:szCs w:val="28"/>
        </w:rPr>
        <w:t xml:space="preserve">  </w:t>
      </w:r>
    </w:p>
    <w:p w:rsidR="009613B4" w:rsidRPr="008B4EA8" w:rsidRDefault="009613B4" w:rsidP="009613B4">
      <w:pPr>
        <w:spacing w:line="560" w:lineRule="exact"/>
        <w:ind w:firstLineChars="200" w:firstLine="560"/>
        <w:jc w:val="left"/>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t>能力目标：能够对高层</w:t>
      </w:r>
      <w:r w:rsidRPr="008B4EA8">
        <w:rPr>
          <w:rFonts w:ascii="仿宋_GB2312" w:hAnsi="仿宋_GB2312" w:cs="仿宋_GB2312"/>
          <w:bCs/>
          <w:snapToGrid w:val="0"/>
          <w:kern w:val="0"/>
          <w:sz w:val="28"/>
          <w:szCs w:val="28"/>
        </w:rPr>
        <w:t>建筑</w:t>
      </w:r>
      <w:r w:rsidRPr="008B4EA8">
        <w:rPr>
          <w:rFonts w:ascii="仿宋_GB2312" w:hAnsi="仿宋_GB2312" w:cs="仿宋_GB2312" w:hint="eastAsia"/>
          <w:bCs/>
          <w:snapToGrid w:val="0"/>
          <w:kern w:val="0"/>
          <w:sz w:val="28"/>
          <w:szCs w:val="28"/>
        </w:rPr>
        <w:t>给水</w:t>
      </w:r>
      <w:r w:rsidRPr="008B4EA8">
        <w:rPr>
          <w:rFonts w:ascii="仿宋_GB2312" w:hAnsi="仿宋_GB2312" w:cs="仿宋_GB2312"/>
          <w:bCs/>
          <w:snapToGrid w:val="0"/>
          <w:kern w:val="0"/>
          <w:sz w:val="28"/>
          <w:szCs w:val="28"/>
        </w:rPr>
        <w:t>系统</w:t>
      </w:r>
      <w:r w:rsidRPr="008B4EA8">
        <w:rPr>
          <w:rFonts w:ascii="仿宋_GB2312" w:hAnsi="仿宋_GB2312" w:cs="仿宋_GB2312" w:hint="eastAsia"/>
          <w:bCs/>
          <w:snapToGrid w:val="0"/>
          <w:kern w:val="0"/>
          <w:sz w:val="28"/>
          <w:szCs w:val="28"/>
        </w:rPr>
        <w:t>和</w:t>
      </w:r>
      <w:r w:rsidRPr="008B4EA8">
        <w:rPr>
          <w:rFonts w:ascii="仿宋_GB2312" w:hAnsi="仿宋_GB2312" w:cs="仿宋_GB2312"/>
          <w:bCs/>
          <w:snapToGrid w:val="0"/>
          <w:kern w:val="0"/>
          <w:sz w:val="28"/>
          <w:szCs w:val="28"/>
        </w:rPr>
        <w:t>热水系统</w:t>
      </w:r>
      <w:r w:rsidRPr="008B4EA8">
        <w:rPr>
          <w:rFonts w:ascii="仿宋_GB2312" w:hAnsi="仿宋_GB2312" w:cs="仿宋_GB2312" w:hint="eastAsia"/>
          <w:bCs/>
          <w:snapToGrid w:val="0"/>
          <w:kern w:val="0"/>
          <w:sz w:val="28"/>
          <w:szCs w:val="28"/>
        </w:rPr>
        <w:t>进行</w:t>
      </w:r>
      <w:r w:rsidRPr="008B4EA8">
        <w:rPr>
          <w:rFonts w:ascii="仿宋_GB2312" w:hAnsi="仿宋_GB2312" w:cs="仿宋_GB2312"/>
          <w:bCs/>
          <w:snapToGrid w:val="0"/>
          <w:kern w:val="0"/>
          <w:sz w:val="28"/>
          <w:szCs w:val="28"/>
        </w:rPr>
        <w:t>分区</w:t>
      </w:r>
      <w:r w:rsidRPr="008B4EA8">
        <w:rPr>
          <w:rFonts w:ascii="仿宋_GB2312" w:hAnsi="仿宋_GB2312" w:cs="仿宋_GB2312" w:hint="eastAsia"/>
          <w:bCs/>
          <w:snapToGrid w:val="0"/>
          <w:kern w:val="0"/>
          <w:sz w:val="28"/>
          <w:szCs w:val="28"/>
        </w:rPr>
        <w:t>并</w:t>
      </w:r>
      <w:r w:rsidRPr="008B4EA8">
        <w:rPr>
          <w:rFonts w:ascii="仿宋_GB2312" w:hAnsi="仿宋_GB2312" w:cs="仿宋_GB2312"/>
          <w:bCs/>
          <w:snapToGrid w:val="0"/>
          <w:kern w:val="0"/>
          <w:sz w:val="28"/>
          <w:szCs w:val="28"/>
        </w:rPr>
        <w:t>确定供水方式</w:t>
      </w:r>
      <w:r w:rsidRPr="008B4EA8">
        <w:rPr>
          <w:rFonts w:ascii="仿宋_GB2312" w:hAnsi="仿宋_GB2312" w:cs="仿宋_GB2312" w:hint="eastAsia"/>
          <w:bCs/>
          <w:snapToGrid w:val="0"/>
          <w:kern w:val="0"/>
          <w:sz w:val="28"/>
          <w:szCs w:val="28"/>
        </w:rPr>
        <w:t>，水泵和</w:t>
      </w:r>
      <w:r w:rsidRPr="008B4EA8">
        <w:rPr>
          <w:rFonts w:ascii="仿宋_GB2312" w:hAnsi="仿宋_GB2312" w:cs="仿宋_GB2312"/>
          <w:bCs/>
          <w:snapToGrid w:val="0"/>
          <w:kern w:val="0"/>
          <w:sz w:val="28"/>
          <w:szCs w:val="28"/>
        </w:rPr>
        <w:t>气压给水设备选型，</w:t>
      </w:r>
      <w:r w:rsidRPr="008B4EA8">
        <w:rPr>
          <w:rFonts w:ascii="仿宋_GB2312" w:hAnsi="仿宋_GB2312" w:cs="仿宋_GB2312" w:hint="eastAsia"/>
          <w:bCs/>
          <w:snapToGrid w:val="0"/>
          <w:kern w:val="0"/>
          <w:sz w:val="28"/>
          <w:szCs w:val="28"/>
        </w:rPr>
        <w:t>水加热</w:t>
      </w:r>
      <w:r w:rsidRPr="008B4EA8">
        <w:rPr>
          <w:rFonts w:ascii="仿宋_GB2312" w:hAnsi="仿宋_GB2312" w:cs="仿宋_GB2312"/>
          <w:bCs/>
          <w:snapToGrid w:val="0"/>
          <w:kern w:val="0"/>
          <w:sz w:val="28"/>
          <w:szCs w:val="28"/>
        </w:rPr>
        <w:t>设备选型，水箱和水池容积计算；</w:t>
      </w:r>
      <w:r w:rsidRPr="008B4EA8">
        <w:rPr>
          <w:rFonts w:ascii="仿宋_GB2312" w:hAnsi="仿宋_GB2312" w:cs="仿宋_GB2312" w:hint="eastAsia"/>
          <w:bCs/>
          <w:snapToGrid w:val="0"/>
          <w:kern w:val="0"/>
          <w:sz w:val="28"/>
          <w:szCs w:val="28"/>
        </w:rPr>
        <w:t>合理</w:t>
      </w:r>
      <w:r w:rsidRPr="008B4EA8">
        <w:rPr>
          <w:rFonts w:ascii="仿宋_GB2312" w:hAnsi="仿宋_GB2312" w:cs="仿宋_GB2312"/>
          <w:bCs/>
          <w:snapToGrid w:val="0"/>
          <w:kern w:val="0"/>
          <w:sz w:val="28"/>
          <w:szCs w:val="28"/>
        </w:rPr>
        <w:t>确定排水体制</w:t>
      </w:r>
      <w:r w:rsidRPr="008B4EA8">
        <w:rPr>
          <w:rFonts w:ascii="仿宋_GB2312" w:hAnsi="仿宋_GB2312" w:cs="仿宋_GB2312" w:hint="eastAsia"/>
          <w:bCs/>
          <w:snapToGrid w:val="0"/>
          <w:kern w:val="0"/>
          <w:sz w:val="28"/>
          <w:szCs w:val="28"/>
        </w:rPr>
        <w:t>（分流制、</w:t>
      </w:r>
      <w:r w:rsidRPr="008B4EA8">
        <w:rPr>
          <w:rFonts w:ascii="仿宋_GB2312" w:hAnsi="仿宋_GB2312" w:cs="仿宋_GB2312"/>
          <w:bCs/>
          <w:snapToGrid w:val="0"/>
          <w:kern w:val="0"/>
          <w:sz w:val="28"/>
          <w:szCs w:val="28"/>
        </w:rPr>
        <w:t>合流制）</w:t>
      </w:r>
      <w:r w:rsidRPr="008B4EA8">
        <w:rPr>
          <w:rFonts w:ascii="仿宋_GB2312" w:hAnsi="仿宋_GB2312" w:cs="仿宋_GB2312" w:hint="eastAsia"/>
          <w:bCs/>
          <w:snapToGrid w:val="0"/>
          <w:kern w:val="0"/>
          <w:sz w:val="28"/>
          <w:szCs w:val="28"/>
        </w:rPr>
        <w:t>，排水</w:t>
      </w:r>
      <w:r w:rsidRPr="008B4EA8">
        <w:rPr>
          <w:rFonts w:ascii="仿宋_GB2312" w:hAnsi="仿宋_GB2312" w:cs="仿宋_GB2312"/>
          <w:bCs/>
          <w:snapToGrid w:val="0"/>
          <w:kern w:val="0"/>
          <w:sz w:val="28"/>
          <w:szCs w:val="28"/>
        </w:rPr>
        <w:t>管和通气管管径计算，化粪池</w:t>
      </w:r>
      <w:r w:rsidRPr="008B4EA8">
        <w:rPr>
          <w:rFonts w:ascii="仿宋_GB2312" w:hAnsi="仿宋_GB2312" w:cs="仿宋_GB2312" w:hint="eastAsia"/>
          <w:bCs/>
          <w:snapToGrid w:val="0"/>
          <w:kern w:val="0"/>
          <w:sz w:val="28"/>
          <w:szCs w:val="28"/>
        </w:rPr>
        <w:t>和</w:t>
      </w:r>
      <w:r w:rsidRPr="008B4EA8">
        <w:rPr>
          <w:rFonts w:ascii="仿宋_GB2312" w:hAnsi="仿宋_GB2312" w:cs="仿宋_GB2312"/>
          <w:bCs/>
          <w:snapToGrid w:val="0"/>
          <w:kern w:val="0"/>
          <w:sz w:val="28"/>
          <w:szCs w:val="28"/>
        </w:rPr>
        <w:t>隔油池容积计算；</w:t>
      </w:r>
      <w:r w:rsidRPr="008B4EA8">
        <w:rPr>
          <w:rFonts w:ascii="仿宋_GB2312" w:hAnsi="仿宋_GB2312" w:cs="仿宋_GB2312" w:hint="eastAsia"/>
          <w:bCs/>
          <w:snapToGrid w:val="0"/>
          <w:kern w:val="0"/>
          <w:sz w:val="28"/>
          <w:szCs w:val="28"/>
        </w:rPr>
        <w:t>消火栓</w:t>
      </w:r>
      <w:r w:rsidRPr="008B4EA8">
        <w:rPr>
          <w:rFonts w:ascii="仿宋_GB2312" w:hAnsi="仿宋_GB2312" w:cs="仿宋_GB2312"/>
          <w:bCs/>
          <w:snapToGrid w:val="0"/>
          <w:kern w:val="0"/>
          <w:sz w:val="28"/>
          <w:szCs w:val="28"/>
        </w:rPr>
        <w:t>系统和自动喷水灭火系统</w:t>
      </w:r>
      <w:r w:rsidRPr="008B4EA8">
        <w:rPr>
          <w:rFonts w:ascii="仿宋_GB2312" w:hAnsi="仿宋_GB2312" w:cs="仿宋_GB2312" w:hint="eastAsia"/>
          <w:bCs/>
          <w:snapToGrid w:val="0"/>
          <w:kern w:val="0"/>
          <w:sz w:val="28"/>
          <w:szCs w:val="28"/>
        </w:rPr>
        <w:t>设计</w:t>
      </w:r>
      <w:r w:rsidRPr="008B4EA8">
        <w:rPr>
          <w:rFonts w:ascii="仿宋_GB2312" w:hAnsi="仿宋_GB2312" w:cs="仿宋_GB2312"/>
          <w:bCs/>
          <w:snapToGrid w:val="0"/>
          <w:kern w:val="0"/>
          <w:sz w:val="28"/>
          <w:szCs w:val="28"/>
        </w:rPr>
        <w:t>，消防水泵和稳压设备选型，消防水箱和消防水池容积计算</w:t>
      </w:r>
      <w:r w:rsidRPr="008B4EA8">
        <w:rPr>
          <w:rFonts w:ascii="仿宋_GB2312" w:hAnsi="仿宋_GB2312" w:cs="仿宋_GB2312" w:hint="eastAsia"/>
          <w:bCs/>
          <w:snapToGrid w:val="0"/>
          <w:kern w:val="0"/>
          <w:sz w:val="28"/>
          <w:szCs w:val="28"/>
        </w:rPr>
        <w:t>。</w:t>
      </w:r>
    </w:p>
    <w:p w:rsidR="009613B4" w:rsidRPr="008B4EA8" w:rsidRDefault="009613B4" w:rsidP="009613B4">
      <w:pPr>
        <w:spacing w:line="560" w:lineRule="exact"/>
        <w:ind w:firstLineChars="200" w:firstLine="560"/>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t>情感态度与价值观目标：建筑</w:t>
      </w:r>
      <w:r w:rsidRPr="008B4EA8">
        <w:rPr>
          <w:rFonts w:ascii="仿宋_GB2312" w:hAnsi="仿宋_GB2312" w:cs="仿宋_GB2312"/>
          <w:bCs/>
          <w:snapToGrid w:val="0"/>
          <w:kern w:val="0"/>
          <w:sz w:val="28"/>
          <w:szCs w:val="28"/>
        </w:rPr>
        <w:t>给水是</w:t>
      </w:r>
      <w:r w:rsidRPr="008B4EA8">
        <w:rPr>
          <w:rFonts w:ascii="仿宋_GB2312" w:hAnsi="仿宋_GB2312" w:cs="仿宋_GB2312" w:hint="eastAsia"/>
          <w:bCs/>
          <w:snapToGrid w:val="0"/>
          <w:kern w:val="0"/>
          <w:sz w:val="28"/>
          <w:szCs w:val="28"/>
        </w:rPr>
        <w:t>为</w:t>
      </w:r>
      <w:r w:rsidRPr="008B4EA8">
        <w:rPr>
          <w:rFonts w:ascii="仿宋_GB2312" w:hAnsi="仿宋_GB2312" w:cs="仿宋_GB2312"/>
          <w:bCs/>
          <w:snapToGrid w:val="0"/>
          <w:kern w:val="0"/>
          <w:sz w:val="28"/>
          <w:szCs w:val="28"/>
        </w:rPr>
        <w:t>百姓</w:t>
      </w:r>
      <w:r w:rsidRPr="008B4EA8">
        <w:rPr>
          <w:rFonts w:ascii="仿宋_GB2312" w:hAnsi="仿宋_GB2312" w:cs="仿宋_GB2312" w:hint="eastAsia"/>
          <w:bCs/>
          <w:snapToGrid w:val="0"/>
          <w:kern w:val="0"/>
          <w:sz w:val="28"/>
          <w:szCs w:val="28"/>
        </w:rPr>
        <w:t>提供</w:t>
      </w:r>
      <w:r w:rsidRPr="008B4EA8">
        <w:rPr>
          <w:rFonts w:ascii="仿宋_GB2312" w:hAnsi="仿宋_GB2312" w:cs="仿宋_GB2312"/>
          <w:bCs/>
          <w:snapToGrid w:val="0"/>
          <w:kern w:val="0"/>
          <w:sz w:val="28"/>
          <w:szCs w:val="28"/>
        </w:rPr>
        <w:t>安全卫生的饮用</w:t>
      </w:r>
      <w:r w:rsidRPr="008B4EA8">
        <w:rPr>
          <w:rFonts w:ascii="仿宋_GB2312" w:hAnsi="仿宋_GB2312" w:cs="仿宋_GB2312"/>
          <w:bCs/>
          <w:snapToGrid w:val="0"/>
          <w:kern w:val="0"/>
          <w:sz w:val="28"/>
          <w:szCs w:val="28"/>
        </w:rPr>
        <w:lastRenderedPageBreak/>
        <w:t>水</w:t>
      </w:r>
      <w:r w:rsidRPr="008B4EA8">
        <w:rPr>
          <w:rFonts w:ascii="仿宋_GB2312" w:hAnsi="仿宋_GB2312" w:cs="仿宋_GB2312" w:hint="eastAsia"/>
          <w:bCs/>
          <w:snapToGrid w:val="0"/>
          <w:kern w:val="0"/>
          <w:sz w:val="28"/>
          <w:szCs w:val="28"/>
        </w:rPr>
        <w:t>，强化</w:t>
      </w:r>
      <w:r w:rsidRPr="008B4EA8">
        <w:rPr>
          <w:rFonts w:ascii="仿宋_GB2312" w:hAnsi="仿宋_GB2312" w:cs="仿宋_GB2312"/>
          <w:bCs/>
          <w:snapToGrid w:val="0"/>
          <w:kern w:val="0"/>
          <w:sz w:val="28"/>
          <w:szCs w:val="28"/>
        </w:rPr>
        <w:t>专业意识</w:t>
      </w:r>
      <w:r w:rsidRPr="008B4EA8">
        <w:rPr>
          <w:rFonts w:ascii="仿宋_GB2312" w:hAnsi="仿宋_GB2312" w:cs="仿宋_GB2312" w:hint="eastAsia"/>
          <w:bCs/>
          <w:snapToGrid w:val="0"/>
          <w:kern w:val="0"/>
          <w:sz w:val="28"/>
          <w:szCs w:val="28"/>
        </w:rPr>
        <w:t>，培养</w:t>
      </w:r>
      <w:r w:rsidRPr="008B4EA8">
        <w:rPr>
          <w:rFonts w:ascii="仿宋_GB2312" w:hAnsi="仿宋_GB2312" w:cs="仿宋_GB2312"/>
          <w:bCs/>
          <w:snapToGrid w:val="0"/>
          <w:kern w:val="0"/>
          <w:sz w:val="28"/>
          <w:szCs w:val="28"/>
        </w:rPr>
        <w:t>职业感情，</w:t>
      </w:r>
      <w:r w:rsidRPr="008B4EA8">
        <w:rPr>
          <w:rFonts w:ascii="仿宋_GB2312" w:hAnsi="仿宋_GB2312" w:cs="仿宋_GB2312" w:hint="eastAsia"/>
          <w:bCs/>
          <w:snapToGrid w:val="0"/>
          <w:kern w:val="0"/>
          <w:sz w:val="28"/>
          <w:szCs w:val="28"/>
        </w:rPr>
        <w:t>使</w:t>
      </w:r>
      <w:r w:rsidRPr="008B4EA8">
        <w:rPr>
          <w:rFonts w:ascii="仿宋_GB2312" w:hAnsi="仿宋_GB2312" w:cs="仿宋_GB2312"/>
          <w:bCs/>
          <w:snapToGrid w:val="0"/>
          <w:kern w:val="0"/>
          <w:sz w:val="28"/>
          <w:szCs w:val="28"/>
        </w:rPr>
        <w:t>学生</w:t>
      </w:r>
      <w:r w:rsidRPr="008B4EA8">
        <w:rPr>
          <w:rFonts w:ascii="仿宋_GB2312" w:hAnsi="仿宋_GB2312" w:cs="仿宋_GB2312" w:hint="eastAsia"/>
          <w:bCs/>
          <w:snapToGrid w:val="0"/>
          <w:kern w:val="0"/>
          <w:sz w:val="28"/>
          <w:szCs w:val="28"/>
        </w:rPr>
        <w:t>增强职业责任感。消防</w:t>
      </w:r>
      <w:r w:rsidRPr="008B4EA8">
        <w:rPr>
          <w:rFonts w:ascii="仿宋_GB2312" w:hAnsi="仿宋_GB2312" w:cs="仿宋_GB2312"/>
          <w:bCs/>
          <w:snapToGrid w:val="0"/>
          <w:kern w:val="0"/>
          <w:sz w:val="28"/>
          <w:szCs w:val="28"/>
        </w:rPr>
        <w:t>设计责任大于天，</w:t>
      </w:r>
      <w:r w:rsidRPr="008B4EA8">
        <w:rPr>
          <w:rFonts w:ascii="仿宋_GB2312" w:hAnsi="仿宋_GB2312" w:cs="仿宋_GB2312" w:hint="eastAsia"/>
          <w:bCs/>
          <w:snapToGrid w:val="0"/>
          <w:kern w:val="0"/>
          <w:sz w:val="28"/>
          <w:szCs w:val="28"/>
        </w:rPr>
        <w:t>使</w:t>
      </w:r>
      <w:r w:rsidRPr="008B4EA8">
        <w:rPr>
          <w:rFonts w:ascii="仿宋_GB2312" w:hAnsi="仿宋_GB2312" w:cs="仿宋_GB2312"/>
          <w:bCs/>
          <w:snapToGrid w:val="0"/>
          <w:kern w:val="0"/>
          <w:sz w:val="28"/>
          <w:szCs w:val="28"/>
        </w:rPr>
        <w:t>学生树立珍爱生命，</w:t>
      </w:r>
      <w:r w:rsidRPr="008B4EA8">
        <w:rPr>
          <w:rFonts w:ascii="仿宋_GB2312" w:hAnsi="仿宋_GB2312" w:cs="仿宋_GB2312" w:hint="eastAsia"/>
          <w:bCs/>
          <w:snapToGrid w:val="0"/>
          <w:kern w:val="0"/>
          <w:sz w:val="28"/>
          <w:szCs w:val="28"/>
        </w:rPr>
        <w:t>以人民为重</w:t>
      </w:r>
      <w:r w:rsidRPr="008B4EA8">
        <w:rPr>
          <w:rFonts w:ascii="仿宋_GB2312" w:hAnsi="仿宋_GB2312" w:cs="仿宋_GB2312"/>
          <w:bCs/>
          <w:snapToGrid w:val="0"/>
          <w:kern w:val="0"/>
          <w:sz w:val="28"/>
          <w:szCs w:val="28"/>
        </w:rPr>
        <w:t>，全心全意为人民服务的理念</w:t>
      </w:r>
      <w:r w:rsidRPr="008B4EA8">
        <w:rPr>
          <w:rFonts w:ascii="仿宋_GB2312" w:hAnsi="仿宋_GB2312" w:cs="仿宋_GB2312" w:hint="eastAsia"/>
          <w:bCs/>
          <w:snapToGrid w:val="0"/>
          <w:kern w:val="0"/>
          <w:sz w:val="28"/>
          <w:szCs w:val="28"/>
        </w:rPr>
        <w:t>。加强专业素养，明确自身价值。使学生了解到建筑给排水工程在城镇建设中的重要作用，增强社会责任感、使命感。</w:t>
      </w:r>
    </w:p>
    <w:p w:rsidR="009613B4" w:rsidRPr="008B4EA8" w:rsidRDefault="009613B4" w:rsidP="009613B4">
      <w:pPr>
        <w:spacing w:line="560" w:lineRule="exact"/>
        <w:ind w:firstLine="331"/>
        <w:rPr>
          <w:rFonts w:ascii="仿宋_GB2312" w:hAnsi="仿宋_GB2312" w:cs="仿宋_GB2312"/>
          <w:bCs/>
          <w:snapToGrid w:val="0"/>
          <w:kern w:val="0"/>
          <w:sz w:val="28"/>
          <w:szCs w:val="28"/>
        </w:rPr>
      </w:pPr>
      <w:r w:rsidRPr="008B4EA8">
        <w:rPr>
          <w:rFonts w:ascii="仿宋_GB2312" w:hAnsi="仿宋_GB2312" w:cs="仿宋_GB2312"/>
          <w:bCs/>
          <w:snapToGrid w:val="0"/>
          <w:kern w:val="0"/>
          <w:sz w:val="28"/>
          <w:szCs w:val="28"/>
        </w:rPr>
        <w:t xml:space="preserve">2.2 课程目标与毕业要求之间的对应关系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51"/>
        <w:gridCol w:w="556"/>
        <w:gridCol w:w="556"/>
        <w:gridCol w:w="420"/>
        <w:gridCol w:w="420"/>
        <w:gridCol w:w="423"/>
        <w:gridCol w:w="424"/>
        <w:gridCol w:w="411"/>
        <w:gridCol w:w="488"/>
        <w:gridCol w:w="512"/>
        <w:gridCol w:w="512"/>
        <w:gridCol w:w="512"/>
      </w:tblGrid>
      <w:tr w:rsidR="009613B4" w:rsidTr="008C3907">
        <w:trPr>
          <w:trHeight w:hRule="exact" w:val="454"/>
          <w:jc w:val="center"/>
        </w:trPr>
        <w:tc>
          <w:tcPr>
            <w:tcW w:w="2771" w:type="dxa"/>
            <w:vMerge w:val="restart"/>
            <w:vAlign w:val="center"/>
          </w:tcPr>
          <w:p w:rsidR="009613B4" w:rsidRDefault="009613B4" w:rsidP="008C3907">
            <w:pPr>
              <w:spacing w:line="360" w:lineRule="auto"/>
              <w:jc w:val="center"/>
              <w:rPr>
                <w:rFonts w:ascii="仿宋_GB2312" w:hAnsi="仿宋_GB2312" w:cs="仿宋_GB2312"/>
                <w:bCs/>
                <w:szCs w:val="28"/>
              </w:rPr>
            </w:pPr>
            <w:r>
              <w:rPr>
                <w:rFonts w:ascii="仿宋_GB2312" w:hAnsi="仿宋_GB2312" w:cs="仿宋_GB2312" w:hint="eastAsia"/>
                <w:bCs/>
                <w:sz w:val="24"/>
                <w:szCs w:val="24"/>
              </w:rPr>
              <w:t>课程目标</w:t>
            </w:r>
          </w:p>
        </w:tc>
        <w:tc>
          <w:tcPr>
            <w:tcW w:w="5751" w:type="dxa"/>
            <w:gridSpan w:val="12"/>
            <w:vAlign w:val="center"/>
          </w:tcPr>
          <w:p w:rsidR="009613B4" w:rsidRDefault="009613B4" w:rsidP="008C3907">
            <w:pPr>
              <w:jc w:val="center"/>
              <w:rPr>
                <w:rFonts w:ascii="仿宋_GB2312" w:hAnsi="仿宋_GB2312" w:cs="仿宋_GB2312"/>
                <w:bCs/>
                <w:szCs w:val="28"/>
              </w:rPr>
            </w:pPr>
            <w:r>
              <w:rPr>
                <w:rFonts w:ascii="仿宋_GB2312" w:hAnsi="仿宋_GB2312" w:cs="仿宋_GB2312" w:hint="eastAsia"/>
                <w:bCs/>
                <w:sz w:val="24"/>
                <w:szCs w:val="24"/>
              </w:rPr>
              <w:t>毕业要求</w:t>
            </w:r>
          </w:p>
        </w:tc>
      </w:tr>
      <w:tr w:rsidR="009613B4" w:rsidTr="008C3907">
        <w:trPr>
          <w:trHeight w:hRule="exact" w:val="454"/>
          <w:jc w:val="center"/>
        </w:trPr>
        <w:tc>
          <w:tcPr>
            <w:tcW w:w="2771" w:type="dxa"/>
            <w:vMerge/>
          </w:tcPr>
          <w:p w:rsidR="009613B4" w:rsidRDefault="009613B4" w:rsidP="008C3907">
            <w:pPr>
              <w:spacing w:line="360" w:lineRule="auto"/>
              <w:rPr>
                <w:rFonts w:ascii="仿宋_GB2312" w:hAnsi="仿宋_GB2312" w:cs="仿宋_GB2312"/>
                <w:bCs/>
                <w:szCs w:val="28"/>
              </w:rPr>
            </w:pPr>
          </w:p>
        </w:tc>
        <w:tc>
          <w:tcPr>
            <w:tcW w:w="456" w:type="dxa"/>
            <w:vAlign w:val="center"/>
          </w:tcPr>
          <w:p w:rsidR="009613B4" w:rsidRDefault="009613B4" w:rsidP="008C3907">
            <w:pPr>
              <w:tabs>
                <w:tab w:val="left" w:pos="6300"/>
              </w:tabs>
              <w:spacing w:line="360" w:lineRule="atLeast"/>
              <w:jc w:val="center"/>
              <w:rPr>
                <w:rFonts w:ascii="仿宋_GB2312" w:hAnsi="仿宋_GB2312" w:cs="仿宋_GB2312"/>
                <w:bCs/>
                <w:szCs w:val="28"/>
              </w:rPr>
            </w:pPr>
            <w:r>
              <w:rPr>
                <w:rFonts w:ascii="华文中宋" w:eastAsia="华文中宋" w:hAnsi="华文中宋" w:cs="宋体" w:hint="eastAsia"/>
                <w:bCs/>
                <w:sz w:val="21"/>
              </w:rPr>
              <w:t>1</w:t>
            </w:r>
          </w:p>
        </w:tc>
        <w:tc>
          <w:tcPr>
            <w:tcW w:w="567" w:type="dxa"/>
            <w:vAlign w:val="center"/>
          </w:tcPr>
          <w:p w:rsidR="009613B4" w:rsidRDefault="009613B4" w:rsidP="008C3907">
            <w:pPr>
              <w:tabs>
                <w:tab w:val="left" w:pos="6300"/>
              </w:tabs>
              <w:spacing w:line="360" w:lineRule="atLeast"/>
              <w:jc w:val="center"/>
              <w:rPr>
                <w:rFonts w:ascii="仿宋_GB2312" w:hAnsi="仿宋_GB2312" w:cs="仿宋_GB2312"/>
                <w:bCs/>
                <w:szCs w:val="28"/>
              </w:rPr>
            </w:pPr>
            <w:r>
              <w:rPr>
                <w:rFonts w:ascii="华文中宋" w:eastAsia="华文中宋" w:hAnsi="华文中宋" w:cs="宋体" w:hint="eastAsia"/>
                <w:bCs/>
                <w:sz w:val="21"/>
              </w:rPr>
              <w:t>2</w:t>
            </w:r>
          </w:p>
        </w:tc>
        <w:tc>
          <w:tcPr>
            <w:tcW w:w="567" w:type="dxa"/>
            <w:vAlign w:val="center"/>
          </w:tcPr>
          <w:p w:rsidR="009613B4" w:rsidRDefault="009613B4" w:rsidP="008C3907">
            <w:pPr>
              <w:tabs>
                <w:tab w:val="left" w:pos="6300"/>
              </w:tabs>
              <w:spacing w:line="360" w:lineRule="atLeast"/>
              <w:jc w:val="center"/>
              <w:rPr>
                <w:rFonts w:ascii="仿宋_GB2312" w:hAnsi="仿宋_GB2312" w:cs="仿宋_GB2312"/>
                <w:bCs/>
                <w:szCs w:val="28"/>
              </w:rPr>
            </w:pPr>
            <w:r>
              <w:rPr>
                <w:rFonts w:ascii="华文中宋" w:eastAsia="华文中宋" w:hAnsi="华文中宋" w:cs="宋体" w:hint="eastAsia"/>
                <w:bCs/>
                <w:sz w:val="21"/>
              </w:rPr>
              <w:t>3</w:t>
            </w:r>
          </w:p>
        </w:tc>
        <w:tc>
          <w:tcPr>
            <w:tcW w:w="42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4</w:t>
            </w:r>
          </w:p>
        </w:tc>
        <w:tc>
          <w:tcPr>
            <w:tcW w:w="42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5</w:t>
            </w:r>
          </w:p>
        </w:tc>
        <w:tc>
          <w:tcPr>
            <w:tcW w:w="426"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6</w:t>
            </w:r>
          </w:p>
        </w:tc>
        <w:tc>
          <w:tcPr>
            <w:tcW w:w="42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7</w:t>
            </w:r>
          </w:p>
        </w:tc>
        <w:tc>
          <w:tcPr>
            <w:tcW w:w="416"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8</w:t>
            </w:r>
          </w:p>
        </w:tc>
        <w:tc>
          <w:tcPr>
            <w:tcW w:w="499"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9</w:t>
            </w:r>
          </w:p>
        </w:tc>
        <w:tc>
          <w:tcPr>
            <w:tcW w:w="51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10</w:t>
            </w:r>
          </w:p>
        </w:tc>
        <w:tc>
          <w:tcPr>
            <w:tcW w:w="51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11</w:t>
            </w:r>
          </w:p>
        </w:tc>
        <w:tc>
          <w:tcPr>
            <w:tcW w:w="51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12</w:t>
            </w:r>
          </w:p>
        </w:tc>
      </w:tr>
      <w:tr w:rsidR="009613B4" w:rsidTr="008C3907">
        <w:trPr>
          <w:trHeight w:hRule="exact" w:val="454"/>
          <w:jc w:val="center"/>
        </w:trPr>
        <w:tc>
          <w:tcPr>
            <w:tcW w:w="2771" w:type="dxa"/>
            <w:vAlign w:val="center"/>
          </w:tcPr>
          <w:p w:rsidR="009613B4" w:rsidRDefault="009613B4" w:rsidP="008C3907">
            <w:pPr>
              <w:tabs>
                <w:tab w:val="left" w:pos="6300"/>
              </w:tabs>
              <w:spacing w:line="360" w:lineRule="atLeast"/>
              <w:jc w:val="center"/>
              <w:rPr>
                <w:rFonts w:ascii="仿宋_GB2312" w:hAnsi="仿宋_GB2312" w:cs="仿宋_GB2312"/>
                <w:bCs/>
                <w:szCs w:val="28"/>
              </w:rPr>
            </w:pPr>
            <w:r>
              <w:rPr>
                <w:rFonts w:ascii="仿宋_GB2312" w:hAnsi="仿宋_GB2312" w:cs="仿宋_GB2312" w:hint="eastAsia"/>
                <w:bCs/>
                <w:sz w:val="24"/>
                <w:szCs w:val="24"/>
              </w:rPr>
              <w:t>知识目标</w:t>
            </w:r>
          </w:p>
        </w:tc>
        <w:tc>
          <w:tcPr>
            <w:tcW w:w="456"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H</w:t>
            </w:r>
          </w:p>
        </w:tc>
        <w:tc>
          <w:tcPr>
            <w:tcW w:w="567"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M</w:t>
            </w:r>
          </w:p>
        </w:tc>
        <w:tc>
          <w:tcPr>
            <w:tcW w:w="567"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M</w:t>
            </w:r>
          </w:p>
        </w:tc>
        <w:tc>
          <w:tcPr>
            <w:tcW w:w="42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L</w:t>
            </w:r>
          </w:p>
        </w:tc>
        <w:tc>
          <w:tcPr>
            <w:tcW w:w="42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p>
        </w:tc>
        <w:tc>
          <w:tcPr>
            <w:tcW w:w="426"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p>
        </w:tc>
        <w:tc>
          <w:tcPr>
            <w:tcW w:w="42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p>
        </w:tc>
        <w:tc>
          <w:tcPr>
            <w:tcW w:w="416" w:type="dxa"/>
          </w:tcPr>
          <w:p w:rsidR="009613B4" w:rsidRDefault="009613B4" w:rsidP="008C3907">
            <w:pPr>
              <w:spacing w:line="360" w:lineRule="auto"/>
              <w:rPr>
                <w:rFonts w:ascii="仿宋_GB2312" w:hAnsi="仿宋_GB2312" w:cs="仿宋_GB2312"/>
                <w:bCs/>
                <w:szCs w:val="28"/>
              </w:rPr>
            </w:pPr>
          </w:p>
        </w:tc>
        <w:tc>
          <w:tcPr>
            <w:tcW w:w="499" w:type="dxa"/>
          </w:tcPr>
          <w:p w:rsidR="009613B4" w:rsidRDefault="009613B4" w:rsidP="008C3907">
            <w:pPr>
              <w:spacing w:line="360" w:lineRule="auto"/>
              <w:rPr>
                <w:rFonts w:ascii="仿宋_GB2312" w:hAnsi="仿宋_GB2312" w:cs="仿宋_GB2312"/>
                <w:bCs/>
                <w:szCs w:val="28"/>
              </w:rPr>
            </w:pPr>
          </w:p>
        </w:tc>
        <w:tc>
          <w:tcPr>
            <w:tcW w:w="515" w:type="dxa"/>
          </w:tcPr>
          <w:p w:rsidR="009613B4" w:rsidRDefault="009613B4" w:rsidP="008C3907">
            <w:pPr>
              <w:spacing w:line="360" w:lineRule="auto"/>
              <w:rPr>
                <w:rFonts w:ascii="仿宋_GB2312" w:hAnsi="仿宋_GB2312" w:cs="仿宋_GB2312"/>
                <w:bCs/>
                <w:szCs w:val="28"/>
              </w:rPr>
            </w:pPr>
          </w:p>
        </w:tc>
        <w:tc>
          <w:tcPr>
            <w:tcW w:w="515" w:type="dxa"/>
          </w:tcPr>
          <w:p w:rsidR="009613B4" w:rsidRDefault="009613B4" w:rsidP="008C3907">
            <w:pPr>
              <w:spacing w:line="360" w:lineRule="auto"/>
              <w:rPr>
                <w:rFonts w:ascii="仿宋_GB2312" w:hAnsi="仿宋_GB2312" w:cs="仿宋_GB2312"/>
                <w:bCs/>
                <w:szCs w:val="28"/>
              </w:rPr>
            </w:pPr>
          </w:p>
        </w:tc>
        <w:tc>
          <w:tcPr>
            <w:tcW w:w="515" w:type="dxa"/>
          </w:tcPr>
          <w:p w:rsidR="009613B4" w:rsidRDefault="009613B4" w:rsidP="008C3907">
            <w:pPr>
              <w:spacing w:line="360" w:lineRule="auto"/>
              <w:rPr>
                <w:rFonts w:ascii="仿宋_GB2312" w:hAnsi="仿宋_GB2312" w:cs="仿宋_GB2312"/>
                <w:bCs/>
                <w:szCs w:val="28"/>
              </w:rPr>
            </w:pPr>
          </w:p>
        </w:tc>
      </w:tr>
      <w:tr w:rsidR="009613B4" w:rsidTr="008C3907">
        <w:trPr>
          <w:trHeight w:hRule="exact" w:val="454"/>
          <w:jc w:val="center"/>
        </w:trPr>
        <w:tc>
          <w:tcPr>
            <w:tcW w:w="2771" w:type="dxa"/>
          </w:tcPr>
          <w:p w:rsidR="009613B4" w:rsidRDefault="009613B4" w:rsidP="008C3907">
            <w:pPr>
              <w:tabs>
                <w:tab w:val="left" w:pos="6300"/>
              </w:tabs>
              <w:spacing w:line="360" w:lineRule="atLeast"/>
              <w:jc w:val="center"/>
              <w:rPr>
                <w:rFonts w:ascii="仿宋_GB2312" w:hAnsi="仿宋_GB2312" w:cs="仿宋_GB2312"/>
                <w:bCs/>
                <w:szCs w:val="28"/>
              </w:rPr>
            </w:pPr>
            <w:r>
              <w:rPr>
                <w:rFonts w:ascii="仿宋_GB2312" w:hAnsi="仿宋_GB2312" w:cs="仿宋_GB2312" w:hint="eastAsia"/>
                <w:bCs/>
                <w:sz w:val="24"/>
                <w:szCs w:val="24"/>
              </w:rPr>
              <w:t>能力目标</w:t>
            </w:r>
          </w:p>
        </w:tc>
        <w:tc>
          <w:tcPr>
            <w:tcW w:w="456" w:type="dxa"/>
            <w:vAlign w:val="center"/>
          </w:tcPr>
          <w:p w:rsidR="009613B4" w:rsidRDefault="009613B4" w:rsidP="008C3907">
            <w:pPr>
              <w:tabs>
                <w:tab w:val="left" w:pos="6300"/>
              </w:tabs>
              <w:spacing w:line="360" w:lineRule="atLeast"/>
              <w:jc w:val="center"/>
              <w:rPr>
                <w:rFonts w:ascii="仿宋_GB2312" w:hAnsi="仿宋_GB2312" w:cs="仿宋_GB2312"/>
                <w:bCs/>
                <w:szCs w:val="28"/>
              </w:rPr>
            </w:pPr>
            <w:r>
              <w:rPr>
                <w:rFonts w:ascii="华文中宋" w:eastAsia="华文中宋" w:hAnsi="华文中宋" w:cs="宋体" w:hint="eastAsia"/>
                <w:bCs/>
                <w:sz w:val="21"/>
              </w:rPr>
              <w:t>H</w:t>
            </w:r>
          </w:p>
        </w:tc>
        <w:tc>
          <w:tcPr>
            <w:tcW w:w="567" w:type="dxa"/>
            <w:vAlign w:val="center"/>
          </w:tcPr>
          <w:p w:rsidR="009613B4" w:rsidRDefault="009613B4" w:rsidP="008C3907">
            <w:pPr>
              <w:tabs>
                <w:tab w:val="left" w:pos="6300"/>
              </w:tabs>
              <w:spacing w:line="360" w:lineRule="atLeast"/>
              <w:jc w:val="center"/>
              <w:rPr>
                <w:rFonts w:ascii="仿宋_GB2312" w:hAnsi="仿宋_GB2312" w:cs="仿宋_GB2312"/>
                <w:bCs/>
                <w:szCs w:val="28"/>
              </w:rPr>
            </w:pPr>
            <w:r>
              <w:rPr>
                <w:rFonts w:ascii="华文中宋" w:eastAsia="华文中宋" w:hAnsi="华文中宋" w:cs="宋体" w:hint="eastAsia"/>
                <w:bCs/>
                <w:sz w:val="21"/>
              </w:rPr>
              <w:t>H</w:t>
            </w:r>
          </w:p>
        </w:tc>
        <w:tc>
          <w:tcPr>
            <w:tcW w:w="567"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H</w:t>
            </w:r>
          </w:p>
        </w:tc>
        <w:tc>
          <w:tcPr>
            <w:tcW w:w="42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L</w:t>
            </w:r>
          </w:p>
        </w:tc>
        <w:tc>
          <w:tcPr>
            <w:tcW w:w="42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p>
        </w:tc>
        <w:tc>
          <w:tcPr>
            <w:tcW w:w="426"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H</w:t>
            </w:r>
          </w:p>
        </w:tc>
        <w:tc>
          <w:tcPr>
            <w:tcW w:w="42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M</w:t>
            </w:r>
          </w:p>
        </w:tc>
        <w:tc>
          <w:tcPr>
            <w:tcW w:w="416" w:type="dxa"/>
          </w:tcPr>
          <w:p w:rsidR="009613B4" w:rsidRDefault="009613B4" w:rsidP="008C3907">
            <w:pPr>
              <w:spacing w:line="360" w:lineRule="auto"/>
              <w:rPr>
                <w:rFonts w:ascii="仿宋_GB2312" w:hAnsi="仿宋_GB2312" w:cs="仿宋_GB2312"/>
                <w:bCs/>
                <w:szCs w:val="28"/>
              </w:rPr>
            </w:pPr>
          </w:p>
        </w:tc>
        <w:tc>
          <w:tcPr>
            <w:tcW w:w="499" w:type="dxa"/>
          </w:tcPr>
          <w:p w:rsidR="009613B4" w:rsidRDefault="009613B4" w:rsidP="008C3907">
            <w:pPr>
              <w:spacing w:line="360" w:lineRule="auto"/>
              <w:rPr>
                <w:rFonts w:ascii="仿宋_GB2312" w:hAnsi="仿宋_GB2312" w:cs="仿宋_GB2312"/>
                <w:bCs/>
                <w:szCs w:val="28"/>
              </w:rPr>
            </w:pPr>
          </w:p>
        </w:tc>
        <w:tc>
          <w:tcPr>
            <w:tcW w:w="515" w:type="dxa"/>
          </w:tcPr>
          <w:p w:rsidR="009613B4" w:rsidRDefault="009613B4" w:rsidP="008C3907">
            <w:pPr>
              <w:spacing w:line="360" w:lineRule="auto"/>
              <w:rPr>
                <w:rFonts w:ascii="仿宋_GB2312" w:hAnsi="仿宋_GB2312" w:cs="仿宋_GB2312"/>
                <w:bCs/>
                <w:szCs w:val="28"/>
              </w:rPr>
            </w:pPr>
          </w:p>
        </w:tc>
        <w:tc>
          <w:tcPr>
            <w:tcW w:w="515" w:type="dxa"/>
          </w:tcPr>
          <w:p w:rsidR="009613B4" w:rsidRDefault="009613B4" w:rsidP="008C3907">
            <w:pPr>
              <w:spacing w:line="360" w:lineRule="auto"/>
              <w:rPr>
                <w:rFonts w:ascii="仿宋_GB2312" w:hAnsi="仿宋_GB2312" w:cs="仿宋_GB2312"/>
                <w:bCs/>
                <w:szCs w:val="28"/>
              </w:rPr>
            </w:pPr>
          </w:p>
        </w:tc>
        <w:tc>
          <w:tcPr>
            <w:tcW w:w="515" w:type="dxa"/>
          </w:tcPr>
          <w:p w:rsidR="009613B4" w:rsidRDefault="009613B4" w:rsidP="008C3907">
            <w:pPr>
              <w:spacing w:line="360" w:lineRule="auto"/>
              <w:rPr>
                <w:rFonts w:ascii="仿宋_GB2312" w:hAnsi="仿宋_GB2312" w:cs="仿宋_GB2312"/>
                <w:bCs/>
                <w:szCs w:val="28"/>
              </w:rPr>
            </w:pPr>
          </w:p>
        </w:tc>
      </w:tr>
      <w:tr w:rsidR="009613B4" w:rsidTr="008C3907">
        <w:trPr>
          <w:trHeight w:hRule="exact" w:val="454"/>
          <w:jc w:val="center"/>
        </w:trPr>
        <w:tc>
          <w:tcPr>
            <w:tcW w:w="2771" w:type="dxa"/>
          </w:tcPr>
          <w:p w:rsidR="009613B4" w:rsidRDefault="009613B4" w:rsidP="008C3907">
            <w:pPr>
              <w:tabs>
                <w:tab w:val="left" w:pos="6300"/>
              </w:tabs>
              <w:spacing w:line="360" w:lineRule="atLeast"/>
              <w:jc w:val="center"/>
              <w:rPr>
                <w:rFonts w:ascii="仿宋_GB2312" w:hAnsi="仿宋_GB2312" w:cs="仿宋_GB2312"/>
                <w:bCs/>
                <w:szCs w:val="28"/>
              </w:rPr>
            </w:pPr>
            <w:r>
              <w:rPr>
                <w:rFonts w:ascii="仿宋_GB2312" w:hAnsi="仿宋_GB2312" w:cs="仿宋_GB2312" w:hint="eastAsia"/>
                <w:bCs/>
                <w:sz w:val="24"/>
                <w:szCs w:val="24"/>
              </w:rPr>
              <w:t>情感态度与价值观目标</w:t>
            </w:r>
          </w:p>
        </w:tc>
        <w:tc>
          <w:tcPr>
            <w:tcW w:w="456" w:type="dxa"/>
            <w:vAlign w:val="center"/>
          </w:tcPr>
          <w:p w:rsidR="009613B4" w:rsidRDefault="009613B4" w:rsidP="008C3907">
            <w:pPr>
              <w:spacing w:line="360" w:lineRule="auto"/>
              <w:jc w:val="center"/>
              <w:rPr>
                <w:rFonts w:ascii="仿宋_GB2312" w:hAnsi="仿宋_GB2312" w:cs="仿宋_GB2312"/>
                <w:bCs/>
                <w:szCs w:val="28"/>
              </w:rPr>
            </w:pPr>
          </w:p>
        </w:tc>
        <w:tc>
          <w:tcPr>
            <w:tcW w:w="567" w:type="dxa"/>
            <w:vAlign w:val="center"/>
          </w:tcPr>
          <w:p w:rsidR="009613B4" w:rsidRDefault="009613B4" w:rsidP="008C3907">
            <w:pPr>
              <w:spacing w:line="360" w:lineRule="auto"/>
              <w:jc w:val="center"/>
              <w:rPr>
                <w:rFonts w:ascii="仿宋_GB2312" w:hAnsi="仿宋_GB2312" w:cs="仿宋_GB2312"/>
                <w:bCs/>
                <w:szCs w:val="28"/>
              </w:rPr>
            </w:pPr>
          </w:p>
        </w:tc>
        <w:tc>
          <w:tcPr>
            <w:tcW w:w="567"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M</w:t>
            </w:r>
          </w:p>
        </w:tc>
        <w:tc>
          <w:tcPr>
            <w:tcW w:w="42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p>
        </w:tc>
        <w:tc>
          <w:tcPr>
            <w:tcW w:w="42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p>
        </w:tc>
        <w:tc>
          <w:tcPr>
            <w:tcW w:w="426"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H</w:t>
            </w:r>
          </w:p>
        </w:tc>
        <w:tc>
          <w:tcPr>
            <w:tcW w:w="425" w:type="dxa"/>
            <w:vAlign w:val="center"/>
          </w:tcPr>
          <w:p w:rsidR="009613B4" w:rsidRDefault="009613B4" w:rsidP="008C3907">
            <w:pPr>
              <w:tabs>
                <w:tab w:val="left" w:pos="6300"/>
              </w:tabs>
              <w:spacing w:line="360" w:lineRule="atLeast"/>
              <w:jc w:val="center"/>
              <w:rPr>
                <w:rFonts w:ascii="华文中宋" w:eastAsia="华文中宋" w:hAnsi="华文中宋" w:cs="宋体"/>
                <w:bCs/>
                <w:sz w:val="21"/>
              </w:rPr>
            </w:pPr>
            <w:r>
              <w:rPr>
                <w:rFonts w:ascii="华文中宋" w:eastAsia="华文中宋" w:hAnsi="华文中宋" w:cs="宋体" w:hint="eastAsia"/>
                <w:bCs/>
                <w:sz w:val="21"/>
              </w:rPr>
              <w:t>L</w:t>
            </w:r>
          </w:p>
        </w:tc>
        <w:tc>
          <w:tcPr>
            <w:tcW w:w="416" w:type="dxa"/>
          </w:tcPr>
          <w:p w:rsidR="009613B4" w:rsidRDefault="009613B4" w:rsidP="008C3907">
            <w:pPr>
              <w:spacing w:line="360" w:lineRule="auto"/>
              <w:rPr>
                <w:rFonts w:ascii="仿宋_GB2312" w:hAnsi="仿宋_GB2312" w:cs="仿宋_GB2312"/>
                <w:bCs/>
                <w:szCs w:val="28"/>
              </w:rPr>
            </w:pPr>
          </w:p>
        </w:tc>
        <w:tc>
          <w:tcPr>
            <w:tcW w:w="499" w:type="dxa"/>
          </w:tcPr>
          <w:p w:rsidR="009613B4" w:rsidRDefault="009613B4" w:rsidP="008C3907">
            <w:pPr>
              <w:spacing w:line="360" w:lineRule="auto"/>
              <w:rPr>
                <w:rFonts w:ascii="仿宋_GB2312" w:hAnsi="仿宋_GB2312" w:cs="仿宋_GB2312"/>
                <w:bCs/>
                <w:szCs w:val="28"/>
              </w:rPr>
            </w:pPr>
          </w:p>
        </w:tc>
        <w:tc>
          <w:tcPr>
            <w:tcW w:w="515" w:type="dxa"/>
          </w:tcPr>
          <w:p w:rsidR="009613B4" w:rsidRDefault="009613B4" w:rsidP="008C3907">
            <w:pPr>
              <w:spacing w:line="360" w:lineRule="auto"/>
              <w:rPr>
                <w:rFonts w:ascii="仿宋_GB2312" w:hAnsi="仿宋_GB2312" w:cs="仿宋_GB2312"/>
                <w:bCs/>
                <w:szCs w:val="28"/>
              </w:rPr>
            </w:pPr>
          </w:p>
        </w:tc>
        <w:tc>
          <w:tcPr>
            <w:tcW w:w="515" w:type="dxa"/>
          </w:tcPr>
          <w:p w:rsidR="009613B4" w:rsidRDefault="009613B4" w:rsidP="008C3907">
            <w:pPr>
              <w:spacing w:line="360" w:lineRule="auto"/>
              <w:rPr>
                <w:rFonts w:ascii="仿宋_GB2312" w:hAnsi="仿宋_GB2312" w:cs="仿宋_GB2312"/>
                <w:bCs/>
                <w:szCs w:val="28"/>
              </w:rPr>
            </w:pPr>
          </w:p>
        </w:tc>
        <w:tc>
          <w:tcPr>
            <w:tcW w:w="515" w:type="dxa"/>
          </w:tcPr>
          <w:p w:rsidR="009613B4" w:rsidRDefault="009613B4" w:rsidP="008C3907">
            <w:pPr>
              <w:spacing w:line="360" w:lineRule="auto"/>
              <w:rPr>
                <w:rFonts w:ascii="仿宋_GB2312" w:hAnsi="仿宋_GB2312" w:cs="仿宋_GB2312"/>
                <w:bCs/>
                <w:szCs w:val="28"/>
              </w:rPr>
            </w:pPr>
          </w:p>
        </w:tc>
      </w:tr>
    </w:tbl>
    <w:p w:rsidR="009613B4" w:rsidRPr="008B4EA8" w:rsidRDefault="009613B4" w:rsidP="009613B4">
      <w:pPr>
        <w:spacing w:line="560" w:lineRule="exact"/>
        <w:ind w:firstLineChars="200" w:firstLine="560"/>
        <w:jc w:val="left"/>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t>3. 课程的重点、难点</w:t>
      </w:r>
    </w:p>
    <w:p w:rsidR="009613B4" w:rsidRPr="008B4EA8" w:rsidRDefault="009613B4" w:rsidP="009613B4">
      <w:pPr>
        <w:spacing w:line="560" w:lineRule="exact"/>
        <w:ind w:firstLine="329"/>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t>（1</w:t>
      </w:r>
      <w:r w:rsidRPr="008B4EA8">
        <w:rPr>
          <w:rFonts w:ascii="仿宋_GB2312" w:hAnsi="仿宋_GB2312" w:cs="仿宋_GB2312"/>
          <w:bCs/>
          <w:snapToGrid w:val="0"/>
          <w:kern w:val="0"/>
          <w:sz w:val="28"/>
          <w:szCs w:val="28"/>
        </w:rPr>
        <w:t>）</w:t>
      </w:r>
      <w:r w:rsidRPr="008B4EA8">
        <w:rPr>
          <w:rFonts w:ascii="仿宋_GB2312" w:hAnsi="仿宋_GB2312" w:cs="仿宋_GB2312" w:hint="eastAsia"/>
          <w:bCs/>
          <w:snapToGrid w:val="0"/>
          <w:kern w:val="0"/>
          <w:sz w:val="28"/>
          <w:szCs w:val="28"/>
        </w:rPr>
        <w:t>建筑给水系统和热水</w:t>
      </w:r>
      <w:r w:rsidRPr="008B4EA8">
        <w:rPr>
          <w:rFonts w:ascii="仿宋_GB2312" w:hAnsi="仿宋_GB2312" w:cs="仿宋_GB2312"/>
          <w:bCs/>
          <w:snapToGrid w:val="0"/>
          <w:kern w:val="0"/>
          <w:sz w:val="28"/>
          <w:szCs w:val="28"/>
        </w:rPr>
        <w:t>系统的分区；</w:t>
      </w:r>
      <w:r w:rsidRPr="008B4EA8">
        <w:rPr>
          <w:rFonts w:ascii="仿宋_GB2312" w:hAnsi="仿宋_GB2312" w:cs="仿宋_GB2312" w:hint="eastAsia"/>
          <w:bCs/>
          <w:snapToGrid w:val="0"/>
          <w:kern w:val="0"/>
          <w:sz w:val="28"/>
          <w:szCs w:val="28"/>
        </w:rPr>
        <w:t xml:space="preserve"> </w:t>
      </w:r>
    </w:p>
    <w:p w:rsidR="009613B4" w:rsidRPr="008B4EA8" w:rsidRDefault="009613B4" w:rsidP="009613B4">
      <w:pPr>
        <w:spacing w:line="560" w:lineRule="exact"/>
        <w:ind w:firstLine="329"/>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t>（2）消火栓给水系统、自动喷水灭火系工作过程；消防水箱和</w:t>
      </w:r>
      <w:r w:rsidRPr="008B4EA8">
        <w:rPr>
          <w:rFonts w:ascii="仿宋_GB2312" w:hAnsi="仿宋_GB2312" w:cs="仿宋_GB2312"/>
          <w:bCs/>
          <w:snapToGrid w:val="0"/>
          <w:kern w:val="0"/>
          <w:sz w:val="28"/>
          <w:szCs w:val="28"/>
        </w:rPr>
        <w:t>消防水池容积计算，</w:t>
      </w:r>
      <w:r w:rsidRPr="008B4EA8">
        <w:rPr>
          <w:rFonts w:ascii="仿宋_GB2312" w:hAnsi="仿宋_GB2312" w:cs="仿宋_GB2312" w:hint="eastAsia"/>
          <w:bCs/>
          <w:snapToGrid w:val="0"/>
          <w:kern w:val="0"/>
          <w:sz w:val="28"/>
          <w:szCs w:val="28"/>
        </w:rPr>
        <w:t>消防</w:t>
      </w:r>
      <w:r w:rsidRPr="008B4EA8">
        <w:rPr>
          <w:rFonts w:ascii="仿宋_GB2312" w:hAnsi="仿宋_GB2312" w:cs="仿宋_GB2312"/>
          <w:bCs/>
          <w:snapToGrid w:val="0"/>
          <w:kern w:val="0"/>
          <w:sz w:val="28"/>
          <w:szCs w:val="28"/>
        </w:rPr>
        <w:t>水泵和</w:t>
      </w:r>
      <w:r w:rsidRPr="008B4EA8">
        <w:rPr>
          <w:rFonts w:ascii="仿宋_GB2312" w:hAnsi="仿宋_GB2312" w:cs="仿宋_GB2312" w:hint="eastAsia"/>
          <w:bCs/>
          <w:snapToGrid w:val="0"/>
          <w:kern w:val="0"/>
          <w:sz w:val="28"/>
          <w:szCs w:val="28"/>
        </w:rPr>
        <w:t>稳压</w:t>
      </w:r>
      <w:r w:rsidRPr="008B4EA8">
        <w:rPr>
          <w:rFonts w:ascii="仿宋_GB2312" w:hAnsi="仿宋_GB2312" w:cs="仿宋_GB2312"/>
          <w:bCs/>
          <w:snapToGrid w:val="0"/>
          <w:kern w:val="0"/>
          <w:sz w:val="28"/>
          <w:szCs w:val="28"/>
        </w:rPr>
        <w:t>设备的</w:t>
      </w:r>
      <w:r w:rsidRPr="008B4EA8">
        <w:rPr>
          <w:rFonts w:ascii="仿宋_GB2312" w:hAnsi="仿宋_GB2312" w:cs="仿宋_GB2312" w:hint="eastAsia"/>
          <w:bCs/>
          <w:snapToGrid w:val="0"/>
          <w:kern w:val="0"/>
          <w:sz w:val="28"/>
          <w:szCs w:val="28"/>
        </w:rPr>
        <w:t>选定，</w:t>
      </w:r>
      <w:r w:rsidRPr="008B4EA8">
        <w:rPr>
          <w:rFonts w:ascii="仿宋_GB2312" w:hAnsi="仿宋_GB2312" w:cs="仿宋_GB2312"/>
          <w:bCs/>
          <w:snapToGrid w:val="0"/>
          <w:kern w:val="0"/>
          <w:sz w:val="28"/>
          <w:szCs w:val="28"/>
        </w:rPr>
        <w:t>水泵接合器选择；</w:t>
      </w:r>
    </w:p>
    <w:p w:rsidR="009613B4" w:rsidRPr="008B4EA8" w:rsidRDefault="009613B4" w:rsidP="009613B4">
      <w:pPr>
        <w:spacing w:line="560" w:lineRule="exact"/>
        <w:ind w:firstLine="329"/>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t>（3）排水系统水气流动规律，建筑底层单排，污废水</w:t>
      </w:r>
      <w:r w:rsidRPr="008B4EA8">
        <w:rPr>
          <w:rFonts w:ascii="仿宋_GB2312" w:hAnsi="仿宋_GB2312" w:cs="仿宋_GB2312"/>
          <w:bCs/>
          <w:snapToGrid w:val="0"/>
          <w:kern w:val="0"/>
          <w:sz w:val="28"/>
          <w:szCs w:val="28"/>
        </w:rPr>
        <w:t>提升和局部处理</w:t>
      </w:r>
      <w:r w:rsidRPr="008B4EA8">
        <w:rPr>
          <w:rFonts w:ascii="仿宋_GB2312" w:hAnsi="仿宋_GB2312" w:cs="仿宋_GB2312" w:hint="eastAsia"/>
          <w:bCs/>
          <w:snapToGrid w:val="0"/>
          <w:kern w:val="0"/>
          <w:sz w:val="28"/>
          <w:szCs w:val="28"/>
        </w:rPr>
        <w:t>；</w:t>
      </w:r>
    </w:p>
    <w:p w:rsidR="009613B4" w:rsidRPr="008B4EA8" w:rsidRDefault="009613B4" w:rsidP="009613B4">
      <w:pPr>
        <w:spacing w:line="560" w:lineRule="exact"/>
        <w:ind w:firstLine="331"/>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t>（4）建筑热水系统耗热量、热水量和热媒耗量的计算，</w:t>
      </w:r>
      <w:r w:rsidRPr="008B4EA8">
        <w:rPr>
          <w:rFonts w:ascii="仿宋_GB2312" w:hAnsi="仿宋_GB2312" w:cs="仿宋_GB2312"/>
          <w:bCs/>
          <w:snapToGrid w:val="0"/>
          <w:kern w:val="0"/>
          <w:sz w:val="28"/>
          <w:szCs w:val="28"/>
        </w:rPr>
        <w:t>循环流量和热损失的计算</w:t>
      </w:r>
      <w:r w:rsidRPr="008B4EA8">
        <w:rPr>
          <w:rFonts w:ascii="仿宋_GB2312" w:hAnsi="仿宋_GB2312" w:cs="仿宋_GB2312" w:hint="eastAsia"/>
          <w:bCs/>
          <w:snapToGrid w:val="0"/>
          <w:kern w:val="0"/>
          <w:sz w:val="28"/>
          <w:szCs w:val="28"/>
        </w:rPr>
        <w:t>，</w:t>
      </w:r>
      <w:r w:rsidRPr="008B4EA8">
        <w:rPr>
          <w:rFonts w:ascii="仿宋_GB2312" w:hAnsi="仿宋_GB2312" w:cs="仿宋_GB2312"/>
          <w:bCs/>
          <w:snapToGrid w:val="0"/>
          <w:kern w:val="0"/>
          <w:sz w:val="28"/>
          <w:szCs w:val="28"/>
        </w:rPr>
        <w:t>快速式</w:t>
      </w:r>
      <w:r w:rsidRPr="008B4EA8">
        <w:rPr>
          <w:rFonts w:ascii="仿宋_GB2312" w:hAnsi="仿宋_GB2312" w:cs="仿宋_GB2312" w:hint="eastAsia"/>
          <w:bCs/>
          <w:snapToGrid w:val="0"/>
          <w:kern w:val="0"/>
          <w:sz w:val="28"/>
          <w:szCs w:val="28"/>
        </w:rPr>
        <w:t>加热</w:t>
      </w:r>
      <w:r w:rsidRPr="008B4EA8">
        <w:rPr>
          <w:rFonts w:ascii="仿宋_GB2312" w:hAnsi="仿宋_GB2312" w:cs="仿宋_GB2312"/>
          <w:bCs/>
          <w:snapToGrid w:val="0"/>
          <w:kern w:val="0"/>
          <w:sz w:val="28"/>
          <w:szCs w:val="28"/>
        </w:rPr>
        <w:t>设备和</w:t>
      </w:r>
      <w:r w:rsidRPr="008B4EA8">
        <w:rPr>
          <w:rFonts w:ascii="仿宋_GB2312" w:hAnsi="仿宋_GB2312" w:cs="仿宋_GB2312" w:hint="eastAsia"/>
          <w:bCs/>
          <w:snapToGrid w:val="0"/>
          <w:kern w:val="0"/>
          <w:sz w:val="28"/>
          <w:szCs w:val="28"/>
        </w:rPr>
        <w:t>半即热式</w:t>
      </w:r>
      <w:r w:rsidRPr="008B4EA8">
        <w:rPr>
          <w:rFonts w:ascii="仿宋_GB2312" w:hAnsi="仿宋_GB2312" w:cs="仿宋_GB2312"/>
          <w:bCs/>
          <w:snapToGrid w:val="0"/>
          <w:kern w:val="0"/>
          <w:sz w:val="28"/>
          <w:szCs w:val="28"/>
        </w:rPr>
        <w:t>加热设备的选择</w:t>
      </w:r>
      <w:r w:rsidRPr="008B4EA8">
        <w:rPr>
          <w:rFonts w:ascii="仿宋_GB2312" w:hAnsi="仿宋_GB2312" w:cs="仿宋_GB2312" w:hint="eastAsia"/>
          <w:bCs/>
          <w:snapToGrid w:val="0"/>
          <w:kern w:val="0"/>
          <w:sz w:val="28"/>
          <w:szCs w:val="28"/>
        </w:rPr>
        <w:t>。</w:t>
      </w:r>
    </w:p>
    <w:p w:rsidR="009613B4" w:rsidRPr="008B4EA8" w:rsidRDefault="009613B4" w:rsidP="009613B4">
      <w:pPr>
        <w:spacing w:line="560" w:lineRule="exact"/>
        <w:ind w:firstLine="331"/>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t>4. 课程思政设计</w:t>
      </w:r>
    </w:p>
    <w:p w:rsidR="009613B4" w:rsidRPr="008B4EA8" w:rsidRDefault="009613B4" w:rsidP="009613B4">
      <w:pPr>
        <w:spacing w:line="560" w:lineRule="exact"/>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t>（1</w:t>
      </w:r>
      <w:r w:rsidRPr="008B4EA8">
        <w:rPr>
          <w:rFonts w:ascii="仿宋_GB2312" w:hAnsi="仿宋_GB2312" w:cs="仿宋_GB2312"/>
          <w:bCs/>
          <w:snapToGrid w:val="0"/>
          <w:kern w:val="0"/>
          <w:sz w:val="28"/>
          <w:szCs w:val="28"/>
        </w:rPr>
        <w:t>）</w:t>
      </w:r>
      <w:r w:rsidRPr="008B4EA8">
        <w:rPr>
          <w:rFonts w:ascii="仿宋_GB2312" w:hAnsi="仿宋_GB2312" w:cs="仿宋_GB2312" w:hint="eastAsia"/>
          <w:bCs/>
          <w:snapToGrid w:val="0"/>
          <w:kern w:val="0"/>
          <w:sz w:val="28"/>
          <w:szCs w:val="28"/>
        </w:rPr>
        <w:t>建筑内部</w:t>
      </w:r>
      <w:r w:rsidRPr="008B4EA8">
        <w:rPr>
          <w:rFonts w:ascii="仿宋_GB2312" w:hAnsi="仿宋_GB2312" w:cs="仿宋_GB2312"/>
          <w:bCs/>
          <w:snapToGrid w:val="0"/>
          <w:kern w:val="0"/>
          <w:sz w:val="28"/>
          <w:szCs w:val="28"/>
        </w:rPr>
        <w:t>给水是</w:t>
      </w:r>
      <w:r w:rsidRPr="008B4EA8">
        <w:rPr>
          <w:rFonts w:ascii="仿宋_GB2312" w:hAnsi="仿宋_GB2312" w:cs="仿宋_GB2312" w:hint="eastAsia"/>
          <w:bCs/>
          <w:snapToGrid w:val="0"/>
          <w:kern w:val="0"/>
          <w:sz w:val="28"/>
          <w:szCs w:val="28"/>
        </w:rPr>
        <w:t>为</w:t>
      </w:r>
      <w:r w:rsidRPr="008B4EA8">
        <w:rPr>
          <w:rFonts w:ascii="仿宋_GB2312" w:hAnsi="仿宋_GB2312" w:cs="仿宋_GB2312"/>
          <w:bCs/>
          <w:snapToGrid w:val="0"/>
          <w:kern w:val="0"/>
          <w:sz w:val="28"/>
          <w:szCs w:val="28"/>
        </w:rPr>
        <w:t>百姓</w:t>
      </w:r>
      <w:r w:rsidRPr="008B4EA8">
        <w:rPr>
          <w:rFonts w:ascii="仿宋_GB2312" w:hAnsi="仿宋_GB2312" w:cs="仿宋_GB2312" w:hint="eastAsia"/>
          <w:bCs/>
          <w:snapToGrid w:val="0"/>
          <w:kern w:val="0"/>
          <w:sz w:val="28"/>
          <w:szCs w:val="28"/>
        </w:rPr>
        <w:t>提供</w:t>
      </w:r>
      <w:r w:rsidRPr="008B4EA8">
        <w:rPr>
          <w:rFonts w:ascii="仿宋_GB2312" w:hAnsi="仿宋_GB2312" w:cs="仿宋_GB2312"/>
          <w:bCs/>
          <w:snapToGrid w:val="0"/>
          <w:kern w:val="0"/>
          <w:sz w:val="28"/>
          <w:szCs w:val="28"/>
        </w:rPr>
        <w:t>安全卫生的饮用水</w:t>
      </w:r>
      <w:r w:rsidRPr="008B4EA8">
        <w:rPr>
          <w:rFonts w:ascii="仿宋_GB2312" w:hAnsi="仿宋_GB2312" w:cs="仿宋_GB2312" w:hint="eastAsia"/>
          <w:bCs/>
          <w:snapToGrid w:val="0"/>
          <w:kern w:val="0"/>
          <w:sz w:val="28"/>
          <w:szCs w:val="28"/>
        </w:rPr>
        <w:t>，使</w:t>
      </w:r>
      <w:r w:rsidRPr="008B4EA8">
        <w:rPr>
          <w:rFonts w:ascii="仿宋_GB2312" w:hAnsi="仿宋_GB2312" w:cs="仿宋_GB2312"/>
          <w:bCs/>
          <w:snapToGrid w:val="0"/>
          <w:kern w:val="0"/>
          <w:sz w:val="28"/>
          <w:szCs w:val="28"/>
        </w:rPr>
        <w:t>学生</w:t>
      </w:r>
      <w:r w:rsidRPr="008B4EA8">
        <w:rPr>
          <w:rFonts w:ascii="仿宋_GB2312" w:hAnsi="仿宋_GB2312" w:cs="仿宋_GB2312" w:hint="eastAsia"/>
          <w:bCs/>
          <w:snapToGrid w:val="0"/>
          <w:kern w:val="0"/>
          <w:sz w:val="28"/>
          <w:szCs w:val="28"/>
        </w:rPr>
        <w:t>增强职业责任感。培养学生严格按照规范标准</w:t>
      </w:r>
      <w:r w:rsidRPr="008B4EA8">
        <w:rPr>
          <w:rFonts w:ascii="仿宋_GB2312" w:hAnsi="仿宋_GB2312" w:cs="仿宋_GB2312"/>
          <w:bCs/>
          <w:snapToGrid w:val="0"/>
          <w:kern w:val="0"/>
          <w:sz w:val="28"/>
          <w:szCs w:val="28"/>
        </w:rPr>
        <w:t>进行设计</w:t>
      </w:r>
      <w:r w:rsidRPr="008B4EA8">
        <w:rPr>
          <w:rFonts w:ascii="仿宋_GB2312" w:hAnsi="仿宋_GB2312" w:cs="仿宋_GB2312" w:hint="eastAsia"/>
          <w:bCs/>
          <w:snapToGrid w:val="0"/>
          <w:kern w:val="0"/>
          <w:sz w:val="28"/>
          <w:szCs w:val="28"/>
        </w:rPr>
        <w:t>从而达到节约水资源</w:t>
      </w:r>
      <w:r w:rsidRPr="008B4EA8">
        <w:rPr>
          <w:rFonts w:ascii="仿宋_GB2312" w:hAnsi="仿宋_GB2312" w:cs="仿宋_GB2312"/>
          <w:bCs/>
          <w:snapToGrid w:val="0"/>
          <w:kern w:val="0"/>
          <w:sz w:val="28"/>
          <w:szCs w:val="28"/>
        </w:rPr>
        <w:t>的目的。</w:t>
      </w:r>
    </w:p>
    <w:p w:rsidR="009613B4" w:rsidRPr="008B4EA8" w:rsidRDefault="009613B4" w:rsidP="009613B4">
      <w:pPr>
        <w:spacing w:line="560" w:lineRule="exact"/>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t>（2</w:t>
      </w:r>
      <w:r w:rsidRPr="008B4EA8">
        <w:rPr>
          <w:rFonts w:ascii="仿宋_GB2312" w:hAnsi="仿宋_GB2312" w:cs="仿宋_GB2312"/>
          <w:bCs/>
          <w:snapToGrid w:val="0"/>
          <w:kern w:val="0"/>
          <w:sz w:val="28"/>
          <w:szCs w:val="28"/>
        </w:rPr>
        <w:t>）</w:t>
      </w:r>
      <w:r w:rsidRPr="008B4EA8">
        <w:rPr>
          <w:rFonts w:ascii="仿宋_GB2312" w:hAnsi="仿宋_GB2312" w:cs="仿宋_GB2312" w:hint="eastAsia"/>
          <w:bCs/>
          <w:snapToGrid w:val="0"/>
          <w:kern w:val="0"/>
          <w:sz w:val="28"/>
          <w:szCs w:val="28"/>
        </w:rPr>
        <w:t>认识水在给排水工程领域的循环历程；认识建筑给排水工程在城镇建设中的重要作用；建筑给排水工程中节水、节能以及水质保证问题是给排水工程师的责任和使命之一。</w:t>
      </w:r>
    </w:p>
    <w:p w:rsidR="009613B4" w:rsidRPr="008B4EA8" w:rsidRDefault="009613B4" w:rsidP="009613B4">
      <w:pPr>
        <w:spacing w:line="560" w:lineRule="exact"/>
        <w:rPr>
          <w:rFonts w:ascii="仿宋_GB2312" w:hAnsi="仿宋_GB2312" w:cs="仿宋_GB2312"/>
          <w:bCs/>
          <w:snapToGrid w:val="0"/>
          <w:kern w:val="0"/>
          <w:sz w:val="28"/>
          <w:szCs w:val="28"/>
        </w:rPr>
      </w:pPr>
      <w:r w:rsidRPr="008B4EA8">
        <w:rPr>
          <w:rFonts w:ascii="仿宋_GB2312" w:hAnsi="仿宋_GB2312" w:cs="仿宋_GB2312" w:hint="eastAsia"/>
          <w:bCs/>
          <w:snapToGrid w:val="0"/>
          <w:kern w:val="0"/>
          <w:sz w:val="28"/>
          <w:szCs w:val="28"/>
        </w:rPr>
        <w:lastRenderedPageBreak/>
        <w:t>（3）水火无情</w:t>
      </w:r>
      <w:r w:rsidRPr="008B4EA8">
        <w:rPr>
          <w:rFonts w:ascii="仿宋_GB2312" w:hAnsi="仿宋_GB2312" w:cs="仿宋_GB2312"/>
          <w:bCs/>
          <w:snapToGrid w:val="0"/>
          <w:kern w:val="0"/>
          <w:sz w:val="28"/>
          <w:szCs w:val="28"/>
        </w:rPr>
        <w:t>，</w:t>
      </w:r>
      <w:r w:rsidRPr="008B4EA8">
        <w:rPr>
          <w:rFonts w:ascii="仿宋_GB2312" w:hAnsi="仿宋_GB2312" w:cs="仿宋_GB2312" w:hint="eastAsia"/>
          <w:bCs/>
          <w:snapToGrid w:val="0"/>
          <w:kern w:val="0"/>
          <w:sz w:val="28"/>
          <w:szCs w:val="28"/>
        </w:rPr>
        <w:t>消防</w:t>
      </w:r>
      <w:r w:rsidRPr="008B4EA8">
        <w:rPr>
          <w:rFonts w:ascii="仿宋_GB2312" w:hAnsi="仿宋_GB2312" w:cs="仿宋_GB2312"/>
          <w:bCs/>
          <w:snapToGrid w:val="0"/>
          <w:kern w:val="0"/>
          <w:sz w:val="28"/>
          <w:szCs w:val="28"/>
        </w:rPr>
        <w:t>设计责任</w:t>
      </w:r>
      <w:r w:rsidRPr="008B4EA8">
        <w:rPr>
          <w:rFonts w:ascii="仿宋_GB2312" w:hAnsi="仿宋_GB2312" w:cs="仿宋_GB2312" w:hint="eastAsia"/>
          <w:bCs/>
          <w:snapToGrid w:val="0"/>
          <w:kern w:val="0"/>
          <w:sz w:val="28"/>
          <w:szCs w:val="28"/>
        </w:rPr>
        <w:t>重于泰山</w:t>
      </w:r>
      <w:r w:rsidRPr="008B4EA8">
        <w:rPr>
          <w:rFonts w:ascii="仿宋_GB2312" w:hAnsi="仿宋_GB2312" w:cs="仿宋_GB2312"/>
          <w:bCs/>
          <w:snapToGrid w:val="0"/>
          <w:kern w:val="0"/>
          <w:sz w:val="28"/>
          <w:szCs w:val="28"/>
        </w:rPr>
        <w:t>，</w:t>
      </w:r>
      <w:r w:rsidRPr="008B4EA8">
        <w:rPr>
          <w:rFonts w:ascii="仿宋_GB2312" w:hAnsi="仿宋_GB2312" w:cs="仿宋_GB2312" w:hint="eastAsia"/>
          <w:bCs/>
          <w:snapToGrid w:val="0"/>
          <w:kern w:val="0"/>
          <w:sz w:val="28"/>
          <w:szCs w:val="28"/>
        </w:rPr>
        <w:t>培养学生</w:t>
      </w:r>
      <w:r w:rsidRPr="008B4EA8">
        <w:rPr>
          <w:rFonts w:ascii="仿宋_GB2312" w:hAnsi="仿宋_GB2312" w:cs="仿宋_GB2312"/>
          <w:bCs/>
          <w:snapToGrid w:val="0"/>
          <w:kern w:val="0"/>
          <w:sz w:val="28"/>
          <w:szCs w:val="28"/>
        </w:rPr>
        <w:t>的消防安全意识，树立珍爱生命，全心全意为人民服务的理念</w:t>
      </w:r>
      <w:r w:rsidRPr="008B4EA8">
        <w:rPr>
          <w:rFonts w:ascii="仿宋_GB2312" w:hAnsi="仿宋_GB2312" w:cs="仿宋_GB2312" w:hint="eastAsia"/>
          <w:bCs/>
          <w:snapToGrid w:val="0"/>
          <w:kern w:val="0"/>
          <w:sz w:val="28"/>
          <w:szCs w:val="28"/>
        </w:rPr>
        <w:t>。加强专业素养，明确自身价值。使学生了解到建筑给排水工程在城镇建设中的重要作用，增强社会责任感、使命感。</w:t>
      </w:r>
    </w:p>
    <w:p w:rsidR="009613B4" w:rsidRPr="008B4EA8" w:rsidRDefault="009613B4" w:rsidP="009613B4">
      <w:pPr>
        <w:snapToGrid w:val="0"/>
        <w:spacing w:line="560" w:lineRule="exact"/>
        <w:rPr>
          <w:rFonts w:ascii="黑体" w:eastAsia="黑体" w:hAnsi="黑体" w:cs="黑体"/>
          <w:b/>
          <w:sz w:val="28"/>
          <w:szCs w:val="28"/>
        </w:rPr>
      </w:pPr>
      <w:r w:rsidRPr="008B4EA8">
        <w:rPr>
          <w:rFonts w:ascii="黑体" w:eastAsia="黑体" w:hAnsi="黑体" w:cs="黑体" w:hint="eastAsia"/>
          <w:b/>
          <w:sz w:val="28"/>
          <w:szCs w:val="28"/>
        </w:rPr>
        <w:t>四、教学内容及要求</w:t>
      </w:r>
    </w:p>
    <w:p w:rsidR="009613B4" w:rsidRPr="008B4EA8" w:rsidRDefault="009613B4" w:rsidP="009613B4">
      <w:pPr>
        <w:snapToGrid w:val="0"/>
        <w:spacing w:line="560" w:lineRule="exact"/>
        <w:rPr>
          <w:rFonts w:ascii="黑体" w:eastAsia="黑体" w:hAnsi="黑体" w:cs="黑体"/>
          <w:b/>
          <w:sz w:val="28"/>
          <w:szCs w:val="28"/>
        </w:rPr>
      </w:pPr>
      <w:r w:rsidRPr="008B4EA8">
        <w:rPr>
          <w:rFonts w:ascii="仿宋_GB2312" w:hAnsi="仿宋_GB2312" w:cs="仿宋_GB2312" w:hint="eastAsia"/>
          <w:sz w:val="28"/>
          <w:szCs w:val="28"/>
        </w:rPr>
        <w:t>建筑环境与能源应用专业适用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2127"/>
        <w:gridCol w:w="777"/>
        <w:gridCol w:w="2366"/>
        <w:gridCol w:w="2953"/>
      </w:tblGrid>
      <w:tr w:rsidR="009613B4" w:rsidTr="008C3907">
        <w:trPr>
          <w:cantSplit/>
          <w:trHeight w:val="661"/>
        </w:trPr>
        <w:tc>
          <w:tcPr>
            <w:tcW w:w="532"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序号</w:t>
            </w:r>
          </w:p>
        </w:tc>
        <w:tc>
          <w:tcPr>
            <w:tcW w:w="212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章  节</w:t>
            </w:r>
          </w:p>
        </w:tc>
        <w:tc>
          <w:tcPr>
            <w:tcW w:w="777" w:type="dxa"/>
            <w:vAlign w:val="center"/>
          </w:tcPr>
          <w:p w:rsidR="009613B4" w:rsidRDefault="009613B4" w:rsidP="008C3907">
            <w:pPr>
              <w:spacing w:beforeLines="50" w:before="156" w:afterLines="50" w:after="156"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参考学时</w:t>
            </w:r>
          </w:p>
        </w:tc>
        <w:tc>
          <w:tcPr>
            <w:tcW w:w="2366"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教学内容</w:t>
            </w:r>
          </w:p>
        </w:tc>
        <w:tc>
          <w:tcPr>
            <w:tcW w:w="2953" w:type="dxa"/>
            <w:vAlign w:val="center"/>
          </w:tcPr>
          <w:p w:rsidR="009613B4" w:rsidRDefault="009613B4" w:rsidP="008C3907">
            <w:pPr>
              <w:spacing w:line="360" w:lineRule="auto"/>
              <w:ind w:firstLineChars="400" w:firstLine="800"/>
              <w:rPr>
                <w:rFonts w:ascii="仿宋_GB2312" w:hAnsi="仿宋_GB2312" w:cs="仿宋_GB2312"/>
                <w:kern w:val="0"/>
                <w:sz w:val="20"/>
                <w:szCs w:val="20"/>
              </w:rPr>
            </w:pPr>
            <w:r>
              <w:rPr>
                <w:rFonts w:ascii="仿宋_GB2312" w:hAnsi="仿宋_GB2312" w:cs="仿宋_GB2312" w:hint="eastAsia"/>
                <w:kern w:val="0"/>
                <w:sz w:val="20"/>
                <w:szCs w:val="20"/>
              </w:rPr>
              <w:t>基本要求</w:t>
            </w:r>
          </w:p>
        </w:tc>
      </w:tr>
      <w:tr w:rsidR="009613B4" w:rsidTr="008C3907">
        <w:trPr>
          <w:trHeight w:hRule="exact" w:val="3212"/>
        </w:trPr>
        <w:tc>
          <w:tcPr>
            <w:tcW w:w="532"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1</w:t>
            </w:r>
          </w:p>
        </w:tc>
        <w:tc>
          <w:tcPr>
            <w:tcW w:w="212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第一章</w:t>
            </w:r>
          </w:p>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建筑给水系统</w:t>
            </w:r>
          </w:p>
        </w:tc>
        <w:tc>
          <w:tcPr>
            <w:tcW w:w="77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4</w:t>
            </w:r>
          </w:p>
        </w:tc>
        <w:tc>
          <w:tcPr>
            <w:tcW w:w="2366" w:type="dxa"/>
            <w:vAlign w:val="center"/>
          </w:tcPr>
          <w:p w:rsidR="009613B4" w:rsidRDefault="009613B4" w:rsidP="008C3907">
            <w:pPr>
              <w:jc w:val="left"/>
              <w:rPr>
                <w:rFonts w:ascii="仿宋_GB2312" w:hAnsi="仿宋_GB2312" w:cs="仿宋_GB2312"/>
                <w:kern w:val="0"/>
                <w:sz w:val="20"/>
                <w:szCs w:val="20"/>
              </w:rPr>
            </w:pPr>
            <w:r>
              <w:rPr>
                <w:rFonts w:ascii="仿宋_GB2312" w:hAnsi="仿宋_GB2312" w:cs="仿宋_GB2312" w:hint="eastAsia"/>
                <w:kern w:val="0"/>
                <w:sz w:val="20"/>
                <w:szCs w:val="20"/>
              </w:rPr>
              <w:t>建筑给水排水工程概述；给水系统的分类和组成；给水方式；给水管道的布置与敷设</w:t>
            </w:r>
          </w:p>
        </w:tc>
        <w:tc>
          <w:tcPr>
            <w:tcW w:w="2953" w:type="dxa"/>
            <w:vAlign w:val="center"/>
          </w:tcPr>
          <w:p w:rsidR="009613B4" w:rsidRDefault="009613B4" w:rsidP="008C3907">
            <w:pPr>
              <w:rPr>
                <w:rFonts w:ascii="仿宋_GB2312" w:hAnsi="仿宋_GB2312" w:cs="仿宋_GB2312"/>
                <w:kern w:val="0"/>
                <w:sz w:val="20"/>
                <w:szCs w:val="20"/>
              </w:rPr>
            </w:pPr>
            <w:r>
              <w:rPr>
                <w:rFonts w:ascii="仿宋_GB2312" w:hAnsi="仿宋_GB2312" w:cs="仿宋_GB2312" w:hint="eastAsia"/>
                <w:kern w:val="0"/>
                <w:sz w:val="20"/>
                <w:szCs w:val="20"/>
              </w:rPr>
              <w:t>掌握建筑给水系统一般组成；掌握建筑给水系统主要供水方式；初步具备给水系统平面及轴测图布置的能力。认识水在给排水工程领域的循环历程；认识建筑给排水工程在城镇建设中的重大作用；建筑给排水工程中如何节水、节能以及水质保证等是给排水工程师的责任和使命之一。</w:t>
            </w:r>
          </w:p>
          <w:p w:rsidR="009613B4" w:rsidRDefault="009613B4" w:rsidP="008C3907">
            <w:pPr>
              <w:rPr>
                <w:rFonts w:ascii="仿宋_GB2312" w:hAnsi="仿宋_GB2312" w:cs="仿宋_GB2312"/>
                <w:kern w:val="0"/>
                <w:sz w:val="20"/>
                <w:szCs w:val="20"/>
              </w:rPr>
            </w:pPr>
          </w:p>
          <w:p w:rsidR="009613B4" w:rsidRDefault="009613B4" w:rsidP="008C3907">
            <w:pPr>
              <w:spacing w:line="360" w:lineRule="auto"/>
              <w:jc w:val="center"/>
              <w:rPr>
                <w:rFonts w:ascii="仿宋_GB2312" w:hAnsi="仿宋_GB2312" w:cs="仿宋_GB2312"/>
                <w:kern w:val="0"/>
                <w:sz w:val="20"/>
                <w:szCs w:val="20"/>
              </w:rPr>
            </w:pPr>
          </w:p>
        </w:tc>
      </w:tr>
      <w:tr w:rsidR="009613B4" w:rsidTr="008C3907">
        <w:trPr>
          <w:trHeight w:hRule="exact" w:val="2805"/>
        </w:trPr>
        <w:tc>
          <w:tcPr>
            <w:tcW w:w="532"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2</w:t>
            </w:r>
          </w:p>
        </w:tc>
        <w:tc>
          <w:tcPr>
            <w:tcW w:w="212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第二章</w:t>
            </w:r>
          </w:p>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建筑内部给水系统的计算</w:t>
            </w:r>
          </w:p>
        </w:tc>
        <w:tc>
          <w:tcPr>
            <w:tcW w:w="77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6</w:t>
            </w:r>
          </w:p>
        </w:tc>
        <w:tc>
          <w:tcPr>
            <w:tcW w:w="2366" w:type="dxa"/>
            <w:vAlign w:val="center"/>
          </w:tcPr>
          <w:p w:rsidR="009613B4" w:rsidRDefault="009613B4" w:rsidP="008C3907">
            <w:pPr>
              <w:jc w:val="left"/>
              <w:rPr>
                <w:rFonts w:ascii="仿宋_GB2312" w:hAnsi="仿宋_GB2312" w:cs="仿宋_GB2312"/>
                <w:kern w:val="0"/>
                <w:sz w:val="20"/>
                <w:szCs w:val="20"/>
              </w:rPr>
            </w:pPr>
            <w:r>
              <w:rPr>
                <w:rFonts w:ascii="仿宋_GB2312" w:hAnsi="仿宋_GB2312" w:cs="仿宋_GB2312" w:hint="eastAsia"/>
                <w:kern w:val="0"/>
                <w:sz w:val="20"/>
                <w:szCs w:val="20"/>
              </w:rPr>
              <w:t>给水系统所需水压；给水系统所需水；给水管网的设计流量与水力计算量；</w:t>
            </w:r>
          </w:p>
          <w:p w:rsidR="009613B4" w:rsidRDefault="009613B4" w:rsidP="008C3907">
            <w:pPr>
              <w:jc w:val="left"/>
              <w:rPr>
                <w:rFonts w:ascii="仿宋_GB2312" w:hAnsi="仿宋_GB2312" w:cs="仿宋_GB2312"/>
                <w:kern w:val="0"/>
                <w:sz w:val="20"/>
                <w:szCs w:val="20"/>
              </w:rPr>
            </w:pPr>
            <w:r>
              <w:rPr>
                <w:rFonts w:ascii="仿宋_GB2312" w:hAnsi="仿宋_GB2312" w:cs="仿宋_GB2312" w:hint="eastAsia"/>
                <w:kern w:val="0"/>
                <w:sz w:val="20"/>
                <w:szCs w:val="20"/>
              </w:rPr>
              <w:t>增压和贮水设备；</w:t>
            </w:r>
          </w:p>
          <w:p w:rsidR="009613B4" w:rsidRDefault="009613B4" w:rsidP="008C3907">
            <w:pPr>
              <w:jc w:val="left"/>
              <w:rPr>
                <w:rFonts w:ascii="仿宋_GB2312" w:hAnsi="仿宋_GB2312" w:cs="仿宋_GB2312"/>
                <w:kern w:val="0"/>
                <w:sz w:val="20"/>
                <w:szCs w:val="20"/>
              </w:rPr>
            </w:pPr>
            <w:r>
              <w:rPr>
                <w:rFonts w:ascii="仿宋_GB2312" w:hAnsi="仿宋_GB2312" w:cs="仿宋_GB2312" w:hint="eastAsia"/>
                <w:kern w:val="0"/>
                <w:sz w:val="20"/>
                <w:szCs w:val="20"/>
              </w:rPr>
              <w:t>高层建筑给水系统</w:t>
            </w:r>
          </w:p>
        </w:tc>
        <w:tc>
          <w:tcPr>
            <w:tcW w:w="2953" w:type="dxa"/>
            <w:vAlign w:val="center"/>
          </w:tcPr>
          <w:p w:rsidR="009613B4" w:rsidRDefault="009613B4" w:rsidP="008C3907">
            <w:pPr>
              <w:jc w:val="center"/>
              <w:rPr>
                <w:rFonts w:ascii="仿宋_GB2312" w:hAnsi="仿宋_GB2312" w:cs="仿宋_GB2312"/>
                <w:kern w:val="0"/>
                <w:sz w:val="20"/>
                <w:szCs w:val="20"/>
              </w:rPr>
            </w:pPr>
            <w:r>
              <w:rPr>
                <w:rFonts w:ascii="仿宋_GB2312" w:hAnsi="仿宋_GB2312" w:cs="仿宋_GB2312" w:hint="eastAsia"/>
                <w:kern w:val="0"/>
                <w:sz w:val="20"/>
                <w:szCs w:val="20"/>
              </w:rPr>
              <w:t>掌握建筑给水系统不同供水工况下参数确定；具备熟练运用公式进行设计计算的能力；了解关于“建筑给水系统”有关规范手册条文；理解和掌握与水质安全、绿色建筑、可持续发展理念以及建设节约型社会等方面相关的政策，正确理解党的治国方针。</w:t>
            </w:r>
          </w:p>
          <w:p w:rsidR="009613B4" w:rsidRDefault="009613B4" w:rsidP="008C3907">
            <w:pPr>
              <w:jc w:val="center"/>
              <w:rPr>
                <w:rFonts w:ascii="仿宋_GB2312" w:hAnsi="仿宋_GB2312" w:cs="仿宋_GB2312"/>
                <w:kern w:val="0"/>
                <w:sz w:val="20"/>
                <w:szCs w:val="20"/>
              </w:rPr>
            </w:pPr>
          </w:p>
          <w:p w:rsidR="009613B4" w:rsidRDefault="009613B4" w:rsidP="008C3907">
            <w:pPr>
              <w:jc w:val="center"/>
              <w:rPr>
                <w:rFonts w:ascii="仿宋_GB2312" w:hAnsi="仿宋_GB2312" w:cs="仿宋_GB2312"/>
                <w:kern w:val="0"/>
                <w:sz w:val="20"/>
                <w:szCs w:val="20"/>
              </w:rPr>
            </w:pPr>
          </w:p>
        </w:tc>
      </w:tr>
      <w:tr w:rsidR="009613B4" w:rsidTr="008C3907">
        <w:trPr>
          <w:trHeight w:hRule="exact" w:val="2676"/>
        </w:trPr>
        <w:tc>
          <w:tcPr>
            <w:tcW w:w="532" w:type="dxa"/>
            <w:vAlign w:val="center"/>
          </w:tcPr>
          <w:p w:rsidR="009613B4" w:rsidRDefault="009613B4" w:rsidP="008C3907">
            <w:pPr>
              <w:spacing w:line="360" w:lineRule="auto"/>
              <w:jc w:val="center"/>
              <w:rPr>
                <w:rFonts w:ascii="仿宋_GB2312" w:hAnsi="仿宋_GB2312" w:cs="仿宋_GB2312"/>
                <w:kern w:val="0"/>
                <w:sz w:val="20"/>
                <w:szCs w:val="20"/>
              </w:rPr>
            </w:pPr>
          </w:p>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3</w:t>
            </w:r>
          </w:p>
        </w:tc>
        <w:tc>
          <w:tcPr>
            <w:tcW w:w="212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第三章</w:t>
            </w:r>
          </w:p>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建筑消防系统及计算</w:t>
            </w:r>
          </w:p>
        </w:tc>
        <w:tc>
          <w:tcPr>
            <w:tcW w:w="77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6</w:t>
            </w:r>
          </w:p>
        </w:tc>
        <w:tc>
          <w:tcPr>
            <w:tcW w:w="2366" w:type="dxa"/>
            <w:vAlign w:val="center"/>
          </w:tcPr>
          <w:p w:rsidR="009613B4" w:rsidRDefault="009613B4" w:rsidP="008C3907">
            <w:pPr>
              <w:jc w:val="center"/>
              <w:rPr>
                <w:rFonts w:ascii="仿宋_GB2312" w:hAnsi="仿宋_GB2312" w:cs="仿宋_GB2312"/>
                <w:kern w:val="0"/>
                <w:sz w:val="20"/>
                <w:szCs w:val="20"/>
              </w:rPr>
            </w:pPr>
            <w:r>
              <w:rPr>
                <w:rFonts w:ascii="仿宋_GB2312" w:hAnsi="仿宋_GB2312" w:cs="仿宋_GB2312" w:hint="eastAsia"/>
                <w:kern w:val="0"/>
                <w:sz w:val="20"/>
                <w:szCs w:val="20"/>
              </w:rPr>
              <w:t>消火栓给水系统及其设计计算；自动喷水灭火系统及其设计计算；高层建筑消防给水系统</w:t>
            </w:r>
          </w:p>
        </w:tc>
        <w:tc>
          <w:tcPr>
            <w:tcW w:w="2953" w:type="dxa"/>
            <w:vAlign w:val="center"/>
          </w:tcPr>
          <w:p w:rsidR="009613B4" w:rsidRDefault="009613B4" w:rsidP="008C3907">
            <w:pPr>
              <w:jc w:val="center"/>
              <w:rPr>
                <w:rFonts w:ascii="仿宋_GB2312" w:hAnsi="仿宋_GB2312" w:cs="仿宋_GB2312"/>
                <w:kern w:val="0"/>
                <w:sz w:val="20"/>
                <w:szCs w:val="20"/>
              </w:rPr>
            </w:pPr>
            <w:r>
              <w:rPr>
                <w:rFonts w:ascii="仿宋_GB2312" w:hAnsi="仿宋_GB2312" w:cs="仿宋_GB2312" w:hint="eastAsia"/>
                <w:kern w:val="0"/>
                <w:sz w:val="20"/>
                <w:szCs w:val="20"/>
              </w:rPr>
              <w:t>了解建筑灭火特点、建筑消防类别划分；掌握消火栓给水系统、自动喷水灭火系统工作原理、工作过程及组成；掌握消防水量确定；初步具备消防系统管网布置及设计、计算的能力；认识建筑消防工程关乎人民生命财产安全的重要性，基于工程设计职责，强化社会责任感;</w:t>
            </w:r>
          </w:p>
        </w:tc>
      </w:tr>
      <w:tr w:rsidR="009613B4" w:rsidTr="008C3907">
        <w:trPr>
          <w:trHeight w:hRule="exact" w:val="2296"/>
        </w:trPr>
        <w:tc>
          <w:tcPr>
            <w:tcW w:w="532"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lastRenderedPageBreak/>
              <w:t>4</w:t>
            </w:r>
          </w:p>
        </w:tc>
        <w:tc>
          <w:tcPr>
            <w:tcW w:w="212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第四章</w:t>
            </w:r>
          </w:p>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建筑内部排水系统</w:t>
            </w:r>
          </w:p>
        </w:tc>
        <w:tc>
          <w:tcPr>
            <w:tcW w:w="77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4</w:t>
            </w:r>
          </w:p>
        </w:tc>
        <w:tc>
          <w:tcPr>
            <w:tcW w:w="2366" w:type="dxa"/>
            <w:vAlign w:val="center"/>
          </w:tcPr>
          <w:p w:rsidR="009613B4" w:rsidRDefault="009613B4" w:rsidP="008C3907">
            <w:pPr>
              <w:jc w:val="left"/>
              <w:rPr>
                <w:rFonts w:ascii="仿宋_GB2312" w:hAnsi="仿宋_GB2312" w:cs="仿宋_GB2312"/>
                <w:kern w:val="0"/>
                <w:sz w:val="20"/>
                <w:szCs w:val="20"/>
              </w:rPr>
            </w:pPr>
            <w:r>
              <w:rPr>
                <w:rFonts w:ascii="仿宋_GB2312" w:hAnsi="仿宋_GB2312" w:cs="仿宋_GB2312" w:hint="eastAsia"/>
                <w:kern w:val="0"/>
                <w:sz w:val="20"/>
                <w:szCs w:val="20"/>
              </w:rPr>
              <w:t>建筑排水系统的分类及组成；排水管系中水气流动规律及与水力计算；排水管道的布置与敷设；污废水提升和局部处理</w:t>
            </w:r>
          </w:p>
        </w:tc>
        <w:tc>
          <w:tcPr>
            <w:tcW w:w="2953" w:type="dxa"/>
            <w:vAlign w:val="center"/>
          </w:tcPr>
          <w:p w:rsidR="009613B4" w:rsidRDefault="009613B4" w:rsidP="008C3907">
            <w:pPr>
              <w:jc w:val="left"/>
              <w:rPr>
                <w:rFonts w:ascii="仿宋_GB2312" w:hAnsi="仿宋_GB2312" w:cs="仿宋_GB2312"/>
                <w:kern w:val="0"/>
                <w:sz w:val="20"/>
                <w:szCs w:val="20"/>
              </w:rPr>
            </w:pPr>
            <w:r>
              <w:rPr>
                <w:rFonts w:ascii="仿宋_GB2312" w:hAnsi="仿宋_GB2312" w:cs="仿宋_GB2312" w:hint="eastAsia"/>
                <w:kern w:val="0"/>
                <w:sz w:val="20"/>
                <w:szCs w:val="20"/>
              </w:rPr>
              <w:t>掌握建筑排水系统水流流动特点、排水系统基本组成；掌握排水系统水气流动规律；掌握建筑底层单排特点；初步具备排水系统平面及轴测图布置的能力。</w:t>
            </w:r>
          </w:p>
        </w:tc>
      </w:tr>
      <w:tr w:rsidR="009613B4" w:rsidTr="008C3907">
        <w:trPr>
          <w:trHeight w:hRule="exact" w:val="1277"/>
        </w:trPr>
        <w:tc>
          <w:tcPr>
            <w:tcW w:w="532"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5</w:t>
            </w:r>
          </w:p>
        </w:tc>
        <w:tc>
          <w:tcPr>
            <w:tcW w:w="212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第五章</w:t>
            </w:r>
          </w:p>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建筑内部排水系统的计算</w:t>
            </w:r>
          </w:p>
        </w:tc>
        <w:tc>
          <w:tcPr>
            <w:tcW w:w="77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2</w:t>
            </w:r>
          </w:p>
        </w:tc>
        <w:tc>
          <w:tcPr>
            <w:tcW w:w="2366" w:type="dxa"/>
            <w:vAlign w:val="center"/>
          </w:tcPr>
          <w:p w:rsidR="009613B4" w:rsidRDefault="009613B4" w:rsidP="008C3907">
            <w:pPr>
              <w:jc w:val="left"/>
              <w:rPr>
                <w:rFonts w:ascii="仿宋_GB2312" w:hAnsi="仿宋_GB2312" w:cs="仿宋_GB2312"/>
                <w:kern w:val="0"/>
                <w:sz w:val="20"/>
                <w:szCs w:val="20"/>
              </w:rPr>
            </w:pPr>
            <w:r>
              <w:rPr>
                <w:rFonts w:ascii="仿宋_GB2312" w:hAnsi="仿宋_GB2312" w:cs="仿宋_GB2312" w:hint="eastAsia"/>
                <w:kern w:val="0"/>
                <w:sz w:val="20"/>
                <w:szCs w:val="20"/>
              </w:rPr>
              <w:t>排水定额和排水设计秒流量</w:t>
            </w:r>
          </w:p>
          <w:p w:rsidR="009613B4" w:rsidRDefault="009613B4" w:rsidP="008C3907">
            <w:pPr>
              <w:jc w:val="left"/>
              <w:rPr>
                <w:rFonts w:ascii="仿宋_GB2312" w:hAnsi="仿宋_GB2312" w:cs="仿宋_GB2312"/>
                <w:kern w:val="0"/>
                <w:sz w:val="20"/>
                <w:szCs w:val="20"/>
              </w:rPr>
            </w:pPr>
            <w:r>
              <w:rPr>
                <w:rFonts w:ascii="仿宋_GB2312" w:hAnsi="仿宋_GB2312" w:cs="仿宋_GB2312" w:hint="eastAsia"/>
                <w:kern w:val="0"/>
                <w:sz w:val="20"/>
                <w:szCs w:val="20"/>
              </w:rPr>
              <w:t>排水管网水力计算</w:t>
            </w:r>
          </w:p>
        </w:tc>
        <w:tc>
          <w:tcPr>
            <w:tcW w:w="2953"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具备熟练运用公式进行设计计算的能力</w:t>
            </w:r>
          </w:p>
        </w:tc>
      </w:tr>
      <w:tr w:rsidR="009613B4" w:rsidTr="008C3907">
        <w:trPr>
          <w:trHeight w:hRule="exact" w:val="1640"/>
        </w:trPr>
        <w:tc>
          <w:tcPr>
            <w:tcW w:w="532"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6</w:t>
            </w:r>
          </w:p>
        </w:tc>
        <w:tc>
          <w:tcPr>
            <w:tcW w:w="212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第六章</w:t>
            </w:r>
          </w:p>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建筑雨水排水系统</w:t>
            </w:r>
          </w:p>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（课外选学内容）</w:t>
            </w:r>
          </w:p>
        </w:tc>
        <w:tc>
          <w:tcPr>
            <w:tcW w:w="77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0</w:t>
            </w:r>
          </w:p>
        </w:tc>
        <w:tc>
          <w:tcPr>
            <w:tcW w:w="2366" w:type="dxa"/>
            <w:vAlign w:val="center"/>
          </w:tcPr>
          <w:p w:rsidR="009613B4" w:rsidRDefault="009613B4" w:rsidP="008C3907">
            <w:pPr>
              <w:jc w:val="left"/>
              <w:rPr>
                <w:rFonts w:ascii="仿宋_GB2312" w:hAnsi="仿宋_GB2312" w:cs="仿宋_GB2312"/>
                <w:kern w:val="0"/>
                <w:sz w:val="20"/>
                <w:szCs w:val="20"/>
              </w:rPr>
            </w:pPr>
            <w:r>
              <w:rPr>
                <w:rFonts w:ascii="仿宋_GB2312" w:hAnsi="仿宋_GB2312" w:cs="仿宋_GB2312" w:hint="eastAsia"/>
                <w:kern w:val="0"/>
                <w:sz w:val="20"/>
                <w:szCs w:val="20"/>
              </w:rPr>
              <w:t>建筑雨水排水系统；雨水内排水系统中的水气流动规律与水力计算</w:t>
            </w:r>
          </w:p>
        </w:tc>
        <w:tc>
          <w:tcPr>
            <w:tcW w:w="2953" w:type="dxa"/>
            <w:vAlign w:val="center"/>
          </w:tcPr>
          <w:p w:rsidR="009613B4" w:rsidRDefault="009613B4" w:rsidP="008C3907">
            <w:pPr>
              <w:jc w:val="center"/>
              <w:rPr>
                <w:rFonts w:ascii="仿宋_GB2312" w:hAnsi="仿宋_GB2312" w:cs="仿宋_GB2312"/>
                <w:kern w:val="0"/>
                <w:sz w:val="20"/>
                <w:szCs w:val="20"/>
              </w:rPr>
            </w:pPr>
            <w:r>
              <w:rPr>
                <w:rFonts w:ascii="仿宋_GB2312" w:hAnsi="仿宋_GB2312" w:cs="仿宋_GB2312" w:hint="eastAsia"/>
                <w:kern w:val="0"/>
                <w:sz w:val="20"/>
                <w:szCs w:val="20"/>
              </w:rPr>
              <w:t>掌握建筑屋面雨水排水系统基本组成、水流流动特点、排水系统设计流量确定；初步具备屋面雨水排水系统平面及轴测图布置的能力。</w:t>
            </w:r>
          </w:p>
        </w:tc>
      </w:tr>
      <w:tr w:rsidR="009613B4" w:rsidTr="008C3907">
        <w:trPr>
          <w:trHeight w:hRule="exact" w:val="2170"/>
        </w:trPr>
        <w:tc>
          <w:tcPr>
            <w:tcW w:w="532"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kern w:val="0"/>
                <w:sz w:val="20"/>
                <w:szCs w:val="20"/>
              </w:rPr>
              <w:t>7</w:t>
            </w:r>
          </w:p>
        </w:tc>
        <w:tc>
          <w:tcPr>
            <w:tcW w:w="2127" w:type="dxa"/>
            <w:vAlign w:val="center"/>
          </w:tcPr>
          <w:p w:rsidR="009613B4" w:rsidRDefault="009613B4" w:rsidP="008C3907">
            <w:pPr>
              <w:spacing w:line="360" w:lineRule="auto"/>
              <w:ind w:firstLineChars="300" w:firstLine="600"/>
              <w:rPr>
                <w:rFonts w:ascii="仿宋_GB2312" w:hAnsi="仿宋_GB2312" w:cs="仿宋_GB2312"/>
                <w:sz w:val="20"/>
                <w:szCs w:val="20"/>
              </w:rPr>
            </w:pPr>
            <w:r>
              <w:rPr>
                <w:rFonts w:ascii="仿宋_GB2312" w:hAnsi="仿宋_GB2312" w:cs="仿宋_GB2312" w:hint="eastAsia"/>
                <w:sz w:val="20"/>
                <w:szCs w:val="20"/>
              </w:rPr>
              <w:t>第十三章</w:t>
            </w:r>
          </w:p>
          <w:p w:rsidR="009613B4" w:rsidRDefault="009613B4" w:rsidP="008C3907">
            <w:pPr>
              <w:spacing w:line="360" w:lineRule="auto"/>
              <w:rPr>
                <w:rFonts w:ascii="仿宋_GB2312" w:hAnsi="仿宋_GB2312" w:cs="仿宋_GB2312"/>
                <w:kern w:val="0"/>
                <w:sz w:val="20"/>
                <w:szCs w:val="20"/>
              </w:rPr>
            </w:pPr>
            <w:r>
              <w:rPr>
                <w:rFonts w:ascii="仿宋_GB2312" w:hAnsi="仿宋_GB2312" w:cs="仿宋_GB2312" w:hint="eastAsia"/>
                <w:sz w:val="20"/>
                <w:szCs w:val="20"/>
              </w:rPr>
              <w:t>建筑给水排水设计程序、施工验收及运行管理</w:t>
            </w:r>
          </w:p>
        </w:tc>
        <w:tc>
          <w:tcPr>
            <w:tcW w:w="777" w:type="dxa"/>
            <w:vAlign w:val="center"/>
          </w:tcPr>
          <w:p w:rsidR="009613B4" w:rsidRDefault="009613B4" w:rsidP="008C3907">
            <w:pPr>
              <w:spacing w:line="360" w:lineRule="auto"/>
              <w:jc w:val="center"/>
              <w:rPr>
                <w:rFonts w:ascii="仿宋_GB2312" w:hAnsi="仿宋_GB2312" w:cs="仿宋_GB2312"/>
                <w:kern w:val="0"/>
                <w:sz w:val="20"/>
                <w:szCs w:val="20"/>
              </w:rPr>
            </w:pPr>
            <w:r>
              <w:rPr>
                <w:rFonts w:ascii="仿宋_GB2312" w:hAnsi="仿宋_GB2312" w:cs="仿宋_GB2312" w:hint="eastAsia"/>
                <w:sz w:val="20"/>
                <w:szCs w:val="20"/>
              </w:rPr>
              <w:t>2</w:t>
            </w:r>
          </w:p>
        </w:tc>
        <w:tc>
          <w:tcPr>
            <w:tcW w:w="2366" w:type="dxa"/>
            <w:vAlign w:val="center"/>
          </w:tcPr>
          <w:p w:rsidR="009613B4" w:rsidRDefault="009613B4" w:rsidP="008C3907">
            <w:pPr>
              <w:jc w:val="left"/>
              <w:rPr>
                <w:rFonts w:ascii="仿宋_GB2312" w:hAnsi="仿宋_GB2312" w:cs="仿宋_GB2312"/>
                <w:sz w:val="20"/>
                <w:szCs w:val="20"/>
              </w:rPr>
            </w:pPr>
            <w:r>
              <w:rPr>
                <w:rFonts w:ascii="仿宋_GB2312" w:hAnsi="仿宋_GB2312" w:cs="仿宋_GB2312" w:hint="eastAsia"/>
                <w:sz w:val="20"/>
                <w:szCs w:val="20"/>
              </w:rPr>
              <w:t>建筑给排水设计程序和图纸要求</w:t>
            </w:r>
          </w:p>
          <w:p w:rsidR="009613B4" w:rsidRDefault="009613B4" w:rsidP="008C3907">
            <w:pPr>
              <w:jc w:val="left"/>
              <w:rPr>
                <w:rFonts w:ascii="仿宋_GB2312" w:hAnsi="仿宋_GB2312" w:cs="仿宋_GB2312"/>
                <w:sz w:val="20"/>
                <w:szCs w:val="20"/>
              </w:rPr>
            </w:pPr>
            <w:r>
              <w:rPr>
                <w:rFonts w:ascii="仿宋_GB2312" w:hAnsi="仿宋_GB2312" w:cs="仿宋_GB2312" w:hint="eastAsia"/>
                <w:sz w:val="20"/>
                <w:szCs w:val="20"/>
              </w:rPr>
              <w:t>建筑给排水工程竣工验收</w:t>
            </w:r>
          </w:p>
          <w:p w:rsidR="009613B4" w:rsidRDefault="009613B4" w:rsidP="008C3907">
            <w:pPr>
              <w:jc w:val="left"/>
              <w:rPr>
                <w:rFonts w:ascii="仿宋_GB2312" w:hAnsi="仿宋_GB2312" w:cs="仿宋_GB2312"/>
                <w:kern w:val="0"/>
                <w:sz w:val="20"/>
                <w:szCs w:val="20"/>
              </w:rPr>
            </w:pPr>
            <w:r>
              <w:rPr>
                <w:rFonts w:ascii="仿宋_GB2312" w:hAnsi="仿宋_GB2312" w:cs="仿宋_GB2312" w:hint="eastAsia"/>
                <w:sz w:val="20"/>
                <w:szCs w:val="20"/>
              </w:rPr>
              <w:t>建筑给排水设备的运行管理</w:t>
            </w:r>
          </w:p>
        </w:tc>
        <w:tc>
          <w:tcPr>
            <w:tcW w:w="2953" w:type="dxa"/>
            <w:vAlign w:val="center"/>
          </w:tcPr>
          <w:p w:rsidR="009613B4" w:rsidRDefault="009613B4" w:rsidP="008C3907">
            <w:pPr>
              <w:jc w:val="left"/>
              <w:rPr>
                <w:rFonts w:ascii="仿宋_GB2312" w:hAnsi="仿宋_GB2312" w:cs="仿宋_GB2312"/>
                <w:sz w:val="20"/>
                <w:szCs w:val="20"/>
              </w:rPr>
            </w:pPr>
            <w:r>
              <w:rPr>
                <w:rFonts w:ascii="仿宋_GB2312" w:hAnsi="仿宋_GB2312" w:cs="仿宋_GB2312" w:hint="eastAsia"/>
                <w:sz w:val="20"/>
                <w:szCs w:val="20"/>
              </w:rPr>
              <w:t>了解建筑给排水工程竣工验收基本流程及了解基本设计过程。</w:t>
            </w:r>
          </w:p>
          <w:p w:rsidR="009613B4" w:rsidRDefault="009613B4" w:rsidP="008C3907">
            <w:pPr>
              <w:spacing w:line="360" w:lineRule="auto"/>
              <w:jc w:val="center"/>
              <w:rPr>
                <w:rFonts w:ascii="仿宋_GB2312" w:hAnsi="仿宋_GB2312" w:cs="仿宋_GB2312"/>
                <w:kern w:val="0"/>
                <w:sz w:val="20"/>
                <w:szCs w:val="20"/>
              </w:rPr>
            </w:pPr>
          </w:p>
        </w:tc>
      </w:tr>
    </w:tbl>
    <w:p w:rsidR="009613B4" w:rsidRDefault="009613B4" w:rsidP="009613B4">
      <w:pPr>
        <w:snapToGrid w:val="0"/>
        <w:spacing w:line="560" w:lineRule="exact"/>
        <w:rPr>
          <w:rFonts w:ascii="黑体" w:hAnsi="黑体" w:cs="黑体"/>
          <w:b/>
          <w:szCs w:val="28"/>
        </w:rPr>
      </w:pPr>
      <w:r>
        <w:rPr>
          <w:rFonts w:ascii="仿宋_GB2312" w:hAnsi="仿宋_GB2312" w:cs="仿宋_GB2312" w:hint="eastAsia"/>
          <w:szCs w:val="28"/>
        </w:rPr>
        <w:t>工程造价</w:t>
      </w:r>
      <w:r>
        <w:rPr>
          <w:rFonts w:ascii="仿宋_GB2312" w:hAnsi="仿宋_GB2312" w:cs="仿宋_GB2312" w:hint="eastAsia"/>
          <w:bCs/>
          <w:szCs w:val="28"/>
        </w:rPr>
        <w:t>专业适用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2127"/>
        <w:gridCol w:w="777"/>
        <w:gridCol w:w="2366"/>
        <w:gridCol w:w="2953"/>
      </w:tblGrid>
      <w:tr w:rsidR="009613B4" w:rsidTr="008C3907">
        <w:trPr>
          <w:cantSplit/>
          <w:trHeight w:val="661"/>
        </w:trPr>
        <w:tc>
          <w:tcPr>
            <w:tcW w:w="532"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序号</w:t>
            </w:r>
          </w:p>
        </w:tc>
        <w:tc>
          <w:tcPr>
            <w:tcW w:w="212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77" w:type="dxa"/>
            <w:vAlign w:val="center"/>
          </w:tcPr>
          <w:p w:rsidR="009613B4" w:rsidRDefault="009613B4" w:rsidP="008C3907">
            <w:pPr>
              <w:spacing w:beforeLines="50" w:before="156" w:afterLines="50" w:after="156" w:line="360" w:lineRule="auto"/>
              <w:jc w:val="center"/>
              <w:rPr>
                <w:rFonts w:ascii="Times New Roman" w:hAnsi="Times New Roman"/>
                <w:kern w:val="0"/>
                <w:sz w:val="20"/>
                <w:szCs w:val="20"/>
              </w:rPr>
            </w:pPr>
            <w:r>
              <w:rPr>
                <w:rFonts w:ascii="Times New Roman" w:hAnsi="Times New Roman" w:hint="eastAsia"/>
                <w:kern w:val="0"/>
                <w:sz w:val="20"/>
                <w:szCs w:val="20"/>
              </w:rPr>
              <w:t>参考学时</w:t>
            </w:r>
          </w:p>
        </w:tc>
        <w:tc>
          <w:tcPr>
            <w:tcW w:w="2366"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教学内容</w:t>
            </w:r>
          </w:p>
        </w:tc>
        <w:tc>
          <w:tcPr>
            <w:tcW w:w="2953" w:type="dxa"/>
            <w:vAlign w:val="center"/>
          </w:tcPr>
          <w:p w:rsidR="009613B4" w:rsidRDefault="009613B4" w:rsidP="008C3907">
            <w:pPr>
              <w:spacing w:line="360" w:lineRule="auto"/>
              <w:ind w:firstLineChars="400" w:firstLine="800"/>
              <w:rPr>
                <w:rFonts w:ascii="Times New Roman" w:hAnsi="Times New Roman"/>
                <w:kern w:val="0"/>
                <w:sz w:val="20"/>
                <w:szCs w:val="20"/>
              </w:rPr>
            </w:pPr>
            <w:r>
              <w:rPr>
                <w:rFonts w:ascii="Times New Roman" w:hAnsi="Times New Roman" w:hint="eastAsia"/>
                <w:kern w:val="0"/>
                <w:sz w:val="20"/>
                <w:szCs w:val="20"/>
              </w:rPr>
              <w:t>基本要求</w:t>
            </w:r>
          </w:p>
        </w:tc>
      </w:tr>
      <w:tr w:rsidR="009613B4" w:rsidTr="008C3907">
        <w:trPr>
          <w:trHeight w:hRule="exact" w:val="3212"/>
        </w:trPr>
        <w:tc>
          <w:tcPr>
            <w:tcW w:w="532"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1</w:t>
            </w:r>
          </w:p>
        </w:tc>
        <w:tc>
          <w:tcPr>
            <w:tcW w:w="212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第一章</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建筑给水系统</w:t>
            </w:r>
          </w:p>
        </w:tc>
        <w:tc>
          <w:tcPr>
            <w:tcW w:w="77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2</w:t>
            </w:r>
          </w:p>
        </w:tc>
        <w:tc>
          <w:tcPr>
            <w:tcW w:w="2366"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建筑给水排水工程概述；给水系统的分类和组成；给水方式；给水管道的布置与敷设</w:t>
            </w:r>
          </w:p>
        </w:tc>
        <w:tc>
          <w:tcPr>
            <w:tcW w:w="2953"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掌握建筑给水系统一般组成；掌握建筑给水系统主要供水方式；初步具备给水系统平面及轴测图布置的能力。认识水在给排水工程领域的循环历程；认识建筑给排水工程在城镇建设中的重大作用；建筑给排水工程中如何节水、节能以及水质保证等是给排水工程师的责任和使命之一。</w:t>
            </w:r>
          </w:p>
        </w:tc>
      </w:tr>
      <w:tr w:rsidR="009613B4" w:rsidTr="008C3907">
        <w:trPr>
          <w:trHeight w:hRule="exact" w:val="3068"/>
        </w:trPr>
        <w:tc>
          <w:tcPr>
            <w:tcW w:w="532"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lastRenderedPageBreak/>
              <w:t>2</w:t>
            </w:r>
          </w:p>
        </w:tc>
        <w:tc>
          <w:tcPr>
            <w:tcW w:w="212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第二章</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建筑内部给水系统的计算</w:t>
            </w:r>
          </w:p>
        </w:tc>
        <w:tc>
          <w:tcPr>
            <w:tcW w:w="77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4</w:t>
            </w:r>
          </w:p>
        </w:tc>
        <w:tc>
          <w:tcPr>
            <w:tcW w:w="2366"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给水系统所需水压；给水系统所需水；给水管网的设计流量与水力计算量；</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增压和贮水设备；</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高层建筑给水系统</w:t>
            </w:r>
          </w:p>
        </w:tc>
        <w:tc>
          <w:tcPr>
            <w:tcW w:w="2953"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掌握建筑给水系统不同供水工况下参数确定；具备熟练运用公式进行设计计算的能力；了解关于“建筑给水系统”有关规范手册条文；理解和掌握与水质安全、绿色建筑、可持续发展理念以及建设节约型社会等方面相关的政策，正确理解党的治国方针。</w:t>
            </w:r>
          </w:p>
          <w:p w:rsidR="009613B4" w:rsidRDefault="009613B4" w:rsidP="008C3907">
            <w:pPr>
              <w:jc w:val="center"/>
              <w:rPr>
                <w:rFonts w:ascii="Times New Roman" w:hAnsi="Times New Roman"/>
                <w:kern w:val="0"/>
                <w:sz w:val="20"/>
                <w:szCs w:val="20"/>
              </w:rPr>
            </w:pPr>
          </w:p>
          <w:p w:rsidR="009613B4" w:rsidRDefault="009613B4" w:rsidP="008C3907">
            <w:pPr>
              <w:jc w:val="center"/>
              <w:rPr>
                <w:rFonts w:ascii="Times New Roman" w:hAnsi="Times New Roman"/>
                <w:kern w:val="0"/>
                <w:sz w:val="20"/>
                <w:szCs w:val="20"/>
              </w:rPr>
            </w:pPr>
          </w:p>
        </w:tc>
      </w:tr>
      <w:tr w:rsidR="009613B4" w:rsidTr="008C3907">
        <w:trPr>
          <w:trHeight w:hRule="exact" w:val="3268"/>
        </w:trPr>
        <w:tc>
          <w:tcPr>
            <w:tcW w:w="532" w:type="dxa"/>
            <w:vAlign w:val="center"/>
          </w:tcPr>
          <w:p w:rsidR="009613B4" w:rsidRDefault="009613B4" w:rsidP="008C3907">
            <w:pPr>
              <w:spacing w:line="360" w:lineRule="auto"/>
              <w:jc w:val="center"/>
              <w:rPr>
                <w:rFonts w:ascii="Times New Roman" w:hAnsi="Times New Roman"/>
                <w:kern w:val="0"/>
                <w:sz w:val="20"/>
                <w:szCs w:val="20"/>
              </w:rPr>
            </w:pP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3</w:t>
            </w:r>
          </w:p>
        </w:tc>
        <w:tc>
          <w:tcPr>
            <w:tcW w:w="212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第三章</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建筑消防系统及计算</w:t>
            </w:r>
          </w:p>
        </w:tc>
        <w:tc>
          <w:tcPr>
            <w:tcW w:w="77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6</w:t>
            </w:r>
          </w:p>
        </w:tc>
        <w:tc>
          <w:tcPr>
            <w:tcW w:w="2366"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消火栓给水系统及其设计计算；自动喷水灭火系统及其设计计算；高层建筑消防给水系统</w:t>
            </w:r>
          </w:p>
        </w:tc>
        <w:tc>
          <w:tcPr>
            <w:tcW w:w="2953"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了解建筑灭火特点、建筑消防类别划分；掌握消火栓给水系统、自动喷水灭火系统工作原理、工作过程及组成；掌握消防水量确定；初步具备消防系统管网布置及设计、计算的能力；认识建筑消防工程关乎人民生命财产安全的重要性，基于工程设计职责，强化社会责任感；</w:t>
            </w:r>
          </w:p>
        </w:tc>
      </w:tr>
      <w:tr w:rsidR="009613B4" w:rsidTr="008C3907">
        <w:trPr>
          <w:trHeight w:hRule="exact" w:val="1853"/>
        </w:trPr>
        <w:tc>
          <w:tcPr>
            <w:tcW w:w="532"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4</w:t>
            </w:r>
          </w:p>
        </w:tc>
        <w:tc>
          <w:tcPr>
            <w:tcW w:w="212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第四章</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建筑内部排水系统</w:t>
            </w:r>
          </w:p>
        </w:tc>
        <w:tc>
          <w:tcPr>
            <w:tcW w:w="77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4</w:t>
            </w:r>
          </w:p>
        </w:tc>
        <w:tc>
          <w:tcPr>
            <w:tcW w:w="2366"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建筑排水系统的分类及组成；排水管系中水气流动规律及与水力计算；排水管道的布置与敷设；污废水提升和局部处理</w:t>
            </w:r>
          </w:p>
        </w:tc>
        <w:tc>
          <w:tcPr>
            <w:tcW w:w="2953"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掌握建筑排水系统水流流动特点、排水系统基本组成；掌握排水系统水气流动规律；掌握建筑底层单排特点；初步具备排水系统平面及轴测图布置的能力。</w:t>
            </w:r>
          </w:p>
        </w:tc>
      </w:tr>
      <w:tr w:rsidR="009613B4" w:rsidTr="008C3907">
        <w:trPr>
          <w:trHeight w:hRule="exact" w:val="1425"/>
        </w:trPr>
        <w:tc>
          <w:tcPr>
            <w:tcW w:w="532"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5</w:t>
            </w:r>
          </w:p>
        </w:tc>
        <w:tc>
          <w:tcPr>
            <w:tcW w:w="212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第五章</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建筑内部排水系统的计算</w:t>
            </w:r>
          </w:p>
        </w:tc>
        <w:tc>
          <w:tcPr>
            <w:tcW w:w="77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1</w:t>
            </w:r>
          </w:p>
        </w:tc>
        <w:tc>
          <w:tcPr>
            <w:tcW w:w="2366"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排水定额和排水设计秒流量</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排水管网水力计算</w:t>
            </w:r>
          </w:p>
        </w:tc>
        <w:tc>
          <w:tcPr>
            <w:tcW w:w="2953" w:type="dxa"/>
            <w:vAlign w:val="center"/>
          </w:tcPr>
          <w:p w:rsidR="009613B4" w:rsidRDefault="009613B4" w:rsidP="008C3907">
            <w:pPr>
              <w:spacing w:line="360" w:lineRule="auto"/>
              <w:jc w:val="left"/>
              <w:rPr>
                <w:rFonts w:ascii="Times New Roman" w:hAnsi="Times New Roman"/>
                <w:kern w:val="0"/>
                <w:sz w:val="20"/>
                <w:szCs w:val="20"/>
              </w:rPr>
            </w:pPr>
            <w:r>
              <w:rPr>
                <w:rFonts w:ascii="Times New Roman" w:hAnsi="Times New Roman" w:hint="eastAsia"/>
                <w:kern w:val="0"/>
                <w:sz w:val="20"/>
                <w:szCs w:val="20"/>
              </w:rPr>
              <w:t>具备熟练运用公式进行设计计算的能力。</w:t>
            </w:r>
          </w:p>
        </w:tc>
      </w:tr>
      <w:tr w:rsidR="009613B4" w:rsidTr="008C3907">
        <w:trPr>
          <w:trHeight w:hRule="exact" w:val="1640"/>
        </w:trPr>
        <w:tc>
          <w:tcPr>
            <w:tcW w:w="532"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6</w:t>
            </w:r>
          </w:p>
        </w:tc>
        <w:tc>
          <w:tcPr>
            <w:tcW w:w="212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第六章</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建筑雨水排水系统</w:t>
            </w:r>
          </w:p>
        </w:tc>
        <w:tc>
          <w:tcPr>
            <w:tcW w:w="77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1</w:t>
            </w:r>
          </w:p>
        </w:tc>
        <w:tc>
          <w:tcPr>
            <w:tcW w:w="2366"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建筑雨水排水系统；雨水内排水系统中的水气流动规律与水力计算</w:t>
            </w:r>
          </w:p>
        </w:tc>
        <w:tc>
          <w:tcPr>
            <w:tcW w:w="2953"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掌握建筑屋面雨水排水系统基本组成、水流流动特点、排水系统设计流量确定；初步具备屋面雨水排水系统平面及轴测图布置的能力。</w:t>
            </w:r>
          </w:p>
        </w:tc>
      </w:tr>
      <w:tr w:rsidR="009613B4" w:rsidTr="008C3907">
        <w:trPr>
          <w:trHeight w:hRule="exact" w:val="2745"/>
        </w:trPr>
        <w:tc>
          <w:tcPr>
            <w:tcW w:w="532"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lastRenderedPageBreak/>
              <w:t>7</w:t>
            </w:r>
          </w:p>
        </w:tc>
        <w:tc>
          <w:tcPr>
            <w:tcW w:w="212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第七、八章</w:t>
            </w:r>
          </w:p>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建筑热水供应系统及计算</w:t>
            </w:r>
          </w:p>
        </w:tc>
        <w:tc>
          <w:tcPr>
            <w:tcW w:w="777" w:type="dxa"/>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kern w:val="0"/>
                <w:sz w:val="20"/>
                <w:szCs w:val="20"/>
              </w:rPr>
              <w:t>6</w:t>
            </w:r>
          </w:p>
        </w:tc>
        <w:tc>
          <w:tcPr>
            <w:tcW w:w="2366"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热水供应系统的分类、组成及供水方式；热水供应系统的热源、加热设备和贮热设备；耗热量、热水量和热媒耗量的计算；热水管网的水力计算；</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高层建筑热水供应系统</w:t>
            </w:r>
          </w:p>
        </w:tc>
        <w:tc>
          <w:tcPr>
            <w:tcW w:w="2953"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认识建筑热水系统热源；掌握第一、第二循环系统组成、工作原理；主要换热设备及其特点；掌握建筑热水系统耗热量、热水量和热媒耗量的计算与之间的关系；初步具备热水给水系统平面、轴测图布置及管网水力计算的能力。</w:t>
            </w:r>
          </w:p>
        </w:tc>
      </w:tr>
    </w:tbl>
    <w:p w:rsidR="009613B4" w:rsidRPr="008B4EA8" w:rsidRDefault="009613B4" w:rsidP="009613B4">
      <w:pPr>
        <w:spacing w:beforeLines="50" w:before="156" w:afterLines="50" w:after="156" w:line="560" w:lineRule="exact"/>
        <w:rPr>
          <w:rFonts w:ascii="黑体" w:eastAsia="黑体" w:hAnsi="黑体"/>
          <w:b/>
          <w:sz w:val="28"/>
          <w:szCs w:val="28"/>
        </w:rPr>
      </w:pPr>
      <w:r w:rsidRPr="008B4EA8">
        <w:rPr>
          <w:rFonts w:ascii="黑体" w:eastAsia="黑体" w:hAnsi="黑体" w:hint="eastAsia"/>
          <w:b/>
          <w:sz w:val="28"/>
          <w:szCs w:val="28"/>
        </w:rPr>
        <w:t>五、课程考核方式与成绩评定</w:t>
      </w:r>
    </w:p>
    <w:p w:rsidR="009613B4" w:rsidRPr="008B4EA8" w:rsidRDefault="009613B4" w:rsidP="009613B4">
      <w:pPr>
        <w:spacing w:line="560" w:lineRule="exact"/>
        <w:ind w:firstLineChars="200" w:firstLine="560"/>
        <w:rPr>
          <w:rFonts w:ascii="仿宋_GB2312" w:hAnsi="仿宋_GB2312" w:cs="仿宋_GB2312"/>
          <w:sz w:val="28"/>
          <w:szCs w:val="28"/>
        </w:rPr>
      </w:pPr>
      <w:r w:rsidRPr="008B4EA8">
        <w:rPr>
          <w:rFonts w:ascii="仿宋_GB2312" w:hAnsi="仿宋_GB2312" w:cs="仿宋_GB2312" w:hint="eastAsia"/>
          <w:sz w:val="28"/>
          <w:szCs w:val="28"/>
        </w:rPr>
        <w:t>1. 课程考核</w:t>
      </w:r>
    </w:p>
    <w:p w:rsidR="009613B4" w:rsidRPr="008B4EA8" w:rsidRDefault="009613B4" w:rsidP="009613B4">
      <w:pPr>
        <w:spacing w:line="560" w:lineRule="exact"/>
        <w:ind w:firstLineChars="200" w:firstLine="560"/>
        <w:rPr>
          <w:rFonts w:ascii="仿宋_GB2312" w:hAnsi="仿宋_GB2312" w:cs="仿宋_GB2312"/>
          <w:sz w:val="28"/>
          <w:szCs w:val="28"/>
        </w:rPr>
      </w:pPr>
      <w:r w:rsidRPr="008B4EA8">
        <w:rPr>
          <w:rFonts w:ascii="仿宋_GB2312" w:hAnsi="仿宋_GB2312" w:cs="仿宋_GB2312" w:hint="eastAsia"/>
          <w:sz w:val="28"/>
          <w:szCs w:val="28"/>
        </w:rPr>
        <w:t>本课程考核方式</w:t>
      </w:r>
      <w:r w:rsidRPr="008B4EA8">
        <w:rPr>
          <w:rFonts w:ascii="仿宋_GB2312" w:hAnsi="仿宋_GB2312" w:cs="仿宋_GB2312"/>
          <w:sz w:val="28"/>
          <w:szCs w:val="28"/>
        </w:rPr>
        <w:t>为考查</w:t>
      </w:r>
      <w:r w:rsidRPr="008B4EA8">
        <w:rPr>
          <w:rFonts w:ascii="仿宋_GB2312" w:hAnsi="仿宋_GB2312" w:cs="仿宋_GB2312" w:hint="eastAsia"/>
          <w:sz w:val="28"/>
          <w:szCs w:val="28"/>
        </w:rPr>
        <w:t>。</w:t>
      </w:r>
    </w:p>
    <w:p w:rsidR="009613B4" w:rsidRPr="008B4EA8" w:rsidRDefault="009613B4" w:rsidP="005F6318">
      <w:pPr>
        <w:numPr>
          <w:ilvl w:val="0"/>
          <w:numId w:val="2"/>
        </w:numPr>
        <w:spacing w:line="560" w:lineRule="exact"/>
        <w:ind w:firstLineChars="200" w:firstLine="560"/>
        <w:rPr>
          <w:rFonts w:ascii="仿宋_GB2312" w:hAnsi="仿宋_GB2312" w:cs="仿宋_GB2312"/>
          <w:sz w:val="28"/>
          <w:szCs w:val="28"/>
        </w:rPr>
      </w:pPr>
      <w:r w:rsidRPr="008B4EA8">
        <w:rPr>
          <w:rFonts w:ascii="仿宋_GB2312" w:hAnsi="仿宋_GB2312" w:cs="仿宋_GB2312" w:hint="eastAsia"/>
          <w:sz w:val="28"/>
          <w:szCs w:val="28"/>
        </w:rPr>
        <w:t>成绩评定</w:t>
      </w:r>
    </w:p>
    <w:p w:rsidR="009613B4" w:rsidRPr="008B4EA8" w:rsidRDefault="009613B4" w:rsidP="009613B4">
      <w:pPr>
        <w:spacing w:line="560" w:lineRule="exact"/>
        <w:ind w:left="560"/>
        <w:rPr>
          <w:rFonts w:ascii="仿宋_GB2312" w:hAnsi="仿宋_GB2312" w:cs="仿宋_GB2312"/>
          <w:sz w:val="28"/>
          <w:szCs w:val="28"/>
        </w:rPr>
      </w:pPr>
      <w:r w:rsidRPr="008B4EA8">
        <w:rPr>
          <w:rFonts w:ascii="仿宋_GB2312" w:hAnsi="仿宋_GB2312" w:cs="仿宋_GB2312" w:hint="eastAsia"/>
          <w:sz w:val="28"/>
          <w:szCs w:val="28"/>
        </w:rPr>
        <w:t>成绩评定方式</w:t>
      </w:r>
      <w:r w:rsidRPr="008B4EA8">
        <w:rPr>
          <w:rFonts w:ascii="仿宋_GB2312" w:hAnsi="仿宋_GB2312" w:cs="仿宋_GB2312"/>
          <w:sz w:val="28"/>
          <w:szCs w:val="28"/>
        </w:rPr>
        <w:t>采用百分</w:t>
      </w:r>
      <w:r w:rsidRPr="008B4EA8">
        <w:rPr>
          <w:rFonts w:ascii="仿宋_GB2312" w:hAnsi="仿宋_GB2312" w:cs="仿宋_GB2312" w:hint="eastAsia"/>
          <w:sz w:val="28"/>
          <w:szCs w:val="28"/>
        </w:rPr>
        <w:t>制</w:t>
      </w:r>
      <w:r w:rsidRPr="008B4EA8">
        <w:rPr>
          <w:rFonts w:ascii="仿宋_GB2312" w:hAnsi="仿宋_GB2312" w:cs="仿宋_GB2312"/>
          <w:sz w:val="28"/>
          <w:szCs w:val="28"/>
        </w:rPr>
        <w:t>。</w:t>
      </w:r>
    </w:p>
    <w:p w:rsidR="009613B4" w:rsidRPr="008B4EA8" w:rsidRDefault="009613B4" w:rsidP="009613B4">
      <w:pPr>
        <w:pStyle w:val="a3"/>
        <w:spacing w:line="560" w:lineRule="exact"/>
        <w:ind w:firstLine="560"/>
        <w:rPr>
          <w:rFonts w:ascii="仿宋_GB2312" w:eastAsia="仿宋_GB2312" w:hAnsi="仿宋_GB2312" w:cs="仿宋_GB2312"/>
          <w:sz w:val="28"/>
          <w:szCs w:val="28"/>
        </w:rPr>
      </w:pPr>
      <w:r w:rsidRPr="008B4EA8">
        <w:rPr>
          <w:rFonts w:ascii="仿宋_GB2312" w:eastAsia="仿宋_GB2312" w:hAnsi="仿宋_GB2312" w:cs="仿宋_GB2312" w:hint="eastAsia"/>
          <w:sz w:val="28"/>
          <w:szCs w:val="28"/>
        </w:rPr>
        <w:t>本课程不设课外学时，针对难点和重点，通过每章节布置一定数量思考题和习题训练，使学生加深对所学知识的理解和掌握。</w:t>
      </w:r>
      <w:r w:rsidRPr="008B4EA8">
        <w:rPr>
          <w:rFonts w:ascii="仿宋_GB2312" w:eastAsia="仿宋_GB2312" w:hAnsi="仿宋_GB2312" w:cs="仿宋_GB2312"/>
          <w:sz w:val="28"/>
          <w:szCs w:val="28"/>
        </w:rPr>
        <w:t>采用期末成绩</w:t>
      </w:r>
      <w:r w:rsidRPr="008B4EA8">
        <w:rPr>
          <w:rFonts w:ascii="仿宋_GB2312" w:eastAsia="仿宋_GB2312" w:hAnsi="仿宋_GB2312" w:cs="仿宋_GB2312" w:hint="eastAsia"/>
          <w:sz w:val="28"/>
          <w:szCs w:val="28"/>
        </w:rPr>
        <w:t>+平时</w:t>
      </w:r>
      <w:r w:rsidRPr="008B4EA8">
        <w:rPr>
          <w:rFonts w:ascii="仿宋_GB2312" w:eastAsia="仿宋_GB2312" w:hAnsi="仿宋_GB2312" w:cs="仿宋_GB2312"/>
          <w:sz w:val="28"/>
          <w:szCs w:val="28"/>
        </w:rPr>
        <w:t>成绩确定课程总成绩，</w:t>
      </w:r>
      <w:r w:rsidRPr="008B4EA8">
        <w:rPr>
          <w:rFonts w:ascii="仿宋_GB2312" w:eastAsia="仿宋_GB2312" w:hAnsi="仿宋_GB2312" w:cs="仿宋_GB2312" w:hint="eastAsia"/>
          <w:sz w:val="28"/>
          <w:szCs w:val="28"/>
        </w:rPr>
        <w:t>其中平时成绩主要包括考勤、作业和讨论等环节，期末考试采取考试方式。期末考试成绩占8</w:t>
      </w:r>
      <w:r w:rsidRPr="008B4EA8">
        <w:rPr>
          <w:rFonts w:ascii="仿宋_GB2312" w:eastAsia="仿宋_GB2312" w:hAnsi="仿宋_GB2312" w:cs="仿宋_GB2312"/>
          <w:sz w:val="28"/>
          <w:szCs w:val="28"/>
        </w:rPr>
        <w:t>0</w:t>
      </w:r>
      <w:r w:rsidRPr="008B4EA8">
        <w:rPr>
          <w:rFonts w:ascii="仿宋_GB2312" w:eastAsia="仿宋_GB2312" w:hAnsi="仿宋_GB2312" w:cs="仿宋_GB2312" w:hint="eastAsia"/>
          <w:sz w:val="28"/>
          <w:szCs w:val="28"/>
        </w:rPr>
        <w:t>%</w:t>
      </w:r>
      <w:r w:rsidRPr="008B4EA8">
        <w:rPr>
          <w:rFonts w:ascii="仿宋" w:eastAsia="仿宋" w:hAnsi="仿宋" w:cs="仿宋_GB2312" w:hint="eastAsia"/>
          <w:sz w:val="28"/>
          <w:szCs w:val="28"/>
        </w:rPr>
        <w:t>～</w:t>
      </w:r>
      <w:r w:rsidRPr="008B4EA8">
        <w:rPr>
          <w:rFonts w:ascii="仿宋_GB2312" w:eastAsia="仿宋_GB2312" w:hAnsi="仿宋_GB2312" w:cs="仿宋_GB2312" w:hint="eastAsia"/>
          <w:sz w:val="28"/>
          <w:szCs w:val="28"/>
        </w:rPr>
        <w:t>70%，平时成绩占20%</w:t>
      </w:r>
      <w:r w:rsidRPr="008B4EA8">
        <w:rPr>
          <w:rFonts w:ascii="仿宋" w:eastAsia="仿宋" w:hAnsi="仿宋" w:cs="仿宋_GB2312" w:hint="eastAsia"/>
          <w:sz w:val="28"/>
          <w:szCs w:val="28"/>
        </w:rPr>
        <w:t>～</w:t>
      </w:r>
      <w:r w:rsidRPr="008B4EA8">
        <w:rPr>
          <w:rFonts w:ascii="仿宋_GB2312" w:eastAsia="仿宋_GB2312" w:hAnsi="仿宋_GB2312" w:cs="仿宋_GB2312"/>
          <w:sz w:val="28"/>
          <w:szCs w:val="28"/>
        </w:rPr>
        <w:t>30%</w:t>
      </w:r>
      <w:r w:rsidRPr="008B4EA8">
        <w:rPr>
          <w:rFonts w:ascii="仿宋_GB2312" w:eastAsia="仿宋_GB2312" w:hAnsi="仿宋_GB2312" w:cs="仿宋_GB2312" w:hint="eastAsia"/>
          <w:sz w:val="28"/>
          <w:szCs w:val="28"/>
        </w:rPr>
        <w:t>。</w:t>
      </w:r>
    </w:p>
    <w:p w:rsidR="009613B4" w:rsidRPr="008B4EA8" w:rsidRDefault="009613B4" w:rsidP="009613B4">
      <w:pPr>
        <w:pStyle w:val="a3"/>
        <w:spacing w:line="560" w:lineRule="exact"/>
        <w:ind w:firstLine="560"/>
        <w:rPr>
          <w:rFonts w:ascii="仿宋_GB2312" w:eastAsia="仿宋_GB2312" w:hAnsi="仿宋_GB2312" w:cs="仿宋_GB2312"/>
          <w:sz w:val="28"/>
          <w:szCs w:val="28"/>
        </w:rPr>
      </w:pPr>
      <w:r w:rsidRPr="008B4EA8">
        <w:rPr>
          <w:rFonts w:ascii="仿宋_GB2312" w:eastAsia="仿宋_GB2312" w:hAnsi="仿宋_GB2312" w:cs="仿宋_GB2312"/>
          <w:sz w:val="28"/>
          <w:szCs w:val="28"/>
        </w:rPr>
        <w:t>课程总成绩</w:t>
      </w:r>
      <w:r w:rsidRPr="008B4EA8">
        <w:rPr>
          <w:rFonts w:ascii="仿宋_GB2312" w:eastAsia="仿宋_GB2312" w:hAnsi="仿宋_GB2312" w:cs="仿宋_GB2312" w:hint="eastAsia"/>
          <w:sz w:val="28"/>
          <w:szCs w:val="28"/>
        </w:rPr>
        <w:t xml:space="preserve"> </w:t>
      </w:r>
      <w:r w:rsidRPr="008B4EA8">
        <w:rPr>
          <w:rFonts w:ascii="仿宋_GB2312" w:eastAsia="仿宋_GB2312" w:hAnsi="仿宋_GB2312" w:cs="仿宋_GB2312"/>
          <w:sz w:val="28"/>
          <w:szCs w:val="28"/>
        </w:rPr>
        <w:t>= 期末成绩（</w:t>
      </w:r>
      <w:r w:rsidRPr="008B4EA8">
        <w:rPr>
          <w:rFonts w:ascii="仿宋_GB2312" w:eastAsia="仿宋_GB2312" w:hAnsi="仿宋_GB2312" w:cs="仿宋_GB2312" w:hint="eastAsia"/>
          <w:sz w:val="28"/>
          <w:szCs w:val="28"/>
        </w:rPr>
        <w:t>8</w:t>
      </w:r>
      <w:r w:rsidRPr="008B4EA8">
        <w:rPr>
          <w:rFonts w:ascii="仿宋_GB2312" w:eastAsia="仿宋_GB2312" w:hAnsi="仿宋_GB2312" w:cs="仿宋_GB2312"/>
          <w:sz w:val="28"/>
          <w:szCs w:val="28"/>
        </w:rPr>
        <w:t>0</w:t>
      </w:r>
      <w:r w:rsidRPr="008B4EA8">
        <w:rPr>
          <w:rFonts w:ascii="仿宋" w:eastAsia="仿宋" w:hAnsi="仿宋" w:cs="仿宋_GB2312" w:hint="eastAsia"/>
          <w:sz w:val="28"/>
          <w:szCs w:val="28"/>
        </w:rPr>
        <w:t>～</w:t>
      </w:r>
      <w:r w:rsidRPr="008B4EA8">
        <w:rPr>
          <w:rFonts w:ascii="仿宋_GB2312" w:eastAsia="仿宋_GB2312" w:hAnsi="仿宋_GB2312" w:cs="仿宋_GB2312" w:hint="eastAsia"/>
          <w:sz w:val="28"/>
          <w:szCs w:val="28"/>
        </w:rPr>
        <w:t>70</w:t>
      </w:r>
      <w:r w:rsidRPr="008B4EA8">
        <w:rPr>
          <w:rFonts w:ascii="仿宋_GB2312" w:eastAsia="仿宋_GB2312" w:hAnsi="仿宋_GB2312" w:cs="仿宋_GB2312"/>
          <w:sz w:val="28"/>
          <w:szCs w:val="28"/>
        </w:rPr>
        <w:t>）% + 平时成绩（</w:t>
      </w:r>
      <w:r w:rsidRPr="008B4EA8">
        <w:rPr>
          <w:rFonts w:ascii="仿宋_GB2312" w:eastAsia="仿宋_GB2312" w:hAnsi="仿宋_GB2312" w:cs="仿宋_GB2312" w:hint="eastAsia"/>
          <w:sz w:val="28"/>
          <w:szCs w:val="28"/>
        </w:rPr>
        <w:t>20</w:t>
      </w:r>
      <w:r w:rsidRPr="008B4EA8">
        <w:rPr>
          <w:rFonts w:ascii="仿宋" w:eastAsia="仿宋" w:hAnsi="仿宋" w:cs="仿宋_GB2312" w:hint="eastAsia"/>
          <w:sz w:val="28"/>
          <w:szCs w:val="28"/>
        </w:rPr>
        <w:t>～</w:t>
      </w:r>
      <w:r w:rsidRPr="008B4EA8">
        <w:rPr>
          <w:rFonts w:ascii="仿宋_GB2312" w:eastAsia="仿宋_GB2312" w:hAnsi="仿宋_GB2312" w:cs="仿宋_GB2312"/>
          <w:sz w:val="28"/>
          <w:szCs w:val="28"/>
        </w:rPr>
        <w:t>30）</w:t>
      </w:r>
      <w:r w:rsidRPr="008B4EA8">
        <w:rPr>
          <w:rFonts w:ascii="仿宋_GB2312" w:eastAsia="仿宋_GB2312" w:hAnsi="仿宋_GB2312" w:cs="仿宋_GB2312" w:hint="eastAsia"/>
          <w:sz w:val="28"/>
          <w:szCs w:val="28"/>
        </w:rPr>
        <w:t>%</w:t>
      </w:r>
    </w:p>
    <w:p w:rsidR="009613B4" w:rsidRPr="008B4EA8" w:rsidRDefault="009613B4" w:rsidP="009613B4">
      <w:pPr>
        <w:spacing w:line="360" w:lineRule="auto"/>
        <w:jc w:val="left"/>
        <w:rPr>
          <w:rFonts w:ascii="仿宋_GB2312" w:hAnsi="仿宋_GB2312" w:cs="仿宋_GB2312"/>
          <w:b/>
          <w:sz w:val="30"/>
          <w:szCs w:val="30"/>
          <w:highlight w:val="green"/>
        </w:rPr>
      </w:pPr>
      <w:r w:rsidRPr="008B4EA8">
        <w:rPr>
          <w:rFonts w:ascii="黑体" w:eastAsia="黑体" w:hAnsi="黑体" w:hint="eastAsia"/>
          <w:b/>
          <w:sz w:val="30"/>
          <w:szCs w:val="30"/>
        </w:rPr>
        <w:t>六、课程建议教材及主要参考资料</w:t>
      </w:r>
    </w:p>
    <w:p w:rsidR="009613B4" w:rsidRPr="008B4EA8" w:rsidRDefault="009613B4" w:rsidP="009613B4">
      <w:pPr>
        <w:snapToGrid w:val="0"/>
        <w:spacing w:line="360" w:lineRule="auto"/>
        <w:rPr>
          <w:rFonts w:ascii="仿宋_GB2312" w:hAnsi="仿宋_GB2312" w:cs="仿宋_GB2312"/>
          <w:snapToGrid w:val="0"/>
          <w:kern w:val="0"/>
          <w:sz w:val="28"/>
          <w:szCs w:val="28"/>
        </w:rPr>
      </w:pPr>
      <w:r w:rsidRPr="008B4EA8">
        <w:rPr>
          <w:rFonts w:ascii="仿宋_GB2312" w:hAnsi="仿宋_GB2312" w:cs="仿宋_GB2312" w:hint="eastAsia"/>
          <w:snapToGrid w:val="0"/>
          <w:kern w:val="0"/>
          <w:sz w:val="28"/>
          <w:szCs w:val="28"/>
        </w:rPr>
        <w:t xml:space="preserve">1.建议教材： </w:t>
      </w:r>
    </w:p>
    <w:p w:rsidR="009613B4" w:rsidRPr="008B4EA8" w:rsidRDefault="009613B4" w:rsidP="009613B4">
      <w:pPr>
        <w:snapToGrid w:val="0"/>
        <w:spacing w:line="360" w:lineRule="auto"/>
        <w:ind w:firstLineChars="200" w:firstLine="560"/>
        <w:rPr>
          <w:rFonts w:ascii="仿宋_GB2312" w:hAnsi="仿宋_GB2312" w:cs="仿宋_GB2312"/>
          <w:snapToGrid w:val="0"/>
          <w:kern w:val="0"/>
          <w:sz w:val="28"/>
          <w:szCs w:val="28"/>
        </w:rPr>
      </w:pPr>
      <w:r w:rsidRPr="008B4EA8">
        <w:rPr>
          <w:rFonts w:ascii="仿宋_GB2312" w:hAnsi="仿宋_GB2312" w:cs="仿宋_GB2312" w:hint="eastAsia"/>
          <w:snapToGrid w:val="0"/>
          <w:kern w:val="0"/>
          <w:sz w:val="28"/>
          <w:szCs w:val="28"/>
        </w:rPr>
        <w:t>建筑给水排水工程（第七版），</w:t>
      </w:r>
    </w:p>
    <w:p w:rsidR="009613B4" w:rsidRPr="008B4EA8" w:rsidRDefault="009613B4" w:rsidP="009613B4">
      <w:pPr>
        <w:snapToGrid w:val="0"/>
        <w:spacing w:line="360" w:lineRule="auto"/>
        <w:ind w:firstLineChars="200" w:firstLine="560"/>
        <w:rPr>
          <w:rFonts w:ascii="仿宋_GB2312" w:hAnsi="仿宋_GB2312" w:cs="仿宋_GB2312"/>
          <w:snapToGrid w:val="0"/>
          <w:kern w:val="0"/>
          <w:sz w:val="28"/>
          <w:szCs w:val="28"/>
        </w:rPr>
      </w:pPr>
      <w:r w:rsidRPr="008B4EA8">
        <w:rPr>
          <w:rFonts w:ascii="仿宋_GB2312" w:hAnsi="仿宋_GB2312" w:cs="仿宋_GB2312" w:hint="eastAsia"/>
          <w:snapToGrid w:val="0"/>
          <w:kern w:val="0"/>
          <w:sz w:val="28"/>
          <w:szCs w:val="28"/>
        </w:rPr>
        <w:t>王增长，中国建筑工业出版社，2016年12月出版。</w:t>
      </w:r>
    </w:p>
    <w:p w:rsidR="009613B4" w:rsidRPr="008B4EA8" w:rsidRDefault="009613B4" w:rsidP="009613B4">
      <w:pPr>
        <w:spacing w:line="360" w:lineRule="auto"/>
        <w:rPr>
          <w:rFonts w:ascii="仿宋_GB2312" w:hAnsi="仿宋_GB2312" w:cs="仿宋_GB2312"/>
          <w:snapToGrid w:val="0"/>
          <w:kern w:val="0"/>
          <w:sz w:val="28"/>
          <w:szCs w:val="28"/>
        </w:rPr>
      </w:pPr>
      <w:r w:rsidRPr="008B4EA8">
        <w:rPr>
          <w:rFonts w:ascii="仿宋_GB2312" w:hAnsi="仿宋_GB2312" w:cs="仿宋_GB2312" w:hint="eastAsia"/>
          <w:snapToGrid w:val="0"/>
          <w:kern w:val="0"/>
          <w:sz w:val="28"/>
          <w:szCs w:val="28"/>
        </w:rPr>
        <w:t xml:space="preserve">2.主要参考教材： </w:t>
      </w:r>
    </w:p>
    <w:p w:rsidR="009613B4" w:rsidRPr="008B4EA8" w:rsidRDefault="009613B4" w:rsidP="009613B4">
      <w:pPr>
        <w:spacing w:line="360" w:lineRule="auto"/>
        <w:jc w:val="left"/>
        <w:rPr>
          <w:rFonts w:ascii="仿宋_GB2312" w:hAnsi="仿宋_GB2312" w:cs="仿宋_GB2312"/>
          <w:snapToGrid w:val="0"/>
          <w:kern w:val="0"/>
          <w:sz w:val="28"/>
          <w:szCs w:val="28"/>
        </w:rPr>
      </w:pPr>
      <w:r w:rsidRPr="008B4EA8">
        <w:rPr>
          <w:rFonts w:ascii="仿宋_GB2312" w:hAnsi="仿宋_GB2312" w:cs="仿宋_GB2312" w:hint="eastAsia"/>
          <w:snapToGrid w:val="0"/>
          <w:kern w:val="0"/>
          <w:sz w:val="28"/>
          <w:szCs w:val="28"/>
        </w:rPr>
        <w:t>（1）《建筑给水排水设计标准》GB 50015—2019版</w:t>
      </w:r>
    </w:p>
    <w:p w:rsidR="009613B4" w:rsidRPr="008B4EA8" w:rsidRDefault="009613B4" w:rsidP="009613B4">
      <w:pPr>
        <w:spacing w:line="360" w:lineRule="auto"/>
        <w:jc w:val="left"/>
        <w:rPr>
          <w:rFonts w:ascii="仿宋_GB2312" w:hAnsi="仿宋_GB2312" w:cs="仿宋_GB2312"/>
          <w:snapToGrid w:val="0"/>
          <w:kern w:val="0"/>
          <w:sz w:val="28"/>
          <w:szCs w:val="28"/>
        </w:rPr>
      </w:pPr>
      <w:r w:rsidRPr="008B4EA8">
        <w:rPr>
          <w:rFonts w:ascii="仿宋_GB2312" w:hAnsi="仿宋_GB2312" w:cs="仿宋_GB2312" w:hint="eastAsia"/>
          <w:snapToGrid w:val="0"/>
          <w:kern w:val="0"/>
          <w:sz w:val="28"/>
          <w:szCs w:val="28"/>
        </w:rPr>
        <w:t>（2）《建筑设计防火规范》GB 50016—2014</w:t>
      </w:r>
    </w:p>
    <w:p w:rsidR="009613B4" w:rsidRPr="008B4EA8" w:rsidRDefault="009613B4" w:rsidP="009613B4">
      <w:pPr>
        <w:spacing w:line="360" w:lineRule="auto"/>
        <w:jc w:val="left"/>
        <w:rPr>
          <w:rFonts w:ascii="仿宋_GB2312" w:hAnsi="仿宋_GB2312" w:cs="仿宋_GB2312"/>
          <w:snapToGrid w:val="0"/>
          <w:kern w:val="0"/>
          <w:sz w:val="28"/>
          <w:szCs w:val="28"/>
        </w:rPr>
      </w:pPr>
      <w:r w:rsidRPr="008B4EA8">
        <w:rPr>
          <w:rFonts w:ascii="仿宋_GB2312" w:hAnsi="仿宋_GB2312" w:cs="仿宋_GB2312" w:hint="eastAsia"/>
          <w:snapToGrid w:val="0"/>
          <w:kern w:val="0"/>
          <w:sz w:val="28"/>
          <w:szCs w:val="28"/>
        </w:rPr>
        <w:t>（3）《消防给水及消火栓系统技术规范》GB50974—2014</w:t>
      </w:r>
      <w:r w:rsidRPr="008B4EA8">
        <w:rPr>
          <w:rFonts w:ascii="仿宋_GB2312" w:hAnsi="仿宋_GB2312" w:cs="仿宋_GB2312" w:hint="eastAsia"/>
          <w:snapToGrid w:val="0"/>
          <w:kern w:val="0"/>
          <w:sz w:val="28"/>
          <w:szCs w:val="28"/>
        </w:rPr>
        <w:br/>
      </w:r>
      <w:r w:rsidRPr="008B4EA8">
        <w:rPr>
          <w:rFonts w:ascii="仿宋_GB2312" w:hAnsi="仿宋_GB2312" w:cs="仿宋_GB2312" w:hint="eastAsia"/>
          <w:snapToGrid w:val="0"/>
          <w:kern w:val="0"/>
          <w:sz w:val="28"/>
          <w:szCs w:val="28"/>
        </w:rPr>
        <w:lastRenderedPageBreak/>
        <w:t>（4）《自动喷水灭火系统设计规范》GB 50084—2017</w:t>
      </w:r>
    </w:p>
    <w:p w:rsidR="009613B4" w:rsidRDefault="009613B4" w:rsidP="009613B4">
      <w:pPr>
        <w:spacing w:beforeLines="50" w:before="156" w:afterLines="50" w:after="156" w:line="560" w:lineRule="exact"/>
        <w:rPr>
          <w:rFonts w:ascii="黑体" w:eastAsia="黑体" w:hAnsi="黑体"/>
          <w:b/>
          <w:szCs w:val="28"/>
        </w:rPr>
      </w:pPr>
      <w:r>
        <w:rPr>
          <w:rFonts w:ascii="黑体" w:eastAsia="黑体" w:hAnsi="黑体" w:hint="eastAsia"/>
          <w:b/>
          <w:szCs w:val="28"/>
        </w:rPr>
        <w:t>七、其他</w:t>
      </w:r>
    </w:p>
    <w:p w:rsidR="009613B4" w:rsidRDefault="009613B4" w:rsidP="009613B4">
      <w:pPr>
        <w:spacing w:beforeLines="50" w:before="156" w:afterLines="50" w:after="156" w:line="460" w:lineRule="exact"/>
        <w:ind w:firstLineChars="150" w:firstLine="330"/>
        <w:rPr>
          <w:rFonts w:ascii="黑体" w:eastAsia="黑体" w:hAnsi="黑体"/>
          <w:b/>
          <w:szCs w:val="28"/>
        </w:rPr>
      </w:pPr>
      <w:r>
        <w:rPr>
          <w:rStyle w:val="fontstyle01"/>
          <w:rFonts w:hint="default"/>
          <w:sz w:val="22"/>
          <w:szCs w:val="22"/>
        </w:rPr>
        <w:t>无</w:t>
      </w:r>
    </w:p>
    <w:p w:rsidR="009613B4" w:rsidRDefault="009613B4" w:rsidP="009613B4">
      <w:pPr>
        <w:widowControl/>
        <w:jc w:val="left"/>
        <w:rPr>
          <w:rFonts w:ascii="华文中宋" w:eastAsia="华文中宋" w:hAnsi="华文中宋" w:cs="华文中宋"/>
          <w:sz w:val="21"/>
        </w:rPr>
      </w:pPr>
      <w:r>
        <w:rPr>
          <w:rFonts w:ascii="华文中宋" w:eastAsia="华文中宋" w:hAnsi="华文中宋" w:cs="华文中宋" w:hint="eastAsia"/>
          <w:sz w:val="21"/>
        </w:rPr>
        <w:t xml:space="preserve">  </w:t>
      </w:r>
    </w:p>
    <w:p w:rsidR="009613B4" w:rsidRDefault="009613B4" w:rsidP="009613B4">
      <w:pPr>
        <w:widowControl/>
        <w:jc w:val="left"/>
        <w:rPr>
          <w:rFonts w:ascii="华文中宋" w:eastAsia="华文中宋" w:hAnsi="华文中宋" w:cs="华文中宋"/>
          <w:sz w:val="21"/>
        </w:rPr>
      </w:pPr>
    </w:p>
    <w:p w:rsidR="009613B4" w:rsidRDefault="009613B4" w:rsidP="009613B4">
      <w:pPr>
        <w:spacing w:line="560" w:lineRule="exact"/>
        <w:ind w:firstLineChars="1350" w:firstLine="4320"/>
        <w:rPr>
          <w:rFonts w:ascii="仿宋" w:eastAsia="仿宋" w:hAnsi="仿宋"/>
          <w:szCs w:val="28"/>
        </w:rPr>
      </w:pPr>
      <w:r>
        <w:rPr>
          <w:rFonts w:ascii="仿宋" w:eastAsia="仿宋" w:hAnsi="仿宋" w:hint="eastAsia"/>
          <w:szCs w:val="28"/>
        </w:rPr>
        <w:t>大纲撰写人：张</w:t>
      </w:r>
      <w:r>
        <w:rPr>
          <w:rFonts w:ascii="仿宋" w:eastAsia="仿宋" w:hAnsi="仿宋"/>
          <w:szCs w:val="28"/>
        </w:rPr>
        <w:t>莉平</w:t>
      </w:r>
      <w:r>
        <w:rPr>
          <w:rFonts w:ascii="仿宋" w:eastAsia="仿宋" w:hAnsi="仿宋" w:hint="eastAsia"/>
          <w:szCs w:val="28"/>
        </w:rPr>
        <w:t>、杨东娟</w:t>
      </w:r>
    </w:p>
    <w:p w:rsidR="009613B4" w:rsidRDefault="009613B4" w:rsidP="009613B4">
      <w:pPr>
        <w:spacing w:line="560" w:lineRule="exact"/>
        <w:ind w:firstLineChars="1350" w:firstLine="4320"/>
        <w:rPr>
          <w:rFonts w:ascii="仿宋" w:eastAsia="仿宋" w:hAnsi="仿宋"/>
          <w:szCs w:val="28"/>
        </w:rPr>
      </w:pPr>
      <w:r>
        <w:rPr>
          <w:rFonts w:ascii="仿宋" w:eastAsia="仿宋" w:hAnsi="仿宋" w:hint="eastAsia"/>
          <w:szCs w:val="28"/>
        </w:rPr>
        <w:t>课程负责人：张</w:t>
      </w:r>
      <w:r>
        <w:rPr>
          <w:rFonts w:ascii="仿宋" w:eastAsia="仿宋" w:hAnsi="仿宋"/>
          <w:szCs w:val="28"/>
        </w:rPr>
        <w:t>莉平</w:t>
      </w:r>
      <w:r>
        <w:rPr>
          <w:rFonts w:ascii="仿宋" w:eastAsia="仿宋" w:hAnsi="仿宋" w:hint="eastAsia"/>
          <w:szCs w:val="28"/>
        </w:rPr>
        <w:t>、杨东娟</w:t>
      </w:r>
    </w:p>
    <w:p w:rsidR="009613B4" w:rsidRDefault="009613B4" w:rsidP="009613B4">
      <w:pPr>
        <w:spacing w:line="560" w:lineRule="exact"/>
        <w:ind w:firstLineChars="1350" w:firstLine="4320"/>
        <w:rPr>
          <w:rFonts w:ascii="仿宋" w:eastAsia="仿宋" w:hAnsi="仿宋"/>
          <w:szCs w:val="28"/>
        </w:rPr>
      </w:pPr>
      <w:r>
        <w:rPr>
          <w:rFonts w:ascii="仿宋" w:eastAsia="仿宋" w:hAnsi="仿宋" w:hint="eastAsia"/>
          <w:szCs w:val="28"/>
        </w:rPr>
        <w:t>审核人：袁春</w:t>
      </w:r>
      <w:r>
        <w:rPr>
          <w:rFonts w:ascii="仿宋" w:eastAsia="仿宋" w:hAnsi="仿宋"/>
          <w:szCs w:val="28"/>
        </w:rPr>
        <w:t>燕</w:t>
      </w:r>
    </w:p>
    <w:p w:rsidR="009613B4" w:rsidRDefault="009613B4" w:rsidP="009613B4">
      <w:pPr>
        <w:spacing w:line="560" w:lineRule="exact"/>
        <w:jc w:val="center"/>
        <w:rPr>
          <w:rFonts w:ascii="仿宋_GB2312"/>
          <w:szCs w:val="28"/>
        </w:rPr>
      </w:pPr>
      <w:r>
        <w:rPr>
          <w:rFonts w:ascii="仿宋" w:eastAsia="仿宋" w:hAnsi="仿宋" w:hint="eastAsia"/>
          <w:szCs w:val="28"/>
        </w:rPr>
        <w:t xml:space="preserve">                  </w:t>
      </w:r>
      <w:r>
        <w:rPr>
          <w:rFonts w:ascii="仿宋_GB2312" w:hAnsi="微软雅黑" w:hint="eastAsia"/>
          <w:szCs w:val="28"/>
        </w:rPr>
        <w:t xml:space="preserve">       </w:t>
      </w:r>
    </w:p>
    <w:p w:rsidR="009613B4" w:rsidRDefault="009613B4" w:rsidP="009613B4">
      <w:pPr>
        <w:spacing w:line="560" w:lineRule="exact"/>
        <w:jc w:val="left"/>
        <w:rPr>
          <w:rFonts w:ascii="仿宋_GB2312" w:hAnsi="黑体"/>
          <w:szCs w:val="28"/>
        </w:rPr>
      </w:pPr>
      <w:r>
        <w:rPr>
          <w:rFonts w:ascii="仿宋" w:eastAsia="仿宋" w:hAnsi="仿宋" w:hint="eastAsia"/>
          <w:szCs w:val="28"/>
        </w:rPr>
        <w:t xml:space="preserve">                            </w:t>
      </w:r>
      <w:r>
        <w:rPr>
          <w:rFonts w:ascii="仿宋" w:eastAsia="仿宋" w:hAnsi="仿宋"/>
          <w:szCs w:val="28"/>
        </w:rPr>
        <w:t>2021</w:t>
      </w:r>
      <w:r>
        <w:rPr>
          <w:rFonts w:ascii="仿宋" w:eastAsia="仿宋" w:hAnsi="仿宋" w:hint="eastAsia"/>
          <w:szCs w:val="28"/>
        </w:rPr>
        <w:t xml:space="preserve"> 年 </w:t>
      </w:r>
      <w:r>
        <w:rPr>
          <w:rFonts w:ascii="仿宋" w:eastAsia="仿宋" w:hAnsi="仿宋"/>
          <w:szCs w:val="28"/>
        </w:rPr>
        <w:t>4</w:t>
      </w:r>
      <w:r>
        <w:rPr>
          <w:rFonts w:ascii="仿宋" w:eastAsia="仿宋" w:hAnsi="仿宋" w:hint="eastAsia"/>
          <w:szCs w:val="28"/>
        </w:rPr>
        <w:t xml:space="preserve"> 月</w:t>
      </w:r>
    </w:p>
    <w:p w:rsidR="009613B4" w:rsidRDefault="009613B4" w:rsidP="009613B4">
      <w:pPr>
        <w:widowControl/>
        <w:jc w:val="left"/>
        <w:rPr>
          <w:rFonts w:ascii="华文中宋" w:eastAsia="华文中宋" w:hAnsi="华文中宋" w:cs="华文中宋"/>
          <w:sz w:val="21"/>
        </w:rPr>
      </w:pPr>
    </w:p>
    <w:p w:rsidR="009613B4" w:rsidRDefault="009613B4"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8B4EA8" w:rsidRDefault="008B4EA8" w:rsidP="009613B4">
      <w:pPr>
        <w:widowControl/>
        <w:spacing w:line="400" w:lineRule="exact"/>
        <w:rPr>
          <w:rFonts w:ascii="黑体" w:eastAsia="黑体" w:hAnsi="黑体" w:cs="宋体"/>
          <w:bCs/>
          <w:kern w:val="0"/>
          <w:szCs w:val="32"/>
        </w:rPr>
      </w:pPr>
    </w:p>
    <w:p w:rsidR="009613B4" w:rsidRPr="008B4EA8" w:rsidRDefault="009613B4" w:rsidP="008B4EA8">
      <w:pPr>
        <w:widowControl/>
        <w:spacing w:line="360" w:lineRule="auto"/>
        <w:jc w:val="center"/>
        <w:rPr>
          <w:rFonts w:ascii="方正小标宋简体" w:eastAsia="方正小标宋简体" w:hAnsi="宋体"/>
          <w:kern w:val="0"/>
          <w:szCs w:val="32"/>
        </w:rPr>
      </w:pPr>
      <w:bookmarkStart w:id="53" w:name="_Toc497483259"/>
      <w:r w:rsidRPr="008B4EA8">
        <w:rPr>
          <w:rFonts w:ascii="方正小标宋简体" w:eastAsia="方正小标宋简体" w:hAnsi="宋体" w:hint="eastAsia"/>
          <w:kern w:val="0"/>
          <w:szCs w:val="32"/>
        </w:rPr>
        <w:lastRenderedPageBreak/>
        <w:t>《高层建筑给排水及消防工程》课程教学大纲</w:t>
      </w:r>
      <w:bookmarkEnd w:id="53"/>
    </w:p>
    <w:p w:rsidR="009613B4" w:rsidRDefault="009613B4" w:rsidP="009613B4">
      <w:pPr>
        <w:snapToGrid w:val="0"/>
        <w:spacing w:line="360" w:lineRule="auto"/>
        <w:rPr>
          <w:rFonts w:ascii="黑体" w:eastAsia="黑体" w:hAnsi="黑体" w:cs="黑体"/>
          <w:b/>
          <w:sz w:val="28"/>
          <w:szCs w:val="28"/>
        </w:rPr>
      </w:pPr>
      <w:r>
        <w:rPr>
          <w:rFonts w:ascii="黑体" w:eastAsia="黑体" w:hAnsi="黑体" w:cs="黑体" w:hint="eastAsia"/>
          <w:b/>
          <w:sz w:val="28"/>
          <w:szCs w:val="28"/>
        </w:rPr>
        <w:t>一、基本信息</w:t>
      </w:r>
    </w:p>
    <w:p w:rsidR="009613B4" w:rsidRDefault="009613B4" w:rsidP="009613B4">
      <w:pPr>
        <w:snapToGrid w:val="0"/>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英文名称：Building Water Supply and Drainage Engineering</w:t>
      </w:r>
    </w:p>
    <w:p w:rsidR="009613B4" w:rsidRDefault="009613B4" w:rsidP="009613B4">
      <w:pPr>
        <w:snapToGrid w:val="0"/>
        <w:spacing w:line="560" w:lineRule="exact"/>
        <w:ind w:firstLineChars="157" w:firstLine="440"/>
        <w:rPr>
          <w:rFonts w:ascii="仿宋_GB2312" w:hAnsi="仿宋_GB2312" w:cs="仿宋_GB2312"/>
          <w:bCs/>
          <w:sz w:val="28"/>
          <w:szCs w:val="28"/>
        </w:rPr>
      </w:pPr>
      <w:r>
        <w:rPr>
          <w:rFonts w:ascii="仿宋_GB2312" w:hAnsi="仿宋_GB2312" w:cs="仿宋_GB2312" w:hint="eastAsia"/>
          <w:bCs/>
          <w:sz w:val="28"/>
          <w:szCs w:val="28"/>
        </w:rPr>
        <w:t>课程编码：Z2806290</w:t>
      </w:r>
    </w:p>
    <w:p w:rsidR="009613B4" w:rsidRDefault="009613B4" w:rsidP="009613B4">
      <w:pPr>
        <w:snapToGrid w:val="0"/>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授课语言：汉语</w:t>
      </w:r>
    </w:p>
    <w:p w:rsidR="009613B4" w:rsidRDefault="009613B4" w:rsidP="009613B4">
      <w:pPr>
        <w:snapToGrid w:val="0"/>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授课方式：线下</w:t>
      </w:r>
    </w:p>
    <w:p w:rsidR="009613B4" w:rsidRDefault="009613B4" w:rsidP="009613B4">
      <w:pPr>
        <w:snapToGrid w:val="0"/>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课程类别：专业发展</w:t>
      </w:r>
    </w:p>
    <w:p w:rsidR="009613B4" w:rsidRDefault="009613B4" w:rsidP="009613B4">
      <w:pPr>
        <w:snapToGrid w:val="0"/>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课程性质：选修课</w:t>
      </w:r>
    </w:p>
    <w:p w:rsidR="009613B4" w:rsidRDefault="009613B4" w:rsidP="009613B4">
      <w:pPr>
        <w:snapToGrid w:val="0"/>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学    分：1.5</w:t>
      </w:r>
    </w:p>
    <w:p w:rsidR="009613B4" w:rsidRDefault="009613B4" w:rsidP="009613B4">
      <w:pPr>
        <w:snapToGrid w:val="0"/>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学    时：24学时（授课24学时，实验0学时，上机0学时，课外0学时）</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w:t>
      </w:r>
      <w:r>
        <w:rPr>
          <w:rFonts w:ascii="仿宋_GB2312" w:hAnsi="仿宋_GB2312" w:cs="仿宋_GB2312" w:hint="eastAsia"/>
          <w:sz w:val="28"/>
          <w:szCs w:val="28"/>
        </w:rPr>
        <w:t>给排水科学与工程</w:t>
      </w:r>
      <w:r>
        <w:rPr>
          <w:rFonts w:ascii="仿宋_GB2312" w:hAnsi="仿宋_GB2312" w:cs="仿宋_GB2312" w:hint="eastAsia"/>
          <w:bCs/>
          <w:sz w:val="28"/>
          <w:szCs w:val="28"/>
        </w:rPr>
        <w:t>专业</w:t>
      </w:r>
    </w:p>
    <w:p w:rsidR="009613B4" w:rsidRDefault="009613B4" w:rsidP="009613B4">
      <w:pPr>
        <w:snapToGrid w:val="0"/>
        <w:spacing w:line="560" w:lineRule="exact"/>
        <w:ind w:firstLineChars="100" w:firstLine="280"/>
        <w:rPr>
          <w:rFonts w:ascii="仿宋_GB2312" w:hAnsi="仿宋_GB2312" w:cs="仿宋_GB2312"/>
          <w:bCs/>
          <w:sz w:val="28"/>
          <w:szCs w:val="28"/>
        </w:rPr>
      </w:pPr>
      <w:r>
        <w:rPr>
          <w:rFonts w:ascii="仿宋_GB2312" w:hAnsi="仿宋_GB2312" w:cs="仿宋_GB2312" w:hint="eastAsia"/>
          <w:bCs/>
          <w:sz w:val="28"/>
          <w:szCs w:val="28"/>
        </w:rPr>
        <w:t>先修课程：建筑给排水工程、水力学、水泵及水泵站、水工程施工等。</w:t>
      </w:r>
    </w:p>
    <w:p w:rsidR="009613B4" w:rsidRDefault="009613B4" w:rsidP="009613B4">
      <w:pPr>
        <w:snapToGrid w:val="0"/>
        <w:spacing w:line="560" w:lineRule="exact"/>
        <w:ind w:firstLineChars="100" w:firstLine="280"/>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9613B4" w:rsidRDefault="009613B4" w:rsidP="009613B4">
      <w:pPr>
        <w:snapToGrid w:val="0"/>
        <w:spacing w:line="560" w:lineRule="exact"/>
        <w:ind w:left="420" w:firstLineChars="200" w:firstLine="560"/>
        <w:rPr>
          <w:rFonts w:ascii="仿宋_GB2312" w:hAnsi="仿宋_GB2312" w:cs="仿宋_GB2312"/>
          <w:sz w:val="28"/>
          <w:szCs w:val="28"/>
        </w:rPr>
      </w:pPr>
      <w:r>
        <w:rPr>
          <w:rFonts w:ascii="仿宋_GB2312" w:hAnsi="仿宋_GB2312" w:cs="仿宋_GB2312" w:hint="eastAsia"/>
          <w:sz w:val="28"/>
          <w:szCs w:val="28"/>
        </w:rPr>
        <w:t>《高层建筑给排水及消防工程》课程是给排水科学与工程专业的一门专业发展选修课，是研究高层建筑和居住小区冷、热水供应；雨水、污水的收集、排放；消火栓系统、自喷系统、消防炮、气体消防等建筑消防安全技术等的工程学科。</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9613B4" w:rsidRDefault="009613B4" w:rsidP="009613B4">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9613B4" w:rsidRDefault="009613B4" w:rsidP="009613B4">
      <w:pPr>
        <w:snapToGrid w:val="0"/>
        <w:spacing w:line="560" w:lineRule="exact"/>
        <w:ind w:left="420" w:firstLineChars="200" w:firstLine="560"/>
        <w:rPr>
          <w:rFonts w:ascii="仿宋_GB2312" w:hAnsi="仿宋_GB2312" w:cs="仿宋_GB2312"/>
          <w:sz w:val="28"/>
          <w:szCs w:val="28"/>
        </w:rPr>
      </w:pPr>
      <w:r>
        <w:rPr>
          <w:rFonts w:ascii="仿宋_GB2312" w:hAnsi="仿宋_GB2312" w:cs="仿宋_GB2312" w:hint="eastAsia"/>
          <w:sz w:val="28"/>
          <w:szCs w:val="28"/>
        </w:rPr>
        <w:t>本课程着重使学生掌握高层建筑给排水及消防工程的基本概</w:t>
      </w:r>
      <w:r>
        <w:rPr>
          <w:rFonts w:ascii="仿宋_GB2312" w:hAnsi="仿宋_GB2312" w:cs="仿宋_GB2312" w:hint="eastAsia"/>
          <w:sz w:val="28"/>
          <w:szCs w:val="28"/>
        </w:rPr>
        <w:lastRenderedPageBreak/>
        <w:t>念、设计原理和方法以及安装、管理方面的基本知识，具备高层建筑给排水及消防工程各系统设计和管理的工程实践能力，了解高层建筑给排水系统的基本安装要求及管材的选用。对重要的公式需要明确其意义，结合大作业能进行一般的高层建筑的给排水工程设计及计算，同时注重培养提高自学与更新本专业知识的能力。</w:t>
      </w:r>
    </w:p>
    <w:p w:rsidR="009613B4" w:rsidRDefault="009613B4"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9613B4" w:rsidRDefault="009613B4" w:rsidP="009613B4">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知识目标：熟悉高层建筑给排水及消防工程的理论、特点及其任务；掌握高层建筑给排水工程的基本理论和计算方法并能解决工程问题；熟悉给排水工程文献、资料查阅方法；熟悉新型管材器具、节水节能方法等。掌握高层建筑给水系统设计计算及节水节能方法；熟悉排水系统布置形式及其在实际工程中如何选择；掌握高层建筑热水系统的理论和计算方法并能解决工程问题；熟悉高层消防给水系统环状管网布置及设计计算；熟悉新型消防给水系统；熟悉和了解居住小区室外消防布置特点、规范要求；</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能力目标:</w:t>
      </w:r>
      <w:r>
        <w:rPr>
          <w:rFonts w:ascii="仿宋_GB2312" w:hAnsi="仿宋_GB2312" w:cs="仿宋_GB2312" w:hint="eastAsia"/>
          <w:color w:val="000000"/>
          <w:sz w:val="28"/>
          <w:szCs w:val="28"/>
        </w:rPr>
        <w:t>要求学生掌握高层建筑给水排水及消防工程各个系统基本概念、工作原理、设计相关参数正确选取，熟悉相关规范、技术标准；具备合理制定设计方案，并开展设计的绘制和计算工作的能力；训练强化学生理论联系实际及实践动手能力，培养学生发现问题、分析问题、创新设计、个人表现和沟通交流的能力。</w:t>
      </w:r>
    </w:p>
    <w:p w:rsidR="009613B4" w:rsidRDefault="009613B4" w:rsidP="009613B4">
      <w:pPr>
        <w:spacing w:line="560" w:lineRule="exact"/>
        <w:ind w:firstLineChars="200" w:firstLine="560"/>
        <w:rPr>
          <w:rFonts w:ascii="宋体" w:eastAsia="宋体" w:hAnsi="宋体" w:cs="宋体"/>
          <w:sz w:val="28"/>
          <w:szCs w:val="28"/>
        </w:rPr>
      </w:pPr>
      <w:r>
        <w:rPr>
          <w:rFonts w:ascii="仿宋_GB2312" w:hAnsi="仿宋_GB2312" w:cs="仿宋_GB2312" w:hint="eastAsia"/>
          <w:sz w:val="28"/>
          <w:szCs w:val="28"/>
        </w:rPr>
        <w:t>情感态度与价值目标：学会把专业理论知识转化为实践能力；具备可持续、生态文明、健康环保等环境意识；在规范设计的基础上具有创新意识；激发爱国主义热情、培养责任感、使命感。</w:t>
      </w:r>
    </w:p>
    <w:p w:rsidR="009613B4" w:rsidRDefault="009613B4" w:rsidP="009613B4">
      <w:pPr>
        <w:spacing w:line="360" w:lineRule="auto"/>
        <w:rPr>
          <w:rFonts w:ascii="仿宋_GB2312" w:hAnsi="仿宋_GB2312" w:cs="仿宋_GB2312"/>
          <w:b/>
          <w:sz w:val="28"/>
          <w:szCs w:val="28"/>
        </w:rPr>
      </w:pPr>
      <w:r>
        <w:rPr>
          <w:rFonts w:ascii="仿宋_GB2312" w:hAnsi="仿宋_GB2312" w:cs="仿宋_GB2312" w:hint="eastAsia"/>
          <w:bCs/>
          <w:sz w:val="28"/>
          <w:szCs w:val="28"/>
        </w:rPr>
        <w:lastRenderedPageBreak/>
        <w:t>2.2 课程目标与毕业要求之间的对应关系</w:t>
      </w:r>
      <w:r>
        <w:rPr>
          <w:rFonts w:ascii="仿宋_GB2312" w:hAnsi="仿宋_GB2312" w:cs="仿宋_GB2312" w:hint="eastAsia"/>
          <w:b/>
          <w:sz w:val="28"/>
          <w:szCs w:val="28"/>
        </w:rPr>
        <w:t xml:space="preserve"> </w:t>
      </w:r>
    </w:p>
    <w:tbl>
      <w:tblPr>
        <w:tblStyle w:val="a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488"/>
        <w:gridCol w:w="488"/>
        <w:gridCol w:w="488"/>
        <w:gridCol w:w="488"/>
        <w:gridCol w:w="488"/>
        <w:gridCol w:w="488"/>
        <w:gridCol w:w="488"/>
        <w:gridCol w:w="489"/>
        <w:gridCol w:w="489"/>
        <w:gridCol w:w="504"/>
        <w:gridCol w:w="504"/>
        <w:gridCol w:w="504"/>
      </w:tblGrid>
      <w:tr w:rsidR="009613B4" w:rsidTr="008C3907">
        <w:trPr>
          <w:trHeight w:hRule="exact" w:val="454"/>
          <w:jc w:val="center"/>
        </w:trPr>
        <w:tc>
          <w:tcPr>
            <w:tcW w:w="2743" w:type="dxa"/>
            <w:vMerge w:val="restart"/>
            <w:vAlign w:val="center"/>
          </w:tcPr>
          <w:p w:rsidR="009613B4" w:rsidRDefault="009613B4" w:rsidP="008C3907">
            <w:pPr>
              <w:spacing w:line="360" w:lineRule="auto"/>
              <w:jc w:val="center"/>
              <w:rPr>
                <w:rFonts w:ascii="仿宋_GB2312" w:hAnsi="仿宋_GB2312" w:cs="仿宋_GB2312"/>
                <w:bCs/>
                <w:sz w:val="20"/>
              </w:rPr>
            </w:pPr>
            <w:r>
              <w:rPr>
                <w:rFonts w:ascii="仿宋_GB2312" w:hAnsi="仿宋_GB2312" w:cs="仿宋_GB2312" w:hint="eastAsia"/>
                <w:bCs/>
                <w:sz w:val="20"/>
              </w:rPr>
              <w:t>课程目标</w:t>
            </w:r>
          </w:p>
        </w:tc>
        <w:tc>
          <w:tcPr>
            <w:tcW w:w="6233" w:type="dxa"/>
            <w:gridSpan w:val="12"/>
            <w:vAlign w:val="center"/>
          </w:tcPr>
          <w:p w:rsidR="009613B4" w:rsidRDefault="009613B4" w:rsidP="008C3907">
            <w:pPr>
              <w:jc w:val="center"/>
              <w:rPr>
                <w:rFonts w:ascii="仿宋_GB2312" w:hAnsi="仿宋_GB2312" w:cs="仿宋_GB2312"/>
                <w:bCs/>
                <w:sz w:val="20"/>
              </w:rPr>
            </w:pPr>
            <w:r>
              <w:rPr>
                <w:rFonts w:ascii="仿宋_GB2312" w:hAnsi="仿宋_GB2312" w:cs="仿宋_GB2312" w:hint="eastAsia"/>
                <w:bCs/>
                <w:sz w:val="20"/>
              </w:rPr>
              <w:t>毕业要求</w:t>
            </w:r>
          </w:p>
        </w:tc>
      </w:tr>
      <w:tr w:rsidR="009613B4" w:rsidTr="008C3907">
        <w:trPr>
          <w:trHeight w:hRule="exact" w:val="454"/>
          <w:jc w:val="center"/>
        </w:trPr>
        <w:tc>
          <w:tcPr>
            <w:tcW w:w="2743" w:type="dxa"/>
            <w:vMerge/>
          </w:tcPr>
          <w:p w:rsidR="009613B4" w:rsidRDefault="009613B4" w:rsidP="008C3907">
            <w:pPr>
              <w:spacing w:line="360" w:lineRule="auto"/>
              <w:rPr>
                <w:rFonts w:ascii="仿宋_GB2312" w:hAnsi="仿宋_GB2312" w:cs="仿宋_GB2312"/>
                <w:bCs/>
                <w:sz w:val="20"/>
              </w:rPr>
            </w:pP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1</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2</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3</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4</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5</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6</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7</w:t>
            </w:r>
          </w:p>
        </w:tc>
        <w:tc>
          <w:tcPr>
            <w:tcW w:w="520"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8</w:t>
            </w:r>
          </w:p>
        </w:tc>
        <w:tc>
          <w:tcPr>
            <w:tcW w:w="520"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9</w:t>
            </w:r>
          </w:p>
        </w:tc>
        <w:tc>
          <w:tcPr>
            <w:tcW w:w="520"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10</w:t>
            </w:r>
          </w:p>
        </w:tc>
        <w:tc>
          <w:tcPr>
            <w:tcW w:w="520"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11</w:t>
            </w:r>
          </w:p>
        </w:tc>
        <w:tc>
          <w:tcPr>
            <w:tcW w:w="520"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12</w:t>
            </w:r>
          </w:p>
        </w:tc>
      </w:tr>
      <w:tr w:rsidR="009613B4" w:rsidTr="008C3907">
        <w:trPr>
          <w:trHeight w:hRule="exact" w:val="454"/>
          <w:jc w:val="center"/>
        </w:trPr>
        <w:tc>
          <w:tcPr>
            <w:tcW w:w="2743"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知识目标</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H</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M</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M</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L</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r>
      <w:tr w:rsidR="009613B4" w:rsidTr="008C3907">
        <w:trPr>
          <w:trHeight w:hRule="exact" w:val="454"/>
          <w:jc w:val="center"/>
        </w:trPr>
        <w:tc>
          <w:tcPr>
            <w:tcW w:w="2743" w:type="dxa"/>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能力目标</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H</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H</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H</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L</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H</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M</w:t>
            </w:r>
          </w:p>
        </w:tc>
        <w:tc>
          <w:tcPr>
            <w:tcW w:w="520" w:type="dxa"/>
          </w:tcPr>
          <w:p w:rsidR="009613B4" w:rsidRDefault="009613B4" w:rsidP="008C3907">
            <w:pPr>
              <w:spacing w:line="360" w:lineRule="auto"/>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r>
      <w:tr w:rsidR="009613B4" w:rsidTr="008C3907">
        <w:trPr>
          <w:trHeight w:hRule="exact" w:val="454"/>
          <w:jc w:val="center"/>
        </w:trPr>
        <w:tc>
          <w:tcPr>
            <w:tcW w:w="2743" w:type="dxa"/>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情感态度与价值观目标</w:t>
            </w:r>
          </w:p>
        </w:tc>
        <w:tc>
          <w:tcPr>
            <w:tcW w:w="519" w:type="dxa"/>
            <w:vAlign w:val="center"/>
          </w:tcPr>
          <w:p w:rsidR="009613B4" w:rsidRDefault="009613B4" w:rsidP="008C3907">
            <w:pPr>
              <w:spacing w:line="360" w:lineRule="auto"/>
              <w:jc w:val="center"/>
              <w:rPr>
                <w:rFonts w:ascii="仿宋_GB2312" w:hAnsi="仿宋_GB2312" w:cs="仿宋_GB2312"/>
                <w:bCs/>
                <w:sz w:val="20"/>
              </w:rPr>
            </w:pPr>
          </w:p>
        </w:tc>
        <w:tc>
          <w:tcPr>
            <w:tcW w:w="519" w:type="dxa"/>
            <w:vAlign w:val="center"/>
          </w:tcPr>
          <w:p w:rsidR="009613B4" w:rsidRDefault="009613B4" w:rsidP="008C3907">
            <w:pPr>
              <w:spacing w:line="360" w:lineRule="auto"/>
              <w:jc w:val="center"/>
              <w:rPr>
                <w:rFonts w:ascii="仿宋_GB2312" w:hAnsi="仿宋_GB2312" w:cs="仿宋_GB2312"/>
                <w:bCs/>
                <w:sz w:val="20"/>
              </w:rPr>
            </w:pP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M</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H</w:t>
            </w:r>
          </w:p>
        </w:tc>
        <w:tc>
          <w:tcPr>
            <w:tcW w:w="519" w:type="dxa"/>
            <w:vAlign w:val="center"/>
          </w:tcPr>
          <w:p w:rsidR="009613B4" w:rsidRDefault="009613B4" w:rsidP="008C3907">
            <w:pPr>
              <w:tabs>
                <w:tab w:val="left" w:pos="6300"/>
              </w:tabs>
              <w:spacing w:line="360" w:lineRule="atLeast"/>
              <w:jc w:val="center"/>
              <w:rPr>
                <w:rFonts w:ascii="仿宋_GB2312" w:hAnsi="仿宋_GB2312" w:cs="仿宋_GB2312"/>
                <w:bCs/>
                <w:sz w:val="20"/>
              </w:rPr>
            </w:pPr>
            <w:r>
              <w:rPr>
                <w:rFonts w:ascii="仿宋_GB2312" w:hAnsi="仿宋_GB2312" w:cs="仿宋_GB2312" w:hint="eastAsia"/>
                <w:bCs/>
                <w:sz w:val="20"/>
              </w:rPr>
              <w:t>L</w:t>
            </w:r>
          </w:p>
        </w:tc>
        <w:tc>
          <w:tcPr>
            <w:tcW w:w="520" w:type="dxa"/>
          </w:tcPr>
          <w:p w:rsidR="009613B4" w:rsidRDefault="009613B4" w:rsidP="008C3907">
            <w:pPr>
              <w:spacing w:line="360" w:lineRule="auto"/>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c>
          <w:tcPr>
            <w:tcW w:w="520" w:type="dxa"/>
          </w:tcPr>
          <w:p w:rsidR="009613B4" w:rsidRDefault="009613B4" w:rsidP="008C3907">
            <w:pPr>
              <w:spacing w:line="360" w:lineRule="auto"/>
              <w:rPr>
                <w:rFonts w:ascii="仿宋_GB2312" w:hAnsi="仿宋_GB2312" w:cs="仿宋_GB2312"/>
                <w:bCs/>
                <w:sz w:val="20"/>
              </w:rPr>
            </w:pPr>
          </w:p>
        </w:tc>
      </w:tr>
    </w:tbl>
    <w:p w:rsidR="009613B4" w:rsidRDefault="009613B4" w:rsidP="009613B4">
      <w:pPr>
        <w:rPr>
          <w:rFonts w:ascii="仿宋_GB2312" w:hAnsi="仿宋_GB2312" w:cs="仿宋_GB2312"/>
          <w:sz w:val="24"/>
          <w:szCs w:val="24"/>
        </w:rPr>
      </w:pPr>
      <w:bookmarkStart w:id="54" w:name="_Toc497395009"/>
    </w:p>
    <w:p w:rsidR="009613B4" w:rsidRDefault="009613B4" w:rsidP="009613B4">
      <w:pPr>
        <w:spacing w:line="360" w:lineRule="auto"/>
        <w:rPr>
          <w:rFonts w:ascii="仿宋_GB2312" w:hAnsi="仿宋_GB2312" w:cs="仿宋_GB2312"/>
          <w:sz w:val="28"/>
          <w:szCs w:val="28"/>
        </w:rPr>
      </w:pPr>
      <w:r>
        <w:rPr>
          <w:rFonts w:ascii="仿宋_GB2312" w:hAnsi="仿宋_GB2312" w:cs="仿宋_GB2312" w:hint="eastAsia"/>
          <w:sz w:val="28"/>
          <w:szCs w:val="28"/>
        </w:rPr>
        <w:t>3. 课程的重点、难点</w:t>
      </w:r>
    </w:p>
    <w:p w:rsidR="009613B4" w:rsidRDefault="009613B4" w:rsidP="009613B4">
      <w:pPr>
        <w:spacing w:line="560" w:lineRule="exact"/>
        <w:rPr>
          <w:rFonts w:ascii="仿宋_GB2312" w:hAnsi="仿宋_GB2312" w:cs="仿宋_GB2312"/>
          <w:sz w:val="28"/>
          <w:szCs w:val="28"/>
        </w:rPr>
      </w:pPr>
      <w:r>
        <w:rPr>
          <w:rFonts w:ascii="仿宋_GB2312" w:hAnsi="仿宋_GB2312" w:cs="仿宋_GB2312" w:hint="eastAsia"/>
          <w:sz w:val="28"/>
          <w:szCs w:val="28"/>
        </w:rPr>
        <w:t>本课程重难点包括：</w:t>
      </w:r>
    </w:p>
    <w:p w:rsidR="009613B4" w:rsidRDefault="009613B4" w:rsidP="005F6318">
      <w:pPr>
        <w:numPr>
          <w:ilvl w:val="0"/>
          <w:numId w:val="57"/>
        </w:numPr>
        <w:spacing w:line="560" w:lineRule="exact"/>
        <w:rPr>
          <w:rFonts w:ascii="仿宋_GB2312" w:hAnsi="仿宋_GB2312" w:cs="仿宋_GB2312"/>
          <w:sz w:val="28"/>
          <w:szCs w:val="28"/>
        </w:rPr>
      </w:pPr>
      <w:r>
        <w:rPr>
          <w:rFonts w:ascii="仿宋_GB2312" w:hAnsi="仿宋_GB2312" w:cs="仿宋_GB2312" w:hint="eastAsia"/>
          <w:sz w:val="28"/>
          <w:szCs w:val="28"/>
        </w:rPr>
        <w:t>高层建筑给水系统不同供水工况下参数确定</w:t>
      </w:r>
    </w:p>
    <w:p w:rsidR="009613B4" w:rsidRDefault="009613B4" w:rsidP="005F6318">
      <w:pPr>
        <w:numPr>
          <w:ilvl w:val="0"/>
          <w:numId w:val="57"/>
        </w:numPr>
        <w:spacing w:line="560" w:lineRule="exact"/>
        <w:rPr>
          <w:rFonts w:ascii="仿宋_GB2312" w:hAnsi="仿宋_GB2312" w:cs="仿宋_GB2312"/>
          <w:sz w:val="28"/>
          <w:szCs w:val="28"/>
        </w:rPr>
      </w:pPr>
      <w:r>
        <w:rPr>
          <w:rFonts w:ascii="仿宋_GB2312" w:hAnsi="仿宋_GB2312" w:cs="仿宋_GB2312" w:hint="eastAsia"/>
          <w:sz w:val="28"/>
          <w:szCs w:val="28"/>
        </w:rPr>
        <w:t>自喷系统特性系数法确定系统设计流量</w:t>
      </w:r>
    </w:p>
    <w:p w:rsidR="009613B4" w:rsidRDefault="009613B4" w:rsidP="005F6318">
      <w:pPr>
        <w:numPr>
          <w:ilvl w:val="0"/>
          <w:numId w:val="57"/>
        </w:numPr>
        <w:spacing w:line="560" w:lineRule="exact"/>
        <w:rPr>
          <w:rFonts w:ascii="仿宋_GB2312" w:hAnsi="仿宋_GB2312" w:cs="仿宋_GB2312"/>
          <w:sz w:val="28"/>
          <w:szCs w:val="28"/>
        </w:rPr>
      </w:pPr>
      <w:r>
        <w:rPr>
          <w:rFonts w:ascii="仿宋_GB2312" w:hAnsi="仿宋_GB2312" w:cs="仿宋_GB2312" w:hint="eastAsia"/>
          <w:sz w:val="28"/>
          <w:szCs w:val="28"/>
        </w:rPr>
        <w:t>灭火器设置数量确定</w:t>
      </w:r>
    </w:p>
    <w:p w:rsidR="009613B4" w:rsidRDefault="009613B4" w:rsidP="005F6318">
      <w:pPr>
        <w:numPr>
          <w:ilvl w:val="0"/>
          <w:numId w:val="57"/>
        </w:numPr>
        <w:spacing w:line="560" w:lineRule="exact"/>
        <w:rPr>
          <w:rFonts w:ascii="仿宋_GB2312" w:hAnsi="仿宋_GB2312" w:cs="仿宋_GB2312"/>
          <w:sz w:val="28"/>
          <w:szCs w:val="28"/>
        </w:rPr>
      </w:pPr>
      <w:r>
        <w:rPr>
          <w:rFonts w:ascii="仿宋_GB2312" w:hAnsi="仿宋_GB2312" w:cs="仿宋_GB2312" w:hint="eastAsia"/>
          <w:sz w:val="28"/>
          <w:szCs w:val="28"/>
        </w:rPr>
        <w:t>小区给水系统设计流量确定</w:t>
      </w:r>
    </w:p>
    <w:p w:rsidR="009613B4" w:rsidRDefault="009613B4" w:rsidP="005F6318">
      <w:pPr>
        <w:numPr>
          <w:ilvl w:val="0"/>
          <w:numId w:val="57"/>
        </w:numPr>
        <w:spacing w:line="560" w:lineRule="exact"/>
        <w:rPr>
          <w:rFonts w:ascii="仿宋_GB2312" w:hAnsi="仿宋_GB2312" w:cs="仿宋_GB2312"/>
          <w:sz w:val="28"/>
          <w:szCs w:val="28"/>
        </w:rPr>
      </w:pPr>
      <w:r>
        <w:rPr>
          <w:rFonts w:ascii="仿宋_GB2312" w:hAnsi="仿宋_GB2312" w:cs="仿宋_GB2312" w:hint="eastAsia"/>
          <w:sz w:val="28"/>
          <w:szCs w:val="28"/>
        </w:rPr>
        <w:t>消防水量确定</w:t>
      </w:r>
    </w:p>
    <w:p w:rsidR="009613B4" w:rsidRDefault="009613B4" w:rsidP="005F6318">
      <w:pPr>
        <w:numPr>
          <w:ilvl w:val="0"/>
          <w:numId w:val="57"/>
        </w:numPr>
        <w:spacing w:line="560" w:lineRule="exact"/>
        <w:rPr>
          <w:rFonts w:ascii="仿宋_GB2312" w:hAnsi="仿宋_GB2312" w:cs="仿宋_GB2312"/>
          <w:sz w:val="28"/>
          <w:szCs w:val="28"/>
        </w:rPr>
      </w:pPr>
      <w:r>
        <w:rPr>
          <w:rFonts w:ascii="仿宋_GB2312" w:hAnsi="仿宋_GB2312" w:cs="仿宋_GB2312" w:hint="eastAsia"/>
          <w:sz w:val="28"/>
          <w:szCs w:val="28"/>
        </w:rPr>
        <w:t>热水系统分区</w:t>
      </w:r>
    </w:p>
    <w:p w:rsidR="009613B4" w:rsidRDefault="009613B4" w:rsidP="009613B4">
      <w:pPr>
        <w:spacing w:line="360" w:lineRule="auto"/>
        <w:rPr>
          <w:rFonts w:ascii="仿宋_GB2312" w:hAnsi="仿宋_GB2312" w:cs="仿宋_GB2312"/>
          <w:sz w:val="28"/>
          <w:szCs w:val="28"/>
        </w:rPr>
      </w:pPr>
      <w:r>
        <w:rPr>
          <w:rFonts w:ascii="仿宋_GB2312" w:hAnsi="仿宋_GB2312" w:cs="仿宋_GB2312" w:hint="eastAsia"/>
          <w:sz w:val="28"/>
          <w:szCs w:val="28"/>
        </w:rPr>
        <w:t>4.课程思政设计</w:t>
      </w:r>
    </w:p>
    <w:p w:rsidR="009613B4" w:rsidRDefault="009613B4" w:rsidP="009613B4">
      <w:pPr>
        <w:spacing w:line="560" w:lineRule="exact"/>
        <w:rPr>
          <w:rFonts w:ascii="仿宋_GB2312" w:hAnsi="仿宋_GB2312" w:cs="仿宋_GB2312"/>
          <w:sz w:val="28"/>
          <w:szCs w:val="28"/>
        </w:rPr>
      </w:pPr>
      <w:r>
        <w:rPr>
          <w:rFonts w:ascii="仿宋_GB2312" w:hAnsi="仿宋_GB2312" w:cs="仿宋_GB2312" w:hint="eastAsia"/>
          <w:sz w:val="28"/>
          <w:szCs w:val="28"/>
        </w:rPr>
        <w:t>以教学案例为引领，从知识、工程伦理、政治文化、生态经济、哲学等方面，全面实现专业知识和育人的有机结合。</w:t>
      </w:r>
    </w:p>
    <w:p w:rsidR="009613B4" w:rsidRDefault="009613B4" w:rsidP="009613B4">
      <w:pPr>
        <w:spacing w:line="560" w:lineRule="exact"/>
        <w:rPr>
          <w:rFonts w:ascii="仿宋_GB2312" w:hAnsi="仿宋_GB2312" w:cs="仿宋_GB2312"/>
          <w:sz w:val="28"/>
          <w:szCs w:val="28"/>
        </w:rPr>
      </w:pPr>
      <w:r>
        <w:rPr>
          <w:rFonts w:ascii="仿宋_GB2312" w:hAnsi="仿宋_GB2312" w:cs="仿宋_GB2312" w:hint="eastAsia"/>
          <w:sz w:val="28"/>
          <w:szCs w:val="28"/>
        </w:rPr>
        <w:t>（1）认识高层建筑给排水工程中如何节水、节能以及水质保证问题的重要性。认识高层建筑消防工程关乎人民生命财产安全的重要性，基于工程设计职责，强化社会责任感; 通过师生互动，牢固树立主人翁意识。</w:t>
      </w:r>
    </w:p>
    <w:p w:rsidR="009613B4" w:rsidRDefault="009613B4" w:rsidP="009613B4">
      <w:pPr>
        <w:spacing w:line="560" w:lineRule="exact"/>
        <w:rPr>
          <w:rFonts w:ascii="仿宋_GB2312" w:hAnsi="仿宋_GB2312" w:cs="仿宋_GB2312"/>
          <w:sz w:val="28"/>
          <w:szCs w:val="28"/>
        </w:rPr>
      </w:pPr>
      <w:r>
        <w:rPr>
          <w:rFonts w:ascii="仿宋_GB2312" w:hAnsi="仿宋_GB2312" w:cs="仿宋_GB2312" w:hint="eastAsia"/>
          <w:sz w:val="28"/>
          <w:szCs w:val="28"/>
        </w:rPr>
        <w:t>（2）理解和掌握与水质安全、绿色建筑、可持续发展理念以及建设节约型社会等方面相关的政策，正确理解党的治国方针，使社会主义核心价值观深植学生内心。</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59"/>
        <w:gridCol w:w="670"/>
        <w:gridCol w:w="3162"/>
        <w:gridCol w:w="2652"/>
      </w:tblGrid>
      <w:tr w:rsidR="009613B4" w:rsidTr="008C3907">
        <w:trPr>
          <w:cantSplit/>
          <w:trHeight w:val="785"/>
        </w:trPr>
        <w:tc>
          <w:tcPr>
            <w:tcW w:w="512" w:type="dxa"/>
            <w:vAlign w:val="center"/>
          </w:tcPr>
          <w:p w:rsidR="009613B4" w:rsidRDefault="009613B4" w:rsidP="008C3907">
            <w:pPr>
              <w:jc w:val="center"/>
              <w:rPr>
                <w:rFonts w:ascii="仿宋_GB2312" w:hAnsi="仿宋_GB2312" w:cs="仿宋_GB2312"/>
                <w:kern w:val="0"/>
                <w:sz w:val="20"/>
                <w:szCs w:val="20"/>
              </w:rPr>
            </w:pPr>
            <w:r>
              <w:rPr>
                <w:rFonts w:ascii="仿宋_GB2312" w:hAnsi="仿宋_GB2312" w:cs="仿宋_GB2312" w:hint="eastAsia"/>
                <w:kern w:val="0"/>
                <w:sz w:val="20"/>
                <w:szCs w:val="20"/>
              </w:rPr>
              <w:t>序号</w:t>
            </w:r>
          </w:p>
        </w:tc>
        <w:tc>
          <w:tcPr>
            <w:tcW w:w="2159" w:type="dxa"/>
            <w:vAlign w:val="center"/>
          </w:tcPr>
          <w:p w:rsidR="009613B4" w:rsidRDefault="009613B4" w:rsidP="008C3907">
            <w:pPr>
              <w:jc w:val="center"/>
              <w:rPr>
                <w:rFonts w:ascii="仿宋_GB2312" w:hAnsi="仿宋_GB2312" w:cs="仿宋_GB2312"/>
                <w:kern w:val="0"/>
                <w:sz w:val="20"/>
                <w:szCs w:val="20"/>
              </w:rPr>
            </w:pPr>
            <w:r>
              <w:rPr>
                <w:rFonts w:ascii="仿宋_GB2312" w:hAnsi="仿宋_GB2312" w:cs="仿宋_GB2312" w:hint="eastAsia"/>
                <w:kern w:val="0"/>
                <w:sz w:val="20"/>
                <w:szCs w:val="20"/>
              </w:rPr>
              <w:t>章  节</w:t>
            </w:r>
          </w:p>
        </w:tc>
        <w:tc>
          <w:tcPr>
            <w:tcW w:w="670" w:type="dxa"/>
            <w:vAlign w:val="center"/>
          </w:tcPr>
          <w:p w:rsidR="009613B4" w:rsidRDefault="009613B4" w:rsidP="008C3907">
            <w:pPr>
              <w:jc w:val="center"/>
              <w:rPr>
                <w:rFonts w:ascii="仿宋_GB2312" w:hAnsi="仿宋_GB2312" w:cs="仿宋_GB2312"/>
                <w:kern w:val="0"/>
                <w:sz w:val="20"/>
                <w:szCs w:val="20"/>
              </w:rPr>
            </w:pPr>
            <w:r>
              <w:rPr>
                <w:rFonts w:ascii="仿宋_GB2312" w:hAnsi="仿宋_GB2312" w:cs="仿宋_GB2312" w:hint="eastAsia"/>
                <w:kern w:val="0"/>
                <w:sz w:val="20"/>
                <w:szCs w:val="20"/>
              </w:rPr>
              <w:t>参考学时</w:t>
            </w:r>
          </w:p>
        </w:tc>
        <w:tc>
          <w:tcPr>
            <w:tcW w:w="3162" w:type="dxa"/>
            <w:vAlign w:val="center"/>
          </w:tcPr>
          <w:p w:rsidR="009613B4" w:rsidRDefault="009613B4" w:rsidP="008C3907">
            <w:pPr>
              <w:jc w:val="center"/>
              <w:rPr>
                <w:rFonts w:ascii="仿宋_GB2312" w:hAnsi="仿宋_GB2312" w:cs="仿宋_GB2312"/>
                <w:kern w:val="0"/>
                <w:sz w:val="20"/>
                <w:szCs w:val="20"/>
              </w:rPr>
            </w:pPr>
            <w:r>
              <w:rPr>
                <w:rFonts w:ascii="仿宋_GB2312" w:hAnsi="仿宋_GB2312" w:cs="仿宋_GB2312" w:hint="eastAsia"/>
                <w:kern w:val="0"/>
                <w:sz w:val="20"/>
                <w:szCs w:val="20"/>
              </w:rPr>
              <w:t>教学内容</w:t>
            </w:r>
          </w:p>
        </w:tc>
        <w:tc>
          <w:tcPr>
            <w:tcW w:w="2652" w:type="dxa"/>
            <w:vAlign w:val="center"/>
          </w:tcPr>
          <w:p w:rsidR="009613B4" w:rsidRDefault="009613B4" w:rsidP="008C3907">
            <w:pPr>
              <w:jc w:val="center"/>
              <w:rPr>
                <w:rFonts w:ascii="仿宋_GB2312" w:hAnsi="仿宋_GB2312" w:cs="仿宋_GB2312"/>
                <w:kern w:val="0"/>
                <w:sz w:val="20"/>
                <w:szCs w:val="20"/>
              </w:rPr>
            </w:pPr>
            <w:r>
              <w:rPr>
                <w:rFonts w:ascii="仿宋_GB2312" w:hAnsi="仿宋_GB2312" w:cs="仿宋_GB2312" w:hint="eastAsia"/>
                <w:kern w:val="0"/>
                <w:sz w:val="20"/>
                <w:szCs w:val="20"/>
              </w:rPr>
              <w:t>基本要求</w:t>
            </w:r>
          </w:p>
        </w:tc>
      </w:tr>
      <w:tr w:rsidR="009613B4" w:rsidTr="008C3907">
        <w:trPr>
          <w:trHeight w:val="428"/>
        </w:trPr>
        <w:tc>
          <w:tcPr>
            <w:tcW w:w="512" w:type="dxa"/>
            <w:vAlign w:val="center"/>
          </w:tcPr>
          <w:p w:rsidR="009613B4" w:rsidRDefault="009613B4" w:rsidP="008C3907">
            <w:pPr>
              <w:jc w:val="center"/>
              <w:rPr>
                <w:rFonts w:ascii="仿宋_GB2312" w:hAnsi="仿宋_GB2312" w:cs="仿宋_GB2312"/>
                <w:kern w:val="0"/>
                <w:sz w:val="20"/>
                <w:szCs w:val="20"/>
              </w:rPr>
            </w:pPr>
            <w:r>
              <w:rPr>
                <w:rFonts w:ascii="仿宋_GB2312" w:hAnsi="仿宋_GB2312" w:cs="仿宋_GB2312" w:hint="eastAsia"/>
                <w:kern w:val="0"/>
                <w:sz w:val="20"/>
                <w:szCs w:val="20"/>
              </w:rPr>
              <w:t>1</w:t>
            </w:r>
          </w:p>
        </w:tc>
        <w:tc>
          <w:tcPr>
            <w:tcW w:w="2159" w:type="dxa"/>
            <w:vAlign w:val="center"/>
          </w:tcPr>
          <w:p w:rsidR="009613B4" w:rsidRDefault="009613B4" w:rsidP="008C3907">
            <w:pPr>
              <w:spacing w:line="360" w:lineRule="auto"/>
              <w:jc w:val="center"/>
              <w:rPr>
                <w:rFonts w:ascii="仿宋_GB2312" w:hAnsi="仿宋_GB2312" w:cs="仿宋_GB2312"/>
                <w:sz w:val="20"/>
                <w:szCs w:val="20"/>
              </w:rPr>
            </w:pPr>
            <w:r>
              <w:rPr>
                <w:rFonts w:ascii="仿宋_GB2312" w:hAnsi="仿宋_GB2312" w:cs="仿宋_GB2312" w:hint="eastAsia"/>
                <w:sz w:val="20"/>
                <w:szCs w:val="20"/>
              </w:rPr>
              <w:t>第一章</w:t>
            </w:r>
          </w:p>
          <w:p w:rsidR="009613B4" w:rsidRDefault="009613B4" w:rsidP="008C3907">
            <w:pPr>
              <w:spacing w:line="360" w:lineRule="auto"/>
              <w:jc w:val="center"/>
              <w:rPr>
                <w:rFonts w:ascii="仿宋_GB2312" w:hAnsi="仿宋_GB2312" w:cs="仿宋_GB2312"/>
                <w:sz w:val="20"/>
                <w:szCs w:val="20"/>
              </w:rPr>
            </w:pPr>
            <w:r>
              <w:rPr>
                <w:rFonts w:ascii="仿宋_GB2312" w:hAnsi="仿宋_GB2312" w:cs="仿宋_GB2312" w:hint="eastAsia"/>
                <w:sz w:val="20"/>
                <w:szCs w:val="20"/>
              </w:rPr>
              <w:t>高层建筑给水排水工程的任务及特点；高层建筑给水系统，居住小区建筑给水系统</w:t>
            </w:r>
          </w:p>
          <w:p w:rsidR="009613B4" w:rsidRDefault="009613B4" w:rsidP="008C3907">
            <w:pPr>
              <w:ind w:firstLineChars="100" w:firstLine="200"/>
              <w:rPr>
                <w:rFonts w:ascii="仿宋_GB2312" w:hAnsi="仿宋_GB2312" w:cs="仿宋_GB2312"/>
                <w:kern w:val="0"/>
                <w:sz w:val="20"/>
                <w:szCs w:val="20"/>
              </w:rPr>
            </w:pPr>
          </w:p>
        </w:tc>
        <w:tc>
          <w:tcPr>
            <w:tcW w:w="670" w:type="dxa"/>
            <w:vAlign w:val="center"/>
          </w:tcPr>
          <w:p w:rsidR="009613B4" w:rsidRDefault="009613B4" w:rsidP="008C3907">
            <w:pPr>
              <w:ind w:firstLineChars="100" w:firstLine="200"/>
              <w:rPr>
                <w:rFonts w:ascii="仿宋_GB2312" w:hAnsi="仿宋_GB2312" w:cs="仿宋_GB2312"/>
                <w:kern w:val="0"/>
                <w:sz w:val="20"/>
                <w:szCs w:val="20"/>
              </w:rPr>
            </w:pPr>
            <w:r>
              <w:rPr>
                <w:rFonts w:ascii="仿宋_GB2312" w:hAnsi="仿宋_GB2312" w:cs="仿宋_GB2312" w:hint="eastAsia"/>
                <w:kern w:val="0"/>
                <w:sz w:val="20"/>
                <w:szCs w:val="20"/>
              </w:rPr>
              <w:t>4</w:t>
            </w:r>
          </w:p>
        </w:tc>
        <w:tc>
          <w:tcPr>
            <w:tcW w:w="3162" w:type="dxa"/>
            <w:vAlign w:val="center"/>
          </w:tcPr>
          <w:p w:rsidR="009613B4" w:rsidRDefault="009613B4" w:rsidP="008C3907">
            <w:pPr>
              <w:spacing w:line="360" w:lineRule="auto"/>
              <w:jc w:val="left"/>
              <w:rPr>
                <w:rFonts w:ascii="仿宋_GB2312" w:hAnsi="仿宋_GB2312" w:cs="仿宋_GB2312"/>
                <w:sz w:val="20"/>
                <w:szCs w:val="20"/>
              </w:rPr>
            </w:pPr>
            <w:r>
              <w:rPr>
                <w:rFonts w:ascii="仿宋_GB2312" w:hAnsi="仿宋_GB2312" w:cs="仿宋_GB2312" w:hint="eastAsia"/>
                <w:sz w:val="20"/>
                <w:szCs w:val="20"/>
              </w:rPr>
              <w:t xml:space="preserve"> 高层建筑的特点；高层建筑给水排水工程的任务；高层建筑给水排水工程的特高层建筑给水系统的竖向分区；高层建筑给水方式、管网布置形式；高层建筑给水管道的布置与敷设；结合“注册公用设备工程师考试题”及规范条文讲解</w:t>
            </w:r>
          </w:p>
        </w:tc>
        <w:tc>
          <w:tcPr>
            <w:tcW w:w="2652"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kern w:val="0"/>
                <w:sz w:val="20"/>
                <w:szCs w:val="20"/>
              </w:rPr>
              <w:t>了解高层建筑特点，掌握高层建筑分区给水系统；掌握</w:t>
            </w:r>
            <w:r>
              <w:rPr>
                <w:rFonts w:ascii="仿宋_GB2312" w:hAnsi="仿宋_GB2312" w:cs="仿宋_GB2312" w:hint="eastAsia"/>
                <w:sz w:val="20"/>
                <w:szCs w:val="20"/>
              </w:rPr>
              <w:t>高层建筑给水系统不同供水工况下参数确定；具备熟练运用公式进行设计计算的能力；理解和掌握与水质安全、绿色建筑、可持续发展理念以及建设节约型社会等方面相关的政策，正确理解党的治国方针。</w:t>
            </w:r>
          </w:p>
          <w:p w:rsidR="009613B4" w:rsidRDefault="009613B4" w:rsidP="008C3907">
            <w:pPr>
              <w:rPr>
                <w:rFonts w:ascii="仿宋_GB2312" w:hAnsi="仿宋_GB2312" w:cs="仿宋_GB2312"/>
                <w:kern w:val="0"/>
                <w:sz w:val="20"/>
                <w:szCs w:val="20"/>
              </w:rPr>
            </w:pPr>
          </w:p>
        </w:tc>
      </w:tr>
      <w:tr w:rsidR="009613B4" w:rsidTr="008C3907">
        <w:trPr>
          <w:trHeight w:val="519"/>
        </w:trPr>
        <w:tc>
          <w:tcPr>
            <w:tcW w:w="512" w:type="dxa"/>
            <w:vAlign w:val="center"/>
          </w:tcPr>
          <w:p w:rsidR="009613B4" w:rsidRDefault="009613B4" w:rsidP="008C3907">
            <w:pPr>
              <w:jc w:val="center"/>
              <w:rPr>
                <w:rFonts w:ascii="仿宋_GB2312" w:hAnsi="仿宋_GB2312" w:cs="仿宋_GB2312"/>
                <w:kern w:val="0"/>
                <w:sz w:val="20"/>
                <w:szCs w:val="20"/>
              </w:rPr>
            </w:pPr>
            <w:r>
              <w:rPr>
                <w:rFonts w:ascii="仿宋_GB2312" w:hAnsi="仿宋_GB2312" w:cs="仿宋_GB2312" w:hint="eastAsia"/>
                <w:kern w:val="0"/>
                <w:sz w:val="20"/>
                <w:szCs w:val="20"/>
              </w:rPr>
              <w:t>2</w:t>
            </w:r>
          </w:p>
        </w:tc>
        <w:tc>
          <w:tcPr>
            <w:tcW w:w="2159" w:type="dxa"/>
            <w:vAlign w:val="center"/>
          </w:tcPr>
          <w:p w:rsidR="009613B4" w:rsidRDefault="009613B4" w:rsidP="008C3907">
            <w:pPr>
              <w:spacing w:line="360" w:lineRule="auto"/>
              <w:jc w:val="center"/>
              <w:rPr>
                <w:rFonts w:ascii="仿宋_GB2312" w:hAnsi="仿宋_GB2312" w:cs="仿宋_GB2312"/>
                <w:sz w:val="20"/>
                <w:szCs w:val="20"/>
              </w:rPr>
            </w:pPr>
            <w:r>
              <w:rPr>
                <w:rFonts w:ascii="仿宋_GB2312" w:hAnsi="仿宋_GB2312" w:cs="仿宋_GB2312" w:hint="eastAsia"/>
                <w:sz w:val="20"/>
                <w:szCs w:val="20"/>
              </w:rPr>
              <w:t>第二章</w:t>
            </w:r>
          </w:p>
          <w:p w:rsidR="009613B4" w:rsidRDefault="009613B4" w:rsidP="008C3907">
            <w:pPr>
              <w:rPr>
                <w:rFonts w:ascii="仿宋_GB2312" w:hAnsi="仿宋_GB2312" w:cs="仿宋_GB2312"/>
                <w:bCs/>
                <w:sz w:val="20"/>
                <w:szCs w:val="20"/>
              </w:rPr>
            </w:pPr>
            <w:r>
              <w:rPr>
                <w:rFonts w:ascii="仿宋_GB2312" w:hAnsi="仿宋_GB2312" w:cs="仿宋_GB2312" w:hint="eastAsia"/>
                <w:sz w:val="20"/>
                <w:szCs w:val="20"/>
              </w:rPr>
              <w:t>高层建筑热水供应系统</w:t>
            </w:r>
          </w:p>
          <w:p w:rsidR="009613B4" w:rsidRDefault="009613B4" w:rsidP="008C3907">
            <w:pPr>
              <w:rPr>
                <w:rFonts w:ascii="仿宋_GB2312" w:hAnsi="仿宋_GB2312" w:cs="仿宋_GB2312"/>
                <w:kern w:val="0"/>
                <w:sz w:val="20"/>
                <w:szCs w:val="20"/>
              </w:rPr>
            </w:pPr>
          </w:p>
        </w:tc>
        <w:tc>
          <w:tcPr>
            <w:tcW w:w="670" w:type="dxa"/>
            <w:vAlign w:val="center"/>
          </w:tcPr>
          <w:p w:rsidR="009613B4" w:rsidRDefault="009613B4" w:rsidP="008C3907">
            <w:pPr>
              <w:ind w:firstLineChars="100" w:firstLine="200"/>
              <w:rPr>
                <w:rFonts w:ascii="仿宋_GB2312" w:hAnsi="仿宋_GB2312" w:cs="仿宋_GB2312"/>
                <w:kern w:val="0"/>
                <w:sz w:val="20"/>
                <w:szCs w:val="20"/>
              </w:rPr>
            </w:pPr>
            <w:r>
              <w:rPr>
                <w:rFonts w:ascii="仿宋_GB2312" w:hAnsi="仿宋_GB2312" w:cs="仿宋_GB2312" w:hint="eastAsia"/>
                <w:kern w:val="0"/>
                <w:sz w:val="20"/>
                <w:szCs w:val="20"/>
              </w:rPr>
              <w:t>4</w:t>
            </w:r>
          </w:p>
        </w:tc>
        <w:tc>
          <w:tcPr>
            <w:tcW w:w="3162" w:type="dxa"/>
            <w:vAlign w:val="center"/>
          </w:tcPr>
          <w:p w:rsidR="009613B4" w:rsidRDefault="009613B4" w:rsidP="008C3907">
            <w:pPr>
              <w:spacing w:line="360" w:lineRule="auto"/>
              <w:jc w:val="left"/>
              <w:rPr>
                <w:rFonts w:ascii="仿宋_GB2312" w:hAnsi="仿宋_GB2312" w:cs="仿宋_GB2312"/>
                <w:sz w:val="20"/>
                <w:szCs w:val="20"/>
              </w:rPr>
            </w:pPr>
            <w:r>
              <w:rPr>
                <w:rFonts w:ascii="仿宋_GB2312" w:hAnsi="仿宋_GB2312" w:cs="仿宋_GB2312" w:hint="eastAsia"/>
                <w:sz w:val="20"/>
                <w:szCs w:val="20"/>
              </w:rPr>
              <w:t>高层建筑热水供应系统热源确定；管材选择；高层建筑热水系统管道的布置与敷设；结合“注册公用设备工程师考试题”及规范条文讲解</w:t>
            </w:r>
          </w:p>
          <w:p w:rsidR="009613B4" w:rsidRDefault="009613B4" w:rsidP="008C3907">
            <w:pPr>
              <w:spacing w:line="360" w:lineRule="auto"/>
              <w:jc w:val="center"/>
              <w:rPr>
                <w:rFonts w:ascii="仿宋_GB2312" w:hAnsi="仿宋_GB2312" w:cs="仿宋_GB2312"/>
                <w:sz w:val="20"/>
                <w:szCs w:val="20"/>
              </w:rPr>
            </w:pPr>
          </w:p>
        </w:tc>
        <w:tc>
          <w:tcPr>
            <w:tcW w:w="2652" w:type="dxa"/>
            <w:vAlign w:val="center"/>
          </w:tcPr>
          <w:p w:rsidR="009613B4" w:rsidRDefault="009613B4" w:rsidP="008C3907">
            <w:pPr>
              <w:rPr>
                <w:rFonts w:ascii="仿宋_GB2312" w:hAnsi="仿宋_GB2312" w:cs="仿宋_GB2312"/>
                <w:kern w:val="0"/>
                <w:sz w:val="20"/>
                <w:szCs w:val="20"/>
              </w:rPr>
            </w:pPr>
            <w:r>
              <w:rPr>
                <w:rFonts w:ascii="仿宋_GB2312" w:hAnsi="仿宋_GB2312" w:cs="仿宋_GB2312" w:hint="eastAsia"/>
                <w:sz w:val="20"/>
                <w:szCs w:val="20"/>
              </w:rPr>
              <w:t>掌握高层建筑热水系统组成；掌握高层热水系统分区方式；具备熟练运用公式进行设计计算的能力；</w:t>
            </w:r>
          </w:p>
        </w:tc>
      </w:tr>
      <w:tr w:rsidR="009613B4" w:rsidTr="008C3907">
        <w:trPr>
          <w:trHeight w:val="555"/>
        </w:trPr>
        <w:tc>
          <w:tcPr>
            <w:tcW w:w="512" w:type="dxa"/>
            <w:vAlign w:val="center"/>
          </w:tcPr>
          <w:p w:rsidR="009613B4" w:rsidRDefault="009613B4" w:rsidP="008C3907">
            <w:pPr>
              <w:jc w:val="center"/>
              <w:rPr>
                <w:rFonts w:ascii="仿宋_GB2312" w:hAnsi="仿宋_GB2312" w:cs="仿宋_GB2312"/>
                <w:kern w:val="0"/>
                <w:sz w:val="20"/>
                <w:szCs w:val="20"/>
              </w:rPr>
            </w:pPr>
            <w:r>
              <w:rPr>
                <w:rFonts w:ascii="仿宋_GB2312" w:hAnsi="仿宋_GB2312" w:cs="仿宋_GB2312" w:hint="eastAsia"/>
                <w:kern w:val="0"/>
                <w:sz w:val="20"/>
                <w:szCs w:val="20"/>
              </w:rPr>
              <w:t>3</w:t>
            </w:r>
          </w:p>
        </w:tc>
        <w:tc>
          <w:tcPr>
            <w:tcW w:w="2159" w:type="dxa"/>
            <w:vAlign w:val="center"/>
          </w:tcPr>
          <w:p w:rsidR="009613B4" w:rsidRDefault="009613B4" w:rsidP="008C3907">
            <w:pPr>
              <w:spacing w:line="360" w:lineRule="auto"/>
              <w:jc w:val="center"/>
              <w:rPr>
                <w:rFonts w:ascii="仿宋_GB2312" w:hAnsi="仿宋_GB2312" w:cs="仿宋_GB2312"/>
                <w:sz w:val="20"/>
                <w:szCs w:val="20"/>
              </w:rPr>
            </w:pPr>
            <w:r>
              <w:rPr>
                <w:rFonts w:ascii="仿宋_GB2312" w:hAnsi="仿宋_GB2312" w:cs="仿宋_GB2312" w:hint="eastAsia"/>
                <w:sz w:val="20"/>
                <w:szCs w:val="20"/>
              </w:rPr>
              <w:t>第三章</w:t>
            </w:r>
          </w:p>
          <w:p w:rsidR="009613B4" w:rsidRDefault="009613B4" w:rsidP="008C3907">
            <w:pPr>
              <w:rPr>
                <w:rFonts w:ascii="仿宋_GB2312" w:hAnsi="仿宋_GB2312" w:cs="仿宋_GB2312"/>
                <w:bCs/>
                <w:sz w:val="20"/>
                <w:szCs w:val="20"/>
              </w:rPr>
            </w:pPr>
            <w:r>
              <w:rPr>
                <w:rFonts w:ascii="仿宋_GB2312" w:hAnsi="仿宋_GB2312" w:cs="仿宋_GB2312" w:hint="eastAsia"/>
                <w:sz w:val="20"/>
                <w:szCs w:val="20"/>
              </w:rPr>
              <w:t>高层建筑排水系统</w:t>
            </w:r>
          </w:p>
          <w:p w:rsidR="009613B4" w:rsidRDefault="009613B4" w:rsidP="008C3907">
            <w:pPr>
              <w:rPr>
                <w:rFonts w:ascii="仿宋_GB2312" w:hAnsi="仿宋_GB2312" w:cs="仿宋_GB2312"/>
                <w:kern w:val="0"/>
                <w:sz w:val="20"/>
                <w:szCs w:val="20"/>
              </w:rPr>
            </w:pPr>
          </w:p>
        </w:tc>
        <w:tc>
          <w:tcPr>
            <w:tcW w:w="670" w:type="dxa"/>
            <w:vAlign w:val="center"/>
          </w:tcPr>
          <w:p w:rsidR="009613B4" w:rsidRDefault="009613B4" w:rsidP="008C3907">
            <w:pPr>
              <w:ind w:firstLineChars="100" w:firstLine="200"/>
              <w:rPr>
                <w:rFonts w:ascii="仿宋_GB2312" w:hAnsi="仿宋_GB2312" w:cs="仿宋_GB2312"/>
                <w:kern w:val="0"/>
                <w:sz w:val="20"/>
                <w:szCs w:val="20"/>
              </w:rPr>
            </w:pPr>
            <w:r>
              <w:rPr>
                <w:rFonts w:ascii="仿宋_GB2312" w:hAnsi="仿宋_GB2312" w:cs="仿宋_GB2312" w:hint="eastAsia"/>
                <w:kern w:val="0"/>
                <w:sz w:val="20"/>
                <w:szCs w:val="20"/>
              </w:rPr>
              <w:t>2</w:t>
            </w:r>
          </w:p>
        </w:tc>
        <w:tc>
          <w:tcPr>
            <w:tcW w:w="3162" w:type="dxa"/>
            <w:vAlign w:val="center"/>
          </w:tcPr>
          <w:p w:rsidR="009613B4" w:rsidRDefault="009613B4" w:rsidP="008C3907">
            <w:pPr>
              <w:spacing w:line="360" w:lineRule="auto"/>
              <w:jc w:val="left"/>
              <w:rPr>
                <w:rFonts w:ascii="仿宋_GB2312" w:hAnsi="仿宋_GB2312" w:cs="仿宋_GB2312"/>
                <w:sz w:val="20"/>
                <w:szCs w:val="20"/>
              </w:rPr>
            </w:pPr>
            <w:r>
              <w:rPr>
                <w:rFonts w:ascii="仿宋_GB2312" w:hAnsi="仿宋_GB2312" w:cs="仿宋_GB2312" w:hint="eastAsia"/>
                <w:sz w:val="20"/>
                <w:szCs w:val="20"/>
              </w:rPr>
              <w:t>高层建筑排水系统的分类及组成；高层建筑卫生间及管井管道的布置；高层建筑排水管道的布置特点；高层建筑通气管系统；结合“注册公用设备工程师考试题”及规范条文讲解</w:t>
            </w:r>
          </w:p>
          <w:p w:rsidR="009613B4" w:rsidRDefault="009613B4" w:rsidP="008C3907">
            <w:pPr>
              <w:spacing w:line="360" w:lineRule="auto"/>
              <w:jc w:val="center"/>
              <w:rPr>
                <w:rFonts w:ascii="仿宋_GB2312" w:hAnsi="仿宋_GB2312" w:cs="仿宋_GB2312"/>
                <w:sz w:val="20"/>
                <w:szCs w:val="20"/>
              </w:rPr>
            </w:pPr>
          </w:p>
          <w:p w:rsidR="009613B4" w:rsidRDefault="009613B4" w:rsidP="008C3907">
            <w:pPr>
              <w:spacing w:line="360" w:lineRule="auto"/>
              <w:jc w:val="center"/>
              <w:rPr>
                <w:rFonts w:ascii="仿宋_GB2312" w:hAnsi="仿宋_GB2312" w:cs="仿宋_GB2312"/>
                <w:sz w:val="20"/>
                <w:szCs w:val="20"/>
              </w:rPr>
            </w:pPr>
          </w:p>
        </w:tc>
        <w:tc>
          <w:tcPr>
            <w:tcW w:w="2652"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掌握高层建筑排水系统特点、排水系统组成；掌握高层建筑底层单排特点及规范条文灵活运用；具备熟练运用公式进行设计计算的能力</w:t>
            </w:r>
          </w:p>
        </w:tc>
      </w:tr>
      <w:tr w:rsidR="009613B4" w:rsidTr="008C3907">
        <w:trPr>
          <w:trHeight w:val="1072"/>
        </w:trPr>
        <w:tc>
          <w:tcPr>
            <w:tcW w:w="5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4</w:t>
            </w:r>
          </w:p>
        </w:tc>
        <w:tc>
          <w:tcPr>
            <w:tcW w:w="2159" w:type="dxa"/>
            <w:vAlign w:val="center"/>
          </w:tcPr>
          <w:p w:rsidR="009613B4" w:rsidRDefault="009613B4" w:rsidP="008C3907">
            <w:pPr>
              <w:spacing w:line="360" w:lineRule="auto"/>
              <w:jc w:val="center"/>
              <w:rPr>
                <w:rFonts w:ascii="仿宋_GB2312" w:hAnsi="仿宋_GB2312" w:cs="仿宋_GB2312"/>
                <w:sz w:val="20"/>
                <w:szCs w:val="20"/>
              </w:rPr>
            </w:pPr>
            <w:r>
              <w:rPr>
                <w:rFonts w:ascii="仿宋_GB2312" w:hAnsi="仿宋_GB2312" w:cs="仿宋_GB2312" w:hint="eastAsia"/>
                <w:sz w:val="20"/>
                <w:szCs w:val="20"/>
              </w:rPr>
              <w:t>第四章</w:t>
            </w:r>
          </w:p>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高层建筑消防给水系统</w:t>
            </w:r>
          </w:p>
        </w:tc>
        <w:tc>
          <w:tcPr>
            <w:tcW w:w="670"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8</w:t>
            </w:r>
          </w:p>
        </w:tc>
        <w:tc>
          <w:tcPr>
            <w:tcW w:w="3162" w:type="dxa"/>
            <w:vAlign w:val="center"/>
          </w:tcPr>
          <w:p w:rsidR="009613B4" w:rsidRDefault="009613B4" w:rsidP="008C3907">
            <w:pPr>
              <w:spacing w:line="360" w:lineRule="auto"/>
              <w:jc w:val="left"/>
              <w:rPr>
                <w:rFonts w:ascii="仿宋_GB2312" w:hAnsi="仿宋_GB2312" w:cs="仿宋_GB2312"/>
                <w:sz w:val="20"/>
                <w:szCs w:val="20"/>
              </w:rPr>
            </w:pPr>
            <w:r>
              <w:rPr>
                <w:rFonts w:ascii="仿宋_GB2312" w:hAnsi="仿宋_GB2312" w:cs="仿宋_GB2312" w:hint="eastAsia"/>
                <w:sz w:val="20"/>
                <w:szCs w:val="20"/>
              </w:rPr>
              <w:t>高层建筑火灾的特点；高层建筑消防类别；高层建筑消防用水量；高层建筑消防系统；高层建筑消火栓系统；高层建筑自动喷</w:t>
            </w:r>
            <w:r>
              <w:rPr>
                <w:rFonts w:ascii="仿宋_GB2312" w:hAnsi="仿宋_GB2312" w:cs="仿宋_GB2312" w:hint="eastAsia"/>
                <w:sz w:val="20"/>
                <w:szCs w:val="20"/>
              </w:rPr>
              <w:lastRenderedPageBreak/>
              <w:t>水灭火系统</w:t>
            </w:r>
          </w:p>
        </w:tc>
        <w:tc>
          <w:tcPr>
            <w:tcW w:w="2652"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lastRenderedPageBreak/>
              <w:t>了解高层建筑灭火特点、高层建筑消防类别划分；掌握消防水量确定；具备借助规范等资料进行设计计算的能力；认识高层建筑消防工程关乎人民生命财产安全的重</w:t>
            </w:r>
            <w:r>
              <w:rPr>
                <w:rFonts w:ascii="仿宋_GB2312" w:hAnsi="仿宋_GB2312" w:cs="仿宋_GB2312" w:hint="eastAsia"/>
                <w:sz w:val="20"/>
                <w:szCs w:val="20"/>
              </w:rPr>
              <w:lastRenderedPageBreak/>
              <w:t>要性，基于工程设计职责，强化社会责任感; 通过师生互动，牢固树立主人翁意识。</w:t>
            </w:r>
          </w:p>
        </w:tc>
      </w:tr>
      <w:tr w:rsidR="009613B4" w:rsidTr="008C3907">
        <w:trPr>
          <w:trHeight w:val="548"/>
        </w:trPr>
        <w:tc>
          <w:tcPr>
            <w:tcW w:w="5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lastRenderedPageBreak/>
              <w:t>5</w:t>
            </w:r>
          </w:p>
        </w:tc>
        <w:tc>
          <w:tcPr>
            <w:tcW w:w="2159" w:type="dxa"/>
            <w:vAlign w:val="center"/>
          </w:tcPr>
          <w:p w:rsidR="009613B4" w:rsidRDefault="009613B4" w:rsidP="008C3907">
            <w:pPr>
              <w:spacing w:line="360" w:lineRule="auto"/>
              <w:ind w:firstLineChars="300" w:firstLine="600"/>
              <w:jc w:val="left"/>
              <w:rPr>
                <w:rFonts w:ascii="仿宋_GB2312" w:hAnsi="仿宋_GB2312" w:cs="仿宋_GB2312"/>
                <w:sz w:val="20"/>
                <w:szCs w:val="20"/>
              </w:rPr>
            </w:pPr>
            <w:r>
              <w:rPr>
                <w:rFonts w:ascii="仿宋_GB2312" w:hAnsi="仿宋_GB2312" w:cs="仿宋_GB2312" w:hint="eastAsia"/>
                <w:sz w:val="20"/>
                <w:szCs w:val="20"/>
              </w:rPr>
              <w:t>第五章</w:t>
            </w:r>
          </w:p>
          <w:p w:rsidR="009613B4" w:rsidRDefault="009613B4" w:rsidP="008C3907">
            <w:pPr>
              <w:jc w:val="left"/>
              <w:rPr>
                <w:rFonts w:ascii="仿宋_GB2312" w:hAnsi="仿宋_GB2312" w:cs="仿宋_GB2312"/>
                <w:sz w:val="20"/>
                <w:szCs w:val="20"/>
              </w:rPr>
            </w:pPr>
            <w:r>
              <w:rPr>
                <w:rFonts w:ascii="仿宋_GB2312" w:hAnsi="仿宋_GB2312" w:cs="仿宋_GB2312" w:hint="eastAsia"/>
                <w:sz w:val="20"/>
                <w:szCs w:val="20"/>
              </w:rPr>
              <w:t>气体灭火系统的设计</w:t>
            </w:r>
          </w:p>
        </w:tc>
        <w:tc>
          <w:tcPr>
            <w:tcW w:w="670" w:type="dxa"/>
            <w:vAlign w:val="center"/>
          </w:tcPr>
          <w:p w:rsidR="009613B4" w:rsidRDefault="009613B4" w:rsidP="008C3907">
            <w:pPr>
              <w:ind w:firstLineChars="100" w:firstLine="200"/>
              <w:jc w:val="left"/>
              <w:rPr>
                <w:rFonts w:ascii="仿宋_GB2312" w:hAnsi="仿宋_GB2312" w:cs="仿宋_GB2312"/>
                <w:sz w:val="20"/>
                <w:szCs w:val="20"/>
              </w:rPr>
            </w:pPr>
            <w:r>
              <w:rPr>
                <w:rFonts w:ascii="仿宋_GB2312" w:hAnsi="仿宋_GB2312" w:cs="仿宋_GB2312" w:hint="eastAsia"/>
                <w:sz w:val="20"/>
                <w:szCs w:val="20"/>
              </w:rPr>
              <w:t>2</w:t>
            </w:r>
          </w:p>
        </w:tc>
        <w:tc>
          <w:tcPr>
            <w:tcW w:w="3162" w:type="dxa"/>
            <w:vAlign w:val="center"/>
          </w:tcPr>
          <w:p w:rsidR="009613B4" w:rsidRDefault="009613B4" w:rsidP="008C3907">
            <w:pPr>
              <w:spacing w:line="360" w:lineRule="auto"/>
              <w:rPr>
                <w:rFonts w:ascii="仿宋_GB2312" w:hAnsi="仿宋_GB2312" w:cs="仿宋_GB2312"/>
                <w:sz w:val="20"/>
                <w:szCs w:val="20"/>
              </w:rPr>
            </w:pPr>
            <w:r>
              <w:rPr>
                <w:rFonts w:ascii="仿宋_GB2312" w:hAnsi="仿宋_GB2312" w:cs="仿宋_GB2312" w:hint="eastAsia"/>
                <w:sz w:val="20"/>
                <w:szCs w:val="20"/>
              </w:rPr>
              <w:t xml:space="preserve">    气体灭火系统设置场所及设置范围；灭火机理、系统组成及分类；气体灭火系统管网布置及泄压口计算；结合“注册公用设备工程师考试题”及规范条文讲解</w:t>
            </w:r>
          </w:p>
        </w:tc>
        <w:tc>
          <w:tcPr>
            <w:tcW w:w="2652"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了解气体灭火系统设置场所及设置范围；了解灭火机理、系统组成及分类；掌握气体灭火系统管网布置及泄压口计算。</w:t>
            </w:r>
          </w:p>
        </w:tc>
      </w:tr>
      <w:tr w:rsidR="009613B4" w:rsidTr="008C3907">
        <w:trPr>
          <w:trHeight w:val="1618"/>
        </w:trPr>
        <w:tc>
          <w:tcPr>
            <w:tcW w:w="512" w:type="dxa"/>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6</w:t>
            </w:r>
          </w:p>
        </w:tc>
        <w:tc>
          <w:tcPr>
            <w:tcW w:w="2159" w:type="dxa"/>
          </w:tcPr>
          <w:p w:rsidR="009613B4" w:rsidRDefault="009613B4" w:rsidP="008C3907">
            <w:pPr>
              <w:ind w:firstLineChars="300" w:firstLine="600"/>
              <w:rPr>
                <w:rFonts w:ascii="仿宋_GB2312" w:hAnsi="仿宋_GB2312" w:cs="仿宋_GB2312"/>
                <w:bCs/>
                <w:sz w:val="20"/>
                <w:szCs w:val="20"/>
              </w:rPr>
            </w:pPr>
            <w:r>
              <w:rPr>
                <w:rFonts w:ascii="仿宋_GB2312" w:hAnsi="仿宋_GB2312" w:cs="仿宋_GB2312" w:hint="eastAsia"/>
                <w:bCs/>
                <w:sz w:val="20"/>
                <w:szCs w:val="20"/>
              </w:rPr>
              <w:t xml:space="preserve">第六章   </w:t>
            </w:r>
          </w:p>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灭火器设计；</w:t>
            </w:r>
          </w:p>
        </w:tc>
        <w:tc>
          <w:tcPr>
            <w:tcW w:w="670" w:type="dxa"/>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2</w:t>
            </w:r>
          </w:p>
        </w:tc>
        <w:tc>
          <w:tcPr>
            <w:tcW w:w="3162" w:type="dxa"/>
            <w:vAlign w:val="center"/>
          </w:tcPr>
          <w:p w:rsidR="009613B4" w:rsidRDefault="009613B4" w:rsidP="008C3907">
            <w:pPr>
              <w:spacing w:line="360" w:lineRule="auto"/>
              <w:jc w:val="left"/>
              <w:rPr>
                <w:rFonts w:ascii="仿宋_GB2312" w:hAnsi="仿宋_GB2312" w:cs="仿宋_GB2312"/>
                <w:sz w:val="20"/>
                <w:szCs w:val="20"/>
              </w:rPr>
            </w:pPr>
            <w:r>
              <w:rPr>
                <w:rFonts w:ascii="仿宋_GB2312" w:hAnsi="仿宋_GB2312" w:cs="仿宋_GB2312" w:hint="eastAsia"/>
                <w:sz w:val="20"/>
                <w:szCs w:val="20"/>
              </w:rPr>
              <w:t>灭火器设置场所；灭火器类型及选择；灭火器布置；灭火器设置数量确定；结合“注册公用设备工程师考试题”及规范条文讲解</w:t>
            </w:r>
          </w:p>
        </w:tc>
        <w:tc>
          <w:tcPr>
            <w:tcW w:w="2652" w:type="dxa"/>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了解灭火器设置场所；参考其它有关资料具备灭火器类型及建筑物灭火器选择的能力；了解灭火器布置及灭火器设置数量确定；</w:t>
            </w:r>
          </w:p>
        </w:tc>
      </w:tr>
      <w:tr w:rsidR="009613B4" w:rsidTr="008C3907">
        <w:trPr>
          <w:trHeight w:val="1618"/>
        </w:trPr>
        <w:tc>
          <w:tcPr>
            <w:tcW w:w="512" w:type="dxa"/>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7</w:t>
            </w:r>
          </w:p>
        </w:tc>
        <w:tc>
          <w:tcPr>
            <w:tcW w:w="2159" w:type="dxa"/>
          </w:tcPr>
          <w:p w:rsidR="009613B4" w:rsidRDefault="009613B4" w:rsidP="008C3907">
            <w:pPr>
              <w:spacing w:line="360" w:lineRule="auto"/>
              <w:jc w:val="center"/>
              <w:rPr>
                <w:rFonts w:ascii="仿宋_GB2312" w:hAnsi="仿宋_GB2312" w:cs="仿宋_GB2312"/>
                <w:sz w:val="20"/>
                <w:szCs w:val="20"/>
              </w:rPr>
            </w:pPr>
            <w:r>
              <w:rPr>
                <w:rFonts w:ascii="仿宋_GB2312" w:hAnsi="仿宋_GB2312" w:cs="仿宋_GB2312" w:hint="eastAsia"/>
                <w:sz w:val="20"/>
                <w:szCs w:val="20"/>
              </w:rPr>
              <w:t>第七章</w:t>
            </w:r>
          </w:p>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居住小区给排水工程</w:t>
            </w:r>
          </w:p>
        </w:tc>
        <w:tc>
          <w:tcPr>
            <w:tcW w:w="670" w:type="dxa"/>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2</w:t>
            </w:r>
          </w:p>
        </w:tc>
        <w:tc>
          <w:tcPr>
            <w:tcW w:w="3162" w:type="dxa"/>
            <w:vAlign w:val="center"/>
          </w:tcPr>
          <w:p w:rsidR="009613B4" w:rsidRDefault="009613B4" w:rsidP="008C3907">
            <w:pPr>
              <w:spacing w:line="360" w:lineRule="auto"/>
              <w:jc w:val="left"/>
              <w:rPr>
                <w:rFonts w:ascii="仿宋_GB2312" w:hAnsi="仿宋_GB2312" w:cs="仿宋_GB2312"/>
                <w:sz w:val="20"/>
                <w:szCs w:val="20"/>
              </w:rPr>
            </w:pPr>
            <w:r>
              <w:rPr>
                <w:rFonts w:ascii="仿宋_GB2312" w:hAnsi="仿宋_GB2312" w:cs="仿宋_GB2312" w:hint="eastAsia"/>
                <w:sz w:val="20"/>
                <w:szCs w:val="20"/>
              </w:rPr>
              <w:t>小区给排水系统设计用水量确定； 小区给排水系统设计流量确定；设计例题讲解；</w:t>
            </w:r>
          </w:p>
          <w:p w:rsidR="009613B4" w:rsidRDefault="009613B4" w:rsidP="008C3907">
            <w:pPr>
              <w:spacing w:line="360" w:lineRule="auto"/>
              <w:jc w:val="center"/>
              <w:rPr>
                <w:rFonts w:ascii="仿宋_GB2312" w:hAnsi="仿宋_GB2312" w:cs="仿宋_GB2312"/>
                <w:sz w:val="20"/>
                <w:szCs w:val="20"/>
              </w:rPr>
            </w:pPr>
          </w:p>
        </w:tc>
        <w:tc>
          <w:tcPr>
            <w:tcW w:w="2652" w:type="dxa"/>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掌握小区给水系统设计用水量确定及小区给排水系统设计流量确定；</w:t>
            </w:r>
          </w:p>
        </w:tc>
      </w:tr>
    </w:tbl>
    <w:p w:rsidR="009613B4" w:rsidRDefault="009613B4" w:rsidP="009613B4">
      <w:pPr>
        <w:spacing w:line="400" w:lineRule="exact"/>
        <w:rPr>
          <w:rFonts w:ascii="黑体" w:eastAsia="黑体" w:hAnsi="宋体"/>
          <w:sz w:val="24"/>
        </w:rPr>
      </w:pP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color w:val="000000" w:themeColor="text1"/>
          <w:sz w:val="28"/>
          <w:szCs w:val="28"/>
        </w:rPr>
        <w:t>该课程考核方式为考试。</w:t>
      </w:r>
      <w:r>
        <w:rPr>
          <w:rFonts w:ascii="仿宋_GB2312" w:hAnsi="仿宋_GB2312" w:cs="仿宋_GB2312" w:hint="eastAsia"/>
          <w:bCs/>
          <w:sz w:val="28"/>
          <w:szCs w:val="28"/>
        </w:rPr>
        <w:t>期终考试采取开卷形式，内容涉及课程的基本概念和基本方法，题型包括名词解释、选择题、简答题、计算题等。</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2.成绩评定</w:t>
      </w:r>
    </w:p>
    <w:p w:rsidR="009613B4" w:rsidRDefault="009613B4" w:rsidP="009613B4">
      <w:pPr>
        <w:spacing w:line="560" w:lineRule="exact"/>
        <w:ind w:firstLineChars="100" w:firstLine="280"/>
        <w:jc w:val="left"/>
        <w:rPr>
          <w:rFonts w:ascii="仿宋_GB2312" w:hAnsi="仿宋_GB2312" w:cs="仿宋_GB2312"/>
          <w:sz w:val="28"/>
          <w:szCs w:val="28"/>
        </w:rPr>
      </w:pPr>
      <w:r>
        <w:rPr>
          <w:rFonts w:ascii="仿宋_GB2312" w:hAnsi="仿宋_GB2312" w:cs="仿宋_GB2312" w:hint="eastAsia"/>
          <w:sz w:val="28"/>
          <w:szCs w:val="28"/>
        </w:rPr>
        <w:t>考核方式：采用平时成绩+期末考试方式确定总评成绩。其中平时成绩考核包括作业、讨论、出勤等内容，期末考试采用闭卷方式。平时成绩占20%，期末考试成绩占80%。</w:t>
      </w:r>
    </w:p>
    <w:p w:rsidR="009613B4" w:rsidRDefault="009613B4" w:rsidP="009613B4">
      <w:pPr>
        <w:spacing w:line="360" w:lineRule="auto"/>
        <w:jc w:val="left"/>
        <w:rPr>
          <w:rFonts w:ascii="仿宋_GB2312" w:hAnsi="仿宋_GB2312" w:cs="仿宋_GB2312"/>
          <w:b/>
          <w:sz w:val="28"/>
          <w:szCs w:val="28"/>
          <w:highlight w:val="green"/>
        </w:rPr>
      </w:pPr>
      <w:r>
        <w:rPr>
          <w:rFonts w:ascii="黑体" w:eastAsia="黑体" w:hAnsi="黑体" w:hint="eastAsia"/>
          <w:b/>
          <w:sz w:val="28"/>
          <w:szCs w:val="28"/>
        </w:rPr>
        <w:t>六、课程建议教材及主要参考资料</w:t>
      </w:r>
    </w:p>
    <w:p w:rsidR="009613B4" w:rsidRDefault="009613B4" w:rsidP="009613B4">
      <w:pPr>
        <w:snapToGrid w:val="0"/>
        <w:spacing w:line="560" w:lineRule="exact"/>
        <w:rPr>
          <w:rFonts w:ascii="仿宋_GB2312" w:hAnsi="仿宋_GB2312" w:cs="仿宋_GB2312"/>
          <w:b/>
          <w:sz w:val="28"/>
          <w:szCs w:val="28"/>
        </w:rPr>
      </w:pPr>
      <w:r>
        <w:rPr>
          <w:rFonts w:ascii="仿宋_GB2312" w:hAnsi="仿宋_GB2312" w:cs="仿宋_GB2312" w:hint="eastAsia"/>
          <w:bCs/>
          <w:sz w:val="28"/>
          <w:szCs w:val="28"/>
        </w:rPr>
        <w:lastRenderedPageBreak/>
        <w:t>1.建议教材：</w:t>
      </w:r>
      <w:r>
        <w:rPr>
          <w:rFonts w:ascii="仿宋_GB2312" w:hAnsi="仿宋_GB2312" w:cs="仿宋_GB2312" w:hint="eastAsia"/>
          <w:b/>
          <w:sz w:val="28"/>
          <w:szCs w:val="28"/>
        </w:rPr>
        <w:t xml:space="preserve"> </w:t>
      </w:r>
    </w:p>
    <w:p w:rsidR="009613B4" w:rsidRDefault="009613B4" w:rsidP="009613B4">
      <w:pPr>
        <w:snapToGrid w:val="0"/>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建筑给水排水工程（第七版），</w:t>
      </w:r>
    </w:p>
    <w:p w:rsidR="009613B4" w:rsidRDefault="009613B4" w:rsidP="009613B4">
      <w:pPr>
        <w:snapToGrid w:val="0"/>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王增长，中国建筑工业出版社，2016年12月出版。</w:t>
      </w:r>
    </w:p>
    <w:p w:rsidR="009613B4" w:rsidRDefault="009613B4" w:rsidP="009613B4">
      <w:pPr>
        <w:spacing w:line="560" w:lineRule="exact"/>
        <w:rPr>
          <w:rFonts w:ascii="仿宋_GB2312" w:hAnsi="仿宋_GB2312" w:cs="仿宋_GB2312"/>
          <w:sz w:val="28"/>
          <w:szCs w:val="28"/>
        </w:rPr>
      </w:pPr>
      <w:r>
        <w:rPr>
          <w:rFonts w:ascii="仿宋_GB2312" w:hAnsi="仿宋_GB2312" w:cs="仿宋_GB2312" w:hint="eastAsia"/>
          <w:sz w:val="28"/>
          <w:szCs w:val="28"/>
        </w:rPr>
        <w:t xml:space="preserve">2.主要参考资料： </w:t>
      </w:r>
    </w:p>
    <w:p w:rsidR="009613B4" w:rsidRDefault="009613B4" w:rsidP="009613B4">
      <w:pPr>
        <w:spacing w:line="560" w:lineRule="exact"/>
        <w:jc w:val="left"/>
        <w:rPr>
          <w:rFonts w:ascii="仿宋_GB2312" w:hAnsi="仿宋_GB2312" w:cs="仿宋_GB2312"/>
          <w:sz w:val="28"/>
          <w:szCs w:val="28"/>
        </w:rPr>
      </w:pPr>
      <w:r>
        <w:rPr>
          <w:rFonts w:ascii="仿宋_GB2312" w:hAnsi="仿宋_GB2312" w:cs="仿宋_GB2312" w:hint="eastAsia"/>
          <w:sz w:val="28"/>
          <w:szCs w:val="28"/>
        </w:rPr>
        <w:t>（1）《建筑给水排水设计规范》GB 50015—2019版</w:t>
      </w:r>
    </w:p>
    <w:p w:rsidR="009613B4" w:rsidRDefault="009613B4" w:rsidP="009613B4">
      <w:pPr>
        <w:spacing w:line="560" w:lineRule="exact"/>
        <w:jc w:val="left"/>
        <w:rPr>
          <w:rFonts w:ascii="仿宋_GB2312" w:hAnsi="仿宋_GB2312" w:cs="仿宋_GB2312"/>
          <w:sz w:val="28"/>
          <w:szCs w:val="28"/>
        </w:rPr>
      </w:pPr>
      <w:r>
        <w:rPr>
          <w:rFonts w:ascii="仿宋_GB2312" w:hAnsi="仿宋_GB2312" w:cs="仿宋_GB2312" w:hint="eastAsia"/>
          <w:sz w:val="28"/>
          <w:szCs w:val="28"/>
        </w:rPr>
        <w:t>（2）《民用建筑节水设计标准》GB 50555—2010</w:t>
      </w:r>
      <w:r>
        <w:rPr>
          <w:rFonts w:ascii="仿宋_GB2312" w:hAnsi="仿宋_GB2312" w:cs="仿宋_GB2312" w:hint="eastAsia"/>
          <w:sz w:val="28"/>
          <w:szCs w:val="28"/>
        </w:rPr>
        <w:br/>
        <w:t>（3）《全国民用建筑工程设计技术措施》—给水排水2009JSCS—3</w:t>
      </w:r>
      <w:r>
        <w:rPr>
          <w:rFonts w:ascii="仿宋_GB2312" w:hAnsi="仿宋_GB2312" w:cs="仿宋_GB2312" w:hint="eastAsia"/>
          <w:sz w:val="28"/>
          <w:szCs w:val="28"/>
        </w:rPr>
        <w:br/>
        <w:t>（4）《建筑设计防火规范》GB 50016—2014</w:t>
      </w:r>
      <w:r>
        <w:rPr>
          <w:rFonts w:ascii="仿宋_GB2312" w:hAnsi="仿宋_GB2312" w:cs="仿宋_GB2312" w:hint="eastAsia"/>
          <w:sz w:val="28"/>
          <w:szCs w:val="28"/>
        </w:rPr>
        <w:br/>
        <w:t>（5）《消防给水及消火栓系统技术规范》GB50974—2014</w:t>
      </w:r>
      <w:r>
        <w:rPr>
          <w:rFonts w:ascii="仿宋_GB2312" w:hAnsi="仿宋_GB2312" w:cs="仿宋_GB2312" w:hint="eastAsia"/>
          <w:sz w:val="28"/>
          <w:szCs w:val="28"/>
        </w:rPr>
        <w:br/>
        <w:t>（6）《自动喷水灭火系统设计规范》GB 50084—2017</w:t>
      </w:r>
    </w:p>
    <w:p w:rsidR="009613B4" w:rsidRDefault="009613B4" w:rsidP="009613B4">
      <w:pPr>
        <w:spacing w:line="560" w:lineRule="exact"/>
        <w:jc w:val="left"/>
        <w:rPr>
          <w:rFonts w:ascii="仿宋_GB2312" w:hAnsi="仿宋_GB2312" w:cs="仿宋_GB2312"/>
          <w:sz w:val="28"/>
          <w:szCs w:val="28"/>
        </w:rPr>
      </w:pPr>
      <w:r>
        <w:rPr>
          <w:rFonts w:ascii="仿宋_GB2312" w:hAnsi="仿宋_GB2312" w:cs="仿宋_GB2312" w:hint="eastAsia"/>
          <w:sz w:val="28"/>
          <w:szCs w:val="28"/>
        </w:rPr>
        <w:t>（7）建筑给排水设计图集</w:t>
      </w:r>
    </w:p>
    <w:p w:rsidR="009613B4" w:rsidRDefault="009613B4" w:rsidP="009613B4">
      <w:pPr>
        <w:spacing w:line="560" w:lineRule="exact"/>
        <w:jc w:val="left"/>
        <w:rPr>
          <w:rFonts w:ascii="仿宋_GB2312" w:hAnsi="仿宋_GB2312" w:cs="仿宋_GB2312"/>
          <w:sz w:val="28"/>
          <w:szCs w:val="28"/>
        </w:rPr>
      </w:pPr>
      <w:r>
        <w:rPr>
          <w:rFonts w:ascii="仿宋_GB2312" w:hAnsi="仿宋_GB2312" w:cs="仿宋_GB2312" w:hint="eastAsia"/>
          <w:sz w:val="28"/>
          <w:szCs w:val="28"/>
        </w:rPr>
        <w:t>（8）建筑灭火器配置设计规范 GB 50140-2005.</w:t>
      </w:r>
    </w:p>
    <w:p w:rsidR="009613B4" w:rsidRDefault="009613B4" w:rsidP="009613B4">
      <w:pPr>
        <w:spacing w:line="560" w:lineRule="exact"/>
        <w:jc w:val="left"/>
        <w:rPr>
          <w:rFonts w:ascii="仿宋_GB2312" w:hAnsi="仿宋_GB2312" w:cs="仿宋_GB2312"/>
          <w:sz w:val="28"/>
          <w:szCs w:val="28"/>
        </w:rPr>
      </w:pPr>
      <w:r>
        <w:rPr>
          <w:rFonts w:ascii="仿宋_GB2312" w:hAnsi="仿宋_GB2312" w:cs="仿宋_GB2312" w:hint="eastAsia"/>
          <w:sz w:val="28"/>
          <w:szCs w:val="28"/>
        </w:rPr>
        <w:t>（9）气体灭火系统设计规范GB 50370—2005</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9613B4" w:rsidRPr="008B4EA8" w:rsidRDefault="009613B4" w:rsidP="008B4EA8">
      <w:pPr>
        <w:spacing w:line="560" w:lineRule="exact"/>
        <w:jc w:val="left"/>
        <w:rPr>
          <w:rFonts w:ascii="仿宋_GB2312" w:hAnsi="仿宋_GB2312" w:cs="仿宋_GB2312"/>
          <w:sz w:val="28"/>
          <w:szCs w:val="28"/>
        </w:rPr>
      </w:pPr>
      <w:r w:rsidRPr="008B4EA8">
        <w:rPr>
          <w:rFonts w:ascii="仿宋_GB2312" w:hAnsi="仿宋_GB2312" w:cs="仿宋_GB2312"/>
          <w:sz w:val="28"/>
          <w:szCs w:val="28"/>
        </w:rPr>
        <w:t>1、教学中应注重基本知识、基本理论和基本方法的讲授，做到精讲多练。</w:t>
      </w:r>
    </w:p>
    <w:p w:rsidR="009613B4" w:rsidRPr="008B4EA8" w:rsidRDefault="009613B4" w:rsidP="008B4EA8">
      <w:pPr>
        <w:spacing w:line="560" w:lineRule="exact"/>
        <w:jc w:val="left"/>
        <w:rPr>
          <w:rFonts w:ascii="仿宋_GB2312" w:hAnsi="仿宋_GB2312" w:cs="仿宋_GB2312"/>
          <w:sz w:val="28"/>
          <w:szCs w:val="28"/>
        </w:rPr>
      </w:pPr>
      <w:r w:rsidRPr="008B4EA8">
        <w:rPr>
          <w:rFonts w:ascii="仿宋_GB2312" w:hAnsi="仿宋_GB2312" w:cs="仿宋_GB2312"/>
          <w:sz w:val="28"/>
          <w:szCs w:val="28"/>
        </w:rPr>
        <w:t>2、抓好课程设计环节，重视学生实践能力的培养。</w:t>
      </w:r>
    </w:p>
    <w:p w:rsidR="009613B4" w:rsidRPr="008B4EA8" w:rsidRDefault="009613B4" w:rsidP="008B4EA8">
      <w:pPr>
        <w:spacing w:line="560" w:lineRule="exact"/>
        <w:jc w:val="left"/>
        <w:rPr>
          <w:rFonts w:ascii="仿宋_GB2312" w:hAnsi="仿宋_GB2312" w:cs="仿宋_GB2312"/>
          <w:sz w:val="28"/>
          <w:szCs w:val="28"/>
        </w:rPr>
      </w:pPr>
      <w:r w:rsidRPr="008B4EA8">
        <w:rPr>
          <w:rFonts w:ascii="仿宋_GB2312" w:hAnsi="仿宋_GB2312" w:cs="仿宋_GB2312"/>
          <w:sz w:val="28"/>
          <w:szCs w:val="28"/>
        </w:rPr>
        <w:t>3、课程设计综合所学理论，培养学生拟定方案，并对方案的特点进行分析和运用，同时进一步提高学生计算和绘图等能力。设计成绩单独评分。</w:t>
      </w:r>
    </w:p>
    <w:p w:rsidR="009613B4" w:rsidRPr="008B4EA8" w:rsidRDefault="009613B4" w:rsidP="008B4EA8">
      <w:pPr>
        <w:spacing w:line="560" w:lineRule="exact"/>
        <w:jc w:val="left"/>
        <w:rPr>
          <w:rFonts w:ascii="仿宋_GB2312" w:hAnsi="仿宋_GB2312" w:cs="仿宋_GB2312"/>
          <w:sz w:val="28"/>
          <w:szCs w:val="28"/>
        </w:rPr>
      </w:pPr>
      <w:r w:rsidRPr="008B4EA8">
        <w:rPr>
          <w:rFonts w:ascii="仿宋_GB2312" w:hAnsi="仿宋_GB2312" w:cs="仿宋_GB2312"/>
          <w:sz w:val="28"/>
          <w:szCs w:val="28"/>
        </w:rPr>
        <w:t>4、大纲内章节的顺序和内容的安排仅供参考，教师可根据情况作适当的变动。</w:t>
      </w:r>
    </w:p>
    <w:p w:rsidR="009613B4" w:rsidRDefault="009613B4" w:rsidP="009613B4">
      <w:pPr>
        <w:spacing w:line="360" w:lineRule="auto"/>
        <w:rPr>
          <w:rFonts w:ascii="仿宋_GB2312" w:hAnsi="仿宋_GB2312" w:cs="仿宋_GB2312"/>
          <w:sz w:val="28"/>
          <w:szCs w:val="28"/>
        </w:rPr>
      </w:pPr>
    </w:p>
    <w:p w:rsidR="009613B4" w:rsidRDefault="009613B4" w:rsidP="009613B4">
      <w:pPr>
        <w:spacing w:line="400" w:lineRule="exact"/>
        <w:ind w:leftChars="100" w:left="320"/>
        <w:rPr>
          <w:rFonts w:ascii="Times New Roman" w:hAnsi="宋体"/>
          <w:b/>
          <w:sz w:val="24"/>
        </w:rPr>
      </w:pPr>
      <w:r>
        <w:rPr>
          <w:rStyle w:val="fontstyle01"/>
          <w:rFonts w:hint="default"/>
          <w:sz w:val="22"/>
          <w:szCs w:val="22"/>
        </w:rPr>
        <w:t>。</w:t>
      </w:r>
    </w:p>
    <w:bookmarkEnd w:id="54"/>
    <w:p w:rsidR="009613B4" w:rsidRDefault="009613B4" w:rsidP="009613B4">
      <w:pPr>
        <w:spacing w:line="360" w:lineRule="auto"/>
        <w:ind w:firstLineChars="1500" w:firstLine="4200"/>
        <w:rPr>
          <w:rFonts w:ascii="仿宋" w:eastAsia="仿宋" w:hAnsi="仿宋"/>
          <w:sz w:val="28"/>
          <w:szCs w:val="28"/>
        </w:rPr>
      </w:pPr>
      <w:r>
        <w:rPr>
          <w:rFonts w:ascii="仿宋" w:eastAsia="仿宋" w:hAnsi="仿宋" w:hint="eastAsia"/>
          <w:sz w:val="28"/>
          <w:szCs w:val="28"/>
        </w:rPr>
        <w:lastRenderedPageBreak/>
        <w:t>大纲撰写人：杨利伟、杨东娟</w:t>
      </w:r>
    </w:p>
    <w:p w:rsidR="009613B4" w:rsidRDefault="009613B4" w:rsidP="009613B4">
      <w:pPr>
        <w:spacing w:line="360" w:lineRule="auto"/>
        <w:ind w:firstLineChars="1500" w:firstLine="4200"/>
        <w:rPr>
          <w:rFonts w:ascii="仿宋" w:eastAsia="仿宋" w:hAnsi="仿宋"/>
          <w:sz w:val="28"/>
          <w:szCs w:val="28"/>
        </w:rPr>
      </w:pPr>
      <w:r>
        <w:rPr>
          <w:rFonts w:ascii="仿宋" w:eastAsia="仿宋" w:hAnsi="仿宋" w:hint="eastAsia"/>
          <w:sz w:val="28"/>
          <w:szCs w:val="28"/>
        </w:rPr>
        <w:t>课程负责人：杨东娟</w:t>
      </w:r>
    </w:p>
    <w:p w:rsidR="009613B4" w:rsidRDefault="009613B4" w:rsidP="009613B4">
      <w:pPr>
        <w:spacing w:line="360" w:lineRule="auto"/>
        <w:ind w:firstLineChars="1700" w:firstLine="4760"/>
        <w:rPr>
          <w:rFonts w:ascii="仿宋" w:eastAsia="仿宋" w:hAnsi="仿宋"/>
          <w:sz w:val="28"/>
          <w:szCs w:val="28"/>
        </w:rPr>
      </w:pPr>
      <w:r>
        <w:rPr>
          <w:rFonts w:ascii="仿宋" w:eastAsia="仿宋" w:hAnsi="仿宋" w:hint="eastAsia"/>
          <w:sz w:val="28"/>
          <w:szCs w:val="28"/>
        </w:rPr>
        <w:t>审核人：杨利伟</w:t>
      </w:r>
    </w:p>
    <w:p w:rsidR="009613B4" w:rsidRDefault="009613B4" w:rsidP="009613B4">
      <w:pPr>
        <w:snapToGrid w:val="0"/>
        <w:rPr>
          <w:rFonts w:ascii="Times New Roman" w:hAnsi="Times New Roman"/>
          <w:szCs w:val="21"/>
        </w:rPr>
      </w:pPr>
    </w:p>
    <w:p w:rsidR="009613B4" w:rsidRDefault="009613B4" w:rsidP="008B4EA8">
      <w:pPr>
        <w:ind w:left="4480" w:hangingChars="1400" w:hanging="4480"/>
        <w:rPr>
          <w:rFonts w:eastAsia="宋体"/>
        </w:rPr>
      </w:pPr>
      <w:r>
        <w:rPr>
          <w:rFonts w:hint="eastAsia"/>
        </w:rPr>
        <w:t xml:space="preserve">                                                                                                                    </w:t>
      </w:r>
      <w:r>
        <w:rPr>
          <w:rFonts w:ascii="仿宋_GB2312" w:hAnsi="仿宋_GB2312" w:cs="仿宋_GB2312" w:hint="eastAsia"/>
          <w:sz w:val="28"/>
          <w:szCs w:val="28"/>
        </w:rPr>
        <w:t xml:space="preserve">   2021年4月</w:t>
      </w:r>
    </w:p>
    <w:p w:rsidR="009613B4" w:rsidRDefault="009613B4" w:rsidP="009613B4">
      <w:pPr>
        <w:snapToGrid w:val="0"/>
        <w:ind w:left="420" w:firstLineChars="157" w:firstLine="504"/>
        <w:rPr>
          <w:rFonts w:ascii="Times New Roman" w:hAnsi="Times New Roman"/>
          <w:b/>
          <w:szCs w:val="21"/>
        </w:rPr>
      </w:pPr>
    </w:p>
    <w:p w:rsidR="009613B4" w:rsidRDefault="009613B4" w:rsidP="009613B4">
      <w:pPr>
        <w:widowControl/>
        <w:spacing w:line="400" w:lineRule="exact"/>
        <w:rPr>
          <w:rFonts w:ascii="黑体" w:eastAsia="黑体" w:hAnsi="黑体" w:cs="宋体"/>
          <w:bCs/>
          <w:color w:val="000000"/>
          <w:kern w:val="0"/>
          <w:szCs w:val="32"/>
        </w:rPr>
      </w:pPr>
    </w:p>
    <w:p w:rsidR="009613B4" w:rsidRDefault="009613B4" w:rsidP="009613B4">
      <w:pPr>
        <w:widowControl/>
        <w:spacing w:line="400" w:lineRule="exact"/>
        <w:rPr>
          <w:rFonts w:ascii="黑体" w:eastAsia="黑体" w:hAnsi="黑体" w:cs="宋体"/>
          <w:bCs/>
          <w:color w:val="000000"/>
          <w:kern w:val="0"/>
          <w:szCs w:val="32"/>
        </w:rPr>
      </w:pPr>
    </w:p>
    <w:p w:rsidR="009613B4" w:rsidRDefault="009613B4" w:rsidP="009613B4">
      <w:pPr>
        <w:widowControl/>
        <w:spacing w:line="400" w:lineRule="exact"/>
        <w:rPr>
          <w:rFonts w:ascii="黑体" w:eastAsia="黑体" w:hAnsi="黑体" w:cs="宋体"/>
          <w:bCs/>
          <w:color w:val="000000"/>
          <w:kern w:val="0"/>
          <w:szCs w:val="32"/>
        </w:rPr>
      </w:pPr>
    </w:p>
    <w:p w:rsidR="009613B4" w:rsidRDefault="009613B4" w:rsidP="009613B4">
      <w:pPr>
        <w:widowControl/>
        <w:spacing w:line="400" w:lineRule="exact"/>
        <w:rPr>
          <w:rFonts w:ascii="黑体" w:eastAsia="黑体" w:hAnsi="黑体" w:cs="宋体"/>
          <w:bCs/>
          <w:color w:val="000000"/>
          <w:kern w:val="0"/>
          <w:szCs w:val="32"/>
        </w:rPr>
      </w:pPr>
    </w:p>
    <w:p w:rsidR="009613B4" w:rsidRDefault="009613B4" w:rsidP="009613B4">
      <w:pPr>
        <w:widowControl/>
        <w:spacing w:line="400" w:lineRule="exact"/>
        <w:rPr>
          <w:rFonts w:ascii="黑体" w:eastAsia="黑体" w:hAnsi="黑体" w:cs="宋体"/>
          <w:bCs/>
          <w:color w:val="000000"/>
          <w:kern w:val="0"/>
          <w:szCs w:val="32"/>
        </w:rPr>
      </w:pPr>
    </w:p>
    <w:p w:rsidR="009613B4" w:rsidRDefault="009613B4"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bCs/>
          <w:color w:val="000000"/>
          <w:kern w:val="0"/>
          <w:szCs w:val="32"/>
        </w:rPr>
      </w:pPr>
    </w:p>
    <w:p w:rsidR="008B4EA8" w:rsidRDefault="008B4EA8" w:rsidP="009613B4">
      <w:pPr>
        <w:widowControl/>
        <w:spacing w:line="400" w:lineRule="exact"/>
        <w:rPr>
          <w:rFonts w:ascii="黑体" w:eastAsia="黑体" w:hAnsi="黑体" w:cs="宋体" w:hint="eastAsia"/>
          <w:bCs/>
          <w:color w:val="000000"/>
          <w:kern w:val="0"/>
          <w:szCs w:val="32"/>
        </w:rPr>
      </w:pPr>
    </w:p>
    <w:p w:rsidR="009613B4" w:rsidRDefault="009613B4" w:rsidP="009613B4">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bookmarkStart w:id="55" w:name="_Hlk69115792"/>
      <w:r>
        <w:rPr>
          <w:rFonts w:ascii="方正小标宋简体" w:eastAsia="方正小标宋简体" w:hAnsi="宋体" w:hint="eastAsia"/>
          <w:kern w:val="0"/>
          <w:szCs w:val="32"/>
        </w:rPr>
        <w:t>城镇防洪与</w:t>
      </w:r>
      <w:bookmarkStart w:id="56" w:name="_Hlk69115124"/>
      <w:r>
        <w:rPr>
          <w:rFonts w:ascii="方正小标宋简体" w:eastAsia="方正小标宋简体" w:hAnsi="宋体" w:hint="eastAsia"/>
          <w:kern w:val="0"/>
          <w:szCs w:val="32"/>
        </w:rPr>
        <w:t>雨洪控制</w:t>
      </w:r>
      <w:bookmarkEnd w:id="55"/>
      <w:bookmarkEnd w:id="56"/>
      <w:r>
        <w:rPr>
          <w:rFonts w:ascii="方正小标宋简体" w:eastAsia="方正小标宋简体" w:hAnsi="宋体" w:hint="eastAsia"/>
          <w:kern w:val="0"/>
          <w:szCs w:val="32"/>
        </w:rPr>
        <w:t>》课程教学大纲</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Urban Flood Control and Rainwater Utilization</w:t>
      </w:r>
    </w:p>
    <w:p w:rsidR="009613B4" w:rsidRDefault="009613B4" w:rsidP="009613B4">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Z2806300</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9613B4" w:rsidRDefault="009613B4" w:rsidP="009613B4">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w:t>
      </w:r>
    </w:p>
    <w:p w:rsidR="009613B4" w:rsidRDefault="009613B4" w:rsidP="009613B4">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时：16学时（授课16，实验0，上机0，课外0）</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适用对象：给排水科学与工程、给排水科学与工程（卓越工程师）专业</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先修课程：无</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9613B4" w:rsidRDefault="009613B4" w:rsidP="009613B4">
      <w:pPr>
        <w:spacing w:beforeLines="50" w:before="156" w:afterLines="50" w:after="156"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w:t>
      </w:r>
      <w:bookmarkStart w:id="57" w:name="_Hlk69115375"/>
      <w:r>
        <w:rPr>
          <w:rFonts w:ascii="仿宋_GB2312" w:hAnsi="仿宋_GB2312" w:cs="仿宋_GB2312" w:hint="eastAsia"/>
          <w:sz w:val="28"/>
          <w:szCs w:val="28"/>
        </w:rPr>
        <w:t>城镇防洪与雨洪控制</w:t>
      </w:r>
      <w:bookmarkEnd w:id="57"/>
      <w:r>
        <w:rPr>
          <w:rFonts w:ascii="仿宋_GB2312" w:hAnsi="仿宋_GB2312" w:cs="仿宋_GB2312" w:hint="eastAsia"/>
          <w:sz w:val="28"/>
          <w:szCs w:val="28"/>
        </w:rPr>
        <w:t>》课程是针对水资源短缺，城镇洪涝灾害的防止和雨洪的资源化利用所专门开设的课程，符合坚持节约资源和保护环境的基本国策要求。通过本课程的学习，使学生了解我国城镇防洪的现状和特点以及防洪的意义，雨水管理模型、雨水管理系统及雨水系统利用规划、设施、工程设计与典型工程实例。重点学习和掌握设计洪水流量的推求、城镇防洪的总体规划、防洪的工程措施和非工程措施以及防洪工程的评价和管理，雨水管理模型及雨水管理与利</w:t>
      </w:r>
      <w:r>
        <w:rPr>
          <w:rFonts w:ascii="仿宋_GB2312" w:hAnsi="仿宋_GB2312" w:cs="仿宋_GB2312" w:hint="eastAsia"/>
          <w:sz w:val="28"/>
          <w:szCs w:val="28"/>
        </w:rPr>
        <w:lastRenderedPageBreak/>
        <w:t>用。在掌握传统的、常规的、惯用的防水、治洪、治水方法的同时，了解近些年来的基于低影响开发的海绵城市建设等的新思想、新方法、新技术。</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9613B4" w:rsidRDefault="009613B4" w:rsidP="009613B4">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9613B4" w:rsidRDefault="009613B4" w:rsidP="009613B4">
      <w:pPr>
        <w:spacing w:line="560" w:lineRule="exact"/>
        <w:ind w:firstLineChars="203" w:firstLine="568"/>
        <w:rPr>
          <w:rFonts w:ascii="仿宋_GB2312" w:hAnsi="仿宋_GB2312" w:cs="仿宋_GB2312"/>
          <w:sz w:val="28"/>
          <w:szCs w:val="28"/>
        </w:rPr>
      </w:pPr>
      <w:r>
        <w:rPr>
          <w:rFonts w:ascii="仿宋_GB2312" w:hAnsi="仿宋_GB2312" w:cs="仿宋_GB2312" w:hint="eastAsia"/>
          <w:sz w:val="28"/>
          <w:szCs w:val="28"/>
        </w:rPr>
        <w:t>随着城市化进程的加快，大批中小城镇蓬勃兴起，其中大多数城镇在进行城市规划建设时没有充分考虑防洪要求，存在很大的洪灾风险。“十一五”全国水利规划计划中，明确将涉及人民群众生命财产安全领域的研究作为工作的重心。在这样的背景下，有关城镇防洪减灾方面课题的研究已经成为我国21世纪可持续发展的重大课题，越来越引起人们的重视。《城镇防洪与雨洪控制》的目的就是：通过理论知识与工程实例的联合教学，加深学生对基本概念和基本原理的理解，巩固课堂教学中学到的知识；在了解传统的、常规的、惯用的防洪治水方法和技术的基础上，学会设计洪水流量的推求，掌握基本的防洪工程措施，熟悉防洪工程的管理、评价及非工程措施相关知识，知道雨洪利用的基本途径和方法；初步掌握《城镇防洪与雨洪控制》的基本知识，掌握洪水的预测、推求、预防和后期利用的内容及相应的方式方法。</w:t>
      </w:r>
    </w:p>
    <w:p w:rsidR="009613B4" w:rsidRDefault="009613B4" w:rsidP="009613B4">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 xml:space="preserve">. </w:t>
      </w:r>
      <w:r>
        <w:rPr>
          <w:rFonts w:ascii="仿宋_GB2312" w:hAnsi="仿宋_GB2312" w:cs="仿宋_GB2312" w:hint="eastAsia"/>
          <w:sz w:val="28"/>
          <w:szCs w:val="28"/>
        </w:rPr>
        <w:t>课程基本要求：</w:t>
      </w:r>
    </w:p>
    <w:p w:rsidR="009613B4" w:rsidRDefault="009613B4" w:rsidP="009613B4">
      <w:pPr>
        <w:spacing w:line="360" w:lineRule="auto"/>
        <w:ind w:firstLine="329"/>
        <w:rPr>
          <w:rFonts w:ascii="仿宋_GB2312" w:hAnsi="仿宋_GB2312" w:cs="仿宋_GB2312"/>
          <w:bCs/>
          <w:sz w:val="28"/>
          <w:szCs w:val="28"/>
        </w:rPr>
      </w:pPr>
      <w:r>
        <w:rPr>
          <w:rFonts w:ascii="仿宋_GB2312" w:hAnsi="仿宋_GB2312" w:cs="仿宋_GB2312" w:hint="eastAsia"/>
          <w:bCs/>
          <w:sz w:val="28"/>
          <w:szCs w:val="28"/>
        </w:rPr>
        <w:t>2.1课程目标</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知识目标：了解城镇防洪基本概念、设计洪水流量的推求及城镇防洪总规应该注意的问题；掌握城镇防洪的工程措施和非工程措施及防洪工程评价和管理；了解城镇雨水管理模型及其常用模拟软</w:t>
      </w:r>
      <w:r>
        <w:rPr>
          <w:rFonts w:ascii="仿宋_GB2312" w:hAnsi="仿宋_GB2312" w:cs="仿宋_GB2312" w:hint="eastAsia"/>
          <w:sz w:val="28"/>
          <w:szCs w:val="28"/>
        </w:rPr>
        <w:lastRenderedPageBreak/>
        <w:t>件和其未来发展方向；</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能力目标：升华对水工程的认知，学会在实际工程中加以应用；注重有关城镇防洪减灾方面的课题研究；成为具有实时创新能力的技术人才。</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情感态度与价值观目标：加强专业素养，树立专业自信和职业责任感，明确自身价值，规划职业发展，激发爱国热情。</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495"/>
        <w:gridCol w:w="499"/>
        <w:gridCol w:w="499"/>
        <w:gridCol w:w="487"/>
        <w:gridCol w:w="487"/>
        <w:gridCol w:w="494"/>
        <w:gridCol w:w="499"/>
        <w:gridCol w:w="488"/>
        <w:gridCol w:w="488"/>
        <w:gridCol w:w="512"/>
        <w:gridCol w:w="512"/>
        <w:gridCol w:w="512"/>
      </w:tblGrid>
      <w:tr w:rsidR="009613B4" w:rsidTr="008C3907">
        <w:trPr>
          <w:trHeight w:hRule="exact" w:val="454"/>
          <w:jc w:val="center"/>
        </w:trPr>
        <w:tc>
          <w:tcPr>
            <w:tcW w:w="2743" w:type="dxa"/>
            <w:vMerge w:val="restart"/>
            <w:shd w:val="clear" w:color="auto" w:fill="auto"/>
            <w:vAlign w:val="center"/>
          </w:tcPr>
          <w:p w:rsidR="009613B4" w:rsidRDefault="009613B4" w:rsidP="008C3907">
            <w:pPr>
              <w:spacing w:line="360" w:lineRule="auto"/>
              <w:jc w:val="center"/>
              <w:rPr>
                <w:rFonts w:ascii="仿宋_GB2312" w:hAnsi="仿宋_GB2312" w:cs="仿宋_GB2312"/>
                <w:bCs/>
                <w:sz w:val="28"/>
                <w:szCs w:val="28"/>
              </w:rPr>
            </w:pPr>
            <w:r>
              <w:rPr>
                <w:rFonts w:ascii="仿宋_GB2312" w:hAnsi="仿宋_GB2312" w:cs="仿宋_GB2312" w:hint="eastAsia"/>
                <w:bCs/>
                <w:sz w:val="24"/>
                <w:szCs w:val="24"/>
              </w:rPr>
              <w:t>课程目标</w:t>
            </w:r>
          </w:p>
        </w:tc>
        <w:tc>
          <w:tcPr>
            <w:tcW w:w="6233" w:type="dxa"/>
            <w:gridSpan w:val="12"/>
            <w:shd w:val="clear" w:color="auto" w:fill="auto"/>
            <w:vAlign w:val="center"/>
          </w:tcPr>
          <w:p w:rsidR="009613B4" w:rsidRDefault="009613B4" w:rsidP="008C3907">
            <w:pPr>
              <w:jc w:val="center"/>
              <w:rPr>
                <w:rFonts w:ascii="仿宋_GB2312" w:hAnsi="仿宋_GB2312" w:cs="仿宋_GB2312"/>
                <w:bCs/>
                <w:sz w:val="28"/>
                <w:szCs w:val="28"/>
              </w:rPr>
            </w:pPr>
            <w:r>
              <w:rPr>
                <w:rFonts w:ascii="仿宋_GB2312" w:hAnsi="仿宋_GB2312" w:cs="仿宋_GB2312" w:hint="eastAsia"/>
                <w:bCs/>
                <w:sz w:val="24"/>
                <w:szCs w:val="24"/>
              </w:rPr>
              <w:t>毕业要求</w:t>
            </w:r>
          </w:p>
        </w:tc>
      </w:tr>
      <w:tr w:rsidR="009613B4" w:rsidTr="008C3907">
        <w:trPr>
          <w:trHeight w:hRule="exact" w:val="454"/>
          <w:jc w:val="center"/>
        </w:trPr>
        <w:tc>
          <w:tcPr>
            <w:tcW w:w="2743" w:type="dxa"/>
            <w:vMerge/>
            <w:shd w:val="clear" w:color="auto" w:fill="auto"/>
          </w:tcPr>
          <w:p w:rsidR="009613B4" w:rsidRDefault="009613B4" w:rsidP="008C3907">
            <w:pPr>
              <w:spacing w:line="360" w:lineRule="auto"/>
              <w:rPr>
                <w:rFonts w:ascii="仿宋_GB2312" w:hAnsi="仿宋_GB2312" w:cs="仿宋_GB2312"/>
                <w:bCs/>
                <w:sz w:val="28"/>
                <w:szCs w:val="28"/>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1</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2</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3</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4</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5</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6</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7</w:t>
            </w:r>
          </w:p>
        </w:tc>
        <w:tc>
          <w:tcPr>
            <w:tcW w:w="520"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8</w:t>
            </w:r>
          </w:p>
        </w:tc>
        <w:tc>
          <w:tcPr>
            <w:tcW w:w="520"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9</w:t>
            </w:r>
          </w:p>
        </w:tc>
        <w:tc>
          <w:tcPr>
            <w:tcW w:w="520"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10</w:t>
            </w:r>
          </w:p>
        </w:tc>
        <w:tc>
          <w:tcPr>
            <w:tcW w:w="520"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11</w:t>
            </w:r>
          </w:p>
        </w:tc>
        <w:tc>
          <w:tcPr>
            <w:tcW w:w="520"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12</w:t>
            </w:r>
          </w:p>
        </w:tc>
      </w:tr>
      <w:tr w:rsidR="009613B4" w:rsidTr="008C3907">
        <w:trPr>
          <w:trHeight w:hRule="exact" w:val="454"/>
          <w:jc w:val="center"/>
        </w:trPr>
        <w:tc>
          <w:tcPr>
            <w:tcW w:w="2743"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知识目标</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r>
      <w:tr w:rsidR="009613B4" w:rsidTr="008C3907">
        <w:trPr>
          <w:trHeight w:hRule="exact" w:val="454"/>
          <w:jc w:val="center"/>
        </w:trPr>
        <w:tc>
          <w:tcPr>
            <w:tcW w:w="2743" w:type="dxa"/>
            <w:shd w:val="clear" w:color="auto" w:fill="auto"/>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能力目标</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H</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H</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r>
      <w:tr w:rsidR="009613B4" w:rsidTr="008C3907">
        <w:trPr>
          <w:trHeight w:hRule="exact" w:val="454"/>
          <w:jc w:val="center"/>
        </w:trPr>
        <w:tc>
          <w:tcPr>
            <w:tcW w:w="2743" w:type="dxa"/>
            <w:shd w:val="clear" w:color="auto" w:fill="auto"/>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情感态度与价值观目标</w:t>
            </w:r>
          </w:p>
        </w:tc>
        <w:tc>
          <w:tcPr>
            <w:tcW w:w="519" w:type="dxa"/>
            <w:shd w:val="clear" w:color="auto" w:fill="auto"/>
            <w:vAlign w:val="center"/>
          </w:tcPr>
          <w:p w:rsidR="009613B4" w:rsidRDefault="009613B4" w:rsidP="008C3907">
            <w:pPr>
              <w:spacing w:line="360" w:lineRule="auto"/>
              <w:jc w:val="center"/>
              <w:rPr>
                <w:rFonts w:ascii="仿宋_GB2312" w:hAnsi="仿宋_GB2312" w:cs="仿宋_GB2312"/>
                <w:bCs/>
                <w:sz w:val="28"/>
                <w:szCs w:val="28"/>
              </w:rPr>
            </w:pPr>
          </w:p>
        </w:tc>
        <w:tc>
          <w:tcPr>
            <w:tcW w:w="519" w:type="dxa"/>
            <w:shd w:val="clear" w:color="auto" w:fill="auto"/>
            <w:vAlign w:val="center"/>
          </w:tcPr>
          <w:p w:rsidR="009613B4" w:rsidRDefault="009613B4" w:rsidP="008C3907">
            <w:pPr>
              <w:spacing w:line="360" w:lineRule="auto"/>
              <w:jc w:val="center"/>
              <w:rPr>
                <w:rFonts w:ascii="仿宋_GB2312" w:hAnsi="仿宋_GB2312" w:cs="仿宋_GB2312"/>
                <w:bCs/>
                <w:sz w:val="28"/>
                <w:szCs w:val="28"/>
              </w:rPr>
            </w:pP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r>
    </w:tbl>
    <w:p w:rsidR="009613B4" w:rsidRDefault="009613B4" w:rsidP="009613B4">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9613B4" w:rsidRDefault="009613B4" w:rsidP="009613B4">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如何利用现有资料合理推求设计洪水流量。城镇雨水管理基本模型的边界条件及关键参数选取，国外模式如何和中国实践相结合。如何有效整合雨水利用设施以及构建合理的海绵化灰绿系统。</w:t>
      </w:r>
    </w:p>
    <w:p w:rsidR="009613B4" w:rsidRDefault="009613B4" w:rsidP="009613B4">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4. 课程思政设计</w:t>
      </w:r>
    </w:p>
    <w:p w:rsidR="009613B4" w:rsidRDefault="009613B4" w:rsidP="009613B4">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（1）结合历史背景讲述，激发民族自豪感和家国担当情怀</w:t>
      </w:r>
    </w:p>
    <w:p w:rsidR="009613B4" w:rsidRDefault="009613B4" w:rsidP="009613B4">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结合历史背景的讲述，最初有利于吸引学生对知识点的关注，进而加深记忆，最后升华到以爱国主义为核心的思政教育和对追求真知的科学精神培养。例如讲到我国水资源分布时，笔者借助央视拍摄的“话说长江”视频，讲述我国历史上水文科考队1976年和2004年两次探索长江源头的经历。从动态的视频中，学生为长江的深沉与浩大所折服，为祖国的壮美河山感叹自豪，更是对科考人员</w:t>
      </w:r>
      <w:r>
        <w:rPr>
          <w:rFonts w:ascii="仿宋_GB2312" w:hAnsi="仿宋_GB2312" w:cs="仿宋_GB2312" w:hint="eastAsia"/>
          <w:sz w:val="28"/>
          <w:szCs w:val="28"/>
        </w:rPr>
        <w:lastRenderedPageBreak/>
        <w:t>探求长江真正源头的不懈毅力深深敬佩，从而引导学生志存高远，激发学生科技报国的家国情怀和使命担当。</w:t>
      </w:r>
    </w:p>
    <w:p w:rsidR="009613B4" w:rsidRDefault="009613B4" w:rsidP="009613B4">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（2）以实际案例引导，提高学生正确认识、分析和解决问题的能力，培养严谨求实的大国工匠精神</w:t>
      </w:r>
    </w:p>
    <w:p w:rsidR="009613B4" w:rsidRDefault="009613B4" w:rsidP="009613B4">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课堂中讲到特大洪水考证的必要性时，笔者以1955年河北滹沱河黄壁庄水库规划为例。彼时规划初期搜集1919—1955年间20年实测洪水资料，推求千年一遇设计洪峰流量仅为7500 m</w:t>
      </w:r>
      <w:r>
        <w:rPr>
          <w:rFonts w:ascii="仿宋_GB2312" w:hAnsi="仿宋_GB2312" w:cs="仿宋_GB2312" w:hint="eastAsia"/>
          <w:sz w:val="28"/>
          <w:szCs w:val="28"/>
          <w:vertAlign w:val="superscript"/>
        </w:rPr>
        <w:t>3</w:t>
      </w:r>
      <w:r>
        <w:rPr>
          <w:rFonts w:ascii="仿宋_GB2312" w:hAnsi="仿宋_GB2312" w:cs="仿宋_GB2312" w:hint="eastAsia"/>
          <w:sz w:val="28"/>
          <w:szCs w:val="28"/>
        </w:rPr>
        <w:t>/s；但1956年却发生了一次洪峰流量为13100 m</w:t>
      </w:r>
      <w:r>
        <w:rPr>
          <w:rFonts w:ascii="仿宋_GB2312" w:hAnsi="仿宋_GB2312" w:cs="仿宋_GB2312" w:hint="eastAsia"/>
          <w:sz w:val="28"/>
          <w:szCs w:val="28"/>
          <w:vertAlign w:val="superscript"/>
        </w:rPr>
        <w:t>3</w:t>
      </w:r>
      <w:r>
        <w:rPr>
          <w:rFonts w:ascii="仿宋_GB2312" w:hAnsi="仿宋_GB2312" w:cs="仿宋_GB2312" w:hint="eastAsia"/>
          <w:sz w:val="28"/>
          <w:szCs w:val="28"/>
        </w:rPr>
        <w:t>/s的特大洪水，显然原设计成果值得怀疑。让学生意识到推测失误的严重性是正确认识问题的第一步，进而提出是否可将1956年特大洪水直接加入实测系列组成21年的样本资料。通过课堂讨论，引导学生分析出直接进行频率计算并不合适，而应结合历史洪水调查对特大洪水进行处理，提高样本的代表性。那么如何解决问题，即具体如何考证特大洪水重现期，是把问题导向了要学习的具体公式，即重现期N=实测连序系列最近的年份或设计年份-调查或考证到的最远年份或发生年份+1。仍从一个实例出发，1992年以长江重庆-宜昌河段沿岸91处石刻推算1870年宜昌洪峰流量110000 m</w:t>
      </w:r>
      <w:r>
        <w:rPr>
          <w:rFonts w:ascii="仿宋_GB2312" w:hAnsi="仿宋_GB2312" w:cs="仿宋_GB2312" w:hint="eastAsia"/>
          <w:sz w:val="28"/>
          <w:szCs w:val="28"/>
          <w:vertAlign w:val="superscript"/>
        </w:rPr>
        <w:t>3</w:t>
      </w:r>
      <w:r>
        <w:rPr>
          <w:rFonts w:ascii="仿宋_GB2312" w:hAnsi="仿宋_GB2312" w:cs="仿宋_GB2312" w:hint="eastAsia"/>
          <w:sz w:val="28"/>
          <w:szCs w:val="28"/>
        </w:rPr>
        <w:t>/s，则N=1992-1870+1=123（年），学生很自然地提出这么大的洪水平均123年就发生一次，可能性不大。于是通过展示长江岸石壁的两处宋代（1153年）石刻等调查资料，进一步推算洪峰流量为92800 m3/s，且确定自1153年以来1870年洪水最大。由此得出1870年洪水的重现期N=1992-1153+1=840年。通过严谨的推算，帮助学生准确理解知识点（特大</w:t>
      </w:r>
      <w:r>
        <w:rPr>
          <w:rFonts w:ascii="仿宋_GB2312" w:hAnsi="仿宋_GB2312" w:cs="仿宋_GB2312" w:hint="eastAsia"/>
          <w:sz w:val="28"/>
          <w:szCs w:val="28"/>
        </w:rPr>
        <w:lastRenderedPageBreak/>
        <w:t>洪水重现期的计算），提高学生正确认识、分析和解决问题的能力；同时，这也是工程伦理教育的一种强化，加强学生对所学知识的敬畏心，培养严谨求实的大国工匠精神，为日后实际工程的设计埋下职业责任感的种子。</w:t>
      </w:r>
    </w:p>
    <w:p w:rsidR="009613B4" w:rsidRDefault="009613B4" w:rsidP="009613B4">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（3）设立综合性问题，锻炼学生对知识的整合和运用能力，培养未来决策者的全局观</w:t>
      </w:r>
    </w:p>
    <w:p w:rsidR="009613B4" w:rsidRDefault="009613B4" w:rsidP="009613B4">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在课堂教学中帮助学生理清纵向、横向脉络后，还要注重锻炼学生对知识的运用能力，形成完整的学习闭环。如教学完人类活动对河川径流的影响后，可顺势提出“如何理解城市化对径流量及洪峰流量的影响”这一综合性问题，引导学生发散思维，把不同板块所学的零碎知识点进行回忆、整合，包括人口和高层建筑增多对地区小循环的加快、降水量增大、降水次数增加，导致径流量增大；城市化对下垫面的改造带来地面下渗率的下降，易引发城市内涝；城市化进程中雨水排水系统也在不断完善。此时以视频形式向学生展示近几年北上广地区严重的暴雨内涝问题，进而介绍目前城市建设中一些先进的水文管理措施和理念，如低影响开发（LID：Low Impact Development）、可持续城市排水系统（SUDS：Sustainable UrbanDrainage System）、水敏感性城市设计（WSUD：Wa-ter Sensitive Urban Design）。基于这些原则又有多重实践方式，包括绿色屋顶、雨水花园、可渗水铺地等，项目的决策者需要把握所在城市的全局发展，综合考虑，才能判断出最合适的技术模式。这类综合性问题的探讨过程，考验了学生对所学知识的运用能力，并培</w:t>
      </w:r>
      <w:r>
        <w:rPr>
          <w:rFonts w:ascii="仿宋_GB2312" w:hAnsi="仿宋_GB2312" w:cs="仿宋_GB2312" w:hint="eastAsia"/>
          <w:sz w:val="28"/>
          <w:szCs w:val="28"/>
        </w:rPr>
        <w:lastRenderedPageBreak/>
        <w:t>养学生全面看待问题、科学决策的主人翁意识。</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9613B4" w:rsidTr="008C3907">
        <w:trPr>
          <w:cantSplit/>
          <w:trHeight w:val="78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序号</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9613B4" w:rsidTr="008C3907">
        <w:trPr>
          <w:trHeight w:val="42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第一章</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城镇防洪概论</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绪论</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第一章</w:t>
            </w:r>
            <w:r>
              <w:rPr>
                <w:rFonts w:ascii="Times New Roman" w:hAnsi="Times New Roman" w:hint="eastAsia"/>
                <w:kern w:val="0"/>
                <w:sz w:val="20"/>
                <w:szCs w:val="20"/>
              </w:rPr>
              <w:t xml:space="preserve"> </w:t>
            </w:r>
            <w:r>
              <w:rPr>
                <w:rFonts w:ascii="Times New Roman" w:hAnsi="Times New Roman" w:hint="eastAsia"/>
                <w:kern w:val="0"/>
                <w:sz w:val="20"/>
                <w:szCs w:val="20"/>
              </w:rPr>
              <w:t>城镇防洪概论</w:t>
            </w:r>
          </w:p>
          <w:p w:rsidR="009613B4" w:rsidRDefault="009613B4" w:rsidP="008C3907">
            <w:pPr>
              <w:ind w:leftChars="100" w:left="320"/>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洪灾及其防治</w:t>
            </w:r>
            <w:r>
              <w:rPr>
                <w:rFonts w:ascii="Times New Roman" w:hAnsi="Times New Roman"/>
                <w:kern w:val="0"/>
                <w:sz w:val="20"/>
                <w:szCs w:val="20"/>
              </w:rPr>
              <w:br/>
            </w: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城镇防洪的重要意义</w:t>
            </w:r>
            <w:bookmarkStart w:id="58" w:name="OLE_LINK12"/>
            <w:bookmarkStart w:id="59" w:name="OLE_LINK11"/>
          </w:p>
          <w:bookmarkEnd w:id="58"/>
          <w:bookmarkEnd w:id="59"/>
          <w:p w:rsidR="009613B4" w:rsidRDefault="009613B4" w:rsidP="008C3907">
            <w:pPr>
              <w:rPr>
                <w:rFonts w:ascii="Times New Roman" w:hAnsi="Times New Roman"/>
                <w:kern w:val="0"/>
                <w:sz w:val="20"/>
                <w:szCs w:val="20"/>
              </w:rPr>
            </w:pPr>
          </w:p>
        </w:tc>
        <w:tc>
          <w:tcPr>
            <w:tcW w:w="2755" w:type="dxa"/>
            <w:vAlign w:val="center"/>
          </w:tcPr>
          <w:p w:rsidR="009613B4" w:rsidRDefault="009613B4" w:rsidP="005F6318">
            <w:pPr>
              <w:numPr>
                <w:ilvl w:val="0"/>
                <w:numId w:val="58"/>
              </w:numPr>
              <w:autoSpaceDE w:val="0"/>
              <w:autoSpaceDN w:val="0"/>
              <w:spacing w:line="312" w:lineRule="auto"/>
              <w:jc w:val="left"/>
              <w:rPr>
                <w:rFonts w:ascii="Times New Roman" w:hAnsi="Times New Roman"/>
                <w:kern w:val="0"/>
                <w:sz w:val="20"/>
                <w:szCs w:val="20"/>
              </w:rPr>
            </w:pPr>
            <w:r>
              <w:rPr>
                <w:rFonts w:ascii="Times New Roman" w:hAnsi="Times New Roman" w:hint="eastAsia"/>
                <w:kern w:val="0"/>
                <w:sz w:val="20"/>
                <w:szCs w:val="20"/>
              </w:rPr>
              <w:t>熟悉传统的、常规的、惯用的防洪治水方法和技术</w:t>
            </w:r>
          </w:p>
          <w:p w:rsidR="009613B4" w:rsidRDefault="009613B4" w:rsidP="005F6318">
            <w:pPr>
              <w:numPr>
                <w:ilvl w:val="0"/>
                <w:numId w:val="58"/>
              </w:numPr>
              <w:rPr>
                <w:rFonts w:ascii="Times New Roman" w:hAnsi="Times New Roman"/>
                <w:kern w:val="0"/>
                <w:sz w:val="20"/>
                <w:szCs w:val="20"/>
              </w:rPr>
            </w:pPr>
            <w:r>
              <w:rPr>
                <w:rFonts w:ascii="Times New Roman" w:hAnsi="Times New Roman" w:hint="eastAsia"/>
                <w:kern w:val="0"/>
                <w:sz w:val="20"/>
                <w:szCs w:val="20"/>
              </w:rPr>
              <w:t>了解城镇防洪的重要意义</w:t>
            </w:r>
          </w:p>
        </w:tc>
      </w:tr>
      <w:tr w:rsidR="009613B4" w:rsidTr="008C3907">
        <w:trPr>
          <w:trHeight w:val="519"/>
        </w:trPr>
        <w:tc>
          <w:tcPr>
            <w:tcW w:w="512" w:type="dxa"/>
            <w:vAlign w:val="center"/>
          </w:tcPr>
          <w:p w:rsidR="009613B4" w:rsidRDefault="009613B4" w:rsidP="008C3907">
            <w:pPr>
              <w:rPr>
                <w:rFonts w:ascii="Times New Roman" w:hAnsi="Times New Roman"/>
                <w:kern w:val="0"/>
                <w:sz w:val="20"/>
                <w:szCs w:val="20"/>
              </w:rPr>
            </w:pP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9613B4" w:rsidRDefault="009613B4" w:rsidP="008C3907">
            <w:pPr>
              <w:jc w:val="center"/>
              <w:rPr>
                <w:rFonts w:ascii="Times New Roman" w:hAnsi="Times New Roman"/>
                <w:kern w:val="0"/>
                <w:sz w:val="20"/>
                <w:szCs w:val="20"/>
              </w:rPr>
            </w:pPr>
            <w:bookmarkStart w:id="60" w:name="OLE_LINK14"/>
            <w:bookmarkStart w:id="61" w:name="OLE_LINK13"/>
            <w:r>
              <w:rPr>
                <w:rFonts w:ascii="Times New Roman" w:hAnsi="Times New Roman" w:hint="eastAsia"/>
                <w:kern w:val="0"/>
                <w:sz w:val="20"/>
                <w:szCs w:val="20"/>
              </w:rPr>
              <w:t>第二章</w:t>
            </w:r>
          </w:p>
          <w:bookmarkEnd w:id="60"/>
          <w:bookmarkEnd w:id="61"/>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设计洪水流量</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2</w:t>
            </w:r>
          </w:p>
        </w:tc>
        <w:tc>
          <w:tcPr>
            <w:tcW w:w="3059" w:type="dxa"/>
            <w:vAlign w:val="center"/>
          </w:tcPr>
          <w:p w:rsidR="009613B4" w:rsidRDefault="009613B4" w:rsidP="008C3907">
            <w:pPr>
              <w:ind w:left="800" w:hangingChars="400" w:hanging="800"/>
              <w:rPr>
                <w:rFonts w:ascii="Times New Roman" w:hAnsi="Times New Roman"/>
                <w:kern w:val="0"/>
                <w:sz w:val="20"/>
                <w:szCs w:val="20"/>
              </w:rPr>
            </w:pPr>
            <w:r>
              <w:rPr>
                <w:rFonts w:ascii="Times New Roman" w:hAnsi="Times New Roman" w:hint="eastAsia"/>
                <w:kern w:val="0"/>
                <w:sz w:val="20"/>
                <w:szCs w:val="20"/>
              </w:rPr>
              <w:t>第二章</w:t>
            </w:r>
            <w:r>
              <w:rPr>
                <w:rFonts w:ascii="Times New Roman" w:hAnsi="Times New Roman" w:hint="eastAsia"/>
                <w:kern w:val="0"/>
                <w:sz w:val="20"/>
                <w:szCs w:val="20"/>
              </w:rPr>
              <w:t xml:space="preserve"> </w:t>
            </w:r>
            <w:r>
              <w:rPr>
                <w:rFonts w:ascii="Times New Roman" w:hAnsi="Times New Roman" w:hint="eastAsia"/>
                <w:kern w:val="0"/>
                <w:sz w:val="20"/>
                <w:szCs w:val="20"/>
              </w:rPr>
              <w:t>设计洪水流量</w:t>
            </w:r>
          </w:p>
          <w:p w:rsidR="009613B4" w:rsidRDefault="009613B4" w:rsidP="008C3907">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水文频率计算基本方法</w:t>
            </w:r>
          </w:p>
          <w:p w:rsidR="009613B4" w:rsidRDefault="009613B4" w:rsidP="008C3907">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利用实测流量资料推求</w:t>
            </w:r>
            <w:r>
              <w:rPr>
                <w:rFonts w:ascii="Times New Roman" w:hAnsi="Times New Roman"/>
                <w:kern w:val="0"/>
                <w:sz w:val="20"/>
                <w:szCs w:val="20"/>
              </w:rPr>
              <w:t xml:space="preserve">   </w:t>
            </w:r>
            <w:r>
              <w:rPr>
                <w:rFonts w:ascii="Times New Roman" w:hAnsi="Times New Roman" w:hint="eastAsia"/>
                <w:kern w:val="0"/>
                <w:sz w:val="20"/>
                <w:szCs w:val="20"/>
              </w:rPr>
              <w:t>设计洪水流量</w:t>
            </w:r>
          </w:p>
          <w:p w:rsidR="009613B4" w:rsidRDefault="009613B4" w:rsidP="008C3907">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洪水调查与推算设计洪水流量</w:t>
            </w:r>
          </w:p>
          <w:p w:rsidR="009613B4" w:rsidRDefault="009613B4" w:rsidP="008C3907">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由暴雨资料推求设计洪水流量</w:t>
            </w:r>
          </w:p>
          <w:p w:rsidR="009613B4" w:rsidRDefault="009613B4" w:rsidP="008C3907">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第五节</w:t>
            </w:r>
            <w:r>
              <w:rPr>
                <w:rFonts w:ascii="Times New Roman" w:hAnsi="Times New Roman" w:hint="eastAsia"/>
                <w:kern w:val="0"/>
                <w:sz w:val="20"/>
                <w:szCs w:val="20"/>
              </w:rPr>
              <w:t xml:space="preserve"> </w:t>
            </w:r>
            <w:r>
              <w:rPr>
                <w:rFonts w:ascii="Times New Roman" w:hAnsi="Times New Roman" w:hint="eastAsia"/>
                <w:kern w:val="0"/>
                <w:sz w:val="20"/>
                <w:szCs w:val="20"/>
              </w:rPr>
              <w:t>推算小流域面积设计洪水流量</w:t>
            </w:r>
          </w:p>
        </w:tc>
        <w:tc>
          <w:tcPr>
            <w:tcW w:w="2755" w:type="dxa"/>
            <w:vAlign w:val="center"/>
          </w:tcPr>
          <w:p w:rsidR="009613B4" w:rsidRDefault="009613B4" w:rsidP="005F6318">
            <w:pPr>
              <w:numPr>
                <w:ilvl w:val="0"/>
                <w:numId w:val="59"/>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掌握水文频率计算</w:t>
            </w:r>
          </w:p>
          <w:p w:rsidR="009613B4" w:rsidRDefault="009613B4" w:rsidP="005F6318">
            <w:pPr>
              <w:numPr>
                <w:ilvl w:val="0"/>
                <w:numId w:val="59"/>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掌握设计洪水流量的各种推求方法</w:t>
            </w:r>
          </w:p>
          <w:p w:rsidR="009613B4" w:rsidRDefault="009613B4" w:rsidP="005F6318">
            <w:pPr>
              <w:numPr>
                <w:ilvl w:val="0"/>
                <w:numId w:val="59"/>
              </w:numPr>
              <w:rPr>
                <w:rFonts w:ascii="Times New Roman" w:hAnsi="Times New Roman"/>
                <w:kern w:val="0"/>
                <w:sz w:val="20"/>
                <w:szCs w:val="20"/>
              </w:rPr>
            </w:pPr>
            <w:r>
              <w:rPr>
                <w:rFonts w:ascii="Times New Roman" w:hAnsi="Times New Roman" w:hint="eastAsia"/>
                <w:kern w:val="0"/>
                <w:sz w:val="20"/>
                <w:szCs w:val="20"/>
              </w:rPr>
              <w:t>掌握小流域面积的设计供水流量计算</w:t>
            </w:r>
          </w:p>
        </w:tc>
      </w:tr>
      <w:tr w:rsidR="009613B4" w:rsidTr="008C3907">
        <w:trPr>
          <w:trHeight w:val="55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第三章</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城镇防洪总体规划</w:t>
            </w:r>
          </w:p>
        </w:tc>
        <w:tc>
          <w:tcPr>
            <w:tcW w:w="727"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shd w:val="clear" w:color="auto" w:fill="FFFFFF"/>
              <w:spacing w:line="288" w:lineRule="atLeast"/>
              <w:rPr>
                <w:rFonts w:ascii="Times New Roman" w:hAnsi="Times New Roman"/>
                <w:kern w:val="0"/>
                <w:sz w:val="20"/>
                <w:szCs w:val="20"/>
              </w:rPr>
            </w:pPr>
            <w:r>
              <w:rPr>
                <w:rFonts w:ascii="Times New Roman" w:hAnsi="Times New Roman" w:hint="eastAsia"/>
                <w:kern w:val="0"/>
                <w:sz w:val="20"/>
                <w:szCs w:val="20"/>
              </w:rPr>
              <w:t>第三章</w:t>
            </w:r>
            <w:r>
              <w:rPr>
                <w:rFonts w:ascii="Times New Roman" w:hAnsi="Times New Roman" w:hint="eastAsia"/>
                <w:kern w:val="0"/>
                <w:sz w:val="20"/>
                <w:szCs w:val="20"/>
              </w:rPr>
              <w:t xml:space="preserve">  </w:t>
            </w:r>
            <w:r>
              <w:rPr>
                <w:rFonts w:ascii="Times New Roman" w:hAnsi="Times New Roman" w:hint="eastAsia"/>
                <w:kern w:val="0"/>
                <w:sz w:val="20"/>
                <w:szCs w:val="20"/>
              </w:rPr>
              <w:t>城镇防洪总体规划</w:t>
            </w:r>
          </w:p>
          <w:p w:rsidR="009613B4" w:rsidRDefault="009613B4" w:rsidP="008C3907">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城镇防洪总体规划概述</w:t>
            </w:r>
          </w:p>
          <w:p w:rsidR="009613B4" w:rsidRDefault="009613B4" w:rsidP="008C3907">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城镇防洪总体规划设计的基础资料</w:t>
            </w:r>
          </w:p>
          <w:p w:rsidR="009613B4" w:rsidRDefault="009613B4" w:rsidP="008C3907">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城镇防洪能力</w:t>
            </w:r>
          </w:p>
          <w:p w:rsidR="009613B4" w:rsidRDefault="009613B4" w:rsidP="008C3907">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城镇防洪设计防洪标准</w:t>
            </w:r>
          </w:p>
        </w:tc>
        <w:tc>
          <w:tcPr>
            <w:tcW w:w="2755" w:type="dxa"/>
            <w:vAlign w:val="center"/>
          </w:tcPr>
          <w:p w:rsidR="009613B4" w:rsidRDefault="009613B4" w:rsidP="005F6318">
            <w:pPr>
              <w:numPr>
                <w:ilvl w:val="0"/>
                <w:numId w:val="60"/>
              </w:numPr>
              <w:rPr>
                <w:rFonts w:ascii="Times New Roman" w:hAnsi="Times New Roman"/>
                <w:kern w:val="0"/>
                <w:sz w:val="20"/>
                <w:szCs w:val="20"/>
              </w:rPr>
            </w:pPr>
            <w:r>
              <w:rPr>
                <w:rFonts w:ascii="Times New Roman" w:hAnsi="Times New Roman" w:hint="eastAsia"/>
                <w:kern w:val="0"/>
                <w:sz w:val="20"/>
                <w:szCs w:val="20"/>
              </w:rPr>
              <w:t>熟悉城镇防洪总体规划相关知识</w:t>
            </w:r>
          </w:p>
          <w:p w:rsidR="009613B4" w:rsidRDefault="009613B4" w:rsidP="005F6318">
            <w:pPr>
              <w:numPr>
                <w:ilvl w:val="0"/>
                <w:numId w:val="60"/>
              </w:numPr>
              <w:rPr>
                <w:rFonts w:ascii="Times New Roman" w:hAnsi="Times New Roman"/>
                <w:kern w:val="0"/>
                <w:sz w:val="20"/>
                <w:szCs w:val="20"/>
              </w:rPr>
            </w:pPr>
            <w:r>
              <w:rPr>
                <w:rFonts w:ascii="Times New Roman" w:hAnsi="Times New Roman" w:hint="eastAsia"/>
                <w:kern w:val="0"/>
                <w:sz w:val="20"/>
                <w:szCs w:val="20"/>
              </w:rPr>
              <w:t>学会推算城镇防洪能力</w:t>
            </w:r>
          </w:p>
          <w:p w:rsidR="009613B4" w:rsidRDefault="009613B4" w:rsidP="005F6318">
            <w:pPr>
              <w:numPr>
                <w:ilvl w:val="0"/>
                <w:numId w:val="60"/>
              </w:numPr>
              <w:rPr>
                <w:rFonts w:ascii="Times New Roman" w:hAnsi="Times New Roman"/>
                <w:kern w:val="0"/>
                <w:sz w:val="20"/>
                <w:szCs w:val="20"/>
              </w:rPr>
            </w:pPr>
            <w:r>
              <w:rPr>
                <w:rFonts w:ascii="Times New Roman" w:hAnsi="Times New Roman" w:hint="eastAsia"/>
                <w:kern w:val="0"/>
                <w:sz w:val="20"/>
                <w:szCs w:val="20"/>
              </w:rPr>
              <w:t>熟悉相关城镇防洪设计防洪标准</w:t>
            </w:r>
          </w:p>
        </w:tc>
      </w:tr>
      <w:tr w:rsidR="009613B4" w:rsidTr="008C3907">
        <w:trPr>
          <w:trHeight w:val="54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4</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第四章</w:t>
            </w:r>
            <w:r>
              <w:rPr>
                <w:rFonts w:ascii="Times New Roman" w:hAnsi="Times New Roman" w:hint="eastAsia"/>
                <w:kern w:val="0"/>
                <w:sz w:val="20"/>
                <w:szCs w:val="20"/>
              </w:rPr>
              <w:t xml:space="preserve"> </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防洪工程措施</w:t>
            </w:r>
          </w:p>
          <w:p w:rsidR="009613B4" w:rsidRDefault="009613B4" w:rsidP="008C3907">
            <w:pPr>
              <w:jc w:val="center"/>
              <w:rPr>
                <w:rFonts w:ascii="Times New Roman" w:hAnsi="Times New Roman"/>
                <w:kern w:val="0"/>
                <w:sz w:val="20"/>
                <w:szCs w:val="20"/>
              </w:rPr>
            </w:pP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widowControl/>
              <w:shd w:val="clear" w:color="auto" w:fill="FFFFFF"/>
              <w:spacing w:line="288" w:lineRule="atLeast"/>
              <w:jc w:val="left"/>
              <w:rPr>
                <w:rFonts w:ascii="Times New Roman" w:hAnsi="Times New Roman"/>
                <w:kern w:val="0"/>
                <w:sz w:val="20"/>
                <w:szCs w:val="20"/>
              </w:rPr>
            </w:pPr>
            <w:r>
              <w:rPr>
                <w:rFonts w:ascii="Times New Roman" w:hAnsi="Times New Roman" w:hint="eastAsia"/>
                <w:kern w:val="0"/>
                <w:sz w:val="20"/>
                <w:szCs w:val="20"/>
              </w:rPr>
              <w:t>第四章</w:t>
            </w:r>
            <w:r>
              <w:rPr>
                <w:rFonts w:ascii="Times New Roman" w:hAnsi="Times New Roman" w:hint="eastAsia"/>
                <w:kern w:val="0"/>
                <w:sz w:val="20"/>
                <w:szCs w:val="20"/>
              </w:rPr>
              <w:t xml:space="preserve">  </w:t>
            </w:r>
            <w:r>
              <w:rPr>
                <w:rFonts w:ascii="Times New Roman" w:hAnsi="Times New Roman" w:hint="eastAsia"/>
                <w:kern w:val="0"/>
                <w:sz w:val="20"/>
                <w:szCs w:val="20"/>
              </w:rPr>
              <w:t>防洪工程措施</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堤防</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护岸与河道整治</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城镇山洪防治与排涝</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kern w:val="0"/>
                <w:sz w:val="20"/>
                <w:szCs w:val="20"/>
              </w:rPr>
              <w:t>防洪闸与交叉构筑物</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第五节</w:t>
            </w:r>
            <w:r>
              <w:rPr>
                <w:rFonts w:ascii="Times New Roman" w:hAnsi="Times New Roman" w:hint="eastAsia"/>
                <w:kern w:val="0"/>
                <w:sz w:val="20"/>
                <w:szCs w:val="20"/>
              </w:rPr>
              <w:t xml:space="preserve"> </w:t>
            </w:r>
            <w:r>
              <w:rPr>
                <w:rFonts w:ascii="Times New Roman" w:hAnsi="Times New Roman"/>
                <w:kern w:val="0"/>
                <w:sz w:val="20"/>
                <w:szCs w:val="20"/>
              </w:rPr>
              <w:t>泥石流防治</w:t>
            </w:r>
          </w:p>
          <w:p w:rsidR="009613B4" w:rsidRDefault="009613B4" w:rsidP="008C3907">
            <w:pPr>
              <w:ind w:firstLineChars="157" w:firstLine="314"/>
              <w:rPr>
                <w:rFonts w:ascii="Times New Roman" w:hAnsi="Times New Roman"/>
                <w:kern w:val="0"/>
                <w:sz w:val="20"/>
                <w:szCs w:val="20"/>
              </w:rPr>
            </w:pPr>
          </w:p>
        </w:tc>
        <w:tc>
          <w:tcPr>
            <w:tcW w:w="2755" w:type="dxa"/>
            <w:vAlign w:val="center"/>
          </w:tcPr>
          <w:p w:rsidR="009613B4" w:rsidRDefault="009613B4" w:rsidP="005F6318">
            <w:pPr>
              <w:numPr>
                <w:ilvl w:val="0"/>
                <w:numId w:val="61"/>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掌握堤防基本知识</w:t>
            </w:r>
            <w:r>
              <w:rPr>
                <w:rFonts w:ascii="Times New Roman" w:hAnsi="Times New Roman" w:hint="eastAsia"/>
                <w:kern w:val="0"/>
                <w:sz w:val="20"/>
                <w:szCs w:val="20"/>
              </w:rPr>
              <w:t xml:space="preserve"> </w:t>
            </w:r>
          </w:p>
          <w:p w:rsidR="009613B4" w:rsidRDefault="009613B4" w:rsidP="005F6318">
            <w:pPr>
              <w:numPr>
                <w:ilvl w:val="0"/>
                <w:numId w:val="61"/>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熟悉护按与河道整治的基本方法</w:t>
            </w:r>
          </w:p>
          <w:p w:rsidR="009613B4" w:rsidRDefault="009613B4" w:rsidP="005F6318">
            <w:pPr>
              <w:numPr>
                <w:ilvl w:val="0"/>
                <w:numId w:val="61"/>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熟悉城镇山洪防治和排涝方法</w:t>
            </w:r>
          </w:p>
          <w:p w:rsidR="009613B4" w:rsidRDefault="009613B4" w:rsidP="005F6318">
            <w:pPr>
              <w:numPr>
                <w:ilvl w:val="0"/>
                <w:numId w:val="61"/>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了解防洪闸与交叉构筑物</w:t>
            </w:r>
          </w:p>
          <w:p w:rsidR="009613B4" w:rsidRDefault="009613B4" w:rsidP="005F6318">
            <w:pPr>
              <w:numPr>
                <w:ilvl w:val="0"/>
                <w:numId w:val="61"/>
              </w:numPr>
              <w:rPr>
                <w:rFonts w:ascii="Times New Roman" w:hAnsi="Times New Roman"/>
                <w:kern w:val="0"/>
                <w:sz w:val="20"/>
                <w:szCs w:val="20"/>
              </w:rPr>
            </w:pPr>
            <w:r>
              <w:rPr>
                <w:rFonts w:ascii="Times New Roman" w:hAnsi="Times New Roman" w:hint="eastAsia"/>
                <w:kern w:val="0"/>
                <w:sz w:val="20"/>
                <w:szCs w:val="20"/>
              </w:rPr>
              <w:t>熟悉泥石流的防治方法</w:t>
            </w:r>
          </w:p>
        </w:tc>
      </w:tr>
      <w:tr w:rsidR="009613B4" w:rsidTr="008C3907">
        <w:trPr>
          <w:trHeight w:val="54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5</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第五章</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防洪工程管理</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第五章</w:t>
            </w:r>
            <w:r>
              <w:rPr>
                <w:rFonts w:ascii="Times New Roman" w:hAnsi="Times New Roman" w:hint="eastAsia"/>
                <w:kern w:val="0"/>
                <w:sz w:val="20"/>
                <w:szCs w:val="20"/>
              </w:rPr>
              <w:t xml:space="preserve"> </w:t>
            </w:r>
            <w:r>
              <w:rPr>
                <w:rFonts w:ascii="Times New Roman" w:hAnsi="Times New Roman" w:hint="eastAsia"/>
                <w:kern w:val="0"/>
                <w:sz w:val="20"/>
                <w:szCs w:val="20"/>
              </w:rPr>
              <w:t>防洪工程管理</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lastRenderedPageBreak/>
              <w:t>第一节</w:t>
            </w:r>
            <w:r>
              <w:rPr>
                <w:rFonts w:ascii="Times New Roman" w:hAnsi="Times New Roman" w:hint="eastAsia"/>
                <w:kern w:val="0"/>
                <w:sz w:val="20"/>
                <w:szCs w:val="20"/>
              </w:rPr>
              <w:t xml:space="preserve"> </w:t>
            </w:r>
            <w:r>
              <w:rPr>
                <w:rFonts w:ascii="Times New Roman" w:hAnsi="Times New Roman" w:hint="eastAsia"/>
                <w:kern w:val="0"/>
                <w:sz w:val="20"/>
                <w:szCs w:val="20"/>
              </w:rPr>
              <w:t>防洪工程管理原则及内容</w:t>
            </w:r>
          </w:p>
          <w:p w:rsidR="009613B4" w:rsidRDefault="009613B4" w:rsidP="008C3907">
            <w:pPr>
              <w:widowControl/>
              <w:shd w:val="clear" w:color="auto" w:fill="FFFFFF"/>
              <w:spacing w:line="288" w:lineRule="atLeast"/>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防洪工程管理组织与措施</w:t>
            </w:r>
          </w:p>
        </w:tc>
        <w:tc>
          <w:tcPr>
            <w:tcW w:w="2755" w:type="dxa"/>
            <w:vAlign w:val="center"/>
          </w:tcPr>
          <w:p w:rsidR="009613B4" w:rsidRDefault="009613B4" w:rsidP="005F6318">
            <w:pPr>
              <w:numPr>
                <w:ilvl w:val="0"/>
                <w:numId w:val="62"/>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lastRenderedPageBreak/>
              <w:t>熟悉防洪工程管理的基</w:t>
            </w:r>
            <w:r>
              <w:rPr>
                <w:rFonts w:ascii="Times New Roman" w:hAnsi="Times New Roman" w:hint="eastAsia"/>
                <w:kern w:val="0"/>
                <w:sz w:val="20"/>
                <w:szCs w:val="20"/>
              </w:rPr>
              <w:lastRenderedPageBreak/>
              <w:t>本内容</w:t>
            </w:r>
          </w:p>
        </w:tc>
      </w:tr>
      <w:tr w:rsidR="009613B4" w:rsidTr="008C3907">
        <w:trPr>
          <w:trHeight w:val="54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lastRenderedPageBreak/>
              <w:t>6</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第六章</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防洪工程评价</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第六章</w:t>
            </w:r>
            <w:r>
              <w:rPr>
                <w:rFonts w:ascii="Times New Roman" w:hAnsi="Times New Roman" w:hint="eastAsia"/>
                <w:kern w:val="0"/>
                <w:sz w:val="20"/>
                <w:szCs w:val="20"/>
              </w:rPr>
              <w:t xml:space="preserve"> </w:t>
            </w:r>
            <w:r>
              <w:rPr>
                <w:rFonts w:ascii="Times New Roman" w:hAnsi="Times New Roman" w:hint="eastAsia"/>
                <w:kern w:val="0"/>
                <w:sz w:val="20"/>
                <w:szCs w:val="20"/>
              </w:rPr>
              <w:t>防洪工程评价</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kern w:val="0"/>
                <w:sz w:val="20"/>
                <w:szCs w:val="20"/>
              </w:rPr>
              <w:t>环境影响评价</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kern w:val="0"/>
                <w:sz w:val="20"/>
                <w:szCs w:val="20"/>
              </w:rPr>
              <w:t>防洪工程经济评价</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kern w:val="0"/>
                <w:sz w:val="20"/>
                <w:szCs w:val="20"/>
              </w:rPr>
              <w:t>防洪工程综合评价</w:t>
            </w:r>
          </w:p>
          <w:p w:rsidR="009613B4" w:rsidRDefault="009613B4" w:rsidP="008C3907">
            <w:pPr>
              <w:widowControl/>
              <w:shd w:val="clear" w:color="auto" w:fill="FFFFFF"/>
              <w:spacing w:line="288" w:lineRule="atLeast"/>
              <w:jc w:val="left"/>
              <w:rPr>
                <w:rFonts w:ascii="Times New Roman" w:hAnsi="Times New Roman"/>
                <w:kern w:val="0"/>
                <w:sz w:val="20"/>
                <w:szCs w:val="20"/>
              </w:rPr>
            </w:pPr>
          </w:p>
        </w:tc>
        <w:tc>
          <w:tcPr>
            <w:tcW w:w="2755" w:type="dxa"/>
            <w:vAlign w:val="center"/>
          </w:tcPr>
          <w:p w:rsidR="009613B4" w:rsidRDefault="009613B4" w:rsidP="005F6318">
            <w:pPr>
              <w:numPr>
                <w:ilvl w:val="0"/>
                <w:numId w:val="63"/>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熟悉防洪工程的环境影响、经济及综合评价相关知识</w:t>
            </w:r>
          </w:p>
        </w:tc>
      </w:tr>
      <w:tr w:rsidR="009613B4" w:rsidTr="008C3907">
        <w:trPr>
          <w:trHeight w:val="54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7</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第七章</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防洪非工程措施</w:t>
            </w:r>
          </w:p>
          <w:p w:rsidR="009613B4" w:rsidRDefault="009613B4" w:rsidP="008C3907">
            <w:pPr>
              <w:jc w:val="center"/>
              <w:rPr>
                <w:rFonts w:ascii="Times New Roman" w:hAnsi="Times New Roman"/>
                <w:kern w:val="0"/>
                <w:sz w:val="20"/>
                <w:szCs w:val="20"/>
              </w:rPr>
            </w:pP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第七章</w:t>
            </w:r>
            <w:r>
              <w:rPr>
                <w:rFonts w:ascii="Times New Roman" w:hAnsi="Times New Roman" w:hint="eastAsia"/>
                <w:kern w:val="0"/>
                <w:sz w:val="20"/>
                <w:szCs w:val="20"/>
              </w:rPr>
              <w:t xml:space="preserve"> </w:t>
            </w:r>
            <w:r>
              <w:rPr>
                <w:rFonts w:ascii="Times New Roman" w:hAnsi="Times New Roman" w:hint="eastAsia"/>
                <w:kern w:val="0"/>
                <w:sz w:val="20"/>
                <w:szCs w:val="20"/>
              </w:rPr>
              <w:t>防洪非工程措施</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概述</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洪泛区管理</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洪水保险</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kern w:val="0"/>
                <w:sz w:val="20"/>
                <w:szCs w:val="20"/>
              </w:rPr>
              <w:t>洪水预警系统</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第五节</w:t>
            </w:r>
            <w:r>
              <w:rPr>
                <w:rFonts w:ascii="Times New Roman" w:hAnsi="Times New Roman" w:hint="eastAsia"/>
                <w:kern w:val="0"/>
                <w:sz w:val="20"/>
                <w:szCs w:val="20"/>
              </w:rPr>
              <w:t xml:space="preserve"> </w:t>
            </w:r>
            <w:r>
              <w:rPr>
                <w:rFonts w:ascii="Times New Roman" w:hAnsi="Times New Roman" w:hint="eastAsia"/>
                <w:kern w:val="0"/>
                <w:sz w:val="20"/>
                <w:szCs w:val="20"/>
              </w:rPr>
              <w:t>洪水抢险</w:t>
            </w:r>
          </w:p>
          <w:p w:rsidR="009613B4" w:rsidRDefault="009613B4" w:rsidP="008C3907">
            <w:pPr>
              <w:widowControl/>
              <w:shd w:val="clear" w:color="auto" w:fill="FFFFFF"/>
              <w:spacing w:line="288" w:lineRule="atLeast"/>
              <w:jc w:val="left"/>
              <w:rPr>
                <w:rFonts w:ascii="Times New Roman" w:hAnsi="Times New Roman"/>
                <w:kern w:val="0"/>
                <w:sz w:val="20"/>
                <w:szCs w:val="20"/>
              </w:rPr>
            </w:pPr>
          </w:p>
        </w:tc>
        <w:tc>
          <w:tcPr>
            <w:tcW w:w="2755" w:type="dxa"/>
            <w:vAlign w:val="center"/>
          </w:tcPr>
          <w:p w:rsidR="009613B4" w:rsidRDefault="009613B4" w:rsidP="005F6318">
            <w:pPr>
              <w:numPr>
                <w:ilvl w:val="0"/>
                <w:numId w:val="64"/>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了解防洪非工程措施，明确洪泛区的基本管理方法，知道洪水预警系统的运作并掌握一定的洪水抢险方式和技术</w:t>
            </w:r>
          </w:p>
        </w:tc>
      </w:tr>
      <w:tr w:rsidR="009613B4" w:rsidTr="008C3907">
        <w:trPr>
          <w:trHeight w:val="54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8</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第八章</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雨洪利用</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第八章</w:t>
            </w:r>
            <w:r>
              <w:rPr>
                <w:rFonts w:ascii="Times New Roman" w:hAnsi="Times New Roman" w:hint="eastAsia"/>
                <w:kern w:val="0"/>
                <w:sz w:val="20"/>
                <w:szCs w:val="20"/>
              </w:rPr>
              <w:t xml:space="preserve"> </w:t>
            </w:r>
            <w:r>
              <w:rPr>
                <w:rFonts w:ascii="Times New Roman" w:hAnsi="Times New Roman" w:hint="eastAsia"/>
                <w:kern w:val="0"/>
                <w:sz w:val="20"/>
                <w:szCs w:val="20"/>
              </w:rPr>
              <w:t>雨洪利用</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w:t>
            </w:r>
            <w:r>
              <w:rPr>
                <w:rFonts w:ascii="Times New Roman" w:hAnsi="Times New Roman"/>
                <w:kern w:val="0"/>
                <w:sz w:val="20"/>
                <w:szCs w:val="20"/>
              </w:rPr>
              <w:t>概述</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雨洪利用规划设计与管理</w:t>
            </w:r>
          </w:p>
          <w:p w:rsidR="009613B4" w:rsidRDefault="009613B4" w:rsidP="008C3907">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工程实例</w:t>
            </w:r>
          </w:p>
        </w:tc>
        <w:tc>
          <w:tcPr>
            <w:tcW w:w="2755" w:type="dxa"/>
            <w:vAlign w:val="center"/>
          </w:tcPr>
          <w:p w:rsidR="009613B4" w:rsidRDefault="009613B4" w:rsidP="005F6318">
            <w:pPr>
              <w:numPr>
                <w:ilvl w:val="0"/>
                <w:numId w:val="65"/>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结合工程实例，熟悉基本的雨洪利用途径，了解相关的与洪利用规划设计与管理工作</w:t>
            </w:r>
          </w:p>
        </w:tc>
      </w:tr>
    </w:tbl>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9613B4" w:rsidRDefault="009613B4" w:rsidP="009613B4">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9613B4" w:rsidRDefault="009613B4" w:rsidP="009613B4">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采用平时成绩+期末考试方式确定总评成绩</w:t>
      </w:r>
    </w:p>
    <w:p w:rsidR="009613B4" w:rsidRDefault="009613B4"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9613B4" w:rsidRDefault="009613B4" w:rsidP="009613B4">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成绩评定方式为百分制，平时成绩考核包括作业、讨论、出勤等内容，期末考试采用闭卷方式；平时成绩占20%</w:t>
      </w:r>
      <w:r>
        <w:rPr>
          <w:rFonts w:ascii="Times New Roman" w:hAnsi="Times New Roman"/>
          <w:sz w:val="28"/>
          <w:szCs w:val="28"/>
        </w:rPr>
        <w:t>~</w:t>
      </w:r>
      <w:r>
        <w:rPr>
          <w:rFonts w:ascii="仿宋_GB2312" w:hAnsi="仿宋_GB2312" w:cs="仿宋_GB2312" w:hint="eastAsia"/>
          <w:sz w:val="28"/>
          <w:szCs w:val="28"/>
        </w:rPr>
        <w:t>30%。</w:t>
      </w:r>
    </w:p>
    <w:p w:rsidR="009613B4" w:rsidRDefault="009613B4" w:rsidP="009613B4">
      <w:pPr>
        <w:spacing w:line="360" w:lineRule="auto"/>
        <w:ind w:firstLineChars="203" w:firstLine="568"/>
        <w:rPr>
          <w:rFonts w:ascii="仿宋_GB2312" w:hAnsi="仿宋_GB2312" w:cs="仿宋_GB2312"/>
          <w:sz w:val="28"/>
          <w:szCs w:val="28"/>
        </w:rPr>
      </w:pPr>
      <w:r>
        <w:rPr>
          <w:rFonts w:ascii="仿宋_GB2312" w:hAnsi="仿宋_GB2312" w:cs="仿宋_GB2312"/>
          <w:sz w:val="28"/>
          <w:szCs w:val="28"/>
        </w:rPr>
        <w:t>课程总成绩=期末成绩（80</w:t>
      </w:r>
      <w:r>
        <w:rPr>
          <w:rFonts w:ascii="Times New Roman" w:hAnsi="Times New Roman"/>
          <w:sz w:val="28"/>
          <w:szCs w:val="28"/>
        </w:rPr>
        <w:t>~</w:t>
      </w:r>
      <w:r>
        <w:rPr>
          <w:rFonts w:ascii="仿宋_GB2312" w:hAnsi="仿宋_GB2312" w:cs="仿宋_GB2312"/>
          <w:sz w:val="28"/>
          <w:szCs w:val="28"/>
        </w:rPr>
        <w:t>70）%+平时成绩（20</w:t>
      </w:r>
      <w:r>
        <w:rPr>
          <w:rFonts w:ascii="Times New Roman" w:hAnsi="Times New Roman"/>
          <w:sz w:val="28"/>
          <w:szCs w:val="28"/>
        </w:rPr>
        <w:t>~</w:t>
      </w:r>
      <w:r>
        <w:rPr>
          <w:rFonts w:ascii="仿宋_GB2312" w:hAnsi="仿宋_GB2312" w:cs="仿宋_GB2312"/>
          <w:sz w:val="28"/>
          <w:szCs w:val="28"/>
        </w:rPr>
        <w:t>30）</w:t>
      </w:r>
      <w:r>
        <w:rPr>
          <w:rFonts w:ascii="仿宋_GB2312" w:hAnsi="仿宋_GB2312" w:cs="仿宋_GB2312" w:hint="eastAsia"/>
          <w:sz w:val="28"/>
          <w:szCs w:val="28"/>
        </w:rPr>
        <w:t>%</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《城镇防洪与雨水利用（第二版）》，张智编著，中国建筑工业出版社，2016年；</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lastRenderedPageBreak/>
        <w:t>2.主要参考资料</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（1）《城镇雨水调蓄工程技术规范》（GB 51174-2017）</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（2）《城镇内涝防治技术规范》（GB 51222-2017）</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sz w:val="28"/>
          <w:szCs w:val="28"/>
        </w:rPr>
        <w:t>3</w:t>
      </w:r>
      <w:r>
        <w:rPr>
          <w:rFonts w:ascii="仿宋_GB2312" w:hAnsi="仿宋_GB2312" w:cs="仿宋_GB2312" w:hint="eastAsia"/>
          <w:sz w:val="28"/>
          <w:szCs w:val="28"/>
        </w:rPr>
        <w:t>）《海绵城市建设技术指南》，住建部，2014年版</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（4）《建筑与小区雨水控制及利用工程技术规范》（GB50400-2016）</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（5）《室外排水工程规范》（GB50016-2006）2016年版</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9613B4" w:rsidRDefault="009613B4" w:rsidP="009613B4">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9613B4" w:rsidRDefault="009613B4" w:rsidP="009613B4">
      <w:pPr>
        <w:spacing w:beforeLines="50" w:before="156" w:afterLines="50" w:after="156" w:line="460" w:lineRule="exact"/>
        <w:rPr>
          <w:rFonts w:ascii="黑体" w:eastAsia="黑体" w:hAnsi="黑体"/>
          <w:b/>
          <w:sz w:val="28"/>
          <w:szCs w:val="28"/>
        </w:rPr>
      </w:pPr>
    </w:p>
    <w:p w:rsidR="009613B4" w:rsidRDefault="009613B4" w:rsidP="009613B4">
      <w:pPr>
        <w:spacing w:beforeLines="50" w:before="156" w:afterLines="50" w:after="156" w:line="460" w:lineRule="exact"/>
        <w:rPr>
          <w:rFonts w:ascii="黑体" w:eastAsia="黑体" w:hAnsi="黑体"/>
          <w:b/>
          <w:sz w:val="28"/>
          <w:szCs w:val="28"/>
        </w:rPr>
      </w:pPr>
    </w:p>
    <w:p w:rsidR="009613B4" w:rsidRDefault="009613B4" w:rsidP="009613B4">
      <w:pPr>
        <w:spacing w:beforeLines="50" w:before="156" w:afterLines="50" w:after="156" w:line="460" w:lineRule="exact"/>
        <w:rPr>
          <w:rFonts w:ascii="黑体" w:eastAsia="黑体" w:hAnsi="黑体"/>
          <w:b/>
          <w:sz w:val="28"/>
          <w:szCs w:val="28"/>
        </w:rPr>
      </w:pPr>
    </w:p>
    <w:p w:rsidR="009613B4" w:rsidRDefault="009613B4" w:rsidP="009613B4">
      <w:pPr>
        <w:spacing w:beforeLines="50" w:before="156" w:afterLines="50" w:after="156" w:line="460" w:lineRule="exact"/>
        <w:rPr>
          <w:rFonts w:ascii="黑体" w:eastAsia="黑体" w:hAnsi="黑体"/>
          <w:b/>
          <w:sz w:val="28"/>
          <w:szCs w:val="28"/>
        </w:rPr>
      </w:pPr>
    </w:p>
    <w:p w:rsidR="009613B4" w:rsidRDefault="009613B4" w:rsidP="009613B4">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大纲撰写人：赵传靓</w:t>
      </w:r>
    </w:p>
    <w:p w:rsidR="009613B4" w:rsidRDefault="009613B4" w:rsidP="009613B4">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课程负责人：赵传靓</w:t>
      </w:r>
    </w:p>
    <w:p w:rsidR="009613B4" w:rsidRDefault="009613B4" w:rsidP="009613B4">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w:t>
      </w:r>
    </w:p>
    <w:p w:rsidR="009613B4" w:rsidRDefault="009613B4" w:rsidP="009613B4">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9613B4" w:rsidRDefault="009613B4" w:rsidP="009613B4">
      <w:pPr>
        <w:ind w:firstLineChars="2000" w:firstLine="5600"/>
        <w:jc w:val="left"/>
        <w:rPr>
          <w:rFonts w:ascii="仿宋" w:hAnsi="仿宋"/>
          <w:sz w:val="28"/>
          <w:szCs w:val="28"/>
        </w:rPr>
      </w:pPr>
      <w:r>
        <w:rPr>
          <w:rFonts w:ascii="仿宋_GB2312" w:hAnsi="微软雅黑" w:hint="eastAsia"/>
          <w:sz w:val="28"/>
          <w:szCs w:val="28"/>
        </w:rPr>
        <w:t xml:space="preserve">    </w:t>
      </w:r>
    </w:p>
    <w:p w:rsidR="009613B4" w:rsidRDefault="009613B4" w:rsidP="009613B4">
      <w:pPr>
        <w:jc w:val="left"/>
        <w:rPr>
          <w:rFonts w:ascii="仿宋_GB2312" w:hAnsi="黑体"/>
          <w:sz w:val="28"/>
          <w:szCs w:val="28"/>
        </w:rPr>
      </w:pPr>
      <w:r>
        <w:rPr>
          <w:rFonts w:ascii="仿宋" w:eastAsia="仿宋" w:hAnsi="仿宋" w:hint="eastAsia"/>
          <w:sz w:val="28"/>
          <w:szCs w:val="28"/>
        </w:rPr>
        <w:t xml:space="preserve">                                         年    月</w:t>
      </w:r>
    </w:p>
    <w:p w:rsidR="009613B4" w:rsidRDefault="009613B4" w:rsidP="009613B4">
      <w:pPr>
        <w:widowControl/>
        <w:spacing w:line="400" w:lineRule="exact"/>
        <w:rPr>
          <w:rFonts w:ascii="黑体" w:eastAsia="黑体" w:hAnsi="黑体" w:cs="宋体"/>
          <w:bCs/>
          <w:color w:val="000000"/>
          <w:kern w:val="0"/>
          <w:szCs w:val="32"/>
        </w:rPr>
      </w:pPr>
    </w:p>
    <w:p w:rsidR="009613B4" w:rsidRDefault="009613B4" w:rsidP="009613B4"/>
    <w:p w:rsidR="008B4EA8" w:rsidRDefault="008B4EA8" w:rsidP="009613B4"/>
    <w:p w:rsidR="008B4EA8" w:rsidRDefault="008B4EA8" w:rsidP="009613B4">
      <w:pPr>
        <w:rPr>
          <w:rFonts w:hint="eastAsia"/>
        </w:rPr>
      </w:pPr>
    </w:p>
    <w:p w:rsidR="009613B4" w:rsidRDefault="009613B4" w:rsidP="009613B4">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8B4EA8">
        <w:rPr>
          <w:rFonts w:ascii="方正小标宋简体" w:eastAsia="方正小标宋简体" w:hAnsi="宋体" w:hint="eastAsia"/>
          <w:kern w:val="0"/>
          <w:szCs w:val="32"/>
        </w:rPr>
        <w:t>城市水系统运营与管理</w:t>
      </w:r>
      <w:r>
        <w:rPr>
          <w:rFonts w:ascii="方正小标宋简体" w:eastAsia="方正小标宋简体" w:hAnsi="宋体" w:hint="eastAsia"/>
          <w:kern w:val="0"/>
          <w:szCs w:val="32"/>
        </w:rPr>
        <w:t>》课程教学大纲</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华文中宋" w:eastAsia="华文中宋" w:hAnsi="华文中宋"/>
          <w:b/>
          <w:szCs w:val="21"/>
        </w:rPr>
        <w:t>Urban water system operation and management</w:t>
      </w:r>
      <w:r>
        <w:rPr>
          <w:rFonts w:ascii="仿宋_GB2312" w:hAnsi="仿宋_GB2312" w:cs="仿宋_GB2312" w:hint="eastAsia"/>
          <w:bCs/>
          <w:sz w:val="28"/>
          <w:szCs w:val="28"/>
        </w:rPr>
        <w:t xml:space="preserve"> </w:t>
      </w:r>
    </w:p>
    <w:p w:rsidR="009613B4" w:rsidRDefault="009613B4" w:rsidP="009613B4">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Times New Roman" w:hAnsi="Times New Roman"/>
          <w:snapToGrid w:val="0"/>
          <w:szCs w:val="21"/>
        </w:rPr>
        <w:t>Z</w:t>
      </w:r>
      <w:r>
        <w:rPr>
          <w:rFonts w:ascii="Times New Roman" w:eastAsia="楷体_GB2312" w:hAnsi="Times New Roman"/>
          <w:szCs w:val="21"/>
        </w:rPr>
        <w:t>2806310</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9613B4" w:rsidRDefault="009613B4" w:rsidP="009613B4">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课程类别：专业发展课程</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分：1</w:t>
      </w:r>
    </w:p>
    <w:p w:rsidR="009613B4" w:rsidRDefault="009613B4" w:rsidP="009613B4">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时：16学时（授课16学时）</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适用对象：土木（类）给排水科学与工程专业</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Pr>
          <w:rFonts w:ascii="仿宋_GB2312" w:hAnsi="仿宋_GB2312" w:cs="仿宋_GB2312"/>
          <w:bCs/>
          <w:sz w:val="28"/>
          <w:szCs w:val="28"/>
        </w:rPr>
        <w:t>水质工程学、建筑给排水工程、水工程经济与原理、水工程施工、水资源利用与保护、土木工程概论</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9613B4" w:rsidRDefault="009613B4" w:rsidP="009613B4">
      <w:pPr>
        <w:snapToGri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城市水系统运营与管理》是给排水科学与工程专业选修课，本课程以城市水系统为研究对象，重点介绍城市水系统良性循环的技术保障措施与科学管理方法，涵盖水源、自来水厂、污水处理厂、管道系统以及机电与自控的运行和技术管理，探讨了市场经济条件下的企业内部管理、调度、服务收费和投资融资等。适用于高校给水排水工程专业和相关专业本科生课程教学，具有强化理论知识与生产实践和</w:t>
      </w:r>
      <w:r>
        <w:rPr>
          <w:rFonts w:ascii="仿宋_GB2312" w:hAnsi="仿宋_GB2312" w:cs="仿宋_GB2312" w:hint="eastAsia"/>
          <w:bCs/>
          <w:sz w:val="28"/>
          <w:szCs w:val="28"/>
        </w:rPr>
        <w:lastRenderedPageBreak/>
        <w:t>社会实践相结合的作用，为学生实际工作能力的培养和将来逐步融入社会创造条件。</w:t>
      </w:r>
    </w:p>
    <w:p w:rsidR="009613B4" w:rsidRDefault="009613B4" w:rsidP="009613B4">
      <w:pPr>
        <w:snapToGrid w:val="0"/>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教学方式</w:t>
      </w:r>
      <w:r>
        <w:rPr>
          <w:rFonts w:ascii="仿宋_GB2312" w:hAnsi="仿宋_GB2312" w:cs="仿宋_GB2312" w:hint="eastAsia"/>
          <w:bCs/>
          <w:sz w:val="28"/>
          <w:szCs w:val="28"/>
        </w:rPr>
        <w:t>采用</w:t>
      </w:r>
      <w:r>
        <w:rPr>
          <w:rFonts w:ascii="仿宋_GB2312" w:hAnsi="仿宋_GB2312" w:cs="仿宋_GB2312"/>
          <w:bCs/>
          <w:sz w:val="28"/>
          <w:szCs w:val="28"/>
        </w:rPr>
        <w:t>PPT</w:t>
      </w:r>
      <w:r>
        <w:rPr>
          <w:rFonts w:ascii="仿宋_GB2312" w:hAnsi="仿宋_GB2312" w:cs="仿宋_GB2312" w:hint="eastAsia"/>
          <w:bCs/>
          <w:sz w:val="28"/>
          <w:szCs w:val="28"/>
        </w:rPr>
        <w:t>（知识点）、板书（计算讲解，图例解析）、视频观看、课后思考题和练习题等相结合进行授课，使学生具备全面的城市水系统运营管理能力。</w:t>
      </w:r>
    </w:p>
    <w:p w:rsidR="009613B4" w:rsidRPr="008B4EA8" w:rsidRDefault="009613B4" w:rsidP="009613B4">
      <w:pPr>
        <w:spacing w:beforeLines="50" w:before="156" w:afterLines="50" w:after="156" w:line="560" w:lineRule="exact"/>
        <w:rPr>
          <w:rFonts w:ascii="黑体" w:eastAsia="黑体" w:hAnsi="黑体"/>
          <w:b/>
          <w:sz w:val="28"/>
          <w:szCs w:val="28"/>
        </w:rPr>
      </w:pPr>
      <w:r w:rsidRPr="008B4EA8">
        <w:rPr>
          <w:rFonts w:ascii="黑体" w:eastAsia="黑体" w:hAnsi="黑体" w:hint="eastAsia"/>
          <w:b/>
          <w:sz w:val="28"/>
          <w:szCs w:val="28"/>
        </w:rPr>
        <w:t>三、课程任务、目标与要求</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1. 课程任务</w:t>
      </w:r>
    </w:p>
    <w:p w:rsidR="009613B4" w:rsidRDefault="009613B4" w:rsidP="009613B4">
      <w:pPr>
        <w:snapToGri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通过本课程的学习，使学生全面了解城市水循环系统从源头到终端的各个单元，以工艺技术的基础，了解市场管理及运营模式，能融会贯通所学的各种专业主干课程，掌握技术市场，管理市场的相关知识。</w:t>
      </w:r>
    </w:p>
    <w:p w:rsidR="009613B4" w:rsidRDefault="009613B4" w:rsidP="009613B4">
      <w:pPr>
        <w:snapToGri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了解第1篇（第1章、第2章）概述城市水系统运行与管理和城市水资源保护与管理；重点掌握第2篇（第3章至第7章）介绍给水处理构筑物的运行、维护与管理，污水处理构筑物的运行、维护与管理，城市污水再生利用技术与管理，水处理厂电气与机械设备的运行与管理，水处理厂自动化控制；重点掌握第3篇（第8章至第10章）介绍了给水管网的技术管理与维护，排水管网的技术管理与维护，泵站的运行维护与管理；了解第4篇（第11章至第14章）介绍了企业运营的内部管理，城市供水排水调度，供水排水企业对外服务与收费管理，城市供水排水项目投融资。</w:t>
      </w:r>
    </w:p>
    <w:p w:rsidR="009613B4" w:rsidRDefault="009613B4" w:rsidP="005F6318">
      <w:pPr>
        <w:numPr>
          <w:ilvl w:val="0"/>
          <w:numId w:val="1"/>
        </w:num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课程基本要求</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9613B4" w:rsidRDefault="009613B4" w:rsidP="009613B4">
      <w:pPr>
        <w:snapToGri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知识目标：</w:t>
      </w:r>
      <w:r>
        <w:rPr>
          <w:rFonts w:ascii="仿宋_GB2312" w:hAnsi="仿宋_GB2312" w:cs="仿宋_GB2312"/>
          <w:bCs/>
          <w:sz w:val="28"/>
          <w:szCs w:val="28"/>
        </w:rPr>
        <w:t xml:space="preserve"> </w:t>
      </w:r>
      <w:r>
        <w:rPr>
          <w:rFonts w:ascii="仿宋_GB2312" w:hAnsi="仿宋_GB2312" w:cs="仿宋_GB2312" w:hint="eastAsia"/>
          <w:bCs/>
          <w:sz w:val="28"/>
          <w:szCs w:val="28"/>
        </w:rPr>
        <w:t>通过本课程的学习，</w:t>
      </w:r>
      <w:r>
        <w:rPr>
          <w:rFonts w:ascii="仿宋_GB2312" w:hAnsi="仿宋_GB2312" w:cs="仿宋_GB2312"/>
          <w:bCs/>
          <w:sz w:val="28"/>
          <w:szCs w:val="28"/>
        </w:rPr>
        <w:t>要求学生</w:t>
      </w:r>
      <w:r>
        <w:rPr>
          <w:rFonts w:ascii="仿宋_GB2312" w:hAnsi="仿宋_GB2312" w:cs="仿宋_GB2312" w:hint="eastAsia"/>
          <w:bCs/>
          <w:sz w:val="28"/>
          <w:szCs w:val="28"/>
        </w:rPr>
        <w:t>了解城市水系统的特点，了解城市取水构筑物的工作特定及运行管理方式，掌握常规给水</w:t>
      </w:r>
      <w:r>
        <w:rPr>
          <w:rFonts w:ascii="仿宋_GB2312" w:hAnsi="仿宋_GB2312" w:cs="仿宋_GB2312" w:hint="eastAsia"/>
          <w:bCs/>
          <w:sz w:val="28"/>
          <w:szCs w:val="28"/>
        </w:rPr>
        <w:lastRenderedPageBreak/>
        <w:t>处理工艺，掌握污水处理构筑物的工艺，主要处理单元，了解城市再生水利用现状，工艺方法，熟悉给水管网管材，附件及附属设施的相关内容，熟悉排水管网材料，接口，基础，及附属构筑物的相关内容，掌握泵站运行中常见故障的解决办法，了解城市供排水调度的方式及现状。</w:t>
      </w:r>
    </w:p>
    <w:p w:rsidR="009613B4" w:rsidRDefault="009613B4" w:rsidP="009613B4">
      <w:pPr>
        <w:spacing w:line="560" w:lineRule="exact"/>
        <w:ind w:firstLineChars="200" w:firstLine="560"/>
        <w:jc w:val="left"/>
        <w:rPr>
          <w:rFonts w:ascii="仿宋_GB2312" w:hAnsi="仿宋_GB2312" w:cs="仿宋_GB2312"/>
          <w:bCs/>
          <w:sz w:val="28"/>
          <w:szCs w:val="28"/>
        </w:rPr>
      </w:pPr>
      <w:r>
        <w:rPr>
          <w:rFonts w:ascii="仿宋_GB2312" w:hAnsi="仿宋_GB2312" w:cs="仿宋_GB2312" w:hint="eastAsia"/>
          <w:bCs/>
          <w:sz w:val="28"/>
          <w:szCs w:val="28"/>
        </w:rPr>
        <w:t>能力目标：《城市水系统运营与管理》课程学习完毕后应能对整个城市用水系统有全面了解，能从事城市水系统及饮用水净化、污水处理和管道系统运行与控制、城市水系统经营与管理等方面的工作。能初步达到与相关专业沟通、提出对工艺系统的监控要求的目的，具备较强的工程实践和组织管理能力，最终能够针对给排水处理问题提出检测和调整控制方案。</w:t>
      </w:r>
    </w:p>
    <w:p w:rsidR="009613B4" w:rsidRDefault="009613B4" w:rsidP="009613B4">
      <w:pPr>
        <w:spacing w:line="560" w:lineRule="exact"/>
        <w:ind w:firstLineChars="200" w:firstLine="560"/>
        <w:jc w:val="left"/>
        <w:rPr>
          <w:rFonts w:ascii="仿宋_GB2312" w:hAnsi="仿宋_GB2312" w:cs="仿宋_GB2312"/>
          <w:bCs/>
          <w:sz w:val="28"/>
          <w:szCs w:val="28"/>
        </w:rPr>
      </w:pPr>
      <w:r>
        <w:rPr>
          <w:rFonts w:ascii="仿宋_GB2312" w:hAnsi="仿宋_GB2312" w:cs="仿宋_GB2312" w:hint="eastAsia"/>
          <w:bCs/>
          <w:sz w:val="28"/>
          <w:szCs w:val="28"/>
        </w:rPr>
        <w:t>情感态度与价值观目标：树立专业素养和自信，具有良好的品德修养、社会公德、职业道德和创新精神。树立正确的人生观、价值观、就业观，把个人发展与国家需要、社会发展相结合，具有良好的科学态度，结合专业特色激励学生创造人生价值。</w:t>
      </w:r>
    </w:p>
    <w:p w:rsidR="009613B4" w:rsidRDefault="009613B4" w:rsidP="009613B4">
      <w:pPr>
        <w:spacing w:afterLines="100" w:after="312" w:line="560" w:lineRule="exact"/>
        <w:rPr>
          <w:rFonts w:ascii="仿宋_GB2312" w:hAnsi="仿宋_GB2312" w:cs="仿宋_GB2312"/>
          <w:bCs/>
          <w:sz w:val="28"/>
          <w:szCs w:val="28"/>
        </w:rPr>
      </w:pPr>
      <w:r>
        <w:rPr>
          <w:rFonts w:ascii="仿宋_GB2312" w:hAnsi="仿宋_GB2312" w:cs="仿宋_GB2312" w:hint="eastAsia"/>
          <w:bCs/>
          <w:sz w:val="28"/>
          <w:szCs w:val="28"/>
        </w:rPr>
        <w:t xml:space="preserve">2.2课程目标与毕业要求之间的对应关系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488"/>
        <w:gridCol w:w="488"/>
        <w:gridCol w:w="498"/>
        <w:gridCol w:w="488"/>
        <w:gridCol w:w="488"/>
        <w:gridCol w:w="498"/>
        <w:gridCol w:w="488"/>
        <w:gridCol w:w="495"/>
        <w:gridCol w:w="499"/>
        <w:gridCol w:w="510"/>
        <w:gridCol w:w="510"/>
        <w:gridCol w:w="510"/>
      </w:tblGrid>
      <w:tr w:rsidR="009613B4" w:rsidTr="008C3907">
        <w:trPr>
          <w:trHeight w:hRule="exact" w:val="454"/>
          <w:jc w:val="center"/>
        </w:trPr>
        <w:tc>
          <w:tcPr>
            <w:tcW w:w="2743" w:type="dxa"/>
            <w:vMerge w:val="restart"/>
            <w:shd w:val="clear" w:color="auto" w:fill="auto"/>
            <w:vAlign w:val="center"/>
          </w:tcPr>
          <w:p w:rsidR="009613B4" w:rsidRDefault="009613B4" w:rsidP="008C3907">
            <w:pPr>
              <w:spacing w:line="240" w:lineRule="exact"/>
              <w:jc w:val="center"/>
              <w:rPr>
                <w:rFonts w:ascii="仿宋_GB2312" w:hAnsi="仿宋_GB2312" w:cs="仿宋_GB2312"/>
                <w:bCs/>
                <w:sz w:val="20"/>
                <w:szCs w:val="28"/>
              </w:rPr>
            </w:pPr>
            <w:r>
              <w:rPr>
                <w:rFonts w:ascii="仿宋_GB2312" w:hAnsi="仿宋_GB2312" w:cs="仿宋_GB2312" w:hint="eastAsia"/>
                <w:bCs/>
                <w:sz w:val="20"/>
                <w:szCs w:val="28"/>
              </w:rPr>
              <w:t>课程目标</w:t>
            </w:r>
          </w:p>
        </w:tc>
        <w:tc>
          <w:tcPr>
            <w:tcW w:w="6233" w:type="dxa"/>
            <w:gridSpan w:val="12"/>
            <w:shd w:val="clear" w:color="auto" w:fill="auto"/>
            <w:vAlign w:val="center"/>
          </w:tcPr>
          <w:p w:rsidR="009613B4" w:rsidRDefault="009613B4" w:rsidP="008C3907">
            <w:pPr>
              <w:spacing w:line="240" w:lineRule="exact"/>
              <w:jc w:val="center"/>
              <w:rPr>
                <w:rFonts w:ascii="仿宋_GB2312" w:hAnsi="仿宋_GB2312" w:cs="仿宋_GB2312"/>
                <w:bCs/>
                <w:sz w:val="20"/>
                <w:szCs w:val="28"/>
              </w:rPr>
            </w:pPr>
            <w:r>
              <w:rPr>
                <w:rFonts w:ascii="仿宋_GB2312" w:hAnsi="仿宋_GB2312" w:cs="仿宋_GB2312" w:hint="eastAsia"/>
                <w:bCs/>
                <w:sz w:val="20"/>
                <w:szCs w:val="28"/>
              </w:rPr>
              <w:t>毕业要求</w:t>
            </w:r>
          </w:p>
        </w:tc>
      </w:tr>
      <w:tr w:rsidR="009613B4" w:rsidTr="008C3907">
        <w:trPr>
          <w:trHeight w:hRule="exact" w:val="454"/>
          <w:jc w:val="center"/>
        </w:trPr>
        <w:tc>
          <w:tcPr>
            <w:tcW w:w="2743" w:type="dxa"/>
            <w:vMerge/>
            <w:shd w:val="clear" w:color="auto" w:fill="auto"/>
          </w:tcPr>
          <w:p w:rsidR="009613B4" w:rsidRDefault="009613B4" w:rsidP="008C3907">
            <w:pPr>
              <w:spacing w:line="240" w:lineRule="exact"/>
              <w:rPr>
                <w:rFonts w:ascii="仿宋_GB2312" w:hAnsi="仿宋_GB2312"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1</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2</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3</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4</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5</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6</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7</w:t>
            </w:r>
          </w:p>
        </w:tc>
        <w:tc>
          <w:tcPr>
            <w:tcW w:w="520"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8</w:t>
            </w:r>
          </w:p>
        </w:tc>
        <w:tc>
          <w:tcPr>
            <w:tcW w:w="520"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9</w:t>
            </w:r>
          </w:p>
        </w:tc>
        <w:tc>
          <w:tcPr>
            <w:tcW w:w="520"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10</w:t>
            </w:r>
          </w:p>
        </w:tc>
        <w:tc>
          <w:tcPr>
            <w:tcW w:w="520"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11</w:t>
            </w:r>
          </w:p>
        </w:tc>
        <w:tc>
          <w:tcPr>
            <w:tcW w:w="520"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12</w:t>
            </w:r>
          </w:p>
        </w:tc>
      </w:tr>
      <w:tr w:rsidR="009613B4" w:rsidTr="008C3907">
        <w:trPr>
          <w:trHeight w:hRule="exact" w:val="454"/>
          <w:jc w:val="center"/>
        </w:trPr>
        <w:tc>
          <w:tcPr>
            <w:tcW w:w="2743"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bCs/>
                <w:sz w:val="20"/>
                <w:szCs w:val="28"/>
              </w:rPr>
            </w:pPr>
            <w:r>
              <w:rPr>
                <w:rFonts w:ascii="仿宋_GB2312" w:hAnsi="仿宋_GB2312" w:cs="仿宋_GB2312" w:hint="eastAsia"/>
                <w:bCs/>
                <w:sz w:val="20"/>
                <w:szCs w:val="28"/>
              </w:rPr>
              <w:t>知识目标</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M</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L</w:t>
            </w: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r>
              <w:rPr>
                <w:rFonts w:ascii="华文中宋" w:eastAsia="华文中宋" w:hAnsi="华文中宋" w:cs="仿宋_GB2312" w:hint="eastAsia"/>
                <w:bCs/>
                <w:sz w:val="20"/>
                <w:szCs w:val="28"/>
              </w:rPr>
              <w:t>H</w:t>
            </w: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r>
              <w:rPr>
                <w:rFonts w:ascii="华文中宋" w:eastAsia="华文中宋" w:hAnsi="华文中宋" w:cs="仿宋_GB2312" w:hint="eastAsia"/>
                <w:bCs/>
                <w:sz w:val="20"/>
                <w:szCs w:val="28"/>
              </w:rPr>
              <w:t>M</w:t>
            </w: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r>
              <w:rPr>
                <w:rFonts w:ascii="华文中宋" w:eastAsia="华文中宋" w:hAnsi="华文中宋" w:cs="仿宋_GB2312" w:hint="eastAsia"/>
                <w:bCs/>
                <w:sz w:val="20"/>
                <w:szCs w:val="28"/>
              </w:rPr>
              <w:t>L</w:t>
            </w: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p>
        </w:tc>
      </w:tr>
      <w:tr w:rsidR="009613B4" w:rsidTr="008C3907">
        <w:trPr>
          <w:trHeight w:hRule="exact" w:val="454"/>
          <w:jc w:val="center"/>
        </w:trPr>
        <w:tc>
          <w:tcPr>
            <w:tcW w:w="2743" w:type="dxa"/>
            <w:shd w:val="clear" w:color="auto" w:fill="auto"/>
          </w:tcPr>
          <w:p w:rsidR="009613B4" w:rsidRDefault="009613B4" w:rsidP="008C3907">
            <w:pPr>
              <w:tabs>
                <w:tab w:val="left" w:pos="6300"/>
              </w:tabs>
              <w:spacing w:line="240" w:lineRule="exact"/>
              <w:jc w:val="center"/>
              <w:rPr>
                <w:rFonts w:ascii="仿宋_GB2312" w:hAnsi="仿宋_GB2312" w:cs="仿宋_GB2312"/>
                <w:bCs/>
                <w:sz w:val="20"/>
                <w:szCs w:val="28"/>
              </w:rPr>
            </w:pPr>
            <w:r>
              <w:rPr>
                <w:rFonts w:ascii="仿宋_GB2312" w:hAnsi="仿宋_GB2312" w:cs="仿宋_GB2312" w:hint="eastAsia"/>
                <w:bCs/>
                <w:sz w:val="20"/>
                <w:szCs w:val="28"/>
              </w:rPr>
              <w:t>能力目标</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M</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L</w:t>
            </w: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r>
              <w:rPr>
                <w:rFonts w:ascii="华文中宋" w:eastAsia="华文中宋" w:hAnsi="华文中宋" w:cs="仿宋_GB2312" w:hint="eastAsia"/>
                <w:bCs/>
                <w:sz w:val="20"/>
                <w:szCs w:val="28"/>
              </w:rPr>
              <w:t>H</w:t>
            </w: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r>
              <w:rPr>
                <w:rFonts w:ascii="华文中宋" w:eastAsia="华文中宋" w:hAnsi="华文中宋" w:cs="仿宋_GB2312" w:hint="eastAsia"/>
                <w:bCs/>
                <w:sz w:val="20"/>
                <w:szCs w:val="28"/>
              </w:rPr>
              <w:t>M</w:t>
            </w: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r>
              <w:rPr>
                <w:rFonts w:ascii="华文中宋" w:eastAsia="华文中宋" w:hAnsi="华文中宋" w:cs="仿宋_GB2312" w:hint="eastAsia"/>
                <w:bCs/>
                <w:sz w:val="20"/>
                <w:szCs w:val="28"/>
              </w:rPr>
              <w:t>L</w:t>
            </w: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p>
        </w:tc>
      </w:tr>
      <w:tr w:rsidR="009613B4" w:rsidTr="008C3907">
        <w:trPr>
          <w:trHeight w:hRule="exact" w:val="454"/>
          <w:jc w:val="center"/>
        </w:trPr>
        <w:tc>
          <w:tcPr>
            <w:tcW w:w="2743" w:type="dxa"/>
            <w:shd w:val="clear" w:color="auto" w:fill="auto"/>
          </w:tcPr>
          <w:p w:rsidR="009613B4" w:rsidRDefault="009613B4" w:rsidP="008C3907">
            <w:pPr>
              <w:tabs>
                <w:tab w:val="left" w:pos="6300"/>
              </w:tabs>
              <w:spacing w:line="240" w:lineRule="exact"/>
              <w:jc w:val="center"/>
              <w:rPr>
                <w:rFonts w:ascii="仿宋_GB2312" w:hAnsi="仿宋_GB2312" w:cs="仿宋_GB2312"/>
                <w:bCs/>
                <w:sz w:val="20"/>
                <w:szCs w:val="28"/>
              </w:rPr>
            </w:pPr>
            <w:r>
              <w:rPr>
                <w:rFonts w:ascii="仿宋_GB2312" w:hAnsi="仿宋_GB2312" w:cs="仿宋_GB2312" w:hint="eastAsia"/>
                <w:bCs/>
                <w:sz w:val="20"/>
                <w:szCs w:val="28"/>
              </w:rPr>
              <w:t>情感态度与价值观目标</w:t>
            </w:r>
          </w:p>
        </w:tc>
        <w:tc>
          <w:tcPr>
            <w:tcW w:w="519" w:type="dxa"/>
            <w:shd w:val="clear" w:color="auto" w:fill="auto"/>
            <w:vAlign w:val="center"/>
          </w:tcPr>
          <w:p w:rsidR="009613B4" w:rsidRDefault="009613B4" w:rsidP="008C3907">
            <w:pPr>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M</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H</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bCs/>
                <w:sz w:val="20"/>
                <w:szCs w:val="28"/>
              </w:rPr>
            </w:pPr>
            <w:r>
              <w:rPr>
                <w:rFonts w:ascii="华文中宋" w:eastAsia="华文中宋" w:hAnsi="华文中宋" w:cs="仿宋_GB2312" w:hint="eastAsia"/>
                <w:bCs/>
                <w:sz w:val="20"/>
                <w:szCs w:val="28"/>
              </w:rPr>
              <w:t>L</w:t>
            </w: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p>
        </w:tc>
        <w:tc>
          <w:tcPr>
            <w:tcW w:w="520" w:type="dxa"/>
            <w:shd w:val="clear" w:color="auto" w:fill="auto"/>
          </w:tcPr>
          <w:p w:rsidR="009613B4" w:rsidRDefault="009613B4" w:rsidP="008C3907">
            <w:pPr>
              <w:spacing w:line="240" w:lineRule="exact"/>
              <w:rPr>
                <w:rFonts w:ascii="华文中宋" w:eastAsia="华文中宋" w:hAnsi="华文中宋" w:cs="仿宋_GB2312"/>
                <w:bCs/>
                <w:sz w:val="20"/>
                <w:szCs w:val="28"/>
              </w:rPr>
            </w:pPr>
          </w:p>
        </w:tc>
      </w:tr>
    </w:tbl>
    <w:p w:rsidR="009613B4" w:rsidRDefault="009613B4" w:rsidP="009613B4">
      <w:pPr>
        <w:spacing w:line="560" w:lineRule="exact"/>
        <w:ind w:firstLine="331"/>
        <w:rPr>
          <w:rFonts w:ascii="仿宋_GB2312" w:hAnsi="仿宋_GB2312" w:cs="仿宋_GB2312"/>
          <w:bCs/>
          <w:sz w:val="28"/>
          <w:szCs w:val="28"/>
        </w:rPr>
      </w:pP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3. 课程的重点、难点</w:t>
      </w:r>
    </w:p>
    <w:p w:rsidR="009613B4" w:rsidRDefault="009613B4" w:rsidP="009613B4">
      <w:pPr>
        <w:spacing w:line="560" w:lineRule="exact"/>
        <w:ind w:firstLineChars="201" w:firstLine="563"/>
        <w:rPr>
          <w:rFonts w:ascii="仿宋_GB2312" w:hAnsi="仿宋_GB2312" w:cs="仿宋_GB2312"/>
          <w:bCs/>
          <w:sz w:val="28"/>
          <w:szCs w:val="28"/>
        </w:rPr>
      </w:pPr>
      <w:r>
        <w:rPr>
          <w:rFonts w:ascii="仿宋_GB2312" w:hAnsi="仿宋_GB2312" w:cs="仿宋_GB2312" w:hint="eastAsia"/>
          <w:bCs/>
          <w:sz w:val="28"/>
          <w:szCs w:val="28"/>
        </w:rPr>
        <w:t>课程重点：掌握城市水系统运行与管理和城市水资源保护与管理；掌握给水处理构筑物的运行、维护与管理，污水处理构筑物的运行、</w:t>
      </w:r>
      <w:r>
        <w:rPr>
          <w:rFonts w:ascii="仿宋_GB2312" w:hAnsi="仿宋_GB2312" w:cs="仿宋_GB2312" w:hint="eastAsia"/>
          <w:bCs/>
          <w:sz w:val="28"/>
          <w:szCs w:val="28"/>
        </w:rPr>
        <w:lastRenderedPageBreak/>
        <w:t>维护与管理，城市污水再生利用技术与管理，了解水处理厂电气与机械设备的运行与管理，水处理厂自动化控制，掌握给水管网的技术管理与维护，排水管网的技术管理与维护，泵站的运行维护与管理；了解企业运营的内部管理，城市供水排水调度，供水排水企业对外服务与收费管理，城市供水排水项目投融资</w:t>
      </w:r>
      <w:r>
        <w:rPr>
          <w:rFonts w:ascii="仿宋_GB2312" w:hAnsi="仿宋_GB2312" w:cs="仿宋_GB2312"/>
          <w:bCs/>
          <w:sz w:val="28"/>
          <w:szCs w:val="28"/>
        </w:rPr>
        <w:t>。</w:t>
      </w:r>
    </w:p>
    <w:p w:rsidR="009613B4" w:rsidRDefault="009613B4" w:rsidP="009613B4">
      <w:pPr>
        <w:spacing w:line="560" w:lineRule="exact"/>
        <w:ind w:firstLineChars="201" w:firstLine="563"/>
        <w:rPr>
          <w:rFonts w:ascii="仿宋_GB2312" w:hAnsi="仿宋_GB2312" w:cs="仿宋_GB2312"/>
          <w:bCs/>
          <w:sz w:val="28"/>
          <w:szCs w:val="28"/>
        </w:rPr>
      </w:pPr>
      <w:r>
        <w:rPr>
          <w:rFonts w:ascii="仿宋_GB2312" w:hAnsi="仿宋_GB2312" w:cs="仿宋_GB2312" w:hint="eastAsia"/>
          <w:bCs/>
          <w:sz w:val="28"/>
          <w:szCs w:val="28"/>
        </w:rPr>
        <w:t>课程难点：灵活选择给水/污水处理工艺，并且能够在运行过程中针对不良运行情况提出合理改进措施。</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4. 课程思政设计</w:t>
      </w:r>
    </w:p>
    <w:p w:rsidR="009613B4" w:rsidRDefault="009613B4" w:rsidP="009613B4">
      <w:pPr>
        <w:spacing w:line="560" w:lineRule="exact"/>
        <w:ind w:firstLineChars="200" w:firstLine="560"/>
        <w:jc w:val="left"/>
        <w:rPr>
          <w:rFonts w:ascii="仿宋_GB2312" w:hAnsi="仿宋_GB2312" w:cs="仿宋_GB2312"/>
          <w:bCs/>
          <w:sz w:val="28"/>
          <w:szCs w:val="28"/>
        </w:rPr>
      </w:pPr>
      <w:r>
        <w:rPr>
          <w:rFonts w:ascii="仿宋_GB2312" w:hAnsi="仿宋_GB2312" w:cs="仿宋_GB2312" w:hint="eastAsia"/>
          <w:bCs/>
          <w:sz w:val="28"/>
          <w:szCs w:val="28"/>
        </w:rPr>
        <w:t>围绕城市水系统运行与管理的教学，综合运用使用讲授点拨、案例穿插、专题嵌入、讨论辨析、隐形渗透等课程思政的融入方式，将蕴含的思政元素融入课程教学和改革，帮助学生</w:t>
      </w:r>
      <w:r>
        <w:rPr>
          <w:rFonts w:ascii="仿宋_GB2312" w:hAnsi="仿宋_GB2312" w:cs="仿宋_GB2312"/>
          <w:bCs/>
          <w:sz w:val="28"/>
          <w:szCs w:val="28"/>
        </w:rPr>
        <w:t>树立正确的世界观、人生观和价值观，</w:t>
      </w:r>
      <w:r>
        <w:rPr>
          <w:rFonts w:ascii="仿宋_GB2312" w:hAnsi="仿宋_GB2312" w:cs="仿宋_GB2312" w:hint="eastAsia"/>
          <w:bCs/>
          <w:sz w:val="28"/>
          <w:szCs w:val="28"/>
        </w:rPr>
        <w:t>把个人发展与国家需要、社会发展相结合，确立职业的概念和意识，</w:t>
      </w:r>
      <w:r>
        <w:rPr>
          <w:rFonts w:ascii="仿宋_GB2312" w:hAnsi="仿宋_GB2312" w:cs="仿宋_GB2312"/>
          <w:bCs/>
          <w:sz w:val="28"/>
          <w:szCs w:val="28"/>
        </w:rPr>
        <w:t>具有为国家富强和民族昌盛而努力奋斗的责任感和良好的职业道德。</w:t>
      </w:r>
    </w:p>
    <w:p w:rsidR="009613B4" w:rsidRPr="008B4EA8" w:rsidRDefault="009613B4" w:rsidP="009613B4">
      <w:pPr>
        <w:spacing w:beforeLines="50" w:before="156" w:afterLines="50" w:after="156" w:line="560" w:lineRule="exact"/>
        <w:rPr>
          <w:rFonts w:ascii="黑体" w:eastAsia="黑体" w:hAnsi="黑体"/>
          <w:b/>
          <w:sz w:val="28"/>
          <w:szCs w:val="28"/>
        </w:rPr>
      </w:pPr>
      <w:r w:rsidRPr="008B4EA8">
        <w:rPr>
          <w:rFonts w:ascii="黑体" w:eastAsia="黑体" w:hAnsi="黑体" w:hint="eastAsia"/>
          <w:b/>
          <w:sz w:val="28"/>
          <w:szCs w:val="28"/>
        </w:rPr>
        <w:t>四、教学内容安排</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852"/>
        <w:gridCol w:w="709"/>
        <w:gridCol w:w="3366"/>
        <w:gridCol w:w="3580"/>
        <w:gridCol w:w="815"/>
      </w:tblGrid>
      <w:tr w:rsidR="009613B4" w:rsidTr="008C3907">
        <w:trPr>
          <w:cantSplit/>
          <w:trHeight w:val="661"/>
        </w:trPr>
        <w:tc>
          <w:tcPr>
            <w:tcW w:w="532"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序号</w:t>
            </w:r>
          </w:p>
        </w:tc>
        <w:tc>
          <w:tcPr>
            <w:tcW w:w="852"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章  节</w:t>
            </w:r>
          </w:p>
        </w:tc>
        <w:tc>
          <w:tcPr>
            <w:tcW w:w="709" w:type="dxa"/>
            <w:vAlign w:val="center"/>
          </w:tcPr>
          <w:p w:rsidR="009613B4" w:rsidRDefault="009613B4" w:rsidP="008C3907">
            <w:pPr>
              <w:spacing w:line="240" w:lineRule="exact"/>
              <w:jc w:val="center"/>
              <w:rPr>
                <w:rFonts w:ascii="仿宋_GB2312" w:hAnsi="仿宋_GB2312" w:cs="仿宋_GB2312"/>
                <w:bCs/>
                <w:sz w:val="20"/>
                <w:szCs w:val="20"/>
              </w:rPr>
            </w:pPr>
          </w:p>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参考学时</w:t>
            </w:r>
          </w:p>
          <w:p w:rsidR="009613B4" w:rsidRDefault="009613B4" w:rsidP="008C3907">
            <w:pPr>
              <w:spacing w:line="240" w:lineRule="exact"/>
              <w:jc w:val="center"/>
              <w:rPr>
                <w:rFonts w:ascii="仿宋_GB2312" w:hAnsi="仿宋_GB2312" w:cs="仿宋_GB2312"/>
                <w:bCs/>
                <w:sz w:val="20"/>
                <w:szCs w:val="20"/>
              </w:rPr>
            </w:pPr>
          </w:p>
        </w:tc>
        <w:tc>
          <w:tcPr>
            <w:tcW w:w="3366" w:type="dxa"/>
            <w:vAlign w:val="center"/>
          </w:tcPr>
          <w:p w:rsidR="009613B4" w:rsidRDefault="009613B4" w:rsidP="008C3907">
            <w:pPr>
              <w:spacing w:line="240" w:lineRule="exact"/>
              <w:ind w:firstLineChars="600" w:firstLine="1200"/>
              <w:rPr>
                <w:rFonts w:ascii="仿宋_GB2312" w:hAnsi="仿宋_GB2312" w:cs="仿宋_GB2312"/>
                <w:bCs/>
                <w:sz w:val="20"/>
                <w:szCs w:val="20"/>
              </w:rPr>
            </w:pPr>
            <w:r>
              <w:rPr>
                <w:rFonts w:ascii="仿宋_GB2312" w:hAnsi="仿宋_GB2312" w:cs="仿宋_GB2312" w:hint="eastAsia"/>
                <w:bCs/>
                <w:sz w:val="20"/>
                <w:szCs w:val="20"/>
              </w:rPr>
              <w:t>教学内容</w:t>
            </w:r>
          </w:p>
        </w:tc>
        <w:tc>
          <w:tcPr>
            <w:tcW w:w="3580"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基本要求</w:t>
            </w:r>
          </w:p>
        </w:tc>
        <w:tc>
          <w:tcPr>
            <w:tcW w:w="815"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对毕业要求的支撑</w:t>
            </w:r>
          </w:p>
        </w:tc>
      </w:tr>
      <w:tr w:rsidR="009613B4" w:rsidTr="008C3907">
        <w:trPr>
          <w:trHeight w:val="2816"/>
        </w:trPr>
        <w:tc>
          <w:tcPr>
            <w:tcW w:w="532"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1</w:t>
            </w:r>
          </w:p>
        </w:tc>
        <w:tc>
          <w:tcPr>
            <w:tcW w:w="852"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第一篇</w:t>
            </w:r>
          </w:p>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总论</w:t>
            </w:r>
          </w:p>
        </w:tc>
        <w:tc>
          <w:tcPr>
            <w:tcW w:w="709"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2</w:t>
            </w:r>
          </w:p>
        </w:tc>
        <w:tc>
          <w:tcPr>
            <w:tcW w:w="3366" w:type="dxa"/>
            <w:vAlign w:val="center"/>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第1章　城市水系统运行与管理概论</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1.1　概述</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1.2　城市水系统分析</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1.3　城市水系统特性</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1.4　城市水系统的运营与管理</w:t>
            </w:r>
          </w:p>
          <w:p w:rsidR="009613B4" w:rsidRDefault="009613B4" w:rsidP="008C3907">
            <w:pPr>
              <w:spacing w:line="240" w:lineRule="exact"/>
              <w:rPr>
                <w:rFonts w:ascii="仿宋_GB2312" w:hAnsi="仿宋_GB2312" w:cs="仿宋_GB2312"/>
                <w:bCs/>
                <w:sz w:val="20"/>
                <w:szCs w:val="20"/>
              </w:rPr>
            </w:pP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第2章　城市水资源保护与管理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2.1　城市水资源与城市建设的关系</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2.2　城市水资源保护与管理措施</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2.3　城市取水构筑物的运行管理</w:t>
            </w:r>
          </w:p>
        </w:tc>
        <w:tc>
          <w:tcPr>
            <w:tcW w:w="3580" w:type="dxa"/>
            <w:vAlign w:val="center"/>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1、了解城市水系统的特点。</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2、了解城市水资源现状及保护措施。</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3、了解城市取水构筑物的工作特定及运行管理方式。</w:t>
            </w:r>
          </w:p>
        </w:tc>
        <w:tc>
          <w:tcPr>
            <w:tcW w:w="815" w:type="dxa"/>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支撑毕业要求6，7，8，11</w:t>
            </w:r>
          </w:p>
        </w:tc>
      </w:tr>
      <w:tr w:rsidR="009613B4" w:rsidTr="008C3907">
        <w:trPr>
          <w:trHeight w:val="699"/>
        </w:trPr>
        <w:tc>
          <w:tcPr>
            <w:tcW w:w="532" w:type="dxa"/>
            <w:vAlign w:val="center"/>
          </w:tcPr>
          <w:p w:rsidR="009613B4" w:rsidRDefault="009613B4" w:rsidP="008C3907">
            <w:pPr>
              <w:spacing w:line="240" w:lineRule="exact"/>
              <w:rPr>
                <w:rFonts w:ascii="仿宋_GB2312" w:hAnsi="仿宋_GB2312" w:cs="仿宋_GB2312"/>
                <w:bCs/>
                <w:sz w:val="20"/>
                <w:szCs w:val="20"/>
              </w:rPr>
            </w:pP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2</w:t>
            </w:r>
          </w:p>
        </w:tc>
        <w:tc>
          <w:tcPr>
            <w:tcW w:w="852"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第二篇</w:t>
            </w:r>
          </w:p>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水处理厂</w:t>
            </w:r>
          </w:p>
        </w:tc>
        <w:tc>
          <w:tcPr>
            <w:tcW w:w="709"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6</w:t>
            </w:r>
          </w:p>
        </w:tc>
        <w:tc>
          <w:tcPr>
            <w:tcW w:w="3366" w:type="dxa"/>
            <w:vAlign w:val="center"/>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第3章　给水处理构筑物的运行、维护与管理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3.1　常规给水处理工艺</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3.2　受污染水源水的预处理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3.3　受污染水源水净化的深度处理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lastRenderedPageBreak/>
              <w:t>3.4　新型净水工艺</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第4章　污水处理构筑物的运行、维护与管理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4.1　预处理工艺</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4.2　生物处理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4.3　消毒与计量</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4.4　污泥处理构筑物</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第5章　城市污水再生利用技术与管理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5.1　城市再生水系统的构成与类型</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5.2　再生水的用水途径与类别</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5.3　再生水净化处理的基本要求</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5.4　再生水处理工艺</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5.5　再生水生产运行的技术要求</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5.6　再生水的输配与存储</w:t>
            </w:r>
          </w:p>
          <w:p w:rsidR="009613B4" w:rsidRDefault="009613B4" w:rsidP="008C3907">
            <w:pPr>
              <w:spacing w:line="240" w:lineRule="exact"/>
              <w:rPr>
                <w:rFonts w:ascii="仿宋_GB2312" w:hAnsi="仿宋_GB2312" w:cs="仿宋_GB2312"/>
                <w:bCs/>
                <w:sz w:val="20"/>
                <w:szCs w:val="20"/>
              </w:rPr>
            </w:pPr>
          </w:p>
        </w:tc>
        <w:tc>
          <w:tcPr>
            <w:tcW w:w="3580" w:type="dxa"/>
            <w:vAlign w:val="center"/>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lastRenderedPageBreak/>
              <w:t>1、掌握常规给水处理工艺。</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2、掌握污染水源水的预处理方式。</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3、了解新型净水技术及工艺设备；</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4、掌握污水处理构筑物的工艺，主要处理单元。</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lastRenderedPageBreak/>
              <w:t>5、掌握污水预处理技术，三级处理技术及污泥处理技术。</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6、了解城市再生水利用现状，工艺方法。</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7掌握再生水净化处理的工艺，及运营管理。</w:t>
            </w:r>
          </w:p>
          <w:p w:rsidR="009613B4" w:rsidRDefault="009613B4" w:rsidP="008C3907">
            <w:pPr>
              <w:spacing w:line="240" w:lineRule="exact"/>
              <w:rPr>
                <w:rFonts w:ascii="仿宋_GB2312" w:hAnsi="仿宋_GB2312" w:cs="仿宋_GB2312"/>
                <w:bCs/>
                <w:sz w:val="20"/>
                <w:szCs w:val="20"/>
              </w:rPr>
            </w:pPr>
          </w:p>
        </w:tc>
        <w:tc>
          <w:tcPr>
            <w:tcW w:w="815" w:type="dxa"/>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lastRenderedPageBreak/>
              <w:t>支撑毕业要求6，7，8，9，</w:t>
            </w:r>
            <w:r>
              <w:rPr>
                <w:rFonts w:ascii="仿宋_GB2312" w:hAnsi="仿宋_GB2312" w:cs="仿宋_GB2312" w:hint="eastAsia"/>
                <w:bCs/>
                <w:sz w:val="20"/>
                <w:szCs w:val="20"/>
              </w:rPr>
              <w:lastRenderedPageBreak/>
              <w:t>11</w:t>
            </w:r>
          </w:p>
        </w:tc>
      </w:tr>
      <w:tr w:rsidR="009613B4" w:rsidTr="008C3907">
        <w:trPr>
          <w:trHeight w:val="1380"/>
        </w:trPr>
        <w:tc>
          <w:tcPr>
            <w:tcW w:w="532"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3</w:t>
            </w:r>
          </w:p>
        </w:tc>
        <w:tc>
          <w:tcPr>
            <w:tcW w:w="852"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第3篇</w:t>
            </w:r>
          </w:p>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管道系统</w:t>
            </w:r>
          </w:p>
        </w:tc>
        <w:tc>
          <w:tcPr>
            <w:tcW w:w="709"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6</w:t>
            </w:r>
          </w:p>
        </w:tc>
        <w:tc>
          <w:tcPr>
            <w:tcW w:w="3366" w:type="dxa"/>
            <w:vAlign w:val="center"/>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第8章　给水管网的技术管理与维护</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8.1　给水管道材料、附件与附属设施</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8.2　给水管网技术管理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8.3　给水管网的监测、检漏与维护</w:t>
            </w:r>
          </w:p>
          <w:p w:rsidR="009613B4" w:rsidRDefault="009613B4" w:rsidP="008C3907">
            <w:pPr>
              <w:spacing w:line="240" w:lineRule="exact"/>
              <w:rPr>
                <w:rFonts w:ascii="仿宋_GB2312" w:hAnsi="仿宋_GB2312" w:cs="仿宋_GB2312"/>
                <w:bCs/>
                <w:sz w:val="20"/>
                <w:szCs w:val="20"/>
              </w:rPr>
            </w:pP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第9章　排水管网的技术管理与维护</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9.1　排水管渠的材料</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9.2　排水管渠的接口</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9.3　排水管渠的基础</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9.4　排水管渠的构筑物</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9.5　排水管渠的运行管理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9.6　GIS在排水系统中的应用</w:t>
            </w:r>
          </w:p>
          <w:p w:rsidR="009613B4" w:rsidRDefault="009613B4" w:rsidP="008C3907">
            <w:pPr>
              <w:spacing w:line="240" w:lineRule="exact"/>
              <w:rPr>
                <w:rFonts w:ascii="仿宋_GB2312" w:hAnsi="仿宋_GB2312" w:cs="仿宋_GB2312"/>
                <w:bCs/>
                <w:sz w:val="20"/>
                <w:szCs w:val="20"/>
              </w:rPr>
            </w:pP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第10章　泵站的运行维护与管理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10.1　水泵启动前的准备工作</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10.2　水泵运行中应注意的问题</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10.3　水泵常见故障与排除</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10.4　泵站的运行日志与设备档案</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10.5　泵站的管理制度</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10.6　泵站辅助设施的运行管理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10.7　泵站水锤及防护</w:t>
            </w:r>
          </w:p>
        </w:tc>
        <w:tc>
          <w:tcPr>
            <w:tcW w:w="3580" w:type="dxa"/>
            <w:vAlign w:val="center"/>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1、熟悉给水管网管材，附件及附属设施的相关内容。</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2、了解给水管网优化技术。</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3、熟悉排水管网材料，借口，基础，及附属构筑物的相关内容。</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4、了解排水管渠的运营及管理方式。</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5、了解GIS技术的发展现状及在排水系统中的应用。</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6、掌握泵站运行中常见故障的解决办法。</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7、了解泵站运行管理相关内容。</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8、掌握如何防止水锤发生及保护防护措施。</w:t>
            </w:r>
          </w:p>
        </w:tc>
        <w:tc>
          <w:tcPr>
            <w:tcW w:w="815" w:type="dxa"/>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支撑毕业要求6，7，8，9，11</w:t>
            </w:r>
          </w:p>
        </w:tc>
      </w:tr>
      <w:tr w:rsidR="009613B4" w:rsidTr="008C3907">
        <w:trPr>
          <w:trHeight w:val="990"/>
        </w:trPr>
        <w:tc>
          <w:tcPr>
            <w:tcW w:w="532"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4</w:t>
            </w:r>
          </w:p>
        </w:tc>
        <w:tc>
          <w:tcPr>
            <w:tcW w:w="852"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第4篇</w:t>
            </w:r>
          </w:p>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企业运营管理与供水排水项目投融资</w:t>
            </w:r>
          </w:p>
        </w:tc>
        <w:tc>
          <w:tcPr>
            <w:tcW w:w="709" w:type="dxa"/>
            <w:vAlign w:val="center"/>
          </w:tcPr>
          <w:p w:rsidR="009613B4" w:rsidRDefault="009613B4" w:rsidP="008C3907">
            <w:pPr>
              <w:spacing w:line="240" w:lineRule="exact"/>
              <w:jc w:val="center"/>
              <w:rPr>
                <w:rFonts w:ascii="仿宋_GB2312" w:hAnsi="仿宋_GB2312" w:cs="仿宋_GB2312"/>
                <w:bCs/>
                <w:sz w:val="20"/>
                <w:szCs w:val="20"/>
              </w:rPr>
            </w:pPr>
            <w:r>
              <w:rPr>
                <w:rFonts w:ascii="仿宋_GB2312" w:hAnsi="仿宋_GB2312" w:cs="仿宋_GB2312" w:hint="eastAsia"/>
                <w:bCs/>
                <w:sz w:val="20"/>
                <w:szCs w:val="20"/>
              </w:rPr>
              <w:t>2</w:t>
            </w:r>
          </w:p>
        </w:tc>
        <w:tc>
          <w:tcPr>
            <w:tcW w:w="3366" w:type="dxa"/>
            <w:vAlign w:val="center"/>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第11章　企业运营的内部管理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11.1　供水排水企业的运营管理特征</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11.2　企业的组织设计</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11.3　计划与财务管理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11.4　生产管理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11.5　人力资源管理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第12章　城市供水排水调度</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12.1　城市供水调度</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12.2　城市排水调度</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第13章　供水排水企业对外服务与收费管理</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13.1　供水排水企业公共关系</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13.2　城市供水排水客户服务</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13.3　供水排水价格</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13.4　抄表收费管理</w:t>
            </w:r>
          </w:p>
        </w:tc>
        <w:tc>
          <w:tcPr>
            <w:tcW w:w="3580" w:type="dxa"/>
            <w:vAlign w:val="center"/>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1、了解供排水企业内部的管理运营方式。</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2、了解城市供排水调度的方式及现状。</w:t>
            </w:r>
          </w:p>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3、了解供排水企业与客户的关系及供排水价格，管理等相关知识。</w:t>
            </w:r>
          </w:p>
        </w:tc>
        <w:tc>
          <w:tcPr>
            <w:tcW w:w="815" w:type="dxa"/>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支撑毕业要求6，7，8，9，11</w:t>
            </w:r>
          </w:p>
        </w:tc>
      </w:tr>
    </w:tbl>
    <w:p w:rsidR="009613B4" w:rsidRDefault="009613B4" w:rsidP="009613B4">
      <w:pPr>
        <w:spacing w:beforeLines="50" w:before="156" w:afterLines="50" w:after="156" w:line="560" w:lineRule="exact"/>
        <w:rPr>
          <w:rFonts w:ascii="仿宋_GB2312" w:hAnsi="仿宋_GB2312" w:cs="仿宋_GB2312"/>
          <w:bCs/>
          <w:sz w:val="28"/>
          <w:szCs w:val="28"/>
        </w:rPr>
      </w:pPr>
    </w:p>
    <w:p w:rsidR="009613B4" w:rsidRPr="008B4EA8" w:rsidRDefault="009613B4" w:rsidP="009613B4">
      <w:pPr>
        <w:spacing w:beforeLines="50" w:before="156" w:afterLines="50" w:after="156" w:line="560" w:lineRule="exact"/>
        <w:rPr>
          <w:rFonts w:ascii="黑体" w:eastAsia="黑体" w:hAnsi="黑体"/>
          <w:b/>
          <w:sz w:val="28"/>
          <w:szCs w:val="28"/>
        </w:rPr>
      </w:pPr>
      <w:r w:rsidRPr="008B4EA8">
        <w:rPr>
          <w:rFonts w:ascii="黑体" w:eastAsia="黑体" w:hAnsi="黑体" w:hint="eastAsia"/>
          <w:b/>
          <w:sz w:val="28"/>
          <w:szCs w:val="28"/>
        </w:rPr>
        <w:lastRenderedPageBreak/>
        <w:t>五、课程考核方式与成绩评定</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1. 课程考核</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考核方式为考试</w:t>
      </w:r>
    </w:p>
    <w:p w:rsidR="009613B4" w:rsidRDefault="009613B4" w:rsidP="005F6318">
      <w:pPr>
        <w:numPr>
          <w:ilvl w:val="0"/>
          <w:numId w:val="2"/>
        </w:num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成绩评定</w:t>
      </w:r>
    </w:p>
    <w:p w:rsidR="009613B4" w:rsidRDefault="009613B4" w:rsidP="009613B4">
      <w:pPr>
        <w:adjustRightInd w:val="0"/>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课程成绩由平时成绩和期终考试两个环节的成绩综合评定产生。各评价环节所占比例及对教学目标的支撑如下表所示。成绩评定方式（百分制）</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课程总成绩=期末成绩</w:t>
      </w:r>
      <w:r>
        <w:rPr>
          <w:rFonts w:ascii="仿宋_GB2312" w:hAnsi="仿宋_GB2312" w:cs="仿宋_GB2312" w:hint="eastAsia"/>
          <w:sz w:val="28"/>
          <w:szCs w:val="28"/>
        </w:rPr>
        <w:t>70%+平时</w:t>
      </w:r>
      <w:r>
        <w:rPr>
          <w:rFonts w:ascii="仿宋_GB2312" w:hAnsi="仿宋_GB2312" w:cs="仿宋_GB2312"/>
          <w:sz w:val="28"/>
          <w:szCs w:val="28"/>
        </w:rPr>
        <w:t>成绩30</w:t>
      </w:r>
      <w:r>
        <w:rPr>
          <w:rFonts w:ascii="仿宋_GB2312" w:hAnsi="仿宋_GB2312" w:cs="仿宋_GB2312" w:hint="eastAsia"/>
          <w:sz w:val="28"/>
          <w:szCs w:val="28"/>
        </w:rPr>
        <w:t>%</w:t>
      </w:r>
      <w:r>
        <w:rPr>
          <w:rFonts w:ascii="仿宋_GB2312" w:hAnsi="仿宋_GB2312" w:cs="仿宋_GB2312"/>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796"/>
        <w:gridCol w:w="2899"/>
      </w:tblGrid>
      <w:tr w:rsidR="009613B4" w:rsidTr="008C3907">
        <w:tc>
          <w:tcPr>
            <w:tcW w:w="2732" w:type="dxa"/>
            <w:shd w:val="clear" w:color="auto" w:fill="auto"/>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bCs/>
                <w:sz w:val="20"/>
                <w:szCs w:val="20"/>
              </w:rPr>
              <w:t>成绩评定</w:t>
            </w:r>
          </w:p>
        </w:tc>
        <w:tc>
          <w:tcPr>
            <w:tcW w:w="3080" w:type="dxa"/>
            <w:shd w:val="clear" w:color="auto" w:fill="auto"/>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bCs/>
                <w:sz w:val="20"/>
                <w:szCs w:val="20"/>
              </w:rPr>
              <w:t>评价环节</w:t>
            </w:r>
          </w:p>
        </w:tc>
        <w:tc>
          <w:tcPr>
            <w:tcW w:w="3260" w:type="dxa"/>
            <w:shd w:val="clear" w:color="auto" w:fill="auto"/>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bCs/>
                <w:sz w:val="20"/>
                <w:szCs w:val="20"/>
              </w:rPr>
              <w:t>教学目标</w:t>
            </w:r>
          </w:p>
        </w:tc>
      </w:tr>
      <w:tr w:rsidR="009613B4" w:rsidTr="008C3907">
        <w:tc>
          <w:tcPr>
            <w:tcW w:w="2732" w:type="dxa"/>
            <w:vMerge w:val="restart"/>
            <w:shd w:val="clear" w:color="auto" w:fill="auto"/>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bCs/>
                <w:sz w:val="20"/>
                <w:szCs w:val="20"/>
              </w:rPr>
              <w:t>平时成绩（30%）</w:t>
            </w:r>
          </w:p>
        </w:tc>
        <w:tc>
          <w:tcPr>
            <w:tcW w:w="3080" w:type="dxa"/>
            <w:shd w:val="clear" w:color="auto" w:fill="auto"/>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bCs/>
                <w:sz w:val="20"/>
                <w:szCs w:val="20"/>
              </w:rPr>
              <w:t>考勤（10%）</w:t>
            </w:r>
          </w:p>
        </w:tc>
        <w:tc>
          <w:tcPr>
            <w:tcW w:w="3260" w:type="dxa"/>
            <w:shd w:val="clear" w:color="auto" w:fill="auto"/>
          </w:tcPr>
          <w:p w:rsidR="009613B4" w:rsidRDefault="009613B4" w:rsidP="008C3907">
            <w:pPr>
              <w:spacing w:line="240" w:lineRule="exact"/>
              <w:rPr>
                <w:rFonts w:ascii="仿宋_GB2312" w:hAnsi="仿宋_GB2312" w:cs="仿宋_GB2312"/>
                <w:bCs/>
                <w:sz w:val="20"/>
                <w:szCs w:val="20"/>
              </w:rPr>
            </w:pPr>
          </w:p>
        </w:tc>
      </w:tr>
      <w:tr w:rsidR="009613B4" w:rsidTr="008C3907">
        <w:tc>
          <w:tcPr>
            <w:tcW w:w="2732" w:type="dxa"/>
            <w:vMerge/>
            <w:shd w:val="clear" w:color="auto" w:fill="auto"/>
          </w:tcPr>
          <w:p w:rsidR="009613B4" w:rsidRDefault="009613B4" w:rsidP="008C3907">
            <w:pPr>
              <w:spacing w:line="240" w:lineRule="exact"/>
              <w:rPr>
                <w:rFonts w:ascii="仿宋_GB2312" w:hAnsi="仿宋_GB2312" w:cs="仿宋_GB2312"/>
                <w:bCs/>
                <w:sz w:val="20"/>
                <w:szCs w:val="20"/>
              </w:rPr>
            </w:pPr>
          </w:p>
        </w:tc>
        <w:tc>
          <w:tcPr>
            <w:tcW w:w="3080" w:type="dxa"/>
            <w:shd w:val="clear" w:color="auto" w:fill="auto"/>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bCs/>
                <w:sz w:val="20"/>
                <w:szCs w:val="20"/>
              </w:rPr>
              <w:t>作业（20%）</w:t>
            </w:r>
          </w:p>
        </w:tc>
        <w:tc>
          <w:tcPr>
            <w:tcW w:w="3260" w:type="dxa"/>
            <w:shd w:val="clear" w:color="auto" w:fill="auto"/>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6</w:t>
            </w:r>
            <w:r>
              <w:rPr>
                <w:rFonts w:ascii="仿宋_GB2312" w:hAnsi="仿宋_GB2312" w:cs="仿宋_GB2312"/>
                <w:bCs/>
                <w:sz w:val="20"/>
                <w:szCs w:val="20"/>
              </w:rPr>
              <w:t>、7、8、9、</w:t>
            </w:r>
            <w:r>
              <w:rPr>
                <w:rFonts w:ascii="仿宋_GB2312" w:hAnsi="仿宋_GB2312" w:cs="仿宋_GB2312" w:hint="eastAsia"/>
                <w:bCs/>
                <w:sz w:val="20"/>
                <w:szCs w:val="20"/>
              </w:rPr>
              <w:t>11</w:t>
            </w:r>
          </w:p>
        </w:tc>
      </w:tr>
      <w:tr w:rsidR="009613B4" w:rsidTr="008C3907">
        <w:tc>
          <w:tcPr>
            <w:tcW w:w="2732" w:type="dxa"/>
            <w:shd w:val="clear" w:color="auto" w:fill="auto"/>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bCs/>
                <w:sz w:val="20"/>
                <w:szCs w:val="20"/>
              </w:rPr>
              <w:t>期末成绩（70%）</w:t>
            </w:r>
          </w:p>
        </w:tc>
        <w:tc>
          <w:tcPr>
            <w:tcW w:w="3080" w:type="dxa"/>
            <w:shd w:val="clear" w:color="auto" w:fill="auto"/>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bCs/>
                <w:sz w:val="20"/>
                <w:szCs w:val="20"/>
              </w:rPr>
              <w:t>试卷（70%）</w:t>
            </w:r>
          </w:p>
        </w:tc>
        <w:tc>
          <w:tcPr>
            <w:tcW w:w="3260" w:type="dxa"/>
            <w:shd w:val="clear" w:color="auto" w:fill="auto"/>
          </w:tcPr>
          <w:p w:rsidR="009613B4" w:rsidRDefault="009613B4" w:rsidP="008C3907">
            <w:pPr>
              <w:spacing w:line="240" w:lineRule="exact"/>
              <w:rPr>
                <w:rFonts w:ascii="仿宋_GB2312" w:hAnsi="仿宋_GB2312" w:cs="仿宋_GB2312"/>
                <w:bCs/>
                <w:sz w:val="20"/>
                <w:szCs w:val="20"/>
              </w:rPr>
            </w:pPr>
            <w:r>
              <w:rPr>
                <w:rFonts w:ascii="仿宋_GB2312" w:hAnsi="仿宋_GB2312" w:cs="仿宋_GB2312" w:hint="eastAsia"/>
                <w:bCs/>
                <w:sz w:val="20"/>
                <w:szCs w:val="20"/>
              </w:rPr>
              <w:t>6</w:t>
            </w:r>
            <w:r>
              <w:rPr>
                <w:rFonts w:ascii="仿宋_GB2312" w:hAnsi="仿宋_GB2312" w:cs="仿宋_GB2312"/>
                <w:bCs/>
                <w:sz w:val="20"/>
                <w:szCs w:val="20"/>
              </w:rPr>
              <w:t>、7、8、9、</w:t>
            </w:r>
            <w:r>
              <w:rPr>
                <w:rFonts w:ascii="仿宋_GB2312" w:hAnsi="仿宋_GB2312" w:cs="仿宋_GB2312" w:hint="eastAsia"/>
                <w:bCs/>
                <w:sz w:val="20"/>
                <w:szCs w:val="20"/>
              </w:rPr>
              <w:t>11</w:t>
            </w:r>
          </w:p>
        </w:tc>
      </w:tr>
    </w:tbl>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通过平时作业与期终考试等对学生专业核心知识的理解与运用能力等进行考核， 通过作业和考试的案例分析考核学生灵活解决问题、理论联系实际等能力， 即对毕业要求</w:t>
      </w:r>
      <w:r>
        <w:rPr>
          <w:rFonts w:ascii="仿宋_GB2312" w:hAnsi="仿宋_GB2312" w:cs="仿宋_GB2312" w:hint="eastAsia"/>
          <w:bCs/>
          <w:sz w:val="28"/>
          <w:szCs w:val="28"/>
        </w:rPr>
        <w:t>6</w:t>
      </w:r>
      <w:r>
        <w:rPr>
          <w:rFonts w:ascii="仿宋_GB2312" w:hAnsi="仿宋_GB2312" w:cs="仿宋_GB2312"/>
          <w:bCs/>
          <w:sz w:val="28"/>
          <w:szCs w:val="28"/>
        </w:rPr>
        <w:t>、7、8、9、</w:t>
      </w:r>
      <w:r>
        <w:rPr>
          <w:rFonts w:ascii="仿宋_GB2312" w:hAnsi="仿宋_GB2312" w:cs="仿宋_GB2312" w:hint="eastAsia"/>
          <w:bCs/>
          <w:sz w:val="28"/>
          <w:szCs w:val="28"/>
        </w:rPr>
        <w:t>11</w:t>
      </w:r>
      <w:r>
        <w:rPr>
          <w:rFonts w:ascii="仿宋_GB2312" w:hAnsi="仿宋_GB2312" w:cs="仿宋_GB2312"/>
          <w:bCs/>
          <w:sz w:val="28"/>
          <w:szCs w:val="28"/>
        </w:rPr>
        <w:t>的相关指标点的达成度进行评估。</w:t>
      </w:r>
    </w:p>
    <w:p w:rsidR="009613B4" w:rsidRPr="008B4EA8" w:rsidRDefault="009613B4" w:rsidP="009613B4">
      <w:pPr>
        <w:spacing w:beforeLines="50" w:before="156" w:afterLines="50" w:after="156" w:line="560" w:lineRule="exact"/>
        <w:rPr>
          <w:rFonts w:ascii="黑体" w:eastAsia="黑体" w:hAnsi="黑体"/>
          <w:b/>
          <w:sz w:val="28"/>
          <w:szCs w:val="28"/>
        </w:rPr>
      </w:pPr>
      <w:r w:rsidRPr="008B4EA8">
        <w:rPr>
          <w:rFonts w:ascii="黑体" w:eastAsia="黑体" w:hAnsi="黑体" w:hint="eastAsia"/>
          <w:b/>
          <w:sz w:val="28"/>
          <w:szCs w:val="28"/>
        </w:rPr>
        <w:t>六、课程建议教材及主要参考资料</w:t>
      </w:r>
    </w:p>
    <w:p w:rsidR="009613B4" w:rsidRDefault="009613B4" w:rsidP="009613B4">
      <w:pPr>
        <w:spacing w:beforeLines="50" w:before="156" w:afterLines="50" w:after="156" w:line="560" w:lineRule="exact"/>
        <w:ind w:firstLineChars="147" w:firstLine="412"/>
        <w:rPr>
          <w:rFonts w:ascii="仿宋_GB2312" w:hAnsi="仿宋_GB2312" w:cs="仿宋_GB2312"/>
          <w:bCs/>
          <w:sz w:val="28"/>
          <w:szCs w:val="28"/>
        </w:rPr>
      </w:pPr>
      <w:r>
        <w:rPr>
          <w:rFonts w:ascii="仿宋_GB2312" w:hAnsi="仿宋_GB2312" w:cs="仿宋_GB2312" w:hint="eastAsia"/>
          <w:bCs/>
          <w:sz w:val="28"/>
          <w:szCs w:val="28"/>
        </w:rPr>
        <w:t>1.建议教材</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（1）</w:t>
      </w:r>
      <w:r>
        <w:rPr>
          <w:rFonts w:ascii="仿宋_GB2312" w:hAnsi="仿宋_GB2312" w:cs="仿宋_GB2312" w:hint="eastAsia"/>
          <w:bCs/>
          <w:sz w:val="28"/>
          <w:szCs w:val="28"/>
        </w:rPr>
        <w:t>陈卫，张金松主编</w:t>
      </w:r>
      <w:r>
        <w:rPr>
          <w:rFonts w:ascii="仿宋_GB2312" w:hAnsi="仿宋_GB2312" w:cs="仿宋_GB2312"/>
          <w:bCs/>
          <w:sz w:val="28"/>
          <w:szCs w:val="28"/>
        </w:rPr>
        <w:t>，《</w:t>
      </w:r>
      <w:r>
        <w:rPr>
          <w:rFonts w:ascii="仿宋_GB2312" w:hAnsi="仿宋_GB2312" w:cs="仿宋_GB2312" w:hint="eastAsia"/>
          <w:bCs/>
          <w:sz w:val="28"/>
          <w:szCs w:val="28"/>
        </w:rPr>
        <w:t>城市水系统运营与管理</w:t>
      </w:r>
      <w:r>
        <w:rPr>
          <w:rFonts w:ascii="仿宋_GB2312" w:hAnsi="仿宋_GB2312" w:cs="仿宋_GB2312"/>
          <w:bCs/>
          <w:sz w:val="28"/>
          <w:szCs w:val="28"/>
        </w:rPr>
        <w:t>》，中国建筑工业出版社；</w:t>
      </w:r>
    </w:p>
    <w:p w:rsidR="009613B4" w:rsidRDefault="009613B4" w:rsidP="009613B4">
      <w:pPr>
        <w:spacing w:beforeLines="50" w:before="156" w:afterLines="50" w:after="156" w:line="560" w:lineRule="exact"/>
        <w:ind w:firstLineChars="147" w:firstLine="412"/>
        <w:rPr>
          <w:rFonts w:ascii="仿宋_GB2312" w:hAnsi="仿宋_GB2312" w:cs="仿宋_GB2312"/>
          <w:bCs/>
          <w:sz w:val="28"/>
          <w:szCs w:val="28"/>
        </w:rPr>
      </w:pPr>
      <w:r>
        <w:rPr>
          <w:rFonts w:ascii="仿宋_GB2312" w:hAnsi="仿宋_GB2312" w:cs="仿宋_GB2312" w:hint="eastAsia"/>
          <w:bCs/>
          <w:sz w:val="28"/>
          <w:szCs w:val="28"/>
        </w:rPr>
        <w:t>2.主要参考资料</w:t>
      </w:r>
    </w:p>
    <w:p w:rsidR="009613B4" w:rsidRDefault="009613B4" w:rsidP="009613B4">
      <w:pPr>
        <w:spacing w:line="560" w:lineRule="exact"/>
        <w:ind w:firstLineChars="200" w:firstLine="560"/>
        <w:jc w:val="left"/>
        <w:rPr>
          <w:rFonts w:ascii="仿宋_GB2312" w:hAnsi="仿宋_GB2312" w:cs="仿宋_GB2312"/>
          <w:bCs/>
          <w:sz w:val="28"/>
          <w:szCs w:val="28"/>
        </w:rPr>
      </w:pPr>
      <w:r>
        <w:rPr>
          <w:rFonts w:ascii="仿宋_GB2312" w:hAnsi="仿宋_GB2312" w:cs="仿宋_GB2312"/>
          <w:bCs/>
          <w:sz w:val="28"/>
          <w:szCs w:val="28"/>
        </w:rPr>
        <w:t>（</w:t>
      </w:r>
      <w:r>
        <w:rPr>
          <w:rFonts w:ascii="仿宋_GB2312" w:hAnsi="仿宋_GB2312" w:cs="仿宋_GB2312" w:hint="eastAsia"/>
          <w:bCs/>
          <w:sz w:val="28"/>
          <w:szCs w:val="28"/>
        </w:rPr>
        <w:t>1</w:t>
      </w:r>
      <w:r>
        <w:rPr>
          <w:rFonts w:ascii="仿宋_GB2312" w:hAnsi="仿宋_GB2312" w:cs="仿宋_GB2312"/>
          <w:bCs/>
          <w:sz w:val="28"/>
          <w:szCs w:val="28"/>
        </w:rPr>
        <w:t>）结合《</w:t>
      </w:r>
      <w:r>
        <w:rPr>
          <w:rFonts w:ascii="仿宋_GB2312" w:hAnsi="仿宋_GB2312" w:cs="仿宋_GB2312" w:hint="eastAsia"/>
          <w:bCs/>
          <w:sz w:val="28"/>
          <w:szCs w:val="28"/>
        </w:rPr>
        <w:t>城市水系统运营与管理</w:t>
      </w:r>
      <w:r>
        <w:rPr>
          <w:rFonts w:ascii="仿宋_GB2312" w:hAnsi="仿宋_GB2312" w:cs="仿宋_GB2312"/>
          <w:bCs/>
          <w:sz w:val="28"/>
          <w:szCs w:val="28"/>
        </w:rPr>
        <w:t>》，补充相关法律条例、水质标准和给排水设计规范内容。</w:t>
      </w:r>
    </w:p>
    <w:p w:rsidR="009613B4" w:rsidRDefault="009613B4" w:rsidP="009613B4">
      <w:pPr>
        <w:spacing w:line="560" w:lineRule="exact"/>
        <w:ind w:firstLineChars="200" w:firstLine="560"/>
        <w:jc w:val="left"/>
        <w:rPr>
          <w:rFonts w:ascii="仿宋_GB2312" w:hAnsi="仿宋_GB2312" w:cs="仿宋_GB2312"/>
          <w:bCs/>
          <w:sz w:val="28"/>
          <w:szCs w:val="28"/>
        </w:rPr>
      </w:pPr>
    </w:p>
    <w:p w:rsidR="009613B4" w:rsidRDefault="009613B4" w:rsidP="009613B4">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大纲撰写人：何皎洁</w:t>
      </w:r>
    </w:p>
    <w:p w:rsidR="009613B4" w:rsidRDefault="009613B4" w:rsidP="009613B4">
      <w:pPr>
        <w:spacing w:line="360" w:lineRule="auto"/>
        <w:ind w:firstLineChars="1200" w:firstLine="3360"/>
        <w:rPr>
          <w:rFonts w:ascii="仿宋" w:eastAsia="仿宋" w:hAnsi="仿宋"/>
          <w:sz w:val="28"/>
          <w:szCs w:val="28"/>
        </w:rPr>
      </w:pPr>
      <w:r>
        <w:rPr>
          <w:rFonts w:ascii="仿宋" w:eastAsia="仿宋" w:hAnsi="仿宋" w:hint="eastAsia"/>
          <w:sz w:val="28"/>
          <w:szCs w:val="28"/>
        </w:rPr>
        <w:lastRenderedPageBreak/>
        <w:t>课程负责人：</w:t>
      </w:r>
    </w:p>
    <w:p w:rsidR="009613B4" w:rsidRDefault="009613B4" w:rsidP="009613B4">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w:t>
      </w:r>
    </w:p>
    <w:p w:rsidR="009613B4" w:rsidRDefault="009613B4" w:rsidP="009613B4">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9613B4" w:rsidRDefault="009613B4" w:rsidP="009613B4">
      <w:pPr>
        <w:ind w:firstLineChars="2000" w:firstLine="5600"/>
        <w:jc w:val="left"/>
        <w:rPr>
          <w:rFonts w:ascii="仿宋" w:hAnsi="仿宋"/>
          <w:sz w:val="28"/>
          <w:szCs w:val="28"/>
        </w:rPr>
      </w:pPr>
      <w:r>
        <w:rPr>
          <w:rFonts w:ascii="仿宋_GB2312" w:hAnsi="微软雅黑" w:hint="eastAsia"/>
          <w:sz w:val="28"/>
          <w:szCs w:val="28"/>
        </w:rPr>
        <w:t xml:space="preserve">    </w:t>
      </w:r>
    </w:p>
    <w:p w:rsidR="009613B4" w:rsidRDefault="009613B4" w:rsidP="009613B4">
      <w:pPr>
        <w:jc w:val="left"/>
        <w:rPr>
          <w:rFonts w:ascii="仿宋_GB2312" w:hAnsi="黑体"/>
          <w:sz w:val="28"/>
          <w:szCs w:val="28"/>
        </w:rPr>
      </w:pPr>
      <w:r>
        <w:rPr>
          <w:rFonts w:ascii="仿宋" w:eastAsia="仿宋" w:hAnsi="仿宋" w:hint="eastAsia"/>
          <w:sz w:val="28"/>
          <w:szCs w:val="28"/>
        </w:rPr>
        <w:t xml:space="preserve">                                         年    月</w:t>
      </w:r>
    </w:p>
    <w:p w:rsidR="009613B4" w:rsidRDefault="009613B4"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8B4EA8" w:rsidRDefault="008B4EA8" w:rsidP="008B4EA8">
      <w:pPr>
        <w:spacing w:beforeLines="50" w:before="156" w:afterLines="50" w:after="156" w:line="560" w:lineRule="exact"/>
        <w:rPr>
          <w:rFonts w:ascii="黑体" w:eastAsia="黑体" w:hAnsi="黑体" w:cs="宋体"/>
          <w:bCs/>
          <w:color w:val="000000"/>
          <w:kern w:val="0"/>
          <w:szCs w:val="32"/>
        </w:rPr>
      </w:pPr>
    </w:p>
    <w:p w:rsidR="009613B4" w:rsidRDefault="009613B4" w:rsidP="009613B4">
      <w:pPr>
        <w:widowControl/>
        <w:spacing w:line="360" w:lineRule="auto"/>
        <w:jc w:val="center"/>
        <w:rPr>
          <w:rFonts w:ascii="方正小标宋简体" w:eastAsia="方正小标宋简体" w:hAnsi="宋体"/>
          <w:color w:val="000000"/>
          <w:kern w:val="0"/>
          <w:szCs w:val="32"/>
        </w:rPr>
      </w:pPr>
      <w:r>
        <w:rPr>
          <w:rFonts w:ascii="方正小标宋简体" w:eastAsia="方正小标宋简体" w:hAnsi="宋体" w:hint="eastAsia"/>
          <w:color w:val="000000"/>
          <w:kern w:val="0"/>
          <w:szCs w:val="32"/>
        </w:rPr>
        <w:lastRenderedPageBreak/>
        <w:t>《</w:t>
      </w:r>
      <w:r>
        <w:rPr>
          <w:rFonts w:ascii="方正小标宋简体" w:eastAsia="方正小标宋简体" w:hAnsi="宋体"/>
          <w:color w:val="000000"/>
          <w:kern w:val="0"/>
          <w:szCs w:val="32"/>
        </w:rPr>
        <w:t>城市水工程建设监理</w:t>
      </w:r>
      <w:r>
        <w:rPr>
          <w:rFonts w:ascii="方正小标宋简体" w:eastAsia="方正小标宋简体" w:hAnsi="宋体" w:hint="eastAsia"/>
          <w:color w:val="000000"/>
          <w:kern w:val="0"/>
          <w:szCs w:val="32"/>
        </w:rPr>
        <w:t>》课程教学大纲</w:t>
      </w:r>
    </w:p>
    <w:p w:rsidR="009613B4" w:rsidRDefault="009613B4" w:rsidP="009613B4">
      <w:pPr>
        <w:spacing w:beforeLines="50" w:before="156" w:afterLines="50" w:after="156" w:line="560" w:lineRule="exact"/>
        <w:rPr>
          <w:rFonts w:ascii="黑体" w:eastAsia="黑体" w:hAnsi="黑体"/>
          <w:b/>
          <w:color w:val="000000"/>
          <w:sz w:val="28"/>
          <w:szCs w:val="28"/>
        </w:rPr>
      </w:pPr>
      <w:r>
        <w:rPr>
          <w:rFonts w:ascii="黑体" w:eastAsia="黑体" w:hAnsi="黑体" w:hint="eastAsia"/>
          <w:b/>
          <w:color w:val="000000"/>
          <w:sz w:val="28"/>
          <w:szCs w:val="28"/>
        </w:rPr>
        <w:t>一、课程信息</w:t>
      </w:r>
    </w:p>
    <w:p w:rsidR="009613B4" w:rsidRDefault="009613B4" w:rsidP="009613B4">
      <w:pPr>
        <w:spacing w:line="560" w:lineRule="exact"/>
        <w:ind w:firstLine="331"/>
        <w:rPr>
          <w:rFonts w:ascii="Times New Roman" w:hAnsi="Times New Roman"/>
          <w:bCs/>
          <w:color w:val="000000"/>
          <w:sz w:val="28"/>
          <w:szCs w:val="28"/>
        </w:rPr>
      </w:pPr>
      <w:r>
        <w:rPr>
          <w:rFonts w:ascii="仿宋_GB2312" w:hAnsi="仿宋_GB2312" w:cs="仿宋_GB2312" w:hint="eastAsia"/>
          <w:bCs/>
          <w:color w:val="000000"/>
          <w:sz w:val="28"/>
          <w:szCs w:val="28"/>
        </w:rPr>
        <w:t>英文名称：</w:t>
      </w:r>
      <w:r>
        <w:rPr>
          <w:rFonts w:ascii="微软雅黑" w:hAnsi="微软雅黑"/>
          <w:color w:val="333333"/>
          <w:sz w:val="27"/>
          <w:szCs w:val="27"/>
          <w:shd w:val="clear" w:color="auto" w:fill="FFFFFF"/>
        </w:rPr>
        <w:t>Supervision of Urban Water Engineering Construction</w:t>
      </w:r>
    </w:p>
    <w:p w:rsidR="009613B4" w:rsidRDefault="009613B4" w:rsidP="009613B4">
      <w:pPr>
        <w:spacing w:line="560" w:lineRule="exact"/>
        <w:ind w:firstLine="331"/>
        <w:rPr>
          <w:rFonts w:ascii="仿宋_GB2312" w:hAnsi="仿宋_GB2312" w:cs="仿宋_GB2312"/>
          <w:bCs/>
          <w:color w:val="000000"/>
          <w:sz w:val="28"/>
          <w:szCs w:val="28"/>
        </w:rPr>
      </w:pPr>
      <w:r>
        <w:rPr>
          <w:rFonts w:ascii="仿宋_GB2312" w:hAnsi="仿宋_GB2312" w:cs="仿宋_GB2312" w:hint="eastAsia"/>
          <w:bCs/>
          <w:color w:val="000000"/>
          <w:sz w:val="28"/>
          <w:szCs w:val="28"/>
        </w:rPr>
        <w:t>课程编码：</w:t>
      </w:r>
      <w:r>
        <w:rPr>
          <w:rFonts w:ascii="Times New Roman" w:hAnsi="Times New Roman"/>
          <w:bCs/>
          <w:color w:val="000000"/>
          <w:sz w:val="28"/>
          <w:szCs w:val="28"/>
        </w:rPr>
        <w:t>Z2806320</w:t>
      </w:r>
    </w:p>
    <w:p w:rsidR="009613B4" w:rsidRDefault="009613B4" w:rsidP="009613B4">
      <w:pPr>
        <w:spacing w:line="560" w:lineRule="exact"/>
        <w:ind w:firstLine="331"/>
        <w:rPr>
          <w:rFonts w:ascii="仿宋_GB2312" w:hAnsi="仿宋_GB2312" w:cs="仿宋_GB2312"/>
          <w:bCs/>
          <w:color w:val="000000"/>
          <w:sz w:val="28"/>
          <w:szCs w:val="28"/>
        </w:rPr>
      </w:pPr>
      <w:r>
        <w:rPr>
          <w:rFonts w:ascii="仿宋_GB2312" w:hAnsi="仿宋_GB2312" w:cs="仿宋_GB2312" w:hint="eastAsia"/>
          <w:bCs/>
          <w:color w:val="000000"/>
          <w:sz w:val="28"/>
          <w:szCs w:val="28"/>
        </w:rPr>
        <w:t>授课语言：汉语</w:t>
      </w:r>
    </w:p>
    <w:p w:rsidR="009613B4" w:rsidRDefault="009613B4" w:rsidP="009613B4">
      <w:pPr>
        <w:spacing w:line="560" w:lineRule="exact"/>
        <w:ind w:leftChars="103" w:left="1779" w:hanging="1449"/>
        <w:rPr>
          <w:rFonts w:ascii="仿宋_GB2312" w:hAnsi="仿宋_GB2312" w:cs="仿宋_GB2312"/>
          <w:bCs/>
          <w:color w:val="000000"/>
          <w:sz w:val="28"/>
          <w:szCs w:val="28"/>
        </w:rPr>
      </w:pPr>
      <w:r>
        <w:rPr>
          <w:rFonts w:ascii="仿宋_GB2312" w:hAnsi="仿宋_GB2312" w:cs="仿宋_GB2312" w:hint="eastAsia"/>
          <w:bCs/>
          <w:color w:val="000000"/>
          <w:sz w:val="28"/>
          <w:szCs w:val="28"/>
        </w:rPr>
        <w:t>授课方式：线下</w:t>
      </w:r>
    </w:p>
    <w:p w:rsidR="009613B4" w:rsidRDefault="009613B4" w:rsidP="009613B4">
      <w:pPr>
        <w:spacing w:line="560" w:lineRule="exact"/>
        <w:ind w:firstLine="331"/>
        <w:rPr>
          <w:rFonts w:ascii="仿宋_GB2312" w:hAnsi="仿宋_GB2312" w:cs="仿宋_GB2312"/>
          <w:bCs/>
          <w:color w:val="000000"/>
          <w:sz w:val="28"/>
          <w:szCs w:val="28"/>
        </w:rPr>
      </w:pPr>
      <w:r>
        <w:rPr>
          <w:rFonts w:ascii="仿宋_GB2312" w:hAnsi="仿宋_GB2312" w:cs="仿宋_GB2312" w:hint="eastAsia"/>
          <w:bCs/>
          <w:color w:val="000000"/>
          <w:sz w:val="28"/>
          <w:szCs w:val="28"/>
        </w:rPr>
        <w:t>课程类别：专业发展课程</w:t>
      </w:r>
    </w:p>
    <w:p w:rsidR="009613B4" w:rsidRDefault="009613B4" w:rsidP="009613B4">
      <w:pPr>
        <w:spacing w:line="560" w:lineRule="exact"/>
        <w:ind w:firstLine="331"/>
        <w:rPr>
          <w:rFonts w:ascii="仿宋_GB2312" w:hAnsi="仿宋_GB2312" w:cs="仿宋_GB2312"/>
          <w:bCs/>
          <w:color w:val="000000"/>
          <w:sz w:val="28"/>
          <w:szCs w:val="28"/>
        </w:rPr>
      </w:pPr>
      <w:r>
        <w:rPr>
          <w:rFonts w:ascii="仿宋_GB2312" w:hAnsi="仿宋_GB2312" w:cs="仿宋_GB2312" w:hint="eastAsia"/>
          <w:bCs/>
          <w:color w:val="000000"/>
          <w:sz w:val="28"/>
          <w:szCs w:val="28"/>
        </w:rPr>
        <w:t>课程性质：选修</w:t>
      </w:r>
    </w:p>
    <w:p w:rsidR="009613B4" w:rsidRDefault="009613B4" w:rsidP="009613B4">
      <w:pPr>
        <w:spacing w:line="560" w:lineRule="exact"/>
        <w:ind w:firstLine="331"/>
        <w:rPr>
          <w:rFonts w:ascii="仿宋_GB2312" w:hAnsi="仿宋_GB2312" w:cs="仿宋_GB2312"/>
          <w:bCs/>
          <w:color w:val="000000"/>
          <w:sz w:val="28"/>
          <w:szCs w:val="28"/>
        </w:rPr>
      </w:pPr>
      <w:r>
        <w:rPr>
          <w:rFonts w:ascii="仿宋_GB2312" w:hAnsi="仿宋_GB2312" w:cs="仿宋_GB2312" w:hint="eastAsia"/>
          <w:bCs/>
          <w:color w:val="000000"/>
          <w:sz w:val="28"/>
          <w:szCs w:val="28"/>
        </w:rPr>
        <w:t>学    分：</w:t>
      </w:r>
      <w:r>
        <w:rPr>
          <w:rFonts w:ascii="仿宋_GB2312" w:hAnsi="仿宋_GB2312" w:cs="仿宋_GB2312"/>
          <w:bCs/>
          <w:color w:val="000000"/>
          <w:sz w:val="28"/>
          <w:szCs w:val="28"/>
        </w:rPr>
        <w:t>1</w:t>
      </w:r>
    </w:p>
    <w:p w:rsidR="009613B4" w:rsidRDefault="009613B4" w:rsidP="009613B4">
      <w:pPr>
        <w:spacing w:line="560" w:lineRule="exact"/>
        <w:ind w:leftChars="103" w:left="1779" w:hanging="1449"/>
        <w:rPr>
          <w:rFonts w:ascii="仿宋_GB2312" w:hAnsi="仿宋_GB2312" w:cs="仿宋_GB2312"/>
          <w:bCs/>
          <w:color w:val="000000"/>
          <w:sz w:val="28"/>
          <w:szCs w:val="28"/>
        </w:rPr>
      </w:pPr>
      <w:r>
        <w:rPr>
          <w:rFonts w:ascii="仿宋_GB2312" w:hAnsi="仿宋_GB2312" w:cs="仿宋_GB2312" w:hint="eastAsia"/>
          <w:bCs/>
          <w:color w:val="000000"/>
          <w:sz w:val="28"/>
          <w:szCs w:val="28"/>
        </w:rPr>
        <w:t>学    时：</w:t>
      </w:r>
      <w:r>
        <w:rPr>
          <w:rFonts w:ascii="仿宋_GB2312" w:hAnsi="仿宋_GB2312" w:cs="仿宋_GB2312"/>
          <w:bCs/>
          <w:color w:val="000000"/>
          <w:sz w:val="28"/>
          <w:szCs w:val="28"/>
        </w:rPr>
        <w:t>16</w:t>
      </w:r>
      <w:r>
        <w:rPr>
          <w:rFonts w:ascii="仿宋_GB2312" w:hAnsi="仿宋_GB2312" w:cs="仿宋_GB2312" w:hint="eastAsia"/>
          <w:bCs/>
          <w:color w:val="000000"/>
          <w:sz w:val="28"/>
          <w:szCs w:val="28"/>
        </w:rPr>
        <w:t>学时（授课</w:t>
      </w:r>
      <w:r>
        <w:rPr>
          <w:rFonts w:ascii="仿宋_GB2312" w:hAnsi="仿宋_GB2312" w:cs="仿宋_GB2312"/>
          <w:bCs/>
          <w:color w:val="000000"/>
          <w:sz w:val="28"/>
          <w:szCs w:val="28"/>
        </w:rPr>
        <w:t>16</w:t>
      </w:r>
      <w:r>
        <w:rPr>
          <w:rFonts w:ascii="仿宋_GB2312" w:hAnsi="仿宋_GB2312" w:cs="仿宋_GB2312" w:hint="eastAsia"/>
          <w:bCs/>
          <w:color w:val="000000"/>
          <w:sz w:val="28"/>
          <w:szCs w:val="28"/>
        </w:rPr>
        <w:t>学时，实验</w:t>
      </w:r>
      <w:r>
        <w:rPr>
          <w:rFonts w:ascii="仿宋_GB2312" w:hAnsi="仿宋_GB2312" w:cs="仿宋_GB2312"/>
          <w:bCs/>
          <w:color w:val="000000"/>
          <w:sz w:val="28"/>
          <w:szCs w:val="28"/>
        </w:rPr>
        <w:t>0</w:t>
      </w:r>
      <w:r>
        <w:rPr>
          <w:rFonts w:ascii="仿宋_GB2312" w:hAnsi="仿宋_GB2312" w:cs="仿宋_GB2312" w:hint="eastAsia"/>
          <w:bCs/>
          <w:color w:val="000000"/>
          <w:sz w:val="28"/>
          <w:szCs w:val="28"/>
        </w:rPr>
        <w:t>学时，上机</w:t>
      </w:r>
      <w:r>
        <w:rPr>
          <w:rFonts w:ascii="仿宋_GB2312" w:hAnsi="仿宋_GB2312" w:cs="仿宋_GB2312"/>
          <w:bCs/>
          <w:color w:val="000000"/>
          <w:sz w:val="28"/>
          <w:szCs w:val="28"/>
        </w:rPr>
        <w:t>0</w:t>
      </w:r>
      <w:r>
        <w:rPr>
          <w:rFonts w:ascii="仿宋_GB2312" w:hAnsi="仿宋_GB2312" w:cs="仿宋_GB2312" w:hint="eastAsia"/>
          <w:bCs/>
          <w:color w:val="000000"/>
          <w:sz w:val="28"/>
          <w:szCs w:val="28"/>
        </w:rPr>
        <w:t>学时，课外</w:t>
      </w:r>
      <w:r>
        <w:rPr>
          <w:rFonts w:ascii="仿宋_GB2312" w:hAnsi="仿宋_GB2312" w:cs="仿宋_GB2312"/>
          <w:bCs/>
          <w:color w:val="000000"/>
          <w:sz w:val="28"/>
          <w:szCs w:val="28"/>
        </w:rPr>
        <w:t>0</w:t>
      </w:r>
      <w:r>
        <w:rPr>
          <w:rFonts w:ascii="仿宋_GB2312" w:hAnsi="仿宋_GB2312" w:cs="仿宋_GB2312" w:hint="eastAsia"/>
          <w:bCs/>
          <w:color w:val="000000"/>
          <w:sz w:val="28"/>
          <w:szCs w:val="28"/>
        </w:rPr>
        <w:t>学时）</w:t>
      </w:r>
    </w:p>
    <w:p w:rsidR="009613B4" w:rsidRDefault="009613B4" w:rsidP="009613B4">
      <w:pPr>
        <w:spacing w:line="560" w:lineRule="exact"/>
        <w:ind w:firstLine="331"/>
        <w:rPr>
          <w:rFonts w:ascii="仿宋_GB2312" w:hAnsi="仿宋_GB2312" w:cs="仿宋_GB2312"/>
          <w:bCs/>
          <w:color w:val="000000"/>
          <w:sz w:val="28"/>
          <w:szCs w:val="28"/>
        </w:rPr>
      </w:pPr>
      <w:r>
        <w:rPr>
          <w:rFonts w:ascii="仿宋_GB2312" w:hAnsi="仿宋_GB2312" w:cs="仿宋_GB2312" w:hint="eastAsia"/>
          <w:bCs/>
          <w:color w:val="000000"/>
          <w:sz w:val="28"/>
          <w:szCs w:val="28"/>
        </w:rPr>
        <w:t>适用对象：给排水科学</w:t>
      </w:r>
      <w:r>
        <w:rPr>
          <w:rFonts w:ascii="仿宋_GB2312" w:hAnsi="仿宋_GB2312" w:cs="仿宋_GB2312"/>
          <w:bCs/>
          <w:color w:val="000000"/>
          <w:sz w:val="28"/>
          <w:szCs w:val="28"/>
        </w:rPr>
        <w:t>与工程</w:t>
      </w:r>
      <w:r>
        <w:rPr>
          <w:rFonts w:ascii="仿宋_GB2312" w:hAnsi="仿宋_GB2312" w:cs="仿宋_GB2312" w:hint="eastAsia"/>
          <w:bCs/>
          <w:color w:val="000000"/>
          <w:sz w:val="28"/>
          <w:szCs w:val="28"/>
        </w:rPr>
        <w:t>专业（卓越工程师）</w:t>
      </w:r>
    </w:p>
    <w:p w:rsidR="009613B4" w:rsidRDefault="009613B4" w:rsidP="009613B4">
      <w:pPr>
        <w:spacing w:line="560" w:lineRule="exact"/>
        <w:ind w:firstLine="331"/>
        <w:rPr>
          <w:rFonts w:ascii="仿宋_GB2312" w:hAnsi="仿宋_GB2312" w:cs="仿宋_GB2312"/>
          <w:bCs/>
          <w:color w:val="000000"/>
          <w:sz w:val="28"/>
          <w:szCs w:val="28"/>
        </w:rPr>
      </w:pPr>
      <w:r>
        <w:rPr>
          <w:rFonts w:ascii="仿宋_GB2312" w:hAnsi="仿宋_GB2312" w:cs="仿宋_GB2312" w:hint="eastAsia"/>
          <w:bCs/>
          <w:color w:val="000000"/>
          <w:sz w:val="28"/>
          <w:szCs w:val="28"/>
        </w:rPr>
        <w:t>先修课程：土建工程基础、水工程施工</w:t>
      </w:r>
    </w:p>
    <w:p w:rsidR="009613B4" w:rsidRDefault="009613B4" w:rsidP="009613B4">
      <w:pPr>
        <w:spacing w:line="560" w:lineRule="exact"/>
        <w:ind w:firstLine="331"/>
        <w:rPr>
          <w:rFonts w:ascii="仿宋_GB2312" w:hAnsi="仿宋_GB2312" w:cs="仿宋_GB2312"/>
          <w:bCs/>
          <w:color w:val="000000"/>
          <w:sz w:val="28"/>
          <w:szCs w:val="28"/>
        </w:rPr>
      </w:pPr>
      <w:r>
        <w:rPr>
          <w:rFonts w:ascii="仿宋_GB2312" w:hAnsi="仿宋_GB2312" w:cs="仿宋_GB2312" w:hint="eastAsia"/>
          <w:bCs/>
          <w:color w:val="000000"/>
          <w:sz w:val="28"/>
          <w:szCs w:val="28"/>
        </w:rPr>
        <w:t>开课院系：建筑</w:t>
      </w:r>
      <w:r>
        <w:rPr>
          <w:rFonts w:ascii="仿宋_GB2312" w:hAnsi="仿宋_GB2312" w:cs="仿宋_GB2312"/>
          <w:bCs/>
          <w:color w:val="000000"/>
          <w:sz w:val="28"/>
          <w:szCs w:val="28"/>
        </w:rPr>
        <w:t>工程</w:t>
      </w:r>
      <w:r>
        <w:rPr>
          <w:rFonts w:ascii="仿宋_GB2312" w:hAnsi="仿宋_GB2312" w:cs="仿宋_GB2312" w:hint="eastAsia"/>
          <w:bCs/>
          <w:color w:val="000000"/>
          <w:sz w:val="28"/>
          <w:szCs w:val="28"/>
        </w:rPr>
        <w:t>学院给排水科学</w:t>
      </w:r>
      <w:r>
        <w:rPr>
          <w:rFonts w:ascii="仿宋_GB2312" w:hAnsi="仿宋_GB2312" w:cs="仿宋_GB2312"/>
          <w:bCs/>
          <w:color w:val="000000"/>
          <w:sz w:val="28"/>
          <w:szCs w:val="28"/>
        </w:rPr>
        <w:t>与工程</w:t>
      </w:r>
      <w:r>
        <w:rPr>
          <w:rFonts w:ascii="仿宋_GB2312" w:hAnsi="仿宋_GB2312" w:cs="仿宋_GB2312" w:hint="eastAsia"/>
          <w:bCs/>
          <w:color w:val="000000"/>
          <w:sz w:val="28"/>
          <w:szCs w:val="28"/>
        </w:rPr>
        <w:t>系</w:t>
      </w:r>
    </w:p>
    <w:p w:rsidR="009613B4" w:rsidRDefault="009613B4" w:rsidP="009613B4">
      <w:pPr>
        <w:spacing w:beforeLines="50" w:before="156" w:afterLines="50" w:after="156" w:line="560" w:lineRule="exact"/>
        <w:rPr>
          <w:rFonts w:ascii="黑体" w:eastAsia="黑体" w:hAnsi="黑体"/>
          <w:b/>
          <w:color w:val="000000"/>
          <w:sz w:val="28"/>
          <w:szCs w:val="28"/>
        </w:rPr>
      </w:pPr>
      <w:r>
        <w:rPr>
          <w:rFonts w:ascii="黑体" w:eastAsia="黑体" w:hAnsi="黑体" w:hint="eastAsia"/>
          <w:b/>
          <w:color w:val="000000"/>
          <w:sz w:val="28"/>
          <w:szCs w:val="28"/>
        </w:rPr>
        <w:t>二、课程简介</w:t>
      </w:r>
    </w:p>
    <w:p w:rsidR="009613B4" w:rsidRDefault="009613B4" w:rsidP="009613B4">
      <w:pPr>
        <w:spacing w:line="560" w:lineRule="exact"/>
        <w:ind w:firstLineChars="200" w:firstLine="560"/>
        <w:rPr>
          <w:rFonts w:ascii="仿宋_GB2312" w:hAnsi="仿宋_GB2312" w:cs="仿宋_GB2312"/>
          <w:bCs/>
          <w:color w:val="000000"/>
          <w:sz w:val="28"/>
          <w:szCs w:val="28"/>
        </w:rPr>
      </w:pPr>
      <w:r>
        <w:rPr>
          <w:rFonts w:ascii="仿宋_GB2312" w:hAnsi="仿宋_GB2312" w:cs="仿宋_GB2312" w:hint="eastAsia"/>
          <w:bCs/>
          <w:color w:val="000000"/>
          <w:sz w:val="28"/>
          <w:szCs w:val="28"/>
        </w:rPr>
        <w:t>建设工程监理制度在我国建设领域推行以来，在工程建设中发挥了重要作用，取得了显著成绩，有效地推动了建筑工程项目的质量、投资和工期等目标的控制。本课程的主要</w:t>
      </w:r>
      <w:r>
        <w:rPr>
          <w:rFonts w:ascii="仿宋_GB2312" w:hAnsi="仿宋_GB2312" w:cs="仿宋_GB2312"/>
          <w:bCs/>
          <w:color w:val="000000"/>
          <w:sz w:val="28"/>
          <w:szCs w:val="28"/>
        </w:rPr>
        <w:t>教学方式</w:t>
      </w:r>
      <w:r>
        <w:rPr>
          <w:rFonts w:ascii="仿宋_GB2312" w:hAnsi="仿宋_GB2312" w:cs="仿宋_GB2312" w:hint="eastAsia"/>
          <w:bCs/>
          <w:color w:val="000000"/>
          <w:sz w:val="28"/>
          <w:szCs w:val="28"/>
        </w:rPr>
        <w:t>采用</w:t>
      </w:r>
      <w:r>
        <w:rPr>
          <w:rFonts w:ascii="仿宋_GB2312" w:hAnsi="仿宋_GB2312" w:cs="仿宋_GB2312"/>
          <w:bCs/>
          <w:color w:val="000000"/>
          <w:sz w:val="28"/>
          <w:szCs w:val="28"/>
        </w:rPr>
        <w:t>PPT</w:t>
      </w:r>
      <w:r>
        <w:rPr>
          <w:rFonts w:ascii="仿宋_GB2312" w:hAnsi="仿宋_GB2312" w:cs="仿宋_GB2312" w:hint="eastAsia"/>
          <w:bCs/>
          <w:color w:val="000000"/>
          <w:sz w:val="28"/>
          <w:szCs w:val="28"/>
        </w:rPr>
        <w:t>（基本原理讲解）、工程监理案例讲解、实例参观、课后实训和习题等相结合进行授课，并结合校企教师联合指导实践性教学环节，使学生具备初步的水工程监理知识。</w:t>
      </w:r>
    </w:p>
    <w:p w:rsidR="009613B4" w:rsidRDefault="009613B4" w:rsidP="009613B4">
      <w:pPr>
        <w:spacing w:beforeLines="50" w:before="156" w:afterLines="50" w:after="156" w:line="560" w:lineRule="exact"/>
        <w:rPr>
          <w:rFonts w:ascii="黑体" w:eastAsia="黑体" w:hAnsi="黑体"/>
          <w:b/>
          <w:color w:val="000000"/>
          <w:sz w:val="28"/>
          <w:szCs w:val="28"/>
        </w:rPr>
      </w:pPr>
      <w:r>
        <w:rPr>
          <w:rFonts w:ascii="黑体" w:eastAsia="黑体" w:hAnsi="黑体" w:hint="eastAsia"/>
          <w:b/>
          <w:color w:val="000000"/>
          <w:sz w:val="28"/>
          <w:szCs w:val="28"/>
        </w:rPr>
        <w:t>三、课程任务、目标与要求</w:t>
      </w:r>
    </w:p>
    <w:p w:rsidR="009613B4" w:rsidRDefault="009613B4" w:rsidP="009613B4">
      <w:pPr>
        <w:spacing w:line="560" w:lineRule="exact"/>
        <w:ind w:firstLine="331"/>
        <w:rPr>
          <w:rFonts w:ascii="仿宋_GB2312" w:hAnsi="仿宋_GB2312" w:cs="仿宋_GB2312"/>
          <w:color w:val="000000"/>
          <w:sz w:val="28"/>
          <w:szCs w:val="28"/>
        </w:rPr>
      </w:pPr>
      <w:r>
        <w:rPr>
          <w:rFonts w:ascii="仿宋_GB2312" w:hAnsi="仿宋_GB2312" w:cs="仿宋_GB2312" w:hint="eastAsia"/>
          <w:color w:val="000000"/>
          <w:sz w:val="28"/>
          <w:szCs w:val="28"/>
        </w:rPr>
        <w:lastRenderedPageBreak/>
        <w:t>1. 课程任务</w:t>
      </w:r>
    </w:p>
    <w:p w:rsidR="009613B4" w:rsidRDefault="009613B4" w:rsidP="009613B4">
      <w:pPr>
        <w:spacing w:line="560" w:lineRule="exact"/>
        <w:ind w:firstLineChars="200" w:firstLine="560"/>
        <w:rPr>
          <w:rFonts w:ascii="仿宋_GB2312" w:hAnsi="仿宋_GB2312" w:cs="仿宋_GB2312"/>
          <w:color w:val="000000"/>
          <w:sz w:val="28"/>
          <w:szCs w:val="28"/>
        </w:rPr>
      </w:pPr>
      <w:r>
        <w:rPr>
          <w:rFonts w:ascii="仿宋_GB2312" w:hAnsi="仿宋_GB2312" w:cs="仿宋_GB2312"/>
          <w:color w:val="000000"/>
          <w:sz w:val="28"/>
          <w:szCs w:val="28"/>
        </w:rPr>
        <w:t>通过</w:t>
      </w:r>
      <w:r>
        <w:rPr>
          <w:rFonts w:ascii="仿宋_GB2312" w:hAnsi="仿宋_GB2312" w:cs="仿宋_GB2312" w:hint="eastAsia"/>
          <w:color w:val="000000"/>
          <w:sz w:val="28"/>
          <w:szCs w:val="28"/>
        </w:rPr>
        <w:t>该</w:t>
      </w:r>
      <w:r>
        <w:rPr>
          <w:rFonts w:ascii="仿宋_GB2312" w:hAnsi="仿宋_GB2312" w:cs="仿宋_GB2312"/>
          <w:color w:val="000000"/>
          <w:sz w:val="28"/>
          <w:szCs w:val="28"/>
        </w:rPr>
        <w:t>课程</w:t>
      </w:r>
      <w:r>
        <w:rPr>
          <w:rFonts w:ascii="仿宋_GB2312" w:hAnsi="仿宋_GB2312" w:cs="仿宋_GB2312" w:hint="eastAsia"/>
          <w:color w:val="000000"/>
          <w:sz w:val="28"/>
          <w:szCs w:val="28"/>
        </w:rPr>
        <w:t>的</w:t>
      </w:r>
      <w:r>
        <w:rPr>
          <w:rFonts w:ascii="仿宋_GB2312" w:hAnsi="仿宋_GB2312" w:cs="仿宋_GB2312"/>
          <w:color w:val="000000"/>
          <w:sz w:val="28"/>
          <w:szCs w:val="28"/>
        </w:rPr>
        <w:t>学习使学生</w:t>
      </w:r>
      <w:r>
        <w:rPr>
          <w:rFonts w:ascii="仿宋_GB2312" w:hAnsi="仿宋_GB2312" w:cs="仿宋_GB2312" w:hint="eastAsia"/>
          <w:color w:val="000000"/>
          <w:sz w:val="28"/>
          <w:szCs w:val="28"/>
        </w:rPr>
        <w:t>了解</w:t>
      </w:r>
      <w:r>
        <w:rPr>
          <w:rFonts w:ascii="仿宋_GB2312" w:hAnsi="仿宋_GB2312" w:cs="仿宋_GB2312"/>
          <w:color w:val="000000"/>
          <w:sz w:val="28"/>
          <w:szCs w:val="28"/>
        </w:rPr>
        <w:t>我国现行</w:t>
      </w:r>
      <w:r>
        <w:rPr>
          <w:rFonts w:ascii="仿宋_GB2312" w:hAnsi="仿宋_GB2312" w:cs="仿宋_GB2312" w:hint="eastAsia"/>
          <w:color w:val="000000"/>
          <w:sz w:val="28"/>
          <w:szCs w:val="28"/>
        </w:rPr>
        <w:t>工程监理法规，</w:t>
      </w:r>
      <w:r>
        <w:rPr>
          <w:rFonts w:ascii="仿宋_GB2312" w:hAnsi="仿宋_GB2312" w:cs="仿宋_GB2312"/>
          <w:color w:val="000000"/>
          <w:sz w:val="28"/>
          <w:szCs w:val="28"/>
        </w:rPr>
        <w:t>了解</w:t>
      </w:r>
      <w:r>
        <w:rPr>
          <w:rFonts w:ascii="仿宋_GB2312" w:hAnsi="仿宋_GB2312" w:cs="仿宋_GB2312" w:hint="eastAsia"/>
          <w:color w:val="000000"/>
          <w:sz w:val="28"/>
          <w:szCs w:val="28"/>
        </w:rPr>
        <w:t>水工程监理</w:t>
      </w:r>
      <w:r>
        <w:rPr>
          <w:rFonts w:ascii="仿宋_GB2312" w:hAnsi="仿宋_GB2312" w:cs="仿宋_GB2312"/>
          <w:color w:val="000000"/>
          <w:sz w:val="28"/>
          <w:szCs w:val="28"/>
        </w:rPr>
        <w:t>原理和特点。</w:t>
      </w:r>
      <w:r>
        <w:rPr>
          <w:rFonts w:ascii="仿宋_GB2312" w:hAnsi="仿宋_GB2312" w:cs="仿宋_GB2312" w:hint="eastAsia"/>
          <w:color w:val="000000"/>
          <w:sz w:val="28"/>
          <w:szCs w:val="28"/>
        </w:rPr>
        <w:t>使学生掌握给水排水工程各个阶段监理的基本概念、原理和方法。</w:t>
      </w:r>
    </w:p>
    <w:p w:rsidR="009613B4" w:rsidRDefault="009613B4" w:rsidP="009613B4">
      <w:pPr>
        <w:spacing w:line="560" w:lineRule="exact"/>
        <w:ind w:firstLine="331"/>
        <w:rPr>
          <w:rFonts w:ascii="仿宋_GB2312" w:hAnsi="仿宋_GB2312" w:cs="仿宋_GB2312"/>
          <w:b/>
          <w:color w:val="000000"/>
          <w:sz w:val="28"/>
          <w:szCs w:val="28"/>
        </w:rPr>
      </w:pPr>
      <w:r>
        <w:rPr>
          <w:rFonts w:ascii="仿宋_GB2312" w:hAnsi="仿宋_GB2312" w:cs="仿宋_GB2312" w:hint="eastAsia"/>
          <w:bCs/>
          <w:color w:val="000000"/>
          <w:sz w:val="28"/>
          <w:szCs w:val="28"/>
        </w:rPr>
        <w:t>2.1课程目标</w:t>
      </w:r>
    </w:p>
    <w:p w:rsidR="009613B4" w:rsidRDefault="009613B4" w:rsidP="009613B4">
      <w:pPr>
        <w:spacing w:line="560" w:lineRule="exact"/>
        <w:ind w:firstLineChars="200" w:firstLine="560"/>
        <w:rPr>
          <w:rFonts w:ascii="仿宋_GB2312" w:hAnsi="仿宋_GB2312" w:cs="仿宋_GB2312"/>
          <w:color w:val="000000"/>
          <w:sz w:val="28"/>
          <w:szCs w:val="28"/>
        </w:rPr>
      </w:pPr>
      <w:r>
        <w:rPr>
          <w:rFonts w:ascii="仿宋_GB2312" w:hAnsi="仿宋_GB2312" w:cs="仿宋_GB2312"/>
          <w:color w:val="000000"/>
          <w:sz w:val="28"/>
          <w:szCs w:val="28"/>
        </w:rPr>
        <w:t>以学生为中心，以培养目标和毕业要求为导向，全面、系统地阐述了给水排水工程建设监理的基本理论和方法，并密切联系我国城乡建设中给排水工程实际，具体分析监理实际工作中的重点和难点，为将来从事本专业工程</w:t>
      </w:r>
      <w:r>
        <w:rPr>
          <w:rFonts w:ascii="仿宋_GB2312" w:hAnsi="仿宋_GB2312" w:cs="仿宋_GB2312" w:hint="eastAsia"/>
          <w:color w:val="000000"/>
          <w:sz w:val="28"/>
          <w:szCs w:val="28"/>
        </w:rPr>
        <w:t>建设监理</w:t>
      </w:r>
      <w:r>
        <w:rPr>
          <w:rFonts w:ascii="仿宋_GB2312" w:hAnsi="仿宋_GB2312" w:cs="仿宋_GB2312"/>
          <w:color w:val="000000"/>
          <w:sz w:val="28"/>
          <w:szCs w:val="28"/>
        </w:rPr>
        <w:t>方面的工作奠定必要的理论和应用基础。</w:t>
      </w:r>
    </w:p>
    <w:p w:rsidR="009613B4" w:rsidRDefault="009613B4" w:rsidP="009613B4">
      <w:pPr>
        <w:spacing w:line="560" w:lineRule="exact"/>
        <w:ind w:firstLine="331"/>
        <w:rPr>
          <w:rFonts w:ascii="仿宋_GB2312" w:hAnsi="仿宋_GB2312" w:cs="仿宋_GB2312"/>
          <w:color w:val="000000"/>
          <w:sz w:val="28"/>
          <w:szCs w:val="28"/>
        </w:rPr>
      </w:pPr>
      <w:r>
        <w:rPr>
          <w:rFonts w:ascii="仿宋_GB2312" w:hAnsi="仿宋_GB2312" w:cs="仿宋_GB2312"/>
          <w:color w:val="000000"/>
          <w:sz w:val="28"/>
          <w:szCs w:val="28"/>
        </w:rPr>
        <w:t>教学目标具体要求如下：</w:t>
      </w:r>
    </w:p>
    <w:p w:rsidR="009613B4" w:rsidRDefault="009613B4" w:rsidP="009613B4">
      <w:pPr>
        <w:spacing w:line="560" w:lineRule="exact"/>
        <w:ind w:firstLine="331"/>
        <w:rPr>
          <w:rFonts w:ascii="仿宋_GB2312" w:hAnsi="仿宋_GB2312" w:cs="仿宋_GB2312"/>
          <w:color w:val="000000"/>
          <w:sz w:val="28"/>
          <w:szCs w:val="28"/>
        </w:rPr>
      </w:pPr>
      <w:r>
        <w:rPr>
          <w:rFonts w:ascii="仿宋_GB2312" w:hAnsi="仿宋_GB2312" w:cs="仿宋_GB2312"/>
          <w:color w:val="000000"/>
          <w:sz w:val="28"/>
          <w:szCs w:val="28"/>
        </w:rPr>
        <w:t>（1）</w:t>
      </w:r>
      <w:r>
        <w:rPr>
          <w:rFonts w:ascii="仿宋_GB2312" w:hAnsi="仿宋_GB2312" w:cs="仿宋_GB2312" w:hint="eastAsia"/>
          <w:color w:val="000000"/>
          <w:sz w:val="28"/>
          <w:szCs w:val="28"/>
        </w:rPr>
        <w:t>使学生</w:t>
      </w:r>
      <w:r>
        <w:rPr>
          <w:rFonts w:ascii="仿宋_GB2312" w:hAnsi="仿宋_GB2312" w:cs="仿宋_GB2312"/>
          <w:color w:val="000000"/>
          <w:sz w:val="28"/>
          <w:szCs w:val="28"/>
        </w:rPr>
        <w:t>掌握工程建设项目监理主要理论与相关实务</w:t>
      </w:r>
      <w:r>
        <w:rPr>
          <w:rFonts w:ascii="仿宋_GB2312" w:hAnsi="仿宋_GB2312" w:cs="仿宋_GB2312" w:hint="eastAsia"/>
          <w:color w:val="000000"/>
          <w:sz w:val="28"/>
          <w:szCs w:val="28"/>
        </w:rPr>
        <w:t>；</w:t>
      </w:r>
    </w:p>
    <w:p w:rsidR="009613B4" w:rsidRDefault="009613B4" w:rsidP="009613B4">
      <w:pPr>
        <w:spacing w:line="560" w:lineRule="exact"/>
        <w:ind w:firstLine="331"/>
        <w:rPr>
          <w:rFonts w:ascii="仿宋_GB2312" w:hAnsi="仿宋_GB2312" w:cs="仿宋_GB2312"/>
          <w:color w:val="000000"/>
          <w:sz w:val="28"/>
          <w:szCs w:val="28"/>
        </w:rPr>
      </w:pPr>
      <w:r>
        <w:rPr>
          <w:rFonts w:ascii="仿宋_GB2312" w:hAnsi="仿宋_GB2312" w:cs="仿宋_GB2312"/>
          <w:color w:val="000000"/>
          <w:sz w:val="28"/>
          <w:szCs w:val="28"/>
        </w:rPr>
        <w:t>（2）熟悉建设工程设计方案的优选和设计文件的审查；</w:t>
      </w:r>
    </w:p>
    <w:p w:rsidR="009613B4" w:rsidRDefault="009613B4" w:rsidP="009613B4">
      <w:pPr>
        <w:spacing w:line="560" w:lineRule="exact"/>
        <w:ind w:firstLine="331"/>
        <w:rPr>
          <w:rFonts w:ascii="仿宋_GB2312" w:hAnsi="仿宋_GB2312" w:cs="仿宋_GB2312"/>
          <w:color w:val="000000"/>
          <w:sz w:val="28"/>
          <w:szCs w:val="28"/>
        </w:rPr>
      </w:pPr>
      <w:r>
        <w:rPr>
          <w:rFonts w:ascii="仿宋_GB2312" w:hAnsi="仿宋_GB2312" w:cs="仿宋_GB2312"/>
          <w:color w:val="000000"/>
          <w:sz w:val="28"/>
          <w:szCs w:val="28"/>
        </w:rPr>
        <w:t>（3）掌握建设工程的质量、造价和工期控制；</w:t>
      </w:r>
    </w:p>
    <w:p w:rsidR="009613B4" w:rsidRDefault="009613B4" w:rsidP="009613B4">
      <w:pPr>
        <w:spacing w:line="560" w:lineRule="exact"/>
        <w:ind w:firstLine="331"/>
        <w:rPr>
          <w:rFonts w:ascii="仿宋_GB2312" w:hAnsi="仿宋_GB2312" w:cs="仿宋_GB2312"/>
          <w:color w:val="000000"/>
          <w:sz w:val="28"/>
          <w:szCs w:val="28"/>
        </w:rPr>
      </w:pPr>
      <w:r>
        <w:rPr>
          <w:rFonts w:ascii="仿宋_GB2312" w:hAnsi="仿宋_GB2312" w:cs="仿宋_GB2312"/>
          <w:color w:val="000000"/>
          <w:sz w:val="28"/>
          <w:szCs w:val="28"/>
        </w:rPr>
        <w:t>（4）了解建设合同履行监督</w:t>
      </w:r>
    </w:p>
    <w:p w:rsidR="009613B4" w:rsidRDefault="009613B4" w:rsidP="009613B4">
      <w:pPr>
        <w:spacing w:line="560" w:lineRule="exact"/>
        <w:ind w:firstLine="331"/>
        <w:rPr>
          <w:rFonts w:ascii="仿宋_GB2312" w:hAnsi="仿宋_GB2312" w:cs="仿宋_GB2312"/>
          <w:color w:val="000000"/>
          <w:sz w:val="28"/>
          <w:szCs w:val="28"/>
        </w:rPr>
      </w:pPr>
      <w:r>
        <w:rPr>
          <w:rFonts w:ascii="仿宋_GB2312" w:hAnsi="仿宋_GB2312" w:cs="仿宋_GB2312" w:hint="eastAsia"/>
          <w:color w:val="000000"/>
          <w:sz w:val="28"/>
          <w:szCs w:val="28"/>
        </w:rPr>
        <w:t>（5）掌握对工程建设项目“三控制、二管理、一协调”的工作方法</w:t>
      </w:r>
      <w:r>
        <w:rPr>
          <w:rFonts w:ascii="仿宋_GB2312" w:hAnsi="仿宋_GB2312" w:cs="仿宋_GB2312"/>
          <w:color w:val="000000"/>
          <w:sz w:val="28"/>
          <w:szCs w:val="28"/>
        </w:rPr>
        <w:t>。</w:t>
      </w:r>
    </w:p>
    <w:p w:rsidR="009613B4" w:rsidRDefault="009613B4" w:rsidP="009613B4">
      <w:pPr>
        <w:spacing w:afterLines="100" w:after="312" w:line="560" w:lineRule="exact"/>
        <w:ind w:firstLine="329"/>
        <w:rPr>
          <w:rFonts w:ascii="仿宋_GB2312" w:hAnsi="仿宋_GB2312" w:cs="仿宋_GB2312"/>
          <w:b/>
          <w:color w:val="FF0000"/>
          <w:sz w:val="28"/>
          <w:szCs w:val="28"/>
        </w:rPr>
      </w:pPr>
      <w:r>
        <w:rPr>
          <w:rFonts w:ascii="仿宋_GB2312" w:hAnsi="仿宋_GB2312" w:cs="仿宋_GB2312" w:hint="eastAsia"/>
          <w:bCs/>
          <w:color w:val="000000"/>
          <w:sz w:val="28"/>
          <w:szCs w:val="28"/>
        </w:rPr>
        <w:t>2.2 课程目标与毕业要求之间的对应关系</w:t>
      </w:r>
      <w:r>
        <w:rPr>
          <w:rFonts w:ascii="仿宋_GB2312" w:hAnsi="仿宋_GB2312" w:cs="仿宋_GB2312" w:hint="eastAsia"/>
          <w:b/>
          <w:color w:val="000000"/>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489"/>
        <w:gridCol w:w="489"/>
        <w:gridCol w:w="489"/>
        <w:gridCol w:w="489"/>
        <w:gridCol w:w="489"/>
        <w:gridCol w:w="489"/>
        <w:gridCol w:w="489"/>
        <w:gridCol w:w="490"/>
        <w:gridCol w:w="490"/>
        <w:gridCol w:w="509"/>
        <w:gridCol w:w="509"/>
        <w:gridCol w:w="509"/>
      </w:tblGrid>
      <w:tr w:rsidR="009613B4" w:rsidTr="008C3907">
        <w:trPr>
          <w:trHeight w:hRule="exact" w:val="454"/>
          <w:jc w:val="center"/>
        </w:trPr>
        <w:tc>
          <w:tcPr>
            <w:tcW w:w="2743" w:type="dxa"/>
            <w:vMerge w:val="restart"/>
            <w:shd w:val="clear" w:color="auto" w:fill="auto"/>
            <w:vAlign w:val="center"/>
          </w:tcPr>
          <w:p w:rsidR="009613B4" w:rsidRDefault="009613B4" w:rsidP="008C3907">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课程目标</w:t>
            </w:r>
          </w:p>
        </w:tc>
        <w:tc>
          <w:tcPr>
            <w:tcW w:w="6233" w:type="dxa"/>
            <w:gridSpan w:val="12"/>
            <w:shd w:val="clear" w:color="auto" w:fill="auto"/>
            <w:vAlign w:val="center"/>
          </w:tcPr>
          <w:p w:rsidR="009613B4" w:rsidRDefault="009613B4" w:rsidP="008C3907">
            <w:pPr>
              <w:jc w:val="center"/>
              <w:rPr>
                <w:rFonts w:ascii="仿宋_GB2312" w:hAnsi="仿宋_GB2312" w:cs="仿宋_GB2312"/>
                <w:bCs/>
                <w:sz w:val="24"/>
                <w:szCs w:val="24"/>
              </w:rPr>
            </w:pPr>
            <w:r>
              <w:rPr>
                <w:rFonts w:ascii="仿宋_GB2312" w:hAnsi="仿宋_GB2312" w:cs="仿宋_GB2312" w:hint="eastAsia"/>
                <w:bCs/>
                <w:sz w:val="24"/>
                <w:szCs w:val="24"/>
              </w:rPr>
              <w:t>毕业要求</w:t>
            </w:r>
          </w:p>
        </w:tc>
      </w:tr>
      <w:tr w:rsidR="009613B4" w:rsidTr="008C3907">
        <w:trPr>
          <w:trHeight w:hRule="exact" w:val="454"/>
          <w:jc w:val="center"/>
        </w:trPr>
        <w:tc>
          <w:tcPr>
            <w:tcW w:w="2743" w:type="dxa"/>
            <w:vMerge/>
            <w:shd w:val="clear" w:color="auto" w:fill="auto"/>
          </w:tcPr>
          <w:p w:rsidR="009613B4" w:rsidRDefault="009613B4" w:rsidP="008C3907">
            <w:pPr>
              <w:spacing w:line="360" w:lineRule="auto"/>
              <w:rPr>
                <w:rFonts w:ascii="仿宋_GB2312" w:hAnsi="仿宋_GB2312" w:cs="仿宋_GB2312"/>
                <w:bCs/>
                <w:sz w:val="24"/>
                <w:szCs w:val="24"/>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1</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2</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3</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4</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5</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6</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7</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8</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9</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10</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11</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12</w:t>
            </w:r>
          </w:p>
        </w:tc>
      </w:tr>
      <w:tr w:rsidR="009613B4" w:rsidTr="008C3907">
        <w:trPr>
          <w:trHeight w:hRule="exact" w:val="454"/>
          <w:jc w:val="center"/>
        </w:trPr>
        <w:tc>
          <w:tcPr>
            <w:tcW w:w="2743" w:type="dxa"/>
            <w:shd w:val="clear" w:color="auto" w:fill="auto"/>
            <w:vAlign w:val="center"/>
          </w:tcPr>
          <w:p w:rsidR="009613B4" w:rsidRDefault="009613B4" w:rsidP="008C3907">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知识目标</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r>
      <w:tr w:rsidR="009613B4" w:rsidTr="008C3907">
        <w:trPr>
          <w:trHeight w:hRule="exact" w:val="454"/>
          <w:jc w:val="center"/>
        </w:trPr>
        <w:tc>
          <w:tcPr>
            <w:tcW w:w="2743" w:type="dxa"/>
            <w:shd w:val="clear" w:color="auto" w:fill="auto"/>
            <w:vAlign w:val="center"/>
          </w:tcPr>
          <w:p w:rsidR="009613B4" w:rsidRDefault="009613B4" w:rsidP="008C3907">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能力目标</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r>
      <w:tr w:rsidR="009613B4" w:rsidTr="008C3907">
        <w:trPr>
          <w:trHeight w:hRule="exact" w:val="454"/>
          <w:jc w:val="center"/>
        </w:trPr>
        <w:tc>
          <w:tcPr>
            <w:tcW w:w="2743" w:type="dxa"/>
            <w:shd w:val="clear" w:color="auto" w:fill="auto"/>
            <w:vAlign w:val="center"/>
          </w:tcPr>
          <w:p w:rsidR="009613B4" w:rsidRDefault="009613B4" w:rsidP="008C3907">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情感态度与价值观目标</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9613B4" w:rsidRDefault="009613B4"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r>
    </w:tbl>
    <w:p w:rsidR="009613B4" w:rsidRDefault="009613B4" w:rsidP="009613B4">
      <w:pPr>
        <w:spacing w:line="560" w:lineRule="exact"/>
        <w:ind w:firstLine="331"/>
        <w:rPr>
          <w:rFonts w:ascii="仿宋_GB2312" w:hAnsi="仿宋_GB2312" w:cs="仿宋_GB2312"/>
          <w:color w:val="000000"/>
          <w:sz w:val="28"/>
          <w:szCs w:val="28"/>
        </w:rPr>
      </w:pPr>
      <w:r>
        <w:rPr>
          <w:rFonts w:ascii="仿宋_GB2312" w:hAnsi="仿宋_GB2312" w:cs="仿宋_GB2312" w:hint="eastAsia"/>
          <w:color w:val="000000"/>
          <w:sz w:val="28"/>
          <w:szCs w:val="28"/>
        </w:rPr>
        <w:t>3. 课程的重点、难点</w:t>
      </w:r>
    </w:p>
    <w:p w:rsidR="009613B4" w:rsidRDefault="009613B4" w:rsidP="009613B4">
      <w:pPr>
        <w:snapToGrid w:val="0"/>
        <w:spacing w:line="560" w:lineRule="exact"/>
        <w:ind w:firstLineChars="200" w:firstLine="560"/>
        <w:outlineLvl w:val="0"/>
        <w:rPr>
          <w:rFonts w:ascii="仿宋_GB2312" w:hAnsi="仿宋_GB2312" w:cs="仿宋_GB2312"/>
          <w:bCs/>
          <w:color w:val="000000"/>
          <w:sz w:val="28"/>
          <w:szCs w:val="28"/>
        </w:rPr>
      </w:pPr>
      <w:r>
        <w:rPr>
          <w:rFonts w:ascii="仿宋_GB2312" w:hAnsi="仿宋_GB2312" w:cs="仿宋_GB2312" w:hint="eastAsia"/>
          <w:bCs/>
          <w:color w:val="000000"/>
          <w:sz w:val="28"/>
          <w:szCs w:val="28"/>
        </w:rPr>
        <w:t>重点：城市水工程施工阶段监理、城市水工程建设监理监理实例。</w:t>
      </w:r>
    </w:p>
    <w:p w:rsidR="009613B4" w:rsidRDefault="009613B4" w:rsidP="009613B4">
      <w:pPr>
        <w:snapToGrid w:val="0"/>
        <w:spacing w:line="560" w:lineRule="exact"/>
        <w:ind w:firstLineChars="200" w:firstLine="560"/>
        <w:outlineLvl w:val="0"/>
        <w:rPr>
          <w:rFonts w:ascii="仿宋_GB2312" w:hAnsi="仿宋_GB2312" w:cs="仿宋_GB2312"/>
          <w:bCs/>
          <w:color w:val="000000"/>
          <w:sz w:val="28"/>
          <w:szCs w:val="28"/>
        </w:rPr>
      </w:pPr>
      <w:r>
        <w:rPr>
          <w:rFonts w:ascii="仿宋_GB2312" w:hAnsi="仿宋_GB2312" w:cs="仿宋_GB2312" w:hint="eastAsia"/>
          <w:bCs/>
          <w:color w:val="000000"/>
          <w:sz w:val="28"/>
          <w:szCs w:val="28"/>
        </w:rPr>
        <w:lastRenderedPageBreak/>
        <w:t>难点：涉外城市水工程建设监理。</w:t>
      </w:r>
    </w:p>
    <w:p w:rsidR="009613B4" w:rsidRDefault="009613B4" w:rsidP="009613B4">
      <w:pPr>
        <w:snapToGrid w:val="0"/>
        <w:spacing w:line="560" w:lineRule="exact"/>
        <w:ind w:firstLineChars="100" w:firstLine="280"/>
        <w:outlineLvl w:val="0"/>
        <w:rPr>
          <w:rFonts w:ascii="仿宋_GB2312" w:hAnsi="仿宋_GB2312" w:cs="仿宋_GB2312"/>
          <w:bCs/>
          <w:color w:val="000000"/>
          <w:sz w:val="28"/>
          <w:szCs w:val="28"/>
        </w:rPr>
      </w:pPr>
      <w:r>
        <w:rPr>
          <w:rFonts w:ascii="仿宋_GB2312" w:hAnsi="仿宋_GB2312" w:cs="仿宋_GB2312" w:hint="eastAsia"/>
          <w:bCs/>
          <w:color w:val="000000"/>
          <w:sz w:val="28"/>
          <w:szCs w:val="28"/>
        </w:rPr>
        <w:t>4. 课程思政设计</w:t>
      </w:r>
    </w:p>
    <w:p w:rsidR="009613B4" w:rsidRDefault="009613B4" w:rsidP="009613B4">
      <w:pPr>
        <w:snapToGrid w:val="0"/>
        <w:spacing w:line="560" w:lineRule="exact"/>
        <w:ind w:firstLineChars="200" w:firstLine="560"/>
        <w:outlineLvl w:val="0"/>
        <w:rPr>
          <w:rFonts w:ascii="仿宋_GB2312" w:hAnsi="仿宋_GB2312" w:cs="仿宋_GB2312"/>
          <w:bCs/>
          <w:color w:val="000000"/>
          <w:sz w:val="28"/>
          <w:szCs w:val="28"/>
        </w:rPr>
      </w:pPr>
      <w:r>
        <w:rPr>
          <w:rFonts w:ascii="仿宋_GB2312" w:hAnsi="仿宋_GB2312" w:cs="仿宋_GB2312" w:hint="eastAsia"/>
          <w:bCs/>
          <w:color w:val="000000"/>
          <w:sz w:val="28"/>
          <w:szCs w:val="28"/>
        </w:rPr>
        <w:t>以</w:t>
      </w:r>
      <w:r>
        <w:rPr>
          <w:rFonts w:ascii="仿宋_GB2312" w:hAnsi="仿宋_GB2312" w:cs="仿宋_GB2312"/>
          <w:bCs/>
          <w:color w:val="000000"/>
          <w:sz w:val="28"/>
          <w:szCs w:val="28"/>
        </w:rPr>
        <w:t>学生为中心，</w:t>
      </w:r>
      <w:r>
        <w:rPr>
          <w:rFonts w:ascii="仿宋_GB2312" w:hAnsi="仿宋_GB2312" w:cs="仿宋_GB2312" w:hint="eastAsia"/>
          <w:bCs/>
          <w:color w:val="000000"/>
          <w:sz w:val="28"/>
          <w:szCs w:val="28"/>
        </w:rPr>
        <w:t>教学过程中采用理论</w:t>
      </w:r>
      <w:r>
        <w:rPr>
          <w:rFonts w:ascii="仿宋_GB2312" w:hAnsi="仿宋_GB2312" w:cs="仿宋_GB2312"/>
          <w:bCs/>
          <w:color w:val="000000"/>
          <w:sz w:val="28"/>
          <w:szCs w:val="28"/>
        </w:rPr>
        <w:t>联系实际的</w:t>
      </w:r>
      <w:r>
        <w:rPr>
          <w:rFonts w:ascii="仿宋_GB2312" w:hAnsi="仿宋_GB2312" w:cs="仿宋_GB2312" w:hint="eastAsia"/>
          <w:bCs/>
          <w:color w:val="000000"/>
          <w:sz w:val="28"/>
          <w:szCs w:val="28"/>
        </w:rPr>
        <w:t>教学方式，通过</w:t>
      </w:r>
      <w:r>
        <w:rPr>
          <w:rFonts w:ascii="仿宋_GB2312" w:hAnsi="仿宋_GB2312" w:cs="仿宋_GB2312"/>
          <w:bCs/>
          <w:color w:val="000000"/>
          <w:sz w:val="28"/>
          <w:szCs w:val="28"/>
        </w:rPr>
        <w:t>例举</w:t>
      </w:r>
      <w:r>
        <w:rPr>
          <w:rFonts w:ascii="仿宋_GB2312" w:hAnsi="仿宋_GB2312" w:cs="仿宋_GB2312" w:hint="eastAsia"/>
          <w:bCs/>
          <w:color w:val="000000"/>
          <w:sz w:val="28"/>
          <w:szCs w:val="28"/>
        </w:rPr>
        <w:t>工程案例说明文明施工</w:t>
      </w:r>
      <w:r>
        <w:rPr>
          <w:rFonts w:ascii="仿宋_GB2312" w:hAnsi="仿宋_GB2312" w:cs="仿宋_GB2312"/>
          <w:bCs/>
          <w:color w:val="000000"/>
          <w:sz w:val="28"/>
          <w:szCs w:val="28"/>
        </w:rPr>
        <w:t>、</w:t>
      </w:r>
      <w:r>
        <w:rPr>
          <w:rFonts w:ascii="仿宋_GB2312" w:hAnsi="仿宋_GB2312" w:cs="仿宋_GB2312" w:hint="eastAsia"/>
          <w:bCs/>
          <w:color w:val="000000"/>
          <w:sz w:val="28"/>
          <w:szCs w:val="28"/>
        </w:rPr>
        <w:t>工程建设安全</w:t>
      </w:r>
      <w:r>
        <w:rPr>
          <w:rFonts w:ascii="仿宋_GB2312" w:hAnsi="仿宋_GB2312" w:cs="仿宋_GB2312"/>
          <w:bCs/>
          <w:color w:val="000000"/>
          <w:sz w:val="28"/>
          <w:szCs w:val="28"/>
        </w:rPr>
        <w:t>的重要性，</w:t>
      </w:r>
      <w:r>
        <w:rPr>
          <w:rFonts w:ascii="仿宋_GB2312" w:hAnsi="仿宋_GB2312" w:cs="仿宋_GB2312" w:hint="eastAsia"/>
          <w:bCs/>
          <w:color w:val="000000"/>
          <w:sz w:val="28"/>
          <w:szCs w:val="28"/>
        </w:rPr>
        <w:t>真切</w:t>
      </w:r>
      <w:r>
        <w:rPr>
          <w:rFonts w:ascii="仿宋_GB2312" w:hAnsi="仿宋_GB2312" w:cs="仿宋_GB2312"/>
          <w:bCs/>
          <w:color w:val="000000"/>
          <w:sz w:val="28"/>
          <w:szCs w:val="28"/>
        </w:rPr>
        <w:t>领悟</w:t>
      </w:r>
      <w:r>
        <w:rPr>
          <w:rFonts w:ascii="仿宋_GB2312" w:hAnsi="仿宋_GB2312" w:cs="仿宋_GB2312" w:hint="eastAsia"/>
          <w:bCs/>
          <w:color w:val="000000"/>
          <w:sz w:val="28"/>
          <w:szCs w:val="28"/>
        </w:rPr>
        <w:t>习近平总书记</w:t>
      </w:r>
      <w:r>
        <w:rPr>
          <w:rFonts w:ascii="仿宋_GB2312" w:hAnsi="仿宋_GB2312" w:cs="仿宋_GB2312"/>
          <w:bCs/>
          <w:color w:val="000000"/>
          <w:sz w:val="28"/>
          <w:szCs w:val="28"/>
        </w:rPr>
        <w:t>“</w:t>
      </w:r>
      <w:r>
        <w:rPr>
          <w:rFonts w:ascii="Times New Roman" w:hAnsi="Times New Roman"/>
          <w:color w:val="000000"/>
          <w:sz w:val="27"/>
          <w:szCs w:val="27"/>
          <w:shd w:val="clear" w:color="auto" w:fill="FFFFFF"/>
        </w:rPr>
        <w:t>大力弘扬劳模精神劳动精神工匠精神</w:t>
      </w:r>
      <w:r>
        <w:rPr>
          <w:rFonts w:ascii="Times New Roman" w:hAnsi="Times New Roman"/>
          <w:color w:val="000000"/>
          <w:sz w:val="27"/>
          <w:szCs w:val="27"/>
          <w:shd w:val="clear" w:color="auto" w:fill="FFFFFF"/>
        </w:rPr>
        <w:t xml:space="preserve"> </w:t>
      </w:r>
      <w:r>
        <w:rPr>
          <w:rFonts w:ascii="Times New Roman" w:hAnsi="Times New Roman"/>
          <w:color w:val="000000"/>
          <w:sz w:val="27"/>
          <w:szCs w:val="27"/>
          <w:shd w:val="clear" w:color="auto" w:fill="FFFFFF"/>
        </w:rPr>
        <w:t>培养更多高技能人才和大国工匠</w:t>
      </w:r>
      <w:r>
        <w:rPr>
          <w:rFonts w:ascii="仿宋_GB2312" w:hAnsi="仿宋_GB2312" w:cs="仿宋_GB2312"/>
          <w:bCs/>
          <w:color w:val="000000"/>
          <w:sz w:val="28"/>
          <w:szCs w:val="28"/>
        </w:rPr>
        <w:t>”</w:t>
      </w:r>
      <w:r>
        <w:rPr>
          <w:rFonts w:ascii="仿宋_GB2312" w:hAnsi="仿宋_GB2312" w:cs="仿宋_GB2312" w:hint="eastAsia"/>
          <w:bCs/>
          <w:color w:val="000000"/>
          <w:sz w:val="28"/>
          <w:szCs w:val="28"/>
        </w:rPr>
        <w:t>批示</w:t>
      </w:r>
      <w:r>
        <w:rPr>
          <w:rFonts w:ascii="仿宋_GB2312" w:hAnsi="仿宋_GB2312" w:cs="仿宋_GB2312"/>
          <w:bCs/>
          <w:color w:val="000000"/>
          <w:sz w:val="28"/>
          <w:szCs w:val="28"/>
        </w:rPr>
        <w:t>的深刻内涵</w:t>
      </w:r>
      <w:r>
        <w:rPr>
          <w:rFonts w:ascii="仿宋_GB2312" w:hAnsi="仿宋_GB2312" w:cs="仿宋_GB2312" w:hint="eastAsia"/>
          <w:bCs/>
          <w:color w:val="000000"/>
          <w:sz w:val="28"/>
          <w:szCs w:val="28"/>
        </w:rPr>
        <w:t>，服务民生水工程建设，为</w:t>
      </w:r>
      <w:r>
        <w:rPr>
          <w:rFonts w:ascii="Times New Roman" w:hAnsi="Times New Roman"/>
          <w:color w:val="000000"/>
          <w:sz w:val="27"/>
          <w:szCs w:val="27"/>
          <w:shd w:val="clear" w:color="auto" w:fill="FFFFFF"/>
        </w:rPr>
        <w:t>推动</w:t>
      </w:r>
      <w:r>
        <w:rPr>
          <w:rFonts w:ascii="Times New Roman" w:hAnsi="Times New Roman" w:hint="eastAsia"/>
          <w:color w:val="000000"/>
          <w:sz w:val="27"/>
          <w:szCs w:val="27"/>
          <w:shd w:val="clear" w:color="auto" w:fill="FFFFFF"/>
        </w:rPr>
        <w:t>高</w:t>
      </w:r>
      <w:r>
        <w:rPr>
          <w:rFonts w:ascii="Times New Roman" w:hAnsi="Times New Roman"/>
          <w:color w:val="000000"/>
          <w:sz w:val="27"/>
          <w:szCs w:val="27"/>
          <w:shd w:val="clear" w:color="auto" w:fill="FFFFFF"/>
        </w:rPr>
        <w:t>质量</w:t>
      </w:r>
      <w:r>
        <w:rPr>
          <w:rFonts w:ascii="Times New Roman" w:hAnsi="Times New Roman" w:hint="eastAsia"/>
          <w:color w:val="000000"/>
          <w:sz w:val="27"/>
          <w:szCs w:val="27"/>
          <w:shd w:val="clear" w:color="auto" w:fill="FFFFFF"/>
        </w:rPr>
        <w:t>工程建设</w:t>
      </w:r>
      <w:r>
        <w:rPr>
          <w:rFonts w:ascii="Times New Roman" w:hAnsi="Times New Roman"/>
          <w:color w:val="000000"/>
          <w:sz w:val="27"/>
          <w:szCs w:val="27"/>
          <w:shd w:val="clear" w:color="auto" w:fill="FFFFFF"/>
        </w:rPr>
        <w:t>提供强</w:t>
      </w:r>
      <w:r>
        <w:rPr>
          <w:rFonts w:ascii="Times New Roman" w:hAnsi="Times New Roman" w:hint="eastAsia"/>
          <w:color w:val="000000"/>
          <w:sz w:val="27"/>
          <w:szCs w:val="27"/>
          <w:shd w:val="clear" w:color="auto" w:fill="FFFFFF"/>
        </w:rPr>
        <w:t>人才</w:t>
      </w:r>
      <w:r>
        <w:rPr>
          <w:rFonts w:ascii="Times New Roman" w:hAnsi="Times New Roman"/>
          <w:color w:val="000000"/>
          <w:sz w:val="27"/>
          <w:szCs w:val="27"/>
          <w:shd w:val="clear" w:color="auto" w:fill="FFFFFF"/>
        </w:rPr>
        <w:t>支撑。</w:t>
      </w:r>
    </w:p>
    <w:p w:rsidR="009613B4" w:rsidRDefault="009613B4" w:rsidP="009613B4">
      <w:pPr>
        <w:spacing w:beforeLines="50" w:before="156" w:afterLines="50" w:after="156" w:line="560" w:lineRule="exact"/>
        <w:rPr>
          <w:rFonts w:ascii="黑体" w:eastAsia="黑体" w:hAnsi="黑体"/>
          <w:b/>
          <w:color w:val="000000"/>
          <w:sz w:val="28"/>
          <w:szCs w:val="28"/>
        </w:rPr>
      </w:pPr>
      <w:r>
        <w:rPr>
          <w:rFonts w:ascii="黑体" w:eastAsia="黑体" w:hAnsi="黑体" w:hint="eastAsia"/>
          <w:b/>
          <w:color w:val="000000"/>
          <w:sz w:val="28"/>
          <w:szCs w:val="28"/>
        </w:rPr>
        <w:t>四、教学内容安排</w:t>
      </w:r>
    </w:p>
    <w:p w:rsidR="009613B4" w:rsidRDefault="009613B4" w:rsidP="009613B4">
      <w:pPr>
        <w:spacing w:line="400" w:lineRule="exact"/>
        <w:outlineLvl w:val="0"/>
        <w:rPr>
          <w:rFonts w:ascii="仿宋_GB2312" w:hAnsi="仿宋_GB2312" w:cs="仿宋_GB2312"/>
          <w:bCs/>
          <w:color w:val="000000"/>
          <w:sz w:val="28"/>
          <w:szCs w:val="28"/>
        </w:rPr>
      </w:pPr>
      <w:r>
        <w:rPr>
          <w:rFonts w:ascii="仿宋_GB2312" w:hAnsi="仿宋_GB2312" w:cs="仿宋_GB2312"/>
          <w:bCs/>
          <w:color w:val="000000"/>
          <w:sz w:val="28"/>
          <w:szCs w:val="28"/>
        </w:rPr>
        <w:t>（一）教学内容结构关系图</w:t>
      </w:r>
    </w:p>
    <w:p w:rsidR="009613B4" w:rsidRDefault="009613B4" w:rsidP="009613B4">
      <w:pPr>
        <w:spacing w:line="360" w:lineRule="auto"/>
        <w:rPr>
          <w:color w:val="000000"/>
          <w:szCs w:val="21"/>
        </w:rPr>
      </w:pPr>
      <w:r>
        <w:rPr>
          <w:noProof/>
          <w:color w:val="000000"/>
        </w:rPr>
        <mc:AlternateContent>
          <mc:Choice Requires="wps">
            <w:drawing>
              <wp:anchor distT="0" distB="0" distL="114300" distR="114300" simplePos="0" relativeHeight="251719680" behindDoc="0" locked="0" layoutInCell="1" allowOverlap="1" wp14:anchorId="7297FD77" wp14:editId="4BE3BDC2">
                <wp:simplePos x="0" y="0"/>
                <wp:positionH relativeFrom="column">
                  <wp:posOffset>1576070</wp:posOffset>
                </wp:positionH>
                <wp:positionV relativeFrom="paragraph">
                  <wp:posOffset>218440</wp:posOffset>
                </wp:positionV>
                <wp:extent cx="1762125" cy="261620"/>
                <wp:effectExtent l="4445" t="4445" r="16510" b="8255"/>
                <wp:wrapNone/>
                <wp:docPr id="69" name="文本框 69"/>
                <wp:cNvGraphicFramePr/>
                <a:graphic xmlns:a="http://schemas.openxmlformats.org/drawingml/2006/main">
                  <a:graphicData uri="http://schemas.microsoft.com/office/word/2010/wordprocessingShape">
                    <wps:wsp>
                      <wps:cNvSpPr txBox="1"/>
                      <wps:spPr>
                        <a:xfrm>
                          <a:off x="0" y="0"/>
                          <a:ext cx="1762125" cy="2616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center"/>
                              <w:rPr>
                                <w:rFonts w:ascii="仿宋" w:eastAsia="仿宋" w:hAnsi="仿宋"/>
                                <w:sz w:val="24"/>
                                <w:szCs w:val="24"/>
                              </w:rPr>
                            </w:pPr>
                            <w:r>
                              <w:rPr>
                                <w:rFonts w:ascii="仿宋" w:eastAsia="仿宋" w:hAnsi="仿宋" w:hint="eastAsia"/>
                                <w:sz w:val="24"/>
                                <w:szCs w:val="24"/>
                              </w:rPr>
                              <w:t>给水排水工程建设监理</w:t>
                            </w:r>
                          </w:p>
                        </w:txbxContent>
                      </wps:txbx>
                      <wps:bodyPr upright="1"/>
                    </wps:wsp>
                  </a:graphicData>
                </a:graphic>
              </wp:anchor>
            </w:drawing>
          </mc:Choice>
          <mc:Fallback>
            <w:pict>
              <v:shape w14:anchorId="7297FD77" id="文本框 69" o:spid="_x0000_s1060" type="#_x0000_t202" style="position:absolute;left:0;text-align:left;margin-left:124.1pt;margin-top:17.2pt;width:138.75pt;height:20.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">
                <v:textbox>
                  <w:txbxContent>
                    <w:p w:rsidR="00702523" w:rsidRDefault="00702523" w:rsidP="009613B4">
                      <w:pPr>
                        <w:jc w:val="center"/>
                        <w:rPr>
                          <w:rFonts w:ascii="仿宋" w:eastAsia="仿宋" w:hAnsi="仿宋"/>
                          <w:sz w:val="24"/>
                          <w:szCs w:val="24"/>
                        </w:rPr>
                      </w:pPr>
                      <w:r>
                        <w:rPr>
                          <w:rFonts w:ascii="仿宋" w:eastAsia="仿宋" w:hAnsi="仿宋" w:hint="eastAsia"/>
                          <w:sz w:val="24"/>
                          <w:szCs w:val="24"/>
                        </w:rPr>
                        <w:t>给水排水工程建设监理</w:t>
                      </w:r>
                    </w:p>
                  </w:txbxContent>
                </v:textbox>
              </v:shape>
            </w:pict>
          </mc:Fallback>
        </mc:AlternateContent>
      </w:r>
    </w:p>
    <w:p w:rsidR="009613B4" w:rsidRDefault="009613B4" w:rsidP="009613B4">
      <w:pPr>
        <w:spacing w:line="360" w:lineRule="auto"/>
        <w:rPr>
          <w:color w:val="000000"/>
          <w:szCs w:val="21"/>
        </w:rPr>
      </w:pPr>
      <w:r>
        <w:rPr>
          <w:noProof/>
          <w:color w:val="000000"/>
          <w:szCs w:val="21"/>
        </w:rPr>
        <mc:AlternateContent>
          <mc:Choice Requires="wps">
            <w:drawing>
              <wp:anchor distT="0" distB="0" distL="114300" distR="114300" simplePos="0" relativeHeight="251721728" behindDoc="0" locked="0" layoutInCell="1" allowOverlap="1" wp14:anchorId="7AF39B4E" wp14:editId="6E9A0BC0">
                <wp:simplePos x="0" y="0"/>
                <wp:positionH relativeFrom="column">
                  <wp:posOffset>585470</wp:posOffset>
                </wp:positionH>
                <wp:positionV relativeFrom="paragraph">
                  <wp:posOffset>315595</wp:posOffset>
                </wp:positionV>
                <wp:extent cx="4114800" cy="268605"/>
                <wp:effectExtent l="5080" t="4445" r="10160" b="16510"/>
                <wp:wrapNone/>
                <wp:docPr id="73" name="文本框 73"/>
                <wp:cNvGraphicFramePr/>
                <a:graphic xmlns:a="http://schemas.openxmlformats.org/drawingml/2006/main">
                  <a:graphicData uri="http://schemas.microsoft.com/office/word/2010/wordprocessingShape">
                    <wps:wsp>
                      <wps:cNvSpPr txBox="1"/>
                      <wps:spPr>
                        <a:xfrm>
                          <a:off x="0" y="0"/>
                          <a:ext cx="4114800"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ind w:firstLineChars="50" w:firstLine="120"/>
                              <w:rPr>
                                <w:sz w:val="21"/>
                                <w:szCs w:val="21"/>
                              </w:rPr>
                            </w:pPr>
                            <w:r>
                              <w:rPr>
                                <w:rFonts w:ascii="仿宋" w:eastAsia="仿宋" w:hAnsi="仿宋" w:hint="eastAsia"/>
                                <w:sz w:val="24"/>
                                <w:szCs w:val="24"/>
                              </w:rPr>
                              <w:t xml:space="preserve">监理工程师 </w:t>
                            </w:r>
                            <w:r>
                              <w:rPr>
                                <w:rFonts w:ascii="仿宋" w:eastAsia="仿宋" w:hAnsi="仿宋"/>
                                <w:sz w:val="24"/>
                                <w:szCs w:val="24"/>
                              </w:rPr>
                              <w:t xml:space="preserve"> </w:t>
                            </w:r>
                            <w:r>
                              <w:rPr>
                                <w:rFonts w:ascii="仿宋" w:eastAsia="仿宋" w:hAnsi="仿宋" w:hint="eastAsia"/>
                                <w:sz w:val="24"/>
                                <w:szCs w:val="24"/>
                              </w:rPr>
                              <w:t xml:space="preserve"> 工程监理企业   水工程建设监理目标控制反应器原</w:t>
                            </w:r>
                            <w:r>
                              <w:rPr>
                                <w:rFonts w:hint="eastAsia"/>
                                <w:sz w:val="21"/>
                                <w:szCs w:val="21"/>
                              </w:rPr>
                              <w:t>理</w:t>
                            </w:r>
                          </w:p>
                        </w:txbxContent>
                      </wps:txbx>
                      <wps:bodyPr upright="1"/>
                    </wps:wsp>
                  </a:graphicData>
                </a:graphic>
              </wp:anchor>
            </w:drawing>
          </mc:Choice>
          <mc:Fallback>
            <w:pict>
              <v:shape w14:anchorId="7AF39B4E" id="文本框 73" o:spid="_x0000_s1061" type="#_x0000_t202" style="position:absolute;left:0;text-align:left;margin-left:46.1pt;margin-top:24.85pt;width:324pt;height:21.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">
                <v:textbox>
                  <w:txbxContent>
                    <w:p w:rsidR="00702523" w:rsidRDefault="00702523" w:rsidP="009613B4">
                      <w:pPr>
                        <w:ind w:firstLineChars="50" w:firstLine="120"/>
                        <w:rPr>
                          <w:sz w:val="21"/>
                          <w:szCs w:val="21"/>
                        </w:rPr>
                      </w:pPr>
                      <w:r>
                        <w:rPr>
                          <w:rFonts w:ascii="仿宋" w:eastAsia="仿宋" w:hAnsi="仿宋" w:hint="eastAsia"/>
                          <w:sz w:val="24"/>
                          <w:szCs w:val="24"/>
                        </w:rPr>
                        <w:t xml:space="preserve">监理工程师 </w:t>
                      </w:r>
                      <w:r>
                        <w:rPr>
                          <w:rFonts w:ascii="仿宋" w:eastAsia="仿宋" w:hAnsi="仿宋"/>
                          <w:sz w:val="24"/>
                          <w:szCs w:val="24"/>
                        </w:rPr>
                        <w:t xml:space="preserve"> </w:t>
                      </w:r>
                      <w:r>
                        <w:rPr>
                          <w:rFonts w:ascii="仿宋" w:eastAsia="仿宋" w:hAnsi="仿宋" w:hint="eastAsia"/>
                          <w:sz w:val="24"/>
                          <w:szCs w:val="24"/>
                        </w:rPr>
                        <w:t xml:space="preserve"> 工程监理企业   水工程建设监理目标控制反应器原</w:t>
                      </w:r>
                      <w:r>
                        <w:rPr>
                          <w:rFonts w:hint="eastAsia"/>
                          <w:sz w:val="21"/>
                          <w:szCs w:val="21"/>
                        </w:rPr>
                        <w:t>理</w:t>
                      </w:r>
                    </w:p>
                  </w:txbxContent>
                </v:textbox>
              </v:shape>
            </w:pict>
          </mc:Fallback>
        </mc:AlternateContent>
      </w:r>
      <w:r>
        <w:rPr>
          <w:noProof/>
          <w:color w:val="000000"/>
          <w:szCs w:val="21"/>
        </w:rPr>
        <mc:AlternateContent>
          <mc:Choice Requires="wps">
            <w:drawing>
              <wp:anchor distT="0" distB="0" distL="114300" distR="114300" simplePos="0" relativeHeight="251720704" behindDoc="0" locked="0" layoutInCell="1" allowOverlap="1" wp14:anchorId="26C1ADE0" wp14:editId="6F383E38">
                <wp:simplePos x="0" y="0"/>
                <wp:positionH relativeFrom="column">
                  <wp:posOffset>2447925</wp:posOffset>
                </wp:positionH>
                <wp:positionV relativeFrom="paragraph">
                  <wp:posOffset>107950</wp:posOffset>
                </wp:positionV>
                <wp:extent cx="635" cy="194945"/>
                <wp:effectExtent l="37465" t="0" r="38100" b="3175"/>
                <wp:wrapNone/>
                <wp:docPr id="74" name="直接箭头连接符 74"/>
                <wp:cNvGraphicFramePr/>
                <a:graphic xmlns:a="http://schemas.openxmlformats.org/drawingml/2006/main">
                  <a:graphicData uri="http://schemas.microsoft.com/office/word/2010/wordprocessingShape">
                    <wps:wsp>
                      <wps:cNvCnPr/>
                      <wps:spPr>
                        <a:xfrm>
                          <a:off x="0" y="0"/>
                          <a:ext cx="635" cy="1949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A244C64" id="直接箭头连接符 74" o:spid="_x0000_s1026" type="#_x0000_t32" style="position:absolute;left:0;text-align:left;margin-left:192.75pt;margin-top:8.5pt;width:.05pt;height:15.3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">
                <v:stroke endarrow="block"/>
              </v:shape>
            </w:pict>
          </mc:Fallback>
        </mc:AlternateContent>
      </w:r>
    </w:p>
    <w:p w:rsidR="009613B4" w:rsidRDefault="009613B4" w:rsidP="009613B4">
      <w:pPr>
        <w:spacing w:line="360" w:lineRule="auto"/>
        <w:rPr>
          <w:color w:val="000000"/>
          <w:szCs w:val="21"/>
        </w:rPr>
      </w:pPr>
      <w:r>
        <w:rPr>
          <w:noProof/>
          <w:color w:val="000000"/>
          <w:szCs w:val="21"/>
        </w:rPr>
        <mc:AlternateContent>
          <mc:Choice Requires="wps">
            <w:drawing>
              <wp:anchor distT="0" distB="0" distL="114300" distR="114300" simplePos="0" relativeHeight="251722752" behindDoc="0" locked="0" layoutInCell="1" allowOverlap="1" wp14:anchorId="5BB7CDFF" wp14:editId="35669FF5">
                <wp:simplePos x="0" y="0"/>
                <wp:positionH relativeFrom="column">
                  <wp:posOffset>2447925</wp:posOffset>
                </wp:positionH>
                <wp:positionV relativeFrom="paragraph">
                  <wp:posOffset>212090</wp:posOffset>
                </wp:positionV>
                <wp:extent cx="0" cy="220980"/>
                <wp:effectExtent l="38100" t="0" r="38100" b="7620"/>
                <wp:wrapNone/>
                <wp:docPr id="66" name="直接箭头连接符 66"/>
                <wp:cNvGraphicFramePr/>
                <a:graphic xmlns:a="http://schemas.openxmlformats.org/drawingml/2006/main">
                  <a:graphicData uri="http://schemas.microsoft.com/office/word/2010/wordprocessingShape">
                    <wps:wsp>
                      <wps:cNvCnPr/>
                      <wps:spPr>
                        <a:xfrm>
                          <a:off x="0" y="0"/>
                          <a:ext cx="0" cy="2209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8969117" id="直接箭头连接符 66" o:spid="_x0000_s1026" type="#_x0000_t32" style="position:absolute;left:0;text-align:left;margin-left:192.75pt;margin-top:16.7pt;width:0;height:17.4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">
                <v:stroke endarrow="block"/>
              </v:shape>
            </w:pict>
          </mc:Fallback>
        </mc:AlternateContent>
      </w:r>
      <w:r>
        <w:rPr>
          <w:rFonts w:hint="eastAsia"/>
          <w:color w:val="000000"/>
          <w:szCs w:val="21"/>
        </w:rPr>
        <w:t xml:space="preserve"> </w:t>
      </w:r>
    </w:p>
    <w:p w:rsidR="009613B4" w:rsidRDefault="009613B4" w:rsidP="009613B4">
      <w:pPr>
        <w:spacing w:line="360" w:lineRule="auto"/>
        <w:rPr>
          <w:color w:val="000000"/>
          <w:szCs w:val="21"/>
        </w:rPr>
      </w:pPr>
      <w:r>
        <w:rPr>
          <w:noProof/>
          <w:color w:val="000000"/>
          <w:szCs w:val="21"/>
        </w:rPr>
        <mc:AlternateContent>
          <mc:Choice Requires="wps">
            <w:drawing>
              <wp:anchor distT="0" distB="0" distL="114300" distR="114300" simplePos="0" relativeHeight="251723776" behindDoc="0" locked="0" layoutInCell="1" allowOverlap="1" wp14:anchorId="3D133832" wp14:editId="255FA6DD">
                <wp:simplePos x="0" y="0"/>
                <wp:positionH relativeFrom="column">
                  <wp:posOffset>1092200</wp:posOffset>
                </wp:positionH>
                <wp:positionV relativeFrom="paragraph">
                  <wp:posOffset>118745</wp:posOffset>
                </wp:positionV>
                <wp:extent cx="809625" cy="266700"/>
                <wp:effectExtent l="4445" t="4445" r="8890" b="18415"/>
                <wp:wrapNone/>
                <wp:docPr id="71" name="文本框 71"/>
                <wp:cNvGraphicFramePr/>
                <a:graphic xmlns:a="http://schemas.openxmlformats.org/drawingml/2006/main">
                  <a:graphicData uri="http://schemas.microsoft.com/office/word/2010/wordprocessingShape">
                    <wps:wsp>
                      <wps:cNvSpPr txBox="1"/>
                      <wps:spPr>
                        <a:xfrm>
                          <a:off x="0" y="0"/>
                          <a:ext cx="8096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center"/>
                              <w:rPr>
                                <w:rFonts w:ascii="仿宋" w:eastAsia="仿宋" w:hAnsi="仿宋"/>
                                <w:sz w:val="24"/>
                                <w:szCs w:val="24"/>
                              </w:rPr>
                            </w:pPr>
                            <w:r>
                              <w:rPr>
                                <w:rFonts w:ascii="仿宋" w:eastAsia="仿宋" w:hAnsi="仿宋" w:hint="eastAsia"/>
                                <w:sz w:val="24"/>
                                <w:szCs w:val="24"/>
                              </w:rPr>
                              <w:t>三控制</w:t>
                            </w:r>
                          </w:p>
                        </w:txbxContent>
                      </wps:txbx>
                      <wps:bodyPr upright="1"/>
                    </wps:wsp>
                  </a:graphicData>
                </a:graphic>
              </wp:anchor>
            </w:drawing>
          </mc:Choice>
          <mc:Fallback>
            <w:pict>
              <v:shape w14:anchorId="3D133832" id="文本框 71" o:spid="_x0000_s1062" type="#_x0000_t202" style="position:absolute;left:0;text-align:left;margin-left:86pt;margin-top:9.35pt;width:63.75pt;height:2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">
                <v:textbox>
                  <w:txbxContent>
                    <w:p w:rsidR="00702523" w:rsidRDefault="00702523" w:rsidP="009613B4">
                      <w:pPr>
                        <w:jc w:val="center"/>
                        <w:rPr>
                          <w:rFonts w:ascii="仿宋" w:eastAsia="仿宋" w:hAnsi="仿宋"/>
                          <w:sz w:val="24"/>
                          <w:szCs w:val="24"/>
                        </w:rPr>
                      </w:pPr>
                      <w:r>
                        <w:rPr>
                          <w:rFonts w:ascii="仿宋" w:eastAsia="仿宋" w:hAnsi="仿宋" w:hint="eastAsia"/>
                          <w:sz w:val="24"/>
                          <w:szCs w:val="24"/>
                        </w:rPr>
                        <w:t>三控制</w:t>
                      </w:r>
                    </w:p>
                  </w:txbxContent>
                </v:textbox>
              </v:shape>
            </w:pict>
          </mc:Fallback>
        </mc:AlternateContent>
      </w:r>
      <w:r>
        <w:rPr>
          <w:noProof/>
          <w:color w:val="000000"/>
          <w:szCs w:val="21"/>
        </w:rPr>
        <mc:AlternateContent>
          <mc:Choice Requires="wps">
            <w:drawing>
              <wp:anchor distT="0" distB="0" distL="114300" distR="114300" simplePos="0" relativeHeight="251725824" behindDoc="0" locked="0" layoutInCell="1" allowOverlap="1" wp14:anchorId="619137D0" wp14:editId="1B170400">
                <wp:simplePos x="0" y="0"/>
                <wp:positionH relativeFrom="column">
                  <wp:posOffset>2149475</wp:posOffset>
                </wp:positionH>
                <wp:positionV relativeFrom="paragraph">
                  <wp:posOffset>118745</wp:posOffset>
                </wp:positionV>
                <wp:extent cx="1073785" cy="266700"/>
                <wp:effectExtent l="4445" t="4445" r="19050" b="18415"/>
                <wp:wrapNone/>
                <wp:docPr id="68" name="文本框 68"/>
                <wp:cNvGraphicFramePr/>
                <a:graphic xmlns:a="http://schemas.openxmlformats.org/drawingml/2006/main">
                  <a:graphicData uri="http://schemas.microsoft.com/office/word/2010/wordprocessingShape">
                    <wps:wsp>
                      <wps:cNvSpPr txBox="1"/>
                      <wps:spPr>
                        <a:xfrm>
                          <a:off x="0" y="0"/>
                          <a:ext cx="107378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center"/>
                              <w:rPr>
                                <w:rFonts w:ascii="仿宋" w:eastAsia="仿宋" w:hAnsi="仿宋"/>
                                <w:sz w:val="24"/>
                                <w:szCs w:val="24"/>
                              </w:rPr>
                            </w:pPr>
                            <w:r>
                              <w:rPr>
                                <w:rFonts w:ascii="仿宋" w:eastAsia="仿宋" w:hAnsi="仿宋" w:hint="eastAsia"/>
                                <w:sz w:val="24"/>
                                <w:szCs w:val="24"/>
                              </w:rPr>
                              <w:t>两管理</w:t>
                            </w:r>
                          </w:p>
                        </w:txbxContent>
                      </wps:txbx>
                      <wps:bodyPr upright="1"/>
                    </wps:wsp>
                  </a:graphicData>
                </a:graphic>
              </wp:anchor>
            </w:drawing>
          </mc:Choice>
          <mc:Fallback>
            <w:pict>
              <v:shape w14:anchorId="619137D0" id="文本框 68" o:spid="_x0000_s1063" type="#_x0000_t202" style="position:absolute;left:0;text-align:left;margin-left:169.25pt;margin-top:9.35pt;width:84.55pt;height:2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">
                <v:textbox>
                  <w:txbxContent>
                    <w:p w:rsidR="00702523" w:rsidRDefault="00702523" w:rsidP="009613B4">
                      <w:pPr>
                        <w:jc w:val="center"/>
                        <w:rPr>
                          <w:rFonts w:ascii="仿宋" w:eastAsia="仿宋" w:hAnsi="仿宋"/>
                          <w:sz w:val="24"/>
                          <w:szCs w:val="24"/>
                        </w:rPr>
                      </w:pPr>
                      <w:r>
                        <w:rPr>
                          <w:rFonts w:ascii="仿宋" w:eastAsia="仿宋" w:hAnsi="仿宋" w:hint="eastAsia"/>
                          <w:sz w:val="24"/>
                          <w:szCs w:val="24"/>
                        </w:rPr>
                        <w:t>两管理</w:t>
                      </w:r>
                    </w:p>
                  </w:txbxContent>
                </v:textbox>
              </v:shape>
            </w:pict>
          </mc:Fallback>
        </mc:AlternateContent>
      </w:r>
      <w:r>
        <w:rPr>
          <w:noProof/>
          <w:color w:val="000000"/>
          <w:szCs w:val="21"/>
        </w:rPr>
        <mc:AlternateContent>
          <mc:Choice Requires="wps">
            <w:drawing>
              <wp:anchor distT="0" distB="0" distL="114300" distR="114300" simplePos="0" relativeHeight="251726848" behindDoc="0" locked="0" layoutInCell="1" allowOverlap="1" wp14:anchorId="5D013AE1" wp14:editId="133CC380">
                <wp:simplePos x="0" y="0"/>
                <wp:positionH relativeFrom="column">
                  <wp:posOffset>3481705</wp:posOffset>
                </wp:positionH>
                <wp:positionV relativeFrom="paragraph">
                  <wp:posOffset>118745</wp:posOffset>
                </wp:positionV>
                <wp:extent cx="788035" cy="266700"/>
                <wp:effectExtent l="4445" t="4445" r="15240" b="18415"/>
                <wp:wrapNone/>
                <wp:docPr id="70" name="文本框 70"/>
                <wp:cNvGraphicFramePr/>
                <a:graphic xmlns:a="http://schemas.openxmlformats.org/drawingml/2006/main">
                  <a:graphicData uri="http://schemas.microsoft.com/office/word/2010/wordprocessingShape">
                    <wps:wsp>
                      <wps:cNvSpPr txBox="1"/>
                      <wps:spPr>
                        <a:xfrm>
                          <a:off x="0" y="0"/>
                          <a:ext cx="78803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center"/>
                              <w:rPr>
                                <w:rFonts w:ascii="仿宋" w:eastAsia="仿宋" w:hAnsi="仿宋"/>
                                <w:sz w:val="24"/>
                                <w:szCs w:val="24"/>
                              </w:rPr>
                            </w:pPr>
                            <w:r>
                              <w:rPr>
                                <w:rFonts w:ascii="仿宋" w:eastAsia="仿宋" w:hAnsi="仿宋" w:hint="eastAsia"/>
                                <w:sz w:val="24"/>
                                <w:szCs w:val="24"/>
                              </w:rPr>
                              <w:t xml:space="preserve"> 一协调过滤</w:t>
                            </w:r>
                          </w:p>
                        </w:txbxContent>
                      </wps:txbx>
                      <wps:bodyPr upright="1"/>
                    </wps:wsp>
                  </a:graphicData>
                </a:graphic>
              </wp:anchor>
            </w:drawing>
          </mc:Choice>
          <mc:Fallback>
            <w:pict>
              <v:shape w14:anchorId="5D013AE1" id="文本框 70" o:spid="_x0000_s1064" type="#_x0000_t202" style="position:absolute;left:0;text-align:left;margin-left:274.15pt;margin-top:9.35pt;width:62.05pt;height:2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">
                <v:textbox>
                  <w:txbxContent>
                    <w:p w:rsidR="00702523" w:rsidRDefault="00702523" w:rsidP="009613B4">
                      <w:pPr>
                        <w:jc w:val="center"/>
                        <w:rPr>
                          <w:rFonts w:ascii="仿宋" w:eastAsia="仿宋" w:hAnsi="仿宋"/>
                          <w:sz w:val="24"/>
                          <w:szCs w:val="24"/>
                        </w:rPr>
                      </w:pPr>
                      <w:r>
                        <w:rPr>
                          <w:rFonts w:ascii="仿宋" w:eastAsia="仿宋" w:hAnsi="仿宋" w:hint="eastAsia"/>
                          <w:sz w:val="24"/>
                          <w:szCs w:val="24"/>
                        </w:rPr>
                        <w:t xml:space="preserve"> 一协调过滤</w:t>
                      </w:r>
                    </w:p>
                  </w:txbxContent>
                </v:textbox>
              </v:shape>
            </w:pict>
          </mc:Fallback>
        </mc:AlternateContent>
      </w:r>
      <w:r>
        <w:rPr>
          <w:noProof/>
          <w:color w:val="000000"/>
          <w:szCs w:val="21"/>
        </w:rPr>
        <mc:AlternateContent>
          <mc:Choice Requires="wps">
            <w:drawing>
              <wp:anchor distT="0" distB="0" distL="114300" distR="114300" simplePos="0" relativeHeight="251724800" behindDoc="0" locked="0" layoutInCell="1" allowOverlap="1" wp14:anchorId="1D24BF59" wp14:editId="25CD7580">
                <wp:simplePos x="0" y="0"/>
                <wp:positionH relativeFrom="column">
                  <wp:posOffset>1042670</wp:posOffset>
                </wp:positionH>
                <wp:positionV relativeFrom="paragraph">
                  <wp:posOffset>60960</wp:posOffset>
                </wp:positionV>
                <wp:extent cx="3333750" cy="364490"/>
                <wp:effectExtent l="4445" t="4445" r="14605" b="12065"/>
                <wp:wrapNone/>
                <wp:docPr id="72" name="矩形 72"/>
                <wp:cNvGraphicFramePr/>
                <a:graphic xmlns:a="http://schemas.openxmlformats.org/drawingml/2006/main">
                  <a:graphicData uri="http://schemas.microsoft.com/office/word/2010/wordprocessingShape">
                    <wps:wsp>
                      <wps:cNvSpPr/>
                      <wps:spPr>
                        <a:xfrm>
                          <a:off x="0" y="0"/>
                          <a:ext cx="3333750" cy="364490"/>
                        </a:xfrm>
                        <a:prstGeom prst="rect">
                          <a:avLst/>
                        </a:prstGeom>
                        <a:noFill/>
                        <a:ln w="9525" cap="flat" cmpd="sng">
                          <a:solidFill>
                            <a:srgbClr val="000000"/>
                          </a:solidFill>
                          <a:prstDash val="lgDash"/>
                          <a:miter/>
                          <a:headEnd type="none" w="med" len="med"/>
                          <a:tailEnd type="none" w="med" len="med"/>
                        </a:ln>
                      </wps:spPr>
                      <wps:bodyPr upright="1"/>
                    </wps:wsp>
                  </a:graphicData>
                </a:graphic>
              </wp:anchor>
            </w:drawing>
          </mc:Choice>
          <mc:Fallback>
            <w:pict>
              <v:rect w14:anchorId="5B17C63B" id="矩形 72" o:spid="_x0000_s1026" style="position:absolute;left:0;text-align:left;margin-left:82.1pt;margin-top:4.8pt;width:262.5pt;height:28.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" filled="f">
                <v:stroke dashstyle="longDash"/>
              </v:rect>
            </w:pict>
          </mc:Fallback>
        </mc:AlternateContent>
      </w:r>
    </w:p>
    <w:p w:rsidR="009613B4" w:rsidRDefault="009613B4" w:rsidP="009613B4">
      <w:pPr>
        <w:spacing w:line="360" w:lineRule="auto"/>
        <w:rPr>
          <w:color w:val="000000"/>
          <w:szCs w:val="21"/>
        </w:rPr>
      </w:pPr>
      <w:r>
        <w:rPr>
          <w:noProof/>
          <w:color w:val="000000"/>
          <w:szCs w:val="21"/>
        </w:rPr>
        <mc:AlternateContent>
          <mc:Choice Requires="wps">
            <w:drawing>
              <wp:anchor distT="0" distB="0" distL="114300" distR="114300" simplePos="0" relativeHeight="251727872" behindDoc="0" locked="0" layoutInCell="1" allowOverlap="1" wp14:anchorId="562183DE" wp14:editId="5ECCC9B7">
                <wp:simplePos x="0" y="0"/>
                <wp:positionH relativeFrom="column">
                  <wp:posOffset>1747520</wp:posOffset>
                </wp:positionH>
                <wp:positionV relativeFrom="paragraph">
                  <wp:posOffset>270510</wp:posOffset>
                </wp:positionV>
                <wp:extent cx="1409700" cy="276225"/>
                <wp:effectExtent l="4445" t="4445" r="18415" b="8890"/>
                <wp:wrapNone/>
                <wp:docPr id="75" name="文本框 75"/>
                <wp:cNvGraphicFramePr/>
                <a:graphic xmlns:a="http://schemas.openxmlformats.org/drawingml/2006/main">
                  <a:graphicData uri="http://schemas.microsoft.com/office/word/2010/wordprocessingShape">
                    <wps:wsp>
                      <wps:cNvSpPr txBox="1"/>
                      <wps:spPr>
                        <a:xfrm>
                          <a:off x="0" y="0"/>
                          <a:ext cx="140970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9613B4">
                            <w:pPr>
                              <w:jc w:val="center"/>
                              <w:rPr>
                                <w:rFonts w:ascii="仿宋" w:eastAsia="仿宋" w:hAnsi="仿宋"/>
                                <w:sz w:val="24"/>
                                <w:szCs w:val="24"/>
                              </w:rPr>
                            </w:pPr>
                            <w:r>
                              <w:rPr>
                                <w:rFonts w:ascii="仿宋" w:eastAsia="仿宋" w:hAnsi="仿宋" w:hint="eastAsia"/>
                                <w:sz w:val="24"/>
                                <w:szCs w:val="24"/>
                              </w:rPr>
                              <w:t>水工程监理实务净水厂设计</w:t>
                            </w:r>
                          </w:p>
                        </w:txbxContent>
                      </wps:txbx>
                      <wps:bodyPr upright="1"/>
                    </wps:wsp>
                  </a:graphicData>
                </a:graphic>
              </wp:anchor>
            </w:drawing>
          </mc:Choice>
          <mc:Fallback>
            <w:pict>
              <v:shape w14:anchorId="562183DE" id="文本框 75" o:spid="_x0000_s1065" type="#_x0000_t202" style="position:absolute;left:0;text-align:left;margin-left:137.6pt;margin-top:21.3pt;width:111pt;height:21.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">
                <v:textbox>
                  <w:txbxContent>
                    <w:p w:rsidR="00702523" w:rsidRDefault="00702523" w:rsidP="009613B4">
                      <w:pPr>
                        <w:jc w:val="center"/>
                        <w:rPr>
                          <w:rFonts w:ascii="仿宋" w:eastAsia="仿宋" w:hAnsi="仿宋"/>
                          <w:sz w:val="24"/>
                          <w:szCs w:val="24"/>
                        </w:rPr>
                      </w:pPr>
                      <w:r>
                        <w:rPr>
                          <w:rFonts w:ascii="仿宋" w:eastAsia="仿宋" w:hAnsi="仿宋" w:hint="eastAsia"/>
                          <w:sz w:val="24"/>
                          <w:szCs w:val="24"/>
                        </w:rPr>
                        <w:t>水工程监理实务净水厂设计</w:t>
                      </w:r>
                    </w:p>
                  </w:txbxContent>
                </v:textbox>
              </v:shape>
            </w:pict>
          </mc:Fallback>
        </mc:AlternateContent>
      </w:r>
      <w:r>
        <w:rPr>
          <w:noProof/>
          <w:color w:val="000000"/>
          <w:szCs w:val="21"/>
        </w:rPr>
        <mc:AlternateContent>
          <mc:Choice Requires="wps">
            <w:drawing>
              <wp:anchor distT="0" distB="0" distL="114300" distR="114300" simplePos="0" relativeHeight="251728896" behindDoc="0" locked="0" layoutInCell="1" allowOverlap="1" wp14:anchorId="71636B29" wp14:editId="0E130380">
                <wp:simplePos x="0" y="0"/>
                <wp:positionH relativeFrom="column">
                  <wp:posOffset>2447925</wp:posOffset>
                </wp:positionH>
                <wp:positionV relativeFrom="paragraph">
                  <wp:posOffset>53340</wp:posOffset>
                </wp:positionV>
                <wp:extent cx="0" cy="217170"/>
                <wp:effectExtent l="38100" t="0" r="38100" b="11430"/>
                <wp:wrapNone/>
                <wp:docPr id="67" name="直接箭头连接符 67"/>
                <wp:cNvGraphicFramePr/>
                <a:graphic xmlns:a="http://schemas.openxmlformats.org/drawingml/2006/main">
                  <a:graphicData uri="http://schemas.microsoft.com/office/word/2010/wordprocessingShape">
                    <wps:wsp>
                      <wps:cNvCnPr/>
                      <wps:spPr>
                        <a:xfrm>
                          <a:off x="0" y="0"/>
                          <a:ext cx="0" cy="2171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97B407D" id="直接箭头连接符 67" o:spid="_x0000_s1026" type="#_x0000_t32" style="position:absolute;left:0;text-align:left;margin-left:192.75pt;margin-top:4.2pt;width:0;height:17.1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">
                <v:stroke endarrow="block"/>
              </v:shape>
            </w:pict>
          </mc:Fallback>
        </mc:AlternateContent>
      </w:r>
    </w:p>
    <w:p w:rsidR="009613B4" w:rsidRDefault="009613B4" w:rsidP="009613B4">
      <w:pPr>
        <w:spacing w:line="360" w:lineRule="auto"/>
        <w:rPr>
          <w:color w:val="000000"/>
          <w:szCs w:val="21"/>
        </w:rPr>
      </w:pPr>
    </w:p>
    <w:p w:rsidR="009613B4" w:rsidRDefault="009613B4" w:rsidP="009613B4">
      <w:pPr>
        <w:spacing w:line="400" w:lineRule="exact"/>
        <w:outlineLvl w:val="0"/>
        <w:rPr>
          <w:rFonts w:ascii="仿宋_GB2312" w:hAnsi="仿宋_GB2312" w:cs="仿宋_GB2312"/>
          <w:bCs/>
          <w:color w:val="000000"/>
          <w:sz w:val="28"/>
          <w:szCs w:val="28"/>
        </w:rPr>
      </w:pPr>
      <w:r>
        <w:rPr>
          <w:rFonts w:ascii="仿宋_GB2312" w:hAnsi="仿宋_GB2312" w:cs="仿宋_GB2312"/>
          <w:bCs/>
          <w:color w:val="000000"/>
          <w:sz w:val="28"/>
          <w:szCs w:val="28"/>
        </w:rPr>
        <w:t>（二）具体教学内容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2695"/>
        <w:gridCol w:w="709"/>
        <w:gridCol w:w="4677"/>
        <w:gridCol w:w="851"/>
      </w:tblGrid>
      <w:tr w:rsidR="009613B4" w:rsidTr="008C3907">
        <w:trPr>
          <w:cantSplit/>
          <w:trHeight w:val="661"/>
        </w:trPr>
        <w:tc>
          <w:tcPr>
            <w:tcW w:w="532" w:type="dxa"/>
            <w:vAlign w:val="center"/>
          </w:tcPr>
          <w:p w:rsidR="009613B4" w:rsidRPr="008B4EA8" w:rsidRDefault="009613B4" w:rsidP="008C3907">
            <w:pPr>
              <w:jc w:val="center"/>
              <w:rPr>
                <w:rFonts w:ascii="仿宋_GB2312" w:hAnsi="仿宋_GB2312" w:cs="仿宋_GB2312"/>
                <w:b/>
                <w:bCs/>
                <w:color w:val="000000"/>
                <w:sz w:val="24"/>
                <w:szCs w:val="24"/>
              </w:rPr>
            </w:pPr>
            <w:r w:rsidRPr="008B4EA8">
              <w:rPr>
                <w:rFonts w:ascii="仿宋_GB2312" w:hAnsi="仿宋_GB2312" w:cs="仿宋_GB2312" w:hint="eastAsia"/>
                <w:b/>
                <w:bCs/>
                <w:color w:val="000000"/>
                <w:sz w:val="24"/>
                <w:szCs w:val="24"/>
              </w:rPr>
              <w:t>序号</w:t>
            </w:r>
          </w:p>
        </w:tc>
        <w:tc>
          <w:tcPr>
            <w:tcW w:w="2695" w:type="dxa"/>
            <w:vAlign w:val="center"/>
          </w:tcPr>
          <w:p w:rsidR="009613B4" w:rsidRPr="008B4EA8" w:rsidRDefault="009613B4" w:rsidP="008C3907">
            <w:pPr>
              <w:jc w:val="center"/>
              <w:rPr>
                <w:rFonts w:ascii="仿宋_GB2312" w:hAnsi="仿宋_GB2312" w:cs="仿宋_GB2312"/>
                <w:b/>
                <w:bCs/>
                <w:color w:val="000000"/>
                <w:sz w:val="24"/>
                <w:szCs w:val="24"/>
              </w:rPr>
            </w:pPr>
            <w:r w:rsidRPr="008B4EA8">
              <w:rPr>
                <w:rFonts w:ascii="仿宋_GB2312" w:hAnsi="仿宋_GB2312" w:cs="仿宋_GB2312" w:hint="eastAsia"/>
                <w:b/>
                <w:bCs/>
                <w:color w:val="000000"/>
                <w:sz w:val="24"/>
                <w:szCs w:val="24"/>
              </w:rPr>
              <w:t>章  节</w:t>
            </w:r>
          </w:p>
        </w:tc>
        <w:tc>
          <w:tcPr>
            <w:tcW w:w="709" w:type="dxa"/>
            <w:vAlign w:val="center"/>
          </w:tcPr>
          <w:p w:rsidR="009613B4" w:rsidRPr="008B4EA8" w:rsidRDefault="009613B4" w:rsidP="008C3907">
            <w:pPr>
              <w:spacing w:beforeLines="50" w:before="156" w:afterLines="50" w:after="156"/>
              <w:jc w:val="center"/>
              <w:rPr>
                <w:rFonts w:ascii="仿宋_GB2312" w:hAnsi="仿宋_GB2312" w:cs="仿宋_GB2312"/>
                <w:b/>
                <w:bCs/>
                <w:color w:val="000000"/>
                <w:sz w:val="24"/>
                <w:szCs w:val="24"/>
              </w:rPr>
            </w:pPr>
            <w:r w:rsidRPr="008B4EA8">
              <w:rPr>
                <w:rFonts w:ascii="仿宋_GB2312" w:hAnsi="仿宋_GB2312" w:cs="仿宋_GB2312" w:hint="eastAsia"/>
                <w:b/>
                <w:bCs/>
                <w:color w:val="000000"/>
                <w:sz w:val="24"/>
                <w:szCs w:val="24"/>
              </w:rPr>
              <w:t>参考学时</w:t>
            </w:r>
          </w:p>
        </w:tc>
        <w:tc>
          <w:tcPr>
            <w:tcW w:w="4677" w:type="dxa"/>
            <w:vAlign w:val="center"/>
          </w:tcPr>
          <w:p w:rsidR="009613B4" w:rsidRPr="008B4EA8" w:rsidRDefault="009613B4" w:rsidP="008C3907">
            <w:pPr>
              <w:spacing w:line="320" w:lineRule="exact"/>
              <w:ind w:firstLineChars="600" w:firstLine="1446"/>
              <w:rPr>
                <w:rFonts w:ascii="仿宋_GB2312" w:hAnsi="仿宋_GB2312" w:cs="仿宋_GB2312"/>
                <w:b/>
                <w:bCs/>
                <w:color w:val="000000"/>
                <w:sz w:val="24"/>
                <w:szCs w:val="24"/>
              </w:rPr>
            </w:pPr>
            <w:r w:rsidRPr="008B4EA8">
              <w:rPr>
                <w:rFonts w:ascii="仿宋_GB2312" w:hAnsi="仿宋_GB2312" w:cs="仿宋_GB2312" w:hint="eastAsia"/>
                <w:b/>
                <w:bCs/>
                <w:color w:val="000000"/>
                <w:sz w:val="24"/>
                <w:szCs w:val="24"/>
              </w:rPr>
              <w:t>教学内容</w:t>
            </w:r>
          </w:p>
        </w:tc>
        <w:tc>
          <w:tcPr>
            <w:tcW w:w="851" w:type="dxa"/>
            <w:vAlign w:val="center"/>
          </w:tcPr>
          <w:p w:rsidR="009613B4" w:rsidRPr="008B4EA8" w:rsidRDefault="009613B4" w:rsidP="008C3907">
            <w:pPr>
              <w:jc w:val="center"/>
              <w:rPr>
                <w:rFonts w:ascii="仿宋_GB2312" w:hAnsi="仿宋_GB2312" w:cs="仿宋_GB2312"/>
                <w:b/>
                <w:bCs/>
                <w:color w:val="000000"/>
                <w:sz w:val="24"/>
                <w:szCs w:val="24"/>
              </w:rPr>
            </w:pPr>
            <w:r w:rsidRPr="008B4EA8">
              <w:rPr>
                <w:rFonts w:ascii="仿宋_GB2312" w:hAnsi="仿宋_GB2312" w:cs="仿宋_GB2312" w:hint="eastAsia"/>
                <w:b/>
                <w:bCs/>
                <w:color w:val="000000"/>
                <w:sz w:val="24"/>
                <w:szCs w:val="24"/>
              </w:rPr>
              <w:t>基本</w:t>
            </w:r>
          </w:p>
          <w:p w:rsidR="009613B4" w:rsidRPr="008B4EA8" w:rsidRDefault="009613B4" w:rsidP="008C3907">
            <w:pPr>
              <w:jc w:val="center"/>
              <w:rPr>
                <w:rFonts w:ascii="仿宋_GB2312" w:hAnsi="仿宋_GB2312" w:cs="仿宋_GB2312"/>
                <w:b/>
                <w:bCs/>
                <w:color w:val="000000"/>
                <w:sz w:val="24"/>
                <w:szCs w:val="24"/>
              </w:rPr>
            </w:pPr>
            <w:r w:rsidRPr="008B4EA8">
              <w:rPr>
                <w:rFonts w:ascii="仿宋_GB2312" w:hAnsi="仿宋_GB2312" w:cs="仿宋_GB2312" w:hint="eastAsia"/>
                <w:b/>
                <w:bCs/>
                <w:color w:val="000000"/>
                <w:sz w:val="24"/>
                <w:szCs w:val="24"/>
              </w:rPr>
              <w:t>要求</w:t>
            </w:r>
          </w:p>
        </w:tc>
      </w:tr>
      <w:tr w:rsidR="009613B4" w:rsidTr="008C3907">
        <w:trPr>
          <w:trHeight w:hRule="exact" w:val="760"/>
        </w:trPr>
        <w:tc>
          <w:tcPr>
            <w:tcW w:w="532" w:type="dxa"/>
            <w:vMerge w:val="restart"/>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1</w:t>
            </w:r>
          </w:p>
        </w:tc>
        <w:tc>
          <w:tcPr>
            <w:tcW w:w="2695" w:type="dxa"/>
            <w:vMerge w:val="restart"/>
            <w:vAlign w:val="center"/>
          </w:tcPr>
          <w:p w:rsidR="009613B4" w:rsidRPr="008B4EA8" w:rsidRDefault="009613B4" w:rsidP="008C3907">
            <w:pPr>
              <w:ind w:firstLineChars="400" w:firstLine="960"/>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第一章</w:t>
            </w:r>
          </w:p>
          <w:p w:rsidR="009613B4" w:rsidRPr="008B4EA8" w:rsidRDefault="009613B4" w:rsidP="008C3907">
            <w:pPr>
              <w:snapToGrid w:val="0"/>
              <w:ind w:firstLineChars="200" w:firstLine="480"/>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建设工程监理与相关法规和</w:t>
            </w:r>
            <w:r w:rsidRPr="008B4EA8">
              <w:rPr>
                <w:rFonts w:ascii="仿宋_GB2312" w:hAnsi="仿宋_GB2312" w:cs="仿宋_GB2312"/>
                <w:bCs/>
                <w:color w:val="000000"/>
                <w:sz w:val="24"/>
                <w:szCs w:val="24"/>
              </w:rPr>
              <w:t>合同管理</w:t>
            </w:r>
          </w:p>
        </w:tc>
        <w:tc>
          <w:tcPr>
            <w:tcW w:w="709" w:type="dxa"/>
            <w:vMerge w:val="restart"/>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bCs/>
                <w:color w:val="000000"/>
                <w:sz w:val="24"/>
                <w:szCs w:val="24"/>
              </w:rPr>
              <w:t>4</w:t>
            </w: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建设工程监理的由来；建设工程法规体系、</w:t>
            </w:r>
            <w:r w:rsidRPr="008B4EA8">
              <w:rPr>
                <w:rFonts w:ascii="仿宋_GB2312" w:hAnsi="仿宋_GB2312" w:cs="仿宋_GB2312"/>
                <w:bCs/>
                <w:color w:val="000000"/>
                <w:sz w:val="24"/>
                <w:szCs w:val="24"/>
              </w:rPr>
              <w:t>合同管理</w:t>
            </w:r>
            <w:r w:rsidRPr="008B4EA8">
              <w:rPr>
                <w:rFonts w:ascii="仿宋_GB2312" w:hAnsi="仿宋_GB2312" w:cs="仿宋_GB2312" w:hint="eastAsia"/>
                <w:bCs/>
                <w:color w:val="000000"/>
                <w:sz w:val="24"/>
                <w:szCs w:val="24"/>
              </w:rPr>
              <w:t>；建设工程监理的发展趋势。</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了解</w:t>
            </w:r>
          </w:p>
        </w:tc>
      </w:tr>
      <w:tr w:rsidR="009613B4" w:rsidTr="008C3907">
        <w:trPr>
          <w:trHeight w:hRule="exact" w:val="454"/>
        </w:trPr>
        <w:tc>
          <w:tcPr>
            <w:tcW w:w="532"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2695" w:type="dxa"/>
            <w:vMerge/>
            <w:vAlign w:val="center"/>
          </w:tcPr>
          <w:p w:rsidR="009613B4" w:rsidRPr="008B4EA8" w:rsidRDefault="009613B4" w:rsidP="008C3907">
            <w:pPr>
              <w:rPr>
                <w:rFonts w:ascii="仿宋_GB2312" w:hAnsi="仿宋_GB2312" w:cs="仿宋_GB2312"/>
                <w:bCs/>
                <w:color w:val="000000"/>
                <w:sz w:val="24"/>
                <w:szCs w:val="24"/>
              </w:rPr>
            </w:pPr>
          </w:p>
        </w:tc>
        <w:tc>
          <w:tcPr>
            <w:tcW w:w="709"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建设工程监理的理论基础；建设工程管理制度。</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熟悉</w:t>
            </w:r>
          </w:p>
        </w:tc>
      </w:tr>
      <w:tr w:rsidR="009613B4" w:rsidTr="008C3907">
        <w:trPr>
          <w:trHeight w:hRule="exact" w:val="454"/>
        </w:trPr>
        <w:tc>
          <w:tcPr>
            <w:tcW w:w="532"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2695" w:type="dxa"/>
            <w:vMerge/>
            <w:vAlign w:val="center"/>
          </w:tcPr>
          <w:p w:rsidR="009613B4" w:rsidRPr="008B4EA8" w:rsidRDefault="009613B4" w:rsidP="008C3907">
            <w:pPr>
              <w:rPr>
                <w:rFonts w:ascii="仿宋_GB2312" w:hAnsi="仿宋_GB2312" w:cs="仿宋_GB2312"/>
                <w:bCs/>
                <w:color w:val="000000"/>
                <w:sz w:val="24"/>
                <w:szCs w:val="24"/>
              </w:rPr>
            </w:pPr>
          </w:p>
        </w:tc>
        <w:tc>
          <w:tcPr>
            <w:tcW w:w="709"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建设工程监理的概念、性质和作用；建设程序。</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bCs/>
                <w:color w:val="000000"/>
                <w:sz w:val="24"/>
                <w:szCs w:val="24"/>
              </w:rPr>
              <w:t>掌握</w:t>
            </w:r>
          </w:p>
        </w:tc>
      </w:tr>
      <w:tr w:rsidR="009613B4" w:rsidTr="008C3907">
        <w:trPr>
          <w:trHeight w:hRule="exact" w:val="796"/>
        </w:trPr>
        <w:tc>
          <w:tcPr>
            <w:tcW w:w="532" w:type="dxa"/>
            <w:vMerge w:val="restart"/>
            <w:vAlign w:val="center"/>
          </w:tcPr>
          <w:p w:rsidR="009613B4" w:rsidRPr="008B4EA8" w:rsidRDefault="009613B4" w:rsidP="008C3907">
            <w:pP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2</w:t>
            </w:r>
          </w:p>
        </w:tc>
        <w:tc>
          <w:tcPr>
            <w:tcW w:w="2695" w:type="dxa"/>
            <w:vMerge w:val="restart"/>
            <w:vAlign w:val="center"/>
          </w:tcPr>
          <w:p w:rsidR="009613B4" w:rsidRPr="008B4EA8" w:rsidRDefault="009613B4" w:rsidP="008C3907">
            <w:pPr>
              <w:ind w:firstLineChars="400" w:firstLine="960"/>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第二章</w:t>
            </w:r>
          </w:p>
          <w:p w:rsidR="009613B4" w:rsidRPr="008B4EA8" w:rsidRDefault="009613B4" w:rsidP="008C3907">
            <w:pP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监理工程师和工程监理企业</w:t>
            </w:r>
          </w:p>
        </w:tc>
        <w:tc>
          <w:tcPr>
            <w:tcW w:w="709" w:type="dxa"/>
            <w:vMerge w:val="restart"/>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bCs/>
                <w:color w:val="000000"/>
                <w:sz w:val="24"/>
                <w:szCs w:val="24"/>
              </w:rPr>
              <w:t>2</w:t>
            </w: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监理工程师的执业特点；工程监理企业的组织形式；工程监理企业规章制度。</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了解</w:t>
            </w:r>
          </w:p>
        </w:tc>
      </w:tr>
      <w:tr w:rsidR="009613B4" w:rsidTr="008C3907">
        <w:trPr>
          <w:trHeight w:hRule="exact" w:val="864"/>
        </w:trPr>
        <w:tc>
          <w:tcPr>
            <w:tcW w:w="532" w:type="dxa"/>
            <w:vMerge/>
            <w:vAlign w:val="center"/>
          </w:tcPr>
          <w:p w:rsidR="009613B4" w:rsidRPr="008B4EA8" w:rsidRDefault="009613B4" w:rsidP="008C3907">
            <w:pPr>
              <w:rPr>
                <w:rFonts w:ascii="仿宋_GB2312" w:hAnsi="仿宋_GB2312" w:cs="仿宋_GB2312"/>
                <w:bCs/>
                <w:color w:val="000000"/>
                <w:sz w:val="24"/>
                <w:szCs w:val="24"/>
              </w:rPr>
            </w:pPr>
          </w:p>
        </w:tc>
        <w:tc>
          <w:tcPr>
            <w:tcW w:w="2695" w:type="dxa"/>
            <w:vMerge/>
            <w:vAlign w:val="center"/>
          </w:tcPr>
          <w:p w:rsidR="009613B4" w:rsidRPr="008B4EA8" w:rsidRDefault="009613B4" w:rsidP="008C3907">
            <w:pPr>
              <w:rPr>
                <w:rFonts w:ascii="仿宋_GB2312" w:hAnsi="仿宋_GB2312" w:cs="仿宋_GB2312"/>
                <w:bCs/>
                <w:color w:val="000000"/>
                <w:sz w:val="24"/>
                <w:szCs w:val="24"/>
              </w:rPr>
            </w:pPr>
          </w:p>
        </w:tc>
        <w:tc>
          <w:tcPr>
            <w:tcW w:w="709"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监理工程师的职业道德、法律地位和法律责任；监理工程师注册制度、资质管理制度。</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熟悉</w:t>
            </w:r>
          </w:p>
        </w:tc>
      </w:tr>
      <w:tr w:rsidR="009613B4" w:rsidTr="008C3907">
        <w:trPr>
          <w:trHeight w:hRule="exact" w:val="715"/>
        </w:trPr>
        <w:tc>
          <w:tcPr>
            <w:tcW w:w="532" w:type="dxa"/>
            <w:vMerge/>
            <w:vAlign w:val="center"/>
          </w:tcPr>
          <w:p w:rsidR="009613B4" w:rsidRPr="008B4EA8" w:rsidRDefault="009613B4" w:rsidP="008C3907">
            <w:pPr>
              <w:rPr>
                <w:rFonts w:ascii="仿宋_GB2312" w:hAnsi="仿宋_GB2312" w:cs="仿宋_GB2312"/>
                <w:bCs/>
                <w:color w:val="000000"/>
                <w:sz w:val="24"/>
                <w:szCs w:val="24"/>
              </w:rPr>
            </w:pPr>
          </w:p>
        </w:tc>
        <w:tc>
          <w:tcPr>
            <w:tcW w:w="2695" w:type="dxa"/>
            <w:vMerge/>
            <w:vAlign w:val="center"/>
          </w:tcPr>
          <w:p w:rsidR="009613B4" w:rsidRPr="008B4EA8" w:rsidRDefault="009613B4" w:rsidP="008C3907">
            <w:pPr>
              <w:rPr>
                <w:rFonts w:ascii="仿宋_GB2312" w:hAnsi="仿宋_GB2312" w:cs="仿宋_GB2312"/>
                <w:bCs/>
                <w:color w:val="000000"/>
                <w:sz w:val="24"/>
                <w:szCs w:val="24"/>
              </w:rPr>
            </w:pPr>
          </w:p>
        </w:tc>
        <w:tc>
          <w:tcPr>
            <w:tcW w:w="709"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监理工程师的概念和素质；工程监理企业经营活动基本准则。</w:t>
            </w:r>
          </w:p>
          <w:p w:rsidR="009613B4" w:rsidRPr="008B4EA8" w:rsidRDefault="009613B4" w:rsidP="008C3907">
            <w:pPr>
              <w:spacing w:line="320" w:lineRule="exact"/>
              <w:jc w:val="center"/>
              <w:rPr>
                <w:rFonts w:ascii="仿宋_GB2312" w:hAnsi="仿宋_GB2312" w:cs="仿宋_GB2312"/>
                <w:bCs/>
                <w:color w:val="000000"/>
                <w:sz w:val="24"/>
                <w:szCs w:val="24"/>
              </w:rPr>
            </w:pP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bCs/>
                <w:color w:val="000000"/>
                <w:sz w:val="24"/>
                <w:szCs w:val="24"/>
              </w:rPr>
              <w:t>掌握</w:t>
            </w:r>
          </w:p>
        </w:tc>
      </w:tr>
      <w:tr w:rsidR="009613B4" w:rsidTr="008C3907">
        <w:trPr>
          <w:trHeight w:hRule="exact" w:val="454"/>
        </w:trPr>
        <w:tc>
          <w:tcPr>
            <w:tcW w:w="532" w:type="dxa"/>
            <w:vMerge w:val="restart"/>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3</w:t>
            </w:r>
          </w:p>
        </w:tc>
        <w:tc>
          <w:tcPr>
            <w:tcW w:w="2695" w:type="dxa"/>
            <w:vMerge w:val="restart"/>
            <w:vAlign w:val="center"/>
          </w:tcPr>
          <w:p w:rsidR="009613B4" w:rsidRPr="008B4EA8" w:rsidRDefault="009613B4" w:rsidP="008C3907">
            <w:pPr>
              <w:ind w:firstLineChars="400" w:firstLine="960"/>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第三章</w:t>
            </w:r>
          </w:p>
          <w:p w:rsidR="009613B4" w:rsidRPr="008B4EA8" w:rsidRDefault="009613B4" w:rsidP="008C3907">
            <w:pPr>
              <w:snapToGrid w:val="0"/>
              <w:spacing w:line="360" w:lineRule="auto"/>
              <w:ind w:firstLineChars="100" w:firstLine="240"/>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水工程建设目标控制</w:t>
            </w:r>
          </w:p>
        </w:tc>
        <w:tc>
          <w:tcPr>
            <w:tcW w:w="709" w:type="dxa"/>
            <w:vMerge w:val="restart"/>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bCs/>
                <w:color w:val="000000"/>
                <w:sz w:val="24"/>
                <w:szCs w:val="24"/>
              </w:rPr>
              <w:t>2</w:t>
            </w: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目标的分解；设计和施工阶段的特点。</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了解</w:t>
            </w:r>
          </w:p>
        </w:tc>
      </w:tr>
      <w:tr w:rsidR="009613B4" w:rsidTr="008C3907">
        <w:trPr>
          <w:trHeight w:hRule="exact" w:val="383"/>
        </w:trPr>
        <w:tc>
          <w:tcPr>
            <w:tcW w:w="532"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2695" w:type="dxa"/>
            <w:vMerge/>
            <w:vAlign w:val="center"/>
          </w:tcPr>
          <w:p w:rsidR="009613B4" w:rsidRPr="008B4EA8" w:rsidRDefault="009613B4" w:rsidP="008C3907">
            <w:pPr>
              <w:rPr>
                <w:rFonts w:ascii="仿宋_GB2312" w:hAnsi="仿宋_GB2312" w:cs="仿宋_GB2312"/>
                <w:bCs/>
                <w:color w:val="000000"/>
                <w:sz w:val="24"/>
                <w:szCs w:val="24"/>
              </w:rPr>
            </w:pPr>
          </w:p>
        </w:tc>
        <w:tc>
          <w:tcPr>
            <w:tcW w:w="709"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控制程度及其基本环节；目标控制的任务的措施。</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熟悉</w:t>
            </w:r>
          </w:p>
        </w:tc>
      </w:tr>
      <w:tr w:rsidR="009613B4" w:rsidTr="008C3907">
        <w:trPr>
          <w:trHeight w:hRule="exact" w:val="845"/>
        </w:trPr>
        <w:tc>
          <w:tcPr>
            <w:tcW w:w="532"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2695" w:type="dxa"/>
            <w:vMerge/>
            <w:vAlign w:val="center"/>
          </w:tcPr>
          <w:p w:rsidR="009613B4" w:rsidRPr="008B4EA8" w:rsidRDefault="009613B4" w:rsidP="008C3907">
            <w:pPr>
              <w:rPr>
                <w:rFonts w:ascii="仿宋_GB2312" w:hAnsi="仿宋_GB2312" w:cs="仿宋_GB2312"/>
                <w:bCs/>
                <w:color w:val="000000"/>
                <w:sz w:val="24"/>
                <w:szCs w:val="24"/>
              </w:rPr>
            </w:pPr>
          </w:p>
        </w:tc>
        <w:tc>
          <w:tcPr>
            <w:tcW w:w="709"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控制类型；建设工程质量、投资、进度控制的含义；三大目标之间的关系。</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bCs/>
                <w:color w:val="000000"/>
                <w:sz w:val="24"/>
                <w:szCs w:val="24"/>
              </w:rPr>
              <w:t>掌握</w:t>
            </w:r>
          </w:p>
        </w:tc>
      </w:tr>
      <w:tr w:rsidR="009613B4" w:rsidTr="008C3907">
        <w:trPr>
          <w:trHeight w:hRule="exact" w:val="454"/>
        </w:trPr>
        <w:tc>
          <w:tcPr>
            <w:tcW w:w="532" w:type="dxa"/>
            <w:vMerge w:val="restart"/>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4</w:t>
            </w:r>
          </w:p>
        </w:tc>
        <w:tc>
          <w:tcPr>
            <w:tcW w:w="2695" w:type="dxa"/>
            <w:vMerge w:val="restart"/>
            <w:vAlign w:val="center"/>
          </w:tcPr>
          <w:p w:rsidR="009613B4" w:rsidRPr="008B4EA8" w:rsidRDefault="009613B4" w:rsidP="008C3907">
            <w:pPr>
              <w:ind w:firstLineChars="400" w:firstLine="960"/>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第四章</w:t>
            </w:r>
          </w:p>
          <w:p w:rsidR="009613B4" w:rsidRPr="008B4EA8" w:rsidRDefault="009613B4" w:rsidP="008C3907">
            <w:pPr>
              <w:ind w:firstLineChars="100" w:firstLine="240"/>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水工程建设风险管理</w:t>
            </w:r>
          </w:p>
        </w:tc>
        <w:tc>
          <w:tcPr>
            <w:tcW w:w="709" w:type="dxa"/>
            <w:vMerge w:val="restart"/>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bCs/>
                <w:color w:val="000000"/>
                <w:sz w:val="24"/>
                <w:szCs w:val="24"/>
              </w:rPr>
              <w:t>2</w:t>
            </w: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风险的定义；风险的分类；风险概率的衡量。</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了解</w:t>
            </w:r>
          </w:p>
        </w:tc>
      </w:tr>
      <w:tr w:rsidR="009613B4" w:rsidTr="008C3907">
        <w:trPr>
          <w:trHeight w:hRule="exact" w:val="832"/>
        </w:trPr>
        <w:tc>
          <w:tcPr>
            <w:tcW w:w="532"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2695" w:type="dxa"/>
            <w:vMerge/>
            <w:vAlign w:val="center"/>
          </w:tcPr>
          <w:p w:rsidR="009613B4" w:rsidRPr="008B4EA8" w:rsidRDefault="009613B4" w:rsidP="008C3907">
            <w:pPr>
              <w:rPr>
                <w:rFonts w:ascii="仿宋_GB2312" w:hAnsi="仿宋_GB2312" w:cs="仿宋_GB2312"/>
                <w:bCs/>
                <w:color w:val="000000"/>
                <w:sz w:val="24"/>
                <w:szCs w:val="24"/>
              </w:rPr>
            </w:pPr>
          </w:p>
        </w:tc>
        <w:tc>
          <w:tcPr>
            <w:tcW w:w="709"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建设工程风险管理概念；建设工程风险的分解；风险识别的方法；风险损失的衡量；风险转移。</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熟悉</w:t>
            </w:r>
          </w:p>
        </w:tc>
      </w:tr>
      <w:tr w:rsidR="009613B4" w:rsidTr="008C3907">
        <w:trPr>
          <w:trHeight w:hRule="exact" w:val="702"/>
        </w:trPr>
        <w:tc>
          <w:tcPr>
            <w:tcW w:w="532" w:type="dxa"/>
            <w:vMerge w:val="restart"/>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5</w:t>
            </w:r>
          </w:p>
        </w:tc>
        <w:tc>
          <w:tcPr>
            <w:tcW w:w="2695" w:type="dxa"/>
            <w:vMerge w:val="restart"/>
            <w:vAlign w:val="center"/>
          </w:tcPr>
          <w:p w:rsidR="009613B4" w:rsidRPr="008B4EA8" w:rsidRDefault="009613B4" w:rsidP="008C3907">
            <w:pPr>
              <w:ind w:firstLineChars="400" w:firstLine="960"/>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第五章</w:t>
            </w:r>
          </w:p>
          <w:p w:rsidR="009613B4" w:rsidRPr="008B4EA8" w:rsidRDefault="009613B4" w:rsidP="008C3907">
            <w:pPr>
              <w:ind w:firstLineChars="100" w:firstLine="240"/>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水工程建设监理的组织</w:t>
            </w:r>
          </w:p>
        </w:tc>
        <w:tc>
          <w:tcPr>
            <w:tcW w:w="709" w:type="dxa"/>
            <w:vMerge w:val="restart"/>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bCs/>
                <w:color w:val="000000"/>
                <w:sz w:val="24"/>
                <w:szCs w:val="24"/>
              </w:rPr>
              <w:t>4</w:t>
            </w: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组织和组织结构；组织设计；项目总承包管理模式；组织协调概念、原则、范围及层次。</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了解</w:t>
            </w:r>
          </w:p>
        </w:tc>
      </w:tr>
      <w:tr w:rsidR="009613B4" w:rsidTr="008C3907">
        <w:trPr>
          <w:trHeight w:hRule="exact" w:val="719"/>
        </w:trPr>
        <w:tc>
          <w:tcPr>
            <w:tcW w:w="532"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2695" w:type="dxa"/>
            <w:vMerge/>
            <w:vAlign w:val="center"/>
          </w:tcPr>
          <w:p w:rsidR="009613B4" w:rsidRPr="008B4EA8" w:rsidRDefault="009613B4" w:rsidP="008C3907">
            <w:pPr>
              <w:rPr>
                <w:rFonts w:ascii="仿宋_GB2312" w:hAnsi="仿宋_GB2312" w:cs="仿宋_GB2312"/>
                <w:bCs/>
                <w:color w:val="000000"/>
                <w:sz w:val="24"/>
                <w:szCs w:val="24"/>
              </w:rPr>
            </w:pPr>
          </w:p>
        </w:tc>
        <w:tc>
          <w:tcPr>
            <w:tcW w:w="709"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 xml:space="preserve">组织机构活动基本原理；组织协调的工作内容；组织协调的方法。 </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熟悉</w:t>
            </w:r>
          </w:p>
        </w:tc>
      </w:tr>
      <w:tr w:rsidR="009613B4" w:rsidTr="008C3907">
        <w:trPr>
          <w:trHeight w:hRule="exact" w:val="998"/>
        </w:trPr>
        <w:tc>
          <w:tcPr>
            <w:tcW w:w="532"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2695" w:type="dxa"/>
            <w:vMerge/>
            <w:vAlign w:val="center"/>
          </w:tcPr>
          <w:p w:rsidR="009613B4" w:rsidRPr="008B4EA8" w:rsidRDefault="009613B4" w:rsidP="008C3907">
            <w:pPr>
              <w:rPr>
                <w:rFonts w:ascii="仿宋_GB2312" w:hAnsi="仿宋_GB2312" w:cs="仿宋_GB2312"/>
                <w:bCs/>
                <w:color w:val="000000"/>
                <w:sz w:val="24"/>
                <w:szCs w:val="24"/>
              </w:rPr>
            </w:pPr>
          </w:p>
        </w:tc>
        <w:tc>
          <w:tcPr>
            <w:tcW w:w="709"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监理模式；监理实施程序、原则；建立项目监理机构的步骤；项目监理机构的组织形式、人员配备及职责分工。</w:t>
            </w:r>
          </w:p>
          <w:p w:rsidR="009613B4" w:rsidRPr="008B4EA8" w:rsidRDefault="009613B4" w:rsidP="008C3907">
            <w:pPr>
              <w:spacing w:line="320" w:lineRule="exact"/>
              <w:rPr>
                <w:rFonts w:ascii="仿宋_GB2312" w:hAnsi="仿宋_GB2312" w:cs="仿宋_GB2312"/>
                <w:bCs/>
                <w:color w:val="000000"/>
                <w:sz w:val="24"/>
                <w:szCs w:val="24"/>
              </w:rPr>
            </w:pP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bCs/>
                <w:color w:val="000000"/>
                <w:sz w:val="24"/>
                <w:szCs w:val="24"/>
              </w:rPr>
              <w:t>掌握</w:t>
            </w:r>
          </w:p>
        </w:tc>
      </w:tr>
      <w:tr w:rsidR="009613B4" w:rsidTr="008C3907">
        <w:trPr>
          <w:trHeight w:hRule="exact" w:val="445"/>
        </w:trPr>
        <w:tc>
          <w:tcPr>
            <w:tcW w:w="532" w:type="dxa"/>
            <w:vMerge w:val="restart"/>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6</w:t>
            </w:r>
          </w:p>
        </w:tc>
        <w:tc>
          <w:tcPr>
            <w:tcW w:w="2695" w:type="dxa"/>
            <w:vMerge w:val="restart"/>
            <w:vAlign w:val="center"/>
          </w:tcPr>
          <w:p w:rsidR="009613B4" w:rsidRPr="008B4EA8" w:rsidRDefault="009613B4" w:rsidP="008C3907">
            <w:pPr>
              <w:ind w:firstLineChars="400" w:firstLine="960"/>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第六章</w:t>
            </w:r>
          </w:p>
          <w:p w:rsidR="009613B4" w:rsidRPr="008B4EA8" w:rsidRDefault="009613B4" w:rsidP="008C3907">
            <w:pPr>
              <w:ind w:firstLineChars="200" w:firstLine="480"/>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水工程建设监理规划</w:t>
            </w:r>
          </w:p>
        </w:tc>
        <w:tc>
          <w:tcPr>
            <w:tcW w:w="709" w:type="dxa"/>
            <w:vMerge w:val="restart"/>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2</w:t>
            </w: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监理规划编写的依据</w:t>
            </w:r>
          </w:p>
          <w:p w:rsidR="009613B4" w:rsidRPr="008B4EA8" w:rsidRDefault="009613B4" w:rsidP="008C3907">
            <w:pPr>
              <w:spacing w:line="320" w:lineRule="exact"/>
              <w:jc w:val="center"/>
              <w:rPr>
                <w:rFonts w:ascii="仿宋_GB2312" w:hAnsi="仿宋_GB2312" w:cs="仿宋_GB2312"/>
                <w:bCs/>
                <w:color w:val="000000"/>
                <w:sz w:val="24"/>
                <w:szCs w:val="24"/>
              </w:rPr>
            </w:pP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了解</w:t>
            </w:r>
          </w:p>
        </w:tc>
      </w:tr>
      <w:tr w:rsidR="009613B4" w:rsidTr="008C3907">
        <w:trPr>
          <w:trHeight w:hRule="exact" w:val="409"/>
        </w:trPr>
        <w:tc>
          <w:tcPr>
            <w:tcW w:w="532"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2695" w:type="dxa"/>
            <w:vMerge/>
            <w:vAlign w:val="center"/>
          </w:tcPr>
          <w:p w:rsidR="009613B4" w:rsidRPr="008B4EA8" w:rsidRDefault="009613B4" w:rsidP="008C3907">
            <w:pPr>
              <w:ind w:firstLineChars="200" w:firstLine="480"/>
              <w:rPr>
                <w:rFonts w:ascii="仿宋_GB2312" w:hAnsi="仿宋_GB2312" w:cs="仿宋_GB2312"/>
                <w:bCs/>
                <w:color w:val="000000"/>
                <w:sz w:val="24"/>
                <w:szCs w:val="24"/>
              </w:rPr>
            </w:pPr>
          </w:p>
        </w:tc>
        <w:tc>
          <w:tcPr>
            <w:tcW w:w="709"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监理工作文件的构成，监理规划的审核。</w:t>
            </w:r>
          </w:p>
          <w:p w:rsidR="009613B4" w:rsidRPr="008B4EA8" w:rsidRDefault="009613B4" w:rsidP="008C3907">
            <w:pPr>
              <w:spacing w:line="320" w:lineRule="exact"/>
              <w:jc w:val="center"/>
              <w:rPr>
                <w:rFonts w:ascii="仿宋_GB2312" w:hAnsi="仿宋_GB2312" w:cs="仿宋_GB2312"/>
                <w:bCs/>
                <w:color w:val="000000"/>
                <w:sz w:val="24"/>
                <w:szCs w:val="24"/>
              </w:rPr>
            </w:pP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熟悉</w:t>
            </w:r>
          </w:p>
        </w:tc>
      </w:tr>
      <w:tr w:rsidR="009613B4" w:rsidTr="008C3907">
        <w:trPr>
          <w:trHeight w:hRule="exact" w:val="799"/>
        </w:trPr>
        <w:tc>
          <w:tcPr>
            <w:tcW w:w="532"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2695" w:type="dxa"/>
            <w:vMerge/>
            <w:vAlign w:val="center"/>
          </w:tcPr>
          <w:p w:rsidR="009613B4" w:rsidRPr="008B4EA8" w:rsidRDefault="009613B4" w:rsidP="008C3907">
            <w:pPr>
              <w:ind w:firstLineChars="200" w:firstLine="480"/>
              <w:rPr>
                <w:rFonts w:ascii="仿宋_GB2312" w:hAnsi="仿宋_GB2312" w:cs="仿宋_GB2312"/>
                <w:bCs/>
                <w:color w:val="000000"/>
                <w:sz w:val="24"/>
                <w:szCs w:val="24"/>
              </w:rPr>
            </w:pPr>
          </w:p>
        </w:tc>
        <w:tc>
          <w:tcPr>
            <w:tcW w:w="709" w:type="dxa"/>
            <w:vMerge/>
            <w:vAlign w:val="center"/>
          </w:tcPr>
          <w:p w:rsidR="009613B4" w:rsidRPr="008B4EA8" w:rsidRDefault="009613B4" w:rsidP="008C3907">
            <w:pPr>
              <w:jc w:val="center"/>
              <w:rPr>
                <w:rFonts w:ascii="仿宋_GB2312" w:hAnsi="仿宋_GB2312" w:cs="仿宋_GB2312"/>
                <w:bCs/>
                <w:color w:val="000000"/>
                <w:sz w:val="24"/>
                <w:szCs w:val="24"/>
              </w:rPr>
            </w:pPr>
          </w:p>
        </w:tc>
        <w:tc>
          <w:tcPr>
            <w:tcW w:w="4677" w:type="dxa"/>
            <w:vAlign w:val="center"/>
          </w:tcPr>
          <w:p w:rsidR="009613B4" w:rsidRPr="008B4EA8" w:rsidRDefault="009613B4" w:rsidP="008C3907">
            <w:pPr>
              <w:spacing w:line="320" w:lineRule="exact"/>
              <w:rPr>
                <w:rFonts w:ascii="仿宋_GB2312" w:hAnsi="仿宋_GB2312" w:cs="仿宋_GB2312"/>
                <w:bCs/>
                <w:color w:val="000000"/>
                <w:sz w:val="24"/>
                <w:szCs w:val="24"/>
              </w:rPr>
            </w:pPr>
            <w:r w:rsidRPr="008B4EA8">
              <w:rPr>
                <w:rFonts w:ascii="仿宋_GB2312" w:hAnsi="仿宋_GB2312" w:cs="仿宋_GB2312" w:hint="eastAsia"/>
                <w:bCs/>
                <w:color w:val="000000"/>
                <w:sz w:val="24"/>
                <w:szCs w:val="24"/>
              </w:rPr>
              <w:t>监理规划的作用；监理规划编写的要求；监理规划的内容。</w:t>
            </w:r>
          </w:p>
        </w:tc>
        <w:tc>
          <w:tcPr>
            <w:tcW w:w="851" w:type="dxa"/>
            <w:vAlign w:val="center"/>
          </w:tcPr>
          <w:p w:rsidR="009613B4" w:rsidRPr="008B4EA8" w:rsidRDefault="009613B4" w:rsidP="008C3907">
            <w:pPr>
              <w:jc w:val="center"/>
              <w:rPr>
                <w:rFonts w:ascii="仿宋_GB2312" w:hAnsi="仿宋_GB2312" w:cs="仿宋_GB2312"/>
                <w:bCs/>
                <w:color w:val="000000"/>
                <w:sz w:val="24"/>
                <w:szCs w:val="24"/>
              </w:rPr>
            </w:pPr>
            <w:r w:rsidRPr="008B4EA8">
              <w:rPr>
                <w:rFonts w:ascii="仿宋_GB2312" w:hAnsi="仿宋_GB2312" w:cs="仿宋_GB2312"/>
                <w:bCs/>
                <w:color w:val="000000"/>
                <w:sz w:val="24"/>
                <w:szCs w:val="24"/>
              </w:rPr>
              <w:t>掌握</w:t>
            </w:r>
          </w:p>
        </w:tc>
      </w:tr>
    </w:tbl>
    <w:p w:rsidR="009613B4" w:rsidRDefault="009613B4" w:rsidP="009613B4">
      <w:pPr>
        <w:spacing w:beforeLines="50" w:before="156" w:afterLines="50" w:after="156" w:line="560" w:lineRule="exact"/>
        <w:rPr>
          <w:rFonts w:ascii="黑体" w:eastAsia="黑体" w:hAnsi="黑体"/>
          <w:b/>
          <w:color w:val="000000"/>
          <w:sz w:val="28"/>
          <w:szCs w:val="28"/>
        </w:rPr>
      </w:pPr>
      <w:r>
        <w:rPr>
          <w:rFonts w:ascii="黑体" w:eastAsia="黑体" w:hAnsi="黑体" w:hint="eastAsia"/>
          <w:b/>
          <w:color w:val="000000"/>
          <w:sz w:val="28"/>
          <w:szCs w:val="28"/>
        </w:rPr>
        <w:t>五、课程考核方式与成绩评定</w:t>
      </w:r>
    </w:p>
    <w:p w:rsidR="009613B4" w:rsidRDefault="009613B4" w:rsidP="009613B4">
      <w:pPr>
        <w:spacing w:line="560" w:lineRule="exact"/>
        <w:ind w:firstLineChars="200" w:firstLine="560"/>
        <w:rPr>
          <w:rFonts w:ascii="仿宋_GB2312" w:hAnsi="仿宋_GB2312" w:cs="仿宋_GB2312"/>
          <w:color w:val="000000"/>
          <w:sz w:val="28"/>
          <w:szCs w:val="28"/>
        </w:rPr>
      </w:pPr>
      <w:r>
        <w:rPr>
          <w:rFonts w:ascii="仿宋_GB2312" w:hAnsi="仿宋_GB2312" w:cs="仿宋_GB2312" w:hint="eastAsia"/>
          <w:color w:val="000000"/>
          <w:sz w:val="28"/>
          <w:szCs w:val="28"/>
        </w:rPr>
        <w:t>1. 课程考核</w:t>
      </w:r>
    </w:p>
    <w:p w:rsidR="009613B4" w:rsidRDefault="009613B4" w:rsidP="009613B4">
      <w:pPr>
        <w:spacing w:line="560" w:lineRule="exact"/>
        <w:ind w:firstLineChars="200" w:firstLine="560"/>
        <w:rPr>
          <w:rFonts w:ascii="仿宋_GB2312" w:hAnsi="仿宋_GB2312" w:cs="仿宋_GB2312"/>
          <w:color w:val="000000"/>
          <w:sz w:val="28"/>
          <w:szCs w:val="28"/>
        </w:rPr>
      </w:pPr>
      <w:r>
        <w:rPr>
          <w:rFonts w:ascii="仿宋_GB2312" w:hAnsi="仿宋_GB2312" w:cs="仿宋_GB2312" w:hint="eastAsia"/>
          <w:color w:val="000000"/>
          <w:sz w:val="28"/>
          <w:szCs w:val="28"/>
        </w:rPr>
        <w:t>本课程考核方式</w:t>
      </w:r>
      <w:r>
        <w:rPr>
          <w:rFonts w:ascii="仿宋_GB2312" w:hAnsi="仿宋_GB2312" w:cs="仿宋_GB2312"/>
          <w:color w:val="000000"/>
          <w:sz w:val="28"/>
          <w:szCs w:val="28"/>
        </w:rPr>
        <w:t>为</w:t>
      </w:r>
      <w:r>
        <w:rPr>
          <w:rFonts w:ascii="仿宋_GB2312" w:hAnsi="仿宋_GB2312" w:cs="仿宋_GB2312" w:hint="eastAsia"/>
          <w:color w:val="000000"/>
          <w:sz w:val="28"/>
          <w:szCs w:val="28"/>
        </w:rPr>
        <w:t>考试。</w:t>
      </w:r>
    </w:p>
    <w:p w:rsidR="009613B4" w:rsidRDefault="009613B4" w:rsidP="005F6318">
      <w:pPr>
        <w:numPr>
          <w:ilvl w:val="0"/>
          <w:numId w:val="2"/>
        </w:numPr>
        <w:spacing w:line="560" w:lineRule="exact"/>
        <w:ind w:firstLineChars="200" w:firstLine="560"/>
        <w:rPr>
          <w:rFonts w:ascii="仿宋_GB2312" w:hAnsi="仿宋_GB2312" w:cs="仿宋_GB2312"/>
          <w:color w:val="000000"/>
          <w:sz w:val="28"/>
          <w:szCs w:val="28"/>
        </w:rPr>
      </w:pPr>
      <w:r>
        <w:rPr>
          <w:rFonts w:ascii="仿宋_GB2312" w:hAnsi="仿宋_GB2312" w:cs="仿宋_GB2312" w:hint="eastAsia"/>
          <w:color w:val="000000"/>
          <w:sz w:val="28"/>
          <w:szCs w:val="28"/>
        </w:rPr>
        <w:t>成绩评定</w:t>
      </w:r>
    </w:p>
    <w:p w:rsidR="009613B4" w:rsidRDefault="009613B4" w:rsidP="009613B4">
      <w:pPr>
        <w:spacing w:line="560" w:lineRule="exact"/>
        <w:ind w:left="560"/>
        <w:rPr>
          <w:rFonts w:ascii="仿宋_GB2312" w:hAnsi="仿宋_GB2312" w:cs="仿宋_GB2312"/>
          <w:color w:val="000000"/>
          <w:sz w:val="28"/>
          <w:szCs w:val="28"/>
        </w:rPr>
      </w:pPr>
      <w:r>
        <w:rPr>
          <w:rFonts w:ascii="仿宋_GB2312" w:hAnsi="仿宋_GB2312" w:cs="仿宋_GB2312" w:hint="eastAsia"/>
          <w:color w:val="000000"/>
          <w:sz w:val="28"/>
          <w:szCs w:val="28"/>
        </w:rPr>
        <w:t>成绩评定方式</w:t>
      </w:r>
      <w:r>
        <w:rPr>
          <w:rFonts w:ascii="仿宋_GB2312" w:hAnsi="仿宋_GB2312" w:cs="仿宋_GB2312"/>
          <w:color w:val="000000"/>
          <w:sz w:val="28"/>
          <w:szCs w:val="28"/>
        </w:rPr>
        <w:t>采用百分</w:t>
      </w:r>
      <w:r>
        <w:rPr>
          <w:rFonts w:ascii="仿宋_GB2312" w:hAnsi="仿宋_GB2312" w:cs="仿宋_GB2312" w:hint="eastAsia"/>
          <w:color w:val="000000"/>
          <w:sz w:val="28"/>
          <w:szCs w:val="28"/>
        </w:rPr>
        <w:t>制</w:t>
      </w:r>
      <w:r>
        <w:rPr>
          <w:rFonts w:ascii="仿宋_GB2312" w:hAnsi="仿宋_GB2312" w:cs="仿宋_GB2312"/>
          <w:color w:val="000000"/>
          <w:sz w:val="28"/>
          <w:szCs w:val="28"/>
        </w:rPr>
        <w:t>。</w:t>
      </w:r>
    </w:p>
    <w:p w:rsidR="009613B4" w:rsidRDefault="009613B4" w:rsidP="009613B4">
      <w:pPr>
        <w:spacing w:line="360" w:lineRule="auto"/>
        <w:ind w:firstLineChars="200" w:firstLine="560"/>
        <w:jc w:val="left"/>
        <w:rPr>
          <w:rFonts w:ascii="仿宋_GB2312" w:hAnsi="仿宋_GB2312" w:cs="仿宋_GB2312"/>
          <w:color w:val="000000"/>
          <w:sz w:val="28"/>
          <w:szCs w:val="28"/>
        </w:rPr>
      </w:pPr>
      <w:r>
        <w:rPr>
          <w:rFonts w:ascii="仿宋_GB2312" w:hAnsi="仿宋_GB2312" w:cs="仿宋_GB2312" w:hint="eastAsia"/>
          <w:color w:val="000000"/>
          <w:sz w:val="28"/>
          <w:szCs w:val="28"/>
        </w:rPr>
        <w:t>本课程不设课外学时，但本课程涉及知识面较广，对工程制图、土建工程基础、泵与泵站、给水排水管网系统、生产实习要求较高，建议学生复习已学知识，并在学习过程中联系、理解、运用，通过案例分析、企业教师答疑来巩固提高。采用平时成绩+期末考试方式确定总评成绩。其中平时成绩考核包括作业、讨论、出勤</w:t>
      </w:r>
      <w:r>
        <w:rPr>
          <w:rFonts w:ascii="仿宋_GB2312" w:hAnsi="仿宋_GB2312" w:cs="仿宋_GB2312" w:hint="eastAsia"/>
          <w:color w:val="000000"/>
          <w:sz w:val="28"/>
          <w:szCs w:val="28"/>
        </w:rPr>
        <w:lastRenderedPageBreak/>
        <w:t>等内容，期末考试采用闭卷方式。平时成绩占50%，期末考试成绩占</w:t>
      </w:r>
      <w:r>
        <w:rPr>
          <w:rFonts w:ascii="仿宋_GB2312" w:hAnsi="仿宋_GB2312" w:cs="仿宋_GB2312"/>
          <w:color w:val="000000"/>
          <w:sz w:val="28"/>
          <w:szCs w:val="28"/>
        </w:rPr>
        <w:t>5</w:t>
      </w:r>
      <w:r>
        <w:rPr>
          <w:rFonts w:ascii="仿宋_GB2312" w:hAnsi="仿宋_GB2312" w:cs="仿宋_GB2312" w:hint="eastAsia"/>
          <w:color w:val="000000"/>
          <w:sz w:val="28"/>
          <w:szCs w:val="28"/>
        </w:rPr>
        <w:t>0%。</w:t>
      </w:r>
    </w:p>
    <w:p w:rsidR="009613B4" w:rsidRDefault="009613B4" w:rsidP="009613B4">
      <w:pPr>
        <w:spacing w:beforeLines="50" w:before="156" w:afterLines="50" w:after="156" w:line="560" w:lineRule="exact"/>
        <w:rPr>
          <w:rFonts w:ascii="黑体" w:eastAsia="黑体" w:hAnsi="黑体"/>
          <w:b/>
          <w:color w:val="000000"/>
          <w:sz w:val="28"/>
          <w:szCs w:val="28"/>
        </w:rPr>
      </w:pPr>
      <w:r>
        <w:rPr>
          <w:rFonts w:ascii="黑体" w:eastAsia="黑体" w:hAnsi="黑体" w:hint="eastAsia"/>
          <w:b/>
          <w:color w:val="000000"/>
          <w:sz w:val="28"/>
          <w:szCs w:val="28"/>
        </w:rPr>
        <w:t>六、课程建议教材及主要参考资料</w:t>
      </w:r>
    </w:p>
    <w:p w:rsidR="009613B4" w:rsidRDefault="009613B4" w:rsidP="009613B4">
      <w:pPr>
        <w:spacing w:beforeLines="50" w:before="156" w:afterLines="50" w:after="156" w:line="560" w:lineRule="exact"/>
        <w:ind w:firstLineChars="147" w:firstLine="412"/>
        <w:rPr>
          <w:rFonts w:ascii="仿宋_GB2312" w:hAnsi="仿宋_GB2312" w:cs="仿宋_GB2312"/>
          <w:color w:val="000000"/>
          <w:sz w:val="28"/>
          <w:szCs w:val="28"/>
        </w:rPr>
      </w:pPr>
      <w:r>
        <w:rPr>
          <w:rFonts w:ascii="仿宋_GB2312" w:hAnsi="仿宋_GB2312" w:cs="仿宋_GB2312" w:hint="eastAsia"/>
          <w:color w:val="000000"/>
          <w:sz w:val="28"/>
          <w:szCs w:val="28"/>
        </w:rPr>
        <w:t>1.建议教材</w:t>
      </w:r>
    </w:p>
    <w:p w:rsidR="009613B4" w:rsidRDefault="009613B4" w:rsidP="009613B4">
      <w:pPr>
        <w:spacing w:line="360" w:lineRule="auto"/>
        <w:ind w:firstLineChars="200" w:firstLine="560"/>
        <w:jc w:val="left"/>
        <w:rPr>
          <w:rFonts w:ascii="仿宋_GB2312" w:hAnsi="仿宋_GB2312" w:cs="仿宋_GB2312"/>
          <w:color w:val="000000"/>
          <w:sz w:val="28"/>
          <w:szCs w:val="28"/>
        </w:rPr>
      </w:pPr>
      <w:r>
        <w:rPr>
          <w:rFonts w:ascii="仿宋_GB2312" w:hAnsi="仿宋_GB2312" w:cs="仿宋_GB2312" w:hint="eastAsia"/>
          <w:color w:val="000000"/>
          <w:sz w:val="28"/>
          <w:szCs w:val="28"/>
        </w:rPr>
        <w:t xml:space="preserve">王季震 </w:t>
      </w:r>
      <w:r>
        <w:rPr>
          <w:rFonts w:ascii="仿宋_GB2312" w:hAnsi="仿宋_GB2312" w:cs="仿宋_GB2312"/>
          <w:color w:val="000000"/>
          <w:sz w:val="28"/>
          <w:szCs w:val="28"/>
        </w:rPr>
        <w:t>主编，给水排水工程建设监理(第2版</w:t>
      </w:r>
      <w:r>
        <w:rPr>
          <w:rFonts w:ascii="仿宋_GB2312" w:hAnsi="仿宋_GB2312" w:cs="仿宋_GB2312" w:hint="eastAsia"/>
          <w:color w:val="000000"/>
          <w:sz w:val="28"/>
          <w:szCs w:val="28"/>
        </w:rPr>
        <w:t xml:space="preserve"> </w:t>
      </w:r>
      <w:r>
        <w:rPr>
          <w:rFonts w:ascii="仿宋_GB2312" w:hAnsi="仿宋_GB2312" w:cs="仿宋_GB2312"/>
          <w:color w:val="000000"/>
          <w:sz w:val="28"/>
          <w:szCs w:val="28"/>
        </w:rPr>
        <w:t>普通高等教育土建学科专业十五规划教材高等学校给排水科学与工程学科专业</w:t>
      </w:r>
      <w:r>
        <w:rPr>
          <w:rFonts w:ascii="仿宋_GB2312" w:hAnsi="仿宋_GB2312" w:cs="仿宋_GB2312" w:hint="eastAsia"/>
          <w:color w:val="000000"/>
          <w:sz w:val="28"/>
          <w:szCs w:val="28"/>
        </w:rPr>
        <w:t>推荐教材) 北京：</w:t>
      </w:r>
      <w:r>
        <w:rPr>
          <w:rFonts w:ascii="仿宋_GB2312" w:hAnsi="仿宋_GB2312" w:cs="仿宋_GB2312"/>
          <w:color w:val="000000"/>
          <w:sz w:val="28"/>
          <w:szCs w:val="28"/>
        </w:rPr>
        <w:t>中国建筑工业出版社，</w:t>
      </w:r>
      <w:r>
        <w:rPr>
          <w:rFonts w:ascii="仿宋_GB2312" w:hAnsi="仿宋_GB2312" w:cs="仿宋_GB2312" w:hint="eastAsia"/>
          <w:color w:val="000000"/>
          <w:sz w:val="28"/>
          <w:szCs w:val="28"/>
        </w:rPr>
        <w:t>2</w:t>
      </w:r>
      <w:r>
        <w:rPr>
          <w:rFonts w:ascii="仿宋_GB2312" w:hAnsi="仿宋_GB2312" w:cs="仿宋_GB2312"/>
          <w:color w:val="000000"/>
          <w:sz w:val="28"/>
          <w:szCs w:val="28"/>
        </w:rPr>
        <w:t>019年</w:t>
      </w:r>
      <w:r>
        <w:rPr>
          <w:rFonts w:ascii="仿宋_GB2312" w:hAnsi="仿宋_GB2312" w:cs="仿宋_GB2312" w:hint="eastAsia"/>
          <w:color w:val="000000"/>
          <w:sz w:val="28"/>
          <w:szCs w:val="28"/>
        </w:rPr>
        <w:t>6</w:t>
      </w:r>
      <w:r>
        <w:rPr>
          <w:rFonts w:ascii="仿宋_GB2312" w:hAnsi="仿宋_GB2312" w:cs="仿宋_GB2312"/>
          <w:color w:val="000000"/>
          <w:sz w:val="28"/>
          <w:szCs w:val="28"/>
        </w:rPr>
        <w:t>月。</w:t>
      </w:r>
    </w:p>
    <w:p w:rsidR="009613B4" w:rsidRDefault="009613B4" w:rsidP="009613B4">
      <w:pPr>
        <w:spacing w:beforeLines="50" w:before="156" w:afterLines="50" w:after="156" w:line="560" w:lineRule="exact"/>
        <w:ind w:firstLineChars="147" w:firstLine="412"/>
        <w:rPr>
          <w:rFonts w:ascii="仿宋_GB2312" w:hAnsi="仿宋_GB2312" w:cs="仿宋_GB2312"/>
          <w:color w:val="000000"/>
          <w:sz w:val="28"/>
          <w:szCs w:val="28"/>
        </w:rPr>
      </w:pPr>
      <w:r>
        <w:rPr>
          <w:rFonts w:ascii="仿宋_GB2312" w:hAnsi="仿宋_GB2312" w:cs="仿宋_GB2312" w:hint="eastAsia"/>
          <w:color w:val="000000"/>
          <w:sz w:val="28"/>
          <w:szCs w:val="28"/>
        </w:rPr>
        <w:t>2.主要参考资料</w:t>
      </w:r>
    </w:p>
    <w:p w:rsidR="009613B4" w:rsidRDefault="009613B4" w:rsidP="009613B4">
      <w:pPr>
        <w:spacing w:line="360" w:lineRule="auto"/>
        <w:ind w:firstLineChars="200" w:firstLine="560"/>
        <w:jc w:val="left"/>
        <w:rPr>
          <w:rFonts w:ascii="仿宋_GB2312" w:hAnsi="仿宋_GB2312" w:cs="仿宋_GB2312"/>
          <w:color w:val="000000"/>
          <w:sz w:val="28"/>
          <w:szCs w:val="28"/>
        </w:rPr>
      </w:pPr>
      <w:r>
        <w:rPr>
          <w:rFonts w:ascii="仿宋_GB2312" w:hAnsi="仿宋_GB2312" w:cs="仿宋_GB2312" w:hint="eastAsia"/>
          <w:color w:val="000000"/>
          <w:sz w:val="28"/>
          <w:szCs w:val="28"/>
        </w:rPr>
        <w:t xml:space="preserve">中国建设监理协会组织编写 </w:t>
      </w:r>
      <w:r>
        <w:rPr>
          <w:rFonts w:ascii="仿宋_GB2312" w:hAnsi="仿宋_GB2312" w:cs="仿宋_GB2312"/>
          <w:color w:val="000000"/>
          <w:sz w:val="28"/>
          <w:szCs w:val="28"/>
        </w:rPr>
        <w:t>建设工程监理规范 GB/T 50319-2013 应用指南</w:t>
      </w:r>
      <w:r>
        <w:rPr>
          <w:rFonts w:ascii="仿宋_GB2312" w:hAnsi="仿宋_GB2312" w:cs="仿宋_GB2312" w:hint="eastAsia"/>
          <w:color w:val="000000"/>
          <w:sz w:val="28"/>
          <w:szCs w:val="28"/>
        </w:rPr>
        <w:t>，</w:t>
      </w:r>
      <w:r>
        <w:rPr>
          <w:rFonts w:ascii="仿宋_GB2312" w:hAnsi="仿宋_GB2312" w:cs="仿宋_GB2312"/>
          <w:color w:val="000000"/>
          <w:sz w:val="28"/>
          <w:szCs w:val="28"/>
        </w:rPr>
        <w:t>中国建筑工业出版社; 第1版 2013年7月</w:t>
      </w:r>
      <w:r>
        <w:rPr>
          <w:rFonts w:ascii="仿宋_GB2312" w:hAnsi="仿宋_GB2312" w:cs="仿宋_GB2312" w:hint="eastAsia"/>
          <w:color w:val="000000"/>
          <w:sz w:val="28"/>
          <w:szCs w:val="28"/>
        </w:rPr>
        <w:t>。</w:t>
      </w:r>
    </w:p>
    <w:p w:rsidR="009613B4" w:rsidRDefault="009613B4" w:rsidP="009613B4">
      <w:pPr>
        <w:pStyle w:val="a3"/>
        <w:spacing w:line="560" w:lineRule="exact"/>
        <w:ind w:firstLine="562"/>
        <w:rPr>
          <w:rFonts w:ascii="黑体" w:eastAsia="黑体" w:hAnsi="黑体"/>
          <w:b/>
          <w:color w:val="000000"/>
          <w:sz w:val="28"/>
          <w:szCs w:val="28"/>
        </w:rPr>
      </w:pPr>
      <w:r>
        <w:rPr>
          <w:rFonts w:ascii="黑体" w:eastAsia="黑体" w:hAnsi="黑体" w:hint="eastAsia"/>
          <w:b/>
          <w:color w:val="000000"/>
          <w:sz w:val="28"/>
          <w:szCs w:val="28"/>
        </w:rPr>
        <w:t>七、其他</w:t>
      </w:r>
    </w:p>
    <w:p w:rsidR="009613B4" w:rsidRDefault="009613B4" w:rsidP="009613B4">
      <w:pPr>
        <w:spacing w:line="560" w:lineRule="exact"/>
        <w:ind w:firstLineChars="200" w:firstLine="560"/>
        <w:jc w:val="left"/>
        <w:rPr>
          <w:rFonts w:ascii="仿宋_GB2312" w:hAnsi="仿宋_GB2312" w:cs="仿宋_GB2312"/>
          <w:color w:val="000000"/>
          <w:sz w:val="28"/>
          <w:szCs w:val="28"/>
        </w:rPr>
      </w:pPr>
      <w:r>
        <w:rPr>
          <w:rFonts w:ascii="仿宋_GB2312" w:hAnsi="仿宋_GB2312" w:cs="仿宋_GB2312" w:hint="eastAsia"/>
          <w:color w:val="000000"/>
          <w:sz w:val="28"/>
          <w:szCs w:val="28"/>
        </w:rPr>
        <w:t>无</w:t>
      </w:r>
    </w:p>
    <w:p w:rsidR="009613B4" w:rsidRDefault="009613B4" w:rsidP="009613B4">
      <w:pPr>
        <w:spacing w:beforeLines="50" w:before="156" w:afterLines="50" w:after="156" w:line="460" w:lineRule="exact"/>
        <w:rPr>
          <w:rFonts w:ascii="黑体" w:eastAsia="黑体" w:hAnsi="黑体"/>
          <w:b/>
          <w:color w:val="000000"/>
          <w:sz w:val="28"/>
          <w:szCs w:val="28"/>
        </w:rPr>
      </w:pPr>
    </w:p>
    <w:p w:rsidR="009613B4" w:rsidRDefault="009613B4" w:rsidP="009613B4">
      <w:pPr>
        <w:spacing w:line="360" w:lineRule="auto"/>
        <w:ind w:firstLineChars="1200" w:firstLine="3360"/>
        <w:rPr>
          <w:rFonts w:ascii="仿宋" w:eastAsia="仿宋" w:hAnsi="仿宋"/>
          <w:color w:val="000000"/>
          <w:sz w:val="28"/>
          <w:szCs w:val="28"/>
        </w:rPr>
      </w:pPr>
      <w:r>
        <w:rPr>
          <w:rFonts w:ascii="仿宋" w:eastAsia="仿宋" w:hAnsi="仿宋" w:hint="eastAsia"/>
          <w:color w:val="000000"/>
          <w:sz w:val="28"/>
          <w:szCs w:val="28"/>
        </w:rPr>
        <w:t>大纲撰写人：王彤</w:t>
      </w:r>
    </w:p>
    <w:p w:rsidR="009613B4" w:rsidRDefault="009613B4" w:rsidP="009613B4">
      <w:pPr>
        <w:spacing w:line="360" w:lineRule="auto"/>
        <w:ind w:firstLineChars="1200" w:firstLine="3360"/>
        <w:rPr>
          <w:rFonts w:ascii="仿宋" w:eastAsia="仿宋" w:hAnsi="仿宋"/>
          <w:color w:val="000000"/>
          <w:sz w:val="28"/>
          <w:szCs w:val="28"/>
        </w:rPr>
      </w:pPr>
      <w:r>
        <w:rPr>
          <w:rFonts w:ascii="仿宋" w:eastAsia="仿宋" w:hAnsi="仿宋" w:hint="eastAsia"/>
          <w:color w:val="000000"/>
          <w:sz w:val="28"/>
          <w:szCs w:val="28"/>
        </w:rPr>
        <w:t>课程负责人：王彤</w:t>
      </w:r>
    </w:p>
    <w:p w:rsidR="009613B4" w:rsidRDefault="009613B4" w:rsidP="009613B4">
      <w:pPr>
        <w:spacing w:line="360" w:lineRule="auto"/>
        <w:ind w:firstLineChars="1200" w:firstLine="3360"/>
        <w:rPr>
          <w:rFonts w:ascii="仿宋" w:eastAsia="仿宋" w:hAnsi="仿宋"/>
          <w:color w:val="000000"/>
          <w:sz w:val="28"/>
          <w:szCs w:val="28"/>
        </w:rPr>
      </w:pPr>
      <w:r>
        <w:rPr>
          <w:rFonts w:ascii="仿宋" w:eastAsia="仿宋" w:hAnsi="仿宋" w:hint="eastAsia"/>
          <w:color w:val="000000"/>
          <w:sz w:val="28"/>
          <w:szCs w:val="28"/>
        </w:rPr>
        <w:t>审核人：杨利伟</w:t>
      </w:r>
    </w:p>
    <w:p w:rsidR="009613B4" w:rsidRDefault="009613B4" w:rsidP="009613B4">
      <w:pPr>
        <w:jc w:val="center"/>
        <w:rPr>
          <w:rFonts w:ascii="仿宋_GB2312"/>
          <w:color w:val="000000"/>
          <w:sz w:val="28"/>
          <w:szCs w:val="28"/>
        </w:rPr>
      </w:pPr>
      <w:r>
        <w:rPr>
          <w:rFonts w:ascii="仿宋" w:eastAsia="仿宋" w:hAnsi="仿宋" w:hint="eastAsia"/>
          <w:color w:val="000000"/>
          <w:sz w:val="28"/>
          <w:szCs w:val="28"/>
        </w:rPr>
        <w:t xml:space="preserve">                  </w:t>
      </w:r>
      <w:r>
        <w:rPr>
          <w:rFonts w:ascii="仿宋_GB2312" w:hAnsi="微软雅黑" w:hint="eastAsia"/>
          <w:color w:val="000000"/>
          <w:sz w:val="28"/>
          <w:szCs w:val="28"/>
        </w:rPr>
        <w:t xml:space="preserve">       </w:t>
      </w:r>
    </w:p>
    <w:p w:rsidR="009613B4" w:rsidRDefault="009613B4" w:rsidP="009613B4">
      <w:pPr>
        <w:ind w:firstLineChars="2000" w:firstLine="5600"/>
        <w:jc w:val="left"/>
        <w:rPr>
          <w:rFonts w:ascii="仿宋" w:hAnsi="仿宋"/>
          <w:color w:val="000000"/>
          <w:sz w:val="28"/>
          <w:szCs w:val="28"/>
        </w:rPr>
      </w:pPr>
      <w:r>
        <w:rPr>
          <w:rFonts w:ascii="仿宋_GB2312" w:hAnsi="微软雅黑" w:hint="eastAsia"/>
          <w:color w:val="000000"/>
          <w:sz w:val="28"/>
          <w:szCs w:val="28"/>
        </w:rPr>
        <w:t xml:space="preserve">    </w:t>
      </w:r>
    </w:p>
    <w:p w:rsidR="009613B4" w:rsidRDefault="009613B4" w:rsidP="009613B4">
      <w:pPr>
        <w:jc w:val="left"/>
        <w:rPr>
          <w:color w:val="000000"/>
        </w:rPr>
      </w:pPr>
      <w:r>
        <w:rPr>
          <w:rFonts w:ascii="仿宋" w:eastAsia="仿宋" w:hAnsi="仿宋" w:hint="eastAsia"/>
          <w:color w:val="000000"/>
          <w:sz w:val="28"/>
          <w:szCs w:val="28"/>
        </w:rPr>
        <w:t xml:space="preserve">                                         </w:t>
      </w:r>
      <w:r>
        <w:rPr>
          <w:rFonts w:ascii="仿宋" w:eastAsia="仿宋" w:hAnsi="仿宋"/>
          <w:color w:val="000000"/>
          <w:sz w:val="28"/>
          <w:szCs w:val="28"/>
        </w:rPr>
        <w:t>2021</w:t>
      </w:r>
      <w:r>
        <w:rPr>
          <w:rFonts w:ascii="仿宋" w:eastAsia="仿宋" w:hAnsi="仿宋" w:hint="eastAsia"/>
          <w:color w:val="000000"/>
          <w:sz w:val="28"/>
          <w:szCs w:val="28"/>
        </w:rPr>
        <w:t xml:space="preserve">年 </w:t>
      </w:r>
      <w:r>
        <w:rPr>
          <w:rFonts w:ascii="仿宋" w:eastAsia="仿宋" w:hAnsi="仿宋"/>
          <w:color w:val="000000"/>
          <w:sz w:val="28"/>
          <w:szCs w:val="28"/>
        </w:rPr>
        <w:t>4</w:t>
      </w:r>
      <w:r>
        <w:rPr>
          <w:rFonts w:ascii="仿宋" w:eastAsia="仿宋" w:hAnsi="仿宋" w:hint="eastAsia"/>
          <w:color w:val="000000"/>
          <w:sz w:val="28"/>
          <w:szCs w:val="28"/>
        </w:rPr>
        <w:t xml:space="preserve"> 月</w:t>
      </w:r>
    </w:p>
    <w:p w:rsidR="009613B4" w:rsidRDefault="009613B4" w:rsidP="009613B4">
      <w:pPr>
        <w:widowControl/>
        <w:spacing w:line="400" w:lineRule="exact"/>
        <w:rPr>
          <w:rFonts w:ascii="黑体" w:eastAsia="黑体" w:hAnsi="黑体" w:cs="宋体"/>
          <w:bCs/>
          <w:color w:val="000000"/>
          <w:kern w:val="0"/>
          <w:szCs w:val="32"/>
        </w:rPr>
      </w:pPr>
    </w:p>
    <w:p w:rsidR="009613B4" w:rsidRDefault="009613B4" w:rsidP="009613B4">
      <w:pPr>
        <w:widowControl/>
        <w:spacing w:line="400" w:lineRule="exact"/>
        <w:rPr>
          <w:rFonts w:ascii="黑体" w:eastAsia="黑体" w:hAnsi="黑体" w:cs="宋体"/>
          <w:bCs/>
          <w:color w:val="000000"/>
          <w:kern w:val="0"/>
          <w:szCs w:val="32"/>
        </w:rPr>
      </w:pPr>
    </w:p>
    <w:p w:rsidR="009613B4" w:rsidRDefault="009613B4" w:rsidP="009613B4">
      <w:pPr>
        <w:widowControl/>
        <w:spacing w:line="400" w:lineRule="exact"/>
        <w:rPr>
          <w:rFonts w:ascii="黑体" w:eastAsia="黑体" w:hAnsi="黑体" w:cs="宋体"/>
          <w:bCs/>
          <w:color w:val="000000"/>
          <w:kern w:val="0"/>
          <w:szCs w:val="32"/>
        </w:rPr>
      </w:pPr>
    </w:p>
    <w:p w:rsidR="009613B4" w:rsidRDefault="009613B4" w:rsidP="009613B4">
      <w:pPr>
        <w:spacing w:line="360" w:lineRule="auto"/>
        <w:ind w:firstLineChars="574" w:firstLine="1837"/>
        <w:rPr>
          <w:rFonts w:ascii="宋体" w:hAnsi="宋体"/>
          <w:b/>
          <w:szCs w:val="32"/>
        </w:rPr>
      </w:pPr>
      <w:r>
        <w:rPr>
          <w:rFonts w:ascii="方正小标宋简体" w:eastAsia="方正小标宋简体" w:hAnsi="宋体" w:hint="eastAsia"/>
          <w:kern w:val="0"/>
          <w:szCs w:val="32"/>
        </w:rPr>
        <w:lastRenderedPageBreak/>
        <w:t>《水处理实验技术》课程教学大纲</w:t>
      </w:r>
    </w:p>
    <w:p w:rsidR="009613B4" w:rsidRDefault="009613B4" w:rsidP="009613B4">
      <w:pPr>
        <w:spacing w:line="360" w:lineRule="auto"/>
        <w:outlineLvl w:val="0"/>
        <w:rPr>
          <w:rFonts w:ascii="黑体" w:eastAsia="黑体" w:hAnsi="黑体" w:cs="仿宋_GB2312"/>
          <w:b/>
          <w:bCs/>
          <w:sz w:val="28"/>
          <w:szCs w:val="28"/>
        </w:rPr>
      </w:pPr>
      <w:r>
        <w:rPr>
          <w:rFonts w:ascii="黑体" w:eastAsia="黑体" w:hAnsi="黑体" w:cs="仿宋_GB2312" w:hint="eastAsia"/>
          <w:b/>
          <w:bCs/>
          <w:sz w:val="28"/>
          <w:szCs w:val="28"/>
        </w:rPr>
        <w:t>一、基本信息</w:t>
      </w:r>
    </w:p>
    <w:p w:rsidR="009613B4" w:rsidRDefault="009613B4" w:rsidP="009613B4">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英文名称：Advanced Water Treatment</w:t>
      </w:r>
    </w:p>
    <w:p w:rsidR="009613B4" w:rsidRDefault="009613B4" w:rsidP="009613B4">
      <w:pPr>
        <w:spacing w:line="560" w:lineRule="exact"/>
        <w:ind w:firstLineChars="157" w:firstLine="440"/>
        <w:rPr>
          <w:rFonts w:ascii="仿宋_GB2312" w:hAnsi="仿宋_GB2312" w:cs="仿宋_GB2312"/>
          <w:bCs/>
          <w:sz w:val="28"/>
          <w:szCs w:val="28"/>
        </w:rPr>
      </w:pPr>
      <w:r>
        <w:rPr>
          <w:rFonts w:ascii="仿宋_GB2312" w:hAnsi="仿宋_GB2312" w:cs="仿宋_GB2312" w:hint="eastAsia"/>
          <w:bCs/>
          <w:sz w:val="28"/>
          <w:szCs w:val="28"/>
        </w:rPr>
        <w:t>课程编码：Z2806330</w:t>
      </w:r>
    </w:p>
    <w:p w:rsidR="009613B4" w:rsidRDefault="009613B4" w:rsidP="009613B4">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授课语言：汉语</w:t>
      </w:r>
    </w:p>
    <w:p w:rsidR="009613B4" w:rsidRDefault="009613B4" w:rsidP="009613B4">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授课方式：线下</w:t>
      </w:r>
    </w:p>
    <w:p w:rsidR="009613B4" w:rsidRDefault="009613B4" w:rsidP="009613B4">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课程类别：专业发展</w:t>
      </w:r>
    </w:p>
    <w:p w:rsidR="009613B4" w:rsidRDefault="009613B4" w:rsidP="009613B4">
      <w:pPr>
        <w:spacing w:line="560" w:lineRule="exact"/>
        <w:ind w:firstLineChars="150" w:firstLine="420"/>
        <w:rPr>
          <w:rFonts w:ascii="仿宋_GB2312" w:hAnsi="仿宋_GB2312" w:cs="仿宋_GB2312"/>
          <w:bCs/>
          <w:sz w:val="28"/>
          <w:szCs w:val="28"/>
        </w:rPr>
      </w:pPr>
      <w:r>
        <w:rPr>
          <w:rFonts w:ascii="仿宋_GB2312" w:hAnsi="仿宋_GB2312" w:cs="仿宋_GB2312"/>
          <w:bCs/>
          <w:sz w:val="28"/>
          <w:szCs w:val="28"/>
        </w:rPr>
        <w:t>课程性质</w:t>
      </w:r>
      <w:r>
        <w:rPr>
          <w:rFonts w:ascii="仿宋_GB2312" w:hAnsi="仿宋_GB2312" w:cs="仿宋_GB2312" w:hint="eastAsia"/>
          <w:bCs/>
          <w:sz w:val="28"/>
          <w:szCs w:val="28"/>
        </w:rPr>
        <w:t>：选修</w:t>
      </w:r>
    </w:p>
    <w:p w:rsidR="009613B4" w:rsidRDefault="009613B4" w:rsidP="009613B4">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学　　分：1</w:t>
      </w:r>
    </w:p>
    <w:p w:rsidR="009613B4" w:rsidRDefault="009613B4" w:rsidP="009613B4">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学    时：16学时（授课16，实验0，上机0，课外0）</w:t>
      </w:r>
    </w:p>
    <w:p w:rsidR="009613B4" w:rsidRDefault="009613B4" w:rsidP="009613B4">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适用对象：给排水科学与工程</w:t>
      </w:r>
    </w:p>
    <w:p w:rsidR="009613B4" w:rsidRDefault="009613B4" w:rsidP="009613B4">
      <w:pPr>
        <w:spacing w:line="560" w:lineRule="exact"/>
        <w:ind w:firstLineChars="152" w:firstLine="426"/>
        <w:rPr>
          <w:rFonts w:ascii="仿宋_GB2312" w:hAnsi="仿宋_GB2312" w:cs="仿宋_GB2312"/>
          <w:bCs/>
          <w:sz w:val="28"/>
          <w:szCs w:val="28"/>
        </w:rPr>
      </w:pPr>
      <w:r>
        <w:rPr>
          <w:rFonts w:ascii="仿宋_GB2312" w:hAnsi="仿宋_GB2312" w:cs="仿宋_GB2312" w:hint="eastAsia"/>
          <w:bCs/>
          <w:sz w:val="28"/>
          <w:szCs w:val="28"/>
        </w:rPr>
        <w:t>先修课程： 无</w:t>
      </w:r>
    </w:p>
    <w:p w:rsidR="009613B4" w:rsidRDefault="009613B4" w:rsidP="009613B4">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开课院系：给排水科学与工程系</w:t>
      </w:r>
    </w:p>
    <w:p w:rsidR="009613B4" w:rsidRDefault="009613B4" w:rsidP="009613B4">
      <w:pPr>
        <w:spacing w:line="560" w:lineRule="exact"/>
        <w:outlineLvl w:val="0"/>
        <w:rPr>
          <w:rFonts w:ascii="黑体" w:eastAsia="黑体" w:hAnsi="黑体" w:cs="仿宋_GB2312"/>
          <w:b/>
          <w:bCs/>
          <w:sz w:val="28"/>
          <w:szCs w:val="28"/>
        </w:rPr>
      </w:pPr>
      <w:r>
        <w:rPr>
          <w:rFonts w:ascii="黑体" w:eastAsia="黑体" w:hAnsi="黑体" w:cs="仿宋_GB2312" w:hint="eastAsia"/>
          <w:b/>
          <w:bCs/>
          <w:sz w:val="28"/>
          <w:szCs w:val="28"/>
        </w:rPr>
        <w:t>二、课程简介</w:t>
      </w:r>
    </w:p>
    <w:p w:rsidR="009613B4" w:rsidRDefault="009613B4" w:rsidP="009613B4">
      <w:pPr>
        <w:autoSpaceDE w:val="0"/>
        <w:autoSpaceDN w:val="0"/>
        <w:spacing w:line="560" w:lineRule="exact"/>
        <w:ind w:firstLineChars="270" w:firstLine="756"/>
        <w:rPr>
          <w:rFonts w:ascii="仿宋_GB2312" w:hAnsi="仿宋_GB2312" w:cs="仿宋_GB2312"/>
          <w:bCs/>
          <w:sz w:val="28"/>
          <w:szCs w:val="28"/>
        </w:rPr>
      </w:pPr>
      <w:r>
        <w:rPr>
          <w:rFonts w:ascii="仿宋_GB2312" w:hAnsi="仿宋_GB2312" w:cs="仿宋_GB2312" w:hint="eastAsia"/>
          <w:bCs/>
          <w:sz w:val="28"/>
          <w:szCs w:val="28"/>
        </w:rPr>
        <w:t>《水处理实验技术》是给水排水工程专业发展课程，是水处理教学的重要组成部分，是培养给水排水工程、环境工程技术人员所必需的课程。通过对实验的观察、分析，加深对水处理基本概念、现象、规律与基本原理的理解；所学知识既直接应用于实际工作，又为水质工程学（1）、水质工程学（2）水质工程学综合性设计性实验等相关课程的学习奠定了基础。加深学生对水处理技术基本原理的理解，培养学生设计和组织水处理实验方案的初步能力，培养学生进行水处理实验的一般技能及使用实验仪器、设备的基本能力；培养学生分析实验数据与处理数据的基本能力。</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lastRenderedPageBreak/>
        <w:t>1. 课程任务</w:t>
      </w:r>
    </w:p>
    <w:p w:rsidR="009613B4" w:rsidRDefault="009613B4" w:rsidP="009613B4">
      <w:pPr>
        <w:autoSpaceDE w:val="0"/>
        <w:autoSpaceDN w:val="0"/>
        <w:spacing w:line="560" w:lineRule="exact"/>
        <w:ind w:firstLineChars="270" w:firstLine="756"/>
        <w:rPr>
          <w:rFonts w:ascii="仿宋_GB2312" w:hAnsi="仿宋_GB2312" w:cs="仿宋_GB2312"/>
          <w:bCs/>
          <w:sz w:val="28"/>
          <w:szCs w:val="28"/>
        </w:rPr>
      </w:pPr>
      <w:r>
        <w:rPr>
          <w:rFonts w:ascii="仿宋_GB2312" w:hAnsi="仿宋_GB2312" w:cs="仿宋_GB2312" w:hint="eastAsia"/>
          <w:bCs/>
          <w:sz w:val="28"/>
          <w:szCs w:val="28"/>
        </w:rPr>
        <w:t>人类的各种活动和自然界的变化都无时不在对水体的水质产生着影响。水质变化的复杂性决定了水污染控制工程永恒的课题是：不断地加强试验研究，掌握污染物的迁移转化规律改进处理设备的能力，以及不断开发新的处理技术。因此，在课堂教学的同时，必须加强试验教学环节。《水处理试验》的目的就是：通过实验操作、实验现象的观察和实验结果的分析，加深学生对基本概念和基本原理的理解，巩固课堂教学中学到的知识；学会常用试验仪器和设备的使用，培养徐学生实际动手能力和解决实际问题的能力；初步掌握《水处理实验技术》的基本方法，掌握收集、分析、归纳实验数据的能力和方法。主要内容还包括：1.实验方案的优化设计；2.实验数据的分析处理；3.给水处理及废水处理主要检测技术。</w:t>
      </w:r>
    </w:p>
    <w:p w:rsidR="009613B4" w:rsidRDefault="009613B4" w:rsidP="009613B4">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w:t>
      </w:r>
      <w:r>
        <w:rPr>
          <w:rFonts w:ascii="仿宋_GB2312" w:hAnsi="仿宋_GB2312" w:cs="仿宋_GB2312"/>
          <w:bCs/>
          <w:sz w:val="28"/>
          <w:szCs w:val="28"/>
        </w:rPr>
        <w:t xml:space="preserve">. </w:t>
      </w:r>
      <w:r>
        <w:rPr>
          <w:rFonts w:ascii="仿宋_GB2312" w:hAnsi="仿宋_GB2312" w:cs="仿宋_GB2312" w:hint="eastAsia"/>
          <w:bCs/>
          <w:sz w:val="28"/>
          <w:szCs w:val="28"/>
        </w:rPr>
        <w:t>课程基本要求：</w:t>
      </w:r>
    </w:p>
    <w:p w:rsidR="009613B4" w:rsidRDefault="009613B4" w:rsidP="009613B4">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2.1课程目标</w:t>
      </w:r>
    </w:p>
    <w:p w:rsidR="009613B4" w:rsidRDefault="009613B4" w:rsidP="009613B4">
      <w:pPr>
        <w:spacing w:line="560" w:lineRule="exact"/>
        <w:ind w:firstLine="567"/>
        <w:rPr>
          <w:rFonts w:ascii="仿宋_GB2312" w:hAnsi="仿宋_GB2312" w:cs="仿宋_GB2312"/>
          <w:bCs/>
          <w:sz w:val="28"/>
          <w:szCs w:val="28"/>
        </w:rPr>
      </w:pPr>
      <w:r>
        <w:rPr>
          <w:rFonts w:ascii="仿宋_GB2312" w:hAnsi="仿宋_GB2312" w:cs="仿宋_GB2312" w:hint="eastAsia"/>
          <w:bCs/>
          <w:sz w:val="28"/>
          <w:szCs w:val="28"/>
        </w:rPr>
        <w:t>知识目标：通过对实验的观察、分析，应力求使学生弄清实验目的、原理、实验仪器、实验步骤，加深对水处理基本概念、现象、规律与基本原理的理解，使学生通过实验，掌握实验方法和实验结论，掌握一般水处理处理实验技能和仪器、设备的使用方法，具有一定的解决实验技术问题的能力；学会设计实验方案和组织实验的方法；学会对实验数据进行测定、分析与处理，从而能得出切合实际的结论；培养实事求是的科学态度和工作作风。</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能力目标：通过对实验的观察、分析，应力求使学生弄清实验目的、原理、实验仪器、实验步骤，加深对水处理基本概念、现象、规律与基本原理的理解，使学生通过实验，掌握实验方法和实验结论。</w:t>
      </w:r>
      <w:r>
        <w:rPr>
          <w:rFonts w:ascii="仿宋_GB2312" w:hAnsi="仿宋_GB2312" w:cs="仿宋_GB2312" w:hint="eastAsia"/>
          <w:bCs/>
          <w:sz w:val="28"/>
          <w:szCs w:val="28"/>
        </w:rPr>
        <w:lastRenderedPageBreak/>
        <w:t>掌握一般水处理处理实验技能和仪器、设备的使用方法，具有一定的解决实验技术问题的能力；学会设计实验方案和组织实验的方法。</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情感态度与价值观目标：建立一丝不苟、刻苦钻研的科研精神；学会对实验数据进行测定、分析与处理，从而能得出切合实际的结论；培养实事求是的科学态度和工作作风；明确自身价值，激发爱国热情。</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489"/>
        <w:gridCol w:w="489"/>
        <w:gridCol w:w="489"/>
        <w:gridCol w:w="489"/>
        <w:gridCol w:w="489"/>
        <w:gridCol w:w="489"/>
        <w:gridCol w:w="489"/>
        <w:gridCol w:w="490"/>
        <w:gridCol w:w="490"/>
        <w:gridCol w:w="509"/>
        <w:gridCol w:w="509"/>
        <w:gridCol w:w="509"/>
      </w:tblGrid>
      <w:tr w:rsidR="009613B4" w:rsidTr="008C3907">
        <w:trPr>
          <w:trHeight w:hRule="exact" w:val="454"/>
          <w:jc w:val="center"/>
        </w:trPr>
        <w:tc>
          <w:tcPr>
            <w:tcW w:w="2743" w:type="dxa"/>
            <w:vMerge w:val="restart"/>
            <w:shd w:val="clear" w:color="auto" w:fill="auto"/>
            <w:vAlign w:val="center"/>
          </w:tcPr>
          <w:p w:rsidR="009613B4" w:rsidRDefault="009613B4" w:rsidP="008C3907">
            <w:pPr>
              <w:spacing w:line="360" w:lineRule="auto"/>
              <w:jc w:val="center"/>
              <w:rPr>
                <w:rFonts w:ascii="仿宋_GB2312" w:hAnsi="仿宋_GB2312" w:cs="仿宋_GB2312"/>
                <w:bCs/>
                <w:sz w:val="28"/>
                <w:szCs w:val="28"/>
              </w:rPr>
            </w:pPr>
            <w:r>
              <w:rPr>
                <w:rFonts w:ascii="仿宋_GB2312" w:hAnsi="仿宋_GB2312" w:cs="仿宋_GB2312" w:hint="eastAsia"/>
                <w:bCs/>
                <w:sz w:val="24"/>
              </w:rPr>
              <w:t>课程目标</w:t>
            </w:r>
          </w:p>
        </w:tc>
        <w:tc>
          <w:tcPr>
            <w:tcW w:w="6233" w:type="dxa"/>
            <w:gridSpan w:val="12"/>
            <w:shd w:val="clear" w:color="auto" w:fill="auto"/>
            <w:vAlign w:val="center"/>
          </w:tcPr>
          <w:p w:rsidR="009613B4" w:rsidRDefault="009613B4" w:rsidP="008C3907">
            <w:pPr>
              <w:jc w:val="center"/>
              <w:rPr>
                <w:rFonts w:ascii="仿宋_GB2312" w:hAnsi="仿宋_GB2312" w:cs="仿宋_GB2312"/>
                <w:bCs/>
                <w:sz w:val="28"/>
                <w:szCs w:val="28"/>
              </w:rPr>
            </w:pPr>
            <w:r>
              <w:rPr>
                <w:rFonts w:ascii="仿宋_GB2312" w:hAnsi="仿宋_GB2312" w:cs="仿宋_GB2312" w:hint="eastAsia"/>
                <w:bCs/>
                <w:sz w:val="24"/>
              </w:rPr>
              <w:t>毕业要求</w:t>
            </w:r>
          </w:p>
        </w:tc>
      </w:tr>
      <w:tr w:rsidR="009613B4" w:rsidTr="008C3907">
        <w:trPr>
          <w:trHeight w:hRule="exact" w:val="454"/>
          <w:jc w:val="center"/>
        </w:trPr>
        <w:tc>
          <w:tcPr>
            <w:tcW w:w="2743" w:type="dxa"/>
            <w:vMerge/>
            <w:shd w:val="clear" w:color="auto" w:fill="auto"/>
          </w:tcPr>
          <w:p w:rsidR="009613B4" w:rsidRDefault="009613B4" w:rsidP="008C3907">
            <w:pPr>
              <w:spacing w:line="360" w:lineRule="auto"/>
              <w:rPr>
                <w:rFonts w:ascii="仿宋_GB2312" w:hAnsi="仿宋_GB2312" w:cs="仿宋_GB2312"/>
                <w:bCs/>
                <w:sz w:val="28"/>
                <w:szCs w:val="28"/>
              </w:rPr>
            </w:pP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1</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2</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3</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4</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5</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6</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7</w:t>
            </w:r>
          </w:p>
        </w:tc>
        <w:tc>
          <w:tcPr>
            <w:tcW w:w="520"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8</w:t>
            </w:r>
          </w:p>
        </w:tc>
        <w:tc>
          <w:tcPr>
            <w:tcW w:w="520"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9</w:t>
            </w:r>
          </w:p>
        </w:tc>
        <w:tc>
          <w:tcPr>
            <w:tcW w:w="520"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10</w:t>
            </w:r>
          </w:p>
        </w:tc>
        <w:tc>
          <w:tcPr>
            <w:tcW w:w="520"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11</w:t>
            </w:r>
          </w:p>
        </w:tc>
        <w:tc>
          <w:tcPr>
            <w:tcW w:w="520"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12</w:t>
            </w:r>
          </w:p>
        </w:tc>
      </w:tr>
      <w:tr w:rsidR="009613B4" w:rsidTr="008C3907">
        <w:trPr>
          <w:trHeight w:hRule="exact" w:val="454"/>
          <w:jc w:val="center"/>
        </w:trPr>
        <w:tc>
          <w:tcPr>
            <w:tcW w:w="2743"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rPr>
              <w:t>知识目标</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H</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H</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H</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H</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H</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p>
        </w:tc>
        <w:tc>
          <w:tcPr>
            <w:tcW w:w="520" w:type="dxa"/>
            <w:shd w:val="clear" w:color="auto" w:fill="auto"/>
          </w:tcPr>
          <w:p w:rsidR="009613B4" w:rsidRPr="005708AF" w:rsidRDefault="009613B4" w:rsidP="008C3907">
            <w:pPr>
              <w:spacing w:line="360" w:lineRule="auto"/>
              <w:rPr>
                <w:rFonts w:ascii="仿宋_GB2312" w:hAnsi="仿宋_GB2312" w:cs="仿宋_GB2312"/>
                <w:bCs/>
                <w:sz w:val="24"/>
              </w:rPr>
            </w:pPr>
          </w:p>
        </w:tc>
        <w:tc>
          <w:tcPr>
            <w:tcW w:w="520" w:type="dxa"/>
            <w:shd w:val="clear" w:color="auto" w:fill="auto"/>
          </w:tcPr>
          <w:p w:rsidR="009613B4" w:rsidRPr="005708AF" w:rsidRDefault="009613B4" w:rsidP="008C3907">
            <w:pPr>
              <w:spacing w:line="360" w:lineRule="auto"/>
              <w:rPr>
                <w:rFonts w:ascii="仿宋_GB2312" w:hAnsi="仿宋_GB2312" w:cs="仿宋_GB2312"/>
                <w:bCs/>
                <w:sz w:val="24"/>
              </w:rPr>
            </w:pPr>
          </w:p>
        </w:tc>
        <w:tc>
          <w:tcPr>
            <w:tcW w:w="520" w:type="dxa"/>
            <w:shd w:val="clear" w:color="auto" w:fill="auto"/>
          </w:tcPr>
          <w:p w:rsidR="009613B4" w:rsidRPr="005708AF" w:rsidRDefault="009613B4" w:rsidP="008C3907">
            <w:pPr>
              <w:tabs>
                <w:tab w:val="left" w:pos="6300"/>
              </w:tabs>
              <w:spacing w:line="360" w:lineRule="atLeast"/>
              <w:jc w:val="center"/>
              <w:rPr>
                <w:rFonts w:ascii="仿宋_GB2312" w:hAnsi="仿宋_GB2312" w:cs="仿宋_GB2312"/>
                <w:bCs/>
                <w:sz w:val="24"/>
              </w:rPr>
            </w:pPr>
          </w:p>
        </w:tc>
        <w:tc>
          <w:tcPr>
            <w:tcW w:w="520" w:type="dxa"/>
            <w:shd w:val="clear" w:color="auto" w:fill="auto"/>
          </w:tcPr>
          <w:p w:rsidR="009613B4" w:rsidRPr="005708AF" w:rsidRDefault="009613B4" w:rsidP="008C3907">
            <w:pPr>
              <w:spacing w:line="360" w:lineRule="auto"/>
              <w:rPr>
                <w:rFonts w:ascii="仿宋_GB2312" w:hAnsi="仿宋_GB2312" w:cs="仿宋_GB2312"/>
                <w:bCs/>
                <w:sz w:val="24"/>
              </w:rPr>
            </w:pPr>
            <w:r w:rsidRPr="005708AF">
              <w:rPr>
                <w:rFonts w:ascii="仿宋_GB2312" w:hAnsi="仿宋_GB2312" w:cs="仿宋_GB2312" w:hint="eastAsia"/>
                <w:bCs/>
                <w:sz w:val="24"/>
              </w:rPr>
              <w:t>M</w:t>
            </w:r>
          </w:p>
        </w:tc>
        <w:tc>
          <w:tcPr>
            <w:tcW w:w="520" w:type="dxa"/>
            <w:shd w:val="clear" w:color="auto" w:fill="auto"/>
          </w:tcPr>
          <w:p w:rsidR="009613B4" w:rsidRPr="005708AF" w:rsidRDefault="009613B4" w:rsidP="008C3907">
            <w:pPr>
              <w:spacing w:line="360" w:lineRule="auto"/>
              <w:rPr>
                <w:rFonts w:ascii="仿宋_GB2312" w:hAnsi="仿宋_GB2312" w:cs="仿宋_GB2312"/>
                <w:bCs/>
                <w:sz w:val="24"/>
              </w:rPr>
            </w:pPr>
          </w:p>
        </w:tc>
      </w:tr>
      <w:tr w:rsidR="009613B4" w:rsidTr="008C3907">
        <w:trPr>
          <w:trHeight w:hRule="exact" w:val="454"/>
          <w:jc w:val="center"/>
        </w:trPr>
        <w:tc>
          <w:tcPr>
            <w:tcW w:w="2743" w:type="dxa"/>
            <w:shd w:val="clear" w:color="auto" w:fill="auto"/>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rPr>
              <w:t>能力目标</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H</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H</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M</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L</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H</w:t>
            </w: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p>
        </w:tc>
        <w:tc>
          <w:tcPr>
            <w:tcW w:w="519" w:type="dxa"/>
            <w:shd w:val="clear" w:color="auto" w:fill="auto"/>
            <w:vAlign w:val="center"/>
          </w:tcPr>
          <w:p w:rsidR="009613B4" w:rsidRPr="005708AF" w:rsidRDefault="009613B4" w:rsidP="008C3907">
            <w:pPr>
              <w:tabs>
                <w:tab w:val="left" w:pos="6300"/>
              </w:tabs>
              <w:spacing w:line="360" w:lineRule="atLeast"/>
              <w:jc w:val="center"/>
              <w:rPr>
                <w:rFonts w:ascii="仿宋_GB2312" w:hAnsi="仿宋_GB2312" w:cs="仿宋_GB2312"/>
                <w:bCs/>
                <w:sz w:val="24"/>
              </w:rPr>
            </w:pPr>
          </w:p>
        </w:tc>
        <w:tc>
          <w:tcPr>
            <w:tcW w:w="520" w:type="dxa"/>
            <w:shd w:val="clear" w:color="auto" w:fill="auto"/>
          </w:tcPr>
          <w:p w:rsidR="009613B4" w:rsidRPr="005708AF" w:rsidRDefault="009613B4" w:rsidP="008C3907">
            <w:pPr>
              <w:tabs>
                <w:tab w:val="left" w:pos="6300"/>
              </w:tabs>
              <w:spacing w:line="360" w:lineRule="atLeast"/>
              <w:jc w:val="center"/>
              <w:rPr>
                <w:rFonts w:ascii="仿宋_GB2312" w:hAnsi="仿宋_GB2312" w:cs="仿宋_GB2312"/>
                <w:bCs/>
                <w:sz w:val="24"/>
              </w:rPr>
            </w:pPr>
          </w:p>
        </w:tc>
        <w:tc>
          <w:tcPr>
            <w:tcW w:w="520" w:type="dxa"/>
            <w:shd w:val="clear" w:color="auto" w:fill="auto"/>
          </w:tcPr>
          <w:p w:rsidR="009613B4" w:rsidRPr="005708AF" w:rsidRDefault="009613B4" w:rsidP="008C3907">
            <w:pPr>
              <w:tabs>
                <w:tab w:val="left" w:pos="6300"/>
              </w:tabs>
              <w:spacing w:line="360" w:lineRule="atLeast"/>
              <w:jc w:val="center"/>
              <w:rPr>
                <w:rFonts w:ascii="仿宋_GB2312" w:hAnsi="仿宋_GB2312" w:cs="仿宋_GB2312"/>
                <w:bCs/>
                <w:sz w:val="24"/>
              </w:rPr>
            </w:pPr>
          </w:p>
        </w:tc>
        <w:tc>
          <w:tcPr>
            <w:tcW w:w="520" w:type="dxa"/>
            <w:shd w:val="clear" w:color="auto" w:fill="auto"/>
          </w:tcPr>
          <w:p w:rsidR="009613B4" w:rsidRPr="005708AF" w:rsidRDefault="009613B4" w:rsidP="008C3907">
            <w:pPr>
              <w:tabs>
                <w:tab w:val="left" w:pos="6300"/>
              </w:tabs>
              <w:spacing w:line="360" w:lineRule="atLeast"/>
              <w:jc w:val="center"/>
              <w:rPr>
                <w:rFonts w:ascii="仿宋_GB2312" w:hAnsi="仿宋_GB2312" w:cs="仿宋_GB2312"/>
                <w:bCs/>
                <w:sz w:val="24"/>
              </w:rPr>
            </w:pPr>
          </w:p>
        </w:tc>
        <w:tc>
          <w:tcPr>
            <w:tcW w:w="520" w:type="dxa"/>
            <w:shd w:val="clear" w:color="auto" w:fill="auto"/>
          </w:tcPr>
          <w:p w:rsidR="009613B4" w:rsidRPr="005708AF" w:rsidRDefault="009613B4" w:rsidP="008C3907">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M</w:t>
            </w:r>
          </w:p>
        </w:tc>
        <w:tc>
          <w:tcPr>
            <w:tcW w:w="520" w:type="dxa"/>
            <w:shd w:val="clear" w:color="auto" w:fill="auto"/>
          </w:tcPr>
          <w:p w:rsidR="009613B4" w:rsidRPr="005708AF" w:rsidRDefault="009613B4" w:rsidP="008C3907">
            <w:pPr>
              <w:tabs>
                <w:tab w:val="left" w:pos="6300"/>
              </w:tabs>
              <w:spacing w:line="360" w:lineRule="atLeast"/>
              <w:jc w:val="center"/>
              <w:rPr>
                <w:rFonts w:ascii="仿宋_GB2312" w:hAnsi="仿宋_GB2312" w:cs="仿宋_GB2312"/>
                <w:bCs/>
                <w:sz w:val="24"/>
              </w:rPr>
            </w:pPr>
          </w:p>
        </w:tc>
      </w:tr>
      <w:tr w:rsidR="009613B4" w:rsidTr="008C3907">
        <w:trPr>
          <w:trHeight w:hRule="exact" w:val="454"/>
          <w:jc w:val="center"/>
        </w:trPr>
        <w:tc>
          <w:tcPr>
            <w:tcW w:w="2743" w:type="dxa"/>
            <w:shd w:val="clear" w:color="auto" w:fill="auto"/>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rPr>
              <w:t>情感态度与价值观目标</w:t>
            </w:r>
          </w:p>
        </w:tc>
        <w:tc>
          <w:tcPr>
            <w:tcW w:w="519" w:type="dxa"/>
            <w:shd w:val="clear" w:color="auto" w:fill="auto"/>
            <w:vAlign w:val="center"/>
          </w:tcPr>
          <w:p w:rsidR="009613B4" w:rsidRPr="005708AF" w:rsidRDefault="009613B4" w:rsidP="005708AF">
            <w:pPr>
              <w:tabs>
                <w:tab w:val="left" w:pos="6300"/>
              </w:tabs>
              <w:spacing w:line="360" w:lineRule="atLeast"/>
              <w:jc w:val="center"/>
              <w:rPr>
                <w:rFonts w:ascii="仿宋_GB2312" w:hAnsi="仿宋_GB2312" w:cs="仿宋_GB2312"/>
                <w:bCs/>
                <w:sz w:val="24"/>
              </w:rPr>
            </w:pPr>
          </w:p>
        </w:tc>
        <w:tc>
          <w:tcPr>
            <w:tcW w:w="519" w:type="dxa"/>
            <w:shd w:val="clear" w:color="auto" w:fill="auto"/>
            <w:vAlign w:val="center"/>
          </w:tcPr>
          <w:p w:rsidR="009613B4" w:rsidRPr="005708AF" w:rsidRDefault="009613B4" w:rsidP="005708AF">
            <w:pPr>
              <w:tabs>
                <w:tab w:val="left" w:pos="6300"/>
              </w:tabs>
              <w:spacing w:line="360" w:lineRule="atLeast"/>
              <w:jc w:val="center"/>
              <w:rPr>
                <w:rFonts w:ascii="仿宋_GB2312" w:hAnsi="仿宋_GB2312" w:cs="仿宋_GB2312"/>
                <w:bCs/>
                <w:sz w:val="24"/>
              </w:rPr>
            </w:pPr>
          </w:p>
        </w:tc>
        <w:tc>
          <w:tcPr>
            <w:tcW w:w="519" w:type="dxa"/>
            <w:shd w:val="clear" w:color="auto" w:fill="auto"/>
            <w:vAlign w:val="center"/>
          </w:tcPr>
          <w:p w:rsidR="009613B4" w:rsidRPr="005708AF" w:rsidRDefault="009613B4" w:rsidP="005708AF">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M</w:t>
            </w:r>
          </w:p>
        </w:tc>
        <w:tc>
          <w:tcPr>
            <w:tcW w:w="519" w:type="dxa"/>
            <w:shd w:val="clear" w:color="auto" w:fill="auto"/>
            <w:vAlign w:val="center"/>
          </w:tcPr>
          <w:p w:rsidR="009613B4" w:rsidRPr="005708AF" w:rsidRDefault="009613B4" w:rsidP="005708AF">
            <w:pPr>
              <w:tabs>
                <w:tab w:val="left" w:pos="6300"/>
              </w:tabs>
              <w:spacing w:line="360" w:lineRule="atLeast"/>
              <w:jc w:val="center"/>
              <w:rPr>
                <w:rFonts w:ascii="仿宋_GB2312" w:hAnsi="仿宋_GB2312" w:cs="仿宋_GB2312"/>
                <w:bCs/>
                <w:sz w:val="24"/>
              </w:rPr>
            </w:pPr>
          </w:p>
        </w:tc>
        <w:tc>
          <w:tcPr>
            <w:tcW w:w="519" w:type="dxa"/>
            <w:shd w:val="clear" w:color="auto" w:fill="auto"/>
            <w:vAlign w:val="center"/>
          </w:tcPr>
          <w:p w:rsidR="009613B4" w:rsidRPr="005708AF" w:rsidRDefault="009613B4" w:rsidP="005708AF">
            <w:pPr>
              <w:tabs>
                <w:tab w:val="left" w:pos="6300"/>
              </w:tabs>
              <w:spacing w:line="360" w:lineRule="atLeast"/>
              <w:jc w:val="center"/>
              <w:rPr>
                <w:rFonts w:ascii="仿宋_GB2312" w:hAnsi="仿宋_GB2312" w:cs="仿宋_GB2312"/>
                <w:bCs/>
                <w:sz w:val="24"/>
              </w:rPr>
            </w:pPr>
          </w:p>
        </w:tc>
        <w:tc>
          <w:tcPr>
            <w:tcW w:w="519" w:type="dxa"/>
            <w:shd w:val="clear" w:color="auto" w:fill="auto"/>
            <w:vAlign w:val="center"/>
          </w:tcPr>
          <w:p w:rsidR="009613B4" w:rsidRPr="005708AF" w:rsidRDefault="009613B4" w:rsidP="005708AF">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H</w:t>
            </w:r>
          </w:p>
        </w:tc>
        <w:tc>
          <w:tcPr>
            <w:tcW w:w="519" w:type="dxa"/>
            <w:shd w:val="clear" w:color="auto" w:fill="auto"/>
            <w:vAlign w:val="center"/>
          </w:tcPr>
          <w:p w:rsidR="009613B4" w:rsidRPr="005708AF" w:rsidRDefault="009613B4" w:rsidP="005708AF">
            <w:pPr>
              <w:tabs>
                <w:tab w:val="left" w:pos="6300"/>
              </w:tabs>
              <w:spacing w:line="360" w:lineRule="atLeast"/>
              <w:jc w:val="center"/>
              <w:rPr>
                <w:rFonts w:ascii="仿宋_GB2312" w:hAnsi="仿宋_GB2312" w:cs="仿宋_GB2312"/>
                <w:bCs/>
                <w:sz w:val="24"/>
              </w:rPr>
            </w:pPr>
            <w:r w:rsidRPr="005708AF">
              <w:rPr>
                <w:rFonts w:ascii="仿宋_GB2312" w:hAnsi="仿宋_GB2312" w:cs="仿宋_GB2312" w:hint="eastAsia"/>
                <w:bCs/>
                <w:sz w:val="24"/>
              </w:rPr>
              <w:t>L</w:t>
            </w:r>
          </w:p>
        </w:tc>
        <w:tc>
          <w:tcPr>
            <w:tcW w:w="520" w:type="dxa"/>
            <w:shd w:val="clear" w:color="auto" w:fill="auto"/>
          </w:tcPr>
          <w:p w:rsidR="009613B4" w:rsidRPr="005708AF" w:rsidRDefault="009613B4" w:rsidP="005708AF">
            <w:pPr>
              <w:tabs>
                <w:tab w:val="left" w:pos="6300"/>
              </w:tabs>
              <w:spacing w:line="360" w:lineRule="atLeast"/>
              <w:jc w:val="center"/>
              <w:rPr>
                <w:rFonts w:ascii="仿宋_GB2312" w:hAnsi="仿宋_GB2312" w:cs="仿宋_GB2312"/>
                <w:bCs/>
                <w:sz w:val="24"/>
              </w:rPr>
            </w:pPr>
          </w:p>
        </w:tc>
        <w:tc>
          <w:tcPr>
            <w:tcW w:w="520" w:type="dxa"/>
            <w:shd w:val="clear" w:color="auto" w:fill="auto"/>
          </w:tcPr>
          <w:p w:rsidR="009613B4" w:rsidRPr="005708AF" w:rsidRDefault="009613B4" w:rsidP="005708AF">
            <w:pPr>
              <w:tabs>
                <w:tab w:val="left" w:pos="6300"/>
              </w:tabs>
              <w:spacing w:line="360" w:lineRule="atLeast"/>
              <w:jc w:val="center"/>
              <w:rPr>
                <w:rFonts w:ascii="仿宋_GB2312" w:hAnsi="仿宋_GB2312" w:cs="仿宋_GB2312"/>
                <w:bCs/>
                <w:sz w:val="24"/>
              </w:rPr>
            </w:pPr>
          </w:p>
        </w:tc>
        <w:tc>
          <w:tcPr>
            <w:tcW w:w="520" w:type="dxa"/>
            <w:shd w:val="clear" w:color="auto" w:fill="auto"/>
          </w:tcPr>
          <w:p w:rsidR="009613B4" w:rsidRPr="005708AF" w:rsidRDefault="009613B4" w:rsidP="005708AF">
            <w:pPr>
              <w:tabs>
                <w:tab w:val="left" w:pos="6300"/>
              </w:tabs>
              <w:spacing w:line="360" w:lineRule="atLeast"/>
              <w:jc w:val="center"/>
              <w:rPr>
                <w:rFonts w:ascii="仿宋_GB2312" w:hAnsi="仿宋_GB2312" w:cs="仿宋_GB2312"/>
                <w:bCs/>
                <w:sz w:val="24"/>
              </w:rPr>
            </w:pPr>
          </w:p>
        </w:tc>
        <w:tc>
          <w:tcPr>
            <w:tcW w:w="520" w:type="dxa"/>
            <w:shd w:val="clear" w:color="auto" w:fill="auto"/>
          </w:tcPr>
          <w:p w:rsidR="009613B4" w:rsidRPr="005708AF" w:rsidRDefault="009613B4" w:rsidP="005708AF">
            <w:pPr>
              <w:tabs>
                <w:tab w:val="left" w:pos="6300"/>
              </w:tabs>
              <w:spacing w:line="360" w:lineRule="atLeast"/>
              <w:jc w:val="center"/>
              <w:rPr>
                <w:rFonts w:ascii="仿宋_GB2312" w:hAnsi="仿宋_GB2312" w:cs="仿宋_GB2312"/>
                <w:bCs/>
                <w:sz w:val="24"/>
              </w:rPr>
            </w:pPr>
          </w:p>
        </w:tc>
        <w:tc>
          <w:tcPr>
            <w:tcW w:w="520" w:type="dxa"/>
            <w:shd w:val="clear" w:color="auto" w:fill="auto"/>
          </w:tcPr>
          <w:p w:rsidR="009613B4" w:rsidRPr="005708AF" w:rsidRDefault="009613B4" w:rsidP="005708AF">
            <w:pPr>
              <w:tabs>
                <w:tab w:val="left" w:pos="6300"/>
              </w:tabs>
              <w:spacing w:line="360" w:lineRule="atLeast"/>
              <w:jc w:val="center"/>
              <w:rPr>
                <w:rFonts w:ascii="仿宋_GB2312" w:hAnsi="仿宋_GB2312" w:cs="仿宋_GB2312"/>
                <w:bCs/>
                <w:sz w:val="24"/>
              </w:rPr>
            </w:pPr>
          </w:p>
        </w:tc>
      </w:tr>
    </w:tbl>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3. 课程的重点、难点</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熟练掌握实验方案的优化设计，从而对水处理实验过程中各因素和水平进行优化分配，选择最优最直接的实验路径；了解实验数据产生误差的原因，对有效数据进行整理和可疑数据进行检验，使理论融会贯通于实际使用中；通过方差分析和线性回归，合理分析数据，获得有用结果；掌握给水与排水各测定实验的适用范围和使用条件。</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4. 课程思政设计</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培养锲而不舍的精神：</w:t>
      </w:r>
      <w:r>
        <w:rPr>
          <w:rFonts w:ascii="仿宋_GB2312" w:hAnsi="仿宋_GB2312" w:cs="仿宋_GB2312"/>
          <w:bCs/>
          <w:sz w:val="28"/>
          <w:szCs w:val="28"/>
        </w:rPr>
        <w:t>当试验次数足够多时，随机误差的平均值会趋向于零，利用理论相近方式，教育学生在学习过程中要勤奋努力，多学多练，足够多的努力和尝试，才会抵消误差，接近成功。讲解回归方程知识时，可以人生看成一个方程式，引入习近平总书五四重要讲话系列评论之六：青年，怎解燃烧而不冒烟的人生方程式？引导学生练就百折不饶的品格，培养刻苦学习、不断进取的钻研精神</w:t>
      </w:r>
      <w:r>
        <w:rPr>
          <w:rFonts w:ascii="仿宋_GB2312" w:hAnsi="仿宋_GB2312" w:cs="仿宋_GB2312" w:hint="eastAsia"/>
          <w:bCs/>
          <w:sz w:val="28"/>
          <w:szCs w:val="28"/>
        </w:rPr>
        <w:t>。</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培养一丝不苟的科研精神：实验</w:t>
      </w:r>
      <w:r>
        <w:rPr>
          <w:rFonts w:ascii="仿宋_GB2312" w:hAnsi="仿宋_GB2312" w:cs="仿宋_GB2312"/>
          <w:bCs/>
          <w:sz w:val="28"/>
          <w:szCs w:val="28"/>
        </w:rPr>
        <w:t>数据</w:t>
      </w:r>
      <w:r>
        <w:rPr>
          <w:rFonts w:ascii="仿宋_GB2312" w:hAnsi="仿宋_GB2312" w:cs="仿宋_GB2312" w:hint="eastAsia"/>
          <w:bCs/>
          <w:sz w:val="28"/>
          <w:szCs w:val="28"/>
        </w:rPr>
        <w:t>如何</w:t>
      </w:r>
      <w:r>
        <w:rPr>
          <w:rFonts w:ascii="仿宋_GB2312" w:hAnsi="仿宋_GB2312" w:cs="仿宋_GB2312"/>
          <w:bCs/>
          <w:sz w:val="28"/>
          <w:szCs w:val="28"/>
        </w:rPr>
        <w:t>进行</w:t>
      </w:r>
      <w:r>
        <w:rPr>
          <w:rFonts w:ascii="仿宋_GB2312" w:hAnsi="仿宋_GB2312" w:cs="仿宋_GB2312" w:hint="eastAsia"/>
          <w:bCs/>
          <w:sz w:val="28"/>
          <w:szCs w:val="28"/>
        </w:rPr>
        <w:t>科学修正</w:t>
      </w:r>
      <w:r>
        <w:rPr>
          <w:rFonts w:ascii="仿宋_GB2312" w:hAnsi="仿宋_GB2312" w:cs="仿宋_GB2312"/>
          <w:bCs/>
          <w:sz w:val="28"/>
          <w:szCs w:val="28"/>
        </w:rPr>
        <w:t>以及正确</w:t>
      </w:r>
      <w:r>
        <w:rPr>
          <w:rFonts w:ascii="仿宋_GB2312" w:hAnsi="仿宋_GB2312" w:cs="仿宋_GB2312"/>
          <w:bCs/>
          <w:sz w:val="28"/>
          <w:szCs w:val="28"/>
        </w:rPr>
        <w:lastRenderedPageBreak/>
        <w:t>表达，采用理念一致方式，提醒学生主要遵守国家法律法规和行业标准规范，明白在社会生活中没有规矩，不成方圆。但对不同试验方法等进行评价与对比时，比如评定两者之间是否存在系统误差，就要用测试数据进行科学分析，通过公平竞争选择最优方案</w:t>
      </w:r>
      <w:r>
        <w:rPr>
          <w:rFonts w:ascii="仿宋_GB2312" w:hAnsi="仿宋_GB2312" w:cs="仿宋_GB2312" w:hint="eastAsia"/>
          <w:bCs/>
          <w:sz w:val="28"/>
          <w:szCs w:val="28"/>
        </w:rPr>
        <w:t>。</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培养爱岗敬业精神：正交实验是</w:t>
      </w:r>
      <w:r>
        <w:rPr>
          <w:rFonts w:ascii="仿宋_GB2312" w:hAnsi="仿宋_GB2312" w:cs="仿宋_GB2312"/>
          <w:bCs/>
          <w:sz w:val="28"/>
          <w:szCs w:val="28"/>
        </w:rPr>
        <w:t>我国优秀科学家和工程师们的先进理念和科学成就，</w:t>
      </w:r>
      <w:r>
        <w:rPr>
          <w:rFonts w:ascii="仿宋_GB2312" w:hAnsi="仿宋_GB2312" w:cs="仿宋_GB2312" w:hint="eastAsia"/>
          <w:bCs/>
          <w:sz w:val="28"/>
          <w:szCs w:val="28"/>
        </w:rPr>
        <w:t>对其介绍可以</w:t>
      </w:r>
      <w:r>
        <w:rPr>
          <w:rFonts w:ascii="仿宋_GB2312" w:hAnsi="仿宋_GB2312" w:cs="仿宋_GB2312"/>
          <w:bCs/>
          <w:sz w:val="28"/>
          <w:szCs w:val="28"/>
        </w:rPr>
        <w:t>增强学生的民族自豪感，同时也提升对专业的认可度。课程中分析的数据都来源于工程一线实测数据，通过展示</w:t>
      </w:r>
      <w:r>
        <w:rPr>
          <w:rFonts w:ascii="仿宋_GB2312" w:hAnsi="仿宋_GB2312" w:cs="仿宋_GB2312" w:hint="eastAsia"/>
          <w:bCs/>
          <w:sz w:val="28"/>
          <w:szCs w:val="28"/>
        </w:rPr>
        <w:t>系</w:t>
      </w:r>
      <w:r>
        <w:rPr>
          <w:rFonts w:ascii="仿宋_GB2312" w:hAnsi="仿宋_GB2312" w:cs="仿宋_GB2312"/>
          <w:bCs/>
          <w:sz w:val="28"/>
          <w:szCs w:val="28"/>
        </w:rPr>
        <w:t>教研室老师们参加一线检测的图片，鼓励学生热爱自己的岗位，珍惜和忠实于自己的职业，具有较强的职业自豪感和责任感，立足本职，扎扎实实为社会作贡献</w:t>
      </w:r>
      <w:r>
        <w:rPr>
          <w:rFonts w:ascii="仿宋_GB2312" w:hAnsi="仿宋_GB2312" w:cs="仿宋_GB2312" w:hint="eastAsia"/>
          <w:bCs/>
          <w:sz w:val="28"/>
          <w:szCs w:val="28"/>
        </w:rPr>
        <w:t>。</w:t>
      </w:r>
    </w:p>
    <w:p w:rsidR="009613B4" w:rsidRDefault="009613B4" w:rsidP="009613B4">
      <w:pPr>
        <w:spacing w:line="560" w:lineRule="exact"/>
        <w:rPr>
          <w:rFonts w:ascii="黑体" w:eastAsia="黑体" w:hAnsi="黑体" w:cs="仿宋_GB2312"/>
          <w:b/>
          <w:bCs/>
          <w:sz w:val="28"/>
          <w:szCs w:val="28"/>
        </w:rPr>
      </w:pPr>
      <w:r>
        <w:rPr>
          <w:rFonts w:ascii="黑体" w:eastAsia="黑体" w:hAnsi="黑体" w:cs="仿宋_GB2312" w:hint="eastAsia"/>
          <w:b/>
          <w:bCs/>
          <w:sz w:val="28"/>
          <w:szCs w:val="28"/>
        </w:rPr>
        <w:t>四、教学内容及要求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815"/>
        <w:gridCol w:w="753"/>
        <w:gridCol w:w="3073"/>
        <w:gridCol w:w="3197"/>
      </w:tblGrid>
      <w:tr w:rsidR="009613B4" w:rsidTr="005708AF">
        <w:trPr>
          <w:cantSplit/>
          <w:trHeight w:val="661"/>
        </w:trPr>
        <w:tc>
          <w:tcPr>
            <w:tcW w:w="275" w:type="pct"/>
            <w:vAlign w:val="center"/>
          </w:tcPr>
          <w:p w:rsidR="009613B4" w:rsidRPr="005708AF" w:rsidRDefault="009613B4" w:rsidP="008C3907">
            <w:pPr>
              <w:spacing w:line="560" w:lineRule="exact"/>
              <w:jc w:val="center"/>
              <w:rPr>
                <w:b/>
                <w:kern w:val="0"/>
                <w:sz w:val="24"/>
                <w:szCs w:val="24"/>
              </w:rPr>
            </w:pPr>
            <w:r w:rsidRPr="005708AF">
              <w:rPr>
                <w:b/>
                <w:kern w:val="0"/>
                <w:sz w:val="24"/>
                <w:szCs w:val="24"/>
              </w:rPr>
              <w:t>序号</w:t>
            </w:r>
          </w:p>
        </w:tc>
        <w:tc>
          <w:tcPr>
            <w:tcW w:w="491" w:type="pct"/>
            <w:vAlign w:val="center"/>
          </w:tcPr>
          <w:p w:rsidR="009613B4" w:rsidRPr="005708AF" w:rsidRDefault="009613B4" w:rsidP="008C3907">
            <w:pPr>
              <w:spacing w:line="560" w:lineRule="exact"/>
              <w:jc w:val="center"/>
              <w:rPr>
                <w:b/>
                <w:kern w:val="0"/>
                <w:sz w:val="24"/>
                <w:szCs w:val="24"/>
              </w:rPr>
            </w:pPr>
            <w:r w:rsidRPr="005708AF">
              <w:rPr>
                <w:rFonts w:hint="eastAsia"/>
                <w:b/>
                <w:kern w:val="0"/>
                <w:sz w:val="24"/>
                <w:szCs w:val="24"/>
              </w:rPr>
              <w:t>章</w:t>
            </w:r>
            <w:r w:rsidRPr="005708AF">
              <w:rPr>
                <w:rFonts w:hint="eastAsia"/>
                <w:b/>
                <w:kern w:val="0"/>
                <w:sz w:val="24"/>
                <w:szCs w:val="24"/>
              </w:rPr>
              <w:t xml:space="preserve">  </w:t>
            </w:r>
            <w:r w:rsidRPr="005708AF">
              <w:rPr>
                <w:rFonts w:hint="eastAsia"/>
                <w:b/>
                <w:kern w:val="0"/>
                <w:sz w:val="24"/>
                <w:szCs w:val="24"/>
              </w:rPr>
              <w:t>节</w:t>
            </w:r>
            <w:r w:rsidRPr="005708AF">
              <w:rPr>
                <w:rFonts w:hint="eastAsia"/>
                <w:b/>
                <w:kern w:val="0"/>
                <w:sz w:val="24"/>
                <w:szCs w:val="24"/>
              </w:rPr>
              <w:t xml:space="preserve">  </w:t>
            </w:r>
          </w:p>
        </w:tc>
        <w:tc>
          <w:tcPr>
            <w:tcW w:w="454" w:type="pct"/>
            <w:vAlign w:val="center"/>
          </w:tcPr>
          <w:p w:rsidR="009613B4" w:rsidRPr="005708AF" w:rsidRDefault="009613B4" w:rsidP="008C3907">
            <w:pPr>
              <w:spacing w:line="560" w:lineRule="exact"/>
              <w:jc w:val="center"/>
              <w:rPr>
                <w:b/>
                <w:kern w:val="0"/>
                <w:sz w:val="24"/>
                <w:szCs w:val="24"/>
              </w:rPr>
            </w:pPr>
          </w:p>
          <w:p w:rsidR="009613B4" w:rsidRPr="005708AF" w:rsidRDefault="009613B4" w:rsidP="008C3907">
            <w:pPr>
              <w:spacing w:line="560" w:lineRule="exact"/>
              <w:jc w:val="center"/>
              <w:rPr>
                <w:b/>
                <w:kern w:val="0"/>
                <w:sz w:val="24"/>
                <w:szCs w:val="24"/>
              </w:rPr>
            </w:pPr>
            <w:r w:rsidRPr="005708AF">
              <w:rPr>
                <w:rFonts w:hint="eastAsia"/>
                <w:b/>
                <w:kern w:val="0"/>
                <w:sz w:val="24"/>
                <w:szCs w:val="24"/>
              </w:rPr>
              <w:t>参考学时</w:t>
            </w:r>
          </w:p>
          <w:p w:rsidR="009613B4" w:rsidRPr="005708AF" w:rsidRDefault="009613B4" w:rsidP="008C3907">
            <w:pPr>
              <w:spacing w:line="560" w:lineRule="exact"/>
              <w:jc w:val="center"/>
              <w:rPr>
                <w:b/>
                <w:kern w:val="0"/>
                <w:sz w:val="24"/>
                <w:szCs w:val="24"/>
              </w:rPr>
            </w:pPr>
          </w:p>
        </w:tc>
        <w:tc>
          <w:tcPr>
            <w:tcW w:w="1852" w:type="pct"/>
            <w:vAlign w:val="center"/>
          </w:tcPr>
          <w:p w:rsidR="009613B4" w:rsidRPr="005708AF" w:rsidRDefault="009613B4" w:rsidP="008C3907">
            <w:pPr>
              <w:spacing w:line="560" w:lineRule="exact"/>
              <w:ind w:firstLineChars="600" w:firstLine="1446"/>
              <w:rPr>
                <w:b/>
                <w:kern w:val="0"/>
                <w:sz w:val="24"/>
                <w:szCs w:val="24"/>
              </w:rPr>
            </w:pPr>
            <w:r w:rsidRPr="005708AF">
              <w:rPr>
                <w:rFonts w:hint="eastAsia"/>
                <w:b/>
                <w:kern w:val="0"/>
                <w:sz w:val="24"/>
                <w:szCs w:val="24"/>
              </w:rPr>
              <w:t>教学内容</w:t>
            </w:r>
          </w:p>
        </w:tc>
        <w:tc>
          <w:tcPr>
            <w:tcW w:w="1927" w:type="pct"/>
            <w:vAlign w:val="center"/>
          </w:tcPr>
          <w:p w:rsidR="009613B4" w:rsidRPr="005708AF" w:rsidRDefault="009613B4" w:rsidP="008C3907">
            <w:pPr>
              <w:spacing w:line="560" w:lineRule="exact"/>
              <w:jc w:val="center"/>
              <w:rPr>
                <w:b/>
                <w:kern w:val="0"/>
                <w:sz w:val="24"/>
                <w:szCs w:val="24"/>
              </w:rPr>
            </w:pPr>
            <w:r w:rsidRPr="005708AF">
              <w:rPr>
                <w:rFonts w:hint="eastAsia"/>
                <w:b/>
                <w:kern w:val="0"/>
                <w:sz w:val="24"/>
                <w:szCs w:val="24"/>
              </w:rPr>
              <w:t>基本要求</w:t>
            </w:r>
          </w:p>
        </w:tc>
      </w:tr>
      <w:tr w:rsidR="009613B4" w:rsidRPr="005708AF" w:rsidTr="005708AF">
        <w:trPr>
          <w:trHeight w:val="3725"/>
        </w:trPr>
        <w:tc>
          <w:tcPr>
            <w:tcW w:w="275" w:type="pct"/>
            <w:vAlign w:val="center"/>
          </w:tcPr>
          <w:p w:rsidR="009613B4" w:rsidRPr="005708AF" w:rsidRDefault="009613B4" w:rsidP="008C3907">
            <w:pPr>
              <w:spacing w:line="560" w:lineRule="exact"/>
              <w:jc w:val="center"/>
              <w:rPr>
                <w:rFonts w:ascii="Times New Roman" w:hAnsi="Times New Roman"/>
                <w:bCs/>
                <w:sz w:val="24"/>
                <w:szCs w:val="24"/>
              </w:rPr>
            </w:pPr>
            <w:r w:rsidRPr="005708AF">
              <w:rPr>
                <w:rFonts w:ascii="Times New Roman" w:hAnsi="Times New Roman"/>
                <w:bCs/>
                <w:sz w:val="24"/>
                <w:szCs w:val="24"/>
              </w:rPr>
              <w:t>1</w:t>
            </w:r>
          </w:p>
        </w:tc>
        <w:tc>
          <w:tcPr>
            <w:tcW w:w="491"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第一章</w:t>
            </w:r>
          </w:p>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绪论及实验设计</w:t>
            </w:r>
          </w:p>
        </w:tc>
        <w:tc>
          <w:tcPr>
            <w:tcW w:w="454"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2</w:t>
            </w:r>
          </w:p>
        </w:tc>
        <w:tc>
          <w:tcPr>
            <w:tcW w:w="1852" w:type="pct"/>
            <w:vAlign w:val="center"/>
          </w:tcPr>
          <w:p w:rsidR="009613B4" w:rsidRPr="005708AF" w:rsidRDefault="009613B4" w:rsidP="008C3907">
            <w:pPr>
              <w:spacing w:line="560" w:lineRule="exact"/>
              <w:rPr>
                <w:rFonts w:ascii="仿宋_GB2312" w:hAnsi="仿宋_GB2312" w:cs="仿宋_GB2312"/>
                <w:bCs/>
                <w:sz w:val="24"/>
                <w:szCs w:val="24"/>
              </w:rPr>
            </w:pPr>
            <w:r w:rsidRPr="005708AF">
              <w:rPr>
                <w:rFonts w:ascii="仿宋_GB2312" w:hAnsi="仿宋_GB2312" w:cs="仿宋_GB2312" w:hint="eastAsia"/>
                <w:bCs/>
                <w:sz w:val="24"/>
                <w:szCs w:val="24"/>
              </w:rPr>
              <w:t>绪论</w:t>
            </w:r>
          </w:p>
          <w:p w:rsidR="009613B4" w:rsidRPr="005708AF" w:rsidRDefault="005708AF" w:rsidP="008C3907">
            <w:pPr>
              <w:spacing w:line="560" w:lineRule="exact"/>
              <w:rPr>
                <w:rFonts w:ascii="仿宋_GB2312" w:hAnsi="仿宋_GB2312" w:cs="仿宋_GB2312"/>
                <w:bCs/>
                <w:sz w:val="24"/>
                <w:szCs w:val="24"/>
              </w:rPr>
            </w:pPr>
            <w:r>
              <w:rPr>
                <w:rFonts w:ascii="仿宋_GB2312" w:hAnsi="仿宋_GB2312" w:cs="仿宋_GB2312" w:hint="eastAsia"/>
                <w:bCs/>
                <w:sz w:val="24"/>
                <w:szCs w:val="24"/>
              </w:rPr>
              <w:t xml:space="preserve">  </w:t>
            </w:r>
            <w:r w:rsidR="009613B4" w:rsidRPr="005708AF">
              <w:rPr>
                <w:rFonts w:ascii="仿宋_GB2312" w:hAnsi="仿宋_GB2312" w:cs="仿宋_GB2312" w:hint="eastAsia"/>
                <w:bCs/>
                <w:sz w:val="24"/>
                <w:szCs w:val="24"/>
              </w:rPr>
              <w:t xml:space="preserve"> 水处理实验设计与技术的作用</w:t>
            </w:r>
            <w:r>
              <w:rPr>
                <w:rFonts w:ascii="仿宋_GB2312" w:hAnsi="仿宋_GB2312" w:cs="仿宋_GB2312" w:hint="eastAsia"/>
                <w:bCs/>
                <w:sz w:val="24"/>
                <w:szCs w:val="24"/>
              </w:rPr>
              <w:br/>
              <w:t xml:space="preserve">    </w:t>
            </w:r>
            <w:r w:rsidR="009613B4" w:rsidRPr="005708AF">
              <w:rPr>
                <w:rFonts w:ascii="仿宋_GB2312" w:hAnsi="仿宋_GB2312" w:cs="仿宋_GB2312" w:hint="eastAsia"/>
                <w:bCs/>
                <w:sz w:val="24"/>
                <w:szCs w:val="24"/>
              </w:rPr>
              <w:t>水处理实验过程</w:t>
            </w:r>
          </w:p>
          <w:p w:rsidR="009613B4" w:rsidRPr="005708AF" w:rsidRDefault="009613B4" w:rsidP="008C3907">
            <w:pPr>
              <w:spacing w:line="560" w:lineRule="exact"/>
              <w:rPr>
                <w:rFonts w:ascii="仿宋_GB2312" w:hAnsi="仿宋_GB2312" w:cs="仿宋_GB2312"/>
                <w:bCs/>
                <w:sz w:val="24"/>
                <w:szCs w:val="24"/>
              </w:rPr>
            </w:pPr>
            <w:r w:rsidRPr="005708AF">
              <w:rPr>
                <w:rFonts w:ascii="仿宋_GB2312" w:hAnsi="仿宋_GB2312" w:cs="仿宋_GB2312" w:hint="eastAsia"/>
                <w:bCs/>
                <w:sz w:val="24"/>
                <w:szCs w:val="24"/>
              </w:rPr>
              <w:br/>
              <w:t>第一节 实验设计的意义与发展概况</w:t>
            </w:r>
            <w:r w:rsidRPr="005708AF">
              <w:rPr>
                <w:rFonts w:ascii="仿宋_GB2312" w:hAnsi="仿宋_GB2312" w:cs="仿宋_GB2312" w:hint="eastAsia"/>
                <w:bCs/>
                <w:sz w:val="24"/>
                <w:szCs w:val="24"/>
              </w:rPr>
              <w:br/>
              <w:t>第二节 实验设计中的常用术语</w:t>
            </w:r>
            <w:r w:rsidRPr="005708AF">
              <w:rPr>
                <w:rFonts w:ascii="仿宋_GB2312" w:hAnsi="仿宋_GB2312" w:cs="仿宋_GB2312" w:hint="eastAsia"/>
                <w:bCs/>
                <w:sz w:val="24"/>
                <w:szCs w:val="24"/>
              </w:rPr>
              <w:br/>
            </w:r>
            <w:r w:rsidRPr="005708AF">
              <w:rPr>
                <w:rFonts w:ascii="仿宋_GB2312" w:hAnsi="仿宋_GB2312" w:cs="仿宋_GB2312" w:hint="eastAsia"/>
                <w:bCs/>
                <w:sz w:val="24"/>
                <w:szCs w:val="24"/>
              </w:rPr>
              <w:lastRenderedPageBreak/>
              <w:t>第三节 单因素实验设计</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中点法与均分法</w:t>
            </w:r>
          </w:p>
          <w:p w:rsidR="009613B4" w:rsidRPr="005708AF" w:rsidRDefault="009613B4" w:rsidP="008C3907">
            <w:pPr>
              <w:spacing w:line="560" w:lineRule="exact"/>
              <w:ind w:firstLineChars="336" w:firstLine="806"/>
              <w:rPr>
                <w:rFonts w:ascii="仿宋_GB2312" w:hAnsi="仿宋_GB2312" w:cs="仿宋_GB2312"/>
                <w:bCs/>
                <w:sz w:val="24"/>
                <w:szCs w:val="24"/>
              </w:rPr>
            </w:pPr>
            <w:r w:rsidRPr="005708AF">
              <w:rPr>
                <w:rFonts w:ascii="仿宋_GB2312" w:hAnsi="仿宋_GB2312" w:cs="仿宋_GB2312" w:hint="eastAsia"/>
                <w:bCs/>
                <w:sz w:val="24"/>
                <w:szCs w:val="24"/>
              </w:rPr>
              <w:t>黄金分割法(0.6 18法)</w:t>
            </w:r>
          </w:p>
          <w:p w:rsidR="009613B4" w:rsidRPr="005708AF" w:rsidRDefault="009613B4" w:rsidP="008C3907">
            <w:pPr>
              <w:spacing w:line="560" w:lineRule="exact"/>
              <w:ind w:firstLineChars="336" w:firstLine="806"/>
              <w:rPr>
                <w:rFonts w:ascii="仿宋_GB2312" w:hAnsi="仿宋_GB2312" w:cs="仿宋_GB2312"/>
                <w:bCs/>
                <w:sz w:val="24"/>
                <w:szCs w:val="24"/>
              </w:rPr>
            </w:pPr>
            <w:r w:rsidRPr="005708AF">
              <w:rPr>
                <w:rFonts w:ascii="仿宋_GB2312" w:hAnsi="仿宋_GB2312" w:cs="仿宋_GB2312" w:hint="eastAsia"/>
                <w:bCs/>
                <w:sz w:val="24"/>
                <w:szCs w:val="24"/>
              </w:rPr>
              <w:t>菲波那契数列法(分数法)</w:t>
            </w:r>
          </w:p>
          <w:p w:rsidR="009613B4" w:rsidRPr="005708AF" w:rsidRDefault="009613B4" w:rsidP="008C3907">
            <w:pPr>
              <w:spacing w:line="560" w:lineRule="exact"/>
              <w:ind w:firstLineChars="336" w:firstLine="806"/>
              <w:rPr>
                <w:rFonts w:ascii="仿宋_GB2312" w:hAnsi="仿宋_GB2312" w:cs="仿宋_GB2312"/>
                <w:bCs/>
                <w:sz w:val="24"/>
                <w:szCs w:val="24"/>
              </w:rPr>
            </w:pPr>
            <w:r w:rsidRPr="005708AF">
              <w:rPr>
                <w:rFonts w:ascii="仿宋_GB2312" w:hAnsi="仿宋_GB2312" w:cs="仿宋_GB2312" w:hint="eastAsia"/>
                <w:bCs/>
                <w:sz w:val="24"/>
                <w:szCs w:val="24"/>
              </w:rPr>
              <w:t>均分分批实验法</w:t>
            </w:r>
          </w:p>
        </w:tc>
        <w:tc>
          <w:tcPr>
            <w:tcW w:w="1927" w:type="pct"/>
            <w:vAlign w:val="center"/>
          </w:tcPr>
          <w:p w:rsidR="009613B4" w:rsidRPr="005708AF" w:rsidRDefault="009613B4" w:rsidP="005F6318">
            <w:pPr>
              <w:pStyle w:val="reader-word-layer"/>
              <w:numPr>
                <w:ilvl w:val="0"/>
                <w:numId w:val="66"/>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lastRenderedPageBreak/>
              <w:t>了解实验设计的基本理论和重要概念</w:t>
            </w:r>
          </w:p>
          <w:p w:rsidR="009613B4" w:rsidRPr="005708AF" w:rsidRDefault="009613B4" w:rsidP="005F6318">
            <w:pPr>
              <w:pStyle w:val="reader-word-layer"/>
              <w:numPr>
                <w:ilvl w:val="0"/>
                <w:numId w:val="66"/>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熟悉单因素的实验设计方法</w:t>
            </w:r>
          </w:p>
          <w:p w:rsidR="009613B4" w:rsidRPr="005708AF" w:rsidRDefault="009613B4" w:rsidP="005F6318">
            <w:pPr>
              <w:pStyle w:val="reader-word-layer"/>
              <w:numPr>
                <w:ilvl w:val="0"/>
                <w:numId w:val="66"/>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掌握黄金分割法</w:t>
            </w:r>
          </w:p>
        </w:tc>
      </w:tr>
      <w:tr w:rsidR="009613B4" w:rsidRPr="005708AF" w:rsidTr="005708AF">
        <w:trPr>
          <w:trHeight w:val="3725"/>
        </w:trPr>
        <w:tc>
          <w:tcPr>
            <w:tcW w:w="275" w:type="pct"/>
            <w:vAlign w:val="center"/>
          </w:tcPr>
          <w:p w:rsidR="009613B4" w:rsidRPr="005708AF" w:rsidRDefault="009613B4" w:rsidP="008C3907">
            <w:pPr>
              <w:spacing w:line="560" w:lineRule="exact"/>
              <w:jc w:val="center"/>
              <w:rPr>
                <w:rFonts w:ascii="Times New Roman" w:hAnsi="Times New Roman"/>
                <w:bCs/>
                <w:sz w:val="24"/>
                <w:szCs w:val="24"/>
              </w:rPr>
            </w:pPr>
            <w:r w:rsidRPr="005708AF">
              <w:rPr>
                <w:rFonts w:ascii="Times New Roman" w:hAnsi="Times New Roman"/>
                <w:bCs/>
                <w:sz w:val="24"/>
                <w:szCs w:val="24"/>
              </w:rPr>
              <w:t>2</w:t>
            </w:r>
          </w:p>
        </w:tc>
        <w:tc>
          <w:tcPr>
            <w:tcW w:w="491"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第一章</w:t>
            </w:r>
          </w:p>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实验设计</w:t>
            </w:r>
          </w:p>
        </w:tc>
        <w:tc>
          <w:tcPr>
            <w:tcW w:w="454"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2</w:t>
            </w:r>
          </w:p>
        </w:tc>
        <w:tc>
          <w:tcPr>
            <w:tcW w:w="1852" w:type="pct"/>
            <w:vAlign w:val="center"/>
          </w:tcPr>
          <w:p w:rsidR="009613B4" w:rsidRPr="005708AF" w:rsidRDefault="009613B4" w:rsidP="008C3907">
            <w:pPr>
              <w:spacing w:line="560" w:lineRule="exact"/>
              <w:rPr>
                <w:rFonts w:ascii="仿宋_GB2312" w:hAnsi="仿宋_GB2312" w:cs="仿宋_GB2312"/>
                <w:bCs/>
                <w:sz w:val="24"/>
                <w:szCs w:val="24"/>
              </w:rPr>
            </w:pPr>
            <w:r w:rsidRPr="005708AF">
              <w:rPr>
                <w:rFonts w:ascii="仿宋_GB2312" w:hAnsi="仿宋_GB2312" w:cs="仿宋_GB2312" w:hint="eastAsia"/>
                <w:bCs/>
                <w:sz w:val="24"/>
                <w:szCs w:val="24"/>
              </w:rPr>
              <w:t>第四节 双因素实验设计</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纵横中线法</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好点推进法</w:t>
            </w:r>
          </w:p>
          <w:p w:rsidR="009613B4" w:rsidRPr="005708AF" w:rsidRDefault="009613B4" w:rsidP="008C3907">
            <w:pPr>
              <w:widowControl/>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平行线法</w:t>
            </w:r>
          </w:p>
          <w:p w:rsidR="009613B4" w:rsidRPr="005708AF" w:rsidRDefault="009613B4" w:rsidP="008C3907">
            <w:pPr>
              <w:widowControl/>
              <w:spacing w:line="560" w:lineRule="exact"/>
              <w:rPr>
                <w:rFonts w:ascii="仿宋_GB2312" w:hAnsi="仿宋_GB2312" w:cs="仿宋_GB2312"/>
                <w:bCs/>
                <w:sz w:val="24"/>
                <w:szCs w:val="24"/>
              </w:rPr>
            </w:pPr>
            <w:r w:rsidRPr="005708AF">
              <w:rPr>
                <w:rFonts w:ascii="仿宋_GB2312" w:hAnsi="仿宋_GB2312" w:cs="仿宋_GB2312" w:hint="eastAsia"/>
                <w:bCs/>
                <w:sz w:val="24"/>
                <w:szCs w:val="24"/>
              </w:rPr>
              <w:t>第五节 多因素正交实验设计</w:t>
            </w:r>
          </w:p>
          <w:p w:rsidR="009613B4" w:rsidRPr="005708AF" w:rsidRDefault="009613B4" w:rsidP="008C3907">
            <w:pPr>
              <w:widowControl/>
              <w:spacing w:line="560" w:lineRule="exact"/>
              <w:rPr>
                <w:rFonts w:ascii="仿宋_GB2312" w:hAnsi="仿宋_GB2312" w:cs="仿宋_GB2312"/>
                <w:bCs/>
                <w:sz w:val="24"/>
                <w:szCs w:val="24"/>
              </w:rPr>
            </w:pPr>
            <w:r w:rsidRPr="005708AF">
              <w:rPr>
                <w:rFonts w:ascii="仿宋_GB2312" w:hAnsi="仿宋_GB2312" w:cs="仿宋_GB2312" w:hint="eastAsia"/>
                <w:bCs/>
                <w:sz w:val="24"/>
                <w:szCs w:val="24"/>
              </w:rPr>
              <w:t>单指标正交实验设计及结果的直观分析</w:t>
            </w:r>
          </w:p>
          <w:p w:rsidR="009613B4" w:rsidRPr="005708AF" w:rsidRDefault="009613B4" w:rsidP="008C3907">
            <w:pPr>
              <w:widowControl/>
              <w:spacing w:line="560" w:lineRule="exact"/>
              <w:rPr>
                <w:rFonts w:ascii="仿宋_GB2312" w:hAnsi="仿宋_GB2312" w:cs="仿宋_GB2312"/>
                <w:bCs/>
                <w:sz w:val="24"/>
                <w:szCs w:val="24"/>
              </w:rPr>
            </w:pPr>
            <w:r w:rsidRPr="005708AF">
              <w:rPr>
                <w:rFonts w:ascii="仿宋_GB2312" w:hAnsi="仿宋_GB2312" w:cs="仿宋_GB2312" w:hint="eastAsia"/>
                <w:bCs/>
                <w:sz w:val="24"/>
                <w:szCs w:val="24"/>
              </w:rPr>
              <w:t>多指标正交实验设计及结果的直观分析</w:t>
            </w:r>
          </w:p>
          <w:p w:rsidR="009613B4" w:rsidRPr="005708AF" w:rsidRDefault="009613B4" w:rsidP="008C3907">
            <w:pPr>
              <w:spacing w:line="560" w:lineRule="exact"/>
              <w:rPr>
                <w:rFonts w:ascii="仿宋_GB2312" w:hAnsi="仿宋_GB2312" w:cs="仿宋_GB2312"/>
                <w:bCs/>
                <w:sz w:val="24"/>
                <w:szCs w:val="24"/>
              </w:rPr>
            </w:pPr>
            <w:r w:rsidRPr="005708AF">
              <w:rPr>
                <w:rFonts w:ascii="仿宋_GB2312" w:hAnsi="仿宋_GB2312" w:cs="仿宋_GB2312" w:hint="eastAsia"/>
                <w:bCs/>
                <w:sz w:val="24"/>
                <w:szCs w:val="24"/>
              </w:rPr>
              <w:t>考虑交互作用的正交实验设计及结果的直观分析</w:t>
            </w:r>
          </w:p>
        </w:tc>
        <w:tc>
          <w:tcPr>
            <w:tcW w:w="1927" w:type="pct"/>
            <w:vAlign w:val="center"/>
          </w:tcPr>
          <w:p w:rsidR="009613B4" w:rsidRPr="005708AF" w:rsidRDefault="009613B4" w:rsidP="005F6318">
            <w:pPr>
              <w:pStyle w:val="reader-word-layer"/>
              <w:numPr>
                <w:ilvl w:val="0"/>
                <w:numId w:val="67"/>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掌握双因素和多因素实验设计方法</w:t>
            </w:r>
          </w:p>
          <w:p w:rsidR="009613B4" w:rsidRPr="005708AF" w:rsidRDefault="009613B4" w:rsidP="005F6318">
            <w:pPr>
              <w:pStyle w:val="reader-word-layer"/>
              <w:numPr>
                <w:ilvl w:val="0"/>
                <w:numId w:val="67"/>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了解如何对结果进行直观分析</w:t>
            </w:r>
          </w:p>
          <w:p w:rsidR="009613B4" w:rsidRPr="005708AF" w:rsidRDefault="009613B4" w:rsidP="005F6318">
            <w:pPr>
              <w:pStyle w:val="reader-word-layer"/>
              <w:numPr>
                <w:ilvl w:val="0"/>
                <w:numId w:val="67"/>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熟悉正交实验的设计</w:t>
            </w:r>
          </w:p>
          <w:p w:rsidR="009613B4" w:rsidRPr="005708AF" w:rsidRDefault="009613B4" w:rsidP="005F6318">
            <w:pPr>
              <w:pStyle w:val="reader-word-layer"/>
              <w:numPr>
                <w:ilvl w:val="0"/>
                <w:numId w:val="67"/>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掌握交互作用的正交实验</w:t>
            </w:r>
          </w:p>
        </w:tc>
      </w:tr>
      <w:tr w:rsidR="009613B4" w:rsidRPr="005708AF" w:rsidTr="005708AF">
        <w:trPr>
          <w:trHeight w:val="2203"/>
        </w:trPr>
        <w:tc>
          <w:tcPr>
            <w:tcW w:w="275" w:type="pct"/>
            <w:vAlign w:val="center"/>
          </w:tcPr>
          <w:p w:rsidR="009613B4" w:rsidRPr="005708AF" w:rsidRDefault="009613B4" w:rsidP="008C3907">
            <w:pPr>
              <w:spacing w:line="560" w:lineRule="exact"/>
              <w:rPr>
                <w:rFonts w:ascii="Times New Roman" w:hAnsi="Times New Roman"/>
                <w:bCs/>
                <w:sz w:val="24"/>
                <w:szCs w:val="24"/>
              </w:rPr>
            </w:pPr>
          </w:p>
          <w:p w:rsidR="009613B4" w:rsidRPr="005708AF" w:rsidRDefault="009613B4" w:rsidP="008C3907">
            <w:pPr>
              <w:spacing w:line="560" w:lineRule="exact"/>
              <w:rPr>
                <w:rFonts w:ascii="Times New Roman" w:hAnsi="Times New Roman"/>
                <w:bCs/>
                <w:sz w:val="24"/>
                <w:szCs w:val="24"/>
              </w:rPr>
            </w:pPr>
            <w:r w:rsidRPr="005708AF">
              <w:rPr>
                <w:rFonts w:ascii="Times New Roman" w:hAnsi="Times New Roman"/>
                <w:bCs/>
                <w:sz w:val="24"/>
                <w:szCs w:val="24"/>
              </w:rPr>
              <w:t>3</w:t>
            </w:r>
          </w:p>
        </w:tc>
        <w:tc>
          <w:tcPr>
            <w:tcW w:w="491"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第二章</w:t>
            </w:r>
          </w:p>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实验数据分析</w:t>
            </w:r>
            <w:r w:rsidRPr="005708AF">
              <w:rPr>
                <w:rFonts w:ascii="仿宋_GB2312" w:hAnsi="仿宋_GB2312" w:cs="仿宋_GB2312" w:hint="eastAsia"/>
                <w:bCs/>
                <w:sz w:val="24"/>
                <w:szCs w:val="24"/>
              </w:rPr>
              <w:lastRenderedPageBreak/>
              <w:t>与处理</w:t>
            </w:r>
          </w:p>
        </w:tc>
        <w:tc>
          <w:tcPr>
            <w:tcW w:w="454"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lastRenderedPageBreak/>
              <w:t>2</w:t>
            </w:r>
          </w:p>
        </w:tc>
        <w:tc>
          <w:tcPr>
            <w:tcW w:w="1852" w:type="pct"/>
            <w:vAlign w:val="center"/>
          </w:tcPr>
          <w:p w:rsidR="009613B4" w:rsidRPr="005708AF" w:rsidRDefault="009613B4" w:rsidP="008C3907">
            <w:pPr>
              <w:spacing w:line="560" w:lineRule="exact"/>
              <w:rPr>
                <w:rFonts w:ascii="仿宋_GB2312" w:hAnsi="仿宋_GB2312" w:cs="仿宋_GB2312"/>
                <w:bCs/>
                <w:sz w:val="24"/>
                <w:szCs w:val="24"/>
              </w:rPr>
            </w:pPr>
            <w:r w:rsidRPr="005708AF">
              <w:rPr>
                <w:rFonts w:ascii="仿宋_GB2312" w:hAnsi="仿宋_GB2312" w:cs="仿宋_GB2312" w:hint="eastAsia"/>
                <w:bCs/>
                <w:sz w:val="24"/>
                <w:szCs w:val="24"/>
              </w:rPr>
              <w:t>第一节 实验数据的误差分析</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绝对误差与相对误差</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算数平均误差与标</w:t>
            </w:r>
            <w:r w:rsidRPr="005708AF">
              <w:rPr>
                <w:rFonts w:ascii="仿宋_GB2312" w:hAnsi="仿宋_GB2312" w:cs="仿宋_GB2312" w:hint="eastAsia"/>
                <w:bCs/>
                <w:sz w:val="24"/>
                <w:szCs w:val="24"/>
              </w:rPr>
              <w:lastRenderedPageBreak/>
              <w:t>准误差</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间接测量值的误差传递公式</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实验数据的评价</w:t>
            </w:r>
          </w:p>
          <w:p w:rsidR="009613B4" w:rsidRPr="005708AF" w:rsidRDefault="009613B4" w:rsidP="008C3907">
            <w:pPr>
              <w:shd w:val="clear" w:color="auto" w:fill="FFFFFF"/>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实验仪器精度的选择</w:t>
            </w:r>
          </w:p>
        </w:tc>
        <w:tc>
          <w:tcPr>
            <w:tcW w:w="1927" w:type="pct"/>
            <w:vAlign w:val="center"/>
          </w:tcPr>
          <w:p w:rsidR="009613B4" w:rsidRPr="005708AF" w:rsidRDefault="009613B4" w:rsidP="005F6318">
            <w:pPr>
              <w:numPr>
                <w:ilvl w:val="0"/>
                <w:numId w:val="68"/>
              </w:numPr>
              <w:autoSpaceDE w:val="0"/>
              <w:autoSpaceDN w:val="0"/>
              <w:spacing w:line="560" w:lineRule="exact"/>
              <w:ind w:left="0"/>
              <w:rPr>
                <w:rFonts w:ascii="仿宋_GB2312" w:hAnsi="仿宋_GB2312" w:cs="仿宋_GB2312"/>
                <w:bCs/>
                <w:sz w:val="24"/>
                <w:szCs w:val="24"/>
              </w:rPr>
            </w:pPr>
            <w:r w:rsidRPr="005708AF">
              <w:rPr>
                <w:rFonts w:ascii="仿宋_GB2312" w:hAnsi="仿宋_GB2312" w:cs="仿宋_GB2312" w:hint="eastAsia"/>
                <w:bCs/>
                <w:sz w:val="24"/>
                <w:szCs w:val="24"/>
              </w:rPr>
              <w:lastRenderedPageBreak/>
              <w:t>掌握实验误差分析计算</w:t>
            </w:r>
          </w:p>
          <w:p w:rsidR="009613B4" w:rsidRPr="005708AF" w:rsidRDefault="009613B4" w:rsidP="005F6318">
            <w:pPr>
              <w:numPr>
                <w:ilvl w:val="0"/>
                <w:numId w:val="68"/>
              </w:numPr>
              <w:autoSpaceDE w:val="0"/>
              <w:autoSpaceDN w:val="0"/>
              <w:spacing w:line="560" w:lineRule="exact"/>
              <w:ind w:left="0"/>
              <w:rPr>
                <w:rFonts w:ascii="仿宋_GB2312" w:hAnsi="仿宋_GB2312" w:cs="仿宋_GB2312"/>
                <w:bCs/>
                <w:sz w:val="24"/>
                <w:szCs w:val="24"/>
              </w:rPr>
            </w:pPr>
            <w:r w:rsidRPr="005708AF">
              <w:rPr>
                <w:rFonts w:ascii="仿宋_GB2312" w:hAnsi="仿宋_GB2312" w:cs="仿宋_GB2312" w:hint="eastAsia"/>
                <w:bCs/>
                <w:sz w:val="24"/>
                <w:szCs w:val="24"/>
              </w:rPr>
              <w:t>掌握实验产生误差的可能途径</w:t>
            </w:r>
          </w:p>
          <w:p w:rsidR="009613B4" w:rsidRPr="005708AF" w:rsidRDefault="009613B4" w:rsidP="005F6318">
            <w:pPr>
              <w:numPr>
                <w:ilvl w:val="0"/>
                <w:numId w:val="68"/>
              </w:numPr>
              <w:autoSpaceDE w:val="0"/>
              <w:autoSpaceDN w:val="0"/>
              <w:spacing w:line="560" w:lineRule="exact"/>
              <w:ind w:left="0"/>
              <w:rPr>
                <w:rFonts w:ascii="仿宋_GB2312" w:hAnsi="仿宋_GB2312" w:cs="仿宋_GB2312"/>
                <w:bCs/>
                <w:sz w:val="24"/>
                <w:szCs w:val="24"/>
              </w:rPr>
            </w:pPr>
            <w:r w:rsidRPr="005708AF">
              <w:rPr>
                <w:rFonts w:ascii="仿宋_GB2312" w:hAnsi="仿宋_GB2312" w:cs="仿宋_GB2312" w:hint="eastAsia"/>
                <w:bCs/>
                <w:sz w:val="24"/>
                <w:szCs w:val="24"/>
              </w:rPr>
              <w:t>了解对数据的整理和可疑数据如何进行检验</w:t>
            </w:r>
          </w:p>
        </w:tc>
      </w:tr>
      <w:tr w:rsidR="009613B4" w:rsidRPr="005708AF" w:rsidTr="005708AF">
        <w:trPr>
          <w:trHeight w:val="2203"/>
        </w:trPr>
        <w:tc>
          <w:tcPr>
            <w:tcW w:w="275" w:type="pct"/>
            <w:vAlign w:val="center"/>
          </w:tcPr>
          <w:p w:rsidR="009613B4" w:rsidRPr="005708AF" w:rsidRDefault="009613B4" w:rsidP="008C3907">
            <w:pPr>
              <w:spacing w:line="560" w:lineRule="exact"/>
              <w:rPr>
                <w:rFonts w:ascii="Times New Roman" w:hAnsi="Times New Roman"/>
                <w:bCs/>
                <w:sz w:val="24"/>
                <w:szCs w:val="24"/>
              </w:rPr>
            </w:pPr>
            <w:r w:rsidRPr="005708AF">
              <w:rPr>
                <w:rFonts w:ascii="Times New Roman" w:hAnsi="Times New Roman"/>
                <w:bCs/>
                <w:sz w:val="24"/>
                <w:szCs w:val="24"/>
              </w:rPr>
              <w:t>4</w:t>
            </w:r>
          </w:p>
        </w:tc>
        <w:tc>
          <w:tcPr>
            <w:tcW w:w="491"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第二章</w:t>
            </w:r>
          </w:p>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实验数据分析与处理</w:t>
            </w:r>
          </w:p>
        </w:tc>
        <w:tc>
          <w:tcPr>
            <w:tcW w:w="454"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2</w:t>
            </w:r>
          </w:p>
        </w:tc>
        <w:tc>
          <w:tcPr>
            <w:tcW w:w="1852" w:type="pct"/>
            <w:vAlign w:val="center"/>
          </w:tcPr>
          <w:p w:rsidR="009613B4" w:rsidRPr="005708AF" w:rsidRDefault="009613B4" w:rsidP="008C3907">
            <w:pPr>
              <w:spacing w:line="560" w:lineRule="exact"/>
              <w:rPr>
                <w:rFonts w:ascii="仿宋_GB2312" w:hAnsi="仿宋_GB2312" w:cs="仿宋_GB2312"/>
                <w:bCs/>
                <w:sz w:val="24"/>
                <w:szCs w:val="24"/>
              </w:rPr>
            </w:pPr>
            <w:r w:rsidRPr="005708AF">
              <w:rPr>
                <w:rFonts w:ascii="仿宋_GB2312" w:hAnsi="仿宋_GB2312" w:cs="仿宋_GB2312" w:hint="eastAsia"/>
                <w:bCs/>
                <w:sz w:val="24"/>
                <w:szCs w:val="24"/>
              </w:rPr>
              <w:t>第二节 实验数据数理统计分析的方差分析方法</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单因素实验的方差分析</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双因素实验的方差分析</w:t>
            </w:r>
          </w:p>
          <w:p w:rsidR="009613B4" w:rsidRPr="005708AF" w:rsidRDefault="009613B4" w:rsidP="008C3907">
            <w:pPr>
              <w:spacing w:line="560" w:lineRule="exact"/>
              <w:rPr>
                <w:rFonts w:ascii="仿宋_GB2312" w:hAnsi="仿宋_GB2312" w:cs="仿宋_GB2312"/>
                <w:bCs/>
                <w:sz w:val="24"/>
                <w:szCs w:val="24"/>
              </w:rPr>
            </w:pPr>
            <w:r w:rsidRPr="005708AF">
              <w:rPr>
                <w:rFonts w:ascii="仿宋_GB2312" w:hAnsi="仿宋_GB2312" w:cs="仿宋_GB2312" w:hint="eastAsia"/>
                <w:bCs/>
                <w:sz w:val="24"/>
                <w:szCs w:val="24"/>
              </w:rPr>
              <w:t>第三节 正交实验设计结果的方差分析法</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无重复正交实验的方差分析</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无重复正交实验方差分析的应用</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重复正交实验的方差分析</w:t>
            </w:r>
          </w:p>
          <w:p w:rsidR="009613B4" w:rsidRPr="005708AF" w:rsidRDefault="009613B4" w:rsidP="008C3907">
            <w:pPr>
              <w:spacing w:line="560" w:lineRule="exact"/>
              <w:ind w:left="960" w:hangingChars="400" w:hanging="960"/>
              <w:rPr>
                <w:rFonts w:ascii="仿宋_GB2312" w:hAnsi="仿宋_GB2312" w:cs="仿宋_GB2312"/>
                <w:bCs/>
                <w:sz w:val="24"/>
                <w:szCs w:val="24"/>
              </w:rPr>
            </w:pPr>
          </w:p>
        </w:tc>
        <w:tc>
          <w:tcPr>
            <w:tcW w:w="1927" w:type="pct"/>
            <w:vAlign w:val="center"/>
          </w:tcPr>
          <w:p w:rsidR="009613B4" w:rsidRPr="005708AF" w:rsidRDefault="009613B4" w:rsidP="005F6318">
            <w:pPr>
              <w:numPr>
                <w:ilvl w:val="0"/>
                <w:numId w:val="69"/>
              </w:numPr>
              <w:autoSpaceDE w:val="0"/>
              <w:autoSpaceDN w:val="0"/>
              <w:spacing w:line="560" w:lineRule="exact"/>
              <w:ind w:left="0"/>
              <w:rPr>
                <w:rFonts w:ascii="仿宋_GB2312" w:hAnsi="仿宋_GB2312" w:cs="仿宋_GB2312"/>
                <w:bCs/>
                <w:sz w:val="24"/>
                <w:szCs w:val="24"/>
              </w:rPr>
            </w:pPr>
            <w:r w:rsidRPr="005708AF">
              <w:rPr>
                <w:rFonts w:ascii="仿宋_GB2312" w:hAnsi="仿宋_GB2312" w:cs="仿宋_GB2312" w:hint="eastAsia"/>
                <w:bCs/>
                <w:sz w:val="24"/>
                <w:szCs w:val="24"/>
              </w:rPr>
              <w:t>掌握单因素和双因素实验的方差分析方法</w:t>
            </w:r>
          </w:p>
          <w:p w:rsidR="009613B4" w:rsidRPr="005708AF" w:rsidRDefault="009613B4" w:rsidP="005F6318">
            <w:pPr>
              <w:numPr>
                <w:ilvl w:val="0"/>
                <w:numId w:val="69"/>
              </w:numPr>
              <w:autoSpaceDE w:val="0"/>
              <w:autoSpaceDN w:val="0"/>
              <w:spacing w:line="560" w:lineRule="exact"/>
              <w:ind w:left="0"/>
              <w:rPr>
                <w:rFonts w:ascii="仿宋_GB2312" w:hAnsi="仿宋_GB2312" w:cs="仿宋_GB2312"/>
                <w:bCs/>
                <w:sz w:val="24"/>
                <w:szCs w:val="24"/>
              </w:rPr>
            </w:pPr>
            <w:r w:rsidRPr="005708AF">
              <w:rPr>
                <w:rFonts w:ascii="仿宋_GB2312" w:hAnsi="仿宋_GB2312" w:cs="仿宋_GB2312" w:hint="eastAsia"/>
                <w:bCs/>
                <w:sz w:val="24"/>
                <w:szCs w:val="24"/>
              </w:rPr>
              <w:t>熟悉正交实验设计结果的方差分析法</w:t>
            </w:r>
          </w:p>
        </w:tc>
      </w:tr>
      <w:tr w:rsidR="009613B4" w:rsidRPr="005708AF" w:rsidTr="005708AF">
        <w:trPr>
          <w:trHeight w:val="2203"/>
        </w:trPr>
        <w:tc>
          <w:tcPr>
            <w:tcW w:w="275" w:type="pct"/>
            <w:vAlign w:val="center"/>
          </w:tcPr>
          <w:p w:rsidR="009613B4" w:rsidRPr="005708AF" w:rsidRDefault="009613B4" w:rsidP="008C3907">
            <w:pPr>
              <w:spacing w:line="560" w:lineRule="exact"/>
              <w:rPr>
                <w:rFonts w:ascii="Times New Roman" w:hAnsi="Times New Roman"/>
                <w:bCs/>
                <w:sz w:val="24"/>
                <w:szCs w:val="24"/>
              </w:rPr>
            </w:pPr>
            <w:r w:rsidRPr="005708AF">
              <w:rPr>
                <w:rFonts w:ascii="Times New Roman" w:hAnsi="Times New Roman"/>
                <w:bCs/>
                <w:sz w:val="24"/>
                <w:szCs w:val="24"/>
              </w:rPr>
              <w:lastRenderedPageBreak/>
              <w:t>5</w:t>
            </w:r>
          </w:p>
        </w:tc>
        <w:tc>
          <w:tcPr>
            <w:tcW w:w="491"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第二章</w:t>
            </w:r>
          </w:p>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实验数据分析与处理</w:t>
            </w:r>
          </w:p>
        </w:tc>
        <w:tc>
          <w:tcPr>
            <w:tcW w:w="454"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2</w:t>
            </w:r>
          </w:p>
        </w:tc>
        <w:tc>
          <w:tcPr>
            <w:tcW w:w="1852" w:type="pct"/>
            <w:vAlign w:val="center"/>
          </w:tcPr>
          <w:p w:rsidR="009613B4" w:rsidRPr="005708AF" w:rsidRDefault="009613B4" w:rsidP="008C3907">
            <w:pPr>
              <w:spacing w:line="560" w:lineRule="exact"/>
              <w:rPr>
                <w:rFonts w:ascii="仿宋_GB2312" w:hAnsi="仿宋_GB2312" w:cs="仿宋_GB2312"/>
                <w:bCs/>
                <w:sz w:val="24"/>
                <w:szCs w:val="24"/>
              </w:rPr>
            </w:pPr>
            <w:r w:rsidRPr="005708AF">
              <w:rPr>
                <w:rFonts w:ascii="仿宋_GB2312" w:hAnsi="仿宋_GB2312" w:cs="仿宋_GB2312" w:hint="eastAsia"/>
                <w:bCs/>
                <w:sz w:val="24"/>
                <w:szCs w:val="24"/>
              </w:rPr>
              <w:t>第四节 实验数据数理统计分析的回归分析法</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实验数据的一元线性回归分析</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实验数据的一元非线性回归分析</w:t>
            </w:r>
          </w:p>
          <w:p w:rsidR="009613B4" w:rsidRPr="005708AF" w:rsidRDefault="009613B4" w:rsidP="008C3907">
            <w:pPr>
              <w:spacing w:line="560" w:lineRule="exact"/>
              <w:ind w:firstLine="706"/>
              <w:rPr>
                <w:rFonts w:ascii="仿宋_GB2312" w:hAnsi="仿宋_GB2312" w:cs="仿宋_GB2312"/>
                <w:bCs/>
                <w:sz w:val="24"/>
                <w:szCs w:val="24"/>
              </w:rPr>
            </w:pPr>
            <w:r w:rsidRPr="005708AF">
              <w:rPr>
                <w:rFonts w:ascii="仿宋_GB2312" w:hAnsi="仿宋_GB2312" w:cs="仿宋_GB2312" w:hint="eastAsia"/>
                <w:bCs/>
                <w:sz w:val="24"/>
                <w:szCs w:val="24"/>
              </w:rPr>
              <w:t>实验数据的二元线性回归分析</w:t>
            </w:r>
          </w:p>
          <w:p w:rsidR="009613B4" w:rsidRPr="005708AF" w:rsidRDefault="009613B4" w:rsidP="008C3907">
            <w:pPr>
              <w:spacing w:line="560" w:lineRule="exact"/>
              <w:rPr>
                <w:rFonts w:ascii="仿宋_GB2312" w:hAnsi="仿宋_GB2312" w:cs="仿宋_GB2312"/>
                <w:bCs/>
                <w:sz w:val="24"/>
                <w:szCs w:val="24"/>
              </w:rPr>
            </w:pPr>
          </w:p>
        </w:tc>
        <w:tc>
          <w:tcPr>
            <w:tcW w:w="1927" w:type="pct"/>
            <w:vAlign w:val="center"/>
          </w:tcPr>
          <w:p w:rsidR="009613B4" w:rsidRPr="005708AF" w:rsidRDefault="009613B4" w:rsidP="005F6318">
            <w:pPr>
              <w:numPr>
                <w:ilvl w:val="0"/>
                <w:numId w:val="70"/>
              </w:numPr>
              <w:autoSpaceDE w:val="0"/>
              <w:autoSpaceDN w:val="0"/>
              <w:spacing w:line="560" w:lineRule="exact"/>
              <w:ind w:left="0"/>
              <w:rPr>
                <w:rFonts w:ascii="仿宋_GB2312" w:hAnsi="仿宋_GB2312" w:cs="仿宋_GB2312"/>
                <w:bCs/>
                <w:sz w:val="24"/>
                <w:szCs w:val="24"/>
              </w:rPr>
            </w:pPr>
            <w:r w:rsidRPr="005708AF">
              <w:rPr>
                <w:rFonts w:ascii="仿宋_GB2312" w:hAnsi="仿宋_GB2312" w:cs="仿宋_GB2312" w:hint="eastAsia"/>
                <w:bCs/>
                <w:sz w:val="24"/>
                <w:szCs w:val="24"/>
              </w:rPr>
              <w:t>熟练掌握实验数据统计分析的一元和二元回归分析法</w:t>
            </w:r>
          </w:p>
        </w:tc>
      </w:tr>
      <w:tr w:rsidR="009613B4" w:rsidRPr="005708AF" w:rsidTr="005708AF">
        <w:trPr>
          <w:trHeight w:val="2324"/>
        </w:trPr>
        <w:tc>
          <w:tcPr>
            <w:tcW w:w="275" w:type="pct"/>
            <w:vAlign w:val="center"/>
          </w:tcPr>
          <w:p w:rsidR="009613B4" w:rsidRPr="005708AF" w:rsidRDefault="009613B4" w:rsidP="008C3907">
            <w:pPr>
              <w:spacing w:line="560" w:lineRule="exact"/>
              <w:jc w:val="center"/>
              <w:rPr>
                <w:rFonts w:ascii="Times New Roman" w:hAnsi="Times New Roman"/>
                <w:bCs/>
                <w:sz w:val="24"/>
                <w:szCs w:val="24"/>
              </w:rPr>
            </w:pPr>
            <w:r w:rsidRPr="005708AF">
              <w:rPr>
                <w:rFonts w:ascii="Times New Roman" w:hAnsi="Times New Roman"/>
                <w:bCs/>
                <w:sz w:val="24"/>
                <w:szCs w:val="24"/>
              </w:rPr>
              <w:t>6</w:t>
            </w:r>
          </w:p>
        </w:tc>
        <w:tc>
          <w:tcPr>
            <w:tcW w:w="491"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第三章</w:t>
            </w:r>
          </w:p>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给水处理实验</w:t>
            </w:r>
          </w:p>
        </w:tc>
        <w:tc>
          <w:tcPr>
            <w:tcW w:w="454"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2</w:t>
            </w:r>
          </w:p>
        </w:tc>
        <w:tc>
          <w:tcPr>
            <w:tcW w:w="1852" w:type="pct"/>
            <w:vAlign w:val="center"/>
          </w:tcPr>
          <w:p w:rsidR="009613B4" w:rsidRPr="005708AF" w:rsidRDefault="009613B4" w:rsidP="008C3907">
            <w:pPr>
              <w:shd w:val="clear" w:color="auto" w:fill="FFFFFF"/>
              <w:spacing w:line="560" w:lineRule="exact"/>
              <w:ind w:firstLine="213"/>
              <w:rPr>
                <w:rFonts w:ascii="仿宋_GB2312" w:hAnsi="仿宋_GB2312" w:cs="仿宋_GB2312"/>
                <w:bCs/>
                <w:sz w:val="24"/>
                <w:szCs w:val="24"/>
              </w:rPr>
            </w:pPr>
            <w:r w:rsidRPr="005708AF">
              <w:rPr>
                <w:rFonts w:ascii="仿宋_GB2312" w:hAnsi="仿宋_GB2312" w:cs="仿宋_GB2312" w:hint="eastAsia"/>
                <w:bCs/>
                <w:sz w:val="24"/>
                <w:szCs w:val="24"/>
              </w:rPr>
              <w:t>第一节　混凝搅拌实验</w:t>
            </w:r>
          </w:p>
          <w:p w:rsidR="009613B4" w:rsidRPr="005708AF" w:rsidRDefault="009613B4" w:rsidP="008C3907">
            <w:pPr>
              <w:shd w:val="clear" w:color="auto" w:fill="FFFFFF"/>
              <w:spacing w:line="560" w:lineRule="exact"/>
              <w:ind w:firstLine="213"/>
              <w:rPr>
                <w:rFonts w:ascii="仿宋_GB2312" w:hAnsi="仿宋_GB2312" w:cs="仿宋_GB2312"/>
                <w:bCs/>
                <w:sz w:val="24"/>
                <w:szCs w:val="24"/>
              </w:rPr>
            </w:pPr>
            <w:r w:rsidRPr="005708AF">
              <w:rPr>
                <w:rFonts w:ascii="仿宋_GB2312" w:hAnsi="仿宋_GB2312" w:cs="仿宋_GB2312" w:hint="eastAsia"/>
                <w:bCs/>
                <w:sz w:val="24"/>
                <w:szCs w:val="24"/>
              </w:rPr>
              <w:t>第二节　过滤实验</w:t>
            </w:r>
          </w:p>
          <w:p w:rsidR="009613B4" w:rsidRPr="005708AF" w:rsidRDefault="009613B4" w:rsidP="008C3907">
            <w:pPr>
              <w:shd w:val="clear" w:color="auto" w:fill="FFFFFF"/>
              <w:spacing w:line="560" w:lineRule="exact"/>
              <w:ind w:firstLine="213"/>
              <w:rPr>
                <w:rFonts w:ascii="仿宋_GB2312" w:hAnsi="仿宋_GB2312" w:cs="仿宋_GB2312"/>
                <w:bCs/>
                <w:sz w:val="24"/>
                <w:szCs w:val="24"/>
              </w:rPr>
            </w:pPr>
            <w:r w:rsidRPr="005708AF">
              <w:rPr>
                <w:rFonts w:ascii="仿宋_GB2312" w:hAnsi="仿宋_GB2312" w:cs="仿宋_GB2312" w:hint="eastAsia"/>
                <w:bCs/>
                <w:sz w:val="24"/>
                <w:szCs w:val="24"/>
              </w:rPr>
              <w:t>第三节　流动电流絮凝控制系统运行实验</w:t>
            </w:r>
          </w:p>
          <w:p w:rsidR="009613B4" w:rsidRPr="005708AF" w:rsidRDefault="009613B4" w:rsidP="008C3907">
            <w:pPr>
              <w:spacing w:line="560" w:lineRule="exact"/>
              <w:ind w:firstLineChars="100" w:firstLine="240"/>
              <w:rPr>
                <w:rFonts w:ascii="仿宋_GB2312" w:hAnsi="仿宋_GB2312" w:cs="仿宋_GB2312"/>
                <w:bCs/>
                <w:sz w:val="24"/>
                <w:szCs w:val="24"/>
              </w:rPr>
            </w:pPr>
            <w:r w:rsidRPr="005708AF">
              <w:rPr>
                <w:rFonts w:ascii="仿宋_GB2312" w:hAnsi="仿宋_GB2312" w:cs="仿宋_GB2312" w:hint="eastAsia"/>
                <w:bCs/>
                <w:sz w:val="24"/>
                <w:szCs w:val="24"/>
              </w:rPr>
              <w:t>第四节　消毒实验</w:t>
            </w:r>
          </w:p>
        </w:tc>
        <w:tc>
          <w:tcPr>
            <w:tcW w:w="1927" w:type="pct"/>
            <w:vAlign w:val="center"/>
          </w:tcPr>
          <w:p w:rsidR="009613B4" w:rsidRPr="005708AF" w:rsidRDefault="009613B4" w:rsidP="005F6318">
            <w:pPr>
              <w:pStyle w:val="reader-word-layer"/>
              <w:numPr>
                <w:ilvl w:val="0"/>
                <w:numId w:val="71"/>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掌握水样混凝的最佳投药量确定方法，观察矾花的形成过程及混凝沉淀效果。</w:t>
            </w:r>
          </w:p>
          <w:p w:rsidR="009613B4" w:rsidRPr="005708AF" w:rsidRDefault="009613B4" w:rsidP="005F6318">
            <w:pPr>
              <w:numPr>
                <w:ilvl w:val="0"/>
                <w:numId w:val="71"/>
              </w:numPr>
              <w:spacing w:line="560" w:lineRule="exact"/>
              <w:ind w:left="0"/>
              <w:rPr>
                <w:rFonts w:ascii="仿宋_GB2312" w:hAnsi="仿宋_GB2312" w:cs="仿宋_GB2312"/>
                <w:bCs/>
                <w:sz w:val="24"/>
                <w:szCs w:val="24"/>
              </w:rPr>
            </w:pPr>
            <w:r w:rsidRPr="005708AF">
              <w:rPr>
                <w:rFonts w:ascii="仿宋_GB2312" w:hAnsi="仿宋_GB2312" w:cs="仿宋_GB2312" w:hint="eastAsia"/>
                <w:bCs/>
                <w:sz w:val="24"/>
                <w:szCs w:val="24"/>
              </w:rPr>
              <w:t>学会六联搅拌机、光电式浊度仪的使用，能通过实验确定水样的最佳投药量</w:t>
            </w:r>
          </w:p>
        </w:tc>
      </w:tr>
      <w:tr w:rsidR="009613B4" w:rsidRPr="005708AF" w:rsidTr="005708AF">
        <w:trPr>
          <w:trHeight w:val="1269"/>
        </w:trPr>
        <w:tc>
          <w:tcPr>
            <w:tcW w:w="275" w:type="pct"/>
            <w:vAlign w:val="center"/>
          </w:tcPr>
          <w:p w:rsidR="009613B4" w:rsidRPr="005708AF" w:rsidRDefault="009613B4" w:rsidP="008C3907">
            <w:pPr>
              <w:spacing w:line="560" w:lineRule="exact"/>
              <w:jc w:val="center"/>
              <w:rPr>
                <w:rFonts w:ascii="Times New Roman" w:hAnsi="Times New Roman"/>
                <w:bCs/>
                <w:sz w:val="24"/>
                <w:szCs w:val="24"/>
              </w:rPr>
            </w:pPr>
            <w:r w:rsidRPr="005708AF">
              <w:rPr>
                <w:rFonts w:ascii="Times New Roman" w:hAnsi="Times New Roman"/>
                <w:bCs/>
                <w:sz w:val="24"/>
                <w:szCs w:val="24"/>
              </w:rPr>
              <w:t>7</w:t>
            </w:r>
          </w:p>
        </w:tc>
        <w:tc>
          <w:tcPr>
            <w:tcW w:w="491"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第四章</w:t>
            </w:r>
          </w:p>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污水处理实验</w:t>
            </w:r>
          </w:p>
        </w:tc>
        <w:tc>
          <w:tcPr>
            <w:tcW w:w="454"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2</w:t>
            </w:r>
          </w:p>
        </w:tc>
        <w:tc>
          <w:tcPr>
            <w:tcW w:w="1852" w:type="pct"/>
            <w:vAlign w:val="center"/>
          </w:tcPr>
          <w:p w:rsidR="009613B4" w:rsidRPr="005708AF" w:rsidRDefault="009613B4" w:rsidP="005F6318">
            <w:pPr>
              <w:numPr>
                <w:ilvl w:val="0"/>
                <w:numId w:val="36"/>
              </w:numPr>
              <w:spacing w:line="560" w:lineRule="exact"/>
              <w:ind w:left="0" w:firstLine="0"/>
              <w:rPr>
                <w:rFonts w:ascii="仿宋_GB2312" w:hAnsi="仿宋_GB2312" w:cs="仿宋_GB2312"/>
                <w:bCs/>
                <w:sz w:val="24"/>
                <w:szCs w:val="24"/>
              </w:rPr>
            </w:pPr>
            <w:r w:rsidRPr="005708AF">
              <w:rPr>
                <w:rFonts w:ascii="仿宋_GB2312" w:hAnsi="仿宋_GB2312" w:cs="仿宋_GB2312" w:hint="eastAsia"/>
                <w:bCs/>
                <w:sz w:val="24"/>
                <w:szCs w:val="24"/>
              </w:rPr>
              <w:t>颗粒自由沉淀实验</w:t>
            </w:r>
          </w:p>
          <w:p w:rsidR="009613B4" w:rsidRPr="005708AF" w:rsidRDefault="009613B4" w:rsidP="005F6318">
            <w:pPr>
              <w:numPr>
                <w:ilvl w:val="0"/>
                <w:numId w:val="36"/>
              </w:numPr>
              <w:spacing w:line="560" w:lineRule="exact"/>
              <w:ind w:left="0" w:firstLine="0"/>
              <w:rPr>
                <w:rFonts w:ascii="仿宋_GB2312" w:hAnsi="仿宋_GB2312" w:cs="仿宋_GB2312"/>
                <w:bCs/>
                <w:sz w:val="24"/>
                <w:szCs w:val="24"/>
              </w:rPr>
            </w:pPr>
            <w:r w:rsidRPr="005708AF">
              <w:rPr>
                <w:rFonts w:ascii="仿宋_GB2312" w:hAnsi="仿宋_GB2312" w:cs="仿宋_GB2312" w:hint="eastAsia"/>
                <w:bCs/>
                <w:sz w:val="24"/>
                <w:szCs w:val="24"/>
              </w:rPr>
              <w:t>絮凝沉淀实验</w:t>
            </w:r>
          </w:p>
          <w:p w:rsidR="009613B4" w:rsidRPr="005708AF" w:rsidRDefault="009613B4" w:rsidP="005F6318">
            <w:pPr>
              <w:numPr>
                <w:ilvl w:val="0"/>
                <w:numId w:val="36"/>
              </w:numPr>
              <w:spacing w:line="560" w:lineRule="exact"/>
              <w:ind w:left="0" w:firstLine="0"/>
              <w:rPr>
                <w:rFonts w:ascii="仿宋_GB2312" w:hAnsi="仿宋_GB2312" w:cs="仿宋_GB2312"/>
                <w:bCs/>
                <w:sz w:val="24"/>
                <w:szCs w:val="24"/>
              </w:rPr>
            </w:pPr>
            <w:r w:rsidRPr="005708AF">
              <w:rPr>
                <w:rFonts w:ascii="仿宋_GB2312" w:hAnsi="仿宋_GB2312" w:cs="仿宋_GB2312" w:hint="eastAsia"/>
                <w:bCs/>
                <w:sz w:val="24"/>
                <w:szCs w:val="24"/>
              </w:rPr>
              <w:t>拥挤沉淀实验</w:t>
            </w:r>
          </w:p>
          <w:p w:rsidR="009613B4" w:rsidRPr="005708AF" w:rsidRDefault="009613B4" w:rsidP="005F6318">
            <w:pPr>
              <w:numPr>
                <w:ilvl w:val="0"/>
                <w:numId w:val="36"/>
              </w:numPr>
              <w:spacing w:line="560" w:lineRule="exact"/>
              <w:ind w:left="0" w:firstLine="0"/>
              <w:rPr>
                <w:rFonts w:ascii="仿宋_GB2312" w:hAnsi="仿宋_GB2312" w:cs="仿宋_GB2312"/>
                <w:bCs/>
                <w:sz w:val="24"/>
                <w:szCs w:val="24"/>
              </w:rPr>
            </w:pPr>
            <w:r w:rsidRPr="005708AF">
              <w:rPr>
                <w:rFonts w:ascii="仿宋_GB2312" w:hAnsi="仿宋_GB2312" w:cs="仿宋_GB2312" w:hint="eastAsia"/>
                <w:bCs/>
                <w:sz w:val="24"/>
                <w:szCs w:val="24"/>
              </w:rPr>
              <w:t>污水可生化性能测定实验</w:t>
            </w:r>
          </w:p>
          <w:p w:rsidR="009613B4" w:rsidRPr="005708AF" w:rsidRDefault="009613B4" w:rsidP="005F6318">
            <w:pPr>
              <w:numPr>
                <w:ilvl w:val="0"/>
                <w:numId w:val="36"/>
              </w:numPr>
              <w:spacing w:line="560" w:lineRule="exact"/>
              <w:ind w:left="0" w:firstLine="0"/>
              <w:rPr>
                <w:rFonts w:ascii="仿宋_GB2312" w:hAnsi="仿宋_GB2312" w:cs="仿宋_GB2312"/>
                <w:bCs/>
                <w:sz w:val="24"/>
                <w:szCs w:val="24"/>
              </w:rPr>
            </w:pPr>
            <w:r w:rsidRPr="005708AF">
              <w:rPr>
                <w:rFonts w:ascii="仿宋_GB2312" w:hAnsi="仿宋_GB2312" w:cs="仿宋_GB2312" w:hint="eastAsia"/>
                <w:bCs/>
                <w:sz w:val="24"/>
                <w:szCs w:val="24"/>
              </w:rPr>
              <w:t>活性污泥活性测定实验</w:t>
            </w:r>
          </w:p>
          <w:p w:rsidR="009613B4" w:rsidRPr="005708AF" w:rsidRDefault="009613B4" w:rsidP="005F6318">
            <w:pPr>
              <w:numPr>
                <w:ilvl w:val="0"/>
                <w:numId w:val="36"/>
              </w:numPr>
              <w:spacing w:line="560" w:lineRule="exact"/>
              <w:ind w:left="0" w:firstLine="0"/>
              <w:rPr>
                <w:rFonts w:ascii="仿宋_GB2312" w:hAnsi="仿宋_GB2312" w:cs="仿宋_GB2312"/>
                <w:bCs/>
                <w:sz w:val="24"/>
                <w:szCs w:val="24"/>
              </w:rPr>
            </w:pPr>
            <w:r w:rsidRPr="005708AF">
              <w:rPr>
                <w:rFonts w:ascii="仿宋_GB2312" w:hAnsi="仿宋_GB2312" w:cs="仿宋_GB2312" w:hint="eastAsia"/>
                <w:bCs/>
                <w:sz w:val="24"/>
                <w:szCs w:val="24"/>
              </w:rPr>
              <w:t>好氧生物处理实验</w:t>
            </w:r>
          </w:p>
          <w:p w:rsidR="009613B4" w:rsidRPr="005708AF" w:rsidRDefault="009613B4" w:rsidP="005F6318">
            <w:pPr>
              <w:numPr>
                <w:ilvl w:val="0"/>
                <w:numId w:val="36"/>
              </w:numPr>
              <w:spacing w:line="560" w:lineRule="exact"/>
              <w:ind w:left="0" w:firstLine="0"/>
              <w:rPr>
                <w:rFonts w:ascii="仿宋_GB2312" w:hAnsi="仿宋_GB2312" w:cs="仿宋_GB2312"/>
                <w:bCs/>
                <w:sz w:val="24"/>
                <w:szCs w:val="24"/>
              </w:rPr>
            </w:pPr>
            <w:r w:rsidRPr="005708AF">
              <w:rPr>
                <w:rFonts w:ascii="仿宋_GB2312" w:hAnsi="仿宋_GB2312" w:cs="仿宋_GB2312" w:hint="eastAsia"/>
                <w:bCs/>
                <w:sz w:val="24"/>
                <w:szCs w:val="24"/>
              </w:rPr>
              <w:lastRenderedPageBreak/>
              <w:t>曝气充氧实验</w:t>
            </w:r>
          </w:p>
        </w:tc>
        <w:tc>
          <w:tcPr>
            <w:tcW w:w="1927" w:type="pct"/>
            <w:vAlign w:val="center"/>
          </w:tcPr>
          <w:p w:rsidR="009613B4" w:rsidRPr="005708AF" w:rsidRDefault="009613B4" w:rsidP="005F6318">
            <w:pPr>
              <w:numPr>
                <w:ilvl w:val="0"/>
                <w:numId w:val="72"/>
              </w:numPr>
              <w:autoSpaceDE w:val="0"/>
              <w:autoSpaceDN w:val="0"/>
              <w:spacing w:line="560" w:lineRule="exact"/>
              <w:ind w:left="0"/>
              <w:rPr>
                <w:rFonts w:ascii="仿宋_GB2312" w:hAnsi="仿宋_GB2312" w:cs="仿宋_GB2312"/>
                <w:bCs/>
                <w:sz w:val="24"/>
                <w:szCs w:val="24"/>
              </w:rPr>
            </w:pPr>
            <w:r w:rsidRPr="005708AF">
              <w:rPr>
                <w:rFonts w:ascii="仿宋_GB2312" w:hAnsi="仿宋_GB2312" w:cs="仿宋_GB2312" w:hint="eastAsia"/>
                <w:bCs/>
                <w:sz w:val="24"/>
                <w:szCs w:val="24"/>
              </w:rPr>
              <w:lastRenderedPageBreak/>
              <w:t>加深对冲洗强度与滤层膨胀率关系及滤速与清洁滤层水头损失关系的理解</w:t>
            </w:r>
          </w:p>
          <w:p w:rsidR="009613B4" w:rsidRPr="005708AF" w:rsidRDefault="009613B4" w:rsidP="005F6318">
            <w:pPr>
              <w:numPr>
                <w:ilvl w:val="0"/>
                <w:numId w:val="72"/>
              </w:numPr>
              <w:autoSpaceDE w:val="0"/>
              <w:autoSpaceDN w:val="0"/>
              <w:spacing w:line="560" w:lineRule="exact"/>
              <w:ind w:left="0"/>
              <w:rPr>
                <w:rFonts w:ascii="仿宋_GB2312" w:hAnsi="仿宋_GB2312" w:cs="仿宋_GB2312"/>
                <w:bCs/>
                <w:sz w:val="24"/>
                <w:szCs w:val="24"/>
              </w:rPr>
            </w:pPr>
            <w:r w:rsidRPr="005708AF">
              <w:rPr>
                <w:rFonts w:ascii="仿宋_GB2312" w:hAnsi="仿宋_GB2312" w:cs="仿宋_GB2312" w:hint="eastAsia"/>
                <w:bCs/>
                <w:sz w:val="24"/>
                <w:szCs w:val="24"/>
              </w:rPr>
              <w:t>熟悉普通快滤池过滤与反冲洗的工作过程。</w:t>
            </w:r>
          </w:p>
          <w:p w:rsidR="009613B4" w:rsidRPr="005708AF" w:rsidRDefault="009613B4" w:rsidP="005F6318">
            <w:pPr>
              <w:numPr>
                <w:ilvl w:val="0"/>
                <w:numId w:val="72"/>
              </w:numPr>
              <w:autoSpaceDE w:val="0"/>
              <w:autoSpaceDN w:val="0"/>
              <w:spacing w:line="560" w:lineRule="exact"/>
              <w:ind w:left="0"/>
              <w:rPr>
                <w:rFonts w:ascii="仿宋_GB2312" w:hAnsi="仿宋_GB2312" w:cs="仿宋_GB2312"/>
                <w:bCs/>
                <w:sz w:val="24"/>
                <w:szCs w:val="24"/>
              </w:rPr>
            </w:pPr>
            <w:r w:rsidRPr="005708AF">
              <w:rPr>
                <w:rFonts w:ascii="仿宋_GB2312" w:hAnsi="仿宋_GB2312" w:cs="仿宋_GB2312" w:hint="eastAsia"/>
                <w:bCs/>
                <w:sz w:val="24"/>
                <w:szCs w:val="24"/>
              </w:rPr>
              <w:t>学会测定清洁滤层水头损失及滤层膨胀率，能测定滤池工作中的主要技术参数。</w:t>
            </w:r>
          </w:p>
          <w:p w:rsidR="009613B4" w:rsidRPr="005708AF" w:rsidRDefault="009613B4" w:rsidP="005F6318">
            <w:pPr>
              <w:pStyle w:val="reader-word-layer"/>
              <w:numPr>
                <w:ilvl w:val="0"/>
                <w:numId w:val="72"/>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lastRenderedPageBreak/>
              <w:t>掌握正交试验的设计方法，了解微污染水源水中天然有机物与氯消毒副产物形成的关系。</w:t>
            </w:r>
          </w:p>
          <w:p w:rsidR="009613B4" w:rsidRPr="005708AF" w:rsidRDefault="009613B4" w:rsidP="005F6318">
            <w:pPr>
              <w:pStyle w:val="reader-word-layer"/>
              <w:numPr>
                <w:ilvl w:val="0"/>
                <w:numId w:val="72"/>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能通过实验确定水样中NOM去除的适宜粉末活性炭投加量、最佳絮凝剂投药种类、最佳絮凝剂投加量以及最佳反应时间，并能判断上述四种影响因素的主次。</w:t>
            </w:r>
          </w:p>
          <w:p w:rsidR="009613B4" w:rsidRPr="005708AF" w:rsidRDefault="009613B4" w:rsidP="005F6318">
            <w:pPr>
              <w:pStyle w:val="reader-word-layer"/>
              <w:numPr>
                <w:ilvl w:val="0"/>
                <w:numId w:val="72"/>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研究浓度较稀时的单颗粒的沉淀规律，加深对其沉淀特点、基本概念的理解。</w:t>
            </w:r>
          </w:p>
          <w:p w:rsidR="009613B4" w:rsidRPr="005708AF" w:rsidRDefault="009613B4" w:rsidP="005F6318">
            <w:pPr>
              <w:pStyle w:val="reader-word-layer"/>
              <w:numPr>
                <w:ilvl w:val="0"/>
                <w:numId w:val="72"/>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掌握颗粒自由沉淀实验的方法，并能对实验数据进行分析、整理、计算和绘制颗粒自由沉淀曲线。</w:t>
            </w:r>
          </w:p>
          <w:p w:rsidR="009613B4" w:rsidRPr="005708AF" w:rsidRDefault="009613B4" w:rsidP="005F6318">
            <w:pPr>
              <w:pStyle w:val="reader-word-layer"/>
              <w:numPr>
                <w:ilvl w:val="0"/>
                <w:numId w:val="72"/>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学习了解曝气设备充氧能力测定的实验方法，加深对曝气充氧机理的认识。</w:t>
            </w:r>
          </w:p>
          <w:p w:rsidR="009613B4" w:rsidRPr="005708AF" w:rsidRDefault="009613B4" w:rsidP="005F6318">
            <w:pPr>
              <w:pStyle w:val="reader-word-layer"/>
              <w:numPr>
                <w:ilvl w:val="0"/>
                <w:numId w:val="72"/>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掌握曝气设备充氧性能的测定方法，熟悉曝气设备氧总转系数</w:t>
            </w:r>
          </w:p>
          <w:p w:rsidR="009613B4" w:rsidRPr="005708AF" w:rsidRDefault="009613B4" w:rsidP="005F6318">
            <w:pPr>
              <w:pStyle w:val="reader-word-layer"/>
              <w:numPr>
                <w:ilvl w:val="0"/>
                <w:numId w:val="72"/>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lastRenderedPageBreak/>
              <w:t>KLa及其他各项评价指标的计算方法。</w:t>
            </w:r>
          </w:p>
          <w:p w:rsidR="009613B4" w:rsidRPr="005708AF" w:rsidRDefault="009613B4" w:rsidP="008C3907">
            <w:pPr>
              <w:pStyle w:val="reader-word-layer"/>
              <w:shd w:val="clear" w:color="auto" w:fill="FCFCFC"/>
              <w:spacing w:before="0" w:beforeAutospacing="0" w:after="0" w:afterAutospacing="0" w:line="560" w:lineRule="exact"/>
              <w:jc w:val="both"/>
              <w:rPr>
                <w:rFonts w:ascii="仿宋_GB2312" w:hAnsi="仿宋_GB2312" w:cs="仿宋_GB2312"/>
                <w:bCs/>
                <w:kern w:val="2"/>
              </w:rPr>
            </w:pPr>
            <w:r w:rsidRPr="005708AF">
              <w:rPr>
                <w:rFonts w:ascii="仿宋_GB2312" w:hAnsi="仿宋_GB2312" w:cs="仿宋_GB2312" w:hint="eastAsia"/>
                <w:bCs/>
                <w:kern w:val="2"/>
              </w:rPr>
              <w:t xml:space="preserve">  </w:t>
            </w:r>
          </w:p>
        </w:tc>
      </w:tr>
      <w:tr w:rsidR="009613B4" w:rsidRPr="005708AF" w:rsidTr="005708AF">
        <w:trPr>
          <w:trHeight w:val="990"/>
        </w:trPr>
        <w:tc>
          <w:tcPr>
            <w:tcW w:w="275" w:type="pct"/>
            <w:vAlign w:val="center"/>
          </w:tcPr>
          <w:p w:rsidR="009613B4" w:rsidRPr="005708AF" w:rsidRDefault="009613B4" w:rsidP="008C3907">
            <w:pPr>
              <w:spacing w:line="560" w:lineRule="exact"/>
              <w:jc w:val="center"/>
              <w:rPr>
                <w:rFonts w:ascii="Times New Roman" w:hAnsi="Times New Roman"/>
                <w:bCs/>
                <w:sz w:val="24"/>
                <w:szCs w:val="24"/>
              </w:rPr>
            </w:pPr>
            <w:r w:rsidRPr="005708AF">
              <w:rPr>
                <w:rFonts w:ascii="Times New Roman" w:hAnsi="Times New Roman"/>
                <w:bCs/>
                <w:sz w:val="24"/>
                <w:szCs w:val="24"/>
              </w:rPr>
              <w:lastRenderedPageBreak/>
              <w:t>8</w:t>
            </w:r>
          </w:p>
        </w:tc>
        <w:tc>
          <w:tcPr>
            <w:tcW w:w="491"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第四章</w:t>
            </w:r>
          </w:p>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污水处理实验</w:t>
            </w:r>
          </w:p>
        </w:tc>
        <w:tc>
          <w:tcPr>
            <w:tcW w:w="454" w:type="pct"/>
            <w:vAlign w:val="center"/>
          </w:tcPr>
          <w:p w:rsidR="009613B4" w:rsidRPr="005708AF" w:rsidRDefault="009613B4" w:rsidP="008C3907">
            <w:pPr>
              <w:spacing w:line="560" w:lineRule="exact"/>
              <w:jc w:val="center"/>
              <w:rPr>
                <w:rFonts w:ascii="仿宋_GB2312" w:hAnsi="仿宋_GB2312" w:cs="仿宋_GB2312"/>
                <w:bCs/>
                <w:sz w:val="24"/>
                <w:szCs w:val="24"/>
              </w:rPr>
            </w:pPr>
            <w:r w:rsidRPr="005708AF">
              <w:rPr>
                <w:rFonts w:ascii="仿宋_GB2312" w:hAnsi="仿宋_GB2312" w:cs="仿宋_GB2312" w:hint="eastAsia"/>
                <w:bCs/>
                <w:sz w:val="24"/>
                <w:szCs w:val="24"/>
              </w:rPr>
              <w:t>2</w:t>
            </w:r>
          </w:p>
        </w:tc>
        <w:tc>
          <w:tcPr>
            <w:tcW w:w="1852" w:type="pct"/>
            <w:vAlign w:val="center"/>
          </w:tcPr>
          <w:p w:rsidR="009613B4" w:rsidRPr="005708AF" w:rsidRDefault="009613B4" w:rsidP="008C3907">
            <w:pPr>
              <w:spacing w:line="560" w:lineRule="exact"/>
              <w:ind w:firstLine="1"/>
              <w:rPr>
                <w:rFonts w:ascii="仿宋_GB2312" w:hAnsi="仿宋_GB2312" w:cs="仿宋_GB2312"/>
                <w:bCs/>
                <w:sz w:val="24"/>
                <w:szCs w:val="24"/>
              </w:rPr>
            </w:pPr>
            <w:r w:rsidRPr="005708AF">
              <w:rPr>
                <w:rFonts w:ascii="仿宋_GB2312" w:hAnsi="仿宋_GB2312" w:cs="仿宋_GB2312" w:hint="eastAsia"/>
                <w:bCs/>
                <w:sz w:val="24"/>
                <w:szCs w:val="24"/>
              </w:rPr>
              <w:t>第八节 间歇式活性污泥法实验</w:t>
            </w:r>
          </w:p>
          <w:p w:rsidR="009613B4" w:rsidRPr="005708AF" w:rsidRDefault="009613B4" w:rsidP="008C3907">
            <w:pPr>
              <w:spacing w:line="560" w:lineRule="exact"/>
              <w:ind w:firstLine="1"/>
              <w:rPr>
                <w:rFonts w:ascii="仿宋_GB2312" w:hAnsi="仿宋_GB2312" w:cs="仿宋_GB2312"/>
                <w:bCs/>
                <w:sz w:val="24"/>
                <w:szCs w:val="24"/>
              </w:rPr>
            </w:pPr>
            <w:r w:rsidRPr="005708AF">
              <w:rPr>
                <w:rFonts w:ascii="仿宋_GB2312" w:hAnsi="仿宋_GB2312" w:cs="仿宋_GB2312" w:hint="eastAsia"/>
                <w:bCs/>
                <w:sz w:val="24"/>
                <w:szCs w:val="24"/>
              </w:rPr>
              <w:t>第九节 高负荷生物滤池实验</w:t>
            </w:r>
          </w:p>
          <w:p w:rsidR="009613B4" w:rsidRPr="005708AF" w:rsidRDefault="009613B4" w:rsidP="008C3907">
            <w:pPr>
              <w:spacing w:line="560" w:lineRule="exact"/>
              <w:ind w:firstLine="1"/>
              <w:rPr>
                <w:rFonts w:ascii="仿宋_GB2312" w:hAnsi="仿宋_GB2312" w:cs="仿宋_GB2312"/>
                <w:bCs/>
                <w:sz w:val="24"/>
                <w:szCs w:val="24"/>
              </w:rPr>
            </w:pPr>
            <w:r w:rsidRPr="005708AF">
              <w:rPr>
                <w:rFonts w:ascii="仿宋_GB2312" w:hAnsi="仿宋_GB2312" w:cs="仿宋_GB2312" w:hint="eastAsia"/>
                <w:bCs/>
                <w:sz w:val="24"/>
                <w:szCs w:val="24"/>
              </w:rPr>
              <w:t>第十节 污水处理动态模型实验</w:t>
            </w:r>
          </w:p>
          <w:p w:rsidR="009613B4" w:rsidRPr="005708AF" w:rsidRDefault="009613B4" w:rsidP="008C3907">
            <w:pPr>
              <w:spacing w:line="560" w:lineRule="exact"/>
              <w:ind w:firstLine="1"/>
              <w:rPr>
                <w:rFonts w:ascii="仿宋_GB2312" w:hAnsi="仿宋_GB2312" w:cs="仿宋_GB2312"/>
                <w:bCs/>
                <w:sz w:val="24"/>
                <w:szCs w:val="24"/>
              </w:rPr>
            </w:pPr>
            <w:r w:rsidRPr="005708AF">
              <w:rPr>
                <w:rFonts w:ascii="仿宋_GB2312" w:hAnsi="仿宋_GB2312" w:cs="仿宋_GB2312" w:hint="eastAsia"/>
                <w:bCs/>
                <w:sz w:val="24"/>
                <w:szCs w:val="24"/>
              </w:rPr>
              <w:t>第十一节 膜生物反应器实验</w:t>
            </w:r>
          </w:p>
          <w:p w:rsidR="009613B4" w:rsidRPr="005708AF" w:rsidRDefault="009613B4" w:rsidP="008C3907">
            <w:pPr>
              <w:spacing w:line="560" w:lineRule="exact"/>
              <w:ind w:firstLine="1"/>
              <w:rPr>
                <w:rFonts w:ascii="仿宋_GB2312" w:hAnsi="仿宋_GB2312" w:cs="仿宋_GB2312"/>
                <w:bCs/>
                <w:sz w:val="24"/>
                <w:szCs w:val="24"/>
              </w:rPr>
            </w:pPr>
            <w:r w:rsidRPr="005708AF">
              <w:rPr>
                <w:rFonts w:ascii="仿宋_GB2312" w:hAnsi="仿宋_GB2312" w:cs="仿宋_GB2312" w:hint="eastAsia"/>
                <w:bCs/>
                <w:sz w:val="24"/>
                <w:szCs w:val="24"/>
              </w:rPr>
              <w:t>第十二节 污水和污泥厌氧消化实验</w:t>
            </w:r>
          </w:p>
          <w:p w:rsidR="009613B4" w:rsidRPr="005708AF" w:rsidRDefault="009613B4" w:rsidP="008C3907">
            <w:pPr>
              <w:spacing w:line="560" w:lineRule="exact"/>
              <w:ind w:firstLine="1"/>
              <w:rPr>
                <w:rFonts w:ascii="仿宋_GB2312" w:hAnsi="仿宋_GB2312" w:cs="仿宋_GB2312"/>
                <w:bCs/>
                <w:sz w:val="24"/>
                <w:szCs w:val="24"/>
              </w:rPr>
            </w:pPr>
            <w:r w:rsidRPr="005708AF">
              <w:rPr>
                <w:rFonts w:ascii="仿宋_GB2312" w:hAnsi="仿宋_GB2312" w:cs="仿宋_GB2312" w:hint="eastAsia"/>
                <w:bCs/>
                <w:sz w:val="24"/>
                <w:szCs w:val="24"/>
              </w:rPr>
              <w:t>第十三节 污泥脱水性能实验</w:t>
            </w:r>
          </w:p>
          <w:p w:rsidR="009613B4" w:rsidRPr="005708AF" w:rsidRDefault="009613B4" w:rsidP="008C3907">
            <w:pPr>
              <w:spacing w:line="560" w:lineRule="exact"/>
              <w:ind w:firstLine="1"/>
              <w:rPr>
                <w:rFonts w:ascii="仿宋_GB2312" w:hAnsi="仿宋_GB2312" w:cs="仿宋_GB2312"/>
                <w:bCs/>
                <w:sz w:val="24"/>
                <w:szCs w:val="24"/>
              </w:rPr>
            </w:pPr>
            <w:r w:rsidRPr="005708AF">
              <w:rPr>
                <w:rFonts w:ascii="仿宋_GB2312" w:hAnsi="仿宋_GB2312" w:cs="仿宋_GB2312" w:hint="eastAsia"/>
                <w:bCs/>
                <w:sz w:val="24"/>
                <w:szCs w:val="24"/>
              </w:rPr>
              <w:t>第十四节 气浮实验</w:t>
            </w:r>
          </w:p>
          <w:p w:rsidR="009613B4" w:rsidRPr="005708AF" w:rsidRDefault="009613B4" w:rsidP="008C3907">
            <w:pPr>
              <w:spacing w:line="560" w:lineRule="exact"/>
              <w:ind w:firstLine="1"/>
              <w:rPr>
                <w:rFonts w:ascii="仿宋_GB2312" w:hAnsi="仿宋_GB2312" w:cs="仿宋_GB2312"/>
                <w:bCs/>
                <w:sz w:val="24"/>
                <w:szCs w:val="24"/>
              </w:rPr>
            </w:pPr>
            <w:r w:rsidRPr="005708AF">
              <w:rPr>
                <w:rFonts w:ascii="仿宋_GB2312" w:hAnsi="仿宋_GB2312" w:cs="仿宋_GB2312" w:hint="eastAsia"/>
                <w:bCs/>
                <w:sz w:val="24"/>
                <w:szCs w:val="24"/>
              </w:rPr>
              <w:t>第十五节 活性炭吸附实验</w:t>
            </w:r>
          </w:p>
          <w:p w:rsidR="009613B4" w:rsidRPr="005708AF" w:rsidRDefault="009613B4" w:rsidP="008C3907">
            <w:pPr>
              <w:spacing w:line="560" w:lineRule="exact"/>
              <w:ind w:firstLine="1"/>
              <w:rPr>
                <w:rFonts w:ascii="仿宋_GB2312" w:hAnsi="仿宋_GB2312" w:cs="仿宋_GB2312"/>
                <w:bCs/>
                <w:sz w:val="24"/>
                <w:szCs w:val="24"/>
              </w:rPr>
            </w:pPr>
            <w:r w:rsidRPr="005708AF">
              <w:rPr>
                <w:rFonts w:ascii="仿宋_GB2312" w:hAnsi="仿宋_GB2312" w:cs="仿宋_GB2312" w:hint="eastAsia"/>
                <w:bCs/>
                <w:sz w:val="24"/>
                <w:szCs w:val="24"/>
              </w:rPr>
              <w:t>第十六节 酸性污水升流式过滤中和及吹脱实验</w:t>
            </w:r>
          </w:p>
        </w:tc>
        <w:tc>
          <w:tcPr>
            <w:tcW w:w="1927" w:type="pct"/>
            <w:vAlign w:val="center"/>
          </w:tcPr>
          <w:p w:rsidR="009613B4" w:rsidRPr="005708AF" w:rsidRDefault="009613B4" w:rsidP="005F6318">
            <w:pPr>
              <w:pStyle w:val="reader-word-layer"/>
              <w:numPr>
                <w:ilvl w:val="0"/>
                <w:numId w:val="73"/>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了解膜法水处理的实验方法，加深对超滤、微滤在水处理中作用的认识。</w:t>
            </w:r>
          </w:p>
          <w:p w:rsidR="009613B4" w:rsidRPr="005708AF" w:rsidRDefault="009613B4" w:rsidP="005F6318">
            <w:pPr>
              <w:pStyle w:val="reader-word-layer"/>
              <w:numPr>
                <w:ilvl w:val="0"/>
                <w:numId w:val="73"/>
              </w:numPr>
              <w:shd w:val="clear" w:color="auto" w:fill="FCFCFC"/>
              <w:spacing w:before="0" w:beforeAutospacing="0" w:after="0" w:afterAutospacing="0" w:line="560" w:lineRule="exact"/>
              <w:ind w:left="0"/>
              <w:jc w:val="both"/>
              <w:rPr>
                <w:rFonts w:ascii="仿宋_GB2312" w:hAnsi="仿宋_GB2312" w:cs="仿宋_GB2312"/>
                <w:bCs/>
                <w:kern w:val="2"/>
              </w:rPr>
            </w:pPr>
            <w:r w:rsidRPr="005708AF">
              <w:rPr>
                <w:rFonts w:ascii="仿宋_GB2312" w:hAnsi="仿宋_GB2312" w:cs="仿宋_GB2312" w:hint="eastAsia"/>
                <w:bCs/>
                <w:kern w:val="2"/>
              </w:rPr>
              <w:t>熟悉超滤、微滤等膜滤组件及相应功能，能根据处理要求选择采用何种膜滤方式。</w:t>
            </w:r>
          </w:p>
          <w:p w:rsidR="009613B4" w:rsidRPr="005708AF" w:rsidRDefault="009613B4" w:rsidP="008C3907">
            <w:pPr>
              <w:spacing w:line="560" w:lineRule="exact"/>
              <w:rPr>
                <w:rFonts w:ascii="仿宋_GB2312" w:hAnsi="仿宋_GB2312" w:cs="仿宋_GB2312"/>
                <w:bCs/>
                <w:sz w:val="24"/>
                <w:szCs w:val="24"/>
              </w:rPr>
            </w:pPr>
          </w:p>
        </w:tc>
      </w:tr>
    </w:tbl>
    <w:p w:rsidR="009613B4" w:rsidRDefault="009613B4" w:rsidP="009613B4">
      <w:pPr>
        <w:spacing w:line="560" w:lineRule="exact"/>
        <w:jc w:val="center"/>
        <w:rPr>
          <w:rFonts w:ascii="仿宋_GB2312" w:hAnsi="仿宋_GB2312" w:cs="仿宋_GB2312"/>
          <w:bCs/>
          <w:sz w:val="28"/>
          <w:szCs w:val="28"/>
        </w:rPr>
      </w:pPr>
    </w:p>
    <w:p w:rsidR="009613B4" w:rsidRDefault="009613B4" w:rsidP="009613B4">
      <w:pPr>
        <w:spacing w:line="560" w:lineRule="exact"/>
        <w:rPr>
          <w:rFonts w:ascii="黑体" w:eastAsia="黑体" w:hAnsi="黑体" w:cs="仿宋_GB2312"/>
          <w:b/>
          <w:bCs/>
          <w:sz w:val="28"/>
          <w:szCs w:val="28"/>
        </w:rPr>
      </w:pPr>
      <w:r>
        <w:rPr>
          <w:rFonts w:ascii="黑体" w:eastAsia="黑体" w:hAnsi="黑体" w:cs="仿宋_GB2312" w:hint="eastAsia"/>
          <w:b/>
          <w:bCs/>
          <w:sz w:val="28"/>
          <w:szCs w:val="28"/>
        </w:rPr>
        <w:t>五、课程考核方式与成绩评定</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1. 课程考核</w:t>
      </w:r>
    </w:p>
    <w:p w:rsidR="009613B4" w:rsidRDefault="009613B4" w:rsidP="009613B4">
      <w:pPr>
        <w:spacing w:line="560" w:lineRule="exact"/>
        <w:ind w:firstLineChars="203" w:firstLine="568"/>
        <w:rPr>
          <w:rFonts w:ascii="仿宋_GB2312" w:hAnsi="仿宋_GB2312" w:cs="仿宋_GB2312"/>
          <w:bCs/>
          <w:sz w:val="28"/>
          <w:szCs w:val="28"/>
        </w:rPr>
      </w:pPr>
      <w:r>
        <w:rPr>
          <w:rFonts w:ascii="仿宋_GB2312" w:hAnsi="仿宋_GB2312" w:cs="仿宋_GB2312" w:hint="eastAsia"/>
          <w:bCs/>
          <w:sz w:val="28"/>
          <w:szCs w:val="28"/>
        </w:rPr>
        <w:t>采用平时成绩+期末考试方式确定总评成绩</w:t>
      </w:r>
    </w:p>
    <w:p w:rsidR="009613B4" w:rsidRDefault="009613B4" w:rsidP="005F6318">
      <w:pPr>
        <w:numPr>
          <w:ilvl w:val="0"/>
          <w:numId w:val="2"/>
        </w:num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成绩评定</w:t>
      </w:r>
    </w:p>
    <w:p w:rsidR="009613B4" w:rsidRDefault="009613B4" w:rsidP="009613B4">
      <w:pPr>
        <w:spacing w:line="560" w:lineRule="exact"/>
        <w:ind w:firstLineChars="203" w:firstLine="568"/>
        <w:rPr>
          <w:rFonts w:ascii="仿宋_GB2312" w:hAnsi="仿宋_GB2312" w:cs="仿宋_GB2312"/>
          <w:bCs/>
          <w:sz w:val="28"/>
          <w:szCs w:val="28"/>
        </w:rPr>
      </w:pPr>
      <w:r>
        <w:rPr>
          <w:rFonts w:ascii="仿宋_GB2312" w:hAnsi="仿宋_GB2312" w:cs="仿宋_GB2312" w:hint="eastAsia"/>
          <w:bCs/>
          <w:sz w:val="28"/>
          <w:szCs w:val="28"/>
        </w:rPr>
        <w:lastRenderedPageBreak/>
        <w:t>成绩评定方式为百分制，平时成绩考核包括作业、讨论、出勤等内容，期末考试采用闭卷方式；平时成绩占20%</w:t>
      </w:r>
      <w:r>
        <w:rPr>
          <w:rFonts w:ascii="仿宋_GB2312" w:hAnsi="仿宋_GB2312" w:cs="仿宋_GB2312"/>
          <w:bCs/>
          <w:sz w:val="28"/>
          <w:szCs w:val="28"/>
        </w:rPr>
        <w:t>~</w:t>
      </w:r>
      <w:r>
        <w:rPr>
          <w:rFonts w:ascii="仿宋_GB2312" w:hAnsi="仿宋_GB2312" w:cs="仿宋_GB2312" w:hint="eastAsia"/>
          <w:bCs/>
          <w:sz w:val="28"/>
          <w:szCs w:val="28"/>
        </w:rPr>
        <w:t>30%。</w:t>
      </w:r>
    </w:p>
    <w:p w:rsidR="009613B4" w:rsidRDefault="009613B4" w:rsidP="009613B4">
      <w:pPr>
        <w:spacing w:line="560" w:lineRule="exact"/>
        <w:ind w:firstLineChars="203" w:firstLine="568"/>
        <w:rPr>
          <w:rFonts w:ascii="仿宋_GB2312" w:hAnsi="仿宋_GB2312" w:cs="仿宋_GB2312"/>
          <w:bCs/>
          <w:sz w:val="28"/>
          <w:szCs w:val="28"/>
        </w:rPr>
      </w:pPr>
      <w:r>
        <w:rPr>
          <w:rFonts w:ascii="仿宋_GB2312" w:hAnsi="仿宋_GB2312" w:cs="仿宋_GB2312"/>
          <w:bCs/>
          <w:sz w:val="28"/>
          <w:szCs w:val="28"/>
        </w:rPr>
        <w:t>课程总成绩=期末成绩（80~70）%+平时成绩（20~30）</w:t>
      </w:r>
      <w:r>
        <w:rPr>
          <w:rFonts w:ascii="仿宋_GB2312" w:hAnsi="仿宋_GB2312" w:cs="仿宋_GB2312" w:hint="eastAsia"/>
          <w:bCs/>
          <w:sz w:val="28"/>
          <w:szCs w:val="28"/>
        </w:rPr>
        <w:t>%</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9613B4" w:rsidRDefault="009613B4" w:rsidP="009613B4">
      <w:pPr>
        <w:spacing w:line="560" w:lineRule="exact"/>
        <w:ind w:firstLineChars="157" w:firstLine="440"/>
        <w:rPr>
          <w:rFonts w:ascii="仿宋_GB2312" w:hAnsi="仿宋_GB2312" w:cs="仿宋_GB2312"/>
          <w:bCs/>
          <w:sz w:val="28"/>
          <w:szCs w:val="28"/>
        </w:rPr>
      </w:pPr>
      <w:r>
        <w:rPr>
          <w:rFonts w:ascii="仿宋_GB2312" w:hAnsi="仿宋_GB2312" w:cs="仿宋_GB2312" w:hint="eastAsia"/>
          <w:bCs/>
          <w:sz w:val="28"/>
          <w:szCs w:val="28"/>
        </w:rPr>
        <w:t>主教材：《水处理实验技术》（第三版），吴俊奇、李燕城编著，中国建筑工业出版社，2009年出版。</w:t>
      </w:r>
    </w:p>
    <w:p w:rsidR="009613B4" w:rsidRDefault="009613B4" w:rsidP="009613B4">
      <w:pPr>
        <w:spacing w:line="560" w:lineRule="exact"/>
        <w:ind w:firstLineChars="307" w:firstLine="860"/>
        <w:rPr>
          <w:rFonts w:ascii="仿宋_GB2312" w:hAnsi="仿宋_GB2312" w:cs="仿宋_GB2312"/>
          <w:bCs/>
          <w:sz w:val="28"/>
          <w:szCs w:val="28"/>
        </w:rPr>
      </w:pPr>
      <w:r>
        <w:rPr>
          <w:rFonts w:ascii="仿宋_GB2312" w:hAnsi="仿宋_GB2312" w:cs="仿宋_GB2312" w:hint="eastAsia"/>
          <w:bCs/>
          <w:sz w:val="28"/>
          <w:szCs w:val="28"/>
        </w:rPr>
        <w:t>辅助教材：无</w:t>
      </w:r>
    </w:p>
    <w:p w:rsidR="009613B4" w:rsidRDefault="009613B4" w:rsidP="009613B4">
      <w:pPr>
        <w:spacing w:line="560" w:lineRule="exact"/>
        <w:ind w:firstLineChars="307" w:firstLine="860"/>
        <w:rPr>
          <w:rFonts w:ascii="仿宋_GB2312" w:hAnsi="仿宋_GB2312" w:cs="仿宋_GB2312"/>
          <w:bCs/>
          <w:sz w:val="28"/>
          <w:szCs w:val="28"/>
        </w:rPr>
      </w:pPr>
      <w:r>
        <w:rPr>
          <w:rFonts w:ascii="仿宋_GB2312" w:hAnsi="仿宋_GB2312" w:cs="仿宋_GB2312" w:hint="eastAsia"/>
          <w:bCs/>
          <w:sz w:val="28"/>
          <w:szCs w:val="28"/>
        </w:rPr>
        <w:t>参考教材：</w:t>
      </w:r>
    </w:p>
    <w:p w:rsidR="009613B4" w:rsidRDefault="009613B4" w:rsidP="005F6318">
      <w:pPr>
        <w:numPr>
          <w:ilvl w:val="0"/>
          <w:numId w:val="74"/>
        </w:numPr>
        <w:spacing w:line="560" w:lineRule="exact"/>
        <w:ind w:left="0" w:firstLine="495"/>
        <w:rPr>
          <w:rFonts w:ascii="仿宋_GB2312" w:hAnsi="仿宋_GB2312" w:cs="仿宋_GB2312"/>
          <w:bCs/>
          <w:sz w:val="28"/>
          <w:szCs w:val="28"/>
        </w:rPr>
      </w:pPr>
      <w:r>
        <w:rPr>
          <w:rFonts w:ascii="仿宋_GB2312" w:hAnsi="仿宋_GB2312" w:cs="仿宋_GB2312" w:hint="eastAsia"/>
          <w:bCs/>
          <w:sz w:val="28"/>
          <w:szCs w:val="28"/>
        </w:rPr>
        <w:t>《排水工程》（下册）（第五版），张自杰等编著，中国建筑工业出版社</w:t>
      </w:r>
    </w:p>
    <w:p w:rsidR="009613B4" w:rsidRDefault="009613B4" w:rsidP="005F6318">
      <w:pPr>
        <w:numPr>
          <w:ilvl w:val="0"/>
          <w:numId w:val="74"/>
        </w:numPr>
        <w:spacing w:line="560" w:lineRule="exact"/>
        <w:ind w:left="0" w:firstLine="495"/>
        <w:rPr>
          <w:rFonts w:ascii="仿宋_GB2312" w:hAnsi="仿宋_GB2312" w:cs="仿宋_GB2312"/>
          <w:bCs/>
          <w:sz w:val="28"/>
          <w:szCs w:val="28"/>
        </w:rPr>
      </w:pPr>
      <w:r>
        <w:rPr>
          <w:rFonts w:ascii="仿宋_GB2312" w:hAnsi="仿宋_GB2312" w:cs="仿宋_GB2312" w:hint="eastAsia"/>
          <w:bCs/>
          <w:sz w:val="28"/>
          <w:szCs w:val="28"/>
        </w:rPr>
        <w:t>《水处理有机化学》（第三版），蔡素德等编著，中国建筑工业出版社</w:t>
      </w:r>
    </w:p>
    <w:p w:rsidR="009613B4" w:rsidRDefault="009613B4" w:rsidP="005F6318">
      <w:pPr>
        <w:numPr>
          <w:ilvl w:val="0"/>
          <w:numId w:val="74"/>
        </w:numPr>
        <w:spacing w:line="560" w:lineRule="exact"/>
        <w:ind w:left="0" w:firstLine="495"/>
        <w:rPr>
          <w:rFonts w:ascii="仿宋_GB2312" w:hAnsi="仿宋_GB2312" w:cs="仿宋_GB2312"/>
          <w:bCs/>
          <w:sz w:val="28"/>
          <w:szCs w:val="28"/>
        </w:rPr>
      </w:pPr>
      <w:r>
        <w:rPr>
          <w:rFonts w:ascii="仿宋_GB2312" w:hAnsi="仿宋_GB2312" w:cs="仿宋_GB2312" w:hint="eastAsia"/>
          <w:bCs/>
          <w:sz w:val="28"/>
          <w:szCs w:val="28"/>
        </w:rPr>
        <w:t>《水处理生物学》（第三版），顾夏声等编著，中国建筑工业出版社</w:t>
      </w:r>
    </w:p>
    <w:p w:rsidR="009613B4" w:rsidRDefault="009613B4" w:rsidP="009613B4">
      <w:pPr>
        <w:spacing w:line="560" w:lineRule="exact"/>
        <w:jc w:val="center"/>
        <w:rPr>
          <w:rFonts w:ascii="仿宋_GB2312" w:hAnsi="仿宋_GB2312" w:cs="仿宋_GB2312"/>
          <w:bCs/>
          <w:sz w:val="28"/>
          <w:szCs w:val="28"/>
        </w:rPr>
      </w:pP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9613B4" w:rsidRDefault="009613B4" w:rsidP="009613B4">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w:t>
      </w:r>
    </w:p>
    <w:p w:rsidR="009613B4" w:rsidRDefault="009613B4" w:rsidP="009613B4">
      <w:pPr>
        <w:spacing w:line="560" w:lineRule="exact"/>
        <w:ind w:firstLineChars="1800" w:firstLine="5040"/>
        <w:rPr>
          <w:rFonts w:ascii="仿宋_GB2312" w:hAnsi="仿宋_GB2312" w:cs="仿宋_GB2312"/>
          <w:bCs/>
          <w:sz w:val="28"/>
          <w:szCs w:val="28"/>
        </w:rPr>
      </w:pPr>
      <w:r>
        <w:rPr>
          <w:rFonts w:ascii="仿宋_GB2312" w:hAnsi="仿宋_GB2312" w:cs="仿宋_GB2312" w:hint="eastAsia"/>
          <w:bCs/>
          <w:sz w:val="28"/>
          <w:szCs w:val="28"/>
        </w:rPr>
        <w:t>大纲撰写人：秦晋一</w:t>
      </w:r>
    </w:p>
    <w:p w:rsidR="009613B4" w:rsidRDefault="009613B4" w:rsidP="009613B4">
      <w:pPr>
        <w:spacing w:line="560" w:lineRule="exact"/>
        <w:ind w:firstLineChars="1800" w:firstLine="5040"/>
        <w:rPr>
          <w:rFonts w:ascii="仿宋_GB2312" w:hAnsi="仿宋_GB2312" w:cs="仿宋_GB2312"/>
          <w:bCs/>
          <w:sz w:val="28"/>
          <w:szCs w:val="28"/>
        </w:rPr>
      </w:pPr>
      <w:r>
        <w:rPr>
          <w:rFonts w:ascii="仿宋_GB2312" w:hAnsi="仿宋_GB2312" w:cs="仿宋_GB2312" w:hint="eastAsia"/>
          <w:bCs/>
          <w:sz w:val="28"/>
          <w:szCs w:val="28"/>
        </w:rPr>
        <w:t>课程负责人：秦晋一</w:t>
      </w:r>
    </w:p>
    <w:p w:rsidR="009613B4" w:rsidRDefault="009613B4" w:rsidP="009613B4">
      <w:pPr>
        <w:spacing w:line="560" w:lineRule="exact"/>
        <w:ind w:firstLineChars="1800" w:firstLine="5040"/>
        <w:rPr>
          <w:rFonts w:ascii="仿宋_GB2312" w:hAnsi="仿宋_GB2312" w:cs="仿宋_GB2312"/>
          <w:bCs/>
          <w:sz w:val="28"/>
          <w:szCs w:val="28"/>
        </w:rPr>
      </w:pPr>
      <w:r>
        <w:rPr>
          <w:rFonts w:ascii="仿宋_GB2312" w:hAnsi="仿宋_GB2312" w:cs="仿宋_GB2312" w:hint="eastAsia"/>
          <w:bCs/>
          <w:sz w:val="28"/>
          <w:szCs w:val="28"/>
        </w:rPr>
        <w:t>审核人：杨利伟 赵红梅</w:t>
      </w:r>
    </w:p>
    <w:p w:rsidR="009613B4" w:rsidRDefault="009613B4" w:rsidP="009613B4">
      <w:pPr>
        <w:spacing w:line="560" w:lineRule="exact"/>
        <w:ind w:firstLineChars="1800" w:firstLine="5040"/>
        <w:rPr>
          <w:rFonts w:ascii="仿宋_GB2312" w:hAnsi="仿宋_GB2312" w:cs="仿宋_GB2312"/>
          <w:bCs/>
          <w:sz w:val="28"/>
          <w:szCs w:val="28"/>
        </w:rPr>
      </w:pPr>
      <w:r>
        <w:rPr>
          <w:rFonts w:ascii="仿宋" w:eastAsia="仿宋" w:hAnsi="仿宋" w:hint="eastAsia"/>
          <w:sz w:val="28"/>
          <w:szCs w:val="28"/>
        </w:rPr>
        <w:t xml:space="preserve">         2021.4    </w:t>
      </w:r>
    </w:p>
    <w:p w:rsidR="009613B4" w:rsidRDefault="009613B4" w:rsidP="009613B4">
      <w:pPr>
        <w:snapToGrid w:val="0"/>
        <w:spacing w:line="360" w:lineRule="auto"/>
        <w:outlineLvl w:val="0"/>
        <w:rPr>
          <w:rFonts w:ascii="华文中宋" w:eastAsia="华文中宋" w:hAnsi="华文中宋"/>
          <w:szCs w:val="21"/>
        </w:rPr>
      </w:pPr>
    </w:p>
    <w:p w:rsidR="009613B4" w:rsidRDefault="009613B4" w:rsidP="009613B4">
      <w:pPr>
        <w:widowControl/>
        <w:spacing w:line="400" w:lineRule="exact"/>
        <w:rPr>
          <w:rFonts w:ascii="华文中宋" w:eastAsia="华文中宋" w:hAnsi="华文中宋"/>
          <w:szCs w:val="21"/>
        </w:rPr>
      </w:pPr>
    </w:p>
    <w:p w:rsidR="005708AF" w:rsidRDefault="005708AF" w:rsidP="009613B4">
      <w:pPr>
        <w:widowControl/>
        <w:spacing w:line="400" w:lineRule="exact"/>
        <w:rPr>
          <w:rFonts w:ascii="黑体" w:eastAsia="黑体" w:hAnsi="黑体" w:cs="宋体" w:hint="eastAsia"/>
          <w:bCs/>
          <w:color w:val="000000"/>
          <w:kern w:val="0"/>
          <w:szCs w:val="32"/>
        </w:rPr>
      </w:pPr>
    </w:p>
    <w:p w:rsidR="009613B4" w:rsidRDefault="009613B4" w:rsidP="009613B4">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5708AF">
        <w:rPr>
          <w:rFonts w:ascii="方正小标宋简体" w:eastAsia="方正小标宋简体" w:hAnsi="宋体"/>
          <w:kern w:val="0"/>
          <w:szCs w:val="32"/>
        </w:rPr>
        <w:t>水工程法规</w:t>
      </w:r>
      <w:r>
        <w:rPr>
          <w:rFonts w:ascii="方正小标宋简体" w:eastAsia="方正小标宋简体" w:hAnsi="宋体" w:hint="eastAsia"/>
          <w:kern w:val="0"/>
          <w:szCs w:val="32"/>
        </w:rPr>
        <w:t>》课程教学大纲</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Times New Roman" w:hAnsi="Times New Roman"/>
          <w:snapToGrid w:val="0"/>
          <w:szCs w:val="21"/>
        </w:rPr>
        <w:t xml:space="preserve">laws and regulations </w:t>
      </w:r>
      <w:r>
        <w:rPr>
          <w:rFonts w:ascii="Times New Roman" w:hAnsi="Times New Roman" w:hint="eastAsia"/>
          <w:snapToGrid w:val="0"/>
          <w:szCs w:val="21"/>
        </w:rPr>
        <w:t>of</w:t>
      </w:r>
      <w:r>
        <w:rPr>
          <w:rFonts w:ascii="Times New Roman" w:hAnsi="Times New Roman"/>
          <w:snapToGrid w:val="0"/>
          <w:szCs w:val="21"/>
        </w:rPr>
        <w:t xml:space="preserve"> Water engineering</w:t>
      </w:r>
    </w:p>
    <w:p w:rsidR="009613B4" w:rsidRDefault="009613B4" w:rsidP="009613B4">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Times New Roman" w:hAnsi="Times New Roman"/>
          <w:snapToGrid w:val="0"/>
          <w:szCs w:val="21"/>
        </w:rPr>
        <w:t>Z2806340</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9613B4" w:rsidRDefault="009613B4" w:rsidP="009613B4">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课程类别：专业发展课程</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分：1</w:t>
      </w:r>
    </w:p>
    <w:p w:rsidR="009613B4" w:rsidRDefault="009613B4" w:rsidP="009613B4">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时：16学时（授课16学时）</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适用对象：土木（类）给排水科学与工程专业</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Pr>
          <w:rFonts w:ascii="仿宋_GB2312" w:hAnsi="仿宋_GB2312" w:cs="仿宋_GB2312"/>
          <w:bCs/>
          <w:sz w:val="28"/>
          <w:szCs w:val="28"/>
        </w:rPr>
        <w:t>水质工程学、建筑给排水工程、水工程经济与原理、水工程施工、水资源利用与保护、土木工程概论</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sz w:val="28"/>
          <w:szCs w:val="28"/>
        </w:rPr>
        <w:t>仪表与控</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9613B4" w:rsidRDefault="009613B4" w:rsidP="009613B4">
      <w:pPr>
        <w:spacing w:line="560" w:lineRule="exact"/>
        <w:ind w:firstLine="437"/>
        <w:rPr>
          <w:rFonts w:ascii="仿宋_GB2312" w:hAnsi="仿宋_GB2312" w:cs="仿宋_GB2312"/>
          <w:sz w:val="28"/>
          <w:szCs w:val="28"/>
        </w:rPr>
      </w:pPr>
      <w:r>
        <w:rPr>
          <w:rFonts w:ascii="仿宋_GB2312" w:hAnsi="仿宋_GB2312" w:cs="仿宋_GB2312"/>
          <w:sz w:val="28"/>
          <w:szCs w:val="28"/>
        </w:rPr>
        <w:t>《水工程法规》是学科教学的重要组成部分；是给排水本科专业必修的专业课之一，也是给排水专业的核心主干课。本课程着重从专业角度研究水环境质量、水工程建设、水工程管理等方面的有关规定，是给排水专业以及相关专业的人文课程之一。旨在培养学生的法律意识，对水工程的法规体系及相关法规的基本内容进行了解，掌握水工程法规中水环境质量法规、水工程建设法规、水工程管理法规的基本</w:t>
      </w:r>
      <w:r>
        <w:rPr>
          <w:rFonts w:ascii="仿宋_GB2312" w:hAnsi="仿宋_GB2312" w:cs="仿宋_GB2312"/>
          <w:sz w:val="28"/>
          <w:szCs w:val="28"/>
        </w:rPr>
        <w:lastRenderedPageBreak/>
        <w:t>原则、基本规定、基本制度，在以后工作中做到“知法、守法、用法”。</w:t>
      </w:r>
    </w:p>
    <w:p w:rsidR="009613B4" w:rsidRDefault="009613B4" w:rsidP="009613B4">
      <w:pPr>
        <w:spacing w:beforeLines="50" w:before="156" w:afterLines="50" w:after="156" w:line="560" w:lineRule="exact"/>
        <w:rPr>
          <w:rFonts w:ascii="黑体" w:eastAsia="黑体" w:hAnsi="黑体" w:cs="仿宋_GB2312"/>
          <w:b/>
          <w:bCs/>
          <w:sz w:val="28"/>
          <w:szCs w:val="28"/>
        </w:rPr>
      </w:pPr>
      <w:r>
        <w:rPr>
          <w:rFonts w:ascii="黑体" w:eastAsia="黑体" w:hAnsi="黑体" w:cs="仿宋_GB2312" w:hint="eastAsia"/>
          <w:b/>
          <w:bCs/>
          <w:sz w:val="28"/>
          <w:szCs w:val="28"/>
        </w:rPr>
        <w:t>三、课程任务、目标与要求</w:t>
      </w:r>
    </w:p>
    <w:p w:rsidR="009613B4" w:rsidRDefault="009613B4" w:rsidP="009613B4">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sz w:val="28"/>
          <w:szCs w:val="28"/>
        </w:rPr>
        <w:t>《水工程法规》着重从专业角度和实用角度，系统讲解水工程方面的法规及与此相关的法律、法规。讲授的内容主要概括为三方面，即水工程建设法规、水工程管理法规和水环境质量法规，授课以课堂教学为主，是学生掌握《水工程法规》的基本内容、基本原则、基本制度、基本规定；通过水工程法规案例的收集和学习，加深对水工程法规的认识、理解，提高学习的自觉性和主动性。</w:t>
      </w:r>
    </w:p>
    <w:p w:rsidR="009613B4" w:rsidRDefault="009613B4"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9613B4" w:rsidRDefault="009613B4" w:rsidP="009613B4">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2.1课程目标</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知识目标：</w:t>
      </w:r>
      <w:r>
        <w:rPr>
          <w:rFonts w:ascii="仿宋_GB2312" w:hAnsi="仿宋_GB2312" w:cs="仿宋_GB2312"/>
          <w:sz w:val="28"/>
          <w:szCs w:val="28"/>
        </w:rPr>
        <w:t>通过本课程的学习，使学生了解水工程的法规体系及相关法规的基本内容，掌握水工程法规中水环境质量法规、水工程建设法规、水工程管理法规的基本原则、基本规定、基本制度。</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能力目标：</w:t>
      </w:r>
      <w:r>
        <w:rPr>
          <w:rFonts w:ascii="仿宋_GB2312" w:hAnsi="仿宋_GB2312" w:cs="仿宋_GB2312"/>
          <w:sz w:val="28"/>
          <w:szCs w:val="28"/>
        </w:rPr>
        <w:t>本课程着重于从专业的角度、实用的角度学习理解水工程相关的法规</w:t>
      </w:r>
      <w:r>
        <w:rPr>
          <w:rFonts w:ascii="仿宋_GB2312" w:hAnsi="仿宋_GB2312" w:cs="仿宋_GB2312" w:hint="eastAsia"/>
          <w:sz w:val="28"/>
          <w:szCs w:val="28"/>
        </w:rPr>
        <w:t>，</w:t>
      </w:r>
      <w:r>
        <w:rPr>
          <w:rFonts w:ascii="仿宋_GB2312" w:hAnsi="仿宋_GB2312" w:cs="仿宋_GB2312"/>
          <w:sz w:val="28"/>
          <w:szCs w:val="28"/>
        </w:rPr>
        <w:t>法规涉及面较广，从法的形式看，包括宪法、法律、行政法规、部门规章、地方性法规、标准等</w:t>
      </w:r>
      <w:r>
        <w:rPr>
          <w:rFonts w:ascii="仿宋_GB2312" w:hAnsi="仿宋_GB2312" w:cs="仿宋_GB2312" w:hint="eastAsia"/>
          <w:sz w:val="28"/>
          <w:szCs w:val="28"/>
        </w:rPr>
        <w:t>，要求学生在掌握基本法律基础之上，能够灵活应用</w:t>
      </w:r>
      <w:r>
        <w:rPr>
          <w:rFonts w:ascii="仿宋_GB2312" w:hAnsi="仿宋_GB2312" w:cs="仿宋_GB2312"/>
          <w:sz w:val="28"/>
          <w:szCs w:val="28"/>
        </w:rPr>
        <w:t>自然资源法规、工程建设法规、经济法规</w:t>
      </w:r>
      <w:r>
        <w:rPr>
          <w:rFonts w:ascii="仿宋_GB2312" w:hAnsi="仿宋_GB2312" w:cs="仿宋_GB2312" w:hint="eastAsia"/>
          <w:sz w:val="28"/>
          <w:szCs w:val="28"/>
        </w:rPr>
        <w:t>等于</w:t>
      </w:r>
      <w:r>
        <w:rPr>
          <w:rFonts w:ascii="仿宋_GB2312" w:hAnsi="仿宋_GB2312" w:cs="仿宋_GB2312"/>
          <w:sz w:val="28"/>
          <w:szCs w:val="28"/>
        </w:rPr>
        <w:t>水工程</w:t>
      </w:r>
      <w:r>
        <w:rPr>
          <w:rFonts w:ascii="仿宋_GB2312" w:hAnsi="仿宋_GB2312" w:cs="仿宋_GB2312" w:hint="eastAsia"/>
          <w:sz w:val="28"/>
          <w:szCs w:val="28"/>
        </w:rPr>
        <w:t>建设和施工的过程，设身处地地履行环境保护和依法守法施工的要求。</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情感态度与价值观目标：加强培养专业素养，弘扬创新精神，树立专业自信和责任感，培养学生具有良好的品德修养、社会公德、职业道德和创新精神，结合专业特色激励学生创造人生价值。</w:t>
      </w:r>
    </w:p>
    <w:p w:rsidR="009613B4" w:rsidRDefault="009613B4" w:rsidP="009613B4">
      <w:pPr>
        <w:spacing w:afterLines="100" w:after="312" w:line="560" w:lineRule="exact"/>
        <w:rPr>
          <w:rFonts w:ascii="仿宋_GB2312" w:hAnsi="仿宋_GB2312" w:cs="仿宋_GB2312"/>
          <w:sz w:val="28"/>
          <w:szCs w:val="28"/>
        </w:rPr>
      </w:pPr>
      <w:r>
        <w:rPr>
          <w:rFonts w:ascii="仿宋_GB2312" w:hAnsi="仿宋_GB2312" w:cs="仿宋_GB2312"/>
          <w:sz w:val="28"/>
          <w:szCs w:val="28"/>
        </w:rPr>
        <w:t>2.2</w:t>
      </w:r>
      <w:r>
        <w:rPr>
          <w:rFonts w:ascii="仿宋_GB2312" w:hAnsi="仿宋_GB2312" w:cs="仿宋_GB2312" w:hint="eastAsia"/>
          <w:sz w:val="28"/>
          <w:szCs w:val="28"/>
        </w:rPr>
        <w:t xml:space="preserve">课程目标与毕业要求之间的对应关系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489"/>
        <w:gridCol w:w="486"/>
        <w:gridCol w:w="499"/>
        <w:gridCol w:w="486"/>
        <w:gridCol w:w="486"/>
        <w:gridCol w:w="496"/>
        <w:gridCol w:w="499"/>
        <w:gridCol w:w="496"/>
        <w:gridCol w:w="490"/>
        <w:gridCol w:w="503"/>
        <w:gridCol w:w="503"/>
        <w:gridCol w:w="503"/>
      </w:tblGrid>
      <w:tr w:rsidR="009613B4" w:rsidTr="008C3907">
        <w:trPr>
          <w:trHeight w:hRule="exact" w:val="454"/>
          <w:jc w:val="center"/>
        </w:trPr>
        <w:tc>
          <w:tcPr>
            <w:tcW w:w="2743" w:type="dxa"/>
            <w:vMerge w:val="restart"/>
            <w:shd w:val="clear" w:color="auto" w:fill="auto"/>
            <w:vAlign w:val="center"/>
          </w:tcPr>
          <w:p w:rsidR="009613B4" w:rsidRDefault="009613B4" w:rsidP="008C3907">
            <w:pPr>
              <w:spacing w:line="240" w:lineRule="exact"/>
              <w:jc w:val="center"/>
              <w:rPr>
                <w:rFonts w:ascii="仿宋_GB2312" w:hAnsi="仿宋_GB2312" w:cs="仿宋_GB2312"/>
                <w:sz w:val="20"/>
                <w:szCs w:val="20"/>
              </w:rPr>
            </w:pPr>
            <w:r>
              <w:rPr>
                <w:rFonts w:ascii="仿宋_GB2312" w:hAnsi="仿宋_GB2312" w:cs="仿宋_GB2312" w:hint="eastAsia"/>
                <w:sz w:val="20"/>
                <w:szCs w:val="20"/>
              </w:rPr>
              <w:lastRenderedPageBreak/>
              <w:t>课程目标</w:t>
            </w:r>
          </w:p>
        </w:tc>
        <w:tc>
          <w:tcPr>
            <w:tcW w:w="6233" w:type="dxa"/>
            <w:gridSpan w:val="12"/>
            <w:shd w:val="clear" w:color="auto" w:fill="auto"/>
            <w:vAlign w:val="center"/>
          </w:tcPr>
          <w:p w:rsidR="009613B4" w:rsidRDefault="009613B4" w:rsidP="008C3907">
            <w:pPr>
              <w:spacing w:line="240" w:lineRule="exact"/>
              <w:jc w:val="center"/>
              <w:rPr>
                <w:rFonts w:ascii="仿宋_GB2312" w:hAnsi="仿宋_GB2312" w:cs="仿宋_GB2312"/>
                <w:sz w:val="20"/>
                <w:szCs w:val="20"/>
              </w:rPr>
            </w:pPr>
            <w:r>
              <w:rPr>
                <w:rFonts w:ascii="仿宋_GB2312" w:hAnsi="仿宋_GB2312" w:cs="仿宋_GB2312" w:hint="eastAsia"/>
                <w:sz w:val="20"/>
                <w:szCs w:val="20"/>
              </w:rPr>
              <w:t>毕业要求</w:t>
            </w:r>
          </w:p>
        </w:tc>
      </w:tr>
      <w:tr w:rsidR="009613B4" w:rsidTr="008C3907">
        <w:trPr>
          <w:trHeight w:hRule="exact" w:val="454"/>
          <w:jc w:val="center"/>
        </w:trPr>
        <w:tc>
          <w:tcPr>
            <w:tcW w:w="2743" w:type="dxa"/>
            <w:vMerge/>
            <w:shd w:val="clear" w:color="auto" w:fill="auto"/>
          </w:tcPr>
          <w:p w:rsidR="009613B4" w:rsidRDefault="009613B4" w:rsidP="008C3907">
            <w:pPr>
              <w:spacing w:line="240" w:lineRule="exact"/>
              <w:rPr>
                <w:rFonts w:ascii="仿宋_GB2312" w:hAnsi="仿宋_GB2312" w:cs="仿宋_GB2312"/>
                <w:sz w:val="20"/>
                <w:szCs w:val="20"/>
              </w:rPr>
            </w:pPr>
          </w:p>
        </w:tc>
        <w:tc>
          <w:tcPr>
            <w:tcW w:w="519"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1</w:t>
            </w:r>
          </w:p>
        </w:tc>
        <w:tc>
          <w:tcPr>
            <w:tcW w:w="519"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2</w:t>
            </w:r>
          </w:p>
        </w:tc>
        <w:tc>
          <w:tcPr>
            <w:tcW w:w="519"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3</w:t>
            </w:r>
          </w:p>
        </w:tc>
        <w:tc>
          <w:tcPr>
            <w:tcW w:w="519"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4</w:t>
            </w:r>
          </w:p>
        </w:tc>
        <w:tc>
          <w:tcPr>
            <w:tcW w:w="519"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5</w:t>
            </w:r>
          </w:p>
        </w:tc>
        <w:tc>
          <w:tcPr>
            <w:tcW w:w="519"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6</w:t>
            </w:r>
          </w:p>
        </w:tc>
        <w:tc>
          <w:tcPr>
            <w:tcW w:w="519"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7</w:t>
            </w:r>
          </w:p>
        </w:tc>
        <w:tc>
          <w:tcPr>
            <w:tcW w:w="520"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8</w:t>
            </w:r>
          </w:p>
        </w:tc>
        <w:tc>
          <w:tcPr>
            <w:tcW w:w="520"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9</w:t>
            </w:r>
          </w:p>
        </w:tc>
        <w:tc>
          <w:tcPr>
            <w:tcW w:w="520"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10</w:t>
            </w:r>
          </w:p>
        </w:tc>
        <w:tc>
          <w:tcPr>
            <w:tcW w:w="520"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11</w:t>
            </w:r>
          </w:p>
        </w:tc>
        <w:tc>
          <w:tcPr>
            <w:tcW w:w="520"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12</w:t>
            </w:r>
          </w:p>
        </w:tc>
      </w:tr>
      <w:tr w:rsidR="009613B4" w:rsidTr="008C3907">
        <w:trPr>
          <w:trHeight w:hRule="exact" w:val="454"/>
          <w:jc w:val="center"/>
        </w:trPr>
        <w:tc>
          <w:tcPr>
            <w:tcW w:w="2743" w:type="dxa"/>
            <w:shd w:val="clear" w:color="auto" w:fill="auto"/>
            <w:vAlign w:val="center"/>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知识目标</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r>
              <w:rPr>
                <w:rFonts w:ascii="华文中宋" w:eastAsia="华文中宋" w:hAnsi="华文中宋" w:cs="仿宋_GB2312" w:hint="eastAsia"/>
                <w:sz w:val="20"/>
                <w:szCs w:val="20"/>
              </w:rPr>
              <w:t>L</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r>
              <w:rPr>
                <w:rFonts w:ascii="华文中宋" w:eastAsia="华文中宋" w:hAnsi="华文中宋" w:cs="仿宋_GB2312" w:hint="eastAsia"/>
                <w:sz w:val="20"/>
                <w:szCs w:val="20"/>
              </w:rPr>
              <w:t>H</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p>
        </w:tc>
        <w:tc>
          <w:tcPr>
            <w:tcW w:w="519" w:type="dxa"/>
            <w:shd w:val="clear" w:color="auto" w:fill="auto"/>
            <w:vAlign w:val="center"/>
          </w:tcPr>
          <w:p w:rsidR="009613B4" w:rsidRDefault="009613B4" w:rsidP="008C3907">
            <w:pPr>
              <w:tabs>
                <w:tab w:val="left" w:pos="6300"/>
              </w:tabs>
              <w:spacing w:line="240" w:lineRule="exact"/>
              <w:rPr>
                <w:rFonts w:ascii="华文中宋" w:eastAsia="华文中宋" w:hAnsi="华文中宋" w:cs="仿宋_GB2312"/>
                <w:sz w:val="20"/>
                <w:szCs w:val="20"/>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r>
              <w:rPr>
                <w:rFonts w:ascii="华文中宋" w:eastAsia="华文中宋" w:hAnsi="华文中宋" w:cs="仿宋_GB2312" w:hint="eastAsia"/>
                <w:sz w:val="20"/>
                <w:szCs w:val="20"/>
              </w:rPr>
              <w:t>H</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r>
              <w:rPr>
                <w:rFonts w:ascii="华文中宋" w:eastAsia="华文中宋" w:hAnsi="华文中宋" w:cs="仿宋_GB2312" w:hint="eastAsia"/>
                <w:sz w:val="20"/>
                <w:szCs w:val="20"/>
              </w:rPr>
              <w:t>M</w:t>
            </w:r>
          </w:p>
        </w:tc>
        <w:tc>
          <w:tcPr>
            <w:tcW w:w="520" w:type="dxa"/>
            <w:shd w:val="clear" w:color="auto" w:fill="auto"/>
            <w:vAlign w:val="center"/>
          </w:tcPr>
          <w:p w:rsidR="009613B4" w:rsidRDefault="009613B4" w:rsidP="008C3907">
            <w:pPr>
              <w:spacing w:line="240" w:lineRule="exact"/>
              <w:rPr>
                <w:rFonts w:ascii="华文中宋" w:eastAsia="华文中宋" w:hAnsi="华文中宋" w:cs="仿宋_GB2312"/>
                <w:sz w:val="20"/>
                <w:szCs w:val="20"/>
              </w:rPr>
            </w:pPr>
            <w:r>
              <w:rPr>
                <w:rFonts w:ascii="华文中宋" w:eastAsia="华文中宋" w:hAnsi="华文中宋" w:cs="仿宋_GB2312" w:hint="eastAsia"/>
                <w:sz w:val="20"/>
                <w:szCs w:val="20"/>
              </w:rPr>
              <w:t>H</w:t>
            </w:r>
          </w:p>
        </w:tc>
        <w:tc>
          <w:tcPr>
            <w:tcW w:w="520" w:type="dxa"/>
            <w:shd w:val="clear" w:color="auto" w:fill="auto"/>
            <w:vAlign w:val="center"/>
          </w:tcPr>
          <w:p w:rsidR="009613B4" w:rsidRDefault="009613B4" w:rsidP="008C3907">
            <w:pPr>
              <w:spacing w:line="240" w:lineRule="exact"/>
              <w:rPr>
                <w:rFonts w:ascii="华文中宋" w:eastAsia="华文中宋" w:hAnsi="华文中宋" w:cs="仿宋_GB2312"/>
                <w:sz w:val="20"/>
                <w:szCs w:val="20"/>
              </w:rPr>
            </w:pPr>
            <w:r>
              <w:rPr>
                <w:rFonts w:ascii="华文中宋" w:eastAsia="华文中宋" w:hAnsi="华文中宋" w:cs="仿宋_GB2312" w:hint="eastAsia"/>
                <w:sz w:val="20"/>
                <w:szCs w:val="20"/>
              </w:rPr>
              <w:t>L</w:t>
            </w:r>
          </w:p>
        </w:tc>
        <w:tc>
          <w:tcPr>
            <w:tcW w:w="520" w:type="dxa"/>
            <w:shd w:val="clear" w:color="auto" w:fill="auto"/>
            <w:vAlign w:val="center"/>
          </w:tcPr>
          <w:p w:rsidR="009613B4" w:rsidRDefault="009613B4" w:rsidP="008C3907">
            <w:pPr>
              <w:spacing w:line="240" w:lineRule="exact"/>
              <w:rPr>
                <w:rFonts w:ascii="华文中宋" w:eastAsia="华文中宋" w:hAnsi="华文中宋" w:cs="仿宋_GB2312"/>
                <w:sz w:val="20"/>
                <w:szCs w:val="20"/>
              </w:rPr>
            </w:pPr>
          </w:p>
        </w:tc>
        <w:tc>
          <w:tcPr>
            <w:tcW w:w="520" w:type="dxa"/>
            <w:shd w:val="clear" w:color="auto" w:fill="auto"/>
            <w:vAlign w:val="center"/>
          </w:tcPr>
          <w:p w:rsidR="009613B4" w:rsidRDefault="009613B4" w:rsidP="008C3907">
            <w:pPr>
              <w:spacing w:line="240" w:lineRule="exact"/>
              <w:rPr>
                <w:rFonts w:ascii="华文中宋" w:eastAsia="华文中宋" w:hAnsi="华文中宋" w:cs="仿宋_GB2312"/>
                <w:sz w:val="20"/>
                <w:szCs w:val="20"/>
              </w:rPr>
            </w:pPr>
            <w:r>
              <w:rPr>
                <w:rFonts w:ascii="华文中宋" w:eastAsia="华文中宋" w:hAnsi="华文中宋" w:cs="仿宋_GB2312" w:hint="eastAsia"/>
                <w:sz w:val="20"/>
                <w:szCs w:val="20"/>
              </w:rPr>
              <w:t>L</w:t>
            </w:r>
          </w:p>
        </w:tc>
        <w:tc>
          <w:tcPr>
            <w:tcW w:w="520" w:type="dxa"/>
            <w:shd w:val="clear" w:color="auto" w:fill="auto"/>
          </w:tcPr>
          <w:p w:rsidR="009613B4" w:rsidRDefault="009613B4" w:rsidP="008C3907">
            <w:pPr>
              <w:spacing w:line="240" w:lineRule="exact"/>
              <w:rPr>
                <w:rFonts w:ascii="华文中宋" w:eastAsia="华文中宋" w:hAnsi="华文中宋" w:cs="仿宋_GB2312"/>
                <w:sz w:val="20"/>
                <w:szCs w:val="20"/>
              </w:rPr>
            </w:pPr>
          </w:p>
        </w:tc>
      </w:tr>
      <w:tr w:rsidR="009613B4" w:rsidTr="008C3907">
        <w:trPr>
          <w:trHeight w:hRule="exact" w:val="454"/>
          <w:jc w:val="center"/>
        </w:trPr>
        <w:tc>
          <w:tcPr>
            <w:tcW w:w="2743" w:type="dxa"/>
            <w:shd w:val="clear" w:color="auto" w:fill="auto"/>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能力目标</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r>
              <w:rPr>
                <w:rFonts w:ascii="华文中宋" w:eastAsia="华文中宋" w:hAnsi="华文中宋" w:cs="仿宋_GB2312" w:hint="eastAsia"/>
                <w:sz w:val="20"/>
                <w:szCs w:val="20"/>
              </w:rPr>
              <w:t>L</w:t>
            </w:r>
          </w:p>
        </w:tc>
        <w:tc>
          <w:tcPr>
            <w:tcW w:w="519" w:type="dxa"/>
            <w:shd w:val="clear" w:color="auto" w:fill="auto"/>
            <w:vAlign w:val="center"/>
          </w:tcPr>
          <w:p w:rsidR="009613B4" w:rsidRDefault="009613B4" w:rsidP="008C3907">
            <w:pPr>
              <w:tabs>
                <w:tab w:val="left" w:pos="6300"/>
              </w:tabs>
              <w:spacing w:line="240" w:lineRule="exact"/>
              <w:rPr>
                <w:rFonts w:ascii="华文中宋" w:eastAsia="华文中宋" w:hAnsi="华文中宋" w:cs="仿宋_GB2312"/>
                <w:sz w:val="20"/>
                <w:szCs w:val="20"/>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r>
              <w:rPr>
                <w:rFonts w:ascii="华文中宋" w:eastAsia="华文中宋" w:hAnsi="华文中宋" w:cs="仿宋_GB2312" w:hint="eastAsia"/>
                <w:sz w:val="20"/>
                <w:szCs w:val="20"/>
              </w:rPr>
              <w:t>H</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r>
              <w:rPr>
                <w:rFonts w:ascii="华文中宋" w:eastAsia="华文中宋" w:hAnsi="华文中宋" w:cs="仿宋_GB2312" w:hint="eastAsia"/>
                <w:sz w:val="20"/>
                <w:szCs w:val="20"/>
              </w:rPr>
              <w:t>H</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r>
              <w:rPr>
                <w:rFonts w:ascii="华文中宋" w:eastAsia="华文中宋" w:hAnsi="华文中宋" w:cs="仿宋_GB2312" w:hint="eastAsia"/>
                <w:sz w:val="20"/>
                <w:szCs w:val="20"/>
              </w:rPr>
              <w:t>M</w:t>
            </w:r>
          </w:p>
        </w:tc>
        <w:tc>
          <w:tcPr>
            <w:tcW w:w="520" w:type="dxa"/>
            <w:shd w:val="clear" w:color="auto" w:fill="auto"/>
          </w:tcPr>
          <w:p w:rsidR="009613B4" w:rsidRDefault="009613B4" w:rsidP="008C3907">
            <w:pPr>
              <w:spacing w:line="240" w:lineRule="exact"/>
              <w:rPr>
                <w:rFonts w:ascii="华文中宋" w:eastAsia="华文中宋" w:hAnsi="华文中宋" w:cs="仿宋_GB2312"/>
                <w:sz w:val="20"/>
                <w:szCs w:val="20"/>
              </w:rPr>
            </w:pPr>
            <w:r>
              <w:rPr>
                <w:rFonts w:ascii="华文中宋" w:eastAsia="华文中宋" w:hAnsi="华文中宋" w:cs="仿宋_GB2312" w:hint="eastAsia"/>
                <w:sz w:val="20"/>
                <w:szCs w:val="20"/>
              </w:rPr>
              <w:t>H</w:t>
            </w:r>
          </w:p>
        </w:tc>
        <w:tc>
          <w:tcPr>
            <w:tcW w:w="520" w:type="dxa"/>
            <w:shd w:val="clear" w:color="auto" w:fill="auto"/>
          </w:tcPr>
          <w:p w:rsidR="009613B4" w:rsidRDefault="009613B4" w:rsidP="008C3907">
            <w:pPr>
              <w:spacing w:line="240" w:lineRule="exact"/>
              <w:rPr>
                <w:rFonts w:ascii="华文中宋" w:eastAsia="华文中宋" w:hAnsi="华文中宋" w:cs="仿宋_GB2312"/>
                <w:sz w:val="20"/>
                <w:szCs w:val="20"/>
              </w:rPr>
            </w:pPr>
            <w:r>
              <w:rPr>
                <w:rFonts w:ascii="华文中宋" w:eastAsia="华文中宋" w:hAnsi="华文中宋" w:cs="仿宋_GB2312" w:hint="eastAsia"/>
                <w:sz w:val="20"/>
                <w:szCs w:val="20"/>
              </w:rPr>
              <w:t>L</w:t>
            </w:r>
          </w:p>
        </w:tc>
        <w:tc>
          <w:tcPr>
            <w:tcW w:w="520" w:type="dxa"/>
            <w:shd w:val="clear" w:color="auto" w:fill="auto"/>
          </w:tcPr>
          <w:p w:rsidR="009613B4" w:rsidRDefault="009613B4" w:rsidP="008C3907">
            <w:pPr>
              <w:spacing w:line="240" w:lineRule="exact"/>
              <w:rPr>
                <w:rFonts w:ascii="华文中宋" w:eastAsia="华文中宋" w:hAnsi="华文中宋" w:cs="仿宋_GB2312"/>
                <w:sz w:val="20"/>
                <w:szCs w:val="20"/>
              </w:rPr>
            </w:pPr>
          </w:p>
        </w:tc>
        <w:tc>
          <w:tcPr>
            <w:tcW w:w="520" w:type="dxa"/>
            <w:shd w:val="clear" w:color="auto" w:fill="auto"/>
          </w:tcPr>
          <w:p w:rsidR="009613B4" w:rsidRDefault="009613B4" w:rsidP="008C3907">
            <w:pPr>
              <w:spacing w:line="240" w:lineRule="exact"/>
              <w:rPr>
                <w:rFonts w:ascii="华文中宋" w:eastAsia="华文中宋" w:hAnsi="华文中宋" w:cs="仿宋_GB2312"/>
                <w:sz w:val="20"/>
                <w:szCs w:val="20"/>
              </w:rPr>
            </w:pPr>
            <w:r>
              <w:rPr>
                <w:rFonts w:ascii="华文中宋" w:eastAsia="华文中宋" w:hAnsi="华文中宋" w:cs="仿宋_GB2312" w:hint="eastAsia"/>
                <w:sz w:val="20"/>
                <w:szCs w:val="20"/>
              </w:rPr>
              <w:t>L</w:t>
            </w:r>
          </w:p>
        </w:tc>
        <w:tc>
          <w:tcPr>
            <w:tcW w:w="520" w:type="dxa"/>
            <w:shd w:val="clear" w:color="auto" w:fill="auto"/>
          </w:tcPr>
          <w:p w:rsidR="009613B4" w:rsidRDefault="009613B4" w:rsidP="008C3907">
            <w:pPr>
              <w:spacing w:line="240" w:lineRule="exact"/>
              <w:rPr>
                <w:rFonts w:ascii="华文中宋" w:eastAsia="华文中宋" w:hAnsi="华文中宋" w:cs="仿宋_GB2312"/>
                <w:sz w:val="20"/>
                <w:szCs w:val="20"/>
              </w:rPr>
            </w:pPr>
          </w:p>
        </w:tc>
      </w:tr>
      <w:tr w:rsidR="009613B4" w:rsidTr="008C3907">
        <w:trPr>
          <w:trHeight w:hRule="exact" w:val="454"/>
          <w:jc w:val="center"/>
        </w:trPr>
        <w:tc>
          <w:tcPr>
            <w:tcW w:w="2743" w:type="dxa"/>
            <w:shd w:val="clear" w:color="auto" w:fill="auto"/>
          </w:tcPr>
          <w:p w:rsidR="009613B4" w:rsidRDefault="009613B4" w:rsidP="008C3907">
            <w:pPr>
              <w:tabs>
                <w:tab w:val="left" w:pos="6300"/>
              </w:tabs>
              <w:spacing w:line="240" w:lineRule="exact"/>
              <w:jc w:val="center"/>
              <w:rPr>
                <w:rFonts w:ascii="仿宋_GB2312" w:hAnsi="仿宋_GB2312" w:cs="仿宋_GB2312"/>
                <w:sz w:val="20"/>
                <w:szCs w:val="20"/>
              </w:rPr>
            </w:pPr>
            <w:r>
              <w:rPr>
                <w:rFonts w:ascii="仿宋_GB2312" w:hAnsi="仿宋_GB2312" w:cs="仿宋_GB2312" w:hint="eastAsia"/>
                <w:sz w:val="20"/>
                <w:szCs w:val="20"/>
              </w:rPr>
              <w:t>情感态度与价值观目标</w:t>
            </w:r>
          </w:p>
        </w:tc>
        <w:tc>
          <w:tcPr>
            <w:tcW w:w="519" w:type="dxa"/>
            <w:shd w:val="clear" w:color="auto" w:fill="auto"/>
            <w:vAlign w:val="center"/>
          </w:tcPr>
          <w:p w:rsidR="009613B4" w:rsidRDefault="009613B4" w:rsidP="008C3907">
            <w:pPr>
              <w:spacing w:line="240" w:lineRule="exact"/>
              <w:jc w:val="center"/>
              <w:rPr>
                <w:rFonts w:ascii="华文中宋" w:eastAsia="华文中宋" w:hAnsi="华文中宋" w:cs="仿宋_GB2312"/>
                <w:sz w:val="20"/>
                <w:szCs w:val="20"/>
              </w:rPr>
            </w:pPr>
          </w:p>
        </w:tc>
        <w:tc>
          <w:tcPr>
            <w:tcW w:w="519" w:type="dxa"/>
            <w:shd w:val="clear" w:color="auto" w:fill="auto"/>
            <w:vAlign w:val="center"/>
          </w:tcPr>
          <w:p w:rsidR="009613B4" w:rsidRDefault="009613B4" w:rsidP="008C3907">
            <w:pPr>
              <w:spacing w:line="240" w:lineRule="exact"/>
              <w:jc w:val="center"/>
              <w:rPr>
                <w:rFonts w:ascii="华文中宋" w:eastAsia="华文中宋" w:hAnsi="华文中宋" w:cs="仿宋_GB2312"/>
                <w:sz w:val="20"/>
                <w:szCs w:val="20"/>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r>
              <w:rPr>
                <w:rFonts w:ascii="华文中宋" w:eastAsia="华文中宋" w:hAnsi="华文中宋" w:cs="仿宋_GB2312" w:hint="eastAsia"/>
                <w:sz w:val="20"/>
                <w:szCs w:val="20"/>
              </w:rPr>
              <w:t>M</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r>
              <w:rPr>
                <w:rFonts w:ascii="华文中宋" w:eastAsia="华文中宋" w:hAnsi="华文中宋" w:cs="仿宋_GB2312" w:hint="eastAsia"/>
                <w:sz w:val="20"/>
                <w:szCs w:val="20"/>
              </w:rPr>
              <w:t>H</w:t>
            </w:r>
          </w:p>
        </w:tc>
        <w:tc>
          <w:tcPr>
            <w:tcW w:w="519" w:type="dxa"/>
            <w:shd w:val="clear" w:color="auto" w:fill="auto"/>
            <w:vAlign w:val="center"/>
          </w:tcPr>
          <w:p w:rsidR="009613B4" w:rsidRDefault="009613B4" w:rsidP="008C3907">
            <w:pPr>
              <w:tabs>
                <w:tab w:val="left" w:pos="6300"/>
              </w:tabs>
              <w:spacing w:line="240" w:lineRule="exact"/>
              <w:jc w:val="center"/>
              <w:rPr>
                <w:rFonts w:ascii="华文中宋" w:eastAsia="华文中宋" w:hAnsi="华文中宋" w:cs="仿宋_GB2312"/>
                <w:sz w:val="20"/>
                <w:szCs w:val="20"/>
              </w:rPr>
            </w:pPr>
            <w:r>
              <w:rPr>
                <w:rFonts w:ascii="华文中宋" w:eastAsia="华文中宋" w:hAnsi="华文中宋" w:cs="仿宋_GB2312" w:hint="eastAsia"/>
                <w:sz w:val="20"/>
                <w:szCs w:val="20"/>
              </w:rPr>
              <w:t>L</w:t>
            </w:r>
          </w:p>
        </w:tc>
        <w:tc>
          <w:tcPr>
            <w:tcW w:w="520" w:type="dxa"/>
            <w:shd w:val="clear" w:color="auto" w:fill="auto"/>
          </w:tcPr>
          <w:p w:rsidR="009613B4" w:rsidRDefault="009613B4" w:rsidP="008C3907">
            <w:pPr>
              <w:spacing w:line="240" w:lineRule="exact"/>
              <w:rPr>
                <w:rFonts w:ascii="华文中宋" w:eastAsia="华文中宋" w:hAnsi="华文中宋" w:cs="仿宋_GB2312"/>
                <w:sz w:val="20"/>
                <w:szCs w:val="20"/>
              </w:rPr>
            </w:pPr>
          </w:p>
        </w:tc>
        <w:tc>
          <w:tcPr>
            <w:tcW w:w="520" w:type="dxa"/>
            <w:shd w:val="clear" w:color="auto" w:fill="auto"/>
          </w:tcPr>
          <w:p w:rsidR="009613B4" w:rsidRDefault="009613B4" w:rsidP="008C3907">
            <w:pPr>
              <w:spacing w:line="240" w:lineRule="exact"/>
              <w:rPr>
                <w:rFonts w:ascii="华文中宋" w:eastAsia="华文中宋" w:hAnsi="华文中宋" w:cs="仿宋_GB2312"/>
                <w:sz w:val="20"/>
                <w:szCs w:val="20"/>
              </w:rPr>
            </w:pPr>
          </w:p>
        </w:tc>
        <w:tc>
          <w:tcPr>
            <w:tcW w:w="520" w:type="dxa"/>
            <w:shd w:val="clear" w:color="auto" w:fill="auto"/>
          </w:tcPr>
          <w:p w:rsidR="009613B4" w:rsidRDefault="009613B4" w:rsidP="008C3907">
            <w:pPr>
              <w:spacing w:line="240" w:lineRule="exact"/>
              <w:rPr>
                <w:rFonts w:ascii="华文中宋" w:eastAsia="华文中宋" w:hAnsi="华文中宋" w:cs="仿宋_GB2312"/>
                <w:sz w:val="20"/>
                <w:szCs w:val="20"/>
              </w:rPr>
            </w:pPr>
          </w:p>
        </w:tc>
        <w:tc>
          <w:tcPr>
            <w:tcW w:w="520" w:type="dxa"/>
            <w:shd w:val="clear" w:color="auto" w:fill="auto"/>
          </w:tcPr>
          <w:p w:rsidR="009613B4" w:rsidRDefault="009613B4" w:rsidP="008C3907">
            <w:pPr>
              <w:spacing w:line="240" w:lineRule="exact"/>
              <w:rPr>
                <w:rFonts w:ascii="华文中宋" w:eastAsia="华文中宋" w:hAnsi="华文中宋" w:cs="仿宋_GB2312"/>
                <w:sz w:val="20"/>
                <w:szCs w:val="20"/>
              </w:rPr>
            </w:pPr>
          </w:p>
        </w:tc>
        <w:tc>
          <w:tcPr>
            <w:tcW w:w="520" w:type="dxa"/>
            <w:shd w:val="clear" w:color="auto" w:fill="auto"/>
          </w:tcPr>
          <w:p w:rsidR="009613B4" w:rsidRDefault="009613B4" w:rsidP="008C3907">
            <w:pPr>
              <w:spacing w:line="240" w:lineRule="exact"/>
              <w:rPr>
                <w:rFonts w:ascii="华文中宋" w:eastAsia="华文中宋" w:hAnsi="华文中宋" w:cs="仿宋_GB2312"/>
                <w:sz w:val="20"/>
                <w:szCs w:val="20"/>
              </w:rPr>
            </w:pPr>
          </w:p>
        </w:tc>
      </w:tr>
    </w:tbl>
    <w:p w:rsidR="009613B4" w:rsidRDefault="009613B4" w:rsidP="009613B4">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9613B4" w:rsidRDefault="009613B4" w:rsidP="009613B4">
      <w:pPr>
        <w:spacing w:line="560" w:lineRule="exact"/>
        <w:ind w:firstLineChars="202" w:firstLine="566"/>
        <w:rPr>
          <w:rFonts w:ascii="仿宋_GB2312" w:hAnsi="仿宋_GB2312" w:cs="仿宋_GB2312"/>
          <w:sz w:val="28"/>
          <w:szCs w:val="28"/>
        </w:rPr>
      </w:pPr>
      <w:r>
        <w:rPr>
          <w:rFonts w:ascii="仿宋_GB2312" w:hAnsi="仿宋_GB2312" w:cs="仿宋_GB2312" w:hint="eastAsia"/>
          <w:sz w:val="28"/>
          <w:szCs w:val="28"/>
        </w:rPr>
        <w:t>了解</w:t>
      </w:r>
      <w:r>
        <w:rPr>
          <w:rFonts w:ascii="仿宋_GB2312" w:hAnsi="仿宋_GB2312" w:cs="仿宋_GB2312"/>
          <w:sz w:val="28"/>
          <w:szCs w:val="28"/>
        </w:rPr>
        <w:t>宪法、法律、行政法规、部门规章、地方性法规、标准</w:t>
      </w:r>
      <w:r>
        <w:rPr>
          <w:rFonts w:ascii="仿宋_GB2312" w:hAnsi="仿宋_GB2312" w:cs="仿宋_GB2312" w:hint="eastAsia"/>
          <w:sz w:val="28"/>
          <w:szCs w:val="28"/>
        </w:rPr>
        <w:t>等的</w:t>
      </w:r>
      <w:r>
        <w:rPr>
          <w:rFonts w:ascii="仿宋_GB2312" w:hAnsi="仿宋_GB2312" w:cs="仿宋_GB2312"/>
          <w:sz w:val="28"/>
          <w:szCs w:val="28"/>
        </w:rPr>
        <w:t>基本</w:t>
      </w:r>
      <w:r>
        <w:rPr>
          <w:rFonts w:ascii="仿宋_GB2312" w:hAnsi="仿宋_GB2312" w:cs="仿宋_GB2312" w:hint="eastAsia"/>
          <w:sz w:val="28"/>
          <w:szCs w:val="28"/>
        </w:rPr>
        <w:t>法律</w:t>
      </w:r>
      <w:r>
        <w:rPr>
          <w:rFonts w:ascii="仿宋_GB2312" w:hAnsi="仿宋_GB2312" w:cs="仿宋_GB2312"/>
          <w:sz w:val="28"/>
          <w:szCs w:val="28"/>
        </w:rPr>
        <w:t>概念</w:t>
      </w:r>
      <w:r>
        <w:rPr>
          <w:rFonts w:ascii="仿宋_GB2312" w:hAnsi="仿宋_GB2312" w:cs="仿宋_GB2312" w:hint="eastAsia"/>
          <w:sz w:val="28"/>
          <w:szCs w:val="28"/>
        </w:rPr>
        <w:t>，重点理解和掌握</w:t>
      </w:r>
      <w:r>
        <w:rPr>
          <w:rFonts w:ascii="仿宋_GB2312" w:hAnsi="仿宋_GB2312" w:cs="仿宋_GB2312"/>
          <w:sz w:val="28"/>
          <w:szCs w:val="28"/>
        </w:rPr>
        <w:t>学习水工程相关的法规。通过本课程的学习，使学生了解水工程的法规体系及相关法规的基本内容，掌握水工程法规中水环境质量法规、水工程建设法规、水工程管理法规的基本原则、基本规定、基本制度，做到精讲多练</w:t>
      </w:r>
      <w:r>
        <w:rPr>
          <w:rFonts w:ascii="仿宋_GB2312" w:hAnsi="仿宋_GB2312" w:cs="仿宋_GB2312" w:hint="eastAsia"/>
          <w:sz w:val="28"/>
          <w:szCs w:val="28"/>
        </w:rPr>
        <w:t>，</w:t>
      </w:r>
      <w:r>
        <w:rPr>
          <w:rFonts w:ascii="仿宋_GB2312" w:hAnsi="仿宋_GB2312" w:cs="仿宋_GB2312"/>
          <w:sz w:val="28"/>
          <w:szCs w:val="28"/>
        </w:rPr>
        <w:t>抓好案例分析环节，重视学生实践能力的培养。</w:t>
      </w:r>
      <w:r>
        <w:rPr>
          <w:rFonts w:ascii="仿宋_GB2312" w:hAnsi="仿宋_GB2312" w:cs="仿宋_GB2312" w:hint="eastAsia"/>
          <w:sz w:val="28"/>
          <w:szCs w:val="28"/>
        </w:rPr>
        <w:t>并且通过</w:t>
      </w:r>
      <w:r>
        <w:rPr>
          <w:rFonts w:ascii="仿宋_GB2312" w:hAnsi="仿宋_GB2312" w:cs="仿宋_GB2312"/>
          <w:sz w:val="28"/>
          <w:szCs w:val="28"/>
        </w:rPr>
        <w:t>案例分析综合所学理论，培养学生对案例的特点进行分析和判断，进一步提高学生的法律意识。</w:t>
      </w:r>
    </w:p>
    <w:p w:rsidR="009613B4" w:rsidRDefault="009613B4" w:rsidP="009613B4">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围绕水工程法规的教学，帮助学生</w:t>
      </w:r>
      <w:r>
        <w:rPr>
          <w:rFonts w:ascii="仿宋_GB2312" w:hAnsi="仿宋_GB2312" w:cs="仿宋_GB2312"/>
          <w:sz w:val="28"/>
          <w:szCs w:val="28"/>
        </w:rPr>
        <w:t>树立正确的世界观、人生观和价值观，遵纪守法、爱岗敬业，具有为国家富强和民族昌盛而努力奋斗的责任感和乐于为人民服务的奉献精神；有良好的品德修养、社会公德和职业道德；身心健康、乐观豁达、积极向上。</w:t>
      </w:r>
    </w:p>
    <w:p w:rsidR="009613B4" w:rsidRDefault="009613B4" w:rsidP="009613B4">
      <w:pPr>
        <w:spacing w:beforeLines="50" w:before="156" w:afterLines="50" w:after="156" w:line="560" w:lineRule="exact"/>
        <w:rPr>
          <w:rFonts w:ascii="黑体" w:eastAsia="黑体" w:hAnsi="黑体" w:cs="仿宋_GB2312"/>
          <w:b/>
          <w:bCs/>
          <w:sz w:val="28"/>
          <w:szCs w:val="28"/>
        </w:rPr>
      </w:pPr>
      <w:r>
        <w:rPr>
          <w:rFonts w:ascii="黑体" w:eastAsia="黑体" w:hAnsi="黑体" w:cs="仿宋_GB2312" w:hint="eastAsia"/>
          <w:b/>
          <w:bCs/>
          <w:sz w:val="28"/>
          <w:szCs w:val="28"/>
        </w:rPr>
        <w:t>四、教学内容安排</w:t>
      </w:r>
    </w:p>
    <w:p w:rsidR="009613B4" w:rsidRDefault="009613B4" w:rsidP="009613B4">
      <w:pPr>
        <w:spacing w:line="560" w:lineRule="exact"/>
        <w:rPr>
          <w:rFonts w:ascii="仿宋_GB2312" w:hAnsi="仿宋_GB2312" w:cs="仿宋_GB2312"/>
          <w:sz w:val="28"/>
          <w:szCs w:val="28"/>
        </w:rPr>
      </w:pPr>
      <w:r>
        <w:rPr>
          <w:rFonts w:ascii="仿宋_GB2312" w:hAnsi="仿宋_GB2312" w:cs="仿宋_GB2312"/>
          <w:sz w:val="28"/>
          <w:szCs w:val="28"/>
        </w:rPr>
        <w:t>（一）教学内容结构关系图</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本课程的教学方法以课堂教学为主，结合实际案例加强对理论知识的巩固和理解。</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课堂教学采用多媒体和传统教学相结合的方式，以讲授为主，通过作业、考勤等多环节训练和督促检查，巩固学习成果。</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课堂讲授以教授给排水工程专业必须的水工程方面的法规及与</w:t>
      </w:r>
      <w:r>
        <w:rPr>
          <w:rFonts w:ascii="仿宋_GB2312" w:hAnsi="仿宋_GB2312" w:cs="仿宋_GB2312"/>
          <w:sz w:val="28"/>
          <w:szCs w:val="28"/>
        </w:rPr>
        <w:lastRenderedPageBreak/>
        <w:t>此相关的法律、法规为主，主要介绍水工程建设法规、水工程管理法规和水环境质量法规，以及相关法律、规范体系，使学生对水处理法规有全面、系统的认识，实现教学目标。</w:t>
      </w:r>
      <w:r>
        <w:rPr>
          <w:rFonts w:ascii="仿宋_GB2312" w:hAnsi="仿宋_GB2312" w:cs="仿宋_GB2312" w:hint="eastAsia"/>
          <w:sz w:val="28"/>
          <w:szCs w:val="28"/>
        </w:rPr>
        <w:t>具体教学内容安排见下表。</w:t>
      </w:r>
    </w:p>
    <w:p w:rsidR="009613B4" w:rsidRDefault="009613B4" w:rsidP="009613B4">
      <w:pPr>
        <w:spacing w:line="560" w:lineRule="exact"/>
        <w:rPr>
          <w:rFonts w:ascii="仿宋_GB2312" w:hAnsi="仿宋_GB2312" w:cs="仿宋_GB2312"/>
          <w:sz w:val="28"/>
          <w:szCs w:val="28"/>
        </w:rPr>
      </w:pPr>
      <w:r>
        <w:rPr>
          <w:rFonts w:ascii="仿宋_GB2312" w:hAnsi="仿宋_GB2312" w:cs="仿宋_GB2312"/>
          <w:sz w:val="28"/>
          <w:szCs w:val="28"/>
        </w:rPr>
        <w:t>（</w:t>
      </w:r>
      <w:r>
        <w:rPr>
          <w:rFonts w:ascii="仿宋_GB2312" w:hAnsi="仿宋_GB2312" w:cs="仿宋_GB2312" w:hint="eastAsia"/>
          <w:sz w:val="28"/>
          <w:szCs w:val="28"/>
        </w:rPr>
        <w:t>二</w:t>
      </w:r>
      <w:r>
        <w:rPr>
          <w:rFonts w:ascii="仿宋_GB2312" w:hAnsi="仿宋_GB2312" w:cs="仿宋_GB2312"/>
          <w:sz w:val="28"/>
          <w:szCs w:val="28"/>
        </w:rPr>
        <w:t>）</w:t>
      </w:r>
      <w:r>
        <w:rPr>
          <w:rFonts w:ascii="仿宋_GB2312" w:hAnsi="仿宋_GB2312" w:cs="仿宋_GB2312" w:hint="eastAsia"/>
          <w:sz w:val="28"/>
          <w:szCs w:val="28"/>
        </w:rPr>
        <w:t>章节</w:t>
      </w:r>
      <w:r>
        <w:rPr>
          <w:rFonts w:ascii="仿宋_GB2312" w:hAnsi="仿宋_GB2312" w:cs="仿宋_GB2312"/>
          <w:sz w:val="28"/>
          <w:szCs w:val="28"/>
        </w:rPr>
        <w:t>教学内容</w:t>
      </w:r>
      <w:r>
        <w:rPr>
          <w:rFonts w:ascii="仿宋_GB2312" w:hAnsi="仿宋_GB2312" w:cs="仿宋_GB2312" w:hint="eastAsia"/>
          <w:sz w:val="28"/>
          <w:szCs w:val="28"/>
        </w:rPr>
        <w:t>规划</w:t>
      </w:r>
    </w:p>
    <w:p w:rsidR="009613B4" w:rsidRDefault="009613B4" w:rsidP="009613B4">
      <w:pPr>
        <w:spacing w:line="560" w:lineRule="exact"/>
        <w:rPr>
          <w:rFonts w:ascii="仿宋_GB2312" w:hAnsi="仿宋_GB2312" w:cs="仿宋_GB2312"/>
          <w:sz w:val="28"/>
          <w:szCs w:val="28"/>
        </w:rPr>
      </w:pP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730"/>
        <w:gridCol w:w="727"/>
        <w:gridCol w:w="5227"/>
        <w:gridCol w:w="709"/>
        <w:gridCol w:w="912"/>
      </w:tblGrid>
      <w:tr w:rsidR="009613B4" w:rsidTr="008C3907">
        <w:trPr>
          <w:cantSplit/>
          <w:trHeight w:val="785"/>
        </w:trPr>
        <w:tc>
          <w:tcPr>
            <w:tcW w:w="5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序号</w:t>
            </w:r>
          </w:p>
        </w:tc>
        <w:tc>
          <w:tcPr>
            <w:tcW w:w="730"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章  节</w:t>
            </w:r>
          </w:p>
        </w:tc>
        <w:tc>
          <w:tcPr>
            <w:tcW w:w="727"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参考学时</w:t>
            </w:r>
          </w:p>
        </w:tc>
        <w:tc>
          <w:tcPr>
            <w:tcW w:w="5227"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教学内容</w:t>
            </w:r>
          </w:p>
        </w:tc>
        <w:tc>
          <w:tcPr>
            <w:tcW w:w="709"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基本要求</w:t>
            </w:r>
          </w:p>
        </w:tc>
        <w:tc>
          <w:tcPr>
            <w:tcW w:w="9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对毕业要求的支撑</w:t>
            </w:r>
          </w:p>
        </w:tc>
      </w:tr>
      <w:tr w:rsidR="009613B4" w:rsidTr="008C3907">
        <w:trPr>
          <w:trHeight w:val="428"/>
        </w:trPr>
        <w:tc>
          <w:tcPr>
            <w:tcW w:w="5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1</w:t>
            </w:r>
          </w:p>
        </w:tc>
        <w:tc>
          <w:tcPr>
            <w:tcW w:w="730"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概述</w:t>
            </w:r>
          </w:p>
        </w:tc>
        <w:tc>
          <w:tcPr>
            <w:tcW w:w="727"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1</w:t>
            </w:r>
          </w:p>
        </w:tc>
        <w:tc>
          <w:tcPr>
            <w:tcW w:w="5227"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首先了解法的一些基本知识，包括法的概念、特征、要素、作用、法律体系等；主要了解我国水工程法规体系的发展、体系的构成，对纵向体系系统讲解不同国家职权部门，全国人民代表大会、国务院、水工程部门以及地方人民代表大会和政府，制定的规范性法律文件，并通过横向体系的讲解主要分水环境质量、水工程建设和水工程管理三方面了解水工程法规的发展史；了解水工程标准的概念，标准的作用、分类；了解水工程法规和标准的制定、管理和实施。</w:t>
            </w:r>
          </w:p>
        </w:tc>
        <w:tc>
          <w:tcPr>
            <w:tcW w:w="709"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掌握水工程法规的基本概念</w:t>
            </w:r>
          </w:p>
        </w:tc>
        <w:tc>
          <w:tcPr>
            <w:tcW w:w="912" w:type="dxa"/>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支撑毕业要求8，9</w:t>
            </w:r>
          </w:p>
        </w:tc>
      </w:tr>
      <w:tr w:rsidR="009613B4" w:rsidTr="008C3907">
        <w:trPr>
          <w:trHeight w:val="519"/>
        </w:trPr>
        <w:tc>
          <w:tcPr>
            <w:tcW w:w="5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2</w:t>
            </w:r>
          </w:p>
        </w:tc>
        <w:tc>
          <w:tcPr>
            <w:tcW w:w="730"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水资源利用与水环境保护法规</w:t>
            </w:r>
          </w:p>
        </w:tc>
        <w:tc>
          <w:tcPr>
            <w:tcW w:w="727"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1</w:t>
            </w:r>
          </w:p>
        </w:tc>
        <w:tc>
          <w:tcPr>
            <w:tcW w:w="5227"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了解水资源与水环境的基本概念，对水污染和环境权有充分的认识，对水资源利用与水环境保护的可持续利用原则，全面规划、综合利用的原则，预防为主、防治结合的原则，节约用水原则和开发者养护、污染者治理的原则有全面了解。重点掌握水资源利用的相关法规，水资源利用的基本制度和规划管理，掌握水环境保护法规，水环境保护的基本制度、相关法律规定，并且了解水资源利用与水环境保护的标准。</w:t>
            </w:r>
          </w:p>
        </w:tc>
        <w:tc>
          <w:tcPr>
            <w:tcW w:w="709"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明确水环境保护的基本制度</w:t>
            </w:r>
          </w:p>
        </w:tc>
        <w:tc>
          <w:tcPr>
            <w:tcW w:w="912" w:type="dxa"/>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支撑毕业要求1，3，6，7，8，9</w:t>
            </w:r>
          </w:p>
        </w:tc>
      </w:tr>
      <w:tr w:rsidR="009613B4" w:rsidTr="008C3907">
        <w:trPr>
          <w:trHeight w:val="555"/>
        </w:trPr>
        <w:tc>
          <w:tcPr>
            <w:tcW w:w="5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3</w:t>
            </w:r>
          </w:p>
        </w:tc>
        <w:tc>
          <w:tcPr>
            <w:tcW w:w="730"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水工程合同法规</w:t>
            </w:r>
          </w:p>
        </w:tc>
        <w:tc>
          <w:tcPr>
            <w:tcW w:w="727"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1.5</w:t>
            </w:r>
          </w:p>
        </w:tc>
        <w:tc>
          <w:tcPr>
            <w:tcW w:w="5227"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了解水工程合同的概念和特征，水工程合同的分类及法规体系的内容，掌握水工程合同成立的概念和条件，了解建设工程施工合同和FIDIC土木工程施工合同条件的组成部分，明确水工程合同有效的条件和效力范围，明确水工程合同履行原则和规则，了解水工程合同变化的各种情形和索赔情况。</w:t>
            </w:r>
          </w:p>
        </w:tc>
        <w:tc>
          <w:tcPr>
            <w:tcW w:w="709"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重点掌握水工程合同的履行</w:t>
            </w:r>
          </w:p>
        </w:tc>
        <w:tc>
          <w:tcPr>
            <w:tcW w:w="912" w:type="dxa"/>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支撑毕业要求1，3，6，7，8，9</w:t>
            </w:r>
          </w:p>
        </w:tc>
      </w:tr>
      <w:tr w:rsidR="009613B4" w:rsidTr="008C3907">
        <w:trPr>
          <w:trHeight w:val="555"/>
        </w:trPr>
        <w:tc>
          <w:tcPr>
            <w:tcW w:w="5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4</w:t>
            </w:r>
          </w:p>
        </w:tc>
        <w:tc>
          <w:tcPr>
            <w:tcW w:w="730"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水工程规划法规</w:t>
            </w:r>
          </w:p>
        </w:tc>
        <w:tc>
          <w:tcPr>
            <w:tcW w:w="727"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1.5</w:t>
            </w:r>
          </w:p>
        </w:tc>
        <w:tc>
          <w:tcPr>
            <w:tcW w:w="5227"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了解城市规划原则、依据内容与法规，明确城市给水和排水工程规范的原则和内容，明确水源选择，城市给水工程规划的用水量确定，掌握对城市污水量的预测和估算城市雨水量的方法，确定排水体制与排水系统布局，明确处理后污水与污泥的出路和处理程度，了解城市给排水规划与城市规划的关系。</w:t>
            </w:r>
          </w:p>
        </w:tc>
        <w:tc>
          <w:tcPr>
            <w:tcW w:w="709"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重点掌握城市给水和排水规划的内容</w:t>
            </w:r>
          </w:p>
        </w:tc>
        <w:tc>
          <w:tcPr>
            <w:tcW w:w="912" w:type="dxa"/>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支撑毕业要求1，3，6，7，8，9</w:t>
            </w:r>
          </w:p>
        </w:tc>
      </w:tr>
      <w:tr w:rsidR="009613B4" w:rsidTr="008C3907">
        <w:trPr>
          <w:trHeight w:val="555"/>
        </w:trPr>
        <w:tc>
          <w:tcPr>
            <w:tcW w:w="5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lastRenderedPageBreak/>
              <w:t>5</w:t>
            </w:r>
          </w:p>
        </w:tc>
        <w:tc>
          <w:tcPr>
            <w:tcW w:w="730"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水工程勘察设计法规</w:t>
            </w:r>
          </w:p>
        </w:tc>
        <w:tc>
          <w:tcPr>
            <w:tcW w:w="727"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2</w:t>
            </w:r>
          </w:p>
        </w:tc>
        <w:tc>
          <w:tcPr>
            <w:tcW w:w="5227"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掌握建设工程及基本建设程序的四个阶段，明确工程勘察设计工作的一般程序和工程勘察主要内容，掌握水工程设计法规要求，明确初步设计、技术设计、施工图设计的质量管理和责任落实，掌握注册公用设备工程师（给排水）专业考试相关的室外给水工程设计、室外排水工程设计、建筑给排水设计以及建筑设计防火、高层民用建筑设计防火和自动喷水灭火系统设计防火规范中的强制标准。</w:t>
            </w:r>
          </w:p>
        </w:tc>
        <w:tc>
          <w:tcPr>
            <w:tcW w:w="709"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注册设备工程师相关规范掌握</w:t>
            </w:r>
          </w:p>
        </w:tc>
        <w:tc>
          <w:tcPr>
            <w:tcW w:w="912" w:type="dxa"/>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支撑毕业要求1，3，6，7，8，9</w:t>
            </w:r>
          </w:p>
        </w:tc>
      </w:tr>
      <w:tr w:rsidR="009613B4" w:rsidTr="008C3907">
        <w:trPr>
          <w:trHeight w:val="555"/>
        </w:trPr>
        <w:tc>
          <w:tcPr>
            <w:tcW w:w="5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6</w:t>
            </w:r>
          </w:p>
        </w:tc>
        <w:tc>
          <w:tcPr>
            <w:tcW w:w="730"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水工程施工与监理法规</w:t>
            </w:r>
          </w:p>
        </w:tc>
        <w:tc>
          <w:tcPr>
            <w:tcW w:w="727"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2.5</w:t>
            </w:r>
          </w:p>
        </w:tc>
        <w:tc>
          <w:tcPr>
            <w:tcW w:w="5227"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掌握水工程施工法规的相关法规及规定，明确建设单位、勘察、设计、工程监理中的安全责任，掌握建设工程监理制度，了解安全生产监督管理制度，掌握施工许可制度，明确办理施工许可证所需具备的条件，掌握项目经理的主要责任和权力，了解施工组织设计的分类和内容，工程项目竣工验收的依据、内容和程序。</w:t>
            </w:r>
          </w:p>
        </w:tc>
        <w:tc>
          <w:tcPr>
            <w:tcW w:w="709"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重点掌握建设监理制度和工程竣工验收制度</w:t>
            </w:r>
          </w:p>
        </w:tc>
        <w:tc>
          <w:tcPr>
            <w:tcW w:w="912" w:type="dxa"/>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支撑毕业要求1，3，6，7，8，9</w:t>
            </w:r>
          </w:p>
        </w:tc>
      </w:tr>
      <w:tr w:rsidR="009613B4" w:rsidTr="008C3907">
        <w:trPr>
          <w:trHeight w:val="555"/>
        </w:trPr>
        <w:tc>
          <w:tcPr>
            <w:tcW w:w="5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7</w:t>
            </w:r>
          </w:p>
        </w:tc>
        <w:tc>
          <w:tcPr>
            <w:tcW w:w="730"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水工程管理法规</w:t>
            </w:r>
          </w:p>
        </w:tc>
        <w:tc>
          <w:tcPr>
            <w:tcW w:w="727"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3</w:t>
            </w:r>
          </w:p>
        </w:tc>
        <w:tc>
          <w:tcPr>
            <w:tcW w:w="5227"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了解供水企业资质管理包含的内容，工程勘察设计单位资质分级依据及各级资质所需条件，了解市政公用工程施工总承包企业资质分级和资质所需条件，掌握生活饮用水水源的水质要求，掌握供水水质卫生管理要求，生活污水水质排放要求，工业废水排放水质要求，建设项目总投资构成，总成本费用、经营成本、运行成本三者之间的关系，了解特许运营类型和运营现状。</w:t>
            </w:r>
          </w:p>
        </w:tc>
        <w:tc>
          <w:tcPr>
            <w:tcW w:w="709"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重点掌握水工程资质管理法规和水质管理法规</w:t>
            </w:r>
          </w:p>
        </w:tc>
        <w:tc>
          <w:tcPr>
            <w:tcW w:w="912" w:type="dxa"/>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支撑毕业要求1，3，6，7，8，9</w:t>
            </w:r>
          </w:p>
        </w:tc>
      </w:tr>
      <w:tr w:rsidR="009613B4" w:rsidTr="008C3907">
        <w:trPr>
          <w:trHeight w:val="555"/>
        </w:trPr>
        <w:tc>
          <w:tcPr>
            <w:tcW w:w="5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8</w:t>
            </w:r>
          </w:p>
        </w:tc>
        <w:tc>
          <w:tcPr>
            <w:tcW w:w="730"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水工程相关法律法规</w:t>
            </w:r>
          </w:p>
        </w:tc>
        <w:tc>
          <w:tcPr>
            <w:tcW w:w="727"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1.5</w:t>
            </w:r>
          </w:p>
        </w:tc>
        <w:tc>
          <w:tcPr>
            <w:tcW w:w="5227"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了解大气污染、噪声污染、海洋环境污染、水土保持、固体废弃物污染的概念及大气污染防治法、噪声污染防治法、海洋环境保护法、水土保持法的适用范围，了解固体废弃物污染防治、大气污染防治、噪声污染防治的原则及基本制度，了解水土保持、海洋环境保护的原则及基本制度。</w:t>
            </w:r>
          </w:p>
        </w:tc>
        <w:tc>
          <w:tcPr>
            <w:tcW w:w="709"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重点掌握不同法规的规范范围</w:t>
            </w:r>
          </w:p>
        </w:tc>
        <w:tc>
          <w:tcPr>
            <w:tcW w:w="912" w:type="dxa"/>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支撑毕业要求8，11</w:t>
            </w:r>
          </w:p>
        </w:tc>
      </w:tr>
      <w:tr w:rsidR="009613B4" w:rsidTr="008C3907">
        <w:trPr>
          <w:trHeight w:val="555"/>
        </w:trPr>
        <w:tc>
          <w:tcPr>
            <w:tcW w:w="512" w:type="dxa"/>
            <w:vAlign w:val="center"/>
          </w:tcPr>
          <w:p w:rsidR="009613B4" w:rsidRDefault="009613B4" w:rsidP="008C3907">
            <w:pPr>
              <w:jc w:val="center"/>
              <w:rPr>
                <w:rFonts w:ascii="仿宋_GB2312" w:hAnsi="仿宋_GB2312" w:cs="仿宋_GB2312"/>
                <w:sz w:val="20"/>
                <w:szCs w:val="20"/>
              </w:rPr>
            </w:pPr>
            <w:r>
              <w:rPr>
                <w:rFonts w:ascii="仿宋_GB2312" w:hAnsi="仿宋_GB2312" w:cs="仿宋_GB2312" w:hint="eastAsia"/>
                <w:sz w:val="20"/>
                <w:szCs w:val="20"/>
              </w:rPr>
              <w:t>9</w:t>
            </w:r>
          </w:p>
        </w:tc>
        <w:tc>
          <w:tcPr>
            <w:tcW w:w="730"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水工程法律责任</w:t>
            </w:r>
          </w:p>
        </w:tc>
        <w:tc>
          <w:tcPr>
            <w:tcW w:w="727" w:type="dxa"/>
            <w:vAlign w:val="center"/>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1.5</w:t>
            </w:r>
          </w:p>
        </w:tc>
        <w:tc>
          <w:tcPr>
            <w:tcW w:w="5227"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了解水工程法律责任的概念和特征，水工程法律责任的类型与实现方式，水工程法律责任的归责原则，水工程行政责任、行政处罚、民事责任的概念和特点，了解合同责任、侵权责任、刑事责任的概念和构成，了解水工程犯罪的构成。</w:t>
            </w:r>
          </w:p>
        </w:tc>
        <w:tc>
          <w:tcPr>
            <w:tcW w:w="709" w:type="dxa"/>
            <w:vAlign w:val="center"/>
          </w:tcPr>
          <w:p w:rsidR="009613B4" w:rsidRDefault="009613B4" w:rsidP="008C3907">
            <w:pPr>
              <w:rPr>
                <w:rFonts w:ascii="仿宋_GB2312" w:hAnsi="仿宋_GB2312" w:cs="仿宋_GB2312"/>
                <w:sz w:val="20"/>
                <w:szCs w:val="20"/>
              </w:rPr>
            </w:pPr>
            <w:r>
              <w:rPr>
                <w:rFonts w:ascii="仿宋_GB2312" w:hAnsi="仿宋_GB2312" w:cs="仿宋_GB2312"/>
                <w:sz w:val="20"/>
                <w:szCs w:val="20"/>
              </w:rPr>
              <w:t>了解水工程法律责任的概念和特征</w:t>
            </w:r>
          </w:p>
        </w:tc>
        <w:tc>
          <w:tcPr>
            <w:tcW w:w="912" w:type="dxa"/>
          </w:tcPr>
          <w:p w:rsidR="009613B4" w:rsidRDefault="009613B4" w:rsidP="008C3907">
            <w:pPr>
              <w:rPr>
                <w:rFonts w:ascii="仿宋_GB2312" w:hAnsi="仿宋_GB2312" w:cs="仿宋_GB2312"/>
                <w:sz w:val="20"/>
                <w:szCs w:val="20"/>
              </w:rPr>
            </w:pPr>
            <w:r>
              <w:rPr>
                <w:rFonts w:ascii="仿宋_GB2312" w:hAnsi="仿宋_GB2312" w:cs="仿宋_GB2312" w:hint="eastAsia"/>
                <w:sz w:val="20"/>
                <w:szCs w:val="20"/>
              </w:rPr>
              <w:t>支撑毕业要求1，3，6，7，8，9</w:t>
            </w:r>
          </w:p>
        </w:tc>
      </w:tr>
    </w:tbl>
    <w:p w:rsidR="009613B4" w:rsidRDefault="009613B4" w:rsidP="009613B4">
      <w:pPr>
        <w:spacing w:beforeLines="50" w:before="156" w:afterLines="50" w:after="156" w:line="560" w:lineRule="exact"/>
        <w:rPr>
          <w:rFonts w:ascii="黑体" w:eastAsia="黑体" w:hAnsi="黑体" w:cs="仿宋_GB2312"/>
          <w:b/>
          <w:bCs/>
          <w:sz w:val="28"/>
          <w:szCs w:val="28"/>
        </w:rPr>
      </w:pPr>
      <w:r>
        <w:rPr>
          <w:rFonts w:ascii="黑体" w:eastAsia="黑体" w:hAnsi="黑体" w:cs="仿宋_GB2312" w:hint="eastAsia"/>
          <w:b/>
          <w:bCs/>
          <w:sz w:val="28"/>
          <w:szCs w:val="28"/>
        </w:rPr>
        <w:t>五、课程考核方式与成绩评定</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lastRenderedPageBreak/>
        <w:t>1. 课程考核</w:t>
      </w:r>
    </w:p>
    <w:p w:rsidR="009613B4" w:rsidRDefault="009613B4" w:rsidP="009613B4">
      <w:pPr>
        <w:spacing w:afterLines="50" w:after="156" w:line="560" w:lineRule="exact"/>
        <w:ind w:firstLineChars="200" w:firstLine="560"/>
        <w:rPr>
          <w:rFonts w:ascii="仿宋_GB2312" w:hAnsi="仿宋_GB2312" w:cs="仿宋_GB2312"/>
          <w:sz w:val="28"/>
          <w:szCs w:val="28"/>
        </w:rPr>
      </w:pPr>
      <w:r>
        <w:rPr>
          <w:rFonts w:ascii="仿宋_GB2312" w:hAnsi="仿宋_GB2312" w:cs="仿宋_GB2312"/>
          <w:sz w:val="28"/>
          <w:szCs w:val="28"/>
        </w:rPr>
        <w:t>课程成绩由平时成绩和期终考试两个环节的成绩综合评定产生。各评价环节所占比例及对教学目标的支撑如下表所示。其中，期终考试采取</w:t>
      </w:r>
      <w:r>
        <w:rPr>
          <w:rFonts w:ascii="仿宋_GB2312" w:hAnsi="仿宋_GB2312" w:cs="仿宋_GB2312" w:hint="eastAsia"/>
          <w:sz w:val="28"/>
          <w:szCs w:val="28"/>
        </w:rPr>
        <w:t>开卷</w:t>
      </w:r>
      <w:r>
        <w:rPr>
          <w:rFonts w:ascii="仿宋_GB2312" w:hAnsi="仿宋_GB2312" w:cs="仿宋_GB2312"/>
          <w:sz w:val="28"/>
          <w:szCs w:val="28"/>
        </w:rPr>
        <w:t>形式，内容涉及课程的基本概念和基本组成，题型包括名词解释、选择题、简答题、案例分析题等。</w:t>
      </w:r>
    </w:p>
    <w:p w:rsidR="009613B4" w:rsidRDefault="009613B4"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课程总成绩=期末成绩</w:t>
      </w:r>
      <w:r>
        <w:rPr>
          <w:rFonts w:ascii="仿宋_GB2312" w:hAnsi="仿宋_GB2312" w:cs="仿宋_GB2312" w:hint="eastAsia"/>
          <w:sz w:val="28"/>
          <w:szCs w:val="28"/>
        </w:rPr>
        <w:t>70%+平时</w:t>
      </w:r>
      <w:r>
        <w:rPr>
          <w:rFonts w:ascii="仿宋_GB2312" w:hAnsi="仿宋_GB2312" w:cs="仿宋_GB2312"/>
          <w:sz w:val="28"/>
          <w:szCs w:val="28"/>
        </w:rPr>
        <w:t>成绩30</w:t>
      </w:r>
      <w:r>
        <w:rPr>
          <w:rFonts w:ascii="仿宋_GB2312" w:hAnsi="仿宋_GB2312" w:cs="仿宋_GB2312" w:hint="eastAsia"/>
          <w:sz w:val="28"/>
          <w:szCs w:val="28"/>
        </w:rPr>
        <w:t>%</w:t>
      </w:r>
      <w:r>
        <w:rPr>
          <w:rFonts w:ascii="仿宋_GB2312" w:hAnsi="仿宋_GB2312" w:cs="仿宋_GB2312"/>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804"/>
        <w:gridCol w:w="2876"/>
      </w:tblGrid>
      <w:tr w:rsidR="009613B4" w:rsidTr="008C3907">
        <w:tc>
          <w:tcPr>
            <w:tcW w:w="2732" w:type="dxa"/>
            <w:shd w:val="clear" w:color="auto" w:fill="auto"/>
          </w:tcPr>
          <w:p w:rsidR="009613B4" w:rsidRDefault="009613B4" w:rsidP="008C3907">
            <w:pPr>
              <w:spacing w:line="560" w:lineRule="exact"/>
              <w:rPr>
                <w:rFonts w:ascii="仿宋_GB2312" w:hAnsi="仿宋_GB2312" w:cs="仿宋_GB2312"/>
                <w:sz w:val="28"/>
                <w:szCs w:val="28"/>
              </w:rPr>
            </w:pPr>
            <w:r>
              <w:rPr>
                <w:rFonts w:ascii="仿宋_GB2312" w:hAnsi="仿宋_GB2312" w:cs="仿宋_GB2312"/>
                <w:sz w:val="28"/>
                <w:szCs w:val="28"/>
              </w:rPr>
              <w:t>成绩评定</w:t>
            </w:r>
          </w:p>
        </w:tc>
        <w:tc>
          <w:tcPr>
            <w:tcW w:w="3080" w:type="dxa"/>
            <w:shd w:val="clear" w:color="auto" w:fill="auto"/>
          </w:tcPr>
          <w:p w:rsidR="009613B4" w:rsidRDefault="009613B4" w:rsidP="008C3907">
            <w:pPr>
              <w:spacing w:line="560" w:lineRule="exact"/>
              <w:rPr>
                <w:rFonts w:ascii="仿宋_GB2312" w:hAnsi="仿宋_GB2312" w:cs="仿宋_GB2312"/>
                <w:sz w:val="28"/>
                <w:szCs w:val="28"/>
              </w:rPr>
            </w:pPr>
            <w:r>
              <w:rPr>
                <w:rFonts w:ascii="仿宋_GB2312" w:hAnsi="仿宋_GB2312" w:cs="仿宋_GB2312"/>
                <w:sz w:val="28"/>
                <w:szCs w:val="28"/>
              </w:rPr>
              <w:t>评价环节</w:t>
            </w:r>
          </w:p>
        </w:tc>
        <w:tc>
          <w:tcPr>
            <w:tcW w:w="3260" w:type="dxa"/>
            <w:shd w:val="clear" w:color="auto" w:fill="auto"/>
          </w:tcPr>
          <w:p w:rsidR="009613B4" w:rsidRDefault="009613B4" w:rsidP="008C3907">
            <w:pPr>
              <w:spacing w:line="560" w:lineRule="exact"/>
              <w:rPr>
                <w:rFonts w:ascii="仿宋_GB2312" w:hAnsi="仿宋_GB2312" w:cs="仿宋_GB2312"/>
                <w:sz w:val="28"/>
                <w:szCs w:val="28"/>
              </w:rPr>
            </w:pPr>
            <w:r>
              <w:rPr>
                <w:rFonts w:ascii="仿宋_GB2312" w:hAnsi="仿宋_GB2312" w:cs="仿宋_GB2312"/>
                <w:sz w:val="28"/>
                <w:szCs w:val="28"/>
              </w:rPr>
              <w:t>教学目标</w:t>
            </w:r>
          </w:p>
        </w:tc>
      </w:tr>
      <w:tr w:rsidR="009613B4" w:rsidTr="008C3907">
        <w:tc>
          <w:tcPr>
            <w:tcW w:w="2732" w:type="dxa"/>
            <w:vMerge w:val="restart"/>
            <w:shd w:val="clear" w:color="auto" w:fill="auto"/>
          </w:tcPr>
          <w:p w:rsidR="009613B4" w:rsidRDefault="009613B4" w:rsidP="008C3907">
            <w:pPr>
              <w:spacing w:line="560" w:lineRule="exact"/>
              <w:rPr>
                <w:rFonts w:ascii="仿宋_GB2312" w:hAnsi="仿宋_GB2312" w:cs="仿宋_GB2312"/>
                <w:sz w:val="28"/>
                <w:szCs w:val="28"/>
              </w:rPr>
            </w:pPr>
            <w:r>
              <w:rPr>
                <w:rFonts w:ascii="仿宋_GB2312" w:hAnsi="仿宋_GB2312" w:cs="仿宋_GB2312"/>
                <w:sz w:val="28"/>
                <w:szCs w:val="28"/>
              </w:rPr>
              <w:t>平时成绩（30%）</w:t>
            </w:r>
          </w:p>
        </w:tc>
        <w:tc>
          <w:tcPr>
            <w:tcW w:w="3080" w:type="dxa"/>
            <w:shd w:val="clear" w:color="auto" w:fill="auto"/>
          </w:tcPr>
          <w:p w:rsidR="009613B4" w:rsidRDefault="009613B4" w:rsidP="008C3907">
            <w:pPr>
              <w:spacing w:line="560" w:lineRule="exact"/>
              <w:rPr>
                <w:rFonts w:ascii="仿宋_GB2312" w:hAnsi="仿宋_GB2312" w:cs="仿宋_GB2312"/>
                <w:sz w:val="28"/>
                <w:szCs w:val="28"/>
              </w:rPr>
            </w:pPr>
            <w:r>
              <w:rPr>
                <w:rFonts w:ascii="仿宋_GB2312" w:hAnsi="仿宋_GB2312" w:cs="仿宋_GB2312"/>
                <w:sz w:val="28"/>
                <w:szCs w:val="28"/>
              </w:rPr>
              <w:t>考勤（10%）</w:t>
            </w:r>
          </w:p>
        </w:tc>
        <w:tc>
          <w:tcPr>
            <w:tcW w:w="3260" w:type="dxa"/>
            <w:shd w:val="clear" w:color="auto" w:fill="auto"/>
          </w:tcPr>
          <w:p w:rsidR="009613B4" w:rsidRDefault="009613B4" w:rsidP="008C3907">
            <w:pPr>
              <w:spacing w:line="560" w:lineRule="exact"/>
              <w:rPr>
                <w:rFonts w:ascii="仿宋_GB2312" w:hAnsi="仿宋_GB2312" w:cs="仿宋_GB2312"/>
                <w:sz w:val="28"/>
                <w:szCs w:val="28"/>
              </w:rPr>
            </w:pPr>
          </w:p>
        </w:tc>
      </w:tr>
      <w:tr w:rsidR="009613B4" w:rsidTr="008C3907">
        <w:tc>
          <w:tcPr>
            <w:tcW w:w="2732" w:type="dxa"/>
            <w:vMerge/>
            <w:shd w:val="clear" w:color="auto" w:fill="auto"/>
          </w:tcPr>
          <w:p w:rsidR="009613B4" w:rsidRDefault="009613B4" w:rsidP="008C3907">
            <w:pPr>
              <w:spacing w:line="560" w:lineRule="exact"/>
              <w:rPr>
                <w:rFonts w:ascii="仿宋_GB2312" w:hAnsi="仿宋_GB2312" w:cs="仿宋_GB2312"/>
                <w:sz w:val="28"/>
                <w:szCs w:val="28"/>
              </w:rPr>
            </w:pPr>
          </w:p>
        </w:tc>
        <w:tc>
          <w:tcPr>
            <w:tcW w:w="3080" w:type="dxa"/>
            <w:shd w:val="clear" w:color="auto" w:fill="auto"/>
          </w:tcPr>
          <w:p w:rsidR="009613B4" w:rsidRDefault="009613B4" w:rsidP="008C3907">
            <w:pPr>
              <w:spacing w:line="560" w:lineRule="exact"/>
              <w:rPr>
                <w:rFonts w:ascii="仿宋_GB2312" w:hAnsi="仿宋_GB2312" w:cs="仿宋_GB2312"/>
                <w:sz w:val="28"/>
                <w:szCs w:val="28"/>
              </w:rPr>
            </w:pPr>
            <w:r>
              <w:rPr>
                <w:rFonts w:ascii="仿宋_GB2312" w:hAnsi="仿宋_GB2312" w:cs="仿宋_GB2312"/>
                <w:sz w:val="28"/>
                <w:szCs w:val="28"/>
              </w:rPr>
              <w:t>作业（20%）</w:t>
            </w:r>
          </w:p>
        </w:tc>
        <w:tc>
          <w:tcPr>
            <w:tcW w:w="3260" w:type="dxa"/>
            <w:shd w:val="clear" w:color="auto" w:fill="auto"/>
          </w:tcPr>
          <w:p w:rsidR="009613B4" w:rsidRDefault="009613B4" w:rsidP="008C3907">
            <w:pPr>
              <w:spacing w:line="560" w:lineRule="exact"/>
              <w:rPr>
                <w:rFonts w:ascii="仿宋_GB2312" w:hAnsi="仿宋_GB2312" w:cs="仿宋_GB2312"/>
                <w:sz w:val="28"/>
                <w:szCs w:val="28"/>
              </w:rPr>
            </w:pPr>
            <w:r>
              <w:rPr>
                <w:rFonts w:ascii="仿宋_GB2312" w:hAnsi="仿宋_GB2312" w:cs="仿宋_GB2312"/>
                <w:sz w:val="28"/>
                <w:szCs w:val="28"/>
              </w:rPr>
              <w:t>1、</w:t>
            </w:r>
            <w:r>
              <w:rPr>
                <w:rFonts w:ascii="仿宋_GB2312" w:hAnsi="仿宋_GB2312" w:cs="仿宋_GB2312" w:hint="eastAsia"/>
                <w:sz w:val="28"/>
                <w:szCs w:val="28"/>
              </w:rPr>
              <w:t>3</w:t>
            </w:r>
            <w:r>
              <w:rPr>
                <w:rFonts w:ascii="仿宋_GB2312" w:hAnsi="仿宋_GB2312" w:cs="仿宋_GB2312"/>
                <w:sz w:val="28"/>
                <w:szCs w:val="28"/>
              </w:rPr>
              <w:t>、</w:t>
            </w:r>
            <w:r>
              <w:rPr>
                <w:rFonts w:ascii="仿宋_GB2312" w:hAnsi="仿宋_GB2312" w:cs="仿宋_GB2312" w:hint="eastAsia"/>
                <w:sz w:val="28"/>
                <w:szCs w:val="28"/>
              </w:rPr>
              <w:t>6</w:t>
            </w:r>
            <w:r>
              <w:rPr>
                <w:rFonts w:ascii="仿宋_GB2312" w:hAnsi="仿宋_GB2312" w:cs="仿宋_GB2312"/>
                <w:sz w:val="28"/>
                <w:szCs w:val="28"/>
              </w:rPr>
              <w:t>、7、8、9、</w:t>
            </w:r>
            <w:r>
              <w:rPr>
                <w:rFonts w:ascii="仿宋_GB2312" w:hAnsi="仿宋_GB2312" w:cs="仿宋_GB2312" w:hint="eastAsia"/>
                <w:sz w:val="28"/>
                <w:szCs w:val="28"/>
              </w:rPr>
              <w:t>11</w:t>
            </w:r>
          </w:p>
        </w:tc>
      </w:tr>
      <w:tr w:rsidR="009613B4" w:rsidTr="008C3907">
        <w:tc>
          <w:tcPr>
            <w:tcW w:w="2732" w:type="dxa"/>
            <w:shd w:val="clear" w:color="auto" w:fill="auto"/>
          </w:tcPr>
          <w:p w:rsidR="009613B4" w:rsidRDefault="009613B4" w:rsidP="008C3907">
            <w:pPr>
              <w:spacing w:line="560" w:lineRule="exact"/>
              <w:rPr>
                <w:rFonts w:ascii="仿宋_GB2312" w:hAnsi="仿宋_GB2312" w:cs="仿宋_GB2312"/>
                <w:sz w:val="28"/>
                <w:szCs w:val="28"/>
              </w:rPr>
            </w:pPr>
            <w:r>
              <w:rPr>
                <w:rFonts w:ascii="仿宋_GB2312" w:hAnsi="仿宋_GB2312" w:cs="仿宋_GB2312"/>
                <w:sz w:val="28"/>
                <w:szCs w:val="28"/>
              </w:rPr>
              <w:t>期末成绩（70%）</w:t>
            </w:r>
          </w:p>
        </w:tc>
        <w:tc>
          <w:tcPr>
            <w:tcW w:w="3080" w:type="dxa"/>
            <w:shd w:val="clear" w:color="auto" w:fill="auto"/>
          </w:tcPr>
          <w:p w:rsidR="009613B4" w:rsidRDefault="009613B4" w:rsidP="008C3907">
            <w:pPr>
              <w:spacing w:line="560" w:lineRule="exact"/>
              <w:rPr>
                <w:rFonts w:ascii="仿宋_GB2312" w:hAnsi="仿宋_GB2312" w:cs="仿宋_GB2312"/>
                <w:sz w:val="28"/>
                <w:szCs w:val="28"/>
              </w:rPr>
            </w:pPr>
            <w:r>
              <w:rPr>
                <w:rFonts w:ascii="仿宋_GB2312" w:hAnsi="仿宋_GB2312" w:cs="仿宋_GB2312"/>
                <w:sz w:val="28"/>
                <w:szCs w:val="28"/>
              </w:rPr>
              <w:t>试卷（70%）</w:t>
            </w:r>
          </w:p>
        </w:tc>
        <w:tc>
          <w:tcPr>
            <w:tcW w:w="3260" w:type="dxa"/>
            <w:shd w:val="clear" w:color="auto" w:fill="auto"/>
          </w:tcPr>
          <w:p w:rsidR="009613B4" w:rsidRDefault="009613B4" w:rsidP="008C3907">
            <w:pPr>
              <w:spacing w:line="560" w:lineRule="exact"/>
              <w:rPr>
                <w:rFonts w:ascii="仿宋_GB2312" w:hAnsi="仿宋_GB2312" w:cs="仿宋_GB2312"/>
                <w:sz w:val="28"/>
                <w:szCs w:val="28"/>
              </w:rPr>
            </w:pPr>
            <w:r>
              <w:rPr>
                <w:rFonts w:ascii="仿宋_GB2312" w:hAnsi="仿宋_GB2312" w:cs="仿宋_GB2312"/>
                <w:sz w:val="28"/>
                <w:szCs w:val="28"/>
              </w:rPr>
              <w:t>1、</w:t>
            </w:r>
            <w:r>
              <w:rPr>
                <w:rFonts w:ascii="仿宋_GB2312" w:hAnsi="仿宋_GB2312" w:cs="仿宋_GB2312" w:hint="eastAsia"/>
                <w:sz w:val="28"/>
                <w:szCs w:val="28"/>
              </w:rPr>
              <w:t>3</w:t>
            </w:r>
            <w:r>
              <w:rPr>
                <w:rFonts w:ascii="仿宋_GB2312" w:hAnsi="仿宋_GB2312" w:cs="仿宋_GB2312"/>
                <w:sz w:val="28"/>
                <w:szCs w:val="28"/>
              </w:rPr>
              <w:t>、</w:t>
            </w:r>
            <w:r>
              <w:rPr>
                <w:rFonts w:ascii="仿宋_GB2312" w:hAnsi="仿宋_GB2312" w:cs="仿宋_GB2312" w:hint="eastAsia"/>
                <w:sz w:val="28"/>
                <w:szCs w:val="28"/>
              </w:rPr>
              <w:t>6</w:t>
            </w:r>
            <w:r>
              <w:rPr>
                <w:rFonts w:ascii="仿宋_GB2312" w:hAnsi="仿宋_GB2312" w:cs="仿宋_GB2312"/>
                <w:sz w:val="28"/>
                <w:szCs w:val="28"/>
              </w:rPr>
              <w:t>、7、8、9、</w:t>
            </w:r>
            <w:r>
              <w:rPr>
                <w:rFonts w:ascii="仿宋_GB2312" w:hAnsi="仿宋_GB2312" w:cs="仿宋_GB2312" w:hint="eastAsia"/>
                <w:sz w:val="28"/>
                <w:szCs w:val="28"/>
              </w:rPr>
              <w:t>11</w:t>
            </w:r>
          </w:p>
        </w:tc>
      </w:tr>
    </w:tbl>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通过平时作业与期终考试等对学生专业核心知识的理解与运用能力等进行考核， 通过作业和考试的案例分析考核学生灵活解决问题、理论联系实际等能力， 即对毕业要求1、</w:t>
      </w:r>
      <w:r>
        <w:rPr>
          <w:rFonts w:ascii="仿宋_GB2312" w:hAnsi="仿宋_GB2312" w:cs="仿宋_GB2312" w:hint="eastAsia"/>
          <w:sz w:val="28"/>
          <w:szCs w:val="28"/>
        </w:rPr>
        <w:t>3</w:t>
      </w:r>
      <w:r>
        <w:rPr>
          <w:rFonts w:ascii="仿宋_GB2312" w:hAnsi="仿宋_GB2312" w:cs="仿宋_GB2312"/>
          <w:sz w:val="28"/>
          <w:szCs w:val="28"/>
        </w:rPr>
        <w:t>、</w:t>
      </w:r>
      <w:r>
        <w:rPr>
          <w:rFonts w:ascii="仿宋_GB2312" w:hAnsi="仿宋_GB2312" w:cs="仿宋_GB2312" w:hint="eastAsia"/>
          <w:sz w:val="28"/>
          <w:szCs w:val="28"/>
        </w:rPr>
        <w:t>6</w:t>
      </w:r>
      <w:r>
        <w:rPr>
          <w:rFonts w:ascii="仿宋_GB2312" w:hAnsi="仿宋_GB2312" w:cs="仿宋_GB2312"/>
          <w:sz w:val="28"/>
          <w:szCs w:val="28"/>
        </w:rPr>
        <w:t>、7、8、9、</w:t>
      </w:r>
      <w:r>
        <w:rPr>
          <w:rFonts w:ascii="仿宋_GB2312" w:hAnsi="仿宋_GB2312" w:cs="仿宋_GB2312" w:hint="eastAsia"/>
          <w:sz w:val="28"/>
          <w:szCs w:val="28"/>
        </w:rPr>
        <w:t>11</w:t>
      </w:r>
      <w:r>
        <w:rPr>
          <w:rFonts w:ascii="仿宋_GB2312" w:hAnsi="仿宋_GB2312" w:cs="仿宋_GB2312"/>
          <w:sz w:val="28"/>
          <w:szCs w:val="28"/>
        </w:rPr>
        <w:t>的相关指标点的达成度进行评估。</w:t>
      </w:r>
    </w:p>
    <w:p w:rsidR="009613B4" w:rsidRDefault="009613B4" w:rsidP="009613B4">
      <w:pPr>
        <w:spacing w:line="560" w:lineRule="exact"/>
        <w:ind w:firstLineChars="200" w:firstLine="560"/>
        <w:rPr>
          <w:rFonts w:ascii="仿宋_GB2312" w:hAnsi="仿宋_GB2312" w:cs="仿宋_GB2312"/>
          <w:sz w:val="28"/>
          <w:szCs w:val="28"/>
        </w:rPr>
      </w:pPr>
    </w:p>
    <w:p w:rsidR="009613B4" w:rsidRDefault="009613B4" w:rsidP="009613B4">
      <w:pPr>
        <w:spacing w:beforeLines="50" w:before="156" w:afterLines="50" w:after="156" w:line="560" w:lineRule="exact"/>
        <w:rPr>
          <w:rFonts w:ascii="黑体" w:eastAsia="黑体" w:hAnsi="黑体" w:cs="仿宋_GB2312"/>
          <w:b/>
          <w:bCs/>
          <w:sz w:val="28"/>
          <w:szCs w:val="28"/>
        </w:rPr>
      </w:pPr>
      <w:r>
        <w:rPr>
          <w:rFonts w:ascii="黑体" w:eastAsia="黑体" w:hAnsi="黑体" w:cs="仿宋_GB2312" w:hint="eastAsia"/>
          <w:b/>
          <w:bCs/>
          <w:sz w:val="28"/>
          <w:szCs w:val="28"/>
        </w:rPr>
        <w:t>六、课程建议教材及主要参考资料</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（1）张智主编，《水工程法规》</w:t>
      </w:r>
      <w:r>
        <w:rPr>
          <w:rFonts w:ascii="仿宋_GB2312" w:hAnsi="仿宋_GB2312" w:cs="仿宋_GB2312" w:hint="eastAsia"/>
          <w:sz w:val="28"/>
          <w:szCs w:val="28"/>
        </w:rPr>
        <w:t>（第二版）</w:t>
      </w:r>
      <w:r>
        <w:rPr>
          <w:rFonts w:ascii="仿宋_GB2312" w:hAnsi="仿宋_GB2312" w:cs="仿宋_GB2312"/>
          <w:sz w:val="28"/>
          <w:szCs w:val="28"/>
        </w:rPr>
        <w:t>，中国建筑工业出版社；</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（1）环境保护部环境工程评估中心，《水电行业环境保护政策法规》，中国环境出版社；</w:t>
      </w:r>
    </w:p>
    <w:p w:rsidR="009613B4" w:rsidRDefault="009613B4" w:rsidP="009613B4">
      <w:pPr>
        <w:spacing w:line="560" w:lineRule="exact"/>
        <w:ind w:firstLineChars="200" w:firstLine="560"/>
        <w:jc w:val="left"/>
        <w:rPr>
          <w:rFonts w:ascii="仿宋_GB2312" w:hAnsi="仿宋_GB2312" w:cs="仿宋_GB2312"/>
          <w:sz w:val="28"/>
          <w:szCs w:val="28"/>
        </w:rPr>
      </w:pPr>
      <w:r>
        <w:rPr>
          <w:rFonts w:ascii="仿宋_GB2312" w:hAnsi="仿宋_GB2312" w:cs="仿宋_GB2312"/>
          <w:sz w:val="28"/>
          <w:szCs w:val="28"/>
        </w:rPr>
        <w:t>（2）结合《水工程法规》，补充相关法律条例、水质标准和给</w:t>
      </w:r>
      <w:r>
        <w:rPr>
          <w:rFonts w:ascii="仿宋_GB2312" w:hAnsi="仿宋_GB2312" w:cs="仿宋_GB2312"/>
          <w:sz w:val="28"/>
          <w:szCs w:val="28"/>
        </w:rPr>
        <w:lastRenderedPageBreak/>
        <w:t>排水设计规范内容。</w:t>
      </w:r>
    </w:p>
    <w:p w:rsidR="009613B4" w:rsidRDefault="009613B4" w:rsidP="009613B4">
      <w:pPr>
        <w:spacing w:beforeLines="50" w:before="156" w:afterLines="50" w:after="156" w:line="460" w:lineRule="exact"/>
        <w:rPr>
          <w:rFonts w:ascii="黑体" w:eastAsia="黑体" w:hAnsi="黑体"/>
          <w:b/>
          <w:sz w:val="28"/>
          <w:szCs w:val="28"/>
        </w:rPr>
      </w:pPr>
    </w:p>
    <w:p w:rsidR="009613B4" w:rsidRDefault="009613B4" w:rsidP="009613B4">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大纲撰写人：何皎洁</w:t>
      </w:r>
    </w:p>
    <w:p w:rsidR="009613B4" w:rsidRDefault="009613B4" w:rsidP="009613B4">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w:t>
      </w:r>
    </w:p>
    <w:p w:rsidR="009613B4" w:rsidRDefault="009613B4" w:rsidP="009613B4">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w:t>
      </w:r>
    </w:p>
    <w:p w:rsidR="009613B4" w:rsidRDefault="009613B4" w:rsidP="009613B4">
      <w:pPr>
        <w:jc w:val="center"/>
        <w:rPr>
          <w:rFonts w:ascii="仿宋_GB2312"/>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9613B4" w:rsidRDefault="009613B4" w:rsidP="009613B4">
      <w:pPr>
        <w:ind w:firstLineChars="2000" w:firstLine="5600"/>
        <w:jc w:val="left"/>
        <w:rPr>
          <w:rFonts w:ascii="仿宋" w:hAnsi="仿宋"/>
          <w:sz w:val="28"/>
          <w:szCs w:val="28"/>
        </w:rPr>
      </w:pPr>
      <w:r>
        <w:rPr>
          <w:rFonts w:ascii="仿宋_GB2312" w:hAnsi="微软雅黑" w:hint="eastAsia"/>
          <w:sz w:val="28"/>
          <w:szCs w:val="28"/>
        </w:rPr>
        <w:t xml:space="preserve">    </w:t>
      </w:r>
    </w:p>
    <w:p w:rsidR="009613B4" w:rsidRDefault="009613B4" w:rsidP="009613B4">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年</w:t>
      </w:r>
      <w:r>
        <w:rPr>
          <w:rFonts w:ascii="仿宋" w:eastAsia="仿宋" w:hAnsi="仿宋"/>
          <w:sz w:val="28"/>
          <w:szCs w:val="28"/>
        </w:rPr>
        <w:t>4</w:t>
      </w:r>
      <w:r>
        <w:rPr>
          <w:rFonts w:ascii="仿宋" w:eastAsia="仿宋" w:hAnsi="仿宋" w:hint="eastAsia"/>
          <w:sz w:val="28"/>
          <w:szCs w:val="28"/>
        </w:rPr>
        <w:t>月</w:t>
      </w: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5708AF" w:rsidRDefault="005708AF" w:rsidP="009613B4">
      <w:pPr>
        <w:widowControl/>
        <w:spacing w:line="360" w:lineRule="auto"/>
        <w:jc w:val="center"/>
        <w:rPr>
          <w:rFonts w:ascii="方正小标宋简体" w:eastAsia="方正小标宋简体" w:hAnsi="宋体"/>
          <w:kern w:val="0"/>
          <w:szCs w:val="32"/>
        </w:rPr>
      </w:pPr>
    </w:p>
    <w:p w:rsidR="009613B4" w:rsidRDefault="009613B4" w:rsidP="009613B4">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《城市水生态与水环境》课程教学大纲</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Water Ecology and Environment of the City</w:t>
      </w:r>
    </w:p>
    <w:p w:rsidR="009613B4" w:rsidRDefault="009613B4" w:rsidP="009613B4">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Z2806350</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9613B4" w:rsidRDefault="009613B4" w:rsidP="009613B4">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w:t>
      </w:r>
      <w:r>
        <w:rPr>
          <w:rFonts w:ascii="仿宋_GB2312" w:hAnsi="仿宋_GB2312" w:cs="仿宋_GB2312" w:hint="eastAsia"/>
          <w:bCs/>
          <w:sz w:val="28"/>
          <w:szCs w:val="28"/>
        </w:rPr>
        <w:t>.</w:t>
      </w:r>
      <w:r>
        <w:rPr>
          <w:rFonts w:ascii="仿宋_GB2312" w:hAnsi="仿宋_GB2312" w:cs="仿宋_GB2312"/>
          <w:bCs/>
          <w:sz w:val="28"/>
          <w:szCs w:val="28"/>
        </w:rPr>
        <w:t>5</w:t>
      </w:r>
    </w:p>
    <w:p w:rsidR="009613B4" w:rsidRDefault="009613B4" w:rsidP="009613B4">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学时（授课</w:t>
      </w:r>
      <w:r>
        <w:rPr>
          <w:rFonts w:ascii="仿宋_GB2312" w:hAnsi="仿宋_GB2312" w:cs="仿宋_GB2312"/>
          <w:bCs/>
          <w:sz w:val="28"/>
          <w:szCs w:val="28"/>
        </w:rPr>
        <w:t>24</w:t>
      </w:r>
      <w:r>
        <w:rPr>
          <w:rFonts w:ascii="仿宋_GB2312" w:hAnsi="仿宋_GB2312" w:cs="仿宋_GB2312" w:hint="eastAsia"/>
          <w:bCs/>
          <w:sz w:val="28"/>
          <w:szCs w:val="28"/>
        </w:rPr>
        <w:t>，实验0，上机0，课外0）</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适用对象：给排水科学与工程（卓越工程师）专业</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先修课程：无</w:t>
      </w:r>
    </w:p>
    <w:p w:rsidR="009613B4" w:rsidRDefault="009613B4" w:rsidP="009613B4">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9613B4" w:rsidRDefault="009613B4" w:rsidP="009613B4">
      <w:pPr>
        <w:spacing w:beforeLines="50" w:before="156" w:afterLines="50" w:after="156"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城市水生态与水环境》是给排水科学与工程专业学生的学科专业发展选修课。通过课程教学，学生可熟悉城市河湖水生态系统建设和谁环境管理的基本理论、规划理念、设计建设和管理体系，并对城市河湖水生态的建设对社会、健康、安全以及环境的影响进行评价。</w:t>
      </w:r>
    </w:p>
    <w:p w:rsidR="009613B4" w:rsidRDefault="009613B4" w:rsidP="009613B4">
      <w:pPr>
        <w:spacing w:beforeLines="50" w:before="156" w:afterLines="50" w:after="156"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城市水生态系统建设与水环境管理是伴随着城市社会经济高速发展引发的生态环境问题而形成的新的研究方向，是当今社会特别关注的热点问题之一。本课程主要以水的社会循环主体元素-城市水体为对象，结合城市生态、水文、水资源、市政、环境和水利工程知识，</w:t>
      </w:r>
      <w:r>
        <w:rPr>
          <w:rFonts w:ascii="仿宋_GB2312" w:hAnsi="仿宋_GB2312" w:cs="仿宋_GB2312" w:hint="eastAsia"/>
          <w:sz w:val="28"/>
          <w:szCs w:val="28"/>
        </w:rPr>
        <w:lastRenderedPageBreak/>
        <w:t>论述了城市水生态建设和水环境保护的系统理论和管理模式，具有重要的理论意义和应用价值。</w:t>
      </w:r>
    </w:p>
    <w:p w:rsidR="009613B4" w:rsidRDefault="009613B4" w:rsidP="009613B4">
      <w:pPr>
        <w:spacing w:beforeLines="50" w:before="156" w:afterLines="50" w:after="156"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教学方式采用PPT、板书、课后思考题等相结合进行授课，使学生掌握城市水生态系统建设和水环境管理的相关理论、模式和技术。</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9613B4" w:rsidRDefault="009613B4" w:rsidP="009613B4">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9613B4" w:rsidRDefault="009613B4" w:rsidP="009613B4">
      <w:pPr>
        <w:spacing w:line="560" w:lineRule="exact"/>
        <w:ind w:firstLineChars="203" w:firstLine="568"/>
        <w:rPr>
          <w:rFonts w:ascii="仿宋_GB2312" w:hAnsi="仿宋_GB2312" w:cs="仿宋_GB2312"/>
          <w:sz w:val="28"/>
          <w:szCs w:val="28"/>
        </w:rPr>
      </w:pPr>
      <w:r>
        <w:rPr>
          <w:rFonts w:ascii="仿宋_GB2312" w:hAnsi="仿宋_GB2312" w:cs="仿宋_GB2312" w:hint="eastAsia"/>
          <w:sz w:val="28"/>
          <w:szCs w:val="28"/>
        </w:rPr>
        <w:t>给水排水工程是城市建设和水业发展的支撑学科，《城市水生态与水环境》课程是向城市水生态系统建设和水环境管理方面的拓展，符合新世纪人才培养的迫切需要。</w:t>
      </w:r>
    </w:p>
    <w:p w:rsidR="009613B4" w:rsidRDefault="009613B4" w:rsidP="009613B4">
      <w:pPr>
        <w:spacing w:line="560" w:lineRule="exact"/>
        <w:ind w:firstLineChars="203" w:firstLine="568"/>
        <w:rPr>
          <w:rFonts w:ascii="仿宋_GB2312" w:hAnsi="仿宋_GB2312" w:cs="仿宋_GB2312"/>
          <w:sz w:val="28"/>
          <w:szCs w:val="28"/>
        </w:rPr>
      </w:pPr>
      <w:r>
        <w:rPr>
          <w:rFonts w:ascii="仿宋_GB2312" w:hAnsi="仿宋_GB2312" w:cs="仿宋_GB2312" w:hint="eastAsia"/>
          <w:sz w:val="28"/>
          <w:szCs w:val="28"/>
        </w:rPr>
        <w:t>本课程将分析城市生态系统特征、功能及结构，界定城市水生态系统的内涵；探讨城市水生态系统建设和环境规划理念，介绍城市水功能划分和城市容量计算方法；基于城市防洪安全、生态环境用水安全和城市水系统良性循环的需求，论述城市河湖水生态与环境建设体系，探讨城市水环境保护与生态修复工程的基本原理与技术途径以及适合于城市河湖水生态系统良性循环、水环境安全与社会经济可持续发展相协调的建设模式，给出了城市水生态与水环境建设及水污染防治取得实效的部分案例。</w:t>
      </w:r>
    </w:p>
    <w:p w:rsidR="009613B4" w:rsidRDefault="009613B4" w:rsidP="009613B4">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 xml:space="preserve">. </w:t>
      </w:r>
      <w:r>
        <w:rPr>
          <w:rFonts w:ascii="仿宋_GB2312" w:hAnsi="仿宋_GB2312" w:cs="仿宋_GB2312" w:hint="eastAsia"/>
          <w:sz w:val="28"/>
          <w:szCs w:val="28"/>
        </w:rPr>
        <w:t>课程基本要求：</w:t>
      </w:r>
    </w:p>
    <w:p w:rsidR="009613B4" w:rsidRDefault="009613B4" w:rsidP="009613B4">
      <w:pPr>
        <w:spacing w:line="360" w:lineRule="auto"/>
        <w:ind w:firstLine="329"/>
        <w:rPr>
          <w:rFonts w:ascii="仿宋_GB2312" w:hAnsi="仿宋_GB2312" w:cs="仿宋_GB2312"/>
          <w:bCs/>
          <w:sz w:val="28"/>
          <w:szCs w:val="28"/>
        </w:rPr>
      </w:pPr>
      <w:r>
        <w:rPr>
          <w:rFonts w:ascii="仿宋_GB2312" w:hAnsi="仿宋_GB2312" w:cs="仿宋_GB2312" w:hint="eastAsia"/>
          <w:bCs/>
          <w:sz w:val="28"/>
          <w:szCs w:val="28"/>
        </w:rPr>
        <w:t>2.1课程目标</w:t>
      </w:r>
    </w:p>
    <w:p w:rsidR="009613B4" w:rsidRDefault="009613B4" w:rsidP="009613B4">
      <w:pPr>
        <w:spacing w:line="360" w:lineRule="auto"/>
        <w:ind w:firstLine="329"/>
        <w:rPr>
          <w:rFonts w:ascii="仿宋_GB2312" w:hAnsi="仿宋_GB2312" w:cs="仿宋_GB2312"/>
          <w:bCs/>
          <w:sz w:val="28"/>
          <w:szCs w:val="28"/>
        </w:rPr>
      </w:pPr>
      <w:r>
        <w:rPr>
          <w:rFonts w:ascii="仿宋_GB2312" w:hAnsi="仿宋_GB2312" w:cs="仿宋_GB2312" w:hint="eastAsia"/>
          <w:bCs/>
          <w:sz w:val="28"/>
          <w:szCs w:val="28"/>
        </w:rPr>
        <w:t>知识目标：了解和掌握水生态保护与修复的基本理论与方法，包括生态系统的功能的识别理论，生态系统退化程度的判定方法，生态系统问题的调查及分析方法，现有的生态修复方法在实际当中的应用，</w:t>
      </w:r>
      <w:r>
        <w:rPr>
          <w:rFonts w:ascii="仿宋_GB2312" w:hAnsi="仿宋_GB2312" w:cs="仿宋_GB2312" w:hint="eastAsia"/>
          <w:bCs/>
          <w:sz w:val="28"/>
          <w:szCs w:val="28"/>
        </w:rPr>
        <w:lastRenderedPageBreak/>
        <w:t>常见各种生态系统现存的生态问题及其相应的保护修复方案；初步掌握应用水生态保护与修复理论分析和解决实际问题的能力。</w:t>
      </w:r>
    </w:p>
    <w:p w:rsidR="009613B4" w:rsidRDefault="009613B4" w:rsidP="009613B4">
      <w:pPr>
        <w:spacing w:line="360" w:lineRule="auto"/>
        <w:ind w:firstLine="329"/>
        <w:rPr>
          <w:rFonts w:ascii="仿宋_GB2312" w:hAnsi="仿宋_GB2312" w:cs="仿宋_GB2312"/>
          <w:bCs/>
          <w:sz w:val="28"/>
          <w:szCs w:val="28"/>
        </w:rPr>
      </w:pPr>
      <w:r>
        <w:rPr>
          <w:rFonts w:ascii="仿宋_GB2312" w:hAnsi="仿宋_GB2312" w:cs="仿宋_GB2312" w:hint="eastAsia"/>
          <w:bCs/>
          <w:sz w:val="28"/>
          <w:szCs w:val="28"/>
        </w:rPr>
        <w:t>能力目标：在理解水生态保护与修复基本原理的基础上，达到“制定一个区域的水生态保护与修复方案”的目的，会根据所学的知识，根据老师所给的区域，对其进行生态系统退化程度的判定，进行退化功能区的划分，然后制定区不同功能区相应的保护与修复方案。培养研究方案设计能力，以及应用专业知识和技能解决自然地理与资源环境领域复杂的与水相关的生态环境问题的能力。</w:t>
      </w:r>
    </w:p>
    <w:p w:rsidR="009613B4" w:rsidRDefault="009613B4" w:rsidP="009613B4">
      <w:pPr>
        <w:spacing w:line="360" w:lineRule="auto"/>
        <w:ind w:firstLine="329"/>
        <w:rPr>
          <w:rFonts w:ascii="仿宋_GB2312" w:hAnsi="仿宋_GB2312" w:cs="仿宋_GB2312"/>
          <w:bCs/>
          <w:sz w:val="28"/>
          <w:szCs w:val="28"/>
        </w:rPr>
      </w:pPr>
      <w:r>
        <w:rPr>
          <w:rFonts w:ascii="仿宋_GB2312" w:hAnsi="仿宋_GB2312" w:cs="仿宋_GB2312" w:hint="eastAsia"/>
          <w:sz w:val="28"/>
          <w:szCs w:val="28"/>
        </w:rPr>
        <w:t>情感态度与价值观目标：学会运用马克思主义的思想、观点和方法分析解决问题，坚持个人价值与社会价值的统一；形成一丝不苟、刻苦钻研、锲而不舍、甘于奉献、勤于创新的工匠精神；进行职业道德教育、社会责任教育、科学精神教育，在学会知识之余产生对生命的思考以及对自己职业的社会责任的思考</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495"/>
        <w:gridCol w:w="499"/>
        <w:gridCol w:w="499"/>
        <w:gridCol w:w="487"/>
        <w:gridCol w:w="487"/>
        <w:gridCol w:w="494"/>
        <w:gridCol w:w="499"/>
        <w:gridCol w:w="488"/>
        <w:gridCol w:w="488"/>
        <w:gridCol w:w="512"/>
        <w:gridCol w:w="512"/>
        <w:gridCol w:w="512"/>
      </w:tblGrid>
      <w:tr w:rsidR="009613B4" w:rsidTr="008C3907">
        <w:trPr>
          <w:trHeight w:hRule="exact" w:val="454"/>
          <w:jc w:val="center"/>
        </w:trPr>
        <w:tc>
          <w:tcPr>
            <w:tcW w:w="2743" w:type="dxa"/>
            <w:vMerge w:val="restart"/>
            <w:shd w:val="clear" w:color="auto" w:fill="auto"/>
            <w:vAlign w:val="center"/>
          </w:tcPr>
          <w:p w:rsidR="009613B4" w:rsidRDefault="009613B4" w:rsidP="008C3907">
            <w:pPr>
              <w:spacing w:line="360" w:lineRule="auto"/>
              <w:jc w:val="center"/>
              <w:rPr>
                <w:rFonts w:ascii="仿宋_GB2312" w:hAnsi="仿宋_GB2312" w:cs="仿宋_GB2312"/>
                <w:bCs/>
                <w:sz w:val="28"/>
                <w:szCs w:val="28"/>
              </w:rPr>
            </w:pPr>
            <w:r>
              <w:rPr>
                <w:rFonts w:ascii="仿宋_GB2312" w:hAnsi="仿宋_GB2312" w:cs="仿宋_GB2312" w:hint="eastAsia"/>
                <w:bCs/>
                <w:sz w:val="24"/>
                <w:szCs w:val="24"/>
              </w:rPr>
              <w:t>课程目标</w:t>
            </w:r>
          </w:p>
        </w:tc>
        <w:tc>
          <w:tcPr>
            <w:tcW w:w="6233" w:type="dxa"/>
            <w:gridSpan w:val="12"/>
            <w:shd w:val="clear" w:color="auto" w:fill="auto"/>
            <w:vAlign w:val="center"/>
          </w:tcPr>
          <w:p w:rsidR="009613B4" w:rsidRDefault="009613B4" w:rsidP="008C3907">
            <w:pPr>
              <w:jc w:val="center"/>
              <w:rPr>
                <w:rFonts w:ascii="仿宋_GB2312" w:hAnsi="仿宋_GB2312" w:cs="仿宋_GB2312"/>
                <w:bCs/>
                <w:sz w:val="28"/>
                <w:szCs w:val="28"/>
              </w:rPr>
            </w:pPr>
            <w:r>
              <w:rPr>
                <w:rFonts w:ascii="仿宋_GB2312" w:hAnsi="仿宋_GB2312" w:cs="仿宋_GB2312" w:hint="eastAsia"/>
                <w:bCs/>
                <w:sz w:val="24"/>
                <w:szCs w:val="24"/>
              </w:rPr>
              <w:t>毕业要求</w:t>
            </w:r>
          </w:p>
        </w:tc>
      </w:tr>
      <w:tr w:rsidR="009613B4" w:rsidTr="008C3907">
        <w:trPr>
          <w:trHeight w:hRule="exact" w:val="454"/>
          <w:jc w:val="center"/>
        </w:trPr>
        <w:tc>
          <w:tcPr>
            <w:tcW w:w="2743" w:type="dxa"/>
            <w:vMerge/>
            <w:shd w:val="clear" w:color="auto" w:fill="auto"/>
          </w:tcPr>
          <w:p w:rsidR="009613B4" w:rsidRDefault="009613B4" w:rsidP="008C3907">
            <w:pPr>
              <w:spacing w:line="360" w:lineRule="auto"/>
              <w:rPr>
                <w:rFonts w:ascii="仿宋_GB2312" w:hAnsi="仿宋_GB2312" w:cs="仿宋_GB2312"/>
                <w:bCs/>
                <w:sz w:val="28"/>
                <w:szCs w:val="28"/>
              </w:rPr>
            </w:pP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1</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2</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3</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4</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5</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6</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7</w:t>
            </w:r>
          </w:p>
        </w:tc>
        <w:tc>
          <w:tcPr>
            <w:tcW w:w="520"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8</w:t>
            </w:r>
          </w:p>
        </w:tc>
        <w:tc>
          <w:tcPr>
            <w:tcW w:w="520"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9</w:t>
            </w:r>
          </w:p>
        </w:tc>
        <w:tc>
          <w:tcPr>
            <w:tcW w:w="520"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10</w:t>
            </w:r>
          </w:p>
        </w:tc>
        <w:tc>
          <w:tcPr>
            <w:tcW w:w="520"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11</w:t>
            </w:r>
          </w:p>
        </w:tc>
        <w:tc>
          <w:tcPr>
            <w:tcW w:w="520"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12</w:t>
            </w:r>
          </w:p>
        </w:tc>
      </w:tr>
      <w:tr w:rsidR="009613B4" w:rsidTr="008C3907">
        <w:trPr>
          <w:trHeight w:hRule="exact" w:val="454"/>
          <w:jc w:val="center"/>
        </w:trPr>
        <w:tc>
          <w:tcPr>
            <w:tcW w:w="2743"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知识目标</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r>
      <w:tr w:rsidR="009613B4" w:rsidTr="008C3907">
        <w:trPr>
          <w:trHeight w:hRule="exact" w:val="454"/>
          <w:jc w:val="center"/>
        </w:trPr>
        <w:tc>
          <w:tcPr>
            <w:tcW w:w="2743" w:type="dxa"/>
            <w:shd w:val="clear" w:color="auto" w:fill="auto"/>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能力目标</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H</w:t>
            </w:r>
          </w:p>
        </w:tc>
        <w:tc>
          <w:tcPr>
            <w:tcW w:w="519" w:type="dxa"/>
            <w:shd w:val="clear" w:color="auto" w:fill="auto"/>
            <w:vAlign w:val="center"/>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H</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r>
      <w:tr w:rsidR="009613B4" w:rsidTr="008C3907">
        <w:trPr>
          <w:trHeight w:hRule="exact" w:val="454"/>
          <w:jc w:val="center"/>
        </w:trPr>
        <w:tc>
          <w:tcPr>
            <w:tcW w:w="2743" w:type="dxa"/>
            <w:shd w:val="clear" w:color="auto" w:fill="auto"/>
          </w:tcPr>
          <w:p w:rsidR="009613B4" w:rsidRDefault="009613B4" w:rsidP="008C3907">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情感态度与价值观目标</w:t>
            </w:r>
          </w:p>
        </w:tc>
        <w:tc>
          <w:tcPr>
            <w:tcW w:w="519" w:type="dxa"/>
            <w:shd w:val="clear" w:color="auto" w:fill="auto"/>
            <w:vAlign w:val="center"/>
          </w:tcPr>
          <w:p w:rsidR="009613B4" w:rsidRDefault="009613B4" w:rsidP="008C3907">
            <w:pPr>
              <w:spacing w:line="360" w:lineRule="auto"/>
              <w:jc w:val="center"/>
              <w:rPr>
                <w:rFonts w:ascii="仿宋_GB2312" w:hAnsi="仿宋_GB2312" w:cs="仿宋_GB2312"/>
                <w:bCs/>
                <w:sz w:val="28"/>
                <w:szCs w:val="28"/>
              </w:rPr>
            </w:pPr>
          </w:p>
        </w:tc>
        <w:tc>
          <w:tcPr>
            <w:tcW w:w="519" w:type="dxa"/>
            <w:shd w:val="clear" w:color="auto" w:fill="auto"/>
            <w:vAlign w:val="center"/>
          </w:tcPr>
          <w:p w:rsidR="009613B4" w:rsidRDefault="009613B4" w:rsidP="008C3907">
            <w:pPr>
              <w:spacing w:line="360" w:lineRule="auto"/>
              <w:jc w:val="center"/>
              <w:rPr>
                <w:rFonts w:ascii="仿宋_GB2312" w:hAnsi="仿宋_GB2312" w:cs="仿宋_GB2312"/>
                <w:bCs/>
                <w:sz w:val="28"/>
                <w:szCs w:val="28"/>
              </w:rPr>
            </w:pP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9613B4" w:rsidRDefault="009613B4"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c>
          <w:tcPr>
            <w:tcW w:w="520" w:type="dxa"/>
            <w:shd w:val="clear" w:color="auto" w:fill="auto"/>
          </w:tcPr>
          <w:p w:rsidR="009613B4" w:rsidRDefault="009613B4" w:rsidP="008C3907">
            <w:pPr>
              <w:spacing w:line="360" w:lineRule="auto"/>
              <w:rPr>
                <w:rFonts w:ascii="仿宋_GB2312" w:hAnsi="仿宋_GB2312" w:cs="仿宋_GB2312"/>
                <w:bCs/>
                <w:sz w:val="28"/>
                <w:szCs w:val="28"/>
              </w:rPr>
            </w:pPr>
          </w:p>
        </w:tc>
      </w:tr>
    </w:tbl>
    <w:p w:rsidR="009613B4" w:rsidRDefault="009613B4" w:rsidP="009613B4">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9613B4" w:rsidRDefault="009613B4" w:rsidP="009613B4">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河湖水污染防治和水环境保护的现状、趋势、技术进展和对策分析；城市河湖水系、河湖防洪排涝、水环境、水景观规划的原则和主要内容；城市河湖水功能划分的目标、原则、方法、分级分类和管理标准；</w:t>
      </w:r>
      <w:r>
        <w:rPr>
          <w:rFonts w:ascii="仿宋_GB2312" w:hAnsi="仿宋_GB2312" w:cs="仿宋_GB2312" w:hint="eastAsia"/>
          <w:sz w:val="28"/>
          <w:szCs w:val="28"/>
        </w:rPr>
        <w:lastRenderedPageBreak/>
        <w:t>河湖安全纳污容量的相关理论和计算。</w:t>
      </w:r>
    </w:p>
    <w:p w:rsidR="009613B4" w:rsidRDefault="009613B4" w:rsidP="009613B4">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4. 课程思政设计</w:t>
      </w:r>
    </w:p>
    <w:p w:rsidR="009613B4" w:rsidRDefault="009613B4" w:rsidP="009613B4">
      <w:pPr>
        <w:spacing w:line="360" w:lineRule="auto"/>
        <w:ind w:firstLine="329"/>
        <w:rPr>
          <w:rFonts w:ascii="仿宋_GB2312" w:hAnsi="仿宋_GB2312" w:cs="仿宋_GB2312"/>
          <w:sz w:val="28"/>
          <w:szCs w:val="28"/>
        </w:rPr>
      </w:pPr>
      <w:r>
        <w:rPr>
          <w:rFonts w:ascii="仿宋_GB2312" w:hAnsi="仿宋_GB2312" w:cs="仿宋_GB2312" w:hint="eastAsia"/>
          <w:sz w:val="28"/>
          <w:szCs w:val="28"/>
        </w:rPr>
        <w:t>根据教学主题，可从背景材料、理论基础、案例分析三部分进行思政教育。</w:t>
      </w:r>
    </w:p>
    <w:p w:rsidR="009613B4" w:rsidRDefault="009613B4" w:rsidP="009613B4">
      <w:pPr>
        <w:spacing w:line="360" w:lineRule="auto"/>
        <w:ind w:firstLine="329"/>
        <w:rPr>
          <w:rFonts w:ascii="仿宋_GB2312" w:hAnsi="仿宋_GB2312" w:cs="仿宋_GB2312"/>
          <w:sz w:val="28"/>
          <w:szCs w:val="28"/>
        </w:rPr>
      </w:pPr>
      <w:r>
        <w:rPr>
          <w:rFonts w:ascii="仿宋_GB2312" w:hAnsi="仿宋_GB2312" w:cs="仿宋_GB2312" w:hint="eastAsia"/>
          <w:sz w:val="28"/>
          <w:szCs w:val="28"/>
        </w:rPr>
        <w:t>背景材料安排：同时提供生态文明理念和流域水环境学核心理论背景材料，将“天人合一，顺应自然”“水沙并举，辩证视之”的传统治水理念和现代流域科学前沿相结合，让学生感悟中华先祖的智慧以及中华民族文化的传承。这一部分思政教育内容主要通过讲授的方式进行，在课后布置一些有关生态文明建设以及传统治水理念的文献阅读任务，帮助学生更好地体会课堂传达的内容。</w:t>
      </w:r>
    </w:p>
    <w:p w:rsidR="009613B4" w:rsidRDefault="009613B4" w:rsidP="009613B4">
      <w:pPr>
        <w:spacing w:line="360" w:lineRule="auto"/>
        <w:ind w:firstLine="329"/>
        <w:rPr>
          <w:rFonts w:ascii="仿宋_GB2312" w:hAnsi="仿宋_GB2312" w:cs="仿宋_GB2312"/>
          <w:sz w:val="28"/>
          <w:szCs w:val="28"/>
        </w:rPr>
      </w:pPr>
      <w:r>
        <w:rPr>
          <w:rFonts w:ascii="仿宋_GB2312" w:hAnsi="仿宋_GB2312" w:cs="仿宋_GB2312" w:hint="eastAsia"/>
          <w:sz w:val="28"/>
          <w:szCs w:val="28"/>
        </w:rPr>
        <w:t>理论基础讲解：河流有一套自己的水文规律，古代的治水者在分析掌握这套规律后，选择顺势而为、因势利导，而不是一味地修坝拦截围堵，体现出极高的治水智慧。这一部分可通过随堂讨论完成，主要实现方式为让同学们课前查阅资料，在课堂上分享自己对于中国传统治水理念的理解，通过讨论体会传统文化的精髓，树立传统优良思想并承担起弘扬中国优秀传统治水理念的使命。</w:t>
      </w:r>
    </w:p>
    <w:p w:rsidR="009613B4" w:rsidRDefault="009613B4" w:rsidP="009613B4">
      <w:pPr>
        <w:spacing w:line="360" w:lineRule="auto"/>
        <w:ind w:firstLine="329"/>
        <w:rPr>
          <w:rFonts w:ascii="仿宋_GB2312" w:hAnsi="仿宋_GB2312" w:cs="仿宋_GB2312"/>
          <w:sz w:val="28"/>
          <w:szCs w:val="28"/>
        </w:rPr>
      </w:pPr>
      <w:r>
        <w:rPr>
          <w:rFonts w:ascii="仿宋_GB2312" w:hAnsi="仿宋_GB2312" w:cs="仿宋_GB2312" w:hint="eastAsia"/>
          <w:sz w:val="28"/>
          <w:szCs w:val="28"/>
        </w:rPr>
        <w:t>案例分析讲解：在介绍流域水环境保护措施与实践时，可介绍三峡大坝工程、南水北调工程等伟大工程和国内流域管理案例。这一部分主要通过布置课后作业实现，让同学们了解这些工程成功背后的理论和方法，从而实现精神和知识的升华。课程结束后，通过随堂提问和课后访谈对教学效果进行调研，流域水环境学体现了我国的传统文化智慧以及深刻的生态文明思想，有助于增强民族自豪感以及爱国情怀。</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9613B4" w:rsidTr="008C3907">
        <w:trPr>
          <w:cantSplit/>
          <w:trHeight w:val="78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序号</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9613B4" w:rsidTr="008C3907">
        <w:trPr>
          <w:trHeight w:val="42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第一章</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绪</w:t>
            </w:r>
            <w:r>
              <w:rPr>
                <w:rFonts w:ascii="Times New Roman" w:hAnsi="Times New Roman" w:hint="eastAsia"/>
                <w:kern w:val="0"/>
                <w:sz w:val="20"/>
                <w:szCs w:val="20"/>
              </w:rPr>
              <w:t xml:space="preserve">  </w:t>
            </w:r>
            <w:r>
              <w:rPr>
                <w:rFonts w:ascii="Times New Roman" w:hAnsi="Times New Roman" w:hint="eastAsia"/>
                <w:kern w:val="0"/>
                <w:sz w:val="20"/>
                <w:szCs w:val="20"/>
              </w:rPr>
              <w:t>论</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1.1 </w:t>
            </w:r>
            <w:r>
              <w:rPr>
                <w:rFonts w:ascii="Times New Roman" w:hAnsi="Times New Roman" w:hint="eastAsia"/>
                <w:kern w:val="0"/>
                <w:sz w:val="20"/>
                <w:szCs w:val="20"/>
              </w:rPr>
              <w:t>城市河湖水生态建设</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1.2</w:t>
            </w:r>
            <w:r>
              <w:rPr>
                <w:rFonts w:ascii="Times New Roman" w:hAnsi="Times New Roman" w:hint="eastAsia"/>
                <w:kern w:val="0"/>
                <w:sz w:val="20"/>
                <w:szCs w:val="20"/>
              </w:rPr>
              <w:t>城市河湖水污染防治与水环境保护</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了解城市河湖水生态系统的概念、分析和建设。掌握河湖水污染防治和水环境保护的现状、趋势、技术进展和对策分析。</w:t>
            </w:r>
          </w:p>
        </w:tc>
      </w:tr>
      <w:tr w:rsidR="009613B4" w:rsidTr="008C3907">
        <w:trPr>
          <w:trHeight w:val="519"/>
        </w:trPr>
        <w:tc>
          <w:tcPr>
            <w:tcW w:w="512" w:type="dxa"/>
            <w:vAlign w:val="center"/>
          </w:tcPr>
          <w:p w:rsidR="009613B4" w:rsidRDefault="009613B4" w:rsidP="008C3907">
            <w:pPr>
              <w:jc w:val="center"/>
              <w:rPr>
                <w:rFonts w:ascii="Times New Roman" w:hAnsi="Times New Roman"/>
                <w:kern w:val="0"/>
                <w:sz w:val="20"/>
                <w:szCs w:val="20"/>
              </w:rPr>
            </w:pP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第二章</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城市河湖水系统生态与环境规划</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2.1 </w:t>
            </w:r>
            <w:r>
              <w:rPr>
                <w:rFonts w:ascii="Times New Roman" w:hAnsi="Times New Roman" w:hint="eastAsia"/>
                <w:kern w:val="0"/>
                <w:sz w:val="20"/>
                <w:szCs w:val="20"/>
              </w:rPr>
              <w:t>城市河湖水系规划</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2.2 </w:t>
            </w:r>
            <w:r>
              <w:rPr>
                <w:rFonts w:ascii="Times New Roman" w:hAnsi="Times New Roman" w:hint="eastAsia"/>
                <w:kern w:val="0"/>
                <w:sz w:val="20"/>
                <w:szCs w:val="20"/>
              </w:rPr>
              <w:t>城市河湖防洪排涝规划</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2.3</w:t>
            </w:r>
            <w:r>
              <w:rPr>
                <w:rFonts w:ascii="Times New Roman" w:hAnsi="Times New Roman" w:hint="eastAsia"/>
                <w:kern w:val="0"/>
                <w:sz w:val="20"/>
                <w:szCs w:val="20"/>
              </w:rPr>
              <w:t>城市河湖水环境规划</w:t>
            </w:r>
          </w:p>
          <w:p w:rsidR="009613B4" w:rsidRDefault="009613B4" w:rsidP="008C3907">
            <w:pPr>
              <w:shd w:val="clear" w:color="auto" w:fill="FFFFFF"/>
              <w:spacing w:line="288" w:lineRule="atLeast"/>
              <w:jc w:val="left"/>
              <w:rPr>
                <w:rFonts w:ascii="Times New Roman" w:hAnsi="Times New Roman"/>
                <w:kern w:val="0"/>
                <w:sz w:val="20"/>
                <w:szCs w:val="20"/>
              </w:rPr>
            </w:pPr>
            <w:r>
              <w:rPr>
                <w:rFonts w:ascii="Times New Roman" w:hAnsi="Times New Roman" w:hint="eastAsia"/>
                <w:kern w:val="0"/>
                <w:sz w:val="20"/>
                <w:szCs w:val="20"/>
              </w:rPr>
              <w:t>2.4</w:t>
            </w:r>
            <w:r>
              <w:rPr>
                <w:rFonts w:ascii="Times New Roman" w:hAnsi="Times New Roman" w:hint="eastAsia"/>
                <w:kern w:val="0"/>
                <w:sz w:val="20"/>
                <w:szCs w:val="20"/>
              </w:rPr>
              <w:t>城市河湖水景观规划</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掌握城市河湖水系、河湖防洪排涝、水环境、水景观规划的原则和主要内容。</w:t>
            </w:r>
          </w:p>
        </w:tc>
      </w:tr>
      <w:tr w:rsidR="009613B4" w:rsidTr="008C3907">
        <w:trPr>
          <w:trHeight w:val="55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第三章</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城市河湖水功能划分与安全纳污容量</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3.1 </w:t>
            </w:r>
            <w:r>
              <w:rPr>
                <w:rFonts w:ascii="Times New Roman" w:hAnsi="Times New Roman" w:hint="eastAsia"/>
                <w:kern w:val="0"/>
                <w:sz w:val="20"/>
                <w:szCs w:val="20"/>
              </w:rPr>
              <w:t>水功能划分</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3.2 </w:t>
            </w:r>
            <w:r>
              <w:rPr>
                <w:rFonts w:ascii="Times New Roman" w:hAnsi="Times New Roman" w:hint="eastAsia"/>
                <w:kern w:val="0"/>
                <w:sz w:val="20"/>
                <w:szCs w:val="20"/>
              </w:rPr>
              <w:t>城市河湖水功能划分</w:t>
            </w:r>
          </w:p>
          <w:p w:rsidR="009613B4" w:rsidRDefault="009613B4" w:rsidP="008C3907">
            <w:pPr>
              <w:shd w:val="clear" w:color="auto" w:fill="FFFFFF"/>
              <w:spacing w:line="288" w:lineRule="atLeast"/>
              <w:jc w:val="left"/>
              <w:rPr>
                <w:rFonts w:ascii="Times New Roman" w:hAnsi="Times New Roman"/>
                <w:kern w:val="0"/>
                <w:sz w:val="20"/>
                <w:szCs w:val="20"/>
              </w:rPr>
            </w:pPr>
            <w:r>
              <w:rPr>
                <w:rFonts w:ascii="Times New Roman" w:hAnsi="Times New Roman" w:hint="eastAsia"/>
                <w:kern w:val="0"/>
                <w:sz w:val="20"/>
                <w:szCs w:val="20"/>
              </w:rPr>
              <w:t xml:space="preserve">3.3 </w:t>
            </w:r>
            <w:r>
              <w:rPr>
                <w:rFonts w:ascii="Times New Roman" w:hAnsi="Times New Roman" w:hint="eastAsia"/>
                <w:kern w:val="0"/>
                <w:sz w:val="20"/>
                <w:szCs w:val="20"/>
              </w:rPr>
              <w:t>城市河湖安全纳污容量</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了解水功能划分的概念和分类分级系统；掌握城市河湖水功能划分的目标、原则、方法、分级分类和管理标准；熟悉河湖安全纳污容量的相关理论和计算。</w:t>
            </w:r>
          </w:p>
        </w:tc>
      </w:tr>
      <w:tr w:rsidR="009613B4" w:rsidTr="008C3907">
        <w:trPr>
          <w:trHeight w:val="54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4</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第四章</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城市河湖水生态系统与环境建设</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4.1 </w:t>
            </w:r>
            <w:r>
              <w:rPr>
                <w:rFonts w:ascii="Times New Roman" w:hAnsi="Times New Roman" w:hint="eastAsia"/>
                <w:kern w:val="0"/>
                <w:sz w:val="20"/>
                <w:szCs w:val="20"/>
              </w:rPr>
              <w:t>城市河湖系统防洪排涝</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4.2 </w:t>
            </w:r>
            <w:r>
              <w:rPr>
                <w:rFonts w:ascii="Times New Roman" w:hAnsi="Times New Roman" w:hint="eastAsia"/>
                <w:kern w:val="0"/>
                <w:sz w:val="20"/>
                <w:szCs w:val="20"/>
              </w:rPr>
              <w:t>城市生态环境用水安全保障</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4.3 </w:t>
            </w:r>
            <w:r>
              <w:rPr>
                <w:rFonts w:ascii="Times New Roman" w:hAnsi="Times New Roman" w:hint="eastAsia"/>
                <w:kern w:val="0"/>
                <w:sz w:val="20"/>
                <w:szCs w:val="20"/>
              </w:rPr>
              <w:t>城市河湖水系统综合建设及其良性循环</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了解河湖系统防洪排涝的现状和对策机制；明确城市生态环境安全用水的相关理论和计算；掌握城市河湖水系统综合建设及良性循环的原则和方法。</w:t>
            </w:r>
          </w:p>
        </w:tc>
      </w:tr>
      <w:tr w:rsidR="009613B4" w:rsidTr="008C3907">
        <w:trPr>
          <w:trHeight w:val="54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5</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第五章</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城市河湖水生态系统修复理论与技术</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5.1 </w:t>
            </w:r>
            <w:r>
              <w:rPr>
                <w:rFonts w:ascii="Times New Roman" w:hAnsi="Times New Roman" w:hint="eastAsia"/>
                <w:kern w:val="0"/>
                <w:sz w:val="20"/>
                <w:szCs w:val="20"/>
              </w:rPr>
              <w:t>城市化与河湖</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5.2 </w:t>
            </w:r>
            <w:r>
              <w:rPr>
                <w:rFonts w:ascii="Times New Roman" w:hAnsi="Times New Roman" w:hint="eastAsia"/>
                <w:kern w:val="0"/>
                <w:sz w:val="20"/>
                <w:szCs w:val="20"/>
              </w:rPr>
              <w:t>城市河湖生态修复的原则</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5.3</w:t>
            </w:r>
            <w:r>
              <w:rPr>
                <w:rFonts w:ascii="Times New Roman" w:hAnsi="Times New Roman" w:hint="eastAsia"/>
                <w:kern w:val="0"/>
                <w:sz w:val="20"/>
                <w:szCs w:val="20"/>
              </w:rPr>
              <w:t>城市河湖水生态系统修复的理论基础</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5.4</w:t>
            </w:r>
            <w:r>
              <w:rPr>
                <w:rFonts w:ascii="Times New Roman" w:hAnsi="Times New Roman" w:hint="eastAsia"/>
                <w:kern w:val="0"/>
                <w:sz w:val="20"/>
                <w:szCs w:val="20"/>
              </w:rPr>
              <w:t>城市河流水生态系统修复技术</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5.5</w:t>
            </w:r>
            <w:r>
              <w:rPr>
                <w:rFonts w:ascii="Times New Roman" w:hAnsi="Times New Roman" w:hint="eastAsia"/>
                <w:kern w:val="0"/>
                <w:sz w:val="20"/>
                <w:szCs w:val="20"/>
              </w:rPr>
              <w:t>城市湖泊水生态系统修复技术</w:t>
            </w:r>
          </w:p>
          <w:p w:rsidR="009613B4" w:rsidRDefault="009613B4" w:rsidP="008C3907">
            <w:pPr>
              <w:widowControl/>
              <w:shd w:val="clear" w:color="auto" w:fill="FFFFFF"/>
              <w:spacing w:line="288" w:lineRule="atLeast"/>
              <w:jc w:val="left"/>
              <w:rPr>
                <w:rFonts w:ascii="Times New Roman" w:hAnsi="Times New Roman"/>
                <w:kern w:val="0"/>
                <w:sz w:val="20"/>
                <w:szCs w:val="20"/>
              </w:rPr>
            </w:pPr>
            <w:r>
              <w:rPr>
                <w:rFonts w:ascii="Times New Roman" w:hAnsi="Times New Roman" w:hint="eastAsia"/>
                <w:kern w:val="0"/>
                <w:sz w:val="20"/>
                <w:szCs w:val="20"/>
              </w:rPr>
              <w:t>5.6</w:t>
            </w:r>
            <w:r>
              <w:rPr>
                <w:rFonts w:ascii="Times New Roman" w:hAnsi="Times New Roman" w:hint="eastAsia"/>
                <w:kern w:val="0"/>
                <w:sz w:val="20"/>
                <w:szCs w:val="20"/>
              </w:rPr>
              <w:t>城市河湖滨岸缓冲带修复技术</w:t>
            </w:r>
          </w:p>
        </w:tc>
        <w:tc>
          <w:tcPr>
            <w:tcW w:w="2755" w:type="dxa"/>
            <w:vAlign w:val="center"/>
          </w:tcPr>
          <w:p w:rsidR="009613B4" w:rsidRDefault="009613B4" w:rsidP="008C3907">
            <w:p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掌握城市河湖水生态修复的概念、原则和基本理论；熟悉目前用于河流、湖泊、河湖滨岸缓冲带修复技术的发展和趋势。</w:t>
            </w:r>
          </w:p>
        </w:tc>
      </w:tr>
      <w:tr w:rsidR="009613B4" w:rsidTr="008C3907">
        <w:trPr>
          <w:trHeight w:val="54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6</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第六章</w:t>
            </w:r>
          </w:p>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城市河湖水污染综合治理技术</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12</w:t>
            </w:r>
          </w:p>
        </w:tc>
        <w:tc>
          <w:tcPr>
            <w:tcW w:w="3059"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6.1 </w:t>
            </w:r>
            <w:r>
              <w:rPr>
                <w:rFonts w:ascii="Times New Roman" w:hAnsi="Times New Roman" w:hint="eastAsia"/>
                <w:kern w:val="0"/>
                <w:sz w:val="20"/>
                <w:szCs w:val="20"/>
              </w:rPr>
              <w:t>城市水环境污染成因分析</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6.2 </w:t>
            </w:r>
            <w:r>
              <w:rPr>
                <w:rFonts w:ascii="Times New Roman" w:hAnsi="Times New Roman" w:hint="eastAsia"/>
                <w:kern w:val="0"/>
                <w:sz w:val="20"/>
                <w:szCs w:val="20"/>
              </w:rPr>
              <w:t>城市污（雨）水处理及其资源化利用</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6.3 </w:t>
            </w:r>
            <w:r>
              <w:rPr>
                <w:rFonts w:ascii="Times New Roman" w:hAnsi="Times New Roman" w:hint="eastAsia"/>
                <w:kern w:val="0"/>
                <w:sz w:val="20"/>
                <w:szCs w:val="20"/>
              </w:rPr>
              <w:t>城市污泥处理处置技术</w:t>
            </w:r>
          </w:p>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 xml:space="preserve">6.4 </w:t>
            </w:r>
            <w:r>
              <w:rPr>
                <w:rFonts w:ascii="Times New Roman" w:hAnsi="Times New Roman" w:hint="eastAsia"/>
                <w:kern w:val="0"/>
                <w:sz w:val="20"/>
                <w:szCs w:val="20"/>
              </w:rPr>
              <w:t>城市河湖水环境治理改善技术</w:t>
            </w:r>
          </w:p>
          <w:p w:rsidR="009613B4" w:rsidRDefault="009613B4" w:rsidP="008C3907">
            <w:pPr>
              <w:widowControl/>
              <w:shd w:val="clear" w:color="auto" w:fill="FFFFFF"/>
              <w:spacing w:line="288" w:lineRule="atLeast"/>
              <w:jc w:val="left"/>
              <w:rPr>
                <w:rFonts w:ascii="Times New Roman" w:hAnsi="Times New Roman"/>
                <w:kern w:val="0"/>
                <w:sz w:val="20"/>
                <w:szCs w:val="20"/>
              </w:rPr>
            </w:pPr>
            <w:r>
              <w:rPr>
                <w:rFonts w:ascii="Times New Roman" w:hAnsi="Times New Roman" w:hint="eastAsia"/>
                <w:kern w:val="0"/>
                <w:sz w:val="20"/>
                <w:szCs w:val="20"/>
              </w:rPr>
              <w:t xml:space="preserve">6.5 </w:t>
            </w:r>
            <w:r>
              <w:rPr>
                <w:rFonts w:ascii="Times New Roman" w:hAnsi="Times New Roman" w:hint="eastAsia"/>
                <w:kern w:val="0"/>
                <w:sz w:val="20"/>
                <w:szCs w:val="20"/>
              </w:rPr>
              <w:t>城市水环境治理改善的实例</w:t>
            </w:r>
          </w:p>
        </w:tc>
        <w:tc>
          <w:tcPr>
            <w:tcW w:w="2755" w:type="dxa"/>
            <w:vAlign w:val="center"/>
          </w:tcPr>
          <w:p w:rsidR="009613B4" w:rsidRDefault="009613B4" w:rsidP="008C3907">
            <w:p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明确城市水环境污染的成因，掌握点源、非点源、底泥内源污染的来源、分类及特征；掌握城市污水雨水处理及资源化利用的方式、工艺和技术；掌握城市污泥的性质和处置</w:t>
            </w:r>
            <w:r>
              <w:rPr>
                <w:rFonts w:ascii="Times New Roman" w:hAnsi="Times New Roman" w:hint="eastAsia"/>
                <w:kern w:val="0"/>
                <w:sz w:val="20"/>
                <w:szCs w:val="20"/>
              </w:rPr>
              <w:lastRenderedPageBreak/>
              <w:t>技术；熟悉城市河湖水环境治理的改善技术；了解一些相关改善实例。</w:t>
            </w:r>
          </w:p>
        </w:tc>
      </w:tr>
    </w:tbl>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五、课程考核方式与成绩评定</w:t>
      </w:r>
    </w:p>
    <w:p w:rsidR="009613B4" w:rsidRDefault="009613B4" w:rsidP="009613B4">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9613B4" w:rsidRDefault="009613B4" w:rsidP="009613B4">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采用平时成绩+期末考试方式确定总评成绩</w:t>
      </w:r>
    </w:p>
    <w:p w:rsidR="009613B4" w:rsidRDefault="009613B4"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9613B4" w:rsidRDefault="009613B4" w:rsidP="009613B4">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成绩评定方式为百分制，平时成绩考核包括作业、讨论、出勤等内容，期末考试采用闭卷方式；平时成绩占20%</w:t>
      </w:r>
      <w:r>
        <w:rPr>
          <w:rFonts w:ascii="Times New Roman" w:hAnsi="Times New Roman"/>
          <w:sz w:val="28"/>
          <w:szCs w:val="28"/>
        </w:rPr>
        <w:t>~</w:t>
      </w:r>
      <w:r>
        <w:rPr>
          <w:rFonts w:ascii="仿宋_GB2312" w:hAnsi="仿宋_GB2312" w:cs="仿宋_GB2312" w:hint="eastAsia"/>
          <w:sz w:val="28"/>
          <w:szCs w:val="28"/>
        </w:rPr>
        <w:t>30%。</w:t>
      </w:r>
    </w:p>
    <w:p w:rsidR="009613B4" w:rsidRDefault="009613B4" w:rsidP="009613B4">
      <w:pPr>
        <w:spacing w:line="360" w:lineRule="auto"/>
        <w:ind w:firstLineChars="203" w:firstLine="568"/>
        <w:rPr>
          <w:rFonts w:ascii="仿宋_GB2312" w:hAnsi="仿宋_GB2312" w:cs="仿宋_GB2312"/>
          <w:sz w:val="28"/>
          <w:szCs w:val="28"/>
        </w:rPr>
      </w:pPr>
      <w:r>
        <w:rPr>
          <w:rFonts w:ascii="仿宋_GB2312" w:hAnsi="仿宋_GB2312" w:cs="仿宋_GB2312"/>
          <w:sz w:val="28"/>
          <w:szCs w:val="28"/>
        </w:rPr>
        <w:t>课程总成绩=期末成绩（80</w:t>
      </w:r>
      <w:r>
        <w:rPr>
          <w:rFonts w:ascii="Times New Roman" w:hAnsi="Times New Roman"/>
          <w:sz w:val="28"/>
          <w:szCs w:val="28"/>
        </w:rPr>
        <w:t>~</w:t>
      </w:r>
      <w:r>
        <w:rPr>
          <w:rFonts w:ascii="仿宋_GB2312" w:hAnsi="仿宋_GB2312" w:cs="仿宋_GB2312"/>
          <w:sz w:val="28"/>
          <w:szCs w:val="28"/>
        </w:rPr>
        <w:t>70）%+平时成绩（20</w:t>
      </w:r>
      <w:r>
        <w:rPr>
          <w:rFonts w:ascii="Times New Roman" w:hAnsi="Times New Roman"/>
          <w:sz w:val="28"/>
          <w:szCs w:val="28"/>
        </w:rPr>
        <w:t>~</w:t>
      </w:r>
      <w:r>
        <w:rPr>
          <w:rFonts w:ascii="仿宋_GB2312" w:hAnsi="仿宋_GB2312" w:cs="仿宋_GB2312"/>
          <w:sz w:val="28"/>
          <w:szCs w:val="28"/>
        </w:rPr>
        <w:t>30）</w:t>
      </w:r>
      <w:r>
        <w:rPr>
          <w:rFonts w:ascii="仿宋_GB2312" w:hAnsi="仿宋_GB2312" w:cs="仿宋_GB2312" w:hint="eastAsia"/>
          <w:sz w:val="28"/>
          <w:szCs w:val="28"/>
        </w:rPr>
        <w:t>%</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《城市河湖水生态与水环境》，王超，陈卫主编，中国建筑工业出版社，2010年10月出版</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(1)孔繁德.《生态保护概论》，中国环境科学出版社，2001</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w:t>
      </w:r>
      <w:r>
        <w:rPr>
          <w:rFonts w:ascii="仿宋_GB2312" w:hAnsi="仿宋_GB2312" w:cs="仿宋_GB2312" w:hint="eastAsia"/>
          <w:sz w:val="28"/>
          <w:szCs w:val="28"/>
        </w:rPr>
        <w:t>2)任海,彭少麟.《恢复生态学导论》，科学出版社，2001</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w:t>
      </w:r>
      <w:r>
        <w:rPr>
          <w:rFonts w:ascii="仿宋_GB2312" w:hAnsi="仿宋_GB2312" w:cs="仿宋_GB2312" w:hint="eastAsia"/>
          <w:sz w:val="28"/>
          <w:szCs w:val="28"/>
        </w:rPr>
        <w:t>3)杨金平,卢剑波.《生态安全的系统分析》，化学工业出版社，2002</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w:t>
      </w:r>
      <w:r>
        <w:rPr>
          <w:rFonts w:ascii="仿宋_GB2312" w:hAnsi="仿宋_GB2312" w:cs="仿宋_GB2312" w:hint="eastAsia"/>
          <w:sz w:val="28"/>
          <w:szCs w:val="28"/>
        </w:rPr>
        <w:t>4)安树青.《湿地生态工程》，化学工业出版社，2003</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w:t>
      </w:r>
      <w:r>
        <w:rPr>
          <w:rFonts w:ascii="仿宋_GB2312" w:hAnsi="仿宋_GB2312" w:cs="仿宋_GB2312" w:hint="eastAsia"/>
          <w:sz w:val="28"/>
          <w:szCs w:val="28"/>
        </w:rPr>
        <w:t>5)陈玉成.《污染环境生物修复工程》，化学工业出版社，2003</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w:t>
      </w:r>
      <w:r>
        <w:rPr>
          <w:rFonts w:ascii="仿宋_GB2312" w:hAnsi="仿宋_GB2312" w:cs="仿宋_GB2312" w:hint="eastAsia"/>
          <w:sz w:val="28"/>
          <w:szCs w:val="28"/>
        </w:rPr>
        <w:t>6)杨志峰,何孟常,等.《城市生态可持续发展规划》，科学出版社，2004</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lastRenderedPageBreak/>
        <w:t>(</w:t>
      </w:r>
      <w:r>
        <w:rPr>
          <w:rFonts w:ascii="仿宋_GB2312" w:hAnsi="仿宋_GB2312" w:cs="仿宋_GB2312" w:hint="eastAsia"/>
          <w:sz w:val="28"/>
          <w:szCs w:val="28"/>
        </w:rPr>
        <w:t>7)王献溥,宋朝枢.《生物多样性就地保护》，中国林业出版社，2006</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w:t>
      </w:r>
      <w:r>
        <w:rPr>
          <w:rFonts w:ascii="仿宋_GB2312" w:hAnsi="仿宋_GB2312" w:cs="仿宋_GB2312" w:hint="eastAsia"/>
          <w:sz w:val="28"/>
          <w:szCs w:val="28"/>
        </w:rPr>
        <w:t>8)陈声明,吴伟祥,王永维,等.《生态保护与生物修复》,科学出版社,2008</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w:t>
      </w:r>
      <w:r>
        <w:rPr>
          <w:rFonts w:ascii="仿宋_GB2312" w:hAnsi="仿宋_GB2312" w:cs="仿宋_GB2312" w:hint="eastAsia"/>
          <w:sz w:val="28"/>
          <w:szCs w:val="28"/>
        </w:rPr>
        <w:t>9)万方浩.中国生物入侵研究.科学出版社.2009.</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w:t>
      </w:r>
      <w:r>
        <w:rPr>
          <w:rFonts w:ascii="仿宋_GB2312" w:hAnsi="仿宋_GB2312" w:cs="仿宋_GB2312" w:hint="eastAsia"/>
          <w:sz w:val="28"/>
          <w:szCs w:val="28"/>
        </w:rPr>
        <w:t>10)王浩,唐克旺,杨爱民,等：《水生态系统保护与修复理论和实践》,中国水利水电出版社,2010</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w:t>
      </w:r>
      <w:r>
        <w:rPr>
          <w:rFonts w:ascii="仿宋_GB2312" w:hAnsi="仿宋_GB2312" w:cs="仿宋_GB2312" w:hint="eastAsia"/>
          <w:sz w:val="28"/>
          <w:szCs w:val="28"/>
        </w:rPr>
        <w:t>11）朱永华韩青戴晶晶吕海深等著.太湖流域与水相关的生态环境承载力研究.北京：中国科学出版社.2020.12.</w:t>
      </w:r>
    </w:p>
    <w:p w:rsidR="009613B4" w:rsidRDefault="009613B4" w:rsidP="009613B4">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sz w:val="28"/>
          <w:szCs w:val="28"/>
        </w:rPr>
        <w:t>(</w:t>
      </w:r>
      <w:r>
        <w:rPr>
          <w:rFonts w:ascii="仿宋_GB2312" w:hAnsi="仿宋_GB2312" w:cs="仿宋_GB2312" w:hint="eastAsia"/>
          <w:sz w:val="28"/>
          <w:szCs w:val="28"/>
        </w:rPr>
        <w:t>12）朱永华,任立良,吕海深,等.水生态保护与修复(第2版).北京:中国水利水电出版社.2020.</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9613B4" w:rsidRDefault="009613B4" w:rsidP="009613B4">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9613B4" w:rsidRDefault="009613B4" w:rsidP="009613B4">
      <w:pPr>
        <w:spacing w:line="360" w:lineRule="auto"/>
        <w:ind w:firstLineChars="1800" w:firstLine="5040"/>
        <w:rPr>
          <w:rFonts w:ascii="仿宋" w:eastAsia="仿宋" w:hAnsi="仿宋"/>
          <w:sz w:val="28"/>
          <w:szCs w:val="28"/>
        </w:rPr>
      </w:pPr>
      <w:r>
        <w:rPr>
          <w:rFonts w:ascii="仿宋" w:eastAsia="仿宋" w:hAnsi="仿宋" w:hint="eastAsia"/>
          <w:sz w:val="28"/>
          <w:szCs w:val="28"/>
        </w:rPr>
        <w:t>大纲撰写人：赵传靓</w:t>
      </w:r>
    </w:p>
    <w:p w:rsidR="009613B4" w:rsidRDefault="009613B4" w:rsidP="009613B4">
      <w:pPr>
        <w:spacing w:line="360" w:lineRule="auto"/>
        <w:ind w:firstLineChars="1800" w:firstLine="5040"/>
        <w:rPr>
          <w:rFonts w:ascii="仿宋" w:eastAsia="仿宋" w:hAnsi="仿宋"/>
          <w:sz w:val="28"/>
          <w:szCs w:val="28"/>
        </w:rPr>
      </w:pPr>
      <w:r>
        <w:rPr>
          <w:rFonts w:ascii="仿宋" w:eastAsia="仿宋" w:hAnsi="仿宋" w:hint="eastAsia"/>
          <w:sz w:val="28"/>
          <w:szCs w:val="28"/>
        </w:rPr>
        <w:t>课程负责人：赵传靓</w:t>
      </w:r>
    </w:p>
    <w:p w:rsidR="009613B4" w:rsidRDefault="009613B4" w:rsidP="009613B4">
      <w:pPr>
        <w:spacing w:line="360" w:lineRule="auto"/>
        <w:ind w:firstLineChars="1800" w:firstLine="5040"/>
        <w:rPr>
          <w:rFonts w:ascii="仿宋" w:eastAsia="仿宋" w:hAnsi="仿宋"/>
          <w:sz w:val="28"/>
          <w:szCs w:val="28"/>
        </w:rPr>
      </w:pPr>
      <w:r>
        <w:rPr>
          <w:rFonts w:ascii="仿宋" w:eastAsia="仿宋" w:hAnsi="仿宋" w:hint="eastAsia"/>
          <w:sz w:val="28"/>
          <w:szCs w:val="28"/>
        </w:rPr>
        <w:t>审核人：杨利伟</w:t>
      </w:r>
    </w:p>
    <w:p w:rsidR="009613B4" w:rsidRDefault="009613B4" w:rsidP="009613B4">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9613B4" w:rsidRDefault="009613B4" w:rsidP="009613B4">
      <w:pPr>
        <w:ind w:firstLineChars="2000" w:firstLine="5600"/>
        <w:jc w:val="left"/>
        <w:rPr>
          <w:rFonts w:ascii="仿宋" w:hAnsi="仿宋"/>
          <w:sz w:val="28"/>
          <w:szCs w:val="28"/>
        </w:rPr>
      </w:pPr>
      <w:r>
        <w:rPr>
          <w:rFonts w:ascii="仿宋_GB2312" w:hAnsi="微软雅黑" w:hint="eastAsia"/>
          <w:sz w:val="28"/>
          <w:szCs w:val="28"/>
        </w:rPr>
        <w:t xml:space="preserve">    </w:t>
      </w:r>
    </w:p>
    <w:p w:rsidR="009613B4" w:rsidRDefault="009613B4" w:rsidP="009613B4">
      <w:pPr>
        <w:jc w:val="left"/>
        <w:rPr>
          <w:rFonts w:ascii="仿宋_GB2312" w:hAnsi="黑体"/>
          <w:sz w:val="28"/>
          <w:szCs w:val="28"/>
        </w:rPr>
      </w:pPr>
      <w:r>
        <w:rPr>
          <w:rFonts w:ascii="仿宋" w:eastAsia="仿宋" w:hAnsi="仿宋" w:hint="eastAsia"/>
          <w:sz w:val="28"/>
          <w:szCs w:val="28"/>
        </w:rPr>
        <w:t xml:space="preserve">                                         年    月</w:t>
      </w:r>
    </w:p>
    <w:p w:rsidR="009613B4" w:rsidRDefault="009613B4" w:rsidP="009613B4"/>
    <w:p w:rsidR="009613B4" w:rsidRDefault="009613B4" w:rsidP="009613B4">
      <w:pPr>
        <w:widowControl/>
        <w:spacing w:line="400" w:lineRule="exact"/>
        <w:rPr>
          <w:rFonts w:ascii="黑体" w:eastAsia="黑体" w:hAnsi="黑体" w:cs="宋体"/>
          <w:bCs/>
          <w:kern w:val="0"/>
          <w:szCs w:val="32"/>
        </w:rPr>
      </w:pPr>
    </w:p>
    <w:p w:rsidR="005708AF" w:rsidRDefault="005708AF" w:rsidP="009613B4">
      <w:pPr>
        <w:widowControl/>
        <w:spacing w:line="400" w:lineRule="exact"/>
        <w:rPr>
          <w:rFonts w:ascii="黑体" w:eastAsia="黑体" w:hAnsi="黑体" w:cs="宋体"/>
          <w:bCs/>
          <w:kern w:val="0"/>
          <w:szCs w:val="32"/>
        </w:rPr>
      </w:pPr>
    </w:p>
    <w:p w:rsidR="005708AF" w:rsidRDefault="005708AF" w:rsidP="009613B4">
      <w:pPr>
        <w:widowControl/>
        <w:spacing w:line="400" w:lineRule="exact"/>
        <w:rPr>
          <w:rFonts w:ascii="黑体" w:eastAsia="黑体" w:hAnsi="黑体" w:cs="宋体"/>
          <w:bCs/>
          <w:kern w:val="0"/>
          <w:szCs w:val="32"/>
        </w:rPr>
      </w:pPr>
    </w:p>
    <w:p w:rsidR="005708AF" w:rsidRDefault="005708AF" w:rsidP="009613B4">
      <w:pPr>
        <w:widowControl/>
        <w:spacing w:line="400" w:lineRule="exact"/>
        <w:rPr>
          <w:rFonts w:ascii="黑体" w:eastAsia="黑体" w:hAnsi="黑体" w:cs="宋体"/>
          <w:bCs/>
          <w:kern w:val="0"/>
          <w:szCs w:val="32"/>
        </w:rPr>
      </w:pPr>
    </w:p>
    <w:p w:rsidR="005708AF" w:rsidRDefault="005708AF" w:rsidP="009613B4">
      <w:pPr>
        <w:widowControl/>
        <w:spacing w:line="400" w:lineRule="exact"/>
        <w:rPr>
          <w:rFonts w:ascii="黑体" w:eastAsia="黑体" w:hAnsi="黑体" w:cs="宋体"/>
          <w:bCs/>
          <w:kern w:val="0"/>
          <w:szCs w:val="32"/>
        </w:rPr>
      </w:pPr>
    </w:p>
    <w:p w:rsidR="009613B4" w:rsidRDefault="009613B4" w:rsidP="009613B4">
      <w:pPr>
        <w:widowControl/>
        <w:spacing w:line="400" w:lineRule="exact"/>
        <w:rPr>
          <w:rFonts w:ascii="黑体" w:eastAsia="黑体" w:hAnsi="黑体" w:cs="宋体" w:hint="eastAsia"/>
          <w:bCs/>
          <w:kern w:val="0"/>
          <w:szCs w:val="32"/>
        </w:rPr>
      </w:pPr>
    </w:p>
    <w:p w:rsidR="009613B4" w:rsidRDefault="009613B4" w:rsidP="009613B4">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《水工程施工》课程教学大纲</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 xml:space="preserve">Water </w:t>
      </w:r>
      <w:r>
        <w:rPr>
          <w:rFonts w:ascii="仿宋_GB2312" w:hAnsi="仿宋_GB2312" w:cs="仿宋_GB2312" w:hint="eastAsia"/>
          <w:bCs/>
          <w:sz w:val="28"/>
          <w:szCs w:val="28"/>
        </w:rPr>
        <w:t>E</w:t>
      </w:r>
      <w:r>
        <w:rPr>
          <w:rFonts w:ascii="仿宋_GB2312" w:hAnsi="仿宋_GB2312" w:cs="仿宋_GB2312"/>
          <w:bCs/>
          <w:sz w:val="28"/>
          <w:szCs w:val="28"/>
        </w:rPr>
        <w:t xml:space="preserve">ngineering </w:t>
      </w:r>
      <w:r>
        <w:rPr>
          <w:rFonts w:ascii="仿宋_GB2312" w:hAnsi="仿宋_GB2312" w:cs="仿宋_GB2312" w:hint="eastAsia"/>
          <w:bCs/>
          <w:sz w:val="28"/>
          <w:szCs w:val="28"/>
        </w:rPr>
        <w:t>C</w:t>
      </w:r>
      <w:r>
        <w:rPr>
          <w:rFonts w:ascii="仿宋_GB2312" w:hAnsi="仿宋_GB2312" w:cs="仿宋_GB2312"/>
          <w:bCs/>
          <w:sz w:val="28"/>
          <w:szCs w:val="28"/>
        </w:rPr>
        <w:t>onstruction</w:t>
      </w:r>
      <w:r>
        <w:rPr>
          <w:rFonts w:ascii="仿宋_GB2312" w:hAnsi="仿宋_GB2312" w:cs="仿宋_GB2312" w:hint="eastAsia"/>
          <w:bCs/>
          <w:sz w:val="28"/>
          <w:szCs w:val="28"/>
        </w:rPr>
        <w:t xml:space="preserve"> </w:t>
      </w:r>
    </w:p>
    <w:p w:rsidR="009613B4" w:rsidRDefault="009613B4" w:rsidP="009613B4">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Z2806390</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9613B4" w:rsidRDefault="009613B4" w:rsidP="009613B4">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9613B4" w:rsidRDefault="009613B4" w:rsidP="009613B4">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学时（授课</w:t>
      </w:r>
      <w:r>
        <w:rPr>
          <w:rFonts w:ascii="仿宋_GB2312" w:hAnsi="仿宋_GB2312" w:cs="仿宋_GB2312"/>
          <w:bCs/>
          <w:sz w:val="28"/>
          <w:szCs w:val="28"/>
        </w:rPr>
        <w:t>24</w:t>
      </w:r>
      <w:r>
        <w:rPr>
          <w:rFonts w:ascii="仿宋_GB2312" w:hAnsi="仿宋_GB2312" w:cs="仿宋_GB2312" w:hint="eastAsia"/>
          <w:bCs/>
          <w:sz w:val="28"/>
          <w:szCs w:val="28"/>
        </w:rPr>
        <w:t>学时）</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适用对象：给排水科学与工程专业</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先修课程：土建工程基础，建筑给排水工程，给排水管道系统(1) (2)，泵与泵站</w:t>
      </w:r>
    </w:p>
    <w:p w:rsidR="009613B4" w:rsidRDefault="009613B4" w:rsidP="009613B4">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水工程施工》是给排水科学与工程专业学生的专业发展必修课，是一门具有综合性，涉及面较广，实践性非常强的课程。培养学生具有较强工程实践能力，能够在相关领域从事工程规划、设计、建设、运营和管理等方面工作。课堂教学内容包括水工程构筑物施工技术与水工程管道施工技术与常用设备安装等。通过线下课程形式，课堂教学采用多媒体和传统教学相结合的方式，课堂讲授与讨论等使学生了解和掌握城市水工程的施工及管理方法以及管道质量检查和验收，掌握水工程施工基本知识，熟悉给水排水工程建设基本程序，获得水工</w:t>
      </w:r>
      <w:r>
        <w:rPr>
          <w:rFonts w:ascii="仿宋_GB2312" w:hAnsi="仿宋_GB2312" w:cs="仿宋_GB2312" w:hint="eastAsia"/>
          <w:bCs/>
          <w:sz w:val="28"/>
          <w:szCs w:val="28"/>
        </w:rPr>
        <w:lastRenderedPageBreak/>
        <w:t>程设计、施工与管理的核心能力。</w:t>
      </w:r>
      <w:r>
        <w:rPr>
          <w:rFonts w:ascii="仿宋_GB2312" w:hAnsi="仿宋_GB2312" w:cs="仿宋_GB2312"/>
          <w:bCs/>
          <w:sz w:val="28"/>
          <w:szCs w:val="28"/>
        </w:rPr>
        <w:t xml:space="preserve"> </w:t>
      </w:r>
    </w:p>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9613B4" w:rsidRDefault="009613B4" w:rsidP="009613B4">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bCs/>
          <w:sz w:val="28"/>
          <w:szCs w:val="28"/>
        </w:rPr>
        <w:t>学生掌握给水排水构筑物和管道施工技术，了解所有材料及管材的性能、规格及检验，熟悉质量标准及验收方法等内容。使学生对水工程施工有一个总体概念，对水工程构筑物和管材与材料有一个总体认识，对施工技术与管理有一个总体掌握。使学生具备水工程施工的施工、管理和研究能力。同时，挖掘水行业及施工工程领域所蕴含的思政教育元素，培养学生人文素养；结合当前学科及工程发展面临的机遇和挑战，激发学生的爱国情、强国志、报国行。培养学生的责任感和使命感、精益求精的大国工匠精神以及精忠报国的家国情怀和使命担当。</w:t>
      </w:r>
    </w:p>
    <w:p w:rsidR="009613B4" w:rsidRDefault="009613B4"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9613B4" w:rsidRDefault="009613B4" w:rsidP="009613B4">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9613B4" w:rsidRDefault="009613B4" w:rsidP="009613B4">
      <w:pPr>
        <w:spacing w:line="560" w:lineRule="exact"/>
        <w:ind w:firstLineChars="200" w:firstLine="560"/>
        <w:rPr>
          <w:rFonts w:ascii="仿宋_GB2312" w:hAnsi="仿宋_GB2312" w:cs="仿宋_GB2312"/>
          <w:bCs/>
          <w:sz w:val="28"/>
          <w:szCs w:val="28"/>
        </w:rPr>
      </w:pPr>
      <w:bookmarkStart w:id="62" w:name="_Hlk68985025"/>
      <w:r>
        <w:rPr>
          <w:rFonts w:ascii="仿宋_GB2312" w:hAnsi="仿宋_GB2312" w:cs="仿宋_GB2312" w:hint="eastAsia"/>
          <w:bCs/>
          <w:sz w:val="28"/>
          <w:szCs w:val="28"/>
        </w:rPr>
        <w:t>(1) 知识目标：学生掌握土石方工程的基本知识，施工排水的主要方法</w:t>
      </w:r>
      <w:bookmarkStart w:id="63" w:name="_Hlk68901086"/>
      <w:r>
        <w:rPr>
          <w:rFonts w:ascii="仿宋_GB2312" w:hAnsi="仿宋_GB2312" w:cs="仿宋_GB2312" w:hint="eastAsia"/>
          <w:bCs/>
          <w:sz w:val="28"/>
          <w:szCs w:val="28"/>
        </w:rPr>
        <w:t>，熟悉水工程构筑物和室内外管道工程的主要施工内容、施工技术，施工质量标准和验收方法，了解管道特殊施工方法，熟悉常用设备安装，了解基本建设程序、施工组织</w:t>
      </w:r>
      <w:bookmarkEnd w:id="63"/>
      <w:r>
        <w:rPr>
          <w:rFonts w:ascii="仿宋_GB2312" w:hAnsi="仿宋_GB2312" w:cs="仿宋_GB2312" w:hint="eastAsia"/>
          <w:bCs/>
          <w:sz w:val="28"/>
          <w:szCs w:val="28"/>
        </w:rPr>
        <w:t>；</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(2) 能力目标：</w:t>
      </w:r>
      <w:r>
        <w:rPr>
          <w:rFonts w:ascii="仿宋_GB2312" w:hAnsi="仿宋_GB2312" w:cs="仿宋_GB2312"/>
          <w:bCs/>
          <w:sz w:val="28"/>
          <w:szCs w:val="28"/>
        </w:rPr>
        <w:fldChar w:fldCharType="begin"/>
      </w:r>
      <w:r>
        <w:rPr>
          <w:rFonts w:ascii="仿宋_GB2312" w:hAnsi="仿宋_GB2312" w:cs="仿宋_GB2312"/>
          <w:bCs/>
          <w:sz w:val="28"/>
          <w:szCs w:val="28"/>
        </w:rPr>
        <w:instrText xml:space="preserve"> </w:instrText>
      </w:r>
      <w:r>
        <w:rPr>
          <w:rFonts w:ascii="仿宋_GB2312" w:hAnsi="仿宋_GB2312" w:cs="仿宋_GB2312" w:hint="eastAsia"/>
          <w:bCs/>
          <w:sz w:val="28"/>
          <w:szCs w:val="28"/>
        </w:rPr>
        <w:instrText>= 1 \* GB3</w:instrText>
      </w:r>
      <w:r>
        <w:rPr>
          <w:rFonts w:ascii="仿宋_GB2312" w:hAnsi="仿宋_GB2312" w:cs="仿宋_GB2312"/>
          <w:bCs/>
          <w:sz w:val="28"/>
          <w:szCs w:val="28"/>
        </w:rPr>
        <w:instrText xml:space="preserve"> </w:instrText>
      </w:r>
      <w:r>
        <w:rPr>
          <w:rFonts w:ascii="仿宋_GB2312" w:hAnsi="仿宋_GB2312" w:cs="仿宋_GB2312"/>
          <w:bCs/>
          <w:sz w:val="28"/>
          <w:szCs w:val="28"/>
        </w:rPr>
        <w:fldChar w:fldCharType="separate"/>
      </w:r>
      <w:r>
        <w:rPr>
          <w:rFonts w:ascii="仿宋_GB2312" w:hAnsi="仿宋_GB2312" w:cs="仿宋_GB2312" w:hint="eastAsia"/>
          <w:bCs/>
          <w:sz w:val="28"/>
          <w:szCs w:val="28"/>
        </w:rPr>
        <w:t>①</w:t>
      </w:r>
      <w:r>
        <w:rPr>
          <w:rFonts w:ascii="仿宋_GB2312" w:hAnsi="仿宋_GB2312" w:cs="仿宋_GB2312"/>
          <w:bCs/>
          <w:sz w:val="28"/>
          <w:szCs w:val="28"/>
        </w:rPr>
        <w:fldChar w:fldCharType="end"/>
      </w:r>
      <w:r>
        <w:rPr>
          <w:rFonts w:ascii="仿宋_GB2312" w:hAnsi="仿宋_GB2312" w:cs="仿宋_GB2312" w:hint="eastAsia"/>
          <w:bCs/>
          <w:sz w:val="28"/>
          <w:szCs w:val="28"/>
        </w:rPr>
        <w:t>学生通过对知识目标内容的学习，开展相关实践能力培养，具有对施工方案及施工方法进行正确选择和制定的能力</w:t>
      </w:r>
      <w:r>
        <w:rPr>
          <w:rFonts w:ascii="仿宋_GB2312" w:hAnsi="仿宋_GB2312" w:cs="仿宋_GB2312"/>
          <w:bCs/>
          <w:sz w:val="28"/>
          <w:szCs w:val="28"/>
        </w:rPr>
        <w:fldChar w:fldCharType="begin"/>
      </w:r>
      <w:r>
        <w:rPr>
          <w:rFonts w:ascii="仿宋_GB2312" w:hAnsi="仿宋_GB2312" w:cs="仿宋_GB2312"/>
          <w:bCs/>
          <w:sz w:val="28"/>
          <w:szCs w:val="28"/>
        </w:rPr>
        <w:instrText xml:space="preserve"> </w:instrText>
      </w:r>
      <w:r>
        <w:rPr>
          <w:rFonts w:ascii="仿宋_GB2312" w:hAnsi="仿宋_GB2312" w:cs="仿宋_GB2312" w:hint="eastAsia"/>
          <w:bCs/>
          <w:sz w:val="28"/>
          <w:szCs w:val="28"/>
        </w:rPr>
        <w:instrText>= 2 \* GB3</w:instrText>
      </w:r>
      <w:r>
        <w:rPr>
          <w:rFonts w:ascii="仿宋_GB2312" w:hAnsi="仿宋_GB2312" w:cs="仿宋_GB2312"/>
          <w:bCs/>
          <w:sz w:val="28"/>
          <w:szCs w:val="28"/>
        </w:rPr>
        <w:instrText xml:space="preserve"> </w:instrText>
      </w:r>
      <w:r>
        <w:rPr>
          <w:rFonts w:ascii="仿宋_GB2312" w:hAnsi="仿宋_GB2312" w:cs="仿宋_GB2312"/>
          <w:bCs/>
          <w:sz w:val="28"/>
          <w:szCs w:val="28"/>
        </w:rPr>
        <w:fldChar w:fldCharType="separate"/>
      </w:r>
      <w:r>
        <w:rPr>
          <w:rFonts w:ascii="仿宋_GB2312" w:hAnsi="仿宋_GB2312" w:cs="仿宋_GB2312" w:hint="eastAsia"/>
          <w:bCs/>
          <w:sz w:val="28"/>
          <w:szCs w:val="28"/>
        </w:rPr>
        <w:t>②</w:t>
      </w:r>
      <w:r>
        <w:rPr>
          <w:rFonts w:ascii="仿宋_GB2312" w:hAnsi="仿宋_GB2312" w:cs="仿宋_GB2312"/>
          <w:bCs/>
          <w:sz w:val="28"/>
          <w:szCs w:val="28"/>
        </w:rPr>
        <w:fldChar w:fldCharType="end"/>
      </w:r>
      <w:r>
        <w:rPr>
          <w:rFonts w:ascii="仿宋_GB2312" w:hAnsi="仿宋_GB2312" w:cs="仿宋_GB2312" w:hint="eastAsia"/>
          <w:bCs/>
          <w:sz w:val="28"/>
          <w:szCs w:val="28"/>
        </w:rPr>
        <w:t>增强自主学习能力，学生激发学习兴趣，提高学习的积极性，增强学习的信心；</w:t>
      </w:r>
      <w:r>
        <w:rPr>
          <w:rFonts w:ascii="仿宋_GB2312" w:hAnsi="仿宋_GB2312" w:cs="仿宋_GB2312"/>
          <w:bCs/>
          <w:sz w:val="28"/>
          <w:szCs w:val="28"/>
        </w:rPr>
        <w:fldChar w:fldCharType="begin"/>
      </w:r>
      <w:r>
        <w:rPr>
          <w:rFonts w:ascii="仿宋_GB2312" w:hAnsi="仿宋_GB2312" w:cs="仿宋_GB2312"/>
          <w:bCs/>
          <w:sz w:val="28"/>
          <w:szCs w:val="28"/>
        </w:rPr>
        <w:instrText xml:space="preserve"> </w:instrText>
      </w:r>
      <w:r>
        <w:rPr>
          <w:rFonts w:ascii="仿宋_GB2312" w:hAnsi="仿宋_GB2312" w:cs="仿宋_GB2312" w:hint="eastAsia"/>
          <w:bCs/>
          <w:sz w:val="28"/>
          <w:szCs w:val="28"/>
        </w:rPr>
        <w:instrText>= 3 \* GB3</w:instrText>
      </w:r>
      <w:r>
        <w:rPr>
          <w:rFonts w:ascii="仿宋_GB2312" w:hAnsi="仿宋_GB2312" w:cs="仿宋_GB2312"/>
          <w:bCs/>
          <w:sz w:val="28"/>
          <w:szCs w:val="28"/>
        </w:rPr>
        <w:instrText xml:space="preserve"> </w:instrText>
      </w:r>
      <w:r>
        <w:rPr>
          <w:rFonts w:ascii="仿宋_GB2312" w:hAnsi="仿宋_GB2312" w:cs="仿宋_GB2312"/>
          <w:bCs/>
          <w:sz w:val="28"/>
          <w:szCs w:val="28"/>
        </w:rPr>
        <w:fldChar w:fldCharType="separate"/>
      </w:r>
      <w:r>
        <w:rPr>
          <w:rFonts w:ascii="仿宋_GB2312" w:hAnsi="仿宋_GB2312" w:cs="仿宋_GB2312" w:hint="eastAsia"/>
          <w:bCs/>
          <w:sz w:val="28"/>
          <w:szCs w:val="28"/>
        </w:rPr>
        <w:t>③</w:t>
      </w:r>
      <w:r>
        <w:rPr>
          <w:rFonts w:ascii="仿宋_GB2312" w:hAnsi="仿宋_GB2312" w:cs="仿宋_GB2312"/>
          <w:bCs/>
          <w:sz w:val="28"/>
          <w:szCs w:val="28"/>
        </w:rPr>
        <w:fldChar w:fldCharType="end"/>
      </w:r>
      <w:r>
        <w:rPr>
          <w:rFonts w:ascii="仿宋_GB2312" w:hAnsi="仿宋_GB2312" w:cs="仿宋_GB2312" w:hint="eastAsia"/>
          <w:bCs/>
          <w:sz w:val="28"/>
          <w:szCs w:val="28"/>
        </w:rPr>
        <w:t>学生独立思考能力，提高创新意识。</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bCs/>
          <w:sz w:val="28"/>
          <w:szCs w:val="28"/>
        </w:rPr>
        <w:t>(3) 情感态度与价值观目标：学生在情感态度层面应当激发其爱国主义情操和民族意识，以增强民族自尊心、自信心和自豪感；树立</w:t>
      </w:r>
      <w:r>
        <w:rPr>
          <w:rFonts w:ascii="仿宋_GB2312" w:hAnsi="仿宋_GB2312" w:cs="仿宋_GB2312" w:hint="eastAsia"/>
          <w:bCs/>
          <w:sz w:val="28"/>
          <w:szCs w:val="28"/>
        </w:rPr>
        <w:lastRenderedPageBreak/>
        <w:t>职业发展的自主意识，树立正确的人生观、价值观、就业观，</w:t>
      </w:r>
      <w:bookmarkStart w:id="64" w:name="_Hlk68976294"/>
      <w:r>
        <w:rPr>
          <w:rFonts w:ascii="仿宋_GB2312" w:hAnsi="仿宋_GB2312" w:cs="仿宋_GB2312" w:hint="eastAsia"/>
          <w:bCs/>
          <w:sz w:val="28"/>
          <w:szCs w:val="28"/>
        </w:rPr>
        <w:t>把个人发展与国家需要、社会发展相结合，确立职业的概念和意识，</w:t>
      </w:r>
      <w:bookmarkEnd w:id="64"/>
      <w:r>
        <w:rPr>
          <w:rFonts w:ascii="仿宋_GB2312" w:hAnsi="仿宋_GB2312" w:cs="仿宋_GB2312" w:hint="eastAsia"/>
          <w:bCs/>
          <w:sz w:val="28"/>
          <w:szCs w:val="28"/>
        </w:rPr>
        <w:t>愿意为个人的生涯发展和社会发展主动付出积极的努力。</w:t>
      </w:r>
      <w:bookmarkEnd w:id="62"/>
    </w:p>
    <w:p w:rsidR="009613B4" w:rsidRDefault="009613B4" w:rsidP="009613B4">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26"/>
        <w:gridCol w:w="2410"/>
        <w:gridCol w:w="2126"/>
      </w:tblGrid>
      <w:tr w:rsidR="009613B4" w:rsidTr="008C3907">
        <w:tc>
          <w:tcPr>
            <w:tcW w:w="2972" w:type="dxa"/>
            <w:vMerge w:val="restart"/>
            <w:shd w:val="clear" w:color="auto" w:fill="auto"/>
            <w:vAlign w:val="center"/>
          </w:tcPr>
          <w:p w:rsidR="009613B4" w:rsidRDefault="009613B4" w:rsidP="008C3907">
            <w:pPr>
              <w:spacing w:line="360" w:lineRule="auto"/>
              <w:jc w:val="center"/>
              <w:rPr>
                <w:rFonts w:ascii="Times New Roman" w:hAnsi="Times New Roman"/>
                <w:kern w:val="0"/>
                <w:sz w:val="20"/>
                <w:szCs w:val="20"/>
              </w:rPr>
            </w:pPr>
            <w:bookmarkStart w:id="65" w:name="_Hlk68985908"/>
            <w:r>
              <w:rPr>
                <w:rFonts w:ascii="Times New Roman" w:hAnsi="Times New Roman" w:hint="eastAsia"/>
                <w:kern w:val="0"/>
                <w:sz w:val="20"/>
                <w:szCs w:val="20"/>
              </w:rPr>
              <w:t>毕业要求</w:t>
            </w:r>
          </w:p>
        </w:tc>
        <w:tc>
          <w:tcPr>
            <w:tcW w:w="6662" w:type="dxa"/>
            <w:gridSpan w:val="3"/>
            <w:shd w:val="clear" w:color="auto" w:fill="auto"/>
            <w:vAlign w:val="center"/>
          </w:tcPr>
          <w:p w:rsidR="009613B4" w:rsidRDefault="009613B4" w:rsidP="008C3907">
            <w:pPr>
              <w:spacing w:line="360" w:lineRule="auto"/>
              <w:jc w:val="center"/>
              <w:rPr>
                <w:rFonts w:ascii="华文中宋" w:eastAsia="华文中宋" w:hAnsi="华文中宋"/>
                <w:sz w:val="21"/>
                <w:szCs w:val="21"/>
              </w:rPr>
            </w:pPr>
            <w:r>
              <w:rPr>
                <w:rFonts w:ascii="Times New Roman" w:hAnsi="Times New Roman" w:hint="eastAsia"/>
                <w:kern w:val="0"/>
                <w:sz w:val="20"/>
                <w:szCs w:val="20"/>
              </w:rPr>
              <w:t>课程目标</w:t>
            </w:r>
          </w:p>
        </w:tc>
      </w:tr>
      <w:tr w:rsidR="009613B4" w:rsidTr="008C3907">
        <w:tc>
          <w:tcPr>
            <w:tcW w:w="2972" w:type="dxa"/>
            <w:vMerge/>
            <w:shd w:val="clear" w:color="auto" w:fill="auto"/>
            <w:vAlign w:val="center"/>
          </w:tcPr>
          <w:p w:rsidR="009613B4" w:rsidRDefault="009613B4" w:rsidP="008C3907">
            <w:pPr>
              <w:jc w:val="center"/>
              <w:rPr>
                <w:rFonts w:ascii="Times New Roman" w:hAnsi="Times New Roman"/>
                <w:kern w:val="0"/>
                <w:sz w:val="20"/>
                <w:szCs w:val="20"/>
              </w:rPr>
            </w:pPr>
          </w:p>
        </w:tc>
        <w:tc>
          <w:tcPr>
            <w:tcW w:w="2126" w:type="dxa"/>
            <w:shd w:val="clear" w:color="auto" w:fill="auto"/>
            <w:vAlign w:val="center"/>
          </w:tcPr>
          <w:p w:rsidR="009613B4" w:rsidRDefault="009613B4" w:rsidP="008C3907">
            <w:pPr>
              <w:jc w:val="center"/>
              <w:rPr>
                <w:rFonts w:ascii="华文中宋" w:eastAsia="华文中宋" w:hAnsi="华文中宋"/>
                <w:sz w:val="21"/>
                <w:szCs w:val="21"/>
              </w:rPr>
            </w:pPr>
            <w:r>
              <w:rPr>
                <w:rFonts w:ascii="华文中宋" w:eastAsia="华文中宋" w:hAnsi="华文中宋" w:hint="eastAsia"/>
                <w:sz w:val="21"/>
                <w:szCs w:val="21"/>
              </w:rPr>
              <w:t>（1）</w:t>
            </w:r>
          </w:p>
        </w:tc>
        <w:tc>
          <w:tcPr>
            <w:tcW w:w="2410" w:type="dxa"/>
            <w:shd w:val="clear" w:color="auto" w:fill="auto"/>
            <w:vAlign w:val="center"/>
          </w:tcPr>
          <w:p w:rsidR="009613B4" w:rsidRDefault="009613B4" w:rsidP="008C3907">
            <w:pPr>
              <w:jc w:val="center"/>
              <w:rPr>
                <w:rFonts w:ascii="华文中宋" w:eastAsia="华文中宋" w:hAnsi="华文中宋"/>
                <w:sz w:val="21"/>
                <w:szCs w:val="21"/>
              </w:rPr>
            </w:pPr>
            <w:r>
              <w:rPr>
                <w:rFonts w:ascii="华文中宋" w:eastAsia="华文中宋" w:hAnsi="华文中宋" w:hint="eastAsia"/>
                <w:sz w:val="21"/>
                <w:szCs w:val="21"/>
              </w:rPr>
              <w:t>（2）</w:t>
            </w:r>
          </w:p>
        </w:tc>
        <w:tc>
          <w:tcPr>
            <w:tcW w:w="2126" w:type="dxa"/>
            <w:shd w:val="clear" w:color="auto" w:fill="auto"/>
            <w:vAlign w:val="center"/>
          </w:tcPr>
          <w:p w:rsidR="009613B4" w:rsidRDefault="009613B4" w:rsidP="008C3907">
            <w:pPr>
              <w:jc w:val="center"/>
              <w:rPr>
                <w:rFonts w:ascii="华文中宋" w:eastAsia="华文中宋" w:hAnsi="华文中宋"/>
                <w:sz w:val="21"/>
                <w:szCs w:val="21"/>
              </w:rPr>
            </w:pPr>
            <w:r>
              <w:rPr>
                <w:rFonts w:ascii="华文中宋" w:eastAsia="华文中宋" w:hAnsi="华文中宋" w:hint="eastAsia"/>
                <w:sz w:val="21"/>
                <w:szCs w:val="21"/>
              </w:rPr>
              <w:t>（3）</w:t>
            </w:r>
          </w:p>
        </w:tc>
      </w:tr>
      <w:tr w:rsidR="009613B4" w:rsidTr="008C3907">
        <w:tc>
          <w:tcPr>
            <w:tcW w:w="2972" w:type="dxa"/>
            <w:shd w:val="clear" w:color="auto" w:fill="auto"/>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毕业要求</w:t>
            </w:r>
            <w:r>
              <w:rPr>
                <w:rFonts w:ascii="Times New Roman" w:hAnsi="Times New Roman" w:hint="eastAsia"/>
                <w:kern w:val="0"/>
                <w:sz w:val="20"/>
                <w:szCs w:val="20"/>
              </w:rPr>
              <w:t>1</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r>
              <w:rPr>
                <w:rFonts w:ascii="宋体" w:eastAsia="宋体" w:hAnsi="宋体" w:cs="宋体" w:hint="eastAsia"/>
                <w:sz w:val="21"/>
                <w:szCs w:val="21"/>
              </w:rPr>
              <w:t>H</w:t>
            </w:r>
          </w:p>
        </w:tc>
        <w:tc>
          <w:tcPr>
            <w:tcW w:w="2410" w:type="dxa"/>
            <w:shd w:val="clear" w:color="auto" w:fill="auto"/>
            <w:vAlign w:val="center"/>
          </w:tcPr>
          <w:p w:rsidR="009613B4" w:rsidRDefault="009613B4" w:rsidP="008C3907">
            <w:pPr>
              <w:jc w:val="center"/>
              <w:rPr>
                <w:rFonts w:ascii="宋体" w:eastAsia="宋体" w:hAnsi="宋体" w:cs="宋体"/>
                <w:sz w:val="21"/>
                <w:szCs w:val="21"/>
              </w:rPr>
            </w:pPr>
          </w:p>
        </w:tc>
        <w:tc>
          <w:tcPr>
            <w:tcW w:w="2126" w:type="dxa"/>
            <w:shd w:val="clear" w:color="auto" w:fill="auto"/>
            <w:vAlign w:val="center"/>
          </w:tcPr>
          <w:p w:rsidR="009613B4" w:rsidRDefault="009613B4" w:rsidP="008C3907">
            <w:pPr>
              <w:spacing w:line="360" w:lineRule="auto"/>
              <w:jc w:val="center"/>
              <w:rPr>
                <w:rFonts w:ascii="仿宋_GB2312" w:hAnsi="仿宋_GB2312" w:cs="仿宋_GB2312"/>
                <w:bCs/>
                <w:sz w:val="24"/>
                <w:szCs w:val="24"/>
              </w:rPr>
            </w:pPr>
          </w:p>
        </w:tc>
      </w:tr>
      <w:tr w:rsidR="009613B4" w:rsidTr="008C3907">
        <w:tc>
          <w:tcPr>
            <w:tcW w:w="2972" w:type="dxa"/>
            <w:shd w:val="clear" w:color="auto" w:fill="auto"/>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毕业要求</w:t>
            </w:r>
            <w:r>
              <w:rPr>
                <w:rFonts w:ascii="Times New Roman" w:hAnsi="Times New Roman" w:hint="eastAsia"/>
                <w:kern w:val="0"/>
                <w:sz w:val="20"/>
                <w:szCs w:val="20"/>
              </w:rPr>
              <w:t>2</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c>
          <w:tcPr>
            <w:tcW w:w="2410" w:type="dxa"/>
            <w:shd w:val="clear" w:color="auto" w:fill="auto"/>
            <w:vAlign w:val="center"/>
          </w:tcPr>
          <w:p w:rsidR="009613B4" w:rsidRDefault="009613B4" w:rsidP="008C3907">
            <w:pPr>
              <w:jc w:val="center"/>
              <w:rPr>
                <w:rFonts w:ascii="宋体" w:eastAsia="宋体" w:hAnsi="宋体" w:cs="宋体"/>
                <w:sz w:val="21"/>
                <w:szCs w:val="21"/>
              </w:rPr>
            </w:pP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r>
      <w:tr w:rsidR="009613B4" w:rsidTr="008C3907">
        <w:tc>
          <w:tcPr>
            <w:tcW w:w="2972" w:type="dxa"/>
            <w:shd w:val="clear" w:color="auto" w:fill="auto"/>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毕业要求</w:t>
            </w:r>
            <w:r>
              <w:rPr>
                <w:rFonts w:ascii="Times New Roman" w:hAnsi="Times New Roman" w:hint="eastAsia"/>
                <w:kern w:val="0"/>
                <w:sz w:val="20"/>
                <w:szCs w:val="20"/>
              </w:rPr>
              <w:t>3</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c>
          <w:tcPr>
            <w:tcW w:w="2410" w:type="dxa"/>
            <w:shd w:val="clear" w:color="auto" w:fill="auto"/>
            <w:vAlign w:val="center"/>
          </w:tcPr>
          <w:p w:rsidR="009613B4" w:rsidRDefault="009613B4" w:rsidP="008C3907">
            <w:pPr>
              <w:jc w:val="center"/>
              <w:rPr>
                <w:rFonts w:ascii="宋体" w:eastAsia="宋体" w:hAnsi="宋体" w:cs="宋体"/>
                <w:sz w:val="21"/>
                <w:szCs w:val="21"/>
              </w:rPr>
            </w:pPr>
            <w:r>
              <w:rPr>
                <w:rFonts w:ascii="宋体" w:eastAsia="宋体" w:hAnsi="宋体" w:cs="宋体"/>
                <w:sz w:val="21"/>
                <w:szCs w:val="21"/>
              </w:rPr>
              <w:t>M</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r>
      <w:tr w:rsidR="009613B4" w:rsidTr="008C3907">
        <w:tc>
          <w:tcPr>
            <w:tcW w:w="2972" w:type="dxa"/>
            <w:shd w:val="clear" w:color="auto" w:fill="auto"/>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毕业要求</w:t>
            </w:r>
            <w:r>
              <w:rPr>
                <w:rFonts w:ascii="Times New Roman" w:hAnsi="Times New Roman" w:hint="eastAsia"/>
                <w:kern w:val="0"/>
                <w:sz w:val="20"/>
                <w:szCs w:val="20"/>
              </w:rPr>
              <w:t>4</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c>
          <w:tcPr>
            <w:tcW w:w="2410" w:type="dxa"/>
            <w:shd w:val="clear" w:color="auto" w:fill="auto"/>
            <w:vAlign w:val="center"/>
          </w:tcPr>
          <w:p w:rsidR="009613B4" w:rsidRDefault="009613B4" w:rsidP="008C3907">
            <w:pPr>
              <w:jc w:val="center"/>
              <w:rPr>
                <w:rFonts w:ascii="宋体" w:eastAsia="宋体" w:hAnsi="宋体" w:cs="宋体"/>
                <w:sz w:val="21"/>
                <w:szCs w:val="21"/>
              </w:rPr>
            </w:pP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r>
      <w:tr w:rsidR="009613B4" w:rsidTr="008C3907">
        <w:tc>
          <w:tcPr>
            <w:tcW w:w="2972" w:type="dxa"/>
            <w:shd w:val="clear" w:color="auto" w:fill="auto"/>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毕业要求</w:t>
            </w:r>
            <w:r>
              <w:rPr>
                <w:rFonts w:ascii="Times New Roman" w:hAnsi="Times New Roman" w:hint="eastAsia"/>
                <w:kern w:val="0"/>
                <w:sz w:val="20"/>
                <w:szCs w:val="20"/>
              </w:rPr>
              <w:t>5</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c>
          <w:tcPr>
            <w:tcW w:w="2410" w:type="dxa"/>
            <w:shd w:val="clear" w:color="auto" w:fill="auto"/>
            <w:vAlign w:val="center"/>
          </w:tcPr>
          <w:p w:rsidR="009613B4" w:rsidRDefault="009613B4" w:rsidP="008C3907">
            <w:pPr>
              <w:jc w:val="center"/>
              <w:rPr>
                <w:rFonts w:ascii="宋体" w:eastAsia="宋体" w:hAnsi="宋体" w:cs="宋体"/>
                <w:sz w:val="21"/>
                <w:szCs w:val="21"/>
              </w:rPr>
            </w:pPr>
            <w:r>
              <w:rPr>
                <w:rFonts w:ascii="宋体" w:eastAsia="宋体" w:hAnsi="宋体" w:cs="宋体" w:hint="eastAsia"/>
                <w:sz w:val="21"/>
                <w:szCs w:val="21"/>
              </w:rPr>
              <w:t>L</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r>
      <w:tr w:rsidR="009613B4" w:rsidTr="008C3907">
        <w:tc>
          <w:tcPr>
            <w:tcW w:w="2972" w:type="dxa"/>
            <w:shd w:val="clear" w:color="auto" w:fill="auto"/>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毕业要求</w:t>
            </w:r>
            <w:r>
              <w:rPr>
                <w:rFonts w:ascii="Times New Roman" w:hAnsi="Times New Roman" w:hint="eastAsia"/>
                <w:kern w:val="0"/>
                <w:sz w:val="20"/>
                <w:szCs w:val="20"/>
              </w:rPr>
              <w:t>6</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c>
          <w:tcPr>
            <w:tcW w:w="2410" w:type="dxa"/>
            <w:shd w:val="clear" w:color="auto" w:fill="auto"/>
            <w:vAlign w:val="center"/>
          </w:tcPr>
          <w:p w:rsidR="009613B4" w:rsidRDefault="009613B4" w:rsidP="008C3907">
            <w:pPr>
              <w:jc w:val="center"/>
              <w:rPr>
                <w:rFonts w:ascii="宋体" w:eastAsia="宋体" w:hAnsi="宋体" w:cs="宋体"/>
                <w:sz w:val="21"/>
                <w:szCs w:val="21"/>
              </w:rPr>
            </w:pPr>
          </w:p>
        </w:tc>
        <w:tc>
          <w:tcPr>
            <w:tcW w:w="2126" w:type="dxa"/>
            <w:shd w:val="clear" w:color="auto" w:fill="auto"/>
            <w:vAlign w:val="center"/>
          </w:tcPr>
          <w:p w:rsidR="009613B4" w:rsidRDefault="009613B4" w:rsidP="008C3907">
            <w:pPr>
              <w:jc w:val="center"/>
              <w:rPr>
                <w:rFonts w:ascii="宋体" w:eastAsia="宋体" w:hAnsi="宋体" w:cs="宋体"/>
                <w:sz w:val="21"/>
                <w:szCs w:val="21"/>
              </w:rPr>
            </w:pPr>
            <w:r>
              <w:rPr>
                <w:rFonts w:ascii="宋体" w:eastAsia="宋体" w:hAnsi="宋体" w:cs="宋体" w:hint="eastAsia"/>
                <w:sz w:val="21"/>
                <w:szCs w:val="21"/>
              </w:rPr>
              <w:t>H</w:t>
            </w:r>
          </w:p>
        </w:tc>
      </w:tr>
      <w:tr w:rsidR="009613B4" w:rsidTr="008C3907">
        <w:tc>
          <w:tcPr>
            <w:tcW w:w="2972" w:type="dxa"/>
            <w:shd w:val="clear" w:color="auto" w:fill="auto"/>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毕业要求</w:t>
            </w:r>
            <w:r>
              <w:rPr>
                <w:rFonts w:ascii="Times New Roman" w:hAnsi="Times New Roman" w:hint="eastAsia"/>
                <w:kern w:val="0"/>
                <w:sz w:val="20"/>
                <w:szCs w:val="20"/>
              </w:rPr>
              <w:t>7</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c>
          <w:tcPr>
            <w:tcW w:w="2410" w:type="dxa"/>
            <w:shd w:val="clear" w:color="auto" w:fill="auto"/>
            <w:vAlign w:val="center"/>
          </w:tcPr>
          <w:p w:rsidR="009613B4" w:rsidRDefault="009613B4" w:rsidP="008C3907">
            <w:pPr>
              <w:jc w:val="center"/>
              <w:rPr>
                <w:rFonts w:ascii="宋体" w:eastAsia="宋体" w:hAnsi="宋体" w:cs="宋体"/>
                <w:sz w:val="21"/>
                <w:szCs w:val="21"/>
              </w:rPr>
            </w:pP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r>
      <w:tr w:rsidR="009613B4" w:rsidTr="008C3907">
        <w:tc>
          <w:tcPr>
            <w:tcW w:w="2972" w:type="dxa"/>
            <w:shd w:val="clear" w:color="auto" w:fill="auto"/>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毕业要求</w:t>
            </w:r>
            <w:r>
              <w:rPr>
                <w:rFonts w:ascii="Times New Roman" w:hAnsi="Times New Roman" w:hint="eastAsia"/>
                <w:kern w:val="0"/>
                <w:sz w:val="20"/>
                <w:szCs w:val="20"/>
              </w:rPr>
              <w:t>8</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c>
          <w:tcPr>
            <w:tcW w:w="2410" w:type="dxa"/>
            <w:shd w:val="clear" w:color="auto" w:fill="auto"/>
            <w:vAlign w:val="center"/>
          </w:tcPr>
          <w:p w:rsidR="009613B4" w:rsidRDefault="009613B4" w:rsidP="008C3907">
            <w:pPr>
              <w:jc w:val="center"/>
              <w:rPr>
                <w:rFonts w:ascii="宋体" w:eastAsia="宋体" w:hAnsi="宋体" w:cs="宋体"/>
                <w:sz w:val="21"/>
                <w:szCs w:val="21"/>
              </w:rPr>
            </w:pPr>
          </w:p>
        </w:tc>
        <w:tc>
          <w:tcPr>
            <w:tcW w:w="2126" w:type="dxa"/>
            <w:shd w:val="clear" w:color="auto" w:fill="auto"/>
            <w:vAlign w:val="center"/>
          </w:tcPr>
          <w:p w:rsidR="009613B4" w:rsidRDefault="009613B4" w:rsidP="008C3907">
            <w:pPr>
              <w:jc w:val="center"/>
              <w:rPr>
                <w:rFonts w:ascii="宋体" w:eastAsia="宋体" w:hAnsi="宋体" w:cs="宋体"/>
                <w:sz w:val="21"/>
                <w:szCs w:val="21"/>
              </w:rPr>
            </w:pPr>
            <w:r>
              <w:rPr>
                <w:rFonts w:ascii="宋体" w:eastAsia="宋体" w:hAnsi="宋体" w:cs="宋体"/>
                <w:sz w:val="21"/>
                <w:szCs w:val="21"/>
              </w:rPr>
              <w:t>H</w:t>
            </w:r>
          </w:p>
        </w:tc>
      </w:tr>
      <w:tr w:rsidR="009613B4" w:rsidTr="008C3907">
        <w:tc>
          <w:tcPr>
            <w:tcW w:w="2972" w:type="dxa"/>
            <w:shd w:val="clear" w:color="auto" w:fill="auto"/>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毕业要求</w:t>
            </w:r>
            <w:r>
              <w:rPr>
                <w:rFonts w:ascii="Times New Roman" w:hAnsi="Times New Roman" w:hint="eastAsia"/>
                <w:kern w:val="0"/>
                <w:sz w:val="20"/>
                <w:szCs w:val="20"/>
              </w:rPr>
              <w:t>9</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c>
          <w:tcPr>
            <w:tcW w:w="2410" w:type="dxa"/>
            <w:shd w:val="clear" w:color="auto" w:fill="auto"/>
            <w:vAlign w:val="center"/>
          </w:tcPr>
          <w:p w:rsidR="009613B4" w:rsidRDefault="009613B4" w:rsidP="008C3907">
            <w:pPr>
              <w:jc w:val="center"/>
              <w:rPr>
                <w:rFonts w:ascii="宋体" w:eastAsia="宋体" w:hAnsi="宋体" w:cs="宋体"/>
                <w:sz w:val="21"/>
                <w:szCs w:val="21"/>
              </w:rPr>
            </w:pP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r>
      <w:tr w:rsidR="009613B4" w:rsidTr="008C3907">
        <w:tc>
          <w:tcPr>
            <w:tcW w:w="2972" w:type="dxa"/>
            <w:shd w:val="clear" w:color="auto" w:fill="auto"/>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毕业要求</w:t>
            </w:r>
            <w:r>
              <w:rPr>
                <w:rFonts w:ascii="Times New Roman" w:hAnsi="Times New Roman" w:hint="eastAsia"/>
                <w:kern w:val="0"/>
                <w:sz w:val="20"/>
                <w:szCs w:val="20"/>
              </w:rPr>
              <w:t>10</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c>
          <w:tcPr>
            <w:tcW w:w="2410" w:type="dxa"/>
            <w:shd w:val="clear" w:color="auto" w:fill="auto"/>
            <w:vAlign w:val="center"/>
          </w:tcPr>
          <w:p w:rsidR="009613B4" w:rsidRDefault="009613B4" w:rsidP="008C3907">
            <w:pPr>
              <w:jc w:val="center"/>
              <w:rPr>
                <w:rFonts w:ascii="宋体" w:eastAsia="宋体" w:hAnsi="宋体" w:cs="宋体"/>
                <w:sz w:val="21"/>
                <w:szCs w:val="21"/>
              </w:rPr>
            </w:pPr>
            <w:r>
              <w:rPr>
                <w:rFonts w:ascii="宋体" w:eastAsia="宋体" w:hAnsi="宋体" w:cs="宋体" w:hint="eastAsia"/>
                <w:sz w:val="21"/>
                <w:szCs w:val="21"/>
              </w:rPr>
              <w:t>L</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r>
      <w:tr w:rsidR="009613B4" w:rsidTr="008C3907">
        <w:tc>
          <w:tcPr>
            <w:tcW w:w="2972" w:type="dxa"/>
            <w:shd w:val="clear" w:color="auto" w:fill="auto"/>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毕业要求</w:t>
            </w:r>
            <w:r>
              <w:rPr>
                <w:rFonts w:ascii="Times New Roman" w:hAnsi="Times New Roman" w:hint="eastAsia"/>
                <w:kern w:val="0"/>
                <w:sz w:val="20"/>
                <w:szCs w:val="20"/>
              </w:rPr>
              <w:t>11</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c>
          <w:tcPr>
            <w:tcW w:w="2410" w:type="dxa"/>
            <w:shd w:val="clear" w:color="auto" w:fill="auto"/>
            <w:vAlign w:val="center"/>
          </w:tcPr>
          <w:p w:rsidR="009613B4" w:rsidRDefault="009613B4" w:rsidP="008C3907">
            <w:pPr>
              <w:jc w:val="center"/>
              <w:rPr>
                <w:rFonts w:ascii="宋体" w:eastAsia="宋体" w:hAnsi="宋体" w:cs="宋体"/>
                <w:sz w:val="21"/>
                <w:szCs w:val="21"/>
              </w:rPr>
            </w:pP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r>
      <w:tr w:rsidR="009613B4" w:rsidTr="008C3907">
        <w:tc>
          <w:tcPr>
            <w:tcW w:w="2972" w:type="dxa"/>
            <w:shd w:val="clear" w:color="auto" w:fill="auto"/>
            <w:vAlign w:val="center"/>
          </w:tcPr>
          <w:p w:rsidR="009613B4" w:rsidRDefault="009613B4" w:rsidP="008C3907">
            <w:pPr>
              <w:spacing w:line="360" w:lineRule="auto"/>
              <w:jc w:val="center"/>
              <w:rPr>
                <w:rFonts w:ascii="Times New Roman" w:hAnsi="Times New Roman"/>
                <w:kern w:val="0"/>
                <w:sz w:val="20"/>
                <w:szCs w:val="20"/>
              </w:rPr>
            </w:pPr>
            <w:r>
              <w:rPr>
                <w:rFonts w:ascii="Times New Roman" w:hAnsi="Times New Roman" w:hint="eastAsia"/>
                <w:kern w:val="0"/>
                <w:sz w:val="20"/>
                <w:szCs w:val="20"/>
              </w:rPr>
              <w:t>毕业要求</w:t>
            </w:r>
            <w:r>
              <w:rPr>
                <w:rFonts w:ascii="Times New Roman" w:hAnsi="Times New Roman" w:hint="eastAsia"/>
                <w:kern w:val="0"/>
                <w:sz w:val="20"/>
                <w:szCs w:val="20"/>
              </w:rPr>
              <w:t>12</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c>
          <w:tcPr>
            <w:tcW w:w="2410" w:type="dxa"/>
            <w:shd w:val="clear" w:color="auto" w:fill="auto"/>
            <w:vAlign w:val="center"/>
          </w:tcPr>
          <w:p w:rsidR="009613B4" w:rsidRDefault="009613B4" w:rsidP="008C3907">
            <w:pPr>
              <w:jc w:val="center"/>
              <w:rPr>
                <w:rFonts w:ascii="宋体" w:eastAsia="宋体" w:hAnsi="宋体" w:cs="宋体"/>
                <w:sz w:val="21"/>
                <w:szCs w:val="21"/>
              </w:rPr>
            </w:pPr>
            <w:r>
              <w:rPr>
                <w:rFonts w:ascii="宋体" w:eastAsia="宋体" w:hAnsi="宋体" w:cs="宋体" w:hint="eastAsia"/>
                <w:sz w:val="21"/>
                <w:szCs w:val="21"/>
              </w:rPr>
              <w:t>H</w:t>
            </w:r>
          </w:p>
        </w:tc>
        <w:tc>
          <w:tcPr>
            <w:tcW w:w="2126" w:type="dxa"/>
            <w:shd w:val="clear" w:color="auto" w:fill="auto"/>
            <w:vAlign w:val="center"/>
          </w:tcPr>
          <w:p w:rsidR="009613B4" w:rsidRDefault="009613B4" w:rsidP="008C3907">
            <w:pPr>
              <w:jc w:val="center"/>
              <w:rPr>
                <w:rFonts w:ascii="宋体" w:eastAsia="宋体" w:hAnsi="宋体" w:cs="宋体"/>
                <w:sz w:val="21"/>
                <w:szCs w:val="21"/>
              </w:rPr>
            </w:pPr>
          </w:p>
        </w:tc>
      </w:tr>
    </w:tbl>
    <w:bookmarkEnd w:id="65"/>
    <w:p w:rsidR="009613B4" w:rsidRDefault="009613B4" w:rsidP="009613B4">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课程重点：熟悉掌握明沟排水、人工降低地下水位各种方法及其适用性；掌握水工程构筑物施工的特点和施工方法，构筑物严密性试验；管道施工方法及验收步骤、管道施工方法。</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bCs/>
          <w:sz w:val="28"/>
          <w:szCs w:val="28"/>
        </w:rPr>
        <w:t>课程难点：轻型井点的设计与施工；水池施工中防渗抗漏的控制；对管材及接口材料的选择；不开槽施工工艺的选择</w:t>
      </w:r>
      <w:r>
        <w:rPr>
          <w:rFonts w:ascii="仿宋_GB2312" w:hAnsi="仿宋_GB2312" w:cs="仿宋_GB2312" w:hint="eastAsia"/>
          <w:sz w:val="28"/>
          <w:szCs w:val="28"/>
        </w:rPr>
        <w:t>。</w:t>
      </w:r>
    </w:p>
    <w:p w:rsidR="009613B4" w:rsidRDefault="009613B4" w:rsidP="009613B4">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9613B4" w:rsidRDefault="009613B4" w:rsidP="009613B4">
      <w:pPr>
        <w:spacing w:line="560" w:lineRule="exact"/>
        <w:ind w:firstLineChars="200" w:firstLine="560"/>
        <w:rPr>
          <w:rFonts w:ascii="仿宋_GB2312" w:hAnsi="仿宋_GB2312" w:cs="仿宋_GB2312"/>
          <w:bCs/>
          <w:sz w:val="28"/>
          <w:szCs w:val="28"/>
        </w:rPr>
      </w:pPr>
      <w:bookmarkStart w:id="66" w:name="_Hlk68986938"/>
      <w:r>
        <w:rPr>
          <w:rFonts w:ascii="仿宋_GB2312" w:hAnsi="仿宋_GB2312" w:cs="仿宋_GB2312" w:hint="eastAsia"/>
          <w:bCs/>
          <w:sz w:val="28"/>
          <w:szCs w:val="28"/>
        </w:rPr>
        <w:t>坚持围绕价值引领、能力培养和知识传授为一体的课程目标，综合运用使用讲授点拨、案例穿插、专题嵌入、讨论辨析、隐形渗透等</w:t>
      </w:r>
      <w:r>
        <w:rPr>
          <w:rFonts w:ascii="仿宋_GB2312" w:hAnsi="仿宋_GB2312" w:cs="仿宋_GB2312" w:hint="eastAsia"/>
          <w:bCs/>
          <w:sz w:val="28"/>
          <w:szCs w:val="28"/>
        </w:rPr>
        <w:lastRenderedPageBreak/>
        <w:t>课程思政的融入方式，将蕴含的思政元素融入课程教学和改革。如施工降水章节，通过对我国古代水井的发展历史介绍，坚定“四个自信”；水工程构筑物施工及管道施工等章节，通过对我国水工程的发展历史和光辉成就介绍，坚定“四个自信”，把个人发展与国家需要、社会发展相结合，确立职业的概念和意识，培养学生的责任感和使命感、精益求精的大国工匠精神以及精忠报国的家国情怀和使命担当。</w:t>
      </w:r>
    </w:p>
    <w:bookmarkEnd w:id="66"/>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9613B4" w:rsidTr="008C3907">
        <w:trPr>
          <w:cantSplit/>
          <w:trHeight w:val="78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序号</w:t>
            </w:r>
          </w:p>
        </w:tc>
        <w:tc>
          <w:tcPr>
            <w:tcW w:w="210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9613B4" w:rsidTr="008C3907">
        <w:trPr>
          <w:trHeight w:val="42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第一章</w:t>
            </w:r>
            <w:r>
              <w:rPr>
                <w:rFonts w:ascii="Times New Roman" w:hAnsi="Times New Roman" w:hint="eastAsia"/>
                <w:kern w:val="0"/>
                <w:sz w:val="20"/>
                <w:szCs w:val="20"/>
              </w:rPr>
              <w:t xml:space="preserve"> </w:t>
            </w:r>
            <w:r>
              <w:rPr>
                <w:rFonts w:ascii="Times New Roman" w:hAnsi="Times New Roman" w:hint="eastAsia"/>
                <w:kern w:val="0"/>
                <w:sz w:val="20"/>
                <w:szCs w:val="20"/>
              </w:rPr>
              <w:t>土石方工程与地基处理</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kern w:val="0"/>
                <w:sz w:val="20"/>
                <w:szCs w:val="20"/>
              </w:rPr>
              <w:t>2</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1.1</w:t>
            </w:r>
            <w:r>
              <w:rPr>
                <w:rFonts w:ascii="Times New Roman" w:hAnsi="Times New Roman" w:hint="eastAsia"/>
                <w:kern w:val="0"/>
                <w:sz w:val="20"/>
                <w:szCs w:val="20"/>
              </w:rPr>
              <w:t>土的工程性质与分类</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1.2</w:t>
            </w:r>
            <w:r>
              <w:rPr>
                <w:rFonts w:ascii="Times New Roman" w:hAnsi="Times New Roman" w:hint="eastAsia"/>
                <w:kern w:val="0"/>
                <w:sz w:val="20"/>
                <w:szCs w:val="20"/>
              </w:rPr>
              <w:t>土石方平衡与调配</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1.3 </w:t>
            </w:r>
            <w:r>
              <w:rPr>
                <w:rFonts w:ascii="Times New Roman" w:hAnsi="Times New Roman" w:hint="eastAsia"/>
                <w:kern w:val="0"/>
                <w:sz w:val="20"/>
                <w:szCs w:val="20"/>
              </w:rPr>
              <w:t>土石方开挖与机械施工</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1.4 </w:t>
            </w:r>
            <w:r>
              <w:rPr>
                <w:rFonts w:ascii="Times New Roman" w:hAnsi="Times New Roman" w:hint="eastAsia"/>
                <w:kern w:val="0"/>
                <w:sz w:val="20"/>
                <w:szCs w:val="20"/>
              </w:rPr>
              <w:t>沟槽与基坑支撑</w:t>
            </w:r>
            <w:r>
              <w:rPr>
                <w:rFonts w:ascii="Times New Roman" w:hAnsi="Times New Roman" w:hint="eastAsia"/>
                <w:kern w:val="0"/>
                <w:sz w:val="20"/>
                <w:szCs w:val="20"/>
              </w:rPr>
              <w:t xml:space="preserve">  </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1.5 </w:t>
            </w:r>
            <w:r>
              <w:rPr>
                <w:rFonts w:ascii="Times New Roman" w:hAnsi="Times New Roman" w:hint="eastAsia"/>
                <w:kern w:val="0"/>
                <w:sz w:val="20"/>
                <w:szCs w:val="20"/>
              </w:rPr>
              <w:t>土方回填</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开展启发式教学，提升知识、能力、情感态度与价值观等课程目标</w:t>
            </w:r>
          </w:p>
        </w:tc>
      </w:tr>
      <w:tr w:rsidR="009613B4" w:rsidTr="008C3907">
        <w:trPr>
          <w:trHeight w:val="519"/>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第二章</w:t>
            </w:r>
            <w:r>
              <w:rPr>
                <w:rFonts w:ascii="Times New Roman" w:hAnsi="Times New Roman" w:hint="eastAsia"/>
                <w:kern w:val="0"/>
                <w:sz w:val="20"/>
                <w:szCs w:val="20"/>
              </w:rPr>
              <w:t xml:space="preserve"> </w:t>
            </w:r>
            <w:r>
              <w:rPr>
                <w:rFonts w:ascii="Times New Roman" w:hAnsi="Times New Roman" w:hint="eastAsia"/>
                <w:kern w:val="0"/>
                <w:sz w:val="20"/>
                <w:szCs w:val="20"/>
              </w:rPr>
              <w:t>施工排水</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2.1  </w:t>
            </w:r>
            <w:r>
              <w:rPr>
                <w:rFonts w:ascii="Times New Roman" w:hAnsi="Times New Roman" w:hint="eastAsia"/>
                <w:kern w:val="0"/>
                <w:sz w:val="20"/>
                <w:szCs w:val="20"/>
              </w:rPr>
              <w:t>施工排水概述</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2.2  </w:t>
            </w:r>
            <w:r>
              <w:rPr>
                <w:rFonts w:ascii="Times New Roman" w:hAnsi="Times New Roman" w:hint="eastAsia"/>
                <w:kern w:val="0"/>
                <w:sz w:val="20"/>
                <w:szCs w:val="20"/>
              </w:rPr>
              <w:t>明沟排水</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2.3 </w:t>
            </w:r>
            <w:r>
              <w:rPr>
                <w:rFonts w:ascii="Times New Roman" w:hAnsi="Times New Roman" w:hint="eastAsia"/>
                <w:kern w:val="0"/>
                <w:sz w:val="20"/>
                <w:szCs w:val="20"/>
              </w:rPr>
              <w:t>人工降低地下水位</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开展启发式教学，提升知识、能力、情感态度与价值观等课程目标</w:t>
            </w:r>
          </w:p>
        </w:tc>
      </w:tr>
      <w:tr w:rsidR="009613B4" w:rsidTr="008C3907">
        <w:trPr>
          <w:trHeight w:val="555"/>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第四章</w:t>
            </w:r>
            <w:r>
              <w:rPr>
                <w:rFonts w:ascii="Times New Roman" w:hAnsi="Times New Roman" w:hint="eastAsia"/>
                <w:kern w:val="0"/>
                <w:sz w:val="20"/>
                <w:szCs w:val="20"/>
              </w:rPr>
              <w:t xml:space="preserve"> </w:t>
            </w:r>
            <w:r>
              <w:rPr>
                <w:rFonts w:ascii="Times New Roman" w:hAnsi="Times New Roman" w:hint="eastAsia"/>
                <w:kern w:val="0"/>
                <w:sz w:val="20"/>
                <w:szCs w:val="20"/>
              </w:rPr>
              <w:t>水工程构筑物施工</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4.1 </w:t>
            </w:r>
            <w:r>
              <w:rPr>
                <w:rFonts w:ascii="Times New Roman" w:hAnsi="Times New Roman" w:hint="eastAsia"/>
                <w:kern w:val="0"/>
                <w:sz w:val="20"/>
                <w:szCs w:val="20"/>
              </w:rPr>
              <w:t>现浇钢筋混凝土水池施工</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4.2 </w:t>
            </w:r>
            <w:r>
              <w:rPr>
                <w:rFonts w:ascii="Times New Roman" w:hAnsi="Times New Roman" w:hint="eastAsia"/>
                <w:kern w:val="0"/>
                <w:sz w:val="20"/>
                <w:szCs w:val="20"/>
              </w:rPr>
              <w:t>装配式预应力钢筋混凝土水池施工</w:t>
            </w:r>
          </w:p>
        </w:tc>
        <w:tc>
          <w:tcPr>
            <w:tcW w:w="2755"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开展参与式教学，提升知识、能力、情感态度与价值观等课程目标</w:t>
            </w:r>
          </w:p>
        </w:tc>
      </w:tr>
      <w:tr w:rsidR="009613B4" w:rsidTr="008C3907">
        <w:trPr>
          <w:trHeight w:val="54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4</w:t>
            </w:r>
          </w:p>
        </w:tc>
        <w:tc>
          <w:tcPr>
            <w:tcW w:w="2102" w:type="dxa"/>
            <w:vAlign w:val="center"/>
          </w:tcPr>
          <w:p w:rsidR="009613B4" w:rsidRDefault="009613B4" w:rsidP="008C3907">
            <w:pPr>
              <w:jc w:val="left"/>
              <w:rPr>
                <w:rFonts w:ascii="华文中宋" w:eastAsia="华文中宋" w:hAnsi="华文中宋"/>
                <w:szCs w:val="21"/>
              </w:rPr>
            </w:pPr>
            <w:r>
              <w:rPr>
                <w:rFonts w:ascii="Times New Roman" w:hAnsi="Times New Roman" w:hint="eastAsia"/>
                <w:kern w:val="0"/>
                <w:sz w:val="20"/>
                <w:szCs w:val="20"/>
              </w:rPr>
              <w:t>第六章</w:t>
            </w:r>
            <w:r>
              <w:rPr>
                <w:rFonts w:ascii="Times New Roman" w:hAnsi="Times New Roman" w:hint="eastAsia"/>
                <w:kern w:val="0"/>
                <w:sz w:val="20"/>
                <w:szCs w:val="20"/>
              </w:rPr>
              <w:t xml:space="preserve"> </w:t>
            </w:r>
            <w:r>
              <w:rPr>
                <w:rFonts w:ascii="Times New Roman" w:hAnsi="Times New Roman" w:hint="eastAsia"/>
                <w:kern w:val="0"/>
                <w:sz w:val="20"/>
                <w:szCs w:val="20"/>
              </w:rPr>
              <w:t>室外管道工程施工</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kern w:val="0"/>
                <w:sz w:val="20"/>
                <w:szCs w:val="20"/>
              </w:rPr>
              <w:t>5</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6.1 </w:t>
            </w:r>
            <w:r>
              <w:rPr>
                <w:rFonts w:ascii="Times New Roman" w:hAnsi="Times New Roman" w:hint="eastAsia"/>
                <w:kern w:val="0"/>
                <w:sz w:val="20"/>
                <w:szCs w:val="20"/>
              </w:rPr>
              <w:t>室外给水管道施工</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6.2 </w:t>
            </w:r>
            <w:r>
              <w:rPr>
                <w:rFonts w:ascii="Times New Roman" w:hAnsi="Times New Roman" w:hint="eastAsia"/>
                <w:kern w:val="0"/>
                <w:sz w:val="20"/>
                <w:szCs w:val="20"/>
              </w:rPr>
              <w:t>室外排水管道施工</w:t>
            </w:r>
          </w:p>
          <w:p w:rsidR="009613B4" w:rsidRDefault="009613B4" w:rsidP="008C3907">
            <w:pPr>
              <w:rPr>
                <w:rFonts w:ascii="华文中宋" w:eastAsia="华文中宋" w:hAnsi="华文中宋"/>
                <w:szCs w:val="21"/>
              </w:rPr>
            </w:pPr>
            <w:r>
              <w:rPr>
                <w:rFonts w:ascii="Times New Roman" w:hAnsi="Times New Roman" w:hint="eastAsia"/>
                <w:kern w:val="0"/>
                <w:sz w:val="20"/>
                <w:szCs w:val="20"/>
              </w:rPr>
              <w:t xml:space="preserve">6.3 </w:t>
            </w:r>
            <w:r>
              <w:rPr>
                <w:rFonts w:ascii="Times New Roman" w:hAnsi="Times New Roman" w:hint="eastAsia"/>
                <w:kern w:val="0"/>
                <w:sz w:val="20"/>
                <w:szCs w:val="20"/>
              </w:rPr>
              <w:t>防腐防震保温</w:t>
            </w:r>
          </w:p>
        </w:tc>
        <w:tc>
          <w:tcPr>
            <w:tcW w:w="2755" w:type="dxa"/>
            <w:vAlign w:val="center"/>
          </w:tcPr>
          <w:p w:rsidR="009613B4" w:rsidRDefault="009613B4" w:rsidP="008C3907">
            <w:pPr>
              <w:rPr>
                <w:rFonts w:ascii="华文中宋" w:eastAsia="华文中宋" w:hAnsi="华文中宋"/>
                <w:szCs w:val="21"/>
              </w:rPr>
            </w:pPr>
            <w:r>
              <w:rPr>
                <w:rFonts w:ascii="Times New Roman" w:hAnsi="Times New Roman" w:hint="eastAsia"/>
                <w:kern w:val="0"/>
                <w:sz w:val="20"/>
                <w:szCs w:val="20"/>
              </w:rPr>
              <w:t>开展参与式教学，提升知识、能力、情感态度与价值观等课程目标</w:t>
            </w:r>
          </w:p>
        </w:tc>
      </w:tr>
      <w:tr w:rsidR="009613B4" w:rsidTr="008C3907">
        <w:trPr>
          <w:trHeight w:val="54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5</w:t>
            </w:r>
          </w:p>
        </w:tc>
        <w:tc>
          <w:tcPr>
            <w:tcW w:w="2102"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第七章</w:t>
            </w:r>
            <w:r>
              <w:rPr>
                <w:rFonts w:ascii="Times New Roman" w:hAnsi="Times New Roman" w:hint="eastAsia"/>
                <w:kern w:val="0"/>
                <w:sz w:val="20"/>
                <w:szCs w:val="20"/>
              </w:rPr>
              <w:t xml:space="preserve"> </w:t>
            </w:r>
            <w:r>
              <w:rPr>
                <w:rFonts w:ascii="Times New Roman" w:hAnsi="Times New Roman" w:hint="eastAsia"/>
                <w:kern w:val="0"/>
                <w:sz w:val="20"/>
                <w:szCs w:val="20"/>
              </w:rPr>
              <w:t>管道的特殊施工</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kern w:val="0"/>
                <w:sz w:val="20"/>
                <w:szCs w:val="20"/>
              </w:rPr>
              <w:t>6</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7.1 </w:t>
            </w:r>
            <w:r>
              <w:rPr>
                <w:rFonts w:ascii="Times New Roman" w:hAnsi="Times New Roman" w:hint="eastAsia"/>
                <w:kern w:val="0"/>
                <w:sz w:val="20"/>
                <w:szCs w:val="20"/>
              </w:rPr>
              <w:t>管道不开槽施工</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7.2 </w:t>
            </w:r>
            <w:r>
              <w:rPr>
                <w:rFonts w:ascii="Times New Roman" w:hAnsi="Times New Roman" w:hint="eastAsia"/>
                <w:kern w:val="0"/>
                <w:sz w:val="20"/>
                <w:szCs w:val="20"/>
              </w:rPr>
              <w:t>穿越河流施工</w:t>
            </w:r>
          </w:p>
          <w:p w:rsidR="009613B4" w:rsidRDefault="009613B4" w:rsidP="008C3907">
            <w:pPr>
              <w:rPr>
                <w:rFonts w:ascii="华文中宋" w:eastAsia="华文中宋" w:hAnsi="华文中宋"/>
                <w:szCs w:val="21"/>
              </w:rPr>
            </w:pPr>
            <w:r>
              <w:rPr>
                <w:rFonts w:ascii="Times New Roman" w:hAnsi="Times New Roman" w:hint="eastAsia"/>
                <w:kern w:val="0"/>
                <w:sz w:val="20"/>
                <w:szCs w:val="20"/>
              </w:rPr>
              <w:t xml:space="preserve">7.3 </w:t>
            </w:r>
            <w:r>
              <w:rPr>
                <w:rFonts w:ascii="Times New Roman" w:hAnsi="Times New Roman" w:hint="eastAsia"/>
                <w:kern w:val="0"/>
                <w:sz w:val="20"/>
                <w:szCs w:val="20"/>
              </w:rPr>
              <w:t>地下工程交叉施工</w:t>
            </w:r>
          </w:p>
        </w:tc>
        <w:tc>
          <w:tcPr>
            <w:tcW w:w="2755" w:type="dxa"/>
            <w:vAlign w:val="center"/>
          </w:tcPr>
          <w:p w:rsidR="009613B4" w:rsidRDefault="009613B4" w:rsidP="008C3907">
            <w:pPr>
              <w:rPr>
                <w:rFonts w:ascii="华文中宋" w:eastAsia="华文中宋" w:hAnsi="华文中宋"/>
                <w:szCs w:val="21"/>
              </w:rPr>
            </w:pPr>
            <w:r>
              <w:rPr>
                <w:rFonts w:ascii="Times New Roman" w:hAnsi="Times New Roman" w:hint="eastAsia"/>
                <w:kern w:val="0"/>
                <w:sz w:val="20"/>
                <w:szCs w:val="20"/>
              </w:rPr>
              <w:t>开展参与式教学，提升知识、能力、情感态度与价值观等课程目标</w:t>
            </w:r>
          </w:p>
        </w:tc>
      </w:tr>
      <w:tr w:rsidR="009613B4" w:rsidTr="008C3907">
        <w:trPr>
          <w:trHeight w:val="54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6</w:t>
            </w:r>
          </w:p>
        </w:tc>
        <w:tc>
          <w:tcPr>
            <w:tcW w:w="2102" w:type="dxa"/>
            <w:vAlign w:val="center"/>
          </w:tcPr>
          <w:p w:rsidR="009613B4" w:rsidRDefault="009613B4" w:rsidP="008C3907">
            <w:pPr>
              <w:jc w:val="left"/>
              <w:rPr>
                <w:rFonts w:ascii="Times New Roman" w:hAnsi="Times New Roman"/>
                <w:kern w:val="0"/>
                <w:sz w:val="20"/>
                <w:szCs w:val="20"/>
              </w:rPr>
            </w:pPr>
            <w:r>
              <w:rPr>
                <w:rFonts w:ascii="Times New Roman" w:hAnsi="Times New Roman" w:hint="eastAsia"/>
                <w:kern w:val="0"/>
                <w:sz w:val="20"/>
                <w:szCs w:val="20"/>
              </w:rPr>
              <w:t>第八章</w:t>
            </w:r>
            <w:r>
              <w:rPr>
                <w:rFonts w:ascii="Times New Roman" w:hAnsi="Times New Roman" w:hint="eastAsia"/>
                <w:kern w:val="0"/>
                <w:sz w:val="20"/>
                <w:szCs w:val="20"/>
              </w:rPr>
              <w:t xml:space="preserve"> </w:t>
            </w:r>
            <w:r>
              <w:rPr>
                <w:rFonts w:ascii="Times New Roman" w:hAnsi="Times New Roman" w:hint="eastAsia"/>
                <w:kern w:val="0"/>
                <w:sz w:val="20"/>
                <w:szCs w:val="20"/>
              </w:rPr>
              <w:t>室内管道工程施工</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8.1 </w:t>
            </w:r>
            <w:r>
              <w:rPr>
                <w:rFonts w:ascii="Times New Roman" w:hAnsi="Times New Roman" w:hint="eastAsia"/>
                <w:kern w:val="0"/>
                <w:sz w:val="20"/>
                <w:szCs w:val="20"/>
              </w:rPr>
              <w:t>管材与管道连接</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8.2 </w:t>
            </w:r>
            <w:r>
              <w:rPr>
                <w:rFonts w:ascii="Times New Roman" w:hAnsi="Times New Roman" w:hint="eastAsia"/>
                <w:kern w:val="0"/>
                <w:sz w:val="20"/>
                <w:szCs w:val="20"/>
              </w:rPr>
              <w:t>阀门与仪表安装</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8.3 </w:t>
            </w:r>
            <w:r>
              <w:rPr>
                <w:rFonts w:ascii="Times New Roman" w:hAnsi="Times New Roman" w:hint="eastAsia"/>
                <w:kern w:val="0"/>
                <w:sz w:val="20"/>
                <w:szCs w:val="20"/>
              </w:rPr>
              <w:t>室内给水系统安装</w:t>
            </w:r>
          </w:p>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 xml:space="preserve">8.4 </w:t>
            </w:r>
            <w:r>
              <w:rPr>
                <w:rFonts w:ascii="Times New Roman" w:hAnsi="Times New Roman" w:hint="eastAsia"/>
                <w:kern w:val="0"/>
                <w:sz w:val="20"/>
                <w:szCs w:val="20"/>
              </w:rPr>
              <w:t>室内排水系统安装</w:t>
            </w:r>
          </w:p>
          <w:p w:rsidR="009613B4" w:rsidRDefault="009613B4" w:rsidP="008C3907">
            <w:pPr>
              <w:rPr>
                <w:rFonts w:ascii="华文中宋" w:eastAsia="华文中宋" w:hAnsi="华文中宋"/>
                <w:szCs w:val="21"/>
              </w:rPr>
            </w:pPr>
            <w:r>
              <w:rPr>
                <w:rFonts w:ascii="Times New Roman" w:hAnsi="Times New Roman" w:hint="eastAsia"/>
                <w:kern w:val="0"/>
                <w:sz w:val="20"/>
                <w:szCs w:val="20"/>
              </w:rPr>
              <w:t xml:space="preserve">8.5 </w:t>
            </w:r>
            <w:r>
              <w:rPr>
                <w:rFonts w:ascii="Times New Roman" w:hAnsi="Times New Roman" w:hint="eastAsia"/>
                <w:kern w:val="0"/>
                <w:sz w:val="20"/>
                <w:szCs w:val="20"/>
              </w:rPr>
              <w:t>卫生器具安装</w:t>
            </w:r>
          </w:p>
        </w:tc>
        <w:tc>
          <w:tcPr>
            <w:tcW w:w="2755" w:type="dxa"/>
            <w:vAlign w:val="center"/>
          </w:tcPr>
          <w:p w:rsidR="009613B4" w:rsidRDefault="009613B4" w:rsidP="008C3907">
            <w:pPr>
              <w:rPr>
                <w:rFonts w:ascii="华文中宋" w:eastAsia="华文中宋" w:hAnsi="华文中宋"/>
                <w:szCs w:val="21"/>
              </w:rPr>
            </w:pPr>
            <w:r>
              <w:rPr>
                <w:rFonts w:ascii="Times New Roman" w:hAnsi="Times New Roman" w:hint="eastAsia"/>
                <w:kern w:val="0"/>
                <w:sz w:val="20"/>
                <w:szCs w:val="20"/>
              </w:rPr>
              <w:t>开展讨论式教学，提升知识、能力、情感态度与价值观等课程目标</w:t>
            </w:r>
          </w:p>
        </w:tc>
      </w:tr>
      <w:tr w:rsidR="009613B4" w:rsidTr="008C3907">
        <w:trPr>
          <w:trHeight w:val="548"/>
        </w:trPr>
        <w:tc>
          <w:tcPr>
            <w:tcW w:w="512"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7</w:t>
            </w:r>
          </w:p>
        </w:tc>
        <w:tc>
          <w:tcPr>
            <w:tcW w:w="2102" w:type="dxa"/>
            <w:vAlign w:val="center"/>
          </w:tcPr>
          <w:p w:rsidR="009613B4" w:rsidRDefault="009613B4" w:rsidP="008C3907">
            <w:pPr>
              <w:rPr>
                <w:rFonts w:ascii="Times New Roman" w:hAnsi="Times New Roman"/>
                <w:kern w:val="0"/>
                <w:sz w:val="20"/>
                <w:szCs w:val="20"/>
              </w:rPr>
            </w:pPr>
            <w:r>
              <w:rPr>
                <w:rFonts w:ascii="Times New Roman" w:hAnsi="Times New Roman" w:hint="eastAsia"/>
                <w:kern w:val="0"/>
                <w:sz w:val="20"/>
                <w:szCs w:val="20"/>
              </w:rPr>
              <w:t>第十三章</w:t>
            </w:r>
            <w:r>
              <w:rPr>
                <w:rFonts w:ascii="Times New Roman" w:hAnsi="Times New Roman" w:hint="eastAsia"/>
                <w:kern w:val="0"/>
                <w:sz w:val="20"/>
                <w:szCs w:val="20"/>
              </w:rPr>
              <w:t xml:space="preserve"> </w:t>
            </w:r>
            <w:r>
              <w:rPr>
                <w:rFonts w:ascii="Times New Roman" w:hAnsi="Times New Roman" w:hint="eastAsia"/>
                <w:kern w:val="0"/>
                <w:sz w:val="20"/>
                <w:szCs w:val="20"/>
              </w:rPr>
              <w:t>施工组织设计的编制</w:t>
            </w:r>
          </w:p>
        </w:tc>
        <w:tc>
          <w:tcPr>
            <w:tcW w:w="727" w:type="dxa"/>
            <w:vAlign w:val="center"/>
          </w:tcPr>
          <w:p w:rsidR="009613B4" w:rsidRDefault="009613B4" w:rsidP="008C3907">
            <w:pPr>
              <w:jc w:val="center"/>
              <w:rPr>
                <w:rFonts w:ascii="Times New Roman" w:hAnsi="Times New Roman"/>
                <w:kern w:val="0"/>
                <w:sz w:val="20"/>
                <w:szCs w:val="20"/>
              </w:rPr>
            </w:pPr>
            <w:r>
              <w:rPr>
                <w:rFonts w:ascii="Times New Roman" w:hAnsi="Times New Roman" w:hint="eastAsia"/>
                <w:kern w:val="0"/>
                <w:sz w:val="20"/>
                <w:szCs w:val="20"/>
              </w:rPr>
              <w:t>1</w:t>
            </w:r>
          </w:p>
        </w:tc>
        <w:tc>
          <w:tcPr>
            <w:tcW w:w="3059" w:type="dxa"/>
            <w:vAlign w:val="center"/>
          </w:tcPr>
          <w:p w:rsidR="009613B4" w:rsidRDefault="009613B4" w:rsidP="008C3907">
            <w:pPr>
              <w:rPr>
                <w:rFonts w:ascii="华文中宋" w:eastAsia="华文中宋" w:hAnsi="华文中宋"/>
                <w:szCs w:val="21"/>
              </w:rPr>
            </w:pPr>
            <w:r>
              <w:rPr>
                <w:rFonts w:ascii="Times New Roman" w:hAnsi="Times New Roman" w:hint="eastAsia"/>
                <w:kern w:val="0"/>
                <w:sz w:val="20"/>
                <w:szCs w:val="20"/>
              </w:rPr>
              <w:t>1</w:t>
            </w:r>
            <w:r>
              <w:rPr>
                <w:rFonts w:ascii="Times New Roman" w:hAnsi="Times New Roman"/>
                <w:kern w:val="0"/>
                <w:sz w:val="20"/>
                <w:szCs w:val="20"/>
              </w:rPr>
              <w:t>3.1</w:t>
            </w:r>
            <w:r>
              <w:rPr>
                <w:rFonts w:ascii="Times New Roman" w:hAnsi="Times New Roman" w:hint="eastAsia"/>
                <w:kern w:val="0"/>
                <w:sz w:val="20"/>
                <w:szCs w:val="20"/>
              </w:rPr>
              <w:t>施工组织设计概述</w:t>
            </w:r>
          </w:p>
        </w:tc>
        <w:tc>
          <w:tcPr>
            <w:tcW w:w="2755" w:type="dxa"/>
            <w:vAlign w:val="center"/>
          </w:tcPr>
          <w:p w:rsidR="009613B4" w:rsidRDefault="009613B4" w:rsidP="008C3907">
            <w:pPr>
              <w:rPr>
                <w:rFonts w:ascii="华文中宋" w:eastAsia="华文中宋" w:hAnsi="华文中宋"/>
                <w:szCs w:val="21"/>
              </w:rPr>
            </w:pPr>
            <w:r>
              <w:rPr>
                <w:rFonts w:ascii="Times New Roman" w:hAnsi="Times New Roman" w:hint="eastAsia"/>
                <w:kern w:val="0"/>
                <w:sz w:val="20"/>
                <w:szCs w:val="20"/>
              </w:rPr>
              <w:t>开展案例式教学，提升知识、能力、情感态度与价值观等课程目标</w:t>
            </w:r>
          </w:p>
        </w:tc>
      </w:tr>
    </w:tbl>
    <w:p w:rsidR="009613B4" w:rsidRDefault="009613B4" w:rsidP="009613B4">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9613B4" w:rsidRDefault="009613B4" w:rsidP="009613B4">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lastRenderedPageBreak/>
        <w:t>1. 课程考核</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考核方式为考试</w:t>
      </w:r>
    </w:p>
    <w:p w:rsidR="009613B4" w:rsidRDefault="009613B4"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9613B4" w:rsidRDefault="009613B4" w:rsidP="009613B4">
      <w:pPr>
        <w:adjustRightIn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建立“三位一体”的评价方式，即过程评价，以学生在教学过程的参与程度作为评价的基本标准；目标评价，以课程目标作为评价的重要标准；能力评价，以学生运用本课程知识解决相关理论和实际问题为参照标准。评估方式可以有小论文、读书报告、口述访谈，课堂辩论，案例讨论等形式。</w:t>
      </w:r>
    </w:p>
    <w:p w:rsidR="009613B4" w:rsidRDefault="009613B4" w:rsidP="009613B4">
      <w:pPr>
        <w:adjustRightIn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课程成绩由平时成绩和期终考试两个环节的成绩综合评定产生。各评价环节所占比例及对教学目标的支撑如下表所示。成绩评定方式（百分制）</w:t>
      </w:r>
    </w:p>
    <w:p w:rsidR="009613B4" w:rsidRDefault="009613B4" w:rsidP="009613B4">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课程总成绩=期末成绩70</w:t>
      </w:r>
      <w:r>
        <w:rPr>
          <w:rFonts w:ascii="仿宋_GB2312" w:hAnsi="仿宋_GB2312" w:cs="仿宋_GB2312" w:hint="eastAsia"/>
          <w:bCs/>
          <w:sz w:val="28"/>
          <w:szCs w:val="28"/>
        </w:rPr>
        <w:t>%+平时</w:t>
      </w:r>
      <w:r>
        <w:rPr>
          <w:rFonts w:ascii="仿宋_GB2312" w:hAnsi="仿宋_GB2312" w:cs="仿宋_GB2312"/>
          <w:bCs/>
          <w:sz w:val="28"/>
          <w:szCs w:val="28"/>
        </w:rPr>
        <w:t>成绩30</w:t>
      </w:r>
      <w:r>
        <w:rPr>
          <w:rFonts w:ascii="仿宋_GB2312" w:hAnsi="仿宋_GB2312" w:cs="仿宋_GB2312" w:hint="eastAsia"/>
          <w:bCs/>
          <w:sz w:val="28"/>
          <w:szCs w:val="28"/>
        </w:rPr>
        <w:t>%</w:t>
      </w:r>
      <w:r>
        <w:rPr>
          <w:rFonts w:ascii="仿宋_GB2312" w:hAnsi="仿宋_GB2312" w:cs="仿宋_GB2312"/>
          <w:bCs/>
          <w:sz w:val="28"/>
          <w:szCs w:val="28"/>
        </w:rPr>
        <w:t xml:space="preserve">  </w:t>
      </w:r>
    </w:p>
    <w:p w:rsidR="009613B4" w:rsidRDefault="009613B4" w:rsidP="009613B4">
      <w:pPr>
        <w:adjustRightIn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说明：（1）平时成绩包括：考勤、作业和讨论等环节，其中考勤（15%），作业和讨论等（15%）。</w:t>
      </w:r>
    </w:p>
    <w:p w:rsidR="009613B4" w:rsidRDefault="009613B4" w:rsidP="009613B4">
      <w:pPr>
        <w:adjustRightInd w:val="0"/>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小论文</w:t>
      </w:r>
      <w:r>
        <w:rPr>
          <w:rFonts w:ascii="仿宋_GB2312" w:hAnsi="仿宋_GB2312" w:cs="仿宋_GB2312" w:hint="eastAsia"/>
          <w:bCs/>
          <w:sz w:val="28"/>
          <w:szCs w:val="28"/>
        </w:rPr>
        <w:t>作业</w:t>
      </w:r>
      <w:r>
        <w:rPr>
          <w:rFonts w:ascii="仿宋_GB2312" w:hAnsi="仿宋_GB2312" w:cs="仿宋_GB2312"/>
          <w:bCs/>
          <w:sz w:val="28"/>
          <w:szCs w:val="28"/>
        </w:rPr>
        <w:t>评阅成绩的标准根据相关规定，成绩一般可分为优秀、良好、中、及格、不及格五个等级，评分细则如下：</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513"/>
        <w:gridCol w:w="6451"/>
      </w:tblGrid>
      <w:tr w:rsidR="009613B4" w:rsidTr="008C3907">
        <w:trPr>
          <w:trHeight w:val="473"/>
          <w:jc w:val="center"/>
        </w:trPr>
        <w:tc>
          <w:tcPr>
            <w:tcW w:w="2513" w:type="dxa"/>
            <w:vAlign w:val="center"/>
          </w:tcPr>
          <w:p w:rsidR="009613B4" w:rsidRDefault="009613B4" w:rsidP="008C3907">
            <w:pPr>
              <w:jc w:val="center"/>
              <w:rPr>
                <w:rFonts w:ascii="Times New Roman" w:hAnsi="Times New Roman"/>
                <w:kern w:val="0"/>
                <w:sz w:val="20"/>
                <w:szCs w:val="20"/>
              </w:rPr>
            </w:pPr>
            <w:r>
              <w:rPr>
                <w:rFonts w:ascii="Times New Roman" w:hAnsi="Times New Roman"/>
                <w:kern w:val="0"/>
                <w:sz w:val="20"/>
                <w:szCs w:val="20"/>
              </w:rPr>
              <w:t>等级</w:t>
            </w:r>
          </w:p>
        </w:tc>
        <w:tc>
          <w:tcPr>
            <w:tcW w:w="6451" w:type="dxa"/>
            <w:vAlign w:val="center"/>
          </w:tcPr>
          <w:p w:rsidR="009613B4" w:rsidRDefault="009613B4" w:rsidP="008C3907">
            <w:pPr>
              <w:ind w:firstLine="420"/>
              <w:jc w:val="center"/>
              <w:rPr>
                <w:rFonts w:ascii="Times New Roman" w:hAnsi="Times New Roman"/>
                <w:kern w:val="0"/>
                <w:sz w:val="20"/>
                <w:szCs w:val="20"/>
              </w:rPr>
            </w:pPr>
            <w:r>
              <w:rPr>
                <w:rFonts w:ascii="Times New Roman" w:hAnsi="Times New Roman"/>
                <w:kern w:val="0"/>
                <w:sz w:val="20"/>
                <w:szCs w:val="20"/>
              </w:rPr>
              <w:t>等级描述</w:t>
            </w:r>
          </w:p>
        </w:tc>
      </w:tr>
      <w:tr w:rsidR="009613B4" w:rsidTr="008C3907">
        <w:trPr>
          <w:trHeight w:val="822"/>
          <w:jc w:val="center"/>
        </w:trPr>
        <w:tc>
          <w:tcPr>
            <w:tcW w:w="2513" w:type="dxa"/>
            <w:vAlign w:val="center"/>
          </w:tcPr>
          <w:p w:rsidR="009613B4" w:rsidRDefault="009613B4" w:rsidP="008C3907">
            <w:pPr>
              <w:jc w:val="center"/>
              <w:rPr>
                <w:rFonts w:ascii="Times New Roman" w:hAnsi="Times New Roman"/>
                <w:kern w:val="0"/>
                <w:sz w:val="20"/>
                <w:szCs w:val="20"/>
              </w:rPr>
            </w:pPr>
            <w:r>
              <w:rPr>
                <w:rFonts w:ascii="Times New Roman" w:hAnsi="Times New Roman"/>
                <w:kern w:val="0"/>
                <w:sz w:val="20"/>
                <w:szCs w:val="20"/>
              </w:rPr>
              <w:t>优秀（</w:t>
            </w:r>
            <w:r>
              <w:rPr>
                <w:rFonts w:ascii="Times New Roman" w:hAnsi="Times New Roman"/>
                <w:kern w:val="0"/>
                <w:sz w:val="20"/>
                <w:szCs w:val="20"/>
              </w:rPr>
              <w:t>100</w:t>
            </w:r>
            <w:r>
              <w:rPr>
                <w:rFonts w:ascii="Times New Roman" w:hAnsi="Times New Roman"/>
                <w:kern w:val="0"/>
                <w:sz w:val="20"/>
                <w:szCs w:val="20"/>
              </w:rPr>
              <w:t>分</w:t>
            </w:r>
            <w:r>
              <w:rPr>
                <w:rFonts w:ascii="Times New Roman" w:hAnsi="Times New Roman" w:hint="eastAsia"/>
                <w:kern w:val="0"/>
                <w:sz w:val="20"/>
                <w:szCs w:val="20"/>
              </w:rPr>
              <w:t>~</w:t>
            </w:r>
            <w:r>
              <w:rPr>
                <w:rFonts w:ascii="Times New Roman" w:hAnsi="Times New Roman"/>
                <w:kern w:val="0"/>
                <w:sz w:val="20"/>
                <w:szCs w:val="20"/>
              </w:rPr>
              <w:t>90</w:t>
            </w:r>
            <w:r>
              <w:rPr>
                <w:rFonts w:ascii="Times New Roman" w:hAnsi="Times New Roman"/>
                <w:kern w:val="0"/>
                <w:sz w:val="20"/>
                <w:szCs w:val="20"/>
              </w:rPr>
              <w:t>分）</w:t>
            </w:r>
          </w:p>
        </w:tc>
        <w:tc>
          <w:tcPr>
            <w:tcW w:w="6451" w:type="dxa"/>
            <w:vAlign w:val="center"/>
          </w:tcPr>
          <w:p w:rsidR="009613B4" w:rsidRDefault="009613B4" w:rsidP="008C3907">
            <w:pPr>
              <w:shd w:val="clear" w:color="auto" w:fill="FFFFFF"/>
              <w:rPr>
                <w:rFonts w:ascii="Times New Roman" w:hAnsi="Times New Roman"/>
                <w:kern w:val="0"/>
                <w:sz w:val="20"/>
                <w:szCs w:val="20"/>
              </w:rPr>
            </w:pPr>
            <w:r>
              <w:rPr>
                <w:rFonts w:ascii="Times New Roman" w:hAnsi="Times New Roman"/>
                <w:kern w:val="0"/>
                <w:sz w:val="20"/>
                <w:szCs w:val="20"/>
              </w:rPr>
              <w:t>选题符合要求，有新意，格式符合要求，论据充分，语言流畅，层次分明，内容有创新。</w:t>
            </w:r>
          </w:p>
        </w:tc>
      </w:tr>
      <w:tr w:rsidR="009613B4" w:rsidTr="008C3907">
        <w:trPr>
          <w:trHeight w:val="730"/>
          <w:jc w:val="center"/>
        </w:trPr>
        <w:tc>
          <w:tcPr>
            <w:tcW w:w="2513" w:type="dxa"/>
            <w:vAlign w:val="center"/>
          </w:tcPr>
          <w:p w:rsidR="009613B4" w:rsidRDefault="009613B4" w:rsidP="008C3907">
            <w:pPr>
              <w:jc w:val="center"/>
              <w:rPr>
                <w:rFonts w:ascii="Times New Roman" w:hAnsi="Times New Roman"/>
                <w:kern w:val="0"/>
                <w:sz w:val="20"/>
                <w:szCs w:val="20"/>
              </w:rPr>
            </w:pPr>
            <w:r>
              <w:rPr>
                <w:rFonts w:ascii="Times New Roman" w:hAnsi="Times New Roman"/>
                <w:kern w:val="0"/>
                <w:sz w:val="20"/>
                <w:szCs w:val="20"/>
              </w:rPr>
              <w:t>良好</w:t>
            </w:r>
            <w:r>
              <w:rPr>
                <w:rFonts w:ascii="Times New Roman" w:hAnsi="Times New Roman"/>
                <w:kern w:val="0"/>
                <w:sz w:val="20"/>
                <w:szCs w:val="20"/>
              </w:rPr>
              <w:t xml:space="preserve"> (89</w:t>
            </w:r>
            <w:r>
              <w:rPr>
                <w:rFonts w:ascii="Times New Roman" w:hAnsi="Times New Roman" w:hint="eastAsia"/>
                <w:kern w:val="0"/>
                <w:sz w:val="20"/>
                <w:szCs w:val="20"/>
              </w:rPr>
              <w:t>~</w:t>
            </w:r>
            <w:r>
              <w:rPr>
                <w:rFonts w:ascii="Times New Roman" w:hAnsi="Times New Roman"/>
                <w:kern w:val="0"/>
                <w:sz w:val="20"/>
                <w:szCs w:val="20"/>
              </w:rPr>
              <w:t>80</w:t>
            </w:r>
            <w:r>
              <w:rPr>
                <w:rFonts w:ascii="Times New Roman" w:hAnsi="Times New Roman"/>
                <w:kern w:val="0"/>
                <w:sz w:val="20"/>
                <w:szCs w:val="20"/>
              </w:rPr>
              <w:t>分</w:t>
            </w:r>
            <w:r>
              <w:rPr>
                <w:rFonts w:ascii="Times New Roman" w:hAnsi="Times New Roman"/>
                <w:kern w:val="0"/>
                <w:sz w:val="20"/>
                <w:szCs w:val="20"/>
              </w:rPr>
              <w:t>)</w:t>
            </w:r>
          </w:p>
        </w:tc>
        <w:tc>
          <w:tcPr>
            <w:tcW w:w="6451" w:type="dxa"/>
            <w:vAlign w:val="center"/>
          </w:tcPr>
          <w:p w:rsidR="009613B4" w:rsidRDefault="009613B4" w:rsidP="008C3907">
            <w:pPr>
              <w:shd w:val="clear" w:color="auto" w:fill="FFFFFF"/>
              <w:rPr>
                <w:rFonts w:ascii="Times New Roman" w:hAnsi="Times New Roman"/>
                <w:kern w:val="0"/>
                <w:sz w:val="20"/>
                <w:szCs w:val="20"/>
              </w:rPr>
            </w:pPr>
            <w:r>
              <w:rPr>
                <w:rFonts w:ascii="Times New Roman" w:hAnsi="Times New Roman"/>
                <w:kern w:val="0"/>
                <w:sz w:val="20"/>
                <w:szCs w:val="20"/>
              </w:rPr>
              <w:t>选题符合要求，格式符合要求，论据较充分，语言较流畅，层次较清楚，有一定的思考。</w:t>
            </w:r>
          </w:p>
        </w:tc>
      </w:tr>
      <w:tr w:rsidR="009613B4" w:rsidTr="008C3907">
        <w:trPr>
          <w:trHeight w:val="794"/>
          <w:jc w:val="center"/>
        </w:trPr>
        <w:tc>
          <w:tcPr>
            <w:tcW w:w="2513" w:type="dxa"/>
            <w:vAlign w:val="center"/>
          </w:tcPr>
          <w:p w:rsidR="009613B4" w:rsidRDefault="009613B4" w:rsidP="008C3907">
            <w:pPr>
              <w:jc w:val="center"/>
              <w:rPr>
                <w:rFonts w:ascii="Times New Roman" w:hAnsi="Times New Roman"/>
                <w:kern w:val="0"/>
                <w:sz w:val="20"/>
                <w:szCs w:val="20"/>
              </w:rPr>
            </w:pPr>
            <w:r>
              <w:rPr>
                <w:rFonts w:ascii="Times New Roman" w:hAnsi="Times New Roman"/>
                <w:kern w:val="0"/>
                <w:sz w:val="20"/>
                <w:szCs w:val="20"/>
              </w:rPr>
              <w:t>中等（</w:t>
            </w:r>
            <w:r>
              <w:rPr>
                <w:rFonts w:ascii="Times New Roman" w:hAnsi="Times New Roman"/>
                <w:kern w:val="0"/>
                <w:sz w:val="20"/>
                <w:szCs w:val="20"/>
              </w:rPr>
              <w:t>79</w:t>
            </w:r>
            <w:r>
              <w:rPr>
                <w:rFonts w:ascii="Times New Roman" w:hAnsi="Times New Roman" w:hint="eastAsia"/>
                <w:kern w:val="0"/>
                <w:sz w:val="20"/>
                <w:szCs w:val="20"/>
              </w:rPr>
              <w:t>~</w:t>
            </w:r>
            <w:r>
              <w:rPr>
                <w:rFonts w:ascii="Times New Roman" w:hAnsi="Times New Roman"/>
                <w:kern w:val="0"/>
                <w:sz w:val="20"/>
                <w:szCs w:val="20"/>
              </w:rPr>
              <w:t>70</w:t>
            </w:r>
            <w:r>
              <w:rPr>
                <w:rFonts w:ascii="Times New Roman" w:hAnsi="Times New Roman"/>
                <w:kern w:val="0"/>
                <w:sz w:val="20"/>
                <w:szCs w:val="20"/>
              </w:rPr>
              <w:t>分）</w:t>
            </w:r>
          </w:p>
        </w:tc>
        <w:tc>
          <w:tcPr>
            <w:tcW w:w="6451" w:type="dxa"/>
            <w:vAlign w:val="center"/>
          </w:tcPr>
          <w:p w:rsidR="009613B4" w:rsidRDefault="009613B4" w:rsidP="008C3907">
            <w:pPr>
              <w:shd w:val="clear" w:color="auto" w:fill="FFFFFF"/>
              <w:rPr>
                <w:rFonts w:ascii="Times New Roman" w:hAnsi="Times New Roman"/>
                <w:kern w:val="0"/>
                <w:sz w:val="20"/>
                <w:szCs w:val="20"/>
              </w:rPr>
            </w:pPr>
            <w:r>
              <w:rPr>
                <w:rFonts w:ascii="Times New Roman" w:hAnsi="Times New Roman"/>
                <w:kern w:val="0"/>
                <w:sz w:val="20"/>
                <w:szCs w:val="20"/>
              </w:rPr>
              <w:t>选题符合要求，格式符合要求，论据较充分，语言基本流畅，层次基本清楚。</w:t>
            </w:r>
          </w:p>
        </w:tc>
      </w:tr>
      <w:tr w:rsidR="009613B4" w:rsidTr="008C3907">
        <w:trPr>
          <w:trHeight w:val="702"/>
          <w:jc w:val="center"/>
        </w:trPr>
        <w:tc>
          <w:tcPr>
            <w:tcW w:w="2513" w:type="dxa"/>
            <w:vAlign w:val="center"/>
          </w:tcPr>
          <w:p w:rsidR="009613B4" w:rsidRDefault="009613B4" w:rsidP="008C3907">
            <w:pPr>
              <w:jc w:val="center"/>
              <w:rPr>
                <w:rFonts w:ascii="Times New Roman" w:hAnsi="Times New Roman"/>
                <w:kern w:val="0"/>
                <w:sz w:val="20"/>
                <w:szCs w:val="20"/>
              </w:rPr>
            </w:pPr>
            <w:r>
              <w:rPr>
                <w:rFonts w:ascii="Times New Roman" w:hAnsi="Times New Roman"/>
                <w:kern w:val="0"/>
                <w:sz w:val="20"/>
                <w:szCs w:val="20"/>
              </w:rPr>
              <w:t>及格</w:t>
            </w:r>
            <w:r>
              <w:rPr>
                <w:rFonts w:ascii="Times New Roman" w:hAnsi="Times New Roman"/>
                <w:kern w:val="0"/>
                <w:sz w:val="20"/>
                <w:szCs w:val="20"/>
              </w:rPr>
              <w:t xml:space="preserve"> (69</w:t>
            </w:r>
            <w:r>
              <w:rPr>
                <w:rFonts w:ascii="Times New Roman" w:hAnsi="Times New Roman" w:hint="eastAsia"/>
                <w:kern w:val="0"/>
                <w:sz w:val="20"/>
                <w:szCs w:val="20"/>
              </w:rPr>
              <w:t>~</w:t>
            </w:r>
            <w:r>
              <w:rPr>
                <w:rFonts w:ascii="Times New Roman" w:hAnsi="Times New Roman"/>
                <w:kern w:val="0"/>
                <w:sz w:val="20"/>
                <w:szCs w:val="20"/>
              </w:rPr>
              <w:t>60</w:t>
            </w:r>
            <w:r>
              <w:rPr>
                <w:rFonts w:ascii="Times New Roman" w:hAnsi="Times New Roman"/>
                <w:kern w:val="0"/>
                <w:sz w:val="20"/>
                <w:szCs w:val="20"/>
              </w:rPr>
              <w:t>分</w:t>
            </w:r>
            <w:r>
              <w:rPr>
                <w:rFonts w:ascii="Times New Roman" w:hAnsi="Times New Roman"/>
                <w:kern w:val="0"/>
                <w:sz w:val="20"/>
                <w:szCs w:val="20"/>
              </w:rPr>
              <w:t>)</w:t>
            </w:r>
          </w:p>
        </w:tc>
        <w:tc>
          <w:tcPr>
            <w:tcW w:w="6451"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选题基本符合要求，格式基本符合要求，语言基本流畅，层次基本清楚论述浅显。</w:t>
            </w:r>
          </w:p>
        </w:tc>
      </w:tr>
      <w:tr w:rsidR="009613B4" w:rsidTr="008C3907">
        <w:trPr>
          <w:trHeight w:val="733"/>
          <w:jc w:val="center"/>
        </w:trPr>
        <w:tc>
          <w:tcPr>
            <w:tcW w:w="2513" w:type="dxa"/>
            <w:vAlign w:val="center"/>
          </w:tcPr>
          <w:p w:rsidR="009613B4" w:rsidRDefault="009613B4" w:rsidP="008C3907">
            <w:pPr>
              <w:jc w:val="center"/>
              <w:rPr>
                <w:rFonts w:ascii="Times New Roman" w:hAnsi="Times New Roman"/>
                <w:kern w:val="0"/>
                <w:sz w:val="20"/>
                <w:szCs w:val="20"/>
              </w:rPr>
            </w:pPr>
            <w:r>
              <w:rPr>
                <w:rFonts w:ascii="Times New Roman" w:hAnsi="Times New Roman"/>
                <w:kern w:val="0"/>
                <w:sz w:val="20"/>
                <w:szCs w:val="20"/>
              </w:rPr>
              <w:t>不及格（</w:t>
            </w:r>
            <w:r>
              <w:rPr>
                <w:rFonts w:ascii="Times New Roman" w:hAnsi="Times New Roman"/>
                <w:kern w:val="0"/>
                <w:sz w:val="20"/>
                <w:szCs w:val="20"/>
              </w:rPr>
              <w:t>60</w:t>
            </w:r>
            <w:r>
              <w:rPr>
                <w:rFonts w:ascii="Times New Roman" w:hAnsi="Times New Roman"/>
                <w:kern w:val="0"/>
                <w:sz w:val="20"/>
                <w:szCs w:val="20"/>
              </w:rPr>
              <w:t>以下</w:t>
            </w:r>
            <w:r>
              <w:rPr>
                <w:rFonts w:ascii="Times New Roman" w:hAnsi="Times New Roman"/>
                <w:kern w:val="0"/>
                <w:sz w:val="20"/>
                <w:szCs w:val="20"/>
              </w:rPr>
              <w:t>)</w:t>
            </w:r>
          </w:p>
        </w:tc>
        <w:tc>
          <w:tcPr>
            <w:tcW w:w="6451" w:type="dxa"/>
            <w:vAlign w:val="center"/>
          </w:tcPr>
          <w:p w:rsidR="009613B4" w:rsidRDefault="009613B4" w:rsidP="008C3907">
            <w:pPr>
              <w:rPr>
                <w:rFonts w:ascii="Times New Roman" w:hAnsi="Times New Roman"/>
                <w:kern w:val="0"/>
                <w:sz w:val="20"/>
                <w:szCs w:val="20"/>
              </w:rPr>
            </w:pPr>
            <w:r>
              <w:rPr>
                <w:rFonts w:ascii="Times New Roman" w:hAnsi="Times New Roman"/>
                <w:kern w:val="0"/>
                <w:sz w:val="20"/>
                <w:szCs w:val="20"/>
              </w:rPr>
              <w:t>选题不符合要求，格式不符合要求，观点有明显的偏差，语言不太流畅，层次混乱、较多内容抄袭。</w:t>
            </w:r>
          </w:p>
        </w:tc>
      </w:tr>
    </w:tbl>
    <w:p w:rsidR="009613B4" w:rsidRDefault="009613B4" w:rsidP="009613B4">
      <w:pPr>
        <w:spacing w:line="360" w:lineRule="auto"/>
        <w:ind w:firstLineChars="200" w:firstLine="480"/>
        <w:rPr>
          <w:rStyle w:val="fontstyle11"/>
          <w:rFonts w:eastAsia="宋体"/>
          <w:color w:val="0000FF"/>
        </w:rPr>
      </w:pPr>
    </w:p>
    <w:p w:rsidR="009613B4" w:rsidRDefault="009613B4" w:rsidP="009613B4">
      <w:pPr>
        <w:spacing w:beforeLines="50" w:before="156" w:afterLines="50" w:after="156" w:line="560" w:lineRule="exact"/>
        <w:rPr>
          <w:rFonts w:ascii="黑体" w:eastAsia="黑体" w:hAnsi="黑体"/>
          <w:b/>
          <w:sz w:val="28"/>
          <w:szCs w:val="28"/>
        </w:rPr>
      </w:pPr>
      <w:bookmarkStart w:id="67" w:name="_Hlk68978511"/>
      <w:r>
        <w:rPr>
          <w:rFonts w:ascii="黑体" w:eastAsia="黑体" w:hAnsi="黑体" w:hint="eastAsia"/>
          <w:b/>
          <w:sz w:val="28"/>
          <w:szCs w:val="28"/>
        </w:rPr>
        <w:lastRenderedPageBreak/>
        <w:t>六、课程建议教材及主要参</w:t>
      </w:r>
      <w:bookmarkEnd w:id="67"/>
      <w:r>
        <w:rPr>
          <w:rFonts w:ascii="黑体" w:eastAsia="黑体" w:hAnsi="黑体" w:hint="eastAsia"/>
          <w:b/>
          <w:sz w:val="28"/>
          <w:szCs w:val="28"/>
        </w:rPr>
        <w:t>考资料</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9613B4" w:rsidRDefault="009613B4" w:rsidP="009613B4">
      <w:pPr>
        <w:adjustRightIn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张勤主编，《水工程施工》（第二版）北京，中国建筑工业出版社，20</w:t>
      </w:r>
      <w:r>
        <w:rPr>
          <w:rFonts w:ascii="仿宋_GB2312" w:hAnsi="仿宋_GB2312" w:cs="仿宋_GB2312"/>
          <w:bCs/>
          <w:sz w:val="28"/>
          <w:szCs w:val="28"/>
        </w:rPr>
        <w:t>18</w:t>
      </w:r>
      <w:r>
        <w:rPr>
          <w:rFonts w:ascii="仿宋_GB2312" w:hAnsi="仿宋_GB2312" w:cs="仿宋_GB2312" w:hint="eastAsia"/>
          <w:bCs/>
          <w:sz w:val="28"/>
          <w:szCs w:val="28"/>
        </w:rPr>
        <w:t>年。</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9613B4" w:rsidRDefault="009613B4" w:rsidP="009613B4">
      <w:pPr>
        <w:adjustRightIn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（1）《给水排水构筑物工程施工及验收规范》（GB 50141-2008）；</w:t>
      </w:r>
    </w:p>
    <w:p w:rsidR="009613B4" w:rsidRDefault="009613B4" w:rsidP="009613B4">
      <w:pPr>
        <w:adjustRightIn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（2）《给水排水管道工程施工及验收规范》（GB 50268-2008）；</w:t>
      </w:r>
    </w:p>
    <w:p w:rsidR="009613B4" w:rsidRDefault="009613B4" w:rsidP="009613B4">
      <w:pPr>
        <w:adjustRightIn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（3）《建筑给水排水及采暖工程施工质量验收规范》（GB 50242-2002）。</w:t>
      </w:r>
    </w:p>
    <w:p w:rsidR="009613B4" w:rsidRDefault="009613B4" w:rsidP="009613B4">
      <w:pPr>
        <w:spacing w:beforeLines="50" w:before="156" w:afterLines="50" w:after="156" w:line="460" w:lineRule="exact"/>
        <w:rPr>
          <w:rFonts w:ascii="黑体" w:eastAsia="黑体" w:hAnsi="黑体"/>
          <w:b/>
          <w:sz w:val="28"/>
          <w:szCs w:val="28"/>
        </w:rPr>
      </w:pPr>
      <w:r>
        <w:rPr>
          <w:rFonts w:ascii="黑体" w:eastAsia="黑体" w:hAnsi="黑体" w:hint="eastAsia"/>
          <w:b/>
          <w:sz w:val="28"/>
          <w:szCs w:val="28"/>
        </w:rPr>
        <w:t>七、其他</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1、大纲内章节的顺序和内容的安排仅供参考，教师可根据情况作适当的调整变动。</w:t>
      </w:r>
    </w:p>
    <w:p w:rsidR="009613B4" w:rsidRDefault="009613B4" w:rsidP="009613B4">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2、抓好完善实践环节，重视学生实践能力的培养。</w:t>
      </w:r>
    </w:p>
    <w:p w:rsidR="009613B4" w:rsidRDefault="009613B4" w:rsidP="009613B4">
      <w:pPr>
        <w:spacing w:beforeLines="50" w:before="156" w:afterLines="50" w:after="156" w:line="560" w:lineRule="exact"/>
        <w:ind w:firstLineChars="1547" w:firstLine="4332"/>
        <w:rPr>
          <w:rFonts w:ascii="仿宋_GB2312" w:hAnsi="仿宋_GB2312" w:cs="仿宋_GB2312"/>
          <w:sz w:val="28"/>
          <w:szCs w:val="28"/>
        </w:rPr>
      </w:pPr>
      <w:r>
        <w:rPr>
          <w:rFonts w:ascii="仿宋_GB2312" w:hAnsi="仿宋_GB2312" w:cs="仿宋_GB2312" w:hint="eastAsia"/>
          <w:sz w:val="28"/>
          <w:szCs w:val="28"/>
        </w:rPr>
        <w:t>大纲撰写人：赵庆</w:t>
      </w:r>
    </w:p>
    <w:p w:rsidR="009613B4" w:rsidRDefault="009613B4" w:rsidP="009613B4">
      <w:pPr>
        <w:spacing w:beforeLines="50" w:before="156" w:afterLines="50" w:after="156" w:line="560" w:lineRule="exact"/>
        <w:ind w:firstLineChars="1547" w:firstLine="4332"/>
        <w:rPr>
          <w:rFonts w:ascii="仿宋_GB2312" w:hAnsi="仿宋_GB2312" w:cs="仿宋_GB2312"/>
          <w:sz w:val="28"/>
          <w:szCs w:val="28"/>
        </w:rPr>
      </w:pPr>
      <w:r>
        <w:rPr>
          <w:rFonts w:ascii="仿宋_GB2312" w:hAnsi="仿宋_GB2312" w:cs="仿宋_GB2312" w:hint="eastAsia"/>
          <w:sz w:val="28"/>
          <w:szCs w:val="28"/>
        </w:rPr>
        <w:t>课程负责人：赵庆</w:t>
      </w:r>
    </w:p>
    <w:p w:rsidR="009613B4" w:rsidRDefault="009613B4" w:rsidP="009613B4">
      <w:pPr>
        <w:spacing w:beforeLines="50" w:before="156" w:afterLines="50" w:after="156" w:line="560" w:lineRule="exact"/>
        <w:ind w:firstLineChars="1547" w:firstLine="4332"/>
        <w:rPr>
          <w:rFonts w:ascii="仿宋_GB2312" w:hAnsi="仿宋_GB2312" w:cs="仿宋_GB2312"/>
          <w:sz w:val="28"/>
          <w:szCs w:val="28"/>
        </w:rPr>
      </w:pPr>
      <w:r>
        <w:rPr>
          <w:rFonts w:ascii="仿宋_GB2312" w:hAnsi="仿宋_GB2312" w:cs="仿宋_GB2312" w:hint="eastAsia"/>
          <w:sz w:val="28"/>
          <w:szCs w:val="28"/>
        </w:rPr>
        <w:t>审核人：</w:t>
      </w:r>
    </w:p>
    <w:p w:rsidR="009613B4" w:rsidRDefault="009613B4" w:rsidP="009613B4">
      <w:pPr>
        <w:jc w:val="center"/>
        <w:rPr>
          <w:rFonts w:ascii="仿宋" w:hAnsi="仿宋"/>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9613B4" w:rsidRDefault="009613B4" w:rsidP="009613B4">
      <w:pPr>
        <w:widowControl/>
        <w:spacing w:line="400" w:lineRule="exact"/>
        <w:rPr>
          <w:rFonts w:ascii="黑体" w:eastAsia="黑体" w:hAnsi="黑体" w:cs="宋体"/>
          <w:bCs/>
          <w:kern w:val="0"/>
          <w:szCs w:val="32"/>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 年</w:t>
      </w:r>
    </w:p>
    <w:p w:rsidR="009613B4" w:rsidRDefault="009613B4" w:rsidP="009613B4">
      <w:pPr>
        <w:widowControl/>
        <w:spacing w:line="400" w:lineRule="exact"/>
        <w:rPr>
          <w:rFonts w:ascii="黑体" w:eastAsia="黑体" w:hAnsi="黑体" w:cs="宋体"/>
          <w:bCs/>
          <w:kern w:val="0"/>
          <w:szCs w:val="32"/>
        </w:rPr>
      </w:pPr>
    </w:p>
    <w:p w:rsidR="009613B4" w:rsidRDefault="009613B4" w:rsidP="009613B4">
      <w:pPr>
        <w:widowControl/>
        <w:spacing w:line="400" w:lineRule="exact"/>
        <w:rPr>
          <w:rFonts w:ascii="黑体" w:eastAsia="黑体" w:hAnsi="黑体" w:cs="宋体"/>
          <w:bCs/>
          <w:kern w:val="0"/>
          <w:szCs w:val="32"/>
        </w:rPr>
      </w:pPr>
    </w:p>
    <w:p w:rsidR="009613B4" w:rsidRDefault="009613B4" w:rsidP="009613B4">
      <w:pPr>
        <w:widowControl/>
        <w:spacing w:line="400" w:lineRule="exact"/>
        <w:rPr>
          <w:rFonts w:ascii="黑体" w:eastAsia="黑体" w:hAnsi="黑体" w:cs="宋体"/>
          <w:bCs/>
          <w:kern w:val="0"/>
          <w:szCs w:val="32"/>
        </w:rPr>
      </w:pPr>
    </w:p>
    <w:p w:rsidR="005708AF" w:rsidRDefault="005708AF" w:rsidP="009613B4">
      <w:pPr>
        <w:widowControl/>
        <w:spacing w:line="400" w:lineRule="exact"/>
        <w:rPr>
          <w:rFonts w:ascii="黑体" w:eastAsia="黑体" w:hAnsi="黑体" w:cs="宋体"/>
          <w:bCs/>
          <w:kern w:val="0"/>
          <w:szCs w:val="32"/>
        </w:rPr>
      </w:pPr>
    </w:p>
    <w:p w:rsidR="005708AF" w:rsidRDefault="005708AF" w:rsidP="009613B4">
      <w:pPr>
        <w:widowControl/>
        <w:spacing w:line="400" w:lineRule="exact"/>
        <w:rPr>
          <w:rFonts w:ascii="黑体" w:eastAsia="黑体" w:hAnsi="黑体" w:cs="宋体" w:hint="eastAsia"/>
          <w:bCs/>
          <w:kern w:val="0"/>
          <w:szCs w:val="32"/>
        </w:rPr>
      </w:pPr>
    </w:p>
    <w:p w:rsidR="00450ABE" w:rsidRDefault="00450ABE" w:rsidP="00450ABE">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《给排水科学与工程前沿》课程教学大纲</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Water Supply and Drainage Science and Engineering Frontiers</w:t>
      </w:r>
    </w:p>
    <w:p w:rsidR="00450ABE" w:rsidRDefault="00450ABE" w:rsidP="00450ABE">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课程编码：Z2806</w:t>
      </w:r>
      <w:r>
        <w:rPr>
          <w:rFonts w:ascii="仿宋_GB2312" w:hAnsi="仿宋_GB2312" w:cs="仿宋_GB2312"/>
          <w:bCs/>
          <w:sz w:val="28"/>
          <w:szCs w:val="28"/>
        </w:rPr>
        <w:t>410</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授课语言：汉语、英语</w:t>
      </w:r>
    </w:p>
    <w:p w:rsidR="00450ABE" w:rsidRDefault="00450ABE" w:rsidP="00450ABE">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 xml:space="preserve"> 授课方式：线下</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分：1.0</w:t>
      </w:r>
    </w:p>
    <w:p w:rsidR="00450ABE" w:rsidRDefault="00450ABE" w:rsidP="00450ABE">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 xml:space="preserve"> 学    时：24学时（授课24学时）</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适用对象：给排水科学与工程专业、给排水科学与工程卓越工程师专业</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先修课程：大学英语</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450ABE" w:rsidRDefault="00450ABE" w:rsidP="00450ABE">
      <w:pPr>
        <w:snapToGrid w:val="0"/>
        <w:spacing w:line="560" w:lineRule="exact"/>
        <w:rPr>
          <w:rFonts w:ascii="仿宋_GB2312" w:hAnsi="仿宋_GB2312" w:cs="仿宋_GB2312"/>
          <w:bCs/>
          <w:sz w:val="28"/>
          <w:szCs w:val="28"/>
        </w:rPr>
      </w:pPr>
      <w:r>
        <w:rPr>
          <w:rFonts w:ascii="仿宋_GB2312" w:hAnsi="仿宋_GB2312" w:cs="仿宋_GB2312" w:hint="eastAsia"/>
          <w:bCs/>
          <w:sz w:val="28"/>
          <w:szCs w:val="28"/>
        </w:rPr>
        <w:t xml:space="preserve">  </w:t>
      </w:r>
      <w:r>
        <w:rPr>
          <w:rFonts w:ascii="仿宋_GB2312" w:hAnsi="仿宋_GB2312" w:cs="仿宋_GB2312"/>
          <w:bCs/>
          <w:sz w:val="28"/>
          <w:szCs w:val="28"/>
        </w:rPr>
        <w:t>《</w:t>
      </w:r>
      <w:r>
        <w:rPr>
          <w:rFonts w:ascii="仿宋_GB2312" w:hAnsi="仿宋_GB2312" w:cs="仿宋_GB2312" w:hint="eastAsia"/>
          <w:bCs/>
          <w:sz w:val="28"/>
          <w:szCs w:val="28"/>
        </w:rPr>
        <w:t>给排水科学与工程前沿</w:t>
      </w:r>
      <w:r>
        <w:rPr>
          <w:rFonts w:ascii="仿宋_GB2312" w:hAnsi="仿宋_GB2312" w:cs="仿宋_GB2312"/>
          <w:bCs/>
          <w:sz w:val="28"/>
          <w:szCs w:val="28"/>
        </w:rPr>
        <w:t>》是给排水科学与工程专业</w:t>
      </w:r>
      <w:r>
        <w:rPr>
          <w:rFonts w:ascii="仿宋_GB2312" w:hAnsi="仿宋_GB2312" w:cs="仿宋_GB2312" w:hint="eastAsia"/>
          <w:bCs/>
          <w:sz w:val="28"/>
          <w:szCs w:val="28"/>
        </w:rPr>
        <w:t>、</w:t>
      </w:r>
      <w:r>
        <w:rPr>
          <w:rFonts w:ascii="仿宋_GB2312" w:hAnsi="仿宋_GB2312" w:cs="仿宋_GB2312"/>
          <w:bCs/>
          <w:sz w:val="28"/>
          <w:szCs w:val="28"/>
        </w:rPr>
        <w:t>给排水科学与工程卓越工程师专业学生的学科专业发展选修课。通过课程教学，学生</w:t>
      </w:r>
      <w:r>
        <w:rPr>
          <w:rFonts w:ascii="仿宋_GB2312" w:hAnsi="仿宋_GB2312" w:cs="仿宋_GB2312" w:hint="eastAsia"/>
          <w:bCs/>
          <w:sz w:val="28"/>
          <w:szCs w:val="28"/>
        </w:rPr>
        <w:t>在两</w:t>
      </w:r>
      <w:r>
        <w:rPr>
          <w:rFonts w:ascii="仿宋_GB2312" w:hAnsi="仿宋_GB2312" w:cs="仿宋_GB2312"/>
          <w:bCs/>
          <w:sz w:val="28"/>
          <w:szCs w:val="28"/>
        </w:rPr>
        <w:t>年</w:t>
      </w:r>
      <w:r>
        <w:rPr>
          <w:rFonts w:ascii="仿宋_GB2312" w:hAnsi="仿宋_GB2312" w:cs="仿宋_GB2312" w:hint="eastAsia"/>
          <w:bCs/>
          <w:sz w:val="28"/>
          <w:szCs w:val="28"/>
        </w:rPr>
        <w:t>大学</w:t>
      </w:r>
      <w:r>
        <w:rPr>
          <w:rFonts w:ascii="仿宋_GB2312" w:hAnsi="仿宋_GB2312" w:cs="仿宋_GB2312"/>
          <w:bCs/>
          <w:sz w:val="28"/>
          <w:szCs w:val="28"/>
        </w:rPr>
        <w:t>外语</w:t>
      </w:r>
      <w:r>
        <w:rPr>
          <w:rFonts w:ascii="仿宋_GB2312" w:hAnsi="仿宋_GB2312" w:cs="仿宋_GB2312" w:hint="eastAsia"/>
          <w:bCs/>
          <w:sz w:val="28"/>
          <w:szCs w:val="28"/>
        </w:rPr>
        <w:t>及专业知识</w:t>
      </w:r>
      <w:r>
        <w:rPr>
          <w:rFonts w:ascii="仿宋_GB2312" w:hAnsi="仿宋_GB2312" w:cs="仿宋_GB2312"/>
          <w:bCs/>
          <w:sz w:val="28"/>
          <w:szCs w:val="28"/>
        </w:rPr>
        <w:t>学习基础上，</w:t>
      </w:r>
      <w:r>
        <w:rPr>
          <w:rFonts w:ascii="仿宋_GB2312" w:hAnsi="仿宋_GB2312" w:cs="仿宋_GB2312" w:hint="eastAsia"/>
          <w:bCs/>
          <w:sz w:val="28"/>
          <w:szCs w:val="28"/>
        </w:rPr>
        <w:t>了解给排水科学与工程专业在基础理论研究及工程技术发展方面国内外发展趋势及前沿热点问题；同时，通过外文相关资料的学习，</w:t>
      </w:r>
      <w:r>
        <w:rPr>
          <w:rFonts w:ascii="仿宋_GB2312" w:hAnsi="仿宋_GB2312" w:cs="仿宋_GB2312"/>
          <w:bCs/>
          <w:sz w:val="28"/>
          <w:szCs w:val="28"/>
        </w:rPr>
        <w:t>进一步提高阅读专业英语书籍和科技资料</w:t>
      </w:r>
      <w:r>
        <w:rPr>
          <w:rFonts w:ascii="仿宋_GB2312" w:hAnsi="仿宋_GB2312" w:cs="仿宋_GB2312" w:hint="eastAsia"/>
          <w:bCs/>
          <w:sz w:val="28"/>
          <w:szCs w:val="28"/>
        </w:rPr>
        <w:t>的技能</w:t>
      </w:r>
      <w:r>
        <w:rPr>
          <w:rFonts w:ascii="仿宋_GB2312" w:hAnsi="仿宋_GB2312" w:cs="仿宋_GB2312"/>
          <w:bCs/>
          <w:sz w:val="28"/>
          <w:szCs w:val="28"/>
        </w:rPr>
        <w:t>，并能以英语为工具，获取专业所需要的信息和具有一定的专业文章写作能力，形成</w:t>
      </w:r>
      <w:r>
        <w:rPr>
          <w:rFonts w:ascii="仿宋_GB2312" w:hAnsi="仿宋_GB2312" w:cs="仿宋_GB2312" w:hint="eastAsia"/>
          <w:bCs/>
          <w:sz w:val="28"/>
          <w:szCs w:val="28"/>
        </w:rPr>
        <w:t>具有较高</w:t>
      </w:r>
      <w:r>
        <w:rPr>
          <w:rFonts w:ascii="仿宋_GB2312" w:hAnsi="仿宋_GB2312" w:cs="仿宋_GB2312"/>
          <w:bCs/>
          <w:sz w:val="28"/>
          <w:szCs w:val="28"/>
        </w:rPr>
        <w:t>英语能力</w:t>
      </w:r>
      <w:r>
        <w:rPr>
          <w:rFonts w:ascii="仿宋_GB2312" w:hAnsi="仿宋_GB2312" w:cs="仿宋_GB2312" w:hint="eastAsia"/>
          <w:bCs/>
          <w:sz w:val="28"/>
          <w:szCs w:val="28"/>
        </w:rPr>
        <w:t>的国际化给</w:t>
      </w:r>
      <w:r>
        <w:rPr>
          <w:rFonts w:ascii="仿宋_GB2312" w:hAnsi="仿宋_GB2312" w:cs="仿宋_GB2312" w:hint="eastAsia"/>
          <w:bCs/>
          <w:sz w:val="28"/>
          <w:szCs w:val="28"/>
        </w:rPr>
        <w:lastRenderedPageBreak/>
        <w:t>排水专业人才</w:t>
      </w:r>
      <w:r>
        <w:rPr>
          <w:rFonts w:ascii="仿宋_GB2312" w:hAnsi="仿宋_GB2312" w:cs="仿宋_GB2312"/>
          <w:bCs/>
          <w:sz w:val="28"/>
          <w:szCs w:val="28"/>
        </w:rPr>
        <w:t>。</w:t>
      </w:r>
    </w:p>
    <w:p w:rsidR="00450ABE" w:rsidRDefault="00450ABE" w:rsidP="00450ABE">
      <w:pPr>
        <w:snapToGrid w:val="0"/>
        <w:spacing w:line="560" w:lineRule="exact"/>
        <w:rPr>
          <w:rFonts w:ascii="仿宋_GB2312" w:hAnsi="仿宋_GB2312" w:cs="仿宋_GB2312"/>
          <w:bCs/>
          <w:sz w:val="28"/>
          <w:szCs w:val="28"/>
        </w:rPr>
      </w:pPr>
      <w:r>
        <w:rPr>
          <w:rFonts w:ascii="仿宋_GB2312" w:hAnsi="仿宋_GB2312" w:cs="仿宋_GB2312" w:hint="eastAsia"/>
          <w:bCs/>
          <w:sz w:val="28"/>
          <w:szCs w:val="28"/>
        </w:rPr>
        <w:t xml:space="preserve">   </w:t>
      </w:r>
      <w:r>
        <w:rPr>
          <w:rFonts w:ascii="仿宋_GB2312" w:hAnsi="仿宋_GB2312" w:cs="仿宋_GB2312"/>
          <w:bCs/>
          <w:sz w:val="28"/>
          <w:szCs w:val="28"/>
        </w:rPr>
        <w:t>课程的学习以PPT讲解和专业英文资料阅读为主，强化专业英语意识，理解、掌握国际上给排水专业发展趋势及热点问题。</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450ABE" w:rsidRDefault="00450ABE" w:rsidP="00450ABE">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本课程的主要任务是通过外文资料的学习，使学生了解、掌握给排水科学与工程专业在基础理论研究及工程技术发展方面国内外发展趋势及前沿问题，同时提高专业外语阅读理解能力，为后期科研深造及国际化人才培养打下良好的基础。</w:t>
      </w:r>
    </w:p>
    <w:p w:rsidR="00450ABE" w:rsidRDefault="00450ABE"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450ABE" w:rsidRDefault="00450ABE" w:rsidP="00450ABE">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知识目标：通过学习本门课程学习，</w:t>
      </w:r>
      <w:r>
        <w:rPr>
          <w:rFonts w:ascii="仿宋_GB2312" w:hAnsi="仿宋_GB2312" w:cs="仿宋_GB2312"/>
          <w:bCs/>
          <w:sz w:val="28"/>
          <w:szCs w:val="28"/>
        </w:rPr>
        <w:t>使学生</w:t>
      </w:r>
      <w:r>
        <w:rPr>
          <w:rFonts w:ascii="仿宋_GB2312" w:hAnsi="仿宋_GB2312" w:cs="仿宋_GB2312" w:hint="eastAsia"/>
          <w:bCs/>
          <w:sz w:val="28"/>
          <w:szCs w:val="28"/>
        </w:rPr>
        <w:t>了解</w:t>
      </w:r>
      <w:r>
        <w:rPr>
          <w:rFonts w:ascii="仿宋_GB2312" w:hAnsi="仿宋_GB2312" w:cs="仿宋_GB2312"/>
          <w:bCs/>
          <w:sz w:val="28"/>
          <w:szCs w:val="28"/>
        </w:rPr>
        <w:t>给水排水工程的发展沿革以及给水和废水处理方法</w:t>
      </w:r>
      <w:r>
        <w:rPr>
          <w:rFonts w:ascii="仿宋_GB2312" w:hAnsi="仿宋_GB2312" w:cs="仿宋_GB2312" w:hint="eastAsia"/>
          <w:bCs/>
          <w:sz w:val="28"/>
          <w:szCs w:val="28"/>
        </w:rPr>
        <w:t>；</w:t>
      </w:r>
      <w:r>
        <w:rPr>
          <w:rFonts w:ascii="仿宋_GB2312" w:hAnsi="仿宋_GB2312" w:cs="仿宋_GB2312"/>
          <w:bCs/>
          <w:sz w:val="28"/>
          <w:szCs w:val="28"/>
        </w:rPr>
        <w:t>掌握给水处理中的混凝</w:t>
      </w:r>
      <w:r>
        <w:rPr>
          <w:rFonts w:ascii="仿宋_GB2312" w:hAnsi="仿宋_GB2312" w:cs="仿宋_GB2312" w:hint="eastAsia"/>
          <w:bCs/>
          <w:sz w:val="28"/>
          <w:szCs w:val="28"/>
        </w:rPr>
        <w:t>、</w:t>
      </w:r>
      <w:r>
        <w:rPr>
          <w:rFonts w:ascii="仿宋_GB2312" w:hAnsi="仿宋_GB2312" w:cs="仿宋_GB2312"/>
          <w:bCs/>
          <w:sz w:val="28"/>
          <w:szCs w:val="28"/>
        </w:rPr>
        <w:t>沉淀</w:t>
      </w:r>
      <w:r>
        <w:rPr>
          <w:rFonts w:ascii="仿宋_GB2312" w:hAnsi="仿宋_GB2312" w:cs="仿宋_GB2312" w:hint="eastAsia"/>
          <w:bCs/>
          <w:sz w:val="28"/>
          <w:szCs w:val="28"/>
        </w:rPr>
        <w:t>、</w:t>
      </w:r>
      <w:r>
        <w:rPr>
          <w:rFonts w:ascii="仿宋_GB2312" w:hAnsi="仿宋_GB2312" w:cs="仿宋_GB2312"/>
          <w:bCs/>
          <w:sz w:val="28"/>
          <w:szCs w:val="28"/>
        </w:rPr>
        <w:t>过滤等常规技术</w:t>
      </w:r>
      <w:r>
        <w:rPr>
          <w:rFonts w:ascii="仿宋_GB2312" w:hAnsi="仿宋_GB2312" w:cs="仿宋_GB2312" w:hint="eastAsia"/>
          <w:bCs/>
          <w:sz w:val="28"/>
          <w:szCs w:val="28"/>
        </w:rPr>
        <w:t>，</w:t>
      </w:r>
      <w:r>
        <w:rPr>
          <w:rFonts w:ascii="仿宋_GB2312" w:hAnsi="仿宋_GB2312" w:cs="仿宋_GB2312"/>
          <w:bCs/>
          <w:sz w:val="28"/>
          <w:szCs w:val="28"/>
        </w:rPr>
        <w:t>以及活性炭吸附</w:t>
      </w:r>
      <w:r>
        <w:rPr>
          <w:rFonts w:ascii="仿宋_GB2312" w:hAnsi="仿宋_GB2312" w:cs="仿宋_GB2312" w:hint="eastAsia"/>
          <w:bCs/>
          <w:sz w:val="28"/>
          <w:szCs w:val="28"/>
        </w:rPr>
        <w:t>、</w:t>
      </w:r>
      <w:r>
        <w:rPr>
          <w:rFonts w:ascii="仿宋_GB2312" w:hAnsi="仿宋_GB2312" w:cs="仿宋_GB2312"/>
          <w:bCs/>
          <w:sz w:val="28"/>
          <w:szCs w:val="28"/>
        </w:rPr>
        <w:t>软化等特殊处理技术</w:t>
      </w:r>
      <w:r>
        <w:rPr>
          <w:rFonts w:ascii="仿宋_GB2312" w:hAnsi="仿宋_GB2312" w:cs="仿宋_GB2312" w:hint="eastAsia"/>
          <w:bCs/>
          <w:sz w:val="28"/>
          <w:szCs w:val="28"/>
        </w:rPr>
        <w:t>，</w:t>
      </w:r>
      <w:r>
        <w:rPr>
          <w:rFonts w:ascii="仿宋_GB2312" w:hAnsi="仿宋_GB2312" w:cs="仿宋_GB2312"/>
          <w:bCs/>
          <w:sz w:val="28"/>
          <w:szCs w:val="28"/>
        </w:rPr>
        <w:t>废水处理中常用的活性污泥</w:t>
      </w:r>
      <w:r>
        <w:rPr>
          <w:rFonts w:ascii="仿宋_GB2312" w:hAnsi="仿宋_GB2312" w:cs="仿宋_GB2312" w:hint="eastAsia"/>
          <w:bCs/>
          <w:sz w:val="28"/>
          <w:szCs w:val="28"/>
        </w:rPr>
        <w:t>、</w:t>
      </w:r>
      <w:r>
        <w:rPr>
          <w:rFonts w:ascii="仿宋_GB2312" w:hAnsi="仿宋_GB2312" w:cs="仿宋_GB2312"/>
          <w:bCs/>
          <w:sz w:val="28"/>
          <w:szCs w:val="28"/>
        </w:rPr>
        <w:t>厌氧生物处理及三级处理技术</w:t>
      </w:r>
      <w:r>
        <w:rPr>
          <w:rFonts w:ascii="仿宋_GB2312" w:hAnsi="仿宋_GB2312" w:cs="仿宋_GB2312" w:hint="eastAsia"/>
          <w:bCs/>
          <w:sz w:val="28"/>
          <w:szCs w:val="28"/>
        </w:rPr>
        <w:t>；</w:t>
      </w:r>
      <w:r>
        <w:rPr>
          <w:rFonts w:ascii="仿宋_GB2312" w:hAnsi="仿宋_GB2312" w:cs="仿宋_GB2312"/>
          <w:bCs/>
          <w:sz w:val="28"/>
          <w:szCs w:val="28"/>
        </w:rPr>
        <w:t>了解相关领域国内外发展趋势及前沿问题</w:t>
      </w:r>
      <w:r>
        <w:rPr>
          <w:rFonts w:ascii="仿宋_GB2312" w:hAnsi="仿宋_GB2312" w:cs="仿宋_GB2312" w:hint="eastAsia"/>
          <w:bCs/>
          <w:sz w:val="28"/>
          <w:szCs w:val="28"/>
        </w:rPr>
        <w:t>；</w:t>
      </w:r>
      <w:r>
        <w:rPr>
          <w:rFonts w:ascii="仿宋_GB2312" w:hAnsi="仿宋_GB2312" w:cs="仿宋_GB2312"/>
          <w:bCs/>
          <w:sz w:val="28"/>
          <w:szCs w:val="28"/>
        </w:rPr>
        <w:t>掌握相关专业词汇及英文表达方式</w:t>
      </w:r>
      <w:r>
        <w:rPr>
          <w:rFonts w:ascii="仿宋_GB2312" w:hAnsi="仿宋_GB2312" w:cs="仿宋_GB2312" w:hint="eastAsia"/>
          <w:bCs/>
          <w:sz w:val="28"/>
          <w:szCs w:val="28"/>
        </w:rPr>
        <w:t>；了解科学研究基本思维与方法。</w:t>
      </w:r>
    </w:p>
    <w:p w:rsidR="00450ABE" w:rsidRDefault="00450ABE" w:rsidP="00450ABE">
      <w:pPr>
        <w:spacing w:line="560" w:lineRule="exact"/>
        <w:ind w:firstLine="329"/>
        <w:rPr>
          <w:rFonts w:ascii="仿宋_GB2312" w:hAnsi="仿宋_GB2312" w:cs="仿宋_GB2312"/>
          <w:bCs/>
          <w:sz w:val="28"/>
          <w:szCs w:val="28"/>
        </w:rPr>
      </w:pPr>
      <w:r>
        <w:rPr>
          <w:rFonts w:ascii="仿宋_GB2312" w:hAnsi="仿宋_GB2312" w:cs="仿宋_GB2312" w:hint="eastAsia"/>
          <w:sz w:val="28"/>
          <w:szCs w:val="28"/>
        </w:rPr>
        <w:t>能力目标：能够掌握给水排水工程中相关基础理论及处理技术</w:t>
      </w:r>
      <w:r>
        <w:rPr>
          <w:rFonts w:ascii="仿宋_GB2312" w:hAnsi="仿宋_GB2312" w:cs="仿宋_GB2312" w:hint="eastAsia"/>
          <w:bCs/>
          <w:sz w:val="28"/>
          <w:szCs w:val="28"/>
        </w:rPr>
        <w:t>；能够了解不同领域的研究现状及发展趋势；</w:t>
      </w:r>
      <w:r>
        <w:rPr>
          <w:rFonts w:ascii="仿宋_GB2312" w:hAnsi="仿宋_GB2312" w:cs="仿宋_GB2312"/>
          <w:bCs/>
          <w:sz w:val="28"/>
          <w:szCs w:val="28"/>
        </w:rPr>
        <w:t>英语能力得到强化与提升</w:t>
      </w:r>
      <w:r>
        <w:rPr>
          <w:rFonts w:ascii="仿宋_GB2312" w:hAnsi="仿宋_GB2312" w:cs="仿宋_GB2312" w:hint="eastAsia"/>
          <w:bCs/>
          <w:sz w:val="28"/>
          <w:szCs w:val="28"/>
        </w:rPr>
        <w:t>，提高了专业文献阅读、写作能力，开阔了国际视野。</w:t>
      </w:r>
    </w:p>
    <w:p w:rsidR="00450ABE" w:rsidRDefault="00450ABE" w:rsidP="00450ABE">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情感态度与价值观目标：专业素养进一步巩固和提升，提高专业自信和职业责任感，明确国内外形势，激发爱国热情。</w:t>
      </w:r>
    </w:p>
    <w:p w:rsidR="00450ABE" w:rsidRDefault="00450ABE" w:rsidP="00450ABE">
      <w:pPr>
        <w:spacing w:before="120" w:after="600" w:line="560" w:lineRule="exact"/>
        <w:ind w:firstLine="329"/>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495"/>
        <w:gridCol w:w="493"/>
        <w:gridCol w:w="498"/>
        <w:gridCol w:w="498"/>
        <w:gridCol w:w="487"/>
        <w:gridCol w:w="487"/>
        <w:gridCol w:w="498"/>
        <w:gridCol w:w="499"/>
        <w:gridCol w:w="487"/>
        <w:gridCol w:w="512"/>
        <w:gridCol w:w="512"/>
        <w:gridCol w:w="512"/>
      </w:tblGrid>
      <w:tr w:rsidR="00450ABE" w:rsidTr="008C3907">
        <w:trPr>
          <w:trHeight w:hRule="exact" w:val="454"/>
          <w:jc w:val="center"/>
        </w:trPr>
        <w:tc>
          <w:tcPr>
            <w:tcW w:w="2458" w:type="dxa"/>
            <w:vMerge w:val="restart"/>
            <w:shd w:val="clear" w:color="auto" w:fill="auto"/>
            <w:vAlign w:val="center"/>
          </w:tcPr>
          <w:p w:rsidR="00450ABE" w:rsidRDefault="00450ABE" w:rsidP="008C3907">
            <w:pPr>
              <w:spacing w:line="360" w:lineRule="auto"/>
              <w:jc w:val="center"/>
              <w:rPr>
                <w:rFonts w:ascii="仿宋_GB2312" w:hAnsi="仿宋_GB2312" w:cs="仿宋_GB2312"/>
                <w:bCs/>
                <w:sz w:val="20"/>
                <w:szCs w:val="20"/>
              </w:rPr>
            </w:pPr>
            <w:r>
              <w:rPr>
                <w:rFonts w:ascii="仿宋_GB2312" w:hAnsi="仿宋_GB2312" w:cs="仿宋_GB2312" w:hint="eastAsia"/>
                <w:bCs/>
                <w:sz w:val="20"/>
                <w:szCs w:val="20"/>
              </w:rPr>
              <w:lastRenderedPageBreak/>
              <w:t>课程目标</w:t>
            </w:r>
          </w:p>
        </w:tc>
        <w:tc>
          <w:tcPr>
            <w:tcW w:w="6064" w:type="dxa"/>
            <w:gridSpan w:val="12"/>
            <w:shd w:val="clear" w:color="auto" w:fill="auto"/>
            <w:vAlign w:val="center"/>
          </w:tcPr>
          <w:p w:rsidR="00450ABE" w:rsidRDefault="00450ABE" w:rsidP="008C3907">
            <w:pPr>
              <w:jc w:val="center"/>
              <w:rPr>
                <w:rFonts w:ascii="仿宋_GB2312" w:hAnsi="仿宋_GB2312" w:cs="仿宋_GB2312"/>
                <w:bCs/>
                <w:sz w:val="20"/>
                <w:szCs w:val="20"/>
              </w:rPr>
            </w:pPr>
            <w:r>
              <w:rPr>
                <w:rFonts w:ascii="仿宋_GB2312" w:hAnsi="仿宋_GB2312" w:cs="仿宋_GB2312" w:hint="eastAsia"/>
                <w:bCs/>
                <w:sz w:val="20"/>
                <w:szCs w:val="20"/>
              </w:rPr>
              <w:t>毕业要求</w:t>
            </w:r>
          </w:p>
        </w:tc>
      </w:tr>
      <w:tr w:rsidR="00450ABE" w:rsidTr="008C3907">
        <w:trPr>
          <w:trHeight w:hRule="exact" w:val="454"/>
          <w:jc w:val="center"/>
        </w:trPr>
        <w:tc>
          <w:tcPr>
            <w:tcW w:w="2458" w:type="dxa"/>
            <w:vMerge/>
            <w:shd w:val="clear" w:color="auto" w:fill="auto"/>
          </w:tcPr>
          <w:p w:rsidR="00450ABE" w:rsidRDefault="00450ABE" w:rsidP="008C3907">
            <w:pPr>
              <w:spacing w:line="360" w:lineRule="auto"/>
              <w:rPr>
                <w:rFonts w:ascii="仿宋_GB2312" w:hAnsi="仿宋_GB2312" w:cs="仿宋_GB2312"/>
                <w:bCs/>
                <w:sz w:val="20"/>
                <w:szCs w:val="20"/>
              </w:rPr>
            </w:pPr>
          </w:p>
        </w:tc>
        <w:tc>
          <w:tcPr>
            <w:tcW w:w="502"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1</w:t>
            </w:r>
          </w:p>
        </w:tc>
        <w:tc>
          <w:tcPr>
            <w:tcW w:w="502"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2</w:t>
            </w:r>
          </w:p>
        </w:tc>
        <w:tc>
          <w:tcPr>
            <w:tcW w:w="505"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3</w:t>
            </w:r>
          </w:p>
        </w:tc>
        <w:tc>
          <w:tcPr>
            <w:tcW w:w="50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4</w:t>
            </w:r>
          </w:p>
        </w:tc>
        <w:tc>
          <w:tcPr>
            <w:tcW w:w="498"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5</w:t>
            </w:r>
          </w:p>
        </w:tc>
        <w:tc>
          <w:tcPr>
            <w:tcW w:w="498"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6</w:t>
            </w:r>
          </w:p>
        </w:tc>
        <w:tc>
          <w:tcPr>
            <w:tcW w:w="50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7</w:t>
            </w:r>
          </w:p>
        </w:tc>
        <w:tc>
          <w:tcPr>
            <w:tcW w:w="506"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8</w:t>
            </w:r>
          </w:p>
        </w:tc>
        <w:tc>
          <w:tcPr>
            <w:tcW w:w="498"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9</w:t>
            </w:r>
          </w:p>
        </w:tc>
        <w:tc>
          <w:tcPr>
            <w:tcW w:w="51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10</w:t>
            </w:r>
          </w:p>
        </w:tc>
        <w:tc>
          <w:tcPr>
            <w:tcW w:w="51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11</w:t>
            </w:r>
          </w:p>
        </w:tc>
        <w:tc>
          <w:tcPr>
            <w:tcW w:w="51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12</w:t>
            </w:r>
          </w:p>
        </w:tc>
      </w:tr>
      <w:tr w:rsidR="00450ABE" w:rsidTr="008C3907">
        <w:trPr>
          <w:trHeight w:hRule="exact" w:val="454"/>
          <w:jc w:val="center"/>
        </w:trPr>
        <w:tc>
          <w:tcPr>
            <w:tcW w:w="2458"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0"/>
                <w:szCs w:val="20"/>
              </w:rPr>
            </w:pPr>
            <w:r>
              <w:rPr>
                <w:rFonts w:ascii="仿宋_GB2312" w:hAnsi="仿宋_GB2312" w:cs="仿宋_GB2312" w:hint="eastAsia"/>
                <w:bCs/>
                <w:sz w:val="20"/>
                <w:szCs w:val="20"/>
              </w:rPr>
              <w:t>知识目标</w:t>
            </w:r>
          </w:p>
        </w:tc>
        <w:tc>
          <w:tcPr>
            <w:tcW w:w="502"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02"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c>
          <w:tcPr>
            <w:tcW w:w="50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0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c>
          <w:tcPr>
            <w:tcW w:w="498"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498"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50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06" w:type="dxa"/>
            <w:shd w:val="clear" w:color="auto" w:fill="auto"/>
          </w:tcPr>
          <w:p w:rsidR="00450ABE" w:rsidRDefault="00450ABE" w:rsidP="008C3907">
            <w:pPr>
              <w:spacing w:line="360" w:lineRule="auto"/>
              <w:rPr>
                <w:rFonts w:ascii="仿宋_GB2312" w:hAnsi="仿宋_GB2312" w:cs="仿宋_GB2312"/>
                <w:bCs/>
                <w:sz w:val="20"/>
                <w:szCs w:val="20"/>
              </w:rPr>
            </w:pPr>
          </w:p>
        </w:tc>
        <w:tc>
          <w:tcPr>
            <w:tcW w:w="498" w:type="dxa"/>
            <w:shd w:val="clear" w:color="auto" w:fill="auto"/>
          </w:tcPr>
          <w:p w:rsidR="00450ABE" w:rsidRDefault="00450ABE" w:rsidP="008C3907">
            <w:pPr>
              <w:spacing w:line="360" w:lineRule="auto"/>
              <w:rPr>
                <w:rFonts w:ascii="仿宋_GB2312" w:hAnsi="仿宋_GB2312" w:cs="仿宋_GB2312"/>
                <w:bCs/>
                <w:sz w:val="20"/>
                <w:szCs w:val="20"/>
              </w:rPr>
            </w:pPr>
          </w:p>
        </w:tc>
        <w:tc>
          <w:tcPr>
            <w:tcW w:w="515" w:type="dxa"/>
            <w:shd w:val="clear" w:color="auto" w:fill="auto"/>
          </w:tcPr>
          <w:p w:rsidR="00450ABE" w:rsidRDefault="00450ABE" w:rsidP="008C3907">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L</w:t>
            </w:r>
          </w:p>
        </w:tc>
        <w:tc>
          <w:tcPr>
            <w:tcW w:w="515" w:type="dxa"/>
            <w:shd w:val="clear" w:color="auto" w:fill="auto"/>
          </w:tcPr>
          <w:p w:rsidR="00450ABE" w:rsidRDefault="00450ABE" w:rsidP="008C3907">
            <w:pPr>
              <w:spacing w:line="360" w:lineRule="auto"/>
              <w:rPr>
                <w:rFonts w:ascii="仿宋_GB2312" w:hAnsi="仿宋_GB2312" w:cs="仿宋_GB2312"/>
                <w:bCs/>
                <w:sz w:val="20"/>
                <w:szCs w:val="20"/>
              </w:rPr>
            </w:pPr>
          </w:p>
        </w:tc>
        <w:tc>
          <w:tcPr>
            <w:tcW w:w="515" w:type="dxa"/>
            <w:shd w:val="clear" w:color="auto" w:fill="auto"/>
          </w:tcPr>
          <w:p w:rsidR="00450ABE" w:rsidRDefault="00450ABE" w:rsidP="008C3907">
            <w:pPr>
              <w:spacing w:line="360" w:lineRule="auto"/>
              <w:rPr>
                <w:rFonts w:ascii="仿宋_GB2312" w:hAnsi="仿宋_GB2312" w:cs="仿宋_GB2312"/>
                <w:bCs/>
                <w:sz w:val="20"/>
                <w:szCs w:val="20"/>
              </w:rPr>
            </w:pPr>
          </w:p>
        </w:tc>
      </w:tr>
      <w:tr w:rsidR="00450ABE" w:rsidTr="008C3907">
        <w:trPr>
          <w:trHeight w:hRule="exact" w:val="454"/>
          <w:jc w:val="center"/>
        </w:trPr>
        <w:tc>
          <w:tcPr>
            <w:tcW w:w="2458" w:type="dxa"/>
            <w:shd w:val="clear" w:color="auto" w:fill="auto"/>
          </w:tcPr>
          <w:p w:rsidR="00450ABE" w:rsidRDefault="00450ABE" w:rsidP="008C3907">
            <w:pPr>
              <w:tabs>
                <w:tab w:val="left" w:pos="6300"/>
              </w:tabs>
              <w:spacing w:line="360" w:lineRule="atLeast"/>
              <w:jc w:val="center"/>
              <w:rPr>
                <w:rFonts w:ascii="仿宋_GB2312" w:hAnsi="仿宋_GB2312" w:cs="仿宋_GB2312"/>
                <w:bCs/>
                <w:sz w:val="20"/>
                <w:szCs w:val="20"/>
              </w:rPr>
            </w:pPr>
            <w:r>
              <w:rPr>
                <w:rFonts w:ascii="仿宋_GB2312" w:hAnsi="仿宋_GB2312" w:cs="仿宋_GB2312" w:hint="eastAsia"/>
                <w:bCs/>
                <w:sz w:val="20"/>
                <w:szCs w:val="20"/>
              </w:rPr>
              <w:t>能力目标</w:t>
            </w:r>
          </w:p>
        </w:tc>
        <w:tc>
          <w:tcPr>
            <w:tcW w:w="502"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M</w:t>
            </w:r>
          </w:p>
        </w:tc>
        <w:tc>
          <w:tcPr>
            <w:tcW w:w="502"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0"/>
                <w:szCs w:val="20"/>
              </w:rPr>
            </w:pPr>
            <w:r>
              <w:rPr>
                <w:rFonts w:ascii="华文中宋" w:eastAsia="华文中宋" w:hAnsi="华文中宋" w:cs="宋体" w:hint="eastAsia"/>
                <w:bCs/>
                <w:sz w:val="20"/>
                <w:szCs w:val="20"/>
              </w:rPr>
              <w:t>H</w:t>
            </w:r>
          </w:p>
        </w:tc>
        <w:tc>
          <w:tcPr>
            <w:tcW w:w="50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L</w:t>
            </w:r>
          </w:p>
        </w:tc>
        <w:tc>
          <w:tcPr>
            <w:tcW w:w="50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498"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498"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50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506" w:type="dxa"/>
            <w:shd w:val="clear" w:color="auto" w:fill="auto"/>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498" w:type="dxa"/>
            <w:shd w:val="clear" w:color="auto" w:fill="auto"/>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515" w:type="dxa"/>
            <w:shd w:val="clear" w:color="auto" w:fill="auto"/>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c>
          <w:tcPr>
            <w:tcW w:w="515" w:type="dxa"/>
            <w:shd w:val="clear" w:color="auto" w:fill="auto"/>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515" w:type="dxa"/>
            <w:shd w:val="clear" w:color="auto" w:fill="auto"/>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r>
      <w:tr w:rsidR="00450ABE" w:rsidTr="008C3907">
        <w:trPr>
          <w:trHeight w:hRule="exact" w:val="454"/>
          <w:jc w:val="center"/>
        </w:trPr>
        <w:tc>
          <w:tcPr>
            <w:tcW w:w="2458" w:type="dxa"/>
            <w:shd w:val="clear" w:color="auto" w:fill="auto"/>
          </w:tcPr>
          <w:p w:rsidR="00450ABE" w:rsidRDefault="00450ABE" w:rsidP="008C3907">
            <w:pPr>
              <w:tabs>
                <w:tab w:val="left" w:pos="6300"/>
              </w:tabs>
              <w:spacing w:line="360" w:lineRule="atLeast"/>
              <w:jc w:val="center"/>
              <w:rPr>
                <w:rFonts w:ascii="仿宋_GB2312" w:hAnsi="仿宋_GB2312" w:cs="仿宋_GB2312"/>
                <w:bCs/>
                <w:sz w:val="20"/>
                <w:szCs w:val="20"/>
              </w:rPr>
            </w:pPr>
            <w:r>
              <w:rPr>
                <w:rFonts w:ascii="仿宋_GB2312" w:hAnsi="仿宋_GB2312" w:cs="仿宋_GB2312" w:hint="eastAsia"/>
                <w:bCs/>
                <w:sz w:val="20"/>
                <w:szCs w:val="20"/>
              </w:rPr>
              <w:t>情感态度与价值观目标</w:t>
            </w:r>
          </w:p>
        </w:tc>
        <w:tc>
          <w:tcPr>
            <w:tcW w:w="502" w:type="dxa"/>
            <w:shd w:val="clear" w:color="auto" w:fill="auto"/>
            <w:vAlign w:val="center"/>
          </w:tcPr>
          <w:p w:rsidR="00450ABE" w:rsidRDefault="00450ABE" w:rsidP="008C3907">
            <w:pPr>
              <w:spacing w:line="360" w:lineRule="auto"/>
              <w:jc w:val="center"/>
              <w:rPr>
                <w:rFonts w:ascii="仿宋_GB2312" w:hAnsi="仿宋_GB2312" w:cs="仿宋_GB2312"/>
                <w:bCs/>
                <w:sz w:val="20"/>
                <w:szCs w:val="20"/>
              </w:rPr>
            </w:pPr>
          </w:p>
        </w:tc>
        <w:tc>
          <w:tcPr>
            <w:tcW w:w="502" w:type="dxa"/>
            <w:shd w:val="clear" w:color="auto" w:fill="auto"/>
            <w:vAlign w:val="center"/>
          </w:tcPr>
          <w:p w:rsidR="00450ABE" w:rsidRDefault="00450ABE" w:rsidP="008C3907">
            <w:pPr>
              <w:spacing w:line="360" w:lineRule="auto"/>
              <w:jc w:val="center"/>
              <w:rPr>
                <w:rFonts w:ascii="仿宋_GB2312" w:hAnsi="仿宋_GB2312" w:cs="仿宋_GB2312"/>
                <w:bCs/>
                <w:sz w:val="20"/>
                <w:szCs w:val="20"/>
              </w:rPr>
            </w:pPr>
          </w:p>
        </w:tc>
        <w:tc>
          <w:tcPr>
            <w:tcW w:w="50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50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498"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498"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505"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506" w:type="dxa"/>
            <w:shd w:val="clear" w:color="auto" w:fill="auto"/>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c>
          <w:tcPr>
            <w:tcW w:w="498" w:type="dxa"/>
            <w:shd w:val="clear" w:color="auto" w:fill="auto"/>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L</w:t>
            </w:r>
          </w:p>
        </w:tc>
        <w:tc>
          <w:tcPr>
            <w:tcW w:w="515" w:type="dxa"/>
            <w:shd w:val="clear" w:color="auto" w:fill="auto"/>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M</w:t>
            </w:r>
          </w:p>
        </w:tc>
        <w:tc>
          <w:tcPr>
            <w:tcW w:w="515" w:type="dxa"/>
            <w:shd w:val="clear" w:color="auto" w:fill="auto"/>
          </w:tcPr>
          <w:p w:rsidR="00450ABE" w:rsidRDefault="00450ABE" w:rsidP="008C3907">
            <w:pPr>
              <w:tabs>
                <w:tab w:val="left" w:pos="6300"/>
              </w:tabs>
              <w:spacing w:line="360" w:lineRule="atLeast"/>
              <w:jc w:val="center"/>
              <w:rPr>
                <w:rFonts w:ascii="华文中宋" w:eastAsia="华文中宋" w:hAnsi="华文中宋" w:cs="宋体"/>
                <w:bCs/>
                <w:sz w:val="20"/>
                <w:szCs w:val="20"/>
              </w:rPr>
            </w:pPr>
          </w:p>
        </w:tc>
        <w:tc>
          <w:tcPr>
            <w:tcW w:w="515" w:type="dxa"/>
            <w:shd w:val="clear" w:color="auto" w:fill="auto"/>
          </w:tcPr>
          <w:p w:rsidR="00450ABE" w:rsidRDefault="00450ABE" w:rsidP="008C3907">
            <w:pPr>
              <w:tabs>
                <w:tab w:val="left" w:pos="6300"/>
              </w:tabs>
              <w:spacing w:line="360" w:lineRule="atLeast"/>
              <w:jc w:val="center"/>
              <w:rPr>
                <w:rFonts w:ascii="华文中宋" w:eastAsia="华文中宋" w:hAnsi="华文中宋" w:cs="宋体"/>
                <w:bCs/>
                <w:sz w:val="20"/>
                <w:szCs w:val="20"/>
              </w:rPr>
            </w:pPr>
            <w:r>
              <w:rPr>
                <w:rFonts w:ascii="华文中宋" w:eastAsia="华文中宋" w:hAnsi="华文中宋" w:cs="宋体" w:hint="eastAsia"/>
                <w:bCs/>
                <w:sz w:val="20"/>
                <w:szCs w:val="20"/>
              </w:rPr>
              <w:t>H</w:t>
            </w:r>
          </w:p>
        </w:tc>
      </w:tr>
    </w:tbl>
    <w:p w:rsidR="00450ABE" w:rsidRDefault="00450ABE" w:rsidP="00450ABE">
      <w:pPr>
        <w:spacing w:before="240" w:line="360" w:lineRule="auto"/>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450ABE" w:rsidRDefault="00450ABE" w:rsidP="00450ABE">
      <w:p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课程重点：</w:t>
      </w:r>
      <w:r>
        <w:rPr>
          <w:rFonts w:ascii="仿宋_GB2312" w:hAnsi="仿宋_GB2312" w:cs="仿宋_GB2312" w:hint="eastAsia"/>
          <w:bCs/>
          <w:sz w:val="28"/>
          <w:szCs w:val="28"/>
        </w:rPr>
        <w:t>给排水科学与工程理论研究及技术发展现状及趋势</w:t>
      </w:r>
    </w:p>
    <w:p w:rsidR="00450ABE" w:rsidRDefault="00450ABE" w:rsidP="00450ABE">
      <w:p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课程难点：专业外语能力的提高</w:t>
      </w:r>
    </w:p>
    <w:p w:rsidR="00450ABE" w:rsidRDefault="00450ABE" w:rsidP="00450ABE">
      <w:pPr>
        <w:spacing w:line="360" w:lineRule="auto"/>
        <w:ind w:left="331"/>
        <w:rPr>
          <w:rFonts w:ascii="仿宋_GB2312" w:hAnsi="仿宋_GB2312" w:cs="仿宋_GB2312"/>
          <w:sz w:val="28"/>
          <w:szCs w:val="28"/>
        </w:rPr>
      </w:pPr>
      <w:r>
        <w:rPr>
          <w:rFonts w:ascii="仿宋_GB2312" w:hAnsi="仿宋_GB2312" w:cs="仿宋_GB2312" w:hint="eastAsia"/>
          <w:sz w:val="28"/>
          <w:szCs w:val="28"/>
        </w:rPr>
        <w:t>4. 课程思政设计</w:t>
      </w:r>
    </w:p>
    <w:p w:rsidR="00450ABE" w:rsidRDefault="00450ABE" w:rsidP="00450ABE">
      <w:pPr>
        <w:rPr>
          <w:rFonts w:ascii="仿宋_GB2312" w:hAnsi="仿宋_GB2312" w:cs="仿宋_GB2312"/>
          <w:bCs/>
          <w:sz w:val="28"/>
          <w:szCs w:val="28"/>
        </w:rPr>
      </w:pPr>
      <w:r>
        <w:rPr>
          <w:rFonts w:ascii="仿宋_GB2312" w:hAnsi="仿宋_GB2312" w:cs="仿宋_GB2312" w:hint="eastAsia"/>
          <w:bCs/>
          <w:sz w:val="28"/>
          <w:szCs w:val="28"/>
        </w:rPr>
        <w:t xml:space="preserve">   </w:t>
      </w:r>
      <w:r>
        <w:rPr>
          <w:rFonts w:ascii="仿宋_GB2312" w:hAnsi="仿宋_GB2312" w:cs="仿宋_GB2312"/>
          <w:bCs/>
          <w:sz w:val="28"/>
          <w:szCs w:val="28"/>
        </w:rPr>
        <w:t>全球化和信息化时代的到来为高校教学带来了新的机遇和挑战。如何在提高学生语言能力，培养学生国际视野的同时，加深学生对不同文化的理解，帮助学生树立文化自信，是高校教学面临的一个新课题。课堂教学中，教师可以通过文化和科技发展的比较，通过专业背景知识的导入，以“潜移默化”的形式寓思想教育于</w:t>
      </w:r>
      <w:r>
        <w:rPr>
          <w:rFonts w:ascii="仿宋_GB2312" w:hAnsi="仿宋_GB2312" w:cs="仿宋_GB2312" w:hint="eastAsia"/>
          <w:bCs/>
          <w:sz w:val="28"/>
          <w:szCs w:val="28"/>
        </w:rPr>
        <w:t>专业</w:t>
      </w:r>
      <w:r>
        <w:rPr>
          <w:rFonts w:ascii="仿宋_GB2312" w:hAnsi="仿宋_GB2312" w:cs="仿宋_GB2312"/>
          <w:bCs/>
          <w:sz w:val="28"/>
          <w:szCs w:val="28"/>
        </w:rPr>
        <w:t>教学之中，实现专业课教学与思政教育的有机融合</w:t>
      </w:r>
      <w:r>
        <w:rPr>
          <w:rFonts w:ascii="仿宋_GB2312" w:hAnsi="仿宋_GB2312" w:cs="仿宋_GB2312" w:hint="eastAsia"/>
          <w:bCs/>
          <w:sz w:val="28"/>
          <w:szCs w:val="28"/>
        </w:rPr>
        <w:t>，适时</w:t>
      </w:r>
      <w:r>
        <w:rPr>
          <w:rFonts w:ascii="仿宋_GB2312" w:hAnsi="仿宋_GB2312" w:cs="仿宋_GB2312"/>
          <w:bCs/>
          <w:sz w:val="28"/>
          <w:szCs w:val="28"/>
        </w:rPr>
        <w:t>教育学生应辩证地看待中西方文化及技术发展的过程及差异</w:t>
      </w:r>
      <w:r>
        <w:rPr>
          <w:rFonts w:ascii="仿宋_GB2312" w:hAnsi="仿宋_GB2312" w:cs="仿宋_GB2312" w:hint="eastAsia"/>
          <w:bCs/>
          <w:sz w:val="28"/>
          <w:szCs w:val="28"/>
        </w:rPr>
        <w:t>，</w:t>
      </w:r>
      <w:r>
        <w:rPr>
          <w:rFonts w:ascii="仿宋_GB2312" w:hAnsi="仿宋_GB2312" w:cs="仿宋_GB2312"/>
          <w:bCs/>
          <w:sz w:val="28"/>
          <w:szCs w:val="28"/>
        </w:rPr>
        <w:t>明确我国在提升水处理技术</w:t>
      </w:r>
      <w:r>
        <w:rPr>
          <w:rFonts w:ascii="仿宋_GB2312" w:hAnsi="仿宋_GB2312" w:cs="仿宋_GB2312" w:hint="eastAsia"/>
          <w:bCs/>
          <w:sz w:val="28"/>
          <w:szCs w:val="28"/>
        </w:rPr>
        <w:t>、</w:t>
      </w:r>
      <w:r>
        <w:rPr>
          <w:rFonts w:ascii="仿宋_GB2312" w:hAnsi="仿宋_GB2312" w:cs="仿宋_GB2312"/>
          <w:bCs/>
          <w:sz w:val="28"/>
          <w:szCs w:val="28"/>
        </w:rPr>
        <w:t>水环境方面所做的努力及成就</w:t>
      </w:r>
      <w:r>
        <w:rPr>
          <w:rFonts w:ascii="仿宋_GB2312" w:hAnsi="仿宋_GB2312" w:cs="仿宋_GB2312" w:hint="eastAsia"/>
          <w:bCs/>
          <w:sz w:val="28"/>
          <w:szCs w:val="28"/>
        </w:rPr>
        <w:t>以及我党全心全意为人民服务的基本理念，建立文化自信和制度自信，激发爱国热情。</w:t>
      </w:r>
    </w:p>
    <w:p w:rsidR="00450ABE" w:rsidRDefault="00450ABE" w:rsidP="00450ABE">
      <w:pPr>
        <w:rPr>
          <w:rFonts w:ascii="等线" w:eastAsia="等线" w:hAnsi="等线"/>
          <w:szCs w:val="21"/>
        </w:rPr>
      </w:pPr>
      <w:r>
        <w:rPr>
          <w:rFonts w:ascii="仿宋_GB2312" w:hAnsi="仿宋_GB2312" w:cs="仿宋_GB2312" w:hint="eastAsia"/>
          <w:bCs/>
          <w:sz w:val="28"/>
          <w:szCs w:val="28"/>
        </w:rPr>
        <w:t xml:space="preserve">   通过本课程的学习，不仅为后续深造学习提供语言基础，也能更好地了解本专业东西方的理论及技术发展现状及趋势，进一步夯实专业知识和技能，提高国际视野，树立文化自信和使命担当，未来更好地为国家社会服务。</w:t>
      </w:r>
    </w:p>
    <w:p w:rsidR="00450ABE" w:rsidRDefault="00450ABE" w:rsidP="005F6318">
      <w:pPr>
        <w:numPr>
          <w:ilvl w:val="0"/>
          <w:numId w:val="35"/>
        </w:numPr>
        <w:spacing w:beforeLines="50" w:before="156" w:afterLines="150" w:after="468" w:line="560" w:lineRule="exact"/>
        <w:rPr>
          <w:rFonts w:ascii="黑体" w:eastAsia="黑体" w:hAnsi="黑体"/>
          <w:b/>
          <w:sz w:val="28"/>
          <w:szCs w:val="28"/>
        </w:rPr>
      </w:pPr>
      <w:r>
        <w:rPr>
          <w:rFonts w:ascii="黑体" w:eastAsia="黑体" w:hAnsi="黑体" w:hint="eastAsia"/>
          <w:b/>
          <w:sz w:val="28"/>
          <w:szCs w:val="28"/>
        </w:rPr>
        <w:t>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450ABE" w:rsidTr="008C3907">
        <w:trPr>
          <w:cantSplit/>
          <w:trHeight w:val="785"/>
        </w:trPr>
        <w:tc>
          <w:tcPr>
            <w:tcW w:w="512" w:type="dxa"/>
            <w:vAlign w:val="center"/>
          </w:tcPr>
          <w:p w:rsidR="00450ABE" w:rsidRDefault="00450ABE" w:rsidP="008C3907">
            <w:pPr>
              <w:jc w:val="center"/>
              <w:rPr>
                <w:kern w:val="0"/>
                <w:sz w:val="20"/>
                <w:szCs w:val="20"/>
              </w:rPr>
            </w:pPr>
            <w:r>
              <w:rPr>
                <w:rFonts w:hint="eastAsia"/>
                <w:kern w:val="0"/>
                <w:sz w:val="20"/>
                <w:szCs w:val="20"/>
              </w:rPr>
              <w:lastRenderedPageBreak/>
              <w:t>号</w:t>
            </w:r>
          </w:p>
        </w:tc>
        <w:tc>
          <w:tcPr>
            <w:tcW w:w="2102" w:type="dxa"/>
            <w:vAlign w:val="center"/>
          </w:tcPr>
          <w:p w:rsidR="00450ABE" w:rsidRDefault="00450ABE" w:rsidP="008C3907">
            <w:pPr>
              <w:jc w:val="center"/>
              <w:rPr>
                <w:kern w:val="0"/>
                <w:sz w:val="20"/>
                <w:szCs w:val="20"/>
              </w:rPr>
            </w:pPr>
            <w:r>
              <w:rPr>
                <w:rFonts w:hint="eastAsia"/>
                <w:kern w:val="0"/>
                <w:sz w:val="20"/>
                <w:szCs w:val="20"/>
              </w:rPr>
              <w:t>章</w:t>
            </w:r>
            <w:r>
              <w:rPr>
                <w:rFonts w:hint="eastAsia"/>
                <w:kern w:val="0"/>
                <w:sz w:val="20"/>
                <w:szCs w:val="20"/>
              </w:rPr>
              <w:t xml:space="preserve">  </w:t>
            </w:r>
            <w:r>
              <w:rPr>
                <w:rFonts w:hint="eastAsia"/>
                <w:kern w:val="0"/>
                <w:sz w:val="20"/>
                <w:szCs w:val="20"/>
              </w:rPr>
              <w:t>节</w:t>
            </w:r>
          </w:p>
        </w:tc>
        <w:tc>
          <w:tcPr>
            <w:tcW w:w="727" w:type="dxa"/>
            <w:vAlign w:val="center"/>
          </w:tcPr>
          <w:p w:rsidR="00450ABE" w:rsidRDefault="00450ABE" w:rsidP="008C3907">
            <w:pPr>
              <w:jc w:val="center"/>
              <w:rPr>
                <w:kern w:val="0"/>
                <w:sz w:val="20"/>
                <w:szCs w:val="20"/>
              </w:rPr>
            </w:pPr>
            <w:r>
              <w:rPr>
                <w:rFonts w:hint="eastAsia"/>
                <w:kern w:val="0"/>
                <w:sz w:val="20"/>
                <w:szCs w:val="20"/>
              </w:rPr>
              <w:t>参考学时</w:t>
            </w:r>
          </w:p>
        </w:tc>
        <w:tc>
          <w:tcPr>
            <w:tcW w:w="3059" w:type="dxa"/>
            <w:vAlign w:val="center"/>
          </w:tcPr>
          <w:p w:rsidR="00450ABE" w:rsidRDefault="00450ABE" w:rsidP="008C3907">
            <w:pPr>
              <w:jc w:val="center"/>
              <w:rPr>
                <w:kern w:val="0"/>
                <w:sz w:val="20"/>
                <w:szCs w:val="20"/>
              </w:rPr>
            </w:pPr>
            <w:r>
              <w:rPr>
                <w:rFonts w:hint="eastAsia"/>
                <w:kern w:val="0"/>
                <w:sz w:val="20"/>
                <w:szCs w:val="20"/>
              </w:rPr>
              <w:t>教学内容</w:t>
            </w:r>
          </w:p>
        </w:tc>
        <w:tc>
          <w:tcPr>
            <w:tcW w:w="2755" w:type="dxa"/>
            <w:vAlign w:val="center"/>
          </w:tcPr>
          <w:p w:rsidR="00450ABE" w:rsidRDefault="00450ABE" w:rsidP="008C3907">
            <w:pPr>
              <w:jc w:val="center"/>
              <w:rPr>
                <w:kern w:val="0"/>
                <w:sz w:val="20"/>
                <w:szCs w:val="20"/>
              </w:rPr>
            </w:pPr>
            <w:r>
              <w:rPr>
                <w:rFonts w:hint="eastAsia"/>
                <w:kern w:val="0"/>
                <w:sz w:val="20"/>
                <w:szCs w:val="20"/>
              </w:rPr>
              <w:t>基本要求</w:t>
            </w:r>
          </w:p>
        </w:tc>
      </w:tr>
      <w:tr w:rsidR="00450ABE" w:rsidTr="008C3907">
        <w:trPr>
          <w:trHeight w:val="428"/>
        </w:trPr>
        <w:tc>
          <w:tcPr>
            <w:tcW w:w="512" w:type="dxa"/>
            <w:vAlign w:val="center"/>
          </w:tcPr>
          <w:p w:rsidR="00450ABE" w:rsidRDefault="00450ABE" w:rsidP="008C3907">
            <w:pPr>
              <w:jc w:val="center"/>
              <w:rPr>
                <w:kern w:val="0"/>
                <w:sz w:val="20"/>
                <w:szCs w:val="20"/>
              </w:rPr>
            </w:pPr>
            <w:r>
              <w:rPr>
                <w:rFonts w:hint="eastAsia"/>
                <w:kern w:val="0"/>
                <w:sz w:val="20"/>
                <w:szCs w:val="20"/>
              </w:rPr>
              <w:t>1</w:t>
            </w:r>
          </w:p>
        </w:tc>
        <w:tc>
          <w:tcPr>
            <w:tcW w:w="2102" w:type="dxa"/>
            <w:vAlign w:val="center"/>
          </w:tcPr>
          <w:p w:rsidR="00450ABE" w:rsidRDefault="00450ABE" w:rsidP="008C3907">
            <w:pPr>
              <w:jc w:val="center"/>
              <w:rPr>
                <w:kern w:val="0"/>
                <w:sz w:val="20"/>
                <w:szCs w:val="20"/>
              </w:rPr>
            </w:pPr>
            <w:r>
              <w:rPr>
                <w:rFonts w:hint="eastAsia"/>
                <w:kern w:val="0"/>
                <w:sz w:val="20"/>
                <w:szCs w:val="20"/>
              </w:rPr>
              <w:t>Unit 1 Sources of Water Supply</w:t>
            </w:r>
          </w:p>
        </w:tc>
        <w:tc>
          <w:tcPr>
            <w:tcW w:w="727" w:type="dxa"/>
            <w:vAlign w:val="center"/>
          </w:tcPr>
          <w:p w:rsidR="00450ABE" w:rsidRDefault="00450ABE" w:rsidP="008C3907">
            <w:pPr>
              <w:jc w:val="center"/>
              <w:rPr>
                <w:kern w:val="0"/>
                <w:sz w:val="20"/>
                <w:szCs w:val="20"/>
              </w:rPr>
            </w:pPr>
            <w:r>
              <w:rPr>
                <w:rFonts w:hint="eastAsia"/>
                <w:kern w:val="0"/>
                <w:sz w:val="20"/>
                <w:szCs w:val="20"/>
              </w:rPr>
              <w:t>2</w:t>
            </w:r>
          </w:p>
        </w:tc>
        <w:tc>
          <w:tcPr>
            <w:tcW w:w="3059" w:type="dxa"/>
            <w:vAlign w:val="center"/>
          </w:tcPr>
          <w:p w:rsidR="00450ABE" w:rsidRDefault="00450ABE" w:rsidP="008C3907">
            <w:pPr>
              <w:rPr>
                <w:kern w:val="0"/>
                <w:sz w:val="20"/>
                <w:szCs w:val="20"/>
              </w:rPr>
            </w:pPr>
            <w:r>
              <w:rPr>
                <w:rFonts w:hint="eastAsia"/>
                <w:kern w:val="0"/>
                <w:sz w:val="20"/>
                <w:szCs w:val="20"/>
              </w:rPr>
              <w:t>供水水源的基本类型、分类及特点；西安市主要的供水水源以及相关保护措施</w:t>
            </w:r>
          </w:p>
        </w:tc>
        <w:tc>
          <w:tcPr>
            <w:tcW w:w="2755" w:type="dxa"/>
            <w:vAlign w:val="center"/>
          </w:tcPr>
          <w:p w:rsidR="00450ABE" w:rsidRDefault="00450ABE" w:rsidP="008C3907">
            <w:pPr>
              <w:rPr>
                <w:kern w:val="0"/>
                <w:sz w:val="20"/>
                <w:szCs w:val="20"/>
              </w:rPr>
            </w:pPr>
            <w:r>
              <w:rPr>
                <w:kern w:val="0"/>
                <w:sz w:val="20"/>
                <w:szCs w:val="20"/>
              </w:rPr>
              <w:t>掌握相关专业词汇及基本概念</w:t>
            </w:r>
            <w:r>
              <w:rPr>
                <w:rFonts w:hint="eastAsia"/>
                <w:kern w:val="0"/>
                <w:sz w:val="20"/>
                <w:szCs w:val="20"/>
              </w:rPr>
              <w:t>，</w:t>
            </w:r>
            <w:r>
              <w:rPr>
                <w:kern w:val="0"/>
                <w:sz w:val="20"/>
                <w:szCs w:val="20"/>
              </w:rPr>
              <w:t>了解</w:t>
            </w:r>
            <w:r>
              <w:rPr>
                <w:rFonts w:hint="eastAsia"/>
                <w:kern w:val="0"/>
                <w:sz w:val="20"/>
                <w:szCs w:val="20"/>
              </w:rPr>
              <w:t>保护水源地的相关措施及重要意义。</w:t>
            </w:r>
          </w:p>
        </w:tc>
      </w:tr>
      <w:tr w:rsidR="00450ABE" w:rsidTr="008C3907">
        <w:trPr>
          <w:trHeight w:val="519"/>
        </w:trPr>
        <w:tc>
          <w:tcPr>
            <w:tcW w:w="512" w:type="dxa"/>
            <w:vAlign w:val="center"/>
          </w:tcPr>
          <w:p w:rsidR="00450ABE" w:rsidRDefault="00450ABE" w:rsidP="008C3907">
            <w:pPr>
              <w:jc w:val="center"/>
              <w:rPr>
                <w:kern w:val="0"/>
                <w:sz w:val="20"/>
                <w:szCs w:val="20"/>
              </w:rPr>
            </w:pPr>
            <w:r>
              <w:rPr>
                <w:rFonts w:hint="eastAsia"/>
                <w:kern w:val="0"/>
                <w:sz w:val="20"/>
                <w:szCs w:val="20"/>
              </w:rPr>
              <w:t>2</w:t>
            </w:r>
          </w:p>
        </w:tc>
        <w:tc>
          <w:tcPr>
            <w:tcW w:w="2102" w:type="dxa"/>
            <w:vAlign w:val="center"/>
          </w:tcPr>
          <w:p w:rsidR="00450ABE" w:rsidRDefault="00450ABE" w:rsidP="008C3907">
            <w:pPr>
              <w:jc w:val="center"/>
              <w:rPr>
                <w:kern w:val="0"/>
                <w:sz w:val="20"/>
                <w:szCs w:val="20"/>
              </w:rPr>
            </w:pPr>
            <w:r>
              <w:rPr>
                <w:kern w:val="0"/>
                <w:sz w:val="20"/>
                <w:szCs w:val="20"/>
              </w:rPr>
              <w:t>Unit</w:t>
            </w:r>
            <w:r>
              <w:rPr>
                <w:rFonts w:hint="eastAsia"/>
                <w:kern w:val="0"/>
                <w:sz w:val="20"/>
                <w:szCs w:val="20"/>
              </w:rPr>
              <w:t xml:space="preserve"> 2 Combating Water Pollution</w:t>
            </w:r>
          </w:p>
        </w:tc>
        <w:tc>
          <w:tcPr>
            <w:tcW w:w="727" w:type="dxa"/>
            <w:vAlign w:val="center"/>
          </w:tcPr>
          <w:p w:rsidR="00450ABE" w:rsidRDefault="00450ABE" w:rsidP="008C3907">
            <w:pPr>
              <w:jc w:val="center"/>
              <w:rPr>
                <w:kern w:val="0"/>
                <w:sz w:val="20"/>
                <w:szCs w:val="20"/>
              </w:rPr>
            </w:pPr>
            <w:r>
              <w:rPr>
                <w:rFonts w:hint="eastAsia"/>
                <w:kern w:val="0"/>
                <w:sz w:val="20"/>
                <w:szCs w:val="20"/>
              </w:rPr>
              <w:t>2</w:t>
            </w:r>
          </w:p>
        </w:tc>
        <w:tc>
          <w:tcPr>
            <w:tcW w:w="3059" w:type="dxa"/>
            <w:vAlign w:val="center"/>
          </w:tcPr>
          <w:p w:rsidR="00450ABE" w:rsidRDefault="00450ABE" w:rsidP="008C3907">
            <w:pPr>
              <w:rPr>
                <w:kern w:val="0"/>
                <w:sz w:val="20"/>
                <w:szCs w:val="20"/>
              </w:rPr>
            </w:pPr>
            <w:r>
              <w:rPr>
                <w:rFonts w:hint="eastAsia"/>
                <w:kern w:val="0"/>
                <w:sz w:val="20"/>
                <w:szCs w:val="20"/>
              </w:rPr>
              <w:t>国内外水污染现状及水污染防治的基本方式方法</w:t>
            </w:r>
          </w:p>
        </w:tc>
        <w:tc>
          <w:tcPr>
            <w:tcW w:w="2755" w:type="dxa"/>
            <w:vAlign w:val="center"/>
          </w:tcPr>
          <w:p w:rsidR="00450ABE" w:rsidRDefault="00450ABE" w:rsidP="008C3907">
            <w:pPr>
              <w:rPr>
                <w:kern w:val="0"/>
                <w:sz w:val="20"/>
                <w:szCs w:val="20"/>
              </w:rPr>
            </w:pPr>
            <w:r>
              <w:rPr>
                <w:rFonts w:hint="eastAsia"/>
                <w:kern w:val="0"/>
                <w:sz w:val="20"/>
                <w:szCs w:val="20"/>
              </w:rPr>
              <w:t>了解</w:t>
            </w:r>
            <w:r>
              <w:rPr>
                <w:kern w:val="0"/>
                <w:sz w:val="20"/>
                <w:szCs w:val="20"/>
              </w:rPr>
              <w:t>国内外水污染的总体现状</w:t>
            </w:r>
            <w:r>
              <w:rPr>
                <w:rFonts w:hint="eastAsia"/>
                <w:kern w:val="0"/>
                <w:sz w:val="20"/>
                <w:szCs w:val="20"/>
              </w:rPr>
              <w:t>，</w:t>
            </w:r>
            <w:r>
              <w:rPr>
                <w:kern w:val="0"/>
                <w:sz w:val="20"/>
                <w:szCs w:val="20"/>
              </w:rPr>
              <w:t>掌握水体中污染质的主要种类及防治的方式方法</w:t>
            </w:r>
            <w:r>
              <w:rPr>
                <w:rFonts w:hint="eastAsia"/>
                <w:kern w:val="0"/>
                <w:sz w:val="20"/>
                <w:szCs w:val="20"/>
              </w:rPr>
              <w:t>；掌握</w:t>
            </w:r>
            <w:r>
              <w:rPr>
                <w:kern w:val="0"/>
                <w:sz w:val="20"/>
                <w:szCs w:val="20"/>
              </w:rPr>
              <w:t>相关专业词汇及表达</w:t>
            </w:r>
            <w:r>
              <w:rPr>
                <w:rFonts w:hint="eastAsia"/>
                <w:kern w:val="0"/>
                <w:sz w:val="20"/>
                <w:szCs w:val="20"/>
              </w:rPr>
              <w:t>。</w:t>
            </w:r>
          </w:p>
        </w:tc>
      </w:tr>
      <w:tr w:rsidR="00450ABE" w:rsidTr="008C3907">
        <w:trPr>
          <w:trHeight w:val="555"/>
        </w:trPr>
        <w:tc>
          <w:tcPr>
            <w:tcW w:w="512" w:type="dxa"/>
            <w:vAlign w:val="center"/>
          </w:tcPr>
          <w:p w:rsidR="00450ABE" w:rsidRDefault="00450ABE" w:rsidP="008C3907">
            <w:pPr>
              <w:jc w:val="center"/>
              <w:rPr>
                <w:kern w:val="0"/>
                <w:sz w:val="20"/>
                <w:szCs w:val="20"/>
              </w:rPr>
            </w:pPr>
            <w:r>
              <w:rPr>
                <w:rFonts w:hint="eastAsia"/>
                <w:kern w:val="0"/>
                <w:sz w:val="20"/>
                <w:szCs w:val="20"/>
              </w:rPr>
              <w:t>3</w:t>
            </w:r>
          </w:p>
        </w:tc>
        <w:tc>
          <w:tcPr>
            <w:tcW w:w="2102" w:type="dxa"/>
            <w:vAlign w:val="center"/>
          </w:tcPr>
          <w:p w:rsidR="00450ABE" w:rsidRDefault="00450ABE" w:rsidP="008C3907">
            <w:pPr>
              <w:jc w:val="center"/>
              <w:rPr>
                <w:kern w:val="0"/>
                <w:sz w:val="20"/>
                <w:szCs w:val="20"/>
              </w:rPr>
            </w:pPr>
            <w:r>
              <w:rPr>
                <w:rFonts w:hint="eastAsia"/>
                <w:kern w:val="0"/>
                <w:sz w:val="20"/>
                <w:szCs w:val="20"/>
              </w:rPr>
              <w:t>Unit 3 Water and Wastewater Treatment Methods</w:t>
            </w:r>
          </w:p>
        </w:tc>
        <w:tc>
          <w:tcPr>
            <w:tcW w:w="727" w:type="dxa"/>
            <w:vAlign w:val="center"/>
          </w:tcPr>
          <w:p w:rsidR="00450ABE" w:rsidRDefault="00450ABE" w:rsidP="008C3907">
            <w:pPr>
              <w:jc w:val="center"/>
              <w:rPr>
                <w:kern w:val="0"/>
                <w:sz w:val="20"/>
                <w:szCs w:val="20"/>
              </w:rPr>
            </w:pPr>
            <w:r>
              <w:rPr>
                <w:rFonts w:hint="eastAsia"/>
                <w:kern w:val="0"/>
                <w:sz w:val="20"/>
                <w:szCs w:val="20"/>
              </w:rPr>
              <w:t>2</w:t>
            </w:r>
          </w:p>
        </w:tc>
        <w:tc>
          <w:tcPr>
            <w:tcW w:w="3059" w:type="dxa"/>
            <w:vAlign w:val="center"/>
          </w:tcPr>
          <w:p w:rsidR="00450ABE" w:rsidRDefault="00450ABE" w:rsidP="008C3907">
            <w:pPr>
              <w:rPr>
                <w:kern w:val="0"/>
                <w:sz w:val="20"/>
                <w:szCs w:val="20"/>
              </w:rPr>
            </w:pPr>
            <w:r>
              <w:rPr>
                <w:rFonts w:hint="eastAsia"/>
                <w:kern w:val="0"/>
                <w:sz w:val="20"/>
                <w:szCs w:val="20"/>
              </w:rPr>
              <w:t>各种水体中典型的污染物；用于除去水中主要污染物的单元操作、工艺及处理系统</w:t>
            </w:r>
          </w:p>
        </w:tc>
        <w:tc>
          <w:tcPr>
            <w:tcW w:w="2755" w:type="dxa"/>
            <w:vAlign w:val="center"/>
          </w:tcPr>
          <w:p w:rsidR="00450ABE" w:rsidRDefault="00450ABE" w:rsidP="008C3907">
            <w:pPr>
              <w:rPr>
                <w:kern w:val="0"/>
                <w:sz w:val="20"/>
                <w:szCs w:val="20"/>
              </w:rPr>
            </w:pPr>
            <w:r>
              <w:rPr>
                <w:rFonts w:hint="eastAsia"/>
                <w:kern w:val="0"/>
                <w:sz w:val="20"/>
                <w:szCs w:val="20"/>
              </w:rPr>
              <w:t>了解水体</w:t>
            </w:r>
            <w:r>
              <w:rPr>
                <w:kern w:val="0"/>
                <w:sz w:val="20"/>
                <w:szCs w:val="20"/>
              </w:rPr>
              <w:t>中典型污染物的种类及特点</w:t>
            </w:r>
            <w:r>
              <w:rPr>
                <w:rFonts w:hint="eastAsia"/>
                <w:kern w:val="0"/>
                <w:sz w:val="20"/>
                <w:szCs w:val="20"/>
              </w:rPr>
              <w:t>，</w:t>
            </w:r>
            <w:r>
              <w:rPr>
                <w:kern w:val="0"/>
                <w:sz w:val="20"/>
                <w:szCs w:val="20"/>
              </w:rPr>
              <w:t>掌握水体中主要污染质的</w:t>
            </w:r>
            <w:r>
              <w:rPr>
                <w:rFonts w:hint="eastAsia"/>
                <w:kern w:val="0"/>
                <w:sz w:val="20"/>
                <w:szCs w:val="20"/>
              </w:rPr>
              <w:t>去除</w:t>
            </w:r>
            <w:r>
              <w:rPr>
                <w:kern w:val="0"/>
                <w:sz w:val="20"/>
                <w:szCs w:val="20"/>
              </w:rPr>
              <w:t>方法及工艺</w:t>
            </w:r>
            <w:r>
              <w:rPr>
                <w:rFonts w:hint="eastAsia"/>
                <w:kern w:val="0"/>
                <w:sz w:val="20"/>
                <w:szCs w:val="20"/>
              </w:rPr>
              <w:t>；掌握</w:t>
            </w:r>
            <w:r>
              <w:rPr>
                <w:kern w:val="0"/>
                <w:sz w:val="20"/>
                <w:szCs w:val="20"/>
              </w:rPr>
              <w:t>相关专业词汇及表达</w:t>
            </w:r>
            <w:r>
              <w:rPr>
                <w:rFonts w:hint="eastAsia"/>
                <w:kern w:val="0"/>
                <w:sz w:val="20"/>
                <w:szCs w:val="20"/>
              </w:rPr>
              <w:t>。</w:t>
            </w:r>
          </w:p>
        </w:tc>
      </w:tr>
      <w:tr w:rsidR="00450ABE" w:rsidTr="008C3907">
        <w:trPr>
          <w:trHeight w:val="555"/>
        </w:trPr>
        <w:tc>
          <w:tcPr>
            <w:tcW w:w="512" w:type="dxa"/>
            <w:vAlign w:val="center"/>
          </w:tcPr>
          <w:p w:rsidR="00450ABE" w:rsidRDefault="00450ABE" w:rsidP="008C3907">
            <w:pPr>
              <w:jc w:val="center"/>
              <w:rPr>
                <w:kern w:val="0"/>
                <w:sz w:val="20"/>
                <w:szCs w:val="20"/>
              </w:rPr>
            </w:pPr>
            <w:r>
              <w:rPr>
                <w:rFonts w:hint="eastAsia"/>
                <w:kern w:val="0"/>
                <w:sz w:val="20"/>
                <w:szCs w:val="20"/>
              </w:rPr>
              <w:t>4</w:t>
            </w:r>
          </w:p>
        </w:tc>
        <w:tc>
          <w:tcPr>
            <w:tcW w:w="2102" w:type="dxa"/>
            <w:vAlign w:val="center"/>
          </w:tcPr>
          <w:p w:rsidR="00450ABE" w:rsidRDefault="00450ABE" w:rsidP="008C3907">
            <w:pPr>
              <w:jc w:val="center"/>
              <w:rPr>
                <w:kern w:val="0"/>
                <w:sz w:val="20"/>
                <w:szCs w:val="20"/>
              </w:rPr>
            </w:pPr>
            <w:r>
              <w:rPr>
                <w:rFonts w:hint="eastAsia"/>
                <w:kern w:val="0"/>
                <w:sz w:val="20"/>
                <w:szCs w:val="20"/>
              </w:rPr>
              <w:t>Unit 4 Sedimentation</w:t>
            </w:r>
          </w:p>
        </w:tc>
        <w:tc>
          <w:tcPr>
            <w:tcW w:w="727" w:type="dxa"/>
            <w:vAlign w:val="center"/>
          </w:tcPr>
          <w:p w:rsidR="00450ABE" w:rsidRDefault="00450ABE" w:rsidP="008C3907">
            <w:pPr>
              <w:jc w:val="center"/>
              <w:rPr>
                <w:kern w:val="0"/>
                <w:sz w:val="20"/>
                <w:szCs w:val="20"/>
              </w:rPr>
            </w:pPr>
            <w:r>
              <w:rPr>
                <w:rFonts w:hint="eastAsia"/>
                <w:kern w:val="0"/>
                <w:sz w:val="20"/>
                <w:szCs w:val="20"/>
              </w:rPr>
              <w:t>2</w:t>
            </w:r>
          </w:p>
        </w:tc>
        <w:tc>
          <w:tcPr>
            <w:tcW w:w="3059" w:type="dxa"/>
            <w:vAlign w:val="center"/>
          </w:tcPr>
          <w:p w:rsidR="00450ABE" w:rsidRDefault="00450ABE" w:rsidP="008C3907">
            <w:pPr>
              <w:rPr>
                <w:kern w:val="0"/>
                <w:sz w:val="20"/>
                <w:szCs w:val="20"/>
              </w:rPr>
            </w:pPr>
            <w:r>
              <w:rPr>
                <w:rFonts w:hint="eastAsia"/>
                <w:kern w:val="0"/>
                <w:sz w:val="20"/>
                <w:szCs w:val="20"/>
              </w:rPr>
              <w:t>沉淀的定义、沉降类型的分类及沉淀工艺的应用</w:t>
            </w:r>
          </w:p>
        </w:tc>
        <w:tc>
          <w:tcPr>
            <w:tcW w:w="2755" w:type="dxa"/>
            <w:vAlign w:val="center"/>
          </w:tcPr>
          <w:p w:rsidR="00450ABE" w:rsidRDefault="00450ABE" w:rsidP="008C3907">
            <w:pPr>
              <w:rPr>
                <w:kern w:val="0"/>
                <w:sz w:val="20"/>
                <w:szCs w:val="20"/>
              </w:rPr>
            </w:pPr>
            <w:r>
              <w:rPr>
                <w:rFonts w:hint="eastAsia"/>
                <w:kern w:val="0"/>
                <w:sz w:val="20"/>
                <w:szCs w:val="20"/>
              </w:rPr>
              <w:t>了解沉淀法去除污染质的原理及工艺应用；掌握</w:t>
            </w:r>
            <w:r>
              <w:rPr>
                <w:kern w:val="0"/>
                <w:sz w:val="20"/>
                <w:szCs w:val="20"/>
              </w:rPr>
              <w:t>相关专业词汇及表达</w:t>
            </w:r>
            <w:r>
              <w:rPr>
                <w:rFonts w:hint="eastAsia"/>
                <w:kern w:val="0"/>
                <w:sz w:val="20"/>
                <w:szCs w:val="20"/>
              </w:rPr>
              <w:t>。</w:t>
            </w:r>
          </w:p>
        </w:tc>
      </w:tr>
      <w:tr w:rsidR="00450ABE" w:rsidTr="008C3907">
        <w:trPr>
          <w:trHeight w:val="555"/>
        </w:trPr>
        <w:tc>
          <w:tcPr>
            <w:tcW w:w="512" w:type="dxa"/>
            <w:vAlign w:val="center"/>
          </w:tcPr>
          <w:p w:rsidR="00450ABE" w:rsidRDefault="00450ABE" w:rsidP="008C3907">
            <w:pPr>
              <w:jc w:val="center"/>
              <w:rPr>
                <w:kern w:val="0"/>
                <w:sz w:val="20"/>
                <w:szCs w:val="20"/>
              </w:rPr>
            </w:pPr>
            <w:r>
              <w:rPr>
                <w:rFonts w:hint="eastAsia"/>
                <w:kern w:val="0"/>
                <w:sz w:val="20"/>
                <w:szCs w:val="20"/>
              </w:rPr>
              <w:t>5</w:t>
            </w:r>
          </w:p>
        </w:tc>
        <w:tc>
          <w:tcPr>
            <w:tcW w:w="2102" w:type="dxa"/>
            <w:vAlign w:val="center"/>
          </w:tcPr>
          <w:p w:rsidR="00450ABE" w:rsidRDefault="00450ABE" w:rsidP="008C3907">
            <w:pPr>
              <w:jc w:val="center"/>
              <w:rPr>
                <w:kern w:val="0"/>
                <w:sz w:val="20"/>
                <w:szCs w:val="20"/>
              </w:rPr>
            </w:pPr>
            <w:r>
              <w:rPr>
                <w:rFonts w:hint="eastAsia"/>
                <w:kern w:val="0"/>
                <w:sz w:val="20"/>
                <w:szCs w:val="20"/>
              </w:rPr>
              <w:t>Unit 5 Filtration</w:t>
            </w:r>
          </w:p>
        </w:tc>
        <w:tc>
          <w:tcPr>
            <w:tcW w:w="727" w:type="dxa"/>
            <w:vAlign w:val="center"/>
          </w:tcPr>
          <w:p w:rsidR="00450ABE" w:rsidRDefault="00450ABE" w:rsidP="008C3907">
            <w:pPr>
              <w:jc w:val="center"/>
              <w:rPr>
                <w:kern w:val="0"/>
                <w:sz w:val="20"/>
                <w:szCs w:val="20"/>
              </w:rPr>
            </w:pPr>
            <w:r>
              <w:rPr>
                <w:rFonts w:hint="eastAsia"/>
                <w:kern w:val="0"/>
                <w:sz w:val="20"/>
                <w:szCs w:val="20"/>
              </w:rPr>
              <w:t>2</w:t>
            </w:r>
          </w:p>
        </w:tc>
        <w:tc>
          <w:tcPr>
            <w:tcW w:w="3059" w:type="dxa"/>
            <w:vAlign w:val="center"/>
          </w:tcPr>
          <w:p w:rsidR="00450ABE" w:rsidRDefault="00450ABE" w:rsidP="008C3907">
            <w:pPr>
              <w:rPr>
                <w:kern w:val="0"/>
                <w:sz w:val="20"/>
                <w:szCs w:val="20"/>
              </w:rPr>
            </w:pPr>
            <w:r>
              <w:rPr>
                <w:rFonts w:hint="eastAsia"/>
                <w:kern w:val="0"/>
                <w:sz w:val="20"/>
                <w:szCs w:val="20"/>
              </w:rPr>
              <w:t>过滤的原理、可去除的污染质、滤池的分类及优缺点</w:t>
            </w:r>
          </w:p>
        </w:tc>
        <w:tc>
          <w:tcPr>
            <w:tcW w:w="2755" w:type="dxa"/>
            <w:vAlign w:val="center"/>
          </w:tcPr>
          <w:p w:rsidR="00450ABE" w:rsidRDefault="00450ABE" w:rsidP="008C3907">
            <w:pPr>
              <w:rPr>
                <w:kern w:val="0"/>
                <w:sz w:val="20"/>
                <w:szCs w:val="20"/>
              </w:rPr>
            </w:pPr>
            <w:r>
              <w:rPr>
                <w:rFonts w:hint="eastAsia"/>
                <w:kern w:val="0"/>
                <w:sz w:val="20"/>
                <w:szCs w:val="20"/>
              </w:rPr>
              <w:t>明确过滤</w:t>
            </w:r>
            <w:r>
              <w:rPr>
                <w:kern w:val="0"/>
                <w:sz w:val="20"/>
                <w:szCs w:val="20"/>
              </w:rPr>
              <w:t>方法的原理</w:t>
            </w:r>
            <w:r>
              <w:rPr>
                <w:rFonts w:hint="eastAsia"/>
                <w:kern w:val="0"/>
                <w:sz w:val="20"/>
                <w:szCs w:val="20"/>
              </w:rPr>
              <w:t>；了解</w:t>
            </w:r>
            <w:r>
              <w:rPr>
                <w:kern w:val="0"/>
                <w:sz w:val="20"/>
                <w:szCs w:val="20"/>
              </w:rPr>
              <w:t>滤池的设计及优缺点</w:t>
            </w:r>
            <w:r>
              <w:rPr>
                <w:rFonts w:hint="eastAsia"/>
                <w:kern w:val="0"/>
                <w:sz w:val="20"/>
                <w:szCs w:val="20"/>
              </w:rPr>
              <w:t>；掌握</w:t>
            </w:r>
            <w:r>
              <w:rPr>
                <w:kern w:val="0"/>
                <w:sz w:val="20"/>
                <w:szCs w:val="20"/>
              </w:rPr>
              <w:t>相关专业词汇及表达</w:t>
            </w:r>
            <w:r>
              <w:rPr>
                <w:rFonts w:hint="eastAsia"/>
                <w:kern w:val="0"/>
                <w:sz w:val="20"/>
                <w:szCs w:val="20"/>
              </w:rPr>
              <w:t>。</w:t>
            </w:r>
          </w:p>
        </w:tc>
      </w:tr>
      <w:tr w:rsidR="00450ABE" w:rsidTr="008C3907">
        <w:trPr>
          <w:trHeight w:val="555"/>
        </w:trPr>
        <w:tc>
          <w:tcPr>
            <w:tcW w:w="512" w:type="dxa"/>
            <w:vAlign w:val="center"/>
          </w:tcPr>
          <w:p w:rsidR="00450ABE" w:rsidRDefault="00450ABE" w:rsidP="008C3907">
            <w:pPr>
              <w:jc w:val="center"/>
              <w:rPr>
                <w:kern w:val="0"/>
                <w:sz w:val="20"/>
                <w:szCs w:val="20"/>
              </w:rPr>
            </w:pPr>
            <w:r>
              <w:rPr>
                <w:rFonts w:hint="eastAsia"/>
                <w:kern w:val="0"/>
                <w:sz w:val="20"/>
                <w:szCs w:val="20"/>
              </w:rPr>
              <w:t>6</w:t>
            </w:r>
          </w:p>
        </w:tc>
        <w:tc>
          <w:tcPr>
            <w:tcW w:w="2102" w:type="dxa"/>
            <w:vAlign w:val="center"/>
          </w:tcPr>
          <w:p w:rsidR="00450ABE" w:rsidRDefault="00450ABE" w:rsidP="008C3907">
            <w:pPr>
              <w:jc w:val="center"/>
              <w:rPr>
                <w:kern w:val="0"/>
                <w:sz w:val="20"/>
                <w:szCs w:val="20"/>
              </w:rPr>
            </w:pPr>
            <w:r>
              <w:rPr>
                <w:rFonts w:hint="eastAsia"/>
                <w:kern w:val="0"/>
                <w:sz w:val="20"/>
                <w:szCs w:val="20"/>
              </w:rPr>
              <w:t>Unit 6 Mechanism of Coagulation</w:t>
            </w:r>
          </w:p>
        </w:tc>
        <w:tc>
          <w:tcPr>
            <w:tcW w:w="727" w:type="dxa"/>
            <w:vAlign w:val="center"/>
          </w:tcPr>
          <w:p w:rsidR="00450ABE" w:rsidRDefault="00450ABE" w:rsidP="008C3907">
            <w:pPr>
              <w:jc w:val="center"/>
              <w:rPr>
                <w:kern w:val="0"/>
                <w:sz w:val="20"/>
                <w:szCs w:val="20"/>
              </w:rPr>
            </w:pPr>
            <w:r>
              <w:rPr>
                <w:rFonts w:hint="eastAsia"/>
                <w:kern w:val="0"/>
                <w:sz w:val="20"/>
                <w:szCs w:val="20"/>
              </w:rPr>
              <w:t>2</w:t>
            </w:r>
          </w:p>
        </w:tc>
        <w:tc>
          <w:tcPr>
            <w:tcW w:w="3059" w:type="dxa"/>
            <w:vAlign w:val="center"/>
          </w:tcPr>
          <w:p w:rsidR="00450ABE" w:rsidRDefault="00450ABE" w:rsidP="008C3907">
            <w:pPr>
              <w:rPr>
                <w:kern w:val="0"/>
                <w:sz w:val="20"/>
                <w:szCs w:val="20"/>
              </w:rPr>
            </w:pPr>
            <w:r>
              <w:rPr>
                <w:rFonts w:hint="eastAsia"/>
                <w:kern w:val="0"/>
                <w:sz w:val="20"/>
                <w:szCs w:val="20"/>
              </w:rPr>
              <w:t>混凝机理；混凝剂主要类型及现状发展</w:t>
            </w:r>
          </w:p>
        </w:tc>
        <w:tc>
          <w:tcPr>
            <w:tcW w:w="2755" w:type="dxa"/>
            <w:vAlign w:val="center"/>
          </w:tcPr>
          <w:p w:rsidR="00450ABE" w:rsidRDefault="00450ABE" w:rsidP="008C3907">
            <w:pPr>
              <w:rPr>
                <w:kern w:val="0"/>
                <w:sz w:val="20"/>
                <w:szCs w:val="20"/>
              </w:rPr>
            </w:pPr>
            <w:r>
              <w:rPr>
                <w:rFonts w:hint="eastAsia"/>
                <w:kern w:val="0"/>
                <w:sz w:val="20"/>
                <w:szCs w:val="20"/>
              </w:rPr>
              <w:t>掌握混凝过程及原理；了解实际使用中的主要混凝剂的类型及特点；掌握</w:t>
            </w:r>
            <w:r>
              <w:rPr>
                <w:kern w:val="0"/>
                <w:sz w:val="20"/>
                <w:szCs w:val="20"/>
              </w:rPr>
              <w:t>相关专业词汇及表达</w:t>
            </w:r>
            <w:r>
              <w:rPr>
                <w:rFonts w:hint="eastAsia"/>
                <w:kern w:val="0"/>
                <w:sz w:val="20"/>
                <w:szCs w:val="20"/>
              </w:rPr>
              <w:t>。</w:t>
            </w:r>
          </w:p>
        </w:tc>
      </w:tr>
      <w:tr w:rsidR="00450ABE" w:rsidTr="008C3907">
        <w:trPr>
          <w:trHeight w:val="548"/>
        </w:trPr>
        <w:tc>
          <w:tcPr>
            <w:tcW w:w="512" w:type="dxa"/>
            <w:vAlign w:val="center"/>
          </w:tcPr>
          <w:p w:rsidR="00450ABE" w:rsidRDefault="00450ABE" w:rsidP="008C3907">
            <w:pPr>
              <w:jc w:val="center"/>
              <w:rPr>
                <w:kern w:val="0"/>
                <w:sz w:val="20"/>
                <w:szCs w:val="20"/>
              </w:rPr>
            </w:pPr>
            <w:r>
              <w:rPr>
                <w:rFonts w:hint="eastAsia"/>
                <w:kern w:val="0"/>
                <w:sz w:val="20"/>
                <w:szCs w:val="20"/>
              </w:rPr>
              <w:t>7</w:t>
            </w:r>
          </w:p>
        </w:tc>
        <w:tc>
          <w:tcPr>
            <w:tcW w:w="2102" w:type="dxa"/>
            <w:vAlign w:val="center"/>
          </w:tcPr>
          <w:p w:rsidR="00450ABE" w:rsidRDefault="00450ABE" w:rsidP="008C3907">
            <w:pPr>
              <w:jc w:val="center"/>
              <w:rPr>
                <w:kern w:val="0"/>
                <w:sz w:val="20"/>
                <w:szCs w:val="20"/>
              </w:rPr>
            </w:pPr>
            <w:r>
              <w:rPr>
                <w:rFonts w:hint="eastAsia"/>
                <w:kern w:val="0"/>
                <w:sz w:val="20"/>
                <w:szCs w:val="20"/>
              </w:rPr>
              <w:t>Unit 7 Carbon Adsorption</w:t>
            </w:r>
          </w:p>
        </w:tc>
        <w:tc>
          <w:tcPr>
            <w:tcW w:w="727" w:type="dxa"/>
            <w:vAlign w:val="center"/>
          </w:tcPr>
          <w:p w:rsidR="00450ABE" w:rsidRDefault="00450ABE" w:rsidP="008C3907">
            <w:pPr>
              <w:jc w:val="center"/>
              <w:rPr>
                <w:kern w:val="0"/>
                <w:sz w:val="20"/>
                <w:szCs w:val="20"/>
              </w:rPr>
            </w:pPr>
            <w:r>
              <w:rPr>
                <w:rFonts w:hint="eastAsia"/>
                <w:kern w:val="0"/>
                <w:sz w:val="20"/>
                <w:szCs w:val="20"/>
              </w:rPr>
              <w:t>2</w:t>
            </w:r>
          </w:p>
        </w:tc>
        <w:tc>
          <w:tcPr>
            <w:tcW w:w="3059" w:type="dxa"/>
            <w:vAlign w:val="center"/>
          </w:tcPr>
          <w:p w:rsidR="00450ABE" w:rsidRDefault="00450ABE" w:rsidP="008C3907">
            <w:pPr>
              <w:rPr>
                <w:kern w:val="0"/>
                <w:sz w:val="20"/>
                <w:szCs w:val="20"/>
              </w:rPr>
            </w:pPr>
            <w:r>
              <w:rPr>
                <w:kern w:val="0"/>
                <w:sz w:val="20"/>
                <w:szCs w:val="20"/>
              </w:rPr>
              <w:t>活性炭吸附的过程</w:t>
            </w:r>
            <w:r>
              <w:rPr>
                <w:rFonts w:hint="eastAsia"/>
                <w:kern w:val="0"/>
                <w:sz w:val="20"/>
                <w:szCs w:val="20"/>
              </w:rPr>
              <w:t>、</w:t>
            </w:r>
            <w:r>
              <w:rPr>
                <w:kern w:val="0"/>
                <w:sz w:val="20"/>
                <w:szCs w:val="20"/>
              </w:rPr>
              <w:t>特点以及在实际中的使用</w:t>
            </w:r>
          </w:p>
        </w:tc>
        <w:tc>
          <w:tcPr>
            <w:tcW w:w="2755" w:type="dxa"/>
            <w:vAlign w:val="center"/>
          </w:tcPr>
          <w:p w:rsidR="00450ABE" w:rsidRDefault="00450ABE" w:rsidP="008C3907">
            <w:pPr>
              <w:rPr>
                <w:kern w:val="0"/>
                <w:sz w:val="20"/>
                <w:szCs w:val="20"/>
              </w:rPr>
            </w:pPr>
            <w:r>
              <w:rPr>
                <w:rFonts w:hint="eastAsia"/>
                <w:kern w:val="0"/>
                <w:sz w:val="20"/>
                <w:szCs w:val="20"/>
              </w:rPr>
              <w:t>掌握活性炭吸附在水处理中的使用及主要装置类型及特点；掌握</w:t>
            </w:r>
            <w:r>
              <w:rPr>
                <w:kern w:val="0"/>
                <w:sz w:val="20"/>
                <w:szCs w:val="20"/>
              </w:rPr>
              <w:t>相关专业词汇及表达</w:t>
            </w:r>
            <w:r>
              <w:rPr>
                <w:rFonts w:hint="eastAsia"/>
                <w:kern w:val="0"/>
                <w:sz w:val="20"/>
                <w:szCs w:val="20"/>
              </w:rPr>
              <w:t>。</w:t>
            </w:r>
          </w:p>
        </w:tc>
      </w:tr>
      <w:tr w:rsidR="00450ABE" w:rsidTr="008C3907">
        <w:trPr>
          <w:trHeight w:val="548"/>
        </w:trPr>
        <w:tc>
          <w:tcPr>
            <w:tcW w:w="512" w:type="dxa"/>
            <w:vAlign w:val="center"/>
          </w:tcPr>
          <w:p w:rsidR="00450ABE" w:rsidRDefault="00450ABE" w:rsidP="008C3907">
            <w:pPr>
              <w:jc w:val="center"/>
              <w:rPr>
                <w:kern w:val="0"/>
                <w:sz w:val="20"/>
                <w:szCs w:val="20"/>
              </w:rPr>
            </w:pPr>
            <w:r>
              <w:rPr>
                <w:rFonts w:hint="eastAsia"/>
                <w:kern w:val="0"/>
                <w:sz w:val="20"/>
                <w:szCs w:val="20"/>
              </w:rPr>
              <w:t>8</w:t>
            </w:r>
          </w:p>
        </w:tc>
        <w:tc>
          <w:tcPr>
            <w:tcW w:w="2102" w:type="dxa"/>
            <w:vAlign w:val="center"/>
          </w:tcPr>
          <w:p w:rsidR="00450ABE" w:rsidRDefault="00450ABE" w:rsidP="008C3907">
            <w:pPr>
              <w:jc w:val="center"/>
              <w:rPr>
                <w:kern w:val="0"/>
                <w:sz w:val="20"/>
                <w:szCs w:val="20"/>
              </w:rPr>
            </w:pPr>
            <w:r>
              <w:rPr>
                <w:rFonts w:hint="eastAsia"/>
                <w:kern w:val="0"/>
                <w:sz w:val="20"/>
                <w:szCs w:val="20"/>
              </w:rPr>
              <w:t>Unit 8 Water Softening</w:t>
            </w:r>
          </w:p>
        </w:tc>
        <w:tc>
          <w:tcPr>
            <w:tcW w:w="727" w:type="dxa"/>
            <w:vAlign w:val="center"/>
          </w:tcPr>
          <w:p w:rsidR="00450ABE" w:rsidRDefault="00450ABE" w:rsidP="008C3907">
            <w:pPr>
              <w:jc w:val="center"/>
              <w:rPr>
                <w:kern w:val="0"/>
                <w:sz w:val="20"/>
                <w:szCs w:val="20"/>
              </w:rPr>
            </w:pPr>
            <w:r>
              <w:rPr>
                <w:rFonts w:hint="eastAsia"/>
                <w:kern w:val="0"/>
                <w:sz w:val="20"/>
                <w:szCs w:val="20"/>
              </w:rPr>
              <w:t>2</w:t>
            </w:r>
          </w:p>
        </w:tc>
        <w:tc>
          <w:tcPr>
            <w:tcW w:w="3059" w:type="dxa"/>
            <w:vAlign w:val="center"/>
          </w:tcPr>
          <w:p w:rsidR="00450ABE" w:rsidRDefault="00450ABE" w:rsidP="008C3907">
            <w:pPr>
              <w:rPr>
                <w:kern w:val="0"/>
                <w:sz w:val="20"/>
                <w:szCs w:val="20"/>
              </w:rPr>
            </w:pPr>
            <w:r>
              <w:rPr>
                <w:rFonts w:hint="eastAsia"/>
                <w:kern w:val="0"/>
                <w:sz w:val="20"/>
                <w:szCs w:val="20"/>
              </w:rPr>
              <w:t>水体硬度的定义及城市水处理厂软化的方法</w:t>
            </w:r>
          </w:p>
        </w:tc>
        <w:tc>
          <w:tcPr>
            <w:tcW w:w="2755" w:type="dxa"/>
            <w:vAlign w:val="center"/>
          </w:tcPr>
          <w:p w:rsidR="00450ABE" w:rsidRDefault="00450ABE" w:rsidP="008C3907">
            <w:pPr>
              <w:rPr>
                <w:kern w:val="0"/>
                <w:sz w:val="20"/>
                <w:szCs w:val="20"/>
              </w:rPr>
            </w:pPr>
            <w:r>
              <w:rPr>
                <w:kern w:val="0"/>
                <w:sz w:val="20"/>
                <w:szCs w:val="20"/>
              </w:rPr>
              <w:t>明确水体硬度的概念</w:t>
            </w:r>
            <w:r>
              <w:rPr>
                <w:rFonts w:hint="eastAsia"/>
                <w:kern w:val="0"/>
                <w:sz w:val="20"/>
                <w:szCs w:val="20"/>
              </w:rPr>
              <w:t>；</w:t>
            </w:r>
            <w:r>
              <w:rPr>
                <w:kern w:val="0"/>
                <w:sz w:val="20"/>
                <w:szCs w:val="20"/>
              </w:rPr>
              <w:t>掌握水体</w:t>
            </w:r>
            <w:r>
              <w:rPr>
                <w:rFonts w:hint="eastAsia"/>
                <w:kern w:val="0"/>
                <w:sz w:val="20"/>
                <w:szCs w:val="20"/>
              </w:rPr>
              <w:t>软化</w:t>
            </w:r>
            <w:r>
              <w:rPr>
                <w:kern w:val="0"/>
                <w:sz w:val="20"/>
                <w:szCs w:val="20"/>
              </w:rPr>
              <w:t>的原理及方法</w:t>
            </w:r>
            <w:r>
              <w:rPr>
                <w:rFonts w:hint="eastAsia"/>
                <w:kern w:val="0"/>
                <w:sz w:val="20"/>
                <w:szCs w:val="20"/>
              </w:rPr>
              <w:t>；掌握</w:t>
            </w:r>
            <w:r>
              <w:rPr>
                <w:kern w:val="0"/>
                <w:sz w:val="20"/>
                <w:szCs w:val="20"/>
              </w:rPr>
              <w:t>相关专业词汇及表达</w:t>
            </w:r>
            <w:r>
              <w:rPr>
                <w:rFonts w:hint="eastAsia"/>
                <w:kern w:val="0"/>
                <w:sz w:val="20"/>
                <w:szCs w:val="20"/>
              </w:rPr>
              <w:t>。</w:t>
            </w:r>
          </w:p>
        </w:tc>
      </w:tr>
      <w:tr w:rsidR="00450ABE" w:rsidTr="008C3907">
        <w:trPr>
          <w:trHeight w:val="548"/>
        </w:trPr>
        <w:tc>
          <w:tcPr>
            <w:tcW w:w="512" w:type="dxa"/>
            <w:vAlign w:val="center"/>
          </w:tcPr>
          <w:p w:rsidR="00450ABE" w:rsidRDefault="00450ABE" w:rsidP="008C3907">
            <w:pPr>
              <w:jc w:val="center"/>
              <w:rPr>
                <w:kern w:val="0"/>
                <w:sz w:val="20"/>
                <w:szCs w:val="20"/>
              </w:rPr>
            </w:pPr>
            <w:r>
              <w:rPr>
                <w:rFonts w:hint="eastAsia"/>
                <w:kern w:val="0"/>
                <w:sz w:val="20"/>
                <w:szCs w:val="20"/>
              </w:rPr>
              <w:t>9</w:t>
            </w:r>
          </w:p>
        </w:tc>
        <w:tc>
          <w:tcPr>
            <w:tcW w:w="2102" w:type="dxa"/>
            <w:vAlign w:val="center"/>
          </w:tcPr>
          <w:p w:rsidR="00450ABE" w:rsidRDefault="00450ABE" w:rsidP="008C3907">
            <w:pPr>
              <w:jc w:val="center"/>
              <w:rPr>
                <w:kern w:val="0"/>
                <w:sz w:val="20"/>
                <w:szCs w:val="20"/>
              </w:rPr>
            </w:pPr>
            <w:r>
              <w:rPr>
                <w:rFonts w:hint="eastAsia"/>
                <w:kern w:val="0"/>
                <w:sz w:val="20"/>
                <w:szCs w:val="20"/>
              </w:rPr>
              <w:t>Unit 9 Biological Treatment System</w:t>
            </w:r>
          </w:p>
        </w:tc>
        <w:tc>
          <w:tcPr>
            <w:tcW w:w="727" w:type="dxa"/>
            <w:vAlign w:val="center"/>
          </w:tcPr>
          <w:p w:rsidR="00450ABE" w:rsidRDefault="00450ABE" w:rsidP="008C3907">
            <w:pPr>
              <w:jc w:val="center"/>
              <w:rPr>
                <w:kern w:val="0"/>
                <w:sz w:val="20"/>
                <w:szCs w:val="20"/>
              </w:rPr>
            </w:pPr>
            <w:r>
              <w:rPr>
                <w:rFonts w:hint="eastAsia"/>
                <w:kern w:val="0"/>
                <w:sz w:val="20"/>
                <w:szCs w:val="20"/>
              </w:rPr>
              <w:t>2</w:t>
            </w:r>
          </w:p>
        </w:tc>
        <w:tc>
          <w:tcPr>
            <w:tcW w:w="3059" w:type="dxa"/>
            <w:vAlign w:val="center"/>
          </w:tcPr>
          <w:p w:rsidR="00450ABE" w:rsidRDefault="00450ABE" w:rsidP="008C3907">
            <w:pPr>
              <w:rPr>
                <w:kern w:val="0"/>
                <w:sz w:val="20"/>
                <w:szCs w:val="20"/>
              </w:rPr>
            </w:pPr>
            <w:r>
              <w:rPr>
                <w:rFonts w:hint="eastAsia"/>
                <w:kern w:val="0"/>
                <w:sz w:val="20"/>
                <w:szCs w:val="20"/>
              </w:rPr>
              <w:t>生物处理系统的基本概念、处理过程及影响因素</w:t>
            </w:r>
          </w:p>
        </w:tc>
        <w:tc>
          <w:tcPr>
            <w:tcW w:w="2755" w:type="dxa"/>
            <w:vAlign w:val="center"/>
          </w:tcPr>
          <w:p w:rsidR="00450ABE" w:rsidRDefault="00450ABE" w:rsidP="008C3907">
            <w:pPr>
              <w:rPr>
                <w:kern w:val="0"/>
                <w:sz w:val="20"/>
                <w:szCs w:val="20"/>
              </w:rPr>
            </w:pPr>
            <w:r>
              <w:rPr>
                <w:kern w:val="0"/>
                <w:sz w:val="20"/>
                <w:szCs w:val="20"/>
              </w:rPr>
              <w:t>掌握</w:t>
            </w:r>
            <w:r>
              <w:rPr>
                <w:rFonts w:hint="eastAsia"/>
                <w:kern w:val="0"/>
                <w:sz w:val="20"/>
                <w:szCs w:val="20"/>
              </w:rPr>
              <w:t>生物</w:t>
            </w:r>
            <w:r>
              <w:rPr>
                <w:kern w:val="0"/>
                <w:sz w:val="20"/>
                <w:szCs w:val="20"/>
              </w:rPr>
              <w:t>处理过程的基本原理</w:t>
            </w:r>
            <w:r>
              <w:rPr>
                <w:rFonts w:hint="eastAsia"/>
                <w:kern w:val="0"/>
                <w:sz w:val="20"/>
                <w:szCs w:val="20"/>
              </w:rPr>
              <w:t>、</w:t>
            </w:r>
            <w:r>
              <w:rPr>
                <w:kern w:val="0"/>
                <w:sz w:val="20"/>
                <w:szCs w:val="20"/>
              </w:rPr>
              <w:t>特点及影响因素</w:t>
            </w:r>
            <w:r>
              <w:rPr>
                <w:rFonts w:hint="eastAsia"/>
                <w:kern w:val="0"/>
                <w:sz w:val="20"/>
                <w:szCs w:val="20"/>
              </w:rPr>
              <w:t>；掌握</w:t>
            </w:r>
            <w:r>
              <w:rPr>
                <w:kern w:val="0"/>
                <w:sz w:val="20"/>
                <w:szCs w:val="20"/>
              </w:rPr>
              <w:t>相关专业词汇及表达</w:t>
            </w:r>
            <w:r>
              <w:rPr>
                <w:rFonts w:hint="eastAsia"/>
                <w:kern w:val="0"/>
                <w:sz w:val="20"/>
                <w:szCs w:val="20"/>
              </w:rPr>
              <w:t>。</w:t>
            </w:r>
          </w:p>
        </w:tc>
      </w:tr>
      <w:tr w:rsidR="00450ABE" w:rsidTr="008C3907">
        <w:trPr>
          <w:trHeight w:val="548"/>
        </w:trPr>
        <w:tc>
          <w:tcPr>
            <w:tcW w:w="512" w:type="dxa"/>
            <w:vAlign w:val="center"/>
          </w:tcPr>
          <w:p w:rsidR="00450ABE" w:rsidRDefault="00450ABE" w:rsidP="008C3907">
            <w:pPr>
              <w:jc w:val="center"/>
              <w:rPr>
                <w:kern w:val="0"/>
                <w:sz w:val="20"/>
                <w:szCs w:val="20"/>
              </w:rPr>
            </w:pPr>
            <w:r>
              <w:rPr>
                <w:rFonts w:hint="eastAsia"/>
                <w:kern w:val="0"/>
                <w:sz w:val="20"/>
                <w:szCs w:val="20"/>
              </w:rPr>
              <w:t>10</w:t>
            </w:r>
          </w:p>
        </w:tc>
        <w:tc>
          <w:tcPr>
            <w:tcW w:w="2102" w:type="dxa"/>
            <w:vAlign w:val="center"/>
          </w:tcPr>
          <w:p w:rsidR="00450ABE" w:rsidRDefault="00450ABE" w:rsidP="008C3907">
            <w:pPr>
              <w:jc w:val="center"/>
              <w:rPr>
                <w:kern w:val="0"/>
                <w:sz w:val="20"/>
                <w:szCs w:val="20"/>
              </w:rPr>
            </w:pPr>
            <w:r>
              <w:rPr>
                <w:rFonts w:hint="eastAsia"/>
                <w:kern w:val="0"/>
                <w:sz w:val="20"/>
                <w:szCs w:val="20"/>
              </w:rPr>
              <w:t>Unit 10 Activated Sludge Processes</w:t>
            </w:r>
          </w:p>
        </w:tc>
        <w:tc>
          <w:tcPr>
            <w:tcW w:w="727" w:type="dxa"/>
            <w:vAlign w:val="center"/>
          </w:tcPr>
          <w:p w:rsidR="00450ABE" w:rsidRDefault="00450ABE" w:rsidP="008C3907">
            <w:pPr>
              <w:jc w:val="center"/>
              <w:rPr>
                <w:kern w:val="0"/>
                <w:sz w:val="20"/>
                <w:szCs w:val="20"/>
              </w:rPr>
            </w:pPr>
            <w:r>
              <w:rPr>
                <w:rFonts w:hint="eastAsia"/>
                <w:kern w:val="0"/>
                <w:sz w:val="20"/>
                <w:szCs w:val="20"/>
              </w:rPr>
              <w:t>2</w:t>
            </w:r>
          </w:p>
        </w:tc>
        <w:tc>
          <w:tcPr>
            <w:tcW w:w="3059" w:type="dxa"/>
            <w:vAlign w:val="center"/>
          </w:tcPr>
          <w:p w:rsidR="00450ABE" w:rsidRDefault="00450ABE" w:rsidP="008C3907">
            <w:pPr>
              <w:rPr>
                <w:kern w:val="0"/>
                <w:sz w:val="20"/>
                <w:szCs w:val="20"/>
              </w:rPr>
            </w:pPr>
            <w:r>
              <w:rPr>
                <w:rFonts w:hint="eastAsia"/>
                <w:kern w:val="0"/>
                <w:sz w:val="20"/>
                <w:szCs w:val="20"/>
              </w:rPr>
              <w:t>活性污泥法的基本概念、原理、工艺及主要的发展趋势</w:t>
            </w:r>
          </w:p>
        </w:tc>
        <w:tc>
          <w:tcPr>
            <w:tcW w:w="2755" w:type="dxa"/>
            <w:vAlign w:val="center"/>
          </w:tcPr>
          <w:p w:rsidR="00450ABE" w:rsidRDefault="00450ABE" w:rsidP="008C3907">
            <w:pPr>
              <w:rPr>
                <w:kern w:val="0"/>
                <w:sz w:val="20"/>
                <w:szCs w:val="20"/>
              </w:rPr>
            </w:pPr>
            <w:r>
              <w:rPr>
                <w:rFonts w:hint="eastAsia"/>
                <w:kern w:val="0"/>
                <w:sz w:val="20"/>
                <w:szCs w:val="20"/>
              </w:rPr>
              <w:t>掌握活性污泥法处理工艺的原理、特点及实际应用现状；掌握</w:t>
            </w:r>
            <w:r>
              <w:rPr>
                <w:kern w:val="0"/>
                <w:sz w:val="20"/>
                <w:szCs w:val="20"/>
              </w:rPr>
              <w:t>相关专业词汇及表达</w:t>
            </w:r>
            <w:r>
              <w:rPr>
                <w:rFonts w:hint="eastAsia"/>
                <w:kern w:val="0"/>
                <w:sz w:val="20"/>
                <w:szCs w:val="20"/>
              </w:rPr>
              <w:t>。</w:t>
            </w:r>
          </w:p>
        </w:tc>
      </w:tr>
      <w:tr w:rsidR="00450ABE" w:rsidTr="008C3907">
        <w:trPr>
          <w:trHeight w:val="548"/>
        </w:trPr>
        <w:tc>
          <w:tcPr>
            <w:tcW w:w="512" w:type="dxa"/>
            <w:vAlign w:val="center"/>
          </w:tcPr>
          <w:p w:rsidR="00450ABE" w:rsidRDefault="00450ABE" w:rsidP="008C3907">
            <w:pPr>
              <w:jc w:val="center"/>
              <w:rPr>
                <w:kern w:val="0"/>
                <w:sz w:val="20"/>
                <w:szCs w:val="20"/>
              </w:rPr>
            </w:pPr>
            <w:r>
              <w:rPr>
                <w:rFonts w:hint="eastAsia"/>
                <w:kern w:val="0"/>
                <w:sz w:val="20"/>
                <w:szCs w:val="20"/>
              </w:rPr>
              <w:t>11</w:t>
            </w:r>
          </w:p>
        </w:tc>
        <w:tc>
          <w:tcPr>
            <w:tcW w:w="2102" w:type="dxa"/>
            <w:vAlign w:val="center"/>
          </w:tcPr>
          <w:p w:rsidR="00450ABE" w:rsidRDefault="00450ABE" w:rsidP="008C3907">
            <w:pPr>
              <w:jc w:val="center"/>
              <w:rPr>
                <w:kern w:val="0"/>
                <w:sz w:val="20"/>
                <w:szCs w:val="20"/>
              </w:rPr>
            </w:pPr>
            <w:r>
              <w:rPr>
                <w:rFonts w:hint="eastAsia"/>
                <w:kern w:val="0"/>
                <w:sz w:val="20"/>
                <w:szCs w:val="20"/>
              </w:rPr>
              <w:t>Unit 11 Anaerobic Biological Treatment</w:t>
            </w:r>
          </w:p>
        </w:tc>
        <w:tc>
          <w:tcPr>
            <w:tcW w:w="727" w:type="dxa"/>
            <w:vAlign w:val="center"/>
          </w:tcPr>
          <w:p w:rsidR="00450ABE" w:rsidRDefault="00450ABE" w:rsidP="008C3907">
            <w:pPr>
              <w:jc w:val="center"/>
              <w:rPr>
                <w:kern w:val="0"/>
                <w:sz w:val="20"/>
                <w:szCs w:val="20"/>
              </w:rPr>
            </w:pPr>
            <w:r>
              <w:rPr>
                <w:rFonts w:hint="eastAsia"/>
                <w:kern w:val="0"/>
                <w:sz w:val="20"/>
                <w:szCs w:val="20"/>
              </w:rPr>
              <w:t>2</w:t>
            </w:r>
          </w:p>
        </w:tc>
        <w:tc>
          <w:tcPr>
            <w:tcW w:w="3059" w:type="dxa"/>
            <w:vAlign w:val="center"/>
          </w:tcPr>
          <w:p w:rsidR="00450ABE" w:rsidRDefault="00450ABE" w:rsidP="008C3907">
            <w:pPr>
              <w:rPr>
                <w:kern w:val="0"/>
                <w:sz w:val="20"/>
                <w:szCs w:val="20"/>
              </w:rPr>
            </w:pPr>
            <w:r>
              <w:rPr>
                <w:rFonts w:hint="eastAsia"/>
                <w:kern w:val="0"/>
                <w:sz w:val="20"/>
                <w:szCs w:val="20"/>
              </w:rPr>
              <w:t>厌氧生物处理过程基本概念；厌氧发酵过程、甲烷产量及厌氧处理工艺</w:t>
            </w:r>
          </w:p>
        </w:tc>
        <w:tc>
          <w:tcPr>
            <w:tcW w:w="2755" w:type="dxa"/>
            <w:vAlign w:val="center"/>
          </w:tcPr>
          <w:p w:rsidR="00450ABE" w:rsidRDefault="00450ABE" w:rsidP="008C3907">
            <w:pPr>
              <w:rPr>
                <w:kern w:val="0"/>
                <w:sz w:val="20"/>
                <w:szCs w:val="20"/>
              </w:rPr>
            </w:pPr>
            <w:r>
              <w:rPr>
                <w:rFonts w:hint="eastAsia"/>
                <w:kern w:val="0"/>
                <w:sz w:val="20"/>
                <w:szCs w:val="20"/>
              </w:rPr>
              <w:t>了解厌氧生物过程基本概念及原理；了解</w:t>
            </w:r>
            <w:r>
              <w:rPr>
                <w:kern w:val="0"/>
                <w:sz w:val="20"/>
                <w:szCs w:val="20"/>
              </w:rPr>
              <w:t>实际处理工艺</w:t>
            </w:r>
            <w:r>
              <w:rPr>
                <w:rFonts w:hint="eastAsia"/>
                <w:kern w:val="0"/>
                <w:sz w:val="20"/>
                <w:szCs w:val="20"/>
              </w:rPr>
              <w:t>；掌握</w:t>
            </w:r>
            <w:r>
              <w:rPr>
                <w:kern w:val="0"/>
                <w:sz w:val="20"/>
                <w:szCs w:val="20"/>
              </w:rPr>
              <w:t>相关专业词汇及表达</w:t>
            </w:r>
            <w:r>
              <w:rPr>
                <w:rFonts w:hint="eastAsia"/>
                <w:kern w:val="0"/>
                <w:sz w:val="20"/>
                <w:szCs w:val="20"/>
              </w:rPr>
              <w:t>。</w:t>
            </w:r>
          </w:p>
        </w:tc>
      </w:tr>
      <w:tr w:rsidR="00450ABE" w:rsidTr="008C3907">
        <w:trPr>
          <w:trHeight w:val="548"/>
        </w:trPr>
        <w:tc>
          <w:tcPr>
            <w:tcW w:w="512" w:type="dxa"/>
            <w:vAlign w:val="center"/>
          </w:tcPr>
          <w:p w:rsidR="00450ABE" w:rsidRDefault="00450ABE" w:rsidP="008C3907">
            <w:pPr>
              <w:jc w:val="center"/>
              <w:rPr>
                <w:kern w:val="0"/>
                <w:sz w:val="20"/>
                <w:szCs w:val="20"/>
              </w:rPr>
            </w:pPr>
            <w:r>
              <w:rPr>
                <w:rFonts w:hint="eastAsia"/>
                <w:kern w:val="0"/>
                <w:sz w:val="20"/>
                <w:szCs w:val="20"/>
              </w:rPr>
              <w:t>12</w:t>
            </w:r>
          </w:p>
        </w:tc>
        <w:tc>
          <w:tcPr>
            <w:tcW w:w="2102" w:type="dxa"/>
            <w:vAlign w:val="center"/>
          </w:tcPr>
          <w:p w:rsidR="00450ABE" w:rsidRDefault="00450ABE" w:rsidP="008C3907">
            <w:pPr>
              <w:jc w:val="center"/>
              <w:rPr>
                <w:kern w:val="0"/>
                <w:sz w:val="20"/>
                <w:szCs w:val="20"/>
              </w:rPr>
            </w:pPr>
            <w:r>
              <w:rPr>
                <w:rFonts w:hint="eastAsia"/>
                <w:kern w:val="0"/>
                <w:sz w:val="20"/>
                <w:szCs w:val="20"/>
              </w:rPr>
              <w:t>Unit 12 Tertiary Treatment of Wastewater</w:t>
            </w:r>
          </w:p>
        </w:tc>
        <w:tc>
          <w:tcPr>
            <w:tcW w:w="727" w:type="dxa"/>
            <w:vAlign w:val="center"/>
          </w:tcPr>
          <w:p w:rsidR="00450ABE" w:rsidRDefault="00450ABE" w:rsidP="008C3907">
            <w:pPr>
              <w:jc w:val="center"/>
              <w:rPr>
                <w:kern w:val="0"/>
                <w:sz w:val="20"/>
                <w:szCs w:val="20"/>
              </w:rPr>
            </w:pPr>
            <w:r>
              <w:rPr>
                <w:rFonts w:hint="eastAsia"/>
                <w:kern w:val="0"/>
                <w:sz w:val="20"/>
                <w:szCs w:val="20"/>
              </w:rPr>
              <w:t>2</w:t>
            </w:r>
          </w:p>
        </w:tc>
        <w:tc>
          <w:tcPr>
            <w:tcW w:w="3059" w:type="dxa"/>
            <w:vAlign w:val="center"/>
          </w:tcPr>
          <w:p w:rsidR="00450ABE" w:rsidRDefault="00450ABE" w:rsidP="008C3907">
            <w:pPr>
              <w:rPr>
                <w:kern w:val="0"/>
                <w:sz w:val="20"/>
                <w:szCs w:val="20"/>
              </w:rPr>
            </w:pPr>
            <w:r>
              <w:rPr>
                <w:rFonts w:hint="eastAsia"/>
                <w:kern w:val="0"/>
                <w:sz w:val="20"/>
                <w:szCs w:val="20"/>
              </w:rPr>
              <w:t>废水的三级处理的途径及特点</w:t>
            </w:r>
          </w:p>
        </w:tc>
        <w:tc>
          <w:tcPr>
            <w:tcW w:w="2755" w:type="dxa"/>
            <w:vAlign w:val="center"/>
          </w:tcPr>
          <w:p w:rsidR="00450ABE" w:rsidRDefault="00450ABE" w:rsidP="008C3907">
            <w:pPr>
              <w:rPr>
                <w:kern w:val="0"/>
                <w:sz w:val="20"/>
                <w:szCs w:val="20"/>
              </w:rPr>
            </w:pPr>
            <w:r>
              <w:rPr>
                <w:rFonts w:hint="eastAsia"/>
                <w:kern w:val="0"/>
                <w:sz w:val="20"/>
                <w:szCs w:val="20"/>
              </w:rPr>
              <w:t>了解污水三级处理的主要方法及原理；掌握</w:t>
            </w:r>
            <w:r>
              <w:rPr>
                <w:kern w:val="0"/>
                <w:sz w:val="20"/>
                <w:szCs w:val="20"/>
              </w:rPr>
              <w:t>相关专业词汇及表达</w:t>
            </w:r>
            <w:r>
              <w:rPr>
                <w:rFonts w:hint="eastAsia"/>
                <w:kern w:val="0"/>
                <w:sz w:val="20"/>
                <w:szCs w:val="20"/>
              </w:rPr>
              <w:t>。</w:t>
            </w:r>
          </w:p>
        </w:tc>
      </w:tr>
    </w:tbl>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五、课程考核方式与成绩评定</w:t>
      </w:r>
    </w:p>
    <w:p w:rsidR="00450ABE" w:rsidRDefault="00450ABE" w:rsidP="00450ABE">
      <w:pPr>
        <w:spacing w:after="240" w:line="560" w:lineRule="exact"/>
        <w:ind w:firstLine="329"/>
        <w:rPr>
          <w:rFonts w:ascii="仿宋_GB2312" w:hAnsi="仿宋_GB2312" w:cs="仿宋_GB2312"/>
          <w:bCs/>
          <w:sz w:val="28"/>
          <w:szCs w:val="28"/>
        </w:rPr>
      </w:pPr>
      <w:r>
        <w:rPr>
          <w:rFonts w:ascii="仿宋_GB2312" w:hAnsi="仿宋_GB2312" w:cs="仿宋_GB2312" w:hint="eastAsia"/>
          <w:bCs/>
          <w:sz w:val="28"/>
          <w:szCs w:val="28"/>
        </w:rPr>
        <w:t>课程成绩由平时成绩和期终考试两个环节的成绩综合评定产生。各评价环节所占比例及对教学目标的支撑如下表所示。其中，期终考试采取闭卷形式，内容涉及课程的基本概念和基本方法，题型包括专业词汇、短句翻译、文献阅读翻译等。</w:t>
      </w:r>
    </w:p>
    <w:p w:rsidR="00450ABE" w:rsidRDefault="00450ABE" w:rsidP="00450ABE">
      <w:pPr>
        <w:spacing w:beforeLines="50" w:before="156" w:afterLines="50" w:after="156" w:line="460" w:lineRule="exact"/>
        <w:ind w:firstLineChars="200" w:firstLine="560"/>
        <w:rPr>
          <w:rFonts w:ascii="仿宋_GB2312" w:hAnsi="仿宋_GB2312" w:cs="仿宋_GB2312"/>
          <w:sz w:val="28"/>
          <w:szCs w:val="28"/>
        </w:rPr>
      </w:pPr>
      <w:r>
        <w:rPr>
          <w:rFonts w:ascii="仿宋_GB2312" w:hAnsi="仿宋_GB2312" w:cs="仿宋_GB2312"/>
          <w:sz w:val="28"/>
          <w:szCs w:val="28"/>
        </w:rPr>
        <w:t>课程总成绩=期末成绩</w:t>
      </w:r>
      <w:r>
        <w:rPr>
          <w:rFonts w:ascii="仿宋_GB2312" w:hAnsi="仿宋_GB2312" w:cs="仿宋_GB2312" w:hint="eastAsia"/>
          <w:sz w:val="28"/>
          <w:szCs w:val="28"/>
        </w:rPr>
        <w:t>（70%）+平时</w:t>
      </w:r>
      <w:r>
        <w:rPr>
          <w:rFonts w:ascii="仿宋_GB2312" w:hAnsi="仿宋_GB2312" w:cs="仿宋_GB2312"/>
          <w:sz w:val="28"/>
          <w:szCs w:val="28"/>
        </w:rPr>
        <w:t>成绩</w:t>
      </w:r>
      <w:r>
        <w:rPr>
          <w:rFonts w:ascii="仿宋_GB2312" w:hAnsi="仿宋_GB2312" w:cs="仿宋_GB2312" w:hint="eastAsia"/>
          <w:sz w:val="28"/>
          <w:szCs w:val="28"/>
        </w:rPr>
        <w:t>（30%）</w:t>
      </w:r>
    </w:p>
    <w:p w:rsidR="00450ABE" w:rsidRDefault="00450ABE" w:rsidP="00450ABE">
      <w:pPr>
        <w:spacing w:beforeLines="50" w:before="156" w:afterLines="50" w:after="156" w:line="460" w:lineRule="exact"/>
        <w:ind w:firstLineChars="200" w:firstLine="560"/>
        <w:rPr>
          <w:rFonts w:ascii="仿宋_GB2312" w:hAnsi="仿宋_GB2312" w:cs="仿宋_GB2312"/>
          <w:sz w:val="28"/>
          <w:szCs w:val="28"/>
        </w:rPr>
      </w:pPr>
      <w:r>
        <w:rPr>
          <w:rFonts w:ascii="仿宋_GB2312" w:hAnsi="仿宋_GB2312" w:cs="仿宋_GB2312" w:hint="eastAsia"/>
          <w:sz w:val="28"/>
          <w:szCs w:val="28"/>
        </w:rPr>
        <w:t>平时成绩考核标准：出勤率和课后作业各占15%。</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450ABE" w:rsidRDefault="00450ABE" w:rsidP="00450ABE">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450ABE" w:rsidRDefault="00450ABE" w:rsidP="00450ABE">
      <w:pPr>
        <w:spacing w:line="560" w:lineRule="exact"/>
        <w:ind w:firstLine="329"/>
        <w:rPr>
          <w:rFonts w:ascii="仿宋_GB2312" w:hAnsi="仿宋_GB2312" w:cs="仿宋_GB2312"/>
          <w:bCs/>
          <w:sz w:val="28"/>
          <w:szCs w:val="28"/>
        </w:rPr>
      </w:pPr>
      <w:r>
        <w:rPr>
          <w:rFonts w:ascii="仿宋_GB2312" w:hAnsi="仿宋_GB2312" w:cs="仿宋_GB2312"/>
          <w:bCs/>
          <w:sz w:val="28"/>
          <w:szCs w:val="28"/>
        </w:rPr>
        <w:t>主教材：</w:t>
      </w:r>
      <w:r>
        <w:rPr>
          <w:rFonts w:ascii="仿宋_GB2312" w:hAnsi="仿宋_GB2312" w:cs="仿宋_GB2312" w:hint="eastAsia"/>
          <w:bCs/>
          <w:sz w:val="28"/>
          <w:szCs w:val="28"/>
        </w:rPr>
        <w:t>给</w:t>
      </w:r>
      <w:r>
        <w:rPr>
          <w:rFonts w:ascii="仿宋_GB2312" w:hAnsi="仿宋_GB2312" w:cs="仿宋_GB2312"/>
          <w:bCs/>
          <w:sz w:val="28"/>
          <w:szCs w:val="28"/>
        </w:rPr>
        <w:t>水排水工程专业英语，</w:t>
      </w:r>
      <w:r>
        <w:rPr>
          <w:rFonts w:ascii="仿宋_GB2312" w:hAnsi="仿宋_GB2312" w:cs="仿宋_GB2312" w:hint="eastAsia"/>
          <w:bCs/>
          <w:sz w:val="28"/>
          <w:szCs w:val="28"/>
        </w:rPr>
        <w:t>徐</w:t>
      </w:r>
      <w:r>
        <w:rPr>
          <w:rFonts w:ascii="仿宋_GB2312" w:hAnsi="仿宋_GB2312" w:cs="仿宋_GB2312"/>
          <w:bCs/>
          <w:sz w:val="28"/>
          <w:szCs w:val="28"/>
        </w:rPr>
        <w:t>金兰</w:t>
      </w:r>
      <w:r>
        <w:rPr>
          <w:rFonts w:ascii="仿宋_GB2312" w:hAnsi="仿宋_GB2312" w:cs="仿宋_GB2312" w:hint="eastAsia"/>
          <w:bCs/>
          <w:sz w:val="28"/>
          <w:szCs w:val="28"/>
        </w:rPr>
        <w:t xml:space="preserve"> 黄廷林 </w:t>
      </w:r>
      <w:r>
        <w:rPr>
          <w:rFonts w:ascii="仿宋_GB2312" w:hAnsi="仿宋_GB2312" w:cs="仿宋_GB2312"/>
          <w:bCs/>
          <w:sz w:val="28"/>
          <w:szCs w:val="28"/>
        </w:rPr>
        <w:t>主编，中国</w:t>
      </w:r>
      <w:r>
        <w:rPr>
          <w:rFonts w:ascii="仿宋_GB2312" w:hAnsi="仿宋_GB2312" w:cs="仿宋_GB2312" w:hint="eastAsia"/>
          <w:bCs/>
          <w:sz w:val="28"/>
          <w:szCs w:val="28"/>
        </w:rPr>
        <w:t>电力</w:t>
      </w:r>
      <w:r>
        <w:rPr>
          <w:rFonts w:ascii="仿宋_GB2312" w:hAnsi="仿宋_GB2312" w:cs="仿宋_GB2312"/>
          <w:bCs/>
          <w:sz w:val="28"/>
          <w:szCs w:val="28"/>
        </w:rPr>
        <w:t>出版社，20</w:t>
      </w:r>
      <w:r>
        <w:rPr>
          <w:rFonts w:ascii="仿宋_GB2312" w:hAnsi="仿宋_GB2312" w:cs="仿宋_GB2312" w:hint="eastAsia"/>
          <w:bCs/>
          <w:sz w:val="28"/>
          <w:szCs w:val="28"/>
        </w:rPr>
        <w:t>11</w:t>
      </w:r>
      <w:r>
        <w:rPr>
          <w:rFonts w:ascii="仿宋_GB2312" w:hAnsi="仿宋_GB2312" w:cs="仿宋_GB2312"/>
          <w:bCs/>
          <w:sz w:val="28"/>
          <w:szCs w:val="28"/>
        </w:rPr>
        <w:t>年</w:t>
      </w:r>
      <w:r>
        <w:rPr>
          <w:rFonts w:ascii="仿宋_GB2312" w:hAnsi="仿宋_GB2312" w:cs="仿宋_GB2312" w:hint="eastAsia"/>
          <w:bCs/>
          <w:sz w:val="28"/>
          <w:szCs w:val="28"/>
        </w:rPr>
        <w:t>6</w:t>
      </w:r>
      <w:r>
        <w:rPr>
          <w:rFonts w:ascii="仿宋_GB2312" w:hAnsi="仿宋_GB2312" w:cs="仿宋_GB2312"/>
          <w:bCs/>
          <w:sz w:val="28"/>
          <w:szCs w:val="28"/>
        </w:rPr>
        <w:t>月出版。</w:t>
      </w:r>
    </w:p>
    <w:p w:rsidR="00450ABE" w:rsidRDefault="00450ABE" w:rsidP="00450ABE">
      <w:pPr>
        <w:spacing w:line="560" w:lineRule="exact"/>
        <w:ind w:firstLine="329"/>
        <w:rPr>
          <w:rFonts w:ascii="仿宋_GB2312" w:hAnsi="仿宋_GB2312" w:cs="仿宋_GB2312"/>
          <w:bCs/>
          <w:sz w:val="28"/>
          <w:szCs w:val="28"/>
        </w:rPr>
      </w:pPr>
      <w:r>
        <w:rPr>
          <w:rFonts w:ascii="仿宋_GB2312" w:hAnsi="仿宋_GB2312" w:cs="仿宋_GB2312"/>
          <w:bCs/>
          <w:sz w:val="28"/>
          <w:szCs w:val="28"/>
        </w:rPr>
        <w:t>辅助教材：</w:t>
      </w:r>
      <w:r>
        <w:rPr>
          <w:rFonts w:ascii="仿宋_GB2312" w:hAnsi="仿宋_GB2312" w:cs="仿宋_GB2312" w:hint="eastAsia"/>
          <w:bCs/>
          <w:sz w:val="28"/>
          <w:szCs w:val="28"/>
        </w:rPr>
        <w:t>给</w:t>
      </w:r>
      <w:r>
        <w:rPr>
          <w:rFonts w:ascii="仿宋_GB2312" w:hAnsi="仿宋_GB2312" w:cs="仿宋_GB2312"/>
          <w:bCs/>
          <w:sz w:val="28"/>
          <w:szCs w:val="28"/>
        </w:rPr>
        <w:t>排水科学与工程专业英语，</w:t>
      </w:r>
      <w:r>
        <w:rPr>
          <w:rFonts w:ascii="仿宋_GB2312" w:hAnsi="仿宋_GB2312" w:cs="仿宋_GB2312" w:hint="eastAsia"/>
          <w:bCs/>
          <w:sz w:val="28"/>
          <w:szCs w:val="28"/>
        </w:rPr>
        <w:t>蓝</w:t>
      </w:r>
      <w:r>
        <w:rPr>
          <w:rFonts w:ascii="仿宋_GB2312" w:hAnsi="仿宋_GB2312" w:cs="仿宋_GB2312"/>
          <w:bCs/>
          <w:sz w:val="28"/>
          <w:szCs w:val="28"/>
        </w:rPr>
        <w:t>梅</w:t>
      </w:r>
      <w:r>
        <w:rPr>
          <w:rFonts w:ascii="仿宋_GB2312" w:hAnsi="仿宋_GB2312" w:cs="仿宋_GB2312" w:hint="eastAsia"/>
          <w:bCs/>
          <w:sz w:val="28"/>
          <w:szCs w:val="28"/>
        </w:rPr>
        <w:t xml:space="preserve"> </w:t>
      </w:r>
      <w:r>
        <w:rPr>
          <w:rFonts w:ascii="仿宋_GB2312" w:hAnsi="仿宋_GB2312" w:cs="仿宋_GB2312"/>
          <w:bCs/>
          <w:sz w:val="28"/>
          <w:szCs w:val="28"/>
        </w:rPr>
        <w:t>主编，化学工业出版社，20</w:t>
      </w:r>
      <w:r>
        <w:rPr>
          <w:rFonts w:ascii="仿宋_GB2312" w:hAnsi="仿宋_GB2312" w:cs="仿宋_GB2312" w:hint="eastAsia"/>
          <w:bCs/>
          <w:sz w:val="28"/>
          <w:szCs w:val="28"/>
        </w:rPr>
        <w:t>13</w:t>
      </w:r>
      <w:r>
        <w:rPr>
          <w:rFonts w:ascii="仿宋_GB2312" w:hAnsi="仿宋_GB2312" w:cs="仿宋_GB2312"/>
          <w:bCs/>
          <w:sz w:val="28"/>
          <w:szCs w:val="28"/>
        </w:rPr>
        <w:t>年</w:t>
      </w:r>
      <w:r>
        <w:rPr>
          <w:rFonts w:ascii="仿宋_GB2312" w:hAnsi="仿宋_GB2312" w:cs="仿宋_GB2312" w:hint="eastAsia"/>
          <w:bCs/>
          <w:sz w:val="28"/>
          <w:szCs w:val="28"/>
        </w:rPr>
        <w:t>3</w:t>
      </w:r>
      <w:r>
        <w:rPr>
          <w:rFonts w:ascii="仿宋_GB2312" w:hAnsi="仿宋_GB2312" w:cs="仿宋_GB2312"/>
          <w:bCs/>
          <w:sz w:val="28"/>
          <w:szCs w:val="28"/>
        </w:rPr>
        <w:t>月出版。</w:t>
      </w:r>
    </w:p>
    <w:p w:rsidR="00450ABE" w:rsidRDefault="00450ABE" w:rsidP="00450ABE">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450ABE" w:rsidRDefault="00450ABE" w:rsidP="00450ABE">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相关</w:t>
      </w:r>
      <w:r>
        <w:rPr>
          <w:rFonts w:ascii="仿宋_GB2312" w:hAnsi="仿宋_GB2312" w:cs="仿宋_GB2312"/>
          <w:bCs/>
          <w:sz w:val="28"/>
          <w:szCs w:val="28"/>
        </w:rPr>
        <w:t>领域SCI论文</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450ABE" w:rsidRDefault="00450ABE" w:rsidP="00450ABE">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w:t>
      </w:r>
    </w:p>
    <w:p w:rsidR="00450ABE" w:rsidRDefault="00450ABE" w:rsidP="00450ABE">
      <w:pPr>
        <w:spacing w:line="360" w:lineRule="auto"/>
        <w:ind w:firstLineChars="1200" w:firstLine="3360"/>
        <w:rPr>
          <w:rFonts w:ascii="仿宋" w:eastAsia="仿宋" w:hAnsi="仿宋"/>
          <w:sz w:val="28"/>
          <w:szCs w:val="28"/>
        </w:rPr>
      </w:pPr>
    </w:p>
    <w:p w:rsidR="00450ABE" w:rsidRDefault="00450ABE" w:rsidP="00450ABE">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大纲撰写人：赵晓红</w:t>
      </w:r>
    </w:p>
    <w:p w:rsidR="00450ABE" w:rsidRDefault="00450ABE" w:rsidP="00450ABE">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课程负责人：赵晓红</w:t>
      </w:r>
    </w:p>
    <w:p w:rsidR="00450ABE" w:rsidRDefault="00450ABE" w:rsidP="00450ABE">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审核人：杨利伟、赵红梅</w:t>
      </w:r>
    </w:p>
    <w:p w:rsidR="00450ABE" w:rsidRPr="005708AF" w:rsidRDefault="00450ABE" w:rsidP="005708AF">
      <w:pPr>
        <w:jc w:val="center"/>
        <w:rPr>
          <w:rFonts w:ascii="仿宋_GB2312" w:hint="eastAsia"/>
          <w:color w:val="000000"/>
          <w:sz w:val="28"/>
          <w:szCs w:val="28"/>
        </w:rPr>
      </w:pPr>
      <w:r>
        <w:rPr>
          <w:rFonts w:ascii="仿宋" w:eastAsia="仿宋" w:hAnsi="仿宋" w:hint="eastAsia"/>
          <w:sz w:val="28"/>
          <w:szCs w:val="28"/>
        </w:rPr>
        <w:t xml:space="preserve">              2021.4    </w:t>
      </w:r>
    </w:p>
    <w:p w:rsidR="00450ABE" w:rsidRDefault="00450ABE" w:rsidP="00450ABE">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《给排水工程仪表与控制》课程教学大纲</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Instrumentation and control of water supply and drainage engineering</w:t>
      </w:r>
    </w:p>
    <w:p w:rsidR="00450ABE" w:rsidRDefault="00450ABE" w:rsidP="00450ABE">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课程编码：Z2806</w:t>
      </w:r>
      <w:r>
        <w:rPr>
          <w:rFonts w:ascii="仿宋_GB2312" w:hAnsi="仿宋_GB2312" w:cs="仿宋_GB2312"/>
          <w:bCs/>
          <w:sz w:val="28"/>
          <w:szCs w:val="28"/>
        </w:rPr>
        <w:t>420</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450ABE" w:rsidRDefault="00450ABE" w:rsidP="00450ABE">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w:t>
      </w:r>
    </w:p>
    <w:p w:rsidR="00450ABE" w:rsidRDefault="00450ABE" w:rsidP="00450ABE">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16</w:t>
      </w:r>
      <w:r>
        <w:rPr>
          <w:rFonts w:ascii="仿宋_GB2312" w:hAnsi="仿宋_GB2312" w:cs="仿宋_GB2312" w:hint="eastAsia"/>
          <w:bCs/>
          <w:sz w:val="28"/>
          <w:szCs w:val="28"/>
        </w:rPr>
        <w:t>学时（授课</w:t>
      </w:r>
      <w:r>
        <w:rPr>
          <w:rFonts w:ascii="仿宋_GB2312" w:hAnsi="仿宋_GB2312" w:cs="仿宋_GB2312"/>
          <w:bCs/>
          <w:sz w:val="28"/>
          <w:szCs w:val="28"/>
        </w:rPr>
        <w:t>16</w:t>
      </w:r>
      <w:r>
        <w:rPr>
          <w:rFonts w:ascii="仿宋_GB2312" w:hAnsi="仿宋_GB2312" w:cs="仿宋_GB2312" w:hint="eastAsia"/>
          <w:bCs/>
          <w:sz w:val="28"/>
          <w:szCs w:val="28"/>
        </w:rPr>
        <w:t>学时，实验</w:t>
      </w:r>
      <w:r>
        <w:rPr>
          <w:rFonts w:ascii="仿宋_GB2312" w:hAnsi="仿宋_GB2312" w:cs="仿宋_GB2312"/>
          <w:bCs/>
          <w:sz w:val="28"/>
          <w:szCs w:val="28"/>
        </w:rPr>
        <w:t>0</w:t>
      </w:r>
      <w:r>
        <w:rPr>
          <w:rFonts w:ascii="仿宋_GB2312" w:hAnsi="仿宋_GB2312" w:cs="仿宋_GB2312" w:hint="eastAsia"/>
          <w:bCs/>
          <w:sz w:val="28"/>
          <w:szCs w:val="28"/>
        </w:rPr>
        <w:t>学时，上机</w:t>
      </w:r>
      <w:r>
        <w:rPr>
          <w:rFonts w:ascii="仿宋_GB2312" w:hAnsi="仿宋_GB2312" w:cs="仿宋_GB2312"/>
          <w:bCs/>
          <w:sz w:val="28"/>
          <w:szCs w:val="28"/>
        </w:rPr>
        <w:t>0</w:t>
      </w:r>
      <w:r>
        <w:rPr>
          <w:rFonts w:ascii="仿宋_GB2312" w:hAnsi="仿宋_GB2312" w:cs="仿宋_GB2312" w:hint="eastAsia"/>
          <w:bCs/>
          <w:sz w:val="28"/>
          <w:szCs w:val="28"/>
        </w:rPr>
        <w:t>学时，课外</w:t>
      </w:r>
      <w:r>
        <w:rPr>
          <w:rFonts w:ascii="仿宋_GB2312" w:hAnsi="仿宋_GB2312" w:cs="仿宋_GB2312"/>
          <w:bCs/>
          <w:sz w:val="28"/>
          <w:szCs w:val="28"/>
        </w:rPr>
        <w:t>0</w:t>
      </w:r>
      <w:r>
        <w:rPr>
          <w:rFonts w:ascii="仿宋_GB2312" w:hAnsi="仿宋_GB2312" w:cs="仿宋_GB2312" w:hint="eastAsia"/>
          <w:bCs/>
          <w:sz w:val="28"/>
          <w:szCs w:val="28"/>
        </w:rPr>
        <w:t>学时）</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适用对象：给排水科学与工程专业</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先修课程：电工学、给（污）水处理理论与技术、建筑给排水系统等。</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开课院系：建工学院给排水科学与工程系</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450ABE" w:rsidRDefault="00450ABE" w:rsidP="00450ABE">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给排水工程仪表与自控是给排水科学与工程专业的一门专业选修课。以讲授给排水系统自动化仪器仪表设备、常用控制技术与方法为主，适当地介绍自动控制的基础知识。</w:t>
      </w:r>
    </w:p>
    <w:p w:rsidR="00450ABE" w:rsidRDefault="00450ABE" w:rsidP="00450ABE">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本课程以水质检测仪表与监控技术为主要内容，将自动化与给排水工程密切结合。通过本课程的学习，希望学生能够站在给排水</w:t>
      </w:r>
      <w:r>
        <w:rPr>
          <w:rFonts w:ascii="仿宋_GB2312" w:hAnsi="仿宋_GB2312" w:cs="仿宋_GB2312" w:hint="eastAsia"/>
          <w:sz w:val="28"/>
          <w:szCs w:val="28"/>
        </w:rPr>
        <w:lastRenderedPageBreak/>
        <w:t>工艺技术的角度了解和认识自动化监控技术，能初步达到与自动化相关专业沟通、提出对工艺系统的监控要求的目的。</w:t>
      </w:r>
    </w:p>
    <w:p w:rsidR="00450ABE" w:rsidRDefault="00450ABE" w:rsidP="00450ABE">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教学方式采用PPT（案例讲解）、板书（数学模型讲解）、实物展示、课后思考题等相结合进行授课，使学生能真正理解仪表与自动控制在给排水科学与工程领域中的魅力，使学生在今后工作中能够针对实际的给排水工程问题提出有见解的仪表选型和控制策略方案。</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450ABE" w:rsidRDefault="00450ABE" w:rsidP="00450ABE">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450ABE" w:rsidRDefault="00450ABE" w:rsidP="00450ABE">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bCs/>
          <w:sz w:val="28"/>
          <w:szCs w:val="28"/>
        </w:rPr>
        <w:t>《</w:t>
      </w:r>
      <w:r>
        <w:rPr>
          <w:rFonts w:ascii="仿宋_GB2312" w:hAnsi="仿宋_GB2312" w:cs="仿宋_GB2312" w:hint="eastAsia"/>
          <w:sz w:val="28"/>
          <w:szCs w:val="28"/>
        </w:rPr>
        <w:t>给排水工程仪表与自控</w:t>
      </w:r>
      <w:r>
        <w:rPr>
          <w:rFonts w:ascii="仿宋_GB2312" w:hAnsi="仿宋_GB2312" w:cs="仿宋_GB2312" w:hint="eastAsia"/>
          <w:bCs/>
          <w:sz w:val="28"/>
          <w:szCs w:val="28"/>
        </w:rPr>
        <w:t>》</w:t>
      </w:r>
      <w:r>
        <w:rPr>
          <w:rFonts w:ascii="仿宋_GB2312" w:hAnsi="仿宋_GB2312" w:cs="仿宋_GB2312" w:hint="eastAsia"/>
          <w:sz w:val="28"/>
          <w:szCs w:val="28"/>
        </w:rPr>
        <w:t>是给排水科学与工程专业的一门专业发展课。以讲授给排水系统自动化仪器仪表设备、常用控制技术与方法为主，适当地介绍自动控制的基础知识。</w:t>
      </w:r>
    </w:p>
    <w:p w:rsidR="00450ABE" w:rsidRDefault="00450ABE" w:rsidP="00450ABE">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从对自动控制原理基础知识的认识开始，逐步引入相对简单的双位控制，使学生对自动控制系统的基本结构和基本问题又初步认识，由浅入深，逐步引入相对复杂的PID连续控制。在了解控制系统的基础上，进一步教授学生对执行器（如阀门、水泵等）、各类仪表（如给排水处理所涉及的各类仪表，PH值、流量计等）的认识。讲解水泵及管道系统的控制调节 、给水处理系统控制技术、污水处理厂的检测仪表与ICA技术和污水处理厂的监视控制与自动控制。</w:t>
      </w:r>
    </w:p>
    <w:p w:rsidR="00450ABE" w:rsidRDefault="00450ABE"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450ABE" w:rsidRDefault="00450ABE" w:rsidP="00450ABE">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450ABE" w:rsidRDefault="00450ABE" w:rsidP="00450ABE">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知识目标：通过本课程的学习，要求学生能够了解给排水自动化系统的各类仪表和设备基本原理和功能，充分掌握水泵及管道系统控制调节的原理和方法，熟悉给水和污水处理系统控制技术、参</w:t>
      </w:r>
      <w:r>
        <w:rPr>
          <w:rFonts w:ascii="仿宋_GB2312" w:hAnsi="仿宋_GB2312" w:cs="仿宋_GB2312" w:hint="eastAsia"/>
          <w:sz w:val="28"/>
          <w:szCs w:val="28"/>
        </w:rPr>
        <w:lastRenderedPageBreak/>
        <w:t>数选择、检测仪表与方法选取和个处理单元的控制过程，</w:t>
      </w:r>
    </w:p>
    <w:p w:rsidR="00450ABE" w:rsidRDefault="00450ABE" w:rsidP="00450ABE">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能力目标：能够以水质检测仪表与监控技术</w:t>
      </w:r>
      <w:bookmarkStart w:id="68" w:name="_Hlk68097779"/>
      <w:r>
        <w:rPr>
          <w:rFonts w:ascii="仿宋_GB2312" w:hAnsi="仿宋_GB2312" w:cs="仿宋_GB2312" w:hint="eastAsia"/>
          <w:sz w:val="28"/>
          <w:szCs w:val="28"/>
        </w:rPr>
        <w:t>为</w:t>
      </w:r>
      <w:bookmarkEnd w:id="68"/>
      <w:r>
        <w:rPr>
          <w:rFonts w:ascii="仿宋_GB2312" w:hAnsi="仿宋_GB2312" w:cs="仿宋_GB2312" w:hint="eastAsia"/>
          <w:sz w:val="28"/>
          <w:szCs w:val="28"/>
        </w:rPr>
        <w:t>基础，将自动化与给排水工程密切结合，能初步达到与相关专业沟通、提出对工艺系统的监控要求的目的，具备较强的工程实践和组织管理能力，最终能够针对给排水处理问题提出检测和自动控制方案。</w:t>
      </w:r>
    </w:p>
    <w:p w:rsidR="00450ABE" w:rsidRDefault="00450ABE" w:rsidP="00450ABE">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情感态度与价值观目标：</w:t>
      </w:r>
      <w:bookmarkStart w:id="69" w:name="_Hlk69130808"/>
      <w:r>
        <w:rPr>
          <w:rFonts w:ascii="仿宋_GB2312" w:hAnsi="仿宋_GB2312" w:cs="仿宋_GB2312" w:hint="eastAsia"/>
          <w:sz w:val="28"/>
          <w:szCs w:val="28"/>
        </w:rPr>
        <w:t>树立专业素养和自信，具有良好的品德修养、社会公德、职业道德和创新精神。培养学生要有稳定意识、大局意识、协作意识、责任意识、规划意识，结合专业特色激励学生创造人生价值。</w:t>
      </w:r>
    </w:p>
    <w:bookmarkEnd w:id="69"/>
    <w:p w:rsidR="00450ABE" w:rsidRDefault="00450ABE" w:rsidP="00450ABE">
      <w:pPr>
        <w:spacing w:afterLines="100" w:after="312" w:line="560" w:lineRule="exact"/>
      </w:pPr>
      <w:r>
        <w:rPr>
          <w:rFonts w:ascii="Times New Roman" w:hAnsi="Times New Roman"/>
          <w:sz w:val="28"/>
          <w:szCs w:val="28"/>
        </w:rPr>
        <w:t>2.2</w:t>
      </w:r>
      <w:r>
        <w:rPr>
          <w:rFonts w:hint="eastAsia"/>
          <w:sz w:val="28"/>
          <w:szCs w:val="28"/>
        </w:rPr>
        <w:t>课程目标与毕业要求之间的对应关系</w:t>
      </w:r>
      <w:r>
        <w:rPr>
          <w:rFonts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489"/>
        <w:gridCol w:w="489"/>
        <w:gridCol w:w="489"/>
        <w:gridCol w:w="489"/>
        <w:gridCol w:w="489"/>
        <w:gridCol w:w="489"/>
        <w:gridCol w:w="489"/>
        <w:gridCol w:w="490"/>
        <w:gridCol w:w="490"/>
        <w:gridCol w:w="509"/>
        <w:gridCol w:w="509"/>
        <w:gridCol w:w="509"/>
      </w:tblGrid>
      <w:tr w:rsidR="00450ABE" w:rsidTr="008C3907">
        <w:trPr>
          <w:trHeight w:hRule="exact" w:val="454"/>
          <w:jc w:val="center"/>
        </w:trPr>
        <w:tc>
          <w:tcPr>
            <w:tcW w:w="2743" w:type="dxa"/>
            <w:vMerge w:val="restart"/>
            <w:shd w:val="clear" w:color="auto" w:fill="auto"/>
            <w:vAlign w:val="center"/>
          </w:tcPr>
          <w:p w:rsidR="00450ABE" w:rsidRDefault="00450ABE" w:rsidP="008C3907">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课程目标</w:t>
            </w:r>
          </w:p>
        </w:tc>
        <w:tc>
          <w:tcPr>
            <w:tcW w:w="6233" w:type="dxa"/>
            <w:gridSpan w:val="12"/>
            <w:shd w:val="clear" w:color="auto" w:fill="auto"/>
            <w:vAlign w:val="center"/>
          </w:tcPr>
          <w:p w:rsidR="00450ABE" w:rsidRDefault="00450ABE" w:rsidP="008C3907">
            <w:pPr>
              <w:jc w:val="center"/>
              <w:rPr>
                <w:rFonts w:ascii="仿宋_GB2312" w:hAnsi="仿宋_GB2312" w:cs="仿宋_GB2312"/>
                <w:bCs/>
                <w:sz w:val="24"/>
                <w:szCs w:val="24"/>
              </w:rPr>
            </w:pPr>
            <w:r>
              <w:rPr>
                <w:rFonts w:ascii="仿宋_GB2312" w:hAnsi="仿宋_GB2312" w:cs="仿宋_GB2312" w:hint="eastAsia"/>
                <w:bCs/>
                <w:sz w:val="24"/>
                <w:szCs w:val="24"/>
              </w:rPr>
              <w:t>毕业要求</w:t>
            </w:r>
          </w:p>
        </w:tc>
      </w:tr>
      <w:tr w:rsidR="00450ABE" w:rsidTr="008C3907">
        <w:trPr>
          <w:trHeight w:hRule="exact" w:val="454"/>
          <w:jc w:val="center"/>
        </w:trPr>
        <w:tc>
          <w:tcPr>
            <w:tcW w:w="2743" w:type="dxa"/>
            <w:vMerge/>
            <w:shd w:val="clear" w:color="auto" w:fill="auto"/>
          </w:tcPr>
          <w:p w:rsidR="00450ABE" w:rsidRDefault="00450ABE" w:rsidP="008C3907">
            <w:pPr>
              <w:spacing w:line="360" w:lineRule="auto"/>
              <w:rPr>
                <w:rFonts w:ascii="仿宋_GB2312" w:hAnsi="仿宋_GB2312" w:cs="仿宋_GB2312"/>
                <w:bCs/>
                <w:sz w:val="24"/>
                <w:szCs w:val="24"/>
              </w:rPr>
            </w:pP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1</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2</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4"/>
                <w:szCs w:val="24"/>
              </w:rPr>
            </w:pPr>
            <w:r>
              <w:rPr>
                <w:rFonts w:ascii="仿宋_GB2312" w:hAnsi="华文中宋" w:cs="宋体" w:hint="eastAsia"/>
                <w:bCs/>
                <w:sz w:val="24"/>
                <w:szCs w:val="24"/>
              </w:rPr>
              <w:t>3</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4</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5</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6</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7</w:t>
            </w: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8</w:t>
            </w: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9</w:t>
            </w: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10</w:t>
            </w: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11</w:t>
            </w: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12</w:t>
            </w:r>
          </w:p>
        </w:tc>
      </w:tr>
      <w:tr w:rsidR="00450ABE" w:rsidTr="008C3907">
        <w:trPr>
          <w:trHeight w:hRule="exact" w:val="454"/>
          <w:jc w:val="center"/>
        </w:trPr>
        <w:tc>
          <w:tcPr>
            <w:tcW w:w="2743" w:type="dxa"/>
            <w:shd w:val="clear" w:color="auto" w:fill="auto"/>
            <w:vAlign w:val="center"/>
          </w:tcPr>
          <w:p w:rsidR="00450ABE" w:rsidRDefault="00450ABE" w:rsidP="008C3907">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知识目标</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L</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r>
      <w:tr w:rsidR="00450ABE" w:rsidTr="008C3907">
        <w:trPr>
          <w:trHeight w:hRule="exact" w:val="454"/>
          <w:jc w:val="center"/>
        </w:trPr>
        <w:tc>
          <w:tcPr>
            <w:tcW w:w="2743" w:type="dxa"/>
            <w:shd w:val="clear" w:color="auto" w:fill="auto"/>
            <w:vAlign w:val="center"/>
          </w:tcPr>
          <w:p w:rsidR="00450ABE" w:rsidRDefault="00450ABE" w:rsidP="008C3907">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能力目标</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L</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H</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r>
      <w:tr w:rsidR="00450ABE" w:rsidTr="008C3907">
        <w:trPr>
          <w:trHeight w:hRule="exact" w:val="454"/>
          <w:jc w:val="center"/>
        </w:trPr>
        <w:tc>
          <w:tcPr>
            <w:tcW w:w="2743" w:type="dxa"/>
            <w:shd w:val="clear" w:color="auto" w:fill="auto"/>
            <w:vAlign w:val="center"/>
          </w:tcPr>
          <w:p w:rsidR="00450ABE" w:rsidRDefault="00450ABE" w:rsidP="008C3907">
            <w:pPr>
              <w:spacing w:line="360" w:lineRule="auto"/>
              <w:jc w:val="center"/>
              <w:rPr>
                <w:rFonts w:ascii="仿宋_GB2312" w:hAnsi="仿宋_GB2312" w:cs="仿宋_GB2312"/>
                <w:bCs/>
                <w:sz w:val="24"/>
                <w:szCs w:val="24"/>
              </w:rPr>
            </w:pPr>
            <w:r>
              <w:rPr>
                <w:rFonts w:ascii="仿宋_GB2312" w:hAnsi="仿宋_GB2312" w:cs="仿宋_GB2312" w:hint="eastAsia"/>
                <w:bCs/>
                <w:sz w:val="24"/>
                <w:szCs w:val="24"/>
              </w:rPr>
              <w:t>情感态度与价值观目标</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r>
              <w:rPr>
                <w:rFonts w:ascii="仿宋_GB2312" w:hAnsi="华文中宋" w:cs="宋体" w:hint="eastAsia"/>
                <w:bCs/>
                <w:sz w:val="24"/>
                <w:szCs w:val="24"/>
              </w:rPr>
              <w:t>M</w:t>
            </w:r>
          </w:p>
        </w:tc>
        <w:tc>
          <w:tcPr>
            <w:tcW w:w="520" w:type="dxa"/>
            <w:shd w:val="clear" w:color="auto" w:fill="auto"/>
            <w:vAlign w:val="center"/>
          </w:tcPr>
          <w:p w:rsidR="00450ABE" w:rsidRDefault="00450ABE" w:rsidP="008C3907">
            <w:pPr>
              <w:tabs>
                <w:tab w:val="left" w:pos="6300"/>
              </w:tabs>
              <w:spacing w:line="360" w:lineRule="atLeast"/>
              <w:jc w:val="center"/>
              <w:rPr>
                <w:rFonts w:ascii="仿宋_GB2312" w:hAnsi="华文中宋" w:cs="宋体"/>
                <w:bCs/>
                <w:sz w:val="24"/>
                <w:szCs w:val="24"/>
              </w:rPr>
            </w:pPr>
          </w:p>
        </w:tc>
      </w:tr>
    </w:tbl>
    <w:p w:rsidR="00450ABE" w:rsidRDefault="00450ABE" w:rsidP="00450ABE">
      <w:pPr>
        <w:spacing w:beforeLines="100" w:before="312" w:line="560" w:lineRule="exact"/>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450ABE" w:rsidRDefault="00450ABE" w:rsidP="00450ABE">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该课程主要内容涉及自动控制基础知识、给排水自动化常用仪表和设备、水泵及管道系统的控制调节方法、水处理系统控制技术等相关知识。以水质为中心，建立系统。宽广的知识结构，以是指在线检测仪表与监控技术为主要内容的自动化知识为重点内容，其中水泵及管道系统的控制调节方法和水处理系统控制技术是难点。</w:t>
      </w:r>
    </w:p>
    <w:p w:rsidR="00450ABE" w:rsidRDefault="00450ABE" w:rsidP="00450ABE">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450ABE" w:rsidRDefault="00450ABE" w:rsidP="00450ABE">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《给排水工程仪表与控制》这门课程将自动化与给水排水工程密切结合，从给排水工程工艺技术的角度来介绍相关仪表与控制知识。</w:t>
      </w:r>
      <w:r>
        <w:rPr>
          <w:rFonts w:ascii="仿宋_GB2312" w:hAnsi="仿宋_GB2312" w:cs="仿宋_GB2312" w:hint="eastAsia"/>
          <w:sz w:val="28"/>
          <w:szCs w:val="28"/>
        </w:rPr>
        <w:lastRenderedPageBreak/>
        <w:t>通过讲授自动控制基础知识和负反馈控制系统各组成部分及其功能特点，使学生理解只有各组成部分团结一致、各司其职才能使控制系统具有良好的控制性能，进而激励学生在以后在社会大系统工作也要做到精益求精的工匠精神和团结协作精神。通过讲述正负反馈原理，借助孟母三迁、猫食碗故事等正反馈控制引导学生弘扬正能量，弘扬社会主义核心价值观，弘扬中华民族传统美德。通过观看视频和讲述使学生理解水泵及管道系统的控制调节对于节能的重要意义。通过介绍水源水质预警系统、城市供水管网在线监测技术与管网优化调度技术，明确监测点的布置以及检测指标对在线监测系统整体的重要性，引导学生要有大局意识和协调发展意识。结合近年水质在线检测技术的新发展和水厂单元控制的新技术，通过讲授给水处理系统和污水处理系统的控制技术，引导学生用发展的眼光看问题，终身学习，与时俱进，始终拥有先进的理念和较高的职业素养。</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450ABE" w:rsidTr="008C3907">
        <w:trPr>
          <w:cantSplit/>
          <w:trHeight w:val="785"/>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序号</w:t>
            </w:r>
          </w:p>
        </w:tc>
        <w:tc>
          <w:tcPr>
            <w:tcW w:w="210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450ABE" w:rsidTr="008C3907">
        <w:trPr>
          <w:trHeight w:val="428"/>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第一章</w:t>
            </w:r>
            <w:r>
              <w:rPr>
                <w:rFonts w:ascii="Times New Roman" w:hAnsi="Times New Roman" w:hint="eastAsia"/>
                <w:kern w:val="0"/>
                <w:sz w:val="20"/>
                <w:szCs w:val="20"/>
              </w:rPr>
              <w:t xml:space="preserve"> </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自动控制基础知识</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自动控制系统的概念与构成与分类，传递函数与环节特性，自动控制系统的过渡过程及品质指标，自动控制的基本方式。</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对自动控制结构有初步认识</w:t>
            </w:r>
          </w:p>
        </w:tc>
      </w:tr>
      <w:tr w:rsidR="00450ABE" w:rsidTr="008C3907">
        <w:trPr>
          <w:trHeight w:val="519"/>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第二章</w:t>
            </w:r>
            <w:r>
              <w:rPr>
                <w:rFonts w:ascii="Times New Roman" w:hAnsi="Times New Roman" w:hint="eastAsia"/>
                <w:kern w:val="0"/>
                <w:sz w:val="20"/>
                <w:szCs w:val="20"/>
              </w:rPr>
              <w:t xml:space="preserve"> </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给排水自动化仪表与设备</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检测技术基础，典型水质检测仪表，水质自动监测系统，工作参数在线检测仪表，可编程控制仪表，执行设备。</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熟悉各类仪表和执行器</w:t>
            </w:r>
          </w:p>
        </w:tc>
      </w:tr>
      <w:tr w:rsidR="00450ABE" w:rsidTr="008C3907">
        <w:trPr>
          <w:trHeight w:val="555"/>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第三章</w:t>
            </w:r>
            <w:r>
              <w:rPr>
                <w:rFonts w:ascii="Times New Roman" w:hAnsi="Times New Roman" w:hint="eastAsia"/>
                <w:kern w:val="0"/>
                <w:sz w:val="20"/>
                <w:szCs w:val="20"/>
              </w:rPr>
              <w:t xml:space="preserve"> </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水泵及管道系统的控制调节</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调节的内容与意义，水泵的调速控制，恒压给水系统控制技术。</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熟悉水泵调速控制原理</w:t>
            </w:r>
          </w:p>
        </w:tc>
      </w:tr>
      <w:tr w:rsidR="00450ABE" w:rsidTr="008C3907">
        <w:trPr>
          <w:trHeight w:val="555"/>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4</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第四章</w:t>
            </w:r>
            <w:r>
              <w:rPr>
                <w:rFonts w:ascii="Times New Roman" w:hAnsi="Times New Roman" w:hint="eastAsia"/>
                <w:kern w:val="0"/>
                <w:sz w:val="20"/>
                <w:szCs w:val="20"/>
              </w:rPr>
              <w:t xml:space="preserve"> </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给水处理系统控制技术</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混凝投药单元的控制技术，沉淀池运行控制技术，滤池的控制技术，氯气的自动投加与控制技术</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了解给水处理系统控制技术</w:t>
            </w:r>
          </w:p>
        </w:tc>
      </w:tr>
      <w:tr w:rsidR="00450ABE" w:rsidTr="008C3907">
        <w:trPr>
          <w:trHeight w:val="555"/>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5</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第五章</w:t>
            </w:r>
            <w:r>
              <w:rPr>
                <w:rFonts w:ascii="Times New Roman" w:hAnsi="Times New Roman" w:hint="eastAsia"/>
                <w:kern w:val="0"/>
                <w:sz w:val="20"/>
                <w:szCs w:val="20"/>
              </w:rPr>
              <w:t xml:space="preserve"> </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lastRenderedPageBreak/>
              <w:t>污水处理厂的检测仪表与</w:t>
            </w:r>
            <w:r>
              <w:rPr>
                <w:rFonts w:ascii="Times New Roman" w:hAnsi="Times New Roman" w:hint="eastAsia"/>
                <w:kern w:val="0"/>
                <w:sz w:val="20"/>
                <w:szCs w:val="20"/>
              </w:rPr>
              <w:t>ICA</w:t>
            </w:r>
            <w:r>
              <w:rPr>
                <w:rFonts w:ascii="Times New Roman" w:hAnsi="Times New Roman" w:hint="eastAsia"/>
                <w:kern w:val="0"/>
                <w:sz w:val="20"/>
                <w:szCs w:val="20"/>
              </w:rPr>
              <w:t>技术</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lastRenderedPageBreak/>
              <w:t>2</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污水处理厂的检测项目与取样，</w:t>
            </w:r>
            <w:r>
              <w:rPr>
                <w:rFonts w:ascii="Times New Roman" w:hAnsi="Times New Roman" w:hint="eastAsia"/>
                <w:kern w:val="0"/>
                <w:sz w:val="20"/>
                <w:szCs w:val="20"/>
              </w:rPr>
              <w:lastRenderedPageBreak/>
              <w:t>检测仪表与方法的选择，污水处理厂常用的检测方法与仪表设备</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lastRenderedPageBreak/>
              <w:t>认识污水处理仪表</w:t>
            </w:r>
          </w:p>
        </w:tc>
      </w:tr>
      <w:tr w:rsidR="00450ABE" w:rsidTr="008C3907">
        <w:trPr>
          <w:trHeight w:val="555"/>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6</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第六章</w:t>
            </w:r>
            <w:r>
              <w:rPr>
                <w:rFonts w:ascii="Times New Roman" w:hAnsi="Times New Roman" w:hint="eastAsia"/>
                <w:kern w:val="0"/>
                <w:sz w:val="20"/>
                <w:szCs w:val="20"/>
              </w:rPr>
              <w:t xml:space="preserve"> </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污水处理厂的监视控制与自动控制</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监视控制方式与项目的选择，监视控制仪表设备的选择，污水处理厂的计算机控制系统，污水泵站的自动控制及其设备，生物脱氮系统的控制和优化，污水处理厂的自动控制及应用</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认识污水处理监控系统</w:t>
            </w:r>
          </w:p>
        </w:tc>
      </w:tr>
    </w:tbl>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450ABE" w:rsidRDefault="00450ABE" w:rsidP="00450ABE">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450ABE" w:rsidRDefault="00450ABE" w:rsidP="00450ABE">
      <w:pPr>
        <w:spacing w:line="560" w:lineRule="exact"/>
        <w:ind w:firstLineChars="200" w:firstLine="560"/>
        <w:rPr>
          <w:rFonts w:ascii="仿宋_GB2312" w:hAnsi="宋体"/>
          <w:bCs/>
          <w:sz w:val="28"/>
          <w:szCs w:val="28"/>
        </w:rPr>
      </w:pPr>
      <w:r>
        <w:rPr>
          <w:rFonts w:ascii="仿宋_GB2312" w:hAnsi="宋体" w:hint="eastAsia"/>
          <w:bCs/>
          <w:sz w:val="28"/>
          <w:szCs w:val="28"/>
        </w:rPr>
        <w:t>采用平时成绩+期末考试方式确定总评成绩。其中平时成绩考核包括作业、讨论、出勤等内容，期末考试采用开卷方式。平时成绩占30%，期末考试成绩占70%。</w:t>
      </w:r>
    </w:p>
    <w:p w:rsidR="00450ABE" w:rsidRDefault="00450ABE"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450ABE" w:rsidRDefault="00450ABE" w:rsidP="00450ABE">
      <w:pPr>
        <w:spacing w:line="560" w:lineRule="exact"/>
        <w:ind w:left="560"/>
        <w:rPr>
          <w:rFonts w:ascii="仿宋_GB2312" w:hAnsi="仿宋_GB2312" w:cs="仿宋_GB2312"/>
          <w:sz w:val="28"/>
          <w:szCs w:val="28"/>
        </w:rPr>
      </w:pPr>
      <w:r>
        <w:rPr>
          <w:rFonts w:ascii="仿宋_GB2312" w:hAnsi="仿宋_GB2312" w:cs="仿宋_GB2312" w:hint="eastAsia"/>
          <w:sz w:val="28"/>
          <w:szCs w:val="28"/>
        </w:rPr>
        <w:t>成绩评定方式为百分制，</w:t>
      </w:r>
      <w:r>
        <w:rPr>
          <w:rFonts w:ascii="仿宋_GB2312" w:hAnsi="仿宋_GB2312" w:cs="仿宋_GB2312"/>
          <w:sz w:val="28"/>
          <w:szCs w:val="28"/>
        </w:rPr>
        <w:t>课程总成绩=期末成绩70</w:t>
      </w:r>
      <w:r>
        <w:rPr>
          <w:rFonts w:ascii="仿宋_GB2312" w:hAnsi="仿宋_GB2312" w:cs="仿宋_GB2312" w:hint="eastAsia"/>
          <w:sz w:val="28"/>
          <w:szCs w:val="28"/>
        </w:rPr>
        <w:t>%+平时</w:t>
      </w:r>
      <w:r>
        <w:rPr>
          <w:rFonts w:ascii="仿宋_GB2312" w:hAnsi="仿宋_GB2312" w:cs="仿宋_GB2312"/>
          <w:sz w:val="28"/>
          <w:szCs w:val="28"/>
        </w:rPr>
        <w:t>成绩30</w:t>
      </w:r>
      <w:r>
        <w:rPr>
          <w:rFonts w:ascii="仿宋_GB2312" w:hAnsi="仿宋_GB2312" w:cs="仿宋_GB2312" w:hint="eastAsia"/>
          <w:sz w:val="28"/>
          <w:szCs w:val="28"/>
        </w:rPr>
        <w:t>%。</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450ABE" w:rsidRDefault="00450ABE" w:rsidP="00450ABE">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450ABE" w:rsidRDefault="00450ABE" w:rsidP="00450ABE">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给排水工程仪表与控制（第三版），崔福义、彭永臻、南军 编，中国建筑工业出版社，20</w:t>
      </w:r>
      <w:r>
        <w:rPr>
          <w:rFonts w:ascii="仿宋_GB2312" w:hAnsi="仿宋_GB2312" w:cs="仿宋_GB2312"/>
          <w:sz w:val="28"/>
          <w:szCs w:val="28"/>
        </w:rPr>
        <w:t>17</w:t>
      </w:r>
      <w:r>
        <w:rPr>
          <w:rFonts w:ascii="仿宋_GB2312" w:hAnsi="仿宋_GB2312" w:cs="仿宋_GB2312" w:hint="eastAsia"/>
          <w:sz w:val="28"/>
          <w:szCs w:val="28"/>
        </w:rPr>
        <w:t>年</w:t>
      </w:r>
      <w:r>
        <w:rPr>
          <w:rFonts w:ascii="仿宋_GB2312" w:hAnsi="仿宋_GB2312" w:cs="仿宋_GB2312"/>
          <w:sz w:val="28"/>
          <w:szCs w:val="28"/>
        </w:rPr>
        <w:t>5</w:t>
      </w:r>
      <w:r>
        <w:rPr>
          <w:rFonts w:ascii="仿宋_GB2312" w:hAnsi="仿宋_GB2312" w:cs="仿宋_GB2312" w:hint="eastAsia"/>
          <w:sz w:val="28"/>
          <w:szCs w:val="28"/>
        </w:rPr>
        <w:t>月第三版出版。</w:t>
      </w:r>
    </w:p>
    <w:p w:rsidR="00450ABE" w:rsidRDefault="00450ABE" w:rsidP="00450ABE">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450ABE" w:rsidRDefault="00450ABE" w:rsidP="00450ABE">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无</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450ABE" w:rsidRDefault="00450ABE" w:rsidP="00450ABE">
      <w:pPr>
        <w:spacing w:line="400" w:lineRule="exact"/>
        <w:jc w:val="left"/>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无</w:t>
      </w:r>
    </w:p>
    <w:p w:rsidR="00450ABE" w:rsidRDefault="00450ABE" w:rsidP="00450ABE">
      <w:pPr>
        <w:spacing w:beforeLines="50" w:before="156" w:afterLines="50" w:after="156" w:line="460" w:lineRule="exact"/>
        <w:rPr>
          <w:rFonts w:ascii="黑体" w:eastAsia="黑体" w:hAnsi="黑体"/>
          <w:b/>
          <w:sz w:val="28"/>
          <w:szCs w:val="28"/>
        </w:rPr>
      </w:pPr>
    </w:p>
    <w:p w:rsidR="00450ABE" w:rsidRDefault="00450ABE" w:rsidP="00450ABE">
      <w:pPr>
        <w:spacing w:beforeLines="50" w:before="156" w:afterLines="50" w:after="156" w:line="460" w:lineRule="exact"/>
        <w:rPr>
          <w:rFonts w:ascii="黑体" w:eastAsia="黑体" w:hAnsi="黑体"/>
          <w:b/>
          <w:sz w:val="28"/>
          <w:szCs w:val="28"/>
        </w:rPr>
      </w:pPr>
    </w:p>
    <w:p w:rsidR="00450ABE" w:rsidRDefault="00450ABE" w:rsidP="00450ABE">
      <w:pPr>
        <w:spacing w:beforeLines="50" w:before="156" w:afterLines="50" w:after="156" w:line="460" w:lineRule="exact"/>
        <w:rPr>
          <w:rFonts w:ascii="黑体" w:eastAsia="黑体" w:hAnsi="黑体"/>
          <w:b/>
          <w:sz w:val="28"/>
          <w:szCs w:val="28"/>
        </w:rPr>
      </w:pPr>
    </w:p>
    <w:p w:rsidR="00450ABE" w:rsidRDefault="00450ABE" w:rsidP="00450ABE">
      <w:pPr>
        <w:spacing w:beforeLines="50" w:before="156" w:afterLines="50" w:after="156" w:line="460" w:lineRule="exact"/>
        <w:rPr>
          <w:rFonts w:ascii="黑体" w:eastAsia="黑体" w:hAnsi="黑体"/>
          <w:b/>
          <w:sz w:val="28"/>
          <w:szCs w:val="28"/>
        </w:rPr>
      </w:pPr>
    </w:p>
    <w:p w:rsidR="00450ABE" w:rsidRDefault="00450ABE" w:rsidP="00450ABE">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大纲撰写人：孙燕</w:t>
      </w:r>
    </w:p>
    <w:p w:rsidR="00450ABE" w:rsidRDefault="00450ABE" w:rsidP="00450ABE">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课程负责人：孙燕</w:t>
      </w:r>
    </w:p>
    <w:p w:rsidR="00450ABE" w:rsidRDefault="00450ABE" w:rsidP="00450ABE">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w:t>
      </w:r>
    </w:p>
    <w:p w:rsidR="00450ABE" w:rsidRDefault="00450ABE" w:rsidP="00450ABE">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450ABE" w:rsidRDefault="00450ABE" w:rsidP="00450ABE">
      <w:pPr>
        <w:ind w:firstLineChars="2000" w:firstLine="5600"/>
        <w:jc w:val="left"/>
        <w:rPr>
          <w:rFonts w:ascii="仿宋" w:hAnsi="仿宋"/>
          <w:sz w:val="28"/>
          <w:szCs w:val="28"/>
        </w:rPr>
      </w:pPr>
      <w:r>
        <w:rPr>
          <w:rFonts w:ascii="仿宋_GB2312" w:hAnsi="微软雅黑" w:hint="eastAsia"/>
          <w:sz w:val="28"/>
          <w:szCs w:val="28"/>
        </w:rPr>
        <w:t xml:space="preserve">    </w:t>
      </w:r>
    </w:p>
    <w:p w:rsidR="00450ABE" w:rsidRDefault="00450ABE" w:rsidP="00450ABE">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 年  </w:t>
      </w:r>
      <w:r>
        <w:rPr>
          <w:rFonts w:ascii="仿宋" w:eastAsia="仿宋" w:hAnsi="仿宋"/>
          <w:sz w:val="28"/>
          <w:szCs w:val="28"/>
        </w:rPr>
        <w:t>4</w:t>
      </w:r>
      <w:r>
        <w:rPr>
          <w:rFonts w:ascii="仿宋" w:eastAsia="仿宋" w:hAnsi="仿宋" w:hint="eastAsia"/>
          <w:sz w:val="28"/>
          <w:szCs w:val="28"/>
        </w:rPr>
        <w:t xml:space="preserve">  月</w:t>
      </w:r>
    </w:p>
    <w:p w:rsidR="005708AF" w:rsidRDefault="005708AF" w:rsidP="00450ABE">
      <w:pPr>
        <w:widowControl/>
        <w:spacing w:line="360" w:lineRule="auto"/>
        <w:jc w:val="center"/>
        <w:rPr>
          <w:rFonts w:ascii="方正小标宋简体" w:eastAsia="方正小标宋简体" w:hAnsi="宋体"/>
          <w:kern w:val="0"/>
          <w:szCs w:val="32"/>
        </w:rPr>
      </w:pPr>
    </w:p>
    <w:p w:rsidR="005708AF" w:rsidRDefault="005708AF" w:rsidP="00450ABE">
      <w:pPr>
        <w:widowControl/>
        <w:spacing w:line="360" w:lineRule="auto"/>
        <w:jc w:val="center"/>
        <w:rPr>
          <w:rFonts w:ascii="方正小标宋简体" w:eastAsia="方正小标宋简体" w:hAnsi="宋体"/>
          <w:kern w:val="0"/>
          <w:szCs w:val="32"/>
        </w:rPr>
      </w:pPr>
    </w:p>
    <w:p w:rsidR="005708AF" w:rsidRDefault="005708AF" w:rsidP="00450ABE">
      <w:pPr>
        <w:widowControl/>
        <w:spacing w:line="360" w:lineRule="auto"/>
        <w:jc w:val="center"/>
        <w:rPr>
          <w:rFonts w:ascii="方正小标宋简体" w:eastAsia="方正小标宋简体" w:hAnsi="宋体"/>
          <w:kern w:val="0"/>
          <w:szCs w:val="32"/>
        </w:rPr>
      </w:pPr>
    </w:p>
    <w:p w:rsidR="005708AF" w:rsidRDefault="005708AF" w:rsidP="00450ABE">
      <w:pPr>
        <w:widowControl/>
        <w:spacing w:line="360" w:lineRule="auto"/>
        <w:jc w:val="center"/>
        <w:rPr>
          <w:rFonts w:ascii="方正小标宋简体" w:eastAsia="方正小标宋简体" w:hAnsi="宋体"/>
          <w:kern w:val="0"/>
          <w:szCs w:val="32"/>
        </w:rPr>
      </w:pPr>
    </w:p>
    <w:p w:rsidR="005708AF" w:rsidRDefault="005708AF" w:rsidP="00450ABE">
      <w:pPr>
        <w:widowControl/>
        <w:spacing w:line="360" w:lineRule="auto"/>
        <w:jc w:val="center"/>
        <w:rPr>
          <w:rFonts w:ascii="方正小标宋简体" w:eastAsia="方正小标宋简体" w:hAnsi="宋体"/>
          <w:kern w:val="0"/>
          <w:szCs w:val="32"/>
        </w:rPr>
      </w:pPr>
    </w:p>
    <w:p w:rsidR="005708AF" w:rsidRDefault="005708AF" w:rsidP="00450ABE">
      <w:pPr>
        <w:widowControl/>
        <w:spacing w:line="360" w:lineRule="auto"/>
        <w:jc w:val="center"/>
        <w:rPr>
          <w:rFonts w:ascii="方正小标宋简体" w:eastAsia="方正小标宋简体" w:hAnsi="宋体"/>
          <w:kern w:val="0"/>
          <w:szCs w:val="32"/>
        </w:rPr>
      </w:pPr>
    </w:p>
    <w:p w:rsidR="005708AF" w:rsidRDefault="005708AF" w:rsidP="00450ABE">
      <w:pPr>
        <w:widowControl/>
        <w:spacing w:line="360" w:lineRule="auto"/>
        <w:jc w:val="center"/>
        <w:rPr>
          <w:rFonts w:ascii="方正小标宋简体" w:eastAsia="方正小标宋简体" w:hAnsi="宋体"/>
          <w:kern w:val="0"/>
          <w:szCs w:val="32"/>
        </w:rPr>
      </w:pPr>
    </w:p>
    <w:p w:rsidR="005708AF" w:rsidRDefault="005708AF" w:rsidP="00450ABE">
      <w:pPr>
        <w:widowControl/>
        <w:spacing w:line="360" w:lineRule="auto"/>
        <w:jc w:val="center"/>
        <w:rPr>
          <w:rFonts w:ascii="方正小标宋简体" w:eastAsia="方正小标宋简体" w:hAnsi="宋体"/>
          <w:kern w:val="0"/>
          <w:szCs w:val="32"/>
        </w:rPr>
      </w:pPr>
    </w:p>
    <w:p w:rsidR="005708AF" w:rsidRDefault="005708AF" w:rsidP="00450ABE">
      <w:pPr>
        <w:widowControl/>
        <w:spacing w:line="360" w:lineRule="auto"/>
        <w:jc w:val="center"/>
        <w:rPr>
          <w:rFonts w:ascii="方正小标宋简体" w:eastAsia="方正小标宋简体" w:hAnsi="宋体"/>
          <w:kern w:val="0"/>
          <w:szCs w:val="32"/>
        </w:rPr>
      </w:pPr>
    </w:p>
    <w:p w:rsidR="005708AF" w:rsidRDefault="005708AF" w:rsidP="00450ABE">
      <w:pPr>
        <w:widowControl/>
        <w:spacing w:line="360" w:lineRule="auto"/>
        <w:jc w:val="center"/>
        <w:rPr>
          <w:rFonts w:ascii="方正小标宋简体" w:eastAsia="方正小标宋简体" w:hAnsi="宋体"/>
          <w:kern w:val="0"/>
          <w:szCs w:val="32"/>
        </w:rPr>
      </w:pPr>
    </w:p>
    <w:p w:rsidR="005708AF" w:rsidRDefault="005708AF" w:rsidP="00450ABE">
      <w:pPr>
        <w:widowControl/>
        <w:spacing w:line="360" w:lineRule="auto"/>
        <w:jc w:val="center"/>
        <w:rPr>
          <w:rFonts w:ascii="方正小标宋简体" w:eastAsia="方正小标宋简体" w:hAnsi="宋体"/>
          <w:kern w:val="0"/>
          <w:szCs w:val="32"/>
        </w:rPr>
      </w:pPr>
    </w:p>
    <w:p w:rsidR="005708AF" w:rsidRDefault="005708AF" w:rsidP="00450ABE">
      <w:pPr>
        <w:widowControl/>
        <w:spacing w:line="360" w:lineRule="auto"/>
        <w:jc w:val="center"/>
        <w:rPr>
          <w:rFonts w:ascii="方正小标宋简体" w:eastAsia="方正小标宋简体" w:hAnsi="宋体"/>
          <w:kern w:val="0"/>
          <w:szCs w:val="32"/>
        </w:rPr>
      </w:pPr>
    </w:p>
    <w:p w:rsidR="005708AF" w:rsidRDefault="005708AF" w:rsidP="00450ABE">
      <w:pPr>
        <w:widowControl/>
        <w:spacing w:line="360" w:lineRule="auto"/>
        <w:jc w:val="center"/>
        <w:rPr>
          <w:rFonts w:ascii="方正小标宋简体" w:eastAsia="方正小标宋简体" w:hAnsi="宋体"/>
          <w:kern w:val="0"/>
          <w:szCs w:val="32"/>
        </w:rPr>
      </w:pPr>
    </w:p>
    <w:p w:rsidR="00450ABE" w:rsidRDefault="00450ABE" w:rsidP="00450ABE">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《工业排水》课程教学大纲</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英文名称：I</w:t>
      </w:r>
      <w:r>
        <w:rPr>
          <w:rFonts w:ascii="仿宋_GB2312" w:hAnsi="仿宋_GB2312" w:cs="仿宋_GB2312"/>
          <w:bCs/>
          <w:sz w:val="28"/>
          <w:szCs w:val="28"/>
        </w:rPr>
        <w:t xml:space="preserve">ndustrial </w:t>
      </w:r>
      <w:r>
        <w:rPr>
          <w:rFonts w:ascii="仿宋_GB2312" w:hAnsi="仿宋_GB2312" w:cs="仿宋_GB2312" w:hint="eastAsia"/>
          <w:bCs/>
          <w:sz w:val="28"/>
          <w:szCs w:val="28"/>
        </w:rPr>
        <w:t>W</w:t>
      </w:r>
      <w:r>
        <w:rPr>
          <w:rFonts w:ascii="仿宋_GB2312" w:hAnsi="仿宋_GB2312" w:cs="仿宋_GB2312"/>
          <w:bCs/>
          <w:sz w:val="28"/>
          <w:szCs w:val="28"/>
        </w:rPr>
        <w:t xml:space="preserve">astewater </w:t>
      </w:r>
      <w:r>
        <w:rPr>
          <w:rFonts w:ascii="仿宋_GB2312" w:hAnsi="仿宋_GB2312" w:cs="仿宋_GB2312" w:hint="eastAsia"/>
          <w:bCs/>
          <w:sz w:val="28"/>
          <w:szCs w:val="28"/>
        </w:rPr>
        <w:t>T</w:t>
      </w:r>
      <w:r>
        <w:rPr>
          <w:rFonts w:ascii="仿宋_GB2312" w:hAnsi="仿宋_GB2312" w:cs="仿宋_GB2312"/>
          <w:bCs/>
          <w:sz w:val="28"/>
          <w:szCs w:val="28"/>
        </w:rPr>
        <w:t>reatment</w:t>
      </w:r>
    </w:p>
    <w:p w:rsidR="00450ABE" w:rsidRDefault="00450ABE" w:rsidP="00450ABE">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Z2806430</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450ABE" w:rsidRDefault="00450ABE" w:rsidP="00450ABE">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450ABE" w:rsidRDefault="00450ABE" w:rsidP="00450ABE">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学时（授课</w:t>
      </w:r>
      <w:r>
        <w:rPr>
          <w:rFonts w:ascii="仿宋_GB2312" w:hAnsi="仿宋_GB2312" w:cs="仿宋_GB2312"/>
          <w:bCs/>
          <w:sz w:val="28"/>
          <w:szCs w:val="28"/>
        </w:rPr>
        <w:t>24</w:t>
      </w:r>
      <w:r>
        <w:rPr>
          <w:rFonts w:ascii="仿宋_GB2312" w:hAnsi="仿宋_GB2312" w:cs="仿宋_GB2312" w:hint="eastAsia"/>
          <w:bCs/>
          <w:sz w:val="28"/>
          <w:szCs w:val="28"/>
        </w:rPr>
        <w:t>学时）</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适用对象：给排水科学与工程专业</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先修课程：水处理生物学，水分析化学、水质工程(1) (2)</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工业废水处理》是给排水科学与工程专业学生的专业发展选修课，是一门与实践应用结合紧密的课程，课堂教学内容包括工业废水处理的物理法、化学法、物理化学法与生物法基本原理、典型的工艺流程。通过线下课程形式，课堂教学采用多媒体和传统教学相结合的方式，课堂讲授与讨论等，使学生在了解工业废水处理技术基本理论的基础上，掌握各类工业废水处理方法的基本原理、典型的工艺流程、设计参数计算以及操作管理等，为今后从事工业废水的设计、管理及科学研究工作打下基础。</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lastRenderedPageBreak/>
        <w:t>1. 课程任务</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生掌握各类工业废水处理方法的基本原理、典型的工艺流程、设计参数计算以及操作管理等，为今后从事工业废水处理的设计、管理及科学研究工作打下基础。学生对工业废水处理理论与技术有一个总体认知，掌握行业废水的处理方法和设备、典型的工艺流程，加深学生对基本原理的理解，扩大学生的工程理论与技术专业知识，具备工业水工程废水、水安全及水设备的开发、管理和研究能力。同时，挖掘工业废水行业及相关工程领域所蕴含的思政教育元素，培养学生人文素养；结合当前学科及工程发展面临的机遇和挑战，激发学生的爱国情、强国志、报国行。培养学生的责任感和使命感、精益求精的大国工匠精神以及精忠报国的家国情怀和使命担当。</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课程基本要求</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(1) 知识目标：学生掌握工业废水处理技术中物理法、化学法、物理化学法与生物法的基本理论和工程学方法；了解并掌握工业废水处理控制技术的发展趋势和方向；</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 能力目标：①学生通过对工业排水发展的历史进程及其内在的规律性把握，具备运用科学观和方法论分析和评价复杂问题的能力；②学生通过对知识目标内容的学习，开展相关实践能力培养，具备工业废水处理工程的设计、管理及相关科学研究能力③增强自主学习能力，学生激发学习兴趣，提高学习的积极性，增强学习的信心；</w:t>
      </w:r>
      <w:r>
        <w:rPr>
          <w:rFonts w:ascii="仿宋_GB2312" w:hAnsi="仿宋_GB2312" w:cs="仿宋_GB2312"/>
          <w:bCs/>
          <w:sz w:val="28"/>
          <w:szCs w:val="28"/>
        </w:rPr>
        <w:fldChar w:fldCharType="begin"/>
      </w:r>
      <w:r>
        <w:rPr>
          <w:rFonts w:ascii="仿宋_GB2312" w:hAnsi="仿宋_GB2312" w:cs="仿宋_GB2312"/>
          <w:bCs/>
          <w:sz w:val="28"/>
          <w:szCs w:val="28"/>
        </w:rPr>
        <w:instrText xml:space="preserve"> </w:instrText>
      </w:r>
      <w:r>
        <w:rPr>
          <w:rFonts w:ascii="仿宋_GB2312" w:hAnsi="仿宋_GB2312" w:cs="仿宋_GB2312" w:hint="eastAsia"/>
          <w:bCs/>
          <w:sz w:val="28"/>
          <w:szCs w:val="28"/>
        </w:rPr>
        <w:instrText>= 4 \* GB3</w:instrText>
      </w:r>
      <w:r>
        <w:rPr>
          <w:rFonts w:ascii="仿宋_GB2312" w:hAnsi="仿宋_GB2312" w:cs="仿宋_GB2312"/>
          <w:bCs/>
          <w:sz w:val="28"/>
          <w:szCs w:val="28"/>
        </w:rPr>
        <w:instrText xml:space="preserve"> </w:instrText>
      </w:r>
      <w:r>
        <w:rPr>
          <w:rFonts w:ascii="仿宋_GB2312" w:hAnsi="仿宋_GB2312" w:cs="仿宋_GB2312"/>
          <w:bCs/>
          <w:sz w:val="28"/>
          <w:szCs w:val="28"/>
        </w:rPr>
        <w:fldChar w:fldCharType="separate"/>
      </w:r>
      <w:r>
        <w:rPr>
          <w:rFonts w:ascii="仿宋_GB2312" w:hAnsi="仿宋_GB2312" w:cs="仿宋_GB2312" w:hint="eastAsia"/>
          <w:bCs/>
          <w:sz w:val="28"/>
          <w:szCs w:val="28"/>
        </w:rPr>
        <w:t>④</w:t>
      </w:r>
      <w:r>
        <w:rPr>
          <w:rFonts w:ascii="仿宋_GB2312" w:hAnsi="仿宋_GB2312" w:cs="仿宋_GB2312"/>
          <w:bCs/>
          <w:sz w:val="28"/>
          <w:szCs w:val="28"/>
        </w:rPr>
        <w:fldChar w:fldCharType="end"/>
      </w:r>
      <w:r>
        <w:rPr>
          <w:rFonts w:ascii="仿宋_GB2312" w:hAnsi="仿宋_GB2312" w:cs="仿宋_GB2312" w:hint="eastAsia"/>
          <w:bCs/>
          <w:sz w:val="28"/>
          <w:szCs w:val="28"/>
        </w:rPr>
        <w:t>学生独立思考能力，提高创新意识。</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(3) 情感态度与价值观目标：学生在情感态度层面应当激发其爱国主义情操和民族意识，以增强民族自尊心、自信心和自豪感；树立</w:t>
      </w:r>
      <w:r>
        <w:rPr>
          <w:rFonts w:ascii="仿宋_GB2312" w:hAnsi="仿宋_GB2312" w:cs="仿宋_GB2312" w:hint="eastAsia"/>
          <w:bCs/>
          <w:sz w:val="28"/>
          <w:szCs w:val="28"/>
        </w:rPr>
        <w:lastRenderedPageBreak/>
        <w:t>职业发展的自主意识，树立正确的人生观、价值观、就业观，把个人发展与国家需要、社会发展相结合，确立职业的概念和意识，愿意为个人的生涯发展和社会发展主动付出积极的努力。具有良好的科学态度和创新精神，合理地提出新理论、新方法的素养。</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 xml:space="preserve">2.2 课程目标与毕业要求之间的对应关系 </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26"/>
        <w:gridCol w:w="2410"/>
        <w:gridCol w:w="2126"/>
      </w:tblGrid>
      <w:tr w:rsidR="00450ABE" w:rsidTr="008C3907">
        <w:tc>
          <w:tcPr>
            <w:tcW w:w="2972" w:type="dxa"/>
            <w:vMerge w:val="restart"/>
            <w:shd w:val="clear" w:color="auto" w:fill="auto"/>
            <w:vAlign w:val="center"/>
          </w:tcPr>
          <w:p w:rsidR="00450ABE" w:rsidRPr="005708AF" w:rsidRDefault="00450ABE" w:rsidP="008C3907">
            <w:pPr>
              <w:jc w:val="center"/>
              <w:rPr>
                <w:rFonts w:ascii="仿宋_GB2312" w:hAnsi="仿宋_GB2312" w:cs="仿宋_GB2312"/>
                <w:b/>
                <w:bCs/>
                <w:sz w:val="24"/>
                <w:szCs w:val="24"/>
              </w:rPr>
            </w:pPr>
            <w:r w:rsidRPr="005708AF">
              <w:rPr>
                <w:rFonts w:ascii="仿宋_GB2312" w:hAnsi="仿宋_GB2312" w:cs="仿宋_GB2312" w:hint="eastAsia"/>
                <w:b/>
                <w:bCs/>
                <w:sz w:val="24"/>
                <w:szCs w:val="24"/>
              </w:rPr>
              <w:t>毕业要求</w:t>
            </w:r>
          </w:p>
        </w:tc>
        <w:tc>
          <w:tcPr>
            <w:tcW w:w="6662" w:type="dxa"/>
            <w:gridSpan w:val="3"/>
            <w:shd w:val="clear" w:color="auto" w:fill="auto"/>
            <w:vAlign w:val="center"/>
          </w:tcPr>
          <w:p w:rsidR="00450ABE" w:rsidRPr="005708AF" w:rsidRDefault="00450ABE" w:rsidP="008C3907">
            <w:pPr>
              <w:jc w:val="center"/>
              <w:rPr>
                <w:rFonts w:ascii="仿宋_GB2312" w:hAnsi="仿宋_GB2312" w:cs="仿宋_GB2312"/>
                <w:b/>
                <w:bCs/>
                <w:sz w:val="24"/>
                <w:szCs w:val="24"/>
              </w:rPr>
            </w:pPr>
            <w:r w:rsidRPr="005708AF">
              <w:rPr>
                <w:rFonts w:ascii="仿宋_GB2312" w:hAnsi="仿宋_GB2312" w:cs="仿宋_GB2312" w:hint="eastAsia"/>
                <w:b/>
                <w:bCs/>
                <w:sz w:val="24"/>
                <w:szCs w:val="24"/>
              </w:rPr>
              <w:t>课程目标</w:t>
            </w:r>
          </w:p>
        </w:tc>
      </w:tr>
      <w:tr w:rsidR="00450ABE" w:rsidTr="008C3907">
        <w:tc>
          <w:tcPr>
            <w:tcW w:w="2972" w:type="dxa"/>
            <w:vMerge/>
            <w:shd w:val="clear" w:color="auto" w:fill="auto"/>
            <w:vAlign w:val="center"/>
          </w:tcPr>
          <w:p w:rsidR="00450ABE" w:rsidRPr="005708AF" w:rsidRDefault="00450ABE" w:rsidP="008C3907">
            <w:pPr>
              <w:jc w:val="center"/>
              <w:rPr>
                <w:rFonts w:ascii="仿宋_GB2312" w:hAnsi="仿宋_GB2312" w:cs="仿宋_GB2312"/>
                <w:b/>
                <w:bCs/>
                <w:sz w:val="24"/>
                <w:szCs w:val="24"/>
              </w:rPr>
            </w:pPr>
          </w:p>
        </w:tc>
        <w:tc>
          <w:tcPr>
            <w:tcW w:w="2126" w:type="dxa"/>
            <w:shd w:val="clear" w:color="auto" w:fill="auto"/>
            <w:vAlign w:val="center"/>
          </w:tcPr>
          <w:p w:rsidR="00450ABE" w:rsidRPr="005708AF" w:rsidRDefault="00450ABE" w:rsidP="008C3907">
            <w:pPr>
              <w:jc w:val="center"/>
              <w:rPr>
                <w:rFonts w:ascii="仿宋_GB2312" w:hAnsi="仿宋_GB2312" w:cs="仿宋_GB2312"/>
                <w:b/>
                <w:bCs/>
                <w:sz w:val="24"/>
                <w:szCs w:val="24"/>
              </w:rPr>
            </w:pPr>
            <w:r w:rsidRPr="005708AF">
              <w:rPr>
                <w:rFonts w:ascii="仿宋_GB2312" w:hAnsi="仿宋_GB2312" w:cs="仿宋_GB2312" w:hint="eastAsia"/>
                <w:b/>
                <w:bCs/>
                <w:sz w:val="24"/>
                <w:szCs w:val="24"/>
              </w:rPr>
              <w:t>（1）</w:t>
            </w:r>
          </w:p>
        </w:tc>
        <w:tc>
          <w:tcPr>
            <w:tcW w:w="2410" w:type="dxa"/>
            <w:shd w:val="clear" w:color="auto" w:fill="auto"/>
            <w:vAlign w:val="center"/>
          </w:tcPr>
          <w:p w:rsidR="00450ABE" w:rsidRPr="005708AF" w:rsidRDefault="00450ABE" w:rsidP="008C3907">
            <w:pPr>
              <w:jc w:val="center"/>
              <w:rPr>
                <w:rFonts w:ascii="仿宋_GB2312" w:hAnsi="仿宋_GB2312" w:cs="仿宋_GB2312"/>
                <w:b/>
                <w:bCs/>
                <w:sz w:val="24"/>
                <w:szCs w:val="24"/>
              </w:rPr>
            </w:pPr>
            <w:r w:rsidRPr="005708AF">
              <w:rPr>
                <w:rFonts w:ascii="仿宋_GB2312" w:hAnsi="仿宋_GB2312" w:cs="仿宋_GB2312" w:hint="eastAsia"/>
                <w:b/>
                <w:bCs/>
                <w:sz w:val="24"/>
                <w:szCs w:val="24"/>
              </w:rPr>
              <w:t>（2）</w:t>
            </w:r>
          </w:p>
        </w:tc>
        <w:tc>
          <w:tcPr>
            <w:tcW w:w="2126" w:type="dxa"/>
            <w:shd w:val="clear" w:color="auto" w:fill="auto"/>
            <w:vAlign w:val="center"/>
          </w:tcPr>
          <w:p w:rsidR="00450ABE" w:rsidRPr="005708AF" w:rsidRDefault="00450ABE" w:rsidP="008C3907">
            <w:pPr>
              <w:jc w:val="center"/>
              <w:rPr>
                <w:rFonts w:ascii="仿宋_GB2312" w:hAnsi="仿宋_GB2312" w:cs="仿宋_GB2312"/>
                <w:b/>
                <w:bCs/>
                <w:sz w:val="24"/>
                <w:szCs w:val="24"/>
              </w:rPr>
            </w:pPr>
            <w:r w:rsidRPr="005708AF">
              <w:rPr>
                <w:rFonts w:ascii="仿宋_GB2312" w:hAnsi="仿宋_GB2312" w:cs="仿宋_GB2312" w:hint="eastAsia"/>
                <w:b/>
                <w:bCs/>
                <w:sz w:val="24"/>
                <w:szCs w:val="24"/>
              </w:rPr>
              <w:t>（3）</w:t>
            </w:r>
          </w:p>
        </w:tc>
      </w:tr>
      <w:tr w:rsidR="00450ABE" w:rsidTr="008C3907">
        <w:tc>
          <w:tcPr>
            <w:tcW w:w="2972"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毕业要求1</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H</w:t>
            </w:r>
          </w:p>
        </w:tc>
        <w:tc>
          <w:tcPr>
            <w:tcW w:w="2410"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r>
      <w:tr w:rsidR="00450ABE" w:rsidTr="008C3907">
        <w:tc>
          <w:tcPr>
            <w:tcW w:w="2972"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毕业要求2</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410"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H</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r>
      <w:tr w:rsidR="00450ABE" w:rsidTr="008C3907">
        <w:tc>
          <w:tcPr>
            <w:tcW w:w="2972"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毕业要求3</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410"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bCs/>
                <w:sz w:val="24"/>
                <w:szCs w:val="24"/>
              </w:rPr>
              <w:t>M</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r>
      <w:tr w:rsidR="00450ABE" w:rsidTr="008C3907">
        <w:tc>
          <w:tcPr>
            <w:tcW w:w="2972"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毕业要求4</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410"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r>
      <w:tr w:rsidR="00450ABE" w:rsidTr="008C3907">
        <w:tc>
          <w:tcPr>
            <w:tcW w:w="2972"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毕业要求5</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410"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L</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r>
      <w:tr w:rsidR="00450ABE" w:rsidTr="008C3907">
        <w:tc>
          <w:tcPr>
            <w:tcW w:w="2972"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毕业要求6</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410"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H</w:t>
            </w:r>
          </w:p>
        </w:tc>
      </w:tr>
      <w:tr w:rsidR="00450ABE" w:rsidTr="008C3907">
        <w:tc>
          <w:tcPr>
            <w:tcW w:w="2972"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毕业要求7</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410"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r>
      <w:tr w:rsidR="00450ABE" w:rsidTr="008C3907">
        <w:tc>
          <w:tcPr>
            <w:tcW w:w="2972"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毕业要求8</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410"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bCs/>
                <w:sz w:val="24"/>
                <w:szCs w:val="24"/>
              </w:rPr>
              <w:t>H</w:t>
            </w:r>
          </w:p>
        </w:tc>
      </w:tr>
      <w:tr w:rsidR="00450ABE" w:rsidTr="008C3907">
        <w:tc>
          <w:tcPr>
            <w:tcW w:w="2972"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毕业要求9</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410"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r>
      <w:tr w:rsidR="00450ABE" w:rsidTr="008C3907">
        <w:tc>
          <w:tcPr>
            <w:tcW w:w="2972"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毕业要求10</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410"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L</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r>
      <w:tr w:rsidR="00450ABE" w:rsidTr="008C3907">
        <w:tc>
          <w:tcPr>
            <w:tcW w:w="2972"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毕业要求11</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410"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r>
      <w:tr w:rsidR="00450ABE" w:rsidTr="008C3907">
        <w:tc>
          <w:tcPr>
            <w:tcW w:w="2972"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毕业要求12</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c>
          <w:tcPr>
            <w:tcW w:w="2410" w:type="dxa"/>
            <w:shd w:val="clear" w:color="auto" w:fill="auto"/>
            <w:vAlign w:val="center"/>
          </w:tcPr>
          <w:p w:rsidR="00450ABE" w:rsidRPr="005708AF" w:rsidRDefault="00450ABE" w:rsidP="008C3907">
            <w:pPr>
              <w:jc w:val="center"/>
              <w:rPr>
                <w:rFonts w:ascii="仿宋_GB2312" w:hAnsi="仿宋_GB2312" w:cs="仿宋_GB2312"/>
                <w:bCs/>
                <w:sz w:val="24"/>
                <w:szCs w:val="24"/>
              </w:rPr>
            </w:pPr>
            <w:r w:rsidRPr="005708AF">
              <w:rPr>
                <w:rFonts w:ascii="仿宋_GB2312" w:hAnsi="仿宋_GB2312" w:cs="仿宋_GB2312" w:hint="eastAsia"/>
                <w:bCs/>
                <w:sz w:val="24"/>
                <w:szCs w:val="24"/>
              </w:rPr>
              <w:t>H</w:t>
            </w:r>
          </w:p>
        </w:tc>
        <w:tc>
          <w:tcPr>
            <w:tcW w:w="2126" w:type="dxa"/>
            <w:shd w:val="clear" w:color="auto" w:fill="auto"/>
            <w:vAlign w:val="center"/>
          </w:tcPr>
          <w:p w:rsidR="00450ABE" w:rsidRPr="005708AF" w:rsidRDefault="00450ABE" w:rsidP="008C3907">
            <w:pPr>
              <w:jc w:val="center"/>
              <w:rPr>
                <w:rFonts w:ascii="仿宋_GB2312" w:hAnsi="仿宋_GB2312" w:cs="仿宋_GB2312"/>
                <w:bCs/>
                <w:sz w:val="24"/>
                <w:szCs w:val="24"/>
              </w:rPr>
            </w:pPr>
          </w:p>
        </w:tc>
      </w:tr>
    </w:tbl>
    <w:p w:rsidR="00450ABE" w:rsidRDefault="00450ABE" w:rsidP="00450ABE">
      <w:pPr>
        <w:spacing w:line="360" w:lineRule="auto"/>
        <w:ind w:firstLineChars="200" w:firstLine="422"/>
        <w:jc w:val="left"/>
        <w:rPr>
          <w:rFonts w:ascii="宋体" w:eastAsia="宋体" w:hAnsi="宋体"/>
          <w:b/>
          <w:color w:val="FF0000"/>
          <w:sz w:val="21"/>
          <w:szCs w:val="21"/>
        </w:rPr>
      </w:pP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3. 课程的重点、难点</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重点：工业废水特点来源，法律法规、排放标准要求，了解工业废水对环境的污染危害；工业废水处理的物理法、化学法、物理化学法与生物法基本原理、典型的工艺流程；难降解工业有机废水的生物处理方法与技术，厌氧-好氧复合处理以及化学氧化与生物处理组合工艺。</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课程难点：各种处理工艺的基本设备设施形式、优缺点、设计计算与方案比选。</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4. 课程思政设计</w:t>
      </w:r>
    </w:p>
    <w:p w:rsidR="00450ABE" w:rsidRDefault="00450ABE" w:rsidP="00450ABE">
      <w:pPr>
        <w:spacing w:line="560" w:lineRule="exact"/>
        <w:ind w:firstLine="331"/>
        <w:rPr>
          <w:rFonts w:ascii="宋体" w:eastAsia="宋体" w:hAnsi="宋体"/>
          <w:b/>
          <w:color w:val="FF0000"/>
          <w:sz w:val="21"/>
          <w:szCs w:val="21"/>
        </w:rPr>
      </w:pPr>
      <w:r>
        <w:rPr>
          <w:rFonts w:ascii="仿宋_GB2312" w:hAnsi="仿宋_GB2312" w:cs="仿宋_GB2312" w:hint="eastAsia"/>
          <w:bCs/>
          <w:sz w:val="28"/>
          <w:szCs w:val="28"/>
        </w:rPr>
        <w:t>坚持围绕价值引领、能力培养和知识传授为一体的课程目标，综合运用使用讲授点拨、案例穿插、专题嵌入、讨论辨析、隐形渗透等课</w:t>
      </w:r>
      <w:r>
        <w:rPr>
          <w:rFonts w:ascii="仿宋_GB2312" w:hAnsi="仿宋_GB2312" w:cs="仿宋_GB2312" w:hint="eastAsia"/>
          <w:bCs/>
          <w:sz w:val="28"/>
          <w:szCs w:val="28"/>
        </w:rPr>
        <w:lastRenderedPageBreak/>
        <w:t>程思政的融入方式，将蕴含的思政元素融入课程教学和改革。如工业废水处理概论章节，通过对习近平生态文明思想介绍，坚定“四个自信”，引导培养低碳环保的意识，明确低碳生活价值观的确立是推进生态文明建设的必然要求,构建和谐社会的本质要求,促进人的全面发展的现实需要。另外，引导学生树立创新意识，积极探索培育新知识；水处理设施设备学习章节，了解设备结构、功能及效率的提升，都离不开水行业参与者的进一步探索和创新，作为新时代的大学生，要敢于担当，把个人发展与国家需要、社会发展相结合，确立职业的概念和意识；通过我国工业废水处理案例及历史成就学习，激发学生爱国主义情怀和民族自豪感，培养学生的责任感和使命感、精益求精的大国工匠精神以及精忠报国的家国情怀和使命担当。</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450ABE" w:rsidTr="008C3907">
        <w:trPr>
          <w:cantSplit/>
          <w:trHeight w:val="785"/>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序号</w:t>
            </w:r>
          </w:p>
        </w:tc>
        <w:tc>
          <w:tcPr>
            <w:tcW w:w="210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450ABE" w:rsidTr="008C3907">
        <w:trPr>
          <w:trHeight w:val="428"/>
        </w:trPr>
        <w:tc>
          <w:tcPr>
            <w:tcW w:w="51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第十二章</w:t>
            </w:r>
            <w:r>
              <w:rPr>
                <w:rFonts w:ascii="Times New Roman" w:hAnsi="Times New Roman" w:hint="eastAsia"/>
                <w:kern w:val="0"/>
                <w:sz w:val="20"/>
                <w:szCs w:val="20"/>
              </w:rPr>
              <w:t xml:space="preserve"> </w:t>
            </w:r>
            <w:r>
              <w:rPr>
                <w:rFonts w:ascii="Times New Roman" w:hAnsi="Times New Roman" w:hint="eastAsia"/>
                <w:kern w:val="0"/>
                <w:sz w:val="20"/>
                <w:szCs w:val="20"/>
              </w:rPr>
              <w:t>工业废水处理概论</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12.1 </w:t>
            </w:r>
            <w:r>
              <w:rPr>
                <w:rFonts w:ascii="Times New Roman" w:hAnsi="Times New Roman" w:hint="eastAsia"/>
                <w:kern w:val="0"/>
                <w:sz w:val="20"/>
                <w:szCs w:val="20"/>
              </w:rPr>
              <w:t>概述</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12.3</w:t>
            </w:r>
            <w:r>
              <w:rPr>
                <w:rFonts w:ascii="Times New Roman" w:hAnsi="Times New Roman" w:hint="eastAsia"/>
                <w:kern w:val="0"/>
                <w:sz w:val="20"/>
                <w:szCs w:val="20"/>
              </w:rPr>
              <w:t>工业废水处理概述</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开展讨论式教学，提升知识、能力、情感态度与价值观等课程目标</w:t>
            </w:r>
          </w:p>
        </w:tc>
      </w:tr>
      <w:tr w:rsidR="00450ABE" w:rsidTr="008C3907">
        <w:trPr>
          <w:trHeight w:val="519"/>
        </w:trPr>
        <w:tc>
          <w:tcPr>
            <w:tcW w:w="51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第十三章</w:t>
            </w:r>
            <w:r>
              <w:rPr>
                <w:rFonts w:ascii="Times New Roman" w:hAnsi="Times New Roman" w:hint="eastAsia"/>
                <w:kern w:val="0"/>
                <w:sz w:val="20"/>
                <w:szCs w:val="20"/>
              </w:rPr>
              <w:t xml:space="preserve"> </w:t>
            </w:r>
            <w:r>
              <w:rPr>
                <w:rFonts w:ascii="Times New Roman" w:hAnsi="Times New Roman" w:hint="eastAsia"/>
                <w:kern w:val="0"/>
                <w:sz w:val="20"/>
                <w:szCs w:val="20"/>
              </w:rPr>
              <w:t>工业废水的物理处理</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3</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13.1 </w:t>
            </w:r>
            <w:r>
              <w:rPr>
                <w:rFonts w:ascii="Times New Roman" w:hAnsi="Times New Roman" w:hint="eastAsia"/>
                <w:kern w:val="0"/>
                <w:sz w:val="20"/>
                <w:szCs w:val="20"/>
              </w:rPr>
              <w:t>调节池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13.2 </w:t>
            </w:r>
            <w:r>
              <w:rPr>
                <w:rFonts w:ascii="Times New Roman" w:hAnsi="Times New Roman" w:hint="eastAsia"/>
                <w:kern w:val="0"/>
                <w:sz w:val="20"/>
                <w:szCs w:val="20"/>
              </w:rPr>
              <w:t>离心分离</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13.3 </w:t>
            </w:r>
            <w:r>
              <w:rPr>
                <w:rFonts w:ascii="Times New Roman" w:hAnsi="Times New Roman" w:hint="eastAsia"/>
                <w:kern w:val="0"/>
                <w:sz w:val="20"/>
                <w:szCs w:val="20"/>
              </w:rPr>
              <w:t>除油</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13.4 </w:t>
            </w:r>
            <w:r>
              <w:rPr>
                <w:rFonts w:ascii="Times New Roman" w:hAnsi="Times New Roman" w:hint="eastAsia"/>
                <w:kern w:val="0"/>
                <w:sz w:val="20"/>
                <w:szCs w:val="20"/>
              </w:rPr>
              <w:t>过滤</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开展启发式教学，自主案例学习，提升知识、能力、情感态度与价值观等课程目标</w:t>
            </w:r>
          </w:p>
        </w:tc>
      </w:tr>
      <w:tr w:rsidR="00450ABE" w:rsidTr="008C3907">
        <w:trPr>
          <w:trHeight w:val="555"/>
        </w:trPr>
        <w:tc>
          <w:tcPr>
            <w:tcW w:w="51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第十四章</w:t>
            </w:r>
            <w:r>
              <w:rPr>
                <w:rFonts w:ascii="Times New Roman" w:hAnsi="Times New Roman" w:hint="eastAsia"/>
                <w:kern w:val="0"/>
                <w:sz w:val="20"/>
                <w:szCs w:val="20"/>
              </w:rPr>
              <w:t xml:space="preserve"> </w:t>
            </w:r>
            <w:r>
              <w:rPr>
                <w:rFonts w:ascii="Times New Roman" w:hAnsi="Times New Roman" w:hint="eastAsia"/>
                <w:kern w:val="0"/>
                <w:sz w:val="20"/>
                <w:szCs w:val="20"/>
              </w:rPr>
              <w:t>工业废水的化学处理</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5</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14.1 </w:t>
            </w:r>
            <w:r>
              <w:rPr>
                <w:rFonts w:ascii="Times New Roman" w:hAnsi="Times New Roman" w:hint="eastAsia"/>
                <w:kern w:val="0"/>
                <w:sz w:val="20"/>
                <w:szCs w:val="20"/>
              </w:rPr>
              <w:t>中和</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14.2 </w:t>
            </w:r>
            <w:r>
              <w:rPr>
                <w:rFonts w:ascii="Times New Roman" w:hAnsi="Times New Roman" w:hint="eastAsia"/>
                <w:kern w:val="0"/>
                <w:sz w:val="20"/>
                <w:szCs w:val="20"/>
              </w:rPr>
              <w:t>化学沉淀</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14.3  </w:t>
            </w:r>
            <w:r>
              <w:rPr>
                <w:rFonts w:ascii="Times New Roman" w:hAnsi="Times New Roman" w:hint="eastAsia"/>
                <w:kern w:val="0"/>
                <w:sz w:val="20"/>
                <w:szCs w:val="20"/>
              </w:rPr>
              <w:t>氧化还原</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开展启发式教学，自主案例学习，提升知识、能力、情感态度与价值观等课程目标</w:t>
            </w:r>
          </w:p>
        </w:tc>
      </w:tr>
      <w:tr w:rsidR="00450ABE" w:rsidTr="008C3907">
        <w:trPr>
          <w:trHeight w:val="548"/>
        </w:trPr>
        <w:tc>
          <w:tcPr>
            <w:tcW w:w="51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第十五章</w:t>
            </w:r>
            <w:r>
              <w:rPr>
                <w:rFonts w:ascii="Times New Roman" w:hAnsi="Times New Roman" w:hint="eastAsia"/>
                <w:kern w:val="0"/>
                <w:sz w:val="20"/>
                <w:szCs w:val="20"/>
              </w:rPr>
              <w:t xml:space="preserve"> </w:t>
            </w:r>
            <w:r>
              <w:rPr>
                <w:rFonts w:ascii="Times New Roman" w:hAnsi="Times New Roman" w:hint="eastAsia"/>
                <w:kern w:val="0"/>
                <w:sz w:val="20"/>
                <w:szCs w:val="20"/>
              </w:rPr>
              <w:t>工业废水的物理化学处理</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9</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15.1 </w:t>
            </w:r>
            <w:r>
              <w:rPr>
                <w:rFonts w:ascii="Times New Roman" w:hAnsi="Times New Roman" w:hint="eastAsia"/>
                <w:kern w:val="0"/>
                <w:sz w:val="20"/>
                <w:szCs w:val="20"/>
              </w:rPr>
              <w:t>混凝</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15.2</w:t>
            </w:r>
            <w:r>
              <w:rPr>
                <w:rFonts w:ascii="Times New Roman" w:hAnsi="Times New Roman" w:hint="eastAsia"/>
                <w:kern w:val="0"/>
                <w:sz w:val="20"/>
                <w:szCs w:val="20"/>
              </w:rPr>
              <w:t>气浮</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15.3</w:t>
            </w:r>
            <w:r>
              <w:rPr>
                <w:rFonts w:ascii="Times New Roman" w:hAnsi="Times New Roman" w:hint="eastAsia"/>
                <w:kern w:val="0"/>
                <w:sz w:val="20"/>
                <w:szCs w:val="20"/>
              </w:rPr>
              <w:t>吸附</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15.4</w:t>
            </w:r>
            <w:r>
              <w:rPr>
                <w:rFonts w:ascii="Times New Roman" w:hAnsi="Times New Roman" w:hint="eastAsia"/>
                <w:kern w:val="0"/>
                <w:sz w:val="20"/>
                <w:szCs w:val="20"/>
              </w:rPr>
              <w:t>离子交换</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15.5</w:t>
            </w:r>
            <w:r>
              <w:rPr>
                <w:rFonts w:ascii="Times New Roman" w:hAnsi="Times New Roman" w:hint="eastAsia"/>
                <w:kern w:val="0"/>
                <w:sz w:val="20"/>
                <w:szCs w:val="20"/>
              </w:rPr>
              <w:t>膜分离技术</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15.6</w:t>
            </w:r>
            <w:r>
              <w:rPr>
                <w:rFonts w:ascii="Times New Roman" w:hAnsi="Times New Roman" w:hint="eastAsia"/>
                <w:kern w:val="0"/>
                <w:sz w:val="20"/>
                <w:szCs w:val="20"/>
              </w:rPr>
              <w:t>超滤和微滤</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15.7</w:t>
            </w:r>
            <w:r>
              <w:rPr>
                <w:rFonts w:ascii="Times New Roman" w:hAnsi="Times New Roman" w:hint="eastAsia"/>
                <w:kern w:val="0"/>
                <w:sz w:val="20"/>
                <w:szCs w:val="20"/>
              </w:rPr>
              <w:t>反渗透</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开展启发式教学，自主案例学习，提升知识、能力、情感态度与价值观等课程目标</w:t>
            </w:r>
          </w:p>
        </w:tc>
      </w:tr>
      <w:tr w:rsidR="00450ABE" w:rsidTr="008C3907">
        <w:trPr>
          <w:trHeight w:val="548"/>
        </w:trPr>
        <w:tc>
          <w:tcPr>
            <w:tcW w:w="51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5</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第十六章</w:t>
            </w:r>
            <w:r>
              <w:rPr>
                <w:rFonts w:ascii="Times New Roman" w:hAnsi="Times New Roman" w:hint="eastAsia"/>
                <w:kern w:val="0"/>
                <w:sz w:val="20"/>
                <w:szCs w:val="20"/>
              </w:rPr>
              <w:t xml:space="preserve"> </w:t>
            </w:r>
            <w:r>
              <w:rPr>
                <w:rFonts w:ascii="Times New Roman" w:hAnsi="Times New Roman" w:hint="eastAsia"/>
                <w:kern w:val="0"/>
                <w:sz w:val="20"/>
                <w:szCs w:val="20"/>
              </w:rPr>
              <w:t>工业废水的生物处理</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6</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16.1</w:t>
            </w:r>
            <w:r>
              <w:rPr>
                <w:rFonts w:ascii="Times New Roman" w:hAnsi="Times New Roman" w:hint="eastAsia"/>
                <w:kern w:val="0"/>
                <w:sz w:val="20"/>
                <w:szCs w:val="20"/>
              </w:rPr>
              <w:t>工业废水的可生化性</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16.2 </w:t>
            </w:r>
            <w:r>
              <w:rPr>
                <w:rFonts w:ascii="Times New Roman" w:hAnsi="Times New Roman" w:hint="eastAsia"/>
                <w:kern w:val="0"/>
                <w:sz w:val="20"/>
                <w:szCs w:val="20"/>
              </w:rPr>
              <w:t>工业有机废水生物处理工</w:t>
            </w:r>
            <w:r>
              <w:rPr>
                <w:rFonts w:ascii="Times New Roman" w:hAnsi="Times New Roman" w:hint="eastAsia"/>
                <w:kern w:val="0"/>
                <w:sz w:val="20"/>
                <w:szCs w:val="20"/>
              </w:rPr>
              <w:lastRenderedPageBreak/>
              <w:t>艺</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16.3</w:t>
            </w:r>
            <w:r>
              <w:rPr>
                <w:rFonts w:ascii="Times New Roman" w:hAnsi="Times New Roman" w:hint="eastAsia"/>
                <w:kern w:val="0"/>
                <w:sz w:val="20"/>
                <w:szCs w:val="20"/>
              </w:rPr>
              <w:t>工业有机废水好氧生物处理</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16.4</w:t>
            </w:r>
            <w:r>
              <w:rPr>
                <w:rFonts w:ascii="Times New Roman" w:hAnsi="Times New Roman" w:hint="eastAsia"/>
                <w:kern w:val="0"/>
                <w:sz w:val="20"/>
                <w:szCs w:val="20"/>
              </w:rPr>
              <w:t>工业有机废水厌氧生物处理</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16.5</w:t>
            </w:r>
            <w:r>
              <w:rPr>
                <w:rFonts w:ascii="Times New Roman" w:hAnsi="Times New Roman" w:hint="eastAsia"/>
                <w:kern w:val="0"/>
                <w:sz w:val="20"/>
                <w:szCs w:val="20"/>
              </w:rPr>
              <w:t>工业有机废水的复合生物处理</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lastRenderedPageBreak/>
              <w:t>开展讨论式教学，自主案例学习，提升知识、能力、情感态</w:t>
            </w:r>
            <w:r>
              <w:rPr>
                <w:rFonts w:ascii="Times New Roman" w:hAnsi="Times New Roman" w:hint="eastAsia"/>
                <w:kern w:val="0"/>
                <w:sz w:val="20"/>
                <w:szCs w:val="20"/>
              </w:rPr>
              <w:lastRenderedPageBreak/>
              <w:t>度与价值观等课程目标</w:t>
            </w:r>
          </w:p>
        </w:tc>
      </w:tr>
    </w:tbl>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五、课程考核方式与成绩评定</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1. 课程考核</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考核方式为考试</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成绩评定</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建立“三位一体”的评价方式，即过程评价，以学生在教学过程的参与程度作为评价的基本标准；目标评价，以课程目标作为评价的重要标准；能力评价，以学生运用本课程知识解决相关理论和实际问题为参照标准。评估方式可以有小论文、读书报告、口述访谈，课堂辩论，案例讨论等形式。</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课程成绩由平时成绩和期终考试两个环节的成绩综合评定产生。各评价环节所占比例及对教学目标的支撑如下表所示。成绩评定方式（百分制）</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bCs/>
          <w:sz w:val="28"/>
          <w:szCs w:val="28"/>
        </w:rPr>
        <w:t>课程总成绩=期末成绩70</w:t>
      </w:r>
      <w:r>
        <w:rPr>
          <w:rFonts w:ascii="仿宋_GB2312" w:hAnsi="仿宋_GB2312" w:cs="仿宋_GB2312" w:hint="eastAsia"/>
          <w:bCs/>
          <w:sz w:val="28"/>
          <w:szCs w:val="28"/>
        </w:rPr>
        <w:t>%+平时</w:t>
      </w:r>
      <w:r>
        <w:rPr>
          <w:rFonts w:ascii="仿宋_GB2312" w:hAnsi="仿宋_GB2312" w:cs="仿宋_GB2312"/>
          <w:bCs/>
          <w:sz w:val="28"/>
          <w:szCs w:val="28"/>
        </w:rPr>
        <w:t>成绩30</w:t>
      </w:r>
      <w:r>
        <w:rPr>
          <w:rFonts w:ascii="仿宋_GB2312" w:hAnsi="仿宋_GB2312" w:cs="仿宋_GB2312" w:hint="eastAsia"/>
          <w:bCs/>
          <w:sz w:val="28"/>
          <w:szCs w:val="28"/>
        </w:rPr>
        <w:t>%</w:t>
      </w:r>
      <w:r>
        <w:rPr>
          <w:rFonts w:ascii="仿宋_GB2312" w:hAnsi="仿宋_GB2312" w:cs="仿宋_GB2312"/>
          <w:bCs/>
          <w:sz w:val="28"/>
          <w:szCs w:val="28"/>
        </w:rPr>
        <w:t xml:space="preserve">  </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说明：（1）平时成绩包括：考勤、作业和讨论等环节，其中考勤（15%），作业和讨论等（15%）。</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bCs/>
          <w:sz w:val="28"/>
          <w:szCs w:val="28"/>
        </w:rPr>
        <w:t>小论文</w:t>
      </w:r>
      <w:r>
        <w:rPr>
          <w:rFonts w:ascii="仿宋_GB2312" w:hAnsi="仿宋_GB2312" w:cs="仿宋_GB2312" w:hint="eastAsia"/>
          <w:bCs/>
          <w:sz w:val="28"/>
          <w:szCs w:val="28"/>
        </w:rPr>
        <w:t>作业</w:t>
      </w:r>
      <w:r>
        <w:rPr>
          <w:rFonts w:ascii="仿宋_GB2312" w:hAnsi="仿宋_GB2312" w:cs="仿宋_GB2312"/>
          <w:bCs/>
          <w:sz w:val="28"/>
          <w:szCs w:val="28"/>
        </w:rPr>
        <w:t>评阅成绩的标准根据相关规定，成绩一般可分为优秀、良好、中、及格、不及格五个等级，评分细则如下：</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513"/>
        <w:gridCol w:w="6451"/>
      </w:tblGrid>
      <w:tr w:rsidR="00450ABE" w:rsidTr="008C3907">
        <w:trPr>
          <w:trHeight w:val="473"/>
          <w:jc w:val="center"/>
        </w:trPr>
        <w:tc>
          <w:tcPr>
            <w:tcW w:w="2513" w:type="dxa"/>
            <w:vAlign w:val="center"/>
          </w:tcPr>
          <w:p w:rsidR="00450ABE" w:rsidRPr="005708AF" w:rsidRDefault="00450ABE" w:rsidP="008C3907">
            <w:pPr>
              <w:jc w:val="center"/>
              <w:rPr>
                <w:rFonts w:ascii="Times New Roman" w:hAnsi="Times New Roman"/>
                <w:b/>
                <w:kern w:val="0"/>
                <w:sz w:val="24"/>
                <w:szCs w:val="24"/>
              </w:rPr>
            </w:pPr>
            <w:r w:rsidRPr="005708AF">
              <w:rPr>
                <w:rFonts w:ascii="Times New Roman" w:hAnsi="Times New Roman"/>
                <w:b/>
                <w:kern w:val="0"/>
                <w:sz w:val="24"/>
                <w:szCs w:val="24"/>
              </w:rPr>
              <w:t>等级</w:t>
            </w:r>
          </w:p>
        </w:tc>
        <w:tc>
          <w:tcPr>
            <w:tcW w:w="6451" w:type="dxa"/>
            <w:vAlign w:val="center"/>
          </w:tcPr>
          <w:p w:rsidR="00450ABE" w:rsidRPr="005708AF" w:rsidRDefault="00450ABE" w:rsidP="008C3907">
            <w:pPr>
              <w:ind w:firstLine="420"/>
              <w:jc w:val="center"/>
              <w:rPr>
                <w:rFonts w:ascii="Times New Roman" w:hAnsi="Times New Roman"/>
                <w:b/>
                <w:kern w:val="0"/>
                <w:sz w:val="24"/>
                <w:szCs w:val="24"/>
              </w:rPr>
            </w:pPr>
            <w:r w:rsidRPr="005708AF">
              <w:rPr>
                <w:rFonts w:ascii="Times New Roman" w:hAnsi="Times New Roman"/>
                <w:b/>
                <w:kern w:val="0"/>
                <w:sz w:val="24"/>
                <w:szCs w:val="24"/>
              </w:rPr>
              <w:t>等级描述</w:t>
            </w:r>
          </w:p>
        </w:tc>
      </w:tr>
      <w:tr w:rsidR="00450ABE" w:rsidTr="008C3907">
        <w:trPr>
          <w:trHeight w:val="822"/>
          <w:jc w:val="center"/>
        </w:trPr>
        <w:tc>
          <w:tcPr>
            <w:tcW w:w="2513" w:type="dxa"/>
            <w:vAlign w:val="center"/>
          </w:tcPr>
          <w:p w:rsidR="00450ABE" w:rsidRPr="005708AF" w:rsidRDefault="00450ABE" w:rsidP="008C3907">
            <w:pPr>
              <w:jc w:val="center"/>
              <w:rPr>
                <w:rFonts w:ascii="Times New Roman" w:hAnsi="Times New Roman"/>
                <w:kern w:val="0"/>
                <w:sz w:val="24"/>
                <w:szCs w:val="24"/>
              </w:rPr>
            </w:pPr>
            <w:r w:rsidRPr="005708AF">
              <w:rPr>
                <w:rFonts w:ascii="Times New Roman" w:hAnsi="Times New Roman"/>
                <w:kern w:val="0"/>
                <w:sz w:val="24"/>
                <w:szCs w:val="24"/>
              </w:rPr>
              <w:t>优秀（</w:t>
            </w:r>
            <w:r w:rsidRPr="005708AF">
              <w:rPr>
                <w:rFonts w:ascii="Times New Roman" w:hAnsi="Times New Roman"/>
                <w:kern w:val="0"/>
                <w:sz w:val="24"/>
                <w:szCs w:val="24"/>
              </w:rPr>
              <w:t>100</w:t>
            </w:r>
            <w:r w:rsidRPr="005708AF">
              <w:rPr>
                <w:rFonts w:ascii="Times New Roman" w:hAnsi="Times New Roman"/>
                <w:kern w:val="0"/>
                <w:sz w:val="24"/>
                <w:szCs w:val="24"/>
              </w:rPr>
              <w:t>分</w:t>
            </w:r>
            <w:r w:rsidRPr="005708AF">
              <w:rPr>
                <w:rFonts w:ascii="Times New Roman" w:hAnsi="Times New Roman" w:hint="eastAsia"/>
                <w:kern w:val="0"/>
                <w:sz w:val="24"/>
                <w:szCs w:val="24"/>
              </w:rPr>
              <w:t>~</w:t>
            </w:r>
            <w:r w:rsidRPr="005708AF">
              <w:rPr>
                <w:rFonts w:ascii="Times New Roman" w:hAnsi="Times New Roman"/>
                <w:kern w:val="0"/>
                <w:sz w:val="24"/>
                <w:szCs w:val="24"/>
              </w:rPr>
              <w:t>90</w:t>
            </w:r>
            <w:r w:rsidRPr="005708AF">
              <w:rPr>
                <w:rFonts w:ascii="Times New Roman" w:hAnsi="Times New Roman"/>
                <w:kern w:val="0"/>
                <w:sz w:val="24"/>
                <w:szCs w:val="24"/>
              </w:rPr>
              <w:t>分）</w:t>
            </w:r>
          </w:p>
        </w:tc>
        <w:tc>
          <w:tcPr>
            <w:tcW w:w="6451" w:type="dxa"/>
            <w:vAlign w:val="center"/>
          </w:tcPr>
          <w:p w:rsidR="00450ABE" w:rsidRPr="005708AF" w:rsidRDefault="00450ABE" w:rsidP="008C3907">
            <w:pPr>
              <w:shd w:val="clear" w:color="auto" w:fill="FFFFFF"/>
              <w:rPr>
                <w:rFonts w:ascii="Times New Roman" w:hAnsi="Times New Roman"/>
                <w:kern w:val="0"/>
                <w:sz w:val="24"/>
                <w:szCs w:val="24"/>
              </w:rPr>
            </w:pPr>
            <w:r w:rsidRPr="005708AF">
              <w:rPr>
                <w:rFonts w:ascii="Times New Roman" w:hAnsi="Times New Roman"/>
                <w:kern w:val="0"/>
                <w:sz w:val="24"/>
                <w:szCs w:val="24"/>
              </w:rPr>
              <w:t>选题符合要求，有新意，格式符合要求，论据充分，语言流畅，层次分明，内容有创新。</w:t>
            </w:r>
          </w:p>
        </w:tc>
      </w:tr>
      <w:tr w:rsidR="00450ABE" w:rsidTr="008C3907">
        <w:trPr>
          <w:trHeight w:val="730"/>
          <w:jc w:val="center"/>
        </w:trPr>
        <w:tc>
          <w:tcPr>
            <w:tcW w:w="2513" w:type="dxa"/>
            <w:vAlign w:val="center"/>
          </w:tcPr>
          <w:p w:rsidR="00450ABE" w:rsidRPr="005708AF" w:rsidRDefault="00450ABE" w:rsidP="008C3907">
            <w:pPr>
              <w:jc w:val="center"/>
              <w:rPr>
                <w:rFonts w:ascii="Times New Roman" w:hAnsi="Times New Roman"/>
                <w:kern w:val="0"/>
                <w:sz w:val="24"/>
                <w:szCs w:val="24"/>
              </w:rPr>
            </w:pPr>
            <w:r w:rsidRPr="005708AF">
              <w:rPr>
                <w:rFonts w:ascii="Times New Roman" w:hAnsi="Times New Roman"/>
                <w:kern w:val="0"/>
                <w:sz w:val="24"/>
                <w:szCs w:val="24"/>
              </w:rPr>
              <w:t>良好</w:t>
            </w:r>
            <w:r w:rsidRPr="005708AF">
              <w:rPr>
                <w:rFonts w:ascii="Times New Roman" w:hAnsi="Times New Roman"/>
                <w:kern w:val="0"/>
                <w:sz w:val="24"/>
                <w:szCs w:val="24"/>
              </w:rPr>
              <w:t xml:space="preserve"> (89</w:t>
            </w:r>
            <w:r w:rsidRPr="005708AF">
              <w:rPr>
                <w:rFonts w:ascii="Times New Roman" w:hAnsi="Times New Roman" w:hint="eastAsia"/>
                <w:kern w:val="0"/>
                <w:sz w:val="24"/>
                <w:szCs w:val="24"/>
              </w:rPr>
              <w:t>~</w:t>
            </w:r>
            <w:r w:rsidRPr="005708AF">
              <w:rPr>
                <w:rFonts w:ascii="Times New Roman" w:hAnsi="Times New Roman"/>
                <w:kern w:val="0"/>
                <w:sz w:val="24"/>
                <w:szCs w:val="24"/>
              </w:rPr>
              <w:t>80</w:t>
            </w:r>
            <w:r w:rsidRPr="005708AF">
              <w:rPr>
                <w:rFonts w:ascii="Times New Roman" w:hAnsi="Times New Roman"/>
                <w:kern w:val="0"/>
                <w:sz w:val="24"/>
                <w:szCs w:val="24"/>
              </w:rPr>
              <w:t>分</w:t>
            </w:r>
            <w:r w:rsidRPr="005708AF">
              <w:rPr>
                <w:rFonts w:ascii="Times New Roman" w:hAnsi="Times New Roman"/>
                <w:kern w:val="0"/>
                <w:sz w:val="24"/>
                <w:szCs w:val="24"/>
              </w:rPr>
              <w:t>)</w:t>
            </w:r>
          </w:p>
        </w:tc>
        <w:tc>
          <w:tcPr>
            <w:tcW w:w="6451" w:type="dxa"/>
            <w:vAlign w:val="center"/>
          </w:tcPr>
          <w:p w:rsidR="00450ABE" w:rsidRPr="005708AF" w:rsidRDefault="00450ABE" w:rsidP="008C3907">
            <w:pPr>
              <w:shd w:val="clear" w:color="auto" w:fill="FFFFFF"/>
              <w:rPr>
                <w:rFonts w:ascii="Times New Roman" w:hAnsi="Times New Roman"/>
                <w:kern w:val="0"/>
                <w:sz w:val="24"/>
                <w:szCs w:val="24"/>
              </w:rPr>
            </w:pPr>
            <w:r w:rsidRPr="005708AF">
              <w:rPr>
                <w:rFonts w:ascii="Times New Roman" w:hAnsi="Times New Roman"/>
                <w:kern w:val="0"/>
                <w:sz w:val="24"/>
                <w:szCs w:val="24"/>
              </w:rPr>
              <w:t>选题符合要求，格式符合要求，论据较充分，语言较流畅，层次较清楚，有一定的思考。</w:t>
            </w:r>
          </w:p>
        </w:tc>
      </w:tr>
      <w:tr w:rsidR="00450ABE" w:rsidTr="008C3907">
        <w:trPr>
          <w:trHeight w:val="794"/>
          <w:jc w:val="center"/>
        </w:trPr>
        <w:tc>
          <w:tcPr>
            <w:tcW w:w="2513" w:type="dxa"/>
            <w:vAlign w:val="center"/>
          </w:tcPr>
          <w:p w:rsidR="00450ABE" w:rsidRPr="005708AF" w:rsidRDefault="00450ABE" w:rsidP="008C3907">
            <w:pPr>
              <w:jc w:val="center"/>
              <w:rPr>
                <w:rFonts w:ascii="Times New Roman" w:hAnsi="Times New Roman"/>
                <w:kern w:val="0"/>
                <w:sz w:val="24"/>
                <w:szCs w:val="24"/>
              </w:rPr>
            </w:pPr>
            <w:r w:rsidRPr="005708AF">
              <w:rPr>
                <w:rFonts w:ascii="Times New Roman" w:hAnsi="Times New Roman"/>
                <w:kern w:val="0"/>
                <w:sz w:val="24"/>
                <w:szCs w:val="24"/>
              </w:rPr>
              <w:lastRenderedPageBreak/>
              <w:t>中等（</w:t>
            </w:r>
            <w:r w:rsidRPr="005708AF">
              <w:rPr>
                <w:rFonts w:ascii="Times New Roman" w:hAnsi="Times New Roman"/>
                <w:kern w:val="0"/>
                <w:sz w:val="24"/>
                <w:szCs w:val="24"/>
              </w:rPr>
              <w:t>79</w:t>
            </w:r>
            <w:r w:rsidRPr="005708AF">
              <w:rPr>
                <w:rFonts w:ascii="Times New Roman" w:hAnsi="Times New Roman" w:hint="eastAsia"/>
                <w:kern w:val="0"/>
                <w:sz w:val="24"/>
                <w:szCs w:val="24"/>
              </w:rPr>
              <w:t>~</w:t>
            </w:r>
            <w:r w:rsidRPr="005708AF">
              <w:rPr>
                <w:rFonts w:ascii="Times New Roman" w:hAnsi="Times New Roman"/>
                <w:kern w:val="0"/>
                <w:sz w:val="24"/>
                <w:szCs w:val="24"/>
              </w:rPr>
              <w:t>70</w:t>
            </w:r>
            <w:r w:rsidRPr="005708AF">
              <w:rPr>
                <w:rFonts w:ascii="Times New Roman" w:hAnsi="Times New Roman"/>
                <w:kern w:val="0"/>
                <w:sz w:val="24"/>
                <w:szCs w:val="24"/>
              </w:rPr>
              <w:t>分）</w:t>
            </w:r>
          </w:p>
        </w:tc>
        <w:tc>
          <w:tcPr>
            <w:tcW w:w="6451" w:type="dxa"/>
            <w:vAlign w:val="center"/>
          </w:tcPr>
          <w:p w:rsidR="00450ABE" w:rsidRPr="005708AF" w:rsidRDefault="00450ABE" w:rsidP="008C3907">
            <w:pPr>
              <w:shd w:val="clear" w:color="auto" w:fill="FFFFFF"/>
              <w:rPr>
                <w:rFonts w:ascii="Times New Roman" w:hAnsi="Times New Roman"/>
                <w:kern w:val="0"/>
                <w:sz w:val="24"/>
                <w:szCs w:val="24"/>
              </w:rPr>
            </w:pPr>
            <w:r w:rsidRPr="005708AF">
              <w:rPr>
                <w:rFonts w:ascii="Times New Roman" w:hAnsi="Times New Roman"/>
                <w:kern w:val="0"/>
                <w:sz w:val="24"/>
                <w:szCs w:val="24"/>
              </w:rPr>
              <w:t>选题符合要求，格式符合要求，论据较充分，语言基本流畅，层次基本清楚。</w:t>
            </w:r>
          </w:p>
        </w:tc>
      </w:tr>
      <w:tr w:rsidR="00450ABE" w:rsidTr="008C3907">
        <w:trPr>
          <w:trHeight w:val="702"/>
          <w:jc w:val="center"/>
        </w:trPr>
        <w:tc>
          <w:tcPr>
            <w:tcW w:w="2513" w:type="dxa"/>
            <w:vAlign w:val="center"/>
          </w:tcPr>
          <w:p w:rsidR="00450ABE" w:rsidRPr="005708AF" w:rsidRDefault="00450ABE" w:rsidP="008C3907">
            <w:pPr>
              <w:jc w:val="center"/>
              <w:rPr>
                <w:rFonts w:ascii="Times New Roman" w:hAnsi="Times New Roman"/>
                <w:kern w:val="0"/>
                <w:sz w:val="24"/>
                <w:szCs w:val="24"/>
              </w:rPr>
            </w:pPr>
            <w:r w:rsidRPr="005708AF">
              <w:rPr>
                <w:rFonts w:ascii="Times New Roman" w:hAnsi="Times New Roman"/>
                <w:kern w:val="0"/>
                <w:sz w:val="24"/>
                <w:szCs w:val="24"/>
              </w:rPr>
              <w:t>及格</w:t>
            </w:r>
            <w:r w:rsidRPr="005708AF">
              <w:rPr>
                <w:rFonts w:ascii="Times New Roman" w:hAnsi="Times New Roman"/>
                <w:kern w:val="0"/>
                <w:sz w:val="24"/>
                <w:szCs w:val="24"/>
              </w:rPr>
              <w:t xml:space="preserve"> (69</w:t>
            </w:r>
            <w:r w:rsidRPr="005708AF">
              <w:rPr>
                <w:rFonts w:ascii="Times New Roman" w:hAnsi="Times New Roman" w:hint="eastAsia"/>
                <w:kern w:val="0"/>
                <w:sz w:val="24"/>
                <w:szCs w:val="24"/>
              </w:rPr>
              <w:t>~</w:t>
            </w:r>
            <w:r w:rsidRPr="005708AF">
              <w:rPr>
                <w:rFonts w:ascii="Times New Roman" w:hAnsi="Times New Roman"/>
                <w:kern w:val="0"/>
                <w:sz w:val="24"/>
                <w:szCs w:val="24"/>
              </w:rPr>
              <w:t>60</w:t>
            </w:r>
            <w:r w:rsidRPr="005708AF">
              <w:rPr>
                <w:rFonts w:ascii="Times New Roman" w:hAnsi="Times New Roman"/>
                <w:kern w:val="0"/>
                <w:sz w:val="24"/>
                <w:szCs w:val="24"/>
              </w:rPr>
              <w:t>分</w:t>
            </w:r>
            <w:r w:rsidRPr="005708AF">
              <w:rPr>
                <w:rFonts w:ascii="Times New Roman" w:hAnsi="Times New Roman"/>
                <w:kern w:val="0"/>
                <w:sz w:val="24"/>
                <w:szCs w:val="24"/>
              </w:rPr>
              <w:t>)</w:t>
            </w:r>
          </w:p>
        </w:tc>
        <w:tc>
          <w:tcPr>
            <w:tcW w:w="6451" w:type="dxa"/>
            <w:vAlign w:val="center"/>
          </w:tcPr>
          <w:p w:rsidR="00450ABE" w:rsidRPr="005708AF" w:rsidRDefault="00450ABE" w:rsidP="008C3907">
            <w:pPr>
              <w:rPr>
                <w:rFonts w:ascii="Times New Roman" w:hAnsi="Times New Roman"/>
                <w:kern w:val="0"/>
                <w:sz w:val="24"/>
                <w:szCs w:val="24"/>
              </w:rPr>
            </w:pPr>
            <w:r w:rsidRPr="005708AF">
              <w:rPr>
                <w:rFonts w:ascii="Times New Roman" w:hAnsi="Times New Roman"/>
                <w:kern w:val="0"/>
                <w:sz w:val="24"/>
                <w:szCs w:val="24"/>
              </w:rPr>
              <w:t>选题基本符合要求，格式基本符合要求，语言基本流畅，层次基本清楚论述浅显。</w:t>
            </w:r>
          </w:p>
        </w:tc>
      </w:tr>
      <w:tr w:rsidR="00450ABE" w:rsidTr="008C3907">
        <w:trPr>
          <w:trHeight w:val="733"/>
          <w:jc w:val="center"/>
        </w:trPr>
        <w:tc>
          <w:tcPr>
            <w:tcW w:w="2513" w:type="dxa"/>
            <w:vAlign w:val="center"/>
          </w:tcPr>
          <w:p w:rsidR="00450ABE" w:rsidRPr="005708AF" w:rsidRDefault="00450ABE" w:rsidP="008C3907">
            <w:pPr>
              <w:jc w:val="center"/>
              <w:rPr>
                <w:rFonts w:ascii="Times New Roman" w:hAnsi="Times New Roman"/>
                <w:kern w:val="0"/>
                <w:sz w:val="24"/>
                <w:szCs w:val="24"/>
              </w:rPr>
            </w:pPr>
            <w:r w:rsidRPr="005708AF">
              <w:rPr>
                <w:rFonts w:ascii="Times New Roman" w:hAnsi="Times New Roman"/>
                <w:kern w:val="0"/>
                <w:sz w:val="24"/>
                <w:szCs w:val="24"/>
              </w:rPr>
              <w:t>不及格（</w:t>
            </w:r>
            <w:r w:rsidRPr="005708AF">
              <w:rPr>
                <w:rFonts w:ascii="Times New Roman" w:hAnsi="Times New Roman"/>
                <w:kern w:val="0"/>
                <w:sz w:val="24"/>
                <w:szCs w:val="24"/>
              </w:rPr>
              <w:t>60</w:t>
            </w:r>
            <w:r w:rsidRPr="005708AF">
              <w:rPr>
                <w:rFonts w:ascii="Times New Roman" w:hAnsi="Times New Roman"/>
                <w:kern w:val="0"/>
                <w:sz w:val="24"/>
                <w:szCs w:val="24"/>
              </w:rPr>
              <w:t>以下</w:t>
            </w:r>
            <w:r w:rsidRPr="005708AF">
              <w:rPr>
                <w:rFonts w:ascii="Times New Roman" w:hAnsi="Times New Roman"/>
                <w:kern w:val="0"/>
                <w:sz w:val="24"/>
                <w:szCs w:val="24"/>
              </w:rPr>
              <w:t>)</w:t>
            </w:r>
          </w:p>
        </w:tc>
        <w:tc>
          <w:tcPr>
            <w:tcW w:w="6451" w:type="dxa"/>
            <w:vAlign w:val="center"/>
          </w:tcPr>
          <w:p w:rsidR="00450ABE" w:rsidRPr="005708AF" w:rsidRDefault="00450ABE" w:rsidP="008C3907">
            <w:pPr>
              <w:rPr>
                <w:rFonts w:ascii="Times New Roman" w:hAnsi="Times New Roman"/>
                <w:kern w:val="0"/>
                <w:sz w:val="24"/>
                <w:szCs w:val="24"/>
              </w:rPr>
            </w:pPr>
            <w:r w:rsidRPr="005708AF">
              <w:rPr>
                <w:rFonts w:ascii="Times New Roman" w:hAnsi="Times New Roman"/>
                <w:kern w:val="0"/>
                <w:sz w:val="24"/>
                <w:szCs w:val="24"/>
              </w:rPr>
              <w:t>选题不符合要求，格式不符合要求，观点有明显的偏差，语言不太流畅，层次混乱、较多内容抄袭。</w:t>
            </w:r>
          </w:p>
        </w:tc>
      </w:tr>
    </w:tbl>
    <w:p w:rsidR="00450ABE" w:rsidRDefault="00450ABE" w:rsidP="00450ABE">
      <w:pPr>
        <w:spacing w:line="360" w:lineRule="auto"/>
        <w:ind w:firstLineChars="200" w:firstLine="480"/>
        <w:rPr>
          <w:rStyle w:val="fontstyle11"/>
          <w:rFonts w:eastAsia="宋体"/>
          <w:color w:val="0000FF"/>
        </w:rPr>
      </w:pP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1.建议教材</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张自杰主编，《排水工程》下册 (第五版)，北京，中国建筑工业出版社，2015；</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2.主要参考资料</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（1）张晓健 黄霞编著，《水与废水物化处理的原理与工艺》，北京， 清华大学出版社，2011；</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（2）邹家庆主编，《工业废水处理技术》，北京，化学工业出版社，2003。</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（3）结合当前废水处理热点、难点及最新研究进展，补充相关内容。</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450ABE" w:rsidRPr="005708AF" w:rsidRDefault="00450ABE" w:rsidP="005708AF">
      <w:pPr>
        <w:spacing w:line="560" w:lineRule="exact"/>
        <w:ind w:firstLine="329"/>
        <w:rPr>
          <w:rFonts w:ascii="仿宋_GB2312" w:hAnsi="仿宋_GB2312" w:cs="仿宋_GB2312" w:hint="eastAsia"/>
          <w:bCs/>
          <w:sz w:val="28"/>
          <w:szCs w:val="28"/>
        </w:rPr>
      </w:pPr>
      <w:r>
        <w:rPr>
          <w:rFonts w:ascii="仿宋_GB2312" w:hAnsi="仿宋_GB2312" w:cs="仿宋_GB2312" w:hint="eastAsia"/>
          <w:bCs/>
          <w:sz w:val="28"/>
          <w:szCs w:val="28"/>
        </w:rPr>
        <w:t>1、大纲内章节的顺序和内容的安排仅供参考，教师可根据情况作适当的调整变动。</w:t>
      </w:r>
    </w:p>
    <w:p w:rsidR="00450ABE" w:rsidRDefault="00450ABE" w:rsidP="00450ABE">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大纲撰写人：赵庆</w:t>
      </w:r>
    </w:p>
    <w:p w:rsidR="00450ABE" w:rsidRDefault="00450ABE" w:rsidP="00450ABE">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课程负责人：赵庆</w:t>
      </w:r>
    </w:p>
    <w:p w:rsidR="00450ABE" w:rsidRDefault="00450ABE" w:rsidP="005708AF">
      <w:pPr>
        <w:spacing w:line="360" w:lineRule="auto"/>
        <w:ind w:firstLineChars="1200" w:firstLine="3360"/>
        <w:rPr>
          <w:rFonts w:ascii="仿宋" w:hAnsi="仿宋"/>
          <w:sz w:val="28"/>
          <w:szCs w:val="28"/>
        </w:rPr>
      </w:pPr>
      <w:r>
        <w:rPr>
          <w:rFonts w:ascii="仿宋" w:eastAsia="仿宋" w:hAnsi="仿宋" w:hint="eastAsia"/>
          <w:sz w:val="28"/>
          <w:szCs w:val="28"/>
        </w:rPr>
        <w:t>审核人：</w:t>
      </w:r>
      <w:r>
        <w:rPr>
          <w:rFonts w:ascii="仿宋_GB2312" w:hAnsi="微软雅黑" w:hint="eastAsia"/>
          <w:sz w:val="28"/>
          <w:szCs w:val="28"/>
        </w:rPr>
        <w:t xml:space="preserve"> </w:t>
      </w:r>
    </w:p>
    <w:p w:rsidR="00450ABE" w:rsidRDefault="00450ABE" w:rsidP="00450ABE">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  年  </w:t>
      </w:r>
      <w:r>
        <w:rPr>
          <w:rFonts w:ascii="仿宋" w:eastAsia="仿宋" w:hAnsi="仿宋"/>
          <w:sz w:val="28"/>
          <w:szCs w:val="28"/>
        </w:rPr>
        <w:t>4</w:t>
      </w:r>
      <w:r>
        <w:rPr>
          <w:rFonts w:ascii="仿宋" w:eastAsia="仿宋" w:hAnsi="仿宋" w:hint="eastAsia"/>
          <w:sz w:val="28"/>
          <w:szCs w:val="28"/>
        </w:rPr>
        <w:t xml:space="preserve">  月</w:t>
      </w:r>
    </w:p>
    <w:p w:rsidR="005708AF" w:rsidRDefault="005708AF" w:rsidP="005708AF">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《城镇防洪与雨洪控制》课程教学大纲</w:t>
      </w:r>
    </w:p>
    <w:p w:rsidR="005708AF" w:rsidRDefault="005708AF" w:rsidP="005708A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5708AF" w:rsidRDefault="005708AF" w:rsidP="005708AF">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Urban Flood Control and Rainwater Utilization</w:t>
      </w:r>
    </w:p>
    <w:p w:rsidR="005708AF" w:rsidRDefault="005708AF" w:rsidP="005708AF">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Z2806450</w:t>
      </w:r>
    </w:p>
    <w:p w:rsidR="005708AF" w:rsidRDefault="005708AF" w:rsidP="005708AF">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5708AF" w:rsidRDefault="005708AF" w:rsidP="005708AF">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5708AF" w:rsidRDefault="005708AF" w:rsidP="005708AF">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5708AF" w:rsidRDefault="005708AF" w:rsidP="005708AF">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5708AF" w:rsidRDefault="005708AF" w:rsidP="005708AF">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w:t>
      </w:r>
    </w:p>
    <w:p w:rsidR="005708AF" w:rsidRDefault="005708AF" w:rsidP="005708AF">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时：16学时（授课16，实验0，上机0，课外0）</w:t>
      </w:r>
    </w:p>
    <w:p w:rsidR="005708AF" w:rsidRDefault="005708AF" w:rsidP="005708AF">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适用对象：给排水科学与工程（卓越工程师）专业</w:t>
      </w:r>
    </w:p>
    <w:p w:rsidR="005708AF" w:rsidRDefault="005708AF" w:rsidP="005708AF">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先修课程：无</w:t>
      </w:r>
    </w:p>
    <w:p w:rsidR="005708AF" w:rsidRDefault="005708AF" w:rsidP="005708AF">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开课院系：建筑工程学院给排水科学与工程系</w:t>
      </w:r>
    </w:p>
    <w:p w:rsidR="005708AF" w:rsidRDefault="005708AF" w:rsidP="005708A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5708AF" w:rsidRDefault="005708AF" w:rsidP="005708AF">
      <w:pPr>
        <w:spacing w:beforeLines="50" w:before="156" w:afterLines="50" w:after="156"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城镇防洪与雨洪控制》课程是针对水资源短缺，城镇洪涝灾害的防止和雨洪的资源化利用所专门开设的课程，符合坚持节约资源和保护环境的基本国策要求。通过本课程的学习，使学生了解我国城镇防洪的现状和特点以及防洪的意义，雨水管理模型、雨水管理系统及雨水系统利用规划、设施、工程设计与典型工程实例。重点学习和掌握设计洪水流量的推求、城镇防洪的总体规划、防洪的工程措施和非工程措施以及防洪工程的评价和管理，雨水管理模型及雨水管理与利用。在掌握传统的、常规的、惯用的防水、治洪、治水方法的同时，</w:t>
      </w:r>
      <w:r>
        <w:rPr>
          <w:rFonts w:ascii="仿宋_GB2312" w:hAnsi="仿宋_GB2312" w:cs="仿宋_GB2312" w:hint="eastAsia"/>
          <w:sz w:val="28"/>
          <w:szCs w:val="28"/>
        </w:rPr>
        <w:lastRenderedPageBreak/>
        <w:t>了解近些年来的基于低影响开发的海绵城市建设等的新思想、新方法、新技术。</w:t>
      </w:r>
    </w:p>
    <w:p w:rsidR="005708AF" w:rsidRDefault="005708AF" w:rsidP="005708A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5708AF" w:rsidRDefault="005708AF" w:rsidP="005708AF">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5708AF" w:rsidRDefault="005708AF" w:rsidP="005708AF">
      <w:pPr>
        <w:spacing w:line="560" w:lineRule="exact"/>
        <w:ind w:firstLineChars="203" w:firstLine="568"/>
        <w:rPr>
          <w:rFonts w:ascii="仿宋_GB2312" w:hAnsi="仿宋_GB2312" w:cs="仿宋_GB2312"/>
          <w:sz w:val="28"/>
          <w:szCs w:val="28"/>
        </w:rPr>
      </w:pPr>
      <w:r>
        <w:rPr>
          <w:rFonts w:ascii="仿宋_GB2312" w:hAnsi="仿宋_GB2312" w:cs="仿宋_GB2312" w:hint="eastAsia"/>
          <w:sz w:val="28"/>
          <w:szCs w:val="28"/>
        </w:rPr>
        <w:t>随着城市化进程的加快，大批中小城镇蓬勃兴起，其中大多数城镇在进行城市规划建设时没有充分考虑防洪要求，存在很大的洪灾风险。“十一五”全国水利规划计划中，明确将涉及人民群众生命财产安全领域的研究作为工作的重心。在这样的背景下，有关城镇防洪减灾方面课题的研究已经成为我国21世纪可持续发展的重大课题，越来越引起人们的重视。《城镇防洪与雨洪控制》的目的就是：通过理论知识与工程实例的联合教学，加深学生对基本概念和基本原理的理解，巩固课堂教学中学到的知识；在了解传统的、常规的、惯用的防洪治水方法和技术的基础上，学会设计洪水流量的推求，掌握基本的防洪工程措施，熟悉防洪工程的管理、评价及非工程措施相关知识，知道雨洪利用的基本途径和方法；初步掌握《城镇防洪与雨洪控制》的基本知识，掌握洪水的预测、推求、预防和后期利用的内容及相应的方式方法。</w:t>
      </w:r>
    </w:p>
    <w:p w:rsidR="005708AF" w:rsidRDefault="005708AF" w:rsidP="005708AF">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 xml:space="preserve">. </w:t>
      </w:r>
      <w:r>
        <w:rPr>
          <w:rFonts w:ascii="仿宋_GB2312" w:hAnsi="仿宋_GB2312" w:cs="仿宋_GB2312" w:hint="eastAsia"/>
          <w:sz w:val="28"/>
          <w:szCs w:val="28"/>
        </w:rPr>
        <w:t>课程基本要求：</w:t>
      </w:r>
    </w:p>
    <w:p w:rsidR="005708AF" w:rsidRDefault="005708AF" w:rsidP="005708AF">
      <w:pPr>
        <w:spacing w:line="360" w:lineRule="auto"/>
        <w:ind w:firstLine="329"/>
        <w:rPr>
          <w:rFonts w:ascii="仿宋_GB2312" w:hAnsi="仿宋_GB2312" w:cs="仿宋_GB2312"/>
          <w:bCs/>
          <w:sz w:val="28"/>
          <w:szCs w:val="28"/>
        </w:rPr>
      </w:pPr>
      <w:r>
        <w:rPr>
          <w:rFonts w:ascii="仿宋_GB2312" w:hAnsi="仿宋_GB2312" w:cs="仿宋_GB2312" w:hint="eastAsia"/>
          <w:bCs/>
          <w:sz w:val="28"/>
          <w:szCs w:val="28"/>
        </w:rPr>
        <w:t>2.1课程目标</w:t>
      </w:r>
    </w:p>
    <w:p w:rsidR="005708AF" w:rsidRDefault="005708AF" w:rsidP="005708AF">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知识目标：了解城镇防洪基本概念、设计洪水流量的推求及城镇防洪总规应该注意的问题；掌握城镇防洪的工程措施和非工程措施及防洪工程评价和管理；了解城镇雨水管理模型及其常用模拟软件和其未来发展方向；</w:t>
      </w:r>
    </w:p>
    <w:p w:rsidR="005708AF" w:rsidRDefault="005708AF" w:rsidP="005708AF">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lastRenderedPageBreak/>
        <w:t>能力目标：升华对水工程的认知，学会在实际工程中加以应用；注重有关城镇防洪减灾方面的课题研究；成为具有实时创新能力的技术人才。</w:t>
      </w:r>
    </w:p>
    <w:p w:rsidR="005708AF" w:rsidRDefault="005708AF" w:rsidP="005708AF">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情感态度与价值观目标：加强专业素养，树立专业自信和职业责任感，明确自身价值，规划职业发展，激发爱国热情。</w:t>
      </w:r>
    </w:p>
    <w:p w:rsidR="005708AF" w:rsidRDefault="005708AF" w:rsidP="005708AF">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495"/>
        <w:gridCol w:w="499"/>
        <w:gridCol w:w="499"/>
        <w:gridCol w:w="487"/>
        <w:gridCol w:w="487"/>
        <w:gridCol w:w="494"/>
        <w:gridCol w:w="499"/>
        <w:gridCol w:w="488"/>
        <w:gridCol w:w="488"/>
        <w:gridCol w:w="512"/>
        <w:gridCol w:w="512"/>
        <w:gridCol w:w="512"/>
      </w:tblGrid>
      <w:tr w:rsidR="005708AF" w:rsidTr="00702523">
        <w:trPr>
          <w:trHeight w:hRule="exact" w:val="454"/>
          <w:jc w:val="center"/>
        </w:trPr>
        <w:tc>
          <w:tcPr>
            <w:tcW w:w="2743" w:type="dxa"/>
            <w:vMerge w:val="restart"/>
            <w:shd w:val="clear" w:color="auto" w:fill="auto"/>
            <w:vAlign w:val="center"/>
          </w:tcPr>
          <w:p w:rsidR="005708AF" w:rsidRDefault="005708AF" w:rsidP="00702523">
            <w:pPr>
              <w:spacing w:line="360" w:lineRule="auto"/>
              <w:jc w:val="center"/>
              <w:rPr>
                <w:rFonts w:ascii="仿宋_GB2312" w:hAnsi="仿宋_GB2312" w:cs="仿宋_GB2312"/>
                <w:bCs/>
                <w:sz w:val="28"/>
                <w:szCs w:val="28"/>
              </w:rPr>
            </w:pPr>
            <w:r>
              <w:rPr>
                <w:rFonts w:ascii="仿宋_GB2312" w:hAnsi="仿宋_GB2312" w:cs="仿宋_GB2312" w:hint="eastAsia"/>
                <w:bCs/>
                <w:sz w:val="24"/>
                <w:szCs w:val="24"/>
              </w:rPr>
              <w:t>课程目标</w:t>
            </w:r>
          </w:p>
        </w:tc>
        <w:tc>
          <w:tcPr>
            <w:tcW w:w="6233" w:type="dxa"/>
            <w:gridSpan w:val="12"/>
            <w:shd w:val="clear" w:color="auto" w:fill="auto"/>
            <w:vAlign w:val="center"/>
          </w:tcPr>
          <w:p w:rsidR="005708AF" w:rsidRDefault="005708AF" w:rsidP="00702523">
            <w:pPr>
              <w:jc w:val="center"/>
              <w:rPr>
                <w:rFonts w:ascii="仿宋_GB2312" w:hAnsi="仿宋_GB2312" w:cs="仿宋_GB2312"/>
                <w:bCs/>
                <w:sz w:val="28"/>
                <w:szCs w:val="28"/>
              </w:rPr>
            </w:pPr>
            <w:r>
              <w:rPr>
                <w:rFonts w:ascii="仿宋_GB2312" w:hAnsi="仿宋_GB2312" w:cs="仿宋_GB2312" w:hint="eastAsia"/>
                <w:bCs/>
                <w:sz w:val="24"/>
                <w:szCs w:val="24"/>
              </w:rPr>
              <w:t>毕业要求</w:t>
            </w:r>
          </w:p>
        </w:tc>
      </w:tr>
      <w:tr w:rsidR="005708AF" w:rsidTr="00702523">
        <w:trPr>
          <w:trHeight w:hRule="exact" w:val="454"/>
          <w:jc w:val="center"/>
        </w:trPr>
        <w:tc>
          <w:tcPr>
            <w:tcW w:w="2743" w:type="dxa"/>
            <w:vMerge/>
            <w:shd w:val="clear" w:color="auto" w:fill="auto"/>
          </w:tcPr>
          <w:p w:rsidR="005708AF" w:rsidRDefault="005708AF" w:rsidP="00702523">
            <w:pPr>
              <w:spacing w:line="360" w:lineRule="auto"/>
              <w:rPr>
                <w:rFonts w:ascii="仿宋_GB2312" w:hAnsi="仿宋_GB2312" w:cs="仿宋_GB2312"/>
                <w:bCs/>
                <w:sz w:val="28"/>
                <w:szCs w:val="28"/>
              </w:rPr>
            </w:pPr>
          </w:p>
        </w:tc>
        <w:tc>
          <w:tcPr>
            <w:tcW w:w="519" w:type="dxa"/>
            <w:shd w:val="clear" w:color="auto" w:fill="auto"/>
            <w:vAlign w:val="center"/>
          </w:tcPr>
          <w:p w:rsidR="005708AF" w:rsidRDefault="005708AF" w:rsidP="00702523">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1</w:t>
            </w:r>
          </w:p>
        </w:tc>
        <w:tc>
          <w:tcPr>
            <w:tcW w:w="519" w:type="dxa"/>
            <w:shd w:val="clear" w:color="auto" w:fill="auto"/>
            <w:vAlign w:val="center"/>
          </w:tcPr>
          <w:p w:rsidR="005708AF" w:rsidRDefault="005708AF" w:rsidP="00702523">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2</w:t>
            </w:r>
          </w:p>
        </w:tc>
        <w:tc>
          <w:tcPr>
            <w:tcW w:w="519" w:type="dxa"/>
            <w:shd w:val="clear" w:color="auto" w:fill="auto"/>
            <w:vAlign w:val="center"/>
          </w:tcPr>
          <w:p w:rsidR="005708AF" w:rsidRDefault="005708AF" w:rsidP="00702523">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3</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4</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5</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6</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7</w:t>
            </w:r>
          </w:p>
        </w:tc>
        <w:tc>
          <w:tcPr>
            <w:tcW w:w="520"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8</w:t>
            </w:r>
          </w:p>
        </w:tc>
        <w:tc>
          <w:tcPr>
            <w:tcW w:w="520"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9</w:t>
            </w:r>
          </w:p>
        </w:tc>
        <w:tc>
          <w:tcPr>
            <w:tcW w:w="520"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10</w:t>
            </w:r>
          </w:p>
        </w:tc>
        <w:tc>
          <w:tcPr>
            <w:tcW w:w="520"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11</w:t>
            </w:r>
          </w:p>
        </w:tc>
        <w:tc>
          <w:tcPr>
            <w:tcW w:w="520"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12</w:t>
            </w:r>
          </w:p>
        </w:tc>
      </w:tr>
      <w:tr w:rsidR="005708AF" w:rsidTr="00702523">
        <w:trPr>
          <w:trHeight w:hRule="exact" w:val="454"/>
          <w:jc w:val="center"/>
        </w:trPr>
        <w:tc>
          <w:tcPr>
            <w:tcW w:w="2743" w:type="dxa"/>
            <w:shd w:val="clear" w:color="auto" w:fill="auto"/>
            <w:vAlign w:val="center"/>
          </w:tcPr>
          <w:p w:rsidR="005708AF" w:rsidRDefault="005708AF" w:rsidP="00702523">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知识目标</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r>
      <w:tr w:rsidR="005708AF" w:rsidTr="00702523">
        <w:trPr>
          <w:trHeight w:hRule="exact" w:val="454"/>
          <w:jc w:val="center"/>
        </w:trPr>
        <w:tc>
          <w:tcPr>
            <w:tcW w:w="2743" w:type="dxa"/>
            <w:shd w:val="clear" w:color="auto" w:fill="auto"/>
          </w:tcPr>
          <w:p w:rsidR="005708AF" w:rsidRDefault="005708AF" w:rsidP="00702523">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能力目标</w:t>
            </w:r>
          </w:p>
        </w:tc>
        <w:tc>
          <w:tcPr>
            <w:tcW w:w="519" w:type="dxa"/>
            <w:shd w:val="clear" w:color="auto" w:fill="auto"/>
            <w:vAlign w:val="center"/>
          </w:tcPr>
          <w:p w:rsidR="005708AF" w:rsidRDefault="005708AF" w:rsidP="00702523">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H</w:t>
            </w:r>
          </w:p>
        </w:tc>
        <w:tc>
          <w:tcPr>
            <w:tcW w:w="519" w:type="dxa"/>
            <w:shd w:val="clear" w:color="auto" w:fill="auto"/>
            <w:vAlign w:val="center"/>
          </w:tcPr>
          <w:p w:rsidR="005708AF" w:rsidRDefault="005708AF" w:rsidP="00702523">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H</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r>
      <w:tr w:rsidR="005708AF" w:rsidTr="00702523">
        <w:trPr>
          <w:trHeight w:hRule="exact" w:val="454"/>
          <w:jc w:val="center"/>
        </w:trPr>
        <w:tc>
          <w:tcPr>
            <w:tcW w:w="2743" w:type="dxa"/>
            <w:shd w:val="clear" w:color="auto" w:fill="auto"/>
          </w:tcPr>
          <w:p w:rsidR="005708AF" w:rsidRDefault="005708AF" w:rsidP="00702523">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情感态度与价值观目标</w:t>
            </w:r>
          </w:p>
        </w:tc>
        <w:tc>
          <w:tcPr>
            <w:tcW w:w="519" w:type="dxa"/>
            <w:shd w:val="clear" w:color="auto" w:fill="auto"/>
            <w:vAlign w:val="center"/>
          </w:tcPr>
          <w:p w:rsidR="005708AF" w:rsidRDefault="005708AF" w:rsidP="00702523">
            <w:pPr>
              <w:spacing w:line="360" w:lineRule="auto"/>
              <w:jc w:val="center"/>
              <w:rPr>
                <w:rFonts w:ascii="仿宋_GB2312" w:hAnsi="仿宋_GB2312" w:cs="仿宋_GB2312"/>
                <w:bCs/>
                <w:sz w:val="28"/>
                <w:szCs w:val="28"/>
              </w:rPr>
            </w:pPr>
          </w:p>
        </w:tc>
        <w:tc>
          <w:tcPr>
            <w:tcW w:w="519" w:type="dxa"/>
            <w:shd w:val="clear" w:color="auto" w:fill="auto"/>
            <w:vAlign w:val="center"/>
          </w:tcPr>
          <w:p w:rsidR="005708AF" w:rsidRDefault="005708AF" w:rsidP="00702523">
            <w:pPr>
              <w:spacing w:line="360" w:lineRule="auto"/>
              <w:jc w:val="center"/>
              <w:rPr>
                <w:rFonts w:ascii="仿宋_GB2312" w:hAnsi="仿宋_GB2312" w:cs="仿宋_GB2312"/>
                <w:bCs/>
                <w:sz w:val="28"/>
                <w:szCs w:val="28"/>
              </w:rPr>
            </w:pP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5708AF" w:rsidRDefault="005708AF" w:rsidP="00702523">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c>
          <w:tcPr>
            <w:tcW w:w="520" w:type="dxa"/>
            <w:shd w:val="clear" w:color="auto" w:fill="auto"/>
          </w:tcPr>
          <w:p w:rsidR="005708AF" w:rsidRDefault="005708AF" w:rsidP="00702523">
            <w:pPr>
              <w:spacing w:line="360" w:lineRule="auto"/>
              <w:rPr>
                <w:rFonts w:ascii="仿宋_GB2312" w:hAnsi="仿宋_GB2312" w:cs="仿宋_GB2312"/>
                <w:bCs/>
                <w:sz w:val="28"/>
                <w:szCs w:val="28"/>
              </w:rPr>
            </w:pPr>
          </w:p>
        </w:tc>
      </w:tr>
    </w:tbl>
    <w:p w:rsidR="005708AF" w:rsidRDefault="005708AF" w:rsidP="005708AF">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5708AF" w:rsidRDefault="005708AF" w:rsidP="005708AF">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如何利用现有资料合理推求设计洪水流量。城镇雨水管理基本模型的边界条件及关键参数选取，国外模式如何和中国实践相结合。如何有效整合雨水利用设施以及构建合理的海绵化灰绿系统。</w:t>
      </w:r>
    </w:p>
    <w:p w:rsidR="005708AF" w:rsidRDefault="005708AF" w:rsidP="005708AF">
      <w:pPr>
        <w:spacing w:beforeLines="100" w:before="312" w:line="360" w:lineRule="auto"/>
        <w:ind w:firstLine="329"/>
        <w:rPr>
          <w:rFonts w:ascii="仿宋_GB2312" w:hAnsi="仿宋_GB2312" w:cs="仿宋_GB2312"/>
          <w:sz w:val="28"/>
          <w:szCs w:val="28"/>
        </w:rPr>
      </w:pPr>
      <w:r>
        <w:rPr>
          <w:rFonts w:ascii="仿宋_GB2312" w:hAnsi="仿宋_GB2312" w:cs="仿宋_GB2312" w:hint="eastAsia"/>
          <w:sz w:val="28"/>
          <w:szCs w:val="28"/>
        </w:rPr>
        <w:t>4. 课程思政设计</w:t>
      </w:r>
    </w:p>
    <w:p w:rsidR="005708AF" w:rsidRDefault="005708AF" w:rsidP="005708AF">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（1）结合历史背景讲述，激发民族自豪感和家国担当情怀</w:t>
      </w:r>
    </w:p>
    <w:p w:rsidR="005708AF" w:rsidRDefault="005708AF" w:rsidP="005708AF">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结合历史背景的讲述，最初有利于吸引学生对知识点的关注，进而加深记忆，最后升华到以爱国主义为核心的思政教育和对追求真知的科学精神培养。例如讲到我国水资源分布时，笔者借助央视拍摄的“话说长江”视频，讲述我国历史上水文科考队1976年和2004年两次探索长江源头的经历。从动态的视频中，学生为长江的深沉与浩大所折服，为祖国的壮美河山感叹自豪，更是对科考人员探求长江真正源头的不懈毅力深深敬佩，从而引导学生志存高远，</w:t>
      </w:r>
      <w:r>
        <w:rPr>
          <w:rFonts w:ascii="仿宋_GB2312" w:hAnsi="仿宋_GB2312" w:cs="仿宋_GB2312" w:hint="eastAsia"/>
          <w:sz w:val="28"/>
          <w:szCs w:val="28"/>
        </w:rPr>
        <w:lastRenderedPageBreak/>
        <w:t>激发学生科技报国的家国情怀和使命担当。</w:t>
      </w:r>
    </w:p>
    <w:p w:rsidR="005708AF" w:rsidRDefault="005708AF" w:rsidP="005708AF">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（2）以实际案例引导，提高学生正确认识、分析和解决问题的能力，培养严谨求实的大国工匠精神</w:t>
      </w:r>
    </w:p>
    <w:p w:rsidR="005708AF" w:rsidRDefault="005708AF" w:rsidP="005708AF">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课堂中讲到特大洪水考证的必要性时，笔者以1955年河北滹沱河黄壁庄水库规划为例。彼时规划初期搜集1919—1955年间20年实测洪水资料，推求千年一遇设计洪峰流量仅为7500 m</w:t>
      </w:r>
      <w:r>
        <w:rPr>
          <w:rFonts w:ascii="仿宋_GB2312" w:hAnsi="仿宋_GB2312" w:cs="仿宋_GB2312" w:hint="eastAsia"/>
          <w:sz w:val="28"/>
          <w:szCs w:val="28"/>
          <w:vertAlign w:val="superscript"/>
        </w:rPr>
        <w:t>3</w:t>
      </w:r>
      <w:r>
        <w:rPr>
          <w:rFonts w:ascii="仿宋_GB2312" w:hAnsi="仿宋_GB2312" w:cs="仿宋_GB2312" w:hint="eastAsia"/>
          <w:sz w:val="28"/>
          <w:szCs w:val="28"/>
        </w:rPr>
        <w:t>/s；但1956年却发生了一次洪峰流量为13100 m</w:t>
      </w:r>
      <w:r>
        <w:rPr>
          <w:rFonts w:ascii="仿宋_GB2312" w:hAnsi="仿宋_GB2312" w:cs="仿宋_GB2312" w:hint="eastAsia"/>
          <w:sz w:val="28"/>
          <w:szCs w:val="28"/>
          <w:vertAlign w:val="superscript"/>
        </w:rPr>
        <w:t>3</w:t>
      </w:r>
      <w:r>
        <w:rPr>
          <w:rFonts w:ascii="仿宋_GB2312" w:hAnsi="仿宋_GB2312" w:cs="仿宋_GB2312" w:hint="eastAsia"/>
          <w:sz w:val="28"/>
          <w:szCs w:val="28"/>
        </w:rPr>
        <w:t>/s的特大洪水，显然原设计成果值得怀疑。让学生意识到推测失误的严重性是正确认识问题的第一步，进而提出是否可将1956年特大洪水直接加入实测系列组成21年的样本资料。通过课堂讨论，引导学生分析出直接进行频率计算并不合适，而应结合历史洪水调查对特大洪水进行处理，提高样本的代表性。那么如何解决问题，即具体如何考证特大洪水重现期，是把问题导向了要学习的具体公式，即重现期N=实测连序系列最近的年份或设计年份-调查或考证到的最远年份或发生年份+1。仍从一个实例出发，1992年以长江重庆-宜昌河段沿岸91处石刻推算1870年宜昌洪峰流量110000 m</w:t>
      </w:r>
      <w:r>
        <w:rPr>
          <w:rFonts w:ascii="仿宋_GB2312" w:hAnsi="仿宋_GB2312" w:cs="仿宋_GB2312" w:hint="eastAsia"/>
          <w:sz w:val="28"/>
          <w:szCs w:val="28"/>
          <w:vertAlign w:val="superscript"/>
        </w:rPr>
        <w:t>3</w:t>
      </w:r>
      <w:r>
        <w:rPr>
          <w:rFonts w:ascii="仿宋_GB2312" w:hAnsi="仿宋_GB2312" w:cs="仿宋_GB2312" w:hint="eastAsia"/>
          <w:sz w:val="28"/>
          <w:szCs w:val="28"/>
        </w:rPr>
        <w:t>/s，则N=1992-1870+1=123（年），学生很自然地提出这么大的洪水平均123年就发生一次，可能性不大。于是通过展示长江岸石壁的两处宋代（1153年）石刻等调查资料，进一步推算洪峰流量为92800 m3/s，且确定自1153年以来1870年洪水最大。由此得出1870年洪水的重现期N=1992-1153+1=840年。通过严谨的推算，帮助学生准确理解知识点（特大洪水重现期的计算），提高学生正确认识、分析和解决问题的能力；</w:t>
      </w:r>
      <w:r>
        <w:rPr>
          <w:rFonts w:ascii="仿宋_GB2312" w:hAnsi="仿宋_GB2312" w:cs="仿宋_GB2312" w:hint="eastAsia"/>
          <w:sz w:val="28"/>
          <w:szCs w:val="28"/>
        </w:rPr>
        <w:lastRenderedPageBreak/>
        <w:t>同时，这也是工程伦理教育的一种强化，加强学生对所学知识的敬畏心，培养严谨求实的大国工匠精神，为日后实际工程的设计埋下职业责任感的种子。</w:t>
      </w:r>
    </w:p>
    <w:p w:rsidR="005708AF" w:rsidRDefault="005708AF" w:rsidP="005708AF">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（3）设立综合性问题，锻炼学生对知识的整合和运用能力，培养未来决策者的全局观</w:t>
      </w:r>
    </w:p>
    <w:p w:rsidR="005708AF" w:rsidRDefault="005708AF" w:rsidP="005708AF">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在课堂教学中帮助学生理清纵向、横向脉络后，还要注重锻炼学生对知识的运用能力，形成完整的学习闭环。如教学完人类活动对河川径流的影响后，可顺势提出“如何理解城市化对径流量及洪峰流量的影响”这一综合性问题，引导学生发散思维，把不同板块所学的零碎知识点进行回忆、整合，包括人口和高层建筑增多对地区小循环的加快、降水量增大、降水次数增加，导致径流量增大；城市化对下垫面的改造带来地面下渗率的下降，易引发城市内涝；城市化进程中雨水排水系统也在不断完善。此时以视频形式向学生展示近几年北上广地区严重的暴雨内涝问题，进而介绍目前城市建设中一些先进的水文管理措施和理念，如低影响开发（LID：Low Impact Development）、可持续城市排水系统（SUDS：Sustainable UrbanDrainage System）、水敏感性城市设计（WSUD：Wa-ter Sensitive Urban Design）。基于这些原则又有多重实践方式，包括绿色屋顶、雨水花园、可渗水铺地等，项目的决策者需要把握所在城市的全局发展，综合考虑，才能判断出最合适的技术模式。这类综合性问题的探讨过程，考验了学生对所学知识的运用能力，并培养学生全面看待问题、科学决策的主人翁意识。</w:t>
      </w:r>
    </w:p>
    <w:p w:rsidR="005708AF" w:rsidRDefault="005708AF" w:rsidP="005708A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5708AF" w:rsidTr="00702523">
        <w:trPr>
          <w:cantSplit/>
          <w:trHeight w:val="785"/>
        </w:trPr>
        <w:tc>
          <w:tcPr>
            <w:tcW w:w="51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序号</w:t>
            </w:r>
          </w:p>
        </w:tc>
        <w:tc>
          <w:tcPr>
            <w:tcW w:w="210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5708AF" w:rsidTr="00702523">
        <w:trPr>
          <w:trHeight w:val="428"/>
        </w:trPr>
        <w:tc>
          <w:tcPr>
            <w:tcW w:w="51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第一章</w:t>
            </w:r>
          </w:p>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城镇防洪概论</w:t>
            </w:r>
          </w:p>
        </w:tc>
        <w:tc>
          <w:tcPr>
            <w:tcW w:w="727" w:type="dxa"/>
            <w:vAlign w:val="center"/>
          </w:tcPr>
          <w:p w:rsidR="005708AF" w:rsidRDefault="005708AF" w:rsidP="00702523">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5708AF" w:rsidRDefault="005708AF" w:rsidP="00702523">
            <w:pPr>
              <w:rPr>
                <w:rFonts w:ascii="Times New Roman" w:hAnsi="Times New Roman"/>
                <w:kern w:val="0"/>
                <w:sz w:val="20"/>
                <w:szCs w:val="20"/>
              </w:rPr>
            </w:pPr>
            <w:r>
              <w:rPr>
                <w:rFonts w:ascii="Times New Roman" w:hAnsi="Times New Roman" w:hint="eastAsia"/>
                <w:kern w:val="0"/>
                <w:sz w:val="20"/>
                <w:szCs w:val="20"/>
              </w:rPr>
              <w:t>绪论</w:t>
            </w:r>
          </w:p>
          <w:p w:rsidR="005708AF" w:rsidRDefault="005708AF" w:rsidP="00702523">
            <w:pPr>
              <w:rPr>
                <w:rFonts w:ascii="Times New Roman" w:hAnsi="Times New Roman"/>
                <w:kern w:val="0"/>
                <w:sz w:val="20"/>
                <w:szCs w:val="20"/>
              </w:rPr>
            </w:pPr>
            <w:r>
              <w:rPr>
                <w:rFonts w:ascii="Times New Roman" w:hAnsi="Times New Roman" w:hint="eastAsia"/>
                <w:kern w:val="0"/>
                <w:sz w:val="20"/>
                <w:szCs w:val="20"/>
              </w:rPr>
              <w:t>第一章</w:t>
            </w:r>
            <w:r>
              <w:rPr>
                <w:rFonts w:ascii="Times New Roman" w:hAnsi="Times New Roman" w:hint="eastAsia"/>
                <w:kern w:val="0"/>
                <w:sz w:val="20"/>
                <w:szCs w:val="20"/>
              </w:rPr>
              <w:t xml:space="preserve"> </w:t>
            </w:r>
            <w:r>
              <w:rPr>
                <w:rFonts w:ascii="Times New Roman" w:hAnsi="Times New Roman" w:hint="eastAsia"/>
                <w:kern w:val="0"/>
                <w:sz w:val="20"/>
                <w:szCs w:val="20"/>
              </w:rPr>
              <w:t>城镇防洪概论</w:t>
            </w:r>
          </w:p>
          <w:p w:rsidR="005708AF" w:rsidRDefault="005708AF" w:rsidP="00702523">
            <w:pPr>
              <w:ind w:leftChars="100" w:left="320"/>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洪灾及其防治</w:t>
            </w:r>
            <w:r>
              <w:rPr>
                <w:rFonts w:ascii="Times New Roman" w:hAnsi="Times New Roman"/>
                <w:kern w:val="0"/>
                <w:sz w:val="20"/>
                <w:szCs w:val="20"/>
              </w:rPr>
              <w:br/>
            </w: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城镇防洪的重要意义</w:t>
            </w:r>
          </w:p>
          <w:p w:rsidR="005708AF" w:rsidRDefault="005708AF" w:rsidP="00702523">
            <w:pPr>
              <w:rPr>
                <w:rFonts w:ascii="Times New Roman" w:hAnsi="Times New Roman"/>
                <w:kern w:val="0"/>
                <w:sz w:val="20"/>
                <w:szCs w:val="20"/>
              </w:rPr>
            </w:pPr>
          </w:p>
        </w:tc>
        <w:tc>
          <w:tcPr>
            <w:tcW w:w="2755" w:type="dxa"/>
            <w:vAlign w:val="center"/>
          </w:tcPr>
          <w:p w:rsidR="005708AF" w:rsidRDefault="005708AF" w:rsidP="00702523">
            <w:pPr>
              <w:numPr>
                <w:ilvl w:val="0"/>
                <w:numId w:val="58"/>
              </w:numPr>
              <w:autoSpaceDE w:val="0"/>
              <w:autoSpaceDN w:val="0"/>
              <w:spacing w:line="312" w:lineRule="auto"/>
              <w:jc w:val="left"/>
              <w:rPr>
                <w:rFonts w:ascii="Times New Roman" w:hAnsi="Times New Roman"/>
                <w:kern w:val="0"/>
                <w:sz w:val="20"/>
                <w:szCs w:val="20"/>
              </w:rPr>
            </w:pPr>
            <w:r>
              <w:rPr>
                <w:rFonts w:ascii="Times New Roman" w:hAnsi="Times New Roman" w:hint="eastAsia"/>
                <w:kern w:val="0"/>
                <w:sz w:val="20"/>
                <w:szCs w:val="20"/>
              </w:rPr>
              <w:t>熟悉传统的、常规的、惯用的防洪治水方法和技术</w:t>
            </w:r>
          </w:p>
          <w:p w:rsidR="005708AF" w:rsidRDefault="005708AF" w:rsidP="00702523">
            <w:pPr>
              <w:numPr>
                <w:ilvl w:val="0"/>
                <w:numId w:val="58"/>
              </w:numPr>
              <w:rPr>
                <w:rFonts w:ascii="Times New Roman" w:hAnsi="Times New Roman"/>
                <w:kern w:val="0"/>
                <w:sz w:val="20"/>
                <w:szCs w:val="20"/>
              </w:rPr>
            </w:pPr>
            <w:r>
              <w:rPr>
                <w:rFonts w:ascii="Times New Roman" w:hAnsi="Times New Roman" w:hint="eastAsia"/>
                <w:kern w:val="0"/>
                <w:sz w:val="20"/>
                <w:szCs w:val="20"/>
              </w:rPr>
              <w:t>了解城镇防洪的重要意义</w:t>
            </w:r>
          </w:p>
        </w:tc>
      </w:tr>
      <w:tr w:rsidR="005708AF" w:rsidTr="00702523">
        <w:trPr>
          <w:trHeight w:val="519"/>
        </w:trPr>
        <w:tc>
          <w:tcPr>
            <w:tcW w:w="512" w:type="dxa"/>
            <w:vAlign w:val="center"/>
          </w:tcPr>
          <w:p w:rsidR="005708AF" w:rsidRDefault="005708AF" w:rsidP="00702523">
            <w:pPr>
              <w:rPr>
                <w:rFonts w:ascii="Times New Roman" w:hAnsi="Times New Roman"/>
                <w:kern w:val="0"/>
                <w:sz w:val="20"/>
                <w:szCs w:val="20"/>
              </w:rPr>
            </w:pPr>
          </w:p>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第二章</w:t>
            </w:r>
          </w:p>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设计洪水流量</w:t>
            </w:r>
          </w:p>
        </w:tc>
        <w:tc>
          <w:tcPr>
            <w:tcW w:w="727" w:type="dxa"/>
            <w:vAlign w:val="center"/>
          </w:tcPr>
          <w:p w:rsidR="005708AF" w:rsidRDefault="005708AF" w:rsidP="00702523">
            <w:pPr>
              <w:rPr>
                <w:rFonts w:ascii="Times New Roman" w:hAnsi="Times New Roman"/>
                <w:kern w:val="0"/>
                <w:sz w:val="20"/>
                <w:szCs w:val="20"/>
              </w:rPr>
            </w:pPr>
            <w:r>
              <w:rPr>
                <w:rFonts w:ascii="Times New Roman" w:hAnsi="Times New Roman"/>
                <w:kern w:val="0"/>
                <w:sz w:val="20"/>
                <w:szCs w:val="20"/>
              </w:rPr>
              <w:t>2</w:t>
            </w:r>
          </w:p>
        </w:tc>
        <w:tc>
          <w:tcPr>
            <w:tcW w:w="3059" w:type="dxa"/>
            <w:vAlign w:val="center"/>
          </w:tcPr>
          <w:p w:rsidR="005708AF" w:rsidRDefault="005708AF" w:rsidP="00702523">
            <w:pPr>
              <w:ind w:left="800" w:hangingChars="400" w:hanging="800"/>
              <w:rPr>
                <w:rFonts w:ascii="Times New Roman" w:hAnsi="Times New Roman"/>
                <w:kern w:val="0"/>
                <w:sz w:val="20"/>
                <w:szCs w:val="20"/>
              </w:rPr>
            </w:pPr>
            <w:r>
              <w:rPr>
                <w:rFonts w:ascii="Times New Roman" w:hAnsi="Times New Roman" w:hint="eastAsia"/>
                <w:kern w:val="0"/>
                <w:sz w:val="20"/>
                <w:szCs w:val="20"/>
              </w:rPr>
              <w:t>第二章</w:t>
            </w:r>
            <w:r>
              <w:rPr>
                <w:rFonts w:ascii="Times New Roman" w:hAnsi="Times New Roman" w:hint="eastAsia"/>
                <w:kern w:val="0"/>
                <w:sz w:val="20"/>
                <w:szCs w:val="20"/>
              </w:rPr>
              <w:t xml:space="preserve"> </w:t>
            </w:r>
            <w:r>
              <w:rPr>
                <w:rFonts w:ascii="Times New Roman" w:hAnsi="Times New Roman" w:hint="eastAsia"/>
                <w:kern w:val="0"/>
                <w:sz w:val="20"/>
                <w:szCs w:val="20"/>
              </w:rPr>
              <w:t>设计洪水流量</w:t>
            </w:r>
          </w:p>
          <w:p w:rsidR="005708AF" w:rsidRDefault="005708AF" w:rsidP="00702523">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水文频率计算基本方法</w:t>
            </w:r>
          </w:p>
          <w:p w:rsidR="005708AF" w:rsidRDefault="005708AF" w:rsidP="00702523">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利用实测流量资料推求</w:t>
            </w:r>
            <w:r>
              <w:rPr>
                <w:rFonts w:ascii="Times New Roman" w:hAnsi="Times New Roman"/>
                <w:kern w:val="0"/>
                <w:sz w:val="20"/>
                <w:szCs w:val="20"/>
              </w:rPr>
              <w:t xml:space="preserve">   </w:t>
            </w:r>
            <w:r>
              <w:rPr>
                <w:rFonts w:ascii="Times New Roman" w:hAnsi="Times New Roman" w:hint="eastAsia"/>
                <w:kern w:val="0"/>
                <w:sz w:val="20"/>
                <w:szCs w:val="20"/>
              </w:rPr>
              <w:t>设计洪水流量</w:t>
            </w:r>
          </w:p>
          <w:p w:rsidR="005708AF" w:rsidRDefault="005708AF" w:rsidP="00702523">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洪水调查与推算设计洪水流量</w:t>
            </w:r>
          </w:p>
          <w:p w:rsidR="005708AF" w:rsidRDefault="005708AF" w:rsidP="00702523">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由暴雨资料推求设计洪水流量</w:t>
            </w:r>
          </w:p>
          <w:p w:rsidR="005708AF" w:rsidRDefault="005708AF" w:rsidP="00702523">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第五节</w:t>
            </w:r>
            <w:r>
              <w:rPr>
                <w:rFonts w:ascii="Times New Roman" w:hAnsi="Times New Roman" w:hint="eastAsia"/>
                <w:kern w:val="0"/>
                <w:sz w:val="20"/>
                <w:szCs w:val="20"/>
              </w:rPr>
              <w:t xml:space="preserve"> </w:t>
            </w:r>
            <w:r>
              <w:rPr>
                <w:rFonts w:ascii="Times New Roman" w:hAnsi="Times New Roman" w:hint="eastAsia"/>
                <w:kern w:val="0"/>
                <w:sz w:val="20"/>
                <w:szCs w:val="20"/>
              </w:rPr>
              <w:t>推算小流域面积设计洪水流量</w:t>
            </w:r>
          </w:p>
        </w:tc>
        <w:tc>
          <w:tcPr>
            <w:tcW w:w="2755" w:type="dxa"/>
            <w:vAlign w:val="center"/>
          </w:tcPr>
          <w:p w:rsidR="005708AF" w:rsidRDefault="005708AF" w:rsidP="00702523">
            <w:pPr>
              <w:numPr>
                <w:ilvl w:val="0"/>
                <w:numId w:val="59"/>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掌握水文频率计算</w:t>
            </w:r>
          </w:p>
          <w:p w:rsidR="005708AF" w:rsidRDefault="005708AF" w:rsidP="00702523">
            <w:pPr>
              <w:numPr>
                <w:ilvl w:val="0"/>
                <w:numId w:val="59"/>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掌握设计洪水流量的各种推求方法</w:t>
            </w:r>
          </w:p>
          <w:p w:rsidR="005708AF" w:rsidRDefault="005708AF" w:rsidP="00702523">
            <w:pPr>
              <w:numPr>
                <w:ilvl w:val="0"/>
                <w:numId w:val="59"/>
              </w:numPr>
              <w:rPr>
                <w:rFonts w:ascii="Times New Roman" w:hAnsi="Times New Roman"/>
                <w:kern w:val="0"/>
                <w:sz w:val="20"/>
                <w:szCs w:val="20"/>
              </w:rPr>
            </w:pPr>
            <w:r>
              <w:rPr>
                <w:rFonts w:ascii="Times New Roman" w:hAnsi="Times New Roman" w:hint="eastAsia"/>
                <w:kern w:val="0"/>
                <w:sz w:val="20"/>
                <w:szCs w:val="20"/>
              </w:rPr>
              <w:t>掌握小流域面积的设计供水流量计算</w:t>
            </w:r>
          </w:p>
        </w:tc>
      </w:tr>
      <w:tr w:rsidR="005708AF" w:rsidTr="00702523">
        <w:trPr>
          <w:trHeight w:val="555"/>
        </w:trPr>
        <w:tc>
          <w:tcPr>
            <w:tcW w:w="51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第三章</w:t>
            </w:r>
          </w:p>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城镇防洪总体规划</w:t>
            </w:r>
          </w:p>
        </w:tc>
        <w:tc>
          <w:tcPr>
            <w:tcW w:w="727" w:type="dxa"/>
            <w:vAlign w:val="center"/>
          </w:tcPr>
          <w:p w:rsidR="005708AF" w:rsidRDefault="005708AF" w:rsidP="00702523">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5708AF" w:rsidRDefault="005708AF" w:rsidP="00702523">
            <w:pPr>
              <w:shd w:val="clear" w:color="auto" w:fill="FFFFFF"/>
              <w:spacing w:line="288" w:lineRule="atLeast"/>
              <w:rPr>
                <w:rFonts w:ascii="Times New Roman" w:hAnsi="Times New Roman"/>
                <w:kern w:val="0"/>
                <w:sz w:val="20"/>
                <w:szCs w:val="20"/>
              </w:rPr>
            </w:pPr>
            <w:r>
              <w:rPr>
                <w:rFonts w:ascii="Times New Roman" w:hAnsi="Times New Roman" w:hint="eastAsia"/>
                <w:kern w:val="0"/>
                <w:sz w:val="20"/>
                <w:szCs w:val="20"/>
              </w:rPr>
              <w:t>第三章</w:t>
            </w:r>
            <w:r>
              <w:rPr>
                <w:rFonts w:ascii="Times New Roman" w:hAnsi="Times New Roman" w:hint="eastAsia"/>
                <w:kern w:val="0"/>
                <w:sz w:val="20"/>
                <w:szCs w:val="20"/>
              </w:rPr>
              <w:t xml:space="preserve">  </w:t>
            </w:r>
            <w:r>
              <w:rPr>
                <w:rFonts w:ascii="Times New Roman" w:hAnsi="Times New Roman" w:hint="eastAsia"/>
                <w:kern w:val="0"/>
                <w:sz w:val="20"/>
                <w:szCs w:val="20"/>
              </w:rPr>
              <w:t>城镇防洪总体规划</w:t>
            </w:r>
          </w:p>
          <w:p w:rsidR="005708AF" w:rsidRDefault="005708AF" w:rsidP="00702523">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城镇防洪总体规划概述</w:t>
            </w:r>
          </w:p>
          <w:p w:rsidR="005708AF" w:rsidRDefault="005708AF" w:rsidP="00702523">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城镇防洪总体规划设计的基础资料</w:t>
            </w:r>
          </w:p>
          <w:p w:rsidR="005708AF" w:rsidRDefault="005708AF" w:rsidP="00702523">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城镇防洪能力</w:t>
            </w:r>
          </w:p>
          <w:p w:rsidR="005708AF" w:rsidRDefault="005708AF" w:rsidP="00702523">
            <w:pPr>
              <w:shd w:val="clear" w:color="auto" w:fill="FFFFFF"/>
              <w:spacing w:line="288" w:lineRule="atLeast"/>
              <w:ind w:firstLine="213"/>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hint="eastAsia"/>
                <w:kern w:val="0"/>
                <w:sz w:val="20"/>
                <w:szCs w:val="20"/>
              </w:rPr>
              <w:t>城镇防洪设计防洪标准</w:t>
            </w:r>
          </w:p>
        </w:tc>
        <w:tc>
          <w:tcPr>
            <w:tcW w:w="2755" w:type="dxa"/>
            <w:vAlign w:val="center"/>
          </w:tcPr>
          <w:p w:rsidR="005708AF" w:rsidRDefault="005708AF" w:rsidP="00702523">
            <w:pPr>
              <w:numPr>
                <w:ilvl w:val="0"/>
                <w:numId w:val="60"/>
              </w:numPr>
              <w:rPr>
                <w:rFonts w:ascii="Times New Roman" w:hAnsi="Times New Roman"/>
                <w:kern w:val="0"/>
                <w:sz w:val="20"/>
                <w:szCs w:val="20"/>
              </w:rPr>
            </w:pPr>
            <w:r>
              <w:rPr>
                <w:rFonts w:ascii="Times New Roman" w:hAnsi="Times New Roman" w:hint="eastAsia"/>
                <w:kern w:val="0"/>
                <w:sz w:val="20"/>
                <w:szCs w:val="20"/>
              </w:rPr>
              <w:t>熟悉城镇防洪总体规划相关知识</w:t>
            </w:r>
          </w:p>
          <w:p w:rsidR="005708AF" w:rsidRDefault="005708AF" w:rsidP="00702523">
            <w:pPr>
              <w:numPr>
                <w:ilvl w:val="0"/>
                <w:numId w:val="60"/>
              </w:numPr>
              <w:rPr>
                <w:rFonts w:ascii="Times New Roman" w:hAnsi="Times New Roman"/>
                <w:kern w:val="0"/>
                <w:sz w:val="20"/>
                <w:szCs w:val="20"/>
              </w:rPr>
            </w:pPr>
            <w:r>
              <w:rPr>
                <w:rFonts w:ascii="Times New Roman" w:hAnsi="Times New Roman" w:hint="eastAsia"/>
                <w:kern w:val="0"/>
                <w:sz w:val="20"/>
                <w:szCs w:val="20"/>
              </w:rPr>
              <w:t>学会推算城镇防洪能力</w:t>
            </w:r>
          </w:p>
          <w:p w:rsidR="005708AF" w:rsidRDefault="005708AF" w:rsidP="00702523">
            <w:pPr>
              <w:numPr>
                <w:ilvl w:val="0"/>
                <w:numId w:val="60"/>
              </w:numPr>
              <w:rPr>
                <w:rFonts w:ascii="Times New Roman" w:hAnsi="Times New Roman"/>
                <w:kern w:val="0"/>
                <w:sz w:val="20"/>
                <w:szCs w:val="20"/>
              </w:rPr>
            </w:pPr>
            <w:r>
              <w:rPr>
                <w:rFonts w:ascii="Times New Roman" w:hAnsi="Times New Roman" w:hint="eastAsia"/>
                <w:kern w:val="0"/>
                <w:sz w:val="20"/>
                <w:szCs w:val="20"/>
              </w:rPr>
              <w:t>熟悉相关城镇防洪设计防洪标准</w:t>
            </w:r>
          </w:p>
        </w:tc>
      </w:tr>
      <w:tr w:rsidR="005708AF" w:rsidTr="00702523">
        <w:trPr>
          <w:trHeight w:val="548"/>
        </w:trPr>
        <w:tc>
          <w:tcPr>
            <w:tcW w:w="51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4</w:t>
            </w:r>
          </w:p>
        </w:tc>
        <w:tc>
          <w:tcPr>
            <w:tcW w:w="210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第四章</w:t>
            </w:r>
            <w:r>
              <w:rPr>
                <w:rFonts w:ascii="Times New Roman" w:hAnsi="Times New Roman" w:hint="eastAsia"/>
                <w:kern w:val="0"/>
                <w:sz w:val="20"/>
                <w:szCs w:val="20"/>
              </w:rPr>
              <w:t xml:space="preserve"> </w:t>
            </w:r>
          </w:p>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防洪工程措施</w:t>
            </w:r>
          </w:p>
          <w:p w:rsidR="005708AF" w:rsidRDefault="005708AF" w:rsidP="00702523">
            <w:pPr>
              <w:jc w:val="center"/>
              <w:rPr>
                <w:rFonts w:ascii="Times New Roman" w:hAnsi="Times New Roman"/>
                <w:kern w:val="0"/>
                <w:sz w:val="20"/>
                <w:szCs w:val="20"/>
              </w:rPr>
            </w:pPr>
          </w:p>
        </w:tc>
        <w:tc>
          <w:tcPr>
            <w:tcW w:w="727"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5708AF" w:rsidRDefault="005708AF" w:rsidP="00702523">
            <w:pPr>
              <w:widowControl/>
              <w:shd w:val="clear" w:color="auto" w:fill="FFFFFF"/>
              <w:spacing w:line="288" w:lineRule="atLeast"/>
              <w:jc w:val="left"/>
              <w:rPr>
                <w:rFonts w:ascii="Times New Roman" w:hAnsi="Times New Roman"/>
                <w:kern w:val="0"/>
                <w:sz w:val="20"/>
                <w:szCs w:val="20"/>
              </w:rPr>
            </w:pPr>
            <w:r>
              <w:rPr>
                <w:rFonts w:ascii="Times New Roman" w:hAnsi="Times New Roman" w:hint="eastAsia"/>
                <w:kern w:val="0"/>
                <w:sz w:val="20"/>
                <w:szCs w:val="20"/>
              </w:rPr>
              <w:t>第四章</w:t>
            </w:r>
            <w:r>
              <w:rPr>
                <w:rFonts w:ascii="Times New Roman" w:hAnsi="Times New Roman" w:hint="eastAsia"/>
                <w:kern w:val="0"/>
                <w:sz w:val="20"/>
                <w:szCs w:val="20"/>
              </w:rPr>
              <w:t xml:space="preserve">  </w:t>
            </w:r>
            <w:r>
              <w:rPr>
                <w:rFonts w:ascii="Times New Roman" w:hAnsi="Times New Roman" w:hint="eastAsia"/>
                <w:kern w:val="0"/>
                <w:sz w:val="20"/>
                <w:szCs w:val="20"/>
              </w:rPr>
              <w:t>防洪工程措施</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堤防</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护岸与河道整治</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城镇山洪防治与排涝</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kern w:val="0"/>
                <w:sz w:val="20"/>
                <w:szCs w:val="20"/>
              </w:rPr>
              <w:t>防洪闸与交叉构筑物</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第五节</w:t>
            </w:r>
            <w:r>
              <w:rPr>
                <w:rFonts w:ascii="Times New Roman" w:hAnsi="Times New Roman" w:hint="eastAsia"/>
                <w:kern w:val="0"/>
                <w:sz w:val="20"/>
                <w:szCs w:val="20"/>
              </w:rPr>
              <w:t xml:space="preserve"> </w:t>
            </w:r>
            <w:r>
              <w:rPr>
                <w:rFonts w:ascii="Times New Roman" w:hAnsi="Times New Roman"/>
                <w:kern w:val="0"/>
                <w:sz w:val="20"/>
                <w:szCs w:val="20"/>
              </w:rPr>
              <w:t>泥石流防治</w:t>
            </w:r>
          </w:p>
          <w:p w:rsidR="005708AF" w:rsidRDefault="005708AF" w:rsidP="00702523">
            <w:pPr>
              <w:ind w:firstLineChars="157" w:firstLine="314"/>
              <w:rPr>
                <w:rFonts w:ascii="Times New Roman" w:hAnsi="Times New Roman"/>
                <w:kern w:val="0"/>
                <w:sz w:val="20"/>
                <w:szCs w:val="20"/>
              </w:rPr>
            </w:pPr>
          </w:p>
        </w:tc>
        <w:tc>
          <w:tcPr>
            <w:tcW w:w="2755" w:type="dxa"/>
            <w:vAlign w:val="center"/>
          </w:tcPr>
          <w:p w:rsidR="005708AF" w:rsidRDefault="005708AF" w:rsidP="00702523">
            <w:pPr>
              <w:numPr>
                <w:ilvl w:val="0"/>
                <w:numId w:val="61"/>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掌握堤防基本知识</w:t>
            </w:r>
            <w:r>
              <w:rPr>
                <w:rFonts w:ascii="Times New Roman" w:hAnsi="Times New Roman" w:hint="eastAsia"/>
                <w:kern w:val="0"/>
                <w:sz w:val="20"/>
                <w:szCs w:val="20"/>
              </w:rPr>
              <w:t xml:space="preserve"> </w:t>
            </w:r>
          </w:p>
          <w:p w:rsidR="005708AF" w:rsidRDefault="005708AF" w:rsidP="00702523">
            <w:pPr>
              <w:numPr>
                <w:ilvl w:val="0"/>
                <w:numId w:val="61"/>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熟悉护按与河道整治的基本方法</w:t>
            </w:r>
          </w:p>
          <w:p w:rsidR="005708AF" w:rsidRDefault="005708AF" w:rsidP="00702523">
            <w:pPr>
              <w:numPr>
                <w:ilvl w:val="0"/>
                <w:numId w:val="61"/>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熟悉城镇山洪防治和排涝方法</w:t>
            </w:r>
          </w:p>
          <w:p w:rsidR="005708AF" w:rsidRDefault="005708AF" w:rsidP="00702523">
            <w:pPr>
              <w:numPr>
                <w:ilvl w:val="0"/>
                <w:numId w:val="61"/>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了解防洪闸与交叉构筑物</w:t>
            </w:r>
          </w:p>
          <w:p w:rsidR="005708AF" w:rsidRDefault="005708AF" w:rsidP="00702523">
            <w:pPr>
              <w:numPr>
                <w:ilvl w:val="0"/>
                <w:numId w:val="61"/>
              </w:numPr>
              <w:rPr>
                <w:rFonts w:ascii="Times New Roman" w:hAnsi="Times New Roman"/>
                <w:kern w:val="0"/>
                <w:sz w:val="20"/>
                <w:szCs w:val="20"/>
              </w:rPr>
            </w:pPr>
            <w:r>
              <w:rPr>
                <w:rFonts w:ascii="Times New Roman" w:hAnsi="Times New Roman" w:hint="eastAsia"/>
                <w:kern w:val="0"/>
                <w:sz w:val="20"/>
                <w:szCs w:val="20"/>
              </w:rPr>
              <w:t>熟悉泥石流的防治方法</w:t>
            </w:r>
          </w:p>
        </w:tc>
      </w:tr>
      <w:tr w:rsidR="005708AF" w:rsidTr="00702523">
        <w:trPr>
          <w:trHeight w:val="548"/>
        </w:trPr>
        <w:tc>
          <w:tcPr>
            <w:tcW w:w="51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5</w:t>
            </w:r>
          </w:p>
        </w:tc>
        <w:tc>
          <w:tcPr>
            <w:tcW w:w="210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第五章</w:t>
            </w:r>
          </w:p>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防洪工程管理</w:t>
            </w:r>
          </w:p>
        </w:tc>
        <w:tc>
          <w:tcPr>
            <w:tcW w:w="727"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5708AF" w:rsidRDefault="005708AF" w:rsidP="00702523">
            <w:pPr>
              <w:rPr>
                <w:rFonts w:ascii="Times New Roman" w:hAnsi="Times New Roman"/>
                <w:kern w:val="0"/>
                <w:sz w:val="20"/>
                <w:szCs w:val="20"/>
              </w:rPr>
            </w:pPr>
            <w:r>
              <w:rPr>
                <w:rFonts w:ascii="Times New Roman" w:hAnsi="Times New Roman" w:hint="eastAsia"/>
                <w:kern w:val="0"/>
                <w:sz w:val="20"/>
                <w:szCs w:val="20"/>
              </w:rPr>
              <w:t>第五章</w:t>
            </w:r>
            <w:r>
              <w:rPr>
                <w:rFonts w:ascii="Times New Roman" w:hAnsi="Times New Roman" w:hint="eastAsia"/>
                <w:kern w:val="0"/>
                <w:sz w:val="20"/>
                <w:szCs w:val="20"/>
              </w:rPr>
              <w:t xml:space="preserve"> </w:t>
            </w:r>
            <w:r>
              <w:rPr>
                <w:rFonts w:ascii="Times New Roman" w:hAnsi="Times New Roman" w:hint="eastAsia"/>
                <w:kern w:val="0"/>
                <w:sz w:val="20"/>
                <w:szCs w:val="20"/>
              </w:rPr>
              <w:t>防洪工程管理</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防洪工程管理原则及内容</w:t>
            </w:r>
          </w:p>
          <w:p w:rsidR="005708AF" w:rsidRDefault="005708AF" w:rsidP="00702523">
            <w:pPr>
              <w:widowControl/>
              <w:shd w:val="clear" w:color="auto" w:fill="FFFFFF"/>
              <w:spacing w:line="288" w:lineRule="atLeast"/>
              <w:jc w:val="left"/>
              <w:rPr>
                <w:rFonts w:ascii="Times New Roman" w:hAnsi="Times New Roman"/>
                <w:kern w:val="0"/>
                <w:sz w:val="20"/>
                <w:szCs w:val="20"/>
              </w:rPr>
            </w:pPr>
            <w:r>
              <w:rPr>
                <w:rFonts w:ascii="Times New Roman" w:hAnsi="Times New Roman" w:hint="eastAsia"/>
                <w:kern w:val="0"/>
                <w:sz w:val="20"/>
                <w:szCs w:val="20"/>
              </w:rPr>
              <w:lastRenderedPageBreak/>
              <w:t>第二节</w:t>
            </w:r>
            <w:r>
              <w:rPr>
                <w:rFonts w:ascii="Times New Roman" w:hAnsi="Times New Roman" w:hint="eastAsia"/>
                <w:kern w:val="0"/>
                <w:sz w:val="20"/>
                <w:szCs w:val="20"/>
              </w:rPr>
              <w:t xml:space="preserve"> </w:t>
            </w:r>
            <w:r>
              <w:rPr>
                <w:rFonts w:ascii="Times New Roman" w:hAnsi="Times New Roman" w:hint="eastAsia"/>
                <w:kern w:val="0"/>
                <w:sz w:val="20"/>
                <w:szCs w:val="20"/>
              </w:rPr>
              <w:t>防洪工程管理组织与措施</w:t>
            </w:r>
          </w:p>
        </w:tc>
        <w:tc>
          <w:tcPr>
            <w:tcW w:w="2755" w:type="dxa"/>
            <w:vAlign w:val="center"/>
          </w:tcPr>
          <w:p w:rsidR="005708AF" w:rsidRDefault="005708AF" w:rsidP="00702523">
            <w:pPr>
              <w:numPr>
                <w:ilvl w:val="0"/>
                <w:numId w:val="62"/>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lastRenderedPageBreak/>
              <w:t>熟悉防洪工程管理的基本内容</w:t>
            </w:r>
          </w:p>
        </w:tc>
      </w:tr>
      <w:tr w:rsidR="005708AF" w:rsidTr="00702523">
        <w:trPr>
          <w:trHeight w:val="548"/>
        </w:trPr>
        <w:tc>
          <w:tcPr>
            <w:tcW w:w="51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6</w:t>
            </w:r>
          </w:p>
        </w:tc>
        <w:tc>
          <w:tcPr>
            <w:tcW w:w="210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第六章</w:t>
            </w:r>
          </w:p>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防洪工程评价</w:t>
            </w:r>
          </w:p>
        </w:tc>
        <w:tc>
          <w:tcPr>
            <w:tcW w:w="727"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5708AF" w:rsidRDefault="005708AF" w:rsidP="00702523">
            <w:pPr>
              <w:jc w:val="left"/>
              <w:rPr>
                <w:rFonts w:ascii="Times New Roman" w:hAnsi="Times New Roman"/>
                <w:kern w:val="0"/>
                <w:sz w:val="20"/>
                <w:szCs w:val="20"/>
              </w:rPr>
            </w:pPr>
            <w:r>
              <w:rPr>
                <w:rFonts w:ascii="Times New Roman" w:hAnsi="Times New Roman" w:hint="eastAsia"/>
                <w:kern w:val="0"/>
                <w:sz w:val="20"/>
                <w:szCs w:val="20"/>
              </w:rPr>
              <w:t>第六章</w:t>
            </w:r>
            <w:r>
              <w:rPr>
                <w:rFonts w:ascii="Times New Roman" w:hAnsi="Times New Roman" w:hint="eastAsia"/>
                <w:kern w:val="0"/>
                <w:sz w:val="20"/>
                <w:szCs w:val="20"/>
              </w:rPr>
              <w:t xml:space="preserve"> </w:t>
            </w:r>
            <w:r>
              <w:rPr>
                <w:rFonts w:ascii="Times New Roman" w:hAnsi="Times New Roman" w:hint="eastAsia"/>
                <w:kern w:val="0"/>
                <w:sz w:val="20"/>
                <w:szCs w:val="20"/>
              </w:rPr>
              <w:t>防洪工程评价</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kern w:val="0"/>
                <w:sz w:val="20"/>
                <w:szCs w:val="20"/>
              </w:rPr>
              <w:t>环境影响评价</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kern w:val="0"/>
                <w:sz w:val="20"/>
                <w:szCs w:val="20"/>
              </w:rPr>
              <w:t>防洪工程经济评价</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kern w:val="0"/>
                <w:sz w:val="20"/>
                <w:szCs w:val="20"/>
              </w:rPr>
              <w:t>防洪工程综合评价</w:t>
            </w:r>
          </w:p>
          <w:p w:rsidR="005708AF" w:rsidRDefault="005708AF" w:rsidP="00702523">
            <w:pPr>
              <w:widowControl/>
              <w:shd w:val="clear" w:color="auto" w:fill="FFFFFF"/>
              <w:spacing w:line="288" w:lineRule="atLeast"/>
              <w:jc w:val="left"/>
              <w:rPr>
                <w:rFonts w:ascii="Times New Roman" w:hAnsi="Times New Roman"/>
                <w:kern w:val="0"/>
                <w:sz w:val="20"/>
                <w:szCs w:val="20"/>
              </w:rPr>
            </w:pPr>
          </w:p>
        </w:tc>
        <w:tc>
          <w:tcPr>
            <w:tcW w:w="2755" w:type="dxa"/>
            <w:vAlign w:val="center"/>
          </w:tcPr>
          <w:p w:rsidR="005708AF" w:rsidRDefault="005708AF" w:rsidP="00702523">
            <w:pPr>
              <w:numPr>
                <w:ilvl w:val="0"/>
                <w:numId w:val="63"/>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熟悉防洪工程的环境影响、经济及综合评价相关知识</w:t>
            </w:r>
          </w:p>
        </w:tc>
      </w:tr>
      <w:tr w:rsidR="005708AF" w:rsidTr="00702523">
        <w:trPr>
          <w:trHeight w:val="548"/>
        </w:trPr>
        <w:tc>
          <w:tcPr>
            <w:tcW w:w="51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7</w:t>
            </w:r>
          </w:p>
        </w:tc>
        <w:tc>
          <w:tcPr>
            <w:tcW w:w="210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第七章</w:t>
            </w:r>
          </w:p>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防洪非工程措施</w:t>
            </w:r>
          </w:p>
          <w:p w:rsidR="005708AF" w:rsidRDefault="005708AF" w:rsidP="00702523">
            <w:pPr>
              <w:jc w:val="center"/>
              <w:rPr>
                <w:rFonts w:ascii="Times New Roman" w:hAnsi="Times New Roman"/>
                <w:kern w:val="0"/>
                <w:sz w:val="20"/>
                <w:szCs w:val="20"/>
              </w:rPr>
            </w:pPr>
          </w:p>
        </w:tc>
        <w:tc>
          <w:tcPr>
            <w:tcW w:w="727"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5708AF" w:rsidRDefault="005708AF" w:rsidP="00702523">
            <w:pPr>
              <w:jc w:val="left"/>
              <w:rPr>
                <w:rFonts w:ascii="Times New Roman" w:hAnsi="Times New Roman"/>
                <w:kern w:val="0"/>
                <w:sz w:val="20"/>
                <w:szCs w:val="20"/>
              </w:rPr>
            </w:pPr>
            <w:r>
              <w:rPr>
                <w:rFonts w:ascii="Times New Roman" w:hAnsi="Times New Roman" w:hint="eastAsia"/>
                <w:kern w:val="0"/>
                <w:sz w:val="20"/>
                <w:szCs w:val="20"/>
              </w:rPr>
              <w:t>第七章</w:t>
            </w:r>
            <w:r>
              <w:rPr>
                <w:rFonts w:ascii="Times New Roman" w:hAnsi="Times New Roman" w:hint="eastAsia"/>
                <w:kern w:val="0"/>
                <w:sz w:val="20"/>
                <w:szCs w:val="20"/>
              </w:rPr>
              <w:t xml:space="preserve"> </w:t>
            </w:r>
            <w:r>
              <w:rPr>
                <w:rFonts w:ascii="Times New Roman" w:hAnsi="Times New Roman" w:hint="eastAsia"/>
                <w:kern w:val="0"/>
                <w:sz w:val="20"/>
                <w:szCs w:val="20"/>
              </w:rPr>
              <w:t>防洪非工程措施</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xml:space="preserve"> </w:t>
            </w:r>
            <w:r>
              <w:rPr>
                <w:rFonts w:ascii="Times New Roman" w:hAnsi="Times New Roman" w:hint="eastAsia"/>
                <w:kern w:val="0"/>
                <w:sz w:val="20"/>
                <w:szCs w:val="20"/>
              </w:rPr>
              <w:t>概述</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洪泛区管理</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洪水保险</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第四节</w:t>
            </w:r>
            <w:r>
              <w:rPr>
                <w:rFonts w:ascii="Times New Roman" w:hAnsi="Times New Roman" w:hint="eastAsia"/>
                <w:kern w:val="0"/>
                <w:sz w:val="20"/>
                <w:szCs w:val="20"/>
              </w:rPr>
              <w:t xml:space="preserve"> </w:t>
            </w:r>
            <w:r>
              <w:rPr>
                <w:rFonts w:ascii="Times New Roman" w:hAnsi="Times New Roman"/>
                <w:kern w:val="0"/>
                <w:sz w:val="20"/>
                <w:szCs w:val="20"/>
              </w:rPr>
              <w:t>洪水预警系统</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第五节</w:t>
            </w:r>
            <w:r>
              <w:rPr>
                <w:rFonts w:ascii="Times New Roman" w:hAnsi="Times New Roman" w:hint="eastAsia"/>
                <w:kern w:val="0"/>
                <w:sz w:val="20"/>
                <w:szCs w:val="20"/>
              </w:rPr>
              <w:t xml:space="preserve"> </w:t>
            </w:r>
            <w:r>
              <w:rPr>
                <w:rFonts w:ascii="Times New Roman" w:hAnsi="Times New Roman" w:hint="eastAsia"/>
                <w:kern w:val="0"/>
                <w:sz w:val="20"/>
                <w:szCs w:val="20"/>
              </w:rPr>
              <w:t>洪水抢险</w:t>
            </w:r>
          </w:p>
          <w:p w:rsidR="005708AF" w:rsidRDefault="005708AF" w:rsidP="00702523">
            <w:pPr>
              <w:widowControl/>
              <w:shd w:val="clear" w:color="auto" w:fill="FFFFFF"/>
              <w:spacing w:line="288" w:lineRule="atLeast"/>
              <w:jc w:val="left"/>
              <w:rPr>
                <w:rFonts w:ascii="Times New Roman" w:hAnsi="Times New Roman"/>
                <w:kern w:val="0"/>
                <w:sz w:val="20"/>
                <w:szCs w:val="20"/>
              </w:rPr>
            </w:pPr>
          </w:p>
        </w:tc>
        <w:tc>
          <w:tcPr>
            <w:tcW w:w="2755" w:type="dxa"/>
            <w:vAlign w:val="center"/>
          </w:tcPr>
          <w:p w:rsidR="005708AF" w:rsidRDefault="005708AF" w:rsidP="00702523">
            <w:pPr>
              <w:numPr>
                <w:ilvl w:val="0"/>
                <w:numId w:val="64"/>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了解防洪非工程措施，明确洪泛区的基本管理方法，知道洪水预警系统的运作并掌握一定的洪水抢险方式和技术</w:t>
            </w:r>
          </w:p>
        </w:tc>
      </w:tr>
      <w:tr w:rsidR="005708AF" w:rsidTr="00702523">
        <w:trPr>
          <w:trHeight w:val="548"/>
        </w:trPr>
        <w:tc>
          <w:tcPr>
            <w:tcW w:w="51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8</w:t>
            </w:r>
          </w:p>
        </w:tc>
        <w:tc>
          <w:tcPr>
            <w:tcW w:w="2102"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第八章</w:t>
            </w:r>
          </w:p>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雨洪利用</w:t>
            </w:r>
          </w:p>
        </w:tc>
        <w:tc>
          <w:tcPr>
            <w:tcW w:w="727" w:type="dxa"/>
            <w:vAlign w:val="center"/>
          </w:tcPr>
          <w:p w:rsidR="005708AF" w:rsidRDefault="005708AF" w:rsidP="00702523">
            <w:pPr>
              <w:jc w:val="cente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5708AF" w:rsidRDefault="005708AF" w:rsidP="00702523">
            <w:pPr>
              <w:jc w:val="left"/>
              <w:rPr>
                <w:rFonts w:ascii="Times New Roman" w:hAnsi="Times New Roman"/>
                <w:kern w:val="0"/>
                <w:sz w:val="20"/>
                <w:szCs w:val="20"/>
              </w:rPr>
            </w:pPr>
            <w:r>
              <w:rPr>
                <w:rFonts w:ascii="Times New Roman" w:hAnsi="Times New Roman" w:hint="eastAsia"/>
                <w:kern w:val="0"/>
                <w:sz w:val="20"/>
                <w:szCs w:val="20"/>
              </w:rPr>
              <w:t>第八章</w:t>
            </w:r>
            <w:r>
              <w:rPr>
                <w:rFonts w:ascii="Times New Roman" w:hAnsi="Times New Roman" w:hint="eastAsia"/>
                <w:kern w:val="0"/>
                <w:sz w:val="20"/>
                <w:szCs w:val="20"/>
              </w:rPr>
              <w:t xml:space="preserve"> </w:t>
            </w:r>
            <w:r>
              <w:rPr>
                <w:rFonts w:ascii="Times New Roman" w:hAnsi="Times New Roman" w:hint="eastAsia"/>
                <w:kern w:val="0"/>
                <w:sz w:val="20"/>
                <w:szCs w:val="20"/>
              </w:rPr>
              <w:t>雨洪利用</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第一节</w:t>
            </w:r>
            <w:r>
              <w:rPr>
                <w:rFonts w:ascii="Times New Roman" w:hAnsi="Times New Roman" w:hint="eastAsia"/>
                <w:kern w:val="0"/>
                <w:sz w:val="20"/>
                <w:szCs w:val="20"/>
              </w:rPr>
              <w:t> </w:t>
            </w:r>
            <w:r>
              <w:rPr>
                <w:rFonts w:ascii="Times New Roman" w:hAnsi="Times New Roman"/>
                <w:kern w:val="0"/>
                <w:sz w:val="20"/>
                <w:szCs w:val="20"/>
              </w:rPr>
              <w:t>概述</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第二节</w:t>
            </w:r>
            <w:r>
              <w:rPr>
                <w:rFonts w:ascii="Times New Roman" w:hAnsi="Times New Roman" w:hint="eastAsia"/>
                <w:kern w:val="0"/>
                <w:sz w:val="20"/>
                <w:szCs w:val="20"/>
              </w:rPr>
              <w:t xml:space="preserve"> </w:t>
            </w:r>
            <w:r>
              <w:rPr>
                <w:rFonts w:ascii="Times New Roman" w:hAnsi="Times New Roman" w:hint="eastAsia"/>
                <w:kern w:val="0"/>
                <w:sz w:val="20"/>
                <w:szCs w:val="20"/>
              </w:rPr>
              <w:t>雨洪利用规划设计与管理</w:t>
            </w:r>
          </w:p>
          <w:p w:rsidR="005708AF" w:rsidRDefault="005708AF" w:rsidP="00702523">
            <w:pPr>
              <w:widowControl/>
              <w:shd w:val="clear" w:color="auto" w:fill="FFFFFF"/>
              <w:spacing w:line="288" w:lineRule="atLeast"/>
              <w:ind w:firstLine="213"/>
              <w:jc w:val="left"/>
              <w:rPr>
                <w:rFonts w:ascii="Times New Roman" w:hAnsi="Times New Roman"/>
                <w:kern w:val="0"/>
                <w:sz w:val="20"/>
                <w:szCs w:val="20"/>
              </w:rPr>
            </w:pPr>
            <w:r>
              <w:rPr>
                <w:rFonts w:ascii="Times New Roman" w:hAnsi="Times New Roman" w:hint="eastAsia"/>
                <w:kern w:val="0"/>
                <w:sz w:val="20"/>
                <w:szCs w:val="20"/>
              </w:rPr>
              <w:t>第三节</w:t>
            </w:r>
            <w:r>
              <w:rPr>
                <w:rFonts w:ascii="Times New Roman" w:hAnsi="Times New Roman" w:hint="eastAsia"/>
                <w:kern w:val="0"/>
                <w:sz w:val="20"/>
                <w:szCs w:val="20"/>
              </w:rPr>
              <w:t xml:space="preserve"> </w:t>
            </w:r>
            <w:r>
              <w:rPr>
                <w:rFonts w:ascii="Times New Roman" w:hAnsi="Times New Roman" w:hint="eastAsia"/>
                <w:kern w:val="0"/>
                <w:sz w:val="20"/>
                <w:szCs w:val="20"/>
              </w:rPr>
              <w:t>工程实例</w:t>
            </w:r>
          </w:p>
        </w:tc>
        <w:tc>
          <w:tcPr>
            <w:tcW w:w="2755" w:type="dxa"/>
            <w:vAlign w:val="center"/>
          </w:tcPr>
          <w:p w:rsidR="005708AF" w:rsidRDefault="005708AF" w:rsidP="00702523">
            <w:pPr>
              <w:numPr>
                <w:ilvl w:val="0"/>
                <w:numId w:val="65"/>
              </w:numPr>
              <w:autoSpaceDE w:val="0"/>
              <w:autoSpaceDN w:val="0"/>
              <w:spacing w:line="312" w:lineRule="auto"/>
              <w:rPr>
                <w:rFonts w:ascii="Times New Roman" w:hAnsi="Times New Roman"/>
                <w:kern w:val="0"/>
                <w:sz w:val="20"/>
                <w:szCs w:val="20"/>
              </w:rPr>
            </w:pPr>
            <w:r>
              <w:rPr>
                <w:rFonts w:ascii="Times New Roman" w:hAnsi="Times New Roman" w:hint="eastAsia"/>
                <w:kern w:val="0"/>
                <w:sz w:val="20"/>
                <w:szCs w:val="20"/>
              </w:rPr>
              <w:t>结合工程实例，熟悉基本的雨洪利用途径，了解相关的与洪利用规划设计与管理工作</w:t>
            </w:r>
          </w:p>
        </w:tc>
      </w:tr>
    </w:tbl>
    <w:p w:rsidR="005708AF" w:rsidRDefault="005708AF" w:rsidP="005708A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5708AF" w:rsidRDefault="005708AF" w:rsidP="005708AF">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5708AF" w:rsidRDefault="005708AF" w:rsidP="005708AF">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采用平时成绩+期末考试方式确定总评成绩</w:t>
      </w:r>
    </w:p>
    <w:p w:rsidR="005708AF" w:rsidRDefault="005708AF" w:rsidP="005708AF">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5708AF" w:rsidRDefault="005708AF" w:rsidP="005708AF">
      <w:pPr>
        <w:spacing w:line="360" w:lineRule="auto"/>
        <w:ind w:firstLineChars="203" w:firstLine="568"/>
        <w:rPr>
          <w:rFonts w:ascii="仿宋_GB2312" w:hAnsi="仿宋_GB2312" w:cs="仿宋_GB2312"/>
          <w:sz w:val="28"/>
          <w:szCs w:val="28"/>
        </w:rPr>
      </w:pPr>
      <w:r>
        <w:rPr>
          <w:rFonts w:ascii="仿宋_GB2312" w:hAnsi="仿宋_GB2312" w:cs="仿宋_GB2312" w:hint="eastAsia"/>
          <w:sz w:val="28"/>
          <w:szCs w:val="28"/>
        </w:rPr>
        <w:t>成绩评定方式为百分制，平时成绩考核包括作业、讨论、出勤等内容，期末考试采用闭卷方式；平时成绩占20%</w:t>
      </w:r>
      <w:r>
        <w:rPr>
          <w:rFonts w:ascii="Times New Roman" w:hAnsi="Times New Roman"/>
          <w:sz w:val="28"/>
          <w:szCs w:val="28"/>
        </w:rPr>
        <w:t>~</w:t>
      </w:r>
      <w:r>
        <w:rPr>
          <w:rFonts w:ascii="仿宋_GB2312" w:hAnsi="仿宋_GB2312" w:cs="仿宋_GB2312" w:hint="eastAsia"/>
          <w:sz w:val="28"/>
          <w:szCs w:val="28"/>
        </w:rPr>
        <w:t>30%。</w:t>
      </w:r>
    </w:p>
    <w:p w:rsidR="005708AF" w:rsidRDefault="005708AF" w:rsidP="005708AF">
      <w:pPr>
        <w:spacing w:line="360" w:lineRule="auto"/>
        <w:ind w:firstLineChars="203" w:firstLine="568"/>
        <w:rPr>
          <w:rFonts w:ascii="仿宋_GB2312" w:hAnsi="仿宋_GB2312" w:cs="仿宋_GB2312"/>
          <w:sz w:val="28"/>
          <w:szCs w:val="28"/>
        </w:rPr>
      </w:pPr>
      <w:r>
        <w:rPr>
          <w:rFonts w:ascii="仿宋_GB2312" w:hAnsi="仿宋_GB2312" w:cs="仿宋_GB2312"/>
          <w:sz w:val="28"/>
          <w:szCs w:val="28"/>
        </w:rPr>
        <w:t>课程总成绩=期末成绩（80</w:t>
      </w:r>
      <w:r>
        <w:rPr>
          <w:rFonts w:ascii="Times New Roman" w:hAnsi="Times New Roman"/>
          <w:sz w:val="28"/>
          <w:szCs w:val="28"/>
        </w:rPr>
        <w:t>~</w:t>
      </w:r>
      <w:r>
        <w:rPr>
          <w:rFonts w:ascii="仿宋_GB2312" w:hAnsi="仿宋_GB2312" w:cs="仿宋_GB2312"/>
          <w:sz w:val="28"/>
          <w:szCs w:val="28"/>
        </w:rPr>
        <w:t>70）%+平时成绩（20</w:t>
      </w:r>
      <w:r>
        <w:rPr>
          <w:rFonts w:ascii="Times New Roman" w:hAnsi="Times New Roman"/>
          <w:sz w:val="28"/>
          <w:szCs w:val="28"/>
        </w:rPr>
        <w:t>~</w:t>
      </w:r>
      <w:r>
        <w:rPr>
          <w:rFonts w:ascii="仿宋_GB2312" w:hAnsi="仿宋_GB2312" w:cs="仿宋_GB2312"/>
          <w:sz w:val="28"/>
          <w:szCs w:val="28"/>
        </w:rPr>
        <w:t>30）</w:t>
      </w:r>
      <w:r>
        <w:rPr>
          <w:rFonts w:ascii="仿宋_GB2312" w:hAnsi="仿宋_GB2312" w:cs="仿宋_GB2312" w:hint="eastAsia"/>
          <w:sz w:val="28"/>
          <w:szCs w:val="28"/>
        </w:rPr>
        <w:t>%</w:t>
      </w:r>
    </w:p>
    <w:p w:rsidR="005708AF" w:rsidRDefault="005708AF" w:rsidP="005708A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5708AF" w:rsidRDefault="005708AF" w:rsidP="005708AF">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5708AF" w:rsidRDefault="005708AF" w:rsidP="005708AF">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《城镇防洪与雨水利用（第二版）》，张智编著，中国建筑工业出版社，2016年；</w:t>
      </w:r>
    </w:p>
    <w:p w:rsidR="005708AF" w:rsidRDefault="005708AF" w:rsidP="005708AF">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5708AF" w:rsidRDefault="005708AF" w:rsidP="005708AF">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lastRenderedPageBreak/>
        <w:t>（1）《城镇雨水调蓄工程技术规范》（GB 51174-2017）</w:t>
      </w:r>
    </w:p>
    <w:p w:rsidR="005708AF" w:rsidRDefault="005708AF" w:rsidP="005708AF">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（2）《城镇内涝防治技术规范》（GB 51222-2017）</w:t>
      </w:r>
    </w:p>
    <w:p w:rsidR="005708AF" w:rsidRDefault="005708AF" w:rsidP="005708AF">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sz w:val="28"/>
          <w:szCs w:val="28"/>
        </w:rPr>
        <w:t>3</w:t>
      </w:r>
      <w:r>
        <w:rPr>
          <w:rFonts w:ascii="仿宋_GB2312" w:hAnsi="仿宋_GB2312" w:cs="仿宋_GB2312" w:hint="eastAsia"/>
          <w:sz w:val="28"/>
          <w:szCs w:val="28"/>
        </w:rPr>
        <w:t>）《海绵城市建设技术指南》，住建部，2014年版</w:t>
      </w:r>
    </w:p>
    <w:p w:rsidR="005708AF" w:rsidRDefault="005708AF" w:rsidP="005708AF">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（4）《建筑与小区雨水控制及利用工程技术规范》（GB50400-2016）</w:t>
      </w:r>
    </w:p>
    <w:p w:rsidR="005708AF" w:rsidRDefault="005708AF" w:rsidP="005708AF">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（5）《室外排水工程规范》（GB50016-2006）2016年版</w:t>
      </w:r>
    </w:p>
    <w:p w:rsidR="005708AF" w:rsidRDefault="005708AF" w:rsidP="005708AF">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5708AF" w:rsidRDefault="005708AF" w:rsidP="005708AF">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5708AF" w:rsidRDefault="005708AF" w:rsidP="005708AF">
      <w:pPr>
        <w:spacing w:beforeLines="50" w:before="156" w:afterLines="50" w:after="156" w:line="460" w:lineRule="exact"/>
        <w:rPr>
          <w:rFonts w:ascii="黑体" w:eastAsia="黑体" w:hAnsi="黑体"/>
          <w:b/>
          <w:sz w:val="28"/>
          <w:szCs w:val="28"/>
        </w:rPr>
      </w:pPr>
    </w:p>
    <w:p w:rsidR="005708AF" w:rsidRDefault="005708AF" w:rsidP="005708AF">
      <w:pPr>
        <w:spacing w:beforeLines="50" w:before="156" w:afterLines="50" w:after="156" w:line="460" w:lineRule="exact"/>
        <w:rPr>
          <w:rFonts w:ascii="黑体" w:eastAsia="黑体" w:hAnsi="黑体"/>
          <w:b/>
          <w:sz w:val="28"/>
          <w:szCs w:val="28"/>
        </w:rPr>
      </w:pPr>
    </w:p>
    <w:p w:rsidR="005708AF" w:rsidRDefault="005708AF" w:rsidP="005708AF">
      <w:pPr>
        <w:spacing w:beforeLines="50" w:before="156" w:afterLines="50" w:after="156" w:line="460" w:lineRule="exact"/>
        <w:rPr>
          <w:rFonts w:ascii="黑体" w:eastAsia="黑体" w:hAnsi="黑体"/>
          <w:b/>
          <w:sz w:val="28"/>
          <w:szCs w:val="28"/>
        </w:rPr>
      </w:pPr>
    </w:p>
    <w:p w:rsidR="005708AF" w:rsidRDefault="005708AF" w:rsidP="005708AF">
      <w:pPr>
        <w:spacing w:beforeLines="50" w:before="156" w:afterLines="50" w:after="156" w:line="460" w:lineRule="exact"/>
        <w:rPr>
          <w:rFonts w:ascii="黑体" w:eastAsia="黑体" w:hAnsi="黑体"/>
          <w:b/>
          <w:sz w:val="28"/>
          <w:szCs w:val="28"/>
        </w:rPr>
      </w:pPr>
    </w:p>
    <w:p w:rsidR="005708AF" w:rsidRDefault="005708AF" w:rsidP="005708AF">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大纲撰写人：赵传靓</w:t>
      </w:r>
    </w:p>
    <w:p w:rsidR="005708AF" w:rsidRDefault="005708AF" w:rsidP="005708AF">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课程负责人：赵传靓</w:t>
      </w:r>
    </w:p>
    <w:p w:rsidR="005708AF" w:rsidRDefault="005708AF" w:rsidP="005708AF">
      <w:pPr>
        <w:spacing w:line="360" w:lineRule="auto"/>
        <w:ind w:firstLineChars="1200" w:firstLine="3360"/>
        <w:rPr>
          <w:rFonts w:ascii="仿宋" w:eastAsia="仿宋" w:hAnsi="仿宋"/>
          <w:sz w:val="28"/>
          <w:szCs w:val="28"/>
        </w:rPr>
      </w:pPr>
      <w:r>
        <w:rPr>
          <w:rFonts w:ascii="仿宋" w:eastAsia="仿宋" w:hAnsi="仿宋" w:hint="eastAsia"/>
          <w:sz w:val="28"/>
          <w:szCs w:val="28"/>
        </w:rPr>
        <w:t>审核人：杨利伟</w:t>
      </w:r>
    </w:p>
    <w:p w:rsidR="005708AF" w:rsidRDefault="005708AF" w:rsidP="005708AF">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5708AF" w:rsidRDefault="005708AF" w:rsidP="005708AF">
      <w:pPr>
        <w:ind w:firstLineChars="2000" w:firstLine="5600"/>
        <w:jc w:val="left"/>
        <w:rPr>
          <w:rFonts w:ascii="仿宋" w:hAnsi="仿宋"/>
          <w:sz w:val="28"/>
          <w:szCs w:val="28"/>
        </w:rPr>
      </w:pPr>
      <w:r>
        <w:rPr>
          <w:rFonts w:ascii="仿宋_GB2312" w:hAnsi="微软雅黑" w:hint="eastAsia"/>
          <w:sz w:val="28"/>
          <w:szCs w:val="28"/>
        </w:rPr>
        <w:t xml:space="preserve">    </w:t>
      </w:r>
    </w:p>
    <w:p w:rsidR="005708AF" w:rsidRDefault="005708AF" w:rsidP="005708AF">
      <w:pPr>
        <w:jc w:val="left"/>
        <w:rPr>
          <w:rFonts w:ascii="仿宋_GB2312" w:hAnsi="黑体"/>
          <w:sz w:val="28"/>
          <w:szCs w:val="28"/>
        </w:rPr>
      </w:pPr>
      <w:r>
        <w:rPr>
          <w:rFonts w:ascii="仿宋" w:eastAsia="仿宋" w:hAnsi="仿宋" w:hint="eastAsia"/>
          <w:sz w:val="28"/>
          <w:szCs w:val="28"/>
        </w:rPr>
        <w:t xml:space="preserve">                                         年    月</w:t>
      </w:r>
    </w:p>
    <w:p w:rsidR="005708AF" w:rsidRDefault="005708AF" w:rsidP="005708AF">
      <w:pPr>
        <w:widowControl/>
        <w:spacing w:line="400" w:lineRule="exact"/>
        <w:rPr>
          <w:rFonts w:ascii="黑体" w:eastAsia="黑体" w:hAnsi="黑体" w:cs="宋体"/>
          <w:bCs/>
          <w:color w:val="000000"/>
          <w:kern w:val="0"/>
          <w:szCs w:val="32"/>
        </w:rPr>
      </w:pPr>
    </w:p>
    <w:p w:rsidR="005708AF" w:rsidRDefault="005708AF" w:rsidP="005708AF">
      <w:pPr>
        <w:widowControl/>
        <w:spacing w:line="400" w:lineRule="exact"/>
        <w:rPr>
          <w:rFonts w:ascii="黑体" w:eastAsia="黑体" w:hAnsi="黑体" w:cs="宋体"/>
          <w:bCs/>
          <w:color w:val="000000"/>
          <w:kern w:val="0"/>
          <w:szCs w:val="32"/>
        </w:rPr>
      </w:pPr>
    </w:p>
    <w:p w:rsidR="005708AF" w:rsidRDefault="005708AF" w:rsidP="005708AF">
      <w:pPr>
        <w:widowControl/>
        <w:spacing w:line="400" w:lineRule="exact"/>
        <w:rPr>
          <w:rFonts w:ascii="黑体" w:eastAsia="黑体" w:hAnsi="黑体" w:cs="宋体"/>
          <w:bCs/>
          <w:color w:val="000000"/>
          <w:kern w:val="0"/>
          <w:szCs w:val="32"/>
        </w:rPr>
      </w:pPr>
    </w:p>
    <w:p w:rsidR="005708AF" w:rsidRDefault="005708AF" w:rsidP="005708AF">
      <w:pPr>
        <w:widowControl/>
        <w:spacing w:line="400" w:lineRule="exact"/>
        <w:rPr>
          <w:rFonts w:ascii="黑体" w:eastAsia="黑体" w:hAnsi="黑体" w:cs="宋体"/>
          <w:bCs/>
          <w:color w:val="000000"/>
          <w:kern w:val="0"/>
          <w:szCs w:val="32"/>
        </w:rPr>
      </w:pPr>
    </w:p>
    <w:p w:rsidR="005708AF" w:rsidRDefault="005708AF" w:rsidP="005708AF">
      <w:pPr>
        <w:widowControl/>
        <w:spacing w:line="400" w:lineRule="exact"/>
        <w:rPr>
          <w:rFonts w:ascii="黑体" w:eastAsia="黑体" w:hAnsi="黑体" w:cs="宋体"/>
          <w:bCs/>
          <w:color w:val="000000"/>
          <w:kern w:val="0"/>
          <w:szCs w:val="32"/>
        </w:rPr>
      </w:pPr>
    </w:p>
    <w:p w:rsidR="005708AF" w:rsidRDefault="005708AF" w:rsidP="005708AF">
      <w:pPr>
        <w:widowControl/>
        <w:spacing w:line="400" w:lineRule="exact"/>
        <w:rPr>
          <w:rFonts w:ascii="黑体" w:eastAsia="黑体" w:hAnsi="黑体" w:cs="宋体"/>
          <w:bCs/>
          <w:color w:val="000000"/>
          <w:kern w:val="0"/>
          <w:szCs w:val="32"/>
        </w:rPr>
      </w:pPr>
    </w:p>
    <w:p w:rsidR="005708AF" w:rsidRDefault="005708AF" w:rsidP="005708AF">
      <w:pPr>
        <w:widowControl/>
        <w:spacing w:line="400" w:lineRule="exact"/>
        <w:rPr>
          <w:rFonts w:ascii="黑体" w:eastAsia="黑体" w:hAnsi="黑体" w:cs="宋体" w:hint="eastAsia"/>
          <w:bCs/>
          <w:color w:val="000000"/>
          <w:kern w:val="0"/>
          <w:szCs w:val="32"/>
        </w:rPr>
      </w:pPr>
    </w:p>
    <w:p w:rsidR="009613B4" w:rsidRDefault="009613B4" w:rsidP="009613B4">
      <w:pPr>
        <w:widowControl/>
        <w:spacing w:line="400" w:lineRule="exact"/>
        <w:rPr>
          <w:rFonts w:ascii="黑体" w:eastAsia="黑体" w:hAnsi="黑体" w:cs="宋体" w:hint="eastAsia"/>
          <w:bCs/>
          <w:kern w:val="0"/>
          <w:szCs w:val="32"/>
        </w:rPr>
      </w:pPr>
    </w:p>
    <w:p w:rsidR="00450ABE" w:rsidRDefault="00450ABE" w:rsidP="00450ABE">
      <w:pPr>
        <w:widowControl/>
        <w:spacing w:line="560" w:lineRule="exact"/>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《工业给水》课程教学大纲</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450ABE" w:rsidRDefault="00450ABE" w:rsidP="00450ABE">
      <w:pPr>
        <w:spacing w:line="560" w:lineRule="exact"/>
        <w:ind w:firstLine="331"/>
        <w:rPr>
          <w:rFonts w:ascii="Times New Roman" w:hAnsi="Times New Roman"/>
          <w:bCs/>
          <w:sz w:val="28"/>
          <w:szCs w:val="28"/>
        </w:rPr>
      </w:pPr>
      <w:r>
        <w:rPr>
          <w:rFonts w:ascii="仿宋_GB2312" w:hAnsi="仿宋_GB2312" w:cs="仿宋_GB2312" w:hint="eastAsia"/>
          <w:bCs/>
          <w:sz w:val="28"/>
          <w:szCs w:val="28"/>
        </w:rPr>
        <w:t>英文名称：</w:t>
      </w:r>
      <w:r>
        <w:rPr>
          <w:rFonts w:ascii="Times New Roman" w:hAnsi="Times New Roman"/>
          <w:bCs/>
          <w:sz w:val="28"/>
          <w:szCs w:val="28"/>
        </w:rPr>
        <w:t>Industrial water supply</w:t>
      </w:r>
    </w:p>
    <w:p w:rsidR="00450ABE" w:rsidRDefault="00450ABE" w:rsidP="00450ABE">
      <w:pPr>
        <w:spacing w:line="560" w:lineRule="exact"/>
        <w:ind w:firstLine="331"/>
        <w:rPr>
          <w:rFonts w:ascii="Times New Roman" w:hAnsi="Times New Roman"/>
          <w:bCs/>
          <w:sz w:val="28"/>
          <w:szCs w:val="28"/>
        </w:rPr>
      </w:pPr>
      <w:r>
        <w:rPr>
          <w:rFonts w:ascii="Times New Roman" w:hAnsi="Times New Roman"/>
          <w:bCs/>
          <w:sz w:val="28"/>
          <w:szCs w:val="28"/>
        </w:rPr>
        <w:t>课程编码：</w:t>
      </w:r>
      <w:r>
        <w:rPr>
          <w:rFonts w:ascii="Times New Roman" w:hAnsi="Times New Roman"/>
          <w:bCs/>
          <w:sz w:val="28"/>
          <w:szCs w:val="28"/>
        </w:rPr>
        <w:t>Z2806460</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450ABE" w:rsidRDefault="00450ABE" w:rsidP="00450ABE">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课程类别：专业发展课程</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450ABE" w:rsidRDefault="00450ABE" w:rsidP="00450ABE">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学时（授课24学时，实验</w:t>
      </w:r>
      <w:r>
        <w:rPr>
          <w:rFonts w:ascii="仿宋_GB2312" w:hAnsi="仿宋_GB2312" w:cs="仿宋_GB2312"/>
          <w:bCs/>
          <w:sz w:val="28"/>
          <w:szCs w:val="28"/>
        </w:rPr>
        <w:t>0</w:t>
      </w:r>
      <w:r>
        <w:rPr>
          <w:rFonts w:ascii="仿宋_GB2312" w:hAnsi="仿宋_GB2312" w:cs="仿宋_GB2312" w:hint="eastAsia"/>
          <w:bCs/>
          <w:sz w:val="28"/>
          <w:szCs w:val="28"/>
        </w:rPr>
        <w:t>学时，上机</w:t>
      </w:r>
      <w:r>
        <w:rPr>
          <w:rFonts w:ascii="仿宋_GB2312" w:hAnsi="仿宋_GB2312" w:cs="仿宋_GB2312"/>
          <w:bCs/>
          <w:sz w:val="28"/>
          <w:szCs w:val="28"/>
        </w:rPr>
        <w:t>0</w:t>
      </w:r>
      <w:r>
        <w:rPr>
          <w:rFonts w:ascii="仿宋_GB2312" w:hAnsi="仿宋_GB2312" w:cs="仿宋_GB2312" w:hint="eastAsia"/>
          <w:bCs/>
          <w:sz w:val="28"/>
          <w:szCs w:val="28"/>
        </w:rPr>
        <w:t>学时，课外</w:t>
      </w:r>
      <w:r>
        <w:rPr>
          <w:rFonts w:ascii="仿宋_GB2312" w:hAnsi="仿宋_GB2312" w:cs="仿宋_GB2312"/>
          <w:bCs/>
          <w:sz w:val="28"/>
          <w:szCs w:val="28"/>
        </w:rPr>
        <w:t>0</w:t>
      </w:r>
      <w:r>
        <w:rPr>
          <w:rFonts w:ascii="仿宋_GB2312" w:hAnsi="仿宋_GB2312" w:cs="仿宋_GB2312" w:hint="eastAsia"/>
          <w:bCs/>
          <w:sz w:val="28"/>
          <w:szCs w:val="28"/>
        </w:rPr>
        <w:t>学时）</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适用对象：给排水科学</w:t>
      </w:r>
      <w:r>
        <w:rPr>
          <w:rFonts w:ascii="仿宋_GB2312" w:hAnsi="仿宋_GB2312" w:cs="仿宋_GB2312"/>
          <w:bCs/>
          <w:sz w:val="28"/>
          <w:szCs w:val="28"/>
        </w:rPr>
        <w:t>与工程</w:t>
      </w:r>
      <w:r>
        <w:rPr>
          <w:rFonts w:ascii="仿宋_GB2312" w:hAnsi="仿宋_GB2312" w:cs="仿宋_GB2312" w:hint="eastAsia"/>
          <w:bCs/>
          <w:sz w:val="28"/>
          <w:szCs w:val="28"/>
        </w:rPr>
        <w:t>专业</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先修课程：普通</w:t>
      </w:r>
      <w:r>
        <w:rPr>
          <w:rFonts w:ascii="仿宋_GB2312" w:hAnsi="仿宋_GB2312" w:cs="仿宋_GB2312"/>
          <w:bCs/>
          <w:sz w:val="28"/>
          <w:szCs w:val="28"/>
        </w:rPr>
        <w:t>化学，给水排水物理化学，水分析化学，水处理生物学</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w:t>
      </w:r>
      <w:r>
        <w:rPr>
          <w:rFonts w:ascii="仿宋_GB2312" w:hAnsi="仿宋_GB2312" w:cs="仿宋_GB2312"/>
          <w:bCs/>
          <w:sz w:val="28"/>
          <w:szCs w:val="28"/>
        </w:rPr>
        <w:t>工程</w:t>
      </w:r>
      <w:r>
        <w:rPr>
          <w:rFonts w:ascii="仿宋_GB2312" w:hAnsi="仿宋_GB2312" w:cs="仿宋_GB2312" w:hint="eastAsia"/>
          <w:bCs/>
          <w:sz w:val="28"/>
          <w:szCs w:val="28"/>
        </w:rPr>
        <w:t>学院给排水科学</w:t>
      </w:r>
      <w:r>
        <w:rPr>
          <w:rFonts w:ascii="仿宋_GB2312" w:hAnsi="仿宋_GB2312" w:cs="仿宋_GB2312"/>
          <w:bCs/>
          <w:sz w:val="28"/>
          <w:szCs w:val="28"/>
        </w:rPr>
        <w:t>与工程</w:t>
      </w:r>
      <w:r>
        <w:rPr>
          <w:rFonts w:ascii="仿宋_GB2312" w:hAnsi="仿宋_GB2312" w:cs="仿宋_GB2312" w:hint="eastAsia"/>
          <w:bCs/>
          <w:sz w:val="28"/>
          <w:szCs w:val="28"/>
        </w:rPr>
        <w:t>系</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450ABE" w:rsidRDefault="00450ABE" w:rsidP="00450ABE">
      <w:pPr>
        <w:pStyle w:val="a3"/>
        <w:spacing w:line="560" w:lineRule="exact"/>
        <w:ind w:firstLine="560"/>
        <w:rPr>
          <w:rFonts w:ascii="仿宋_GB2312" w:eastAsia="仿宋_GB2312" w:hAnsi="仿宋_GB2312" w:cs="仿宋_GB2312"/>
          <w:bCs/>
          <w:sz w:val="28"/>
          <w:szCs w:val="28"/>
        </w:rPr>
      </w:pPr>
      <w:r>
        <w:rPr>
          <w:rFonts w:ascii="仿宋_GB2312" w:eastAsia="仿宋_GB2312" w:hAnsi="仿宋_GB2312" w:cs="仿宋_GB2312"/>
          <w:bCs/>
          <w:sz w:val="28"/>
          <w:szCs w:val="28"/>
        </w:rPr>
        <w:t>《</w:t>
      </w:r>
      <w:r>
        <w:rPr>
          <w:rFonts w:ascii="仿宋_GB2312" w:eastAsia="仿宋_GB2312" w:hAnsi="仿宋_GB2312" w:cs="仿宋_GB2312" w:hint="eastAsia"/>
          <w:bCs/>
          <w:sz w:val="28"/>
          <w:szCs w:val="28"/>
        </w:rPr>
        <w:t>工业给水</w:t>
      </w:r>
      <w:r>
        <w:rPr>
          <w:rFonts w:ascii="仿宋_GB2312" w:eastAsia="仿宋_GB2312" w:hAnsi="仿宋_GB2312" w:cs="仿宋_GB2312"/>
          <w:bCs/>
          <w:sz w:val="28"/>
          <w:szCs w:val="28"/>
        </w:rPr>
        <w:t>》是给排水科学与工程专业学生的专业发展</w:t>
      </w:r>
      <w:r>
        <w:rPr>
          <w:rFonts w:ascii="仿宋_GB2312" w:eastAsia="仿宋_GB2312" w:hAnsi="仿宋_GB2312" w:cs="仿宋_GB2312" w:hint="eastAsia"/>
          <w:bCs/>
          <w:sz w:val="28"/>
          <w:szCs w:val="28"/>
        </w:rPr>
        <w:t>选</w:t>
      </w:r>
      <w:r>
        <w:rPr>
          <w:rFonts w:ascii="仿宋_GB2312" w:eastAsia="仿宋_GB2312" w:hAnsi="仿宋_GB2312" w:cs="仿宋_GB2312"/>
          <w:bCs/>
          <w:sz w:val="28"/>
          <w:szCs w:val="28"/>
        </w:rPr>
        <w:t>修课</w:t>
      </w: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通过本课程的学习旨在使学生掌握</w:t>
      </w:r>
      <w:r>
        <w:rPr>
          <w:rFonts w:ascii="仿宋_GB2312" w:eastAsia="仿宋_GB2312" w:hAnsi="仿宋_GB2312" w:cs="仿宋_GB2312" w:hint="eastAsia"/>
          <w:bCs/>
          <w:sz w:val="28"/>
          <w:szCs w:val="28"/>
        </w:rPr>
        <w:t>工业</w:t>
      </w:r>
      <w:r>
        <w:rPr>
          <w:rFonts w:ascii="仿宋_GB2312" w:eastAsia="仿宋_GB2312" w:hAnsi="仿宋_GB2312" w:cs="仿宋_GB2312"/>
          <w:bCs/>
          <w:sz w:val="28"/>
          <w:szCs w:val="28"/>
        </w:rPr>
        <w:t>给水处理的基本概念、基本理论、基本方法；根据不同水源水质，经过方案比选后确定合理的水工艺流程。掌握</w:t>
      </w:r>
      <w:r>
        <w:rPr>
          <w:rFonts w:ascii="仿宋_GB2312" w:eastAsia="仿宋_GB2312" w:hAnsi="仿宋_GB2312" w:cs="仿宋_GB2312" w:hint="eastAsia"/>
          <w:bCs/>
          <w:sz w:val="28"/>
          <w:szCs w:val="28"/>
        </w:rPr>
        <w:t>水的软化、水的除盐与咸水淡化、地下水除铁除锰以及水的除氟方法</w:t>
      </w:r>
      <w:r>
        <w:rPr>
          <w:rFonts w:ascii="仿宋_GB2312" w:eastAsia="仿宋_GB2312" w:hAnsi="仿宋_GB2312" w:cs="仿宋_GB2312"/>
          <w:bCs/>
          <w:sz w:val="28"/>
          <w:szCs w:val="28"/>
        </w:rPr>
        <w:t>，掌握</w:t>
      </w:r>
      <w:r>
        <w:rPr>
          <w:rFonts w:ascii="仿宋_GB2312" w:eastAsia="仿宋_GB2312" w:hAnsi="仿宋_GB2312" w:cs="仿宋_GB2312" w:hint="eastAsia"/>
          <w:bCs/>
          <w:sz w:val="28"/>
          <w:szCs w:val="28"/>
        </w:rPr>
        <w:t>水的冷却和</w:t>
      </w:r>
      <w:r>
        <w:rPr>
          <w:rFonts w:ascii="仿宋_GB2312" w:eastAsia="仿宋_GB2312" w:hAnsi="仿宋_GB2312" w:cs="仿宋_GB2312"/>
          <w:bCs/>
          <w:sz w:val="28"/>
          <w:szCs w:val="28"/>
        </w:rPr>
        <w:t>循环冷却水水质处理</w:t>
      </w: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了解国内外</w:t>
      </w:r>
      <w:r>
        <w:rPr>
          <w:rFonts w:ascii="仿宋_GB2312" w:eastAsia="仿宋_GB2312" w:hAnsi="仿宋_GB2312" w:cs="仿宋_GB2312" w:hint="eastAsia"/>
          <w:bCs/>
          <w:sz w:val="28"/>
          <w:szCs w:val="28"/>
        </w:rPr>
        <w:t>工业</w:t>
      </w:r>
      <w:r>
        <w:rPr>
          <w:rFonts w:ascii="仿宋_GB2312" w:eastAsia="仿宋_GB2312" w:hAnsi="仿宋_GB2312" w:cs="仿宋_GB2312"/>
          <w:bCs/>
          <w:sz w:val="28"/>
          <w:szCs w:val="28"/>
        </w:rPr>
        <w:t>给水处理的新工艺与新技术。</w:t>
      </w:r>
    </w:p>
    <w:p w:rsidR="00450ABE" w:rsidRDefault="00450ABE" w:rsidP="00450ABE">
      <w:pPr>
        <w:spacing w:line="560" w:lineRule="exact"/>
        <w:ind w:firstLineChars="200" w:firstLine="560"/>
        <w:jc w:val="left"/>
        <w:rPr>
          <w:rFonts w:ascii="仿宋_GB2312" w:hAnsi="仿宋_GB2312" w:cs="仿宋_GB2312"/>
          <w:bCs/>
          <w:sz w:val="28"/>
          <w:szCs w:val="28"/>
        </w:rPr>
      </w:pPr>
      <w:r>
        <w:rPr>
          <w:rFonts w:ascii="仿宋_GB2312" w:hAnsi="仿宋_GB2312" w:cs="仿宋_GB2312"/>
          <w:bCs/>
          <w:sz w:val="28"/>
          <w:szCs w:val="28"/>
        </w:rPr>
        <w:t>课程主要内容：</w:t>
      </w:r>
      <w:r>
        <w:rPr>
          <w:rFonts w:ascii="仿宋_GB2312" w:hAnsi="仿宋_GB2312" w:cs="仿宋_GB2312" w:hint="eastAsia"/>
          <w:bCs/>
          <w:sz w:val="28"/>
          <w:szCs w:val="28"/>
        </w:rPr>
        <w:t>地下水除铁除锰、活性炭吸附、水的除氟、</w:t>
      </w:r>
      <w:r>
        <w:rPr>
          <w:rFonts w:ascii="仿宋_GB2312" w:hAnsi="仿宋_GB2312" w:cs="仿宋_GB2312"/>
          <w:bCs/>
          <w:sz w:val="28"/>
          <w:szCs w:val="28"/>
        </w:rPr>
        <w:t>水</w:t>
      </w:r>
      <w:r>
        <w:rPr>
          <w:rFonts w:ascii="仿宋_GB2312" w:hAnsi="仿宋_GB2312" w:cs="仿宋_GB2312"/>
          <w:bCs/>
          <w:sz w:val="28"/>
          <w:szCs w:val="28"/>
        </w:rPr>
        <w:lastRenderedPageBreak/>
        <w:t>的药剂软化法</w:t>
      </w:r>
      <w:r>
        <w:rPr>
          <w:rFonts w:ascii="仿宋_GB2312" w:hAnsi="仿宋_GB2312" w:cs="仿宋_GB2312" w:hint="eastAsia"/>
          <w:bCs/>
          <w:sz w:val="28"/>
          <w:szCs w:val="28"/>
        </w:rPr>
        <w:t>、</w:t>
      </w:r>
      <w:r>
        <w:rPr>
          <w:rFonts w:ascii="仿宋_GB2312" w:hAnsi="仿宋_GB2312" w:cs="仿宋_GB2312"/>
          <w:bCs/>
          <w:sz w:val="28"/>
          <w:szCs w:val="28"/>
        </w:rPr>
        <w:t>离子交换基本原理</w:t>
      </w:r>
      <w:r>
        <w:rPr>
          <w:rFonts w:ascii="仿宋_GB2312" w:hAnsi="仿宋_GB2312" w:cs="仿宋_GB2312" w:hint="eastAsia"/>
          <w:bCs/>
          <w:sz w:val="28"/>
          <w:szCs w:val="28"/>
        </w:rPr>
        <w:t>、</w:t>
      </w:r>
      <w:r>
        <w:rPr>
          <w:rFonts w:ascii="仿宋_GB2312" w:hAnsi="仿宋_GB2312" w:cs="仿宋_GB2312"/>
          <w:bCs/>
          <w:sz w:val="28"/>
          <w:szCs w:val="28"/>
        </w:rPr>
        <w:t>离子交换软化方法与系统</w:t>
      </w:r>
      <w:r>
        <w:rPr>
          <w:rFonts w:ascii="仿宋_GB2312" w:hAnsi="仿宋_GB2312" w:cs="仿宋_GB2312" w:hint="eastAsia"/>
          <w:bCs/>
          <w:sz w:val="28"/>
          <w:szCs w:val="28"/>
        </w:rPr>
        <w:t>、离子交换除盐方法与系统、电渗析法、反渗透与超滤、蒸馏法、冷却塔的工艺构造、水冷却的理论基础、冷却塔的热力计算基本方程、冷却塔的设计与计算、循环冷却水处理等。</w:t>
      </w:r>
    </w:p>
    <w:p w:rsidR="00450ABE" w:rsidRDefault="00450ABE" w:rsidP="00450ABE">
      <w:pPr>
        <w:snapToGrid w:val="0"/>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课程授课</w:t>
      </w:r>
      <w:r>
        <w:rPr>
          <w:rFonts w:ascii="仿宋_GB2312" w:hAnsi="仿宋_GB2312" w:cs="仿宋_GB2312"/>
          <w:bCs/>
          <w:sz w:val="28"/>
          <w:szCs w:val="28"/>
        </w:rPr>
        <w:t>方式</w:t>
      </w:r>
      <w:r>
        <w:rPr>
          <w:rFonts w:ascii="仿宋_GB2312" w:hAnsi="仿宋_GB2312" w:cs="仿宋_GB2312" w:hint="eastAsia"/>
          <w:bCs/>
          <w:sz w:val="28"/>
          <w:szCs w:val="28"/>
        </w:rPr>
        <w:t>采用</w:t>
      </w:r>
      <w:r>
        <w:rPr>
          <w:rFonts w:ascii="仿宋_GB2312" w:hAnsi="仿宋_GB2312" w:cs="仿宋_GB2312"/>
          <w:bCs/>
          <w:sz w:val="28"/>
          <w:szCs w:val="28"/>
        </w:rPr>
        <w:t>PPT</w:t>
      </w:r>
      <w:r>
        <w:rPr>
          <w:rFonts w:ascii="仿宋_GB2312" w:hAnsi="仿宋_GB2312" w:cs="仿宋_GB2312" w:hint="eastAsia"/>
          <w:bCs/>
          <w:sz w:val="28"/>
          <w:szCs w:val="28"/>
        </w:rPr>
        <w:t>、板书、课后思考题和练习题等相结合进行授课，使学生具备研究工业给水处理的设计计算</w:t>
      </w:r>
      <w:r>
        <w:rPr>
          <w:rFonts w:ascii="仿宋_GB2312" w:hAnsi="仿宋_GB2312" w:cs="仿宋_GB2312"/>
          <w:bCs/>
          <w:sz w:val="28"/>
          <w:szCs w:val="28"/>
        </w:rPr>
        <w:t>能力</w:t>
      </w:r>
      <w:r>
        <w:rPr>
          <w:rFonts w:ascii="仿宋_GB2312" w:hAnsi="仿宋_GB2312" w:cs="仿宋_GB2312" w:hint="eastAsia"/>
          <w:bCs/>
          <w:sz w:val="28"/>
          <w:szCs w:val="28"/>
        </w:rPr>
        <w:t>。</w:t>
      </w:r>
    </w:p>
    <w:p w:rsidR="00450ABE" w:rsidRDefault="00450ABE" w:rsidP="00450ABE">
      <w:pPr>
        <w:pStyle w:val="a3"/>
        <w:spacing w:line="56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通过</w:t>
      </w:r>
      <w:r>
        <w:rPr>
          <w:rFonts w:ascii="仿宋_GB2312" w:eastAsia="仿宋_GB2312" w:hAnsi="仿宋_GB2312" w:cs="仿宋_GB2312"/>
          <w:bCs/>
          <w:sz w:val="28"/>
          <w:szCs w:val="28"/>
        </w:rPr>
        <w:t>该课程的学习</w:t>
      </w:r>
      <w:r>
        <w:rPr>
          <w:rFonts w:ascii="仿宋_GB2312" w:eastAsia="仿宋_GB2312" w:hAnsi="仿宋_GB2312" w:cs="仿宋_GB2312" w:hint="eastAsia"/>
          <w:bCs/>
          <w:sz w:val="28"/>
          <w:szCs w:val="28"/>
        </w:rPr>
        <w:t>使学生</w:t>
      </w:r>
      <w:r>
        <w:rPr>
          <w:rFonts w:ascii="仿宋_GB2312" w:eastAsia="仿宋_GB2312" w:hAnsi="仿宋_GB2312" w:cs="仿宋_GB2312"/>
          <w:bCs/>
          <w:sz w:val="28"/>
          <w:szCs w:val="28"/>
        </w:rPr>
        <w:t>能够将有关</w:t>
      </w:r>
      <w:r>
        <w:rPr>
          <w:rFonts w:ascii="仿宋_GB2312" w:eastAsia="仿宋_GB2312" w:hAnsi="仿宋_GB2312" w:cs="仿宋_GB2312" w:hint="eastAsia"/>
          <w:bCs/>
          <w:sz w:val="28"/>
          <w:szCs w:val="28"/>
        </w:rPr>
        <w:t>专业</w:t>
      </w:r>
      <w:r>
        <w:rPr>
          <w:rFonts w:ascii="仿宋_GB2312" w:eastAsia="仿宋_GB2312" w:hAnsi="仿宋_GB2312" w:cs="仿宋_GB2312"/>
          <w:bCs/>
          <w:sz w:val="28"/>
          <w:szCs w:val="28"/>
        </w:rPr>
        <w:t>知识应用于</w:t>
      </w:r>
      <w:r>
        <w:rPr>
          <w:rFonts w:ascii="仿宋_GB2312" w:eastAsia="仿宋_GB2312" w:hAnsi="仿宋_GB2312" w:cs="仿宋_GB2312" w:hint="eastAsia"/>
          <w:bCs/>
          <w:sz w:val="28"/>
          <w:szCs w:val="28"/>
        </w:rPr>
        <w:t>工业给</w:t>
      </w:r>
      <w:r>
        <w:rPr>
          <w:rFonts w:ascii="仿宋_GB2312" w:eastAsia="仿宋_GB2312" w:hAnsi="仿宋_GB2312" w:cs="仿宋_GB2312"/>
          <w:bCs/>
          <w:sz w:val="28"/>
          <w:szCs w:val="28"/>
        </w:rPr>
        <w:t>水处理系统，</w:t>
      </w:r>
      <w:r>
        <w:rPr>
          <w:rFonts w:ascii="仿宋_GB2312" w:eastAsia="仿宋_GB2312" w:hAnsi="仿宋_GB2312" w:cs="仿宋_GB2312" w:hint="eastAsia"/>
          <w:bCs/>
          <w:sz w:val="28"/>
          <w:szCs w:val="28"/>
        </w:rPr>
        <w:t>根据不同原水水质和</w:t>
      </w:r>
      <w:r>
        <w:rPr>
          <w:rFonts w:ascii="仿宋_GB2312" w:eastAsia="仿宋_GB2312" w:hAnsi="仿宋_GB2312" w:cs="仿宋_GB2312"/>
          <w:bCs/>
          <w:sz w:val="28"/>
          <w:szCs w:val="28"/>
        </w:rPr>
        <w:t>影响因素</w:t>
      </w:r>
      <w:r>
        <w:rPr>
          <w:rFonts w:ascii="仿宋_GB2312" w:eastAsia="仿宋_GB2312" w:hAnsi="仿宋_GB2312" w:cs="仿宋_GB2312" w:hint="eastAsia"/>
          <w:bCs/>
          <w:sz w:val="28"/>
          <w:szCs w:val="28"/>
        </w:rPr>
        <w:t>，提供</w:t>
      </w:r>
      <w:r>
        <w:rPr>
          <w:rFonts w:ascii="仿宋_GB2312" w:eastAsia="仿宋_GB2312" w:hAnsi="仿宋_GB2312" w:cs="仿宋_GB2312"/>
          <w:bCs/>
          <w:sz w:val="28"/>
          <w:szCs w:val="28"/>
        </w:rPr>
        <w:t>解决方案</w:t>
      </w:r>
      <w:r>
        <w:rPr>
          <w:rFonts w:ascii="仿宋_GB2312" w:eastAsia="仿宋_GB2312" w:hAnsi="仿宋_GB2312" w:cs="仿宋_GB2312" w:hint="eastAsia"/>
          <w:bCs/>
          <w:sz w:val="28"/>
          <w:szCs w:val="28"/>
        </w:rPr>
        <w:t>，选择水</w:t>
      </w:r>
      <w:r>
        <w:rPr>
          <w:rFonts w:ascii="仿宋_GB2312" w:eastAsia="仿宋_GB2312" w:hAnsi="仿宋_GB2312" w:cs="仿宋_GB2312"/>
          <w:bCs/>
          <w:sz w:val="28"/>
          <w:szCs w:val="28"/>
        </w:rPr>
        <w:t>处理</w:t>
      </w:r>
      <w:r>
        <w:rPr>
          <w:rFonts w:ascii="仿宋_GB2312" w:eastAsia="仿宋_GB2312" w:hAnsi="仿宋_GB2312" w:cs="仿宋_GB2312" w:hint="eastAsia"/>
          <w:bCs/>
          <w:sz w:val="28"/>
          <w:szCs w:val="28"/>
        </w:rPr>
        <w:t>工艺</w:t>
      </w:r>
      <w:r>
        <w:rPr>
          <w:rFonts w:ascii="仿宋_GB2312" w:eastAsia="仿宋_GB2312" w:hAnsi="仿宋_GB2312" w:cs="仿宋_GB2312"/>
          <w:bCs/>
          <w:sz w:val="28"/>
          <w:szCs w:val="28"/>
        </w:rPr>
        <w:t>流程</w:t>
      </w:r>
      <w:r>
        <w:rPr>
          <w:rFonts w:ascii="仿宋_GB2312" w:eastAsia="仿宋_GB2312" w:hAnsi="仿宋_GB2312" w:cs="仿宋_GB2312" w:hint="eastAsia"/>
          <w:bCs/>
          <w:sz w:val="28"/>
          <w:szCs w:val="28"/>
        </w:rPr>
        <w:t xml:space="preserve">，确定合理的工艺参数。 </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450ABE" w:rsidRDefault="00450ABE" w:rsidP="00450ABE">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1. 课程任务</w:t>
      </w:r>
    </w:p>
    <w:p w:rsidR="00450ABE" w:rsidRDefault="00450ABE" w:rsidP="00450ABE">
      <w:pPr>
        <w:snapToGrid w:val="0"/>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通过水的软化的学习，掌握药剂软化法的基本原理及离子交换的基本原理，理解药剂软法及离子交换软化的方法，了解离子交换软化系统及设备；通过水的除盐的学习，掌握离子交换除盐原理及电渗析除盐原理，了解离子交换除盐系统及电渗析器工作过程，掌握反渗透、超滤工作原理，了解其工作过程；掌握地下水除铁除锰及除氟的方法；通过水的冷却和循环冷却水水质处理的学习，掌握冷却塔的工艺构造及麦克尔（Merkel）焓差方程，掌握冷却塔热力计算基本方程，掌握逆流冷却塔热力计算，掌握循环冷却水系统的腐蚀控制、沉积物控制和微生物控制等。</w:t>
      </w:r>
    </w:p>
    <w:p w:rsidR="00450ABE" w:rsidRDefault="00450ABE" w:rsidP="005F6318">
      <w:pPr>
        <w:numPr>
          <w:ilvl w:val="0"/>
          <w:numId w:val="1"/>
        </w:numPr>
        <w:spacing w:line="560" w:lineRule="exact"/>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450ABE" w:rsidRDefault="00450ABE" w:rsidP="00450ABE">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450ABE" w:rsidRDefault="00450ABE" w:rsidP="00450ABE">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知识目标：通过学习本门课程，</w:t>
      </w:r>
      <w:r>
        <w:rPr>
          <w:rFonts w:ascii="仿宋_GB2312" w:hAnsi="仿宋_GB2312" w:cs="仿宋_GB2312"/>
          <w:bCs/>
          <w:sz w:val="28"/>
          <w:szCs w:val="28"/>
        </w:rPr>
        <w:t>学生</w:t>
      </w:r>
      <w:r>
        <w:rPr>
          <w:rFonts w:ascii="仿宋_GB2312" w:hAnsi="仿宋_GB2312" w:cs="仿宋_GB2312" w:hint="eastAsia"/>
          <w:bCs/>
          <w:sz w:val="28"/>
          <w:szCs w:val="28"/>
        </w:rPr>
        <w:t>应</w:t>
      </w:r>
      <w:r>
        <w:rPr>
          <w:rFonts w:ascii="仿宋_GB2312" w:hAnsi="仿宋_GB2312" w:cs="仿宋_GB2312"/>
          <w:bCs/>
          <w:sz w:val="28"/>
          <w:szCs w:val="28"/>
        </w:rPr>
        <w:t>掌握</w:t>
      </w:r>
      <w:r>
        <w:rPr>
          <w:rFonts w:ascii="仿宋_GB2312" w:hAnsi="仿宋_GB2312" w:cs="仿宋_GB2312" w:hint="eastAsia"/>
          <w:bCs/>
          <w:sz w:val="28"/>
          <w:szCs w:val="28"/>
        </w:rPr>
        <w:t>原水</w:t>
      </w:r>
      <w:r>
        <w:rPr>
          <w:rFonts w:ascii="仿宋_GB2312" w:hAnsi="仿宋_GB2312" w:cs="仿宋_GB2312"/>
          <w:bCs/>
          <w:sz w:val="28"/>
          <w:szCs w:val="28"/>
        </w:rPr>
        <w:t>水质性质，水质标准与</w:t>
      </w:r>
      <w:r>
        <w:rPr>
          <w:rFonts w:ascii="仿宋_GB2312" w:hAnsi="仿宋_GB2312" w:cs="仿宋_GB2312" w:hint="eastAsia"/>
          <w:bCs/>
          <w:sz w:val="28"/>
          <w:szCs w:val="28"/>
        </w:rPr>
        <w:t>国家</w:t>
      </w:r>
      <w:r>
        <w:rPr>
          <w:rFonts w:ascii="仿宋_GB2312" w:hAnsi="仿宋_GB2312" w:cs="仿宋_GB2312"/>
          <w:bCs/>
          <w:sz w:val="28"/>
          <w:szCs w:val="28"/>
        </w:rPr>
        <w:t>绿色节水可持续发展的方针政策和法规；</w:t>
      </w:r>
      <w:r>
        <w:rPr>
          <w:rFonts w:ascii="仿宋_GB2312" w:hAnsi="仿宋_GB2312" w:cs="仿宋_GB2312" w:hint="eastAsia"/>
          <w:sz w:val="28"/>
          <w:szCs w:val="28"/>
        </w:rPr>
        <w:t>能够掌握水</w:t>
      </w:r>
      <w:r>
        <w:rPr>
          <w:rFonts w:ascii="仿宋_GB2312" w:hAnsi="仿宋_GB2312" w:cs="仿宋_GB2312" w:hint="eastAsia"/>
          <w:sz w:val="28"/>
          <w:szCs w:val="28"/>
        </w:rPr>
        <w:lastRenderedPageBreak/>
        <w:t>的</w:t>
      </w:r>
      <w:r>
        <w:rPr>
          <w:rFonts w:ascii="仿宋_GB2312" w:hAnsi="仿宋_GB2312" w:cs="仿宋_GB2312"/>
          <w:sz w:val="28"/>
          <w:szCs w:val="28"/>
        </w:rPr>
        <w:t>软化、水的除盐与海水淡化原理</w:t>
      </w:r>
      <w:r>
        <w:rPr>
          <w:rFonts w:ascii="仿宋_GB2312" w:hAnsi="仿宋_GB2312" w:cs="仿宋_GB2312" w:hint="eastAsia"/>
          <w:sz w:val="28"/>
          <w:szCs w:val="28"/>
        </w:rPr>
        <w:t>；掌握地下水除铁除锰及除氟的方法；掌握水的</w:t>
      </w:r>
      <w:r>
        <w:rPr>
          <w:rFonts w:ascii="仿宋_GB2312" w:hAnsi="仿宋_GB2312" w:cs="仿宋_GB2312"/>
          <w:sz w:val="28"/>
          <w:szCs w:val="28"/>
        </w:rPr>
        <w:t>冷却和</w:t>
      </w:r>
      <w:r>
        <w:rPr>
          <w:rFonts w:ascii="仿宋_GB2312" w:hAnsi="仿宋_GB2312" w:cs="仿宋_GB2312" w:hint="eastAsia"/>
          <w:sz w:val="28"/>
          <w:szCs w:val="28"/>
        </w:rPr>
        <w:t>循环冷却水水质</w:t>
      </w:r>
      <w:r>
        <w:rPr>
          <w:rFonts w:ascii="仿宋_GB2312" w:hAnsi="仿宋_GB2312" w:cs="仿宋_GB2312"/>
          <w:sz w:val="28"/>
          <w:szCs w:val="28"/>
        </w:rPr>
        <w:t>处理</w:t>
      </w:r>
      <w:r>
        <w:rPr>
          <w:rFonts w:ascii="仿宋_GB2312" w:hAnsi="仿宋_GB2312" w:cs="仿宋_GB2312" w:hint="eastAsia"/>
          <w:bCs/>
          <w:sz w:val="28"/>
          <w:szCs w:val="28"/>
        </w:rPr>
        <w:t>。</w:t>
      </w:r>
      <w:r>
        <w:rPr>
          <w:rFonts w:ascii="仿宋_GB2312" w:hAnsi="仿宋_GB2312" w:cs="仿宋_GB2312" w:hint="eastAsia"/>
          <w:sz w:val="28"/>
          <w:szCs w:val="28"/>
        </w:rPr>
        <w:t xml:space="preserve">  </w:t>
      </w:r>
    </w:p>
    <w:p w:rsidR="00450ABE" w:rsidRDefault="00450ABE" w:rsidP="00450ABE">
      <w:pPr>
        <w:spacing w:line="560" w:lineRule="exact"/>
        <w:ind w:firstLineChars="200" w:firstLine="560"/>
        <w:jc w:val="left"/>
        <w:rPr>
          <w:rFonts w:ascii="仿宋_GB2312" w:hAnsi="仿宋_GB2312" w:cs="仿宋_GB2312"/>
          <w:bCs/>
          <w:sz w:val="28"/>
          <w:szCs w:val="28"/>
        </w:rPr>
      </w:pPr>
      <w:r>
        <w:rPr>
          <w:rFonts w:ascii="仿宋_GB2312" w:hAnsi="仿宋_GB2312" w:cs="仿宋_GB2312" w:hint="eastAsia"/>
          <w:sz w:val="28"/>
          <w:szCs w:val="28"/>
        </w:rPr>
        <w:t>能力目标：能够根据工业</w:t>
      </w:r>
      <w:r>
        <w:rPr>
          <w:rFonts w:ascii="仿宋_GB2312" w:hAnsi="仿宋_GB2312" w:cs="仿宋_GB2312"/>
          <w:sz w:val="28"/>
          <w:szCs w:val="28"/>
        </w:rPr>
        <w:t>生产用水的要求</w:t>
      </w:r>
      <w:r>
        <w:rPr>
          <w:rFonts w:ascii="仿宋_GB2312" w:hAnsi="仿宋_GB2312" w:cs="仿宋_GB2312" w:hint="eastAsia"/>
          <w:sz w:val="28"/>
          <w:szCs w:val="28"/>
        </w:rPr>
        <w:t>对水进行</w:t>
      </w:r>
      <w:r>
        <w:rPr>
          <w:rFonts w:ascii="仿宋_GB2312" w:hAnsi="仿宋_GB2312" w:cs="仿宋_GB2312"/>
          <w:sz w:val="28"/>
          <w:szCs w:val="28"/>
        </w:rPr>
        <w:t>药剂软化、离子交</w:t>
      </w:r>
      <w:r>
        <w:rPr>
          <w:rFonts w:ascii="仿宋_GB2312" w:hAnsi="仿宋_GB2312" w:cs="仿宋_GB2312"/>
          <w:bCs/>
          <w:sz w:val="28"/>
          <w:szCs w:val="28"/>
        </w:rPr>
        <w:t>换软化与除盐，</w:t>
      </w:r>
      <w:r>
        <w:rPr>
          <w:rFonts w:ascii="仿宋_GB2312" w:hAnsi="仿宋_GB2312" w:cs="仿宋_GB2312" w:hint="eastAsia"/>
          <w:bCs/>
          <w:sz w:val="28"/>
          <w:szCs w:val="28"/>
        </w:rPr>
        <w:t>采用</w:t>
      </w:r>
      <w:r>
        <w:rPr>
          <w:rFonts w:ascii="仿宋_GB2312" w:hAnsi="仿宋_GB2312" w:cs="仿宋_GB2312"/>
          <w:bCs/>
          <w:sz w:val="28"/>
          <w:szCs w:val="28"/>
        </w:rPr>
        <w:t>反渗透和电渗析方法进行海水</w:t>
      </w:r>
      <w:r>
        <w:rPr>
          <w:rFonts w:ascii="仿宋_GB2312" w:hAnsi="仿宋_GB2312" w:cs="仿宋_GB2312" w:hint="eastAsia"/>
          <w:bCs/>
          <w:sz w:val="28"/>
          <w:szCs w:val="28"/>
        </w:rPr>
        <w:t>淡化。对工业</w:t>
      </w:r>
      <w:r>
        <w:rPr>
          <w:rFonts w:ascii="仿宋_GB2312" w:hAnsi="仿宋_GB2312" w:cs="仿宋_GB2312"/>
          <w:bCs/>
          <w:sz w:val="28"/>
          <w:szCs w:val="28"/>
        </w:rPr>
        <w:t>冷却水能够进行</w:t>
      </w:r>
      <w:r>
        <w:rPr>
          <w:rFonts w:ascii="仿宋_GB2312" w:hAnsi="仿宋_GB2312" w:cs="仿宋_GB2312" w:hint="eastAsia"/>
          <w:bCs/>
          <w:sz w:val="28"/>
          <w:szCs w:val="28"/>
        </w:rPr>
        <w:t>逆流冷却塔的热力计算</w:t>
      </w:r>
      <w:r>
        <w:rPr>
          <w:rFonts w:ascii="仿宋_GB2312" w:hAnsi="仿宋_GB2312" w:cs="仿宋_GB2312"/>
          <w:bCs/>
          <w:sz w:val="28"/>
          <w:szCs w:val="28"/>
        </w:rPr>
        <w:t>和设计</w:t>
      </w:r>
      <w:r>
        <w:rPr>
          <w:rFonts w:ascii="仿宋_GB2312" w:hAnsi="仿宋_GB2312" w:cs="仿宋_GB2312" w:hint="eastAsia"/>
          <w:bCs/>
          <w:sz w:val="28"/>
          <w:szCs w:val="28"/>
        </w:rPr>
        <w:t>，掌握敞开式循环冷却水系统的腐蚀控制、沉积物控制和微生物控制。</w:t>
      </w:r>
    </w:p>
    <w:p w:rsidR="00450ABE" w:rsidRDefault="00450ABE" w:rsidP="00450ABE">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t>情感态度与价值观目标：理解水资源保护、水质安全、环境保护对</w:t>
      </w:r>
      <w:r>
        <w:rPr>
          <w:rFonts w:ascii="仿宋_GB2312" w:hAnsi="仿宋_GB2312" w:cs="仿宋_GB2312"/>
          <w:bCs/>
          <w:sz w:val="28"/>
          <w:szCs w:val="28"/>
        </w:rPr>
        <w:t>新时代社会主义建设的重要意义，</w:t>
      </w:r>
      <w:r>
        <w:rPr>
          <w:rFonts w:ascii="仿宋_GB2312" w:hAnsi="仿宋_GB2312" w:cs="仿宋_GB2312" w:hint="eastAsia"/>
          <w:bCs/>
          <w:sz w:val="28"/>
          <w:szCs w:val="28"/>
        </w:rPr>
        <w:t>树立专业自信和职业责任感，激发爱国热情，增强“四个自信”。</w:t>
      </w:r>
      <w:r>
        <w:rPr>
          <w:rFonts w:ascii="仿宋_GB2312" w:hAnsi="仿宋_GB2312" w:cs="仿宋_GB2312"/>
          <w:sz w:val="28"/>
          <w:szCs w:val="28"/>
        </w:rPr>
        <w:t xml:space="preserve"> </w:t>
      </w:r>
    </w:p>
    <w:p w:rsidR="00450ABE" w:rsidRDefault="00450ABE" w:rsidP="00450ABE">
      <w:pPr>
        <w:spacing w:line="560" w:lineRule="exact"/>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495"/>
        <w:gridCol w:w="499"/>
        <w:gridCol w:w="499"/>
        <w:gridCol w:w="487"/>
        <w:gridCol w:w="487"/>
        <w:gridCol w:w="494"/>
        <w:gridCol w:w="499"/>
        <w:gridCol w:w="488"/>
        <w:gridCol w:w="488"/>
        <w:gridCol w:w="512"/>
        <w:gridCol w:w="512"/>
        <w:gridCol w:w="512"/>
      </w:tblGrid>
      <w:tr w:rsidR="00450ABE" w:rsidTr="008C3907">
        <w:trPr>
          <w:trHeight w:hRule="exact" w:val="454"/>
          <w:jc w:val="center"/>
        </w:trPr>
        <w:tc>
          <w:tcPr>
            <w:tcW w:w="2743" w:type="dxa"/>
            <w:vMerge w:val="restart"/>
            <w:shd w:val="clear" w:color="auto" w:fill="auto"/>
            <w:vAlign w:val="center"/>
          </w:tcPr>
          <w:p w:rsidR="00450ABE" w:rsidRDefault="00450ABE" w:rsidP="008C3907">
            <w:pPr>
              <w:spacing w:line="360" w:lineRule="auto"/>
              <w:jc w:val="center"/>
              <w:rPr>
                <w:rFonts w:ascii="仿宋_GB2312" w:hAnsi="仿宋_GB2312" w:cs="仿宋_GB2312"/>
                <w:bCs/>
                <w:sz w:val="28"/>
                <w:szCs w:val="28"/>
              </w:rPr>
            </w:pPr>
            <w:r>
              <w:rPr>
                <w:rFonts w:ascii="仿宋_GB2312" w:hAnsi="仿宋_GB2312" w:cs="仿宋_GB2312" w:hint="eastAsia"/>
                <w:bCs/>
                <w:sz w:val="24"/>
                <w:szCs w:val="24"/>
              </w:rPr>
              <w:t>课程目标</w:t>
            </w:r>
          </w:p>
        </w:tc>
        <w:tc>
          <w:tcPr>
            <w:tcW w:w="6233" w:type="dxa"/>
            <w:gridSpan w:val="12"/>
            <w:shd w:val="clear" w:color="auto" w:fill="auto"/>
            <w:vAlign w:val="center"/>
          </w:tcPr>
          <w:p w:rsidR="00450ABE" w:rsidRDefault="00450ABE" w:rsidP="008C3907">
            <w:pPr>
              <w:jc w:val="center"/>
              <w:rPr>
                <w:rFonts w:ascii="仿宋_GB2312" w:hAnsi="仿宋_GB2312" w:cs="仿宋_GB2312"/>
                <w:bCs/>
                <w:sz w:val="28"/>
                <w:szCs w:val="28"/>
              </w:rPr>
            </w:pPr>
            <w:r>
              <w:rPr>
                <w:rFonts w:ascii="仿宋_GB2312" w:hAnsi="仿宋_GB2312" w:cs="仿宋_GB2312" w:hint="eastAsia"/>
                <w:bCs/>
                <w:sz w:val="24"/>
                <w:szCs w:val="24"/>
              </w:rPr>
              <w:t>毕业要求</w:t>
            </w:r>
          </w:p>
        </w:tc>
      </w:tr>
      <w:tr w:rsidR="00450ABE" w:rsidTr="008C3907">
        <w:trPr>
          <w:trHeight w:hRule="exact" w:val="454"/>
          <w:jc w:val="center"/>
        </w:trPr>
        <w:tc>
          <w:tcPr>
            <w:tcW w:w="2743" w:type="dxa"/>
            <w:vMerge/>
            <w:shd w:val="clear" w:color="auto" w:fill="auto"/>
          </w:tcPr>
          <w:p w:rsidR="00450ABE" w:rsidRDefault="00450ABE" w:rsidP="008C3907">
            <w:pPr>
              <w:spacing w:line="360" w:lineRule="auto"/>
              <w:rPr>
                <w:rFonts w:ascii="仿宋_GB2312" w:hAnsi="仿宋_GB2312" w:cs="仿宋_GB2312"/>
                <w:bCs/>
                <w:sz w:val="28"/>
                <w:szCs w:val="28"/>
              </w:rPr>
            </w:pP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1</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2</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3</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4</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5</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6</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7</w:t>
            </w:r>
          </w:p>
        </w:tc>
        <w:tc>
          <w:tcPr>
            <w:tcW w:w="520"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8</w:t>
            </w:r>
          </w:p>
        </w:tc>
        <w:tc>
          <w:tcPr>
            <w:tcW w:w="520"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9</w:t>
            </w:r>
          </w:p>
        </w:tc>
        <w:tc>
          <w:tcPr>
            <w:tcW w:w="520"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10</w:t>
            </w:r>
          </w:p>
        </w:tc>
        <w:tc>
          <w:tcPr>
            <w:tcW w:w="520"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11</w:t>
            </w:r>
          </w:p>
        </w:tc>
        <w:tc>
          <w:tcPr>
            <w:tcW w:w="520"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12</w:t>
            </w:r>
          </w:p>
        </w:tc>
      </w:tr>
      <w:tr w:rsidR="00450ABE" w:rsidTr="008C3907">
        <w:trPr>
          <w:trHeight w:hRule="exact" w:val="454"/>
          <w:jc w:val="center"/>
        </w:trPr>
        <w:tc>
          <w:tcPr>
            <w:tcW w:w="2743"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知识目标</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r>
      <w:tr w:rsidR="00450ABE" w:rsidTr="008C3907">
        <w:trPr>
          <w:trHeight w:hRule="exact" w:val="454"/>
          <w:jc w:val="center"/>
        </w:trPr>
        <w:tc>
          <w:tcPr>
            <w:tcW w:w="2743" w:type="dxa"/>
            <w:shd w:val="clear" w:color="auto" w:fill="auto"/>
          </w:tcPr>
          <w:p w:rsidR="00450ABE" w:rsidRDefault="00450ABE" w:rsidP="008C3907">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能力目标</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H</w:t>
            </w:r>
          </w:p>
        </w:tc>
        <w:tc>
          <w:tcPr>
            <w:tcW w:w="519" w:type="dxa"/>
            <w:shd w:val="clear" w:color="auto" w:fill="auto"/>
            <w:vAlign w:val="center"/>
          </w:tcPr>
          <w:p w:rsidR="00450ABE" w:rsidRDefault="00450ABE" w:rsidP="008C3907">
            <w:pPr>
              <w:tabs>
                <w:tab w:val="left" w:pos="6300"/>
              </w:tabs>
              <w:spacing w:line="360" w:lineRule="atLeast"/>
              <w:jc w:val="center"/>
              <w:rPr>
                <w:rFonts w:ascii="仿宋_GB2312" w:hAnsi="仿宋_GB2312" w:cs="仿宋_GB2312"/>
                <w:bCs/>
                <w:sz w:val="28"/>
                <w:szCs w:val="28"/>
              </w:rPr>
            </w:pPr>
            <w:r>
              <w:rPr>
                <w:rFonts w:ascii="华文中宋" w:eastAsia="华文中宋" w:hAnsi="华文中宋" w:cs="宋体" w:hint="eastAsia"/>
                <w:bCs/>
                <w:sz w:val="21"/>
                <w:szCs w:val="21"/>
              </w:rPr>
              <w:t>H</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r>
      <w:tr w:rsidR="00450ABE" w:rsidTr="008C3907">
        <w:trPr>
          <w:trHeight w:hRule="exact" w:val="454"/>
          <w:jc w:val="center"/>
        </w:trPr>
        <w:tc>
          <w:tcPr>
            <w:tcW w:w="2743" w:type="dxa"/>
            <w:shd w:val="clear" w:color="auto" w:fill="auto"/>
          </w:tcPr>
          <w:p w:rsidR="00450ABE" w:rsidRDefault="00450ABE" w:rsidP="008C3907">
            <w:pPr>
              <w:tabs>
                <w:tab w:val="left" w:pos="6300"/>
              </w:tabs>
              <w:spacing w:line="360" w:lineRule="atLeast"/>
              <w:jc w:val="center"/>
              <w:rPr>
                <w:rFonts w:ascii="仿宋_GB2312" w:hAnsi="仿宋_GB2312" w:cs="仿宋_GB2312"/>
                <w:bCs/>
                <w:sz w:val="28"/>
                <w:szCs w:val="28"/>
              </w:rPr>
            </w:pPr>
            <w:r>
              <w:rPr>
                <w:rFonts w:ascii="仿宋_GB2312" w:hAnsi="仿宋_GB2312" w:cs="仿宋_GB2312" w:hint="eastAsia"/>
                <w:bCs/>
                <w:sz w:val="24"/>
                <w:szCs w:val="24"/>
              </w:rPr>
              <w:t>情感态度与价值观目标</w:t>
            </w:r>
          </w:p>
        </w:tc>
        <w:tc>
          <w:tcPr>
            <w:tcW w:w="519" w:type="dxa"/>
            <w:shd w:val="clear" w:color="auto" w:fill="auto"/>
            <w:vAlign w:val="center"/>
          </w:tcPr>
          <w:p w:rsidR="00450ABE" w:rsidRDefault="00450ABE" w:rsidP="008C3907">
            <w:pPr>
              <w:spacing w:line="360" w:lineRule="auto"/>
              <w:jc w:val="center"/>
              <w:rPr>
                <w:rFonts w:ascii="仿宋_GB2312" w:hAnsi="仿宋_GB2312" w:cs="仿宋_GB2312"/>
                <w:bCs/>
                <w:sz w:val="28"/>
                <w:szCs w:val="28"/>
              </w:rPr>
            </w:pPr>
          </w:p>
        </w:tc>
        <w:tc>
          <w:tcPr>
            <w:tcW w:w="519" w:type="dxa"/>
            <w:shd w:val="clear" w:color="auto" w:fill="auto"/>
            <w:vAlign w:val="center"/>
          </w:tcPr>
          <w:p w:rsidR="00450ABE" w:rsidRDefault="00450ABE" w:rsidP="008C3907">
            <w:pPr>
              <w:spacing w:line="360" w:lineRule="auto"/>
              <w:jc w:val="center"/>
              <w:rPr>
                <w:rFonts w:ascii="仿宋_GB2312" w:hAnsi="仿宋_GB2312" w:cs="仿宋_GB2312"/>
                <w:bCs/>
                <w:sz w:val="28"/>
                <w:szCs w:val="28"/>
              </w:rPr>
            </w:pP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M</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H</w:t>
            </w:r>
          </w:p>
        </w:tc>
        <w:tc>
          <w:tcPr>
            <w:tcW w:w="519" w:type="dxa"/>
            <w:shd w:val="clear" w:color="auto" w:fill="auto"/>
            <w:vAlign w:val="center"/>
          </w:tcPr>
          <w:p w:rsidR="00450ABE" w:rsidRDefault="00450ABE" w:rsidP="008C3907">
            <w:pPr>
              <w:tabs>
                <w:tab w:val="left" w:pos="6300"/>
              </w:tabs>
              <w:spacing w:line="360" w:lineRule="atLeast"/>
              <w:jc w:val="center"/>
              <w:rPr>
                <w:rFonts w:ascii="华文中宋" w:eastAsia="华文中宋" w:hAnsi="华文中宋" w:cs="宋体"/>
                <w:bCs/>
                <w:sz w:val="21"/>
                <w:szCs w:val="21"/>
              </w:rPr>
            </w:pPr>
            <w:r>
              <w:rPr>
                <w:rFonts w:ascii="华文中宋" w:eastAsia="华文中宋" w:hAnsi="华文中宋" w:cs="宋体" w:hint="eastAsia"/>
                <w:bCs/>
                <w:sz w:val="21"/>
                <w:szCs w:val="21"/>
              </w:rPr>
              <w:t>L</w:t>
            </w: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c>
          <w:tcPr>
            <w:tcW w:w="520" w:type="dxa"/>
            <w:shd w:val="clear" w:color="auto" w:fill="auto"/>
          </w:tcPr>
          <w:p w:rsidR="00450ABE" w:rsidRDefault="00450ABE" w:rsidP="008C3907">
            <w:pPr>
              <w:spacing w:line="360" w:lineRule="auto"/>
              <w:rPr>
                <w:rFonts w:ascii="仿宋_GB2312" w:hAnsi="仿宋_GB2312" w:cs="仿宋_GB2312"/>
                <w:bCs/>
                <w:sz w:val="28"/>
                <w:szCs w:val="28"/>
              </w:rPr>
            </w:pPr>
          </w:p>
        </w:tc>
      </w:tr>
    </w:tbl>
    <w:p w:rsidR="00450ABE" w:rsidRDefault="00450ABE" w:rsidP="00450ABE">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3. 课程的重点、难点</w:t>
      </w:r>
    </w:p>
    <w:p w:rsidR="00450ABE" w:rsidRDefault="00450ABE" w:rsidP="00450ABE">
      <w:pPr>
        <w:spacing w:line="560" w:lineRule="exact"/>
        <w:ind w:firstLineChars="200" w:firstLine="560"/>
        <w:rPr>
          <w:rFonts w:ascii="仿宋_GB2312" w:hAnsi="仿宋_GB2312" w:cs="仿宋_GB2312"/>
          <w:bCs/>
          <w:sz w:val="28"/>
          <w:szCs w:val="28"/>
        </w:rPr>
      </w:pPr>
      <w:r>
        <w:rPr>
          <w:rFonts w:ascii="仿宋_GB2312" w:hAnsi="仿宋_GB2312" w:cs="仿宋_GB2312" w:hint="eastAsia"/>
          <w:sz w:val="28"/>
          <w:szCs w:val="28"/>
        </w:rPr>
        <w:t>课程的重点：</w:t>
      </w:r>
      <w:r>
        <w:rPr>
          <w:rFonts w:ascii="仿宋_GB2312" w:hAnsi="仿宋_GB2312" w:cs="仿宋_GB2312" w:hint="eastAsia"/>
          <w:bCs/>
          <w:sz w:val="28"/>
          <w:szCs w:val="28"/>
        </w:rPr>
        <w:t>掌握药剂软化法及离子交换软化的基本原理和方法，掌握离子交换及电渗析除盐原理，掌握反渗透、超滤工作原理；掌握地下水除铁除锰及除氟的方法；掌握冷却塔的工艺构造及麦克尔（Merkel）焓差方程，掌握冷却塔热力计算基本方程，掌握逆流冷却塔热力计算，掌握循环冷却水系统的腐蚀控制、沉积物控制和微生物控制。</w:t>
      </w:r>
    </w:p>
    <w:p w:rsidR="00450ABE" w:rsidRDefault="00450ABE" w:rsidP="00450ABE">
      <w:pPr>
        <w:spacing w:line="560" w:lineRule="exact"/>
        <w:ind w:firstLineChars="200" w:firstLine="560"/>
        <w:rPr>
          <w:rFonts w:ascii="仿宋_GB2312" w:hAnsi="仿宋_GB2312" w:cs="仿宋_GB2312"/>
          <w:bCs/>
          <w:sz w:val="28"/>
          <w:szCs w:val="28"/>
        </w:rPr>
      </w:pPr>
      <w:r>
        <w:rPr>
          <w:rFonts w:ascii="仿宋_GB2312" w:hAnsi="仿宋_GB2312" w:cs="仿宋_GB2312" w:hint="eastAsia"/>
          <w:sz w:val="28"/>
          <w:szCs w:val="28"/>
        </w:rPr>
        <w:t>课程的难点：</w:t>
      </w:r>
      <w:r>
        <w:rPr>
          <w:rFonts w:ascii="仿宋_GB2312" w:hAnsi="仿宋_GB2312" w:cs="仿宋_GB2312" w:hint="eastAsia"/>
          <w:bCs/>
          <w:sz w:val="28"/>
          <w:szCs w:val="28"/>
        </w:rPr>
        <w:t>离子交换及电渗析除盐原理，反渗透、超滤工作原理；麦克尔（Merkel）焓差方程，冷却塔热力计算基本方程。</w:t>
      </w:r>
    </w:p>
    <w:p w:rsidR="00450ABE" w:rsidRDefault="00450ABE" w:rsidP="00450ABE">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450ABE" w:rsidRDefault="00450ABE" w:rsidP="00450ABE">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lastRenderedPageBreak/>
        <w:t>以</w:t>
      </w:r>
      <w:r>
        <w:rPr>
          <w:rFonts w:ascii="仿宋_GB2312" w:hAnsi="仿宋_GB2312" w:cs="仿宋_GB2312"/>
          <w:bCs/>
          <w:sz w:val="28"/>
          <w:szCs w:val="28"/>
        </w:rPr>
        <w:t>学生为中心，</w:t>
      </w:r>
      <w:r>
        <w:rPr>
          <w:rFonts w:ascii="仿宋_GB2312" w:hAnsi="仿宋_GB2312" w:cs="仿宋_GB2312" w:hint="eastAsia"/>
          <w:bCs/>
          <w:sz w:val="28"/>
          <w:szCs w:val="28"/>
        </w:rPr>
        <w:t>让学生建立一种科学思维方式，用辩证唯物主义的观点去观察和分析问题，以社会主义核心价值观进行价值定位。教学过程中采用理论</w:t>
      </w:r>
      <w:r>
        <w:rPr>
          <w:rFonts w:ascii="仿宋_GB2312" w:hAnsi="仿宋_GB2312" w:cs="仿宋_GB2312"/>
          <w:bCs/>
          <w:sz w:val="28"/>
          <w:szCs w:val="28"/>
        </w:rPr>
        <w:t>联系实际的</w:t>
      </w:r>
      <w:r>
        <w:rPr>
          <w:rFonts w:ascii="仿宋_GB2312" w:hAnsi="仿宋_GB2312" w:cs="仿宋_GB2312" w:hint="eastAsia"/>
          <w:bCs/>
          <w:sz w:val="28"/>
          <w:szCs w:val="28"/>
        </w:rPr>
        <w:t>教学方式，真切</w:t>
      </w:r>
      <w:r>
        <w:rPr>
          <w:rFonts w:ascii="仿宋_GB2312" w:hAnsi="仿宋_GB2312" w:cs="仿宋_GB2312"/>
          <w:bCs/>
          <w:sz w:val="28"/>
          <w:szCs w:val="28"/>
        </w:rPr>
        <w:t>领悟“绿水青山就是金山银山”的深刻内涵</w:t>
      </w:r>
      <w:r>
        <w:rPr>
          <w:rFonts w:ascii="仿宋_GB2312" w:hAnsi="仿宋_GB2312" w:cs="仿宋_GB2312" w:hint="eastAsia"/>
          <w:bCs/>
          <w:sz w:val="28"/>
          <w:szCs w:val="28"/>
        </w:rPr>
        <w:t>，以知识为载体，传授工业给水的技术和方法，</w:t>
      </w:r>
      <w:r>
        <w:rPr>
          <w:rFonts w:ascii="仿宋_GB2312" w:hAnsi="仿宋_GB2312" w:cs="仿宋_GB2312"/>
          <w:bCs/>
          <w:sz w:val="28"/>
          <w:szCs w:val="28"/>
        </w:rPr>
        <w:t>引导学生树立积极向上的价值观、客观科学的世界观</w:t>
      </w:r>
      <w:r>
        <w:rPr>
          <w:rFonts w:ascii="仿宋_GB2312" w:hAnsi="仿宋_GB2312" w:cs="仿宋_GB2312" w:hint="eastAsia"/>
          <w:bCs/>
          <w:sz w:val="28"/>
          <w:szCs w:val="28"/>
        </w:rPr>
        <w:t>。</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p w:rsidR="00450ABE" w:rsidRDefault="00450ABE" w:rsidP="00450ABE">
      <w:pPr>
        <w:spacing w:line="560" w:lineRule="exact"/>
        <w:outlineLvl w:val="0"/>
        <w:rPr>
          <w:rFonts w:ascii="仿宋_GB2312" w:hAnsi="仿宋_GB2312" w:cs="仿宋_GB2312"/>
          <w:sz w:val="28"/>
          <w:szCs w:val="28"/>
        </w:rPr>
      </w:pPr>
      <w:r>
        <w:rPr>
          <w:rFonts w:ascii="仿宋_GB2312" w:hAnsi="仿宋_GB2312" w:cs="仿宋_GB2312"/>
          <w:sz w:val="28"/>
          <w:szCs w:val="28"/>
        </w:rPr>
        <w:t>（一）教学内容结构关系图</w:t>
      </w:r>
    </w:p>
    <w:p w:rsidR="00450ABE" w:rsidRDefault="00450ABE" w:rsidP="00450ABE">
      <w:pPr>
        <w:spacing w:line="560" w:lineRule="exact"/>
        <w:rPr>
          <w:szCs w:val="21"/>
        </w:rPr>
      </w:pPr>
      <w:r>
        <w:rPr>
          <w:noProof/>
          <w:szCs w:val="21"/>
        </w:rPr>
        <mc:AlternateContent>
          <mc:Choice Requires="wps">
            <w:drawing>
              <wp:anchor distT="0" distB="0" distL="114300" distR="114300" simplePos="0" relativeHeight="251731968" behindDoc="0" locked="0" layoutInCell="1" allowOverlap="1" wp14:anchorId="267CD450" wp14:editId="1DE9BCDC">
                <wp:simplePos x="0" y="0"/>
                <wp:positionH relativeFrom="column">
                  <wp:posOffset>2370455</wp:posOffset>
                </wp:positionH>
                <wp:positionV relativeFrom="paragraph">
                  <wp:posOffset>357505</wp:posOffset>
                </wp:positionV>
                <wp:extent cx="635" cy="236855"/>
                <wp:effectExtent l="37465" t="0" r="38100" b="6985"/>
                <wp:wrapNone/>
                <wp:docPr id="61" name="直接箭头连接符 61"/>
                <wp:cNvGraphicFramePr/>
                <a:graphic xmlns:a="http://schemas.openxmlformats.org/drawingml/2006/main">
                  <a:graphicData uri="http://schemas.microsoft.com/office/word/2010/wordprocessingShape">
                    <wps:wsp>
                      <wps:cNvCnPr/>
                      <wps:spPr>
                        <a:xfrm>
                          <a:off x="0" y="0"/>
                          <a:ext cx="635" cy="2368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70FF087" id="直接箭头连接符 61" o:spid="_x0000_s1026" type="#_x0000_t32" style="position:absolute;left:0;text-align:left;margin-left:186.65pt;margin-top:28.15pt;width:.05pt;height:18.6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">
                <v:stroke endarrow="block"/>
              </v:shape>
            </w:pict>
          </mc:Fallback>
        </mc:AlternateContent>
      </w:r>
      <w:r>
        <w:rPr>
          <w:rFonts w:ascii="仿宋_GB2312" w:hAnsi="仿宋_GB2312" w:cs="仿宋_GB2312"/>
          <w:noProof/>
          <w:sz w:val="28"/>
          <w:szCs w:val="28"/>
        </w:rPr>
        <mc:AlternateContent>
          <mc:Choice Requires="wps">
            <w:drawing>
              <wp:anchor distT="0" distB="0" distL="114300" distR="114300" simplePos="0" relativeHeight="251730944" behindDoc="0" locked="0" layoutInCell="1" allowOverlap="1" wp14:anchorId="2AFEF573" wp14:editId="121B1918">
                <wp:simplePos x="0" y="0"/>
                <wp:positionH relativeFrom="column">
                  <wp:posOffset>1972945</wp:posOffset>
                </wp:positionH>
                <wp:positionV relativeFrom="paragraph">
                  <wp:posOffset>23495</wp:posOffset>
                </wp:positionV>
                <wp:extent cx="848360" cy="261620"/>
                <wp:effectExtent l="4445" t="4445" r="15875" b="8255"/>
                <wp:wrapNone/>
                <wp:docPr id="64" name="文本框 64"/>
                <wp:cNvGraphicFramePr/>
                <a:graphic xmlns:a="http://schemas.openxmlformats.org/drawingml/2006/main">
                  <a:graphicData uri="http://schemas.microsoft.com/office/word/2010/wordprocessingShape">
                    <wps:wsp>
                      <wps:cNvSpPr txBox="1"/>
                      <wps:spPr>
                        <a:xfrm>
                          <a:off x="0" y="0"/>
                          <a:ext cx="848360" cy="2616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450ABE">
                            <w:pPr>
                              <w:spacing w:line="240" w:lineRule="atLeast"/>
                              <w:ind w:firstLineChars="50" w:firstLine="100"/>
                              <w:rPr>
                                <w:sz w:val="20"/>
                                <w:szCs w:val="20"/>
                              </w:rPr>
                            </w:pPr>
                            <w:r>
                              <w:rPr>
                                <w:rFonts w:hint="eastAsia"/>
                                <w:sz w:val="20"/>
                                <w:szCs w:val="20"/>
                              </w:rPr>
                              <w:t>工业</w:t>
                            </w:r>
                            <w:r>
                              <w:rPr>
                                <w:sz w:val="20"/>
                                <w:szCs w:val="20"/>
                              </w:rPr>
                              <w:t>给水</w:t>
                            </w:r>
                          </w:p>
                        </w:txbxContent>
                      </wps:txbx>
                      <wps:bodyPr upright="1"/>
                    </wps:wsp>
                  </a:graphicData>
                </a:graphic>
              </wp:anchor>
            </w:drawing>
          </mc:Choice>
          <mc:Fallback>
            <w:pict>
              <v:shape w14:anchorId="2AFEF573" id="文本框 64" o:spid="_x0000_s1066" type="#_x0000_t202" style="position:absolute;left:0;text-align:left;margin-left:155.35pt;margin-top:1.85pt;width:66.8pt;height:20.6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">
                <v:textbox>
                  <w:txbxContent>
                    <w:p w:rsidR="00702523" w:rsidRDefault="00702523" w:rsidP="00450ABE">
                      <w:pPr>
                        <w:spacing w:line="240" w:lineRule="atLeast"/>
                        <w:ind w:firstLineChars="50" w:firstLine="100"/>
                        <w:rPr>
                          <w:sz w:val="20"/>
                          <w:szCs w:val="20"/>
                        </w:rPr>
                      </w:pPr>
                      <w:r>
                        <w:rPr>
                          <w:rFonts w:hint="eastAsia"/>
                          <w:sz w:val="20"/>
                          <w:szCs w:val="20"/>
                        </w:rPr>
                        <w:t>工业</w:t>
                      </w:r>
                      <w:r>
                        <w:rPr>
                          <w:sz w:val="20"/>
                          <w:szCs w:val="20"/>
                        </w:rPr>
                        <w:t>给水</w:t>
                      </w:r>
                    </w:p>
                  </w:txbxContent>
                </v:textbox>
              </v:shape>
            </w:pict>
          </mc:Fallback>
        </mc:AlternateContent>
      </w:r>
    </w:p>
    <w:p w:rsidR="00450ABE" w:rsidRDefault="00450ABE" w:rsidP="00450ABE">
      <w:pPr>
        <w:spacing w:line="560" w:lineRule="exact"/>
        <w:rPr>
          <w:szCs w:val="21"/>
        </w:rPr>
      </w:pPr>
      <w:r>
        <w:rPr>
          <w:noProof/>
          <w:szCs w:val="21"/>
        </w:rPr>
        <mc:AlternateContent>
          <mc:Choice Requires="wps">
            <w:drawing>
              <wp:anchor distT="0" distB="0" distL="114300" distR="114300" simplePos="0" relativeHeight="251734016" behindDoc="0" locked="0" layoutInCell="1" allowOverlap="1" wp14:anchorId="349E58CE" wp14:editId="39C19B52">
                <wp:simplePos x="0" y="0"/>
                <wp:positionH relativeFrom="column">
                  <wp:posOffset>-192405</wp:posOffset>
                </wp:positionH>
                <wp:positionV relativeFrom="paragraph">
                  <wp:posOffset>238760</wp:posOffset>
                </wp:positionV>
                <wp:extent cx="5584190" cy="1131570"/>
                <wp:effectExtent l="4445" t="4445" r="19685" b="6985"/>
                <wp:wrapNone/>
                <wp:docPr id="60" name="矩形 60"/>
                <wp:cNvGraphicFramePr/>
                <a:graphic xmlns:a="http://schemas.openxmlformats.org/drawingml/2006/main">
                  <a:graphicData uri="http://schemas.microsoft.com/office/word/2010/wordprocessingShape">
                    <wps:wsp>
                      <wps:cNvSpPr/>
                      <wps:spPr>
                        <a:xfrm>
                          <a:off x="0" y="0"/>
                          <a:ext cx="5584190" cy="1131570"/>
                        </a:xfrm>
                        <a:prstGeom prst="rect">
                          <a:avLst/>
                        </a:prstGeom>
                        <a:noFill/>
                        <a:ln w="9525" cap="flat" cmpd="sng">
                          <a:solidFill>
                            <a:srgbClr val="000000"/>
                          </a:solidFill>
                          <a:prstDash val="lgDash"/>
                          <a:miter/>
                          <a:headEnd type="none" w="med" len="med"/>
                          <a:tailEnd type="none" w="med" len="med"/>
                        </a:ln>
                      </wps:spPr>
                      <wps:bodyPr upright="1"/>
                    </wps:wsp>
                  </a:graphicData>
                </a:graphic>
              </wp:anchor>
            </w:drawing>
          </mc:Choice>
          <mc:Fallback>
            <w:pict>
              <v:rect w14:anchorId="5AF7F8D6" id="矩形 60" o:spid="_x0000_s1026" style="position:absolute;left:0;text-align:left;margin-left:-15.15pt;margin-top:18.8pt;width:439.7pt;height:89.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" filled="f">
                <v:stroke dashstyle="longDash"/>
              </v:rect>
            </w:pict>
          </mc:Fallback>
        </mc:AlternateContent>
      </w:r>
    </w:p>
    <w:p w:rsidR="00450ABE" w:rsidRDefault="00450ABE" w:rsidP="00450ABE">
      <w:pPr>
        <w:spacing w:line="560" w:lineRule="exact"/>
        <w:rPr>
          <w:szCs w:val="21"/>
        </w:rPr>
      </w:pPr>
      <w:r>
        <w:rPr>
          <w:noProof/>
          <w:szCs w:val="21"/>
        </w:rPr>
        <mc:AlternateContent>
          <mc:Choice Requires="wps">
            <w:drawing>
              <wp:anchor distT="0" distB="0" distL="114300" distR="114300" simplePos="0" relativeHeight="251737088" behindDoc="0" locked="0" layoutInCell="1" allowOverlap="1" wp14:anchorId="53707360" wp14:editId="1C071ADF">
                <wp:simplePos x="0" y="0"/>
                <wp:positionH relativeFrom="column">
                  <wp:posOffset>3648710</wp:posOffset>
                </wp:positionH>
                <wp:positionV relativeFrom="paragraph">
                  <wp:posOffset>62865</wp:posOffset>
                </wp:positionV>
                <wp:extent cx="1647190" cy="798830"/>
                <wp:effectExtent l="5080" t="4445" r="8890" b="19685"/>
                <wp:wrapNone/>
                <wp:docPr id="58" name="文本框 58"/>
                <wp:cNvGraphicFramePr/>
                <a:graphic xmlns:a="http://schemas.openxmlformats.org/drawingml/2006/main">
                  <a:graphicData uri="http://schemas.microsoft.com/office/word/2010/wordprocessingShape">
                    <wps:wsp>
                      <wps:cNvSpPr txBox="1"/>
                      <wps:spPr>
                        <a:xfrm>
                          <a:off x="0" y="0"/>
                          <a:ext cx="1647190" cy="7988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450ABE">
                            <w:pPr>
                              <w:spacing w:line="240" w:lineRule="atLeast"/>
                              <w:ind w:firstLineChars="50" w:firstLine="100"/>
                              <w:rPr>
                                <w:sz w:val="20"/>
                                <w:szCs w:val="20"/>
                              </w:rPr>
                            </w:pPr>
                            <w:r>
                              <w:rPr>
                                <w:rFonts w:hint="eastAsia"/>
                                <w:sz w:val="20"/>
                                <w:szCs w:val="20"/>
                              </w:rPr>
                              <w:t>水冷却的理论基础、冷却塔的工艺构造及热力计算基本方程、冷却塔的设计与计算、循环冷却水处理</w:t>
                            </w:r>
                          </w:p>
                        </w:txbxContent>
                      </wps:txbx>
                      <wps:bodyPr upright="1"/>
                    </wps:wsp>
                  </a:graphicData>
                </a:graphic>
              </wp:anchor>
            </w:drawing>
          </mc:Choice>
          <mc:Fallback>
            <w:pict>
              <v:shape w14:anchorId="53707360" id="文本框 58" o:spid="_x0000_s1067" type="#_x0000_t202" style="position:absolute;left:0;text-align:left;margin-left:287.3pt;margin-top:4.95pt;width:129.7pt;height:62.9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">
                <v:textbox>
                  <w:txbxContent>
                    <w:p w:rsidR="00702523" w:rsidRDefault="00702523" w:rsidP="00450ABE">
                      <w:pPr>
                        <w:spacing w:line="240" w:lineRule="atLeast"/>
                        <w:ind w:firstLineChars="50" w:firstLine="100"/>
                        <w:rPr>
                          <w:sz w:val="20"/>
                          <w:szCs w:val="20"/>
                        </w:rPr>
                      </w:pPr>
                      <w:r>
                        <w:rPr>
                          <w:rFonts w:hint="eastAsia"/>
                          <w:sz w:val="20"/>
                          <w:szCs w:val="20"/>
                        </w:rPr>
                        <w:t>水冷却的理论基础、冷却塔的工艺构造及热力计算基本方程、冷却塔的设计与计算、循环冷却水处理</w:t>
                      </w:r>
                    </w:p>
                  </w:txbxContent>
                </v:textbox>
              </v:shape>
            </w:pict>
          </mc:Fallback>
        </mc:AlternateContent>
      </w:r>
      <w:r>
        <w:rPr>
          <w:noProof/>
          <w:szCs w:val="21"/>
        </w:rPr>
        <mc:AlternateContent>
          <mc:Choice Requires="wps">
            <w:drawing>
              <wp:anchor distT="0" distB="0" distL="114300" distR="114300" simplePos="0" relativeHeight="251736064" behindDoc="0" locked="0" layoutInCell="1" allowOverlap="1" wp14:anchorId="579E8D31" wp14:editId="789B62C5">
                <wp:simplePos x="0" y="0"/>
                <wp:positionH relativeFrom="column">
                  <wp:posOffset>2316480</wp:posOffset>
                </wp:positionH>
                <wp:positionV relativeFrom="paragraph">
                  <wp:posOffset>62865</wp:posOffset>
                </wp:positionV>
                <wp:extent cx="1239520" cy="798830"/>
                <wp:effectExtent l="5080" t="4445" r="5080" b="19685"/>
                <wp:wrapNone/>
                <wp:docPr id="65" name="文本框 65"/>
                <wp:cNvGraphicFramePr/>
                <a:graphic xmlns:a="http://schemas.openxmlformats.org/drawingml/2006/main">
                  <a:graphicData uri="http://schemas.microsoft.com/office/word/2010/wordprocessingShape">
                    <wps:wsp>
                      <wps:cNvSpPr txBox="1"/>
                      <wps:spPr>
                        <a:xfrm>
                          <a:off x="0" y="0"/>
                          <a:ext cx="1239520" cy="7988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450ABE">
                            <w:pPr>
                              <w:spacing w:line="240" w:lineRule="atLeast"/>
                              <w:rPr>
                                <w:sz w:val="20"/>
                                <w:szCs w:val="20"/>
                              </w:rPr>
                            </w:pPr>
                            <w:r>
                              <w:rPr>
                                <w:rFonts w:hint="eastAsia"/>
                                <w:sz w:val="20"/>
                                <w:szCs w:val="20"/>
                              </w:rPr>
                              <w:t>离子交换除盐方法与系统、电渗析法、反渗透与超滤、蒸馏法</w:t>
                            </w:r>
                          </w:p>
                        </w:txbxContent>
                      </wps:txbx>
                      <wps:bodyPr upright="1"/>
                    </wps:wsp>
                  </a:graphicData>
                </a:graphic>
              </wp:anchor>
            </w:drawing>
          </mc:Choice>
          <mc:Fallback>
            <w:pict>
              <v:shape w14:anchorId="579E8D31" id="文本框 65" o:spid="_x0000_s1068" type="#_x0000_t202" style="position:absolute;left:0;text-align:left;margin-left:182.4pt;margin-top:4.95pt;width:97.6pt;height:62.9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">
                <v:textbox>
                  <w:txbxContent>
                    <w:p w:rsidR="00702523" w:rsidRDefault="00702523" w:rsidP="00450ABE">
                      <w:pPr>
                        <w:spacing w:line="240" w:lineRule="atLeast"/>
                        <w:rPr>
                          <w:sz w:val="20"/>
                          <w:szCs w:val="20"/>
                        </w:rPr>
                      </w:pPr>
                      <w:r>
                        <w:rPr>
                          <w:rFonts w:hint="eastAsia"/>
                          <w:sz w:val="20"/>
                          <w:szCs w:val="20"/>
                        </w:rPr>
                        <w:t>离子交换除盐方法与系统、电渗析法、反渗透与超滤、蒸馏法</w:t>
                      </w:r>
                    </w:p>
                  </w:txbxContent>
                </v:textbox>
              </v:shape>
            </w:pict>
          </mc:Fallback>
        </mc:AlternateContent>
      </w:r>
      <w:r>
        <w:rPr>
          <w:noProof/>
          <w:szCs w:val="21"/>
        </w:rPr>
        <mc:AlternateContent>
          <mc:Choice Requires="wps">
            <w:drawing>
              <wp:anchor distT="0" distB="0" distL="114300" distR="114300" simplePos="0" relativeHeight="251735040" behindDoc="0" locked="0" layoutInCell="1" allowOverlap="1" wp14:anchorId="7C2914D3" wp14:editId="4F10ED32">
                <wp:simplePos x="0" y="0"/>
                <wp:positionH relativeFrom="column">
                  <wp:posOffset>1026795</wp:posOffset>
                </wp:positionH>
                <wp:positionV relativeFrom="paragraph">
                  <wp:posOffset>62865</wp:posOffset>
                </wp:positionV>
                <wp:extent cx="1160780" cy="798830"/>
                <wp:effectExtent l="5080" t="4445" r="7620" b="19685"/>
                <wp:wrapNone/>
                <wp:docPr id="59" name="文本框 59"/>
                <wp:cNvGraphicFramePr/>
                <a:graphic xmlns:a="http://schemas.openxmlformats.org/drawingml/2006/main">
                  <a:graphicData uri="http://schemas.microsoft.com/office/word/2010/wordprocessingShape">
                    <wps:wsp>
                      <wps:cNvSpPr txBox="1"/>
                      <wps:spPr>
                        <a:xfrm>
                          <a:off x="0" y="0"/>
                          <a:ext cx="1160780" cy="7988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450ABE">
                            <w:pPr>
                              <w:spacing w:line="240" w:lineRule="atLeast"/>
                              <w:rPr>
                                <w:sz w:val="20"/>
                                <w:szCs w:val="20"/>
                              </w:rPr>
                            </w:pPr>
                            <w:r>
                              <w:rPr>
                                <w:sz w:val="20"/>
                                <w:szCs w:val="20"/>
                              </w:rPr>
                              <w:t>水的药剂软化法</w:t>
                            </w:r>
                            <w:r>
                              <w:rPr>
                                <w:rFonts w:hint="eastAsia"/>
                                <w:sz w:val="20"/>
                                <w:szCs w:val="20"/>
                              </w:rPr>
                              <w:t>、</w:t>
                            </w:r>
                            <w:r>
                              <w:rPr>
                                <w:sz w:val="20"/>
                                <w:szCs w:val="20"/>
                              </w:rPr>
                              <w:t>离子交换基本原理</w:t>
                            </w:r>
                            <w:r>
                              <w:rPr>
                                <w:rFonts w:hint="eastAsia"/>
                                <w:sz w:val="20"/>
                                <w:szCs w:val="20"/>
                              </w:rPr>
                              <w:t>、</w:t>
                            </w:r>
                            <w:r>
                              <w:rPr>
                                <w:sz w:val="20"/>
                                <w:szCs w:val="20"/>
                              </w:rPr>
                              <w:t>离子交换软化方法与系统</w:t>
                            </w:r>
                          </w:p>
                        </w:txbxContent>
                      </wps:txbx>
                      <wps:bodyPr upright="1"/>
                    </wps:wsp>
                  </a:graphicData>
                </a:graphic>
              </wp:anchor>
            </w:drawing>
          </mc:Choice>
          <mc:Fallback>
            <w:pict>
              <v:shape w14:anchorId="7C2914D3" id="文本框 59" o:spid="_x0000_s1069" type="#_x0000_t202" style="position:absolute;left:0;text-align:left;margin-left:80.85pt;margin-top:4.95pt;width:91.4pt;height:62.9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">
                <v:textbox>
                  <w:txbxContent>
                    <w:p w:rsidR="00702523" w:rsidRDefault="00702523" w:rsidP="00450ABE">
                      <w:pPr>
                        <w:spacing w:line="240" w:lineRule="atLeast"/>
                        <w:rPr>
                          <w:sz w:val="20"/>
                          <w:szCs w:val="20"/>
                        </w:rPr>
                      </w:pPr>
                      <w:r>
                        <w:rPr>
                          <w:sz w:val="20"/>
                          <w:szCs w:val="20"/>
                        </w:rPr>
                        <w:t>水的药剂软化法</w:t>
                      </w:r>
                      <w:r>
                        <w:rPr>
                          <w:rFonts w:hint="eastAsia"/>
                          <w:sz w:val="20"/>
                          <w:szCs w:val="20"/>
                        </w:rPr>
                        <w:t>、</w:t>
                      </w:r>
                      <w:r>
                        <w:rPr>
                          <w:sz w:val="20"/>
                          <w:szCs w:val="20"/>
                        </w:rPr>
                        <w:t>离子交换基本原理</w:t>
                      </w:r>
                      <w:r>
                        <w:rPr>
                          <w:rFonts w:hint="eastAsia"/>
                          <w:sz w:val="20"/>
                          <w:szCs w:val="20"/>
                        </w:rPr>
                        <w:t>、</w:t>
                      </w:r>
                      <w:r>
                        <w:rPr>
                          <w:sz w:val="20"/>
                          <w:szCs w:val="20"/>
                        </w:rPr>
                        <w:t>离子交换软化方法与系统</w:t>
                      </w:r>
                    </w:p>
                  </w:txbxContent>
                </v:textbox>
              </v:shape>
            </w:pict>
          </mc:Fallback>
        </mc:AlternateContent>
      </w:r>
      <w:r>
        <w:rPr>
          <w:noProof/>
          <w:szCs w:val="21"/>
        </w:rPr>
        <mc:AlternateContent>
          <mc:Choice Requires="wps">
            <w:drawing>
              <wp:anchor distT="0" distB="0" distL="114300" distR="114300" simplePos="0" relativeHeight="251732992" behindDoc="0" locked="0" layoutInCell="1" allowOverlap="1" wp14:anchorId="57686B75" wp14:editId="5BEF4E9B">
                <wp:simplePos x="0" y="0"/>
                <wp:positionH relativeFrom="column">
                  <wp:posOffset>-93980</wp:posOffset>
                </wp:positionH>
                <wp:positionV relativeFrom="paragraph">
                  <wp:posOffset>62865</wp:posOffset>
                </wp:positionV>
                <wp:extent cx="1010285" cy="716280"/>
                <wp:effectExtent l="4445" t="4445" r="6350" b="10795"/>
                <wp:wrapNone/>
                <wp:docPr id="62" name="文本框 62"/>
                <wp:cNvGraphicFramePr/>
                <a:graphic xmlns:a="http://schemas.openxmlformats.org/drawingml/2006/main">
                  <a:graphicData uri="http://schemas.microsoft.com/office/word/2010/wordprocessingShape">
                    <wps:wsp>
                      <wps:cNvSpPr txBox="1"/>
                      <wps:spPr>
                        <a:xfrm>
                          <a:off x="0" y="0"/>
                          <a:ext cx="1010285" cy="7162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450ABE">
                            <w:pPr>
                              <w:spacing w:line="240" w:lineRule="atLeast"/>
                              <w:rPr>
                                <w:sz w:val="20"/>
                                <w:szCs w:val="20"/>
                              </w:rPr>
                            </w:pPr>
                            <w:r>
                              <w:rPr>
                                <w:rFonts w:hint="eastAsia"/>
                                <w:sz w:val="20"/>
                                <w:szCs w:val="20"/>
                              </w:rPr>
                              <w:t>地下水除铁除锰、活性炭吸附、水的除氟</w:t>
                            </w:r>
                          </w:p>
                        </w:txbxContent>
                      </wps:txbx>
                      <wps:bodyPr upright="1"/>
                    </wps:wsp>
                  </a:graphicData>
                </a:graphic>
              </wp:anchor>
            </w:drawing>
          </mc:Choice>
          <mc:Fallback>
            <w:pict>
              <v:shape w14:anchorId="57686B75" id="文本框 62" o:spid="_x0000_s1070" type="#_x0000_t202" style="position:absolute;left:0;text-align:left;margin-left:-7.4pt;margin-top:4.95pt;width:79.55pt;height:56.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">
                <v:textbox>
                  <w:txbxContent>
                    <w:p w:rsidR="00702523" w:rsidRDefault="00702523" w:rsidP="00450ABE">
                      <w:pPr>
                        <w:spacing w:line="240" w:lineRule="atLeast"/>
                        <w:rPr>
                          <w:sz w:val="20"/>
                          <w:szCs w:val="20"/>
                        </w:rPr>
                      </w:pPr>
                      <w:r>
                        <w:rPr>
                          <w:rFonts w:hint="eastAsia"/>
                          <w:sz w:val="20"/>
                          <w:szCs w:val="20"/>
                        </w:rPr>
                        <w:t>地下水除铁除锰、活性炭吸附、水的除氟</w:t>
                      </w:r>
                    </w:p>
                  </w:txbxContent>
                </v:textbox>
              </v:shape>
            </w:pict>
          </mc:Fallback>
        </mc:AlternateContent>
      </w:r>
    </w:p>
    <w:p w:rsidR="00450ABE" w:rsidRDefault="00450ABE" w:rsidP="00450ABE">
      <w:pPr>
        <w:spacing w:line="560" w:lineRule="exact"/>
        <w:rPr>
          <w:szCs w:val="21"/>
        </w:rPr>
      </w:pPr>
    </w:p>
    <w:p w:rsidR="00450ABE" w:rsidRDefault="00450ABE" w:rsidP="00450ABE">
      <w:pPr>
        <w:spacing w:line="560" w:lineRule="exact"/>
        <w:rPr>
          <w:szCs w:val="21"/>
        </w:rPr>
      </w:pPr>
      <w:r>
        <w:rPr>
          <w:noProof/>
          <w:szCs w:val="21"/>
        </w:rPr>
        <mc:AlternateContent>
          <mc:Choice Requires="wps">
            <w:drawing>
              <wp:anchor distT="0" distB="0" distL="114300" distR="114300" simplePos="0" relativeHeight="251739136" behindDoc="0" locked="0" layoutInCell="1" allowOverlap="1" wp14:anchorId="06A767C1" wp14:editId="5F44099D">
                <wp:simplePos x="0" y="0"/>
                <wp:positionH relativeFrom="column">
                  <wp:posOffset>2402205</wp:posOffset>
                </wp:positionH>
                <wp:positionV relativeFrom="paragraph">
                  <wp:posOffset>303530</wp:posOffset>
                </wp:positionV>
                <wp:extent cx="1270" cy="262255"/>
                <wp:effectExtent l="37465" t="0" r="37465" b="12065"/>
                <wp:wrapNone/>
                <wp:docPr id="57" name="直接箭头连接符 57"/>
                <wp:cNvGraphicFramePr/>
                <a:graphic xmlns:a="http://schemas.openxmlformats.org/drawingml/2006/main">
                  <a:graphicData uri="http://schemas.microsoft.com/office/word/2010/wordprocessingShape">
                    <wps:wsp>
                      <wps:cNvCnPr/>
                      <wps:spPr>
                        <a:xfrm>
                          <a:off x="0" y="0"/>
                          <a:ext cx="1270" cy="262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C812C7E" id="直接箭头连接符 57" o:spid="_x0000_s1026" type="#_x0000_t32" style="position:absolute;left:0;text-align:left;margin-left:189.15pt;margin-top:23.9pt;width:.1pt;height:20.6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">
                <v:stroke endarrow="block"/>
              </v:shape>
            </w:pict>
          </mc:Fallback>
        </mc:AlternateContent>
      </w:r>
    </w:p>
    <w:p w:rsidR="00450ABE" w:rsidRDefault="00450ABE" w:rsidP="00450ABE">
      <w:pPr>
        <w:spacing w:line="560" w:lineRule="exact"/>
        <w:rPr>
          <w:szCs w:val="21"/>
        </w:rPr>
      </w:pPr>
      <w:r>
        <w:rPr>
          <w:noProof/>
          <w:szCs w:val="21"/>
        </w:rPr>
        <mc:AlternateContent>
          <mc:Choice Requires="wps">
            <w:drawing>
              <wp:anchor distT="0" distB="0" distL="114300" distR="114300" simplePos="0" relativeHeight="251738112" behindDoc="0" locked="0" layoutInCell="1" allowOverlap="1" wp14:anchorId="5031B635" wp14:editId="1E27F7DB">
                <wp:simplePos x="0" y="0"/>
                <wp:positionH relativeFrom="column">
                  <wp:posOffset>1297940</wp:posOffset>
                </wp:positionH>
                <wp:positionV relativeFrom="paragraph">
                  <wp:posOffset>210185</wp:posOffset>
                </wp:positionV>
                <wp:extent cx="2404110" cy="248920"/>
                <wp:effectExtent l="4445" t="5080" r="14605" b="5080"/>
                <wp:wrapNone/>
                <wp:docPr id="63" name="文本框 63"/>
                <wp:cNvGraphicFramePr/>
                <a:graphic xmlns:a="http://schemas.openxmlformats.org/drawingml/2006/main">
                  <a:graphicData uri="http://schemas.microsoft.com/office/word/2010/wordprocessingShape">
                    <wps:wsp>
                      <wps:cNvSpPr txBox="1"/>
                      <wps:spPr>
                        <a:xfrm>
                          <a:off x="0" y="0"/>
                          <a:ext cx="2404110" cy="2489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523" w:rsidRDefault="00702523" w:rsidP="00450ABE">
                            <w:pPr>
                              <w:spacing w:line="240" w:lineRule="atLeast"/>
                              <w:ind w:firstLineChars="50" w:firstLine="100"/>
                              <w:rPr>
                                <w:sz w:val="20"/>
                                <w:szCs w:val="20"/>
                              </w:rPr>
                            </w:pPr>
                            <w:r>
                              <w:rPr>
                                <w:rFonts w:hint="eastAsia"/>
                                <w:sz w:val="20"/>
                                <w:szCs w:val="20"/>
                              </w:rPr>
                              <w:t>工业</w:t>
                            </w:r>
                            <w:r>
                              <w:rPr>
                                <w:sz w:val="20"/>
                                <w:szCs w:val="20"/>
                              </w:rPr>
                              <w:t>给水</w:t>
                            </w:r>
                            <w:r>
                              <w:rPr>
                                <w:rFonts w:hint="eastAsia"/>
                                <w:sz w:val="20"/>
                                <w:szCs w:val="20"/>
                              </w:rPr>
                              <w:t>处理工艺的确定及设计计算</w:t>
                            </w:r>
                          </w:p>
                        </w:txbxContent>
                      </wps:txbx>
                      <wps:bodyPr upright="1"/>
                    </wps:wsp>
                  </a:graphicData>
                </a:graphic>
              </wp:anchor>
            </w:drawing>
          </mc:Choice>
          <mc:Fallback>
            <w:pict>
              <v:shape w14:anchorId="5031B635" id="文本框 63" o:spid="_x0000_s1071" type="#_x0000_t202" style="position:absolute;left:0;text-align:left;margin-left:102.2pt;margin-top:16.55pt;width:189.3pt;height:19.6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">
                <v:textbox>
                  <w:txbxContent>
                    <w:p w:rsidR="00702523" w:rsidRDefault="00702523" w:rsidP="00450ABE">
                      <w:pPr>
                        <w:spacing w:line="240" w:lineRule="atLeast"/>
                        <w:ind w:firstLineChars="50" w:firstLine="100"/>
                        <w:rPr>
                          <w:sz w:val="20"/>
                          <w:szCs w:val="20"/>
                        </w:rPr>
                      </w:pPr>
                      <w:r>
                        <w:rPr>
                          <w:rFonts w:hint="eastAsia"/>
                          <w:sz w:val="20"/>
                          <w:szCs w:val="20"/>
                        </w:rPr>
                        <w:t>工业</w:t>
                      </w:r>
                      <w:r>
                        <w:rPr>
                          <w:sz w:val="20"/>
                          <w:szCs w:val="20"/>
                        </w:rPr>
                        <w:t>给水</w:t>
                      </w:r>
                      <w:r>
                        <w:rPr>
                          <w:rFonts w:hint="eastAsia"/>
                          <w:sz w:val="20"/>
                          <w:szCs w:val="20"/>
                        </w:rPr>
                        <w:t>处理工艺的确定及设计计算</w:t>
                      </w:r>
                    </w:p>
                  </w:txbxContent>
                </v:textbox>
              </v:shape>
            </w:pict>
          </mc:Fallback>
        </mc:AlternateContent>
      </w:r>
    </w:p>
    <w:p w:rsidR="00450ABE" w:rsidRDefault="00450ABE" w:rsidP="00450ABE">
      <w:pPr>
        <w:spacing w:line="560" w:lineRule="exact"/>
        <w:outlineLvl w:val="0"/>
        <w:rPr>
          <w:rFonts w:ascii="仿宋_GB2312" w:hAnsi="仿宋_GB2312" w:cs="仿宋_GB2312"/>
          <w:sz w:val="28"/>
          <w:szCs w:val="28"/>
        </w:rPr>
      </w:pPr>
    </w:p>
    <w:p w:rsidR="00450ABE" w:rsidRDefault="00450ABE" w:rsidP="00450ABE">
      <w:pPr>
        <w:spacing w:line="560" w:lineRule="exact"/>
        <w:outlineLvl w:val="0"/>
        <w:rPr>
          <w:rFonts w:ascii="仿宋_GB2312" w:hAnsi="仿宋_GB2312" w:cs="仿宋_GB2312"/>
          <w:sz w:val="28"/>
          <w:szCs w:val="28"/>
        </w:rPr>
      </w:pPr>
      <w:r>
        <w:rPr>
          <w:rFonts w:ascii="仿宋_GB2312" w:hAnsi="仿宋_GB2312" w:cs="仿宋_GB2312"/>
          <w:sz w:val="28"/>
          <w:szCs w:val="28"/>
        </w:rPr>
        <w:t>（二）具体教学内容</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709"/>
        <w:gridCol w:w="2551"/>
        <w:gridCol w:w="4391"/>
      </w:tblGrid>
      <w:tr w:rsidR="00450ABE" w:rsidTr="008C3907">
        <w:trPr>
          <w:cantSplit/>
          <w:trHeight w:val="389"/>
        </w:trPr>
        <w:tc>
          <w:tcPr>
            <w:tcW w:w="534"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序号</w:t>
            </w:r>
          </w:p>
        </w:tc>
        <w:tc>
          <w:tcPr>
            <w:tcW w:w="1417"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章</w:t>
            </w:r>
            <w:r>
              <w:rPr>
                <w:rFonts w:ascii="Times New Roman" w:hAnsi="Times New Roman"/>
                <w:kern w:val="0"/>
                <w:sz w:val="20"/>
                <w:szCs w:val="20"/>
              </w:rPr>
              <w:t xml:space="preserve">  </w:t>
            </w:r>
            <w:r>
              <w:rPr>
                <w:rFonts w:ascii="Times New Roman" w:hAnsi="Times New Roman"/>
                <w:kern w:val="0"/>
                <w:sz w:val="20"/>
                <w:szCs w:val="20"/>
              </w:rPr>
              <w:t>节</w:t>
            </w:r>
          </w:p>
        </w:tc>
        <w:tc>
          <w:tcPr>
            <w:tcW w:w="709"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参考学时</w:t>
            </w:r>
          </w:p>
        </w:tc>
        <w:tc>
          <w:tcPr>
            <w:tcW w:w="2551" w:type="dxa"/>
            <w:vAlign w:val="center"/>
          </w:tcPr>
          <w:p w:rsidR="00450ABE" w:rsidRDefault="00450ABE" w:rsidP="008C3907">
            <w:pPr>
              <w:spacing w:line="360" w:lineRule="auto"/>
              <w:ind w:firstLineChars="450" w:firstLine="900"/>
              <w:jc w:val="left"/>
              <w:rPr>
                <w:rFonts w:ascii="Times New Roman" w:hAnsi="Times New Roman"/>
                <w:kern w:val="0"/>
                <w:sz w:val="20"/>
                <w:szCs w:val="20"/>
              </w:rPr>
            </w:pPr>
            <w:r>
              <w:rPr>
                <w:rFonts w:ascii="Times New Roman" w:hAnsi="Times New Roman"/>
                <w:kern w:val="0"/>
                <w:sz w:val="20"/>
                <w:szCs w:val="20"/>
              </w:rPr>
              <w:t>教学内容</w:t>
            </w:r>
          </w:p>
        </w:tc>
        <w:tc>
          <w:tcPr>
            <w:tcW w:w="4391"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基本要求</w:t>
            </w:r>
          </w:p>
        </w:tc>
      </w:tr>
      <w:tr w:rsidR="00450ABE" w:rsidTr="008C3907">
        <w:trPr>
          <w:cantSplit/>
          <w:trHeight w:val="990"/>
        </w:trPr>
        <w:tc>
          <w:tcPr>
            <w:tcW w:w="534"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1</w:t>
            </w:r>
          </w:p>
        </w:tc>
        <w:tc>
          <w:tcPr>
            <w:tcW w:w="1417"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第</w:t>
            </w:r>
            <w:r>
              <w:rPr>
                <w:rFonts w:ascii="Times New Roman" w:hAnsi="Times New Roman"/>
                <w:kern w:val="0"/>
                <w:sz w:val="20"/>
                <w:szCs w:val="20"/>
              </w:rPr>
              <w:t>19</w:t>
            </w:r>
            <w:r>
              <w:rPr>
                <w:rFonts w:ascii="Times New Roman" w:hAnsi="Times New Roman"/>
                <w:kern w:val="0"/>
                <w:sz w:val="20"/>
                <w:szCs w:val="20"/>
              </w:rPr>
              <w:t>章</w:t>
            </w:r>
            <w:r>
              <w:rPr>
                <w:rFonts w:ascii="Times New Roman" w:hAnsi="Times New Roman"/>
                <w:kern w:val="0"/>
                <w:sz w:val="20"/>
                <w:szCs w:val="20"/>
              </w:rPr>
              <w:t xml:space="preserve">   </w:t>
            </w:r>
          </w:p>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水的其他</w:t>
            </w:r>
          </w:p>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处理方法</w:t>
            </w:r>
          </w:p>
        </w:tc>
        <w:tc>
          <w:tcPr>
            <w:tcW w:w="709"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3</w:t>
            </w:r>
          </w:p>
        </w:tc>
        <w:tc>
          <w:tcPr>
            <w:tcW w:w="2551" w:type="dxa"/>
            <w:vAlign w:val="center"/>
          </w:tcPr>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19.1</w:t>
            </w:r>
            <w:r>
              <w:rPr>
                <w:rFonts w:ascii="Times New Roman" w:hAnsi="Times New Roman"/>
                <w:kern w:val="0"/>
                <w:sz w:val="20"/>
                <w:szCs w:val="20"/>
              </w:rPr>
              <w:t>地下水除铁除锰</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19.2</w:t>
            </w:r>
            <w:r>
              <w:rPr>
                <w:rFonts w:ascii="Times New Roman" w:hAnsi="Times New Roman"/>
                <w:kern w:val="0"/>
                <w:sz w:val="20"/>
                <w:szCs w:val="20"/>
              </w:rPr>
              <w:t>活性炭吸附</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19.3</w:t>
            </w:r>
            <w:r>
              <w:rPr>
                <w:rFonts w:ascii="Times New Roman" w:hAnsi="Times New Roman"/>
                <w:kern w:val="0"/>
                <w:sz w:val="20"/>
                <w:szCs w:val="20"/>
              </w:rPr>
              <w:t>水的除氟</w:t>
            </w:r>
          </w:p>
        </w:tc>
        <w:tc>
          <w:tcPr>
            <w:tcW w:w="4391" w:type="dxa"/>
            <w:vAlign w:val="center"/>
          </w:tcPr>
          <w:p w:rsidR="00450ABE" w:rsidRDefault="00450ABE" w:rsidP="008C3907">
            <w:pPr>
              <w:spacing w:line="360" w:lineRule="auto"/>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、了解溶解状态铁的存在形式，掌握除铁除锰方法；</w:t>
            </w:r>
          </w:p>
          <w:p w:rsidR="00450ABE" w:rsidRDefault="00450ABE" w:rsidP="005F6318">
            <w:pPr>
              <w:numPr>
                <w:ilvl w:val="0"/>
                <w:numId w:val="56"/>
              </w:numPr>
              <w:spacing w:line="360" w:lineRule="auto"/>
              <w:jc w:val="left"/>
              <w:rPr>
                <w:rFonts w:ascii="Times New Roman" w:hAnsi="Times New Roman"/>
                <w:kern w:val="0"/>
                <w:sz w:val="20"/>
                <w:szCs w:val="20"/>
              </w:rPr>
            </w:pPr>
            <w:r>
              <w:rPr>
                <w:rFonts w:ascii="Times New Roman" w:hAnsi="Times New Roman"/>
                <w:kern w:val="0"/>
                <w:sz w:val="20"/>
                <w:szCs w:val="20"/>
              </w:rPr>
              <w:t>了解活性炭池设计工艺；</w:t>
            </w:r>
          </w:p>
          <w:p w:rsidR="00450ABE" w:rsidRDefault="00450ABE" w:rsidP="005F6318">
            <w:pPr>
              <w:numPr>
                <w:ilvl w:val="0"/>
                <w:numId w:val="56"/>
              </w:numPr>
              <w:spacing w:line="360" w:lineRule="auto"/>
              <w:jc w:val="left"/>
              <w:rPr>
                <w:rFonts w:ascii="Times New Roman" w:hAnsi="Times New Roman"/>
                <w:kern w:val="0"/>
                <w:sz w:val="20"/>
                <w:szCs w:val="20"/>
              </w:rPr>
            </w:pPr>
            <w:r>
              <w:rPr>
                <w:rFonts w:ascii="Times New Roman" w:hAnsi="Times New Roman"/>
                <w:kern w:val="0"/>
                <w:sz w:val="20"/>
                <w:szCs w:val="20"/>
              </w:rPr>
              <w:t>掌握活性氧化铝法除氟。</w:t>
            </w:r>
          </w:p>
        </w:tc>
      </w:tr>
      <w:tr w:rsidR="00450ABE" w:rsidTr="008C3907">
        <w:trPr>
          <w:trHeight w:val="2430"/>
        </w:trPr>
        <w:tc>
          <w:tcPr>
            <w:tcW w:w="534"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lastRenderedPageBreak/>
              <w:t>2</w:t>
            </w:r>
          </w:p>
        </w:tc>
        <w:tc>
          <w:tcPr>
            <w:tcW w:w="1417"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第</w:t>
            </w:r>
            <w:r>
              <w:rPr>
                <w:rFonts w:ascii="Times New Roman" w:hAnsi="Times New Roman"/>
                <w:kern w:val="0"/>
                <w:sz w:val="20"/>
                <w:szCs w:val="20"/>
              </w:rPr>
              <w:t>21</w:t>
            </w:r>
            <w:r>
              <w:rPr>
                <w:rFonts w:ascii="Times New Roman" w:hAnsi="Times New Roman"/>
                <w:kern w:val="0"/>
                <w:sz w:val="20"/>
                <w:szCs w:val="20"/>
              </w:rPr>
              <w:t>章</w:t>
            </w:r>
            <w:r>
              <w:rPr>
                <w:rFonts w:ascii="Times New Roman" w:hAnsi="Times New Roman"/>
                <w:kern w:val="0"/>
                <w:sz w:val="20"/>
                <w:szCs w:val="20"/>
              </w:rPr>
              <w:t xml:space="preserve">   </w:t>
            </w:r>
          </w:p>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水的软化</w:t>
            </w:r>
          </w:p>
        </w:tc>
        <w:tc>
          <w:tcPr>
            <w:tcW w:w="709"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6</w:t>
            </w:r>
          </w:p>
        </w:tc>
        <w:tc>
          <w:tcPr>
            <w:tcW w:w="2551" w:type="dxa"/>
            <w:vAlign w:val="center"/>
          </w:tcPr>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 xml:space="preserve">21.1  </w:t>
            </w:r>
            <w:r>
              <w:rPr>
                <w:rFonts w:ascii="Times New Roman" w:hAnsi="Times New Roman"/>
                <w:kern w:val="0"/>
                <w:sz w:val="20"/>
                <w:szCs w:val="20"/>
              </w:rPr>
              <w:t>软化的目的与方法概述</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 xml:space="preserve">21.2  </w:t>
            </w:r>
            <w:r>
              <w:rPr>
                <w:rFonts w:ascii="Times New Roman" w:hAnsi="Times New Roman"/>
                <w:kern w:val="0"/>
                <w:sz w:val="20"/>
                <w:szCs w:val="20"/>
              </w:rPr>
              <w:t>水的药剂软化法</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 xml:space="preserve">21.3  </w:t>
            </w:r>
            <w:r>
              <w:rPr>
                <w:rFonts w:ascii="Times New Roman" w:hAnsi="Times New Roman"/>
                <w:kern w:val="0"/>
                <w:sz w:val="20"/>
                <w:szCs w:val="20"/>
              </w:rPr>
              <w:t>离子交换基本原理</w:t>
            </w:r>
          </w:p>
          <w:p w:rsidR="00450ABE" w:rsidRDefault="00450ABE" w:rsidP="008C3907">
            <w:pPr>
              <w:spacing w:line="360" w:lineRule="auto"/>
              <w:ind w:left="600" w:hangingChars="300" w:hanging="600"/>
              <w:jc w:val="left"/>
              <w:rPr>
                <w:rFonts w:ascii="Times New Roman" w:hAnsi="Times New Roman"/>
                <w:kern w:val="0"/>
                <w:sz w:val="20"/>
                <w:szCs w:val="20"/>
              </w:rPr>
            </w:pPr>
            <w:r>
              <w:rPr>
                <w:rFonts w:ascii="Times New Roman" w:hAnsi="Times New Roman"/>
                <w:kern w:val="0"/>
                <w:sz w:val="20"/>
                <w:szCs w:val="20"/>
              </w:rPr>
              <w:t xml:space="preserve">21.4  </w:t>
            </w:r>
            <w:r>
              <w:rPr>
                <w:rFonts w:ascii="Times New Roman" w:hAnsi="Times New Roman"/>
                <w:kern w:val="0"/>
                <w:sz w:val="20"/>
                <w:szCs w:val="20"/>
              </w:rPr>
              <w:t>离子交换软化方法与系统</w:t>
            </w:r>
          </w:p>
        </w:tc>
        <w:tc>
          <w:tcPr>
            <w:tcW w:w="4391" w:type="dxa"/>
            <w:vAlign w:val="center"/>
          </w:tcPr>
          <w:p w:rsidR="00450ABE" w:rsidRDefault="00450ABE" w:rsidP="008C3907">
            <w:pPr>
              <w:spacing w:line="360" w:lineRule="auto"/>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、掌握硬度单位、水中离子假想组合；</w:t>
            </w:r>
          </w:p>
          <w:p w:rsidR="00450ABE" w:rsidRDefault="00450ABE" w:rsidP="008C3907">
            <w:pPr>
              <w:spacing w:line="360" w:lineRule="auto"/>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、掌握药剂软化法的原理，药剂的选择；</w:t>
            </w:r>
          </w:p>
          <w:p w:rsidR="00450ABE" w:rsidRDefault="00450ABE" w:rsidP="008C3907">
            <w:pPr>
              <w:spacing w:line="360" w:lineRule="auto"/>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、掌握离子交换基本原理，了解离子交换树脂的基本性能，离子交换平衡，交换速度和交换过程；</w:t>
            </w:r>
          </w:p>
          <w:p w:rsidR="00450ABE" w:rsidRDefault="00450ABE" w:rsidP="008C3907">
            <w:pPr>
              <w:widowControl/>
              <w:spacing w:line="360" w:lineRule="auto"/>
              <w:jc w:val="left"/>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、了解离子交换软化方法和软化装置；</w:t>
            </w:r>
          </w:p>
          <w:p w:rsidR="00450ABE" w:rsidRDefault="00450ABE" w:rsidP="008C3907">
            <w:pPr>
              <w:widowControl/>
              <w:spacing w:line="360" w:lineRule="auto"/>
              <w:jc w:val="left"/>
              <w:rPr>
                <w:rFonts w:ascii="Times New Roman" w:hAnsi="Times New Roman"/>
                <w:kern w:val="0"/>
                <w:sz w:val="20"/>
                <w:szCs w:val="20"/>
              </w:rPr>
            </w:pPr>
            <w:r>
              <w:rPr>
                <w:rFonts w:ascii="Times New Roman" w:hAnsi="Times New Roman"/>
                <w:kern w:val="0"/>
                <w:sz w:val="20"/>
                <w:szCs w:val="20"/>
              </w:rPr>
              <w:t>5</w:t>
            </w:r>
            <w:r>
              <w:rPr>
                <w:rFonts w:ascii="Times New Roman" w:hAnsi="Times New Roman"/>
                <w:kern w:val="0"/>
                <w:sz w:val="20"/>
                <w:szCs w:val="20"/>
              </w:rPr>
              <w:t>、掌握氢离子交换出水的水质变化过程，了解如何选择离子交换系统；</w:t>
            </w:r>
          </w:p>
          <w:p w:rsidR="00450ABE" w:rsidRDefault="00450ABE" w:rsidP="008C3907">
            <w:pPr>
              <w:widowControl/>
              <w:spacing w:line="360" w:lineRule="auto"/>
              <w:jc w:val="left"/>
              <w:rPr>
                <w:rFonts w:ascii="Times New Roman" w:hAnsi="Times New Roman"/>
                <w:kern w:val="0"/>
                <w:sz w:val="20"/>
                <w:szCs w:val="20"/>
              </w:rPr>
            </w:pPr>
            <w:r>
              <w:rPr>
                <w:rFonts w:ascii="Times New Roman" w:hAnsi="Times New Roman"/>
                <w:kern w:val="0"/>
                <w:sz w:val="20"/>
                <w:szCs w:val="20"/>
              </w:rPr>
              <w:t>6</w:t>
            </w:r>
            <w:r>
              <w:rPr>
                <w:rFonts w:ascii="Times New Roman" w:hAnsi="Times New Roman"/>
                <w:kern w:val="0"/>
                <w:sz w:val="20"/>
                <w:szCs w:val="20"/>
              </w:rPr>
              <w:t>、</w:t>
            </w:r>
            <w:r>
              <w:rPr>
                <w:rFonts w:ascii="Times New Roman" w:hAnsi="Times New Roman"/>
                <w:kern w:val="0"/>
                <w:sz w:val="20"/>
                <w:szCs w:val="20"/>
              </w:rPr>
              <w:t xml:space="preserve"> </w:t>
            </w:r>
            <w:r>
              <w:rPr>
                <w:rFonts w:ascii="Times New Roman" w:hAnsi="Times New Roman"/>
                <w:kern w:val="0"/>
                <w:sz w:val="20"/>
                <w:szCs w:val="20"/>
              </w:rPr>
              <w:t>了解离子交换系统的再生方法，除二氧化碳器的原理。</w:t>
            </w:r>
            <w:r>
              <w:rPr>
                <w:rFonts w:ascii="Times New Roman" w:hAnsi="Times New Roman"/>
                <w:kern w:val="0"/>
                <w:sz w:val="20"/>
                <w:szCs w:val="20"/>
              </w:rPr>
              <w:t xml:space="preserve"> </w:t>
            </w:r>
          </w:p>
        </w:tc>
      </w:tr>
      <w:tr w:rsidR="00450ABE" w:rsidTr="008C3907">
        <w:trPr>
          <w:trHeight w:val="2203"/>
        </w:trPr>
        <w:tc>
          <w:tcPr>
            <w:tcW w:w="534" w:type="dxa"/>
            <w:vAlign w:val="center"/>
          </w:tcPr>
          <w:p w:rsidR="00450ABE" w:rsidRDefault="00450ABE" w:rsidP="008C3907">
            <w:pPr>
              <w:spacing w:line="360" w:lineRule="auto"/>
              <w:jc w:val="center"/>
              <w:rPr>
                <w:rFonts w:ascii="Times New Roman" w:hAnsi="Times New Roman"/>
                <w:kern w:val="0"/>
                <w:sz w:val="20"/>
                <w:szCs w:val="20"/>
              </w:rPr>
            </w:pPr>
          </w:p>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3</w:t>
            </w:r>
          </w:p>
        </w:tc>
        <w:tc>
          <w:tcPr>
            <w:tcW w:w="1417"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第</w:t>
            </w:r>
            <w:r>
              <w:rPr>
                <w:rFonts w:ascii="Times New Roman" w:hAnsi="Times New Roman"/>
                <w:kern w:val="0"/>
                <w:sz w:val="20"/>
                <w:szCs w:val="20"/>
              </w:rPr>
              <w:t>22</w:t>
            </w:r>
            <w:r>
              <w:rPr>
                <w:rFonts w:ascii="Times New Roman" w:hAnsi="Times New Roman"/>
                <w:kern w:val="0"/>
                <w:sz w:val="20"/>
                <w:szCs w:val="20"/>
              </w:rPr>
              <w:t>章</w:t>
            </w:r>
            <w:r>
              <w:rPr>
                <w:rFonts w:ascii="Times New Roman" w:hAnsi="Times New Roman"/>
                <w:kern w:val="0"/>
                <w:sz w:val="20"/>
                <w:szCs w:val="20"/>
              </w:rPr>
              <w:t xml:space="preserve">   </w:t>
            </w:r>
          </w:p>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水的除盐与咸水淡化</w:t>
            </w:r>
          </w:p>
        </w:tc>
        <w:tc>
          <w:tcPr>
            <w:tcW w:w="709"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6</w:t>
            </w:r>
          </w:p>
        </w:tc>
        <w:tc>
          <w:tcPr>
            <w:tcW w:w="2551" w:type="dxa"/>
            <w:vAlign w:val="center"/>
          </w:tcPr>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 xml:space="preserve">15.1 </w:t>
            </w:r>
            <w:r>
              <w:rPr>
                <w:rFonts w:ascii="Times New Roman" w:hAnsi="Times New Roman"/>
                <w:kern w:val="0"/>
                <w:sz w:val="20"/>
                <w:szCs w:val="20"/>
              </w:rPr>
              <w:t>概述</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 xml:space="preserve">15.2 </w:t>
            </w:r>
            <w:r>
              <w:rPr>
                <w:rFonts w:ascii="Times New Roman" w:hAnsi="Times New Roman"/>
                <w:kern w:val="0"/>
                <w:sz w:val="20"/>
                <w:szCs w:val="20"/>
              </w:rPr>
              <w:t>离子交换除盐方法与系统</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 xml:space="preserve">15.3 </w:t>
            </w:r>
            <w:r>
              <w:rPr>
                <w:rFonts w:ascii="Times New Roman" w:hAnsi="Times New Roman"/>
                <w:kern w:val="0"/>
                <w:sz w:val="20"/>
                <w:szCs w:val="20"/>
              </w:rPr>
              <w:t>电渗析法</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 xml:space="preserve">15.4 </w:t>
            </w:r>
            <w:r>
              <w:rPr>
                <w:rFonts w:ascii="Times New Roman" w:hAnsi="Times New Roman"/>
                <w:kern w:val="0"/>
                <w:sz w:val="20"/>
                <w:szCs w:val="20"/>
              </w:rPr>
              <w:t>反渗透与超滤</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 xml:space="preserve">15.5 </w:t>
            </w:r>
            <w:r>
              <w:rPr>
                <w:rFonts w:ascii="Times New Roman" w:hAnsi="Times New Roman"/>
                <w:kern w:val="0"/>
                <w:sz w:val="20"/>
                <w:szCs w:val="20"/>
              </w:rPr>
              <w:t>蒸馏法</w:t>
            </w:r>
          </w:p>
        </w:tc>
        <w:tc>
          <w:tcPr>
            <w:tcW w:w="4391" w:type="dxa"/>
            <w:vAlign w:val="center"/>
          </w:tcPr>
          <w:p w:rsidR="00450ABE" w:rsidRDefault="00450ABE" w:rsidP="008C3907">
            <w:pPr>
              <w:spacing w:line="360" w:lineRule="auto"/>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、掌握阴离子交换树脂的工艺特性；</w:t>
            </w:r>
          </w:p>
          <w:p w:rsidR="00450ABE" w:rsidRDefault="00450ABE" w:rsidP="008C3907">
            <w:pPr>
              <w:spacing w:line="360" w:lineRule="auto"/>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、了解不同离子交换除盐装置的原理与特点；</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、掌握电渗析法的原理，了解电渗析器的构造、组装及设计；</w:t>
            </w:r>
          </w:p>
          <w:p w:rsidR="00450ABE" w:rsidRDefault="00450ABE" w:rsidP="008C3907">
            <w:pPr>
              <w:spacing w:line="360" w:lineRule="auto"/>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、掌握不同膜处理方法的工作原理及特点；</w:t>
            </w:r>
          </w:p>
          <w:p w:rsidR="00450ABE" w:rsidRDefault="00450ABE" w:rsidP="008C3907">
            <w:pPr>
              <w:spacing w:line="360" w:lineRule="auto"/>
              <w:rPr>
                <w:rFonts w:ascii="Times New Roman" w:hAnsi="Times New Roman"/>
                <w:kern w:val="0"/>
                <w:sz w:val="20"/>
                <w:szCs w:val="20"/>
              </w:rPr>
            </w:pPr>
            <w:r>
              <w:rPr>
                <w:rFonts w:ascii="Times New Roman" w:hAnsi="Times New Roman"/>
                <w:kern w:val="0"/>
                <w:sz w:val="20"/>
                <w:szCs w:val="20"/>
              </w:rPr>
              <w:t>5</w:t>
            </w:r>
            <w:r>
              <w:rPr>
                <w:rFonts w:ascii="Times New Roman" w:hAnsi="Times New Roman"/>
                <w:kern w:val="0"/>
                <w:sz w:val="20"/>
                <w:szCs w:val="20"/>
              </w:rPr>
              <w:t>、了解蒸馏法的基本原理。</w:t>
            </w:r>
          </w:p>
        </w:tc>
      </w:tr>
      <w:tr w:rsidR="00450ABE" w:rsidTr="008C3907">
        <w:trPr>
          <w:trHeight w:val="274"/>
        </w:trPr>
        <w:tc>
          <w:tcPr>
            <w:tcW w:w="534"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4</w:t>
            </w:r>
          </w:p>
        </w:tc>
        <w:tc>
          <w:tcPr>
            <w:tcW w:w="1417"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第</w:t>
            </w:r>
            <w:r>
              <w:rPr>
                <w:rFonts w:ascii="Times New Roman" w:hAnsi="Times New Roman"/>
                <w:kern w:val="0"/>
                <w:sz w:val="20"/>
                <w:szCs w:val="20"/>
              </w:rPr>
              <w:t>23</w:t>
            </w:r>
            <w:r>
              <w:rPr>
                <w:rFonts w:ascii="Times New Roman" w:hAnsi="Times New Roman"/>
                <w:kern w:val="0"/>
                <w:sz w:val="20"/>
                <w:szCs w:val="20"/>
              </w:rPr>
              <w:t>章</w:t>
            </w:r>
          </w:p>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水的冷却</w:t>
            </w:r>
          </w:p>
        </w:tc>
        <w:tc>
          <w:tcPr>
            <w:tcW w:w="709"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7</w:t>
            </w:r>
          </w:p>
        </w:tc>
        <w:tc>
          <w:tcPr>
            <w:tcW w:w="2551" w:type="dxa"/>
            <w:vAlign w:val="center"/>
          </w:tcPr>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23.1</w:t>
            </w:r>
            <w:r>
              <w:rPr>
                <w:rFonts w:ascii="Times New Roman" w:hAnsi="Times New Roman"/>
                <w:kern w:val="0"/>
                <w:sz w:val="20"/>
                <w:szCs w:val="20"/>
              </w:rPr>
              <w:t>冷却构筑物类型</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23.2</w:t>
            </w:r>
            <w:r>
              <w:rPr>
                <w:rFonts w:ascii="Times New Roman" w:hAnsi="Times New Roman"/>
                <w:kern w:val="0"/>
                <w:sz w:val="20"/>
                <w:szCs w:val="20"/>
              </w:rPr>
              <w:t>冷却塔的工艺构造</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23.3</w:t>
            </w:r>
            <w:r>
              <w:rPr>
                <w:rFonts w:ascii="Times New Roman" w:hAnsi="Times New Roman"/>
                <w:kern w:val="0"/>
                <w:sz w:val="20"/>
                <w:szCs w:val="20"/>
              </w:rPr>
              <w:t>水冷却的理论基础</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23.4</w:t>
            </w:r>
            <w:r>
              <w:rPr>
                <w:rFonts w:ascii="Times New Roman" w:hAnsi="Times New Roman"/>
                <w:kern w:val="0"/>
                <w:sz w:val="20"/>
                <w:szCs w:val="20"/>
              </w:rPr>
              <w:t>冷却塔的热力计算基本方程</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23.5</w:t>
            </w:r>
            <w:r>
              <w:rPr>
                <w:rFonts w:ascii="Times New Roman" w:hAnsi="Times New Roman"/>
                <w:kern w:val="0"/>
                <w:sz w:val="20"/>
                <w:szCs w:val="20"/>
              </w:rPr>
              <w:t>冷却塔的设计与计算</w:t>
            </w:r>
          </w:p>
        </w:tc>
        <w:tc>
          <w:tcPr>
            <w:tcW w:w="4391" w:type="dxa"/>
            <w:vAlign w:val="center"/>
          </w:tcPr>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、了解冷却构筑物类型，重点掌握湿式冷却塔；</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、了解冷却塔的组成部分及其作用，熟悉冷却塔的配水系统、淋水填料、通风及空气分配装置、其它装置（除水器、集水池、塔体）等；</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、掌握湿空气的性质</w:t>
            </w:r>
            <w:r>
              <w:rPr>
                <w:rFonts w:ascii="Times New Roman" w:hAnsi="Times New Roman" w:hint="eastAsia"/>
                <w:kern w:val="0"/>
                <w:sz w:val="20"/>
                <w:szCs w:val="20"/>
              </w:rPr>
              <w:t>，</w:t>
            </w:r>
            <w:r>
              <w:rPr>
                <w:rFonts w:ascii="Times New Roman" w:hAnsi="Times New Roman"/>
                <w:kern w:val="0"/>
                <w:sz w:val="20"/>
                <w:szCs w:val="20"/>
              </w:rPr>
              <w:t>接触传热量和蒸发传热量</w:t>
            </w:r>
            <w:r>
              <w:rPr>
                <w:rFonts w:ascii="Times New Roman" w:hAnsi="Times New Roman" w:hint="eastAsia"/>
                <w:kern w:val="0"/>
                <w:sz w:val="20"/>
                <w:szCs w:val="20"/>
              </w:rPr>
              <w:t>计算</w:t>
            </w:r>
            <w:r>
              <w:rPr>
                <w:rFonts w:ascii="Times New Roman" w:hAnsi="Times New Roman"/>
                <w:kern w:val="0"/>
                <w:sz w:val="20"/>
                <w:szCs w:val="20"/>
              </w:rPr>
              <w:t>；</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、掌握麦克尔（</w:t>
            </w:r>
            <w:r>
              <w:rPr>
                <w:rFonts w:ascii="Times New Roman" w:hAnsi="Times New Roman"/>
                <w:kern w:val="0"/>
                <w:sz w:val="20"/>
                <w:szCs w:val="20"/>
              </w:rPr>
              <w:t>Merkel</w:t>
            </w:r>
            <w:r>
              <w:rPr>
                <w:rFonts w:ascii="Times New Roman" w:hAnsi="Times New Roman"/>
                <w:kern w:val="0"/>
                <w:sz w:val="20"/>
                <w:szCs w:val="20"/>
              </w:rPr>
              <w:t>）焓差方程、冷却塔热力计算基本方程，掌握逆流冷却塔热力计算，理解冷却数与特性数的物理意义；</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5</w:t>
            </w:r>
            <w:r>
              <w:rPr>
                <w:rFonts w:ascii="Times New Roman" w:hAnsi="Times New Roman"/>
                <w:kern w:val="0"/>
                <w:sz w:val="20"/>
                <w:szCs w:val="20"/>
              </w:rPr>
              <w:t>、掌握冷却塔的设计与计算。</w:t>
            </w:r>
          </w:p>
        </w:tc>
      </w:tr>
      <w:tr w:rsidR="00450ABE" w:rsidTr="008C3907">
        <w:trPr>
          <w:trHeight w:val="1204"/>
        </w:trPr>
        <w:tc>
          <w:tcPr>
            <w:tcW w:w="534"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5</w:t>
            </w:r>
          </w:p>
        </w:tc>
        <w:tc>
          <w:tcPr>
            <w:tcW w:w="1417"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第</w:t>
            </w:r>
            <w:r>
              <w:rPr>
                <w:rFonts w:ascii="Times New Roman" w:hAnsi="Times New Roman"/>
                <w:kern w:val="0"/>
                <w:sz w:val="20"/>
                <w:szCs w:val="20"/>
              </w:rPr>
              <w:t>24</w:t>
            </w:r>
            <w:r>
              <w:rPr>
                <w:rFonts w:ascii="Times New Roman" w:hAnsi="Times New Roman"/>
                <w:kern w:val="0"/>
                <w:sz w:val="20"/>
                <w:szCs w:val="20"/>
              </w:rPr>
              <w:t>章</w:t>
            </w:r>
            <w:r>
              <w:rPr>
                <w:rFonts w:ascii="Times New Roman" w:hAnsi="Times New Roman"/>
                <w:kern w:val="0"/>
                <w:sz w:val="20"/>
                <w:szCs w:val="20"/>
              </w:rPr>
              <w:t xml:space="preserve">   </w:t>
            </w:r>
          </w:p>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循环冷却水水质处理</w:t>
            </w:r>
          </w:p>
        </w:tc>
        <w:tc>
          <w:tcPr>
            <w:tcW w:w="709" w:type="dxa"/>
            <w:vAlign w:val="center"/>
          </w:tcPr>
          <w:p w:rsidR="00450ABE" w:rsidRDefault="00450ABE" w:rsidP="008C3907">
            <w:pPr>
              <w:spacing w:line="360" w:lineRule="auto"/>
              <w:jc w:val="center"/>
              <w:rPr>
                <w:rFonts w:ascii="Times New Roman" w:hAnsi="Times New Roman"/>
                <w:kern w:val="0"/>
                <w:sz w:val="20"/>
                <w:szCs w:val="20"/>
              </w:rPr>
            </w:pPr>
            <w:r>
              <w:rPr>
                <w:rFonts w:ascii="Times New Roman" w:hAnsi="Times New Roman"/>
                <w:kern w:val="0"/>
                <w:sz w:val="20"/>
                <w:szCs w:val="20"/>
              </w:rPr>
              <w:t>2</w:t>
            </w:r>
          </w:p>
        </w:tc>
        <w:tc>
          <w:tcPr>
            <w:tcW w:w="2551" w:type="dxa"/>
            <w:vAlign w:val="center"/>
          </w:tcPr>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24.1</w:t>
            </w:r>
            <w:r>
              <w:rPr>
                <w:rFonts w:ascii="Times New Roman" w:hAnsi="Times New Roman"/>
                <w:kern w:val="0"/>
                <w:sz w:val="20"/>
                <w:szCs w:val="20"/>
              </w:rPr>
              <w:t>循环冷却水水质特点和处理要求</w:t>
            </w:r>
          </w:p>
          <w:p w:rsidR="00450ABE" w:rsidRDefault="00450ABE" w:rsidP="008C3907">
            <w:pPr>
              <w:spacing w:line="360" w:lineRule="auto"/>
              <w:jc w:val="left"/>
              <w:rPr>
                <w:rFonts w:ascii="Times New Roman" w:hAnsi="Times New Roman"/>
                <w:kern w:val="0"/>
                <w:sz w:val="20"/>
                <w:szCs w:val="20"/>
              </w:rPr>
            </w:pPr>
            <w:r>
              <w:rPr>
                <w:rFonts w:ascii="Times New Roman" w:hAnsi="Times New Roman"/>
                <w:kern w:val="0"/>
                <w:sz w:val="20"/>
                <w:szCs w:val="20"/>
              </w:rPr>
              <w:t>24.2</w:t>
            </w:r>
            <w:r>
              <w:rPr>
                <w:rFonts w:ascii="Times New Roman" w:hAnsi="Times New Roman"/>
                <w:kern w:val="0"/>
                <w:sz w:val="20"/>
                <w:szCs w:val="20"/>
              </w:rPr>
              <w:t>循环冷却水处理</w:t>
            </w:r>
          </w:p>
        </w:tc>
        <w:tc>
          <w:tcPr>
            <w:tcW w:w="4391" w:type="dxa"/>
            <w:vAlign w:val="center"/>
          </w:tcPr>
          <w:p w:rsidR="00450ABE" w:rsidRDefault="00450ABE" w:rsidP="008C3907">
            <w:pPr>
              <w:spacing w:line="360" w:lineRule="auto"/>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、了解循环冷却水水质特点和处理要求，</w:t>
            </w:r>
          </w:p>
          <w:p w:rsidR="00450ABE" w:rsidRDefault="00450ABE" w:rsidP="008C3907">
            <w:pPr>
              <w:snapToGrid w:val="0"/>
              <w:spacing w:line="360" w:lineRule="auto"/>
              <w:jc w:val="left"/>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、掌握循环冷却水系统的腐蚀控制、沉积物控制和微生物控制等。</w:t>
            </w:r>
          </w:p>
        </w:tc>
      </w:tr>
    </w:tbl>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五、课程考核方式与成绩评定</w:t>
      </w:r>
    </w:p>
    <w:p w:rsidR="00450ABE" w:rsidRDefault="00450ABE" w:rsidP="00450ABE">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450ABE" w:rsidRDefault="00450ABE" w:rsidP="00450ABE">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本课程考核方式</w:t>
      </w:r>
      <w:r>
        <w:rPr>
          <w:rFonts w:ascii="仿宋_GB2312" w:hAnsi="仿宋_GB2312" w:cs="仿宋_GB2312"/>
          <w:sz w:val="28"/>
          <w:szCs w:val="28"/>
        </w:rPr>
        <w:t>为考查</w:t>
      </w:r>
      <w:r>
        <w:rPr>
          <w:rFonts w:ascii="仿宋_GB2312" w:hAnsi="仿宋_GB2312" w:cs="仿宋_GB2312" w:hint="eastAsia"/>
          <w:sz w:val="28"/>
          <w:szCs w:val="28"/>
        </w:rPr>
        <w:t>。</w:t>
      </w:r>
    </w:p>
    <w:p w:rsidR="00450ABE" w:rsidRDefault="00450ABE" w:rsidP="005F6318">
      <w:pPr>
        <w:numPr>
          <w:ilvl w:val="0"/>
          <w:numId w:val="2"/>
        </w:num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450ABE" w:rsidRDefault="00450ABE" w:rsidP="00450ABE">
      <w:pPr>
        <w:spacing w:line="560" w:lineRule="exact"/>
        <w:ind w:left="560"/>
        <w:rPr>
          <w:rFonts w:ascii="仿宋_GB2312" w:hAnsi="仿宋_GB2312" w:cs="仿宋_GB2312"/>
          <w:sz w:val="28"/>
          <w:szCs w:val="28"/>
        </w:rPr>
      </w:pPr>
      <w:r>
        <w:rPr>
          <w:rFonts w:ascii="仿宋_GB2312" w:hAnsi="仿宋_GB2312" w:cs="仿宋_GB2312" w:hint="eastAsia"/>
          <w:sz w:val="28"/>
          <w:szCs w:val="28"/>
        </w:rPr>
        <w:t>成绩评定方式</w:t>
      </w:r>
      <w:r>
        <w:rPr>
          <w:rFonts w:ascii="仿宋_GB2312" w:hAnsi="仿宋_GB2312" w:cs="仿宋_GB2312"/>
          <w:sz w:val="28"/>
          <w:szCs w:val="28"/>
        </w:rPr>
        <w:t>采用百分</w:t>
      </w:r>
      <w:r>
        <w:rPr>
          <w:rFonts w:ascii="仿宋_GB2312" w:hAnsi="仿宋_GB2312" w:cs="仿宋_GB2312" w:hint="eastAsia"/>
          <w:sz w:val="28"/>
          <w:szCs w:val="28"/>
        </w:rPr>
        <w:t>制</w:t>
      </w:r>
      <w:r>
        <w:rPr>
          <w:rFonts w:ascii="仿宋_GB2312" w:hAnsi="仿宋_GB2312" w:cs="仿宋_GB2312"/>
          <w:sz w:val="28"/>
          <w:szCs w:val="28"/>
        </w:rPr>
        <w:t>。</w:t>
      </w:r>
    </w:p>
    <w:p w:rsidR="00450ABE" w:rsidRDefault="00450ABE" w:rsidP="00450ABE">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本课程不设课外学时，针对难点和重点，通过每章节布置一定数量思考题和习题对</w:t>
      </w:r>
      <w:r>
        <w:rPr>
          <w:rFonts w:ascii="仿宋_GB2312" w:eastAsia="仿宋_GB2312" w:hAnsi="仿宋_GB2312" w:cs="仿宋_GB2312"/>
          <w:sz w:val="28"/>
          <w:szCs w:val="28"/>
        </w:rPr>
        <w:t>学生进行</w:t>
      </w:r>
      <w:r>
        <w:rPr>
          <w:rFonts w:ascii="仿宋_GB2312" w:eastAsia="仿宋_GB2312" w:hAnsi="仿宋_GB2312" w:cs="仿宋_GB2312" w:hint="eastAsia"/>
          <w:sz w:val="28"/>
          <w:szCs w:val="28"/>
        </w:rPr>
        <w:t>训练，使学生加深对所学知识的理解和掌握。</w:t>
      </w:r>
      <w:r>
        <w:rPr>
          <w:rFonts w:ascii="仿宋_GB2312" w:eastAsia="仿宋_GB2312" w:hAnsi="仿宋_GB2312" w:cs="仿宋_GB2312"/>
          <w:sz w:val="28"/>
          <w:szCs w:val="28"/>
        </w:rPr>
        <w:t>采用期末成绩</w:t>
      </w:r>
      <w:r>
        <w:rPr>
          <w:rFonts w:ascii="仿宋_GB2312" w:eastAsia="仿宋_GB2312" w:hAnsi="仿宋_GB2312" w:cs="仿宋_GB2312" w:hint="eastAsia"/>
          <w:sz w:val="28"/>
          <w:szCs w:val="28"/>
        </w:rPr>
        <w:t>+平时</w:t>
      </w:r>
      <w:r>
        <w:rPr>
          <w:rFonts w:ascii="仿宋_GB2312" w:eastAsia="仿宋_GB2312" w:hAnsi="仿宋_GB2312" w:cs="仿宋_GB2312"/>
          <w:sz w:val="28"/>
          <w:szCs w:val="28"/>
        </w:rPr>
        <w:t>成绩确定课程总成绩，</w:t>
      </w:r>
      <w:r>
        <w:rPr>
          <w:rFonts w:ascii="仿宋_GB2312" w:eastAsia="仿宋_GB2312" w:hAnsi="仿宋_GB2312" w:cs="仿宋_GB2312" w:hint="eastAsia"/>
          <w:sz w:val="28"/>
          <w:szCs w:val="28"/>
        </w:rPr>
        <w:t>其中平时成绩主要包括考勤、作业和讨论等环节，期末考试采取考试方式。期末考试成绩占8</w:t>
      </w:r>
      <w:r>
        <w:rPr>
          <w:rFonts w:ascii="仿宋_GB2312" w:eastAsia="仿宋_GB2312" w:hAnsi="仿宋_GB2312" w:cs="仿宋_GB2312"/>
          <w:sz w:val="28"/>
          <w:szCs w:val="28"/>
        </w:rPr>
        <w:t>0</w:t>
      </w:r>
      <w:r>
        <w:rPr>
          <w:rFonts w:ascii="仿宋_GB2312" w:eastAsia="仿宋_GB2312" w:hAnsi="仿宋_GB2312" w:cs="仿宋_GB2312" w:hint="eastAsia"/>
          <w:sz w:val="28"/>
          <w:szCs w:val="28"/>
        </w:rPr>
        <w:t>%</w:t>
      </w:r>
      <w:r>
        <w:rPr>
          <w:rFonts w:ascii="仿宋" w:eastAsia="仿宋" w:hAnsi="仿宋" w:cs="仿宋_GB2312" w:hint="eastAsia"/>
          <w:sz w:val="28"/>
          <w:szCs w:val="28"/>
        </w:rPr>
        <w:t>～</w:t>
      </w:r>
      <w:r>
        <w:rPr>
          <w:rFonts w:ascii="仿宋_GB2312" w:eastAsia="仿宋_GB2312" w:hAnsi="仿宋_GB2312" w:cs="仿宋_GB2312" w:hint="eastAsia"/>
          <w:sz w:val="28"/>
          <w:szCs w:val="28"/>
        </w:rPr>
        <w:t>70%，平时成绩占20%</w:t>
      </w:r>
      <w:r>
        <w:rPr>
          <w:rFonts w:ascii="仿宋" w:eastAsia="仿宋" w:hAnsi="仿宋" w:cs="仿宋_GB2312" w:hint="eastAsia"/>
          <w:sz w:val="28"/>
          <w:szCs w:val="28"/>
        </w:rPr>
        <w:t>～</w:t>
      </w:r>
      <w:r>
        <w:rPr>
          <w:rFonts w:ascii="仿宋_GB2312" w:eastAsia="仿宋_GB2312" w:hAnsi="仿宋_GB2312" w:cs="仿宋_GB2312"/>
          <w:sz w:val="28"/>
          <w:szCs w:val="28"/>
        </w:rPr>
        <w:t>30%</w:t>
      </w:r>
      <w:r>
        <w:rPr>
          <w:rFonts w:ascii="仿宋_GB2312" w:eastAsia="仿宋_GB2312" w:hAnsi="仿宋_GB2312" w:cs="仿宋_GB2312" w:hint="eastAsia"/>
          <w:sz w:val="28"/>
          <w:szCs w:val="28"/>
        </w:rPr>
        <w:t>。</w:t>
      </w:r>
    </w:p>
    <w:p w:rsidR="00450ABE" w:rsidRDefault="00450ABE" w:rsidP="00450ABE">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sz w:val="28"/>
          <w:szCs w:val="28"/>
        </w:rPr>
        <w:t>课程总成绩=期末成绩（</w:t>
      </w:r>
      <w:r>
        <w:rPr>
          <w:rFonts w:ascii="仿宋_GB2312" w:eastAsia="仿宋_GB2312" w:hAnsi="仿宋_GB2312" w:cs="仿宋_GB2312" w:hint="eastAsia"/>
          <w:sz w:val="28"/>
          <w:szCs w:val="28"/>
        </w:rPr>
        <w:t>8</w:t>
      </w:r>
      <w:r>
        <w:rPr>
          <w:rFonts w:ascii="仿宋_GB2312" w:eastAsia="仿宋_GB2312" w:hAnsi="仿宋_GB2312" w:cs="仿宋_GB2312"/>
          <w:sz w:val="28"/>
          <w:szCs w:val="28"/>
        </w:rPr>
        <w:t>0</w:t>
      </w:r>
      <w:r>
        <w:rPr>
          <w:rFonts w:ascii="仿宋" w:eastAsia="仿宋" w:hAnsi="仿宋" w:cs="仿宋_GB2312" w:hint="eastAsia"/>
          <w:sz w:val="28"/>
          <w:szCs w:val="28"/>
        </w:rPr>
        <w:t>～</w:t>
      </w:r>
      <w:r>
        <w:rPr>
          <w:rFonts w:ascii="仿宋_GB2312" w:eastAsia="仿宋_GB2312" w:hAnsi="仿宋_GB2312" w:cs="仿宋_GB2312" w:hint="eastAsia"/>
          <w:sz w:val="28"/>
          <w:szCs w:val="28"/>
        </w:rPr>
        <w:t>70</w:t>
      </w:r>
      <w:r>
        <w:rPr>
          <w:rFonts w:ascii="仿宋_GB2312" w:eastAsia="仿宋_GB2312" w:hAnsi="仿宋_GB2312" w:cs="仿宋_GB2312"/>
          <w:sz w:val="28"/>
          <w:szCs w:val="28"/>
        </w:rPr>
        <w:t>）% + 平时成绩（</w:t>
      </w:r>
      <w:r>
        <w:rPr>
          <w:rFonts w:ascii="仿宋_GB2312" w:eastAsia="仿宋_GB2312" w:hAnsi="仿宋_GB2312" w:cs="仿宋_GB2312" w:hint="eastAsia"/>
          <w:sz w:val="28"/>
          <w:szCs w:val="28"/>
        </w:rPr>
        <w:t>20</w:t>
      </w:r>
      <w:r>
        <w:rPr>
          <w:rFonts w:ascii="仿宋" w:eastAsia="仿宋" w:hAnsi="仿宋" w:cs="仿宋_GB2312" w:hint="eastAsia"/>
          <w:sz w:val="28"/>
          <w:szCs w:val="28"/>
        </w:rPr>
        <w:t>～</w:t>
      </w:r>
      <w:r>
        <w:rPr>
          <w:rFonts w:ascii="仿宋_GB2312" w:eastAsia="仿宋_GB2312" w:hAnsi="仿宋_GB2312" w:cs="仿宋_GB2312"/>
          <w:sz w:val="28"/>
          <w:szCs w:val="28"/>
        </w:rPr>
        <w:t>30）</w:t>
      </w:r>
      <w:r>
        <w:rPr>
          <w:rFonts w:ascii="仿宋_GB2312" w:eastAsia="仿宋_GB2312" w:hAnsi="仿宋_GB2312" w:cs="仿宋_GB2312" w:hint="eastAsia"/>
          <w:sz w:val="28"/>
          <w:szCs w:val="28"/>
        </w:rPr>
        <w:t>%</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450ABE" w:rsidRDefault="00450ABE" w:rsidP="00450ABE">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450ABE" w:rsidRDefault="00450ABE" w:rsidP="00450ABE">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sz w:val="28"/>
          <w:szCs w:val="28"/>
        </w:rPr>
        <w:t>严煦世、范瑾初主编，《给水工程》(第四版)，</w:t>
      </w:r>
      <w:r>
        <w:rPr>
          <w:rFonts w:ascii="仿宋_GB2312" w:eastAsia="仿宋_GB2312" w:hAnsi="仿宋_GB2312" w:cs="仿宋_GB2312" w:hint="eastAsia"/>
          <w:sz w:val="28"/>
          <w:szCs w:val="28"/>
        </w:rPr>
        <w:t>北京：</w:t>
      </w:r>
      <w:r>
        <w:rPr>
          <w:rFonts w:ascii="仿宋_GB2312" w:eastAsia="仿宋_GB2312" w:hAnsi="仿宋_GB2312" w:cs="仿宋_GB2312"/>
          <w:sz w:val="28"/>
          <w:szCs w:val="28"/>
        </w:rPr>
        <w:t>中国建筑工业出版社，1999年12月。</w:t>
      </w:r>
    </w:p>
    <w:p w:rsidR="00450ABE" w:rsidRDefault="00450ABE" w:rsidP="00450ABE">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450ABE" w:rsidRDefault="00450ABE" w:rsidP="00450ABE">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sz w:val="28"/>
          <w:szCs w:val="28"/>
        </w:rPr>
        <w:t>（1）李圭白，张杰，《水质工程学》，</w:t>
      </w:r>
      <w:r>
        <w:rPr>
          <w:rFonts w:ascii="仿宋_GB2312" w:eastAsia="仿宋_GB2312" w:hAnsi="仿宋_GB2312" w:cs="仿宋_GB2312" w:hint="eastAsia"/>
          <w:sz w:val="28"/>
          <w:szCs w:val="28"/>
        </w:rPr>
        <w:t>北京：</w:t>
      </w:r>
      <w:r>
        <w:rPr>
          <w:rFonts w:ascii="仿宋_GB2312" w:eastAsia="仿宋_GB2312" w:hAnsi="仿宋_GB2312" w:cs="仿宋_GB2312"/>
          <w:sz w:val="28"/>
          <w:szCs w:val="28"/>
        </w:rPr>
        <w:t>中国建筑工业出版社，2013年3月；</w:t>
      </w:r>
    </w:p>
    <w:p w:rsidR="00450ABE" w:rsidRDefault="00450ABE" w:rsidP="00450ABE">
      <w:pPr>
        <w:pStyle w:val="a3"/>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上海</w:t>
      </w:r>
      <w:r>
        <w:rPr>
          <w:rFonts w:ascii="仿宋_GB2312" w:eastAsia="仿宋_GB2312" w:hAnsi="仿宋_GB2312" w:cs="仿宋_GB2312"/>
          <w:sz w:val="28"/>
          <w:szCs w:val="28"/>
        </w:rPr>
        <w:t>市政工程设计研究院</w:t>
      </w:r>
      <w:r>
        <w:rPr>
          <w:rFonts w:ascii="仿宋_GB2312" w:eastAsia="仿宋_GB2312" w:hAnsi="仿宋_GB2312" w:cs="仿宋_GB2312" w:hint="eastAsia"/>
          <w:sz w:val="28"/>
          <w:szCs w:val="28"/>
        </w:rPr>
        <w:t>主编，</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给水</w:t>
      </w:r>
      <w:r>
        <w:rPr>
          <w:rFonts w:ascii="仿宋_GB2312" w:eastAsia="仿宋_GB2312" w:hAnsi="仿宋_GB2312" w:cs="仿宋_GB2312"/>
          <w:sz w:val="28"/>
          <w:szCs w:val="28"/>
        </w:rPr>
        <w:t>排水设计手册</w:t>
      </w:r>
      <w:r>
        <w:rPr>
          <w:rFonts w:ascii="仿宋_GB2312" w:eastAsia="仿宋_GB2312" w:hAnsi="仿宋_GB2312" w:cs="仿宋_GB2312" w:hint="eastAsia"/>
          <w:sz w:val="28"/>
          <w:szCs w:val="28"/>
        </w:rPr>
        <w:t>-第04册 工业</w:t>
      </w:r>
      <w:r>
        <w:rPr>
          <w:rFonts w:ascii="仿宋_GB2312" w:eastAsia="仿宋_GB2312" w:hAnsi="仿宋_GB2312" w:cs="仿宋_GB2312"/>
          <w:sz w:val="28"/>
          <w:szCs w:val="28"/>
        </w:rPr>
        <w:t>给水</w:t>
      </w:r>
      <w:r>
        <w:rPr>
          <w:rFonts w:ascii="仿宋_GB2312" w:eastAsia="仿宋_GB2312" w:hAnsi="仿宋_GB2312" w:cs="仿宋_GB2312" w:hint="eastAsia"/>
          <w:sz w:val="28"/>
          <w:szCs w:val="28"/>
        </w:rPr>
        <w:t>处理</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（第二版</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，北京：</w:t>
      </w:r>
      <w:r>
        <w:rPr>
          <w:rFonts w:ascii="仿宋_GB2312" w:eastAsia="仿宋_GB2312" w:hAnsi="仿宋_GB2312" w:cs="仿宋_GB2312"/>
          <w:sz w:val="28"/>
          <w:szCs w:val="28"/>
        </w:rPr>
        <w:t>中国建筑工业出版社，2006年5月</w:t>
      </w:r>
      <w:r>
        <w:rPr>
          <w:rFonts w:ascii="仿宋_GB2312" w:eastAsia="仿宋_GB2312" w:hAnsi="仿宋_GB2312" w:cs="仿宋_GB2312" w:hint="eastAsia"/>
          <w:sz w:val="28"/>
          <w:szCs w:val="28"/>
        </w:rPr>
        <w:t>。</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450ABE" w:rsidRDefault="00450ABE" w:rsidP="00450ABE">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lastRenderedPageBreak/>
        <w:t>无</w:t>
      </w:r>
    </w:p>
    <w:p w:rsidR="00450ABE" w:rsidRDefault="00450ABE" w:rsidP="00450ABE">
      <w:pPr>
        <w:spacing w:line="560" w:lineRule="exact"/>
        <w:ind w:firstLineChars="1350" w:firstLine="3780"/>
        <w:rPr>
          <w:rFonts w:ascii="仿宋_GB2312" w:hAnsi="仿宋_GB2312" w:cs="仿宋_GB2312"/>
          <w:sz w:val="28"/>
          <w:szCs w:val="28"/>
        </w:rPr>
      </w:pPr>
      <w:r>
        <w:rPr>
          <w:rFonts w:ascii="仿宋_GB2312" w:hAnsi="仿宋_GB2312" w:cs="仿宋_GB2312" w:hint="eastAsia"/>
          <w:sz w:val="28"/>
          <w:szCs w:val="28"/>
        </w:rPr>
        <w:t>大纲撰写人：张</w:t>
      </w:r>
      <w:r>
        <w:rPr>
          <w:rFonts w:ascii="仿宋_GB2312" w:hAnsi="仿宋_GB2312" w:cs="仿宋_GB2312"/>
          <w:sz w:val="28"/>
          <w:szCs w:val="28"/>
        </w:rPr>
        <w:t>莉平</w:t>
      </w:r>
      <w:r>
        <w:rPr>
          <w:rFonts w:ascii="仿宋_GB2312" w:hAnsi="仿宋_GB2312" w:cs="仿宋_GB2312" w:hint="eastAsia"/>
          <w:sz w:val="28"/>
          <w:szCs w:val="28"/>
        </w:rPr>
        <w:t xml:space="preserve"> 高</w:t>
      </w:r>
      <w:r>
        <w:rPr>
          <w:rFonts w:ascii="仿宋_GB2312" w:hAnsi="仿宋_GB2312" w:cs="仿宋_GB2312"/>
          <w:sz w:val="28"/>
          <w:szCs w:val="28"/>
        </w:rPr>
        <w:t>晓梅</w:t>
      </w:r>
    </w:p>
    <w:p w:rsidR="00450ABE" w:rsidRDefault="00450ABE" w:rsidP="00450ABE">
      <w:pPr>
        <w:spacing w:line="560" w:lineRule="exact"/>
        <w:ind w:firstLineChars="1350" w:firstLine="3780"/>
        <w:rPr>
          <w:rFonts w:ascii="仿宋_GB2312" w:hAnsi="仿宋_GB2312" w:cs="仿宋_GB2312"/>
          <w:sz w:val="28"/>
          <w:szCs w:val="28"/>
        </w:rPr>
      </w:pPr>
      <w:r>
        <w:rPr>
          <w:rFonts w:ascii="仿宋_GB2312" w:hAnsi="仿宋_GB2312" w:cs="仿宋_GB2312" w:hint="eastAsia"/>
          <w:sz w:val="28"/>
          <w:szCs w:val="28"/>
        </w:rPr>
        <w:t>课程负责人：张</w:t>
      </w:r>
      <w:r>
        <w:rPr>
          <w:rFonts w:ascii="仿宋_GB2312" w:hAnsi="仿宋_GB2312" w:cs="仿宋_GB2312"/>
          <w:sz w:val="28"/>
          <w:szCs w:val="28"/>
        </w:rPr>
        <w:t>莉平</w:t>
      </w:r>
      <w:r>
        <w:rPr>
          <w:rFonts w:ascii="仿宋_GB2312" w:hAnsi="仿宋_GB2312" w:cs="仿宋_GB2312" w:hint="eastAsia"/>
          <w:sz w:val="28"/>
          <w:szCs w:val="28"/>
        </w:rPr>
        <w:t xml:space="preserve"> 高</w:t>
      </w:r>
      <w:r>
        <w:rPr>
          <w:rFonts w:ascii="仿宋_GB2312" w:hAnsi="仿宋_GB2312" w:cs="仿宋_GB2312"/>
          <w:sz w:val="28"/>
          <w:szCs w:val="28"/>
        </w:rPr>
        <w:t>晓梅</w:t>
      </w:r>
    </w:p>
    <w:p w:rsidR="00450ABE" w:rsidRDefault="00450ABE" w:rsidP="00450ABE">
      <w:pPr>
        <w:spacing w:line="560" w:lineRule="exact"/>
        <w:ind w:firstLineChars="1350" w:firstLine="3780"/>
        <w:rPr>
          <w:rFonts w:ascii="仿宋_GB2312" w:hAnsi="仿宋_GB2312" w:cs="仿宋_GB2312"/>
          <w:sz w:val="28"/>
          <w:szCs w:val="28"/>
        </w:rPr>
      </w:pPr>
      <w:r>
        <w:rPr>
          <w:rFonts w:ascii="仿宋_GB2312" w:hAnsi="仿宋_GB2312" w:cs="仿宋_GB2312" w:hint="eastAsia"/>
          <w:sz w:val="28"/>
          <w:szCs w:val="28"/>
        </w:rPr>
        <w:t>审核人：杨利伟</w:t>
      </w:r>
    </w:p>
    <w:p w:rsidR="00450ABE" w:rsidRDefault="00450ABE" w:rsidP="00450ABE">
      <w:pPr>
        <w:spacing w:line="560" w:lineRule="exact"/>
        <w:jc w:val="center"/>
        <w:rPr>
          <w:rFonts w:ascii="仿宋_GB2312" w:hAnsi="仿宋_GB2312" w:cs="仿宋_GB2312"/>
          <w:sz w:val="28"/>
          <w:szCs w:val="28"/>
        </w:rPr>
      </w:pPr>
      <w:r>
        <w:rPr>
          <w:rFonts w:ascii="仿宋_GB2312" w:hAnsi="仿宋_GB2312" w:cs="仿宋_GB2312" w:hint="eastAsia"/>
          <w:sz w:val="28"/>
          <w:szCs w:val="28"/>
        </w:rPr>
        <w:t xml:space="preserve">                         </w:t>
      </w:r>
    </w:p>
    <w:p w:rsidR="00450ABE" w:rsidRDefault="00450ABE" w:rsidP="00450ABE">
      <w:pPr>
        <w:spacing w:line="560" w:lineRule="exact"/>
        <w:jc w:val="left"/>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 xml:space="preserve"> </w:t>
      </w:r>
      <w:r>
        <w:rPr>
          <w:rFonts w:ascii="仿宋_GB2312" w:hAnsi="仿宋_GB2312" w:cs="仿宋_GB2312"/>
          <w:sz w:val="28"/>
          <w:szCs w:val="28"/>
        </w:rPr>
        <w:t>2021</w:t>
      </w:r>
      <w:r>
        <w:rPr>
          <w:rFonts w:ascii="仿宋_GB2312" w:hAnsi="仿宋_GB2312" w:cs="仿宋_GB2312" w:hint="eastAsia"/>
          <w:sz w:val="28"/>
          <w:szCs w:val="28"/>
        </w:rPr>
        <w:t xml:space="preserve"> 年 </w:t>
      </w:r>
      <w:r>
        <w:rPr>
          <w:rFonts w:ascii="仿宋_GB2312" w:hAnsi="仿宋_GB2312" w:cs="仿宋_GB2312"/>
          <w:sz w:val="28"/>
          <w:szCs w:val="28"/>
        </w:rPr>
        <w:t>4</w:t>
      </w:r>
      <w:r>
        <w:rPr>
          <w:rFonts w:ascii="仿宋_GB2312" w:hAnsi="仿宋_GB2312" w:cs="仿宋_GB2312" w:hint="eastAsia"/>
          <w:sz w:val="28"/>
          <w:szCs w:val="28"/>
        </w:rPr>
        <w:t xml:space="preserve"> 月</w:t>
      </w:r>
    </w:p>
    <w:p w:rsidR="00450ABE" w:rsidRDefault="00450ABE" w:rsidP="00450ABE">
      <w:pPr>
        <w:widowControl/>
        <w:spacing w:line="400" w:lineRule="exact"/>
        <w:rPr>
          <w:rFonts w:ascii="黑体" w:eastAsia="黑体" w:hAnsi="黑体" w:cs="宋体"/>
          <w:bCs/>
          <w:color w:val="000000"/>
          <w:kern w:val="0"/>
          <w:szCs w:val="32"/>
        </w:rPr>
      </w:pPr>
    </w:p>
    <w:p w:rsidR="00450ABE" w:rsidRDefault="00450ABE"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hint="eastAsia"/>
          <w:bCs/>
          <w:color w:val="000000"/>
          <w:kern w:val="0"/>
          <w:szCs w:val="32"/>
        </w:rPr>
      </w:pPr>
    </w:p>
    <w:p w:rsidR="00450ABE" w:rsidRDefault="00450ABE" w:rsidP="00450ABE">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Pr>
          <w:rFonts w:ascii="方正小标宋简体" w:eastAsia="方正小标宋简体" w:hAnsi="宋体" w:hint="eastAsia"/>
          <w:bCs/>
          <w:kern w:val="0"/>
          <w:szCs w:val="32"/>
        </w:rPr>
        <w:t>暖通空调</w:t>
      </w:r>
      <w:r>
        <w:rPr>
          <w:rFonts w:ascii="方正小标宋简体" w:eastAsia="方正小标宋简体" w:hAnsi="宋体" w:hint="eastAsia"/>
          <w:kern w:val="0"/>
          <w:szCs w:val="32"/>
        </w:rPr>
        <w:t>》课程教学大纲</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Heating, Ventilating and Air Conditioning</w:t>
      </w:r>
    </w:p>
    <w:p w:rsidR="00450ABE" w:rsidRDefault="00450ABE" w:rsidP="00450ABE">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Z2807010</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450ABE" w:rsidRDefault="00450ABE" w:rsidP="00450ABE">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4</w:t>
      </w:r>
    </w:p>
    <w:p w:rsidR="00450ABE" w:rsidRDefault="00450ABE" w:rsidP="00450ABE">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64</w:t>
      </w:r>
      <w:r>
        <w:rPr>
          <w:rFonts w:ascii="仿宋_GB2312" w:hAnsi="仿宋_GB2312" w:cs="仿宋_GB2312" w:hint="eastAsia"/>
          <w:bCs/>
          <w:sz w:val="28"/>
          <w:szCs w:val="28"/>
        </w:rPr>
        <w:t>学时（授课</w:t>
      </w:r>
      <w:r>
        <w:rPr>
          <w:rFonts w:ascii="仿宋_GB2312" w:hAnsi="仿宋_GB2312" w:cs="仿宋_GB2312"/>
          <w:bCs/>
          <w:sz w:val="28"/>
          <w:szCs w:val="28"/>
        </w:rPr>
        <w:t>60</w:t>
      </w:r>
      <w:r>
        <w:rPr>
          <w:rFonts w:ascii="仿宋_GB2312" w:hAnsi="仿宋_GB2312" w:cs="仿宋_GB2312" w:hint="eastAsia"/>
          <w:bCs/>
          <w:sz w:val="28"/>
          <w:szCs w:val="28"/>
        </w:rPr>
        <w:t>学时，实验</w:t>
      </w:r>
      <w:r>
        <w:rPr>
          <w:rFonts w:ascii="仿宋_GB2312" w:hAnsi="仿宋_GB2312" w:cs="仿宋_GB2312"/>
          <w:bCs/>
          <w:sz w:val="28"/>
          <w:szCs w:val="28"/>
        </w:rPr>
        <w:t>4</w:t>
      </w:r>
      <w:r>
        <w:rPr>
          <w:rFonts w:ascii="仿宋_GB2312" w:hAnsi="仿宋_GB2312" w:cs="仿宋_GB2312" w:hint="eastAsia"/>
          <w:bCs/>
          <w:sz w:val="28"/>
          <w:szCs w:val="28"/>
        </w:rPr>
        <w:t>学时）</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先修课程：建筑环境学、建筑环境测试技术等</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450ABE" w:rsidRDefault="00450ABE" w:rsidP="00450ABE">
      <w:pPr>
        <w:spacing w:line="360" w:lineRule="auto"/>
        <w:ind w:leftChars="200" w:left="640"/>
        <w:rPr>
          <w:rFonts w:ascii="仿宋_GB2312" w:hAnsi="仿宋_GB2312" w:cs="仿宋_GB2312"/>
          <w:bCs/>
          <w:sz w:val="28"/>
          <w:szCs w:val="28"/>
        </w:rPr>
      </w:pPr>
      <w:r>
        <w:rPr>
          <w:rFonts w:ascii="仿宋_GB2312" w:hAnsi="仿宋_GB2312" w:cs="仿宋_GB2312" w:hint="eastAsia"/>
          <w:bCs/>
          <w:sz w:val="28"/>
          <w:szCs w:val="28"/>
        </w:rPr>
        <w:t>《暖通空调》是建筑环境与能源应用工程专业学生的主要专业发展必修课，主要阐述创造和维持建筑热、湿、空气品质环境的技术。</w:t>
      </w:r>
      <w:r>
        <w:rPr>
          <w:rFonts w:ascii="仿宋_GB2312" w:hAnsi="仿宋_GB2312" w:cs="仿宋_GB2312"/>
          <w:bCs/>
          <w:sz w:val="28"/>
          <w:szCs w:val="28"/>
        </w:rPr>
        <w:t xml:space="preserve"> </w:t>
      </w:r>
      <w:r>
        <w:rPr>
          <w:rFonts w:ascii="仿宋_GB2312" w:hAnsi="仿宋_GB2312" w:cs="仿宋_GB2312" w:hint="eastAsia"/>
          <w:bCs/>
          <w:sz w:val="28"/>
          <w:szCs w:val="28"/>
        </w:rPr>
        <w:t>课程主要内容为：（1）建筑热、冷、湿负荷计算；（2）以建筑热湿环境控制为主的各种供暖和空调系统及组成系统相关设备的主要工作原理、设计原则、控制方法和系统适用性分析；（3）控制建筑室内空气质量的各种通风系统及组成系统的相关设备的主要工作原理、设计原则和系统适用性分析；（4）空调通</w:t>
      </w:r>
      <w:r>
        <w:rPr>
          <w:rFonts w:ascii="仿宋_GB2312" w:hAnsi="仿宋_GB2312" w:cs="仿宋_GB2312" w:hint="eastAsia"/>
          <w:bCs/>
          <w:sz w:val="28"/>
          <w:szCs w:val="28"/>
        </w:rPr>
        <w:lastRenderedPageBreak/>
        <w:t>风系统空气分布设计；（5）特殊建筑的环境控制；（6）暖通空调系统节能、自动控制、消声和隔振措施等。</w:t>
      </w:r>
    </w:p>
    <w:p w:rsidR="00450ABE" w:rsidRDefault="00450ABE" w:rsidP="00450ABE">
      <w:pPr>
        <w:spacing w:line="360" w:lineRule="auto"/>
        <w:ind w:leftChars="200" w:left="640"/>
        <w:rPr>
          <w:rFonts w:ascii="仿宋_GB2312" w:hAnsi="仿宋_GB2312" w:cs="仿宋_GB2312"/>
          <w:bCs/>
          <w:sz w:val="28"/>
          <w:szCs w:val="28"/>
        </w:rPr>
      </w:pPr>
      <w:r>
        <w:rPr>
          <w:rFonts w:ascii="仿宋_GB2312" w:hAnsi="仿宋_GB2312" w:cs="仿宋_GB2312"/>
          <w:bCs/>
          <w:sz w:val="28"/>
          <w:szCs w:val="28"/>
        </w:rPr>
        <w:t>教学方式</w:t>
      </w:r>
      <w:r>
        <w:rPr>
          <w:rFonts w:ascii="仿宋_GB2312" w:hAnsi="仿宋_GB2312" w:cs="仿宋_GB2312" w:hint="eastAsia"/>
          <w:bCs/>
          <w:sz w:val="28"/>
          <w:szCs w:val="28"/>
        </w:rPr>
        <w:t>采用</w:t>
      </w:r>
      <w:r>
        <w:rPr>
          <w:rFonts w:ascii="仿宋_GB2312" w:hAnsi="仿宋_GB2312" w:cs="仿宋_GB2312"/>
          <w:bCs/>
          <w:sz w:val="28"/>
          <w:szCs w:val="28"/>
        </w:rPr>
        <w:t>PPT</w:t>
      </w:r>
      <w:r>
        <w:rPr>
          <w:rFonts w:ascii="仿宋_GB2312" w:hAnsi="仿宋_GB2312" w:cs="仿宋_GB2312" w:hint="eastAsia"/>
          <w:bCs/>
          <w:sz w:val="28"/>
          <w:szCs w:val="28"/>
        </w:rPr>
        <w:t>+板书讲解、课程实验、课后思考题和练习题等相结合进行授课，并结合后续课程设计教学环节，使学生具备基本的系统分析和应用能力。</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450ABE" w:rsidRDefault="00450ABE" w:rsidP="00450ABE">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450ABE" w:rsidRDefault="00450ABE" w:rsidP="00450ABE">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《暖通空调》是建筑环境与能源应用工程专业的专业主干课程，通过这门课程的学习，使学生掌握本专业常用的</w:t>
      </w:r>
      <w:bookmarkStart w:id="70" w:name="_Hlk69209652"/>
      <w:r>
        <w:rPr>
          <w:rFonts w:ascii="仿宋_GB2312" w:hAnsi="仿宋_GB2312" w:cs="仿宋_GB2312" w:hint="eastAsia"/>
          <w:sz w:val="28"/>
          <w:szCs w:val="28"/>
        </w:rPr>
        <w:t>基本理论、计算方法、专业术语；设备的工作原理和选择方法；系统的工作原理和设计原则及方法</w:t>
      </w:r>
      <w:bookmarkEnd w:id="70"/>
      <w:r>
        <w:rPr>
          <w:rFonts w:ascii="仿宋_GB2312" w:hAnsi="仿宋_GB2312" w:cs="仿宋_GB2312" w:hint="eastAsia"/>
          <w:sz w:val="28"/>
          <w:szCs w:val="28"/>
        </w:rPr>
        <w:t>。熟悉本专业设计规范、标准；设备种类和适用范围；系统分类、运行管理和调节。了解本专业新技术进展；设备构成机理；建筑、工艺、环境、人与暖通空调的关系；以及系统经济性分析。</w:t>
      </w:r>
    </w:p>
    <w:p w:rsidR="00450ABE" w:rsidRDefault="00450ABE"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450ABE" w:rsidRDefault="00450ABE" w:rsidP="00450ABE">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450ABE" w:rsidRDefault="00450ABE" w:rsidP="00450ABE">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暖通空调，属于工程应用技术范畴，课程以系统化应用为主。注重工程思想和方法的基本训练，贯穿于系统化思维、综合分析能力、节能经济和安全可靠思想的培养。通过本课程学习，学生由基础理论过渡到专业技术应用，能掌握和理解暖通空调系统的工作原理和核心问题，培养综合应用相关知识分析和解决问题的系统化思维，达到能够提出基本工程技术方案及具备分析和</w:t>
      </w:r>
      <w:r>
        <w:rPr>
          <w:rFonts w:ascii="仿宋_GB2312" w:hAnsi="仿宋_GB2312" w:cs="仿宋_GB2312" w:hint="eastAsia"/>
          <w:sz w:val="28"/>
          <w:szCs w:val="28"/>
        </w:rPr>
        <w:lastRenderedPageBreak/>
        <w:t>研究专业复杂工程问题的基础能力和思想方法。</w:t>
      </w:r>
    </w:p>
    <w:p w:rsidR="00450ABE" w:rsidRDefault="00450ABE" w:rsidP="00450ABE">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1701"/>
        <w:gridCol w:w="1559"/>
        <w:gridCol w:w="1559"/>
        <w:gridCol w:w="1534"/>
      </w:tblGrid>
      <w:tr w:rsidR="00450ABE" w:rsidTr="008C3907">
        <w:trPr>
          <w:cantSplit/>
          <w:trHeight w:val="785"/>
        </w:trPr>
        <w:tc>
          <w:tcPr>
            <w:tcW w:w="2802" w:type="dxa"/>
            <w:gridSpan w:val="2"/>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课程目标</w:t>
            </w:r>
          </w:p>
        </w:tc>
        <w:tc>
          <w:tcPr>
            <w:tcW w:w="1701"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暖通空调基本知识和系统原理</w:t>
            </w:r>
          </w:p>
        </w:tc>
        <w:tc>
          <w:tcPr>
            <w:tcW w:w="1559"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节能、经济和安全可靠的思想</w:t>
            </w:r>
          </w:p>
        </w:tc>
        <w:tc>
          <w:tcPr>
            <w:tcW w:w="1559"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工程思想方法和系统化思维</w:t>
            </w:r>
          </w:p>
        </w:tc>
        <w:tc>
          <w:tcPr>
            <w:tcW w:w="1534"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学习研究和综合分析能力</w:t>
            </w:r>
          </w:p>
        </w:tc>
      </w:tr>
      <w:tr w:rsidR="00450ABE" w:rsidTr="008C3907">
        <w:trPr>
          <w:trHeight w:val="411"/>
        </w:trPr>
        <w:tc>
          <w:tcPr>
            <w:tcW w:w="2802" w:type="dxa"/>
            <w:gridSpan w:val="2"/>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毕业要求</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219"/>
        </w:trPr>
        <w:tc>
          <w:tcPr>
            <w:tcW w:w="2093" w:type="dxa"/>
            <w:vMerge w:val="restart"/>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工程知识</w:t>
            </w: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.1</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r>
      <w:tr w:rsidR="00450ABE" w:rsidTr="008C3907">
        <w:trPr>
          <w:trHeight w:val="237"/>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.2</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r>
      <w:tr w:rsidR="00450ABE" w:rsidTr="008C3907">
        <w:trPr>
          <w:trHeight w:val="191"/>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.3</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r>
      <w:tr w:rsidR="00450ABE" w:rsidTr="008C3907">
        <w:trPr>
          <w:trHeight w:val="210"/>
        </w:trPr>
        <w:tc>
          <w:tcPr>
            <w:tcW w:w="2093" w:type="dxa"/>
            <w:vMerge w:val="restart"/>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问题分析</w:t>
            </w: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kern w:val="0"/>
                <w:sz w:val="20"/>
                <w:szCs w:val="20"/>
              </w:rPr>
              <w:t>.1</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r>
      <w:tr w:rsidR="00450ABE" w:rsidTr="008C3907">
        <w:trPr>
          <w:trHeight w:val="246"/>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kern w:val="0"/>
                <w:sz w:val="20"/>
                <w:szCs w:val="20"/>
              </w:rPr>
              <w:t>.2</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r>
      <w:tr w:rsidR="00450ABE" w:rsidTr="008C3907">
        <w:trPr>
          <w:trHeight w:val="219"/>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kern w:val="0"/>
                <w:sz w:val="20"/>
                <w:szCs w:val="20"/>
              </w:rPr>
              <w:t>.3</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r>
      <w:tr w:rsidR="00450ABE" w:rsidTr="008C3907">
        <w:trPr>
          <w:trHeight w:val="267"/>
        </w:trPr>
        <w:tc>
          <w:tcPr>
            <w:tcW w:w="2093" w:type="dxa"/>
            <w:vMerge w:val="restart"/>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设计</w:t>
            </w:r>
            <w:r>
              <w:rPr>
                <w:rFonts w:ascii="Times New Roman" w:hAnsi="Times New Roman" w:hint="eastAsia"/>
                <w:kern w:val="0"/>
                <w:sz w:val="20"/>
                <w:szCs w:val="20"/>
              </w:rPr>
              <w:t>/</w:t>
            </w:r>
            <w:r>
              <w:rPr>
                <w:rFonts w:ascii="Times New Roman" w:hAnsi="Times New Roman" w:hint="eastAsia"/>
                <w:kern w:val="0"/>
                <w:sz w:val="20"/>
                <w:szCs w:val="20"/>
              </w:rPr>
              <w:t>开发解决方案</w:t>
            </w: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.1</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r>
      <w:tr w:rsidR="00450ABE" w:rsidTr="008C3907">
        <w:trPr>
          <w:trHeight w:val="219"/>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r>
      <w:tr w:rsidR="00450ABE" w:rsidTr="008C3907">
        <w:trPr>
          <w:trHeight w:val="182"/>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.3</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r>
      <w:tr w:rsidR="00450ABE" w:rsidTr="008C3907">
        <w:trPr>
          <w:trHeight w:val="210"/>
        </w:trPr>
        <w:tc>
          <w:tcPr>
            <w:tcW w:w="2093" w:type="dxa"/>
            <w:vMerge w:val="restart"/>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研究</w:t>
            </w: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kern w:val="0"/>
                <w:sz w:val="20"/>
                <w:szCs w:val="20"/>
              </w:rPr>
              <w:t>.1</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r>
      <w:tr w:rsidR="00450ABE" w:rsidTr="008C3907">
        <w:trPr>
          <w:trHeight w:val="182"/>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kern w:val="0"/>
                <w:sz w:val="20"/>
                <w:szCs w:val="20"/>
              </w:rPr>
              <w:t>.2</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273"/>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kern w:val="0"/>
                <w:sz w:val="20"/>
                <w:szCs w:val="20"/>
              </w:rPr>
              <w:t>.3</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r>
      <w:tr w:rsidR="00450ABE" w:rsidTr="008C3907">
        <w:trPr>
          <w:trHeight w:val="196"/>
        </w:trPr>
        <w:tc>
          <w:tcPr>
            <w:tcW w:w="2093" w:type="dxa"/>
            <w:vMerge w:val="restart"/>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使用现代工具</w:t>
            </w: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kern w:val="0"/>
                <w:sz w:val="20"/>
                <w:szCs w:val="20"/>
              </w:rPr>
              <w:t>.1</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255"/>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kern w:val="0"/>
                <w:sz w:val="20"/>
                <w:szCs w:val="20"/>
              </w:rPr>
              <w:t>.2</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r>
      <w:tr w:rsidR="00450ABE" w:rsidTr="008C3907">
        <w:trPr>
          <w:trHeight w:val="210"/>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kern w:val="0"/>
                <w:sz w:val="20"/>
                <w:szCs w:val="20"/>
              </w:rPr>
              <w:t>.3</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r>
      <w:tr w:rsidR="00450ABE" w:rsidTr="008C3907">
        <w:trPr>
          <w:trHeight w:val="182"/>
        </w:trPr>
        <w:tc>
          <w:tcPr>
            <w:tcW w:w="2093" w:type="dxa"/>
            <w:vMerge w:val="restart"/>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hint="eastAsia"/>
                <w:kern w:val="0"/>
                <w:sz w:val="20"/>
                <w:szCs w:val="20"/>
              </w:rPr>
              <w:t>工程与社会</w:t>
            </w: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kern w:val="0"/>
                <w:sz w:val="20"/>
                <w:szCs w:val="20"/>
              </w:rPr>
              <w:t>.1</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155"/>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kern w:val="0"/>
                <w:sz w:val="20"/>
                <w:szCs w:val="20"/>
              </w:rPr>
              <w:t>.2</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r>
      <w:tr w:rsidR="00450ABE" w:rsidTr="008C3907">
        <w:trPr>
          <w:trHeight w:val="192"/>
        </w:trPr>
        <w:tc>
          <w:tcPr>
            <w:tcW w:w="2093" w:type="dxa"/>
            <w:vMerge w:val="restart"/>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7.</w:t>
            </w:r>
            <w:r>
              <w:rPr>
                <w:rFonts w:ascii="Times New Roman" w:hAnsi="Times New Roman" w:hint="eastAsia"/>
                <w:kern w:val="0"/>
                <w:sz w:val="20"/>
                <w:szCs w:val="20"/>
              </w:rPr>
              <w:t>环境和可持续发展</w:t>
            </w: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7</w:t>
            </w:r>
            <w:r>
              <w:rPr>
                <w:rFonts w:ascii="Times New Roman" w:hAnsi="Times New Roman"/>
                <w:kern w:val="0"/>
                <w:sz w:val="20"/>
                <w:szCs w:val="20"/>
              </w:rPr>
              <w:t>.1</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146"/>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7</w:t>
            </w:r>
            <w:r>
              <w:rPr>
                <w:rFonts w:ascii="Times New Roman" w:hAnsi="Times New Roman"/>
                <w:kern w:val="0"/>
                <w:sz w:val="20"/>
                <w:szCs w:val="20"/>
              </w:rPr>
              <w:t>.2</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r>
      <w:tr w:rsidR="00450ABE" w:rsidTr="008C3907">
        <w:trPr>
          <w:trHeight w:val="228"/>
        </w:trPr>
        <w:tc>
          <w:tcPr>
            <w:tcW w:w="2093" w:type="dxa"/>
            <w:vMerge w:val="restart"/>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8.</w:t>
            </w:r>
            <w:r>
              <w:rPr>
                <w:rFonts w:ascii="Times New Roman" w:hAnsi="Times New Roman" w:hint="eastAsia"/>
                <w:kern w:val="0"/>
                <w:sz w:val="20"/>
                <w:szCs w:val="20"/>
              </w:rPr>
              <w:t>职业规范</w:t>
            </w: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8</w:t>
            </w:r>
            <w:r>
              <w:rPr>
                <w:rFonts w:ascii="Times New Roman" w:hAnsi="Times New Roman"/>
                <w:kern w:val="0"/>
                <w:sz w:val="20"/>
                <w:szCs w:val="20"/>
              </w:rPr>
              <w:t>.1</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223"/>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8</w:t>
            </w:r>
            <w:r>
              <w:rPr>
                <w:rFonts w:ascii="Times New Roman" w:hAnsi="Times New Roman"/>
                <w:kern w:val="0"/>
                <w:sz w:val="20"/>
                <w:szCs w:val="20"/>
              </w:rPr>
              <w:t>.2</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164"/>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8</w:t>
            </w:r>
            <w:r>
              <w:rPr>
                <w:rFonts w:ascii="Times New Roman" w:hAnsi="Times New Roman"/>
                <w:kern w:val="0"/>
                <w:sz w:val="20"/>
                <w:szCs w:val="20"/>
              </w:rPr>
              <w:t>.3</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201"/>
        </w:trPr>
        <w:tc>
          <w:tcPr>
            <w:tcW w:w="2093" w:type="dxa"/>
            <w:vMerge w:val="restart"/>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hint="eastAsia"/>
                <w:kern w:val="0"/>
                <w:sz w:val="20"/>
                <w:szCs w:val="20"/>
              </w:rPr>
              <w:t>个人和团队</w:t>
            </w: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.1</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201"/>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173"/>
        </w:trPr>
        <w:tc>
          <w:tcPr>
            <w:tcW w:w="2093" w:type="dxa"/>
            <w:vMerge w:val="restart"/>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10.</w:t>
            </w:r>
            <w:r>
              <w:rPr>
                <w:rFonts w:ascii="Times New Roman" w:hAnsi="Times New Roman" w:hint="eastAsia"/>
                <w:kern w:val="0"/>
                <w:sz w:val="20"/>
                <w:szCs w:val="20"/>
              </w:rPr>
              <w:t>沟通</w:t>
            </w: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0.1</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164"/>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0.2</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r>
      <w:tr w:rsidR="00450ABE" w:rsidTr="008C3907">
        <w:trPr>
          <w:trHeight w:val="246"/>
        </w:trPr>
        <w:tc>
          <w:tcPr>
            <w:tcW w:w="2093" w:type="dxa"/>
            <w:vMerge w:val="restart"/>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11.</w:t>
            </w:r>
            <w:r>
              <w:rPr>
                <w:rFonts w:ascii="Times New Roman" w:hAnsi="Times New Roman" w:hint="eastAsia"/>
                <w:kern w:val="0"/>
                <w:sz w:val="20"/>
                <w:szCs w:val="20"/>
              </w:rPr>
              <w:t>项目管理</w:t>
            </w: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1.1</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kern w:val="0"/>
                <w:sz w:val="20"/>
                <w:szCs w:val="20"/>
              </w:rPr>
              <w:t>M</w:t>
            </w:r>
          </w:p>
        </w:tc>
        <w:tc>
          <w:tcPr>
            <w:tcW w:w="1559"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210"/>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1.2</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M</w:t>
            </w: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p>
        </w:tc>
      </w:tr>
      <w:tr w:rsidR="00450ABE" w:rsidTr="008C3907">
        <w:trPr>
          <w:trHeight w:val="205"/>
        </w:trPr>
        <w:tc>
          <w:tcPr>
            <w:tcW w:w="2093" w:type="dxa"/>
            <w:vMerge w:val="restart"/>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12.</w:t>
            </w:r>
            <w:r>
              <w:rPr>
                <w:rFonts w:ascii="Times New Roman" w:hAnsi="Times New Roman" w:hint="eastAsia"/>
                <w:kern w:val="0"/>
                <w:sz w:val="20"/>
                <w:szCs w:val="20"/>
              </w:rPr>
              <w:t>终身学习</w:t>
            </w: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2.1</w:t>
            </w:r>
          </w:p>
        </w:tc>
        <w:tc>
          <w:tcPr>
            <w:tcW w:w="1701"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r>
      <w:tr w:rsidR="00450ABE" w:rsidTr="008C3907">
        <w:trPr>
          <w:trHeight w:val="246"/>
        </w:trPr>
        <w:tc>
          <w:tcPr>
            <w:tcW w:w="2093" w:type="dxa"/>
            <w:vMerge/>
            <w:vAlign w:val="center"/>
          </w:tcPr>
          <w:p w:rsidR="00450ABE" w:rsidRDefault="00450ABE" w:rsidP="008C3907">
            <w:pPr>
              <w:rPr>
                <w:rFonts w:ascii="Times New Roman" w:hAnsi="Times New Roman"/>
                <w:kern w:val="0"/>
                <w:sz w:val="20"/>
                <w:szCs w:val="20"/>
              </w:rPr>
            </w:pPr>
          </w:p>
        </w:tc>
        <w:tc>
          <w:tcPr>
            <w:tcW w:w="70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2.2</w:t>
            </w:r>
          </w:p>
        </w:tc>
        <w:tc>
          <w:tcPr>
            <w:tcW w:w="1701" w:type="dxa"/>
            <w:vAlign w:val="center"/>
          </w:tcPr>
          <w:p w:rsidR="00450ABE" w:rsidRDefault="00450ABE" w:rsidP="008C3907">
            <w:pPr>
              <w:rPr>
                <w:rFonts w:ascii="Times New Roman" w:hAnsi="Times New Roman"/>
                <w:kern w:val="0"/>
                <w:sz w:val="20"/>
                <w:szCs w:val="20"/>
              </w:rPr>
            </w:pPr>
          </w:p>
        </w:tc>
        <w:tc>
          <w:tcPr>
            <w:tcW w:w="15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c>
          <w:tcPr>
            <w:tcW w:w="1559" w:type="dxa"/>
            <w:vAlign w:val="center"/>
          </w:tcPr>
          <w:p w:rsidR="00450ABE" w:rsidRDefault="00450ABE" w:rsidP="008C3907">
            <w:pPr>
              <w:rPr>
                <w:rFonts w:ascii="Times New Roman" w:hAnsi="Times New Roman"/>
                <w:kern w:val="0"/>
                <w:sz w:val="20"/>
                <w:szCs w:val="20"/>
              </w:rPr>
            </w:pPr>
          </w:p>
        </w:tc>
        <w:tc>
          <w:tcPr>
            <w:tcW w:w="1534"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H</w:t>
            </w:r>
          </w:p>
        </w:tc>
      </w:tr>
    </w:tbl>
    <w:p w:rsidR="00450ABE" w:rsidRDefault="00450ABE" w:rsidP="00450ABE">
      <w:pPr>
        <w:spacing w:line="360" w:lineRule="auto"/>
        <w:rPr>
          <w:rFonts w:ascii="仿宋_GB2312" w:hAnsi="仿宋_GB2312" w:cs="仿宋_GB2312"/>
          <w:bCs/>
          <w:sz w:val="28"/>
          <w:szCs w:val="28"/>
        </w:rPr>
      </w:pPr>
      <w:r>
        <w:rPr>
          <w:rFonts w:ascii="仿宋_GB2312" w:hAnsi="仿宋_GB2312" w:cs="仿宋_GB2312" w:hint="eastAsia"/>
          <w:b/>
          <w:color w:val="FF0000"/>
          <w:sz w:val="28"/>
          <w:szCs w:val="28"/>
        </w:rPr>
        <w:t xml:space="preserve"> </w:t>
      </w:r>
      <w:r>
        <w:rPr>
          <w:rFonts w:ascii="仿宋_GB2312" w:hAnsi="仿宋_GB2312" w:cs="仿宋_GB2312"/>
          <w:bCs/>
          <w:sz w:val="28"/>
          <w:szCs w:val="28"/>
        </w:rPr>
        <w:t xml:space="preserve"> </w:t>
      </w:r>
      <w:r>
        <w:rPr>
          <w:rFonts w:ascii="仿宋_GB2312" w:hAnsi="仿宋_GB2312" w:cs="仿宋_GB2312" w:hint="eastAsia"/>
          <w:bCs/>
          <w:sz w:val="28"/>
          <w:szCs w:val="28"/>
        </w:rPr>
        <w:t>注：毕业要求的具体描述参见专业培养方案。</w:t>
      </w:r>
    </w:p>
    <w:p w:rsidR="00450ABE" w:rsidRDefault="00450ABE" w:rsidP="00450ABE">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450ABE" w:rsidRDefault="00450ABE" w:rsidP="00450ABE">
      <w:pPr>
        <w:spacing w:line="360" w:lineRule="auto"/>
        <w:ind w:leftChars="200" w:left="1480" w:hangingChars="300" w:hanging="840"/>
        <w:rPr>
          <w:rFonts w:ascii="仿宋_GB2312" w:hAnsi="仿宋_GB2312" w:cs="仿宋_GB2312"/>
          <w:sz w:val="28"/>
          <w:szCs w:val="28"/>
        </w:rPr>
      </w:pPr>
      <w:r>
        <w:rPr>
          <w:rFonts w:ascii="仿宋_GB2312" w:hAnsi="仿宋_GB2312" w:cs="仿宋_GB2312" w:hint="eastAsia"/>
          <w:sz w:val="28"/>
          <w:szCs w:val="28"/>
        </w:rPr>
        <w:lastRenderedPageBreak/>
        <w:t>重点：基本理论、计算方法、专业术语；设备的工作原理和选择方法；系统的工作原理和设计原则及方法。</w:t>
      </w:r>
    </w:p>
    <w:p w:rsidR="00450ABE" w:rsidRDefault="00450ABE" w:rsidP="00450ABE">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难点：系统运行调节、关联关系、系统的技术经济评价。</w:t>
      </w:r>
    </w:p>
    <w:p w:rsidR="00450ABE" w:rsidRDefault="00450ABE" w:rsidP="00450ABE">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450ABE" w:rsidRDefault="00450ABE" w:rsidP="00450ABE">
      <w:pPr>
        <w:spacing w:line="360" w:lineRule="auto"/>
        <w:ind w:leftChars="100" w:left="600" w:hangingChars="100" w:hanging="280"/>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结合专业知识，将现阶段我国</w:t>
      </w:r>
      <w:r>
        <w:rPr>
          <w:rFonts w:ascii="仿宋_GB2312" w:hAnsi="仿宋_GB2312" w:cs="仿宋_GB2312"/>
          <w:sz w:val="28"/>
          <w:szCs w:val="28"/>
        </w:rPr>
        <w:t>设备制造体系的成就、全面脱贫背景下人民对美好生活的追求和我们专业的任务、碳达峰</w:t>
      </w:r>
      <w:r>
        <w:rPr>
          <w:rFonts w:ascii="仿宋_GB2312" w:hAnsi="仿宋_GB2312" w:cs="仿宋_GB2312" w:hint="eastAsia"/>
          <w:sz w:val="28"/>
          <w:szCs w:val="28"/>
        </w:rPr>
        <w:t>碳中和要求下专业的未来发展等元素融入，强调创新意识、社会责任、职业道德和奋斗精神，增强学习动力和责任感。</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450ABE" w:rsidTr="008C3907">
        <w:trPr>
          <w:cantSplit/>
          <w:trHeight w:val="785"/>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序号</w:t>
            </w:r>
          </w:p>
        </w:tc>
        <w:tc>
          <w:tcPr>
            <w:tcW w:w="210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450ABE" w:rsidTr="008C3907">
        <w:trPr>
          <w:trHeight w:val="428"/>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w:t>
            </w:r>
            <w:r>
              <w:rPr>
                <w:rFonts w:ascii="Times New Roman" w:hAnsi="Times New Roman" w:hint="eastAsia"/>
                <w:kern w:val="0"/>
                <w:sz w:val="20"/>
                <w:szCs w:val="20"/>
              </w:rPr>
              <w:t>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绪</w:t>
            </w:r>
            <w:r>
              <w:rPr>
                <w:rFonts w:ascii="Times New Roman" w:hAnsi="Times New Roman" w:hint="eastAsia"/>
                <w:kern w:val="0"/>
                <w:sz w:val="20"/>
                <w:szCs w:val="20"/>
              </w:rPr>
              <w:t xml:space="preserve">  </w:t>
            </w:r>
            <w:r>
              <w:rPr>
                <w:rFonts w:ascii="Times New Roman" w:hAnsi="Times New Roman" w:hint="eastAsia"/>
                <w:kern w:val="0"/>
                <w:sz w:val="20"/>
                <w:szCs w:val="20"/>
              </w:rPr>
              <w:t>论</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w:t>
            </w:r>
            <w:r>
              <w:rPr>
                <w:rFonts w:ascii="Times New Roman" w:hAnsi="Times New Roman" w:hint="eastAsia"/>
                <w:kern w:val="0"/>
                <w:sz w:val="20"/>
                <w:szCs w:val="20"/>
              </w:rPr>
              <w:t>章：绪论</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1.1 </w:t>
            </w:r>
            <w:r>
              <w:rPr>
                <w:rFonts w:ascii="Times New Roman" w:hAnsi="Times New Roman" w:hint="eastAsia"/>
                <w:kern w:val="0"/>
                <w:sz w:val="20"/>
                <w:szCs w:val="20"/>
              </w:rPr>
              <w:t>暖通空调的含义和内容</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1.2 </w:t>
            </w:r>
            <w:r>
              <w:rPr>
                <w:rFonts w:ascii="Times New Roman" w:hAnsi="Times New Roman" w:hint="eastAsia"/>
                <w:kern w:val="0"/>
                <w:sz w:val="20"/>
                <w:szCs w:val="20"/>
              </w:rPr>
              <w:t>系统原理与分类</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1.3 </w:t>
            </w:r>
            <w:r>
              <w:rPr>
                <w:rFonts w:ascii="Times New Roman" w:hAnsi="Times New Roman" w:hint="eastAsia"/>
                <w:kern w:val="0"/>
                <w:sz w:val="20"/>
                <w:szCs w:val="20"/>
              </w:rPr>
              <w:t>暖通空调技术发展概况</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.4</w:t>
            </w:r>
            <w:r>
              <w:rPr>
                <w:rFonts w:ascii="Times New Roman" w:hAnsi="Times New Roman" w:hint="eastAsia"/>
                <w:kern w:val="0"/>
                <w:sz w:val="20"/>
                <w:szCs w:val="20"/>
              </w:rPr>
              <w:t>中国发展之路</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了解暖通空调的含义和内容、暖通空调系统的工作原理和分类以及技术的发展。</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思政设计：中国</w:t>
            </w:r>
            <w:bookmarkStart w:id="71" w:name="_Hlk69212958"/>
            <w:r>
              <w:rPr>
                <w:rFonts w:ascii="Times New Roman" w:hAnsi="Times New Roman" w:hint="eastAsia"/>
                <w:kern w:val="0"/>
                <w:sz w:val="20"/>
                <w:szCs w:val="20"/>
              </w:rPr>
              <w:t>设备制造体系的成就、全面脱贫背景下人民对美好生活的追求和我们专业的任务、碳达峰碳中和要求下专业的未来</w:t>
            </w:r>
            <w:bookmarkEnd w:id="71"/>
            <w:r>
              <w:rPr>
                <w:rFonts w:ascii="Times New Roman" w:hAnsi="Times New Roman" w:hint="eastAsia"/>
                <w:kern w:val="0"/>
                <w:sz w:val="20"/>
                <w:szCs w:val="20"/>
              </w:rPr>
              <w:t>。</w:t>
            </w:r>
          </w:p>
        </w:tc>
      </w:tr>
      <w:tr w:rsidR="00450ABE" w:rsidTr="008C3907">
        <w:trPr>
          <w:trHeight w:val="519"/>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2</w:t>
            </w:r>
            <w:r>
              <w:rPr>
                <w:rFonts w:ascii="Times New Roman" w:hAnsi="Times New Roman" w:hint="eastAsia"/>
                <w:kern w:val="0"/>
                <w:sz w:val="20"/>
                <w:szCs w:val="20"/>
              </w:rPr>
              <w:t>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负荷计算</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6</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2</w:t>
            </w:r>
            <w:r>
              <w:rPr>
                <w:rFonts w:ascii="Times New Roman" w:hAnsi="Times New Roman" w:hint="eastAsia"/>
                <w:kern w:val="0"/>
                <w:sz w:val="20"/>
                <w:szCs w:val="20"/>
              </w:rPr>
              <w:t>章：负荷计算</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2.1 </w:t>
            </w:r>
            <w:r>
              <w:rPr>
                <w:rFonts w:ascii="Times New Roman" w:hAnsi="Times New Roman" w:hint="eastAsia"/>
                <w:kern w:val="0"/>
                <w:sz w:val="20"/>
                <w:szCs w:val="20"/>
              </w:rPr>
              <w:t>负荷成因与计算参数</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2.2 </w:t>
            </w:r>
            <w:r>
              <w:rPr>
                <w:rFonts w:ascii="Times New Roman" w:hAnsi="Times New Roman" w:hint="eastAsia"/>
                <w:kern w:val="0"/>
                <w:sz w:val="20"/>
                <w:szCs w:val="20"/>
              </w:rPr>
              <w:t>负荷计算方法</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2.3 </w:t>
            </w:r>
            <w:r>
              <w:rPr>
                <w:rFonts w:ascii="Times New Roman" w:hAnsi="Times New Roman" w:hint="eastAsia"/>
                <w:kern w:val="0"/>
                <w:sz w:val="20"/>
                <w:szCs w:val="20"/>
              </w:rPr>
              <w:t>负荷的关联关系</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了解室内外空气计算参数的确定方法、现行标准；理解符合成因，掌握冬季建筑热负荷、夏季建筑维护结构的冷负荷、室内热源散热引起的冷负荷、湿负荷、新风负荷的计算方法；理解负荷特征及分区。</w:t>
            </w:r>
          </w:p>
          <w:p w:rsidR="00450ABE" w:rsidRDefault="00450ABE" w:rsidP="008C3907">
            <w:pPr>
              <w:rPr>
                <w:rFonts w:ascii="Times New Roman" w:hAnsi="Times New Roman"/>
                <w:kern w:val="0"/>
                <w:sz w:val="20"/>
                <w:szCs w:val="20"/>
              </w:rPr>
            </w:pPr>
            <w:r>
              <w:rPr>
                <w:rFonts w:ascii="Times New Roman" w:hAnsi="Times New Roman"/>
                <w:kern w:val="0"/>
                <w:sz w:val="20"/>
                <w:szCs w:val="20"/>
              </w:rPr>
              <w:t>思政设计：</w:t>
            </w:r>
            <w:r>
              <w:rPr>
                <w:rFonts w:ascii="Times New Roman" w:hAnsi="Times New Roman" w:hint="eastAsia"/>
                <w:kern w:val="0"/>
                <w:sz w:val="20"/>
                <w:szCs w:val="20"/>
              </w:rPr>
              <w:t>现行标准与我国技术经济发展阶段的辩证关系。</w:t>
            </w:r>
          </w:p>
        </w:tc>
      </w:tr>
      <w:tr w:rsidR="00450ABE" w:rsidTr="008C3907">
        <w:trPr>
          <w:trHeight w:val="555"/>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3</w:t>
            </w:r>
            <w:r>
              <w:rPr>
                <w:rFonts w:ascii="Times New Roman" w:hAnsi="Times New Roman" w:hint="eastAsia"/>
                <w:kern w:val="0"/>
                <w:sz w:val="20"/>
                <w:szCs w:val="20"/>
              </w:rPr>
              <w:t>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全水系统</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0</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3</w:t>
            </w:r>
            <w:r>
              <w:rPr>
                <w:rFonts w:ascii="Times New Roman" w:hAnsi="Times New Roman" w:hint="eastAsia"/>
                <w:kern w:val="0"/>
                <w:sz w:val="20"/>
                <w:szCs w:val="20"/>
              </w:rPr>
              <w:t>章：全水系统</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3.1 </w:t>
            </w:r>
            <w:r>
              <w:rPr>
                <w:rFonts w:ascii="Times New Roman" w:hAnsi="Times New Roman" w:hint="eastAsia"/>
                <w:kern w:val="0"/>
                <w:sz w:val="20"/>
                <w:szCs w:val="20"/>
              </w:rPr>
              <w:t>水系统基本构成及工作原理</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3.2 </w:t>
            </w:r>
            <w:r>
              <w:rPr>
                <w:rFonts w:ascii="Times New Roman" w:hAnsi="Times New Roman" w:hint="eastAsia"/>
                <w:kern w:val="0"/>
                <w:sz w:val="20"/>
                <w:szCs w:val="20"/>
              </w:rPr>
              <w:t>末端装置</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3.3 </w:t>
            </w:r>
            <w:r>
              <w:rPr>
                <w:rFonts w:ascii="Times New Roman" w:hAnsi="Times New Roman" w:hint="eastAsia"/>
                <w:kern w:val="0"/>
                <w:sz w:val="20"/>
                <w:szCs w:val="20"/>
              </w:rPr>
              <w:t>水系统的分类与特点</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3.4 </w:t>
            </w:r>
            <w:r>
              <w:rPr>
                <w:rFonts w:ascii="Times New Roman" w:hAnsi="Times New Roman" w:hint="eastAsia"/>
                <w:kern w:val="0"/>
                <w:sz w:val="20"/>
                <w:szCs w:val="20"/>
              </w:rPr>
              <w:t>系统运行与调节</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掌握水系统构成及原理。了解全水系统的末端装置；掌握热水供暖系统的分类与特点及高层建筑热水供暖系统的设计方法；熟悉分户热计量供暖系统；理解水系统的调节原理</w:t>
            </w:r>
            <w:r>
              <w:rPr>
                <w:rFonts w:ascii="Times New Roman" w:hAnsi="Times New Roman" w:hint="eastAsia"/>
                <w:kern w:val="0"/>
                <w:sz w:val="20"/>
                <w:szCs w:val="20"/>
              </w:rPr>
              <w:lastRenderedPageBreak/>
              <w:t>和方法。</w:t>
            </w:r>
          </w:p>
          <w:p w:rsidR="00450ABE" w:rsidRDefault="00450ABE" w:rsidP="008C3907">
            <w:pPr>
              <w:rPr>
                <w:rFonts w:ascii="Times New Roman" w:hAnsi="Times New Roman"/>
                <w:kern w:val="0"/>
                <w:sz w:val="20"/>
                <w:szCs w:val="20"/>
              </w:rPr>
            </w:pPr>
            <w:r>
              <w:rPr>
                <w:rFonts w:ascii="Times New Roman" w:hAnsi="Times New Roman"/>
                <w:kern w:val="0"/>
                <w:sz w:val="20"/>
                <w:szCs w:val="20"/>
              </w:rPr>
              <w:t>思政设计：</w:t>
            </w:r>
            <w:r>
              <w:rPr>
                <w:rFonts w:ascii="Times New Roman" w:hAnsi="Times New Roman" w:hint="eastAsia"/>
                <w:kern w:val="0"/>
                <w:sz w:val="20"/>
                <w:szCs w:val="20"/>
              </w:rPr>
              <w:t>创新思想，探索中国节能发展理念。</w:t>
            </w:r>
          </w:p>
        </w:tc>
      </w:tr>
      <w:tr w:rsidR="00450ABE" w:rsidTr="008C3907">
        <w:trPr>
          <w:trHeight w:val="238"/>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lastRenderedPageBreak/>
              <w:t>4</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4</w:t>
            </w:r>
            <w:r>
              <w:rPr>
                <w:rFonts w:ascii="Times New Roman" w:hAnsi="Times New Roman" w:hint="eastAsia"/>
                <w:kern w:val="0"/>
                <w:sz w:val="20"/>
                <w:szCs w:val="20"/>
              </w:rPr>
              <w:t>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蒸汽系统</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4</w:t>
            </w:r>
            <w:r>
              <w:rPr>
                <w:rFonts w:ascii="Times New Roman" w:hAnsi="Times New Roman" w:hint="eastAsia"/>
                <w:kern w:val="0"/>
                <w:sz w:val="20"/>
                <w:szCs w:val="20"/>
              </w:rPr>
              <w:t>章：蒸汽系统</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4.1 </w:t>
            </w:r>
            <w:r>
              <w:rPr>
                <w:rFonts w:ascii="Times New Roman" w:hAnsi="Times New Roman" w:hint="eastAsia"/>
                <w:kern w:val="0"/>
                <w:sz w:val="20"/>
                <w:szCs w:val="20"/>
              </w:rPr>
              <w:t>蒸汽系统工作原理</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4.2 </w:t>
            </w:r>
            <w:r>
              <w:rPr>
                <w:rFonts w:ascii="Times New Roman" w:hAnsi="Times New Roman" w:hint="eastAsia"/>
                <w:kern w:val="0"/>
                <w:sz w:val="20"/>
                <w:szCs w:val="20"/>
              </w:rPr>
              <w:t>蒸汽系统应用及专用装置</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了解蒸汽供暖系统；掌握蒸汽在通风与空调系统中的应用；熟悉蒸汽采暖系统专用装置。</w:t>
            </w:r>
          </w:p>
        </w:tc>
      </w:tr>
      <w:tr w:rsidR="00450ABE" w:rsidTr="008C3907">
        <w:trPr>
          <w:trHeight w:val="216"/>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5</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5</w:t>
            </w:r>
            <w:r>
              <w:rPr>
                <w:rFonts w:ascii="Times New Roman" w:hAnsi="Times New Roman" w:hint="eastAsia"/>
                <w:kern w:val="0"/>
                <w:sz w:val="20"/>
                <w:szCs w:val="20"/>
              </w:rPr>
              <w:t>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辐射供暖</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辐射供冷</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5</w:t>
            </w:r>
            <w:r>
              <w:rPr>
                <w:rFonts w:ascii="Times New Roman" w:hAnsi="Times New Roman" w:hint="eastAsia"/>
                <w:kern w:val="0"/>
                <w:sz w:val="20"/>
                <w:szCs w:val="20"/>
              </w:rPr>
              <w:t>章：辐射供暖与辐射供冷</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5.1 </w:t>
            </w:r>
            <w:r>
              <w:rPr>
                <w:rFonts w:ascii="Times New Roman" w:hAnsi="Times New Roman" w:hint="eastAsia"/>
                <w:kern w:val="0"/>
                <w:sz w:val="20"/>
                <w:szCs w:val="20"/>
              </w:rPr>
              <w:t>辐射原理与定义</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5.2 </w:t>
            </w:r>
            <w:r>
              <w:rPr>
                <w:rFonts w:ascii="Times New Roman" w:hAnsi="Times New Roman" w:hint="eastAsia"/>
                <w:kern w:val="0"/>
                <w:sz w:val="20"/>
                <w:szCs w:val="20"/>
              </w:rPr>
              <w:t>辐射系统应用</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掌握辐射供暖（供冷）的定义与分类；辐射系统特点；辐射采暖系统及其设计；了解电辐射采暖；了解辐射供冷。</w:t>
            </w:r>
          </w:p>
        </w:tc>
      </w:tr>
      <w:tr w:rsidR="00450ABE" w:rsidTr="008C3907">
        <w:trPr>
          <w:trHeight w:val="200"/>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6</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6</w:t>
            </w:r>
            <w:r>
              <w:rPr>
                <w:rFonts w:ascii="Times New Roman" w:hAnsi="Times New Roman" w:hint="eastAsia"/>
                <w:kern w:val="0"/>
                <w:sz w:val="20"/>
                <w:szCs w:val="20"/>
              </w:rPr>
              <w:t>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全空气系统和空气—水系统</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4</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6</w:t>
            </w:r>
            <w:r>
              <w:rPr>
                <w:rFonts w:ascii="Times New Roman" w:hAnsi="Times New Roman" w:hint="eastAsia"/>
                <w:kern w:val="0"/>
                <w:sz w:val="20"/>
                <w:szCs w:val="20"/>
              </w:rPr>
              <w:t>章：全空气系统和空气—水系统</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6.1 </w:t>
            </w:r>
            <w:r>
              <w:rPr>
                <w:rFonts w:ascii="Times New Roman" w:hAnsi="Times New Roman" w:hint="eastAsia"/>
                <w:kern w:val="0"/>
                <w:sz w:val="20"/>
                <w:szCs w:val="20"/>
              </w:rPr>
              <w:t>焓湿图应用</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6.2 </w:t>
            </w:r>
            <w:r>
              <w:rPr>
                <w:rFonts w:ascii="Times New Roman" w:hAnsi="Times New Roman" w:hint="eastAsia"/>
                <w:kern w:val="0"/>
                <w:sz w:val="20"/>
                <w:szCs w:val="20"/>
              </w:rPr>
              <w:t>全空气系统工作原理与设计分析方法、系统分类、运行调节</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6.3 </w:t>
            </w:r>
            <w:r>
              <w:rPr>
                <w:rFonts w:ascii="Times New Roman" w:hAnsi="Times New Roman" w:hint="eastAsia"/>
                <w:kern w:val="0"/>
                <w:sz w:val="20"/>
                <w:szCs w:val="20"/>
              </w:rPr>
              <w:t>空气处理设备</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6.4 </w:t>
            </w:r>
            <w:r>
              <w:rPr>
                <w:rFonts w:ascii="Times New Roman" w:hAnsi="Times New Roman" w:hint="eastAsia"/>
                <w:kern w:val="0"/>
                <w:sz w:val="20"/>
                <w:szCs w:val="20"/>
              </w:rPr>
              <w:t>空气—水系统</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6.5 </w:t>
            </w:r>
            <w:r>
              <w:rPr>
                <w:rFonts w:ascii="Times New Roman" w:hAnsi="Times New Roman" w:hint="eastAsia"/>
                <w:kern w:val="0"/>
                <w:sz w:val="20"/>
                <w:szCs w:val="20"/>
              </w:rPr>
              <w:t>蒸发冷却空调系统</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6.6</w:t>
            </w:r>
            <w:r>
              <w:rPr>
                <w:rFonts w:ascii="Times New Roman" w:hAnsi="Times New Roman" w:hint="eastAsia"/>
                <w:kern w:val="0"/>
                <w:sz w:val="20"/>
                <w:szCs w:val="20"/>
              </w:rPr>
              <w:t>空调系统的选择与划分原则</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熟悉焓湿图应用；了解系统分类；掌握全空气系统的送风量、新风量与送风参数的确定；掌握定风量系统设计方法及运行调节方法；了解变风量空调系统；了解全空气系统中的空气处理机组；掌握空气－水风机盘管系统；了解诱导器系统、空气－水辐射板系统；了解蒸发冷却空调系统；熟悉空调系统的选择与划分原则。</w:t>
            </w:r>
          </w:p>
          <w:p w:rsidR="00450ABE" w:rsidRDefault="00450ABE" w:rsidP="008C3907">
            <w:pPr>
              <w:rPr>
                <w:rFonts w:ascii="Times New Roman" w:hAnsi="Times New Roman"/>
                <w:kern w:val="0"/>
                <w:sz w:val="20"/>
                <w:szCs w:val="20"/>
              </w:rPr>
            </w:pPr>
            <w:r>
              <w:rPr>
                <w:rFonts w:ascii="Times New Roman" w:hAnsi="Times New Roman"/>
                <w:kern w:val="0"/>
                <w:sz w:val="20"/>
                <w:szCs w:val="20"/>
              </w:rPr>
              <w:t>思政设计：</w:t>
            </w:r>
            <w:r>
              <w:rPr>
                <w:rFonts w:ascii="Times New Roman" w:hAnsi="Times New Roman" w:hint="eastAsia"/>
                <w:kern w:val="0"/>
                <w:sz w:val="20"/>
                <w:szCs w:val="20"/>
              </w:rPr>
              <w:t>职业道德和行为规范；</w:t>
            </w:r>
            <w:r>
              <w:rPr>
                <w:rFonts w:ascii="Times New Roman" w:hAnsi="Times New Roman"/>
                <w:kern w:val="0"/>
                <w:sz w:val="20"/>
                <w:szCs w:val="20"/>
              </w:rPr>
              <w:t>社会责任</w:t>
            </w:r>
            <w:r>
              <w:rPr>
                <w:rFonts w:ascii="Times New Roman" w:hAnsi="Times New Roman" w:hint="eastAsia"/>
                <w:kern w:val="0"/>
                <w:sz w:val="20"/>
                <w:szCs w:val="20"/>
              </w:rPr>
              <w:t>。</w:t>
            </w:r>
          </w:p>
        </w:tc>
      </w:tr>
      <w:tr w:rsidR="00450ABE" w:rsidTr="008C3907">
        <w:trPr>
          <w:trHeight w:val="208"/>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7</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7</w:t>
            </w:r>
            <w:r>
              <w:rPr>
                <w:rFonts w:ascii="Times New Roman" w:hAnsi="Times New Roman" w:hint="eastAsia"/>
                <w:kern w:val="0"/>
                <w:sz w:val="20"/>
                <w:szCs w:val="20"/>
              </w:rPr>
              <w:t>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冷剂式空调系统</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7</w:t>
            </w:r>
            <w:r>
              <w:rPr>
                <w:rFonts w:ascii="Times New Roman" w:hAnsi="Times New Roman" w:hint="eastAsia"/>
                <w:kern w:val="0"/>
                <w:sz w:val="20"/>
                <w:szCs w:val="20"/>
              </w:rPr>
              <w:t>章：冷剂式空调系统</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7.1 </w:t>
            </w:r>
            <w:r>
              <w:rPr>
                <w:rFonts w:ascii="Times New Roman" w:hAnsi="Times New Roman" w:hint="eastAsia"/>
                <w:kern w:val="0"/>
                <w:sz w:val="20"/>
                <w:szCs w:val="20"/>
              </w:rPr>
              <w:t>冷剂式空调系统的原理、特点及分类</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7.2 </w:t>
            </w:r>
            <w:r>
              <w:rPr>
                <w:rFonts w:ascii="Times New Roman" w:hAnsi="Times New Roman" w:hint="eastAsia"/>
                <w:kern w:val="0"/>
                <w:sz w:val="20"/>
                <w:szCs w:val="20"/>
              </w:rPr>
              <w:t>各类设备及系统应用</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掌握冷剂式空调系统的原理、特点、分类；熟悉房间空调器、单元式空调机组、</w:t>
            </w:r>
            <w:r>
              <w:rPr>
                <w:rFonts w:ascii="Times New Roman" w:hAnsi="Times New Roman"/>
                <w:kern w:val="0"/>
                <w:sz w:val="20"/>
                <w:szCs w:val="20"/>
              </w:rPr>
              <w:t>VRV</w:t>
            </w:r>
            <w:r>
              <w:rPr>
                <w:rFonts w:ascii="Times New Roman" w:hAnsi="Times New Roman" w:hint="eastAsia"/>
                <w:kern w:val="0"/>
                <w:sz w:val="20"/>
                <w:szCs w:val="20"/>
              </w:rPr>
              <w:t>系统、水环热泵空调系统及机组系统的适用性。</w:t>
            </w:r>
          </w:p>
        </w:tc>
      </w:tr>
      <w:tr w:rsidR="00450ABE" w:rsidTr="008C3907">
        <w:trPr>
          <w:trHeight w:val="246"/>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8</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8</w:t>
            </w:r>
            <w:r>
              <w:rPr>
                <w:rFonts w:ascii="Times New Roman" w:hAnsi="Times New Roman" w:hint="eastAsia"/>
                <w:kern w:val="0"/>
                <w:sz w:val="20"/>
                <w:szCs w:val="20"/>
              </w:rPr>
              <w:t>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工业与民用建筑的通风系统</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8</w:t>
            </w:r>
            <w:r>
              <w:rPr>
                <w:rFonts w:ascii="Times New Roman" w:hAnsi="Times New Roman" w:hint="eastAsia"/>
                <w:kern w:val="0"/>
                <w:sz w:val="20"/>
                <w:szCs w:val="20"/>
              </w:rPr>
              <w:t>章：工业与民用建筑的通风系统</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8.1 </w:t>
            </w:r>
            <w:r>
              <w:rPr>
                <w:rFonts w:ascii="Times New Roman" w:hAnsi="Times New Roman" w:hint="eastAsia"/>
                <w:kern w:val="0"/>
                <w:sz w:val="20"/>
                <w:szCs w:val="20"/>
              </w:rPr>
              <w:t>通风原理</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8.2 </w:t>
            </w:r>
            <w:r>
              <w:rPr>
                <w:rFonts w:ascii="Times New Roman" w:hAnsi="Times New Roman" w:hint="eastAsia"/>
                <w:kern w:val="0"/>
                <w:sz w:val="20"/>
                <w:szCs w:val="20"/>
              </w:rPr>
              <w:t>通风系统与设备</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8.3 </w:t>
            </w:r>
            <w:r>
              <w:rPr>
                <w:rFonts w:ascii="Times New Roman" w:hAnsi="Times New Roman" w:hint="eastAsia"/>
                <w:kern w:val="0"/>
                <w:sz w:val="20"/>
                <w:szCs w:val="20"/>
              </w:rPr>
              <w:t>自然通风</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了解工业与民用建筑中的污染物、室内空气品质的评价与必要的通风量；了解通风系统。掌握自然通风基本原理、通风房间的空气平衡和热平衡；了解改善室内空气品质的综合措施。</w:t>
            </w:r>
          </w:p>
        </w:tc>
      </w:tr>
      <w:tr w:rsidR="00450ABE" w:rsidTr="008C3907">
        <w:trPr>
          <w:trHeight w:val="215"/>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9</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10</w:t>
            </w:r>
            <w:r>
              <w:rPr>
                <w:rFonts w:ascii="Times New Roman" w:hAnsi="Times New Roman" w:hint="eastAsia"/>
                <w:kern w:val="0"/>
                <w:sz w:val="20"/>
                <w:szCs w:val="20"/>
              </w:rPr>
              <w:t>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民用建筑火灾烟气的控制</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10</w:t>
            </w:r>
            <w:r>
              <w:rPr>
                <w:rFonts w:ascii="Times New Roman" w:hAnsi="Times New Roman" w:hint="eastAsia"/>
                <w:kern w:val="0"/>
                <w:sz w:val="20"/>
                <w:szCs w:val="20"/>
              </w:rPr>
              <w:t>章：民用建筑火灾烟气的控制</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10.1 </w:t>
            </w:r>
            <w:r>
              <w:rPr>
                <w:rFonts w:ascii="Times New Roman" w:hAnsi="Times New Roman" w:hint="eastAsia"/>
                <w:kern w:val="0"/>
                <w:sz w:val="20"/>
                <w:szCs w:val="20"/>
              </w:rPr>
              <w:t>火灾烟气特性与控制原则</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10.2 </w:t>
            </w:r>
            <w:r>
              <w:rPr>
                <w:rFonts w:ascii="Times New Roman" w:hAnsi="Times New Roman" w:hint="eastAsia"/>
                <w:kern w:val="0"/>
                <w:sz w:val="20"/>
                <w:szCs w:val="20"/>
              </w:rPr>
              <w:t>防排烟系统与设备</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掌握建筑火灾烟气的特性及烟气控制的必要性、火灾烟气的流动规律与控制原则；熟悉自然排烟、机械排烟、加压防烟的原理、规范及方法。</w:t>
            </w:r>
          </w:p>
        </w:tc>
      </w:tr>
      <w:tr w:rsidR="00450ABE" w:rsidTr="008C3907">
        <w:trPr>
          <w:trHeight w:val="239"/>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0</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11</w:t>
            </w:r>
            <w:r>
              <w:rPr>
                <w:rFonts w:ascii="Times New Roman" w:hAnsi="Times New Roman" w:hint="eastAsia"/>
                <w:kern w:val="0"/>
                <w:sz w:val="20"/>
                <w:szCs w:val="20"/>
              </w:rPr>
              <w:t>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室内气流分布</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11</w:t>
            </w:r>
            <w:r>
              <w:rPr>
                <w:rFonts w:ascii="Times New Roman" w:hAnsi="Times New Roman" w:hint="eastAsia"/>
                <w:kern w:val="0"/>
                <w:sz w:val="20"/>
                <w:szCs w:val="20"/>
              </w:rPr>
              <w:t>章：室内气流分布</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11.1 </w:t>
            </w:r>
            <w:r>
              <w:rPr>
                <w:rFonts w:ascii="Times New Roman" w:hAnsi="Times New Roman" w:hint="eastAsia"/>
                <w:kern w:val="0"/>
                <w:sz w:val="20"/>
                <w:szCs w:val="20"/>
              </w:rPr>
              <w:t>室内气流分布的要求与评价</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11.2 </w:t>
            </w:r>
            <w:r>
              <w:rPr>
                <w:rFonts w:ascii="Times New Roman" w:hAnsi="Times New Roman" w:hint="eastAsia"/>
                <w:kern w:val="0"/>
                <w:sz w:val="20"/>
                <w:szCs w:val="20"/>
              </w:rPr>
              <w:t>气流分布的主要因素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lastRenderedPageBreak/>
              <w:t xml:space="preserve">11.3 </w:t>
            </w:r>
            <w:r>
              <w:rPr>
                <w:rFonts w:ascii="Times New Roman" w:hAnsi="Times New Roman" w:hint="eastAsia"/>
                <w:kern w:val="0"/>
                <w:sz w:val="20"/>
                <w:szCs w:val="20"/>
              </w:rPr>
              <w:t>风口、典型的气流分布</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lastRenderedPageBreak/>
              <w:t>掌握室内气流分布的要求与评价；熟悉风口基本型式；理解影响气流分布的主要因素；掌握典型的气流分布模式；了</w:t>
            </w:r>
            <w:r>
              <w:rPr>
                <w:rFonts w:ascii="Times New Roman" w:hAnsi="Times New Roman" w:hint="eastAsia"/>
                <w:kern w:val="0"/>
                <w:sz w:val="20"/>
                <w:szCs w:val="20"/>
              </w:rPr>
              <w:lastRenderedPageBreak/>
              <w:t>解室内气流分布的设计计算方法。</w:t>
            </w:r>
          </w:p>
        </w:tc>
      </w:tr>
      <w:tr w:rsidR="00450ABE" w:rsidTr="008C3907">
        <w:trPr>
          <w:trHeight w:val="231"/>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lastRenderedPageBreak/>
              <w:t>1</w:t>
            </w:r>
            <w:r>
              <w:rPr>
                <w:rFonts w:ascii="Times New Roman" w:hAnsi="Times New Roman"/>
                <w:kern w:val="0"/>
                <w:sz w:val="20"/>
                <w:szCs w:val="20"/>
              </w:rPr>
              <w:t>1</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12</w:t>
            </w:r>
            <w:r>
              <w:rPr>
                <w:rFonts w:ascii="Times New Roman" w:hAnsi="Times New Roman" w:hint="eastAsia"/>
                <w:kern w:val="0"/>
                <w:sz w:val="20"/>
                <w:szCs w:val="20"/>
              </w:rPr>
              <w:t>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特殊建筑空气环境的控制技术</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12</w:t>
            </w:r>
            <w:r>
              <w:rPr>
                <w:rFonts w:ascii="Times New Roman" w:hAnsi="Times New Roman" w:hint="eastAsia"/>
                <w:kern w:val="0"/>
                <w:sz w:val="20"/>
                <w:szCs w:val="20"/>
              </w:rPr>
              <w:t>章：特殊建筑空气环境的控制技术</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12.1 </w:t>
            </w:r>
            <w:r>
              <w:rPr>
                <w:rFonts w:ascii="Times New Roman" w:hAnsi="Times New Roman" w:hint="eastAsia"/>
                <w:kern w:val="0"/>
                <w:sz w:val="20"/>
                <w:szCs w:val="20"/>
              </w:rPr>
              <w:t>洁净的基本概念</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12.2</w:t>
            </w:r>
            <w:r>
              <w:rPr>
                <w:rFonts w:ascii="Times New Roman" w:hAnsi="Times New Roman" w:hint="eastAsia"/>
                <w:kern w:val="0"/>
                <w:sz w:val="20"/>
                <w:szCs w:val="20"/>
              </w:rPr>
              <w:t>除湿系统</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12.3 </w:t>
            </w:r>
            <w:r>
              <w:rPr>
                <w:rFonts w:ascii="Times New Roman" w:hAnsi="Times New Roman" w:hint="eastAsia"/>
                <w:kern w:val="0"/>
                <w:sz w:val="20"/>
                <w:szCs w:val="20"/>
              </w:rPr>
              <w:t>恒温恒湿、低温空调系统等</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了解洁净室与生物洁净室的概念与系统、恒温恒湿空调、除湿系统、低温空调系统等。</w:t>
            </w:r>
          </w:p>
        </w:tc>
      </w:tr>
      <w:tr w:rsidR="00450ABE" w:rsidTr="008C3907">
        <w:trPr>
          <w:trHeight w:val="215"/>
        </w:trPr>
        <w:tc>
          <w:tcPr>
            <w:tcW w:w="512" w:type="dxa"/>
            <w:vAlign w:val="center"/>
          </w:tcPr>
          <w:p w:rsidR="00450ABE" w:rsidRDefault="00450ABE" w:rsidP="008C3907">
            <w:pPr>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2</w:t>
            </w: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13</w:t>
            </w:r>
            <w:r>
              <w:rPr>
                <w:rFonts w:ascii="Times New Roman" w:hAnsi="Times New Roman" w:hint="eastAsia"/>
                <w:kern w:val="0"/>
                <w:sz w:val="20"/>
                <w:szCs w:val="20"/>
              </w:rPr>
              <w:t>章</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系统自动控制和消声隔振</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4</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第</w:t>
            </w:r>
            <w:r>
              <w:rPr>
                <w:rFonts w:ascii="Times New Roman" w:hAnsi="Times New Roman" w:hint="eastAsia"/>
                <w:kern w:val="0"/>
                <w:sz w:val="20"/>
                <w:szCs w:val="20"/>
              </w:rPr>
              <w:t>13</w:t>
            </w:r>
            <w:r>
              <w:rPr>
                <w:rFonts w:ascii="Times New Roman" w:hAnsi="Times New Roman" w:hint="eastAsia"/>
                <w:kern w:val="0"/>
                <w:sz w:val="20"/>
                <w:szCs w:val="20"/>
              </w:rPr>
              <w:t>章：暖通空调系统自动控制和消声隔振</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12.1 </w:t>
            </w:r>
            <w:r>
              <w:rPr>
                <w:rFonts w:ascii="Times New Roman" w:hAnsi="Times New Roman" w:hint="eastAsia"/>
                <w:kern w:val="0"/>
                <w:sz w:val="20"/>
                <w:szCs w:val="20"/>
              </w:rPr>
              <w:t>自动控制的基本概念</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 xml:space="preserve">12.2 </w:t>
            </w:r>
            <w:r>
              <w:rPr>
                <w:rFonts w:ascii="Times New Roman" w:hAnsi="Times New Roman" w:hint="eastAsia"/>
                <w:kern w:val="0"/>
                <w:sz w:val="20"/>
                <w:szCs w:val="20"/>
              </w:rPr>
              <w:t>消声隔振原理及方法</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了解暖通空调系统自动控制的基本概念和要求；掌握空调通风系统的消声、隔热与设备房的噪声控制方法</w:t>
            </w:r>
          </w:p>
        </w:tc>
      </w:tr>
      <w:tr w:rsidR="00450ABE" w:rsidTr="008C3907">
        <w:trPr>
          <w:trHeight w:val="239"/>
        </w:trPr>
        <w:tc>
          <w:tcPr>
            <w:tcW w:w="512" w:type="dxa"/>
            <w:vAlign w:val="center"/>
          </w:tcPr>
          <w:p w:rsidR="00450ABE" w:rsidRDefault="00450ABE" w:rsidP="008C3907">
            <w:pPr>
              <w:jc w:val="center"/>
              <w:rPr>
                <w:rFonts w:ascii="Times New Roman" w:hAnsi="Times New Roman"/>
                <w:kern w:val="0"/>
                <w:sz w:val="20"/>
                <w:szCs w:val="20"/>
              </w:rPr>
            </w:pP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课程实验</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散热器热工性能实验</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热水采暖系统演示</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散热器热工性能测试方法；</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热水采暖系统认知；</w:t>
            </w:r>
          </w:p>
        </w:tc>
      </w:tr>
      <w:tr w:rsidR="00450ABE" w:rsidTr="008C3907">
        <w:trPr>
          <w:trHeight w:val="231"/>
        </w:trPr>
        <w:tc>
          <w:tcPr>
            <w:tcW w:w="512" w:type="dxa"/>
            <w:vAlign w:val="center"/>
          </w:tcPr>
          <w:p w:rsidR="00450ABE" w:rsidRDefault="00450ABE" w:rsidP="008C3907">
            <w:pPr>
              <w:jc w:val="center"/>
              <w:rPr>
                <w:rFonts w:ascii="Times New Roman" w:hAnsi="Times New Roman"/>
                <w:kern w:val="0"/>
                <w:sz w:val="20"/>
                <w:szCs w:val="20"/>
              </w:rPr>
            </w:pPr>
          </w:p>
        </w:tc>
        <w:tc>
          <w:tcPr>
            <w:tcW w:w="2102"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课程实验</w:t>
            </w:r>
          </w:p>
        </w:tc>
        <w:tc>
          <w:tcPr>
            <w:tcW w:w="727"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2</w:t>
            </w:r>
          </w:p>
        </w:tc>
        <w:tc>
          <w:tcPr>
            <w:tcW w:w="3059"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风口动力性能测定</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（或空气处理过程与调节）</w:t>
            </w:r>
          </w:p>
        </w:tc>
        <w:tc>
          <w:tcPr>
            <w:tcW w:w="2755" w:type="dxa"/>
            <w:vAlign w:val="center"/>
          </w:tcPr>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风口气流分布的测试方法</w:t>
            </w:r>
          </w:p>
          <w:p w:rsidR="00450ABE" w:rsidRDefault="00450ABE" w:rsidP="008C3907">
            <w:pPr>
              <w:rPr>
                <w:rFonts w:ascii="Times New Roman" w:hAnsi="Times New Roman"/>
                <w:kern w:val="0"/>
                <w:sz w:val="20"/>
                <w:szCs w:val="20"/>
              </w:rPr>
            </w:pPr>
            <w:r>
              <w:rPr>
                <w:rFonts w:ascii="Times New Roman" w:hAnsi="Times New Roman" w:hint="eastAsia"/>
                <w:kern w:val="0"/>
                <w:sz w:val="20"/>
                <w:szCs w:val="20"/>
              </w:rPr>
              <w:t>（全空气系统空气处理过程的测试和调节）</w:t>
            </w:r>
          </w:p>
        </w:tc>
      </w:tr>
    </w:tbl>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450ABE" w:rsidRDefault="00450ABE" w:rsidP="00450ABE">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450ABE" w:rsidRDefault="00450ABE" w:rsidP="00450ABE">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考试</w:t>
      </w:r>
    </w:p>
    <w:p w:rsidR="00450ABE" w:rsidRDefault="00450ABE"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450ABE" w:rsidRDefault="00450ABE" w:rsidP="00450ABE">
      <w:pPr>
        <w:spacing w:line="360" w:lineRule="auto"/>
        <w:ind w:left="560"/>
        <w:rPr>
          <w:rFonts w:ascii="仿宋_GB2312" w:hAnsi="仿宋_GB2312" w:cs="仿宋_GB2312"/>
          <w:sz w:val="28"/>
          <w:szCs w:val="28"/>
        </w:rPr>
      </w:pPr>
      <w:r>
        <w:rPr>
          <w:rFonts w:ascii="仿宋_GB2312" w:hAnsi="仿宋_GB2312" w:cs="仿宋_GB2312" w:hint="eastAsia"/>
          <w:sz w:val="28"/>
          <w:szCs w:val="28"/>
        </w:rPr>
        <w:t>采用平时成绩+期末考试方式确定总评成绩。其中平时成绩考核包括作业、讨论、出勤等内容，期末考试采用闭卷方式。平时成绩占20%～30%，期末考试成绩占80%～70%。</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450ABE" w:rsidRDefault="00450ABE" w:rsidP="00450ABE">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450ABE" w:rsidRDefault="00450ABE" w:rsidP="00450ABE">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暖通空调，陆亚俊主编，中国建筑工业出版社，2015年12月第三版。</w:t>
      </w:r>
    </w:p>
    <w:p w:rsidR="00450ABE" w:rsidRDefault="00450ABE" w:rsidP="00450ABE">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450ABE" w:rsidRDefault="00450ABE" w:rsidP="00450ABE">
      <w:pPr>
        <w:spacing w:beforeLines="50" w:before="156" w:afterLines="50" w:after="156" w:line="460" w:lineRule="exact"/>
        <w:ind w:firstLineChars="247" w:firstLine="692"/>
        <w:rPr>
          <w:rFonts w:ascii="仿宋_GB2312" w:hAnsi="仿宋_GB2312" w:cs="仿宋_GB2312"/>
          <w:sz w:val="28"/>
          <w:szCs w:val="28"/>
        </w:rPr>
      </w:pPr>
      <w:r>
        <w:rPr>
          <w:rFonts w:ascii="仿宋_GB2312" w:hAnsi="仿宋_GB2312" w:cs="仿宋_GB2312" w:hint="eastAsia"/>
          <w:sz w:val="28"/>
          <w:szCs w:val="28"/>
        </w:rPr>
        <w:t>空气调节，赵荣义等，中国建筑工业出版社，2009年3月第四版；</w:t>
      </w:r>
    </w:p>
    <w:p w:rsidR="00450ABE" w:rsidRDefault="00450ABE" w:rsidP="00450ABE">
      <w:pPr>
        <w:spacing w:beforeLines="50" w:before="156" w:afterLines="50" w:after="156" w:line="460" w:lineRule="exact"/>
        <w:ind w:firstLineChars="247" w:firstLine="692"/>
        <w:rPr>
          <w:rFonts w:ascii="仿宋_GB2312" w:hAnsi="仿宋_GB2312" w:cs="仿宋_GB2312"/>
          <w:sz w:val="28"/>
          <w:szCs w:val="28"/>
        </w:rPr>
      </w:pPr>
      <w:r>
        <w:rPr>
          <w:rFonts w:ascii="仿宋_GB2312" w:hAnsi="仿宋_GB2312" w:cs="仿宋_GB2312" w:hint="eastAsia"/>
          <w:sz w:val="28"/>
          <w:szCs w:val="28"/>
        </w:rPr>
        <w:lastRenderedPageBreak/>
        <w:t>现行相关专业规范。</w:t>
      </w:r>
    </w:p>
    <w:p w:rsidR="00450ABE" w:rsidRDefault="00450ABE" w:rsidP="00450ABE">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450ABE" w:rsidRDefault="00450ABE" w:rsidP="00450ABE">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部分章节，可在实验室现场实物演示教学；</w:t>
      </w:r>
    </w:p>
    <w:p w:rsidR="00450ABE" w:rsidRDefault="00450ABE" w:rsidP="00450ABE">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学堂在线线上开放课程，《暖通空调》（清华大学，朱颖心），推荐作为学生课外学习资料。</w:t>
      </w:r>
    </w:p>
    <w:p w:rsidR="00450ABE" w:rsidRDefault="00450ABE" w:rsidP="00450ABE">
      <w:pPr>
        <w:spacing w:beforeLines="50" w:before="156" w:afterLines="50" w:after="156" w:line="360" w:lineRule="auto"/>
        <w:rPr>
          <w:rFonts w:ascii="黑体" w:eastAsia="黑体" w:hAnsi="黑体"/>
          <w:b/>
          <w:sz w:val="28"/>
          <w:szCs w:val="28"/>
        </w:rPr>
      </w:pPr>
    </w:p>
    <w:p w:rsidR="00450ABE" w:rsidRDefault="00450ABE" w:rsidP="00450ABE">
      <w:pPr>
        <w:spacing w:beforeLines="50" w:before="156" w:afterLines="50" w:after="156" w:line="460" w:lineRule="exact"/>
        <w:rPr>
          <w:rFonts w:ascii="黑体" w:eastAsia="黑体" w:hAnsi="黑体"/>
          <w:b/>
          <w:sz w:val="28"/>
          <w:szCs w:val="28"/>
        </w:rPr>
      </w:pPr>
    </w:p>
    <w:p w:rsidR="00450ABE" w:rsidRDefault="00450ABE" w:rsidP="00450ABE">
      <w:pPr>
        <w:spacing w:beforeLines="50" w:before="156" w:afterLines="50" w:after="156" w:line="460" w:lineRule="exact"/>
        <w:rPr>
          <w:rFonts w:ascii="黑体" w:eastAsia="黑体" w:hAnsi="黑体"/>
          <w:b/>
          <w:sz w:val="28"/>
          <w:szCs w:val="28"/>
        </w:rPr>
      </w:pPr>
    </w:p>
    <w:p w:rsidR="00450ABE" w:rsidRDefault="00450ABE" w:rsidP="00450ABE">
      <w:pPr>
        <w:spacing w:beforeLines="50" w:before="156" w:afterLines="50" w:after="156" w:line="460" w:lineRule="exact"/>
        <w:rPr>
          <w:rFonts w:ascii="黑体" w:eastAsia="黑体" w:hAnsi="黑体"/>
          <w:b/>
          <w:sz w:val="28"/>
          <w:szCs w:val="28"/>
        </w:rPr>
      </w:pPr>
    </w:p>
    <w:p w:rsidR="00450ABE" w:rsidRDefault="00450ABE" w:rsidP="00450ABE">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大纲撰写人：曹立新</w:t>
      </w:r>
    </w:p>
    <w:p w:rsidR="00450ABE" w:rsidRDefault="00450ABE" w:rsidP="00450ABE">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课程负责人：曹立新</w:t>
      </w:r>
    </w:p>
    <w:p w:rsidR="00450ABE" w:rsidRDefault="00450ABE" w:rsidP="00450ABE">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450ABE" w:rsidRDefault="00450ABE" w:rsidP="00450ABE">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450ABE" w:rsidRDefault="00450ABE" w:rsidP="00450ABE">
      <w:pPr>
        <w:ind w:firstLineChars="2000" w:firstLine="5600"/>
        <w:jc w:val="left"/>
        <w:rPr>
          <w:rFonts w:ascii="仿宋" w:hAnsi="仿宋"/>
          <w:sz w:val="28"/>
          <w:szCs w:val="28"/>
        </w:rPr>
      </w:pPr>
      <w:r>
        <w:rPr>
          <w:rFonts w:ascii="仿宋_GB2312" w:hAnsi="微软雅黑" w:hint="eastAsia"/>
          <w:sz w:val="28"/>
          <w:szCs w:val="28"/>
        </w:rPr>
        <w:t xml:space="preserve">    </w:t>
      </w:r>
    </w:p>
    <w:p w:rsidR="00450ABE" w:rsidRDefault="00450ABE" w:rsidP="00450ABE">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04</w:t>
      </w:r>
      <w:r>
        <w:rPr>
          <w:rFonts w:ascii="仿宋" w:eastAsia="仿宋" w:hAnsi="仿宋" w:hint="eastAsia"/>
          <w:sz w:val="28"/>
          <w:szCs w:val="28"/>
        </w:rPr>
        <w:t>月</w:t>
      </w:r>
    </w:p>
    <w:p w:rsidR="00450ABE" w:rsidRDefault="00450ABE"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bCs/>
          <w:color w:val="000000"/>
          <w:kern w:val="0"/>
          <w:szCs w:val="32"/>
        </w:rPr>
      </w:pPr>
    </w:p>
    <w:p w:rsidR="005708AF" w:rsidRDefault="005708AF" w:rsidP="00450ABE">
      <w:pPr>
        <w:widowControl/>
        <w:spacing w:line="400" w:lineRule="exact"/>
        <w:rPr>
          <w:rFonts w:ascii="黑体" w:eastAsia="黑体" w:hAnsi="黑体" w:cs="宋体" w:hint="eastAsia"/>
          <w:bCs/>
          <w:color w:val="000000"/>
          <w:kern w:val="0"/>
          <w:szCs w:val="32"/>
        </w:rPr>
      </w:pPr>
    </w:p>
    <w:p w:rsidR="00C20406" w:rsidRDefault="00C20406" w:rsidP="00C20406">
      <w:pPr>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《燃料燃烧与器具》课程教学大纲</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一、课程基本信息</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课程编码：Z2807050</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 xml:space="preserve">英文名称：Fuel burning and appliances </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分：2</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时：32学时（授课28，实验4）</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适用对象：建筑环境与能源应用专业</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bCs/>
          <w:sz w:val="28"/>
          <w:szCs w:val="28"/>
        </w:rPr>
        <w:t>课程性质</w:t>
      </w:r>
      <w:r>
        <w:rPr>
          <w:rFonts w:ascii="仿宋_GB2312" w:hAnsi="仿宋_GB2312" w:cs="仿宋_GB2312" w:hint="eastAsia"/>
          <w:bCs/>
          <w:sz w:val="28"/>
          <w:szCs w:val="28"/>
        </w:rPr>
        <w:t>：专业发展课</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先修课程：传热学，工程热力学，流体力学，</w:t>
      </w:r>
      <w:r>
        <w:rPr>
          <w:rFonts w:ascii="仿宋_GB2312" w:hAnsi="仿宋_GB2312" w:cs="仿宋_GB2312"/>
          <w:bCs/>
          <w:sz w:val="28"/>
          <w:szCs w:val="28"/>
        </w:rPr>
        <w:t>热质交换原理与设备等</w:t>
      </w:r>
      <w:r>
        <w:rPr>
          <w:rFonts w:ascii="仿宋_GB2312" w:hAnsi="仿宋_GB2312" w:cs="仿宋_GB2312" w:hint="eastAsia"/>
          <w:bCs/>
          <w:sz w:val="28"/>
          <w:szCs w:val="28"/>
        </w:rPr>
        <w:t>。</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开课院系：建工学院建筑环境与能源应用系</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20406" w:rsidRDefault="00C20406" w:rsidP="00C20406">
      <w:pPr>
        <w:spacing w:line="360" w:lineRule="auto"/>
        <w:ind w:firstLine="331"/>
        <w:rPr>
          <w:rFonts w:ascii="仿宋_GB2312" w:hAnsi="仿宋_GB2312" w:cs="仿宋_GB2312"/>
          <w:bCs/>
          <w:sz w:val="28"/>
          <w:szCs w:val="28"/>
        </w:rPr>
      </w:pPr>
      <w:r>
        <w:rPr>
          <w:rFonts w:ascii="宋体" w:hAnsi="宋体" w:hint="eastAsia"/>
          <w:sz w:val="24"/>
          <w:szCs w:val="24"/>
        </w:rPr>
        <w:t xml:space="preserve"> </w:t>
      </w:r>
      <w:r>
        <w:rPr>
          <w:rFonts w:ascii="仿宋_GB2312" w:hAnsi="仿宋_GB2312" w:cs="仿宋_GB2312" w:hint="eastAsia"/>
          <w:bCs/>
          <w:sz w:val="28"/>
          <w:szCs w:val="28"/>
        </w:rPr>
        <w:t xml:space="preserve">  《燃料燃烧与器具》课程是建筑环境与能源应用工程专业学生的一门专业发展必修课。主要阐述石化燃料的特性及燃烧计算、燃烧反应动力学基础、火焰的传播及其稳定原理、燃烧器具的工作原理及特性。</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bCs/>
          <w:sz w:val="28"/>
          <w:szCs w:val="28"/>
        </w:rPr>
        <w:t>教学方式</w:t>
      </w:r>
      <w:r>
        <w:rPr>
          <w:rFonts w:ascii="仿宋_GB2312" w:hAnsi="仿宋_GB2312" w:cs="仿宋_GB2312" w:hint="eastAsia"/>
          <w:bCs/>
          <w:sz w:val="28"/>
          <w:szCs w:val="28"/>
        </w:rPr>
        <w:t>采用</w:t>
      </w:r>
      <w:r>
        <w:rPr>
          <w:rFonts w:ascii="仿宋_GB2312" w:hAnsi="仿宋_GB2312" w:cs="仿宋_GB2312"/>
          <w:bCs/>
          <w:sz w:val="28"/>
          <w:szCs w:val="28"/>
        </w:rPr>
        <w:t>PPT</w:t>
      </w:r>
      <w:r>
        <w:rPr>
          <w:rFonts w:ascii="仿宋_GB2312" w:hAnsi="仿宋_GB2312" w:cs="仿宋_GB2312" w:hint="eastAsia"/>
          <w:bCs/>
          <w:sz w:val="28"/>
          <w:szCs w:val="28"/>
        </w:rPr>
        <w:t>、板书、实验、课后思考题和练习题等相结合进行授课，并结合课程设计教学环节，使学生具备最基本燃料燃烧计算、燃烧设备的选择能力。</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lastRenderedPageBreak/>
        <w:t>1. 课程任务</w:t>
      </w:r>
    </w:p>
    <w:p w:rsidR="00C20406" w:rsidRDefault="00C20406" w:rsidP="00C20406">
      <w:pPr>
        <w:ind w:firstLineChars="100" w:firstLine="280"/>
        <w:rPr>
          <w:rFonts w:ascii="仿宋_GB2312" w:hAnsi="仿宋_GB2312" w:cs="仿宋_GB2312"/>
          <w:bCs/>
          <w:sz w:val="28"/>
          <w:szCs w:val="28"/>
        </w:rPr>
      </w:pPr>
      <w:r>
        <w:rPr>
          <w:rFonts w:ascii="仿宋_GB2312" w:hAnsi="仿宋_GB2312" w:cs="仿宋_GB2312" w:hint="eastAsia"/>
          <w:bCs/>
          <w:sz w:val="28"/>
          <w:szCs w:val="28"/>
        </w:rPr>
        <w:t>《燃料燃烧与器具》是建筑环境与能源应用工程专业的专业课程。通过课堂教学等环节，使学生系统掌握燃料的燃烧理论、燃烧方法，了解燃烧器设计的基本知识，掌握各种燃烧器具的工作原理和特性。培养学生能够进行民用、工业用燃烧设备的选择计算和运行管理的能力。</w:t>
      </w:r>
    </w:p>
    <w:p w:rsidR="00C20406" w:rsidRDefault="00C20406"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C20406" w:rsidRDefault="00C20406" w:rsidP="00C20406">
      <w:pPr>
        <w:ind w:firstLineChars="100" w:firstLine="280"/>
        <w:rPr>
          <w:rFonts w:ascii="仿宋_GB2312" w:hAnsi="仿宋_GB2312" w:cs="仿宋_GB2312"/>
          <w:bCs/>
          <w:sz w:val="28"/>
          <w:szCs w:val="28"/>
        </w:rPr>
      </w:pPr>
      <w:r>
        <w:rPr>
          <w:rFonts w:ascii="仿宋_GB2312" w:hAnsi="仿宋_GB2312" w:cs="仿宋_GB2312" w:hint="eastAsia"/>
          <w:bCs/>
          <w:sz w:val="28"/>
          <w:szCs w:val="28"/>
        </w:rPr>
        <w:t>2.1课程目标</w:t>
      </w:r>
    </w:p>
    <w:p w:rsidR="00C20406" w:rsidRDefault="00C20406" w:rsidP="00C20406">
      <w:pPr>
        <w:snapToGrid w:val="0"/>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 xml:space="preserve">教学目标1 </w:t>
      </w:r>
      <w:r>
        <w:rPr>
          <w:rFonts w:ascii="仿宋_GB2312" w:hAnsi="仿宋_GB2312" w:cs="仿宋_GB2312"/>
          <w:bCs/>
          <w:sz w:val="28"/>
          <w:szCs w:val="28"/>
        </w:rPr>
        <w:t>掌握固体燃料,液体燃料及气体燃料的种类,化学组成,物化性质及使用性能</w:t>
      </w:r>
      <w:r>
        <w:rPr>
          <w:rFonts w:ascii="仿宋_GB2312" w:hAnsi="仿宋_GB2312" w:cs="仿宋_GB2312" w:hint="eastAsia"/>
          <w:bCs/>
          <w:sz w:val="28"/>
          <w:szCs w:val="28"/>
        </w:rPr>
        <w:t>。</w:t>
      </w:r>
    </w:p>
    <w:p w:rsidR="00C20406" w:rsidRDefault="00C20406" w:rsidP="00C20406">
      <w:pPr>
        <w:snapToGrid w:val="0"/>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 xml:space="preserve">教学目标2 </w:t>
      </w:r>
      <w:r>
        <w:rPr>
          <w:rFonts w:ascii="仿宋_GB2312" w:hAnsi="仿宋_GB2312" w:cs="仿宋_GB2312"/>
          <w:bCs/>
          <w:sz w:val="28"/>
          <w:szCs w:val="28"/>
        </w:rPr>
        <w:t>掌握各种</w:t>
      </w:r>
      <w:r>
        <w:rPr>
          <w:rFonts w:ascii="仿宋_GB2312" w:hAnsi="仿宋_GB2312" w:cs="仿宋_GB2312" w:hint="eastAsia"/>
          <w:bCs/>
          <w:sz w:val="28"/>
          <w:szCs w:val="28"/>
        </w:rPr>
        <w:t>燃料燃烧</w:t>
      </w:r>
      <w:r>
        <w:rPr>
          <w:rFonts w:ascii="仿宋_GB2312" w:hAnsi="仿宋_GB2312" w:cs="仿宋_GB2312"/>
          <w:bCs/>
          <w:sz w:val="28"/>
          <w:szCs w:val="28"/>
        </w:rPr>
        <w:t>所需的空气量计算,掌握完全燃烧时的烟气量计算,熟悉烟气的检测与分析计算,掌握燃料的燃烧温度计算,了解不完全燃烧时的烟气量及热损失量的计算</w:t>
      </w:r>
      <w:r>
        <w:rPr>
          <w:rFonts w:ascii="仿宋_GB2312" w:hAnsi="仿宋_GB2312" w:cs="仿宋_GB2312" w:hint="eastAsia"/>
          <w:bCs/>
          <w:sz w:val="28"/>
          <w:szCs w:val="28"/>
        </w:rPr>
        <w:t>。</w:t>
      </w:r>
      <w:r>
        <w:rPr>
          <w:rFonts w:ascii="仿宋_GB2312" w:hAnsi="仿宋_GB2312" w:cs="仿宋_GB2312"/>
          <w:bCs/>
          <w:sz w:val="28"/>
          <w:szCs w:val="28"/>
        </w:rPr>
        <w:br/>
      </w:r>
      <w:r>
        <w:rPr>
          <w:rFonts w:ascii="仿宋_GB2312" w:hAnsi="仿宋_GB2312" w:cs="仿宋_GB2312" w:hint="eastAsia"/>
          <w:bCs/>
          <w:sz w:val="28"/>
          <w:szCs w:val="28"/>
        </w:rPr>
        <w:t xml:space="preserve">    教学目标3 熟悉</w:t>
      </w:r>
      <w:r>
        <w:rPr>
          <w:rFonts w:ascii="仿宋_GB2312" w:hAnsi="仿宋_GB2312" w:cs="仿宋_GB2312"/>
          <w:bCs/>
          <w:sz w:val="28"/>
          <w:szCs w:val="28"/>
        </w:rPr>
        <w:t>影响化学反应速度的因素,理解可燃气体的燃烧反应机理,熟悉燃气的着火机理及着火过程,掌握燃气的点火方法</w:t>
      </w:r>
      <w:r>
        <w:rPr>
          <w:rFonts w:ascii="仿宋_GB2312" w:hAnsi="仿宋_GB2312" w:cs="仿宋_GB2312" w:hint="eastAsia"/>
          <w:bCs/>
          <w:sz w:val="28"/>
          <w:szCs w:val="28"/>
        </w:rPr>
        <w:t>。</w:t>
      </w:r>
      <w:r>
        <w:rPr>
          <w:rFonts w:ascii="仿宋_GB2312" w:hAnsi="仿宋_GB2312" w:cs="仿宋_GB2312"/>
          <w:bCs/>
          <w:sz w:val="28"/>
          <w:szCs w:val="28"/>
        </w:rPr>
        <w:br/>
      </w:r>
      <w:r>
        <w:rPr>
          <w:rFonts w:ascii="仿宋_GB2312" w:hAnsi="仿宋_GB2312" w:cs="仿宋_GB2312" w:hint="eastAsia"/>
          <w:bCs/>
          <w:sz w:val="28"/>
          <w:szCs w:val="28"/>
        </w:rPr>
        <w:t xml:space="preserve">    教学目标4 熟悉</w:t>
      </w:r>
      <w:r>
        <w:rPr>
          <w:rFonts w:ascii="仿宋_GB2312" w:hAnsi="仿宋_GB2312" w:cs="仿宋_GB2312"/>
          <w:bCs/>
          <w:sz w:val="28"/>
          <w:szCs w:val="28"/>
        </w:rPr>
        <w:t>静止气体中自由射流的运动规律,平行气流的流动规律,横向气流中的射流运动规律,</w:t>
      </w:r>
      <w:r>
        <w:rPr>
          <w:rFonts w:ascii="仿宋_GB2312" w:hAnsi="仿宋_GB2312" w:cs="仿宋_GB2312" w:hint="eastAsia"/>
          <w:bCs/>
          <w:sz w:val="28"/>
          <w:szCs w:val="28"/>
        </w:rPr>
        <w:t>熟悉</w:t>
      </w:r>
      <w:r>
        <w:rPr>
          <w:rFonts w:ascii="仿宋_GB2312" w:hAnsi="仿宋_GB2312" w:cs="仿宋_GB2312"/>
          <w:bCs/>
          <w:sz w:val="28"/>
          <w:szCs w:val="28"/>
        </w:rPr>
        <w:t>旋转射流的特性及运动规律,了解紊流扩散过程的混合规律</w:t>
      </w:r>
      <w:r>
        <w:rPr>
          <w:rFonts w:ascii="仿宋_GB2312" w:hAnsi="仿宋_GB2312" w:cs="仿宋_GB2312" w:hint="eastAsia"/>
          <w:bCs/>
          <w:sz w:val="28"/>
          <w:szCs w:val="28"/>
        </w:rPr>
        <w:t>。</w:t>
      </w:r>
    </w:p>
    <w:p w:rsidR="00C20406" w:rsidRDefault="00C20406" w:rsidP="00C20406">
      <w:pPr>
        <w:snapToGrid w:val="0"/>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 xml:space="preserve">教学目标5 </w:t>
      </w:r>
      <w:r>
        <w:rPr>
          <w:rFonts w:ascii="仿宋_GB2312" w:hAnsi="仿宋_GB2312" w:cs="仿宋_GB2312"/>
          <w:bCs/>
          <w:sz w:val="28"/>
          <w:szCs w:val="28"/>
        </w:rPr>
        <w:t>熟悉火焰传播的理论基础,掌握影响火焰传播速度的因素,熟悉预混可燃气体火焰传播速度的计算,了解紊流火焰传播速度理论,掌握影响火焰传播的浓度极限的因素</w:t>
      </w:r>
      <w:r>
        <w:rPr>
          <w:rFonts w:ascii="仿宋_GB2312" w:hAnsi="仿宋_GB2312" w:cs="仿宋_GB2312" w:hint="eastAsia"/>
          <w:bCs/>
          <w:sz w:val="28"/>
          <w:szCs w:val="28"/>
        </w:rPr>
        <w:t>。</w:t>
      </w:r>
    </w:p>
    <w:p w:rsidR="00C20406" w:rsidRDefault="00C20406" w:rsidP="00C20406">
      <w:pPr>
        <w:snapToGrid w:val="0"/>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 xml:space="preserve">教学目标6 </w:t>
      </w:r>
      <w:r>
        <w:rPr>
          <w:rFonts w:ascii="仿宋_GB2312" w:hAnsi="仿宋_GB2312" w:cs="仿宋_GB2312"/>
          <w:bCs/>
          <w:sz w:val="28"/>
          <w:szCs w:val="28"/>
        </w:rPr>
        <w:t>熟悉预混气中火焰的稳定条件,掌握高速气流中火焰的稳定方法,熟悉扩散火焰的稳定特性及其稳定条件</w:t>
      </w:r>
      <w:r>
        <w:rPr>
          <w:rFonts w:ascii="仿宋_GB2312" w:hAnsi="仿宋_GB2312" w:cs="仿宋_GB2312" w:hint="eastAsia"/>
          <w:bCs/>
          <w:sz w:val="28"/>
          <w:szCs w:val="28"/>
        </w:rPr>
        <w:t>。</w:t>
      </w:r>
    </w:p>
    <w:p w:rsidR="00C20406" w:rsidRDefault="00C20406" w:rsidP="00C20406">
      <w:pPr>
        <w:snapToGrid w:val="0"/>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 xml:space="preserve">教学目标7 </w:t>
      </w:r>
      <w:r>
        <w:rPr>
          <w:rFonts w:ascii="仿宋_GB2312" w:hAnsi="仿宋_GB2312" w:cs="仿宋_GB2312"/>
          <w:bCs/>
          <w:sz w:val="28"/>
          <w:szCs w:val="28"/>
        </w:rPr>
        <w:t>掌握气体燃料的扩散式燃烧方法,掌握气体燃料的部</w:t>
      </w:r>
      <w:r>
        <w:rPr>
          <w:rFonts w:ascii="仿宋_GB2312" w:hAnsi="仿宋_GB2312" w:cs="仿宋_GB2312"/>
          <w:bCs/>
          <w:sz w:val="28"/>
          <w:szCs w:val="28"/>
        </w:rPr>
        <w:lastRenderedPageBreak/>
        <w:t>分预混式燃烧方法,熟悉气体燃料的完全预混式燃烧方法,掌握燃烧过程的强化方法与完善技术</w:t>
      </w:r>
      <w:r>
        <w:rPr>
          <w:rFonts w:ascii="仿宋_GB2312" w:hAnsi="仿宋_GB2312" w:cs="仿宋_GB2312" w:hint="eastAsia"/>
          <w:bCs/>
          <w:sz w:val="28"/>
          <w:szCs w:val="28"/>
        </w:rPr>
        <w:t>。</w:t>
      </w:r>
    </w:p>
    <w:p w:rsidR="00C20406" w:rsidRDefault="00C20406" w:rsidP="00C20406">
      <w:pPr>
        <w:snapToGrid w:val="0"/>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 xml:space="preserve">教学目标8 </w:t>
      </w:r>
      <w:r>
        <w:rPr>
          <w:rFonts w:ascii="仿宋_GB2312" w:hAnsi="仿宋_GB2312" w:cs="仿宋_GB2312"/>
          <w:bCs/>
          <w:sz w:val="28"/>
          <w:szCs w:val="28"/>
        </w:rPr>
        <w:t>熟悉液体燃料燃烧过程的特点,了解液体燃料的雾化及雾化装置,熟悉油滴燃烧和油雾燃烧机理,了解燃料油的乳化燃烧技术</w:t>
      </w:r>
      <w:r>
        <w:rPr>
          <w:rFonts w:ascii="仿宋_GB2312" w:hAnsi="仿宋_GB2312" w:cs="仿宋_GB2312" w:hint="eastAsia"/>
          <w:bCs/>
          <w:sz w:val="28"/>
          <w:szCs w:val="28"/>
        </w:rPr>
        <w:t>。</w:t>
      </w:r>
    </w:p>
    <w:p w:rsidR="00C20406" w:rsidRDefault="00C20406" w:rsidP="00C20406">
      <w:pPr>
        <w:snapToGrid w:val="0"/>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 xml:space="preserve">教学目标9 </w:t>
      </w:r>
      <w:r>
        <w:rPr>
          <w:rFonts w:ascii="仿宋_GB2312" w:hAnsi="仿宋_GB2312" w:cs="仿宋_GB2312"/>
          <w:bCs/>
          <w:sz w:val="28"/>
          <w:szCs w:val="28"/>
        </w:rPr>
        <w:t>熟悉固体燃料的燃烧方法,掌握碳粒的燃烧理论,熟悉碳粒燃烬时间及影响因素,掌握碳粒的着火与熄火</w:t>
      </w:r>
      <w:r>
        <w:rPr>
          <w:rFonts w:ascii="仿宋_GB2312" w:hAnsi="仿宋_GB2312" w:cs="仿宋_GB2312" w:hint="eastAsia"/>
          <w:bCs/>
          <w:sz w:val="28"/>
          <w:szCs w:val="28"/>
        </w:rPr>
        <w:t>。</w:t>
      </w:r>
    </w:p>
    <w:p w:rsidR="00C20406" w:rsidRDefault="00C20406" w:rsidP="00C20406">
      <w:pPr>
        <w:snapToGrid w:val="0"/>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 xml:space="preserve">教学目标10 </w:t>
      </w:r>
      <w:r>
        <w:rPr>
          <w:rFonts w:ascii="仿宋_GB2312" w:hAnsi="仿宋_GB2312" w:cs="仿宋_GB2312"/>
          <w:bCs/>
          <w:sz w:val="28"/>
          <w:szCs w:val="28"/>
        </w:rPr>
        <w:t>熟悉燃料燃烧造成的大气环境污染,了解烟尘生成机理及防治方法,熟悉硫的氧化物生成机理及防治方法,掌握氮的氧化物生成机理及防治方法,熟悉低NOx燃烧方法及其低NOx燃烧装置</w:t>
      </w:r>
      <w:r>
        <w:rPr>
          <w:rFonts w:ascii="仿宋_GB2312" w:hAnsi="仿宋_GB2312" w:cs="仿宋_GB2312" w:hint="eastAsia"/>
          <w:bCs/>
          <w:sz w:val="28"/>
          <w:szCs w:val="28"/>
        </w:rPr>
        <w:t>。</w:t>
      </w:r>
    </w:p>
    <w:p w:rsidR="00C20406" w:rsidRDefault="00C20406" w:rsidP="00C20406">
      <w:pPr>
        <w:spacing w:line="360" w:lineRule="auto"/>
        <w:ind w:firstLineChars="100" w:firstLine="280"/>
        <w:rPr>
          <w:rFonts w:ascii="仿宋_GB2312" w:hAnsi="仿宋_GB2312" w:cs="仿宋_GB2312"/>
          <w:sz w:val="28"/>
          <w:szCs w:val="28"/>
        </w:rPr>
      </w:pPr>
      <w:r>
        <w:rPr>
          <w:rFonts w:ascii="仿宋_GB2312" w:hAnsi="仿宋_GB2312" w:cs="仿宋_GB2312" w:hint="eastAsia"/>
          <w:bCs/>
          <w:sz w:val="28"/>
          <w:szCs w:val="28"/>
        </w:rPr>
        <w:t>2.2 课程目标与毕业要求之间的对应关系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568"/>
        <w:gridCol w:w="1339"/>
      </w:tblGrid>
      <w:tr w:rsidR="00C20406" w:rsidTr="008C3907">
        <w:trPr>
          <w:trHeight w:val="567"/>
        </w:trPr>
        <w:tc>
          <w:tcPr>
            <w:tcW w:w="1602" w:type="dxa"/>
            <w:vAlign w:val="center"/>
          </w:tcPr>
          <w:p w:rsidR="00C20406" w:rsidRDefault="00C20406" w:rsidP="008C3907">
            <w:pPr>
              <w:snapToGrid w:val="0"/>
              <w:spacing w:line="360" w:lineRule="auto"/>
              <w:jc w:val="center"/>
              <w:rPr>
                <w:rFonts w:ascii="华文中宋" w:eastAsia="华文中宋" w:hAnsi="华文中宋"/>
                <w:szCs w:val="21"/>
              </w:rPr>
            </w:pPr>
            <w:r>
              <w:rPr>
                <w:rFonts w:ascii="华文中宋" w:eastAsia="华文中宋" w:hAnsi="华文中宋" w:hint="eastAsia"/>
                <w:szCs w:val="21"/>
              </w:rPr>
              <w:t>毕业要求</w:t>
            </w:r>
          </w:p>
        </w:tc>
        <w:tc>
          <w:tcPr>
            <w:tcW w:w="6807" w:type="dxa"/>
            <w:vAlign w:val="center"/>
          </w:tcPr>
          <w:p w:rsidR="00C20406" w:rsidRDefault="00C20406" w:rsidP="008C3907">
            <w:pPr>
              <w:snapToGrid w:val="0"/>
              <w:spacing w:line="360" w:lineRule="auto"/>
              <w:jc w:val="center"/>
              <w:rPr>
                <w:rFonts w:ascii="华文中宋" w:eastAsia="华文中宋" w:hAnsi="华文中宋"/>
                <w:szCs w:val="21"/>
              </w:rPr>
            </w:pPr>
            <w:r>
              <w:rPr>
                <w:rFonts w:ascii="华文中宋" w:eastAsia="华文中宋" w:hAnsi="华文中宋" w:hint="eastAsia"/>
                <w:szCs w:val="21"/>
              </w:rPr>
              <w:t>毕业要求指标点</w:t>
            </w:r>
          </w:p>
        </w:tc>
        <w:tc>
          <w:tcPr>
            <w:tcW w:w="1445" w:type="dxa"/>
            <w:vAlign w:val="center"/>
          </w:tcPr>
          <w:p w:rsidR="00C20406" w:rsidRDefault="00C20406" w:rsidP="008C3907">
            <w:pPr>
              <w:snapToGrid w:val="0"/>
              <w:spacing w:line="360" w:lineRule="auto"/>
              <w:jc w:val="center"/>
              <w:rPr>
                <w:rFonts w:ascii="华文中宋" w:eastAsia="华文中宋" w:hAnsi="华文中宋"/>
                <w:szCs w:val="21"/>
              </w:rPr>
            </w:pPr>
            <w:r>
              <w:rPr>
                <w:rFonts w:ascii="华文中宋" w:eastAsia="华文中宋" w:hAnsi="华文中宋" w:hint="eastAsia"/>
                <w:szCs w:val="21"/>
              </w:rPr>
              <w:t>教学目标</w:t>
            </w:r>
          </w:p>
        </w:tc>
      </w:tr>
      <w:tr w:rsidR="00C20406" w:rsidTr="008C3907">
        <w:tc>
          <w:tcPr>
            <w:tcW w:w="1602" w:type="dxa"/>
            <w:vAlign w:val="center"/>
          </w:tcPr>
          <w:p w:rsidR="00C20406" w:rsidRDefault="00C20406" w:rsidP="008C3907">
            <w:pPr>
              <w:jc w:val="center"/>
              <w:rPr>
                <w:rFonts w:ascii="华文中宋" w:eastAsia="华文中宋" w:hAnsi="华文中宋"/>
                <w:szCs w:val="21"/>
                <w:highlight w:val="yellow"/>
              </w:rPr>
            </w:pPr>
            <w:r>
              <w:rPr>
                <w:rFonts w:ascii="Times New Roman" w:hAnsi="Times New Roman" w:hint="eastAsia"/>
                <w:kern w:val="0"/>
                <w:sz w:val="20"/>
                <w:szCs w:val="20"/>
              </w:rPr>
              <w:t>1.</w:t>
            </w:r>
            <w:r>
              <w:rPr>
                <w:rFonts w:ascii="Times New Roman" w:hAnsi="Times New Roman" w:hint="eastAsia"/>
                <w:kern w:val="0"/>
                <w:sz w:val="20"/>
                <w:szCs w:val="20"/>
              </w:rPr>
              <w:t>工程知识</w:t>
            </w:r>
          </w:p>
        </w:tc>
        <w:tc>
          <w:tcPr>
            <w:tcW w:w="6807" w:type="dxa"/>
            <w:vAlign w:val="center"/>
          </w:tcPr>
          <w:p w:rsidR="00C20406" w:rsidRDefault="00C20406" w:rsidP="008C3907">
            <w:pPr>
              <w:jc w:val="left"/>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 xml:space="preserve">.2 </w:t>
            </w:r>
            <w:r>
              <w:rPr>
                <w:rFonts w:ascii="Times New Roman" w:hAnsi="Times New Roman" w:hint="eastAsia"/>
                <w:kern w:val="0"/>
                <w:sz w:val="20"/>
                <w:szCs w:val="20"/>
              </w:rPr>
              <w:t>掌握相关工程基础知识，具备应用相关知识推演、分析建筑环境与能源应用工程专业复杂工程问题的专业基础能力；</w:t>
            </w:r>
          </w:p>
        </w:tc>
        <w:tc>
          <w:tcPr>
            <w:tcW w:w="1445" w:type="dxa"/>
            <w:vAlign w:val="center"/>
          </w:tcPr>
          <w:p w:rsidR="00C20406" w:rsidRDefault="00C20406" w:rsidP="008C3907">
            <w:pPr>
              <w:snapToGrid w:val="0"/>
              <w:spacing w:line="360" w:lineRule="auto"/>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w:t>
            </w:r>
            <w:r>
              <w:rPr>
                <w:rFonts w:ascii="Times New Roman" w:hAnsi="Times New Roman" w:hint="eastAsia"/>
                <w:kern w:val="0"/>
                <w:sz w:val="20"/>
                <w:szCs w:val="20"/>
              </w:rPr>
              <w:t>2</w:t>
            </w:r>
            <w:r>
              <w:rPr>
                <w:rFonts w:ascii="Times New Roman" w:hAnsi="Times New Roman" w:hint="eastAsia"/>
                <w:kern w:val="0"/>
                <w:sz w:val="20"/>
                <w:szCs w:val="20"/>
              </w:rPr>
              <w:t>、</w:t>
            </w:r>
            <w:r>
              <w:rPr>
                <w:rFonts w:ascii="Times New Roman" w:hAnsi="Times New Roman" w:hint="eastAsia"/>
                <w:kern w:val="0"/>
                <w:sz w:val="20"/>
                <w:szCs w:val="20"/>
              </w:rPr>
              <w:t>7</w:t>
            </w:r>
            <w:r>
              <w:rPr>
                <w:rFonts w:ascii="Times New Roman" w:hAnsi="Times New Roman" w:hint="eastAsia"/>
                <w:kern w:val="0"/>
                <w:sz w:val="20"/>
                <w:szCs w:val="20"/>
              </w:rPr>
              <w:t>、</w:t>
            </w:r>
            <w:r>
              <w:rPr>
                <w:rFonts w:ascii="Times New Roman" w:hAnsi="Times New Roman" w:hint="eastAsia"/>
                <w:kern w:val="0"/>
                <w:sz w:val="20"/>
                <w:szCs w:val="20"/>
              </w:rPr>
              <w:t>8</w:t>
            </w:r>
          </w:p>
          <w:p w:rsidR="00C20406" w:rsidRDefault="00C20406" w:rsidP="008C3907">
            <w:pPr>
              <w:snapToGrid w:val="0"/>
              <w:spacing w:line="360" w:lineRule="auto"/>
              <w:jc w:val="left"/>
              <w:rPr>
                <w:rFonts w:ascii="华文中宋" w:eastAsia="华文中宋" w:hAnsi="华文中宋"/>
                <w:szCs w:val="21"/>
              </w:rPr>
            </w:pPr>
            <w:r>
              <w:rPr>
                <w:rFonts w:ascii="Times New Roman" w:hAnsi="Times New Roman" w:hint="eastAsia"/>
                <w:kern w:val="0"/>
                <w:sz w:val="20"/>
                <w:szCs w:val="20"/>
              </w:rPr>
              <w:t>9</w:t>
            </w:r>
            <w:r>
              <w:rPr>
                <w:rFonts w:ascii="Times New Roman" w:hAnsi="Times New Roman" w:hint="eastAsia"/>
                <w:kern w:val="0"/>
                <w:sz w:val="20"/>
                <w:szCs w:val="20"/>
              </w:rPr>
              <w:t>、</w:t>
            </w:r>
            <w:r>
              <w:rPr>
                <w:rFonts w:ascii="Times New Roman" w:hAnsi="Times New Roman" w:hint="eastAsia"/>
                <w:kern w:val="0"/>
                <w:sz w:val="20"/>
                <w:szCs w:val="20"/>
              </w:rPr>
              <w:t>10</w:t>
            </w:r>
          </w:p>
        </w:tc>
      </w:tr>
      <w:tr w:rsidR="00C20406" w:rsidTr="008C3907">
        <w:tc>
          <w:tcPr>
            <w:tcW w:w="1602" w:type="dxa"/>
            <w:vAlign w:val="center"/>
          </w:tcPr>
          <w:p w:rsidR="00C20406" w:rsidRDefault="00C20406" w:rsidP="008C3907">
            <w:pPr>
              <w:snapToGrid w:val="0"/>
              <w:spacing w:line="360" w:lineRule="auto"/>
              <w:jc w:val="center"/>
              <w:rPr>
                <w:rFonts w:ascii="华文中宋" w:eastAsia="华文中宋" w:hAnsi="华文中宋"/>
                <w:szCs w:val="21"/>
                <w:highlight w:val="yellow"/>
              </w:rPr>
            </w:pPr>
            <w:r>
              <w:rPr>
                <w:rFonts w:ascii="Times New Roman" w:hAnsi="Times New Roman" w:hint="eastAsia"/>
                <w:kern w:val="0"/>
                <w:sz w:val="20"/>
                <w:szCs w:val="20"/>
              </w:rPr>
              <w:t>2.</w:t>
            </w:r>
            <w:r>
              <w:rPr>
                <w:rFonts w:ascii="Times New Roman" w:hAnsi="Times New Roman" w:hint="eastAsia"/>
                <w:kern w:val="0"/>
                <w:sz w:val="20"/>
                <w:szCs w:val="20"/>
              </w:rPr>
              <w:t>问题分析</w:t>
            </w:r>
          </w:p>
        </w:tc>
        <w:tc>
          <w:tcPr>
            <w:tcW w:w="6807" w:type="dxa"/>
            <w:vAlign w:val="center"/>
          </w:tcPr>
          <w:p w:rsidR="00C20406" w:rsidRDefault="00C20406" w:rsidP="008C3907">
            <w:pPr>
              <w:widowControl/>
              <w:spacing w:line="420" w:lineRule="exact"/>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kern w:val="0"/>
                <w:sz w:val="20"/>
                <w:szCs w:val="20"/>
              </w:rPr>
              <w:t xml:space="preserve">.2 </w:t>
            </w:r>
            <w:r>
              <w:rPr>
                <w:rFonts w:ascii="Times New Roman" w:hAnsi="Times New Roman" w:hint="eastAsia"/>
                <w:kern w:val="0"/>
                <w:sz w:val="20"/>
                <w:szCs w:val="20"/>
              </w:rPr>
              <w:t>能够正确、合理运用专业知识，识别、判断和表达建筑环境与能源应用工程专业复杂工程问题的本质特征、关键环节，并能提供多种解决方案；</w:t>
            </w:r>
          </w:p>
          <w:p w:rsidR="00C20406" w:rsidRDefault="00C20406" w:rsidP="008C3907">
            <w:pPr>
              <w:widowControl/>
              <w:spacing w:line="420" w:lineRule="exact"/>
              <w:rPr>
                <w:rFonts w:ascii="华文中宋" w:eastAsia="华文中宋" w:hAnsi="华文中宋" w:cs="宋体"/>
                <w:sz w:val="24"/>
                <w:szCs w:val="24"/>
              </w:rPr>
            </w:pPr>
            <w:r>
              <w:rPr>
                <w:rFonts w:ascii="Times New Roman" w:hAnsi="Times New Roman" w:hint="eastAsia"/>
                <w:kern w:val="0"/>
                <w:sz w:val="20"/>
                <w:szCs w:val="20"/>
              </w:rPr>
              <w:t>2</w:t>
            </w:r>
            <w:r>
              <w:rPr>
                <w:rFonts w:ascii="Times New Roman" w:hAnsi="Times New Roman"/>
                <w:kern w:val="0"/>
                <w:sz w:val="20"/>
                <w:szCs w:val="20"/>
              </w:rPr>
              <w:t xml:space="preserve">.3 </w:t>
            </w:r>
            <w:r>
              <w:rPr>
                <w:rFonts w:ascii="Times New Roman" w:hAnsi="Times New Roman" w:hint="eastAsia"/>
                <w:kern w:val="0"/>
                <w:sz w:val="20"/>
                <w:szCs w:val="20"/>
              </w:rPr>
              <w:t>应用建筑环境与能源应用工程相关原理和方法，具备综合判断能力，能够通过对比、推理、分析及文献研究等，获得有效结论。</w:t>
            </w:r>
          </w:p>
        </w:tc>
        <w:tc>
          <w:tcPr>
            <w:tcW w:w="1445" w:type="dxa"/>
            <w:vAlign w:val="center"/>
          </w:tcPr>
          <w:p w:rsidR="00C20406" w:rsidRDefault="00C20406" w:rsidP="008C3907">
            <w:pPr>
              <w:snapToGrid w:val="0"/>
              <w:spacing w:line="360" w:lineRule="auto"/>
              <w:jc w:val="center"/>
              <w:rPr>
                <w:rFonts w:ascii="华文中宋" w:eastAsia="华文中宋" w:hAnsi="华文中宋"/>
                <w:szCs w:val="21"/>
              </w:rPr>
            </w:pPr>
            <w:r>
              <w:rPr>
                <w:rFonts w:ascii="Times New Roman" w:hAnsi="Times New Roman" w:hint="eastAsia"/>
                <w:kern w:val="0"/>
                <w:sz w:val="20"/>
                <w:szCs w:val="20"/>
              </w:rPr>
              <w:t>3</w:t>
            </w:r>
            <w:r>
              <w:rPr>
                <w:rFonts w:ascii="Times New Roman" w:hAnsi="Times New Roman" w:hint="eastAsia"/>
                <w:kern w:val="0"/>
                <w:sz w:val="20"/>
                <w:szCs w:val="20"/>
              </w:rPr>
              <w:t>、</w:t>
            </w:r>
            <w:r>
              <w:rPr>
                <w:rFonts w:ascii="Times New Roman" w:hAnsi="Times New Roman" w:hint="eastAsia"/>
                <w:kern w:val="0"/>
                <w:sz w:val="20"/>
                <w:szCs w:val="20"/>
              </w:rPr>
              <w:t>5</w:t>
            </w:r>
            <w:r>
              <w:rPr>
                <w:rFonts w:ascii="Times New Roman" w:hAnsi="Times New Roman" w:hint="eastAsia"/>
                <w:kern w:val="0"/>
                <w:sz w:val="20"/>
                <w:szCs w:val="20"/>
              </w:rPr>
              <w:t>、</w:t>
            </w:r>
            <w:r>
              <w:rPr>
                <w:rFonts w:ascii="Times New Roman" w:hAnsi="Times New Roman" w:hint="eastAsia"/>
                <w:kern w:val="0"/>
                <w:sz w:val="20"/>
                <w:szCs w:val="20"/>
              </w:rPr>
              <w:t>6</w:t>
            </w:r>
          </w:p>
        </w:tc>
      </w:tr>
      <w:tr w:rsidR="00C20406" w:rsidTr="008C3907">
        <w:tc>
          <w:tcPr>
            <w:tcW w:w="1602" w:type="dxa"/>
          </w:tcPr>
          <w:p w:rsidR="00C20406" w:rsidRDefault="00C20406" w:rsidP="008C3907">
            <w:pPr>
              <w:snapToGrid w:val="0"/>
              <w:spacing w:line="360" w:lineRule="auto"/>
              <w:jc w:val="center"/>
              <w:rPr>
                <w:rFonts w:ascii="华文中宋" w:eastAsia="华文中宋" w:hAnsi="华文中宋"/>
                <w:szCs w:val="21"/>
                <w:highlight w:val="yellow"/>
              </w:rPr>
            </w:pPr>
            <w:r>
              <w:rPr>
                <w:rFonts w:ascii="Times New Roman" w:hAnsi="Times New Roman"/>
                <w:kern w:val="0"/>
                <w:sz w:val="20"/>
                <w:szCs w:val="20"/>
              </w:rPr>
              <w:t>3.</w:t>
            </w:r>
            <w:r>
              <w:rPr>
                <w:rFonts w:ascii="Times New Roman" w:hAnsi="Times New Roman"/>
                <w:kern w:val="0"/>
                <w:sz w:val="20"/>
                <w:szCs w:val="20"/>
              </w:rPr>
              <w:t>设计</w:t>
            </w:r>
            <w:r>
              <w:rPr>
                <w:rFonts w:ascii="Times New Roman" w:hAnsi="Times New Roman"/>
                <w:kern w:val="0"/>
                <w:sz w:val="20"/>
                <w:szCs w:val="20"/>
              </w:rPr>
              <w:t>/</w:t>
            </w:r>
            <w:r>
              <w:rPr>
                <w:rFonts w:ascii="Times New Roman" w:hAnsi="Times New Roman"/>
                <w:kern w:val="0"/>
                <w:sz w:val="20"/>
                <w:szCs w:val="20"/>
              </w:rPr>
              <w:t>开发解决方案</w:t>
            </w:r>
          </w:p>
        </w:tc>
        <w:tc>
          <w:tcPr>
            <w:tcW w:w="6807" w:type="dxa"/>
          </w:tcPr>
          <w:p w:rsidR="00C20406" w:rsidRDefault="00C20406" w:rsidP="008C3907">
            <w:pPr>
              <w:snapToGrid w:val="0"/>
              <w:spacing w:line="360" w:lineRule="auto"/>
              <w:jc w:val="left"/>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 xml:space="preserve">.1 </w:t>
            </w:r>
            <w:r>
              <w:rPr>
                <w:rFonts w:ascii="Times New Roman" w:hAnsi="Times New Roman" w:hint="eastAsia"/>
                <w:kern w:val="0"/>
                <w:sz w:val="20"/>
                <w:szCs w:val="20"/>
              </w:rPr>
              <w:t>能够针对特定需求，确定工程基本单元的设计目标或问题解决方案，并完成设计</w:t>
            </w:r>
            <w:r>
              <w:rPr>
                <w:rFonts w:ascii="Times New Roman" w:hAnsi="Times New Roman" w:hint="eastAsia"/>
                <w:kern w:val="0"/>
                <w:sz w:val="20"/>
                <w:szCs w:val="20"/>
              </w:rPr>
              <w:t>/</w:t>
            </w:r>
            <w:r>
              <w:rPr>
                <w:rFonts w:ascii="Times New Roman" w:hAnsi="Times New Roman" w:hint="eastAsia"/>
                <w:kern w:val="0"/>
                <w:sz w:val="20"/>
                <w:szCs w:val="20"/>
              </w:rPr>
              <w:t>开发工作；</w:t>
            </w:r>
          </w:p>
        </w:tc>
        <w:tc>
          <w:tcPr>
            <w:tcW w:w="1445" w:type="dxa"/>
          </w:tcPr>
          <w:p w:rsidR="00C20406" w:rsidRDefault="00C20406" w:rsidP="008C3907">
            <w:pPr>
              <w:snapToGrid w:val="0"/>
              <w:spacing w:line="360" w:lineRule="auto"/>
              <w:jc w:val="center"/>
              <w:rPr>
                <w:rFonts w:ascii="华文中宋" w:eastAsia="华文中宋" w:hAnsi="华文中宋"/>
                <w:szCs w:val="21"/>
                <w:highlight w:val="yellow"/>
              </w:rPr>
            </w:pPr>
            <w:r>
              <w:rPr>
                <w:rFonts w:ascii="Times New Roman" w:hAnsi="Times New Roman" w:hint="eastAsia"/>
                <w:kern w:val="0"/>
                <w:sz w:val="20"/>
                <w:szCs w:val="20"/>
              </w:rPr>
              <w:t>7</w:t>
            </w:r>
            <w:r>
              <w:rPr>
                <w:rFonts w:ascii="Times New Roman" w:hAnsi="Times New Roman" w:hint="eastAsia"/>
                <w:kern w:val="0"/>
                <w:sz w:val="20"/>
                <w:szCs w:val="20"/>
              </w:rPr>
              <w:t>、</w:t>
            </w:r>
            <w:r>
              <w:rPr>
                <w:rFonts w:ascii="Times New Roman" w:hAnsi="Times New Roman" w:hint="eastAsia"/>
                <w:kern w:val="0"/>
                <w:sz w:val="20"/>
                <w:szCs w:val="20"/>
              </w:rPr>
              <w:t>8</w:t>
            </w:r>
            <w:r>
              <w:rPr>
                <w:rFonts w:ascii="Times New Roman" w:hAnsi="Times New Roman" w:hint="eastAsia"/>
                <w:kern w:val="0"/>
                <w:sz w:val="20"/>
                <w:szCs w:val="20"/>
              </w:rPr>
              <w:t>、</w:t>
            </w:r>
            <w:r>
              <w:rPr>
                <w:rFonts w:ascii="Times New Roman" w:hAnsi="Times New Roman" w:hint="eastAsia"/>
                <w:kern w:val="0"/>
                <w:sz w:val="20"/>
                <w:szCs w:val="20"/>
              </w:rPr>
              <w:t>9</w:t>
            </w:r>
          </w:p>
        </w:tc>
      </w:tr>
      <w:tr w:rsidR="00C20406" w:rsidTr="008C3907">
        <w:tc>
          <w:tcPr>
            <w:tcW w:w="1602" w:type="dxa"/>
            <w:tcBorders>
              <w:top w:val="single" w:sz="4" w:space="0" w:color="auto"/>
              <w:left w:val="single" w:sz="4" w:space="0" w:color="auto"/>
              <w:bottom w:val="single" w:sz="4" w:space="0" w:color="auto"/>
              <w:right w:val="single" w:sz="4" w:space="0" w:color="auto"/>
            </w:tcBorders>
          </w:tcPr>
          <w:p w:rsidR="00C20406" w:rsidRDefault="00C20406" w:rsidP="008C3907">
            <w:pPr>
              <w:snapToGrid w:val="0"/>
              <w:spacing w:line="360" w:lineRule="auto"/>
              <w:jc w:val="center"/>
              <w:rPr>
                <w:rFonts w:ascii="华文中宋" w:eastAsia="华文中宋" w:hAnsi="华文中宋"/>
                <w:szCs w:val="21"/>
              </w:rPr>
            </w:pPr>
            <w:r>
              <w:rPr>
                <w:rFonts w:ascii="Times New Roman" w:hAnsi="Times New Roman"/>
                <w:kern w:val="0"/>
                <w:sz w:val="20"/>
                <w:szCs w:val="20"/>
              </w:rPr>
              <w:t>7.</w:t>
            </w:r>
            <w:r>
              <w:rPr>
                <w:rFonts w:ascii="Times New Roman" w:hAnsi="Times New Roman"/>
                <w:kern w:val="0"/>
                <w:sz w:val="20"/>
                <w:szCs w:val="20"/>
              </w:rPr>
              <w:t>环境和可持续发展</w:t>
            </w:r>
          </w:p>
        </w:tc>
        <w:tc>
          <w:tcPr>
            <w:tcW w:w="6807" w:type="dxa"/>
            <w:tcBorders>
              <w:top w:val="single" w:sz="4" w:space="0" w:color="auto"/>
              <w:left w:val="single" w:sz="4" w:space="0" w:color="auto"/>
              <w:bottom w:val="single" w:sz="4" w:space="0" w:color="auto"/>
              <w:right w:val="single" w:sz="4" w:space="0" w:color="auto"/>
            </w:tcBorders>
          </w:tcPr>
          <w:p w:rsidR="00C20406" w:rsidRDefault="00C20406" w:rsidP="008C3907">
            <w:pPr>
              <w:snapToGrid w:val="0"/>
              <w:spacing w:line="360" w:lineRule="auto"/>
              <w:rPr>
                <w:rFonts w:ascii="Times New Roman" w:hAnsi="Times New Roman"/>
                <w:kern w:val="0"/>
                <w:sz w:val="20"/>
                <w:szCs w:val="20"/>
              </w:rPr>
            </w:pPr>
            <w:r>
              <w:rPr>
                <w:rFonts w:ascii="Times New Roman" w:hAnsi="Times New Roman"/>
                <w:kern w:val="0"/>
                <w:sz w:val="20"/>
                <w:szCs w:val="20"/>
              </w:rPr>
              <w:t xml:space="preserve">7.1 </w:t>
            </w:r>
            <w:r>
              <w:rPr>
                <w:rFonts w:ascii="Times New Roman" w:hAnsi="Times New Roman" w:hint="eastAsia"/>
                <w:kern w:val="0"/>
                <w:sz w:val="20"/>
                <w:szCs w:val="20"/>
              </w:rPr>
              <w:t>知晓和理解环境保护和可持续发展的理念和内涵；</w:t>
            </w:r>
          </w:p>
          <w:p w:rsidR="00C20406" w:rsidRDefault="00C20406" w:rsidP="008C3907">
            <w:pPr>
              <w:snapToGrid w:val="0"/>
              <w:spacing w:line="360" w:lineRule="auto"/>
              <w:jc w:val="left"/>
              <w:rPr>
                <w:rFonts w:ascii="华文中宋" w:eastAsia="华文中宋" w:hAnsi="华文中宋" w:cs="宋体"/>
                <w:sz w:val="24"/>
                <w:szCs w:val="24"/>
              </w:rPr>
            </w:pPr>
            <w:r>
              <w:rPr>
                <w:rFonts w:ascii="Times New Roman" w:hAnsi="Times New Roman" w:hint="eastAsia"/>
                <w:kern w:val="0"/>
                <w:sz w:val="20"/>
                <w:szCs w:val="20"/>
              </w:rPr>
              <w:t>7</w:t>
            </w:r>
            <w:r>
              <w:rPr>
                <w:rFonts w:ascii="Times New Roman" w:hAnsi="Times New Roman"/>
                <w:kern w:val="0"/>
                <w:sz w:val="20"/>
                <w:szCs w:val="20"/>
              </w:rPr>
              <w:t xml:space="preserve">.2 </w:t>
            </w:r>
            <w:r>
              <w:rPr>
                <w:rFonts w:ascii="Times New Roman" w:hAnsi="Times New Roman" w:hint="eastAsia"/>
                <w:kern w:val="0"/>
                <w:sz w:val="20"/>
                <w:szCs w:val="20"/>
              </w:rPr>
              <w:t>能够从环境保护和社会可持续发展的角度思考建筑环境与能源应用工程专业工程实践的可持续性，评价其可能对人类和环境造成的损害和隐患，践行绿色环保理念。</w:t>
            </w:r>
          </w:p>
        </w:tc>
        <w:tc>
          <w:tcPr>
            <w:tcW w:w="1445" w:type="dxa"/>
            <w:tcBorders>
              <w:top w:val="single" w:sz="4" w:space="0" w:color="auto"/>
              <w:left w:val="single" w:sz="4" w:space="0" w:color="auto"/>
              <w:bottom w:val="single" w:sz="4" w:space="0" w:color="auto"/>
              <w:right w:val="single" w:sz="4" w:space="0" w:color="auto"/>
            </w:tcBorders>
          </w:tcPr>
          <w:p w:rsidR="00C20406" w:rsidRDefault="00C20406" w:rsidP="008C3907">
            <w:pPr>
              <w:snapToGrid w:val="0"/>
              <w:spacing w:line="360" w:lineRule="auto"/>
              <w:ind w:firstLineChars="250" w:firstLine="500"/>
              <w:rPr>
                <w:rFonts w:ascii="华文中宋" w:eastAsia="华文中宋" w:hAnsi="华文中宋"/>
                <w:szCs w:val="21"/>
                <w:highlight w:val="yellow"/>
              </w:rPr>
            </w:pPr>
            <w:r>
              <w:rPr>
                <w:rFonts w:ascii="Times New Roman" w:hAnsi="Times New Roman" w:hint="eastAsia"/>
                <w:kern w:val="0"/>
                <w:sz w:val="20"/>
                <w:szCs w:val="20"/>
              </w:rPr>
              <w:t>10</w:t>
            </w:r>
          </w:p>
        </w:tc>
      </w:tr>
      <w:tr w:rsidR="00C20406" w:rsidTr="008C3907">
        <w:tc>
          <w:tcPr>
            <w:tcW w:w="1602" w:type="dxa"/>
            <w:tcBorders>
              <w:top w:val="single" w:sz="4" w:space="0" w:color="auto"/>
              <w:left w:val="single" w:sz="4" w:space="0" w:color="auto"/>
              <w:bottom w:val="single" w:sz="4" w:space="0" w:color="auto"/>
              <w:right w:val="single" w:sz="4" w:space="0" w:color="auto"/>
            </w:tcBorders>
          </w:tcPr>
          <w:p w:rsidR="00C20406" w:rsidRDefault="00C20406" w:rsidP="008C3907">
            <w:pPr>
              <w:widowControl/>
              <w:spacing w:line="420" w:lineRule="exact"/>
              <w:rPr>
                <w:rFonts w:ascii="华文中宋" w:eastAsia="华文中宋" w:hAnsi="华文中宋"/>
                <w:szCs w:val="21"/>
              </w:rPr>
            </w:pPr>
            <w:r>
              <w:rPr>
                <w:rFonts w:ascii="Times New Roman" w:hAnsi="Times New Roman"/>
                <w:kern w:val="0"/>
                <w:sz w:val="20"/>
                <w:szCs w:val="20"/>
              </w:rPr>
              <w:lastRenderedPageBreak/>
              <w:t>11.</w:t>
            </w:r>
            <w:r>
              <w:rPr>
                <w:rFonts w:ascii="Times New Roman" w:hAnsi="Times New Roman"/>
                <w:kern w:val="0"/>
                <w:sz w:val="20"/>
                <w:szCs w:val="20"/>
              </w:rPr>
              <w:t>项目管理</w:t>
            </w:r>
          </w:p>
        </w:tc>
        <w:tc>
          <w:tcPr>
            <w:tcW w:w="6807" w:type="dxa"/>
            <w:tcBorders>
              <w:top w:val="single" w:sz="4" w:space="0" w:color="auto"/>
              <w:left w:val="single" w:sz="4" w:space="0" w:color="auto"/>
              <w:bottom w:val="single" w:sz="4" w:space="0" w:color="auto"/>
              <w:right w:val="single" w:sz="4" w:space="0" w:color="auto"/>
            </w:tcBorders>
          </w:tcPr>
          <w:p w:rsidR="00C20406" w:rsidRDefault="00C20406" w:rsidP="008C3907">
            <w:pPr>
              <w:widowControl/>
              <w:spacing w:line="420" w:lineRule="exact"/>
              <w:rPr>
                <w:rFonts w:ascii="Times New Roman" w:hAnsi="Times New Roman"/>
                <w:kern w:val="0"/>
                <w:sz w:val="20"/>
                <w:szCs w:val="20"/>
              </w:rPr>
            </w:pPr>
            <w:r>
              <w:rPr>
                <w:rFonts w:ascii="Times New Roman" w:hAnsi="Times New Roman"/>
                <w:kern w:val="0"/>
                <w:sz w:val="20"/>
                <w:szCs w:val="20"/>
              </w:rPr>
              <w:t xml:space="preserve">11.1 </w:t>
            </w:r>
            <w:r>
              <w:rPr>
                <w:rFonts w:ascii="Times New Roman" w:hAnsi="Times New Roman" w:hint="eastAsia"/>
                <w:kern w:val="0"/>
                <w:sz w:val="20"/>
                <w:szCs w:val="20"/>
              </w:rPr>
              <w:t>能够在与建筑环境与能源应用工程专业相关的多学科环境中，掌握工程项目涉及的管理原理与经济决策方法；</w:t>
            </w:r>
          </w:p>
          <w:p w:rsidR="00C20406" w:rsidRDefault="00C20406" w:rsidP="008C3907">
            <w:pPr>
              <w:widowControl/>
              <w:spacing w:line="420" w:lineRule="exact"/>
              <w:rPr>
                <w:rFonts w:ascii="Times New Roman" w:hAnsi="Times New Roman"/>
                <w:kern w:val="0"/>
                <w:sz w:val="20"/>
                <w:szCs w:val="20"/>
              </w:rPr>
            </w:pPr>
            <w:r>
              <w:rPr>
                <w:rFonts w:ascii="Times New Roman" w:hAnsi="Times New Roman"/>
                <w:kern w:val="0"/>
                <w:sz w:val="20"/>
                <w:szCs w:val="20"/>
              </w:rPr>
              <w:t>11.2</w:t>
            </w:r>
            <w:r>
              <w:rPr>
                <w:rFonts w:ascii="Times New Roman" w:hAnsi="Times New Roman" w:hint="eastAsia"/>
                <w:kern w:val="0"/>
                <w:sz w:val="20"/>
                <w:szCs w:val="20"/>
              </w:rPr>
              <w:t>了解工程及产品全周期、全流程的成本构成，并能够在设计</w:t>
            </w:r>
            <w:r>
              <w:rPr>
                <w:rFonts w:ascii="Times New Roman" w:hAnsi="Times New Roman" w:hint="eastAsia"/>
                <w:kern w:val="0"/>
                <w:sz w:val="20"/>
                <w:szCs w:val="20"/>
              </w:rPr>
              <w:t>/</w:t>
            </w:r>
            <w:r>
              <w:rPr>
                <w:rFonts w:ascii="Times New Roman" w:hAnsi="Times New Roman" w:hint="eastAsia"/>
                <w:kern w:val="0"/>
                <w:sz w:val="20"/>
                <w:szCs w:val="20"/>
              </w:rPr>
              <w:t>开发解决方案的过程中，正确运用工程管理与经济决策方法，具备一定的工程项目管理能力。</w:t>
            </w:r>
          </w:p>
        </w:tc>
        <w:tc>
          <w:tcPr>
            <w:tcW w:w="1445" w:type="dxa"/>
            <w:tcBorders>
              <w:top w:val="single" w:sz="4" w:space="0" w:color="auto"/>
              <w:left w:val="single" w:sz="4" w:space="0" w:color="auto"/>
              <w:bottom w:val="single" w:sz="4" w:space="0" w:color="auto"/>
              <w:right w:val="single" w:sz="4" w:space="0" w:color="auto"/>
            </w:tcBorders>
          </w:tcPr>
          <w:p w:rsidR="00C20406" w:rsidRDefault="00C20406" w:rsidP="008C3907">
            <w:pPr>
              <w:snapToGrid w:val="0"/>
              <w:spacing w:line="360" w:lineRule="auto"/>
              <w:rPr>
                <w:rFonts w:ascii="华文中宋" w:eastAsia="华文中宋" w:hAnsi="华文中宋"/>
                <w:szCs w:val="21"/>
                <w:highlight w:val="yellow"/>
              </w:rPr>
            </w:pPr>
            <w:r>
              <w:rPr>
                <w:rFonts w:ascii="Times New Roman" w:hAnsi="Times New Roman" w:hint="eastAsia"/>
                <w:kern w:val="0"/>
                <w:sz w:val="20"/>
                <w:szCs w:val="20"/>
              </w:rPr>
              <w:t>7</w:t>
            </w:r>
            <w:r>
              <w:rPr>
                <w:rFonts w:ascii="Times New Roman" w:hAnsi="Times New Roman" w:hint="eastAsia"/>
                <w:kern w:val="0"/>
                <w:sz w:val="20"/>
                <w:szCs w:val="20"/>
              </w:rPr>
              <w:t>、</w:t>
            </w:r>
            <w:r>
              <w:rPr>
                <w:rFonts w:ascii="Times New Roman" w:hAnsi="Times New Roman" w:hint="eastAsia"/>
                <w:kern w:val="0"/>
                <w:sz w:val="20"/>
                <w:szCs w:val="20"/>
              </w:rPr>
              <w:t>8</w:t>
            </w:r>
            <w:r>
              <w:rPr>
                <w:rFonts w:ascii="Times New Roman" w:hAnsi="Times New Roman" w:hint="eastAsia"/>
                <w:kern w:val="0"/>
                <w:sz w:val="20"/>
                <w:szCs w:val="20"/>
              </w:rPr>
              <w:t>、</w:t>
            </w:r>
            <w:r>
              <w:rPr>
                <w:rFonts w:ascii="Times New Roman" w:hAnsi="Times New Roman" w:hint="eastAsia"/>
                <w:kern w:val="0"/>
                <w:sz w:val="20"/>
                <w:szCs w:val="20"/>
              </w:rPr>
              <w:t>9</w:t>
            </w:r>
          </w:p>
        </w:tc>
      </w:tr>
    </w:tbl>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20406" w:rsidRDefault="00C20406" w:rsidP="00C20406">
      <w:pPr>
        <w:pStyle w:val="a3"/>
        <w:keepNext w:val="0"/>
        <w:spacing w:line="560" w:lineRule="exact"/>
        <w:ind w:firstLineChars="100" w:firstLine="280"/>
        <w:rPr>
          <w:rFonts w:ascii="仿宋_GB2312" w:eastAsia="仿宋_GB2312" w:hAnsi="仿宋_GB2312" w:cs="仿宋_GB2312"/>
          <w:snapToGrid/>
          <w:kern w:val="2"/>
          <w:sz w:val="28"/>
          <w:szCs w:val="28"/>
        </w:rPr>
      </w:pPr>
      <w:r>
        <w:rPr>
          <w:rFonts w:ascii="仿宋_GB2312" w:eastAsia="仿宋_GB2312" w:hAnsi="仿宋_GB2312" w:cs="仿宋_GB2312"/>
          <w:snapToGrid/>
          <w:kern w:val="2"/>
          <w:sz w:val="28"/>
          <w:szCs w:val="28"/>
        </w:rPr>
        <w:t>课程重点</w:t>
      </w:r>
      <w:r>
        <w:rPr>
          <w:rFonts w:ascii="仿宋_GB2312" w:eastAsia="仿宋_GB2312" w:hAnsi="仿宋_GB2312" w:cs="仿宋_GB2312" w:hint="eastAsia"/>
          <w:snapToGrid/>
          <w:kern w:val="2"/>
          <w:sz w:val="28"/>
          <w:szCs w:val="28"/>
        </w:rPr>
        <w:t>是燃料的特性及燃烧计算、燃烧器具的工作原理及其选择。</w:t>
      </w:r>
    </w:p>
    <w:p w:rsidR="00C20406" w:rsidRDefault="00C20406" w:rsidP="00C20406">
      <w:pPr>
        <w:spacing w:line="560" w:lineRule="exact"/>
        <w:ind w:firstLineChars="100" w:firstLine="280"/>
        <w:rPr>
          <w:rFonts w:ascii="仿宋_GB2312" w:hAnsi="仿宋_GB2312" w:cs="仿宋_GB2312"/>
          <w:sz w:val="28"/>
          <w:szCs w:val="28"/>
        </w:rPr>
      </w:pPr>
      <w:r>
        <w:rPr>
          <w:rFonts w:ascii="仿宋_GB2312" w:hAnsi="仿宋_GB2312" w:cs="仿宋_GB2312"/>
          <w:sz w:val="28"/>
          <w:szCs w:val="28"/>
        </w:rPr>
        <w:t>课程的难点是</w:t>
      </w:r>
      <w:r>
        <w:rPr>
          <w:rFonts w:ascii="仿宋_GB2312" w:hAnsi="仿宋_GB2312" w:cs="仿宋_GB2312" w:hint="eastAsia"/>
          <w:sz w:val="28"/>
          <w:szCs w:val="28"/>
        </w:rPr>
        <w:t>燃烧反应动力学基础。</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20406" w:rsidRDefault="00C20406" w:rsidP="00C20406">
      <w:pPr>
        <w:spacing w:line="360" w:lineRule="auto"/>
        <w:ind w:leftChars="100" w:left="600" w:hangingChars="100" w:hanging="280"/>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结合专业知识，将现阶段我国</w:t>
      </w:r>
      <w:r>
        <w:rPr>
          <w:rFonts w:ascii="仿宋_GB2312" w:hAnsi="仿宋_GB2312" w:cs="仿宋_GB2312"/>
          <w:sz w:val="28"/>
          <w:szCs w:val="28"/>
        </w:rPr>
        <w:t>设备制造体系的成就、全面脱贫背景下人民对美好生活的追求和我们专业的任务、碳达峰</w:t>
      </w:r>
      <w:r>
        <w:rPr>
          <w:rFonts w:ascii="仿宋_GB2312" w:hAnsi="仿宋_GB2312" w:cs="仿宋_GB2312" w:hint="eastAsia"/>
          <w:sz w:val="28"/>
          <w:szCs w:val="28"/>
        </w:rPr>
        <w:t>碳中和要求下专业的未来发展等元素融入，强调创新意识、社会责任、职业道德和奋斗精神，增强学习动力和责任感。</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561"/>
        <w:gridCol w:w="425"/>
        <w:gridCol w:w="3896"/>
        <w:gridCol w:w="3188"/>
      </w:tblGrid>
      <w:tr w:rsidR="00C20406" w:rsidTr="008C3907">
        <w:trPr>
          <w:cantSplit/>
          <w:trHeight w:val="3109"/>
        </w:trPr>
        <w:tc>
          <w:tcPr>
            <w:tcW w:w="532" w:type="dxa"/>
            <w:vAlign w:val="center"/>
          </w:tcPr>
          <w:p w:rsidR="00C20406" w:rsidRPr="005708AF" w:rsidRDefault="00C20406" w:rsidP="008C3907">
            <w:pPr>
              <w:jc w:val="center"/>
              <w:rPr>
                <w:rFonts w:ascii="华文中宋" w:eastAsia="华文中宋" w:hAnsi="华文中宋"/>
                <w:b/>
                <w:sz w:val="24"/>
                <w:szCs w:val="24"/>
              </w:rPr>
            </w:pPr>
            <w:r w:rsidRPr="005708AF">
              <w:rPr>
                <w:rFonts w:ascii="Times New Roman" w:hAnsi="Times New Roman" w:hint="eastAsia"/>
                <w:b/>
                <w:kern w:val="0"/>
                <w:sz w:val="24"/>
                <w:szCs w:val="24"/>
              </w:rPr>
              <w:t>序号</w:t>
            </w:r>
          </w:p>
        </w:tc>
        <w:tc>
          <w:tcPr>
            <w:tcW w:w="1561" w:type="dxa"/>
            <w:vAlign w:val="center"/>
          </w:tcPr>
          <w:p w:rsidR="00C20406" w:rsidRPr="005708AF" w:rsidRDefault="00C20406" w:rsidP="008C3907">
            <w:pPr>
              <w:jc w:val="center"/>
              <w:rPr>
                <w:rFonts w:ascii="华文中宋" w:eastAsia="华文中宋" w:hAnsi="华文中宋"/>
                <w:b/>
                <w:sz w:val="24"/>
                <w:szCs w:val="24"/>
              </w:rPr>
            </w:pPr>
            <w:r w:rsidRPr="005708AF">
              <w:rPr>
                <w:rFonts w:ascii="Times New Roman" w:hAnsi="Times New Roman" w:hint="eastAsia"/>
                <w:b/>
                <w:kern w:val="0"/>
                <w:sz w:val="24"/>
                <w:szCs w:val="24"/>
              </w:rPr>
              <w:t>章</w:t>
            </w:r>
            <w:r w:rsidRPr="005708AF">
              <w:rPr>
                <w:rFonts w:ascii="Times New Roman" w:hAnsi="Times New Roman" w:hint="eastAsia"/>
                <w:b/>
                <w:kern w:val="0"/>
                <w:sz w:val="24"/>
                <w:szCs w:val="24"/>
              </w:rPr>
              <w:t xml:space="preserve">  </w:t>
            </w:r>
            <w:r w:rsidRPr="005708AF">
              <w:rPr>
                <w:rFonts w:ascii="Times New Roman" w:hAnsi="Times New Roman" w:hint="eastAsia"/>
                <w:b/>
                <w:kern w:val="0"/>
                <w:sz w:val="24"/>
                <w:szCs w:val="24"/>
              </w:rPr>
              <w:t>节</w:t>
            </w:r>
          </w:p>
        </w:tc>
        <w:tc>
          <w:tcPr>
            <w:tcW w:w="425" w:type="dxa"/>
            <w:vAlign w:val="center"/>
          </w:tcPr>
          <w:p w:rsidR="00C20406" w:rsidRPr="005708AF" w:rsidRDefault="00C20406" w:rsidP="008C3907">
            <w:pPr>
              <w:jc w:val="center"/>
              <w:rPr>
                <w:rFonts w:ascii="Times New Roman" w:hAnsi="Times New Roman"/>
                <w:b/>
                <w:kern w:val="0"/>
                <w:sz w:val="24"/>
                <w:szCs w:val="24"/>
              </w:rPr>
            </w:pPr>
          </w:p>
          <w:p w:rsidR="00C20406" w:rsidRPr="005708AF" w:rsidRDefault="00C20406" w:rsidP="008C3907">
            <w:pPr>
              <w:jc w:val="center"/>
              <w:rPr>
                <w:rFonts w:ascii="Times New Roman" w:hAnsi="Times New Roman"/>
                <w:b/>
                <w:kern w:val="0"/>
                <w:sz w:val="24"/>
                <w:szCs w:val="24"/>
              </w:rPr>
            </w:pPr>
            <w:r w:rsidRPr="005708AF">
              <w:rPr>
                <w:rFonts w:ascii="Times New Roman" w:hAnsi="Times New Roman" w:hint="eastAsia"/>
                <w:b/>
                <w:kern w:val="0"/>
                <w:sz w:val="24"/>
                <w:szCs w:val="24"/>
              </w:rPr>
              <w:t>参考学时</w:t>
            </w:r>
          </w:p>
          <w:p w:rsidR="00C20406" w:rsidRPr="005708AF" w:rsidRDefault="00C20406" w:rsidP="008C3907">
            <w:pPr>
              <w:jc w:val="center"/>
              <w:rPr>
                <w:rFonts w:ascii="Times New Roman" w:hAnsi="Times New Roman"/>
                <w:b/>
                <w:kern w:val="0"/>
                <w:sz w:val="24"/>
                <w:szCs w:val="24"/>
              </w:rPr>
            </w:pPr>
          </w:p>
        </w:tc>
        <w:tc>
          <w:tcPr>
            <w:tcW w:w="3896" w:type="dxa"/>
            <w:vAlign w:val="center"/>
          </w:tcPr>
          <w:p w:rsidR="00C20406" w:rsidRPr="005708AF" w:rsidRDefault="00C20406" w:rsidP="008C3907">
            <w:pPr>
              <w:ind w:firstLineChars="600" w:firstLine="1446"/>
              <w:rPr>
                <w:rFonts w:ascii="Times New Roman" w:hAnsi="Times New Roman"/>
                <w:b/>
                <w:kern w:val="0"/>
                <w:sz w:val="24"/>
                <w:szCs w:val="24"/>
              </w:rPr>
            </w:pPr>
            <w:r w:rsidRPr="005708AF">
              <w:rPr>
                <w:rFonts w:ascii="Times New Roman" w:hAnsi="Times New Roman" w:hint="eastAsia"/>
                <w:b/>
                <w:kern w:val="0"/>
                <w:sz w:val="24"/>
                <w:szCs w:val="24"/>
              </w:rPr>
              <w:t>教学内容</w:t>
            </w:r>
          </w:p>
        </w:tc>
        <w:tc>
          <w:tcPr>
            <w:tcW w:w="3188" w:type="dxa"/>
            <w:vAlign w:val="center"/>
          </w:tcPr>
          <w:p w:rsidR="00C20406" w:rsidRPr="005708AF" w:rsidRDefault="00C20406" w:rsidP="008C3907">
            <w:pPr>
              <w:jc w:val="center"/>
              <w:rPr>
                <w:rFonts w:ascii="Times New Roman" w:hAnsi="Times New Roman"/>
                <w:b/>
                <w:kern w:val="0"/>
                <w:sz w:val="24"/>
                <w:szCs w:val="24"/>
              </w:rPr>
            </w:pPr>
            <w:r w:rsidRPr="005708AF">
              <w:rPr>
                <w:rFonts w:ascii="Times New Roman" w:hAnsi="Times New Roman" w:hint="eastAsia"/>
                <w:b/>
                <w:kern w:val="0"/>
                <w:sz w:val="24"/>
                <w:szCs w:val="24"/>
              </w:rPr>
              <w:t>基本要求</w:t>
            </w:r>
          </w:p>
        </w:tc>
      </w:tr>
      <w:tr w:rsidR="00C20406" w:rsidTr="008C3907">
        <w:trPr>
          <w:trHeight w:val="698"/>
        </w:trPr>
        <w:tc>
          <w:tcPr>
            <w:tcW w:w="532" w:type="dxa"/>
            <w:vAlign w:val="center"/>
          </w:tcPr>
          <w:p w:rsidR="00C20406" w:rsidRPr="005708AF" w:rsidRDefault="00C20406" w:rsidP="008C3907">
            <w:pPr>
              <w:rPr>
                <w:rFonts w:ascii="华文中宋" w:eastAsia="华文中宋" w:hAnsi="华文中宋"/>
                <w:sz w:val="24"/>
                <w:szCs w:val="24"/>
              </w:rPr>
            </w:pPr>
            <w:r w:rsidRPr="005708AF">
              <w:rPr>
                <w:rFonts w:ascii="Times New Roman" w:hAnsi="Times New Roman" w:hint="eastAsia"/>
                <w:kern w:val="0"/>
                <w:sz w:val="24"/>
                <w:szCs w:val="24"/>
              </w:rPr>
              <w:t>1</w:t>
            </w:r>
          </w:p>
        </w:tc>
        <w:tc>
          <w:tcPr>
            <w:tcW w:w="1561" w:type="dxa"/>
            <w:vAlign w:val="center"/>
          </w:tcPr>
          <w:p w:rsidR="00C20406" w:rsidRPr="005708AF" w:rsidRDefault="00C20406" w:rsidP="008C3907">
            <w:pPr>
              <w:ind w:firstLineChars="150" w:firstLine="360"/>
              <w:jc w:val="left"/>
              <w:rPr>
                <w:rFonts w:ascii="Times New Roman" w:hAnsi="Times New Roman"/>
                <w:kern w:val="0"/>
                <w:sz w:val="24"/>
                <w:szCs w:val="24"/>
              </w:rPr>
            </w:pPr>
            <w:r w:rsidRPr="005708AF">
              <w:rPr>
                <w:rFonts w:ascii="Times New Roman" w:hAnsi="Times New Roman" w:hint="eastAsia"/>
                <w:kern w:val="0"/>
                <w:sz w:val="24"/>
                <w:szCs w:val="24"/>
              </w:rPr>
              <w:t>第一章</w:t>
            </w:r>
          </w:p>
          <w:p w:rsidR="00C20406" w:rsidRPr="005708AF" w:rsidRDefault="00C20406" w:rsidP="008C3907">
            <w:pPr>
              <w:rPr>
                <w:rFonts w:ascii="Times New Roman" w:hAnsi="Times New Roman"/>
                <w:kern w:val="0"/>
                <w:sz w:val="24"/>
                <w:szCs w:val="24"/>
              </w:rPr>
            </w:pPr>
            <w:r w:rsidRPr="005708AF">
              <w:rPr>
                <w:rFonts w:ascii="Times New Roman" w:hAnsi="Times New Roman"/>
                <w:kern w:val="0"/>
                <w:sz w:val="24"/>
                <w:szCs w:val="24"/>
              </w:rPr>
              <w:t>燃料特性概论</w:t>
            </w:r>
          </w:p>
          <w:p w:rsidR="00C20406" w:rsidRPr="005708AF" w:rsidRDefault="00C20406" w:rsidP="008C3907">
            <w:pPr>
              <w:jc w:val="center"/>
              <w:rPr>
                <w:rFonts w:ascii="华文中宋" w:eastAsia="华文中宋" w:hAnsi="华文中宋"/>
                <w:sz w:val="24"/>
                <w:szCs w:val="24"/>
              </w:rPr>
            </w:pPr>
          </w:p>
        </w:tc>
        <w:tc>
          <w:tcPr>
            <w:tcW w:w="425" w:type="dxa"/>
            <w:vAlign w:val="center"/>
          </w:tcPr>
          <w:p w:rsidR="00C20406" w:rsidRPr="005708AF" w:rsidRDefault="00C20406" w:rsidP="008C3907">
            <w:pPr>
              <w:rPr>
                <w:rFonts w:ascii="华文中宋" w:eastAsia="华文中宋" w:hAnsi="华文中宋"/>
                <w:sz w:val="24"/>
                <w:szCs w:val="24"/>
              </w:rPr>
            </w:pPr>
            <w:r w:rsidRPr="005708AF">
              <w:rPr>
                <w:rFonts w:ascii="Times New Roman" w:hAnsi="Times New Roman" w:hint="eastAsia"/>
                <w:kern w:val="0"/>
                <w:sz w:val="24"/>
                <w:szCs w:val="24"/>
              </w:rPr>
              <w:t>4</w:t>
            </w:r>
          </w:p>
        </w:tc>
        <w:tc>
          <w:tcPr>
            <w:tcW w:w="3896" w:type="dxa"/>
            <w:vAlign w:val="center"/>
          </w:tcPr>
          <w:p w:rsidR="00C20406" w:rsidRPr="005708AF" w:rsidRDefault="00C20406" w:rsidP="005F6318">
            <w:pPr>
              <w:numPr>
                <w:ilvl w:val="0"/>
                <w:numId w:val="25"/>
              </w:numPr>
              <w:rPr>
                <w:rFonts w:ascii="Times New Roman" w:hAnsi="Times New Roman"/>
                <w:kern w:val="0"/>
                <w:sz w:val="24"/>
                <w:szCs w:val="24"/>
              </w:rPr>
            </w:pPr>
            <w:r w:rsidRPr="005708AF">
              <w:rPr>
                <w:rFonts w:ascii="Times New Roman" w:hAnsi="Times New Roman" w:hint="eastAsia"/>
                <w:kern w:val="0"/>
                <w:sz w:val="24"/>
                <w:szCs w:val="24"/>
              </w:rPr>
              <w:t>煤的分类及化学组成</w:t>
            </w:r>
          </w:p>
          <w:p w:rsidR="00C20406" w:rsidRPr="005708AF" w:rsidRDefault="00C20406" w:rsidP="005F6318">
            <w:pPr>
              <w:numPr>
                <w:ilvl w:val="0"/>
                <w:numId w:val="25"/>
              </w:numPr>
              <w:rPr>
                <w:rFonts w:ascii="Times New Roman" w:hAnsi="Times New Roman"/>
                <w:kern w:val="0"/>
                <w:sz w:val="24"/>
                <w:szCs w:val="24"/>
              </w:rPr>
            </w:pPr>
            <w:r w:rsidRPr="005708AF">
              <w:rPr>
                <w:rFonts w:ascii="Times New Roman" w:hAnsi="Times New Roman" w:hint="eastAsia"/>
                <w:kern w:val="0"/>
                <w:sz w:val="24"/>
                <w:szCs w:val="24"/>
              </w:rPr>
              <w:t>煤的使用性能</w:t>
            </w:r>
          </w:p>
          <w:p w:rsidR="00C20406" w:rsidRPr="005708AF" w:rsidRDefault="00C20406" w:rsidP="005F6318">
            <w:pPr>
              <w:numPr>
                <w:ilvl w:val="0"/>
                <w:numId w:val="25"/>
              </w:numPr>
              <w:rPr>
                <w:rFonts w:ascii="Times New Roman" w:hAnsi="Times New Roman"/>
                <w:kern w:val="0"/>
                <w:sz w:val="24"/>
                <w:szCs w:val="24"/>
              </w:rPr>
            </w:pPr>
            <w:r w:rsidRPr="005708AF">
              <w:rPr>
                <w:rFonts w:ascii="Times New Roman" w:hAnsi="Times New Roman" w:hint="eastAsia"/>
                <w:kern w:val="0"/>
                <w:sz w:val="24"/>
                <w:szCs w:val="24"/>
              </w:rPr>
              <w:t>液体燃料的分类及使用性能</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第四节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气体燃料的分类及使用性能</w:t>
            </w:r>
          </w:p>
        </w:tc>
        <w:tc>
          <w:tcPr>
            <w:tcW w:w="3188" w:type="dxa"/>
            <w:vAlign w:val="center"/>
          </w:tcPr>
          <w:p w:rsidR="00C20406" w:rsidRPr="005708AF" w:rsidRDefault="00C20406" w:rsidP="008C3907">
            <w:pPr>
              <w:rPr>
                <w:rFonts w:ascii="华文中宋" w:eastAsia="华文中宋" w:hAnsi="华文中宋"/>
                <w:sz w:val="24"/>
                <w:szCs w:val="24"/>
              </w:rPr>
            </w:pPr>
            <w:r w:rsidRPr="005708AF">
              <w:rPr>
                <w:rFonts w:ascii="Times New Roman" w:hAnsi="Times New Roman" w:hint="eastAsia"/>
                <w:kern w:val="0"/>
                <w:sz w:val="24"/>
                <w:szCs w:val="24"/>
              </w:rPr>
              <w:t>掌握各种燃料分类、化学组成及使用性能。燃料基的换算</w:t>
            </w:r>
          </w:p>
        </w:tc>
      </w:tr>
      <w:tr w:rsidR="00C20406" w:rsidTr="008C3907">
        <w:trPr>
          <w:trHeight w:val="1970"/>
        </w:trPr>
        <w:tc>
          <w:tcPr>
            <w:tcW w:w="532" w:type="dxa"/>
            <w:vAlign w:val="center"/>
          </w:tcPr>
          <w:p w:rsidR="00C20406" w:rsidRPr="005708AF" w:rsidRDefault="00C20406" w:rsidP="008C3907">
            <w:pPr>
              <w:rPr>
                <w:rFonts w:ascii="华文中宋" w:eastAsia="华文中宋" w:hAnsi="华文中宋"/>
                <w:sz w:val="24"/>
                <w:szCs w:val="24"/>
              </w:rPr>
            </w:pPr>
          </w:p>
          <w:p w:rsidR="00C20406" w:rsidRPr="005708AF" w:rsidRDefault="00C20406" w:rsidP="008C3907">
            <w:pPr>
              <w:rPr>
                <w:rFonts w:ascii="华文中宋" w:eastAsia="华文中宋" w:hAnsi="华文中宋"/>
                <w:sz w:val="24"/>
                <w:szCs w:val="24"/>
              </w:rPr>
            </w:pPr>
            <w:r w:rsidRPr="005708AF">
              <w:rPr>
                <w:rFonts w:ascii="Times New Roman" w:hAnsi="Times New Roman" w:hint="eastAsia"/>
                <w:kern w:val="0"/>
                <w:sz w:val="24"/>
                <w:szCs w:val="24"/>
              </w:rPr>
              <w:t>2</w:t>
            </w:r>
          </w:p>
        </w:tc>
        <w:tc>
          <w:tcPr>
            <w:tcW w:w="1561" w:type="dxa"/>
            <w:vAlign w:val="center"/>
          </w:tcPr>
          <w:p w:rsidR="00C20406" w:rsidRPr="005708AF" w:rsidRDefault="00C20406" w:rsidP="008C3907">
            <w:pPr>
              <w:jc w:val="center"/>
              <w:rPr>
                <w:rFonts w:ascii="Times New Roman" w:hAnsi="Times New Roman"/>
                <w:kern w:val="0"/>
                <w:sz w:val="24"/>
                <w:szCs w:val="24"/>
              </w:rPr>
            </w:pPr>
            <w:r w:rsidRPr="005708AF">
              <w:rPr>
                <w:rFonts w:ascii="Times New Roman" w:hAnsi="Times New Roman" w:hint="eastAsia"/>
                <w:kern w:val="0"/>
                <w:sz w:val="24"/>
                <w:szCs w:val="24"/>
              </w:rPr>
              <w:t>第二章</w:t>
            </w:r>
          </w:p>
          <w:p w:rsidR="00C20406" w:rsidRPr="005708AF" w:rsidRDefault="00C20406" w:rsidP="008C3907">
            <w:pPr>
              <w:jc w:val="center"/>
              <w:rPr>
                <w:rFonts w:ascii="Times New Roman" w:hAnsi="Times New Roman"/>
                <w:kern w:val="0"/>
                <w:sz w:val="24"/>
                <w:szCs w:val="24"/>
              </w:rPr>
            </w:pPr>
            <w:r w:rsidRPr="005708AF">
              <w:rPr>
                <w:rFonts w:ascii="Times New Roman" w:hAnsi="Times New Roman" w:hint="eastAsia"/>
                <w:kern w:val="0"/>
                <w:sz w:val="24"/>
                <w:szCs w:val="24"/>
              </w:rPr>
              <w:t>燃料燃烧计算</w:t>
            </w:r>
          </w:p>
          <w:p w:rsidR="00C20406" w:rsidRPr="005708AF" w:rsidRDefault="00C20406" w:rsidP="008C3907">
            <w:pPr>
              <w:jc w:val="center"/>
              <w:rPr>
                <w:rFonts w:ascii="华文中宋" w:eastAsia="华文中宋" w:hAnsi="华文中宋"/>
                <w:sz w:val="24"/>
                <w:szCs w:val="24"/>
              </w:rPr>
            </w:pPr>
          </w:p>
        </w:tc>
        <w:tc>
          <w:tcPr>
            <w:tcW w:w="425"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4</w:t>
            </w:r>
          </w:p>
        </w:tc>
        <w:tc>
          <w:tcPr>
            <w:tcW w:w="3896" w:type="dxa"/>
            <w:vAlign w:val="center"/>
          </w:tcPr>
          <w:p w:rsidR="00C20406" w:rsidRPr="005708AF" w:rsidRDefault="00C20406" w:rsidP="008C3907">
            <w:pPr>
              <w:rPr>
                <w:rFonts w:ascii="华文中宋" w:eastAsia="华文中宋" w:hAnsi="华文中宋"/>
                <w:sz w:val="24"/>
                <w:szCs w:val="24"/>
              </w:rPr>
            </w:pPr>
            <w:r w:rsidRPr="005708AF">
              <w:rPr>
                <w:rFonts w:ascii="华文中宋" w:eastAsia="华文中宋" w:hAnsi="华文中宋" w:hint="eastAsia"/>
                <w:sz w:val="24"/>
                <w:szCs w:val="24"/>
              </w:rPr>
              <w:t xml:space="preserve">第一节 </w:t>
            </w:r>
            <w:r w:rsidRPr="005708AF">
              <w:rPr>
                <w:rFonts w:ascii="Times New Roman" w:hAnsi="Times New Roman" w:hint="eastAsia"/>
                <w:kern w:val="0"/>
                <w:sz w:val="24"/>
                <w:szCs w:val="24"/>
              </w:rPr>
              <w:t>空气量、烟气量的计算</w:t>
            </w:r>
          </w:p>
          <w:p w:rsidR="00C20406" w:rsidRPr="005708AF" w:rsidRDefault="00C20406" w:rsidP="008C3907">
            <w:pPr>
              <w:rPr>
                <w:rFonts w:ascii="Times New Roman" w:hAnsi="Times New Roman"/>
                <w:kern w:val="0"/>
                <w:sz w:val="24"/>
                <w:szCs w:val="24"/>
              </w:rPr>
            </w:pPr>
            <w:r w:rsidRPr="005708AF">
              <w:rPr>
                <w:rFonts w:ascii="华文中宋" w:eastAsia="华文中宋" w:hAnsi="华文中宋" w:hint="eastAsia"/>
                <w:sz w:val="24"/>
                <w:szCs w:val="24"/>
              </w:rPr>
              <w:t xml:space="preserve">第二节 </w:t>
            </w:r>
            <w:r w:rsidRPr="005708AF">
              <w:rPr>
                <w:rFonts w:ascii="Times New Roman" w:hAnsi="Times New Roman" w:hint="eastAsia"/>
                <w:kern w:val="0"/>
                <w:sz w:val="24"/>
                <w:szCs w:val="24"/>
              </w:rPr>
              <w:t>燃烧温度</w:t>
            </w:r>
          </w:p>
          <w:p w:rsidR="00C20406" w:rsidRPr="005708AF" w:rsidRDefault="00C20406" w:rsidP="008C3907">
            <w:pPr>
              <w:rPr>
                <w:rFonts w:ascii="华文中宋" w:eastAsia="华文中宋" w:hAnsi="华文中宋"/>
                <w:sz w:val="24"/>
                <w:szCs w:val="24"/>
              </w:rPr>
            </w:pPr>
            <w:r w:rsidRPr="005708AF">
              <w:rPr>
                <w:rFonts w:ascii="华文中宋" w:eastAsia="华文中宋" w:hAnsi="华文中宋" w:hint="eastAsia"/>
                <w:sz w:val="24"/>
                <w:szCs w:val="24"/>
              </w:rPr>
              <w:t xml:space="preserve">第三节 </w:t>
            </w:r>
            <w:r w:rsidRPr="005708AF">
              <w:rPr>
                <w:rFonts w:ascii="Times New Roman" w:hAnsi="Times New Roman" w:hint="eastAsia"/>
                <w:kern w:val="0"/>
                <w:sz w:val="24"/>
                <w:szCs w:val="24"/>
              </w:rPr>
              <w:t>过量空气系数和烟气分析计算</w:t>
            </w:r>
          </w:p>
        </w:tc>
        <w:tc>
          <w:tcPr>
            <w:tcW w:w="3188" w:type="dxa"/>
            <w:vAlign w:val="center"/>
          </w:tcPr>
          <w:p w:rsidR="00C20406" w:rsidRPr="005708AF" w:rsidRDefault="00C20406" w:rsidP="008C3907">
            <w:pPr>
              <w:jc w:val="left"/>
              <w:rPr>
                <w:rFonts w:ascii="华文中宋" w:eastAsia="华文中宋" w:hAnsi="华文中宋"/>
                <w:sz w:val="24"/>
                <w:szCs w:val="24"/>
              </w:rPr>
            </w:pPr>
            <w:r w:rsidRPr="005708AF">
              <w:rPr>
                <w:rFonts w:ascii="Times New Roman" w:hAnsi="Times New Roman" w:hint="eastAsia"/>
                <w:kern w:val="0"/>
                <w:sz w:val="24"/>
                <w:szCs w:val="24"/>
              </w:rPr>
              <w:t>掌握计算方法、燃烧温度、烟气分析</w:t>
            </w:r>
          </w:p>
        </w:tc>
      </w:tr>
      <w:tr w:rsidR="00C20406" w:rsidTr="008C3907">
        <w:trPr>
          <w:trHeight w:val="684"/>
        </w:trPr>
        <w:tc>
          <w:tcPr>
            <w:tcW w:w="532" w:type="dxa"/>
            <w:vAlign w:val="center"/>
          </w:tcPr>
          <w:p w:rsidR="00C20406" w:rsidRPr="005708AF" w:rsidRDefault="00C20406" w:rsidP="008C3907">
            <w:pPr>
              <w:rPr>
                <w:rFonts w:ascii="华文中宋" w:eastAsia="华文中宋" w:hAnsi="华文中宋"/>
                <w:sz w:val="24"/>
                <w:szCs w:val="24"/>
              </w:rPr>
            </w:pPr>
            <w:r w:rsidRPr="005708AF">
              <w:rPr>
                <w:rFonts w:ascii="Times New Roman" w:hAnsi="Times New Roman" w:hint="eastAsia"/>
                <w:kern w:val="0"/>
                <w:sz w:val="24"/>
                <w:szCs w:val="24"/>
              </w:rPr>
              <w:t>3</w:t>
            </w:r>
          </w:p>
        </w:tc>
        <w:tc>
          <w:tcPr>
            <w:tcW w:w="1561"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第三章</w:t>
            </w:r>
          </w:p>
          <w:p w:rsidR="00C20406" w:rsidRPr="005708AF" w:rsidRDefault="00C20406" w:rsidP="008C3907">
            <w:pPr>
              <w:rPr>
                <w:rFonts w:ascii="Times New Roman" w:hAnsi="Times New Roman"/>
                <w:kern w:val="0"/>
                <w:sz w:val="24"/>
                <w:szCs w:val="24"/>
              </w:rPr>
            </w:pPr>
            <w:r w:rsidRPr="005708AF">
              <w:rPr>
                <w:rFonts w:ascii="Times New Roman" w:hAnsi="Times New Roman"/>
                <w:kern w:val="0"/>
                <w:sz w:val="24"/>
                <w:szCs w:val="24"/>
              </w:rPr>
              <w:t>燃烧反应动力学基础</w:t>
            </w:r>
          </w:p>
          <w:p w:rsidR="00C20406" w:rsidRPr="005708AF" w:rsidRDefault="00C20406" w:rsidP="008C3907">
            <w:pPr>
              <w:jc w:val="center"/>
              <w:rPr>
                <w:rFonts w:ascii="华文中宋" w:eastAsia="华文中宋" w:hAnsi="华文中宋"/>
                <w:sz w:val="24"/>
                <w:szCs w:val="24"/>
              </w:rPr>
            </w:pPr>
          </w:p>
        </w:tc>
        <w:tc>
          <w:tcPr>
            <w:tcW w:w="425"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2</w:t>
            </w:r>
          </w:p>
        </w:tc>
        <w:tc>
          <w:tcPr>
            <w:tcW w:w="3896"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第一节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化学反应速度</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第二节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可燃气体的燃烧反应机理</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第三节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碳的燃烧反应机理</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第四节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氧化氮的生成机理</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第五节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着火过程和着火温度</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第六节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点火过程</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第七节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着火浓度界限</w:t>
            </w:r>
          </w:p>
          <w:p w:rsidR="00C20406" w:rsidRPr="005708AF" w:rsidRDefault="00C20406" w:rsidP="008C3907">
            <w:pPr>
              <w:rPr>
                <w:rFonts w:ascii="华文中宋" w:eastAsia="华文中宋" w:hAnsi="华文中宋"/>
                <w:sz w:val="24"/>
                <w:szCs w:val="24"/>
              </w:rPr>
            </w:pPr>
            <w:r w:rsidRPr="005708AF">
              <w:rPr>
                <w:rFonts w:ascii="Times New Roman" w:hAnsi="Times New Roman" w:hint="eastAsia"/>
                <w:kern w:val="0"/>
                <w:sz w:val="24"/>
                <w:szCs w:val="24"/>
              </w:rPr>
              <w:t>第八节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燃烧室中的着火和熄灭</w:t>
            </w:r>
          </w:p>
        </w:tc>
        <w:tc>
          <w:tcPr>
            <w:tcW w:w="3188" w:type="dxa"/>
            <w:vAlign w:val="center"/>
          </w:tcPr>
          <w:p w:rsidR="00C20406" w:rsidRPr="005708AF" w:rsidRDefault="00C20406" w:rsidP="008C3907">
            <w:pPr>
              <w:rPr>
                <w:rFonts w:ascii="华文中宋" w:eastAsia="华文中宋" w:hAnsi="华文中宋"/>
                <w:sz w:val="24"/>
                <w:szCs w:val="24"/>
              </w:rPr>
            </w:pPr>
            <w:r w:rsidRPr="005708AF">
              <w:rPr>
                <w:rFonts w:ascii="Times New Roman" w:hAnsi="Times New Roman" w:hint="eastAsia"/>
                <w:kern w:val="0"/>
                <w:sz w:val="24"/>
                <w:szCs w:val="24"/>
              </w:rPr>
              <w:t>掌握化学反应速度和氧化氮的生成机理，了解反应机理，掌握着火过程和着火温度、点火过程</w:t>
            </w:r>
          </w:p>
        </w:tc>
      </w:tr>
      <w:tr w:rsidR="00C20406" w:rsidTr="008C3907">
        <w:trPr>
          <w:trHeight w:val="1380"/>
        </w:trPr>
        <w:tc>
          <w:tcPr>
            <w:tcW w:w="532" w:type="dxa"/>
            <w:vAlign w:val="center"/>
          </w:tcPr>
          <w:p w:rsidR="00C20406" w:rsidRPr="005708AF" w:rsidRDefault="00C20406" w:rsidP="008C3907">
            <w:pPr>
              <w:rPr>
                <w:rFonts w:ascii="华文中宋" w:eastAsia="华文中宋" w:hAnsi="华文中宋"/>
                <w:sz w:val="24"/>
                <w:szCs w:val="24"/>
              </w:rPr>
            </w:pPr>
            <w:r w:rsidRPr="005708AF">
              <w:rPr>
                <w:rFonts w:ascii="Times New Roman" w:hAnsi="Times New Roman" w:hint="eastAsia"/>
                <w:kern w:val="0"/>
                <w:sz w:val="24"/>
                <w:szCs w:val="24"/>
              </w:rPr>
              <w:t>4</w:t>
            </w:r>
          </w:p>
        </w:tc>
        <w:tc>
          <w:tcPr>
            <w:tcW w:w="1561"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第四章</w:t>
            </w:r>
          </w:p>
          <w:p w:rsidR="00C20406" w:rsidRPr="005708AF" w:rsidRDefault="00C20406" w:rsidP="008C3907">
            <w:pPr>
              <w:rPr>
                <w:rFonts w:ascii="华文中宋" w:eastAsia="华文中宋" w:hAnsi="华文中宋"/>
                <w:sz w:val="24"/>
                <w:szCs w:val="24"/>
              </w:rPr>
            </w:pPr>
            <w:r w:rsidRPr="005708AF">
              <w:rPr>
                <w:rFonts w:ascii="Times New Roman" w:hAnsi="Times New Roman"/>
                <w:kern w:val="0"/>
                <w:sz w:val="24"/>
                <w:szCs w:val="24"/>
              </w:rPr>
              <w:t>燃烧的气流混合过程</w:t>
            </w:r>
          </w:p>
        </w:tc>
        <w:tc>
          <w:tcPr>
            <w:tcW w:w="425"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2</w:t>
            </w:r>
          </w:p>
        </w:tc>
        <w:tc>
          <w:tcPr>
            <w:tcW w:w="3896"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第一节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静止气体中的自由射流</w:t>
            </w:r>
            <w:r w:rsidRPr="005708AF">
              <w:rPr>
                <w:rFonts w:ascii="Times New Roman" w:hAnsi="Times New Roman" w:hint="eastAsia"/>
                <w:kern w:val="0"/>
                <w:sz w:val="24"/>
                <w:szCs w:val="24"/>
              </w:rPr>
              <w:t xml:space="preserve"> </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第二节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通向平行流中的自由射流</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第三节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交叉射流</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第四节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环状射流和同心射流</w:t>
            </w:r>
          </w:p>
          <w:p w:rsidR="00C20406" w:rsidRPr="005708AF" w:rsidRDefault="00C20406" w:rsidP="008C3907">
            <w:pPr>
              <w:rPr>
                <w:rFonts w:ascii="华文中宋" w:eastAsia="华文中宋" w:hAnsi="华文中宋"/>
                <w:sz w:val="24"/>
                <w:szCs w:val="24"/>
              </w:rPr>
            </w:pPr>
            <w:r w:rsidRPr="005708AF">
              <w:rPr>
                <w:rFonts w:ascii="Times New Roman" w:hAnsi="Times New Roman" w:hint="eastAsia"/>
                <w:kern w:val="0"/>
                <w:sz w:val="24"/>
                <w:szCs w:val="24"/>
              </w:rPr>
              <w:t>第五节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旋转射流</w:t>
            </w:r>
          </w:p>
        </w:tc>
        <w:tc>
          <w:tcPr>
            <w:tcW w:w="3188" w:type="dxa"/>
            <w:vAlign w:val="center"/>
          </w:tcPr>
          <w:p w:rsidR="00C20406" w:rsidRPr="005708AF" w:rsidRDefault="00C20406" w:rsidP="008C3907">
            <w:pPr>
              <w:rPr>
                <w:rFonts w:ascii="华文中宋" w:eastAsia="华文中宋" w:hAnsi="华文中宋"/>
                <w:sz w:val="24"/>
                <w:szCs w:val="24"/>
              </w:rPr>
            </w:pPr>
            <w:r w:rsidRPr="005708AF">
              <w:rPr>
                <w:rFonts w:ascii="Times New Roman" w:hAnsi="Times New Roman" w:hint="eastAsia"/>
                <w:kern w:val="0"/>
                <w:sz w:val="24"/>
                <w:szCs w:val="24"/>
              </w:rPr>
              <w:t>了解各种射流的流场</w:t>
            </w:r>
          </w:p>
        </w:tc>
      </w:tr>
      <w:tr w:rsidR="00C20406" w:rsidTr="008C3907">
        <w:trPr>
          <w:trHeight w:val="1269"/>
        </w:trPr>
        <w:tc>
          <w:tcPr>
            <w:tcW w:w="532" w:type="dxa"/>
            <w:vAlign w:val="center"/>
          </w:tcPr>
          <w:p w:rsidR="00C20406" w:rsidRPr="005708AF" w:rsidRDefault="00C20406" w:rsidP="008C3907">
            <w:pPr>
              <w:rPr>
                <w:rFonts w:ascii="华文中宋" w:eastAsia="华文中宋" w:hAnsi="华文中宋"/>
                <w:sz w:val="24"/>
                <w:szCs w:val="24"/>
              </w:rPr>
            </w:pPr>
            <w:r w:rsidRPr="005708AF">
              <w:rPr>
                <w:rFonts w:ascii="Times New Roman" w:hAnsi="Times New Roman" w:hint="eastAsia"/>
                <w:kern w:val="0"/>
                <w:sz w:val="24"/>
                <w:szCs w:val="24"/>
              </w:rPr>
              <w:t>5</w:t>
            </w:r>
          </w:p>
        </w:tc>
        <w:tc>
          <w:tcPr>
            <w:tcW w:w="1561"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第五章</w:t>
            </w:r>
          </w:p>
          <w:p w:rsidR="00C20406" w:rsidRPr="005708AF" w:rsidRDefault="00C20406" w:rsidP="008C3907">
            <w:pPr>
              <w:rPr>
                <w:rFonts w:ascii="华文中宋" w:eastAsia="华文中宋" w:hAnsi="华文中宋"/>
                <w:sz w:val="24"/>
                <w:szCs w:val="24"/>
              </w:rPr>
            </w:pPr>
            <w:r w:rsidRPr="005708AF">
              <w:rPr>
                <w:rFonts w:ascii="Times New Roman" w:hAnsi="Times New Roman"/>
                <w:kern w:val="0"/>
                <w:sz w:val="24"/>
                <w:szCs w:val="24"/>
              </w:rPr>
              <w:t>燃气燃烧的火焰传播</w:t>
            </w:r>
          </w:p>
        </w:tc>
        <w:tc>
          <w:tcPr>
            <w:tcW w:w="425"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2</w:t>
            </w:r>
          </w:p>
        </w:tc>
        <w:tc>
          <w:tcPr>
            <w:tcW w:w="3896"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第一节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燃烧前沿面的概念</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第二节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燃烧前沿正常传播速度</w:t>
            </w:r>
          </w:p>
          <w:p w:rsidR="00C20406" w:rsidRPr="005708AF" w:rsidRDefault="00C20406" w:rsidP="008C3907">
            <w:pPr>
              <w:rPr>
                <w:rFonts w:ascii="华文中宋" w:eastAsia="华文中宋" w:hAnsi="华文中宋"/>
                <w:sz w:val="24"/>
                <w:szCs w:val="24"/>
              </w:rPr>
            </w:pPr>
            <w:r w:rsidRPr="005708AF">
              <w:rPr>
                <w:rFonts w:ascii="Times New Roman" w:hAnsi="Times New Roman" w:hint="eastAsia"/>
                <w:kern w:val="0"/>
                <w:sz w:val="24"/>
                <w:szCs w:val="24"/>
              </w:rPr>
              <w:t>第三节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紊流燃烧前沿的传播</w:t>
            </w:r>
          </w:p>
        </w:tc>
        <w:tc>
          <w:tcPr>
            <w:tcW w:w="3188"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kern w:val="0"/>
                <w:sz w:val="24"/>
                <w:szCs w:val="24"/>
              </w:rPr>
              <w:t>掌握影响火焰传播速度的因素</w:t>
            </w:r>
            <w:r w:rsidRPr="005708AF">
              <w:rPr>
                <w:rFonts w:ascii="Times New Roman" w:hAnsi="Times New Roman" w:hint="eastAsia"/>
                <w:kern w:val="0"/>
                <w:sz w:val="24"/>
                <w:szCs w:val="24"/>
              </w:rPr>
              <w:t>，</w:t>
            </w:r>
            <w:r w:rsidRPr="005708AF">
              <w:rPr>
                <w:rFonts w:ascii="Times New Roman" w:hAnsi="Times New Roman"/>
                <w:kern w:val="0"/>
                <w:sz w:val="24"/>
                <w:szCs w:val="24"/>
              </w:rPr>
              <w:t>掌握影响火焰传播的浓度极限的因素</w:t>
            </w:r>
          </w:p>
          <w:p w:rsidR="00C20406" w:rsidRPr="005708AF" w:rsidRDefault="00C20406" w:rsidP="008C3907">
            <w:pPr>
              <w:rPr>
                <w:rFonts w:ascii="Times New Roman" w:hAnsi="Times New Roman"/>
                <w:kern w:val="0"/>
                <w:sz w:val="24"/>
                <w:szCs w:val="24"/>
              </w:rPr>
            </w:pPr>
          </w:p>
          <w:p w:rsidR="00C20406" w:rsidRPr="005708AF" w:rsidRDefault="00C20406" w:rsidP="008C3907">
            <w:pPr>
              <w:rPr>
                <w:rFonts w:ascii="Times New Roman" w:hAnsi="Times New Roman"/>
                <w:kern w:val="0"/>
                <w:sz w:val="24"/>
                <w:szCs w:val="24"/>
              </w:rPr>
            </w:pPr>
          </w:p>
        </w:tc>
      </w:tr>
      <w:tr w:rsidR="00C20406" w:rsidTr="008C3907">
        <w:trPr>
          <w:trHeight w:val="990"/>
        </w:trPr>
        <w:tc>
          <w:tcPr>
            <w:tcW w:w="532" w:type="dxa"/>
            <w:vAlign w:val="center"/>
          </w:tcPr>
          <w:p w:rsidR="00C20406" w:rsidRPr="005708AF" w:rsidRDefault="00C20406" w:rsidP="008C3907">
            <w:pPr>
              <w:rPr>
                <w:rFonts w:ascii="华文中宋" w:eastAsia="华文中宋" w:hAnsi="华文中宋"/>
                <w:sz w:val="24"/>
                <w:szCs w:val="24"/>
                <w:highlight w:val="yellow"/>
              </w:rPr>
            </w:pPr>
            <w:r w:rsidRPr="005708AF">
              <w:rPr>
                <w:rFonts w:ascii="Times New Roman" w:hAnsi="Times New Roman" w:hint="eastAsia"/>
                <w:kern w:val="0"/>
                <w:sz w:val="24"/>
                <w:szCs w:val="24"/>
              </w:rPr>
              <w:t>6</w:t>
            </w:r>
          </w:p>
        </w:tc>
        <w:tc>
          <w:tcPr>
            <w:tcW w:w="1561"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第六章</w:t>
            </w:r>
            <w:r w:rsidRPr="005708AF">
              <w:rPr>
                <w:rFonts w:ascii="Times New Roman" w:hAnsi="Times New Roman" w:hint="eastAsia"/>
                <w:kern w:val="0"/>
                <w:sz w:val="24"/>
                <w:szCs w:val="24"/>
              </w:rPr>
              <w:t xml:space="preserve"> </w:t>
            </w:r>
          </w:p>
          <w:p w:rsidR="00C20406" w:rsidRPr="005708AF" w:rsidRDefault="00C20406" w:rsidP="008C3907">
            <w:pPr>
              <w:rPr>
                <w:rFonts w:ascii="Times New Roman" w:hAnsi="Times New Roman"/>
                <w:kern w:val="0"/>
                <w:sz w:val="24"/>
                <w:szCs w:val="24"/>
              </w:rPr>
            </w:pPr>
            <w:r w:rsidRPr="005708AF">
              <w:rPr>
                <w:rFonts w:ascii="Times New Roman" w:hAnsi="Times New Roman"/>
                <w:kern w:val="0"/>
                <w:sz w:val="24"/>
                <w:szCs w:val="24"/>
              </w:rPr>
              <w:t>燃烧火焰的稳定特性</w:t>
            </w:r>
          </w:p>
        </w:tc>
        <w:tc>
          <w:tcPr>
            <w:tcW w:w="425"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2</w:t>
            </w:r>
          </w:p>
        </w:tc>
        <w:tc>
          <w:tcPr>
            <w:tcW w:w="3896"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第一节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预混火焰的稳定性</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第二节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扩散火焰的稳定性</w:t>
            </w:r>
          </w:p>
        </w:tc>
        <w:tc>
          <w:tcPr>
            <w:tcW w:w="3188"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kern w:val="0"/>
                <w:sz w:val="24"/>
                <w:szCs w:val="24"/>
              </w:rPr>
              <w:t>熟悉预混气中火焰的稳定条件</w:t>
            </w:r>
            <w:r w:rsidRPr="005708AF">
              <w:rPr>
                <w:rFonts w:ascii="Times New Roman" w:hAnsi="Times New Roman"/>
                <w:kern w:val="0"/>
                <w:sz w:val="24"/>
                <w:szCs w:val="24"/>
              </w:rPr>
              <w:t>,</w:t>
            </w:r>
            <w:r w:rsidRPr="005708AF">
              <w:rPr>
                <w:rFonts w:ascii="Times New Roman" w:hAnsi="Times New Roman"/>
                <w:kern w:val="0"/>
                <w:sz w:val="24"/>
                <w:szCs w:val="24"/>
              </w:rPr>
              <w:t>掌握高速气流中火焰的稳定方法</w:t>
            </w:r>
          </w:p>
        </w:tc>
      </w:tr>
      <w:tr w:rsidR="00C20406" w:rsidTr="008C3907">
        <w:trPr>
          <w:trHeight w:val="1244"/>
        </w:trPr>
        <w:tc>
          <w:tcPr>
            <w:tcW w:w="532" w:type="dxa"/>
            <w:vAlign w:val="center"/>
          </w:tcPr>
          <w:p w:rsidR="00C20406" w:rsidRPr="005708AF" w:rsidRDefault="00C20406" w:rsidP="008C3907">
            <w:pPr>
              <w:rPr>
                <w:rFonts w:ascii="华文中宋" w:eastAsia="华文中宋" w:hAnsi="华文中宋"/>
                <w:sz w:val="24"/>
                <w:szCs w:val="24"/>
                <w:highlight w:val="yellow"/>
              </w:rPr>
            </w:pPr>
            <w:r w:rsidRPr="005708AF">
              <w:rPr>
                <w:rFonts w:ascii="Times New Roman" w:hAnsi="Times New Roman" w:hint="eastAsia"/>
                <w:kern w:val="0"/>
                <w:sz w:val="24"/>
                <w:szCs w:val="24"/>
              </w:rPr>
              <w:t>7</w:t>
            </w:r>
          </w:p>
        </w:tc>
        <w:tc>
          <w:tcPr>
            <w:tcW w:w="1561"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第七章</w:t>
            </w:r>
          </w:p>
          <w:p w:rsidR="00C20406" w:rsidRPr="005708AF" w:rsidRDefault="00C20406" w:rsidP="008C3907">
            <w:pPr>
              <w:rPr>
                <w:rFonts w:ascii="Times New Roman" w:hAnsi="Times New Roman"/>
                <w:kern w:val="0"/>
                <w:sz w:val="24"/>
                <w:szCs w:val="24"/>
              </w:rPr>
            </w:pPr>
            <w:r w:rsidRPr="005708AF">
              <w:rPr>
                <w:rFonts w:ascii="Times New Roman" w:hAnsi="Times New Roman"/>
                <w:kern w:val="0"/>
                <w:sz w:val="24"/>
                <w:szCs w:val="24"/>
              </w:rPr>
              <w:t>气体燃料的燃烧</w:t>
            </w:r>
          </w:p>
        </w:tc>
        <w:tc>
          <w:tcPr>
            <w:tcW w:w="425"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2</w:t>
            </w:r>
          </w:p>
        </w:tc>
        <w:tc>
          <w:tcPr>
            <w:tcW w:w="3896" w:type="dxa"/>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第一节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有焰燃烧</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第二节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无焰燃烧</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第三节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火焰的稳定性</w:t>
            </w:r>
          </w:p>
        </w:tc>
        <w:tc>
          <w:tcPr>
            <w:tcW w:w="3188" w:type="dxa"/>
          </w:tcPr>
          <w:p w:rsidR="00C20406" w:rsidRPr="005708AF" w:rsidRDefault="00C20406" w:rsidP="008C3907">
            <w:pPr>
              <w:rPr>
                <w:rFonts w:ascii="Times New Roman" w:hAnsi="Times New Roman"/>
                <w:kern w:val="0"/>
                <w:sz w:val="24"/>
                <w:szCs w:val="24"/>
              </w:rPr>
            </w:pPr>
            <w:r w:rsidRPr="005708AF">
              <w:rPr>
                <w:rFonts w:ascii="Times New Roman" w:hAnsi="Times New Roman"/>
                <w:kern w:val="0"/>
                <w:sz w:val="24"/>
                <w:szCs w:val="24"/>
              </w:rPr>
              <w:t>掌握气体燃料的扩散式燃烧方法</w:t>
            </w:r>
            <w:r w:rsidRPr="005708AF">
              <w:rPr>
                <w:rFonts w:ascii="Times New Roman" w:hAnsi="Times New Roman" w:hint="eastAsia"/>
                <w:kern w:val="0"/>
                <w:sz w:val="24"/>
                <w:szCs w:val="24"/>
              </w:rPr>
              <w:t>、</w:t>
            </w:r>
            <w:r w:rsidRPr="005708AF">
              <w:rPr>
                <w:rFonts w:ascii="Times New Roman" w:hAnsi="Times New Roman"/>
                <w:kern w:val="0"/>
                <w:sz w:val="24"/>
                <w:szCs w:val="24"/>
              </w:rPr>
              <w:t>部分预混式燃烧方法</w:t>
            </w:r>
            <w:r w:rsidRPr="005708AF">
              <w:rPr>
                <w:rFonts w:ascii="Times New Roman" w:hAnsi="Times New Roman" w:hint="eastAsia"/>
                <w:kern w:val="0"/>
                <w:sz w:val="24"/>
                <w:szCs w:val="24"/>
              </w:rPr>
              <w:t>、</w:t>
            </w:r>
            <w:r w:rsidRPr="005708AF">
              <w:rPr>
                <w:rFonts w:ascii="Times New Roman" w:hAnsi="Times New Roman"/>
                <w:kern w:val="0"/>
                <w:sz w:val="24"/>
                <w:szCs w:val="24"/>
              </w:rPr>
              <w:t>燃烧过程的强化方法与完善技术</w:t>
            </w:r>
            <w:r w:rsidRPr="005708AF">
              <w:rPr>
                <w:rFonts w:ascii="Times New Roman" w:hAnsi="Times New Roman" w:hint="eastAsia"/>
                <w:kern w:val="0"/>
                <w:sz w:val="24"/>
                <w:szCs w:val="24"/>
              </w:rPr>
              <w:t>。</w:t>
            </w:r>
          </w:p>
        </w:tc>
      </w:tr>
      <w:tr w:rsidR="00C20406" w:rsidTr="008C3907">
        <w:trPr>
          <w:trHeight w:val="1244"/>
        </w:trPr>
        <w:tc>
          <w:tcPr>
            <w:tcW w:w="532"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8</w:t>
            </w:r>
          </w:p>
        </w:tc>
        <w:tc>
          <w:tcPr>
            <w:tcW w:w="1561"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第八章</w:t>
            </w:r>
          </w:p>
          <w:p w:rsidR="00C20406" w:rsidRPr="005708AF" w:rsidRDefault="00C20406" w:rsidP="008C3907">
            <w:pPr>
              <w:rPr>
                <w:rFonts w:ascii="Times New Roman" w:hAnsi="Times New Roman"/>
                <w:kern w:val="0"/>
                <w:sz w:val="24"/>
                <w:szCs w:val="24"/>
              </w:rPr>
            </w:pPr>
            <w:r w:rsidRPr="005708AF">
              <w:rPr>
                <w:rFonts w:ascii="Times New Roman" w:hAnsi="Times New Roman"/>
                <w:kern w:val="0"/>
                <w:sz w:val="24"/>
                <w:szCs w:val="24"/>
              </w:rPr>
              <w:t>液体燃料的燃烧</w:t>
            </w:r>
          </w:p>
        </w:tc>
        <w:tc>
          <w:tcPr>
            <w:tcW w:w="425"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2</w:t>
            </w:r>
          </w:p>
        </w:tc>
        <w:tc>
          <w:tcPr>
            <w:tcW w:w="3896"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第一节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燃料油的燃烧过程</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第二节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油的雾化</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第三节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燃油烧嘴</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第四节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油掺水乳化燃烧技术</w:t>
            </w:r>
          </w:p>
        </w:tc>
        <w:tc>
          <w:tcPr>
            <w:tcW w:w="3188"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掌握</w:t>
            </w:r>
            <w:r w:rsidRPr="005708AF">
              <w:rPr>
                <w:rFonts w:ascii="Times New Roman" w:hAnsi="Times New Roman"/>
                <w:kern w:val="0"/>
                <w:sz w:val="24"/>
                <w:szCs w:val="24"/>
              </w:rPr>
              <w:t>液体燃料燃烧过程的特点</w:t>
            </w:r>
            <w:r w:rsidRPr="005708AF">
              <w:rPr>
                <w:rFonts w:ascii="Times New Roman" w:hAnsi="Times New Roman" w:hint="eastAsia"/>
                <w:kern w:val="0"/>
                <w:sz w:val="24"/>
                <w:szCs w:val="24"/>
              </w:rPr>
              <w:t>、</w:t>
            </w:r>
            <w:r w:rsidRPr="005708AF">
              <w:rPr>
                <w:rFonts w:ascii="Times New Roman" w:hAnsi="Times New Roman"/>
                <w:kern w:val="0"/>
                <w:sz w:val="24"/>
                <w:szCs w:val="24"/>
              </w:rPr>
              <w:t>雾化装置</w:t>
            </w:r>
            <w:r w:rsidRPr="005708AF">
              <w:rPr>
                <w:rFonts w:ascii="Times New Roman" w:hAnsi="Times New Roman" w:hint="eastAsia"/>
                <w:kern w:val="0"/>
                <w:sz w:val="24"/>
                <w:szCs w:val="24"/>
              </w:rPr>
              <w:t>、</w:t>
            </w:r>
            <w:r w:rsidRPr="005708AF">
              <w:rPr>
                <w:rFonts w:ascii="Times New Roman" w:hAnsi="Times New Roman"/>
                <w:kern w:val="0"/>
                <w:sz w:val="24"/>
                <w:szCs w:val="24"/>
              </w:rPr>
              <w:t>油滴燃烧和油雾燃烧机理</w:t>
            </w:r>
            <w:r w:rsidRPr="005708AF">
              <w:rPr>
                <w:rFonts w:ascii="Times New Roman" w:hAnsi="Times New Roman" w:hint="eastAsia"/>
                <w:kern w:val="0"/>
                <w:sz w:val="24"/>
                <w:szCs w:val="24"/>
              </w:rPr>
              <w:t>。</w:t>
            </w:r>
            <w:r w:rsidRPr="005708AF">
              <w:rPr>
                <w:rFonts w:ascii="Times New Roman" w:hAnsi="Times New Roman"/>
                <w:kern w:val="0"/>
                <w:sz w:val="24"/>
                <w:szCs w:val="24"/>
              </w:rPr>
              <w:t>了解乳化燃烧技术</w:t>
            </w:r>
            <w:r w:rsidRPr="005708AF">
              <w:rPr>
                <w:rFonts w:ascii="Times New Roman" w:hAnsi="Times New Roman"/>
                <w:kern w:val="0"/>
                <w:sz w:val="24"/>
                <w:szCs w:val="24"/>
              </w:rPr>
              <w:t>.</w:t>
            </w:r>
          </w:p>
        </w:tc>
      </w:tr>
      <w:tr w:rsidR="00C20406" w:rsidTr="008C3907">
        <w:trPr>
          <w:trHeight w:val="1244"/>
        </w:trPr>
        <w:tc>
          <w:tcPr>
            <w:tcW w:w="532"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9</w:t>
            </w:r>
          </w:p>
        </w:tc>
        <w:tc>
          <w:tcPr>
            <w:tcW w:w="1561"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第九章</w:t>
            </w:r>
          </w:p>
          <w:p w:rsidR="00C20406" w:rsidRPr="005708AF" w:rsidRDefault="00C20406" w:rsidP="008C3907">
            <w:pPr>
              <w:rPr>
                <w:rFonts w:ascii="Times New Roman" w:hAnsi="Times New Roman"/>
                <w:kern w:val="0"/>
                <w:sz w:val="24"/>
                <w:szCs w:val="24"/>
              </w:rPr>
            </w:pPr>
            <w:r w:rsidRPr="005708AF">
              <w:rPr>
                <w:rFonts w:ascii="Times New Roman" w:hAnsi="Times New Roman"/>
                <w:kern w:val="0"/>
                <w:sz w:val="24"/>
                <w:szCs w:val="24"/>
              </w:rPr>
              <w:t>固体燃料的燃烧</w:t>
            </w:r>
          </w:p>
        </w:tc>
        <w:tc>
          <w:tcPr>
            <w:tcW w:w="425"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4</w:t>
            </w:r>
          </w:p>
        </w:tc>
        <w:tc>
          <w:tcPr>
            <w:tcW w:w="3896"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第一节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固体燃料的层状燃烧</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第二节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煤粉燃烧法</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第三节</w:t>
            </w:r>
            <w:r w:rsidRPr="005708AF">
              <w:rPr>
                <w:rFonts w:ascii="Times New Roman" w:hAnsi="Times New Roman" w:hint="eastAsia"/>
                <w:kern w:val="0"/>
                <w:sz w:val="24"/>
                <w:szCs w:val="24"/>
              </w:rPr>
              <w:t xml:space="preserve"> </w:t>
            </w:r>
            <w:r w:rsidRPr="005708AF">
              <w:rPr>
                <w:rFonts w:ascii="Times New Roman" w:hAnsi="Times New Roman" w:hint="eastAsia"/>
                <w:kern w:val="0"/>
                <w:sz w:val="24"/>
                <w:szCs w:val="24"/>
              </w:rPr>
              <w:t>沸腾燃烧法</w:t>
            </w:r>
          </w:p>
        </w:tc>
        <w:tc>
          <w:tcPr>
            <w:tcW w:w="3188"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掌握层状燃烧方法及燃烧设备，熟悉沸腾燃烧法。了解煤粉燃烧法</w:t>
            </w:r>
          </w:p>
        </w:tc>
      </w:tr>
      <w:tr w:rsidR="00C20406" w:rsidTr="008C3907">
        <w:trPr>
          <w:trHeight w:val="1244"/>
        </w:trPr>
        <w:tc>
          <w:tcPr>
            <w:tcW w:w="532"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10</w:t>
            </w:r>
          </w:p>
        </w:tc>
        <w:tc>
          <w:tcPr>
            <w:tcW w:w="1561"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第十章</w:t>
            </w:r>
          </w:p>
          <w:p w:rsidR="00C20406" w:rsidRPr="005708AF" w:rsidRDefault="00C20406" w:rsidP="008C3907">
            <w:pPr>
              <w:rPr>
                <w:rFonts w:ascii="Times New Roman" w:hAnsi="Times New Roman"/>
                <w:kern w:val="0"/>
                <w:sz w:val="24"/>
                <w:szCs w:val="24"/>
              </w:rPr>
            </w:pPr>
            <w:r w:rsidRPr="005708AF">
              <w:rPr>
                <w:rFonts w:ascii="Times New Roman" w:hAnsi="Times New Roman"/>
                <w:kern w:val="0"/>
                <w:sz w:val="24"/>
                <w:szCs w:val="24"/>
              </w:rPr>
              <w:t>燃烧污染及其防治</w:t>
            </w:r>
          </w:p>
        </w:tc>
        <w:tc>
          <w:tcPr>
            <w:tcW w:w="425"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4</w:t>
            </w:r>
          </w:p>
        </w:tc>
        <w:tc>
          <w:tcPr>
            <w:tcW w:w="3896"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第一节</w:t>
            </w:r>
            <w:r w:rsidRPr="005708AF">
              <w:rPr>
                <w:rFonts w:ascii="Times New Roman" w:hAnsi="Times New Roman" w:hint="eastAsia"/>
                <w:kern w:val="0"/>
                <w:sz w:val="24"/>
                <w:szCs w:val="24"/>
              </w:rPr>
              <w:t xml:space="preserve"> </w:t>
            </w:r>
            <w:r w:rsidRPr="005708AF">
              <w:rPr>
                <w:rFonts w:ascii="Times New Roman" w:hAnsi="Times New Roman"/>
                <w:kern w:val="0"/>
                <w:sz w:val="24"/>
                <w:szCs w:val="24"/>
              </w:rPr>
              <w:t>燃料燃烧造成的大气环境污染</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第二节</w:t>
            </w:r>
            <w:r w:rsidRPr="005708AF">
              <w:rPr>
                <w:rFonts w:ascii="Times New Roman" w:hAnsi="Times New Roman" w:hint="eastAsia"/>
                <w:kern w:val="0"/>
                <w:sz w:val="24"/>
                <w:szCs w:val="24"/>
              </w:rPr>
              <w:t xml:space="preserve"> </w:t>
            </w:r>
            <w:r w:rsidRPr="005708AF">
              <w:rPr>
                <w:rFonts w:ascii="Times New Roman" w:hAnsi="Times New Roman"/>
                <w:kern w:val="0"/>
                <w:sz w:val="24"/>
                <w:szCs w:val="24"/>
              </w:rPr>
              <w:t>烟尘生成机理及防治方法</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第三节</w:t>
            </w:r>
            <w:r w:rsidRPr="005708AF">
              <w:rPr>
                <w:rFonts w:ascii="Times New Roman" w:hAnsi="Times New Roman" w:hint="eastAsia"/>
                <w:kern w:val="0"/>
                <w:sz w:val="24"/>
                <w:szCs w:val="24"/>
              </w:rPr>
              <w:t xml:space="preserve"> </w:t>
            </w:r>
            <w:r w:rsidRPr="005708AF">
              <w:rPr>
                <w:rFonts w:ascii="Times New Roman" w:hAnsi="Times New Roman"/>
                <w:kern w:val="0"/>
                <w:sz w:val="24"/>
                <w:szCs w:val="24"/>
              </w:rPr>
              <w:t>硫的氧化物生成机理及防</w:t>
            </w:r>
            <w:r w:rsidRPr="005708AF">
              <w:rPr>
                <w:rFonts w:ascii="Times New Roman" w:hAnsi="Times New Roman"/>
                <w:kern w:val="0"/>
                <w:sz w:val="24"/>
                <w:szCs w:val="24"/>
              </w:rPr>
              <w:lastRenderedPageBreak/>
              <w:t>治</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第四节</w:t>
            </w:r>
            <w:r w:rsidRPr="005708AF">
              <w:rPr>
                <w:rFonts w:ascii="Times New Roman" w:hAnsi="Times New Roman" w:hint="eastAsia"/>
                <w:kern w:val="0"/>
                <w:sz w:val="24"/>
                <w:szCs w:val="24"/>
              </w:rPr>
              <w:t xml:space="preserve"> </w:t>
            </w:r>
            <w:r w:rsidRPr="005708AF">
              <w:rPr>
                <w:rFonts w:ascii="Times New Roman" w:hAnsi="Times New Roman"/>
                <w:kern w:val="0"/>
                <w:sz w:val="24"/>
                <w:szCs w:val="24"/>
              </w:rPr>
              <w:t>氮的氧化物生成机理及防治方法</w:t>
            </w:r>
          </w:p>
        </w:tc>
        <w:tc>
          <w:tcPr>
            <w:tcW w:w="3188"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kern w:val="0"/>
                <w:sz w:val="24"/>
                <w:szCs w:val="24"/>
              </w:rPr>
              <w:lastRenderedPageBreak/>
              <w:t>了解烟尘生成机理及防治方法</w:t>
            </w:r>
            <w:r w:rsidRPr="005708AF">
              <w:rPr>
                <w:rFonts w:ascii="Times New Roman" w:hAnsi="Times New Roman" w:hint="eastAsia"/>
                <w:kern w:val="0"/>
                <w:sz w:val="24"/>
                <w:szCs w:val="24"/>
              </w:rPr>
              <w:t>，</w:t>
            </w:r>
            <w:r w:rsidRPr="005708AF">
              <w:rPr>
                <w:rFonts w:ascii="Times New Roman" w:hAnsi="Times New Roman"/>
                <w:kern w:val="0"/>
                <w:sz w:val="24"/>
                <w:szCs w:val="24"/>
              </w:rPr>
              <w:t>熟悉硫的氧化物生成机理及防治方法</w:t>
            </w:r>
            <w:r w:rsidRPr="005708AF">
              <w:rPr>
                <w:rFonts w:ascii="Times New Roman" w:hAnsi="Times New Roman" w:hint="eastAsia"/>
                <w:kern w:val="0"/>
                <w:sz w:val="24"/>
                <w:szCs w:val="24"/>
              </w:rPr>
              <w:t>。</w:t>
            </w:r>
            <w:r w:rsidRPr="005708AF">
              <w:rPr>
                <w:rFonts w:ascii="Times New Roman" w:hAnsi="Times New Roman"/>
                <w:kern w:val="0"/>
                <w:sz w:val="24"/>
                <w:szCs w:val="24"/>
              </w:rPr>
              <w:t>,</w:t>
            </w:r>
            <w:r w:rsidRPr="005708AF">
              <w:rPr>
                <w:rFonts w:ascii="Times New Roman" w:hAnsi="Times New Roman" w:hint="eastAsia"/>
                <w:kern w:val="0"/>
                <w:sz w:val="24"/>
                <w:szCs w:val="24"/>
              </w:rPr>
              <w:t>熟悉</w:t>
            </w:r>
            <w:r w:rsidRPr="005708AF">
              <w:rPr>
                <w:rFonts w:ascii="Times New Roman" w:hAnsi="Times New Roman"/>
                <w:kern w:val="0"/>
                <w:sz w:val="24"/>
                <w:szCs w:val="24"/>
              </w:rPr>
              <w:t>氮的氧化物生成机理及防治方法</w:t>
            </w:r>
            <w:r w:rsidRPr="005708AF">
              <w:rPr>
                <w:rFonts w:ascii="Times New Roman" w:hAnsi="Times New Roman" w:hint="eastAsia"/>
                <w:kern w:val="0"/>
                <w:sz w:val="24"/>
                <w:szCs w:val="24"/>
              </w:rPr>
              <w:t>。</w:t>
            </w:r>
          </w:p>
        </w:tc>
      </w:tr>
      <w:tr w:rsidR="00C20406" w:rsidTr="008C3907">
        <w:trPr>
          <w:trHeight w:val="1244"/>
        </w:trPr>
        <w:tc>
          <w:tcPr>
            <w:tcW w:w="532"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11</w:t>
            </w:r>
          </w:p>
        </w:tc>
        <w:tc>
          <w:tcPr>
            <w:tcW w:w="1561"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课程实验</w:t>
            </w:r>
          </w:p>
        </w:tc>
        <w:tc>
          <w:tcPr>
            <w:tcW w:w="425"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2</w:t>
            </w:r>
          </w:p>
        </w:tc>
        <w:tc>
          <w:tcPr>
            <w:tcW w:w="3896"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1.</w:t>
            </w:r>
            <w:r w:rsidRPr="005708AF">
              <w:rPr>
                <w:rFonts w:ascii="Times New Roman" w:hAnsi="Times New Roman" w:hint="eastAsia"/>
                <w:kern w:val="0"/>
                <w:sz w:val="24"/>
                <w:szCs w:val="24"/>
              </w:rPr>
              <w:t>煤发热量测定</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2.</w:t>
            </w:r>
            <w:r w:rsidRPr="005708AF">
              <w:rPr>
                <w:rFonts w:ascii="Times New Roman" w:hAnsi="Times New Roman" w:hint="eastAsia"/>
                <w:kern w:val="0"/>
                <w:sz w:val="24"/>
                <w:szCs w:val="24"/>
              </w:rPr>
              <w:t>烟气分析</w:t>
            </w:r>
          </w:p>
        </w:tc>
        <w:tc>
          <w:tcPr>
            <w:tcW w:w="3188" w:type="dxa"/>
            <w:tcBorders>
              <w:top w:val="single" w:sz="4" w:space="0" w:color="auto"/>
              <w:left w:val="single" w:sz="4" w:space="0" w:color="auto"/>
              <w:bottom w:val="single" w:sz="4" w:space="0" w:color="auto"/>
              <w:right w:val="single" w:sz="4" w:space="0" w:color="auto"/>
            </w:tcBorders>
            <w:vAlign w:val="center"/>
          </w:tcPr>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掌握固体发热量测试方法；</w:t>
            </w:r>
          </w:p>
          <w:p w:rsidR="00C20406" w:rsidRPr="005708AF" w:rsidRDefault="00C20406" w:rsidP="008C3907">
            <w:pPr>
              <w:rPr>
                <w:rFonts w:ascii="Times New Roman" w:hAnsi="Times New Roman"/>
                <w:kern w:val="0"/>
                <w:sz w:val="24"/>
                <w:szCs w:val="24"/>
              </w:rPr>
            </w:pPr>
            <w:r w:rsidRPr="005708AF">
              <w:rPr>
                <w:rFonts w:ascii="Times New Roman" w:hAnsi="Times New Roman" w:hint="eastAsia"/>
                <w:kern w:val="0"/>
                <w:sz w:val="24"/>
                <w:szCs w:val="24"/>
              </w:rPr>
              <w:t>了解锅炉热平衡，掌握各种热损失及锅炉效率</w:t>
            </w:r>
          </w:p>
        </w:tc>
      </w:tr>
    </w:tbl>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考试</w:t>
      </w:r>
    </w:p>
    <w:p w:rsidR="00C20406" w:rsidRDefault="00C20406"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20406" w:rsidRDefault="00C20406" w:rsidP="00C20406">
      <w:pPr>
        <w:spacing w:line="360" w:lineRule="auto"/>
        <w:ind w:left="560"/>
        <w:rPr>
          <w:rFonts w:ascii="仿宋_GB2312" w:hAnsi="仿宋_GB2312" w:cs="仿宋_GB2312"/>
          <w:sz w:val="28"/>
          <w:szCs w:val="28"/>
        </w:rPr>
      </w:pPr>
      <w:r>
        <w:rPr>
          <w:rFonts w:ascii="仿宋_GB2312" w:hAnsi="仿宋_GB2312" w:cs="仿宋_GB2312" w:hint="eastAsia"/>
          <w:sz w:val="28"/>
          <w:szCs w:val="28"/>
        </w:rPr>
        <w:t>采用平时成绩+期末考试方式确定总评成绩。其中平时成绩考核包括作业、讨论、出勤等内容，期末考试采用闭卷方式。平时成绩占20%，期末考试成绩占80%。</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20406" w:rsidRDefault="00C20406" w:rsidP="00C2040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20406" w:rsidRDefault="00C20406" w:rsidP="00C20406">
      <w:pPr>
        <w:spacing w:line="360" w:lineRule="auto"/>
        <w:ind w:firstLine="331"/>
        <w:rPr>
          <w:rFonts w:ascii="宋体" w:hAnsi="宋体"/>
        </w:rPr>
      </w:pPr>
      <w:r>
        <w:rPr>
          <w:rFonts w:ascii="仿宋_GB2312" w:hAnsi="仿宋_GB2312" w:cs="仿宋_GB2312"/>
          <w:sz w:val="28"/>
          <w:szCs w:val="28"/>
        </w:rPr>
        <w:t>主教材</w:t>
      </w:r>
      <w:r>
        <w:rPr>
          <w:rFonts w:ascii="仿宋_GB2312" w:hAnsi="仿宋_GB2312" w:cs="仿宋_GB2312" w:hint="eastAsia"/>
          <w:sz w:val="28"/>
          <w:szCs w:val="28"/>
        </w:rPr>
        <w:t xml:space="preserve">：《燃烧理论与燃烧设备》徐旭常等编，科学出版社，2012.  </w:t>
      </w:r>
      <w:r>
        <w:rPr>
          <w:rFonts w:ascii="华文中宋" w:eastAsia="华文中宋" w:hAnsi="华文中宋" w:hint="eastAsia"/>
          <w:szCs w:val="21"/>
        </w:rPr>
        <w:t xml:space="preserve">           </w:t>
      </w:r>
    </w:p>
    <w:p w:rsidR="00C20406" w:rsidRDefault="00C20406" w:rsidP="00C2040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《锅炉及锅炉房设备》（第五版），吴味隆主编，中国建筑工业出版社。2014.</w:t>
      </w:r>
    </w:p>
    <w:p w:rsidR="00C20406" w:rsidRDefault="00C20406" w:rsidP="00C20406">
      <w:pPr>
        <w:spacing w:beforeLines="50" w:before="156" w:afterLines="50" w:after="156" w:line="460" w:lineRule="exact"/>
        <w:ind w:firstLineChars="100" w:firstLine="280"/>
        <w:rPr>
          <w:rFonts w:ascii="仿宋_GB2312" w:hAnsi="仿宋_GB2312" w:cs="仿宋_GB2312"/>
          <w:sz w:val="28"/>
          <w:szCs w:val="28"/>
        </w:rPr>
      </w:pPr>
      <w:r>
        <w:rPr>
          <w:rFonts w:ascii="仿宋_GB2312" w:hAnsi="仿宋_GB2312" w:cs="仿宋_GB2312"/>
          <w:sz w:val="28"/>
          <w:szCs w:val="28"/>
        </w:rPr>
        <w:t>《燃料及燃烧》(第二版), 韩昭沧编,冶金工业出版社,1994.</w:t>
      </w:r>
    </w:p>
    <w:p w:rsidR="00C20406" w:rsidRDefault="00C20406" w:rsidP="00C20406">
      <w:pPr>
        <w:spacing w:beforeLines="50" w:before="156" w:afterLines="50" w:after="156" w:line="560" w:lineRule="exact"/>
        <w:rPr>
          <w:rFonts w:ascii="黑体" w:eastAsia="黑体" w:hAnsi="黑体"/>
          <w:b/>
          <w:sz w:val="28"/>
          <w:szCs w:val="28"/>
        </w:rPr>
      </w:pPr>
    </w:p>
    <w:p w:rsidR="00C20406" w:rsidRDefault="00C20406" w:rsidP="00C20406">
      <w:pPr>
        <w:spacing w:line="360" w:lineRule="auto"/>
        <w:ind w:firstLineChars="1450" w:firstLine="4060"/>
        <w:rPr>
          <w:rFonts w:ascii="仿宋" w:eastAsia="仿宋" w:hAnsi="仿宋"/>
          <w:sz w:val="28"/>
          <w:szCs w:val="28"/>
        </w:rPr>
      </w:pPr>
      <w:r>
        <w:rPr>
          <w:rFonts w:ascii="仿宋" w:eastAsia="仿宋" w:hAnsi="仿宋" w:hint="eastAsia"/>
          <w:sz w:val="28"/>
          <w:szCs w:val="28"/>
        </w:rPr>
        <w:t>大纲撰写人：田安民</w:t>
      </w:r>
    </w:p>
    <w:p w:rsidR="00C20406" w:rsidRDefault="00C20406" w:rsidP="00C20406">
      <w:pPr>
        <w:spacing w:line="360" w:lineRule="auto"/>
        <w:ind w:firstLineChars="1450" w:firstLine="4060"/>
        <w:rPr>
          <w:rFonts w:ascii="仿宋" w:eastAsia="仿宋" w:hAnsi="仿宋"/>
          <w:sz w:val="28"/>
          <w:szCs w:val="28"/>
        </w:rPr>
      </w:pPr>
      <w:r>
        <w:rPr>
          <w:rFonts w:ascii="仿宋" w:eastAsia="仿宋" w:hAnsi="仿宋" w:hint="eastAsia"/>
          <w:sz w:val="28"/>
          <w:szCs w:val="28"/>
        </w:rPr>
        <w:t>课程负责人：田安民</w:t>
      </w:r>
    </w:p>
    <w:p w:rsidR="00C20406" w:rsidRDefault="00C20406" w:rsidP="00C20406">
      <w:pPr>
        <w:spacing w:line="360" w:lineRule="auto"/>
        <w:ind w:firstLineChars="1450" w:firstLine="4060"/>
        <w:rPr>
          <w:rFonts w:ascii="仿宋" w:eastAsia="仿宋" w:hAnsi="仿宋"/>
          <w:sz w:val="28"/>
          <w:szCs w:val="28"/>
        </w:rPr>
      </w:pPr>
      <w:r>
        <w:rPr>
          <w:rFonts w:ascii="仿宋" w:eastAsia="仿宋" w:hAnsi="仿宋" w:hint="eastAsia"/>
          <w:sz w:val="28"/>
          <w:szCs w:val="28"/>
        </w:rPr>
        <w:lastRenderedPageBreak/>
        <w:t>审核人：</w:t>
      </w:r>
    </w:p>
    <w:p w:rsidR="00C20406" w:rsidRDefault="00C20406" w:rsidP="00C20406">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20406" w:rsidRDefault="00C20406" w:rsidP="00C20406">
      <w:pPr>
        <w:ind w:firstLineChars="2000" w:firstLine="5600"/>
        <w:jc w:val="left"/>
        <w:rPr>
          <w:rFonts w:ascii="仿宋" w:hAnsi="仿宋"/>
          <w:sz w:val="28"/>
          <w:szCs w:val="28"/>
        </w:rPr>
      </w:pPr>
      <w:r>
        <w:rPr>
          <w:rFonts w:ascii="仿宋_GB2312" w:hAnsi="微软雅黑" w:hint="eastAsia"/>
          <w:sz w:val="28"/>
          <w:szCs w:val="28"/>
        </w:rPr>
        <w:t xml:space="preserve">    </w:t>
      </w:r>
    </w:p>
    <w:p w:rsidR="00C20406" w:rsidRDefault="00C20406" w:rsidP="00C20406">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04</w:t>
      </w:r>
      <w:r>
        <w:rPr>
          <w:rFonts w:ascii="仿宋" w:eastAsia="仿宋" w:hAnsi="仿宋" w:hint="eastAsia"/>
          <w:sz w:val="28"/>
          <w:szCs w:val="28"/>
        </w:rPr>
        <w:t>月</w:t>
      </w:r>
    </w:p>
    <w:p w:rsidR="00C20406" w:rsidRDefault="00C20406" w:rsidP="00C20406">
      <w:pPr>
        <w:ind w:firstLineChars="200" w:firstLine="640"/>
        <w:jc w:val="left"/>
        <w:rPr>
          <w:rFonts w:ascii="华文中宋" w:eastAsia="华文中宋" w:hAnsi="华文中宋"/>
          <w:szCs w:val="21"/>
        </w:rPr>
      </w:pPr>
      <w:r>
        <w:rPr>
          <w:rFonts w:ascii="华文中宋" w:eastAsia="华文中宋" w:hAnsi="华文中宋" w:hint="eastAsia"/>
          <w:szCs w:val="21"/>
        </w:rPr>
        <w:t xml:space="preserve">                                   </w:t>
      </w: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5708AF" w:rsidRDefault="005708AF" w:rsidP="00C20406">
      <w:pPr>
        <w:ind w:firstLineChars="200" w:firstLine="640"/>
        <w:jc w:val="left"/>
        <w:rPr>
          <w:rFonts w:ascii="华文中宋" w:eastAsia="华文中宋" w:hAnsi="华文中宋"/>
          <w:szCs w:val="21"/>
        </w:rPr>
      </w:pPr>
    </w:p>
    <w:p w:rsidR="009613B4" w:rsidRDefault="009613B4" w:rsidP="009613B4">
      <w:pPr>
        <w:widowControl/>
        <w:spacing w:line="400" w:lineRule="exact"/>
        <w:rPr>
          <w:rFonts w:ascii="黑体" w:eastAsia="黑体" w:hAnsi="黑体" w:cs="宋体" w:hint="eastAsia"/>
          <w:bCs/>
          <w:kern w:val="0"/>
          <w:szCs w:val="32"/>
        </w:rPr>
      </w:pPr>
    </w:p>
    <w:p w:rsidR="00C20406" w:rsidRDefault="00C20406" w:rsidP="00C2040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《专业阅读与科技论文写作》课程教学大纲</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Professional English Reading &amp; Writing of Scientific Papers</w:t>
      </w:r>
    </w:p>
    <w:p w:rsidR="00C20406" w:rsidRDefault="00C20406" w:rsidP="00C20406">
      <w:pPr>
        <w:spacing w:line="360" w:lineRule="auto"/>
        <w:ind w:firstLine="331"/>
        <w:jc w:val="left"/>
      </w:pPr>
      <w:r>
        <w:rPr>
          <w:rFonts w:ascii="仿宋_GB2312" w:hAnsi="仿宋_GB2312" w:cs="仿宋_GB2312" w:hint="eastAsia"/>
          <w:bCs/>
          <w:sz w:val="28"/>
          <w:szCs w:val="28"/>
        </w:rPr>
        <w:t>课程编码：</w:t>
      </w:r>
      <w:r>
        <w:t>Z2807070</w:t>
      </w:r>
    </w:p>
    <w:p w:rsidR="00C20406" w:rsidRDefault="00C20406" w:rsidP="00C2040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授课语言：中文+英文</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先修课程：大学英语</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20406" w:rsidRDefault="00C20406" w:rsidP="00C20406">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sz w:val="28"/>
          <w:szCs w:val="28"/>
        </w:rPr>
        <w:t>专业阅读</w:t>
      </w:r>
      <w:r>
        <w:rPr>
          <w:rFonts w:ascii="仿宋_GB2312" w:hAnsi="仿宋_GB2312" w:cs="仿宋_GB2312" w:hint="eastAsia"/>
          <w:sz w:val="28"/>
          <w:szCs w:val="28"/>
        </w:rPr>
        <w:t>与科技论文写作》</w:t>
      </w:r>
      <w:r>
        <w:rPr>
          <w:rFonts w:ascii="仿宋_GB2312" w:hAnsi="仿宋_GB2312" w:cs="仿宋_GB2312"/>
          <w:sz w:val="28"/>
          <w:szCs w:val="28"/>
        </w:rPr>
        <w:t>课程的教学对象是针对已完成大学英语基础阶段学习的建筑环境与能源应用工程专业的本科生。它是一门提高外语专业阅读能力与</w:t>
      </w:r>
      <w:r>
        <w:rPr>
          <w:rFonts w:ascii="仿宋_GB2312" w:hAnsi="仿宋_GB2312" w:cs="仿宋_GB2312" w:hint="eastAsia"/>
          <w:sz w:val="28"/>
          <w:szCs w:val="28"/>
        </w:rPr>
        <w:t>写作</w:t>
      </w:r>
      <w:r>
        <w:rPr>
          <w:rFonts w:ascii="仿宋_GB2312" w:hAnsi="仿宋_GB2312" w:cs="仿宋_GB2312"/>
          <w:sz w:val="28"/>
          <w:szCs w:val="28"/>
        </w:rPr>
        <w:t>技巧的基础必选课。</w:t>
      </w:r>
    </w:p>
    <w:p w:rsidR="00C20406" w:rsidRDefault="00C20406" w:rsidP="00C20406">
      <w:pPr>
        <w:spacing w:line="560" w:lineRule="exact"/>
        <w:ind w:firstLine="331"/>
        <w:rPr>
          <w:rFonts w:ascii="仿宋_GB2312" w:hAnsi="仿宋_GB2312" w:cs="仿宋_GB2312"/>
          <w:sz w:val="28"/>
          <w:szCs w:val="28"/>
        </w:rPr>
      </w:pPr>
      <w:r>
        <w:rPr>
          <w:rFonts w:ascii="仿宋_GB2312" w:hAnsi="仿宋_GB2312" w:cs="仿宋_GB2312"/>
          <w:sz w:val="28"/>
          <w:szCs w:val="28"/>
        </w:rPr>
        <w:t>教学方式</w:t>
      </w:r>
      <w:r>
        <w:rPr>
          <w:rFonts w:ascii="仿宋_GB2312" w:hAnsi="仿宋_GB2312" w:cs="仿宋_GB2312" w:hint="eastAsia"/>
          <w:sz w:val="28"/>
          <w:szCs w:val="28"/>
        </w:rPr>
        <w:t>采用</w:t>
      </w:r>
      <w:r>
        <w:rPr>
          <w:rFonts w:ascii="仿宋_GB2312" w:hAnsi="仿宋_GB2312" w:cs="仿宋_GB2312"/>
          <w:sz w:val="28"/>
          <w:szCs w:val="28"/>
        </w:rPr>
        <w:t>PPT</w:t>
      </w:r>
      <w:r>
        <w:rPr>
          <w:rFonts w:ascii="仿宋_GB2312" w:hAnsi="仿宋_GB2312" w:cs="仿宋_GB2312" w:hint="eastAsia"/>
          <w:sz w:val="28"/>
          <w:szCs w:val="28"/>
        </w:rPr>
        <w:t>+板书讲解相结合进行授课，并结合后续课程设计教学环节，使学生具备基本的理论分析和应用能力。</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20406" w:rsidRDefault="00C20406" w:rsidP="00C20406">
      <w:pPr>
        <w:spacing w:line="560" w:lineRule="exact"/>
        <w:ind w:firstLine="331"/>
        <w:rPr>
          <w:rFonts w:ascii="仿宋_GB2312" w:hAnsi="仿宋_GB2312" w:cs="仿宋_GB2312"/>
          <w:sz w:val="28"/>
          <w:szCs w:val="28"/>
        </w:rPr>
      </w:pPr>
      <w:r>
        <w:rPr>
          <w:rFonts w:ascii="仿宋_GB2312" w:hAnsi="仿宋_GB2312" w:cs="仿宋_GB2312" w:hint="eastAsia"/>
          <w:sz w:val="28"/>
          <w:szCs w:val="28"/>
        </w:rPr>
        <w:lastRenderedPageBreak/>
        <w:t>1. 课程任务</w:t>
      </w:r>
    </w:p>
    <w:p w:rsidR="00C20406" w:rsidRDefault="00C20406" w:rsidP="00C20406">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 xml:space="preserve"> 本课程</w:t>
      </w:r>
      <w:r>
        <w:rPr>
          <w:rFonts w:ascii="仿宋_GB2312" w:hAnsi="仿宋_GB2312" w:cs="仿宋_GB2312"/>
          <w:sz w:val="28"/>
          <w:szCs w:val="28"/>
        </w:rPr>
        <w:t>主要任务是通过指导学生阅读本专业的英语书刊和文献，使他们进一步提高阅读和翻译科技英语的能力，并以英语为工具获取专业所需的信息</w:t>
      </w:r>
      <w:r>
        <w:rPr>
          <w:rFonts w:ascii="仿宋_GB2312" w:hAnsi="仿宋_GB2312" w:cs="仿宋_GB2312" w:hint="eastAsia"/>
          <w:sz w:val="28"/>
          <w:szCs w:val="28"/>
        </w:rPr>
        <w:t>，同时掌握一定的科技论文写作技巧与知识</w:t>
      </w:r>
      <w:r>
        <w:rPr>
          <w:rFonts w:ascii="仿宋_GB2312" w:hAnsi="仿宋_GB2312" w:cs="仿宋_GB2312"/>
          <w:sz w:val="28"/>
          <w:szCs w:val="28"/>
        </w:rPr>
        <w:t>。</w:t>
      </w:r>
    </w:p>
    <w:p w:rsidR="00C20406" w:rsidRDefault="00C20406" w:rsidP="00C20406">
      <w:pPr>
        <w:spacing w:line="400" w:lineRule="exact"/>
        <w:jc w:val="left"/>
        <w:rPr>
          <w:rFonts w:ascii="仿宋_GB2312" w:hAnsi="仿宋_GB2312" w:cs="仿宋_GB2312"/>
          <w:sz w:val="28"/>
          <w:szCs w:val="28"/>
        </w:rPr>
      </w:pPr>
    </w:p>
    <w:p w:rsidR="00C20406" w:rsidRDefault="00C20406" w:rsidP="005F6318">
      <w:pPr>
        <w:numPr>
          <w:ilvl w:val="0"/>
          <w:numId w:val="1"/>
        </w:numPr>
        <w:spacing w:line="360" w:lineRule="auto"/>
        <w:ind w:firstLine="331"/>
        <w:rPr>
          <w:rFonts w:ascii="仿宋_GB2312" w:hAnsi="仿宋_GB2312" w:cs="仿宋_GB2312"/>
          <w:sz w:val="28"/>
          <w:szCs w:val="28"/>
        </w:rPr>
      </w:pPr>
      <w:r>
        <w:rPr>
          <w:rFonts w:ascii="仿宋_GB2312" w:hAnsi="仿宋_GB2312" w:cs="仿宋_GB2312" w:hint="eastAsia"/>
          <w:sz w:val="28"/>
          <w:szCs w:val="28"/>
        </w:rPr>
        <w:t>课程基本要求</w:t>
      </w:r>
    </w:p>
    <w:p w:rsidR="00C20406" w:rsidRDefault="00C20406" w:rsidP="00C20406">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bCs/>
          <w:sz w:val="28"/>
          <w:szCs w:val="28"/>
        </w:rPr>
        <w:t>通过本课程的学习，要求学生达到：</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bCs/>
          <w:sz w:val="28"/>
          <w:szCs w:val="28"/>
        </w:rPr>
        <w:t>（1）总阅读量</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bCs/>
          <w:sz w:val="28"/>
          <w:szCs w:val="28"/>
        </w:rPr>
        <w:t>16～25万左右词（含课外阅读）</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bCs/>
          <w:sz w:val="28"/>
          <w:szCs w:val="28"/>
        </w:rPr>
        <w:t>（2）词汇</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bCs/>
          <w:sz w:val="28"/>
          <w:szCs w:val="28"/>
        </w:rPr>
        <w:t>掌握1000～1200科技常用词（包括一定数量的建筑环境与能源应用工程专业词汇），对其中一半左右的词汇能够掌握基本用法。</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bCs/>
          <w:sz w:val="28"/>
          <w:szCs w:val="28"/>
        </w:rPr>
        <w:t>（3）语法</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bCs/>
          <w:sz w:val="28"/>
          <w:szCs w:val="28"/>
        </w:rPr>
        <w:t>巩固基础阶段已学过的语法，掌握科技英语中的常用语法结构，并能在语言交际中运用。</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bCs/>
          <w:sz w:val="28"/>
          <w:szCs w:val="28"/>
        </w:rPr>
        <w:t>（4）阅读能力</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bCs/>
          <w:sz w:val="28"/>
          <w:szCs w:val="28"/>
        </w:rPr>
        <w:t>能顺利阅读并正确理解本专业的英文书刊和文章，阅读速度达每分钟70词。阅读难度较低，生词量不超过总词数的3%的材料，速度达到每分钟100词，阅读理解的准确率以70%为合格。能在较短的时间内获取具有一定长度的英语专业论文内所包含的专业信息。</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bCs/>
          <w:sz w:val="28"/>
          <w:szCs w:val="28"/>
        </w:rPr>
        <w:t>（5）写作能力</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bCs/>
          <w:sz w:val="28"/>
          <w:szCs w:val="28"/>
        </w:rPr>
        <w:t>具有较强的专业英语的写作能力，能在半小时内写出120词左右的短文，包括科技论文的大纲和摘要的归纳、整理及写作。</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bCs/>
          <w:sz w:val="28"/>
          <w:szCs w:val="28"/>
        </w:rPr>
        <w:lastRenderedPageBreak/>
        <w:t>（6）具有一定科技英语的听说能力。</w:t>
      </w:r>
    </w:p>
    <w:p w:rsidR="00C20406" w:rsidRDefault="00C20406" w:rsidP="00C20406">
      <w:pPr>
        <w:spacing w:line="400" w:lineRule="exact"/>
        <w:ind w:firstLineChars="200" w:firstLine="560"/>
        <w:jc w:val="left"/>
        <w:rPr>
          <w:rFonts w:ascii="仿宋_GB2312" w:hAnsi="仿宋_GB2312" w:cs="仿宋_GB2312"/>
          <w:sz w:val="28"/>
          <w:szCs w:val="28"/>
        </w:rPr>
      </w:pPr>
    </w:p>
    <w:p w:rsidR="00C20406" w:rsidRDefault="00C20406" w:rsidP="00C20406">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5103"/>
        <w:gridCol w:w="1494"/>
      </w:tblGrid>
      <w:tr w:rsidR="00C20406" w:rsidTr="008C3907">
        <w:trPr>
          <w:trHeight w:val="1010"/>
          <w:jc w:val="center"/>
        </w:trPr>
        <w:tc>
          <w:tcPr>
            <w:tcW w:w="1438" w:type="dxa"/>
            <w:shd w:val="clear" w:color="auto" w:fill="auto"/>
            <w:vAlign w:val="center"/>
          </w:tcPr>
          <w:p w:rsidR="00C20406" w:rsidRDefault="00C20406" w:rsidP="008C3907">
            <w:pPr>
              <w:spacing w:line="500" w:lineRule="exact"/>
              <w:ind w:firstLineChars="100" w:firstLine="210"/>
              <w:jc w:val="center"/>
              <w:rPr>
                <w:rFonts w:ascii="宋体" w:eastAsia="宋体" w:hAnsi="宋体"/>
                <w:sz w:val="21"/>
                <w:szCs w:val="21"/>
              </w:rPr>
            </w:pPr>
            <w:r>
              <w:rPr>
                <w:rFonts w:ascii="宋体" w:eastAsia="宋体" w:hAnsi="宋体" w:hint="eastAsia"/>
                <w:sz w:val="21"/>
                <w:szCs w:val="21"/>
              </w:rPr>
              <w:t>毕业要求</w:t>
            </w:r>
          </w:p>
        </w:tc>
        <w:tc>
          <w:tcPr>
            <w:tcW w:w="5103" w:type="dxa"/>
            <w:shd w:val="clear" w:color="auto" w:fill="auto"/>
            <w:vAlign w:val="center"/>
          </w:tcPr>
          <w:p w:rsidR="00C20406" w:rsidRDefault="00C20406" w:rsidP="008C3907">
            <w:pPr>
              <w:spacing w:line="500" w:lineRule="exact"/>
              <w:jc w:val="center"/>
              <w:rPr>
                <w:rFonts w:ascii="宋体" w:eastAsia="宋体" w:hAnsi="宋体"/>
                <w:sz w:val="21"/>
                <w:szCs w:val="21"/>
              </w:rPr>
            </w:pPr>
            <w:r>
              <w:rPr>
                <w:rFonts w:ascii="宋体" w:eastAsia="宋体" w:hAnsi="宋体" w:hint="eastAsia"/>
                <w:sz w:val="21"/>
                <w:szCs w:val="21"/>
              </w:rPr>
              <w:t>指标点</w:t>
            </w:r>
          </w:p>
        </w:tc>
        <w:tc>
          <w:tcPr>
            <w:tcW w:w="1494" w:type="dxa"/>
            <w:shd w:val="clear" w:color="auto" w:fill="auto"/>
            <w:vAlign w:val="center"/>
          </w:tcPr>
          <w:p w:rsidR="00C20406" w:rsidRDefault="00C20406" w:rsidP="008C3907">
            <w:pPr>
              <w:spacing w:line="500" w:lineRule="exact"/>
              <w:jc w:val="center"/>
              <w:rPr>
                <w:rFonts w:ascii="宋体" w:eastAsia="宋体" w:hAnsi="宋体"/>
                <w:sz w:val="21"/>
                <w:szCs w:val="21"/>
              </w:rPr>
            </w:pPr>
            <w:r>
              <w:rPr>
                <w:rFonts w:ascii="宋体" w:eastAsia="宋体" w:hAnsi="宋体" w:hint="eastAsia"/>
                <w:sz w:val="21"/>
                <w:szCs w:val="21"/>
              </w:rPr>
              <w:t>课程目标</w:t>
            </w:r>
          </w:p>
        </w:tc>
      </w:tr>
      <w:tr w:rsidR="00C20406" w:rsidTr="008C3907">
        <w:trPr>
          <w:jc w:val="center"/>
        </w:trPr>
        <w:tc>
          <w:tcPr>
            <w:tcW w:w="1438" w:type="dxa"/>
            <w:shd w:val="clear" w:color="auto" w:fill="auto"/>
            <w:vAlign w:val="center"/>
          </w:tcPr>
          <w:p w:rsidR="00C20406" w:rsidRDefault="00C20406" w:rsidP="008C3907">
            <w:pPr>
              <w:spacing w:line="500" w:lineRule="exact"/>
              <w:jc w:val="center"/>
              <w:rPr>
                <w:rFonts w:ascii="宋体" w:eastAsia="宋体" w:hAnsi="宋体"/>
                <w:sz w:val="21"/>
                <w:szCs w:val="21"/>
              </w:rPr>
            </w:pPr>
            <w:r>
              <w:rPr>
                <w:rFonts w:ascii="宋体" w:eastAsia="宋体" w:hAnsi="宋体" w:hint="eastAsia"/>
                <w:sz w:val="21"/>
                <w:szCs w:val="21"/>
              </w:rPr>
              <w:t>沟通</w:t>
            </w:r>
          </w:p>
        </w:tc>
        <w:tc>
          <w:tcPr>
            <w:tcW w:w="5103" w:type="dxa"/>
            <w:shd w:val="clear" w:color="auto" w:fill="auto"/>
            <w:vAlign w:val="center"/>
          </w:tcPr>
          <w:p w:rsidR="00C20406" w:rsidRDefault="00C20406" w:rsidP="008C3907">
            <w:pPr>
              <w:spacing w:line="500" w:lineRule="exact"/>
              <w:jc w:val="left"/>
              <w:rPr>
                <w:rFonts w:ascii="宋体" w:eastAsia="宋体" w:hAnsi="宋体"/>
                <w:sz w:val="21"/>
                <w:szCs w:val="21"/>
              </w:rPr>
            </w:pPr>
            <w:r>
              <w:rPr>
                <w:rFonts w:ascii="宋体" w:eastAsia="宋体" w:hAnsi="宋体" w:hint="eastAsia"/>
                <w:sz w:val="21"/>
                <w:szCs w:val="21"/>
              </w:rPr>
              <w:t>1</w:t>
            </w:r>
            <w:r>
              <w:rPr>
                <w:rFonts w:ascii="宋体" w:eastAsia="宋体" w:hAnsi="宋体"/>
                <w:sz w:val="21"/>
                <w:szCs w:val="21"/>
              </w:rPr>
              <w:t xml:space="preserve">0.1 </w:t>
            </w:r>
            <w:r>
              <w:rPr>
                <w:rFonts w:ascii="宋体" w:eastAsia="宋体" w:hAnsi="宋体" w:hint="eastAsia"/>
                <w:sz w:val="21"/>
                <w:szCs w:val="21"/>
              </w:rPr>
              <w:t>具备沟通与交流能力，能够通过撰写报告、设计文稿、陈述发言、清晰表达或回应指令等方式，就建筑环境与能源应用工程专业复杂工程问题与业界同行及社会公众进行有效沟通和交流。</w:t>
            </w:r>
          </w:p>
          <w:p w:rsidR="00C20406" w:rsidRDefault="00C20406" w:rsidP="008C3907">
            <w:pPr>
              <w:spacing w:line="500" w:lineRule="exact"/>
              <w:jc w:val="left"/>
              <w:rPr>
                <w:rFonts w:ascii="宋体" w:eastAsia="宋体" w:hAnsi="宋体"/>
                <w:sz w:val="21"/>
                <w:szCs w:val="21"/>
              </w:rPr>
            </w:pPr>
            <w:r>
              <w:rPr>
                <w:rFonts w:ascii="宋体" w:eastAsia="宋体" w:hAnsi="宋体" w:hint="eastAsia"/>
                <w:sz w:val="21"/>
                <w:szCs w:val="21"/>
              </w:rPr>
              <w:t>1</w:t>
            </w:r>
            <w:r>
              <w:rPr>
                <w:rFonts w:ascii="宋体" w:eastAsia="宋体" w:hAnsi="宋体"/>
                <w:sz w:val="21"/>
                <w:szCs w:val="21"/>
              </w:rPr>
              <w:t xml:space="preserve">0.2 </w:t>
            </w:r>
            <w:r>
              <w:rPr>
                <w:rFonts w:ascii="宋体" w:eastAsia="宋体" w:hAnsi="宋体" w:hint="eastAsia"/>
                <w:sz w:val="21"/>
                <w:szCs w:val="21"/>
              </w:rPr>
              <w:t>关注全球性问题，掌握一门外语，具有一定的国际视野，熟悉建筑环境与能源应用工程专业领域国内外发展动态，能够在跨文化背景下进行专业沟通和交流。</w:t>
            </w:r>
          </w:p>
        </w:tc>
        <w:tc>
          <w:tcPr>
            <w:tcW w:w="1494" w:type="dxa"/>
            <w:shd w:val="clear" w:color="auto" w:fill="auto"/>
            <w:vAlign w:val="center"/>
          </w:tcPr>
          <w:p w:rsidR="00C20406" w:rsidRDefault="00C20406" w:rsidP="008C3907">
            <w:pPr>
              <w:spacing w:line="500" w:lineRule="exact"/>
              <w:jc w:val="center"/>
              <w:rPr>
                <w:rFonts w:ascii="宋体" w:eastAsia="宋体" w:hAnsi="宋体"/>
                <w:sz w:val="21"/>
                <w:szCs w:val="21"/>
              </w:rPr>
            </w:pPr>
            <w:r>
              <w:rPr>
                <w:rFonts w:ascii="宋体" w:eastAsia="宋体" w:hAnsi="宋体" w:hint="eastAsia"/>
                <w:sz w:val="21"/>
                <w:szCs w:val="21"/>
              </w:rPr>
              <w:t>课程目标</w:t>
            </w:r>
          </w:p>
          <w:p w:rsidR="00C20406" w:rsidRDefault="00C20406" w:rsidP="008C3907">
            <w:pPr>
              <w:spacing w:line="500" w:lineRule="exact"/>
              <w:jc w:val="center"/>
              <w:rPr>
                <w:rFonts w:ascii="宋体" w:eastAsia="宋体" w:hAnsi="宋体"/>
                <w:sz w:val="21"/>
                <w:szCs w:val="21"/>
              </w:rPr>
            </w:pPr>
            <w:r>
              <w:rPr>
                <w:rFonts w:ascii="宋体" w:eastAsia="宋体" w:hAnsi="宋体" w:hint="eastAsia"/>
                <w:sz w:val="21"/>
                <w:szCs w:val="21"/>
              </w:rPr>
              <w:t>（1）-（6）</w:t>
            </w:r>
          </w:p>
        </w:tc>
      </w:tr>
    </w:tbl>
    <w:p w:rsidR="00C20406" w:rsidRDefault="00C20406" w:rsidP="00C20406">
      <w:pPr>
        <w:spacing w:line="360" w:lineRule="auto"/>
        <w:ind w:firstLine="331"/>
        <w:rPr>
          <w:rFonts w:ascii="仿宋_GB2312" w:hAnsi="仿宋_GB2312" w:cs="仿宋_GB2312"/>
          <w:b/>
          <w:color w:val="FF0000"/>
          <w:sz w:val="28"/>
          <w:szCs w:val="28"/>
        </w:rPr>
      </w:pP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20406" w:rsidRDefault="00C20406" w:rsidP="00C20406">
      <w:pPr>
        <w:spacing w:line="560" w:lineRule="exact"/>
        <w:ind w:firstLine="329"/>
        <w:rPr>
          <w:rFonts w:ascii="仿宋_GB2312" w:hAnsi="仿宋_GB2312" w:cs="仿宋_GB2312"/>
          <w:sz w:val="28"/>
          <w:szCs w:val="28"/>
        </w:rPr>
      </w:pPr>
      <w:r>
        <w:rPr>
          <w:rFonts w:ascii="仿宋_GB2312" w:hAnsi="仿宋_GB2312" w:cs="仿宋_GB2312"/>
          <w:sz w:val="28"/>
          <w:szCs w:val="28"/>
        </w:rPr>
        <w:t>（1）难点</w:t>
      </w:r>
    </w:p>
    <w:p w:rsidR="00C20406" w:rsidRDefault="00C20406" w:rsidP="00C20406">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①</w:t>
      </w:r>
      <w:r>
        <w:rPr>
          <w:rFonts w:ascii="仿宋_GB2312" w:hAnsi="仿宋_GB2312" w:cs="仿宋_GB2312"/>
          <w:sz w:val="28"/>
          <w:szCs w:val="28"/>
        </w:rPr>
        <w:t>专业英语的专业性较强，单词难记，专业术语难表达。</w:t>
      </w:r>
    </w:p>
    <w:p w:rsidR="00C20406" w:rsidRDefault="00C20406" w:rsidP="00C20406">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②学写科技论文</w:t>
      </w:r>
      <w:r>
        <w:rPr>
          <w:rFonts w:ascii="仿宋_GB2312" w:hAnsi="仿宋_GB2312" w:cs="仿宋_GB2312"/>
          <w:sz w:val="28"/>
          <w:szCs w:val="28"/>
        </w:rPr>
        <w:t>。</w:t>
      </w:r>
    </w:p>
    <w:p w:rsidR="00C20406" w:rsidRDefault="00C20406" w:rsidP="00C20406">
      <w:pPr>
        <w:spacing w:line="560" w:lineRule="exact"/>
        <w:ind w:firstLine="329"/>
        <w:rPr>
          <w:rFonts w:ascii="仿宋_GB2312" w:hAnsi="仿宋_GB2312" w:cs="仿宋_GB2312"/>
          <w:sz w:val="28"/>
          <w:szCs w:val="28"/>
        </w:rPr>
      </w:pPr>
      <w:r>
        <w:rPr>
          <w:rFonts w:ascii="仿宋_GB2312" w:hAnsi="仿宋_GB2312" w:cs="仿宋_GB2312"/>
          <w:sz w:val="28"/>
          <w:szCs w:val="28"/>
        </w:rPr>
        <w:t>（2）重点</w:t>
      </w:r>
    </w:p>
    <w:p w:rsidR="00C20406" w:rsidRDefault="00C20406" w:rsidP="00C20406">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①</w:t>
      </w:r>
      <w:r>
        <w:rPr>
          <w:rFonts w:ascii="仿宋_GB2312" w:hAnsi="仿宋_GB2312" w:cs="仿宋_GB2312"/>
          <w:sz w:val="28"/>
          <w:szCs w:val="28"/>
        </w:rPr>
        <w:t>牢固地掌握500～800个常用的专业英语词汇。</w:t>
      </w:r>
    </w:p>
    <w:p w:rsidR="00C20406" w:rsidRDefault="00C20406" w:rsidP="00C20406">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②</w:t>
      </w:r>
      <w:r>
        <w:rPr>
          <w:rFonts w:ascii="仿宋_GB2312" w:hAnsi="仿宋_GB2312" w:cs="仿宋_GB2312"/>
          <w:sz w:val="28"/>
          <w:szCs w:val="28"/>
        </w:rPr>
        <w:t>通过大量的阅读和翻译训练使学生们熟悉科技英语的行文方式；常用的表达方式；提高阅读速度。</w:t>
      </w:r>
    </w:p>
    <w:p w:rsidR="00C20406" w:rsidRDefault="00C20406" w:rsidP="00C20406">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③</w:t>
      </w:r>
      <w:r>
        <w:rPr>
          <w:rFonts w:ascii="仿宋_GB2312" w:hAnsi="仿宋_GB2312" w:cs="仿宋_GB2312"/>
          <w:sz w:val="28"/>
          <w:szCs w:val="28"/>
        </w:rPr>
        <w:t>掌握常见的科技英语翻译技巧，且能熟练应用。</w:t>
      </w:r>
    </w:p>
    <w:p w:rsidR="00C20406" w:rsidRDefault="00C20406" w:rsidP="00C20406">
      <w:pPr>
        <w:spacing w:line="560" w:lineRule="exact"/>
        <w:ind w:firstLine="329"/>
        <w:rPr>
          <w:rFonts w:ascii="仿宋_GB2312" w:hAnsi="仿宋_GB2312" w:cs="仿宋_GB2312"/>
          <w:sz w:val="28"/>
          <w:szCs w:val="28"/>
        </w:rPr>
      </w:pPr>
      <w:r>
        <w:rPr>
          <w:rFonts w:ascii="仿宋_GB2312" w:hAnsi="仿宋_GB2312" w:cs="仿宋_GB2312" w:hint="eastAsia"/>
          <w:sz w:val="28"/>
          <w:szCs w:val="28"/>
        </w:rPr>
        <w:t>④</w:t>
      </w:r>
      <w:r>
        <w:rPr>
          <w:rFonts w:ascii="仿宋_GB2312" w:hAnsi="仿宋_GB2312" w:cs="仿宋_GB2312"/>
          <w:sz w:val="28"/>
          <w:szCs w:val="28"/>
        </w:rPr>
        <w:t>具有一定的总结整理科技文献的能力，能用英语写出一篇英语专业论文的大纲及摘要。</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lastRenderedPageBreak/>
        <w:t>4. 课程思政设计</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通过外文文献的阅读及学习，让学生明白多学习一门语言，将打开一扇了解世界的大门，多种语言交流的能力是一个人的综合能力，让学生树立全面发展的学习观。</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C20406" w:rsidTr="008C3907">
        <w:trPr>
          <w:cantSplit/>
          <w:trHeight w:val="785"/>
        </w:trPr>
        <w:tc>
          <w:tcPr>
            <w:tcW w:w="512" w:type="dxa"/>
            <w:vAlign w:val="center"/>
          </w:tcPr>
          <w:p w:rsidR="00C20406" w:rsidRDefault="00C20406" w:rsidP="008C3907">
            <w:pPr>
              <w:jc w:val="center"/>
              <w:rPr>
                <w:rFonts w:ascii="Times New Roman" w:hAnsi="Times New Roman"/>
                <w:kern w:val="0"/>
                <w:sz w:val="20"/>
                <w:szCs w:val="20"/>
              </w:rPr>
            </w:pPr>
            <w:r>
              <w:rPr>
                <w:rFonts w:ascii="Times New Roman" w:hAnsi="Times New Roman" w:hint="eastAsia"/>
                <w:kern w:val="0"/>
                <w:sz w:val="20"/>
                <w:szCs w:val="20"/>
              </w:rPr>
              <w:t>序号</w:t>
            </w:r>
          </w:p>
        </w:tc>
        <w:tc>
          <w:tcPr>
            <w:tcW w:w="2102" w:type="dxa"/>
            <w:vAlign w:val="center"/>
          </w:tcPr>
          <w:p w:rsidR="00C20406" w:rsidRDefault="00C20406" w:rsidP="008C3907">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C20406" w:rsidRDefault="00C20406" w:rsidP="008C3907">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C20406" w:rsidRDefault="00C20406" w:rsidP="008C3907">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C20406" w:rsidRDefault="00C20406" w:rsidP="008C3907">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C20406" w:rsidTr="008C3907">
        <w:trPr>
          <w:trHeight w:val="428"/>
        </w:trPr>
        <w:tc>
          <w:tcPr>
            <w:tcW w:w="512" w:type="dxa"/>
            <w:vAlign w:val="center"/>
          </w:tcPr>
          <w:p w:rsidR="00C20406" w:rsidRDefault="00C20406" w:rsidP="008C3907">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专业阅读</w:t>
            </w:r>
          </w:p>
        </w:tc>
        <w:tc>
          <w:tcPr>
            <w:tcW w:w="727"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16</w:t>
            </w:r>
          </w:p>
        </w:tc>
        <w:tc>
          <w:tcPr>
            <w:tcW w:w="3059"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供热、空调通风、燃气、制冷等方面的知识的英文文献阅读</w:t>
            </w:r>
          </w:p>
        </w:tc>
        <w:tc>
          <w:tcPr>
            <w:tcW w:w="2755"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掌握重点专业词汇</w:t>
            </w:r>
          </w:p>
        </w:tc>
      </w:tr>
      <w:tr w:rsidR="00C20406" w:rsidTr="008C3907">
        <w:trPr>
          <w:trHeight w:val="519"/>
        </w:trPr>
        <w:tc>
          <w:tcPr>
            <w:tcW w:w="512" w:type="dxa"/>
            <w:vAlign w:val="center"/>
          </w:tcPr>
          <w:p w:rsidR="00C20406" w:rsidRDefault="00C20406"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科技论文写作</w:t>
            </w:r>
          </w:p>
        </w:tc>
        <w:tc>
          <w:tcPr>
            <w:tcW w:w="727"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8</w:t>
            </w:r>
          </w:p>
        </w:tc>
        <w:tc>
          <w:tcPr>
            <w:tcW w:w="3059"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科技论文语法教授及摘要写作发方法</w:t>
            </w:r>
          </w:p>
        </w:tc>
        <w:tc>
          <w:tcPr>
            <w:tcW w:w="2755"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了解科技论文的语言特点，具备撰写英文摘要的能力</w:t>
            </w:r>
          </w:p>
        </w:tc>
      </w:tr>
    </w:tbl>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课程考核方式：考查</w:t>
      </w:r>
      <w:r>
        <w:rPr>
          <w:rFonts w:ascii="仿宋_GB2312" w:hAnsi="仿宋_GB2312" w:cs="仿宋_GB2312"/>
          <w:sz w:val="28"/>
          <w:szCs w:val="28"/>
        </w:rPr>
        <w:t xml:space="preserve"> </w:t>
      </w:r>
    </w:p>
    <w:p w:rsidR="00C20406" w:rsidRDefault="00C20406"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成绩评定方式 等级制</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课程总成绩=期末成绩</w:t>
      </w:r>
      <w:r>
        <w:rPr>
          <w:rFonts w:ascii="仿宋_GB2312" w:hAnsi="仿宋_GB2312" w:cs="仿宋_GB2312" w:hint="eastAsia"/>
          <w:sz w:val="28"/>
          <w:szCs w:val="28"/>
        </w:rPr>
        <w:t>30%+平时</w:t>
      </w:r>
      <w:r>
        <w:rPr>
          <w:rFonts w:ascii="仿宋_GB2312" w:hAnsi="仿宋_GB2312" w:cs="仿宋_GB2312"/>
          <w:sz w:val="28"/>
          <w:szCs w:val="28"/>
        </w:rPr>
        <w:t>成绩70</w:t>
      </w:r>
      <w:r>
        <w:rPr>
          <w:rFonts w:ascii="仿宋_GB2312" w:hAnsi="仿宋_GB2312" w:cs="仿宋_GB2312" w:hint="eastAsia"/>
          <w:sz w:val="28"/>
          <w:szCs w:val="28"/>
        </w:rPr>
        <w:t>%</w:t>
      </w:r>
      <w:r>
        <w:rPr>
          <w:rFonts w:ascii="仿宋_GB2312" w:hAnsi="仿宋_GB2312" w:cs="仿宋_GB2312"/>
          <w:sz w:val="28"/>
          <w:szCs w:val="28"/>
        </w:rPr>
        <w:t xml:space="preserve">  </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上课及平时考查情况：（20％～30％）总成绩；</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结合本课程学习及本专业内容，于该课程结束前交一篇3000～5000字的课程</w:t>
      </w:r>
      <w:r>
        <w:rPr>
          <w:rFonts w:ascii="仿宋_GB2312" w:hAnsi="仿宋_GB2312" w:cs="仿宋_GB2312" w:hint="eastAsia"/>
          <w:sz w:val="28"/>
          <w:szCs w:val="28"/>
        </w:rPr>
        <w:t>翻译或英文写作</w:t>
      </w:r>
      <w:r>
        <w:rPr>
          <w:rFonts w:ascii="仿宋_GB2312" w:hAnsi="仿宋_GB2312" w:cs="仿宋_GB2312"/>
          <w:sz w:val="28"/>
          <w:szCs w:val="28"/>
        </w:rPr>
        <w:t>论文：（80％～70％）总成绩。</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20406" w:rsidRDefault="00C20406" w:rsidP="00C2040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20406" w:rsidRDefault="00C20406" w:rsidP="00C2040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建筑环境与能源应用工程专业英语(第二版)，张喜明，王浩，赵嵩颖，中国电力出版社，2017</w:t>
      </w:r>
    </w:p>
    <w:p w:rsidR="00C20406" w:rsidRDefault="00C20406" w:rsidP="00C2040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lastRenderedPageBreak/>
        <w:t>2.主要参考资料</w:t>
      </w:r>
    </w:p>
    <w:p w:rsidR="00C20406" w:rsidRDefault="00C20406" w:rsidP="00C20406">
      <w:pPr>
        <w:spacing w:beforeLines="50" w:before="156" w:afterLines="50" w:after="156" w:line="560" w:lineRule="exact"/>
        <w:ind w:firstLineChars="147" w:firstLine="413"/>
        <w:rPr>
          <w:rFonts w:ascii="仿宋_GB2312" w:hAnsi="仿宋_GB2312" w:cs="仿宋_GB2312"/>
          <w:sz w:val="28"/>
          <w:szCs w:val="28"/>
        </w:rPr>
      </w:pPr>
      <w:r>
        <w:rPr>
          <w:rFonts w:ascii="黑体" w:eastAsia="黑体" w:hAnsi="黑体" w:hint="eastAsia"/>
          <w:b/>
          <w:sz w:val="28"/>
          <w:szCs w:val="28"/>
        </w:rPr>
        <w:t xml:space="preserve"> </w:t>
      </w:r>
      <w:r>
        <w:rPr>
          <w:rFonts w:ascii="仿宋_GB2312" w:hAnsi="仿宋_GB2312" w:cs="仿宋_GB2312" w:hint="eastAsia"/>
          <w:sz w:val="28"/>
          <w:szCs w:val="28"/>
        </w:rPr>
        <w:t>高等学校专业英语系列教材-建筑环境与设备工程专业，张寅平，中国建筑工业出版社，2005.</w:t>
      </w:r>
    </w:p>
    <w:p w:rsidR="00C20406" w:rsidRDefault="00C20406" w:rsidP="00C2040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sz w:val="28"/>
          <w:szCs w:val="28"/>
        </w:rPr>
        <w:t>建筑类专业英语〔暖通与燃气〕（第一册）赵三元、阎岫峰主编，中国建筑工业出版社，1997</w:t>
      </w:r>
    </w:p>
    <w:p w:rsidR="00C20406" w:rsidRDefault="00C20406" w:rsidP="00C2040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sz w:val="28"/>
          <w:szCs w:val="28"/>
        </w:rPr>
        <w:t>建筑类专业英语〔暖通与燃气〕（第二册）向阳主编，中国建筑工业出版社，1997</w:t>
      </w:r>
    </w:p>
    <w:p w:rsidR="00C20406" w:rsidRDefault="00C20406" w:rsidP="00C2040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sz w:val="28"/>
          <w:szCs w:val="28"/>
        </w:rPr>
        <w:t>建筑类专业英语〔暖通与燃气〕（第</w:t>
      </w:r>
      <w:r>
        <w:rPr>
          <w:rFonts w:ascii="仿宋_GB2312" w:hAnsi="仿宋_GB2312" w:cs="仿宋_GB2312" w:hint="eastAsia"/>
          <w:sz w:val="28"/>
          <w:szCs w:val="28"/>
        </w:rPr>
        <w:t>三</w:t>
      </w:r>
      <w:r>
        <w:rPr>
          <w:rFonts w:ascii="仿宋_GB2312" w:hAnsi="仿宋_GB2312" w:cs="仿宋_GB2312"/>
          <w:sz w:val="28"/>
          <w:szCs w:val="28"/>
        </w:rPr>
        <w:t>册）</w:t>
      </w:r>
      <w:r>
        <w:rPr>
          <w:rFonts w:ascii="仿宋_GB2312" w:hAnsi="仿宋_GB2312" w:cs="仿宋_GB2312" w:hint="eastAsia"/>
          <w:sz w:val="28"/>
          <w:szCs w:val="28"/>
        </w:rPr>
        <w:t>周保强、张少凡</w:t>
      </w:r>
      <w:r>
        <w:rPr>
          <w:rFonts w:ascii="仿宋_GB2312" w:hAnsi="仿宋_GB2312" w:cs="仿宋_GB2312"/>
          <w:sz w:val="28"/>
          <w:szCs w:val="28"/>
        </w:rPr>
        <w:t>主编</w:t>
      </w:r>
      <w:r>
        <w:rPr>
          <w:rFonts w:ascii="仿宋_GB2312" w:hAnsi="仿宋_GB2312" w:cs="仿宋_GB2312" w:hint="eastAsia"/>
          <w:sz w:val="28"/>
          <w:szCs w:val="28"/>
        </w:rPr>
        <w:t>，</w:t>
      </w:r>
      <w:r>
        <w:rPr>
          <w:rFonts w:ascii="仿宋_GB2312" w:hAnsi="仿宋_GB2312" w:cs="仿宋_GB2312"/>
          <w:sz w:val="28"/>
          <w:szCs w:val="28"/>
        </w:rPr>
        <w:t>中国建筑工业出版社，1997</w:t>
      </w:r>
    </w:p>
    <w:p w:rsidR="00C20406" w:rsidRDefault="00C20406" w:rsidP="00C20406">
      <w:pPr>
        <w:spacing w:beforeLines="50" w:before="156" w:afterLines="50" w:after="156" w:line="460" w:lineRule="exact"/>
        <w:rPr>
          <w:rFonts w:ascii="黑体" w:eastAsia="黑体" w:hAnsi="黑体"/>
          <w:b/>
          <w:sz w:val="28"/>
          <w:szCs w:val="28"/>
        </w:rPr>
      </w:pPr>
    </w:p>
    <w:p w:rsidR="00C20406" w:rsidRDefault="00C20406" w:rsidP="00C20406">
      <w:pPr>
        <w:spacing w:beforeLines="50" w:before="156" w:afterLines="50" w:after="156" w:line="460" w:lineRule="exact"/>
        <w:rPr>
          <w:rFonts w:ascii="黑体" w:eastAsia="黑体" w:hAnsi="黑体"/>
          <w:b/>
          <w:sz w:val="28"/>
          <w:szCs w:val="28"/>
        </w:rPr>
      </w:pP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大纲撰写人：万蓉</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课程负责人：万蓉</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20406" w:rsidRDefault="00C20406" w:rsidP="005708AF">
      <w:pPr>
        <w:jc w:val="center"/>
        <w:rPr>
          <w:rFonts w:ascii="仿宋" w:hAnsi="仿宋"/>
          <w:sz w:val="28"/>
          <w:szCs w:val="28"/>
        </w:rPr>
      </w:pPr>
      <w:r>
        <w:rPr>
          <w:rFonts w:ascii="仿宋" w:eastAsia="仿宋" w:hAnsi="仿宋" w:hint="eastAsia"/>
          <w:sz w:val="28"/>
          <w:szCs w:val="28"/>
        </w:rPr>
        <w:t xml:space="preserve">        </w:t>
      </w:r>
    </w:p>
    <w:p w:rsidR="00C20406" w:rsidRDefault="00C20406" w:rsidP="00C20406">
      <w:pPr>
        <w:jc w:val="left"/>
        <w:rPr>
          <w:rFonts w:ascii="仿宋_GB2312" w:hAnsi="黑体"/>
          <w:sz w:val="28"/>
          <w:szCs w:val="28"/>
        </w:rPr>
      </w:pPr>
      <w:r>
        <w:rPr>
          <w:rFonts w:ascii="仿宋" w:eastAsia="仿宋" w:hAnsi="仿宋" w:hint="eastAsia"/>
          <w:sz w:val="28"/>
          <w:szCs w:val="28"/>
        </w:rPr>
        <w:t xml:space="preserve">                                     2021年  4月</w:t>
      </w:r>
    </w:p>
    <w:p w:rsidR="005708AF" w:rsidRDefault="005708AF" w:rsidP="00C20406">
      <w:pPr>
        <w:widowControl/>
        <w:spacing w:line="360" w:lineRule="auto"/>
        <w:jc w:val="center"/>
        <w:rPr>
          <w:rFonts w:ascii="方正小标宋简体" w:eastAsia="方正小标宋简体" w:hAnsi="宋体"/>
          <w:kern w:val="0"/>
          <w:szCs w:val="32"/>
        </w:rPr>
      </w:pPr>
    </w:p>
    <w:p w:rsidR="005708AF" w:rsidRDefault="005708AF" w:rsidP="00C20406">
      <w:pPr>
        <w:widowControl/>
        <w:spacing w:line="360" w:lineRule="auto"/>
        <w:jc w:val="center"/>
        <w:rPr>
          <w:rFonts w:ascii="方正小标宋简体" w:eastAsia="方正小标宋简体" w:hAnsi="宋体"/>
          <w:kern w:val="0"/>
          <w:szCs w:val="32"/>
        </w:rPr>
      </w:pPr>
    </w:p>
    <w:p w:rsidR="005708AF" w:rsidRDefault="005708AF" w:rsidP="00C20406">
      <w:pPr>
        <w:widowControl/>
        <w:spacing w:line="360" w:lineRule="auto"/>
        <w:jc w:val="center"/>
        <w:rPr>
          <w:rFonts w:ascii="方正小标宋简体" w:eastAsia="方正小标宋简体" w:hAnsi="宋体"/>
          <w:kern w:val="0"/>
          <w:szCs w:val="32"/>
        </w:rPr>
      </w:pPr>
    </w:p>
    <w:p w:rsidR="005708AF" w:rsidRDefault="005708AF" w:rsidP="00C20406">
      <w:pPr>
        <w:widowControl/>
        <w:spacing w:line="360" w:lineRule="auto"/>
        <w:jc w:val="center"/>
        <w:rPr>
          <w:rFonts w:ascii="方正小标宋简体" w:eastAsia="方正小标宋简体" w:hAnsi="宋体"/>
          <w:kern w:val="0"/>
          <w:szCs w:val="32"/>
        </w:rPr>
      </w:pPr>
    </w:p>
    <w:p w:rsidR="005708AF" w:rsidRDefault="005708AF" w:rsidP="00C20406">
      <w:pPr>
        <w:widowControl/>
        <w:spacing w:line="360" w:lineRule="auto"/>
        <w:jc w:val="center"/>
        <w:rPr>
          <w:rFonts w:ascii="方正小标宋简体" w:eastAsia="方正小标宋简体" w:hAnsi="宋体"/>
          <w:kern w:val="0"/>
          <w:szCs w:val="32"/>
        </w:rPr>
      </w:pPr>
    </w:p>
    <w:p w:rsidR="005708AF" w:rsidRDefault="005708AF" w:rsidP="00C20406">
      <w:pPr>
        <w:widowControl/>
        <w:spacing w:line="360" w:lineRule="auto"/>
        <w:jc w:val="center"/>
        <w:rPr>
          <w:rFonts w:ascii="方正小标宋简体" w:eastAsia="方正小标宋简体" w:hAnsi="宋体"/>
          <w:kern w:val="0"/>
          <w:szCs w:val="32"/>
        </w:rPr>
      </w:pPr>
    </w:p>
    <w:p w:rsidR="00C20406" w:rsidRDefault="00C20406" w:rsidP="00C2040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Pr>
          <w:rFonts w:ascii="方正小标宋简体" w:eastAsia="方正小标宋简体" w:hAnsi="宋体"/>
          <w:kern w:val="0"/>
          <w:szCs w:val="32"/>
        </w:rPr>
        <w:t>供热工程</w:t>
      </w:r>
      <w:r>
        <w:rPr>
          <w:rFonts w:ascii="方正小标宋简体" w:eastAsia="方正小标宋简体" w:hAnsi="宋体" w:hint="eastAsia"/>
          <w:kern w:val="0"/>
          <w:szCs w:val="32"/>
        </w:rPr>
        <w:t>》课程教学大纲</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Heat supply engineering</w:t>
      </w:r>
    </w:p>
    <w:p w:rsidR="00C20406" w:rsidRDefault="00C20406" w:rsidP="00C2040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Z2807090</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32</w:t>
      </w:r>
      <w:r>
        <w:rPr>
          <w:rFonts w:ascii="仿宋_GB2312" w:hAnsi="仿宋_GB2312" w:cs="仿宋_GB2312" w:hint="eastAsia"/>
          <w:bCs/>
          <w:sz w:val="28"/>
          <w:szCs w:val="28"/>
        </w:rPr>
        <w:t>学时（授课</w:t>
      </w:r>
      <w:r>
        <w:rPr>
          <w:rFonts w:ascii="仿宋_GB2312" w:hAnsi="仿宋_GB2312" w:cs="仿宋_GB2312"/>
          <w:bCs/>
          <w:sz w:val="28"/>
          <w:szCs w:val="28"/>
        </w:rPr>
        <w:t>28</w:t>
      </w:r>
      <w:r>
        <w:rPr>
          <w:rFonts w:ascii="仿宋_GB2312" w:hAnsi="仿宋_GB2312" w:cs="仿宋_GB2312" w:hint="eastAsia"/>
          <w:bCs/>
          <w:sz w:val="28"/>
          <w:szCs w:val="28"/>
        </w:rPr>
        <w:t>学时，实验</w:t>
      </w:r>
      <w:r>
        <w:rPr>
          <w:rFonts w:ascii="仿宋_GB2312" w:hAnsi="仿宋_GB2312" w:cs="仿宋_GB2312"/>
          <w:bCs/>
          <w:sz w:val="28"/>
          <w:szCs w:val="28"/>
        </w:rPr>
        <w:t>4</w:t>
      </w:r>
      <w:r>
        <w:rPr>
          <w:rFonts w:ascii="仿宋_GB2312" w:hAnsi="仿宋_GB2312" w:cs="仿宋_GB2312" w:hint="eastAsia"/>
          <w:bCs/>
          <w:sz w:val="28"/>
          <w:szCs w:val="28"/>
        </w:rPr>
        <w:t>学时）</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先修课程：工程热力学、流体力学、传热学、建筑环境学、流体输配管网</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供热工程》是建筑环境与能源应用工程专业的一门主要专业课。通过本课程的学习，使学生能够系统地掌握目前常用的以热水或蒸汽作为热媒的集中供热系统的基本原理和基本知识；培养学生具有一般民用和工业建筑供暖系统的设计能力；掌握供暖与集中供热运行管理的基本知识。</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20406" w:rsidRPr="006058C6" w:rsidRDefault="006058C6" w:rsidP="006058C6">
      <w:pPr>
        <w:spacing w:line="360" w:lineRule="auto"/>
        <w:rPr>
          <w:rFonts w:ascii="仿宋_GB2312" w:hAnsi="仿宋_GB2312" w:cs="仿宋_GB2312"/>
          <w:bCs/>
          <w:sz w:val="28"/>
          <w:szCs w:val="28"/>
        </w:rPr>
      </w:pPr>
      <w:r>
        <w:rPr>
          <w:rFonts w:ascii="仿宋_GB2312" w:hAnsi="仿宋_GB2312" w:cs="仿宋_GB2312"/>
          <w:bCs/>
          <w:sz w:val="28"/>
          <w:szCs w:val="28"/>
        </w:rPr>
        <w:lastRenderedPageBreak/>
        <w:t>1.</w:t>
      </w:r>
      <w:r w:rsidR="00C20406" w:rsidRPr="006058C6">
        <w:rPr>
          <w:rFonts w:ascii="仿宋_GB2312" w:hAnsi="仿宋_GB2312" w:cs="仿宋_GB2312" w:hint="eastAsia"/>
          <w:bCs/>
          <w:sz w:val="28"/>
          <w:szCs w:val="28"/>
        </w:rPr>
        <w:t xml:space="preserve"> 课程任务</w:t>
      </w:r>
    </w:p>
    <w:p w:rsidR="00C20406" w:rsidRPr="006058C6" w:rsidRDefault="00C20406" w:rsidP="006058C6">
      <w:pPr>
        <w:spacing w:line="360" w:lineRule="auto"/>
        <w:ind w:firstLineChars="200" w:firstLine="560"/>
        <w:jc w:val="left"/>
        <w:rPr>
          <w:rFonts w:ascii="仿宋_GB2312" w:hAnsi="仿宋_GB2312" w:cs="仿宋_GB2312"/>
          <w:bCs/>
          <w:sz w:val="28"/>
          <w:szCs w:val="28"/>
        </w:rPr>
      </w:pPr>
      <w:r w:rsidRPr="006058C6">
        <w:rPr>
          <w:rFonts w:ascii="仿宋_GB2312" w:hAnsi="仿宋_GB2312" w:cs="仿宋_GB2312" w:hint="eastAsia"/>
          <w:bCs/>
          <w:sz w:val="28"/>
          <w:szCs w:val="28"/>
        </w:rPr>
        <w:t>本课程共分17章，其中第2-5章的内容已在《暖通空调》中讲授，第9-11章的内容己在《流体输配管网》中讲授，为了知识的衔接，在这门课中作为复习部分。其他各章应作为重点内容。主要讲授集中供热系统的热负荷，集中供热系统的热源，集中供热系统，热水供热系统的初调节方法，蒸汽供热系统管网的水力计算与水力工况，供热管线的敷设和构造，供热管道的应力分析，集中供热系统方案设计比选，集中供热系统自动化。</w:t>
      </w:r>
    </w:p>
    <w:p w:rsidR="00C20406" w:rsidRPr="006058C6" w:rsidRDefault="006058C6" w:rsidP="006058C6">
      <w:pPr>
        <w:spacing w:line="360" w:lineRule="auto"/>
        <w:rPr>
          <w:rFonts w:ascii="仿宋_GB2312" w:hAnsi="仿宋_GB2312" w:cs="仿宋_GB2312"/>
          <w:bCs/>
          <w:sz w:val="28"/>
          <w:szCs w:val="28"/>
        </w:rPr>
      </w:pPr>
      <w:r>
        <w:rPr>
          <w:rFonts w:ascii="仿宋_GB2312" w:hAnsi="仿宋_GB2312" w:cs="仿宋_GB2312" w:hint="eastAsia"/>
          <w:bCs/>
          <w:sz w:val="28"/>
          <w:szCs w:val="28"/>
        </w:rPr>
        <w:t>2</w:t>
      </w:r>
      <w:r>
        <w:rPr>
          <w:rFonts w:ascii="仿宋_GB2312" w:hAnsi="仿宋_GB2312" w:cs="仿宋_GB2312"/>
          <w:bCs/>
          <w:sz w:val="28"/>
          <w:szCs w:val="28"/>
        </w:rPr>
        <w:t>.</w:t>
      </w:r>
      <w:r w:rsidR="00C20406" w:rsidRPr="006058C6">
        <w:rPr>
          <w:rFonts w:ascii="仿宋_GB2312" w:hAnsi="仿宋_GB2312" w:cs="仿宋_GB2312" w:hint="eastAsia"/>
          <w:bCs/>
          <w:sz w:val="28"/>
          <w:szCs w:val="28"/>
        </w:rPr>
        <w:t>课程基本要求</w:t>
      </w:r>
    </w:p>
    <w:p w:rsidR="00C20406" w:rsidRPr="006058C6" w:rsidRDefault="00C20406" w:rsidP="006058C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C20406" w:rsidRPr="006058C6" w:rsidRDefault="00C20406" w:rsidP="006058C6">
      <w:pPr>
        <w:spacing w:line="360" w:lineRule="auto"/>
        <w:ind w:firstLineChars="200" w:firstLine="560"/>
        <w:jc w:val="left"/>
        <w:rPr>
          <w:rFonts w:ascii="仿宋_GB2312" w:hAnsi="仿宋_GB2312" w:cs="仿宋_GB2312"/>
          <w:bCs/>
          <w:sz w:val="28"/>
          <w:szCs w:val="28"/>
        </w:rPr>
      </w:pPr>
      <w:r w:rsidRPr="006058C6">
        <w:rPr>
          <w:rFonts w:ascii="仿宋_GB2312" w:hAnsi="仿宋_GB2312" w:cs="仿宋_GB2312" w:hint="eastAsia"/>
          <w:bCs/>
          <w:sz w:val="28"/>
          <w:szCs w:val="28"/>
        </w:rPr>
        <w:t>通过学习，使学生能够掌握目前常用的以热水或蒸汽作为热媒的集中供热系统的基本原理和基本知识；培养学生具有一般民用和工业建筑供暖系统的设计能力；掌握供暖与集中供热运行管理的基本知识。</w:t>
      </w:r>
    </w:p>
    <w:p w:rsidR="00C20406" w:rsidRDefault="00C20406" w:rsidP="006058C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p w:rsidR="00C20406" w:rsidRPr="006058C6" w:rsidRDefault="00C20406" w:rsidP="006058C6">
      <w:pPr>
        <w:pStyle w:val="a6"/>
        <w:snapToGrid w:val="0"/>
        <w:spacing w:line="360" w:lineRule="auto"/>
        <w:jc w:val="center"/>
        <w:rPr>
          <w:rFonts w:ascii="仿宋_GB2312" w:eastAsia="仿宋_GB2312" w:hAnsi="仿宋_GB2312" w:cs="仿宋_GB2312"/>
          <w:bCs/>
          <w:kern w:val="2"/>
          <w:sz w:val="28"/>
          <w:szCs w:val="28"/>
        </w:rPr>
      </w:pPr>
      <w:r w:rsidRPr="006058C6">
        <w:rPr>
          <w:rFonts w:ascii="仿宋_GB2312" w:eastAsia="仿宋_GB2312" w:hAnsi="仿宋_GB2312" w:cs="仿宋_GB2312"/>
          <w:bCs/>
          <w:kern w:val="2"/>
          <w:sz w:val="28"/>
          <w:szCs w:val="28"/>
        </w:rPr>
        <w:t>毕业要求与课程设置对应矩阵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652"/>
        <w:gridCol w:w="531"/>
        <w:gridCol w:w="236"/>
        <w:gridCol w:w="321"/>
        <w:gridCol w:w="315"/>
        <w:gridCol w:w="321"/>
        <w:gridCol w:w="315"/>
        <w:gridCol w:w="321"/>
        <w:gridCol w:w="315"/>
        <w:gridCol w:w="321"/>
        <w:gridCol w:w="315"/>
        <w:gridCol w:w="321"/>
        <w:gridCol w:w="315"/>
        <w:gridCol w:w="240"/>
        <w:gridCol w:w="531"/>
        <w:gridCol w:w="531"/>
        <w:gridCol w:w="531"/>
        <w:gridCol w:w="531"/>
        <w:gridCol w:w="531"/>
      </w:tblGrid>
      <w:tr w:rsidR="00C20406" w:rsidTr="008C3907">
        <w:trPr>
          <w:trHeight w:val="320"/>
        </w:trPr>
        <w:tc>
          <w:tcPr>
            <w:tcW w:w="745" w:type="pct"/>
            <w:vMerge w:val="restar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课程性质</w:t>
            </w:r>
          </w:p>
        </w:tc>
        <w:tc>
          <w:tcPr>
            <w:tcW w:w="654" w:type="pct"/>
            <w:vMerge w:val="restar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课程名称</w:t>
            </w:r>
          </w:p>
        </w:tc>
        <w:tc>
          <w:tcPr>
            <w:tcW w:w="3601" w:type="pct"/>
            <w:gridSpan w:val="18"/>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毕业要求</w:t>
            </w:r>
          </w:p>
        </w:tc>
      </w:tr>
      <w:tr w:rsidR="00C20406" w:rsidTr="008C3907">
        <w:tc>
          <w:tcPr>
            <w:tcW w:w="745" w:type="pct"/>
            <w:vMerge/>
            <w:shd w:val="clear" w:color="auto" w:fill="auto"/>
            <w:vAlign w:val="center"/>
          </w:tcPr>
          <w:p w:rsidR="00C20406" w:rsidRDefault="00C20406" w:rsidP="008C3907">
            <w:pPr>
              <w:pStyle w:val="a6"/>
              <w:snapToGrid w:val="0"/>
              <w:jc w:val="center"/>
              <w:rPr>
                <w:rFonts w:ascii="仿宋" w:eastAsia="仿宋" w:hAnsi="仿宋"/>
              </w:rPr>
            </w:pPr>
          </w:p>
        </w:tc>
        <w:tc>
          <w:tcPr>
            <w:tcW w:w="654" w:type="pct"/>
            <w:vMerge/>
            <w:shd w:val="clear" w:color="auto" w:fill="auto"/>
            <w:vAlign w:val="center"/>
          </w:tcPr>
          <w:p w:rsidR="00C20406" w:rsidRDefault="00C20406" w:rsidP="008C3907">
            <w:pPr>
              <w:pStyle w:val="a6"/>
              <w:snapToGrid w:val="0"/>
              <w:jc w:val="center"/>
              <w:rPr>
                <w:rFonts w:ascii="仿宋" w:eastAsia="仿宋" w:hAnsi="仿宋"/>
              </w:rPr>
            </w:pPr>
          </w:p>
        </w:tc>
        <w:tc>
          <w:tcPr>
            <w:tcW w:w="915" w:type="pct"/>
            <w:gridSpan w:val="5"/>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w:t>
            </w:r>
          </w:p>
        </w:tc>
        <w:tc>
          <w:tcPr>
            <w:tcW w:w="1011" w:type="pct"/>
            <w:gridSpan w:val="6"/>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2</w:t>
            </w:r>
          </w:p>
        </w:tc>
        <w:tc>
          <w:tcPr>
            <w:tcW w:w="853" w:type="pct"/>
            <w:gridSpan w:val="4"/>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3</w:t>
            </w:r>
          </w:p>
        </w:tc>
        <w:tc>
          <w:tcPr>
            <w:tcW w:w="822" w:type="pct"/>
            <w:gridSpan w:val="3"/>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4</w:t>
            </w:r>
          </w:p>
        </w:tc>
      </w:tr>
      <w:tr w:rsidR="00C20406" w:rsidTr="008C3907">
        <w:tc>
          <w:tcPr>
            <w:tcW w:w="745" w:type="pct"/>
            <w:vMerge/>
            <w:shd w:val="clear" w:color="auto" w:fill="auto"/>
            <w:vAlign w:val="center"/>
          </w:tcPr>
          <w:p w:rsidR="00C20406" w:rsidRDefault="00C20406" w:rsidP="008C3907">
            <w:pPr>
              <w:pStyle w:val="a6"/>
              <w:snapToGrid w:val="0"/>
              <w:jc w:val="center"/>
              <w:rPr>
                <w:rFonts w:ascii="仿宋" w:eastAsia="仿宋" w:hAnsi="仿宋"/>
              </w:rPr>
            </w:pPr>
          </w:p>
        </w:tc>
        <w:tc>
          <w:tcPr>
            <w:tcW w:w="654" w:type="pct"/>
            <w:vMerge/>
            <w:shd w:val="clear" w:color="auto" w:fill="auto"/>
            <w:vAlign w:val="center"/>
          </w:tcPr>
          <w:p w:rsidR="00C20406" w:rsidRDefault="00C20406" w:rsidP="008C3907">
            <w:pPr>
              <w:pStyle w:val="a6"/>
              <w:snapToGrid w:val="0"/>
              <w:jc w:val="center"/>
              <w:rPr>
                <w:rFonts w:ascii="仿宋" w:eastAsia="仿宋" w:hAnsi="仿宋"/>
              </w:rPr>
            </w:pP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1</w:t>
            </w:r>
            <w:r>
              <w:rPr>
                <w:rFonts w:ascii="仿宋" w:eastAsia="仿宋" w:hAnsi="仿宋" w:hint="eastAsia"/>
                <w:kern w:val="0"/>
                <w:sz w:val="21"/>
                <w:szCs w:val="21"/>
              </w:rPr>
              <w:t>.1</w:t>
            </w:r>
          </w:p>
        </w:tc>
        <w:tc>
          <w:tcPr>
            <w:tcW w:w="305"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w:t>
            </w:r>
            <w:r>
              <w:rPr>
                <w:rFonts w:ascii="仿宋" w:eastAsia="仿宋" w:hAnsi="仿宋"/>
                <w:kern w:val="0"/>
                <w:sz w:val="21"/>
                <w:szCs w:val="21"/>
              </w:rPr>
              <w:t>2</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w:t>
            </w:r>
            <w:r>
              <w:rPr>
                <w:rFonts w:ascii="仿宋" w:eastAsia="仿宋" w:hAnsi="仿宋"/>
                <w:kern w:val="0"/>
                <w:sz w:val="21"/>
                <w:szCs w:val="21"/>
              </w:rPr>
              <w:t>3</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2.1</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2.</w:t>
            </w:r>
            <w:r>
              <w:rPr>
                <w:rFonts w:ascii="仿宋" w:eastAsia="仿宋" w:hAnsi="仿宋"/>
                <w:kern w:val="0"/>
                <w:sz w:val="21"/>
                <w:szCs w:val="21"/>
              </w:rPr>
              <w:t>2</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2.</w:t>
            </w:r>
            <w:r>
              <w:rPr>
                <w:rFonts w:ascii="仿宋" w:eastAsia="仿宋" w:hAnsi="仿宋"/>
                <w:kern w:val="0"/>
                <w:sz w:val="21"/>
                <w:szCs w:val="21"/>
              </w:rPr>
              <w:t>3</w:t>
            </w:r>
          </w:p>
        </w:tc>
        <w:tc>
          <w:tcPr>
            <w:tcW w:w="305"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3.1</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3.</w:t>
            </w:r>
            <w:r>
              <w:rPr>
                <w:rFonts w:ascii="仿宋" w:eastAsia="仿宋" w:hAnsi="仿宋"/>
                <w:kern w:val="0"/>
                <w:sz w:val="21"/>
                <w:szCs w:val="21"/>
              </w:rPr>
              <w:t>2</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3.</w:t>
            </w:r>
            <w:r>
              <w:rPr>
                <w:rFonts w:ascii="仿宋" w:eastAsia="仿宋" w:hAnsi="仿宋"/>
                <w:kern w:val="0"/>
                <w:sz w:val="21"/>
                <w:szCs w:val="21"/>
              </w:rPr>
              <w:t>3</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4.1</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4.</w:t>
            </w:r>
            <w:r>
              <w:rPr>
                <w:rFonts w:ascii="仿宋" w:eastAsia="仿宋" w:hAnsi="仿宋"/>
                <w:kern w:val="0"/>
                <w:sz w:val="21"/>
                <w:szCs w:val="21"/>
              </w:rPr>
              <w:t>2</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4.</w:t>
            </w:r>
            <w:r>
              <w:rPr>
                <w:rFonts w:ascii="仿宋" w:eastAsia="仿宋" w:hAnsi="仿宋"/>
                <w:kern w:val="0"/>
                <w:sz w:val="21"/>
                <w:szCs w:val="21"/>
              </w:rPr>
              <w:t>3</w:t>
            </w:r>
          </w:p>
        </w:tc>
      </w:tr>
      <w:tr w:rsidR="00C20406" w:rsidTr="008C3907">
        <w:tc>
          <w:tcPr>
            <w:tcW w:w="745" w:type="pct"/>
            <w:shd w:val="clear" w:color="auto" w:fill="auto"/>
            <w:vAlign w:val="center"/>
          </w:tcPr>
          <w:p w:rsidR="00C20406" w:rsidRDefault="00C20406" w:rsidP="008C3907">
            <w:pPr>
              <w:pStyle w:val="a6"/>
              <w:snapToGrid w:val="0"/>
              <w:jc w:val="center"/>
              <w:rPr>
                <w:rFonts w:ascii="仿宋" w:eastAsia="仿宋" w:hAnsi="仿宋"/>
              </w:rPr>
            </w:pPr>
            <w:r>
              <w:rPr>
                <w:rFonts w:ascii="仿宋" w:eastAsia="仿宋" w:hAnsi="仿宋"/>
              </w:rPr>
              <w:t>专业发展必修课</w:t>
            </w:r>
          </w:p>
        </w:tc>
        <w:tc>
          <w:tcPr>
            <w:tcW w:w="654" w:type="pct"/>
            <w:shd w:val="clear" w:color="auto" w:fill="auto"/>
            <w:vAlign w:val="center"/>
          </w:tcPr>
          <w:p w:rsidR="00C20406" w:rsidRDefault="00C20406" w:rsidP="008C3907">
            <w:pPr>
              <w:pStyle w:val="a6"/>
              <w:snapToGrid w:val="0"/>
              <w:jc w:val="center"/>
              <w:rPr>
                <w:rFonts w:ascii="仿宋" w:eastAsia="仿宋" w:hAnsi="仿宋"/>
              </w:rPr>
            </w:pPr>
            <w:r>
              <w:rPr>
                <w:rFonts w:ascii="仿宋" w:eastAsia="仿宋" w:hAnsi="仿宋"/>
              </w:rPr>
              <w:t>供热工程</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M</w:t>
            </w:r>
          </w:p>
        </w:tc>
        <w:tc>
          <w:tcPr>
            <w:tcW w:w="305"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M</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M</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M</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c>
          <w:tcPr>
            <w:tcW w:w="305"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r>
      <w:tr w:rsidR="00C20406" w:rsidTr="008C3907">
        <w:trPr>
          <w:trHeight w:val="349"/>
        </w:trPr>
        <w:tc>
          <w:tcPr>
            <w:tcW w:w="745" w:type="pct"/>
            <w:vMerge w:val="restar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课程性质</w:t>
            </w:r>
          </w:p>
        </w:tc>
        <w:tc>
          <w:tcPr>
            <w:tcW w:w="654" w:type="pct"/>
            <w:vMerge w:val="restar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课程名称</w:t>
            </w:r>
          </w:p>
        </w:tc>
        <w:tc>
          <w:tcPr>
            <w:tcW w:w="3601" w:type="pct"/>
            <w:gridSpan w:val="18"/>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毕业要求</w:t>
            </w:r>
          </w:p>
        </w:tc>
      </w:tr>
      <w:tr w:rsidR="00C20406" w:rsidTr="008C3907">
        <w:tc>
          <w:tcPr>
            <w:tcW w:w="745" w:type="pct"/>
            <w:vMerge/>
            <w:shd w:val="clear" w:color="auto" w:fill="auto"/>
            <w:vAlign w:val="center"/>
          </w:tcPr>
          <w:p w:rsidR="00C20406" w:rsidRDefault="00C20406" w:rsidP="008C3907">
            <w:pPr>
              <w:pStyle w:val="a6"/>
              <w:snapToGrid w:val="0"/>
              <w:jc w:val="center"/>
              <w:rPr>
                <w:rFonts w:ascii="仿宋" w:eastAsia="仿宋" w:hAnsi="仿宋"/>
              </w:rPr>
            </w:pPr>
          </w:p>
        </w:tc>
        <w:tc>
          <w:tcPr>
            <w:tcW w:w="654" w:type="pct"/>
            <w:vMerge/>
            <w:shd w:val="clear" w:color="auto" w:fill="auto"/>
            <w:vAlign w:val="center"/>
          </w:tcPr>
          <w:p w:rsidR="00C20406" w:rsidRDefault="00C20406" w:rsidP="008C3907">
            <w:pPr>
              <w:pStyle w:val="a6"/>
              <w:snapToGrid w:val="0"/>
              <w:jc w:val="center"/>
              <w:rPr>
                <w:rFonts w:ascii="仿宋" w:eastAsia="仿宋" w:hAnsi="仿宋"/>
              </w:rPr>
            </w:pPr>
          </w:p>
        </w:tc>
        <w:tc>
          <w:tcPr>
            <w:tcW w:w="915" w:type="pct"/>
            <w:gridSpan w:val="5"/>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5</w:t>
            </w:r>
          </w:p>
        </w:tc>
        <w:tc>
          <w:tcPr>
            <w:tcW w:w="674" w:type="pct"/>
            <w:gridSpan w:val="4"/>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6</w:t>
            </w:r>
          </w:p>
        </w:tc>
        <w:tc>
          <w:tcPr>
            <w:tcW w:w="642" w:type="pct"/>
            <w:gridSpan w:val="4"/>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7</w:t>
            </w:r>
          </w:p>
        </w:tc>
        <w:tc>
          <w:tcPr>
            <w:tcW w:w="822" w:type="pct"/>
            <w:gridSpan w:val="3"/>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8</w:t>
            </w:r>
          </w:p>
        </w:tc>
        <w:tc>
          <w:tcPr>
            <w:tcW w:w="548"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9</w:t>
            </w:r>
          </w:p>
        </w:tc>
      </w:tr>
      <w:tr w:rsidR="00C20406" w:rsidTr="008C3907">
        <w:tc>
          <w:tcPr>
            <w:tcW w:w="745" w:type="pct"/>
            <w:vMerge/>
            <w:shd w:val="clear" w:color="auto" w:fill="auto"/>
            <w:vAlign w:val="center"/>
          </w:tcPr>
          <w:p w:rsidR="00C20406" w:rsidRDefault="00C20406" w:rsidP="008C3907">
            <w:pPr>
              <w:pStyle w:val="a6"/>
              <w:snapToGrid w:val="0"/>
              <w:jc w:val="center"/>
              <w:rPr>
                <w:rFonts w:ascii="仿宋" w:eastAsia="仿宋" w:hAnsi="仿宋"/>
              </w:rPr>
            </w:pPr>
          </w:p>
        </w:tc>
        <w:tc>
          <w:tcPr>
            <w:tcW w:w="654" w:type="pct"/>
            <w:vMerge/>
            <w:shd w:val="clear" w:color="auto" w:fill="auto"/>
            <w:vAlign w:val="center"/>
          </w:tcPr>
          <w:p w:rsidR="00C20406" w:rsidRDefault="00C20406" w:rsidP="008C3907">
            <w:pPr>
              <w:pStyle w:val="a6"/>
              <w:snapToGrid w:val="0"/>
              <w:jc w:val="center"/>
              <w:rPr>
                <w:rFonts w:ascii="仿宋" w:eastAsia="仿宋" w:hAnsi="仿宋"/>
              </w:rPr>
            </w:pP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5.1</w:t>
            </w:r>
          </w:p>
        </w:tc>
        <w:tc>
          <w:tcPr>
            <w:tcW w:w="305"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5.</w:t>
            </w:r>
            <w:r>
              <w:rPr>
                <w:rFonts w:ascii="仿宋" w:eastAsia="仿宋" w:hAnsi="仿宋"/>
                <w:kern w:val="0"/>
                <w:sz w:val="21"/>
                <w:szCs w:val="21"/>
              </w:rPr>
              <w:t>2</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5.</w:t>
            </w:r>
            <w:r>
              <w:rPr>
                <w:rFonts w:ascii="仿宋" w:eastAsia="仿宋" w:hAnsi="仿宋"/>
                <w:kern w:val="0"/>
                <w:sz w:val="21"/>
                <w:szCs w:val="21"/>
              </w:rPr>
              <w:t>3</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6.1</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6.</w:t>
            </w:r>
            <w:r>
              <w:rPr>
                <w:rFonts w:ascii="仿宋" w:eastAsia="仿宋" w:hAnsi="仿宋"/>
                <w:kern w:val="0"/>
                <w:sz w:val="21"/>
                <w:szCs w:val="21"/>
              </w:rPr>
              <w:t>2</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7.1</w:t>
            </w:r>
          </w:p>
        </w:tc>
        <w:tc>
          <w:tcPr>
            <w:tcW w:w="305"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7.2</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8.1</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8.2</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8.3</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9.1</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9.2</w:t>
            </w:r>
          </w:p>
        </w:tc>
      </w:tr>
      <w:tr w:rsidR="00C20406" w:rsidTr="008C3907">
        <w:tc>
          <w:tcPr>
            <w:tcW w:w="745" w:type="pct"/>
            <w:shd w:val="clear" w:color="auto" w:fill="auto"/>
            <w:vAlign w:val="center"/>
          </w:tcPr>
          <w:p w:rsidR="00C20406" w:rsidRDefault="00C20406" w:rsidP="008C3907">
            <w:pPr>
              <w:pStyle w:val="a6"/>
              <w:snapToGrid w:val="0"/>
              <w:jc w:val="center"/>
              <w:rPr>
                <w:rFonts w:ascii="仿宋" w:eastAsia="仿宋" w:hAnsi="仿宋"/>
              </w:rPr>
            </w:pPr>
            <w:r>
              <w:rPr>
                <w:rFonts w:ascii="仿宋" w:eastAsia="仿宋" w:hAnsi="仿宋"/>
              </w:rPr>
              <w:t>专业发展必修课</w:t>
            </w:r>
          </w:p>
        </w:tc>
        <w:tc>
          <w:tcPr>
            <w:tcW w:w="654" w:type="pct"/>
            <w:shd w:val="clear" w:color="auto" w:fill="auto"/>
            <w:vAlign w:val="center"/>
          </w:tcPr>
          <w:p w:rsidR="00C20406" w:rsidRDefault="00C20406" w:rsidP="008C3907">
            <w:pPr>
              <w:pStyle w:val="a6"/>
              <w:snapToGrid w:val="0"/>
              <w:jc w:val="center"/>
              <w:rPr>
                <w:rFonts w:ascii="仿宋" w:eastAsia="仿宋" w:hAnsi="仿宋"/>
              </w:rPr>
            </w:pPr>
            <w:r>
              <w:rPr>
                <w:rFonts w:ascii="仿宋" w:eastAsia="仿宋" w:hAnsi="仿宋"/>
              </w:rPr>
              <w:t>供热工程</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305"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c>
          <w:tcPr>
            <w:tcW w:w="305"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M</w:t>
            </w: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p>
        </w:tc>
        <w:tc>
          <w:tcPr>
            <w:tcW w:w="274" w:type="pct"/>
            <w:shd w:val="clear" w:color="auto" w:fill="auto"/>
            <w:vAlign w:val="center"/>
          </w:tcPr>
          <w:p w:rsidR="00C20406" w:rsidRDefault="00C20406" w:rsidP="008C3907">
            <w:pPr>
              <w:widowControl/>
              <w:snapToGrid w:val="0"/>
              <w:jc w:val="center"/>
              <w:rPr>
                <w:rFonts w:ascii="仿宋" w:eastAsia="仿宋" w:hAnsi="仿宋"/>
                <w:kern w:val="0"/>
                <w:sz w:val="21"/>
                <w:szCs w:val="21"/>
              </w:rPr>
            </w:pPr>
          </w:p>
        </w:tc>
      </w:tr>
      <w:tr w:rsidR="00C20406" w:rsidTr="008C3907">
        <w:trPr>
          <w:trHeight w:val="319"/>
        </w:trPr>
        <w:tc>
          <w:tcPr>
            <w:tcW w:w="745" w:type="pct"/>
            <w:vMerge w:val="restar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lastRenderedPageBreak/>
              <w:t>课程性质</w:t>
            </w:r>
          </w:p>
        </w:tc>
        <w:tc>
          <w:tcPr>
            <w:tcW w:w="654" w:type="pct"/>
            <w:vMerge w:val="restart"/>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课程名称</w:t>
            </w:r>
          </w:p>
        </w:tc>
        <w:tc>
          <w:tcPr>
            <w:tcW w:w="3601" w:type="pct"/>
            <w:gridSpan w:val="18"/>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kern w:val="0"/>
                <w:sz w:val="21"/>
                <w:szCs w:val="21"/>
              </w:rPr>
              <w:t>毕业要求</w:t>
            </w:r>
          </w:p>
        </w:tc>
      </w:tr>
      <w:tr w:rsidR="00C20406" w:rsidTr="008C3907">
        <w:tc>
          <w:tcPr>
            <w:tcW w:w="745" w:type="pct"/>
            <w:vMerge/>
            <w:shd w:val="clear" w:color="auto" w:fill="auto"/>
            <w:vAlign w:val="center"/>
          </w:tcPr>
          <w:p w:rsidR="00C20406" w:rsidRDefault="00C20406" w:rsidP="008C3907">
            <w:pPr>
              <w:pStyle w:val="a6"/>
              <w:snapToGrid w:val="0"/>
              <w:jc w:val="center"/>
              <w:rPr>
                <w:rFonts w:ascii="仿宋" w:eastAsia="仿宋" w:hAnsi="仿宋"/>
              </w:rPr>
            </w:pPr>
          </w:p>
        </w:tc>
        <w:tc>
          <w:tcPr>
            <w:tcW w:w="654" w:type="pct"/>
            <w:vMerge/>
            <w:shd w:val="clear" w:color="auto" w:fill="auto"/>
            <w:vAlign w:val="center"/>
          </w:tcPr>
          <w:p w:rsidR="00C20406" w:rsidRDefault="00C20406" w:rsidP="008C3907">
            <w:pPr>
              <w:pStyle w:val="a6"/>
              <w:snapToGrid w:val="0"/>
              <w:jc w:val="center"/>
              <w:rPr>
                <w:rFonts w:ascii="仿宋" w:eastAsia="仿宋" w:hAnsi="仿宋"/>
              </w:rPr>
            </w:pPr>
          </w:p>
        </w:tc>
        <w:tc>
          <w:tcPr>
            <w:tcW w:w="746" w:type="pct"/>
            <w:gridSpan w:val="4"/>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10</w:t>
            </w:r>
          </w:p>
        </w:tc>
        <w:tc>
          <w:tcPr>
            <w:tcW w:w="674" w:type="pct"/>
            <w:gridSpan w:val="4"/>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11</w:t>
            </w:r>
          </w:p>
        </w:tc>
        <w:tc>
          <w:tcPr>
            <w:tcW w:w="674" w:type="pct"/>
            <w:gridSpan w:val="4"/>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12</w:t>
            </w:r>
          </w:p>
        </w:tc>
        <w:tc>
          <w:tcPr>
            <w:tcW w:w="1507" w:type="pct"/>
            <w:gridSpan w:val="6"/>
            <w:vMerge w:val="restart"/>
            <w:shd w:val="clear" w:color="auto" w:fill="auto"/>
            <w:vAlign w:val="center"/>
          </w:tcPr>
          <w:p w:rsidR="00C20406" w:rsidRDefault="00C20406" w:rsidP="008C3907">
            <w:pPr>
              <w:snapToGrid w:val="0"/>
              <w:jc w:val="center"/>
              <w:rPr>
                <w:rFonts w:ascii="仿宋" w:eastAsia="仿宋" w:hAnsi="仿宋"/>
                <w:kern w:val="0"/>
                <w:sz w:val="21"/>
                <w:szCs w:val="21"/>
              </w:rPr>
            </w:pPr>
          </w:p>
        </w:tc>
      </w:tr>
      <w:tr w:rsidR="00C20406" w:rsidTr="008C3907">
        <w:tc>
          <w:tcPr>
            <w:tcW w:w="745" w:type="pct"/>
            <w:vMerge/>
            <w:shd w:val="clear" w:color="auto" w:fill="auto"/>
            <w:vAlign w:val="center"/>
          </w:tcPr>
          <w:p w:rsidR="00C20406" w:rsidRDefault="00C20406" w:rsidP="008C3907">
            <w:pPr>
              <w:pStyle w:val="a6"/>
              <w:snapToGrid w:val="0"/>
              <w:jc w:val="center"/>
              <w:rPr>
                <w:rFonts w:ascii="仿宋" w:eastAsia="仿宋" w:hAnsi="仿宋"/>
              </w:rPr>
            </w:pPr>
          </w:p>
        </w:tc>
        <w:tc>
          <w:tcPr>
            <w:tcW w:w="654" w:type="pct"/>
            <w:vMerge/>
            <w:shd w:val="clear" w:color="auto" w:fill="auto"/>
            <w:vAlign w:val="center"/>
          </w:tcPr>
          <w:p w:rsidR="00C20406" w:rsidRDefault="00C20406" w:rsidP="008C3907">
            <w:pPr>
              <w:pStyle w:val="a6"/>
              <w:snapToGrid w:val="0"/>
              <w:jc w:val="center"/>
              <w:rPr>
                <w:rFonts w:ascii="仿宋" w:eastAsia="仿宋" w:hAnsi="仿宋"/>
              </w:rPr>
            </w:pPr>
          </w:p>
        </w:tc>
        <w:tc>
          <w:tcPr>
            <w:tcW w:w="409"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10.1</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10.</w:t>
            </w:r>
            <w:r>
              <w:rPr>
                <w:rFonts w:ascii="仿宋" w:eastAsia="仿宋" w:hAnsi="仿宋"/>
                <w:kern w:val="0"/>
                <w:sz w:val="21"/>
                <w:szCs w:val="21"/>
              </w:rPr>
              <w:t>2</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11.1</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11.2</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12.1</w:t>
            </w: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12.2</w:t>
            </w:r>
          </w:p>
        </w:tc>
        <w:tc>
          <w:tcPr>
            <w:tcW w:w="1507" w:type="pct"/>
            <w:gridSpan w:val="6"/>
            <w:vMerge/>
            <w:shd w:val="clear" w:color="auto" w:fill="auto"/>
            <w:vAlign w:val="center"/>
          </w:tcPr>
          <w:p w:rsidR="00C20406" w:rsidRDefault="00C20406" w:rsidP="008C3907">
            <w:pPr>
              <w:snapToGrid w:val="0"/>
              <w:jc w:val="center"/>
              <w:rPr>
                <w:rFonts w:ascii="仿宋" w:eastAsia="仿宋" w:hAnsi="仿宋"/>
                <w:kern w:val="0"/>
                <w:sz w:val="21"/>
                <w:szCs w:val="21"/>
              </w:rPr>
            </w:pPr>
          </w:p>
        </w:tc>
      </w:tr>
      <w:tr w:rsidR="00C20406" w:rsidTr="008C3907">
        <w:tc>
          <w:tcPr>
            <w:tcW w:w="745" w:type="pct"/>
            <w:shd w:val="clear" w:color="auto" w:fill="auto"/>
            <w:vAlign w:val="center"/>
          </w:tcPr>
          <w:p w:rsidR="00C20406" w:rsidRDefault="00C20406" w:rsidP="008C3907">
            <w:pPr>
              <w:pStyle w:val="a6"/>
              <w:snapToGrid w:val="0"/>
              <w:jc w:val="center"/>
              <w:rPr>
                <w:rFonts w:ascii="仿宋" w:eastAsia="仿宋" w:hAnsi="仿宋"/>
              </w:rPr>
            </w:pPr>
            <w:r>
              <w:rPr>
                <w:rFonts w:ascii="仿宋" w:eastAsia="仿宋" w:hAnsi="仿宋"/>
              </w:rPr>
              <w:t>专业发展必修课</w:t>
            </w:r>
          </w:p>
        </w:tc>
        <w:tc>
          <w:tcPr>
            <w:tcW w:w="654" w:type="pct"/>
            <w:shd w:val="clear" w:color="auto" w:fill="auto"/>
            <w:vAlign w:val="center"/>
          </w:tcPr>
          <w:p w:rsidR="00C20406" w:rsidRDefault="00C20406" w:rsidP="008C3907">
            <w:pPr>
              <w:pStyle w:val="a6"/>
              <w:snapToGrid w:val="0"/>
              <w:jc w:val="center"/>
              <w:rPr>
                <w:rFonts w:ascii="仿宋" w:eastAsia="仿宋" w:hAnsi="仿宋"/>
              </w:rPr>
            </w:pPr>
            <w:r>
              <w:rPr>
                <w:rFonts w:ascii="仿宋" w:eastAsia="仿宋" w:hAnsi="仿宋"/>
              </w:rPr>
              <w:t>供热工程</w:t>
            </w:r>
          </w:p>
        </w:tc>
        <w:tc>
          <w:tcPr>
            <w:tcW w:w="409"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p>
        </w:tc>
        <w:tc>
          <w:tcPr>
            <w:tcW w:w="337" w:type="pct"/>
            <w:gridSpan w:val="2"/>
            <w:shd w:val="clear" w:color="auto" w:fill="auto"/>
            <w:vAlign w:val="center"/>
          </w:tcPr>
          <w:p w:rsidR="00C20406" w:rsidRDefault="00C20406" w:rsidP="008C3907">
            <w:pPr>
              <w:widowControl/>
              <w:snapToGrid w:val="0"/>
              <w:jc w:val="center"/>
              <w:rPr>
                <w:rFonts w:ascii="仿宋" w:eastAsia="仿宋" w:hAnsi="仿宋"/>
                <w:kern w:val="0"/>
                <w:sz w:val="21"/>
                <w:szCs w:val="21"/>
              </w:rPr>
            </w:pPr>
          </w:p>
        </w:tc>
        <w:tc>
          <w:tcPr>
            <w:tcW w:w="1507" w:type="pct"/>
            <w:gridSpan w:val="6"/>
            <w:vMerge/>
            <w:shd w:val="clear" w:color="auto" w:fill="auto"/>
            <w:vAlign w:val="center"/>
          </w:tcPr>
          <w:p w:rsidR="00C20406" w:rsidRDefault="00C20406" w:rsidP="008C3907">
            <w:pPr>
              <w:widowControl/>
              <w:snapToGrid w:val="0"/>
              <w:jc w:val="center"/>
              <w:rPr>
                <w:rFonts w:ascii="仿宋" w:eastAsia="仿宋" w:hAnsi="仿宋"/>
                <w:kern w:val="0"/>
                <w:sz w:val="21"/>
                <w:szCs w:val="21"/>
              </w:rPr>
            </w:pPr>
          </w:p>
        </w:tc>
      </w:tr>
    </w:tbl>
    <w:p w:rsidR="00C20406" w:rsidRDefault="00C20406" w:rsidP="00C20406">
      <w:pPr>
        <w:widowControl/>
        <w:snapToGrid w:val="0"/>
        <w:jc w:val="left"/>
        <w:rPr>
          <w:rFonts w:ascii="仿宋" w:eastAsia="仿宋" w:hAnsi="仿宋"/>
          <w:kern w:val="0"/>
          <w:sz w:val="24"/>
          <w:szCs w:val="24"/>
        </w:rPr>
      </w:pPr>
      <w:r>
        <w:rPr>
          <w:rFonts w:ascii="仿宋" w:eastAsia="仿宋" w:hAnsi="仿宋"/>
          <w:kern w:val="0"/>
          <w:sz w:val="24"/>
          <w:szCs w:val="24"/>
        </w:rPr>
        <w:t>（以关联度标识，课程与某个毕业要求的关联度，根据该课程对应毕业要求的支撑强度来定性估计，H:表示关联度高；M：表示关联度中；L：表示关联度低）</w:t>
      </w:r>
    </w:p>
    <w:p w:rsidR="00C20406" w:rsidRDefault="00C20406" w:rsidP="00C20406">
      <w:pPr>
        <w:pStyle w:val="a6"/>
        <w:snapToGrid w:val="0"/>
        <w:spacing w:line="360" w:lineRule="auto"/>
        <w:jc w:val="center"/>
        <w:rPr>
          <w:rFonts w:ascii="仿宋" w:eastAsia="仿宋" w:hAnsi="仿宋"/>
          <w:sz w:val="28"/>
          <w:szCs w:val="28"/>
        </w:rPr>
      </w:pPr>
      <w:r>
        <w:rPr>
          <w:rFonts w:ascii="仿宋" w:eastAsia="仿宋" w:hAnsi="仿宋"/>
          <w:sz w:val="28"/>
          <w:szCs w:val="28"/>
        </w:rPr>
        <w:t>对毕业要求的支撑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3098"/>
        <w:gridCol w:w="2524"/>
      </w:tblGrid>
      <w:tr w:rsidR="00C20406" w:rsidTr="008C3907">
        <w:tc>
          <w:tcPr>
            <w:tcW w:w="3479" w:type="pct"/>
            <w:gridSpan w:val="2"/>
            <w:shd w:val="clear" w:color="auto" w:fill="auto"/>
            <w:vAlign w:val="center"/>
          </w:tcPr>
          <w:p w:rsidR="00C20406" w:rsidRDefault="00C20406" w:rsidP="008C3907">
            <w:pPr>
              <w:widowControl/>
              <w:snapToGrid w:val="0"/>
              <w:jc w:val="center"/>
              <w:rPr>
                <w:rFonts w:ascii="仿宋" w:eastAsia="仿宋" w:hAnsi="仿宋"/>
                <w:kern w:val="0"/>
                <w:sz w:val="24"/>
                <w:szCs w:val="24"/>
              </w:rPr>
            </w:pPr>
            <w:r>
              <w:rPr>
                <w:rFonts w:ascii="仿宋" w:eastAsia="仿宋" w:hAnsi="仿宋"/>
                <w:sz w:val="24"/>
                <w:szCs w:val="24"/>
              </w:rPr>
              <w:t>课程对</w:t>
            </w:r>
            <w:r>
              <w:rPr>
                <w:rFonts w:ascii="仿宋" w:eastAsia="仿宋" w:hAnsi="仿宋"/>
                <w:kern w:val="0"/>
                <w:sz w:val="24"/>
                <w:szCs w:val="24"/>
              </w:rPr>
              <w:t>毕业要求</w:t>
            </w:r>
            <w:r>
              <w:rPr>
                <w:rFonts w:ascii="仿宋" w:eastAsia="仿宋" w:hAnsi="仿宋"/>
                <w:sz w:val="24"/>
                <w:szCs w:val="24"/>
              </w:rPr>
              <w:t>的支撑</w:t>
            </w:r>
            <w:r>
              <w:rPr>
                <w:rFonts w:ascii="仿宋" w:eastAsia="仿宋" w:hAnsi="仿宋"/>
                <w:kern w:val="0"/>
                <w:sz w:val="24"/>
                <w:szCs w:val="24"/>
              </w:rPr>
              <w:t>毕业要求</w:t>
            </w:r>
          </w:p>
        </w:tc>
        <w:tc>
          <w:tcPr>
            <w:tcW w:w="1521" w:type="pct"/>
            <w:shd w:val="clear" w:color="auto" w:fill="auto"/>
            <w:vAlign w:val="center"/>
          </w:tcPr>
          <w:p w:rsidR="00C20406" w:rsidRDefault="00C20406" w:rsidP="008C3907">
            <w:pPr>
              <w:pStyle w:val="a6"/>
              <w:snapToGrid w:val="0"/>
              <w:spacing w:line="360" w:lineRule="auto"/>
              <w:jc w:val="center"/>
              <w:rPr>
                <w:rFonts w:ascii="仿宋" w:eastAsia="仿宋" w:hAnsi="仿宋"/>
                <w:sz w:val="24"/>
                <w:szCs w:val="24"/>
              </w:rPr>
            </w:pPr>
            <w:r>
              <w:rPr>
                <w:rFonts w:ascii="仿宋" w:eastAsia="仿宋" w:hAnsi="仿宋"/>
                <w:sz w:val="24"/>
                <w:szCs w:val="24"/>
              </w:rPr>
              <w:t>课程支撑</w:t>
            </w:r>
          </w:p>
        </w:tc>
      </w:tr>
      <w:tr w:rsidR="00C20406" w:rsidTr="008C3907">
        <w:tc>
          <w:tcPr>
            <w:tcW w:w="1612" w:type="pct"/>
            <w:vMerge w:val="restart"/>
            <w:shd w:val="clear" w:color="auto" w:fill="auto"/>
            <w:vAlign w:val="center"/>
          </w:tcPr>
          <w:p w:rsidR="00C20406" w:rsidRDefault="00C20406" w:rsidP="008C3907">
            <w:pPr>
              <w:widowControl/>
              <w:snapToGrid w:val="0"/>
              <w:jc w:val="center"/>
              <w:rPr>
                <w:rFonts w:ascii="仿宋" w:eastAsia="仿宋" w:hAnsi="仿宋"/>
                <w:sz w:val="24"/>
                <w:szCs w:val="24"/>
              </w:rPr>
            </w:pPr>
            <w:r>
              <w:rPr>
                <w:rFonts w:ascii="仿宋" w:eastAsia="仿宋" w:hAnsi="仿宋"/>
                <w:kern w:val="0"/>
                <w:sz w:val="24"/>
                <w:szCs w:val="24"/>
              </w:rPr>
              <w:t>3:</w:t>
            </w:r>
            <w:r>
              <w:rPr>
                <w:rFonts w:ascii="仿宋" w:eastAsia="仿宋" w:hAnsi="仿宋"/>
                <w:sz w:val="24"/>
                <w:szCs w:val="24"/>
              </w:rPr>
              <w:t>设计/开发解决方案</w:t>
            </w:r>
          </w:p>
          <w:p w:rsidR="00C20406" w:rsidRDefault="00C20406" w:rsidP="008C3907">
            <w:pPr>
              <w:widowControl/>
              <w:snapToGrid w:val="0"/>
              <w:rPr>
                <w:rFonts w:ascii="仿宋" w:eastAsia="仿宋" w:hAnsi="仿宋"/>
                <w:kern w:val="0"/>
                <w:sz w:val="24"/>
                <w:szCs w:val="24"/>
              </w:rPr>
            </w:pPr>
            <w:r>
              <w:rPr>
                <w:rFonts w:ascii="仿宋" w:eastAsia="仿宋" w:hAnsi="仿宋" w:hint="eastAsia"/>
                <w:kern w:val="0"/>
                <w:sz w:val="24"/>
                <w:szCs w:val="24"/>
              </w:rPr>
              <w:t>能够设计针对复杂工程问题的解决方案，设计满足特定需求的系统、单元（部件）或工艺流程，并能够在设计环节中体现创新意识，考虑社会、健康、安全、法律、文化以及环境等因素。</w:t>
            </w:r>
          </w:p>
        </w:tc>
        <w:tc>
          <w:tcPr>
            <w:tcW w:w="1867"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3.1 能够针对特定需求，确定工程基本单元的设计目标或问题解决方案，并完成设计/开发工作。</w:t>
            </w:r>
          </w:p>
        </w:tc>
        <w:tc>
          <w:tcPr>
            <w:tcW w:w="1521"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H:具有一般民用和工业建筑供暖系统的设计能力；掌握供暖与集中供热运行管理的基本知识。</w:t>
            </w:r>
          </w:p>
        </w:tc>
      </w:tr>
      <w:tr w:rsidR="00C20406" w:rsidTr="008C3907">
        <w:tc>
          <w:tcPr>
            <w:tcW w:w="1612" w:type="pct"/>
            <w:vMerge/>
            <w:shd w:val="clear" w:color="auto" w:fill="auto"/>
            <w:vAlign w:val="center"/>
          </w:tcPr>
          <w:p w:rsidR="00C20406" w:rsidRDefault="00C20406" w:rsidP="008C3907">
            <w:pPr>
              <w:widowControl/>
              <w:snapToGrid w:val="0"/>
              <w:jc w:val="center"/>
              <w:rPr>
                <w:rFonts w:ascii="仿宋" w:eastAsia="仿宋" w:hAnsi="仿宋"/>
                <w:kern w:val="0"/>
                <w:sz w:val="24"/>
                <w:szCs w:val="24"/>
              </w:rPr>
            </w:pPr>
          </w:p>
        </w:tc>
        <w:tc>
          <w:tcPr>
            <w:tcW w:w="1867"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3.2 能够进行工程体系或工艺流程的系统分析和优化设计，并体现创新意识。</w:t>
            </w:r>
          </w:p>
        </w:tc>
        <w:tc>
          <w:tcPr>
            <w:tcW w:w="1521"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H:具有一般民用和工业建筑供暖系统的设计能力；掌握供暖与集中供热运行管理的基本知识。</w:t>
            </w:r>
          </w:p>
        </w:tc>
      </w:tr>
      <w:tr w:rsidR="00C20406" w:rsidTr="008C3907">
        <w:tc>
          <w:tcPr>
            <w:tcW w:w="1612" w:type="pct"/>
            <w:vMerge/>
            <w:shd w:val="clear" w:color="auto" w:fill="auto"/>
            <w:vAlign w:val="center"/>
          </w:tcPr>
          <w:p w:rsidR="00C20406" w:rsidRDefault="00C20406" w:rsidP="008C3907">
            <w:pPr>
              <w:widowControl/>
              <w:snapToGrid w:val="0"/>
              <w:jc w:val="center"/>
              <w:rPr>
                <w:rFonts w:ascii="仿宋" w:eastAsia="仿宋" w:hAnsi="仿宋"/>
                <w:kern w:val="0"/>
                <w:sz w:val="24"/>
                <w:szCs w:val="24"/>
              </w:rPr>
            </w:pPr>
          </w:p>
        </w:tc>
        <w:tc>
          <w:tcPr>
            <w:tcW w:w="1867"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3.3 在设计/开发工作中能够综合考虑社会、健康、安全、法律、文化以及环境等因素。</w:t>
            </w:r>
          </w:p>
        </w:tc>
        <w:tc>
          <w:tcPr>
            <w:tcW w:w="1521"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H:具有一般民用和工业建筑供暖系统的设计能力；掌握供暖与集中供热运行管理的基本知识。</w:t>
            </w:r>
          </w:p>
        </w:tc>
      </w:tr>
      <w:tr w:rsidR="00C20406" w:rsidTr="008C3907">
        <w:tc>
          <w:tcPr>
            <w:tcW w:w="1612" w:type="pct"/>
            <w:vMerge w:val="restart"/>
            <w:shd w:val="clear" w:color="auto" w:fill="auto"/>
            <w:vAlign w:val="center"/>
          </w:tcPr>
          <w:p w:rsidR="00C20406" w:rsidRDefault="00C20406" w:rsidP="008C3907">
            <w:pPr>
              <w:widowControl/>
              <w:snapToGrid w:val="0"/>
              <w:ind w:firstLineChars="150" w:firstLine="360"/>
              <w:rPr>
                <w:rFonts w:ascii="仿宋" w:eastAsia="仿宋" w:hAnsi="仿宋"/>
                <w:sz w:val="24"/>
                <w:szCs w:val="24"/>
              </w:rPr>
            </w:pPr>
            <w:r>
              <w:rPr>
                <w:rFonts w:ascii="仿宋" w:eastAsia="仿宋" w:hAnsi="仿宋"/>
                <w:kern w:val="0"/>
                <w:sz w:val="24"/>
                <w:szCs w:val="24"/>
              </w:rPr>
              <w:t>4:</w:t>
            </w:r>
            <w:r>
              <w:rPr>
                <w:rFonts w:ascii="仿宋" w:eastAsia="仿宋" w:hAnsi="仿宋"/>
                <w:sz w:val="24"/>
                <w:szCs w:val="24"/>
              </w:rPr>
              <w:t>研究</w:t>
            </w:r>
          </w:p>
          <w:p w:rsidR="00C20406" w:rsidRDefault="00C20406" w:rsidP="008C3907">
            <w:pPr>
              <w:widowControl/>
              <w:snapToGrid w:val="0"/>
              <w:rPr>
                <w:rFonts w:ascii="仿宋" w:eastAsia="仿宋" w:hAnsi="仿宋"/>
                <w:kern w:val="0"/>
                <w:sz w:val="24"/>
                <w:szCs w:val="24"/>
              </w:rPr>
            </w:pPr>
            <w:r>
              <w:rPr>
                <w:rFonts w:ascii="仿宋" w:eastAsia="仿宋" w:hAnsi="仿宋"/>
                <w:sz w:val="24"/>
                <w:szCs w:val="24"/>
              </w:rPr>
              <w:t>能够基于科学原理并采用科学方法对复杂工程问题进行研究，包括设计实验、分析与解释数据、并通过信息综合得到合理有效的结论。</w:t>
            </w:r>
          </w:p>
        </w:tc>
        <w:tc>
          <w:tcPr>
            <w:tcW w:w="1867"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4.1 能够基于建筑环境与能源应用工程科学原理，通过文献研究，调研和分析解决建筑环境与能源应用工程专业复杂工程问题的方案。</w:t>
            </w:r>
          </w:p>
        </w:tc>
        <w:tc>
          <w:tcPr>
            <w:tcW w:w="1521"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H:具有一般民用和工业建筑供暖系统的设计能力；掌握供暖与集中供热运行管理的基本知识。</w:t>
            </w:r>
          </w:p>
        </w:tc>
      </w:tr>
      <w:tr w:rsidR="00C20406" w:rsidTr="008C3907">
        <w:tc>
          <w:tcPr>
            <w:tcW w:w="1612" w:type="pct"/>
            <w:vMerge/>
            <w:shd w:val="clear" w:color="auto" w:fill="auto"/>
            <w:vAlign w:val="center"/>
          </w:tcPr>
          <w:p w:rsidR="00C20406" w:rsidRDefault="00C20406" w:rsidP="008C3907">
            <w:pPr>
              <w:widowControl/>
              <w:snapToGrid w:val="0"/>
              <w:jc w:val="center"/>
              <w:rPr>
                <w:rFonts w:ascii="仿宋" w:eastAsia="仿宋" w:hAnsi="仿宋"/>
                <w:kern w:val="0"/>
                <w:sz w:val="24"/>
                <w:szCs w:val="24"/>
              </w:rPr>
            </w:pPr>
          </w:p>
        </w:tc>
        <w:tc>
          <w:tcPr>
            <w:tcW w:w="1867"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4.2 掌握工程基础和专业实验、测试和检测的基本原理、方法和技能。</w:t>
            </w:r>
          </w:p>
        </w:tc>
        <w:tc>
          <w:tcPr>
            <w:tcW w:w="1521"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H:具有一般民用和工业建筑供暖系统的设计能力；掌握供暖与集中供热运行管理的基本知识。</w:t>
            </w:r>
          </w:p>
        </w:tc>
      </w:tr>
      <w:tr w:rsidR="00C20406" w:rsidTr="008C3907">
        <w:tc>
          <w:tcPr>
            <w:tcW w:w="1612" w:type="pct"/>
            <w:vMerge/>
            <w:shd w:val="clear" w:color="auto" w:fill="auto"/>
            <w:vAlign w:val="center"/>
          </w:tcPr>
          <w:p w:rsidR="00C20406" w:rsidRDefault="00C20406" w:rsidP="008C3907">
            <w:pPr>
              <w:widowControl/>
              <w:snapToGrid w:val="0"/>
              <w:jc w:val="center"/>
              <w:rPr>
                <w:rFonts w:ascii="仿宋" w:eastAsia="仿宋" w:hAnsi="仿宋"/>
                <w:kern w:val="0"/>
                <w:sz w:val="24"/>
                <w:szCs w:val="24"/>
              </w:rPr>
            </w:pPr>
          </w:p>
        </w:tc>
        <w:tc>
          <w:tcPr>
            <w:tcW w:w="1867"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4.3 根据建筑环境与能源应用工程专业复杂工程问题的特征，选择研究路线，设计实验方案并正确进行实验操作，正确收集、处理、分析与解释实验数据，通过信息综合获得合理有效的结论。</w:t>
            </w:r>
          </w:p>
        </w:tc>
        <w:tc>
          <w:tcPr>
            <w:tcW w:w="1521"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H:具有一般民用和工业建筑供暖系统的设计能力；掌握供暖与集中供热运行管理的基本知识。</w:t>
            </w:r>
          </w:p>
        </w:tc>
      </w:tr>
      <w:tr w:rsidR="00C20406" w:rsidTr="008C3907">
        <w:tc>
          <w:tcPr>
            <w:tcW w:w="1612" w:type="pct"/>
            <w:vMerge w:val="restart"/>
            <w:shd w:val="clear" w:color="auto" w:fill="auto"/>
            <w:vAlign w:val="center"/>
          </w:tcPr>
          <w:p w:rsidR="00C20406" w:rsidRDefault="00C20406" w:rsidP="008C3907">
            <w:pPr>
              <w:widowControl/>
              <w:snapToGrid w:val="0"/>
              <w:jc w:val="center"/>
              <w:rPr>
                <w:rFonts w:ascii="仿宋" w:eastAsia="仿宋" w:hAnsi="仿宋"/>
                <w:sz w:val="24"/>
                <w:szCs w:val="24"/>
              </w:rPr>
            </w:pPr>
            <w:r>
              <w:rPr>
                <w:rFonts w:ascii="仿宋" w:eastAsia="仿宋" w:hAnsi="仿宋"/>
                <w:kern w:val="0"/>
                <w:sz w:val="24"/>
                <w:szCs w:val="24"/>
              </w:rPr>
              <w:lastRenderedPageBreak/>
              <w:t>5:</w:t>
            </w:r>
            <w:r>
              <w:rPr>
                <w:rFonts w:ascii="仿宋" w:eastAsia="仿宋" w:hAnsi="仿宋"/>
                <w:sz w:val="24"/>
                <w:szCs w:val="24"/>
              </w:rPr>
              <w:t>使用现代工具</w:t>
            </w:r>
          </w:p>
          <w:p w:rsidR="00C20406" w:rsidRDefault="00C20406" w:rsidP="008C3907">
            <w:pPr>
              <w:widowControl/>
              <w:snapToGrid w:val="0"/>
              <w:rPr>
                <w:rFonts w:ascii="仿宋" w:eastAsia="仿宋" w:hAnsi="仿宋"/>
                <w:kern w:val="0"/>
                <w:sz w:val="24"/>
                <w:szCs w:val="24"/>
              </w:rPr>
            </w:pPr>
            <w:r>
              <w:rPr>
                <w:rFonts w:ascii="仿宋" w:eastAsia="仿宋" w:hAnsi="仿宋"/>
                <w:sz w:val="24"/>
                <w:szCs w:val="24"/>
              </w:rPr>
              <w:t>能够针对复杂工程问题，开发、选择与使用恰当的技术、资源、现代工程工具和信息技术工具，包括对复杂工程问题的预测与模拟，并能够理解其局限性。</w:t>
            </w:r>
          </w:p>
        </w:tc>
        <w:tc>
          <w:tcPr>
            <w:tcW w:w="1867"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5.1 了解建筑环境与能源应用工程常用的现代仪器、工程工具、信息技术工具等的使用原理和方法，并理解其局限性。</w:t>
            </w:r>
          </w:p>
        </w:tc>
        <w:tc>
          <w:tcPr>
            <w:tcW w:w="1521"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H:具有一般民用和工业建筑供暖系统的设计能力；掌握供暖与集中供热运行管理的基本知识。</w:t>
            </w:r>
          </w:p>
        </w:tc>
      </w:tr>
      <w:tr w:rsidR="00C20406" w:rsidTr="008C3907">
        <w:tc>
          <w:tcPr>
            <w:tcW w:w="1612" w:type="pct"/>
            <w:vMerge/>
            <w:shd w:val="clear" w:color="auto" w:fill="auto"/>
            <w:vAlign w:val="center"/>
          </w:tcPr>
          <w:p w:rsidR="00C20406" w:rsidRDefault="00C20406" w:rsidP="008C3907">
            <w:pPr>
              <w:widowControl/>
              <w:snapToGrid w:val="0"/>
              <w:jc w:val="center"/>
              <w:rPr>
                <w:rFonts w:ascii="仿宋" w:eastAsia="仿宋" w:hAnsi="仿宋"/>
                <w:kern w:val="0"/>
                <w:sz w:val="24"/>
                <w:szCs w:val="24"/>
              </w:rPr>
            </w:pPr>
          </w:p>
        </w:tc>
        <w:tc>
          <w:tcPr>
            <w:tcW w:w="1867"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5.2 能够选择与使用勘测、制图、检测、计算、设计等恰当的技术和资源，对建筑环境与能源应用工程专业复杂工程问题进行分析、计算和设计，并理解其局限性。</w:t>
            </w:r>
          </w:p>
        </w:tc>
        <w:tc>
          <w:tcPr>
            <w:tcW w:w="1521"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H:具有一般民用和工业建筑供暖系统的设计能力；掌握供暖与集中供热运行管理的基本知识。</w:t>
            </w:r>
          </w:p>
        </w:tc>
      </w:tr>
      <w:tr w:rsidR="00C20406" w:rsidTr="008C3907">
        <w:tc>
          <w:tcPr>
            <w:tcW w:w="1612" w:type="pct"/>
            <w:vMerge/>
            <w:shd w:val="clear" w:color="auto" w:fill="auto"/>
            <w:vAlign w:val="center"/>
          </w:tcPr>
          <w:p w:rsidR="00C20406" w:rsidRDefault="00C20406" w:rsidP="008C3907">
            <w:pPr>
              <w:widowControl/>
              <w:snapToGrid w:val="0"/>
              <w:jc w:val="center"/>
              <w:rPr>
                <w:rFonts w:ascii="仿宋" w:eastAsia="仿宋" w:hAnsi="仿宋"/>
                <w:kern w:val="0"/>
                <w:sz w:val="24"/>
                <w:szCs w:val="24"/>
              </w:rPr>
            </w:pPr>
          </w:p>
        </w:tc>
        <w:tc>
          <w:tcPr>
            <w:tcW w:w="1867"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5.3 能够开发、选用恰当的现代工具，对建筑环境与能源应用工程专业特定复杂工程问题进行预测和模拟，并能够分析其局限性。</w:t>
            </w:r>
          </w:p>
        </w:tc>
        <w:tc>
          <w:tcPr>
            <w:tcW w:w="1521"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H:具有一般民用和工业建筑供暖系统的设计能力；掌握供暖与集中供热运行管理的基本知识。</w:t>
            </w:r>
          </w:p>
        </w:tc>
      </w:tr>
      <w:tr w:rsidR="00C20406" w:rsidTr="008C3907">
        <w:trPr>
          <w:trHeight w:val="750"/>
        </w:trPr>
        <w:tc>
          <w:tcPr>
            <w:tcW w:w="1612" w:type="pct"/>
            <w:vMerge w:val="restart"/>
            <w:shd w:val="clear" w:color="auto" w:fill="auto"/>
            <w:vAlign w:val="center"/>
          </w:tcPr>
          <w:p w:rsidR="00C20406" w:rsidRDefault="00C20406" w:rsidP="008C3907">
            <w:pPr>
              <w:widowControl/>
              <w:snapToGrid w:val="0"/>
              <w:jc w:val="center"/>
              <w:rPr>
                <w:rFonts w:ascii="仿宋" w:eastAsia="仿宋" w:hAnsi="仿宋"/>
                <w:sz w:val="24"/>
                <w:szCs w:val="24"/>
              </w:rPr>
            </w:pPr>
            <w:r>
              <w:rPr>
                <w:rFonts w:ascii="仿宋" w:eastAsia="仿宋" w:hAnsi="仿宋"/>
                <w:kern w:val="0"/>
                <w:sz w:val="24"/>
                <w:szCs w:val="24"/>
              </w:rPr>
              <w:t>6:</w:t>
            </w:r>
            <w:r>
              <w:rPr>
                <w:rFonts w:ascii="仿宋" w:eastAsia="仿宋" w:hAnsi="仿宋"/>
                <w:sz w:val="24"/>
                <w:szCs w:val="24"/>
              </w:rPr>
              <w:t>工程与社会</w:t>
            </w:r>
          </w:p>
          <w:p w:rsidR="00C20406" w:rsidRDefault="00C20406" w:rsidP="008C3907">
            <w:pPr>
              <w:widowControl/>
              <w:snapToGrid w:val="0"/>
              <w:rPr>
                <w:rFonts w:ascii="仿宋" w:eastAsia="仿宋" w:hAnsi="仿宋"/>
                <w:kern w:val="0"/>
                <w:sz w:val="24"/>
                <w:szCs w:val="24"/>
              </w:rPr>
            </w:pPr>
            <w:r>
              <w:rPr>
                <w:rFonts w:ascii="仿宋" w:eastAsia="仿宋" w:hAnsi="仿宋"/>
                <w:sz w:val="24"/>
                <w:szCs w:val="24"/>
              </w:rPr>
              <w:t>能够基于工程相关背景知识进行合理分析，评价专业工程实践和复杂工程问题解决方案对社会、健康、安全、法律以及文化的影响，并理解应承担的责任。</w:t>
            </w:r>
          </w:p>
        </w:tc>
        <w:tc>
          <w:tcPr>
            <w:tcW w:w="1867"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6.1 了解建筑环境与能源应用工程专业相关领域的技术标准体系、知识产权、产业政策和法律法规，理解不同社会文化对工程活动的影响。</w:t>
            </w:r>
          </w:p>
        </w:tc>
        <w:tc>
          <w:tcPr>
            <w:tcW w:w="1521"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H:具有一般民用和工业建筑供暖系统的设计能力；掌握供暖与集中供热运行管理的基本知识。</w:t>
            </w:r>
          </w:p>
        </w:tc>
      </w:tr>
      <w:tr w:rsidR="00C20406" w:rsidTr="008C3907">
        <w:trPr>
          <w:trHeight w:val="750"/>
        </w:trPr>
        <w:tc>
          <w:tcPr>
            <w:tcW w:w="1612" w:type="pct"/>
            <w:vMerge/>
            <w:shd w:val="clear" w:color="auto" w:fill="auto"/>
            <w:vAlign w:val="center"/>
          </w:tcPr>
          <w:p w:rsidR="00C20406" w:rsidRDefault="00C20406" w:rsidP="008C3907">
            <w:pPr>
              <w:widowControl/>
              <w:snapToGrid w:val="0"/>
              <w:jc w:val="center"/>
              <w:rPr>
                <w:rFonts w:ascii="仿宋" w:eastAsia="仿宋" w:hAnsi="仿宋"/>
                <w:kern w:val="0"/>
                <w:sz w:val="24"/>
                <w:szCs w:val="24"/>
              </w:rPr>
            </w:pPr>
          </w:p>
        </w:tc>
        <w:tc>
          <w:tcPr>
            <w:tcW w:w="1867"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6.2 能够分析并合理评价建筑环境与能源应用工程专业工程实践和复杂工程问题的解决方案对社会、健康、安全、法律以及文化的影响，以及这些制约因素对项目实施的影响，并理解建筑环境与能源应用工程师应承担的社会责任。</w:t>
            </w:r>
          </w:p>
        </w:tc>
        <w:tc>
          <w:tcPr>
            <w:tcW w:w="1521" w:type="pct"/>
            <w:shd w:val="clear" w:color="auto" w:fill="auto"/>
            <w:vAlign w:val="center"/>
          </w:tcPr>
          <w:p w:rsidR="00C20406" w:rsidRDefault="00C20406" w:rsidP="008C3907">
            <w:pPr>
              <w:pStyle w:val="a6"/>
              <w:snapToGrid w:val="0"/>
              <w:rPr>
                <w:rFonts w:ascii="仿宋" w:eastAsia="仿宋" w:hAnsi="仿宋"/>
                <w:sz w:val="24"/>
                <w:szCs w:val="24"/>
              </w:rPr>
            </w:pPr>
            <w:r>
              <w:rPr>
                <w:rFonts w:ascii="仿宋" w:eastAsia="仿宋" w:hAnsi="仿宋"/>
                <w:sz w:val="24"/>
                <w:szCs w:val="24"/>
              </w:rPr>
              <w:t>H:具有一般民用和工业建筑供暖系统的设计能力；掌握供暖与集中供热运行管理的基本知识。</w:t>
            </w:r>
          </w:p>
        </w:tc>
      </w:tr>
    </w:tbl>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本课程共分17章，其中第2-5章的内容已在《暖通空调》中讲授，第9-11章的内容己在《流体输配管网》中讲授，为了知识的衔接，在这门课中作为复习部分。其他各章应作为重点内容。</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本课程的重点和难点主要是供热调节、凝结水管网的水力工况和水力计算方法、喷射器的工作原理和设计原理以及供热管道的应力计算。</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lastRenderedPageBreak/>
        <w:t>4. 课程思政设计</w:t>
      </w:r>
    </w:p>
    <w:p w:rsidR="00C20406" w:rsidRPr="006058C6" w:rsidRDefault="00C20406" w:rsidP="00C2040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在课程教学过程中通过有意识地结合本专业的最新研究成果和相关知识的运用贡献等案例，增强学生的专业自豪感、民族自信心和爱校荣校情怀。</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2033"/>
        <w:gridCol w:w="1292"/>
        <w:gridCol w:w="1875"/>
        <w:gridCol w:w="2999"/>
      </w:tblGrid>
      <w:tr w:rsidR="00C20406" w:rsidTr="008C3907">
        <w:trPr>
          <w:cantSplit/>
          <w:trHeight w:val="458"/>
        </w:trPr>
        <w:tc>
          <w:tcPr>
            <w:tcW w:w="504" w:type="dxa"/>
            <w:vAlign w:val="center"/>
          </w:tcPr>
          <w:p w:rsidR="00C20406" w:rsidRPr="006058C6" w:rsidRDefault="00C20406" w:rsidP="008C3907">
            <w:pPr>
              <w:jc w:val="center"/>
              <w:rPr>
                <w:rFonts w:ascii="仿宋_GB2312" w:hAnsi="仿宋_GB2312" w:cs="仿宋_GB2312"/>
                <w:b/>
                <w:sz w:val="24"/>
                <w:szCs w:val="24"/>
              </w:rPr>
            </w:pPr>
            <w:r w:rsidRPr="006058C6">
              <w:rPr>
                <w:rFonts w:ascii="仿宋_GB2312" w:hAnsi="仿宋_GB2312" w:cs="仿宋_GB2312"/>
                <w:b/>
                <w:sz w:val="24"/>
                <w:szCs w:val="24"/>
              </w:rPr>
              <w:t>序号</w:t>
            </w:r>
          </w:p>
        </w:tc>
        <w:tc>
          <w:tcPr>
            <w:tcW w:w="2281" w:type="dxa"/>
            <w:vAlign w:val="center"/>
          </w:tcPr>
          <w:p w:rsidR="00C20406" w:rsidRPr="006058C6" w:rsidRDefault="00C20406" w:rsidP="008C3907">
            <w:pPr>
              <w:jc w:val="center"/>
              <w:rPr>
                <w:rFonts w:ascii="仿宋_GB2312" w:hAnsi="仿宋_GB2312" w:cs="仿宋_GB2312"/>
                <w:b/>
                <w:sz w:val="24"/>
                <w:szCs w:val="24"/>
              </w:rPr>
            </w:pPr>
            <w:r w:rsidRPr="006058C6">
              <w:rPr>
                <w:rFonts w:ascii="仿宋_GB2312" w:hAnsi="仿宋_GB2312" w:cs="仿宋_GB2312"/>
                <w:b/>
                <w:sz w:val="24"/>
                <w:szCs w:val="24"/>
              </w:rPr>
              <w:t>章  节</w:t>
            </w:r>
          </w:p>
        </w:tc>
        <w:tc>
          <w:tcPr>
            <w:tcW w:w="1438" w:type="dxa"/>
            <w:vAlign w:val="center"/>
          </w:tcPr>
          <w:p w:rsidR="00C20406" w:rsidRPr="006058C6" w:rsidRDefault="00C20406" w:rsidP="008C3907">
            <w:pPr>
              <w:jc w:val="center"/>
              <w:rPr>
                <w:rFonts w:ascii="仿宋_GB2312" w:hAnsi="仿宋_GB2312" w:cs="仿宋_GB2312"/>
                <w:b/>
                <w:sz w:val="24"/>
                <w:szCs w:val="24"/>
              </w:rPr>
            </w:pPr>
            <w:r w:rsidRPr="006058C6">
              <w:rPr>
                <w:rFonts w:ascii="仿宋_GB2312" w:hAnsi="仿宋_GB2312" w:cs="仿宋_GB2312"/>
                <w:b/>
                <w:sz w:val="24"/>
                <w:szCs w:val="24"/>
              </w:rPr>
              <w:t>参考学时</w:t>
            </w:r>
          </w:p>
        </w:tc>
        <w:tc>
          <w:tcPr>
            <w:tcW w:w="2102" w:type="dxa"/>
            <w:vAlign w:val="center"/>
          </w:tcPr>
          <w:p w:rsidR="00C20406" w:rsidRPr="006058C6" w:rsidRDefault="00C20406" w:rsidP="008C3907">
            <w:pPr>
              <w:jc w:val="center"/>
              <w:rPr>
                <w:rFonts w:ascii="仿宋_GB2312" w:hAnsi="仿宋_GB2312" w:cs="仿宋_GB2312"/>
                <w:b/>
                <w:sz w:val="24"/>
                <w:szCs w:val="24"/>
              </w:rPr>
            </w:pPr>
            <w:r w:rsidRPr="006058C6">
              <w:rPr>
                <w:rFonts w:ascii="仿宋_GB2312" w:hAnsi="仿宋_GB2312" w:cs="仿宋_GB2312"/>
                <w:b/>
                <w:sz w:val="24"/>
                <w:szCs w:val="24"/>
              </w:rPr>
              <w:t>教学内容</w:t>
            </w:r>
          </w:p>
        </w:tc>
        <w:tc>
          <w:tcPr>
            <w:tcW w:w="3381" w:type="dxa"/>
            <w:vAlign w:val="center"/>
          </w:tcPr>
          <w:p w:rsidR="00C20406" w:rsidRPr="006058C6" w:rsidRDefault="00C20406" w:rsidP="008C3907">
            <w:pPr>
              <w:jc w:val="center"/>
              <w:rPr>
                <w:rFonts w:ascii="仿宋_GB2312" w:hAnsi="仿宋_GB2312" w:cs="仿宋_GB2312"/>
                <w:b/>
                <w:sz w:val="24"/>
                <w:szCs w:val="24"/>
              </w:rPr>
            </w:pPr>
            <w:r w:rsidRPr="006058C6">
              <w:rPr>
                <w:rFonts w:ascii="仿宋_GB2312" w:hAnsi="仿宋_GB2312" w:cs="仿宋_GB2312"/>
                <w:b/>
                <w:sz w:val="24"/>
                <w:szCs w:val="24"/>
              </w:rPr>
              <w:t>基本要求</w:t>
            </w:r>
          </w:p>
        </w:tc>
      </w:tr>
      <w:tr w:rsidR="00C20406" w:rsidTr="008C3907">
        <w:trPr>
          <w:trHeight w:hRule="exact" w:val="1770"/>
        </w:trPr>
        <w:tc>
          <w:tcPr>
            <w:tcW w:w="504"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1</w:t>
            </w:r>
          </w:p>
        </w:tc>
        <w:tc>
          <w:tcPr>
            <w:tcW w:w="2281"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第一章：绪论</w:t>
            </w:r>
          </w:p>
        </w:tc>
        <w:tc>
          <w:tcPr>
            <w:tcW w:w="1438"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2</w:t>
            </w:r>
          </w:p>
        </w:tc>
        <w:tc>
          <w:tcPr>
            <w:tcW w:w="2102" w:type="dxa"/>
            <w:vAlign w:val="center"/>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本课程的研究对象和主要内容、供热工程在国内外的发展概况与发展方向。</w:t>
            </w:r>
          </w:p>
        </w:tc>
        <w:tc>
          <w:tcPr>
            <w:tcW w:w="3381" w:type="dxa"/>
          </w:tcPr>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目的：形成集中供热完整系统的整体概念</w:t>
            </w:r>
          </w:p>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要求：了解供热工程内容及任务、供热工程发展概况、城市集中供热系统。</w:t>
            </w:r>
          </w:p>
        </w:tc>
      </w:tr>
      <w:tr w:rsidR="00C20406" w:rsidTr="008C3907">
        <w:trPr>
          <w:trHeight w:hRule="exact" w:val="2405"/>
        </w:trPr>
        <w:tc>
          <w:tcPr>
            <w:tcW w:w="504" w:type="dxa"/>
            <w:vAlign w:val="center"/>
          </w:tcPr>
          <w:p w:rsidR="00C20406" w:rsidRPr="006058C6" w:rsidRDefault="00C20406" w:rsidP="008C3907">
            <w:pPr>
              <w:jc w:val="center"/>
              <w:rPr>
                <w:rFonts w:ascii="仿宋_GB2312" w:hAnsi="仿宋_GB2312" w:cs="仿宋_GB2312"/>
                <w:sz w:val="24"/>
                <w:szCs w:val="24"/>
              </w:rPr>
            </w:pPr>
            <w:bookmarkStart w:id="72" w:name="OLE_LINK5"/>
            <w:r w:rsidRPr="006058C6">
              <w:rPr>
                <w:rFonts w:ascii="仿宋_GB2312" w:hAnsi="仿宋_GB2312" w:cs="仿宋_GB2312"/>
                <w:sz w:val="24"/>
                <w:szCs w:val="24"/>
              </w:rPr>
              <w:t>2</w:t>
            </w:r>
          </w:p>
        </w:tc>
        <w:tc>
          <w:tcPr>
            <w:tcW w:w="2281"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第六章：集中供热系统的热负荷</w:t>
            </w:r>
          </w:p>
        </w:tc>
        <w:tc>
          <w:tcPr>
            <w:tcW w:w="1438"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2</w:t>
            </w:r>
          </w:p>
        </w:tc>
        <w:tc>
          <w:tcPr>
            <w:tcW w:w="2102" w:type="dxa"/>
            <w:vAlign w:val="center"/>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集中供热系统热负荷的概算和特征、热负荷图、年耗热量计算。</w:t>
            </w:r>
          </w:p>
        </w:tc>
        <w:tc>
          <w:tcPr>
            <w:tcW w:w="3381" w:type="dxa"/>
          </w:tcPr>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目的：掌握集中供热系统热负荷的概算方法、热负荷延续图的画法及其作用</w:t>
            </w:r>
          </w:p>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要求：掌握集中供热系统热负荷的概算方法和特征、热负荷图的绘制方法、熟悉年耗热量的计算方法。</w:t>
            </w:r>
          </w:p>
        </w:tc>
      </w:tr>
      <w:tr w:rsidR="00C20406" w:rsidTr="008C3907">
        <w:trPr>
          <w:trHeight w:val="268"/>
        </w:trPr>
        <w:tc>
          <w:tcPr>
            <w:tcW w:w="504" w:type="dxa"/>
            <w:vAlign w:val="center"/>
          </w:tcPr>
          <w:p w:rsidR="00C20406" w:rsidRPr="006058C6" w:rsidRDefault="00C20406" w:rsidP="008C3907">
            <w:pPr>
              <w:jc w:val="center"/>
              <w:rPr>
                <w:rFonts w:ascii="仿宋_GB2312" w:hAnsi="仿宋_GB2312" w:cs="仿宋_GB2312"/>
                <w:sz w:val="24"/>
                <w:szCs w:val="24"/>
              </w:rPr>
            </w:pPr>
            <w:bookmarkStart w:id="73" w:name="OLE_LINK6"/>
            <w:bookmarkEnd w:id="72"/>
            <w:r w:rsidRPr="006058C6">
              <w:rPr>
                <w:rFonts w:ascii="仿宋_GB2312" w:hAnsi="仿宋_GB2312" w:cs="仿宋_GB2312"/>
                <w:sz w:val="24"/>
                <w:szCs w:val="24"/>
              </w:rPr>
              <w:t>3</w:t>
            </w:r>
          </w:p>
        </w:tc>
        <w:tc>
          <w:tcPr>
            <w:tcW w:w="2281"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第七章：集中供热系统的热源</w:t>
            </w:r>
          </w:p>
        </w:tc>
        <w:tc>
          <w:tcPr>
            <w:tcW w:w="1438"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4</w:t>
            </w:r>
          </w:p>
        </w:tc>
        <w:tc>
          <w:tcPr>
            <w:tcW w:w="2102" w:type="dxa"/>
            <w:vAlign w:val="center"/>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热电厂的型式、蒸汽锅炉房制备热水的方式、热水锅炉房设计时应注意的问题、其他定压方式。</w:t>
            </w:r>
          </w:p>
        </w:tc>
        <w:tc>
          <w:tcPr>
            <w:tcW w:w="3381" w:type="dxa"/>
          </w:tcPr>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目的：了解集中供热系统的热源种类、型式及工作原理</w:t>
            </w:r>
          </w:p>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要求：理解热电厂的型式、蒸汽锅炉房制备热水的方式、热水锅炉房设计时应注意的问题、其他定压方式、集中供热系统的其他热源形式、集中供热系统的热力站及其主要设备。</w:t>
            </w:r>
          </w:p>
        </w:tc>
      </w:tr>
      <w:bookmarkEnd w:id="73"/>
      <w:tr w:rsidR="00C20406" w:rsidTr="008C3907">
        <w:trPr>
          <w:trHeight w:hRule="exact" w:val="2853"/>
        </w:trPr>
        <w:tc>
          <w:tcPr>
            <w:tcW w:w="504"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4</w:t>
            </w:r>
          </w:p>
        </w:tc>
        <w:tc>
          <w:tcPr>
            <w:tcW w:w="2281"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第八章：集中供热系统</w:t>
            </w:r>
          </w:p>
        </w:tc>
        <w:tc>
          <w:tcPr>
            <w:tcW w:w="1438"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2</w:t>
            </w:r>
          </w:p>
        </w:tc>
        <w:tc>
          <w:tcPr>
            <w:tcW w:w="2102" w:type="dxa"/>
            <w:vAlign w:val="center"/>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热水和蒸汽供热系统的型式及工作原理。</w:t>
            </w:r>
          </w:p>
        </w:tc>
        <w:tc>
          <w:tcPr>
            <w:tcW w:w="3381" w:type="dxa"/>
          </w:tcPr>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目的：掌握热水和蒸汽作为热媒的特点、热水供热系统的连接方式。</w:t>
            </w:r>
          </w:p>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要求：掌握热水和蒸汽作为热媒的特点、热水供热系统的连接方式；熟悉热源形式和热媒种类选择的依据和原则、蒸汽供热系统的连接方式；了解蒸汽系统凝结水回收的方法。</w:t>
            </w:r>
          </w:p>
        </w:tc>
      </w:tr>
      <w:tr w:rsidR="00C20406" w:rsidTr="008C3907">
        <w:trPr>
          <w:trHeight w:hRule="exact" w:val="2539"/>
        </w:trPr>
        <w:tc>
          <w:tcPr>
            <w:tcW w:w="504"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lastRenderedPageBreak/>
              <w:t>5</w:t>
            </w:r>
          </w:p>
        </w:tc>
        <w:tc>
          <w:tcPr>
            <w:tcW w:w="2281"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第十二章：热水供热系统的初调节方法</w:t>
            </w:r>
          </w:p>
        </w:tc>
        <w:tc>
          <w:tcPr>
            <w:tcW w:w="1438"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4</w:t>
            </w:r>
          </w:p>
        </w:tc>
        <w:tc>
          <w:tcPr>
            <w:tcW w:w="2102" w:type="dxa"/>
            <w:vAlign w:val="center"/>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热水采暖系统的供热初调节。</w:t>
            </w:r>
          </w:p>
        </w:tc>
        <w:tc>
          <w:tcPr>
            <w:tcW w:w="3381" w:type="dxa"/>
          </w:tcPr>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目的：掌握和使用供暖热负荷供热调节的基本公式、各种调节方式的比较。</w:t>
            </w:r>
          </w:p>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要求：掌握供暖热负荷供热调节的基本公式、直接连接热水供暖系统的调节方式；熟悉间接连接热水供暖系统的调节方式、综合调节的方法。</w:t>
            </w:r>
          </w:p>
        </w:tc>
      </w:tr>
      <w:tr w:rsidR="00C20406" w:rsidTr="008C3907">
        <w:trPr>
          <w:trHeight w:hRule="exact" w:val="2264"/>
        </w:trPr>
        <w:tc>
          <w:tcPr>
            <w:tcW w:w="504"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6</w:t>
            </w:r>
          </w:p>
        </w:tc>
        <w:tc>
          <w:tcPr>
            <w:tcW w:w="2281"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第十三章：蒸汽供热系统管网的水力计算与水力工况</w:t>
            </w:r>
          </w:p>
        </w:tc>
        <w:tc>
          <w:tcPr>
            <w:tcW w:w="1438"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2</w:t>
            </w:r>
          </w:p>
        </w:tc>
        <w:tc>
          <w:tcPr>
            <w:tcW w:w="2102" w:type="dxa"/>
            <w:vAlign w:val="center"/>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蒸汽网路水力计算的基本公式、蒸汽网路水力计算方法和例题、凝结水管网的水力工况和水力计算方法及例题。</w:t>
            </w:r>
          </w:p>
        </w:tc>
        <w:tc>
          <w:tcPr>
            <w:tcW w:w="3381" w:type="dxa"/>
          </w:tcPr>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 xml:space="preserve">目的：掌握蒸汽网路水力计算的基本方法。 </w:t>
            </w:r>
          </w:p>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要求：掌握蒸汽网路水力计算的基本公式、蒸汽网路水力计算方法、凝结水管网的水力工况和水力计算方法。</w:t>
            </w:r>
          </w:p>
        </w:tc>
      </w:tr>
      <w:tr w:rsidR="00C20406" w:rsidTr="008C3907">
        <w:trPr>
          <w:trHeight w:val="2532"/>
        </w:trPr>
        <w:tc>
          <w:tcPr>
            <w:tcW w:w="504"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7</w:t>
            </w:r>
          </w:p>
        </w:tc>
        <w:tc>
          <w:tcPr>
            <w:tcW w:w="2281"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第十四章：供热管线的敷设和构造</w:t>
            </w:r>
          </w:p>
        </w:tc>
        <w:tc>
          <w:tcPr>
            <w:tcW w:w="1438"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4</w:t>
            </w:r>
          </w:p>
        </w:tc>
        <w:tc>
          <w:tcPr>
            <w:tcW w:w="2102" w:type="dxa"/>
            <w:vAlign w:val="center"/>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供热管线布置原则、室外供热管道的敷设方式、供热管道及其附件、补偿器的类型、管道的活动支座和固定支座、检查井与操作平台、供热管道的保温方法和计算。</w:t>
            </w:r>
          </w:p>
        </w:tc>
        <w:tc>
          <w:tcPr>
            <w:tcW w:w="3381" w:type="dxa"/>
          </w:tcPr>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目的：掌握供热管网布置原则、室外供热管道的敷设方式、补偿器计算方法、供热管道的保温计算方法。</w:t>
            </w:r>
          </w:p>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要求：掌握供热管网布置原则、室外供热管道的敷设方式和保温方法；熟悉供热管道附件。</w:t>
            </w:r>
          </w:p>
        </w:tc>
      </w:tr>
      <w:tr w:rsidR="00C20406" w:rsidTr="008C3907">
        <w:trPr>
          <w:trHeight w:hRule="exact" w:val="3704"/>
        </w:trPr>
        <w:tc>
          <w:tcPr>
            <w:tcW w:w="504" w:type="dxa"/>
            <w:vAlign w:val="center"/>
          </w:tcPr>
          <w:p w:rsidR="00C20406" w:rsidRPr="006058C6" w:rsidRDefault="00C20406" w:rsidP="008C3907">
            <w:pPr>
              <w:jc w:val="center"/>
              <w:rPr>
                <w:rFonts w:ascii="仿宋_GB2312" w:hAnsi="仿宋_GB2312" w:cs="仿宋_GB2312"/>
                <w:sz w:val="24"/>
                <w:szCs w:val="24"/>
              </w:rPr>
            </w:pPr>
            <w:bookmarkStart w:id="74" w:name="OLE_LINK7"/>
            <w:r w:rsidRPr="006058C6">
              <w:rPr>
                <w:rFonts w:ascii="仿宋_GB2312" w:hAnsi="仿宋_GB2312" w:cs="仿宋_GB2312"/>
                <w:sz w:val="24"/>
                <w:szCs w:val="24"/>
              </w:rPr>
              <w:t>8</w:t>
            </w:r>
          </w:p>
        </w:tc>
        <w:tc>
          <w:tcPr>
            <w:tcW w:w="2281"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第十五章：供热管道的应力分析</w:t>
            </w:r>
          </w:p>
        </w:tc>
        <w:tc>
          <w:tcPr>
            <w:tcW w:w="1438"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4</w:t>
            </w:r>
          </w:p>
        </w:tc>
        <w:tc>
          <w:tcPr>
            <w:tcW w:w="2102" w:type="dxa"/>
            <w:vAlign w:val="center"/>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供热管道荷载与许用应力、管壁厚度的确定、管道支座间距的确定、管道的热伸长量及补偿器、固定支座所承受的水平推力计算原则和方法、直埋敷设供热管道设计原理和方法。</w:t>
            </w:r>
          </w:p>
        </w:tc>
        <w:tc>
          <w:tcPr>
            <w:tcW w:w="3381" w:type="dxa"/>
          </w:tcPr>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目的：掌握架空管道和直埋管道的应力分析方法。</w:t>
            </w:r>
          </w:p>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要求：掌握供热管道荷载与许用应力、管壁厚度的确定、管道支座间距的确定、管道的热伸长量及补偿、固定支座所承受的水平推力计算原则和方法、直埋敷设供热管道设计原理和方法。</w:t>
            </w:r>
          </w:p>
        </w:tc>
      </w:tr>
      <w:bookmarkEnd w:id="74"/>
      <w:tr w:rsidR="00C20406" w:rsidTr="008C3907">
        <w:trPr>
          <w:trHeight w:hRule="exact" w:val="3846"/>
        </w:trPr>
        <w:tc>
          <w:tcPr>
            <w:tcW w:w="504"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lastRenderedPageBreak/>
              <w:t>9</w:t>
            </w:r>
          </w:p>
        </w:tc>
        <w:tc>
          <w:tcPr>
            <w:tcW w:w="2281"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第十六章：集中供热系统方案设计比选</w:t>
            </w:r>
          </w:p>
        </w:tc>
        <w:tc>
          <w:tcPr>
            <w:tcW w:w="1438"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2</w:t>
            </w:r>
          </w:p>
        </w:tc>
        <w:tc>
          <w:tcPr>
            <w:tcW w:w="2102" w:type="dxa"/>
            <w:vAlign w:val="center"/>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集中供热系统热源、供热管网、换热设备、输配设备等全套系统。</w:t>
            </w:r>
          </w:p>
        </w:tc>
        <w:tc>
          <w:tcPr>
            <w:tcW w:w="3381" w:type="dxa"/>
          </w:tcPr>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目的：掌握热源、供热管网、换热设备、输配设备的选择和计算方法。</w:t>
            </w:r>
          </w:p>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要求：掌握集中供热系统热源形式与热媒的选择，管网系统形式和敷设方式的选择，管网初调节和运行调节方式的选择，供热系统定压方式的选择，换热器、水泵的选择；理解高低层建筑共建小区供热方案选择，地暖、散热器用户共建小区供热方案选择。</w:t>
            </w:r>
          </w:p>
        </w:tc>
      </w:tr>
      <w:tr w:rsidR="00C20406" w:rsidTr="008C3907">
        <w:trPr>
          <w:trHeight w:hRule="exact" w:val="1972"/>
        </w:trPr>
        <w:tc>
          <w:tcPr>
            <w:tcW w:w="504"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10</w:t>
            </w:r>
          </w:p>
        </w:tc>
        <w:tc>
          <w:tcPr>
            <w:tcW w:w="2281"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第十七章：集中供热系统自动化</w:t>
            </w:r>
          </w:p>
        </w:tc>
        <w:tc>
          <w:tcPr>
            <w:tcW w:w="1438"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2</w:t>
            </w:r>
          </w:p>
        </w:tc>
        <w:tc>
          <w:tcPr>
            <w:tcW w:w="2102" w:type="dxa"/>
            <w:vAlign w:val="center"/>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集中供热系统自动化的组成、热力站的自控、锅炉房的自动监测与控制。</w:t>
            </w:r>
          </w:p>
        </w:tc>
        <w:tc>
          <w:tcPr>
            <w:tcW w:w="3381" w:type="dxa"/>
          </w:tcPr>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目的：掌握集中供热系统自动化原理和方法。</w:t>
            </w:r>
          </w:p>
          <w:p w:rsidR="00C20406" w:rsidRPr="006058C6" w:rsidRDefault="00C20406" w:rsidP="008C3907">
            <w:pPr>
              <w:rPr>
                <w:rFonts w:ascii="仿宋_GB2312" w:hAnsi="仿宋_GB2312" w:cs="仿宋_GB2312"/>
                <w:sz w:val="24"/>
                <w:szCs w:val="24"/>
              </w:rPr>
            </w:pPr>
            <w:r w:rsidRPr="006058C6">
              <w:rPr>
                <w:rFonts w:ascii="仿宋_GB2312" w:hAnsi="仿宋_GB2312" w:cs="仿宋_GB2312"/>
                <w:sz w:val="24"/>
                <w:szCs w:val="24"/>
              </w:rPr>
              <w:t>要求：掌握集中供热系统自动化的组成；理解热力站的自控原理和方法，锅炉房自动监测与控制系统的实现。</w:t>
            </w:r>
          </w:p>
        </w:tc>
      </w:tr>
      <w:tr w:rsidR="00C20406" w:rsidTr="008C3907">
        <w:trPr>
          <w:trHeight w:hRule="exact" w:val="1272"/>
        </w:trPr>
        <w:tc>
          <w:tcPr>
            <w:tcW w:w="504"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hint="eastAsia"/>
                <w:sz w:val="24"/>
                <w:szCs w:val="24"/>
              </w:rPr>
              <w:t>1</w:t>
            </w:r>
            <w:r w:rsidRPr="006058C6">
              <w:rPr>
                <w:rFonts w:ascii="仿宋_GB2312" w:hAnsi="仿宋_GB2312" w:cs="仿宋_GB2312"/>
                <w:sz w:val="24"/>
                <w:szCs w:val="24"/>
              </w:rPr>
              <w:t>1</w:t>
            </w:r>
          </w:p>
        </w:tc>
        <w:tc>
          <w:tcPr>
            <w:tcW w:w="2281"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实验一</w:t>
            </w:r>
          </w:p>
        </w:tc>
        <w:tc>
          <w:tcPr>
            <w:tcW w:w="1438"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hint="eastAsia"/>
                <w:sz w:val="24"/>
                <w:szCs w:val="24"/>
              </w:rPr>
              <w:t>2</w:t>
            </w:r>
          </w:p>
        </w:tc>
        <w:tc>
          <w:tcPr>
            <w:tcW w:w="2102" w:type="dxa"/>
            <w:vAlign w:val="center"/>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供热系统性能调节实验</w:t>
            </w:r>
          </w:p>
        </w:tc>
        <w:tc>
          <w:tcPr>
            <w:tcW w:w="3381" w:type="dxa"/>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目的：了解供热系统性能调节手段</w:t>
            </w:r>
          </w:p>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要求：学会对供热系统的流量、温度、压力进行调节和控制。</w:t>
            </w:r>
          </w:p>
        </w:tc>
      </w:tr>
      <w:tr w:rsidR="00C20406" w:rsidTr="008C3907">
        <w:trPr>
          <w:trHeight w:hRule="exact" w:val="1275"/>
        </w:trPr>
        <w:tc>
          <w:tcPr>
            <w:tcW w:w="504"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hint="eastAsia"/>
                <w:sz w:val="24"/>
                <w:szCs w:val="24"/>
              </w:rPr>
              <w:t>1</w:t>
            </w:r>
            <w:r w:rsidRPr="006058C6">
              <w:rPr>
                <w:rFonts w:ascii="仿宋_GB2312" w:hAnsi="仿宋_GB2312" w:cs="仿宋_GB2312"/>
                <w:sz w:val="24"/>
                <w:szCs w:val="24"/>
              </w:rPr>
              <w:t>2</w:t>
            </w:r>
          </w:p>
        </w:tc>
        <w:tc>
          <w:tcPr>
            <w:tcW w:w="2281"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sz w:val="24"/>
                <w:szCs w:val="24"/>
              </w:rPr>
              <w:t>实验二</w:t>
            </w:r>
          </w:p>
        </w:tc>
        <w:tc>
          <w:tcPr>
            <w:tcW w:w="1438" w:type="dxa"/>
            <w:vAlign w:val="center"/>
          </w:tcPr>
          <w:p w:rsidR="00C20406" w:rsidRPr="006058C6" w:rsidRDefault="00C20406" w:rsidP="008C3907">
            <w:pPr>
              <w:jc w:val="center"/>
              <w:rPr>
                <w:rFonts w:ascii="仿宋_GB2312" w:hAnsi="仿宋_GB2312" w:cs="仿宋_GB2312"/>
                <w:sz w:val="24"/>
                <w:szCs w:val="24"/>
              </w:rPr>
            </w:pPr>
            <w:r w:rsidRPr="006058C6">
              <w:rPr>
                <w:rFonts w:ascii="仿宋_GB2312" w:hAnsi="仿宋_GB2312" w:cs="仿宋_GB2312" w:hint="eastAsia"/>
                <w:sz w:val="24"/>
                <w:szCs w:val="24"/>
              </w:rPr>
              <w:t>2</w:t>
            </w:r>
          </w:p>
        </w:tc>
        <w:tc>
          <w:tcPr>
            <w:tcW w:w="2102" w:type="dxa"/>
            <w:vAlign w:val="center"/>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热网水力工况实验</w:t>
            </w:r>
          </w:p>
        </w:tc>
        <w:tc>
          <w:tcPr>
            <w:tcW w:w="3381" w:type="dxa"/>
          </w:tcPr>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目的：了解热网水力工况调节</w:t>
            </w:r>
          </w:p>
          <w:p w:rsidR="00C20406" w:rsidRPr="006058C6" w:rsidRDefault="00C20406" w:rsidP="008C3907">
            <w:pPr>
              <w:snapToGrid w:val="0"/>
              <w:jc w:val="left"/>
              <w:rPr>
                <w:rFonts w:ascii="仿宋_GB2312" w:hAnsi="仿宋_GB2312" w:cs="仿宋_GB2312"/>
                <w:sz w:val="24"/>
                <w:szCs w:val="24"/>
              </w:rPr>
            </w:pPr>
            <w:r w:rsidRPr="006058C6">
              <w:rPr>
                <w:rFonts w:ascii="仿宋_GB2312" w:hAnsi="仿宋_GB2312" w:cs="仿宋_GB2312"/>
                <w:sz w:val="24"/>
                <w:szCs w:val="24"/>
              </w:rPr>
              <w:t>要求：理解并联管路阻力平衡方法；了解阀门的理想曲线和工作曲线。</w:t>
            </w:r>
          </w:p>
        </w:tc>
      </w:tr>
    </w:tbl>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本课程为专业发展课程，不设课外学时，布置一定量的作业作为对课程内容的复习巩固。考核方法为考试。</w:t>
      </w:r>
    </w:p>
    <w:p w:rsidR="00C20406" w:rsidRPr="006058C6" w:rsidRDefault="006058C6" w:rsidP="006058C6">
      <w:pPr>
        <w:pStyle w:val="ae"/>
        <w:spacing w:line="360" w:lineRule="auto"/>
        <w:ind w:left="420" w:firstLineChars="100" w:firstLine="280"/>
        <w:rPr>
          <w:rFonts w:ascii="仿宋_GB2312" w:hAnsi="仿宋_GB2312" w:cs="仿宋_GB2312"/>
          <w:sz w:val="28"/>
          <w:szCs w:val="28"/>
        </w:rPr>
      </w:pPr>
      <w:r>
        <w:rPr>
          <w:rFonts w:ascii="仿宋_GB2312" w:hAnsi="仿宋_GB2312" w:cs="仿宋_GB2312" w:hint="eastAsia"/>
          <w:sz w:val="28"/>
          <w:szCs w:val="28"/>
        </w:rPr>
        <w:t>2.</w:t>
      </w:r>
      <w:r w:rsidR="00C20406" w:rsidRPr="006058C6">
        <w:rPr>
          <w:rFonts w:ascii="仿宋_GB2312" w:hAnsi="仿宋_GB2312" w:cs="仿宋_GB2312" w:hint="eastAsia"/>
          <w:sz w:val="28"/>
          <w:szCs w:val="28"/>
        </w:rPr>
        <w:t>成绩评定</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成绩评定方式为百分制。</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bCs/>
          <w:sz w:val="28"/>
          <w:szCs w:val="28"/>
        </w:rPr>
        <w:t>课程总成绩=期末成绩70</w:t>
      </w:r>
      <w:r w:rsidRPr="006058C6">
        <w:rPr>
          <w:rFonts w:ascii="仿宋_GB2312" w:hAnsi="仿宋_GB2312" w:cs="仿宋_GB2312" w:hint="eastAsia"/>
          <w:bCs/>
          <w:sz w:val="28"/>
          <w:szCs w:val="28"/>
        </w:rPr>
        <w:t>%+平时</w:t>
      </w:r>
      <w:r w:rsidRPr="006058C6">
        <w:rPr>
          <w:rFonts w:ascii="仿宋_GB2312" w:hAnsi="仿宋_GB2312" w:cs="仿宋_GB2312"/>
          <w:bCs/>
          <w:sz w:val="28"/>
          <w:szCs w:val="28"/>
        </w:rPr>
        <w:t>成绩30</w:t>
      </w:r>
      <w:r w:rsidRPr="006058C6">
        <w:rPr>
          <w:rFonts w:ascii="仿宋_GB2312" w:hAnsi="仿宋_GB2312" w:cs="仿宋_GB2312" w:hint="eastAsia"/>
          <w:bCs/>
          <w:sz w:val="28"/>
          <w:szCs w:val="28"/>
        </w:rPr>
        <w:t>%。</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平时成绩以作业、实验报告考核为主，所占比例30%，期末考试成</w:t>
      </w:r>
      <w:r w:rsidRPr="006058C6">
        <w:rPr>
          <w:rFonts w:ascii="仿宋_GB2312" w:hAnsi="仿宋_GB2312" w:cs="仿宋_GB2312" w:hint="eastAsia"/>
          <w:bCs/>
          <w:sz w:val="28"/>
          <w:szCs w:val="28"/>
        </w:rPr>
        <w:lastRenderedPageBreak/>
        <w:t>绩占 70%</w:t>
      </w:r>
      <w:r w:rsidRPr="006058C6">
        <w:rPr>
          <w:rFonts w:ascii="仿宋_GB2312" w:hAnsi="仿宋_GB2312" w:cs="仿宋_GB2312"/>
          <w:bCs/>
          <w:sz w:val="28"/>
          <w:szCs w:val="28"/>
        </w:rPr>
        <w:t>.</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20406" w:rsidRDefault="00C20406" w:rsidP="00C2040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贺平，孙刚，王飞，等. 供热工程（第四版）[M]. 北京：中国建筑工业出版社，2009.</w:t>
      </w:r>
    </w:p>
    <w:p w:rsidR="00C20406" w:rsidRDefault="00C20406" w:rsidP="00C2040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实用供热空调设计手册（第二版），陆耀庆，中国建筑工业出版社，2006；热实用集中供热手册，李善化，中国电力出版社，2014；直埋供热管道工程设计，王飞，中国建筑工业出版社，2015.</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bCs/>
          <w:sz w:val="28"/>
          <w:szCs w:val="28"/>
        </w:rPr>
        <w:t>在开展课程达成度评价前，课程评价审核小组对课程的评价依据合理性进行确认，包括平时成绩和期末考试成绩等考核环节。课程结束后，需要对课程进行达成度评价，统计课程考核数据，并填写课程达成度评价表，以便及时了解课程的达成效果，发现问题并进行持续改进，同时也为毕业要求达成度的评价提供基础数据。课程达成度的具体评价方法如下：</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bCs/>
          <w:sz w:val="28"/>
          <w:szCs w:val="28"/>
        </w:rPr>
        <w:t>1、达成度评价对象：以班级为单位，参与本课程考核的班级全部学生；</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bCs/>
          <w:sz w:val="28"/>
          <w:szCs w:val="28"/>
        </w:rPr>
        <w:t>2、计算课程的达成度D，公式如下式所示：</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bCs/>
          <w:sz w:val="28"/>
          <w:szCs w:val="28"/>
        </w:rPr>
        <w:t>D=S·H</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bCs/>
          <w:sz w:val="28"/>
          <w:szCs w:val="28"/>
        </w:rPr>
        <w:t>其中，S是课程综合成绩的平均得分率，得分率即实际得分与满分</w:t>
      </w:r>
      <w:r w:rsidRPr="006058C6">
        <w:rPr>
          <w:rFonts w:ascii="仿宋_GB2312" w:hAnsi="仿宋_GB2312" w:cs="仿宋_GB2312"/>
          <w:bCs/>
          <w:sz w:val="28"/>
          <w:szCs w:val="28"/>
        </w:rPr>
        <w:lastRenderedPageBreak/>
        <w:t>的比值；H</w:t>
      </w:r>
      <w:r w:rsidRPr="006058C6">
        <w:rPr>
          <w:rFonts w:ascii="仿宋_GB2312" w:hAnsi="仿宋_GB2312" w:cs="仿宋_GB2312" w:hint="eastAsia"/>
          <w:bCs/>
          <w:sz w:val="28"/>
          <w:szCs w:val="28"/>
        </w:rPr>
        <w:t>∈</w:t>
      </w:r>
      <w:r w:rsidRPr="006058C6">
        <w:rPr>
          <w:rFonts w:ascii="仿宋_GB2312" w:hAnsi="仿宋_GB2312" w:cs="仿宋_GB2312"/>
          <w:bCs/>
          <w:sz w:val="28"/>
          <w:szCs w:val="28"/>
        </w:rPr>
        <w:t>{0.8,1.0,1.2}是课程的难易系数。</w:t>
      </w:r>
    </w:p>
    <w:p w:rsidR="00C20406" w:rsidRPr="006058C6" w:rsidRDefault="00C20406" w:rsidP="006058C6">
      <w:pPr>
        <w:spacing w:line="360" w:lineRule="auto"/>
        <w:ind w:firstLine="331"/>
        <w:rPr>
          <w:rFonts w:ascii="仿宋_GB2312" w:hAnsi="仿宋_GB2312" w:cs="仿宋_GB2312"/>
          <w:bCs/>
          <w:sz w:val="28"/>
          <w:szCs w:val="28"/>
        </w:rPr>
      </w:pPr>
      <w:r w:rsidRPr="006058C6">
        <w:rPr>
          <w:rFonts w:ascii="仿宋_GB2312" w:hAnsi="仿宋_GB2312" w:cs="仿宋_GB2312"/>
          <w:bCs/>
          <w:sz w:val="28"/>
          <w:szCs w:val="28"/>
        </w:rPr>
        <w:t>课程负责人提交课程达成度评价数据后，课程评价审核小组对评价数据的合理性和有效性进行审核。</w:t>
      </w:r>
    </w:p>
    <w:p w:rsidR="00C20406" w:rsidRPr="006058C6" w:rsidRDefault="00C20406" w:rsidP="006058C6">
      <w:pPr>
        <w:spacing w:line="360" w:lineRule="auto"/>
        <w:ind w:firstLine="331"/>
        <w:rPr>
          <w:rFonts w:ascii="仿宋_GB2312" w:hAnsi="仿宋_GB2312" w:cs="仿宋_GB2312"/>
          <w:bCs/>
          <w:sz w:val="28"/>
          <w:szCs w:val="28"/>
        </w:rPr>
      </w:pPr>
    </w:p>
    <w:p w:rsidR="00C20406" w:rsidRDefault="00C20406" w:rsidP="00C20406">
      <w:pPr>
        <w:spacing w:line="400" w:lineRule="exact"/>
        <w:ind w:firstLineChars="200" w:firstLine="560"/>
        <w:jc w:val="left"/>
        <w:rPr>
          <w:rFonts w:ascii="仿宋_GB2312" w:hAnsi="仿宋_GB2312" w:cs="仿宋_GB2312"/>
          <w:sz w:val="28"/>
          <w:szCs w:val="28"/>
        </w:rPr>
      </w:pP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大纲撰写人：江超</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课程负责人：江超</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20406" w:rsidRDefault="00C20406" w:rsidP="00C20406">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20406" w:rsidRDefault="00C20406" w:rsidP="00C20406">
      <w:pPr>
        <w:ind w:firstLineChars="2000" w:firstLine="5600"/>
        <w:jc w:val="left"/>
        <w:rPr>
          <w:rFonts w:ascii="仿宋" w:hAnsi="仿宋"/>
          <w:sz w:val="28"/>
          <w:szCs w:val="28"/>
        </w:rPr>
      </w:pPr>
      <w:r>
        <w:rPr>
          <w:rFonts w:ascii="仿宋_GB2312" w:hAnsi="微软雅黑" w:hint="eastAsia"/>
          <w:sz w:val="28"/>
          <w:szCs w:val="28"/>
        </w:rPr>
        <w:t xml:space="preserve">    </w:t>
      </w:r>
    </w:p>
    <w:p w:rsidR="00C20406" w:rsidRDefault="00C20406" w:rsidP="00C20406">
      <w:pPr>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年4</w:t>
      </w:r>
    </w:p>
    <w:p w:rsidR="00C20406" w:rsidRDefault="00C20406" w:rsidP="00C20406"/>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8C3907" w:rsidRDefault="008C3907" w:rsidP="008C3907">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《建筑环境测试技术》课程教学大纲</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Measurement Technology in Building Environment</w:t>
      </w:r>
    </w:p>
    <w:p w:rsidR="008C3907" w:rsidRDefault="008C3907" w:rsidP="008C3907">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Z2807140</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8C3907" w:rsidRDefault="008C3907" w:rsidP="008C3907">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授课方式：混合（线上课程占比40%）</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w:t>
      </w:r>
    </w:p>
    <w:p w:rsidR="008C3907" w:rsidRDefault="008C3907" w:rsidP="008C3907">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32</w:t>
      </w:r>
      <w:r>
        <w:rPr>
          <w:rFonts w:ascii="仿宋_GB2312" w:hAnsi="仿宋_GB2312" w:cs="仿宋_GB2312" w:hint="eastAsia"/>
          <w:bCs/>
          <w:sz w:val="28"/>
          <w:szCs w:val="28"/>
        </w:rPr>
        <w:t>学时（授课</w:t>
      </w:r>
      <w:r>
        <w:rPr>
          <w:rFonts w:ascii="仿宋_GB2312" w:hAnsi="仿宋_GB2312" w:cs="仿宋_GB2312"/>
          <w:bCs/>
          <w:sz w:val="28"/>
          <w:szCs w:val="28"/>
        </w:rPr>
        <w:t>28</w:t>
      </w:r>
      <w:r>
        <w:rPr>
          <w:rFonts w:ascii="仿宋_GB2312" w:hAnsi="仿宋_GB2312" w:cs="仿宋_GB2312" w:hint="eastAsia"/>
          <w:bCs/>
          <w:sz w:val="28"/>
          <w:szCs w:val="28"/>
        </w:rPr>
        <w:t>学时，实验</w:t>
      </w:r>
      <w:r>
        <w:rPr>
          <w:rFonts w:ascii="仿宋_GB2312" w:hAnsi="仿宋_GB2312" w:cs="仿宋_GB2312"/>
          <w:bCs/>
          <w:sz w:val="28"/>
          <w:szCs w:val="28"/>
        </w:rPr>
        <w:t>4</w:t>
      </w:r>
      <w:r>
        <w:rPr>
          <w:rFonts w:ascii="仿宋_GB2312" w:hAnsi="仿宋_GB2312" w:cs="仿宋_GB2312" w:hint="eastAsia"/>
          <w:bCs/>
          <w:sz w:val="28"/>
          <w:szCs w:val="28"/>
        </w:rPr>
        <w:t>学时）</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先修课程：工程热力学、流体力学、传热学等</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建筑环境测试技术课程是建筑环境与能源应用工程专业的一门主要专业基础课程，主要讲述建筑环境与能源应用工程专业常遇到的温度、压力、湿度、流速、流量、液位、环境噪声、照度、环境中放射性等参量的基本测量方法、测试仪表的原理及应用，为学生将来从事设计、安装、运行管理及科学研究打下坚实的基础。</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8C3907" w:rsidRPr="006058C6" w:rsidRDefault="008C3907" w:rsidP="006058C6">
      <w:pPr>
        <w:spacing w:line="360" w:lineRule="auto"/>
        <w:ind w:firstLineChars="200" w:firstLine="560"/>
        <w:jc w:val="left"/>
        <w:rPr>
          <w:rFonts w:ascii="仿宋_GB2312" w:hAnsi="仿宋_GB2312" w:cs="仿宋_GB2312"/>
          <w:bCs/>
          <w:sz w:val="28"/>
          <w:szCs w:val="28"/>
        </w:rPr>
      </w:pPr>
      <w:r w:rsidRPr="006058C6">
        <w:rPr>
          <w:rFonts w:ascii="仿宋_GB2312" w:hAnsi="仿宋_GB2312" w:cs="仿宋_GB2312" w:hint="eastAsia"/>
          <w:bCs/>
          <w:sz w:val="28"/>
          <w:szCs w:val="28"/>
        </w:rPr>
        <w:lastRenderedPageBreak/>
        <w:t>本课程共分3篇，13章，其中第1篇为测试技术基础，包括第1、2章；第2篇为测量仪表，包括第3-11章；第3篇为测试技术，包括第12、13章。主要讲授测量的概念，测量方法分类，测量误差产生的原因及分类，测量误差的特点，测温原理及温标，热电偶测温技术，热电阻测温技术，湿度测量原理，压力测量分类，流量测量方法及分类，热流密度测量，建筑能耗测量技术，通风空调系统风量测量技术，空气冷却器和加热器的性能测量技术，空调机组性能测量技术。</w:t>
      </w:r>
    </w:p>
    <w:p w:rsidR="008C3907" w:rsidRDefault="008C3907" w:rsidP="006058C6">
      <w:pPr>
        <w:numPr>
          <w:ilvl w:val="0"/>
          <w:numId w:val="65"/>
        </w:numPr>
        <w:spacing w:line="360" w:lineRule="auto"/>
        <w:rPr>
          <w:rFonts w:ascii="仿宋_GB2312" w:hAnsi="仿宋_GB2312" w:cs="仿宋_GB2312"/>
          <w:sz w:val="28"/>
          <w:szCs w:val="28"/>
        </w:rPr>
      </w:pPr>
      <w:r>
        <w:rPr>
          <w:rFonts w:ascii="仿宋_GB2312" w:hAnsi="仿宋_GB2312" w:cs="仿宋_GB2312" w:hint="eastAsia"/>
          <w:sz w:val="28"/>
          <w:szCs w:val="28"/>
        </w:rPr>
        <w:t>课程基本要求</w:t>
      </w:r>
    </w:p>
    <w:p w:rsidR="008C3907" w:rsidRDefault="008C3907" w:rsidP="008C3907">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8C3907" w:rsidRPr="006058C6" w:rsidRDefault="008C3907" w:rsidP="006058C6">
      <w:pPr>
        <w:spacing w:line="360" w:lineRule="auto"/>
        <w:ind w:firstLineChars="200" w:firstLine="560"/>
        <w:jc w:val="left"/>
        <w:rPr>
          <w:rFonts w:ascii="仿宋_GB2312" w:hAnsi="仿宋_GB2312" w:cs="仿宋_GB2312"/>
          <w:bCs/>
          <w:sz w:val="28"/>
          <w:szCs w:val="28"/>
        </w:rPr>
      </w:pPr>
      <w:r w:rsidRPr="006058C6">
        <w:rPr>
          <w:rFonts w:ascii="仿宋_GB2312" w:hAnsi="仿宋_GB2312" w:cs="仿宋_GB2312" w:hint="eastAsia"/>
          <w:bCs/>
          <w:sz w:val="28"/>
          <w:szCs w:val="28"/>
        </w:rPr>
        <w:t>通过学习，使学生掌握建筑环境测试的基本方法、测试仪表的原理及应用，能够正确地选择、使用常用仪器仪表对建筑环境不同参数开展测量工作，对测量结果具有一定的数据处理能力。</w:t>
      </w:r>
    </w:p>
    <w:p w:rsidR="008C3907" w:rsidRDefault="008C3907" w:rsidP="006058C6">
      <w:pPr>
        <w:spacing w:line="360" w:lineRule="auto"/>
        <w:ind w:firstLineChars="200" w:firstLine="560"/>
        <w:jc w:val="left"/>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p w:rsidR="008C3907" w:rsidRDefault="008C3907" w:rsidP="008C3907">
      <w:pPr>
        <w:pStyle w:val="a6"/>
        <w:snapToGrid w:val="0"/>
        <w:spacing w:line="360" w:lineRule="auto"/>
        <w:jc w:val="center"/>
        <w:rPr>
          <w:rFonts w:ascii="仿宋" w:eastAsia="仿宋" w:hAnsi="仿宋"/>
          <w:sz w:val="28"/>
          <w:szCs w:val="28"/>
        </w:rPr>
      </w:pPr>
      <w:r>
        <w:rPr>
          <w:rFonts w:ascii="仿宋" w:eastAsia="仿宋" w:hAnsi="仿宋"/>
          <w:sz w:val="28"/>
          <w:szCs w:val="28"/>
        </w:rPr>
        <w:t>毕业要求与课程设置对应矩阵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652"/>
        <w:gridCol w:w="531"/>
        <w:gridCol w:w="236"/>
        <w:gridCol w:w="321"/>
        <w:gridCol w:w="315"/>
        <w:gridCol w:w="321"/>
        <w:gridCol w:w="315"/>
        <w:gridCol w:w="321"/>
        <w:gridCol w:w="315"/>
        <w:gridCol w:w="321"/>
        <w:gridCol w:w="315"/>
        <w:gridCol w:w="321"/>
        <w:gridCol w:w="315"/>
        <w:gridCol w:w="240"/>
        <w:gridCol w:w="531"/>
        <w:gridCol w:w="531"/>
        <w:gridCol w:w="531"/>
        <w:gridCol w:w="531"/>
        <w:gridCol w:w="531"/>
      </w:tblGrid>
      <w:tr w:rsidR="008C3907" w:rsidTr="008C3907">
        <w:trPr>
          <w:trHeight w:val="320"/>
        </w:trPr>
        <w:tc>
          <w:tcPr>
            <w:tcW w:w="745" w:type="pct"/>
            <w:vMerge w:val="restar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课程性质</w:t>
            </w:r>
          </w:p>
        </w:tc>
        <w:tc>
          <w:tcPr>
            <w:tcW w:w="654" w:type="pct"/>
            <w:vMerge w:val="restar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课程名称</w:t>
            </w:r>
          </w:p>
        </w:tc>
        <w:tc>
          <w:tcPr>
            <w:tcW w:w="3601" w:type="pct"/>
            <w:gridSpan w:val="18"/>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毕业要求</w:t>
            </w:r>
          </w:p>
        </w:tc>
      </w:tr>
      <w:tr w:rsidR="008C3907" w:rsidTr="008C3907">
        <w:tc>
          <w:tcPr>
            <w:tcW w:w="745" w:type="pct"/>
            <w:vMerge/>
            <w:shd w:val="clear" w:color="auto" w:fill="auto"/>
            <w:vAlign w:val="center"/>
          </w:tcPr>
          <w:p w:rsidR="008C3907" w:rsidRDefault="008C3907" w:rsidP="008C3907">
            <w:pPr>
              <w:pStyle w:val="a6"/>
              <w:snapToGrid w:val="0"/>
              <w:jc w:val="center"/>
              <w:rPr>
                <w:rFonts w:ascii="仿宋" w:eastAsia="仿宋" w:hAnsi="仿宋"/>
              </w:rPr>
            </w:pPr>
          </w:p>
        </w:tc>
        <w:tc>
          <w:tcPr>
            <w:tcW w:w="654" w:type="pct"/>
            <w:vMerge/>
            <w:shd w:val="clear" w:color="auto" w:fill="auto"/>
            <w:vAlign w:val="center"/>
          </w:tcPr>
          <w:p w:rsidR="008C3907" w:rsidRDefault="008C3907" w:rsidP="008C3907">
            <w:pPr>
              <w:pStyle w:val="a6"/>
              <w:snapToGrid w:val="0"/>
              <w:jc w:val="center"/>
              <w:rPr>
                <w:rFonts w:ascii="仿宋" w:eastAsia="仿宋" w:hAnsi="仿宋"/>
              </w:rPr>
            </w:pPr>
          </w:p>
        </w:tc>
        <w:tc>
          <w:tcPr>
            <w:tcW w:w="915" w:type="pct"/>
            <w:gridSpan w:val="5"/>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w:t>
            </w:r>
          </w:p>
        </w:tc>
        <w:tc>
          <w:tcPr>
            <w:tcW w:w="1011" w:type="pct"/>
            <w:gridSpan w:val="6"/>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2</w:t>
            </w:r>
          </w:p>
        </w:tc>
        <w:tc>
          <w:tcPr>
            <w:tcW w:w="853" w:type="pct"/>
            <w:gridSpan w:val="4"/>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3</w:t>
            </w:r>
          </w:p>
        </w:tc>
        <w:tc>
          <w:tcPr>
            <w:tcW w:w="822" w:type="pct"/>
            <w:gridSpan w:val="3"/>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4</w:t>
            </w:r>
          </w:p>
        </w:tc>
      </w:tr>
      <w:tr w:rsidR="008C3907" w:rsidTr="008C3907">
        <w:tc>
          <w:tcPr>
            <w:tcW w:w="745" w:type="pct"/>
            <w:vMerge/>
            <w:shd w:val="clear" w:color="auto" w:fill="auto"/>
            <w:vAlign w:val="center"/>
          </w:tcPr>
          <w:p w:rsidR="008C3907" w:rsidRDefault="008C3907" w:rsidP="008C3907">
            <w:pPr>
              <w:pStyle w:val="a6"/>
              <w:snapToGrid w:val="0"/>
              <w:jc w:val="center"/>
              <w:rPr>
                <w:rFonts w:ascii="仿宋" w:eastAsia="仿宋" w:hAnsi="仿宋"/>
              </w:rPr>
            </w:pPr>
          </w:p>
        </w:tc>
        <w:tc>
          <w:tcPr>
            <w:tcW w:w="654" w:type="pct"/>
            <w:vMerge/>
            <w:shd w:val="clear" w:color="auto" w:fill="auto"/>
            <w:vAlign w:val="center"/>
          </w:tcPr>
          <w:p w:rsidR="008C3907" w:rsidRDefault="008C3907" w:rsidP="008C3907">
            <w:pPr>
              <w:pStyle w:val="a6"/>
              <w:snapToGrid w:val="0"/>
              <w:jc w:val="center"/>
              <w:rPr>
                <w:rFonts w:ascii="仿宋" w:eastAsia="仿宋" w:hAnsi="仿宋"/>
              </w:rPr>
            </w:pP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1</w:t>
            </w:r>
            <w:r>
              <w:rPr>
                <w:rFonts w:ascii="仿宋" w:eastAsia="仿宋" w:hAnsi="仿宋" w:hint="eastAsia"/>
                <w:kern w:val="0"/>
                <w:sz w:val="21"/>
                <w:szCs w:val="21"/>
              </w:rPr>
              <w:t>.1</w:t>
            </w:r>
          </w:p>
        </w:tc>
        <w:tc>
          <w:tcPr>
            <w:tcW w:w="305"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w:t>
            </w:r>
            <w:r>
              <w:rPr>
                <w:rFonts w:ascii="仿宋" w:eastAsia="仿宋" w:hAnsi="仿宋"/>
                <w:kern w:val="0"/>
                <w:sz w:val="21"/>
                <w:szCs w:val="21"/>
              </w:rPr>
              <w:t>2</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w:t>
            </w:r>
            <w:r>
              <w:rPr>
                <w:rFonts w:ascii="仿宋" w:eastAsia="仿宋" w:hAnsi="仿宋"/>
                <w:kern w:val="0"/>
                <w:sz w:val="21"/>
                <w:szCs w:val="21"/>
              </w:rPr>
              <w:t>3</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2.1</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2.</w:t>
            </w:r>
            <w:r>
              <w:rPr>
                <w:rFonts w:ascii="仿宋" w:eastAsia="仿宋" w:hAnsi="仿宋"/>
                <w:kern w:val="0"/>
                <w:sz w:val="21"/>
                <w:szCs w:val="21"/>
              </w:rPr>
              <w:t>2</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2.</w:t>
            </w:r>
            <w:r>
              <w:rPr>
                <w:rFonts w:ascii="仿宋" w:eastAsia="仿宋" w:hAnsi="仿宋"/>
                <w:kern w:val="0"/>
                <w:sz w:val="21"/>
                <w:szCs w:val="21"/>
              </w:rPr>
              <w:t>3</w:t>
            </w:r>
          </w:p>
        </w:tc>
        <w:tc>
          <w:tcPr>
            <w:tcW w:w="305"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3.1</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3.</w:t>
            </w:r>
            <w:r>
              <w:rPr>
                <w:rFonts w:ascii="仿宋" w:eastAsia="仿宋" w:hAnsi="仿宋"/>
                <w:kern w:val="0"/>
                <w:sz w:val="21"/>
                <w:szCs w:val="21"/>
              </w:rPr>
              <w:t>2</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3.</w:t>
            </w:r>
            <w:r>
              <w:rPr>
                <w:rFonts w:ascii="仿宋" w:eastAsia="仿宋" w:hAnsi="仿宋"/>
                <w:kern w:val="0"/>
                <w:sz w:val="21"/>
                <w:szCs w:val="21"/>
              </w:rPr>
              <w:t>3</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4.1</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4.</w:t>
            </w:r>
            <w:r>
              <w:rPr>
                <w:rFonts w:ascii="仿宋" w:eastAsia="仿宋" w:hAnsi="仿宋"/>
                <w:kern w:val="0"/>
                <w:sz w:val="21"/>
                <w:szCs w:val="21"/>
              </w:rPr>
              <w:t>2</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4.</w:t>
            </w:r>
            <w:r>
              <w:rPr>
                <w:rFonts w:ascii="仿宋" w:eastAsia="仿宋" w:hAnsi="仿宋"/>
                <w:kern w:val="0"/>
                <w:sz w:val="21"/>
                <w:szCs w:val="21"/>
              </w:rPr>
              <w:t>3</w:t>
            </w:r>
          </w:p>
        </w:tc>
      </w:tr>
      <w:tr w:rsidR="008C3907" w:rsidTr="008C3907">
        <w:tc>
          <w:tcPr>
            <w:tcW w:w="745" w:type="pct"/>
            <w:shd w:val="clear" w:color="auto" w:fill="auto"/>
            <w:vAlign w:val="center"/>
          </w:tcPr>
          <w:p w:rsidR="008C3907" w:rsidRDefault="008C3907" w:rsidP="008C3907">
            <w:pPr>
              <w:pStyle w:val="a6"/>
              <w:snapToGrid w:val="0"/>
              <w:jc w:val="center"/>
              <w:rPr>
                <w:rFonts w:ascii="仿宋" w:eastAsia="仿宋" w:hAnsi="仿宋"/>
              </w:rPr>
            </w:pPr>
            <w:r>
              <w:rPr>
                <w:rFonts w:ascii="Times New Roman" w:eastAsia="仿宋" w:hAnsi="Times New Roman"/>
                <w:sz w:val="24"/>
                <w:szCs w:val="24"/>
              </w:rPr>
              <w:t>专业发展选修课</w:t>
            </w:r>
          </w:p>
        </w:tc>
        <w:tc>
          <w:tcPr>
            <w:tcW w:w="654" w:type="pct"/>
            <w:shd w:val="clear" w:color="auto" w:fill="auto"/>
            <w:vAlign w:val="center"/>
          </w:tcPr>
          <w:p w:rsidR="008C3907" w:rsidRDefault="008C3907" w:rsidP="008C3907">
            <w:pPr>
              <w:pStyle w:val="a6"/>
              <w:snapToGrid w:val="0"/>
              <w:jc w:val="center"/>
              <w:rPr>
                <w:rFonts w:ascii="仿宋" w:eastAsia="仿宋" w:hAnsi="仿宋"/>
              </w:rPr>
            </w:pPr>
            <w:r>
              <w:rPr>
                <w:rFonts w:ascii="Times New Roman" w:eastAsia="仿宋" w:hAnsi="Times New Roman"/>
                <w:sz w:val="24"/>
                <w:szCs w:val="24"/>
              </w:rPr>
              <w:t>建筑环境测试技术</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M</w:t>
            </w:r>
          </w:p>
        </w:tc>
        <w:tc>
          <w:tcPr>
            <w:tcW w:w="305"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M</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M</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M</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c>
          <w:tcPr>
            <w:tcW w:w="305"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H</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r>
      <w:tr w:rsidR="008C3907" w:rsidTr="008C3907">
        <w:trPr>
          <w:trHeight w:val="349"/>
        </w:trPr>
        <w:tc>
          <w:tcPr>
            <w:tcW w:w="745" w:type="pct"/>
            <w:vMerge w:val="restar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课程性质</w:t>
            </w:r>
          </w:p>
        </w:tc>
        <w:tc>
          <w:tcPr>
            <w:tcW w:w="654" w:type="pct"/>
            <w:vMerge w:val="restar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课程名称</w:t>
            </w:r>
          </w:p>
        </w:tc>
        <w:tc>
          <w:tcPr>
            <w:tcW w:w="3601" w:type="pct"/>
            <w:gridSpan w:val="18"/>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毕业要求</w:t>
            </w:r>
          </w:p>
        </w:tc>
      </w:tr>
      <w:tr w:rsidR="008C3907" w:rsidTr="008C3907">
        <w:tc>
          <w:tcPr>
            <w:tcW w:w="745" w:type="pct"/>
            <w:vMerge/>
            <w:shd w:val="clear" w:color="auto" w:fill="auto"/>
            <w:vAlign w:val="center"/>
          </w:tcPr>
          <w:p w:rsidR="008C3907" w:rsidRDefault="008C3907" w:rsidP="008C3907">
            <w:pPr>
              <w:pStyle w:val="a6"/>
              <w:snapToGrid w:val="0"/>
              <w:jc w:val="center"/>
              <w:rPr>
                <w:rFonts w:ascii="仿宋" w:eastAsia="仿宋" w:hAnsi="仿宋"/>
              </w:rPr>
            </w:pPr>
          </w:p>
        </w:tc>
        <w:tc>
          <w:tcPr>
            <w:tcW w:w="654" w:type="pct"/>
            <w:vMerge/>
            <w:shd w:val="clear" w:color="auto" w:fill="auto"/>
            <w:vAlign w:val="center"/>
          </w:tcPr>
          <w:p w:rsidR="008C3907" w:rsidRDefault="008C3907" w:rsidP="008C3907">
            <w:pPr>
              <w:pStyle w:val="a6"/>
              <w:snapToGrid w:val="0"/>
              <w:jc w:val="center"/>
              <w:rPr>
                <w:rFonts w:ascii="仿宋" w:eastAsia="仿宋" w:hAnsi="仿宋"/>
              </w:rPr>
            </w:pPr>
          </w:p>
        </w:tc>
        <w:tc>
          <w:tcPr>
            <w:tcW w:w="915" w:type="pct"/>
            <w:gridSpan w:val="5"/>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5</w:t>
            </w:r>
          </w:p>
        </w:tc>
        <w:tc>
          <w:tcPr>
            <w:tcW w:w="674" w:type="pct"/>
            <w:gridSpan w:val="4"/>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6</w:t>
            </w:r>
          </w:p>
        </w:tc>
        <w:tc>
          <w:tcPr>
            <w:tcW w:w="642" w:type="pct"/>
            <w:gridSpan w:val="4"/>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7</w:t>
            </w:r>
          </w:p>
        </w:tc>
        <w:tc>
          <w:tcPr>
            <w:tcW w:w="822" w:type="pct"/>
            <w:gridSpan w:val="3"/>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8</w:t>
            </w:r>
          </w:p>
        </w:tc>
        <w:tc>
          <w:tcPr>
            <w:tcW w:w="548"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9</w:t>
            </w:r>
          </w:p>
        </w:tc>
      </w:tr>
      <w:tr w:rsidR="008C3907" w:rsidTr="008C3907">
        <w:tc>
          <w:tcPr>
            <w:tcW w:w="745" w:type="pct"/>
            <w:vMerge/>
            <w:shd w:val="clear" w:color="auto" w:fill="auto"/>
            <w:vAlign w:val="center"/>
          </w:tcPr>
          <w:p w:rsidR="008C3907" w:rsidRDefault="008C3907" w:rsidP="008C3907">
            <w:pPr>
              <w:pStyle w:val="a6"/>
              <w:snapToGrid w:val="0"/>
              <w:jc w:val="center"/>
              <w:rPr>
                <w:rFonts w:ascii="仿宋" w:eastAsia="仿宋" w:hAnsi="仿宋"/>
              </w:rPr>
            </w:pPr>
          </w:p>
        </w:tc>
        <w:tc>
          <w:tcPr>
            <w:tcW w:w="654" w:type="pct"/>
            <w:vMerge/>
            <w:shd w:val="clear" w:color="auto" w:fill="auto"/>
            <w:vAlign w:val="center"/>
          </w:tcPr>
          <w:p w:rsidR="008C3907" w:rsidRDefault="008C3907" w:rsidP="008C3907">
            <w:pPr>
              <w:pStyle w:val="a6"/>
              <w:snapToGrid w:val="0"/>
              <w:jc w:val="center"/>
              <w:rPr>
                <w:rFonts w:ascii="仿宋" w:eastAsia="仿宋" w:hAnsi="仿宋"/>
              </w:rPr>
            </w:pP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5.1</w:t>
            </w:r>
          </w:p>
        </w:tc>
        <w:tc>
          <w:tcPr>
            <w:tcW w:w="305"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5.</w:t>
            </w:r>
            <w:r>
              <w:rPr>
                <w:rFonts w:ascii="仿宋" w:eastAsia="仿宋" w:hAnsi="仿宋"/>
                <w:kern w:val="0"/>
                <w:sz w:val="21"/>
                <w:szCs w:val="21"/>
              </w:rPr>
              <w:t>2</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5.</w:t>
            </w:r>
            <w:r>
              <w:rPr>
                <w:rFonts w:ascii="仿宋" w:eastAsia="仿宋" w:hAnsi="仿宋"/>
                <w:kern w:val="0"/>
                <w:sz w:val="21"/>
                <w:szCs w:val="21"/>
              </w:rPr>
              <w:t>3</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6.1</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6.</w:t>
            </w:r>
            <w:r>
              <w:rPr>
                <w:rFonts w:ascii="仿宋" w:eastAsia="仿宋" w:hAnsi="仿宋"/>
                <w:kern w:val="0"/>
                <w:sz w:val="21"/>
                <w:szCs w:val="21"/>
              </w:rPr>
              <w:t>2</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7.1</w:t>
            </w:r>
          </w:p>
        </w:tc>
        <w:tc>
          <w:tcPr>
            <w:tcW w:w="305"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7.2</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8.1</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8.2</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8.3</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9.1</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9.2</w:t>
            </w:r>
          </w:p>
        </w:tc>
      </w:tr>
      <w:tr w:rsidR="008C3907" w:rsidTr="008C3907">
        <w:tc>
          <w:tcPr>
            <w:tcW w:w="745" w:type="pct"/>
            <w:shd w:val="clear" w:color="auto" w:fill="auto"/>
            <w:vAlign w:val="center"/>
          </w:tcPr>
          <w:p w:rsidR="008C3907" w:rsidRDefault="008C3907" w:rsidP="008C3907">
            <w:pPr>
              <w:pStyle w:val="a6"/>
              <w:snapToGrid w:val="0"/>
              <w:jc w:val="center"/>
              <w:rPr>
                <w:rFonts w:ascii="仿宋" w:eastAsia="仿宋" w:hAnsi="仿宋"/>
              </w:rPr>
            </w:pPr>
            <w:r>
              <w:rPr>
                <w:rFonts w:ascii="Times New Roman" w:eastAsia="仿宋" w:hAnsi="Times New Roman"/>
                <w:sz w:val="24"/>
                <w:szCs w:val="24"/>
              </w:rPr>
              <w:t>专业</w:t>
            </w:r>
            <w:r>
              <w:rPr>
                <w:rFonts w:ascii="Times New Roman" w:eastAsia="仿宋" w:hAnsi="Times New Roman"/>
                <w:sz w:val="24"/>
                <w:szCs w:val="24"/>
              </w:rPr>
              <w:lastRenderedPageBreak/>
              <w:t>发展选修课</w:t>
            </w:r>
          </w:p>
        </w:tc>
        <w:tc>
          <w:tcPr>
            <w:tcW w:w="654" w:type="pct"/>
            <w:shd w:val="clear" w:color="auto" w:fill="auto"/>
            <w:vAlign w:val="center"/>
          </w:tcPr>
          <w:p w:rsidR="008C3907" w:rsidRDefault="008C3907" w:rsidP="008C3907">
            <w:pPr>
              <w:pStyle w:val="a6"/>
              <w:snapToGrid w:val="0"/>
              <w:jc w:val="center"/>
              <w:rPr>
                <w:rFonts w:ascii="仿宋" w:eastAsia="仿宋" w:hAnsi="仿宋"/>
              </w:rPr>
            </w:pPr>
            <w:r>
              <w:rPr>
                <w:rFonts w:ascii="Times New Roman" w:eastAsia="仿宋" w:hAnsi="Times New Roman"/>
                <w:sz w:val="24"/>
                <w:szCs w:val="24"/>
              </w:rPr>
              <w:lastRenderedPageBreak/>
              <w:t>建</w:t>
            </w:r>
            <w:r>
              <w:rPr>
                <w:rFonts w:ascii="Times New Roman" w:eastAsia="仿宋" w:hAnsi="Times New Roman"/>
                <w:sz w:val="24"/>
                <w:szCs w:val="24"/>
              </w:rPr>
              <w:lastRenderedPageBreak/>
              <w:t>筑环境测试技术</w:t>
            </w: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lastRenderedPageBreak/>
              <w:t>M</w:t>
            </w:r>
          </w:p>
        </w:tc>
        <w:tc>
          <w:tcPr>
            <w:tcW w:w="305"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M</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305"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274" w:type="pct"/>
            <w:shd w:val="clear" w:color="auto" w:fill="auto"/>
            <w:vAlign w:val="center"/>
          </w:tcPr>
          <w:p w:rsidR="008C3907" w:rsidRDefault="008C3907" w:rsidP="008C3907">
            <w:pPr>
              <w:widowControl/>
              <w:snapToGrid w:val="0"/>
              <w:jc w:val="center"/>
              <w:rPr>
                <w:rFonts w:ascii="仿宋" w:eastAsia="仿宋" w:hAnsi="仿宋"/>
                <w:kern w:val="0"/>
                <w:sz w:val="21"/>
                <w:szCs w:val="21"/>
              </w:rPr>
            </w:pPr>
          </w:p>
        </w:tc>
      </w:tr>
      <w:tr w:rsidR="008C3907" w:rsidTr="008C3907">
        <w:trPr>
          <w:trHeight w:val="319"/>
        </w:trPr>
        <w:tc>
          <w:tcPr>
            <w:tcW w:w="745" w:type="pct"/>
            <w:vMerge w:val="restar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课程性质</w:t>
            </w:r>
          </w:p>
        </w:tc>
        <w:tc>
          <w:tcPr>
            <w:tcW w:w="654" w:type="pct"/>
            <w:vMerge w:val="restart"/>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课程名称</w:t>
            </w:r>
          </w:p>
        </w:tc>
        <w:tc>
          <w:tcPr>
            <w:tcW w:w="3601" w:type="pct"/>
            <w:gridSpan w:val="18"/>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kern w:val="0"/>
                <w:sz w:val="21"/>
                <w:szCs w:val="21"/>
              </w:rPr>
              <w:t>毕业要求</w:t>
            </w:r>
          </w:p>
        </w:tc>
      </w:tr>
      <w:tr w:rsidR="008C3907" w:rsidTr="008C3907">
        <w:tc>
          <w:tcPr>
            <w:tcW w:w="745" w:type="pct"/>
            <w:vMerge/>
            <w:shd w:val="clear" w:color="auto" w:fill="auto"/>
            <w:vAlign w:val="center"/>
          </w:tcPr>
          <w:p w:rsidR="008C3907" w:rsidRDefault="008C3907" w:rsidP="008C3907">
            <w:pPr>
              <w:pStyle w:val="a6"/>
              <w:snapToGrid w:val="0"/>
              <w:jc w:val="center"/>
              <w:rPr>
                <w:rFonts w:ascii="仿宋" w:eastAsia="仿宋" w:hAnsi="仿宋"/>
              </w:rPr>
            </w:pPr>
          </w:p>
        </w:tc>
        <w:tc>
          <w:tcPr>
            <w:tcW w:w="654" w:type="pct"/>
            <w:vMerge/>
            <w:shd w:val="clear" w:color="auto" w:fill="auto"/>
            <w:vAlign w:val="center"/>
          </w:tcPr>
          <w:p w:rsidR="008C3907" w:rsidRDefault="008C3907" w:rsidP="008C3907">
            <w:pPr>
              <w:pStyle w:val="a6"/>
              <w:snapToGrid w:val="0"/>
              <w:jc w:val="center"/>
              <w:rPr>
                <w:rFonts w:ascii="仿宋" w:eastAsia="仿宋" w:hAnsi="仿宋"/>
              </w:rPr>
            </w:pPr>
          </w:p>
        </w:tc>
        <w:tc>
          <w:tcPr>
            <w:tcW w:w="746" w:type="pct"/>
            <w:gridSpan w:val="4"/>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10</w:t>
            </w:r>
          </w:p>
        </w:tc>
        <w:tc>
          <w:tcPr>
            <w:tcW w:w="674" w:type="pct"/>
            <w:gridSpan w:val="4"/>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11</w:t>
            </w:r>
          </w:p>
        </w:tc>
        <w:tc>
          <w:tcPr>
            <w:tcW w:w="674" w:type="pct"/>
            <w:gridSpan w:val="4"/>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12</w:t>
            </w:r>
          </w:p>
        </w:tc>
        <w:tc>
          <w:tcPr>
            <w:tcW w:w="1507" w:type="pct"/>
            <w:gridSpan w:val="6"/>
            <w:vMerge w:val="restart"/>
            <w:shd w:val="clear" w:color="auto" w:fill="auto"/>
            <w:vAlign w:val="center"/>
          </w:tcPr>
          <w:p w:rsidR="008C3907" w:rsidRDefault="008C3907" w:rsidP="008C3907">
            <w:pPr>
              <w:snapToGrid w:val="0"/>
              <w:jc w:val="center"/>
              <w:rPr>
                <w:rFonts w:ascii="仿宋" w:eastAsia="仿宋" w:hAnsi="仿宋"/>
                <w:kern w:val="0"/>
                <w:sz w:val="21"/>
                <w:szCs w:val="21"/>
              </w:rPr>
            </w:pPr>
          </w:p>
        </w:tc>
      </w:tr>
      <w:tr w:rsidR="008C3907" w:rsidTr="008C3907">
        <w:tc>
          <w:tcPr>
            <w:tcW w:w="745" w:type="pct"/>
            <w:vMerge/>
            <w:shd w:val="clear" w:color="auto" w:fill="auto"/>
            <w:vAlign w:val="center"/>
          </w:tcPr>
          <w:p w:rsidR="008C3907" w:rsidRDefault="008C3907" w:rsidP="008C3907">
            <w:pPr>
              <w:pStyle w:val="a6"/>
              <w:snapToGrid w:val="0"/>
              <w:jc w:val="center"/>
              <w:rPr>
                <w:rFonts w:ascii="仿宋" w:eastAsia="仿宋" w:hAnsi="仿宋"/>
              </w:rPr>
            </w:pPr>
          </w:p>
        </w:tc>
        <w:tc>
          <w:tcPr>
            <w:tcW w:w="654" w:type="pct"/>
            <w:vMerge/>
            <w:shd w:val="clear" w:color="auto" w:fill="auto"/>
            <w:vAlign w:val="center"/>
          </w:tcPr>
          <w:p w:rsidR="008C3907" w:rsidRDefault="008C3907" w:rsidP="008C3907">
            <w:pPr>
              <w:pStyle w:val="a6"/>
              <w:snapToGrid w:val="0"/>
              <w:jc w:val="center"/>
              <w:rPr>
                <w:rFonts w:ascii="仿宋" w:eastAsia="仿宋" w:hAnsi="仿宋"/>
              </w:rPr>
            </w:pPr>
          </w:p>
        </w:tc>
        <w:tc>
          <w:tcPr>
            <w:tcW w:w="409"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10.1</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10.</w:t>
            </w:r>
            <w:r>
              <w:rPr>
                <w:rFonts w:ascii="仿宋" w:eastAsia="仿宋" w:hAnsi="仿宋"/>
                <w:kern w:val="0"/>
                <w:sz w:val="21"/>
                <w:szCs w:val="21"/>
              </w:rPr>
              <w:t>2</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11.1</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11.2</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12.1</w:t>
            </w: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r>
              <w:rPr>
                <w:rFonts w:ascii="仿宋" w:eastAsia="仿宋" w:hAnsi="仿宋" w:hint="eastAsia"/>
                <w:kern w:val="0"/>
                <w:sz w:val="21"/>
                <w:szCs w:val="21"/>
              </w:rPr>
              <w:t>12.2</w:t>
            </w:r>
          </w:p>
        </w:tc>
        <w:tc>
          <w:tcPr>
            <w:tcW w:w="1507" w:type="pct"/>
            <w:gridSpan w:val="6"/>
            <w:vMerge/>
            <w:shd w:val="clear" w:color="auto" w:fill="auto"/>
            <w:vAlign w:val="center"/>
          </w:tcPr>
          <w:p w:rsidR="008C3907" w:rsidRDefault="008C3907" w:rsidP="008C3907">
            <w:pPr>
              <w:snapToGrid w:val="0"/>
              <w:jc w:val="center"/>
              <w:rPr>
                <w:rFonts w:ascii="仿宋" w:eastAsia="仿宋" w:hAnsi="仿宋"/>
                <w:kern w:val="0"/>
                <w:sz w:val="21"/>
                <w:szCs w:val="21"/>
              </w:rPr>
            </w:pPr>
          </w:p>
        </w:tc>
      </w:tr>
      <w:tr w:rsidR="008C3907" w:rsidTr="008C3907">
        <w:tc>
          <w:tcPr>
            <w:tcW w:w="745" w:type="pct"/>
            <w:shd w:val="clear" w:color="auto" w:fill="auto"/>
            <w:vAlign w:val="center"/>
          </w:tcPr>
          <w:p w:rsidR="008C3907" w:rsidRDefault="008C3907" w:rsidP="008C3907">
            <w:pPr>
              <w:pStyle w:val="a6"/>
              <w:snapToGrid w:val="0"/>
              <w:jc w:val="center"/>
              <w:rPr>
                <w:rFonts w:ascii="仿宋" w:eastAsia="仿宋" w:hAnsi="仿宋"/>
              </w:rPr>
            </w:pPr>
            <w:r>
              <w:rPr>
                <w:rFonts w:ascii="Times New Roman" w:eastAsia="仿宋" w:hAnsi="Times New Roman"/>
                <w:sz w:val="24"/>
                <w:szCs w:val="24"/>
              </w:rPr>
              <w:t>专业发展选修课</w:t>
            </w:r>
          </w:p>
        </w:tc>
        <w:tc>
          <w:tcPr>
            <w:tcW w:w="654" w:type="pct"/>
            <w:shd w:val="clear" w:color="auto" w:fill="auto"/>
            <w:vAlign w:val="center"/>
          </w:tcPr>
          <w:p w:rsidR="008C3907" w:rsidRDefault="008C3907" w:rsidP="008C3907">
            <w:pPr>
              <w:pStyle w:val="a6"/>
              <w:snapToGrid w:val="0"/>
              <w:jc w:val="center"/>
              <w:rPr>
                <w:rFonts w:ascii="仿宋" w:eastAsia="仿宋" w:hAnsi="仿宋"/>
              </w:rPr>
            </w:pPr>
            <w:r>
              <w:rPr>
                <w:rFonts w:ascii="Times New Roman" w:eastAsia="仿宋" w:hAnsi="Times New Roman"/>
                <w:sz w:val="24"/>
                <w:szCs w:val="24"/>
              </w:rPr>
              <w:t>建筑环境测试技术</w:t>
            </w:r>
          </w:p>
        </w:tc>
        <w:tc>
          <w:tcPr>
            <w:tcW w:w="409"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337" w:type="pct"/>
            <w:gridSpan w:val="2"/>
            <w:shd w:val="clear" w:color="auto" w:fill="auto"/>
            <w:vAlign w:val="center"/>
          </w:tcPr>
          <w:p w:rsidR="008C3907" w:rsidRDefault="008C3907" w:rsidP="008C3907">
            <w:pPr>
              <w:widowControl/>
              <w:snapToGrid w:val="0"/>
              <w:jc w:val="center"/>
              <w:rPr>
                <w:rFonts w:ascii="仿宋" w:eastAsia="仿宋" w:hAnsi="仿宋"/>
                <w:kern w:val="0"/>
                <w:sz w:val="21"/>
                <w:szCs w:val="21"/>
              </w:rPr>
            </w:pPr>
          </w:p>
        </w:tc>
        <w:tc>
          <w:tcPr>
            <w:tcW w:w="1507" w:type="pct"/>
            <w:gridSpan w:val="6"/>
            <w:vMerge/>
            <w:shd w:val="clear" w:color="auto" w:fill="auto"/>
            <w:vAlign w:val="center"/>
          </w:tcPr>
          <w:p w:rsidR="008C3907" w:rsidRDefault="008C3907" w:rsidP="008C3907">
            <w:pPr>
              <w:widowControl/>
              <w:snapToGrid w:val="0"/>
              <w:jc w:val="center"/>
              <w:rPr>
                <w:rFonts w:ascii="仿宋" w:eastAsia="仿宋" w:hAnsi="仿宋"/>
                <w:kern w:val="0"/>
                <w:sz w:val="21"/>
                <w:szCs w:val="21"/>
              </w:rPr>
            </w:pPr>
          </w:p>
        </w:tc>
      </w:tr>
    </w:tbl>
    <w:p w:rsidR="008C3907" w:rsidRPr="006058C6" w:rsidRDefault="008C3907" w:rsidP="006058C6">
      <w:pPr>
        <w:spacing w:line="360" w:lineRule="auto"/>
        <w:ind w:firstLineChars="200" w:firstLine="560"/>
        <w:jc w:val="left"/>
        <w:rPr>
          <w:rFonts w:ascii="仿宋_GB2312" w:hAnsi="仿宋_GB2312" w:cs="仿宋_GB2312"/>
          <w:bCs/>
          <w:sz w:val="28"/>
          <w:szCs w:val="28"/>
        </w:rPr>
      </w:pPr>
      <w:r w:rsidRPr="006058C6">
        <w:rPr>
          <w:rFonts w:ascii="仿宋_GB2312" w:hAnsi="仿宋_GB2312" w:cs="仿宋_GB2312"/>
          <w:bCs/>
          <w:sz w:val="28"/>
          <w:szCs w:val="28"/>
        </w:rPr>
        <w:t>（以关联度标识，课程与某个毕业要求的关联度，根据该课程对应毕业要求的支撑强度来定性估计，H:表示关联度高；M：表示关联度中；L：表示关联度低）</w:t>
      </w:r>
    </w:p>
    <w:p w:rsidR="008C3907" w:rsidRDefault="008C3907" w:rsidP="008C3907">
      <w:pPr>
        <w:pStyle w:val="a6"/>
        <w:snapToGrid w:val="0"/>
        <w:spacing w:line="360" w:lineRule="auto"/>
        <w:jc w:val="center"/>
        <w:rPr>
          <w:rFonts w:ascii="仿宋" w:eastAsia="仿宋" w:hAnsi="仿宋"/>
          <w:sz w:val="28"/>
          <w:szCs w:val="28"/>
        </w:rPr>
      </w:pPr>
      <w:r>
        <w:rPr>
          <w:rFonts w:ascii="仿宋" w:eastAsia="仿宋" w:hAnsi="仿宋"/>
          <w:sz w:val="28"/>
          <w:szCs w:val="28"/>
        </w:rPr>
        <w:t>对毕业要求的支撑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3098"/>
        <w:gridCol w:w="2524"/>
      </w:tblGrid>
      <w:tr w:rsidR="008C3907" w:rsidTr="008C3907">
        <w:tc>
          <w:tcPr>
            <w:tcW w:w="3479" w:type="pct"/>
            <w:gridSpan w:val="2"/>
            <w:shd w:val="clear" w:color="auto" w:fill="auto"/>
            <w:vAlign w:val="center"/>
          </w:tcPr>
          <w:p w:rsidR="008C3907" w:rsidRDefault="008C3907" w:rsidP="008C3907">
            <w:pPr>
              <w:widowControl/>
              <w:snapToGrid w:val="0"/>
              <w:jc w:val="center"/>
              <w:rPr>
                <w:rFonts w:ascii="仿宋" w:eastAsia="仿宋" w:hAnsi="仿宋"/>
                <w:kern w:val="0"/>
                <w:sz w:val="24"/>
                <w:szCs w:val="24"/>
              </w:rPr>
            </w:pPr>
            <w:r>
              <w:rPr>
                <w:rFonts w:ascii="仿宋" w:eastAsia="仿宋" w:hAnsi="仿宋"/>
                <w:sz w:val="24"/>
                <w:szCs w:val="24"/>
              </w:rPr>
              <w:t>课程对</w:t>
            </w:r>
            <w:r>
              <w:rPr>
                <w:rFonts w:ascii="仿宋" w:eastAsia="仿宋" w:hAnsi="仿宋"/>
                <w:kern w:val="0"/>
                <w:sz w:val="24"/>
                <w:szCs w:val="24"/>
              </w:rPr>
              <w:t>毕业要求</w:t>
            </w:r>
            <w:r>
              <w:rPr>
                <w:rFonts w:ascii="仿宋" w:eastAsia="仿宋" w:hAnsi="仿宋"/>
                <w:sz w:val="24"/>
                <w:szCs w:val="24"/>
              </w:rPr>
              <w:t>的支撑</w:t>
            </w:r>
            <w:r>
              <w:rPr>
                <w:rFonts w:ascii="仿宋" w:eastAsia="仿宋" w:hAnsi="仿宋"/>
                <w:kern w:val="0"/>
                <w:sz w:val="24"/>
                <w:szCs w:val="24"/>
              </w:rPr>
              <w:t>毕业要求</w:t>
            </w:r>
          </w:p>
        </w:tc>
        <w:tc>
          <w:tcPr>
            <w:tcW w:w="1521" w:type="pct"/>
            <w:shd w:val="clear" w:color="auto" w:fill="auto"/>
            <w:vAlign w:val="center"/>
          </w:tcPr>
          <w:p w:rsidR="008C3907" w:rsidRDefault="008C3907" w:rsidP="008C3907">
            <w:pPr>
              <w:pStyle w:val="a6"/>
              <w:snapToGrid w:val="0"/>
              <w:spacing w:line="360" w:lineRule="auto"/>
              <w:jc w:val="center"/>
              <w:rPr>
                <w:rFonts w:ascii="仿宋" w:eastAsia="仿宋" w:hAnsi="仿宋"/>
                <w:sz w:val="24"/>
                <w:szCs w:val="24"/>
              </w:rPr>
            </w:pPr>
            <w:r>
              <w:rPr>
                <w:rFonts w:ascii="仿宋" w:eastAsia="仿宋" w:hAnsi="仿宋"/>
                <w:sz w:val="24"/>
                <w:szCs w:val="24"/>
              </w:rPr>
              <w:t>课程支撑</w:t>
            </w:r>
          </w:p>
        </w:tc>
      </w:tr>
      <w:tr w:rsidR="008C3907" w:rsidTr="008C3907">
        <w:tc>
          <w:tcPr>
            <w:tcW w:w="1612" w:type="pct"/>
            <w:vMerge w:val="restart"/>
            <w:shd w:val="clear" w:color="auto" w:fill="auto"/>
            <w:vAlign w:val="center"/>
          </w:tcPr>
          <w:p w:rsidR="008C3907" w:rsidRDefault="008C3907" w:rsidP="008C3907">
            <w:pPr>
              <w:widowControl/>
              <w:snapToGrid w:val="0"/>
              <w:jc w:val="center"/>
              <w:rPr>
                <w:rFonts w:ascii="仿宋" w:eastAsia="仿宋" w:hAnsi="仿宋"/>
                <w:sz w:val="24"/>
                <w:szCs w:val="24"/>
              </w:rPr>
            </w:pPr>
            <w:r>
              <w:rPr>
                <w:rFonts w:ascii="仿宋" w:eastAsia="仿宋" w:hAnsi="仿宋"/>
                <w:kern w:val="0"/>
                <w:sz w:val="24"/>
                <w:szCs w:val="24"/>
              </w:rPr>
              <w:t>3:</w:t>
            </w:r>
            <w:r>
              <w:rPr>
                <w:rFonts w:ascii="仿宋" w:eastAsia="仿宋" w:hAnsi="仿宋"/>
                <w:sz w:val="24"/>
                <w:szCs w:val="24"/>
              </w:rPr>
              <w:t>设计/开发解决方案</w:t>
            </w:r>
          </w:p>
          <w:p w:rsidR="008C3907" w:rsidRDefault="008C3907" w:rsidP="008C3907">
            <w:pPr>
              <w:widowControl/>
              <w:snapToGrid w:val="0"/>
              <w:rPr>
                <w:rFonts w:ascii="仿宋" w:eastAsia="仿宋" w:hAnsi="仿宋"/>
                <w:kern w:val="0"/>
                <w:sz w:val="24"/>
                <w:szCs w:val="24"/>
              </w:rPr>
            </w:pPr>
            <w:r>
              <w:rPr>
                <w:rFonts w:ascii="仿宋" w:eastAsia="仿宋" w:hAnsi="仿宋" w:hint="eastAsia"/>
                <w:kern w:val="0"/>
                <w:sz w:val="24"/>
                <w:szCs w:val="24"/>
              </w:rPr>
              <w:t>能够设计针对复杂工程问题的解决方案，设计满足特定需求的系统、单元（部件）或工艺流程，并能够在设计环节中体现创新意识，考虑社会、健康、安全、法律、文化以及环境等因素。</w:t>
            </w:r>
          </w:p>
        </w:tc>
        <w:tc>
          <w:tcPr>
            <w:tcW w:w="1867" w:type="pct"/>
            <w:shd w:val="clear" w:color="auto" w:fill="auto"/>
            <w:vAlign w:val="center"/>
          </w:tcPr>
          <w:p w:rsidR="008C3907" w:rsidRDefault="008C3907" w:rsidP="008C3907">
            <w:pPr>
              <w:pStyle w:val="a6"/>
              <w:snapToGrid w:val="0"/>
              <w:rPr>
                <w:rFonts w:ascii="仿宋" w:eastAsia="仿宋" w:hAnsi="仿宋"/>
                <w:sz w:val="24"/>
                <w:szCs w:val="24"/>
              </w:rPr>
            </w:pPr>
            <w:r>
              <w:rPr>
                <w:rFonts w:ascii="仿宋" w:eastAsia="仿宋" w:hAnsi="仿宋"/>
                <w:sz w:val="24"/>
                <w:szCs w:val="24"/>
              </w:rPr>
              <w:t>3.1 能够针对特定需求，确定工程基本单元的设计目标或问题解决方案，并完成设计/开发工作。</w:t>
            </w:r>
          </w:p>
        </w:tc>
        <w:tc>
          <w:tcPr>
            <w:tcW w:w="1521" w:type="pct"/>
            <w:shd w:val="clear" w:color="auto" w:fill="auto"/>
            <w:vAlign w:val="center"/>
          </w:tcPr>
          <w:p w:rsidR="008C3907" w:rsidRDefault="008C3907" w:rsidP="008C3907">
            <w:pPr>
              <w:pStyle w:val="a6"/>
              <w:snapToGrid w:val="0"/>
              <w:rPr>
                <w:rFonts w:ascii="仿宋" w:eastAsia="仿宋" w:hAnsi="仿宋"/>
                <w:sz w:val="24"/>
                <w:szCs w:val="24"/>
              </w:rPr>
            </w:pPr>
            <w:r>
              <w:rPr>
                <w:rFonts w:ascii="Times New Roman" w:eastAsia="仿宋" w:hAnsi="Times New Roman"/>
                <w:sz w:val="24"/>
                <w:szCs w:val="24"/>
              </w:rPr>
              <w:t>H:</w:t>
            </w:r>
            <w:r>
              <w:rPr>
                <w:rFonts w:ascii="Times New Roman" w:eastAsia="仿宋" w:hAnsi="Times New Roman"/>
                <w:sz w:val="24"/>
                <w:szCs w:val="24"/>
              </w:rPr>
              <w:t>正确地选择、使用常用仪器仪表对建筑环境不同参数开展测量工作，对测量结果具有一定的数据处理能力。</w:t>
            </w:r>
          </w:p>
        </w:tc>
      </w:tr>
      <w:tr w:rsidR="008C3907" w:rsidTr="008C3907">
        <w:tc>
          <w:tcPr>
            <w:tcW w:w="1612" w:type="pct"/>
            <w:vMerge/>
            <w:shd w:val="clear" w:color="auto" w:fill="auto"/>
            <w:vAlign w:val="center"/>
          </w:tcPr>
          <w:p w:rsidR="008C3907" w:rsidRDefault="008C3907" w:rsidP="008C3907">
            <w:pPr>
              <w:widowControl/>
              <w:snapToGrid w:val="0"/>
              <w:jc w:val="center"/>
              <w:rPr>
                <w:rFonts w:ascii="仿宋" w:eastAsia="仿宋" w:hAnsi="仿宋"/>
                <w:kern w:val="0"/>
                <w:sz w:val="24"/>
                <w:szCs w:val="24"/>
              </w:rPr>
            </w:pPr>
          </w:p>
        </w:tc>
        <w:tc>
          <w:tcPr>
            <w:tcW w:w="1867" w:type="pct"/>
            <w:shd w:val="clear" w:color="auto" w:fill="auto"/>
            <w:vAlign w:val="center"/>
          </w:tcPr>
          <w:p w:rsidR="008C3907" w:rsidRDefault="008C3907" w:rsidP="008C3907">
            <w:pPr>
              <w:pStyle w:val="a6"/>
              <w:snapToGrid w:val="0"/>
              <w:rPr>
                <w:rFonts w:ascii="仿宋" w:eastAsia="仿宋" w:hAnsi="仿宋"/>
                <w:sz w:val="24"/>
                <w:szCs w:val="24"/>
              </w:rPr>
            </w:pPr>
            <w:r>
              <w:rPr>
                <w:rFonts w:ascii="仿宋" w:eastAsia="仿宋" w:hAnsi="仿宋"/>
                <w:sz w:val="24"/>
                <w:szCs w:val="24"/>
              </w:rPr>
              <w:t>3.2 能够进行工程体系或工艺流程的系统分析和优化设计，并体现创新意识。</w:t>
            </w:r>
          </w:p>
        </w:tc>
        <w:tc>
          <w:tcPr>
            <w:tcW w:w="1521" w:type="pct"/>
            <w:shd w:val="clear" w:color="auto" w:fill="auto"/>
            <w:vAlign w:val="center"/>
          </w:tcPr>
          <w:p w:rsidR="008C3907" w:rsidRDefault="008C3907" w:rsidP="008C3907">
            <w:pPr>
              <w:pStyle w:val="a6"/>
              <w:snapToGrid w:val="0"/>
              <w:rPr>
                <w:rFonts w:ascii="仿宋" w:eastAsia="仿宋" w:hAnsi="仿宋"/>
                <w:sz w:val="24"/>
                <w:szCs w:val="24"/>
              </w:rPr>
            </w:pPr>
            <w:r>
              <w:rPr>
                <w:rFonts w:ascii="Times New Roman" w:eastAsia="仿宋" w:hAnsi="Times New Roman"/>
                <w:sz w:val="24"/>
                <w:szCs w:val="24"/>
              </w:rPr>
              <w:t>H:</w:t>
            </w:r>
            <w:r>
              <w:rPr>
                <w:rFonts w:ascii="Times New Roman" w:eastAsia="仿宋" w:hAnsi="Times New Roman"/>
                <w:sz w:val="24"/>
                <w:szCs w:val="24"/>
              </w:rPr>
              <w:t>正确地选择、使用常用仪器仪表对建筑环境不同参数开展测量工作，对测量结果具有一定的数据处理能力。</w:t>
            </w:r>
          </w:p>
        </w:tc>
      </w:tr>
      <w:tr w:rsidR="008C3907" w:rsidTr="008C3907">
        <w:tc>
          <w:tcPr>
            <w:tcW w:w="1612" w:type="pct"/>
            <w:vMerge/>
            <w:shd w:val="clear" w:color="auto" w:fill="auto"/>
            <w:vAlign w:val="center"/>
          </w:tcPr>
          <w:p w:rsidR="008C3907" w:rsidRDefault="008C3907" w:rsidP="008C3907">
            <w:pPr>
              <w:widowControl/>
              <w:snapToGrid w:val="0"/>
              <w:jc w:val="center"/>
              <w:rPr>
                <w:rFonts w:ascii="仿宋" w:eastAsia="仿宋" w:hAnsi="仿宋"/>
                <w:kern w:val="0"/>
                <w:sz w:val="24"/>
                <w:szCs w:val="24"/>
              </w:rPr>
            </w:pPr>
          </w:p>
        </w:tc>
        <w:tc>
          <w:tcPr>
            <w:tcW w:w="1867" w:type="pct"/>
            <w:shd w:val="clear" w:color="auto" w:fill="auto"/>
            <w:vAlign w:val="center"/>
          </w:tcPr>
          <w:p w:rsidR="008C3907" w:rsidRDefault="008C3907" w:rsidP="008C3907">
            <w:pPr>
              <w:pStyle w:val="a6"/>
              <w:snapToGrid w:val="0"/>
              <w:rPr>
                <w:rFonts w:ascii="仿宋" w:eastAsia="仿宋" w:hAnsi="仿宋"/>
                <w:sz w:val="24"/>
                <w:szCs w:val="24"/>
              </w:rPr>
            </w:pPr>
            <w:r>
              <w:rPr>
                <w:rFonts w:ascii="仿宋" w:eastAsia="仿宋" w:hAnsi="仿宋"/>
                <w:sz w:val="24"/>
                <w:szCs w:val="24"/>
              </w:rPr>
              <w:t>3.3 在设计/开发工作中能够综合考虑社会、健康、安全、法律、文化以及环境等因素。</w:t>
            </w:r>
          </w:p>
        </w:tc>
        <w:tc>
          <w:tcPr>
            <w:tcW w:w="1521" w:type="pct"/>
            <w:shd w:val="clear" w:color="auto" w:fill="auto"/>
            <w:vAlign w:val="center"/>
          </w:tcPr>
          <w:p w:rsidR="008C3907" w:rsidRDefault="008C3907" w:rsidP="008C3907">
            <w:pPr>
              <w:pStyle w:val="a6"/>
              <w:snapToGrid w:val="0"/>
              <w:rPr>
                <w:rFonts w:ascii="仿宋" w:eastAsia="仿宋" w:hAnsi="仿宋"/>
                <w:sz w:val="24"/>
                <w:szCs w:val="24"/>
              </w:rPr>
            </w:pPr>
            <w:r>
              <w:rPr>
                <w:rFonts w:ascii="Times New Roman" w:eastAsia="仿宋" w:hAnsi="Times New Roman"/>
                <w:sz w:val="24"/>
                <w:szCs w:val="24"/>
              </w:rPr>
              <w:t>H:</w:t>
            </w:r>
            <w:r>
              <w:rPr>
                <w:rFonts w:ascii="Times New Roman" w:eastAsia="仿宋" w:hAnsi="Times New Roman"/>
                <w:sz w:val="24"/>
                <w:szCs w:val="24"/>
              </w:rPr>
              <w:t>正确地选择、使用常用仪器仪表对建筑环境不同参数开展测量工作，对测量结果具有一定的数据处理能力。</w:t>
            </w:r>
          </w:p>
        </w:tc>
      </w:tr>
    </w:tbl>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8C3907" w:rsidRPr="006058C6" w:rsidRDefault="008C3907" w:rsidP="006058C6">
      <w:pPr>
        <w:spacing w:line="360" w:lineRule="auto"/>
        <w:ind w:firstLineChars="200" w:firstLine="560"/>
        <w:jc w:val="left"/>
        <w:rPr>
          <w:rFonts w:ascii="仿宋_GB2312" w:hAnsi="仿宋_GB2312" w:cs="仿宋_GB2312"/>
          <w:bCs/>
          <w:sz w:val="28"/>
          <w:szCs w:val="28"/>
        </w:rPr>
      </w:pPr>
      <w:r w:rsidRPr="006058C6">
        <w:rPr>
          <w:rFonts w:ascii="仿宋_GB2312" w:hAnsi="仿宋_GB2312" w:cs="仿宋_GB2312" w:hint="eastAsia"/>
          <w:bCs/>
          <w:sz w:val="28"/>
          <w:szCs w:val="28"/>
        </w:rPr>
        <w:lastRenderedPageBreak/>
        <w:t>本课程的重点和难点主要是测量误差和数据处理、热电偶的原理和计算、压力表的原理和选型计算。</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在课程教学过程中通过有意识地结合本专业的最新研究成果和相关知识的运用贡献等案例，增强学生的专业自豪感、民族自信心和爱校荣校情怀。</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818"/>
        <w:gridCol w:w="611"/>
        <w:gridCol w:w="2660"/>
        <w:gridCol w:w="2661"/>
      </w:tblGrid>
      <w:tr w:rsidR="008C3907" w:rsidTr="008C3907">
        <w:trPr>
          <w:cantSplit/>
          <w:trHeight w:val="661"/>
        </w:trPr>
        <w:tc>
          <w:tcPr>
            <w:tcW w:w="294" w:type="pct"/>
            <w:vAlign w:val="center"/>
          </w:tcPr>
          <w:p w:rsidR="008C3907" w:rsidRDefault="008C3907" w:rsidP="008C3907">
            <w:pPr>
              <w:jc w:val="center"/>
              <w:rPr>
                <w:rFonts w:ascii="Times New Roman" w:eastAsia="仿宋" w:hAnsi="Times New Roman"/>
                <w:b/>
                <w:sz w:val="24"/>
                <w:szCs w:val="24"/>
              </w:rPr>
            </w:pPr>
            <w:r>
              <w:rPr>
                <w:rFonts w:ascii="Times New Roman" w:eastAsia="仿宋" w:hAnsi="Times New Roman"/>
                <w:b/>
                <w:sz w:val="24"/>
                <w:szCs w:val="24"/>
              </w:rPr>
              <w:t>序号</w:t>
            </w:r>
          </w:p>
        </w:tc>
        <w:tc>
          <w:tcPr>
            <w:tcW w:w="1105" w:type="pct"/>
            <w:vAlign w:val="center"/>
          </w:tcPr>
          <w:p w:rsidR="008C3907" w:rsidRPr="006058C6" w:rsidRDefault="008C3907" w:rsidP="006058C6">
            <w:pPr>
              <w:spacing w:line="360" w:lineRule="auto"/>
              <w:ind w:firstLineChars="200" w:firstLine="482"/>
              <w:jc w:val="left"/>
              <w:rPr>
                <w:rFonts w:ascii="仿宋_GB2312" w:hAnsi="仿宋_GB2312" w:cs="仿宋_GB2312"/>
                <w:b/>
                <w:bCs/>
                <w:sz w:val="24"/>
                <w:szCs w:val="24"/>
              </w:rPr>
            </w:pPr>
            <w:r w:rsidRPr="006058C6">
              <w:rPr>
                <w:rFonts w:ascii="仿宋_GB2312" w:hAnsi="仿宋_GB2312" w:cs="仿宋_GB2312"/>
                <w:b/>
                <w:bCs/>
                <w:sz w:val="24"/>
                <w:szCs w:val="24"/>
              </w:rPr>
              <w:t>章  节</w:t>
            </w:r>
          </w:p>
        </w:tc>
        <w:tc>
          <w:tcPr>
            <w:tcW w:w="377" w:type="pct"/>
            <w:vAlign w:val="center"/>
          </w:tcPr>
          <w:p w:rsidR="008C3907" w:rsidRDefault="008C3907" w:rsidP="008C3907">
            <w:pPr>
              <w:jc w:val="center"/>
              <w:rPr>
                <w:rFonts w:ascii="Times New Roman" w:eastAsia="仿宋" w:hAnsi="Times New Roman"/>
                <w:b/>
                <w:sz w:val="24"/>
                <w:szCs w:val="24"/>
              </w:rPr>
            </w:pPr>
          </w:p>
          <w:p w:rsidR="008C3907" w:rsidRDefault="008C3907" w:rsidP="008C3907">
            <w:pPr>
              <w:jc w:val="center"/>
              <w:rPr>
                <w:rFonts w:ascii="Times New Roman" w:eastAsia="仿宋" w:hAnsi="Times New Roman"/>
                <w:b/>
                <w:sz w:val="24"/>
                <w:szCs w:val="24"/>
              </w:rPr>
            </w:pPr>
            <w:r>
              <w:rPr>
                <w:rFonts w:ascii="Times New Roman" w:eastAsia="仿宋" w:hAnsi="Times New Roman"/>
                <w:b/>
                <w:sz w:val="24"/>
                <w:szCs w:val="24"/>
              </w:rPr>
              <w:t>参考学时</w:t>
            </w:r>
          </w:p>
          <w:p w:rsidR="008C3907" w:rsidRDefault="008C3907" w:rsidP="008C3907">
            <w:pPr>
              <w:jc w:val="center"/>
              <w:rPr>
                <w:rFonts w:ascii="Times New Roman" w:eastAsia="仿宋" w:hAnsi="Times New Roman"/>
                <w:b/>
                <w:sz w:val="24"/>
                <w:szCs w:val="24"/>
              </w:rPr>
            </w:pPr>
          </w:p>
        </w:tc>
        <w:tc>
          <w:tcPr>
            <w:tcW w:w="1612" w:type="pct"/>
            <w:vAlign w:val="center"/>
          </w:tcPr>
          <w:p w:rsidR="008C3907" w:rsidRDefault="008C3907" w:rsidP="008C3907">
            <w:pPr>
              <w:ind w:firstLineChars="450" w:firstLine="1084"/>
              <w:rPr>
                <w:rFonts w:ascii="Times New Roman" w:eastAsia="仿宋" w:hAnsi="Times New Roman"/>
                <w:b/>
                <w:sz w:val="24"/>
                <w:szCs w:val="24"/>
              </w:rPr>
            </w:pPr>
            <w:r>
              <w:rPr>
                <w:rFonts w:ascii="Times New Roman" w:eastAsia="仿宋" w:hAnsi="Times New Roman"/>
                <w:b/>
                <w:sz w:val="24"/>
                <w:szCs w:val="24"/>
              </w:rPr>
              <w:t>教学内容</w:t>
            </w:r>
          </w:p>
        </w:tc>
        <w:tc>
          <w:tcPr>
            <w:tcW w:w="1612" w:type="pct"/>
            <w:vAlign w:val="center"/>
          </w:tcPr>
          <w:p w:rsidR="008C3907" w:rsidRDefault="008C3907" w:rsidP="008C3907">
            <w:pPr>
              <w:jc w:val="center"/>
              <w:rPr>
                <w:rFonts w:ascii="Times New Roman" w:eastAsia="仿宋" w:hAnsi="Times New Roman"/>
                <w:b/>
                <w:sz w:val="24"/>
                <w:szCs w:val="24"/>
              </w:rPr>
            </w:pPr>
            <w:r>
              <w:rPr>
                <w:rFonts w:ascii="Times New Roman" w:eastAsia="仿宋" w:hAnsi="Times New Roman"/>
                <w:b/>
                <w:sz w:val="24"/>
                <w:szCs w:val="24"/>
              </w:rPr>
              <w:t>基本要求</w:t>
            </w:r>
          </w:p>
        </w:tc>
      </w:tr>
      <w:tr w:rsidR="008C3907" w:rsidTr="008C3907">
        <w:trPr>
          <w:trHeight w:val="1237"/>
        </w:trPr>
        <w:tc>
          <w:tcPr>
            <w:tcW w:w="294"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1</w:t>
            </w:r>
          </w:p>
        </w:tc>
        <w:tc>
          <w:tcPr>
            <w:tcW w:w="1105" w:type="pct"/>
            <w:vAlign w:val="center"/>
          </w:tcPr>
          <w:p w:rsidR="008C3907" w:rsidRDefault="008C3907" w:rsidP="008C3907">
            <w:pPr>
              <w:ind w:firstLineChars="157" w:firstLine="377"/>
              <w:jc w:val="center"/>
              <w:rPr>
                <w:rFonts w:ascii="Times New Roman" w:eastAsia="仿宋" w:hAnsi="Times New Roman"/>
                <w:sz w:val="24"/>
                <w:szCs w:val="24"/>
              </w:rPr>
            </w:pPr>
            <w:r>
              <w:rPr>
                <w:rFonts w:ascii="Times New Roman" w:eastAsia="仿宋" w:hAnsi="Times New Roman"/>
                <w:sz w:val="24"/>
                <w:szCs w:val="24"/>
              </w:rPr>
              <w:t>第一章：测试技术的基本知识</w:t>
            </w:r>
          </w:p>
        </w:tc>
        <w:tc>
          <w:tcPr>
            <w:tcW w:w="377"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2</w:t>
            </w:r>
          </w:p>
        </w:tc>
        <w:tc>
          <w:tcPr>
            <w:tcW w:w="1612" w:type="pct"/>
            <w:vAlign w:val="center"/>
          </w:tcPr>
          <w:p w:rsidR="008C3907" w:rsidRDefault="008C3907" w:rsidP="008C3907">
            <w:pPr>
              <w:snapToGrid w:val="0"/>
              <w:jc w:val="left"/>
              <w:rPr>
                <w:rFonts w:ascii="Times New Roman" w:eastAsia="仿宋" w:hAnsi="Times New Roman"/>
                <w:sz w:val="24"/>
                <w:szCs w:val="24"/>
              </w:rPr>
            </w:pPr>
            <w:r>
              <w:rPr>
                <w:rFonts w:ascii="Times New Roman" w:eastAsia="仿宋" w:hAnsi="Times New Roman"/>
                <w:sz w:val="24"/>
                <w:szCs w:val="24"/>
              </w:rPr>
              <w:t>测试技术的基本概念、测量方法及分类、测量仪表概述、计量的基本概念。</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目的：掌握测量的概念，测量方法及分类</w:t>
            </w:r>
          </w:p>
          <w:p w:rsidR="008C3907" w:rsidRDefault="008C3907" w:rsidP="008C3907">
            <w:pPr>
              <w:snapToGrid w:val="0"/>
              <w:jc w:val="left"/>
              <w:rPr>
                <w:rFonts w:ascii="Times New Roman" w:eastAsia="仿宋" w:hAnsi="Times New Roman"/>
                <w:sz w:val="24"/>
                <w:szCs w:val="24"/>
              </w:rPr>
            </w:pPr>
            <w:r>
              <w:rPr>
                <w:rFonts w:ascii="Times New Roman" w:eastAsia="仿宋" w:hAnsi="Times New Roman"/>
                <w:sz w:val="24"/>
                <w:szCs w:val="24"/>
              </w:rPr>
              <w:t>要求：掌握测量的基本概念；理解测量系统的组成、仪表的性能指标；了解计量的基本概念。</w:t>
            </w:r>
          </w:p>
        </w:tc>
      </w:tr>
      <w:tr w:rsidR="008C3907" w:rsidTr="008C3907">
        <w:trPr>
          <w:trHeight w:val="1237"/>
        </w:trPr>
        <w:tc>
          <w:tcPr>
            <w:tcW w:w="294"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2</w:t>
            </w:r>
          </w:p>
        </w:tc>
        <w:tc>
          <w:tcPr>
            <w:tcW w:w="1105" w:type="pct"/>
            <w:vAlign w:val="center"/>
          </w:tcPr>
          <w:p w:rsidR="008C3907" w:rsidRDefault="008C3907" w:rsidP="008C3907">
            <w:pPr>
              <w:ind w:firstLineChars="157" w:firstLine="377"/>
              <w:jc w:val="center"/>
              <w:rPr>
                <w:rFonts w:ascii="Times New Roman" w:eastAsia="仿宋" w:hAnsi="Times New Roman"/>
                <w:sz w:val="24"/>
                <w:szCs w:val="24"/>
              </w:rPr>
            </w:pPr>
            <w:r>
              <w:rPr>
                <w:rFonts w:ascii="Times New Roman" w:eastAsia="仿宋" w:hAnsi="Times New Roman"/>
                <w:sz w:val="24"/>
                <w:szCs w:val="24"/>
              </w:rPr>
              <w:t>第二章：测量误差和数据处理</w:t>
            </w:r>
          </w:p>
        </w:tc>
        <w:tc>
          <w:tcPr>
            <w:tcW w:w="377"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4</w:t>
            </w:r>
          </w:p>
        </w:tc>
        <w:tc>
          <w:tcPr>
            <w:tcW w:w="1612" w:type="pct"/>
            <w:vAlign w:val="center"/>
          </w:tcPr>
          <w:p w:rsidR="008C3907" w:rsidRDefault="008C3907" w:rsidP="008C3907">
            <w:pPr>
              <w:pStyle w:val="a6"/>
              <w:snapToGrid w:val="0"/>
              <w:rPr>
                <w:rFonts w:ascii="Times New Roman" w:eastAsia="仿宋" w:hAnsi="Times New Roman"/>
                <w:kern w:val="2"/>
                <w:sz w:val="24"/>
                <w:szCs w:val="24"/>
              </w:rPr>
            </w:pPr>
            <w:r>
              <w:rPr>
                <w:rFonts w:ascii="Times New Roman" w:eastAsia="仿宋" w:hAnsi="Times New Roman"/>
                <w:kern w:val="2"/>
                <w:sz w:val="24"/>
                <w:szCs w:val="24"/>
              </w:rPr>
              <w:t>测量误差、测量误差的来源、误差的分类、随机误差分析、系统误差分析、间接测量的误差传递与分配、误差的合成、测量不确定度的概念及评定方法、测量不确定度的合成和扩展不确定度、测量不确定度的报告和评定实例、测量数据的处理、最小二乘法</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目的：掌握测量误差产生的原因及分类</w:t>
            </w:r>
          </w:p>
          <w:p w:rsidR="008C3907" w:rsidRDefault="008C3907" w:rsidP="008C3907">
            <w:pPr>
              <w:rPr>
                <w:rFonts w:ascii="Times New Roman" w:eastAsia="仿宋" w:hAnsi="Times New Roman"/>
                <w:sz w:val="24"/>
                <w:szCs w:val="24"/>
              </w:rPr>
            </w:pPr>
            <w:r>
              <w:rPr>
                <w:rFonts w:ascii="Times New Roman" w:eastAsia="仿宋" w:hAnsi="Times New Roman"/>
                <w:sz w:val="24"/>
                <w:szCs w:val="24"/>
              </w:rPr>
              <w:t>要求：掌握误差分析的理论基础；直接测量误差的分析处理，间接测量误差的分析处理。</w:t>
            </w:r>
          </w:p>
        </w:tc>
      </w:tr>
      <w:tr w:rsidR="008C3907" w:rsidTr="008C3907">
        <w:trPr>
          <w:trHeight w:val="1237"/>
        </w:trPr>
        <w:tc>
          <w:tcPr>
            <w:tcW w:w="294"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3</w:t>
            </w:r>
          </w:p>
        </w:tc>
        <w:tc>
          <w:tcPr>
            <w:tcW w:w="1105" w:type="pct"/>
            <w:vAlign w:val="center"/>
          </w:tcPr>
          <w:p w:rsidR="008C3907" w:rsidRDefault="008C3907" w:rsidP="008C3907">
            <w:pPr>
              <w:ind w:firstLineChars="157" w:firstLine="377"/>
              <w:jc w:val="center"/>
              <w:rPr>
                <w:rFonts w:ascii="Times New Roman" w:eastAsia="仿宋" w:hAnsi="Times New Roman"/>
                <w:sz w:val="24"/>
                <w:szCs w:val="24"/>
              </w:rPr>
            </w:pPr>
            <w:r>
              <w:rPr>
                <w:rFonts w:ascii="Times New Roman" w:eastAsia="仿宋" w:hAnsi="Times New Roman"/>
                <w:sz w:val="24"/>
                <w:szCs w:val="24"/>
              </w:rPr>
              <w:t>第三章：温度测量</w:t>
            </w:r>
          </w:p>
        </w:tc>
        <w:tc>
          <w:tcPr>
            <w:tcW w:w="377"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4</w:t>
            </w:r>
          </w:p>
        </w:tc>
        <w:tc>
          <w:tcPr>
            <w:tcW w:w="1612" w:type="pct"/>
            <w:vAlign w:val="center"/>
          </w:tcPr>
          <w:p w:rsidR="008C3907" w:rsidRDefault="008C3907" w:rsidP="008C3907">
            <w:pPr>
              <w:pStyle w:val="a6"/>
              <w:snapToGrid w:val="0"/>
              <w:rPr>
                <w:rFonts w:ascii="Times New Roman" w:eastAsia="仿宋" w:hAnsi="Times New Roman"/>
                <w:kern w:val="2"/>
                <w:sz w:val="24"/>
                <w:szCs w:val="24"/>
              </w:rPr>
            </w:pPr>
            <w:r>
              <w:rPr>
                <w:rFonts w:ascii="Times New Roman" w:eastAsia="仿宋" w:hAnsi="Times New Roman"/>
                <w:kern w:val="2"/>
                <w:sz w:val="24"/>
                <w:szCs w:val="24"/>
              </w:rPr>
              <w:t>温度测量概述、膨胀式温度计、热电偶测温、热电阻测温、接触式测温方法、非接触测温、集成性传感器测温</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w:t>
            </w:r>
            <w:r>
              <w:rPr>
                <w:rFonts w:ascii="Times New Roman" w:eastAsia="仿宋" w:hAnsi="Times New Roman"/>
                <w:sz w:val="24"/>
                <w:szCs w:val="24"/>
              </w:rPr>
              <w:t xml:space="preserve"> </w:t>
            </w:r>
            <w:r>
              <w:rPr>
                <w:rFonts w:ascii="Times New Roman" w:eastAsia="仿宋" w:hAnsi="Times New Roman"/>
                <w:sz w:val="24"/>
                <w:szCs w:val="24"/>
              </w:rPr>
              <w:t>学会温度测量方法及分类。</w:t>
            </w:r>
          </w:p>
          <w:p w:rsidR="008C3907" w:rsidRDefault="008C3907" w:rsidP="008C3907">
            <w:pPr>
              <w:pStyle w:val="a6"/>
              <w:snapToGrid w:val="0"/>
              <w:rPr>
                <w:rFonts w:ascii="Times New Roman" w:eastAsia="仿宋" w:hAnsi="Times New Roman"/>
                <w:kern w:val="2"/>
                <w:sz w:val="24"/>
                <w:szCs w:val="24"/>
              </w:rPr>
            </w:pPr>
            <w:r>
              <w:rPr>
                <w:rFonts w:ascii="Times New Roman" w:eastAsia="仿宋" w:hAnsi="Times New Roman"/>
                <w:kern w:val="2"/>
                <w:sz w:val="24"/>
                <w:szCs w:val="24"/>
              </w:rPr>
              <w:t>要求：掌握温度测量的分类，掌握液体膨胀式、固体膨胀式、压力式温</w:t>
            </w:r>
            <w:r>
              <w:rPr>
                <w:rFonts w:ascii="Times New Roman" w:eastAsia="仿宋" w:hAnsi="Times New Roman"/>
                <w:kern w:val="2"/>
                <w:sz w:val="24"/>
                <w:szCs w:val="24"/>
              </w:rPr>
              <w:lastRenderedPageBreak/>
              <w:t>度计；掌握热电偶的测量原理；理解温标；了解温度标准的传递。</w:t>
            </w:r>
          </w:p>
        </w:tc>
      </w:tr>
      <w:tr w:rsidR="008C3907" w:rsidTr="008C3907">
        <w:trPr>
          <w:trHeight w:val="410"/>
        </w:trPr>
        <w:tc>
          <w:tcPr>
            <w:tcW w:w="294"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lastRenderedPageBreak/>
              <w:t>4</w:t>
            </w:r>
          </w:p>
        </w:tc>
        <w:tc>
          <w:tcPr>
            <w:tcW w:w="1105" w:type="pct"/>
            <w:vAlign w:val="center"/>
          </w:tcPr>
          <w:p w:rsidR="008C3907" w:rsidRDefault="008C3907" w:rsidP="008C3907">
            <w:pPr>
              <w:ind w:firstLineChars="157" w:firstLine="377"/>
              <w:jc w:val="center"/>
              <w:rPr>
                <w:rFonts w:ascii="Times New Roman" w:eastAsia="仿宋" w:hAnsi="Times New Roman"/>
                <w:sz w:val="24"/>
                <w:szCs w:val="24"/>
              </w:rPr>
            </w:pPr>
            <w:r>
              <w:rPr>
                <w:rFonts w:ascii="Times New Roman" w:eastAsia="仿宋" w:hAnsi="Times New Roman"/>
                <w:sz w:val="24"/>
                <w:szCs w:val="24"/>
              </w:rPr>
              <w:t>第四章：湿度测量</w:t>
            </w:r>
          </w:p>
        </w:tc>
        <w:tc>
          <w:tcPr>
            <w:tcW w:w="377"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2</w:t>
            </w:r>
          </w:p>
        </w:tc>
        <w:tc>
          <w:tcPr>
            <w:tcW w:w="1612" w:type="pct"/>
            <w:vAlign w:val="center"/>
          </w:tcPr>
          <w:p w:rsidR="008C3907" w:rsidRDefault="008C3907" w:rsidP="008C3907">
            <w:pPr>
              <w:pStyle w:val="a6"/>
              <w:snapToGrid w:val="0"/>
              <w:rPr>
                <w:rFonts w:ascii="Times New Roman" w:eastAsia="仿宋" w:hAnsi="Times New Roman"/>
                <w:kern w:val="2"/>
                <w:sz w:val="24"/>
                <w:szCs w:val="24"/>
              </w:rPr>
            </w:pPr>
            <w:r>
              <w:rPr>
                <w:rFonts w:ascii="Times New Roman" w:eastAsia="仿宋" w:hAnsi="Times New Roman"/>
                <w:kern w:val="2"/>
                <w:sz w:val="24"/>
                <w:szCs w:val="24"/>
              </w:rPr>
              <w:t>干湿球湿度计、露点湿度计、电子式湿度传感器、湿度计的校准</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w:t>
            </w:r>
            <w:r>
              <w:rPr>
                <w:rFonts w:ascii="Times New Roman" w:eastAsia="仿宋" w:hAnsi="Times New Roman"/>
                <w:sz w:val="24"/>
                <w:szCs w:val="24"/>
              </w:rPr>
              <w:t xml:space="preserve"> </w:t>
            </w:r>
            <w:r>
              <w:rPr>
                <w:rFonts w:ascii="Times New Roman" w:eastAsia="仿宋" w:hAnsi="Times New Roman"/>
                <w:sz w:val="24"/>
                <w:szCs w:val="24"/>
              </w:rPr>
              <w:t>掌握湿度测量的原理、方法及传感器</w:t>
            </w:r>
          </w:p>
          <w:p w:rsidR="008C3907" w:rsidRDefault="008C3907" w:rsidP="008C3907">
            <w:pPr>
              <w:pStyle w:val="a6"/>
              <w:snapToGrid w:val="0"/>
              <w:jc w:val="left"/>
              <w:rPr>
                <w:rFonts w:ascii="Times New Roman" w:eastAsia="仿宋" w:hAnsi="Times New Roman"/>
                <w:kern w:val="2"/>
                <w:sz w:val="24"/>
                <w:szCs w:val="24"/>
              </w:rPr>
            </w:pPr>
            <w:r>
              <w:rPr>
                <w:rFonts w:ascii="Times New Roman" w:eastAsia="仿宋" w:hAnsi="Times New Roman"/>
                <w:kern w:val="2"/>
                <w:sz w:val="24"/>
                <w:szCs w:val="24"/>
              </w:rPr>
              <w:t>要求：理解湿度的表示方法；掌握干湿球法、露点法、吸湿法中氯化锂湿度传感器。</w:t>
            </w:r>
          </w:p>
        </w:tc>
      </w:tr>
      <w:tr w:rsidR="008C3907" w:rsidTr="008C3907">
        <w:trPr>
          <w:trHeight w:val="1237"/>
        </w:trPr>
        <w:tc>
          <w:tcPr>
            <w:tcW w:w="294"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5</w:t>
            </w:r>
          </w:p>
        </w:tc>
        <w:tc>
          <w:tcPr>
            <w:tcW w:w="1105" w:type="pct"/>
            <w:vAlign w:val="center"/>
          </w:tcPr>
          <w:p w:rsidR="008C3907" w:rsidRDefault="008C3907" w:rsidP="008C3907">
            <w:pPr>
              <w:ind w:firstLineChars="157" w:firstLine="377"/>
              <w:jc w:val="center"/>
              <w:rPr>
                <w:rFonts w:ascii="Times New Roman" w:eastAsia="仿宋" w:hAnsi="Times New Roman"/>
                <w:sz w:val="24"/>
                <w:szCs w:val="24"/>
              </w:rPr>
            </w:pPr>
            <w:r>
              <w:rPr>
                <w:rFonts w:ascii="Times New Roman" w:eastAsia="仿宋" w:hAnsi="Times New Roman"/>
                <w:sz w:val="24"/>
                <w:szCs w:val="24"/>
              </w:rPr>
              <w:t>第五章：压力测量</w:t>
            </w:r>
          </w:p>
        </w:tc>
        <w:tc>
          <w:tcPr>
            <w:tcW w:w="377"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2</w:t>
            </w:r>
          </w:p>
        </w:tc>
        <w:tc>
          <w:tcPr>
            <w:tcW w:w="1612" w:type="pct"/>
            <w:vAlign w:val="center"/>
          </w:tcPr>
          <w:p w:rsidR="008C3907" w:rsidRDefault="008C3907" w:rsidP="008C3907">
            <w:pPr>
              <w:pStyle w:val="a6"/>
              <w:snapToGrid w:val="0"/>
              <w:jc w:val="left"/>
              <w:rPr>
                <w:rFonts w:ascii="Times New Roman" w:eastAsia="仿宋" w:hAnsi="Times New Roman"/>
                <w:kern w:val="2"/>
                <w:sz w:val="24"/>
                <w:szCs w:val="24"/>
              </w:rPr>
            </w:pPr>
            <w:r>
              <w:rPr>
                <w:rFonts w:ascii="Times New Roman" w:eastAsia="仿宋" w:hAnsi="Times New Roman"/>
                <w:kern w:val="2"/>
                <w:sz w:val="24"/>
                <w:szCs w:val="24"/>
              </w:rPr>
              <w:t>概述、液柱式压力计、弹性压力计、电气式压力检测、压力检测仪表的应用与校准</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目的：掌握常规的压力仪表的原理、方法及使应用</w:t>
            </w:r>
            <w:r>
              <w:rPr>
                <w:rFonts w:ascii="Times New Roman" w:eastAsia="仿宋" w:hAnsi="Times New Roman"/>
                <w:sz w:val="24"/>
                <w:szCs w:val="24"/>
              </w:rPr>
              <w:t xml:space="preserve"> </w:t>
            </w:r>
          </w:p>
          <w:p w:rsidR="008C3907" w:rsidRDefault="008C3907" w:rsidP="008C3907">
            <w:pPr>
              <w:pStyle w:val="a6"/>
              <w:snapToGrid w:val="0"/>
              <w:jc w:val="left"/>
              <w:rPr>
                <w:rFonts w:ascii="Times New Roman" w:eastAsia="仿宋" w:hAnsi="Times New Roman"/>
                <w:kern w:val="2"/>
                <w:sz w:val="24"/>
                <w:szCs w:val="24"/>
              </w:rPr>
            </w:pPr>
            <w:r>
              <w:rPr>
                <w:rFonts w:ascii="Times New Roman" w:eastAsia="仿宋" w:hAnsi="Times New Roman"/>
                <w:kern w:val="2"/>
                <w:sz w:val="24"/>
                <w:szCs w:val="24"/>
              </w:rPr>
              <w:t>要求：理解压力测量的基本原理、掌握常规的压力仪表的原理、方法及使应用，了解压力仪表的校验。</w:t>
            </w:r>
          </w:p>
        </w:tc>
      </w:tr>
      <w:tr w:rsidR="008C3907" w:rsidTr="008C3907">
        <w:trPr>
          <w:trHeight w:val="1237"/>
        </w:trPr>
        <w:tc>
          <w:tcPr>
            <w:tcW w:w="294"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6</w:t>
            </w:r>
          </w:p>
        </w:tc>
        <w:tc>
          <w:tcPr>
            <w:tcW w:w="1105" w:type="pct"/>
            <w:vAlign w:val="center"/>
          </w:tcPr>
          <w:p w:rsidR="008C3907" w:rsidRDefault="008C3907" w:rsidP="008C3907">
            <w:pPr>
              <w:ind w:firstLineChars="157" w:firstLine="377"/>
              <w:jc w:val="center"/>
              <w:rPr>
                <w:rFonts w:ascii="Times New Roman" w:eastAsia="仿宋" w:hAnsi="Times New Roman"/>
                <w:sz w:val="24"/>
                <w:szCs w:val="24"/>
              </w:rPr>
            </w:pPr>
            <w:r>
              <w:rPr>
                <w:rFonts w:ascii="Times New Roman" w:eastAsia="仿宋" w:hAnsi="Times New Roman"/>
                <w:sz w:val="24"/>
                <w:szCs w:val="24"/>
              </w:rPr>
              <w:t>第六章：物位测量</w:t>
            </w:r>
          </w:p>
        </w:tc>
        <w:tc>
          <w:tcPr>
            <w:tcW w:w="377"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2</w:t>
            </w:r>
          </w:p>
        </w:tc>
        <w:tc>
          <w:tcPr>
            <w:tcW w:w="1612" w:type="pct"/>
            <w:vAlign w:val="center"/>
          </w:tcPr>
          <w:p w:rsidR="008C3907" w:rsidRDefault="008C3907" w:rsidP="008C3907">
            <w:pPr>
              <w:pStyle w:val="a6"/>
              <w:snapToGrid w:val="0"/>
              <w:jc w:val="left"/>
              <w:rPr>
                <w:rFonts w:ascii="Times New Roman" w:eastAsia="仿宋" w:hAnsi="Times New Roman"/>
                <w:kern w:val="2"/>
                <w:sz w:val="24"/>
                <w:szCs w:val="24"/>
              </w:rPr>
            </w:pPr>
            <w:r>
              <w:rPr>
                <w:rFonts w:ascii="Times New Roman" w:eastAsia="仿宋" w:hAnsi="Times New Roman"/>
                <w:kern w:val="2"/>
                <w:sz w:val="24"/>
                <w:szCs w:val="24"/>
              </w:rPr>
              <w:t>物位检测的主要方法和分类、静压式物位检测、浮力式物位检测、电气式物位检测、声学式物位检测、射线式物位检测</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目的：掌握液位测量的原理、方法及测量仪表</w:t>
            </w:r>
            <w:r>
              <w:rPr>
                <w:rFonts w:ascii="Times New Roman" w:eastAsia="仿宋" w:hAnsi="Times New Roman"/>
                <w:sz w:val="24"/>
                <w:szCs w:val="24"/>
              </w:rPr>
              <w:t xml:space="preserve"> </w:t>
            </w:r>
          </w:p>
          <w:p w:rsidR="008C3907" w:rsidRDefault="008C3907" w:rsidP="008C3907">
            <w:pPr>
              <w:pStyle w:val="a6"/>
              <w:snapToGrid w:val="0"/>
              <w:rPr>
                <w:rFonts w:ascii="Times New Roman" w:eastAsia="仿宋" w:hAnsi="Times New Roman"/>
                <w:kern w:val="2"/>
                <w:sz w:val="24"/>
                <w:szCs w:val="24"/>
              </w:rPr>
            </w:pPr>
            <w:r>
              <w:rPr>
                <w:rFonts w:ascii="Times New Roman" w:eastAsia="仿宋" w:hAnsi="Times New Roman"/>
                <w:kern w:val="2"/>
                <w:sz w:val="24"/>
                <w:szCs w:val="24"/>
              </w:rPr>
              <w:t>要求：了解物位测量的分类，掌握不同液位仪表的测量原理、方法及应用。</w:t>
            </w:r>
          </w:p>
        </w:tc>
      </w:tr>
      <w:tr w:rsidR="008C3907" w:rsidTr="008C3907">
        <w:trPr>
          <w:trHeight w:val="1237"/>
        </w:trPr>
        <w:tc>
          <w:tcPr>
            <w:tcW w:w="294"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7</w:t>
            </w:r>
          </w:p>
        </w:tc>
        <w:tc>
          <w:tcPr>
            <w:tcW w:w="1105" w:type="pct"/>
            <w:vAlign w:val="center"/>
          </w:tcPr>
          <w:p w:rsidR="008C3907" w:rsidRDefault="008C3907" w:rsidP="008C3907">
            <w:pPr>
              <w:ind w:firstLineChars="157" w:firstLine="377"/>
              <w:jc w:val="center"/>
              <w:rPr>
                <w:rFonts w:ascii="Times New Roman" w:eastAsia="仿宋" w:hAnsi="Times New Roman"/>
                <w:sz w:val="24"/>
                <w:szCs w:val="24"/>
              </w:rPr>
            </w:pPr>
            <w:r>
              <w:rPr>
                <w:rFonts w:ascii="Times New Roman" w:eastAsia="仿宋" w:hAnsi="Times New Roman"/>
                <w:sz w:val="24"/>
                <w:szCs w:val="24"/>
              </w:rPr>
              <w:t>第七章：流速及流量测量</w:t>
            </w:r>
          </w:p>
        </w:tc>
        <w:tc>
          <w:tcPr>
            <w:tcW w:w="377"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2</w:t>
            </w:r>
          </w:p>
        </w:tc>
        <w:tc>
          <w:tcPr>
            <w:tcW w:w="1612" w:type="pct"/>
            <w:vAlign w:val="center"/>
          </w:tcPr>
          <w:p w:rsidR="008C3907" w:rsidRDefault="008C3907" w:rsidP="008C3907">
            <w:pPr>
              <w:pStyle w:val="a6"/>
              <w:snapToGrid w:val="0"/>
              <w:rPr>
                <w:rFonts w:ascii="Times New Roman" w:eastAsia="仿宋" w:hAnsi="Times New Roman"/>
                <w:kern w:val="2"/>
                <w:sz w:val="24"/>
                <w:szCs w:val="24"/>
              </w:rPr>
            </w:pPr>
            <w:r>
              <w:rPr>
                <w:rFonts w:ascii="Times New Roman" w:eastAsia="仿宋" w:hAnsi="Times New Roman"/>
                <w:kern w:val="2"/>
                <w:sz w:val="24"/>
                <w:szCs w:val="24"/>
              </w:rPr>
              <w:t>流速测量、流速测量仪表的校准、流量测量方法和分类、差压式流量测量方法及测量仪表、叶轮式流量计、电磁流量计、超声波流量计、涡街流量计、容积流量计、流量计的校准</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目的：掌握流速的测量原理、方法及仪表；掌握流量测量的不同测量原理、方法及测量仪表。</w:t>
            </w:r>
          </w:p>
          <w:p w:rsidR="008C3907" w:rsidRDefault="008C3907" w:rsidP="008C3907">
            <w:pPr>
              <w:rPr>
                <w:rFonts w:ascii="Times New Roman" w:eastAsia="仿宋" w:hAnsi="Times New Roman"/>
                <w:sz w:val="24"/>
                <w:szCs w:val="24"/>
              </w:rPr>
            </w:pPr>
            <w:r>
              <w:rPr>
                <w:rFonts w:ascii="Times New Roman" w:eastAsia="仿宋" w:hAnsi="Times New Roman"/>
                <w:sz w:val="24"/>
                <w:szCs w:val="24"/>
              </w:rPr>
              <w:t>要求：了解流速测量方法的分类，理解毕托管的测量原理，掌握毕托管测流速的方法；理解流量的基本概念，掌握毕托管、孔板、测量流量的原理、方法及测量系统；理解转子流量计的测量原理，掌握转子流量计的刻度校正；了解电动远传转子流量计、电磁流量计、容积式流量计。</w:t>
            </w:r>
          </w:p>
        </w:tc>
      </w:tr>
      <w:tr w:rsidR="008C3907" w:rsidTr="008C3907">
        <w:trPr>
          <w:trHeight w:val="1237"/>
        </w:trPr>
        <w:tc>
          <w:tcPr>
            <w:tcW w:w="294" w:type="pct"/>
            <w:vAlign w:val="center"/>
          </w:tcPr>
          <w:p w:rsidR="008C3907" w:rsidRDefault="008C3907" w:rsidP="008C3907">
            <w:pPr>
              <w:ind w:right="210"/>
              <w:jc w:val="center"/>
              <w:rPr>
                <w:rFonts w:ascii="Times New Roman" w:eastAsia="仿宋" w:hAnsi="Times New Roman"/>
                <w:sz w:val="24"/>
                <w:szCs w:val="24"/>
              </w:rPr>
            </w:pPr>
            <w:r>
              <w:rPr>
                <w:rFonts w:ascii="Times New Roman" w:eastAsia="仿宋" w:hAnsi="Times New Roman"/>
                <w:sz w:val="24"/>
                <w:szCs w:val="24"/>
              </w:rPr>
              <w:lastRenderedPageBreak/>
              <w:t>8</w:t>
            </w:r>
          </w:p>
        </w:tc>
        <w:tc>
          <w:tcPr>
            <w:tcW w:w="1105"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第八章：热量测量</w:t>
            </w:r>
          </w:p>
        </w:tc>
        <w:tc>
          <w:tcPr>
            <w:tcW w:w="377"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2</w:t>
            </w:r>
          </w:p>
        </w:tc>
        <w:tc>
          <w:tcPr>
            <w:tcW w:w="1612" w:type="pct"/>
            <w:vAlign w:val="center"/>
          </w:tcPr>
          <w:p w:rsidR="008C3907" w:rsidRDefault="008C3907" w:rsidP="008C3907">
            <w:pPr>
              <w:pStyle w:val="a6"/>
              <w:snapToGrid w:val="0"/>
              <w:jc w:val="left"/>
              <w:rPr>
                <w:rFonts w:ascii="Times New Roman" w:eastAsia="仿宋" w:hAnsi="Times New Roman"/>
                <w:kern w:val="2"/>
                <w:sz w:val="24"/>
                <w:szCs w:val="24"/>
              </w:rPr>
            </w:pPr>
            <w:r>
              <w:rPr>
                <w:rFonts w:ascii="Times New Roman" w:eastAsia="仿宋" w:hAnsi="Times New Roman"/>
                <w:kern w:val="2"/>
                <w:sz w:val="24"/>
                <w:szCs w:val="24"/>
              </w:rPr>
              <w:t>热阻式热流计、热量及冷量的测量</w:t>
            </w:r>
          </w:p>
        </w:tc>
        <w:tc>
          <w:tcPr>
            <w:tcW w:w="1612" w:type="pct"/>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w:t>
            </w:r>
            <w:r>
              <w:rPr>
                <w:rFonts w:ascii="Times New Roman" w:eastAsia="仿宋" w:hAnsi="Times New Roman"/>
                <w:sz w:val="24"/>
                <w:szCs w:val="24"/>
              </w:rPr>
              <w:t xml:space="preserve"> </w:t>
            </w:r>
            <w:r>
              <w:rPr>
                <w:rFonts w:ascii="Times New Roman" w:eastAsia="仿宋" w:hAnsi="Times New Roman"/>
                <w:sz w:val="24"/>
                <w:szCs w:val="24"/>
              </w:rPr>
              <w:t>掌握热流密度、热、冷水热量、蒸汽热量的测量；掌握主要的成分分析仪表的测量原理、设计及应用。</w:t>
            </w:r>
          </w:p>
          <w:p w:rsidR="008C3907" w:rsidRDefault="008C3907" w:rsidP="008C3907">
            <w:pPr>
              <w:rPr>
                <w:rFonts w:ascii="Times New Roman" w:eastAsia="仿宋" w:hAnsi="Times New Roman"/>
                <w:sz w:val="24"/>
                <w:szCs w:val="24"/>
              </w:rPr>
            </w:pPr>
            <w:r>
              <w:rPr>
                <w:rFonts w:ascii="Times New Roman" w:eastAsia="仿宋" w:hAnsi="Times New Roman"/>
                <w:sz w:val="24"/>
                <w:szCs w:val="24"/>
              </w:rPr>
              <w:t>要求：了解热量测量的基本分类、掌握热电堆热流计、热量表的工作原理、系统组成及应用。理解蒸汽热量与热水热量测量的区别。</w:t>
            </w:r>
          </w:p>
        </w:tc>
      </w:tr>
      <w:tr w:rsidR="008C3907" w:rsidTr="008C3907">
        <w:trPr>
          <w:trHeight w:val="1237"/>
        </w:trPr>
        <w:tc>
          <w:tcPr>
            <w:tcW w:w="294" w:type="pct"/>
            <w:vAlign w:val="center"/>
          </w:tcPr>
          <w:p w:rsidR="008C3907" w:rsidRDefault="008C3907" w:rsidP="008C3907">
            <w:pPr>
              <w:jc w:val="center"/>
              <w:rPr>
                <w:rFonts w:ascii="Times New Roman" w:eastAsia="仿宋" w:hAnsi="Times New Roman"/>
                <w:sz w:val="24"/>
                <w:szCs w:val="24"/>
              </w:rPr>
            </w:pPr>
            <w:r>
              <w:rPr>
                <w:rFonts w:ascii="Times New Roman" w:eastAsia="仿宋" w:hAnsi="Times New Roman"/>
                <w:sz w:val="24"/>
                <w:szCs w:val="24"/>
              </w:rPr>
              <w:t>9</w:t>
            </w:r>
          </w:p>
        </w:tc>
        <w:tc>
          <w:tcPr>
            <w:tcW w:w="1105"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第九章：建筑环境测量</w:t>
            </w:r>
          </w:p>
        </w:tc>
        <w:tc>
          <w:tcPr>
            <w:tcW w:w="377"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2</w:t>
            </w:r>
          </w:p>
        </w:tc>
        <w:tc>
          <w:tcPr>
            <w:tcW w:w="1612" w:type="pct"/>
            <w:vAlign w:val="center"/>
          </w:tcPr>
          <w:p w:rsidR="008C3907" w:rsidRDefault="008C3907" w:rsidP="008C3907">
            <w:pPr>
              <w:pStyle w:val="a6"/>
              <w:snapToGrid w:val="0"/>
              <w:jc w:val="left"/>
              <w:rPr>
                <w:rFonts w:ascii="Times New Roman" w:eastAsia="仿宋" w:hAnsi="Times New Roman"/>
                <w:kern w:val="2"/>
                <w:sz w:val="24"/>
                <w:szCs w:val="24"/>
              </w:rPr>
            </w:pPr>
            <w:r>
              <w:rPr>
                <w:rFonts w:ascii="Times New Roman" w:eastAsia="仿宋" w:hAnsi="Times New Roman"/>
                <w:kern w:val="2"/>
                <w:sz w:val="24"/>
                <w:szCs w:val="24"/>
              </w:rPr>
              <w:t>空气中气体污染物的测量、空气中含尘浓度及生物微粒的测量、环境放射性测量、环境噪声测量、建筑光环境测量、环境测量仪器的校准</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目的：掌握气体污染物的测量，空气含尘浓度的测量，环境放射性测量，建筑声环境测量，建筑光环境测量。</w:t>
            </w:r>
          </w:p>
          <w:p w:rsidR="008C3907" w:rsidRDefault="008C3907" w:rsidP="008C3907">
            <w:pPr>
              <w:rPr>
                <w:rFonts w:ascii="Times New Roman" w:eastAsia="仿宋" w:hAnsi="Times New Roman"/>
                <w:sz w:val="24"/>
                <w:szCs w:val="24"/>
              </w:rPr>
            </w:pPr>
            <w:r>
              <w:rPr>
                <w:rFonts w:ascii="Times New Roman" w:eastAsia="仿宋" w:hAnsi="Times New Roman"/>
                <w:sz w:val="24"/>
                <w:szCs w:val="24"/>
              </w:rPr>
              <w:t>要求：了解空气中气体污染物的测量方法。理解空气含尘浓度及生物微粒的测量测量原理，理解环境放射性测量方法，理解环境噪声测量方法，理解建筑光环境测量方法。掌握环境测量仪器的校准方法。</w:t>
            </w:r>
          </w:p>
        </w:tc>
      </w:tr>
      <w:tr w:rsidR="008C3907" w:rsidTr="008C3907">
        <w:trPr>
          <w:trHeight w:val="1237"/>
        </w:trPr>
        <w:tc>
          <w:tcPr>
            <w:tcW w:w="294"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10</w:t>
            </w:r>
          </w:p>
        </w:tc>
        <w:tc>
          <w:tcPr>
            <w:tcW w:w="1105"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第十章：其他参数的测量</w:t>
            </w:r>
          </w:p>
        </w:tc>
        <w:tc>
          <w:tcPr>
            <w:tcW w:w="377"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1</w:t>
            </w:r>
          </w:p>
        </w:tc>
        <w:tc>
          <w:tcPr>
            <w:tcW w:w="1612" w:type="pct"/>
            <w:vAlign w:val="center"/>
          </w:tcPr>
          <w:p w:rsidR="008C3907" w:rsidRDefault="008C3907" w:rsidP="008C3907">
            <w:pPr>
              <w:pStyle w:val="a6"/>
              <w:snapToGrid w:val="0"/>
              <w:jc w:val="left"/>
              <w:rPr>
                <w:rFonts w:ascii="Times New Roman" w:eastAsia="仿宋" w:hAnsi="Times New Roman"/>
                <w:kern w:val="2"/>
                <w:sz w:val="24"/>
                <w:szCs w:val="24"/>
              </w:rPr>
            </w:pPr>
            <w:r>
              <w:rPr>
                <w:rFonts w:ascii="Times New Roman" w:eastAsia="仿宋" w:hAnsi="Times New Roman"/>
                <w:kern w:val="2"/>
                <w:sz w:val="24"/>
                <w:szCs w:val="24"/>
              </w:rPr>
              <w:t>过剩空气系数测量、水中含盐量测量、水中含氧量测量、交流电电量测量</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目的：掌握过剩空气系数测试，水中含盐量测量，水中含氧量测量，交流电电量测量。</w:t>
            </w:r>
          </w:p>
          <w:p w:rsidR="008C3907" w:rsidRDefault="008C3907" w:rsidP="008C3907">
            <w:pPr>
              <w:rPr>
                <w:rFonts w:ascii="Times New Roman" w:eastAsia="仿宋" w:hAnsi="Times New Roman"/>
                <w:sz w:val="24"/>
                <w:szCs w:val="24"/>
              </w:rPr>
            </w:pPr>
            <w:r>
              <w:rPr>
                <w:rFonts w:ascii="Times New Roman" w:eastAsia="仿宋" w:hAnsi="Times New Roman"/>
                <w:sz w:val="24"/>
                <w:szCs w:val="24"/>
              </w:rPr>
              <w:t>要求：了解过剩空气系数、水中含盐量、水中含氧量、交流电电量测量测量的原理。</w:t>
            </w:r>
          </w:p>
        </w:tc>
      </w:tr>
      <w:tr w:rsidR="008C3907" w:rsidTr="008C3907">
        <w:trPr>
          <w:trHeight w:val="1237"/>
        </w:trPr>
        <w:tc>
          <w:tcPr>
            <w:tcW w:w="294"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11</w:t>
            </w:r>
          </w:p>
        </w:tc>
        <w:tc>
          <w:tcPr>
            <w:tcW w:w="1105"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第十一章：电动显示仪表</w:t>
            </w:r>
          </w:p>
        </w:tc>
        <w:tc>
          <w:tcPr>
            <w:tcW w:w="377"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1</w:t>
            </w:r>
          </w:p>
        </w:tc>
        <w:tc>
          <w:tcPr>
            <w:tcW w:w="1612" w:type="pct"/>
            <w:vAlign w:val="center"/>
          </w:tcPr>
          <w:p w:rsidR="008C3907" w:rsidRDefault="008C3907" w:rsidP="008C3907">
            <w:pPr>
              <w:pStyle w:val="a6"/>
              <w:snapToGrid w:val="0"/>
              <w:jc w:val="left"/>
              <w:rPr>
                <w:rFonts w:ascii="Times New Roman" w:eastAsia="仿宋" w:hAnsi="Times New Roman"/>
                <w:kern w:val="2"/>
                <w:sz w:val="24"/>
                <w:szCs w:val="24"/>
              </w:rPr>
            </w:pPr>
            <w:r>
              <w:rPr>
                <w:rFonts w:ascii="Times New Roman" w:eastAsia="仿宋" w:hAnsi="Times New Roman"/>
                <w:kern w:val="2"/>
                <w:sz w:val="24"/>
                <w:szCs w:val="24"/>
              </w:rPr>
              <w:t>概述、模拟式显示仪表、数字式显示仪表、智能显示仪表、传感器及变送器与显示仪表的连接</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目的：掌握模拟式显示仪表的基本结构及其原理。</w:t>
            </w:r>
          </w:p>
          <w:p w:rsidR="008C3907" w:rsidRDefault="008C3907" w:rsidP="008C3907">
            <w:pPr>
              <w:rPr>
                <w:rFonts w:ascii="Times New Roman" w:eastAsia="仿宋" w:hAnsi="Times New Roman"/>
                <w:sz w:val="24"/>
                <w:szCs w:val="24"/>
              </w:rPr>
            </w:pPr>
            <w:r>
              <w:rPr>
                <w:rFonts w:ascii="Times New Roman" w:eastAsia="仿宋" w:hAnsi="Times New Roman"/>
                <w:sz w:val="24"/>
                <w:szCs w:val="24"/>
              </w:rPr>
              <w:t>要求：了解模</w:t>
            </w:r>
            <w:r>
              <w:rPr>
                <w:rFonts w:ascii="Times New Roman" w:eastAsia="仿宋" w:hAnsi="Times New Roman"/>
                <w:sz w:val="24"/>
                <w:szCs w:val="24"/>
              </w:rPr>
              <w:t>-</w:t>
            </w:r>
            <w:r>
              <w:rPr>
                <w:rFonts w:ascii="Times New Roman" w:eastAsia="仿宋" w:hAnsi="Times New Roman"/>
                <w:sz w:val="24"/>
                <w:szCs w:val="24"/>
              </w:rPr>
              <w:t>数转换、非线性补偿、标度变换的原理。理解智能显示仪表的结构原理。</w:t>
            </w:r>
          </w:p>
        </w:tc>
      </w:tr>
      <w:tr w:rsidR="008C3907" w:rsidTr="008C3907">
        <w:trPr>
          <w:trHeight w:val="1237"/>
        </w:trPr>
        <w:tc>
          <w:tcPr>
            <w:tcW w:w="294"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12</w:t>
            </w:r>
          </w:p>
        </w:tc>
        <w:tc>
          <w:tcPr>
            <w:tcW w:w="1105"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第十二章：自动化测量系统</w:t>
            </w:r>
          </w:p>
        </w:tc>
        <w:tc>
          <w:tcPr>
            <w:tcW w:w="377"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2</w:t>
            </w:r>
          </w:p>
        </w:tc>
        <w:tc>
          <w:tcPr>
            <w:tcW w:w="1612" w:type="pct"/>
            <w:vAlign w:val="center"/>
          </w:tcPr>
          <w:p w:rsidR="008C3907" w:rsidRDefault="008C3907" w:rsidP="008C3907">
            <w:pPr>
              <w:pStyle w:val="a6"/>
              <w:snapToGrid w:val="0"/>
              <w:jc w:val="left"/>
              <w:rPr>
                <w:rFonts w:ascii="Times New Roman" w:eastAsia="仿宋" w:hAnsi="Times New Roman"/>
                <w:kern w:val="2"/>
                <w:sz w:val="24"/>
                <w:szCs w:val="24"/>
              </w:rPr>
            </w:pPr>
            <w:r>
              <w:rPr>
                <w:rFonts w:ascii="Times New Roman" w:eastAsia="仿宋" w:hAnsi="Times New Roman"/>
                <w:kern w:val="2"/>
                <w:sz w:val="24"/>
                <w:szCs w:val="24"/>
              </w:rPr>
              <w:t>自动化测量系统概述、集中式及分布式自动化测量系统、数据采集器、数据采集系统</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目的：掌握集中式、分布式自动化测量系统以及数据采集系统的构成及组建方法。</w:t>
            </w:r>
          </w:p>
          <w:p w:rsidR="008C3907" w:rsidRDefault="008C3907" w:rsidP="008C3907">
            <w:pPr>
              <w:rPr>
                <w:rFonts w:ascii="Times New Roman" w:eastAsia="仿宋" w:hAnsi="Times New Roman"/>
                <w:sz w:val="24"/>
                <w:szCs w:val="24"/>
              </w:rPr>
            </w:pPr>
            <w:r>
              <w:rPr>
                <w:rFonts w:ascii="Times New Roman" w:eastAsia="仿宋" w:hAnsi="Times New Roman"/>
                <w:sz w:val="24"/>
                <w:szCs w:val="24"/>
              </w:rPr>
              <w:lastRenderedPageBreak/>
              <w:t>要求：了解自动化测试系统的概念。理解数据采集器的工作原理。掌握数据采集系统的构成及组建方法。</w:t>
            </w:r>
          </w:p>
        </w:tc>
      </w:tr>
      <w:tr w:rsidR="008C3907" w:rsidTr="008C3907">
        <w:trPr>
          <w:trHeight w:val="1237"/>
        </w:trPr>
        <w:tc>
          <w:tcPr>
            <w:tcW w:w="294"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lastRenderedPageBreak/>
              <w:t>13</w:t>
            </w:r>
          </w:p>
        </w:tc>
        <w:tc>
          <w:tcPr>
            <w:tcW w:w="1105"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第十三章：建筑环境测试技术</w:t>
            </w:r>
          </w:p>
        </w:tc>
        <w:tc>
          <w:tcPr>
            <w:tcW w:w="377"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2</w:t>
            </w:r>
          </w:p>
        </w:tc>
        <w:tc>
          <w:tcPr>
            <w:tcW w:w="1612" w:type="pct"/>
            <w:vAlign w:val="center"/>
          </w:tcPr>
          <w:p w:rsidR="008C3907" w:rsidRDefault="008C3907" w:rsidP="008C3907">
            <w:pPr>
              <w:pStyle w:val="a6"/>
              <w:snapToGrid w:val="0"/>
              <w:jc w:val="left"/>
              <w:rPr>
                <w:rFonts w:ascii="Times New Roman" w:eastAsia="仿宋" w:hAnsi="Times New Roman"/>
                <w:kern w:val="2"/>
                <w:sz w:val="24"/>
                <w:szCs w:val="24"/>
              </w:rPr>
            </w:pPr>
            <w:r>
              <w:rPr>
                <w:rFonts w:ascii="Times New Roman" w:eastAsia="仿宋" w:hAnsi="Times New Roman"/>
                <w:kern w:val="2"/>
                <w:sz w:val="24"/>
                <w:szCs w:val="24"/>
              </w:rPr>
              <w:t>建筑能耗测量技术、通风空调系统风量测量技术、一般通风用空气过滤器性能测量技术、空气冷却器与空气加热器性能测量技术、散热器热工性能测量技术、空调机组性能测量技术、洁净室测量技术、工业企业噪声测量技术</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目的：掌握建筑环境测试系统的构思，测试装置的选择，测量的具体方法，测量结果的处理。</w:t>
            </w:r>
          </w:p>
          <w:p w:rsidR="008C3907" w:rsidRDefault="008C3907" w:rsidP="008C3907">
            <w:pPr>
              <w:rPr>
                <w:rFonts w:ascii="Times New Roman" w:eastAsia="仿宋" w:hAnsi="Times New Roman"/>
                <w:sz w:val="24"/>
                <w:szCs w:val="24"/>
              </w:rPr>
            </w:pPr>
            <w:r>
              <w:rPr>
                <w:rFonts w:ascii="Times New Roman" w:eastAsia="仿宋" w:hAnsi="Times New Roman"/>
                <w:sz w:val="24"/>
                <w:szCs w:val="24"/>
              </w:rPr>
              <w:t>要求：了解建筑能耗测量技术。理解通风空调系统测试技术的原理及方法。</w:t>
            </w:r>
          </w:p>
        </w:tc>
      </w:tr>
      <w:tr w:rsidR="008C3907" w:rsidTr="008C3907">
        <w:trPr>
          <w:trHeight w:val="1237"/>
        </w:trPr>
        <w:tc>
          <w:tcPr>
            <w:tcW w:w="294" w:type="pct"/>
            <w:vAlign w:val="center"/>
          </w:tcPr>
          <w:p w:rsidR="008C3907" w:rsidRDefault="008C3907" w:rsidP="008C3907">
            <w:pPr>
              <w:rPr>
                <w:rFonts w:ascii="Times New Roman" w:eastAsia="仿宋" w:hAnsi="Times New Roman"/>
                <w:sz w:val="24"/>
                <w:szCs w:val="24"/>
              </w:rPr>
            </w:pPr>
            <w:r>
              <w:rPr>
                <w:rFonts w:ascii="Times New Roman" w:eastAsia="仿宋" w:hAnsi="Times New Roman" w:hint="eastAsia"/>
                <w:sz w:val="24"/>
                <w:szCs w:val="24"/>
              </w:rPr>
              <w:t>1</w:t>
            </w:r>
            <w:r>
              <w:rPr>
                <w:rFonts w:ascii="Times New Roman" w:eastAsia="仿宋" w:hAnsi="Times New Roman"/>
                <w:sz w:val="24"/>
                <w:szCs w:val="24"/>
              </w:rPr>
              <w:t>4</w:t>
            </w:r>
          </w:p>
        </w:tc>
        <w:tc>
          <w:tcPr>
            <w:tcW w:w="1105"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实验一</w:t>
            </w:r>
          </w:p>
        </w:tc>
        <w:tc>
          <w:tcPr>
            <w:tcW w:w="377"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2</w:t>
            </w:r>
          </w:p>
        </w:tc>
        <w:tc>
          <w:tcPr>
            <w:tcW w:w="1612" w:type="pct"/>
            <w:vAlign w:val="center"/>
          </w:tcPr>
          <w:p w:rsidR="008C3907" w:rsidRDefault="008C3907" w:rsidP="008C3907">
            <w:pPr>
              <w:pStyle w:val="a6"/>
              <w:snapToGrid w:val="0"/>
              <w:jc w:val="left"/>
              <w:rPr>
                <w:rFonts w:ascii="Times New Roman" w:eastAsia="仿宋" w:hAnsi="Times New Roman"/>
                <w:kern w:val="2"/>
                <w:sz w:val="24"/>
                <w:szCs w:val="24"/>
              </w:rPr>
            </w:pPr>
            <w:r>
              <w:rPr>
                <w:rFonts w:ascii="Times New Roman" w:eastAsia="仿宋" w:hAnsi="Times New Roman"/>
                <w:kern w:val="2"/>
                <w:sz w:val="24"/>
                <w:szCs w:val="24"/>
              </w:rPr>
              <w:t>热电偶的标定</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目的：了解热电偶温度计的工作原理</w:t>
            </w:r>
          </w:p>
          <w:p w:rsidR="008C3907" w:rsidRDefault="008C3907" w:rsidP="008C3907">
            <w:pPr>
              <w:rPr>
                <w:rFonts w:ascii="Times New Roman" w:eastAsia="仿宋" w:hAnsi="Times New Roman"/>
                <w:sz w:val="24"/>
                <w:szCs w:val="24"/>
              </w:rPr>
            </w:pPr>
            <w:r>
              <w:rPr>
                <w:rFonts w:ascii="Times New Roman" w:eastAsia="仿宋" w:hAnsi="Times New Roman"/>
                <w:sz w:val="24"/>
                <w:szCs w:val="24"/>
              </w:rPr>
              <w:t>要求：学会焊接铜</w:t>
            </w:r>
            <w:r>
              <w:rPr>
                <w:rFonts w:ascii="Times New Roman" w:eastAsia="仿宋" w:hAnsi="Times New Roman"/>
                <w:sz w:val="24"/>
                <w:szCs w:val="24"/>
              </w:rPr>
              <w:t>-</w:t>
            </w:r>
            <w:r>
              <w:rPr>
                <w:rFonts w:ascii="Times New Roman" w:eastAsia="仿宋" w:hAnsi="Times New Roman"/>
                <w:sz w:val="24"/>
                <w:szCs w:val="24"/>
              </w:rPr>
              <w:t>康铜热电偶的方法，学会热电偶的标定。</w:t>
            </w:r>
          </w:p>
        </w:tc>
      </w:tr>
      <w:tr w:rsidR="008C3907" w:rsidTr="008C3907">
        <w:trPr>
          <w:trHeight w:val="1237"/>
        </w:trPr>
        <w:tc>
          <w:tcPr>
            <w:tcW w:w="294" w:type="pct"/>
            <w:vAlign w:val="center"/>
          </w:tcPr>
          <w:p w:rsidR="008C3907" w:rsidRDefault="008C3907" w:rsidP="008C3907">
            <w:pPr>
              <w:rPr>
                <w:rFonts w:ascii="Times New Roman" w:eastAsia="仿宋" w:hAnsi="Times New Roman"/>
                <w:sz w:val="24"/>
                <w:szCs w:val="24"/>
              </w:rPr>
            </w:pPr>
            <w:r>
              <w:rPr>
                <w:rFonts w:ascii="Times New Roman" w:eastAsia="仿宋" w:hAnsi="Times New Roman" w:hint="eastAsia"/>
                <w:sz w:val="24"/>
                <w:szCs w:val="24"/>
              </w:rPr>
              <w:t>1</w:t>
            </w:r>
            <w:r>
              <w:rPr>
                <w:rFonts w:ascii="Times New Roman" w:eastAsia="仿宋" w:hAnsi="Times New Roman"/>
                <w:sz w:val="24"/>
                <w:szCs w:val="24"/>
              </w:rPr>
              <w:t>5</w:t>
            </w:r>
          </w:p>
        </w:tc>
        <w:tc>
          <w:tcPr>
            <w:tcW w:w="1105"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实验二</w:t>
            </w:r>
          </w:p>
        </w:tc>
        <w:tc>
          <w:tcPr>
            <w:tcW w:w="377" w:type="pct"/>
            <w:vAlign w:val="center"/>
          </w:tcPr>
          <w:p w:rsidR="008C3907" w:rsidRDefault="008C3907" w:rsidP="008C3907">
            <w:pPr>
              <w:pStyle w:val="a6"/>
              <w:snapToGrid w:val="0"/>
              <w:jc w:val="center"/>
              <w:rPr>
                <w:rFonts w:ascii="Times New Roman" w:eastAsia="仿宋" w:hAnsi="Times New Roman"/>
                <w:kern w:val="2"/>
                <w:sz w:val="24"/>
                <w:szCs w:val="24"/>
              </w:rPr>
            </w:pPr>
            <w:r>
              <w:rPr>
                <w:rFonts w:ascii="Times New Roman" w:eastAsia="仿宋" w:hAnsi="Times New Roman"/>
                <w:kern w:val="2"/>
                <w:sz w:val="24"/>
                <w:szCs w:val="24"/>
              </w:rPr>
              <w:t>2</w:t>
            </w:r>
          </w:p>
        </w:tc>
        <w:tc>
          <w:tcPr>
            <w:tcW w:w="1612" w:type="pct"/>
            <w:vAlign w:val="center"/>
          </w:tcPr>
          <w:p w:rsidR="008C3907" w:rsidRDefault="008C3907" w:rsidP="008C3907">
            <w:pPr>
              <w:pStyle w:val="a6"/>
              <w:snapToGrid w:val="0"/>
              <w:jc w:val="left"/>
              <w:rPr>
                <w:rFonts w:ascii="Times New Roman" w:eastAsia="仿宋" w:hAnsi="Times New Roman"/>
                <w:kern w:val="2"/>
                <w:sz w:val="24"/>
                <w:szCs w:val="24"/>
              </w:rPr>
            </w:pPr>
            <w:r>
              <w:rPr>
                <w:rFonts w:ascii="Times New Roman" w:eastAsia="仿宋" w:hAnsi="Times New Roman"/>
                <w:kern w:val="2"/>
                <w:sz w:val="24"/>
                <w:szCs w:val="24"/>
              </w:rPr>
              <w:t>压力表校验</w:t>
            </w:r>
          </w:p>
        </w:tc>
        <w:tc>
          <w:tcPr>
            <w:tcW w:w="1612" w:type="pct"/>
            <w:vAlign w:val="center"/>
          </w:tcPr>
          <w:p w:rsidR="008C3907" w:rsidRDefault="008C3907" w:rsidP="008C3907">
            <w:pPr>
              <w:rPr>
                <w:rFonts w:ascii="Times New Roman" w:eastAsia="仿宋" w:hAnsi="Times New Roman"/>
                <w:sz w:val="24"/>
                <w:szCs w:val="24"/>
              </w:rPr>
            </w:pPr>
            <w:r>
              <w:rPr>
                <w:rFonts w:ascii="Times New Roman" w:eastAsia="仿宋" w:hAnsi="Times New Roman"/>
                <w:sz w:val="24"/>
                <w:szCs w:val="24"/>
              </w:rPr>
              <w:t>目的：熟悉活塞式压力机、弹簧管压力表的基本结构、工作原理及使用方法</w:t>
            </w:r>
          </w:p>
          <w:p w:rsidR="008C3907" w:rsidRDefault="008C3907" w:rsidP="008C3907">
            <w:pPr>
              <w:rPr>
                <w:rFonts w:ascii="Times New Roman" w:eastAsia="仿宋" w:hAnsi="Times New Roman"/>
                <w:sz w:val="24"/>
                <w:szCs w:val="24"/>
              </w:rPr>
            </w:pPr>
            <w:r>
              <w:rPr>
                <w:rFonts w:ascii="Times New Roman" w:eastAsia="仿宋" w:hAnsi="Times New Roman"/>
                <w:sz w:val="24"/>
                <w:szCs w:val="24"/>
              </w:rPr>
              <w:t>要求：掌握用压力表校验泵对压力表进行校验、调整的方法。</w:t>
            </w:r>
          </w:p>
        </w:tc>
      </w:tr>
    </w:tbl>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8C3907" w:rsidRDefault="008C3907" w:rsidP="008C3907">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8C3907" w:rsidRDefault="008C3907" w:rsidP="006058C6">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本课程为专业发展课程，不设课外学时，布置一定量的作业作为对课程内容的复习巩固。考核方法为考试。</w:t>
      </w:r>
    </w:p>
    <w:p w:rsidR="008C3907" w:rsidRDefault="006058C6" w:rsidP="006058C6">
      <w:pPr>
        <w:spacing w:line="360" w:lineRule="auto"/>
        <w:ind w:left="560"/>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w:t>
      </w:r>
      <w:r w:rsidR="008C3907">
        <w:rPr>
          <w:rFonts w:ascii="仿宋_GB2312" w:hAnsi="仿宋_GB2312" w:cs="仿宋_GB2312" w:hint="eastAsia"/>
          <w:sz w:val="28"/>
          <w:szCs w:val="28"/>
        </w:rPr>
        <w:t>成绩评定</w:t>
      </w:r>
    </w:p>
    <w:p w:rsidR="008C3907" w:rsidRDefault="008C3907" w:rsidP="006058C6">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成绩评定方式为百分制。</w:t>
      </w:r>
    </w:p>
    <w:p w:rsidR="008C3907" w:rsidRDefault="008C3907" w:rsidP="006058C6">
      <w:pPr>
        <w:spacing w:line="360" w:lineRule="auto"/>
        <w:ind w:firstLineChars="200" w:firstLine="560"/>
        <w:jc w:val="left"/>
        <w:rPr>
          <w:rFonts w:ascii="仿宋_GB2312" w:hAnsi="仿宋_GB2312" w:cs="仿宋_GB2312"/>
          <w:sz w:val="28"/>
          <w:szCs w:val="28"/>
        </w:rPr>
      </w:pPr>
      <w:r>
        <w:rPr>
          <w:rFonts w:ascii="仿宋_GB2312" w:hAnsi="仿宋_GB2312" w:cs="仿宋_GB2312"/>
          <w:sz w:val="28"/>
          <w:szCs w:val="28"/>
        </w:rPr>
        <w:t>课程总成绩=期末成绩70</w:t>
      </w:r>
      <w:r>
        <w:rPr>
          <w:rFonts w:ascii="仿宋_GB2312" w:hAnsi="仿宋_GB2312" w:cs="仿宋_GB2312" w:hint="eastAsia"/>
          <w:sz w:val="28"/>
          <w:szCs w:val="28"/>
        </w:rPr>
        <w:t>%+平时</w:t>
      </w:r>
      <w:r>
        <w:rPr>
          <w:rFonts w:ascii="仿宋_GB2312" w:hAnsi="仿宋_GB2312" w:cs="仿宋_GB2312"/>
          <w:sz w:val="28"/>
          <w:szCs w:val="28"/>
        </w:rPr>
        <w:t>成绩30</w:t>
      </w:r>
      <w:r>
        <w:rPr>
          <w:rFonts w:ascii="仿宋_GB2312" w:hAnsi="仿宋_GB2312" w:cs="仿宋_GB2312" w:hint="eastAsia"/>
          <w:sz w:val="28"/>
          <w:szCs w:val="28"/>
        </w:rPr>
        <w:t>%。</w:t>
      </w:r>
    </w:p>
    <w:p w:rsidR="008C3907" w:rsidRDefault="008C3907" w:rsidP="006058C6">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平时成绩以作业、实验报告考核为主，所占比例30%，期末考</w:t>
      </w:r>
      <w:r>
        <w:rPr>
          <w:rFonts w:ascii="仿宋_GB2312" w:hAnsi="仿宋_GB2312" w:cs="仿宋_GB2312" w:hint="eastAsia"/>
          <w:sz w:val="28"/>
          <w:szCs w:val="28"/>
        </w:rPr>
        <w:lastRenderedPageBreak/>
        <w:t>试成绩占 70%</w:t>
      </w:r>
      <w:r>
        <w:rPr>
          <w:rFonts w:ascii="仿宋_GB2312" w:hAnsi="仿宋_GB2312" w:cs="仿宋_GB2312"/>
          <w:sz w:val="28"/>
          <w:szCs w:val="28"/>
        </w:rPr>
        <w:t>.</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8C3907" w:rsidRDefault="008C3907" w:rsidP="008C3907">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8C3907" w:rsidRDefault="008C3907" w:rsidP="008C3907">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建筑环境测试技术（第三版），方修睦，中国建筑工业出版社，20</w:t>
      </w:r>
      <w:r>
        <w:rPr>
          <w:rFonts w:ascii="仿宋_GB2312" w:hAnsi="仿宋_GB2312" w:cs="仿宋_GB2312"/>
          <w:sz w:val="28"/>
          <w:szCs w:val="28"/>
        </w:rPr>
        <w:t>16</w:t>
      </w:r>
      <w:r>
        <w:rPr>
          <w:rFonts w:ascii="仿宋_GB2312" w:hAnsi="仿宋_GB2312" w:cs="仿宋_GB2312" w:hint="eastAsia"/>
          <w:sz w:val="28"/>
          <w:szCs w:val="28"/>
        </w:rPr>
        <w:t>.</w:t>
      </w:r>
    </w:p>
    <w:p w:rsidR="008C3907" w:rsidRDefault="008C3907" w:rsidP="008C3907">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8C3907" w:rsidRPr="006058C6" w:rsidRDefault="008C3907" w:rsidP="006058C6">
      <w:pPr>
        <w:spacing w:line="360" w:lineRule="auto"/>
        <w:ind w:firstLineChars="200" w:firstLine="560"/>
        <w:jc w:val="left"/>
        <w:rPr>
          <w:rFonts w:ascii="仿宋_GB2312" w:hAnsi="仿宋_GB2312" w:cs="仿宋_GB2312"/>
          <w:sz w:val="28"/>
          <w:szCs w:val="28"/>
        </w:rPr>
      </w:pPr>
      <w:r>
        <w:rPr>
          <w:rFonts w:ascii="仿宋_GB2312" w:hAnsi="仿宋_GB2312" w:cs="仿宋_GB2312" w:hint="eastAsia"/>
          <w:sz w:val="28"/>
          <w:szCs w:val="28"/>
        </w:rPr>
        <w:t>热工测量与自动控制，张子慧，中国建筑工业出版社，1996；热工参数测量与处理，吕崇德，清华大学出版社，2001；建筑环境与设备测试技术，刘耀浩，天津大学出版社，2005</w:t>
      </w:r>
      <w:r>
        <w:rPr>
          <w:rFonts w:ascii="仿宋_GB2312" w:hAnsi="仿宋_GB2312" w:cs="仿宋_GB2312"/>
          <w:sz w:val="28"/>
          <w:szCs w:val="28"/>
        </w:rPr>
        <w:t>.</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8C3907" w:rsidRDefault="008C3907" w:rsidP="006058C6">
      <w:pPr>
        <w:spacing w:line="360" w:lineRule="auto"/>
        <w:ind w:firstLineChars="200" w:firstLine="560"/>
        <w:jc w:val="left"/>
        <w:rPr>
          <w:rFonts w:ascii="仿宋_GB2312" w:hAnsi="仿宋_GB2312" w:cs="仿宋_GB2312"/>
          <w:sz w:val="28"/>
          <w:szCs w:val="28"/>
        </w:rPr>
      </w:pPr>
      <w:r>
        <w:rPr>
          <w:rFonts w:ascii="仿宋_GB2312" w:hAnsi="仿宋_GB2312" w:cs="仿宋_GB2312"/>
          <w:sz w:val="28"/>
          <w:szCs w:val="28"/>
        </w:rPr>
        <w:t>在开展课程达成度评价前，课程评价审核小组对课程的评价依据合理性进行确认，包括平时成绩和期末考试成绩等考核环节。课程结束后，需要对课程进行达成度评价，统计课程考核数据，并填写课程达成度评价表，以便及时了解课程的达成效果，发现问题并进行持续改进，同时也为毕业要求达成度的评价提供基础数据。课程达成度的具体评价方法如下：</w:t>
      </w:r>
    </w:p>
    <w:p w:rsidR="008C3907" w:rsidRDefault="008C3907" w:rsidP="006058C6">
      <w:pPr>
        <w:spacing w:line="360" w:lineRule="auto"/>
        <w:ind w:firstLineChars="200" w:firstLine="560"/>
        <w:jc w:val="left"/>
        <w:rPr>
          <w:rFonts w:ascii="仿宋_GB2312" w:hAnsi="仿宋_GB2312" w:cs="仿宋_GB2312"/>
          <w:sz w:val="28"/>
          <w:szCs w:val="28"/>
        </w:rPr>
      </w:pPr>
      <w:r>
        <w:rPr>
          <w:rFonts w:ascii="仿宋_GB2312" w:hAnsi="仿宋_GB2312" w:cs="仿宋_GB2312"/>
          <w:sz w:val="28"/>
          <w:szCs w:val="28"/>
        </w:rPr>
        <w:t>1、达成度评价对象：以班级为单位，参与本课程考核的班级全部学生；</w:t>
      </w:r>
    </w:p>
    <w:p w:rsidR="008C3907" w:rsidRDefault="008C3907" w:rsidP="006058C6">
      <w:pPr>
        <w:spacing w:line="360" w:lineRule="auto"/>
        <w:ind w:firstLineChars="200" w:firstLine="560"/>
        <w:jc w:val="left"/>
        <w:rPr>
          <w:rFonts w:ascii="仿宋_GB2312" w:hAnsi="仿宋_GB2312" w:cs="仿宋_GB2312"/>
          <w:sz w:val="28"/>
          <w:szCs w:val="28"/>
        </w:rPr>
      </w:pPr>
      <w:r>
        <w:rPr>
          <w:rFonts w:ascii="仿宋_GB2312" w:hAnsi="仿宋_GB2312" w:cs="仿宋_GB2312"/>
          <w:sz w:val="28"/>
          <w:szCs w:val="28"/>
        </w:rPr>
        <w:t>2、计算课程的达成度D，公式如下式所示：</w:t>
      </w:r>
    </w:p>
    <w:p w:rsidR="008C3907" w:rsidRDefault="008C3907" w:rsidP="006058C6">
      <w:pPr>
        <w:spacing w:line="360" w:lineRule="auto"/>
        <w:ind w:firstLineChars="200" w:firstLine="560"/>
        <w:jc w:val="left"/>
        <w:rPr>
          <w:rFonts w:ascii="仿宋_GB2312" w:hAnsi="仿宋_GB2312" w:cs="仿宋_GB2312"/>
          <w:sz w:val="28"/>
          <w:szCs w:val="28"/>
        </w:rPr>
      </w:pPr>
      <w:r>
        <w:rPr>
          <w:rFonts w:ascii="仿宋_GB2312" w:hAnsi="仿宋_GB2312" w:cs="仿宋_GB2312"/>
          <w:sz w:val="28"/>
          <w:szCs w:val="28"/>
        </w:rPr>
        <w:t>D=S·H</w:t>
      </w:r>
    </w:p>
    <w:p w:rsidR="008C3907" w:rsidRDefault="008C3907" w:rsidP="006058C6">
      <w:pPr>
        <w:spacing w:line="360" w:lineRule="auto"/>
        <w:ind w:firstLineChars="200" w:firstLine="560"/>
        <w:jc w:val="left"/>
        <w:rPr>
          <w:rFonts w:ascii="仿宋_GB2312" w:hAnsi="仿宋_GB2312" w:cs="仿宋_GB2312"/>
          <w:sz w:val="28"/>
          <w:szCs w:val="28"/>
        </w:rPr>
      </w:pPr>
      <w:r>
        <w:rPr>
          <w:rFonts w:ascii="仿宋_GB2312" w:hAnsi="仿宋_GB2312" w:cs="仿宋_GB2312"/>
          <w:sz w:val="28"/>
          <w:szCs w:val="28"/>
        </w:rPr>
        <w:t>其中，S是课程综合成绩的平均得分率，得分率即实际得分与满分的比值；H</w:t>
      </w:r>
      <w:r>
        <w:rPr>
          <w:rFonts w:ascii="仿宋_GB2312" w:hAnsi="仿宋_GB2312" w:cs="仿宋_GB2312" w:hint="eastAsia"/>
          <w:sz w:val="28"/>
          <w:szCs w:val="28"/>
        </w:rPr>
        <w:t>∈</w:t>
      </w:r>
      <w:r>
        <w:rPr>
          <w:rFonts w:ascii="仿宋_GB2312" w:hAnsi="仿宋_GB2312" w:cs="仿宋_GB2312"/>
          <w:sz w:val="28"/>
          <w:szCs w:val="28"/>
        </w:rPr>
        <w:t>{0.8,1.0,1.2}是课程的难易系数。</w:t>
      </w:r>
    </w:p>
    <w:p w:rsidR="008C3907" w:rsidRDefault="008C3907" w:rsidP="006058C6">
      <w:pPr>
        <w:spacing w:line="360" w:lineRule="auto"/>
        <w:ind w:firstLineChars="200" w:firstLine="560"/>
        <w:jc w:val="left"/>
        <w:rPr>
          <w:rFonts w:ascii="仿宋_GB2312" w:hAnsi="仿宋_GB2312" w:cs="仿宋_GB2312"/>
          <w:sz w:val="28"/>
          <w:szCs w:val="28"/>
        </w:rPr>
      </w:pPr>
      <w:r>
        <w:rPr>
          <w:rFonts w:ascii="仿宋_GB2312" w:hAnsi="仿宋_GB2312" w:cs="仿宋_GB2312"/>
          <w:sz w:val="28"/>
          <w:szCs w:val="28"/>
        </w:rPr>
        <w:lastRenderedPageBreak/>
        <w:t>课程负责人提交课程达成度评价数据后，课程评价审核小组对评价数据的合理性和有效性进行审核。</w:t>
      </w:r>
    </w:p>
    <w:p w:rsidR="008C3907" w:rsidRDefault="008C3907" w:rsidP="006058C6">
      <w:pPr>
        <w:spacing w:line="360" w:lineRule="auto"/>
        <w:ind w:firstLineChars="200" w:firstLine="560"/>
        <w:jc w:val="left"/>
        <w:rPr>
          <w:rFonts w:ascii="仿宋_GB2312" w:hAnsi="仿宋_GB2312" w:cs="仿宋_GB2312"/>
          <w:sz w:val="28"/>
          <w:szCs w:val="28"/>
        </w:rPr>
      </w:pPr>
    </w:p>
    <w:p w:rsidR="008C3907" w:rsidRDefault="008C3907" w:rsidP="008C3907">
      <w:pPr>
        <w:spacing w:beforeLines="50" w:before="156" w:afterLines="50" w:after="156" w:line="460" w:lineRule="exact"/>
        <w:rPr>
          <w:rFonts w:ascii="黑体" w:eastAsia="黑体" w:hAnsi="黑体"/>
          <w:b/>
          <w:sz w:val="28"/>
          <w:szCs w:val="28"/>
        </w:rPr>
      </w:pPr>
    </w:p>
    <w:p w:rsidR="008C3907" w:rsidRDefault="008C3907" w:rsidP="008C3907">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大纲撰写人：江超</w:t>
      </w:r>
    </w:p>
    <w:p w:rsidR="008C3907" w:rsidRDefault="008C3907" w:rsidP="008C3907">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课程负责人：江超</w:t>
      </w:r>
    </w:p>
    <w:p w:rsidR="008C3907" w:rsidRDefault="008C3907" w:rsidP="008C3907">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8C3907" w:rsidRDefault="008C3907" w:rsidP="008C3907">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8C3907" w:rsidRDefault="008C3907" w:rsidP="008C3907">
      <w:pPr>
        <w:ind w:firstLineChars="2000" w:firstLine="5600"/>
        <w:jc w:val="left"/>
        <w:rPr>
          <w:rFonts w:ascii="仿宋" w:hAnsi="仿宋"/>
          <w:sz w:val="28"/>
          <w:szCs w:val="28"/>
        </w:rPr>
      </w:pPr>
      <w:r>
        <w:rPr>
          <w:rFonts w:ascii="仿宋_GB2312" w:hAnsi="微软雅黑" w:hint="eastAsia"/>
          <w:sz w:val="28"/>
          <w:szCs w:val="28"/>
        </w:rPr>
        <w:t xml:space="preserve">    </w:t>
      </w:r>
    </w:p>
    <w:p w:rsidR="008C3907" w:rsidRPr="009F38D4" w:rsidRDefault="008C3907" w:rsidP="008C3907">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年4月</w:t>
      </w:r>
    </w:p>
    <w:p w:rsidR="008C3907" w:rsidRDefault="008C3907" w:rsidP="00C20406"/>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8C3907" w:rsidRDefault="008C3907" w:rsidP="008C3907">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《建筑安装技术》课程教学大纲</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Building equipment installation technology</w:t>
      </w:r>
    </w:p>
    <w:p w:rsidR="008C3907" w:rsidRDefault="008C3907" w:rsidP="008C3907">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课程序号：</w:t>
      </w:r>
      <w:r>
        <w:rPr>
          <w:rFonts w:ascii="华文中宋" w:eastAsia="华文中宋" w:hAnsi="华文中宋" w:cs="宋体" w:hint="eastAsia"/>
          <w:kern w:val="0"/>
          <w:sz w:val="18"/>
          <w:szCs w:val="18"/>
        </w:rPr>
        <w:t xml:space="preserve"> </w:t>
      </w:r>
      <w:r>
        <w:rPr>
          <w:rFonts w:ascii="仿宋_GB2312" w:hAnsi="仿宋_GB2312" w:cs="仿宋_GB2312" w:hint="eastAsia"/>
          <w:bCs/>
          <w:sz w:val="28"/>
          <w:szCs w:val="28"/>
        </w:rPr>
        <w:t>Z2807160</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8C3907" w:rsidRDefault="008C3907" w:rsidP="008C3907">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w:t>
      </w:r>
      <w:r>
        <w:rPr>
          <w:rFonts w:ascii="仿宋_GB2312" w:hAnsi="仿宋_GB2312" w:cs="仿宋_GB2312"/>
          <w:bCs/>
          <w:sz w:val="28"/>
          <w:szCs w:val="28"/>
        </w:rPr>
        <w:t>发展</w:t>
      </w:r>
      <w:r>
        <w:rPr>
          <w:rFonts w:ascii="仿宋_GB2312" w:hAnsi="仿宋_GB2312" w:cs="仿宋_GB2312" w:hint="eastAsia"/>
          <w:bCs/>
          <w:sz w:val="28"/>
          <w:szCs w:val="28"/>
        </w:rPr>
        <w:t>课程</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分：2</w:t>
      </w:r>
    </w:p>
    <w:p w:rsidR="008C3907" w:rsidRDefault="008C3907" w:rsidP="008C3907">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时：32学时（授课32学时）</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适用对象：工程造价专业</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先修课程：流体输配管网、燃料燃烧与器具、</w:t>
      </w:r>
      <w:r>
        <w:rPr>
          <w:rFonts w:ascii="仿宋_GB2312" w:hAnsi="仿宋_GB2312" w:cs="仿宋_GB2312"/>
          <w:bCs/>
          <w:sz w:val="28"/>
          <w:szCs w:val="28"/>
        </w:rPr>
        <w:t>建筑给排水</w:t>
      </w:r>
      <w:r>
        <w:rPr>
          <w:rFonts w:ascii="仿宋_GB2312" w:hAnsi="仿宋_GB2312" w:cs="仿宋_GB2312" w:hint="eastAsia"/>
          <w:bCs/>
          <w:sz w:val="28"/>
          <w:szCs w:val="28"/>
        </w:rPr>
        <w:t>等</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8C3907" w:rsidRDefault="008C3907" w:rsidP="008C3907">
      <w:pPr>
        <w:spacing w:line="360" w:lineRule="auto"/>
        <w:ind w:leftChars="200" w:left="640"/>
        <w:rPr>
          <w:rFonts w:ascii="仿宋_GB2312" w:hAnsi="仿宋_GB2312" w:cs="仿宋_GB2312"/>
          <w:bCs/>
          <w:sz w:val="28"/>
          <w:szCs w:val="28"/>
        </w:rPr>
      </w:pPr>
      <w:r>
        <w:rPr>
          <w:rFonts w:ascii="仿宋_GB2312" w:hAnsi="仿宋_GB2312" w:cs="仿宋_GB2312" w:hint="eastAsia"/>
          <w:bCs/>
          <w:sz w:val="28"/>
          <w:szCs w:val="28"/>
        </w:rPr>
        <w:t>《建筑设备</w:t>
      </w:r>
      <w:r>
        <w:rPr>
          <w:rFonts w:ascii="仿宋_GB2312" w:hAnsi="仿宋_GB2312" w:cs="仿宋_GB2312"/>
          <w:bCs/>
          <w:sz w:val="28"/>
          <w:szCs w:val="28"/>
        </w:rPr>
        <w:t>安装技术</w:t>
      </w:r>
      <w:r>
        <w:rPr>
          <w:rFonts w:ascii="仿宋_GB2312" w:hAnsi="仿宋_GB2312" w:cs="仿宋_GB2312" w:hint="eastAsia"/>
          <w:bCs/>
          <w:sz w:val="28"/>
          <w:szCs w:val="28"/>
        </w:rPr>
        <w:t>》是建筑环境与能源应用工程专业学生的专业发展</w:t>
      </w:r>
      <w:r>
        <w:rPr>
          <w:rFonts w:ascii="仿宋_GB2312" w:hAnsi="仿宋_GB2312" w:cs="仿宋_GB2312"/>
          <w:bCs/>
          <w:sz w:val="28"/>
          <w:szCs w:val="28"/>
        </w:rPr>
        <w:t>课程</w:t>
      </w:r>
      <w:r>
        <w:rPr>
          <w:rFonts w:ascii="仿宋_GB2312" w:hAnsi="仿宋_GB2312" w:cs="仿宋_GB2312" w:hint="eastAsia"/>
          <w:bCs/>
          <w:sz w:val="28"/>
          <w:szCs w:val="28"/>
        </w:rPr>
        <w:t>，</w:t>
      </w:r>
      <w:r>
        <w:rPr>
          <w:rFonts w:ascii="仿宋" w:eastAsia="仿宋" w:hAnsi="仿宋" w:hint="eastAsia"/>
          <w:sz w:val="28"/>
          <w:szCs w:val="28"/>
        </w:rPr>
        <w:t>是一门知识性广，实践性强</w:t>
      </w:r>
      <w:r>
        <w:rPr>
          <w:rFonts w:ascii="仿宋" w:eastAsia="仿宋" w:hAnsi="仿宋"/>
          <w:sz w:val="28"/>
          <w:szCs w:val="28"/>
        </w:rPr>
        <w:t>、理论与</w:t>
      </w:r>
      <w:r>
        <w:rPr>
          <w:rFonts w:ascii="仿宋" w:eastAsia="仿宋" w:hAnsi="仿宋" w:hint="eastAsia"/>
          <w:sz w:val="28"/>
          <w:szCs w:val="28"/>
        </w:rPr>
        <w:t>实际密切</w:t>
      </w:r>
      <w:r>
        <w:rPr>
          <w:rFonts w:ascii="仿宋" w:eastAsia="仿宋" w:hAnsi="仿宋"/>
          <w:sz w:val="28"/>
          <w:szCs w:val="28"/>
        </w:rPr>
        <w:t>结合</w:t>
      </w:r>
      <w:r>
        <w:rPr>
          <w:rFonts w:ascii="仿宋" w:eastAsia="仿宋" w:hAnsi="仿宋" w:hint="eastAsia"/>
          <w:sz w:val="28"/>
          <w:szCs w:val="28"/>
        </w:rPr>
        <w:t>的</w:t>
      </w:r>
      <w:r>
        <w:rPr>
          <w:rFonts w:ascii="仿宋" w:eastAsia="仿宋" w:hAnsi="仿宋"/>
          <w:sz w:val="28"/>
          <w:szCs w:val="28"/>
        </w:rPr>
        <w:t>课程</w:t>
      </w:r>
      <w:r>
        <w:rPr>
          <w:rFonts w:ascii="仿宋" w:eastAsia="仿宋" w:hAnsi="仿宋" w:hint="eastAsia"/>
          <w:sz w:val="28"/>
          <w:szCs w:val="28"/>
        </w:rPr>
        <w:t>，学生通过本课程的学习，可了解和掌握本专业安装的基本知识。</w:t>
      </w:r>
      <w:r>
        <w:rPr>
          <w:rFonts w:ascii="仿宋_GB2312" w:hAnsi="仿宋_GB2312" w:cs="仿宋_GB2312" w:hint="eastAsia"/>
          <w:bCs/>
          <w:sz w:val="28"/>
          <w:szCs w:val="28"/>
        </w:rPr>
        <w:t>课程主要内容为：工程材料的基本知识,管道安装，供热系统、给排水系统、燃气系统、通风空调系统、工业锅炉、空调用制冷系统的安装，安装</w:t>
      </w:r>
      <w:r>
        <w:rPr>
          <w:rFonts w:ascii="仿宋_GB2312" w:hAnsi="仿宋_GB2312" w:cs="仿宋_GB2312"/>
          <w:bCs/>
          <w:sz w:val="28"/>
          <w:szCs w:val="28"/>
        </w:rPr>
        <w:t>中</w:t>
      </w:r>
      <w:r>
        <w:rPr>
          <w:rFonts w:ascii="仿宋_GB2312" w:hAnsi="仿宋_GB2312" w:cs="仿宋_GB2312" w:hint="eastAsia"/>
          <w:bCs/>
          <w:sz w:val="28"/>
          <w:szCs w:val="28"/>
        </w:rPr>
        <w:t>常用工具</w:t>
      </w:r>
      <w:r>
        <w:rPr>
          <w:rFonts w:ascii="仿宋_GB2312" w:hAnsi="仿宋_GB2312" w:cs="仿宋_GB2312"/>
          <w:bCs/>
          <w:sz w:val="28"/>
          <w:szCs w:val="28"/>
        </w:rPr>
        <w:t>、</w:t>
      </w:r>
      <w:r>
        <w:rPr>
          <w:rFonts w:ascii="仿宋_GB2312" w:hAnsi="仿宋_GB2312" w:cs="仿宋_GB2312" w:hint="eastAsia"/>
          <w:bCs/>
          <w:sz w:val="28"/>
          <w:szCs w:val="28"/>
        </w:rPr>
        <w:t>机具、</w:t>
      </w:r>
      <w:r>
        <w:rPr>
          <w:rFonts w:ascii="仿宋_GB2312" w:hAnsi="仿宋_GB2312" w:cs="仿宋_GB2312"/>
          <w:bCs/>
          <w:sz w:val="28"/>
          <w:szCs w:val="28"/>
        </w:rPr>
        <w:t>设备</w:t>
      </w:r>
      <w:r>
        <w:rPr>
          <w:rFonts w:ascii="仿宋_GB2312" w:hAnsi="仿宋_GB2312" w:cs="仿宋_GB2312" w:hint="eastAsia"/>
          <w:bCs/>
          <w:sz w:val="28"/>
          <w:szCs w:val="28"/>
        </w:rPr>
        <w:t>。以及管道与设备的防腐和绝热的基本知识。</w:t>
      </w:r>
    </w:p>
    <w:p w:rsidR="008C3907" w:rsidRDefault="008C3907" w:rsidP="008C3907">
      <w:pPr>
        <w:spacing w:line="360" w:lineRule="auto"/>
        <w:ind w:leftChars="200" w:left="640"/>
        <w:rPr>
          <w:rFonts w:ascii="仿宋_GB2312" w:hAnsi="仿宋_GB2312" w:cs="仿宋_GB2312"/>
          <w:bCs/>
          <w:sz w:val="28"/>
          <w:szCs w:val="28"/>
        </w:rPr>
      </w:pPr>
      <w:r>
        <w:rPr>
          <w:rFonts w:ascii="仿宋_GB2312" w:hAnsi="仿宋_GB2312" w:cs="仿宋_GB2312"/>
          <w:bCs/>
          <w:sz w:val="28"/>
          <w:szCs w:val="28"/>
        </w:rPr>
        <w:lastRenderedPageBreak/>
        <w:t>教学方式</w:t>
      </w:r>
      <w:r>
        <w:rPr>
          <w:rFonts w:ascii="仿宋_GB2312" w:hAnsi="仿宋_GB2312" w:cs="仿宋_GB2312" w:hint="eastAsia"/>
          <w:bCs/>
          <w:sz w:val="28"/>
          <w:szCs w:val="28"/>
        </w:rPr>
        <w:t xml:space="preserve">  采用</w:t>
      </w:r>
      <w:r>
        <w:rPr>
          <w:rFonts w:ascii="仿宋_GB2312" w:hAnsi="仿宋_GB2312" w:cs="仿宋_GB2312"/>
          <w:bCs/>
          <w:sz w:val="28"/>
          <w:szCs w:val="28"/>
        </w:rPr>
        <w:t>PPT</w:t>
      </w:r>
      <w:r>
        <w:rPr>
          <w:rFonts w:ascii="仿宋_GB2312" w:hAnsi="仿宋_GB2312" w:cs="仿宋_GB2312" w:hint="eastAsia"/>
          <w:bCs/>
          <w:sz w:val="28"/>
          <w:szCs w:val="28"/>
        </w:rPr>
        <w:t>、板书讲解、同时</w:t>
      </w:r>
      <w:r>
        <w:rPr>
          <w:rFonts w:ascii="仿宋_GB2312" w:hAnsi="仿宋_GB2312" w:cs="仿宋_GB2312"/>
          <w:bCs/>
          <w:sz w:val="28"/>
          <w:szCs w:val="28"/>
        </w:rPr>
        <w:t>通过</w:t>
      </w:r>
      <w:r>
        <w:rPr>
          <w:rFonts w:ascii="仿宋_GB2312" w:hAnsi="仿宋_GB2312" w:cs="仿宋_GB2312" w:hint="eastAsia"/>
          <w:bCs/>
          <w:sz w:val="28"/>
          <w:szCs w:val="28"/>
        </w:rPr>
        <w:t>课后思考题的学习</w:t>
      </w:r>
      <w:r>
        <w:rPr>
          <w:rFonts w:ascii="仿宋_GB2312" w:hAnsi="仿宋_GB2312" w:cs="仿宋_GB2312"/>
          <w:bCs/>
          <w:sz w:val="28"/>
          <w:szCs w:val="28"/>
        </w:rPr>
        <w:t>与完成促进</w:t>
      </w:r>
      <w:r>
        <w:rPr>
          <w:rFonts w:ascii="仿宋_GB2312" w:hAnsi="仿宋_GB2312" w:cs="仿宋_GB2312" w:hint="eastAsia"/>
          <w:bCs/>
          <w:sz w:val="28"/>
          <w:szCs w:val="28"/>
        </w:rPr>
        <w:t>授课的</w:t>
      </w:r>
      <w:r>
        <w:rPr>
          <w:rFonts w:ascii="仿宋_GB2312" w:hAnsi="仿宋_GB2312" w:cs="仿宋_GB2312"/>
          <w:bCs/>
          <w:sz w:val="28"/>
          <w:szCs w:val="28"/>
        </w:rPr>
        <w:t>进行</w:t>
      </w:r>
      <w:r>
        <w:rPr>
          <w:rFonts w:ascii="仿宋_GB2312" w:hAnsi="仿宋_GB2312" w:cs="仿宋_GB2312" w:hint="eastAsia"/>
          <w:bCs/>
          <w:sz w:val="28"/>
          <w:szCs w:val="28"/>
        </w:rPr>
        <w:t>。</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8C3907" w:rsidRDefault="008C3907" w:rsidP="008C3907">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hint="eastAsia"/>
          <w:bCs/>
          <w:sz w:val="28"/>
          <w:szCs w:val="28"/>
        </w:rPr>
        <w:t>建筑设备</w:t>
      </w:r>
      <w:r>
        <w:rPr>
          <w:rFonts w:ascii="仿宋_GB2312" w:hAnsi="仿宋_GB2312" w:cs="仿宋_GB2312"/>
          <w:bCs/>
          <w:sz w:val="28"/>
          <w:szCs w:val="28"/>
        </w:rPr>
        <w:t>安装技术</w:t>
      </w:r>
      <w:r>
        <w:rPr>
          <w:rFonts w:ascii="仿宋_GB2312" w:hAnsi="仿宋_GB2312" w:cs="仿宋_GB2312" w:hint="eastAsia"/>
          <w:sz w:val="28"/>
          <w:szCs w:val="28"/>
        </w:rPr>
        <w:t>》是建筑环境与能源应用工程专业的专业发展课程，通过这门课程的教学，使学生学习本专业常用的管道、板</w:t>
      </w:r>
      <w:r>
        <w:rPr>
          <w:rFonts w:ascii="仿宋_GB2312" w:hAnsi="仿宋_GB2312" w:cs="仿宋_GB2312"/>
          <w:sz w:val="28"/>
          <w:szCs w:val="28"/>
        </w:rPr>
        <w:t>材、型材</w:t>
      </w:r>
      <w:r>
        <w:rPr>
          <w:rFonts w:ascii="仿宋_GB2312" w:hAnsi="仿宋_GB2312" w:cs="仿宋_GB2312" w:hint="eastAsia"/>
          <w:sz w:val="28"/>
          <w:szCs w:val="28"/>
        </w:rPr>
        <w:t>的知识；建筑设备知识及设备</w:t>
      </w:r>
      <w:r>
        <w:rPr>
          <w:rFonts w:ascii="仿宋_GB2312" w:hAnsi="仿宋_GB2312" w:cs="仿宋_GB2312"/>
          <w:sz w:val="28"/>
          <w:szCs w:val="28"/>
        </w:rPr>
        <w:t>的</w:t>
      </w:r>
      <w:r>
        <w:rPr>
          <w:rFonts w:ascii="仿宋_GB2312" w:hAnsi="仿宋_GB2312" w:cs="仿宋_GB2312" w:hint="eastAsia"/>
          <w:sz w:val="28"/>
          <w:szCs w:val="28"/>
        </w:rPr>
        <w:t>安装</w:t>
      </w:r>
      <w:r>
        <w:rPr>
          <w:rFonts w:ascii="仿宋_GB2312" w:hAnsi="仿宋_GB2312" w:cs="仿宋_GB2312"/>
          <w:sz w:val="28"/>
          <w:szCs w:val="28"/>
        </w:rPr>
        <w:t>过程</w:t>
      </w:r>
      <w:r>
        <w:rPr>
          <w:rFonts w:ascii="仿宋_GB2312" w:hAnsi="仿宋_GB2312" w:cs="仿宋_GB2312" w:hint="eastAsia"/>
          <w:sz w:val="28"/>
          <w:szCs w:val="28"/>
        </w:rPr>
        <w:t>；学习本专业管道、</w:t>
      </w:r>
      <w:r>
        <w:rPr>
          <w:rFonts w:ascii="仿宋_GB2312" w:hAnsi="仿宋_GB2312" w:cs="仿宋_GB2312"/>
          <w:sz w:val="28"/>
          <w:szCs w:val="28"/>
        </w:rPr>
        <w:t>材料与设备</w:t>
      </w:r>
      <w:r>
        <w:rPr>
          <w:rFonts w:ascii="仿宋_GB2312" w:hAnsi="仿宋_GB2312" w:cs="仿宋_GB2312" w:hint="eastAsia"/>
          <w:sz w:val="28"/>
          <w:szCs w:val="28"/>
        </w:rPr>
        <w:t>安装</w:t>
      </w:r>
      <w:r>
        <w:rPr>
          <w:rFonts w:ascii="仿宋_GB2312" w:hAnsi="仿宋_GB2312" w:cs="仿宋_GB2312"/>
          <w:sz w:val="28"/>
          <w:szCs w:val="28"/>
        </w:rPr>
        <w:t>的</w:t>
      </w:r>
      <w:r>
        <w:rPr>
          <w:rFonts w:ascii="仿宋_GB2312" w:hAnsi="仿宋_GB2312" w:cs="仿宋_GB2312" w:hint="eastAsia"/>
          <w:sz w:val="28"/>
          <w:szCs w:val="28"/>
        </w:rPr>
        <w:t>标准与规范。</w:t>
      </w:r>
    </w:p>
    <w:p w:rsidR="008C3907" w:rsidRDefault="008C3907" w:rsidP="006058C6">
      <w:pPr>
        <w:numPr>
          <w:ilvl w:val="0"/>
          <w:numId w:val="65"/>
        </w:numPr>
        <w:spacing w:line="360" w:lineRule="auto"/>
        <w:rPr>
          <w:rFonts w:ascii="仿宋_GB2312" w:hAnsi="仿宋_GB2312" w:cs="仿宋_GB2312"/>
          <w:sz w:val="28"/>
          <w:szCs w:val="28"/>
        </w:rPr>
      </w:pPr>
      <w:r>
        <w:rPr>
          <w:rFonts w:ascii="仿宋_GB2312" w:hAnsi="仿宋_GB2312" w:cs="仿宋_GB2312" w:hint="eastAsia"/>
          <w:sz w:val="28"/>
          <w:szCs w:val="28"/>
        </w:rPr>
        <w:t>课程基本要求</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8C3907" w:rsidRDefault="008C3907" w:rsidP="008C3907">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hint="eastAsia"/>
          <w:bCs/>
          <w:sz w:val="28"/>
          <w:szCs w:val="28"/>
        </w:rPr>
        <w:t>建筑设备</w:t>
      </w:r>
      <w:r>
        <w:rPr>
          <w:rFonts w:ascii="仿宋_GB2312" w:hAnsi="仿宋_GB2312" w:cs="仿宋_GB2312"/>
          <w:bCs/>
          <w:sz w:val="28"/>
          <w:szCs w:val="28"/>
        </w:rPr>
        <w:t>安装技术</w:t>
      </w:r>
      <w:r>
        <w:rPr>
          <w:rFonts w:ascii="仿宋_GB2312" w:hAnsi="仿宋_GB2312" w:cs="仿宋_GB2312" w:hint="eastAsia"/>
          <w:sz w:val="28"/>
          <w:szCs w:val="28"/>
        </w:rPr>
        <w:t>》是一</w:t>
      </w:r>
      <w:r>
        <w:rPr>
          <w:rFonts w:ascii="仿宋_GB2312" w:hAnsi="仿宋_GB2312" w:cs="仿宋_GB2312"/>
          <w:sz w:val="28"/>
          <w:szCs w:val="28"/>
        </w:rPr>
        <w:t>门实践性强的课</w:t>
      </w:r>
      <w:r>
        <w:rPr>
          <w:rFonts w:ascii="仿宋_GB2312" w:hAnsi="仿宋_GB2312" w:cs="仿宋_GB2312" w:hint="eastAsia"/>
          <w:sz w:val="28"/>
          <w:szCs w:val="28"/>
        </w:rPr>
        <w:t>程</w:t>
      </w:r>
      <w:r>
        <w:rPr>
          <w:rFonts w:ascii="仿宋_GB2312" w:hAnsi="仿宋_GB2312" w:cs="仿宋_GB2312"/>
          <w:sz w:val="28"/>
          <w:szCs w:val="28"/>
        </w:rPr>
        <w:t>，</w:t>
      </w:r>
      <w:r>
        <w:rPr>
          <w:rFonts w:ascii="仿宋_GB2312" w:hAnsi="仿宋_GB2312" w:cs="仿宋_GB2312" w:hint="eastAsia"/>
          <w:sz w:val="28"/>
          <w:szCs w:val="28"/>
        </w:rPr>
        <w:t>通过本课程学习，使学生了解、</w:t>
      </w:r>
      <w:r>
        <w:rPr>
          <w:rFonts w:ascii="仿宋_GB2312" w:hAnsi="仿宋_GB2312" w:cs="仿宋_GB2312"/>
          <w:sz w:val="28"/>
          <w:szCs w:val="28"/>
        </w:rPr>
        <w:t>认识与熟悉</w:t>
      </w:r>
      <w:r>
        <w:rPr>
          <w:rFonts w:ascii="仿宋_GB2312" w:hAnsi="仿宋_GB2312" w:cs="仿宋_GB2312" w:hint="eastAsia"/>
          <w:sz w:val="28"/>
          <w:szCs w:val="28"/>
        </w:rPr>
        <w:t>建筑</w:t>
      </w:r>
      <w:r>
        <w:rPr>
          <w:rFonts w:ascii="仿宋_GB2312" w:hAnsi="仿宋_GB2312" w:cs="仿宋_GB2312"/>
          <w:sz w:val="28"/>
          <w:szCs w:val="28"/>
        </w:rPr>
        <w:t>设备安装中</w:t>
      </w:r>
      <w:r>
        <w:rPr>
          <w:rFonts w:ascii="仿宋_GB2312" w:hAnsi="仿宋_GB2312" w:cs="仿宋_GB2312" w:hint="eastAsia"/>
          <w:sz w:val="28"/>
          <w:szCs w:val="28"/>
        </w:rPr>
        <w:t>常用的管道材料、板</w:t>
      </w:r>
      <w:r>
        <w:rPr>
          <w:rFonts w:ascii="仿宋_GB2312" w:hAnsi="仿宋_GB2312" w:cs="仿宋_GB2312"/>
          <w:sz w:val="28"/>
          <w:szCs w:val="28"/>
        </w:rPr>
        <w:t>材、型材</w:t>
      </w:r>
      <w:r>
        <w:rPr>
          <w:rFonts w:ascii="仿宋_GB2312" w:hAnsi="仿宋_GB2312" w:cs="仿宋_GB2312" w:hint="eastAsia"/>
          <w:sz w:val="28"/>
          <w:szCs w:val="28"/>
        </w:rPr>
        <w:t>；常用</w:t>
      </w:r>
      <w:r>
        <w:rPr>
          <w:rFonts w:ascii="仿宋_GB2312" w:hAnsi="仿宋_GB2312" w:cs="仿宋_GB2312"/>
          <w:sz w:val="28"/>
          <w:szCs w:val="28"/>
        </w:rPr>
        <w:t>的机具；</w:t>
      </w:r>
      <w:r>
        <w:rPr>
          <w:rFonts w:ascii="仿宋_GB2312" w:hAnsi="仿宋_GB2312" w:cs="仿宋_GB2312" w:hint="eastAsia"/>
          <w:sz w:val="28"/>
          <w:szCs w:val="28"/>
        </w:rPr>
        <w:t>了解</w:t>
      </w:r>
      <w:r>
        <w:rPr>
          <w:rFonts w:ascii="仿宋_GB2312" w:hAnsi="仿宋_GB2312" w:cs="仿宋_GB2312"/>
          <w:sz w:val="28"/>
          <w:szCs w:val="28"/>
        </w:rPr>
        <w:t>常见</w:t>
      </w:r>
      <w:r>
        <w:rPr>
          <w:rFonts w:ascii="仿宋_GB2312" w:hAnsi="仿宋_GB2312" w:cs="仿宋_GB2312" w:hint="eastAsia"/>
          <w:sz w:val="28"/>
          <w:szCs w:val="28"/>
        </w:rPr>
        <w:t>设备安装</w:t>
      </w:r>
      <w:r>
        <w:rPr>
          <w:rFonts w:ascii="仿宋_GB2312" w:hAnsi="仿宋_GB2312" w:cs="仿宋_GB2312"/>
          <w:sz w:val="28"/>
          <w:szCs w:val="28"/>
        </w:rPr>
        <w:t>过程</w:t>
      </w:r>
      <w:r>
        <w:rPr>
          <w:rFonts w:ascii="仿宋_GB2312" w:hAnsi="仿宋_GB2312" w:cs="仿宋_GB2312" w:hint="eastAsia"/>
          <w:sz w:val="28"/>
          <w:szCs w:val="28"/>
        </w:rPr>
        <w:t>；了解管道、</w:t>
      </w:r>
      <w:r>
        <w:rPr>
          <w:rFonts w:ascii="仿宋_GB2312" w:hAnsi="仿宋_GB2312" w:cs="仿宋_GB2312"/>
          <w:sz w:val="28"/>
          <w:szCs w:val="28"/>
        </w:rPr>
        <w:t>材料与设备</w:t>
      </w:r>
      <w:r>
        <w:rPr>
          <w:rFonts w:ascii="仿宋_GB2312" w:hAnsi="仿宋_GB2312" w:cs="仿宋_GB2312" w:hint="eastAsia"/>
          <w:sz w:val="28"/>
          <w:szCs w:val="28"/>
        </w:rPr>
        <w:t>安装</w:t>
      </w:r>
      <w:r>
        <w:rPr>
          <w:rFonts w:ascii="仿宋_GB2312" w:hAnsi="仿宋_GB2312" w:cs="仿宋_GB2312"/>
          <w:sz w:val="28"/>
          <w:szCs w:val="28"/>
        </w:rPr>
        <w:t>的</w:t>
      </w:r>
      <w:r>
        <w:rPr>
          <w:rFonts w:ascii="仿宋_GB2312" w:hAnsi="仿宋_GB2312" w:cs="仿宋_GB2312" w:hint="eastAsia"/>
          <w:sz w:val="28"/>
          <w:szCs w:val="28"/>
        </w:rPr>
        <w:t>标准与规范；培养</w:t>
      </w:r>
      <w:r>
        <w:rPr>
          <w:rFonts w:ascii="仿宋_GB2312" w:hAnsi="仿宋_GB2312" w:cs="仿宋_GB2312"/>
          <w:sz w:val="28"/>
          <w:szCs w:val="28"/>
        </w:rPr>
        <w:t>实践</w:t>
      </w:r>
      <w:r>
        <w:rPr>
          <w:rFonts w:ascii="仿宋_GB2312" w:hAnsi="仿宋_GB2312" w:cs="仿宋_GB2312" w:hint="eastAsia"/>
          <w:sz w:val="28"/>
          <w:szCs w:val="28"/>
        </w:rPr>
        <w:t>工程解决问题</w:t>
      </w:r>
      <w:r>
        <w:rPr>
          <w:rFonts w:ascii="仿宋_GB2312" w:hAnsi="仿宋_GB2312" w:cs="仿宋_GB2312"/>
          <w:sz w:val="28"/>
          <w:szCs w:val="28"/>
        </w:rPr>
        <w:t>的</w:t>
      </w:r>
      <w:r>
        <w:rPr>
          <w:rFonts w:ascii="仿宋_GB2312" w:hAnsi="仿宋_GB2312" w:cs="仿宋_GB2312" w:hint="eastAsia"/>
          <w:sz w:val="28"/>
          <w:szCs w:val="28"/>
        </w:rPr>
        <w:t>能力和思想方法。</w:t>
      </w:r>
    </w:p>
    <w:p w:rsidR="008C3907" w:rsidRDefault="008C3907" w:rsidP="008C3907">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5925"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2693"/>
      </w:tblGrid>
      <w:tr w:rsidR="008C3907" w:rsidTr="008C3907">
        <w:trPr>
          <w:cantSplit/>
          <w:trHeight w:val="785"/>
        </w:trPr>
        <w:tc>
          <w:tcPr>
            <w:tcW w:w="323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课程目标</w:t>
            </w:r>
          </w:p>
        </w:tc>
        <w:tc>
          <w:tcPr>
            <w:tcW w:w="2693"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毕业要</w:t>
            </w:r>
            <w:r>
              <w:rPr>
                <w:rFonts w:ascii="Times New Roman" w:hAnsi="Times New Roman"/>
                <w:kern w:val="0"/>
                <w:sz w:val="20"/>
                <w:szCs w:val="20"/>
              </w:rPr>
              <w:t>求</w:t>
            </w:r>
          </w:p>
        </w:tc>
      </w:tr>
      <w:tr w:rsidR="008C3907" w:rsidTr="008C3907">
        <w:trPr>
          <w:trHeight w:val="411"/>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毕业要求</w:t>
            </w:r>
          </w:p>
        </w:tc>
        <w:tc>
          <w:tcPr>
            <w:tcW w:w="2693" w:type="dxa"/>
            <w:vAlign w:val="center"/>
          </w:tcPr>
          <w:p w:rsidR="008C3907" w:rsidRDefault="008C3907" w:rsidP="008C3907">
            <w:pPr>
              <w:rPr>
                <w:rFonts w:ascii="Times New Roman" w:hAnsi="Times New Roman"/>
                <w:kern w:val="0"/>
                <w:sz w:val="20"/>
                <w:szCs w:val="20"/>
              </w:rPr>
            </w:pPr>
          </w:p>
        </w:tc>
      </w:tr>
      <w:tr w:rsidR="008C3907" w:rsidTr="008C3907">
        <w:trPr>
          <w:trHeight w:val="389"/>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工程知识</w:t>
            </w:r>
          </w:p>
        </w:tc>
        <w:tc>
          <w:tcPr>
            <w:tcW w:w="2693" w:type="dxa"/>
            <w:vAlign w:val="bottom"/>
          </w:tcPr>
          <w:p w:rsidR="008C3907" w:rsidRDefault="008C3907" w:rsidP="008C3907">
            <w:pPr>
              <w:rPr>
                <w:rFonts w:ascii="Times New Roman" w:hAnsi="Times New Roman"/>
                <w:kern w:val="0"/>
                <w:sz w:val="20"/>
                <w:szCs w:val="20"/>
              </w:rPr>
            </w:pPr>
            <w:r>
              <w:rPr>
                <w:rFonts w:ascii="Times New Roman" w:hAnsi="Times New Roman"/>
                <w:kern w:val="0"/>
                <w:sz w:val="20"/>
                <w:szCs w:val="20"/>
              </w:rPr>
              <w:t>M</w:t>
            </w:r>
          </w:p>
        </w:tc>
      </w:tr>
      <w:tr w:rsidR="008C3907" w:rsidTr="008C3907">
        <w:trPr>
          <w:trHeight w:val="208"/>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问题分析</w:t>
            </w:r>
          </w:p>
        </w:tc>
        <w:tc>
          <w:tcPr>
            <w:tcW w:w="2693" w:type="dxa"/>
            <w:vAlign w:val="bottom"/>
          </w:tcPr>
          <w:p w:rsidR="008C3907" w:rsidRDefault="008C3907" w:rsidP="008C3907">
            <w:pPr>
              <w:rPr>
                <w:rFonts w:ascii="Times New Roman" w:hAnsi="Times New Roman"/>
                <w:kern w:val="0"/>
                <w:sz w:val="20"/>
                <w:szCs w:val="20"/>
              </w:rPr>
            </w:pPr>
            <w:r>
              <w:rPr>
                <w:rFonts w:ascii="Times New Roman" w:hAnsi="Times New Roman"/>
                <w:kern w:val="0"/>
                <w:sz w:val="20"/>
                <w:szCs w:val="20"/>
              </w:rPr>
              <w:t>M</w:t>
            </w:r>
          </w:p>
        </w:tc>
      </w:tr>
      <w:tr w:rsidR="008C3907" w:rsidTr="008C3907">
        <w:trPr>
          <w:trHeight w:val="177"/>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设计</w:t>
            </w:r>
            <w:r>
              <w:rPr>
                <w:rFonts w:ascii="Times New Roman" w:hAnsi="Times New Roman" w:hint="eastAsia"/>
                <w:kern w:val="0"/>
                <w:sz w:val="20"/>
                <w:szCs w:val="20"/>
              </w:rPr>
              <w:t>/</w:t>
            </w:r>
            <w:r>
              <w:rPr>
                <w:rFonts w:ascii="Times New Roman" w:hAnsi="Times New Roman" w:hint="eastAsia"/>
                <w:kern w:val="0"/>
                <w:sz w:val="20"/>
                <w:szCs w:val="20"/>
              </w:rPr>
              <w:t>开发解决方案</w:t>
            </w:r>
          </w:p>
        </w:tc>
        <w:tc>
          <w:tcPr>
            <w:tcW w:w="2693" w:type="dxa"/>
            <w:vAlign w:val="bottom"/>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H</w:t>
            </w:r>
          </w:p>
        </w:tc>
      </w:tr>
      <w:tr w:rsidR="008C3907" w:rsidTr="008C3907">
        <w:trPr>
          <w:trHeight w:val="277"/>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研究</w:t>
            </w:r>
          </w:p>
        </w:tc>
        <w:tc>
          <w:tcPr>
            <w:tcW w:w="2693" w:type="dxa"/>
            <w:vAlign w:val="bottom"/>
          </w:tcPr>
          <w:p w:rsidR="008C3907" w:rsidRDefault="008C3907" w:rsidP="008C3907">
            <w:pPr>
              <w:rPr>
                <w:rFonts w:ascii="Times New Roman" w:hAnsi="Times New Roman"/>
                <w:kern w:val="0"/>
                <w:sz w:val="20"/>
                <w:szCs w:val="20"/>
              </w:rPr>
            </w:pPr>
          </w:p>
        </w:tc>
      </w:tr>
      <w:tr w:rsidR="008C3907" w:rsidTr="008C3907">
        <w:trPr>
          <w:trHeight w:val="208"/>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使用现代工具</w:t>
            </w:r>
          </w:p>
        </w:tc>
        <w:tc>
          <w:tcPr>
            <w:tcW w:w="2693" w:type="dxa"/>
            <w:vAlign w:val="bottom"/>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H</w:t>
            </w:r>
          </w:p>
        </w:tc>
      </w:tr>
      <w:tr w:rsidR="008C3907" w:rsidTr="008C3907">
        <w:trPr>
          <w:trHeight w:val="208"/>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hint="eastAsia"/>
                <w:kern w:val="0"/>
                <w:sz w:val="20"/>
                <w:szCs w:val="20"/>
              </w:rPr>
              <w:t>工程与社会</w:t>
            </w:r>
          </w:p>
        </w:tc>
        <w:tc>
          <w:tcPr>
            <w:tcW w:w="2693" w:type="dxa"/>
            <w:vAlign w:val="bottom"/>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H</w:t>
            </w:r>
          </w:p>
        </w:tc>
      </w:tr>
      <w:tr w:rsidR="008C3907" w:rsidTr="008C3907">
        <w:trPr>
          <w:trHeight w:val="277"/>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7.</w:t>
            </w:r>
            <w:r>
              <w:rPr>
                <w:rFonts w:ascii="Times New Roman" w:hAnsi="Times New Roman" w:hint="eastAsia"/>
                <w:kern w:val="0"/>
                <w:sz w:val="20"/>
                <w:szCs w:val="20"/>
              </w:rPr>
              <w:t>环境和可持续发展</w:t>
            </w:r>
          </w:p>
        </w:tc>
        <w:tc>
          <w:tcPr>
            <w:tcW w:w="2693" w:type="dxa"/>
            <w:vAlign w:val="bottom"/>
          </w:tcPr>
          <w:p w:rsidR="008C3907" w:rsidRDefault="008C3907" w:rsidP="008C3907">
            <w:pPr>
              <w:rPr>
                <w:rFonts w:ascii="Times New Roman" w:hAnsi="Times New Roman"/>
                <w:kern w:val="0"/>
                <w:sz w:val="20"/>
                <w:szCs w:val="20"/>
              </w:rPr>
            </w:pPr>
            <w:r>
              <w:rPr>
                <w:rFonts w:ascii="Times New Roman" w:hAnsi="Times New Roman"/>
                <w:kern w:val="0"/>
                <w:sz w:val="20"/>
                <w:szCs w:val="20"/>
              </w:rPr>
              <w:t>M</w:t>
            </w:r>
          </w:p>
        </w:tc>
      </w:tr>
      <w:tr w:rsidR="008C3907" w:rsidTr="008C3907">
        <w:trPr>
          <w:trHeight w:val="297"/>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lastRenderedPageBreak/>
              <w:t>8.</w:t>
            </w:r>
            <w:r>
              <w:rPr>
                <w:rFonts w:ascii="Times New Roman" w:hAnsi="Times New Roman" w:hint="eastAsia"/>
                <w:kern w:val="0"/>
                <w:sz w:val="20"/>
                <w:szCs w:val="20"/>
              </w:rPr>
              <w:t>职业规范</w:t>
            </w:r>
          </w:p>
        </w:tc>
        <w:tc>
          <w:tcPr>
            <w:tcW w:w="2693" w:type="dxa"/>
            <w:vAlign w:val="bottom"/>
          </w:tcPr>
          <w:p w:rsidR="008C3907" w:rsidRDefault="008C3907" w:rsidP="008C3907">
            <w:pPr>
              <w:rPr>
                <w:rFonts w:ascii="Times New Roman" w:hAnsi="Times New Roman"/>
                <w:kern w:val="0"/>
                <w:sz w:val="20"/>
                <w:szCs w:val="20"/>
              </w:rPr>
            </w:pPr>
          </w:p>
        </w:tc>
      </w:tr>
      <w:tr w:rsidR="008C3907" w:rsidTr="008C3907">
        <w:trPr>
          <w:trHeight w:val="408"/>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hint="eastAsia"/>
                <w:kern w:val="0"/>
                <w:sz w:val="20"/>
                <w:szCs w:val="20"/>
              </w:rPr>
              <w:t>个人和团队</w:t>
            </w:r>
          </w:p>
        </w:tc>
        <w:tc>
          <w:tcPr>
            <w:tcW w:w="2693" w:type="dxa"/>
            <w:vAlign w:val="bottom"/>
          </w:tcPr>
          <w:p w:rsidR="008C3907" w:rsidRDefault="008C3907" w:rsidP="008C3907">
            <w:pPr>
              <w:rPr>
                <w:rFonts w:ascii="Times New Roman" w:hAnsi="Times New Roman"/>
                <w:kern w:val="0"/>
                <w:sz w:val="20"/>
                <w:szCs w:val="20"/>
              </w:rPr>
            </w:pPr>
          </w:p>
        </w:tc>
      </w:tr>
      <w:tr w:rsidR="008C3907" w:rsidTr="008C3907">
        <w:trPr>
          <w:trHeight w:val="293"/>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10.</w:t>
            </w:r>
            <w:r>
              <w:rPr>
                <w:rFonts w:ascii="Times New Roman" w:hAnsi="Times New Roman" w:hint="eastAsia"/>
                <w:kern w:val="0"/>
                <w:sz w:val="20"/>
                <w:szCs w:val="20"/>
              </w:rPr>
              <w:t>沟通</w:t>
            </w:r>
          </w:p>
        </w:tc>
        <w:tc>
          <w:tcPr>
            <w:tcW w:w="2693" w:type="dxa"/>
            <w:vAlign w:val="bottom"/>
          </w:tcPr>
          <w:p w:rsidR="008C3907" w:rsidRDefault="008C3907" w:rsidP="008C3907">
            <w:pPr>
              <w:rPr>
                <w:rFonts w:ascii="Times New Roman" w:hAnsi="Times New Roman"/>
                <w:kern w:val="0"/>
                <w:sz w:val="20"/>
                <w:szCs w:val="20"/>
              </w:rPr>
            </w:pPr>
          </w:p>
        </w:tc>
      </w:tr>
      <w:tr w:rsidR="008C3907" w:rsidTr="008C3907">
        <w:trPr>
          <w:trHeight w:val="238"/>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11.</w:t>
            </w:r>
            <w:r>
              <w:rPr>
                <w:rFonts w:ascii="Times New Roman" w:hAnsi="Times New Roman" w:hint="eastAsia"/>
                <w:kern w:val="0"/>
                <w:sz w:val="20"/>
                <w:szCs w:val="20"/>
              </w:rPr>
              <w:t>项目管理</w:t>
            </w:r>
          </w:p>
        </w:tc>
        <w:tc>
          <w:tcPr>
            <w:tcW w:w="2693" w:type="dxa"/>
            <w:vAlign w:val="bottom"/>
          </w:tcPr>
          <w:p w:rsidR="008C3907" w:rsidRDefault="008C3907" w:rsidP="008C3907">
            <w:pPr>
              <w:rPr>
                <w:rFonts w:ascii="Times New Roman" w:hAnsi="Times New Roman"/>
                <w:kern w:val="0"/>
                <w:sz w:val="20"/>
                <w:szCs w:val="20"/>
              </w:rPr>
            </w:pPr>
            <w:r>
              <w:rPr>
                <w:rFonts w:ascii="Times New Roman" w:hAnsi="Times New Roman"/>
                <w:kern w:val="0"/>
                <w:sz w:val="20"/>
                <w:szCs w:val="20"/>
              </w:rPr>
              <w:t>M</w:t>
            </w:r>
          </w:p>
        </w:tc>
      </w:tr>
      <w:tr w:rsidR="008C3907" w:rsidTr="008C3907">
        <w:trPr>
          <w:trHeight w:val="216"/>
        </w:trPr>
        <w:tc>
          <w:tcPr>
            <w:tcW w:w="3232"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12.</w:t>
            </w:r>
            <w:r>
              <w:rPr>
                <w:rFonts w:ascii="Times New Roman" w:hAnsi="Times New Roman" w:hint="eastAsia"/>
                <w:kern w:val="0"/>
                <w:sz w:val="20"/>
                <w:szCs w:val="20"/>
              </w:rPr>
              <w:t>终身学习</w:t>
            </w:r>
          </w:p>
        </w:tc>
        <w:tc>
          <w:tcPr>
            <w:tcW w:w="2693" w:type="dxa"/>
            <w:vAlign w:val="bottom"/>
          </w:tcPr>
          <w:p w:rsidR="008C3907" w:rsidRDefault="008C3907" w:rsidP="008C3907">
            <w:pPr>
              <w:rPr>
                <w:rFonts w:ascii="Times New Roman" w:hAnsi="Times New Roman"/>
                <w:kern w:val="0"/>
                <w:sz w:val="20"/>
                <w:szCs w:val="20"/>
              </w:rPr>
            </w:pPr>
          </w:p>
        </w:tc>
      </w:tr>
    </w:tbl>
    <w:p w:rsidR="008C3907" w:rsidRDefault="008C3907" w:rsidP="008C3907">
      <w:pPr>
        <w:spacing w:line="360" w:lineRule="auto"/>
        <w:rPr>
          <w:rFonts w:ascii="仿宋_GB2312" w:hAnsi="仿宋_GB2312" w:cs="仿宋_GB2312"/>
          <w:b/>
          <w:color w:val="FF0000"/>
          <w:sz w:val="28"/>
          <w:szCs w:val="28"/>
        </w:rPr>
      </w:pPr>
      <w:r>
        <w:rPr>
          <w:rFonts w:ascii="仿宋_GB2312" w:hAnsi="仿宋_GB2312" w:cs="仿宋_GB2312" w:hint="eastAsia"/>
          <w:b/>
          <w:color w:val="FF0000"/>
          <w:sz w:val="28"/>
          <w:szCs w:val="28"/>
        </w:rPr>
        <w:t xml:space="preserve"> </w:t>
      </w:r>
      <w:r>
        <w:rPr>
          <w:rFonts w:ascii="仿宋_GB2312" w:hAnsi="仿宋_GB2312" w:cs="仿宋_GB2312"/>
          <w:b/>
          <w:color w:val="FF0000"/>
          <w:sz w:val="28"/>
          <w:szCs w:val="28"/>
        </w:rPr>
        <w:t xml:space="preserve"> </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8C3907" w:rsidRDefault="008C3907" w:rsidP="008C3907">
      <w:pPr>
        <w:spacing w:line="360" w:lineRule="auto"/>
        <w:ind w:leftChars="200" w:left="1480" w:hangingChars="300" w:hanging="840"/>
        <w:rPr>
          <w:rFonts w:ascii="仿宋_GB2312" w:hAnsi="仿宋_GB2312" w:cs="仿宋_GB2312"/>
          <w:sz w:val="28"/>
          <w:szCs w:val="28"/>
        </w:rPr>
      </w:pPr>
      <w:r>
        <w:rPr>
          <w:rFonts w:ascii="仿宋_GB2312" w:hAnsi="仿宋_GB2312" w:cs="仿宋_GB2312" w:hint="eastAsia"/>
          <w:sz w:val="28"/>
          <w:szCs w:val="28"/>
        </w:rPr>
        <w:t>重点：管道、</w:t>
      </w:r>
      <w:r>
        <w:rPr>
          <w:rFonts w:ascii="仿宋_GB2312" w:hAnsi="仿宋_GB2312" w:cs="仿宋_GB2312"/>
          <w:sz w:val="28"/>
          <w:szCs w:val="28"/>
        </w:rPr>
        <w:t>板材、型材</w:t>
      </w:r>
      <w:r>
        <w:rPr>
          <w:rFonts w:ascii="仿宋_GB2312" w:hAnsi="仿宋_GB2312" w:cs="仿宋_GB2312" w:hint="eastAsia"/>
          <w:sz w:val="28"/>
          <w:szCs w:val="28"/>
        </w:rPr>
        <w:t>材料及</w:t>
      </w:r>
      <w:r>
        <w:rPr>
          <w:rFonts w:ascii="仿宋_GB2312" w:hAnsi="仿宋_GB2312" w:cs="仿宋_GB2312"/>
          <w:sz w:val="28"/>
          <w:szCs w:val="28"/>
        </w:rPr>
        <w:t>规格的认识与熟悉、施工工具的认识、</w:t>
      </w:r>
      <w:r>
        <w:rPr>
          <w:rFonts w:ascii="仿宋_GB2312" w:hAnsi="仿宋_GB2312" w:cs="仿宋_GB2312" w:hint="eastAsia"/>
          <w:sz w:val="28"/>
          <w:szCs w:val="28"/>
        </w:rPr>
        <w:t>供暖</w:t>
      </w:r>
      <w:r>
        <w:rPr>
          <w:rFonts w:ascii="仿宋_GB2312" w:hAnsi="仿宋_GB2312" w:cs="仿宋_GB2312"/>
          <w:sz w:val="28"/>
          <w:szCs w:val="28"/>
        </w:rPr>
        <w:t>系统</w:t>
      </w:r>
      <w:r>
        <w:rPr>
          <w:rFonts w:ascii="仿宋_GB2312" w:hAnsi="仿宋_GB2312" w:cs="仿宋_GB2312" w:hint="eastAsia"/>
          <w:sz w:val="28"/>
          <w:szCs w:val="28"/>
        </w:rPr>
        <w:t>、</w:t>
      </w:r>
      <w:r>
        <w:rPr>
          <w:rFonts w:ascii="仿宋_GB2312" w:hAnsi="仿宋_GB2312" w:cs="仿宋_GB2312"/>
          <w:sz w:val="28"/>
          <w:szCs w:val="28"/>
        </w:rPr>
        <w:t>给排水系统</w:t>
      </w:r>
      <w:r>
        <w:rPr>
          <w:rFonts w:ascii="仿宋_GB2312" w:hAnsi="仿宋_GB2312" w:cs="仿宋_GB2312" w:hint="eastAsia"/>
          <w:sz w:val="28"/>
          <w:szCs w:val="28"/>
        </w:rPr>
        <w:t>、通风</w:t>
      </w:r>
      <w:r>
        <w:rPr>
          <w:rFonts w:ascii="仿宋_GB2312" w:hAnsi="仿宋_GB2312" w:cs="仿宋_GB2312"/>
          <w:sz w:val="28"/>
          <w:szCs w:val="28"/>
        </w:rPr>
        <w:t>空调系统的安装与过程</w:t>
      </w:r>
      <w:r>
        <w:rPr>
          <w:rFonts w:ascii="仿宋_GB2312" w:hAnsi="仿宋_GB2312" w:cs="仿宋_GB2312" w:hint="eastAsia"/>
          <w:sz w:val="28"/>
          <w:szCs w:val="28"/>
        </w:rPr>
        <w:t>，金属</w:t>
      </w:r>
      <w:r>
        <w:rPr>
          <w:rFonts w:ascii="仿宋_GB2312" w:hAnsi="仿宋_GB2312" w:cs="仿宋_GB2312"/>
          <w:sz w:val="28"/>
          <w:szCs w:val="28"/>
        </w:rPr>
        <w:t>材料</w:t>
      </w:r>
      <w:r>
        <w:rPr>
          <w:rFonts w:ascii="仿宋_GB2312" w:hAnsi="仿宋_GB2312" w:cs="仿宋_GB2312" w:hint="eastAsia"/>
          <w:sz w:val="28"/>
          <w:szCs w:val="28"/>
        </w:rPr>
        <w:t>的</w:t>
      </w:r>
      <w:r>
        <w:rPr>
          <w:rFonts w:ascii="仿宋_GB2312" w:hAnsi="仿宋_GB2312" w:cs="仿宋_GB2312"/>
          <w:sz w:val="28"/>
          <w:szCs w:val="28"/>
        </w:rPr>
        <w:t>防腐与</w:t>
      </w:r>
      <w:r>
        <w:rPr>
          <w:rFonts w:ascii="仿宋_GB2312" w:hAnsi="仿宋_GB2312" w:cs="仿宋_GB2312" w:hint="eastAsia"/>
          <w:sz w:val="28"/>
          <w:szCs w:val="28"/>
        </w:rPr>
        <w:t>绝热。</w:t>
      </w:r>
    </w:p>
    <w:p w:rsidR="008C3907" w:rsidRDefault="008C3907" w:rsidP="008C3907">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难点：系统安装</w:t>
      </w:r>
      <w:r>
        <w:rPr>
          <w:rFonts w:ascii="仿宋_GB2312" w:hAnsi="仿宋_GB2312" w:cs="仿宋_GB2312"/>
          <w:sz w:val="28"/>
          <w:szCs w:val="28"/>
        </w:rPr>
        <w:t>、</w:t>
      </w:r>
      <w:r>
        <w:rPr>
          <w:rFonts w:ascii="仿宋_GB2312" w:hAnsi="仿宋_GB2312" w:cs="仿宋_GB2312" w:hint="eastAsia"/>
          <w:sz w:val="28"/>
          <w:szCs w:val="28"/>
        </w:rPr>
        <w:t>风管管道</w:t>
      </w:r>
      <w:r>
        <w:rPr>
          <w:rFonts w:ascii="仿宋_GB2312" w:hAnsi="仿宋_GB2312" w:cs="仿宋_GB2312"/>
          <w:sz w:val="28"/>
          <w:szCs w:val="28"/>
        </w:rPr>
        <w:t>成型</w:t>
      </w:r>
      <w:r>
        <w:rPr>
          <w:rFonts w:ascii="仿宋_GB2312" w:hAnsi="仿宋_GB2312" w:cs="仿宋_GB2312" w:hint="eastAsia"/>
          <w:sz w:val="28"/>
          <w:szCs w:val="28"/>
        </w:rPr>
        <w:t>。</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8C3907" w:rsidRDefault="008C3907" w:rsidP="008C3907">
      <w:pPr>
        <w:spacing w:line="360" w:lineRule="auto"/>
        <w:ind w:leftChars="100" w:left="600" w:hangingChars="100" w:hanging="280"/>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结合专业知识，将现阶段我国</w:t>
      </w:r>
      <w:r>
        <w:rPr>
          <w:rFonts w:ascii="仿宋_GB2312" w:hAnsi="仿宋_GB2312" w:cs="仿宋_GB2312"/>
          <w:sz w:val="28"/>
          <w:szCs w:val="28"/>
        </w:rPr>
        <w:t>设备制造体系的成就、全面脱贫背景下人民对美好生活的追求和</w:t>
      </w:r>
      <w:r>
        <w:rPr>
          <w:rFonts w:ascii="仿宋_GB2312" w:hAnsi="仿宋_GB2312" w:cs="仿宋_GB2312" w:hint="eastAsia"/>
          <w:sz w:val="28"/>
          <w:szCs w:val="28"/>
        </w:rPr>
        <w:t>本</w:t>
      </w:r>
      <w:r>
        <w:rPr>
          <w:rFonts w:ascii="仿宋_GB2312" w:hAnsi="仿宋_GB2312" w:cs="仿宋_GB2312"/>
          <w:sz w:val="28"/>
          <w:szCs w:val="28"/>
        </w:rPr>
        <w:t>专业</w:t>
      </w:r>
      <w:r>
        <w:rPr>
          <w:rFonts w:ascii="仿宋_GB2312" w:hAnsi="仿宋_GB2312" w:cs="仿宋_GB2312" w:hint="eastAsia"/>
          <w:sz w:val="28"/>
          <w:szCs w:val="28"/>
        </w:rPr>
        <w:t>在安装</w:t>
      </w:r>
      <w:r>
        <w:rPr>
          <w:rFonts w:ascii="仿宋_GB2312" w:hAnsi="仿宋_GB2312" w:cs="仿宋_GB2312"/>
          <w:sz w:val="28"/>
          <w:szCs w:val="28"/>
        </w:rPr>
        <w:t>及生产等方面的</w:t>
      </w:r>
      <w:r>
        <w:rPr>
          <w:rFonts w:ascii="仿宋_GB2312" w:hAnsi="仿宋_GB2312" w:cs="仿宋_GB2312" w:hint="eastAsia"/>
          <w:sz w:val="28"/>
          <w:szCs w:val="28"/>
        </w:rPr>
        <w:t>元素融入到</w:t>
      </w:r>
      <w:r>
        <w:rPr>
          <w:rFonts w:ascii="仿宋_GB2312" w:hAnsi="仿宋_GB2312" w:cs="仿宋_GB2312"/>
          <w:sz w:val="28"/>
          <w:szCs w:val="28"/>
        </w:rPr>
        <w:t>教学中</w:t>
      </w:r>
      <w:r>
        <w:rPr>
          <w:rFonts w:ascii="仿宋_GB2312" w:hAnsi="仿宋_GB2312" w:cs="仿宋_GB2312" w:hint="eastAsia"/>
          <w:sz w:val="28"/>
          <w:szCs w:val="28"/>
        </w:rPr>
        <w:t>，强调创新意识、社会责任、职业道德和奋斗精神，增强学习动力和责任感。</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8C3907" w:rsidTr="008C3907">
        <w:trPr>
          <w:cantSplit/>
          <w:trHeight w:val="785"/>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序号</w:t>
            </w:r>
          </w:p>
        </w:tc>
        <w:tc>
          <w:tcPr>
            <w:tcW w:w="210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8C3907" w:rsidTr="008C3907">
        <w:trPr>
          <w:trHeight w:val="428"/>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8C3907" w:rsidRDefault="008C3907" w:rsidP="008C3907">
            <w:pPr>
              <w:rPr>
                <w:rFonts w:ascii="宋体" w:eastAsia="宋体" w:hAnsi="宋体"/>
                <w:sz w:val="21"/>
                <w:szCs w:val="21"/>
              </w:rPr>
            </w:pPr>
            <w:r>
              <w:rPr>
                <w:rFonts w:ascii="宋体" w:eastAsia="宋体" w:hAnsi="宋体" w:hint="eastAsia"/>
                <w:sz w:val="21"/>
                <w:szCs w:val="21"/>
              </w:rPr>
              <w:t>第一章  工程材料基本知识</w:t>
            </w:r>
          </w:p>
        </w:tc>
        <w:tc>
          <w:tcPr>
            <w:tcW w:w="727" w:type="dxa"/>
            <w:vAlign w:val="center"/>
          </w:tcPr>
          <w:p w:rsidR="008C3907" w:rsidRDefault="008C3907" w:rsidP="008C3907">
            <w:pPr>
              <w:rPr>
                <w:rFonts w:ascii="Times New Roman" w:hAnsi="Times New Roman"/>
                <w:kern w:val="0"/>
                <w:sz w:val="20"/>
                <w:szCs w:val="20"/>
              </w:rPr>
            </w:pPr>
            <w:r>
              <w:rPr>
                <w:rFonts w:ascii="Times New Roman" w:hAnsi="Times New Roman"/>
                <w:kern w:val="0"/>
                <w:sz w:val="20"/>
                <w:szCs w:val="20"/>
              </w:rPr>
              <w:t>6</w:t>
            </w:r>
          </w:p>
        </w:tc>
        <w:tc>
          <w:tcPr>
            <w:tcW w:w="3059" w:type="dxa"/>
            <w:vAlign w:val="center"/>
          </w:tcPr>
          <w:p w:rsidR="008C3907" w:rsidRDefault="008C3907" w:rsidP="008C3907">
            <w:pPr>
              <w:pStyle w:val="a6"/>
              <w:rPr>
                <w:rFonts w:hAnsi="宋体" w:cs="宋体"/>
              </w:rPr>
            </w:pPr>
            <w:r>
              <w:rPr>
                <w:rFonts w:hAnsi="宋体" w:cs="宋体" w:hint="eastAsia"/>
              </w:rPr>
              <w:t xml:space="preserve">1.1 管道与技术标准  </w:t>
            </w:r>
          </w:p>
          <w:p w:rsidR="008C3907" w:rsidRDefault="008C3907" w:rsidP="008C3907">
            <w:pPr>
              <w:pStyle w:val="a6"/>
              <w:rPr>
                <w:rFonts w:hAnsi="宋体" w:cs="宋体"/>
              </w:rPr>
            </w:pPr>
            <w:r>
              <w:rPr>
                <w:rFonts w:hAnsi="宋体" w:cs="宋体" w:hint="eastAsia"/>
              </w:rPr>
              <w:t>1.2 常用金属管材及管件</w:t>
            </w:r>
          </w:p>
          <w:p w:rsidR="008C3907" w:rsidRDefault="008C3907" w:rsidP="008C3907">
            <w:pPr>
              <w:pStyle w:val="a6"/>
              <w:rPr>
                <w:rFonts w:hAnsi="宋体" w:cs="宋体"/>
              </w:rPr>
            </w:pPr>
            <w:r>
              <w:rPr>
                <w:rFonts w:hAnsi="宋体" w:cs="宋体" w:hint="eastAsia"/>
              </w:rPr>
              <w:t>1.3 复合管、非金属管管材及管件</w:t>
            </w:r>
          </w:p>
          <w:p w:rsidR="008C3907" w:rsidRDefault="008C3907" w:rsidP="008C3907">
            <w:pPr>
              <w:pStyle w:val="a6"/>
              <w:rPr>
                <w:rFonts w:hAnsi="宋体" w:cs="宋体"/>
              </w:rPr>
            </w:pPr>
            <w:r>
              <w:rPr>
                <w:rFonts w:hAnsi="宋体" w:cs="宋体" w:hint="eastAsia"/>
              </w:rPr>
              <w:t>1.4 阀门与法兰</w:t>
            </w:r>
          </w:p>
          <w:p w:rsidR="008C3907" w:rsidRDefault="008C3907" w:rsidP="008C3907">
            <w:pPr>
              <w:pStyle w:val="a6"/>
              <w:rPr>
                <w:rFonts w:hAnsi="宋体" w:cs="宋体"/>
              </w:rPr>
            </w:pPr>
            <w:r>
              <w:rPr>
                <w:rFonts w:hAnsi="宋体" w:cs="宋体" w:hint="eastAsia"/>
              </w:rPr>
              <w:t>1.5 板材与型材</w:t>
            </w:r>
          </w:p>
          <w:p w:rsidR="008C3907" w:rsidRDefault="008C3907" w:rsidP="008C3907">
            <w:pPr>
              <w:pStyle w:val="a6"/>
              <w:rPr>
                <w:rFonts w:hAnsi="宋体" w:cs="宋体"/>
              </w:rPr>
            </w:pPr>
            <w:r>
              <w:rPr>
                <w:rFonts w:hAnsi="宋体" w:cs="宋体" w:hint="eastAsia"/>
              </w:rPr>
              <w:t>1.6 焊接材料</w:t>
            </w:r>
          </w:p>
        </w:tc>
        <w:tc>
          <w:tcPr>
            <w:tcW w:w="2755" w:type="dxa"/>
            <w:vAlign w:val="center"/>
          </w:tcPr>
          <w:p w:rsidR="008C3907" w:rsidRDefault="008C3907" w:rsidP="008C3907">
            <w:pPr>
              <w:pStyle w:val="a6"/>
              <w:rPr>
                <w:rFonts w:hAnsi="宋体" w:cs="宋体"/>
              </w:rPr>
            </w:pPr>
            <w:r>
              <w:rPr>
                <w:rFonts w:hAnsi="宋体" w:cs="宋体" w:hint="eastAsia"/>
              </w:rPr>
              <w:t>认识各种管材及管件</w:t>
            </w:r>
          </w:p>
          <w:p w:rsidR="008C3907" w:rsidRDefault="008C3907" w:rsidP="008C3907">
            <w:pPr>
              <w:pStyle w:val="a6"/>
              <w:rPr>
                <w:rFonts w:hAnsi="宋体" w:cs="宋体"/>
              </w:rPr>
            </w:pPr>
            <w:r>
              <w:rPr>
                <w:rFonts w:hAnsi="宋体" w:cs="宋体" w:hint="eastAsia"/>
              </w:rPr>
              <w:t>认识阀门与法兰</w:t>
            </w:r>
          </w:p>
          <w:p w:rsidR="008C3907" w:rsidRDefault="008C3907" w:rsidP="008C3907">
            <w:pPr>
              <w:pStyle w:val="a6"/>
            </w:pPr>
            <w:r>
              <w:rPr>
                <w:rFonts w:hAnsi="宋体" w:cs="宋体" w:hint="eastAsia"/>
              </w:rPr>
              <w:t>认识板材与型材</w:t>
            </w:r>
          </w:p>
        </w:tc>
      </w:tr>
      <w:tr w:rsidR="008C3907" w:rsidTr="008C3907">
        <w:trPr>
          <w:trHeight w:val="519"/>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8C3907" w:rsidRDefault="008C3907" w:rsidP="008C3907">
            <w:pPr>
              <w:rPr>
                <w:rFonts w:ascii="宋体" w:eastAsia="宋体" w:hAnsi="宋体"/>
                <w:sz w:val="21"/>
                <w:szCs w:val="21"/>
              </w:rPr>
            </w:pPr>
            <w:r>
              <w:rPr>
                <w:rFonts w:ascii="宋体" w:eastAsia="宋体" w:hAnsi="宋体" w:hint="eastAsia"/>
                <w:sz w:val="21"/>
                <w:szCs w:val="21"/>
              </w:rPr>
              <w:t>第二章  管道安装基础</w:t>
            </w:r>
          </w:p>
        </w:tc>
        <w:tc>
          <w:tcPr>
            <w:tcW w:w="727"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6</w:t>
            </w:r>
          </w:p>
        </w:tc>
        <w:tc>
          <w:tcPr>
            <w:tcW w:w="3059" w:type="dxa"/>
            <w:vAlign w:val="center"/>
          </w:tcPr>
          <w:p w:rsidR="008C3907" w:rsidRDefault="008C3907" w:rsidP="008C3907">
            <w:pPr>
              <w:pStyle w:val="a6"/>
              <w:rPr>
                <w:rFonts w:hAnsi="宋体" w:cs="宋体"/>
              </w:rPr>
            </w:pPr>
            <w:r>
              <w:rPr>
                <w:rFonts w:hAnsi="宋体" w:cs="宋体" w:hint="eastAsia"/>
              </w:rPr>
              <w:t>2.1 常用安装机具</w:t>
            </w:r>
          </w:p>
          <w:p w:rsidR="008C3907" w:rsidRDefault="008C3907" w:rsidP="008C3907">
            <w:pPr>
              <w:pStyle w:val="a6"/>
              <w:rPr>
                <w:rFonts w:hAnsi="宋体" w:cs="宋体"/>
              </w:rPr>
            </w:pPr>
            <w:r>
              <w:rPr>
                <w:rFonts w:hAnsi="宋体" w:cs="宋体" w:hint="eastAsia"/>
              </w:rPr>
              <w:t>2.2钢管加工及连接</w:t>
            </w:r>
          </w:p>
          <w:p w:rsidR="008C3907" w:rsidRDefault="008C3907" w:rsidP="008C3907">
            <w:pPr>
              <w:pStyle w:val="a6"/>
              <w:rPr>
                <w:rFonts w:hAnsi="宋体" w:cs="宋体"/>
              </w:rPr>
            </w:pPr>
            <w:r>
              <w:rPr>
                <w:rFonts w:hAnsi="宋体" w:cs="宋体" w:hint="eastAsia"/>
              </w:rPr>
              <w:t>2.3管道承插连接</w:t>
            </w:r>
          </w:p>
          <w:p w:rsidR="008C3907" w:rsidRDefault="008C3907" w:rsidP="008C3907">
            <w:pPr>
              <w:pStyle w:val="a6"/>
              <w:rPr>
                <w:rFonts w:hAnsi="宋体" w:cs="宋体"/>
              </w:rPr>
            </w:pPr>
            <w:r>
              <w:rPr>
                <w:rFonts w:hAnsi="宋体" w:cs="宋体" w:hint="eastAsia"/>
              </w:rPr>
              <w:t>2.4塑料管安装</w:t>
            </w:r>
          </w:p>
          <w:p w:rsidR="008C3907" w:rsidRDefault="008C3907" w:rsidP="008C3907">
            <w:pPr>
              <w:pStyle w:val="a6"/>
              <w:rPr>
                <w:rFonts w:hAnsi="宋体" w:cs="宋体"/>
              </w:rPr>
            </w:pPr>
            <w:r>
              <w:rPr>
                <w:rFonts w:hAnsi="宋体" w:cs="宋体" w:hint="eastAsia"/>
              </w:rPr>
              <w:lastRenderedPageBreak/>
              <w:t>2.5 紫铜</w:t>
            </w:r>
            <w:r>
              <w:rPr>
                <w:rFonts w:hAnsi="宋体" w:cs="宋体"/>
              </w:rPr>
              <w:t>管的加工与焊接</w:t>
            </w:r>
          </w:p>
          <w:p w:rsidR="008C3907" w:rsidRDefault="008C3907" w:rsidP="008C3907">
            <w:pPr>
              <w:pStyle w:val="a6"/>
              <w:rPr>
                <w:rFonts w:hAnsi="宋体" w:cs="宋体"/>
              </w:rPr>
            </w:pPr>
            <w:r>
              <w:rPr>
                <w:rFonts w:hAnsi="宋体" w:cs="宋体" w:hint="eastAsia"/>
              </w:rPr>
              <w:t>2.6管道压力试验</w:t>
            </w:r>
          </w:p>
          <w:p w:rsidR="008C3907" w:rsidRDefault="008C3907" w:rsidP="008C3907">
            <w:pPr>
              <w:pStyle w:val="a6"/>
              <w:rPr>
                <w:rFonts w:hAnsi="宋体" w:cs="宋体"/>
              </w:rPr>
            </w:pPr>
            <w:r>
              <w:rPr>
                <w:rFonts w:hAnsi="宋体" w:cs="宋体" w:hint="eastAsia"/>
              </w:rPr>
              <w:t>2.7阀门安装</w:t>
            </w:r>
          </w:p>
          <w:p w:rsidR="008C3907" w:rsidRDefault="008C3907" w:rsidP="008C3907">
            <w:pPr>
              <w:pStyle w:val="a6"/>
              <w:rPr>
                <w:rFonts w:hAnsi="宋体" w:cs="宋体"/>
              </w:rPr>
            </w:pPr>
            <w:r>
              <w:rPr>
                <w:rFonts w:hAnsi="宋体" w:cs="宋体" w:hint="eastAsia"/>
              </w:rPr>
              <w:t>2.8管道支架制作与安装</w:t>
            </w:r>
          </w:p>
        </w:tc>
        <w:tc>
          <w:tcPr>
            <w:tcW w:w="2755" w:type="dxa"/>
            <w:vAlign w:val="center"/>
          </w:tcPr>
          <w:p w:rsidR="008C3907" w:rsidRDefault="008C3907" w:rsidP="008C3907">
            <w:pPr>
              <w:pStyle w:val="a6"/>
              <w:rPr>
                <w:rFonts w:hAnsi="宋体" w:cs="宋体"/>
              </w:rPr>
            </w:pPr>
            <w:r>
              <w:rPr>
                <w:rFonts w:hAnsi="宋体" w:cs="宋体" w:hint="eastAsia"/>
              </w:rPr>
              <w:lastRenderedPageBreak/>
              <w:t>认识工具与机具</w:t>
            </w:r>
          </w:p>
          <w:p w:rsidR="008C3907" w:rsidRDefault="008C3907" w:rsidP="008C3907">
            <w:pPr>
              <w:pStyle w:val="a6"/>
              <w:rPr>
                <w:rFonts w:hAnsi="宋体" w:cs="宋体"/>
              </w:rPr>
            </w:pPr>
            <w:r>
              <w:rPr>
                <w:rFonts w:hAnsi="宋体" w:cs="宋体" w:hint="eastAsia"/>
              </w:rPr>
              <w:t>了解管道试压</w:t>
            </w:r>
          </w:p>
          <w:p w:rsidR="008C3907" w:rsidRDefault="008C3907" w:rsidP="008C3907">
            <w:pPr>
              <w:pStyle w:val="a6"/>
              <w:rPr>
                <w:rFonts w:hAnsi="宋体" w:cs="宋体"/>
              </w:rPr>
            </w:pPr>
            <w:r>
              <w:rPr>
                <w:rFonts w:hAnsi="宋体" w:cs="宋体" w:hint="eastAsia"/>
              </w:rPr>
              <w:t>了解管道</w:t>
            </w:r>
            <w:r>
              <w:rPr>
                <w:rFonts w:hAnsi="宋体" w:cs="宋体"/>
              </w:rPr>
              <w:t>与</w:t>
            </w:r>
            <w:r>
              <w:rPr>
                <w:rFonts w:hAnsi="宋体" w:cs="宋体" w:hint="eastAsia"/>
              </w:rPr>
              <w:t>阀门安装</w:t>
            </w:r>
          </w:p>
          <w:p w:rsidR="008C3907" w:rsidRDefault="008C3907" w:rsidP="008C3907">
            <w:pPr>
              <w:pStyle w:val="a6"/>
              <w:rPr>
                <w:rFonts w:hAnsi="宋体" w:cs="宋体"/>
              </w:rPr>
            </w:pPr>
            <w:r>
              <w:rPr>
                <w:rFonts w:hAnsi="宋体" w:cs="宋体" w:hint="eastAsia"/>
              </w:rPr>
              <w:t>了</w:t>
            </w:r>
            <w:r>
              <w:rPr>
                <w:rFonts w:hAnsi="宋体" w:cs="宋体"/>
              </w:rPr>
              <w:t>解支架制作</w:t>
            </w:r>
          </w:p>
        </w:tc>
      </w:tr>
      <w:tr w:rsidR="008C3907" w:rsidTr="008C3907">
        <w:trPr>
          <w:trHeight w:val="555"/>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8C3907" w:rsidRDefault="008C3907" w:rsidP="008C3907">
            <w:pPr>
              <w:rPr>
                <w:rFonts w:ascii="宋体" w:eastAsia="宋体" w:hAnsi="宋体"/>
                <w:sz w:val="21"/>
                <w:szCs w:val="21"/>
              </w:rPr>
            </w:pPr>
            <w:r>
              <w:rPr>
                <w:rFonts w:ascii="宋体" w:eastAsia="宋体" w:hAnsi="宋体" w:hint="eastAsia"/>
                <w:sz w:val="21"/>
                <w:szCs w:val="21"/>
              </w:rPr>
              <w:t>第三章  供暖系统安装</w:t>
            </w:r>
          </w:p>
        </w:tc>
        <w:tc>
          <w:tcPr>
            <w:tcW w:w="727"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6</w:t>
            </w:r>
          </w:p>
        </w:tc>
        <w:tc>
          <w:tcPr>
            <w:tcW w:w="3059" w:type="dxa"/>
            <w:vAlign w:val="center"/>
          </w:tcPr>
          <w:p w:rsidR="008C3907" w:rsidRDefault="008C3907" w:rsidP="008C3907">
            <w:pPr>
              <w:pStyle w:val="a6"/>
              <w:rPr>
                <w:rFonts w:hAnsi="宋体" w:cs="宋体"/>
              </w:rPr>
            </w:pPr>
            <w:r>
              <w:rPr>
                <w:rFonts w:hAnsi="宋体" w:cs="宋体" w:hint="eastAsia"/>
              </w:rPr>
              <w:t>3.1 采暖系统安装</w:t>
            </w:r>
          </w:p>
          <w:p w:rsidR="008C3907" w:rsidRDefault="008C3907" w:rsidP="008C3907">
            <w:pPr>
              <w:pStyle w:val="a6"/>
              <w:rPr>
                <w:rFonts w:hAnsi="宋体" w:cs="宋体"/>
              </w:rPr>
            </w:pPr>
            <w:r>
              <w:rPr>
                <w:rFonts w:hAnsi="宋体" w:cs="宋体" w:hint="eastAsia"/>
              </w:rPr>
              <w:t>3.2散热器安装</w:t>
            </w:r>
          </w:p>
          <w:p w:rsidR="008C3907" w:rsidRDefault="008C3907" w:rsidP="008C3907">
            <w:pPr>
              <w:pStyle w:val="a6"/>
              <w:rPr>
                <w:rFonts w:hAnsi="宋体" w:cs="宋体"/>
              </w:rPr>
            </w:pPr>
            <w:r>
              <w:rPr>
                <w:rFonts w:hAnsi="宋体" w:cs="宋体" w:hint="eastAsia"/>
              </w:rPr>
              <w:t>3.3分户热计量采暖系统安装</w:t>
            </w:r>
          </w:p>
          <w:p w:rsidR="008C3907" w:rsidRDefault="008C3907" w:rsidP="008C3907">
            <w:pPr>
              <w:pStyle w:val="a6"/>
              <w:rPr>
                <w:rFonts w:hAnsi="宋体" w:cs="宋体"/>
              </w:rPr>
            </w:pPr>
            <w:r>
              <w:rPr>
                <w:rFonts w:hAnsi="宋体" w:cs="宋体" w:hint="eastAsia"/>
              </w:rPr>
              <w:t>3.4采暖附属设备安装</w:t>
            </w:r>
          </w:p>
          <w:p w:rsidR="008C3907" w:rsidRDefault="008C3907" w:rsidP="008C3907">
            <w:pPr>
              <w:pStyle w:val="a6"/>
              <w:rPr>
                <w:rFonts w:hAnsi="宋体" w:cs="宋体"/>
              </w:rPr>
            </w:pPr>
            <w:r>
              <w:rPr>
                <w:rFonts w:hAnsi="宋体" w:cs="宋体" w:hint="eastAsia"/>
              </w:rPr>
              <w:t>3.5 供热</w:t>
            </w:r>
            <w:r>
              <w:rPr>
                <w:rFonts w:hAnsi="宋体" w:cs="宋体"/>
              </w:rPr>
              <w:t>管</w:t>
            </w:r>
            <w:r>
              <w:rPr>
                <w:rFonts w:hAnsi="宋体" w:cs="宋体" w:hint="eastAsia"/>
              </w:rPr>
              <w:t>网</w:t>
            </w:r>
            <w:r>
              <w:rPr>
                <w:rFonts w:hAnsi="宋体" w:cs="宋体"/>
              </w:rPr>
              <w:t>敷设</w:t>
            </w:r>
          </w:p>
          <w:p w:rsidR="008C3907" w:rsidRDefault="008C3907" w:rsidP="008C3907">
            <w:pPr>
              <w:pStyle w:val="a6"/>
              <w:rPr>
                <w:rFonts w:hAnsi="宋体" w:cs="宋体"/>
              </w:rPr>
            </w:pPr>
            <w:r>
              <w:rPr>
                <w:rFonts w:hAnsi="宋体" w:cs="宋体" w:hint="eastAsia"/>
              </w:rPr>
              <w:t>3.6供热管道直埋安装</w:t>
            </w:r>
          </w:p>
          <w:p w:rsidR="008C3907" w:rsidRDefault="008C3907" w:rsidP="008C3907">
            <w:pPr>
              <w:pStyle w:val="a6"/>
              <w:rPr>
                <w:rFonts w:hAnsi="宋体" w:cs="宋体"/>
              </w:rPr>
            </w:pPr>
            <w:r>
              <w:rPr>
                <w:rFonts w:hAnsi="宋体" w:cs="宋体" w:hint="eastAsia"/>
              </w:rPr>
              <w:t>3.7供热管道管沟和架空安装</w:t>
            </w:r>
          </w:p>
          <w:p w:rsidR="008C3907" w:rsidRDefault="008C3907" w:rsidP="008C3907">
            <w:pPr>
              <w:pStyle w:val="a6"/>
              <w:rPr>
                <w:rFonts w:hAnsi="宋体" w:cs="宋体"/>
              </w:rPr>
            </w:pPr>
            <w:r>
              <w:rPr>
                <w:rFonts w:hAnsi="宋体" w:cs="宋体" w:hint="eastAsia"/>
              </w:rPr>
              <w:t>3.8供热管路附件安装</w:t>
            </w:r>
          </w:p>
          <w:p w:rsidR="008C3907" w:rsidRDefault="008C3907" w:rsidP="008C3907">
            <w:pPr>
              <w:pStyle w:val="a6"/>
              <w:rPr>
                <w:rFonts w:hAnsi="宋体" w:cs="宋体"/>
              </w:rPr>
            </w:pPr>
            <w:r>
              <w:rPr>
                <w:rFonts w:hAnsi="宋体" w:cs="宋体" w:hint="eastAsia"/>
              </w:rPr>
              <w:t>3.9供热系统试压与验收</w:t>
            </w:r>
          </w:p>
        </w:tc>
        <w:tc>
          <w:tcPr>
            <w:tcW w:w="2755" w:type="dxa"/>
            <w:vAlign w:val="center"/>
          </w:tcPr>
          <w:p w:rsidR="008C3907" w:rsidRDefault="008C3907" w:rsidP="008C3907">
            <w:pPr>
              <w:pStyle w:val="a6"/>
              <w:rPr>
                <w:rFonts w:hAnsi="宋体" w:cs="宋体"/>
              </w:rPr>
            </w:pPr>
            <w:r>
              <w:rPr>
                <w:rFonts w:hAnsi="宋体" w:cs="宋体" w:hint="eastAsia"/>
              </w:rPr>
              <w:t>了解采暖系统安装</w:t>
            </w:r>
          </w:p>
          <w:p w:rsidR="008C3907" w:rsidRDefault="008C3907" w:rsidP="008C3907">
            <w:pPr>
              <w:pStyle w:val="a6"/>
              <w:rPr>
                <w:rFonts w:hAnsi="宋体" w:cs="宋体"/>
              </w:rPr>
            </w:pPr>
            <w:r>
              <w:rPr>
                <w:rFonts w:hAnsi="宋体" w:cs="宋体" w:hint="eastAsia"/>
              </w:rPr>
              <w:t>了解散热</w:t>
            </w:r>
            <w:r>
              <w:rPr>
                <w:rFonts w:hAnsi="宋体" w:cs="宋体"/>
              </w:rPr>
              <w:t>器</w:t>
            </w:r>
            <w:r>
              <w:rPr>
                <w:rFonts w:hAnsi="宋体" w:cs="宋体" w:hint="eastAsia"/>
              </w:rPr>
              <w:t>安装</w:t>
            </w:r>
          </w:p>
          <w:p w:rsidR="008C3907" w:rsidRDefault="008C3907" w:rsidP="008C3907">
            <w:pPr>
              <w:pStyle w:val="a6"/>
              <w:rPr>
                <w:rFonts w:hAnsi="宋体" w:cs="宋体"/>
              </w:rPr>
            </w:pPr>
            <w:r>
              <w:rPr>
                <w:rFonts w:hAnsi="宋体" w:cs="宋体" w:hint="eastAsia"/>
              </w:rPr>
              <w:t>了</w:t>
            </w:r>
            <w:r>
              <w:rPr>
                <w:rFonts w:hAnsi="宋体" w:cs="宋体"/>
              </w:rPr>
              <w:t>解管</w:t>
            </w:r>
            <w:r>
              <w:rPr>
                <w:rFonts w:hAnsi="宋体" w:cs="宋体" w:hint="eastAsia"/>
              </w:rPr>
              <w:t>网</w:t>
            </w:r>
            <w:r>
              <w:rPr>
                <w:rFonts w:hAnsi="宋体" w:cs="宋体"/>
              </w:rPr>
              <w:t>敷设方式</w:t>
            </w:r>
          </w:p>
          <w:p w:rsidR="008C3907" w:rsidRDefault="008C3907" w:rsidP="008C3907">
            <w:pPr>
              <w:pStyle w:val="a6"/>
              <w:rPr>
                <w:rFonts w:hAnsi="宋体" w:cs="宋体"/>
              </w:rPr>
            </w:pPr>
            <w:r>
              <w:rPr>
                <w:rFonts w:hAnsi="宋体" w:cs="宋体" w:hint="eastAsia"/>
              </w:rPr>
              <w:t>了解分户计量安装</w:t>
            </w:r>
          </w:p>
        </w:tc>
      </w:tr>
      <w:tr w:rsidR="008C3907" w:rsidTr="008C3907">
        <w:trPr>
          <w:trHeight w:val="238"/>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4</w:t>
            </w:r>
          </w:p>
        </w:tc>
        <w:tc>
          <w:tcPr>
            <w:tcW w:w="2102" w:type="dxa"/>
            <w:vAlign w:val="center"/>
          </w:tcPr>
          <w:p w:rsidR="008C3907" w:rsidRDefault="008C3907" w:rsidP="008C3907">
            <w:pPr>
              <w:rPr>
                <w:rFonts w:ascii="宋体" w:eastAsia="宋体" w:hAnsi="宋体"/>
                <w:sz w:val="21"/>
                <w:szCs w:val="21"/>
              </w:rPr>
            </w:pPr>
            <w:r>
              <w:rPr>
                <w:rFonts w:ascii="宋体" w:eastAsia="宋体" w:hAnsi="宋体" w:hint="eastAsia"/>
                <w:sz w:val="21"/>
                <w:szCs w:val="21"/>
              </w:rPr>
              <w:t>第四章  给排水系统安装</w:t>
            </w:r>
          </w:p>
        </w:tc>
        <w:tc>
          <w:tcPr>
            <w:tcW w:w="727"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6</w:t>
            </w:r>
          </w:p>
        </w:tc>
        <w:tc>
          <w:tcPr>
            <w:tcW w:w="3059" w:type="dxa"/>
            <w:vAlign w:val="center"/>
          </w:tcPr>
          <w:p w:rsidR="008C3907" w:rsidRDefault="008C3907" w:rsidP="008C3907">
            <w:pPr>
              <w:pStyle w:val="a6"/>
              <w:rPr>
                <w:rFonts w:hAnsi="宋体" w:cs="宋体"/>
              </w:rPr>
            </w:pPr>
            <w:r>
              <w:rPr>
                <w:rFonts w:hAnsi="宋体" w:cs="宋体" w:hint="eastAsia"/>
              </w:rPr>
              <w:t>4.1室内给水系统安装</w:t>
            </w:r>
          </w:p>
          <w:p w:rsidR="008C3907" w:rsidRDefault="008C3907" w:rsidP="008C3907">
            <w:pPr>
              <w:pStyle w:val="a6"/>
              <w:rPr>
                <w:rFonts w:hAnsi="宋体" w:cs="宋体"/>
              </w:rPr>
            </w:pPr>
            <w:r>
              <w:rPr>
                <w:rFonts w:hAnsi="宋体" w:cs="宋体" w:hint="eastAsia"/>
              </w:rPr>
              <w:t>4.2室内排水系统安装</w:t>
            </w:r>
          </w:p>
          <w:p w:rsidR="008C3907" w:rsidRDefault="008C3907" w:rsidP="008C3907">
            <w:pPr>
              <w:pStyle w:val="a6"/>
              <w:rPr>
                <w:rFonts w:hAnsi="宋体" w:cs="宋体"/>
              </w:rPr>
            </w:pPr>
            <w:r>
              <w:rPr>
                <w:rFonts w:hAnsi="宋体" w:cs="宋体" w:hint="eastAsia"/>
              </w:rPr>
              <w:t>4.3卫生设备安装</w:t>
            </w:r>
          </w:p>
        </w:tc>
        <w:tc>
          <w:tcPr>
            <w:tcW w:w="2755" w:type="dxa"/>
            <w:vAlign w:val="center"/>
          </w:tcPr>
          <w:p w:rsidR="008C3907" w:rsidRDefault="008C3907" w:rsidP="008C3907">
            <w:pPr>
              <w:pStyle w:val="a6"/>
              <w:rPr>
                <w:rFonts w:hAnsi="宋体" w:cs="宋体"/>
              </w:rPr>
            </w:pPr>
            <w:r>
              <w:rPr>
                <w:rFonts w:hAnsi="宋体" w:cs="宋体" w:hint="eastAsia"/>
              </w:rPr>
              <w:t>了解室内给排水管道</w:t>
            </w:r>
            <w:r>
              <w:rPr>
                <w:rFonts w:hAnsi="宋体" w:cs="宋体"/>
              </w:rPr>
              <w:t>与卫生</w:t>
            </w:r>
            <w:r>
              <w:rPr>
                <w:rFonts w:hAnsi="宋体" w:cs="宋体" w:hint="eastAsia"/>
              </w:rPr>
              <w:t>设备的安装</w:t>
            </w:r>
          </w:p>
        </w:tc>
      </w:tr>
      <w:tr w:rsidR="008C3907" w:rsidTr="008C3907">
        <w:trPr>
          <w:trHeight w:val="216"/>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5</w:t>
            </w:r>
          </w:p>
        </w:tc>
        <w:tc>
          <w:tcPr>
            <w:tcW w:w="2102" w:type="dxa"/>
            <w:vAlign w:val="center"/>
          </w:tcPr>
          <w:p w:rsidR="008C3907" w:rsidRDefault="008C3907" w:rsidP="008C3907">
            <w:pPr>
              <w:rPr>
                <w:rFonts w:ascii="宋体" w:eastAsia="宋体" w:hAnsi="宋体"/>
                <w:sz w:val="21"/>
                <w:szCs w:val="21"/>
              </w:rPr>
            </w:pPr>
            <w:r>
              <w:rPr>
                <w:rFonts w:ascii="宋体" w:eastAsia="宋体" w:hAnsi="宋体" w:hint="eastAsia"/>
                <w:sz w:val="21"/>
                <w:szCs w:val="21"/>
              </w:rPr>
              <w:t>第六章  通风空调系统安装</w:t>
            </w:r>
          </w:p>
        </w:tc>
        <w:tc>
          <w:tcPr>
            <w:tcW w:w="727" w:type="dxa"/>
            <w:vAlign w:val="center"/>
          </w:tcPr>
          <w:p w:rsidR="008C3907" w:rsidRDefault="008C3907" w:rsidP="008C3907">
            <w:pPr>
              <w:rPr>
                <w:rFonts w:ascii="Times New Roman" w:hAnsi="Times New Roman"/>
                <w:kern w:val="0"/>
                <w:sz w:val="20"/>
                <w:szCs w:val="20"/>
              </w:rPr>
            </w:pPr>
            <w:r>
              <w:rPr>
                <w:rFonts w:ascii="Times New Roman" w:hAnsi="Times New Roman" w:hint="eastAsia"/>
                <w:kern w:val="0"/>
                <w:sz w:val="20"/>
                <w:szCs w:val="20"/>
              </w:rPr>
              <w:t>6</w:t>
            </w:r>
          </w:p>
        </w:tc>
        <w:tc>
          <w:tcPr>
            <w:tcW w:w="3059" w:type="dxa"/>
            <w:vAlign w:val="center"/>
          </w:tcPr>
          <w:p w:rsidR="008C3907" w:rsidRDefault="008C3907" w:rsidP="008C3907">
            <w:pPr>
              <w:pStyle w:val="a6"/>
              <w:rPr>
                <w:rFonts w:hAnsi="宋体" w:cs="宋体"/>
              </w:rPr>
            </w:pPr>
            <w:r>
              <w:rPr>
                <w:rFonts w:hAnsi="宋体" w:cs="宋体" w:hint="eastAsia"/>
              </w:rPr>
              <w:t>6.1 金属风管、配件及部件制作</w:t>
            </w:r>
          </w:p>
          <w:p w:rsidR="008C3907" w:rsidRDefault="008C3907" w:rsidP="008C3907">
            <w:pPr>
              <w:pStyle w:val="a6"/>
              <w:rPr>
                <w:rFonts w:hAnsi="宋体" w:cs="宋体"/>
              </w:rPr>
            </w:pPr>
            <w:r>
              <w:rPr>
                <w:rFonts w:hAnsi="宋体" w:cs="宋体" w:hint="eastAsia"/>
              </w:rPr>
              <w:t>6.2</w:t>
            </w:r>
            <w:r>
              <w:rPr>
                <w:rFonts w:hAnsi="宋体" w:cs="宋体"/>
              </w:rPr>
              <w:t xml:space="preserve"> </w:t>
            </w:r>
            <w:r>
              <w:rPr>
                <w:rFonts w:hAnsi="宋体" w:cs="宋体" w:hint="eastAsia"/>
              </w:rPr>
              <w:t>通风空调风管连接及加固</w:t>
            </w:r>
          </w:p>
          <w:p w:rsidR="008C3907" w:rsidRDefault="008C3907" w:rsidP="008C3907">
            <w:pPr>
              <w:rPr>
                <w:rFonts w:ascii="宋体" w:eastAsia="宋体" w:hAnsi="宋体" w:cs="宋体"/>
                <w:sz w:val="21"/>
                <w:szCs w:val="21"/>
              </w:rPr>
            </w:pPr>
            <w:r>
              <w:rPr>
                <w:rFonts w:ascii="宋体" w:eastAsia="宋体" w:hAnsi="宋体" w:cs="宋体" w:hint="eastAsia"/>
                <w:sz w:val="21"/>
                <w:szCs w:val="21"/>
              </w:rPr>
              <w:t>6.3</w:t>
            </w:r>
            <w:r>
              <w:rPr>
                <w:rFonts w:ascii="宋体" w:eastAsia="宋体" w:hAnsi="宋体" w:cs="宋体"/>
                <w:sz w:val="21"/>
                <w:szCs w:val="21"/>
              </w:rPr>
              <w:t xml:space="preserve"> </w:t>
            </w:r>
            <w:r>
              <w:rPr>
                <w:rFonts w:ascii="宋体" w:eastAsia="宋体" w:hAnsi="宋体" w:cs="宋体" w:hint="eastAsia"/>
                <w:sz w:val="21"/>
                <w:szCs w:val="21"/>
              </w:rPr>
              <w:t>通风空调风管系统安装</w:t>
            </w:r>
          </w:p>
          <w:p w:rsidR="008C3907" w:rsidRDefault="008C3907" w:rsidP="008C3907">
            <w:pPr>
              <w:rPr>
                <w:rFonts w:ascii="宋体" w:eastAsia="宋体" w:hAnsi="宋体"/>
                <w:kern w:val="0"/>
                <w:sz w:val="21"/>
                <w:szCs w:val="21"/>
              </w:rPr>
            </w:pPr>
            <w:r>
              <w:rPr>
                <w:rFonts w:ascii="宋体" w:eastAsia="宋体" w:hAnsi="宋体" w:cs="宋体" w:hint="eastAsia"/>
                <w:sz w:val="21"/>
                <w:szCs w:val="21"/>
              </w:rPr>
              <w:t>6.5非金属风管、配件制作与安装</w:t>
            </w:r>
          </w:p>
        </w:tc>
        <w:tc>
          <w:tcPr>
            <w:tcW w:w="2755" w:type="dxa"/>
            <w:vAlign w:val="center"/>
          </w:tcPr>
          <w:p w:rsidR="008C3907" w:rsidRDefault="008C3907" w:rsidP="008C3907">
            <w:pPr>
              <w:pStyle w:val="a6"/>
              <w:rPr>
                <w:rFonts w:hAnsi="宋体" w:cs="宋体"/>
              </w:rPr>
            </w:pPr>
            <w:r>
              <w:rPr>
                <w:rFonts w:hAnsi="宋体" w:cs="宋体" w:hint="eastAsia"/>
              </w:rPr>
              <w:t>了解风管、</w:t>
            </w:r>
            <w:r>
              <w:rPr>
                <w:rFonts w:hAnsi="宋体" w:cs="宋体"/>
              </w:rPr>
              <w:t>配件、部件的</w:t>
            </w:r>
            <w:r>
              <w:rPr>
                <w:rFonts w:hAnsi="宋体" w:cs="宋体" w:hint="eastAsia"/>
              </w:rPr>
              <w:t>制作</w:t>
            </w:r>
          </w:p>
          <w:p w:rsidR="008C3907" w:rsidRDefault="008C3907" w:rsidP="008C3907">
            <w:pPr>
              <w:pStyle w:val="a6"/>
              <w:rPr>
                <w:rFonts w:hAnsi="宋体" w:cs="宋体"/>
              </w:rPr>
            </w:pPr>
            <w:r>
              <w:rPr>
                <w:rFonts w:hAnsi="宋体" w:cs="宋体" w:hint="eastAsia"/>
              </w:rPr>
              <w:t>了解通风空调风管的安装与</w:t>
            </w:r>
            <w:r>
              <w:rPr>
                <w:rFonts w:hAnsi="宋体" w:cs="宋体"/>
              </w:rPr>
              <w:t>加固</w:t>
            </w:r>
          </w:p>
        </w:tc>
      </w:tr>
      <w:tr w:rsidR="008C3907" w:rsidTr="008C3907">
        <w:trPr>
          <w:trHeight w:val="200"/>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6</w:t>
            </w:r>
          </w:p>
        </w:tc>
        <w:tc>
          <w:tcPr>
            <w:tcW w:w="2102" w:type="dxa"/>
            <w:vAlign w:val="center"/>
          </w:tcPr>
          <w:p w:rsidR="008C3907" w:rsidRDefault="008C3907" w:rsidP="008C3907">
            <w:pPr>
              <w:rPr>
                <w:rFonts w:ascii="宋体" w:eastAsia="宋体" w:hAnsi="宋体"/>
                <w:sz w:val="21"/>
                <w:szCs w:val="21"/>
              </w:rPr>
            </w:pPr>
            <w:r>
              <w:rPr>
                <w:rFonts w:ascii="宋体" w:eastAsia="宋体" w:hAnsi="宋体" w:hint="eastAsia"/>
                <w:sz w:val="21"/>
                <w:szCs w:val="21"/>
              </w:rPr>
              <w:t>第九章  管道与设备防腐和绝热</w:t>
            </w:r>
          </w:p>
        </w:tc>
        <w:tc>
          <w:tcPr>
            <w:tcW w:w="727" w:type="dxa"/>
            <w:vAlign w:val="center"/>
          </w:tcPr>
          <w:p w:rsidR="008C3907" w:rsidRDefault="008C3907" w:rsidP="008C3907">
            <w:pPr>
              <w:rPr>
                <w:rFonts w:ascii="Times New Roman" w:hAnsi="Times New Roman"/>
                <w:kern w:val="0"/>
                <w:sz w:val="20"/>
                <w:szCs w:val="20"/>
              </w:rPr>
            </w:pPr>
            <w:r>
              <w:rPr>
                <w:rFonts w:ascii="Times New Roman" w:hAnsi="Times New Roman"/>
                <w:kern w:val="0"/>
                <w:sz w:val="20"/>
                <w:szCs w:val="20"/>
              </w:rPr>
              <w:t>2</w:t>
            </w:r>
          </w:p>
        </w:tc>
        <w:tc>
          <w:tcPr>
            <w:tcW w:w="3059" w:type="dxa"/>
            <w:vAlign w:val="center"/>
          </w:tcPr>
          <w:p w:rsidR="008C3907" w:rsidRDefault="008C3907" w:rsidP="008C3907">
            <w:pPr>
              <w:rPr>
                <w:rFonts w:ascii="宋体" w:eastAsia="宋体" w:hAnsi="宋体" w:cs="宋体"/>
                <w:sz w:val="21"/>
                <w:szCs w:val="21"/>
              </w:rPr>
            </w:pPr>
            <w:r>
              <w:rPr>
                <w:rFonts w:ascii="宋体" w:eastAsia="宋体" w:hAnsi="宋体" w:cs="宋体" w:hint="eastAsia"/>
                <w:sz w:val="21"/>
                <w:szCs w:val="21"/>
              </w:rPr>
              <w:t>9.1管道与设备防腐</w:t>
            </w:r>
          </w:p>
          <w:p w:rsidR="008C3907" w:rsidRDefault="008C3907" w:rsidP="008C3907">
            <w:pPr>
              <w:rPr>
                <w:rFonts w:ascii="宋体" w:eastAsia="宋体" w:hAnsi="宋体"/>
                <w:kern w:val="0"/>
                <w:sz w:val="21"/>
                <w:szCs w:val="21"/>
              </w:rPr>
            </w:pPr>
            <w:r>
              <w:rPr>
                <w:rFonts w:ascii="宋体" w:eastAsia="宋体" w:hAnsi="宋体" w:cs="宋体" w:hint="eastAsia"/>
                <w:sz w:val="21"/>
                <w:szCs w:val="21"/>
              </w:rPr>
              <w:t>9.2管道</w:t>
            </w:r>
            <w:r>
              <w:rPr>
                <w:rFonts w:ascii="宋体" w:eastAsia="宋体" w:hAnsi="宋体" w:cs="宋体"/>
                <w:sz w:val="21"/>
                <w:szCs w:val="21"/>
              </w:rPr>
              <w:t>与设备绝热</w:t>
            </w:r>
          </w:p>
        </w:tc>
        <w:tc>
          <w:tcPr>
            <w:tcW w:w="2755" w:type="dxa"/>
            <w:vAlign w:val="center"/>
          </w:tcPr>
          <w:p w:rsidR="008C3907" w:rsidRDefault="008C3907" w:rsidP="008C3907">
            <w:pPr>
              <w:pStyle w:val="a6"/>
              <w:rPr>
                <w:rFonts w:hAnsi="宋体" w:cs="宋体"/>
              </w:rPr>
            </w:pPr>
            <w:r>
              <w:rPr>
                <w:rFonts w:hAnsi="宋体" w:cs="宋体" w:hint="eastAsia"/>
              </w:rPr>
              <w:t>了解金属</w:t>
            </w:r>
            <w:r>
              <w:rPr>
                <w:rFonts w:hAnsi="宋体" w:cs="宋体"/>
              </w:rPr>
              <w:t>材料</w:t>
            </w:r>
            <w:r>
              <w:rPr>
                <w:rFonts w:hAnsi="宋体" w:cs="宋体" w:hint="eastAsia"/>
              </w:rPr>
              <w:t>防腐与绝热</w:t>
            </w:r>
          </w:p>
        </w:tc>
      </w:tr>
    </w:tbl>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8C3907" w:rsidRDefault="008C3907" w:rsidP="008C3907">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8C3907" w:rsidRDefault="008C3907" w:rsidP="008C3907">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课程</w:t>
      </w:r>
      <w:r>
        <w:rPr>
          <w:rFonts w:ascii="仿宋_GB2312" w:hAnsi="仿宋_GB2312" w:cs="仿宋_GB2312"/>
          <w:sz w:val="28"/>
          <w:szCs w:val="28"/>
        </w:rPr>
        <w:t>考核通过</w:t>
      </w:r>
      <w:r>
        <w:rPr>
          <w:rFonts w:ascii="仿宋_GB2312" w:hAnsi="仿宋_GB2312" w:cs="仿宋_GB2312" w:hint="eastAsia"/>
          <w:sz w:val="28"/>
          <w:szCs w:val="28"/>
        </w:rPr>
        <w:t>学</w:t>
      </w:r>
      <w:r>
        <w:rPr>
          <w:rFonts w:ascii="仿宋_GB2312" w:hAnsi="仿宋_GB2312" w:cs="仿宋_GB2312"/>
          <w:sz w:val="28"/>
          <w:szCs w:val="28"/>
        </w:rPr>
        <w:t>生平时表现、课堂讨论、</w:t>
      </w:r>
      <w:r>
        <w:rPr>
          <w:rFonts w:ascii="仿宋_GB2312" w:hAnsi="仿宋_GB2312" w:cs="仿宋_GB2312" w:hint="eastAsia"/>
          <w:sz w:val="28"/>
          <w:szCs w:val="28"/>
        </w:rPr>
        <w:t>课</w:t>
      </w:r>
      <w:r>
        <w:rPr>
          <w:rFonts w:ascii="仿宋_GB2312" w:hAnsi="仿宋_GB2312" w:cs="仿宋_GB2312"/>
          <w:sz w:val="28"/>
          <w:szCs w:val="28"/>
        </w:rPr>
        <w:t>外作业</w:t>
      </w:r>
      <w:r>
        <w:rPr>
          <w:rFonts w:ascii="仿宋_GB2312" w:hAnsi="仿宋_GB2312" w:cs="仿宋_GB2312" w:hint="eastAsia"/>
          <w:sz w:val="28"/>
          <w:szCs w:val="28"/>
        </w:rPr>
        <w:t>的</w:t>
      </w:r>
      <w:r>
        <w:rPr>
          <w:rFonts w:ascii="仿宋_GB2312" w:hAnsi="仿宋_GB2312" w:cs="仿宋_GB2312"/>
          <w:sz w:val="28"/>
          <w:szCs w:val="28"/>
        </w:rPr>
        <w:t>完成</w:t>
      </w:r>
      <w:r>
        <w:rPr>
          <w:rFonts w:ascii="仿宋_GB2312" w:hAnsi="仿宋_GB2312" w:cs="仿宋_GB2312" w:hint="eastAsia"/>
          <w:sz w:val="28"/>
          <w:szCs w:val="28"/>
        </w:rPr>
        <w:t>情况，</w:t>
      </w:r>
      <w:r>
        <w:rPr>
          <w:rFonts w:ascii="仿宋_GB2312" w:hAnsi="仿宋_GB2312" w:cs="仿宋_GB2312"/>
          <w:sz w:val="28"/>
          <w:szCs w:val="28"/>
        </w:rPr>
        <w:t>期末</w:t>
      </w:r>
      <w:r>
        <w:rPr>
          <w:rFonts w:ascii="仿宋_GB2312" w:hAnsi="仿宋_GB2312" w:cs="仿宋_GB2312" w:hint="eastAsia"/>
          <w:sz w:val="28"/>
          <w:szCs w:val="28"/>
        </w:rPr>
        <w:t>考</w:t>
      </w:r>
      <w:r>
        <w:rPr>
          <w:rFonts w:ascii="仿宋_GB2312" w:hAnsi="仿宋_GB2312" w:cs="仿宋_GB2312"/>
          <w:sz w:val="28"/>
          <w:szCs w:val="28"/>
        </w:rPr>
        <w:t>试</w:t>
      </w:r>
      <w:r>
        <w:rPr>
          <w:rFonts w:ascii="仿宋_GB2312" w:hAnsi="仿宋_GB2312" w:cs="仿宋_GB2312" w:hint="eastAsia"/>
          <w:sz w:val="28"/>
          <w:szCs w:val="28"/>
        </w:rPr>
        <w:t>进行</w:t>
      </w:r>
      <w:r>
        <w:rPr>
          <w:rFonts w:ascii="仿宋_GB2312" w:hAnsi="仿宋_GB2312" w:cs="仿宋_GB2312"/>
          <w:sz w:val="28"/>
          <w:szCs w:val="28"/>
        </w:rPr>
        <w:t>。</w:t>
      </w:r>
    </w:p>
    <w:p w:rsidR="008C3907" w:rsidRDefault="008C3907" w:rsidP="005F6318">
      <w:pPr>
        <w:numPr>
          <w:ilvl w:val="0"/>
          <w:numId w:val="2"/>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8C3907" w:rsidRDefault="008C3907" w:rsidP="008C3907">
      <w:pPr>
        <w:spacing w:line="360" w:lineRule="auto"/>
        <w:ind w:left="560"/>
        <w:rPr>
          <w:rFonts w:ascii="仿宋_GB2312" w:hAnsi="仿宋_GB2312" w:cs="仿宋_GB2312"/>
          <w:sz w:val="28"/>
          <w:szCs w:val="28"/>
        </w:rPr>
      </w:pPr>
      <w:r>
        <w:rPr>
          <w:rFonts w:ascii="仿宋_GB2312" w:hAnsi="仿宋_GB2312" w:cs="仿宋_GB2312" w:hint="eastAsia"/>
          <w:sz w:val="28"/>
          <w:szCs w:val="28"/>
        </w:rPr>
        <w:t>采用平时成绩+期末考试两</w:t>
      </w:r>
      <w:r>
        <w:rPr>
          <w:rFonts w:ascii="仿宋_GB2312" w:hAnsi="仿宋_GB2312" w:cs="仿宋_GB2312"/>
          <w:sz w:val="28"/>
          <w:szCs w:val="28"/>
        </w:rPr>
        <w:t>种</w:t>
      </w:r>
      <w:r>
        <w:rPr>
          <w:rFonts w:ascii="仿宋_GB2312" w:hAnsi="仿宋_GB2312" w:cs="仿宋_GB2312" w:hint="eastAsia"/>
          <w:sz w:val="28"/>
          <w:szCs w:val="28"/>
        </w:rPr>
        <w:t>方式确定总评成绩。</w:t>
      </w:r>
    </w:p>
    <w:p w:rsidR="008C3907" w:rsidRDefault="008C3907" w:rsidP="008C3907">
      <w:pPr>
        <w:spacing w:line="360" w:lineRule="auto"/>
        <w:ind w:left="560"/>
        <w:rPr>
          <w:rFonts w:ascii="仿宋_GB2312" w:hAnsi="仿宋_GB2312" w:cs="仿宋_GB2312"/>
          <w:sz w:val="28"/>
          <w:szCs w:val="28"/>
        </w:rPr>
      </w:pPr>
      <w:r>
        <w:rPr>
          <w:rFonts w:ascii="仿宋_GB2312" w:hAnsi="仿宋_GB2312" w:cs="仿宋_GB2312" w:hint="eastAsia"/>
          <w:sz w:val="28"/>
          <w:szCs w:val="28"/>
        </w:rPr>
        <w:t>其中平时成绩占30%，期末考试成绩占70%。</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8C3907" w:rsidRDefault="008C3907" w:rsidP="008C3907">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8C3907" w:rsidRDefault="008C3907" w:rsidP="008C3907">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建筑设备</w:t>
      </w:r>
      <w:r>
        <w:rPr>
          <w:rFonts w:ascii="仿宋_GB2312" w:hAnsi="仿宋_GB2312" w:cs="仿宋_GB2312"/>
          <w:sz w:val="28"/>
          <w:szCs w:val="28"/>
        </w:rPr>
        <w:t>安装技术</w:t>
      </w:r>
      <w:r>
        <w:rPr>
          <w:rFonts w:ascii="仿宋_GB2312" w:hAnsi="仿宋_GB2312" w:cs="仿宋_GB2312" w:hint="eastAsia"/>
          <w:sz w:val="28"/>
          <w:szCs w:val="28"/>
        </w:rPr>
        <w:t>，邓沪</w:t>
      </w:r>
      <w:r>
        <w:rPr>
          <w:rFonts w:ascii="仿宋_GB2312" w:hAnsi="仿宋_GB2312" w:cs="仿宋_GB2312"/>
          <w:sz w:val="28"/>
          <w:szCs w:val="28"/>
        </w:rPr>
        <w:t>秋</w:t>
      </w:r>
      <w:r>
        <w:rPr>
          <w:rFonts w:ascii="仿宋_GB2312" w:hAnsi="仿宋_GB2312" w:cs="仿宋_GB2312" w:hint="eastAsia"/>
          <w:sz w:val="28"/>
          <w:szCs w:val="28"/>
        </w:rPr>
        <w:t>主编，重庆大学出版社，201</w:t>
      </w:r>
      <w:r>
        <w:rPr>
          <w:rFonts w:ascii="仿宋_GB2312" w:hAnsi="仿宋_GB2312" w:cs="仿宋_GB2312"/>
          <w:sz w:val="28"/>
          <w:szCs w:val="28"/>
        </w:rPr>
        <w:t>6</w:t>
      </w:r>
      <w:r>
        <w:rPr>
          <w:rFonts w:ascii="仿宋_GB2312" w:hAnsi="仿宋_GB2312" w:cs="仿宋_GB2312" w:hint="eastAsia"/>
          <w:sz w:val="28"/>
          <w:szCs w:val="28"/>
        </w:rPr>
        <w:t>年1</w:t>
      </w:r>
      <w:r>
        <w:rPr>
          <w:rFonts w:ascii="仿宋_GB2312" w:hAnsi="仿宋_GB2312" w:cs="仿宋_GB2312"/>
          <w:sz w:val="28"/>
          <w:szCs w:val="28"/>
        </w:rPr>
        <w:t>1</w:t>
      </w:r>
      <w:r>
        <w:rPr>
          <w:rFonts w:ascii="仿宋_GB2312" w:hAnsi="仿宋_GB2312" w:cs="仿宋_GB2312" w:hint="eastAsia"/>
          <w:sz w:val="28"/>
          <w:szCs w:val="28"/>
        </w:rPr>
        <w:lastRenderedPageBreak/>
        <w:t>月第二版。</w:t>
      </w:r>
    </w:p>
    <w:p w:rsidR="008C3907" w:rsidRDefault="008C3907" w:rsidP="008C3907">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2.主要参考资料</w:t>
      </w:r>
    </w:p>
    <w:p w:rsidR="008C3907" w:rsidRDefault="008C3907" w:rsidP="008C3907">
      <w:pPr>
        <w:spacing w:line="400" w:lineRule="exact"/>
        <w:ind w:firstLineChars="200" w:firstLine="560"/>
        <w:jc w:val="left"/>
        <w:rPr>
          <w:rFonts w:ascii="仿宋_GB2312" w:hAnsi="仿宋_GB2312" w:cs="仿宋_GB2312"/>
          <w:sz w:val="28"/>
          <w:szCs w:val="28"/>
        </w:rPr>
      </w:pPr>
      <w:r>
        <w:rPr>
          <w:rFonts w:ascii="仿宋_GB2312" w:hAnsi="仿宋_GB2312" w:cs="仿宋_GB2312"/>
          <w:sz w:val="28"/>
          <w:szCs w:val="28"/>
        </w:rPr>
        <w:t>1</w:t>
      </w:r>
      <w:r>
        <w:rPr>
          <w:rFonts w:ascii="仿宋_GB2312" w:hAnsi="仿宋_GB2312" w:cs="仿宋_GB2312" w:hint="eastAsia"/>
          <w:sz w:val="28"/>
          <w:szCs w:val="28"/>
        </w:rPr>
        <w:t>）</w:t>
      </w:r>
      <w:r>
        <w:rPr>
          <w:rFonts w:ascii="仿宋" w:eastAsia="仿宋" w:hAnsi="仿宋" w:cs="仿宋_GB2312" w:hint="eastAsia"/>
          <w:sz w:val="28"/>
          <w:szCs w:val="28"/>
        </w:rPr>
        <w:t>建筑设备施工与预算，王智伟、刘艳峰，科学出版社，2002</w:t>
      </w:r>
    </w:p>
    <w:p w:rsidR="008C3907" w:rsidRDefault="008C3907" w:rsidP="008C3907">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2）建筑设备施工技术与组织</w:t>
      </w:r>
      <w:r>
        <w:rPr>
          <w:rFonts w:ascii="仿宋" w:eastAsia="仿宋" w:hAnsi="仿宋" w:cs="仿宋_GB2312" w:hint="eastAsia"/>
          <w:sz w:val="28"/>
          <w:szCs w:val="28"/>
        </w:rPr>
        <w:t>，</w:t>
      </w:r>
      <w:r>
        <w:rPr>
          <w:rFonts w:ascii="仿宋_GB2312" w:hAnsi="仿宋_GB2312" w:cs="仿宋_GB2312" w:hint="eastAsia"/>
          <w:sz w:val="28"/>
          <w:szCs w:val="28"/>
        </w:rPr>
        <w:t>董重成 哈尔滨工业大学出版社</w:t>
      </w:r>
      <w:r>
        <w:rPr>
          <w:rFonts w:ascii="仿宋" w:eastAsia="仿宋" w:hAnsi="仿宋" w:cs="仿宋_GB2312" w:hint="eastAsia"/>
          <w:sz w:val="28"/>
          <w:szCs w:val="28"/>
        </w:rPr>
        <w:t>，</w:t>
      </w:r>
      <w:r>
        <w:rPr>
          <w:rFonts w:ascii="仿宋_GB2312" w:hAnsi="仿宋_GB2312" w:cs="仿宋_GB2312" w:hint="eastAsia"/>
          <w:sz w:val="28"/>
          <w:szCs w:val="28"/>
        </w:rPr>
        <w:t>2006</w:t>
      </w:r>
    </w:p>
    <w:p w:rsidR="008C3907" w:rsidRDefault="008C3907" w:rsidP="008C3907">
      <w:pPr>
        <w:spacing w:line="400" w:lineRule="exact"/>
        <w:ind w:firstLineChars="200" w:firstLine="560"/>
        <w:jc w:val="left"/>
        <w:rPr>
          <w:rFonts w:ascii="仿宋_GB2312" w:hAnsi="仿宋_GB2312" w:cs="仿宋_GB2312"/>
          <w:sz w:val="28"/>
          <w:szCs w:val="28"/>
        </w:rPr>
      </w:pPr>
      <w:r>
        <w:rPr>
          <w:rFonts w:ascii="仿宋_GB2312" w:hAnsi="仿宋_GB2312" w:cs="仿宋_GB2312"/>
          <w:sz w:val="28"/>
          <w:szCs w:val="28"/>
        </w:rPr>
        <w:t>3</w:t>
      </w:r>
      <w:r>
        <w:rPr>
          <w:rFonts w:ascii="仿宋_GB2312" w:hAnsi="仿宋_GB2312" w:cs="仿宋_GB2312" w:hint="eastAsia"/>
          <w:sz w:val="28"/>
          <w:szCs w:val="28"/>
        </w:rPr>
        <w:t>）通风与空调工程施工质量验收规范 GB50243-2016</w:t>
      </w:r>
      <w:r>
        <w:rPr>
          <w:rFonts w:cs="Calibri"/>
          <w:sz w:val="28"/>
          <w:szCs w:val="28"/>
        </w:rPr>
        <w:t> </w:t>
      </w:r>
    </w:p>
    <w:p w:rsidR="008C3907" w:rsidRDefault="008C3907" w:rsidP="008C3907">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4）通风与空调工程 安全·操作，技术[M]</w:t>
      </w:r>
      <w:r>
        <w:rPr>
          <w:rFonts w:ascii="仿宋" w:eastAsia="仿宋" w:hAnsi="仿宋" w:cs="仿宋_GB2312" w:hint="eastAsia"/>
          <w:sz w:val="28"/>
          <w:szCs w:val="28"/>
        </w:rPr>
        <w:t xml:space="preserve"> ，</w:t>
      </w:r>
      <w:r>
        <w:rPr>
          <w:rFonts w:ascii="仿宋_GB2312" w:hAnsi="仿宋_GB2312" w:cs="仿宋_GB2312" w:hint="eastAsia"/>
          <w:sz w:val="28"/>
          <w:szCs w:val="28"/>
        </w:rPr>
        <w:t>王志勇</w:t>
      </w:r>
      <w:r>
        <w:rPr>
          <w:rFonts w:ascii="仿宋" w:eastAsia="仿宋" w:hAnsi="仿宋" w:cs="仿宋_GB2312" w:hint="eastAsia"/>
          <w:sz w:val="28"/>
          <w:szCs w:val="28"/>
        </w:rPr>
        <w:t>，</w:t>
      </w:r>
      <w:r>
        <w:rPr>
          <w:rFonts w:ascii="仿宋_GB2312" w:hAnsi="仿宋_GB2312" w:cs="仿宋_GB2312" w:hint="eastAsia"/>
          <w:sz w:val="28"/>
          <w:szCs w:val="28"/>
        </w:rPr>
        <w:t>中国建材工业出版社</w:t>
      </w:r>
      <w:r>
        <w:rPr>
          <w:rFonts w:ascii="仿宋" w:eastAsia="仿宋" w:hAnsi="仿宋" w:cs="仿宋_GB2312" w:hint="eastAsia"/>
          <w:sz w:val="28"/>
          <w:szCs w:val="28"/>
        </w:rPr>
        <w:t>，</w:t>
      </w:r>
      <w:r>
        <w:rPr>
          <w:rFonts w:ascii="仿宋_GB2312" w:hAnsi="仿宋_GB2312" w:cs="仿宋_GB2312" w:hint="eastAsia"/>
          <w:sz w:val="28"/>
          <w:szCs w:val="28"/>
        </w:rPr>
        <w:t>2006</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8C3907" w:rsidRDefault="008C3907" w:rsidP="008C3907">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无</w:t>
      </w:r>
    </w:p>
    <w:p w:rsidR="008C3907" w:rsidRDefault="008C3907" w:rsidP="008C3907">
      <w:pPr>
        <w:spacing w:beforeLines="50" w:before="156" w:afterLines="50" w:after="156" w:line="460" w:lineRule="exact"/>
        <w:rPr>
          <w:rFonts w:ascii="黑体" w:eastAsia="黑体" w:hAnsi="黑体"/>
          <w:b/>
          <w:sz w:val="28"/>
          <w:szCs w:val="28"/>
        </w:rPr>
      </w:pPr>
    </w:p>
    <w:p w:rsidR="008C3907" w:rsidRDefault="008C3907" w:rsidP="008C3907">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大纲撰写人：张勇</w:t>
      </w:r>
    </w:p>
    <w:p w:rsidR="008C3907" w:rsidRDefault="008C3907" w:rsidP="008C3907">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课程负责人：张勇</w:t>
      </w:r>
    </w:p>
    <w:p w:rsidR="008C3907" w:rsidRDefault="008C3907" w:rsidP="008C3907">
      <w:pPr>
        <w:spacing w:line="360" w:lineRule="auto"/>
        <w:ind w:firstLineChars="1200" w:firstLine="3360"/>
        <w:rPr>
          <w:rFonts w:ascii="仿宋" w:hAnsi="仿宋"/>
          <w:sz w:val="28"/>
          <w:szCs w:val="28"/>
        </w:rPr>
      </w:pPr>
      <w:r>
        <w:rPr>
          <w:rFonts w:ascii="仿宋" w:eastAsia="仿宋" w:hAnsi="仿宋" w:hint="eastAsia"/>
          <w:sz w:val="28"/>
          <w:szCs w:val="28"/>
        </w:rPr>
        <w:t xml:space="preserve">审核人：                </w:t>
      </w:r>
      <w:r>
        <w:rPr>
          <w:rFonts w:ascii="仿宋_GB2312" w:hAnsi="微软雅黑" w:hint="eastAsia"/>
          <w:sz w:val="28"/>
          <w:szCs w:val="28"/>
        </w:rPr>
        <w:t xml:space="preserve">           </w:t>
      </w:r>
    </w:p>
    <w:p w:rsidR="008C3907" w:rsidRDefault="008C3907" w:rsidP="008C3907">
      <w:pPr>
        <w:jc w:val="left"/>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04</w:t>
      </w:r>
      <w:r>
        <w:rPr>
          <w:rFonts w:ascii="仿宋" w:eastAsia="仿宋" w:hAnsi="仿宋" w:hint="eastAsia"/>
          <w:sz w:val="28"/>
          <w:szCs w:val="28"/>
        </w:rPr>
        <w:t>月</w:t>
      </w:r>
    </w:p>
    <w:p w:rsidR="008C3907" w:rsidRDefault="008C3907" w:rsidP="00C20406"/>
    <w:p w:rsidR="006058C6" w:rsidRDefault="006058C6" w:rsidP="00C20406"/>
    <w:p w:rsidR="006058C6" w:rsidRDefault="006058C6" w:rsidP="00C20406"/>
    <w:p w:rsidR="006058C6" w:rsidRDefault="006058C6" w:rsidP="00C20406"/>
    <w:p w:rsidR="006058C6" w:rsidRDefault="006058C6" w:rsidP="00C20406"/>
    <w:p w:rsidR="006058C6" w:rsidRDefault="006058C6" w:rsidP="00C20406"/>
    <w:p w:rsidR="006058C6" w:rsidRDefault="006058C6" w:rsidP="00C20406"/>
    <w:p w:rsidR="006058C6" w:rsidRDefault="006058C6" w:rsidP="00C20406"/>
    <w:p w:rsidR="006058C6" w:rsidRDefault="006058C6" w:rsidP="00C20406">
      <w:pPr>
        <w:rPr>
          <w:rFonts w:hint="eastAsia"/>
        </w:rPr>
      </w:pPr>
    </w:p>
    <w:p w:rsidR="008C3907" w:rsidRDefault="008C3907" w:rsidP="008C3907">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Pr>
          <w:rFonts w:ascii="华文中宋" w:eastAsia="华文中宋" w:hAnsi="华文中宋" w:cs="华文中宋" w:hint="eastAsia"/>
          <w:b/>
          <w:sz w:val="28"/>
          <w:szCs w:val="28"/>
        </w:rPr>
        <w:t>供热空调工程</w:t>
      </w:r>
      <w:r>
        <w:rPr>
          <w:rFonts w:ascii="方正小标宋简体" w:eastAsia="方正小标宋简体" w:hAnsi="宋体" w:hint="eastAsia"/>
          <w:kern w:val="0"/>
          <w:szCs w:val="32"/>
        </w:rPr>
        <w:t>》课程教学大纲</w:t>
      </w:r>
    </w:p>
    <w:p w:rsidR="008C3907" w:rsidRPr="006058C6" w:rsidRDefault="008C3907" w:rsidP="006058C6">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t>一、课程信息</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英文名称：</w:t>
      </w:r>
      <w:r w:rsidRPr="006058C6">
        <w:rPr>
          <w:rFonts w:ascii="仿宋_GB2312" w:hAnsi="仿宋_GB2312" w:cs="仿宋_GB2312"/>
          <w:bCs/>
          <w:sz w:val="28"/>
          <w:szCs w:val="28"/>
        </w:rPr>
        <w:t>Heating and Air conditioning Engineering</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课程编码：</w:t>
      </w:r>
      <w:r w:rsidRPr="006058C6">
        <w:rPr>
          <w:rFonts w:ascii="仿宋_GB2312" w:hAnsi="仿宋_GB2312" w:cs="仿宋_GB2312"/>
          <w:bCs/>
          <w:sz w:val="28"/>
          <w:szCs w:val="28"/>
        </w:rPr>
        <w:t>Z2807220</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授课语言：汉语</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授课方式：线下</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课程类别：专业发展课程</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课程性质：选修</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学    分：1.5</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学    时： 24学时（授课24，实验0，上机0，课外0）</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适用对象： 给排水专业</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先修课程：《建筑设备》及本专业主干专业技术课。</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开课院系：建工学院建筑环境与能源应用工程系</w:t>
      </w:r>
    </w:p>
    <w:p w:rsidR="008C3907" w:rsidRPr="006058C6" w:rsidRDefault="008C3907" w:rsidP="008C3907">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t>二、课程简介</w:t>
      </w:r>
    </w:p>
    <w:p w:rsidR="008C3907" w:rsidRPr="006058C6" w:rsidRDefault="008C3907" w:rsidP="006058C6">
      <w:pPr>
        <w:spacing w:line="360" w:lineRule="auto"/>
        <w:ind w:firstLine="331"/>
        <w:rPr>
          <w:rFonts w:ascii="仿宋_GB2312" w:hAnsi="仿宋_GB2312" w:cs="仿宋_GB2312"/>
          <w:bCs/>
          <w:sz w:val="28"/>
          <w:szCs w:val="28"/>
        </w:rPr>
      </w:pPr>
      <w:r>
        <w:rPr>
          <w:rFonts w:ascii="仿宋" w:eastAsia="仿宋" w:hAnsi="仿宋" w:hint="eastAsia"/>
          <w:sz w:val="28"/>
          <w:szCs w:val="28"/>
        </w:rPr>
        <w:t xml:space="preserve"> </w:t>
      </w:r>
      <w:r w:rsidRPr="006058C6">
        <w:rPr>
          <w:rFonts w:ascii="仿宋_GB2312" w:hAnsi="仿宋_GB2312" w:cs="仿宋_GB2312" w:hint="eastAsia"/>
          <w:bCs/>
          <w:sz w:val="28"/>
          <w:szCs w:val="28"/>
        </w:rPr>
        <w:t>《供热空调工程》是给排水专业学生的专业发展课程课，是一门综合性的课程，有较高的实用性，学生通过该课程学习了解和掌握供热，通风和空调等方面的基本知识。</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教学内容为供热空调绪论，热负荷，冷负荷和湿负荷计算，全水系统，全空气系统和空气水系统，冷剂式空调系统，工业与民用建筑的通风，室内气流分布和空调系统消声隔振等。</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教学方式采用PPT、板书、课后思考题和练习题等相结合进行授课。</w:t>
      </w:r>
    </w:p>
    <w:p w:rsidR="008C3907" w:rsidRPr="006058C6" w:rsidRDefault="008C3907" w:rsidP="006058C6">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lastRenderedPageBreak/>
        <w:t>三、课程任务、目标与要求</w:t>
      </w:r>
    </w:p>
    <w:p w:rsidR="008C3907" w:rsidRPr="006058C6" w:rsidRDefault="008C3907" w:rsidP="008C3907">
      <w:pPr>
        <w:spacing w:line="560" w:lineRule="exact"/>
        <w:ind w:firstLine="331"/>
        <w:rPr>
          <w:rFonts w:ascii="仿宋_GB2312" w:hAnsi="仿宋_GB2312" w:cs="仿宋_GB2312"/>
          <w:bCs/>
          <w:sz w:val="28"/>
          <w:szCs w:val="28"/>
        </w:rPr>
      </w:pPr>
      <w:r w:rsidRPr="006058C6">
        <w:rPr>
          <w:rFonts w:ascii="仿宋_GB2312" w:hAnsi="仿宋_GB2312" w:cs="仿宋_GB2312" w:hint="eastAsia"/>
          <w:bCs/>
          <w:sz w:val="28"/>
          <w:szCs w:val="28"/>
        </w:rPr>
        <w:t>1. 课程任务</w:t>
      </w:r>
    </w:p>
    <w:p w:rsidR="008C3907" w:rsidRPr="006058C6" w:rsidRDefault="008C3907" w:rsidP="008C3907">
      <w:pPr>
        <w:spacing w:line="560" w:lineRule="exact"/>
        <w:jc w:val="left"/>
        <w:rPr>
          <w:rFonts w:ascii="仿宋_GB2312" w:hAnsi="仿宋_GB2312" w:cs="仿宋_GB2312"/>
          <w:bCs/>
          <w:sz w:val="28"/>
          <w:szCs w:val="28"/>
        </w:rPr>
      </w:pPr>
      <w:r w:rsidRPr="006058C6">
        <w:rPr>
          <w:rFonts w:ascii="仿宋_GB2312" w:hAnsi="仿宋_GB2312" w:cs="仿宋_GB2312" w:hint="eastAsia"/>
          <w:bCs/>
          <w:sz w:val="28"/>
          <w:szCs w:val="28"/>
        </w:rPr>
        <w:t>《供热空调工程》课程是给排水专业学生的专业发展课程课，通过这门课程学习使学生学习了解和掌握供热，通风和空调等方面的基本知识。对供热空调工程有一个总体概念，认识和了解。</w:t>
      </w:r>
    </w:p>
    <w:p w:rsidR="008C3907" w:rsidRPr="006058C6" w:rsidRDefault="008C3907" w:rsidP="008C3907">
      <w:pPr>
        <w:spacing w:line="560" w:lineRule="exact"/>
        <w:ind w:firstLineChars="200" w:firstLine="560"/>
        <w:jc w:val="left"/>
        <w:rPr>
          <w:rFonts w:ascii="仿宋_GB2312" w:hAnsi="仿宋_GB2312" w:cs="仿宋_GB2312"/>
          <w:bCs/>
          <w:sz w:val="28"/>
          <w:szCs w:val="28"/>
        </w:rPr>
      </w:pPr>
      <w:r w:rsidRPr="006058C6">
        <w:rPr>
          <w:rFonts w:ascii="仿宋_GB2312" w:hAnsi="仿宋_GB2312" w:cs="仿宋_GB2312" w:hint="eastAsia"/>
          <w:bCs/>
          <w:sz w:val="28"/>
          <w:szCs w:val="28"/>
        </w:rPr>
        <w:t>通过供热空调工程的学习，应掌握供热空调工程的基本原理和方法。掌握供热工程的计算，空调工程的计算。</w:t>
      </w:r>
    </w:p>
    <w:p w:rsidR="008C3907" w:rsidRPr="006058C6" w:rsidRDefault="008C3907" w:rsidP="008C3907">
      <w:pPr>
        <w:spacing w:line="560" w:lineRule="exact"/>
        <w:ind w:firstLineChars="100" w:firstLine="280"/>
        <w:jc w:val="left"/>
        <w:rPr>
          <w:rFonts w:ascii="仿宋_GB2312" w:hAnsi="仿宋_GB2312" w:cs="仿宋_GB2312"/>
          <w:bCs/>
          <w:sz w:val="28"/>
          <w:szCs w:val="28"/>
        </w:rPr>
      </w:pPr>
      <w:r w:rsidRPr="006058C6">
        <w:rPr>
          <w:rFonts w:ascii="仿宋_GB2312" w:hAnsi="仿宋_GB2312" w:cs="仿宋_GB2312" w:hint="eastAsia"/>
          <w:bCs/>
          <w:sz w:val="28"/>
          <w:szCs w:val="28"/>
        </w:rPr>
        <w:t xml:space="preserve">2.课程基本要求 </w:t>
      </w:r>
    </w:p>
    <w:p w:rsidR="008C3907" w:rsidRPr="006058C6" w:rsidRDefault="008C3907" w:rsidP="008C3907">
      <w:pPr>
        <w:spacing w:line="560" w:lineRule="exact"/>
        <w:ind w:firstLine="331"/>
        <w:rPr>
          <w:rFonts w:ascii="仿宋_GB2312" w:hAnsi="仿宋_GB2312" w:cs="仿宋_GB2312"/>
          <w:bCs/>
          <w:sz w:val="28"/>
          <w:szCs w:val="28"/>
        </w:rPr>
      </w:pPr>
      <w:r w:rsidRPr="006058C6">
        <w:rPr>
          <w:rFonts w:ascii="仿宋_GB2312" w:hAnsi="仿宋_GB2312" w:cs="仿宋_GB2312" w:hint="eastAsia"/>
          <w:bCs/>
          <w:sz w:val="28"/>
          <w:szCs w:val="28"/>
        </w:rPr>
        <w:t xml:space="preserve">2.1课程目标 </w:t>
      </w:r>
    </w:p>
    <w:p w:rsidR="008C3907" w:rsidRPr="006058C6" w:rsidRDefault="008C3907" w:rsidP="008C3907">
      <w:pPr>
        <w:spacing w:line="560" w:lineRule="exact"/>
        <w:ind w:firstLineChars="50" w:firstLine="140"/>
        <w:rPr>
          <w:rFonts w:ascii="仿宋_GB2312" w:hAnsi="仿宋_GB2312" w:cs="仿宋_GB2312"/>
          <w:bCs/>
          <w:sz w:val="28"/>
          <w:szCs w:val="28"/>
        </w:rPr>
      </w:pPr>
      <w:r w:rsidRPr="006058C6">
        <w:rPr>
          <w:rFonts w:ascii="仿宋_GB2312" w:hAnsi="仿宋_GB2312" w:cs="仿宋_GB2312" w:hint="eastAsia"/>
          <w:bCs/>
          <w:sz w:val="28"/>
          <w:szCs w:val="28"/>
        </w:rPr>
        <w:t>课程目标：《供热空调工程》课程学习完毕后对供热工程的设计和空调工程的设计有更全面的理解和进一步的提高。</w:t>
      </w:r>
    </w:p>
    <w:p w:rsidR="008C3907" w:rsidRPr="006058C6" w:rsidRDefault="008C3907" w:rsidP="008C3907">
      <w:pPr>
        <w:spacing w:line="560" w:lineRule="exact"/>
        <w:ind w:firstLineChars="100" w:firstLine="280"/>
        <w:rPr>
          <w:rFonts w:ascii="仿宋_GB2312" w:hAnsi="仿宋_GB2312" w:cs="仿宋_GB2312"/>
          <w:bCs/>
          <w:sz w:val="28"/>
          <w:szCs w:val="28"/>
        </w:rPr>
      </w:pPr>
      <w:r w:rsidRPr="006058C6">
        <w:rPr>
          <w:rFonts w:ascii="仿宋_GB2312" w:hAnsi="仿宋_GB2312" w:cs="仿宋_GB2312" w:hint="eastAsia"/>
          <w:bCs/>
          <w:sz w:val="28"/>
          <w:szCs w:val="28"/>
        </w:rPr>
        <w:t xml:space="preserve">2.2课程目标与毕业要求之间的对应关系 </w:t>
      </w:r>
    </w:p>
    <w:p w:rsidR="008C3907" w:rsidRPr="006058C6" w:rsidRDefault="008C3907" w:rsidP="008C3907">
      <w:pPr>
        <w:spacing w:line="560" w:lineRule="exact"/>
        <w:ind w:firstLineChars="100" w:firstLine="280"/>
        <w:rPr>
          <w:rFonts w:ascii="仿宋_GB2312" w:hAnsi="仿宋_GB2312" w:cs="仿宋_GB2312"/>
          <w:bCs/>
          <w:sz w:val="28"/>
          <w:szCs w:val="28"/>
        </w:rPr>
      </w:pPr>
      <w:r w:rsidRPr="006058C6">
        <w:rPr>
          <w:rFonts w:ascii="仿宋_GB2312" w:hAnsi="仿宋_GB2312" w:cs="仿宋_GB2312" w:hint="eastAsia"/>
          <w:bCs/>
          <w:sz w:val="28"/>
          <w:szCs w:val="28"/>
        </w:rPr>
        <w:t>具备相关专业的技术能力，能从事相关领域的设计，成为设计，科研团队的技术骨干。</w:t>
      </w:r>
    </w:p>
    <w:p w:rsidR="008C3907" w:rsidRPr="006058C6" w:rsidRDefault="008C3907" w:rsidP="008C3907">
      <w:pPr>
        <w:spacing w:line="560" w:lineRule="exact"/>
        <w:ind w:firstLine="331"/>
        <w:rPr>
          <w:rFonts w:ascii="仿宋_GB2312" w:hAnsi="仿宋_GB2312" w:cs="仿宋_GB2312"/>
          <w:bCs/>
          <w:sz w:val="28"/>
          <w:szCs w:val="28"/>
        </w:rPr>
      </w:pPr>
      <w:r w:rsidRPr="006058C6">
        <w:rPr>
          <w:rFonts w:ascii="仿宋_GB2312" w:hAnsi="仿宋_GB2312" w:cs="仿宋_GB2312" w:hint="eastAsia"/>
          <w:bCs/>
          <w:sz w:val="28"/>
          <w:szCs w:val="28"/>
        </w:rPr>
        <w:t>3. 课程的重点、难点</w:t>
      </w:r>
    </w:p>
    <w:p w:rsidR="008C3907" w:rsidRPr="006058C6" w:rsidRDefault="008C3907" w:rsidP="008C3907">
      <w:pPr>
        <w:spacing w:line="560" w:lineRule="exact"/>
        <w:ind w:firstLine="331"/>
        <w:rPr>
          <w:rFonts w:ascii="仿宋_GB2312" w:hAnsi="仿宋_GB2312" w:cs="仿宋_GB2312"/>
          <w:bCs/>
          <w:sz w:val="28"/>
          <w:szCs w:val="28"/>
        </w:rPr>
      </w:pPr>
      <w:r w:rsidRPr="006058C6">
        <w:rPr>
          <w:rFonts w:ascii="仿宋_GB2312" w:hAnsi="仿宋_GB2312" w:cs="仿宋_GB2312" w:hint="eastAsia"/>
          <w:bCs/>
          <w:sz w:val="28"/>
          <w:szCs w:val="28"/>
        </w:rPr>
        <w:t>热负荷，冷负荷和湿负荷计算，全水系统，全空气系统和空气水系统</w:t>
      </w:r>
    </w:p>
    <w:p w:rsidR="008C3907" w:rsidRPr="006058C6" w:rsidRDefault="008C3907" w:rsidP="008C3907">
      <w:pPr>
        <w:spacing w:line="560" w:lineRule="exact"/>
        <w:ind w:firstLine="331"/>
        <w:rPr>
          <w:rFonts w:ascii="仿宋_GB2312" w:hAnsi="仿宋_GB2312" w:cs="仿宋_GB2312"/>
          <w:bCs/>
          <w:sz w:val="28"/>
          <w:szCs w:val="28"/>
        </w:rPr>
      </w:pPr>
      <w:r w:rsidRPr="006058C6">
        <w:rPr>
          <w:rFonts w:ascii="仿宋_GB2312" w:hAnsi="仿宋_GB2312" w:cs="仿宋_GB2312" w:hint="eastAsia"/>
          <w:bCs/>
          <w:sz w:val="28"/>
          <w:szCs w:val="28"/>
        </w:rPr>
        <w:t>4. 课程思政设计</w:t>
      </w:r>
    </w:p>
    <w:p w:rsidR="008C3907" w:rsidRPr="006058C6" w:rsidRDefault="008C3907" w:rsidP="006058C6">
      <w:pPr>
        <w:spacing w:beforeLines="50" w:before="156" w:afterLines="50" w:after="156" w:line="560" w:lineRule="exact"/>
        <w:rPr>
          <w:rFonts w:ascii="仿宋_GB2312" w:hAnsi="仿宋_GB2312" w:cs="仿宋_GB2312"/>
          <w:bCs/>
          <w:sz w:val="28"/>
          <w:szCs w:val="28"/>
        </w:rPr>
      </w:pPr>
      <w:r w:rsidRPr="006058C6">
        <w:rPr>
          <w:rFonts w:ascii="仿宋_GB2312" w:hAnsi="仿宋_GB2312" w:cs="仿宋_GB2312" w:hint="eastAsia"/>
          <w:bCs/>
          <w:sz w:val="28"/>
          <w:szCs w:val="28"/>
        </w:rPr>
        <w:t>通过对供热空调工程中所涉及的内容及现代技术的应用，融入到章节中进行合理的运用和挖掘。</w:t>
      </w:r>
    </w:p>
    <w:p w:rsidR="008C3907" w:rsidRPr="006058C6" w:rsidRDefault="008C3907" w:rsidP="008C3907">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t>四、教学内容安排</w:t>
      </w: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136"/>
        <w:gridCol w:w="1380"/>
        <w:gridCol w:w="3366"/>
        <w:gridCol w:w="3188"/>
      </w:tblGrid>
      <w:tr w:rsidR="008C3907" w:rsidTr="008C3907">
        <w:trPr>
          <w:cantSplit/>
          <w:trHeight w:val="661"/>
        </w:trPr>
        <w:tc>
          <w:tcPr>
            <w:tcW w:w="424" w:type="dxa"/>
            <w:vAlign w:val="center"/>
          </w:tcPr>
          <w:p w:rsidR="008C3907" w:rsidRPr="006058C6" w:rsidRDefault="008C3907" w:rsidP="008C3907">
            <w:pPr>
              <w:spacing w:line="560" w:lineRule="exact"/>
              <w:jc w:val="center"/>
              <w:rPr>
                <w:rFonts w:ascii="仿宋_GB2312" w:hAnsi="仿宋_GB2312" w:cs="仿宋_GB2312"/>
                <w:b/>
                <w:bCs/>
                <w:sz w:val="24"/>
                <w:szCs w:val="24"/>
              </w:rPr>
            </w:pPr>
            <w:r w:rsidRPr="006058C6">
              <w:rPr>
                <w:rFonts w:ascii="仿宋_GB2312" w:hAnsi="仿宋_GB2312" w:cs="仿宋_GB2312" w:hint="eastAsia"/>
                <w:b/>
                <w:bCs/>
                <w:sz w:val="24"/>
                <w:szCs w:val="24"/>
              </w:rPr>
              <w:t>序号</w:t>
            </w:r>
          </w:p>
        </w:tc>
        <w:tc>
          <w:tcPr>
            <w:tcW w:w="1136" w:type="dxa"/>
            <w:vAlign w:val="center"/>
          </w:tcPr>
          <w:p w:rsidR="008C3907" w:rsidRPr="006058C6" w:rsidRDefault="008C3907" w:rsidP="008C3907">
            <w:pPr>
              <w:spacing w:line="560" w:lineRule="exact"/>
              <w:jc w:val="center"/>
              <w:rPr>
                <w:rFonts w:ascii="仿宋_GB2312" w:hAnsi="仿宋_GB2312" w:cs="仿宋_GB2312"/>
                <w:b/>
                <w:bCs/>
                <w:sz w:val="24"/>
                <w:szCs w:val="24"/>
              </w:rPr>
            </w:pPr>
            <w:r w:rsidRPr="006058C6">
              <w:rPr>
                <w:rFonts w:ascii="仿宋_GB2312" w:hAnsi="仿宋_GB2312" w:cs="仿宋_GB2312" w:hint="eastAsia"/>
                <w:b/>
                <w:bCs/>
                <w:sz w:val="24"/>
                <w:szCs w:val="24"/>
              </w:rPr>
              <w:t>章  节</w:t>
            </w:r>
          </w:p>
        </w:tc>
        <w:tc>
          <w:tcPr>
            <w:tcW w:w="1380" w:type="dxa"/>
            <w:vAlign w:val="center"/>
          </w:tcPr>
          <w:p w:rsidR="008C3907" w:rsidRPr="006058C6" w:rsidRDefault="008C3907" w:rsidP="008C3907">
            <w:pPr>
              <w:spacing w:line="560" w:lineRule="exact"/>
              <w:rPr>
                <w:rFonts w:ascii="仿宋_GB2312" w:hAnsi="仿宋_GB2312" w:cs="仿宋_GB2312"/>
                <w:b/>
                <w:bCs/>
                <w:sz w:val="24"/>
                <w:szCs w:val="24"/>
              </w:rPr>
            </w:pPr>
            <w:r w:rsidRPr="006058C6">
              <w:rPr>
                <w:rFonts w:ascii="仿宋_GB2312" w:hAnsi="仿宋_GB2312" w:cs="仿宋_GB2312" w:hint="eastAsia"/>
                <w:b/>
                <w:bCs/>
                <w:sz w:val="24"/>
                <w:szCs w:val="24"/>
              </w:rPr>
              <w:t>参考学时</w:t>
            </w:r>
          </w:p>
        </w:tc>
        <w:tc>
          <w:tcPr>
            <w:tcW w:w="3366" w:type="dxa"/>
            <w:vAlign w:val="center"/>
          </w:tcPr>
          <w:p w:rsidR="008C3907" w:rsidRPr="006058C6" w:rsidRDefault="008C3907" w:rsidP="008C3907">
            <w:pPr>
              <w:spacing w:line="560" w:lineRule="exact"/>
              <w:ind w:firstLineChars="300" w:firstLine="723"/>
              <w:rPr>
                <w:rFonts w:ascii="仿宋_GB2312" w:hAnsi="仿宋_GB2312" w:cs="仿宋_GB2312"/>
                <w:b/>
                <w:bCs/>
                <w:sz w:val="24"/>
                <w:szCs w:val="24"/>
              </w:rPr>
            </w:pPr>
            <w:r w:rsidRPr="006058C6">
              <w:rPr>
                <w:rFonts w:ascii="仿宋_GB2312" w:hAnsi="仿宋_GB2312" w:cs="仿宋_GB2312" w:hint="eastAsia"/>
                <w:b/>
                <w:bCs/>
                <w:sz w:val="24"/>
                <w:szCs w:val="24"/>
              </w:rPr>
              <w:t>教学内容</w:t>
            </w:r>
          </w:p>
        </w:tc>
        <w:tc>
          <w:tcPr>
            <w:tcW w:w="3188" w:type="dxa"/>
            <w:vAlign w:val="center"/>
          </w:tcPr>
          <w:p w:rsidR="008C3907" w:rsidRPr="006058C6" w:rsidRDefault="008C3907" w:rsidP="008C3907">
            <w:pPr>
              <w:spacing w:line="560" w:lineRule="exact"/>
              <w:jc w:val="center"/>
              <w:rPr>
                <w:rFonts w:ascii="仿宋_GB2312" w:hAnsi="仿宋_GB2312" w:cs="仿宋_GB2312"/>
                <w:b/>
                <w:bCs/>
                <w:sz w:val="24"/>
                <w:szCs w:val="24"/>
              </w:rPr>
            </w:pPr>
            <w:r w:rsidRPr="006058C6">
              <w:rPr>
                <w:rFonts w:ascii="仿宋_GB2312" w:hAnsi="仿宋_GB2312" w:cs="仿宋_GB2312" w:hint="eastAsia"/>
                <w:b/>
                <w:bCs/>
                <w:sz w:val="24"/>
                <w:szCs w:val="24"/>
              </w:rPr>
              <w:t>基本要求</w:t>
            </w:r>
          </w:p>
        </w:tc>
      </w:tr>
      <w:tr w:rsidR="008C3907" w:rsidTr="008C3907">
        <w:trPr>
          <w:trHeight w:val="1415"/>
        </w:trPr>
        <w:tc>
          <w:tcPr>
            <w:tcW w:w="424"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lastRenderedPageBreak/>
              <w:t>1</w:t>
            </w:r>
          </w:p>
        </w:tc>
        <w:tc>
          <w:tcPr>
            <w:tcW w:w="113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第一章</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绪论</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2</w:t>
            </w:r>
          </w:p>
        </w:tc>
        <w:tc>
          <w:tcPr>
            <w:tcW w:w="3366" w:type="dxa"/>
            <w:vAlign w:val="center"/>
          </w:tcPr>
          <w:p w:rsidR="008C3907" w:rsidRPr="006058C6" w:rsidRDefault="008C3907" w:rsidP="005F6318">
            <w:pPr>
              <w:numPr>
                <w:ilvl w:val="1"/>
                <w:numId w:val="24"/>
              </w:num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供热空调的含义和内容   1.2 供热通风与空调系统分类</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1.3 供热通风与空调技术发展</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1、了解供热空调的含义和内容。</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2、掌握供热通风与空调系统分类。</w:t>
            </w:r>
          </w:p>
        </w:tc>
      </w:tr>
      <w:tr w:rsidR="008C3907" w:rsidTr="008C3907">
        <w:trPr>
          <w:trHeight w:val="90"/>
        </w:trPr>
        <w:tc>
          <w:tcPr>
            <w:tcW w:w="424" w:type="dxa"/>
            <w:vAlign w:val="center"/>
          </w:tcPr>
          <w:p w:rsidR="008C3907" w:rsidRPr="006058C6" w:rsidRDefault="008C3907" w:rsidP="008C3907">
            <w:pPr>
              <w:spacing w:line="560" w:lineRule="exact"/>
              <w:rPr>
                <w:rFonts w:ascii="仿宋_GB2312" w:hAnsi="仿宋_GB2312" w:cs="仿宋_GB2312"/>
                <w:bCs/>
                <w:sz w:val="24"/>
                <w:szCs w:val="24"/>
              </w:rPr>
            </w:pP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w:t>
            </w:r>
          </w:p>
        </w:tc>
        <w:tc>
          <w:tcPr>
            <w:tcW w:w="1136"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第二章</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热负荷冷负荷和湿负荷计算</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4</w:t>
            </w:r>
          </w:p>
        </w:tc>
        <w:tc>
          <w:tcPr>
            <w:tcW w:w="336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2.1 室内外空气计算参数</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2.2冬季建筑的热负荷</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2.3夏季建筑围护结构冷负荷</w:t>
            </w:r>
          </w:p>
          <w:p w:rsidR="008C3907" w:rsidRPr="006058C6" w:rsidRDefault="008C3907" w:rsidP="008C3907">
            <w:pPr>
              <w:spacing w:line="560" w:lineRule="exact"/>
              <w:ind w:left="960" w:hangingChars="400" w:hanging="960"/>
              <w:rPr>
                <w:rFonts w:ascii="仿宋_GB2312" w:hAnsi="仿宋_GB2312" w:cs="仿宋_GB2312"/>
                <w:bCs/>
                <w:sz w:val="24"/>
                <w:szCs w:val="24"/>
              </w:rPr>
            </w:pPr>
            <w:r w:rsidRPr="006058C6">
              <w:rPr>
                <w:rFonts w:ascii="仿宋_GB2312" w:hAnsi="仿宋_GB2312" w:cs="仿宋_GB2312" w:hint="eastAsia"/>
                <w:bCs/>
                <w:sz w:val="24"/>
                <w:szCs w:val="24"/>
              </w:rPr>
              <w:t>2.4室内热源散热引起的冷负荷</w:t>
            </w:r>
          </w:p>
          <w:p w:rsidR="008C3907" w:rsidRPr="006058C6" w:rsidRDefault="008C3907" w:rsidP="008C3907">
            <w:pPr>
              <w:spacing w:line="560" w:lineRule="exact"/>
              <w:ind w:left="960" w:hangingChars="400" w:hanging="960"/>
              <w:rPr>
                <w:rFonts w:ascii="仿宋_GB2312" w:hAnsi="仿宋_GB2312" w:cs="仿宋_GB2312"/>
                <w:bCs/>
                <w:sz w:val="24"/>
                <w:szCs w:val="24"/>
              </w:rPr>
            </w:pPr>
            <w:r w:rsidRPr="006058C6">
              <w:rPr>
                <w:rFonts w:ascii="仿宋_GB2312" w:hAnsi="仿宋_GB2312" w:cs="仿宋_GB2312" w:hint="eastAsia"/>
                <w:bCs/>
                <w:sz w:val="24"/>
                <w:szCs w:val="24"/>
              </w:rPr>
              <w:t>2.5湿负荷</w:t>
            </w:r>
          </w:p>
          <w:p w:rsidR="008C3907" w:rsidRPr="006058C6" w:rsidRDefault="008C3907" w:rsidP="008C3907">
            <w:pPr>
              <w:spacing w:line="560" w:lineRule="exact"/>
              <w:ind w:left="960" w:hangingChars="400" w:hanging="960"/>
              <w:rPr>
                <w:rFonts w:ascii="仿宋_GB2312" w:hAnsi="仿宋_GB2312" w:cs="仿宋_GB2312"/>
                <w:bCs/>
                <w:sz w:val="24"/>
                <w:szCs w:val="24"/>
              </w:rPr>
            </w:pPr>
            <w:r w:rsidRPr="006058C6">
              <w:rPr>
                <w:rFonts w:ascii="仿宋_GB2312" w:hAnsi="仿宋_GB2312" w:cs="仿宋_GB2312" w:hint="eastAsia"/>
                <w:bCs/>
                <w:sz w:val="24"/>
                <w:szCs w:val="24"/>
              </w:rPr>
              <w:t>2.6新风负荷</w:t>
            </w:r>
          </w:p>
          <w:p w:rsidR="008C3907" w:rsidRPr="006058C6" w:rsidRDefault="008C3907" w:rsidP="008C3907">
            <w:pPr>
              <w:spacing w:line="560" w:lineRule="exact"/>
              <w:ind w:left="960" w:hangingChars="400" w:hanging="960"/>
              <w:rPr>
                <w:rFonts w:ascii="仿宋_GB2312" w:hAnsi="仿宋_GB2312" w:cs="仿宋_GB2312"/>
                <w:bCs/>
                <w:sz w:val="24"/>
                <w:szCs w:val="24"/>
              </w:rPr>
            </w:pPr>
            <w:r w:rsidRPr="006058C6">
              <w:rPr>
                <w:rFonts w:ascii="仿宋_GB2312" w:hAnsi="仿宋_GB2312" w:cs="仿宋_GB2312" w:hint="eastAsia"/>
                <w:bCs/>
                <w:sz w:val="24"/>
                <w:szCs w:val="24"/>
              </w:rPr>
              <w:t>2.7空调室内的冷负荷与制冷系统的冷负荷</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掌握冷热负荷的计算。</w:t>
            </w:r>
          </w:p>
        </w:tc>
      </w:tr>
      <w:tr w:rsidR="008C3907" w:rsidTr="008C3907">
        <w:trPr>
          <w:trHeight w:val="1554"/>
        </w:trPr>
        <w:tc>
          <w:tcPr>
            <w:tcW w:w="424"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3</w:t>
            </w:r>
          </w:p>
        </w:tc>
        <w:tc>
          <w:tcPr>
            <w:tcW w:w="1136"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第三章</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全水系统</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4</w:t>
            </w:r>
          </w:p>
        </w:tc>
        <w:tc>
          <w:tcPr>
            <w:tcW w:w="336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3.1全水系统概述</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3.2散热器与散热器热水供暖系统</w:t>
            </w:r>
          </w:p>
          <w:p w:rsidR="008C3907" w:rsidRPr="006058C6" w:rsidRDefault="008C3907" w:rsidP="008C3907">
            <w:pPr>
              <w:spacing w:line="560" w:lineRule="exact"/>
              <w:ind w:left="960" w:hangingChars="400" w:hanging="960"/>
              <w:rPr>
                <w:rFonts w:ascii="仿宋_GB2312" w:hAnsi="仿宋_GB2312" w:cs="仿宋_GB2312"/>
                <w:bCs/>
                <w:sz w:val="24"/>
                <w:szCs w:val="24"/>
              </w:rPr>
            </w:pPr>
            <w:r w:rsidRPr="006058C6">
              <w:rPr>
                <w:rFonts w:ascii="仿宋_GB2312" w:hAnsi="仿宋_GB2312" w:cs="仿宋_GB2312" w:hint="eastAsia"/>
                <w:bCs/>
                <w:sz w:val="24"/>
                <w:szCs w:val="24"/>
              </w:rPr>
              <w:t>3.3户式热水供暖系统</w:t>
            </w:r>
          </w:p>
          <w:p w:rsidR="008C3907" w:rsidRPr="006058C6" w:rsidRDefault="008C3907" w:rsidP="008C3907">
            <w:pPr>
              <w:spacing w:line="560" w:lineRule="exact"/>
              <w:ind w:left="960" w:hangingChars="400" w:hanging="960"/>
              <w:rPr>
                <w:rFonts w:ascii="仿宋_GB2312" w:hAnsi="仿宋_GB2312" w:cs="仿宋_GB2312"/>
                <w:bCs/>
                <w:sz w:val="24"/>
                <w:szCs w:val="24"/>
              </w:rPr>
            </w:pPr>
            <w:r w:rsidRPr="006058C6">
              <w:rPr>
                <w:rFonts w:ascii="仿宋_GB2312" w:hAnsi="仿宋_GB2312" w:cs="仿宋_GB2312" w:hint="eastAsia"/>
                <w:bCs/>
                <w:sz w:val="24"/>
                <w:szCs w:val="24"/>
              </w:rPr>
              <w:t>3.4热水供暖系统的热计算及其系统形式</w:t>
            </w:r>
          </w:p>
          <w:p w:rsidR="008C3907" w:rsidRPr="006058C6" w:rsidRDefault="008C3907" w:rsidP="008C3907">
            <w:pPr>
              <w:spacing w:line="560" w:lineRule="exact"/>
              <w:ind w:left="960" w:hangingChars="400" w:hanging="960"/>
              <w:rPr>
                <w:rFonts w:ascii="仿宋_GB2312" w:hAnsi="仿宋_GB2312" w:cs="仿宋_GB2312"/>
                <w:bCs/>
                <w:sz w:val="24"/>
                <w:szCs w:val="24"/>
              </w:rPr>
            </w:pPr>
            <w:r w:rsidRPr="006058C6">
              <w:rPr>
                <w:rFonts w:ascii="仿宋_GB2312" w:hAnsi="仿宋_GB2312" w:cs="仿宋_GB2312" w:hint="eastAsia"/>
                <w:bCs/>
                <w:sz w:val="24"/>
                <w:szCs w:val="24"/>
              </w:rPr>
              <w:t>3.5热水供暖系统的设计计算</w:t>
            </w:r>
          </w:p>
          <w:p w:rsidR="008C3907" w:rsidRPr="006058C6" w:rsidRDefault="008C3907" w:rsidP="008C3907">
            <w:pPr>
              <w:spacing w:line="560" w:lineRule="exact"/>
              <w:ind w:left="960" w:hangingChars="400" w:hanging="960"/>
              <w:rPr>
                <w:rFonts w:ascii="仿宋_GB2312" w:hAnsi="仿宋_GB2312" w:cs="仿宋_GB2312"/>
                <w:bCs/>
                <w:sz w:val="24"/>
                <w:szCs w:val="24"/>
              </w:rPr>
            </w:pPr>
            <w:r w:rsidRPr="006058C6">
              <w:rPr>
                <w:rFonts w:ascii="仿宋_GB2312" w:hAnsi="仿宋_GB2312" w:cs="仿宋_GB2312" w:hint="eastAsia"/>
                <w:bCs/>
                <w:sz w:val="24"/>
                <w:szCs w:val="24"/>
              </w:rPr>
              <w:t>3.6全水系统的主要设备和管路附件</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1、掌握散热器与散热器热水供暖系统。</w:t>
            </w:r>
          </w:p>
          <w:p w:rsidR="008C3907" w:rsidRPr="006058C6" w:rsidRDefault="008C3907" w:rsidP="008C3907">
            <w:pPr>
              <w:tabs>
                <w:tab w:val="right" w:pos="2972"/>
              </w:tabs>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2、掌握热水供暖系统的设计计算。</w:t>
            </w:r>
          </w:p>
        </w:tc>
      </w:tr>
      <w:tr w:rsidR="008C3907" w:rsidTr="008C3907">
        <w:trPr>
          <w:trHeight w:val="1218"/>
        </w:trPr>
        <w:tc>
          <w:tcPr>
            <w:tcW w:w="424"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4</w:t>
            </w:r>
          </w:p>
        </w:tc>
        <w:tc>
          <w:tcPr>
            <w:tcW w:w="1136"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 xml:space="preserve">第四章 </w:t>
            </w:r>
          </w:p>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全空气</w:t>
            </w:r>
            <w:r w:rsidRPr="006058C6">
              <w:rPr>
                <w:rFonts w:ascii="仿宋_GB2312" w:hAnsi="仿宋_GB2312" w:cs="仿宋_GB2312" w:hint="eastAsia"/>
                <w:bCs/>
                <w:sz w:val="24"/>
                <w:szCs w:val="24"/>
              </w:rPr>
              <w:lastRenderedPageBreak/>
              <w:t xml:space="preserve">系统和空气水系统                </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lastRenderedPageBreak/>
              <w:t>4</w:t>
            </w:r>
          </w:p>
        </w:tc>
        <w:tc>
          <w:tcPr>
            <w:tcW w:w="336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4.1湿空气性质和焓湿图'</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4.2全空气系统的送风量送风</w:t>
            </w:r>
            <w:r w:rsidRPr="006058C6">
              <w:rPr>
                <w:rFonts w:ascii="仿宋_GB2312" w:hAnsi="仿宋_GB2312" w:cs="仿宋_GB2312" w:hint="eastAsia"/>
                <w:bCs/>
                <w:sz w:val="24"/>
                <w:szCs w:val="24"/>
              </w:rPr>
              <w:lastRenderedPageBreak/>
              <w:t>参数和新风量</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4.3定风量全空气空调系统</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4.4定风量全空气空调系统运行调节</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4.5空气水风机盘管系统</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4.6空调系统的选择与划分原则</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lastRenderedPageBreak/>
              <w:t>掌握全空气空调系统和空气水系统</w:t>
            </w:r>
          </w:p>
        </w:tc>
      </w:tr>
      <w:tr w:rsidR="008C3907" w:rsidTr="008C3907">
        <w:trPr>
          <w:trHeight w:val="1157"/>
        </w:trPr>
        <w:tc>
          <w:tcPr>
            <w:tcW w:w="424"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5</w:t>
            </w:r>
          </w:p>
        </w:tc>
        <w:tc>
          <w:tcPr>
            <w:tcW w:w="1136"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第五章</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冷剂式空调系统</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2</w:t>
            </w:r>
          </w:p>
        </w:tc>
        <w:tc>
          <w:tcPr>
            <w:tcW w:w="336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5.1冷剂式空调系统分类和特点</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5.2房间空调器</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5.3多联式空调机系统</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5.4机组系统的适用性</w:t>
            </w:r>
          </w:p>
          <w:p w:rsidR="008C3907" w:rsidRPr="006058C6" w:rsidRDefault="008C3907" w:rsidP="008C3907">
            <w:pPr>
              <w:spacing w:line="560" w:lineRule="exact"/>
              <w:rPr>
                <w:rFonts w:ascii="仿宋_GB2312" w:hAnsi="仿宋_GB2312" w:cs="仿宋_GB2312"/>
                <w:bCs/>
                <w:sz w:val="24"/>
                <w:szCs w:val="24"/>
              </w:rPr>
            </w:pP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熟悉冷剂式空调系统分类和特点。</w:t>
            </w:r>
          </w:p>
        </w:tc>
      </w:tr>
      <w:tr w:rsidR="008C3907" w:rsidTr="008C3907">
        <w:trPr>
          <w:trHeight w:val="990"/>
        </w:trPr>
        <w:tc>
          <w:tcPr>
            <w:tcW w:w="424"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6</w:t>
            </w:r>
          </w:p>
        </w:tc>
        <w:tc>
          <w:tcPr>
            <w:tcW w:w="113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第六章</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工业与民用建筑的通风</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4</w:t>
            </w:r>
          </w:p>
        </w:tc>
        <w:tc>
          <w:tcPr>
            <w:tcW w:w="336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6.1工业与民用建筑中的污染物与治理</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6.2室内空气质量的评价与必须的通风量</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6.3全面通风系统</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6.4自然通风基本原理</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6.5通风房间的空气平衡和热平衡</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全面掌握自然通风和机械通风</w:t>
            </w:r>
          </w:p>
        </w:tc>
      </w:tr>
      <w:tr w:rsidR="008C3907" w:rsidTr="008C3907">
        <w:trPr>
          <w:trHeight w:val="990"/>
        </w:trPr>
        <w:tc>
          <w:tcPr>
            <w:tcW w:w="424"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7</w:t>
            </w:r>
          </w:p>
        </w:tc>
        <w:tc>
          <w:tcPr>
            <w:tcW w:w="113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第七章</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室内气流分布</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2</w:t>
            </w:r>
          </w:p>
        </w:tc>
        <w:tc>
          <w:tcPr>
            <w:tcW w:w="336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7.1对室内气流分布的要求与评价</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7.2送风口和回风口</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lastRenderedPageBreak/>
              <w:t>7.3典型的气流分布模式</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7.4室内气流分布的设计计算</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lastRenderedPageBreak/>
              <w:t>掌握室内气流分布的特点</w:t>
            </w:r>
          </w:p>
        </w:tc>
      </w:tr>
      <w:tr w:rsidR="008C3907" w:rsidTr="008C3907">
        <w:trPr>
          <w:trHeight w:val="990"/>
        </w:trPr>
        <w:tc>
          <w:tcPr>
            <w:tcW w:w="424"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8</w:t>
            </w:r>
          </w:p>
        </w:tc>
        <w:tc>
          <w:tcPr>
            <w:tcW w:w="113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第八章</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空调系统消声隔振</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2</w:t>
            </w:r>
          </w:p>
        </w:tc>
        <w:tc>
          <w:tcPr>
            <w:tcW w:w="336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8.1空调通风系统的消声</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8.2隔振与机房的噪声控制</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掌握空调通风系统的消声与隔振</w:t>
            </w:r>
          </w:p>
        </w:tc>
      </w:tr>
    </w:tbl>
    <w:p w:rsidR="008C3907" w:rsidRDefault="008C3907" w:rsidP="008C3907">
      <w:pPr>
        <w:spacing w:beforeLines="50" w:before="156" w:afterLines="50" w:after="156" w:line="560" w:lineRule="exact"/>
        <w:rPr>
          <w:rFonts w:ascii="仿宋" w:eastAsia="仿宋" w:hAnsi="仿宋"/>
          <w:sz w:val="28"/>
          <w:szCs w:val="28"/>
        </w:rPr>
      </w:pPr>
    </w:p>
    <w:p w:rsidR="008C3907" w:rsidRPr="006058C6" w:rsidRDefault="008C3907" w:rsidP="008C3907">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t>五、课程考核方式与成绩评定</w:t>
      </w:r>
    </w:p>
    <w:p w:rsidR="008C3907" w:rsidRPr="006058C6" w:rsidRDefault="008C3907" w:rsidP="006058C6">
      <w:pPr>
        <w:spacing w:line="560" w:lineRule="exact"/>
        <w:ind w:firstLineChars="100" w:firstLine="280"/>
        <w:rPr>
          <w:rFonts w:ascii="仿宋_GB2312" w:hAnsi="仿宋_GB2312" w:cs="仿宋_GB2312"/>
          <w:bCs/>
          <w:sz w:val="28"/>
          <w:szCs w:val="28"/>
        </w:rPr>
      </w:pPr>
      <w:r w:rsidRPr="006058C6">
        <w:rPr>
          <w:rFonts w:ascii="仿宋_GB2312" w:hAnsi="仿宋_GB2312" w:cs="仿宋_GB2312" w:hint="eastAsia"/>
          <w:bCs/>
          <w:sz w:val="28"/>
          <w:szCs w:val="28"/>
        </w:rPr>
        <w:t>1. 课程考核：本课程不设课外学时，《供热空调工程》涉及知识面较广，建议学生复习已学知识，并在学习过程中联系、理解、运用，通过思考题、练习题和作业来巩固提高。采用平时成绩+期末考试方式确定总评成绩。其中平时成绩考核包括作业、讨论、出勤等内容，期末考试采用闭卷方式。平时成绩占20%，期末考试成绩占80%。</w:t>
      </w:r>
    </w:p>
    <w:p w:rsidR="008C3907" w:rsidRPr="006058C6" w:rsidRDefault="006058C6" w:rsidP="006058C6">
      <w:pPr>
        <w:spacing w:line="560" w:lineRule="exact"/>
        <w:ind w:firstLineChars="100" w:firstLine="280"/>
        <w:rPr>
          <w:rFonts w:ascii="仿宋_GB2312" w:hAnsi="仿宋_GB2312" w:cs="仿宋_GB2312"/>
          <w:bCs/>
          <w:sz w:val="28"/>
          <w:szCs w:val="28"/>
        </w:rPr>
      </w:pPr>
      <w:r>
        <w:rPr>
          <w:rFonts w:ascii="仿宋_GB2312" w:hAnsi="仿宋_GB2312" w:cs="仿宋_GB2312" w:hint="eastAsia"/>
          <w:bCs/>
          <w:sz w:val="28"/>
          <w:szCs w:val="28"/>
        </w:rPr>
        <w:t>2</w:t>
      </w:r>
      <w:r>
        <w:rPr>
          <w:rFonts w:ascii="仿宋_GB2312" w:hAnsi="仿宋_GB2312" w:cs="仿宋_GB2312"/>
          <w:bCs/>
          <w:sz w:val="28"/>
          <w:szCs w:val="28"/>
        </w:rPr>
        <w:t xml:space="preserve">. </w:t>
      </w:r>
      <w:r w:rsidR="008C3907" w:rsidRPr="006058C6">
        <w:rPr>
          <w:rFonts w:ascii="仿宋_GB2312" w:hAnsi="仿宋_GB2312" w:cs="仿宋_GB2312" w:hint="eastAsia"/>
          <w:bCs/>
          <w:sz w:val="28"/>
          <w:szCs w:val="28"/>
        </w:rPr>
        <w:t>成绩评定</w:t>
      </w:r>
    </w:p>
    <w:p w:rsidR="008C3907" w:rsidRPr="006058C6" w:rsidRDefault="008C3907" w:rsidP="006058C6">
      <w:pPr>
        <w:spacing w:line="560" w:lineRule="exact"/>
        <w:ind w:firstLineChars="100" w:firstLine="280"/>
        <w:rPr>
          <w:rFonts w:ascii="仿宋_GB2312" w:hAnsi="仿宋_GB2312" w:cs="仿宋_GB2312"/>
          <w:bCs/>
          <w:sz w:val="28"/>
          <w:szCs w:val="28"/>
        </w:rPr>
      </w:pPr>
      <w:r w:rsidRPr="006058C6">
        <w:rPr>
          <w:rFonts w:ascii="仿宋_GB2312" w:hAnsi="仿宋_GB2312" w:cs="仿宋_GB2312" w:hint="eastAsia"/>
          <w:bCs/>
          <w:sz w:val="28"/>
          <w:szCs w:val="28"/>
        </w:rPr>
        <w:t>课程考核后，需要对课程达成度进行评价，统计课程考核数据，以便及时了解课程的达成效果，并为毕业要求达成度的评价提供基础数据。</w:t>
      </w:r>
    </w:p>
    <w:p w:rsidR="008C3907" w:rsidRPr="006058C6" w:rsidRDefault="008C3907" w:rsidP="006058C6">
      <w:pPr>
        <w:spacing w:line="560" w:lineRule="exact"/>
        <w:ind w:firstLineChars="100" w:firstLine="280"/>
        <w:rPr>
          <w:rFonts w:ascii="仿宋_GB2312" w:hAnsi="仿宋_GB2312" w:cs="仿宋_GB2312"/>
          <w:bCs/>
          <w:sz w:val="28"/>
          <w:szCs w:val="28"/>
        </w:rPr>
      </w:pPr>
      <w:r w:rsidRPr="006058C6">
        <w:rPr>
          <w:rFonts w:ascii="仿宋_GB2312" w:hAnsi="仿宋_GB2312" w:cs="仿宋_GB2312" w:hint="eastAsia"/>
          <w:bCs/>
          <w:sz w:val="28"/>
          <w:szCs w:val="28"/>
        </w:rPr>
        <w:t>课程达成度的具体评价方法：达成度评价对象：参与本课程考核的班级全部学生；统计课程考核数据，及时了解课程达成效果，发现问题并进行改进，为毕业要求达成度的评价提供基础数据。</w:t>
      </w:r>
    </w:p>
    <w:p w:rsidR="008C3907" w:rsidRPr="006058C6" w:rsidRDefault="008C3907" w:rsidP="006058C6">
      <w:pPr>
        <w:spacing w:line="560" w:lineRule="exact"/>
        <w:ind w:firstLineChars="100" w:firstLine="320"/>
        <w:rPr>
          <w:rFonts w:ascii="仿宋_GB2312" w:hAnsi="仿宋_GB2312" w:cs="仿宋_GB2312"/>
          <w:bCs/>
        </w:rPr>
      </w:pPr>
      <w:r w:rsidRPr="006058C6">
        <w:rPr>
          <w:rFonts w:ascii="仿宋_GB2312" w:hAnsi="仿宋_GB2312" w:cs="仿宋_GB2312"/>
          <w:bCs/>
        </w:rPr>
        <w:t>课程总成绩=期末成绩</w:t>
      </w:r>
      <w:r w:rsidRPr="006058C6">
        <w:rPr>
          <w:rFonts w:ascii="仿宋_GB2312" w:hAnsi="仿宋_GB2312" w:cs="仿宋_GB2312" w:hint="eastAsia"/>
          <w:bCs/>
        </w:rPr>
        <w:t>80%+平时</w:t>
      </w:r>
      <w:r w:rsidRPr="006058C6">
        <w:rPr>
          <w:rFonts w:ascii="仿宋_GB2312" w:hAnsi="仿宋_GB2312" w:cs="仿宋_GB2312"/>
          <w:bCs/>
        </w:rPr>
        <w:t>成绩20</w:t>
      </w:r>
      <w:r w:rsidRPr="006058C6">
        <w:rPr>
          <w:rFonts w:ascii="仿宋_GB2312" w:hAnsi="仿宋_GB2312" w:cs="仿宋_GB2312" w:hint="eastAsia"/>
          <w:bCs/>
        </w:rPr>
        <w:t>%</w:t>
      </w:r>
      <w:r w:rsidRPr="006058C6">
        <w:rPr>
          <w:rFonts w:ascii="仿宋_GB2312" w:hAnsi="仿宋_GB2312" w:cs="仿宋_GB2312"/>
          <w:bCs/>
        </w:rPr>
        <w:t xml:space="preserve">  </w:t>
      </w:r>
    </w:p>
    <w:p w:rsidR="008C3907" w:rsidRPr="006058C6" w:rsidRDefault="008C3907" w:rsidP="008C3907">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t>六、课程建议教材及主要参考资料</w:t>
      </w:r>
    </w:p>
    <w:p w:rsidR="008C3907" w:rsidRPr="006058C6" w:rsidRDefault="008C3907" w:rsidP="006058C6">
      <w:pPr>
        <w:spacing w:line="560" w:lineRule="exact"/>
        <w:ind w:firstLineChars="100" w:firstLine="280"/>
        <w:rPr>
          <w:rFonts w:ascii="仿宋_GB2312" w:hAnsi="仿宋_GB2312" w:cs="仿宋_GB2312"/>
          <w:bCs/>
          <w:sz w:val="28"/>
          <w:szCs w:val="28"/>
        </w:rPr>
      </w:pPr>
      <w:r w:rsidRPr="006058C6">
        <w:rPr>
          <w:rFonts w:ascii="仿宋_GB2312" w:hAnsi="仿宋_GB2312" w:cs="仿宋_GB2312" w:hint="eastAsia"/>
          <w:bCs/>
          <w:sz w:val="28"/>
          <w:szCs w:val="28"/>
        </w:rPr>
        <w:t>1.建议教材：暖通空调，陆亚俊主编，中国建筑工业出版社，2015</w:t>
      </w:r>
      <w:r w:rsidRPr="006058C6">
        <w:rPr>
          <w:rFonts w:ascii="仿宋_GB2312" w:hAnsi="仿宋_GB2312" w:cs="仿宋_GB2312" w:hint="eastAsia"/>
          <w:bCs/>
          <w:sz w:val="28"/>
          <w:szCs w:val="28"/>
        </w:rPr>
        <w:lastRenderedPageBreak/>
        <w:t>年10月出版。</w:t>
      </w:r>
    </w:p>
    <w:p w:rsidR="008C3907" w:rsidRPr="006058C6" w:rsidRDefault="008C3907" w:rsidP="006058C6">
      <w:pPr>
        <w:spacing w:line="560" w:lineRule="exact"/>
        <w:ind w:firstLineChars="100" w:firstLine="280"/>
        <w:rPr>
          <w:rFonts w:ascii="仿宋_GB2312" w:hAnsi="仿宋_GB2312" w:cs="仿宋_GB2312"/>
          <w:bCs/>
          <w:sz w:val="28"/>
          <w:szCs w:val="28"/>
        </w:rPr>
      </w:pPr>
      <w:r w:rsidRPr="006058C6">
        <w:rPr>
          <w:rFonts w:ascii="仿宋_GB2312" w:hAnsi="仿宋_GB2312" w:cs="仿宋_GB2312" w:hint="eastAsia"/>
          <w:bCs/>
          <w:sz w:val="28"/>
          <w:szCs w:val="28"/>
        </w:rPr>
        <w:t>2.主要参考资料：</w:t>
      </w:r>
    </w:p>
    <w:p w:rsidR="008C3907" w:rsidRPr="006058C6" w:rsidRDefault="008C3907" w:rsidP="006058C6">
      <w:pPr>
        <w:spacing w:line="560" w:lineRule="exact"/>
        <w:ind w:firstLineChars="100" w:firstLine="280"/>
        <w:rPr>
          <w:rFonts w:ascii="仿宋_GB2312" w:hAnsi="仿宋_GB2312" w:cs="仿宋_GB2312"/>
          <w:bCs/>
          <w:sz w:val="28"/>
          <w:szCs w:val="28"/>
        </w:rPr>
      </w:pPr>
      <w:r w:rsidRPr="006058C6">
        <w:rPr>
          <w:rFonts w:ascii="仿宋_GB2312" w:hAnsi="仿宋_GB2312" w:cs="仿宋_GB2312" w:hint="eastAsia"/>
          <w:bCs/>
          <w:sz w:val="28"/>
          <w:szCs w:val="28"/>
        </w:rPr>
        <w:t>【1】实用供暖空调设计手册，陆耀庆 主编 北京：中国建筑工业出版社，2008</w:t>
      </w:r>
    </w:p>
    <w:p w:rsidR="008C3907" w:rsidRPr="006058C6" w:rsidRDefault="008C3907" w:rsidP="006058C6">
      <w:pPr>
        <w:spacing w:line="560" w:lineRule="exact"/>
        <w:ind w:firstLineChars="100" w:firstLine="280"/>
        <w:rPr>
          <w:rFonts w:ascii="仿宋_GB2312" w:hAnsi="仿宋_GB2312" w:cs="仿宋_GB2312"/>
          <w:bCs/>
          <w:sz w:val="28"/>
          <w:szCs w:val="28"/>
        </w:rPr>
      </w:pPr>
      <w:r w:rsidRPr="006058C6">
        <w:rPr>
          <w:rFonts w:ascii="仿宋_GB2312" w:hAnsi="仿宋_GB2312" w:cs="仿宋_GB2312" w:hint="eastAsia"/>
          <w:bCs/>
          <w:sz w:val="28"/>
          <w:szCs w:val="28"/>
        </w:rPr>
        <w:t>【2】建筑节能技术 ， 龙惟定  主编 北京：中国建筑工业出版社，2009</w:t>
      </w:r>
    </w:p>
    <w:p w:rsidR="008C3907" w:rsidRPr="006058C6" w:rsidRDefault="008C3907" w:rsidP="006058C6">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t>七、其他</w:t>
      </w:r>
    </w:p>
    <w:p w:rsidR="008C3907" w:rsidRDefault="008C3907" w:rsidP="008C3907">
      <w:pPr>
        <w:spacing w:line="560" w:lineRule="exact"/>
        <w:ind w:firstLineChars="200" w:firstLine="560"/>
        <w:jc w:val="left"/>
        <w:rPr>
          <w:rFonts w:ascii="仿宋" w:eastAsia="仿宋" w:hAnsi="仿宋" w:cs="仿宋_GB2312"/>
          <w:sz w:val="28"/>
          <w:szCs w:val="28"/>
        </w:rPr>
      </w:pPr>
      <w:r>
        <w:rPr>
          <w:rFonts w:ascii="仿宋" w:eastAsia="仿宋" w:hAnsi="仿宋" w:cs="仿宋_GB2312" w:hint="eastAsia"/>
          <w:sz w:val="28"/>
          <w:szCs w:val="28"/>
        </w:rPr>
        <w:t>无</w:t>
      </w:r>
    </w:p>
    <w:p w:rsidR="006058C6" w:rsidRDefault="006058C6" w:rsidP="008C3907">
      <w:pPr>
        <w:spacing w:line="560" w:lineRule="exact"/>
        <w:ind w:firstLineChars="1200" w:firstLine="3360"/>
        <w:rPr>
          <w:rFonts w:ascii="仿宋" w:eastAsia="仿宋" w:hAnsi="仿宋"/>
          <w:sz w:val="28"/>
          <w:szCs w:val="28"/>
        </w:rPr>
      </w:pPr>
    </w:p>
    <w:p w:rsidR="008C3907" w:rsidRDefault="008C3907" w:rsidP="008C3907">
      <w:pPr>
        <w:spacing w:line="560" w:lineRule="exact"/>
        <w:ind w:firstLineChars="1200" w:firstLine="3360"/>
        <w:rPr>
          <w:rFonts w:ascii="仿宋" w:eastAsia="仿宋" w:hAnsi="仿宋"/>
          <w:sz w:val="28"/>
          <w:szCs w:val="28"/>
        </w:rPr>
      </w:pPr>
      <w:r>
        <w:rPr>
          <w:rFonts w:ascii="仿宋" w:eastAsia="仿宋" w:hAnsi="仿宋" w:hint="eastAsia"/>
          <w:sz w:val="28"/>
          <w:szCs w:val="28"/>
        </w:rPr>
        <w:t>大纲撰写人：张勇</w:t>
      </w:r>
    </w:p>
    <w:p w:rsidR="008C3907" w:rsidRDefault="008C3907" w:rsidP="008C3907">
      <w:pPr>
        <w:spacing w:line="560" w:lineRule="exact"/>
        <w:ind w:firstLineChars="1200" w:firstLine="3360"/>
        <w:rPr>
          <w:rFonts w:ascii="仿宋" w:eastAsia="仿宋" w:hAnsi="仿宋"/>
          <w:sz w:val="28"/>
          <w:szCs w:val="28"/>
        </w:rPr>
      </w:pPr>
      <w:r>
        <w:rPr>
          <w:rFonts w:ascii="仿宋" w:eastAsia="仿宋" w:hAnsi="仿宋" w:hint="eastAsia"/>
          <w:sz w:val="28"/>
          <w:szCs w:val="28"/>
        </w:rPr>
        <w:t>课程负责人：张勇</w:t>
      </w:r>
    </w:p>
    <w:p w:rsidR="008C3907" w:rsidRDefault="008C3907" w:rsidP="008C3907">
      <w:pPr>
        <w:spacing w:line="560" w:lineRule="exact"/>
        <w:ind w:firstLineChars="1200" w:firstLine="3360"/>
        <w:rPr>
          <w:rFonts w:ascii="仿宋" w:eastAsia="仿宋" w:hAnsi="仿宋"/>
          <w:sz w:val="28"/>
          <w:szCs w:val="28"/>
        </w:rPr>
      </w:pPr>
      <w:r>
        <w:rPr>
          <w:rFonts w:ascii="仿宋" w:eastAsia="仿宋" w:hAnsi="仿宋" w:hint="eastAsia"/>
          <w:sz w:val="28"/>
          <w:szCs w:val="28"/>
        </w:rPr>
        <w:t>审核人：</w:t>
      </w:r>
    </w:p>
    <w:p w:rsidR="008C3907" w:rsidRDefault="008C3907" w:rsidP="00C20406"/>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6058C6" w:rsidRDefault="006058C6" w:rsidP="008C3907">
      <w:pPr>
        <w:widowControl/>
        <w:spacing w:line="360" w:lineRule="auto"/>
        <w:jc w:val="center"/>
        <w:rPr>
          <w:rFonts w:ascii="方正小标宋简体" w:eastAsia="方正小标宋简体" w:hAnsi="宋体"/>
          <w:kern w:val="0"/>
          <w:szCs w:val="32"/>
        </w:rPr>
      </w:pPr>
    </w:p>
    <w:p w:rsidR="008C3907" w:rsidRDefault="008C3907" w:rsidP="008C3907">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Pr>
          <w:rFonts w:ascii="华文中宋" w:eastAsia="华文中宋" w:hAnsi="华文中宋" w:cs="华文中宋" w:hint="eastAsia"/>
          <w:b/>
          <w:sz w:val="28"/>
          <w:szCs w:val="28"/>
        </w:rPr>
        <w:t>安装计量与计价</w:t>
      </w:r>
      <w:r>
        <w:rPr>
          <w:rFonts w:ascii="方正小标宋简体" w:eastAsia="方正小标宋简体" w:hAnsi="宋体" w:hint="eastAsia"/>
          <w:kern w:val="0"/>
          <w:szCs w:val="32"/>
        </w:rPr>
        <w:t>》课程教学大纲</w:t>
      </w:r>
    </w:p>
    <w:p w:rsidR="008C3907" w:rsidRPr="006058C6" w:rsidRDefault="008C3907" w:rsidP="006058C6">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t>一、课程信息</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英文名称：</w:t>
      </w:r>
      <w:r w:rsidRPr="006058C6">
        <w:rPr>
          <w:rFonts w:ascii="仿宋_GB2312" w:hAnsi="仿宋_GB2312" w:cs="仿宋_GB2312"/>
          <w:bCs/>
          <w:sz w:val="28"/>
          <w:szCs w:val="28"/>
        </w:rPr>
        <w:t>Installation Engineering Measurement and Valuation</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课程编码：</w:t>
      </w:r>
      <w:r w:rsidRPr="006058C6">
        <w:rPr>
          <w:rFonts w:ascii="仿宋_GB2312" w:hAnsi="仿宋_GB2312" w:cs="仿宋_GB2312"/>
          <w:bCs/>
          <w:sz w:val="28"/>
          <w:szCs w:val="28"/>
        </w:rPr>
        <w:t>Z28072</w:t>
      </w:r>
      <w:r w:rsidRPr="006058C6">
        <w:rPr>
          <w:rFonts w:ascii="仿宋_GB2312" w:hAnsi="仿宋_GB2312" w:cs="仿宋_GB2312" w:hint="eastAsia"/>
          <w:bCs/>
          <w:sz w:val="28"/>
          <w:szCs w:val="28"/>
        </w:rPr>
        <w:t>30</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授课语言：汉语</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授课方式：线下</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课程类别：专业发展课程</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课程性质：选修</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学    分：2</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学    时：32学时（授课32，实验0，上机0，课外0）</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适用对象：工程造价专业</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先修课程：《建筑设备安装技术》及本专业主干专业技术课。</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开课院系：建工学院建筑环境与能源应用工程系</w:t>
      </w:r>
    </w:p>
    <w:p w:rsidR="008C3907" w:rsidRPr="006058C6" w:rsidRDefault="008C3907" w:rsidP="008C3907">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t>二、课程简介</w:t>
      </w:r>
    </w:p>
    <w:p w:rsidR="008C3907" w:rsidRPr="006058C6" w:rsidRDefault="008C3907" w:rsidP="006058C6">
      <w:pPr>
        <w:spacing w:line="360" w:lineRule="auto"/>
        <w:ind w:firstLine="331"/>
        <w:rPr>
          <w:rFonts w:ascii="仿宋_GB2312" w:hAnsi="仿宋_GB2312" w:cs="仿宋_GB2312"/>
          <w:bCs/>
          <w:sz w:val="28"/>
          <w:szCs w:val="28"/>
        </w:rPr>
      </w:pPr>
      <w:r>
        <w:rPr>
          <w:rFonts w:ascii="仿宋" w:eastAsia="仿宋" w:hAnsi="仿宋" w:hint="eastAsia"/>
          <w:sz w:val="28"/>
          <w:szCs w:val="28"/>
        </w:rPr>
        <w:t xml:space="preserve"> </w:t>
      </w:r>
      <w:r w:rsidRPr="006058C6">
        <w:rPr>
          <w:rFonts w:ascii="仿宋_GB2312" w:hAnsi="仿宋_GB2312" w:cs="仿宋_GB2312" w:hint="eastAsia"/>
          <w:bCs/>
          <w:sz w:val="28"/>
          <w:szCs w:val="28"/>
        </w:rPr>
        <w:t>《安装计量与计价》是工程造价专业学生的专业发展课程课，是一门综合性的课程，有较高的实用性，学生通过该课程学习了解和掌握安装工程造价、工程量清单计价等方面的基本知识。</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t>教学内容为工程量清单计价概论，工程费用结构，工程量清单计价的基础资料，工程量清单的编制及投标报价，给排水，采暖，燃气工程工程量清单计价，通风空调工程工程量清单计价等。</w:t>
      </w:r>
    </w:p>
    <w:p w:rsidR="008C3907" w:rsidRPr="006058C6" w:rsidRDefault="008C3907" w:rsidP="006058C6">
      <w:pPr>
        <w:spacing w:line="360" w:lineRule="auto"/>
        <w:ind w:firstLine="331"/>
        <w:rPr>
          <w:rFonts w:ascii="仿宋_GB2312" w:hAnsi="仿宋_GB2312" w:cs="仿宋_GB2312"/>
          <w:bCs/>
          <w:sz w:val="28"/>
          <w:szCs w:val="28"/>
        </w:rPr>
      </w:pPr>
      <w:r w:rsidRPr="006058C6">
        <w:rPr>
          <w:rFonts w:ascii="仿宋_GB2312" w:hAnsi="仿宋_GB2312" w:cs="仿宋_GB2312" w:hint="eastAsia"/>
          <w:bCs/>
          <w:sz w:val="28"/>
          <w:szCs w:val="28"/>
        </w:rPr>
        <w:lastRenderedPageBreak/>
        <w:t>教学方式采用PPT、板书、课后思考题和练习题等相结合进行授课。</w:t>
      </w:r>
    </w:p>
    <w:p w:rsidR="008C3907" w:rsidRPr="006058C6" w:rsidRDefault="008C3907" w:rsidP="006058C6">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t>三、课程任务、目标与要求</w:t>
      </w:r>
    </w:p>
    <w:p w:rsidR="008C3907" w:rsidRPr="006058C6" w:rsidRDefault="008C3907" w:rsidP="008C3907">
      <w:pPr>
        <w:spacing w:line="560" w:lineRule="exact"/>
        <w:ind w:firstLineChars="150" w:firstLine="420"/>
        <w:jc w:val="left"/>
        <w:rPr>
          <w:rFonts w:ascii="仿宋_GB2312" w:hAnsi="仿宋_GB2312" w:cs="仿宋_GB2312"/>
          <w:bCs/>
          <w:sz w:val="28"/>
          <w:szCs w:val="28"/>
        </w:rPr>
      </w:pPr>
      <w:r w:rsidRPr="006058C6">
        <w:rPr>
          <w:rFonts w:ascii="仿宋_GB2312" w:hAnsi="仿宋_GB2312" w:cs="仿宋_GB2312" w:hint="eastAsia"/>
          <w:bCs/>
          <w:sz w:val="28"/>
          <w:szCs w:val="28"/>
        </w:rPr>
        <w:t>1.课程任务</w:t>
      </w:r>
    </w:p>
    <w:p w:rsidR="008C3907" w:rsidRPr="006058C6" w:rsidRDefault="008C3907" w:rsidP="008C3907">
      <w:pPr>
        <w:spacing w:line="560" w:lineRule="exact"/>
        <w:ind w:firstLineChars="150" w:firstLine="420"/>
        <w:jc w:val="left"/>
        <w:rPr>
          <w:rFonts w:ascii="仿宋_GB2312" w:hAnsi="仿宋_GB2312" w:cs="仿宋_GB2312"/>
          <w:bCs/>
          <w:sz w:val="28"/>
          <w:szCs w:val="28"/>
        </w:rPr>
      </w:pPr>
      <w:r w:rsidRPr="006058C6">
        <w:rPr>
          <w:rFonts w:ascii="仿宋_GB2312" w:hAnsi="仿宋_GB2312" w:cs="仿宋_GB2312" w:hint="eastAsia"/>
          <w:bCs/>
          <w:sz w:val="28"/>
          <w:szCs w:val="28"/>
        </w:rPr>
        <w:t>《安装计量与计价》课程是工程造价专业学生的专业发展课程课，通过这门课程学习使学生学习了解和掌握安装工程造价、工程量清单计价等方面的基本知识。对安装工程计量与计价有一个总体概念，认识和了解。</w:t>
      </w:r>
    </w:p>
    <w:p w:rsidR="008C3907" w:rsidRPr="006058C6" w:rsidRDefault="008C3907" w:rsidP="008C3907">
      <w:pPr>
        <w:spacing w:line="560" w:lineRule="exact"/>
        <w:ind w:firstLineChars="150" w:firstLine="420"/>
        <w:jc w:val="left"/>
        <w:rPr>
          <w:rFonts w:ascii="仿宋_GB2312" w:hAnsi="仿宋_GB2312" w:cs="仿宋_GB2312"/>
          <w:bCs/>
          <w:sz w:val="28"/>
          <w:szCs w:val="28"/>
        </w:rPr>
      </w:pPr>
      <w:r w:rsidRPr="006058C6">
        <w:rPr>
          <w:rFonts w:ascii="仿宋_GB2312" w:hAnsi="仿宋_GB2312" w:cs="仿宋_GB2312" w:hint="eastAsia"/>
          <w:bCs/>
          <w:sz w:val="28"/>
          <w:szCs w:val="28"/>
        </w:rPr>
        <w:t>通过安装计量与计价的学习，应掌握安装工程的基本原理和方法。掌握安装工程造价，工程量清单计价确定的基本方法。</w:t>
      </w:r>
    </w:p>
    <w:p w:rsidR="008C3907" w:rsidRPr="006058C6" w:rsidRDefault="008C3907" w:rsidP="008C3907">
      <w:pPr>
        <w:spacing w:line="560" w:lineRule="exact"/>
        <w:ind w:firstLineChars="150" w:firstLine="420"/>
        <w:jc w:val="left"/>
        <w:rPr>
          <w:rFonts w:ascii="仿宋_GB2312" w:hAnsi="仿宋_GB2312" w:cs="仿宋_GB2312"/>
          <w:bCs/>
          <w:sz w:val="28"/>
          <w:szCs w:val="28"/>
        </w:rPr>
      </w:pPr>
      <w:r w:rsidRPr="006058C6">
        <w:rPr>
          <w:rFonts w:ascii="仿宋_GB2312" w:hAnsi="仿宋_GB2312" w:cs="仿宋_GB2312" w:hint="eastAsia"/>
          <w:bCs/>
          <w:sz w:val="28"/>
          <w:szCs w:val="28"/>
        </w:rPr>
        <w:t>2.课程基本要求</w:t>
      </w:r>
    </w:p>
    <w:p w:rsidR="008C3907" w:rsidRPr="006058C6" w:rsidRDefault="008C3907" w:rsidP="008C3907">
      <w:pPr>
        <w:spacing w:line="560" w:lineRule="exact"/>
        <w:ind w:firstLine="331"/>
        <w:rPr>
          <w:rFonts w:ascii="仿宋_GB2312" w:hAnsi="仿宋_GB2312" w:cs="仿宋_GB2312"/>
          <w:bCs/>
          <w:sz w:val="28"/>
          <w:szCs w:val="28"/>
        </w:rPr>
      </w:pPr>
      <w:r w:rsidRPr="006058C6">
        <w:rPr>
          <w:rFonts w:ascii="仿宋_GB2312" w:hAnsi="仿宋_GB2312" w:cs="仿宋_GB2312" w:hint="eastAsia"/>
          <w:bCs/>
          <w:sz w:val="28"/>
          <w:szCs w:val="28"/>
        </w:rPr>
        <w:t xml:space="preserve">2.1课程目标 </w:t>
      </w:r>
    </w:p>
    <w:p w:rsidR="008C3907" w:rsidRPr="006058C6" w:rsidRDefault="008C3907" w:rsidP="008C3907">
      <w:pPr>
        <w:spacing w:line="560" w:lineRule="exact"/>
        <w:ind w:firstLineChars="100" w:firstLine="280"/>
        <w:rPr>
          <w:rFonts w:ascii="仿宋_GB2312" w:hAnsi="仿宋_GB2312" w:cs="仿宋_GB2312"/>
          <w:bCs/>
          <w:sz w:val="28"/>
          <w:szCs w:val="28"/>
        </w:rPr>
      </w:pPr>
      <w:r w:rsidRPr="006058C6">
        <w:rPr>
          <w:rFonts w:ascii="仿宋_GB2312" w:hAnsi="仿宋_GB2312" w:cs="仿宋_GB2312" w:hint="eastAsia"/>
          <w:bCs/>
          <w:sz w:val="28"/>
          <w:szCs w:val="28"/>
        </w:rPr>
        <w:t>课程目标：《安装计量与计价》课程学习完毕后对安装工程定额模式的计价与计量，工程量清单模式的计价与计量有较强实用性。</w:t>
      </w:r>
    </w:p>
    <w:p w:rsidR="008C3907" w:rsidRPr="006058C6" w:rsidRDefault="008C3907" w:rsidP="008C3907">
      <w:pPr>
        <w:spacing w:line="560" w:lineRule="exact"/>
        <w:ind w:firstLineChars="100" w:firstLine="280"/>
        <w:rPr>
          <w:rFonts w:ascii="仿宋_GB2312" w:hAnsi="仿宋_GB2312" w:cs="仿宋_GB2312"/>
          <w:bCs/>
          <w:sz w:val="28"/>
          <w:szCs w:val="28"/>
        </w:rPr>
      </w:pPr>
      <w:r w:rsidRPr="006058C6">
        <w:rPr>
          <w:rFonts w:ascii="仿宋_GB2312" w:hAnsi="仿宋_GB2312" w:cs="仿宋_GB2312" w:hint="eastAsia"/>
          <w:bCs/>
          <w:sz w:val="28"/>
          <w:szCs w:val="28"/>
        </w:rPr>
        <w:t xml:space="preserve">2.2课程目标与毕业要求之间的对应关系 </w:t>
      </w:r>
    </w:p>
    <w:p w:rsidR="008C3907" w:rsidRPr="006058C6" w:rsidRDefault="008C3907" w:rsidP="008C3907">
      <w:pPr>
        <w:spacing w:line="560" w:lineRule="exact"/>
        <w:ind w:firstLineChars="100" w:firstLine="280"/>
        <w:rPr>
          <w:rFonts w:ascii="仿宋_GB2312" w:hAnsi="仿宋_GB2312" w:cs="仿宋_GB2312"/>
          <w:bCs/>
          <w:sz w:val="28"/>
          <w:szCs w:val="28"/>
        </w:rPr>
      </w:pPr>
      <w:r w:rsidRPr="006058C6">
        <w:rPr>
          <w:rFonts w:ascii="仿宋_GB2312" w:hAnsi="仿宋_GB2312" w:cs="仿宋_GB2312" w:hint="eastAsia"/>
          <w:bCs/>
          <w:sz w:val="28"/>
          <w:szCs w:val="28"/>
        </w:rPr>
        <w:t>具备相关专业的技术能力，从事相关领域的设计咨询及施工安装，能够成为设计，科研团队的技术骨干。</w:t>
      </w:r>
    </w:p>
    <w:p w:rsidR="008C3907" w:rsidRPr="006058C6" w:rsidRDefault="008C3907" w:rsidP="008C3907">
      <w:pPr>
        <w:spacing w:line="560" w:lineRule="exact"/>
        <w:ind w:firstLine="331"/>
        <w:rPr>
          <w:rFonts w:ascii="仿宋_GB2312" w:hAnsi="仿宋_GB2312" w:cs="仿宋_GB2312"/>
          <w:bCs/>
          <w:sz w:val="28"/>
          <w:szCs w:val="28"/>
        </w:rPr>
      </w:pPr>
      <w:r w:rsidRPr="006058C6">
        <w:rPr>
          <w:rFonts w:ascii="仿宋_GB2312" w:hAnsi="仿宋_GB2312" w:cs="仿宋_GB2312" w:hint="eastAsia"/>
          <w:bCs/>
          <w:sz w:val="28"/>
          <w:szCs w:val="28"/>
        </w:rPr>
        <w:t>3. 够课程的重点、难点</w:t>
      </w:r>
    </w:p>
    <w:p w:rsidR="008C3907" w:rsidRPr="006058C6" w:rsidRDefault="008C3907" w:rsidP="008C3907">
      <w:pPr>
        <w:spacing w:line="560" w:lineRule="exact"/>
        <w:ind w:firstLine="331"/>
        <w:rPr>
          <w:rFonts w:ascii="仿宋_GB2312" w:hAnsi="仿宋_GB2312" w:cs="仿宋_GB2312"/>
          <w:bCs/>
          <w:sz w:val="28"/>
          <w:szCs w:val="28"/>
        </w:rPr>
      </w:pPr>
      <w:r w:rsidRPr="006058C6">
        <w:rPr>
          <w:rFonts w:ascii="仿宋_GB2312" w:hAnsi="仿宋_GB2312" w:cs="仿宋_GB2312" w:hint="eastAsia"/>
          <w:bCs/>
          <w:sz w:val="28"/>
          <w:szCs w:val="28"/>
        </w:rPr>
        <w:t>工程费用结构，工程量清单计价的基础资料，工程量清单的编制及投标报价，给排水，采暖，燃气工程工程量清单计价，通风空调工程工程量清单计价</w:t>
      </w:r>
    </w:p>
    <w:p w:rsidR="008C3907" w:rsidRPr="006058C6" w:rsidRDefault="008C3907" w:rsidP="008C3907">
      <w:pPr>
        <w:spacing w:line="560" w:lineRule="exact"/>
        <w:ind w:firstLine="331"/>
        <w:rPr>
          <w:rFonts w:ascii="仿宋_GB2312" w:hAnsi="仿宋_GB2312" w:cs="仿宋_GB2312"/>
          <w:bCs/>
          <w:sz w:val="28"/>
          <w:szCs w:val="28"/>
        </w:rPr>
      </w:pPr>
      <w:r w:rsidRPr="006058C6">
        <w:rPr>
          <w:rFonts w:ascii="仿宋_GB2312" w:hAnsi="仿宋_GB2312" w:cs="仿宋_GB2312" w:hint="eastAsia"/>
          <w:bCs/>
          <w:sz w:val="28"/>
          <w:szCs w:val="28"/>
        </w:rPr>
        <w:t>4. 课程思政设计</w:t>
      </w:r>
    </w:p>
    <w:p w:rsidR="008C3907" w:rsidRPr="006058C6" w:rsidRDefault="008C3907" w:rsidP="008C3907">
      <w:pPr>
        <w:spacing w:line="560" w:lineRule="exact"/>
        <w:rPr>
          <w:rFonts w:ascii="仿宋_GB2312" w:hAnsi="仿宋_GB2312" w:cs="仿宋_GB2312"/>
          <w:bCs/>
          <w:sz w:val="28"/>
          <w:szCs w:val="28"/>
        </w:rPr>
      </w:pPr>
      <w:r w:rsidRPr="006058C6">
        <w:rPr>
          <w:rFonts w:ascii="仿宋_GB2312" w:hAnsi="仿宋_GB2312" w:cs="仿宋_GB2312" w:hint="eastAsia"/>
          <w:bCs/>
          <w:sz w:val="28"/>
          <w:szCs w:val="28"/>
        </w:rPr>
        <w:t>通过对安装计量与计价中所涉及的内容及应用，并融入到相关章节中进行合理的运用和挖掘。</w:t>
      </w:r>
    </w:p>
    <w:p w:rsidR="008C3907" w:rsidRPr="006058C6" w:rsidRDefault="008C3907" w:rsidP="008C3907">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lastRenderedPageBreak/>
        <w:t>四、教学内容安排</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136"/>
        <w:gridCol w:w="1380"/>
        <w:gridCol w:w="3366"/>
        <w:gridCol w:w="3188"/>
      </w:tblGrid>
      <w:tr w:rsidR="008C3907" w:rsidTr="008C3907">
        <w:trPr>
          <w:cantSplit/>
          <w:trHeight w:val="661"/>
        </w:trPr>
        <w:tc>
          <w:tcPr>
            <w:tcW w:w="532" w:type="dxa"/>
            <w:vAlign w:val="center"/>
          </w:tcPr>
          <w:p w:rsidR="008C3907" w:rsidRPr="006058C6" w:rsidRDefault="008C3907" w:rsidP="008C3907">
            <w:pPr>
              <w:spacing w:line="560" w:lineRule="exact"/>
              <w:jc w:val="center"/>
              <w:rPr>
                <w:rFonts w:ascii="仿宋_GB2312" w:hAnsi="仿宋_GB2312" w:cs="仿宋_GB2312"/>
                <w:b/>
                <w:bCs/>
                <w:sz w:val="24"/>
                <w:szCs w:val="24"/>
              </w:rPr>
            </w:pPr>
            <w:r w:rsidRPr="006058C6">
              <w:rPr>
                <w:rFonts w:ascii="仿宋_GB2312" w:hAnsi="仿宋_GB2312" w:cs="仿宋_GB2312" w:hint="eastAsia"/>
                <w:b/>
                <w:bCs/>
                <w:sz w:val="24"/>
                <w:szCs w:val="24"/>
              </w:rPr>
              <w:t>序号</w:t>
            </w:r>
          </w:p>
        </w:tc>
        <w:tc>
          <w:tcPr>
            <w:tcW w:w="1136" w:type="dxa"/>
            <w:vAlign w:val="center"/>
          </w:tcPr>
          <w:p w:rsidR="008C3907" w:rsidRPr="006058C6" w:rsidRDefault="008C3907" w:rsidP="008C3907">
            <w:pPr>
              <w:spacing w:line="560" w:lineRule="exact"/>
              <w:jc w:val="center"/>
              <w:rPr>
                <w:rFonts w:ascii="仿宋_GB2312" w:hAnsi="仿宋_GB2312" w:cs="仿宋_GB2312"/>
                <w:b/>
                <w:bCs/>
                <w:sz w:val="24"/>
                <w:szCs w:val="24"/>
              </w:rPr>
            </w:pPr>
            <w:r w:rsidRPr="006058C6">
              <w:rPr>
                <w:rFonts w:ascii="仿宋_GB2312" w:hAnsi="仿宋_GB2312" w:cs="仿宋_GB2312" w:hint="eastAsia"/>
                <w:b/>
                <w:bCs/>
                <w:sz w:val="24"/>
                <w:szCs w:val="24"/>
              </w:rPr>
              <w:t>章  节</w:t>
            </w:r>
          </w:p>
        </w:tc>
        <w:tc>
          <w:tcPr>
            <w:tcW w:w="1380" w:type="dxa"/>
            <w:vAlign w:val="center"/>
          </w:tcPr>
          <w:p w:rsidR="008C3907" w:rsidRPr="006058C6" w:rsidRDefault="008C3907" w:rsidP="008C3907">
            <w:pPr>
              <w:spacing w:line="560" w:lineRule="exact"/>
              <w:rPr>
                <w:rFonts w:ascii="仿宋_GB2312" w:hAnsi="仿宋_GB2312" w:cs="仿宋_GB2312"/>
                <w:b/>
                <w:bCs/>
                <w:sz w:val="24"/>
                <w:szCs w:val="24"/>
              </w:rPr>
            </w:pPr>
            <w:r w:rsidRPr="006058C6">
              <w:rPr>
                <w:rFonts w:ascii="仿宋_GB2312" w:hAnsi="仿宋_GB2312" w:cs="仿宋_GB2312" w:hint="eastAsia"/>
                <w:b/>
                <w:bCs/>
                <w:sz w:val="24"/>
                <w:szCs w:val="24"/>
              </w:rPr>
              <w:t>参考学时</w:t>
            </w:r>
          </w:p>
        </w:tc>
        <w:tc>
          <w:tcPr>
            <w:tcW w:w="3366" w:type="dxa"/>
            <w:vAlign w:val="center"/>
          </w:tcPr>
          <w:p w:rsidR="008C3907" w:rsidRPr="006058C6" w:rsidRDefault="008C3907" w:rsidP="008C3907">
            <w:pPr>
              <w:spacing w:line="560" w:lineRule="exact"/>
              <w:ind w:firstLineChars="150" w:firstLine="361"/>
              <w:rPr>
                <w:rFonts w:ascii="仿宋_GB2312" w:hAnsi="仿宋_GB2312" w:cs="仿宋_GB2312"/>
                <w:b/>
                <w:bCs/>
                <w:sz w:val="24"/>
                <w:szCs w:val="24"/>
              </w:rPr>
            </w:pPr>
            <w:r w:rsidRPr="006058C6">
              <w:rPr>
                <w:rFonts w:ascii="仿宋_GB2312" w:hAnsi="仿宋_GB2312" w:cs="仿宋_GB2312" w:hint="eastAsia"/>
                <w:b/>
                <w:bCs/>
                <w:sz w:val="24"/>
                <w:szCs w:val="24"/>
              </w:rPr>
              <w:t>教学内容</w:t>
            </w:r>
          </w:p>
        </w:tc>
        <w:tc>
          <w:tcPr>
            <w:tcW w:w="3188" w:type="dxa"/>
            <w:vAlign w:val="center"/>
          </w:tcPr>
          <w:p w:rsidR="008C3907" w:rsidRPr="006058C6" w:rsidRDefault="008C3907" w:rsidP="008C3907">
            <w:pPr>
              <w:spacing w:line="560" w:lineRule="exact"/>
              <w:jc w:val="center"/>
              <w:rPr>
                <w:rFonts w:ascii="仿宋_GB2312" w:hAnsi="仿宋_GB2312" w:cs="仿宋_GB2312"/>
                <w:b/>
                <w:bCs/>
                <w:sz w:val="24"/>
                <w:szCs w:val="24"/>
              </w:rPr>
            </w:pPr>
            <w:r w:rsidRPr="006058C6">
              <w:rPr>
                <w:rFonts w:ascii="仿宋_GB2312" w:hAnsi="仿宋_GB2312" w:cs="仿宋_GB2312" w:hint="eastAsia"/>
                <w:b/>
                <w:bCs/>
                <w:sz w:val="24"/>
                <w:szCs w:val="24"/>
              </w:rPr>
              <w:t>基本要求</w:t>
            </w:r>
          </w:p>
        </w:tc>
      </w:tr>
      <w:tr w:rsidR="008C3907" w:rsidTr="008C3907">
        <w:trPr>
          <w:trHeight w:val="1415"/>
        </w:trPr>
        <w:tc>
          <w:tcPr>
            <w:tcW w:w="532"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1</w:t>
            </w:r>
          </w:p>
        </w:tc>
        <w:tc>
          <w:tcPr>
            <w:tcW w:w="113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第一章</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工程量清单计价 概 述</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2</w:t>
            </w:r>
          </w:p>
        </w:tc>
        <w:tc>
          <w:tcPr>
            <w:tcW w:w="3366" w:type="dxa"/>
            <w:vAlign w:val="center"/>
          </w:tcPr>
          <w:p w:rsidR="008C3907" w:rsidRPr="006058C6" w:rsidRDefault="008C3907" w:rsidP="005F6318">
            <w:pPr>
              <w:numPr>
                <w:ilvl w:val="1"/>
                <w:numId w:val="24"/>
              </w:num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工程造价的产生与发展   1.2 国际工程造价管理模式</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1.3 我国工程造价管理综述</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1.4工程量清单计价规范</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1、了解工程造价。</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2、掌握工程量清单计价规范。</w:t>
            </w:r>
          </w:p>
        </w:tc>
      </w:tr>
      <w:tr w:rsidR="008C3907" w:rsidTr="008C3907">
        <w:trPr>
          <w:trHeight w:val="90"/>
        </w:trPr>
        <w:tc>
          <w:tcPr>
            <w:tcW w:w="532" w:type="dxa"/>
            <w:vAlign w:val="center"/>
          </w:tcPr>
          <w:p w:rsidR="008C3907" w:rsidRPr="006058C6" w:rsidRDefault="008C3907" w:rsidP="008C3907">
            <w:pPr>
              <w:spacing w:line="560" w:lineRule="exact"/>
              <w:rPr>
                <w:rFonts w:ascii="仿宋_GB2312" w:hAnsi="仿宋_GB2312" w:cs="仿宋_GB2312"/>
                <w:bCs/>
                <w:sz w:val="24"/>
                <w:szCs w:val="24"/>
              </w:rPr>
            </w:pP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w:t>
            </w:r>
          </w:p>
        </w:tc>
        <w:tc>
          <w:tcPr>
            <w:tcW w:w="1136"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第二章</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工程费用结构</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6</w:t>
            </w:r>
          </w:p>
        </w:tc>
        <w:tc>
          <w:tcPr>
            <w:tcW w:w="336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2.1 我国工程项目投资构成</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2.2定额计价模式下的建筑安装工程费用组成</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2.3工程量清单计价模式下的费用构成</w:t>
            </w:r>
          </w:p>
          <w:p w:rsidR="008C3907" w:rsidRPr="006058C6" w:rsidRDefault="008C3907" w:rsidP="008C3907">
            <w:pPr>
              <w:spacing w:line="560" w:lineRule="exact"/>
              <w:ind w:left="960" w:hangingChars="400" w:hanging="960"/>
              <w:rPr>
                <w:rFonts w:ascii="仿宋_GB2312" w:hAnsi="仿宋_GB2312" w:cs="仿宋_GB2312"/>
                <w:bCs/>
                <w:sz w:val="24"/>
                <w:szCs w:val="24"/>
              </w:rPr>
            </w:pPr>
            <w:r w:rsidRPr="006058C6">
              <w:rPr>
                <w:rFonts w:ascii="仿宋_GB2312" w:hAnsi="仿宋_GB2312" w:cs="仿宋_GB2312" w:hint="eastAsia"/>
                <w:bCs/>
                <w:sz w:val="24"/>
                <w:szCs w:val="24"/>
              </w:rPr>
              <w:t>2.4《江苏省建设工程费用构成》（2009）</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1、掌握定额计价模式下的建筑安装工程费用组成。</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2、掌握工程量清单计价模式下的费用构成。</w:t>
            </w:r>
          </w:p>
          <w:p w:rsidR="008C3907" w:rsidRPr="006058C6" w:rsidRDefault="008C3907" w:rsidP="008C3907">
            <w:pPr>
              <w:spacing w:line="560" w:lineRule="exact"/>
              <w:rPr>
                <w:rFonts w:ascii="仿宋_GB2312" w:hAnsi="仿宋_GB2312" w:cs="仿宋_GB2312"/>
                <w:bCs/>
                <w:sz w:val="24"/>
                <w:szCs w:val="24"/>
              </w:rPr>
            </w:pPr>
          </w:p>
        </w:tc>
      </w:tr>
      <w:tr w:rsidR="008C3907" w:rsidTr="008C3907">
        <w:trPr>
          <w:trHeight w:val="1554"/>
        </w:trPr>
        <w:tc>
          <w:tcPr>
            <w:tcW w:w="532"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3</w:t>
            </w:r>
          </w:p>
        </w:tc>
        <w:tc>
          <w:tcPr>
            <w:tcW w:w="1136"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第三章</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工程量清单计价的基础资料</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4</w:t>
            </w:r>
          </w:p>
        </w:tc>
        <w:tc>
          <w:tcPr>
            <w:tcW w:w="336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3.1建筑安装工程定额</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3.2施工资源的价格</w:t>
            </w:r>
          </w:p>
          <w:p w:rsidR="008C3907" w:rsidRPr="006058C6" w:rsidRDefault="008C3907" w:rsidP="008C3907">
            <w:pPr>
              <w:spacing w:line="560" w:lineRule="exact"/>
              <w:ind w:left="960" w:hangingChars="400" w:hanging="960"/>
              <w:rPr>
                <w:rFonts w:ascii="仿宋_GB2312" w:hAnsi="仿宋_GB2312" w:cs="仿宋_GB2312"/>
                <w:bCs/>
                <w:sz w:val="24"/>
                <w:szCs w:val="24"/>
              </w:rPr>
            </w:pPr>
            <w:r w:rsidRPr="006058C6">
              <w:rPr>
                <w:rFonts w:ascii="仿宋_GB2312" w:hAnsi="仿宋_GB2312" w:cs="仿宋_GB2312" w:hint="eastAsia"/>
                <w:bCs/>
                <w:sz w:val="24"/>
                <w:szCs w:val="24"/>
              </w:rPr>
              <w:t>3.3企业定额</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1、掌握建筑安装工程定额。</w:t>
            </w:r>
          </w:p>
          <w:p w:rsidR="008C3907" w:rsidRPr="006058C6" w:rsidRDefault="008C3907" w:rsidP="008C3907">
            <w:pPr>
              <w:tabs>
                <w:tab w:val="right" w:pos="2972"/>
              </w:tabs>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2、了解施工资源的价格。</w:t>
            </w:r>
          </w:p>
        </w:tc>
      </w:tr>
      <w:tr w:rsidR="008C3907" w:rsidTr="008C3907">
        <w:trPr>
          <w:trHeight w:val="1218"/>
        </w:trPr>
        <w:tc>
          <w:tcPr>
            <w:tcW w:w="532"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4</w:t>
            </w:r>
          </w:p>
        </w:tc>
        <w:tc>
          <w:tcPr>
            <w:tcW w:w="1136"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 xml:space="preserve">第四章 </w:t>
            </w:r>
          </w:p>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工程量清单编制及投</w:t>
            </w:r>
            <w:r w:rsidRPr="006058C6">
              <w:rPr>
                <w:rFonts w:ascii="仿宋_GB2312" w:hAnsi="仿宋_GB2312" w:cs="仿宋_GB2312" w:hint="eastAsia"/>
                <w:bCs/>
                <w:sz w:val="24"/>
                <w:szCs w:val="24"/>
              </w:rPr>
              <w:lastRenderedPageBreak/>
              <w:t xml:space="preserve">标报价                </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lastRenderedPageBreak/>
              <w:t>4</w:t>
            </w:r>
          </w:p>
        </w:tc>
        <w:tc>
          <w:tcPr>
            <w:tcW w:w="336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4.1工程量清单的编制</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4.2投标报价</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了解工程量清单的编制和报价</w:t>
            </w:r>
          </w:p>
        </w:tc>
      </w:tr>
      <w:tr w:rsidR="008C3907" w:rsidTr="008C3907">
        <w:trPr>
          <w:trHeight w:val="1157"/>
        </w:trPr>
        <w:tc>
          <w:tcPr>
            <w:tcW w:w="532"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5</w:t>
            </w:r>
          </w:p>
        </w:tc>
        <w:tc>
          <w:tcPr>
            <w:tcW w:w="1136"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第五章</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给排水采暖燃气工程工程量清单计价</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8</w:t>
            </w:r>
          </w:p>
        </w:tc>
        <w:tc>
          <w:tcPr>
            <w:tcW w:w="336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5.1概述</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5.2给排水采暖燃气管道安装</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5.3支架附件制作安装</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5.4卫生器具制作安装</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5.5供暖器具安装</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5.6燃气器具安装</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1、熟悉各类管道安装。</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2、掌握工程量清单综合单价的确定。</w:t>
            </w:r>
          </w:p>
        </w:tc>
      </w:tr>
      <w:tr w:rsidR="008C3907" w:rsidTr="008C3907">
        <w:trPr>
          <w:trHeight w:val="990"/>
        </w:trPr>
        <w:tc>
          <w:tcPr>
            <w:tcW w:w="532"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6</w:t>
            </w:r>
          </w:p>
        </w:tc>
        <w:tc>
          <w:tcPr>
            <w:tcW w:w="113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第六章</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通风空调工程工程量清单计价</w:t>
            </w:r>
          </w:p>
        </w:tc>
        <w:tc>
          <w:tcPr>
            <w:tcW w:w="1380" w:type="dxa"/>
            <w:vAlign w:val="center"/>
          </w:tcPr>
          <w:p w:rsidR="008C3907" w:rsidRPr="006058C6" w:rsidRDefault="008C3907" w:rsidP="008C3907">
            <w:pPr>
              <w:spacing w:line="560" w:lineRule="exact"/>
              <w:jc w:val="center"/>
              <w:rPr>
                <w:rFonts w:ascii="仿宋_GB2312" w:hAnsi="仿宋_GB2312" w:cs="仿宋_GB2312"/>
                <w:bCs/>
                <w:sz w:val="24"/>
                <w:szCs w:val="24"/>
              </w:rPr>
            </w:pPr>
            <w:r w:rsidRPr="006058C6">
              <w:rPr>
                <w:rFonts w:ascii="仿宋_GB2312" w:hAnsi="仿宋_GB2312" w:cs="仿宋_GB2312" w:hint="eastAsia"/>
                <w:bCs/>
                <w:sz w:val="24"/>
                <w:szCs w:val="24"/>
              </w:rPr>
              <w:t>8</w:t>
            </w:r>
          </w:p>
        </w:tc>
        <w:tc>
          <w:tcPr>
            <w:tcW w:w="3366"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6.1概述</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6.2通风空调设备及部件制作安装</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6.3通风管道制作安装</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6.4通风管道部件制作安装</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6.5通风工程检测调试</w:t>
            </w:r>
          </w:p>
        </w:tc>
        <w:tc>
          <w:tcPr>
            <w:tcW w:w="3188" w:type="dxa"/>
            <w:vAlign w:val="center"/>
          </w:tcPr>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1、熟悉通风空调设备及部件制作安装。</w:t>
            </w:r>
          </w:p>
          <w:p w:rsidR="008C3907" w:rsidRPr="006058C6" w:rsidRDefault="008C3907" w:rsidP="008C3907">
            <w:pPr>
              <w:spacing w:line="560" w:lineRule="exact"/>
              <w:rPr>
                <w:rFonts w:ascii="仿宋_GB2312" w:hAnsi="仿宋_GB2312" w:cs="仿宋_GB2312"/>
                <w:bCs/>
                <w:sz w:val="24"/>
                <w:szCs w:val="24"/>
              </w:rPr>
            </w:pPr>
            <w:r w:rsidRPr="006058C6">
              <w:rPr>
                <w:rFonts w:ascii="仿宋_GB2312" w:hAnsi="仿宋_GB2312" w:cs="仿宋_GB2312" w:hint="eastAsia"/>
                <w:bCs/>
                <w:sz w:val="24"/>
                <w:szCs w:val="24"/>
              </w:rPr>
              <w:t>2、掌握工程量清单综合单价的确定。</w:t>
            </w:r>
          </w:p>
        </w:tc>
      </w:tr>
    </w:tbl>
    <w:p w:rsidR="008C3907" w:rsidRPr="006058C6" w:rsidRDefault="008C3907" w:rsidP="008C3907">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t>五、课程考核方式与成绩评定</w:t>
      </w:r>
    </w:p>
    <w:p w:rsidR="008C3907" w:rsidRPr="006058C6" w:rsidRDefault="008C3907" w:rsidP="006058C6">
      <w:pPr>
        <w:spacing w:line="560" w:lineRule="exact"/>
        <w:ind w:firstLine="331"/>
        <w:rPr>
          <w:rFonts w:ascii="仿宋_GB2312" w:hAnsi="仿宋_GB2312" w:cs="仿宋_GB2312"/>
          <w:bCs/>
          <w:sz w:val="28"/>
          <w:szCs w:val="28"/>
        </w:rPr>
      </w:pPr>
      <w:r w:rsidRPr="006058C6">
        <w:rPr>
          <w:rFonts w:ascii="仿宋_GB2312" w:hAnsi="仿宋_GB2312" w:cs="仿宋_GB2312" w:hint="eastAsia"/>
          <w:bCs/>
          <w:sz w:val="28"/>
          <w:szCs w:val="28"/>
        </w:rPr>
        <w:t>1. 课程考核：本课程不设课外学时，《安装计量与计价》涉及知识面较广，建议学生复习已学知识，并在学习过程中联系、理解、运用，通过思考题、练习题和作业来巩固提高。采用平时成绩+期末考试方式确定总评成绩。其中平时成绩考核包括作业、讨论、出勤等内容，期末考试采用闭卷方式。平时成绩占20%，期末考试成绩占80%。</w:t>
      </w:r>
    </w:p>
    <w:p w:rsidR="008C3907" w:rsidRPr="006058C6" w:rsidRDefault="006058C6" w:rsidP="006058C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2</w:t>
      </w:r>
      <w:r>
        <w:rPr>
          <w:rFonts w:ascii="仿宋_GB2312" w:hAnsi="仿宋_GB2312" w:cs="仿宋_GB2312"/>
          <w:bCs/>
          <w:sz w:val="28"/>
          <w:szCs w:val="28"/>
        </w:rPr>
        <w:t xml:space="preserve">. </w:t>
      </w:r>
      <w:r w:rsidR="008C3907" w:rsidRPr="006058C6">
        <w:rPr>
          <w:rFonts w:ascii="仿宋_GB2312" w:hAnsi="仿宋_GB2312" w:cs="仿宋_GB2312" w:hint="eastAsia"/>
          <w:bCs/>
          <w:sz w:val="28"/>
          <w:szCs w:val="28"/>
        </w:rPr>
        <w:t>成绩评定</w:t>
      </w:r>
    </w:p>
    <w:p w:rsidR="008C3907" w:rsidRPr="006058C6" w:rsidRDefault="008C3907" w:rsidP="006058C6">
      <w:pPr>
        <w:spacing w:line="560" w:lineRule="exact"/>
        <w:ind w:firstLine="331"/>
        <w:rPr>
          <w:rFonts w:ascii="仿宋_GB2312" w:hAnsi="仿宋_GB2312" w:cs="仿宋_GB2312"/>
          <w:bCs/>
          <w:sz w:val="28"/>
          <w:szCs w:val="28"/>
        </w:rPr>
      </w:pPr>
      <w:r w:rsidRPr="006058C6">
        <w:rPr>
          <w:rFonts w:ascii="仿宋_GB2312" w:hAnsi="仿宋_GB2312" w:cs="仿宋_GB2312" w:hint="eastAsia"/>
          <w:bCs/>
          <w:sz w:val="28"/>
          <w:szCs w:val="28"/>
        </w:rPr>
        <w:t>课程考核后，需要对课程达成度进行评价，统计课程考核数据，以便及时了解课程的达成效果，并为毕业要求达成度的评价提供基础数</w:t>
      </w:r>
      <w:r w:rsidRPr="006058C6">
        <w:rPr>
          <w:rFonts w:ascii="仿宋_GB2312" w:hAnsi="仿宋_GB2312" w:cs="仿宋_GB2312" w:hint="eastAsia"/>
          <w:bCs/>
          <w:sz w:val="28"/>
          <w:szCs w:val="28"/>
        </w:rPr>
        <w:lastRenderedPageBreak/>
        <w:t>据。</w:t>
      </w:r>
    </w:p>
    <w:p w:rsidR="008C3907" w:rsidRPr="006058C6" w:rsidRDefault="008C3907" w:rsidP="006058C6">
      <w:pPr>
        <w:spacing w:line="560" w:lineRule="exact"/>
        <w:ind w:firstLine="331"/>
        <w:rPr>
          <w:rFonts w:ascii="仿宋_GB2312" w:hAnsi="仿宋_GB2312" w:cs="仿宋_GB2312"/>
          <w:bCs/>
          <w:sz w:val="28"/>
          <w:szCs w:val="28"/>
        </w:rPr>
      </w:pPr>
      <w:r w:rsidRPr="006058C6">
        <w:rPr>
          <w:rFonts w:ascii="仿宋_GB2312" w:hAnsi="仿宋_GB2312" w:cs="仿宋_GB2312" w:hint="eastAsia"/>
          <w:bCs/>
          <w:sz w:val="28"/>
          <w:szCs w:val="28"/>
        </w:rPr>
        <w:t>课程达成度的具体评价方法：达成度评价对象：参与本课程考核的班级全部学生；统计课程考核数据，及时了解课程达成效果，发现问题并进行改进，为毕业要求达成度的评价提供基础数据。</w:t>
      </w:r>
    </w:p>
    <w:p w:rsidR="006058C6" w:rsidRDefault="008C3907" w:rsidP="006058C6">
      <w:pPr>
        <w:spacing w:line="560" w:lineRule="exact"/>
        <w:ind w:firstLine="331"/>
        <w:rPr>
          <w:rFonts w:ascii="仿宋_GB2312" w:hAnsi="仿宋_GB2312" w:cs="仿宋_GB2312"/>
          <w:bCs/>
        </w:rPr>
      </w:pPr>
      <w:r w:rsidRPr="006058C6">
        <w:rPr>
          <w:rFonts w:ascii="仿宋_GB2312" w:hAnsi="仿宋_GB2312" w:cs="仿宋_GB2312"/>
          <w:bCs/>
        </w:rPr>
        <w:t>课程总成绩=期末成绩</w:t>
      </w:r>
      <w:r w:rsidRPr="006058C6">
        <w:rPr>
          <w:rFonts w:ascii="仿宋_GB2312" w:hAnsi="仿宋_GB2312" w:cs="仿宋_GB2312" w:hint="eastAsia"/>
          <w:bCs/>
        </w:rPr>
        <w:t>80%+平时</w:t>
      </w:r>
      <w:r w:rsidRPr="006058C6">
        <w:rPr>
          <w:rFonts w:ascii="仿宋_GB2312" w:hAnsi="仿宋_GB2312" w:cs="仿宋_GB2312"/>
          <w:bCs/>
        </w:rPr>
        <w:t>成绩20</w:t>
      </w:r>
      <w:r w:rsidRPr="006058C6">
        <w:rPr>
          <w:rFonts w:ascii="仿宋_GB2312" w:hAnsi="仿宋_GB2312" w:cs="仿宋_GB2312" w:hint="eastAsia"/>
          <w:bCs/>
        </w:rPr>
        <w:t>%</w:t>
      </w:r>
      <w:r w:rsidRPr="006058C6">
        <w:rPr>
          <w:rFonts w:ascii="仿宋_GB2312" w:hAnsi="仿宋_GB2312" w:cs="仿宋_GB2312"/>
          <w:bCs/>
        </w:rPr>
        <w:t xml:space="preserve">  </w:t>
      </w:r>
    </w:p>
    <w:p w:rsidR="008C3907" w:rsidRPr="006058C6" w:rsidRDefault="008C3907" w:rsidP="000A7EE3">
      <w:pPr>
        <w:spacing w:line="560" w:lineRule="exact"/>
        <w:rPr>
          <w:rFonts w:ascii="仿宋_GB2312" w:hAnsi="仿宋_GB2312" w:cs="仿宋_GB2312"/>
          <w:bCs/>
        </w:rPr>
      </w:pPr>
      <w:r w:rsidRPr="006058C6">
        <w:rPr>
          <w:rFonts w:ascii="黑体" w:eastAsia="黑体" w:hAnsi="黑体" w:hint="eastAsia"/>
          <w:b/>
          <w:sz w:val="28"/>
          <w:szCs w:val="28"/>
        </w:rPr>
        <w:t>六、课程建议教材及主要参考资料</w:t>
      </w:r>
    </w:p>
    <w:p w:rsidR="008C3907" w:rsidRPr="006058C6" w:rsidRDefault="008C3907" w:rsidP="008C3907">
      <w:pPr>
        <w:spacing w:beforeLines="50" w:before="156" w:afterLines="50" w:after="156" w:line="560" w:lineRule="exact"/>
        <w:ind w:firstLineChars="147" w:firstLine="412"/>
        <w:rPr>
          <w:rFonts w:ascii="仿宋_GB2312" w:hAnsi="仿宋_GB2312" w:cs="仿宋_GB2312"/>
          <w:bCs/>
          <w:sz w:val="28"/>
          <w:szCs w:val="28"/>
        </w:rPr>
      </w:pPr>
      <w:r w:rsidRPr="006058C6">
        <w:rPr>
          <w:rFonts w:ascii="仿宋_GB2312" w:hAnsi="仿宋_GB2312" w:cs="仿宋_GB2312" w:hint="eastAsia"/>
          <w:bCs/>
          <w:sz w:val="28"/>
          <w:szCs w:val="28"/>
        </w:rPr>
        <w:t>1.建议教材：安装计量与计价，朱永恒主编，东南大学出版社，2011年8月出版</w:t>
      </w:r>
    </w:p>
    <w:p w:rsidR="008C3907" w:rsidRPr="006058C6" w:rsidRDefault="008C3907" w:rsidP="008C3907">
      <w:pPr>
        <w:spacing w:beforeLines="50" w:before="156" w:afterLines="50" w:after="156" w:line="560" w:lineRule="exact"/>
        <w:ind w:firstLineChars="147" w:firstLine="412"/>
        <w:rPr>
          <w:rFonts w:ascii="仿宋_GB2312" w:hAnsi="仿宋_GB2312" w:cs="仿宋_GB2312"/>
          <w:bCs/>
          <w:sz w:val="28"/>
          <w:szCs w:val="28"/>
        </w:rPr>
      </w:pPr>
      <w:r w:rsidRPr="006058C6">
        <w:rPr>
          <w:rFonts w:ascii="仿宋_GB2312" w:hAnsi="仿宋_GB2312" w:cs="仿宋_GB2312" w:hint="eastAsia"/>
          <w:bCs/>
          <w:sz w:val="28"/>
          <w:szCs w:val="28"/>
        </w:rPr>
        <w:t>2.主要参考资料：</w:t>
      </w:r>
    </w:p>
    <w:p w:rsidR="008C3907" w:rsidRPr="006058C6" w:rsidRDefault="008C3907" w:rsidP="008C3907">
      <w:pPr>
        <w:spacing w:beforeLines="50" w:before="156" w:afterLines="50" w:after="156" w:line="560" w:lineRule="exact"/>
        <w:ind w:firstLineChars="147" w:firstLine="412"/>
        <w:rPr>
          <w:rFonts w:ascii="仿宋_GB2312" w:hAnsi="仿宋_GB2312" w:cs="仿宋_GB2312"/>
          <w:bCs/>
          <w:sz w:val="28"/>
          <w:szCs w:val="28"/>
        </w:rPr>
      </w:pPr>
      <w:r w:rsidRPr="006058C6">
        <w:rPr>
          <w:rFonts w:ascii="仿宋_GB2312" w:hAnsi="仿宋_GB2312" w:cs="仿宋_GB2312" w:hint="eastAsia"/>
          <w:bCs/>
          <w:sz w:val="28"/>
          <w:szCs w:val="28"/>
        </w:rPr>
        <w:t>【1】江苏省安装工程计价表，北京：知识产权出版社，2004</w:t>
      </w:r>
    </w:p>
    <w:p w:rsidR="006058C6" w:rsidRDefault="008C3907" w:rsidP="008C3907">
      <w:pPr>
        <w:spacing w:beforeLines="50" w:before="156" w:afterLines="50" w:after="156" w:line="560" w:lineRule="exact"/>
        <w:ind w:firstLineChars="147" w:firstLine="412"/>
        <w:rPr>
          <w:rFonts w:ascii="仿宋_GB2312" w:hAnsi="仿宋_GB2312" w:cs="仿宋_GB2312"/>
          <w:bCs/>
          <w:sz w:val="28"/>
          <w:szCs w:val="28"/>
        </w:rPr>
      </w:pPr>
      <w:r w:rsidRPr="006058C6">
        <w:rPr>
          <w:rFonts w:ascii="仿宋_GB2312" w:hAnsi="仿宋_GB2312" w:cs="仿宋_GB2312" w:hint="eastAsia"/>
          <w:bCs/>
          <w:sz w:val="28"/>
          <w:szCs w:val="28"/>
        </w:rPr>
        <w:t>【2】江苏省建设工程工程量清单计价项目指引，北京：知识产权出版社，2004</w:t>
      </w:r>
    </w:p>
    <w:p w:rsidR="008C3907" w:rsidRPr="006058C6" w:rsidRDefault="008C3907" w:rsidP="006058C6">
      <w:pPr>
        <w:spacing w:beforeLines="50" w:before="156" w:afterLines="50" w:after="156" w:line="560" w:lineRule="exact"/>
        <w:rPr>
          <w:rFonts w:ascii="黑体" w:eastAsia="黑体" w:hAnsi="黑体"/>
          <w:b/>
          <w:sz w:val="28"/>
          <w:szCs w:val="28"/>
        </w:rPr>
      </w:pPr>
      <w:r w:rsidRPr="006058C6">
        <w:rPr>
          <w:rFonts w:ascii="黑体" w:eastAsia="黑体" w:hAnsi="黑体" w:hint="eastAsia"/>
          <w:b/>
          <w:sz w:val="28"/>
          <w:szCs w:val="28"/>
        </w:rPr>
        <w:t>七、其他</w:t>
      </w:r>
    </w:p>
    <w:p w:rsidR="008C3907" w:rsidRDefault="008C3907" w:rsidP="008C3907">
      <w:pPr>
        <w:spacing w:line="560" w:lineRule="exact"/>
        <w:ind w:firstLineChars="200" w:firstLine="560"/>
        <w:jc w:val="left"/>
        <w:rPr>
          <w:rFonts w:ascii="仿宋" w:eastAsia="仿宋" w:hAnsi="仿宋" w:cs="仿宋_GB2312"/>
          <w:sz w:val="28"/>
          <w:szCs w:val="28"/>
        </w:rPr>
      </w:pPr>
      <w:r>
        <w:rPr>
          <w:rFonts w:ascii="仿宋" w:eastAsia="仿宋" w:hAnsi="仿宋" w:cs="仿宋_GB2312" w:hint="eastAsia"/>
          <w:sz w:val="28"/>
          <w:szCs w:val="28"/>
        </w:rPr>
        <w:t>无</w:t>
      </w:r>
    </w:p>
    <w:p w:rsidR="008C3907" w:rsidRDefault="008C3907" w:rsidP="008C3907">
      <w:pPr>
        <w:spacing w:beforeLines="50" w:before="156" w:afterLines="50" w:after="156" w:line="560" w:lineRule="exact"/>
        <w:rPr>
          <w:rFonts w:ascii="仿宋" w:eastAsia="仿宋" w:hAnsi="仿宋"/>
          <w:sz w:val="28"/>
          <w:szCs w:val="28"/>
        </w:rPr>
      </w:pPr>
    </w:p>
    <w:p w:rsidR="008C3907" w:rsidRDefault="008C3907" w:rsidP="008C3907">
      <w:pPr>
        <w:spacing w:beforeLines="50" w:before="156" w:afterLines="50" w:after="156" w:line="560" w:lineRule="exact"/>
        <w:rPr>
          <w:rFonts w:ascii="仿宋" w:eastAsia="仿宋" w:hAnsi="仿宋"/>
          <w:sz w:val="28"/>
          <w:szCs w:val="28"/>
        </w:rPr>
      </w:pPr>
    </w:p>
    <w:p w:rsidR="008C3907" w:rsidRDefault="008C3907" w:rsidP="008C3907">
      <w:pPr>
        <w:spacing w:line="560" w:lineRule="exact"/>
        <w:ind w:firstLineChars="1200" w:firstLine="3360"/>
        <w:rPr>
          <w:rFonts w:ascii="仿宋" w:eastAsia="仿宋" w:hAnsi="仿宋"/>
          <w:sz w:val="28"/>
          <w:szCs w:val="28"/>
        </w:rPr>
      </w:pPr>
      <w:r>
        <w:rPr>
          <w:rFonts w:ascii="仿宋" w:eastAsia="仿宋" w:hAnsi="仿宋" w:hint="eastAsia"/>
          <w:sz w:val="28"/>
          <w:szCs w:val="28"/>
        </w:rPr>
        <w:t>大纲撰写人：张勇</w:t>
      </w:r>
    </w:p>
    <w:p w:rsidR="008C3907" w:rsidRDefault="008C3907" w:rsidP="008C3907">
      <w:pPr>
        <w:spacing w:line="560" w:lineRule="exact"/>
        <w:ind w:firstLineChars="1200" w:firstLine="3360"/>
        <w:rPr>
          <w:rFonts w:ascii="仿宋" w:eastAsia="仿宋" w:hAnsi="仿宋"/>
          <w:sz w:val="28"/>
          <w:szCs w:val="28"/>
        </w:rPr>
      </w:pPr>
      <w:r>
        <w:rPr>
          <w:rFonts w:ascii="仿宋" w:eastAsia="仿宋" w:hAnsi="仿宋" w:hint="eastAsia"/>
          <w:sz w:val="28"/>
          <w:szCs w:val="28"/>
        </w:rPr>
        <w:t>课程负责人：张勇</w:t>
      </w:r>
    </w:p>
    <w:p w:rsidR="008C3907" w:rsidRDefault="008C3907" w:rsidP="008C3907">
      <w:pPr>
        <w:spacing w:line="560" w:lineRule="exact"/>
        <w:ind w:firstLineChars="1200" w:firstLine="3360"/>
        <w:rPr>
          <w:rFonts w:ascii="仿宋" w:eastAsia="仿宋" w:hAnsi="仿宋"/>
          <w:sz w:val="28"/>
          <w:szCs w:val="28"/>
        </w:rPr>
      </w:pPr>
      <w:r>
        <w:rPr>
          <w:rFonts w:ascii="仿宋" w:eastAsia="仿宋" w:hAnsi="仿宋" w:hint="eastAsia"/>
          <w:sz w:val="28"/>
          <w:szCs w:val="28"/>
        </w:rPr>
        <w:t>审核人：</w:t>
      </w:r>
    </w:p>
    <w:p w:rsidR="008C3907" w:rsidRDefault="008C3907" w:rsidP="008C3907">
      <w:pPr>
        <w:spacing w:line="560" w:lineRule="exact"/>
        <w:jc w:val="center"/>
        <w:rPr>
          <w:rFonts w:ascii="仿宋" w:eastAsia="仿宋" w:hAnsi="仿宋"/>
          <w:color w:val="000000"/>
          <w:sz w:val="28"/>
          <w:szCs w:val="28"/>
        </w:rPr>
      </w:pPr>
      <w:r>
        <w:rPr>
          <w:rFonts w:ascii="仿宋" w:eastAsia="仿宋" w:hAnsi="仿宋" w:hint="eastAsia"/>
          <w:sz w:val="28"/>
          <w:szCs w:val="28"/>
        </w:rPr>
        <w:t xml:space="preserve">                         </w:t>
      </w:r>
    </w:p>
    <w:p w:rsidR="008C3907" w:rsidRDefault="008C3907" w:rsidP="008C3907">
      <w:pPr>
        <w:spacing w:line="560" w:lineRule="exact"/>
        <w:ind w:firstLineChars="2000" w:firstLine="5600"/>
        <w:jc w:val="left"/>
        <w:rPr>
          <w:rFonts w:ascii="仿宋" w:eastAsia="仿宋" w:hAnsi="仿宋"/>
          <w:sz w:val="28"/>
          <w:szCs w:val="28"/>
        </w:rPr>
      </w:pPr>
      <w:r>
        <w:rPr>
          <w:rFonts w:ascii="仿宋" w:eastAsia="仿宋" w:hAnsi="仿宋" w:hint="eastAsia"/>
          <w:sz w:val="28"/>
          <w:szCs w:val="28"/>
        </w:rPr>
        <w:t xml:space="preserve">    </w:t>
      </w:r>
    </w:p>
    <w:p w:rsidR="008C3907" w:rsidRPr="000A7EE3" w:rsidRDefault="008C3907" w:rsidP="000A7EE3">
      <w:pPr>
        <w:spacing w:line="560" w:lineRule="exact"/>
        <w:jc w:val="left"/>
        <w:rPr>
          <w:rFonts w:ascii="仿宋" w:eastAsia="仿宋" w:hAnsi="仿宋" w:hint="eastAsia"/>
          <w:sz w:val="28"/>
          <w:szCs w:val="28"/>
        </w:rPr>
      </w:pPr>
      <w:r>
        <w:rPr>
          <w:rFonts w:ascii="仿宋" w:eastAsia="仿宋" w:hAnsi="仿宋" w:hint="eastAsia"/>
          <w:sz w:val="28"/>
          <w:szCs w:val="28"/>
        </w:rPr>
        <w:t xml:space="preserve">                                         2021年4 月</w:t>
      </w:r>
    </w:p>
    <w:p w:rsidR="00C20406" w:rsidRDefault="00C20406" w:rsidP="00C2040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《冷热源</w:t>
      </w:r>
      <w:r>
        <w:rPr>
          <w:rFonts w:ascii="方正小标宋简体" w:eastAsia="方正小标宋简体" w:hAnsi="宋体"/>
          <w:kern w:val="0"/>
          <w:szCs w:val="32"/>
        </w:rPr>
        <w:t>工程</w:t>
      </w:r>
      <w:r>
        <w:rPr>
          <w:rFonts w:ascii="方正小标宋简体" w:eastAsia="方正小标宋简体" w:hAnsi="宋体" w:hint="eastAsia"/>
          <w:kern w:val="0"/>
          <w:szCs w:val="32"/>
        </w:rPr>
        <w:t>》课程教学大纲</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20406" w:rsidRDefault="00C20406" w:rsidP="00C2040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Cold and heat source Engineering</w:t>
      </w:r>
    </w:p>
    <w:p w:rsidR="00C20406" w:rsidRDefault="00C20406" w:rsidP="00C20406">
      <w:pPr>
        <w:spacing w:line="560" w:lineRule="exact"/>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Z2807240</w:t>
      </w:r>
    </w:p>
    <w:p w:rsidR="00C20406" w:rsidRDefault="00C20406" w:rsidP="00C2040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C20406" w:rsidRDefault="00C20406" w:rsidP="00C20406">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20406" w:rsidRDefault="00C20406" w:rsidP="00C2040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20406" w:rsidRDefault="00C20406" w:rsidP="00C2040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课程性质：必修</w:t>
      </w:r>
    </w:p>
    <w:p w:rsidR="00C20406" w:rsidRDefault="00C20406" w:rsidP="00C2040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3.5</w:t>
      </w:r>
    </w:p>
    <w:p w:rsidR="00C20406" w:rsidRDefault="00C20406" w:rsidP="00C20406">
      <w:pPr>
        <w:spacing w:line="560" w:lineRule="exact"/>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56</w:t>
      </w:r>
      <w:r>
        <w:rPr>
          <w:rFonts w:ascii="仿宋_GB2312" w:hAnsi="仿宋_GB2312" w:cs="仿宋_GB2312" w:hint="eastAsia"/>
          <w:bCs/>
          <w:sz w:val="28"/>
          <w:szCs w:val="28"/>
        </w:rPr>
        <w:t>学时（授课</w:t>
      </w:r>
      <w:r>
        <w:rPr>
          <w:rFonts w:ascii="仿宋_GB2312" w:hAnsi="仿宋_GB2312" w:cs="仿宋_GB2312"/>
          <w:bCs/>
          <w:sz w:val="28"/>
          <w:szCs w:val="28"/>
        </w:rPr>
        <w:t>50</w:t>
      </w:r>
      <w:r>
        <w:rPr>
          <w:rFonts w:ascii="仿宋_GB2312" w:hAnsi="仿宋_GB2312" w:cs="仿宋_GB2312" w:hint="eastAsia"/>
          <w:bCs/>
          <w:sz w:val="28"/>
          <w:szCs w:val="28"/>
        </w:rPr>
        <w:t>学时，实验</w:t>
      </w:r>
      <w:r>
        <w:rPr>
          <w:rFonts w:ascii="仿宋_GB2312" w:hAnsi="仿宋_GB2312" w:cs="仿宋_GB2312"/>
          <w:bCs/>
          <w:sz w:val="28"/>
          <w:szCs w:val="28"/>
        </w:rPr>
        <w:t>6</w:t>
      </w:r>
      <w:r>
        <w:rPr>
          <w:rFonts w:ascii="仿宋_GB2312" w:hAnsi="仿宋_GB2312" w:cs="仿宋_GB2312" w:hint="eastAsia"/>
          <w:bCs/>
          <w:sz w:val="28"/>
          <w:szCs w:val="28"/>
        </w:rPr>
        <w:t>学时）</w:t>
      </w:r>
    </w:p>
    <w:p w:rsidR="00C20406" w:rsidRDefault="00C20406" w:rsidP="00C2040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20406" w:rsidRDefault="00C20406" w:rsidP="00C2040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先修课程：工程热力学，传热学，流体力学等</w:t>
      </w:r>
    </w:p>
    <w:p w:rsidR="00C20406" w:rsidRDefault="00C20406" w:rsidP="00C20406">
      <w:pPr>
        <w:spacing w:line="560" w:lineRule="exact"/>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20406" w:rsidRDefault="00C20406" w:rsidP="00C20406">
      <w:pPr>
        <w:snapToGrid w:val="0"/>
        <w:spacing w:line="560" w:lineRule="exact"/>
        <w:ind w:firstLineChars="200" w:firstLine="560"/>
        <w:rPr>
          <w:rFonts w:ascii="仿宋" w:eastAsia="仿宋" w:hAnsi="仿宋"/>
          <w:sz w:val="28"/>
          <w:szCs w:val="28"/>
        </w:rPr>
      </w:pPr>
      <w:r>
        <w:rPr>
          <w:rFonts w:ascii="仿宋" w:eastAsia="仿宋" w:hAnsi="仿宋" w:hint="eastAsia"/>
          <w:sz w:val="28"/>
          <w:szCs w:val="28"/>
        </w:rPr>
        <w:t>《冷热源工程》是建筑环境与能源应用工程专业的专业发展必修课，</w:t>
      </w:r>
      <w:r>
        <w:rPr>
          <w:rFonts w:ascii="仿宋" w:eastAsia="仿宋" w:hAnsi="仿宋"/>
          <w:sz w:val="28"/>
          <w:szCs w:val="28"/>
        </w:rPr>
        <w:t>是一门综合性强、多学科交叉的课程，实践性非常强。学生通过该课程学习</w:t>
      </w:r>
      <w:r>
        <w:rPr>
          <w:rFonts w:ascii="仿宋" w:eastAsia="仿宋" w:hAnsi="仿宋" w:hint="eastAsia"/>
          <w:sz w:val="28"/>
          <w:szCs w:val="28"/>
        </w:rPr>
        <w:t>冷热源</w:t>
      </w:r>
      <w:r>
        <w:rPr>
          <w:rFonts w:ascii="仿宋" w:eastAsia="仿宋" w:hAnsi="仿宋"/>
          <w:sz w:val="28"/>
          <w:szCs w:val="28"/>
        </w:rPr>
        <w:t>工程的基本知识、基本理论和基本方法，</w:t>
      </w:r>
      <w:r>
        <w:rPr>
          <w:rFonts w:ascii="仿宋" w:eastAsia="仿宋" w:hAnsi="仿宋" w:hint="eastAsia"/>
          <w:sz w:val="28"/>
          <w:szCs w:val="28"/>
        </w:rPr>
        <w:t>对冷热源工程有一个总体概念，对冷热源设计有一个总体了解，</w:t>
      </w:r>
      <w:r>
        <w:rPr>
          <w:rFonts w:ascii="仿宋" w:eastAsia="仿宋" w:hAnsi="仿宋"/>
          <w:sz w:val="28"/>
          <w:szCs w:val="28"/>
        </w:rPr>
        <w:t>获得</w:t>
      </w:r>
      <w:r>
        <w:rPr>
          <w:rFonts w:ascii="仿宋" w:eastAsia="仿宋" w:hAnsi="仿宋" w:hint="eastAsia"/>
          <w:sz w:val="28"/>
          <w:szCs w:val="28"/>
        </w:rPr>
        <w:t>冷热源</w:t>
      </w:r>
      <w:r>
        <w:rPr>
          <w:rFonts w:ascii="仿宋" w:eastAsia="仿宋" w:hAnsi="仿宋"/>
          <w:sz w:val="28"/>
          <w:szCs w:val="28"/>
        </w:rPr>
        <w:t>设计与施工的核心能力。</w:t>
      </w:r>
    </w:p>
    <w:p w:rsidR="00C20406" w:rsidRDefault="00C20406" w:rsidP="00C20406">
      <w:pPr>
        <w:snapToGrid w:val="0"/>
        <w:spacing w:line="560" w:lineRule="exact"/>
        <w:ind w:firstLineChars="200" w:firstLine="560"/>
        <w:rPr>
          <w:rFonts w:ascii="仿宋" w:eastAsia="仿宋" w:hAnsi="仿宋"/>
          <w:sz w:val="28"/>
          <w:szCs w:val="28"/>
        </w:rPr>
      </w:pPr>
      <w:r>
        <w:rPr>
          <w:rFonts w:ascii="仿宋" w:eastAsia="仿宋" w:hAnsi="仿宋" w:hint="eastAsia"/>
          <w:sz w:val="28"/>
          <w:szCs w:val="28"/>
        </w:rPr>
        <w:t>教学内容主要包含两部分，一部分是空调工程中常用冷源-压缩式制冷机组和吸收式制冷机组的基本原理、系统流程以及系统性能改善、设备原理及选型计算、制冷循环中常用工质的性质；另一部分是锅炉与锅炉房工艺的基本知识、锅炉及锅炉房设备的合理选择以及锅</w:t>
      </w:r>
      <w:r>
        <w:rPr>
          <w:rFonts w:ascii="仿宋" w:eastAsia="仿宋" w:hAnsi="仿宋" w:hint="eastAsia"/>
          <w:sz w:val="28"/>
          <w:szCs w:val="28"/>
        </w:rPr>
        <w:lastRenderedPageBreak/>
        <w:t>炉房工艺设计的能力培养。</w:t>
      </w:r>
    </w:p>
    <w:p w:rsidR="00C20406" w:rsidRDefault="00C20406" w:rsidP="00C20406">
      <w:pPr>
        <w:snapToGrid w:val="0"/>
        <w:spacing w:line="560" w:lineRule="exact"/>
        <w:ind w:firstLineChars="200" w:firstLine="560"/>
        <w:rPr>
          <w:rFonts w:ascii="仿宋" w:eastAsia="仿宋" w:hAnsi="仿宋"/>
          <w:sz w:val="28"/>
          <w:szCs w:val="28"/>
        </w:rPr>
      </w:pPr>
      <w:r>
        <w:rPr>
          <w:rFonts w:ascii="仿宋" w:eastAsia="仿宋" w:hAnsi="仿宋" w:hint="eastAsia"/>
          <w:sz w:val="28"/>
          <w:szCs w:val="28"/>
        </w:rPr>
        <w:t>教学方式采用PPT+板书讲解、实验、课后思考题和练习题等相结合进行授课，并结合课程设计教学环节，使学生具备最基本冷热源的分析和设计能力。</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20406" w:rsidRDefault="00C20406" w:rsidP="00C20406">
      <w:pPr>
        <w:spacing w:line="560" w:lineRule="exact"/>
        <w:ind w:firstLine="331"/>
        <w:rPr>
          <w:rFonts w:ascii="仿宋_GB2312" w:hAnsi="仿宋_GB2312" w:cs="仿宋_GB2312"/>
          <w:b/>
          <w:sz w:val="28"/>
          <w:szCs w:val="28"/>
        </w:rPr>
      </w:pPr>
      <w:r>
        <w:rPr>
          <w:rFonts w:ascii="仿宋_GB2312" w:hAnsi="仿宋_GB2312" w:cs="仿宋_GB2312" w:hint="eastAsia"/>
          <w:b/>
          <w:sz w:val="28"/>
          <w:szCs w:val="28"/>
        </w:rPr>
        <w:t>1. 课程任务</w:t>
      </w:r>
    </w:p>
    <w:p w:rsidR="00C20406" w:rsidRDefault="00C20406" w:rsidP="00C20406">
      <w:pPr>
        <w:spacing w:line="560" w:lineRule="exact"/>
        <w:ind w:firstLineChars="200" w:firstLine="560"/>
        <w:rPr>
          <w:rFonts w:ascii="仿宋" w:eastAsia="仿宋" w:hAnsi="仿宋"/>
          <w:sz w:val="28"/>
          <w:szCs w:val="28"/>
        </w:rPr>
      </w:pPr>
      <w:r>
        <w:rPr>
          <w:rFonts w:ascii="仿宋" w:eastAsia="仿宋" w:hAnsi="仿宋"/>
          <w:sz w:val="28"/>
          <w:szCs w:val="28"/>
        </w:rPr>
        <w:t>本课程是建筑环境与能源应用工程专业的一门专业课。通过本课程</w:t>
      </w:r>
      <w:r>
        <w:rPr>
          <w:rFonts w:ascii="仿宋" w:eastAsia="仿宋" w:hAnsi="仿宋" w:hint="eastAsia"/>
          <w:sz w:val="28"/>
          <w:szCs w:val="28"/>
        </w:rPr>
        <w:t>学习</w:t>
      </w:r>
      <w:r>
        <w:rPr>
          <w:rFonts w:ascii="仿宋" w:eastAsia="仿宋" w:hAnsi="仿宋"/>
          <w:sz w:val="28"/>
          <w:szCs w:val="28"/>
        </w:rPr>
        <w:t>使学生掌握</w:t>
      </w:r>
      <w:r>
        <w:rPr>
          <w:rFonts w:ascii="仿宋" w:eastAsia="仿宋" w:hAnsi="仿宋" w:hint="eastAsia"/>
          <w:sz w:val="28"/>
          <w:szCs w:val="28"/>
        </w:rPr>
        <w:t>压缩式制冷和吸收式制冷系统</w:t>
      </w:r>
      <w:r>
        <w:rPr>
          <w:rFonts w:ascii="仿宋" w:eastAsia="仿宋" w:hAnsi="仿宋"/>
          <w:sz w:val="28"/>
          <w:szCs w:val="28"/>
        </w:rPr>
        <w:t>的基本组成</w:t>
      </w:r>
      <w:r>
        <w:rPr>
          <w:rFonts w:ascii="仿宋" w:eastAsia="仿宋" w:hAnsi="仿宋" w:hint="eastAsia"/>
          <w:sz w:val="28"/>
          <w:szCs w:val="28"/>
        </w:rPr>
        <w:t>、</w:t>
      </w:r>
      <w:r>
        <w:rPr>
          <w:rFonts w:ascii="仿宋" w:eastAsia="仿宋" w:hAnsi="仿宋"/>
          <w:sz w:val="28"/>
          <w:szCs w:val="28"/>
        </w:rPr>
        <w:t>工作原理和工作特性，掌握锅炉与锅炉房工艺的基本知识，为</w:t>
      </w:r>
      <w:r>
        <w:rPr>
          <w:rFonts w:ascii="仿宋" w:eastAsia="仿宋" w:hAnsi="仿宋" w:hint="eastAsia"/>
          <w:sz w:val="28"/>
          <w:szCs w:val="28"/>
        </w:rPr>
        <w:t>冷热源</w:t>
      </w:r>
      <w:r>
        <w:rPr>
          <w:rFonts w:ascii="仿宋" w:eastAsia="仿宋" w:hAnsi="仿宋"/>
          <w:sz w:val="28"/>
          <w:szCs w:val="28"/>
        </w:rPr>
        <w:t>系统设计</w:t>
      </w:r>
      <w:r>
        <w:rPr>
          <w:rFonts w:ascii="仿宋" w:eastAsia="仿宋" w:hAnsi="仿宋" w:hint="eastAsia"/>
          <w:sz w:val="28"/>
          <w:szCs w:val="28"/>
        </w:rPr>
        <w:t>及</w:t>
      </w:r>
      <w:r>
        <w:rPr>
          <w:rFonts w:ascii="仿宋" w:eastAsia="仿宋" w:hAnsi="仿宋"/>
          <w:sz w:val="28"/>
          <w:szCs w:val="28"/>
        </w:rPr>
        <w:t>合理选择冷热源设备奠定基础。</w:t>
      </w:r>
      <w:r>
        <w:rPr>
          <w:rFonts w:ascii="仿宋_GB2312" w:hAnsi="仿宋_GB2312" w:cs="仿宋_GB2312" w:hint="eastAsia"/>
          <w:sz w:val="28"/>
          <w:szCs w:val="28"/>
        </w:rPr>
        <w:t>了解本专业新技术以及相关环保节能减排政策，积极探索本专业绿色发展趋势。</w:t>
      </w:r>
    </w:p>
    <w:p w:rsidR="00C20406" w:rsidRDefault="00C20406" w:rsidP="00C20406">
      <w:pPr>
        <w:pStyle w:val="a3"/>
        <w:keepNext w:val="0"/>
        <w:spacing w:line="560" w:lineRule="exact"/>
        <w:ind w:left="420" w:firstLine="0"/>
        <w:rPr>
          <w:rFonts w:eastAsia="宋体"/>
          <w:szCs w:val="24"/>
        </w:rPr>
      </w:pPr>
    </w:p>
    <w:p w:rsidR="00C20406" w:rsidRDefault="00C20406" w:rsidP="006058C6">
      <w:pPr>
        <w:numPr>
          <w:ilvl w:val="0"/>
          <w:numId w:val="65"/>
        </w:numPr>
        <w:spacing w:line="560" w:lineRule="exact"/>
        <w:rPr>
          <w:rFonts w:ascii="仿宋_GB2312" w:hAnsi="仿宋_GB2312" w:cs="仿宋_GB2312"/>
          <w:b/>
          <w:sz w:val="28"/>
          <w:szCs w:val="28"/>
        </w:rPr>
      </w:pPr>
      <w:r>
        <w:rPr>
          <w:rFonts w:ascii="仿宋_GB2312" w:hAnsi="仿宋_GB2312" w:cs="仿宋_GB2312" w:hint="eastAsia"/>
          <w:b/>
          <w:sz w:val="28"/>
          <w:szCs w:val="28"/>
        </w:rPr>
        <w:t>课程基本要求</w:t>
      </w:r>
    </w:p>
    <w:p w:rsidR="00C20406" w:rsidRDefault="00C20406" w:rsidP="00C20406">
      <w:pPr>
        <w:spacing w:line="560" w:lineRule="exact"/>
        <w:ind w:firstLine="331"/>
        <w:rPr>
          <w:rFonts w:ascii="仿宋_GB2312" w:hAnsi="仿宋_GB2312" w:cs="仿宋_GB2312"/>
          <w:b/>
          <w:color w:val="FF0000"/>
          <w:sz w:val="28"/>
          <w:szCs w:val="28"/>
        </w:rPr>
      </w:pPr>
      <w:r>
        <w:rPr>
          <w:rFonts w:ascii="仿宋_GB2312" w:hAnsi="仿宋_GB2312" w:cs="仿宋_GB2312" w:hint="eastAsia"/>
          <w:b/>
          <w:bCs/>
          <w:sz w:val="28"/>
          <w:szCs w:val="28"/>
        </w:rPr>
        <w:t>2.1课程目标</w:t>
      </w:r>
    </w:p>
    <w:p w:rsidR="00C20406" w:rsidRDefault="00C20406" w:rsidP="00C2040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bCs/>
          <w:sz w:val="28"/>
          <w:szCs w:val="28"/>
        </w:rPr>
        <w:t>教学目标1</w:t>
      </w:r>
      <w:r>
        <w:rPr>
          <w:rFonts w:ascii="仿宋_GB2312" w:hAnsi="仿宋_GB2312" w:cs="仿宋_GB2312"/>
          <w:bCs/>
          <w:sz w:val="28"/>
          <w:szCs w:val="28"/>
        </w:rPr>
        <w:t xml:space="preserve"> </w:t>
      </w:r>
      <w:r>
        <w:rPr>
          <w:rFonts w:ascii="仿宋_GB2312" w:hAnsi="仿宋_GB2312" w:cs="仿宋_GB2312" w:hint="eastAsia"/>
          <w:sz w:val="28"/>
          <w:szCs w:val="28"/>
        </w:rPr>
        <w:t>掌握制冷、热泵、锅炉的基本知识和系统原理。</w:t>
      </w:r>
    </w:p>
    <w:p w:rsidR="00C20406" w:rsidRDefault="00C20406" w:rsidP="00C2040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bCs/>
          <w:sz w:val="28"/>
          <w:szCs w:val="28"/>
        </w:rPr>
        <w:t>教学目标2</w:t>
      </w:r>
      <w:r>
        <w:rPr>
          <w:rFonts w:ascii="仿宋_GB2312" w:hAnsi="仿宋_GB2312" w:cs="仿宋_GB2312"/>
          <w:bCs/>
          <w:sz w:val="28"/>
          <w:szCs w:val="28"/>
        </w:rPr>
        <w:t xml:space="preserve"> 具备</w:t>
      </w:r>
      <w:r>
        <w:rPr>
          <w:rFonts w:ascii="仿宋_GB2312" w:hAnsi="仿宋_GB2312" w:cs="仿宋_GB2312" w:hint="eastAsia"/>
          <w:sz w:val="28"/>
          <w:szCs w:val="28"/>
        </w:rPr>
        <w:t>系统化思维、节能环保和安全意识以及综合分析能力。</w:t>
      </w:r>
    </w:p>
    <w:p w:rsidR="00C20406" w:rsidRDefault="00C20406" w:rsidP="00C2040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bCs/>
          <w:sz w:val="28"/>
          <w:szCs w:val="28"/>
        </w:rPr>
        <w:t>教学目标3</w:t>
      </w:r>
      <w:r>
        <w:rPr>
          <w:rFonts w:ascii="仿宋_GB2312" w:hAnsi="仿宋_GB2312" w:cs="仿宋_GB2312"/>
          <w:bCs/>
          <w:sz w:val="28"/>
          <w:szCs w:val="28"/>
        </w:rPr>
        <w:t xml:space="preserve"> </w:t>
      </w:r>
      <w:r>
        <w:rPr>
          <w:rFonts w:ascii="仿宋_GB2312" w:hAnsi="仿宋_GB2312" w:cs="仿宋_GB2312" w:hint="eastAsia"/>
          <w:sz w:val="28"/>
          <w:szCs w:val="28"/>
        </w:rPr>
        <w:t>训练工程思想和方法，具备综合应用相关知识分析和解决问题的能力。</w:t>
      </w:r>
    </w:p>
    <w:p w:rsidR="00C20406" w:rsidRDefault="00C20406" w:rsidP="00C2040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bCs/>
          <w:sz w:val="28"/>
          <w:szCs w:val="28"/>
        </w:rPr>
        <w:t>教学目标4</w:t>
      </w:r>
      <w:r>
        <w:rPr>
          <w:rFonts w:ascii="仿宋_GB2312" w:hAnsi="仿宋_GB2312" w:cs="仿宋_GB2312"/>
          <w:bCs/>
          <w:sz w:val="28"/>
          <w:szCs w:val="28"/>
        </w:rPr>
        <w:t xml:space="preserve"> </w:t>
      </w:r>
      <w:r>
        <w:rPr>
          <w:rFonts w:ascii="仿宋_GB2312" w:hAnsi="仿宋_GB2312" w:cs="仿宋_GB2312" w:hint="eastAsia"/>
          <w:sz w:val="28"/>
          <w:szCs w:val="28"/>
        </w:rPr>
        <w:t>基本具备提出基本工程技术方案及分析和研究专业复杂工程问题的基础能力和思想方法。</w:t>
      </w:r>
    </w:p>
    <w:p w:rsidR="00C20406" w:rsidRDefault="00C20406" w:rsidP="00C20406">
      <w:pPr>
        <w:spacing w:line="560" w:lineRule="exact"/>
        <w:rPr>
          <w:rFonts w:ascii="仿宋" w:eastAsia="仿宋" w:hAnsi="仿宋"/>
          <w:b/>
          <w:sz w:val="28"/>
          <w:szCs w:val="28"/>
        </w:rPr>
      </w:pPr>
      <w:r>
        <w:rPr>
          <w:rFonts w:ascii="仿宋" w:eastAsia="仿宋" w:hAnsi="仿宋" w:hint="eastAsia"/>
          <w:b/>
          <w:sz w:val="28"/>
          <w:szCs w:val="28"/>
        </w:rPr>
        <w:t>2</w:t>
      </w:r>
      <w:r>
        <w:rPr>
          <w:rFonts w:ascii="仿宋" w:eastAsia="仿宋" w:hAnsi="仿宋"/>
          <w:b/>
          <w:sz w:val="28"/>
          <w:szCs w:val="28"/>
        </w:rPr>
        <w:t xml:space="preserve">.2 </w:t>
      </w:r>
      <w:r>
        <w:rPr>
          <w:rFonts w:ascii="仿宋" w:eastAsia="仿宋" w:hAnsi="仿宋" w:hint="eastAsia"/>
          <w:b/>
          <w:sz w:val="28"/>
          <w:szCs w:val="28"/>
        </w:rPr>
        <w:t xml:space="preserve">课程目标与毕业要求之间的对应关系 </w:t>
      </w:r>
    </w:p>
    <w:p w:rsidR="00C20406" w:rsidRDefault="00C20406" w:rsidP="00C20406">
      <w:pPr>
        <w:snapToGrid w:val="0"/>
        <w:spacing w:line="560" w:lineRule="exact"/>
        <w:ind w:firstLineChars="200" w:firstLine="560"/>
        <w:rPr>
          <w:rFonts w:ascii="仿宋" w:eastAsia="仿宋" w:hAnsi="仿宋"/>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5509"/>
        <w:gridCol w:w="1397"/>
      </w:tblGrid>
      <w:tr w:rsidR="00C20406" w:rsidTr="008C3907">
        <w:trPr>
          <w:trHeight w:val="567"/>
        </w:trPr>
        <w:tc>
          <w:tcPr>
            <w:tcW w:w="1530" w:type="dxa"/>
            <w:vAlign w:val="center"/>
          </w:tcPr>
          <w:p w:rsidR="00C20406" w:rsidRDefault="00C20406" w:rsidP="008C3907">
            <w:pPr>
              <w:snapToGrid w:val="0"/>
              <w:spacing w:line="560" w:lineRule="exact"/>
              <w:jc w:val="center"/>
              <w:rPr>
                <w:rFonts w:ascii="仿宋" w:eastAsia="仿宋" w:hAnsi="仿宋"/>
                <w:sz w:val="28"/>
                <w:szCs w:val="28"/>
              </w:rPr>
            </w:pPr>
            <w:r>
              <w:rPr>
                <w:rFonts w:ascii="仿宋" w:eastAsia="仿宋" w:hAnsi="仿宋" w:hint="eastAsia"/>
                <w:sz w:val="28"/>
                <w:szCs w:val="28"/>
              </w:rPr>
              <w:t>毕业要求</w:t>
            </w:r>
          </w:p>
        </w:tc>
        <w:tc>
          <w:tcPr>
            <w:tcW w:w="6218" w:type="dxa"/>
            <w:vAlign w:val="center"/>
          </w:tcPr>
          <w:p w:rsidR="00C20406" w:rsidRDefault="00C20406" w:rsidP="008C3907">
            <w:pPr>
              <w:snapToGrid w:val="0"/>
              <w:spacing w:line="560" w:lineRule="exact"/>
              <w:jc w:val="center"/>
              <w:rPr>
                <w:rFonts w:ascii="仿宋" w:eastAsia="仿宋" w:hAnsi="仿宋"/>
                <w:sz w:val="28"/>
                <w:szCs w:val="28"/>
              </w:rPr>
            </w:pPr>
            <w:r>
              <w:rPr>
                <w:rFonts w:ascii="仿宋" w:eastAsia="仿宋" w:hAnsi="仿宋" w:hint="eastAsia"/>
                <w:sz w:val="28"/>
                <w:szCs w:val="28"/>
              </w:rPr>
              <w:t>毕业要求指标点</w:t>
            </w:r>
          </w:p>
        </w:tc>
        <w:tc>
          <w:tcPr>
            <w:tcW w:w="1538" w:type="dxa"/>
            <w:vAlign w:val="center"/>
          </w:tcPr>
          <w:p w:rsidR="00C20406" w:rsidRDefault="00C20406" w:rsidP="008C3907">
            <w:pPr>
              <w:snapToGrid w:val="0"/>
              <w:spacing w:line="560" w:lineRule="exact"/>
              <w:jc w:val="center"/>
              <w:rPr>
                <w:rFonts w:ascii="仿宋" w:eastAsia="仿宋" w:hAnsi="仿宋"/>
                <w:sz w:val="28"/>
                <w:szCs w:val="28"/>
              </w:rPr>
            </w:pPr>
            <w:r>
              <w:rPr>
                <w:rFonts w:ascii="仿宋" w:eastAsia="仿宋" w:hAnsi="仿宋" w:hint="eastAsia"/>
                <w:sz w:val="28"/>
                <w:szCs w:val="28"/>
              </w:rPr>
              <w:t>教学目标</w:t>
            </w:r>
          </w:p>
        </w:tc>
      </w:tr>
      <w:tr w:rsidR="00C20406" w:rsidTr="008C3907">
        <w:tc>
          <w:tcPr>
            <w:tcW w:w="1530" w:type="dxa"/>
            <w:vAlign w:val="center"/>
          </w:tcPr>
          <w:p w:rsidR="00C20406" w:rsidRDefault="00C20406" w:rsidP="008C3907">
            <w:pPr>
              <w:snapToGrid w:val="0"/>
              <w:spacing w:line="560" w:lineRule="exact"/>
              <w:rPr>
                <w:rFonts w:ascii="仿宋" w:eastAsia="仿宋" w:hAnsi="仿宋"/>
                <w:sz w:val="22"/>
              </w:rPr>
            </w:pPr>
            <w:r>
              <w:rPr>
                <w:rFonts w:ascii="仿宋" w:eastAsia="仿宋" w:hAnsi="仿宋" w:hint="eastAsia"/>
                <w:sz w:val="22"/>
              </w:rPr>
              <w:lastRenderedPageBreak/>
              <w:t>1.工程知识</w:t>
            </w:r>
          </w:p>
        </w:tc>
        <w:tc>
          <w:tcPr>
            <w:tcW w:w="6218" w:type="dxa"/>
            <w:vAlign w:val="center"/>
          </w:tcPr>
          <w:p w:rsidR="00C20406" w:rsidRDefault="00C20406" w:rsidP="008C3907">
            <w:pPr>
              <w:widowControl/>
              <w:spacing w:line="560" w:lineRule="exact"/>
              <w:ind w:firstLineChars="200" w:firstLine="440"/>
              <w:rPr>
                <w:rFonts w:ascii="仿宋" w:eastAsia="仿宋" w:hAnsi="仿宋" w:cs="宋体"/>
                <w:sz w:val="22"/>
              </w:rPr>
            </w:pPr>
            <w:r>
              <w:rPr>
                <w:rFonts w:ascii="仿宋" w:eastAsia="仿宋" w:hAnsi="仿宋" w:cs="宋体" w:hint="eastAsia"/>
                <w:sz w:val="22"/>
              </w:rPr>
              <w:t>1</w:t>
            </w:r>
            <w:r>
              <w:rPr>
                <w:rFonts w:ascii="仿宋" w:eastAsia="仿宋" w:hAnsi="仿宋" w:cs="宋体"/>
                <w:sz w:val="22"/>
              </w:rPr>
              <w:t xml:space="preserve">.2 </w:t>
            </w:r>
            <w:r>
              <w:rPr>
                <w:rFonts w:ascii="仿宋" w:eastAsia="仿宋" w:hAnsi="仿宋" w:cs="宋体" w:hint="eastAsia"/>
                <w:sz w:val="22"/>
              </w:rPr>
              <w:t>掌握相关工程基础知识，具备应用相关知识推演、分析建筑环境与能源应用工程专业复杂工程问题的专业基础能力；</w:t>
            </w:r>
          </w:p>
          <w:p w:rsidR="00C20406" w:rsidRDefault="00C20406" w:rsidP="008C3907">
            <w:pPr>
              <w:widowControl/>
              <w:spacing w:line="560" w:lineRule="exact"/>
              <w:ind w:firstLineChars="200" w:firstLine="440"/>
              <w:rPr>
                <w:rFonts w:ascii="仿宋" w:eastAsia="仿宋" w:hAnsi="仿宋"/>
                <w:sz w:val="22"/>
              </w:rPr>
            </w:pPr>
            <w:r>
              <w:rPr>
                <w:rFonts w:ascii="仿宋" w:eastAsia="仿宋" w:hAnsi="仿宋" w:cs="宋体" w:hint="eastAsia"/>
                <w:sz w:val="22"/>
              </w:rPr>
              <w:t>1</w:t>
            </w:r>
            <w:r>
              <w:rPr>
                <w:rFonts w:ascii="仿宋" w:eastAsia="仿宋" w:hAnsi="仿宋" w:cs="宋体"/>
                <w:sz w:val="22"/>
              </w:rPr>
              <w:t xml:space="preserve">.3 </w:t>
            </w:r>
            <w:r>
              <w:rPr>
                <w:rFonts w:ascii="仿宋" w:eastAsia="仿宋" w:hAnsi="仿宋" w:cs="宋体" w:hint="eastAsia"/>
                <w:sz w:val="22"/>
              </w:rPr>
              <w:t>掌握建筑环境与能源应用工程专业知识，具备知识交叉融合能力，应用于解决建筑环境与能源应用工程专业复杂工程问题。</w:t>
            </w:r>
          </w:p>
        </w:tc>
        <w:tc>
          <w:tcPr>
            <w:tcW w:w="1538" w:type="dxa"/>
            <w:vAlign w:val="center"/>
          </w:tcPr>
          <w:p w:rsidR="00C20406" w:rsidRDefault="00C20406" w:rsidP="008C3907">
            <w:pPr>
              <w:snapToGrid w:val="0"/>
              <w:spacing w:line="560" w:lineRule="exact"/>
              <w:rPr>
                <w:rFonts w:ascii="仿宋" w:eastAsia="仿宋" w:hAnsi="仿宋"/>
                <w:sz w:val="22"/>
              </w:rPr>
            </w:pPr>
            <w:r>
              <w:rPr>
                <w:rFonts w:ascii="仿宋" w:eastAsia="仿宋" w:hAnsi="仿宋" w:hint="eastAsia"/>
                <w:sz w:val="22"/>
              </w:rPr>
              <w:t>教学目标1</w:t>
            </w:r>
          </w:p>
          <w:p w:rsidR="00C20406" w:rsidRDefault="00C20406" w:rsidP="008C3907">
            <w:pPr>
              <w:snapToGrid w:val="0"/>
              <w:spacing w:line="560" w:lineRule="exact"/>
              <w:rPr>
                <w:rFonts w:ascii="仿宋" w:eastAsia="仿宋" w:hAnsi="仿宋"/>
                <w:sz w:val="22"/>
              </w:rPr>
            </w:pPr>
            <w:r>
              <w:rPr>
                <w:rFonts w:ascii="仿宋" w:eastAsia="仿宋" w:hAnsi="仿宋"/>
                <w:sz w:val="22"/>
              </w:rPr>
              <w:t>教学目标</w:t>
            </w:r>
            <w:r>
              <w:rPr>
                <w:rFonts w:ascii="仿宋" w:eastAsia="仿宋" w:hAnsi="仿宋" w:hint="eastAsia"/>
                <w:sz w:val="22"/>
              </w:rPr>
              <w:t>2</w:t>
            </w:r>
          </w:p>
          <w:p w:rsidR="00C20406" w:rsidRDefault="00C20406" w:rsidP="008C3907">
            <w:pPr>
              <w:snapToGrid w:val="0"/>
              <w:spacing w:line="560" w:lineRule="exact"/>
              <w:rPr>
                <w:rFonts w:ascii="仿宋" w:eastAsia="仿宋" w:hAnsi="仿宋"/>
                <w:sz w:val="22"/>
              </w:rPr>
            </w:pPr>
            <w:r>
              <w:rPr>
                <w:rFonts w:ascii="仿宋" w:eastAsia="仿宋" w:hAnsi="仿宋"/>
                <w:sz w:val="22"/>
              </w:rPr>
              <w:t>教学目标</w:t>
            </w:r>
            <w:r>
              <w:rPr>
                <w:rFonts w:ascii="仿宋" w:eastAsia="仿宋" w:hAnsi="仿宋" w:hint="eastAsia"/>
                <w:sz w:val="22"/>
              </w:rPr>
              <w:t>3</w:t>
            </w:r>
          </w:p>
          <w:p w:rsidR="00C20406" w:rsidRDefault="00C20406" w:rsidP="008C3907">
            <w:pPr>
              <w:snapToGrid w:val="0"/>
              <w:spacing w:line="560" w:lineRule="exact"/>
              <w:rPr>
                <w:rFonts w:ascii="仿宋" w:eastAsia="仿宋" w:hAnsi="仿宋"/>
                <w:sz w:val="22"/>
              </w:rPr>
            </w:pPr>
            <w:r>
              <w:rPr>
                <w:rFonts w:ascii="仿宋" w:eastAsia="仿宋" w:hAnsi="仿宋"/>
                <w:sz w:val="22"/>
              </w:rPr>
              <w:t>教学目标</w:t>
            </w:r>
            <w:r>
              <w:rPr>
                <w:rFonts w:ascii="仿宋" w:eastAsia="仿宋" w:hAnsi="仿宋" w:hint="eastAsia"/>
                <w:sz w:val="22"/>
              </w:rPr>
              <w:t>4</w:t>
            </w:r>
          </w:p>
        </w:tc>
      </w:tr>
      <w:tr w:rsidR="00C20406" w:rsidTr="008C3907">
        <w:tc>
          <w:tcPr>
            <w:tcW w:w="1530" w:type="dxa"/>
            <w:vAlign w:val="center"/>
          </w:tcPr>
          <w:p w:rsidR="00C20406" w:rsidRDefault="00C20406" w:rsidP="008C3907">
            <w:pPr>
              <w:snapToGrid w:val="0"/>
              <w:spacing w:line="560" w:lineRule="exact"/>
              <w:rPr>
                <w:rFonts w:ascii="仿宋" w:eastAsia="仿宋" w:hAnsi="仿宋"/>
                <w:sz w:val="22"/>
              </w:rPr>
            </w:pPr>
            <w:r>
              <w:rPr>
                <w:rFonts w:ascii="仿宋" w:eastAsia="仿宋" w:hAnsi="仿宋" w:hint="eastAsia"/>
                <w:sz w:val="22"/>
              </w:rPr>
              <w:t>2.问题分析</w:t>
            </w:r>
          </w:p>
        </w:tc>
        <w:tc>
          <w:tcPr>
            <w:tcW w:w="6218" w:type="dxa"/>
            <w:vAlign w:val="center"/>
          </w:tcPr>
          <w:p w:rsidR="00C20406" w:rsidRDefault="00C20406" w:rsidP="008C3907">
            <w:pPr>
              <w:widowControl/>
              <w:spacing w:line="560" w:lineRule="exact"/>
              <w:ind w:firstLineChars="200" w:firstLine="440"/>
              <w:rPr>
                <w:rFonts w:ascii="仿宋" w:eastAsia="仿宋" w:hAnsi="仿宋" w:cs="宋体"/>
                <w:sz w:val="22"/>
              </w:rPr>
            </w:pPr>
            <w:r>
              <w:rPr>
                <w:rFonts w:ascii="仿宋" w:eastAsia="仿宋" w:hAnsi="仿宋" w:cs="宋体" w:hint="eastAsia"/>
                <w:sz w:val="22"/>
              </w:rPr>
              <w:t>2</w:t>
            </w:r>
            <w:r>
              <w:rPr>
                <w:rFonts w:ascii="仿宋" w:eastAsia="仿宋" w:hAnsi="仿宋" w:cs="宋体"/>
                <w:sz w:val="22"/>
              </w:rPr>
              <w:t xml:space="preserve">.2 </w:t>
            </w:r>
            <w:r>
              <w:rPr>
                <w:rFonts w:ascii="仿宋" w:eastAsia="仿宋" w:hAnsi="仿宋" w:cs="宋体" w:hint="eastAsia"/>
                <w:sz w:val="22"/>
              </w:rPr>
              <w:t>能够正确、合理运用专业知识，识别、判断和表达建筑环境与能源应用工程专业复杂工程问题的本质特征、关键环节，并能提供多种解决方案；</w:t>
            </w:r>
          </w:p>
          <w:p w:rsidR="00C20406" w:rsidRDefault="00C20406" w:rsidP="008C3907">
            <w:pPr>
              <w:widowControl/>
              <w:spacing w:line="560" w:lineRule="exact"/>
              <w:ind w:firstLineChars="200" w:firstLine="440"/>
              <w:rPr>
                <w:rFonts w:ascii="仿宋" w:eastAsia="仿宋" w:hAnsi="仿宋"/>
                <w:sz w:val="22"/>
              </w:rPr>
            </w:pPr>
            <w:r>
              <w:rPr>
                <w:rFonts w:ascii="仿宋" w:eastAsia="仿宋" w:hAnsi="仿宋" w:cs="宋体" w:hint="eastAsia"/>
                <w:sz w:val="22"/>
              </w:rPr>
              <w:t>2</w:t>
            </w:r>
            <w:r>
              <w:rPr>
                <w:rFonts w:ascii="仿宋" w:eastAsia="仿宋" w:hAnsi="仿宋" w:cs="宋体"/>
                <w:sz w:val="22"/>
              </w:rPr>
              <w:t xml:space="preserve">.3 </w:t>
            </w:r>
            <w:r>
              <w:rPr>
                <w:rFonts w:ascii="仿宋" w:eastAsia="仿宋" w:hAnsi="仿宋" w:cs="宋体" w:hint="eastAsia"/>
                <w:sz w:val="22"/>
              </w:rPr>
              <w:t>应用建筑环境与能源应用工程相关原理和方法，具备综合判断能力，能够通过对比、推理、分析及文献研究等，获得有效结论。</w:t>
            </w:r>
          </w:p>
        </w:tc>
        <w:tc>
          <w:tcPr>
            <w:tcW w:w="1538" w:type="dxa"/>
            <w:vAlign w:val="center"/>
          </w:tcPr>
          <w:p w:rsidR="00C20406" w:rsidRDefault="00C20406" w:rsidP="008C3907">
            <w:pPr>
              <w:snapToGrid w:val="0"/>
              <w:spacing w:line="560" w:lineRule="exact"/>
              <w:rPr>
                <w:rFonts w:ascii="仿宋" w:eastAsia="仿宋" w:hAnsi="仿宋"/>
                <w:sz w:val="22"/>
              </w:rPr>
            </w:pPr>
            <w:r>
              <w:rPr>
                <w:rFonts w:ascii="仿宋" w:eastAsia="仿宋" w:hAnsi="仿宋" w:hint="eastAsia"/>
                <w:sz w:val="22"/>
              </w:rPr>
              <w:t>教学目标1</w:t>
            </w:r>
          </w:p>
          <w:p w:rsidR="00C20406" w:rsidRDefault="00C20406" w:rsidP="008C3907">
            <w:pPr>
              <w:snapToGrid w:val="0"/>
              <w:spacing w:line="560" w:lineRule="exact"/>
              <w:rPr>
                <w:rFonts w:ascii="仿宋" w:eastAsia="仿宋" w:hAnsi="仿宋"/>
                <w:sz w:val="22"/>
              </w:rPr>
            </w:pPr>
            <w:r>
              <w:rPr>
                <w:rFonts w:ascii="仿宋" w:eastAsia="仿宋" w:hAnsi="仿宋"/>
                <w:sz w:val="22"/>
              </w:rPr>
              <w:t>教学目标</w:t>
            </w:r>
            <w:r>
              <w:rPr>
                <w:rFonts w:ascii="仿宋" w:eastAsia="仿宋" w:hAnsi="仿宋" w:hint="eastAsia"/>
                <w:sz w:val="22"/>
              </w:rPr>
              <w:t>2</w:t>
            </w:r>
          </w:p>
          <w:p w:rsidR="00C20406" w:rsidRDefault="00C20406" w:rsidP="008C3907">
            <w:pPr>
              <w:snapToGrid w:val="0"/>
              <w:spacing w:line="560" w:lineRule="exact"/>
              <w:rPr>
                <w:rFonts w:ascii="仿宋" w:eastAsia="仿宋" w:hAnsi="仿宋"/>
                <w:sz w:val="22"/>
              </w:rPr>
            </w:pPr>
            <w:r>
              <w:rPr>
                <w:rFonts w:ascii="仿宋" w:eastAsia="仿宋" w:hAnsi="仿宋"/>
                <w:sz w:val="22"/>
              </w:rPr>
              <w:t>教学目标</w:t>
            </w:r>
            <w:r>
              <w:rPr>
                <w:rFonts w:ascii="仿宋" w:eastAsia="仿宋" w:hAnsi="仿宋" w:hint="eastAsia"/>
                <w:sz w:val="22"/>
              </w:rPr>
              <w:t>3</w:t>
            </w:r>
          </w:p>
          <w:p w:rsidR="00C20406" w:rsidRDefault="00C20406" w:rsidP="008C3907">
            <w:pPr>
              <w:snapToGrid w:val="0"/>
              <w:spacing w:line="560" w:lineRule="exact"/>
              <w:rPr>
                <w:rFonts w:ascii="仿宋" w:eastAsia="仿宋" w:hAnsi="仿宋"/>
                <w:sz w:val="22"/>
              </w:rPr>
            </w:pPr>
            <w:r>
              <w:rPr>
                <w:rFonts w:ascii="仿宋" w:eastAsia="仿宋" w:hAnsi="仿宋"/>
                <w:sz w:val="22"/>
              </w:rPr>
              <w:t>教学目标</w:t>
            </w:r>
            <w:r>
              <w:rPr>
                <w:rFonts w:ascii="仿宋" w:eastAsia="仿宋" w:hAnsi="仿宋" w:hint="eastAsia"/>
                <w:sz w:val="22"/>
              </w:rPr>
              <w:t>4</w:t>
            </w:r>
          </w:p>
        </w:tc>
      </w:tr>
      <w:tr w:rsidR="00C20406" w:rsidTr="008C3907">
        <w:tc>
          <w:tcPr>
            <w:tcW w:w="1530" w:type="dxa"/>
            <w:vAlign w:val="center"/>
          </w:tcPr>
          <w:p w:rsidR="00C20406" w:rsidRDefault="00C20406" w:rsidP="008C3907">
            <w:pPr>
              <w:snapToGrid w:val="0"/>
              <w:spacing w:line="560" w:lineRule="exact"/>
              <w:rPr>
                <w:rFonts w:ascii="仿宋" w:eastAsia="仿宋" w:hAnsi="仿宋"/>
                <w:sz w:val="22"/>
              </w:rPr>
            </w:pPr>
            <w:r>
              <w:rPr>
                <w:rFonts w:ascii="仿宋" w:eastAsia="仿宋" w:hAnsi="仿宋" w:hint="eastAsia"/>
                <w:sz w:val="22"/>
              </w:rPr>
              <w:t>7</w:t>
            </w:r>
            <w:r>
              <w:rPr>
                <w:rFonts w:ascii="仿宋" w:eastAsia="仿宋" w:hAnsi="仿宋"/>
                <w:sz w:val="22"/>
              </w:rPr>
              <w:t>.</w:t>
            </w:r>
            <w:r>
              <w:rPr>
                <w:rFonts w:ascii="仿宋" w:eastAsia="仿宋" w:hAnsi="仿宋" w:hint="eastAsia"/>
                <w:sz w:val="22"/>
              </w:rPr>
              <w:t>环境和可持续发展</w:t>
            </w:r>
          </w:p>
        </w:tc>
        <w:tc>
          <w:tcPr>
            <w:tcW w:w="6218" w:type="dxa"/>
            <w:vAlign w:val="center"/>
          </w:tcPr>
          <w:p w:rsidR="00C20406" w:rsidRDefault="00C20406" w:rsidP="008C3907">
            <w:pPr>
              <w:widowControl/>
              <w:spacing w:line="560" w:lineRule="exact"/>
              <w:ind w:firstLineChars="200" w:firstLine="440"/>
              <w:rPr>
                <w:rFonts w:ascii="仿宋" w:eastAsia="仿宋" w:hAnsi="仿宋" w:cs="宋体"/>
                <w:sz w:val="22"/>
              </w:rPr>
            </w:pPr>
            <w:r>
              <w:rPr>
                <w:rFonts w:ascii="仿宋" w:eastAsia="仿宋" w:hAnsi="仿宋" w:cs="宋体" w:hint="eastAsia"/>
                <w:sz w:val="22"/>
              </w:rPr>
              <w:t>7.2 能够从环境保护和社会可持续发展的角度思考建筑环境与能源应用工程专业工程实践的可持续性，评价其可能对人类和环境造成的损害和隐患，践行绿色环保理念。</w:t>
            </w:r>
          </w:p>
        </w:tc>
        <w:tc>
          <w:tcPr>
            <w:tcW w:w="1538" w:type="dxa"/>
            <w:vAlign w:val="center"/>
          </w:tcPr>
          <w:p w:rsidR="00C20406" w:rsidRDefault="00C20406" w:rsidP="008C3907">
            <w:pPr>
              <w:snapToGrid w:val="0"/>
              <w:spacing w:line="560" w:lineRule="exact"/>
              <w:rPr>
                <w:rFonts w:ascii="仿宋" w:eastAsia="仿宋" w:hAnsi="仿宋"/>
                <w:sz w:val="22"/>
              </w:rPr>
            </w:pPr>
            <w:r>
              <w:rPr>
                <w:rFonts w:ascii="仿宋" w:eastAsia="仿宋" w:hAnsi="仿宋" w:hint="eastAsia"/>
                <w:sz w:val="22"/>
              </w:rPr>
              <w:t>教学目标1</w:t>
            </w:r>
          </w:p>
          <w:p w:rsidR="00C20406" w:rsidRDefault="00C20406" w:rsidP="008C3907">
            <w:pPr>
              <w:snapToGrid w:val="0"/>
              <w:spacing w:line="560" w:lineRule="exact"/>
              <w:rPr>
                <w:rFonts w:ascii="仿宋" w:eastAsia="仿宋" w:hAnsi="仿宋"/>
                <w:sz w:val="22"/>
              </w:rPr>
            </w:pPr>
            <w:r>
              <w:rPr>
                <w:rFonts w:ascii="仿宋" w:eastAsia="仿宋" w:hAnsi="仿宋"/>
                <w:sz w:val="22"/>
              </w:rPr>
              <w:t>教学目标</w:t>
            </w:r>
            <w:r>
              <w:rPr>
                <w:rFonts w:ascii="仿宋" w:eastAsia="仿宋" w:hAnsi="仿宋" w:hint="eastAsia"/>
                <w:sz w:val="22"/>
              </w:rPr>
              <w:t>2</w:t>
            </w:r>
          </w:p>
          <w:p w:rsidR="00C20406" w:rsidRDefault="00C20406" w:rsidP="008C3907">
            <w:pPr>
              <w:snapToGrid w:val="0"/>
              <w:spacing w:line="560" w:lineRule="exact"/>
              <w:rPr>
                <w:rFonts w:ascii="仿宋" w:eastAsia="仿宋" w:hAnsi="仿宋"/>
                <w:sz w:val="22"/>
              </w:rPr>
            </w:pPr>
            <w:r>
              <w:rPr>
                <w:rFonts w:ascii="仿宋" w:eastAsia="仿宋" w:hAnsi="仿宋"/>
                <w:sz w:val="22"/>
              </w:rPr>
              <w:t>教学目标</w:t>
            </w:r>
            <w:r>
              <w:rPr>
                <w:rFonts w:ascii="仿宋" w:eastAsia="仿宋" w:hAnsi="仿宋" w:hint="eastAsia"/>
                <w:sz w:val="22"/>
              </w:rPr>
              <w:t>3</w:t>
            </w:r>
          </w:p>
          <w:p w:rsidR="00C20406" w:rsidRDefault="00C20406" w:rsidP="008C3907">
            <w:pPr>
              <w:snapToGrid w:val="0"/>
              <w:spacing w:line="560" w:lineRule="exact"/>
              <w:rPr>
                <w:rFonts w:ascii="仿宋" w:eastAsia="仿宋" w:hAnsi="仿宋"/>
                <w:sz w:val="22"/>
              </w:rPr>
            </w:pPr>
            <w:r>
              <w:rPr>
                <w:rFonts w:ascii="仿宋" w:eastAsia="仿宋" w:hAnsi="仿宋"/>
                <w:sz w:val="22"/>
              </w:rPr>
              <w:t>教学目标</w:t>
            </w:r>
            <w:r>
              <w:rPr>
                <w:rFonts w:ascii="仿宋" w:eastAsia="仿宋" w:hAnsi="仿宋" w:hint="eastAsia"/>
                <w:sz w:val="22"/>
              </w:rPr>
              <w:t>4</w:t>
            </w:r>
          </w:p>
        </w:tc>
      </w:tr>
    </w:tbl>
    <w:p w:rsidR="00C20406" w:rsidRDefault="00C20406" w:rsidP="00C20406">
      <w:pPr>
        <w:spacing w:line="560" w:lineRule="exact"/>
        <w:ind w:firstLine="331"/>
        <w:rPr>
          <w:rFonts w:ascii="仿宋_GB2312" w:hAnsi="仿宋_GB2312" w:cs="仿宋_GB2312"/>
          <w:b/>
          <w:color w:val="FF0000"/>
          <w:sz w:val="22"/>
        </w:rPr>
      </w:pPr>
    </w:p>
    <w:p w:rsidR="00C20406" w:rsidRDefault="00C20406" w:rsidP="00C20406">
      <w:pPr>
        <w:spacing w:line="560" w:lineRule="exact"/>
        <w:ind w:firstLine="331"/>
        <w:rPr>
          <w:rFonts w:ascii="仿宋_GB2312" w:hAnsi="仿宋_GB2312" w:cs="仿宋_GB2312"/>
          <w:b/>
          <w:sz w:val="28"/>
          <w:szCs w:val="28"/>
        </w:rPr>
      </w:pPr>
      <w:r>
        <w:rPr>
          <w:rFonts w:ascii="仿宋_GB2312" w:hAnsi="仿宋_GB2312" w:cs="仿宋_GB2312" w:hint="eastAsia"/>
          <w:b/>
          <w:sz w:val="28"/>
          <w:szCs w:val="28"/>
        </w:rPr>
        <w:t>3. 课程的重点、难点</w:t>
      </w:r>
    </w:p>
    <w:p w:rsidR="00C20406" w:rsidRDefault="00C20406" w:rsidP="00C20406">
      <w:pPr>
        <w:pStyle w:val="a3"/>
        <w:keepNext w:val="0"/>
        <w:spacing w:line="560" w:lineRule="exact"/>
        <w:ind w:firstLineChars="200" w:firstLine="560"/>
        <w:rPr>
          <w:rFonts w:ascii="仿宋_GB2312" w:eastAsia="仿宋_GB2312" w:hAnsi="仿宋_GB2312" w:cs="仿宋_GB2312"/>
          <w:snapToGrid/>
          <w:kern w:val="2"/>
          <w:sz w:val="28"/>
          <w:szCs w:val="28"/>
        </w:rPr>
      </w:pPr>
      <w:r>
        <w:rPr>
          <w:rFonts w:ascii="仿宋_GB2312" w:eastAsia="仿宋_GB2312" w:hAnsi="仿宋_GB2312" w:cs="仿宋_GB2312"/>
          <w:snapToGrid/>
          <w:kern w:val="2"/>
          <w:sz w:val="28"/>
          <w:szCs w:val="28"/>
        </w:rPr>
        <w:t>（1）课程重点</w:t>
      </w:r>
      <w:r>
        <w:rPr>
          <w:rFonts w:ascii="仿宋_GB2312" w:eastAsia="仿宋_GB2312" w:hAnsi="仿宋_GB2312" w:cs="仿宋_GB2312" w:hint="eastAsia"/>
          <w:snapToGrid/>
          <w:kern w:val="2"/>
          <w:sz w:val="28"/>
          <w:szCs w:val="28"/>
        </w:rPr>
        <w:t>主要包括</w:t>
      </w:r>
      <w:r>
        <w:rPr>
          <w:rFonts w:ascii="仿宋_GB2312" w:eastAsia="仿宋_GB2312" w:hAnsi="仿宋_GB2312" w:cs="仿宋_GB2312"/>
          <w:snapToGrid/>
          <w:kern w:val="2"/>
          <w:sz w:val="28"/>
          <w:szCs w:val="28"/>
        </w:rPr>
        <w:t>三</w:t>
      </w:r>
      <w:r>
        <w:rPr>
          <w:rFonts w:ascii="仿宋_GB2312" w:eastAsia="仿宋_GB2312" w:hAnsi="仿宋_GB2312" w:cs="仿宋_GB2312" w:hint="eastAsia"/>
          <w:snapToGrid/>
          <w:kern w:val="2"/>
          <w:sz w:val="28"/>
          <w:szCs w:val="28"/>
        </w:rPr>
        <w:t>方面：</w:t>
      </w:r>
      <w:r>
        <w:rPr>
          <w:rFonts w:ascii="仿宋_GB2312" w:eastAsia="仿宋_GB2312" w:hAnsi="仿宋_GB2312" w:cs="仿宋_GB2312"/>
          <w:snapToGrid/>
          <w:kern w:val="2"/>
          <w:sz w:val="28"/>
          <w:szCs w:val="28"/>
        </w:rPr>
        <w:t>单级蒸气压缩式制冷的工作原理和系统组成、</w:t>
      </w:r>
      <w:r>
        <w:rPr>
          <w:rFonts w:ascii="仿宋_GB2312" w:eastAsia="仿宋_GB2312" w:hAnsi="仿宋_GB2312" w:cs="仿宋_GB2312"/>
          <w:i/>
          <w:snapToGrid/>
          <w:kern w:val="2"/>
          <w:sz w:val="28"/>
          <w:szCs w:val="28"/>
        </w:rPr>
        <w:t>P-h</w:t>
      </w:r>
      <w:r>
        <w:rPr>
          <w:rFonts w:ascii="仿宋_GB2312" w:eastAsia="仿宋_GB2312" w:hAnsi="仿宋_GB2312" w:cs="仿宋_GB2312"/>
          <w:snapToGrid/>
          <w:kern w:val="2"/>
          <w:sz w:val="28"/>
          <w:szCs w:val="28"/>
        </w:rPr>
        <w:t>图、热力计算</w:t>
      </w:r>
      <w:r>
        <w:rPr>
          <w:rFonts w:ascii="仿宋_GB2312" w:eastAsia="仿宋_GB2312" w:hAnsi="仿宋_GB2312" w:cs="仿宋_GB2312" w:hint="eastAsia"/>
          <w:snapToGrid/>
          <w:kern w:val="2"/>
          <w:sz w:val="28"/>
          <w:szCs w:val="28"/>
        </w:rPr>
        <w:t>以及</w:t>
      </w:r>
      <w:r>
        <w:rPr>
          <w:rFonts w:ascii="仿宋_GB2312" w:eastAsia="仿宋_GB2312" w:hAnsi="仿宋_GB2312" w:cs="仿宋_GB2312"/>
          <w:snapToGrid/>
          <w:kern w:val="2"/>
          <w:sz w:val="28"/>
          <w:szCs w:val="28"/>
        </w:rPr>
        <w:t>制冷设备工作原理和作用</w:t>
      </w:r>
      <w:r>
        <w:rPr>
          <w:rFonts w:ascii="仿宋_GB2312" w:eastAsia="仿宋_GB2312" w:hAnsi="仿宋_GB2312" w:cs="仿宋_GB2312" w:hint="eastAsia"/>
          <w:snapToGrid/>
          <w:kern w:val="2"/>
          <w:sz w:val="28"/>
          <w:szCs w:val="28"/>
        </w:rPr>
        <w:t>；</w:t>
      </w:r>
      <w:r>
        <w:rPr>
          <w:rFonts w:ascii="仿宋_GB2312" w:eastAsia="仿宋_GB2312" w:hAnsi="仿宋_GB2312" w:cs="仿宋_GB2312"/>
          <w:snapToGrid/>
          <w:kern w:val="2"/>
          <w:sz w:val="28"/>
          <w:szCs w:val="28"/>
        </w:rPr>
        <w:t>溴化锂吸收式制冷的工作原理、系统组成</w:t>
      </w:r>
      <w:r>
        <w:rPr>
          <w:rFonts w:ascii="仿宋_GB2312" w:eastAsia="仿宋_GB2312" w:hAnsi="仿宋_GB2312" w:cs="仿宋_GB2312" w:hint="eastAsia"/>
          <w:snapToGrid/>
          <w:kern w:val="2"/>
          <w:sz w:val="28"/>
          <w:szCs w:val="28"/>
        </w:rPr>
        <w:t>、</w:t>
      </w:r>
      <w:r>
        <w:rPr>
          <w:rFonts w:ascii="仿宋_GB2312" w:eastAsia="仿宋_GB2312" w:hAnsi="仿宋_GB2312" w:cs="仿宋_GB2312" w:hint="eastAsia"/>
          <w:i/>
          <w:snapToGrid/>
          <w:kern w:val="2"/>
          <w:sz w:val="28"/>
          <w:szCs w:val="28"/>
        </w:rPr>
        <w:t>h</w:t>
      </w:r>
      <w:r>
        <w:rPr>
          <w:rFonts w:ascii="仿宋_GB2312" w:eastAsia="仿宋_GB2312" w:hAnsi="仿宋_GB2312" w:cs="仿宋_GB2312"/>
          <w:i/>
          <w:snapToGrid/>
          <w:kern w:val="2"/>
          <w:sz w:val="28"/>
          <w:szCs w:val="28"/>
        </w:rPr>
        <w:t>-</w:t>
      </w:r>
      <w:r>
        <w:rPr>
          <w:rFonts w:ascii="仿宋_GB2312" w:eastAsia="仿宋_GB2312" w:hAnsi="仿宋_GB2312" w:cs="仿宋_GB2312" w:hint="eastAsia"/>
          <w:i/>
          <w:snapToGrid/>
          <w:kern w:val="2"/>
          <w:sz w:val="28"/>
          <w:szCs w:val="28"/>
        </w:rPr>
        <w:t>ξ</w:t>
      </w:r>
      <w:r>
        <w:rPr>
          <w:rFonts w:ascii="仿宋_GB2312" w:eastAsia="仿宋_GB2312" w:hAnsi="仿宋_GB2312" w:cs="仿宋_GB2312"/>
          <w:snapToGrid/>
          <w:kern w:val="2"/>
          <w:sz w:val="28"/>
          <w:szCs w:val="28"/>
        </w:rPr>
        <w:t>图以及热力计算</w:t>
      </w:r>
      <w:r>
        <w:rPr>
          <w:rFonts w:ascii="仿宋_GB2312" w:eastAsia="仿宋_GB2312" w:hAnsi="仿宋_GB2312" w:cs="仿宋_GB2312" w:hint="eastAsia"/>
          <w:snapToGrid/>
          <w:kern w:val="2"/>
          <w:sz w:val="28"/>
          <w:szCs w:val="28"/>
        </w:rPr>
        <w:t>；</w:t>
      </w:r>
      <w:r>
        <w:rPr>
          <w:rFonts w:ascii="仿宋_GB2312" w:eastAsia="仿宋_GB2312" w:hAnsi="仿宋_GB2312" w:cs="仿宋_GB2312"/>
          <w:snapToGrid/>
          <w:kern w:val="2"/>
          <w:sz w:val="28"/>
          <w:szCs w:val="28"/>
        </w:rPr>
        <w:t>锅炉房各工艺系统的组成和设备的选择计算</w:t>
      </w:r>
      <w:r>
        <w:rPr>
          <w:rFonts w:ascii="仿宋_GB2312" w:eastAsia="仿宋_GB2312" w:hAnsi="仿宋_GB2312" w:cs="仿宋_GB2312" w:hint="eastAsia"/>
          <w:snapToGrid/>
          <w:kern w:val="2"/>
          <w:sz w:val="28"/>
          <w:szCs w:val="28"/>
        </w:rPr>
        <w:t>。</w:t>
      </w:r>
    </w:p>
    <w:p w:rsidR="00C20406" w:rsidRDefault="00C20406" w:rsidP="00C20406">
      <w:pPr>
        <w:spacing w:line="560" w:lineRule="exact"/>
        <w:ind w:firstLineChars="200" w:firstLine="560"/>
        <w:rPr>
          <w:rFonts w:ascii="仿宋_GB2312" w:hAnsi="仿宋_GB2312" w:cs="仿宋_GB2312"/>
          <w:sz w:val="28"/>
          <w:szCs w:val="28"/>
        </w:rPr>
      </w:pPr>
      <w:r>
        <w:rPr>
          <w:rFonts w:ascii="仿宋_GB2312" w:hAnsi="仿宋_GB2312" w:cs="仿宋_GB2312"/>
          <w:sz w:val="28"/>
          <w:szCs w:val="28"/>
        </w:rPr>
        <w:t>（2）课程的难点是压缩式制冷系统性能改善</w:t>
      </w:r>
      <w:r>
        <w:rPr>
          <w:rFonts w:ascii="仿宋_GB2312" w:hAnsi="仿宋_GB2312" w:cs="仿宋_GB2312" w:hint="eastAsia"/>
          <w:sz w:val="28"/>
          <w:szCs w:val="28"/>
        </w:rPr>
        <w:t>、</w:t>
      </w:r>
      <w:r>
        <w:rPr>
          <w:rFonts w:ascii="仿宋_GB2312" w:hAnsi="仿宋_GB2312" w:cs="仿宋_GB2312"/>
          <w:sz w:val="28"/>
          <w:szCs w:val="28"/>
        </w:rPr>
        <w:t>双级压缩式制冷循环</w:t>
      </w:r>
      <w:r>
        <w:rPr>
          <w:rFonts w:ascii="仿宋_GB2312" w:hAnsi="仿宋_GB2312" w:cs="仿宋_GB2312" w:hint="eastAsia"/>
          <w:sz w:val="28"/>
          <w:szCs w:val="28"/>
        </w:rPr>
        <w:t>、</w:t>
      </w:r>
      <w:r>
        <w:rPr>
          <w:rFonts w:ascii="仿宋_GB2312" w:hAnsi="仿宋_GB2312" w:cs="仿宋_GB2312"/>
          <w:sz w:val="28"/>
          <w:szCs w:val="28"/>
        </w:rPr>
        <w:t>双效溴化锂吸收式制冷流程</w:t>
      </w:r>
      <w:r>
        <w:rPr>
          <w:rFonts w:ascii="仿宋_GB2312" w:hAnsi="仿宋_GB2312" w:cs="仿宋_GB2312" w:hint="eastAsia"/>
          <w:sz w:val="28"/>
          <w:szCs w:val="28"/>
        </w:rPr>
        <w:t>、</w:t>
      </w:r>
      <w:r>
        <w:rPr>
          <w:rFonts w:ascii="仿宋_GB2312" w:hAnsi="仿宋_GB2312" w:cs="仿宋_GB2312"/>
          <w:sz w:val="28"/>
          <w:szCs w:val="28"/>
        </w:rPr>
        <w:t>锅炉本体水循环</w:t>
      </w:r>
      <w:r>
        <w:rPr>
          <w:rFonts w:ascii="仿宋_GB2312" w:hAnsi="仿宋_GB2312" w:cs="仿宋_GB2312" w:hint="eastAsia"/>
          <w:sz w:val="28"/>
          <w:szCs w:val="28"/>
        </w:rPr>
        <w:t>、</w:t>
      </w:r>
      <w:r>
        <w:rPr>
          <w:rFonts w:ascii="仿宋_GB2312" w:hAnsi="仿宋_GB2312" w:cs="仿宋_GB2312"/>
          <w:sz w:val="28"/>
          <w:szCs w:val="28"/>
        </w:rPr>
        <w:t>各种水处理系</w:t>
      </w:r>
      <w:r>
        <w:rPr>
          <w:rFonts w:ascii="仿宋_GB2312" w:hAnsi="仿宋_GB2312" w:cs="仿宋_GB2312"/>
          <w:sz w:val="28"/>
          <w:szCs w:val="28"/>
        </w:rPr>
        <w:lastRenderedPageBreak/>
        <w:t>统的组成和设备选择</w:t>
      </w:r>
      <w:r>
        <w:rPr>
          <w:rFonts w:ascii="仿宋_GB2312" w:hAnsi="仿宋_GB2312" w:cs="仿宋_GB2312" w:hint="eastAsia"/>
          <w:sz w:val="28"/>
          <w:szCs w:val="28"/>
        </w:rPr>
        <w:t>。</w:t>
      </w:r>
    </w:p>
    <w:p w:rsidR="00C20406" w:rsidRDefault="00C20406" w:rsidP="00C20406">
      <w:pPr>
        <w:pStyle w:val="a3"/>
        <w:keepNext w:val="0"/>
        <w:spacing w:line="560" w:lineRule="exact"/>
        <w:ind w:firstLineChars="200" w:firstLine="640"/>
        <w:rPr>
          <w:rFonts w:eastAsia="宋体"/>
          <w:szCs w:val="24"/>
        </w:rPr>
      </w:pPr>
    </w:p>
    <w:p w:rsidR="00C20406" w:rsidRDefault="00C20406" w:rsidP="00C20406">
      <w:pPr>
        <w:spacing w:line="560" w:lineRule="exact"/>
        <w:ind w:firstLine="331"/>
        <w:rPr>
          <w:rFonts w:ascii="仿宋_GB2312" w:hAnsi="仿宋_GB2312" w:cs="仿宋_GB2312"/>
          <w:b/>
          <w:sz w:val="28"/>
          <w:szCs w:val="28"/>
        </w:rPr>
      </w:pPr>
      <w:r>
        <w:rPr>
          <w:rFonts w:ascii="仿宋_GB2312" w:hAnsi="仿宋_GB2312" w:cs="仿宋_GB2312" w:hint="eastAsia"/>
          <w:b/>
          <w:sz w:val="28"/>
          <w:szCs w:val="28"/>
        </w:rPr>
        <w:t>4. 课程思政设计</w:t>
      </w:r>
    </w:p>
    <w:p w:rsidR="00C20406" w:rsidRDefault="00C20406" w:rsidP="00C20406">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结合本课程的特点以及我国现阶段人民日益增长的美好生活需要和不平衡不充分的发展之间的社会主要矛盾；将坚持人与自然和谐共生、绿色发展、节能减排、区域协调发展以及解决环境污染问题、应对气候变化的趋势、实现绿色可持续发展等融入到课程中，强调创新意识、社会责任、职业道德和奋斗精神，增强学习动力、责任感、使命感和主人翁意识。</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994"/>
        <w:gridCol w:w="850"/>
        <w:gridCol w:w="4038"/>
        <w:gridCol w:w="3188"/>
      </w:tblGrid>
      <w:tr w:rsidR="00C20406" w:rsidTr="008C3907">
        <w:trPr>
          <w:cantSplit/>
          <w:trHeight w:val="661"/>
        </w:trPr>
        <w:tc>
          <w:tcPr>
            <w:tcW w:w="532"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序号</w:t>
            </w:r>
          </w:p>
        </w:tc>
        <w:tc>
          <w:tcPr>
            <w:tcW w:w="994"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章  节</w:t>
            </w:r>
          </w:p>
        </w:tc>
        <w:tc>
          <w:tcPr>
            <w:tcW w:w="850" w:type="dxa"/>
            <w:vAlign w:val="center"/>
          </w:tcPr>
          <w:p w:rsidR="00C20406" w:rsidRDefault="00C20406" w:rsidP="008C3907">
            <w:pPr>
              <w:spacing w:line="560" w:lineRule="exact"/>
              <w:jc w:val="center"/>
              <w:rPr>
                <w:rFonts w:ascii="仿宋" w:eastAsia="仿宋" w:hAnsi="仿宋"/>
                <w:sz w:val="22"/>
              </w:rPr>
            </w:pPr>
          </w:p>
          <w:p w:rsidR="00C20406" w:rsidRDefault="00C20406" w:rsidP="008C3907">
            <w:pPr>
              <w:spacing w:line="560" w:lineRule="exact"/>
              <w:jc w:val="center"/>
              <w:rPr>
                <w:rFonts w:ascii="仿宋" w:eastAsia="仿宋" w:hAnsi="仿宋"/>
                <w:sz w:val="22"/>
              </w:rPr>
            </w:pPr>
            <w:r>
              <w:rPr>
                <w:rFonts w:ascii="仿宋" w:eastAsia="仿宋" w:hAnsi="仿宋" w:hint="eastAsia"/>
                <w:sz w:val="22"/>
              </w:rPr>
              <w:t>参考学时</w:t>
            </w:r>
          </w:p>
          <w:p w:rsidR="00C20406" w:rsidRDefault="00C20406" w:rsidP="008C3907">
            <w:pPr>
              <w:spacing w:line="560" w:lineRule="exact"/>
              <w:jc w:val="center"/>
              <w:rPr>
                <w:rFonts w:ascii="仿宋" w:eastAsia="仿宋" w:hAnsi="仿宋"/>
                <w:sz w:val="22"/>
              </w:rPr>
            </w:pPr>
          </w:p>
        </w:tc>
        <w:tc>
          <w:tcPr>
            <w:tcW w:w="4038" w:type="dxa"/>
            <w:vAlign w:val="center"/>
          </w:tcPr>
          <w:p w:rsidR="00C20406" w:rsidRDefault="00C20406" w:rsidP="008C3907">
            <w:pPr>
              <w:spacing w:line="560" w:lineRule="exact"/>
              <w:ind w:firstLineChars="600" w:firstLine="1320"/>
              <w:rPr>
                <w:rFonts w:ascii="仿宋" w:eastAsia="仿宋" w:hAnsi="仿宋"/>
                <w:sz w:val="22"/>
              </w:rPr>
            </w:pPr>
            <w:r>
              <w:rPr>
                <w:rFonts w:ascii="仿宋" w:eastAsia="仿宋" w:hAnsi="仿宋" w:hint="eastAsia"/>
                <w:sz w:val="22"/>
              </w:rPr>
              <w:t>教学内容</w:t>
            </w:r>
          </w:p>
        </w:tc>
        <w:tc>
          <w:tcPr>
            <w:tcW w:w="3188"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基本要求</w:t>
            </w:r>
          </w:p>
        </w:tc>
      </w:tr>
      <w:tr w:rsidR="00C20406" w:rsidTr="008C3907">
        <w:trPr>
          <w:trHeight w:val="1917"/>
        </w:trPr>
        <w:tc>
          <w:tcPr>
            <w:tcW w:w="532"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1</w:t>
            </w:r>
          </w:p>
        </w:tc>
        <w:tc>
          <w:tcPr>
            <w:tcW w:w="994"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绪 论</w:t>
            </w:r>
          </w:p>
        </w:tc>
        <w:tc>
          <w:tcPr>
            <w:tcW w:w="850"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1</w:t>
            </w:r>
          </w:p>
        </w:tc>
        <w:tc>
          <w:tcPr>
            <w:tcW w:w="4038" w:type="dxa"/>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第一节 能源与空调工程</w:t>
            </w:r>
          </w:p>
          <w:p w:rsidR="00C20406" w:rsidRDefault="00C20406" w:rsidP="008C3907">
            <w:pPr>
              <w:spacing w:line="560" w:lineRule="exact"/>
              <w:rPr>
                <w:rFonts w:ascii="仿宋" w:eastAsia="仿宋" w:hAnsi="仿宋"/>
                <w:sz w:val="22"/>
              </w:rPr>
            </w:pPr>
            <w:r>
              <w:rPr>
                <w:rFonts w:ascii="仿宋" w:eastAsia="仿宋" w:hAnsi="仿宋" w:hint="eastAsia"/>
                <w:sz w:val="22"/>
              </w:rPr>
              <w:t>第二节 空调冷热源</w:t>
            </w:r>
          </w:p>
          <w:p w:rsidR="00C20406" w:rsidRDefault="00C20406" w:rsidP="008C3907">
            <w:pPr>
              <w:spacing w:line="560" w:lineRule="exact"/>
              <w:rPr>
                <w:rFonts w:ascii="仿宋" w:eastAsia="仿宋" w:hAnsi="仿宋"/>
                <w:sz w:val="22"/>
              </w:rPr>
            </w:pPr>
            <w:r>
              <w:rPr>
                <w:rFonts w:ascii="仿宋" w:eastAsia="仿宋" w:hAnsi="仿宋" w:hint="eastAsia"/>
                <w:sz w:val="22"/>
              </w:rPr>
              <w:t>第三节 空调冷热源发展与应用</w:t>
            </w:r>
          </w:p>
          <w:p w:rsidR="00C20406" w:rsidRDefault="00C20406" w:rsidP="008C3907">
            <w:pPr>
              <w:spacing w:line="560" w:lineRule="exact"/>
              <w:rPr>
                <w:rFonts w:ascii="仿宋" w:eastAsia="仿宋" w:hAnsi="仿宋"/>
                <w:sz w:val="22"/>
              </w:rPr>
            </w:pPr>
          </w:p>
        </w:tc>
        <w:tc>
          <w:tcPr>
            <w:tcW w:w="3188" w:type="dxa"/>
            <w:vAlign w:val="center"/>
          </w:tcPr>
          <w:p w:rsidR="00C20406" w:rsidRDefault="00C20406" w:rsidP="005F6318">
            <w:pPr>
              <w:numPr>
                <w:ilvl w:val="0"/>
                <w:numId w:val="30"/>
              </w:numPr>
              <w:spacing w:line="560" w:lineRule="exact"/>
              <w:rPr>
                <w:rFonts w:ascii="仿宋" w:eastAsia="仿宋" w:hAnsi="仿宋"/>
                <w:sz w:val="22"/>
              </w:rPr>
            </w:pPr>
            <w:r>
              <w:rPr>
                <w:rFonts w:ascii="仿宋" w:eastAsia="仿宋" w:hAnsi="仿宋" w:hint="eastAsia"/>
                <w:sz w:val="22"/>
              </w:rPr>
              <w:t>了解能源型式、品味以及与冷热源之间的关系；</w:t>
            </w:r>
          </w:p>
          <w:p w:rsidR="00C20406" w:rsidRDefault="00C20406" w:rsidP="005F6318">
            <w:pPr>
              <w:numPr>
                <w:ilvl w:val="0"/>
                <w:numId w:val="30"/>
              </w:numPr>
              <w:spacing w:line="560" w:lineRule="exact"/>
              <w:rPr>
                <w:rFonts w:ascii="仿宋" w:eastAsia="仿宋" w:hAnsi="仿宋"/>
                <w:sz w:val="22"/>
              </w:rPr>
            </w:pPr>
            <w:r>
              <w:rPr>
                <w:rFonts w:ascii="仿宋" w:eastAsia="仿宋" w:hAnsi="仿宋" w:hint="eastAsia"/>
                <w:sz w:val="22"/>
              </w:rPr>
              <w:t>了解空调冷热源的发展趋势及应用</w:t>
            </w:r>
          </w:p>
        </w:tc>
      </w:tr>
      <w:tr w:rsidR="00C20406" w:rsidTr="008C3907">
        <w:trPr>
          <w:trHeight w:val="2203"/>
        </w:trPr>
        <w:tc>
          <w:tcPr>
            <w:tcW w:w="532" w:type="dxa"/>
            <w:vAlign w:val="center"/>
          </w:tcPr>
          <w:p w:rsidR="00C20406" w:rsidRDefault="00C20406" w:rsidP="008C3907">
            <w:pPr>
              <w:spacing w:line="560" w:lineRule="exact"/>
              <w:rPr>
                <w:rFonts w:ascii="仿宋" w:eastAsia="仿宋" w:hAnsi="仿宋"/>
                <w:sz w:val="22"/>
              </w:rPr>
            </w:pPr>
          </w:p>
          <w:p w:rsidR="00C20406" w:rsidRDefault="00C20406" w:rsidP="008C3907">
            <w:pPr>
              <w:spacing w:line="560" w:lineRule="exact"/>
              <w:rPr>
                <w:rFonts w:ascii="仿宋" w:eastAsia="仿宋" w:hAnsi="仿宋"/>
                <w:sz w:val="22"/>
              </w:rPr>
            </w:pPr>
            <w:r>
              <w:rPr>
                <w:rFonts w:ascii="仿宋" w:eastAsia="仿宋" w:hAnsi="仿宋" w:hint="eastAsia"/>
                <w:sz w:val="22"/>
              </w:rPr>
              <w:t>2</w:t>
            </w:r>
          </w:p>
        </w:tc>
        <w:tc>
          <w:tcPr>
            <w:tcW w:w="994"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第一章</w:t>
            </w:r>
          </w:p>
          <w:p w:rsidR="00C20406" w:rsidRDefault="00C20406" w:rsidP="008C3907">
            <w:pPr>
              <w:spacing w:line="560" w:lineRule="exact"/>
              <w:jc w:val="center"/>
              <w:rPr>
                <w:rFonts w:ascii="仿宋" w:eastAsia="仿宋" w:hAnsi="仿宋"/>
                <w:sz w:val="22"/>
              </w:rPr>
            </w:pPr>
          </w:p>
        </w:tc>
        <w:tc>
          <w:tcPr>
            <w:tcW w:w="850"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9</w:t>
            </w:r>
          </w:p>
        </w:tc>
        <w:tc>
          <w:tcPr>
            <w:tcW w:w="4038" w:type="dxa"/>
            <w:vAlign w:val="center"/>
          </w:tcPr>
          <w:p w:rsidR="00C20406" w:rsidRDefault="00C20406" w:rsidP="005F6318">
            <w:pPr>
              <w:numPr>
                <w:ilvl w:val="0"/>
                <w:numId w:val="25"/>
              </w:numPr>
              <w:spacing w:line="560" w:lineRule="exact"/>
              <w:rPr>
                <w:rFonts w:ascii="仿宋" w:eastAsia="仿宋" w:hAnsi="仿宋"/>
                <w:sz w:val="22"/>
              </w:rPr>
            </w:pPr>
            <w:r>
              <w:rPr>
                <w:rFonts w:ascii="仿宋" w:eastAsia="仿宋" w:hAnsi="仿宋" w:hint="eastAsia"/>
                <w:sz w:val="22"/>
              </w:rPr>
              <w:t>理想制冷循环</w:t>
            </w:r>
          </w:p>
          <w:p w:rsidR="00C20406" w:rsidRDefault="00C20406" w:rsidP="005F6318">
            <w:pPr>
              <w:numPr>
                <w:ilvl w:val="0"/>
                <w:numId w:val="25"/>
              </w:numPr>
              <w:spacing w:line="560" w:lineRule="exact"/>
              <w:rPr>
                <w:rFonts w:ascii="仿宋" w:eastAsia="仿宋" w:hAnsi="仿宋"/>
                <w:sz w:val="22"/>
              </w:rPr>
            </w:pPr>
            <w:r>
              <w:rPr>
                <w:rFonts w:ascii="仿宋" w:eastAsia="仿宋" w:hAnsi="仿宋" w:hint="eastAsia"/>
                <w:sz w:val="22"/>
              </w:rPr>
              <w:t>蒸汽压缩式制冷的理论循环</w:t>
            </w:r>
          </w:p>
          <w:p w:rsidR="00C20406" w:rsidRDefault="00C20406" w:rsidP="005F6318">
            <w:pPr>
              <w:numPr>
                <w:ilvl w:val="0"/>
                <w:numId w:val="25"/>
              </w:numPr>
              <w:spacing w:line="560" w:lineRule="exact"/>
              <w:rPr>
                <w:rFonts w:ascii="仿宋" w:eastAsia="仿宋" w:hAnsi="仿宋"/>
                <w:sz w:val="22"/>
              </w:rPr>
            </w:pPr>
            <w:r>
              <w:rPr>
                <w:rFonts w:ascii="仿宋" w:eastAsia="仿宋" w:hAnsi="仿宋" w:hint="eastAsia"/>
                <w:sz w:val="22"/>
              </w:rPr>
              <w:t>蒸汽压缩式制冷理论循环的热力计算</w:t>
            </w:r>
          </w:p>
          <w:p w:rsidR="00C20406" w:rsidRDefault="00C20406" w:rsidP="005F6318">
            <w:pPr>
              <w:numPr>
                <w:ilvl w:val="0"/>
                <w:numId w:val="25"/>
              </w:numPr>
              <w:spacing w:line="560" w:lineRule="exact"/>
              <w:rPr>
                <w:rFonts w:ascii="仿宋" w:eastAsia="仿宋" w:hAnsi="仿宋"/>
                <w:sz w:val="22"/>
              </w:rPr>
            </w:pPr>
            <w:r>
              <w:rPr>
                <w:rFonts w:ascii="仿宋" w:eastAsia="仿宋" w:hAnsi="仿宋" w:hint="eastAsia"/>
                <w:sz w:val="22"/>
              </w:rPr>
              <w:t>蒸汽压缩式制冷的实际循环</w:t>
            </w:r>
          </w:p>
          <w:p w:rsidR="00C20406" w:rsidRDefault="00C20406" w:rsidP="005F6318">
            <w:pPr>
              <w:numPr>
                <w:ilvl w:val="0"/>
                <w:numId w:val="25"/>
              </w:numPr>
              <w:spacing w:line="560" w:lineRule="exact"/>
              <w:rPr>
                <w:rFonts w:ascii="仿宋" w:eastAsia="仿宋" w:hAnsi="仿宋"/>
                <w:sz w:val="22"/>
              </w:rPr>
            </w:pPr>
            <w:r>
              <w:rPr>
                <w:rFonts w:ascii="仿宋" w:eastAsia="仿宋" w:hAnsi="仿宋" w:hint="eastAsia"/>
                <w:sz w:val="22"/>
              </w:rPr>
              <w:t>双级压缩和复叠式制冷</w:t>
            </w:r>
          </w:p>
          <w:p w:rsidR="00C20406" w:rsidRDefault="00C20406" w:rsidP="005F6318">
            <w:pPr>
              <w:numPr>
                <w:ilvl w:val="0"/>
                <w:numId w:val="25"/>
              </w:numPr>
              <w:spacing w:line="560" w:lineRule="exact"/>
              <w:rPr>
                <w:rFonts w:ascii="仿宋" w:eastAsia="仿宋" w:hAnsi="仿宋"/>
                <w:sz w:val="22"/>
              </w:rPr>
            </w:pPr>
            <w:r>
              <w:rPr>
                <w:rFonts w:ascii="仿宋" w:eastAsia="仿宋" w:hAnsi="仿宋" w:hint="eastAsia"/>
                <w:sz w:val="22"/>
              </w:rPr>
              <w:lastRenderedPageBreak/>
              <w:t>制冷剂、载冷剂和润滑油</w:t>
            </w:r>
          </w:p>
        </w:tc>
        <w:tc>
          <w:tcPr>
            <w:tcW w:w="3188" w:type="dxa"/>
            <w:vAlign w:val="center"/>
          </w:tcPr>
          <w:p w:rsidR="00C20406" w:rsidRDefault="00C20406" w:rsidP="005F6318">
            <w:pPr>
              <w:numPr>
                <w:ilvl w:val="0"/>
                <w:numId w:val="31"/>
              </w:numPr>
              <w:spacing w:line="560" w:lineRule="exact"/>
              <w:rPr>
                <w:rFonts w:ascii="仿宋" w:eastAsia="仿宋" w:hAnsi="仿宋"/>
                <w:sz w:val="22"/>
              </w:rPr>
            </w:pPr>
            <w:r>
              <w:rPr>
                <w:rFonts w:ascii="仿宋" w:eastAsia="仿宋" w:hAnsi="仿宋" w:hint="eastAsia"/>
                <w:sz w:val="22"/>
              </w:rPr>
              <w:lastRenderedPageBreak/>
              <w:t>掌握蒸汽压缩式制冷和热泵的循环原理；</w:t>
            </w:r>
          </w:p>
          <w:p w:rsidR="00C20406" w:rsidRDefault="00C20406" w:rsidP="005F6318">
            <w:pPr>
              <w:numPr>
                <w:ilvl w:val="0"/>
                <w:numId w:val="31"/>
              </w:numPr>
              <w:spacing w:line="560" w:lineRule="exact"/>
              <w:rPr>
                <w:rFonts w:ascii="仿宋" w:eastAsia="仿宋" w:hAnsi="仿宋"/>
                <w:sz w:val="22"/>
              </w:rPr>
            </w:pPr>
            <w:r>
              <w:rPr>
                <w:rFonts w:ascii="仿宋" w:eastAsia="仿宋" w:hAnsi="仿宋" w:hint="eastAsia"/>
                <w:sz w:val="22"/>
              </w:rPr>
              <w:t>掌握蒸汽压缩式制冷理论循环的基本构成以及各项基本组成的作用、流程、压焓图和热力计算；</w:t>
            </w:r>
          </w:p>
          <w:p w:rsidR="00C20406" w:rsidRDefault="00C20406" w:rsidP="008C3907">
            <w:pPr>
              <w:spacing w:line="560" w:lineRule="exact"/>
              <w:rPr>
                <w:rFonts w:ascii="仿宋" w:eastAsia="仿宋" w:hAnsi="仿宋"/>
                <w:sz w:val="22"/>
              </w:rPr>
            </w:pPr>
            <w:r>
              <w:rPr>
                <w:rFonts w:ascii="仿宋" w:eastAsia="仿宋" w:hAnsi="仿宋" w:hint="eastAsia"/>
                <w:sz w:val="22"/>
              </w:rPr>
              <w:lastRenderedPageBreak/>
              <w:t>3、掌握理想循环、理论循环和实际循环之间的差异以及制冷循环的改善措施；</w:t>
            </w:r>
          </w:p>
          <w:p w:rsidR="00C20406" w:rsidRDefault="00C20406" w:rsidP="008C3907">
            <w:pPr>
              <w:spacing w:line="560" w:lineRule="exact"/>
              <w:rPr>
                <w:rFonts w:ascii="仿宋" w:eastAsia="仿宋" w:hAnsi="仿宋"/>
                <w:sz w:val="22"/>
              </w:rPr>
            </w:pPr>
            <w:r>
              <w:rPr>
                <w:rFonts w:ascii="仿宋" w:eastAsia="仿宋" w:hAnsi="仿宋" w:hint="eastAsia"/>
                <w:sz w:val="22"/>
              </w:rPr>
              <w:t>4、掌握双级压缩的基本概念、分类以及双级压缩制冷循环流程和p-h图。</w:t>
            </w:r>
          </w:p>
          <w:p w:rsidR="00C20406" w:rsidRDefault="00C20406" w:rsidP="008C3907">
            <w:pPr>
              <w:spacing w:line="560" w:lineRule="exact"/>
              <w:rPr>
                <w:rFonts w:ascii="仿宋" w:eastAsia="仿宋" w:hAnsi="仿宋"/>
                <w:sz w:val="22"/>
              </w:rPr>
            </w:pPr>
            <w:r>
              <w:rPr>
                <w:rFonts w:ascii="仿宋" w:eastAsia="仿宋" w:hAnsi="仿宋" w:hint="eastAsia"/>
                <w:sz w:val="22"/>
              </w:rPr>
              <w:t>5、熟悉双级压缩中间冷却的分类以及热交换过程</w:t>
            </w:r>
          </w:p>
          <w:p w:rsidR="00C20406" w:rsidRDefault="00C20406" w:rsidP="008C3907">
            <w:pPr>
              <w:spacing w:line="560" w:lineRule="exact"/>
              <w:rPr>
                <w:rFonts w:ascii="仿宋" w:eastAsia="仿宋" w:hAnsi="仿宋"/>
                <w:sz w:val="22"/>
              </w:rPr>
            </w:pPr>
            <w:r>
              <w:rPr>
                <w:rFonts w:ascii="仿宋" w:eastAsia="仿宋" w:hAnsi="仿宋" w:hint="eastAsia"/>
                <w:sz w:val="22"/>
              </w:rPr>
              <w:t>6、了解复叠式制冷循环</w:t>
            </w:r>
          </w:p>
          <w:p w:rsidR="00C20406" w:rsidRDefault="00C20406" w:rsidP="008C3907">
            <w:pPr>
              <w:spacing w:line="560" w:lineRule="exact"/>
              <w:rPr>
                <w:rFonts w:ascii="仿宋" w:eastAsia="仿宋" w:hAnsi="仿宋"/>
                <w:sz w:val="22"/>
              </w:rPr>
            </w:pPr>
            <w:r>
              <w:rPr>
                <w:rFonts w:ascii="仿宋" w:eastAsia="仿宋" w:hAnsi="仿宋" w:hint="eastAsia"/>
                <w:sz w:val="22"/>
              </w:rPr>
              <w:t>7、熟悉制冷剂、载冷剂和润滑油的基本要求及其各项性质对制冷循环性能的影响</w:t>
            </w:r>
          </w:p>
          <w:p w:rsidR="00C20406" w:rsidRDefault="00C20406" w:rsidP="008C3907">
            <w:pPr>
              <w:spacing w:line="560" w:lineRule="exact"/>
              <w:rPr>
                <w:rFonts w:ascii="仿宋" w:eastAsia="仿宋" w:hAnsi="仿宋"/>
                <w:sz w:val="22"/>
              </w:rPr>
            </w:pPr>
            <w:r>
              <w:rPr>
                <w:rFonts w:ascii="仿宋" w:eastAsia="仿宋" w:hAnsi="仿宋" w:hint="eastAsia"/>
                <w:sz w:val="22"/>
              </w:rPr>
              <w:t>8、了解制冷剂的替代趋势以及制冷剂替代后对制冷循环性能的影响</w:t>
            </w:r>
          </w:p>
        </w:tc>
      </w:tr>
      <w:tr w:rsidR="00C20406" w:rsidTr="008C3907">
        <w:trPr>
          <w:trHeight w:val="2324"/>
        </w:trPr>
        <w:tc>
          <w:tcPr>
            <w:tcW w:w="532"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lastRenderedPageBreak/>
              <w:t>3</w:t>
            </w:r>
          </w:p>
        </w:tc>
        <w:tc>
          <w:tcPr>
            <w:tcW w:w="994"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第二章</w:t>
            </w:r>
          </w:p>
          <w:p w:rsidR="00C20406" w:rsidRDefault="00C20406" w:rsidP="008C3907">
            <w:pPr>
              <w:spacing w:line="560" w:lineRule="exact"/>
              <w:jc w:val="center"/>
              <w:rPr>
                <w:rFonts w:ascii="仿宋" w:eastAsia="仿宋" w:hAnsi="仿宋"/>
                <w:sz w:val="22"/>
              </w:rPr>
            </w:pPr>
          </w:p>
        </w:tc>
        <w:tc>
          <w:tcPr>
            <w:tcW w:w="850"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8</w:t>
            </w:r>
          </w:p>
        </w:tc>
        <w:tc>
          <w:tcPr>
            <w:tcW w:w="4038" w:type="dxa"/>
            <w:vAlign w:val="center"/>
          </w:tcPr>
          <w:p w:rsidR="00C20406" w:rsidRDefault="00C20406" w:rsidP="005F6318">
            <w:pPr>
              <w:numPr>
                <w:ilvl w:val="0"/>
                <w:numId w:val="32"/>
              </w:numPr>
              <w:spacing w:line="560" w:lineRule="exact"/>
              <w:rPr>
                <w:rFonts w:ascii="仿宋" w:eastAsia="仿宋" w:hAnsi="仿宋"/>
                <w:sz w:val="22"/>
              </w:rPr>
            </w:pPr>
            <w:r>
              <w:rPr>
                <w:rFonts w:ascii="仿宋" w:eastAsia="仿宋" w:hAnsi="仿宋" w:hint="eastAsia"/>
                <w:sz w:val="22"/>
              </w:rPr>
              <w:t>制冷压缩机</w:t>
            </w:r>
          </w:p>
          <w:p w:rsidR="00C20406" w:rsidRDefault="00C20406" w:rsidP="005F6318">
            <w:pPr>
              <w:numPr>
                <w:ilvl w:val="0"/>
                <w:numId w:val="32"/>
              </w:numPr>
              <w:spacing w:line="560" w:lineRule="exact"/>
              <w:rPr>
                <w:rFonts w:ascii="仿宋" w:eastAsia="仿宋" w:hAnsi="仿宋"/>
                <w:sz w:val="22"/>
              </w:rPr>
            </w:pPr>
            <w:r>
              <w:rPr>
                <w:rFonts w:ascii="仿宋" w:eastAsia="仿宋" w:hAnsi="仿宋" w:hint="eastAsia"/>
                <w:sz w:val="22"/>
              </w:rPr>
              <w:t>冷凝器</w:t>
            </w:r>
          </w:p>
          <w:p w:rsidR="00C20406" w:rsidRDefault="00C20406" w:rsidP="005F6318">
            <w:pPr>
              <w:numPr>
                <w:ilvl w:val="0"/>
                <w:numId w:val="32"/>
              </w:numPr>
              <w:spacing w:line="560" w:lineRule="exact"/>
              <w:rPr>
                <w:rFonts w:ascii="仿宋" w:eastAsia="仿宋" w:hAnsi="仿宋"/>
                <w:sz w:val="22"/>
              </w:rPr>
            </w:pPr>
            <w:r>
              <w:rPr>
                <w:rFonts w:ascii="仿宋" w:eastAsia="仿宋" w:hAnsi="仿宋" w:hint="eastAsia"/>
                <w:sz w:val="22"/>
              </w:rPr>
              <w:t>蒸发器</w:t>
            </w:r>
          </w:p>
          <w:p w:rsidR="00C20406" w:rsidRDefault="00C20406" w:rsidP="005F6318">
            <w:pPr>
              <w:numPr>
                <w:ilvl w:val="0"/>
                <w:numId w:val="32"/>
              </w:numPr>
              <w:spacing w:line="560" w:lineRule="exact"/>
              <w:rPr>
                <w:rFonts w:ascii="仿宋" w:eastAsia="仿宋" w:hAnsi="仿宋"/>
                <w:sz w:val="22"/>
              </w:rPr>
            </w:pPr>
            <w:r>
              <w:rPr>
                <w:rFonts w:ascii="仿宋" w:eastAsia="仿宋" w:hAnsi="仿宋" w:hint="eastAsia"/>
                <w:sz w:val="22"/>
              </w:rPr>
              <w:t>节流机构</w:t>
            </w:r>
          </w:p>
          <w:p w:rsidR="00C20406" w:rsidRDefault="00C20406" w:rsidP="005F6318">
            <w:pPr>
              <w:numPr>
                <w:ilvl w:val="0"/>
                <w:numId w:val="32"/>
              </w:numPr>
              <w:spacing w:line="560" w:lineRule="exact"/>
              <w:rPr>
                <w:rFonts w:ascii="仿宋" w:eastAsia="仿宋" w:hAnsi="仿宋"/>
                <w:sz w:val="22"/>
              </w:rPr>
            </w:pPr>
            <w:r>
              <w:rPr>
                <w:rFonts w:ascii="仿宋" w:eastAsia="仿宋" w:hAnsi="仿宋" w:hint="eastAsia"/>
                <w:sz w:val="22"/>
              </w:rPr>
              <w:t>蒸汽压缩式冷水机组</w:t>
            </w:r>
          </w:p>
        </w:tc>
        <w:tc>
          <w:tcPr>
            <w:tcW w:w="3188" w:type="dxa"/>
            <w:vAlign w:val="center"/>
          </w:tcPr>
          <w:p w:rsidR="00C20406" w:rsidRDefault="00C20406" w:rsidP="005F6318">
            <w:pPr>
              <w:numPr>
                <w:ilvl w:val="0"/>
                <w:numId w:val="33"/>
              </w:numPr>
              <w:spacing w:line="560" w:lineRule="exact"/>
              <w:rPr>
                <w:rFonts w:ascii="仿宋" w:eastAsia="仿宋" w:hAnsi="仿宋"/>
                <w:sz w:val="22"/>
              </w:rPr>
            </w:pPr>
            <w:r>
              <w:rPr>
                <w:rFonts w:ascii="仿宋" w:eastAsia="仿宋" w:hAnsi="仿宋" w:hint="eastAsia"/>
                <w:sz w:val="22"/>
              </w:rPr>
              <w:t>熟悉压缩机、冷凝器、蒸发器和节流机构等设备的原理、分类和选择计算；</w:t>
            </w:r>
          </w:p>
          <w:p w:rsidR="00C20406" w:rsidRDefault="00C20406" w:rsidP="005F6318">
            <w:pPr>
              <w:numPr>
                <w:ilvl w:val="0"/>
                <w:numId w:val="33"/>
              </w:numPr>
              <w:spacing w:line="560" w:lineRule="exact"/>
              <w:rPr>
                <w:rFonts w:ascii="仿宋" w:eastAsia="仿宋" w:hAnsi="仿宋"/>
                <w:sz w:val="22"/>
              </w:rPr>
            </w:pPr>
            <w:r>
              <w:rPr>
                <w:rFonts w:ascii="仿宋" w:eastAsia="仿宋" w:hAnsi="仿宋" w:hint="eastAsia"/>
                <w:sz w:val="22"/>
              </w:rPr>
              <w:t>掌握压缩机的主要性能指标；</w:t>
            </w:r>
          </w:p>
          <w:p w:rsidR="00C20406" w:rsidRDefault="00C20406" w:rsidP="005F6318">
            <w:pPr>
              <w:numPr>
                <w:ilvl w:val="0"/>
                <w:numId w:val="33"/>
              </w:numPr>
              <w:spacing w:line="560" w:lineRule="exact"/>
              <w:rPr>
                <w:rFonts w:ascii="仿宋" w:eastAsia="仿宋" w:hAnsi="仿宋"/>
                <w:sz w:val="22"/>
              </w:rPr>
            </w:pPr>
            <w:r>
              <w:rPr>
                <w:rFonts w:ascii="仿宋" w:eastAsia="仿宋" w:hAnsi="仿宋" w:hint="eastAsia"/>
                <w:sz w:val="22"/>
              </w:rPr>
              <w:t>了解各种制冷机组、热泵机组的类型、组成、工作特性及容量调节。</w:t>
            </w:r>
          </w:p>
          <w:p w:rsidR="00C20406" w:rsidRDefault="00C20406" w:rsidP="008C3907">
            <w:pPr>
              <w:spacing w:line="560" w:lineRule="exact"/>
              <w:rPr>
                <w:rFonts w:ascii="仿宋" w:eastAsia="仿宋" w:hAnsi="仿宋"/>
                <w:sz w:val="22"/>
              </w:rPr>
            </w:pPr>
          </w:p>
        </w:tc>
      </w:tr>
      <w:tr w:rsidR="00C20406" w:rsidTr="008C3907">
        <w:trPr>
          <w:trHeight w:val="1380"/>
        </w:trPr>
        <w:tc>
          <w:tcPr>
            <w:tcW w:w="532"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lastRenderedPageBreak/>
              <w:t>4</w:t>
            </w:r>
          </w:p>
        </w:tc>
        <w:tc>
          <w:tcPr>
            <w:tcW w:w="994"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第三章</w:t>
            </w:r>
          </w:p>
        </w:tc>
        <w:tc>
          <w:tcPr>
            <w:tcW w:w="850"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2</w:t>
            </w:r>
          </w:p>
        </w:tc>
        <w:tc>
          <w:tcPr>
            <w:tcW w:w="4038" w:type="dxa"/>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第一节 制冷系统的典型流程</w:t>
            </w:r>
          </w:p>
          <w:p w:rsidR="00C20406" w:rsidRDefault="00C20406" w:rsidP="008C3907">
            <w:pPr>
              <w:spacing w:line="560" w:lineRule="exact"/>
              <w:rPr>
                <w:rFonts w:ascii="仿宋" w:eastAsia="仿宋" w:hAnsi="仿宋"/>
                <w:sz w:val="22"/>
              </w:rPr>
            </w:pPr>
            <w:r>
              <w:rPr>
                <w:rFonts w:ascii="仿宋" w:eastAsia="仿宋" w:hAnsi="仿宋" w:hint="eastAsia"/>
                <w:sz w:val="22"/>
              </w:rPr>
              <w:t>第二节 制冷系统的辅助设备</w:t>
            </w:r>
          </w:p>
          <w:p w:rsidR="00C20406" w:rsidRDefault="00C20406" w:rsidP="008C3907">
            <w:pPr>
              <w:spacing w:line="560" w:lineRule="exact"/>
              <w:rPr>
                <w:rFonts w:ascii="仿宋" w:eastAsia="仿宋" w:hAnsi="仿宋"/>
                <w:sz w:val="22"/>
              </w:rPr>
            </w:pPr>
            <w:r>
              <w:rPr>
                <w:rFonts w:ascii="仿宋" w:eastAsia="仿宋" w:hAnsi="仿宋" w:hint="eastAsia"/>
                <w:sz w:val="22"/>
              </w:rPr>
              <w:t>第三节 制冷剂系统管径确定</w:t>
            </w:r>
          </w:p>
          <w:p w:rsidR="00C20406" w:rsidRDefault="00C20406" w:rsidP="008C3907">
            <w:pPr>
              <w:spacing w:line="560" w:lineRule="exact"/>
              <w:rPr>
                <w:rFonts w:ascii="仿宋" w:eastAsia="仿宋" w:hAnsi="仿宋"/>
                <w:sz w:val="22"/>
              </w:rPr>
            </w:pPr>
            <w:r>
              <w:rPr>
                <w:rFonts w:ascii="仿宋" w:eastAsia="仿宋" w:hAnsi="仿宋" w:hint="eastAsia"/>
                <w:sz w:val="22"/>
              </w:rPr>
              <w:t>第四节 制冷系统运行控制与调节</w:t>
            </w:r>
          </w:p>
          <w:p w:rsidR="00C20406" w:rsidRDefault="00C20406" w:rsidP="008C3907">
            <w:pPr>
              <w:spacing w:line="560" w:lineRule="exact"/>
              <w:rPr>
                <w:rFonts w:ascii="仿宋" w:eastAsia="仿宋" w:hAnsi="仿宋"/>
                <w:sz w:val="22"/>
              </w:rPr>
            </w:pPr>
          </w:p>
        </w:tc>
        <w:tc>
          <w:tcPr>
            <w:tcW w:w="3188" w:type="dxa"/>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1、掌握制冷系统各辅助设备的工作原理、作用及适用场合；</w:t>
            </w:r>
          </w:p>
          <w:p w:rsidR="00C20406" w:rsidRDefault="00C20406" w:rsidP="008C3907">
            <w:pPr>
              <w:spacing w:line="560" w:lineRule="exact"/>
              <w:rPr>
                <w:rFonts w:ascii="仿宋" w:eastAsia="仿宋" w:hAnsi="仿宋"/>
                <w:sz w:val="22"/>
              </w:rPr>
            </w:pPr>
            <w:r>
              <w:rPr>
                <w:rFonts w:ascii="仿宋" w:eastAsia="仿宋" w:hAnsi="仿宋" w:hint="eastAsia"/>
                <w:sz w:val="22"/>
              </w:rPr>
              <w:t>2、熟悉制冷系统的典型流程；</w:t>
            </w:r>
          </w:p>
          <w:p w:rsidR="00C20406" w:rsidRDefault="00C20406" w:rsidP="008C3907">
            <w:pPr>
              <w:spacing w:line="560" w:lineRule="exact"/>
              <w:rPr>
                <w:rFonts w:ascii="仿宋" w:eastAsia="仿宋" w:hAnsi="仿宋"/>
                <w:sz w:val="22"/>
              </w:rPr>
            </w:pPr>
            <w:r>
              <w:rPr>
                <w:rFonts w:ascii="仿宋" w:eastAsia="仿宋" w:hAnsi="仿宋" w:hint="eastAsia"/>
                <w:sz w:val="22"/>
              </w:rPr>
              <w:t>3、熟悉制冷系统的控制与运行调节；</w:t>
            </w:r>
          </w:p>
          <w:p w:rsidR="00C20406" w:rsidRDefault="00C20406" w:rsidP="008C3907">
            <w:pPr>
              <w:spacing w:line="560" w:lineRule="exact"/>
              <w:rPr>
                <w:rFonts w:ascii="仿宋" w:eastAsia="仿宋" w:hAnsi="仿宋"/>
                <w:sz w:val="22"/>
              </w:rPr>
            </w:pPr>
            <w:r>
              <w:rPr>
                <w:rFonts w:ascii="仿宋" w:eastAsia="仿宋" w:hAnsi="仿宋" w:hint="eastAsia"/>
                <w:sz w:val="22"/>
              </w:rPr>
              <w:t>4、了解制冷剂系统管径确定</w:t>
            </w:r>
          </w:p>
        </w:tc>
      </w:tr>
      <w:tr w:rsidR="00C20406" w:rsidTr="008C3907">
        <w:trPr>
          <w:trHeight w:val="1269"/>
        </w:trPr>
        <w:tc>
          <w:tcPr>
            <w:tcW w:w="532"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5</w:t>
            </w:r>
          </w:p>
        </w:tc>
        <w:tc>
          <w:tcPr>
            <w:tcW w:w="994"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第四章</w:t>
            </w:r>
          </w:p>
        </w:tc>
        <w:tc>
          <w:tcPr>
            <w:tcW w:w="850"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8</w:t>
            </w:r>
          </w:p>
        </w:tc>
        <w:tc>
          <w:tcPr>
            <w:tcW w:w="4038" w:type="dxa"/>
            <w:vAlign w:val="center"/>
          </w:tcPr>
          <w:p w:rsidR="00C20406" w:rsidRDefault="00C20406" w:rsidP="005F6318">
            <w:pPr>
              <w:numPr>
                <w:ilvl w:val="0"/>
                <w:numId w:val="34"/>
              </w:numPr>
              <w:spacing w:line="560" w:lineRule="exact"/>
              <w:rPr>
                <w:rFonts w:ascii="仿宋" w:eastAsia="仿宋" w:hAnsi="仿宋"/>
                <w:sz w:val="22"/>
              </w:rPr>
            </w:pPr>
            <w:r>
              <w:rPr>
                <w:rFonts w:ascii="仿宋" w:eastAsia="仿宋" w:hAnsi="仿宋" w:hint="eastAsia"/>
                <w:sz w:val="22"/>
              </w:rPr>
              <w:t>吸收式制冷的基本原理及二元溶液的性质</w:t>
            </w:r>
          </w:p>
          <w:p w:rsidR="00C20406" w:rsidRDefault="00C20406" w:rsidP="008C3907">
            <w:pPr>
              <w:spacing w:line="560" w:lineRule="exact"/>
              <w:rPr>
                <w:rFonts w:ascii="仿宋" w:eastAsia="仿宋" w:hAnsi="仿宋"/>
                <w:sz w:val="22"/>
              </w:rPr>
            </w:pPr>
            <w:r>
              <w:rPr>
                <w:rFonts w:ascii="仿宋" w:eastAsia="仿宋" w:hAnsi="仿宋" w:hint="eastAsia"/>
                <w:sz w:val="22"/>
              </w:rPr>
              <w:t xml:space="preserve">第一节 溴化锂吸收式制冷的基本原理 </w:t>
            </w:r>
          </w:p>
          <w:p w:rsidR="00C20406" w:rsidRDefault="00C20406" w:rsidP="008C3907">
            <w:pPr>
              <w:spacing w:line="560" w:lineRule="exact"/>
              <w:rPr>
                <w:rFonts w:ascii="仿宋" w:eastAsia="仿宋" w:hAnsi="仿宋"/>
                <w:sz w:val="22"/>
              </w:rPr>
            </w:pPr>
            <w:r>
              <w:rPr>
                <w:rFonts w:ascii="仿宋" w:eastAsia="仿宋" w:hAnsi="仿宋" w:hint="eastAsia"/>
                <w:sz w:val="22"/>
              </w:rPr>
              <w:t>第二节  溴化锂吸收式制冷机的热力计算</w:t>
            </w:r>
          </w:p>
          <w:p w:rsidR="00C20406" w:rsidRDefault="00C20406" w:rsidP="008C3907">
            <w:pPr>
              <w:spacing w:line="560" w:lineRule="exact"/>
              <w:rPr>
                <w:rFonts w:ascii="仿宋" w:eastAsia="仿宋" w:hAnsi="仿宋"/>
                <w:sz w:val="22"/>
              </w:rPr>
            </w:pPr>
            <w:r>
              <w:rPr>
                <w:rFonts w:ascii="仿宋" w:eastAsia="仿宋" w:hAnsi="仿宋" w:hint="eastAsia"/>
                <w:sz w:val="22"/>
              </w:rPr>
              <w:t>第三节 双效溴化锂吸收式制冷机</w:t>
            </w:r>
          </w:p>
          <w:p w:rsidR="00C20406" w:rsidRDefault="00C20406" w:rsidP="008C3907">
            <w:pPr>
              <w:spacing w:line="560" w:lineRule="exact"/>
              <w:rPr>
                <w:rFonts w:ascii="仿宋" w:eastAsia="仿宋" w:hAnsi="仿宋"/>
                <w:sz w:val="22"/>
              </w:rPr>
            </w:pPr>
            <w:r>
              <w:rPr>
                <w:rFonts w:ascii="仿宋" w:eastAsia="仿宋" w:hAnsi="仿宋" w:hint="eastAsia"/>
                <w:sz w:val="22"/>
              </w:rPr>
              <w:t>第四节 溴化锂吸收式制冷机的型式与结构</w:t>
            </w:r>
          </w:p>
          <w:p w:rsidR="00C20406" w:rsidRDefault="00C20406" w:rsidP="008C3907">
            <w:pPr>
              <w:spacing w:line="560" w:lineRule="exact"/>
              <w:rPr>
                <w:rFonts w:ascii="仿宋" w:eastAsia="仿宋" w:hAnsi="仿宋"/>
                <w:sz w:val="22"/>
              </w:rPr>
            </w:pPr>
            <w:r>
              <w:rPr>
                <w:rFonts w:ascii="仿宋" w:eastAsia="仿宋" w:hAnsi="仿宋" w:hint="eastAsia"/>
                <w:sz w:val="22"/>
              </w:rPr>
              <w:t>第五节 溴化锂吸收式制冷机的性能调节</w:t>
            </w:r>
          </w:p>
          <w:p w:rsidR="00C20406" w:rsidRDefault="00C20406" w:rsidP="008C3907">
            <w:pPr>
              <w:spacing w:line="560" w:lineRule="exact"/>
              <w:rPr>
                <w:rFonts w:ascii="仿宋" w:eastAsia="仿宋" w:hAnsi="仿宋"/>
                <w:sz w:val="22"/>
              </w:rPr>
            </w:pPr>
            <w:r>
              <w:rPr>
                <w:rFonts w:ascii="仿宋" w:eastAsia="仿宋" w:hAnsi="仿宋" w:hint="eastAsia"/>
                <w:sz w:val="22"/>
              </w:rPr>
              <w:t>第六节 溴化锂吸收式热泵</w:t>
            </w:r>
          </w:p>
        </w:tc>
        <w:tc>
          <w:tcPr>
            <w:tcW w:w="3188" w:type="dxa"/>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1、熟悉吸收式制冷和压缩式制冷的差异；</w:t>
            </w:r>
          </w:p>
          <w:p w:rsidR="00C20406" w:rsidRDefault="00C20406" w:rsidP="008C3907">
            <w:pPr>
              <w:spacing w:line="560" w:lineRule="exact"/>
              <w:rPr>
                <w:rFonts w:ascii="仿宋" w:eastAsia="仿宋" w:hAnsi="仿宋"/>
                <w:sz w:val="22"/>
              </w:rPr>
            </w:pPr>
            <w:r>
              <w:rPr>
                <w:rFonts w:ascii="仿宋" w:eastAsia="仿宋" w:hAnsi="仿宋" w:hint="eastAsia"/>
                <w:sz w:val="22"/>
              </w:rPr>
              <w:t>2、掌握吸收式制冷的基本原理、热力计算及性能调节；</w:t>
            </w:r>
          </w:p>
          <w:p w:rsidR="00C20406" w:rsidRDefault="00C20406" w:rsidP="008C3907">
            <w:pPr>
              <w:spacing w:line="560" w:lineRule="exact"/>
              <w:rPr>
                <w:rFonts w:ascii="仿宋" w:eastAsia="仿宋" w:hAnsi="仿宋"/>
                <w:sz w:val="22"/>
              </w:rPr>
            </w:pPr>
            <w:r>
              <w:rPr>
                <w:rFonts w:ascii="仿宋" w:eastAsia="仿宋" w:hAnsi="仿宋" w:hint="eastAsia"/>
                <w:sz w:val="22"/>
              </w:rPr>
              <w:t>3、掌握溴化锂吸收式制冷的型式与构成</w:t>
            </w:r>
          </w:p>
          <w:p w:rsidR="00C20406" w:rsidRDefault="00C20406" w:rsidP="008C3907">
            <w:pPr>
              <w:spacing w:line="560" w:lineRule="exact"/>
              <w:rPr>
                <w:rFonts w:ascii="仿宋" w:eastAsia="仿宋" w:hAnsi="仿宋"/>
                <w:sz w:val="22"/>
              </w:rPr>
            </w:pPr>
            <w:r>
              <w:rPr>
                <w:rFonts w:ascii="仿宋" w:eastAsia="仿宋" w:hAnsi="仿宋" w:hint="eastAsia"/>
                <w:sz w:val="22"/>
              </w:rPr>
              <w:t>4、熟悉溴化锂吸收式热泵原理、分类及应用</w:t>
            </w:r>
          </w:p>
        </w:tc>
      </w:tr>
      <w:tr w:rsidR="00C20406" w:rsidTr="008C3907">
        <w:trPr>
          <w:trHeight w:val="990"/>
        </w:trPr>
        <w:tc>
          <w:tcPr>
            <w:tcW w:w="532" w:type="dxa"/>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6</w:t>
            </w:r>
          </w:p>
        </w:tc>
        <w:tc>
          <w:tcPr>
            <w:tcW w:w="994"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 xml:space="preserve">第五章 </w:t>
            </w:r>
          </w:p>
          <w:p w:rsidR="00C20406" w:rsidRDefault="00C20406" w:rsidP="008C3907">
            <w:pPr>
              <w:spacing w:line="560" w:lineRule="exact"/>
              <w:jc w:val="center"/>
              <w:rPr>
                <w:rFonts w:ascii="仿宋" w:eastAsia="仿宋" w:hAnsi="仿宋"/>
                <w:sz w:val="22"/>
                <w:highlight w:val="yellow"/>
              </w:rPr>
            </w:pPr>
          </w:p>
        </w:tc>
        <w:tc>
          <w:tcPr>
            <w:tcW w:w="850" w:type="dxa"/>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2</w:t>
            </w:r>
          </w:p>
        </w:tc>
        <w:tc>
          <w:tcPr>
            <w:tcW w:w="4038" w:type="dxa"/>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第一节 锅炉工作原理及其构造</w:t>
            </w:r>
          </w:p>
          <w:p w:rsidR="00C20406" w:rsidRDefault="00C20406" w:rsidP="008C3907">
            <w:pPr>
              <w:spacing w:line="560" w:lineRule="exact"/>
              <w:rPr>
                <w:rFonts w:ascii="仿宋" w:eastAsia="仿宋" w:hAnsi="仿宋"/>
                <w:sz w:val="22"/>
              </w:rPr>
            </w:pPr>
            <w:r>
              <w:rPr>
                <w:rFonts w:ascii="仿宋" w:eastAsia="仿宋" w:hAnsi="仿宋" w:hint="eastAsia"/>
                <w:sz w:val="22"/>
              </w:rPr>
              <w:t>第二节 供热锅炉特点与类型</w:t>
            </w:r>
          </w:p>
          <w:p w:rsidR="00C20406" w:rsidRDefault="00C20406" w:rsidP="008C3907">
            <w:pPr>
              <w:spacing w:line="560" w:lineRule="exact"/>
              <w:rPr>
                <w:rFonts w:ascii="仿宋" w:eastAsia="仿宋" w:hAnsi="仿宋"/>
                <w:sz w:val="22"/>
              </w:rPr>
            </w:pPr>
            <w:r>
              <w:rPr>
                <w:rFonts w:ascii="仿宋" w:eastAsia="仿宋" w:hAnsi="仿宋" w:hint="eastAsia"/>
                <w:sz w:val="22"/>
              </w:rPr>
              <w:t>第三节 锅炉房设备和工艺</w:t>
            </w:r>
          </w:p>
          <w:p w:rsidR="00C20406" w:rsidRDefault="00C20406" w:rsidP="008C3907">
            <w:pPr>
              <w:spacing w:line="560" w:lineRule="exact"/>
              <w:rPr>
                <w:rFonts w:ascii="仿宋" w:eastAsia="仿宋" w:hAnsi="仿宋"/>
                <w:sz w:val="22"/>
                <w:highlight w:val="yellow"/>
              </w:rPr>
            </w:pPr>
            <w:r>
              <w:rPr>
                <w:rFonts w:ascii="仿宋" w:eastAsia="仿宋" w:hAnsi="仿宋" w:hint="eastAsia"/>
                <w:sz w:val="22"/>
              </w:rPr>
              <w:t>第四节 辅助受热面</w:t>
            </w:r>
          </w:p>
        </w:tc>
        <w:tc>
          <w:tcPr>
            <w:tcW w:w="3188" w:type="dxa"/>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1、熟悉锅炉工作原理及其构造2、熟悉供热锅炉参数与类型</w:t>
            </w:r>
          </w:p>
          <w:p w:rsidR="00C20406" w:rsidRDefault="00C20406" w:rsidP="008C3907">
            <w:pPr>
              <w:spacing w:line="560" w:lineRule="exact"/>
              <w:rPr>
                <w:rFonts w:ascii="仿宋" w:eastAsia="仿宋" w:hAnsi="仿宋"/>
                <w:sz w:val="22"/>
              </w:rPr>
            </w:pPr>
            <w:r>
              <w:rPr>
                <w:rFonts w:ascii="仿宋" w:eastAsia="仿宋" w:hAnsi="仿宋" w:hint="eastAsia"/>
                <w:sz w:val="22"/>
              </w:rPr>
              <w:t>3、掌握锅炉房设备组成</w:t>
            </w:r>
          </w:p>
          <w:p w:rsidR="00C20406" w:rsidRDefault="00C20406" w:rsidP="008C3907">
            <w:pPr>
              <w:spacing w:line="560" w:lineRule="exact"/>
              <w:rPr>
                <w:rFonts w:ascii="仿宋" w:eastAsia="仿宋" w:hAnsi="仿宋"/>
                <w:sz w:val="22"/>
                <w:highlight w:val="yellow"/>
              </w:rPr>
            </w:pPr>
            <w:r>
              <w:rPr>
                <w:rFonts w:ascii="仿宋" w:eastAsia="仿宋" w:hAnsi="仿宋" w:hint="eastAsia"/>
                <w:sz w:val="22"/>
              </w:rPr>
              <w:t>4、熟悉锅炉辅助受热面</w:t>
            </w:r>
          </w:p>
        </w:tc>
      </w:tr>
      <w:tr w:rsidR="00C20406" w:rsidTr="008C3907">
        <w:trPr>
          <w:trHeight w:val="1244"/>
        </w:trPr>
        <w:tc>
          <w:tcPr>
            <w:tcW w:w="532" w:type="dxa"/>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7</w:t>
            </w:r>
          </w:p>
        </w:tc>
        <w:tc>
          <w:tcPr>
            <w:tcW w:w="994" w:type="dxa"/>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第六章</w:t>
            </w:r>
          </w:p>
          <w:p w:rsidR="00C20406" w:rsidRDefault="00C20406" w:rsidP="008C3907">
            <w:pPr>
              <w:spacing w:line="560" w:lineRule="exact"/>
              <w:jc w:val="center"/>
              <w:rPr>
                <w:rFonts w:ascii="仿宋" w:eastAsia="仿宋" w:hAnsi="仿宋"/>
                <w:sz w:val="22"/>
                <w:highlight w:val="yellow"/>
              </w:rPr>
            </w:pPr>
          </w:p>
        </w:tc>
        <w:tc>
          <w:tcPr>
            <w:tcW w:w="850" w:type="dxa"/>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2</w:t>
            </w:r>
          </w:p>
        </w:tc>
        <w:tc>
          <w:tcPr>
            <w:tcW w:w="4038" w:type="dxa"/>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第一节 锅炉的水循环</w:t>
            </w:r>
          </w:p>
          <w:p w:rsidR="00C20406" w:rsidRDefault="00C20406" w:rsidP="008C3907">
            <w:pPr>
              <w:spacing w:line="560" w:lineRule="exact"/>
              <w:rPr>
                <w:rFonts w:ascii="仿宋" w:eastAsia="仿宋" w:hAnsi="仿宋"/>
                <w:sz w:val="22"/>
              </w:rPr>
            </w:pPr>
            <w:r>
              <w:rPr>
                <w:rFonts w:ascii="仿宋" w:eastAsia="仿宋" w:hAnsi="仿宋" w:hint="eastAsia"/>
                <w:sz w:val="22"/>
              </w:rPr>
              <w:t>第二节 蒸汽品质及汽水分离</w:t>
            </w:r>
          </w:p>
          <w:p w:rsidR="00C20406" w:rsidRDefault="00C20406" w:rsidP="008C3907">
            <w:pPr>
              <w:spacing w:line="560" w:lineRule="exact"/>
              <w:rPr>
                <w:rFonts w:ascii="仿宋" w:eastAsia="仿宋" w:hAnsi="仿宋"/>
                <w:sz w:val="22"/>
                <w:highlight w:val="yellow"/>
              </w:rPr>
            </w:pPr>
          </w:p>
        </w:tc>
        <w:tc>
          <w:tcPr>
            <w:tcW w:w="3188" w:type="dxa"/>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1、掌握锅炉的水循环</w:t>
            </w:r>
          </w:p>
          <w:p w:rsidR="00C20406" w:rsidRDefault="00C20406" w:rsidP="008C3907">
            <w:pPr>
              <w:spacing w:line="560" w:lineRule="exact"/>
              <w:rPr>
                <w:rFonts w:ascii="仿宋" w:eastAsia="仿宋" w:hAnsi="仿宋"/>
                <w:sz w:val="22"/>
              </w:rPr>
            </w:pPr>
            <w:r>
              <w:rPr>
                <w:rFonts w:ascii="仿宋" w:eastAsia="仿宋" w:hAnsi="仿宋" w:hint="eastAsia"/>
                <w:sz w:val="22"/>
              </w:rPr>
              <w:t>2、熟悉蒸汽品质及汽水分离</w:t>
            </w:r>
          </w:p>
        </w:tc>
      </w:tr>
      <w:tr w:rsidR="00C20406" w:rsidTr="008C3907">
        <w:trPr>
          <w:trHeight w:val="1244"/>
        </w:trPr>
        <w:tc>
          <w:tcPr>
            <w:tcW w:w="532"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lastRenderedPageBreak/>
              <w:t>8</w:t>
            </w:r>
          </w:p>
        </w:tc>
        <w:tc>
          <w:tcPr>
            <w:tcW w:w="994"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第七章</w:t>
            </w:r>
          </w:p>
          <w:p w:rsidR="00C20406" w:rsidRDefault="00C20406" w:rsidP="008C3907">
            <w:pPr>
              <w:spacing w:line="560" w:lineRule="exact"/>
              <w:jc w:val="left"/>
              <w:rPr>
                <w:rFonts w:ascii="仿宋" w:eastAsia="仿宋" w:hAnsi="仿宋"/>
                <w:sz w:val="22"/>
              </w:rPr>
            </w:pPr>
          </w:p>
        </w:tc>
        <w:tc>
          <w:tcPr>
            <w:tcW w:w="850"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2</w:t>
            </w:r>
          </w:p>
        </w:tc>
        <w:tc>
          <w:tcPr>
            <w:tcW w:w="4038"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第一节 锅炉通风方式</w:t>
            </w:r>
          </w:p>
          <w:p w:rsidR="00C20406" w:rsidRDefault="00C20406" w:rsidP="008C3907">
            <w:pPr>
              <w:spacing w:line="560" w:lineRule="exact"/>
              <w:rPr>
                <w:rFonts w:ascii="仿宋" w:eastAsia="仿宋" w:hAnsi="仿宋"/>
                <w:sz w:val="22"/>
              </w:rPr>
            </w:pPr>
            <w:r>
              <w:rPr>
                <w:rFonts w:ascii="仿宋" w:eastAsia="仿宋" w:hAnsi="仿宋" w:hint="eastAsia"/>
                <w:sz w:val="22"/>
              </w:rPr>
              <w:t>第二节 锅炉房风烟系统</w:t>
            </w:r>
          </w:p>
          <w:p w:rsidR="00C20406" w:rsidRDefault="00C20406" w:rsidP="008C3907">
            <w:pPr>
              <w:spacing w:line="560" w:lineRule="exact"/>
              <w:rPr>
                <w:rFonts w:ascii="仿宋" w:eastAsia="仿宋" w:hAnsi="仿宋"/>
                <w:sz w:val="22"/>
              </w:rPr>
            </w:pPr>
            <w:r>
              <w:rPr>
                <w:rFonts w:ascii="仿宋" w:eastAsia="仿宋" w:hAnsi="仿宋" w:hint="eastAsia"/>
                <w:sz w:val="22"/>
              </w:rPr>
              <w:t>第三节 风机选择计算及其布置</w:t>
            </w:r>
          </w:p>
        </w:tc>
        <w:tc>
          <w:tcPr>
            <w:tcW w:w="3188"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1、熟悉锅炉通风方式</w:t>
            </w:r>
          </w:p>
          <w:p w:rsidR="00C20406" w:rsidRDefault="00C20406" w:rsidP="008C3907">
            <w:pPr>
              <w:spacing w:line="560" w:lineRule="exact"/>
              <w:rPr>
                <w:rFonts w:ascii="仿宋" w:eastAsia="仿宋" w:hAnsi="仿宋"/>
                <w:sz w:val="22"/>
              </w:rPr>
            </w:pPr>
            <w:r>
              <w:rPr>
                <w:rFonts w:ascii="仿宋" w:eastAsia="仿宋" w:hAnsi="仿宋" w:hint="eastAsia"/>
                <w:sz w:val="22"/>
              </w:rPr>
              <w:t>2、熟悉锅炉房风烟系统</w:t>
            </w:r>
          </w:p>
          <w:p w:rsidR="00C20406" w:rsidRDefault="00C20406" w:rsidP="008C3907">
            <w:pPr>
              <w:spacing w:line="560" w:lineRule="exact"/>
              <w:rPr>
                <w:rFonts w:ascii="仿宋" w:eastAsia="仿宋" w:hAnsi="仿宋"/>
                <w:sz w:val="22"/>
              </w:rPr>
            </w:pPr>
            <w:r>
              <w:rPr>
                <w:rFonts w:ascii="仿宋" w:eastAsia="仿宋" w:hAnsi="仿宋" w:hint="eastAsia"/>
                <w:sz w:val="22"/>
              </w:rPr>
              <w:t>3、掌握风机选择计算及其布置</w:t>
            </w:r>
          </w:p>
        </w:tc>
      </w:tr>
      <w:tr w:rsidR="00C20406" w:rsidTr="008C3907">
        <w:trPr>
          <w:trHeight w:val="1244"/>
        </w:trPr>
        <w:tc>
          <w:tcPr>
            <w:tcW w:w="532"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9</w:t>
            </w:r>
          </w:p>
        </w:tc>
        <w:tc>
          <w:tcPr>
            <w:tcW w:w="994"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第八章</w:t>
            </w:r>
          </w:p>
          <w:p w:rsidR="00C20406" w:rsidRDefault="00C20406" w:rsidP="008C3907">
            <w:pPr>
              <w:spacing w:line="560" w:lineRule="exact"/>
              <w:jc w:val="left"/>
              <w:rPr>
                <w:rFonts w:ascii="仿宋" w:eastAsia="仿宋" w:hAnsi="仿宋"/>
                <w:sz w:val="22"/>
              </w:rPr>
            </w:pPr>
          </w:p>
        </w:tc>
        <w:tc>
          <w:tcPr>
            <w:tcW w:w="850"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6</w:t>
            </w:r>
          </w:p>
        </w:tc>
        <w:tc>
          <w:tcPr>
            <w:tcW w:w="4038"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第一节 锅炉给水处理</w:t>
            </w:r>
          </w:p>
          <w:p w:rsidR="00C20406" w:rsidRDefault="00C20406" w:rsidP="008C3907">
            <w:pPr>
              <w:spacing w:line="560" w:lineRule="exact"/>
              <w:rPr>
                <w:rFonts w:ascii="仿宋" w:eastAsia="仿宋" w:hAnsi="仿宋"/>
                <w:sz w:val="22"/>
              </w:rPr>
            </w:pPr>
            <w:r>
              <w:rPr>
                <w:rFonts w:ascii="仿宋" w:eastAsia="仿宋" w:hAnsi="仿宋" w:hint="eastAsia"/>
                <w:sz w:val="22"/>
              </w:rPr>
              <w:t>第二节 锅炉房水处理系统</w:t>
            </w:r>
          </w:p>
          <w:p w:rsidR="00C20406" w:rsidRDefault="00C20406" w:rsidP="008C3907">
            <w:pPr>
              <w:spacing w:line="560" w:lineRule="exact"/>
              <w:rPr>
                <w:rFonts w:ascii="仿宋" w:eastAsia="仿宋" w:hAnsi="仿宋"/>
                <w:sz w:val="22"/>
              </w:rPr>
            </w:pPr>
            <w:r>
              <w:rPr>
                <w:rFonts w:ascii="仿宋" w:eastAsia="仿宋" w:hAnsi="仿宋" w:hint="eastAsia"/>
                <w:sz w:val="22"/>
              </w:rPr>
              <w:t>第三节 锅炉房排污系统</w:t>
            </w:r>
          </w:p>
          <w:p w:rsidR="00C20406" w:rsidRDefault="00C20406" w:rsidP="008C3907">
            <w:pPr>
              <w:spacing w:line="560" w:lineRule="exact"/>
              <w:rPr>
                <w:rFonts w:ascii="仿宋" w:eastAsia="仿宋" w:hAnsi="仿宋"/>
                <w:sz w:val="22"/>
              </w:rPr>
            </w:pPr>
            <w:r>
              <w:rPr>
                <w:rFonts w:ascii="仿宋" w:eastAsia="仿宋" w:hAnsi="仿宋" w:hint="eastAsia"/>
                <w:sz w:val="22"/>
              </w:rPr>
              <w:t>第四节 锅炉房汽水系统</w:t>
            </w:r>
          </w:p>
          <w:p w:rsidR="00C20406" w:rsidRDefault="00C20406" w:rsidP="008C3907">
            <w:pPr>
              <w:spacing w:line="560" w:lineRule="exact"/>
              <w:rPr>
                <w:rFonts w:ascii="仿宋" w:eastAsia="仿宋" w:hAnsi="仿宋"/>
                <w:sz w:val="22"/>
              </w:rPr>
            </w:pPr>
            <w:r>
              <w:rPr>
                <w:rFonts w:ascii="仿宋" w:eastAsia="仿宋" w:hAnsi="仿宋" w:hint="eastAsia"/>
                <w:sz w:val="22"/>
              </w:rPr>
              <w:t>第五节 热力系统图</w:t>
            </w:r>
          </w:p>
          <w:p w:rsidR="00C20406" w:rsidRDefault="00C20406" w:rsidP="008C3907">
            <w:pPr>
              <w:spacing w:line="560" w:lineRule="exact"/>
              <w:rPr>
                <w:rFonts w:ascii="仿宋" w:eastAsia="仿宋" w:hAnsi="仿宋"/>
                <w:sz w:val="22"/>
              </w:rPr>
            </w:pPr>
          </w:p>
        </w:tc>
        <w:tc>
          <w:tcPr>
            <w:tcW w:w="3188"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1、掌握锅炉给水的杂质及水质指标，锅炉给水处理原理及设备选择，锅炉给水的除碱和除气。</w:t>
            </w:r>
          </w:p>
          <w:p w:rsidR="00C20406" w:rsidRDefault="00C20406" w:rsidP="008C3907">
            <w:pPr>
              <w:spacing w:line="560" w:lineRule="exact"/>
              <w:rPr>
                <w:rFonts w:ascii="仿宋" w:eastAsia="仿宋" w:hAnsi="仿宋"/>
                <w:sz w:val="22"/>
              </w:rPr>
            </w:pPr>
            <w:r>
              <w:rPr>
                <w:rFonts w:ascii="仿宋" w:eastAsia="仿宋" w:hAnsi="仿宋" w:hint="eastAsia"/>
                <w:sz w:val="22"/>
              </w:rPr>
              <w:t>2、掌握锅炉房水处理系统</w:t>
            </w:r>
          </w:p>
          <w:p w:rsidR="00C20406" w:rsidRDefault="00C20406" w:rsidP="008C3907">
            <w:pPr>
              <w:spacing w:line="560" w:lineRule="exact"/>
              <w:rPr>
                <w:rFonts w:ascii="仿宋" w:eastAsia="仿宋" w:hAnsi="仿宋"/>
                <w:sz w:val="22"/>
              </w:rPr>
            </w:pPr>
            <w:r>
              <w:rPr>
                <w:rFonts w:ascii="仿宋" w:eastAsia="仿宋" w:hAnsi="仿宋" w:hint="eastAsia"/>
                <w:sz w:val="22"/>
              </w:rPr>
              <w:t>3、掌握锅炉房排污系统</w:t>
            </w:r>
          </w:p>
          <w:p w:rsidR="00C20406" w:rsidRDefault="00C20406" w:rsidP="008C3907">
            <w:pPr>
              <w:spacing w:line="560" w:lineRule="exact"/>
              <w:rPr>
                <w:rFonts w:ascii="仿宋" w:eastAsia="仿宋" w:hAnsi="仿宋"/>
                <w:sz w:val="22"/>
              </w:rPr>
            </w:pPr>
            <w:r>
              <w:rPr>
                <w:rFonts w:ascii="仿宋" w:eastAsia="仿宋" w:hAnsi="仿宋" w:hint="eastAsia"/>
                <w:sz w:val="22"/>
              </w:rPr>
              <w:t>4、掌握锅炉给水系统，凝结水系统，蒸汽系统，循环水系统。</w:t>
            </w:r>
          </w:p>
          <w:p w:rsidR="00C20406" w:rsidRDefault="00C20406" w:rsidP="008C3907">
            <w:pPr>
              <w:spacing w:line="560" w:lineRule="exact"/>
              <w:rPr>
                <w:rFonts w:ascii="仿宋" w:eastAsia="仿宋" w:hAnsi="仿宋"/>
                <w:sz w:val="22"/>
              </w:rPr>
            </w:pPr>
            <w:r>
              <w:rPr>
                <w:rFonts w:ascii="仿宋" w:eastAsia="仿宋" w:hAnsi="仿宋" w:hint="eastAsia"/>
                <w:sz w:val="22"/>
              </w:rPr>
              <w:t>5、熟悉热力系统图</w:t>
            </w:r>
          </w:p>
        </w:tc>
      </w:tr>
      <w:tr w:rsidR="00C20406" w:rsidTr="008C3907">
        <w:trPr>
          <w:trHeight w:val="1244"/>
        </w:trPr>
        <w:tc>
          <w:tcPr>
            <w:tcW w:w="532"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10</w:t>
            </w:r>
          </w:p>
        </w:tc>
        <w:tc>
          <w:tcPr>
            <w:tcW w:w="994"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第九章</w:t>
            </w:r>
          </w:p>
          <w:p w:rsidR="00C20406" w:rsidRDefault="00C20406" w:rsidP="008C3907">
            <w:pPr>
              <w:spacing w:line="560" w:lineRule="exact"/>
              <w:rPr>
                <w:rFonts w:ascii="仿宋" w:eastAsia="仿宋" w:hAnsi="仿宋"/>
                <w:sz w:val="22"/>
              </w:rPr>
            </w:pPr>
          </w:p>
        </w:tc>
        <w:tc>
          <w:tcPr>
            <w:tcW w:w="850"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2</w:t>
            </w:r>
          </w:p>
        </w:tc>
        <w:tc>
          <w:tcPr>
            <w:tcW w:w="4038"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第一节 燃煤锅炉房燃料供应和除渣系统</w:t>
            </w:r>
          </w:p>
          <w:p w:rsidR="00C20406" w:rsidRDefault="00C20406" w:rsidP="008C3907">
            <w:pPr>
              <w:spacing w:line="560" w:lineRule="exact"/>
              <w:rPr>
                <w:rFonts w:ascii="仿宋" w:eastAsia="仿宋" w:hAnsi="仿宋"/>
                <w:sz w:val="22"/>
              </w:rPr>
            </w:pPr>
            <w:r>
              <w:rPr>
                <w:rFonts w:ascii="仿宋" w:eastAsia="仿宋" w:hAnsi="仿宋" w:hint="eastAsia"/>
                <w:sz w:val="22"/>
              </w:rPr>
              <w:t>第二节 燃油锅炉房燃料供应系统</w:t>
            </w:r>
          </w:p>
          <w:p w:rsidR="00C20406" w:rsidRDefault="00C20406" w:rsidP="008C3907">
            <w:pPr>
              <w:spacing w:line="560" w:lineRule="exact"/>
              <w:rPr>
                <w:rFonts w:ascii="仿宋" w:eastAsia="仿宋" w:hAnsi="仿宋"/>
                <w:sz w:val="22"/>
              </w:rPr>
            </w:pPr>
            <w:r>
              <w:rPr>
                <w:rFonts w:ascii="仿宋" w:eastAsia="仿宋" w:hAnsi="仿宋" w:hint="eastAsia"/>
                <w:sz w:val="22"/>
              </w:rPr>
              <w:t>第三节 燃气锅炉房燃料供应系统</w:t>
            </w:r>
          </w:p>
          <w:p w:rsidR="00C20406" w:rsidRDefault="00C20406" w:rsidP="008C3907">
            <w:pPr>
              <w:spacing w:line="560" w:lineRule="exact"/>
              <w:rPr>
                <w:rFonts w:ascii="仿宋" w:eastAsia="仿宋" w:hAnsi="仿宋"/>
                <w:sz w:val="22"/>
                <w:highlight w:val="yellow"/>
              </w:rPr>
            </w:pPr>
          </w:p>
        </w:tc>
        <w:tc>
          <w:tcPr>
            <w:tcW w:w="3188"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1、掌握燃煤锅炉房燃料供应和除渣系统</w:t>
            </w:r>
          </w:p>
          <w:p w:rsidR="00C20406" w:rsidRDefault="00C20406" w:rsidP="008C3907">
            <w:pPr>
              <w:spacing w:line="560" w:lineRule="exact"/>
              <w:rPr>
                <w:rFonts w:ascii="仿宋" w:eastAsia="仿宋" w:hAnsi="仿宋"/>
                <w:sz w:val="22"/>
              </w:rPr>
            </w:pPr>
            <w:r>
              <w:rPr>
                <w:rFonts w:ascii="仿宋" w:eastAsia="仿宋" w:hAnsi="仿宋" w:hint="eastAsia"/>
                <w:sz w:val="22"/>
              </w:rPr>
              <w:t>2、掌握锅炉房耗油量计算，燃油供应系统，燃油供应系统设备选择。</w:t>
            </w:r>
          </w:p>
          <w:p w:rsidR="00C20406" w:rsidRDefault="00C20406" w:rsidP="008C3907">
            <w:pPr>
              <w:spacing w:line="560" w:lineRule="exact"/>
              <w:rPr>
                <w:rFonts w:ascii="仿宋" w:eastAsia="仿宋" w:hAnsi="仿宋"/>
                <w:sz w:val="22"/>
              </w:rPr>
            </w:pPr>
            <w:r>
              <w:rPr>
                <w:rFonts w:ascii="仿宋" w:eastAsia="仿宋" w:hAnsi="仿宋" w:hint="eastAsia"/>
                <w:sz w:val="22"/>
              </w:rPr>
              <w:t>3、掌握锅炉房耗气量计算，燃气供应系统，燃气供应系统主要设备设施的选择与布置。</w:t>
            </w:r>
          </w:p>
        </w:tc>
      </w:tr>
      <w:tr w:rsidR="00C20406" w:rsidTr="008C3907">
        <w:trPr>
          <w:trHeight w:val="1244"/>
        </w:trPr>
        <w:tc>
          <w:tcPr>
            <w:tcW w:w="532"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11</w:t>
            </w:r>
          </w:p>
        </w:tc>
        <w:tc>
          <w:tcPr>
            <w:tcW w:w="994"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第十章</w:t>
            </w:r>
          </w:p>
          <w:p w:rsidR="00C20406" w:rsidRDefault="00C20406" w:rsidP="008C3907">
            <w:pPr>
              <w:spacing w:line="560" w:lineRule="exact"/>
              <w:jc w:val="left"/>
              <w:rPr>
                <w:rFonts w:ascii="仿宋" w:eastAsia="仿宋" w:hAnsi="仿宋"/>
                <w:sz w:val="22"/>
              </w:rPr>
            </w:pPr>
          </w:p>
        </w:tc>
        <w:tc>
          <w:tcPr>
            <w:tcW w:w="850"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2</w:t>
            </w:r>
          </w:p>
        </w:tc>
        <w:tc>
          <w:tcPr>
            <w:tcW w:w="4038"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第一节 锅炉热平衡的组成</w:t>
            </w:r>
          </w:p>
          <w:p w:rsidR="00C20406" w:rsidRDefault="00C20406" w:rsidP="008C3907">
            <w:pPr>
              <w:spacing w:line="560" w:lineRule="exact"/>
              <w:rPr>
                <w:rFonts w:ascii="仿宋" w:eastAsia="仿宋" w:hAnsi="仿宋"/>
                <w:sz w:val="22"/>
              </w:rPr>
            </w:pPr>
            <w:r>
              <w:rPr>
                <w:rFonts w:ascii="仿宋" w:eastAsia="仿宋" w:hAnsi="仿宋" w:hint="eastAsia"/>
                <w:sz w:val="22"/>
              </w:rPr>
              <w:t>第二节 锅炉热效率</w:t>
            </w:r>
          </w:p>
          <w:p w:rsidR="00C20406" w:rsidRDefault="00C20406" w:rsidP="008C3907">
            <w:pPr>
              <w:spacing w:line="560" w:lineRule="exact"/>
              <w:rPr>
                <w:rFonts w:ascii="仿宋" w:eastAsia="仿宋" w:hAnsi="仿宋"/>
                <w:sz w:val="22"/>
              </w:rPr>
            </w:pPr>
            <w:r>
              <w:rPr>
                <w:rFonts w:ascii="仿宋" w:eastAsia="仿宋" w:hAnsi="仿宋" w:hint="eastAsia"/>
                <w:sz w:val="22"/>
              </w:rPr>
              <w:t>第三节 锅炉的各种热损失及其影响因素</w:t>
            </w:r>
          </w:p>
          <w:p w:rsidR="00C20406" w:rsidRDefault="00C20406" w:rsidP="008C3907">
            <w:pPr>
              <w:spacing w:line="560" w:lineRule="exact"/>
              <w:rPr>
                <w:rFonts w:ascii="仿宋" w:eastAsia="仿宋" w:hAnsi="仿宋"/>
                <w:sz w:val="22"/>
              </w:rPr>
            </w:pPr>
            <w:r>
              <w:rPr>
                <w:rFonts w:ascii="仿宋" w:eastAsia="仿宋" w:hAnsi="仿宋" w:hint="eastAsia"/>
                <w:sz w:val="22"/>
              </w:rPr>
              <w:t>第四节 锅炉燃料消耗量计算</w:t>
            </w:r>
          </w:p>
          <w:p w:rsidR="00C20406" w:rsidRDefault="00C20406" w:rsidP="008C3907">
            <w:pPr>
              <w:spacing w:line="560" w:lineRule="exact"/>
              <w:rPr>
                <w:rFonts w:ascii="仿宋" w:eastAsia="仿宋" w:hAnsi="仿宋"/>
                <w:sz w:val="22"/>
                <w:highlight w:val="yellow"/>
              </w:rPr>
            </w:pPr>
          </w:p>
        </w:tc>
        <w:tc>
          <w:tcPr>
            <w:tcW w:w="3188"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lastRenderedPageBreak/>
              <w:t>1、熟悉锅炉热平衡的组成</w:t>
            </w:r>
          </w:p>
          <w:p w:rsidR="00C20406" w:rsidRDefault="00C20406" w:rsidP="008C3907">
            <w:pPr>
              <w:spacing w:line="560" w:lineRule="exact"/>
              <w:rPr>
                <w:rFonts w:ascii="仿宋" w:eastAsia="仿宋" w:hAnsi="仿宋"/>
                <w:sz w:val="22"/>
              </w:rPr>
            </w:pPr>
            <w:r>
              <w:rPr>
                <w:rFonts w:ascii="仿宋" w:eastAsia="仿宋" w:hAnsi="仿宋" w:hint="eastAsia"/>
                <w:sz w:val="22"/>
              </w:rPr>
              <w:t>2、熟悉锅炉热效率</w:t>
            </w:r>
          </w:p>
          <w:p w:rsidR="00C20406" w:rsidRDefault="00C20406" w:rsidP="008C3907">
            <w:pPr>
              <w:spacing w:line="560" w:lineRule="exact"/>
              <w:rPr>
                <w:rFonts w:ascii="仿宋" w:eastAsia="仿宋" w:hAnsi="仿宋"/>
                <w:sz w:val="22"/>
              </w:rPr>
            </w:pPr>
            <w:r>
              <w:rPr>
                <w:rFonts w:ascii="仿宋" w:eastAsia="仿宋" w:hAnsi="仿宋" w:hint="eastAsia"/>
                <w:sz w:val="22"/>
              </w:rPr>
              <w:t>3、熟悉锅炉的各种热损失及其影响因素</w:t>
            </w:r>
          </w:p>
          <w:p w:rsidR="00C20406" w:rsidRDefault="00C20406" w:rsidP="008C3907">
            <w:pPr>
              <w:spacing w:line="560" w:lineRule="exact"/>
              <w:rPr>
                <w:rFonts w:ascii="仿宋" w:eastAsia="仿宋" w:hAnsi="仿宋"/>
                <w:sz w:val="22"/>
                <w:highlight w:val="yellow"/>
              </w:rPr>
            </w:pPr>
            <w:r>
              <w:rPr>
                <w:rFonts w:ascii="仿宋" w:eastAsia="仿宋" w:hAnsi="仿宋" w:hint="eastAsia"/>
                <w:sz w:val="22"/>
              </w:rPr>
              <w:t>4、掌握锅炉燃料消耗量计算</w:t>
            </w:r>
          </w:p>
        </w:tc>
      </w:tr>
      <w:tr w:rsidR="00C20406" w:rsidTr="008C3907">
        <w:trPr>
          <w:trHeight w:val="1244"/>
        </w:trPr>
        <w:tc>
          <w:tcPr>
            <w:tcW w:w="532"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12</w:t>
            </w:r>
          </w:p>
        </w:tc>
        <w:tc>
          <w:tcPr>
            <w:tcW w:w="994"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第十一章</w:t>
            </w:r>
          </w:p>
          <w:p w:rsidR="00C20406" w:rsidRDefault="00C20406" w:rsidP="008C3907">
            <w:pPr>
              <w:spacing w:line="560" w:lineRule="exact"/>
              <w:rPr>
                <w:rFonts w:ascii="仿宋" w:eastAsia="仿宋" w:hAnsi="仿宋"/>
                <w:sz w:val="22"/>
              </w:rPr>
            </w:pPr>
          </w:p>
        </w:tc>
        <w:tc>
          <w:tcPr>
            <w:tcW w:w="850"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2</w:t>
            </w:r>
          </w:p>
        </w:tc>
        <w:tc>
          <w:tcPr>
            <w:tcW w:w="4038"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第一节 锅炉节能技术与途径</w:t>
            </w:r>
          </w:p>
          <w:p w:rsidR="00C20406" w:rsidRDefault="00C20406" w:rsidP="008C3907">
            <w:pPr>
              <w:spacing w:line="560" w:lineRule="exact"/>
              <w:rPr>
                <w:rFonts w:ascii="仿宋" w:eastAsia="仿宋" w:hAnsi="仿宋"/>
                <w:sz w:val="22"/>
              </w:rPr>
            </w:pPr>
            <w:r>
              <w:rPr>
                <w:rFonts w:ascii="仿宋" w:eastAsia="仿宋" w:hAnsi="仿宋" w:hint="eastAsia"/>
                <w:sz w:val="22"/>
              </w:rPr>
              <w:t>第二节 燃煤锅炉房烟尘防治</w:t>
            </w:r>
          </w:p>
          <w:p w:rsidR="00C20406" w:rsidRDefault="00C20406" w:rsidP="008C3907">
            <w:pPr>
              <w:spacing w:line="560" w:lineRule="exact"/>
              <w:rPr>
                <w:rFonts w:ascii="仿宋" w:eastAsia="仿宋" w:hAnsi="仿宋"/>
                <w:sz w:val="22"/>
              </w:rPr>
            </w:pPr>
            <w:r>
              <w:rPr>
                <w:rFonts w:ascii="仿宋" w:eastAsia="仿宋" w:hAnsi="仿宋" w:hint="eastAsia"/>
                <w:sz w:val="22"/>
              </w:rPr>
              <w:t>第三节 锅炉房有害气体的防治</w:t>
            </w:r>
          </w:p>
          <w:p w:rsidR="00C20406" w:rsidRDefault="00C20406" w:rsidP="008C3907">
            <w:pPr>
              <w:spacing w:line="560" w:lineRule="exact"/>
              <w:rPr>
                <w:rFonts w:ascii="仿宋" w:eastAsia="仿宋" w:hAnsi="仿宋"/>
                <w:sz w:val="22"/>
              </w:rPr>
            </w:pPr>
            <w:r>
              <w:rPr>
                <w:rFonts w:ascii="仿宋" w:eastAsia="仿宋" w:hAnsi="仿宋" w:hint="eastAsia"/>
                <w:sz w:val="22"/>
              </w:rPr>
              <w:t>第四节 锅炉房噪声的防治</w:t>
            </w:r>
          </w:p>
        </w:tc>
        <w:tc>
          <w:tcPr>
            <w:tcW w:w="3188"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1、掌握锅炉节能技术与途径</w:t>
            </w:r>
          </w:p>
          <w:p w:rsidR="00C20406" w:rsidRDefault="00C20406" w:rsidP="008C3907">
            <w:pPr>
              <w:spacing w:line="560" w:lineRule="exact"/>
              <w:rPr>
                <w:rFonts w:ascii="仿宋" w:eastAsia="仿宋" w:hAnsi="仿宋"/>
                <w:sz w:val="22"/>
              </w:rPr>
            </w:pPr>
            <w:r>
              <w:rPr>
                <w:rFonts w:ascii="仿宋" w:eastAsia="仿宋" w:hAnsi="仿宋" w:hint="eastAsia"/>
                <w:sz w:val="22"/>
              </w:rPr>
              <w:t>2、熟悉燃煤锅炉房烟尘防治</w:t>
            </w:r>
          </w:p>
          <w:p w:rsidR="00C20406" w:rsidRDefault="00C20406" w:rsidP="008C3907">
            <w:pPr>
              <w:spacing w:line="560" w:lineRule="exact"/>
              <w:rPr>
                <w:rFonts w:ascii="仿宋" w:eastAsia="仿宋" w:hAnsi="仿宋"/>
                <w:sz w:val="22"/>
                <w:highlight w:val="yellow"/>
              </w:rPr>
            </w:pPr>
            <w:r>
              <w:rPr>
                <w:rFonts w:ascii="仿宋" w:eastAsia="仿宋" w:hAnsi="仿宋" w:hint="eastAsia"/>
                <w:sz w:val="22"/>
              </w:rPr>
              <w:t>3、熟悉锅炉房有害气体的防治4、熟悉锅炉房噪声的防治</w:t>
            </w:r>
          </w:p>
        </w:tc>
      </w:tr>
      <w:tr w:rsidR="00C20406" w:rsidTr="008C3907">
        <w:trPr>
          <w:trHeight w:val="1244"/>
        </w:trPr>
        <w:tc>
          <w:tcPr>
            <w:tcW w:w="532"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13</w:t>
            </w:r>
          </w:p>
        </w:tc>
        <w:tc>
          <w:tcPr>
            <w:tcW w:w="994"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rPr>
            </w:pPr>
            <w:r>
              <w:rPr>
                <w:rFonts w:ascii="仿宋" w:eastAsia="仿宋" w:hAnsi="仿宋" w:hint="eastAsia"/>
                <w:sz w:val="22"/>
              </w:rPr>
              <w:t>第十二章</w:t>
            </w:r>
          </w:p>
          <w:p w:rsidR="00C20406" w:rsidRDefault="00C20406" w:rsidP="008C3907">
            <w:pPr>
              <w:spacing w:line="560" w:lineRule="exact"/>
              <w:jc w:val="left"/>
              <w:rPr>
                <w:rFonts w:ascii="仿宋" w:eastAsia="仿宋" w:hAnsi="仿宋"/>
                <w:sz w:val="22"/>
              </w:rPr>
            </w:pPr>
          </w:p>
        </w:tc>
        <w:tc>
          <w:tcPr>
            <w:tcW w:w="850"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jc w:val="center"/>
              <w:rPr>
                <w:rFonts w:ascii="仿宋" w:eastAsia="仿宋" w:hAnsi="仿宋"/>
                <w:sz w:val="22"/>
                <w:highlight w:val="yellow"/>
              </w:rPr>
            </w:pPr>
            <w:r>
              <w:rPr>
                <w:rFonts w:ascii="仿宋" w:eastAsia="仿宋" w:hAnsi="仿宋" w:hint="eastAsia"/>
                <w:sz w:val="22"/>
              </w:rPr>
              <w:t>2</w:t>
            </w:r>
          </w:p>
        </w:tc>
        <w:tc>
          <w:tcPr>
            <w:tcW w:w="4038"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第一节 设计资料调查收集方法</w:t>
            </w:r>
          </w:p>
          <w:p w:rsidR="00C20406" w:rsidRDefault="00C20406" w:rsidP="008C3907">
            <w:pPr>
              <w:spacing w:line="560" w:lineRule="exact"/>
              <w:rPr>
                <w:rFonts w:ascii="仿宋" w:eastAsia="仿宋" w:hAnsi="仿宋"/>
                <w:sz w:val="22"/>
              </w:rPr>
            </w:pPr>
            <w:r>
              <w:rPr>
                <w:rFonts w:ascii="仿宋" w:eastAsia="仿宋" w:hAnsi="仿宋" w:hint="eastAsia"/>
                <w:sz w:val="22"/>
              </w:rPr>
              <w:t>第二节 负荷计算及炉型选择</w:t>
            </w:r>
          </w:p>
          <w:p w:rsidR="00C20406" w:rsidRDefault="00C20406" w:rsidP="008C3907">
            <w:pPr>
              <w:spacing w:line="560" w:lineRule="exact"/>
              <w:rPr>
                <w:rFonts w:ascii="仿宋" w:eastAsia="仿宋" w:hAnsi="仿宋"/>
                <w:sz w:val="22"/>
              </w:rPr>
            </w:pPr>
            <w:r>
              <w:rPr>
                <w:rFonts w:ascii="仿宋" w:eastAsia="仿宋" w:hAnsi="仿宋" w:hint="eastAsia"/>
                <w:sz w:val="22"/>
              </w:rPr>
              <w:t>第三节 锅炉房设备选择及工艺布置。</w:t>
            </w:r>
          </w:p>
          <w:p w:rsidR="00C20406" w:rsidRDefault="00C20406" w:rsidP="008C3907">
            <w:pPr>
              <w:spacing w:line="560" w:lineRule="exact"/>
              <w:rPr>
                <w:rFonts w:ascii="仿宋" w:eastAsia="仿宋" w:hAnsi="仿宋"/>
                <w:sz w:val="22"/>
              </w:rPr>
            </w:pPr>
            <w:r>
              <w:rPr>
                <w:rFonts w:ascii="仿宋" w:eastAsia="仿宋" w:hAnsi="仿宋" w:hint="eastAsia"/>
                <w:sz w:val="22"/>
              </w:rPr>
              <w:t>第四节 锅炉房设计的专业协作。</w:t>
            </w:r>
          </w:p>
          <w:p w:rsidR="00C20406" w:rsidRDefault="00C20406" w:rsidP="008C3907">
            <w:pPr>
              <w:spacing w:line="560" w:lineRule="exact"/>
              <w:rPr>
                <w:rFonts w:ascii="仿宋" w:eastAsia="仿宋" w:hAnsi="仿宋"/>
                <w:sz w:val="22"/>
                <w:highlight w:val="yellow"/>
              </w:rPr>
            </w:pPr>
          </w:p>
        </w:tc>
        <w:tc>
          <w:tcPr>
            <w:tcW w:w="3188" w:type="dxa"/>
            <w:tcBorders>
              <w:top w:val="single" w:sz="4" w:space="0" w:color="auto"/>
              <w:left w:val="single" w:sz="4" w:space="0" w:color="auto"/>
              <w:bottom w:val="single" w:sz="4" w:space="0" w:color="auto"/>
              <w:right w:val="single" w:sz="4" w:space="0" w:color="auto"/>
            </w:tcBorders>
            <w:vAlign w:val="center"/>
          </w:tcPr>
          <w:p w:rsidR="00C20406" w:rsidRDefault="00C20406" w:rsidP="008C3907">
            <w:pPr>
              <w:spacing w:line="560" w:lineRule="exact"/>
              <w:rPr>
                <w:rFonts w:ascii="仿宋" w:eastAsia="仿宋" w:hAnsi="仿宋"/>
                <w:sz w:val="22"/>
              </w:rPr>
            </w:pPr>
            <w:r>
              <w:rPr>
                <w:rFonts w:ascii="仿宋" w:eastAsia="仿宋" w:hAnsi="仿宋" w:hint="eastAsia"/>
                <w:sz w:val="22"/>
              </w:rPr>
              <w:t>1、熟悉设计资料调查收集方法</w:t>
            </w:r>
          </w:p>
          <w:p w:rsidR="00C20406" w:rsidRDefault="00C20406" w:rsidP="008C3907">
            <w:pPr>
              <w:spacing w:line="560" w:lineRule="exact"/>
              <w:rPr>
                <w:rFonts w:ascii="仿宋" w:eastAsia="仿宋" w:hAnsi="仿宋"/>
                <w:sz w:val="22"/>
              </w:rPr>
            </w:pPr>
            <w:r>
              <w:rPr>
                <w:rFonts w:ascii="仿宋" w:eastAsia="仿宋" w:hAnsi="仿宋" w:hint="eastAsia"/>
                <w:sz w:val="22"/>
              </w:rPr>
              <w:t>2、掌握负荷计算及炉型选择</w:t>
            </w:r>
          </w:p>
          <w:p w:rsidR="00C20406" w:rsidRDefault="00C20406" w:rsidP="008C3907">
            <w:pPr>
              <w:spacing w:line="560" w:lineRule="exact"/>
              <w:rPr>
                <w:rFonts w:ascii="仿宋" w:eastAsia="仿宋" w:hAnsi="仿宋"/>
                <w:sz w:val="22"/>
              </w:rPr>
            </w:pPr>
            <w:r>
              <w:rPr>
                <w:rFonts w:ascii="仿宋" w:eastAsia="仿宋" w:hAnsi="仿宋" w:hint="eastAsia"/>
                <w:sz w:val="22"/>
              </w:rPr>
              <w:t>3、掌握锅炉房设备选择及工艺布置</w:t>
            </w:r>
          </w:p>
          <w:p w:rsidR="00C20406" w:rsidRDefault="00C20406" w:rsidP="008C3907">
            <w:pPr>
              <w:spacing w:line="560" w:lineRule="exact"/>
              <w:rPr>
                <w:rFonts w:ascii="仿宋" w:eastAsia="仿宋" w:hAnsi="仿宋"/>
                <w:sz w:val="22"/>
                <w:highlight w:val="yellow"/>
              </w:rPr>
            </w:pPr>
            <w:r>
              <w:rPr>
                <w:rFonts w:ascii="仿宋" w:eastAsia="仿宋" w:hAnsi="仿宋" w:hint="eastAsia"/>
                <w:sz w:val="22"/>
              </w:rPr>
              <w:t>4、熟悉锅炉房设计的专业协作</w:t>
            </w:r>
          </w:p>
        </w:tc>
      </w:tr>
    </w:tbl>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20406" w:rsidRPr="000A7EE3" w:rsidRDefault="00C20406" w:rsidP="000A7EE3">
      <w:pPr>
        <w:pStyle w:val="a3"/>
        <w:keepNext w:val="0"/>
        <w:spacing w:line="560" w:lineRule="exact"/>
        <w:ind w:firstLineChars="200" w:firstLine="560"/>
        <w:rPr>
          <w:rFonts w:ascii="仿宋_GB2312" w:eastAsia="仿宋_GB2312" w:hAnsi="仿宋_GB2312" w:cs="仿宋_GB2312"/>
          <w:snapToGrid/>
          <w:kern w:val="2"/>
          <w:sz w:val="28"/>
          <w:szCs w:val="28"/>
        </w:rPr>
      </w:pPr>
      <w:r w:rsidRPr="000A7EE3">
        <w:rPr>
          <w:rFonts w:ascii="仿宋_GB2312" w:eastAsia="仿宋_GB2312" w:hAnsi="仿宋_GB2312" w:cs="仿宋_GB2312" w:hint="eastAsia"/>
          <w:snapToGrid/>
          <w:kern w:val="2"/>
          <w:sz w:val="28"/>
          <w:szCs w:val="28"/>
        </w:rPr>
        <w:t>1. 课程考核</w:t>
      </w:r>
    </w:p>
    <w:p w:rsidR="00C20406" w:rsidRPr="000A7EE3" w:rsidRDefault="00C20406" w:rsidP="000A7EE3">
      <w:pPr>
        <w:pStyle w:val="a3"/>
        <w:keepNext w:val="0"/>
        <w:spacing w:line="560" w:lineRule="exact"/>
        <w:ind w:firstLineChars="200" w:firstLine="560"/>
        <w:rPr>
          <w:rFonts w:ascii="仿宋_GB2312" w:eastAsia="仿宋_GB2312" w:hAnsi="仿宋_GB2312" w:cs="仿宋_GB2312"/>
          <w:snapToGrid/>
          <w:kern w:val="2"/>
          <w:sz w:val="28"/>
          <w:szCs w:val="28"/>
        </w:rPr>
      </w:pPr>
      <w:r w:rsidRPr="000A7EE3">
        <w:rPr>
          <w:rFonts w:ascii="仿宋_GB2312" w:eastAsia="仿宋_GB2312" w:hAnsi="仿宋_GB2312" w:cs="仿宋_GB2312" w:hint="eastAsia"/>
          <w:snapToGrid/>
          <w:kern w:val="2"/>
          <w:sz w:val="28"/>
          <w:szCs w:val="28"/>
        </w:rPr>
        <w:t>采用期末考试的方式</w:t>
      </w:r>
    </w:p>
    <w:p w:rsidR="00C20406" w:rsidRPr="000A7EE3" w:rsidRDefault="000A7EE3" w:rsidP="000A7EE3">
      <w:pPr>
        <w:pStyle w:val="a3"/>
        <w:keepNext w:val="0"/>
        <w:spacing w:line="560" w:lineRule="exact"/>
        <w:ind w:left="420" w:firstLineChars="100" w:firstLine="280"/>
        <w:rPr>
          <w:rFonts w:ascii="仿宋_GB2312" w:eastAsia="仿宋_GB2312" w:hAnsi="仿宋_GB2312" w:cs="仿宋_GB2312"/>
          <w:snapToGrid/>
          <w:kern w:val="2"/>
          <w:sz w:val="28"/>
          <w:szCs w:val="28"/>
        </w:rPr>
      </w:pPr>
      <w:r>
        <w:rPr>
          <w:rFonts w:ascii="仿宋_GB2312" w:eastAsia="仿宋_GB2312" w:hAnsi="仿宋_GB2312" w:cs="仿宋_GB2312"/>
          <w:snapToGrid/>
          <w:kern w:val="2"/>
          <w:sz w:val="28"/>
          <w:szCs w:val="28"/>
        </w:rPr>
        <w:t>2.</w:t>
      </w:r>
      <w:r w:rsidR="00C20406" w:rsidRPr="000A7EE3">
        <w:rPr>
          <w:rFonts w:ascii="仿宋_GB2312" w:eastAsia="仿宋_GB2312" w:hAnsi="仿宋_GB2312" w:cs="仿宋_GB2312" w:hint="eastAsia"/>
          <w:snapToGrid/>
          <w:kern w:val="2"/>
          <w:sz w:val="28"/>
          <w:szCs w:val="28"/>
        </w:rPr>
        <w:t>成绩评定</w:t>
      </w:r>
    </w:p>
    <w:p w:rsidR="00C20406" w:rsidRPr="000A7EE3" w:rsidRDefault="00C20406" w:rsidP="000A7EE3">
      <w:pPr>
        <w:pStyle w:val="a3"/>
        <w:keepNext w:val="0"/>
        <w:spacing w:line="560" w:lineRule="exact"/>
        <w:ind w:firstLineChars="200" w:firstLine="560"/>
        <w:rPr>
          <w:rFonts w:ascii="仿宋_GB2312" w:eastAsia="仿宋_GB2312" w:hAnsi="仿宋_GB2312" w:cs="仿宋_GB2312"/>
          <w:snapToGrid/>
          <w:kern w:val="2"/>
          <w:sz w:val="28"/>
          <w:szCs w:val="28"/>
        </w:rPr>
      </w:pPr>
      <w:r w:rsidRPr="000A7EE3">
        <w:rPr>
          <w:rFonts w:ascii="仿宋_GB2312" w:eastAsia="仿宋_GB2312" w:hAnsi="仿宋_GB2312" w:cs="仿宋_GB2312" w:hint="eastAsia"/>
          <w:snapToGrid/>
          <w:kern w:val="2"/>
          <w:sz w:val="28"/>
          <w:szCs w:val="28"/>
        </w:rPr>
        <w:t>按百分制进行成绩评定</w:t>
      </w:r>
    </w:p>
    <w:p w:rsidR="00C20406" w:rsidRPr="000A7EE3" w:rsidRDefault="00C20406" w:rsidP="000A7EE3">
      <w:pPr>
        <w:pStyle w:val="a3"/>
        <w:keepNext w:val="0"/>
        <w:spacing w:line="560" w:lineRule="exact"/>
        <w:ind w:firstLineChars="200" w:firstLine="560"/>
        <w:rPr>
          <w:rFonts w:ascii="仿宋_GB2312" w:eastAsia="仿宋_GB2312" w:hAnsi="仿宋_GB2312" w:cs="仿宋_GB2312"/>
          <w:snapToGrid/>
          <w:kern w:val="2"/>
          <w:sz w:val="28"/>
          <w:szCs w:val="28"/>
        </w:rPr>
      </w:pPr>
      <w:r w:rsidRPr="000A7EE3">
        <w:rPr>
          <w:rFonts w:ascii="仿宋_GB2312" w:eastAsia="仿宋_GB2312" w:hAnsi="仿宋_GB2312" w:cs="仿宋_GB2312"/>
          <w:snapToGrid/>
          <w:kern w:val="2"/>
          <w:sz w:val="28"/>
          <w:szCs w:val="28"/>
        </w:rPr>
        <w:t xml:space="preserve">  </w:t>
      </w:r>
      <w:r w:rsidRPr="000A7EE3">
        <w:rPr>
          <w:rFonts w:ascii="仿宋_GB2312" w:eastAsia="仿宋_GB2312" w:hAnsi="仿宋_GB2312" w:cs="仿宋_GB2312" w:hint="eastAsia"/>
          <w:snapToGrid/>
          <w:kern w:val="2"/>
          <w:sz w:val="28"/>
          <w:szCs w:val="28"/>
        </w:rPr>
        <w:t>课程成绩由教学过程中的三个环节（平时考勤、实验和考试）综合评定产生，其中平时成绩考核包括作业、讨论、出勤等内容，实验成绩由负责实验的老师提供，期末考试采用闭卷方式。实验成绩占10%，平时成绩占</w:t>
      </w:r>
      <w:r w:rsidRPr="000A7EE3">
        <w:rPr>
          <w:rFonts w:ascii="仿宋_GB2312" w:eastAsia="仿宋_GB2312" w:hAnsi="仿宋_GB2312" w:cs="仿宋_GB2312"/>
          <w:snapToGrid/>
          <w:kern w:val="2"/>
          <w:sz w:val="28"/>
          <w:szCs w:val="28"/>
        </w:rPr>
        <w:t>2</w:t>
      </w:r>
      <w:r w:rsidRPr="000A7EE3">
        <w:rPr>
          <w:rFonts w:ascii="仿宋_GB2312" w:eastAsia="仿宋_GB2312" w:hAnsi="仿宋_GB2312" w:cs="仿宋_GB2312" w:hint="eastAsia"/>
          <w:snapToGrid/>
          <w:kern w:val="2"/>
          <w:sz w:val="28"/>
          <w:szCs w:val="28"/>
        </w:rPr>
        <w:t>0%，期末考试成绩占</w:t>
      </w:r>
      <w:r w:rsidRPr="000A7EE3">
        <w:rPr>
          <w:rFonts w:ascii="仿宋_GB2312" w:eastAsia="仿宋_GB2312" w:hAnsi="仿宋_GB2312" w:cs="仿宋_GB2312"/>
          <w:snapToGrid/>
          <w:kern w:val="2"/>
          <w:sz w:val="28"/>
          <w:szCs w:val="28"/>
        </w:rPr>
        <w:t>7</w:t>
      </w:r>
      <w:r w:rsidRPr="000A7EE3">
        <w:rPr>
          <w:rFonts w:ascii="仿宋_GB2312" w:eastAsia="仿宋_GB2312" w:hAnsi="仿宋_GB2312" w:cs="仿宋_GB2312" w:hint="eastAsia"/>
          <w:snapToGrid/>
          <w:kern w:val="2"/>
          <w:sz w:val="28"/>
          <w:szCs w:val="28"/>
        </w:rPr>
        <w:t>0%。</w:t>
      </w:r>
    </w:p>
    <w:p w:rsidR="00C20406" w:rsidRPr="000A7EE3" w:rsidRDefault="00C20406" w:rsidP="00C20406">
      <w:pPr>
        <w:spacing w:line="560" w:lineRule="exact"/>
        <w:ind w:firstLineChars="200" w:firstLine="560"/>
        <w:rPr>
          <w:rFonts w:ascii="仿宋_GB2312" w:hAnsi="仿宋_GB2312" w:cs="仿宋_GB2312"/>
          <w:sz w:val="28"/>
          <w:szCs w:val="28"/>
        </w:rPr>
      </w:pPr>
      <w:r w:rsidRPr="000A7EE3">
        <w:rPr>
          <w:rFonts w:ascii="仿宋_GB2312" w:hAnsi="仿宋_GB2312" w:cs="仿宋_GB2312"/>
          <w:sz w:val="28"/>
          <w:szCs w:val="28"/>
        </w:rPr>
        <w:t>课程总成绩=期末成绩70</w:t>
      </w:r>
      <w:r w:rsidRPr="000A7EE3">
        <w:rPr>
          <w:rFonts w:ascii="仿宋_GB2312" w:hAnsi="仿宋_GB2312" w:cs="仿宋_GB2312" w:hint="eastAsia"/>
          <w:sz w:val="28"/>
          <w:szCs w:val="28"/>
        </w:rPr>
        <w:t>%+平时</w:t>
      </w:r>
      <w:r w:rsidRPr="000A7EE3">
        <w:rPr>
          <w:rFonts w:ascii="仿宋_GB2312" w:hAnsi="仿宋_GB2312" w:cs="仿宋_GB2312"/>
          <w:sz w:val="28"/>
          <w:szCs w:val="28"/>
        </w:rPr>
        <w:t>成绩20</w:t>
      </w:r>
      <w:r w:rsidRPr="000A7EE3">
        <w:rPr>
          <w:rFonts w:ascii="仿宋_GB2312" w:hAnsi="仿宋_GB2312" w:cs="仿宋_GB2312" w:hint="eastAsia"/>
          <w:sz w:val="28"/>
          <w:szCs w:val="28"/>
        </w:rPr>
        <w:t>%+实验成绩1</w:t>
      </w:r>
      <w:r w:rsidRPr="000A7EE3">
        <w:rPr>
          <w:rFonts w:ascii="仿宋_GB2312" w:hAnsi="仿宋_GB2312" w:cs="仿宋_GB2312"/>
          <w:sz w:val="28"/>
          <w:szCs w:val="28"/>
        </w:rPr>
        <w:t>0</w:t>
      </w:r>
      <w:r w:rsidRPr="000A7EE3">
        <w:rPr>
          <w:rFonts w:ascii="仿宋_GB2312" w:hAnsi="仿宋_GB2312" w:cs="仿宋_GB2312" w:hint="eastAsia"/>
          <w:sz w:val="28"/>
          <w:szCs w:val="28"/>
        </w:rPr>
        <w:t>%</w:t>
      </w:r>
      <w:r w:rsidRPr="000A7EE3">
        <w:rPr>
          <w:rFonts w:ascii="仿宋_GB2312" w:hAnsi="仿宋_GB2312" w:cs="仿宋_GB2312"/>
          <w:sz w:val="28"/>
          <w:szCs w:val="28"/>
        </w:rPr>
        <w:t xml:space="preserve">  </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20406" w:rsidRDefault="00C20406" w:rsidP="00C20406">
      <w:pPr>
        <w:spacing w:beforeLines="50" w:before="156" w:afterLines="50" w:after="156" w:line="560" w:lineRule="exact"/>
        <w:ind w:firstLineChars="147" w:firstLine="413"/>
        <w:rPr>
          <w:rFonts w:ascii="仿宋_GB2312" w:hAnsi="仿宋_GB2312" w:cs="仿宋_GB2312"/>
          <w:b/>
          <w:sz w:val="28"/>
          <w:szCs w:val="28"/>
        </w:rPr>
      </w:pPr>
      <w:r>
        <w:rPr>
          <w:rFonts w:ascii="仿宋_GB2312" w:hAnsi="仿宋_GB2312" w:cs="仿宋_GB2312" w:hint="eastAsia"/>
          <w:b/>
          <w:sz w:val="28"/>
          <w:szCs w:val="28"/>
        </w:rPr>
        <w:t>1.建议教材</w:t>
      </w:r>
    </w:p>
    <w:p w:rsidR="00C20406" w:rsidRDefault="00C20406" w:rsidP="00C20406">
      <w:pPr>
        <w:spacing w:beforeLines="50" w:before="156" w:afterLines="50" w:after="156" w:line="560" w:lineRule="exact"/>
        <w:ind w:firstLineChars="200" w:firstLine="560"/>
        <w:rPr>
          <w:rFonts w:ascii="仿宋_GB2312" w:hAnsi="仿宋_GB2312" w:cs="仿宋_GB2312"/>
          <w:sz w:val="28"/>
          <w:szCs w:val="28"/>
        </w:rPr>
      </w:pPr>
      <w:r>
        <w:rPr>
          <w:rFonts w:ascii="仿宋" w:eastAsia="仿宋" w:hAnsi="仿宋" w:hint="eastAsia"/>
          <w:sz w:val="28"/>
          <w:szCs w:val="28"/>
        </w:rPr>
        <w:lastRenderedPageBreak/>
        <w:t>⑴ 空调冷热源工程，丁从飞主编，机械工业出版社，2020年出版。</w:t>
      </w:r>
    </w:p>
    <w:p w:rsidR="00C20406" w:rsidRDefault="00C20406" w:rsidP="00C20406">
      <w:pPr>
        <w:snapToGrid w:val="0"/>
        <w:spacing w:line="560" w:lineRule="exact"/>
        <w:ind w:firstLineChars="200" w:firstLine="560"/>
        <w:rPr>
          <w:rFonts w:ascii="华文中宋" w:eastAsia="华文中宋" w:hAnsi="华文中宋"/>
          <w:szCs w:val="21"/>
        </w:rPr>
      </w:pPr>
      <w:r>
        <w:rPr>
          <w:rFonts w:ascii="仿宋" w:eastAsia="仿宋" w:hAnsi="仿宋" w:hint="eastAsia"/>
          <w:sz w:val="28"/>
          <w:szCs w:val="28"/>
        </w:rPr>
        <w:t>⑵ 锅炉及锅炉房设备（第五版），吴味隆主编，中国建筑工业出版社。</w:t>
      </w:r>
    </w:p>
    <w:p w:rsidR="00C20406" w:rsidRDefault="00C20406" w:rsidP="00C20406">
      <w:pPr>
        <w:spacing w:beforeLines="50" w:before="156" w:afterLines="50" w:after="156" w:line="560" w:lineRule="exact"/>
        <w:ind w:firstLineChars="147" w:firstLine="413"/>
        <w:rPr>
          <w:rFonts w:ascii="仿宋_GB2312" w:hAnsi="仿宋_GB2312" w:cs="仿宋_GB2312"/>
          <w:b/>
          <w:sz w:val="28"/>
          <w:szCs w:val="28"/>
        </w:rPr>
      </w:pPr>
      <w:r>
        <w:rPr>
          <w:rFonts w:ascii="仿宋_GB2312" w:hAnsi="仿宋_GB2312" w:cs="仿宋_GB2312" w:hint="eastAsia"/>
          <w:b/>
          <w:sz w:val="28"/>
          <w:szCs w:val="28"/>
        </w:rPr>
        <w:t>2.主要参考资料</w:t>
      </w:r>
    </w:p>
    <w:p w:rsidR="00C20406" w:rsidRDefault="00C20406" w:rsidP="00C20406">
      <w:pPr>
        <w:snapToGrid w:val="0"/>
        <w:spacing w:line="560" w:lineRule="exact"/>
        <w:ind w:firstLineChars="300" w:firstLine="840"/>
        <w:rPr>
          <w:rFonts w:ascii="仿宋" w:eastAsia="仿宋" w:hAnsi="仿宋"/>
          <w:sz w:val="28"/>
          <w:szCs w:val="28"/>
        </w:rPr>
      </w:pPr>
      <w:r>
        <w:rPr>
          <w:rFonts w:ascii="仿宋" w:eastAsia="仿宋" w:hAnsi="仿宋" w:hint="eastAsia"/>
          <w:sz w:val="28"/>
          <w:szCs w:val="28"/>
        </w:rPr>
        <w:t>空气调节用制冷技术，石文星主编，中国建筑工业出版社</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C20406" w:rsidRDefault="00C20406" w:rsidP="00C2040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w:t>
      </w:r>
    </w:p>
    <w:p w:rsidR="00C20406" w:rsidRDefault="00C20406" w:rsidP="00C20406">
      <w:pPr>
        <w:spacing w:beforeLines="50" w:before="156" w:afterLines="50" w:after="156" w:line="560" w:lineRule="exact"/>
        <w:rPr>
          <w:rFonts w:ascii="黑体" w:eastAsia="黑体" w:hAnsi="黑体"/>
          <w:b/>
          <w:sz w:val="28"/>
          <w:szCs w:val="28"/>
        </w:rPr>
      </w:pPr>
    </w:p>
    <w:p w:rsidR="00C20406" w:rsidRDefault="00C20406" w:rsidP="00C20406">
      <w:pPr>
        <w:spacing w:beforeLines="50" w:before="156" w:afterLines="50" w:after="156" w:line="560" w:lineRule="exact"/>
        <w:rPr>
          <w:rFonts w:ascii="黑体" w:eastAsia="黑体" w:hAnsi="黑体"/>
          <w:b/>
          <w:sz w:val="28"/>
          <w:szCs w:val="28"/>
        </w:rPr>
      </w:pPr>
    </w:p>
    <w:p w:rsidR="00C20406" w:rsidRDefault="00C20406" w:rsidP="00C20406">
      <w:pPr>
        <w:spacing w:line="560" w:lineRule="exact"/>
        <w:ind w:firstLineChars="1200" w:firstLine="3360"/>
        <w:rPr>
          <w:rFonts w:ascii="仿宋" w:eastAsia="仿宋" w:hAnsi="仿宋"/>
          <w:sz w:val="28"/>
          <w:szCs w:val="28"/>
        </w:rPr>
      </w:pPr>
      <w:r>
        <w:rPr>
          <w:rFonts w:ascii="仿宋" w:eastAsia="仿宋" w:hAnsi="仿宋" w:hint="eastAsia"/>
          <w:sz w:val="28"/>
          <w:szCs w:val="28"/>
        </w:rPr>
        <w:t>大纲撰写人：</w:t>
      </w:r>
      <w:r>
        <w:rPr>
          <w:rFonts w:ascii="仿宋" w:eastAsia="仿宋" w:hAnsi="仿宋"/>
          <w:sz w:val="28"/>
          <w:szCs w:val="28"/>
        </w:rPr>
        <w:t>田安民</w:t>
      </w:r>
      <w:r>
        <w:rPr>
          <w:rFonts w:ascii="仿宋" w:eastAsia="仿宋" w:hAnsi="仿宋" w:hint="eastAsia"/>
          <w:sz w:val="28"/>
          <w:szCs w:val="28"/>
        </w:rPr>
        <w:t xml:space="preserve"> 康凯 </w:t>
      </w:r>
      <w:r>
        <w:rPr>
          <w:rFonts w:ascii="仿宋" w:eastAsia="仿宋" w:hAnsi="仿宋"/>
          <w:sz w:val="28"/>
          <w:szCs w:val="28"/>
        </w:rPr>
        <w:t xml:space="preserve"> </w:t>
      </w:r>
    </w:p>
    <w:p w:rsidR="00C20406" w:rsidRDefault="00C20406" w:rsidP="00C20406">
      <w:pPr>
        <w:spacing w:line="560" w:lineRule="exact"/>
        <w:ind w:firstLineChars="1200" w:firstLine="3360"/>
        <w:rPr>
          <w:rFonts w:ascii="仿宋" w:eastAsia="仿宋" w:hAnsi="仿宋"/>
          <w:sz w:val="28"/>
          <w:szCs w:val="28"/>
        </w:rPr>
      </w:pPr>
      <w:r>
        <w:rPr>
          <w:rFonts w:ascii="仿宋" w:eastAsia="仿宋" w:hAnsi="仿宋" w:hint="eastAsia"/>
          <w:sz w:val="28"/>
          <w:szCs w:val="28"/>
        </w:rPr>
        <w:t>课程负责人：</w:t>
      </w:r>
      <w:r>
        <w:rPr>
          <w:rFonts w:ascii="仿宋" w:eastAsia="仿宋" w:hAnsi="仿宋"/>
          <w:sz w:val="28"/>
          <w:szCs w:val="28"/>
        </w:rPr>
        <w:t>田安民</w:t>
      </w:r>
      <w:r>
        <w:rPr>
          <w:rFonts w:ascii="仿宋" w:eastAsia="仿宋" w:hAnsi="仿宋" w:hint="eastAsia"/>
          <w:sz w:val="28"/>
          <w:szCs w:val="28"/>
        </w:rPr>
        <w:t xml:space="preserve"> 康凯 </w:t>
      </w:r>
      <w:r>
        <w:rPr>
          <w:rFonts w:ascii="仿宋" w:eastAsia="仿宋" w:hAnsi="仿宋"/>
          <w:sz w:val="28"/>
          <w:szCs w:val="28"/>
        </w:rPr>
        <w:t xml:space="preserve"> </w:t>
      </w:r>
    </w:p>
    <w:p w:rsidR="00C20406" w:rsidRDefault="00C20406" w:rsidP="00C20406">
      <w:pPr>
        <w:spacing w:line="560" w:lineRule="exact"/>
        <w:ind w:firstLineChars="1200" w:firstLine="3360"/>
        <w:rPr>
          <w:rFonts w:ascii="仿宋" w:eastAsia="仿宋" w:hAnsi="仿宋"/>
          <w:sz w:val="28"/>
          <w:szCs w:val="28"/>
        </w:rPr>
      </w:pPr>
      <w:r>
        <w:rPr>
          <w:rFonts w:ascii="仿宋" w:eastAsia="仿宋" w:hAnsi="仿宋" w:hint="eastAsia"/>
          <w:sz w:val="28"/>
          <w:szCs w:val="28"/>
        </w:rPr>
        <w:t>审核人：</w:t>
      </w:r>
    </w:p>
    <w:p w:rsidR="00494448" w:rsidRDefault="00C20406" w:rsidP="00C20406">
      <w:pPr>
        <w:rPr>
          <w:rFonts w:ascii="仿宋_GB2312" w:hAnsi="微软雅黑"/>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20406" w:rsidRDefault="00C20406" w:rsidP="00C20406">
      <w:pPr>
        <w:rPr>
          <w:rFonts w:ascii="仿宋_GB2312" w:hAnsi="微软雅黑"/>
          <w:sz w:val="28"/>
          <w:szCs w:val="28"/>
        </w:rPr>
      </w:pPr>
    </w:p>
    <w:p w:rsidR="000A7EE3" w:rsidRDefault="000A7EE3" w:rsidP="00C20406">
      <w:pPr>
        <w:widowControl/>
        <w:spacing w:line="360" w:lineRule="auto"/>
        <w:jc w:val="center"/>
        <w:rPr>
          <w:rFonts w:ascii="方正小标宋简体" w:eastAsia="方正小标宋简体" w:hAnsi="宋体"/>
          <w:kern w:val="0"/>
          <w:szCs w:val="32"/>
        </w:rPr>
      </w:pPr>
    </w:p>
    <w:p w:rsidR="000A7EE3" w:rsidRDefault="000A7EE3" w:rsidP="00C20406">
      <w:pPr>
        <w:widowControl/>
        <w:spacing w:line="360" w:lineRule="auto"/>
        <w:jc w:val="center"/>
        <w:rPr>
          <w:rFonts w:ascii="方正小标宋简体" w:eastAsia="方正小标宋简体" w:hAnsi="宋体"/>
          <w:kern w:val="0"/>
          <w:szCs w:val="32"/>
        </w:rPr>
      </w:pPr>
    </w:p>
    <w:p w:rsidR="000A7EE3" w:rsidRDefault="000A7EE3" w:rsidP="00C20406">
      <w:pPr>
        <w:widowControl/>
        <w:spacing w:line="360" w:lineRule="auto"/>
        <w:jc w:val="center"/>
        <w:rPr>
          <w:rFonts w:ascii="方正小标宋简体" w:eastAsia="方正小标宋简体" w:hAnsi="宋体"/>
          <w:kern w:val="0"/>
          <w:szCs w:val="32"/>
        </w:rPr>
      </w:pPr>
    </w:p>
    <w:p w:rsidR="000A7EE3" w:rsidRDefault="000A7EE3" w:rsidP="00C20406">
      <w:pPr>
        <w:widowControl/>
        <w:spacing w:line="360" w:lineRule="auto"/>
        <w:jc w:val="center"/>
        <w:rPr>
          <w:rFonts w:ascii="方正小标宋简体" w:eastAsia="方正小标宋简体" w:hAnsi="宋体"/>
          <w:kern w:val="0"/>
          <w:szCs w:val="32"/>
        </w:rPr>
      </w:pPr>
    </w:p>
    <w:p w:rsidR="000A7EE3" w:rsidRDefault="000A7EE3" w:rsidP="00C20406">
      <w:pPr>
        <w:widowControl/>
        <w:spacing w:line="360" w:lineRule="auto"/>
        <w:jc w:val="center"/>
        <w:rPr>
          <w:rFonts w:ascii="方正小标宋简体" w:eastAsia="方正小标宋简体" w:hAnsi="宋体"/>
          <w:kern w:val="0"/>
          <w:szCs w:val="32"/>
        </w:rPr>
      </w:pPr>
    </w:p>
    <w:p w:rsidR="000A7EE3" w:rsidRDefault="000A7EE3" w:rsidP="00C20406">
      <w:pPr>
        <w:widowControl/>
        <w:spacing w:line="360" w:lineRule="auto"/>
        <w:jc w:val="center"/>
        <w:rPr>
          <w:rFonts w:ascii="方正小标宋简体" w:eastAsia="方正小标宋简体" w:hAnsi="宋体"/>
          <w:kern w:val="0"/>
          <w:szCs w:val="32"/>
        </w:rPr>
      </w:pPr>
    </w:p>
    <w:p w:rsidR="00C20406" w:rsidRDefault="00C20406" w:rsidP="00C2040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《建筑电气控制技术》课程教学大纲</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Building Electrical Control Technology</w:t>
      </w:r>
    </w:p>
    <w:p w:rsidR="00C20406" w:rsidRDefault="00C20406" w:rsidP="00C2040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Z2807250</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学时（授课</w:t>
      </w:r>
      <w:r>
        <w:rPr>
          <w:rFonts w:ascii="仿宋_GB2312" w:hAnsi="仿宋_GB2312" w:cs="仿宋_GB2312"/>
          <w:bCs/>
          <w:sz w:val="28"/>
          <w:szCs w:val="28"/>
        </w:rPr>
        <w:t>24</w:t>
      </w:r>
      <w:r>
        <w:rPr>
          <w:rFonts w:ascii="仿宋_GB2312" w:hAnsi="仿宋_GB2312" w:cs="仿宋_GB2312" w:hint="eastAsia"/>
          <w:bCs/>
          <w:sz w:val="28"/>
          <w:szCs w:val="28"/>
        </w:rPr>
        <w:t>学时）</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先修课程：电工电子技术基础、大学</w:t>
      </w:r>
      <w:r>
        <w:rPr>
          <w:rFonts w:ascii="仿宋_GB2312" w:hAnsi="仿宋_GB2312" w:cs="仿宋_GB2312"/>
          <w:bCs/>
          <w:sz w:val="28"/>
          <w:szCs w:val="28"/>
        </w:rPr>
        <w:t>物理</w:t>
      </w:r>
      <w:r>
        <w:rPr>
          <w:rFonts w:ascii="仿宋_GB2312" w:hAnsi="仿宋_GB2312" w:cs="仿宋_GB2312" w:hint="eastAsia"/>
          <w:bCs/>
          <w:sz w:val="28"/>
          <w:szCs w:val="28"/>
        </w:rPr>
        <w:t>等</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《建筑电气</w:t>
      </w:r>
      <w:r>
        <w:rPr>
          <w:rFonts w:ascii="仿宋_GB2312" w:hAnsi="仿宋_GB2312" w:cs="仿宋_GB2312"/>
          <w:sz w:val="28"/>
          <w:szCs w:val="28"/>
        </w:rPr>
        <w:t>控制技术</w:t>
      </w:r>
      <w:r>
        <w:rPr>
          <w:rFonts w:ascii="仿宋_GB2312" w:hAnsi="仿宋_GB2312" w:cs="仿宋_GB2312" w:hint="eastAsia"/>
          <w:sz w:val="28"/>
          <w:szCs w:val="28"/>
        </w:rPr>
        <w:t>》是建筑环境与能源应用</w:t>
      </w:r>
      <w:r>
        <w:rPr>
          <w:rFonts w:ascii="仿宋_GB2312" w:hAnsi="仿宋_GB2312" w:cs="仿宋_GB2312"/>
          <w:sz w:val="28"/>
          <w:szCs w:val="28"/>
        </w:rPr>
        <w:t>工程</w:t>
      </w:r>
      <w:r>
        <w:rPr>
          <w:rFonts w:ascii="仿宋_GB2312" w:hAnsi="仿宋_GB2312" w:cs="仿宋_GB2312" w:hint="eastAsia"/>
          <w:sz w:val="28"/>
          <w:szCs w:val="28"/>
        </w:rPr>
        <w:t>专业一门重要的专业课，其性质属于技术科学，即应用理论，研究的主要对象是建筑</w:t>
      </w:r>
      <w:r>
        <w:rPr>
          <w:rFonts w:ascii="仿宋_GB2312" w:hAnsi="仿宋_GB2312" w:cs="仿宋_GB2312"/>
          <w:sz w:val="28"/>
          <w:szCs w:val="28"/>
        </w:rPr>
        <w:t>中的各类电气设备</w:t>
      </w:r>
      <w:r>
        <w:rPr>
          <w:rFonts w:ascii="仿宋_GB2312" w:hAnsi="仿宋_GB2312" w:cs="仿宋_GB2312" w:hint="eastAsia"/>
          <w:sz w:val="28"/>
          <w:szCs w:val="28"/>
        </w:rPr>
        <w:t>，研究的中心问题是如何</w:t>
      </w:r>
      <w:r>
        <w:rPr>
          <w:rFonts w:ascii="仿宋_GB2312" w:hAnsi="仿宋_GB2312" w:cs="仿宋_GB2312"/>
          <w:sz w:val="28"/>
          <w:szCs w:val="28"/>
        </w:rPr>
        <w:t>利用电器元件和可编程逻辑控制器实现建筑设备的电气控制</w:t>
      </w:r>
      <w:r>
        <w:rPr>
          <w:rFonts w:ascii="仿宋_GB2312" w:hAnsi="仿宋_GB2312" w:cs="仿宋_GB2312" w:hint="eastAsia"/>
          <w:sz w:val="28"/>
          <w:szCs w:val="28"/>
        </w:rPr>
        <w:t>。</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本</w:t>
      </w:r>
      <w:r>
        <w:rPr>
          <w:rFonts w:ascii="仿宋_GB2312" w:hAnsi="仿宋_GB2312" w:cs="仿宋_GB2312"/>
          <w:sz w:val="28"/>
          <w:szCs w:val="28"/>
        </w:rPr>
        <w:t>课程</w:t>
      </w:r>
      <w:r>
        <w:rPr>
          <w:rFonts w:ascii="仿宋_GB2312" w:hAnsi="仿宋_GB2312" w:cs="仿宋_GB2312" w:hint="eastAsia"/>
          <w:sz w:val="28"/>
          <w:szCs w:val="28"/>
        </w:rPr>
        <w:t>及</w:t>
      </w:r>
      <w:r>
        <w:rPr>
          <w:rFonts w:ascii="仿宋_GB2312" w:hAnsi="仿宋_GB2312" w:cs="仿宋_GB2312"/>
          <w:sz w:val="28"/>
          <w:szCs w:val="28"/>
        </w:rPr>
        <w:t>重视</w:t>
      </w:r>
      <w:r>
        <w:rPr>
          <w:rFonts w:ascii="仿宋_GB2312" w:hAnsi="仿宋_GB2312" w:cs="仿宋_GB2312" w:hint="eastAsia"/>
          <w:sz w:val="28"/>
          <w:szCs w:val="28"/>
        </w:rPr>
        <w:t>建筑电气控制技术的基本原理，又注重介绍电气控制技术在建筑电气领域中的实际应用</w:t>
      </w:r>
      <w:r>
        <w:rPr>
          <w:rFonts w:ascii="微软雅黑" w:eastAsia="微软雅黑" w:hAnsi="微软雅黑" w:cs="微软雅黑" w:hint="eastAsia"/>
          <w:sz w:val="28"/>
          <w:szCs w:val="28"/>
        </w:rPr>
        <w:t>｡</w:t>
      </w:r>
      <w:r>
        <w:rPr>
          <w:rFonts w:ascii="仿宋_GB2312" w:hAnsi="仿宋_GB2312" w:cs="仿宋_GB2312" w:hint="eastAsia"/>
          <w:sz w:val="28"/>
          <w:szCs w:val="28"/>
        </w:rPr>
        <w:t>另外，为适应可编程序控制器技术的应用需求，要求建环</w:t>
      </w:r>
      <w:r>
        <w:rPr>
          <w:rFonts w:ascii="仿宋_GB2312" w:hAnsi="仿宋_GB2312" w:cs="仿宋_GB2312"/>
          <w:sz w:val="28"/>
          <w:szCs w:val="28"/>
        </w:rPr>
        <w:t>学生能够掌握</w:t>
      </w:r>
      <w:r>
        <w:rPr>
          <w:rFonts w:ascii="仿宋_GB2312" w:hAnsi="仿宋_GB2312" w:cs="仿宋_GB2312" w:hint="eastAsia"/>
          <w:sz w:val="28"/>
          <w:szCs w:val="28"/>
        </w:rPr>
        <w:t>典型可编程序控制器的原理</w:t>
      </w:r>
      <w:r>
        <w:rPr>
          <w:rFonts w:ascii="微软雅黑" w:eastAsia="微软雅黑" w:hAnsi="微软雅黑" w:cs="微软雅黑" w:hint="eastAsia"/>
          <w:sz w:val="28"/>
          <w:szCs w:val="28"/>
        </w:rPr>
        <w:t>、</w:t>
      </w:r>
      <w:r>
        <w:rPr>
          <w:rFonts w:ascii="仿宋_GB2312" w:hAnsi="仿宋_GB2312" w:cs="仿宋_GB2312" w:hint="eastAsia"/>
          <w:sz w:val="28"/>
          <w:szCs w:val="28"/>
        </w:rPr>
        <w:lastRenderedPageBreak/>
        <w:t>使用技术和一些新的发展成果，突出工程上的实用性。</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《建筑电气</w:t>
      </w:r>
      <w:r>
        <w:rPr>
          <w:rFonts w:ascii="仿宋_GB2312" w:hAnsi="仿宋_GB2312" w:cs="仿宋_GB2312"/>
          <w:sz w:val="28"/>
          <w:szCs w:val="28"/>
        </w:rPr>
        <w:t>控制技术</w:t>
      </w:r>
      <w:r>
        <w:rPr>
          <w:rFonts w:ascii="仿宋_GB2312" w:hAnsi="仿宋_GB2312" w:cs="仿宋_GB2312" w:hint="eastAsia"/>
          <w:sz w:val="28"/>
          <w:szCs w:val="28"/>
        </w:rPr>
        <w:t>》课程是建筑环境与能源应用工程专业的一门选修课，通过这门课程的学习，使学生了解建筑</w:t>
      </w:r>
      <w:r>
        <w:rPr>
          <w:rFonts w:ascii="仿宋_GB2312" w:hAnsi="仿宋_GB2312" w:cs="仿宋_GB2312"/>
          <w:sz w:val="28"/>
          <w:szCs w:val="28"/>
        </w:rPr>
        <w:t>电气的特点和实际建筑</w:t>
      </w:r>
      <w:r>
        <w:rPr>
          <w:rFonts w:ascii="仿宋_GB2312" w:hAnsi="仿宋_GB2312" w:cs="仿宋_GB2312" w:hint="eastAsia"/>
          <w:sz w:val="28"/>
          <w:szCs w:val="28"/>
        </w:rPr>
        <w:t>电气</w:t>
      </w:r>
      <w:r>
        <w:rPr>
          <w:rFonts w:ascii="仿宋_GB2312" w:hAnsi="仿宋_GB2312" w:cs="仿宋_GB2312"/>
          <w:sz w:val="28"/>
          <w:szCs w:val="28"/>
        </w:rPr>
        <w:t>控制的需要，掌握一般现场及设备中常用的电</w:t>
      </w:r>
      <w:r>
        <w:rPr>
          <w:rFonts w:ascii="仿宋_GB2312" w:hAnsi="仿宋_GB2312" w:cs="仿宋_GB2312" w:hint="eastAsia"/>
          <w:sz w:val="28"/>
          <w:szCs w:val="28"/>
        </w:rPr>
        <w:t>器</w:t>
      </w:r>
      <w:r>
        <w:rPr>
          <w:rFonts w:ascii="仿宋_GB2312" w:hAnsi="仿宋_GB2312" w:cs="仿宋_GB2312"/>
          <w:sz w:val="28"/>
          <w:szCs w:val="28"/>
        </w:rPr>
        <w:t>及电气设计方法，分析电气控制系统原力、应用等。</w:t>
      </w:r>
      <w:r>
        <w:rPr>
          <w:rFonts w:ascii="仿宋_GB2312" w:hAnsi="仿宋_GB2312" w:cs="仿宋_GB2312" w:hint="eastAsia"/>
          <w:sz w:val="28"/>
          <w:szCs w:val="28"/>
        </w:rPr>
        <w:t>帮助建筑</w:t>
      </w:r>
      <w:r>
        <w:rPr>
          <w:rFonts w:ascii="仿宋_GB2312" w:hAnsi="仿宋_GB2312" w:cs="仿宋_GB2312"/>
          <w:sz w:val="28"/>
          <w:szCs w:val="28"/>
        </w:rPr>
        <w:t>环境与能源应用工程的</w:t>
      </w:r>
      <w:r>
        <w:rPr>
          <w:rFonts w:ascii="仿宋_GB2312" w:hAnsi="仿宋_GB2312" w:cs="仿宋_GB2312" w:hint="eastAsia"/>
          <w:sz w:val="28"/>
          <w:szCs w:val="28"/>
        </w:rPr>
        <w:t>学生</w:t>
      </w:r>
      <w:r>
        <w:rPr>
          <w:rFonts w:ascii="仿宋_GB2312" w:hAnsi="仿宋_GB2312" w:cs="仿宋_GB2312"/>
          <w:sz w:val="28"/>
          <w:szCs w:val="28"/>
        </w:rPr>
        <w:t>将来从事建筑</w:t>
      </w:r>
      <w:r>
        <w:rPr>
          <w:rFonts w:ascii="仿宋_GB2312" w:hAnsi="仿宋_GB2312" w:cs="仿宋_GB2312" w:hint="eastAsia"/>
          <w:sz w:val="28"/>
          <w:szCs w:val="28"/>
        </w:rPr>
        <w:t>暖通空调</w:t>
      </w:r>
      <w:r>
        <w:rPr>
          <w:rFonts w:ascii="仿宋_GB2312" w:hAnsi="仿宋_GB2312" w:cs="仿宋_GB2312"/>
          <w:sz w:val="28"/>
          <w:szCs w:val="28"/>
        </w:rPr>
        <w:t>设计、施工、管理等提供所需的建筑</w:t>
      </w:r>
      <w:r>
        <w:rPr>
          <w:rFonts w:ascii="仿宋_GB2312" w:hAnsi="仿宋_GB2312" w:cs="仿宋_GB2312" w:hint="eastAsia"/>
          <w:sz w:val="28"/>
          <w:szCs w:val="28"/>
        </w:rPr>
        <w:t>电气</w:t>
      </w:r>
      <w:r>
        <w:rPr>
          <w:rFonts w:ascii="仿宋_GB2312" w:hAnsi="仿宋_GB2312" w:cs="仿宋_GB2312"/>
          <w:sz w:val="28"/>
          <w:szCs w:val="28"/>
        </w:rPr>
        <w:t>相关知识</w:t>
      </w:r>
      <w:r>
        <w:rPr>
          <w:rFonts w:ascii="仿宋_GB2312" w:hAnsi="仿宋_GB2312" w:cs="仿宋_GB2312" w:hint="eastAsia"/>
          <w:sz w:val="28"/>
          <w:szCs w:val="28"/>
        </w:rPr>
        <w:t>。通过</w:t>
      </w:r>
      <w:r>
        <w:rPr>
          <w:rFonts w:ascii="仿宋_GB2312" w:hAnsi="仿宋_GB2312" w:cs="仿宋_GB2312"/>
          <w:sz w:val="28"/>
          <w:szCs w:val="28"/>
        </w:rPr>
        <w:t>本课程的学习，使学生理解</w:t>
      </w:r>
      <w:r>
        <w:rPr>
          <w:rFonts w:ascii="仿宋_GB2312" w:hAnsi="仿宋_GB2312" w:cs="仿宋_GB2312" w:hint="eastAsia"/>
          <w:sz w:val="28"/>
          <w:szCs w:val="28"/>
        </w:rPr>
        <w:t>建筑</w:t>
      </w:r>
      <w:r>
        <w:rPr>
          <w:rFonts w:ascii="仿宋_GB2312" w:hAnsi="仿宋_GB2312" w:cs="仿宋_GB2312"/>
          <w:sz w:val="28"/>
          <w:szCs w:val="28"/>
        </w:rPr>
        <w:t>电气控制系统原理、结构、特点，掌握</w:t>
      </w:r>
      <w:r>
        <w:rPr>
          <w:rFonts w:ascii="仿宋_GB2312" w:hAnsi="仿宋_GB2312" w:cs="仿宋_GB2312" w:hint="eastAsia"/>
          <w:sz w:val="28"/>
          <w:szCs w:val="28"/>
        </w:rPr>
        <w:t>常用</w:t>
      </w:r>
      <w:r>
        <w:rPr>
          <w:rFonts w:ascii="仿宋_GB2312" w:hAnsi="仿宋_GB2312" w:cs="仿宋_GB2312"/>
          <w:sz w:val="28"/>
          <w:szCs w:val="28"/>
        </w:rPr>
        <w:t>控制电</w:t>
      </w:r>
      <w:r>
        <w:rPr>
          <w:rFonts w:ascii="仿宋_GB2312" w:hAnsi="仿宋_GB2312" w:cs="仿宋_GB2312" w:hint="eastAsia"/>
          <w:sz w:val="28"/>
          <w:szCs w:val="28"/>
        </w:rPr>
        <w:t>器基本</w:t>
      </w:r>
      <w:r>
        <w:rPr>
          <w:rFonts w:ascii="仿宋_GB2312" w:hAnsi="仿宋_GB2312" w:cs="仿宋_GB2312"/>
          <w:sz w:val="28"/>
          <w:szCs w:val="28"/>
        </w:rPr>
        <w:t>原理和选型方法；掌握继电器、接触器、断路器控制系统</w:t>
      </w:r>
      <w:r>
        <w:rPr>
          <w:rFonts w:ascii="仿宋_GB2312" w:hAnsi="仿宋_GB2312" w:cs="仿宋_GB2312" w:hint="eastAsia"/>
          <w:sz w:val="28"/>
          <w:szCs w:val="28"/>
        </w:rPr>
        <w:t>原理图</w:t>
      </w:r>
      <w:r>
        <w:rPr>
          <w:rFonts w:ascii="仿宋_GB2312" w:hAnsi="仿宋_GB2312" w:cs="仿宋_GB2312"/>
          <w:sz w:val="28"/>
          <w:szCs w:val="28"/>
        </w:rPr>
        <w:t>的绘制方法和规则；了解建筑电气控制基本环节，掌握典型建筑电气控制线路</w:t>
      </w:r>
      <w:r>
        <w:rPr>
          <w:rFonts w:ascii="仿宋_GB2312" w:hAnsi="仿宋_GB2312" w:cs="仿宋_GB2312" w:hint="eastAsia"/>
          <w:sz w:val="28"/>
          <w:szCs w:val="28"/>
        </w:rPr>
        <w:t>（水泵</w:t>
      </w:r>
      <w:r>
        <w:rPr>
          <w:rFonts w:ascii="仿宋_GB2312" w:hAnsi="仿宋_GB2312" w:cs="仿宋_GB2312"/>
          <w:sz w:val="28"/>
          <w:szCs w:val="28"/>
        </w:rPr>
        <w:t>、空调和锅炉设备等</w:t>
      </w:r>
      <w:r>
        <w:rPr>
          <w:rFonts w:ascii="仿宋_GB2312" w:hAnsi="仿宋_GB2312" w:cs="仿宋_GB2312" w:hint="eastAsia"/>
          <w:sz w:val="28"/>
          <w:szCs w:val="28"/>
        </w:rPr>
        <w:t>）</w:t>
      </w:r>
      <w:r>
        <w:rPr>
          <w:rFonts w:ascii="仿宋_GB2312" w:hAnsi="仿宋_GB2312" w:cs="仿宋_GB2312"/>
          <w:sz w:val="28"/>
          <w:szCs w:val="28"/>
        </w:rPr>
        <w:t>分析方法</w:t>
      </w:r>
      <w:r>
        <w:rPr>
          <w:rFonts w:ascii="仿宋_GB2312" w:hAnsi="仿宋_GB2312" w:cs="仿宋_GB2312" w:hint="eastAsia"/>
          <w:sz w:val="28"/>
          <w:szCs w:val="28"/>
        </w:rPr>
        <w:t>，</w:t>
      </w:r>
      <w:r>
        <w:rPr>
          <w:rFonts w:ascii="仿宋_GB2312" w:hAnsi="仿宋_GB2312" w:cs="仿宋_GB2312"/>
          <w:sz w:val="28"/>
          <w:szCs w:val="28"/>
        </w:rPr>
        <w:t>并能进行常用设备的电气设计；掌握可编程逻辑控制器的编程和基本应用</w:t>
      </w:r>
      <w:r>
        <w:rPr>
          <w:rFonts w:ascii="仿宋_GB2312" w:hAnsi="仿宋_GB2312" w:cs="仿宋_GB2312" w:hint="eastAsia"/>
          <w:sz w:val="28"/>
          <w:szCs w:val="28"/>
        </w:rPr>
        <w:t>的</w:t>
      </w:r>
      <w:r>
        <w:rPr>
          <w:rFonts w:ascii="仿宋_GB2312" w:hAnsi="仿宋_GB2312" w:cs="仿宋_GB2312"/>
          <w:sz w:val="28"/>
          <w:szCs w:val="28"/>
        </w:rPr>
        <w:t>能力。</w:t>
      </w:r>
    </w:p>
    <w:p w:rsidR="00C20406" w:rsidRDefault="00C20406" w:rsidP="006058C6">
      <w:pPr>
        <w:numPr>
          <w:ilvl w:val="0"/>
          <w:numId w:val="65"/>
        </w:numPr>
        <w:spacing w:line="360" w:lineRule="auto"/>
        <w:rPr>
          <w:rFonts w:ascii="仿宋_GB2312" w:hAnsi="仿宋_GB2312" w:cs="仿宋_GB2312"/>
          <w:sz w:val="28"/>
          <w:szCs w:val="28"/>
        </w:rPr>
      </w:pPr>
      <w:r>
        <w:rPr>
          <w:rFonts w:ascii="仿宋_GB2312" w:hAnsi="仿宋_GB2312" w:cs="仿宋_GB2312" w:hint="eastAsia"/>
          <w:sz w:val="28"/>
          <w:szCs w:val="28"/>
        </w:rPr>
        <w:t>课程基本要求</w:t>
      </w:r>
    </w:p>
    <w:p w:rsidR="00C20406" w:rsidRDefault="00C20406" w:rsidP="00C20406">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通过该课程的学习，使</w:t>
      </w:r>
      <w:r>
        <w:rPr>
          <w:rFonts w:ascii="仿宋_GB2312" w:hAnsi="仿宋_GB2312" w:cs="仿宋_GB2312"/>
          <w:sz w:val="28"/>
          <w:szCs w:val="28"/>
        </w:rPr>
        <w:t>学生了解建筑常用电器结构和工作原理，掌握建筑电气</w:t>
      </w:r>
      <w:r>
        <w:rPr>
          <w:rFonts w:ascii="仿宋_GB2312" w:hAnsi="仿宋_GB2312" w:cs="仿宋_GB2312" w:hint="eastAsia"/>
          <w:sz w:val="28"/>
          <w:szCs w:val="28"/>
        </w:rPr>
        <w:t>控制</w:t>
      </w:r>
      <w:r>
        <w:rPr>
          <w:rFonts w:ascii="仿宋_GB2312" w:hAnsi="仿宋_GB2312" w:cs="仿宋_GB2312"/>
          <w:sz w:val="28"/>
          <w:szCs w:val="28"/>
        </w:rPr>
        <w:t>线路的</w:t>
      </w:r>
      <w:r>
        <w:rPr>
          <w:rFonts w:ascii="仿宋_GB2312" w:hAnsi="仿宋_GB2312" w:cs="仿宋_GB2312" w:hint="eastAsia"/>
          <w:sz w:val="28"/>
          <w:szCs w:val="28"/>
        </w:rPr>
        <w:t>组成</w:t>
      </w:r>
      <w:r>
        <w:rPr>
          <w:rFonts w:ascii="仿宋_GB2312" w:hAnsi="仿宋_GB2312" w:cs="仿宋_GB2312"/>
          <w:sz w:val="28"/>
          <w:szCs w:val="28"/>
        </w:rPr>
        <w:t>、原理和应用。</w:t>
      </w:r>
      <w:r>
        <w:rPr>
          <w:rFonts w:ascii="仿宋_GB2312" w:hAnsi="仿宋_GB2312" w:cs="仿宋_GB2312" w:hint="eastAsia"/>
          <w:sz w:val="28"/>
          <w:szCs w:val="28"/>
        </w:rPr>
        <w:t>了解</w:t>
      </w:r>
      <w:r>
        <w:rPr>
          <w:rFonts w:ascii="仿宋_GB2312" w:hAnsi="仿宋_GB2312" w:cs="仿宋_GB2312"/>
          <w:sz w:val="28"/>
          <w:szCs w:val="28"/>
        </w:rPr>
        <w:t>控制系统设计方法</w:t>
      </w:r>
      <w:r>
        <w:rPr>
          <w:rFonts w:ascii="仿宋_GB2312" w:hAnsi="仿宋_GB2312" w:cs="仿宋_GB2312" w:hint="eastAsia"/>
          <w:sz w:val="28"/>
          <w:szCs w:val="28"/>
        </w:rPr>
        <w:t>和</w:t>
      </w:r>
      <w:r>
        <w:rPr>
          <w:rFonts w:ascii="仿宋_GB2312" w:hAnsi="仿宋_GB2312" w:cs="仿宋_GB2312"/>
          <w:sz w:val="28"/>
          <w:szCs w:val="28"/>
        </w:rPr>
        <w:t>步骤。</w:t>
      </w:r>
      <w:r>
        <w:rPr>
          <w:rFonts w:ascii="仿宋_GB2312" w:hAnsi="仿宋_GB2312" w:cs="仿宋_GB2312" w:hint="eastAsia"/>
          <w:sz w:val="28"/>
          <w:szCs w:val="28"/>
        </w:rPr>
        <w:t>深入</w:t>
      </w:r>
      <w:r>
        <w:rPr>
          <w:rFonts w:ascii="仿宋_GB2312" w:hAnsi="仿宋_GB2312" w:cs="仿宋_GB2312"/>
          <w:sz w:val="28"/>
          <w:szCs w:val="28"/>
        </w:rPr>
        <w:t>理解PLC的特点</w:t>
      </w:r>
      <w:r>
        <w:rPr>
          <w:rFonts w:ascii="仿宋_GB2312" w:hAnsi="仿宋_GB2312" w:cs="仿宋_GB2312" w:hint="eastAsia"/>
          <w:sz w:val="28"/>
          <w:szCs w:val="28"/>
        </w:rPr>
        <w:t>；</w:t>
      </w:r>
      <w:r>
        <w:rPr>
          <w:rFonts w:ascii="仿宋_GB2312" w:hAnsi="仿宋_GB2312" w:cs="仿宋_GB2312"/>
          <w:sz w:val="28"/>
          <w:szCs w:val="28"/>
        </w:rPr>
        <w:t>理解空调、水泵以及锅炉等设备的控制电路和控制过程；</w:t>
      </w:r>
      <w:r>
        <w:rPr>
          <w:rFonts w:ascii="仿宋_GB2312" w:hAnsi="仿宋_GB2312" w:cs="仿宋_GB2312" w:hint="eastAsia"/>
          <w:sz w:val="28"/>
          <w:szCs w:val="28"/>
        </w:rPr>
        <w:t>掌握</w:t>
      </w:r>
      <w:r>
        <w:rPr>
          <w:rFonts w:ascii="仿宋_GB2312" w:hAnsi="仿宋_GB2312" w:cs="仿宋_GB2312"/>
          <w:sz w:val="28"/>
          <w:szCs w:val="28"/>
        </w:rPr>
        <w:t>PLC的组成、各部分功能、工作原理；</w:t>
      </w:r>
      <w:r>
        <w:rPr>
          <w:rFonts w:ascii="仿宋_GB2312" w:hAnsi="仿宋_GB2312" w:cs="仿宋_GB2312" w:hint="eastAsia"/>
          <w:sz w:val="28"/>
          <w:szCs w:val="28"/>
        </w:rPr>
        <w:t>熟悉</w:t>
      </w:r>
      <w:r>
        <w:rPr>
          <w:rFonts w:ascii="仿宋_GB2312" w:hAnsi="仿宋_GB2312" w:cs="仿宋_GB2312"/>
          <w:sz w:val="28"/>
          <w:szCs w:val="28"/>
        </w:rPr>
        <w:t>西门子S7系列PLC编程方法，熟练掌握梯形图使用的符号、</w:t>
      </w:r>
      <w:r>
        <w:rPr>
          <w:rFonts w:ascii="仿宋_GB2312" w:hAnsi="仿宋_GB2312" w:cs="仿宋_GB2312" w:hint="eastAsia"/>
          <w:sz w:val="28"/>
          <w:szCs w:val="28"/>
        </w:rPr>
        <w:t>规则</w:t>
      </w:r>
      <w:r>
        <w:rPr>
          <w:rFonts w:ascii="仿宋_GB2312" w:hAnsi="仿宋_GB2312" w:cs="仿宋_GB2312"/>
          <w:sz w:val="28"/>
          <w:szCs w:val="28"/>
        </w:rPr>
        <w:t>，学会用PLC设计控制系统，包括硬件选型、软件设计和电气控制回路</w:t>
      </w:r>
      <w:r>
        <w:rPr>
          <w:rFonts w:ascii="仿宋_GB2312" w:hAnsi="仿宋_GB2312" w:cs="仿宋_GB2312"/>
          <w:sz w:val="28"/>
          <w:szCs w:val="28"/>
        </w:rPr>
        <w:lastRenderedPageBreak/>
        <w:t>设计。</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课程目标</w:t>
      </w:r>
      <w:r>
        <w:rPr>
          <w:rFonts w:ascii="仿宋_GB2312" w:hAnsi="仿宋_GB2312" w:cs="仿宋_GB2312"/>
          <w:sz w:val="28"/>
          <w:szCs w:val="28"/>
        </w:rPr>
        <w:t>总结如下：</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（1）学生能够了解建筑常用电器结构和工作原理，掌握建筑电气控制线路的组成、原理和应用，了解控制系统设计方法和步骤，</w:t>
      </w:r>
      <w:r>
        <w:rPr>
          <w:rFonts w:ascii="仿宋_GB2312" w:hAnsi="仿宋_GB2312" w:cs="仿宋_GB2312"/>
          <w:sz w:val="28"/>
          <w:szCs w:val="28"/>
        </w:rPr>
        <w:t>并</w:t>
      </w:r>
      <w:r>
        <w:rPr>
          <w:rFonts w:ascii="仿宋_GB2312" w:hAnsi="仿宋_GB2312" w:cs="仿宋_GB2312" w:hint="eastAsia"/>
          <w:sz w:val="28"/>
          <w:szCs w:val="28"/>
        </w:rPr>
        <w:t>灵活</w:t>
      </w:r>
      <w:r>
        <w:rPr>
          <w:rFonts w:ascii="仿宋_GB2312" w:hAnsi="仿宋_GB2312" w:cs="仿宋_GB2312"/>
          <w:sz w:val="28"/>
          <w:szCs w:val="28"/>
        </w:rPr>
        <w:t>应用所学</w:t>
      </w:r>
      <w:r>
        <w:rPr>
          <w:rFonts w:ascii="仿宋_GB2312" w:hAnsi="仿宋_GB2312" w:cs="仿宋_GB2312" w:hint="eastAsia"/>
          <w:sz w:val="28"/>
          <w:szCs w:val="28"/>
        </w:rPr>
        <w:t>对</w:t>
      </w:r>
      <w:r>
        <w:rPr>
          <w:rFonts w:ascii="仿宋_GB2312" w:hAnsi="仿宋_GB2312" w:cs="仿宋_GB2312"/>
          <w:sz w:val="28"/>
          <w:szCs w:val="28"/>
        </w:rPr>
        <w:t>简单控制对象的</w:t>
      </w:r>
      <w:r>
        <w:rPr>
          <w:rFonts w:ascii="仿宋_GB2312" w:hAnsi="仿宋_GB2312" w:cs="仿宋_GB2312" w:hint="eastAsia"/>
          <w:sz w:val="28"/>
          <w:szCs w:val="28"/>
        </w:rPr>
        <w:t>进行</w:t>
      </w:r>
      <w:r>
        <w:rPr>
          <w:rFonts w:ascii="仿宋_GB2312" w:hAnsi="仿宋_GB2312" w:cs="仿宋_GB2312"/>
          <w:sz w:val="28"/>
          <w:szCs w:val="28"/>
        </w:rPr>
        <w:t>电气设计</w:t>
      </w:r>
      <w:r>
        <w:rPr>
          <w:rFonts w:ascii="仿宋_GB2312" w:hAnsi="仿宋_GB2312" w:cs="仿宋_GB2312" w:hint="eastAsia"/>
          <w:sz w:val="28"/>
          <w:szCs w:val="28"/>
        </w:rPr>
        <w:t>。</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（2）能够</w:t>
      </w:r>
      <w:r>
        <w:rPr>
          <w:rFonts w:ascii="仿宋_GB2312" w:hAnsi="仿宋_GB2312" w:cs="仿宋_GB2312"/>
          <w:sz w:val="28"/>
          <w:szCs w:val="28"/>
        </w:rPr>
        <w:t>利用编程软件设计</w:t>
      </w:r>
      <w:r>
        <w:rPr>
          <w:rFonts w:ascii="仿宋_GB2312" w:hAnsi="仿宋_GB2312" w:cs="仿宋_GB2312" w:hint="eastAsia"/>
          <w:sz w:val="28"/>
          <w:szCs w:val="28"/>
        </w:rPr>
        <w:t>暖通空调</w:t>
      </w:r>
      <w:r>
        <w:rPr>
          <w:rFonts w:ascii="仿宋_GB2312" w:hAnsi="仿宋_GB2312" w:cs="仿宋_GB2312"/>
          <w:sz w:val="28"/>
          <w:szCs w:val="28"/>
        </w:rPr>
        <w:t>PLC控制系统</w:t>
      </w:r>
      <w:r>
        <w:rPr>
          <w:rFonts w:ascii="仿宋_GB2312" w:hAnsi="仿宋_GB2312" w:cs="仿宋_GB2312" w:hint="eastAsia"/>
          <w:sz w:val="28"/>
          <w:szCs w:val="28"/>
        </w:rPr>
        <w:t>，</w:t>
      </w:r>
      <w:r>
        <w:rPr>
          <w:rFonts w:ascii="仿宋_GB2312" w:hAnsi="仿宋_GB2312" w:cs="仿宋_GB2312"/>
          <w:sz w:val="28"/>
          <w:szCs w:val="28"/>
        </w:rPr>
        <w:t>并</w:t>
      </w:r>
      <w:r>
        <w:rPr>
          <w:rFonts w:ascii="仿宋_GB2312" w:hAnsi="仿宋_GB2312" w:cs="仿宋_GB2312" w:hint="eastAsia"/>
          <w:sz w:val="28"/>
          <w:szCs w:val="28"/>
        </w:rPr>
        <w:t>能够和</w:t>
      </w:r>
      <w:r>
        <w:rPr>
          <w:rFonts w:ascii="仿宋_GB2312" w:hAnsi="仿宋_GB2312" w:cs="仿宋_GB2312"/>
          <w:sz w:val="28"/>
          <w:szCs w:val="28"/>
        </w:rPr>
        <w:t>电气</w:t>
      </w:r>
      <w:r>
        <w:rPr>
          <w:rFonts w:ascii="仿宋_GB2312" w:hAnsi="仿宋_GB2312" w:cs="仿宋_GB2312" w:hint="eastAsia"/>
          <w:sz w:val="28"/>
          <w:szCs w:val="28"/>
        </w:rPr>
        <w:t>工程师</w:t>
      </w:r>
      <w:r>
        <w:rPr>
          <w:rFonts w:ascii="仿宋_GB2312" w:hAnsi="仿宋_GB2312" w:cs="仿宋_GB2312"/>
          <w:sz w:val="28"/>
          <w:szCs w:val="28"/>
        </w:rPr>
        <w:t>进行电气设计方案交流，</w:t>
      </w:r>
      <w:r>
        <w:rPr>
          <w:rFonts w:ascii="仿宋_GB2312" w:hAnsi="仿宋_GB2312" w:cs="仿宋_GB2312" w:hint="eastAsia"/>
          <w:sz w:val="28"/>
          <w:szCs w:val="28"/>
        </w:rPr>
        <w:t>。</w:t>
      </w:r>
    </w:p>
    <w:p w:rsidR="00C20406" w:rsidRDefault="00C20406" w:rsidP="00C20406">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4"/>
        <w:gridCol w:w="5119"/>
        <w:gridCol w:w="1673"/>
      </w:tblGrid>
      <w:tr w:rsidR="00C20406" w:rsidTr="008C3907">
        <w:tc>
          <w:tcPr>
            <w:tcW w:w="1668" w:type="dxa"/>
            <w:shd w:val="clear" w:color="auto" w:fill="auto"/>
          </w:tcPr>
          <w:p w:rsidR="00C20406" w:rsidRPr="000A7EE3" w:rsidRDefault="00C20406" w:rsidP="008C3907">
            <w:pPr>
              <w:spacing w:line="400" w:lineRule="exact"/>
              <w:jc w:val="center"/>
              <w:rPr>
                <w:rFonts w:ascii="仿宋_GB2312" w:hAnsi="仿宋_GB2312" w:cs="仿宋_GB2312"/>
                <w:b/>
                <w:sz w:val="24"/>
                <w:szCs w:val="24"/>
              </w:rPr>
            </w:pPr>
            <w:r w:rsidRPr="000A7EE3">
              <w:rPr>
                <w:rFonts w:ascii="仿宋_GB2312" w:hAnsi="仿宋_GB2312" w:cs="仿宋_GB2312" w:hint="eastAsia"/>
                <w:b/>
                <w:sz w:val="24"/>
                <w:szCs w:val="24"/>
              </w:rPr>
              <w:t>毕业要求</w:t>
            </w:r>
          </w:p>
        </w:tc>
        <w:tc>
          <w:tcPr>
            <w:tcW w:w="5811" w:type="dxa"/>
            <w:shd w:val="clear" w:color="auto" w:fill="auto"/>
          </w:tcPr>
          <w:p w:rsidR="00C20406" w:rsidRPr="000A7EE3" w:rsidRDefault="00C20406" w:rsidP="008C3907">
            <w:pPr>
              <w:spacing w:line="400" w:lineRule="exact"/>
              <w:jc w:val="center"/>
              <w:rPr>
                <w:rFonts w:ascii="仿宋_GB2312" w:hAnsi="仿宋_GB2312" w:cs="仿宋_GB2312"/>
                <w:b/>
                <w:sz w:val="24"/>
                <w:szCs w:val="24"/>
              </w:rPr>
            </w:pPr>
            <w:r w:rsidRPr="000A7EE3">
              <w:rPr>
                <w:rFonts w:ascii="仿宋_GB2312" w:hAnsi="仿宋_GB2312" w:cs="仿宋_GB2312" w:hint="eastAsia"/>
                <w:b/>
                <w:sz w:val="24"/>
                <w:szCs w:val="24"/>
              </w:rPr>
              <w:t>指标点</w:t>
            </w:r>
          </w:p>
        </w:tc>
        <w:tc>
          <w:tcPr>
            <w:tcW w:w="1807" w:type="dxa"/>
            <w:shd w:val="clear" w:color="auto" w:fill="auto"/>
          </w:tcPr>
          <w:p w:rsidR="00C20406" w:rsidRPr="000A7EE3" w:rsidRDefault="00C20406" w:rsidP="008C3907">
            <w:pPr>
              <w:spacing w:line="400" w:lineRule="exact"/>
              <w:jc w:val="center"/>
              <w:rPr>
                <w:rFonts w:ascii="仿宋_GB2312" w:hAnsi="仿宋_GB2312" w:cs="仿宋_GB2312"/>
                <w:b/>
                <w:sz w:val="24"/>
                <w:szCs w:val="24"/>
              </w:rPr>
            </w:pPr>
            <w:r w:rsidRPr="000A7EE3">
              <w:rPr>
                <w:rFonts w:ascii="仿宋_GB2312" w:hAnsi="仿宋_GB2312" w:cs="仿宋_GB2312" w:hint="eastAsia"/>
                <w:b/>
                <w:sz w:val="24"/>
                <w:szCs w:val="24"/>
              </w:rPr>
              <w:t>课程目标</w:t>
            </w:r>
          </w:p>
        </w:tc>
      </w:tr>
      <w:tr w:rsidR="00C20406" w:rsidTr="008C3907">
        <w:tc>
          <w:tcPr>
            <w:tcW w:w="1668" w:type="dxa"/>
            <w:shd w:val="clear" w:color="auto" w:fill="auto"/>
          </w:tcPr>
          <w:p w:rsidR="00C20406" w:rsidRPr="000A7EE3" w:rsidRDefault="00C20406" w:rsidP="008C3907">
            <w:pPr>
              <w:spacing w:line="400" w:lineRule="exact"/>
              <w:jc w:val="center"/>
              <w:rPr>
                <w:rFonts w:ascii="仿宋_GB2312" w:hAnsi="仿宋_GB2312" w:cs="仿宋_GB2312"/>
                <w:sz w:val="24"/>
                <w:szCs w:val="24"/>
              </w:rPr>
            </w:pPr>
            <w:r w:rsidRPr="000A7EE3">
              <w:rPr>
                <w:rFonts w:ascii="仿宋_GB2312" w:hAnsi="仿宋_GB2312" w:cs="仿宋_GB2312" w:hint="eastAsia"/>
                <w:sz w:val="24"/>
                <w:szCs w:val="24"/>
              </w:rPr>
              <w:t>1.工程知识</w:t>
            </w:r>
          </w:p>
        </w:tc>
        <w:tc>
          <w:tcPr>
            <w:tcW w:w="5811"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1</w:t>
            </w:r>
            <w:r w:rsidRPr="000A7EE3">
              <w:rPr>
                <w:rFonts w:ascii="仿宋_GB2312" w:hAnsi="仿宋_GB2312" w:cs="仿宋_GB2312"/>
                <w:sz w:val="24"/>
                <w:szCs w:val="24"/>
              </w:rPr>
              <w:t xml:space="preserve">.2 </w:t>
            </w:r>
            <w:r w:rsidRPr="000A7EE3">
              <w:rPr>
                <w:rFonts w:ascii="仿宋_GB2312" w:hAnsi="仿宋_GB2312" w:cs="仿宋_GB2312" w:hint="eastAsia"/>
                <w:sz w:val="24"/>
                <w:szCs w:val="24"/>
              </w:rPr>
              <w:t>掌握相关工程基础知识，具备应用相关知识推演、分析建筑环境与能源应用工程专业复杂工程问题的专业基础能力；</w:t>
            </w:r>
          </w:p>
        </w:tc>
        <w:tc>
          <w:tcPr>
            <w:tcW w:w="1807"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课程目标（1）</w:t>
            </w:r>
          </w:p>
        </w:tc>
      </w:tr>
      <w:tr w:rsidR="00C20406" w:rsidTr="008C3907">
        <w:tc>
          <w:tcPr>
            <w:tcW w:w="1668" w:type="dxa"/>
            <w:shd w:val="clear" w:color="auto" w:fill="auto"/>
          </w:tcPr>
          <w:p w:rsidR="00C20406" w:rsidRPr="000A7EE3" w:rsidRDefault="00C20406" w:rsidP="008C3907">
            <w:pPr>
              <w:spacing w:line="400" w:lineRule="exact"/>
              <w:jc w:val="center"/>
              <w:rPr>
                <w:rFonts w:ascii="仿宋_GB2312" w:hAnsi="仿宋_GB2312" w:cs="仿宋_GB2312"/>
                <w:sz w:val="24"/>
                <w:szCs w:val="24"/>
              </w:rPr>
            </w:pPr>
            <w:r w:rsidRPr="000A7EE3">
              <w:rPr>
                <w:rFonts w:ascii="仿宋_GB2312" w:hAnsi="仿宋_GB2312" w:cs="仿宋_GB2312" w:hint="eastAsia"/>
                <w:sz w:val="24"/>
                <w:szCs w:val="24"/>
              </w:rPr>
              <w:t>3.设计/开发解决方案</w:t>
            </w:r>
          </w:p>
        </w:tc>
        <w:tc>
          <w:tcPr>
            <w:tcW w:w="5811"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3.1 能够针对特定需求，确定工程基本单元的设计目标或问题解决方案，并完成设计/开发工作；</w:t>
            </w:r>
          </w:p>
          <w:p w:rsidR="00C20406" w:rsidRPr="000A7EE3" w:rsidRDefault="00C20406" w:rsidP="008C3907">
            <w:pPr>
              <w:spacing w:line="360" w:lineRule="auto"/>
              <w:jc w:val="left"/>
              <w:rPr>
                <w:rFonts w:ascii="仿宋_GB2312" w:hAnsi="仿宋_GB2312" w:cs="仿宋_GB2312"/>
                <w:sz w:val="24"/>
                <w:szCs w:val="24"/>
              </w:rPr>
            </w:pPr>
          </w:p>
        </w:tc>
        <w:tc>
          <w:tcPr>
            <w:tcW w:w="1807"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课程目标（</w:t>
            </w:r>
            <w:r w:rsidRPr="000A7EE3">
              <w:rPr>
                <w:rFonts w:ascii="仿宋_GB2312" w:hAnsi="仿宋_GB2312" w:cs="仿宋_GB2312"/>
                <w:sz w:val="24"/>
                <w:szCs w:val="24"/>
              </w:rPr>
              <w:t>2</w:t>
            </w:r>
            <w:r w:rsidRPr="000A7EE3">
              <w:rPr>
                <w:rFonts w:ascii="仿宋_GB2312" w:hAnsi="仿宋_GB2312" w:cs="仿宋_GB2312" w:hint="eastAsia"/>
                <w:sz w:val="24"/>
                <w:szCs w:val="24"/>
              </w:rPr>
              <w:t>）</w:t>
            </w:r>
          </w:p>
        </w:tc>
      </w:tr>
      <w:tr w:rsidR="00C20406" w:rsidTr="008C3907">
        <w:tc>
          <w:tcPr>
            <w:tcW w:w="1668" w:type="dxa"/>
            <w:shd w:val="clear" w:color="auto" w:fill="auto"/>
          </w:tcPr>
          <w:p w:rsidR="00C20406" w:rsidRPr="000A7EE3" w:rsidRDefault="00C20406" w:rsidP="008C3907">
            <w:pPr>
              <w:spacing w:line="400" w:lineRule="exact"/>
              <w:jc w:val="center"/>
              <w:rPr>
                <w:rFonts w:ascii="仿宋_GB2312" w:hAnsi="仿宋_GB2312" w:cs="仿宋_GB2312"/>
                <w:sz w:val="24"/>
                <w:szCs w:val="24"/>
              </w:rPr>
            </w:pPr>
            <w:r w:rsidRPr="000A7EE3">
              <w:rPr>
                <w:rFonts w:ascii="仿宋_GB2312" w:hAnsi="仿宋_GB2312" w:cs="仿宋_GB2312" w:hint="eastAsia"/>
                <w:sz w:val="24"/>
                <w:szCs w:val="24"/>
              </w:rPr>
              <w:t>5.使用现代工具</w:t>
            </w:r>
          </w:p>
        </w:tc>
        <w:tc>
          <w:tcPr>
            <w:tcW w:w="5811"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5.3 能够开发、选用恰当的现代工具，对建筑环境与能源应用工程专业特定复杂工程问题进行预测和模拟，并能够分析其局限性。</w:t>
            </w:r>
          </w:p>
        </w:tc>
        <w:tc>
          <w:tcPr>
            <w:tcW w:w="1807"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课程目标（</w:t>
            </w:r>
            <w:r w:rsidRPr="000A7EE3">
              <w:rPr>
                <w:rFonts w:ascii="仿宋_GB2312" w:hAnsi="仿宋_GB2312" w:cs="仿宋_GB2312"/>
                <w:sz w:val="24"/>
                <w:szCs w:val="24"/>
              </w:rPr>
              <w:t>2</w:t>
            </w:r>
            <w:r w:rsidRPr="000A7EE3">
              <w:rPr>
                <w:rFonts w:ascii="仿宋_GB2312" w:hAnsi="仿宋_GB2312" w:cs="仿宋_GB2312" w:hint="eastAsia"/>
                <w:sz w:val="24"/>
                <w:szCs w:val="24"/>
              </w:rPr>
              <w:t>）</w:t>
            </w:r>
          </w:p>
        </w:tc>
      </w:tr>
    </w:tbl>
    <w:p w:rsidR="00C20406" w:rsidRDefault="00C20406" w:rsidP="00C20406">
      <w:pPr>
        <w:spacing w:line="360" w:lineRule="auto"/>
        <w:ind w:firstLine="331"/>
        <w:rPr>
          <w:rFonts w:ascii="仿宋_GB2312" w:hAnsi="仿宋_GB2312" w:cs="仿宋_GB2312"/>
          <w:sz w:val="28"/>
          <w:szCs w:val="28"/>
        </w:rPr>
      </w:pP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重点</w:t>
      </w:r>
      <w:r>
        <w:rPr>
          <w:rFonts w:ascii="仿宋_GB2312" w:hAnsi="仿宋_GB2312" w:cs="仿宋_GB2312"/>
          <w:sz w:val="28"/>
          <w:szCs w:val="28"/>
        </w:rPr>
        <w:t>：</w:t>
      </w:r>
      <w:r>
        <w:rPr>
          <w:rFonts w:ascii="仿宋_GB2312" w:hAnsi="仿宋_GB2312" w:cs="仿宋_GB2312" w:hint="eastAsia"/>
          <w:sz w:val="28"/>
          <w:szCs w:val="28"/>
        </w:rPr>
        <w:t>电器工作原理，电气控制系统的设计，空调与制冷系统的电气控制，水泵与锅炉设备的电气控制和</w:t>
      </w:r>
      <w:r>
        <w:rPr>
          <w:rFonts w:ascii="仿宋_GB2312" w:hAnsi="仿宋_GB2312" w:cs="仿宋_GB2312"/>
          <w:sz w:val="28"/>
          <w:szCs w:val="28"/>
        </w:rPr>
        <w:t>PLC</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难点</w:t>
      </w:r>
      <w:r>
        <w:rPr>
          <w:rFonts w:ascii="仿宋_GB2312" w:hAnsi="仿宋_GB2312" w:cs="仿宋_GB2312"/>
          <w:sz w:val="28"/>
          <w:szCs w:val="28"/>
        </w:rPr>
        <w:t>：</w:t>
      </w:r>
      <w:r>
        <w:rPr>
          <w:rFonts w:ascii="仿宋_GB2312" w:hAnsi="仿宋_GB2312" w:cs="仿宋_GB2312" w:hint="eastAsia"/>
          <w:sz w:val="28"/>
          <w:szCs w:val="28"/>
        </w:rPr>
        <w:t>电气控制系统的设计方法</w:t>
      </w:r>
      <w:r>
        <w:rPr>
          <w:rFonts w:ascii="仿宋_GB2312" w:hAnsi="仿宋_GB2312" w:cs="仿宋_GB2312"/>
          <w:sz w:val="28"/>
          <w:szCs w:val="28"/>
        </w:rPr>
        <w:t>和</w:t>
      </w:r>
      <w:r>
        <w:rPr>
          <w:rFonts w:ascii="仿宋_GB2312" w:hAnsi="仿宋_GB2312" w:cs="仿宋_GB2312" w:hint="eastAsia"/>
          <w:sz w:val="28"/>
          <w:szCs w:val="28"/>
        </w:rPr>
        <w:t>空调与制冷系统的电气控制</w:t>
      </w:r>
      <w:r>
        <w:rPr>
          <w:rFonts w:ascii="仿宋_GB2312" w:hAnsi="仿宋_GB2312" w:cs="仿宋_GB2312"/>
          <w:sz w:val="28"/>
          <w:szCs w:val="28"/>
        </w:rPr>
        <w:t>PLC</w:t>
      </w:r>
      <w:r>
        <w:rPr>
          <w:rFonts w:ascii="仿宋_GB2312" w:hAnsi="仿宋_GB2312" w:cs="仿宋_GB2312" w:hint="eastAsia"/>
          <w:sz w:val="28"/>
          <w:szCs w:val="28"/>
        </w:rPr>
        <w:t>实现</w:t>
      </w:r>
      <w:r>
        <w:rPr>
          <w:rFonts w:ascii="仿宋_GB2312" w:hAnsi="仿宋_GB2312" w:cs="仿宋_GB2312"/>
          <w:sz w:val="28"/>
          <w:szCs w:val="28"/>
        </w:rPr>
        <w:t>。</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lastRenderedPageBreak/>
        <w:t>4. 课程思政设计</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从建筑电气</w:t>
      </w:r>
      <w:r>
        <w:rPr>
          <w:rFonts w:ascii="仿宋_GB2312" w:hAnsi="仿宋_GB2312" w:cs="仿宋_GB2312"/>
          <w:sz w:val="28"/>
          <w:szCs w:val="28"/>
        </w:rPr>
        <w:t>控制技术的</w:t>
      </w:r>
      <w:r>
        <w:rPr>
          <w:rFonts w:ascii="仿宋_GB2312" w:hAnsi="仿宋_GB2312" w:cs="仿宋_GB2312" w:hint="eastAsia"/>
          <w:sz w:val="28"/>
          <w:szCs w:val="28"/>
        </w:rPr>
        <w:t>电器工作原理</w:t>
      </w:r>
      <w:r>
        <w:rPr>
          <w:rFonts w:ascii="仿宋_GB2312" w:hAnsi="仿宋_GB2312" w:cs="仿宋_GB2312"/>
          <w:sz w:val="28"/>
          <w:szCs w:val="28"/>
        </w:rPr>
        <w:t>、</w:t>
      </w:r>
      <w:r>
        <w:rPr>
          <w:rFonts w:ascii="仿宋_GB2312" w:hAnsi="仿宋_GB2312" w:cs="仿宋_GB2312" w:hint="eastAsia"/>
          <w:sz w:val="28"/>
          <w:szCs w:val="28"/>
        </w:rPr>
        <w:t>电气控制的基本控制规律、设计的基本原则、空调</w:t>
      </w:r>
      <w:r>
        <w:rPr>
          <w:rFonts w:ascii="仿宋_GB2312" w:hAnsi="仿宋_GB2312" w:cs="仿宋_GB2312"/>
          <w:sz w:val="28"/>
          <w:szCs w:val="28"/>
        </w:rPr>
        <w:t>水泵锅炉等实际设备</w:t>
      </w:r>
      <w:r>
        <w:rPr>
          <w:rFonts w:ascii="仿宋_GB2312" w:hAnsi="仿宋_GB2312" w:cs="仿宋_GB2312" w:hint="eastAsia"/>
          <w:sz w:val="28"/>
          <w:szCs w:val="28"/>
        </w:rPr>
        <w:t>电气</w:t>
      </w:r>
      <w:r>
        <w:rPr>
          <w:rFonts w:ascii="仿宋_GB2312" w:hAnsi="仿宋_GB2312" w:cs="仿宋_GB2312"/>
          <w:sz w:val="28"/>
          <w:szCs w:val="28"/>
        </w:rPr>
        <w:t>控制实现出发，探讨如何将</w:t>
      </w:r>
      <w:r>
        <w:rPr>
          <w:rFonts w:ascii="仿宋_GB2312" w:hAnsi="仿宋_GB2312" w:cs="仿宋_GB2312" w:hint="eastAsia"/>
          <w:sz w:val="28"/>
          <w:szCs w:val="28"/>
        </w:rPr>
        <w:t>建筑电气</w:t>
      </w:r>
      <w:r>
        <w:rPr>
          <w:rFonts w:ascii="仿宋_GB2312" w:hAnsi="仿宋_GB2312" w:cs="仿宋_GB2312"/>
          <w:sz w:val="28"/>
          <w:szCs w:val="28"/>
        </w:rPr>
        <w:t>控制技术与建筑深度融合，强调实现建筑节能离不开</w:t>
      </w:r>
      <w:r>
        <w:rPr>
          <w:rFonts w:ascii="仿宋_GB2312" w:hAnsi="仿宋_GB2312" w:cs="仿宋_GB2312" w:hint="eastAsia"/>
          <w:sz w:val="28"/>
          <w:szCs w:val="28"/>
        </w:rPr>
        <w:t>建筑电气</w:t>
      </w:r>
      <w:r>
        <w:rPr>
          <w:rFonts w:ascii="仿宋_GB2312" w:hAnsi="仿宋_GB2312" w:cs="仿宋_GB2312"/>
          <w:sz w:val="28"/>
          <w:szCs w:val="28"/>
        </w:rPr>
        <w:t>控制技术，通过对</w:t>
      </w:r>
      <w:r>
        <w:rPr>
          <w:rFonts w:ascii="仿宋_GB2312" w:hAnsi="仿宋_GB2312" w:cs="仿宋_GB2312" w:hint="eastAsia"/>
          <w:sz w:val="28"/>
          <w:szCs w:val="28"/>
        </w:rPr>
        <w:t>建筑设备</w:t>
      </w:r>
      <w:r>
        <w:rPr>
          <w:rFonts w:ascii="仿宋_GB2312" w:hAnsi="仿宋_GB2312" w:cs="仿宋_GB2312"/>
          <w:sz w:val="28"/>
          <w:szCs w:val="28"/>
        </w:rPr>
        <w:t>进行电气设计和控制，</w:t>
      </w:r>
      <w:r>
        <w:rPr>
          <w:rFonts w:ascii="仿宋_GB2312" w:hAnsi="仿宋_GB2312" w:cs="仿宋_GB2312" w:hint="eastAsia"/>
          <w:sz w:val="28"/>
          <w:szCs w:val="28"/>
        </w:rPr>
        <w:t>实现</w:t>
      </w:r>
      <w:r>
        <w:rPr>
          <w:rFonts w:ascii="仿宋_GB2312" w:hAnsi="仿宋_GB2312" w:cs="仿宋_GB2312"/>
          <w:sz w:val="28"/>
          <w:szCs w:val="28"/>
        </w:rPr>
        <w:t>建筑节能</w:t>
      </w:r>
      <w:r>
        <w:rPr>
          <w:rFonts w:ascii="仿宋_GB2312" w:hAnsi="仿宋_GB2312" w:cs="仿宋_GB2312" w:hint="eastAsia"/>
          <w:sz w:val="28"/>
          <w:szCs w:val="28"/>
        </w:rPr>
        <w:t>运行</w:t>
      </w:r>
      <w:r>
        <w:rPr>
          <w:rFonts w:ascii="仿宋_GB2312" w:hAnsi="仿宋_GB2312" w:cs="仿宋_GB2312"/>
          <w:sz w:val="28"/>
          <w:szCs w:val="28"/>
        </w:rPr>
        <w:t>，</w:t>
      </w:r>
      <w:r>
        <w:rPr>
          <w:rFonts w:ascii="仿宋_GB2312" w:hAnsi="仿宋_GB2312" w:cs="仿宋_GB2312" w:hint="eastAsia"/>
          <w:sz w:val="28"/>
          <w:szCs w:val="28"/>
        </w:rPr>
        <w:t>以期</w:t>
      </w:r>
      <w:r>
        <w:rPr>
          <w:rFonts w:ascii="仿宋_GB2312" w:hAnsi="仿宋_GB2312" w:cs="仿宋_GB2312"/>
          <w:sz w:val="28"/>
          <w:szCs w:val="28"/>
        </w:rPr>
        <w:t>将</w:t>
      </w:r>
      <w:r>
        <w:rPr>
          <w:rFonts w:ascii="仿宋_GB2312" w:hAnsi="仿宋_GB2312" w:cs="仿宋_GB2312" w:hint="eastAsia"/>
          <w:sz w:val="28"/>
          <w:szCs w:val="28"/>
        </w:rPr>
        <w:t>建筑电气</w:t>
      </w:r>
      <w:r>
        <w:rPr>
          <w:rFonts w:ascii="仿宋_GB2312" w:hAnsi="仿宋_GB2312" w:cs="仿宋_GB2312"/>
          <w:sz w:val="28"/>
          <w:szCs w:val="28"/>
        </w:rPr>
        <w:t>助力“</w:t>
      </w:r>
      <w:r>
        <w:rPr>
          <w:rFonts w:ascii="仿宋_GB2312" w:hAnsi="仿宋_GB2312" w:cs="仿宋_GB2312" w:hint="eastAsia"/>
          <w:sz w:val="28"/>
          <w:szCs w:val="28"/>
        </w:rPr>
        <w:t>碳达峰</w:t>
      </w:r>
      <w:r>
        <w:rPr>
          <w:rFonts w:ascii="仿宋_GB2312" w:hAnsi="仿宋_GB2312" w:cs="仿宋_GB2312"/>
          <w:sz w:val="28"/>
          <w:szCs w:val="28"/>
        </w:rPr>
        <w:t>碳中和”</w:t>
      </w:r>
      <w:r>
        <w:rPr>
          <w:rFonts w:ascii="仿宋_GB2312" w:hAnsi="仿宋_GB2312" w:cs="仿宋_GB2312" w:hint="eastAsia"/>
          <w:sz w:val="28"/>
          <w:szCs w:val="28"/>
        </w:rPr>
        <w:t>思想深植于学生心中</w:t>
      </w:r>
      <w:r>
        <w:rPr>
          <w:rFonts w:ascii="仿宋_GB2312" w:hAnsi="仿宋_GB2312" w:cs="仿宋_GB2312"/>
          <w:sz w:val="28"/>
          <w:szCs w:val="28"/>
        </w:rPr>
        <w:t>。</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362"/>
        <w:gridCol w:w="1154"/>
        <w:gridCol w:w="3366"/>
        <w:gridCol w:w="3188"/>
      </w:tblGrid>
      <w:tr w:rsidR="00C20406" w:rsidTr="008C3907">
        <w:trPr>
          <w:cantSplit/>
          <w:trHeight w:val="661"/>
        </w:trPr>
        <w:tc>
          <w:tcPr>
            <w:tcW w:w="532" w:type="dxa"/>
            <w:vAlign w:val="center"/>
          </w:tcPr>
          <w:p w:rsidR="00C20406" w:rsidRPr="000A7EE3" w:rsidRDefault="00C20406" w:rsidP="008C3907">
            <w:pPr>
              <w:jc w:val="center"/>
              <w:rPr>
                <w:rFonts w:ascii="仿宋_GB2312" w:hAnsi="仿宋_GB2312" w:cs="仿宋_GB2312"/>
                <w:b/>
                <w:sz w:val="24"/>
                <w:szCs w:val="24"/>
              </w:rPr>
            </w:pPr>
            <w:r w:rsidRPr="000A7EE3">
              <w:rPr>
                <w:rFonts w:ascii="仿宋_GB2312" w:hAnsi="仿宋_GB2312" w:cs="仿宋_GB2312" w:hint="eastAsia"/>
                <w:b/>
                <w:sz w:val="24"/>
                <w:szCs w:val="24"/>
              </w:rPr>
              <w:t>序号</w:t>
            </w:r>
          </w:p>
        </w:tc>
        <w:tc>
          <w:tcPr>
            <w:tcW w:w="1362" w:type="dxa"/>
            <w:vAlign w:val="center"/>
          </w:tcPr>
          <w:p w:rsidR="00C20406" w:rsidRPr="000A7EE3" w:rsidRDefault="00C20406" w:rsidP="008C3907">
            <w:pPr>
              <w:jc w:val="center"/>
              <w:rPr>
                <w:rFonts w:ascii="仿宋_GB2312" w:hAnsi="仿宋_GB2312" w:cs="仿宋_GB2312"/>
                <w:b/>
                <w:sz w:val="24"/>
                <w:szCs w:val="24"/>
              </w:rPr>
            </w:pPr>
            <w:r w:rsidRPr="000A7EE3">
              <w:rPr>
                <w:rFonts w:ascii="仿宋_GB2312" w:hAnsi="仿宋_GB2312" w:cs="仿宋_GB2312" w:hint="eastAsia"/>
                <w:b/>
                <w:sz w:val="24"/>
                <w:szCs w:val="24"/>
              </w:rPr>
              <w:t>章  节</w:t>
            </w:r>
          </w:p>
        </w:tc>
        <w:tc>
          <w:tcPr>
            <w:tcW w:w="1154" w:type="dxa"/>
            <w:vAlign w:val="center"/>
          </w:tcPr>
          <w:p w:rsidR="00C20406" w:rsidRPr="000A7EE3" w:rsidRDefault="00C20406" w:rsidP="008C3907">
            <w:pPr>
              <w:jc w:val="center"/>
              <w:rPr>
                <w:rFonts w:ascii="仿宋_GB2312" w:hAnsi="仿宋_GB2312" w:cs="仿宋_GB2312"/>
                <w:b/>
                <w:sz w:val="24"/>
                <w:szCs w:val="24"/>
              </w:rPr>
            </w:pPr>
          </w:p>
          <w:p w:rsidR="00C20406" w:rsidRPr="000A7EE3" w:rsidRDefault="00C20406" w:rsidP="008C3907">
            <w:pPr>
              <w:jc w:val="center"/>
              <w:rPr>
                <w:rFonts w:ascii="仿宋_GB2312" w:hAnsi="仿宋_GB2312" w:cs="仿宋_GB2312"/>
                <w:b/>
                <w:sz w:val="24"/>
                <w:szCs w:val="24"/>
              </w:rPr>
            </w:pPr>
            <w:r w:rsidRPr="000A7EE3">
              <w:rPr>
                <w:rFonts w:ascii="仿宋_GB2312" w:hAnsi="仿宋_GB2312" w:cs="仿宋_GB2312" w:hint="eastAsia"/>
                <w:b/>
                <w:sz w:val="24"/>
                <w:szCs w:val="24"/>
              </w:rPr>
              <w:t>参考学时</w:t>
            </w:r>
          </w:p>
          <w:p w:rsidR="00C20406" w:rsidRPr="000A7EE3" w:rsidRDefault="00C20406" w:rsidP="008C3907">
            <w:pPr>
              <w:jc w:val="center"/>
              <w:rPr>
                <w:rFonts w:ascii="仿宋_GB2312" w:hAnsi="仿宋_GB2312" w:cs="仿宋_GB2312"/>
                <w:b/>
                <w:sz w:val="24"/>
                <w:szCs w:val="24"/>
              </w:rPr>
            </w:pPr>
          </w:p>
        </w:tc>
        <w:tc>
          <w:tcPr>
            <w:tcW w:w="3366" w:type="dxa"/>
            <w:vAlign w:val="center"/>
          </w:tcPr>
          <w:p w:rsidR="00C20406" w:rsidRPr="000A7EE3" w:rsidRDefault="00C20406" w:rsidP="008C3907">
            <w:pPr>
              <w:ind w:firstLineChars="600" w:firstLine="1446"/>
              <w:rPr>
                <w:rFonts w:ascii="仿宋_GB2312" w:hAnsi="仿宋_GB2312" w:cs="仿宋_GB2312"/>
                <w:b/>
                <w:sz w:val="24"/>
                <w:szCs w:val="24"/>
              </w:rPr>
            </w:pPr>
            <w:r w:rsidRPr="000A7EE3">
              <w:rPr>
                <w:rFonts w:ascii="仿宋_GB2312" w:hAnsi="仿宋_GB2312" w:cs="仿宋_GB2312" w:hint="eastAsia"/>
                <w:b/>
                <w:sz w:val="24"/>
                <w:szCs w:val="24"/>
              </w:rPr>
              <w:t>教学内容</w:t>
            </w:r>
          </w:p>
        </w:tc>
        <w:tc>
          <w:tcPr>
            <w:tcW w:w="3188" w:type="dxa"/>
            <w:vAlign w:val="center"/>
          </w:tcPr>
          <w:p w:rsidR="00C20406" w:rsidRPr="000A7EE3" w:rsidRDefault="00C20406" w:rsidP="008C3907">
            <w:pPr>
              <w:jc w:val="center"/>
              <w:rPr>
                <w:rFonts w:ascii="仿宋_GB2312" w:hAnsi="仿宋_GB2312" w:cs="仿宋_GB2312"/>
                <w:b/>
                <w:sz w:val="24"/>
                <w:szCs w:val="24"/>
              </w:rPr>
            </w:pPr>
            <w:r w:rsidRPr="000A7EE3">
              <w:rPr>
                <w:rFonts w:ascii="仿宋_GB2312" w:hAnsi="仿宋_GB2312" w:cs="仿宋_GB2312" w:hint="eastAsia"/>
                <w:b/>
                <w:sz w:val="24"/>
                <w:szCs w:val="24"/>
              </w:rPr>
              <w:t>基本要求</w:t>
            </w:r>
          </w:p>
        </w:tc>
      </w:tr>
      <w:tr w:rsidR="00C20406" w:rsidTr="008C3907">
        <w:trPr>
          <w:trHeight w:val="3725"/>
        </w:trPr>
        <w:tc>
          <w:tcPr>
            <w:tcW w:w="53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1</w:t>
            </w:r>
          </w:p>
        </w:tc>
        <w:tc>
          <w:tcPr>
            <w:tcW w:w="136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第一章</w:t>
            </w:r>
          </w:p>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常用控制电器</w:t>
            </w:r>
          </w:p>
        </w:tc>
        <w:tc>
          <w:tcPr>
            <w:tcW w:w="1154" w:type="dxa"/>
            <w:vAlign w:val="center"/>
          </w:tcPr>
          <w:p w:rsidR="00C20406" w:rsidRPr="000A7EE3" w:rsidRDefault="00C20406" w:rsidP="008C3907">
            <w:pPr>
              <w:spacing w:line="360" w:lineRule="auto"/>
              <w:jc w:val="center"/>
              <w:textAlignment w:val="center"/>
              <w:rPr>
                <w:rFonts w:ascii="仿宋_GB2312" w:hAnsi="仿宋_GB2312" w:cs="仿宋_GB2312"/>
                <w:sz w:val="24"/>
                <w:szCs w:val="24"/>
              </w:rPr>
            </w:pPr>
            <w:r w:rsidRPr="000A7EE3">
              <w:rPr>
                <w:rFonts w:ascii="仿宋_GB2312" w:hAnsi="仿宋_GB2312" w:cs="仿宋_GB2312"/>
                <w:sz w:val="24"/>
                <w:szCs w:val="24"/>
              </w:rPr>
              <w:t>4</w:t>
            </w:r>
          </w:p>
        </w:tc>
        <w:tc>
          <w:tcPr>
            <w:tcW w:w="3366"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电磁式电器的工作原理、接触器、电磁式继电器、常用非电磁式继电器、刀开关与低压断路器、熔断器、主令电器、智能电器。</w:t>
            </w:r>
          </w:p>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重点：接触器、智能电器工作</w:t>
            </w:r>
            <w:r w:rsidRPr="000A7EE3">
              <w:rPr>
                <w:rFonts w:ascii="仿宋_GB2312" w:hAnsi="仿宋_GB2312" w:cs="仿宋_GB2312"/>
                <w:sz w:val="24"/>
                <w:szCs w:val="24"/>
              </w:rPr>
              <w:t>原理</w:t>
            </w:r>
          </w:p>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难点：电磁式电器的工作原理</w:t>
            </w:r>
          </w:p>
        </w:tc>
        <w:tc>
          <w:tcPr>
            <w:tcW w:w="3188"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要求学生能区分各类</w:t>
            </w:r>
            <w:r w:rsidRPr="000A7EE3">
              <w:rPr>
                <w:rFonts w:ascii="仿宋_GB2312" w:hAnsi="仿宋_GB2312" w:cs="仿宋_GB2312"/>
                <w:sz w:val="24"/>
                <w:szCs w:val="24"/>
              </w:rPr>
              <w:t>常用控制电</w:t>
            </w:r>
            <w:r w:rsidRPr="000A7EE3">
              <w:rPr>
                <w:rFonts w:ascii="仿宋_GB2312" w:hAnsi="仿宋_GB2312" w:cs="仿宋_GB2312" w:hint="eastAsia"/>
                <w:sz w:val="24"/>
                <w:szCs w:val="24"/>
              </w:rPr>
              <w:t>器</w:t>
            </w:r>
            <w:r w:rsidRPr="000A7EE3">
              <w:rPr>
                <w:rFonts w:ascii="仿宋_GB2312" w:hAnsi="仿宋_GB2312" w:cs="仿宋_GB2312"/>
                <w:sz w:val="24"/>
                <w:szCs w:val="24"/>
              </w:rPr>
              <w:t>，并了解其控制原理</w:t>
            </w:r>
            <w:r w:rsidRPr="000A7EE3">
              <w:rPr>
                <w:rFonts w:ascii="仿宋_GB2312" w:hAnsi="仿宋_GB2312" w:cs="仿宋_GB2312" w:hint="eastAsia"/>
                <w:sz w:val="24"/>
                <w:szCs w:val="24"/>
              </w:rPr>
              <w:t>。</w:t>
            </w:r>
          </w:p>
        </w:tc>
      </w:tr>
      <w:tr w:rsidR="00C20406" w:rsidTr="008C3907">
        <w:trPr>
          <w:trHeight w:val="2203"/>
        </w:trPr>
        <w:tc>
          <w:tcPr>
            <w:tcW w:w="532" w:type="dxa"/>
            <w:vAlign w:val="center"/>
          </w:tcPr>
          <w:p w:rsidR="00C20406" w:rsidRPr="000A7EE3" w:rsidRDefault="00C20406" w:rsidP="008C3907">
            <w:pPr>
              <w:rPr>
                <w:rFonts w:ascii="仿宋_GB2312" w:hAnsi="仿宋_GB2312" w:cs="仿宋_GB2312"/>
                <w:sz w:val="24"/>
                <w:szCs w:val="24"/>
              </w:rPr>
            </w:pPr>
          </w:p>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2</w:t>
            </w:r>
          </w:p>
        </w:tc>
        <w:tc>
          <w:tcPr>
            <w:tcW w:w="136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第二章</w:t>
            </w:r>
          </w:p>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电气控制的基本环节与规律</w:t>
            </w:r>
          </w:p>
        </w:tc>
        <w:tc>
          <w:tcPr>
            <w:tcW w:w="1154" w:type="dxa"/>
            <w:vAlign w:val="center"/>
          </w:tcPr>
          <w:p w:rsidR="00C20406" w:rsidRPr="000A7EE3" w:rsidRDefault="00C20406" w:rsidP="008C3907">
            <w:pPr>
              <w:spacing w:line="360" w:lineRule="auto"/>
              <w:jc w:val="center"/>
              <w:rPr>
                <w:rFonts w:ascii="仿宋_GB2312" w:hAnsi="仿宋_GB2312" w:cs="仿宋_GB2312"/>
                <w:sz w:val="24"/>
                <w:szCs w:val="24"/>
              </w:rPr>
            </w:pPr>
            <w:r w:rsidRPr="000A7EE3">
              <w:rPr>
                <w:rFonts w:ascii="仿宋_GB2312" w:hAnsi="仿宋_GB2312" w:cs="仿宋_GB2312"/>
                <w:sz w:val="24"/>
                <w:szCs w:val="24"/>
              </w:rPr>
              <w:t>6</w:t>
            </w:r>
          </w:p>
        </w:tc>
        <w:tc>
          <w:tcPr>
            <w:tcW w:w="3366"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电气控制系统的电路图及绘制</w:t>
            </w:r>
          </w:p>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原则、电气控制的基本环节、电气控制的基本控制规律、三相异步电动机的控制电路、三相异步电动机的调速电路</w:t>
            </w:r>
          </w:p>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重点：电气控制系统的电路图及绘制、电气控制的基本控制规律</w:t>
            </w:r>
          </w:p>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难点：电气控制基本规律和异步电机调速原理</w:t>
            </w:r>
          </w:p>
        </w:tc>
        <w:tc>
          <w:tcPr>
            <w:tcW w:w="3188"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能够看懂电气控制系统的电路图，</w:t>
            </w:r>
            <w:r w:rsidRPr="000A7EE3">
              <w:rPr>
                <w:rFonts w:ascii="仿宋_GB2312" w:hAnsi="仿宋_GB2312" w:cs="仿宋_GB2312"/>
                <w:sz w:val="24"/>
                <w:szCs w:val="24"/>
              </w:rPr>
              <w:t>掌握电</w:t>
            </w:r>
            <w:r w:rsidRPr="000A7EE3">
              <w:rPr>
                <w:rFonts w:ascii="仿宋_GB2312" w:hAnsi="仿宋_GB2312" w:cs="仿宋_GB2312" w:hint="eastAsia"/>
                <w:sz w:val="24"/>
                <w:szCs w:val="24"/>
              </w:rPr>
              <w:t>气</w:t>
            </w:r>
            <w:r w:rsidRPr="000A7EE3">
              <w:rPr>
                <w:rFonts w:ascii="仿宋_GB2312" w:hAnsi="仿宋_GB2312" w:cs="仿宋_GB2312"/>
                <w:sz w:val="24"/>
                <w:szCs w:val="24"/>
              </w:rPr>
              <w:t>控制基本规律和异步电机调速原理</w:t>
            </w:r>
            <w:r w:rsidRPr="000A7EE3">
              <w:rPr>
                <w:rFonts w:ascii="仿宋_GB2312" w:hAnsi="仿宋_GB2312" w:cs="仿宋_GB2312" w:hint="eastAsia"/>
                <w:sz w:val="24"/>
                <w:szCs w:val="24"/>
              </w:rPr>
              <w:t>。</w:t>
            </w:r>
          </w:p>
        </w:tc>
      </w:tr>
      <w:tr w:rsidR="00C20406" w:rsidTr="008C3907">
        <w:trPr>
          <w:trHeight w:val="2324"/>
        </w:trPr>
        <w:tc>
          <w:tcPr>
            <w:tcW w:w="53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lastRenderedPageBreak/>
              <w:t>3</w:t>
            </w:r>
          </w:p>
        </w:tc>
        <w:tc>
          <w:tcPr>
            <w:tcW w:w="136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第三章</w:t>
            </w:r>
          </w:p>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电气控制系统的设计</w:t>
            </w:r>
          </w:p>
        </w:tc>
        <w:tc>
          <w:tcPr>
            <w:tcW w:w="1154" w:type="dxa"/>
            <w:vAlign w:val="center"/>
          </w:tcPr>
          <w:p w:rsidR="00C20406" w:rsidRPr="000A7EE3" w:rsidRDefault="00C20406" w:rsidP="008C3907">
            <w:pPr>
              <w:spacing w:line="360" w:lineRule="auto"/>
              <w:jc w:val="center"/>
              <w:rPr>
                <w:rFonts w:ascii="仿宋_GB2312" w:hAnsi="仿宋_GB2312" w:cs="仿宋_GB2312"/>
                <w:sz w:val="24"/>
                <w:szCs w:val="24"/>
              </w:rPr>
            </w:pPr>
            <w:r w:rsidRPr="000A7EE3">
              <w:rPr>
                <w:rFonts w:ascii="仿宋_GB2312" w:hAnsi="仿宋_GB2312" w:cs="仿宋_GB2312"/>
                <w:sz w:val="24"/>
                <w:szCs w:val="24"/>
              </w:rPr>
              <w:t>4</w:t>
            </w:r>
          </w:p>
        </w:tc>
        <w:tc>
          <w:tcPr>
            <w:tcW w:w="3366"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主要内容：电气控制系统设计的基本原则、电气控制系统电路设计。</w:t>
            </w:r>
          </w:p>
        </w:tc>
        <w:tc>
          <w:tcPr>
            <w:tcW w:w="3188"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掌握电气控制系统设计的基本原则。</w:t>
            </w:r>
          </w:p>
        </w:tc>
      </w:tr>
      <w:tr w:rsidR="00C20406" w:rsidTr="008C3907">
        <w:trPr>
          <w:trHeight w:val="1380"/>
        </w:trPr>
        <w:tc>
          <w:tcPr>
            <w:tcW w:w="53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4</w:t>
            </w:r>
          </w:p>
        </w:tc>
        <w:tc>
          <w:tcPr>
            <w:tcW w:w="136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第四章</w:t>
            </w:r>
          </w:p>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空调与制冷系统的电气控制</w:t>
            </w:r>
          </w:p>
        </w:tc>
        <w:tc>
          <w:tcPr>
            <w:tcW w:w="1154" w:type="dxa"/>
            <w:vAlign w:val="center"/>
          </w:tcPr>
          <w:p w:rsidR="00C20406" w:rsidRPr="000A7EE3" w:rsidRDefault="00C20406" w:rsidP="008C3907">
            <w:pPr>
              <w:spacing w:line="360" w:lineRule="auto"/>
              <w:jc w:val="center"/>
              <w:rPr>
                <w:rFonts w:ascii="仿宋_GB2312" w:hAnsi="仿宋_GB2312" w:cs="仿宋_GB2312"/>
                <w:sz w:val="24"/>
                <w:szCs w:val="24"/>
              </w:rPr>
            </w:pPr>
            <w:r w:rsidRPr="000A7EE3">
              <w:rPr>
                <w:rFonts w:ascii="仿宋_GB2312" w:hAnsi="仿宋_GB2312" w:cs="仿宋_GB2312"/>
                <w:sz w:val="24"/>
                <w:szCs w:val="24"/>
              </w:rPr>
              <w:t>2</w:t>
            </w:r>
          </w:p>
        </w:tc>
        <w:tc>
          <w:tcPr>
            <w:tcW w:w="3366"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主要</w:t>
            </w:r>
            <w:r w:rsidRPr="000A7EE3">
              <w:rPr>
                <w:rFonts w:ascii="仿宋_GB2312" w:hAnsi="仿宋_GB2312" w:cs="仿宋_GB2312"/>
                <w:sz w:val="24"/>
                <w:szCs w:val="24"/>
              </w:rPr>
              <w:t>内容：</w:t>
            </w:r>
            <w:r w:rsidRPr="000A7EE3">
              <w:rPr>
                <w:rFonts w:ascii="仿宋_GB2312" w:hAnsi="仿宋_GB2312" w:cs="仿宋_GB2312" w:hint="eastAsia"/>
                <w:sz w:val="24"/>
                <w:szCs w:val="24"/>
              </w:rPr>
              <w:t>空调系统的分类与调节装置、分散式空调系统的电气控制实例、半集中式空调系统的电气控制实例、集中式空调系统的电气控制实例、制冷系统的电气控制实例</w:t>
            </w:r>
          </w:p>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重点：集中式空调系统的电气控制方法</w:t>
            </w:r>
          </w:p>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难点：集中式空调系统的电气控制实例与制冷系统的电气控制实例分析</w:t>
            </w:r>
          </w:p>
        </w:tc>
        <w:tc>
          <w:tcPr>
            <w:tcW w:w="3188"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掌握各类空调系统电气</w:t>
            </w:r>
            <w:r w:rsidRPr="000A7EE3">
              <w:rPr>
                <w:rFonts w:ascii="仿宋_GB2312" w:hAnsi="仿宋_GB2312" w:cs="仿宋_GB2312"/>
                <w:sz w:val="24"/>
                <w:szCs w:val="24"/>
              </w:rPr>
              <w:t>控制方法</w:t>
            </w:r>
          </w:p>
        </w:tc>
      </w:tr>
      <w:tr w:rsidR="00C20406" w:rsidTr="008C3907">
        <w:trPr>
          <w:trHeight w:val="1269"/>
        </w:trPr>
        <w:tc>
          <w:tcPr>
            <w:tcW w:w="53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5</w:t>
            </w:r>
          </w:p>
        </w:tc>
        <w:tc>
          <w:tcPr>
            <w:tcW w:w="136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第五章</w:t>
            </w:r>
          </w:p>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水泵与锅炉设备的电气控制</w:t>
            </w:r>
          </w:p>
        </w:tc>
        <w:tc>
          <w:tcPr>
            <w:tcW w:w="1154" w:type="dxa"/>
            <w:vAlign w:val="center"/>
          </w:tcPr>
          <w:p w:rsidR="00C20406" w:rsidRPr="000A7EE3" w:rsidRDefault="00C20406" w:rsidP="008C3907">
            <w:pPr>
              <w:spacing w:line="360" w:lineRule="auto"/>
              <w:jc w:val="center"/>
              <w:rPr>
                <w:rFonts w:ascii="仿宋_GB2312" w:hAnsi="仿宋_GB2312" w:cs="仿宋_GB2312"/>
                <w:sz w:val="24"/>
                <w:szCs w:val="24"/>
              </w:rPr>
            </w:pPr>
            <w:r w:rsidRPr="000A7EE3">
              <w:rPr>
                <w:rFonts w:ascii="仿宋_GB2312" w:hAnsi="仿宋_GB2312" w:cs="仿宋_GB2312"/>
                <w:sz w:val="24"/>
                <w:szCs w:val="24"/>
              </w:rPr>
              <w:t>2</w:t>
            </w:r>
          </w:p>
        </w:tc>
        <w:tc>
          <w:tcPr>
            <w:tcW w:w="3366"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主要内容：生活水泵的控制、消防水泵的控制、防</w:t>
            </w:r>
            <w:r w:rsidRPr="000A7EE3">
              <w:rPr>
                <w:rFonts w:ascii="微软雅黑" w:eastAsia="微软雅黑" w:hAnsi="微软雅黑" w:cs="微软雅黑" w:hint="eastAsia"/>
                <w:sz w:val="24"/>
                <w:szCs w:val="24"/>
              </w:rPr>
              <w:t>､</w:t>
            </w:r>
            <w:r w:rsidRPr="000A7EE3">
              <w:rPr>
                <w:rFonts w:ascii="仿宋_GB2312" w:hAnsi="仿宋_GB2312" w:cs="仿宋_GB2312" w:hint="eastAsia"/>
                <w:sz w:val="24"/>
                <w:szCs w:val="24"/>
              </w:rPr>
              <w:t>排烟设备的控制、锅炉房设备的组成及控制任务、锅炉的电气控制实例。</w:t>
            </w:r>
          </w:p>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重点和</w:t>
            </w:r>
            <w:r w:rsidRPr="000A7EE3">
              <w:rPr>
                <w:rFonts w:ascii="仿宋_GB2312" w:hAnsi="仿宋_GB2312" w:cs="仿宋_GB2312"/>
                <w:sz w:val="24"/>
                <w:szCs w:val="24"/>
              </w:rPr>
              <w:t>难点</w:t>
            </w:r>
            <w:r w:rsidRPr="000A7EE3">
              <w:rPr>
                <w:rFonts w:ascii="仿宋_GB2312" w:hAnsi="仿宋_GB2312" w:cs="仿宋_GB2312" w:hint="eastAsia"/>
                <w:sz w:val="24"/>
                <w:szCs w:val="24"/>
              </w:rPr>
              <w:t>：水泵和</w:t>
            </w:r>
            <w:r w:rsidRPr="000A7EE3">
              <w:rPr>
                <w:rFonts w:ascii="仿宋_GB2312" w:hAnsi="仿宋_GB2312" w:cs="仿宋_GB2312"/>
                <w:sz w:val="24"/>
                <w:szCs w:val="24"/>
              </w:rPr>
              <w:t>风机控制</w:t>
            </w:r>
            <w:r w:rsidRPr="000A7EE3">
              <w:rPr>
                <w:rFonts w:ascii="仿宋_GB2312" w:hAnsi="仿宋_GB2312" w:cs="仿宋_GB2312" w:hint="eastAsia"/>
                <w:sz w:val="24"/>
                <w:szCs w:val="24"/>
              </w:rPr>
              <w:t>。</w:t>
            </w:r>
          </w:p>
          <w:p w:rsidR="00C20406" w:rsidRPr="000A7EE3" w:rsidRDefault="00C20406" w:rsidP="008C3907">
            <w:pPr>
              <w:rPr>
                <w:rFonts w:ascii="仿宋_GB2312" w:hAnsi="仿宋_GB2312" w:cs="仿宋_GB2312"/>
                <w:sz w:val="24"/>
                <w:szCs w:val="24"/>
              </w:rPr>
            </w:pPr>
          </w:p>
        </w:tc>
        <w:tc>
          <w:tcPr>
            <w:tcW w:w="3188"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熟悉水泵、</w:t>
            </w:r>
            <w:r w:rsidRPr="000A7EE3">
              <w:rPr>
                <w:rFonts w:ascii="仿宋_GB2312" w:hAnsi="仿宋_GB2312" w:cs="仿宋_GB2312"/>
                <w:sz w:val="24"/>
                <w:szCs w:val="24"/>
              </w:rPr>
              <w:t>风机和锅炉电气控制原理和方法，并能</w:t>
            </w:r>
            <w:r w:rsidRPr="000A7EE3">
              <w:rPr>
                <w:rFonts w:ascii="仿宋_GB2312" w:hAnsi="仿宋_GB2312" w:cs="仿宋_GB2312" w:hint="eastAsia"/>
                <w:sz w:val="24"/>
                <w:szCs w:val="24"/>
              </w:rPr>
              <w:t>识图</w:t>
            </w:r>
            <w:r w:rsidRPr="000A7EE3">
              <w:rPr>
                <w:rFonts w:ascii="仿宋_GB2312" w:hAnsi="仿宋_GB2312" w:cs="仿宋_GB2312"/>
                <w:sz w:val="24"/>
                <w:szCs w:val="24"/>
              </w:rPr>
              <w:t>分析</w:t>
            </w:r>
          </w:p>
        </w:tc>
      </w:tr>
      <w:tr w:rsidR="00C20406" w:rsidTr="008C3907">
        <w:trPr>
          <w:trHeight w:val="990"/>
        </w:trPr>
        <w:tc>
          <w:tcPr>
            <w:tcW w:w="53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6</w:t>
            </w:r>
          </w:p>
        </w:tc>
        <w:tc>
          <w:tcPr>
            <w:tcW w:w="136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第七章</w:t>
            </w:r>
          </w:p>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可编程序控制器的基础知识</w:t>
            </w:r>
          </w:p>
        </w:tc>
        <w:tc>
          <w:tcPr>
            <w:tcW w:w="1154" w:type="dxa"/>
            <w:vAlign w:val="center"/>
          </w:tcPr>
          <w:p w:rsidR="00C20406" w:rsidRPr="000A7EE3" w:rsidRDefault="00C20406" w:rsidP="008C3907">
            <w:pPr>
              <w:spacing w:line="360" w:lineRule="auto"/>
              <w:jc w:val="center"/>
              <w:rPr>
                <w:rFonts w:ascii="仿宋_GB2312" w:hAnsi="仿宋_GB2312" w:cs="仿宋_GB2312"/>
                <w:sz w:val="24"/>
                <w:szCs w:val="24"/>
              </w:rPr>
            </w:pPr>
            <w:r w:rsidRPr="000A7EE3">
              <w:rPr>
                <w:rFonts w:ascii="仿宋_GB2312" w:hAnsi="仿宋_GB2312" w:cs="仿宋_GB2312" w:hint="eastAsia"/>
                <w:sz w:val="24"/>
                <w:szCs w:val="24"/>
              </w:rPr>
              <w:t>2</w:t>
            </w:r>
          </w:p>
        </w:tc>
        <w:tc>
          <w:tcPr>
            <w:tcW w:w="3366" w:type="dxa"/>
            <w:vAlign w:val="center"/>
          </w:tcPr>
          <w:p w:rsidR="00C20406" w:rsidRPr="000A7EE3" w:rsidRDefault="00C20406" w:rsidP="005F6318">
            <w:pPr>
              <w:numPr>
                <w:ilvl w:val="0"/>
                <w:numId w:val="22"/>
              </w:numPr>
              <w:rPr>
                <w:rFonts w:ascii="仿宋_GB2312" w:hAnsi="仿宋_GB2312" w:cs="仿宋_GB2312"/>
                <w:sz w:val="24"/>
                <w:szCs w:val="24"/>
              </w:rPr>
            </w:pPr>
            <w:r w:rsidRPr="000A7EE3">
              <w:rPr>
                <w:rFonts w:ascii="仿宋_GB2312" w:hAnsi="仿宋_GB2312" w:cs="仿宋_GB2312" w:hint="eastAsia"/>
                <w:sz w:val="24"/>
                <w:szCs w:val="24"/>
              </w:rPr>
              <w:t>可编程序控制器简介</w:t>
            </w:r>
          </w:p>
          <w:p w:rsidR="00C20406" w:rsidRPr="000A7EE3" w:rsidRDefault="00C20406" w:rsidP="005F6318">
            <w:pPr>
              <w:numPr>
                <w:ilvl w:val="0"/>
                <w:numId w:val="22"/>
              </w:numPr>
              <w:rPr>
                <w:rFonts w:ascii="仿宋_GB2312" w:hAnsi="仿宋_GB2312" w:cs="仿宋_GB2312"/>
                <w:sz w:val="24"/>
                <w:szCs w:val="24"/>
              </w:rPr>
            </w:pPr>
            <w:r w:rsidRPr="000A7EE3">
              <w:rPr>
                <w:rFonts w:ascii="仿宋_GB2312" w:hAnsi="仿宋_GB2312" w:cs="仿宋_GB2312" w:hint="eastAsia"/>
                <w:sz w:val="24"/>
                <w:szCs w:val="24"/>
              </w:rPr>
              <w:t>可编程序控制器的基本组成及各模块的功能</w:t>
            </w:r>
          </w:p>
          <w:p w:rsidR="00C20406" w:rsidRPr="000A7EE3" w:rsidRDefault="00C20406" w:rsidP="005F6318">
            <w:pPr>
              <w:numPr>
                <w:ilvl w:val="0"/>
                <w:numId w:val="22"/>
              </w:numPr>
              <w:rPr>
                <w:rFonts w:ascii="仿宋_GB2312" w:hAnsi="仿宋_GB2312" w:cs="仿宋_GB2312"/>
                <w:sz w:val="24"/>
                <w:szCs w:val="24"/>
              </w:rPr>
            </w:pPr>
            <w:r w:rsidRPr="000A7EE3">
              <w:rPr>
                <w:rFonts w:ascii="仿宋_GB2312" w:hAnsi="仿宋_GB2312" w:cs="仿宋_GB2312" w:hint="eastAsia"/>
                <w:sz w:val="24"/>
                <w:szCs w:val="24"/>
              </w:rPr>
              <w:t>可编程序控制器的基本工作原理</w:t>
            </w:r>
          </w:p>
          <w:p w:rsidR="00C20406" w:rsidRPr="000A7EE3" w:rsidRDefault="00C20406" w:rsidP="005F6318">
            <w:pPr>
              <w:numPr>
                <w:ilvl w:val="0"/>
                <w:numId w:val="22"/>
              </w:numPr>
              <w:rPr>
                <w:rFonts w:ascii="仿宋_GB2312" w:hAnsi="仿宋_GB2312" w:cs="仿宋_GB2312"/>
                <w:sz w:val="24"/>
                <w:szCs w:val="24"/>
              </w:rPr>
            </w:pPr>
            <w:r w:rsidRPr="000A7EE3">
              <w:rPr>
                <w:rFonts w:ascii="仿宋_GB2312" w:hAnsi="仿宋_GB2312" w:cs="仿宋_GB2312" w:hint="eastAsia"/>
                <w:sz w:val="24"/>
                <w:szCs w:val="24"/>
              </w:rPr>
              <w:t>可编程序控制器的性能指标及其特点</w:t>
            </w:r>
          </w:p>
          <w:p w:rsidR="00C20406" w:rsidRPr="000A7EE3" w:rsidRDefault="00C20406" w:rsidP="005F6318">
            <w:pPr>
              <w:numPr>
                <w:ilvl w:val="0"/>
                <w:numId w:val="22"/>
              </w:numPr>
              <w:rPr>
                <w:rFonts w:ascii="仿宋_GB2312" w:hAnsi="仿宋_GB2312" w:cs="仿宋_GB2312"/>
                <w:sz w:val="24"/>
                <w:szCs w:val="24"/>
              </w:rPr>
            </w:pPr>
            <w:r w:rsidRPr="000A7EE3">
              <w:rPr>
                <w:rFonts w:ascii="仿宋_GB2312" w:hAnsi="仿宋_GB2312" w:cs="仿宋_GB2312" w:hint="eastAsia"/>
                <w:sz w:val="24"/>
                <w:szCs w:val="24"/>
              </w:rPr>
              <w:t>可编程序控制器的编程语言</w:t>
            </w:r>
          </w:p>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难点</w:t>
            </w:r>
            <w:r w:rsidRPr="000A7EE3">
              <w:rPr>
                <w:rFonts w:ascii="仿宋_GB2312" w:hAnsi="仿宋_GB2312" w:cs="仿宋_GB2312"/>
                <w:sz w:val="24"/>
                <w:szCs w:val="24"/>
              </w:rPr>
              <w:t>：</w:t>
            </w:r>
            <w:r w:rsidRPr="000A7EE3">
              <w:rPr>
                <w:rFonts w:ascii="仿宋_GB2312" w:hAnsi="仿宋_GB2312" w:cs="仿宋_GB2312" w:hint="eastAsia"/>
                <w:sz w:val="24"/>
                <w:szCs w:val="24"/>
              </w:rPr>
              <w:t>可编程序控制器的编程语言</w:t>
            </w:r>
          </w:p>
        </w:tc>
        <w:tc>
          <w:tcPr>
            <w:tcW w:w="3188"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认识PLC</w:t>
            </w:r>
            <w:r w:rsidRPr="000A7EE3">
              <w:rPr>
                <w:rFonts w:ascii="仿宋_GB2312" w:hAnsi="仿宋_GB2312" w:cs="仿宋_GB2312"/>
                <w:sz w:val="24"/>
                <w:szCs w:val="24"/>
              </w:rPr>
              <w:t>，掌握</w:t>
            </w:r>
            <w:r w:rsidRPr="000A7EE3">
              <w:rPr>
                <w:rFonts w:ascii="仿宋_GB2312" w:hAnsi="仿宋_GB2312" w:cs="仿宋_GB2312" w:hint="eastAsia"/>
                <w:sz w:val="24"/>
                <w:szCs w:val="24"/>
              </w:rPr>
              <w:t>可编程序控制器的编程语言。</w:t>
            </w:r>
          </w:p>
        </w:tc>
      </w:tr>
      <w:tr w:rsidR="00C20406" w:rsidTr="008C3907">
        <w:trPr>
          <w:trHeight w:val="990"/>
        </w:trPr>
        <w:tc>
          <w:tcPr>
            <w:tcW w:w="53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7</w:t>
            </w:r>
          </w:p>
        </w:tc>
        <w:tc>
          <w:tcPr>
            <w:tcW w:w="136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第</w:t>
            </w:r>
            <w:r w:rsidRPr="000A7EE3">
              <w:rPr>
                <w:rFonts w:ascii="仿宋_GB2312" w:hAnsi="仿宋_GB2312" w:cs="仿宋_GB2312"/>
                <w:sz w:val="24"/>
                <w:szCs w:val="24"/>
              </w:rPr>
              <w:t>十章</w:t>
            </w:r>
          </w:p>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SIEMENS</w:t>
            </w:r>
            <w:r w:rsidRPr="000A7EE3">
              <w:rPr>
                <w:rFonts w:ascii="仿宋_GB2312" w:hAnsi="仿宋_GB2312" w:cs="仿宋_GB2312"/>
                <w:sz w:val="24"/>
                <w:szCs w:val="24"/>
              </w:rPr>
              <w:t xml:space="preserve"> S</w:t>
            </w:r>
            <w:r w:rsidRPr="000A7EE3">
              <w:rPr>
                <w:rFonts w:ascii="仿宋_GB2312" w:hAnsi="仿宋_GB2312" w:cs="仿宋_GB2312" w:hint="eastAsia"/>
                <w:sz w:val="24"/>
                <w:szCs w:val="24"/>
              </w:rPr>
              <w:t>7-200可编程序控制器</w:t>
            </w:r>
          </w:p>
        </w:tc>
        <w:tc>
          <w:tcPr>
            <w:tcW w:w="1154" w:type="dxa"/>
            <w:vAlign w:val="center"/>
          </w:tcPr>
          <w:p w:rsidR="00C20406" w:rsidRPr="000A7EE3" w:rsidRDefault="00C20406" w:rsidP="008C3907">
            <w:pPr>
              <w:spacing w:line="360" w:lineRule="auto"/>
              <w:jc w:val="center"/>
              <w:rPr>
                <w:rFonts w:ascii="仿宋_GB2312" w:hAnsi="仿宋_GB2312" w:cs="仿宋_GB2312"/>
                <w:sz w:val="24"/>
                <w:szCs w:val="24"/>
              </w:rPr>
            </w:pPr>
            <w:r w:rsidRPr="000A7EE3">
              <w:rPr>
                <w:rFonts w:ascii="仿宋_GB2312" w:hAnsi="仿宋_GB2312" w:cs="仿宋_GB2312" w:hint="eastAsia"/>
                <w:sz w:val="24"/>
                <w:szCs w:val="24"/>
              </w:rPr>
              <w:t>2</w:t>
            </w:r>
          </w:p>
        </w:tc>
        <w:tc>
          <w:tcPr>
            <w:tcW w:w="3366"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S7系列可编程序控制器概述、S7-200CPU存储器的数据类型及寻址方式、S7-200可编程序控制器的指令系统、S7-200可编程序控制器的程序设计、常用环节编程与实例、S7-200可编程序控制器模拟量处理方法</w:t>
            </w:r>
          </w:p>
        </w:tc>
        <w:tc>
          <w:tcPr>
            <w:tcW w:w="3188"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能够编写</w:t>
            </w:r>
            <w:r w:rsidRPr="000A7EE3">
              <w:rPr>
                <w:rFonts w:ascii="仿宋_GB2312" w:hAnsi="仿宋_GB2312" w:cs="仿宋_GB2312"/>
                <w:sz w:val="24"/>
                <w:szCs w:val="24"/>
              </w:rPr>
              <w:t>简单的PLC梯形图程序</w:t>
            </w:r>
          </w:p>
        </w:tc>
      </w:tr>
      <w:tr w:rsidR="00C20406" w:rsidTr="008C3907">
        <w:trPr>
          <w:trHeight w:val="990"/>
        </w:trPr>
        <w:tc>
          <w:tcPr>
            <w:tcW w:w="53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lastRenderedPageBreak/>
              <w:t>8</w:t>
            </w:r>
          </w:p>
        </w:tc>
        <w:tc>
          <w:tcPr>
            <w:tcW w:w="1362" w:type="dxa"/>
            <w:vAlign w:val="center"/>
          </w:tcPr>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第</w:t>
            </w:r>
            <w:r w:rsidRPr="000A7EE3">
              <w:rPr>
                <w:rFonts w:ascii="仿宋_GB2312" w:hAnsi="仿宋_GB2312" w:cs="仿宋_GB2312"/>
                <w:sz w:val="24"/>
                <w:szCs w:val="24"/>
              </w:rPr>
              <w:t>十</w:t>
            </w:r>
            <w:r w:rsidRPr="000A7EE3">
              <w:rPr>
                <w:rFonts w:ascii="仿宋_GB2312" w:hAnsi="仿宋_GB2312" w:cs="仿宋_GB2312" w:hint="eastAsia"/>
                <w:sz w:val="24"/>
                <w:szCs w:val="24"/>
              </w:rPr>
              <w:t>二</w:t>
            </w:r>
            <w:r w:rsidRPr="000A7EE3">
              <w:rPr>
                <w:rFonts w:ascii="仿宋_GB2312" w:hAnsi="仿宋_GB2312" w:cs="仿宋_GB2312"/>
                <w:sz w:val="24"/>
                <w:szCs w:val="24"/>
              </w:rPr>
              <w:t>章</w:t>
            </w:r>
          </w:p>
          <w:p w:rsidR="00C20406" w:rsidRPr="000A7EE3" w:rsidRDefault="00C20406" w:rsidP="008C3907">
            <w:pPr>
              <w:jc w:val="center"/>
              <w:rPr>
                <w:rFonts w:ascii="仿宋_GB2312" w:hAnsi="仿宋_GB2312" w:cs="仿宋_GB2312"/>
                <w:sz w:val="24"/>
                <w:szCs w:val="24"/>
              </w:rPr>
            </w:pPr>
            <w:r w:rsidRPr="000A7EE3">
              <w:rPr>
                <w:rFonts w:ascii="仿宋_GB2312" w:hAnsi="仿宋_GB2312" w:cs="仿宋_GB2312" w:hint="eastAsia"/>
                <w:sz w:val="24"/>
                <w:szCs w:val="24"/>
              </w:rPr>
              <w:t>可编程序控制器的应用</w:t>
            </w:r>
          </w:p>
          <w:p w:rsidR="00C20406" w:rsidRPr="000A7EE3" w:rsidRDefault="00C20406" w:rsidP="008C3907">
            <w:pPr>
              <w:jc w:val="center"/>
              <w:rPr>
                <w:rFonts w:ascii="仿宋_GB2312" w:hAnsi="仿宋_GB2312" w:cs="仿宋_GB2312"/>
                <w:sz w:val="24"/>
                <w:szCs w:val="24"/>
              </w:rPr>
            </w:pPr>
          </w:p>
        </w:tc>
        <w:tc>
          <w:tcPr>
            <w:tcW w:w="1154" w:type="dxa"/>
            <w:vAlign w:val="center"/>
          </w:tcPr>
          <w:p w:rsidR="00C20406" w:rsidRPr="000A7EE3" w:rsidRDefault="00C20406" w:rsidP="008C3907">
            <w:pPr>
              <w:spacing w:line="360" w:lineRule="auto"/>
              <w:jc w:val="center"/>
              <w:rPr>
                <w:rFonts w:ascii="仿宋_GB2312" w:hAnsi="仿宋_GB2312" w:cs="仿宋_GB2312"/>
                <w:sz w:val="24"/>
                <w:szCs w:val="24"/>
              </w:rPr>
            </w:pPr>
            <w:r w:rsidRPr="000A7EE3">
              <w:rPr>
                <w:rFonts w:ascii="仿宋_GB2312" w:hAnsi="仿宋_GB2312" w:cs="仿宋_GB2312" w:hint="eastAsia"/>
                <w:sz w:val="24"/>
                <w:szCs w:val="24"/>
              </w:rPr>
              <w:t>2</w:t>
            </w:r>
          </w:p>
        </w:tc>
        <w:tc>
          <w:tcPr>
            <w:tcW w:w="3366"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PLC在多电动机变频恒压供水系统中的应用、PLC在电梯控制系统中的应用、PLC在洁净空调中央监控系统中的应用</w:t>
            </w:r>
          </w:p>
        </w:tc>
        <w:tc>
          <w:tcPr>
            <w:tcW w:w="3188" w:type="dxa"/>
            <w:vAlign w:val="center"/>
          </w:tcPr>
          <w:p w:rsidR="00C20406" w:rsidRPr="000A7EE3" w:rsidRDefault="00C20406" w:rsidP="008C3907">
            <w:pPr>
              <w:rPr>
                <w:rFonts w:ascii="仿宋_GB2312" w:hAnsi="仿宋_GB2312" w:cs="仿宋_GB2312"/>
                <w:sz w:val="24"/>
                <w:szCs w:val="24"/>
              </w:rPr>
            </w:pPr>
            <w:r w:rsidRPr="000A7EE3">
              <w:rPr>
                <w:rFonts w:ascii="仿宋_GB2312" w:hAnsi="仿宋_GB2312" w:cs="仿宋_GB2312" w:hint="eastAsia"/>
                <w:sz w:val="24"/>
                <w:szCs w:val="24"/>
              </w:rPr>
              <w:t>认识</w:t>
            </w:r>
            <w:r w:rsidRPr="000A7EE3">
              <w:rPr>
                <w:rFonts w:ascii="仿宋_GB2312" w:hAnsi="仿宋_GB2312" w:cs="仿宋_GB2312"/>
                <w:sz w:val="24"/>
                <w:szCs w:val="24"/>
              </w:rPr>
              <w:t>PLC在实际系统尤其空调系统中的应用</w:t>
            </w:r>
          </w:p>
        </w:tc>
      </w:tr>
    </w:tbl>
    <w:p w:rsidR="00C20406" w:rsidRDefault="00C20406" w:rsidP="00C20406">
      <w:pPr>
        <w:spacing w:beforeLines="50" w:before="156" w:afterLines="50" w:after="156" w:line="560" w:lineRule="exact"/>
        <w:rPr>
          <w:rFonts w:ascii="黑体" w:eastAsia="黑体" w:hAnsi="黑体"/>
          <w:b/>
          <w:sz w:val="28"/>
          <w:szCs w:val="28"/>
        </w:rPr>
      </w:pP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课程考核</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考核方式为：考核</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2. 成绩评定</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成绩评定方式：百分制</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sz w:val="28"/>
          <w:szCs w:val="28"/>
        </w:rPr>
        <w:t>课程总成绩=期末成绩</w:t>
      </w:r>
      <w:r>
        <w:rPr>
          <w:rFonts w:ascii="仿宋_GB2312" w:hAnsi="仿宋_GB2312" w:cs="仿宋_GB2312" w:hint="eastAsia"/>
          <w:sz w:val="28"/>
          <w:szCs w:val="28"/>
        </w:rPr>
        <w:t>（</w:t>
      </w:r>
      <w:r>
        <w:rPr>
          <w:rFonts w:ascii="仿宋_GB2312" w:hAnsi="仿宋_GB2312" w:cs="仿宋_GB2312"/>
          <w:sz w:val="28"/>
          <w:szCs w:val="28"/>
        </w:rPr>
        <w:t>50</w:t>
      </w:r>
      <w:r>
        <w:rPr>
          <w:rFonts w:ascii="仿宋_GB2312" w:hAnsi="仿宋_GB2312" w:cs="仿宋_GB2312" w:hint="eastAsia"/>
          <w:sz w:val="28"/>
          <w:szCs w:val="28"/>
        </w:rPr>
        <w:t>～70%）+平时</w:t>
      </w:r>
      <w:r>
        <w:rPr>
          <w:rFonts w:ascii="仿宋_GB2312" w:hAnsi="仿宋_GB2312" w:cs="仿宋_GB2312"/>
          <w:sz w:val="28"/>
          <w:szCs w:val="28"/>
        </w:rPr>
        <w:t>成绩</w:t>
      </w:r>
      <w:r>
        <w:rPr>
          <w:rFonts w:ascii="仿宋_GB2312" w:hAnsi="仿宋_GB2312" w:cs="仿宋_GB2312" w:hint="eastAsia"/>
          <w:sz w:val="28"/>
          <w:szCs w:val="28"/>
        </w:rPr>
        <w:t>（</w:t>
      </w:r>
      <w:r>
        <w:rPr>
          <w:rFonts w:ascii="仿宋_GB2312" w:hAnsi="仿宋_GB2312" w:cs="仿宋_GB2312"/>
          <w:sz w:val="28"/>
          <w:szCs w:val="28"/>
        </w:rPr>
        <w:t>3</w:t>
      </w:r>
      <w:r>
        <w:rPr>
          <w:rFonts w:ascii="仿宋_GB2312" w:hAnsi="仿宋_GB2312" w:cs="仿宋_GB2312" w:hint="eastAsia"/>
          <w:sz w:val="28"/>
          <w:szCs w:val="28"/>
        </w:rPr>
        <w:t>0%～</w:t>
      </w:r>
      <w:r>
        <w:rPr>
          <w:rFonts w:ascii="仿宋_GB2312" w:hAnsi="仿宋_GB2312" w:cs="仿宋_GB2312"/>
          <w:sz w:val="28"/>
          <w:szCs w:val="28"/>
        </w:rPr>
        <w:t>5</w:t>
      </w:r>
      <w:r>
        <w:rPr>
          <w:rFonts w:ascii="仿宋_GB2312" w:hAnsi="仿宋_GB2312" w:cs="仿宋_GB2312" w:hint="eastAsia"/>
          <w:sz w:val="28"/>
          <w:szCs w:val="28"/>
        </w:rPr>
        <w:t>0%），说明</w:t>
      </w:r>
      <w:r>
        <w:rPr>
          <w:rFonts w:ascii="仿宋_GB2312" w:hAnsi="仿宋_GB2312" w:cs="仿宋_GB2312"/>
          <w:sz w:val="28"/>
          <w:szCs w:val="28"/>
        </w:rPr>
        <w:t>如下：</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要求学生在学习过程中理论联系实际，多思考，勤观察，结合大作业来巩固提高。采用平时成绩+期末考试方式确定总评成绩。其中平时成绩考核包括作业、讨论、出勤等内容，期末考试采用闭卷方式。平时成绩占</w:t>
      </w:r>
      <w:r>
        <w:rPr>
          <w:rFonts w:ascii="仿宋_GB2312" w:hAnsi="仿宋_GB2312" w:cs="仿宋_GB2312"/>
          <w:sz w:val="28"/>
          <w:szCs w:val="28"/>
        </w:rPr>
        <w:t>3</w:t>
      </w:r>
      <w:r>
        <w:rPr>
          <w:rFonts w:ascii="仿宋_GB2312" w:hAnsi="仿宋_GB2312" w:cs="仿宋_GB2312" w:hint="eastAsia"/>
          <w:sz w:val="28"/>
          <w:szCs w:val="28"/>
        </w:rPr>
        <w:t>0%～</w:t>
      </w:r>
      <w:r>
        <w:rPr>
          <w:rFonts w:ascii="仿宋_GB2312" w:hAnsi="仿宋_GB2312" w:cs="仿宋_GB2312"/>
          <w:sz w:val="28"/>
          <w:szCs w:val="28"/>
        </w:rPr>
        <w:t>5</w:t>
      </w:r>
      <w:r>
        <w:rPr>
          <w:rFonts w:ascii="仿宋_GB2312" w:hAnsi="仿宋_GB2312" w:cs="仿宋_GB2312" w:hint="eastAsia"/>
          <w:sz w:val="28"/>
          <w:szCs w:val="28"/>
        </w:rPr>
        <w:t>0%，期末考试成绩占</w:t>
      </w:r>
      <w:r>
        <w:rPr>
          <w:rFonts w:ascii="仿宋_GB2312" w:hAnsi="仿宋_GB2312" w:cs="仿宋_GB2312"/>
          <w:sz w:val="28"/>
          <w:szCs w:val="28"/>
        </w:rPr>
        <w:t>5</w:t>
      </w:r>
      <w:r>
        <w:rPr>
          <w:rFonts w:ascii="仿宋_GB2312" w:hAnsi="仿宋_GB2312" w:cs="仿宋_GB2312" w:hint="eastAsia"/>
          <w:sz w:val="28"/>
          <w:szCs w:val="28"/>
        </w:rPr>
        <w:t>0%～</w:t>
      </w:r>
      <w:r>
        <w:rPr>
          <w:rFonts w:ascii="仿宋_GB2312" w:hAnsi="仿宋_GB2312" w:cs="仿宋_GB2312"/>
          <w:sz w:val="28"/>
          <w:szCs w:val="28"/>
        </w:rPr>
        <w:t>7</w:t>
      </w:r>
      <w:r>
        <w:rPr>
          <w:rFonts w:ascii="仿宋_GB2312" w:hAnsi="仿宋_GB2312" w:cs="仿宋_GB2312" w:hint="eastAsia"/>
          <w:sz w:val="28"/>
          <w:szCs w:val="28"/>
        </w:rPr>
        <w:t>0%。</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1.建议教材</w:t>
      </w:r>
    </w:p>
    <w:p w:rsidR="00C20406" w:rsidRDefault="00C20406" w:rsidP="00C2040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建筑电气控制技术（第3版），顾菊平</w:t>
      </w:r>
      <w:r>
        <w:rPr>
          <w:rFonts w:ascii="微软雅黑" w:eastAsia="微软雅黑" w:hAnsi="微软雅黑" w:cs="微软雅黑" w:hint="eastAsia"/>
          <w:sz w:val="28"/>
          <w:szCs w:val="28"/>
        </w:rPr>
        <w:t>､</w:t>
      </w:r>
      <w:r>
        <w:rPr>
          <w:rFonts w:ascii="仿宋_GB2312" w:hAnsi="仿宋_GB2312" w:cs="仿宋_GB2312" w:hint="eastAsia"/>
          <w:sz w:val="28"/>
          <w:szCs w:val="28"/>
        </w:rPr>
        <w:t>马小军 主编</w:t>
      </w:r>
      <w:r>
        <w:rPr>
          <w:rFonts w:ascii="仿宋_GB2312" w:hAnsi="仿宋_GB2312" w:cs="仿宋_GB2312"/>
          <w:sz w:val="28"/>
          <w:szCs w:val="28"/>
        </w:rPr>
        <w:t>，</w:t>
      </w:r>
      <w:r>
        <w:rPr>
          <w:rFonts w:ascii="仿宋_GB2312" w:hAnsi="仿宋_GB2312" w:cs="仿宋_GB2312" w:hint="eastAsia"/>
          <w:sz w:val="28"/>
          <w:szCs w:val="28"/>
        </w:rPr>
        <w:t>北京</w:t>
      </w:r>
      <w:r>
        <w:rPr>
          <w:rFonts w:ascii="仿宋_GB2312" w:hAnsi="仿宋_GB2312" w:cs="仿宋_GB2312"/>
          <w:sz w:val="28"/>
          <w:szCs w:val="28"/>
        </w:rPr>
        <w:t>：机械工业出版社</w:t>
      </w:r>
      <w:r>
        <w:rPr>
          <w:rFonts w:ascii="仿宋_GB2312" w:hAnsi="仿宋_GB2312" w:cs="仿宋_GB2312" w:hint="eastAsia"/>
          <w:sz w:val="28"/>
          <w:szCs w:val="28"/>
        </w:rPr>
        <w:t>，2018</w:t>
      </w:r>
      <w:r>
        <w:rPr>
          <w:rFonts w:ascii="仿宋_GB2312" w:hAnsi="仿宋_GB2312" w:cs="仿宋_GB2312"/>
          <w:sz w:val="28"/>
          <w:szCs w:val="28"/>
        </w:rPr>
        <w:t>.9</w:t>
      </w:r>
    </w:p>
    <w:p w:rsidR="00C20406" w:rsidRDefault="00C20406" w:rsidP="00C2040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20406" w:rsidRDefault="00C20406" w:rsidP="00C20406">
      <w:pPr>
        <w:ind w:firstLineChars="200" w:firstLine="560"/>
        <w:jc w:val="left"/>
        <w:rPr>
          <w:rFonts w:ascii="仿宋_GB2312" w:hAnsi="仿宋_GB2312" w:cs="仿宋_GB2312"/>
          <w:sz w:val="28"/>
          <w:szCs w:val="28"/>
        </w:rPr>
      </w:pPr>
      <w:r>
        <w:rPr>
          <w:rFonts w:ascii="仿宋_GB2312" w:hAnsi="仿宋_GB2312" w:cs="仿宋_GB2312" w:hint="eastAsia"/>
          <w:sz w:val="28"/>
          <w:szCs w:val="28"/>
        </w:rPr>
        <w:t>建筑电气控制技术，</w:t>
      </w:r>
      <w:r>
        <w:rPr>
          <w:rFonts w:ascii="仿宋_GB2312" w:hAnsi="仿宋_GB2312" w:cs="仿宋_GB2312"/>
          <w:sz w:val="28"/>
          <w:szCs w:val="28"/>
        </w:rPr>
        <w:t>窦晓霞</w:t>
      </w:r>
      <w:r>
        <w:rPr>
          <w:rFonts w:ascii="仿宋_GB2312" w:hAnsi="仿宋_GB2312" w:cs="仿宋_GB2312" w:hint="eastAsia"/>
          <w:sz w:val="28"/>
          <w:szCs w:val="28"/>
        </w:rPr>
        <w:t xml:space="preserve"> 主编，北京</w:t>
      </w:r>
      <w:r>
        <w:rPr>
          <w:rFonts w:ascii="仿宋_GB2312" w:hAnsi="仿宋_GB2312" w:cs="仿宋_GB2312"/>
          <w:sz w:val="28"/>
          <w:szCs w:val="28"/>
        </w:rPr>
        <w:t>：高等教育出版社</w:t>
      </w:r>
      <w:r>
        <w:rPr>
          <w:rFonts w:ascii="仿宋_GB2312" w:hAnsi="仿宋_GB2312" w:cs="仿宋_GB2312" w:hint="eastAsia"/>
          <w:sz w:val="28"/>
          <w:szCs w:val="28"/>
        </w:rPr>
        <w:t>，2004.11</w:t>
      </w:r>
    </w:p>
    <w:p w:rsidR="00C20406" w:rsidRDefault="00C20406" w:rsidP="00C20406">
      <w:pPr>
        <w:ind w:firstLineChars="200" w:firstLine="560"/>
        <w:jc w:val="left"/>
        <w:rPr>
          <w:rFonts w:ascii="仿宋_GB2312" w:hAnsi="仿宋_GB2312" w:cs="仿宋_GB2312"/>
          <w:sz w:val="28"/>
          <w:szCs w:val="28"/>
        </w:rPr>
      </w:pP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C20406" w:rsidRDefault="00C20406" w:rsidP="00C20406">
      <w:pPr>
        <w:spacing w:line="360" w:lineRule="auto"/>
        <w:ind w:firstLine="567"/>
        <w:rPr>
          <w:rFonts w:ascii="黑体" w:eastAsia="黑体" w:hAnsi="黑体"/>
          <w:b/>
          <w:sz w:val="28"/>
          <w:szCs w:val="28"/>
        </w:rPr>
      </w:pPr>
      <w:r>
        <w:rPr>
          <w:rFonts w:ascii="仿宋_GB2312" w:hAnsi="仿宋_GB2312" w:cs="仿宋_GB2312" w:hint="eastAsia"/>
          <w:sz w:val="28"/>
          <w:szCs w:val="28"/>
        </w:rPr>
        <w:t>无</w:t>
      </w:r>
    </w:p>
    <w:p w:rsidR="00C20406" w:rsidRDefault="00C20406" w:rsidP="00C20406">
      <w:pPr>
        <w:spacing w:beforeLines="50" w:before="156" w:afterLines="50" w:after="156" w:line="460" w:lineRule="exact"/>
        <w:rPr>
          <w:rFonts w:ascii="黑体" w:eastAsia="黑体" w:hAnsi="黑体"/>
          <w:b/>
          <w:sz w:val="28"/>
          <w:szCs w:val="28"/>
        </w:rPr>
      </w:pPr>
    </w:p>
    <w:p w:rsidR="00C20406" w:rsidRDefault="00C20406" w:rsidP="00C20406">
      <w:pPr>
        <w:spacing w:beforeLines="50" w:before="156" w:afterLines="50" w:after="156" w:line="460" w:lineRule="exact"/>
        <w:rPr>
          <w:rFonts w:ascii="黑体" w:eastAsia="黑体" w:hAnsi="黑体"/>
          <w:b/>
          <w:sz w:val="28"/>
          <w:szCs w:val="28"/>
        </w:rPr>
      </w:pPr>
    </w:p>
    <w:p w:rsidR="00C20406" w:rsidRDefault="00C20406" w:rsidP="00C20406">
      <w:pPr>
        <w:spacing w:beforeLines="50" w:before="156" w:afterLines="50" w:after="156" w:line="460" w:lineRule="exact"/>
        <w:rPr>
          <w:rFonts w:ascii="黑体" w:eastAsia="黑体" w:hAnsi="黑体"/>
          <w:b/>
          <w:sz w:val="28"/>
          <w:szCs w:val="28"/>
        </w:rPr>
      </w:pP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大纲撰写人：孟庆龙</w:t>
      </w:r>
      <w:r>
        <w:rPr>
          <w:rFonts w:ascii="仿宋" w:eastAsia="仿宋" w:hAnsi="仿宋"/>
          <w:sz w:val="28"/>
          <w:szCs w:val="28"/>
        </w:rPr>
        <w:t>，谢安生</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课程负责人：孟庆龙</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20406" w:rsidRDefault="00C20406" w:rsidP="00C20406">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20406" w:rsidRDefault="00C20406" w:rsidP="00C20406">
      <w:pPr>
        <w:ind w:firstLineChars="2000" w:firstLine="5600"/>
        <w:jc w:val="left"/>
        <w:rPr>
          <w:rFonts w:ascii="仿宋" w:hAnsi="仿宋"/>
          <w:sz w:val="28"/>
          <w:szCs w:val="28"/>
        </w:rPr>
      </w:pPr>
      <w:r>
        <w:rPr>
          <w:rFonts w:ascii="仿宋_GB2312" w:hAnsi="微软雅黑" w:hint="eastAsia"/>
          <w:sz w:val="28"/>
          <w:szCs w:val="28"/>
        </w:rPr>
        <w:t xml:space="preserve">    </w:t>
      </w:r>
    </w:p>
    <w:p w:rsidR="00C20406" w:rsidRDefault="00C20406" w:rsidP="00C20406">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4</w:t>
      </w:r>
      <w:r>
        <w:rPr>
          <w:rFonts w:ascii="仿宋" w:eastAsia="仿宋" w:hAnsi="仿宋" w:hint="eastAsia"/>
          <w:sz w:val="28"/>
          <w:szCs w:val="28"/>
        </w:rPr>
        <w:t xml:space="preserve"> 月</w:t>
      </w:r>
    </w:p>
    <w:p w:rsidR="00C20406" w:rsidRDefault="00C20406" w:rsidP="00C20406"/>
    <w:p w:rsidR="000A7EE3" w:rsidRDefault="000A7EE3" w:rsidP="00C20406"/>
    <w:p w:rsidR="000A7EE3" w:rsidRDefault="000A7EE3" w:rsidP="00C20406"/>
    <w:p w:rsidR="000A7EE3" w:rsidRDefault="000A7EE3" w:rsidP="00C20406"/>
    <w:p w:rsidR="000A7EE3" w:rsidRDefault="000A7EE3" w:rsidP="00C20406"/>
    <w:p w:rsidR="000A7EE3" w:rsidRDefault="000A7EE3" w:rsidP="00C20406"/>
    <w:p w:rsidR="000A7EE3" w:rsidRDefault="000A7EE3" w:rsidP="00C20406"/>
    <w:p w:rsidR="000A7EE3" w:rsidRDefault="000A7EE3" w:rsidP="00C20406"/>
    <w:p w:rsidR="000A7EE3" w:rsidRDefault="000A7EE3" w:rsidP="00C20406">
      <w:pPr>
        <w:rPr>
          <w:rFonts w:hint="eastAsia"/>
        </w:rPr>
      </w:pPr>
    </w:p>
    <w:p w:rsidR="00C20406" w:rsidRDefault="00C20406" w:rsidP="00C2040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《建筑自动化》课程教学大纲</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Building Automation</w:t>
      </w:r>
    </w:p>
    <w:p w:rsidR="00C20406" w:rsidRDefault="00C20406" w:rsidP="00C2040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Z2807260</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授课语言：双语</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2.5</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40</w:t>
      </w:r>
      <w:r>
        <w:rPr>
          <w:rFonts w:ascii="仿宋_GB2312" w:hAnsi="仿宋_GB2312" w:cs="仿宋_GB2312" w:hint="eastAsia"/>
          <w:bCs/>
          <w:sz w:val="28"/>
          <w:szCs w:val="28"/>
        </w:rPr>
        <w:t>学时（授课</w:t>
      </w:r>
      <w:r>
        <w:rPr>
          <w:rFonts w:ascii="仿宋_GB2312" w:hAnsi="仿宋_GB2312" w:cs="仿宋_GB2312"/>
          <w:bCs/>
          <w:sz w:val="28"/>
          <w:szCs w:val="28"/>
        </w:rPr>
        <w:t>36</w:t>
      </w:r>
      <w:r>
        <w:rPr>
          <w:rFonts w:ascii="仿宋_GB2312" w:hAnsi="仿宋_GB2312" w:cs="仿宋_GB2312" w:hint="eastAsia"/>
          <w:bCs/>
          <w:sz w:val="28"/>
          <w:szCs w:val="28"/>
        </w:rPr>
        <w:t>学时，实验</w:t>
      </w:r>
      <w:r>
        <w:rPr>
          <w:rFonts w:ascii="仿宋_GB2312" w:hAnsi="仿宋_GB2312" w:cs="仿宋_GB2312"/>
          <w:bCs/>
          <w:sz w:val="28"/>
          <w:szCs w:val="28"/>
        </w:rPr>
        <w:t>4</w:t>
      </w:r>
      <w:r>
        <w:rPr>
          <w:rFonts w:ascii="仿宋_GB2312" w:hAnsi="仿宋_GB2312" w:cs="仿宋_GB2312" w:hint="eastAsia"/>
          <w:bCs/>
          <w:sz w:val="28"/>
          <w:szCs w:val="28"/>
        </w:rPr>
        <w:t>学时）</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先修课程：自动</w:t>
      </w:r>
      <w:r>
        <w:rPr>
          <w:rFonts w:ascii="仿宋_GB2312" w:hAnsi="仿宋_GB2312" w:cs="仿宋_GB2312"/>
          <w:bCs/>
          <w:sz w:val="28"/>
          <w:szCs w:val="28"/>
        </w:rPr>
        <w:t>控制原理、</w:t>
      </w:r>
      <w:r>
        <w:rPr>
          <w:rFonts w:ascii="仿宋_GB2312" w:hAnsi="仿宋_GB2312" w:cs="仿宋_GB2312" w:hint="eastAsia"/>
          <w:bCs/>
          <w:sz w:val="28"/>
          <w:szCs w:val="28"/>
        </w:rPr>
        <w:t>暖通空调、建筑环境测试技术、建筑电气控制技术</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建筑自动化》是建筑环境与能源应用工程专业的一门重要的专业课。属于一门综合性的交叉学科（涉及自动化、计算机、电子、检测、空调等多个学科），是建筑业高科技信息时代催生建筑环境与能源应用工程专业的专业选修课。</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本课程的教学避免从基础知识出发的传统教学模式，本着“从工程实践出发”的教学理念，通过分析具体的生活和工程案例，培养学</w:t>
      </w:r>
      <w:r>
        <w:rPr>
          <w:rFonts w:ascii="仿宋_GB2312" w:hAnsi="仿宋_GB2312" w:cs="仿宋_GB2312" w:hint="eastAsia"/>
          <w:sz w:val="28"/>
          <w:szCs w:val="28"/>
        </w:rPr>
        <w:lastRenderedPageBreak/>
        <w:t>生解决建筑自动化实际问题的能力。课程中结合4个实际工程案例，从局部调节，到空调子系统控制问题，再到整个建筑自动化系统，这四个循环的视角逐步拓展，前面内容是后面的基础，由浅入深，结合实际工程问题介绍建筑自动化的相关知识，引导学生通过自己对课程中各个问题的研究，逐渐掌握解决建筑自动化工程问题的能力。同时，在深入剖析每个典型案例的过程中，介绍解决问题所涉及相关学科的知识和方法，使学生能够“在战争中学习战争”，同时鼓励学生对感兴趣的相关问题进行深入研究。</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教学方式采用PPT（工程案例讲解与MATLAB仿真演示）、板书（数学模型讲解）、实物参观、课上互动</w:t>
      </w:r>
      <w:r>
        <w:rPr>
          <w:rFonts w:ascii="仿宋_GB2312" w:hAnsi="仿宋_GB2312" w:cs="仿宋_GB2312"/>
          <w:sz w:val="28"/>
          <w:szCs w:val="28"/>
        </w:rPr>
        <w:t>讨论</w:t>
      </w:r>
      <w:r>
        <w:rPr>
          <w:rFonts w:ascii="仿宋_GB2312" w:hAnsi="仿宋_GB2312" w:cs="仿宋_GB2312" w:hint="eastAsia"/>
          <w:sz w:val="28"/>
          <w:szCs w:val="28"/>
        </w:rPr>
        <w:t>等相结合进行授课，并通过实验和上机实操进一步使学生能真正理解自动控制在建筑环境中的魅力，使学生在今后工作中能够针对实际的暖通空调工程提出有见解的控制策略。</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建筑自动化》课程是建筑环境与能源应用工程专业的一门必修课，通过这门课程的学习，使学生掌握建筑设备简单通断控制、PID控制的基本概念和基本思想，熟悉暖通空调设备自动控制系统的基本组成，重点掌握空气调节、冷热源、通风控制系统的特点，对建筑自动化系统有一个总体概念，能够认识到自动控制在建筑领域中的重要性和必要性，打消自动控制的神秘感。</w:t>
      </w:r>
    </w:p>
    <w:p w:rsidR="00C20406" w:rsidRDefault="00C20406" w:rsidP="006058C6">
      <w:pPr>
        <w:numPr>
          <w:ilvl w:val="0"/>
          <w:numId w:val="65"/>
        </w:numPr>
        <w:spacing w:line="360" w:lineRule="auto"/>
        <w:rPr>
          <w:rFonts w:ascii="仿宋_GB2312" w:hAnsi="仿宋_GB2312" w:cs="仿宋_GB2312"/>
          <w:sz w:val="28"/>
          <w:szCs w:val="28"/>
        </w:rPr>
      </w:pPr>
      <w:r>
        <w:rPr>
          <w:rFonts w:ascii="仿宋_GB2312" w:hAnsi="仿宋_GB2312" w:cs="仿宋_GB2312" w:hint="eastAsia"/>
          <w:sz w:val="28"/>
          <w:szCs w:val="28"/>
        </w:rPr>
        <w:t>课程基本要求</w:t>
      </w:r>
    </w:p>
    <w:p w:rsidR="00C20406" w:rsidRDefault="00C20406" w:rsidP="00C20406">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lastRenderedPageBreak/>
        <w:t>2.1课程目标</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通过该课程的学习，培养学生解决建筑自动化工程问题的能力，使学生能够基本胜任系统设计，系统安装与调试，系统维护和系统运行的任务，具备提出暖通空调自动控制方案的能力。</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从相对简单的通断控制设备-加热水箱的水温通断控制案例入手，使学生了解自动控制系统的基本结构和基本问题，产生简单的感性认识，逐步扩大到多变量的通断控制，由浅入深，将简单设备的通断控制升级为小系统的PID连续控制、空调系统和冷热源系统的连续控制，并引入对建筑设备自动化其他系统，如输配电、照明、给排水、通风以及可维护结构等子系统的认识。通过系统化的由简到烦，由浅入深，由感性到理性的认识，并结合实际案例，最终使学生能够掌握建筑自动化系统的控制和反馈的思想精髓，能够在实际暖通空调工程中提出自动控制方案。</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学习</w:t>
      </w:r>
      <w:r>
        <w:rPr>
          <w:rFonts w:ascii="仿宋_GB2312" w:hAnsi="仿宋_GB2312" w:cs="仿宋_GB2312"/>
          <w:sz w:val="28"/>
          <w:szCs w:val="28"/>
        </w:rPr>
        <w:t>本课程后，学生的</w:t>
      </w:r>
      <w:r>
        <w:rPr>
          <w:rFonts w:ascii="仿宋_GB2312" w:hAnsi="仿宋_GB2312" w:cs="仿宋_GB2312" w:hint="eastAsia"/>
          <w:sz w:val="28"/>
          <w:szCs w:val="28"/>
        </w:rPr>
        <w:t>课程目标总结如下</w:t>
      </w:r>
      <w:r>
        <w:rPr>
          <w:rFonts w:ascii="仿宋_GB2312" w:hAnsi="仿宋_GB2312" w:cs="仿宋_GB2312"/>
          <w:sz w:val="28"/>
          <w:szCs w:val="28"/>
        </w:rPr>
        <w:t>：</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（1）熟悉</w:t>
      </w:r>
      <w:r>
        <w:rPr>
          <w:rFonts w:ascii="仿宋_GB2312" w:hAnsi="仿宋_GB2312" w:cs="仿宋_GB2312"/>
          <w:sz w:val="28"/>
          <w:szCs w:val="28"/>
        </w:rPr>
        <w:t>各类控制算法和控制调节策略；</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（2）掌握建筑热湿环境自动控制策略和方法；</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（3）掌握冷热源调控方法，为注重行业、节能理念；</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（4）理解建筑自动化系统设计思路、设备选型，注重环境和可持续发展。</w:t>
      </w:r>
    </w:p>
    <w:p w:rsidR="00C20406" w:rsidRDefault="00C20406" w:rsidP="00C20406">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
        <w:gridCol w:w="5107"/>
        <w:gridCol w:w="1687"/>
      </w:tblGrid>
      <w:tr w:rsidR="00C20406" w:rsidTr="008C3907">
        <w:tc>
          <w:tcPr>
            <w:tcW w:w="1668" w:type="dxa"/>
            <w:shd w:val="clear" w:color="auto" w:fill="auto"/>
          </w:tcPr>
          <w:p w:rsidR="00C20406" w:rsidRPr="000A7EE3" w:rsidRDefault="00C20406" w:rsidP="008C3907">
            <w:pPr>
              <w:spacing w:line="400" w:lineRule="exact"/>
              <w:jc w:val="center"/>
              <w:rPr>
                <w:rFonts w:ascii="仿宋_GB2312" w:hAnsi="仿宋_GB2312" w:cs="仿宋_GB2312"/>
                <w:b/>
                <w:sz w:val="24"/>
                <w:szCs w:val="24"/>
              </w:rPr>
            </w:pPr>
            <w:r w:rsidRPr="000A7EE3">
              <w:rPr>
                <w:rFonts w:ascii="仿宋_GB2312" w:hAnsi="仿宋_GB2312" w:cs="仿宋_GB2312" w:hint="eastAsia"/>
                <w:b/>
                <w:sz w:val="24"/>
                <w:szCs w:val="24"/>
              </w:rPr>
              <w:t>毕业要求</w:t>
            </w:r>
          </w:p>
        </w:tc>
        <w:tc>
          <w:tcPr>
            <w:tcW w:w="5811" w:type="dxa"/>
            <w:shd w:val="clear" w:color="auto" w:fill="auto"/>
          </w:tcPr>
          <w:p w:rsidR="00C20406" w:rsidRPr="000A7EE3" w:rsidRDefault="00C20406" w:rsidP="008C3907">
            <w:pPr>
              <w:spacing w:line="400" w:lineRule="exact"/>
              <w:jc w:val="center"/>
              <w:rPr>
                <w:rFonts w:ascii="仿宋_GB2312" w:hAnsi="仿宋_GB2312" w:cs="仿宋_GB2312"/>
                <w:b/>
                <w:sz w:val="24"/>
                <w:szCs w:val="24"/>
              </w:rPr>
            </w:pPr>
            <w:r w:rsidRPr="000A7EE3">
              <w:rPr>
                <w:rFonts w:ascii="仿宋_GB2312" w:hAnsi="仿宋_GB2312" w:cs="仿宋_GB2312" w:hint="eastAsia"/>
                <w:b/>
                <w:sz w:val="24"/>
                <w:szCs w:val="24"/>
              </w:rPr>
              <w:t>指标点</w:t>
            </w:r>
          </w:p>
        </w:tc>
        <w:tc>
          <w:tcPr>
            <w:tcW w:w="1807" w:type="dxa"/>
            <w:shd w:val="clear" w:color="auto" w:fill="auto"/>
          </w:tcPr>
          <w:p w:rsidR="00C20406" w:rsidRPr="000A7EE3" w:rsidRDefault="00C20406" w:rsidP="008C3907">
            <w:pPr>
              <w:spacing w:line="400" w:lineRule="exact"/>
              <w:jc w:val="center"/>
              <w:rPr>
                <w:rFonts w:ascii="仿宋_GB2312" w:hAnsi="仿宋_GB2312" w:cs="仿宋_GB2312"/>
                <w:b/>
                <w:sz w:val="24"/>
                <w:szCs w:val="24"/>
              </w:rPr>
            </w:pPr>
            <w:r w:rsidRPr="000A7EE3">
              <w:rPr>
                <w:rFonts w:ascii="仿宋_GB2312" w:hAnsi="仿宋_GB2312" w:cs="仿宋_GB2312" w:hint="eastAsia"/>
                <w:b/>
                <w:sz w:val="24"/>
                <w:szCs w:val="24"/>
              </w:rPr>
              <w:t>课程目标</w:t>
            </w:r>
          </w:p>
        </w:tc>
      </w:tr>
      <w:tr w:rsidR="00C20406" w:rsidTr="008C3907">
        <w:tc>
          <w:tcPr>
            <w:tcW w:w="1668" w:type="dxa"/>
            <w:shd w:val="clear" w:color="auto" w:fill="auto"/>
          </w:tcPr>
          <w:p w:rsidR="00C20406" w:rsidRPr="000A7EE3" w:rsidRDefault="00C20406" w:rsidP="008C3907">
            <w:pPr>
              <w:spacing w:line="400" w:lineRule="exact"/>
              <w:jc w:val="center"/>
              <w:rPr>
                <w:rFonts w:ascii="仿宋_GB2312" w:hAnsi="仿宋_GB2312" w:cs="仿宋_GB2312"/>
                <w:sz w:val="24"/>
                <w:szCs w:val="24"/>
              </w:rPr>
            </w:pPr>
            <w:r w:rsidRPr="000A7EE3">
              <w:rPr>
                <w:rFonts w:ascii="仿宋_GB2312" w:hAnsi="仿宋_GB2312" w:cs="仿宋_GB2312" w:hint="eastAsia"/>
                <w:sz w:val="24"/>
                <w:szCs w:val="24"/>
              </w:rPr>
              <w:t>1.工程知识</w:t>
            </w:r>
          </w:p>
        </w:tc>
        <w:tc>
          <w:tcPr>
            <w:tcW w:w="5811"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1</w:t>
            </w:r>
            <w:r w:rsidRPr="000A7EE3">
              <w:rPr>
                <w:rFonts w:ascii="仿宋_GB2312" w:hAnsi="仿宋_GB2312" w:cs="仿宋_GB2312"/>
                <w:sz w:val="24"/>
                <w:szCs w:val="24"/>
              </w:rPr>
              <w:t xml:space="preserve">.2 </w:t>
            </w:r>
            <w:r w:rsidRPr="000A7EE3">
              <w:rPr>
                <w:rFonts w:ascii="仿宋_GB2312" w:hAnsi="仿宋_GB2312" w:cs="仿宋_GB2312" w:hint="eastAsia"/>
                <w:sz w:val="24"/>
                <w:szCs w:val="24"/>
              </w:rPr>
              <w:t>掌握相关工程基础知识，具备应用相关知识推演、分析建筑环境与能源应用工程专业复</w:t>
            </w:r>
            <w:r w:rsidRPr="000A7EE3">
              <w:rPr>
                <w:rFonts w:ascii="仿宋_GB2312" w:hAnsi="仿宋_GB2312" w:cs="仿宋_GB2312" w:hint="eastAsia"/>
                <w:sz w:val="24"/>
                <w:szCs w:val="24"/>
              </w:rPr>
              <w:lastRenderedPageBreak/>
              <w:t>杂工程问题的专业基础能力；</w:t>
            </w:r>
          </w:p>
        </w:tc>
        <w:tc>
          <w:tcPr>
            <w:tcW w:w="1807"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lastRenderedPageBreak/>
              <w:t>课程目标（</w:t>
            </w:r>
            <w:r w:rsidRPr="000A7EE3">
              <w:rPr>
                <w:rFonts w:ascii="仿宋_GB2312" w:hAnsi="仿宋_GB2312" w:cs="仿宋_GB2312"/>
                <w:sz w:val="24"/>
                <w:szCs w:val="24"/>
              </w:rPr>
              <w:t>2</w:t>
            </w:r>
            <w:r w:rsidRPr="000A7EE3">
              <w:rPr>
                <w:rFonts w:ascii="仿宋_GB2312" w:hAnsi="仿宋_GB2312" w:cs="仿宋_GB2312" w:hint="eastAsia"/>
                <w:sz w:val="24"/>
                <w:szCs w:val="24"/>
              </w:rPr>
              <w:t>）：掌握建</w:t>
            </w:r>
            <w:r w:rsidRPr="000A7EE3">
              <w:rPr>
                <w:rFonts w:ascii="仿宋_GB2312" w:hAnsi="仿宋_GB2312" w:cs="仿宋_GB2312" w:hint="eastAsia"/>
                <w:sz w:val="24"/>
                <w:szCs w:val="24"/>
              </w:rPr>
              <w:lastRenderedPageBreak/>
              <w:t>筑热湿环境自动控制策略和方法；</w:t>
            </w:r>
          </w:p>
        </w:tc>
      </w:tr>
      <w:tr w:rsidR="00C20406" w:rsidTr="008C3907">
        <w:tc>
          <w:tcPr>
            <w:tcW w:w="1668" w:type="dxa"/>
            <w:shd w:val="clear" w:color="auto" w:fill="auto"/>
          </w:tcPr>
          <w:p w:rsidR="00C20406" w:rsidRPr="000A7EE3" w:rsidRDefault="00C20406" w:rsidP="008C3907">
            <w:pPr>
              <w:spacing w:line="400" w:lineRule="exact"/>
              <w:jc w:val="center"/>
              <w:rPr>
                <w:rFonts w:ascii="仿宋_GB2312" w:hAnsi="仿宋_GB2312" w:cs="仿宋_GB2312"/>
                <w:sz w:val="24"/>
                <w:szCs w:val="24"/>
              </w:rPr>
            </w:pPr>
            <w:r w:rsidRPr="000A7EE3">
              <w:rPr>
                <w:rFonts w:ascii="仿宋_GB2312" w:hAnsi="仿宋_GB2312" w:cs="仿宋_GB2312" w:hint="eastAsia"/>
                <w:sz w:val="24"/>
                <w:szCs w:val="24"/>
              </w:rPr>
              <w:lastRenderedPageBreak/>
              <w:t>3.设计/开发解决方案</w:t>
            </w:r>
          </w:p>
        </w:tc>
        <w:tc>
          <w:tcPr>
            <w:tcW w:w="5811"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3.1 能够针对特定需求，确定工程基本单元的设计目标或问题解决方案，并完成设计/开发工作；</w:t>
            </w:r>
          </w:p>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3.2 能够进行工程体系或工艺流程的系统分析和优化设计，并体现创新意识；</w:t>
            </w:r>
          </w:p>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3.3 在设计/开发工作中能够综合考虑社会、健康、安全、法律、文化以及环境等因素。</w:t>
            </w:r>
          </w:p>
        </w:tc>
        <w:tc>
          <w:tcPr>
            <w:tcW w:w="1807"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课程目标（4）理解建筑自动化系统设计思路、设备选型，注重环境和可持续发展。</w:t>
            </w:r>
          </w:p>
        </w:tc>
      </w:tr>
      <w:tr w:rsidR="00C20406" w:rsidTr="008C3907">
        <w:tc>
          <w:tcPr>
            <w:tcW w:w="1668" w:type="dxa"/>
            <w:shd w:val="clear" w:color="auto" w:fill="auto"/>
          </w:tcPr>
          <w:p w:rsidR="00C20406" w:rsidRPr="000A7EE3" w:rsidRDefault="00C20406" w:rsidP="008C3907">
            <w:pPr>
              <w:spacing w:line="400" w:lineRule="exact"/>
              <w:rPr>
                <w:rFonts w:ascii="仿宋_GB2312" w:hAnsi="仿宋_GB2312" w:cs="仿宋_GB2312"/>
                <w:sz w:val="24"/>
                <w:szCs w:val="24"/>
              </w:rPr>
            </w:pPr>
            <w:r w:rsidRPr="000A7EE3">
              <w:rPr>
                <w:rFonts w:ascii="仿宋_GB2312" w:hAnsi="仿宋_GB2312" w:cs="仿宋_GB2312" w:hint="eastAsia"/>
                <w:sz w:val="24"/>
                <w:szCs w:val="24"/>
              </w:rPr>
              <w:t>4.研究</w:t>
            </w:r>
          </w:p>
        </w:tc>
        <w:tc>
          <w:tcPr>
            <w:tcW w:w="5811"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4.3 根据建筑环境与能源应用工程专业复杂工程问题的特征，选择研究路线，设计实验方案并正确进行实验操作，正确收集、处理、分析与解释实验数据，通过信息综合获得合理有效的结论。</w:t>
            </w:r>
          </w:p>
        </w:tc>
        <w:tc>
          <w:tcPr>
            <w:tcW w:w="1807"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课程目标（</w:t>
            </w:r>
            <w:r w:rsidRPr="000A7EE3">
              <w:rPr>
                <w:rFonts w:ascii="仿宋_GB2312" w:hAnsi="仿宋_GB2312" w:cs="仿宋_GB2312"/>
                <w:sz w:val="24"/>
                <w:szCs w:val="24"/>
              </w:rPr>
              <w:t>3</w:t>
            </w:r>
            <w:r w:rsidRPr="000A7EE3">
              <w:rPr>
                <w:rFonts w:ascii="仿宋_GB2312" w:hAnsi="仿宋_GB2312" w:cs="仿宋_GB2312" w:hint="eastAsia"/>
                <w:sz w:val="24"/>
                <w:szCs w:val="24"/>
              </w:rPr>
              <w:t>）：掌握冷热源调控方法，为注重行业、节能理念；</w:t>
            </w:r>
          </w:p>
        </w:tc>
      </w:tr>
      <w:tr w:rsidR="00C20406" w:rsidTr="008C3907">
        <w:tc>
          <w:tcPr>
            <w:tcW w:w="1668" w:type="dxa"/>
            <w:shd w:val="clear" w:color="auto" w:fill="auto"/>
          </w:tcPr>
          <w:p w:rsidR="00C20406" w:rsidRPr="000A7EE3" w:rsidRDefault="00C20406" w:rsidP="008C3907">
            <w:pPr>
              <w:spacing w:line="400" w:lineRule="exact"/>
              <w:jc w:val="center"/>
              <w:rPr>
                <w:rFonts w:ascii="仿宋_GB2312" w:hAnsi="仿宋_GB2312" w:cs="仿宋_GB2312"/>
                <w:sz w:val="24"/>
                <w:szCs w:val="24"/>
              </w:rPr>
            </w:pPr>
            <w:r w:rsidRPr="000A7EE3">
              <w:rPr>
                <w:rFonts w:ascii="仿宋_GB2312" w:hAnsi="仿宋_GB2312" w:cs="仿宋_GB2312" w:hint="eastAsia"/>
                <w:sz w:val="24"/>
                <w:szCs w:val="24"/>
              </w:rPr>
              <w:t>5.使用现代工具</w:t>
            </w:r>
          </w:p>
        </w:tc>
        <w:tc>
          <w:tcPr>
            <w:tcW w:w="5811"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5.3 能够开发、选用恰当的现代工具，对建筑环境与能源应用工程专业特定复杂工程问题进行预测和模拟，并能够分析其局限性。</w:t>
            </w:r>
          </w:p>
        </w:tc>
        <w:tc>
          <w:tcPr>
            <w:tcW w:w="1807" w:type="dxa"/>
            <w:shd w:val="clear" w:color="auto" w:fill="auto"/>
          </w:tcPr>
          <w:p w:rsidR="00C20406" w:rsidRPr="000A7EE3" w:rsidRDefault="00C20406" w:rsidP="008C3907">
            <w:pPr>
              <w:spacing w:line="360" w:lineRule="auto"/>
              <w:jc w:val="left"/>
              <w:rPr>
                <w:rFonts w:ascii="仿宋_GB2312" w:hAnsi="仿宋_GB2312" w:cs="仿宋_GB2312"/>
                <w:sz w:val="24"/>
                <w:szCs w:val="24"/>
              </w:rPr>
            </w:pPr>
            <w:r w:rsidRPr="000A7EE3">
              <w:rPr>
                <w:rFonts w:ascii="仿宋_GB2312" w:hAnsi="仿宋_GB2312" w:cs="仿宋_GB2312" w:hint="eastAsia"/>
                <w:sz w:val="24"/>
                <w:szCs w:val="24"/>
              </w:rPr>
              <w:t>课程目标（1）：熟悉</w:t>
            </w:r>
            <w:r w:rsidRPr="000A7EE3">
              <w:rPr>
                <w:rFonts w:ascii="仿宋_GB2312" w:hAnsi="仿宋_GB2312" w:cs="仿宋_GB2312"/>
                <w:sz w:val="24"/>
                <w:szCs w:val="24"/>
              </w:rPr>
              <w:t>各类控制算法和控制调节策略</w:t>
            </w:r>
          </w:p>
        </w:tc>
      </w:tr>
    </w:tbl>
    <w:p w:rsidR="00C20406" w:rsidRDefault="00C20406" w:rsidP="00C20406">
      <w:pPr>
        <w:spacing w:line="360" w:lineRule="auto"/>
        <w:ind w:firstLine="331"/>
        <w:rPr>
          <w:rFonts w:ascii="仿宋_GB2312" w:hAnsi="仿宋_GB2312" w:cs="仿宋_GB2312"/>
          <w:b/>
          <w:color w:val="FF0000"/>
          <w:sz w:val="28"/>
          <w:szCs w:val="28"/>
        </w:rPr>
      </w:pP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重点</w:t>
      </w:r>
      <w:r>
        <w:rPr>
          <w:rFonts w:ascii="仿宋_GB2312" w:hAnsi="仿宋_GB2312" w:cs="仿宋_GB2312"/>
          <w:sz w:val="28"/>
          <w:szCs w:val="28"/>
        </w:rPr>
        <w:t>：</w:t>
      </w:r>
      <w:r>
        <w:rPr>
          <w:rFonts w:ascii="仿宋_GB2312" w:hAnsi="仿宋_GB2312" w:cs="仿宋_GB2312" w:hint="eastAsia"/>
          <w:sz w:val="28"/>
          <w:szCs w:val="28"/>
        </w:rPr>
        <w:t>不同调节（通断控制、比例调节、积分调节、微分调节与PI</w:t>
      </w:r>
      <w:r>
        <w:rPr>
          <w:rFonts w:ascii="仿宋_GB2312" w:hAnsi="仿宋_GB2312" w:cs="仿宋_GB2312"/>
          <w:sz w:val="28"/>
          <w:szCs w:val="28"/>
        </w:rPr>
        <w:t>D</w:t>
      </w:r>
      <w:r>
        <w:rPr>
          <w:rFonts w:ascii="仿宋_GB2312" w:hAnsi="仿宋_GB2312" w:cs="仿宋_GB2312" w:hint="eastAsia"/>
          <w:sz w:val="28"/>
          <w:szCs w:val="28"/>
        </w:rPr>
        <w:t xml:space="preserve"> 调节）方法的特点、暖通空调系统控制、冷热源及水系统控制、建筑自动化系统。</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难点</w:t>
      </w:r>
      <w:r>
        <w:rPr>
          <w:rFonts w:ascii="仿宋_GB2312" w:hAnsi="仿宋_GB2312" w:cs="仿宋_GB2312"/>
          <w:sz w:val="28"/>
          <w:szCs w:val="28"/>
        </w:rPr>
        <w:t>：</w:t>
      </w:r>
      <w:r>
        <w:rPr>
          <w:rFonts w:ascii="仿宋_GB2312" w:hAnsi="仿宋_GB2312" w:cs="仿宋_GB2312" w:hint="eastAsia"/>
          <w:sz w:val="28"/>
          <w:szCs w:val="28"/>
        </w:rPr>
        <w:t>控制</w:t>
      </w:r>
      <w:r>
        <w:rPr>
          <w:rFonts w:ascii="仿宋_GB2312" w:hAnsi="仿宋_GB2312" w:cs="仿宋_GB2312"/>
          <w:sz w:val="28"/>
          <w:szCs w:val="28"/>
        </w:rPr>
        <w:t>算法和控制调节策略、</w:t>
      </w:r>
      <w:r>
        <w:rPr>
          <w:rFonts w:ascii="仿宋_GB2312" w:hAnsi="仿宋_GB2312" w:cs="仿宋_GB2312" w:hint="eastAsia"/>
          <w:sz w:val="28"/>
          <w:szCs w:val="28"/>
        </w:rPr>
        <w:t>建筑</w:t>
      </w:r>
      <w:r>
        <w:rPr>
          <w:rFonts w:ascii="仿宋_GB2312" w:hAnsi="仿宋_GB2312" w:cs="仿宋_GB2312"/>
          <w:sz w:val="28"/>
          <w:szCs w:val="28"/>
        </w:rPr>
        <w:t>热湿环境控制和冷热源及水系统调控。</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lastRenderedPageBreak/>
        <w:t>4. 课程思政设计</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为了使学生能够更透彻、深入地掌握该课程的核心内容，这就要求该课程并不仅仅是单一的课堂授课。随着现代网络技术的发展，使得信息技术与教育教学深度融合成为可能。人们获得知识的途径更加广阔和便捷，充分利用各类资源，扩大学生课下的在线学习时间，增加课上互动讨论环节，同时增加实践环节，必定起到事半功倍的效果。一方面，学生能够牢固掌握所学知识，由被动“要我学”，变为“我要学”，另一方面，教师也要为了满足学生来自各方面的提问（如互动讨论），需要不断加强自身业务能力，不断充电学习，与时俱进，改变以往一份PPT走天下的局面。</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深入挖掘该课程蕴含的思想价值和精神内涵，利用</w:t>
      </w:r>
      <w:r>
        <w:rPr>
          <w:rFonts w:ascii="仿宋_GB2312" w:hAnsi="仿宋_GB2312" w:cs="仿宋_GB2312"/>
          <w:sz w:val="28"/>
          <w:szCs w:val="28"/>
        </w:rPr>
        <w:t>建筑自动化</w:t>
      </w:r>
      <w:r>
        <w:rPr>
          <w:rFonts w:ascii="仿宋_GB2312" w:hAnsi="仿宋_GB2312" w:cs="仿宋_GB2312" w:hint="eastAsia"/>
          <w:sz w:val="28"/>
          <w:szCs w:val="28"/>
        </w:rPr>
        <w:t>等</w:t>
      </w:r>
      <w:r>
        <w:rPr>
          <w:rFonts w:ascii="仿宋_GB2312" w:hAnsi="仿宋_GB2312" w:cs="仿宋_GB2312"/>
          <w:sz w:val="28"/>
          <w:szCs w:val="28"/>
        </w:rPr>
        <w:t>信息技术技术，</w:t>
      </w:r>
      <w:r>
        <w:rPr>
          <w:rFonts w:ascii="仿宋_GB2312" w:hAnsi="仿宋_GB2312" w:cs="仿宋_GB2312" w:hint="eastAsia"/>
          <w:sz w:val="28"/>
          <w:szCs w:val="28"/>
        </w:rPr>
        <w:t>结合</w:t>
      </w:r>
      <w:r>
        <w:rPr>
          <w:rFonts w:ascii="仿宋_GB2312" w:hAnsi="仿宋_GB2312" w:cs="仿宋_GB2312"/>
          <w:sz w:val="28"/>
          <w:szCs w:val="28"/>
        </w:rPr>
        <w:t>暖通空调相关</w:t>
      </w:r>
      <w:r>
        <w:rPr>
          <w:rFonts w:ascii="仿宋_GB2312" w:hAnsi="仿宋_GB2312" w:cs="仿宋_GB2312" w:hint="eastAsia"/>
          <w:sz w:val="28"/>
          <w:szCs w:val="28"/>
        </w:rPr>
        <w:t>知识</w:t>
      </w:r>
      <w:r>
        <w:rPr>
          <w:rFonts w:ascii="仿宋_GB2312" w:hAnsi="仿宋_GB2312" w:cs="仿宋_GB2312"/>
          <w:sz w:val="28"/>
          <w:szCs w:val="28"/>
        </w:rPr>
        <w:t>，助力实现</w:t>
      </w:r>
      <w:r>
        <w:rPr>
          <w:rFonts w:ascii="仿宋_GB2312" w:hAnsi="仿宋_GB2312" w:cs="仿宋_GB2312" w:hint="eastAsia"/>
          <w:sz w:val="28"/>
          <w:szCs w:val="28"/>
        </w:rPr>
        <w:t>“3060碳达峰</w:t>
      </w:r>
      <w:r>
        <w:rPr>
          <w:rFonts w:ascii="仿宋_GB2312" w:hAnsi="仿宋_GB2312" w:cs="仿宋_GB2312"/>
          <w:sz w:val="28"/>
          <w:szCs w:val="28"/>
        </w:rPr>
        <w:t>碳中和</w:t>
      </w:r>
      <w:r>
        <w:rPr>
          <w:rFonts w:ascii="仿宋_GB2312" w:hAnsi="仿宋_GB2312" w:cs="仿宋_GB2312" w:hint="eastAsia"/>
          <w:sz w:val="28"/>
          <w:szCs w:val="28"/>
        </w:rPr>
        <w:t>”目标；通过仿真</w:t>
      </w:r>
      <w:r>
        <w:rPr>
          <w:rFonts w:ascii="仿宋_GB2312" w:hAnsi="仿宋_GB2312" w:cs="仿宋_GB2312"/>
          <w:sz w:val="28"/>
          <w:szCs w:val="28"/>
        </w:rPr>
        <w:t>软件学习，完成对课程中各章节对象控制过程的仿真，结合实验教学，使学生能够在虚拟现实中切换，</w:t>
      </w:r>
      <w:r>
        <w:rPr>
          <w:rFonts w:ascii="仿宋_GB2312" w:hAnsi="仿宋_GB2312" w:cs="仿宋_GB2312" w:hint="eastAsia"/>
          <w:sz w:val="28"/>
          <w:szCs w:val="28"/>
        </w:rPr>
        <w:t>使</w:t>
      </w:r>
      <w:r>
        <w:rPr>
          <w:rFonts w:ascii="仿宋_GB2312" w:hAnsi="仿宋_GB2312" w:cs="仿宋_GB2312"/>
          <w:sz w:val="28"/>
          <w:szCs w:val="28"/>
        </w:rPr>
        <w:t>学生迸发新的思想火花，产生新的心得体会，更好的理解自动化在暖通空调和建筑中的重要作用，</w:t>
      </w:r>
      <w:r>
        <w:rPr>
          <w:rFonts w:ascii="仿宋_GB2312" w:hAnsi="仿宋_GB2312" w:cs="仿宋_GB2312" w:hint="eastAsia"/>
          <w:sz w:val="28"/>
          <w:szCs w:val="28"/>
        </w:rPr>
        <w:t>使</w:t>
      </w:r>
      <w:r>
        <w:rPr>
          <w:rFonts w:ascii="仿宋_GB2312" w:hAnsi="仿宋_GB2312" w:cs="仿宋_GB2312"/>
          <w:sz w:val="28"/>
          <w:szCs w:val="28"/>
        </w:rPr>
        <w:t>建筑自动化助力实现建筑整体节能深入人心。</w:t>
      </w:r>
      <w:r>
        <w:rPr>
          <w:rFonts w:ascii="仿宋_GB2312" w:hAnsi="仿宋_GB2312" w:cs="仿宋_GB2312" w:hint="eastAsia"/>
          <w:sz w:val="28"/>
          <w:szCs w:val="28"/>
        </w:rPr>
        <w:t>在说课、授课中，既讲解专业知识，又启迪激励学生坚定理想信念、勇担时代使命，把价值观引导潜移默化地融入到课堂知识传授和学生能力培养中，有利于厚植学生爱国情怀、激发学生责任担当。</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362"/>
        <w:gridCol w:w="1154"/>
        <w:gridCol w:w="3366"/>
        <w:gridCol w:w="3188"/>
      </w:tblGrid>
      <w:tr w:rsidR="00C20406" w:rsidTr="008C3907">
        <w:trPr>
          <w:cantSplit/>
          <w:trHeight w:val="661"/>
        </w:trPr>
        <w:tc>
          <w:tcPr>
            <w:tcW w:w="532" w:type="dxa"/>
            <w:vAlign w:val="center"/>
          </w:tcPr>
          <w:p w:rsidR="00C20406" w:rsidRPr="000A7EE3" w:rsidRDefault="00C20406" w:rsidP="008C3907">
            <w:pPr>
              <w:jc w:val="center"/>
              <w:rPr>
                <w:rFonts w:ascii="Times New Roman" w:hAnsi="Times New Roman"/>
                <w:b/>
                <w:kern w:val="0"/>
                <w:sz w:val="24"/>
                <w:szCs w:val="24"/>
              </w:rPr>
            </w:pPr>
            <w:r w:rsidRPr="000A7EE3">
              <w:rPr>
                <w:rFonts w:ascii="Times New Roman" w:hAnsi="Times New Roman" w:hint="eastAsia"/>
                <w:b/>
                <w:kern w:val="0"/>
                <w:sz w:val="24"/>
                <w:szCs w:val="24"/>
              </w:rPr>
              <w:t>序号</w:t>
            </w:r>
          </w:p>
        </w:tc>
        <w:tc>
          <w:tcPr>
            <w:tcW w:w="1362" w:type="dxa"/>
            <w:vAlign w:val="center"/>
          </w:tcPr>
          <w:p w:rsidR="00C20406" w:rsidRPr="000A7EE3" w:rsidRDefault="00C20406" w:rsidP="008C3907">
            <w:pPr>
              <w:jc w:val="center"/>
              <w:rPr>
                <w:rFonts w:ascii="Times New Roman" w:hAnsi="Times New Roman"/>
                <w:b/>
                <w:kern w:val="0"/>
                <w:sz w:val="24"/>
                <w:szCs w:val="24"/>
              </w:rPr>
            </w:pPr>
            <w:r w:rsidRPr="000A7EE3">
              <w:rPr>
                <w:rFonts w:ascii="Times New Roman" w:hAnsi="Times New Roman" w:hint="eastAsia"/>
                <w:b/>
                <w:kern w:val="0"/>
                <w:sz w:val="24"/>
                <w:szCs w:val="24"/>
              </w:rPr>
              <w:t>章</w:t>
            </w:r>
            <w:r w:rsidRPr="000A7EE3">
              <w:rPr>
                <w:rFonts w:ascii="Times New Roman" w:hAnsi="Times New Roman" w:hint="eastAsia"/>
                <w:b/>
                <w:kern w:val="0"/>
                <w:sz w:val="24"/>
                <w:szCs w:val="24"/>
              </w:rPr>
              <w:t xml:space="preserve">  </w:t>
            </w:r>
            <w:r w:rsidRPr="000A7EE3">
              <w:rPr>
                <w:rFonts w:ascii="Times New Roman" w:hAnsi="Times New Roman" w:hint="eastAsia"/>
                <w:b/>
                <w:kern w:val="0"/>
                <w:sz w:val="24"/>
                <w:szCs w:val="24"/>
              </w:rPr>
              <w:t>节</w:t>
            </w:r>
          </w:p>
        </w:tc>
        <w:tc>
          <w:tcPr>
            <w:tcW w:w="1154" w:type="dxa"/>
            <w:vAlign w:val="center"/>
          </w:tcPr>
          <w:p w:rsidR="00C20406" w:rsidRPr="000A7EE3" w:rsidRDefault="00C20406" w:rsidP="008C3907">
            <w:pPr>
              <w:jc w:val="center"/>
              <w:rPr>
                <w:rFonts w:ascii="Times New Roman" w:hAnsi="Times New Roman"/>
                <w:b/>
                <w:kern w:val="0"/>
                <w:sz w:val="24"/>
                <w:szCs w:val="24"/>
              </w:rPr>
            </w:pPr>
            <w:r w:rsidRPr="000A7EE3">
              <w:rPr>
                <w:rFonts w:ascii="Times New Roman" w:hAnsi="Times New Roman" w:hint="eastAsia"/>
                <w:b/>
                <w:kern w:val="0"/>
                <w:sz w:val="24"/>
                <w:szCs w:val="24"/>
              </w:rPr>
              <w:t>参考学时</w:t>
            </w:r>
          </w:p>
        </w:tc>
        <w:tc>
          <w:tcPr>
            <w:tcW w:w="3366" w:type="dxa"/>
            <w:vAlign w:val="center"/>
          </w:tcPr>
          <w:p w:rsidR="00C20406" w:rsidRPr="000A7EE3" w:rsidRDefault="00C20406" w:rsidP="008C3907">
            <w:pPr>
              <w:ind w:firstLineChars="600" w:firstLine="1446"/>
              <w:rPr>
                <w:rFonts w:ascii="Times New Roman" w:hAnsi="Times New Roman"/>
                <w:b/>
                <w:kern w:val="0"/>
                <w:sz w:val="24"/>
                <w:szCs w:val="24"/>
              </w:rPr>
            </w:pPr>
            <w:r w:rsidRPr="000A7EE3">
              <w:rPr>
                <w:rFonts w:ascii="Times New Roman" w:hAnsi="Times New Roman" w:hint="eastAsia"/>
                <w:b/>
                <w:kern w:val="0"/>
                <w:sz w:val="24"/>
                <w:szCs w:val="24"/>
              </w:rPr>
              <w:t>教学内容</w:t>
            </w:r>
          </w:p>
        </w:tc>
        <w:tc>
          <w:tcPr>
            <w:tcW w:w="3188" w:type="dxa"/>
            <w:vAlign w:val="center"/>
          </w:tcPr>
          <w:p w:rsidR="00C20406" w:rsidRPr="000A7EE3" w:rsidRDefault="00C20406" w:rsidP="008C3907">
            <w:pPr>
              <w:jc w:val="center"/>
              <w:rPr>
                <w:rFonts w:ascii="Times New Roman" w:hAnsi="Times New Roman"/>
                <w:b/>
                <w:kern w:val="0"/>
                <w:sz w:val="24"/>
                <w:szCs w:val="24"/>
              </w:rPr>
            </w:pPr>
            <w:r w:rsidRPr="000A7EE3">
              <w:rPr>
                <w:rFonts w:ascii="Times New Roman" w:hAnsi="Times New Roman" w:hint="eastAsia"/>
                <w:b/>
                <w:kern w:val="0"/>
                <w:sz w:val="24"/>
                <w:szCs w:val="24"/>
              </w:rPr>
              <w:t>基本要求</w:t>
            </w:r>
          </w:p>
        </w:tc>
      </w:tr>
      <w:tr w:rsidR="00C20406" w:rsidTr="008C3907">
        <w:trPr>
          <w:trHeight w:val="3725"/>
        </w:trPr>
        <w:tc>
          <w:tcPr>
            <w:tcW w:w="53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lastRenderedPageBreak/>
              <w:t>1</w:t>
            </w:r>
          </w:p>
        </w:tc>
        <w:tc>
          <w:tcPr>
            <w:tcW w:w="136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第一章</w:t>
            </w:r>
          </w:p>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概论</w:t>
            </w:r>
          </w:p>
        </w:tc>
        <w:tc>
          <w:tcPr>
            <w:tcW w:w="1154"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2</w:t>
            </w:r>
          </w:p>
        </w:tc>
        <w:tc>
          <w:tcPr>
            <w:tcW w:w="3366"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阐述建筑自动化的定义、内容、目的、历史、现状和展望，并介绍了本课的学习方法和要求。</w:t>
            </w:r>
          </w:p>
        </w:tc>
        <w:tc>
          <w:tcPr>
            <w:tcW w:w="3188"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对建筑自动化有一个感性的初步认识</w:t>
            </w:r>
          </w:p>
        </w:tc>
      </w:tr>
      <w:tr w:rsidR="00C20406" w:rsidTr="008C3907">
        <w:trPr>
          <w:trHeight w:val="2203"/>
        </w:trPr>
        <w:tc>
          <w:tcPr>
            <w:tcW w:w="532" w:type="dxa"/>
            <w:vAlign w:val="center"/>
          </w:tcPr>
          <w:p w:rsidR="00C20406" w:rsidRPr="000A7EE3" w:rsidRDefault="00C20406" w:rsidP="008C3907">
            <w:pPr>
              <w:jc w:val="center"/>
              <w:rPr>
                <w:rFonts w:ascii="Times New Roman" w:hAnsi="Times New Roman"/>
                <w:kern w:val="0"/>
                <w:sz w:val="24"/>
                <w:szCs w:val="24"/>
              </w:rPr>
            </w:pPr>
          </w:p>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2</w:t>
            </w:r>
          </w:p>
        </w:tc>
        <w:tc>
          <w:tcPr>
            <w:tcW w:w="136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第二章</w:t>
            </w:r>
          </w:p>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恒温水箱的通断控制</w:t>
            </w:r>
          </w:p>
        </w:tc>
        <w:tc>
          <w:tcPr>
            <w:tcW w:w="1154"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4</w:t>
            </w:r>
          </w:p>
        </w:tc>
        <w:tc>
          <w:tcPr>
            <w:tcW w:w="3366"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1</w:t>
            </w:r>
            <w:r w:rsidRPr="000A7EE3">
              <w:rPr>
                <w:rFonts w:ascii="Times New Roman" w:hAnsi="Times New Roman" w:hint="eastAsia"/>
                <w:kern w:val="0"/>
                <w:sz w:val="24"/>
                <w:szCs w:val="24"/>
              </w:rPr>
              <w:t>）恒温水箱的通断控制器的构成；</w:t>
            </w:r>
          </w:p>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2</w:t>
            </w:r>
            <w:r w:rsidRPr="000A7EE3">
              <w:rPr>
                <w:rFonts w:ascii="Times New Roman" w:hAnsi="Times New Roman" w:hint="eastAsia"/>
                <w:kern w:val="0"/>
                <w:sz w:val="24"/>
                <w:szCs w:val="24"/>
              </w:rPr>
              <w:t>）通断控制下恒温水箱的调节特性；</w:t>
            </w:r>
          </w:p>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3</w:t>
            </w:r>
            <w:r w:rsidRPr="000A7EE3">
              <w:rPr>
                <w:rFonts w:ascii="Times New Roman" w:hAnsi="Times New Roman" w:hint="eastAsia"/>
                <w:kern w:val="0"/>
                <w:sz w:val="24"/>
                <w:szCs w:val="24"/>
              </w:rPr>
              <w:t>）恒温水箱的实际控制过程：</w:t>
            </w:r>
            <w:r w:rsidRPr="000A7EE3">
              <w:rPr>
                <w:rFonts w:ascii="Times New Roman" w:hAnsi="Times New Roman" w:hint="eastAsia"/>
                <w:kern w:val="0"/>
                <w:sz w:val="24"/>
                <w:szCs w:val="24"/>
              </w:rPr>
              <w:t>a)</w:t>
            </w:r>
            <w:r w:rsidRPr="000A7EE3">
              <w:rPr>
                <w:rFonts w:ascii="Times New Roman" w:hAnsi="Times New Roman" w:hint="eastAsia"/>
                <w:kern w:val="0"/>
                <w:sz w:val="24"/>
                <w:szCs w:val="24"/>
              </w:rPr>
              <w:t>温度传感器惯性的影响；</w:t>
            </w:r>
            <w:r w:rsidRPr="000A7EE3">
              <w:rPr>
                <w:rFonts w:ascii="Times New Roman" w:hAnsi="Times New Roman" w:hint="eastAsia"/>
                <w:kern w:val="0"/>
                <w:sz w:val="24"/>
                <w:szCs w:val="24"/>
              </w:rPr>
              <w:t>b)</w:t>
            </w:r>
            <w:r w:rsidRPr="000A7EE3">
              <w:rPr>
                <w:rFonts w:ascii="Times New Roman" w:hAnsi="Times New Roman" w:hint="eastAsia"/>
                <w:kern w:val="0"/>
                <w:sz w:val="24"/>
                <w:szCs w:val="24"/>
              </w:rPr>
              <w:t>执行器的惯性的影响；</w:t>
            </w:r>
            <w:r w:rsidRPr="000A7EE3">
              <w:rPr>
                <w:rFonts w:ascii="Times New Roman" w:hAnsi="Times New Roman" w:hint="eastAsia"/>
                <w:kern w:val="0"/>
                <w:sz w:val="24"/>
                <w:szCs w:val="24"/>
              </w:rPr>
              <w:t>c)</w:t>
            </w:r>
            <w:r w:rsidRPr="000A7EE3">
              <w:rPr>
                <w:rFonts w:ascii="Times New Roman" w:hAnsi="Times New Roman" w:hint="eastAsia"/>
                <w:kern w:val="0"/>
                <w:sz w:val="24"/>
                <w:szCs w:val="24"/>
              </w:rPr>
              <w:t>水箱温度的不均匀性</w:t>
            </w:r>
          </w:p>
        </w:tc>
        <w:tc>
          <w:tcPr>
            <w:tcW w:w="3188"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从相对简单的设备控制案例入手，使学生了解自动控制系统的基本结构和基本问题，产生简单的感性认识，打消自动控制的神秘感。</w:t>
            </w:r>
          </w:p>
        </w:tc>
      </w:tr>
      <w:tr w:rsidR="00C20406" w:rsidTr="008C3907">
        <w:trPr>
          <w:trHeight w:val="2324"/>
        </w:trPr>
        <w:tc>
          <w:tcPr>
            <w:tcW w:w="53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3</w:t>
            </w:r>
          </w:p>
        </w:tc>
        <w:tc>
          <w:tcPr>
            <w:tcW w:w="136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第三章</w:t>
            </w:r>
          </w:p>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恒温恒湿空调机的控制器</w:t>
            </w:r>
          </w:p>
        </w:tc>
        <w:tc>
          <w:tcPr>
            <w:tcW w:w="1154"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6</w:t>
            </w:r>
          </w:p>
        </w:tc>
        <w:tc>
          <w:tcPr>
            <w:tcW w:w="3366"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1</w:t>
            </w:r>
            <w:r w:rsidRPr="000A7EE3">
              <w:rPr>
                <w:rFonts w:ascii="Times New Roman" w:hAnsi="Times New Roman" w:hint="eastAsia"/>
                <w:kern w:val="0"/>
                <w:sz w:val="24"/>
                <w:szCs w:val="24"/>
              </w:rPr>
              <w:t>）恒温恒湿空调机及其控制管理需求</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2</w:t>
            </w:r>
            <w:r w:rsidRPr="000A7EE3">
              <w:rPr>
                <w:rFonts w:ascii="Times New Roman" w:hAnsi="Times New Roman" w:hint="eastAsia"/>
                <w:kern w:val="0"/>
                <w:sz w:val="24"/>
                <w:szCs w:val="24"/>
              </w:rPr>
              <w:t>）基于计算机的控制器</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3</w:t>
            </w:r>
            <w:r w:rsidRPr="000A7EE3">
              <w:rPr>
                <w:rFonts w:ascii="Times New Roman" w:hAnsi="Times New Roman" w:hint="eastAsia"/>
                <w:kern w:val="0"/>
                <w:sz w:val="24"/>
                <w:szCs w:val="24"/>
              </w:rPr>
              <w:t>）执行器的选择及其接口电路：</w:t>
            </w:r>
            <w:r w:rsidRPr="000A7EE3">
              <w:rPr>
                <w:rFonts w:ascii="Times New Roman" w:hAnsi="Times New Roman" w:hint="eastAsia"/>
                <w:kern w:val="0"/>
                <w:sz w:val="24"/>
                <w:szCs w:val="24"/>
              </w:rPr>
              <w:t>a</w:t>
            </w:r>
            <w:r w:rsidRPr="000A7EE3">
              <w:rPr>
                <w:rFonts w:ascii="Times New Roman" w:hAnsi="Times New Roman" w:hint="eastAsia"/>
                <w:kern w:val="0"/>
                <w:sz w:val="24"/>
                <w:szCs w:val="24"/>
              </w:rPr>
              <w:t>）电加热器、加湿器的控制；</w:t>
            </w:r>
            <w:r w:rsidRPr="000A7EE3">
              <w:rPr>
                <w:rFonts w:ascii="Times New Roman" w:hAnsi="Times New Roman" w:hint="eastAsia"/>
                <w:kern w:val="0"/>
                <w:sz w:val="24"/>
                <w:szCs w:val="24"/>
              </w:rPr>
              <w:t>b</w:t>
            </w:r>
            <w:r w:rsidRPr="000A7EE3">
              <w:rPr>
                <w:rFonts w:ascii="Times New Roman" w:hAnsi="Times New Roman" w:hint="eastAsia"/>
                <w:kern w:val="0"/>
                <w:sz w:val="24"/>
                <w:szCs w:val="24"/>
              </w:rPr>
              <w:t>）风机、制冷压缩机的电机控制；</w:t>
            </w:r>
            <w:r w:rsidRPr="000A7EE3">
              <w:rPr>
                <w:rFonts w:ascii="Times New Roman" w:hAnsi="Times New Roman" w:hint="eastAsia"/>
                <w:kern w:val="0"/>
                <w:sz w:val="24"/>
                <w:szCs w:val="24"/>
              </w:rPr>
              <w:t>c</w:t>
            </w:r>
            <w:r w:rsidRPr="000A7EE3">
              <w:rPr>
                <w:rFonts w:ascii="Times New Roman" w:hAnsi="Times New Roman" w:hint="eastAsia"/>
                <w:kern w:val="0"/>
                <w:sz w:val="24"/>
                <w:szCs w:val="24"/>
              </w:rPr>
              <w:t>）电动水阀及其控制；</w:t>
            </w:r>
            <w:r w:rsidRPr="000A7EE3">
              <w:rPr>
                <w:rFonts w:ascii="Times New Roman" w:hAnsi="Times New Roman" w:hint="eastAsia"/>
                <w:kern w:val="0"/>
                <w:sz w:val="24"/>
                <w:szCs w:val="24"/>
              </w:rPr>
              <w:t>d</w:t>
            </w:r>
            <w:r w:rsidRPr="000A7EE3">
              <w:rPr>
                <w:rFonts w:ascii="Times New Roman" w:hAnsi="Times New Roman" w:hint="eastAsia"/>
                <w:kern w:val="0"/>
                <w:sz w:val="24"/>
                <w:szCs w:val="24"/>
              </w:rPr>
              <w:t>）其它电动执行机构及其控制。</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4)</w:t>
            </w:r>
            <w:r w:rsidRPr="000A7EE3">
              <w:rPr>
                <w:rFonts w:ascii="Times New Roman" w:hAnsi="Times New Roman" w:hint="eastAsia"/>
                <w:kern w:val="0"/>
                <w:sz w:val="24"/>
                <w:szCs w:val="24"/>
              </w:rPr>
              <w:t>传感器的选择及其接口电路：</w:t>
            </w:r>
            <w:r w:rsidRPr="000A7EE3">
              <w:rPr>
                <w:rFonts w:ascii="Times New Roman" w:hAnsi="Times New Roman" w:hint="eastAsia"/>
                <w:kern w:val="0"/>
                <w:sz w:val="24"/>
                <w:szCs w:val="24"/>
              </w:rPr>
              <w:t>a</w:t>
            </w:r>
            <w:r w:rsidRPr="000A7EE3">
              <w:rPr>
                <w:rFonts w:ascii="Times New Roman" w:hAnsi="Times New Roman" w:hint="eastAsia"/>
                <w:kern w:val="0"/>
                <w:sz w:val="24"/>
                <w:szCs w:val="24"/>
              </w:rPr>
              <w:t>）温湿度等物理参数的准确测量；</w:t>
            </w:r>
            <w:r w:rsidRPr="000A7EE3">
              <w:rPr>
                <w:rFonts w:ascii="Times New Roman" w:hAnsi="Times New Roman" w:hint="eastAsia"/>
                <w:kern w:val="0"/>
                <w:sz w:val="24"/>
                <w:szCs w:val="24"/>
              </w:rPr>
              <w:t>b</w:t>
            </w:r>
            <w:r w:rsidRPr="000A7EE3">
              <w:rPr>
                <w:rFonts w:ascii="Times New Roman" w:hAnsi="Times New Roman" w:hint="eastAsia"/>
                <w:kern w:val="0"/>
                <w:sz w:val="24"/>
                <w:szCs w:val="24"/>
              </w:rPr>
              <w:t>）开关型输出的传感器。</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5</w:t>
            </w:r>
            <w:r w:rsidRPr="000A7EE3">
              <w:rPr>
                <w:rFonts w:ascii="Times New Roman" w:hAnsi="Times New Roman" w:hint="eastAsia"/>
                <w:kern w:val="0"/>
                <w:sz w:val="24"/>
                <w:szCs w:val="24"/>
              </w:rPr>
              <w:t>）控制器外电路</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6</w:t>
            </w:r>
            <w:r w:rsidRPr="000A7EE3">
              <w:rPr>
                <w:rFonts w:ascii="Times New Roman" w:hAnsi="Times New Roman" w:hint="eastAsia"/>
                <w:kern w:val="0"/>
                <w:sz w:val="24"/>
                <w:szCs w:val="24"/>
              </w:rPr>
              <w:t>）控制，保护和调节逻辑</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7</w:t>
            </w:r>
            <w:r w:rsidRPr="000A7EE3">
              <w:rPr>
                <w:rFonts w:ascii="Times New Roman" w:hAnsi="Times New Roman" w:hint="eastAsia"/>
                <w:kern w:val="0"/>
                <w:sz w:val="24"/>
                <w:szCs w:val="24"/>
              </w:rPr>
              <w:t>）控制调节过程：</w:t>
            </w:r>
            <w:r w:rsidRPr="000A7EE3">
              <w:rPr>
                <w:rFonts w:ascii="Times New Roman" w:hAnsi="Times New Roman" w:hint="eastAsia"/>
                <w:kern w:val="0"/>
                <w:sz w:val="24"/>
                <w:szCs w:val="24"/>
              </w:rPr>
              <w:t>a</w:t>
            </w:r>
            <w:r w:rsidRPr="000A7EE3">
              <w:rPr>
                <w:rFonts w:ascii="Times New Roman" w:hAnsi="Times New Roman" w:hint="eastAsia"/>
                <w:kern w:val="0"/>
                <w:sz w:val="24"/>
                <w:szCs w:val="24"/>
              </w:rPr>
              <w:t>）初始调节和室内状态的建立；</w:t>
            </w:r>
            <w:r w:rsidRPr="000A7EE3">
              <w:rPr>
                <w:rFonts w:ascii="Times New Roman" w:hAnsi="Times New Roman" w:hint="eastAsia"/>
                <w:kern w:val="0"/>
                <w:sz w:val="24"/>
                <w:szCs w:val="24"/>
              </w:rPr>
              <w:t>b</w:t>
            </w:r>
            <w:r w:rsidRPr="000A7EE3">
              <w:rPr>
                <w:rFonts w:ascii="Times New Roman" w:hAnsi="Times New Roman" w:hint="eastAsia"/>
                <w:kern w:val="0"/>
                <w:sz w:val="24"/>
                <w:szCs w:val="24"/>
              </w:rPr>
              <w:t>）温湿度状态的维持和恒温恒湿的实现。</w:t>
            </w:r>
          </w:p>
        </w:tc>
        <w:tc>
          <w:tcPr>
            <w:tcW w:w="3188"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研究如何用简单的通断控制方法实现房间温度或湿度的高精度控制，通过此环节的授课和模拟实验，使同学们认识到自控对象之间存在相互耦合的问题，增进对自动控制的感性认识。</w:t>
            </w:r>
          </w:p>
        </w:tc>
      </w:tr>
      <w:tr w:rsidR="00C20406" w:rsidTr="008C3907">
        <w:trPr>
          <w:trHeight w:val="1380"/>
        </w:trPr>
        <w:tc>
          <w:tcPr>
            <w:tcW w:w="53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4</w:t>
            </w:r>
          </w:p>
        </w:tc>
        <w:tc>
          <w:tcPr>
            <w:tcW w:w="136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第四章</w:t>
            </w:r>
          </w:p>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散热器实验台的控制系统</w:t>
            </w:r>
          </w:p>
        </w:tc>
        <w:tc>
          <w:tcPr>
            <w:tcW w:w="1154"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kern w:val="0"/>
                <w:sz w:val="24"/>
                <w:szCs w:val="24"/>
              </w:rPr>
              <w:t>6</w:t>
            </w:r>
          </w:p>
        </w:tc>
        <w:tc>
          <w:tcPr>
            <w:tcW w:w="3366"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1</w:t>
            </w:r>
            <w:r w:rsidRPr="000A7EE3">
              <w:rPr>
                <w:rFonts w:ascii="Times New Roman" w:hAnsi="Times New Roman" w:hint="eastAsia"/>
                <w:kern w:val="0"/>
                <w:sz w:val="24"/>
                <w:szCs w:val="24"/>
              </w:rPr>
              <w:t>）采暖散热器性能实验台</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2</w:t>
            </w:r>
            <w:r w:rsidRPr="000A7EE3">
              <w:rPr>
                <w:rFonts w:ascii="Times New Roman" w:hAnsi="Times New Roman" w:hint="eastAsia"/>
                <w:kern w:val="0"/>
                <w:sz w:val="24"/>
                <w:szCs w:val="24"/>
              </w:rPr>
              <w:t>）比例调节器的调节特性</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3</w:t>
            </w:r>
            <w:r w:rsidRPr="000A7EE3">
              <w:rPr>
                <w:rFonts w:ascii="Times New Roman" w:hAnsi="Times New Roman" w:hint="eastAsia"/>
                <w:kern w:val="0"/>
                <w:sz w:val="24"/>
                <w:szCs w:val="24"/>
              </w:rPr>
              <w:t>）</w:t>
            </w:r>
            <w:r w:rsidRPr="000A7EE3">
              <w:rPr>
                <w:rFonts w:ascii="Times New Roman" w:hAnsi="Times New Roman" w:hint="eastAsia"/>
                <w:kern w:val="0"/>
                <w:sz w:val="24"/>
                <w:szCs w:val="24"/>
              </w:rPr>
              <w:t>PID</w:t>
            </w:r>
            <w:r w:rsidRPr="000A7EE3">
              <w:rPr>
                <w:rFonts w:ascii="Times New Roman" w:hAnsi="Times New Roman" w:hint="eastAsia"/>
                <w:kern w:val="0"/>
                <w:sz w:val="24"/>
                <w:szCs w:val="24"/>
              </w:rPr>
              <w:t>调节器</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4</w:t>
            </w:r>
            <w:r w:rsidRPr="000A7EE3">
              <w:rPr>
                <w:rFonts w:ascii="Times New Roman" w:hAnsi="Times New Roman" w:hint="eastAsia"/>
                <w:kern w:val="0"/>
                <w:sz w:val="24"/>
                <w:szCs w:val="24"/>
              </w:rPr>
              <w:t>）</w:t>
            </w:r>
            <w:r w:rsidRPr="000A7EE3">
              <w:rPr>
                <w:rFonts w:ascii="Times New Roman" w:hAnsi="Times New Roman" w:hint="eastAsia"/>
                <w:kern w:val="0"/>
                <w:sz w:val="24"/>
                <w:szCs w:val="24"/>
              </w:rPr>
              <w:t>PID</w:t>
            </w:r>
            <w:r w:rsidRPr="000A7EE3">
              <w:rPr>
                <w:rFonts w:ascii="Times New Roman" w:hAnsi="Times New Roman" w:hint="eastAsia"/>
                <w:kern w:val="0"/>
                <w:sz w:val="24"/>
                <w:szCs w:val="24"/>
              </w:rPr>
              <w:t>调节的实现和实际中的问题</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lastRenderedPageBreak/>
              <w:t>5</w:t>
            </w:r>
            <w:r w:rsidRPr="000A7EE3">
              <w:rPr>
                <w:rFonts w:ascii="Times New Roman" w:hAnsi="Times New Roman" w:hint="eastAsia"/>
                <w:kern w:val="0"/>
                <w:sz w:val="24"/>
                <w:szCs w:val="24"/>
              </w:rPr>
              <w:t>）其它的单回路闭环控制调节方法</w:t>
            </w:r>
          </w:p>
        </w:tc>
        <w:tc>
          <w:tcPr>
            <w:tcW w:w="3188"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lastRenderedPageBreak/>
              <w:t>结合实际工程问题，介绍调节原理的初步知识，使学生掌握一些常见的调节控制算法。学生将在仿真实验中尝试应用各种控制算法来实现</w:t>
            </w:r>
            <w:r w:rsidRPr="000A7EE3">
              <w:rPr>
                <w:rFonts w:ascii="Times New Roman" w:hAnsi="Times New Roman" w:hint="eastAsia"/>
                <w:kern w:val="0"/>
                <w:sz w:val="24"/>
                <w:szCs w:val="24"/>
              </w:rPr>
              <w:lastRenderedPageBreak/>
              <w:t>控制目标，体会调节过程各种影响因素的作用，掌握单回路控制的方法。</w:t>
            </w:r>
          </w:p>
        </w:tc>
      </w:tr>
      <w:tr w:rsidR="00C20406" w:rsidTr="008C3907">
        <w:trPr>
          <w:trHeight w:val="1269"/>
        </w:trPr>
        <w:tc>
          <w:tcPr>
            <w:tcW w:w="53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lastRenderedPageBreak/>
              <w:t>5</w:t>
            </w:r>
          </w:p>
        </w:tc>
        <w:tc>
          <w:tcPr>
            <w:tcW w:w="136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第五章</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空调系统的控制调节</w:t>
            </w:r>
          </w:p>
        </w:tc>
        <w:tc>
          <w:tcPr>
            <w:tcW w:w="1154"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8</w:t>
            </w:r>
          </w:p>
        </w:tc>
        <w:tc>
          <w:tcPr>
            <w:tcW w:w="3366"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1</w:t>
            </w:r>
            <w:r w:rsidRPr="000A7EE3">
              <w:rPr>
                <w:rFonts w:ascii="Times New Roman" w:hAnsi="Times New Roman" w:hint="eastAsia"/>
                <w:kern w:val="0"/>
                <w:sz w:val="24"/>
                <w:szCs w:val="24"/>
              </w:rPr>
              <w:t>）单房间全空气系统的温湿度控制：</w:t>
            </w:r>
            <w:r w:rsidRPr="000A7EE3">
              <w:rPr>
                <w:rFonts w:ascii="Times New Roman" w:hAnsi="Times New Roman" w:hint="eastAsia"/>
                <w:kern w:val="0"/>
                <w:sz w:val="24"/>
                <w:szCs w:val="24"/>
              </w:rPr>
              <w:t>a</w:t>
            </w:r>
            <w:r w:rsidRPr="000A7EE3">
              <w:rPr>
                <w:rFonts w:ascii="Times New Roman" w:hAnsi="Times New Roman" w:hint="eastAsia"/>
                <w:kern w:val="0"/>
                <w:sz w:val="24"/>
                <w:szCs w:val="24"/>
              </w:rPr>
              <w:t>）单房间的室温调节；</w:t>
            </w:r>
            <w:r w:rsidRPr="000A7EE3">
              <w:rPr>
                <w:rFonts w:ascii="Times New Roman" w:hAnsi="Times New Roman" w:hint="eastAsia"/>
                <w:kern w:val="0"/>
                <w:sz w:val="24"/>
                <w:szCs w:val="24"/>
              </w:rPr>
              <w:t>b</w:t>
            </w:r>
            <w:r w:rsidRPr="000A7EE3">
              <w:rPr>
                <w:rFonts w:ascii="Times New Roman" w:hAnsi="Times New Roman" w:hint="eastAsia"/>
                <w:kern w:val="0"/>
                <w:sz w:val="24"/>
                <w:szCs w:val="24"/>
              </w:rPr>
              <w:t>）房间的湿度调节；</w:t>
            </w:r>
            <w:r w:rsidRPr="000A7EE3">
              <w:rPr>
                <w:rFonts w:ascii="Times New Roman" w:hAnsi="Times New Roman" w:hint="eastAsia"/>
                <w:kern w:val="0"/>
                <w:sz w:val="24"/>
                <w:szCs w:val="24"/>
              </w:rPr>
              <w:t>c</w:t>
            </w:r>
            <w:r w:rsidRPr="000A7EE3">
              <w:rPr>
                <w:rFonts w:ascii="Times New Roman" w:hAnsi="Times New Roman" w:hint="eastAsia"/>
                <w:kern w:val="0"/>
                <w:sz w:val="24"/>
                <w:szCs w:val="24"/>
              </w:rPr>
              <w:t>）变风量时的调节过程</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2</w:t>
            </w:r>
            <w:r w:rsidRPr="000A7EE3">
              <w:rPr>
                <w:rFonts w:ascii="Times New Roman" w:hAnsi="Times New Roman" w:hint="eastAsia"/>
                <w:kern w:val="0"/>
                <w:sz w:val="24"/>
                <w:szCs w:val="24"/>
              </w:rPr>
              <w:t>）多房间的全空气控制</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3</w:t>
            </w:r>
            <w:r w:rsidRPr="000A7EE3">
              <w:rPr>
                <w:rFonts w:ascii="Times New Roman" w:hAnsi="Times New Roman" w:hint="eastAsia"/>
                <w:kern w:val="0"/>
                <w:sz w:val="24"/>
                <w:szCs w:val="24"/>
              </w:rPr>
              <w:t>）空气处理过程的控制：</w:t>
            </w:r>
            <w:r w:rsidRPr="000A7EE3">
              <w:rPr>
                <w:rFonts w:ascii="Times New Roman" w:hAnsi="Times New Roman" w:hint="eastAsia"/>
                <w:kern w:val="0"/>
                <w:sz w:val="24"/>
                <w:szCs w:val="24"/>
              </w:rPr>
              <w:t>a</w:t>
            </w:r>
            <w:r w:rsidRPr="000A7EE3">
              <w:rPr>
                <w:rFonts w:ascii="Times New Roman" w:hAnsi="Times New Roman" w:hint="eastAsia"/>
                <w:kern w:val="0"/>
                <w:sz w:val="24"/>
                <w:szCs w:val="24"/>
              </w:rPr>
              <w:t>）空气处理装置的调节策略；</w:t>
            </w:r>
            <w:r w:rsidRPr="000A7EE3">
              <w:rPr>
                <w:rFonts w:ascii="Times New Roman" w:hAnsi="Times New Roman" w:hint="eastAsia"/>
                <w:kern w:val="0"/>
                <w:sz w:val="24"/>
                <w:szCs w:val="24"/>
              </w:rPr>
              <w:t>b</w:t>
            </w:r>
            <w:r w:rsidRPr="000A7EE3">
              <w:rPr>
                <w:rFonts w:ascii="Times New Roman" w:hAnsi="Times New Roman" w:hint="eastAsia"/>
                <w:kern w:val="0"/>
                <w:sz w:val="24"/>
                <w:szCs w:val="24"/>
              </w:rPr>
              <w:t>）各空气处理段闭环调节的实现；</w:t>
            </w:r>
            <w:r w:rsidRPr="000A7EE3">
              <w:rPr>
                <w:rFonts w:ascii="Times New Roman" w:hAnsi="Times New Roman" w:hint="eastAsia"/>
                <w:kern w:val="0"/>
                <w:sz w:val="24"/>
                <w:szCs w:val="24"/>
              </w:rPr>
              <w:t>c</w:t>
            </w:r>
            <w:r w:rsidRPr="000A7EE3">
              <w:rPr>
                <w:rFonts w:ascii="Times New Roman" w:hAnsi="Times New Roman" w:hint="eastAsia"/>
                <w:kern w:val="0"/>
                <w:sz w:val="24"/>
                <w:szCs w:val="24"/>
              </w:rPr>
              <w:t>）水－空气换热设备的调节特性。</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4</w:t>
            </w:r>
            <w:r w:rsidRPr="000A7EE3">
              <w:rPr>
                <w:rFonts w:ascii="Times New Roman" w:hAnsi="Times New Roman" w:hint="eastAsia"/>
                <w:kern w:val="0"/>
                <w:sz w:val="24"/>
                <w:szCs w:val="24"/>
              </w:rPr>
              <w:t>）变风量系统的变风量箱及其控制</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5</w:t>
            </w:r>
            <w:r w:rsidRPr="000A7EE3">
              <w:rPr>
                <w:rFonts w:ascii="Times New Roman" w:hAnsi="Times New Roman" w:hint="eastAsia"/>
                <w:kern w:val="0"/>
                <w:sz w:val="24"/>
                <w:szCs w:val="24"/>
              </w:rPr>
              <w:t>）变风量系统的控制：</w:t>
            </w:r>
            <w:r w:rsidRPr="000A7EE3">
              <w:rPr>
                <w:rFonts w:ascii="Times New Roman" w:hAnsi="Times New Roman" w:hint="eastAsia"/>
                <w:kern w:val="0"/>
                <w:sz w:val="24"/>
                <w:szCs w:val="24"/>
              </w:rPr>
              <w:t>a</w:t>
            </w:r>
            <w:r w:rsidRPr="000A7EE3">
              <w:rPr>
                <w:rFonts w:ascii="Times New Roman" w:hAnsi="Times New Roman" w:hint="eastAsia"/>
                <w:kern w:val="0"/>
                <w:sz w:val="24"/>
                <w:szCs w:val="24"/>
              </w:rPr>
              <w:t>）送风机转速的确定；</w:t>
            </w:r>
            <w:r w:rsidRPr="000A7EE3">
              <w:rPr>
                <w:rFonts w:ascii="Times New Roman" w:hAnsi="Times New Roman" w:hint="eastAsia"/>
                <w:kern w:val="0"/>
                <w:sz w:val="24"/>
                <w:szCs w:val="24"/>
              </w:rPr>
              <w:t>b</w:t>
            </w:r>
            <w:r w:rsidRPr="000A7EE3">
              <w:rPr>
                <w:rFonts w:ascii="Times New Roman" w:hAnsi="Times New Roman" w:hint="eastAsia"/>
                <w:kern w:val="0"/>
                <w:sz w:val="24"/>
                <w:szCs w:val="24"/>
              </w:rPr>
              <w:t>）回风机转速的控制；</w:t>
            </w:r>
            <w:r w:rsidRPr="000A7EE3">
              <w:rPr>
                <w:rFonts w:ascii="Times New Roman" w:hAnsi="Times New Roman" w:hint="eastAsia"/>
                <w:kern w:val="0"/>
                <w:sz w:val="24"/>
                <w:szCs w:val="24"/>
              </w:rPr>
              <w:t>c</w:t>
            </w:r>
            <w:r w:rsidRPr="000A7EE3">
              <w:rPr>
                <w:rFonts w:ascii="Times New Roman" w:hAnsi="Times New Roman" w:hint="eastAsia"/>
                <w:kern w:val="0"/>
                <w:sz w:val="24"/>
                <w:szCs w:val="24"/>
              </w:rPr>
              <w:t>）送风状态的确定</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6</w:t>
            </w:r>
            <w:r w:rsidRPr="000A7EE3">
              <w:rPr>
                <w:rFonts w:ascii="Times New Roman" w:hAnsi="Times New Roman" w:hint="eastAsia"/>
                <w:kern w:val="0"/>
                <w:sz w:val="24"/>
                <w:szCs w:val="24"/>
              </w:rPr>
              <w:t>）风机盘管加新风系统的控制：</w:t>
            </w:r>
            <w:r w:rsidRPr="000A7EE3">
              <w:rPr>
                <w:rFonts w:ascii="Times New Roman" w:hAnsi="Times New Roman" w:hint="eastAsia"/>
                <w:kern w:val="0"/>
                <w:sz w:val="24"/>
                <w:szCs w:val="24"/>
              </w:rPr>
              <w:t>a</w:t>
            </w:r>
            <w:r w:rsidRPr="000A7EE3">
              <w:rPr>
                <w:rFonts w:ascii="Times New Roman" w:hAnsi="Times New Roman" w:hint="eastAsia"/>
                <w:kern w:val="0"/>
                <w:sz w:val="24"/>
                <w:szCs w:val="24"/>
              </w:rPr>
              <w:t>）风机盘管的控制；</w:t>
            </w:r>
            <w:r w:rsidRPr="000A7EE3">
              <w:rPr>
                <w:rFonts w:ascii="Times New Roman" w:hAnsi="Times New Roman" w:hint="eastAsia"/>
                <w:kern w:val="0"/>
                <w:sz w:val="24"/>
                <w:szCs w:val="24"/>
              </w:rPr>
              <w:t>b</w:t>
            </w:r>
            <w:r w:rsidRPr="000A7EE3">
              <w:rPr>
                <w:rFonts w:ascii="Times New Roman" w:hAnsi="Times New Roman" w:hint="eastAsia"/>
                <w:kern w:val="0"/>
                <w:sz w:val="24"/>
                <w:szCs w:val="24"/>
              </w:rPr>
              <w:t>）新风机组的控制。</w:t>
            </w:r>
          </w:p>
        </w:tc>
        <w:tc>
          <w:tcPr>
            <w:tcW w:w="3188"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应用上一案例介绍的调节原理，解决空调领域的实际控制问题。这一案例在学生已掌握单一参数闭环控制算法的基础上，解决了</w:t>
            </w:r>
            <w:r w:rsidRPr="000A7EE3">
              <w:rPr>
                <w:rFonts w:ascii="Times New Roman" w:hAnsi="Times New Roman" w:hint="eastAsia"/>
                <w:kern w:val="0"/>
                <w:sz w:val="24"/>
                <w:szCs w:val="24"/>
              </w:rPr>
              <w:t>HVAC</w:t>
            </w:r>
            <w:r w:rsidRPr="000A7EE3">
              <w:rPr>
                <w:rFonts w:ascii="Times New Roman" w:hAnsi="Times New Roman" w:hint="eastAsia"/>
                <w:kern w:val="0"/>
                <w:sz w:val="24"/>
                <w:szCs w:val="24"/>
              </w:rPr>
              <w:t>系统的控制策略问题。</w:t>
            </w:r>
          </w:p>
        </w:tc>
      </w:tr>
      <w:tr w:rsidR="00C20406" w:rsidTr="008C3907">
        <w:trPr>
          <w:trHeight w:val="990"/>
        </w:trPr>
        <w:tc>
          <w:tcPr>
            <w:tcW w:w="53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6</w:t>
            </w:r>
          </w:p>
        </w:tc>
        <w:tc>
          <w:tcPr>
            <w:tcW w:w="136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第六章</w:t>
            </w:r>
          </w:p>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冷热源与水系统的控制调节</w:t>
            </w:r>
          </w:p>
        </w:tc>
        <w:tc>
          <w:tcPr>
            <w:tcW w:w="1154"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8</w:t>
            </w:r>
          </w:p>
        </w:tc>
        <w:tc>
          <w:tcPr>
            <w:tcW w:w="3366"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1</w:t>
            </w:r>
            <w:r w:rsidRPr="000A7EE3">
              <w:rPr>
                <w:rFonts w:ascii="Times New Roman" w:hAnsi="Times New Roman" w:hint="eastAsia"/>
                <w:kern w:val="0"/>
                <w:sz w:val="24"/>
                <w:szCs w:val="24"/>
              </w:rPr>
              <w:t>）冷热源系统的基本启停操作与保护</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2</w:t>
            </w:r>
            <w:r w:rsidRPr="000A7EE3">
              <w:rPr>
                <w:rFonts w:ascii="Times New Roman" w:hAnsi="Times New Roman" w:hint="eastAsia"/>
                <w:kern w:val="0"/>
                <w:sz w:val="24"/>
                <w:szCs w:val="24"/>
              </w:rPr>
              <w:t>）制冷机的冷量调节和台数启停控制：</w:t>
            </w:r>
            <w:r w:rsidRPr="000A7EE3">
              <w:rPr>
                <w:rFonts w:ascii="Times New Roman" w:hAnsi="Times New Roman" w:hint="eastAsia"/>
                <w:kern w:val="0"/>
                <w:sz w:val="24"/>
                <w:szCs w:val="24"/>
              </w:rPr>
              <w:t>a</w:t>
            </w:r>
            <w:r w:rsidRPr="000A7EE3">
              <w:rPr>
                <w:rFonts w:ascii="Times New Roman" w:hAnsi="Times New Roman" w:hint="eastAsia"/>
                <w:kern w:val="0"/>
                <w:sz w:val="24"/>
                <w:szCs w:val="24"/>
              </w:rPr>
              <w:t>）单台冷机的冷量调节方式与调节能力；</w:t>
            </w:r>
            <w:r w:rsidRPr="000A7EE3">
              <w:rPr>
                <w:rFonts w:ascii="Times New Roman" w:hAnsi="Times New Roman" w:hint="eastAsia"/>
                <w:kern w:val="0"/>
                <w:sz w:val="24"/>
                <w:szCs w:val="24"/>
              </w:rPr>
              <w:t>a</w:t>
            </w:r>
            <w:r w:rsidRPr="000A7EE3">
              <w:rPr>
                <w:rFonts w:ascii="Times New Roman" w:hAnsi="Times New Roman" w:hint="eastAsia"/>
                <w:kern w:val="0"/>
                <w:sz w:val="24"/>
                <w:szCs w:val="24"/>
              </w:rPr>
              <w:t>）多台冷机的冷量调节；</w:t>
            </w:r>
            <w:r w:rsidRPr="000A7EE3">
              <w:rPr>
                <w:rFonts w:ascii="Times New Roman" w:hAnsi="Times New Roman" w:hint="eastAsia"/>
                <w:kern w:val="0"/>
                <w:sz w:val="24"/>
                <w:szCs w:val="24"/>
              </w:rPr>
              <w:t>a</w:t>
            </w:r>
            <w:r w:rsidRPr="000A7EE3">
              <w:rPr>
                <w:rFonts w:ascii="Times New Roman" w:hAnsi="Times New Roman" w:hint="eastAsia"/>
                <w:kern w:val="0"/>
                <w:sz w:val="24"/>
                <w:szCs w:val="24"/>
              </w:rPr>
              <w:t>）冷机最佳运行方案的确定。</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3</w:t>
            </w:r>
            <w:r w:rsidRPr="000A7EE3">
              <w:rPr>
                <w:rFonts w:ascii="Times New Roman" w:hAnsi="Times New Roman" w:hint="eastAsia"/>
                <w:kern w:val="0"/>
                <w:sz w:val="24"/>
                <w:szCs w:val="24"/>
              </w:rPr>
              <w:t>）冷却塔与冷却水系统的控制</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4</w:t>
            </w:r>
            <w:r w:rsidRPr="000A7EE3">
              <w:rPr>
                <w:rFonts w:ascii="Times New Roman" w:hAnsi="Times New Roman" w:hint="eastAsia"/>
                <w:kern w:val="0"/>
                <w:sz w:val="24"/>
                <w:szCs w:val="24"/>
              </w:rPr>
              <w:t>）冷冻水循环系统的控制：</w:t>
            </w:r>
            <w:r w:rsidRPr="000A7EE3">
              <w:rPr>
                <w:rFonts w:ascii="Times New Roman" w:hAnsi="Times New Roman" w:hint="eastAsia"/>
                <w:kern w:val="0"/>
                <w:sz w:val="24"/>
                <w:szCs w:val="24"/>
              </w:rPr>
              <w:t>a</w:t>
            </w:r>
            <w:r w:rsidRPr="000A7EE3">
              <w:rPr>
                <w:rFonts w:ascii="Times New Roman" w:hAnsi="Times New Roman" w:hint="eastAsia"/>
                <w:kern w:val="0"/>
                <w:sz w:val="24"/>
                <w:szCs w:val="24"/>
              </w:rPr>
              <w:t>）冷冻机侧冷量与水量的关系；</w:t>
            </w:r>
            <w:r w:rsidRPr="000A7EE3">
              <w:rPr>
                <w:rFonts w:ascii="Times New Roman" w:hAnsi="Times New Roman" w:hint="eastAsia"/>
                <w:kern w:val="0"/>
                <w:sz w:val="24"/>
                <w:szCs w:val="24"/>
              </w:rPr>
              <w:t>b</w:t>
            </w:r>
            <w:r w:rsidRPr="000A7EE3">
              <w:rPr>
                <w:rFonts w:ascii="Times New Roman" w:hAnsi="Times New Roman" w:hint="eastAsia"/>
                <w:kern w:val="0"/>
                <w:sz w:val="24"/>
                <w:szCs w:val="24"/>
              </w:rPr>
              <w:t>）用冷末端冷量与水量的关系；</w:t>
            </w:r>
            <w:r w:rsidRPr="000A7EE3">
              <w:rPr>
                <w:rFonts w:ascii="Times New Roman" w:hAnsi="Times New Roman" w:hint="eastAsia"/>
                <w:kern w:val="0"/>
                <w:sz w:val="24"/>
                <w:szCs w:val="24"/>
              </w:rPr>
              <w:t>c</w:t>
            </w:r>
            <w:r w:rsidRPr="000A7EE3">
              <w:rPr>
                <w:rFonts w:ascii="Times New Roman" w:hAnsi="Times New Roman" w:hint="eastAsia"/>
                <w:kern w:val="0"/>
                <w:sz w:val="24"/>
                <w:szCs w:val="24"/>
              </w:rPr>
              <w:t>）制冷站与末端的联合运行；</w:t>
            </w:r>
            <w:r w:rsidRPr="000A7EE3">
              <w:rPr>
                <w:rFonts w:ascii="Times New Roman" w:hAnsi="Times New Roman" w:hint="eastAsia"/>
                <w:kern w:val="0"/>
                <w:sz w:val="24"/>
                <w:szCs w:val="24"/>
              </w:rPr>
              <w:t>d</w:t>
            </w:r>
            <w:r w:rsidRPr="000A7EE3">
              <w:rPr>
                <w:rFonts w:ascii="Times New Roman" w:hAnsi="Times New Roman" w:hint="eastAsia"/>
                <w:kern w:val="0"/>
                <w:sz w:val="24"/>
                <w:szCs w:val="24"/>
              </w:rPr>
              <w:t>）冷水温度的确定；</w:t>
            </w:r>
            <w:r w:rsidRPr="000A7EE3">
              <w:rPr>
                <w:rFonts w:ascii="Times New Roman" w:hAnsi="Times New Roman" w:hint="eastAsia"/>
                <w:kern w:val="0"/>
                <w:sz w:val="24"/>
                <w:szCs w:val="24"/>
              </w:rPr>
              <w:t>e</w:t>
            </w:r>
            <w:r w:rsidRPr="000A7EE3">
              <w:rPr>
                <w:rFonts w:ascii="Times New Roman" w:hAnsi="Times New Roman" w:hint="eastAsia"/>
                <w:kern w:val="0"/>
                <w:sz w:val="24"/>
                <w:szCs w:val="24"/>
              </w:rPr>
              <w:t>）蓄冷系统的优化控制；</w:t>
            </w:r>
            <w:r w:rsidRPr="000A7EE3">
              <w:rPr>
                <w:rFonts w:ascii="Times New Roman" w:hAnsi="Times New Roman" w:hint="eastAsia"/>
                <w:kern w:val="0"/>
                <w:sz w:val="24"/>
                <w:szCs w:val="24"/>
              </w:rPr>
              <w:t>f</w:t>
            </w:r>
            <w:r w:rsidRPr="000A7EE3">
              <w:rPr>
                <w:rFonts w:ascii="Times New Roman" w:hAnsi="Times New Roman" w:hint="eastAsia"/>
                <w:kern w:val="0"/>
                <w:sz w:val="24"/>
                <w:szCs w:val="24"/>
              </w:rPr>
              <w:t>）循环水系统的优化控制；</w:t>
            </w:r>
            <w:r w:rsidRPr="000A7EE3">
              <w:rPr>
                <w:rFonts w:ascii="Times New Roman" w:hAnsi="Times New Roman" w:hint="eastAsia"/>
                <w:kern w:val="0"/>
                <w:sz w:val="24"/>
                <w:szCs w:val="24"/>
              </w:rPr>
              <w:t>g</w:t>
            </w:r>
            <w:r w:rsidRPr="000A7EE3">
              <w:rPr>
                <w:rFonts w:ascii="Times New Roman" w:hAnsi="Times New Roman" w:hint="eastAsia"/>
                <w:kern w:val="0"/>
                <w:sz w:val="24"/>
                <w:szCs w:val="24"/>
              </w:rPr>
              <w:t>）小型热源的控制调节。</w:t>
            </w:r>
          </w:p>
        </w:tc>
        <w:tc>
          <w:tcPr>
            <w:tcW w:w="3188"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掌握冷热源简单启停控制思路；了解单台和多台冷机优化调节方案，了解冷却塔、冷却水节能控制方案，熟悉冷冻水循环控制思想的精髓。</w:t>
            </w:r>
          </w:p>
        </w:tc>
      </w:tr>
      <w:tr w:rsidR="00C20406" w:rsidTr="008C3907">
        <w:trPr>
          <w:trHeight w:val="1244"/>
        </w:trPr>
        <w:tc>
          <w:tcPr>
            <w:tcW w:w="53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7</w:t>
            </w:r>
          </w:p>
        </w:tc>
        <w:tc>
          <w:tcPr>
            <w:tcW w:w="136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第八章</w:t>
            </w:r>
          </w:p>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建筑自动化系统</w:t>
            </w:r>
          </w:p>
        </w:tc>
        <w:tc>
          <w:tcPr>
            <w:tcW w:w="1154"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kern w:val="0"/>
                <w:sz w:val="24"/>
                <w:szCs w:val="24"/>
              </w:rPr>
              <w:t>2</w:t>
            </w:r>
          </w:p>
        </w:tc>
        <w:tc>
          <w:tcPr>
            <w:tcW w:w="3366"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1</w:t>
            </w:r>
            <w:r w:rsidRPr="000A7EE3">
              <w:rPr>
                <w:rFonts w:ascii="Times New Roman" w:hAnsi="Times New Roman" w:hint="eastAsia"/>
                <w:kern w:val="0"/>
                <w:sz w:val="24"/>
                <w:szCs w:val="24"/>
              </w:rPr>
              <w:t>）建筑物的信息系统（弱电系统）</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2</w:t>
            </w:r>
            <w:r w:rsidRPr="000A7EE3">
              <w:rPr>
                <w:rFonts w:ascii="Times New Roman" w:hAnsi="Times New Roman" w:hint="eastAsia"/>
                <w:kern w:val="0"/>
                <w:sz w:val="24"/>
                <w:szCs w:val="24"/>
              </w:rPr>
              <w:t>）建筑自动化：输配电系统、照明系统、电梯扶梯、给排水系统、通风排风系统、采暖空调系统的监测控制、采暖空调</w:t>
            </w:r>
            <w:r w:rsidRPr="000A7EE3">
              <w:rPr>
                <w:rFonts w:ascii="Times New Roman" w:hAnsi="Times New Roman" w:hint="eastAsia"/>
                <w:kern w:val="0"/>
                <w:sz w:val="24"/>
                <w:szCs w:val="24"/>
              </w:rPr>
              <w:lastRenderedPageBreak/>
              <w:t>冷热源系统和生活热水制备系统的监测控制、可调节围护结构的监测控制</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3</w:t>
            </w:r>
            <w:r w:rsidRPr="000A7EE3">
              <w:rPr>
                <w:rFonts w:ascii="Times New Roman" w:hAnsi="Times New Roman" w:hint="eastAsia"/>
                <w:kern w:val="0"/>
                <w:sz w:val="24"/>
                <w:szCs w:val="24"/>
              </w:rPr>
              <w:t>）建筑自动化系统的实现方法</w:t>
            </w:r>
          </w:p>
        </w:tc>
        <w:tc>
          <w:tcPr>
            <w:tcW w:w="3188"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lastRenderedPageBreak/>
              <w:t>认识建筑自动化系统的构成，熟悉暖通空调自动控制系统设计步骤和实习的方法。</w:t>
            </w:r>
          </w:p>
        </w:tc>
      </w:tr>
    </w:tbl>
    <w:p w:rsidR="00C20406" w:rsidRDefault="00C20406" w:rsidP="00C20406">
      <w:pPr>
        <w:spacing w:beforeLines="50" w:before="156" w:afterLines="50" w:after="156" w:line="560" w:lineRule="exact"/>
        <w:rPr>
          <w:rFonts w:ascii="黑体" w:eastAsia="黑体" w:hAnsi="黑体"/>
          <w:b/>
          <w:sz w:val="28"/>
          <w:szCs w:val="28"/>
        </w:rPr>
      </w:pPr>
      <w:r>
        <w:rPr>
          <w:rFonts w:ascii="华文中宋" w:eastAsia="华文中宋" w:hAnsi="华文中宋" w:hint="eastAsia"/>
          <w:b/>
          <w:sz w:val="24"/>
          <w:szCs w:val="24"/>
        </w:rPr>
        <w:t>课内实验（上机）名称及基本要求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52"/>
        <w:gridCol w:w="4001"/>
        <w:gridCol w:w="4001"/>
      </w:tblGrid>
      <w:tr w:rsidR="00C20406" w:rsidTr="008C3907">
        <w:trPr>
          <w:cantSplit/>
          <w:trHeight w:val="680"/>
        </w:trPr>
        <w:tc>
          <w:tcPr>
            <w:tcW w:w="900" w:type="dxa"/>
            <w:vAlign w:val="center"/>
          </w:tcPr>
          <w:p w:rsidR="00C20406" w:rsidRPr="000A7EE3" w:rsidRDefault="00C20406" w:rsidP="008C3907">
            <w:pPr>
              <w:rPr>
                <w:rFonts w:ascii="Times New Roman" w:hAnsi="Times New Roman"/>
                <w:b/>
                <w:kern w:val="0"/>
                <w:sz w:val="24"/>
                <w:szCs w:val="24"/>
              </w:rPr>
            </w:pPr>
            <w:r w:rsidRPr="000A7EE3">
              <w:rPr>
                <w:rFonts w:ascii="Times New Roman" w:hAnsi="Times New Roman" w:hint="eastAsia"/>
                <w:b/>
                <w:kern w:val="0"/>
                <w:sz w:val="24"/>
                <w:szCs w:val="24"/>
              </w:rPr>
              <w:t>序号</w:t>
            </w:r>
          </w:p>
        </w:tc>
        <w:tc>
          <w:tcPr>
            <w:tcW w:w="952" w:type="dxa"/>
            <w:vAlign w:val="center"/>
          </w:tcPr>
          <w:p w:rsidR="00C20406" w:rsidRPr="000A7EE3" w:rsidRDefault="00C20406" w:rsidP="008C3907">
            <w:pPr>
              <w:rPr>
                <w:rFonts w:ascii="Times New Roman" w:hAnsi="Times New Roman"/>
                <w:b/>
                <w:kern w:val="0"/>
                <w:sz w:val="24"/>
                <w:szCs w:val="24"/>
              </w:rPr>
            </w:pPr>
          </w:p>
          <w:p w:rsidR="00C20406" w:rsidRPr="000A7EE3" w:rsidRDefault="00C20406" w:rsidP="008C3907">
            <w:pPr>
              <w:rPr>
                <w:rFonts w:ascii="Times New Roman" w:hAnsi="Times New Roman"/>
                <w:b/>
                <w:kern w:val="0"/>
                <w:sz w:val="24"/>
                <w:szCs w:val="24"/>
              </w:rPr>
            </w:pPr>
            <w:r w:rsidRPr="000A7EE3">
              <w:rPr>
                <w:rFonts w:ascii="Times New Roman" w:hAnsi="Times New Roman" w:hint="eastAsia"/>
                <w:b/>
                <w:kern w:val="0"/>
                <w:sz w:val="24"/>
                <w:szCs w:val="24"/>
              </w:rPr>
              <w:t>参考学时</w:t>
            </w:r>
          </w:p>
          <w:p w:rsidR="00C20406" w:rsidRPr="000A7EE3" w:rsidRDefault="00C20406" w:rsidP="008C3907">
            <w:pPr>
              <w:rPr>
                <w:rFonts w:ascii="Times New Roman" w:hAnsi="Times New Roman"/>
                <w:b/>
                <w:kern w:val="0"/>
                <w:sz w:val="24"/>
                <w:szCs w:val="24"/>
              </w:rPr>
            </w:pPr>
          </w:p>
        </w:tc>
        <w:tc>
          <w:tcPr>
            <w:tcW w:w="4001" w:type="dxa"/>
            <w:vAlign w:val="center"/>
          </w:tcPr>
          <w:p w:rsidR="00C20406" w:rsidRPr="000A7EE3" w:rsidRDefault="00C20406" w:rsidP="008C3907">
            <w:pPr>
              <w:rPr>
                <w:rFonts w:ascii="Times New Roman" w:hAnsi="Times New Roman"/>
                <w:b/>
                <w:kern w:val="0"/>
                <w:sz w:val="24"/>
                <w:szCs w:val="24"/>
              </w:rPr>
            </w:pPr>
            <w:r w:rsidRPr="000A7EE3">
              <w:rPr>
                <w:rFonts w:ascii="Times New Roman" w:hAnsi="Times New Roman" w:hint="eastAsia"/>
                <w:b/>
                <w:kern w:val="0"/>
                <w:sz w:val="24"/>
                <w:szCs w:val="24"/>
              </w:rPr>
              <w:t>实验名称</w:t>
            </w:r>
          </w:p>
        </w:tc>
        <w:tc>
          <w:tcPr>
            <w:tcW w:w="4001" w:type="dxa"/>
            <w:vAlign w:val="center"/>
          </w:tcPr>
          <w:p w:rsidR="00C20406" w:rsidRPr="000A7EE3" w:rsidRDefault="00C20406" w:rsidP="008C3907">
            <w:pPr>
              <w:rPr>
                <w:rFonts w:ascii="Times New Roman" w:hAnsi="Times New Roman"/>
                <w:b/>
                <w:kern w:val="0"/>
                <w:sz w:val="24"/>
                <w:szCs w:val="24"/>
              </w:rPr>
            </w:pPr>
            <w:r w:rsidRPr="000A7EE3">
              <w:rPr>
                <w:rFonts w:ascii="Times New Roman" w:hAnsi="Times New Roman" w:hint="eastAsia"/>
                <w:b/>
                <w:kern w:val="0"/>
                <w:sz w:val="24"/>
                <w:szCs w:val="24"/>
              </w:rPr>
              <w:t>基本要求</w:t>
            </w:r>
          </w:p>
        </w:tc>
      </w:tr>
      <w:tr w:rsidR="00C20406" w:rsidTr="008C3907">
        <w:trPr>
          <w:trHeight w:val="567"/>
        </w:trPr>
        <w:tc>
          <w:tcPr>
            <w:tcW w:w="900"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1</w:t>
            </w:r>
          </w:p>
        </w:tc>
        <w:tc>
          <w:tcPr>
            <w:tcW w:w="952"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4</w:t>
            </w:r>
          </w:p>
        </w:tc>
        <w:tc>
          <w:tcPr>
            <w:tcW w:w="4001"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课程实验：</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1</w:t>
            </w:r>
            <w:r w:rsidRPr="000A7EE3">
              <w:rPr>
                <w:rFonts w:ascii="Times New Roman" w:hAnsi="Times New Roman" w:hint="eastAsia"/>
                <w:kern w:val="0"/>
                <w:sz w:val="24"/>
                <w:szCs w:val="24"/>
              </w:rPr>
              <w:t>）加热水箱水温通断控制实验</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2</w:t>
            </w:r>
            <w:r w:rsidRPr="000A7EE3">
              <w:rPr>
                <w:rFonts w:ascii="Times New Roman" w:hAnsi="Times New Roman" w:hint="eastAsia"/>
                <w:kern w:val="0"/>
                <w:sz w:val="24"/>
                <w:szCs w:val="24"/>
              </w:rPr>
              <w:t>）空调系统</w:t>
            </w:r>
            <w:r w:rsidRPr="000A7EE3">
              <w:rPr>
                <w:rFonts w:ascii="Times New Roman" w:hAnsi="Times New Roman" w:hint="eastAsia"/>
                <w:kern w:val="0"/>
                <w:sz w:val="24"/>
                <w:szCs w:val="24"/>
              </w:rPr>
              <w:t>PID</w:t>
            </w:r>
            <w:r w:rsidRPr="000A7EE3">
              <w:rPr>
                <w:rFonts w:ascii="Times New Roman" w:hAnsi="Times New Roman" w:hint="eastAsia"/>
                <w:kern w:val="0"/>
                <w:sz w:val="24"/>
                <w:szCs w:val="24"/>
              </w:rPr>
              <w:t>连续控制实验</w:t>
            </w:r>
          </w:p>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3</w:t>
            </w:r>
            <w:r w:rsidRPr="000A7EE3">
              <w:rPr>
                <w:rFonts w:ascii="Times New Roman" w:hAnsi="Times New Roman" w:hint="eastAsia"/>
                <w:kern w:val="0"/>
                <w:sz w:val="24"/>
                <w:szCs w:val="24"/>
              </w:rPr>
              <w:t>）水箱水位和流量控制实验</w:t>
            </w:r>
          </w:p>
        </w:tc>
        <w:tc>
          <w:tcPr>
            <w:tcW w:w="4001"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熟练掌握通断和</w:t>
            </w:r>
            <w:r w:rsidRPr="000A7EE3">
              <w:rPr>
                <w:rFonts w:ascii="Times New Roman" w:hAnsi="Times New Roman" w:hint="eastAsia"/>
                <w:kern w:val="0"/>
                <w:sz w:val="24"/>
                <w:szCs w:val="24"/>
              </w:rPr>
              <w:t>PID</w:t>
            </w:r>
            <w:r w:rsidRPr="000A7EE3">
              <w:rPr>
                <w:rFonts w:ascii="Times New Roman" w:hAnsi="Times New Roman" w:hint="eastAsia"/>
                <w:kern w:val="0"/>
                <w:sz w:val="24"/>
                <w:szCs w:val="24"/>
              </w:rPr>
              <w:t>两种暖通空调领域常见的控制方法</w:t>
            </w:r>
          </w:p>
        </w:tc>
      </w:tr>
    </w:tbl>
    <w:p w:rsidR="00C20406" w:rsidRDefault="00C20406" w:rsidP="00C20406">
      <w:pPr>
        <w:spacing w:beforeLines="50" w:before="156" w:afterLines="50" w:after="156" w:line="560" w:lineRule="exact"/>
        <w:rPr>
          <w:rFonts w:ascii="黑体" w:eastAsia="黑体" w:hAnsi="黑体"/>
          <w:b/>
          <w:sz w:val="28"/>
          <w:szCs w:val="28"/>
        </w:rPr>
      </w:pP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课程考核</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考核方式为：考试</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2. 成绩评定</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成绩评定方式：百分制</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sz w:val="28"/>
          <w:szCs w:val="28"/>
        </w:rPr>
        <w:t>课程总成绩=期末成绩</w:t>
      </w:r>
      <w:r>
        <w:rPr>
          <w:rFonts w:ascii="仿宋_GB2312" w:hAnsi="仿宋_GB2312" w:cs="仿宋_GB2312" w:hint="eastAsia"/>
          <w:sz w:val="28"/>
          <w:szCs w:val="28"/>
        </w:rPr>
        <w:t>（</w:t>
      </w:r>
      <w:r>
        <w:rPr>
          <w:rFonts w:ascii="仿宋_GB2312" w:hAnsi="仿宋_GB2312" w:cs="仿宋_GB2312"/>
          <w:sz w:val="28"/>
          <w:szCs w:val="28"/>
        </w:rPr>
        <w:t>6</w:t>
      </w:r>
      <w:r>
        <w:rPr>
          <w:rFonts w:ascii="仿宋_GB2312" w:hAnsi="仿宋_GB2312" w:cs="仿宋_GB2312" w:hint="eastAsia"/>
          <w:sz w:val="28"/>
          <w:szCs w:val="28"/>
        </w:rPr>
        <w:t>0%～</w:t>
      </w:r>
      <w:r>
        <w:rPr>
          <w:rFonts w:ascii="仿宋_GB2312" w:hAnsi="仿宋_GB2312" w:cs="仿宋_GB2312"/>
          <w:sz w:val="28"/>
          <w:szCs w:val="28"/>
        </w:rPr>
        <w:t>7</w:t>
      </w:r>
      <w:r>
        <w:rPr>
          <w:rFonts w:ascii="仿宋_GB2312" w:hAnsi="仿宋_GB2312" w:cs="仿宋_GB2312" w:hint="eastAsia"/>
          <w:sz w:val="28"/>
          <w:szCs w:val="28"/>
        </w:rPr>
        <w:t>0%）+平时</w:t>
      </w:r>
      <w:r>
        <w:rPr>
          <w:rFonts w:ascii="仿宋_GB2312" w:hAnsi="仿宋_GB2312" w:cs="仿宋_GB2312"/>
          <w:sz w:val="28"/>
          <w:szCs w:val="28"/>
        </w:rPr>
        <w:t>成绩</w:t>
      </w:r>
      <w:r>
        <w:rPr>
          <w:rFonts w:ascii="仿宋_GB2312" w:hAnsi="仿宋_GB2312" w:cs="仿宋_GB2312" w:hint="eastAsia"/>
          <w:sz w:val="28"/>
          <w:szCs w:val="28"/>
        </w:rPr>
        <w:t>（</w:t>
      </w:r>
      <w:r>
        <w:rPr>
          <w:rFonts w:ascii="仿宋_GB2312" w:hAnsi="仿宋_GB2312" w:cs="仿宋_GB2312"/>
          <w:sz w:val="28"/>
          <w:szCs w:val="28"/>
        </w:rPr>
        <w:t>3</w:t>
      </w:r>
      <w:r>
        <w:rPr>
          <w:rFonts w:ascii="仿宋_GB2312" w:hAnsi="仿宋_GB2312" w:cs="仿宋_GB2312" w:hint="eastAsia"/>
          <w:sz w:val="28"/>
          <w:szCs w:val="28"/>
        </w:rPr>
        <w:t>0%～</w:t>
      </w:r>
      <w:r>
        <w:rPr>
          <w:rFonts w:ascii="仿宋_GB2312" w:hAnsi="仿宋_GB2312" w:cs="仿宋_GB2312"/>
          <w:sz w:val="28"/>
          <w:szCs w:val="28"/>
        </w:rPr>
        <w:t>4</w:t>
      </w:r>
      <w:r>
        <w:rPr>
          <w:rFonts w:ascii="仿宋_GB2312" w:hAnsi="仿宋_GB2312" w:cs="仿宋_GB2312" w:hint="eastAsia"/>
          <w:sz w:val="28"/>
          <w:szCs w:val="28"/>
        </w:rPr>
        <w:t>0%），说明</w:t>
      </w:r>
      <w:r>
        <w:rPr>
          <w:rFonts w:ascii="仿宋_GB2312" w:hAnsi="仿宋_GB2312" w:cs="仿宋_GB2312"/>
          <w:sz w:val="28"/>
          <w:szCs w:val="28"/>
        </w:rPr>
        <w:t>如下：</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建议学生复习已学知识，同时查阅相关资料（附主要参考书），并在学习过程中理论联系实际，多思考，勤观察，结合大作业来巩固提高。采用平时成绩+期末考试方式确定总评成绩。其中平时成绩考核包括作业、讨论、出勤等内容，期末考试采用闭卷方式。平时成绩占</w:t>
      </w:r>
      <w:r>
        <w:rPr>
          <w:rFonts w:ascii="仿宋_GB2312" w:hAnsi="仿宋_GB2312" w:cs="仿宋_GB2312"/>
          <w:sz w:val="28"/>
          <w:szCs w:val="28"/>
        </w:rPr>
        <w:t>3</w:t>
      </w:r>
      <w:r>
        <w:rPr>
          <w:rFonts w:ascii="仿宋_GB2312" w:hAnsi="仿宋_GB2312" w:cs="仿宋_GB2312" w:hint="eastAsia"/>
          <w:sz w:val="28"/>
          <w:szCs w:val="28"/>
        </w:rPr>
        <w:t>0%～</w:t>
      </w:r>
      <w:r>
        <w:rPr>
          <w:rFonts w:ascii="仿宋_GB2312" w:hAnsi="仿宋_GB2312" w:cs="仿宋_GB2312"/>
          <w:sz w:val="28"/>
          <w:szCs w:val="28"/>
        </w:rPr>
        <w:t>4</w:t>
      </w:r>
      <w:r>
        <w:rPr>
          <w:rFonts w:ascii="仿宋_GB2312" w:hAnsi="仿宋_GB2312" w:cs="仿宋_GB2312" w:hint="eastAsia"/>
          <w:sz w:val="28"/>
          <w:szCs w:val="28"/>
        </w:rPr>
        <w:t>0%，期末考试成绩占</w:t>
      </w:r>
      <w:r>
        <w:rPr>
          <w:rFonts w:ascii="仿宋_GB2312" w:hAnsi="仿宋_GB2312" w:cs="仿宋_GB2312"/>
          <w:sz w:val="28"/>
          <w:szCs w:val="28"/>
        </w:rPr>
        <w:t>6</w:t>
      </w:r>
      <w:r>
        <w:rPr>
          <w:rFonts w:ascii="仿宋_GB2312" w:hAnsi="仿宋_GB2312" w:cs="仿宋_GB2312" w:hint="eastAsia"/>
          <w:sz w:val="28"/>
          <w:szCs w:val="28"/>
        </w:rPr>
        <w:t>0%～</w:t>
      </w:r>
      <w:r>
        <w:rPr>
          <w:rFonts w:ascii="仿宋_GB2312" w:hAnsi="仿宋_GB2312" w:cs="仿宋_GB2312"/>
          <w:sz w:val="28"/>
          <w:szCs w:val="28"/>
        </w:rPr>
        <w:t>7</w:t>
      </w:r>
      <w:r>
        <w:rPr>
          <w:rFonts w:ascii="仿宋_GB2312" w:hAnsi="仿宋_GB2312" w:cs="仿宋_GB2312" w:hint="eastAsia"/>
          <w:sz w:val="28"/>
          <w:szCs w:val="28"/>
        </w:rPr>
        <w:t>0%。</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lastRenderedPageBreak/>
        <w:t>1.建议教材</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江亿、姜子炎 著，《建筑设备自动化》第二版，北京：中国建筑工业出版社，2017.8</w:t>
      </w:r>
    </w:p>
    <w:p w:rsidR="00C20406" w:rsidRDefault="00C20406" w:rsidP="00C2040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20406" w:rsidRDefault="00C20406" w:rsidP="00C20406">
      <w:pPr>
        <w:spacing w:line="360" w:lineRule="auto"/>
        <w:ind w:firstLine="567"/>
        <w:rPr>
          <w:rFonts w:ascii="仿宋_GB2312" w:hAnsi="仿宋_GB2312" w:cs="仿宋_GB2312"/>
          <w:sz w:val="28"/>
          <w:szCs w:val="28"/>
        </w:rPr>
      </w:pPr>
      <w:r>
        <w:rPr>
          <w:rFonts w:ascii="仿宋_GB2312" w:hAnsi="仿宋_GB2312" w:cs="仿宋_GB2312" w:hint="eastAsia"/>
          <w:sz w:val="28"/>
          <w:szCs w:val="28"/>
        </w:rPr>
        <w:t>[1] 安大伟，暖通空调自动化，北京：中国建筑工业出版社，2009</w:t>
      </w:r>
    </w:p>
    <w:p w:rsidR="00C20406" w:rsidRDefault="00C20406" w:rsidP="00C20406">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[2] 绪方胜彦，现代控制工程，北京：清华大学出版社，2006.2</w:t>
      </w:r>
    </w:p>
    <w:p w:rsidR="00C20406" w:rsidRDefault="00C20406" w:rsidP="00C20406">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[3] Thomas B. Hartman, Direct digital control for HVAC system, New York: McGraw-Hill Inc，1993</w:t>
      </w:r>
    </w:p>
    <w:p w:rsidR="00C20406" w:rsidRDefault="00C20406" w:rsidP="00C20406">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[4] 王正林，Matlab/Simulink控制系统仿真，北京：电子工业出版社，2012.1</w:t>
      </w:r>
    </w:p>
    <w:p w:rsidR="00C20406" w:rsidRDefault="00C20406" w:rsidP="00C20406">
      <w:pPr>
        <w:ind w:firstLineChars="200" w:firstLine="422"/>
        <w:jc w:val="left"/>
        <w:rPr>
          <w:rFonts w:ascii="宋体" w:eastAsia="宋体" w:hAnsi="宋体"/>
          <w:b/>
          <w:color w:val="FF0000"/>
          <w:sz w:val="21"/>
          <w:szCs w:val="21"/>
        </w:rPr>
      </w:pP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C20406" w:rsidRDefault="00C20406" w:rsidP="00C20406">
      <w:pPr>
        <w:spacing w:line="360" w:lineRule="auto"/>
        <w:ind w:firstLine="567"/>
        <w:rPr>
          <w:rFonts w:ascii="黑体" w:eastAsia="黑体" w:hAnsi="黑体"/>
          <w:b/>
          <w:sz w:val="28"/>
          <w:szCs w:val="28"/>
        </w:rPr>
      </w:pPr>
      <w:r>
        <w:rPr>
          <w:rFonts w:ascii="仿宋_GB2312" w:hAnsi="仿宋_GB2312" w:cs="仿宋_GB2312" w:hint="eastAsia"/>
          <w:sz w:val="28"/>
          <w:szCs w:val="28"/>
        </w:rPr>
        <w:t>部分章节教学内容可在实验室现场实物演示教学；</w:t>
      </w:r>
      <w:r>
        <w:rPr>
          <w:rFonts w:ascii="仿宋_GB2312" w:hAnsi="仿宋_GB2312" w:cs="仿宋_GB2312"/>
          <w:sz w:val="28"/>
          <w:szCs w:val="28"/>
        </w:rPr>
        <w:t>为</w:t>
      </w:r>
      <w:r>
        <w:rPr>
          <w:rFonts w:ascii="仿宋_GB2312" w:hAnsi="仿宋_GB2312" w:cs="仿宋_GB2312" w:hint="eastAsia"/>
          <w:sz w:val="28"/>
          <w:szCs w:val="28"/>
        </w:rPr>
        <w:t>增强</w:t>
      </w:r>
      <w:r>
        <w:rPr>
          <w:rFonts w:ascii="仿宋_GB2312" w:hAnsi="仿宋_GB2312" w:cs="仿宋_GB2312"/>
          <w:sz w:val="28"/>
          <w:szCs w:val="28"/>
        </w:rPr>
        <w:t>过程考核，实现课题</w:t>
      </w:r>
      <w:r>
        <w:rPr>
          <w:rFonts w:ascii="仿宋_GB2312" w:hAnsi="仿宋_GB2312" w:cs="仿宋_GB2312" w:hint="eastAsia"/>
          <w:sz w:val="28"/>
          <w:szCs w:val="28"/>
        </w:rPr>
        <w:t>翻转</w:t>
      </w:r>
      <w:r>
        <w:rPr>
          <w:rFonts w:ascii="仿宋_GB2312" w:hAnsi="仿宋_GB2312" w:cs="仿宋_GB2312"/>
          <w:sz w:val="28"/>
          <w:szCs w:val="28"/>
        </w:rPr>
        <w:t>，逐渐加大学生大作业汇报的</w:t>
      </w:r>
      <w:r>
        <w:rPr>
          <w:rFonts w:ascii="仿宋_GB2312" w:hAnsi="仿宋_GB2312" w:cs="仿宋_GB2312" w:hint="eastAsia"/>
          <w:sz w:val="28"/>
          <w:szCs w:val="28"/>
        </w:rPr>
        <w:t>课时</w:t>
      </w:r>
      <w:r>
        <w:rPr>
          <w:rFonts w:ascii="仿宋_GB2312" w:hAnsi="仿宋_GB2312" w:cs="仿宋_GB2312"/>
          <w:sz w:val="28"/>
          <w:szCs w:val="28"/>
        </w:rPr>
        <w:t>。</w:t>
      </w:r>
    </w:p>
    <w:p w:rsidR="00C20406" w:rsidRDefault="00C20406" w:rsidP="00C20406">
      <w:pPr>
        <w:spacing w:beforeLines="50" w:before="156" w:afterLines="50" w:after="156" w:line="460" w:lineRule="exact"/>
        <w:rPr>
          <w:rFonts w:ascii="黑体" w:eastAsia="黑体" w:hAnsi="黑体"/>
          <w:b/>
          <w:sz w:val="28"/>
          <w:szCs w:val="28"/>
        </w:rPr>
      </w:pPr>
    </w:p>
    <w:p w:rsidR="00C20406" w:rsidRDefault="00C20406" w:rsidP="00C20406">
      <w:pPr>
        <w:spacing w:beforeLines="50" w:before="156" w:afterLines="50" w:after="156" w:line="460" w:lineRule="exact"/>
        <w:rPr>
          <w:rFonts w:ascii="黑体" w:eastAsia="黑体" w:hAnsi="黑体"/>
          <w:b/>
          <w:sz w:val="28"/>
          <w:szCs w:val="28"/>
        </w:rPr>
      </w:pPr>
    </w:p>
    <w:p w:rsidR="00C20406" w:rsidRDefault="00C20406" w:rsidP="00C20406">
      <w:pPr>
        <w:spacing w:beforeLines="50" w:before="156" w:afterLines="50" w:after="156" w:line="460" w:lineRule="exact"/>
        <w:rPr>
          <w:rFonts w:ascii="黑体" w:eastAsia="黑体" w:hAnsi="黑体"/>
          <w:b/>
          <w:sz w:val="28"/>
          <w:szCs w:val="28"/>
        </w:rPr>
      </w:pP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大纲撰写人：孟庆龙</w:t>
      </w:r>
      <w:r>
        <w:rPr>
          <w:rFonts w:ascii="仿宋" w:eastAsia="仿宋" w:hAnsi="仿宋"/>
          <w:sz w:val="28"/>
          <w:szCs w:val="28"/>
        </w:rPr>
        <w:t>，谢安生</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课程负责人：孟庆龙</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C20406" w:rsidRDefault="00C20406" w:rsidP="00C20406">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20406" w:rsidRDefault="00C20406" w:rsidP="00C20406">
      <w:pPr>
        <w:ind w:firstLineChars="2000" w:firstLine="5600"/>
        <w:jc w:val="left"/>
        <w:rPr>
          <w:rFonts w:ascii="仿宋" w:hAnsi="仿宋"/>
          <w:sz w:val="28"/>
          <w:szCs w:val="28"/>
        </w:rPr>
      </w:pPr>
      <w:r>
        <w:rPr>
          <w:rFonts w:ascii="仿宋_GB2312" w:hAnsi="微软雅黑" w:hint="eastAsia"/>
          <w:sz w:val="28"/>
          <w:szCs w:val="28"/>
        </w:rPr>
        <w:t xml:space="preserve">    </w:t>
      </w:r>
    </w:p>
    <w:p w:rsidR="00C20406" w:rsidRPr="000A7EE3" w:rsidRDefault="00C20406" w:rsidP="000A7EE3">
      <w:pPr>
        <w:jc w:val="left"/>
        <w:rPr>
          <w:rFonts w:ascii="仿宋_GB2312" w:hAnsi="黑体" w:hint="eastAsia"/>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4</w:t>
      </w:r>
      <w:r>
        <w:rPr>
          <w:rFonts w:ascii="仿宋" w:eastAsia="仿宋" w:hAnsi="仿宋" w:hint="eastAsia"/>
          <w:sz w:val="28"/>
          <w:szCs w:val="28"/>
        </w:rPr>
        <w:t xml:space="preserve"> 月</w:t>
      </w:r>
    </w:p>
    <w:p w:rsidR="00C20406" w:rsidRDefault="00C20406" w:rsidP="00C2040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《建筑设备安装技术》课程教学大纲</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Building equipment installation technology</w:t>
      </w:r>
    </w:p>
    <w:p w:rsidR="00C20406" w:rsidRDefault="00C20406" w:rsidP="00C2040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课程序号：</w:t>
      </w:r>
      <w:r>
        <w:rPr>
          <w:rFonts w:ascii="华文中宋" w:eastAsia="华文中宋" w:hAnsi="华文中宋" w:cs="宋体" w:hint="eastAsia"/>
          <w:kern w:val="0"/>
          <w:sz w:val="18"/>
          <w:szCs w:val="18"/>
        </w:rPr>
        <w:t xml:space="preserve"> </w:t>
      </w:r>
      <w:r>
        <w:rPr>
          <w:rFonts w:ascii="仿宋_GB2312" w:hAnsi="仿宋_GB2312" w:cs="仿宋_GB2312" w:hint="eastAsia"/>
          <w:bCs/>
          <w:sz w:val="28"/>
          <w:szCs w:val="28"/>
        </w:rPr>
        <w:t>Z2807</w:t>
      </w:r>
      <w:r>
        <w:rPr>
          <w:rFonts w:ascii="仿宋_GB2312" w:hAnsi="仿宋_GB2312" w:cs="仿宋_GB2312"/>
          <w:bCs/>
          <w:sz w:val="28"/>
          <w:szCs w:val="28"/>
        </w:rPr>
        <w:t>270</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w:t>
      </w:r>
      <w:r>
        <w:rPr>
          <w:rFonts w:ascii="仿宋_GB2312" w:hAnsi="仿宋_GB2312" w:cs="仿宋_GB2312"/>
          <w:bCs/>
          <w:sz w:val="28"/>
          <w:szCs w:val="28"/>
        </w:rPr>
        <w:t>发展</w:t>
      </w:r>
      <w:r>
        <w:rPr>
          <w:rFonts w:ascii="仿宋_GB2312" w:hAnsi="仿宋_GB2312" w:cs="仿宋_GB2312" w:hint="eastAsia"/>
          <w:bCs/>
          <w:sz w:val="28"/>
          <w:szCs w:val="28"/>
        </w:rPr>
        <w:t>课程</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1.5</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24</w:t>
      </w:r>
      <w:r>
        <w:rPr>
          <w:rFonts w:ascii="仿宋_GB2312" w:hAnsi="仿宋_GB2312" w:cs="仿宋_GB2312" w:hint="eastAsia"/>
          <w:bCs/>
          <w:sz w:val="28"/>
          <w:szCs w:val="28"/>
        </w:rPr>
        <w:t>学时（授课</w:t>
      </w:r>
      <w:r>
        <w:rPr>
          <w:rFonts w:ascii="仿宋_GB2312" w:hAnsi="仿宋_GB2312" w:cs="仿宋_GB2312"/>
          <w:bCs/>
          <w:sz w:val="28"/>
          <w:szCs w:val="28"/>
        </w:rPr>
        <w:t>24</w:t>
      </w:r>
      <w:r>
        <w:rPr>
          <w:rFonts w:ascii="仿宋_GB2312" w:hAnsi="仿宋_GB2312" w:cs="仿宋_GB2312" w:hint="eastAsia"/>
          <w:bCs/>
          <w:sz w:val="28"/>
          <w:szCs w:val="28"/>
        </w:rPr>
        <w:t>学时）</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先修课程：流体输配管网、燃料燃烧与器具、</w:t>
      </w:r>
      <w:r>
        <w:rPr>
          <w:rFonts w:ascii="仿宋_GB2312" w:hAnsi="仿宋_GB2312" w:cs="仿宋_GB2312"/>
          <w:bCs/>
          <w:sz w:val="28"/>
          <w:szCs w:val="28"/>
        </w:rPr>
        <w:t>建筑给排水</w:t>
      </w:r>
      <w:r>
        <w:rPr>
          <w:rFonts w:ascii="仿宋_GB2312" w:hAnsi="仿宋_GB2312" w:cs="仿宋_GB2312" w:hint="eastAsia"/>
          <w:bCs/>
          <w:sz w:val="28"/>
          <w:szCs w:val="28"/>
        </w:rPr>
        <w:t>等</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20406" w:rsidRDefault="00C20406" w:rsidP="00C20406">
      <w:pPr>
        <w:spacing w:line="360" w:lineRule="auto"/>
        <w:ind w:leftChars="200" w:left="640"/>
        <w:rPr>
          <w:rFonts w:ascii="仿宋_GB2312" w:hAnsi="仿宋_GB2312" w:cs="仿宋_GB2312"/>
          <w:bCs/>
          <w:sz w:val="28"/>
          <w:szCs w:val="28"/>
        </w:rPr>
      </w:pPr>
      <w:r>
        <w:rPr>
          <w:rFonts w:ascii="仿宋_GB2312" w:hAnsi="仿宋_GB2312" w:cs="仿宋_GB2312" w:hint="eastAsia"/>
          <w:bCs/>
          <w:sz w:val="28"/>
          <w:szCs w:val="28"/>
        </w:rPr>
        <w:t>《建筑设备</w:t>
      </w:r>
      <w:r>
        <w:rPr>
          <w:rFonts w:ascii="仿宋_GB2312" w:hAnsi="仿宋_GB2312" w:cs="仿宋_GB2312"/>
          <w:bCs/>
          <w:sz w:val="28"/>
          <w:szCs w:val="28"/>
        </w:rPr>
        <w:t>安装技术</w:t>
      </w:r>
      <w:r>
        <w:rPr>
          <w:rFonts w:ascii="仿宋_GB2312" w:hAnsi="仿宋_GB2312" w:cs="仿宋_GB2312" w:hint="eastAsia"/>
          <w:bCs/>
          <w:sz w:val="28"/>
          <w:szCs w:val="28"/>
        </w:rPr>
        <w:t>》是建筑环境与能源应用工程专业学生的专业发展</w:t>
      </w:r>
      <w:r>
        <w:rPr>
          <w:rFonts w:ascii="仿宋_GB2312" w:hAnsi="仿宋_GB2312" w:cs="仿宋_GB2312"/>
          <w:bCs/>
          <w:sz w:val="28"/>
          <w:szCs w:val="28"/>
        </w:rPr>
        <w:t>课程</w:t>
      </w:r>
      <w:r>
        <w:rPr>
          <w:rFonts w:ascii="仿宋_GB2312" w:hAnsi="仿宋_GB2312" w:cs="仿宋_GB2312" w:hint="eastAsia"/>
          <w:bCs/>
          <w:sz w:val="28"/>
          <w:szCs w:val="28"/>
        </w:rPr>
        <w:t>，</w:t>
      </w:r>
      <w:r>
        <w:rPr>
          <w:rFonts w:ascii="仿宋" w:eastAsia="仿宋" w:hAnsi="仿宋" w:hint="eastAsia"/>
          <w:sz w:val="28"/>
          <w:szCs w:val="28"/>
        </w:rPr>
        <w:t>是一门知识性广，实践性强</w:t>
      </w:r>
      <w:r>
        <w:rPr>
          <w:rFonts w:ascii="仿宋" w:eastAsia="仿宋" w:hAnsi="仿宋"/>
          <w:sz w:val="28"/>
          <w:szCs w:val="28"/>
        </w:rPr>
        <w:t>、理论与</w:t>
      </w:r>
      <w:r>
        <w:rPr>
          <w:rFonts w:ascii="仿宋" w:eastAsia="仿宋" w:hAnsi="仿宋" w:hint="eastAsia"/>
          <w:sz w:val="28"/>
          <w:szCs w:val="28"/>
        </w:rPr>
        <w:t>实际密切</w:t>
      </w:r>
      <w:r>
        <w:rPr>
          <w:rFonts w:ascii="仿宋" w:eastAsia="仿宋" w:hAnsi="仿宋"/>
          <w:sz w:val="28"/>
          <w:szCs w:val="28"/>
        </w:rPr>
        <w:t>结合</w:t>
      </w:r>
      <w:r>
        <w:rPr>
          <w:rFonts w:ascii="仿宋" w:eastAsia="仿宋" w:hAnsi="仿宋" w:hint="eastAsia"/>
          <w:sz w:val="28"/>
          <w:szCs w:val="28"/>
        </w:rPr>
        <w:t>的</w:t>
      </w:r>
      <w:r>
        <w:rPr>
          <w:rFonts w:ascii="仿宋" w:eastAsia="仿宋" w:hAnsi="仿宋"/>
          <w:sz w:val="28"/>
          <w:szCs w:val="28"/>
        </w:rPr>
        <w:t>课程</w:t>
      </w:r>
      <w:r>
        <w:rPr>
          <w:rFonts w:ascii="仿宋" w:eastAsia="仿宋" w:hAnsi="仿宋" w:hint="eastAsia"/>
          <w:sz w:val="28"/>
          <w:szCs w:val="28"/>
        </w:rPr>
        <w:t>，学生通过本课程的学习，可了解和掌握本专业安装的基本知识。</w:t>
      </w:r>
      <w:r>
        <w:rPr>
          <w:rFonts w:ascii="仿宋_GB2312" w:hAnsi="仿宋_GB2312" w:cs="仿宋_GB2312" w:hint="eastAsia"/>
          <w:bCs/>
          <w:sz w:val="28"/>
          <w:szCs w:val="28"/>
        </w:rPr>
        <w:t>课程主要内容为：工程材料的基本知识,管道安装，供热系统、给排水系统、燃气系统、通风空调系统、工业锅炉、空调用制冷系统的安装，安装</w:t>
      </w:r>
      <w:r>
        <w:rPr>
          <w:rFonts w:ascii="仿宋_GB2312" w:hAnsi="仿宋_GB2312" w:cs="仿宋_GB2312"/>
          <w:bCs/>
          <w:sz w:val="28"/>
          <w:szCs w:val="28"/>
        </w:rPr>
        <w:t>中</w:t>
      </w:r>
      <w:r>
        <w:rPr>
          <w:rFonts w:ascii="仿宋_GB2312" w:hAnsi="仿宋_GB2312" w:cs="仿宋_GB2312" w:hint="eastAsia"/>
          <w:bCs/>
          <w:sz w:val="28"/>
          <w:szCs w:val="28"/>
        </w:rPr>
        <w:t>常用工具</w:t>
      </w:r>
      <w:r>
        <w:rPr>
          <w:rFonts w:ascii="仿宋_GB2312" w:hAnsi="仿宋_GB2312" w:cs="仿宋_GB2312"/>
          <w:bCs/>
          <w:sz w:val="28"/>
          <w:szCs w:val="28"/>
        </w:rPr>
        <w:t>、</w:t>
      </w:r>
      <w:r>
        <w:rPr>
          <w:rFonts w:ascii="仿宋_GB2312" w:hAnsi="仿宋_GB2312" w:cs="仿宋_GB2312" w:hint="eastAsia"/>
          <w:bCs/>
          <w:sz w:val="28"/>
          <w:szCs w:val="28"/>
        </w:rPr>
        <w:t>机具、</w:t>
      </w:r>
      <w:r>
        <w:rPr>
          <w:rFonts w:ascii="仿宋_GB2312" w:hAnsi="仿宋_GB2312" w:cs="仿宋_GB2312"/>
          <w:bCs/>
          <w:sz w:val="28"/>
          <w:szCs w:val="28"/>
        </w:rPr>
        <w:t>设备</w:t>
      </w:r>
      <w:r>
        <w:rPr>
          <w:rFonts w:ascii="仿宋_GB2312" w:hAnsi="仿宋_GB2312" w:cs="仿宋_GB2312" w:hint="eastAsia"/>
          <w:bCs/>
          <w:sz w:val="28"/>
          <w:szCs w:val="28"/>
        </w:rPr>
        <w:t>。以及管道与设备的防腐和绝热的基本知识。</w:t>
      </w:r>
    </w:p>
    <w:p w:rsidR="00C20406" w:rsidRDefault="00C20406" w:rsidP="00C20406">
      <w:pPr>
        <w:spacing w:line="360" w:lineRule="auto"/>
        <w:ind w:leftChars="200" w:left="640"/>
        <w:rPr>
          <w:rFonts w:ascii="仿宋_GB2312" w:hAnsi="仿宋_GB2312" w:cs="仿宋_GB2312"/>
          <w:bCs/>
          <w:sz w:val="28"/>
          <w:szCs w:val="28"/>
        </w:rPr>
      </w:pPr>
      <w:r>
        <w:rPr>
          <w:rFonts w:ascii="仿宋_GB2312" w:hAnsi="仿宋_GB2312" w:cs="仿宋_GB2312"/>
          <w:bCs/>
          <w:sz w:val="28"/>
          <w:szCs w:val="28"/>
        </w:rPr>
        <w:lastRenderedPageBreak/>
        <w:t>教学方式</w:t>
      </w:r>
      <w:r>
        <w:rPr>
          <w:rFonts w:ascii="仿宋_GB2312" w:hAnsi="仿宋_GB2312" w:cs="仿宋_GB2312" w:hint="eastAsia"/>
          <w:bCs/>
          <w:sz w:val="28"/>
          <w:szCs w:val="28"/>
        </w:rPr>
        <w:t xml:space="preserve">  采用</w:t>
      </w:r>
      <w:r>
        <w:rPr>
          <w:rFonts w:ascii="仿宋_GB2312" w:hAnsi="仿宋_GB2312" w:cs="仿宋_GB2312"/>
          <w:bCs/>
          <w:sz w:val="28"/>
          <w:szCs w:val="28"/>
        </w:rPr>
        <w:t>PPT</w:t>
      </w:r>
      <w:r>
        <w:rPr>
          <w:rFonts w:ascii="仿宋_GB2312" w:hAnsi="仿宋_GB2312" w:cs="仿宋_GB2312" w:hint="eastAsia"/>
          <w:bCs/>
          <w:sz w:val="28"/>
          <w:szCs w:val="28"/>
        </w:rPr>
        <w:t>、板书讲解、同时</w:t>
      </w:r>
      <w:r>
        <w:rPr>
          <w:rFonts w:ascii="仿宋_GB2312" w:hAnsi="仿宋_GB2312" w:cs="仿宋_GB2312"/>
          <w:bCs/>
          <w:sz w:val="28"/>
          <w:szCs w:val="28"/>
        </w:rPr>
        <w:t>通过</w:t>
      </w:r>
      <w:r>
        <w:rPr>
          <w:rFonts w:ascii="仿宋_GB2312" w:hAnsi="仿宋_GB2312" w:cs="仿宋_GB2312" w:hint="eastAsia"/>
          <w:bCs/>
          <w:sz w:val="28"/>
          <w:szCs w:val="28"/>
        </w:rPr>
        <w:t>课后思考题的学习</w:t>
      </w:r>
      <w:r>
        <w:rPr>
          <w:rFonts w:ascii="仿宋_GB2312" w:hAnsi="仿宋_GB2312" w:cs="仿宋_GB2312"/>
          <w:bCs/>
          <w:sz w:val="28"/>
          <w:szCs w:val="28"/>
        </w:rPr>
        <w:t>与完成促进</w:t>
      </w:r>
      <w:r>
        <w:rPr>
          <w:rFonts w:ascii="仿宋_GB2312" w:hAnsi="仿宋_GB2312" w:cs="仿宋_GB2312" w:hint="eastAsia"/>
          <w:bCs/>
          <w:sz w:val="28"/>
          <w:szCs w:val="28"/>
        </w:rPr>
        <w:t>授课的</w:t>
      </w:r>
      <w:r>
        <w:rPr>
          <w:rFonts w:ascii="仿宋_GB2312" w:hAnsi="仿宋_GB2312" w:cs="仿宋_GB2312"/>
          <w:bCs/>
          <w:sz w:val="28"/>
          <w:szCs w:val="28"/>
        </w:rPr>
        <w:t>进行</w:t>
      </w:r>
      <w:r>
        <w:rPr>
          <w:rFonts w:ascii="仿宋_GB2312" w:hAnsi="仿宋_GB2312" w:cs="仿宋_GB2312" w:hint="eastAsia"/>
          <w:bCs/>
          <w:sz w:val="28"/>
          <w:szCs w:val="28"/>
        </w:rPr>
        <w:t>。</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20406" w:rsidRDefault="00C20406" w:rsidP="00C2040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hint="eastAsia"/>
          <w:bCs/>
          <w:sz w:val="28"/>
          <w:szCs w:val="28"/>
        </w:rPr>
        <w:t>建筑设备</w:t>
      </w:r>
      <w:r>
        <w:rPr>
          <w:rFonts w:ascii="仿宋_GB2312" w:hAnsi="仿宋_GB2312" w:cs="仿宋_GB2312"/>
          <w:bCs/>
          <w:sz w:val="28"/>
          <w:szCs w:val="28"/>
        </w:rPr>
        <w:t>安装技术</w:t>
      </w:r>
      <w:r>
        <w:rPr>
          <w:rFonts w:ascii="仿宋_GB2312" w:hAnsi="仿宋_GB2312" w:cs="仿宋_GB2312" w:hint="eastAsia"/>
          <w:sz w:val="28"/>
          <w:szCs w:val="28"/>
        </w:rPr>
        <w:t>》是建筑环境与能源应用工程专业的专业发展课程，通过这门课程的教学，使学生学习本专业常用的管道、板</w:t>
      </w:r>
      <w:r>
        <w:rPr>
          <w:rFonts w:ascii="仿宋_GB2312" w:hAnsi="仿宋_GB2312" w:cs="仿宋_GB2312"/>
          <w:sz w:val="28"/>
          <w:szCs w:val="28"/>
        </w:rPr>
        <w:t>材、型材</w:t>
      </w:r>
      <w:r>
        <w:rPr>
          <w:rFonts w:ascii="仿宋_GB2312" w:hAnsi="仿宋_GB2312" w:cs="仿宋_GB2312" w:hint="eastAsia"/>
          <w:sz w:val="28"/>
          <w:szCs w:val="28"/>
        </w:rPr>
        <w:t>的知识；建筑设备知识及设备</w:t>
      </w:r>
      <w:r>
        <w:rPr>
          <w:rFonts w:ascii="仿宋_GB2312" w:hAnsi="仿宋_GB2312" w:cs="仿宋_GB2312"/>
          <w:sz w:val="28"/>
          <w:szCs w:val="28"/>
        </w:rPr>
        <w:t>的</w:t>
      </w:r>
      <w:r>
        <w:rPr>
          <w:rFonts w:ascii="仿宋_GB2312" w:hAnsi="仿宋_GB2312" w:cs="仿宋_GB2312" w:hint="eastAsia"/>
          <w:sz w:val="28"/>
          <w:szCs w:val="28"/>
        </w:rPr>
        <w:t>安装</w:t>
      </w:r>
      <w:r>
        <w:rPr>
          <w:rFonts w:ascii="仿宋_GB2312" w:hAnsi="仿宋_GB2312" w:cs="仿宋_GB2312"/>
          <w:sz w:val="28"/>
          <w:szCs w:val="28"/>
        </w:rPr>
        <w:t>过程</w:t>
      </w:r>
      <w:r>
        <w:rPr>
          <w:rFonts w:ascii="仿宋_GB2312" w:hAnsi="仿宋_GB2312" w:cs="仿宋_GB2312" w:hint="eastAsia"/>
          <w:sz w:val="28"/>
          <w:szCs w:val="28"/>
        </w:rPr>
        <w:t>；学习本专业管道、</w:t>
      </w:r>
      <w:r>
        <w:rPr>
          <w:rFonts w:ascii="仿宋_GB2312" w:hAnsi="仿宋_GB2312" w:cs="仿宋_GB2312"/>
          <w:sz w:val="28"/>
          <w:szCs w:val="28"/>
        </w:rPr>
        <w:t>材料与设备</w:t>
      </w:r>
      <w:r>
        <w:rPr>
          <w:rFonts w:ascii="仿宋_GB2312" w:hAnsi="仿宋_GB2312" w:cs="仿宋_GB2312" w:hint="eastAsia"/>
          <w:sz w:val="28"/>
          <w:szCs w:val="28"/>
        </w:rPr>
        <w:t>安装</w:t>
      </w:r>
      <w:r>
        <w:rPr>
          <w:rFonts w:ascii="仿宋_GB2312" w:hAnsi="仿宋_GB2312" w:cs="仿宋_GB2312"/>
          <w:sz w:val="28"/>
          <w:szCs w:val="28"/>
        </w:rPr>
        <w:t>的</w:t>
      </w:r>
      <w:r>
        <w:rPr>
          <w:rFonts w:ascii="仿宋_GB2312" w:hAnsi="仿宋_GB2312" w:cs="仿宋_GB2312" w:hint="eastAsia"/>
          <w:sz w:val="28"/>
          <w:szCs w:val="28"/>
        </w:rPr>
        <w:t>标准与规范。</w:t>
      </w:r>
    </w:p>
    <w:p w:rsidR="00C20406" w:rsidRDefault="00C20406" w:rsidP="006058C6">
      <w:pPr>
        <w:numPr>
          <w:ilvl w:val="0"/>
          <w:numId w:val="65"/>
        </w:numPr>
        <w:spacing w:line="360" w:lineRule="auto"/>
        <w:rPr>
          <w:rFonts w:ascii="仿宋_GB2312" w:hAnsi="仿宋_GB2312" w:cs="仿宋_GB2312"/>
          <w:sz w:val="28"/>
          <w:szCs w:val="28"/>
        </w:rPr>
      </w:pPr>
      <w:r>
        <w:rPr>
          <w:rFonts w:ascii="仿宋_GB2312" w:hAnsi="仿宋_GB2312" w:cs="仿宋_GB2312" w:hint="eastAsia"/>
          <w:sz w:val="28"/>
          <w:szCs w:val="28"/>
        </w:rPr>
        <w:t>课程基本要求</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2.1课程目标</w:t>
      </w:r>
    </w:p>
    <w:p w:rsidR="00C20406" w:rsidRDefault="00C20406" w:rsidP="00C2040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w:t>
      </w:r>
      <w:r>
        <w:rPr>
          <w:rFonts w:ascii="仿宋_GB2312" w:hAnsi="仿宋_GB2312" w:cs="仿宋_GB2312" w:hint="eastAsia"/>
          <w:bCs/>
          <w:sz w:val="28"/>
          <w:szCs w:val="28"/>
        </w:rPr>
        <w:t>建筑设备</w:t>
      </w:r>
      <w:r>
        <w:rPr>
          <w:rFonts w:ascii="仿宋_GB2312" w:hAnsi="仿宋_GB2312" w:cs="仿宋_GB2312"/>
          <w:bCs/>
          <w:sz w:val="28"/>
          <w:szCs w:val="28"/>
        </w:rPr>
        <w:t>安装技术</w:t>
      </w:r>
      <w:r>
        <w:rPr>
          <w:rFonts w:ascii="仿宋_GB2312" w:hAnsi="仿宋_GB2312" w:cs="仿宋_GB2312" w:hint="eastAsia"/>
          <w:sz w:val="28"/>
          <w:szCs w:val="28"/>
        </w:rPr>
        <w:t>》是一</w:t>
      </w:r>
      <w:r>
        <w:rPr>
          <w:rFonts w:ascii="仿宋_GB2312" w:hAnsi="仿宋_GB2312" w:cs="仿宋_GB2312"/>
          <w:sz w:val="28"/>
          <w:szCs w:val="28"/>
        </w:rPr>
        <w:t>门实践性强的课</w:t>
      </w:r>
      <w:r>
        <w:rPr>
          <w:rFonts w:ascii="仿宋_GB2312" w:hAnsi="仿宋_GB2312" w:cs="仿宋_GB2312" w:hint="eastAsia"/>
          <w:sz w:val="28"/>
          <w:szCs w:val="28"/>
        </w:rPr>
        <w:t>程</w:t>
      </w:r>
      <w:r>
        <w:rPr>
          <w:rFonts w:ascii="仿宋_GB2312" w:hAnsi="仿宋_GB2312" w:cs="仿宋_GB2312"/>
          <w:sz w:val="28"/>
          <w:szCs w:val="28"/>
        </w:rPr>
        <w:t>，</w:t>
      </w:r>
      <w:r>
        <w:rPr>
          <w:rFonts w:ascii="仿宋_GB2312" w:hAnsi="仿宋_GB2312" w:cs="仿宋_GB2312" w:hint="eastAsia"/>
          <w:sz w:val="28"/>
          <w:szCs w:val="28"/>
        </w:rPr>
        <w:t>通过本课程学习，使学生了解、</w:t>
      </w:r>
      <w:r>
        <w:rPr>
          <w:rFonts w:ascii="仿宋_GB2312" w:hAnsi="仿宋_GB2312" w:cs="仿宋_GB2312"/>
          <w:sz w:val="28"/>
          <w:szCs w:val="28"/>
        </w:rPr>
        <w:t>认识与熟悉</w:t>
      </w:r>
      <w:r>
        <w:rPr>
          <w:rFonts w:ascii="仿宋_GB2312" w:hAnsi="仿宋_GB2312" w:cs="仿宋_GB2312" w:hint="eastAsia"/>
          <w:sz w:val="28"/>
          <w:szCs w:val="28"/>
        </w:rPr>
        <w:t>建筑</w:t>
      </w:r>
      <w:r>
        <w:rPr>
          <w:rFonts w:ascii="仿宋_GB2312" w:hAnsi="仿宋_GB2312" w:cs="仿宋_GB2312"/>
          <w:sz w:val="28"/>
          <w:szCs w:val="28"/>
        </w:rPr>
        <w:t>设备安装中</w:t>
      </w:r>
      <w:r>
        <w:rPr>
          <w:rFonts w:ascii="仿宋_GB2312" w:hAnsi="仿宋_GB2312" w:cs="仿宋_GB2312" w:hint="eastAsia"/>
          <w:sz w:val="28"/>
          <w:szCs w:val="28"/>
        </w:rPr>
        <w:t>常用的管道材料、板</w:t>
      </w:r>
      <w:r>
        <w:rPr>
          <w:rFonts w:ascii="仿宋_GB2312" w:hAnsi="仿宋_GB2312" w:cs="仿宋_GB2312"/>
          <w:sz w:val="28"/>
          <w:szCs w:val="28"/>
        </w:rPr>
        <w:t>材、型材</w:t>
      </w:r>
      <w:r>
        <w:rPr>
          <w:rFonts w:ascii="仿宋_GB2312" w:hAnsi="仿宋_GB2312" w:cs="仿宋_GB2312" w:hint="eastAsia"/>
          <w:sz w:val="28"/>
          <w:szCs w:val="28"/>
        </w:rPr>
        <w:t>；常用</w:t>
      </w:r>
      <w:r>
        <w:rPr>
          <w:rFonts w:ascii="仿宋_GB2312" w:hAnsi="仿宋_GB2312" w:cs="仿宋_GB2312"/>
          <w:sz w:val="28"/>
          <w:szCs w:val="28"/>
        </w:rPr>
        <w:t>的机具；</w:t>
      </w:r>
      <w:r>
        <w:rPr>
          <w:rFonts w:ascii="仿宋_GB2312" w:hAnsi="仿宋_GB2312" w:cs="仿宋_GB2312" w:hint="eastAsia"/>
          <w:sz w:val="28"/>
          <w:szCs w:val="28"/>
        </w:rPr>
        <w:t>了解</w:t>
      </w:r>
      <w:r>
        <w:rPr>
          <w:rFonts w:ascii="仿宋_GB2312" w:hAnsi="仿宋_GB2312" w:cs="仿宋_GB2312"/>
          <w:sz w:val="28"/>
          <w:szCs w:val="28"/>
        </w:rPr>
        <w:t>常见</w:t>
      </w:r>
      <w:r>
        <w:rPr>
          <w:rFonts w:ascii="仿宋_GB2312" w:hAnsi="仿宋_GB2312" w:cs="仿宋_GB2312" w:hint="eastAsia"/>
          <w:sz w:val="28"/>
          <w:szCs w:val="28"/>
        </w:rPr>
        <w:t>设备安装</w:t>
      </w:r>
      <w:r>
        <w:rPr>
          <w:rFonts w:ascii="仿宋_GB2312" w:hAnsi="仿宋_GB2312" w:cs="仿宋_GB2312"/>
          <w:sz w:val="28"/>
          <w:szCs w:val="28"/>
        </w:rPr>
        <w:t>过程</w:t>
      </w:r>
      <w:r>
        <w:rPr>
          <w:rFonts w:ascii="仿宋_GB2312" w:hAnsi="仿宋_GB2312" w:cs="仿宋_GB2312" w:hint="eastAsia"/>
          <w:sz w:val="28"/>
          <w:szCs w:val="28"/>
        </w:rPr>
        <w:t>；了解管道、</w:t>
      </w:r>
      <w:r>
        <w:rPr>
          <w:rFonts w:ascii="仿宋_GB2312" w:hAnsi="仿宋_GB2312" w:cs="仿宋_GB2312"/>
          <w:sz w:val="28"/>
          <w:szCs w:val="28"/>
        </w:rPr>
        <w:t>材料与设备</w:t>
      </w:r>
      <w:r>
        <w:rPr>
          <w:rFonts w:ascii="仿宋_GB2312" w:hAnsi="仿宋_GB2312" w:cs="仿宋_GB2312" w:hint="eastAsia"/>
          <w:sz w:val="28"/>
          <w:szCs w:val="28"/>
        </w:rPr>
        <w:t>安装</w:t>
      </w:r>
      <w:r>
        <w:rPr>
          <w:rFonts w:ascii="仿宋_GB2312" w:hAnsi="仿宋_GB2312" w:cs="仿宋_GB2312"/>
          <w:sz w:val="28"/>
          <w:szCs w:val="28"/>
        </w:rPr>
        <w:t>的</w:t>
      </w:r>
      <w:r>
        <w:rPr>
          <w:rFonts w:ascii="仿宋_GB2312" w:hAnsi="仿宋_GB2312" w:cs="仿宋_GB2312" w:hint="eastAsia"/>
          <w:sz w:val="28"/>
          <w:szCs w:val="28"/>
        </w:rPr>
        <w:t>标准与规范；培养</w:t>
      </w:r>
      <w:r>
        <w:rPr>
          <w:rFonts w:ascii="仿宋_GB2312" w:hAnsi="仿宋_GB2312" w:cs="仿宋_GB2312"/>
          <w:sz w:val="28"/>
          <w:szCs w:val="28"/>
        </w:rPr>
        <w:t>实践</w:t>
      </w:r>
      <w:r>
        <w:rPr>
          <w:rFonts w:ascii="仿宋_GB2312" w:hAnsi="仿宋_GB2312" w:cs="仿宋_GB2312" w:hint="eastAsia"/>
          <w:sz w:val="28"/>
          <w:szCs w:val="28"/>
        </w:rPr>
        <w:t>工程解决问题</w:t>
      </w:r>
      <w:r>
        <w:rPr>
          <w:rFonts w:ascii="仿宋_GB2312" w:hAnsi="仿宋_GB2312" w:cs="仿宋_GB2312"/>
          <w:sz w:val="28"/>
          <w:szCs w:val="28"/>
        </w:rPr>
        <w:t>的</w:t>
      </w:r>
      <w:r>
        <w:rPr>
          <w:rFonts w:ascii="仿宋_GB2312" w:hAnsi="仿宋_GB2312" w:cs="仿宋_GB2312" w:hint="eastAsia"/>
          <w:sz w:val="28"/>
          <w:szCs w:val="28"/>
        </w:rPr>
        <w:t>能力和思想方法。</w:t>
      </w:r>
    </w:p>
    <w:p w:rsidR="00C20406" w:rsidRDefault="00C20406" w:rsidP="00C20406">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5925"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2"/>
        <w:gridCol w:w="900"/>
        <w:gridCol w:w="2693"/>
      </w:tblGrid>
      <w:tr w:rsidR="00C20406" w:rsidTr="008C3907">
        <w:trPr>
          <w:cantSplit/>
          <w:trHeight w:val="785"/>
        </w:trPr>
        <w:tc>
          <w:tcPr>
            <w:tcW w:w="3232" w:type="dxa"/>
            <w:gridSpan w:val="2"/>
            <w:vAlign w:val="center"/>
          </w:tcPr>
          <w:p w:rsidR="00C20406" w:rsidRDefault="00C20406" w:rsidP="008C3907">
            <w:pPr>
              <w:jc w:val="center"/>
              <w:rPr>
                <w:rFonts w:ascii="Times New Roman" w:hAnsi="Times New Roman"/>
                <w:kern w:val="0"/>
                <w:sz w:val="20"/>
                <w:szCs w:val="20"/>
              </w:rPr>
            </w:pPr>
            <w:r>
              <w:rPr>
                <w:rFonts w:ascii="Times New Roman" w:hAnsi="Times New Roman" w:hint="eastAsia"/>
                <w:kern w:val="0"/>
                <w:sz w:val="20"/>
                <w:szCs w:val="20"/>
              </w:rPr>
              <w:t>课程目标</w:t>
            </w:r>
          </w:p>
        </w:tc>
        <w:tc>
          <w:tcPr>
            <w:tcW w:w="2693" w:type="dxa"/>
            <w:vAlign w:val="center"/>
          </w:tcPr>
          <w:p w:rsidR="00C20406" w:rsidRDefault="00C20406" w:rsidP="008C3907">
            <w:pPr>
              <w:jc w:val="center"/>
              <w:rPr>
                <w:rFonts w:ascii="Times New Roman" w:hAnsi="Times New Roman"/>
                <w:kern w:val="0"/>
                <w:sz w:val="20"/>
                <w:szCs w:val="20"/>
              </w:rPr>
            </w:pPr>
            <w:r>
              <w:rPr>
                <w:rFonts w:ascii="Times New Roman" w:hAnsi="Times New Roman" w:hint="eastAsia"/>
                <w:kern w:val="0"/>
                <w:sz w:val="20"/>
                <w:szCs w:val="20"/>
              </w:rPr>
              <w:t>毕业要</w:t>
            </w:r>
            <w:r>
              <w:rPr>
                <w:rFonts w:ascii="Times New Roman" w:hAnsi="Times New Roman"/>
                <w:kern w:val="0"/>
                <w:sz w:val="20"/>
                <w:szCs w:val="20"/>
              </w:rPr>
              <w:t>求</w:t>
            </w:r>
          </w:p>
        </w:tc>
      </w:tr>
      <w:tr w:rsidR="00C20406" w:rsidTr="008C3907">
        <w:trPr>
          <w:trHeight w:val="411"/>
        </w:trPr>
        <w:tc>
          <w:tcPr>
            <w:tcW w:w="3232" w:type="dxa"/>
            <w:gridSpan w:val="2"/>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毕业要求</w:t>
            </w:r>
          </w:p>
        </w:tc>
        <w:tc>
          <w:tcPr>
            <w:tcW w:w="2693" w:type="dxa"/>
            <w:vAlign w:val="center"/>
          </w:tcPr>
          <w:p w:rsidR="00C20406" w:rsidRDefault="00C20406" w:rsidP="008C3907">
            <w:pPr>
              <w:rPr>
                <w:rFonts w:ascii="Times New Roman" w:hAnsi="Times New Roman"/>
                <w:kern w:val="0"/>
                <w:sz w:val="20"/>
                <w:szCs w:val="20"/>
              </w:rPr>
            </w:pPr>
          </w:p>
        </w:tc>
      </w:tr>
      <w:tr w:rsidR="00C20406" w:rsidTr="008C3907">
        <w:trPr>
          <w:trHeight w:val="172"/>
        </w:trPr>
        <w:tc>
          <w:tcPr>
            <w:tcW w:w="2332" w:type="dxa"/>
            <w:vMerge w:val="restart"/>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工程知识</w:t>
            </w: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1.1</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kern w:val="0"/>
                <w:sz w:val="20"/>
                <w:szCs w:val="20"/>
              </w:rPr>
              <w:t>M</w:t>
            </w:r>
          </w:p>
        </w:tc>
      </w:tr>
      <w:tr w:rsidR="00C20406" w:rsidTr="008C3907">
        <w:trPr>
          <w:trHeight w:val="94"/>
        </w:trPr>
        <w:tc>
          <w:tcPr>
            <w:tcW w:w="2332" w:type="dxa"/>
            <w:vMerge/>
            <w:vAlign w:val="center"/>
          </w:tcPr>
          <w:p w:rsidR="00C20406" w:rsidRDefault="00C20406" w:rsidP="008C3907">
            <w:pPr>
              <w:rPr>
                <w:rFonts w:ascii="Times New Roman" w:hAnsi="Times New Roman"/>
                <w:kern w:val="0"/>
                <w:sz w:val="20"/>
                <w:szCs w:val="20"/>
              </w:rPr>
            </w:pP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1.2</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kern w:val="0"/>
                <w:sz w:val="20"/>
                <w:szCs w:val="20"/>
              </w:rPr>
              <w:t>M</w:t>
            </w:r>
          </w:p>
        </w:tc>
      </w:tr>
      <w:tr w:rsidR="00C20406" w:rsidTr="008C3907">
        <w:trPr>
          <w:trHeight w:val="125"/>
        </w:trPr>
        <w:tc>
          <w:tcPr>
            <w:tcW w:w="2332" w:type="dxa"/>
            <w:vMerge/>
            <w:vAlign w:val="center"/>
          </w:tcPr>
          <w:p w:rsidR="00C20406" w:rsidRDefault="00C20406" w:rsidP="008C3907">
            <w:pPr>
              <w:rPr>
                <w:rFonts w:ascii="Times New Roman" w:hAnsi="Times New Roman"/>
                <w:kern w:val="0"/>
                <w:sz w:val="20"/>
                <w:szCs w:val="20"/>
              </w:rPr>
            </w:pP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1.3</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kern w:val="0"/>
                <w:sz w:val="20"/>
                <w:szCs w:val="20"/>
              </w:rPr>
              <w:t>M</w:t>
            </w:r>
          </w:p>
        </w:tc>
      </w:tr>
      <w:tr w:rsidR="00C20406" w:rsidTr="008C3907">
        <w:trPr>
          <w:trHeight w:val="109"/>
        </w:trPr>
        <w:tc>
          <w:tcPr>
            <w:tcW w:w="2332" w:type="dxa"/>
            <w:vMerge w:val="restart"/>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问题分析</w:t>
            </w: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2.1</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kern w:val="0"/>
                <w:sz w:val="20"/>
                <w:szCs w:val="20"/>
              </w:rPr>
              <w:t>M</w:t>
            </w:r>
          </w:p>
        </w:tc>
      </w:tr>
      <w:tr w:rsidR="00C20406" w:rsidTr="008C3907">
        <w:trPr>
          <w:trHeight w:val="105"/>
        </w:trPr>
        <w:tc>
          <w:tcPr>
            <w:tcW w:w="2332" w:type="dxa"/>
            <w:vMerge/>
            <w:vAlign w:val="center"/>
          </w:tcPr>
          <w:p w:rsidR="00C20406" w:rsidRDefault="00C20406" w:rsidP="008C3907">
            <w:pPr>
              <w:rPr>
                <w:rFonts w:ascii="Times New Roman" w:hAnsi="Times New Roman"/>
                <w:kern w:val="0"/>
                <w:sz w:val="20"/>
                <w:szCs w:val="20"/>
              </w:rPr>
            </w:pP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2.2</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kern w:val="0"/>
                <w:sz w:val="20"/>
                <w:szCs w:val="20"/>
              </w:rPr>
              <w:t>M</w:t>
            </w:r>
          </w:p>
        </w:tc>
      </w:tr>
      <w:tr w:rsidR="00C20406" w:rsidTr="008C3907">
        <w:trPr>
          <w:trHeight w:val="118"/>
        </w:trPr>
        <w:tc>
          <w:tcPr>
            <w:tcW w:w="2332" w:type="dxa"/>
            <w:vMerge/>
            <w:vAlign w:val="center"/>
          </w:tcPr>
          <w:p w:rsidR="00C20406" w:rsidRDefault="00C20406" w:rsidP="008C3907">
            <w:pPr>
              <w:rPr>
                <w:rFonts w:ascii="Times New Roman" w:hAnsi="Times New Roman"/>
                <w:kern w:val="0"/>
                <w:sz w:val="20"/>
                <w:szCs w:val="20"/>
              </w:rPr>
            </w:pP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2.3</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kern w:val="0"/>
                <w:sz w:val="20"/>
                <w:szCs w:val="20"/>
              </w:rPr>
              <w:t>M</w:t>
            </w:r>
          </w:p>
        </w:tc>
      </w:tr>
      <w:tr w:rsidR="00C20406" w:rsidTr="008C3907">
        <w:trPr>
          <w:trHeight w:val="125"/>
        </w:trPr>
        <w:tc>
          <w:tcPr>
            <w:tcW w:w="2332" w:type="dxa"/>
            <w:vMerge w:val="restart"/>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设计</w:t>
            </w:r>
            <w:r>
              <w:rPr>
                <w:rFonts w:ascii="Times New Roman" w:hAnsi="Times New Roman" w:hint="eastAsia"/>
                <w:kern w:val="0"/>
                <w:sz w:val="20"/>
                <w:szCs w:val="20"/>
              </w:rPr>
              <w:t>/</w:t>
            </w:r>
            <w:r>
              <w:rPr>
                <w:rFonts w:ascii="Times New Roman" w:hAnsi="Times New Roman" w:hint="eastAsia"/>
                <w:kern w:val="0"/>
                <w:sz w:val="20"/>
                <w:szCs w:val="20"/>
              </w:rPr>
              <w:t>开发解决方案</w:t>
            </w: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3.1</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H</w:t>
            </w:r>
          </w:p>
        </w:tc>
      </w:tr>
      <w:tr w:rsidR="00C20406" w:rsidTr="008C3907">
        <w:trPr>
          <w:trHeight w:val="89"/>
        </w:trPr>
        <w:tc>
          <w:tcPr>
            <w:tcW w:w="2332" w:type="dxa"/>
            <w:vMerge/>
            <w:vAlign w:val="center"/>
          </w:tcPr>
          <w:p w:rsidR="00C20406" w:rsidRDefault="00C20406" w:rsidP="008C3907">
            <w:pPr>
              <w:rPr>
                <w:rFonts w:ascii="Times New Roman" w:hAnsi="Times New Roman"/>
                <w:kern w:val="0"/>
                <w:sz w:val="20"/>
                <w:szCs w:val="20"/>
              </w:rPr>
            </w:pP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3.2</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H</w:t>
            </w:r>
          </w:p>
        </w:tc>
      </w:tr>
      <w:tr w:rsidR="00C20406" w:rsidTr="008C3907">
        <w:trPr>
          <w:trHeight w:val="118"/>
        </w:trPr>
        <w:tc>
          <w:tcPr>
            <w:tcW w:w="2332" w:type="dxa"/>
            <w:vMerge/>
            <w:vAlign w:val="center"/>
          </w:tcPr>
          <w:p w:rsidR="00C20406" w:rsidRDefault="00C20406" w:rsidP="008C3907">
            <w:pPr>
              <w:rPr>
                <w:rFonts w:ascii="Times New Roman" w:hAnsi="Times New Roman"/>
                <w:kern w:val="0"/>
                <w:sz w:val="20"/>
                <w:szCs w:val="20"/>
              </w:rPr>
            </w:pP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3.3</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H</w:t>
            </w:r>
          </w:p>
        </w:tc>
      </w:tr>
      <w:tr w:rsidR="00C20406" w:rsidTr="008C3907">
        <w:trPr>
          <w:trHeight w:val="277"/>
        </w:trPr>
        <w:tc>
          <w:tcPr>
            <w:tcW w:w="2332"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研究</w:t>
            </w:r>
          </w:p>
        </w:tc>
        <w:tc>
          <w:tcPr>
            <w:tcW w:w="900" w:type="dxa"/>
            <w:vAlign w:val="center"/>
          </w:tcPr>
          <w:p w:rsidR="00C20406" w:rsidRDefault="00C20406" w:rsidP="008C3907">
            <w:pPr>
              <w:rPr>
                <w:rFonts w:ascii="Times New Roman" w:hAnsi="Times New Roman"/>
                <w:kern w:val="0"/>
                <w:sz w:val="20"/>
                <w:szCs w:val="20"/>
              </w:rPr>
            </w:pPr>
          </w:p>
        </w:tc>
        <w:tc>
          <w:tcPr>
            <w:tcW w:w="2693" w:type="dxa"/>
            <w:vAlign w:val="bottom"/>
          </w:tcPr>
          <w:p w:rsidR="00C20406" w:rsidRDefault="00C20406" w:rsidP="008C3907">
            <w:pPr>
              <w:rPr>
                <w:rFonts w:ascii="Times New Roman" w:hAnsi="Times New Roman"/>
                <w:kern w:val="0"/>
                <w:sz w:val="20"/>
                <w:szCs w:val="20"/>
              </w:rPr>
            </w:pPr>
          </w:p>
        </w:tc>
      </w:tr>
      <w:tr w:rsidR="00C20406" w:rsidTr="008C3907">
        <w:trPr>
          <w:trHeight w:val="94"/>
        </w:trPr>
        <w:tc>
          <w:tcPr>
            <w:tcW w:w="2332" w:type="dxa"/>
            <w:vMerge w:val="restart"/>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5.</w:t>
            </w:r>
            <w:r>
              <w:rPr>
                <w:rFonts w:ascii="Times New Roman" w:hAnsi="Times New Roman" w:hint="eastAsia"/>
                <w:kern w:val="0"/>
                <w:sz w:val="20"/>
                <w:szCs w:val="20"/>
              </w:rPr>
              <w:t>使用现代工具</w:t>
            </w: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5.1</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H</w:t>
            </w:r>
          </w:p>
        </w:tc>
      </w:tr>
      <w:tr w:rsidR="00C20406" w:rsidTr="008C3907">
        <w:trPr>
          <w:trHeight w:val="109"/>
        </w:trPr>
        <w:tc>
          <w:tcPr>
            <w:tcW w:w="2332" w:type="dxa"/>
            <w:vMerge/>
            <w:vAlign w:val="center"/>
          </w:tcPr>
          <w:p w:rsidR="00C20406" w:rsidRDefault="00C20406" w:rsidP="008C3907">
            <w:pPr>
              <w:rPr>
                <w:rFonts w:ascii="Times New Roman" w:hAnsi="Times New Roman"/>
                <w:kern w:val="0"/>
                <w:sz w:val="20"/>
                <w:szCs w:val="20"/>
              </w:rPr>
            </w:pP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5.2</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H</w:t>
            </w:r>
          </w:p>
        </w:tc>
      </w:tr>
      <w:tr w:rsidR="00C20406" w:rsidTr="008C3907">
        <w:trPr>
          <w:trHeight w:val="105"/>
        </w:trPr>
        <w:tc>
          <w:tcPr>
            <w:tcW w:w="2332" w:type="dxa"/>
            <w:vMerge/>
            <w:vAlign w:val="center"/>
          </w:tcPr>
          <w:p w:rsidR="00C20406" w:rsidRDefault="00C20406" w:rsidP="008C3907">
            <w:pPr>
              <w:rPr>
                <w:rFonts w:ascii="Times New Roman" w:hAnsi="Times New Roman"/>
                <w:kern w:val="0"/>
                <w:sz w:val="20"/>
                <w:szCs w:val="20"/>
              </w:rPr>
            </w:pP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5.3</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H</w:t>
            </w:r>
          </w:p>
        </w:tc>
      </w:tr>
      <w:tr w:rsidR="00C20406" w:rsidTr="008C3907">
        <w:trPr>
          <w:trHeight w:val="141"/>
        </w:trPr>
        <w:tc>
          <w:tcPr>
            <w:tcW w:w="2332" w:type="dxa"/>
            <w:vMerge w:val="restart"/>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6.</w:t>
            </w:r>
            <w:r>
              <w:rPr>
                <w:rFonts w:ascii="Times New Roman" w:hAnsi="Times New Roman" w:hint="eastAsia"/>
                <w:kern w:val="0"/>
                <w:sz w:val="20"/>
                <w:szCs w:val="20"/>
              </w:rPr>
              <w:t>工程与社会</w:t>
            </w: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6.1</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H</w:t>
            </w:r>
          </w:p>
        </w:tc>
      </w:tr>
      <w:tr w:rsidR="00C20406" w:rsidTr="008C3907">
        <w:trPr>
          <w:trHeight w:val="102"/>
        </w:trPr>
        <w:tc>
          <w:tcPr>
            <w:tcW w:w="2332" w:type="dxa"/>
            <w:vMerge/>
            <w:vAlign w:val="center"/>
          </w:tcPr>
          <w:p w:rsidR="00C20406" w:rsidRDefault="00C20406" w:rsidP="008C3907">
            <w:pPr>
              <w:rPr>
                <w:rFonts w:ascii="Times New Roman" w:hAnsi="Times New Roman"/>
                <w:kern w:val="0"/>
                <w:sz w:val="20"/>
                <w:szCs w:val="20"/>
              </w:rPr>
            </w:pP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6.2</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H</w:t>
            </w:r>
          </w:p>
        </w:tc>
      </w:tr>
      <w:tr w:rsidR="00C20406" w:rsidTr="008C3907">
        <w:trPr>
          <w:trHeight w:val="104"/>
        </w:trPr>
        <w:tc>
          <w:tcPr>
            <w:tcW w:w="2332" w:type="dxa"/>
            <w:vMerge w:val="restart"/>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7.</w:t>
            </w:r>
            <w:r>
              <w:rPr>
                <w:rFonts w:ascii="Times New Roman" w:hAnsi="Times New Roman" w:hint="eastAsia"/>
                <w:kern w:val="0"/>
                <w:sz w:val="20"/>
                <w:szCs w:val="20"/>
              </w:rPr>
              <w:t>环境和可持续发展</w:t>
            </w: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7.1</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kern w:val="0"/>
                <w:sz w:val="20"/>
                <w:szCs w:val="20"/>
              </w:rPr>
              <w:t>M</w:t>
            </w:r>
          </w:p>
        </w:tc>
      </w:tr>
      <w:tr w:rsidR="00C20406" w:rsidTr="008C3907">
        <w:trPr>
          <w:trHeight w:val="157"/>
        </w:trPr>
        <w:tc>
          <w:tcPr>
            <w:tcW w:w="2332" w:type="dxa"/>
            <w:vMerge/>
            <w:vAlign w:val="center"/>
          </w:tcPr>
          <w:p w:rsidR="00C20406" w:rsidRDefault="00C20406" w:rsidP="008C3907">
            <w:pPr>
              <w:rPr>
                <w:rFonts w:ascii="Times New Roman" w:hAnsi="Times New Roman"/>
                <w:kern w:val="0"/>
                <w:sz w:val="20"/>
                <w:szCs w:val="20"/>
              </w:rPr>
            </w:pP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7.2</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kern w:val="0"/>
                <w:sz w:val="20"/>
                <w:szCs w:val="20"/>
              </w:rPr>
              <w:t>M</w:t>
            </w:r>
          </w:p>
        </w:tc>
      </w:tr>
      <w:tr w:rsidR="00C20406" w:rsidTr="008C3907">
        <w:trPr>
          <w:trHeight w:val="297"/>
        </w:trPr>
        <w:tc>
          <w:tcPr>
            <w:tcW w:w="2332"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8.</w:t>
            </w:r>
            <w:r>
              <w:rPr>
                <w:rFonts w:ascii="Times New Roman" w:hAnsi="Times New Roman" w:hint="eastAsia"/>
                <w:kern w:val="0"/>
                <w:sz w:val="20"/>
                <w:szCs w:val="20"/>
              </w:rPr>
              <w:t>职业规范</w:t>
            </w:r>
          </w:p>
        </w:tc>
        <w:tc>
          <w:tcPr>
            <w:tcW w:w="900" w:type="dxa"/>
            <w:vAlign w:val="center"/>
          </w:tcPr>
          <w:p w:rsidR="00C20406" w:rsidRDefault="00C20406" w:rsidP="008C3907">
            <w:pPr>
              <w:rPr>
                <w:rFonts w:ascii="Times New Roman" w:hAnsi="Times New Roman"/>
                <w:kern w:val="0"/>
                <w:sz w:val="20"/>
                <w:szCs w:val="20"/>
              </w:rPr>
            </w:pPr>
          </w:p>
        </w:tc>
        <w:tc>
          <w:tcPr>
            <w:tcW w:w="2693" w:type="dxa"/>
            <w:vAlign w:val="bottom"/>
          </w:tcPr>
          <w:p w:rsidR="00C20406" w:rsidRDefault="00C20406" w:rsidP="008C3907">
            <w:pPr>
              <w:rPr>
                <w:rFonts w:ascii="Times New Roman" w:hAnsi="Times New Roman"/>
                <w:kern w:val="0"/>
                <w:sz w:val="20"/>
                <w:szCs w:val="20"/>
              </w:rPr>
            </w:pPr>
          </w:p>
        </w:tc>
      </w:tr>
      <w:tr w:rsidR="00C20406" w:rsidTr="008C3907">
        <w:trPr>
          <w:trHeight w:val="408"/>
        </w:trPr>
        <w:tc>
          <w:tcPr>
            <w:tcW w:w="2332"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hint="eastAsia"/>
                <w:kern w:val="0"/>
                <w:sz w:val="20"/>
                <w:szCs w:val="20"/>
              </w:rPr>
              <w:t>个人和团队</w:t>
            </w:r>
          </w:p>
        </w:tc>
        <w:tc>
          <w:tcPr>
            <w:tcW w:w="900" w:type="dxa"/>
            <w:vAlign w:val="center"/>
          </w:tcPr>
          <w:p w:rsidR="00C20406" w:rsidRDefault="00C20406" w:rsidP="008C3907">
            <w:pPr>
              <w:rPr>
                <w:rFonts w:ascii="Times New Roman" w:hAnsi="Times New Roman"/>
                <w:kern w:val="0"/>
                <w:sz w:val="20"/>
                <w:szCs w:val="20"/>
              </w:rPr>
            </w:pPr>
          </w:p>
        </w:tc>
        <w:tc>
          <w:tcPr>
            <w:tcW w:w="2693" w:type="dxa"/>
            <w:vAlign w:val="bottom"/>
          </w:tcPr>
          <w:p w:rsidR="00C20406" w:rsidRDefault="00C20406" w:rsidP="008C3907">
            <w:pPr>
              <w:rPr>
                <w:rFonts w:ascii="Times New Roman" w:hAnsi="Times New Roman"/>
                <w:kern w:val="0"/>
                <w:sz w:val="20"/>
                <w:szCs w:val="20"/>
              </w:rPr>
            </w:pPr>
          </w:p>
        </w:tc>
      </w:tr>
      <w:tr w:rsidR="00C20406" w:rsidTr="008C3907">
        <w:trPr>
          <w:trHeight w:val="293"/>
        </w:trPr>
        <w:tc>
          <w:tcPr>
            <w:tcW w:w="2332"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10.</w:t>
            </w:r>
            <w:r>
              <w:rPr>
                <w:rFonts w:ascii="Times New Roman" w:hAnsi="Times New Roman" w:hint="eastAsia"/>
                <w:kern w:val="0"/>
                <w:sz w:val="20"/>
                <w:szCs w:val="20"/>
              </w:rPr>
              <w:t>沟通</w:t>
            </w:r>
          </w:p>
        </w:tc>
        <w:tc>
          <w:tcPr>
            <w:tcW w:w="900" w:type="dxa"/>
            <w:vAlign w:val="center"/>
          </w:tcPr>
          <w:p w:rsidR="00C20406" w:rsidRDefault="00C20406" w:rsidP="008C3907">
            <w:pPr>
              <w:rPr>
                <w:rFonts w:ascii="Times New Roman" w:hAnsi="Times New Roman"/>
                <w:kern w:val="0"/>
                <w:sz w:val="20"/>
                <w:szCs w:val="20"/>
              </w:rPr>
            </w:pPr>
          </w:p>
        </w:tc>
        <w:tc>
          <w:tcPr>
            <w:tcW w:w="2693" w:type="dxa"/>
            <w:vAlign w:val="bottom"/>
          </w:tcPr>
          <w:p w:rsidR="00C20406" w:rsidRDefault="00C20406" w:rsidP="008C3907">
            <w:pPr>
              <w:rPr>
                <w:rFonts w:ascii="Times New Roman" w:hAnsi="Times New Roman"/>
                <w:kern w:val="0"/>
                <w:sz w:val="20"/>
                <w:szCs w:val="20"/>
              </w:rPr>
            </w:pPr>
          </w:p>
        </w:tc>
      </w:tr>
      <w:tr w:rsidR="00C20406" w:rsidTr="008C3907">
        <w:trPr>
          <w:trHeight w:val="102"/>
        </w:trPr>
        <w:tc>
          <w:tcPr>
            <w:tcW w:w="2332" w:type="dxa"/>
            <w:vMerge w:val="restart"/>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11.</w:t>
            </w:r>
            <w:r>
              <w:rPr>
                <w:rFonts w:ascii="Times New Roman" w:hAnsi="Times New Roman" w:hint="eastAsia"/>
                <w:kern w:val="0"/>
                <w:sz w:val="20"/>
                <w:szCs w:val="20"/>
              </w:rPr>
              <w:t>项目管理</w:t>
            </w: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11.1</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kern w:val="0"/>
                <w:sz w:val="20"/>
                <w:szCs w:val="20"/>
              </w:rPr>
              <w:t>M</w:t>
            </w:r>
          </w:p>
        </w:tc>
      </w:tr>
      <w:tr w:rsidR="00C20406" w:rsidTr="008C3907">
        <w:trPr>
          <w:trHeight w:val="141"/>
        </w:trPr>
        <w:tc>
          <w:tcPr>
            <w:tcW w:w="2332" w:type="dxa"/>
            <w:vMerge/>
            <w:vAlign w:val="center"/>
          </w:tcPr>
          <w:p w:rsidR="00C20406" w:rsidRDefault="00C20406" w:rsidP="008C3907">
            <w:pPr>
              <w:rPr>
                <w:rFonts w:ascii="Times New Roman" w:hAnsi="Times New Roman"/>
                <w:kern w:val="0"/>
                <w:sz w:val="20"/>
                <w:szCs w:val="20"/>
              </w:rPr>
            </w:pPr>
          </w:p>
        </w:tc>
        <w:tc>
          <w:tcPr>
            <w:tcW w:w="900"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11.2</w:t>
            </w:r>
          </w:p>
        </w:tc>
        <w:tc>
          <w:tcPr>
            <w:tcW w:w="2693" w:type="dxa"/>
            <w:vAlign w:val="bottom"/>
          </w:tcPr>
          <w:p w:rsidR="00C20406" w:rsidRDefault="00C20406" w:rsidP="008C3907">
            <w:pPr>
              <w:rPr>
                <w:rFonts w:ascii="Times New Roman" w:hAnsi="Times New Roman"/>
                <w:kern w:val="0"/>
                <w:sz w:val="20"/>
                <w:szCs w:val="20"/>
              </w:rPr>
            </w:pPr>
            <w:r>
              <w:rPr>
                <w:rFonts w:ascii="Times New Roman" w:hAnsi="Times New Roman"/>
                <w:kern w:val="0"/>
                <w:sz w:val="20"/>
                <w:szCs w:val="20"/>
              </w:rPr>
              <w:t>M</w:t>
            </w:r>
          </w:p>
        </w:tc>
      </w:tr>
      <w:tr w:rsidR="00C20406" w:rsidTr="008C3907">
        <w:trPr>
          <w:trHeight w:val="216"/>
        </w:trPr>
        <w:tc>
          <w:tcPr>
            <w:tcW w:w="2332" w:type="dxa"/>
            <w:vAlign w:val="center"/>
          </w:tcPr>
          <w:p w:rsidR="00C20406" w:rsidRDefault="00C20406" w:rsidP="008C3907">
            <w:pPr>
              <w:rPr>
                <w:rFonts w:ascii="Times New Roman" w:hAnsi="Times New Roman"/>
                <w:kern w:val="0"/>
                <w:sz w:val="20"/>
                <w:szCs w:val="20"/>
              </w:rPr>
            </w:pPr>
            <w:r>
              <w:rPr>
                <w:rFonts w:ascii="Times New Roman" w:hAnsi="Times New Roman" w:hint="eastAsia"/>
                <w:kern w:val="0"/>
                <w:sz w:val="20"/>
                <w:szCs w:val="20"/>
              </w:rPr>
              <w:t>12.</w:t>
            </w:r>
            <w:r>
              <w:rPr>
                <w:rFonts w:ascii="Times New Roman" w:hAnsi="Times New Roman" w:hint="eastAsia"/>
                <w:kern w:val="0"/>
                <w:sz w:val="20"/>
                <w:szCs w:val="20"/>
              </w:rPr>
              <w:t>终身学习</w:t>
            </w:r>
          </w:p>
        </w:tc>
        <w:tc>
          <w:tcPr>
            <w:tcW w:w="900" w:type="dxa"/>
            <w:vAlign w:val="center"/>
          </w:tcPr>
          <w:p w:rsidR="00C20406" w:rsidRDefault="00C20406" w:rsidP="008C3907">
            <w:pPr>
              <w:rPr>
                <w:rFonts w:ascii="Times New Roman" w:hAnsi="Times New Roman"/>
                <w:kern w:val="0"/>
                <w:sz w:val="20"/>
                <w:szCs w:val="20"/>
              </w:rPr>
            </w:pPr>
          </w:p>
        </w:tc>
        <w:tc>
          <w:tcPr>
            <w:tcW w:w="2693" w:type="dxa"/>
            <w:vAlign w:val="bottom"/>
          </w:tcPr>
          <w:p w:rsidR="00C20406" w:rsidRDefault="00C20406" w:rsidP="008C3907">
            <w:pPr>
              <w:rPr>
                <w:rFonts w:ascii="Times New Roman" w:hAnsi="Times New Roman"/>
                <w:kern w:val="0"/>
                <w:sz w:val="20"/>
                <w:szCs w:val="20"/>
              </w:rPr>
            </w:pPr>
          </w:p>
        </w:tc>
      </w:tr>
    </w:tbl>
    <w:p w:rsidR="00C20406" w:rsidRDefault="00C20406" w:rsidP="000A7EE3">
      <w:pPr>
        <w:spacing w:line="360" w:lineRule="auto"/>
        <w:rPr>
          <w:rFonts w:ascii="仿宋_GB2312" w:hAnsi="仿宋_GB2312" w:cs="仿宋_GB2312"/>
          <w:sz w:val="28"/>
          <w:szCs w:val="28"/>
        </w:rPr>
      </w:pPr>
      <w:r>
        <w:rPr>
          <w:rFonts w:ascii="仿宋_GB2312" w:hAnsi="仿宋_GB2312" w:cs="仿宋_GB2312" w:hint="eastAsia"/>
          <w:sz w:val="28"/>
          <w:szCs w:val="28"/>
        </w:rPr>
        <w:t>3. 课程的重点、难点</w:t>
      </w:r>
    </w:p>
    <w:p w:rsidR="00C20406" w:rsidRDefault="00C20406" w:rsidP="00C20406">
      <w:pPr>
        <w:spacing w:line="360" w:lineRule="auto"/>
        <w:ind w:leftChars="200" w:left="1480" w:hangingChars="300" w:hanging="840"/>
        <w:rPr>
          <w:rFonts w:ascii="仿宋_GB2312" w:hAnsi="仿宋_GB2312" w:cs="仿宋_GB2312"/>
          <w:sz w:val="28"/>
          <w:szCs w:val="28"/>
        </w:rPr>
      </w:pPr>
      <w:r>
        <w:rPr>
          <w:rFonts w:ascii="仿宋_GB2312" w:hAnsi="仿宋_GB2312" w:cs="仿宋_GB2312" w:hint="eastAsia"/>
          <w:sz w:val="28"/>
          <w:szCs w:val="28"/>
        </w:rPr>
        <w:t>重点：管道、</w:t>
      </w:r>
      <w:r>
        <w:rPr>
          <w:rFonts w:ascii="仿宋_GB2312" w:hAnsi="仿宋_GB2312" w:cs="仿宋_GB2312"/>
          <w:sz w:val="28"/>
          <w:szCs w:val="28"/>
        </w:rPr>
        <w:t>板材、型材</w:t>
      </w:r>
      <w:r>
        <w:rPr>
          <w:rFonts w:ascii="仿宋_GB2312" w:hAnsi="仿宋_GB2312" w:cs="仿宋_GB2312" w:hint="eastAsia"/>
          <w:sz w:val="28"/>
          <w:szCs w:val="28"/>
        </w:rPr>
        <w:t>材料及</w:t>
      </w:r>
      <w:r>
        <w:rPr>
          <w:rFonts w:ascii="仿宋_GB2312" w:hAnsi="仿宋_GB2312" w:cs="仿宋_GB2312"/>
          <w:sz w:val="28"/>
          <w:szCs w:val="28"/>
        </w:rPr>
        <w:t>规格的认识与熟悉、施工工具的认识、</w:t>
      </w:r>
      <w:r>
        <w:rPr>
          <w:rFonts w:ascii="仿宋_GB2312" w:hAnsi="仿宋_GB2312" w:cs="仿宋_GB2312" w:hint="eastAsia"/>
          <w:sz w:val="28"/>
          <w:szCs w:val="28"/>
        </w:rPr>
        <w:t>供暖</w:t>
      </w:r>
      <w:r>
        <w:rPr>
          <w:rFonts w:ascii="仿宋_GB2312" w:hAnsi="仿宋_GB2312" w:cs="仿宋_GB2312"/>
          <w:sz w:val="28"/>
          <w:szCs w:val="28"/>
        </w:rPr>
        <w:t>系统</w:t>
      </w:r>
      <w:r>
        <w:rPr>
          <w:rFonts w:ascii="仿宋_GB2312" w:hAnsi="仿宋_GB2312" w:cs="仿宋_GB2312" w:hint="eastAsia"/>
          <w:sz w:val="28"/>
          <w:szCs w:val="28"/>
        </w:rPr>
        <w:t>、</w:t>
      </w:r>
      <w:r>
        <w:rPr>
          <w:rFonts w:ascii="仿宋_GB2312" w:hAnsi="仿宋_GB2312" w:cs="仿宋_GB2312"/>
          <w:sz w:val="28"/>
          <w:szCs w:val="28"/>
        </w:rPr>
        <w:t>给排水系统</w:t>
      </w:r>
      <w:r>
        <w:rPr>
          <w:rFonts w:ascii="仿宋_GB2312" w:hAnsi="仿宋_GB2312" w:cs="仿宋_GB2312" w:hint="eastAsia"/>
          <w:sz w:val="28"/>
          <w:szCs w:val="28"/>
        </w:rPr>
        <w:t>、通风</w:t>
      </w:r>
      <w:r>
        <w:rPr>
          <w:rFonts w:ascii="仿宋_GB2312" w:hAnsi="仿宋_GB2312" w:cs="仿宋_GB2312"/>
          <w:sz w:val="28"/>
          <w:szCs w:val="28"/>
        </w:rPr>
        <w:t>空调系统的安装与过程</w:t>
      </w:r>
      <w:r>
        <w:rPr>
          <w:rFonts w:ascii="仿宋_GB2312" w:hAnsi="仿宋_GB2312" w:cs="仿宋_GB2312" w:hint="eastAsia"/>
          <w:sz w:val="28"/>
          <w:szCs w:val="28"/>
        </w:rPr>
        <w:t>，金属</w:t>
      </w:r>
      <w:r>
        <w:rPr>
          <w:rFonts w:ascii="仿宋_GB2312" w:hAnsi="仿宋_GB2312" w:cs="仿宋_GB2312"/>
          <w:sz w:val="28"/>
          <w:szCs w:val="28"/>
        </w:rPr>
        <w:t>材料</w:t>
      </w:r>
      <w:r>
        <w:rPr>
          <w:rFonts w:ascii="仿宋_GB2312" w:hAnsi="仿宋_GB2312" w:cs="仿宋_GB2312" w:hint="eastAsia"/>
          <w:sz w:val="28"/>
          <w:szCs w:val="28"/>
        </w:rPr>
        <w:t>的</w:t>
      </w:r>
      <w:r>
        <w:rPr>
          <w:rFonts w:ascii="仿宋_GB2312" w:hAnsi="仿宋_GB2312" w:cs="仿宋_GB2312"/>
          <w:sz w:val="28"/>
          <w:szCs w:val="28"/>
        </w:rPr>
        <w:t>防腐与</w:t>
      </w:r>
      <w:r>
        <w:rPr>
          <w:rFonts w:ascii="仿宋_GB2312" w:hAnsi="仿宋_GB2312" w:cs="仿宋_GB2312" w:hint="eastAsia"/>
          <w:sz w:val="28"/>
          <w:szCs w:val="28"/>
        </w:rPr>
        <w:t>绝热。</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难点：系统安装</w:t>
      </w:r>
      <w:r>
        <w:rPr>
          <w:rFonts w:ascii="仿宋_GB2312" w:hAnsi="仿宋_GB2312" w:cs="仿宋_GB2312"/>
          <w:sz w:val="28"/>
          <w:szCs w:val="28"/>
        </w:rPr>
        <w:t>、</w:t>
      </w:r>
      <w:r>
        <w:rPr>
          <w:rFonts w:ascii="仿宋_GB2312" w:hAnsi="仿宋_GB2312" w:cs="仿宋_GB2312" w:hint="eastAsia"/>
          <w:sz w:val="28"/>
          <w:szCs w:val="28"/>
        </w:rPr>
        <w:t>风管管道</w:t>
      </w:r>
      <w:r>
        <w:rPr>
          <w:rFonts w:ascii="仿宋_GB2312" w:hAnsi="仿宋_GB2312" w:cs="仿宋_GB2312"/>
          <w:sz w:val="28"/>
          <w:szCs w:val="28"/>
        </w:rPr>
        <w:t>成型</w:t>
      </w:r>
      <w:r>
        <w:rPr>
          <w:rFonts w:ascii="仿宋_GB2312" w:hAnsi="仿宋_GB2312" w:cs="仿宋_GB2312" w:hint="eastAsia"/>
          <w:sz w:val="28"/>
          <w:szCs w:val="28"/>
        </w:rPr>
        <w:t>。</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20406" w:rsidRDefault="00C20406" w:rsidP="00C20406">
      <w:pPr>
        <w:spacing w:line="360" w:lineRule="auto"/>
        <w:ind w:leftChars="100" w:left="600" w:hangingChars="100" w:hanging="280"/>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结合专业知识，将现阶段我国</w:t>
      </w:r>
      <w:r>
        <w:rPr>
          <w:rFonts w:ascii="仿宋_GB2312" w:hAnsi="仿宋_GB2312" w:cs="仿宋_GB2312"/>
          <w:sz w:val="28"/>
          <w:szCs w:val="28"/>
        </w:rPr>
        <w:t>设备制造体系的成就、全面脱贫背景下人民对美好生活的追求和</w:t>
      </w:r>
      <w:r>
        <w:rPr>
          <w:rFonts w:ascii="仿宋_GB2312" w:hAnsi="仿宋_GB2312" w:cs="仿宋_GB2312" w:hint="eastAsia"/>
          <w:sz w:val="28"/>
          <w:szCs w:val="28"/>
        </w:rPr>
        <w:t>本</w:t>
      </w:r>
      <w:r>
        <w:rPr>
          <w:rFonts w:ascii="仿宋_GB2312" w:hAnsi="仿宋_GB2312" w:cs="仿宋_GB2312"/>
          <w:sz w:val="28"/>
          <w:szCs w:val="28"/>
        </w:rPr>
        <w:t>专业</w:t>
      </w:r>
      <w:r>
        <w:rPr>
          <w:rFonts w:ascii="仿宋_GB2312" w:hAnsi="仿宋_GB2312" w:cs="仿宋_GB2312" w:hint="eastAsia"/>
          <w:sz w:val="28"/>
          <w:szCs w:val="28"/>
        </w:rPr>
        <w:t>在安装</w:t>
      </w:r>
      <w:r>
        <w:rPr>
          <w:rFonts w:ascii="仿宋_GB2312" w:hAnsi="仿宋_GB2312" w:cs="仿宋_GB2312"/>
          <w:sz w:val="28"/>
          <w:szCs w:val="28"/>
        </w:rPr>
        <w:t>及生产等方面的</w:t>
      </w:r>
      <w:r>
        <w:rPr>
          <w:rFonts w:ascii="仿宋_GB2312" w:hAnsi="仿宋_GB2312" w:cs="仿宋_GB2312" w:hint="eastAsia"/>
          <w:sz w:val="28"/>
          <w:szCs w:val="28"/>
        </w:rPr>
        <w:t>元素融入到</w:t>
      </w:r>
      <w:r>
        <w:rPr>
          <w:rFonts w:ascii="仿宋_GB2312" w:hAnsi="仿宋_GB2312" w:cs="仿宋_GB2312"/>
          <w:sz w:val="28"/>
          <w:szCs w:val="28"/>
        </w:rPr>
        <w:t>教学中</w:t>
      </w:r>
      <w:r>
        <w:rPr>
          <w:rFonts w:ascii="仿宋_GB2312" w:hAnsi="仿宋_GB2312" w:cs="仿宋_GB2312" w:hint="eastAsia"/>
          <w:sz w:val="28"/>
          <w:szCs w:val="28"/>
        </w:rPr>
        <w:t>，强调创新意识、社会责任、职业道德和奋斗精神，增强学习动力和责任感。</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C20406" w:rsidTr="008C3907">
        <w:trPr>
          <w:cantSplit/>
          <w:trHeight w:val="785"/>
        </w:trPr>
        <w:tc>
          <w:tcPr>
            <w:tcW w:w="512" w:type="dxa"/>
            <w:vAlign w:val="center"/>
          </w:tcPr>
          <w:p w:rsidR="00C20406" w:rsidRPr="000A7EE3" w:rsidRDefault="00C20406" w:rsidP="008C3907">
            <w:pPr>
              <w:jc w:val="center"/>
              <w:rPr>
                <w:rFonts w:ascii="Times New Roman" w:hAnsi="Times New Roman"/>
                <w:b/>
                <w:kern w:val="0"/>
                <w:sz w:val="24"/>
                <w:szCs w:val="24"/>
              </w:rPr>
            </w:pPr>
            <w:r w:rsidRPr="000A7EE3">
              <w:rPr>
                <w:rFonts w:ascii="Times New Roman" w:hAnsi="Times New Roman" w:hint="eastAsia"/>
                <w:b/>
                <w:kern w:val="0"/>
                <w:sz w:val="24"/>
                <w:szCs w:val="24"/>
              </w:rPr>
              <w:t>序号</w:t>
            </w:r>
          </w:p>
        </w:tc>
        <w:tc>
          <w:tcPr>
            <w:tcW w:w="2102" w:type="dxa"/>
            <w:vAlign w:val="center"/>
          </w:tcPr>
          <w:p w:rsidR="00C20406" w:rsidRPr="000A7EE3" w:rsidRDefault="00C20406" w:rsidP="008C3907">
            <w:pPr>
              <w:jc w:val="center"/>
              <w:rPr>
                <w:rFonts w:ascii="Times New Roman" w:hAnsi="Times New Roman"/>
                <w:b/>
                <w:kern w:val="0"/>
                <w:sz w:val="24"/>
                <w:szCs w:val="24"/>
              </w:rPr>
            </w:pPr>
            <w:r w:rsidRPr="000A7EE3">
              <w:rPr>
                <w:rFonts w:ascii="Times New Roman" w:hAnsi="Times New Roman" w:hint="eastAsia"/>
                <w:b/>
                <w:kern w:val="0"/>
                <w:sz w:val="24"/>
                <w:szCs w:val="24"/>
              </w:rPr>
              <w:t>章</w:t>
            </w:r>
            <w:r w:rsidRPr="000A7EE3">
              <w:rPr>
                <w:rFonts w:ascii="Times New Roman" w:hAnsi="Times New Roman" w:hint="eastAsia"/>
                <w:b/>
                <w:kern w:val="0"/>
                <w:sz w:val="24"/>
                <w:szCs w:val="24"/>
              </w:rPr>
              <w:t xml:space="preserve">  </w:t>
            </w:r>
            <w:r w:rsidRPr="000A7EE3">
              <w:rPr>
                <w:rFonts w:ascii="Times New Roman" w:hAnsi="Times New Roman" w:hint="eastAsia"/>
                <w:b/>
                <w:kern w:val="0"/>
                <w:sz w:val="24"/>
                <w:szCs w:val="24"/>
              </w:rPr>
              <w:t>节</w:t>
            </w:r>
          </w:p>
        </w:tc>
        <w:tc>
          <w:tcPr>
            <w:tcW w:w="727" w:type="dxa"/>
            <w:vAlign w:val="center"/>
          </w:tcPr>
          <w:p w:rsidR="00C20406" w:rsidRPr="000A7EE3" w:rsidRDefault="00C20406" w:rsidP="008C3907">
            <w:pPr>
              <w:jc w:val="center"/>
              <w:rPr>
                <w:rFonts w:ascii="Times New Roman" w:hAnsi="Times New Roman"/>
                <w:b/>
                <w:kern w:val="0"/>
                <w:sz w:val="24"/>
                <w:szCs w:val="24"/>
              </w:rPr>
            </w:pPr>
            <w:r w:rsidRPr="000A7EE3">
              <w:rPr>
                <w:rFonts w:ascii="Times New Roman" w:hAnsi="Times New Roman" w:hint="eastAsia"/>
                <w:b/>
                <w:kern w:val="0"/>
                <w:sz w:val="24"/>
                <w:szCs w:val="24"/>
              </w:rPr>
              <w:t>参考学时</w:t>
            </w:r>
          </w:p>
        </w:tc>
        <w:tc>
          <w:tcPr>
            <w:tcW w:w="3059" w:type="dxa"/>
            <w:vAlign w:val="center"/>
          </w:tcPr>
          <w:p w:rsidR="00C20406" w:rsidRPr="000A7EE3" w:rsidRDefault="00C20406" w:rsidP="008C3907">
            <w:pPr>
              <w:jc w:val="center"/>
              <w:rPr>
                <w:rFonts w:ascii="Times New Roman" w:hAnsi="Times New Roman"/>
                <w:b/>
                <w:kern w:val="0"/>
                <w:sz w:val="24"/>
                <w:szCs w:val="24"/>
              </w:rPr>
            </w:pPr>
            <w:r w:rsidRPr="000A7EE3">
              <w:rPr>
                <w:rFonts w:ascii="Times New Roman" w:hAnsi="Times New Roman" w:hint="eastAsia"/>
                <w:b/>
                <w:kern w:val="0"/>
                <w:sz w:val="24"/>
                <w:szCs w:val="24"/>
              </w:rPr>
              <w:t>教学内容</w:t>
            </w:r>
          </w:p>
        </w:tc>
        <w:tc>
          <w:tcPr>
            <w:tcW w:w="2755" w:type="dxa"/>
            <w:vAlign w:val="center"/>
          </w:tcPr>
          <w:p w:rsidR="00C20406" w:rsidRPr="000A7EE3" w:rsidRDefault="00C20406" w:rsidP="008C3907">
            <w:pPr>
              <w:jc w:val="center"/>
              <w:rPr>
                <w:rFonts w:ascii="Times New Roman" w:hAnsi="Times New Roman"/>
                <w:b/>
                <w:kern w:val="0"/>
                <w:sz w:val="24"/>
                <w:szCs w:val="24"/>
              </w:rPr>
            </w:pPr>
            <w:r w:rsidRPr="000A7EE3">
              <w:rPr>
                <w:rFonts w:ascii="Times New Roman" w:hAnsi="Times New Roman" w:hint="eastAsia"/>
                <w:b/>
                <w:kern w:val="0"/>
                <w:sz w:val="24"/>
                <w:szCs w:val="24"/>
              </w:rPr>
              <w:t>基本要求</w:t>
            </w:r>
          </w:p>
        </w:tc>
      </w:tr>
      <w:tr w:rsidR="00C20406" w:rsidTr="008C3907">
        <w:trPr>
          <w:trHeight w:val="428"/>
        </w:trPr>
        <w:tc>
          <w:tcPr>
            <w:tcW w:w="51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1</w:t>
            </w:r>
          </w:p>
        </w:tc>
        <w:tc>
          <w:tcPr>
            <w:tcW w:w="2102" w:type="dxa"/>
            <w:vAlign w:val="center"/>
          </w:tcPr>
          <w:p w:rsidR="00C20406" w:rsidRPr="000A7EE3" w:rsidRDefault="00C20406" w:rsidP="008C3907">
            <w:pPr>
              <w:rPr>
                <w:rFonts w:ascii="宋体" w:eastAsia="宋体" w:hAnsi="宋体"/>
                <w:sz w:val="24"/>
                <w:szCs w:val="24"/>
              </w:rPr>
            </w:pPr>
            <w:r w:rsidRPr="000A7EE3">
              <w:rPr>
                <w:rFonts w:ascii="宋体" w:eastAsia="宋体" w:hAnsi="宋体" w:hint="eastAsia"/>
                <w:sz w:val="24"/>
                <w:szCs w:val="24"/>
              </w:rPr>
              <w:t>第一章  工程材料基本知识</w:t>
            </w:r>
          </w:p>
        </w:tc>
        <w:tc>
          <w:tcPr>
            <w:tcW w:w="727"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kern w:val="0"/>
                <w:sz w:val="24"/>
                <w:szCs w:val="24"/>
              </w:rPr>
              <w:t>6</w:t>
            </w:r>
          </w:p>
        </w:tc>
        <w:tc>
          <w:tcPr>
            <w:tcW w:w="3059" w:type="dxa"/>
            <w:vAlign w:val="center"/>
          </w:tcPr>
          <w:p w:rsidR="00C20406" w:rsidRPr="000A7EE3" w:rsidRDefault="00C20406" w:rsidP="008C3907">
            <w:pPr>
              <w:pStyle w:val="a6"/>
              <w:rPr>
                <w:rFonts w:hAnsi="宋体" w:cs="宋体"/>
                <w:sz w:val="24"/>
                <w:szCs w:val="24"/>
              </w:rPr>
            </w:pPr>
            <w:r w:rsidRPr="000A7EE3">
              <w:rPr>
                <w:rFonts w:hAnsi="宋体" w:cs="宋体" w:hint="eastAsia"/>
                <w:sz w:val="24"/>
                <w:szCs w:val="24"/>
              </w:rPr>
              <w:t xml:space="preserve">1.1 管道与技术标准  </w:t>
            </w:r>
          </w:p>
          <w:p w:rsidR="00C20406" w:rsidRPr="000A7EE3" w:rsidRDefault="00C20406" w:rsidP="008C3907">
            <w:pPr>
              <w:pStyle w:val="a6"/>
              <w:rPr>
                <w:rFonts w:hAnsi="宋体" w:cs="宋体"/>
                <w:sz w:val="24"/>
                <w:szCs w:val="24"/>
              </w:rPr>
            </w:pPr>
            <w:r w:rsidRPr="000A7EE3">
              <w:rPr>
                <w:rFonts w:hAnsi="宋体" w:cs="宋体" w:hint="eastAsia"/>
                <w:sz w:val="24"/>
                <w:szCs w:val="24"/>
              </w:rPr>
              <w:t>1.2 常用金属管材及管件</w:t>
            </w:r>
          </w:p>
          <w:p w:rsidR="00C20406" w:rsidRPr="000A7EE3" w:rsidRDefault="00C20406" w:rsidP="008C3907">
            <w:pPr>
              <w:pStyle w:val="a6"/>
              <w:rPr>
                <w:rFonts w:hAnsi="宋体" w:cs="宋体"/>
                <w:sz w:val="24"/>
                <w:szCs w:val="24"/>
              </w:rPr>
            </w:pPr>
            <w:r w:rsidRPr="000A7EE3">
              <w:rPr>
                <w:rFonts w:hAnsi="宋体" w:cs="宋体" w:hint="eastAsia"/>
                <w:sz w:val="24"/>
                <w:szCs w:val="24"/>
              </w:rPr>
              <w:lastRenderedPageBreak/>
              <w:t>1.3 复合管、非金属管管材及管件</w:t>
            </w:r>
          </w:p>
          <w:p w:rsidR="00C20406" w:rsidRPr="000A7EE3" w:rsidRDefault="00C20406" w:rsidP="008C3907">
            <w:pPr>
              <w:pStyle w:val="a6"/>
              <w:rPr>
                <w:rFonts w:hAnsi="宋体" w:cs="宋体"/>
                <w:sz w:val="24"/>
                <w:szCs w:val="24"/>
              </w:rPr>
            </w:pPr>
            <w:r w:rsidRPr="000A7EE3">
              <w:rPr>
                <w:rFonts w:hAnsi="宋体" w:cs="宋体" w:hint="eastAsia"/>
                <w:sz w:val="24"/>
                <w:szCs w:val="24"/>
              </w:rPr>
              <w:t>1.4 阀门与法兰</w:t>
            </w:r>
          </w:p>
          <w:p w:rsidR="00C20406" w:rsidRPr="000A7EE3" w:rsidRDefault="00C20406" w:rsidP="008C3907">
            <w:pPr>
              <w:pStyle w:val="a6"/>
              <w:rPr>
                <w:rFonts w:hAnsi="宋体" w:cs="宋体"/>
                <w:sz w:val="24"/>
                <w:szCs w:val="24"/>
              </w:rPr>
            </w:pPr>
            <w:r w:rsidRPr="000A7EE3">
              <w:rPr>
                <w:rFonts w:hAnsi="宋体" w:cs="宋体" w:hint="eastAsia"/>
                <w:sz w:val="24"/>
                <w:szCs w:val="24"/>
              </w:rPr>
              <w:t>1.5 板材与型材</w:t>
            </w:r>
          </w:p>
          <w:p w:rsidR="00C20406" w:rsidRPr="000A7EE3" w:rsidRDefault="00C20406" w:rsidP="008C3907">
            <w:pPr>
              <w:pStyle w:val="a6"/>
              <w:rPr>
                <w:rFonts w:hAnsi="宋体" w:cs="宋体"/>
                <w:sz w:val="24"/>
                <w:szCs w:val="24"/>
              </w:rPr>
            </w:pPr>
            <w:r w:rsidRPr="000A7EE3">
              <w:rPr>
                <w:rFonts w:hAnsi="宋体" w:cs="宋体" w:hint="eastAsia"/>
                <w:sz w:val="24"/>
                <w:szCs w:val="24"/>
              </w:rPr>
              <w:t>1.6 焊接材料</w:t>
            </w:r>
          </w:p>
        </w:tc>
        <w:tc>
          <w:tcPr>
            <w:tcW w:w="2755" w:type="dxa"/>
            <w:vAlign w:val="center"/>
          </w:tcPr>
          <w:p w:rsidR="00C20406" w:rsidRPr="000A7EE3" w:rsidRDefault="00C20406" w:rsidP="008C3907">
            <w:pPr>
              <w:pStyle w:val="a6"/>
              <w:rPr>
                <w:rFonts w:hAnsi="宋体" w:cs="宋体"/>
                <w:sz w:val="24"/>
                <w:szCs w:val="24"/>
              </w:rPr>
            </w:pPr>
            <w:r w:rsidRPr="000A7EE3">
              <w:rPr>
                <w:rFonts w:hAnsi="宋体" w:cs="宋体" w:hint="eastAsia"/>
                <w:sz w:val="24"/>
                <w:szCs w:val="24"/>
              </w:rPr>
              <w:lastRenderedPageBreak/>
              <w:t>认识各种管材及管件</w:t>
            </w:r>
          </w:p>
          <w:p w:rsidR="00C20406" w:rsidRPr="000A7EE3" w:rsidRDefault="00C20406" w:rsidP="008C3907">
            <w:pPr>
              <w:pStyle w:val="a6"/>
              <w:rPr>
                <w:rFonts w:hAnsi="宋体" w:cs="宋体"/>
                <w:sz w:val="24"/>
                <w:szCs w:val="24"/>
              </w:rPr>
            </w:pPr>
            <w:r w:rsidRPr="000A7EE3">
              <w:rPr>
                <w:rFonts w:hAnsi="宋体" w:cs="宋体" w:hint="eastAsia"/>
                <w:sz w:val="24"/>
                <w:szCs w:val="24"/>
              </w:rPr>
              <w:t>认识阀门与法兰</w:t>
            </w:r>
          </w:p>
          <w:p w:rsidR="00C20406" w:rsidRPr="000A7EE3" w:rsidRDefault="00C20406" w:rsidP="008C3907">
            <w:pPr>
              <w:pStyle w:val="a6"/>
              <w:rPr>
                <w:sz w:val="24"/>
                <w:szCs w:val="24"/>
              </w:rPr>
            </w:pPr>
            <w:r w:rsidRPr="000A7EE3">
              <w:rPr>
                <w:rFonts w:hAnsi="宋体" w:cs="宋体" w:hint="eastAsia"/>
                <w:sz w:val="24"/>
                <w:szCs w:val="24"/>
              </w:rPr>
              <w:lastRenderedPageBreak/>
              <w:t>认识板材与型材</w:t>
            </w:r>
          </w:p>
        </w:tc>
      </w:tr>
      <w:tr w:rsidR="00C20406" w:rsidTr="008C3907">
        <w:trPr>
          <w:trHeight w:val="519"/>
        </w:trPr>
        <w:tc>
          <w:tcPr>
            <w:tcW w:w="51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lastRenderedPageBreak/>
              <w:t>2</w:t>
            </w:r>
          </w:p>
        </w:tc>
        <w:tc>
          <w:tcPr>
            <w:tcW w:w="2102" w:type="dxa"/>
            <w:vAlign w:val="center"/>
          </w:tcPr>
          <w:p w:rsidR="00C20406" w:rsidRPr="000A7EE3" w:rsidRDefault="00C20406" w:rsidP="008C3907">
            <w:pPr>
              <w:rPr>
                <w:rFonts w:ascii="宋体" w:eastAsia="宋体" w:hAnsi="宋体"/>
                <w:sz w:val="24"/>
                <w:szCs w:val="24"/>
              </w:rPr>
            </w:pPr>
            <w:r w:rsidRPr="000A7EE3">
              <w:rPr>
                <w:rFonts w:ascii="宋体" w:eastAsia="宋体" w:hAnsi="宋体" w:hint="eastAsia"/>
                <w:sz w:val="24"/>
                <w:szCs w:val="24"/>
              </w:rPr>
              <w:t>第二章  管道安装基础</w:t>
            </w:r>
          </w:p>
        </w:tc>
        <w:tc>
          <w:tcPr>
            <w:tcW w:w="727"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kern w:val="0"/>
                <w:sz w:val="24"/>
                <w:szCs w:val="24"/>
              </w:rPr>
              <w:t>4</w:t>
            </w:r>
          </w:p>
        </w:tc>
        <w:tc>
          <w:tcPr>
            <w:tcW w:w="3059" w:type="dxa"/>
            <w:vAlign w:val="center"/>
          </w:tcPr>
          <w:p w:rsidR="00C20406" w:rsidRPr="000A7EE3" w:rsidRDefault="00C20406" w:rsidP="008C3907">
            <w:pPr>
              <w:pStyle w:val="a6"/>
              <w:rPr>
                <w:rFonts w:hAnsi="宋体" w:cs="宋体"/>
                <w:sz w:val="24"/>
                <w:szCs w:val="24"/>
              </w:rPr>
            </w:pPr>
            <w:r w:rsidRPr="000A7EE3">
              <w:rPr>
                <w:rFonts w:hAnsi="宋体" w:cs="宋体" w:hint="eastAsia"/>
                <w:sz w:val="24"/>
                <w:szCs w:val="24"/>
              </w:rPr>
              <w:t>2.1 常用安装机具</w:t>
            </w:r>
          </w:p>
          <w:p w:rsidR="00C20406" w:rsidRPr="000A7EE3" w:rsidRDefault="00C20406" w:rsidP="008C3907">
            <w:pPr>
              <w:pStyle w:val="a6"/>
              <w:rPr>
                <w:rFonts w:hAnsi="宋体" w:cs="宋体"/>
                <w:sz w:val="24"/>
                <w:szCs w:val="24"/>
              </w:rPr>
            </w:pPr>
            <w:r w:rsidRPr="000A7EE3">
              <w:rPr>
                <w:rFonts w:hAnsi="宋体" w:cs="宋体" w:hint="eastAsia"/>
                <w:sz w:val="24"/>
                <w:szCs w:val="24"/>
              </w:rPr>
              <w:t>2.2钢管加工及连接</w:t>
            </w:r>
          </w:p>
          <w:p w:rsidR="00C20406" w:rsidRPr="000A7EE3" w:rsidRDefault="00C20406" w:rsidP="008C3907">
            <w:pPr>
              <w:pStyle w:val="a6"/>
              <w:rPr>
                <w:rFonts w:hAnsi="宋体" w:cs="宋体"/>
                <w:sz w:val="24"/>
                <w:szCs w:val="24"/>
              </w:rPr>
            </w:pPr>
            <w:r w:rsidRPr="000A7EE3">
              <w:rPr>
                <w:rFonts w:hAnsi="宋体" w:cs="宋体" w:hint="eastAsia"/>
                <w:sz w:val="24"/>
                <w:szCs w:val="24"/>
              </w:rPr>
              <w:t>2.3管道承插连接</w:t>
            </w:r>
          </w:p>
          <w:p w:rsidR="00C20406" w:rsidRPr="000A7EE3" w:rsidRDefault="00C20406" w:rsidP="008C3907">
            <w:pPr>
              <w:pStyle w:val="a6"/>
              <w:rPr>
                <w:rFonts w:hAnsi="宋体" w:cs="宋体"/>
                <w:sz w:val="24"/>
                <w:szCs w:val="24"/>
              </w:rPr>
            </w:pPr>
            <w:r w:rsidRPr="000A7EE3">
              <w:rPr>
                <w:rFonts w:hAnsi="宋体" w:cs="宋体" w:hint="eastAsia"/>
                <w:sz w:val="24"/>
                <w:szCs w:val="24"/>
              </w:rPr>
              <w:t>2.4塑料管安装</w:t>
            </w:r>
          </w:p>
          <w:p w:rsidR="00C20406" w:rsidRPr="000A7EE3" w:rsidRDefault="00C20406" w:rsidP="008C3907">
            <w:pPr>
              <w:pStyle w:val="a6"/>
              <w:rPr>
                <w:rFonts w:hAnsi="宋体" w:cs="宋体"/>
                <w:sz w:val="24"/>
                <w:szCs w:val="24"/>
              </w:rPr>
            </w:pPr>
            <w:r w:rsidRPr="000A7EE3">
              <w:rPr>
                <w:rFonts w:hAnsi="宋体" w:cs="宋体" w:hint="eastAsia"/>
                <w:sz w:val="24"/>
                <w:szCs w:val="24"/>
              </w:rPr>
              <w:t>2.5 紫铜</w:t>
            </w:r>
            <w:r w:rsidRPr="000A7EE3">
              <w:rPr>
                <w:rFonts w:hAnsi="宋体" w:cs="宋体"/>
                <w:sz w:val="24"/>
                <w:szCs w:val="24"/>
              </w:rPr>
              <w:t>管的加工与焊接</w:t>
            </w:r>
          </w:p>
          <w:p w:rsidR="00C20406" w:rsidRPr="000A7EE3" w:rsidRDefault="00C20406" w:rsidP="008C3907">
            <w:pPr>
              <w:pStyle w:val="a6"/>
              <w:rPr>
                <w:rFonts w:hAnsi="宋体" w:cs="宋体"/>
                <w:sz w:val="24"/>
                <w:szCs w:val="24"/>
              </w:rPr>
            </w:pPr>
            <w:r w:rsidRPr="000A7EE3">
              <w:rPr>
                <w:rFonts w:hAnsi="宋体" w:cs="宋体" w:hint="eastAsia"/>
                <w:sz w:val="24"/>
                <w:szCs w:val="24"/>
              </w:rPr>
              <w:t>2.6管道压力试验</w:t>
            </w:r>
          </w:p>
          <w:p w:rsidR="00C20406" w:rsidRPr="000A7EE3" w:rsidRDefault="00C20406" w:rsidP="008C3907">
            <w:pPr>
              <w:pStyle w:val="a6"/>
              <w:rPr>
                <w:rFonts w:hAnsi="宋体" w:cs="宋体"/>
                <w:sz w:val="24"/>
                <w:szCs w:val="24"/>
              </w:rPr>
            </w:pPr>
            <w:r w:rsidRPr="000A7EE3">
              <w:rPr>
                <w:rFonts w:hAnsi="宋体" w:cs="宋体" w:hint="eastAsia"/>
                <w:sz w:val="24"/>
                <w:szCs w:val="24"/>
              </w:rPr>
              <w:t>2.7阀门安装</w:t>
            </w:r>
          </w:p>
          <w:p w:rsidR="00C20406" w:rsidRPr="000A7EE3" w:rsidRDefault="00C20406" w:rsidP="008C3907">
            <w:pPr>
              <w:pStyle w:val="a6"/>
              <w:rPr>
                <w:rFonts w:hAnsi="宋体" w:cs="宋体"/>
                <w:sz w:val="24"/>
                <w:szCs w:val="24"/>
              </w:rPr>
            </w:pPr>
            <w:r w:rsidRPr="000A7EE3">
              <w:rPr>
                <w:rFonts w:hAnsi="宋体" w:cs="宋体" w:hint="eastAsia"/>
                <w:sz w:val="24"/>
                <w:szCs w:val="24"/>
              </w:rPr>
              <w:t>2.8管道支架制作与安装</w:t>
            </w:r>
          </w:p>
        </w:tc>
        <w:tc>
          <w:tcPr>
            <w:tcW w:w="2755" w:type="dxa"/>
            <w:vAlign w:val="center"/>
          </w:tcPr>
          <w:p w:rsidR="00C20406" w:rsidRPr="000A7EE3" w:rsidRDefault="00C20406" w:rsidP="008C3907">
            <w:pPr>
              <w:pStyle w:val="a6"/>
              <w:rPr>
                <w:rFonts w:hAnsi="宋体" w:cs="宋体"/>
                <w:sz w:val="24"/>
                <w:szCs w:val="24"/>
              </w:rPr>
            </w:pPr>
            <w:r w:rsidRPr="000A7EE3">
              <w:rPr>
                <w:rFonts w:hAnsi="宋体" w:cs="宋体" w:hint="eastAsia"/>
                <w:sz w:val="24"/>
                <w:szCs w:val="24"/>
              </w:rPr>
              <w:t>认识工具与机具</w:t>
            </w:r>
          </w:p>
          <w:p w:rsidR="00C20406" w:rsidRPr="000A7EE3" w:rsidRDefault="00C20406" w:rsidP="008C3907">
            <w:pPr>
              <w:pStyle w:val="a6"/>
              <w:rPr>
                <w:rFonts w:hAnsi="宋体" w:cs="宋体"/>
                <w:sz w:val="24"/>
                <w:szCs w:val="24"/>
              </w:rPr>
            </w:pPr>
            <w:r w:rsidRPr="000A7EE3">
              <w:rPr>
                <w:rFonts w:hAnsi="宋体" w:cs="宋体" w:hint="eastAsia"/>
                <w:sz w:val="24"/>
                <w:szCs w:val="24"/>
              </w:rPr>
              <w:t>了解管道试压</w:t>
            </w:r>
          </w:p>
          <w:p w:rsidR="00C20406" w:rsidRPr="000A7EE3" w:rsidRDefault="00C20406" w:rsidP="008C3907">
            <w:pPr>
              <w:pStyle w:val="a6"/>
              <w:rPr>
                <w:rFonts w:hAnsi="宋体" w:cs="宋体"/>
                <w:sz w:val="24"/>
                <w:szCs w:val="24"/>
              </w:rPr>
            </w:pPr>
            <w:r w:rsidRPr="000A7EE3">
              <w:rPr>
                <w:rFonts w:hAnsi="宋体" w:cs="宋体" w:hint="eastAsia"/>
                <w:sz w:val="24"/>
                <w:szCs w:val="24"/>
              </w:rPr>
              <w:t>了解管道</w:t>
            </w:r>
            <w:r w:rsidRPr="000A7EE3">
              <w:rPr>
                <w:rFonts w:hAnsi="宋体" w:cs="宋体"/>
                <w:sz w:val="24"/>
                <w:szCs w:val="24"/>
              </w:rPr>
              <w:t>与</w:t>
            </w:r>
            <w:r w:rsidRPr="000A7EE3">
              <w:rPr>
                <w:rFonts w:hAnsi="宋体" w:cs="宋体" w:hint="eastAsia"/>
                <w:sz w:val="24"/>
                <w:szCs w:val="24"/>
              </w:rPr>
              <w:t>阀门安装</w:t>
            </w:r>
          </w:p>
          <w:p w:rsidR="00C20406" w:rsidRPr="000A7EE3" w:rsidRDefault="00C20406" w:rsidP="008C3907">
            <w:pPr>
              <w:pStyle w:val="a6"/>
              <w:rPr>
                <w:rFonts w:hAnsi="宋体" w:cs="宋体"/>
                <w:sz w:val="24"/>
                <w:szCs w:val="24"/>
              </w:rPr>
            </w:pPr>
            <w:r w:rsidRPr="000A7EE3">
              <w:rPr>
                <w:rFonts w:hAnsi="宋体" w:cs="宋体" w:hint="eastAsia"/>
                <w:sz w:val="24"/>
                <w:szCs w:val="24"/>
              </w:rPr>
              <w:t>了</w:t>
            </w:r>
            <w:r w:rsidRPr="000A7EE3">
              <w:rPr>
                <w:rFonts w:hAnsi="宋体" w:cs="宋体"/>
                <w:sz w:val="24"/>
                <w:szCs w:val="24"/>
              </w:rPr>
              <w:t>解支架制作</w:t>
            </w:r>
          </w:p>
        </w:tc>
      </w:tr>
      <w:tr w:rsidR="00C20406" w:rsidTr="008C3907">
        <w:trPr>
          <w:trHeight w:val="555"/>
        </w:trPr>
        <w:tc>
          <w:tcPr>
            <w:tcW w:w="51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3</w:t>
            </w:r>
          </w:p>
        </w:tc>
        <w:tc>
          <w:tcPr>
            <w:tcW w:w="2102" w:type="dxa"/>
            <w:vAlign w:val="center"/>
          </w:tcPr>
          <w:p w:rsidR="00C20406" w:rsidRPr="000A7EE3" w:rsidRDefault="00C20406" w:rsidP="008C3907">
            <w:pPr>
              <w:rPr>
                <w:rFonts w:ascii="宋体" w:eastAsia="宋体" w:hAnsi="宋体"/>
                <w:sz w:val="24"/>
                <w:szCs w:val="24"/>
              </w:rPr>
            </w:pPr>
            <w:r w:rsidRPr="000A7EE3">
              <w:rPr>
                <w:rFonts w:ascii="宋体" w:eastAsia="宋体" w:hAnsi="宋体" w:hint="eastAsia"/>
                <w:sz w:val="24"/>
                <w:szCs w:val="24"/>
              </w:rPr>
              <w:t>第三章  供暖系统安装</w:t>
            </w:r>
          </w:p>
        </w:tc>
        <w:tc>
          <w:tcPr>
            <w:tcW w:w="727"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kern w:val="0"/>
                <w:sz w:val="24"/>
                <w:szCs w:val="24"/>
              </w:rPr>
              <w:t>4</w:t>
            </w:r>
          </w:p>
        </w:tc>
        <w:tc>
          <w:tcPr>
            <w:tcW w:w="3059" w:type="dxa"/>
            <w:vAlign w:val="center"/>
          </w:tcPr>
          <w:p w:rsidR="00C20406" w:rsidRPr="000A7EE3" w:rsidRDefault="00C20406" w:rsidP="008C3907">
            <w:pPr>
              <w:pStyle w:val="a6"/>
              <w:rPr>
                <w:rFonts w:hAnsi="宋体" w:cs="宋体"/>
                <w:sz w:val="24"/>
                <w:szCs w:val="24"/>
              </w:rPr>
            </w:pPr>
            <w:r w:rsidRPr="000A7EE3">
              <w:rPr>
                <w:rFonts w:hAnsi="宋体" w:cs="宋体" w:hint="eastAsia"/>
                <w:sz w:val="24"/>
                <w:szCs w:val="24"/>
              </w:rPr>
              <w:t>3.1 采暖系统安装</w:t>
            </w:r>
          </w:p>
          <w:p w:rsidR="00C20406" w:rsidRPr="000A7EE3" w:rsidRDefault="00C20406" w:rsidP="008C3907">
            <w:pPr>
              <w:pStyle w:val="a6"/>
              <w:rPr>
                <w:rFonts w:hAnsi="宋体" w:cs="宋体"/>
                <w:sz w:val="24"/>
                <w:szCs w:val="24"/>
              </w:rPr>
            </w:pPr>
            <w:r w:rsidRPr="000A7EE3">
              <w:rPr>
                <w:rFonts w:hAnsi="宋体" w:cs="宋体" w:hint="eastAsia"/>
                <w:sz w:val="24"/>
                <w:szCs w:val="24"/>
              </w:rPr>
              <w:t>3.2散热器安装</w:t>
            </w:r>
          </w:p>
          <w:p w:rsidR="00C20406" w:rsidRPr="000A7EE3" w:rsidRDefault="00C20406" w:rsidP="008C3907">
            <w:pPr>
              <w:pStyle w:val="a6"/>
              <w:rPr>
                <w:rFonts w:hAnsi="宋体" w:cs="宋体"/>
                <w:sz w:val="24"/>
                <w:szCs w:val="24"/>
              </w:rPr>
            </w:pPr>
            <w:r w:rsidRPr="000A7EE3">
              <w:rPr>
                <w:rFonts w:hAnsi="宋体" w:cs="宋体" w:hint="eastAsia"/>
                <w:sz w:val="24"/>
                <w:szCs w:val="24"/>
              </w:rPr>
              <w:t>3.3分户热计量采暖系统安装</w:t>
            </w:r>
          </w:p>
          <w:p w:rsidR="00C20406" w:rsidRPr="000A7EE3" w:rsidRDefault="00C20406" w:rsidP="008C3907">
            <w:pPr>
              <w:pStyle w:val="a6"/>
              <w:rPr>
                <w:rFonts w:hAnsi="宋体" w:cs="宋体"/>
                <w:sz w:val="24"/>
                <w:szCs w:val="24"/>
              </w:rPr>
            </w:pPr>
            <w:r w:rsidRPr="000A7EE3">
              <w:rPr>
                <w:rFonts w:hAnsi="宋体" w:cs="宋体" w:hint="eastAsia"/>
                <w:sz w:val="24"/>
                <w:szCs w:val="24"/>
              </w:rPr>
              <w:t>3.4采暖附属设备安装</w:t>
            </w:r>
          </w:p>
          <w:p w:rsidR="00C20406" w:rsidRPr="000A7EE3" w:rsidRDefault="00C20406" w:rsidP="008C3907">
            <w:pPr>
              <w:pStyle w:val="a6"/>
              <w:rPr>
                <w:rFonts w:hAnsi="宋体" w:cs="宋体"/>
                <w:sz w:val="24"/>
                <w:szCs w:val="24"/>
              </w:rPr>
            </w:pPr>
            <w:r w:rsidRPr="000A7EE3">
              <w:rPr>
                <w:rFonts w:hAnsi="宋体" w:cs="宋体" w:hint="eastAsia"/>
                <w:sz w:val="24"/>
                <w:szCs w:val="24"/>
              </w:rPr>
              <w:t>3.5 供热</w:t>
            </w:r>
            <w:r w:rsidRPr="000A7EE3">
              <w:rPr>
                <w:rFonts w:hAnsi="宋体" w:cs="宋体"/>
                <w:sz w:val="24"/>
                <w:szCs w:val="24"/>
              </w:rPr>
              <w:t>管</w:t>
            </w:r>
            <w:r w:rsidRPr="000A7EE3">
              <w:rPr>
                <w:rFonts w:hAnsi="宋体" w:cs="宋体" w:hint="eastAsia"/>
                <w:sz w:val="24"/>
                <w:szCs w:val="24"/>
              </w:rPr>
              <w:t>网</w:t>
            </w:r>
            <w:r w:rsidRPr="000A7EE3">
              <w:rPr>
                <w:rFonts w:hAnsi="宋体" w:cs="宋体"/>
                <w:sz w:val="24"/>
                <w:szCs w:val="24"/>
              </w:rPr>
              <w:t>敷设</w:t>
            </w:r>
          </w:p>
          <w:p w:rsidR="00C20406" w:rsidRPr="000A7EE3" w:rsidRDefault="00C20406" w:rsidP="008C3907">
            <w:pPr>
              <w:pStyle w:val="a6"/>
              <w:rPr>
                <w:rFonts w:hAnsi="宋体" w:cs="宋体"/>
                <w:sz w:val="24"/>
                <w:szCs w:val="24"/>
              </w:rPr>
            </w:pPr>
            <w:r w:rsidRPr="000A7EE3">
              <w:rPr>
                <w:rFonts w:hAnsi="宋体" w:cs="宋体" w:hint="eastAsia"/>
                <w:sz w:val="24"/>
                <w:szCs w:val="24"/>
              </w:rPr>
              <w:t>3.6供热管道直埋安装</w:t>
            </w:r>
          </w:p>
          <w:p w:rsidR="00C20406" w:rsidRPr="000A7EE3" w:rsidRDefault="00C20406" w:rsidP="008C3907">
            <w:pPr>
              <w:pStyle w:val="a6"/>
              <w:rPr>
                <w:rFonts w:hAnsi="宋体" w:cs="宋体"/>
                <w:sz w:val="24"/>
                <w:szCs w:val="24"/>
              </w:rPr>
            </w:pPr>
            <w:r w:rsidRPr="000A7EE3">
              <w:rPr>
                <w:rFonts w:hAnsi="宋体" w:cs="宋体" w:hint="eastAsia"/>
                <w:sz w:val="24"/>
                <w:szCs w:val="24"/>
              </w:rPr>
              <w:t>3.7供热管道管沟和架空安装</w:t>
            </w:r>
          </w:p>
          <w:p w:rsidR="00C20406" w:rsidRPr="000A7EE3" w:rsidRDefault="00C20406" w:rsidP="008C3907">
            <w:pPr>
              <w:pStyle w:val="a6"/>
              <w:rPr>
                <w:rFonts w:hAnsi="宋体" w:cs="宋体"/>
                <w:sz w:val="24"/>
                <w:szCs w:val="24"/>
              </w:rPr>
            </w:pPr>
            <w:r w:rsidRPr="000A7EE3">
              <w:rPr>
                <w:rFonts w:hAnsi="宋体" w:cs="宋体" w:hint="eastAsia"/>
                <w:sz w:val="24"/>
                <w:szCs w:val="24"/>
              </w:rPr>
              <w:t>3.8供热管路附件安装</w:t>
            </w:r>
          </w:p>
          <w:p w:rsidR="00C20406" w:rsidRPr="000A7EE3" w:rsidRDefault="00C20406" w:rsidP="008C3907">
            <w:pPr>
              <w:pStyle w:val="a6"/>
              <w:rPr>
                <w:rFonts w:hAnsi="宋体" w:cs="宋体"/>
                <w:sz w:val="24"/>
                <w:szCs w:val="24"/>
              </w:rPr>
            </w:pPr>
            <w:r w:rsidRPr="000A7EE3">
              <w:rPr>
                <w:rFonts w:hAnsi="宋体" w:cs="宋体" w:hint="eastAsia"/>
                <w:sz w:val="24"/>
                <w:szCs w:val="24"/>
              </w:rPr>
              <w:t>3.9供热系统试压与验收</w:t>
            </w:r>
          </w:p>
        </w:tc>
        <w:tc>
          <w:tcPr>
            <w:tcW w:w="2755" w:type="dxa"/>
            <w:vAlign w:val="center"/>
          </w:tcPr>
          <w:p w:rsidR="00C20406" w:rsidRPr="000A7EE3" w:rsidRDefault="00C20406" w:rsidP="008C3907">
            <w:pPr>
              <w:pStyle w:val="a6"/>
              <w:rPr>
                <w:rFonts w:hAnsi="宋体" w:cs="宋体"/>
                <w:sz w:val="24"/>
                <w:szCs w:val="24"/>
              </w:rPr>
            </w:pPr>
            <w:r w:rsidRPr="000A7EE3">
              <w:rPr>
                <w:rFonts w:hAnsi="宋体" w:cs="宋体" w:hint="eastAsia"/>
                <w:sz w:val="24"/>
                <w:szCs w:val="24"/>
              </w:rPr>
              <w:t>了解采暖系统安装</w:t>
            </w:r>
          </w:p>
          <w:p w:rsidR="00C20406" w:rsidRPr="000A7EE3" w:rsidRDefault="00C20406" w:rsidP="008C3907">
            <w:pPr>
              <w:pStyle w:val="a6"/>
              <w:rPr>
                <w:rFonts w:hAnsi="宋体" w:cs="宋体"/>
                <w:sz w:val="24"/>
                <w:szCs w:val="24"/>
              </w:rPr>
            </w:pPr>
            <w:r w:rsidRPr="000A7EE3">
              <w:rPr>
                <w:rFonts w:hAnsi="宋体" w:cs="宋体" w:hint="eastAsia"/>
                <w:sz w:val="24"/>
                <w:szCs w:val="24"/>
              </w:rPr>
              <w:t>了解散热</w:t>
            </w:r>
            <w:r w:rsidRPr="000A7EE3">
              <w:rPr>
                <w:rFonts w:hAnsi="宋体" w:cs="宋体"/>
                <w:sz w:val="24"/>
                <w:szCs w:val="24"/>
              </w:rPr>
              <w:t>器</w:t>
            </w:r>
            <w:r w:rsidRPr="000A7EE3">
              <w:rPr>
                <w:rFonts w:hAnsi="宋体" w:cs="宋体" w:hint="eastAsia"/>
                <w:sz w:val="24"/>
                <w:szCs w:val="24"/>
              </w:rPr>
              <w:t>安装</w:t>
            </w:r>
          </w:p>
          <w:p w:rsidR="00C20406" w:rsidRPr="000A7EE3" w:rsidRDefault="00C20406" w:rsidP="008C3907">
            <w:pPr>
              <w:pStyle w:val="a6"/>
              <w:rPr>
                <w:rFonts w:hAnsi="宋体" w:cs="宋体"/>
                <w:sz w:val="24"/>
                <w:szCs w:val="24"/>
              </w:rPr>
            </w:pPr>
            <w:r w:rsidRPr="000A7EE3">
              <w:rPr>
                <w:rFonts w:hAnsi="宋体" w:cs="宋体" w:hint="eastAsia"/>
                <w:sz w:val="24"/>
                <w:szCs w:val="24"/>
              </w:rPr>
              <w:t>了</w:t>
            </w:r>
            <w:r w:rsidRPr="000A7EE3">
              <w:rPr>
                <w:rFonts w:hAnsi="宋体" w:cs="宋体"/>
                <w:sz w:val="24"/>
                <w:szCs w:val="24"/>
              </w:rPr>
              <w:t>解管</w:t>
            </w:r>
            <w:r w:rsidRPr="000A7EE3">
              <w:rPr>
                <w:rFonts w:hAnsi="宋体" w:cs="宋体" w:hint="eastAsia"/>
                <w:sz w:val="24"/>
                <w:szCs w:val="24"/>
              </w:rPr>
              <w:t>网</w:t>
            </w:r>
            <w:r w:rsidRPr="000A7EE3">
              <w:rPr>
                <w:rFonts w:hAnsi="宋体" w:cs="宋体"/>
                <w:sz w:val="24"/>
                <w:szCs w:val="24"/>
              </w:rPr>
              <w:t>敷设方式</w:t>
            </w:r>
          </w:p>
          <w:p w:rsidR="00C20406" w:rsidRPr="000A7EE3" w:rsidRDefault="00C20406" w:rsidP="008C3907">
            <w:pPr>
              <w:pStyle w:val="a6"/>
              <w:rPr>
                <w:rFonts w:hAnsi="宋体" w:cs="宋体"/>
                <w:sz w:val="24"/>
                <w:szCs w:val="24"/>
              </w:rPr>
            </w:pPr>
            <w:r w:rsidRPr="000A7EE3">
              <w:rPr>
                <w:rFonts w:hAnsi="宋体" w:cs="宋体" w:hint="eastAsia"/>
                <w:sz w:val="24"/>
                <w:szCs w:val="24"/>
              </w:rPr>
              <w:t>了解分户计量安装</w:t>
            </w:r>
          </w:p>
        </w:tc>
      </w:tr>
      <w:tr w:rsidR="00C20406" w:rsidTr="008C3907">
        <w:trPr>
          <w:trHeight w:val="238"/>
        </w:trPr>
        <w:tc>
          <w:tcPr>
            <w:tcW w:w="51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4</w:t>
            </w:r>
          </w:p>
        </w:tc>
        <w:tc>
          <w:tcPr>
            <w:tcW w:w="2102" w:type="dxa"/>
            <w:vAlign w:val="center"/>
          </w:tcPr>
          <w:p w:rsidR="00C20406" w:rsidRPr="000A7EE3" w:rsidRDefault="00C20406" w:rsidP="008C3907">
            <w:pPr>
              <w:rPr>
                <w:rFonts w:ascii="宋体" w:eastAsia="宋体" w:hAnsi="宋体"/>
                <w:sz w:val="24"/>
                <w:szCs w:val="24"/>
              </w:rPr>
            </w:pPr>
            <w:r w:rsidRPr="000A7EE3">
              <w:rPr>
                <w:rFonts w:ascii="宋体" w:eastAsia="宋体" w:hAnsi="宋体" w:hint="eastAsia"/>
                <w:sz w:val="24"/>
                <w:szCs w:val="24"/>
              </w:rPr>
              <w:t>第四章  给排水系统安装</w:t>
            </w:r>
          </w:p>
        </w:tc>
        <w:tc>
          <w:tcPr>
            <w:tcW w:w="727"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kern w:val="0"/>
                <w:sz w:val="24"/>
                <w:szCs w:val="24"/>
              </w:rPr>
              <w:t>4</w:t>
            </w:r>
          </w:p>
        </w:tc>
        <w:tc>
          <w:tcPr>
            <w:tcW w:w="3059" w:type="dxa"/>
            <w:vAlign w:val="center"/>
          </w:tcPr>
          <w:p w:rsidR="00C20406" w:rsidRPr="000A7EE3" w:rsidRDefault="00C20406" w:rsidP="008C3907">
            <w:pPr>
              <w:pStyle w:val="a6"/>
              <w:rPr>
                <w:rFonts w:hAnsi="宋体" w:cs="宋体"/>
                <w:sz w:val="24"/>
                <w:szCs w:val="24"/>
              </w:rPr>
            </w:pPr>
            <w:r w:rsidRPr="000A7EE3">
              <w:rPr>
                <w:rFonts w:hAnsi="宋体" w:cs="宋体" w:hint="eastAsia"/>
                <w:sz w:val="24"/>
                <w:szCs w:val="24"/>
              </w:rPr>
              <w:t>4.1室内给水系统安装</w:t>
            </w:r>
          </w:p>
          <w:p w:rsidR="00C20406" w:rsidRPr="000A7EE3" w:rsidRDefault="00C20406" w:rsidP="008C3907">
            <w:pPr>
              <w:pStyle w:val="a6"/>
              <w:rPr>
                <w:rFonts w:hAnsi="宋体" w:cs="宋体"/>
                <w:sz w:val="24"/>
                <w:szCs w:val="24"/>
              </w:rPr>
            </w:pPr>
            <w:r w:rsidRPr="000A7EE3">
              <w:rPr>
                <w:rFonts w:hAnsi="宋体" w:cs="宋体" w:hint="eastAsia"/>
                <w:sz w:val="24"/>
                <w:szCs w:val="24"/>
              </w:rPr>
              <w:t>4.2室内排水系统安装</w:t>
            </w:r>
          </w:p>
          <w:p w:rsidR="00C20406" w:rsidRPr="000A7EE3" w:rsidRDefault="00C20406" w:rsidP="008C3907">
            <w:pPr>
              <w:pStyle w:val="a6"/>
              <w:rPr>
                <w:rFonts w:hAnsi="宋体" w:cs="宋体"/>
                <w:sz w:val="24"/>
                <w:szCs w:val="24"/>
              </w:rPr>
            </w:pPr>
            <w:r w:rsidRPr="000A7EE3">
              <w:rPr>
                <w:rFonts w:hAnsi="宋体" w:cs="宋体" w:hint="eastAsia"/>
                <w:sz w:val="24"/>
                <w:szCs w:val="24"/>
              </w:rPr>
              <w:t>4.3卫生设备安装</w:t>
            </w:r>
          </w:p>
        </w:tc>
        <w:tc>
          <w:tcPr>
            <w:tcW w:w="2755" w:type="dxa"/>
            <w:vAlign w:val="center"/>
          </w:tcPr>
          <w:p w:rsidR="00C20406" w:rsidRPr="000A7EE3" w:rsidRDefault="00C20406" w:rsidP="008C3907">
            <w:pPr>
              <w:pStyle w:val="a6"/>
              <w:rPr>
                <w:rFonts w:hAnsi="宋体" w:cs="宋体"/>
                <w:sz w:val="24"/>
                <w:szCs w:val="24"/>
              </w:rPr>
            </w:pPr>
            <w:r w:rsidRPr="000A7EE3">
              <w:rPr>
                <w:rFonts w:hAnsi="宋体" w:cs="宋体" w:hint="eastAsia"/>
                <w:sz w:val="24"/>
                <w:szCs w:val="24"/>
              </w:rPr>
              <w:t>了解室内给排水管道</w:t>
            </w:r>
            <w:r w:rsidRPr="000A7EE3">
              <w:rPr>
                <w:rFonts w:hAnsi="宋体" w:cs="宋体"/>
                <w:sz w:val="24"/>
                <w:szCs w:val="24"/>
              </w:rPr>
              <w:t>与卫生</w:t>
            </w:r>
            <w:r w:rsidRPr="000A7EE3">
              <w:rPr>
                <w:rFonts w:hAnsi="宋体" w:cs="宋体" w:hint="eastAsia"/>
                <w:sz w:val="24"/>
                <w:szCs w:val="24"/>
              </w:rPr>
              <w:t>设备的安装</w:t>
            </w:r>
          </w:p>
        </w:tc>
      </w:tr>
      <w:tr w:rsidR="00C20406" w:rsidTr="008C3907">
        <w:trPr>
          <w:trHeight w:val="216"/>
        </w:trPr>
        <w:tc>
          <w:tcPr>
            <w:tcW w:w="51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5</w:t>
            </w:r>
          </w:p>
        </w:tc>
        <w:tc>
          <w:tcPr>
            <w:tcW w:w="2102" w:type="dxa"/>
            <w:vAlign w:val="center"/>
          </w:tcPr>
          <w:p w:rsidR="00C20406" w:rsidRPr="000A7EE3" w:rsidRDefault="00C20406" w:rsidP="008C3907">
            <w:pPr>
              <w:rPr>
                <w:rFonts w:ascii="宋体" w:eastAsia="宋体" w:hAnsi="宋体"/>
                <w:sz w:val="24"/>
                <w:szCs w:val="24"/>
              </w:rPr>
            </w:pPr>
            <w:r w:rsidRPr="000A7EE3">
              <w:rPr>
                <w:rFonts w:ascii="宋体" w:eastAsia="宋体" w:hAnsi="宋体" w:hint="eastAsia"/>
                <w:sz w:val="24"/>
                <w:szCs w:val="24"/>
              </w:rPr>
              <w:t>第六章  通风空调系统安装</w:t>
            </w:r>
          </w:p>
        </w:tc>
        <w:tc>
          <w:tcPr>
            <w:tcW w:w="727"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hint="eastAsia"/>
                <w:kern w:val="0"/>
                <w:sz w:val="24"/>
                <w:szCs w:val="24"/>
              </w:rPr>
              <w:t>4</w:t>
            </w:r>
          </w:p>
        </w:tc>
        <w:tc>
          <w:tcPr>
            <w:tcW w:w="3059" w:type="dxa"/>
            <w:vAlign w:val="center"/>
          </w:tcPr>
          <w:p w:rsidR="00C20406" w:rsidRPr="000A7EE3" w:rsidRDefault="00C20406" w:rsidP="008C3907">
            <w:pPr>
              <w:pStyle w:val="a6"/>
              <w:rPr>
                <w:rFonts w:hAnsi="宋体" w:cs="宋体"/>
                <w:sz w:val="24"/>
                <w:szCs w:val="24"/>
              </w:rPr>
            </w:pPr>
            <w:r w:rsidRPr="000A7EE3">
              <w:rPr>
                <w:rFonts w:hAnsi="宋体" w:cs="宋体" w:hint="eastAsia"/>
                <w:sz w:val="24"/>
                <w:szCs w:val="24"/>
              </w:rPr>
              <w:t>6.1 金属风管、配件及部件制作</w:t>
            </w:r>
          </w:p>
          <w:p w:rsidR="00C20406" w:rsidRPr="000A7EE3" w:rsidRDefault="00C20406" w:rsidP="008C3907">
            <w:pPr>
              <w:pStyle w:val="a6"/>
              <w:rPr>
                <w:rFonts w:hAnsi="宋体" w:cs="宋体"/>
                <w:sz w:val="24"/>
                <w:szCs w:val="24"/>
              </w:rPr>
            </w:pPr>
            <w:r w:rsidRPr="000A7EE3">
              <w:rPr>
                <w:rFonts w:hAnsi="宋体" w:cs="宋体" w:hint="eastAsia"/>
                <w:sz w:val="24"/>
                <w:szCs w:val="24"/>
              </w:rPr>
              <w:t>6.2</w:t>
            </w:r>
            <w:r w:rsidRPr="000A7EE3">
              <w:rPr>
                <w:rFonts w:hAnsi="宋体" w:cs="宋体"/>
                <w:sz w:val="24"/>
                <w:szCs w:val="24"/>
              </w:rPr>
              <w:t xml:space="preserve"> </w:t>
            </w:r>
            <w:r w:rsidRPr="000A7EE3">
              <w:rPr>
                <w:rFonts w:hAnsi="宋体" w:cs="宋体" w:hint="eastAsia"/>
                <w:sz w:val="24"/>
                <w:szCs w:val="24"/>
              </w:rPr>
              <w:t>通风空调风管连接及加固</w:t>
            </w:r>
          </w:p>
          <w:p w:rsidR="00C20406" w:rsidRPr="000A7EE3" w:rsidRDefault="00C20406" w:rsidP="008C3907">
            <w:pPr>
              <w:rPr>
                <w:rFonts w:ascii="宋体" w:eastAsia="宋体" w:hAnsi="宋体" w:cs="宋体"/>
                <w:sz w:val="24"/>
                <w:szCs w:val="24"/>
              </w:rPr>
            </w:pPr>
            <w:r w:rsidRPr="000A7EE3">
              <w:rPr>
                <w:rFonts w:ascii="宋体" w:eastAsia="宋体" w:hAnsi="宋体" w:cs="宋体" w:hint="eastAsia"/>
                <w:sz w:val="24"/>
                <w:szCs w:val="24"/>
              </w:rPr>
              <w:t>6.3</w:t>
            </w:r>
            <w:r w:rsidRPr="000A7EE3">
              <w:rPr>
                <w:rFonts w:ascii="宋体" w:eastAsia="宋体" w:hAnsi="宋体" w:cs="宋体"/>
                <w:sz w:val="24"/>
                <w:szCs w:val="24"/>
              </w:rPr>
              <w:t xml:space="preserve"> </w:t>
            </w:r>
            <w:r w:rsidRPr="000A7EE3">
              <w:rPr>
                <w:rFonts w:ascii="宋体" w:eastAsia="宋体" w:hAnsi="宋体" w:cs="宋体" w:hint="eastAsia"/>
                <w:sz w:val="24"/>
                <w:szCs w:val="24"/>
              </w:rPr>
              <w:t>通风空调风管系统安装</w:t>
            </w:r>
          </w:p>
          <w:p w:rsidR="00C20406" w:rsidRPr="000A7EE3" w:rsidRDefault="00C20406" w:rsidP="008C3907">
            <w:pPr>
              <w:rPr>
                <w:rFonts w:ascii="宋体" w:eastAsia="宋体" w:hAnsi="宋体"/>
                <w:kern w:val="0"/>
                <w:sz w:val="24"/>
                <w:szCs w:val="24"/>
              </w:rPr>
            </w:pPr>
            <w:r w:rsidRPr="000A7EE3">
              <w:rPr>
                <w:rFonts w:ascii="宋体" w:eastAsia="宋体" w:hAnsi="宋体" w:cs="宋体" w:hint="eastAsia"/>
                <w:sz w:val="24"/>
                <w:szCs w:val="24"/>
              </w:rPr>
              <w:t>6.5非金属风管、配件制作与安装</w:t>
            </w:r>
          </w:p>
        </w:tc>
        <w:tc>
          <w:tcPr>
            <w:tcW w:w="2755" w:type="dxa"/>
            <w:vAlign w:val="center"/>
          </w:tcPr>
          <w:p w:rsidR="00C20406" w:rsidRPr="000A7EE3" w:rsidRDefault="00C20406" w:rsidP="008C3907">
            <w:pPr>
              <w:pStyle w:val="a6"/>
              <w:rPr>
                <w:rFonts w:hAnsi="宋体" w:cs="宋体"/>
                <w:sz w:val="24"/>
                <w:szCs w:val="24"/>
              </w:rPr>
            </w:pPr>
            <w:r w:rsidRPr="000A7EE3">
              <w:rPr>
                <w:rFonts w:hAnsi="宋体" w:cs="宋体" w:hint="eastAsia"/>
                <w:sz w:val="24"/>
                <w:szCs w:val="24"/>
              </w:rPr>
              <w:t>了解风管、</w:t>
            </w:r>
            <w:r w:rsidRPr="000A7EE3">
              <w:rPr>
                <w:rFonts w:hAnsi="宋体" w:cs="宋体"/>
                <w:sz w:val="24"/>
                <w:szCs w:val="24"/>
              </w:rPr>
              <w:t>配件、部件的</w:t>
            </w:r>
            <w:r w:rsidRPr="000A7EE3">
              <w:rPr>
                <w:rFonts w:hAnsi="宋体" w:cs="宋体" w:hint="eastAsia"/>
                <w:sz w:val="24"/>
                <w:szCs w:val="24"/>
              </w:rPr>
              <w:t>制作</w:t>
            </w:r>
          </w:p>
          <w:p w:rsidR="00C20406" w:rsidRPr="000A7EE3" w:rsidRDefault="00C20406" w:rsidP="008C3907">
            <w:pPr>
              <w:pStyle w:val="a6"/>
              <w:rPr>
                <w:rFonts w:hAnsi="宋体" w:cs="宋体"/>
                <w:sz w:val="24"/>
                <w:szCs w:val="24"/>
              </w:rPr>
            </w:pPr>
            <w:r w:rsidRPr="000A7EE3">
              <w:rPr>
                <w:rFonts w:hAnsi="宋体" w:cs="宋体" w:hint="eastAsia"/>
                <w:sz w:val="24"/>
                <w:szCs w:val="24"/>
              </w:rPr>
              <w:t>了解通风空调风管的安装与</w:t>
            </w:r>
            <w:r w:rsidRPr="000A7EE3">
              <w:rPr>
                <w:rFonts w:hAnsi="宋体" w:cs="宋体"/>
                <w:sz w:val="24"/>
                <w:szCs w:val="24"/>
              </w:rPr>
              <w:t>加固</w:t>
            </w:r>
          </w:p>
        </w:tc>
      </w:tr>
      <w:tr w:rsidR="00C20406" w:rsidTr="008C3907">
        <w:trPr>
          <w:trHeight w:val="200"/>
        </w:trPr>
        <w:tc>
          <w:tcPr>
            <w:tcW w:w="512" w:type="dxa"/>
            <w:vAlign w:val="center"/>
          </w:tcPr>
          <w:p w:rsidR="00C20406" w:rsidRPr="000A7EE3" w:rsidRDefault="00C20406" w:rsidP="008C3907">
            <w:pPr>
              <w:jc w:val="center"/>
              <w:rPr>
                <w:rFonts w:ascii="Times New Roman" w:hAnsi="Times New Roman"/>
                <w:kern w:val="0"/>
                <w:sz w:val="24"/>
                <w:szCs w:val="24"/>
              </w:rPr>
            </w:pPr>
            <w:r w:rsidRPr="000A7EE3">
              <w:rPr>
                <w:rFonts w:ascii="Times New Roman" w:hAnsi="Times New Roman" w:hint="eastAsia"/>
                <w:kern w:val="0"/>
                <w:sz w:val="24"/>
                <w:szCs w:val="24"/>
              </w:rPr>
              <w:t>6</w:t>
            </w:r>
          </w:p>
        </w:tc>
        <w:tc>
          <w:tcPr>
            <w:tcW w:w="2102" w:type="dxa"/>
            <w:vAlign w:val="center"/>
          </w:tcPr>
          <w:p w:rsidR="00C20406" w:rsidRPr="000A7EE3" w:rsidRDefault="00C20406" w:rsidP="008C3907">
            <w:pPr>
              <w:rPr>
                <w:rFonts w:ascii="宋体" w:eastAsia="宋体" w:hAnsi="宋体"/>
                <w:sz w:val="24"/>
                <w:szCs w:val="24"/>
              </w:rPr>
            </w:pPr>
            <w:r w:rsidRPr="000A7EE3">
              <w:rPr>
                <w:rFonts w:ascii="宋体" w:eastAsia="宋体" w:hAnsi="宋体" w:hint="eastAsia"/>
                <w:sz w:val="24"/>
                <w:szCs w:val="24"/>
              </w:rPr>
              <w:t>第九章  管道与设备防腐和绝热</w:t>
            </w:r>
          </w:p>
        </w:tc>
        <w:tc>
          <w:tcPr>
            <w:tcW w:w="727" w:type="dxa"/>
            <w:vAlign w:val="center"/>
          </w:tcPr>
          <w:p w:rsidR="00C20406" w:rsidRPr="000A7EE3" w:rsidRDefault="00C20406" w:rsidP="008C3907">
            <w:pPr>
              <w:rPr>
                <w:rFonts w:ascii="Times New Roman" w:hAnsi="Times New Roman"/>
                <w:kern w:val="0"/>
                <w:sz w:val="24"/>
                <w:szCs w:val="24"/>
              </w:rPr>
            </w:pPr>
            <w:r w:rsidRPr="000A7EE3">
              <w:rPr>
                <w:rFonts w:ascii="Times New Roman" w:hAnsi="Times New Roman"/>
                <w:kern w:val="0"/>
                <w:sz w:val="24"/>
                <w:szCs w:val="24"/>
              </w:rPr>
              <w:t>2</w:t>
            </w:r>
          </w:p>
        </w:tc>
        <w:tc>
          <w:tcPr>
            <w:tcW w:w="3059" w:type="dxa"/>
            <w:vAlign w:val="center"/>
          </w:tcPr>
          <w:p w:rsidR="00C20406" w:rsidRPr="000A7EE3" w:rsidRDefault="00C20406" w:rsidP="008C3907">
            <w:pPr>
              <w:rPr>
                <w:rFonts w:ascii="宋体" w:eastAsia="宋体" w:hAnsi="宋体" w:cs="宋体"/>
                <w:sz w:val="24"/>
                <w:szCs w:val="24"/>
              </w:rPr>
            </w:pPr>
            <w:r w:rsidRPr="000A7EE3">
              <w:rPr>
                <w:rFonts w:ascii="宋体" w:eastAsia="宋体" w:hAnsi="宋体" w:cs="宋体" w:hint="eastAsia"/>
                <w:sz w:val="24"/>
                <w:szCs w:val="24"/>
              </w:rPr>
              <w:t>9.1管道与设备防腐</w:t>
            </w:r>
          </w:p>
          <w:p w:rsidR="00C20406" w:rsidRPr="000A7EE3" w:rsidRDefault="00C20406" w:rsidP="008C3907">
            <w:pPr>
              <w:rPr>
                <w:rFonts w:ascii="宋体" w:eastAsia="宋体" w:hAnsi="宋体"/>
                <w:kern w:val="0"/>
                <w:sz w:val="24"/>
                <w:szCs w:val="24"/>
              </w:rPr>
            </w:pPr>
            <w:r w:rsidRPr="000A7EE3">
              <w:rPr>
                <w:rFonts w:ascii="宋体" w:eastAsia="宋体" w:hAnsi="宋体" w:cs="宋体" w:hint="eastAsia"/>
                <w:sz w:val="24"/>
                <w:szCs w:val="24"/>
              </w:rPr>
              <w:t>9.2管道</w:t>
            </w:r>
            <w:r w:rsidRPr="000A7EE3">
              <w:rPr>
                <w:rFonts w:ascii="宋体" w:eastAsia="宋体" w:hAnsi="宋体" w:cs="宋体"/>
                <w:sz w:val="24"/>
                <w:szCs w:val="24"/>
              </w:rPr>
              <w:t>与设备绝热</w:t>
            </w:r>
          </w:p>
        </w:tc>
        <w:tc>
          <w:tcPr>
            <w:tcW w:w="2755" w:type="dxa"/>
            <w:vAlign w:val="center"/>
          </w:tcPr>
          <w:p w:rsidR="00C20406" w:rsidRPr="000A7EE3" w:rsidRDefault="00C20406" w:rsidP="008C3907">
            <w:pPr>
              <w:pStyle w:val="a6"/>
              <w:rPr>
                <w:rFonts w:hAnsi="宋体" w:cs="宋体"/>
                <w:sz w:val="24"/>
                <w:szCs w:val="24"/>
              </w:rPr>
            </w:pPr>
            <w:r w:rsidRPr="000A7EE3">
              <w:rPr>
                <w:rFonts w:hAnsi="宋体" w:cs="宋体" w:hint="eastAsia"/>
                <w:sz w:val="24"/>
                <w:szCs w:val="24"/>
              </w:rPr>
              <w:t>了解金属</w:t>
            </w:r>
            <w:r w:rsidRPr="000A7EE3">
              <w:rPr>
                <w:rFonts w:hAnsi="宋体" w:cs="宋体"/>
                <w:sz w:val="24"/>
                <w:szCs w:val="24"/>
              </w:rPr>
              <w:t>材料</w:t>
            </w:r>
            <w:r w:rsidRPr="000A7EE3">
              <w:rPr>
                <w:rFonts w:hAnsi="宋体" w:cs="宋体" w:hint="eastAsia"/>
                <w:sz w:val="24"/>
                <w:szCs w:val="24"/>
              </w:rPr>
              <w:t>防腐与绝热</w:t>
            </w:r>
          </w:p>
        </w:tc>
      </w:tr>
    </w:tbl>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课程</w:t>
      </w:r>
      <w:r>
        <w:rPr>
          <w:rFonts w:ascii="仿宋_GB2312" w:hAnsi="仿宋_GB2312" w:cs="仿宋_GB2312"/>
          <w:sz w:val="28"/>
          <w:szCs w:val="28"/>
        </w:rPr>
        <w:t>考核通过</w:t>
      </w:r>
      <w:r>
        <w:rPr>
          <w:rFonts w:ascii="仿宋_GB2312" w:hAnsi="仿宋_GB2312" w:cs="仿宋_GB2312" w:hint="eastAsia"/>
          <w:sz w:val="28"/>
          <w:szCs w:val="28"/>
        </w:rPr>
        <w:t>学</w:t>
      </w:r>
      <w:r>
        <w:rPr>
          <w:rFonts w:ascii="仿宋_GB2312" w:hAnsi="仿宋_GB2312" w:cs="仿宋_GB2312"/>
          <w:sz w:val="28"/>
          <w:szCs w:val="28"/>
        </w:rPr>
        <w:t>生平时表现、课堂讨论、</w:t>
      </w:r>
      <w:r>
        <w:rPr>
          <w:rFonts w:ascii="仿宋_GB2312" w:hAnsi="仿宋_GB2312" w:cs="仿宋_GB2312" w:hint="eastAsia"/>
          <w:sz w:val="28"/>
          <w:szCs w:val="28"/>
        </w:rPr>
        <w:t>课</w:t>
      </w:r>
      <w:r>
        <w:rPr>
          <w:rFonts w:ascii="仿宋_GB2312" w:hAnsi="仿宋_GB2312" w:cs="仿宋_GB2312"/>
          <w:sz w:val="28"/>
          <w:szCs w:val="28"/>
        </w:rPr>
        <w:t>外作业</w:t>
      </w:r>
      <w:r>
        <w:rPr>
          <w:rFonts w:ascii="仿宋_GB2312" w:hAnsi="仿宋_GB2312" w:cs="仿宋_GB2312" w:hint="eastAsia"/>
          <w:sz w:val="28"/>
          <w:szCs w:val="28"/>
        </w:rPr>
        <w:t>的</w:t>
      </w:r>
      <w:r>
        <w:rPr>
          <w:rFonts w:ascii="仿宋_GB2312" w:hAnsi="仿宋_GB2312" w:cs="仿宋_GB2312"/>
          <w:sz w:val="28"/>
          <w:szCs w:val="28"/>
        </w:rPr>
        <w:t>完成</w:t>
      </w:r>
      <w:r>
        <w:rPr>
          <w:rFonts w:ascii="仿宋_GB2312" w:hAnsi="仿宋_GB2312" w:cs="仿宋_GB2312" w:hint="eastAsia"/>
          <w:sz w:val="28"/>
          <w:szCs w:val="28"/>
        </w:rPr>
        <w:t>情况，</w:t>
      </w:r>
      <w:r>
        <w:rPr>
          <w:rFonts w:ascii="仿宋_GB2312" w:hAnsi="仿宋_GB2312" w:cs="仿宋_GB2312"/>
          <w:sz w:val="28"/>
          <w:szCs w:val="28"/>
        </w:rPr>
        <w:lastRenderedPageBreak/>
        <w:t>期末</w:t>
      </w:r>
      <w:r>
        <w:rPr>
          <w:rFonts w:ascii="仿宋_GB2312" w:hAnsi="仿宋_GB2312" w:cs="仿宋_GB2312" w:hint="eastAsia"/>
          <w:sz w:val="28"/>
          <w:szCs w:val="28"/>
        </w:rPr>
        <w:t>考</w:t>
      </w:r>
      <w:r>
        <w:rPr>
          <w:rFonts w:ascii="仿宋_GB2312" w:hAnsi="仿宋_GB2312" w:cs="仿宋_GB2312"/>
          <w:sz w:val="28"/>
          <w:szCs w:val="28"/>
        </w:rPr>
        <w:t>试</w:t>
      </w:r>
      <w:r>
        <w:rPr>
          <w:rFonts w:ascii="仿宋_GB2312" w:hAnsi="仿宋_GB2312" w:cs="仿宋_GB2312" w:hint="eastAsia"/>
          <w:sz w:val="28"/>
          <w:szCs w:val="28"/>
        </w:rPr>
        <w:t>进行</w:t>
      </w:r>
      <w:r>
        <w:rPr>
          <w:rFonts w:ascii="仿宋_GB2312" w:hAnsi="仿宋_GB2312" w:cs="仿宋_GB2312"/>
          <w:sz w:val="28"/>
          <w:szCs w:val="28"/>
        </w:rPr>
        <w:t>。</w:t>
      </w:r>
    </w:p>
    <w:p w:rsidR="00C20406" w:rsidRDefault="000A7EE3" w:rsidP="000A7EE3">
      <w:pPr>
        <w:spacing w:line="360" w:lineRule="auto"/>
        <w:ind w:left="980"/>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w:t>
      </w:r>
      <w:r w:rsidR="00C20406">
        <w:rPr>
          <w:rFonts w:ascii="仿宋_GB2312" w:hAnsi="仿宋_GB2312" w:cs="仿宋_GB2312" w:hint="eastAsia"/>
          <w:sz w:val="28"/>
          <w:szCs w:val="28"/>
        </w:rPr>
        <w:t>成绩评定</w:t>
      </w:r>
    </w:p>
    <w:p w:rsidR="00C20406" w:rsidRDefault="00C20406" w:rsidP="00C20406">
      <w:pPr>
        <w:spacing w:line="360" w:lineRule="auto"/>
        <w:ind w:left="560"/>
        <w:rPr>
          <w:rFonts w:ascii="仿宋_GB2312" w:hAnsi="仿宋_GB2312" w:cs="仿宋_GB2312"/>
          <w:sz w:val="28"/>
          <w:szCs w:val="28"/>
        </w:rPr>
      </w:pPr>
      <w:r>
        <w:rPr>
          <w:rFonts w:ascii="仿宋_GB2312" w:hAnsi="仿宋_GB2312" w:cs="仿宋_GB2312" w:hint="eastAsia"/>
          <w:sz w:val="28"/>
          <w:szCs w:val="28"/>
        </w:rPr>
        <w:t>采用平时成绩+期末考试两</w:t>
      </w:r>
      <w:r>
        <w:rPr>
          <w:rFonts w:ascii="仿宋_GB2312" w:hAnsi="仿宋_GB2312" w:cs="仿宋_GB2312"/>
          <w:sz w:val="28"/>
          <w:szCs w:val="28"/>
        </w:rPr>
        <w:t>种</w:t>
      </w:r>
      <w:r>
        <w:rPr>
          <w:rFonts w:ascii="仿宋_GB2312" w:hAnsi="仿宋_GB2312" w:cs="仿宋_GB2312" w:hint="eastAsia"/>
          <w:sz w:val="28"/>
          <w:szCs w:val="28"/>
        </w:rPr>
        <w:t>方式确定总评成绩。</w:t>
      </w:r>
    </w:p>
    <w:p w:rsidR="00C20406" w:rsidRDefault="00C20406" w:rsidP="00C20406">
      <w:pPr>
        <w:spacing w:line="360" w:lineRule="auto"/>
        <w:ind w:left="560"/>
        <w:rPr>
          <w:rFonts w:ascii="仿宋_GB2312" w:hAnsi="仿宋_GB2312" w:cs="仿宋_GB2312"/>
          <w:sz w:val="28"/>
          <w:szCs w:val="28"/>
        </w:rPr>
      </w:pPr>
      <w:r>
        <w:rPr>
          <w:rFonts w:ascii="仿宋_GB2312" w:hAnsi="仿宋_GB2312" w:cs="仿宋_GB2312" w:hint="eastAsia"/>
          <w:sz w:val="28"/>
          <w:szCs w:val="28"/>
        </w:rPr>
        <w:t>其中平时成绩占30%，期末考试成绩占70%。</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20406" w:rsidRDefault="00C20406" w:rsidP="00C20406">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20406" w:rsidRDefault="00C20406" w:rsidP="000A7EE3">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建筑设备</w:t>
      </w:r>
      <w:r>
        <w:rPr>
          <w:rFonts w:ascii="仿宋_GB2312" w:hAnsi="仿宋_GB2312" w:cs="仿宋_GB2312"/>
          <w:sz w:val="28"/>
          <w:szCs w:val="28"/>
        </w:rPr>
        <w:t>安装技术</w:t>
      </w:r>
      <w:r>
        <w:rPr>
          <w:rFonts w:ascii="仿宋_GB2312" w:hAnsi="仿宋_GB2312" w:cs="仿宋_GB2312" w:hint="eastAsia"/>
          <w:sz w:val="28"/>
          <w:szCs w:val="28"/>
        </w:rPr>
        <w:t>，邓沪</w:t>
      </w:r>
      <w:r>
        <w:rPr>
          <w:rFonts w:ascii="仿宋_GB2312" w:hAnsi="仿宋_GB2312" w:cs="仿宋_GB2312"/>
          <w:sz w:val="28"/>
          <w:szCs w:val="28"/>
        </w:rPr>
        <w:t>秋</w:t>
      </w:r>
      <w:r>
        <w:rPr>
          <w:rFonts w:ascii="仿宋_GB2312" w:hAnsi="仿宋_GB2312" w:cs="仿宋_GB2312" w:hint="eastAsia"/>
          <w:sz w:val="28"/>
          <w:szCs w:val="28"/>
        </w:rPr>
        <w:t>主编，重庆大学出版社，201</w:t>
      </w:r>
      <w:r>
        <w:rPr>
          <w:rFonts w:ascii="仿宋_GB2312" w:hAnsi="仿宋_GB2312" w:cs="仿宋_GB2312"/>
          <w:sz w:val="28"/>
          <w:szCs w:val="28"/>
        </w:rPr>
        <w:t>6</w:t>
      </w:r>
      <w:r>
        <w:rPr>
          <w:rFonts w:ascii="仿宋_GB2312" w:hAnsi="仿宋_GB2312" w:cs="仿宋_GB2312" w:hint="eastAsia"/>
          <w:sz w:val="28"/>
          <w:szCs w:val="28"/>
        </w:rPr>
        <w:t>年1</w:t>
      </w:r>
      <w:r>
        <w:rPr>
          <w:rFonts w:ascii="仿宋_GB2312" w:hAnsi="仿宋_GB2312" w:cs="仿宋_GB2312"/>
          <w:sz w:val="28"/>
          <w:szCs w:val="28"/>
        </w:rPr>
        <w:t>1</w:t>
      </w:r>
      <w:r>
        <w:rPr>
          <w:rFonts w:ascii="仿宋_GB2312" w:hAnsi="仿宋_GB2312" w:cs="仿宋_GB2312" w:hint="eastAsia"/>
          <w:sz w:val="28"/>
          <w:szCs w:val="28"/>
        </w:rPr>
        <w:t>月第二版。</w:t>
      </w:r>
    </w:p>
    <w:p w:rsidR="00C20406" w:rsidRDefault="00C20406" w:rsidP="000A7EE3">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2.主要参考资料</w:t>
      </w:r>
    </w:p>
    <w:p w:rsidR="00C20406" w:rsidRDefault="00C20406" w:rsidP="000A7EE3">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1</w:t>
      </w:r>
      <w:r>
        <w:rPr>
          <w:rFonts w:ascii="仿宋_GB2312" w:hAnsi="仿宋_GB2312" w:cs="仿宋_GB2312" w:hint="eastAsia"/>
          <w:sz w:val="28"/>
          <w:szCs w:val="28"/>
        </w:rPr>
        <w:t>）</w:t>
      </w:r>
      <w:r w:rsidRPr="000A7EE3">
        <w:rPr>
          <w:rFonts w:ascii="仿宋_GB2312" w:hAnsi="仿宋_GB2312" w:cs="仿宋_GB2312" w:hint="eastAsia"/>
          <w:sz w:val="28"/>
          <w:szCs w:val="28"/>
        </w:rPr>
        <w:t>建筑设备施工与预算，王智伟、刘艳峰，科学出版社，2002</w:t>
      </w:r>
    </w:p>
    <w:p w:rsidR="00C20406" w:rsidRDefault="00C20406" w:rsidP="000A7EE3">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2）建筑设备施工技术与组织</w:t>
      </w:r>
      <w:r w:rsidRPr="000A7EE3">
        <w:rPr>
          <w:rFonts w:ascii="仿宋_GB2312" w:hAnsi="仿宋_GB2312" w:cs="仿宋_GB2312" w:hint="eastAsia"/>
          <w:sz w:val="28"/>
          <w:szCs w:val="28"/>
        </w:rPr>
        <w:t>，</w:t>
      </w:r>
      <w:r>
        <w:rPr>
          <w:rFonts w:ascii="仿宋_GB2312" w:hAnsi="仿宋_GB2312" w:cs="仿宋_GB2312" w:hint="eastAsia"/>
          <w:sz w:val="28"/>
          <w:szCs w:val="28"/>
        </w:rPr>
        <w:t>董重成 哈尔滨工业大学出版社</w:t>
      </w:r>
      <w:r w:rsidRPr="000A7EE3">
        <w:rPr>
          <w:rFonts w:ascii="仿宋_GB2312" w:hAnsi="仿宋_GB2312" w:cs="仿宋_GB2312" w:hint="eastAsia"/>
          <w:sz w:val="28"/>
          <w:szCs w:val="28"/>
        </w:rPr>
        <w:t>，</w:t>
      </w:r>
      <w:r>
        <w:rPr>
          <w:rFonts w:ascii="仿宋_GB2312" w:hAnsi="仿宋_GB2312" w:cs="仿宋_GB2312" w:hint="eastAsia"/>
          <w:sz w:val="28"/>
          <w:szCs w:val="28"/>
        </w:rPr>
        <w:t>2006</w:t>
      </w:r>
    </w:p>
    <w:p w:rsidR="00C20406" w:rsidRDefault="00C20406" w:rsidP="000A7EE3">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3</w:t>
      </w:r>
      <w:r>
        <w:rPr>
          <w:rFonts w:ascii="仿宋_GB2312" w:hAnsi="仿宋_GB2312" w:cs="仿宋_GB2312" w:hint="eastAsia"/>
          <w:sz w:val="28"/>
          <w:szCs w:val="28"/>
        </w:rPr>
        <w:t>）通风与空调工程施工质量验收规范 GB50243-2016</w:t>
      </w:r>
      <w:r w:rsidRPr="000A7EE3">
        <w:rPr>
          <w:rFonts w:cs="Calibri"/>
          <w:sz w:val="28"/>
          <w:szCs w:val="28"/>
        </w:rPr>
        <w:t> </w:t>
      </w:r>
    </w:p>
    <w:p w:rsidR="00C20406" w:rsidRDefault="00C20406" w:rsidP="000A7EE3">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4）通风与空调工程 安全·操作，技术[M]</w:t>
      </w:r>
      <w:r w:rsidRPr="000A7EE3">
        <w:rPr>
          <w:rFonts w:ascii="仿宋_GB2312" w:hAnsi="仿宋_GB2312" w:cs="仿宋_GB2312" w:hint="eastAsia"/>
          <w:sz w:val="28"/>
          <w:szCs w:val="28"/>
        </w:rPr>
        <w:t xml:space="preserve"> ，</w:t>
      </w:r>
      <w:r>
        <w:rPr>
          <w:rFonts w:ascii="仿宋_GB2312" w:hAnsi="仿宋_GB2312" w:cs="仿宋_GB2312" w:hint="eastAsia"/>
          <w:sz w:val="28"/>
          <w:szCs w:val="28"/>
        </w:rPr>
        <w:t>王志勇</w:t>
      </w:r>
      <w:r w:rsidRPr="000A7EE3">
        <w:rPr>
          <w:rFonts w:ascii="仿宋_GB2312" w:hAnsi="仿宋_GB2312" w:cs="仿宋_GB2312" w:hint="eastAsia"/>
          <w:sz w:val="28"/>
          <w:szCs w:val="28"/>
        </w:rPr>
        <w:t>，</w:t>
      </w:r>
      <w:r>
        <w:rPr>
          <w:rFonts w:ascii="仿宋_GB2312" w:hAnsi="仿宋_GB2312" w:cs="仿宋_GB2312" w:hint="eastAsia"/>
          <w:sz w:val="28"/>
          <w:szCs w:val="28"/>
        </w:rPr>
        <w:t>中国建材工业出版社</w:t>
      </w:r>
      <w:r w:rsidRPr="000A7EE3">
        <w:rPr>
          <w:rFonts w:ascii="仿宋_GB2312" w:hAnsi="仿宋_GB2312" w:cs="仿宋_GB2312" w:hint="eastAsia"/>
          <w:sz w:val="28"/>
          <w:szCs w:val="28"/>
        </w:rPr>
        <w:t>，</w:t>
      </w:r>
      <w:r>
        <w:rPr>
          <w:rFonts w:ascii="仿宋_GB2312" w:hAnsi="仿宋_GB2312" w:cs="仿宋_GB2312" w:hint="eastAsia"/>
          <w:sz w:val="28"/>
          <w:szCs w:val="28"/>
        </w:rPr>
        <w:t>2006</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C20406" w:rsidRDefault="00C20406" w:rsidP="00C20406">
      <w:pPr>
        <w:spacing w:line="360" w:lineRule="auto"/>
        <w:ind w:leftChars="200" w:left="640"/>
        <w:rPr>
          <w:rFonts w:ascii="仿宋_GB2312" w:hAnsi="仿宋_GB2312" w:cs="仿宋_GB2312"/>
          <w:sz w:val="28"/>
          <w:szCs w:val="28"/>
        </w:rPr>
      </w:pPr>
      <w:r>
        <w:rPr>
          <w:rFonts w:ascii="仿宋_GB2312" w:hAnsi="仿宋_GB2312" w:cs="仿宋_GB2312" w:hint="eastAsia"/>
          <w:sz w:val="28"/>
          <w:szCs w:val="28"/>
        </w:rPr>
        <w:t>无</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大纲撰写人：付宏</w:t>
      </w:r>
      <w:r>
        <w:rPr>
          <w:rFonts w:ascii="仿宋" w:eastAsia="仿宋" w:hAnsi="仿宋"/>
          <w:sz w:val="28"/>
          <w:szCs w:val="28"/>
        </w:rPr>
        <w:t>涛</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课程负责人：付宏</w:t>
      </w:r>
      <w:r>
        <w:rPr>
          <w:rFonts w:ascii="仿宋" w:eastAsia="仿宋" w:hAnsi="仿宋"/>
          <w:sz w:val="28"/>
          <w:szCs w:val="28"/>
        </w:rPr>
        <w:t>涛</w:t>
      </w:r>
    </w:p>
    <w:p w:rsidR="00C20406" w:rsidRDefault="00C20406" w:rsidP="000A7EE3">
      <w:pPr>
        <w:spacing w:line="360" w:lineRule="auto"/>
        <w:ind w:firstLineChars="1200" w:firstLine="3360"/>
        <w:rPr>
          <w:rFonts w:ascii="仿宋" w:hAnsi="仿宋"/>
          <w:sz w:val="28"/>
          <w:szCs w:val="28"/>
        </w:rPr>
      </w:pPr>
      <w:r>
        <w:rPr>
          <w:rFonts w:ascii="仿宋" w:eastAsia="仿宋" w:hAnsi="仿宋" w:hint="eastAsia"/>
          <w:sz w:val="28"/>
          <w:szCs w:val="28"/>
        </w:rPr>
        <w:t>审核人：</w:t>
      </w:r>
      <w:r>
        <w:rPr>
          <w:rFonts w:ascii="仿宋_GB2312" w:hAnsi="微软雅黑" w:hint="eastAsia"/>
          <w:sz w:val="28"/>
          <w:szCs w:val="28"/>
        </w:rPr>
        <w:t xml:space="preserve"> </w:t>
      </w:r>
    </w:p>
    <w:p w:rsidR="00C20406" w:rsidRPr="000A7EE3" w:rsidRDefault="00C20406" w:rsidP="00C20406">
      <w:pPr>
        <w:jc w:val="left"/>
        <w:rPr>
          <w:rFonts w:hint="eastAsia"/>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04</w:t>
      </w:r>
      <w:r>
        <w:rPr>
          <w:rFonts w:ascii="仿宋" w:eastAsia="仿宋" w:hAnsi="仿宋" w:hint="eastAsia"/>
          <w:sz w:val="28"/>
          <w:szCs w:val="28"/>
        </w:rPr>
        <w:t>月</w:t>
      </w:r>
    </w:p>
    <w:p w:rsidR="00C20406" w:rsidRDefault="00C20406" w:rsidP="00C2040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《燃气输配及应用》课程教学大纲</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Gas transmission and distribution and its application</w:t>
      </w:r>
    </w:p>
    <w:p w:rsidR="00C20406" w:rsidRDefault="00C20406" w:rsidP="00C20406">
      <w:pPr>
        <w:spacing w:line="360" w:lineRule="auto"/>
        <w:ind w:firstLine="331"/>
        <w:rPr>
          <w:rFonts w:ascii="仿宋_GB2312" w:hAnsi="仿宋_GB2312" w:cs="仿宋_GB2312"/>
          <w:b/>
          <w:bCs/>
          <w:sz w:val="28"/>
          <w:szCs w:val="28"/>
        </w:rPr>
      </w:pPr>
      <w:r>
        <w:rPr>
          <w:rFonts w:ascii="仿宋_GB2312" w:hAnsi="仿宋_GB2312" w:cs="仿宋_GB2312" w:hint="eastAsia"/>
          <w:bCs/>
          <w:sz w:val="28"/>
          <w:szCs w:val="28"/>
        </w:rPr>
        <w:t>课程编码：Z2807</w:t>
      </w:r>
      <w:r>
        <w:rPr>
          <w:rFonts w:ascii="仿宋_GB2312" w:hAnsi="仿宋_GB2312" w:cs="仿宋_GB2312"/>
          <w:bCs/>
          <w:sz w:val="28"/>
          <w:szCs w:val="28"/>
        </w:rPr>
        <w:t>280</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课程类别：专业发展课</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2.5</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40</w:t>
      </w:r>
      <w:r>
        <w:rPr>
          <w:rFonts w:ascii="仿宋_GB2312" w:hAnsi="仿宋_GB2312" w:cs="仿宋_GB2312" w:hint="eastAsia"/>
          <w:bCs/>
          <w:sz w:val="28"/>
          <w:szCs w:val="28"/>
        </w:rPr>
        <w:t>学时（授课</w:t>
      </w:r>
      <w:r>
        <w:rPr>
          <w:rFonts w:ascii="仿宋_GB2312" w:hAnsi="仿宋_GB2312" w:cs="仿宋_GB2312"/>
          <w:bCs/>
          <w:sz w:val="28"/>
          <w:szCs w:val="28"/>
        </w:rPr>
        <w:t>36</w:t>
      </w:r>
      <w:r>
        <w:rPr>
          <w:rFonts w:ascii="仿宋_GB2312" w:hAnsi="仿宋_GB2312" w:cs="仿宋_GB2312" w:hint="eastAsia"/>
          <w:bCs/>
          <w:sz w:val="28"/>
          <w:szCs w:val="28"/>
        </w:rPr>
        <w:t>学时，实验</w:t>
      </w:r>
      <w:r>
        <w:rPr>
          <w:rFonts w:ascii="仿宋_GB2312" w:hAnsi="仿宋_GB2312" w:cs="仿宋_GB2312"/>
          <w:bCs/>
          <w:sz w:val="28"/>
          <w:szCs w:val="28"/>
        </w:rPr>
        <w:t>4</w:t>
      </w:r>
      <w:r>
        <w:rPr>
          <w:rFonts w:ascii="仿宋_GB2312" w:hAnsi="仿宋_GB2312" w:cs="仿宋_GB2312" w:hint="eastAsia"/>
          <w:bCs/>
          <w:sz w:val="28"/>
          <w:szCs w:val="28"/>
        </w:rPr>
        <w:t>学时）</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适用对象：建筑环境与能源应用专业</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先修课程：流体力学、流体输配管网等。</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开课院系：建筑工程学院建筑环境与能源应用系</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20406" w:rsidRDefault="00C20406" w:rsidP="00C20406">
      <w:pPr>
        <w:spacing w:beforeLines="50" w:before="156" w:afterLines="50" w:after="156"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燃气输配及应用》是建筑环境与应用工程专业的一门专业发展选修课，通过课堂教学、实验、实践等教学环节，使学生系统掌握燃气输配系统的构成、基础知识和基本理论，掌握城镇燃气管网水力计算与工况分析，了解各种常用设备的工作原理及设备选择依据，培养学生进行城镇燃气管网规划设计，</w:t>
      </w:r>
      <w:r>
        <w:rPr>
          <w:rFonts w:ascii="仿宋_GB2312" w:hAnsi="仿宋_GB2312" w:cs="仿宋_GB2312" w:hint="eastAsia"/>
          <w:bCs/>
          <w:sz w:val="28"/>
          <w:szCs w:val="28"/>
        </w:rPr>
        <w:t>管理、分析和解决</w:t>
      </w:r>
      <w:r>
        <w:rPr>
          <w:rFonts w:ascii="仿宋_GB2312" w:hAnsi="仿宋_GB2312" w:cs="仿宋_GB2312" w:hint="eastAsia"/>
          <w:sz w:val="28"/>
          <w:szCs w:val="28"/>
        </w:rPr>
        <w:t>燃气输配工程管理的能力。</w:t>
      </w:r>
    </w:p>
    <w:p w:rsidR="00C20406" w:rsidRDefault="00C20406" w:rsidP="00C20406">
      <w:pPr>
        <w:spacing w:beforeLines="50" w:before="156" w:afterLines="50" w:after="156"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教学主要内容有城镇燃气的分类及其性质、城镇燃气需用量及供</w:t>
      </w:r>
      <w:r>
        <w:rPr>
          <w:rFonts w:ascii="仿宋_GB2312" w:hAnsi="仿宋_GB2312" w:cs="仿宋_GB2312" w:hint="eastAsia"/>
          <w:sz w:val="28"/>
          <w:szCs w:val="28"/>
        </w:rPr>
        <w:lastRenderedPageBreak/>
        <w:t>需平衡、燃气的长距离输送系统、城镇燃气管网系统、燃气管道及其附属设备、燃气管道的水力计算、燃气管网的水力工况、燃气的压力调节及计量、燃气的压送、燃气的储存等。</w:t>
      </w:r>
    </w:p>
    <w:p w:rsidR="00C20406" w:rsidRDefault="00C20406" w:rsidP="00C20406">
      <w:pPr>
        <w:spacing w:beforeLines="50" w:before="156" w:afterLines="50" w:after="156"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教学方式采用PPT（构造与设计讲解）、板书（计算实例、图解）、实验、课后思考题和练习题等相结合进行授课，并结合课程设计教学环节，使学生具备小区、建筑单体燃气工程的设计、计算、制图能力，初步掌握使用各种规范、手册等技术资料的基本方法和技能。了解国家相关政策和规范，明确自己的</w:t>
      </w:r>
      <w:bookmarkStart w:id="75" w:name="_Hlk69984664"/>
      <w:r>
        <w:rPr>
          <w:rFonts w:ascii="仿宋_GB2312" w:hAnsi="仿宋_GB2312" w:cs="仿宋_GB2312" w:hint="eastAsia"/>
          <w:sz w:val="28"/>
          <w:szCs w:val="28"/>
        </w:rPr>
        <w:t>职业能力和职业责任，激发爱国热情。</w:t>
      </w:r>
      <w:bookmarkEnd w:id="75"/>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 xml:space="preserve"> </w:t>
      </w:r>
      <w:r>
        <w:rPr>
          <w:rFonts w:ascii="仿宋_GB2312" w:hAnsi="仿宋_GB2312" w:cs="仿宋_GB2312"/>
          <w:sz w:val="28"/>
          <w:szCs w:val="28"/>
        </w:rPr>
        <w:t xml:space="preserve"> </w:t>
      </w:r>
      <w:r>
        <w:rPr>
          <w:rFonts w:ascii="仿宋_GB2312" w:hAnsi="仿宋_GB2312" w:cs="仿宋_GB2312" w:hint="eastAsia"/>
          <w:sz w:val="28"/>
          <w:szCs w:val="28"/>
        </w:rPr>
        <w:t>本课程围绕小区、建筑单体燃气工程设计，介绍燃气各类用户用气定额、用气量，城镇燃气需用量、燃气需用工况，燃气管道小时计算流量，特别是庭院和室内燃气管道的流量计算方法。要求学生在掌握流量计算方法的同时，掌握建筑燃气供应系统的构成、布线原则及高层建筑燃气供应特点，能根据燃气流动的基本方程式，进行燃气管网设计与计算，为后续的实践环节（课程设计）开展奠定理论基础。</w:t>
      </w:r>
    </w:p>
    <w:p w:rsidR="00C20406" w:rsidRDefault="00C20406" w:rsidP="006058C6">
      <w:pPr>
        <w:numPr>
          <w:ilvl w:val="0"/>
          <w:numId w:val="65"/>
        </w:numPr>
        <w:spacing w:line="360" w:lineRule="auto"/>
        <w:rPr>
          <w:rFonts w:ascii="仿宋_GB2312" w:hAnsi="仿宋_GB2312" w:cs="仿宋_GB2312"/>
          <w:sz w:val="28"/>
          <w:szCs w:val="28"/>
        </w:rPr>
      </w:pPr>
      <w:r>
        <w:rPr>
          <w:rFonts w:ascii="仿宋_GB2312" w:hAnsi="仿宋_GB2312" w:cs="仿宋_GB2312" w:hint="eastAsia"/>
          <w:sz w:val="28"/>
          <w:szCs w:val="28"/>
        </w:rPr>
        <w:t>课程基本要求</w:t>
      </w:r>
    </w:p>
    <w:p w:rsidR="00C20406" w:rsidRDefault="00C20406" w:rsidP="00C20406">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w:t>
      </w:r>
      <w:bookmarkStart w:id="76" w:name="_Hlk69330411"/>
      <w:r>
        <w:rPr>
          <w:rFonts w:ascii="仿宋_GB2312" w:hAnsi="仿宋_GB2312" w:cs="仿宋_GB2312" w:hint="eastAsia"/>
          <w:bCs/>
          <w:sz w:val="28"/>
          <w:szCs w:val="28"/>
        </w:rPr>
        <w:t>课程目标</w:t>
      </w:r>
      <w:bookmarkEnd w:id="76"/>
    </w:p>
    <w:p w:rsidR="00C20406" w:rsidRDefault="00C20406" w:rsidP="00C20406">
      <w:pPr>
        <w:snapToGrid w:val="0"/>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理论课程课程目标</w:t>
      </w:r>
    </w:p>
    <w:p w:rsidR="00C20406" w:rsidRDefault="00C20406" w:rsidP="00C20406">
      <w:pPr>
        <w:snapToGrid w:val="0"/>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（1）通过本课程的学习，使学生掌握燃气输配系统的基本构成、燃气输配的基础知识和基本理论，掌握城镇燃气管网水力计算与工况分析，了解各种常用设备的工作原理及设备选择依据。</w:t>
      </w:r>
    </w:p>
    <w:p w:rsidR="00C20406" w:rsidRDefault="00C20406" w:rsidP="00C20406">
      <w:pPr>
        <w:snapToGrid w:val="0"/>
        <w:spacing w:line="360" w:lineRule="auto"/>
        <w:ind w:firstLineChars="100" w:firstLine="280"/>
        <w:rPr>
          <w:rFonts w:ascii="仿宋_GB2312" w:hAnsi="仿宋_GB2312" w:cs="仿宋_GB2312"/>
          <w:bCs/>
          <w:sz w:val="28"/>
          <w:szCs w:val="28"/>
        </w:rPr>
      </w:pPr>
      <w:r>
        <w:rPr>
          <w:rFonts w:ascii="仿宋_GB2312" w:hAnsi="仿宋_GB2312" w:cs="仿宋_GB2312" w:hint="eastAsia"/>
          <w:bCs/>
          <w:sz w:val="28"/>
          <w:szCs w:val="28"/>
        </w:rPr>
        <w:t>（2）培养学生进行城镇燃气管网规划设计，管理、分析和解决燃</w:t>
      </w:r>
      <w:r>
        <w:rPr>
          <w:rFonts w:ascii="仿宋_GB2312" w:hAnsi="仿宋_GB2312" w:cs="仿宋_GB2312" w:hint="eastAsia"/>
          <w:bCs/>
          <w:sz w:val="28"/>
          <w:szCs w:val="28"/>
        </w:rPr>
        <w:lastRenderedPageBreak/>
        <w:t>气输配工程的能力。</w:t>
      </w:r>
    </w:p>
    <w:p w:rsidR="00C20406" w:rsidRDefault="00C20406" w:rsidP="00C20406">
      <w:pPr>
        <w:snapToGrid w:val="0"/>
        <w:spacing w:line="360" w:lineRule="auto"/>
        <w:ind w:firstLineChars="100" w:firstLine="280"/>
        <w:rPr>
          <w:rFonts w:ascii="仿宋_GB2312" w:hAnsi="仿宋_GB2312" w:cs="仿宋_GB2312"/>
          <w:bCs/>
          <w:sz w:val="28"/>
          <w:szCs w:val="28"/>
        </w:rPr>
      </w:pPr>
      <w:r>
        <w:rPr>
          <w:rFonts w:ascii="仿宋_GB2312" w:hAnsi="仿宋_GB2312" w:cs="仿宋_GB2312" w:hint="eastAsia"/>
          <w:bCs/>
          <w:sz w:val="28"/>
          <w:szCs w:val="28"/>
        </w:rPr>
        <w:t>（3）</w:t>
      </w:r>
      <w:r>
        <w:rPr>
          <w:rFonts w:ascii="仿宋_GB2312" w:hAnsi="仿宋_GB2312" w:cs="仿宋_GB2312" w:hint="eastAsia"/>
          <w:sz w:val="28"/>
          <w:szCs w:val="28"/>
        </w:rPr>
        <w:t>通过专业学习，</w:t>
      </w:r>
      <w:r>
        <w:rPr>
          <w:rFonts w:ascii="仿宋_GB2312" w:hAnsi="仿宋_GB2312" w:cs="仿宋_GB2312" w:hint="eastAsia"/>
          <w:bCs/>
          <w:sz w:val="28"/>
          <w:szCs w:val="28"/>
        </w:rPr>
        <w:t>培养学生的</w:t>
      </w:r>
      <w:r>
        <w:rPr>
          <w:rFonts w:ascii="仿宋_GB2312" w:hAnsi="仿宋_GB2312" w:cs="仿宋_GB2312" w:hint="eastAsia"/>
          <w:sz w:val="28"/>
          <w:szCs w:val="28"/>
        </w:rPr>
        <w:t>职业能力和职业责任，</w:t>
      </w:r>
      <w:bookmarkStart w:id="77" w:name="_Hlk69985033"/>
      <w:r>
        <w:rPr>
          <w:rFonts w:ascii="仿宋_GB2312" w:hAnsi="仿宋_GB2312" w:cs="仿宋_GB2312" w:hint="eastAsia"/>
          <w:sz w:val="28"/>
          <w:szCs w:val="28"/>
        </w:rPr>
        <w:t>激发爱国热情</w:t>
      </w:r>
      <w:bookmarkEnd w:id="77"/>
      <w:r>
        <w:rPr>
          <w:rFonts w:ascii="仿宋_GB2312" w:hAnsi="仿宋_GB2312" w:cs="仿宋_GB2312" w:hint="eastAsia"/>
          <w:sz w:val="28"/>
          <w:szCs w:val="28"/>
        </w:rPr>
        <w:t>。</w:t>
      </w:r>
    </w:p>
    <w:p w:rsidR="00C20406" w:rsidRDefault="00C20406" w:rsidP="00C20406">
      <w:pPr>
        <w:snapToGrid w:val="0"/>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t>实践课程课程目标</w:t>
      </w:r>
    </w:p>
    <w:p w:rsidR="00C20406" w:rsidRDefault="00C20406" w:rsidP="00C20406">
      <w:pPr>
        <w:spacing w:line="360" w:lineRule="auto"/>
        <w:ind w:firstLineChars="100" w:firstLine="280"/>
        <w:rPr>
          <w:rFonts w:ascii="仿宋_GB2312" w:hAnsi="仿宋_GB2312" w:cs="仿宋_GB2312"/>
          <w:bCs/>
          <w:sz w:val="28"/>
          <w:szCs w:val="28"/>
        </w:rPr>
      </w:pPr>
      <w:bookmarkStart w:id="78" w:name="_Hlk69292793"/>
      <w:bookmarkStart w:id="79" w:name="_Hlk69292711"/>
      <w:r>
        <w:rPr>
          <w:rFonts w:ascii="仿宋_GB2312" w:hAnsi="仿宋_GB2312" w:cs="仿宋_GB2312" w:hint="eastAsia"/>
          <w:bCs/>
          <w:sz w:val="28"/>
          <w:szCs w:val="28"/>
        </w:rPr>
        <w:t>（1）通过实践环节（课程设计），使学生掌握</w:t>
      </w:r>
      <w:bookmarkStart w:id="80" w:name="_Hlk69300028"/>
      <w:r>
        <w:rPr>
          <w:rFonts w:ascii="仿宋_GB2312" w:hAnsi="仿宋_GB2312" w:cs="仿宋_GB2312" w:hint="eastAsia"/>
          <w:bCs/>
          <w:sz w:val="28"/>
          <w:szCs w:val="28"/>
        </w:rPr>
        <w:t>小区、建筑单体燃气工程</w:t>
      </w:r>
      <w:bookmarkEnd w:id="78"/>
      <w:r>
        <w:rPr>
          <w:rFonts w:ascii="仿宋_GB2312" w:hAnsi="仿宋_GB2312" w:cs="仿宋_GB2312" w:hint="eastAsia"/>
          <w:bCs/>
          <w:sz w:val="28"/>
          <w:szCs w:val="28"/>
        </w:rPr>
        <w:t>设计</w:t>
      </w:r>
      <w:bookmarkEnd w:id="80"/>
      <w:r>
        <w:rPr>
          <w:rFonts w:ascii="仿宋_GB2312" w:hAnsi="仿宋_GB2312" w:cs="仿宋_GB2312" w:hint="eastAsia"/>
          <w:bCs/>
          <w:sz w:val="28"/>
          <w:szCs w:val="28"/>
        </w:rPr>
        <w:t>的基本内容、基本原则和步骤</w:t>
      </w:r>
      <w:bookmarkStart w:id="81" w:name="_Hlk69292838"/>
      <w:r>
        <w:rPr>
          <w:rFonts w:ascii="仿宋_GB2312" w:hAnsi="仿宋_GB2312" w:cs="仿宋_GB2312" w:hint="eastAsia"/>
          <w:bCs/>
          <w:sz w:val="28"/>
          <w:szCs w:val="28"/>
        </w:rPr>
        <w:t>。</w:t>
      </w:r>
    </w:p>
    <w:p w:rsidR="00C20406" w:rsidRDefault="00C20406" w:rsidP="00C20406">
      <w:pPr>
        <w:spacing w:line="360" w:lineRule="auto"/>
        <w:ind w:firstLineChars="100" w:firstLine="280"/>
        <w:rPr>
          <w:rFonts w:ascii="仿宋_GB2312" w:hAnsi="仿宋_GB2312" w:cs="仿宋_GB2312"/>
          <w:bCs/>
          <w:sz w:val="28"/>
          <w:szCs w:val="28"/>
        </w:rPr>
      </w:pPr>
      <w:r>
        <w:rPr>
          <w:rFonts w:ascii="仿宋_GB2312" w:hAnsi="仿宋_GB2312" w:cs="仿宋_GB2312" w:hint="eastAsia"/>
          <w:bCs/>
          <w:sz w:val="28"/>
          <w:szCs w:val="28"/>
        </w:rPr>
        <w:t>（2）初步掌握使用各种规范、手册等技术资料的基本方法和技能。</w:t>
      </w:r>
      <w:bookmarkEnd w:id="79"/>
    </w:p>
    <w:bookmarkEnd w:id="81"/>
    <w:p w:rsidR="00C20406" w:rsidRDefault="00C20406" w:rsidP="00C20406">
      <w:pPr>
        <w:spacing w:line="360" w:lineRule="auto"/>
        <w:ind w:firstLine="331"/>
        <w:rPr>
          <w:rFonts w:ascii="宋体" w:eastAsia="宋体" w:hAnsi="宋体"/>
          <w:b/>
          <w:color w:val="FF0000"/>
          <w:sz w:val="21"/>
          <w:szCs w:val="21"/>
        </w:rPr>
      </w:pPr>
      <w:r>
        <w:rPr>
          <w:rFonts w:ascii="仿宋_GB2312" w:hAnsi="仿宋_GB2312" w:cs="仿宋_GB2312" w:hint="eastAsia"/>
          <w:bCs/>
          <w:sz w:val="28"/>
          <w:szCs w:val="28"/>
        </w:rPr>
        <w:t>2.2 课程目标与毕业要求之间的对应关系</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0"/>
        <w:gridCol w:w="1959"/>
      </w:tblGrid>
      <w:tr w:rsidR="00C20406" w:rsidTr="008C3907">
        <w:trPr>
          <w:trHeight w:val="411"/>
        </w:trPr>
        <w:tc>
          <w:tcPr>
            <w:tcW w:w="1526" w:type="dxa"/>
            <w:vAlign w:val="center"/>
          </w:tcPr>
          <w:p w:rsidR="00C20406" w:rsidRPr="000A7EE3" w:rsidRDefault="00C20406" w:rsidP="008C3907">
            <w:pPr>
              <w:ind w:firstLineChars="100" w:firstLine="241"/>
              <w:rPr>
                <w:rFonts w:ascii="Times New Roman" w:hAnsi="Times New Roman"/>
                <w:b/>
                <w:kern w:val="0"/>
                <w:sz w:val="24"/>
                <w:szCs w:val="24"/>
              </w:rPr>
            </w:pPr>
            <w:r w:rsidRPr="000A7EE3">
              <w:rPr>
                <w:rFonts w:ascii="Times New Roman" w:hAnsi="Times New Roman" w:hint="eastAsia"/>
                <w:b/>
                <w:kern w:val="0"/>
                <w:sz w:val="24"/>
                <w:szCs w:val="24"/>
              </w:rPr>
              <w:t>毕业要求</w:t>
            </w:r>
          </w:p>
        </w:tc>
        <w:tc>
          <w:tcPr>
            <w:tcW w:w="5670" w:type="dxa"/>
            <w:vAlign w:val="center"/>
          </w:tcPr>
          <w:p w:rsidR="00C20406" w:rsidRPr="000A7EE3" w:rsidRDefault="00C20406" w:rsidP="008C3907">
            <w:pPr>
              <w:ind w:firstLineChars="800" w:firstLine="1928"/>
              <w:rPr>
                <w:rFonts w:ascii="Times New Roman" w:hAnsi="Times New Roman"/>
                <w:b/>
                <w:kern w:val="0"/>
                <w:sz w:val="24"/>
                <w:szCs w:val="24"/>
              </w:rPr>
            </w:pPr>
            <w:r w:rsidRPr="000A7EE3">
              <w:rPr>
                <w:rFonts w:ascii="Times New Roman" w:hAnsi="Times New Roman" w:hint="eastAsia"/>
                <w:b/>
                <w:kern w:val="0"/>
                <w:sz w:val="24"/>
                <w:szCs w:val="24"/>
              </w:rPr>
              <w:t>指标点</w:t>
            </w:r>
          </w:p>
        </w:tc>
        <w:tc>
          <w:tcPr>
            <w:tcW w:w="1959" w:type="dxa"/>
            <w:vAlign w:val="center"/>
          </w:tcPr>
          <w:p w:rsidR="00C20406" w:rsidRPr="000A7EE3" w:rsidRDefault="00C20406" w:rsidP="008C3907">
            <w:pPr>
              <w:ind w:firstLineChars="100" w:firstLine="241"/>
              <w:rPr>
                <w:rFonts w:ascii="Times New Roman" w:hAnsi="Times New Roman"/>
                <w:b/>
                <w:kern w:val="0"/>
                <w:sz w:val="24"/>
                <w:szCs w:val="24"/>
              </w:rPr>
            </w:pPr>
            <w:r w:rsidRPr="000A7EE3">
              <w:rPr>
                <w:rFonts w:ascii="Times New Roman" w:hAnsi="Times New Roman" w:hint="eastAsia"/>
                <w:b/>
                <w:kern w:val="0"/>
                <w:sz w:val="24"/>
                <w:szCs w:val="24"/>
              </w:rPr>
              <w:t>课程目标</w:t>
            </w:r>
          </w:p>
        </w:tc>
      </w:tr>
      <w:tr w:rsidR="00C20406" w:rsidTr="008C3907">
        <w:trPr>
          <w:trHeight w:val="389"/>
        </w:trPr>
        <w:tc>
          <w:tcPr>
            <w:tcW w:w="1526"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kern w:val="0"/>
                <w:sz w:val="24"/>
                <w:szCs w:val="24"/>
              </w:rPr>
              <w:t xml:space="preserve"> </w:t>
            </w:r>
            <w:r>
              <w:rPr>
                <w:rFonts w:ascii="Times New Roman" w:hAnsi="Times New Roman" w:hint="eastAsia"/>
                <w:kern w:val="0"/>
                <w:sz w:val="24"/>
                <w:szCs w:val="24"/>
              </w:rPr>
              <w:t>工程知识</w:t>
            </w:r>
          </w:p>
        </w:tc>
        <w:tc>
          <w:tcPr>
            <w:tcW w:w="5670"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kern w:val="0"/>
                <w:sz w:val="24"/>
                <w:szCs w:val="24"/>
              </w:rPr>
              <w:t xml:space="preserve">.2 </w:t>
            </w:r>
            <w:r>
              <w:rPr>
                <w:rFonts w:ascii="Times New Roman" w:hAnsi="Times New Roman" w:hint="eastAsia"/>
                <w:kern w:val="0"/>
                <w:sz w:val="24"/>
                <w:szCs w:val="24"/>
              </w:rPr>
              <w:t>掌握相关工程基础知识，具备应用相关知识推演、分析建筑环境与能源应用工程专业复杂工程问题的专业基础能力。</w:t>
            </w:r>
          </w:p>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kern w:val="0"/>
                <w:sz w:val="24"/>
                <w:szCs w:val="24"/>
              </w:rPr>
              <w:t xml:space="preserve">.3 </w:t>
            </w:r>
            <w:r>
              <w:rPr>
                <w:rFonts w:ascii="Times New Roman" w:hAnsi="Times New Roman" w:hint="eastAsia"/>
                <w:kern w:val="0"/>
                <w:sz w:val="24"/>
                <w:szCs w:val="24"/>
              </w:rPr>
              <w:t>掌握建筑环境与能源应用工程专业知识，具备知识交叉融合能力，应用于解决建筑环境与能源应用工程专业复杂工程问题。</w:t>
            </w:r>
          </w:p>
          <w:p w:rsidR="00C20406" w:rsidRDefault="00C20406" w:rsidP="008C3907">
            <w:pPr>
              <w:rPr>
                <w:rFonts w:ascii="Times New Roman" w:hAnsi="Times New Roman"/>
                <w:kern w:val="0"/>
                <w:sz w:val="20"/>
                <w:szCs w:val="20"/>
              </w:rPr>
            </w:pPr>
          </w:p>
        </w:tc>
        <w:tc>
          <w:tcPr>
            <w:tcW w:w="1959" w:type="dxa"/>
            <w:vAlign w:val="center"/>
          </w:tcPr>
          <w:p w:rsidR="00C20406" w:rsidRDefault="00C20406" w:rsidP="008C3907">
            <w:pPr>
              <w:rPr>
                <w:rFonts w:ascii="Times New Roman" w:hAnsi="Times New Roman"/>
                <w:kern w:val="0"/>
                <w:sz w:val="21"/>
                <w:szCs w:val="21"/>
              </w:rPr>
            </w:pPr>
            <w:r>
              <w:rPr>
                <w:rFonts w:ascii="仿宋_GB2312" w:hAnsi="仿宋_GB2312" w:cs="仿宋_GB2312" w:hint="eastAsia"/>
                <w:bCs/>
                <w:sz w:val="24"/>
                <w:szCs w:val="24"/>
              </w:rPr>
              <w:t>理论课程</w:t>
            </w:r>
            <w:r>
              <w:rPr>
                <w:rFonts w:ascii="Times New Roman" w:hAnsi="Times New Roman" w:hint="eastAsia"/>
                <w:kern w:val="0"/>
                <w:sz w:val="24"/>
                <w:szCs w:val="24"/>
              </w:rPr>
              <w:t>课程目标（</w:t>
            </w:r>
            <w:r>
              <w:rPr>
                <w:rFonts w:ascii="Times New Roman" w:hAnsi="Times New Roman" w:hint="eastAsia"/>
                <w:kern w:val="0"/>
                <w:sz w:val="24"/>
                <w:szCs w:val="24"/>
              </w:rPr>
              <w:t>1</w:t>
            </w: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w:t>
            </w:r>
          </w:p>
        </w:tc>
      </w:tr>
      <w:tr w:rsidR="00C20406" w:rsidTr="008C3907">
        <w:trPr>
          <w:trHeight w:val="208"/>
        </w:trPr>
        <w:tc>
          <w:tcPr>
            <w:tcW w:w="1526" w:type="dxa"/>
            <w:vAlign w:val="center"/>
          </w:tcPr>
          <w:p w:rsidR="00C20406" w:rsidRDefault="00C20406" w:rsidP="008C3907">
            <w:pPr>
              <w:rPr>
                <w:rFonts w:ascii="Times New Roman" w:hAnsi="Times New Roman"/>
                <w:kern w:val="0"/>
                <w:sz w:val="21"/>
                <w:szCs w:val="21"/>
              </w:rPr>
            </w:pPr>
            <w:r>
              <w:rPr>
                <w:rFonts w:ascii="Times New Roman" w:hAnsi="Times New Roman" w:hint="eastAsia"/>
                <w:kern w:val="0"/>
                <w:sz w:val="24"/>
                <w:szCs w:val="24"/>
              </w:rPr>
              <w:t>2.</w:t>
            </w:r>
            <w:r>
              <w:rPr>
                <w:rFonts w:ascii="Times New Roman" w:hAnsi="Times New Roman"/>
                <w:kern w:val="0"/>
                <w:sz w:val="24"/>
                <w:szCs w:val="24"/>
              </w:rPr>
              <w:t xml:space="preserve"> </w:t>
            </w:r>
            <w:r>
              <w:rPr>
                <w:rFonts w:ascii="Times New Roman" w:hAnsi="Times New Roman" w:hint="eastAsia"/>
                <w:kern w:val="0"/>
                <w:sz w:val="24"/>
                <w:szCs w:val="24"/>
              </w:rPr>
              <w:t>问题分析</w:t>
            </w:r>
          </w:p>
        </w:tc>
        <w:tc>
          <w:tcPr>
            <w:tcW w:w="5670"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kern w:val="0"/>
                <w:sz w:val="24"/>
                <w:szCs w:val="24"/>
              </w:rPr>
              <w:t xml:space="preserve">.1 </w:t>
            </w:r>
            <w:r>
              <w:rPr>
                <w:rFonts w:ascii="Times New Roman" w:hAnsi="Times New Roman" w:hint="eastAsia"/>
                <w:kern w:val="0"/>
                <w:sz w:val="24"/>
                <w:szCs w:val="24"/>
              </w:rPr>
              <w:t>能够应用数学、自然科学的基本原理，正确识别和判断建筑环境与能源应用工程专业复杂工程问题。</w:t>
            </w:r>
          </w:p>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kern w:val="0"/>
                <w:sz w:val="24"/>
                <w:szCs w:val="24"/>
              </w:rPr>
              <w:t xml:space="preserve">.2 </w:t>
            </w:r>
            <w:r>
              <w:rPr>
                <w:rFonts w:ascii="Times New Roman" w:hAnsi="Times New Roman" w:hint="eastAsia"/>
                <w:kern w:val="0"/>
                <w:sz w:val="24"/>
                <w:szCs w:val="24"/>
              </w:rPr>
              <w:t>能够正确、合理运用专业知识，识别、判断和表达建筑环境与能源应用工程专业复杂工程问题的本质特征、关键环节，并能提供多种解决方案。</w:t>
            </w:r>
          </w:p>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kern w:val="0"/>
                <w:sz w:val="24"/>
                <w:szCs w:val="24"/>
              </w:rPr>
              <w:t xml:space="preserve">.3 </w:t>
            </w:r>
            <w:r>
              <w:rPr>
                <w:rFonts w:ascii="Times New Roman" w:hAnsi="Times New Roman" w:hint="eastAsia"/>
                <w:kern w:val="0"/>
                <w:sz w:val="24"/>
                <w:szCs w:val="24"/>
              </w:rPr>
              <w:t>应用建筑环境与能源应用工程相关原理和方法，具备综合判断能力，能够通过对比、推理、分析及文献研究等，获得有效结论。</w:t>
            </w:r>
          </w:p>
          <w:p w:rsidR="00C20406" w:rsidRDefault="00C20406" w:rsidP="008C3907">
            <w:pPr>
              <w:rPr>
                <w:rFonts w:ascii="Times New Roman" w:hAnsi="Times New Roman"/>
                <w:kern w:val="0"/>
                <w:sz w:val="20"/>
                <w:szCs w:val="20"/>
              </w:rPr>
            </w:pPr>
          </w:p>
        </w:tc>
        <w:tc>
          <w:tcPr>
            <w:tcW w:w="1959" w:type="dxa"/>
            <w:vAlign w:val="center"/>
          </w:tcPr>
          <w:p w:rsidR="00C20406" w:rsidRDefault="00C20406" w:rsidP="008C3907">
            <w:pPr>
              <w:rPr>
                <w:rFonts w:ascii="Times New Roman" w:hAnsi="Times New Roman"/>
                <w:kern w:val="0"/>
                <w:sz w:val="20"/>
                <w:szCs w:val="20"/>
              </w:rPr>
            </w:pPr>
            <w:r>
              <w:rPr>
                <w:rFonts w:ascii="仿宋_GB2312" w:hAnsi="仿宋_GB2312" w:cs="仿宋_GB2312" w:hint="eastAsia"/>
                <w:bCs/>
                <w:sz w:val="24"/>
                <w:szCs w:val="24"/>
              </w:rPr>
              <w:t>理论课程</w:t>
            </w:r>
            <w:r>
              <w:rPr>
                <w:rFonts w:ascii="Times New Roman" w:hAnsi="Times New Roman" w:hint="eastAsia"/>
                <w:kern w:val="0"/>
                <w:sz w:val="24"/>
                <w:szCs w:val="24"/>
              </w:rPr>
              <w:t>课程目标（</w:t>
            </w:r>
            <w:r>
              <w:rPr>
                <w:rFonts w:ascii="Times New Roman" w:hAnsi="Times New Roman" w:hint="eastAsia"/>
                <w:kern w:val="0"/>
                <w:sz w:val="24"/>
                <w:szCs w:val="24"/>
              </w:rPr>
              <w:t>1</w:t>
            </w: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w:t>
            </w:r>
          </w:p>
        </w:tc>
      </w:tr>
      <w:tr w:rsidR="00C20406" w:rsidTr="008C3907">
        <w:trPr>
          <w:trHeight w:val="177"/>
        </w:trPr>
        <w:tc>
          <w:tcPr>
            <w:tcW w:w="1526" w:type="dxa"/>
            <w:vAlign w:val="center"/>
          </w:tcPr>
          <w:p w:rsidR="00C20406" w:rsidRDefault="00C20406" w:rsidP="008C3907">
            <w:pPr>
              <w:rPr>
                <w:rFonts w:ascii="Times New Roman" w:hAnsi="Times New Roman"/>
                <w:kern w:val="0"/>
                <w:sz w:val="21"/>
                <w:szCs w:val="21"/>
              </w:rPr>
            </w:pPr>
            <w:r>
              <w:rPr>
                <w:rFonts w:ascii="Times New Roman" w:hAnsi="Times New Roman" w:hint="eastAsia"/>
                <w:kern w:val="0"/>
                <w:sz w:val="24"/>
                <w:szCs w:val="24"/>
              </w:rPr>
              <w:t>3.</w:t>
            </w:r>
            <w:r>
              <w:rPr>
                <w:rFonts w:ascii="Times New Roman" w:hAnsi="Times New Roman"/>
                <w:kern w:val="0"/>
                <w:sz w:val="24"/>
                <w:szCs w:val="24"/>
              </w:rPr>
              <w:t xml:space="preserve"> </w:t>
            </w:r>
            <w:r>
              <w:rPr>
                <w:rFonts w:ascii="Times New Roman" w:hAnsi="Times New Roman" w:hint="eastAsia"/>
                <w:kern w:val="0"/>
                <w:sz w:val="24"/>
                <w:szCs w:val="24"/>
              </w:rPr>
              <w:t>设计</w:t>
            </w:r>
            <w:r>
              <w:rPr>
                <w:rFonts w:ascii="Times New Roman" w:hAnsi="Times New Roman" w:hint="eastAsia"/>
                <w:kern w:val="0"/>
                <w:sz w:val="24"/>
                <w:szCs w:val="24"/>
              </w:rPr>
              <w:t>/</w:t>
            </w:r>
            <w:r>
              <w:rPr>
                <w:rFonts w:ascii="Times New Roman" w:hAnsi="Times New Roman" w:hint="eastAsia"/>
                <w:kern w:val="0"/>
                <w:sz w:val="24"/>
                <w:szCs w:val="24"/>
              </w:rPr>
              <w:t>开发解决方案</w:t>
            </w:r>
          </w:p>
        </w:tc>
        <w:tc>
          <w:tcPr>
            <w:tcW w:w="5670"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kern w:val="0"/>
                <w:sz w:val="24"/>
                <w:szCs w:val="24"/>
              </w:rPr>
              <w:t xml:space="preserve">.1 </w:t>
            </w:r>
            <w:r>
              <w:rPr>
                <w:rFonts w:ascii="Times New Roman" w:hAnsi="Times New Roman" w:hint="eastAsia"/>
                <w:kern w:val="0"/>
                <w:sz w:val="24"/>
                <w:szCs w:val="24"/>
              </w:rPr>
              <w:t>能够针对特定需求，确定工程基本单元的设计目标或问题解决方案，并完成设计</w:t>
            </w:r>
            <w:r>
              <w:rPr>
                <w:rFonts w:ascii="Times New Roman" w:hAnsi="Times New Roman" w:hint="eastAsia"/>
                <w:kern w:val="0"/>
                <w:sz w:val="24"/>
                <w:szCs w:val="24"/>
              </w:rPr>
              <w:t>/</w:t>
            </w:r>
            <w:r>
              <w:rPr>
                <w:rFonts w:ascii="Times New Roman" w:hAnsi="Times New Roman" w:hint="eastAsia"/>
                <w:kern w:val="0"/>
                <w:sz w:val="24"/>
                <w:szCs w:val="24"/>
              </w:rPr>
              <w:t>开发工作。</w:t>
            </w:r>
          </w:p>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kern w:val="0"/>
                <w:sz w:val="24"/>
                <w:szCs w:val="24"/>
              </w:rPr>
              <w:t xml:space="preserve">.2 </w:t>
            </w:r>
            <w:r>
              <w:rPr>
                <w:rFonts w:ascii="Times New Roman" w:hAnsi="Times New Roman" w:hint="eastAsia"/>
                <w:kern w:val="0"/>
                <w:sz w:val="24"/>
                <w:szCs w:val="24"/>
              </w:rPr>
              <w:t>能够进行工程体系</w:t>
            </w:r>
            <w:r>
              <w:rPr>
                <w:rFonts w:ascii="Times New Roman" w:hAnsi="Times New Roman"/>
                <w:kern w:val="0"/>
                <w:sz w:val="24"/>
                <w:szCs w:val="24"/>
              </w:rPr>
              <w:t>或工艺流程</w:t>
            </w:r>
            <w:r>
              <w:rPr>
                <w:rFonts w:ascii="Times New Roman" w:hAnsi="Times New Roman" w:hint="eastAsia"/>
                <w:kern w:val="0"/>
                <w:sz w:val="24"/>
                <w:szCs w:val="24"/>
              </w:rPr>
              <w:t>的系统分析和优化设计，并体现创新意识。</w:t>
            </w:r>
          </w:p>
          <w:p w:rsidR="00C20406" w:rsidRDefault="00C20406" w:rsidP="008C3907">
            <w:pPr>
              <w:rPr>
                <w:rFonts w:ascii="Times New Roman" w:hAnsi="Times New Roman"/>
                <w:kern w:val="0"/>
                <w:sz w:val="24"/>
                <w:szCs w:val="24"/>
              </w:rPr>
            </w:pPr>
          </w:p>
        </w:tc>
        <w:tc>
          <w:tcPr>
            <w:tcW w:w="1959" w:type="dxa"/>
            <w:vAlign w:val="center"/>
          </w:tcPr>
          <w:p w:rsidR="00C20406" w:rsidRDefault="00C20406" w:rsidP="008C3907">
            <w:pPr>
              <w:rPr>
                <w:rFonts w:ascii="Times New Roman" w:hAnsi="Times New Roman"/>
                <w:kern w:val="0"/>
                <w:sz w:val="20"/>
                <w:szCs w:val="20"/>
              </w:rPr>
            </w:pPr>
            <w:r>
              <w:rPr>
                <w:rFonts w:ascii="仿宋_GB2312" w:hAnsi="仿宋_GB2312" w:cs="仿宋_GB2312" w:hint="eastAsia"/>
                <w:bCs/>
                <w:sz w:val="24"/>
                <w:szCs w:val="24"/>
              </w:rPr>
              <w:t>实践课程</w:t>
            </w:r>
            <w:r>
              <w:rPr>
                <w:rFonts w:ascii="Times New Roman" w:hAnsi="Times New Roman" w:hint="eastAsia"/>
                <w:kern w:val="0"/>
                <w:sz w:val="24"/>
                <w:szCs w:val="24"/>
              </w:rPr>
              <w:t>课程目标（</w:t>
            </w:r>
            <w:r>
              <w:rPr>
                <w:rFonts w:ascii="Times New Roman" w:hAnsi="Times New Roman"/>
                <w:kern w:val="0"/>
                <w:sz w:val="24"/>
                <w:szCs w:val="24"/>
              </w:rPr>
              <w:t>1</w:t>
            </w: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w:t>
            </w:r>
          </w:p>
        </w:tc>
      </w:tr>
    </w:tbl>
    <w:p w:rsidR="00C20406" w:rsidRDefault="00C20406" w:rsidP="000A7EE3">
      <w:pPr>
        <w:spacing w:line="360" w:lineRule="auto"/>
        <w:rPr>
          <w:rFonts w:ascii="仿宋_GB2312" w:hAnsi="仿宋_GB2312" w:cs="仿宋_GB2312"/>
          <w:sz w:val="28"/>
          <w:szCs w:val="28"/>
        </w:rPr>
      </w:pPr>
      <w:r>
        <w:rPr>
          <w:rFonts w:ascii="仿宋_GB2312" w:hAnsi="仿宋_GB2312" w:cs="仿宋_GB2312" w:hint="eastAsia"/>
          <w:sz w:val="28"/>
          <w:szCs w:val="28"/>
        </w:rPr>
        <w:t>3. 课程的重点、难点</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燃气管网设计与计算，确定管网压力降的方法，分析管网的水力工况与水力可靠性。</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lastRenderedPageBreak/>
        <w:t>4. 课程思政设计</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我国有较为丰富的天然气资源，但天然气资源地理分布不均衡，为实现资源的合理利用，2</w:t>
      </w:r>
      <w:r>
        <w:rPr>
          <w:rFonts w:ascii="仿宋_GB2312" w:hAnsi="仿宋_GB2312" w:cs="仿宋_GB2312"/>
          <w:sz w:val="28"/>
          <w:szCs w:val="28"/>
        </w:rPr>
        <w:t>0</w:t>
      </w:r>
      <w:r>
        <w:rPr>
          <w:rFonts w:ascii="仿宋_GB2312" w:hAnsi="仿宋_GB2312" w:cs="仿宋_GB2312" w:hint="eastAsia"/>
          <w:sz w:val="28"/>
          <w:szCs w:val="28"/>
        </w:rPr>
        <w:t>世纪9</w:t>
      </w:r>
      <w:r>
        <w:rPr>
          <w:rFonts w:ascii="仿宋_GB2312" w:hAnsi="仿宋_GB2312" w:cs="仿宋_GB2312"/>
          <w:sz w:val="28"/>
          <w:szCs w:val="28"/>
        </w:rPr>
        <w:t>0</w:t>
      </w:r>
      <w:r>
        <w:rPr>
          <w:rFonts w:ascii="仿宋_GB2312" w:hAnsi="仿宋_GB2312" w:cs="仿宋_GB2312" w:hint="eastAsia"/>
          <w:sz w:val="28"/>
          <w:szCs w:val="28"/>
        </w:rPr>
        <w:t>年代以来，我国天然气管道向大型化、网络化发展方向发展，多条天然气长输管线进行建设并投入使用。通过“西气东输”、“陕京输气”等输气工程介绍，让学生对近年来燃气工程的快速发展有所了解，进而上升到国家的繁荣富强。燃气作为一种高效、清洁的能源，在“节能减排”方面有着不可替代的作用，引导学生在节约用气的同时，关注燃气采暖、制冷用户、燃气汽车及船舶用户，在平时的生活中，将来的工作中，始终坚持</w:t>
      </w:r>
      <w:bookmarkStart w:id="82" w:name="_Hlk69407088"/>
      <w:r>
        <w:rPr>
          <w:rFonts w:ascii="仿宋_GB2312" w:hAnsi="仿宋_GB2312" w:cs="仿宋_GB2312" w:hint="eastAsia"/>
          <w:sz w:val="28"/>
          <w:szCs w:val="28"/>
        </w:rPr>
        <w:t>“节能减排”</w:t>
      </w:r>
      <w:bookmarkEnd w:id="82"/>
      <w:r>
        <w:rPr>
          <w:rFonts w:ascii="仿宋_GB2312" w:hAnsi="仿宋_GB2312" w:cs="仿宋_GB2312" w:hint="eastAsia"/>
          <w:sz w:val="28"/>
          <w:szCs w:val="28"/>
        </w:rPr>
        <w:t>的理念。</w:t>
      </w:r>
      <w:bookmarkStart w:id="83" w:name="_Hlk69984835"/>
      <w:r>
        <w:rPr>
          <w:rFonts w:ascii="仿宋_GB2312" w:hAnsi="仿宋_GB2312" w:cs="仿宋_GB2312" w:hint="eastAsia"/>
          <w:sz w:val="28"/>
          <w:szCs w:val="28"/>
        </w:rPr>
        <w:t>通过专业学习</w:t>
      </w:r>
      <w:bookmarkEnd w:id="83"/>
      <w:r>
        <w:rPr>
          <w:rFonts w:ascii="仿宋_GB2312" w:hAnsi="仿宋_GB2312" w:cs="仿宋_GB2312" w:hint="eastAsia"/>
          <w:sz w:val="28"/>
          <w:szCs w:val="28"/>
        </w:rPr>
        <w:t>了解国家的用气政策，明确自己的职业责任，树立专业自信，激发爱国热情。</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此外，在各课程教学中融入思政教育，从学生的实际情况出发，结合各个教学环节，进行思政教育，实现对思政方法和载体的不断更新，可预期较为显著的思想政治教育效果。</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C20406" w:rsidTr="008C3907">
        <w:trPr>
          <w:cantSplit/>
          <w:trHeight w:val="785"/>
        </w:trPr>
        <w:tc>
          <w:tcPr>
            <w:tcW w:w="512" w:type="dxa"/>
            <w:vAlign w:val="center"/>
          </w:tcPr>
          <w:p w:rsidR="00C20406" w:rsidRPr="000A7EE3" w:rsidRDefault="00C20406" w:rsidP="008C3907">
            <w:pPr>
              <w:rPr>
                <w:rFonts w:ascii="Times New Roman" w:hAnsi="Times New Roman"/>
                <w:b/>
                <w:kern w:val="0"/>
                <w:sz w:val="24"/>
                <w:szCs w:val="24"/>
              </w:rPr>
            </w:pPr>
            <w:r w:rsidRPr="000A7EE3">
              <w:rPr>
                <w:rFonts w:ascii="Times New Roman" w:hAnsi="Times New Roman" w:hint="eastAsia"/>
                <w:b/>
                <w:kern w:val="0"/>
                <w:sz w:val="24"/>
                <w:szCs w:val="24"/>
              </w:rPr>
              <w:t>序号</w:t>
            </w:r>
          </w:p>
        </w:tc>
        <w:tc>
          <w:tcPr>
            <w:tcW w:w="2102" w:type="dxa"/>
            <w:vAlign w:val="center"/>
          </w:tcPr>
          <w:p w:rsidR="00C20406" w:rsidRPr="000A7EE3" w:rsidRDefault="00C20406" w:rsidP="008C3907">
            <w:pPr>
              <w:ind w:firstLineChars="200" w:firstLine="482"/>
              <w:rPr>
                <w:rFonts w:ascii="Times New Roman" w:hAnsi="Times New Roman"/>
                <w:b/>
                <w:kern w:val="0"/>
                <w:sz w:val="24"/>
                <w:szCs w:val="24"/>
              </w:rPr>
            </w:pPr>
            <w:r w:rsidRPr="000A7EE3">
              <w:rPr>
                <w:rFonts w:ascii="Times New Roman" w:hAnsi="Times New Roman" w:hint="eastAsia"/>
                <w:b/>
                <w:kern w:val="0"/>
                <w:sz w:val="24"/>
                <w:szCs w:val="24"/>
              </w:rPr>
              <w:t>章</w:t>
            </w:r>
            <w:r w:rsidRPr="000A7EE3">
              <w:rPr>
                <w:rFonts w:ascii="Times New Roman" w:hAnsi="Times New Roman" w:hint="eastAsia"/>
                <w:b/>
                <w:kern w:val="0"/>
                <w:sz w:val="24"/>
                <w:szCs w:val="24"/>
              </w:rPr>
              <w:t xml:space="preserve">  </w:t>
            </w:r>
            <w:r w:rsidRPr="000A7EE3">
              <w:rPr>
                <w:rFonts w:ascii="Times New Roman" w:hAnsi="Times New Roman" w:hint="eastAsia"/>
                <w:b/>
                <w:kern w:val="0"/>
                <w:sz w:val="24"/>
                <w:szCs w:val="24"/>
              </w:rPr>
              <w:t>节</w:t>
            </w:r>
          </w:p>
        </w:tc>
        <w:tc>
          <w:tcPr>
            <w:tcW w:w="727" w:type="dxa"/>
            <w:vAlign w:val="center"/>
          </w:tcPr>
          <w:p w:rsidR="00C20406" w:rsidRPr="000A7EE3" w:rsidRDefault="00C20406" w:rsidP="008C3907">
            <w:pPr>
              <w:rPr>
                <w:rFonts w:ascii="Times New Roman" w:hAnsi="Times New Roman"/>
                <w:b/>
                <w:kern w:val="0"/>
                <w:sz w:val="24"/>
                <w:szCs w:val="24"/>
              </w:rPr>
            </w:pPr>
            <w:r w:rsidRPr="000A7EE3">
              <w:rPr>
                <w:rFonts w:ascii="Times New Roman" w:hAnsi="Times New Roman" w:hint="eastAsia"/>
                <w:b/>
                <w:kern w:val="0"/>
                <w:sz w:val="24"/>
                <w:szCs w:val="24"/>
              </w:rPr>
              <w:t>参考学时</w:t>
            </w:r>
          </w:p>
        </w:tc>
        <w:tc>
          <w:tcPr>
            <w:tcW w:w="3059" w:type="dxa"/>
            <w:vAlign w:val="center"/>
          </w:tcPr>
          <w:p w:rsidR="00C20406" w:rsidRPr="000A7EE3" w:rsidRDefault="00C20406" w:rsidP="008C3907">
            <w:pPr>
              <w:ind w:firstLineChars="200" w:firstLine="482"/>
              <w:rPr>
                <w:rFonts w:ascii="Times New Roman" w:hAnsi="Times New Roman"/>
                <w:b/>
                <w:kern w:val="0"/>
                <w:sz w:val="24"/>
                <w:szCs w:val="24"/>
              </w:rPr>
            </w:pPr>
            <w:r w:rsidRPr="000A7EE3">
              <w:rPr>
                <w:rFonts w:ascii="Times New Roman" w:hAnsi="Times New Roman" w:hint="eastAsia"/>
                <w:b/>
                <w:kern w:val="0"/>
                <w:sz w:val="24"/>
                <w:szCs w:val="24"/>
              </w:rPr>
              <w:t>教</w:t>
            </w:r>
            <w:r w:rsidRPr="000A7EE3">
              <w:rPr>
                <w:rFonts w:ascii="Times New Roman" w:hAnsi="Times New Roman" w:hint="eastAsia"/>
                <w:b/>
                <w:kern w:val="0"/>
                <w:sz w:val="24"/>
                <w:szCs w:val="24"/>
              </w:rPr>
              <w:t xml:space="preserve"> </w:t>
            </w:r>
            <w:r w:rsidRPr="000A7EE3">
              <w:rPr>
                <w:rFonts w:ascii="Times New Roman" w:hAnsi="Times New Roman" w:hint="eastAsia"/>
                <w:b/>
                <w:kern w:val="0"/>
                <w:sz w:val="24"/>
                <w:szCs w:val="24"/>
              </w:rPr>
              <w:t>学</w:t>
            </w:r>
            <w:r w:rsidRPr="000A7EE3">
              <w:rPr>
                <w:rFonts w:ascii="Times New Roman" w:hAnsi="Times New Roman" w:hint="eastAsia"/>
                <w:b/>
                <w:kern w:val="0"/>
                <w:sz w:val="24"/>
                <w:szCs w:val="24"/>
              </w:rPr>
              <w:t xml:space="preserve"> </w:t>
            </w:r>
            <w:r w:rsidRPr="000A7EE3">
              <w:rPr>
                <w:rFonts w:ascii="Times New Roman" w:hAnsi="Times New Roman" w:hint="eastAsia"/>
                <w:b/>
                <w:kern w:val="0"/>
                <w:sz w:val="24"/>
                <w:szCs w:val="24"/>
              </w:rPr>
              <w:t>内</w:t>
            </w:r>
            <w:r w:rsidRPr="000A7EE3">
              <w:rPr>
                <w:rFonts w:ascii="Times New Roman" w:hAnsi="Times New Roman" w:hint="eastAsia"/>
                <w:b/>
                <w:kern w:val="0"/>
                <w:sz w:val="24"/>
                <w:szCs w:val="24"/>
              </w:rPr>
              <w:t xml:space="preserve"> </w:t>
            </w:r>
            <w:r w:rsidRPr="000A7EE3">
              <w:rPr>
                <w:rFonts w:ascii="Times New Roman" w:hAnsi="Times New Roman" w:hint="eastAsia"/>
                <w:b/>
                <w:kern w:val="0"/>
                <w:sz w:val="24"/>
                <w:szCs w:val="24"/>
              </w:rPr>
              <w:t>容</w:t>
            </w:r>
          </w:p>
        </w:tc>
        <w:tc>
          <w:tcPr>
            <w:tcW w:w="2755" w:type="dxa"/>
            <w:vAlign w:val="center"/>
          </w:tcPr>
          <w:p w:rsidR="00C20406" w:rsidRPr="000A7EE3" w:rsidRDefault="00C20406" w:rsidP="008C3907">
            <w:pPr>
              <w:ind w:firstLineChars="300" w:firstLine="723"/>
              <w:rPr>
                <w:rFonts w:ascii="Times New Roman" w:hAnsi="Times New Roman"/>
                <w:b/>
                <w:kern w:val="0"/>
                <w:sz w:val="24"/>
                <w:szCs w:val="24"/>
              </w:rPr>
            </w:pPr>
            <w:r w:rsidRPr="000A7EE3">
              <w:rPr>
                <w:rFonts w:ascii="Times New Roman" w:hAnsi="Times New Roman" w:hint="eastAsia"/>
                <w:b/>
                <w:kern w:val="0"/>
                <w:sz w:val="24"/>
                <w:szCs w:val="24"/>
              </w:rPr>
              <w:t>基</w:t>
            </w:r>
            <w:r w:rsidRPr="000A7EE3">
              <w:rPr>
                <w:rFonts w:ascii="Times New Roman" w:hAnsi="Times New Roman" w:hint="eastAsia"/>
                <w:b/>
                <w:kern w:val="0"/>
                <w:sz w:val="24"/>
                <w:szCs w:val="24"/>
              </w:rPr>
              <w:t xml:space="preserve"> </w:t>
            </w:r>
            <w:r w:rsidRPr="000A7EE3">
              <w:rPr>
                <w:rFonts w:ascii="Times New Roman" w:hAnsi="Times New Roman" w:hint="eastAsia"/>
                <w:b/>
                <w:kern w:val="0"/>
                <w:sz w:val="24"/>
                <w:szCs w:val="24"/>
              </w:rPr>
              <w:t>本</w:t>
            </w:r>
            <w:r w:rsidRPr="000A7EE3">
              <w:rPr>
                <w:rFonts w:ascii="Times New Roman" w:hAnsi="Times New Roman" w:hint="eastAsia"/>
                <w:b/>
                <w:kern w:val="0"/>
                <w:sz w:val="24"/>
                <w:szCs w:val="24"/>
              </w:rPr>
              <w:t xml:space="preserve"> </w:t>
            </w:r>
            <w:r w:rsidRPr="000A7EE3">
              <w:rPr>
                <w:rFonts w:ascii="Times New Roman" w:hAnsi="Times New Roman" w:hint="eastAsia"/>
                <w:b/>
                <w:kern w:val="0"/>
                <w:sz w:val="24"/>
                <w:szCs w:val="24"/>
              </w:rPr>
              <w:t>要</w:t>
            </w:r>
            <w:r w:rsidRPr="000A7EE3">
              <w:rPr>
                <w:rFonts w:ascii="Times New Roman" w:hAnsi="Times New Roman" w:hint="eastAsia"/>
                <w:b/>
                <w:kern w:val="0"/>
                <w:sz w:val="24"/>
                <w:szCs w:val="24"/>
              </w:rPr>
              <w:t xml:space="preserve"> </w:t>
            </w:r>
            <w:r w:rsidRPr="000A7EE3">
              <w:rPr>
                <w:rFonts w:ascii="Times New Roman" w:hAnsi="Times New Roman" w:hint="eastAsia"/>
                <w:b/>
                <w:kern w:val="0"/>
                <w:sz w:val="24"/>
                <w:szCs w:val="24"/>
              </w:rPr>
              <w:t>求</w:t>
            </w:r>
          </w:p>
        </w:tc>
      </w:tr>
      <w:tr w:rsidR="00C20406" w:rsidTr="008C3907">
        <w:trPr>
          <w:trHeight w:val="428"/>
        </w:trPr>
        <w:tc>
          <w:tcPr>
            <w:tcW w:w="512" w:type="dxa"/>
            <w:vAlign w:val="center"/>
          </w:tcPr>
          <w:p w:rsidR="00C20406" w:rsidRDefault="00C20406" w:rsidP="008C3907">
            <w:pPr>
              <w:jc w:val="center"/>
              <w:rPr>
                <w:rFonts w:ascii="Times New Roman" w:hAnsi="Times New Roman"/>
                <w:kern w:val="0"/>
                <w:sz w:val="24"/>
                <w:szCs w:val="24"/>
              </w:rPr>
            </w:pPr>
            <w:r>
              <w:rPr>
                <w:rFonts w:ascii="Times New Roman" w:hAnsi="Times New Roman" w:hint="eastAsia"/>
                <w:kern w:val="0"/>
                <w:sz w:val="24"/>
                <w:szCs w:val="24"/>
              </w:rPr>
              <w:t>1</w:t>
            </w:r>
          </w:p>
        </w:tc>
        <w:tc>
          <w:tcPr>
            <w:tcW w:w="2102"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第一章</w:t>
            </w:r>
            <w:r>
              <w:rPr>
                <w:rFonts w:ascii="Times New Roman" w:hAnsi="Times New Roman" w:hint="eastAsia"/>
                <w:kern w:val="0"/>
                <w:sz w:val="24"/>
                <w:szCs w:val="24"/>
              </w:rPr>
              <w:t xml:space="preserve"> </w:t>
            </w:r>
            <w:bookmarkStart w:id="84" w:name="_Hlk69292116"/>
            <w:r>
              <w:rPr>
                <w:rFonts w:ascii="Times New Roman" w:hAnsi="Times New Roman" w:hint="eastAsia"/>
                <w:kern w:val="0"/>
                <w:sz w:val="24"/>
                <w:szCs w:val="24"/>
              </w:rPr>
              <w:t>城镇燃气的分类及其性质</w:t>
            </w:r>
            <w:bookmarkEnd w:id="84"/>
          </w:p>
        </w:tc>
        <w:tc>
          <w:tcPr>
            <w:tcW w:w="727" w:type="dxa"/>
            <w:vAlign w:val="center"/>
          </w:tcPr>
          <w:p w:rsidR="00C20406" w:rsidRDefault="00C20406" w:rsidP="008C3907">
            <w:pPr>
              <w:jc w:val="center"/>
              <w:rPr>
                <w:rFonts w:ascii="Times New Roman" w:hAnsi="Times New Roman"/>
                <w:kern w:val="0"/>
                <w:sz w:val="24"/>
                <w:szCs w:val="24"/>
              </w:rPr>
            </w:pPr>
            <w:r>
              <w:rPr>
                <w:rFonts w:ascii="Times New Roman" w:hAnsi="Times New Roman" w:hint="eastAsia"/>
                <w:kern w:val="0"/>
                <w:sz w:val="24"/>
                <w:szCs w:val="24"/>
              </w:rPr>
              <w:t>2</w:t>
            </w:r>
          </w:p>
        </w:tc>
        <w:tc>
          <w:tcPr>
            <w:tcW w:w="3059"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kern w:val="0"/>
                <w:sz w:val="24"/>
                <w:szCs w:val="24"/>
              </w:rPr>
              <w:t>.1</w:t>
            </w:r>
            <w:r>
              <w:rPr>
                <w:rFonts w:ascii="Times New Roman" w:hAnsi="Times New Roman" w:hint="eastAsia"/>
                <w:kern w:val="0"/>
                <w:sz w:val="24"/>
                <w:szCs w:val="24"/>
              </w:rPr>
              <w:t>燃气的分类</w:t>
            </w:r>
          </w:p>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kern w:val="0"/>
                <w:sz w:val="24"/>
                <w:szCs w:val="24"/>
              </w:rPr>
              <w:t>.2</w:t>
            </w:r>
            <w:r>
              <w:rPr>
                <w:rFonts w:ascii="Times New Roman" w:hAnsi="Times New Roman" w:hint="eastAsia"/>
                <w:kern w:val="0"/>
                <w:sz w:val="24"/>
                <w:szCs w:val="24"/>
              </w:rPr>
              <w:t>燃气的基本性质</w:t>
            </w:r>
          </w:p>
          <w:p w:rsidR="00C20406" w:rsidRDefault="00C20406" w:rsidP="008C3907">
            <w:pPr>
              <w:rPr>
                <w:rFonts w:ascii="Times New Roman" w:hAnsi="Times New Roman"/>
                <w:kern w:val="0"/>
                <w:sz w:val="24"/>
                <w:szCs w:val="24"/>
              </w:rPr>
            </w:pPr>
            <w:r>
              <w:rPr>
                <w:rFonts w:ascii="Times New Roman" w:hAnsi="Times New Roman"/>
                <w:kern w:val="0"/>
                <w:sz w:val="24"/>
                <w:szCs w:val="24"/>
              </w:rPr>
              <w:t>1.3</w:t>
            </w:r>
            <w:r>
              <w:rPr>
                <w:rFonts w:ascii="Times New Roman" w:hAnsi="Times New Roman" w:hint="eastAsia"/>
                <w:kern w:val="0"/>
                <w:sz w:val="24"/>
                <w:szCs w:val="24"/>
              </w:rPr>
              <w:t>城镇燃气的质量要求</w:t>
            </w:r>
          </w:p>
        </w:tc>
        <w:tc>
          <w:tcPr>
            <w:tcW w:w="2755"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掌握燃气的分类；燃气的基本性质。了解城镇燃气的质量要求。</w:t>
            </w:r>
          </w:p>
        </w:tc>
      </w:tr>
      <w:tr w:rsidR="00C20406" w:rsidTr="008C3907">
        <w:trPr>
          <w:trHeight w:val="519"/>
        </w:trPr>
        <w:tc>
          <w:tcPr>
            <w:tcW w:w="512" w:type="dxa"/>
            <w:vAlign w:val="center"/>
          </w:tcPr>
          <w:p w:rsidR="00C20406" w:rsidRDefault="00C20406" w:rsidP="008C3907">
            <w:pPr>
              <w:jc w:val="center"/>
              <w:rPr>
                <w:rFonts w:ascii="Times New Roman" w:hAnsi="Times New Roman"/>
                <w:kern w:val="0"/>
                <w:sz w:val="24"/>
                <w:szCs w:val="24"/>
              </w:rPr>
            </w:pPr>
            <w:r>
              <w:rPr>
                <w:rFonts w:ascii="Times New Roman" w:hAnsi="Times New Roman" w:hint="eastAsia"/>
                <w:kern w:val="0"/>
                <w:sz w:val="24"/>
                <w:szCs w:val="24"/>
              </w:rPr>
              <w:t>2</w:t>
            </w:r>
          </w:p>
        </w:tc>
        <w:tc>
          <w:tcPr>
            <w:tcW w:w="2102"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第二章</w:t>
            </w:r>
            <w:r>
              <w:rPr>
                <w:rFonts w:ascii="Times New Roman" w:hAnsi="Times New Roman" w:hint="eastAsia"/>
                <w:kern w:val="0"/>
                <w:sz w:val="24"/>
                <w:szCs w:val="24"/>
              </w:rPr>
              <w:t xml:space="preserve"> </w:t>
            </w:r>
            <w:bookmarkStart w:id="85" w:name="_Hlk69292152"/>
            <w:r>
              <w:rPr>
                <w:rFonts w:ascii="Times New Roman" w:hAnsi="Times New Roman" w:hint="eastAsia"/>
                <w:kern w:val="0"/>
                <w:sz w:val="24"/>
                <w:szCs w:val="24"/>
              </w:rPr>
              <w:t>城镇燃气需用量及供需平衡</w:t>
            </w:r>
            <w:bookmarkEnd w:id="85"/>
          </w:p>
        </w:tc>
        <w:tc>
          <w:tcPr>
            <w:tcW w:w="727" w:type="dxa"/>
            <w:vAlign w:val="center"/>
          </w:tcPr>
          <w:p w:rsidR="00C20406" w:rsidRDefault="00C20406" w:rsidP="008C3907">
            <w:pPr>
              <w:jc w:val="center"/>
              <w:rPr>
                <w:rFonts w:ascii="Times New Roman" w:hAnsi="Times New Roman"/>
                <w:kern w:val="0"/>
                <w:sz w:val="24"/>
                <w:szCs w:val="24"/>
              </w:rPr>
            </w:pPr>
            <w:r>
              <w:rPr>
                <w:rFonts w:ascii="Times New Roman" w:hAnsi="Times New Roman"/>
                <w:kern w:val="0"/>
                <w:sz w:val="24"/>
                <w:szCs w:val="24"/>
              </w:rPr>
              <w:t>2</w:t>
            </w:r>
          </w:p>
        </w:tc>
        <w:tc>
          <w:tcPr>
            <w:tcW w:w="3059"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kern w:val="0"/>
                <w:sz w:val="24"/>
                <w:szCs w:val="24"/>
              </w:rPr>
              <w:t>.1</w:t>
            </w:r>
            <w:r>
              <w:rPr>
                <w:rFonts w:ascii="Times New Roman" w:hAnsi="Times New Roman" w:hint="eastAsia"/>
                <w:kern w:val="0"/>
                <w:sz w:val="24"/>
                <w:szCs w:val="24"/>
              </w:rPr>
              <w:t>城镇燃气需用量</w:t>
            </w:r>
          </w:p>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kern w:val="0"/>
                <w:sz w:val="24"/>
                <w:szCs w:val="24"/>
              </w:rPr>
              <w:t>.2</w:t>
            </w:r>
            <w:r>
              <w:rPr>
                <w:rFonts w:ascii="Times New Roman" w:hAnsi="Times New Roman" w:hint="eastAsia"/>
                <w:kern w:val="0"/>
                <w:sz w:val="24"/>
                <w:szCs w:val="24"/>
              </w:rPr>
              <w:t>燃气需用工况</w:t>
            </w:r>
          </w:p>
          <w:p w:rsidR="00C20406" w:rsidRDefault="00C20406" w:rsidP="008C3907">
            <w:pPr>
              <w:rPr>
                <w:rFonts w:ascii="Times New Roman" w:hAnsi="Times New Roman"/>
                <w:kern w:val="0"/>
                <w:sz w:val="24"/>
                <w:szCs w:val="24"/>
              </w:rPr>
            </w:pPr>
            <w:r>
              <w:rPr>
                <w:rFonts w:ascii="Times New Roman" w:hAnsi="Times New Roman"/>
                <w:kern w:val="0"/>
                <w:sz w:val="24"/>
                <w:szCs w:val="24"/>
              </w:rPr>
              <w:t>2.3</w:t>
            </w:r>
            <w:r>
              <w:rPr>
                <w:rFonts w:ascii="Times New Roman" w:hAnsi="Times New Roman" w:hint="eastAsia"/>
                <w:kern w:val="0"/>
                <w:sz w:val="24"/>
                <w:szCs w:val="24"/>
              </w:rPr>
              <w:t>燃气输配系统的小时计算流量</w:t>
            </w:r>
          </w:p>
          <w:p w:rsidR="00C20406" w:rsidRDefault="00C20406" w:rsidP="008C3907">
            <w:pPr>
              <w:rPr>
                <w:rFonts w:ascii="Times New Roman" w:hAnsi="Times New Roman"/>
                <w:kern w:val="0"/>
                <w:sz w:val="24"/>
                <w:szCs w:val="24"/>
              </w:rPr>
            </w:pPr>
            <w:r>
              <w:rPr>
                <w:rFonts w:ascii="Times New Roman" w:hAnsi="Times New Roman"/>
                <w:kern w:val="0"/>
                <w:sz w:val="24"/>
                <w:szCs w:val="24"/>
              </w:rPr>
              <w:t>2.4</w:t>
            </w:r>
            <w:r>
              <w:rPr>
                <w:rFonts w:ascii="Times New Roman" w:hAnsi="Times New Roman" w:hint="eastAsia"/>
                <w:kern w:val="0"/>
                <w:sz w:val="24"/>
                <w:szCs w:val="24"/>
              </w:rPr>
              <w:t>燃气输配系统的供需平衡</w:t>
            </w:r>
          </w:p>
        </w:tc>
        <w:tc>
          <w:tcPr>
            <w:tcW w:w="2755"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了解燃气各类用户用气定额、用气量；城镇燃气需用量、燃气需用工况。掌握燃气管道小时计算流量；燃气供需平衡方法。</w:t>
            </w:r>
          </w:p>
        </w:tc>
      </w:tr>
      <w:tr w:rsidR="00C20406" w:rsidTr="008C3907">
        <w:trPr>
          <w:trHeight w:val="555"/>
        </w:trPr>
        <w:tc>
          <w:tcPr>
            <w:tcW w:w="512" w:type="dxa"/>
            <w:vAlign w:val="center"/>
          </w:tcPr>
          <w:p w:rsidR="00C20406" w:rsidRDefault="00C20406" w:rsidP="008C3907">
            <w:pPr>
              <w:jc w:val="center"/>
              <w:rPr>
                <w:rFonts w:ascii="Times New Roman" w:hAnsi="Times New Roman"/>
                <w:kern w:val="0"/>
                <w:sz w:val="24"/>
                <w:szCs w:val="24"/>
              </w:rPr>
            </w:pPr>
            <w:r>
              <w:rPr>
                <w:rFonts w:ascii="Times New Roman" w:hAnsi="Times New Roman" w:hint="eastAsia"/>
                <w:kern w:val="0"/>
                <w:sz w:val="24"/>
                <w:szCs w:val="24"/>
              </w:rPr>
              <w:t>3</w:t>
            </w:r>
          </w:p>
        </w:tc>
        <w:tc>
          <w:tcPr>
            <w:tcW w:w="2102"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第三章</w:t>
            </w:r>
            <w:r>
              <w:rPr>
                <w:rFonts w:ascii="Times New Roman" w:hAnsi="Times New Roman" w:hint="eastAsia"/>
                <w:kern w:val="0"/>
                <w:sz w:val="24"/>
                <w:szCs w:val="24"/>
              </w:rPr>
              <w:t xml:space="preserve"> </w:t>
            </w:r>
            <w:bookmarkStart w:id="86" w:name="_Hlk69292178"/>
            <w:r>
              <w:rPr>
                <w:rFonts w:ascii="Times New Roman" w:hAnsi="Times New Roman" w:hint="eastAsia"/>
                <w:kern w:val="0"/>
                <w:sz w:val="24"/>
                <w:szCs w:val="24"/>
              </w:rPr>
              <w:t>燃气的长距离输送系统</w:t>
            </w:r>
            <w:bookmarkEnd w:id="86"/>
          </w:p>
        </w:tc>
        <w:tc>
          <w:tcPr>
            <w:tcW w:w="727" w:type="dxa"/>
            <w:vAlign w:val="center"/>
          </w:tcPr>
          <w:p w:rsidR="00C20406" w:rsidRDefault="00C20406" w:rsidP="008C3907">
            <w:pPr>
              <w:jc w:val="center"/>
              <w:rPr>
                <w:rFonts w:ascii="Times New Roman" w:hAnsi="Times New Roman"/>
                <w:kern w:val="0"/>
                <w:sz w:val="24"/>
                <w:szCs w:val="24"/>
              </w:rPr>
            </w:pPr>
            <w:r>
              <w:rPr>
                <w:rFonts w:ascii="Times New Roman" w:hAnsi="Times New Roman"/>
                <w:kern w:val="0"/>
                <w:sz w:val="24"/>
                <w:szCs w:val="24"/>
              </w:rPr>
              <w:t>2</w:t>
            </w:r>
          </w:p>
        </w:tc>
        <w:tc>
          <w:tcPr>
            <w:tcW w:w="3059"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3</w:t>
            </w:r>
            <w:r>
              <w:rPr>
                <w:rFonts w:ascii="Times New Roman" w:hAnsi="Times New Roman"/>
                <w:kern w:val="0"/>
                <w:sz w:val="24"/>
                <w:szCs w:val="24"/>
              </w:rPr>
              <w:t>.1</w:t>
            </w:r>
            <w:r>
              <w:rPr>
                <w:rFonts w:ascii="Times New Roman" w:hAnsi="Times New Roman" w:hint="eastAsia"/>
                <w:kern w:val="0"/>
                <w:sz w:val="24"/>
                <w:szCs w:val="24"/>
              </w:rPr>
              <w:t>长距离输送系统的构成</w:t>
            </w:r>
          </w:p>
          <w:p w:rsidR="00C20406" w:rsidRDefault="00C20406" w:rsidP="008C3907">
            <w:pPr>
              <w:rPr>
                <w:rFonts w:ascii="Times New Roman" w:hAnsi="Times New Roman"/>
                <w:kern w:val="0"/>
                <w:sz w:val="24"/>
                <w:szCs w:val="24"/>
              </w:rPr>
            </w:pPr>
            <w:r>
              <w:rPr>
                <w:rFonts w:ascii="Times New Roman" w:hAnsi="Times New Roman"/>
                <w:kern w:val="0"/>
                <w:sz w:val="24"/>
                <w:szCs w:val="24"/>
              </w:rPr>
              <w:t>3.2</w:t>
            </w:r>
            <w:r>
              <w:rPr>
                <w:rFonts w:ascii="Times New Roman" w:hAnsi="Times New Roman" w:hint="eastAsia"/>
                <w:kern w:val="0"/>
                <w:sz w:val="24"/>
                <w:szCs w:val="24"/>
              </w:rPr>
              <w:t>输气干线及路线选择</w:t>
            </w:r>
          </w:p>
        </w:tc>
        <w:tc>
          <w:tcPr>
            <w:tcW w:w="2755"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掌握长距离输送系统的构成；了解输气干线起</w:t>
            </w:r>
            <w:r>
              <w:rPr>
                <w:rFonts w:ascii="Times New Roman" w:hAnsi="Times New Roman" w:hint="eastAsia"/>
                <w:kern w:val="0"/>
                <w:sz w:val="24"/>
                <w:szCs w:val="24"/>
              </w:rPr>
              <w:lastRenderedPageBreak/>
              <w:t>点站的任务及工艺流程；输气干线设施；输气干线及路线选择。</w:t>
            </w:r>
          </w:p>
        </w:tc>
      </w:tr>
      <w:tr w:rsidR="00C20406" w:rsidTr="008C3907">
        <w:trPr>
          <w:trHeight w:val="555"/>
        </w:trPr>
        <w:tc>
          <w:tcPr>
            <w:tcW w:w="512" w:type="dxa"/>
            <w:vAlign w:val="center"/>
          </w:tcPr>
          <w:p w:rsidR="00C20406" w:rsidRDefault="00C20406" w:rsidP="008C3907">
            <w:pPr>
              <w:jc w:val="center"/>
              <w:rPr>
                <w:rFonts w:ascii="Times New Roman" w:hAnsi="Times New Roman"/>
                <w:kern w:val="0"/>
                <w:sz w:val="24"/>
                <w:szCs w:val="24"/>
              </w:rPr>
            </w:pPr>
            <w:r>
              <w:rPr>
                <w:rFonts w:ascii="Times New Roman" w:hAnsi="Times New Roman" w:hint="eastAsia"/>
                <w:kern w:val="0"/>
                <w:sz w:val="24"/>
                <w:szCs w:val="24"/>
              </w:rPr>
              <w:lastRenderedPageBreak/>
              <w:t>4</w:t>
            </w:r>
          </w:p>
        </w:tc>
        <w:tc>
          <w:tcPr>
            <w:tcW w:w="2102"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第四章</w:t>
            </w:r>
            <w:r>
              <w:rPr>
                <w:rFonts w:ascii="Times New Roman" w:hAnsi="Times New Roman" w:hint="eastAsia"/>
                <w:kern w:val="0"/>
                <w:sz w:val="24"/>
                <w:szCs w:val="24"/>
              </w:rPr>
              <w:t xml:space="preserve"> </w:t>
            </w:r>
            <w:bookmarkStart w:id="87" w:name="_Hlk69292215"/>
            <w:r>
              <w:rPr>
                <w:rFonts w:ascii="Times New Roman" w:hAnsi="Times New Roman" w:hint="eastAsia"/>
                <w:kern w:val="0"/>
                <w:sz w:val="24"/>
                <w:szCs w:val="24"/>
              </w:rPr>
              <w:t>城镇燃气管网系统</w:t>
            </w:r>
            <w:bookmarkEnd w:id="87"/>
          </w:p>
        </w:tc>
        <w:tc>
          <w:tcPr>
            <w:tcW w:w="727" w:type="dxa"/>
            <w:vAlign w:val="center"/>
          </w:tcPr>
          <w:p w:rsidR="00C20406" w:rsidRDefault="00C20406" w:rsidP="008C3907">
            <w:pPr>
              <w:jc w:val="center"/>
              <w:rPr>
                <w:rFonts w:ascii="Times New Roman" w:hAnsi="Times New Roman"/>
                <w:kern w:val="0"/>
                <w:sz w:val="24"/>
                <w:szCs w:val="24"/>
              </w:rPr>
            </w:pPr>
            <w:r>
              <w:rPr>
                <w:rFonts w:ascii="Times New Roman" w:hAnsi="Times New Roman"/>
                <w:kern w:val="0"/>
                <w:sz w:val="24"/>
                <w:szCs w:val="24"/>
              </w:rPr>
              <w:t>4</w:t>
            </w:r>
          </w:p>
        </w:tc>
        <w:tc>
          <w:tcPr>
            <w:tcW w:w="3059"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kern w:val="0"/>
                <w:sz w:val="24"/>
                <w:szCs w:val="24"/>
              </w:rPr>
              <w:t>.1</w:t>
            </w:r>
            <w:r>
              <w:rPr>
                <w:rFonts w:ascii="Times New Roman" w:hAnsi="Times New Roman" w:hint="eastAsia"/>
                <w:kern w:val="0"/>
                <w:sz w:val="24"/>
                <w:szCs w:val="24"/>
              </w:rPr>
              <w:t>城镇燃气门站</w:t>
            </w:r>
          </w:p>
          <w:p w:rsidR="00C20406" w:rsidRDefault="00C20406" w:rsidP="008C3907">
            <w:pPr>
              <w:rPr>
                <w:rFonts w:ascii="Times New Roman" w:hAnsi="Times New Roman"/>
                <w:kern w:val="0"/>
                <w:sz w:val="24"/>
                <w:szCs w:val="24"/>
              </w:rPr>
            </w:pPr>
            <w:r>
              <w:rPr>
                <w:rFonts w:ascii="Times New Roman" w:hAnsi="Times New Roman"/>
                <w:kern w:val="0"/>
                <w:sz w:val="24"/>
                <w:szCs w:val="24"/>
              </w:rPr>
              <w:t>4.2</w:t>
            </w:r>
            <w:r>
              <w:rPr>
                <w:rFonts w:ascii="Times New Roman" w:hAnsi="Times New Roman" w:hint="eastAsia"/>
                <w:kern w:val="0"/>
                <w:sz w:val="24"/>
                <w:szCs w:val="24"/>
              </w:rPr>
              <w:t>城镇燃气管网系统及其选择</w:t>
            </w:r>
          </w:p>
          <w:p w:rsidR="00C20406" w:rsidRDefault="00C20406" w:rsidP="008C3907">
            <w:pPr>
              <w:rPr>
                <w:rFonts w:ascii="Times New Roman" w:hAnsi="Times New Roman"/>
                <w:kern w:val="0"/>
                <w:sz w:val="24"/>
                <w:szCs w:val="24"/>
              </w:rPr>
            </w:pPr>
            <w:r>
              <w:rPr>
                <w:rFonts w:ascii="Times New Roman" w:hAnsi="Times New Roman"/>
                <w:kern w:val="0"/>
                <w:sz w:val="24"/>
                <w:szCs w:val="24"/>
              </w:rPr>
              <w:t>4.3</w:t>
            </w:r>
            <w:r>
              <w:rPr>
                <w:rFonts w:ascii="Times New Roman" w:hAnsi="Times New Roman" w:hint="eastAsia"/>
                <w:kern w:val="0"/>
                <w:sz w:val="24"/>
                <w:szCs w:val="24"/>
              </w:rPr>
              <w:t>城镇燃气管道的布线</w:t>
            </w:r>
          </w:p>
          <w:p w:rsidR="00C20406" w:rsidRDefault="00C20406" w:rsidP="008C3907">
            <w:pPr>
              <w:rPr>
                <w:rFonts w:ascii="Times New Roman" w:hAnsi="Times New Roman"/>
                <w:kern w:val="0"/>
                <w:sz w:val="24"/>
                <w:szCs w:val="24"/>
              </w:rPr>
            </w:pPr>
            <w:r>
              <w:rPr>
                <w:rFonts w:ascii="Times New Roman" w:hAnsi="Times New Roman"/>
                <w:kern w:val="0"/>
                <w:sz w:val="24"/>
                <w:szCs w:val="24"/>
              </w:rPr>
              <w:t>4.4</w:t>
            </w:r>
            <w:r>
              <w:rPr>
                <w:rFonts w:ascii="Times New Roman" w:hAnsi="Times New Roman" w:hint="eastAsia"/>
                <w:kern w:val="0"/>
                <w:sz w:val="24"/>
                <w:szCs w:val="24"/>
              </w:rPr>
              <w:t>工业企业燃气管网系统</w:t>
            </w:r>
          </w:p>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kern w:val="0"/>
                <w:sz w:val="24"/>
                <w:szCs w:val="24"/>
              </w:rPr>
              <w:t>.5</w:t>
            </w:r>
            <w:r>
              <w:rPr>
                <w:rFonts w:ascii="Times New Roman" w:hAnsi="Times New Roman" w:hint="eastAsia"/>
                <w:kern w:val="0"/>
                <w:sz w:val="24"/>
                <w:szCs w:val="24"/>
              </w:rPr>
              <w:t>建筑燃气供应系统</w:t>
            </w:r>
          </w:p>
        </w:tc>
        <w:tc>
          <w:tcPr>
            <w:tcW w:w="2755"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了解城镇燃气管网的分类；城镇燃气管网系统的构成与选择；掌握城镇燃气管道的布线原则；了解工业企业燃气供应系统；掌握建筑燃气供应系统的构成、布线原则；高层建筑燃气供应特点。</w:t>
            </w:r>
          </w:p>
        </w:tc>
      </w:tr>
      <w:tr w:rsidR="00C20406" w:rsidTr="008C3907">
        <w:trPr>
          <w:trHeight w:val="548"/>
        </w:trPr>
        <w:tc>
          <w:tcPr>
            <w:tcW w:w="512" w:type="dxa"/>
            <w:vAlign w:val="center"/>
          </w:tcPr>
          <w:p w:rsidR="00C20406" w:rsidRDefault="00C20406" w:rsidP="008C3907">
            <w:pPr>
              <w:jc w:val="center"/>
              <w:rPr>
                <w:rFonts w:ascii="Times New Roman" w:hAnsi="Times New Roman"/>
                <w:kern w:val="0"/>
                <w:sz w:val="24"/>
                <w:szCs w:val="24"/>
              </w:rPr>
            </w:pPr>
            <w:r>
              <w:rPr>
                <w:rFonts w:ascii="Times New Roman" w:hAnsi="Times New Roman"/>
                <w:kern w:val="0"/>
                <w:sz w:val="24"/>
                <w:szCs w:val="24"/>
              </w:rPr>
              <w:t>5</w:t>
            </w:r>
          </w:p>
        </w:tc>
        <w:tc>
          <w:tcPr>
            <w:tcW w:w="2102"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第五章</w:t>
            </w:r>
            <w:r>
              <w:rPr>
                <w:rFonts w:ascii="Times New Roman" w:hAnsi="Times New Roman" w:hint="eastAsia"/>
                <w:kern w:val="0"/>
                <w:sz w:val="24"/>
                <w:szCs w:val="24"/>
              </w:rPr>
              <w:t xml:space="preserve"> </w:t>
            </w:r>
            <w:r>
              <w:rPr>
                <w:rFonts w:ascii="Times New Roman" w:hAnsi="Times New Roman" w:hint="eastAsia"/>
                <w:kern w:val="0"/>
                <w:sz w:val="24"/>
                <w:szCs w:val="24"/>
              </w:rPr>
              <w:t>燃气管道及其附属设备</w:t>
            </w:r>
          </w:p>
        </w:tc>
        <w:tc>
          <w:tcPr>
            <w:tcW w:w="727"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2</w:t>
            </w:r>
          </w:p>
        </w:tc>
        <w:tc>
          <w:tcPr>
            <w:tcW w:w="3059"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5</w:t>
            </w:r>
            <w:r>
              <w:rPr>
                <w:rFonts w:ascii="Times New Roman" w:hAnsi="Times New Roman"/>
                <w:kern w:val="0"/>
                <w:sz w:val="24"/>
                <w:szCs w:val="24"/>
              </w:rPr>
              <w:t>.1</w:t>
            </w:r>
            <w:r>
              <w:rPr>
                <w:rFonts w:ascii="Times New Roman" w:hAnsi="Times New Roman" w:hint="eastAsia"/>
                <w:kern w:val="0"/>
                <w:sz w:val="24"/>
                <w:szCs w:val="24"/>
              </w:rPr>
              <w:t>管材及其连接方式</w:t>
            </w:r>
          </w:p>
          <w:p w:rsidR="00C20406" w:rsidRDefault="00C20406" w:rsidP="008C3907">
            <w:pPr>
              <w:rPr>
                <w:rFonts w:ascii="Times New Roman" w:hAnsi="Times New Roman"/>
                <w:kern w:val="0"/>
                <w:sz w:val="24"/>
                <w:szCs w:val="24"/>
              </w:rPr>
            </w:pPr>
            <w:r>
              <w:rPr>
                <w:rFonts w:ascii="Times New Roman" w:hAnsi="Times New Roman"/>
                <w:kern w:val="0"/>
                <w:sz w:val="24"/>
                <w:szCs w:val="24"/>
              </w:rPr>
              <w:t>5.2</w:t>
            </w:r>
            <w:r>
              <w:rPr>
                <w:rFonts w:ascii="Times New Roman" w:hAnsi="Times New Roman" w:hint="eastAsia"/>
                <w:kern w:val="0"/>
                <w:sz w:val="24"/>
                <w:szCs w:val="24"/>
              </w:rPr>
              <w:t>燃气管道的附属设备</w:t>
            </w:r>
          </w:p>
          <w:p w:rsidR="00C20406" w:rsidRDefault="00C20406" w:rsidP="008C3907">
            <w:pPr>
              <w:rPr>
                <w:rFonts w:ascii="Times New Roman" w:hAnsi="Times New Roman"/>
                <w:kern w:val="0"/>
                <w:sz w:val="24"/>
                <w:szCs w:val="24"/>
              </w:rPr>
            </w:pPr>
            <w:r>
              <w:rPr>
                <w:rFonts w:ascii="Times New Roman" w:hAnsi="Times New Roman"/>
                <w:kern w:val="0"/>
                <w:sz w:val="24"/>
                <w:szCs w:val="24"/>
              </w:rPr>
              <w:t>5.3</w:t>
            </w:r>
            <w:r>
              <w:rPr>
                <w:rFonts w:ascii="Times New Roman" w:hAnsi="Times New Roman" w:hint="eastAsia"/>
                <w:kern w:val="0"/>
                <w:sz w:val="24"/>
                <w:szCs w:val="24"/>
              </w:rPr>
              <w:t>钢制燃气管道的防腐</w:t>
            </w:r>
          </w:p>
        </w:tc>
        <w:tc>
          <w:tcPr>
            <w:tcW w:w="2755"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掌握各种管材的特点及连接方法；了解燃气管道附属设备；掌握钢制燃气管道的腐蚀原因及防腐方法。</w:t>
            </w:r>
          </w:p>
        </w:tc>
      </w:tr>
      <w:tr w:rsidR="00C20406" w:rsidTr="008C3907">
        <w:trPr>
          <w:trHeight w:val="548"/>
        </w:trPr>
        <w:tc>
          <w:tcPr>
            <w:tcW w:w="512" w:type="dxa"/>
            <w:vAlign w:val="center"/>
          </w:tcPr>
          <w:p w:rsidR="00C20406" w:rsidRDefault="00C20406" w:rsidP="008C3907">
            <w:pPr>
              <w:jc w:val="center"/>
              <w:rPr>
                <w:rFonts w:ascii="Times New Roman" w:hAnsi="Times New Roman"/>
                <w:kern w:val="0"/>
                <w:sz w:val="24"/>
                <w:szCs w:val="24"/>
              </w:rPr>
            </w:pPr>
            <w:r>
              <w:rPr>
                <w:rFonts w:ascii="Times New Roman" w:hAnsi="Times New Roman" w:hint="eastAsia"/>
                <w:kern w:val="0"/>
                <w:sz w:val="24"/>
                <w:szCs w:val="24"/>
              </w:rPr>
              <w:t>6</w:t>
            </w:r>
          </w:p>
        </w:tc>
        <w:tc>
          <w:tcPr>
            <w:tcW w:w="2102"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第六章</w:t>
            </w:r>
            <w:bookmarkStart w:id="88" w:name="_Hlk69292272"/>
            <w:r>
              <w:rPr>
                <w:rFonts w:ascii="Times New Roman" w:hAnsi="Times New Roman" w:hint="eastAsia"/>
                <w:kern w:val="0"/>
                <w:sz w:val="24"/>
                <w:szCs w:val="24"/>
              </w:rPr>
              <w:t xml:space="preserve"> </w:t>
            </w:r>
            <w:r>
              <w:rPr>
                <w:rFonts w:ascii="Times New Roman" w:hAnsi="Times New Roman" w:hint="eastAsia"/>
                <w:kern w:val="0"/>
                <w:sz w:val="24"/>
                <w:szCs w:val="24"/>
              </w:rPr>
              <w:t>燃气管道的水力计算</w:t>
            </w:r>
            <w:bookmarkEnd w:id="88"/>
          </w:p>
        </w:tc>
        <w:tc>
          <w:tcPr>
            <w:tcW w:w="727"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4</w:t>
            </w:r>
          </w:p>
        </w:tc>
        <w:tc>
          <w:tcPr>
            <w:tcW w:w="3059"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6</w:t>
            </w:r>
            <w:r>
              <w:rPr>
                <w:rFonts w:ascii="Times New Roman" w:hAnsi="Times New Roman"/>
                <w:kern w:val="0"/>
                <w:sz w:val="24"/>
                <w:szCs w:val="24"/>
              </w:rPr>
              <w:t>.1</w:t>
            </w:r>
            <w:r>
              <w:rPr>
                <w:rFonts w:ascii="Times New Roman" w:hAnsi="Times New Roman" w:hint="eastAsia"/>
                <w:kern w:val="0"/>
                <w:sz w:val="24"/>
                <w:szCs w:val="24"/>
              </w:rPr>
              <w:t>管道内燃气流动的基本方程式</w:t>
            </w:r>
          </w:p>
          <w:p w:rsidR="00C20406" w:rsidRDefault="00C20406" w:rsidP="008C3907">
            <w:pPr>
              <w:rPr>
                <w:rFonts w:ascii="Times New Roman" w:hAnsi="Times New Roman"/>
                <w:kern w:val="0"/>
                <w:sz w:val="24"/>
                <w:szCs w:val="24"/>
              </w:rPr>
            </w:pPr>
            <w:r>
              <w:rPr>
                <w:rFonts w:ascii="Times New Roman" w:hAnsi="Times New Roman"/>
                <w:kern w:val="0"/>
                <w:sz w:val="24"/>
                <w:szCs w:val="24"/>
              </w:rPr>
              <w:t>6.2</w:t>
            </w:r>
            <w:r>
              <w:rPr>
                <w:rFonts w:ascii="Times New Roman" w:hAnsi="Times New Roman" w:hint="eastAsia"/>
                <w:kern w:val="0"/>
                <w:sz w:val="24"/>
                <w:szCs w:val="24"/>
              </w:rPr>
              <w:t>城镇燃气管道水力计算公式和计算图表</w:t>
            </w:r>
          </w:p>
          <w:p w:rsidR="00C20406" w:rsidRDefault="00C20406" w:rsidP="008C3907">
            <w:pPr>
              <w:rPr>
                <w:rFonts w:ascii="Times New Roman" w:hAnsi="Times New Roman"/>
                <w:kern w:val="0"/>
                <w:sz w:val="24"/>
                <w:szCs w:val="24"/>
              </w:rPr>
            </w:pPr>
            <w:r>
              <w:rPr>
                <w:rFonts w:ascii="Times New Roman" w:hAnsi="Times New Roman"/>
                <w:kern w:val="0"/>
                <w:sz w:val="24"/>
                <w:szCs w:val="24"/>
              </w:rPr>
              <w:t>6.3</w:t>
            </w:r>
            <w:r>
              <w:rPr>
                <w:rFonts w:ascii="Times New Roman" w:hAnsi="Times New Roman" w:hint="eastAsia"/>
                <w:kern w:val="0"/>
                <w:sz w:val="24"/>
                <w:szCs w:val="24"/>
              </w:rPr>
              <w:t>燃气分配管网的计算流量</w:t>
            </w:r>
          </w:p>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6</w:t>
            </w:r>
            <w:r>
              <w:rPr>
                <w:rFonts w:ascii="Times New Roman" w:hAnsi="Times New Roman"/>
                <w:kern w:val="0"/>
                <w:sz w:val="24"/>
                <w:szCs w:val="24"/>
              </w:rPr>
              <w:t>.4</w:t>
            </w:r>
            <w:r>
              <w:rPr>
                <w:rFonts w:ascii="Times New Roman" w:hAnsi="Times New Roman" w:hint="eastAsia"/>
                <w:kern w:val="0"/>
                <w:sz w:val="24"/>
                <w:szCs w:val="24"/>
              </w:rPr>
              <w:t>燃气管网水力计算</w:t>
            </w:r>
          </w:p>
        </w:tc>
        <w:tc>
          <w:tcPr>
            <w:tcW w:w="2755"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掌握燃气流动的基本方程式；燃气管网水力计算方法，会进行燃气管网设计与计算。</w:t>
            </w:r>
          </w:p>
        </w:tc>
      </w:tr>
      <w:tr w:rsidR="00C20406" w:rsidTr="008C3907">
        <w:trPr>
          <w:trHeight w:val="548"/>
        </w:trPr>
        <w:tc>
          <w:tcPr>
            <w:tcW w:w="512" w:type="dxa"/>
            <w:vAlign w:val="center"/>
          </w:tcPr>
          <w:p w:rsidR="00C20406" w:rsidRDefault="00C20406" w:rsidP="008C3907">
            <w:pPr>
              <w:jc w:val="center"/>
              <w:rPr>
                <w:rFonts w:ascii="华文中宋" w:eastAsia="华文中宋" w:hAnsi="华文中宋"/>
                <w:szCs w:val="21"/>
              </w:rPr>
            </w:pPr>
            <w:r>
              <w:rPr>
                <w:rFonts w:ascii="Times New Roman" w:hAnsi="Times New Roman" w:hint="eastAsia"/>
                <w:kern w:val="0"/>
                <w:sz w:val="24"/>
                <w:szCs w:val="24"/>
              </w:rPr>
              <w:t>7</w:t>
            </w:r>
          </w:p>
        </w:tc>
        <w:tc>
          <w:tcPr>
            <w:tcW w:w="2102"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第七章</w:t>
            </w:r>
            <w:bookmarkStart w:id="89" w:name="_Hlk69292363"/>
            <w:r>
              <w:rPr>
                <w:rFonts w:ascii="Times New Roman" w:hAnsi="Times New Roman" w:hint="eastAsia"/>
                <w:kern w:val="0"/>
                <w:sz w:val="24"/>
                <w:szCs w:val="24"/>
              </w:rPr>
              <w:t xml:space="preserve"> </w:t>
            </w:r>
            <w:r>
              <w:rPr>
                <w:rFonts w:ascii="Times New Roman" w:hAnsi="Times New Roman" w:hint="eastAsia"/>
                <w:kern w:val="0"/>
                <w:sz w:val="24"/>
                <w:szCs w:val="24"/>
              </w:rPr>
              <w:t>燃气管网的水力工况</w:t>
            </w:r>
            <w:bookmarkEnd w:id="89"/>
          </w:p>
        </w:tc>
        <w:tc>
          <w:tcPr>
            <w:tcW w:w="727"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4</w:t>
            </w:r>
          </w:p>
        </w:tc>
        <w:tc>
          <w:tcPr>
            <w:tcW w:w="3059"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7</w:t>
            </w:r>
            <w:r>
              <w:rPr>
                <w:rFonts w:ascii="Times New Roman" w:hAnsi="Times New Roman"/>
                <w:kern w:val="0"/>
                <w:sz w:val="24"/>
                <w:szCs w:val="24"/>
              </w:rPr>
              <w:t>.1</w:t>
            </w:r>
            <w:r>
              <w:rPr>
                <w:rFonts w:ascii="Times New Roman" w:hAnsi="Times New Roman" w:hint="eastAsia"/>
                <w:kern w:val="0"/>
                <w:sz w:val="24"/>
                <w:szCs w:val="24"/>
              </w:rPr>
              <w:t>管网计算压力降的确定</w:t>
            </w:r>
          </w:p>
          <w:p w:rsidR="00C20406" w:rsidRDefault="00C20406" w:rsidP="008C3907">
            <w:pPr>
              <w:rPr>
                <w:rFonts w:ascii="Times New Roman" w:hAnsi="Times New Roman"/>
                <w:kern w:val="0"/>
                <w:sz w:val="24"/>
                <w:szCs w:val="24"/>
              </w:rPr>
            </w:pPr>
            <w:r>
              <w:rPr>
                <w:rFonts w:ascii="Times New Roman" w:hAnsi="Times New Roman"/>
                <w:kern w:val="0"/>
                <w:sz w:val="24"/>
                <w:szCs w:val="24"/>
              </w:rPr>
              <w:t>7.2</w:t>
            </w:r>
            <w:r>
              <w:rPr>
                <w:rFonts w:ascii="Times New Roman" w:hAnsi="Times New Roman" w:hint="eastAsia"/>
                <w:kern w:val="0"/>
                <w:sz w:val="24"/>
                <w:szCs w:val="24"/>
              </w:rPr>
              <w:t>低压管网的水力工况</w:t>
            </w:r>
          </w:p>
          <w:p w:rsidR="00C20406" w:rsidRDefault="00C20406" w:rsidP="008C3907">
            <w:pPr>
              <w:rPr>
                <w:rFonts w:ascii="Times New Roman" w:hAnsi="Times New Roman"/>
                <w:kern w:val="0"/>
                <w:sz w:val="24"/>
                <w:szCs w:val="24"/>
              </w:rPr>
            </w:pPr>
            <w:r>
              <w:rPr>
                <w:rFonts w:ascii="Times New Roman" w:hAnsi="Times New Roman"/>
                <w:kern w:val="0"/>
                <w:sz w:val="24"/>
                <w:szCs w:val="24"/>
              </w:rPr>
              <w:t>7.3</w:t>
            </w:r>
            <w:r>
              <w:rPr>
                <w:rFonts w:ascii="Times New Roman" w:hAnsi="Times New Roman" w:hint="eastAsia"/>
                <w:kern w:val="0"/>
                <w:sz w:val="24"/>
                <w:szCs w:val="24"/>
              </w:rPr>
              <w:t>高、中压环网的水力可靠性</w:t>
            </w:r>
          </w:p>
        </w:tc>
        <w:tc>
          <w:tcPr>
            <w:tcW w:w="2755"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掌握用户处的压力及波动范围；低压、高中压管网计算压力降的确定；了解低压管网起点压力为定值时水力工况；低压管网起点压力按月调节时水力工况。</w:t>
            </w:r>
          </w:p>
        </w:tc>
      </w:tr>
      <w:tr w:rsidR="00C20406" w:rsidTr="008C3907">
        <w:trPr>
          <w:trHeight w:val="548"/>
        </w:trPr>
        <w:tc>
          <w:tcPr>
            <w:tcW w:w="512" w:type="dxa"/>
            <w:vAlign w:val="center"/>
          </w:tcPr>
          <w:p w:rsidR="00C20406" w:rsidRDefault="00C20406" w:rsidP="008C3907">
            <w:pPr>
              <w:jc w:val="center"/>
              <w:rPr>
                <w:rFonts w:ascii="华文中宋" w:eastAsia="华文中宋" w:hAnsi="华文中宋"/>
                <w:szCs w:val="21"/>
              </w:rPr>
            </w:pPr>
            <w:r>
              <w:rPr>
                <w:rFonts w:ascii="Times New Roman" w:hAnsi="Times New Roman" w:hint="eastAsia"/>
                <w:kern w:val="0"/>
                <w:sz w:val="24"/>
                <w:szCs w:val="24"/>
              </w:rPr>
              <w:t>8</w:t>
            </w:r>
          </w:p>
        </w:tc>
        <w:tc>
          <w:tcPr>
            <w:tcW w:w="2102"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第八章</w:t>
            </w:r>
            <w:r>
              <w:rPr>
                <w:rFonts w:ascii="Times New Roman" w:hAnsi="Times New Roman" w:hint="eastAsia"/>
                <w:kern w:val="0"/>
                <w:sz w:val="24"/>
                <w:szCs w:val="24"/>
              </w:rPr>
              <w:t xml:space="preserve"> </w:t>
            </w:r>
            <w:bookmarkStart w:id="90" w:name="_Hlk69292392"/>
            <w:r>
              <w:rPr>
                <w:rFonts w:ascii="Times New Roman" w:hAnsi="Times New Roman" w:hint="eastAsia"/>
                <w:kern w:val="0"/>
                <w:sz w:val="24"/>
                <w:szCs w:val="24"/>
              </w:rPr>
              <w:t>燃气的压力调节及计量</w:t>
            </w:r>
            <w:bookmarkEnd w:id="90"/>
          </w:p>
        </w:tc>
        <w:tc>
          <w:tcPr>
            <w:tcW w:w="727"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kern w:val="0"/>
                <w:sz w:val="24"/>
                <w:szCs w:val="24"/>
              </w:rPr>
              <w:t>4</w:t>
            </w:r>
          </w:p>
        </w:tc>
        <w:tc>
          <w:tcPr>
            <w:tcW w:w="3059"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8</w:t>
            </w:r>
            <w:r>
              <w:rPr>
                <w:rFonts w:ascii="Times New Roman" w:hAnsi="Times New Roman"/>
                <w:kern w:val="0"/>
                <w:sz w:val="24"/>
                <w:szCs w:val="24"/>
              </w:rPr>
              <w:t>.1</w:t>
            </w:r>
            <w:r>
              <w:rPr>
                <w:rFonts w:ascii="Times New Roman" w:hAnsi="Times New Roman" w:hint="eastAsia"/>
                <w:kern w:val="0"/>
                <w:sz w:val="24"/>
                <w:szCs w:val="24"/>
              </w:rPr>
              <w:t>燃气压力调节过程</w:t>
            </w:r>
          </w:p>
          <w:p w:rsidR="00C20406" w:rsidRDefault="00C20406" w:rsidP="008C3907">
            <w:pPr>
              <w:rPr>
                <w:rFonts w:ascii="Times New Roman" w:hAnsi="Times New Roman"/>
                <w:kern w:val="0"/>
                <w:sz w:val="24"/>
                <w:szCs w:val="24"/>
              </w:rPr>
            </w:pPr>
            <w:r>
              <w:rPr>
                <w:rFonts w:ascii="Times New Roman" w:hAnsi="Times New Roman"/>
                <w:kern w:val="0"/>
                <w:sz w:val="24"/>
                <w:szCs w:val="24"/>
              </w:rPr>
              <w:t>8.2</w:t>
            </w:r>
            <w:r>
              <w:rPr>
                <w:rFonts w:ascii="Times New Roman" w:hAnsi="Times New Roman" w:hint="eastAsia"/>
                <w:kern w:val="0"/>
                <w:sz w:val="24"/>
                <w:szCs w:val="24"/>
              </w:rPr>
              <w:t>调压器的调节元件及敏感元件</w:t>
            </w:r>
          </w:p>
          <w:p w:rsidR="00C20406" w:rsidRDefault="00C20406" w:rsidP="008C3907">
            <w:pPr>
              <w:rPr>
                <w:rFonts w:ascii="Times New Roman" w:hAnsi="Times New Roman"/>
                <w:kern w:val="0"/>
                <w:sz w:val="24"/>
                <w:szCs w:val="24"/>
              </w:rPr>
            </w:pPr>
            <w:r>
              <w:rPr>
                <w:rFonts w:ascii="Times New Roman" w:hAnsi="Times New Roman"/>
                <w:kern w:val="0"/>
                <w:sz w:val="24"/>
                <w:szCs w:val="24"/>
              </w:rPr>
              <w:t>8.3</w:t>
            </w:r>
            <w:r>
              <w:rPr>
                <w:rFonts w:ascii="Times New Roman" w:hAnsi="Times New Roman" w:hint="eastAsia"/>
                <w:kern w:val="0"/>
                <w:sz w:val="24"/>
                <w:szCs w:val="24"/>
              </w:rPr>
              <w:t>燃气调压器</w:t>
            </w:r>
          </w:p>
          <w:p w:rsidR="00C20406" w:rsidRDefault="00C20406" w:rsidP="008C3907">
            <w:pPr>
              <w:rPr>
                <w:rFonts w:ascii="Times New Roman" w:hAnsi="Times New Roman"/>
                <w:kern w:val="0"/>
                <w:sz w:val="24"/>
                <w:szCs w:val="24"/>
              </w:rPr>
            </w:pPr>
            <w:r>
              <w:rPr>
                <w:rFonts w:ascii="Times New Roman" w:hAnsi="Times New Roman"/>
                <w:kern w:val="0"/>
                <w:sz w:val="24"/>
                <w:szCs w:val="24"/>
              </w:rPr>
              <w:t>8.4</w:t>
            </w:r>
            <w:r>
              <w:rPr>
                <w:rFonts w:ascii="Times New Roman" w:hAnsi="Times New Roman" w:hint="eastAsia"/>
                <w:kern w:val="0"/>
                <w:sz w:val="24"/>
                <w:szCs w:val="24"/>
              </w:rPr>
              <w:t>燃气调压站</w:t>
            </w:r>
          </w:p>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8</w:t>
            </w:r>
            <w:r>
              <w:rPr>
                <w:rFonts w:ascii="Times New Roman" w:hAnsi="Times New Roman"/>
                <w:kern w:val="0"/>
                <w:sz w:val="24"/>
                <w:szCs w:val="24"/>
              </w:rPr>
              <w:t>.5</w:t>
            </w:r>
            <w:r>
              <w:rPr>
                <w:rFonts w:ascii="Times New Roman" w:hAnsi="Times New Roman" w:hint="eastAsia"/>
                <w:kern w:val="0"/>
                <w:sz w:val="24"/>
                <w:szCs w:val="24"/>
              </w:rPr>
              <w:t>燃气的计量</w:t>
            </w:r>
          </w:p>
        </w:tc>
        <w:tc>
          <w:tcPr>
            <w:tcW w:w="2755"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掌握调压器的工作原理及调压器分类；了解调压站的分类及选址；调压站的组成及布置；掌握常见流量计的工作原理及使用场所。</w:t>
            </w:r>
          </w:p>
        </w:tc>
      </w:tr>
      <w:tr w:rsidR="00C20406" w:rsidTr="008C3907">
        <w:trPr>
          <w:trHeight w:val="548"/>
        </w:trPr>
        <w:tc>
          <w:tcPr>
            <w:tcW w:w="512" w:type="dxa"/>
            <w:vAlign w:val="center"/>
          </w:tcPr>
          <w:p w:rsidR="00C20406" w:rsidRDefault="00C20406" w:rsidP="008C3907">
            <w:pPr>
              <w:jc w:val="center"/>
              <w:rPr>
                <w:rFonts w:ascii="华文中宋" w:eastAsia="华文中宋" w:hAnsi="华文中宋"/>
                <w:sz w:val="24"/>
                <w:szCs w:val="24"/>
              </w:rPr>
            </w:pPr>
            <w:r>
              <w:rPr>
                <w:rFonts w:ascii="Times New Roman" w:hAnsi="Times New Roman" w:hint="eastAsia"/>
                <w:kern w:val="0"/>
                <w:sz w:val="24"/>
                <w:szCs w:val="24"/>
              </w:rPr>
              <w:t>9</w:t>
            </w:r>
          </w:p>
        </w:tc>
        <w:tc>
          <w:tcPr>
            <w:tcW w:w="2102" w:type="dxa"/>
            <w:vAlign w:val="center"/>
          </w:tcPr>
          <w:p w:rsidR="00C20406" w:rsidRDefault="00C20406" w:rsidP="008C3907">
            <w:pPr>
              <w:rPr>
                <w:rFonts w:ascii="Times New Roman" w:hAnsi="Times New Roman"/>
                <w:kern w:val="0"/>
                <w:sz w:val="24"/>
                <w:szCs w:val="24"/>
              </w:rPr>
            </w:pPr>
            <w:bookmarkStart w:id="91" w:name="_Hlk69292419"/>
            <w:r>
              <w:rPr>
                <w:rFonts w:ascii="Times New Roman" w:hAnsi="Times New Roman" w:hint="eastAsia"/>
                <w:kern w:val="0"/>
                <w:sz w:val="24"/>
                <w:szCs w:val="24"/>
              </w:rPr>
              <w:t>第九章</w:t>
            </w:r>
            <w:r>
              <w:rPr>
                <w:rFonts w:ascii="Times New Roman" w:hAnsi="Times New Roman" w:hint="eastAsia"/>
                <w:kern w:val="0"/>
                <w:sz w:val="24"/>
                <w:szCs w:val="24"/>
              </w:rPr>
              <w:t xml:space="preserve"> </w:t>
            </w:r>
            <w:r>
              <w:rPr>
                <w:rFonts w:ascii="Times New Roman" w:hAnsi="Times New Roman" w:hint="eastAsia"/>
                <w:kern w:val="0"/>
                <w:sz w:val="24"/>
                <w:szCs w:val="24"/>
              </w:rPr>
              <w:t>燃气的压送</w:t>
            </w:r>
            <w:bookmarkEnd w:id="91"/>
          </w:p>
        </w:tc>
        <w:tc>
          <w:tcPr>
            <w:tcW w:w="727"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2</w:t>
            </w:r>
          </w:p>
        </w:tc>
        <w:tc>
          <w:tcPr>
            <w:tcW w:w="3059"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9</w:t>
            </w:r>
            <w:r>
              <w:rPr>
                <w:rFonts w:ascii="Times New Roman" w:hAnsi="Times New Roman"/>
                <w:kern w:val="0"/>
                <w:sz w:val="24"/>
                <w:szCs w:val="24"/>
              </w:rPr>
              <w:t>.1</w:t>
            </w:r>
            <w:r>
              <w:rPr>
                <w:rFonts w:ascii="Times New Roman" w:hAnsi="Times New Roman" w:hint="eastAsia"/>
                <w:kern w:val="0"/>
                <w:sz w:val="24"/>
                <w:szCs w:val="24"/>
              </w:rPr>
              <w:t>活塞式压缩机</w:t>
            </w:r>
          </w:p>
          <w:p w:rsidR="00C20406" w:rsidRDefault="00C20406" w:rsidP="008C3907">
            <w:pPr>
              <w:rPr>
                <w:rFonts w:ascii="Times New Roman" w:hAnsi="Times New Roman"/>
                <w:kern w:val="0"/>
                <w:sz w:val="24"/>
                <w:szCs w:val="24"/>
              </w:rPr>
            </w:pPr>
            <w:r>
              <w:rPr>
                <w:rFonts w:ascii="Times New Roman" w:hAnsi="Times New Roman"/>
                <w:kern w:val="0"/>
                <w:sz w:val="24"/>
                <w:szCs w:val="24"/>
              </w:rPr>
              <w:t>9.2</w:t>
            </w:r>
            <w:r>
              <w:rPr>
                <w:rFonts w:ascii="Times New Roman" w:hAnsi="Times New Roman" w:hint="eastAsia"/>
                <w:kern w:val="0"/>
                <w:sz w:val="24"/>
                <w:szCs w:val="24"/>
              </w:rPr>
              <w:t>离心式压缩机</w:t>
            </w:r>
          </w:p>
          <w:p w:rsidR="00C20406" w:rsidRDefault="00C20406" w:rsidP="008C3907">
            <w:pPr>
              <w:rPr>
                <w:rFonts w:ascii="Times New Roman" w:hAnsi="Times New Roman"/>
                <w:kern w:val="0"/>
                <w:sz w:val="24"/>
                <w:szCs w:val="24"/>
              </w:rPr>
            </w:pPr>
            <w:r>
              <w:rPr>
                <w:rFonts w:ascii="Times New Roman" w:hAnsi="Times New Roman"/>
                <w:kern w:val="0"/>
                <w:sz w:val="24"/>
                <w:szCs w:val="24"/>
              </w:rPr>
              <w:t>9.5</w:t>
            </w:r>
            <w:r>
              <w:rPr>
                <w:rFonts w:ascii="Times New Roman" w:hAnsi="Times New Roman" w:hint="eastAsia"/>
                <w:kern w:val="0"/>
                <w:sz w:val="24"/>
                <w:szCs w:val="24"/>
              </w:rPr>
              <w:t>压缩机室</w:t>
            </w:r>
          </w:p>
        </w:tc>
        <w:tc>
          <w:tcPr>
            <w:tcW w:w="2755"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掌握压缩机的分类及工作原理，了解活塞式、离心式压缩机的特点，压缩机室的工艺流程及布置。</w:t>
            </w:r>
          </w:p>
        </w:tc>
      </w:tr>
      <w:tr w:rsidR="00C20406" w:rsidTr="008C3907">
        <w:trPr>
          <w:trHeight w:val="548"/>
        </w:trPr>
        <w:tc>
          <w:tcPr>
            <w:tcW w:w="512" w:type="dxa"/>
            <w:vAlign w:val="center"/>
          </w:tcPr>
          <w:p w:rsidR="00C20406" w:rsidRDefault="00C20406" w:rsidP="008C3907">
            <w:pPr>
              <w:jc w:val="center"/>
              <w:rPr>
                <w:rFonts w:ascii="Times New Roman" w:hAnsi="Times New Roman"/>
                <w:kern w:val="0"/>
                <w:sz w:val="20"/>
                <w:szCs w:val="20"/>
              </w:rPr>
            </w:pPr>
            <w:r>
              <w:rPr>
                <w:rFonts w:ascii="Times New Roman" w:hAnsi="Times New Roman" w:hint="eastAsia"/>
                <w:kern w:val="0"/>
                <w:sz w:val="24"/>
                <w:szCs w:val="24"/>
              </w:rPr>
              <w:t>1</w:t>
            </w:r>
            <w:r>
              <w:rPr>
                <w:rFonts w:ascii="Times New Roman" w:hAnsi="Times New Roman"/>
                <w:kern w:val="0"/>
                <w:sz w:val="24"/>
                <w:szCs w:val="24"/>
              </w:rPr>
              <w:t>0</w:t>
            </w:r>
          </w:p>
        </w:tc>
        <w:tc>
          <w:tcPr>
            <w:tcW w:w="2102"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第十章</w:t>
            </w:r>
            <w:bookmarkStart w:id="92" w:name="_Hlk69292463"/>
            <w:r>
              <w:rPr>
                <w:rFonts w:ascii="Times New Roman" w:hAnsi="Times New Roman" w:hint="eastAsia"/>
                <w:kern w:val="0"/>
                <w:sz w:val="24"/>
                <w:szCs w:val="24"/>
              </w:rPr>
              <w:t xml:space="preserve"> </w:t>
            </w:r>
            <w:r>
              <w:rPr>
                <w:rFonts w:ascii="Times New Roman" w:hAnsi="Times New Roman" w:hint="eastAsia"/>
                <w:kern w:val="0"/>
                <w:sz w:val="24"/>
                <w:szCs w:val="24"/>
              </w:rPr>
              <w:t>燃气的储存</w:t>
            </w:r>
            <w:bookmarkEnd w:id="92"/>
          </w:p>
        </w:tc>
        <w:tc>
          <w:tcPr>
            <w:tcW w:w="727"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2</w:t>
            </w:r>
          </w:p>
        </w:tc>
        <w:tc>
          <w:tcPr>
            <w:tcW w:w="3059"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kern w:val="0"/>
                <w:sz w:val="24"/>
                <w:szCs w:val="24"/>
              </w:rPr>
              <w:t>0.1</w:t>
            </w:r>
            <w:r>
              <w:rPr>
                <w:rFonts w:ascii="Times New Roman" w:hAnsi="Times New Roman" w:hint="eastAsia"/>
                <w:kern w:val="0"/>
                <w:sz w:val="24"/>
                <w:szCs w:val="24"/>
              </w:rPr>
              <w:t>低压储气罐</w:t>
            </w:r>
          </w:p>
          <w:p w:rsidR="00C20406" w:rsidRDefault="00C20406" w:rsidP="008C3907">
            <w:pPr>
              <w:rPr>
                <w:rFonts w:ascii="Times New Roman" w:hAnsi="Times New Roman"/>
                <w:kern w:val="0"/>
                <w:sz w:val="24"/>
                <w:szCs w:val="24"/>
              </w:rPr>
            </w:pPr>
            <w:r>
              <w:rPr>
                <w:rFonts w:ascii="Times New Roman" w:hAnsi="Times New Roman"/>
                <w:kern w:val="0"/>
                <w:sz w:val="24"/>
                <w:szCs w:val="24"/>
              </w:rPr>
              <w:t>10.2</w:t>
            </w:r>
            <w:r>
              <w:rPr>
                <w:rFonts w:ascii="Times New Roman" w:hAnsi="Times New Roman" w:hint="eastAsia"/>
                <w:kern w:val="0"/>
                <w:sz w:val="24"/>
                <w:szCs w:val="24"/>
              </w:rPr>
              <w:t>高压储气罐</w:t>
            </w:r>
          </w:p>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kern w:val="0"/>
                <w:sz w:val="24"/>
                <w:szCs w:val="24"/>
              </w:rPr>
              <w:t>0.3</w:t>
            </w:r>
            <w:r>
              <w:rPr>
                <w:rFonts w:ascii="Times New Roman" w:hAnsi="Times New Roman" w:hint="eastAsia"/>
                <w:kern w:val="0"/>
                <w:sz w:val="24"/>
                <w:szCs w:val="24"/>
              </w:rPr>
              <w:t>燃气储配站</w:t>
            </w:r>
          </w:p>
          <w:p w:rsidR="00C20406" w:rsidRDefault="00C20406" w:rsidP="008C3907">
            <w:pPr>
              <w:rPr>
                <w:rFonts w:ascii="Times New Roman" w:hAnsi="Times New Roman"/>
                <w:kern w:val="0"/>
                <w:sz w:val="24"/>
                <w:szCs w:val="24"/>
              </w:rPr>
            </w:pPr>
            <w:r>
              <w:rPr>
                <w:rFonts w:ascii="Times New Roman" w:hAnsi="Times New Roman"/>
                <w:kern w:val="0"/>
                <w:sz w:val="24"/>
                <w:szCs w:val="24"/>
              </w:rPr>
              <w:t>10.5</w:t>
            </w:r>
            <w:r>
              <w:rPr>
                <w:rFonts w:ascii="Times New Roman" w:hAnsi="Times New Roman" w:hint="eastAsia"/>
                <w:kern w:val="0"/>
                <w:sz w:val="24"/>
                <w:szCs w:val="24"/>
              </w:rPr>
              <w:t>燃气的地下储存</w:t>
            </w:r>
          </w:p>
          <w:p w:rsidR="00C20406" w:rsidRDefault="00C20406" w:rsidP="008C3907">
            <w:pPr>
              <w:rPr>
                <w:rFonts w:ascii="Times New Roman" w:hAnsi="Times New Roman"/>
                <w:kern w:val="0"/>
                <w:sz w:val="24"/>
                <w:szCs w:val="24"/>
              </w:rPr>
            </w:pPr>
            <w:r>
              <w:rPr>
                <w:rFonts w:ascii="Times New Roman" w:hAnsi="Times New Roman"/>
                <w:kern w:val="0"/>
                <w:sz w:val="24"/>
                <w:szCs w:val="24"/>
              </w:rPr>
              <w:lastRenderedPageBreak/>
              <w:t>10.6</w:t>
            </w:r>
            <w:r>
              <w:rPr>
                <w:rFonts w:ascii="Times New Roman" w:hAnsi="Times New Roman" w:hint="eastAsia"/>
                <w:kern w:val="0"/>
                <w:sz w:val="24"/>
                <w:szCs w:val="24"/>
              </w:rPr>
              <w:t>燃气的其他储存方法。</w:t>
            </w:r>
          </w:p>
        </w:tc>
        <w:tc>
          <w:tcPr>
            <w:tcW w:w="2755"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lastRenderedPageBreak/>
              <w:t>掌握高、低压储气罐的工作原理，了解燃气的地下储存及其他储存方法。</w:t>
            </w:r>
          </w:p>
        </w:tc>
      </w:tr>
      <w:tr w:rsidR="00C20406" w:rsidTr="008C3907">
        <w:trPr>
          <w:trHeight w:val="548"/>
        </w:trPr>
        <w:tc>
          <w:tcPr>
            <w:tcW w:w="512" w:type="dxa"/>
            <w:vAlign w:val="center"/>
          </w:tcPr>
          <w:p w:rsidR="00C20406" w:rsidRDefault="00C20406" w:rsidP="008C3907">
            <w:pPr>
              <w:jc w:val="center"/>
              <w:rPr>
                <w:rFonts w:ascii="Times New Roman" w:hAnsi="Times New Roman"/>
                <w:kern w:val="0"/>
                <w:sz w:val="20"/>
                <w:szCs w:val="20"/>
              </w:rPr>
            </w:pPr>
            <w:r>
              <w:rPr>
                <w:rFonts w:ascii="Times New Roman" w:hAnsi="Times New Roman" w:hint="eastAsia"/>
                <w:kern w:val="0"/>
                <w:sz w:val="24"/>
                <w:szCs w:val="24"/>
              </w:rPr>
              <w:lastRenderedPageBreak/>
              <w:t>1</w:t>
            </w:r>
            <w:r>
              <w:rPr>
                <w:rFonts w:ascii="Times New Roman" w:hAnsi="Times New Roman"/>
                <w:kern w:val="0"/>
                <w:sz w:val="24"/>
                <w:szCs w:val="24"/>
              </w:rPr>
              <w:t>1</w:t>
            </w:r>
          </w:p>
        </w:tc>
        <w:tc>
          <w:tcPr>
            <w:tcW w:w="2102"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实验</w:t>
            </w:r>
          </w:p>
        </w:tc>
        <w:tc>
          <w:tcPr>
            <w:tcW w:w="727"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4</w:t>
            </w:r>
          </w:p>
        </w:tc>
        <w:tc>
          <w:tcPr>
            <w:tcW w:w="3059"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）燃气调压器的特征</w:t>
            </w:r>
          </w:p>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）燃气流量计的校核</w:t>
            </w:r>
          </w:p>
        </w:tc>
        <w:tc>
          <w:tcPr>
            <w:tcW w:w="2755"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掌握调压器的工作原理及特征；掌握燃气流量计的校核方法。</w:t>
            </w:r>
          </w:p>
        </w:tc>
      </w:tr>
      <w:tr w:rsidR="00C20406" w:rsidTr="008C3907">
        <w:trPr>
          <w:trHeight w:val="548"/>
        </w:trPr>
        <w:tc>
          <w:tcPr>
            <w:tcW w:w="512" w:type="dxa"/>
            <w:vAlign w:val="center"/>
          </w:tcPr>
          <w:p w:rsidR="00C20406" w:rsidRDefault="00C20406" w:rsidP="008C3907">
            <w:pPr>
              <w:jc w:val="center"/>
              <w:rPr>
                <w:rFonts w:ascii="华文中宋" w:eastAsia="华文中宋" w:hAnsi="华文中宋"/>
                <w:sz w:val="24"/>
                <w:szCs w:val="24"/>
              </w:rPr>
            </w:pPr>
            <w:r>
              <w:rPr>
                <w:rFonts w:ascii="Times New Roman" w:hAnsi="Times New Roman" w:hint="eastAsia"/>
                <w:kern w:val="0"/>
                <w:sz w:val="24"/>
                <w:szCs w:val="24"/>
              </w:rPr>
              <w:t>1</w:t>
            </w:r>
            <w:r>
              <w:rPr>
                <w:rFonts w:ascii="Times New Roman" w:hAnsi="Times New Roman"/>
                <w:kern w:val="0"/>
                <w:sz w:val="24"/>
                <w:szCs w:val="24"/>
              </w:rPr>
              <w:t>2</w:t>
            </w:r>
          </w:p>
        </w:tc>
        <w:tc>
          <w:tcPr>
            <w:tcW w:w="2102"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实践环节（课程设计）</w:t>
            </w:r>
          </w:p>
        </w:tc>
        <w:tc>
          <w:tcPr>
            <w:tcW w:w="727"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8</w:t>
            </w:r>
          </w:p>
        </w:tc>
        <w:tc>
          <w:tcPr>
            <w:tcW w:w="3059"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1</w:t>
            </w:r>
            <w:r>
              <w:rPr>
                <w:rFonts w:ascii="Times New Roman" w:hAnsi="Times New Roman" w:hint="eastAsia"/>
                <w:kern w:val="0"/>
                <w:sz w:val="24"/>
                <w:szCs w:val="24"/>
              </w:rPr>
              <w:t>）用气量的计算；</w:t>
            </w:r>
          </w:p>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）管路水力计算。</w:t>
            </w:r>
          </w:p>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3</w:t>
            </w:r>
            <w:r>
              <w:rPr>
                <w:rFonts w:ascii="Times New Roman" w:hAnsi="Times New Roman" w:hint="eastAsia"/>
                <w:kern w:val="0"/>
                <w:sz w:val="24"/>
                <w:szCs w:val="24"/>
              </w:rPr>
              <w:t>）绘制燃气管道平面布置图（</w:t>
            </w:r>
            <w:r>
              <w:rPr>
                <w:rFonts w:ascii="Times New Roman" w:hAnsi="Times New Roman" w:hint="eastAsia"/>
                <w:kern w:val="0"/>
                <w:sz w:val="24"/>
                <w:szCs w:val="24"/>
              </w:rPr>
              <w:t>2</w:t>
            </w:r>
            <w:r>
              <w:rPr>
                <w:rFonts w:ascii="Times New Roman" w:hAnsi="Times New Roman" w:hint="eastAsia"/>
                <w:kern w:val="0"/>
                <w:sz w:val="24"/>
                <w:szCs w:val="24"/>
              </w:rPr>
              <w:t>号）</w:t>
            </w:r>
            <w:r>
              <w:rPr>
                <w:rFonts w:ascii="Times New Roman" w:hAnsi="Times New Roman" w:hint="eastAsia"/>
                <w:kern w:val="0"/>
                <w:sz w:val="24"/>
                <w:szCs w:val="24"/>
              </w:rPr>
              <w:t>1</w:t>
            </w:r>
            <w:r>
              <w:rPr>
                <w:rFonts w:ascii="Times New Roman" w:hAnsi="Times New Roman" w:hint="eastAsia"/>
                <w:kern w:val="0"/>
                <w:sz w:val="24"/>
                <w:szCs w:val="24"/>
              </w:rPr>
              <w:t>张；燃气管道系统图（</w:t>
            </w:r>
            <w:r>
              <w:rPr>
                <w:rFonts w:ascii="Times New Roman" w:hAnsi="Times New Roman" w:hint="eastAsia"/>
                <w:kern w:val="0"/>
                <w:sz w:val="24"/>
                <w:szCs w:val="24"/>
              </w:rPr>
              <w:t>2</w:t>
            </w:r>
            <w:r>
              <w:rPr>
                <w:rFonts w:ascii="Times New Roman" w:hAnsi="Times New Roman" w:hint="eastAsia"/>
                <w:kern w:val="0"/>
                <w:sz w:val="24"/>
                <w:szCs w:val="24"/>
              </w:rPr>
              <w:t>号）</w:t>
            </w:r>
            <w:r>
              <w:rPr>
                <w:rFonts w:ascii="Times New Roman" w:hAnsi="Times New Roman" w:hint="eastAsia"/>
                <w:kern w:val="0"/>
                <w:sz w:val="24"/>
                <w:szCs w:val="24"/>
              </w:rPr>
              <w:t>1</w:t>
            </w:r>
            <w:r>
              <w:rPr>
                <w:rFonts w:ascii="Times New Roman" w:hAnsi="Times New Roman" w:hint="eastAsia"/>
                <w:kern w:val="0"/>
                <w:sz w:val="24"/>
                <w:szCs w:val="24"/>
              </w:rPr>
              <w:t>张；设计施工说明（</w:t>
            </w:r>
            <w:r>
              <w:rPr>
                <w:rFonts w:ascii="Times New Roman" w:hAnsi="Times New Roman" w:hint="eastAsia"/>
                <w:kern w:val="0"/>
                <w:sz w:val="24"/>
                <w:szCs w:val="24"/>
              </w:rPr>
              <w:t>2</w:t>
            </w:r>
            <w:r>
              <w:rPr>
                <w:rFonts w:ascii="Times New Roman" w:hAnsi="Times New Roman" w:hint="eastAsia"/>
                <w:kern w:val="0"/>
                <w:sz w:val="24"/>
                <w:szCs w:val="24"/>
              </w:rPr>
              <w:t>号）</w:t>
            </w:r>
            <w:r>
              <w:rPr>
                <w:rFonts w:ascii="Times New Roman" w:hAnsi="Times New Roman" w:hint="eastAsia"/>
                <w:kern w:val="0"/>
                <w:sz w:val="24"/>
                <w:szCs w:val="24"/>
              </w:rPr>
              <w:t>1</w:t>
            </w:r>
            <w:r>
              <w:rPr>
                <w:rFonts w:ascii="Times New Roman" w:hAnsi="Times New Roman" w:hint="eastAsia"/>
                <w:kern w:val="0"/>
                <w:sz w:val="24"/>
                <w:szCs w:val="24"/>
              </w:rPr>
              <w:t>张。</w:t>
            </w:r>
          </w:p>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4</w:t>
            </w:r>
            <w:r>
              <w:rPr>
                <w:rFonts w:ascii="Times New Roman" w:hAnsi="Times New Roman" w:hint="eastAsia"/>
                <w:kern w:val="0"/>
                <w:sz w:val="24"/>
                <w:szCs w:val="24"/>
              </w:rPr>
              <w:t>）编制设计计算说明书，内容包括工程概况、设计依据、燃气用量计算、管路水力计算表、水力计算简图等。要求基本公式正确，计算过程完整，文字简练，字迹工整并逐页编号。</w:t>
            </w:r>
          </w:p>
        </w:tc>
        <w:tc>
          <w:tcPr>
            <w:tcW w:w="2755" w:type="dxa"/>
            <w:vAlign w:val="center"/>
          </w:tcPr>
          <w:p w:rsidR="00C20406" w:rsidRDefault="00C20406" w:rsidP="008C3907">
            <w:pPr>
              <w:rPr>
                <w:rFonts w:ascii="Times New Roman" w:hAnsi="Times New Roman"/>
                <w:kern w:val="0"/>
                <w:sz w:val="24"/>
                <w:szCs w:val="24"/>
              </w:rPr>
            </w:pPr>
            <w:r>
              <w:rPr>
                <w:rFonts w:ascii="Times New Roman" w:hAnsi="Times New Roman" w:hint="eastAsia"/>
                <w:kern w:val="0"/>
                <w:sz w:val="24"/>
                <w:szCs w:val="24"/>
              </w:rPr>
              <w:t>掌握小区、建筑单体燃气工程设计的基本内容、基本原则和步骤；初步掌握使用各种规范、手册等技术资料的基本方法和技能。</w:t>
            </w:r>
          </w:p>
        </w:tc>
      </w:tr>
      <w:tr w:rsidR="00C20406" w:rsidTr="008C3907">
        <w:trPr>
          <w:trHeight w:val="548"/>
        </w:trPr>
        <w:tc>
          <w:tcPr>
            <w:tcW w:w="512" w:type="dxa"/>
            <w:vAlign w:val="center"/>
          </w:tcPr>
          <w:p w:rsidR="00C20406" w:rsidRDefault="00C20406" w:rsidP="008C3907">
            <w:pPr>
              <w:jc w:val="center"/>
              <w:rPr>
                <w:rFonts w:ascii="Times New Roman" w:hAnsi="Times New Roman"/>
                <w:kern w:val="0"/>
                <w:sz w:val="24"/>
                <w:szCs w:val="24"/>
              </w:rPr>
            </w:pPr>
            <w:r>
              <w:rPr>
                <w:rFonts w:ascii="Times New Roman" w:hAnsi="Times New Roman" w:hint="eastAsia"/>
                <w:kern w:val="0"/>
                <w:sz w:val="24"/>
                <w:szCs w:val="24"/>
              </w:rPr>
              <w:t>1</w:t>
            </w:r>
            <w:r>
              <w:rPr>
                <w:rFonts w:ascii="Times New Roman" w:hAnsi="Times New Roman"/>
                <w:kern w:val="0"/>
                <w:sz w:val="24"/>
                <w:szCs w:val="24"/>
              </w:rPr>
              <w:t>3</w:t>
            </w:r>
          </w:p>
        </w:tc>
        <w:tc>
          <w:tcPr>
            <w:tcW w:w="2102" w:type="dxa"/>
            <w:vAlign w:val="center"/>
          </w:tcPr>
          <w:p w:rsidR="00C20406" w:rsidRDefault="00C20406" w:rsidP="008C3907">
            <w:pPr>
              <w:jc w:val="center"/>
              <w:rPr>
                <w:rFonts w:ascii="Times New Roman" w:hAnsi="Times New Roman"/>
                <w:kern w:val="0"/>
                <w:sz w:val="24"/>
                <w:szCs w:val="24"/>
              </w:rPr>
            </w:pPr>
            <w:r>
              <w:rPr>
                <w:rFonts w:ascii="Times New Roman" w:hAnsi="Times New Roman" w:hint="eastAsia"/>
                <w:kern w:val="0"/>
                <w:sz w:val="24"/>
                <w:szCs w:val="24"/>
              </w:rPr>
              <w:t>合</w:t>
            </w:r>
            <w:r>
              <w:rPr>
                <w:rFonts w:ascii="Times New Roman" w:hAnsi="Times New Roman" w:hint="eastAsia"/>
                <w:kern w:val="0"/>
                <w:sz w:val="24"/>
                <w:szCs w:val="24"/>
              </w:rPr>
              <w:t xml:space="preserve"> </w:t>
            </w:r>
            <w:r>
              <w:rPr>
                <w:rFonts w:ascii="Times New Roman" w:hAnsi="Times New Roman" w:hint="eastAsia"/>
                <w:kern w:val="0"/>
                <w:sz w:val="24"/>
                <w:szCs w:val="24"/>
              </w:rPr>
              <w:t>计</w:t>
            </w:r>
          </w:p>
        </w:tc>
        <w:tc>
          <w:tcPr>
            <w:tcW w:w="727" w:type="dxa"/>
            <w:vAlign w:val="center"/>
          </w:tcPr>
          <w:p w:rsidR="00C20406" w:rsidRDefault="00C20406" w:rsidP="008C3907">
            <w:pPr>
              <w:ind w:firstLineChars="100" w:firstLine="240"/>
              <w:rPr>
                <w:rFonts w:ascii="Times New Roman" w:hAnsi="Times New Roman"/>
                <w:kern w:val="0"/>
                <w:sz w:val="24"/>
                <w:szCs w:val="24"/>
              </w:rPr>
            </w:pPr>
            <w:r>
              <w:rPr>
                <w:rFonts w:ascii="Times New Roman" w:hAnsi="Times New Roman" w:hint="eastAsia"/>
                <w:kern w:val="0"/>
                <w:sz w:val="24"/>
                <w:szCs w:val="24"/>
              </w:rPr>
              <w:t>4</w:t>
            </w:r>
            <w:r>
              <w:rPr>
                <w:rFonts w:ascii="Times New Roman" w:hAnsi="Times New Roman"/>
                <w:kern w:val="0"/>
                <w:sz w:val="24"/>
                <w:szCs w:val="24"/>
              </w:rPr>
              <w:t>0</w:t>
            </w:r>
          </w:p>
        </w:tc>
        <w:tc>
          <w:tcPr>
            <w:tcW w:w="3059" w:type="dxa"/>
            <w:vAlign w:val="center"/>
          </w:tcPr>
          <w:p w:rsidR="00C20406" w:rsidRDefault="00C20406" w:rsidP="008C3907">
            <w:pPr>
              <w:ind w:firstLineChars="157" w:firstLine="377"/>
              <w:rPr>
                <w:rFonts w:ascii="Times New Roman" w:hAnsi="Times New Roman"/>
                <w:kern w:val="0"/>
                <w:sz w:val="24"/>
                <w:szCs w:val="24"/>
              </w:rPr>
            </w:pPr>
          </w:p>
        </w:tc>
        <w:tc>
          <w:tcPr>
            <w:tcW w:w="2755" w:type="dxa"/>
            <w:vAlign w:val="center"/>
          </w:tcPr>
          <w:p w:rsidR="00C20406" w:rsidRDefault="00C20406" w:rsidP="008C3907">
            <w:pPr>
              <w:rPr>
                <w:rFonts w:ascii="华文中宋" w:eastAsia="华文中宋" w:hAnsi="华文中宋"/>
                <w:szCs w:val="21"/>
              </w:rPr>
            </w:pPr>
          </w:p>
        </w:tc>
      </w:tr>
    </w:tbl>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20406" w:rsidRDefault="00C20406" w:rsidP="00C20406">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1</w:t>
      </w:r>
      <w:r>
        <w:rPr>
          <w:rFonts w:ascii="仿宋_GB2312" w:hAnsi="仿宋_GB2312" w:cs="仿宋_GB2312" w:hint="eastAsia"/>
          <w:sz w:val="28"/>
          <w:szCs w:val="28"/>
        </w:rPr>
        <w:t>. 课程考核方式</w:t>
      </w:r>
    </w:p>
    <w:p w:rsidR="00C20406" w:rsidRDefault="00C20406" w:rsidP="00C20406">
      <w:pPr>
        <w:spacing w:line="360" w:lineRule="auto"/>
        <w:ind w:firstLineChars="300" w:firstLine="840"/>
        <w:rPr>
          <w:rFonts w:ascii="仿宋_GB2312" w:hAnsi="仿宋_GB2312" w:cs="仿宋_GB2312"/>
          <w:sz w:val="28"/>
          <w:szCs w:val="28"/>
        </w:rPr>
      </w:pPr>
      <w:bookmarkStart w:id="93" w:name="_Hlk69155484"/>
      <w:r>
        <w:rPr>
          <w:rFonts w:ascii="仿宋_GB2312" w:hAnsi="仿宋_GB2312" w:cs="仿宋_GB2312" w:hint="eastAsia"/>
          <w:sz w:val="28"/>
          <w:szCs w:val="28"/>
        </w:rPr>
        <w:t>采用平时成绩+期末考试方式确定总评成绩，期末考试采用闭卷方式。</w:t>
      </w:r>
    </w:p>
    <w:p w:rsidR="00C20406" w:rsidRDefault="000A7EE3" w:rsidP="000A7EE3">
      <w:pPr>
        <w:spacing w:line="360" w:lineRule="auto"/>
        <w:ind w:left="980"/>
        <w:rPr>
          <w:rFonts w:ascii="仿宋_GB2312" w:hAnsi="仿宋_GB2312" w:cs="仿宋_GB2312"/>
          <w:sz w:val="28"/>
          <w:szCs w:val="28"/>
        </w:rPr>
      </w:pPr>
      <w:bookmarkStart w:id="94" w:name="_Hlk69155098"/>
      <w:bookmarkEnd w:id="93"/>
      <w:r>
        <w:rPr>
          <w:rFonts w:ascii="仿宋_GB2312" w:hAnsi="仿宋_GB2312" w:cs="仿宋_GB2312" w:hint="eastAsia"/>
          <w:sz w:val="28"/>
          <w:szCs w:val="28"/>
        </w:rPr>
        <w:t>2</w:t>
      </w:r>
      <w:r>
        <w:rPr>
          <w:rFonts w:ascii="仿宋_GB2312" w:hAnsi="仿宋_GB2312" w:cs="仿宋_GB2312"/>
          <w:sz w:val="28"/>
          <w:szCs w:val="28"/>
        </w:rPr>
        <w:t>.</w:t>
      </w:r>
      <w:r w:rsidR="00C20406">
        <w:rPr>
          <w:rFonts w:ascii="仿宋_GB2312" w:hAnsi="仿宋_GB2312" w:cs="仿宋_GB2312" w:hint="eastAsia"/>
          <w:sz w:val="28"/>
          <w:szCs w:val="28"/>
        </w:rPr>
        <w:t>成绩评定</w:t>
      </w:r>
    </w:p>
    <w:bookmarkEnd w:id="94"/>
    <w:p w:rsidR="00C20406" w:rsidRDefault="00C20406" w:rsidP="00C20406">
      <w:pPr>
        <w:spacing w:line="360" w:lineRule="auto"/>
        <w:ind w:left="560" w:firstLineChars="200" w:firstLine="560"/>
        <w:rPr>
          <w:rFonts w:ascii="仿宋_GB2312" w:hAnsi="仿宋_GB2312" w:cs="仿宋_GB2312"/>
          <w:sz w:val="28"/>
          <w:szCs w:val="28"/>
        </w:rPr>
      </w:pPr>
      <w:r>
        <w:rPr>
          <w:rFonts w:ascii="仿宋_GB2312" w:hAnsi="仿宋_GB2312" w:cs="仿宋_GB2312" w:hint="eastAsia"/>
          <w:sz w:val="28"/>
          <w:szCs w:val="28"/>
        </w:rPr>
        <w:t>成绩评定方式为百分制，平时成绩包括作业、讨论、出勤、实验、实践环节等内容，其中作业、讨论、出勤占15%，实验成绩占10%，实践环节（课程设计）占20%。实验成绩由负责实验的老师提供，实践成绩根据设计计算书，图纸质量综合评定。</w:t>
      </w:r>
    </w:p>
    <w:p w:rsidR="00C20406" w:rsidRDefault="00C20406" w:rsidP="00C20406">
      <w:pPr>
        <w:spacing w:line="360" w:lineRule="auto"/>
        <w:ind w:firstLineChars="400" w:firstLine="1120"/>
        <w:rPr>
          <w:rStyle w:val="fontstyle11"/>
          <w:rFonts w:eastAsia="宋体"/>
          <w:color w:val="0000FF"/>
        </w:rPr>
      </w:pPr>
      <w:r>
        <w:rPr>
          <w:rFonts w:ascii="仿宋_GB2312" w:hAnsi="仿宋_GB2312" w:cs="仿宋_GB2312"/>
          <w:sz w:val="28"/>
          <w:szCs w:val="28"/>
        </w:rPr>
        <w:t>课程总成绩=期末成绩55</w:t>
      </w:r>
      <w:r>
        <w:rPr>
          <w:rFonts w:ascii="仿宋_GB2312" w:hAnsi="仿宋_GB2312" w:cs="仿宋_GB2312" w:hint="eastAsia"/>
          <w:sz w:val="28"/>
          <w:szCs w:val="28"/>
        </w:rPr>
        <w:t>%+平时</w:t>
      </w:r>
      <w:r>
        <w:rPr>
          <w:rFonts w:ascii="仿宋_GB2312" w:hAnsi="仿宋_GB2312" w:cs="仿宋_GB2312"/>
          <w:sz w:val="28"/>
          <w:szCs w:val="28"/>
        </w:rPr>
        <w:t>成绩45</w:t>
      </w:r>
      <w:r>
        <w:rPr>
          <w:rFonts w:ascii="仿宋_GB2312" w:hAnsi="仿宋_GB2312" w:cs="仿宋_GB2312" w:hint="eastAsia"/>
          <w:sz w:val="28"/>
          <w:szCs w:val="28"/>
        </w:rPr>
        <w:t>%</w:t>
      </w:r>
      <w:r>
        <w:rPr>
          <w:rFonts w:ascii="仿宋_GB2312" w:hAnsi="仿宋_GB2312" w:cs="仿宋_GB2312"/>
          <w:sz w:val="28"/>
          <w:szCs w:val="28"/>
        </w:rPr>
        <w:t xml:space="preserve"> </w:t>
      </w:r>
      <w:r>
        <w:rPr>
          <w:rStyle w:val="fontstyle11"/>
          <w:rFonts w:ascii="宋体" w:eastAsia="宋体" w:hAnsi="宋体" w:cs="宋体"/>
          <w:color w:val="FF0000"/>
          <w:sz w:val="21"/>
          <w:szCs w:val="21"/>
        </w:rPr>
        <w:t xml:space="preserve"> </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20406" w:rsidRDefault="00C20406" w:rsidP="000A7EE3">
      <w:pPr>
        <w:spacing w:beforeLines="50" w:before="156" w:afterLines="50" w:after="156" w:line="460" w:lineRule="exact"/>
        <w:rPr>
          <w:rFonts w:ascii="仿宋_GB2312" w:hAnsi="仿宋_GB2312" w:cs="仿宋_GB2312"/>
          <w:sz w:val="28"/>
          <w:szCs w:val="28"/>
        </w:rPr>
      </w:pPr>
      <w:r>
        <w:rPr>
          <w:rFonts w:ascii="仿宋_GB2312" w:hAnsi="仿宋_GB2312" w:cs="仿宋_GB2312" w:hint="eastAsia"/>
          <w:sz w:val="28"/>
          <w:szCs w:val="28"/>
        </w:rPr>
        <w:lastRenderedPageBreak/>
        <w:t>1.建议教材</w:t>
      </w:r>
    </w:p>
    <w:p w:rsidR="00C20406" w:rsidRDefault="00C20406" w:rsidP="00C20406">
      <w:pPr>
        <w:spacing w:line="400" w:lineRule="exact"/>
        <w:ind w:firstLineChars="200" w:firstLine="560"/>
        <w:jc w:val="left"/>
        <w:rPr>
          <w:rFonts w:ascii="仿宋_GB2312" w:hAnsi="仿宋_GB2312" w:cs="仿宋_GB2312"/>
          <w:sz w:val="24"/>
          <w:szCs w:val="24"/>
        </w:rPr>
      </w:pPr>
      <w:r>
        <w:rPr>
          <w:rFonts w:ascii="仿宋_GB2312" w:hAnsi="仿宋_GB2312" w:cs="仿宋_GB2312" w:hint="eastAsia"/>
          <w:sz w:val="28"/>
          <w:szCs w:val="28"/>
        </w:rPr>
        <w:t>《燃气输配》（第五版），段长贵主编. 中国建筑工业出版社，2015年。</w:t>
      </w:r>
      <w:r>
        <w:rPr>
          <w:rFonts w:ascii="仿宋_GB2312" w:hAnsi="仿宋_GB2312" w:cs="仿宋_GB2312" w:hint="eastAsia"/>
          <w:sz w:val="24"/>
          <w:szCs w:val="24"/>
        </w:rPr>
        <w:t xml:space="preserve">  </w:t>
      </w:r>
    </w:p>
    <w:p w:rsidR="00C20406" w:rsidRDefault="00C20406" w:rsidP="000A7EE3">
      <w:pPr>
        <w:spacing w:beforeLines="50" w:before="156" w:afterLines="50" w:after="156" w:line="460" w:lineRule="exact"/>
        <w:rPr>
          <w:rFonts w:ascii="仿宋_GB2312" w:hAnsi="仿宋_GB2312" w:cs="仿宋_GB2312"/>
          <w:sz w:val="28"/>
          <w:szCs w:val="28"/>
        </w:rPr>
      </w:pPr>
      <w:r>
        <w:rPr>
          <w:rFonts w:ascii="仿宋_GB2312" w:hAnsi="仿宋_GB2312" w:cs="仿宋_GB2312" w:hint="eastAsia"/>
          <w:sz w:val="28"/>
          <w:szCs w:val="28"/>
        </w:rPr>
        <w:t>2.主要参考资料</w:t>
      </w:r>
    </w:p>
    <w:p w:rsidR="00C20406" w:rsidRDefault="00C20406" w:rsidP="000A7EE3">
      <w:pPr>
        <w:spacing w:beforeLines="50" w:before="156" w:afterLines="50" w:after="156" w:line="360" w:lineRule="auto"/>
        <w:rPr>
          <w:rFonts w:ascii="仿宋_GB2312" w:hAnsi="仿宋_GB2312" w:cs="仿宋_GB2312"/>
          <w:sz w:val="28"/>
          <w:szCs w:val="28"/>
        </w:rPr>
      </w:pPr>
      <w:r>
        <w:rPr>
          <w:rFonts w:ascii="仿宋_GB2312" w:hAnsi="仿宋_GB2312" w:cs="仿宋_GB2312" w:hint="eastAsia"/>
          <w:sz w:val="28"/>
          <w:szCs w:val="28"/>
        </w:rPr>
        <w:t>﹙1﹚《城镇燃气设计规范》</w:t>
      </w:r>
      <w:r>
        <w:rPr>
          <w:rFonts w:ascii="仿宋_GB2312" w:hAnsi="仿宋_GB2312" w:cs="仿宋_GB2312"/>
          <w:sz w:val="28"/>
          <w:szCs w:val="28"/>
        </w:rPr>
        <w:t xml:space="preserve">GB50028-2006, </w:t>
      </w:r>
      <w:r>
        <w:rPr>
          <w:rFonts w:ascii="仿宋_GB2312" w:hAnsi="仿宋_GB2312" w:cs="仿宋_GB2312" w:hint="eastAsia"/>
          <w:sz w:val="28"/>
          <w:szCs w:val="28"/>
        </w:rPr>
        <w:t>中国建筑工业出版社。</w:t>
      </w:r>
    </w:p>
    <w:p w:rsidR="00C20406" w:rsidRDefault="00C20406" w:rsidP="000A7EE3">
      <w:pPr>
        <w:spacing w:beforeLines="50" w:before="156" w:afterLines="50" w:after="156" w:line="360" w:lineRule="auto"/>
        <w:rPr>
          <w:rFonts w:ascii="仿宋_GB2312" w:hAnsi="仿宋_GB2312" w:cs="仿宋_GB2312"/>
          <w:sz w:val="28"/>
          <w:szCs w:val="28"/>
        </w:rPr>
      </w:pPr>
      <w:r>
        <w:rPr>
          <w:rFonts w:ascii="仿宋_GB2312" w:hAnsi="仿宋_GB2312" w:cs="仿宋_GB2312" w:hint="eastAsia"/>
          <w:sz w:val="28"/>
          <w:szCs w:val="28"/>
        </w:rPr>
        <w:t>﹙2﹚《城镇燃气技术规范》</w:t>
      </w:r>
      <w:r>
        <w:rPr>
          <w:rFonts w:ascii="仿宋_GB2312" w:hAnsi="仿宋_GB2312" w:cs="仿宋_GB2312"/>
          <w:sz w:val="28"/>
          <w:szCs w:val="28"/>
        </w:rPr>
        <w:t xml:space="preserve">GB50494-2009, </w:t>
      </w:r>
      <w:r>
        <w:rPr>
          <w:rFonts w:ascii="仿宋_GB2312" w:hAnsi="仿宋_GB2312" w:cs="仿宋_GB2312" w:hint="eastAsia"/>
          <w:sz w:val="28"/>
          <w:szCs w:val="28"/>
        </w:rPr>
        <w:t>中国建筑工业出版社。</w:t>
      </w:r>
    </w:p>
    <w:p w:rsidR="00C20406" w:rsidRDefault="00C20406" w:rsidP="000A7EE3">
      <w:pPr>
        <w:spacing w:beforeLines="50" w:before="156" w:afterLines="50" w:after="156" w:line="360" w:lineRule="auto"/>
        <w:rPr>
          <w:rFonts w:ascii="仿宋_GB2312" w:hAnsi="仿宋_GB2312" w:cs="仿宋_GB2312"/>
          <w:sz w:val="28"/>
          <w:szCs w:val="28"/>
        </w:rPr>
      </w:pPr>
      <w:r>
        <w:rPr>
          <w:rFonts w:ascii="仿宋_GB2312" w:hAnsi="仿宋_GB2312" w:cs="仿宋_GB2312" w:hint="eastAsia"/>
          <w:sz w:val="28"/>
          <w:szCs w:val="28"/>
        </w:rPr>
        <w:t>﹙3﹚《建筑燃气设计手册》袁国汀主编</w:t>
      </w:r>
      <w:r>
        <w:rPr>
          <w:rFonts w:ascii="仿宋_GB2312" w:hAnsi="仿宋_GB2312" w:cs="仿宋_GB2312"/>
          <w:sz w:val="28"/>
          <w:szCs w:val="28"/>
        </w:rPr>
        <w:t xml:space="preserve">. </w:t>
      </w:r>
      <w:r>
        <w:rPr>
          <w:rFonts w:ascii="仿宋_GB2312" w:hAnsi="仿宋_GB2312" w:cs="仿宋_GB2312" w:hint="eastAsia"/>
          <w:sz w:val="28"/>
          <w:szCs w:val="28"/>
        </w:rPr>
        <w:t>中国建筑工业出版社，</w:t>
      </w:r>
      <w:r>
        <w:rPr>
          <w:rFonts w:ascii="仿宋_GB2312" w:hAnsi="仿宋_GB2312" w:cs="仿宋_GB2312"/>
          <w:sz w:val="28"/>
          <w:szCs w:val="28"/>
        </w:rPr>
        <w:t>1999</w:t>
      </w:r>
      <w:r>
        <w:rPr>
          <w:rFonts w:ascii="仿宋_GB2312" w:hAnsi="仿宋_GB2312" w:cs="仿宋_GB2312" w:hint="eastAsia"/>
          <w:sz w:val="28"/>
          <w:szCs w:val="28"/>
        </w:rPr>
        <w:t>年。</w:t>
      </w:r>
    </w:p>
    <w:p w:rsidR="00C20406" w:rsidRDefault="00C20406" w:rsidP="000A7EE3">
      <w:pPr>
        <w:spacing w:beforeLines="50" w:before="156" w:afterLines="50" w:after="156" w:line="560" w:lineRule="exact"/>
        <w:rPr>
          <w:rFonts w:ascii="仿宋_GB2312" w:hAnsi="仿宋_GB2312" w:cs="仿宋_GB2312"/>
          <w:sz w:val="28"/>
          <w:szCs w:val="28"/>
        </w:rPr>
      </w:pPr>
      <w:r>
        <w:rPr>
          <w:rFonts w:ascii="仿宋_GB2312" w:hAnsi="仿宋_GB2312" w:cs="仿宋_GB2312" w:hint="eastAsia"/>
          <w:sz w:val="28"/>
          <w:szCs w:val="28"/>
        </w:rPr>
        <w:t>﹙4﹚《聚乙烯燃气管道工程技术规程》中国建筑技术研究院</w:t>
      </w:r>
      <w:r>
        <w:rPr>
          <w:rFonts w:ascii="仿宋_GB2312" w:hAnsi="仿宋_GB2312" w:cs="仿宋_GB2312"/>
          <w:sz w:val="28"/>
          <w:szCs w:val="28"/>
        </w:rPr>
        <w:t xml:space="preserve">. </w:t>
      </w:r>
      <w:r>
        <w:rPr>
          <w:rFonts w:ascii="仿宋_GB2312" w:hAnsi="仿宋_GB2312" w:cs="仿宋_GB2312" w:hint="eastAsia"/>
          <w:sz w:val="28"/>
          <w:szCs w:val="28"/>
        </w:rPr>
        <w:t>中国建筑工业出版社，</w:t>
      </w:r>
      <w:r>
        <w:rPr>
          <w:rFonts w:ascii="仿宋_GB2312" w:hAnsi="仿宋_GB2312" w:cs="仿宋_GB2312"/>
          <w:sz w:val="28"/>
          <w:szCs w:val="28"/>
        </w:rPr>
        <w:t>CJJ63-2008</w:t>
      </w:r>
      <w:r>
        <w:rPr>
          <w:rFonts w:ascii="仿宋_GB2312" w:hAnsi="仿宋_GB2312" w:cs="仿宋_GB2312" w:hint="eastAsia"/>
          <w:sz w:val="28"/>
          <w:szCs w:val="28"/>
        </w:rPr>
        <w:t>。</w:t>
      </w:r>
    </w:p>
    <w:p w:rsidR="00C20406" w:rsidRDefault="00C20406" w:rsidP="000A7EE3">
      <w:pPr>
        <w:spacing w:beforeLines="50" w:before="156" w:afterLines="50" w:after="156" w:line="560" w:lineRule="exact"/>
        <w:rPr>
          <w:rFonts w:ascii="仿宋_GB2312" w:hAnsi="仿宋_GB2312" w:cs="仿宋_GB2312"/>
          <w:sz w:val="28"/>
          <w:szCs w:val="28"/>
        </w:rPr>
      </w:pPr>
      <w:r>
        <w:rPr>
          <w:rFonts w:ascii="仿宋_GB2312" w:hAnsi="仿宋_GB2312" w:cs="仿宋_GB2312" w:hint="eastAsia"/>
          <w:sz w:val="28"/>
          <w:szCs w:val="28"/>
        </w:rPr>
        <w:t>﹙5﹚《燃气工程制图标准》</w:t>
      </w:r>
      <w:r>
        <w:rPr>
          <w:rFonts w:ascii="仿宋_GB2312" w:hAnsi="仿宋_GB2312" w:cs="仿宋_GB2312"/>
          <w:sz w:val="28"/>
          <w:szCs w:val="28"/>
        </w:rPr>
        <w:t>CJJ/T130—2009</w:t>
      </w:r>
      <w:r>
        <w:rPr>
          <w:rFonts w:ascii="仿宋_GB2312" w:hAnsi="仿宋_GB2312" w:cs="仿宋_GB2312" w:hint="eastAsia"/>
          <w:sz w:val="28"/>
          <w:szCs w:val="28"/>
        </w:rPr>
        <w:t>。</w:t>
      </w:r>
    </w:p>
    <w:p w:rsidR="00C20406" w:rsidRDefault="00C20406" w:rsidP="000A7EE3">
      <w:pPr>
        <w:spacing w:beforeLines="50" w:before="156" w:afterLines="50" w:after="156" w:line="560" w:lineRule="exact"/>
        <w:rPr>
          <w:rFonts w:ascii="仿宋_GB2312" w:hAnsi="仿宋_GB2312" w:cs="仿宋_GB2312"/>
          <w:sz w:val="28"/>
          <w:szCs w:val="28"/>
        </w:rPr>
      </w:pPr>
      <w:r>
        <w:rPr>
          <w:rFonts w:ascii="仿宋_GB2312" w:hAnsi="仿宋_GB2312" w:cs="仿宋_GB2312" w:hint="eastAsia"/>
          <w:sz w:val="28"/>
          <w:szCs w:val="28"/>
        </w:rPr>
        <w:t>﹙6﹚《燃气工程设计施工图集》</w:t>
      </w:r>
      <w:r>
        <w:rPr>
          <w:rFonts w:ascii="仿宋_GB2312" w:hAnsi="仿宋_GB2312" w:cs="仿宋_GB2312"/>
          <w:sz w:val="28"/>
          <w:szCs w:val="28"/>
        </w:rPr>
        <w:t>05R502</w:t>
      </w:r>
      <w:r>
        <w:rPr>
          <w:rFonts w:ascii="仿宋_GB2312" w:hAnsi="仿宋_GB2312" w:cs="仿宋_GB2312" w:hint="eastAsia"/>
          <w:sz w:val="28"/>
          <w:szCs w:val="28"/>
        </w:rPr>
        <w:t>。</w:t>
      </w:r>
    </w:p>
    <w:p w:rsidR="00C20406" w:rsidRDefault="00C20406" w:rsidP="000A7EE3">
      <w:pPr>
        <w:spacing w:beforeLines="50" w:before="156" w:afterLines="50" w:after="156" w:line="560" w:lineRule="exact"/>
        <w:rPr>
          <w:rFonts w:ascii="仿宋_GB2312" w:hAnsi="仿宋_GB2312" w:cs="仿宋_GB2312"/>
          <w:sz w:val="28"/>
          <w:szCs w:val="28"/>
        </w:rPr>
      </w:pPr>
      <w:r>
        <w:rPr>
          <w:rFonts w:ascii="仿宋_GB2312" w:hAnsi="仿宋_GB2312" w:cs="仿宋_GB2312" w:hint="eastAsia"/>
          <w:sz w:val="28"/>
          <w:szCs w:val="28"/>
        </w:rPr>
        <w:t>﹙7﹚《城镇燃气室内工程施工及质量验收规范》中国建筑工业出版社，</w:t>
      </w:r>
      <w:r>
        <w:rPr>
          <w:rFonts w:ascii="仿宋_GB2312" w:hAnsi="仿宋_GB2312" w:cs="仿宋_GB2312"/>
          <w:sz w:val="28"/>
          <w:szCs w:val="28"/>
        </w:rPr>
        <w:t>CJJ94-2009</w:t>
      </w:r>
      <w:r>
        <w:rPr>
          <w:rFonts w:ascii="仿宋_GB2312" w:hAnsi="仿宋_GB2312" w:cs="仿宋_GB2312" w:hint="eastAsia"/>
          <w:sz w:val="28"/>
          <w:szCs w:val="28"/>
        </w:rPr>
        <w:t>。</w:t>
      </w:r>
    </w:p>
    <w:p w:rsidR="00C20406" w:rsidRDefault="00C20406" w:rsidP="000A7EE3">
      <w:pPr>
        <w:spacing w:beforeLines="50" w:before="156" w:afterLines="50" w:after="156" w:line="560" w:lineRule="exact"/>
        <w:rPr>
          <w:rFonts w:ascii="仿宋_GB2312" w:hAnsi="仿宋_GB2312" w:cs="仿宋_GB2312"/>
          <w:sz w:val="28"/>
          <w:szCs w:val="28"/>
        </w:rPr>
      </w:pPr>
      <w:r>
        <w:rPr>
          <w:rFonts w:ascii="仿宋_GB2312" w:hAnsi="仿宋_GB2312" w:cs="仿宋_GB2312" w:hint="eastAsia"/>
          <w:sz w:val="28"/>
          <w:szCs w:val="28"/>
        </w:rPr>
        <w:t>﹙8﹚《煤气规划设计手册》，邓渊主编. 中国建筑工业出版社。</w:t>
      </w:r>
    </w:p>
    <w:p w:rsidR="00C20406" w:rsidRDefault="00C20406" w:rsidP="000A7EE3">
      <w:pPr>
        <w:spacing w:beforeLines="50" w:before="156" w:afterLines="50" w:after="156" w:line="560" w:lineRule="exact"/>
        <w:rPr>
          <w:rFonts w:ascii="黑体" w:eastAsia="黑体" w:hAnsi="黑体" w:hint="eastAsia"/>
          <w:b/>
          <w:sz w:val="28"/>
          <w:szCs w:val="28"/>
        </w:rPr>
      </w:pPr>
      <w:r>
        <w:rPr>
          <w:rFonts w:ascii="黑体" w:eastAsia="黑体" w:hAnsi="黑体" w:hint="eastAsia"/>
          <w:b/>
          <w:sz w:val="28"/>
          <w:szCs w:val="28"/>
        </w:rPr>
        <w:t>七、其他</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大纲撰写人：罗璇</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课程负责人：罗璇</w:t>
      </w:r>
    </w:p>
    <w:p w:rsidR="00C20406" w:rsidRDefault="00C20406" w:rsidP="000A7EE3">
      <w:pPr>
        <w:spacing w:line="360" w:lineRule="auto"/>
        <w:ind w:firstLineChars="1200" w:firstLine="3360"/>
        <w:rPr>
          <w:rFonts w:ascii="仿宋" w:hAnsi="仿宋"/>
          <w:sz w:val="28"/>
          <w:szCs w:val="28"/>
        </w:rPr>
      </w:pPr>
      <w:r>
        <w:rPr>
          <w:rFonts w:ascii="仿宋" w:eastAsia="仿宋" w:hAnsi="仿宋" w:hint="eastAsia"/>
          <w:sz w:val="28"/>
          <w:szCs w:val="28"/>
        </w:rPr>
        <w:t>审核人：</w:t>
      </w:r>
      <w:r>
        <w:rPr>
          <w:rFonts w:ascii="仿宋_GB2312" w:hAnsi="微软雅黑" w:hint="eastAsia"/>
          <w:sz w:val="28"/>
          <w:szCs w:val="28"/>
        </w:rPr>
        <w:t xml:space="preserve"> </w:t>
      </w:r>
    </w:p>
    <w:p w:rsidR="00C20406" w:rsidRDefault="00C20406" w:rsidP="00C20406">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 年 </w:t>
      </w:r>
      <w:r>
        <w:rPr>
          <w:rFonts w:ascii="仿宋" w:eastAsia="仿宋" w:hAnsi="仿宋"/>
          <w:sz w:val="28"/>
          <w:szCs w:val="28"/>
        </w:rPr>
        <w:t>4</w:t>
      </w:r>
      <w:r>
        <w:rPr>
          <w:rFonts w:ascii="仿宋" w:eastAsia="仿宋" w:hAnsi="仿宋" w:hint="eastAsia"/>
          <w:sz w:val="28"/>
          <w:szCs w:val="28"/>
        </w:rPr>
        <w:t xml:space="preserve"> 月</w:t>
      </w:r>
    </w:p>
    <w:p w:rsidR="00C20406" w:rsidRDefault="00C20406" w:rsidP="00C20406"/>
    <w:p w:rsidR="00C20406" w:rsidRDefault="00C20406" w:rsidP="00C2040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《空气污染控制与洁净技术》课程教学大纲</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英文名称：Air Pollution Control and Clean Technology</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课程编码：Z2807</w:t>
      </w:r>
      <w:r>
        <w:rPr>
          <w:rFonts w:ascii="仿宋_GB2312" w:hAnsi="仿宋_GB2312" w:cs="仿宋_GB2312"/>
          <w:bCs/>
          <w:sz w:val="28"/>
          <w:szCs w:val="28"/>
        </w:rPr>
        <w:t>290</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授课语言：双语</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授课方式：线下</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bCs/>
          <w:sz w:val="28"/>
          <w:szCs w:val="28"/>
        </w:rPr>
        <w:t>课程性质</w:t>
      </w:r>
      <w:r>
        <w:rPr>
          <w:rFonts w:ascii="仿宋_GB2312" w:hAnsi="仿宋_GB2312" w:cs="仿宋_GB2312" w:hint="eastAsia"/>
          <w:bCs/>
          <w:sz w:val="28"/>
          <w:szCs w:val="28"/>
        </w:rPr>
        <w:t>：选修</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 xml:space="preserve">学 </w:t>
      </w:r>
      <w:r>
        <w:rPr>
          <w:rFonts w:ascii="仿宋_GB2312" w:hAnsi="仿宋_GB2312" w:cs="仿宋_GB2312"/>
          <w:bCs/>
          <w:sz w:val="28"/>
          <w:szCs w:val="28"/>
        </w:rPr>
        <w:t xml:space="preserve">   </w:t>
      </w:r>
      <w:r>
        <w:rPr>
          <w:rFonts w:ascii="仿宋_GB2312" w:hAnsi="仿宋_GB2312" w:cs="仿宋_GB2312" w:hint="eastAsia"/>
          <w:bCs/>
          <w:sz w:val="28"/>
          <w:szCs w:val="28"/>
        </w:rPr>
        <w:t>分：2.0</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时：32学时（授课</w:t>
      </w:r>
      <w:r>
        <w:rPr>
          <w:rFonts w:ascii="仿宋_GB2312" w:hAnsi="仿宋_GB2312" w:cs="仿宋_GB2312"/>
          <w:bCs/>
          <w:sz w:val="28"/>
          <w:szCs w:val="28"/>
        </w:rPr>
        <w:t>28</w:t>
      </w:r>
      <w:r>
        <w:rPr>
          <w:rFonts w:ascii="仿宋_GB2312" w:hAnsi="仿宋_GB2312" w:cs="仿宋_GB2312" w:hint="eastAsia"/>
          <w:bCs/>
          <w:sz w:val="28"/>
          <w:szCs w:val="28"/>
        </w:rPr>
        <w:t>，实验</w:t>
      </w:r>
      <w:r>
        <w:rPr>
          <w:rFonts w:ascii="仿宋_GB2312" w:hAnsi="仿宋_GB2312" w:cs="仿宋_GB2312"/>
          <w:bCs/>
          <w:sz w:val="28"/>
          <w:szCs w:val="28"/>
        </w:rPr>
        <w:t>4</w:t>
      </w:r>
      <w:r>
        <w:rPr>
          <w:rFonts w:ascii="仿宋_GB2312" w:hAnsi="仿宋_GB2312" w:cs="仿宋_GB2312" w:hint="eastAsia"/>
          <w:bCs/>
          <w:sz w:val="28"/>
          <w:szCs w:val="28"/>
        </w:rPr>
        <w:t>，上机0，课外0）</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先修课程：流体力学，建筑环境学，暖通空调。</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开课院系：建工学院建筑环境与能源应用工程系</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w:t>
      </w:r>
      <w:r>
        <w:rPr>
          <w:rFonts w:ascii="黑体" w:eastAsia="黑体" w:hAnsi="黑体"/>
          <w:b/>
          <w:sz w:val="28"/>
          <w:szCs w:val="28"/>
        </w:rPr>
        <w:t>课程简介</w:t>
      </w:r>
    </w:p>
    <w:p w:rsidR="00C20406" w:rsidRDefault="00C20406" w:rsidP="00C20406">
      <w:pPr>
        <w:spacing w:line="560" w:lineRule="exact"/>
        <w:ind w:firstLineChars="200" w:firstLine="560"/>
        <w:jc w:val="left"/>
        <w:rPr>
          <w:rFonts w:ascii="仿宋_GB2312" w:hAnsi="仿宋_GB2312" w:cs="仿宋_GB2312"/>
          <w:bCs/>
          <w:sz w:val="28"/>
          <w:szCs w:val="28"/>
        </w:rPr>
      </w:pPr>
      <w:r>
        <w:rPr>
          <w:rFonts w:ascii="仿宋_GB2312" w:hAnsi="仿宋_GB2312" w:cs="仿宋_GB2312" w:hint="eastAsia"/>
          <w:bCs/>
          <w:sz w:val="28"/>
          <w:szCs w:val="28"/>
        </w:rPr>
        <w:t>《空气污染控制与洁净技术》是建筑环境与能源应用专业学生的专业发展课程课，</w:t>
      </w:r>
      <w:r>
        <w:rPr>
          <w:rFonts w:ascii="仿宋_GB2312" w:hAnsi="仿宋_GB2312" w:cs="仿宋_GB2312"/>
          <w:bCs/>
          <w:sz w:val="28"/>
          <w:szCs w:val="28"/>
        </w:rPr>
        <w:t>是一门综合性的课程，</w:t>
      </w:r>
      <w:r>
        <w:rPr>
          <w:rFonts w:ascii="仿宋_GB2312" w:hAnsi="仿宋_GB2312" w:cs="仿宋_GB2312" w:hint="eastAsia"/>
          <w:bCs/>
          <w:sz w:val="28"/>
          <w:szCs w:val="28"/>
        </w:rPr>
        <w:t>具有较高的实用性。主要阐述室内空气污染物控制与空气洁净的技术。</w:t>
      </w:r>
      <w:r>
        <w:rPr>
          <w:rFonts w:ascii="仿宋_GB2312" w:hAnsi="仿宋_GB2312" w:cs="仿宋_GB2312"/>
          <w:bCs/>
          <w:sz w:val="28"/>
          <w:szCs w:val="28"/>
        </w:rPr>
        <w:t xml:space="preserve"> </w:t>
      </w:r>
      <w:r>
        <w:rPr>
          <w:rFonts w:ascii="仿宋_GB2312" w:hAnsi="仿宋_GB2312" w:cs="仿宋_GB2312" w:hint="eastAsia"/>
          <w:bCs/>
          <w:sz w:val="28"/>
          <w:szCs w:val="28"/>
        </w:rPr>
        <w:t>课程主要内容为：（1）室内污染物及其传播机制；（2）以通风方式控制污染物扩散的方法和系统；（3）排风中颗粒物和有害气体的各种处理方法的工作原理、设计原则和设备；（4）建筑防排烟系统设计；（5）洁净室设计标准及洁净室空调系统设计基本原理和设备；（6）洁净空调系统施工安装和系统运行管理及认证。</w:t>
      </w:r>
    </w:p>
    <w:p w:rsidR="00C20406" w:rsidRDefault="00C20406" w:rsidP="00C20406">
      <w:pPr>
        <w:spacing w:line="560" w:lineRule="exact"/>
        <w:ind w:firstLineChars="200" w:firstLine="560"/>
        <w:jc w:val="left"/>
        <w:rPr>
          <w:rFonts w:ascii="仿宋_GB2312" w:hAnsi="仿宋_GB2312" w:cs="仿宋_GB2312"/>
          <w:bCs/>
          <w:sz w:val="28"/>
          <w:szCs w:val="28"/>
        </w:rPr>
      </w:pPr>
      <w:r>
        <w:rPr>
          <w:rFonts w:ascii="仿宋_GB2312" w:hAnsi="仿宋_GB2312" w:cs="仿宋_GB2312"/>
          <w:bCs/>
          <w:sz w:val="28"/>
          <w:szCs w:val="28"/>
        </w:rPr>
        <w:lastRenderedPageBreak/>
        <w:t>教学方式</w:t>
      </w:r>
      <w:r>
        <w:rPr>
          <w:rFonts w:ascii="仿宋_GB2312" w:hAnsi="仿宋_GB2312" w:cs="仿宋_GB2312" w:hint="eastAsia"/>
          <w:bCs/>
          <w:sz w:val="28"/>
          <w:szCs w:val="28"/>
        </w:rPr>
        <w:t>采用</w:t>
      </w:r>
      <w:r>
        <w:rPr>
          <w:rFonts w:ascii="仿宋_GB2312" w:hAnsi="仿宋_GB2312" w:cs="仿宋_GB2312"/>
          <w:bCs/>
          <w:sz w:val="28"/>
          <w:szCs w:val="28"/>
        </w:rPr>
        <w:t>PPT</w:t>
      </w:r>
      <w:r>
        <w:rPr>
          <w:rFonts w:ascii="仿宋_GB2312" w:hAnsi="仿宋_GB2312" w:cs="仿宋_GB2312" w:hint="eastAsia"/>
          <w:bCs/>
          <w:sz w:val="28"/>
          <w:szCs w:val="28"/>
        </w:rPr>
        <w:t>、板书、课后思考题和练习题等相结合进行授课。</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C20406" w:rsidRDefault="00C20406" w:rsidP="00C2040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空气污染控制与洁净技术》是建筑环境与能源应用工程专业的专业发展课程。通过这门课程的学习，使学生掌握空气污染物控制及室内空气洁净技术常用的基本理论、计算方法、专业术语；设备的工作原理和选择方法；系统的工作原理和设计原则及方法。熟悉有关设计规范、标准；设备种类和适用范围；系统分类、运行管理和认证。了解有关新技术进展和新设备构成机理。</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 xml:space="preserve">. </w:t>
      </w:r>
      <w:r>
        <w:rPr>
          <w:rFonts w:ascii="仿宋_GB2312" w:hAnsi="仿宋_GB2312" w:cs="仿宋_GB2312" w:hint="eastAsia"/>
          <w:sz w:val="28"/>
          <w:szCs w:val="28"/>
        </w:rPr>
        <w:t>课程基本要求</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2.1课程目标</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本属于工程应用技术范畴，课程以系统化应用为主。注重工程思维和方法的基本训练。通过本课程学习，学生由基础理论过渡到专业技术应用，能掌握和理解空气污染物控制通风系统及室内空气净化空调系统的工作原理和核心问题，培养综合应用相关知识分析和解决问题的系统化思维，达到能够提出基本工程技术方案及具备分析和研究专业复杂工程问题的基础能力和思想方法。</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2.2 课程目标与毕业要求之间的对应关系</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noProof/>
          <w:sz w:val="28"/>
          <w:szCs w:val="28"/>
        </w:rPr>
        <w:drawing>
          <wp:anchor distT="0" distB="0" distL="114300" distR="114300" simplePos="0" relativeHeight="251741184" behindDoc="0" locked="0" layoutInCell="1" allowOverlap="1" wp14:anchorId="4FC0367F" wp14:editId="1BF78AD8">
            <wp:simplePos x="0" y="0"/>
            <wp:positionH relativeFrom="column">
              <wp:posOffset>-619125</wp:posOffset>
            </wp:positionH>
            <wp:positionV relativeFrom="paragraph">
              <wp:posOffset>0</wp:posOffset>
            </wp:positionV>
            <wp:extent cx="7400925" cy="1036955"/>
            <wp:effectExtent l="0" t="0" r="5715" b="1460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1"/>
                    <a:stretch>
                      <a:fillRect/>
                    </a:stretch>
                  </pic:blipFill>
                  <pic:spPr>
                    <a:xfrm>
                      <a:off x="0" y="0"/>
                      <a:ext cx="7400925" cy="1036955"/>
                    </a:xfrm>
                    <a:prstGeom prst="rect">
                      <a:avLst/>
                    </a:prstGeom>
                    <a:noFill/>
                    <a:ln w="9525">
                      <a:noFill/>
                    </a:ln>
                  </pic:spPr>
                </pic:pic>
              </a:graphicData>
            </a:graphic>
          </wp:anchor>
        </w:drawing>
      </w:r>
      <w:r>
        <w:rPr>
          <w:rFonts w:ascii="仿宋_GB2312" w:hAnsi="仿宋_GB2312" w:cs="仿宋_GB2312" w:hint="eastAsia"/>
          <w:sz w:val="28"/>
          <w:szCs w:val="28"/>
        </w:rPr>
        <w:t>3. 课程的重点、难点</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重点：基本理论、计算方法、专业术语；设备和系统的工作原理和</w:t>
      </w:r>
      <w:r>
        <w:rPr>
          <w:rFonts w:ascii="仿宋_GB2312" w:hAnsi="仿宋_GB2312" w:cs="仿宋_GB2312" w:hint="eastAsia"/>
          <w:bCs/>
          <w:sz w:val="28"/>
          <w:szCs w:val="28"/>
        </w:rPr>
        <w:lastRenderedPageBreak/>
        <w:t>选择方法和设计原则。</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难点：系统运行调节、关联关系、系统的技术经济评价。</w:t>
      </w:r>
    </w:p>
    <w:p w:rsidR="00C20406" w:rsidRDefault="00C20406" w:rsidP="00C20406">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结合专业知识，将现阶段我国</w:t>
      </w:r>
      <w:r>
        <w:rPr>
          <w:rFonts w:ascii="仿宋_GB2312" w:hAnsi="仿宋_GB2312" w:cs="仿宋_GB2312"/>
          <w:bCs/>
          <w:sz w:val="28"/>
          <w:szCs w:val="28"/>
        </w:rPr>
        <w:t>设备制造体系的成就、</w:t>
      </w:r>
      <w:r>
        <w:rPr>
          <w:rFonts w:ascii="仿宋_GB2312" w:hAnsi="仿宋_GB2312" w:cs="仿宋_GB2312" w:hint="eastAsia"/>
          <w:bCs/>
          <w:sz w:val="28"/>
          <w:szCs w:val="28"/>
        </w:rPr>
        <w:t>绿色发展理念</w:t>
      </w:r>
      <w:r>
        <w:rPr>
          <w:rFonts w:ascii="仿宋_GB2312" w:hAnsi="仿宋_GB2312" w:cs="仿宋_GB2312"/>
          <w:bCs/>
          <w:sz w:val="28"/>
          <w:szCs w:val="28"/>
        </w:rPr>
        <w:t>、碳达峰</w:t>
      </w:r>
      <w:r>
        <w:rPr>
          <w:rFonts w:ascii="仿宋_GB2312" w:hAnsi="仿宋_GB2312" w:cs="仿宋_GB2312" w:hint="eastAsia"/>
          <w:bCs/>
          <w:sz w:val="28"/>
          <w:szCs w:val="28"/>
        </w:rPr>
        <w:t>碳中和对</w:t>
      </w:r>
      <w:r>
        <w:rPr>
          <w:rFonts w:ascii="仿宋_GB2312" w:hAnsi="仿宋_GB2312" w:cs="仿宋_GB2312"/>
          <w:bCs/>
          <w:sz w:val="28"/>
          <w:szCs w:val="28"/>
        </w:rPr>
        <w:t>我们专业的任务</w:t>
      </w:r>
      <w:r>
        <w:rPr>
          <w:rFonts w:ascii="仿宋_GB2312" w:hAnsi="仿宋_GB2312" w:cs="仿宋_GB2312" w:hint="eastAsia"/>
          <w:bCs/>
          <w:sz w:val="28"/>
          <w:szCs w:val="28"/>
        </w:rPr>
        <w:t>要求，将专业的未来发展等元素融入教学过程，强调创新意识、社会责任感、职业道德和奋斗精神。</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517"/>
        <w:gridCol w:w="724"/>
        <w:gridCol w:w="3641"/>
        <w:gridCol w:w="3188"/>
      </w:tblGrid>
      <w:tr w:rsidR="00C20406" w:rsidTr="008C3907">
        <w:trPr>
          <w:cantSplit/>
          <w:trHeight w:val="661"/>
        </w:trPr>
        <w:tc>
          <w:tcPr>
            <w:tcW w:w="532" w:type="dxa"/>
            <w:vAlign w:val="center"/>
          </w:tcPr>
          <w:p w:rsidR="00C20406" w:rsidRPr="000A7EE3" w:rsidRDefault="00C20406" w:rsidP="008C3907">
            <w:pPr>
              <w:jc w:val="center"/>
              <w:rPr>
                <w:rFonts w:ascii="仿宋_GB2312" w:hAnsi="仿宋_GB2312" w:cs="仿宋_GB2312"/>
                <w:b/>
                <w:bCs/>
                <w:sz w:val="24"/>
                <w:szCs w:val="24"/>
              </w:rPr>
            </w:pPr>
            <w:r w:rsidRPr="000A7EE3">
              <w:rPr>
                <w:rFonts w:ascii="仿宋_GB2312" w:hAnsi="仿宋_GB2312" w:cs="仿宋_GB2312" w:hint="eastAsia"/>
                <w:b/>
                <w:bCs/>
                <w:sz w:val="24"/>
                <w:szCs w:val="24"/>
              </w:rPr>
              <w:t>序号</w:t>
            </w:r>
          </w:p>
        </w:tc>
        <w:tc>
          <w:tcPr>
            <w:tcW w:w="1517" w:type="dxa"/>
            <w:vAlign w:val="center"/>
          </w:tcPr>
          <w:p w:rsidR="00C20406" w:rsidRPr="000A7EE3" w:rsidRDefault="00C20406" w:rsidP="008C3907">
            <w:pPr>
              <w:jc w:val="center"/>
              <w:rPr>
                <w:rFonts w:ascii="仿宋_GB2312" w:hAnsi="仿宋_GB2312" w:cs="仿宋_GB2312"/>
                <w:b/>
                <w:bCs/>
                <w:sz w:val="24"/>
                <w:szCs w:val="24"/>
              </w:rPr>
            </w:pPr>
            <w:r w:rsidRPr="000A7EE3">
              <w:rPr>
                <w:rFonts w:ascii="仿宋_GB2312" w:hAnsi="仿宋_GB2312" w:cs="仿宋_GB2312" w:hint="eastAsia"/>
                <w:b/>
                <w:bCs/>
                <w:sz w:val="24"/>
                <w:szCs w:val="24"/>
              </w:rPr>
              <w:t>章  节</w:t>
            </w:r>
          </w:p>
        </w:tc>
        <w:tc>
          <w:tcPr>
            <w:tcW w:w="724" w:type="dxa"/>
            <w:vAlign w:val="center"/>
          </w:tcPr>
          <w:p w:rsidR="00C20406" w:rsidRPr="000A7EE3" w:rsidRDefault="00C20406" w:rsidP="008C3907">
            <w:pPr>
              <w:jc w:val="center"/>
              <w:rPr>
                <w:rFonts w:ascii="仿宋_GB2312" w:hAnsi="仿宋_GB2312" w:cs="仿宋_GB2312"/>
                <w:b/>
                <w:bCs/>
                <w:sz w:val="24"/>
                <w:szCs w:val="24"/>
              </w:rPr>
            </w:pPr>
          </w:p>
          <w:p w:rsidR="00C20406" w:rsidRPr="000A7EE3" w:rsidRDefault="00C20406" w:rsidP="008C3907">
            <w:pPr>
              <w:jc w:val="center"/>
              <w:rPr>
                <w:rFonts w:ascii="仿宋_GB2312" w:hAnsi="仿宋_GB2312" w:cs="仿宋_GB2312"/>
                <w:b/>
                <w:bCs/>
                <w:sz w:val="24"/>
                <w:szCs w:val="24"/>
              </w:rPr>
            </w:pPr>
            <w:r w:rsidRPr="000A7EE3">
              <w:rPr>
                <w:rFonts w:ascii="仿宋_GB2312" w:hAnsi="仿宋_GB2312" w:cs="仿宋_GB2312" w:hint="eastAsia"/>
                <w:b/>
                <w:bCs/>
                <w:sz w:val="24"/>
                <w:szCs w:val="24"/>
              </w:rPr>
              <w:t>参考</w:t>
            </w:r>
          </w:p>
          <w:p w:rsidR="00C20406" w:rsidRPr="000A7EE3" w:rsidRDefault="00C20406" w:rsidP="008C3907">
            <w:pPr>
              <w:jc w:val="center"/>
              <w:rPr>
                <w:rFonts w:ascii="仿宋_GB2312" w:hAnsi="仿宋_GB2312" w:cs="仿宋_GB2312"/>
                <w:b/>
                <w:bCs/>
                <w:sz w:val="24"/>
                <w:szCs w:val="24"/>
              </w:rPr>
            </w:pPr>
            <w:r w:rsidRPr="000A7EE3">
              <w:rPr>
                <w:rFonts w:ascii="仿宋_GB2312" w:hAnsi="仿宋_GB2312" w:cs="仿宋_GB2312" w:hint="eastAsia"/>
                <w:b/>
                <w:bCs/>
                <w:sz w:val="24"/>
                <w:szCs w:val="24"/>
              </w:rPr>
              <w:t>学时</w:t>
            </w:r>
          </w:p>
          <w:p w:rsidR="00C20406" w:rsidRPr="000A7EE3" w:rsidRDefault="00C20406" w:rsidP="008C3907">
            <w:pPr>
              <w:jc w:val="center"/>
              <w:rPr>
                <w:rFonts w:ascii="仿宋_GB2312" w:hAnsi="仿宋_GB2312" w:cs="仿宋_GB2312"/>
                <w:b/>
                <w:bCs/>
                <w:sz w:val="24"/>
                <w:szCs w:val="24"/>
              </w:rPr>
            </w:pPr>
          </w:p>
        </w:tc>
        <w:tc>
          <w:tcPr>
            <w:tcW w:w="3641" w:type="dxa"/>
            <w:vAlign w:val="center"/>
          </w:tcPr>
          <w:p w:rsidR="00C20406" w:rsidRPr="000A7EE3" w:rsidRDefault="00C20406" w:rsidP="008C3907">
            <w:pPr>
              <w:ind w:firstLineChars="600" w:firstLine="1446"/>
              <w:rPr>
                <w:rFonts w:ascii="仿宋_GB2312" w:hAnsi="仿宋_GB2312" w:cs="仿宋_GB2312"/>
                <w:b/>
                <w:bCs/>
                <w:sz w:val="24"/>
                <w:szCs w:val="24"/>
              </w:rPr>
            </w:pPr>
            <w:r w:rsidRPr="000A7EE3">
              <w:rPr>
                <w:rFonts w:ascii="仿宋_GB2312" w:hAnsi="仿宋_GB2312" w:cs="仿宋_GB2312" w:hint="eastAsia"/>
                <w:b/>
                <w:bCs/>
                <w:sz w:val="24"/>
                <w:szCs w:val="24"/>
              </w:rPr>
              <w:t>教学内容</w:t>
            </w:r>
          </w:p>
        </w:tc>
        <w:tc>
          <w:tcPr>
            <w:tcW w:w="3188" w:type="dxa"/>
            <w:vAlign w:val="center"/>
          </w:tcPr>
          <w:p w:rsidR="00C20406" w:rsidRPr="000A7EE3" w:rsidRDefault="00C20406" w:rsidP="008C3907">
            <w:pPr>
              <w:jc w:val="center"/>
              <w:rPr>
                <w:rFonts w:ascii="仿宋_GB2312" w:hAnsi="仿宋_GB2312" w:cs="仿宋_GB2312"/>
                <w:b/>
                <w:bCs/>
                <w:sz w:val="24"/>
                <w:szCs w:val="24"/>
              </w:rPr>
            </w:pPr>
            <w:r w:rsidRPr="000A7EE3">
              <w:rPr>
                <w:rFonts w:ascii="仿宋_GB2312" w:hAnsi="仿宋_GB2312" w:cs="仿宋_GB2312" w:hint="eastAsia"/>
                <w:b/>
                <w:bCs/>
                <w:sz w:val="24"/>
                <w:szCs w:val="24"/>
              </w:rPr>
              <w:t>基本要求</w:t>
            </w:r>
          </w:p>
        </w:tc>
      </w:tr>
      <w:tr w:rsidR="00C20406" w:rsidTr="008C3907">
        <w:trPr>
          <w:trHeight w:val="1415"/>
        </w:trPr>
        <w:tc>
          <w:tcPr>
            <w:tcW w:w="532"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1</w:t>
            </w:r>
          </w:p>
        </w:tc>
        <w:tc>
          <w:tcPr>
            <w:tcW w:w="1517"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课程简介</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第一章</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工业有害物及防治措施</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2</w:t>
            </w:r>
          </w:p>
        </w:tc>
        <w:tc>
          <w:tcPr>
            <w:tcW w:w="3641"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本课程：空气污染控制与洁净技术</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1.1粉尘、有害气体的来源、危害.</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1.2工业有害物在车间内的传播</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1.3气象条件对人体生理影响</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1.4有害物浓度、卫生标准排放标准</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1.5防治工业有害物的综合措施</w:t>
            </w:r>
          </w:p>
        </w:tc>
        <w:tc>
          <w:tcPr>
            <w:tcW w:w="3188" w:type="dxa"/>
            <w:vAlign w:val="center"/>
          </w:tcPr>
          <w:p w:rsidR="00C20406" w:rsidRPr="000A7EE3" w:rsidRDefault="00C20406" w:rsidP="005F6318">
            <w:pPr>
              <w:numPr>
                <w:ilvl w:val="0"/>
                <w:numId w:val="26"/>
              </w:num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了解有害物的来源传播机理及危害，气象条件对人体生理的影响，卫生排放标准及措施。</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bCs/>
                <w:sz w:val="24"/>
                <w:szCs w:val="24"/>
              </w:rPr>
              <w:t>思政设计：</w:t>
            </w:r>
            <w:r w:rsidRPr="000A7EE3">
              <w:rPr>
                <w:rFonts w:ascii="仿宋_GB2312" w:hAnsi="仿宋_GB2312" w:cs="仿宋_GB2312" w:hint="eastAsia"/>
                <w:bCs/>
                <w:sz w:val="24"/>
                <w:szCs w:val="24"/>
              </w:rPr>
              <w:t>小汤山（2003年非典），埃博拉援外（2014年），火神山，雷神山医院（2020年）的建设案例。</w:t>
            </w:r>
          </w:p>
        </w:tc>
      </w:tr>
      <w:tr w:rsidR="00C20406" w:rsidTr="008C3907">
        <w:trPr>
          <w:trHeight w:val="1415"/>
        </w:trPr>
        <w:tc>
          <w:tcPr>
            <w:tcW w:w="532"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2</w:t>
            </w:r>
          </w:p>
        </w:tc>
        <w:tc>
          <w:tcPr>
            <w:tcW w:w="1517" w:type="dxa"/>
            <w:vAlign w:val="center"/>
          </w:tcPr>
          <w:p w:rsidR="00C20406" w:rsidRPr="000A7EE3" w:rsidRDefault="00C20406" w:rsidP="008C3907">
            <w:pPr>
              <w:spacing w:line="300" w:lineRule="auto"/>
              <w:rPr>
                <w:rFonts w:ascii="仿宋_GB2312" w:hAnsi="仿宋_GB2312" w:cs="仿宋_GB2312"/>
                <w:bCs/>
                <w:sz w:val="24"/>
                <w:szCs w:val="24"/>
              </w:rPr>
            </w:pPr>
            <w:r w:rsidRPr="000A7EE3">
              <w:rPr>
                <w:rFonts w:ascii="仿宋_GB2312" w:hAnsi="仿宋_GB2312" w:cs="仿宋_GB2312" w:hint="eastAsia"/>
                <w:bCs/>
                <w:sz w:val="24"/>
                <w:szCs w:val="24"/>
              </w:rPr>
              <w:t>第二章</w:t>
            </w:r>
          </w:p>
          <w:p w:rsidR="00C20406" w:rsidRPr="000A7EE3" w:rsidRDefault="00C20406" w:rsidP="008C3907">
            <w:pPr>
              <w:spacing w:line="300" w:lineRule="auto"/>
              <w:rPr>
                <w:rFonts w:ascii="仿宋_GB2312" w:hAnsi="仿宋_GB2312" w:cs="仿宋_GB2312"/>
                <w:bCs/>
                <w:sz w:val="24"/>
                <w:szCs w:val="24"/>
              </w:rPr>
            </w:pPr>
            <w:r w:rsidRPr="000A7EE3">
              <w:rPr>
                <w:rFonts w:ascii="仿宋_GB2312" w:hAnsi="仿宋_GB2312" w:cs="仿宋_GB2312" w:hint="eastAsia"/>
                <w:bCs/>
                <w:sz w:val="24"/>
                <w:szCs w:val="24"/>
              </w:rPr>
              <w:t>控制工业有害物的通风方法</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2</w:t>
            </w:r>
          </w:p>
        </w:tc>
        <w:tc>
          <w:tcPr>
            <w:tcW w:w="3641" w:type="dxa"/>
            <w:vAlign w:val="center"/>
          </w:tcPr>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2.1局部通风</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2.2全面通风</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2.3置换通风</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2.4事故通风</w:t>
            </w:r>
          </w:p>
        </w:tc>
        <w:tc>
          <w:tcPr>
            <w:tcW w:w="3188"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1、掌物局部通风系统组成和全面通风的计算方法。</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2、了解置换通风的原理。</w:t>
            </w:r>
          </w:p>
        </w:tc>
      </w:tr>
      <w:tr w:rsidR="00C20406" w:rsidTr="008C3907">
        <w:trPr>
          <w:trHeight w:val="90"/>
        </w:trPr>
        <w:tc>
          <w:tcPr>
            <w:tcW w:w="532" w:type="dxa"/>
            <w:vAlign w:val="center"/>
          </w:tcPr>
          <w:p w:rsidR="00C20406" w:rsidRPr="000A7EE3" w:rsidRDefault="00C20406" w:rsidP="008C3907">
            <w:pPr>
              <w:spacing w:line="360" w:lineRule="auto"/>
              <w:rPr>
                <w:rFonts w:ascii="仿宋_GB2312" w:hAnsi="仿宋_GB2312" w:cs="仿宋_GB2312"/>
                <w:bCs/>
                <w:sz w:val="24"/>
                <w:szCs w:val="24"/>
              </w:rPr>
            </w:pP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3</w:t>
            </w:r>
          </w:p>
        </w:tc>
        <w:tc>
          <w:tcPr>
            <w:tcW w:w="1517"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第三章</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局部排风罩</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2</w:t>
            </w:r>
          </w:p>
        </w:tc>
        <w:tc>
          <w:tcPr>
            <w:tcW w:w="3641" w:type="dxa"/>
            <w:vAlign w:val="center"/>
          </w:tcPr>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3.1概述</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3.2密闭罩</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3.3柜式排风罩</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3.4外部吸气罩</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3.5热源上部接受式排风罩</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3.6槽边排风罩</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3.7大门空气幕</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3.8吹吸式排风罩</w:t>
            </w:r>
          </w:p>
        </w:tc>
        <w:tc>
          <w:tcPr>
            <w:tcW w:w="3188"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1、了解密闭罩分类及运用场合，</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2、掌握局部排风罩的工作原理和设计方法。</w:t>
            </w:r>
          </w:p>
          <w:p w:rsidR="00C20406" w:rsidRPr="000A7EE3" w:rsidRDefault="00C20406" w:rsidP="008C3907">
            <w:pPr>
              <w:spacing w:line="360" w:lineRule="auto"/>
              <w:rPr>
                <w:rFonts w:ascii="仿宋_GB2312" w:hAnsi="仿宋_GB2312" w:cs="仿宋_GB2312"/>
                <w:bCs/>
                <w:sz w:val="24"/>
                <w:szCs w:val="24"/>
              </w:rPr>
            </w:pPr>
          </w:p>
        </w:tc>
      </w:tr>
      <w:tr w:rsidR="00C20406" w:rsidTr="008C3907">
        <w:trPr>
          <w:trHeight w:val="1554"/>
        </w:trPr>
        <w:tc>
          <w:tcPr>
            <w:tcW w:w="532"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lastRenderedPageBreak/>
              <w:t>4</w:t>
            </w:r>
          </w:p>
        </w:tc>
        <w:tc>
          <w:tcPr>
            <w:tcW w:w="1517"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第四章</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通风排气中粉尘净化</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3</w:t>
            </w:r>
          </w:p>
        </w:tc>
        <w:tc>
          <w:tcPr>
            <w:tcW w:w="3641" w:type="dxa"/>
            <w:vAlign w:val="center"/>
          </w:tcPr>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4.1粉尘的特性</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4.2除尘器效率和除尘机理</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4.3重力沉降室和惯性除尘器</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4.4旋风除尘器</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4.5过滤式除尘器</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4.6湿式除尘器</w:t>
            </w:r>
          </w:p>
          <w:p w:rsidR="00C20406" w:rsidRPr="000A7EE3" w:rsidRDefault="00C20406" w:rsidP="008C3907">
            <w:pPr>
              <w:ind w:left="960" w:hangingChars="400" w:hanging="960"/>
              <w:rPr>
                <w:rFonts w:ascii="仿宋_GB2312" w:hAnsi="仿宋_GB2312" w:cs="仿宋_GB2312"/>
                <w:bCs/>
                <w:sz w:val="24"/>
                <w:szCs w:val="24"/>
              </w:rPr>
            </w:pPr>
            <w:r w:rsidRPr="000A7EE3">
              <w:rPr>
                <w:rFonts w:ascii="仿宋_GB2312" w:hAnsi="仿宋_GB2312" w:cs="仿宋_GB2312" w:hint="eastAsia"/>
                <w:bCs/>
                <w:sz w:val="24"/>
                <w:szCs w:val="24"/>
              </w:rPr>
              <w:t>4.7电除尘器</w:t>
            </w:r>
          </w:p>
        </w:tc>
        <w:tc>
          <w:tcPr>
            <w:tcW w:w="3188"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1、掌握粉尘的特性。</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2、掌握除尘机理。</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3、掌握除尘器的选择计算。</w:t>
            </w:r>
          </w:p>
        </w:tc>
      </w:tr>
      <w:tr w:rsidR="00C20406" w:rsidTr="008C3907">
        <w:trPr>
          <w:trHeight w:val="1218"/>
        </w:trPr>
        <w:tc>
          <w:tcPr>
            <w:tcW w:w="532"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5</w:t>
            </w:r>
          </w:p>
        </w:tc>
        <w:tc>
          <w:tcPr>
            <w:tcW w:w="1517" w:type="dxa"/>
            <w:vAlign w:val="center"/>
          </w:tcPr>
          <w:p w:rsidR="00C20406" w:rsidRPr="000A7EE3" w:rsidRDefault="00C20406" w:rsidP="005F6318">
            <w:pPr>
              <w:numPr>
                <w:ilvl w:val="0"/>
                <w:numId w:val="27"/>
              </w:numPr>
              <w:spacing w:line="30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 xml:space="preserve">   </w:t>
            </w:r>
          </w:p>
          <w:p w:rsidR="00C20406" w:rsidRPr="000A7EE3" w:rsidRDefault="00C20406" w:rsidP="008C3907">
            <w:pPr>
              <w:spacing w:line="300" w:lineRule="auto"/>
              <w:rPr>
                <w:rFonts w:ascii="仿宋_GB2312" w:hAnsi="仿宋_GB2312" w:cs="仿宋_GB2312"/>
                <w:bCs/>
                <w:sz w:val="24"/>
                <w:szCs w:val="24"/>
              </w:rPr>
            </w:pPr>
            <w:r w:rsidRPr="000A7EE3">
              <w:rPr>
                <w:rFonts w:ascii="仿宋_GB2312" w:hAnsi="仿宋_GB2312" w:cs="仿宋_GB2312" w:hint="eastAsia"/>
                <w:bCs/>
                <w:sz w:val="24"/>
                <w:szCs w:val="24"/>
              </w:rPr>
              <w:t xml:space="preserve">通风排气中的有害气体净化             </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3</w:t>
            </w:r>
          </w:p>
        </w:tc>
        <w:tc>
          <w:tcPr>
            <w:tcW w:w="3641" w:type="dxa"/>
            <w:vAlign w:val="center"/>
          </w:tcPr>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5.1概述</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5.2吸收过程的理论基础</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5.3吸收过程的机理</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5.4吸收设备</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5.5吸收过程的物料平衡及操作线</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5.6吸收设备的计算</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5.7吸附法</w:t>
            </w:r>
          </w:p>
        </w:tc>
        <w:tc>
          <w:tcPr>
            <w:tcW w:w="3188"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1、掌握吸收的基本原理。</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2、掌握吸收过程的物料平衡及操作线的意义</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3、了解吸附法</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bCs/>
                <w:sz w:val="24"/>
                <w:szCs w:val="24"/>
              </w:rPr>
              <w:t>思政设计：</w:t>
            </w:r>
            <w:r w:rsidRPr="000A7EE3">
              <w:rPr>
                <w:rFonts w:ascii="仿宋_GB2312" w:hAnsi="仿宋_GB2312" w:cs="仿宋_GB2312" w:hint="eastAsia"/>
                <w:bCs/>
                <w:sz w:val="24"/>
                <w:szCs w:val="24"/>
              </w:rPr>
              <w:t>我国在吸收式吸附式系统的成就案例</w:t>
            </w:r>
          </w:p>
        </w:tc>
      </w:tr>
      <w:tr w:rsidR="00C20406" w:rsidTr="008C3907">
        <w:trPr>
          <w:trHeight w:val="1157"/>
        </w:trPr>
        <w:tc>
          <w:tcPr>
            <w:tcW w:w="532"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6</w:t>
            </w:r>
          </w:p>
        </w:tc>
        <w:tc>
          <w:tcPr>
            <w:tcW w:w="1517"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第六章</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自然通风与局部送风</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2</w:t>
            </w:r>
          </w:p>
        </w:tc>
        <w:tc>
          <w:tcPr>
            <w:tcW w:w="3641" w:type="dxa"/>
            <w:vAlign w:val="center"/>
          </w:tcPr>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6.1自然通风的作用原理</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6.2自然通风的计算</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6.3避风天窗及风帽</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6.4自然通风与工艺、建筑设计的配合</w:t>
            </w:r>
          </w:p>
        </w:tc>
        <w:tc>
          <w:tcPr>
            <w:tcW w:w="3188"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1、掌握自然通风的原理及计算方法。</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2、了解与工艺、建筑设计的配合。</w:t>
            </w:r>
          </w:p>
        </w:tc>
      </w:tr>
      <w:tr w:rsidR="00C20406" w:rsidTr="008C3907">
        <w:trPr>
          <w:trHeight w:val="990"/>
        </w:trPr>
        <w:tc>
          <w:tcPr>
            <w:tcW w:w="532"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7</w:t>
            </w:r>
          </w:p>
        </w:tc>
        <w:tc>
          <w:tcPr>
            <w:tcW w:w="1517"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第七章</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建筑防排烟</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3</w:t>
            </w:r>
          </w:p>
        </w:tc>
        <w:tc>
          <w:tcPr>
            <w:tcW w:w="3641" w:type="dxa"/>
            <w:vAlign w:val="center"/>
          </w:tcPr>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7.1基本术语</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7.2建筑排烟</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7.3建筑排烟</w:t>
            </w:r>
          </w:p>
        </w:tc>
        <w:tc>
          <w:tcPr>
            <w:tcW w:w="3188"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1、了解建筑放排烟的有关知识及规范。</w:t>
            </w:r>
          </w:p>
        </w:tc>
      </w:tr>
      <w:tr w:rsidR="00C20406" w:rsidTr="008C3907">
        <w:trPr>
          <w:trHeight w:val="1244"/>
        </w:trPr>
        <w:tc>
          <w:tcPr>
            <w:tcW w:w="532"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8</w:t>
            </w:r>
          </w:p>
        </w:tc>
        <w:tc>
          <w:tcPr>
            <w:tcW w:w="1517"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第八章</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空气洁净技术绪论</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2</w:t>
            </w:r>
          </w:p>
        </w:tc>
        <w:tc>
          <w:tcPr>
            <w:tcW w:w="3641" w:type="dxa"/>
            <w:vAlign w:val="center"/>
          </w:tcPr>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8.1空气洁净的概念</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8.2空气洁净技术的发展历史</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8.3空气洁净技术的应用</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8.4洁净室的特点</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8.5洁净室的建筑特点</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8.6洁净空调与一般空调的区别</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8.7实现洁净的途径</w:t>
            </w:r>
          </w:p>
        </w:tc>
        <w:tc>
          <w:tcPr>
            <w:tcW w:w="3188"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1、了解空气洁净技术的基本概念及发展史。</w:t>
            </w:r>
          </w:p>
        </w:tc>
      </w:tr>
      <w:tr w:rsidR="00C20406" w:rsidTr="008C3907">
        <w:trPr>
          <w:trHeight w:val="1244"/>
        </w:trPr>
        <w:tc>
          <w:tcPr>
            <w:tcW w:w="532"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9</w:t>
            </w:r>
          </w:p>
        </w:tc>
        <w:tc>
          <w:tcPr>
            <w:tcW w:w="1517"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第九章</w:t>
            </w:r>
          </w:p>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污染物与洁净室</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2</w:t>
            </w:r>
          </w:p>
        </w:tc>
        <w:tc>
          <w:tcPr>
            <w:tcW w:w="3641" w:type="dxa"/>
            <w:vAlign w:val="center"/>
          </w:tcPr>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9.1污染物种类与污染源</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9.2污染物的传播途径</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9.3*污染物的浓度表示方法</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9.4洁净室分类</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9.5洁净室标准</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9.6洁净室噪声控制要求</w:t>
            </w:r>
          </w:p>
        </w:tc>
        <w:tc>
          <w:tcPr>
            <w:tcW w:w="3188" w:type="dxa"/>
            <w:vAlign w:val="center"/>
          </w:tcPr>
          <w:p w:rsidR="00C20406" w:rsidRPr="000A7EE3" w:rsidRDefault="00C20406" w:rsidP="005F6318">
            <w:pPr>
              <w:numPr>
                <w:ilvl w:val="0"/>
                <w:numId w:val="28"/>
              </w:num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了解污染源及传播途径；</w:t>
            </w:r>
          </w:p>
          <w:p w:rsidR="00C20406" w:rsidRPr="000A7EE3" w:rsidRDefault="00C20406" w:rsidP="005F6318">
            <w:pPr>
              <w:numPr>
                <w:ilvl w:val="0"/>
                <w:numId w:val="28"/>
              </w:num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掌物洁净室标准</w:t>
            </w:r>
          </w:p>
        </w:tc>
      </w:tr>
      <w:tr w:rsidR="00C20406" w:rsidTr="008C3907">
        <w:trPr>
          <w:trHeight w:val="1244"/>
        </w:trPr>
        <w:tc>
          <w:tcPr>
            <w:tcW w:w="532"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10</w:t>
            </w:r>
          </w:p>
        </w:tc>
        <w:tc>
          <w:tcPr>
            <w:tcW w:w="1517" w:type="dxa"/>
            <w:vAlign w:val="center"/>
          </w:tcPr>
          <w:p w:rsidR="00C20406" w:rsidRPr="000A7EE3" w:rsidRDefault="00C20406" w:rsidP="008C3907">
            <w:pPr>
              <w:spacing w:line="30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第十章</w:t>
            </w:r>
          </w:p>
          <w:p w:rsidR="00C20406" w:rsidRPr="000A7EE3" w:rsidRDefault="00C20406" w:rsidP="008C3907">
            <w:pPr>
              <w:spacing w:line="30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空气洁净设备及其应用</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3</w:t>
            </w:r>
          </w:p>
        </w:tc>
        <w:tc>
          <w:tcPr>
            <w:tcW w:w="3641" w:type="dxa"/>
            <w:vAlign w:val="center"/>
          </w:tcPr>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10.1空气过滤器</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10.2过滤器送风口及风机过滤器单元</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10.3洁净工作台</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10.4自净器</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10.5洁净层流罩</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lastRenderedPageBreak/>
              <w:t>10.6净化单元</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10.7装配式洁净室</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10.8空气吹淋室</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10.9传递窗</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10.10余压阀</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10.11洁净空调机组</w:t>
            </w:r>
          </w:p>
        </w:tc>
        <w:tc>
          <w:tcPr>
            <w:tcW w:w="3188" w:type="dxa"/>
            <w:vAlign w:val="center"/>
          </w:tcPr>
          <w:p w:rsidR="00C20406" w:rsidRPr="000A7EE3" w:rsidRDefault="00C20406" w:rsidP="005F6318">
            <w:pPr>
              <w:numPr>
                <w:ilvl w:val="0"/>
                <w:numId w:val="29"/>
              </w:num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lastRenderedPageBreak/>
              <w:t>了解各类洁净设备的构造特点及运用场合</w:t>
            </w:r>
          </w:p>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bCs/>
                <w:sz w:val="24"/>
                <w:szCs w:val="24"/>
              </w:rPr>
              <w:t>思政设计：</w:t>
            </w:r>
            <w:r w:rsidRPr="000A7EE3">
              <w:rPr>
                <w:rFonts w:ascii="仿宋_GB2312" w:hAnsi="仿宋_GB2312" w:cs="仿宋_GB2312" w:hint="eastAsia"/>
                <w:bCs/>
                <w:sz w:val="24"/>
                <w:szCs w:val="24"/>
              </w:rPr>
              <w:t>我国在洁净技术材料及设备方面的成就。</w:t>
            </w:r>
          </w:p>
        </w:tc>
      </w:tr>
      <w:tr w:rsidR="00C20406" w:rsidTr="008C3907">
        <w:trPr>
          <w:trHeight w:val="1244"/>
        </w:trPr>
        <w:tc>
          <w:tcPr>
            <w:tcW w:w="532"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11</w:t>
            </w:r>
          </w:p>
        </w:tc>
        <w:tc>
          <w:tcPr>
            <w:tcW w:w="1517"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第十一章</w:t>
            </w:r>
          </w:p>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空气洁净原理</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3</w:t>
            </w:r>
          </w:p>
        </w:tc>
        <w:tc>
          <w:tcPr>
            <w:tcW w:w="3641" w:type="dxa"/>
            <w:vAlign w:val="center"/>
          </w:tcPr>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11.1洁净室气流组织</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11.2单向流洁净室气流组织及主要形式</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11.3非单向流洁净室气流组织及主要形式</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11.5洁净室压差控制</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11.6洁净室缓冲与隔离</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11.7洁净室流场数值模拟</w:t>
            </w:r>
          </w:p>
        </w:tc>
        <w:tc>
          <w:tcPr>
            <w:tcW w:w="3188"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1、掌握洁净室气流组织及洁净原理</w:t>
            </w:r>
          </w:p>
        </w:tc>
      </w:tr>
      <w:tr w:rsidR="00C20406" w:rsidTr="008C3907">
        <w:trPr>
          <w:trHeight w:val="1244"/>
        </w:trPr>
        <w:tc>
          <w:tcPr>
            <w:tcW w:w="532"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12</w:t>
            </w:r>
          </w:p>
        </w:tc>
        <w:tc>
          <w:tcPr>
            <w:tcW w:w="1517"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第十二章</w:t>
            </w:r>
          </w:p>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空气洁净原理</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2</w:t>
            </w:r>
          </w:p>
        </w:tc>
        <w:tc>
          <w:tcPr>
            <w:tcW w:w="3641" w:type="dxa"/>
            <w:vAlign w:val="center"/>
          </w:tcPr>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12.1洁净空调系统设计特点</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12.2洁净空调系统的分类</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12.3洁净室设计一般步骤</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12.4洁净室负荷计算</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12.5洁净室新风量、送排风量计算</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12.6净化空调设备及系统的选择</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12.7洁净室净化系统设计</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12.8电子行业FFU设计</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12.9值班风机系统及消毒灭菌系统设计</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12.10人员净化设计</w:t>
            </w:r>
          </w:p>
        </w:tc>
        <w:tc>
          <w:tcPr>
            <w:tcW w:w="3188"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1、掌握洁净室净化系统设计的原理及方法；</w:t>
            </w:r>
          </w:p>
        </w:tc>
      </w:tr>
      <w:tr w:rsidR="00C20406" w:rsidTr="008C3907">
        <w:trPr>
          <w:trHeight w:val="1244"/>
        </w:trPr>
        <w:tc>
          <w:tcPr>
            <w:tcW w:w="532"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13</w:t>
            </w:r>
          </w:p>
        </w:tc>
        <w:tc>
          <w:tcPr>
            <w:tcW w:w="1517"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第十三~</w:t>
            </w:r>
          </w:p>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十六章.</w:t>
            </w:r>
          </w:p>
        </w:tc>
        <w:tc>
          <w:tcPr>
            <w:tcW w:w="724" w:type="dxa"/>
            <w:vAlign w:val="center"/>
          </w:tcPr>
          <w:p w:rsidR="00C20406" w:rsidRPr="000A7EE3" w:rsidRDefault="00C20406" w:rsidP="008C3907">
            <w:pPr>
              <w:spacing w:line="360" w:lineRule="auto"/>
              <w:jc w:val="center"/>
              <w:rPr>
                <w:rFonts w:ascii="仿宋_GB2312" w:hAnsi="仿宋_GB2312" w:cs="仿宋_GB2312"/>
                <w:bCs/>
                <w:sz w:val="24"/>
                <w:szCs w:val="24"/>
              </w:rPr>
            </w:pPr>
            <w:r w:rsidRPr="000A7EE3">
              <w:rPr>
                <w:rFonts w:ascii="仿宋_GB2312" w:hAnsi="仿宋_GB2312" w:cs="仿宋_GB2312" w:hint="eastAsia"/>
                <w:bCs/>
                <w:sz w:val="24"/>
                <w:szCs w:val="24"/>
              </w:rPr>
              <w:t>1</w:t>
            </w:r>
          </w:p>
        </w:tc>
        <w:tc>
          <w:tcPr>
            <w:tcW w:w="3641" w:type="dxa"/>
            <w:vAlign w:val="center"/>
          </w:tcPr>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13.空气洁净系统设计实例</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14.空气洁净系统安装</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15.空气洁净室的检测与认证</w:t>
            </w:r>
          </w:p>
          <w:p w:rsidR="00C20406" w:rsidRPr="000A7EE3" w:rsidRDefault="00C20406" w:rsidP="008C3907">
            <w:pPr>
              <w:rPr>
                <w:rFonts w:ascii="仿宋_GB2312" w:hAnsi="仿宋_GB2312" w:cs="仿宋_GB2312"/>
                <w:bCs/>
                <w:sz w:val="24"/>
                <w:szCs w:val="24"/>
              </w:rPr>
            </w:pPr>
            <w:r w:rsidRPr="000A7EE3">
              <w:rPr>
                <w:rFonts w:ascii="仿宋_GB2312" w:hAnsi="仿宋_GB2312" w:cs="仿宋_GB2312" w:hint="eastAsia"/>
                <w:bCs/>
                <w:sz w:val="24"/>
                <w:szCs w:val="24"/>
              </w:rPr>
              <w:t>16.空气洁净系统运行管理</w:t>
            </w:r>
          </w:p>
        </w:tc>
        <w:tc>
          <w:tcPr>
            <w:tcW w:w="3188" w:type="dxa"/>
            <w:vAlign w:val="center"/>
          </w:tcPr>
          <w:p w:rsidR="00C20406" w:rsidRPr="000A7EE3" w:rsidRDefault="00C20406" w:rsidP="008C3907">
            <w:pPr>
              <w:spacing w:line="360" w:lineRule="auto"/>
              <w:rPr>
                <w:rFonts w:ascii="仿宋_GB2312" w:hAnsi="仿宋_GB2312" w:cs="仿宋_GB2312"/>
                <w:bCs/>
                <w:sz w:val="24"/>
                <w:szCs w:val="24"/>
              </w:rPr>
            </w:pPr>
            <w:r w:rsidRPr="000A7EE3">
              <w:rPr>
                <w:rFonts w:ascii="仿宋_GB2312" w:hAnsi="仿宋_GB2312" w:cs="仿宋_GB2312" w:hint="eastAsia"/>
                <w:bCs/>
                <w:sz w:val="24"/>
                <w:szCs w:val="24"/>
              </w:rPr>
              <w:t>1、了解净化空调系统实例，安装，洁净室的检测与认证及运行管理</w:t>
            </w:r>
          </w:p>
        </w:tc>
      </w:tr>
      <w:tr w:rsidR="00C20406" w:rsidTr="008C3907">
        <w:trPr>
          <w:trHeight w:val="1244"/>
        </w:trPr>
        <w:tc>
          <w:tcPr>
            <w:tcW w:w="532" w:type="dxa"/>
            <w:vAlign w:val="center"/>
          </w:tcPr>
          <w:p w:rsidR="00C20406" w:rsidRPr="000A7EE3" w:rsidRDefault="00C20406" w:rsidP="008C3907">
            <w:pPr>
              <w:jc w:val="center"/>
              <w:rPr>
                <w:rFonts w:ascii="仿宋_GB2312" w:hAnsi="仿宋_GB2312" w:cs="仿宋_GB2312"/>
                <w:bCs/>
                <w:sz w:val="24"/>
                <w:szCs w:val="24"/>
              </w:rPr>
            </w:pPr>
          </w:p>
        </w:tc>
        <w:tc>
          <w:tcPr>
            <w:tcW w:w="1517" w:type="dxa"/>
            <w:vAlign w:val="center"/>
          </w:tcPr>
          <w:p w:rsidR="00C20406" w:rsidRPr="000A7EE3" w:rsidRDefault="00C20406" w:rsidP="008C3907">
            <w:pPr>
              <w:jc w:val="center"/>
              <w:rPr>
                <w:rFonts w:ascii="仿宋_GB2312" w:hAnsi="仿宋_GB2312" w:cs="仿宋_GB2312"/>
                <w:bCs/>
                <w:sz w:val="24"/>
                <w:szCs w:val="24"/>
              </w:rPr>
            </w:pPr>
            <w:r w:rsidRPr="000A7EE3">
              <w:rPr>
                <w:rFonts w:ascii="仿宋_GB2312" w:hAnsi="仿宋_GB2312" w:cs="仿宋_GB2312" w:hint="eastAsia"/>
                <w:bCs/>
                <w:sz w:val="24"/>
                <w:szCs w:val="24"/>
              </w:rPr>
              <w:t>小计</w:t>
            </w:r>
          </w:p>
        </w:tc>
        <w:tc>
          <w:tcPr>
            <w:tcW w:w="724" w:type="dxa"/>
            <w:vAlign w:val="center"/>
          </w:tcPr>
          <w:p w:rsidR="00C20406" w:rsidRPr="000A7EE3" w:rsidRDefault="00C20406" w:rsidP="008C3907">
            <w:pPr>
              <w:jc w:val="center"/>
              <w:rPr>
                <w:rFonts w:ascii="仿宋_GB2312" w:hAnsi="仿宋_GB2312" w:cs="仿宋_GB2312"/>
                <w:bCs/>
                <w:sz w:val="24"/>
                <w:szCs w:val="24"/>
              </w:rPr>
            </w:pPr>
            <w:r w:rsidRPr="000A7EE3">
              <w:rPr>
                <w:rFonts w:ascii="仿宋_GB2312" w:hAnsi="仿宋_GB2312" w:cs="仿宋_GB2312" w:hint="eastAsia"/>
                <w:bCs/>
                <w:sz w:val="24"/>
                <w:szCs w:val="24"/>
              </w:rPr>
              <w:t>30</w:t>
            </w:r>
          </w:p>
        </w:tc>
        <w:tc>
          <w:tcPr>
            <w:tcW w:w="3641" w:type="dxa"/>
            <w:vAlign w:val="center"/>
          </w:tcPr>
          <w:p w:rsidR="00C20406" w:rsidRPr="000A7EE3" w:rsidRDefault="00C20406" w:rsidP="008C3907">
            <w:pPr>
              <w:rPr>
                <w:rFonts w:ascii="仿宋_GB2312" w:hAnsi="仿宋_GB2312" w:cs="仿宋_GB2312"/>
                <w:bCs/>
                <w:sz w:val="24"/>
                <w:szCs w:val="24"/>
              </w:rPr>
            </w:pPr>
          </w:p>
        </w:tc>
        <w:tc>
          <w:tcPr>
            <w:tcW w:w="3188" w:type="dxa"/>
            <w:vAlign w:val="center"/>
          </w:tcPr>
          <w:p w:rsidR="00C20406" w:rsidRPr="000A7EE3" w:rsidRDefault="00C20406" w:rsidP="008C3907">
            <w:pPr>
              <w:rPr>
                <w:rFonts w:ascii="仿宋_GB2312" w:hAnsi="仿宋_GB2312" w:cs="仿宋_GB2312"/>
                <w:bCs/>
                <w:sz w:val="24"/>
                <w:szCs w:val="24"/>
              </w:rPr>
            </w:pPr>
          </w:p>
        </w:tc>
      </w:tr>
    </w:tbl>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五、课内实验（上机）名称及基本要求</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057"/>
        <w:gridCol w:w="3896"/>
        <w:gridCol w:w="4001"/>
      </w:tblGrid>
      <w:tr w:rsidR="00C20406" w:rsidTr="008C3907">
        <w:trPr>
          <w:cantSplit/>
          <w:trHeight w:val="672"/>
        </w:trPr>
        <w:tc>
          <w:tcPr>
            <w:tcW w:w="900" w:type="dxa"/>
            <w:vAlign w:val="center"/>
          </w:tcPr>
          <w:p w:rsidR="00C20406" w:rsidRPr="000A7EE3" w:rsidRDefault="00C20406" w:rsidP="008C3907">
            <w:pPr>
              <w:jc w:val="center"/>
              <w:rPr>
                <w:rFonts w:ascii="仿宋_GB2312" w:hAnsi="仿宋_GB2312" w:cs="仿宋_GB2312"/>
                <w:b/>
                <w:bCs/>
                <w:sz w:val="24"/>
                <w:szCs w:val="24"/>
              </w:rPr>
            </w:pPr>
            <w:r w:rsidRPr="000A7EE3">
              <w:rPr>
                <w:rFonts w:ascii="仿宋_GB2312" w:hAnsi="仿宋_GB2312" w:cs="仿宋_GB2312" w:hint="eastAsia"/>
                <w:b/>
                <w:bCs/>
                <w:sz w:val="24"/>
                <w:szCs w:val="24"/>
              </w:rPr>
              <w:t>序号</w:t>
            </w:r>
          </w:p>
        </w:tc>
        <w:tc>
          <w:tcPr>
            <w:tcW w:w="1057" w:type="dxa"/>
            <w:vAlign w:val="center"/>
          </w:tcPr>
          <w:p w:rsidR="00C20406" w:rsidRPr="000A7EE3" w:rsidRDefault="00C20406" w:rsidP="008C3907">
            <w:pPr>
              <w:jc w:val="center"/>
              <w:rPr>
                <w:rFonts w:ascii="仿宋_GB2312" w:hAnsi="仿宋_GB2312" w:cs="仿宋_GB2312"/>
                <w:b/>
                <w:bCs/>
                <w:sz w:val="24"/>
                <w:szCs w:val="24"/>
              </w:rPr>
            </w:pPr>
          </w:p>
          <w:p w:rsidR="00C20406" w:rsidRPr="000A7EE3" w:rsidRDefault="00C20406" w:rsidP="008C3907">
            <w:pPr>
              <w:jc w:val="center"/>
              <w:rPr>
                <w:rFonts w:ascii="仿宋_GB2312" w:hAnsi="仿宋_GB2312" w:cs="仿宋_GB2312"/>
                <w:b/>
                <w:bCs/>
                <w:sz w:val="24"/>
                <w:szCs w:val="24"/>
              </w:rPr>
            </w:pPr>
            <w:r w:rsidRPr="000A7EE3">
              <w:rPr>
                <w:rFonts w:ascii="仿宋_GB2312" w:hAnsi="仿宋_GB2312" w:cs="仿宋_GB2312" w:hint="eastAsia"/>
                <w:b/>
                <w:bCs/>
                <w:sz w:val="24"/>
                <w:szCs w:val="24"/>
              </w:rPr>
              <w:t>参考学时</w:t>
            </w:r>
          </w:p>
          <w:p w:rsidR="00C20406" w:rsidRPr="000A7EE3" w:rsidRDefault="00C20406" w:rsidP="008C3907">
            <w:pPr>
              <w:jc w:val="center"/>
              <w:rPr>
                <w:rFonts w:ascii="仿宋_GB2312" w:hAnsi="仿宋_GB2312" w:cs="仿宋_GB2312"/>
                <w:b/>
                <w:bCs/>
                <w:sz w:val="24"/>
                <w:szCs w:val="24"/>
              </w:rPr>
            </w:pPr>
          </w:p>
        </w:tc>
        <w:tc>
          <w:tcPr>
            <w:tcW w:w="3896" w:type="dxa"/>
            <w:vAlign w:val="center"/>
          </w:tcPr>
          <w:p w:rsidR="00C20406" w:rsidRPr="000A7EE3" w:rsidRDefault="00C20406" w:rsidP="008C3907">
            <w:pPr>
              <w:jc w:val="center"/>
              <w:rPr>
                <w:rFonts w:ascii="仿宋_GB2312" w:hAnsi="仿宋_GB2312" w:cs="仿宋_GB2312"/>
                <w:b/>
                <w:bCs/>
                <w:sz w:val="24"/>
                <w:szCs w:val="24"/>
              </w:rPr>
            </w:pPr>
            <w:r w:rsidRPr="000A7EE3">
              <w:rPr>
                <w:rFonts w:ascii="仿宋_GB2312" w:hAnsi="仿宋_GB2312" w:cs="仿宋_GB2312" w:hint="eastAsia"/>
                <w:b/>
                <w:bCs/>
                <w:sz w:val="24"/>
                <w:szCs w:val="24"/>
              </w:rPr>
              <w:t>实验（上机）名称</w:t>
            </w:r>
          </w:p>
        </w:tc>
        <w:tc>
          <w:tcPr>
            <w:tcW w:w="4001" w:type="dxa"/>
            <w:vAlign w:val="center"/>
          </w:tcPr>
          <w:p w:rsidR="00C20406" w:rsidRPr="000A7EE3" w:rsidRDefault="00C20406" w:rsidP="008C3907">
            <w:pPr>
              <w:jc w:val="center"/>
              <w:rPr>
                <w:rFonts w:ascii="仿宋_GB2312" w:hAnsi="仿宋_GB2312" w:cs="仿宋_GB2312"/>
                <w:b/>
                <w:bCs/>
                <w:sz w:val="24"/>
                <w:szCs w:val="24"/>
              </w:rPr>
            </w:pPr>
            <w:r w:rsidRPr="000A7EE3">
              <w:rPr>
                <w:rFonts w:ascii="仿宋_GB2312" w:hAnsi="仿宋_GB2312" w:cs="仿宋_GB2312" w:hint="eastAsia"/>
                <w:b/>
                <w:bCs/>
                <w:sz w:val="24"/>
                <w:szCs w:val="24"/>
              </w:rPr>
              <w:t>基本要求</w:t>
            </w:r>
          </w:p>
        </w:tc>
      </w:tr>
      <w:tr w:rsidR="00C20406" w:rsidTr="008C3907">
        <w:trPr>
          <w:trHeight w:val="435"/>
        </w:trPr>
        <w:tc>
          <w:tcPr>
            <w:tcW w:w="900" w:type="dxa"/>
            <w:vAlign w:val="center"/>
          </w:tcPr>
          <w:p w:rsidR="00C20406" w:rsidRPr="000A7EE3" w:rsidRDefault="00C20406" w:rsidP="000A7EE3">
            <w:pPr>
              <w:jc w:val="center"/>
              <w:rPr>
                <w:rFonts w:ascii="仿宋_GB2312" w:hAnsi="仿宋_GB2312" w:cs="仿宋_GB2312"/>
                <w:bCs/>
                <w:sz w:val="24"/>
                <w:szCs w:val="24"/>
              </w:rPr>
            </w:pPr>
            <w:r w:rsidRPr="000A7EE3">
              <w:rPr>
                <w:rFonts w:ascii="仿宋_GB2312" w:hAnsi="仿宋_GB2312" w:cs="仿宋_GB2312" w:hint="eastAsia"/>
                <w:bCs/>
                <w:sz w:val="24"/>
                <w:szCs w:val="24"/>
              </w:rPr>
              <w:t>1</w:t>
            </w:r>
          </w:p>
        </w:tc>
        <w:tc>
          <w:tcPr>
            <w:tcW w:w="1057" w:type="dxa"/>
            <w:vAlign w:val="center"/>
          </w:tcPr>
          <w:p w:rsidR="00C20406" w:rsidRPr="000A7EE3" w:rsidRDefault="00C20406" w:rsidP="000A7EE3">
            <w:pPr>
              <w:jc w:val="center"/>
              <w:rPr>
                <w:rFonts w:ascii="仿宋_GB2312" w:hAnsi="仿宋_GB2312" w:cs="仿宋_GB2312"/>
                <w:bCs/>
                <w:sz w:val="24"/>
                <w:szCs w:val="24"/>
              </w:rPr>
            </w:pPr>
            <w:r w:rsidRPr="000A7EE3">
              <w:rPr>
                <w:rFonts w:ascii="仿宋_GB2312" w:hAnsi="仿宋_GB2312" w:cs="仿宋_GB2312" w:hint="eastAsia"/>
                <w:bCs/>
                <w:sz w:val="24"/>
                <w:szCs w:val="24"/>
              </w:rPr>
              <w:t>2</w:t>
            </w:r>
          </w:p>
        </w:tc>
        <w:tc>
          <w:tcPr>
            <w:tcW w:w="3896" w:type="dxa"/>
            <w:vAlign w:val="center"/>
          </w:tcPr>
          <w:p w:rsidR="00C20406" w:rsidRPr="000A7EE3" w:rsidRDefault="00C20406" w:rsidP="000A7EE3">
            <w:pPr>
              <w:rPr>
                <w:rFonts w:ascii="仿宋_GB2312" w:hAnsi="仿宋_GB2312" w:cs="仿宋_GB2312"/>
                <w:bCs/>
                <w:sz w:val="24"/>
                <w:szCs w:val="24"/>
              </w:rPr>
            </w:pPr>
            <w:r w:rsidRPr="000A7EE3">
              <w:rPr>
                <w:rFonts w:ascii="仿宋_GB2312" w:hAnsi="仿宋_GB2312" w:cs="仿宋_GB2312" w:hint="eastAsia"/>
                <w:bCs/>
                <w:sz w:val="24"/>
                <w:szCs w:val="24"/>
              </w:rPr>
              <w:t>除尘器性能的测定</w:t>
            </w:r>
          </w:p>
        </w:tc>
        <w:tc>
          <w:tcPr>
            <w:tcW w:w="4001" w:type="dxa"/>
            <w:vAlign w:val="center"/>
          </w:tcPr>
          <w:p w:rsidR="00C20406" w:rsidRPr="000A7EE3" w:rsidRDefault="00C20406" w:rsidP="000A7EE3">
            <w:pPr>
              <w:rPr>
                <w:rFonts w:ascii="仿宋_GB2312" w:hAnsi="仿宋_GB2312" w:cs="仿宋_GB2312"/>
                <w:bCs/>
                <w:sz w:val="24"/>
                <w:szCs w:val="24"/>
              </w:rPr>
            </w:pPr>
            <w:r w:rsidRPr="000A7EE3">
              <w:rPr>
                <w:rFonts w:ascii="仿宋_GB2312" w:hAnsi="仿宋_GB2312" w:cs="仿宋_GB2312" w:hint="eastAsia"/>
                <w:bCs/>
                <w:sz w:val="24"/>
                <w:szCs w:val="24"/>
              </w:rPr>
              <w:t>掌握除尘器性能的测定方法</w:t>
            </w:r>
          </w:p>
        </w:tc>
      </w:tr>
    </w:tbl>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lastRenderedPageBreak/>
        <w:t>六、课程考核方式与成绩评定</w:t>
      </w:r>
    </w:p>
    <w:p w:rsidR="00C20406" w:rsidRDefault="00C20406" w:rsidP="00C20406">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20406" w:rsidRDefault="00C20406" w:rsidP="00C20406">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考试</w:t>
      </w:r>
    </w:p>
    <w:p w:rsidR="00C20406" w:rsidRDefault="00C20406" w:rsidP="00C20406">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 xml:space="preserve">. </w:t>
      </w:r>
      <w:r>
        <w:rPr>
          <w:rFonts w:ascii="仿宋_GB2312" w:hAnsi="仿宋_GB2312" w:cs="仿宋_GB2312" w:hint="eastAsia"/>
          <w:sz w:val="28"/>
          <w:szCs w:val="28"/>
        </w:rPr>
        <w:t>成绩评定</w:t>
      </w:r>
    </w:p>
    <w:p w:rsidR="00C20406" w:rsidRDefault="00C20406" w:rsidP="00C20406">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采用平时成绩+期末考试方式确定总评成绩。其中平时成绩考核包括作业、讨论、出勤等内容，期末考试采用开卷方式。平时成绩占20%～30%，期末考试成绩占80%～70%。</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七、课程建议教材及主要参考资料</w:t>
      </w:r>
    </w:p>
    <w:p w:rsidR="00C20406" w:rsidRDefault="00C20406" w:rsidP="00C2040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20406" w:rsidRDefault="00C20406" w:rsidP="00C2040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《工业通风》（第四版）孙一坚主编，建筑工业出版社,2014</w:t>
      </w:r>
    </w:p>
    <w:p w:rsidR="00C20406" w:rsidRDefault="00C20406" w:rsidP="00C2040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《空气洁净技术》（第二版）王海桥等主编，机械工业出版社,2020</w:t>
      </w:r>
    </w:p>
    <w:p w:rsidR="00C20406" w:rsidRDefault="00C20406" w:rsidP="00C2040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20406" w:rsidRDefault="00C20406" w:rsidP="00C2040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【1】《室内污染控制与洁净技术》徐玉党主编，重庆大学出版社</w:t>
      </w:r>
    </w:p>
    <w:p w:rsidR="00C20406" w:rsidRDefault="00C20406" w:rsidP="00C2040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【2】GB 51251-2017 建筑防烟排烟系统技术标准</w:t>
      </w:r>
    </w:p>
    <w:p w:rsidR="00C20406" w:rsidRDefault="00C20406" w:rsidP="00C2040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 xml:space="preserve">              </w:t>
      </w:r>
    </w:p>
    <w:p w:rsidR="00C20406" w:rsidRDefault="00C20406" w:rsidP="00C20406">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大纲撰写人：张孙孝</w:t>
      </w:r>
    </w:p>
    <w:p w:rsidR="00C20406" w:rsidRDefault="00C20406" w:rsidP="00C20406">
      <w:pPr>
        <w:spacing w:line="360" w:lineRule="auto"/>
        <w:ind w:left="2940" w:firstLine="420"/>
        <w:rPr>
          <w:rFonts w:ascii="仿宋" w:eastAsia="仿宋" w:hAnsi="仿宋"/>
          <w:sz w:val="28"/>
          <w:szCs w:val="28"/>
        </w:rPr>
      </w:pPr>
      <w:r>
        <w:rPr>
          <w:rFonts w:ascii="仿宋" w:eastAsia="仿宋" w:hAnsi="仿宋" w:hint="eastAsia"/>
          <w:sz w:val="28"/>
          <w:szCs w:val="28"/>
        </w:rPr>
        <w:t>课程负责人：张孙孝</w:t>
      </w:r>
    </w:p>
    <w:p w:rsidR="00C20406" w:rsidRDefault="00C20406" w:rsidP="00C20406">
      <w:pPr>
        <w:spacing w:line="360" w:lineRule="auto"/>
        <w:ind w:firstLineChars="1200" w:firstLine="3360"/>
        <w:rPr>
          <w:rFonts w:ascii="仿宋_GB2312"/>
          <w:color w:val="000000"/>
          <w:sz w:val="28"/>
          <w:szCs w:val="28"/>
        </w:rPr>
      </w:pPr>
      <w:r>
        <w:rPr>
          <w:rFonts w:ascii="仿宋" w:eastAsia="仿宋" w:hAnsi="仿宋" w:hint="eastAsia"/>
          <w:sz w:val="28"/>
          <w:szCs w:val="28"/>
        </w:rPr>
        <w:t xml:space="preserve">审核人：                </w:t>
      </w:r>
      <w:r>
        <w:rPr>
          <w:rFonts w:ascii="仿宋_GB2312" w:hAnsi="微软雅黑" w:hint="eastAsia"/>
          <w:sz w:val="28"/>
          <w:szCs w:val="28"/>
        </w:rPr>
        <w:t xml:space="preserve">       </w:t>
      </w:r>
    </w:p>
    <w:p w:rsidR="00C20406" w:rsidRDefault="00C20406" w:rsidP="00C20406">
      <w:pPr>
        <w:ind w:firstLineChars="2000" w:firstLine="5600"/>
        <w:jc w:val="left"/>
        <w:rPr>
          <w:rFonts w:ascii="仿宋" w:hAnsi="仿宋"/>
          <w:sz w:val="28"/>
          <w:szCs w:val="28"/>
        </w:rPr>
      </w:pPr>
      <w:r>
        <w:rPr>
          <w:rFonts w:ascii="仿宋_GB2312" w:hAnsi="微软雅黑" w:hint="eastAsia"/>
          <w:sz w:val="28"/>
          <w:szCs w:val="28"/>
        </w:rPr>
        <w:t xml:space="preserve">    </w:t>
      </w:r>
    </w:p>
    <w:p w:rsidR="00C20406" w:rsidRDefault="00C20406" w:rsidP="00C20406">
      <w:pPr>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2021</w:t>
      </w:r>
      <w:r>
        <w:rPr>
          <w:rFonts w:ascii="仿宋" w:eastAsia="仿宋" w:hAnsi="仿宋" w:hint="eastAsia"/>
          <w:sz w:val="28"/>
          <w:szCs w:val="28"/>
        </w:rPr>
        <w:t xml:space="preserve">年 </w:t>
      </w:r>
      <w:r>
        <w:rPr>
          <w:rFonts w:ascii="仿宋" w:eastAsia="仿宋" w:hAnsi="仿宋"/>
          <w:sz w:val="28"/>
          <w:szCs w:val="28"/>
        </w:rPr>
        <w:t>4</w:t>
      </w:r>
      <w:r>
        <w:rPr>
          <w:rFonts w:ascii="仿宋" w:eastAsia="仿宋" w:hAnsi="仿宋" w:hint="eastAsia"/>
          <w:sz w:val="28"/>
          <w:szCs w:val="28"/>
        </w:rPr>
        <w:t xml:space="preserve"> 月</w:t>
      </w:r>
    </w:p>
    <w:p w:rsidR="00C20406" w:rsidRDefault="00C20406" w:rsidP="00C20406">
      <w:pPr>
        <w:widowControl/>
        <w:spacing w:line="360" w:lineRule="auto"/>
        <w:jc w:val="center"/>
        <w:rPr>
          <w:rFonts w:ascii="方正小标宋简体" w:eastAsia="方正小标宋简体" w:hAnsi="宋体"/>
          <w:kern w:val="0"/>
          <w:szCs w:val="32"/>
        </w:rPr>
      </w:pPr>
    </w:p>
    <w:p w:rsidR="00C20406" w:rsidRDefault="00C20406" w:rsidP="00C2040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w:t>
      </w:r>
      <w:r w:rsidRPr="004B0D07">
        <w:rPr>
          <w:rFonts w:ascii="方正小标宋简体" w:eastAsia="方正小标宋简体" w:hAnsi="宋体" w:hint="eastAsia"/>
          <w:kern w:val="0"/>
          <w:szCs w:val="32"/>
        </w:rPr>
        <w:t>安装工程经济与管理</w:t>
      </w:r>
      <w:r>
        <w:rPr>
          <w:rFonts w:ascii="方正小标宋简体" w:eastAsia="方正小标宋简体" w:hAnsi="宋体" w:hint="eastAsia"/>
          <w:kern w:val="0"/>
          <w:szCs w:val="32"/>
        </w:rPr>
        <w:t>》课程教学大纲</w:t>
      </w:r>
    </w:p>
    <w:p w:rsidR="00C20406" w:rsidRPr="004B0D07" w:rsidRDefault="00C20406" w:rsidP="004B0D07">
      <w:pPr>
        <w:spacing w:beforeLines="50" w:before="156" w:afterLines="50" w:after="156" w:line="560" w:lineRule="exact"/>
        <w:rPr>
          <w:rFonts w:ascii="黑体" w:eastAsia="黑体" w:hAnsi="黑体"/>
          <w:b/>
          <w:sz w:val="28"/>
          <w:szCs w:val="28"/>
        </w:rPr>
      </w:pPr>
      <w:r w:rsidRPr="004B0D07">
        <w:rPr>
          <w:rFonts w:ascii="黑体" w:eastAsia="黑体" w:hAnsi="黑体" w:hint="eastAsia"/>
          <w:b/>
          <w:sz w:val="28"/>
          <w:szCs w:val="28"/>
        </w:rPr>
        <w:t>一、课程信息</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英文名称：Installation Engineering Economics and Management</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课程编码：Z2807</w:t>
      </w:r>
      <w:r w:rsidRPr="004B0D07">
        <w:rPr>
          <w:rFonts w:ascii="仿宋_GB2312" w:hAnsi="仿宋_GB2312" w:cs="仿宋_GB2312"/>
          <w:bCs/>
          <w:sz w:val="28"/>
          <w:szCs w:val="28"/>
        </w:rPr>
        <w:t>300</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授课语言：汉语</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授课方式：线下</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课程类别：专业发展课程</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课程性质：必修</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学    分：1.5</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学    时： 24学时（授课24，实验0，上机0，课外0）</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适用对象： 建筑环境与能源应用</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先修课程：《建筑设备安装技术》及本专业主干专业技术课。</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开课院系：建工学院建筑环境与能源应用工程系</w:t>
      </w:r>
    </w:p>
    <w:p w:rsidR="00C20406" w:rsidRPr="004B0D07" w:rsidRDefault="00C20406" w:rsidP="00C20406">
      <w:pPr>
        <w:spacing w:beforeLines="50" w:before="156" w:afterLines="50" w:after="156" w:line="560" w:lineRule="exact"/>
        <w:rPr>
          <w:rFonts w:ascii="黑体" w:eastAsia="黑体" w:hAnsi="黑体"/>
          <w:b/>
          <w:sz w:val="28"/>
          <w:szCs w:val="28"/>
        </w:rPr>
      </w:pPr>
      <w:r w:rsidRPr="004B0D07">
        <w:rPr>
          <w:rFonts w:ascii="黑体" w:eastAsia="黑体" w:hAnsi="黑体" w:hint="eastAsia"/>
          <w:b/>
          <w:sz w:val="28"/>
          <w:szCs w:val="28"/>
        </w:rPr>
        <w:t>二、课程简介</w:t>
      </w:r>
    </w:p>
    <w:p w:rsidR="00C20406" w:rsidRPr="004B0D07" w:rsidRDefault="00C20406" w:rsidP="004B0D07">
      <w:pPr>
        <w:spacing w:line="360" w:lineRule="auto"/>
        <w:ind w:firstLine="331"/>
        <w:rPr>
          <w:rFonts w:ascii="仿宋_GB2312" w:hAnsi="仿宋_GB2312" w:cs="仿宋_GB2312"/>
          <w:bCs/>
          <w:sz w:val="28"/>
          <w:szCs w:val="28"/>
        </w:rPr>
      </w:pPr>
      <w:r>
        <w:rPr>
          <w:rFonts w:ascii="仿宋" w:eastAsia="仿宋" w:hAnsi="仿宋" w:hint="eastAsia"/>
          <w:sz w:val="28"/>
          <w:szCs w:val="28"/>
        </w:rPr>
        <w:t xml:space="preserve"> </w:t>
      </w:r>
      <w:r w:rsidRPr="004B0D07">
        <w:rPr>
          <w:rFonts w:ascii="仿宋_GB2312" w:hAnsi="仿宋_GB2312" w:cs="仿宋_GB2312" w:hint="eastAsia"/>
          <w:bCs/>
          <w:sz w:val="28"/>
          <w:szCs w:val="28"/>
        </w:rPr>
        <w:t>《安装工程经济与管理》是建筑环境与能源应用专业学生的专业发展课程课，是一门综合性的课程，具有较高的实用性，学生通过该课程学习了解和掌握本专业安装工程经济、管理等方面的基本知识。</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教学内容为基本建设概论，安装工程定额的编制和应用，定额计价方法，工程量清单的编制及计价方法，施工图预算与工程量清单计价示例，工程招标，投标内容，施工合同签订与管理，施工组织形式及</w:t>
      </w:r>
      <w:r w:rsidRPr="004B0D07">
        <w:rPr>
          <w:rFonts w:ascii="仿宋_GB2312" w:hAnsi="仿宋_GB2312" w:cs="仿宋_GB2312" w:hint="eastAsia"/>
          <w:bCs/>
          <w:sz w:val="28"/>
          <w:szCs w:val="28"/>
        </w:rPr>
        <w:lastRenderedPageBreak/>
        <w:t>施工组织设计，工程项目管理，安装企业管理等。</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教学方式采用PPT、板书、课后思考题和练习题等相结合进行授课。</w:t>
      </w:r>
    </w:p>
    <w:p w:rsidR="00C20406" w:rsidRPr="004B0D07" w:rsidRDefault="00C20406" w:rsidP="00C20406">
      <w:pPr>
        <w:spacing w:beforeLines="50" w:before="156" w:afterLines="50" w:after="156" w:line="560" w:lineRule="exact"/>
        <w:rPr>
          <w:rFonts w:ascii="黑体" w:eastAsia="黑体" w:hAnsi="黑体"/>
          <w:b/>
          <w:sz w:val="28"/>
          <w:szCs w:val="28"/>
        </w:rPr>
      </w:pPr>
      <w:r w:rsidRPr="004B0D07">
        <w:rPr>
          <w:rFonts w:ascii="黑体" w:eastAsia="黑体" w:hAnsi="黑体" w:hint="eastAsia"/>
          <w:b/>
          <w:sz w:val="28"/>
          <w:szCs w:val="28"/>
        </w:rPr>
        <w:t>三、课程任务、目标与要求</w:t>
      </w:r>
    </w:p>
    <w:p w:rsidR="00C20406" w:rsidRPr="004B0D07" w:rsidRDefault="00C20406" w:rsidP="004B0D07">
      <w:pPr>
        <w:spacing w:line="360" w:lineRule="auto"/>
        <w:ind w:firstLine="331"/>
        <w:rPr>
          <w:rFonts w:ascii="仿宋_GB2312" w:hAnsi="仿宋_GB2312" w:cs="仿宋_GB2312"/>
          <w:bCs/>
          <w:sz w:val="28"/>
          <w:szCs w:val="28"/>
        </w:rPr>
      </w:pPr>
      <w:r>
        <w:rPr>
          <w:rFonts w:ascii="仿宋" w:eastAsia="仿宋" w:hAnsi="仿宋" w:cs="仿宋_GB2312" w:hint="eastAsia"/>
          <w:sz w:val="28"/>
          <w:szCs w:val="28"/>
        </w:rPr>
        <w:t>1</w:t>
      </w:r>
      <w:r w:rsidRPr="004B0D07">
        <w:rPr>
          <w:rFonts w:ascii="仿宋_GB2312" w:hAnsi="仿宋_GB2312" w:cs="仿宋_GB2312" w:hint="eastAsia"/>
          <w:bCs/>
          <w:sz w:val="28"/>
          <w:szCs w:val="28"/>
        </w:rPr>
        <w:t>. 课程任务</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《安装工程经济与管理》课程是建筑环境与能源应用专业技术课，通过这门课程学习使学生学习了解和掌握本专业安装工程经济、管理等方面的基本知识。对安装工程经济与管理有一个总体概念，认识和了解。</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通过安装工程经济与管理的学习，应掌握安装工程经济分析的基本原理和方法。掌握安装工程造价确定的基本方法。了解建筑安装工程施工组织、管理的基本知识。</w:t>
      </w:r>
    </w:p>
    <w:p w:rsidR="00C20406" w:rsidRPr="004B0D07" w:rsidRDefault="004B0D07" w:rsidP="004B0D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2</w:t>
      </w:r>
      <w:r>
        <w:rPr>
          <w:rFonts w:ascii="仿宋_GB2312" w:hAnsi="仿宋_GB2312" w:cs="仿宋_GB2312"/>
          <w:bCs/>
          <w:sz w:val="28"/>
          <w:szCs w:val="28"/>
        </w:rPr>
        <w:t>.</w:t>
      </w:r>
      <w:r w:rsidR="00C20406" w:rsidRPr="004B0D07">
        <w:rPr>
          <w:rFonts w:ascii="仿宋_GB2312" w:hAnsi="仿宋_GB2312" w:cs="仿宋_GB2312" w:hint="eastAsia"/>
          <w:bCs/>
          <w:sz w:val="28"/>
          <w:szCs w:val="28"/>
        </w:rPr>
        <w:t>课程基本要求</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 xml:space="preserve">2.1课程目标 </w:t>
      </w:r>
    </w:p>
    <w:p w:rsidR="00C20406" w:rsidRPr="004B0D07" w:rsidRDefault="00C20406" w:rsidP="004B0D07">
      <w:pPr>
        <w:spacing w:line="360" w:lineRule="auto"/>
        <w:ind w:firstLine="331"/>
        <w:rPr>
          <w:rFonts w:ascii="仿宋_GB2312" w:hAnsi="仿宋_GB2312" w:cs="仿宋_GB2312"/>
          <w:bCs/>
          <w:sz w:val="28"/>
          <w:szCs w:val="28"/>
        </w:rPr>
      </w:pPr>
      <w:r w:rsidRPr="004B0D07">
        <w:rPr>
          <w:rFonts w:ascii="仿宋_GB2312" w:hAnsi="仿宋_GB2312" w:cs="仿宋_GB2312" w:hint="eastAsia"/>
          <w:bCs/>
          <w:sz w:val="28"/>
          <w:szCs w:val="28"/>
        </w:rPr>
        <w:t>《安装工程经济与管理》课程学习完毕后能够理解掌握工程管理与经济决策方法，对工程施工图预算知识能够加强，还可结合生产实习，在施工现场，对施工组织和工程项目管理进行积极参与。</w:t>
      </w:r>
    </w:p>
    <w:p w:rsidR="00C20406" w:rsidRDefault="00C20406" w:rsidP="004B0D07">
      <w:pPr>
        <w:spacing w:line="360" w:lineRule="auto"/>
        <w:ind w:firstLine="331"/>
        <w:rPr>
          <w:rFonts w:ascii="仿宋" w:eastAsia="仿宋" w:hAnsi="仿宋"/>
          <w:color w:val="FF0000"/>
          <w:sz w:val="28"/>
          <w:szCs w:val="28"/>
        </w:rPr>
      </w:pPr>
      <w:r w:rsidRPr="004B0D07">
        <w:rPr>
          <w:rFonts w:ascii="仿宋_GB2312" w:hAnsi="仿宋_GB2312" w:cs="仿宋_GB2312" w:hint="eastAsia"/>
          <w:bCs/>
          <w:sz w:val="28"/>
          <w:szCs w:val="28"/>
        </w:rPr>
        <w:t xml:space="preserve">2.2课程目标与毕业要求之间的对应关系 </w:t>
      </w:r>
      <w:r>
        <w:rPr>
          <w:rFonts w:ascii="仿宋" w:eastAsia="仿宋" w:hAnsi="仿宋" w:hint="eastAsia"/>
          <w:color w:val="FF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930"/>
        <w:gridCol w:w="4963"/>
        <w:gridCol w:w="1077"/>
      </w:tblGrid>
      <w:tr w:rsidR="00C20406" w:rsidTr="008C3907">
        <w:tc>
          <w:tcPr>
            <w:tcW w:w="1526" w:type="dxa"/>
            <w:vMerge w:val="restart"/>
            <w:shd w:val="clear" w:color="auto" w:fill="auto"/>
          </w:tcPr>
          <w:p w:rsidR="00C20406" w:rsidRPr="004B0D07" w:rsidRDefault="00C20406" w:rsidP="008C3907">
            <w:pPr>
              <w:snapToGrid w:val="0"/>
              <w:spacing w:beforeLines="150" w:before="468" w:line="560" w:lineRule="exact"/>
              <w:ind w:firstLineChars="50" w:firstLine="120"/>
              <w:rPr>
                <w:rFonts w:ascii="仿宋_GB2312" w:hAnsi="仿宋_GB2312" w:cs="仿宋_GB2312"/>
                <w:b/>
                <w:bCs/>
                <w:sz w:val="24"/>
                <w:szCs w:val="24"/>
              </w:rPr>
            </w:pPr>
            <w:r w:rsidRPr="004B0D07">
              <w:rPr>
                <w:rFonts w:ascii="仿宋_GB2312" w:hAnsi="仿宋_GB2312" w:cs="仿宋_GB2312" w:hint="eastAsia"/>
                <w:b/>
                <w:bCs/>
                <w:sz w:val="24"/>
                <w:szCs w:val="24"/>
              </w:rPr>
              <w:t>毕业要求</w:t>
            </w:r>
          </w:p>
        </w:tc>
        <w:tc>
          <w:tcPr>
            <w:tcW w:w="7087" w:type="dxa"/>
            <w:gridSpan w:val="2"/>
            <w:shd w:val="clear" w:color="auto" w:fill="auto"/>
          </w:tcPr>
          <w:p w:rsidR="00C20406" w:rsidRPr="004B0D07" w:rsidRDefault="00C20406" w:rsidP="008C3907">
            <w:pPr>
              <w:snapToGrid w:val="0"/>
              <w:spacing w:beforeLines="50" w:before="156" w:line="560" w:lineRule="exact"/>
              <w:jc w:val="center"/>
              <w:rPr>
                <w:rFonts w:ascii="仿宋_GB2312" w:hAnsi="仿宋_GB2312" w:cs="仿宋_GB2312"/>
                <w:b/>
                <w:bCs/>
                <w:sz w:val="24"/>
                <w:szCs w:val="24"/>
              </w:rPr>
            </w:pPr>
            <w:r w:rsidRPr="004B0D07">
              <w:rPr>
                <w:rFonts w:ascii="仿宋_GB2312" w:hAnsi="仿宋_GB2312" w:cs="仿宋_GB2312" w:hint="eastAsia"/>
                <w:b/>
                <w:bCs/>
                <w:sz w:val="24"/>
                <w:szCs w:val="24"/>
              </w:rPr>
              <w:t>毕业要求指标点</w:t>
            </w:r>
          </w:p>
        </w:tc>
        <w:tc>
          <w:tcPr>
            <w:tcW w:w="1241" w:type="dxa"/>
            <w:vMerge w:val="restart"/>
            <w:shd w:val="clear" w:color="auto" w:fill="auto"/>
          </w:tcPr>
          <w:p w:rsidR="00C20406" w:rsidRPr="004B0D07" w:rsidRDefault="00C20406" w:rsidP="008C3907">
            <w:pPr>
              <w:snapToGrid w:val="0"/>
              <w:spacing w:beforeLines="150" w:before="468" w:line="560" w:lineRule="exact"/>
              <w:jc w:val="center"/>
              <w:rPr>
                <w:rFonts w:ascii="仿宋_GB2312" w:hAnsi="仿宋_GB2312" w:cs="仿宋_GB2312"/>
                <w:b/>
                <w:bCs/>
                <w:sz w:val="24"/>
                <w:szCs w:val="24"/>
              </w:rPr>
            </w:pPr>
            <w:r w:rsidRPr="004B0D07">
              <w:rPr>
                <w:rFonts w:ascii="仿宋_GB2312" w:hAnsi="仿宋_GB2312" w:cs="仿宋_GB2312" w:hint="eastAsia"/>
                <w:b/>
                <w:bCs/>
                <w:sz w:val="24"/>
                <w:szCs w:val="24"/>
              </w:rPr>
              <w:t>教学目标</w:t>
            </w:r>
          </w:p>
        </w:tc>
      </w:tr>
      <w:tr w:rsidR="00C20406" w:rsidTr="008C3907">
        <w:tc>
          <w:tcPr>
            <w:tcW w:w="1526" w:type="dxa"/>
            <w:vMerge/>
            <w:tcBorders>
              <w:bottom w:val="single" w:sz="4" w:space="0" w:color="auto"/>
            </w:tcBorders>
            <w:shd w:val="clear" w:color="auto" w:fill="auto"/>
          </w:tcPr>
          <w:p w:rsidR="00C20406" w:rsidRDefault="00C20406" w:rsidP="008C3907">
            <w:pPr>
              <w:snapToGrid w:val="0"/>
              <w:spacing w:line="560" w:lineRule="exact"/>
              <w:jc w:val="center"/>
              <w:rPr>
                <w:rFonts w:ascii="仿宋" w:eastAsia="仿宋" w:hAnsi="仿宋"/>
                <w:sz w:val="28"/>
                <w:szCs w:val="28"/>
              </w:rPr>
            </w:pPr>
          </w:p>
        </w:tc>
        <w:tc>
          <w:tcPr>
            <w:tcW w:w="992" w:type="dxa"/>
            <w:tcBorders>
              <w:bottom w:val="single" w:sz="4" w:space="0" w:color="auto"/>
            </w:tcBorders>
            <w:shd w:val="clear" w:color="auto" w:fill="auto"/>
          </w:tcPr>
          <w:p w:rsidR="00C20406" w:rsidRPr="004B0D07" w:rsidRDefault="00C20406" w:rsidP="004B0D07">
            <w:pPr>
              <w:snapToGrid w:val="0"/>
              <w:spacing w:beforeLines="150" w:before="468" w:line="560" w:lineRule="exact"/>
              <w:ind w:firstLineChars="50" w:firstLine="120"/>
              <w:rPr>
                <w:rFonts w:ascii="仿宋_GB2312" w:hAnsi="仿宋_GB2312" w:cs="仿宋_GB2312"/>
                <w:b/>
                <w:bCs/>
                <w:sz w:val="24"/>
                <w:szCs w:val="24"/>
              </w:rPr>
            </w:pPr>
            <w:r w:rsidRPr="004B0D07">
              <w:rPr>
                <w:rFonts w:ascii="仿宋_GB2312" w:hAnsi="仿宋_GB2312" w:cs="仿宋_GB2312" w:hint="eastAsia"/>
                <w:b/>
                <w:bCs/>
                <w:sz w:val="24"/>
                <w:szCs w:val="24"/>
              </w:rPr>
              <w:t>名称</w:t>
            </w:r>
          </w:p>
        </w:tc>
        <w:tc>
          <w:tcPr>
            <w:tcW w:w="6095" w:type="dxa"/>
            <w:tcBorders>
              <w:bottom w:val="single" w:sz="4" w:space="0" w:color="auto"/>
            </w:tcBorders>
            <w:shd w:val="clear" w:color="auto" w:fill="auto"/>
          </w:tcPr>
          <w:p w:rsidR="00C20406" w:rsidRPr="004B0D07" w:rsidRDefault="00C20406" w:rsidP="004B0D07">
            <w:pPr>
              <w:snapToGrid w:val="0"/>
              <w:spacing w:beforeLines="150" w:before="468" w:line="560" w:lineRule="exact"/>
              <w:ind w:firstLineChars="50" w:firstLine="120"/>
              <w:jc w:val="center"/>
              <w:rPr>
                <w:rFonts w:ascii="仿宋_GB2312" w:hAnsi="仿宋_GB2312" w:cs="仿宋_GB2312"/>
                <w:b/>
                <w:bCs/>
                <w:sz w:val="24"/>
                <w:szCs w:val="24"/>
              </w:rPr>
            </w:pPr>
            <w:r w:rsidRPr="004B0D07">
              <w:rPr>
                <w:rFonts w:ascii="仿宋_GB2312" w:hAnsi="仿宋_GB2312" w:cs="仿宋_GB2312" w:hint="eastAsia"/>
                <w:b/>
                <w:bCs/>
                <w:sz w:val="24"/>
                <w:szCs w:val="24"/>
              </w:rPr>
              <w:t>具体描述</w:t>
            </w:r>
          </w:p>
        </w:tc>
        <w:tc>
          <w:tcPr>
            <w:tcW w:w="1241" w:type="dxa"/>
            <w:vMerge/>
            <w:tcBorders>
              <w:bottom w:val="single" w:sz="4" w:space="0" w:color="auto"/>
            </w:tcBorders>
            <w:shd w:val="clear" w:color="auto" w:fill="auto"/>
          </w:tcPr>
          <w:p w:rsidR="00C20406" w:rsidRDefault="00C20406" w:rsidP="008C3907">
            <w:pPr>
              <w:snapToGrid w:val="0"/>
              <w:spacing w:line="560" w:lineRule="exact"/>
              <w:jc w:val="center"/>
              <w:rPr>
                <w:rFonts w:ascii="仿宋" w:eastAsia="仿宋" w:hAnsi="仿宋"/>
                <w:sz w:val="28"/>
                <w:szCs w:val="28"/>
              </w:rPr>
            </w:pPr>
          </w:p>
        </w:tc>
      </w:tr>
      <w:tr w:rsidR="00C20406" w:rsidTr="008C3907">
        <w:tc>
          <w:tcPr>
            <w:tcW w:w="1526" w:type="dxa"/>
            <w:shd w:val="clear" w:color="auto" w:fill="auto"/>
          </w:tcPr>
          <w:p w:rsidR="00C20406" w:rsidRPr="004B0D07" w:rsidRDefault="00C20406" w:rsidP="008C3907">
            <w:pPr>
              <w:snapToGrid w:val="0"/>
              <w:spacing w:beforeLines="250" w:before="780" w:line="560" w:lineRule="exact"/>
              <w:rPr>
                <w:rFonts w:ascii="仿宋_GB2312" w:hAnsi="仿宋_GB2312" w:cs="仿宋_GB2312"/>
                <w:bCs/>
                <w:sz w:val="24"/>
                <w:szCs w:val="24"/>
              </w:rPr>
            </w:pPr>
            <w:r w:rsidRPr="004B0D07">
              <w:rPr>
                <w:rFonts w:ascii="仿宋_GB2312" w:hAnsi="仿宋_GB2312" w:cs="仿宋_GB2312"/>
                <w:bCs/>
                <w:sz w:val="24"/>
                <w:szCs w:val="24"/>
              </w:rPr>
              <w:lastRenderedPageBreak/>
              <w:t>6</w:t>
            </w:r>
            <w:r w:rsidRPr="004B0D07">
              <w:rPr>
                <w:rFonts w:ascii="仿宋_GB2312" w:hAnsi="仿宋_GB2312" w:cs="仿宋_GB2312" w:hint="eastAsia"/>
                <w:bCs/>
                <w:sz w:val="24"/>
                <w:szCs w:val="24"/>
              </w:rPr>
              <w:t>.工程与社会</w:t>
            </w:r>
          </w:p>
        </w:tc>
        <w:tc>
          <w:tcPr>
            <w:tcW w:w="992" w:type="dxa"/>
            <w:shd w:val="clear" w:color="auto" w:fill="auto"/>
          </w:tcPr>
          <w:p w:rsidR="00C20406" w:rsidRPr="004B0D07" w:rsidRDefault="00C20406" w:rsidP="008C3907">
            <w:pPr>
              <w:snapToGrid w:val="0"/>
              <w:spacing w:line="560" w:lineRule="exact"/>
              <w:rPr>
                <w:rFonts w:ascii="仿宋_GB2312" w:hAnsi="仿宋_GB2312" w:cs="仿宋_GB2312"/>
                <w:bCs/>
                <w:sz w:val="24"/>
                <w:szCs w:val="24"/>
              </w:rPr>
            </w:pPr>
            <w:r w:rsidRPr="004B0D07">
              <w:rPr>
                <w:rFonts w:ascii="仿宋_GB2312" w:hAnsi="仿宋_GB2312" w:cs="仿宋_GB2312"/>
                <w:bCs/>
                <w:sz w:val="24"/>
                <w:szCs w:val="24"/>
              </w:rPr>
              <w:t>6—</w:t>
            </w:r>
            <w:r w:rsidRPr="004B0D07">
              <w:rPr>
                <w:rFonts w:ascii="仿宋_GB2312" w:hAnsi="仿宋_GB2312" w:cs="仿宋_GB2312" w:hint="eastAsia"/>
                <w:bCs/>
                <w:sz w:val="24"/>
                <w:szCs w:val="24"/>
              </w:rPr>
              <w:t>1</w:t>
            </w:r>
          </w:p>
          <w:p w:rsidR="00C20406" w:rsidRPr="004B0D07" w:rsidRDefault="00C20406" w:rsidP="008C3907">
            <w:pPr>
              <w:snapToGrid w:val="0"/>
              <w:spacing w:line="560" w:lineRule="exact"/>
              <w:rPr>
                <w:rFonts w:ascii="仿宋_GB2312" w:hAnsi="仿宋_GB2312" w:cs="仿宋_GB2312"/>
                <w:bCs/>
                <w:sz w:val="24"/>
                <w:szCs w:val="24"/>
              </w:rPr>
            </w:pPr>
            <w:r w:rsidRPr="004B0D07">
              <w:rPr>
                <w:rFonts w:ascii="仿宋_GB2312" w:hAnsi="仿宋_GB2312" w:cs="仿宋_GB2312"/>
                <w:bCs/>
                <w:sz w:val="24"/>
                <w:szCs w:val="24"/>
              </w:rPr>
              <w:t>6—</w:t>
            </w:r>
            <w:r w:rsidRPr="004B0D07">
              <w:rPr>
                <w:rFonts w:ascii="仿宋_GB2312" w:hAnsi="仿宋_GB2312" w:cs="仿宋_GB2312" w:hint="eastAsia"/>
                <w:bCs/>
                <w:sz w:val="24"/>
                <w:szCs w:val="24"/>
              </w:rPr>
              <w:t>2</w:t>
            </w:r>
          </w:p>
        </w:tc>
        <w:tc>
          <w:tcPr>
            <w:tcW w:w="6095" w:type="dxa"/>
            <w:shd w:val="clear" w:color="auto" w:fill="auto"/>
          </w:tcPr>
          <w:p w:rsidR="00C20406" w:rsidRPr="004B0D07" w:rsidRDefault="00C20406" w:rsidP="008C3907">
            <w:pPr>
              <w:snapToGrid w:val="0"/>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6.1 了解建筑环境与能源应用工程专业相关领域的技术标准体系、知识产权、产业政策和法律法规，理解不同社会文化对工程活动的影响；</w:t>
            </w:r>
          </w:p>
          <w:p w:rsidR="00C20406" w:rsidRPr="004B0D07" w:rsidRDefault="00C20406" w:rsidP="008C3907">
            <w:pPr>
              <w:snapToGrid w:val="0"/>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6.2 能够分析并合理评价建筑环境与能源应用工程专业工程实践和复杂工程问题的解决方案对社会、健康、安全、法律以及文化的影响，以及这些制约因素对项目实施的影响，并理解建筑环境与能源应用工程师应承担的社会责任。</w:t>
            </w:r>
          </w:p>
        </w:tc>
        <w:tc>
          <w:tcPr>
            <w:tcW w:w="1241" w:type="dxa"/>
            <w:shd w:val="clear" w:color="auto" w:fill="auto"/>
          </w:tcPr>
          <w:p w:rsidR="00C20406" w:rsidRPr="004B0D07" w:rsidRDefault="00C20406" w:rsidP="008C3907">
            <w:pPr>
              <w:snapToGrid w:val="0"/>
              <w:spacing w:beforeLines="300" w:before="936"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H</w:t>
            </w:r>
          </w:p>
        </w:tc>
      </w:tr>
      <w:tr w:rsidR="00C20406" w:rsidTr="008C3907">
        <w:tc>
          <w:tcPr>
            <w:tcW w:w="1526" w:type="dxa"/>
            <w:tcBorders>
              <w:bottom w:val="single" w:sz="4" w:space="0" w:color="auto"/>
            </w:tcBorders>
            <w:shd w:val="clear" w:color="auto" w:fill="auto"/>
          </w:tcPr>
          <w:p w:rsidR="00C20406" w:rsidRPr="004B0D07" w:rsidRDefault="00C20406" w:rsidP="008C3907">
            <w:pPr>
              <w:snapToGrid w:val="0"/>
              <w:spacing w:beforeLines="250" w:before="780" w:line="560" w:lineRule="exact"/>
              <w:rPr>
                <w:rFonts w:ascii="仿宋_GB2312" w:hAnsi="仿宋_GB2312" w:cs="仿宋_GB2312"/>
                <w:bCs/>
                <w:sz w:val="24"/>
                <w:szCs w:val="24"/>
              </w:rPr>
            </w:pPr>
            <w:r w:rsidRPr="004B0D07">
              <w:rPr>
                <w:rFonts w:ascii="仿宋_GB2312" w:hAnsi="仿宋_GB2312" w:cs="仿宋_GB2312" w:hint="eastAsia"/>
                <w:bCs/>
                <w:sz w:val="24"/>
                <w:szCs w:val="24"/>
              </w:rPr>
              <w:t>11.项目管理</w:t>
            </w:r>
          </w:p>
        </w:tc>
        <w:tc>
          <w:tcPr>
            <w:tcW w:w="992" w:type="dxa"/>
            <w:tcBorders>
              <w:bottom w:val="single" w:sz="4" w:space="0" w:color="auto"/>
            </w:tcBorders>
            <w:shd w:val="clear" w:color="auto" w:fill="auto"/>
          </w:tcPr>
          <w:p w:rsidR="00C20406" w:rsidRPr="004B0D07" w:rsidRDefault="00C20406" w:rsidP="008C3907">
            <w:pPr>
              <w:snapToGrid w:val="0"/>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11</w:t>
            </w:r>
            <w:r w:rsidRPr="004B0D07">
              <w:rPr>
                <w:rFonts w:ascii="仿宋_GB2312" w:hAnsi="仿宋_GB2312" w:cs="仿宋_GB2312"/>
                <w:bCs/>
                <w:sz w:val="24"/>
                <w:szCs w:val="24"/>
              </w:rPr>
              <w:t>—</w:t>
            </w:r>
            <w:r w:rsidRPr="004B0D07">
              <w:rPr>
                <w:rFonts w:ascii="仿宋_GB2312" w:hAnsi="仿宋_GB2312" w:cs="仿宋_GB2312" w:hint="eastAsia"/>
                <w:bCs/>
                <w:sz w:val="24"/>
                <w:szCs w:val="24"/>
              </w:rPr>
              <w:t>1</w:t>
            </w:r>
          </w:p>
          <w:p w:rsidR="00C20406" w:rsidRPr="004B0D07" w:rsidRDefault="00C20406" w:rsidP="008C3907">
            <w:pPr>
              <w:snapToGrid w:val="0"/>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11</w:t>
            </w:r>
            <w:r w:rsidRPr="004B0D07">
              <w:rPr>
                <w:rFonts w:ascii="仿宋_GB2312" w:hAnsi="仿宋_GB2312" w:cs="仿宋_GB2312"/>
                <w:bCs/>
                <w:sz w:val="24"/>
                <w:szCs w:val="24"/>
              </w:rPr>
              <w:t>—</w:t>
            </w:r>
            <w:r w:rsidRPr="004B0D07">
              <w:rPr>
                <w:rFonts w:ascii="仿宋_GB2312" w:hAnsi="仿宋_GB2312" w:cs="仿宋_GB2312" w:hint="eastAsia"/>
                <w:bCs/>
                <w:sz w:val="24"/>
                <w:szCs w:val="24"/>
              </w:rPr>
              <w:t>2</w:t>
            </w:r>
          </w:p>
        </w:tc>
        <w:tc>
          <w:tcPr>
            <w:tcW w:w="6095" w:type="dxa"/>
            <w:tcBorders>
              <w:bottom w:val="single" w:sz="4" w:space="0" w:color="auto"/>
            </w:tcBorders>
            <w:shd w:val="clear" w:color="auto" w:fill="auto"/>
          </w:tcPr>
          <w:p w:rsidR="00C20406" w:rsidRPr="004B0D07" w:rsidRDefault="00C20406" w:rsidP="008C3907">
            <w:pPr>
              <w:snapToGrid w:val="0"/>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11.1 能够在与建筑环境与能源应用工程专业相关的多学科环境中，掌握工程项目涉及的管理原理与经济决策方法；</w:t>
            </w:r>
          </w:p>
          <w:p w:rsidR="00C20406" w:rsidRPr="004B0D07" w:rsidRDefault="00C20406" w:rsidP="008C3907">
            <w:pPr>
              <w:snapToGrid w:val="0"/>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11.2了解工程及产品全周期、全流程的成本构成，并能够在设计/开发解决方案的过程中，正确运用工程管理与经济决策方法，具备一定的工程项目管理能力。</w:t>
            </w:r>
          </w:p>
        </w:tc>
        <w:tc>
          <w:tcPr>
            <w:tcW w:w="1241" w:type="dxa"/>
            <w:tcBorders>
              <w:bottom w:val="single" w:sz="4" w:space="0" w:color="auto"/>
            </w:tcBorders>
            <w:shd w:val="clear" w:color="auto" w:fill="auto"/>
          </w:tcPr>
          <w:p w:rsidR="00C20406" w:rsidRPr="004B0D07" w:rsidRDefault="00C20406" w:rsidP="008C3907">
            <w:pPr>
              <w:snapToGrid w:val="0"/>
              <w:spacing w:beforeLines="300" w:before="936"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H</w:t>
            </w:r>
          </w:p>
        </w:tc>
      </w:tr>
    </w:tbl>
    <w:p w:rsidR="00C20406" w:rsidRPr="004B0D07" w:rsidRDefault="00C20406" w:rsidP="00C20406">
      <w:pPr>
        <w:spacing w:line="560" w:lineRule="exact"/>
        <w:ind w:firstLine="331"/>
        <w:rPr>
          <w:rFonts w:ascii="仿宋_GB2312" w:hAnsi="仿宋_GB2312" w:cs="仿宋_GB2312"/>
          <w:bCs/>
          <w:sz w:val="28"/>
          <w:szCs w:val="28"/>
        </w:rPr>
      </w:pPr>
      <w:r w:rsidRPr="004B0D07">
        <w:rPr>
          <w:rFonts w:ascii="仿宋_GB2312" w:hAnsi="仿宋_GB2312" w:cs="仿宋_GB2312" w:hint="eastAsia"/>
          <w:bCs/>
          <w:sz w:val="28"/>
          <w:szCs w:val="28"/>
        </w:rPr>
        <w:t>3. 课程的重点、难点</w:t>
      </w:r>
    </w:p>
    <w:p w:rsidR="00C20406" w:rsidRPr="004B0D07" w:rsidRDefault="00C20406" w:rsidP="00C20406">
      <w:pPr>
        <w:spacing w:line="560" w:lineRule="exact"/>
        <w:jc w:val="left"/>
        <w:rPr>
          <w:rFonts w:ascii="仿宋_GB2312" w:hAnsi="仿宋_GB2312" w:cs="仿宋_GB2312"/>
          <w:bCs/>
          <w:sz w:val="28"/>
          <w:szCs w:val="28"/>
        </w:rPr>
      </w:pPr>
      <w:r w:rsidRPr="004B0D07">
        <w:rPr>
          <w:rFonts w:ascii="仿宋_GB2312" w:hAnsi="仿宋_GB2312" w:cs="仿宋_GB2312" w:hint="eastAsia"/>
          <w:bCs/>
          <w:sz w:val="28"/>
          <w:szCs w:val="28"/>
        </w:rPr>
        <w:t>教学重点、难点为安装工程定额的编制和应用，定额计价方法，工程量清单的编制及计价方法，施工图预算与工程量清单计价。</w:t>
      </w:r>
    </w:p>
    <w:p w:rsidR="00C20406" w:rsidRPr="004B0D07" w:rsidRDefault="00C20406" w:rsidP="00C20406">
      <w:pPr>
        <w:spacing w:line="560" w:lineRule="exact"/>
        <w:ind w:firstLine="331"/>
        <w:rPr>
          <w:rFonts w:ascii="仿宋_GB2312" w:hAnsi="仿宋_GB2312" w:cs="仿宋_GB2312"/>
          <w:bCs/>
          <w:sz w:val="28"/>
          <w:szCs w:val="28"/>
        </w:rPr>
      </w:pPr>
      <w:r w:rsidRPr="004B0D07">
        <w:rPr>
          <w:rFonts w:ascii="仿宋_GB2312" w:hAnsi="仿宋_GB2312" w:cs="仿宋_GB2312" w:hint="eastAsia"/>
          <w:bCs/>
          <w:sz w:val="28"/>
          <w:szCs w:val="28"/>
        </w:rPr>
        <w:t>4. 课程思政设计</w:t>
      </w:r>
    </w:p>
    <w:p w:rsidR="00C20406" w:rsidRPr="004B0D07" w:rsidRDefault="00C20406" w:rsidP="00C20406">
      <w:pPr>
        <w:spacing w:line="560" w:lineRule="exact"/>
        <w:rPr>
          <w:rFonts w:ascii="仿宋_GB2312" w:hAnsi="仿宋_GB2312" w:cs="仿宋_GB2312"/>
          <w:bCs/>
          <w:sz w:val="28"/>
          <w:szCs w:val="28"/>
        </w:rPr>
      </w:pPr>
      <w:r w:rsidRPr="004B0D07">
        <w:rPr>
          <w:rFonts w:ascii="仿宋_GB2312" w:hAnsi="仿宋_GB2312" w:cs="仿宋_GB2312" w:hint="eastAsia"/>
          <w:bCs/>
          <w:sz w:val="28"/>
          <w:szCs w:val="28"/>
        </w:rPr>
        <w:t>通过对安装工程中所涉及的给排水、采暖通风空调方面的过程以及现代技术的应用，将本课程在时代发展背景下的成就进行合理化的运用和挖掘。</w:t>
      </w:r>
    </w:p>
    <w:p w:rsidR="00C20406" w:rsidRPr="004B0D07" w:rsidRDefault="00C20406" w:rsidP="00C20406">
      <w:pPr>
        <w:spacing w:beforeLines="50" w:before="156" w:afterLines="50" w:after="156" w:line="560" w:lineRule="exact"/>
        <w:rPr>
          <w:rFonts w:ascii="黑体" w:eastAsia="黑体" w:hAnsi="黑体"/>
          <w:b/>
          <w:sz w:val="28"/>
          <w:szCs w:val="28"/>
        </w:rPr>
      </w:pPr>
      <w:r w:rsidRPr="004B0D07">
        <w:rPr>
          <w:rFonts w:ascii="黑体" w:eastAsia="黑体" w:hAnsi="黑体" w:hint="eastAsia"/>
          <w:b/>
          <w:sz w:val="28"/>
          <w:szCs w:val="28"/>
        </w:rPr>
        <w:lastRenderedPageBreak/>
        <w:t>四、教学内容安排</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362"/>
        <w:gridCol w:w="1031"/>
        <w:gridCol w:w="3489"/>
        <w:gridCol w:w="3188"/>
      </w:tblGrid>
      <w:tr w:rsidR="00C20406" w:rsidTr="008C3907">
        <w:trPr>
          <w:cantSplit/>
          <w:trHeight w:val="661"/>
        </w:trPr>
        <w:tc>
          <w:tcPr>
            <w:tcW w:w="532" w:type="dxa"/>
            <w:vAlign w:val="center"/>
          </w:tcPr>
          <w:p w:rsidR="00C20406" w:rsidRPr="004B0D07" w:rsidRDefault="00C20406" w:rsidP="008C3907">
            <w:pPr>
              <w:spacing w:line="560" w:lineRule="exact"/>
              <w:rPr>
                <w:rFonts w:ascii="仿宋_GB2312" w:hAnsi="仿宋_GB2312" w:cs="仿宋_GB2312"/>
                <w:b/>
                <w:bCs/>
                <w:sz w:val="24"/>
                <w:szCs w:val="24"/>
              </w:rPr>
            </w:pPr>
            <w:r w:rsidRPr="004B0D07">
              <w:rPr>
                <w:rFonts w:ascii="仿宋_GB2312" w:hAnsi="仿宋_GB2312" w:cs="仿宋_GB2312" w:hint="eastAsia"/>
                <w:b/>
                <w:bCs/>
                <w:sz w:val="24"/>
                <w:szCs w:val="24"/>
              </w:rPr>
              <w:t>序号</w:t>
            </w:r>
          </w:p>
        </w:tc>
        <w:tc>
          <w:tcPr>
            <w:tcW w:w="1362" w:type="dxa"/>
            <w:vAlign w:val="center"/>
          </w:tcPr>
          <w:p w:rsidR="00C20406" w:rsidRPr="004B0D07" w:rsidRDefault="00C20406" w:rsidP="008C3907">
            <w:pPr>
              <w:spacing w:line="560" w:lineRule="exact"/>
              <w:rPr>
                <w:rFonts w:ascii="仿宋_GB2312" w:hAnsi="仿宋_GB2312" w:cs="仿宋_GB2312"/>
                <w:b/>
                <w:bCs/>
                <w:sz w:val="24"/>
                <w:szCs w:val="24"/>
              </w:rPr>
            </w:pPr>
            <w:r w:rsidRPr="004B0D07">
              <w:rPr>
                <w:rFonts w:ascii="仿宋_GB2312" w:hAnsi="仿宋_GB2312" w:cs="仿宋_GB2312" w:hint="eastAsia"/>
                <w:b/>
                <w:bCs/>
                <w:sz w:val="24"/>
                <w:szCs w:val="24"/>
              </w:rPr>
              <w:t>章  节</w:t>
            </w:r>
          </w:p>
        </w:tc>
        <w:tc>
          <w:tcPr>
            <w:tcW w:w="1031" w:type="dxa"/>
            <w:vAlign w:val="center"/>
          </w:tcPr>
          <w:p w:rsidR="00C20406" w:rsidRPr="004B0D07" w:rsidRDefault="00C20406" w:rsidP="008C3907">
            <w:pPr>
              <w:spacing w:line="560" w:lineRule="exact"/>
              <w:rPr>
                <w:rFonts w:ascii="仿宋_GB2312" w:hAnsi="仿宋_GB2312" w:cs="仿宋_GB2312"/>
                <w:b/>
                <w:bCs/>
                <w:sz w:val="24"/>
                <w:szCs w:val="24"/>
              </w:rPr>
            </w:pPr>
            <w:r w:rsidRPr="004B0D07">
              <w:rPr>
                <w:rFonts w:ascii="仿宋_GB2312" w:hAnsi="仿宋_GB2312" w:cs="仿宋_GB2312" w:hint="eastAsia"/>
                <w:b/>
                <w:bCs/>
                <w:sz w:val="24"/>
                <w:szCs w:val="24"/>
              </w:rPr>
              <w:t>参考学时</w:t>
            </w:r>
          </w:p>
        </w:tc>
        <w:tc>
          <w:tcPr>
            <w:tcW w:w="3489" w:type="dxa"/>
            <w:vAlign w:val="center"/>
          </w:tcPr>
          <w:p w:rsidR="00C20406" w:rsidRPr="004B0D07" w:rsidRDefault="00C20406" w:rsidP="008C3907">
            <w:pPr>
              <w:spacing w:line="560" w:lineRule="exact"/>
              <w:ind w:firstLineChars="300" w:firstLine="723"/>
              <w:rPr>
                <w:rFonts w:ascii="仿宋_GB2312" w:hAnsi="仿宋_GB2312" w:cs="仿宋_GB2312"/>
                <w:b/>
                <w:bCs/>
                <w:sz w:val="24"/>
                <w:szCs w:val="24"/>
              </w:rPr>
            </w:pPr>
            <w:r w:rsidRPr="004B0D07">
              <w:rPr>
                <w:rFonts w:ascii="仿宋_GB2312" w:hAnsi="仿宋_GB2312" w:cs="仿宋_GB2312" w:hint="eastAsia"/>
                <w:b/>
                <w:bCs/>
                <w:sz w:val="24"/>
                <w:szCs w:val="24"/>
              </w:rPr>
              <w:t>教学内容</w:t>
            </w:r>
          </w:p>
        </w:tc>
        <w:tc>
          <w:tcPr>
            <w:tcW w:w="3188" w:type="dxa"/>
            <w:vAlign w:val="center"/>
          </w:tcPr>
          <w:p w:rsidR="00C20406" w:rsidRPr="004B0D07" w:rsidRDefault="00C20406" w:rsidP="008C3907">
            <w:pPr>
              <w:spacing w:line="560" w:lineRule="exact"/>
              <w:ind w:firstLineChars="200" w:firstLine="482"/>
              <w:rPr>
                <w:rFonts w:ascii="仿宋_GB2312" w:hAnsi="仿宋_GB2312" w:cs="仿宋_GB2312"/>
                <w:b/>
                <w:bCs/>
                <w:sz w:val="24"/>
                <w:szCs w:val="24"/>
              </w:rPr>
            </w:pPr>
            <w:r w:rsidRPr="004B0D07">
              <w:rPr>
                <w:rFonts w:ascii="仿宋_GB2312" w:hAnsi="仿宋_GB2312" w:cs="仿宋_GB2312" w:hint="eastAsia"/>
                <w:b/>
                <w:bCs/>
                <w:sz w:val="24"/>
                <w:szCs w:val="24"/>
              </w:rPr>
              <w:t>基本要求</w:t>
            </w:r>
          </w:p>
        </w:tc>
      </w:tr>
      <w:tr w:rsidR="00C20406" w:rsidTr="008C3907">
        <w:trPr>
          <w:trHeight w:val="1415"/>
        </w:trPr>
        <w:tc>
          <w:tcPr>
            <w:tcW w:w="53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1</w:t>
            </w:r>
          </w:p>
        </w:tc>
        <w:tc>
          <w:tcPr>
            <w:tcW w:w="1362"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第一章</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基本建设  概 论</w:t>
            </w:r>
          </w:p>
        </w:tc>
        <w:tc>
          <w:tcPr>
            <w:tcW w:w="1031"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2</w:t>
            </w:r>
          </w:p>
        </w:tc>
        <w:tc>
          <w:tcPr>
            <w:tcW w:w="3489" w:type="dxa"/>
            <w:vAlign w:val="center"/>
          </w:tcPr>
          <w:p w:rsidR="00C20406" w:rsidRPr="004B0D07" w:rsidRDefault="00C20406" w:rsidP="005F6318">
            <w:pPr>
              <w:numPr>
                <w:ilvl w:val="1"/>
                <w:numId w:val="24"/>
              </w:num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基本建设概论及作用</w:t>
            </w:r>
          </w:p>
          <w:p w:rsidR="00C20406" w:rsidRPr="004B0D07" w:rsidRDefault="00C20406" w:rsidP="005F6318">
            <w:pPr>
              <w:numPr>
                <w:ilvl w:val="1"/>
                <w:numId w:val="24"/>
              </w:num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基本建设程序</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1.3 基本建设项目划分</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1.4基本建设费用组成</w:t>
            </w:r>
          </w:p>
        </w:tc>
        <w:tc>
          <w:tcPr>
            <w:tcW w:w="3188"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1、了解基本建设作用。</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2、掌握基本建设项目划分。</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3、掌握基本建设费用组成。</w:t>
            </w:r>
          </w:p>
        </w:tc>
      </w:tr>
      <w:tr w:rsidR="00C20406" w:rsidTr="008C3907">
        <w:trPr>
          <w:trHeight w:val="3507"/>
        </w:trPr>
        <w:tc>
          <w:tcPr>
            <w:tcW w:w="53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2</w:t>
            </w:r>
          </w:p>
        </w:tc>
        <w:tc>
          <w:tcPr>
            <w:tcW w:w="1362"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第二章</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建设项目投资估算方法及项目评估</w:t>
            </w:r>
          </w:p>
        </w:tc>
        <w:tc>
          <w:tcPr>
            <w:tcW w:w="1031"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2</w:t>
            </w:r>
          </w:p>
        </w:tc>
        <w:tc>
          <w:tcPr>
            <w:tcW w:w="3489"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2.1建设项目的可行性研究概述</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2.2建设项目投资估算</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2.3建设项目经济性评估方法</w:t>
            </w:r>
          </w:p>
        </w:tc>
        <w:tc>
          <w:tcPr>
            <w:tcW w:w="3188"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1、了解投资估算</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2、了解经济性评估方法</w:t>
            </w:r>
          </w:p>
        </w:tc>
      </w:tr>
      <w:tr w:rsidR="00C20406" w:rsidTr="008C3907">
        <w:trPr>
          <w:trHeight w:val="4095"/>
        </w:trPr>
        <w:tc>
          <w:tcPr>
            <w:tcW w:w="532" w:type="dxa"/>
            <w:vAlign w:val="center"/>
          </w:tcPr>
          <w:p w:rsidR="00C20406" w:rsidRPr="004B0D07" w:rsidRDefault="00C20406" w:rsidP="008C3907">
            <w:pPr>
              <w:spacing w:line="560" w:lineRule="exact"/>
              <w:rPr>
                <w:rFonts w:ascii="仿宋_GB2312" w:hAnsi="仿宋_GB2312" w:cs="仿宋_GB2312"/>
                <w:bCs/>
                <w:sz w:val="24"/>
                <w:szCs w:val="24"/>
              </w:rPr>
            </w:pP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3</w:t>
            </w:r>
          </w:p>
        </w:tc>
        <w:tc>
          <w:tcPr>
            <w:tcW w:w="136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第三章</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建筑设备安装工程定额</w:t>
            </w:r>
          </w:p>
        </w:tc>
        <w:tc>
          <w:tcPr>
            <w:tcW w:w="1031"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2</w:t>
            </w:r>
          </w:p>
        </w:tc>
        <w:tc>
          <w:tcPr>
            <w:tcW w:w="3489"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3.1 建筑设备安装工程定额概论；</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3.2建筑设备安装工程施工定额</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3.3建筑设备安装工程预算定额</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3.4建筑设备安装工程概算定额及概算指标</w:t>
            </w:r>
          </w:p>
        </w:tc>
        <w:tc>
          <w:tcPr>
            <w:tcW w:w="3188"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1、掌握建筑设备安装工程定额。</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2、。掌握建筑设备安装工程施工定额</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3、掌握建筑设备安装工程预算定额。</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4、掌握建筑设备安装工程概算定额及概算指标。</w:t>
            </w:r>
          </w:p>
        </w:tc>
      </w:tr>
      <w:tr w:rsidR="00C20406" w:rsidTr="008C3907">
        <w:trPr>
          <w:trHeight w:val="2493"/>
        </w:trPr>
        <w:tc>
          <w:tcPr>
            <w:tcW w:w="53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lastRenderedPageBreak/>
              <w:t>4</w:t>
            </w:r>
          </w:p>
        </w:tc>
        <w:tc>
          <w:tcPr>
            <w:tcW w:w="136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第四章</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建筑设备安装工程计价</w:t>
            </w:r>
          </w:p>
        </w:tc>
        <w:tc>
          <w:tcPr>
            <w:tcW w:w="1031"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2</w:t>
            </w:r>
          </w:p>
        </w:tc>
        <w:tc>
          <w:tcPr>
            <w:tcW w:w="3489"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4.1定额计价</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4.2工程量清单计价</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4.3定额计价模式工程量清单计价模式比较</w:t>
            </w:r>
          </w:p>
        </w:tc>
        <w:tc>
          <w:tcPr>
            <w:tcW w:w="3188"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1、掌握定额计价模式安装工程费用组成。</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2、掌握工程量清单计价组成。</w:t>
            </w:r>
          </w:p>
        </w:tc>
      </w:tr>
      <w:tr w:rsidR="00C20406" w:rsidTr="008C3907">
        <w:trPr>
          <w:trHeight w:val="1218"/>
        </w:trPr>
        <w:tc>
          <w:tcPr>
            <w:tcW w:w="53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5</w:t>
            </w:r>
          </w:p>
        </w:tc>
        <w:tc>
          <w:tcPr>
            <w:tcW w:w="136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 xml:space="preserve">第四章    建筑设备安 装工程预算             </w:t>
            </w:r>
          </w:p>
        </w:tc>
        <w:tc>
          <w:tcPr>
            <w:tcW w:w="1031"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2</w:t>
            </w:r>
          </w:p>
        </w:tc>
        <w:tc>
          <w:tcPr>
            <w:tcW w:w="3489"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5.1设计概算</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5.2施工图预算</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5.3施工预算</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5.4竣工结算</w:t>
            </w:r>
          </w:p>
        </w:tc>
        <w:tc>
          <w:tcPr>
            <w:tcW w:w="3188"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1、掌握概算指标。</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2、了解施工图预算</w:t>
            </w:r>
          </w:p>
        </w:tc>
      </w:tr>
      <w:tr w:rsidR="00C20406" w:rsidTr="008C3907">
        <w:trPr>
          <w:trHeight w:val="1157"/>
        </w:trPr>
        <w:tc>
          <w:tcPr>
            <w:tcW w:w="53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6</w:t>
            </w:r>
          </w:p>
        </w:tc>
        <w:tc>
          <w:tcPr>
            <w:tcW w:w="136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第五章</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建筑设备安装工程施工图预算</w:t>
            </w:r>
          </w:p>
        </w:tc>
        <w:tc>
          <w:tcPr>
            <w:tcW w:w="1031"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4</w:t>
            </w:r>
          </w:p>
        </w:tc>
        <w:tc>
          <w:tcPr>
            <w:tcW w:w="3489"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6.1施工图预算的编制</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6.2工程量清单计价</w:t>
            </w:r>
          </w:p>
        </w:tc>
        <w:tc>
          <w:tcPr>
            <w:tcW w:w="3188"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1、熟悉施工图预算的编制。</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2、了解工程量清单计价。</w:t>
            </w:r>
          </w:p>
        </w:tc>
      </w:tr>
      <w:tr w:rsidR="00C20406" w:rsidTr="008C3907">
        <w:trPr>
          <w:trHeight w:val="990"/>
        </w:trPr>
        <w:tc>
          <w:tcPr>
            <w:tcW w:w="53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7</w:t>
            </w:r>
          </w:p>
        </w:tc>
        <w:tc>
          <w:tcPr>
            <w:tcW w:w="1362"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第六章</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建筑设备安装工程招标投标</w:t>
            </w:r>
          </w:p>
        </w:tc>
        <w:tc>
          <w:tcPr>
            <w:tcW w:w="1031"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2</w:t>
            </w:r>
          </w:p>
        </w:tc>
        <w:tc>
          <w:tcPr>
            <w:tcW w:w="3489"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7.1概述</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7.2建筑设备安装工程招标</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7.3建筑设备安装工程投标</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7.4招标投标法规与范本</w:t>
            </w:r>
          </w:p>
        </w:tc>
        <w:tc>
          <w:tcPr>
            <w:tcW w:w="3188"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1、熟悉招标投标概念。</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2、了解招投标程序</w:t>
            </w:r>
          </w:p>
        </w:tc>
      </w:tr>
      <w:tr w:rsidR="00C20406" w:rsidTr="008C3907">
        <w:trPr>
          <w:trHeight w:val="1244"/>
        </w:trPr>
        <w:tc>
          <w:tcPr>
            <w:tcW w:w="53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8</w:t>
            </w:r>
          </w:p>
        </w:tc>
        <w:tc>
          <w:tcPr>
            <w:tcW w:w="136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第七章</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建筑设备安装施工合同</w:t>
            </w:r>
          </w:p>
        </w:tc>
        <w:tc>
          <w:tcPr>
            <w:tcW w:w="1031"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2</w:t>
            </w:r>
          </w:p>
        </w:tc>
        <w:tc>
          <w:tcPr>
            <w:tcW w:w="3489"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8.1概述</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8.2建筑设备安装施工合同</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8.3土木施工合同条款</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8.4建筑设备安装施工合同谈判与订立</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8.5施工合同履行</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8.6合同的变更，解除及合同争</w:t>
            </w:r>
            <w:r w:rsidRPr="004B0D07">
              <w:rPr>
                <w:rFonts w:ascii="仿宋_GB2312" w:hAnsi="仿宋_GB2312" w:cs="仿宋_GB2312" w:hint="eastAsia"/>
                <w:bCs/>
                <w:sz w:val="24"/>
                <w:szCs w:val="24"/>
              </w:rPr>
              <w:lastRenderedPageBreak/>
              <w:t>议处理</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8.7工程索赔与反索赔</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8.8施工合同的管理</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8.9施工合同的有关法则</w:t>
            </w:r>
          </w:p>
        </w:tc>
        <w:tc>
          <w:tcPr>
            <w:tcW w:w="3188"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lastRenderedPageBreak/>
              <w:t>1、了解施工合同的内容。</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2、掌握施工合同变更，解除与合同争议处理。</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3、了解工程索赔与反索赔。</w:t>
            </w:r>
          </w:p>
        </w:tc>
      </w:tr>
      <w:tr w:rsidR="00C20406" w:rsidTr="008C3907">
        <w:trPr>
          <w:trHeight w:val="1244"/>
        </w:trPr>
        <w:tc>
          <w:tcPr>
            <w:tcW w:w="53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9</w:t>
            </w:r>
          </w:p>
        </w:tc>
        <w:tc>
          <w:tcPr>
            <w:tcW w:w="136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第八章</w:t>
            </w:r>
          </w:p>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建筑设备安装工程施工组织设计</w:t>
            </w:r>
          </w:p>
        </w:tc>
        <w:tc>
          <w:tcPr>
            <w:tcW w:w="1031"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2</w:t>
            </w:r>
          </w:p>
        </w:tc>
        <w:tc>
          <w:tcPr>
            <w:tcW w:w="3489"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9.1概述</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9.2流水施工</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9.3施工进度计划编制方法</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9.4施工组织设计</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9.5施工组织设计示例</w:t>
            </w:r>
          </w:p>
        </w:tc>
        <w:tc>
          <w:tcPr>
            <w:tcW w:w="3188"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掌握施工组织设计的内容与分类</w:t>
            </w:r>
          </w:p>
        </w:tc>
      </w:tr>
      <w:tr w:rsidR="00C20406" w:rsidTr="008C3907">
        <w:trPr>
          <w:trHeight w:val="1244"/>
        </w:trPr>
        <w:tc>
          <w:tcPr>
            <w:tcW w:w="53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10</w:t>
            </w:r>
          </w:p>
        </w:tc>
        <w:tc>
          <w:tcPr>
            <w:tcW w:w="136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第九章</w:t>
            </w:r>
          </w:p>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建筑设备安装工程项目管理</w:t>
            </w:r>
          </w:p>
        </w:tc>
        <w:tc>
          <w:tcPr>
            <w:tcW w:w="1031"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2</w:t>
            </w:r>
          </w:p>
        </w:tc>
        <w:tc>
          <w:tcPr>
            <w:tcW w:w="3489"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10.1建筑安装工程项目管理概述</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10.2建筑安装工程项目计划管理</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10.3建筑安装工程项目组织</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10.4建筑安装工程项目控制与协调</w:t>
            </w:r>
          </w:p>
        </w:tc>
        <w:tc>
          <w:tcPr>
            <w:tcW w:w="3188"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了解项目管理内容和组织机构</w:t>
            </w:r>
          </w:p>
        </w:tc>
      </w:tr>
      <w:tr w:rsidR="00C20406" w:rsidTr="008C3907">
        <w:trPr>
          <w:trHeight w:val="1244"/>
        </w:trPr>
        <w:tc>
          <w:tcPr>
            <w:tcW w:w="53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11</w:t>
            </w:r>
          </w:p>
        </w:tc>
        <w:tc>
          <w:tcPr>
            <w:tcW w:w="1362"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第十章</w:t>
            </w:r>
          </w:p>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建筑设备安装企业管理</w:t>
            </w:r>
          </w:p>
        </w:tc>
        <w:tc>
          <w:tcPr>
            <w:tcW w:w="1031" w:type="dxa"/>
            <w:vAlign w:val="center"/>
          </w:tcPr>
          <w:p w:rsidR="00C20406" w:rsidRPr="004B0D07" w:rsidRDefault="00C20406" w:rsidP="008C3907">
            <w:pPr>
              <w:spacing w:line="560" w:lineRule="exact"/>
              <w:jc w:val="center"/>
              <w:rPr>
                <w:rFonts w:ascii="仿宋_GB2312" w:hAnsi="仿宋_GB2312" w:cs="仿宋_GB2312"/>
                <w:bCs/>
                <w:sz w:val="24"/>
                <w:szCs w:val="24"/>
              </w:rPr>
            </w:pPr>
            <w:r w:rsidRPr="004B0D07">
              <w:rPr>
                <w:rFonts w:ascii="仿宋_GB2312" w:hAnsi="仿宋_GB2312" w:cs="仿宋_GB2312" w:hint="eastAsia"/>
                <w:bCs/>
                <w:sz w:val="24"/>
                <w:szCs w:val="24"/>
              </w:rPr>
              <w:t>2</w:t>
            </w:r>
          </w:p>
        </w:tc>
        <w:tc>
          <w:tcPr>
            <w:tcW w:w="3489"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11.1安装企业管理概述</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11.2企业管理理论的发展</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11.3企业管理现代化</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10.4安装企业管理内容</w:t>
            </w:r>
          </w:p>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10.5安装企业管理的新形势</w:t>
            </w:r>
          </w:p>
        </w:tc>
        <w:tc>
          <w:tcPr>
            <w:tcW w:w="3188" w:type="dxa"/>
            <w:vAlign w:val="center"/>
          </w:tcPr>
          <w:p w:rsidR="00C20406" w:rsidRPr="004B0D07" w:rsidRDefault="00C20406" w:rsidP="008C3907">
            <w:pPr>
              <w:spacing w:line="560" w:lineRule="exact"/>
              <w:rPr>
                <w:rFonts w:ascii="仿宋_GB2312" w:hAnsi="仿宋_GB2312" w:cs="仿宋_GB2312"/>
                <w:bCs/>
                <w:sz w:val="24"/>
                <w:szCs w:val="24"/>
              </w:rPr>
            </w:pPr>
            <w:r w:rsidRPr="004B0D07">
              <w:rPr>
                <w:rFonts w:ascii="仿宋_GB2312" w:hAnsi="仿宋_GB2312" w:cs="仿宋_GB2312" w:hint="eastAsia"/>
                <w:bCs/>
                <w:sz w:val="24"/>
                <w:szCs w:val="24"/>
              </w:rPr>
              <w:t>了解安装企业管理的内容</w:t>
            </w:r>
          </w:p>
        </w:tc>
      </w:tr>
    </w:tbl>
    <w:p w:rsidR="00C20406" w:rsidRPr="004B0D07" w:rsidRDefault="00C20406" w:rsidP="00C20406">
      <w:pPr>
        <w:spacing w:beforeLines="50" w:before="156" w:afterLines="50" w:after="156" w:line="560" w:lineRule="exact"/>
        <w:rPr>
          <w:rFonts w:ascii="黑体" w:eastAsia="黑体" w:hAnsi="黑体"/>
          <w:b/>
          <w:sz w:val="28"/>
          <w:szCs w:val="28"/>
        </w:rPr>
      </w:pPr>
      <w:r w:rsidRPr="004B0D07">
        <w:rPr>
          <w:rFonts w:ascii="黑体" w:eastAsia="黑体" w:hAnsi="黑体" w:hint="eastAsia"/>
          <w:b/>
          <w:sz w:val="28"/>
          <w:szCs w:val="28"/>
        </w:rPr>
        <w:t>五、课程考核方式与成绩评定</w:t>
      </w:r>
    </w:p>
    <w:p w:rsidR="00C20406" w:rsidRPr="004B0D07" w:rsidRDefault="00C20406" w:rsidP="00C20406">
      <w:pPr>
        <w:spacing w:line="560" w:lineRule="exact"/>
        <w:ind w:firstLineChars="200" w:firstLine="560"/>
        <w:rPr>
          <w:rFonts w:ascii="仿宋_GB2312" w:hAnsi="仿宋_GB2312" w:cs="仿宋_GB2312"/>
          <w:bCs/>
          <w:sz w:val="28"/>
          <w:szCs w:val="28"/>
        </w:rPr>
      </w:pPr>
      <w:r w:rsidRPr="004B0D07">
        <w:rPr>
          <w:rFonts w:ascii="仿宋_GB2312" w:hAnsi="仿宋_GB2312" w:cs="仿宋_GB2312" w:hint="eastAsia"/>
          <w:bCs/>
          <w:sz w:val="28"/>
          <w:szCs w:val="28"/>
        </w:rPr>
        <w:t>1. 课程考核：本课程不设课外学时，《安装工程经济与管理》涉及知识面较广，建议学生复习已学知识，并在学习过程中联系、理解、</w:t>
      </w:r>
      <w:r w:rsidRPr="004B0D07">
        <w:rPr>
          <w:rFonts w:ascii="仿宋_GB2312" w:hAnsi="仿宋_GB2312" w:cs="仿宋_GB2312" w:hint="eastAsia"/>
          <w:bCs/>
          <w:sz w:val="28"/>
          <w:szCs w:val="28"/>
        </w:rPr>
        <w:lastRenderedPageBreak/>
        <w:t>运用，通过思考题、练习题和作业来巩固提高。采用平时成绩+期末考试方式确定总评成绩。其中平时成绩考核包括作业、讨论、出勤等内容，期末考试采用闭卷方式。平时成绩占20%，期末考试成绩占80%。</w:t>
      </w:r>
    </w:p>
    <w:p w:rsidR="00C20406" w:rsidRPr="004B0D07" w:rsidRDefault="004B0D07" w:rsidP="004B0D07">
      <w:pPr>
        <w:spacing w:line="560" w:lineRule="exact"/>
        <w:ind w:left="980"/>
        <w:rPr>
          <w:rFonts w:ascii="仿宋_GB2312" w:hAnsi="仿宋_GB2312" w:cs="仿宋_GB2312"/>
          <w:bCs/>
          <w:sz w:val="28"/>
          <w:szCs w:val="28"/>
        </w:rPr>
      </w:pPr>
      <w:r>
        <w:rPr>
          <w:rFonts w:ascii="仿宋_GB2312" w:hAnsi="仿宋_GB2312" w:cs="仿宋_GB2312" w:hint="eastAsia"/>
          <w:bCs/>
          <w:sz w:val="28"/>
          <w:szCs w:val="28"/>
        </w:rPr>
        <w:t>2</w:t>
      </w:r>
      <w:r>
        <w:rPr>
          <w:rFonts w:ascii="仿宋_GB2312" w:hAnsi="仿宋_GB2312" w:cs="仿宋_GB2312"/>
          <w:bCs/>
          <w:sz w:val="28"/>
          <w:szCs w:val="28"/>
        </w:rPr>
        <w:t>.</w:t>
      </w:r>
      <w:r w:rsidR="00C20406" w:rsidRPr="004B0D07">
        <w:rPr>
          <w:rFonts w:ascii="仿宋_GB2312" w:hAnsi="仿宋_GB2312" w:cs="仿宋_GB2312" w:hint="eastAsia"/>
          <w:bCs/>
          <w:sz w:val="28"/>
          <w:szCs w:val="28"/>
        </w:rPr>
        <w:t>成绩评定</w:t>
      </w:r>
    </w:p>
    <w:p w:rsidR="00C20406" w:rsidRPr="004B0D07" w:rsidRDefault="00C20406" w:rsidP="00C20406">
      <w:pPr>
        <w:spacing w:line="560" w:lineRule="exact"/>
        <w:rPr>
          <w:rFonts w:ascii="仿宋_GB2312" w:hAnsi="仿宋_GB2312" w:cs="仿宋_GB2312"/>
          <w:bCs/>
          <w:sz w:val="28"/>
          <w:szCs w:val="28"/>
        </w:rPr>
      </w:pPr>
      <w:r w:rsidRPr="004B0D07">
        <w:rPr>
          <w:rFonts w:ascii="仿宋_GB2312" w:hAnsi="仿宋_GB2312" w:cs="仿宋_GB2312" w:hint="eastAsia"/>
          <w:bCs/>
          <w:sz w:val="28"/>
          <w:szCs w:val="28"/>
        </w:rPr>
        <w:t>课程考核后，需要对课程达成度进行评价，统计课程考核数据，以便及时了解课程的达成效果，并为毕业要求达成度的评价提供基础数据。</w:t>
      </w:r>
    </w:p>
    <w:p w:rsidR="00C20406" w:rsidRPr="004B0D07" w:rsidRDefault="00C20406" w:rsidP="00C20406">
      <w:pPr>
        <w:spacing w:line="560" w:lineRule="exact"/>
        <w:rPr>
          <w:rFonts w:ascii="仿宋_GB2312" w:hAnsi="仿宋_GB2312" w:cs="仿宋_GB2312"/>
          <w:bCs/>
          <w:sz w:val="28"/>
          <w:szCs w:val="28"/>
        </w:rPr>
      </w:pPr>
      <w:r w:rsidRPr="004B0D07">
        <w:rPr>
          <w:rFonts w:ascii="仿宋_GB2312" w:hAnsi="仿宋_GB2312" w:cs="仿宋_GB2312" w:hint="eastAsia"/>
          <w:bCs/>
          <w:sz w:val="28"/>
          <w:szCs w:val="28"/>
        </w:rPr>
        <w:t>课程达成度的具体评价方法：达成度评价对象：参与本课程考核的班级全部学生；统计课程考核数据，及时了解课程达成效果，发现问题并进行改进，为毕业要求达成度的评价提供基础数据。</w:t>
      </w:r>
    </w:p>
    <w:p w:rsidR="00C20406" w:rsidRPr="004B0D07" w:rsidRDefault="00C20406" w:rsidP="00C20406">
      <w:pPr>
        <w:spacing w:line="560" w:lineRule="exact"/>
        <w:rPr>
          <w:rFonts w:ascii="仿宋_GB2312" w:hAnsi="仿宋_GB2312" w:cs="仿宋_GB2312"/>
          <w:bCs/>
        </w:rPr>
      </w:pPr>
      <w:r w:rsidRPr="004B0D07">
        <w:rPr>
          <w:rFonts w:ascii="仿宋_GB2312" w:hAnsi="仿宋_GB2312" w:cs="仿宋_GB2312"/>
          <w:bCs/>
        </w:rPr>
        <w:t>课程总成绩=期末成绩</w:t>
      </w:r>
      <w:r w:rsidRPr="004B0D07">
        <w:rPr>
          <w:rFonts w:ascii="仿宋_GB2312" w:hAnsi="仿宋_GB2312" w:cs="仿宋_GB2312" w:hint="eastAsia"/>
          <w:bCs/>
        </w:rPr>
        <w:t>80%+平时</w:t>
      </w:r>
      <w:r w:rsidRPr="004B0D07">
        <w:rPr>
          <w:rFonts w:ascii="仿宋_GB2312" w:hAnsi="仿宋_GB2312" w:cs="仿宋_GB2312"/>
          <w:bCs/>
        </w:rPr>
        <w:t>成绩20</w:t>
      </w:r>
      <w:r w:rsidRPr="004B0D07">
        <w:rPr>
          <w:rFonts w:ascii="仿宋_GB2312" w:hAnsi="仿宋_GB2312" w:cs="仿宋_GB2312" w:hint="eastAsia"/>
          <w:bCs/>
        </w:rPr>
        <w:t>%</w:t>
      </w:r>
      <w:r w:rsidRPr="004B0D07">
        <w:rPr>
          <w:rFonts w:ascii="仿宋_GB2312" w:hAnsi="仿宋_GB2312" w:cs="仿宋_GB2312"/>
          <w:bCs/>
        </w:rPr>
        <w:t xml:space="preserve">  </w:t>
      </w:r>
    </w:p>
    <w:p w:rsidR="00C20406" w:rsidRPr="004B0D07" w:rsidRDefault="00C20406" w:rsidP="00C20406">
      <w:pPr>
        <w:spacing w:beforeLines="50" w:before="156" w:afterLines="50" w:after="156" w:line="560" w:lineRule="exact"/>
        <w:rPr>
          <w:rFonts w:ascii="黑体" w:eastAsia="黑体" w:hAnsi="黑体"/>
          <w:b/>
          <w:sz w:val="28"/>
          <w:szCs w:val="28"/>
        </w:rPr>
      </w:pPr>
      <w:r w:rsidRPr="004B0D07">
        <w:rPr>
          <w:rFonts w:ascii="黑体" w:eastAsia="黑体" w:hAnsi="黑体" w:hint="eastAsia"/>
          <w:b/>
          <w:sz w:val="28"/>
          <w:szCs w:val="28"/>
        </w:rPr>
        <w:t>六、课程建议教材及主要参考资料</w:t>
      </w:r>
    </w:p>
    <w:p w:rsidR="00C20406" w:rsidRPr="004B0D07" w:rsidRDefault="00C20406" w:rsidP="004B0D07">
      <w:pPr>
        <w:spacing w:line="560" w:lineRule="exact"/>
        <w:rPr>
          <w:rFonts w:ascii="仿宋_GB2312" w:hAnsi="仿宋_GB2312" w:cs="仿宋_GB2312"/>
          <w:bCs/>
          <w:sz w:val="28"/>
          <w:szCs w:val="28"/>
        </w:rPr>
      </w:pPr>
      <w:r w:rsidRPr="004B0D07">
        <w:rPr>
          <w:rFonts w:ascii="仿宋_GB2312" w:hAnsi="仿宋_GB2312" w:cs="仿宋_GB2312" w:hint="eastAsia"/>
          <w:bCs/>
          <w:sz w:val="28"/>
          <w:szCs w:val="28"/>
        </w:rPr>
        <w:t>1.建议教材：安装工程经济与管理，王智伟主编，中国建筑工业出版社，2020年1月第三版。</w:t>
      </w:r>
    </w:p>
    <w:p w:rsidR="00C20406" w:rsidRPr="004B0D07" w:rsidRDefault="00C20406" w:rsidP="004B0D07">
      <w:pPr>
        <w:spacing w:line="560" w:lineRule="exact"/>
        <w:rPr>
          <w:rFonts w:ascii="仿宋_GB2312" w:hAnsi="仿宋_GB2312" w:cs="仿宋_GB2312"/>
          <w:bCs/>
          <w:sz w:val="28"/>
          <w:szCs w:val="28"/>
        </w:rPr>
      </w:pPr>
      <w:r w:rsidRPr="004B0D07">
        <w:rPr>
          <w:rFonts w:ascii="仿宋_GB2312" w:hAnsi="仿宋_GB2312" w:cs="仿宋_GB2312" w:hint="eastAsia"/>
          <w:bCs/>
          <w:sz w:val="28"/>
          <w:szCs w:val="28"/>
        </w:rPr>
        <w:t>2.主要参考资料：建筑设备施工与预算，王智伟、刘艳峰，科学出版社，2002</w:t>
      </w:r>
    </w:p>
    <w:p w:rsidR="00C20406" w:rsidRPr="004B0D07" w:rsidRDefault="00C20406" w:rsidP="004B0D07">
      <w:pPr>
        <w:spacing w:line="560" w:lineRule="exact"/>
        <w:rPr>
          <w:rFonts w:ascii="仿宋_GB2312" w:hAnsi="仿宋_GB2312" w:cs="仿宋_GB2312"/>
          <w:bCs/>
          <w:sz w:val="28"/>
          <w:szCs w:val="28"/>
        </w:rPr>
      </w:pPr>
      <w:r w:rsidRPr="004B0D07">
        <w:rPr>
          <w:rFonts w:ascii="仿宋_GB2312" w:hAnsi="仿宋_GB2312" w:cs="仿宋_GB2312" w:hint="eastAsia"/>
          <w:bCs/>
          <w:sz w:val="28"/>
          <w:szCs w:val="28"/>
        </w:rPr>
        <w:t>安装工程工程量清单计价编制实例，郑州：黄河水利出版社，2008</w:t>
      </w:r>
    </w:p>
    <w:p w:rsidR="00C20406" w:rsidRPr="004B0D07" w:rsidRDefault="00C20406" w:rsidP="00C20406">
      <w:pPr>
        <w:spacing w:beforeLines="50" w:before="156" w:afterLines="50" w:after="156" w:line="560" w:lineRule="exact"/>
        <w:rPr>
          <w:rFonts w:ascii="黑体" w:eastAsia="黑体" w:hAnsi="黑体"/>
          <w:b/>
          <w:sz w:val="28"/>
          <w:szCs w:val="28"/>
        </w:rPr>
      </w:pPr>
      <w:r w:rsidRPr="004B0D07">
        <w:rPr>
          <w:rFonts w:ascii="黑体" w:eastAsia="黑体" w:hAnsi="黑体" w:hint="eastAsia"/>
          <w:b/>
          <w:sz w:val="28"/>
          <w:szCs w:val="28"/>
        </w:rPr>
        <w:t>七、其他</w:t>
      </w:r>
    </w:p>
    <w:p w:rsidR="00C20406" w:rsidRDefault="00C20406" w:rsidP="00C20406">
      <w:pPr>
        <w:spacing w:line="560" w:lineRule="exact"/>
        <w:ind w:firstLineChars="250" w:firstLine="700"/>
        <w:jc w:val="left"/>
        <w:rPr>
          <w:rFonts w:ascii="仿宋" w:eastAsia="仿宋" w:hAnsi="仿宋" w:cs="仿宋_GB2312"/>
          <w:sz w:val="28"/>
          <w:szCs w:val="28"/>
        </w:rPr>
      </w:pPr>
      <w:r>
        <w:rPr>
          <w:rFonts w:ascii="仿宋" w:eastAsia="仿宋" w:hAnsi="仿宋" w:cs="仿宋_GB2312" w:hint="eastAsia"/>
          <w:sz w:val="28"/>
          <w:szCs w:val="28"/>
        </w:rPr>
        <w:t>无</w:t>
      </w:r>
    </w:p>
    <w:p w:rsidR="00C20406" w:rsidRDefault="00C20406" w:rsidP="00C20406">
      <w:pPr>
        <w:spacing w:line="560" w:lineRule="exact"/>
        <w:ind w:firstLineChars="1200" w:firstLine="3360"/>
        <w:rPr>
          <w:rFonts w:ascii="仿宋" w:eastAsia="仿宋" w:hAnsi="仿宋"/>
          <w:sz w:val="28"/>
          <w:szCs w:val="28"/>
        </w:rPr>
      </w:pPr>
      <w:r>
        <w:rPr>
          <w:rFonts w:ascii="仿宋" w:eastAsia="仿宋" w:hAnsi="仿宋" w:hint="eastAsia"/>
          <w:sz w:val="28"/>
          <w:szCs w:val="28"/>
        </w:rPr>
        <w:t>大纲撰写人：张勇</w:t>
      </w:r>
    </w:p>
    <w:p w:rsidR="00C20406" w:rsidRDefault="00C20406" w:rsidP="00C20406">
      <w:pPr>
        <w:spacing w:line="560" w:lineRule="exact"/>
        <w:ind w:firstLineChars="1200" w:firstLine="3360"/>
        <w:rPr>
          <w:rFonts w:ascii="仿宋" w:eastAsia="仿宋" w:hAnsi="仿宋"/>
          <w:sz w:val="28"/>
          <w:szCs w:val="28"/>
        </w:rPr>
      </w:pPr>
      <w:r>
        <w:rPr>
          <w:rFonts w:ascii="仿宋" w:eastAsia="仿宋" w:hAnsi="仿宋" w:hint="eastAsia"/>
          <w:sz w:val="28"/>
          <w:szCs w:val="28"/>
        </w:rPr>
        <w:t>课程负责人：张勇</w:t>
      </w:r>
    </w:p>
    <w:p w:rsidR="00C20406" w:rsidRDefault="00C20406" w:rsidP="00C20406">
      <w:pPr>
        <w:spacing w:line="560" w:lineRule="exact"/>
        <w:ind w:firstLineChars="1200" w:firstLine="3360"/>
        <w:rPr>
          <w:rFonts w:ascii="仿宋" w:eastAsia="仿宋" w:hAnsi="仿宋"/>
          <w:sz w:val="28"/>
          <w:szCs w:val="28"/>
        </w:rPr>
      </w:pPr>
      <w:r>
        <w:rPr>
          <w:rFonts w:ascii="仿宋" w:eastAsia="仿宋" w:hAnsi="仿宋" w:hint="eastAsia"/>
          <w:sz w:val="28"/>
          <w:szCs w:val="28"/>
        </w:rPr>
        <w:t>审核人：</w:t>
      </w:r>
    </w:p>
    <w:p w:rsidR="00C20406" w:rsidRDefault="00C20406" w:rsidP="00C20406">
      <w:pPr>
        <w:spacing w:line="560" w:lineRule="exact"/>
        <w:ind w:firstLineChars="1200" w:firstLine="3360"/>
        <w:rPr>
          <w:rFonts w:ascii="仿宋" w:eastAsia="仿宋" w:hAnsi="仿宋"/>
          <w:sz w:val="28"/>
          <w:szCs w:val="28"/>
        </w:rPr>
      </w:pPr>
    </w:p>
    <w:p w:rsidR="00C20406" w:rsidRPr="004B0D07" w:rsidRDefault="00C20406" w:rsidP="004B0D07">
      <w:pPr>
        <w:spacing w:line="560" w:lineRule="exact"/>
        <w:jc w:val="left"/>
        <w:rPr>
          <w:rFonts w:ascii="仿宋" w:eastAsia="仿宋" w:hAnsi="仿宋" w:hint="eastAsia"/>
          <w:sz w:val="28"/>
          <w:szCs w:val="28"/>
        </w:rPr>
      </w:pPr>
      <w:r>
        <w:rPr>
          <w:rFonts w:ascii="仿宋" w:eastAsia="仿宋" w:hAnsi="仿宋" w:hint="eastAsia"/>
          <w:sz w:val="28"/>
          <w:szCs w:val="28"/>
        </w:rPr>
        <w:t xml:space="preserve">                                         2021年4 月</w:t>
      </w:r>
    </w:p>
    <w:p w:rsidR="00C20406" w:rsidRDefault="00C20406" w:rsidP="00C20406">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《暖通空调工程设计方法与系统分析》课程教学大纲</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HVAC Engineering Design Method and System Analysis</w:t>
      </w:r>
    </w:p>
    <w:p w:rsidR="00C20406" w:rsidRDefault="00C20406" w:rsidP="00C20406">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w:t>
      </w:r>
      <w:r>
        <w:rPr>
          <w:rFonts w:ascii="仿宋_GB2312" w:hAnsi="仿宋_GB2312" w:cs="仿宋_GB2312"/>
          <w:bCs/>
          <w:sz w:val="28"/>
          <w:szCs w:val="28"/>
        </w:rPr>
        <w:t>Z2807310</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授课语言：汉语</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授课方式：混合（线上课程占比</w:t>
      </w:r>
      <w:r>
        <w:rPr>
          <w:rFonts w:ascii="仿宋_GB2312" w:hAnsi="仿宋_GB2312" w:cs="仿宋_GB2312"/>
          <w:bCs/>
          <w:sz w:val="28"/>
          <w:szCs w:val="28"/>
        </w:rPr>
        <w:t>30%</w:t>
      </w:r>
      <w:r>
        <w:rPr>
          <w:rFonts w:ascii="仿宋_GB2312" w:hAnsi="仿宋_GB2312" w:cs="仿宋_GB2312" w:hint="eastAsia"/>
          <w:bCs/>
          <w:sz w:val="28"/>
          <w:szCs w:val="28"/>
        </w:rPr>
        <w:t>）</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w:t>
      </w:r>
      <w:r>
        <w:rPr>
          <w:rFonts w:ascii="仿宋_GB2312" w:hAnsi="仿宋_GB2312" w:cs="仿宋_GB2312"/>
          <w:bCs/>
          <w:sz w:val="28"/>
          <w:szCs w:val="28"/>
        </w:rPr>
        <w:t>2</w:t>
      </w:r>
    </w:p>
    <w:p w:rsidR="00C20406" w:rsidRDefault="00C20406" w:rsidP="00C20406">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w:t>
      </w:r>
      <w:r>
        <w:rPr>
          <w:rFonts w:ascii="仿宋_GB2312" w:hAnsi="仿宋_GB2312" w:cs="仿宋_GB2312"/>
          <w:bCs/>
          <w:sz w:val="28"/>
          <w:szCs w:val="28"/>
        </w:rPr>
        <w:t>32</w:t>
      </w:r>
      <w:r>
        <w:rPr>
          <w:rFonts w:ascii="仿宋_GB2312" w:hAnsi="仿宋_GB2312" w:cs="仿宋_GB2312" w:hint="eastAsia"/>
          <w:bCs/>
          <w:sz w:val="28"/>
          <w:szCs w:val="28"/>
        </w:rPr>
        <w:t>学时（授课</w:t>
      </w:r>
      <w:r>
        <w:rPr>
          <w:rFonts w:ascii="仿宋_GB2312" w:hAnsi="仿宋_GB2312" w:cs="仿宋_GB2312"/>
          <w:bCs/>
          <w:sz w:val="28"/>
          <w:szCs w:val="28"/>
        </w:rPr>
        <w:t>32</w:t>
      </w:r>
      <w:r>
        <w:rPr>
          <w:rFonts w:ascii="仿宋_GB2312" w:hAnsi="仿宋_GB2312" w:cs="仿宋_GB2312" w:hint="eastAsia"/>
          <w:bCs/>
          <w:sz w:val="28"/>
          <w:szCs w:val="28"/>
        </w:rPr>
        <w:t>学时，实验</w:t>
      </w:r>
      <w:r>
        <w:rPr>
          <w:rFonts w:ascii="仿宋_GB2312" w:hAnsi="仿宋_GB2312" w:cs="仿宋_GB2312"/>
          <w:bCs/>
          <w:sz w:val="28"/>
          <w:szCs w:val="28"/>
        </w:rPr>
        <w:t>0</w:t>
      </w:r>
      <w:r>
        <w:rPr>
          <w:rFonts w:ascii="仿宋_GB2312" w:hAnsi="仿宋_GB2312" w:cs="仿宋_GB2312" w:hint="eastAsia"/>
          <w:bCs/>
          <w:sz w:val="28"/>
          <w:szCs w:val="28"/>
        </w:rPr>
        <w:t>学时，上机</w:t>
      </w:r>
      <w:r>
        <w:rPr>
          <w:rFonts w:ascii="仿宋_GB2312" w:hAnsi="仿宋_GB2312" w:cs="仿宋_GB2312"/>
          <w:bCs/>
          <w:sz w:val="28"/>
          <w:szCs w:val="28"/>
        </w:rPr>
        <w:t>0</w:t>
      </w:r>
      <w:r>
        <w:rPr>
          <w:rFonts w:ascii="仿宋_GB2312" w:hAnsi="仿宋_GB2312" w:cs="仿宋_GB2312" w:hint="eastAsia"/>
          <w:bCs/>
          <w:sz w:val="28"/>
          <w:szCs w:val="28"/>
        </w:rPr>
        <w:t>学时，课外</w:t>
      </w:r>
      <w:r>
        <w:rPr>
          <w:rFonts w:ascii="仿宋_GB2312" w:hAnsi="仿宋_GB2312" w:cs="仿宋_GB2312"/>
          <w:bCs/>
          <w:sz w:val="28"/>
          <w:szCs w:val="28"/>
        </w:rPr>
        <w:t>0</w:t>
      </w:r>
      <w:r>
        <w:rPr>
          <w:rFonts w:ascii="仿宋_GB2312" w:hAnsi="仿宋_GB2312" w:cs="仿宋_GB2312" w:hint="eastAsia"/>
          <w:bCs/>
          <w:sz w:val="28"/>
          <w:szCs w:val="28"/>
        </w:rPr>
        <w:t>学时）</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适用对象：土木类建筑环境与能源应用工程专业</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先修课程：暖通空调，空气调节用制冷技术，供热工程等。</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开课院系：建工学院建筑环境与能源应用工程系</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C20406" w:rsidRDefault="00C20406" w:rsidP="00C20406">
      <w:pPr>
        <w:spacing w:line="560" w:lineRule="exact"/>
        <w:ind w:firstLine="329"/>
        <w:rPr>
          <w:rFonts w:ascii="仿宋_GB2312" w:hAnsi="仿宋_GB2312" w:cs="仿宋_GB2312"/>
          <w:bCs/>
          <w:sz w:val="28"/>
          <w:szCs w:val="28"/>
        </w:rPr>
      </w:pPr>
      <w:r>
        <w:rPr>
          <w:rFonts w:ascii="仿宋_GB2312" w:hAnsi="仿宋_GB2312" w:cs="仿宋_GB2312" w:hint="eastAsia"/>
          <w:bCs/>
          <w:sz w:val="28"/>
          <w:szCs w:val="28"/>
        </w:rPr>
        <w:t>《暖通空调工程设计方法与系统分析》是建筑环境与能源应用工程专业的专业发展选修课程。课程设计同步课程，在第七学期课程设计前3周开课。主要讲述暖通空调设计的基本理论、基本方法，使学生加深基础理论的理解及运用，在短时间内掌握本专业设计的程序、方法、内容和深度。强调与工程实际的紧密结合，讲述典型工程实例，使学生全面了解本专业在实际工程中的应用，增强工程概念，增强系</w:t>
      </w:r>
      <w:r>
        <w:rPr>
          <w:rFonts w:ascii="仿宋_GB2312" w:hAnsi="仿宋_GB2312" w:cs="仿宋_GB2312" w:hint="eastAsia"/>
          <w:bCs/>
          <w:sz w:val="28"/>
          <w:szCs w:val="28"/>
        </w:rPr>
        <w:lastRenderedPageBreak/>
        <w:t>统性认识，掌握一定的系统分析的方法，拓宽知识面，能够在将来的设计工作中灵活运用本课程学到的知识。讲述计算机模拟分析等一系列新的设计方法，使学生能够综合运用新的设计方法来解决各种暖通空调设计中出现的实际问题。通过理论与实际相结合，综合讲课、实例介绍、做大作业等形式，加深对有关知识的理解和运用能力。</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C20406" w:rsidRDefault="00C20406" w:rsidP="00C20406">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1. 课程任务</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《暖通空调工程设计方法与系统分析》课程是建筑环境与能源应用工程专业的一门专业发展选修课， 通过本课程的学习，使学生加深对有关专业知识的理解和运用能力。提高学生的实践能力，使学习初步掌握本专业工程设计的具体设计方法和设计步骤，为将来从事设计及相关工作打下良好基础。使学生能够综合运用新的设计方法来解决各种建筑设计、暖通空调设计中出现的实际问题。</w:t>
      </w:r>
    </w:p>
    <w:p w:rsidR="00C20406" w:rsidRDefault="00C20406" w:rsidP="006058C6">
      <w:pPr>
        <w:numPr>
          <w:ilvl w:val="0"/>
          <w:numId w:val="65"/>
        </w:numPr>
        <w:spacing w:line="560" w:lineRule="exact"/>
        <w:rPr>
          <w:rFonts w:ascii="仿宋_GB2312" w:hAnsi="仿宋_GB2312" w:cs="仿宋_GB2312"/>
          <w:sz w:val="28"/>
          <w:szCs w:val="28"/>
        </w:rPr>
      </w:pPr>
      <w:r>
        <w:rPr>
          <w:rFonts w:ascii="仿宋_GB2312" w:hAnsi="仿宋_GB2312" w:cs="仿宋_GB2312" w:hint="eastAsia"/>
          <w:sz w:val="28"/>
          <w:szCs w:val="28"/>
        </w:rPr>
        <w:t>课程基本要求</w:t>
      </w:r>
    </w:p>
    <w:p w:rsidR="00C20406" w:rsidRDefault="00C20406" w:rsidP="00C20406">
      <w:pPr>
        <w:spacing w:line="560" w:lineRule="exact"/>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（1）在短时间内熟悉暖通空调设计的一般程序、方法、内容和深度，熟悉相关规范标准；</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2</w:t>
      </w:r>
      <w:r>
        <w:rPr>
          <w:rFonts w:ascii="仿宋_GB2312" w:hAnsi="仿宋_GB2312" w:cs="仿宋_GB2312" w:hint="eastAsia"/>
          <w:bCs/>
          <w:sz w:val="28"/>
          <w:szCs w:val="28"/>
        </w:rPr>
        <w:t>）初步掌握本专业工程设计的具体设计方法和设计步骤，掌握一定的系统分析方法，增强工程概念，学会以系统的观点实现过程设计和节能舒适设计。</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3</w:t>
      </w:r>
      <w:r>
        <w:rPr>
          <w:rFonts w:ascii="仿宋_GB2312" w:hAnsi="仿宋_GB2312" w:cs="仿宋_GB2312" w:hint="eastAsia"/>
          <w:bCs/>
          <w:sz w:val="28"/>
          <w:szCs w:val="28"/>
        </w:rPr>
        <w:t>）了解工程图纸表达方式，了解专业应用的多样性；</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4</w:t>
      </w:r>
      <w:r>
        <w:rPr>
          <w:rFonts w:ascii="仿宋_GB2312" w:hAnsi="仿宋_GB2312" w:cs="仿宋_GB2312" w:hint="eastAsia"/>
          <w:bCs/>
          <w:sz w:val="28"/>
          <w:szCs w:val="28"/>
        </w:rPr>
        <w:t>）掌握暖通空调方案的技术论证及经济分析方法；</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5</w:t>
      </w:r>
      <w:r>
        <w:rPr>
          <w:rFonts w:ascii="仿宋_GB2312" w:hAnsi="仿宋_GB2312" w:cs="仿宋_GB2312" w:hint="eastAsia"/>
          <w:bCs/>
          <w:sz w:val="28"/>
          <w:szCs w:val="28"/>
        </w:rPr>
        <w:t>）学会</w:t>
      </w:r>
      <w:r>
        <w:rPr>
          <w:rFonts w:ascii="仿宋_GB2312" w:hAnsi="仿宋_GB2312" w:cs="仿宋_GB2312"/>
          <w:bCs/>
          <w:sz w:val="28"/>
          <w:szCs w:val="28"/>
        </w:rPr>
        <w:t>应用设计中常用的相关</w:t>
      </w:r>
      <w:r>
        <w:rPr>
          <w:rFonts w:ascii="仿宋_GB2312" w:hAnsi="仿宋_GB2312" w:cs="仿宋_GB2312" w:hint="eastAsia"/>
          <w:bCs/>
          <w:sz w:val="28"/>
          <w:szCs w:val="28"/>
        </w:rPr>
        <w:t>负荷</w:t>
      </w:r>
      <w:r>
        <w:rPr>
          <w:rFonts w:ascii="仿宋_GB2312" w:hAnsi="仿宋_GB2312" w:cs="仿宋_GB2312"/>
          <w:bCs/>
          <w:sz w:val="28"/>
          <w:szCs w:val="28"/>
        </w:rPr>
        <w:t>计算</w:t>
      </w:r>
      <w:r>
        <w:rPr>
          <w:rFonts w:ascii="仿宋_GB2312" w:hAnsi="仿宋_GB2312" w:cs="仿宋_GB2312" w:hint="eastAsia"/>
          <w:bCs/>
          <w:sz w:val="28"/>
          <w:szCs w:val="28"/>
        </w:rPr>
        <w:t>软件以及相关</w:t>
      </w:r>
      <w:r>
        <w:rPr>
          <w:rFonts w:ascii="仿宋_GB2312" w:hAnsi="仿宋_GB2312" w:cs="仿宋_GB2312"/>
          <w:bCs/>
          <w:sz w:val="28"/>
          <w:szCs w:val="28"/>
        </w:rPr>
        <w:t>模拟软件。</w:t>
      </w:r>
    </w:p>
    <w:p w:rsidR="00C20406" w:rsidRDefault="00C20406" w:rsidP="00C20406">
      <w:pPr>
        <w:spacing w:line="360" w:lineRule="auto"/>
        <w:ind w:firstLineChars="200" w:firstLine="560"/>
        <w:jc w:val="left"/>
        <w:rPr>
          <w:rFonts w:ascii="宋体" w:eastAsia="宋体" w:hAnsi="宋体"/>
          <w:b/>
          <w:color w:val="FF0000"/>
          <w:sz w:val="21"/>
          <w:szCs w:val="21"/>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933"/>
        <w:gridCol w:w="3822"/>
        <w:gridCol w:w="2166"/>
      </w:tblGrid>
      <w:tr w:rsidR="00C20406" w:rsidTr="008C3907">
        <w:tc>
          <w:tcPr>
            <w:tcW w:w="1526" w:type="dxa"/>
            <w:vMerge w:val="restart"/>
            <w:shd w:val="clear" w:color="auto" w:fill="auto"/>
          </w:tcPr>
          <w:p w:rsidR="00C20406" w:rsidRPr="004B0D07" w:rsidRDefault="00C20406" w:rsidP="008C3907">
            <w:pPr>
              <w:widowControl/>
              <w:rPr>
                <w:rFonts w:ascii="仿宋_GB2312" w:hAnsi="仿宋_GB2312" w:cs="仿宋_GB2312"/>
                <w:b/>
                <w:bCs/>
                <w:sz w:val="24"/>
                <w:szCs w:val="24"/>
              </w:rPr>
            </w:pPr>
            <w:r w:rsidRPr="004B0D07">
              <w:rPr>
                <w:rFonts w:ascii="仿宋_GB2312" w:hAnsi="仿宋_GB2312" w:cs="仿宋_GB2312" w:hint="eastAsia"/>
                <w:b/>
                <w:bCs/>
                <w:sz w:val="24"/>
                <w:szCs w:val="24"/>
              </w:rPr>
              <w:lastRenderedPageBreak/>
              <w:t>毕业</w:t>
            </w:r>
            <w:r w:rsidRPr="004B0D07">
              <w:rPr>
                <w:rFonts w:ascii="仿宋_GB2312" w:hAnsi="仿宋_GB2312" w:cs="仿宋_GB2312"/>
                <w:b/>
                <w:bCs/>
                <w:sz w:val="24"/>
                <w:szCs w:val="24"/>
              </w:rPr>
              <w:t>要求</w:t>
            </w:r>
          </w:p>
        </w:tc>
        <w:tc>
          <w:tcPr>
            <w:tcW w:w="5331" w:type="dxa"/>
            <w:gridSpan w:val="2"/>
            <w:shd w:val="clear" w:color="auto" w:fill="auto"/>
          </w:tcPr>
          <w:p w:rsidR="00C20406" w:rsidRPr="004B0D07" w:rsidRDefault="00C20406" w:rsidP="008C3907">
            <w:pPr>
              <w:widowControl/>
              <w:rPr>
                <w:rFonts w:ascii="仿宋_GB2312" w:hAnsi="仿宋_GB2312" w:cs="仿宋_GB2312"/>
                <w:b/>
                <w:bCs/>
                <w:sz w:val="24"/>
                <w:szCs w:val="24"/>
              </w:rPr>
            </w:pPr>
            <w:r w:rsidRPr="004B0D07">
              <w:rPr>
                <w:rFonts w:ascii="仿宋_GB2312" w:hAnsi="仿宋_GB2312" w:cs="仿宋_GB2312" w:hint="eastAsia"/>
                <w:b/>
                <w:bCs/>
                <w:sz w:val="24"/>
                <w:szCs w:val="24"/>
              </w:rPr>
              <w:t>毕业</w:t>
            </w:r>
            <w:r w:rsidRPr="004B0D07">
              <w:rPr>
                <w:rFonts w:ascii="仿宋_GB2312" w:hAnsi="仿宋_GB2312" w:cs="仿宋_GB2312"/>
                <w:b/>
                <w:bCs/>
                <w:sz w:val="24"/>
                <w:szCs w:val="24"/>
              </w:rPr>
              <w:t>要求指标点</w:t>
            </w:r>
          </w:p>
        </w:tc>
        <w:tc>
          <w:tcPr>
            <w:tcW w:w="2429" w:type="dxa"/>
            <w:vMerge w:val="restart"/>
            <w:shd w:val="clear" w:color="auto" w:fill="auto"/>
          </w:tcPr>
          <w:p w:rsidR="00C20406" w:rsidRPr="004B0D07" w:rsidRDefault="00C20406" w:rsidP="008C3907">
            <w:pPr>
              <w:widowControl/>
              <w:rPr>
                <w:rFonts w:ascii="仿宋_GB2312" w:hAnsi="仿宋_GB2312" w:cs="仿宋_GB2312"/>
                <w:b/>
                <w:bCs/>
                <w:sz w:val="24"/>
                <w:szCs w:val="24"/>
              </w:rPr>
            </w:pPr>
            <w:r w:rsidRPr="004B0D07">
              <w:rPr>
                <w:rFonts w:ascii="仿宋_GB2312" w:hAnsi="仿宋_GB2312" w:cs="仿宋_GB2312" w:hint="eastAsia"/>
                <w:b/>
                <w:bCs/>
                <w:sz w:val="24"/>
                <w:szCs w:val="24"/>
              </w:rPr>
              <w:t>课程</w:t>
            </w:r>
            <w:r w:rsidRPr="004B0D07">
              <w:rPr>
                <w:rFonts w:ascii="仿宋_GB2312" w:hAnsi="仿宋_GB2312" w:cs="仿宋_GB2312"/>
                <w:b/>
                <w:bCs/>
                <w:sz w:val="24"/>
                <w:szCs w:val="24"/>
              </w:rPr>
              <w:t>目标</w:t>
            </w:r>
          </w:p>
        </w:tc>
      </w:tr>
      <w:tr w:rsidR="00C20406" w:rsidTr="008C3907">
        <w:tc>
          <w:tcPr>
            <w:tcW w:w="1526" w:type="dxa"/>
            <w:vMerge/>
            <w:shd w:val="clear" w:color="auto" w:fill="auto"/>
          </w:tcPr>
          <w:p w:rsidR="00C20406" w:rsidRDefault="00C20406" w:rsidP="008C3907">
            <w:pPr>
              <w:widowControl/>
              <w:rPr>
                <w:rFonts w:ascii="宋体" w:eastAsia="宋体" w:hAnsi="宋体" w:cs="宋体"/>
                <w:kern w:val="0"/>
                <w:sz w:val="24"/>
                <w:szCs w:val="24"/>
              </w:rPr>
            </w:pPr>
          </w:p>
        </w:tc>
        <w:tc>
          <w:tcPr>
            <w:tcW w:w="992" w:type="dxa"/>
            <w:shd w:val="clear" w:color="auto" w:fill="auto"/>
          </w:tcPr>
          <w:p w:rsidR="00C20406" w:rsidRPr="004B0D07" w:rsidRDefault="00C20406" w:rsidP="008C3907">
            <w:pPr>
              <w:widowControl/>
              <w:rPr>
                <w:rFonts w:ascii="仿宋_GB2312" w:hAnsi="仿宋_GB2312" w:cs="仿宋_GB2312"/>
                <w:b/>
                <w:bCs/>
                <w:sz w:val="24"/>
                <w:szCs w:val="24"/>
              </w:rPr>
            </w:pPr>
            <w:r w:rsidRPr="004B0D07">
              <w:rPr>
                <w:rFonts w:ascii="仿宋_GB2312" w:hAnsi="仿宋_GB2312" w:cs="仿宋_GB2312" w:hint="eastAsia"/>
                <w:b/>
                <w:bCs/>
                <w:sz w:val="24"/>
                <w:szCs w:val="24"/>
              </w:rPr>
              <w:t>名称</w:t>
            </w:r>
          </w:p>
        </w:tc>
        <w:tc>
          <w:tcPr>
            <w:tcW w:w="4339" w:type="dxa"/>
            <w:shd w:val="clear" w:color="auto" w:fill="auto"/>
          </w:tcPr>
          <w:p w:rsidR="00C20406" w:rsidRPr="004B0D07" w:rsidRDefault="00C20406" w:rsidP="008C3907">
            <w:pPr>
              <w:widowControl/>
              <w:rPr>
                <w:rFonts w:ascii="仿宋_GB2312" w:hAnsi="仿宋_GB2312" w:cs="仿宋_GB2312"/>
                <w:b/>
                <w:bCs/>
                <w:sz w:val="24"/>
                <w:szCs w:val="24"/>
              </w:rPr>
            </w:pPr>
            <w:r w:rsidRPr="004B0D07">
              <w:rPr>
                <w:rFonts w:ascii="仿宋_GB2312" w:hAnsi="仿宋_GB2312" w:cs="仿宋_GB2312" w:hint="eastAsia"/>
                <w:b/>
                <w:bCs/>
                <w:sz w:val="24"/>
                <w:szCs w:val="24"/>
              </w:rPr>
              <w:t>具体</w:t>
            </w:r>
            <w:r w:rsidRPr="004B0D07">
              <w:rPr>
                <w:rFonts w:ascii="仿宋_GB2312" w:hAnsi="仿宋_GB2312" w:cs="仿宋_GB2312"/>
                <w:b/>
                <w:bCs/>
                <w:sz w:val="24"/>
                <w:szCs w:val="24"/>
              </w:rPr>
              <w:t>描述</w:t>
            </w:r>
          </w:p>
        </w:tc>
        <w:tc>
          <w:tcPr>
            <w:tcW w:w="2429" w:type="dxa"/>
            <w:vMerge/>
            <w:shd w:val="clear" w:color="auto" w:fill="auto"/>
          </w:tcPr>
          <w:p w:rsidR="00C20406" w:rsidRDefault="00C20406" w:rsidP="008C3907">
            <w:pPr>
              <w:widowControl/>
              <w:rPr>
                <w:rFonts w:ascii="宋体" w:eastAsia="宋体" w:hAnsi="宋体" w:cs="宋体"/>
                <w:kern w:val="0"/>
                <w:sz w:val="24"/>
                <w:szCs w:val="24"/>
              </w:rPr>
            </w:pPr>
          </w:p>
        </w:tc>
      </w:tr>
      <w:tr w:rsidR="00C20406" w:rsidTr="008C3907">
        <w:tc>
          <w:tcPr>
            <w:tcW w:w="1526"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 xml:space="preserve">1.工程知识 </w:t>
            </w:r>
          </w:p>
        </w:tc>
        <w:tc>
          <w:tcPr>
            <w:tcW w:w="992"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1.</w:t>
            </w:r>
            <w:r w:rsidRPr="004B0D07">
              <w:rPr>
                <w:rFonts w:ascii="仿宋_GB2312" w:hAnsi="仿宋_GB2312" w:cs="仿宋_GB2312"/>
                <w:bCs/>
                <w:sz w:val="24"/>
                <w:szCs w:val="24"/>
              </w:rPr>
              <w:t>3</w:t>
            </w:r>
          </w:p>
        </w:tc>
        <w:tc>
          <w:tcPr>
            <w:tcW w:w="433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掌握建筑环境与能源应用工程专业知识，具备知识交叉融合能力，应用于解决建筑环境与能源应用工程专业复杂工程问题。</w:t>
            </w:r>
          </w:p>
        </w:tc>
        <w:tc>
          <w:tcPr>
            <w:tcW w:w="242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2</w:t>
            </w:r>
          </w:p>
        </w:tc>
      </w:tr>
      <w:tr w:rsidR="00C20406" w:rsidTr="008C3907">
        <w:tc>
          <w:tcPr>
            <w:tcW w:w="1526" w:type="dxa"/>
            <w:vMerge w:val="restart"/>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 xml:space="preserve">3.设计/开发解决方案 </w:t>
            </w:r>
          </w:p>
        </w:tc>
        <w:tc>
          <w:tcPr>
            <w:tcW w:w="992"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3.1</w:t>
            </w:r>
          </w:p>
        </w:tc>
        <w:tc>
          <w:tcPr>
            <w:tcW w:w="433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3.1 能够针对特定需求，确定工程基本单元的设计目标或问题解决方案，并完成设计/开发工作；</w:t>
            </w:r>
          </w:p>
        </w:tc>
        <w:tc>
          <w:tcPr>
            <w:tcW w:w="2429" w:type="dxa"/>
            <w:vMerge w:val="restart"/>
            <w:shd w:val="clear" w:color="auto" w:fill="auto"/>
          </w:tcPr>
          <w:p w:rsidR="00C20406" w:rsidRPr="004B0D07" w:rsidRDefault="00C20406" w:rsidP="008C3907">
            <w:pPr>
              <w:widowControl/>
              <w:rPr>
                <w:rFonts w:ascii="仿宋_GB2312" w:hAnsi="仿宋_GB2312" w:cs="仿宋_GB2312"/>
                <w:bCs/>
                <w:sz w:val="24"/>
                <w:szCs w:val="24"/>
              </w:rPr>
            </w:pPr>
          </w:p>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2、3、4</w:t>
            </w:r>
          </w:p>
        </w:tc>
      </w:tr>
      <w:tr w:rsidR="00C20406" w:rsidTr="008C3907">
        <w:tc>
          <w:tcPr>
            <w:tcW w:w="1526" w:type="dxa"/>
            <w:vMerge/>
            <w:shd w:val="clear" w:color="auto" w:fill="auto"/>
          </w:tcPr>
          <w:p w:rsidR="00C20406" w:rsidRPr="004B0D07" w:rsidRDefault="00C20406" w:rsidP="008C3907">
            <w:pPr>
              <w:widowControl/>
              <w:rPr>
                <w:rFonts w:ascii="仿宋_GB2312" w:hAnsi="仿宋_GB2312" w:cs="仿宋_GB2312"/>
                <w:bCs/>
                <w:sz w:val="24"/>
                <w:szCs w:val="24"/>
              </w:rPr>
            </w:pPr>
          </w:p>
        </w:tc>
        <w:tc>
          <w:tcPr>
            <w:tcW w:w="992"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3.</w:t>
            </w:r>
            <w:r w:rsidRPr="004B0D07">
              <w:rPr>
                <w:rFonts w:ascii="仿宋_GB2312" w:hAnsi="仿宋_GB2312" w:cs="仿宋_GB2312"/>
                <w:bCs/>
                <w:sz w:val="24"/>
                <w:szCs w:val="24"/>
              </w:rPr>
              <w:t>2</w:t>
            </w:r>
          </w:p>
        </w:tc>
        <w:tc>
          <w:tcPr>
            <w:tcW w:w="433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3.2 能够进行工程体系或工艺流程的系统分析和优化设计，并体现创新意识；</w:t>
            </w:r>
          </w:p>
        </w:tc>
        <w:tc>
          <w:tcPr>
            <w:tcW w:w="2429" w:type="dxa"/>
            <w:vMerge/>
            <w:shd w:val="clear" w:color="auto" w:fill="auto"/>
          </w:tcPr>
          <w:p w:rsidR="00C20406" w:rsidRPr="004B0D07" w:rsidRDefault="00C20406" w:rsidP="008C3907">
            <w:pPr>
              <w:widowControl/>
              <w:rPr>
                <w:rFonts w:ascii="仿宋_GB2312" w:hAnsi="仿宋_GB2312" w:cs="仿宋_GB2312"/>
                <w:bCs/>
                <w:sz w:val="24"/>
                <w:szCs w:val="24"/>
              </w:rPr>
            </w:pPr>
          </w:p>
        </w:tc>
      </w:tr>
      <w:tr w:rsidR="00C20406" w:rsidTr="008C3907">
        <w:tc>
          <w:tcPr>
            <w:tcW w:w="1526" w:type="dxa"/>
            <w:vMerge/>
            <w:shd w:val="clear" w:color="auto" w:fill="auto"/>
          </w:tcPr>
          <w:p w:rsidR="00C20406" w:rsidRPr="004B0D07" w:rsidRDefault="00C20406" w:rsidP="008C3907">
            <w:pPr>
              <w:widowControl/>
              <w:rPr>
                <w:rFonts w:ascii="仿宋_GB2312" w:hAnsi="仿宋_GB2312" w:cs="仿宋_GB2312"/>
                <w:bCs/>
                <w:sz w:val="24"/>
                <w:szCs w:val="24"/>
              </w:rPr>
            </w:pPr>
          </w:p>
        </w:tc>
        <w:tc>
          <w:tcPr>
            <w:tcW w:w="992"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3.3</w:t>
            </w:r>
          </w:p>
        </w:tc>
        <w:tc>
          <w:tcPr>
            <w:tcW w:w="433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3.3在设计/开发工作中能够综合考虑社会、健康、安全、法律、文化以及环境等因素。</w:t>
            </w:r>
          </w:p>
        </w:tc>
        <w:tc>
          <w:tcPr>
            <w:tcW w:w="2429" w:type="dxa"/>
            <w:vMerge/>
            <w:shd w:val="clear" w:color="auto" w:fill="auto"/>
          </w:tcPr>
          <w:p w:rsidR="00C20406" w:rsidRPr="004B0D07" w:rsidRDefault="00C20406" w:rsidP="008C3907">
            <w:pPr>
              <w:widowControl/>
              <w:rPr>
                <w:rFonts w:ascii="仿宋_GB2312" w:hAnsi="仿宋_GB2312" w:cs="仿宋_GB2312"/>
                <w:bCs/>
                <w:sz w:val="24"/>
                <w:szCs w:val="24"/>
              </w:rPr>
            </w:pPr>
          </w:p>
        </w:tc>
      </w:tr>
      <w:tr w:rsidR="00C20406" w:rsidTr="008C3907">
        <w:tc>
          <w:tcPr>
            <w:tcW w:w="1526" w:type="dxa"/>
            <w:vMerge w:val="restart"/>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5.使用现代工具</w:t>
            </w:r>
          </w:p>
        </w:tc>
        <w:tc>
          <w:tcPr>
            <w:tcW w:w="992"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5.2</w:t>
            </w:r>
          </w:p>
        </w:tc>
        <w:tc>
          <w:tcPr>
            <w:tcW w:w="433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5.2 能够选择与使用勘测、制图、检测、计算、设计等恰当的技术和资源，对建筑环境与能源应用工程专业复杂工程问题进行分析、计算和设计，并理解其局限性；</w:t>
            </w:r>
          </w:p>
        </w:tc>
        <w:tc>
          <w:tcPr>
            <w:tcW w:w="242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bCs/>
                <w:sz w:val="24"/>
                <w:szCs w:val="24"/>
              </w:rPr>
              <w:t>3</w:t>
            </w:r>
            <w:r w:rsidRPr="004B0D07">
              <w:rPr>
                <w:rFonts w:ascii="仿宋_GB2312" w:hAnsi="仿宋_GB2312" w:cs="仿宋_GB2312" w:hint="eastAsia"/>
                <w:bCs/>
                <w:sz w:val="24"/>
                <w:szCs w:val="24"/>
              </w:rPr>
              <w:t>、</w:t>
            </w:r>
            <w:r w:rsidRPr="004B0D07">
              <w:rPr>
                <w:rFonts w:ascii="仿宋_GB2312" w:hAnsi="仿宋_GB2312" w:cs="仿宋_GB2312"/>
                <w:bCs/>
                <w:sz w:val="24"/>
                <w:szCs w:val="24"/>
              </w:rPr>
              <w:t>4</w:t>
            </w:r>
          </w:p>
        </w:tc>
      </w:tr>
      <w:tr w:rsidR="00C20406" w:rsidTr="008C3907">
        <w:tc>
          <w:tcPr>
            <w:tcW w:w="1526" w:type="dxa"/>
            <w:vMerge/>
            <w:shd w:val="clear" w:color="auto" w:fill="auto"/>
          </w:tcPr>
          <w:p w:rsidR="00C20406" w:rsidRPr="004B0D07" w:rsidRDefault="00C20406" w:rsidP="008C3907">
            <w:pPr>
              <w:widowControl/>
              <w:rPr>
                <w:rFonts w:ascii="仿宋_GB2312" w:hAnsi="仿宋_GB2312" w:cs="仿宋_GB2312"/>
                <w:bCs/>
                <w:sz w:val="24"/>
                <w:szCs w:val="24"/>
              </w:rPr>
            </w:pPr>
          </w:p>
        </w:tc>
        <w:tc>
          <w:tcPr>
            <w:tcW w:w="992"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5.3</w:t>
            </w:r>
          </w:p>
        </w:tc>
        <w:tc>
          <w:tcPr>
            <w:tcW w:w="433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能够开发、选用恰当的现代工具，对建筑环境与能源应用工程专业特定复杂工程问题进行预测和模拟，并能够分析其局限性。</w:t>
            </w:r>
          </w:p>
        </w:tc>
        <w:tc>
          <w:tcPr>
            <w:tcW w:w="242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4</w:t>
            </w:r>
          </w:p>
        </w:tc>
      </w:tr>
      <w:tr w:rsidR="00C20406" w:rsidTr="008C3907">
        <w:tc>
          <w:tcPr>
            <w:tcW w:w="1526"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6.工程与社会</w:t>
            </w:r>
          </w:p>
        </w:tc>
        <w:tc>
          <w:tcPr>
            <w:tcW w:w="992"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6.1</w:t>
            </w:r>
          </w:p>
        </w:tc>
        <w:tc>
          <w:tcPr>
            <w:tcW w:w="433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6.1 了解建筑环境与能源应用工程专业相关领域的技术标准体系、知识产权、产业政策和法律法规，理解不同社会文化对工程活动的影响；</w:t>
            </w:r>
          </w:p>
        </w:tc>
        <w:tc>
          <w:tcPr>
            <w:tcW w:w="242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1</w:t>
            </w:r>
          </w:p>
        </w:tc>
      </w:tr>
      <w:tr w:rsidR="00C20406" w:rsidTr="008C3907">
        <w:tc>
          <w:tcPr>
            <w:tcW w:w="1526"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7.环境和可持续发展</w:t>
            </w:r>
          </w:p>
        </w:tc>
        <w:tc>
          <w:tcPr>
            <w:tcW w:w="992"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7.2</w:t>
            </w:r>
          </w:p>
        </w:tc>
        <w:tc>
          <w:tcPr>
            <w:tcW w:w="433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能够从环境保护和社会可持续发展的角度思考建筑环境与能源应用工程专业工程实践的可持续性，评价其可能对人类和环境造成的损害和隐患，践行绿色环保理念。</w:t>
            </w:r>
          </w:p>
        </w:tc>
        <w:tc>
          <w:tcPr>
            <w:tcW w:w="2429" w:type="dxa"/>
            <w:shd w:val="clear" w:color="auto" w:fill="auto"/>
          </w:tcPr>
          <w:p w:rsidR="00C20406" w:rsidRPr="004B0D07" w:rsidRDefault="00C20406" w:rsidP="008C3907">
            <w:pPr>
              <w:widowControl/>
              <w:rPr>
                <w:rFonts w:ascii="仿宋_GB2312" w:hAnsi="仿宋_GB2312" w:cs="仿宋_GB2312"/>
                <w:bCs/>
                <w:sz w:val="24"/>
                <w:szCs w:val="24"/>
              </w:rPr>
            </w:pPr>
            <w:r w:rsidRPr="004B0D07">
              <w:rPr>
                <w:rFonts w:ascii="仿宋_GB2312" w:hAnsi="仿宋_GB2312" w:cs="仿宋_GB2312" w:hint="eastAsia"/>
                <w:bCs/>
                <w:sz w:val="24"/>
                <w:szCs w:val="24"/>
              </w:rPr>
              <w:t>2、4</w:t>
            </w:r>
          </w:p>
        </w:tc>
      </w:tr>
    </w:tbl>
    <w:p w:rsidR="00C20406" w:rsidRDefault="00C20406" w:rsidP="00C20406">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课程的重点：负荷计算理论</w:t>
      </w:r>
      <w:r>
        <w:rPr>
          <w:rFonts w:ascii="仿宋_GB2312" w:hAnsi="仿宋_GB2312" w:cs="仿宋_GB2312"/>
          <w:bCs/>
          <w:sz w:val="28"/>
          <w:szCs w:val="28"/>
        </w:rPr>
        <w:t>与方法</w:t>
      </w:r>
      <w:r>
        <w:rPr>
          <w:rFonts w:ascii="仿宋_GB2312" w:hAnsi="仿宋_GB2312" w:cs="仿宋_GB2312" w:hint="eastAsia"/>
          <w:bCs/>
          <w:sz w:val="28"/>
          <w:szCs w:val="28"/>
        </w:rPr>
        <w:t>；暖通</w:t>
      </w:r>
      <w:r>
        <w:rPr>
          <w:rFonts w:ascii="仿宋_GB2312" w:hAnsi="仿宋_GB2312" w:cs="仿宋_GB2312"/>
          <w:bCs/>
          <w:sz w:val="28"/>
          <w:szCs w:val="28"/>
        </w:rPr>
        <w:t>空调系统</w:t>
      </w:r>
      <w:r>
        <w:rPr>
          <w:rFonts w:ascii="仿宋_GB2312" w:hAnsi="仿宋_GB2312" w:cs="仿宋_GB2312" w:hint="eastAsia"/>
          <w:bCs/>
          <w:sz w:val="28"/>
          <w:szCs w:val="28"/>
        </w:rPr>
        <w:t xml:space="preserve">设计方法；暖通空调方案的技术论证及经济分析的计算方法； </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课程的难点：动态负荷的模拟计算；CFD模拟预测及优化设计方案</w:t>
      </w:r>
    </w:p>
    <w:p w:rsidR="00C20406" w:rsidRDefault="00C20406" w:rsidP="00C20406">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C20406" w:rsidRDefault="00C20406" w:rsidP="00C20406">
      <w:pPr>
        <w:spacing w:line="360" w:lineRule="auto"/>
        <w:ind w:firstLineChars="200" w:firstLine="560"/>
        <w:rPr>
          <w:rFonts w:ascii="仿宋_GB2312" w:hAnsi="仿宋_GB2312" w:cs="仿宋_GB2312"/>
          <w:bCs/>
          <w:sz w:val="28"/>
          <w:szCs w:val="28"/>
        </w:rPr>
      </w:pPr>
      <w:r>
        <w:rPr>
          <w:rFonts w:ascii="仿宋_GB2312" w:hAnsi="仿宋_GB2312" w:cs="仿宋_GB2312" w:hint="eastAsia"/>
          <w:bCs/>
          <w:sz w:val="28"/>
          <w:szCs w:val="28"/>
        </w:rPr>
        <w:lastRenderedPageBreak/>
        <w:t>课程思政设计以“节能、环保”为特色，在专业课教育中融入节能环保、</w:t>
      </w:r>
      <w:r>
        <w:rPr>
          <w:rFonts w:ascii="仿宋_GB2312" w:hAnsi="仿宋_GB2312" w:cs="仿宋_GB2312"/>
          <w:bCs/>
          <w:sz w:val="28"/>
          <w:szCs w:val="28"/>
        </w:rPr>
        <w:t>生态文明</w:t>
      </w:r>
      <w:r>
        <w:rPr>
          <w:rFonts w:ascii="仿宋_GB2312" w:hAnsi="仿宋_GB2312" w:cs="仿宋_GB2312" w:hint="eastAsia"/>
          <w:bCs/>
          <w:sz w:val="28"/>
          <w:szCs w:val="28"/>
        </w:rPr>
        <w:t>教育，结合当今应对全球气候变化和保护环境的社会背景</w:t>
      </w:r>
      <w:r>
        <w:rPr>
          <w:rFonts w:ascii="仿宋_GB2312" w:hAnsi="仿宋_GB2312" w:cs="仿宋_GB2312"/>
          <w:bCs/>
          <w:sz w:val="28"/>
          <w:szCs w:val="28"/>
        </w:rPr>
        <w:t>，</w:t>
      </w:r>
      <w:r>
        <w:rPr>
          <w:rFonts w:ascii="仿宋_GB2312" w:hAnsi="仿宋_GB2312" w:cs="仿宋_GB2312" w:hint="eastAsia"/>
          <w:bCs/>
          <w:sz w:val="28"/>
          <w:szCs w:val="28"/>
        </w:rPr>
        <w:t>讲述我</w:t>
      </w:r>
      <w:r>
        <w:rPr>
          <w:rFonts w:ascii="仿宋_GB2312" w:hAnsi="仿宋_GB2312" w:cs="仿宋_GB2312"/>
          <w:bCs/>
          <w:sz w:val="28"/>
          <w:szCs w:val="28"/>
        </w:rPr>
        <w:t>国</w:t>
      </w:r>
      <w:r>
        <w:rPr>
          <w:rFonts w:ascii="仿宋_GB2312" w:hAnsi="仿宋_GB2312" w:cs="仿宋_GB2312" w:hint="eastAsia"/>
          <w:bCs/>
          <w:sz w:val="28"/>
          <w:szCs w:val="28"/>
        </w:rPr>
        <w:t>“碳达峰、碳中和”的目标给</w:t>
      </w:r>
      <w:r>
        <w:rPr>
          <w:rFonts w:ascii="仿宋_GB2312" w:hAnsi="仿宋_GB2312" w:cs="仿宋_GB2312"/>
          <w:bCs/>
          <w:sz w:val="28"/>
          <w:szCs w:val="28"/>
        </w:rPr>
        <w:t>暖通空调系统设计带来的新挑战</w:t>
      </w:r>
      <w:r>
        <w:rPr>
          <w:rFonts w:ascii="仿宋_GB2312" w:hAnsi="仿宋_GB2312" w:cs="仿宋_GB2312" w:hint="eastAsia"/>
          <w:bCs/>
          <w:sz w:val="28"/>
          <w:szCs w:val="28"/>
        </w:rPr>
        <w:t>、</w:t>
      </w:r>
      <w:r>
        <w:rPr>
          <w:rFonts w:ascii="仿宋_GB2312" w:hAnsi="仿宋_GB2312" w:cs="仿宋_GB2312"/>
          <w:bCs/>
          <w:sz w:val="28"/>
          <w:szCs w:val="28"/>
        </w:rPr>
        <w:t>新机遇、新</w:t>
      </w:r>
      <w:r>
        <w:rPr>
          <w:rFonts w:ascii="仿宋_GB2312" w:hAnsi="仿宋_GB2312" w:cs="仿宋_GB2312" w:hint="eastAsia"/>
          <w:bCs/>
          <w:sz w:val="28"/>
          <w:szCs w:val="28"/>
        </w:rPr>
        <w:t>技术，增强学生的学习动力和社会责任感。</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C20406" w:rsidTr="008C3907">
        <w:trPr>
          <w:cantSplit/>
          <w:trHeight w:val="785"/>
        </w:trPr>
        <w:tc>
          <w:tcPr>
            <w:tcW w:w="512" w:type="dxa"/>
            <w:vAlign w:val="center"/>
          </w:tcPr>
          <w:p w:rsidR="00C20406" w:rsidRPr="004B0D07" w:rsidRDefault="00C20406" w:rsidP="008C3907">
            <w:pPr>
              <w:jc w:val="center"/>
              <w:rPr>
                <w:rFonts w:ascii="Times New Roman" w:hAnsi="Times New Roman"/>
                <w:b/>
                <w:kern w:val="0"/>
                <w:sz w:val="24"/>
                <w:szCs w:val="24"/>
              </w:rPr>
            </w:pPr>
            <w:r w:rsidRPr="004B0D07">
              <w:rPr>
                <w:rFonts w:ascii="Times New Roman" w:hAnsi="Times New Roman" w:hint="eastAsia"/>
                <w:b/>
                <w:kern w:val="0"/>
                <w:sz w:val="24"/>
                <w:szCs w:val="24"/>
              </w:rPr>
              <w:t>序号</w:t>
            </w:r>
          </w:p>
        </w:tc>
        <w:tc>
          <w:tcPr>
            <w:tcW w:w="2102" w:type="dxa"/>
            <w:vAlign w:val="center"/>
          </w:tcPr>
          <w:p w:rsidR="00C20406" w:rsidRPr="004B0D07" w:rsidRDefault="00C20406" w:rsidP="008C3907">
            <w:pPr>
              <w:jc w:val="center"/>
              <w:rPr>
                <w:rFonts w:ascii="Times New Roman" w:hAnsi="Times New Roman"/>
                <w:b/>
                <w:kern w:val="0"/>
                <w:sz w:val="24"/>
                <w:szCs w:val="24"/>
              </w:rPr>
            </w:pPr>
            <w:r w:rsidRPr="004B0D07">
              <w:rPr>
                <w:rFonts w:ascii="Times New Roman" w:hAnsi="Times New Roman" w:hint="eastAsia"/>
                <w:b/>
                <w:kern w:val="0"/>
                <w:sz w:val="24"/>
                <w:szCs w:val="24"/>
              </w:rPr>
              <w:t>章</w:t>
            </w:r>
            <w:r w:rsidRPr="004B0D07">
              <w:rPr>
                <w:rFonts w:ascii="Times New Roman" w:hAnsi="Times New Roman" w:hint="eastAsia"/>
                <w:b/>
                <w:kern w:val="0"/>
                <w:sz w:val="24"/>
                <w:szCs w:val="24"/>
              </w:rPr>
              <w:t xml:space="preserve">  </w:t>
            </w:r>
            <w:r w:rsidRPr="004B0D07">
              <w:rPr>
                <w:rFonts w:ascii="Times New Roman" w:hAnsi="Times New Roman" w:hint="eastAsia"/>
                <w:b/>
                <w:kern w:val="0"/>
                <w:sz w:val="24"/>
                <w:szCs w:val="24"/>
              </w:rPr>
              <w:t>节</w:t>
            </w:r>
          </w:p>
        </w:tc>
        <w:tc>
          <w:tcPr>
            <w:tcW w:w="727" w:type="dxa"/>
            <w:vAlign w:val="center"/>
          </w:tcPr>
          <w:p w:rsidR="00C20406" w:rsidRPr="004B0D07" w:rsidRDefault="00C20406" w:rsidP="008C3907">
            <w:pPr>
              <w:jc w:val="center"/>
              <w:rPr>
                <w:rFonts w:ascii="Times New Roman" w:hAnsi="Times New Roman"/>
                <w:b/>
                <w:kern w:val="0"/>
                <w:sz w:val="24"/>
                <w:szCs w:val="24"/>
              </w:rPr>
            </w:pPr>
            <w:r w:rsidRPr="004B0D07">
              <w:rPr>
                <w:rFonts w:ascii="Times New Roman" w:hAnsi="Times New Roman" w:hint="eastAsia"/>
                <w:b/>
                <w:kern w:val="0"/>
                <w:sz w:val="24"/>
                <w:szCs w:val="24"/>
              </w:rPr>
              <w:t>参考学时</w:t>
            </w:r>
          </w:p>
        </w:tc>
        <w:tc>
          <w:tcPr>
            <w:tcW w:w="3059" w:type="dxa"/>
            <w:vAlign w:val="center"/>
          </w:tcPr>
          <w:p w:rsidR="00C20406" w:rsidRPr="004B0D07" w:rsidRDefault="00C20406" w:rsidP="008C3907">
            <w:pPr>
              <w:jc w:val="center"/>
              <w:rPr>
                <w:rFonts w:ascii="Times New Roman" w:hAnsi="Times New Roman"/>
                <w:b/>
                <w:kern w:val="0"/>
                <w:sz w:val="24"/>
                <w:szCs w:val="24"/>
              </w:rPr>
            </w:pPr>
            <w:r w:rsidRPr="004B0D07">
              <w:rPr>
                <w:rFonts w:ascii="Times New Roman" w:hAnsi="Times New Roman" w:hint="eastAsia"/>
                <w:b/>
                <w:kern w:val="0"/>
                <w:sz w:val="24"/>
                <w:szCs w:val="24"/>
              </w:rPr>
              <w:t>教学内容</w:t>
            </w:r>
          </w:p>
        </w:tc>
        <w:tc>
          <w:tcPr>
            <w:tcW w:w="2755" w:type="dxa"/>
            <w:vAlign w:val="center"/>
          </w:tcPr>
          <w:p w:rsidR="00C20406" w:rsidRPr="004B0D07" w:rsidRDefault="00C20406" w:rsidP="008C3907">
            <w:pPr>
              <w:jc w:val="center"/>
              <w:rPr>
                <w:rFonts w:ascii="Times New Roman" w:hAnsi="Times New Roman"/>
                <w:b/>
                <w:kern w:val="0"/>
                <w:sz w:val="24"/>
                <w:szCs w:val="24"/>
              </w:rPr>
            </w:pPr>
            <w:r w:rsidRPr="004B0D07">
              <w:rPr>
                <w:rFonts w:ascii="Times New Roman" w:hAnsi="Times New Roman" w:hint="eastAsia"/>
                <w:b/>
                <w:kern w:val="0"/>
                <w:sz w:val="24"/>
                <w:szCs w:val="24"/>
              </w:rPr>
              <w:t>基本要求</w:t>
            </w:r>
          </w:p>
        </w:tc>
      </w:tr>
      <w:tr w:rsidR="00C20406" w:rsidTr="008C3907">
        <w:trPr>
          <w:trHeight w:val="428"/>
        </w:trPr>
        <w:tc>
          <w:tcPr>
            <w:tcW w:w="51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1</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第一章  暖通空调设计程序及内容</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2</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暖通空调设计的程序、内容及深度；相关规范标准图集的使用；课程设计及毕业设计的要求及主要内容。</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了解暖通空调设计的程序、内容及深度；了解毕业设计的要求及主要内容</w:t>
            </w:r>
          </w:p>
        </w:tc>
      </w:tr>
      <w:tr w:rsidR="00C20406" w:rsidTr="008C3907">
        <w:trPr>
          <w:trHeight w:val="519"/>
        </w:trPr>
        <w:tc>
          <w:tcPr>
            <w:tcW w:w="512" w:type="dxa"/>
            <w:vAlign w:val="center"/>
          </w:tcPr>
          <w:p w:rsidR="00C20406" w:rsidRPr="004B0D07" w:rsidRDefault="00C20406" w:rsidP="008C3907">
            <w:pPr>
              <w:rPr>
                <w:rFonts w:ascii="仿宋" w:eastAsia="仿宋" w:hAnsi="仿宋"/>
                <w:sz w:val="24"/>
                <w:szCs w:val="24"/>
              </w:rPr>
            </w:pPr>
          </w:p>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2</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第二章  负荷计算理论及相关软件的使用</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sz w:val="24"/>
                <w:szCs w:val="24"/>
              </w:rPr>
              <w:t>2</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负荷计算理论；静态负荷的计算；动态负荷的模拟计算。</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了解静态、动态负荷、静态设计及动态设计等相关概念；了解其在暖通空调设计中的作用，学会静态负荷的软件计算方法； 了解DEST软件负荷计算理论，学会采用该软件进行动态负荷计算。</w:t>
            </w:r>
          </w:p>
        </w:tc>
      </w:tr>
      <w:tr w:rsidR="00C20406" w:rsidTr="008C3907">
        <w:trPr>
          <w:trHeight w:val="555"/>
        </w:trPr>
        <w:tc>
          <w:tcPr>
            <w:tcW w:w="51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3</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第三章  舒适性空调系统设计方法与案例分析</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sz w:val="24"/>
                <w:szCs w:val="24"/>
              </w:rPr>
              <w:t>6</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舒适性空调设计的一般步骤；舒适性空调设计的方案选择及关键问题；冷热源及空调系统分类；典型水系统流程图；典型建筑舒适性空调设计实例分析（旅馆酒店、办公建筑、商用建筑、观演建筑、体育场馆）；水源热泵设计案例分析；地源热泵设计案例分析。</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了解舒适性空调设计的一般步骤及内容；掌握舒适性空调方案的选择方法，了解方案选择的关键问题； 了解影剧院、体育建筑等典型建筑的空调设计方案及设计技巧。</w:t>
            </w:r>
          </w:p>
        </w:tc>
      </w:tr>
      <w:tr w:rsidR="00C20406" w:rsidTr="008C3907">
        <w:trPr>
          <w:trHeight w:val="548"/>
        </w:trPr>
        <w:tc>
          <w:tcPr>
            <w:tcW w:w="51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4</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第四章</w:t>
            </w:r>
          </w:p>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暖通空调设计方案的技术经济分析</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2</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暖通空调方案的技术论证及经济分析的计算方法</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掌握暖通空调方案的技术论证及经济分析的计算方法。</w:t>
            </w:r>
          </w:p>
        </w:tc>
      </w:tr>
      <w:tr w:rsidR="00C20406" w:rsidTr="008C3907">
        <w:trPr>
          <w:trHeight w:val="548"/>
        </w:trPr>
        <w:tc>
          <w:tcPr>
            <w:tcW w:w="51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5</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第五章  CFD模拟在指导暖通空调设计方案中的应用</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2</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暖通空调系统与室内热环境及空气品质；建筑环境的CFD模拟；CFD模拟预测及优化设计方案。</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理解建筑热湿环境的构成及相关评价方法，了解暖通空调系统设计与建筑热湿环境及室内空气品质的关系；熟悉</w:t>
            </w:r>
            <w:r w:rsidRPr="004B0D07">
              <w:rPr>
                <w:rFonts w:ascii="仿宋" w:eastAsia="仿宋" w:hAnsi="仿宋" w:hint="eastAsia"/>
                <w:sz w:val="24"/>
                <w:szCs w:val="24"/>
              </w:rPr>
              <w:lastRenderedPageBreak/>
              <w:t>AIRPAK软件的使用，掌握建模方法</w:t>
            </w:r>
          </w:p>
        </w:tc>
      </w:tr>
      <w:tr w:rsidR="00C20406" w:rsidTr="008C3907">
        <w:trPr>
          <w:trHeight w:val="548"/>
        </w:trPr>
        <w:tc>
          <w:tcPr>
            <w:tcW w:w="51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lastRenderedPageBreak/>
              <w:t>6</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第六章  能耗计算理论及模拟方法</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2</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暖通空调系统的能耗构成及各部分能耗计算方法；暖通空调系统能耗模拟方法。</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了解暖通空调系统的能耗构成及各部分能耗计算方法； 学会用DEST软件进行全年能耗分析。</w:t>
            </w:r>
          </w:p>
        </w:tc>
      </w:tr>
      <w:tr w:rsidR="00C20406" w:rsidTr="008C3907">
        <w:trPr>
          <w:trHeight w:val="548"/>
        </w:trPr>
        <w:tc>
          <w:tcPr>
            <w:tcW w:w="51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7</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第七章  洁净空调设计方法与案例分析</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sz w:val="24"/>
                <w:szCs w:val="24"/>
              </w:rPr>
              <w:t>2</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洁净空调与常规空调的区别；洁净空调的计算方法；气流组织设计要点；洁净厂房设计案例分析。</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了解洁净空调与常规空调的区别，掌握洁净空调的计算方法，掌握气流组织设计要点。</w:t>
            </w:r>
          </w:p>
        </w:tc>
      </w:tr>
      <w:tr w:rsidR="00C20406" w:rsidTr="008C3907">
        <w:trPr>
          <w:trHeight w:val="548"/>
        </w:trPr>
        <w:tc>
          <w:tcPr>
            <w:tcW w:w="51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8</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第八章 通风除尘系统设计方法与案例分析</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sz w:val="24"/>
                <w:szCs w:val="24"/>
              </w:rPr>
              <w:t>3</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通风系统分类及设计方法； 除尘系统分类及设计方法；厂房通风除尘系统设计案例分析。</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了解通风除尘系统形式，掌握其设计要点。</w:t>
            </w:r>
          </w:p>
        </w:tc>
      </w:tr>
      <w:tr w:rsidR="00C20406" w:rsidTr="008C3907">
        <w:trPr>
          <w:trHeight w:val="548"/>
        </w:trPr>
        <w:tc>
          <w:tcPr>
            <w:tcW w:w="51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9</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第九章  建筑防排烟设计方法与案例分析</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sz w:val="24"/>
                <w:szCs w:val="24"/>
              </w:rPr>
              <w:t>2</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防排烟系统设计及其设备附件选用方法及要点；暖通空调防火设计；建筑防排烟设计案例分析；地下车库防排烟设计案例分析。</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了解防排烟系统形式，掌握其设计要点。</w:t>
            </w:r>
          </w:p>
        </w:tc>
      </w:tr>
      <w:tr w:rsidR="00C20406" w:rsidTr="008C3907">
        <w:trPr>
          <w:trHeight w:val="548"/>
        </w:trPr>
        <w:tc>
          <w:tcPr>
            <w:tcW w:w="51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10</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第十章  采暖系统设计方法与案例分析</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sz w:val="24"/>
                <w:szCs w:val="24"/>
              </w:rPr>
              <w:t>2</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采暖系统形式及设计要点；典型采暖设计案例分析（散热器采暖；地板辐射采暖）。</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掌握采暖系统形式及设计要点。</w:t>
            </w:r>
          </w:p>
        </w:tc>
      </w:tr>
      <w:tr w:rsidR="00C20406" w:rsidTr="008C3907">
        <w:trPr>
          <w:trHeight w:val="548"/>
        </w:trPr>
        <w:tc>
          <w:tcPr>
            <w:tcW w:w="51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11</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第十一章  供热热网设计方法与案例分析</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sz w:val="24"/>
                <w:szCs w:val="24"/>
              </w:rPr>
              <w:t>3</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供热热网设计方法及要点；典型小区（厂区）供热热网设计案例分析。</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掌握供热热网形式及设计要点。</w:t>
            </w:r>
          </w:p>
        </w:tc>
      </w:tr>
      <w:tr w:rsidR="00C20406" w:rsidTr="008C3907">
        <w:trPr>
          <w:trHeight w:val="548"/>
        </w:trPr>
        <w:tc>
          <w:tcPr>
            <w:tcW w:w="51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12</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第十二章  锅炉房工艺设计方法与案例分析</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sz w:val="24"/>
                <w:szCs w:val="24"/>
              </w:rPr>
              <w:t>2</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锅炉房工艺设计方法及要点；典型锅炉房设计案例分析。</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掌握锅炉房工艺设计要点。</w:t>
            </w:r>
          </w:p>
        </w:tc>
      </w:tr>
      <w:tr w:rsidR="00C20406" w:rsidTr="008C3907">
        <w:trPr>
          <w:trHeight w:val="548"/>
        </w:trPr>
        <w:tc>
          <w:tcPr>
            <w:tcW w:w="51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13</w:t>
            </w:r>
          </w:p>
        </w:tc>
        <w:tc>
          <w:tcPr>
            <w:tcW w:w="2102"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第十三章  冷库设计方法与案例分析</w:t>
            </w:r>
          </w:p>
        </w:tc>
        <w:tc>
          <w:tcPr>
            <w:tcW w:w="727" w:type="dxa"/>
            <w:vAlign w:val="center"/>
          </w:tcPr>
          <w:p w:rsidR="00C20406" w:rsidRPr="004B0D07" w:rsidRDefault="00C20406" w:rsidP="008C3907">
            <w:pPr>
              <w:jc w:val="center"/>
              <w:rPr>
                <w:rFonts w:ascii="仿宋" w:eastAsia="仿宋" w:hAnsi="仿宋"/>
                <w:sz w:val="24"/>
                <w:szCs w:val="24"/>
              </w:rPr>
            </w:pPr>
            <w:r w:rsidRPr="004B0D07">
              <w:rPr>
                <w:rFonts w:ascii="仿宋" w:eastAsia="仿宋" w:hAnsi="仿宋" w:hint="eastAsia"/>
                <w:sz w:val="24"/>
                <w:szCs w:val="24"/>
              </w:rPr>
              <w:t>2</w:t>
            </w:r>
          </w:p>
        </w:tc>
        <w:tc>
          <w:tcPr>
            <w:tcW w:w="3059"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冷库设计方法及要点；冷库设计案例分析。</w:t>
            </w:r>
          </w:p>
        </w:tc>
        <w:tc>
          <w:tcPr>
            <w:tcW w:w="2755" w:type="dxa"/>
            <w:vAlign w:val="center"/>
          </w:tcPr>
          <w:p w:rsidR="00C20406" w:rsidRPr="004B0D07" w:rsidRDefault="00C20406" w:rsidP="008C3907">
            <w:pPr>
              <w:rPr>
                <w:rFonts w:ascii="仿宋" w:eastAsia="仿宋" w:hAnsi="仿宋"/>
                <w:sz w:val="24"/>
                <w:szCs w:val="24"/>
              </w:rPr>
            </w:pPr>
            <w:r w:rsidRPr="004B0D07">
              <w:rPr>
                <w:rFonts w:ascii="仿宋" w:eastAsia="仿宋" w:hAnsi="仿宋" w:hint="eastAsia"/>
                <w:sz w:val="24"/>
                <w:szCs w:val="24"/>
              </w:rPr>
              <w:t>掌握冷库工艺设计要点。</w:t>
            </w:r>
          </w:p>
        </w:tc>
      </w:tr>
    </w:tbl>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C20406" w:rsidRDefault="00C20406" w:rsidP="00C20406">
      <w:pPr>
        <w:spacing w:line="560" w:lineRule="exact"/>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考查</w:t>
      </w:r>
    </w:p>
    <w:p w:rsidR="00C20406" w:rsidRDefault="004B0D07" w:rsidP="004B0D07">
      <w:pPr>
        <w:spacing w:line="560" w:lineRule="exact"/>
        <w:ind w:left="980"/>
        <w:rPr>
          <w:rFonts w:ascii="仿宋_GB2312" w:hAnsi="仿宋_GB2312" w:cs="仿宋_GB2312"/>
          <w:sz w:val="28"/>
          <w:szCs w:val="28"/>
        </w:rPr>
      </w:pPr>
      <w:r>
        <w:rPr>
          <w:rFonts w:ascii="仿宋_GB2312" w:hAnsi="仿宋_GB2312" w:cs="仿宋_GB2312" w:hint="eastAsia"/>
          <w:sz w:val="28"/>
          <w:szCs w:val="28"/>
        </w:rPr>
        <w:t>2</w:t>
      </w:r>
      <w:r>
        <w:rPr>
          <w:rFonts w:ascii="仿宋_GB2312" w:hAnsi="仿宋_GB2312" w:cs="仿宋_GB2312"/>
          <w:sz w:val="28"/>
          <w:szCs w:val="28"/>
        </w:rPr>
        <w:t>.</w:t>
      </w:r>
      <w:r w:rsidR="00C20406">
        <w:rPr>
          <w:rFonts w:ascii="仿宋_GB2312" w:hAnsi="仿宋_GB2312" w:cs="仿宋_GB2312" w:hint="eastAsia"/>
          <w:sz w:val="28"/>
          <w:szCs w:val="28"/>
        </w:rPr>
        <w:t>成绩评定</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成绩评定方式：等级制</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课程总成绩=期末成绩</w:t>
      </w:r>
      <w:r>
        <w:rPr>
          <w:rFonts w:ascii="仿宋_GB2312" w:hAnsi="仿宋_GB2312" w:cs="仿宋_GB2312"/>
          <w:bCs/>
          <w:sz w:val="28"/>
          <w:szCs w:val="28"/>
        </w:rPr>
        <w:t>80</w:t>
      </w:r>
      <w:r>
        <w:rPr>
          <w:rFonts w:ascii="仿宋_GB2312" w:hAnsi="仿宋_GB2312" w:cs="仿宋_GB2312" w:hint="eastAsia"/>
          <w:bCs/>
          <w:sz w:val="28"/>
          <w:szCs w:val="28"/>
        </w:rPr>
        <w:t>%+平时成绩</w:t>
      </w:r>
      <w:r>
        <w:rPr>
          <w:rFonts w:ascii="仿宋_GB2312" w:hAnsi="仿宋_GB2312" w:cs="仿宋_GB2312"/>
          <w:bCs/>
          <w:sz w:val="28"/>
          <w:szCs w:val="28"/>
        </w:rPr>
        <w:t>20</w:t>
      </w:r>
      <w:r>
        <w:rPr>
          <w:rFonts w:ascii="仿宋_GB2312" w:hAnsi="仿宋_GB2312" w:cs="仿宋_GB2312" w:hint="eastAsia"/>
          <w:bCs/>
          <w:sz w:val="28"/>
          <w:szCs w:val="28"/>
        </w:rPr>
        <w:t>%。</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lastRenderedPageBreak/>
        <w:t>说明</w:t>
      </w:r>
      <w:r>
        <w:rPr>
          <w:rFonts w:ascii="仿宋_GB2312" w:hAnsi="仿宋_GB2312" w:cs="仿宋_GB2312"/>
          <w:bCs/>
          <w:sz w:val="28"/>
          <w:szCs w:val="28"/>
        </w:rPr>
        <w:t>：</w:t>
      </w:r>
      <w:r>
        <w:rPr>
          <w:rFonts w:ascii="仿宋_GB2312" w:hAnsi="仿宋_GB2312" w:cs="仿宋_GB2312" w:hint="eastAsia"/>
          <w:bCs/>
          <w:sz w:val="28"/>
          <w:szCs w:val="28"/>
        </w:rPr>
        <w:t>采用考核方式评定成绩，考核内容包括其出勤率与课堂讨论及三次实践性大作业。其中，出勤率与课堂讨论成绩占20%，实践性大作业占80%。</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C20406" w:rsidRDefault="00C20406" w:rsidP="00C2040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《暖通空调工程设计方法与系统分析》, 杨昌智等编, 中国建筑工业出版社, 2005</w:t>
      </w:r>
    </w:p>
    <w:p w:rsidR="00C20406" w:rsidRDefault="00C20406" w:rsidP="00C20406">
      <w:pPr>
        <w:spacing w:beforeLines="50" w:before="156" w:afterLines="50" w:after="156" w:line="5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[1]暖通空调专业核心规范</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[2]《全国民用建筑工程设计技术措施——暖通空调</w:t>
      </w:r>
      <w:r>
        <w:rPr>
          <w:rFonts w:ascii="微软雅黑" w:eastAsia="微软雅黑" w:hAnsi="微软雅黑" w:cs="微软雅黑" w:hint="eastAsia"/>
          <w:bCs/>
          <w:sz w:val="28"/>
          <w:szCs w:val="28"/>
        </w:rPr>
        <w:t>•</w:t>
      </w:r>
      <w:r>
        <w:rPr>
          <w:rFonts w:ascii="仿宋" w:eastAsia="仿宋" w:hAnsi="仿宋" w:cs="仿宋" w:hint="eastAsia"/>
          <w:bCs/>
          <w:sz w:val="28"/>
          <w:szCs w:val="28"/>
        </w:rPr>
        <w:t>动力分册（</w:t>
      </w:r>
      <w:r>
        <w:rPr>
          <w:rFonts w:ascii="仿宋_GB2312" w:hAnsi="仿宋_GB2312" w:cs="仿宋_GB2312" w:hint="eastAsia"/>
          <w:bCs/>
          <w:sz w:val="28"/>
          <w:szCs w:val="28"/>
        </w:rPr>
        <w:t>2009)》</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[3]《实用供热空调设计手册》（第二版）, 陆耀庆主编</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4</w:t>
      </w:r>
      <w:r>
        <w:rPr>
          <w:rFonts w:ascii="仿宋_GB2312" w:hAnsi="仿宋_GB2312" w:cs="仿宋_GB2312" w:hint="eastAsia"/>
          <w:bCs/>
          <w:sz w:val="28"/>
          <w:szCs w:val="28"/>
        </w:rPr>
        <w:t>]暖通空调、动力专业图集</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5</w:t>
      </w:r>
      <w:r>
        <w:rPr>
          <w:rFonts w:ascii="仿宋_GB2312" w:hAnsi="仿宋_GB2312" w:cs="仿宋_GB2312" w:hint="eastAsia"/>
          <w:bCs/>
          <w:sz w:val="28"/>
          <w:szCs w:val="28"/>
        </w:rPr>
        <w:t>]相关专题实际工程图纸及说明</w:t>
      </w:r>
    </w:p>
    <w:p w:rsidR="00C20406" w:rsidRDefault="00C20406" w:rsidP="00C20406">
      <w:pPr>
        <w:spacing w:line="560" w:lineRule="exact"/>
        <w:ind w:firstLineChars="150" w:firstLine="420"/>
        <w:rPr>
          <w:rFonts w:ascii="仿宋_GB2312" w:hAnsi="仿宋_GB2312" w:cs="仿宋_GB2312"/>
          <w:bCs/>
          <w:sz w:val="28"/>
          <w:szCs w:val="28"/>
        </w:rPr>
      </w:pPr>
      <w:r>
        <w:rPr>
          <w:rFonts w:ascii="仿宋_GB2312" w:hAnsi="仿宋_GB2312" w:cs="仿宋_GB2312" w:hint="eastAsia"/>
          <w:bCs/>
          <w:sz w:val="28"/>
          <w:szCs w:val="28"/>
        </w:rPr>
        <w:t>[</w:t>
      </w:r>
      <w:r>
        <w:rPr>
          <w:rFonts w:ascii="仿宋_GB2312" w:hAnsi="仿宋_GB2312" w:cs="仿宋_GB2312"/>
          <w:bCs/>
          <w:sz w:val="28"/>
          <w:szCs w:val="28"/>
        </w:rPr>
        <w:t>6</w:t>
      </w:r>
      <w:r>
        <w:rPr>
          <w:rFonts w:ascii="仿宋_GB2312" w:hAnsi="仿宋_GB2312" w:cs="仿宋_GB2312" w:hint="eastAsia"/>
          <w:bCs/>
          <w:sz w:val="28"/>
          <w:szCs w:val="28"/>
        </w:rPr>
        <w:t>]有关专题研究</w:t>
      </w:r>
    </w:p>
    <w:p w:rsidR="00C20406" w:rsidRDefault="00C20406" w:rsidP="00C20406">
      <w:pPr>
        <w:spacing w:line="560" w:lineRule="exact"/>
        <w:rPr>
          <w:rFonts w:ascii="仿宋_GB2312" w:hAnsi="仿宋_GB2312" w:cs="仿宋_GB2312"/>
          <w:bCs/>
          <w:sz w:val="28"/>
          <w:szCs w:val="28"/>
        </w:rPr>
      </w:pPr>
      <w:r>
        <w:rPr>
          <w:rFonts w:ascii="仿宋_GB2312" w:hAnsi="仿宋_GB2312" w:cs="仿宋_GB2312" w:hint="eastAsia"/>
          <w:bCs/>
          <w:sz w:val="28"/>
          <w:szCs w:val="28"/>
        </w:rPr>
        <w:t xml:space="preserve">   [</w:t>
      </w:r>
      <w:r>
        <w:rPr>
          <w:rFonts w:ascii="仿宋_GB2312" w:hAnsi="仿宋_GB2312" w:cs="仿宋_GB2312"/>
          <w:bCs/>
          <w:sz w:val="28"/>
          <w:szCs w:val="28"/>
        </w:rPr>
        <w:t>7</w:t>
      </w:r>
      <w:r>
        <w:rPr>
          <w:rFonts w:ascii="仿宋_GB2312" w:hAnsi="仿宋_GB2312" w:cs="仿宋_GB2312" w:hint="eastAsia"/>
          <w:bCs/>
          <w:sz w:val="28"/>
          <w:szCs w:val="28"/>
        </w:rPr>
        <w:t>]线上</w:t>
      </w:r>
      <w:r>
        <w:rPr>
          <w:rFonts w:ascii="仿宋_GB2312" w:hAnsi="仿宋_GB2312" w:cs="仿宋_GB2312"/>
          <w:bCs/>
          <w:sz w:val="28"/>
          <w:szCs w:val="28"/>
        </w:rPr>
        <w:t>课程资源：</w:t>
      </w:r>
      <w:r>
        <w:rPr>
          <w:rFonts w:ascii="仿宋_GB2312" w:hAnsi="仿宋_GB2312" w:cs="仿宋_GB2312" w:hint="eastAsia"/>
          <w:bCs/>
          <w:sz w:val="28"/>
          <w:szCs w:val="28"/>
        </w:rPr>
        <w:t>工程</w:t>
      </w:r>
      <w:r>
        <w:rPr>
          <w:rFonts w:ascii="仿宋_GB2312" w:hAnsi="仿宋_GB2312" w:cs="仿宋_GB2312"/>
          <w:bCs/>
          <w:sz w:val="28"/>
          <w:szCs w:val="28"/>
        </w:rPr>
        <w:t>设计方法与</w:t>
      </w:r>
      <w:r>
        <w:rPr>
          <w:rFonts w:ascii="仿宋_GB2312" w:hAnsi="仿宋_GB2312" w:cs="仿宋_GB2312" w:hint="eastAsia"/>
          <w:bCs/>
          <w:sz w:val="28"/>
          <w:szCs w:val="28"/>
        </w:rPr>
        <w:t>实践</w:t>
      </w:r>
      <w:r>
        <w:rPr>
          <w:rFonts w:ascii="仿宋_GB2312" w:hAnsi="仿宋_GB2312" w:cs="仿宋_GB2312"/>
          <w:bCs/>
          <w:sz w:val="28"/>
          <w:szCs w:val="28"/>
        </w:rPr>
        <w:t>，同济大学，</w:t>
      </w:r>
      <w:hyperlink r:id="rId32" w:anchor="teachTeam" w:history="1">
        <w:r>
          <w:rPr>
            <w:rStyle w:val="ad"/>
            <w:rFonts w:ascii="仿宋_GB2312" w:hAnsi="仿宋_GB2312" w:cs="仿宋_GB2312"/>
            <w:bCs/>
            <w:sz w:val="28"/>
            <w:szCs w:val="28"/>
          </w:rPr>
          <w:t>http://coursehome.zhihuishu.com/courseHome/1000007992#teachTeam</w:t>
        </w:r>
      </w:hyperlink>
      <w:r>
        <w:rPr>
          <w:rFonts w:ascii="仿宋_GB2312" w:hAnsi="仿宋_GB2312" w:cs="仿宋_GB2312" w:hint="eastAsia"/>
          <w:bCs/>
          <w:sz w:val="28"/>
          <w:szCs w:val="28"/>
        </w:rPr>
        <w:t>（智慧</w:t>
      </w:r>
      <w:r>
        <w:rPr>
          <w:rFonts w:ascii="仿宋_GB2312" w:hAnsi="仿宋_GB2312" w:cs="仿宋_GB2312"/>
          <w:bCs/>
          <w:sz w:val="28"/>
          <w:szCs w:val="28"/>
        </w:rPr>
        <w:t>树平台</w:t>
      </w:r>
      <w:r>
        <w:rPr>
          <w:rFonts w:ascii="仿宋_GB2312" w:hAnsi="仿宋_GB2312" w:cs="仿宋_GB2312" w:hint="eastAsia"/>
          <w:bCs/>
          <w:sz w:val="28"/>
          <w:szCs w:val="28"/>
        </w:rPr>
        <w:t>）</w:t>
      </w:r>
    </w:p>
    <w:p w:rsidR="00C20406" w:rsidRDefault="00C20406" w:rsidP="00C20406">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七、其他</w:t>
      </w:r>
    </w:p>
    <w:p w:rsidR="00C20406" w:rsidRDefault="00C20406" w:rsidP="00C20406">
      <w:pPr>
        <w:spacing w:line="56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t>无</w:t>
      </w:r>
    </w:p>
    <w:p w:rsidR="00C20406" w:rsidRDefault="00C20406" w:rsidP="00C20406">
      <w:pPr>
        <w:spacing w:beforeLines="50" w:before="156" w:afterLines="50" w:after="156" w:line="560" w:lineRule="exact"/>
        <w:rPr>
          <w:rFonts w:ascii="黑体" w:eastAsia="黑体" w:hAnsi="黑体"/>
          <w:b/>
          <w:sz w:val="28"/>
          <w:szCs w:val="28"/>
        </w:rPr>
      </w:pPr>
    </w:p>
    <w:p w:rsidR="00C20406" w:rsidRDefault="00C20406" w:rsidP="00C20406">
      <w:pPr>
        <w:spacing w:beforeLines="50" w:before="156" w:afterLines="50" w:after="156" w:line="560" w:lineRule="exact"/>
        <w:rPr>
          <w:rFonts w:ascii="黑体" w:eastAsia="黑体" w:hAnsi="黑体"/>
          <w:b/>
          <w:sz w:val="28"/>
          <w:szCs w:val="28"/>
        </w:rPr>
      </w:pPr>
    </w:p>
    <w:p w:rsidR="00C20406" w:rsidRDefault="00C20406" w:rsidP="00C20406">
      <w:pPr>
        <w:spacing w:beforeLines="50" w:before="156" w:afterLines="50" w:after="156" w:line="560" w:lineRule="exact"/>
        <w:rPr>
          <w:rFonts w:ascii="黑体" w:eastAsia="黑体" w:hAnsi="黑体" w:hint="eastAsia"/>
          <w:b/>
          <w:sz w:val="28"/>
          <w:szCs w:val="28"/>
        </w:rPr>
      </w:pPr>
    </w:p>
    <w:p w:rsidR="00C20406" w:rsidRDefault="00C20406" w:rsidP="00C20406">
      <w:pPr>
        <w:spacing w:line="560" w:lineRule="exact"/>
        <w:ind w:firstLineChars="1200" w:firstLine="3360"/>
        <w:rPr>
          <w:rFonts w:ascii="仿宋" w:eastAsia="仿宋" w:hAnsi="仿宋"/>
          <w:sz w:val="28"/>
          <w:szCs w:val="28"/>
        </w:rPr>
      </w:pPr>
      <w:r>
        <w:rPr>
          <w:rFonts w:ascii="仿宋" w:eastAsia="仿宋" w:hAnsi="仿宋" w:hint="eastAsia"/>
          <w:sz w:val="28"/>
          <w:szCs w:val="28"/>
        </w:rPr>
        <w:t>大纲撰写人：隋</w:t>
      </w:r>
      <w:r>
        <w:rPr>
          <w:rFonts w:ascii="仿宋" w:eastAsia="仿宋" w:hAnsi="仿宋"/>
          <w:sz w:val="28"/>
          <w:szCs w:val="28"/>
        </w:rPr>
        <w:t>学敏</w:t>
      </w:r>
      <w:r>
        <w:rPr>
          <w:rFonts w:ascii="仿宋" w:eastAsia="仿宋" w:hAnsi="仿宋" w:hint="eastAsia"/>
          <w:sz w:val="28"/>
          <w:szCs w:val="28"/>
        </w:rPr>
        <w:t xml:space="preserve"> 曹</w:t>
      </w:r>
      <w:r>
        <w:rPr>
          <w:rFonts w:ascii="仿宋" w:eastAsia="仿宋" w:hAnsi="仿宋"/>
          <w:sz w:val="28"/>
          <w:szCs w:val="28"/>
        </w:rPr>
        <w:t>立新</w:t>
      </w:r>
      <w:r>
        <w:rPr>
          <w:rFonts w:ascii="仿宋" w:eastAsia="仿宋" w:hAnsi="仿宋" w:hint="eastAsia"/>
          <w:sz w:val="28"/>
          <w:szCs w:val="28"/>
        </w:rPr>
        <w:t xml:space="preserve"> 田</w:t>
      </w:r>
      <w:r>
        <w:rPr>
          <w:rFonts w:ascii="仿宋" w:eastAsia="仿宋" w:hAnsi="仿宋"/>
          <w:sz w:val="28"/>
          <w:szCs w:val="28"/>
        </w:rPr>
        <w:t>安</w:t>
      </w:r>
      <w:r>
        <w:rPr>
          <w:rFonts w:ascii="仿宋" w:eastAsia="仿宋" w:hAnsi="仿宋" w:hint="eastAsia"/>
          <w:sz w:val="28"/>
          <w:szCs w:val="28"/>
        </w:rPr>
        <w:t>民 张</w:t>
      </w:r>
      <w:r>
        <w:rPr>
          <w:rFonts w:ascii="仿宋" w:eastAsia="仿宋" w:hAnsi="仿宋"/>
          <w:sz w:val="28"/>
          <w:szCs w:val="28"/>
        </w:rPr>
        <w:t>孙孝</w:t>
      </w:r>
    </w:p>
    <w:p w:rsidR="00C20406" w:rsidRDefault="00C20406" w:rsidP="00C20406">
      <w:pPr>
        <w:spacing w:line="560" w:lineRule="exact"/>
        <w:ind w:firstLineChars="1200" w:firstLine="3360"/>
        <w:rPr>
          <w:rFonts w:ascii="仿宋" w:eastAsia="仿宋" w:hAnsi="仿宋"/>
          <w:sz w:val="28"/>
          <w:szCs w:val="28"/>
        </w:rPr>
      </w:pPr>
      <w:r>
        <w:rPr>
          <w:rFonts w:ascii="仿宋" w:eastAsia="仿宋" w:hAnsi="仿宋" w:hint="eastAsia"/>
          <w:sz w:val="28"/>
          <w:szCs w:val="28"/>
        </w:rPr>
        <w:t>课程负责人：隋</w:t>
      </w:r>
      <w:r>
        <w:rPr>
          <w:rFonts w:ascii="仿宋" w:eastAsia="仿宋" w:hAnsi="仿宋"/>
          <w:sz w:val="28"/>
          <w:szCs w:val="28"/>
        </w:rPr>
        <w:t>学敏</w:t>
      </w:r>
    </w:p>
    <w:p w:rsidR="00C20406" w:rsidRDefault="00C20406" w:rsidP="00C20406">
      <w:pPr>
        <w:spacing w:line="560" w:lineRule="exact"/>
        <w:ind w:firstLineChars="1200" w:firstLine="3360"/>
        <w:rPr>
          <w:rFonts w:ascii="仿宋" w:eastAsia="仿宋" w:hAnsi="仿宋"/>
          <w:sz w:val="28"/>
          <w:szCs w:val="28"/>
        </w:rPr>
      </w:pPr>
      <w:r>
        <w:rPr>
          <w:rFonts w:ascii="仿宋" w:eastAsia="仿宋" w:hAnsi="仿宋" w:hint="eastAsia"/>
          <w:sz w:val="28"/>
          <w:szCs w:val="28"/>
        </w:rPr>
        <w:t>审核人：</w:t>
      </w:r>
    </w:p>
    <w:p w:rsidR="00C20406" w:rsidRDefault="00C20406" w:rsidP="00C20406">
      <w:pPr>
        <w:spacing w:line="560" w:lineRule="exact"/>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C20406" w:rsidRDefault="00C20406" w:rsidP="00C20406">
      <w:pPr>
        <w:spacing w:line="560" w:lineRule="exact"/>
        <w:ind w:firstLineChars="2000" w:firstLine="5600"/>
        <w:jc w:val="left"/>
        <w:rPr>
          <w:rFonts w:ascii="仿宋" w:hAnsi="仿宋"/>
          <w:sz w:val="28"/>
          <w:szCs w:val="28"/>
        </w:rPr>
      </w:pPr>
      <w:r>
        <w:rPr>
          <w:rFonts w:ascii="仿宋_GB2312" w:hAnsi="微软雅黑" w:hint="eastAsia"/>
          <w:sz w:val="28"/>
          <w:szCs w:val="28"/>
        </w:rPr>
        <w:t xml:space="preserve">    </w:t>
      </w:r>
    </w:p>
    <w:p w:rsidR="00C20406" w:rsidRDefault="00C20406" w:rsidP="00C20406">
      <w:pPr>
        <w:spacing w:line="560" w:lineRule="exact"/>
        <w:jc w:val="left"/>
        <w:rPr>
          <w:rFonts w:ascii="仿宋_GB2312" w:hAnsi="黑体"/>
          <w:sz w:val="28"/>
          <w:szCs w:val="28"/>
        </w:rPr>
      </w:pPr>
      <w:r>
        <w:rPr>
          <w:rFonts w:ascii="仿宋" w:eastAsia="仿宋" w:hAnsi="仿宋" w:hint="eastAsia"/>
          <w:sz w:val="28"/>
          <w:szCs w:val="28"/>
        </w:rPr>
        <w:t xml:space="preserve">                                         </w:t>
      </w:r>
      <w:r>
        <w:rPr>
          <w:rFonts w:ascii="仿宋" w:eastAsia="仿宋" w:hAnsi="仿宋"/>
          <w:sz w:val="28"/>
          <w:szCs w:val="28"/>
        </w:rPr>
        <w:t>2020</w:t>
      </w:r>
      <w:r>
        <w:rPr>
          <w:rFonts w:ascii="仿宋" w:eastAsia="仿宋" w:hAnsi="仿宋" w:hint="eastAsia"/>
          <w:sz w:val="28"/>
          <w:szCs w:val="28"/>
        </w:rPr>
        <w:t xml:space="preserve">年  </w:t>
      </w:r>
      <w:r>
        <w:rPr>
          <w:rFonts w:ascii="仿宋" w:eastAsia="仿宋" w:hAnsi="仿宋"/>
          <w:sz w:val="28"/>
          <w:szCs w:val="28"/>
        </w:rPr>
        <w:t>4</w:t>
      </w:r>
      <w:r>
        <w:rPr>
          <w:rFonts w:ascii="仿宋" w:eastAsia="仿宋" w:hAnsi="仿宋" w:hint="eastAsia"/>
          <w:sz w:val="28"/>
          <w:szCs w:val="28"/>
        </w:rPr>
        <w:t xml:space="preserve">  月</w:t>
      </w:r>
    </w:p>
    <w:p w:rsidR="00C20406" w:rsidRDefault="00C20406" w:rsidP="00C20406"/>
    <w:p w:rsidR="004B0D07" w:rsidRDefault="004B0D07" w:rsidP="008C3907">
      <w:pPr>
        <w:widowControl/>
        <w:spacing w:line="360" w:lineRule="auto"/>
        <w:jc w:val="center"/>
        <w:rPr>
          <w:rFonts w:ascii="方正小标宋简体" w:eastAsia="方正小标宋简体" w:hAnsi="宋体"/>
          <w:kern w:val="0"/>
          <w:szCs w:val="32"/>
        </w:rPr>
      </w:pPr>
    </w:p>
    <w:p w:rsidR="004B0D07" w:rsidRDefault="004B0D07" w:rsidP="008C3907">
      <w:pPr>
        <w:widowControl/>
        <w:spacing w:line="360" w:lineRule="auto"/>
        <w:jc w:val="center"/>
        <w:rPr>
          <w:rFonts w:ascii="方正小标宋简体" w:eastAsia="方正小标宋简体" w:hAnsi="宋体"/>
          <w:kern w:val="0"/>
          <w:szCs w:val="32"/>
        </w:rPr>
      </w:pPr>
    </w:p>
    <w:p w:rsidR="004B0D07" w:rsidRDefault="004B0D07" w:rsidP="008C3907">
      <w:pPr>
        <w:widowControl/>
        <w:spacing w:line="360" w:lineRule="auto"/>
        <w:jc w:val="center"/>
        <w:rPr>
          <w:rFonts w:ascii="方正小标宋简体" w:eastAsia="方正小标宋简体" w:hAnsi="宋体"/>
          <w:kern w:val="0"/>
          <w:szCs w:val="32"/>
        </w:rPr>
      </w:pPr>
    </w:p>
    <w:p w:rsidR="004B0D07" w:rsidRDefault="004B0D07" w:rsidP="008C3907">
      <w:pPr>
        <w:widowControl/>
        <w:spacing w:line="360" w:lineRule="auto"/>
        <w:jc w:val="center"/>
        <w:rPr>
          <w:rFonts w:ascii="方正小标宋简体" w:eastAsia="方正小标宋简体" w:hAnsi="宋体"/>
          <w:kern w:val="0"/>
          <w:szCs w:val="32"/>
        </w:rPr>
      </w:pPr>
    </w:p>
    <w:p w:rsidR="004B0D07" w:rsidRDefault="004B0D07" w:rsidP="008C3907">
      <w:pPr>
        <w:widowControl/>
        <w:spacing w:line="360" w:lineRule="auto"/>
        <w:jc w:val="center"/>
        <w:rPr>
          <w:rFonts w:ascii="方正小标宋简体" w:eastAsia="方正小标宋简体" w:hAnsi="宋体"/>
          <w:kern w:val="0"/>
          <w:szCs w:val="32"/>
        </w:rPr>
      </w:pPr>
    </w:p>
    <w:p w:rsidR="004B0D07" w:rsidRDefault="004B0D07" w:rsidP="008C3907">
      <w:pPr>
        <w:widowControl/>
        <w:spacing w:line="360" w:lineRule="auto"/>
        <w:jc w:val="center"/>
        <w:rPr>
          <w:rFonts w:ascii="方正小标宋简体" w:eastAsia="方正小标宋简体" w:hAnsi="宋体"/>
          <w:kern w:val="0"/>
          <w:szCs w:val="32"/>
        </w:rPr>
      </w:pPr>
    </w:p>
    <w:p w:rsidR="004B0D07" w:rsidRDefault="004B0D07" w:rsidP="008C3907">
      <w:pPr>
        <w:widowControl/>
        <w:spacing w:line="360" w:lineRule="auto"/>
        <w:jc w:val="center"/>
        <w:rPr>
          <w:rFonts w:ascii="方正小标宋简体" w:eastAsia="方正小标宋简体" w:hAnsi="宋体"/>
          <w:kern w:val="0"/>
          <w:szCs w:val="32"/>
        </w:rPr>
      </w:pPr>
    </w:p>
    <w:p w:rsidR="004B0D07" w:rsidRDefault="004B0D07" w:rsidP="008C3907">
      <w:pPr>
        <w:widowControl/>
        <w:spacing w:line="360" w:lineRule="auto"/>
        <w:jc w:val="center"/>
        <w:rPr>
          <w:rFonts w:ascii="方正小标宋简体" w:eastAsia="方正小标宋简体" w:hAnsi="宋体"/>
          <w:kern w:val="0"/>
          <w:szCs w:val="32"/>
        </w:rPr>
      </w:pPr>
    </w:p>
    <w:p w:rsidR="004B0D07" w:rsidRDefault="004B0D07" w:rsidP="008C3907">
      <w:pPr>
        <w:widowControl/>
        <w:spacing w:line="360" w:lineRule="auto"/>
        <w:jc w:val="center"/>
        <w:rPr>
          <w:rFonts w:ascii="方正小标宋简体" w:eastAsia="方正小标宋简体" w:hAnsi="宋体"/>
          <w:kern w:val="0"/>
          <w:szCs w:val="32"/>
        </w:rPr>
      </w:pPr>
    </w:p>
    <w:p w:rsidR="004B0D07" w:rsidRDefault="004B0D07" w:rsidP="008C3907">
      <w:pPr>
        <w:widowControl/>
        <w:spacing w:line="360" w:lineRule="auto"/>
        <w:jc w:val="center"/>
        <w:rPr>
          <w:rFonts w:ascii="方正小标宋简体" w:eastAsia="方正小标宋简体" w:hAnsi="宋体"/>
          <w:kern w:val="0"/>
          <w:szCs w:val="32"/>
        </w:rPr>
      </w:pPr>
    </w:p>
    <w:p w:rsidR="004B0D07" w:rsidRDefault="004B0D07" w:rsidP="008C3907">
      <w:pPr>
        <w:widowControl/>
        <w:spacing w:line="360" w:lineRule="auto"/>
        <w:jc w:val="center"/>
        <w:rPr>
          <w:rFonts w:ascii="方正小标宋简体" w:eastAsia="方正小标宋简体" w:hAnsi="宋体"/>
          <w:kern w:val="0"/>
          <w:szCs w:val="32"/>
        </w:rPr>
      </w:pPr>
    </w:p>
    <w:p w:rsidR="004B0D07" w:rsidRDefault="004B0D07" w:rsidP="008C3907">
      <w:pPr>
        <w:widowControl/>
        <w:spacing w:line="360" w:lineRule="auto"/>
        <w:jc w:val="center"/>
        <w:rPr>
          <w:rFonts w:ascii="方正小标宋简体" w:eastAsia="方正小标宋简体" w:hAnsi="宋体"/>
          <w:kern w:val="0"/>
          <w:szCs w:val="32"/>
        </w:rPr>
      </w:pPr>
    </w:p>
    <w:p w:rsidR="004B0D07" w:rsidRDefault="004B0D07" w:rsidP="008C3907">
      <w:pPr>
        <w:widowControl/>
        <w:spacing w:line="360" w:lineRule="auto"/>
        <w:jc w:val="center"/>
        <w:rPr>
          <w:rFonts w:ascii="方正小标宋简体" w:eastAsia="方正小标宋简体" w:hAnsi="宋体"/>
          <w:kern w:val="0"/>
          <w:szCs w:val="32"/>
        </w:rPr>
      </w:pPr>
    </w:p>
    <w:p w:rsidR="008C3907" w:rsidRDefault="008C3907" w:rsidP="008C3907">
      <w:pPr>
        <w:widowControl/>
        <w:spacing w:line="360" w:lineRule="auto"/>
        <w:jc w:val="center"/>
        <w:rPr>
          <w:rFonts w:ascii="方正小标宋简体" w:eastAsia="方正小标宋简体" w:hAnsi="宋体"/>
          <w:kern w:val="0"/>
          <w:szCs w:val="32"/>
        </w:rPr>
      </w:pPr>
      <w:r>
        <w:rPr>
          <w:rFonts w:ascii="方正小标宋简体" w:eastAsia="方正小标宋简体" w:hAnsi="宋体" w:hint="eastAsia"/>
          <w:kern w:val="0"/>
          <w:szCs w:val="32"/>
        </w:rPr>
        <w:lastRenderedPageBreak/>
        <w:t>《新能源及建筑节能技术》课程教学大纲</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一、课程信息</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英文名称：</w:t>
      </w:r>
      <w:r>
        <w:rPr>
          <w:rFonts w:ascii="仿宋_GB2312" w:hAnsi="仿宋_GB2312" w:cs="仿宋_GB2312"/>
          <w:bCs/>
          <w:sz w:val="28"/>
          <w:szCs w:val="28"/>
        </w:rPr>
        <w:t>New Energy &amp; Building Energy Conservation</w:t>
      </w:r>
    </w:p>
    <w:p w:rsidR="008C3907" w:rsidRDefault="008C3907" w:rsidP="008C3907">
      <w:pPr>
        <w:spacing w:line="360" w:lineRule="auto"/>
        <w:ind w:firstLine="331"/>
        <w:jc w:val="left"/>
        <w:rPr>
          <w:rFonts w:ascii="仿宋_GB2312" w:hAnsi="仿宋_GB2312" w:cs="仿宋_GB2312"/>
          <w:bCs/>
          <w:sz w:val="28"/>
          <w:szCs w:val="28"/>
        </w:rPr>
      </w:pPr>
      <w:r>
        <w:rPr>
          <w:rFonts w:ascii="仿宋_GB2312" w:hAnsi="仿宋_GB2312" w:cs="仿宋_GB2312" w:hint="eastAsia"/>
          <w:bCs/>
          <w:sz w:val="28"/>
          <w:szCs w:val="28"/>
        </w:rPr>
        <w:t>课程编码：Z2807</w:t>
      </w:r>
      <w:r>
        <w:rPr>
          <w:rFonts w:ascii="仿宋_GB2312" w:hAnsi="仿宋_GB2312" w:cs="仿宋_GB2312"/>
          <w:bCs/>
          <w:sz w:val="28"/>
          <w:szCs w:val="28"/>
        </w:rPr>
        <w:t>320</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授课语言：中文</w:t>
      </w:r>
    </w:p>
    <w:p w:rsidR="008C3907" w:rsidRDefault="008C3907" w:rsidP="008C3907">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授课方式：线下</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课程类别：专业发展</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课程性质：选修</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学    分：2学分</w:t>
      </w:r>
    </w:p>
    <w:p w:rsidR="008C3907" w:rsidRDefault="008C3907" w:rsidP="008C3907">
      <w:pPr>
        <w:spacing w:line="360" w:lineRule="auto"/>
        <w:ind w:leftChars="103" w:left="1779" w:hanging="1449"/>
        <w:rPr>
          <w:rFonts w:ascii="仿宋_GB2312" w:hAnsi="仿宋_GB2312" w:cs="仿宋_GB2312"/>
          <w:bCs/>
          <w:sz w:val="28"/>
          <w:szCs w:val="28"/>
        </w:rPr>
      </w:pPr>
      <w:r>
        <w:rPr>
          <w:rFonts w:ascii="仿宋_GB2312" w:hAnsi="仿宋_GB2312" w:cs="仿宋_GB2312" w:hint="eastAsia"/>
          <w:bCs/>
          <w:sz w:val="28"/>
          <w:szCs w:val="28"/>
        </w:rPr>
        <w:t>学    时：32学时（授课32学时）</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适用对象：建筑环境与能源应用工程专业</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先修课程：</w:t>
      </w:r>
      <w:r>
        <w:rPr>
          <w:rFonts w:ascii="仿宋_GB2312" w:hAnsi="仿宋_GB2312" w:cs="仿宋_GB2312"/>
          <w:bCs/>
          <w:sz w:val="28"/>
          <w:szCs w:val="28"/>
        </w:rPr>
        <w:t>《暖通空调》、《空调用制冷技术》、《</w:t>
      </w:r>
      <w:r>
        <w:rPr>
          <w:rFonts w:ascii="仿宋_GB2312" w:hAnsi="仿宋_GB2312" w:cs="仿宋_GB2312" w:hint="eastAsia"/>
          <w:bCs/>
          <w:sz w:val="28"/>
          <w:szCs w:val="28"/>
        </w:rPr>
        <w:t>锅炉及锅炉房设备</w:t>
      </w:r>
      <w:r>
        <w:rPr>
          <w:rFonts w:ascii="仿宋_GB2312" w:hAnsi="仿宋_GB2312" w:cs="仿宋_GB2312"/>
          <w:bCs/>
          <w:sz w:val="28"/>
          <w:szCs w:val="28"/>
        </w:rPr>
        <w:t>》、《自动控制原理》、《热质交换原理与设备》等</w:t>
      </w:r>
    </w:p>
    <w:p w:rsidR="008C3907" w:rsidRDefault="008C3907" w:rsidP="008C3907">
      <w:pPr>
        <w:spacing w:line="360" w:lineRule="auto"/>
        <w:ind w:firstLine="331"/>
        <w:rPr>
          <w:rFonts w:ascii="仿宋_GB2312" w:hAnsi="仿宋_GB2312" w:cs="仿宋_GB2312"/>
          <w:bCs/>
          <w:sz w:val="28"/>
          <w:szCs w:val="28"/>
        </w:rPr>
      </w:pPr>
      <w:r>
        <w:rPr>
          <w:rFonts w:ascii="仿宋_GB2312" w:hAnsi="仿宋_GB2312" w:cs="仿宋_GB2312" w:hint="eastAsia"/>
          <w:bCs/>
          <w:sz w:val="28"/>
          <w:szCs w:val="28"/>
        </w:rPr>
        <w:t>开课院系：建筑工程学院建筑环境与能源应用工程系</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二、课程简介</w:t>
      </w:r>
    </w:p>
    <w:p w:rsidR="008C3907" w:rsidRDefault="008C3907" w:rsidP="008C3907">
      <w:pPr>
        <w:spacing w:line="560" w:lineRule="exact"/>
        <w:ind w:firstLine="329"/>
        <w:rPr>
          <w:rFonts w:ascii="仿宋_GB2312" w:hAnsi="仿宋_GB2312" w:cs="仿宋_GB2312"/>
          <w:bCs/>
          <w:sz w:val="28"/>
          <w:szCs w:val="28"/>
        </w:rPr>
      </w:pPr>
      <w:r>
        <w:rPr>
          <w:rFonts w:ascii="仿宋_GB2312" w:hAnsi="仿宋_GB2312" w:cs="仿宋_GB2312"/>
          <w:bCs/>
          <w:sz w:val="28"/>
          <w:szCs w:val="28"/>
        </w:rPr>
        <w:t>本课程是“建筑环境与能源应用工程”专业本科生在基本学完专业主干课程的基础上，为拓宽知识面、了解本专业新技术和最新进展而开设的一门专业</w:t>
      </w:r>
      <w:r>
        <w:rPr>
          <w:rFonts w:ascii="仿宋_GB2312" w:hAnsi="仿宋_GB2312" w:cs="仿宋_GB2312" w:hint="eastAsia"/>
          <w:bCs/>
          <w:sz w:val="28"/>
          <w:szCs w:val="28"/>
        </w:rPr>
        <w:t>发展选修</w:t>
      </w:r>
      <w:r>
        <w:rPr>
          <w:rFonts w:ascii="仿宋_GB2312" w:hAnsi="仿宋_GB2312" w:cs="仿宋_GB2312"/>
          <w:bCs/>
          <w:sz w:val="28"/>
          <w:szCs w:val="28"/>
        </w:rPr>
        <w:t>课程。本课程主要任务是使学生建立生态可持续能源系统的观念，了解和初步掌握太阳能、地热能、蓄能以及核能技术在供热、空调以及制冷工程中的开发利用；了解和初步掌握暖通空调领域的研究发展方向、暖通空调领域节能和环保技术在本专业中的应用以及新技术应用中的基本理论</w:t>
      </w:r>
      <w:r>
        <w:rPr>
          <w:rFonts w:ascii="仿宋_GB2312" w:hAnsi="仿宋_GB2312" w:cs="仿宋_GB2312" w:hint="eastAsia"/>
          <w:bCs/>
          <w:sz w:val="28"/>
          <w:szCs w:val="28"/>
        </w:rPr>
        <w:t>。</w:t>
      </w:r>
    </w:p>
    <w:p w:rsidR="008C3907" w:rsidRDefault="008C3907" w:rsidP="008C3907">
      <w:pPr>
        <w:spacing w:line="560" w:lineRule="exact"/>
        <w:ind w:firstLineChars="200" w:firstLine="560"/>
        <w:rPr>
          <w:rFonts w:ascii="仿宋_GB2312" w:hAnsi="仿宋_GB2312" w:cs="仿宋_GB2312"/>
          <w:bCs/>
          <w:sz w:val="28"/>
          <w:szCs w:val="28"/>
        </w:rPr>
      </w:pPr>
      <w:r>
        <w:rPr>
          <w:rFonts w:ascii="仿宋_GB2312" w:hAnsi="仿宋_GB2312" w:cs="仿宋_GB2312" w:hint="eastAsia"/>
          <w:bCs/>
          <w:sz w:val="28"/>
          <w:szCs w:val="28"/>
        </w:rPr>
        <w:lastRenderedPageBreak/>
        <w:t xml:space="preserve"> </w:t>
      </w:r>
      <w:r>
        <w:rPr>
          <w:rFonts w:ascii="仿宋_GB2312" w:hAnsi="仿宋_GB2312" w:cs="仿宋_GB2312"/>
          <w:bCs/>
          <w:sz w:val="28"/>
          <w:szCs w:val="28"/>
        </w:rPr>
        <w:t>教学方式</w:t>
      </w:r>
      <w:r>
        <w:rPr>
          <w:rFonts w:ascii="仿宋_GB2312" w:hAnsi="仿宋_GB2312" w:cs="仿宋_GB2312" w:hint="eastAsia"/>
          <w:bCs/>
          <w:sz w:val="28"/>
          <w:szCs w:val="28"/>
        </w:rPr>
        <w:t>采用</w:t>
      </w:r>
      <w:r>
        <w:rPr>
          <w:rFonts w:ascii="仿宋_GB2312" w:hAnsi="仿宋_GB2312" w:cs="仿宋_GB2312"/>
          <w:bCs/>
          <w:sz w:val="28"/>
          <w:szCs w:val="28"/>
        </w:rPr>
        <w:t>PPT</w:t>
      </w:r>
      <w:r>
        <w:rPr>
          <w:rFonts w:ascii="仿宋_GB2312" w:hAnsi="仿宋_GB2312" w:cs="仿宋_GB2312" w:hint="eastAsia"/>
          <w:bCs/>
          <w:sz w:val="28"/>
          <w:szCs w:val="28"/>
        </w:rPr>
        <w:t>+板书讲解相结合进行授课，并结合后续课程设计教学环节，使学生具备基本的理论分析和应用能力。</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三、课程任务、目标与要求</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1. 课程任务</w:t>
      </w:r>
    </w:p>
    <w:p w:rsidR="008C3907" w:rsidRDefault="008C3907" w:rsidP="008C3907">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本课程主要任务是使学生建立生态可持续能源系统的观念，了解和初步掌握太阳能、地热能、蓄能以及核能技术在供热、空调以及制冷工程中的开发利用；了解和初步掌握暖通空调领域的研究发展方向、暖通空调领域节能和环保技术在本专业中的应用以及新技术应用中的基本理论，了解有关工程技术在国内外的最新研究、应用和发展情况，培养和提高技术综合性应用的能力；了解我国建筑能耗的基本情况和特点，掌握建筑节能设计的基本理论和方法,掌握降低建筑物能耗各个物理环节的关键技术手段，了解建筑节能技术常用设备的工作原理及设备选型依据,学习推进建筑节能的相关政策、标准、机制等，并且了解发达国家建筑节能技术，加深理解建筑节能的理念，培养学生对民用建筑供热供冷系统具有一定设计施工与运行管理能力。</w:t>
      </w:r>
    </w:p>
    <w:p w:rsidR="008C3907" w:rsidRDefault="008C3907" w:rsidP="006058C6">
      <w:pPr>
        <w:numPr>
          <w:ilvl w:val="0"/>
          <w:numId w:val="65"/>
        </w:numPr>
        <w:spacing w:line="360" w:lineRule="auto"/>
        <w:rPr>
          <w:rFonts w:ascii="仿宋_GB2312" w:hAnsi="仿宋_GB2312" w:cs="仿宋_GB2312"/>
          <w:sz w:val="28"/>
          <w:szCs w:val="28"/>
        </w:rPr>
      </w:pPr>
      <w:r>
        <w:rPr>
          <w:rFonts w:ascii="仿宋_GB2312" w:hAnsi="仿宋_GB2312" w:cs="仿宋_GB2312" w:hint="eastAsia"/>
          <w:sz w:val="28"/>
          <w:szCs w:val="28"/>
        </w:rPr>
        <w:t>课程基本要求</w:t>
      </w:r>
    </w:p>
    <w:p w:rsidR="008C3907" w:rsidRDefault="008C3907" w:rsidP="008C3907">
      <w:pPr>
        <w:spacing w:line="360" w:lineRule="auto"/>
        <w:ind w:firstLine="331"/>
        <w:rPr>
          <w:rFonts w:ascii="仿宋_GB2312" w:hAnsi="仿宋_GB2312" w:cs="仿宋_GB2312"/>
          <w:b/>
          <w:color w:val="FF0000"/>
          <w:sz w:val="28"/>
          <w:szCs w:val="28"/>
        </w:rPr>
      </w:pPr>
      <w:r>
        <w:rPr>
          <w:rFonts w:ascii="仿宋_GB2312" w:hAnsi="仿宋_GB2312" w:cs="仿宋_GB2312" w:hint="eastAsia"/>
          <w:bCs/>
          <w:sz w:val="28"/>
          <w:szCs w:val="28"/>
        </w:rPr>
        <w:t>2.1课程目标</w:t>
      </w:r>
    </w:p>
    <w:p w:rsidR="008C3907" w:rsidRDefault="008C3907" w:rsidP="008C3907">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(1) 学习探索和研究一些新能源利用方法；</w:t>
      </w:r>
    </w:p>
    <w:p w:rsidR="008C3907" w:rsidRDefault="008C3907" w:rsidP="008C3907">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(2) 了解和掌握暖通空调领域的最新研究发展方向；了解和掌握国内外暖通空调的新技术进展；</w:t>
      </w:r>
    </w:p>
    <w:p w:rsidR="008C3907" w:rsidRDefault="008C3907" w:rsidP="008C3907">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w:t>
      </w:r>
      <w:r>
        <w:rPr>
          <w:rFonts w:ascii="仿宋_GB2312" w:hAnsi="仿宋_GB2312" w:cs="仿宋_GB2312" w:hint="eastAsia"/>
          <w:bCs/>
          <w:sz w:val="28"/>
          <w:szCs w:val="28"/>
        </w:rPr>
        <w:t>3</w:t>
      </w:r>
      <w:r>
        <w:rPr>
          <w:rFonts w:ascii="仿宋_GB2312" w:hAnsi="仿宋_GB2312" w:cs="仿宋_GB2312"/>
          <w:bCs/>
          <w:sz w:val="28"/>
          <w:szCs w:val="28"/>
        </w:rPr>
        <w:t>) 掌握暖通空调节能与环保技术应用的基本理论基础，对暖通空调系统能够进行节能和经济性分析；</w:t>
      </w:r>
    </w:p>
    <w:p w:rsidR="008C3907" w:rsidRDefault="008C3907" w:rsidP="008C3907">
      <w:pPr>
        <w:spacing w:line="560" w:lineRule="exact"/>
        <w:ind w:firstLineChars="200" w:firstLine="560"/>
        <w:rPr>
          <w:rFonts w:ascii="仿宋_GB2312" w:hAnsi="仿宋_GB2312" w:cs="仿宋_GB2312"/>
          <w:bCs/>
          <w:sz w:val="28"/>
          <w:szCs w:val="28"/>
        </w:rPr>
      </w:pPr>
      <w:r>
        <w:rPr>
          <w:rFonts w:ascii="仿宋_GB2312" w:hAnsi="仿宋_GB2312" w:cs="仿宋_GB2312"/>
          <w:bCs/>
          <w:sz w:val="28"/>
          <w:szCs w:val="28"/>
        </w:rPr>
        <w:t>(</w:t>
      </w:r>
      <w:r>
        <w:rPr>
          <w:rFonts w:ascii="仿宋_GB2312" w:hAnsi="仿宋_GB2312" w:cs="仿宋_GB2312" w:hint="eastAsia"/>
          <w:bCs/>
          <w:sz w:val="28"/>
          <w:szCs w:val="28"/>
        </w:rPr>
        <w:t>4</w:t>
      </w:r>
      <w:r>
        <w:rPr>
          <w:rFonts w:ascii="仿宋_GB2312" w:hAnsi="仿宋_GB2312" w:cs="仿宋_GB2312"/>
          <w:bCs/>
          <w:sz w:val="28"/>
          <w:szCs w:val="28"/>
        </w:rPr>
        <w:t>) 掌握建筑节能的基本概念、专业术语，掌握建筑节能技术应用的基本理论基础和技术适用性分析方法；</w:t>
      </w:r>
    </w:p>
    <w:p w:rsidR="008C3907" w:rsidRDefault="008C3907" w:rsidP="008C3907">
      <w:pPr>
        <w:spacing w:line="560" w:lineRule="exact"/>
        <w:ind w:firstLineChars="200" w:firstLine="560"/>
        <w:rPr>
          <w:rFonts w:eastAsia="宋体"/>
          <w:szCs w:val="24"/>
        </w:rPr>
      </w:pPr>
      <w:r>
        <w:rPr>
          <w:rFonts w:ascii="仿宋_GB2312" w:hAnsi="仿宋_GB2312" w:cs="仿宋_GB2312"/>
          <w:bCs/>
          <w:sz w:val="28"/>
          <w:szCs w:val="28"/>
        </w:rPr>
        <w:lastRenderedPageBreak/>
        <w:t>(</w:t>
      </w:r>
      <w:r>
        <w:rPr>
          <w:rFonts w:ascii="仿宋_GB2312" w:hAnsi="仿宋_GB2312" w:cs="仿宋_GB2312" w:hint="eastAsia"/>
          <w:bCs/>
          <w:sz w:val="28"/>
          <w:szCs w:val="28"/>
        </w:rPr>
        <w:t>5</w:t>
      </w:r>
      <w:r>
        <w:rPr>
          <w:rFonts w:ascii="仿宋_GB2312" w:hAnsi="仿宋_GB2312" w:cs="仿宋_GB2312"/>
          <w:bCs/>
          <w:sz w:val="28"/>
          <w:szCs w:val="28"/>
        </w:rPr>
        <w:t>) 熟悉建筑节能有关政策法规、设计规范和标准；了解建筑节能新技术进展，培养综合性、创新性思想方法和能力。</w:t>
      </w:r>
    </w:p>
    <w:p w:rsidR="008C3907" w:rsidRDefault="008C3907" w:rsidP="008C3907">
      <w:pPr>
        <w:spacing w:line="360" w:lineRule="auto"/>
        <w:ind w:firstLine="331"/>
        <w:rPr>
          <w:rFonts w:ascii="仿宋_GB2312" w:hAnsi="仿宋_GB2312" w:cs="仿宋_GB2312"/>
          <w:b/>
          <w:sz w:val="28"/>
          <w:szCs w:val="28"/>
        </w:rPr>
      </w:pPr>
      <w:r>
        <w:rPr>
          <w:rFonts w:ascii="仿宋_GB2312" w:hAnsi="仿宋_GB2312" w:cs="仿宋_GB2312" w:hint="eastAsia"/>
          <w:bCs/>
          <w:sz w:val="28"/>
          <w:szCs w:val="28"/>
        </w:rPr>
        <w:t>2.2 课程目标与毕业要求之间的对应关系</w:t>
      </w:r>
      <w:r>
        <w:rPr>
          <w:rFonts w:ascii="仿宋_GB2312" w:hAnsi="仿宋_GB2312" w:cs="仿宋_GB2312" w:hint="eastAsia"/>
          <w:b/>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506"/>
        <w:gridCol w:w="1494"/>
      </w:tblGrid>
      <w:tr w:rsidR="008C3907" w:rsidTr="008C3907">
        <w:trPr>
          <w:trHeight w:val="978"/>
          <w:jc w:val="center"/>
        </w:trPr>
        <w:tc>
          <w:tcPr>
            <w:tcW w:w="2035"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hint="eastAsia"/>
                <w:sz w:val="21"/>
                <w:szCs w:val="21"/>
              </w:rPr>
              <w:t>毕业要求</w:t>
            </w:r>
          </w:p>
        </w:tc>
        <w:tc>
          <w:tcPr>
            <w:tcW w:w="4506" w:type="dxa"/>
            <w:shd w:val="clear" w:color="auto" w:fill="auto"/>
            <w:vAlign w:val="center"/>
          </w:tcPr>
          <w:p w:rsidR="008C3907" w:rsidRDefault="008C3907" w:rsidP="008C3907">
            <w:pPr>
              <w:spacing w:line="500" w:lineRule="exact"/>
              <w:jc w:val="center"/>
              <w:rPr>
                <w:rFonts w:ascii="宋体" w:eastAsia="宋体" w:hAnsi="宋体"/>
                <w:sz w:val="21"/>
                <w:szCs w:val="21"/>
              </w:rPr>
            </w:pPr>
            <w:r>
              <w:rPr>
                <w:rFonts w:ascii="宋体" w:eastAsia="宋体" w:hAnsi="宋体" w:hint="eastAsia"/>
                <w:sz w:val="21"/>
                <w:szCs w:val="21"/>
              </w:rPr>
              <w:t>指标点</w:t>
            </w:r>
          </w:p>
        </w:tc>
        <w:tc>
          <w:tcPr>
            <w:tcW w:w="1494"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hint="eastAsia"/>
                <w:sz w:val="21"/>
                <w:szCs w:val="21"/>
              </w:rPr>
              <w:t>课程目标</w:t>
            </w:r>
          </w:p>
        </w:tc>
      </w:tr>
      <w:tr w:rsidR="008C3907" w:rsidTr="008C3907">
        <w:trPr>
          <w:jc w:val="center"/>
        </w:trPr>
        <w:tc>
          <w:tcPr>
            <w:tcW w:w="2035"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hint="eastAsia"/>
                <w:sz w:val="21"/>
                <w:szCs w:val="21"/>
              </w:rPr>
              <w:t>1.工程知识</w:t>
            </w:r>
          </w:p>
        </w:tc>
        <w:tc>
          <w:tcPr>
            <w:tcW w:w="4506"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hint="eastAsia"/>
                <w:sz w:val="21"/>
                <w:szCs w:val="21"/>
              </w:rPr>
              <w:t>1</w:t>
            </w:r>
            <w:r>
              <w:rPr>
                <w:rFonts w:ascii="宋体" w:eastAsia="宋体" w:hAnsi="宋体"/>
                <w:sz w:val="21"/>
                <w:szCs w:val="21"/>
              </w:rPr>
              <w:t xml:space="preserve">.3 </w:t>
            </w:r>
            <w:r>
              <w:rPr>
                <w:rFonts w:ascii="宋体" w:eastAsia="宋体" w:hAnsi="宋体" w:hint="eastAsia"/>
                <w:sz w:val="21"/>
                <w:szCs w:val="21"/>
              </w:rPr>
              <w:t>掌握建筑环境与能源应用工程专业知识，具备知识交叉融合能力，应用于解决建筑环境与能源应用工程专业复杂工程问题</w:t>
            </w:r>
          </w:p>
        </w:tc>
        <w:tc>
          <w:tcPr>
            <w:tcW w:w="1494" w:type="dxa"/>
            <w:shd w:val="clear" w:color="auto" w:fill="auto"/>
            <w:vAlign w:val="center"/>
          </w:tcPr>
          <w:p w:rsidR="008C3907" w:rsidRDefault="008C3907" w:rsidP="008C3907">
            <w:pPr>
              <w:spacing w:line="500" w:lineRule="exact"/>
              <w:jc w:val="center"/>
              <w:rPr>
                <w:rFonts w:ascii="宋体" w:eastAsia="宋体" w:hAnsi="宋体"/>
                <w:sz w:val="21"/>
                <w:szCs w:val="21"/>
              </w:rPr>
            </w:pPr>
            <w:r>
              <w:rPr>
                <w:rFonts w:ascii="宋体" w:eastAsia="宋体" w:hAnsi="宋体" w:hint="eastAsia"/>
                <w:sz w:val="21"/>
                <w:szCs w:val="21"/>
              </w:rPr>
              <w:t>课程目标（3）</w:t>
            </w:r>
          </w:p>
        </w:tc>
      </w:tr>
      <w:tr w:rsidR="008C3907" w:rsidTr="008C3907">
        <w:trPr>
          <w:jc w:val="center"/>
        </w:trPr>
        <w:tc>
          <w:tcPr>
            <w:tcW w:w="2035"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hint="eastAsia"/>
                <w:sz w:val="21"/>
                <w:szCs w:val="21"/>
              </w:rPr>
              <w:t>2.问题分析</w:t>
            </w:r>
          </w:p>
        </w:tc>
        <w:tc>
          <w:tcPr>
            <w:tcW w:w="4506"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hint="eastAsia"/>
                <w:sz w:val="21"/>
                <w:szCs w:val="21"/>
              </w:rPr>
              <w:t>2</w:t>
            </w:r>
            <w:r>
              <w:rPr>
                <w:rFonts w:ascii="宋体" w:eastAsia="宋体" w:hAnsi="宋体"/>
                <w:sz w:val="21"/>
                <w:szCs w:val="21"/>
              </w:rPr>
              <w:t xml:space="preserve">.2 </w:t>
            </w:r>
            <w:r>
              <w:rPr>
                <w:rFonts w:ascii="宋体" w:eastAsia="宋体" w:hAnsi="宋体" w:hint="eastAsia"/>
                <w:sz w:val="21"/>
                <w:szCs w:val="21"/>
              </w:rPr>
              <w:t>能够正确、合理运用专业知识，识别、判断和表达建筑环境与能源应用工程专业复杂工程问题的本质特征、关键环节，并能提供多种解决方案；</w:t>
            </w:r>
          </w:p>
        </w:tc>
        <w:tc>
          <w:tcPr>
            <w:tcW w:w="1494" w:type="dxa"/>
            <w:shd w:val="clear" w:color="auto" w:fill="auto"/>
            <w:vAlign w:val="center"/>
          </w:tcPr>
          <w:p w:rsidR="008C3907" w:rsidRDefault="008C3907" w:rsidP="008C3907">
            <w:pPr>
              <w:spacing w:line="500" w:lineRule="exact"/>
              <w:jc w:val="center"/>
              <w:rPr>
                <w:rFonts w:ascii="宋体" w:eastAsia="宋体" w:hAnsi="宋体"/>
                <w:sz w:val="21"/>
                <w:szCs w:val="21"/>
              </w:rPr>
            </w:pPr>
            <w:r>
              <w:rPr>
                <w:rFonts w:ascii="宋体" w:eastAsia="宋体" w:hAnsi="宋体" w:hint="eastAsia"/>
                <w:sz w:val="21"/>
                <w:szCs w:val="21"/>
              </w:rPr>
              <w:t>课程目标（4）</w:t>
            </w:r>
          </w:p>
        </w:tc>
      </w:tr>
      <w:tr w:rsidR="008C3907" w:rsidTr="008C3907">
        <w:trPr>
          <w:jc w:val="center"/>
        </w:trPr>
        <w:tc>
          <w:tcPr>
            <w:tcW w:w="2035"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hint="eastAsia"/>
                <w:sz w:val="21"/>
                <w:szCs w:val="21"/>
              </w:rPr>
              <w:t>3.</w:t>
            </w:r>
            <w:r>
              <w:rPr>
                <w:rFonts w:ascii="宋体" w:eastAsia="宋体" w:hAnsi="宋体"/>
                <w:sz w:val="21"/>
                <w:szCs w:val="21"/>
              </w:rPr>
              <w:t xml:space="preserve"> 设计/开发解决方案</w:t>
            </w:r>
          </w:p>
        </w:tc>
        <w:tc>
          <w:tcPr>
            <w:tcW w:w="4506" w:type="dxa"/>
            <w:shd w:val="clear" w:color="auto" w:fill="auto"/>
            <w:vAlign w:val="center"/>
          </w:tcPr>
          <w:p w:rsidR="008C3907" w:rsidRDefault="008C3907" w:rsidP="008C3907">
            <w:pPr>
              <w:widowControl/>
              <w:spacing w:line="420" w:lineRule="exact"/>
              <w:rPr>
                <w:rFonts w:ascii="宋体" w:eastAsia="宋体" w:hAnsi="宋体"/>
                <w:sz w:val="21"/>
                <w:szCs w:val="21"/>
              </w:rPr>
            </w:pPr>
            <w:r>
              <w:rPr>
                <w:rFonts w:ascii="宋体" w:eastAsia="宋体" w:hAnsi="宋体" w:hint="eastAsia"/>
                <w:sz w:val="21"/>
                <w:szCs w:val="21"/>
              </w:rPr>
              <w:t>3</w:t>
            </w:r>
            <w:r>
              <w:rPr>
                <w:rFonts w:ascii="宋体" w:eastAsia="宋体" w:hAnsi="宋体"/>
                <w:sz w:val="21"/>
                <w:szCs w:val="21"/>
              </w:rPr>
              <w:t xml:space="preserve">.3 </w:t>
            </w:r>
            <w:r>
              <w:rPr>
                <w:rFonts w:ascii="宋体" w:eastAsia="宋体" w:hAnsi="宋体" w:hint="eastAsia"/>
                <w:sz w:val="21"/>
                <w:szCs w:val="21"/>
              </w:rPr>
              <w:t>在设计/开发工作中能够综合考虑社会、健康、安全、法律、文化以及环境等因素</w:t>
            </w:r>
            <w:r>
              <w:rPr>
                <w:rFonts w:ascii="华文中宋" w:eastAsia="华文中宋" w:hAnsi="华文中宋" w:cs="宋体" w:hint="eastAsia"/>
                <w:sz w:val="24"/>
                <w:szCs w:val="24"/>
              </w:rPr>
              <w:t>。</w:t>
            </w:r>
          </w:p>
        </w:tc>
        <w:tc>
          <w:tcPr>
            <w:tcW w:w="1494" w:type="dxa"/>
            <w:shd w:val="clear" w:color="auto" w:fill="auto"/>
            <w:vAlign w:val="center"/>
          </w:tcPr>
          <w:p w:rsidR="008C3907" w:rsidRDefault="008C3907" w:rsidP="008C3907">
            <w:pPr>
              <w:spacing w:line="500" w:lineRule="exact"/>
              <w:jc w:val="center"/>
              <w:rPr>
                <w:rFonts w:ascii="宋体" w:eastAsia="宋体" w:hAnsi="宋体"/>
                <w:sz w:val="21"/>
                <w:szCs w:val="21"/>
              </w:rPr>
            </w:pPr>
            <w:r>
              <w:rPr>
                <w:rFonts w:ascii="宋体" w:eastAsia="宋体" w:hAnsi="宋体" w:hint="eastAsia"/>
                <w:sz w:val="21"/>
                <w:szCs w:val="21"/>
              </w:rPr>
              <w:t>课程目标（3）</w:t>
            </w:r>
          </w:p>
        </w:tc>
      </w:tr>
      <w:tr w:rsidR="008C3907" w:rsidTr="008C3907">
        <w:trPr>
          <w:jc w:val="center"/>
        </w:trPr>
        <w:tc>
          <w:tcPr>
            <w:tcW w:w="2035"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hint="eastAsia"/>
                <w:sz w:val="21"/>
                <w:szCs w:val="21"/>
              </w:rPr>
              <w:t>4.研究</w:t>
            </w:r>
          </w:p>
        </w:tc>
        <w:tc>
          <w:tcPr>
            <w:tcW w:w="4506"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hint="eastAsia"/>
                <w:sz w:val="21"/>
                <w:szCs w:val="21"/>
              </w:rPr>
              <w:t>4</w:t>
            </w:r>
            <w:r>
              <w:rPr>
                <w:rFonts w:ascii="宋体" w:eastAsia="宋体" w:hAnsi="宋体"/>
                <w:sz w:val="21"/>
                <w:szCs w:val="21"/>
              </w:rPr>
              <w:t xml:space="preserve">.2 </w:t>
            </w:r>
            <w:r>
              <w:rPr>
                <w:rFonts w:ascii="宋体" w:eastAsia="宋体" w:hAnsi="宋体" w:hint="eastAsia"/>
                <w:sz w:val="21"/>
                <w:szCs w:val="21"/>
              </w:rPr>
              <w:t>掌握工程基础和专业实验、测试和检测的基本原理、方法和技能；</w:t>
            </w:r>
          </w:p>
          <w:p w:rsidR="008C3907" w:rsidRDefault="008C3907" w:rsidP="008C3907">
            <w:pPr>
              <w:spacing w:line="500" w:lineRule="exact"/>
              <w:jc w:val="left"/>
              <w:rPr>
                <w:rFonts w:ascii="宋体" w:eastAsia="宋体" w:hAnsi="宋体"/>
                <w:sz w:val="21"/>
                <w:szCs w:val="21"/>
              </w:rPr>
            </w:pPr>
            <w:r>
              <w:rPr>
                <w:rFonts w:ascii="宋体" w:eastAsia="宋体" w:hAnsi="宋体" w:hint="eastAsia"/>
                <w:sz w:val="21"/>
                <w:szCs w:val="21"/>
              </w:rPr>
              <w:t>4</w:t>
            </w:r>
            <w:r>
              <w:rPr>
                <w:rFonts w:ascii="宋体" w:eastAsia="宋体" w:hAnsi="宋体"/>
                <w:sz w:val="21"/>
                <w:szCs w:val="21"/>
              </w:rPr>
              <w:t xml:space="preserve">.3 </w:t>
            </w:r>
            <w:r>
              <w:rPr>
                <w:rFonts w:ascii="宋体" w:eastAsia="宋体" w:hAnsi="宋体" w:hint="eastAsia"/>
                <w:sz w:val="21"/>
                <w:szCs w:val="21"/>
              </w:rPr>
              <w:t>根据建筑环境与能源应用工程专业复杂工程问题的特征，选择研究路线，设计实验方案并正确进行实验操作，正确收集、处理、分析与解释实验数据，通过信息综合获得合理有效的结论。</w:t>
            </w:r>
          </w:p>
        </w:tc>
        <w:tc>
          <w:tcPr>
            <w:tcW w:w="1494" w:type="dxa"/>
            <w:shd w:val="clear" w:color="auto" w:fill="auto"/>
            <w:vAlign w:val="center"/>
          </w:tcPr>
          <w:p w:rsidR="008C3907" w:rsidRDefault="008C3907" w:rsidP="008C3907">
            <w:pPr>
              <w:spacing w:line="500" w:lineRule="exact"/>
              <w:jc w:val="center"/>
              <w:rPr>
                <w:rFonts w:ascii="宋体" w:eastAsia="宋体" w:hAnsi="宋体"/>
                <w:sz w:val="21"/>
                <w:szCs w:val="21"/>
              </w:rPr>
            </w:pPr>
            <w:r>
              <w:rPr>
                <w:rFonts w:ascii="宋体" w:eastAsia="宋体" w:hAnsi="宋体" w:hint="eastAsia"/>
                <w:sz w:val="21"/>
                <w:szCs w:val="21"/>
              </w:rPr>
              <w:t>课程目标（2）</w:t>
            </w:r>
          </w:p>
        </w:tc>
      </w:tr>
      <w:tr w:rsidR="008C3907" w:rsidTr="008C3907">
        <w:trPr>
          <w:jc w:val="center"/>
        </w:trPr>
        <w:tc>
          <w:tcPr>
            <w:tcW w:w="2035"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sz w:val="21"/>
                <w:szCs w:val="21"/>
              </w:rPr>
              <w:t>6.工程与社会</w:t>
            </w:r>
          </w:p>
        </w:tc>
        <w:tc>
          <w:tcPr>
            <w:tcW w:w="4506"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hint="eastAsia"/>
                <w:sz w:val="21"/>
                <w:szCs w:val="21"/>
              </w:rPr>
              <w:t>6.2能够分析并合理评价建筑环境与能源应用工程专业工程实践和复杂工程问题的解决方案对社会、健康、安全、法律以及文化的影响，以及这些制约因素对项目实施的影响，并理解建筑环境与能源应用工程师应承担的社会责任。</w:t>
            </w:r>
          </w:p>
        </w:tc>
        <w:tc>
          <w:tcPr>
            <w:tcW w:w="1494" w:type="dxa"/>
            <w:shd w:val="clear" w:color="auto" w:fill="auto"/>
            <w:vAlign w:val="center"/>
          </w:tcPr>
          <w:p w:rsidR="008C3907" w:rsidRDefault="008C3907" w:rsidP="008C3907">
            <w:pPr>
              <w:spacing w:line="500" w:lineRule="exact"/>
              <w:jc w:val="center"/>
              <w:rPr>
                <w:rFonts w:ascii="宋体" w:eastAsia="宋体" w:hAnsi="宋体"/>
                <w:sz w:val="21"/>
                <w:szCs w:val="21"/>
              </w:rPr>
            </w:pPr>
            <w:r>
              <w:rPr>
                <w:rFonts w:ascii="宋体" w:eastAsia="宋体" w:hAnsi="宋体" w:hint="eastAsia"/>
                <w:sz w:val="21"/>
                <w:szCs w:val="21"/>
              </w:rPr>
              <w:t>课程目标（5）</w:t>
            </w:r>
          </w:p>
        </w:tc>
      </w:tr>
      <w:tr w:rsidR="008C3907" w:rsidTr="008C3907">
        <w:trPr>
          <w:jc w:val="center"/>
        </w:trPr>
        <w:tc>
          <w:tcPr>
            <w:tcW w:w="2035"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sz w:val="21"/>
                <w:szCs w:val="21"/>
              </w:rPr>
              <w:lastRenderedPageBreak/>
              <w:t>7.环境和可持续发展</w:t>
            </w:r>
          </w:p>
        </w:tc>
        <w:tc>
          <w:tcPr>
            <w:tcW w:w="4506"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sz w:val="21"/>
                <w:szCs w:val="21"/>
              </w:rPr>
              <w:t xml:space="preserve">7.1 </w:t>
            </w:r>
            <w:r>
              <w:rPr>
                <w:rFonts w:ascii="宋体" w:eastAsia="宋体" w:hAnsi="宋体" w:hint="eastAsia"/>
                <w:sz w:val="21"/>
                <w:szCs w:val="21"/>
              </w:rPr>
              <w:t>知晓和理解环境保护和可持续发展的理念和内涵；</w:t>
            </w:r>
          </w:p>
        </w:tc>
        <w:tc>
          <w:tcPr>
            <w:tcW w:w="1494" w:type="dxa"/>
            <w:shd w:val="clear" w:color="auto" w:fill="auto"/>
            <w:vAlign w:val="center"/>
          </w:tcPr>
          <w:p w:rsidR="008C3907" w:rsidRDefault="008C3907" w:rsidP="008C3907">
            <w:pPr>
              <w:spacing w:line="500" w:lineRule="exact"/>
              <w:jc w:val="center"/>
              <w:rPr>
                <w:rFonts w:ascii="宋体" w:eastAsia="宋体" w:hAnsi="宋体"/>
                <w:sz w:val="21"/>
                <w:szCs w:val="21"/>
              </w:rPr>
            </w:pPr>
            <w:r>
              <w:rPr>
                <w:rFonts w:ascii="宋体" w:eastAsia="宋体" w:hAnsi="宋体" w:hint="eastAsia"/>
                <w:sz w:val="21"/>
                <w:szCs w:val="21"/>
              </w:rPr>
              <w:t>课程目标（1）</w:t>
            </w:r>
          </w:p>
        </w:tc>
      </w:tr>
      <w:tr w:rsidR="008C3907" w:rsidTr="008C3907">
        <w:trPr>
          <w:jc w:val="center"/>
        </w:trPr>
        <w:tc>
          <w:tcPr>
            <w:tcW w:w="2035"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sz w:val="21"/>
                <w:szCs w:val="21"/>
              </w:rPr>
              <w:t>12.终身学习</w:t>
            </w:r>
          </w:p>
        </w:tc>
        <w:tc>
          <w:tcPr>
            <w:tcW w:w="4506" w:type="dxa"/>
            <w:shd w:val="clear" w:color="auto" w:fill="auto"/>
            <w:vAlign w:val="center"/>
          </w:tcPr>
          <w:p w:rsidR="008C3907" w:rsidRDefault="008C3907" w:rsidP="008C3907">
            <w:pPr>
              <w:spacing w:line="500" w:lineRule="exact"/>
              <w:jc w:val="left"/>
              <w:rPr>
                <w:rFonts w:ascii="宋体" w:eastAsia="宋体" w:hAnsi="宋体"/>
                <w:sz w:val="21"/>
                <w:szCs w:val="21"/>
              </w:rPr>
            </w:pPr>
            <w:r>
              <w:rPr>
                <w:rFonts w:ascii="宋体" w:eastAsia="宋体" w:hAnsi="宋体" w:hint="eastAsia"/>
                <w:sz w:val="21"/>
                <w:szCs w:val="21"/>
              </w:rPr>
              <w:t>12.1在社会和建筑环境与能源应用工程专业发展的大背景下，能够认识到不断探索和学习的必要性，自觉跟踪建筑环境与能源应用工程专业学科前沿，具有自主学习和终身学习意识；</w:t>
            </w:r>
          </w:p>
        </w:tc>
        <w:tc>
          <w:tcPr>
            <w:tcW w:w="1494" w:type="dxa"/>
            <w:shd w:val="clear" w:color="auto" w:fill="auto"/>
            <w:vAlign w:val="center"/>
          </w:tcPr>
          <w:p w:rsidR="008C3907" w:rsidRDefault="008C3907" w:rsidP="008C3907">
            <w:pPr>
              <w:spacing w:line="500" w:lineRule="exact"/>
              <w:jc w:val="center"/>
              <w:rPr>
                <w:rFonts w:ascii="宋体" w:eastAsia="宋体" w:hAnsi="宋体"/>
                <w:sz w:val="21"/>
                <w:szCs w:val="21"/>
              </w:rPr>
            </w:pPr>
            <w:r>
              <w:rPr>
                <w:rFonts w:ascii="宋体" w:eastAsia="宋体" w:hAnsi="宋体" w:hint="eastAsia"/>
                <w:sz w:val="21"/>
                <w:szCs w:val="21"/>
              </w:rPr>
              <w:t>课程目标</w:t>
            </w:r>
          </w:p>
          <w:p w:rsidR="008C3907" w:rsidRDefault="008C3907" w:rsidP="008C3907">
            <w:pPr>
              <w:spacing w:line="500" w:lineRule="exact"/>
              <w:jc w:val="center"/>
              <w:rPr>
                <w:rFonts w:ascii="宋体" w:eastAsia="宋体" w:hAnsi="宋体"/>
                <w:sz w:val="21"/>
                <w:szCs w:val="21"/>
              </w:rPr>
            </w:pPr>
            <w:r>
              <w:rPr>
                <w:rFonts w:ascii="宋体" w:eastAsia="宋体" w:hAnsi="宋体" w:hint="eastAsia"/>
                <w:sz w:val="21"/>
                <w:szCs w:val="21"/>
              </w:rPr>
              <w:t>（1），（2）</w:t>
            </w:r>
          </w:p>
        </w:tc>
      </w:tr>
    </w:tbl>
    <w:p w:rsidR="008C3907" w:rsidRDefault="008C3907" w:rsidP="008C3907">
      <w:pPr>
        <w:spacing w:line="560" w:lineRule="exact"/>
        <w:ind w:firstLine="331"/>
        <w:rPr>
          <w:rFonts w:ascii="仿宋_GB2312" w:hAnsi="仿宋_GB2312" w:cs="仿宋_GB2312"/>
          <w:sz w:val="28"/>
          <w:szCs w:val="28"/>
        </w:rPr>
      </w:pPr>
      <w:r>
        <w:rPr>
          <w:rFonts w:ascii="仿宋_GB2312" w:hAnsi="仿宋_GB2312" w:cs="仿宋_GB2312" w:hint="eastAsia"/>
          <w:sz w:val="28"/>
          <w:szCs w:val="28"/>
        </w:rPr>
        <w:t>3. 课程的重点、难点</w:t>
      </w:r>
    </w:p>
    <w:p w:rsidR="008C3907" w:rsidRDefault="008C3907" w:rsidP="008C3907">
      <w:pPr>
        <w:spacing w:line="560" w:lineRule="exact"/>
        <w:ind w:firstLine="329"/>
        <w:rPr>
          <w:rFonts w:ascii="仿宋_GB2312" w:hAnsi="仿宋_GB2312" w:cs="仿宋_GB2312"/>
          <w:sz w:val="28"/>
          <w:szCs w:val="28"/>
        </w:rPr>
      </w:pPr>
      <w:r>
        <w:rPr>
          <w:rFonts w:ascii="仿宋_GB2312" w:hAnsi="仿宋_GB2312" w:cs="仿宋_GB2312"/>
          <w:sz w:val="28"/>
          <w:szCs w:val="28"/>
        </w:rPr>
        <w:t>本课程的重点是围绕暖通空调领域的各种节能环保新技术，如何高效率地节约能源（即开辟太阳能、地热能等新能源和新工质在暖通空调系统中的应用，从而节约常规、一次能源；利用各种技术有效地贮存能源即贮能技术，并降低能耗、提高能源利用效率，如热泵技术、冷热电三联产技术、蒸发冷却技术、和温湿度独立调节技术等）和保护环境；以及建筑本体节能的基本要求及理论基础。</w:t>
      </w:r>
    </w:p>
    <w:p w:rsidR="008C3907" w:rsidRDefault="008C3907" w:rsidP="008C3907">
      <w:pPr>
        <w:spacing w:line="560" w:lineRule="exact"/>
        <w:ind w:firstLine="329"/>
        <w:rPr>
          <w:rFonts w:ascii="仿宋_GB2312" w:hAnsi="仿宋_GB2312" w:cs="仿宋_GB2312"/>
          <w:sz w:val="28"/>
          <w:szCs w:val="28"/>
        </w:rPr>
      </w:pPr>
      <w:r>
        <w:rPr>
          <w:rFonts w:ascii="仿宋_GB2312" w:hAnsi="仿宋_GB2312" w:cs="仿宋_GB2312"/>
          <w:sz w:val="28"/>
          <w:szCs w:val="28"/>
        </w:rPr>
        <w:t>本课程的难点是如何将各种新能源利用技术、节能环保新技术与实际的设备充分联系起来，其核心技术细节如何完善；新技术应用中的适用性分析及经济性分析方法；技术综合性应用。</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4. 课程思政设计</w:t>
      </w:r>
    </w:p>
    <w:p w:rsidR="008C3907" w:rsidRDefault="008C3907" w:rsidP="008C3907">
      <w:pPr>
        <w:spacing w:line="360" w:lineRule="auto"/>
        <w:ind w:firstLine="331"/>
        <w:rPr>
          <w:rFonts w:ascii="仿宋_GB2312" w:hAnsi="仿宋_GB2312" w:cs="仿宋_GB2312"/>
          <w:sz w:val="28"/>
          <w:szCs w:val="28"/>
        </w:rPr>
      </w:pPr>
      <w:r>
        <w:rPr>
          <w:rFonts w:ascii="仿宋_GB2312" w:hAnsi="仿宋_GB2312" w:cs="仿宋_GB2312" w:hint="eastAsia"/>
          <w:sz w:val="28"/>
          <w:szCs w:val="28"/>
        </w:rPr>
        <w:t>通过各种能源的介绍使学生树立节约的能源观以及人与自然和谐共生的自然观，同时通过绿色建筑生态建筑的学习，使学生树立可持续发展的观念；通过各种新技术的介绍，让学生感受到我国科技发展的速度，进而感受国家繁荣昌盛中“科技是第一生产力”，从而努力学好科学文化，更好地建设祖国，为人民服务。</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四、教学内容安排</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102"/>
        <w:gridCol w:w="727"/>
        <w:gridCol w:w="3059"/>
        <w:gridCol w:w="2755"/>
      </w:tblGrid>
      <w:tr w:rsidR="008C3907" w:rsidTr="008C3907">
        <w:trPr>
          <w:cantSplit/>
          <w:trHeight w:val="785"/>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lastRenderedPageBreak/>
              <w:t>序号</w:t>
            </w:r>
          </w:p>
        </w:tc>
        <w:tc>
          <w:tcPr>
            <w:tcW w:w="210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章</w:t>
            </w:r>
            <w:r>
              <w:rPr>
                <w:rFonts w:ascii="Times New Roman" w:hAnsi="Times New Roman" w:hint="eastAsia"/>
                <w:kern w:val="0"/>
                <w:sz w:val="20"/>
                <w:szCs w:val="20"/>
              </w:rPr>
              <w:t xml:space="preserve">  </w:t>
            </w:r>
            <w:r>
              <w:rPr>
                <w:rFonts w:ascii="Times New Roman" w:hAnsi="Times New Roman" w:hint="eastAsia"/>
                <w:kern w:val="0"/>
                <w:sz w:val="20"/>
                <w:szCs w:val="20"/>
              </w:rPr>
              <w:t>节</w:t>
            </w:r>
          </w:p>
        </w:tc>
        <w:tc>
          <w:tcPr>
            <w:tcW w:w="727"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参考学时</w:t>
            </w:r>
          </w:p>
        </w:tc>
        <w:tc>
          <w:tcPr>
            <w:tcW w:w="3059"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教学内容</w:t>
            </w:r>
          </w:p>
        </w:tc>
        <w:tc>
          <w:tcPr>
            <w:tcW w:w="2755"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基本要求</w:t>
            </w:r>
          </w:p>
        </w:tc>
      </w:tr>
      <w:tr w:rsidR="008C3907" w:rsidTr="008C3907">
        <w:trPr>
          <w:trHeight w:val="428"/>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1</w:t>
            </w:r>
          </w:p>
        </w:tc>
        <w:tc>
          <w:tcPr>
            <w:tcW w:w="2102" w:type="dxa"/>
            <w:vAlign w:val="center"/>
          </w:tcPr>
          <w:p w:rsidR="008C3907" w:rsidRDefault="008C3907" w:rsidP="008C3907">
            <w:pPr>
              <w:pStyle w:val="a3"/>
              <w:keepNext w:val="0"/>
              <w:spacing w:line="392" w:lineRule="exact"/>
              <w:ind w:firstLine="0"/>
              <w:rPr>
                <w:rFonts w:eastAsia="宋体"/>
                <w:szCs w:val="24"/>
              </w:rPr>
            </w:pPr>
            <w:r>
              <w:rPr>
                <w:rFonts w:eastAsia="宋体"/>
                <w:szCs w:val="24"/>
              </w:rPr>
              <w:t>第一章</w:t>
            </w:r>
            <w:r>
              <w:rPr>
                <w:rFonts w:eastAsia="宋体"/>
                <w:szCs w:val="24"/>
              </w:rPr>
              <w:t xml:space="preserve">  </w:t>
            </w:r>
            <w:r>
              <w:rPr>
                <w:rFonts w:eastAsia="宋体"/>
                <w:szCs w:val="24"/>
              </w:rPr>
              <w:t>绪论</w:t>
            </w:r>
          </w:p>
          <w:p w:rsidR="008C3907" w:rsidRDefault="008C3907" w:rsidP="008C3907">
            <w:pPr>
              <w:rPr>
                <w:rFonts w:ascii="Times New Roman" w:eastAsia="宋体" w:hAnsi="Times New Roman"/>
                <w:snapToGrid w:val="0"/>
                <w:kern w:val="0"/>
                <w:sz w:val="21"/>
                <w:szCs w:val="24"/>
              </w:rPr>
            </w:pPr>
          </w:p>
        </w:tc>
        <w:tc>
          <w:tcPr>
            <w:tcW w:w="727" w:type="dxa"/>
            <w:vAlign w:val="center"/>
          </w:tcPr>
          <w:p w:rsidR="008C3907" w:rsidRDefault="008C3907" w:rsidP="008C3907">
            <w:pPr>
              <w:jc w:val="right"/>
              <w:rPr>
                <w:rFonts w:ascii="Times New Roman" w:eastAsia="宋体" w:hAnsi="Times New Roman"/>
                <w:snapToGrid w:val="0"/>
                <w:kern w:val="0"/>
                <w:sz w:val="21"/>
                <w:szCs w:val="24"/>
              </w:rPr>
            </w:pPr>
            <w:r>
              <w:rPr>
                <w:rFonts w:ascii="Times New Roman" w:eastAsia="宋体" w:hAnsi="Times New Roman" w:hint="eastAsia"/>
                <w:snapToGrid w:val="0"/>
                <w:kern w:val="0"/>
                <w:sz w:val="21"/>
                <w:szCs w:val="24"/>
              </w:rPr>
              <w:t>2</w:t>
            </w:r>
          </w:p>
        </w:tc>
        <w:tc>
          <w:tcPr>
            <w:tcW w:w="3059" w:type="dxa"/>
            <w:vAlign w:val="center"/>
          </w:tcPr>
          <w:p w:rsidR="008C3907" w:rsidRDefault="008C3907" w:rsidP="008C3907">
            <w:pPr>
              <w:rPr>
                <w:rFonts w:ascii="Times New Roman" w:eastAsia="宋体" w:hAnsi="Times New Roman"/>
                <w:snapToGrid w:val="0"/>
                <w:kern w:val="0"/>
                <w:sz w:val="21"/>
                <w:szCs w:val="24"/>
              </w:rPr>
            </w:pPr>
            <w:r>
              <w:rPr>
                <w:rFonts w:ascii="Times New Roman" w:eastAsia="宋体" w:hAnsi="Times New Roman" w:hint="eastAsia"/>
                <w:snapToGrid w:val="0"/>
                <w:kern w:val="0"/>
                <w:sz w:val="21"/>
                <w:szCs w:val="24"/>
              </w:rPr>
              <w:t>介绍建筑节能现状及目标</w:t>
            </w:r>
          </w:p>
        </w:tc>
        <w:tc>
          <w:tcPr>
            <w:tcW w:w="2755" w:type="dxa"/>
            <w:vAlign w:val="center"/>
          </w:tcPr>
          <w:p w:rsidR="008C3907" w:rsidRDefault="008C3907" w:rsidP="008C3907">
            <w:pPr>
              <w:rPr>
                <w:rFonts w:ascii="Times New Roman" w:eastAsia="宋体" w:hAnsi="Times New Roman"/>
                <w:snapToGrid w:val="0"/>
                <w:kern w:val="0"/>
                <w:sz w:val="21"/>
                <w:szCs w:val="24"/>
              </w:rPr>
            </w:pPr>
            <w:r>
              <w:rPr>
                <w:rFonts w:ascii="Times New Roman" w:eastAsia="宋体" w:hAnsi="Times New Roman" w:hint="eastAsia"/>
                <w:snapToGrid w:val="0"/>
                <w:kern w:val="0"/>
                <w:sz w:val="21"/>
                <w:szCs w:val="24"/>
              </w:rPr>
              <w:t>了解</w:t>
            </w:r>
            <w:r>
              <w:rPr>
                <w:rFonts w:ascii="Times New Roman" w:eastAsia="宋体" w:hAnsi="Times New Roman"/>
                <w:snapToGrid w:val="0"/>
                <w:kern w:val="0"/>
                <w:sz w:val="21"/>
                <w:szCs w:val="24"/>
              </w:rPr>
              <w:t>我国建筑节能的目标与任务</w:t>
            </w:r>
            <w:r>
              <w:rPr>
                <w:rFonts w:ascii="Times New Roman" w:eastAsia="宋体" w:hAnsi="Times New Roman" w:hint="eastAsia"/>
                <w:snapToGrid w:val="0"/>
                <w:kern w:val="0"/>
                <w:sz w:val="21"/>
                <w:szCs w:val="24"/>
              </w:rPr>
              <w:t>，明确</w:t>
            </w:r>
            <w:r>
              <w:rPr>
                <w:rFonts w:ascii="Times New Roman" w:eastAsia="宋体" w:hAnsi="Times New Roman"/>
                <w:snapToGrid w:val="0"/>
                <w:kern w:val="0"/>
                <w:sz w:val="21"/>
                <w:szCs w:val="24"/>
              </w:rPr>
              <w:t>暖通空调中的节能与环保研究的重要意义</w:t>
            </w:r>
            <w:r>
              <w:rPr>
                <w:rFonts w:ascii="Times New Roman" w:eastAsia="宋体" w:hAnsi="Times New Roman" w:hint="eastAsia"/>
                <w:snapToGrid w:val="0"/>
                <w:kern w:val="0"/>
                <w:sz w:val="21"/>
                <w:szCs w:val="24"/>
              </w:rPr>
              <w:t>，了解</w:t>
            </w:r>
            <w:r>
              <w:rPr>
                <w:rFonts w:ascii="Times New Roman" w:eastAsia="宋体" w:hAnsi="Times New Roman"/>
                <w:snapToGrid w:val="0"/>
                <w:kern w:val="0"/>
                <w:sz w:val="21"/>
                <w:szCs w:val="24"/>
              </w:rPr>
              <w:t>能源的概念和分类能源的评价</w:t>
            </w:r>
            <w:r>
              <w:rPr>
                <w:rFonts w:ascii="Times New Roman" w:eastAsia="宋体" w:hAnsi="Times New Roman" w:hint="eastAsia"/>
                <w:snapToGrid w:val="0"/>
                <w:kern w:val="0"/>
                <w:sz w:val="21"/>
                <w:szCs w:val="24"/>
              </w:rPr>
              <w:t>。</w:t>
            </w:r>
          </w:p>
        </w:tc>
      </w:tr>
      <w:tr w:rsidR="008C3907" w:rsidTr="008C3907">
        <w:trPr>
          <w:trHeight w:val="519"/>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2</w:t>
            </w:r>
          </w:p>
        </w:tc>
        <w:tc>
          <w:tcPr>
            <w:tcW w:w="2102" w:type="dxa"/>
            <w:vAlign w:val="center"/>
          </w:tcPr>
          <w:p w:rsidR="008C3907" w:rsidRDefault="008C3907" w:rsidP="008C3907">
            <w:pPr>
              <w:pStyle w:val="a3"/>
              <w:keepNext w:val="0"/>
              <w:spacing w:line="392" w:lineRule="exact"/>
              <w:ind w:firstLine="0"/>
              <w:rPr>
                <w:rFonts w:eastAsia="宋体"/>
                <w:szCs w:val="24"/>
              </w:rPr>
            </w:pPr>
            <w:r>
              <w:rPr>
                <w:rFonts w:eastAsia="宋体" w:hint="eastAsia"/>
                <w:szCs w:val="24"/>
              </w:rPr>
              <w:t>第二章</w:t>
            </w:r>
            <w:r>
              <w:rPr>
                <w:rFonts w:eastAsia="宋体"/>
                <w:szCs w:val="24"/>
              </w:rPr>
              <w:t>民用建筑节能设计</w:t>
            </w:r>
          </w:p>
        </w:tc>
        <w:tc>
          <w:tcPr>
            <w:tcW w:w="727" w:type="dxa"/>
            <w:vAlign w:val="center"/>
          </w:tcPr>
          <w:p w:rsidR="008C3907" w:rsidRDefault="008C3907" w:rsidP="008C3907">
            <w:pPr>
              <w:pStyle w:val="a3"/>
              <w:keepNext w:val="0"/>
              <w:spacing w:line="392" w:lineRule="exact"/>
              <w:ind w:firstLineChars="200" w:firstLine="640"/>
              <w:rPr>
                <w:rFonts w:eastAsia="宋体"/>
                <w:szCs w:val="24"/>
              </w:rPr>
            </w:pPr>
            <w:r>
              <w:rPr>
                <w:rFonts w:eastAsia="宋体" w:hint="eastAsia"/>
                <w:szCs w:val="24"/>
              </w:rPr>
              <w:t>6</w:t>
            </w:r>
          </w:p>
        </w:tc>
        <w:tc>
          <w:tcPr>
            <w:tcW w:w="3059" w:type="dxa"/>
            <w:vAlign w:val="center"/>
          </w:tcPr>
          <w:p w:rsidR="008C3907" w:rsidRDefault="008C3907" w:rsidP="008C3907">
            <w:pPr>
              <w:pStyle w:val="a3"/>
              <w:keepNext w:val="0"/>
              <w:spacing w:line="392" w:lineRule="exact"/>
              <w:ind w:firstLine="0"/>
              <w:rPr>
                <w:rFonts w:eastAsia="宋体"/>
                <w:szCs w:val="24"/>
              </w:rPr>
            </w:pPr>
            <w:r>
              <w:rPr>
                <w:rFonts w:eastAsia="宋体" w:hint="eastAsia"/>
                <w:szCs w:val="24"/>
              </w:rPr>
              <w:t>建筑节能设计及围护结构节能</w:t>
            </w:r>
          </w:p>
        </w:tc>
        <w:tc>
          <w:tcPr>
            <w:tcW w:w="2755" w:type="dxa"/>
            <w:vAlign w:val="center"/>
          </w:tcPr>
          <w:p w:rsidR="008C3907" w:rsidRDefault="008C3907" w:rsidP="008C3907">
            <w:pPr>
              <w:rPr>
                <w:rFonts w:ascii="Times New Roman" w:eastAsia="宋体" w:hAnsi="Times New Roman"/>
                <w:snapToGrid w:val="0"/>
                <w:kern w:val="0"/>
                <w:sz w:val="21"/>
                <w:szCs w:val="24"/>
              </w:rPr>
            </w:pPr>
            <w:r>
              <w:rPr>
                <w:rFonts w:ascii="Times New Roman" w:eastAsia="宋体" w:hAnsi="Times New Roman" w:hint="eastAsia"/>
                <w:snapToGrid w:val="0"/>
                <w:kern w:val="0"/>
                <w:sz w:val="21"/>
                <w:szCs w:val="24"/>
              </w:rPr>
              <w:t>熟知</w:t>
            </w:r>
            <w:r>
              <w:rPr>
                <w:rFonts w:ascii="Times New Roman" w:eastAsia="宋体" w:hAnsi="Times New Roman"/>
                <w:snapToGrid w:val="0"/>
                <w:kern w:val="0"/>
                <w:sz w:val="21"/>
                <w:szCs w:val="24"/>
              </w:rPr>
              <w:t>建筑保温</w:t>
            </w:r>
            <w:r>
              <w:rPr>
                <w:rFonts w:ascii="Times New Roman" w:eastAsia="宋体" w:hAnsi="Times New Roman" w:hint="eastAsia"/>
                <w:snapToGrid w:val="0"/>
                <w:kern w:val="0"/>
                <w:sz w:val="21"/>
                <w:szCs w:val="24"/>
              </w:rPr>
              <w:t>的做法</w:t>
            </w:r>
            <w:r>
              <w:rPr>
                <w:rFonts w:ascii="Times New Roman" w:eastAsia="宋体" w:hAnsi="Times New Roman"/>
                <w:snapToGrid w:val="0"/>
                <w:kern w:val="0"/>
                <w:sz w:val="21"/>
                <w:szCs w:val="24"/>
              </w:rPr>
              <w:t>与建筑围护结构节能设计</w:t>
            </w:r>
          </w:p>
        </w:tc>
      </w:tr>
      <w:tr w:rsidR="008C3907" w:rsidTr="008C3907">
        <w:trPr>
          <w:trHeight w:val="555"/>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3</w:t>
            </w:r>
          </w:p>
        </w:tc>
        <w:tc>
          <w:tcPr>
            <w:tcW w:w="2102" w:type="dxa"/>
            <w:vAlign w:val="center"/>
          </w:tcPr>
          <w:p w:rsidR="008C3907" w:rsidRDefault="008C3907" w:rsidP="008C3907">
            <w:pPr>
              <w:pStyle w:val="a3"/>
              <w:keepNext w:val="0"/>
              <w:spacing w:line="392" w:lineRule="exact"/>
              <w:ind w:firstLine="0"/>
              <w:rPr>
                <w:rFonts w:eastAsia="宋体"/>
                <w:szCs w:val="24"/>
              </w:rPr>
            </w:pPr>
            <w:r>
              <w:rPr>
                <w:rFonts w:eastAsia="宋体" w:hint="eastAsia"/>
                <w:szCs w:val="24"/>
              </w:rPr>
              <w:t>第三章供暖、空调系统节能</w:t>
            </w:r>
          </w:p>
        </w:tc>
        <w:tc>
          <w:tcPr>
            <w:tcW w:w="727" w:type="dxa"/>
            <w:vAlign w:val="center"/>
          </w:tcPr>
          <w:p w:rsidR="008C3907" w:rsidRDefault="008C3907" w:rsidP="008C3907">
            <w:pPr>
              <w:pStyle w:val="a3"/>
              <w:keepNext w:val="0"/>
              <w:spacing w:line="392" w:lineRule="exact"/>
              <w:ind w:firstLineChars="200" w:firstLine="640"/>
              <w:rPr>
                <w:rFonts w:eastAsia="宋体"/>
                <w:szCs w:val="24"/>
              </w:rPr>
            </w:pPr>
            <w:r>
              <w:rPr>
                <w:rFonts w:eastAsia="宋体" w:hint="eastAsia"/>
                <w:szCs w:val="24"/>
              </w:rPr>
              <w:t>8</w:t>
            </w:r>
          </w:p>
        </w:tc>
        <w:tc>
          <w:tcPr>
            <w:tcW w:w="3059" w:type="dxa"/>
            <w:vAlign w:val="center"/>
          </w:tcPr>
          <w:p w:rsidR="008C3907" w:rsidRDefault="008C3907" w:rsidP="008C3907">
            <w:pPr>
              <w:pStyle w:val="a3"/>
              <w:keepNext w:val="0"/>
              <w:spacing w:line="392" w:lineRule="exact"/>
              <w:ind w:firstLine="0"/>
              <w:rPr>
                <w:rFonts w:eastAsia="宋体"/>
                <w:szCs w:val="24"/>
              </w:rPr>
            </w:pPr>
            <w:r>
              <w:rPr>
                <w:rFonts w:eastAsia="宋体" w:hint="eastAsia"/>
                <w:szCs w:val="24"/>
              </w:rPr>
              <w:t>供暖及空调系统节能技术</w:t>
            </w:r>
          </w:p>
        </w:tc>
        <w:tc>
          <w:tcPr>
            <w:tcW w:w="2755" w:type="dxa"/>
            <w:vAlign w:val="center"/>
          </w:tcPr>
          <w:p w:rsidR="008C3907" w:rsidRDefault="008C3907" w:rsidP="008C3907">
            <w:pPr>
              <w:rPr>
                <w:rFonts w:ascii="Times New Roman" w:eastAsia="宋体" w:hAnsi="Times New Roman"/>
                <w:snapToGrid w:val="0"/>
                <w:kern w:val="0"/>
                <w:sz w:val="21"/>
                <w:szCs w:val="24"/>
              </w:rPr>
            </w:pPr>
            <w:r>
              <w:rPr>
                <w:rFonts w:ascii="Times New Roman" w:eastAsia="宋体" w:hAnsi="Times New Roman" w:hint="eastAsia"/>
                <w:snapToGrid w:val="0"/>
                <w:kern w:val="0"/>
                <w:sz w:val="21"/>
                <w:szCs w:val="24"/>
              </w:rPr>
              <w:t>了解供暖、空调系统的节能技术及运行管理节能</w:t>
            </w:r>
          </w:p>
        </w:tc>
      </w:tr>
      <w:tr w:rsidR="008C3907" w:rsidTr="008C3907">
        <w:trPr>
          <w:trHeight w:val="548"/>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4</w:t>
            </w:r>
          </w:p>
        </w:tc>
        <w:tc>
          <w:tcPr>
            <w:tcW w:w="2102" w:type="dxa"/>
            <w:vAlign w:val="center"/>
          </w:tcPr>
          <w:p w:rsidR="008C3907" w:rsidRDefault="008C3907" w:rsidP="008C3907">
            <w:pPr>
              <w:pStyle w:val="a3"/>
              <w:keepNext w:val="0"/>
              <w:spacing w:line="392" w:lineRule="exact"/>
              <w:ind w:firstLine="0"/>
              <w:rPr>
                <w:rFonts w:eastAsia="宋体"/>
                <w:szCs w:val="24"/>
              </w:rPr>
            </w:pPr>
            <w:r>
              <w:rPr>
                <w:rFonts w:eastAsia="宋体" w:hint="eastAsia"/>
                <w:szCs w:val="24"/>
              </w:rPr>
              <w:t>第四章</w:t>
            </w:r>
            <w:r>
              <w:rPr>
                <w:rFonts w:eastAsia="宋体" w:hint="eastAsia"/>
                <w:szCs w:val="24"/>
              </w:rPr>
              <w:t xml:space="preserve"> </w:t>
            </w:r>
            <w:r>
              <w:rPr>
                <w:rFonts w:eastAsia="宋体" w:hint="eastAsia"/>
                <w:szCs w:val="24"/>
              </w:rPr>
              <w:t>节能新技术</w:t>
            </w:r>
          </w:p>
        </w:tc>
        <w:tc>
          <w:tcPr>
            <w:tcW w:w="727" w:type="dxa"/>
            <w:vAlign w:val="center"/>
          </w:tcPr>
          <w:p w:rsidR="008C3907" w:rsidRDefault="008C3907" w:rsidP="008C3907">
            <w:pPr>
              <w:pStyle w:val="a3"/>
              <w:keepNext w:val="0"/>
              <w:spacing w:line="392" w:lineRule="exact"/>
              <w:ind w:firstLineChars="200" w:firstLine="640"/>
              <w:rPr>
                <w:rFonts w:eastAsia="宋体"/>
                <w:szCs w:val="24"/>
              </w:rPr>
            </w:pPr>
            <w:r>
              <w:rPr>
                <w:rFonts w:eastAsia="宋体" w:hint="eastAsia"/>
                <w:szCs w:val="24"/>
              </w:rPr>
              <w:t>8</w:t>
            </w:r>
          </w:p>
        </w:tc>
        <w:tc>
          <w:tcPr>
            <w:tcW w:w="3059" w:type="dxa"/>
            <w:vAlign w:val="center"/>
          </w:tcPr>
          <w:p w:rsidR="008C3907" w:rsidRDefault="008C3907" w:rsidP="008C3907">
            <w:pPr>
              <w:pStyle w:val="a3"/>
              <w:keepNext w:val="0"/>
              <w:spacing w:line="392" w:lineRule="exact"/>
              <w:ind w:firstLine="0"/>
              <w:rPr>
                <w:rFonts w:eastAsia="宋体"/>
                <w:szCs w:val="24"/>
              </w:rPr>
            </w:pPr>
            <w:r>
              <w:rPr>
                <w:rFonts w:eastAsia="宋体" w:hint="eastAsia"/>
                <w:szCs w:val="24"/>
              </w:rPr>
              <w:t>各种新技术介绍</w:t>
            </w:r>
          </w:p>
        </w:tc>
        <w:tc>
          <w:tcPr>
            <w:tcW w:w="2755" w:type="dxa"/>
            <w:vAlign w:val="center"/>
          </w:tcPr>
          <w:p w:rsidR="008C3907" w:rsidRDefault="008C3907" w:rsidP="008C3907">
            <w:pPr>
              <w:rPr>
                <w:rFonts w:ascii="Times New Roman" w:eastAsia="宋体" w:hAnsi="Times New Roman"/>
                <w:snapToGrid w:val="0"/>
                <w:kern w:val="0"/>
                <w:sz w:val="21"/>
                <w:szCs w:val="24"/>
              </w:rPr>
            </w:pPr>
            <w:r>
              <w:rPr>
                <w:rFonts w:ascii="Times New Roman" w:eastAsia="宋体" w:hAnsi="Times New Roman" w:hint="eastAsia"/>
                <w:snapToGrid w:val="0"/>
                <w:kern w:val="0"/>
                <w:sz w:val="21"/>
                <w:szCs w:val="24"/>
              </w:rPr>
              <w:t>介绍地源热泵、温湿分控等各种新技术</w:t>
            </w:r>
          </w:p>
        </w:tc>
      </w:tr>
      <w:tr w:rsidR="008C3907" w:rsidTr="008C3907">
        <w:trPr>
          <w:trHeight w:val="548"/>
        </w:trPr>
        <w:tc>
          <w:tcPr>
            <w:tcW w:w="512" w:type="dxa"/>
            <w:vAlign w:val="center"/>
          </w:tcPr>
          <w:p w:rsidR="008C3907" w:rsidRDefault="008C3907" w:rsidP="008C3907">
            <w:pPr>
              <w:jc w:val="center"/>
              <w:rPr>
                <w:rFonts w:ascii="Times New Roman" w:hAnsi="Times New Roman"/>
                <w:kern w:val="0"/>
                <w:sz w:val="20"/>
                <w:szCs w:val="20"/>
              </w:rPr>
            </w:pPr>
            <w:r>
              <w:rPr>
                <w:rFonts w:ascii="Times New Roman" w:hAnsi="Times New Roman" w:hint="eastAsia"/>
                <w:kern w:val="0"/>
                <w:sz w:val="20"/>
                <w:szCs w:val="20"/>
              </w:rPr>
              <w:t>5</w:t>
            </w:r>
          </w:p>
        </w:tc>
        <w:tc>
          <w:tcPr>
            <w:tcW w:w="2102" w:type="dxa"/>
            <w:vAlign w:val="center"/>
          </w:tcPr>
          <w:p w:rsidR="008C3907" w:rsidRDefault="008C3907" w:rsidP="008C3907">
            <w:pPr>
              <w:pStyle w:val="a3"/>
              <w:keepNext w:val="0"/>
              <w:spacing w:line="392" w:lineRule="exact"/>
              <w:ind w:firstLine="0"/>
              <w:rPr>
                <w:rFonts w:eastAsia="宋体"/>
                <w:szCs w:val="24"/>
              </w:rPr>
            </w:pPr>
            <w:r>
              <w:rPr>
                <w:rFonts w:eastAsia="宋体" w:hint="eastAsia"/>
                <w:szCs w:val="24"/>
              </w:rPr>
              <w:t>第五章</w:t>
            </w:r>
            <w:r>
              <w:rPr>
                <w:rFonts w:eastAsia="宋体" w:hint="eastAsia"/>
                <w:szCs w:val="24"/>
              </w:rPr>
              <w:t xml:space="preserve"> </w:t>
            </w:r>
            <w:r>
              <w:rPr>
                <w:rFonts w:eastAsia="宋体"/>
                <w:szCs w:val="24"/>
              </w:rPr>
              <w:t>新能源利用</w:t>
            </w:r>
          </w:p>
        </w:tc>
        <w:tc>
          <w:tcPr>
            <w:tcW w:w="727" w:type="dxa"/>
            <w:vAlign w:val="center"/>
          </w:tcPr>
          <w:p w:rsidR="008C3907" w:rsidRDefault="008C3907" w:rsidP="008C3907">
            <w:pPr>
              <w:pStyle w:val="a3"/>
              <w:keepNext w:val="0"/>
              <w:spacing w:line="392" w:lineRule="exact"/>
              <w:ind w:firstLineChars="200" w:firstLine="640"/>
              <w:rPr>
                <w:rFonts w:eastAsia="宋体"/>
                <w:szCs w:val="24"/>
              </w:rPr>
            </w:pPr>
            <w:r>
              <w:rPr>
                <w:rFonts w:eastAsia="宋体" w:hint="eastAsia"/>
                <w:szCs w:val="24"/>
              </w:rPr>
              <w:t>8</w:t>
            </w:r>
          </w:p>
        </w:tc>
        <w:tc>
          <w:tcPr>
            <w:tcW w:w="3059" w:type="dxa"/>
            <w:vAlign w:val="center"/>
          </w:tcPr>
          <w:p w:rsidR="008C3907" w:rsidRDefault="008C3907" w:rsidP="008C3907">
            <w:pPr>
              <w:pStyle w:val="a3"/>
              <w:keepNext w:val="0"/>
              <w:spacing w:line="392" w:lineRule="exact"/>
              <w:ind w:firstLine="0"/>
              <w:rPr>
                <w:rFonts w:eastAsia="宋体"/>
                <w:szCs w:val="24"/>
              </w:rPr>
            </w:pPr>
            <w:r>
              <w:rPr>
                <w:rFonts w:eastAsia="宋体" w:hint="eastAsia"/>
                <w:szCs w:val="24"/>
              </w:rPr>
              <w:t>太阳能、风能、地热能等新能源介绍</w:t>
            </w:r>
          </w:p>
        </w:tc>
        <w:tc>
          <w:tcPr>
            <w:tcW w:w="2755" w:type="dxa"/>
            <w:vAlign w:val="center"/>
          </w:tcPr>
          <w:p w:rsidR="008C3907" w:rsidRDefault="008C3907" w:rsidP="008C3907">
            <w:pPr>
              <w:rPr>
                <w:rFonts w:ascii="Times New Roman" w:eastAsia="宋体" w:hAnsi="Times New Roman"/>
                <w:snapToGrid w:val="0"/>
                <w:kern w:val="0"/>
                <w:sz w:val="21"/>
                <w:szCs w:val="24"/>
              </w:rPr>
            </w:pPr>
            <w:r>
              <w:rPr>
                <w:rFonts w:ascii="Times New Roman" w:eastAsia="宋体" w:hAnsi="Times New Roman" w:hint="eastAsia"/>
                <w:snapToGrid w:val="0"/>
                <w:kern w:val="0"/>
                <w:sz w:val="21"/>
                <w:szCs w:val="24"/>
              </w:rPr>
              <w:t>了解各种能源的特点、分类、应用前景</w:t>
            </w:r>
          </w:p>
        </w:tc>
      </w:tr>
    </w:tbl>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五、课程考核方式与成绩评定</w:t>
      </w:r>
    </w:p>
    <w:p w:rsidR="008C3907" w:rsidRDefault="008C3907" w:rsidP="008C3907">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1. 课程考核</w:t>
      </w:r>
    </w:p>
    <w:p w:rsidR="008C3907" w:rsidRDefault="008C3907" w:rsidP="008C3907">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课程考核方式：考查</w:t>
      </w:r>
      <w:r>
        <w:rPr>
          <w:rFonts w:ascii="仿宋_GB2312" w:hAnsi="仿宋_GB2312" w:cs="仿宋_GB2312"/>
          <w:sz w:val="28"/>
          <w:szCs w:val="28"/>
        </w:rPr>
        <w:t xml:space="preserve"> </w:t>
      </w:r>
    </w:p>
    <w:p w:rsidR="008C3907" w:rsidRDefault="008C3907" w:rsidP="000A7EE3">
      <w:pPr>
        <w:numPr>
          <w:ilvl w:val="0"/>
          <w:numId w:val="63"/>
        </w:num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w:t>
      </w:r>
    </w:p>
    <w:p w:rsidR="008C3907" w:rsidRDefault="008C3907" w:rsidP="008C3907">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成绩评定方式 等级制</w:t>
      </w:r>
    </w:p>
    <w:p w:rsidR="008C3907" w:rsidRDefault="008C3907" w:rsidP="008C3907">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课程总成绩=期末成绩</w:t>
      </w:r>
      <w:r>
        <w:rPr>
          <w:rFonts w:ascii="仿宋_GB2312" w:hAnsi="仿宋_GB2312" w:cs="仿宋_GB2312" w:hint="eastAsia"/>
          <w:sz w:val="28"/>
          <w:szCs w:val="28"/>
        </w:rPr>
        <w:t>30%+平时</w:t>
      </w:r>
      <w:r>
        <w:rPr>
          <w:rFonts w:ascii="仿宋_GB2312" w:hAnsi="仿宋_GB2312" w:cs="仿宋_GB2312"/>
          <w:sz w:val="28"/>
          <w:szCs w:val="28"/>
        </w:rPr>
        <w:t>成绩70</w:t>
      </w:r>
      <w:r>
        <w:rPr>
          <w:rFonts w:ascii="仿宋_GB2312" w:hAnsi="仿宋_GB2312" w:cs="仿宋_GB2312" w:hint="eastAsia"/>
          <w:sz w:val="28"/>
          <w:szCs w:val="28"/>
        </w:rPr>
        <w:t>%</w:t>
      </w:r>
      <w:r>
        <w:rPr>
          <w:rFonts w:ascii="仿宋_GB2312" w:hAnsi="仿宋_GB2312" w:cs="仿宋_GB2312"/>
          <w:sz w:val="28"/>
          <w:szCs w:val="28"/>
        </w:rPr>
        <w:t xml:space="preserve">  </w:t>
      </w:r>
    </w:p>
    <w:p w:rsidR="008C3907" w:rsidRDefault="008C3907" w:rsidP="008C3907">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上课及平时考查情况：（20％～30％）总成绩；</w:t>
      </w:r>
    </w:p>
    <w:p w:rsidR="008C3907" w:rsidRDefault="008C3907" w:rsidP="008C3907">
      <w:pPr>
        <w:spacing w:line="360" w:lineRule="auto"/>
        <w:ind w:firstLineChars="200" w:firstLine="560"/>
        <w:rPr>
          <w:rFonts w:ascii="仿宋_GB2312" w:hAnsi="仿宋_GB2312" w:cs="仿宋_GB2312"/>
          <w:sz w:val="28"/>
          <w:szCs w:val="28"/>
        </w:rPr>
      </w:pPr>
      <w:r>
        <w:rPr>
          <w:rFonts w:ascii="仿宋_GB2312" w:hAnsi="仿宋_GB2312" w:cs="仿宋_GB2312"/>
          <w:sz w:val="28"/>
          <w:szCs w:val="28"/>
        </w:rPr>
        <w:t>结合本课程学习及本专业内容，于该课程结束前交一篇3000～5000字的课程论文：（80％～70％）总成绩。</w:t>
      </w:r>
    </w:p>
    <w:p w:rsidR="008C3907" w:rsidRDefault="008C3907" w:rsidP="008C3907">
      <w:pPr>
        <w:spacing w:beforeLines="50" w:before="156" w:afterLines="50" w:after="156" w:line="560" w:lineRule="exact"/>
        <w:rPr>
          <w:rFonts w:ascii="黑体" w:eastAsia="黑体" w:hAnsi="黑体"/>
          <w:b/>
          <w:sz w:val="28"/>
          <w:szCs w:val="28"/>
        </w:rPr>
      </w:pPr>
      <w:r>
        <w:rPr>
          <w:rFonts w:ascii="黑体" w:eastAsia="黑体" w:hAnsi="黑体" w:hint="eastAsia"/>
          <w:b/>
          <w:sz w:val="28"/>
          <w:szCs w:val="28"/>
        </w:rPr>
        <w:t>六、课程建议教材及主要参考资料</w:t>
      </w:r>
    </w:p>
    <w:p w:rsidR="008C3907" w:rsidRDefault="008C3907" w:rsidP="008C3907">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1.建议教材</w:t>
      </w:r>
    </w:p>
    <w:p w:rsidR="008C3907" w:rsidRDefault="008C3907" w:rsidP="008C3907">
      <w:pPr>
        <w:spacing w:line="400" w:lineRule="exact"/>
        <w:ind w:firstLineChars="200" w:firstLine="560"/>
        <w:jc w:val="left"/>
        <w:rPr>
          <w:rFonts w:ascii="仿宋_GB2312" w:hAnsi="仿宋_GB2312" w:cs="仿宋_GB2312"/>
          <w:sz w:val="28"/>
          <w:szCs w:val="28"/>
        </w:rPr>
      </w:pPr>
      <w:r>
        <w:rPr>
          <w:rFonts w:ascii="仿宋_GB2312" w:hAnsi="仿宋_GB2312" w:cs="仿宋_GB2312" w:hint="eastAsia"/>
          <w:sz w:val="28"/>
          <w:szCs w:val="28"/>
        </w:rPr>
        <w:lastRenderedPageBreak/>
        <w:t>建筑节能技术，龙惟定，武涌 主编，中国建筑工业出版社，2009</w:t>
      </w:r>
      <w:r>
        <w:rPr>
          <w:rFonts w:ascii="仿宋_GB2312" w:hAnsi="仿宋_GB2312" w:cs="仿宋_GB2312"/>
          <w:sz w:val="28"/>
          <w:szCs w:val="28"/>
        </w:rPr>
        <w:t>.</w:t>
      </w:r>
    </w:p>
    <w:p w:rsidR="008C3907" w:rsidRDefault="008C3907" w:rsidP="008C3907">
      <w:pPr>
        <w:spacing w:beforeLines="50" w:before="156" w:afterLines="50" w:after="156" w:line="460" w:lineRule="exact"/>
        <w:ind w:firstLineChars="147" w:firstLine="412"/>
        <w:rPr>
          <w:rFonts w:ascii="仿宋_GB2312" w:hAnsi="仿宋_GB2312" w:cs="仿宋_GB2312"/>
          <w:sz w:val="28"/>
          <w:szCs w:val="28"/>
        </w:rPr>
      </w:pPr>
      <w:r>
        <w:rPr>
          <w:rFonts w:ascii="仿宋_GB2312" w:hAnsi="仿宋_GB2312" w:cs="仿宋_GB2312" w:hint="eastAsia"/>
          <w:sz w:val="28"/>
          <w:szCs w:val="28"/>
        </w:rPr>
        <w:t>2.主要参考资料</w:t>
      </w:r>
    </w:p>
    <w:p w:rsidR="008C3907" w:rsidRDefault="008C3907" w:rsidP="008C3907">
      <w:pPr>
        <w:spacing w:line="400" w:lineRule="exact"/>
        <w:ind w:firstLineChars="200" w:firstLine="560"/>
        <w:jc w:val="left"/>
        <w:rPr>
          <w:rFonts w:ascii="仿宋_GB2312" w:hAnsi="仿宋_GB2312" w:cs="仿宋_GB2312"/>
          <w:sz w:val="28"/>
          <w:szCs w:val="28"/>
        </w:rPr>
      </w:pPr>
      <w:r>
        <w:rPr>
          <w:rFonts w:ascii="仿宋_GB2312" w:hAnsi="仿宋_GB2312" w:cs="仿宋_GB2312"/>
          <w:sz w:val="28"/>
          <w:szCs w:val="28"/>
        </w:rPr>
        <w:t>建筑</w:t>
      </w:r>
      <w:r>
        <w:rPr>
          <w:rFonts w:ascii="仿宋_GB2312" w:hAnsi="仿宋_GB2312" w:cs="仿宋_GB2312" w:hint="eastAsia"/>
          <w:sz w:val="28"/>
          <w:szCs w:val="28"/>
        </w:rPr>
        <w:t>节能原理与</w:t>
      </w:r>
      <w:r>
        <w:rPr>
          <w:rFonts w:ascii="仿宋_GB2312" w:hAnsi="仿宋_GB2312" w:cs="仿宋_GB2312"/>
          <w:sz w:val="28"/>
          <w:szCs w:val="28"/>
        </w:rPr>
        <w:t>技术，付祥钊</w:t>
      </w:r>
      <w:r>
        <w:rPr>
          <w:rFonts w:ascii="仿宋_GB2312" w:hAnsi="仿宋_GB2312" w:cs="仿宋_GB2312" w:hint="eastAsia"/>
          <w:sz w:val="28"/>
          <w:szCs w:val="28"/>
        </w:rPr>
        <w:t xml:space="preserve"> </w:t>
      </w:r>
      <w:r>
        <w:rPr>
          <w:rFonts w:ascii="仿宋_GB2312" w:hAnsi="仿宋_GB2312" w:cs="仿宋_GB2312"/>
          <w:sz w:val="28"/>
          <w:szCs w:val="28"/>
        </w:rPr>
        <w:t>主编，</w:t>
      </w:r>
      <w:r>
        <w:rPr>
          <w:rFonts w:ascii="仿宋_GB2312" w:hAnsi="仿宋_GB2312" w:cs="仿宋_GB2312" w:hint="eastAsia"/>
          <w:sz w:val="28"/>
          <w:szCs w:val="28"/>
        </w:rPr>
        <w:t>重庆大学</w:t>
      </w:r>
      <w:r>
        <w:rPr>
          <w:rFonts w:ascii="仿宋_GB2312" w:hAnsi="仿宋_GB2312" w:cs="仿宋_GB2312"/>
          <w:sz w:val="28"/>
          <w:szCs w:val="28"/>
        </w:rPr>
        <w:t>出版社，200</w:t>
      </w:r>
      <w:r>
        <w:rPr>
          <w:rFonts w:ascii="仿宋_GB2312" w:hAnsi="仿宋_GB2312" w:cs="仿宋_GB2312" w:hint="eastAsia"/>
          <w:sz w:val="28"/>
          <w:szCs w:val="28"/>
        </w:rPr>
        <w:t>8</w:t>
      </w:r>
    </w:p>
    <w:p w:rsidR="008C3907" w:rsidRDefault="008C3907" w:rsidP="008C3907">
      <w:pPr>
        <w:spacing w:line="400" w:lineRule="exact"/>
        <w:ind w:firstLineChars="200" w:firstLine="560"/>
        <w:jc w:val="left"/>
        <w:rPr>
          <w:rFonts w:ascii="仿宋_GB2312" w:hAnsi="仿宋_GB2312" w:cs="仿宋_GB2312"/>
          <w:sz w:val="28"/>
          <w:szCs w:val="28"/>
        </w:rPr>
      </w:pPr>
      <w:r>
        <w:rPr>
          <w:rFonts w:ascii="仿宋_GB2312" w:hAnsi="仿宋_GB2312" w:cs="仿宋_GB2312"/>
          <w:sz w:val="28"/>
          <w:szCs w:val="28"/>
        </w:rPr>
        <w:t>新能源与可再生能源技术(第2版)，李传统</w:t>
      </w:r>
      <w:r>
        <w:rPr>
          <w:rFonts w:ascii="仿宋_GB2312" w:hAnsi="仿宋_GB2312" w:cs="仿宋_GB2312" w:hint="eastAsia"/>
          <w:sz w:val="28"/>
          <w:szCs w:val="28"/>
        </w:rPr>
        <w:t xml:space="preserve"> </w:t>
      </w:r>
      <w:r>
        <w:rPr>
          <w:rFonts w:ascii="仿宋_GB2312" w:hAnsi="仿宋_GB2312" w:cs="仿宋_GB2312"/>
          <w:sz w:val="28"/>
          <w:szCs w:val="28"/>
        </w:rPr>
        <w:t>主编，东南大学出版社，2012年</w:t>
      </w:r>
    </w:p>
    <w:p w:rsidR="008C3907" w:rsidRDefault="008C3907" w:rsidP="008C3907">
      <w:pPr>
        <w:spacing w:line="400" w:lineRule="exact"/>
        <w:jc w:val="left"/>
        <w:rPr>
          <w:rFonts w:ascii="仿宋_GB2312" w:hAnsi="仿宋_GB2312" w:cs="仿宋_GB2312"/>
          <w:sz w:val="28"/>
          <w:szCs w:val="28"/>
        </w:rPr>
      </w:pPr>
    </w:p>
    <w:p w:rsidR="008C3907" w:rsidRDefault="008C3907" w:rsidP="008C3907">
      <w:pPr>
        <w:spacing w:beforeLines="50" w:before="156" w:afterLines="50" w:after="156" w:line="460" w:lineRule="exact"/>
        <w:rPr>
          <w:rFonts w:ascii="黑体" w:eastAsia="黑体" w:hAnsi="黑体"/>
          <w:b/>
          <w:sz w:val="28"/>
          <w:szCs w:val="28"/>
        </w:rPr>
      </w:pPr>
    </w:p>
    <w:p w:rsidR="008C3907" w:rsidRDefault="008C3907" w:rsidP="008C3907">
      <w:pPr>
        <w:spacing w:line="360" w:lineRule="auto"/>
        <w:ind w:firstLineChars="1200" w:firstLine="3360"/>
        <w:rPr>
          <w:rFonts w:ascii="仿宋" w:eastAsia="仿宋" w:hAnsi="仿宋"/>
          <w:sz w:val="28"/>
          <w:szCs w:val="28"/>
        </w:rPr>
      </w:pPr>
      <w:r>
        <w:rPr>
          <w:rFonts w:ascii="仿宋" w:eastAsia="仿宋" w:hAnsi="仿宋" w:hint="eastAsia"/>
          <w:sz w:val="28"/>
          <w:szCs w:val="28"/>
        </w:rPr>
        <w:t>大纲撰写人：万蓉</w:t>
      </w:r>
    </w:p>
    <w:p w:rsidR="008C3907" w:rsidRDefault="008C3907" w:rsidP="008C3907">
      <w:pPr>
        <w:spacing w:line="360" w:lineRule="auto"/>
        <w:ind w:firstLineChars="1200" w:firstLine="3360"/>
        <w:rPr>
          <w:rFonts w:ascii="仿宋" w:eastAsia="仿宋" w:hAnsi="仿宋"/>
          <w:sz w:val="28"/>
          <w:szCs w:val="28"/>
        </w:rPr>
      </w:pPr>
      <w:r>
        <w:rPr>
          <w:rFonts w:ascii="仿宋" w:eastAsia="仿宋" w:hAnsi="仿宋" w:hint="eastAsia"/>
          <w:sz w:val="28"/>
          <w:szCs w:val="28"/>
        </w:rPr>
        <w:t>课程负责人：万蓉</w:t>
      </w:r>
    </w:p>
    <w:p w:rsidR="008C3907" w:rsidRDefault="008C3907" w:rsidP="008C3907">
      <w:pPr>
        <w:spacing w:line="360" w:lineRule="auto"/>
        <w:ind w:firstLineChars="1200" w:firstLine="3360"/>
        <w:rPr>
          <w:rFonts w:ascii="仿宋" w:eastAsia="仿宋" w:hAnsi="仿宋"/>
          <w:sz w:val="28"/>
          <w:szCs w:val="28"/>
        </w:rPr>
      </w:pPr>
      <w:r>
        <w:rPr>
          <w:rFonts w:ascii="仿宋" w:eastAsia="仿宋" w:hAnsi="仿宋" w:hint="eastAsia"/>
          <w:sz w:val="28"/>
          <w:szCs w:val="28"/>
        </w:rPr>
        <w:t>审核人：</w:t>
      </w:r>
    </w:p>
    <w:p w:rsidR="008C3907" w:rsidRDefault="008C3907" w:rsidP="008C3907">
      <w:pPr>
        <w:jc w:val="center"/>
        <w:rPr>
          <w:rFonts w:ascii="仿宋_GB2312"/>
          <w:color w:val="000000"/>
          <w:sz w:val="28"/>
          <w:szCs w:val="28"/>
        </w:rPr>
      </w:pPr>
      <w:r>
        <w:rPr>
          <w:rFonts w:ascii="仿宋" w:eastAsia="仿宋" w:hAnsi="仿宋" w:hint="eastAsia"/>
          <w:sz w:val="28"/>
          <w:szCs w:val="28"/>
        </w:rPr>
        <w:t xml:space="preserve">                  </w:t>
      </w:r>
      <w:r>
        <w:rPr>
          <w:rFonts w:ascii="仿宋_GB2312" w:hAnsi="微软雅黑" w:hint="eastAsia"/>
          <w:sz w:val="28"/>
          <w:szCs w:val="28"/>
        </w:rPr>
        <w:t xml:space="preserve">       </w:t>
      </w:r>
    </w:p>
    <w:p w:rsidR="008C3907" w:rsidRDefault="008C3907" w:rsidP="008C3907">
      <w:pPr>
        <w:ind w:firstLineChars="2000" w:firstLine="5600"/>
        <w:jc w:val="left"/>
        <w:rPr>
          <w:rFonts w:ascii="仿宋" w:hAnsi="仿宋"/>
          <w:sz w:val="28"/>
          <w:szCs w:val="28"/>
        </w:rPr>
      </w:pPr>
      <w:r>
        <w:rPr>
          <w:rFonts w:ascii="仿宋_GB2312" w:hAnsi="微软雅黑" w:hint="eastAsia"/>
          <w:sz w:val="28"/>
          <w:szCs w:val="28"/>
        </w:rPr>
        <w:t xml:space="preserve">    </w:t>
      </w:r>
    </w:p>
    <w:p w:rsidR="008C3907" w:rsidRDefault="008C3907" w:rsidP="008C3907">
      <w:pPr>
        <w:jc w:val="left"/>
        <w:rPr>
          <w:rFonts w:ascii="仿宋_GB2312" w:hAnsi="黑体"/>
          <w:sz w:val="28"/>
          <w:szCs w:val="28"/>
        </w:rPr>
      </w:pPr>
      <w:r>
        <w:rPr>
          <w:rFonts w:ascii="仿宋" w:eastAsia="仿宋" w:hAnsi="仿宋" w:hint="eastAsia"/>
          <w:sz w:val="28"/>
          <w:szCs w:val="28"/>
        </w:rPr>
        <w:t xml:space="preserve">                                         年    月</w:t>
      </w:r>
    </w:p>
    <w:p w:rsidR="008C3907" w:rsidRPr="00C10776" w:rsidRDefault="008C3907" w:rsidP="00C20406"/>
    <w:sectPr w:rsidR="008C3907" w:rsidRPr="00C10776" w:rsidSect="00E45A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D67" w:rsidRDefault="00274D67" w:rsidP="00F2294C">
      <w:r>
        <w:separator/>
      </w:r>
    </w:p>
  </w:endnote>
  <w:endnote w:type="continuationSeparator" w:id="0">
    <w:p w:rsidR="00274D67" w:rsidRDefault="00274D67" w:rsidP="00F2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华文隶书">
    <w:panose1 w:val="02010800040101010101"/>
    <w:charset w:val="86"/>
    <w:family w:val="auto"/>
    <w:pitch w:val="variable"/>
    <w:sig w:usb0="00000001" w:usb1="080F0000" w:usb2="00000010" w:usb3="00000000" w:csb0="00040000" w:csb1="00000000"/>
  </w:font>
  <w:font w:name="方正小标宋简体">
    <w:altName w:val="Arial Unicode MS"/>
    <w:charset w:val="86"/>
    <w:family w:val="script"/>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6425"/>
      <w:docPartObj>
        <w:docPartGallery w:val="Page Numbers (Bottom of Page)"/>
        <w:docPartUnique/>
      </w:docPartObj>
    </w:sdtPr>
    <w:sdtContent>
      <w:p w:rsidR="00E45A29" w:rsidRDefault="00E45A29">
        <w:pPr>
          <w:pStyle w:val="a8"/>
          <w:jc w:val="center"/>
        </w:pPr>
        <w:r>
          <w:fldChar w:fldCharType="begin"/>
        </w:r>
        <w:r>
          <w:instrText>PAGE   \* MERGEFORMAT</w:instrText>
        </w:r>
        <w:r>
          <w:fldChar w:fldCharType="separate"/>
        </w:r>
        <w:r w:rsidRPr="00E45A29">
          <w:rPr>
            <w:noProof/>
            <w:lang w:val="zh-CN"/>
          </w:rPr>
          <w:t>4</w:t>
        </w:r>
        <w:r>
          <w:fldChar w:fldCharType="end"/>
        </w:r>
      </w:p>
    </w:sdtContent>
  </w:sdt>
  <w:p w:rsidR="00702523" w:rsidRDefault="0070252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D67" w:rsidRDefault="00274D67" w:rsidP="00F2294C">
      <w:r>
        <w:separator/>
      </w:r>
    </w:p>
  </w:footnote>
  <w:footnote w:type="continuationSeparator" w:id="0">
    <w:p w:rsidR="00274D67" w:rsidRDefault="00274D67" w:rsidP="00F229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001CAE"/>
    <w:multiLevelType w:val="singleLevel"/>
    <w:tmpl w:val="83001CAE"/>
    <w:lvl w:ilvl="0">
      <w:start w:val="1"/>
      <w:numFmt w:val="decimal"/>
      <w:suff w:val="nothing"/>
      <w:lvlText w:val="%1、"/>
      <w:lvlJc w:val="left"/>
    </w:lvl>
  </w:abstractNum>
  <w:abstractNum w:abstractNumId="1" w15:restartNumberingAfterBreak="0">
    <w:nsid w:val="85897765"/>
    <w:multiLevelType w:val="singleLevel"/>
    <w:tmpl w:val="85897765"/>
    <w:lvl w:ilvl="0">
      <w:start w:val="1"/>
      <w:numFmt w:val="decimal"/>
      <w:lvlText w:val="%1."/>
      <w:lvlJc w:val="left"/>
      <w:pPr>
        <w:tabs>
          <w:tab w:val="left" w:pos="312"/>
        </w:tabs>
      </w:pPr>
    </w:lvl>
  </w:abstractNum>
  <w:abstractNum w:abstractNumId="2" w15:restartNumberingAfterBreak="0">
    <w:nsid w:val="88AADBA4"/>
    <w:multiLevelType w:val="singleLevel"/>
    <w:tmpl w:val="88AADBA4"/>
    <w:lvl w:ilvl="0">
      <w:start w:val="1"/>
      <w:numFmt w:val="decimal"/>
      <w:lvlText w:val="%1."/>
      <w:lvlJc w:val="left"/>
      <w:pPr>
        <w:tabs>
          <w:tab w:val="left" w:pos="312"/>
        </w:tabs>
      </w:pPr>
    </w:lvl>
  </w:abstractNum>
  <w:abstractNum w:abstractNumId="3" w15:restartNumberingAfterBreak="0">
    <w:nsid w:val="8A1590A1"/>
    <w:multiLevelType w:val="singleLevel"/>
    <w:tmpl w:val="8A1590A1"/>
    <w:lvl w:ilvl="0">
      <w:numFmt w:val="chineseLegalSimplified"/>
      <w:suff w:val="space"/>
      <w:lvlText w:val="第%1节"/>
      <w:lvlJc w:val="left"/>
      <w:rPr>
        <w:rFonts w:hint="eastAsia"/>
      </w:rPr>
    </w:lvl>
  </w:abstractNum>
  <w:abstractNum w:abstractNumId="4" w15:restartNumberingAfterBreak="0">
    <w:nsid w:val="8ED43379"/>
    <w:multiLevelType w:val="singleLevel"/>
    <w:tmpl w:val="8ED43379"/>
    <w:lvl w:ilvl="0">
      <w:start w:val="1"/>
      <w:numFmt w:val="decimal"/>
      <w:suff w:val="nothing"/>
      <w:lvlText w:val="%1、"/>
      <w:lvlJc w:val="left"/>
    </w:lvl>
  </w:abstractNum>
  <w:abstractNum w:abstractNumId="5" w15:restartNumberingAfterBreak="0">
    <w:nsid w:val="92DB2A09"/>
    <w:multiLevelType w:val="singleLevel"/>
    <w:tmpl w:val="92DB2A09"/>
    <w:lvl w:ilvl="0">
      <w:start w:val="4"/>
      <w:numFmt w:val="chineseCounting"/>
      <w:suff w:val="nothing"/>
      <w:lvlText w:val="%1、"/>
      <w:lvlJc w:val="left"/>
      <w:rPr>
        <w:rFonts w:hint="eastAsia"/>
      </w:rPr>
    </w:lvl>
  </w:abstractNum>
  <w:abstractNum w:abstractNumId="6" w15:restartNumberingAfterBreak="0">
    <w:nsid w:val="94615A3E"/>
    <w:multiLevelType w:val="singleLevel"/>
    <w:tmpl w:val="94615A3E"/>
    <w:lvl w:ilvl="0">
      <w:start w:val="1"/>
      <w:numFmt w:val="decimal"/>
      <w:suff w:val="nothing"/>
      <w:lvlText w:val="%1、"/>
      <w:lvlJc w:val="left"/>
    </w:lvl>
  </w:abstractNum>
  <w:abstractNum w:abstractNumId="7" w15:restartNumberingAfterBreak="0">
    <w:nsid w:val="A020A229"/>
    <w:multiLevelType w:val="singleLevel"/>
    <w:tmpl w:val="A020A229"/>
    <w:lvl w:ilvl="0">
      <w:start w:val="1"/>
      <w:numFmt w:val="chineseCounting"/>
      <w:suff w:val="space"/>
      <w:lvlText w:val="第%1节"/>
      <w:lvlJc w:val="left"/>
      <w:rPr>
        <w:rFonts w:hint="eastAsia"/>
      </w:rPr>
    </w:lvl>
  </w:abstractNum>
  <w:abstractNum w:abstractNumId="8" w15:restartNumberingAfterBreak="0">
    <w:nsid w:val="A7FBC994"/>
    <w:multiLevelType w:val="singleLevel"/>
    <w:tmpl w:val="A7FBC994"/>
    <w:lvl w:ilvl="0">
      <w:start w:val="1"/>
      <w:numFmt w:val="decimal"/>
      <w:lvlText w:val="%1."/>
      <w:lvlJc w:val="left"/>
      <w:pPr>
        <w:tabs>
          <w:tab w:val="left" w:pos="312"/>
        </w:tabs>
      </w:pPr>
    </w:lvl>
  </w:abstractNum>
  <w:abstractNum w:abstractNumId="9" w15:restartNumberingAfterBreak="0">
    <w:nsid w:val="B00AAB09"/>
    <w:multiLevelType w:val="singleLevel"/>
    <w:tmpl w:val="B00AAB09"/>
    <w:lvl w:ilvl="0">
      <w:start w:val="1"/>
      <w:numFmt w:val="decimal"/>
      <w:suff w:val="nothing"/>
      <w:lvlText w:val="%1、"/>
      <w:lvlJc w:val="left"/>
    </w:lvl>
  </w:abstractNum>
  <w:abstractNum w:abstractNumId="10" w15:restartNumberingAfterBreak="0">
    <w:nsid w:val="B0D72D21"/>
    <w:multiLevelType w:val="singleLevel"/>
    <w:tmpl w:val="B0D72D21"/>
    <w:lvl w:ilvl="0">
      <w:start w:val="1"/>
      <w:numFmt w:val="decimal"/>
      <w:suff w:val="nothing"/>
      <w:lvlText w:val="%1、"/>
      <w:lvlJc w:val="left"/>
    </w:lvl>
  </w:abstractNum>
  <w:abstractNum w:abstractNumId="11" w15:restartNumberingAfterBreak="0">
    <w:nsid w:val="B45CC0D4"/>
    <w:multiLevelType w:val="singleLevel"/>
    <w:tmpl w:val="B45CC0D4"/>
    <w:lvl w:ilvl="0">
      <w:start w:val="1"/>
      <w:numFmt w:val="decimal"/>
      <w:lvlText w:val="%1."/>
      <w:lvlJc w:val="left"/>
      <w:pPr>
        <w:tabs>
          <w:tab w:val="left" w:pos="312"/>
        </w:tabs>
      </w:pPr>
    </w:lvl>
  </w:abstractNum>
  <w:abstractNum w:abstractNumId="12" w15:restartNumberingAfterBreak="0">
    <w:nsid w:val="B6FA377E"/>
    <w:multiLevelType w:val="singleLevel"/>
    <w:tmpl w:val="B6FA377E"/>
    <w:lvl w:ilvl="0">
      <w:start w:val="1"/>
      <w:numFmt w:val="decimal"/>
      <w:lvlText w:val="%1."/>
      <w:lvlJc w:val="left"/>
      <w:pPr>
        <w:tabs>
          <w:tab w:val="left" w:pos="312"/>
        </w:tabs>
      </w:pPr>
    </w:lvl>
  </w:abstractNum>
  <w:abstractNum w:abstractNumId="13" w15:restartNumberingAfterBreak="0">
    <w:nsid w:val="B7D1D982"/>
    <w:multiLevelType w:val="singleLevel"/>
    <w:tmpl w:val="B7D1D982"/>
    <w:lvl w:ilvl="0">
      <w:start w:val="4"/>
      <w:numFmt w:val="chineseCounting"/>
      <w:suff w:val="nothing"/>
      <w:lvlText w:val="%1、"/>
      <w:lvlJc w:val="left"/>
      <w:rPr>
        <w:rFonts w:hint="eastAsia"/>
      </w:rPr>
    </w:lvl>
  </w:abstractNum>
  <w:abstractNum w:abstractNumId="14" w15:restartNumberingAfterBreak="0">
    <w:nsid w:val="C466533D"/>
    <w:multiLevelType w:val="singleLevel"/>
    <w:tmpl w:val="C466533D"/>
    <w:lvl w:ilvl="0">
      <w:start w:val="1"/>
      <w:numFmt w:val="decimal"/>
      <w:suff w:val="nothing"/>
      <w:lvlText w:val="（%1）"/>
      <w:lvlJc w:val="left"/>
    </w:lvl>
  </w:abstractNum>
  <w:abstractNum w:abstractNumId="15" w15:restartNumberingAfterBreak="0">
    <w:nsid w:val="CD9D7553"/>
    <w:multiLevelType w:val="singleLevel"/>
    <w:tmpl w:val="CD9D7553"/>
    <w:lvl w:ilvl="0">
      <w:start w:val="2"/>
      <w:numFmt w:val="decimal"/>
      <w:suff w:val="nothing"/>
      <w:lvlText w:val="%1、"/>
      <w:lvlJc w:val="left"/>
    </w:lvl>
  </w:abstractNum>
  <w:abstractNum w:abstractNumId="16" w15:restartNumberingAfterBreak="0">
    <w:nsid w:val="CE51DA45"/>
    <w:multiLevelType w:val="singleLevel"/>
    <w:tmpl w:val="CE51DA45"/>
    <w:lvl w:ilvl="0">
      <w:start w:val="1"/>
      <w:numFmt w:val="decimal"/>
      <w:lvlText w:val="%1."/>
      <w:lvlJc w:val="left"/>
      <w:pPr>
        <w:tabs>
          <w:tab w:val="left" w:pos="312"/>
        </w:tabs>
      </w:pPr>
    </w:lvl>
  </w:abstractNum>
  <w:abstractNum w:abstractNumId="17" w15:restartNumberingAfterBreak="0">
    <w:nsid w:val="CF0F9495"/>
    <w:multiLevelType w:val="singleLevel"/>
    <w:tmpl w:val="CF0F9495"/>
    <w:lvl w:ilvl="0">
      <w:start w:val="1"/>
      <w:numFmt w:val="decimal"/>
      <w:suff w:val="nothing"/>
      <w:lvlText w:val="%1、"/>
      <w:lvlJc w:val="left"/>
    </w:lvl>
  </w:abstractNum>
  <w:abstractNum w:abstractNumId="18" w15:restartNumberingAfterBreak="0">
    <w:nsid w:val="D217658F"/>
    <w:multiLevelType w:val="singleLevel"/>
    <w:tmpl w:val="D217658F"/>
    <w:lvl w:ilvl="0">
      <w:start w:val="2"/>
      <w:numFmt w:val="decimal"/>
      <w:lvlText w:val="(%1)"/>
      <w:lvlJc w:val="left"/>
      <w:pPr>
        <w:tabs>
          <w:tab w:val="left" w:pos="312"/>
        </w:tabs>
      </w:pPr>
    </w:lvl>
  </w:abstractNum>
  <w:abstractNum w:abstractNumId="19" w15:restartNumberingAfterBreak="0">
    <w:nsid w:val="D5ACE6D3"/>
    <w:multiLevelType w:val="singleLevel"/>
    <w:tmpl w:val="D5ACE6D3"/>
    <w:lvl w:ilvl="0">
      <w:start w:val="1"/>
      <w:numFmt w:val="decimal"/>
      <w:lvlText w:val="%1."/>
      <w:lvlJc w:val="left"/>
      <w:pPr>
        <w:tabs>
          <w:tab w:val="left" w:pos="312"/>
        </w:tabs>
      </w:pPr>
    </w:lvl>
  </w:abstractNum>
  <w:abstractNum w:abstractNumId="20" w15:restartNumberingAfterBreak="0">
    <w:nsid w:val="D773F582"/>
    <w:multiLevelType w:val="singleLevel"/>
    <w:tmpl w:val="D773F582"/>
    <w:lvl w:ilvl="0">
      <w:start w:val="5"/>
      <w:numFmt w:val="chineseCounting"/>
      <w:suff w:val="space"/>
      <w:lvlText w:val="第%1章"/>
      <w:lvlJc w:val="left"/>
      <w:rPr>
        <w:rFonts w:hint="eastAsia"/>
      </w:rPr>
    </w:lvl>
  </w:abstractNum>
  <w:abstractNum w:abstractNumId="21" w15:restartNumberingAfterBreak="0">
    <w:nsid w:val="D93A06FD"/>
    <w:multiLevelType w:val="singleLevel"/>
    <w:tmpl w:val="D93A06FD"/>
    <w:lvl w:ilvl="0">
      <w:start w:val="1"/>
      <w:numFmt w:val="decimal"/>
      <w:suff w:val="nothing"/>
      <w:lvlText w:val="%1、"/>
      <w:lvlJc w:val="left"/>
    </w:lvl>
  </w:abstractNum>
  <w:abstractNum w:abstractNumId="22" w15:restartNumberingAfterBreak="0">
    <w:nsid w:val="DB07AFD1"/>
    <w:multiLevelType w:val="singleLevel"/>
    <w:tmpl w:val="DB07AFD1"/>
    <w:lvl w:ilvl="0">
      <w:start w:val="1"/>
      <w:numFmt w:val="decimal"/>
      <w:lvlText w:val="%1."/>
      <w:lvlJc w:val="left"/>
      <w:pPr>
        <w:tabs>
          <w:tab w:val="left" w:pos="312"/>
        </w:tabs>
      </w:pPr>
    </w:lvl>
  </w:abstractNum>
  <w:abstractNum w:abstractNumId="23" w15:restartNumberingAfterBreak="0">
    <w:nsid w:val="DD3AF7D6"/>
    <w:multiLevelType w:val="singleLevel"/>
    <w:tmpl w:val="DD3AF7D6"/>
    <w:lvl w:ilvl="0">
      <w:start w:val="4"/>
      <w:numFmt w:val="chineseCounting"/>
      <w:suff w:val="nothing"/>
      <w:lvlText w:val="%1、"/>
      <w:lvlJc w:val="left"/>
      <w:rPr>
        <w:rFonts w:hint="eastAsia"/>
      </w:rPr>
    </w:lvl>
  </w:abstractNum>
  <w:abstractNum w:abstractNumId="24" w15:restartNumberingAfterBreak="0">
    <w:nsid w:val="E609E990"/>
    <w:multiLevelType w:val="singleLevel"/>
    <w:tmpl w:val="E609E990"/>
    <w:lvl w:ilvl="0">
      <w:start w:val="1"/>
      <w:numFmt w:val="decimal"/>
      <w:suff w:val="nothing"/>
      <w:lvlText w:val="（%1）"/>
      <w:lvlJc w:val="left"/>
    </w:lvl>
  </w:abstractNum>
  <w:abstractNum w:abstractNumId="25" w15:restartNumberingAfterBreak="0">
    <w:nsid w:val="E9D0F616"/>
    <w:multiLevelType w:val="singleLevel"/>
    <w:tmpl w:val="E9D0F616"/>
    <w:lvl w:ilvl="0">
      <w:start w:val="1"/>
      <w:numFmt w:val="decimal"/>
      <w:lvlText w:val="%1."/>
      <w:lvlJc w:val="left"/>
      <w:pPr>
        <w:tabs>
          <w:tab w:val="left" w:pos="312"/>
        </w:tabs>
      </w:pPr>
    </w:lvl>
  </w:abstractNum>
  <w:abstractNum w:abstractNumId="26" w15:restartNumberingAfterBreak="0">
    <w:nsid w:val="EA32F9D4"/>
    <w:multiLevelType w:val="singleLevel"/>
    <w:tmpl w:val="EA32F9D4"/>
    <w:lvl w:ilvl="0">
      <w:start w:val="1"/>
      <w:numFmt w:val="decimal"/>
      <w:lvlText w:val="%1."/>
      <w:lvlJc w:val="left"/>
      <w:pPr>
        <w:tabs>
          <w:tab w:val="left" w:pos="312"/>
        </w:tabs>
      </w:pPr>
    </w:lvl>
  </w:abstractNum>
  <w:abstractNum w:abstractNumId="27" w15:restartNumberingAfterBreak="0">
    <w:nsid w:val="EAFE123E"/>
    <w:multiLevelType w:val="singleLevel"/>
    <w:tmpl w:val="EAFE123E"/>
    <w:lvl w:ilvl="0">
      <w:start w:val="1"/>
      <w:numFmt w:val="decimal"/>
      <w:suff w:val="nothing"/>
      <w:lvlText w:val="%1、"/>
      <w:lvlJc w:val="left"/>
    </w:lvl>
  </w:abstractNum>
  <w:abstractNum w:abstractNumId="28" w15:restartNumberingAfterBreak="0">
    <w:nsid w:val="F14C6C36"/>
    <w:multiLevelType w:val="singleLevel"/>
    <w:tmpl w:val="F14C6C36"/>
    <w:lvl w:ilvl="0">
      <w:start w:val="1"/>
      <w:numFmt w:val="decimal"/>
      <w:suff w:val="nothing"/>
      <w:lvlText w:val="%1、"/>
      <w:lvlJc w:val="left"/>
    </w:lvl>
  </w:abstractNum>
  <w:abstractNum w:abstractNumId="29" w15:restartNumberingAfterBreak="0">
    <w:nsid w:val="F189D91F"/>
    <w:multiLevelType w:val="multilevel"/>
    <w:tmpl w:val="F189D91F"/>
    <w:lvl w:ilvl="0">
      <w:start w:val="2"/>
      <w:numFmt w:val="decimal"/>
      <w:suff w:val="space"/>
      <w:lvlText w:val="%1."/>
      <w:lvlJc w:val="left"/>
    </w:lvl>
    <w:lvl w:ilvl="1">
      <w:start w:val="2"/>
      <w:numFmt w:val="decimal"/>
      <w:isLgl/>
      <w:lvlText w:val="%1.%2"/>
      <w:lvlJc w:val="left"/>
      <w:pPr>
        <w:ind w:left="1051" w:hanging="720"/>
      </w:pPr>
      <w:rPr>
        <w:rFonts w:hint="default"/>
      </w:rPr>
    </w:lvl>
    <w:lvl w:ilvl="2">
      <w:start w:val="1"/>
      <w:numFmt w:val="decimal"/>
      <w:isLgl/>
      <w:lvlText w:val="%1.%2.%3"/>
      <w:lvlJc w:val="left"/>
      <w:pPr>
        <w:ind w:left="1382"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764" w:hanging="1440"/>
      </w:pPr>
      <w:rPr>
        <w:rFonts w:hint="default"/>
      </w:rPr>
    </w:lvl>
    <w:lvl w:ilvl="5">
      <w:start w:val="1"/>
      <w:numFmt w:val="decimal"/>
      <w:isLgl/>
      <w:lvlText w:val="%1.%2.%3.%4.%5.%6"/>
      <w:lvlJc w:val="left"/>
      <w:pPr>
        <w:ind w:left="3455" w:hanging="1800"/>
      </w:pPr>
      <w:rPr>
        <w:rFonts w:hint="default"/>
      </w:rPr>
    </w:lvl>
    <w:lvl w:ilvl="6">
      <w:start w:val="1"/>
      <w:numFmt w:val="decimal"/>
      <w:isLgl/>
      <w:lvlText w:val="%1.%2.%3.%4.%5.%6.%7"/>
      <w:lvlJc w:val="left"/>
      <w:pPr>
        <w:ind w:left="4146" w:hanging="2160"/>
      </w:pPr>
      <w:rPr>
        <w:rFonts w:hint="default"/>
      </w:rPr>
    </w:lvl>
    <w:lvl w:ilvl="7">
      <w:start w:val="1"/>
      <w:numFmt w:val="decimal"/>
      <w:isLgl/>
      <w:lvlText w:val="%1.%2.%3.%4.%5.%6.%7.%8"/>
      <w:lvlJc w:val="left"/>
      <w:pPr>
        <w:ind w:left="4477" w:hanging="2160"/>
      </w:pPr>
      <w:rPr>
        <w:rFonts w:hint="default"/>
      </w:rPr>
    </w:lvl>
    <w:lvl w:ilvl="8">
      <w:start w:val="1"/>
      <w:numFmt w:val="decimal"/>
      <w:isLgl/>
      <w:lvlText w:val="%1.%2.%3.%4.%5.%6.%7.%8.%9"/>
      <w:lvlJc w:val="left"/>
      <w:pPr>
        <w:ind w:left="5168" w:hanging="2520"/>
      </w:pPr>
      <w:rPr>
        <w:rFonts w:hint="default"/>
      </w:rPr>
    </w:lvl>
  </w:abstractNum>
  <w:abstractNum w:abstractNumId="30" w15:restartNumberingAfterBreak="0">
    <w:nsid w:val="00000002"/>
    <w:multiLevelType w:val="multilevel"/>
    <w:tmpl w:val="0000000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00000004"/>
    <w:multiLevelType w:val="multilevel"/>
    <w:tmpl w:val="0000000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00000005"/>
    <w:multiLevelType w:val="multilevel"/>
    <w:tmpl w:val="0000000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00712371"/>
    <w:multiLevelType w:val="multilevel"/>
    <w:tmpl w:val="0071237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0334F2D7"/>
    <w:multiLevelType w:val="singleLevel"/>
    <w:tmpl w:val="0334F2D7"/>
    <w:lvl w:ilvl="0">
      <w:start w:val="1"/>
      <w:numFmt w:val="decimal"/>
      <w:suff w:val="nothing"/>
      <w:lvlText w:val="%1、"/>
      <w:lvlJc w:val="left"/>
    </w:lvl>
  </w:abstractNum>
  <w:abstractNum w:abstractNumId="35" w15:restartNumberingAfterBreak="0">
    <w:nsid w:val="08CF0B7A"/>
    <w:multiLevelType w:val="hybridMultilevel"/>
    <w:tmpl w:val="3C18D242"/>
    <w:lvl w:ilvl="0" w:tplc="5EA2CA88">
      <w:start w:val="4"/>
      <w:numFmt w:val="decimal"/>
      <w:lvlText w:val="%1."/>
      <w:lvlJc w:val="left"/>
      <w:pPr>
        <w:ind w:left="691" w:hanging="360"/>
      </w:pPr>
      <w:rPr>
        <w:rFonts w:hint="default"/>
      </w:rPr>
    </w:lvl>
    <w:lvl w:ilvl="1" w:tplc="04090019" w:tentative="1">
      <w:start w:val="1"/>
      <w:numFmt w:val="lowerLetter"/>
      <w:lvlText w:val="%2)"/>
      <w:lvlJc w:val="left"/>
      <w:pPr>
        <w:ind w:left="1171" w:hanging="420"/>
      </w:pPr>
    </w:lvl>
    <w:lvl w:ilvl="2" w:tplc="0409001B" w:tentative="1">
      <w:start w:val="1"/>
      <w:numFmt w:val="lowerRoman"/>
      <w:lvlText w:val="%3."/>
      <w:lvlJc w:val="right"/>
      <w:pPr>
        <w:ind w:left="1591" w:hanging="420"/>
      </w:pPr>
    </w:lvl>
    <w:lvl w:ilvl="3" w:tplc="0409000F" w:tentative="1">
      <w:start w:val="1"/>
      <w:numFmt w:val="decimal"/>
      <w:lvlText w:val="%4."/>
      <w:lvlJc w:val="left"/>
      <w:pPr>
        <w:ind w:left="2011" w:hanging="420"/>
      </w:pPr>
    </w:lvl>
    <w:lvl w:ilvl="4" w:tplc="04090019" w:tentative="1">
      <w:start w:val="1"/>
      <w:numFmt w:val="lowerLetter"/>
      <w:lvlText w:val="%5)"/>
      <w:lvlJc w:val="left"/>
      <w:pPr>
        <w:ind w:left="2431" w:hanging="420"/>
      </w:pPr>
    </w:lvl>
    <w:lvl w:ilvl="5" w:tplc="0409001B" w:tentative="1">
      <w:start w:val="1"/>
      <w:numFmt w:val="lowerRoman"/>
      <w:lvlText w:val="%6."/>
      <w:lvlJc w:val="right"/>
      <w:pPr>
        <w:ind w:left="2851" w:hanging="420"/>
      </w:pPr>
    </w:lvl>
    <w:lvl w:ilvl="6" w:tplc="0409000F" w:tentative="1">
      <w:start w:val="1"/>
      <w:numFmt w:val="decimal"/>
      <w:lvlText w:val="%7."/>
      <w:lvlJc w:val="left"/>
      <w:pPr>
        <w:ind w:left="3271" w:hanging="420"/>
      </w:pPr>
    </w:lvl>
    <w:lvl w:ilvl="7" w:tplc="04090019" w:tentative="1">
      <w:start w:val="1"/>
      <w:numFmt w:val="lowerLetter"/>
      <w:lvlText w:val="%8)"/>
      <w:lvlJc w:val="left"/>
      <w:pPr>
        <w:ind w:left="3691" w:hanging="420"/>
      </w:pPr>
    </w:lvl>
    <w:lvl w:ilvl="8" w:tplc="0409001B" w:tentative="1">
      <w:start w:val="1"/>
      <w:numFmt w:val="lowerRoman"/>
      <w:lvlText w:val="%9."/>
      <w:lvlJc w:val="right"/>
      <w:pPr>
        <w:ind w:left="4111" w:hanging="420"/>
      </w:pPr>
    </w:lvl>
  </w:abstractNum>
  <w:abstractNum w:abstractNumId="36" w15:restartNumberingAfterBreak="0">
    <w:nsid w:val="0D797C2F"/>
    <w:multiLevelType w:val="multilevel"/>
    <w:tmpl w:val="0D797C2F"/>
    <w:lvl w:ilvl="0">
      <w:start w:val="1"/>
      <w:numFmt w:val="decimal"/>
      <w:lvlText w:val="%1."/>
      <w:lvlJc w:val="left"/>
      <w:pPr>
        <w:ind w:left="1065" w:hanging="420"/>
      </w:pPr>
    </w:lvl>
    <w:lvl w:ilvl="1">
      <w:start w:val="1"/>
      <w:numFmt w:val="lowerLetter"/>
      <w:lvlText w:val="%2)"/>
      <w:lvlJc w:val="left"/>
      <w:pPr>
        <w:ind w:left="1485" w:hanging="420"/>
      </w:pPr>
    </w:lvl>
    <w:lvl w:ilvl="2">
      <w:start w:val="1"/>
      <w:numFmt w:val="lowerRoman"/>
      <w:lvlText w:val="%3."/>
      <w:lvlJc w:val="right"/>
      <w:pPr>
        <w:ind w:left="1905" w:hanging="420"/>
      </w:pPr>
    </w:lvl>
    <w:lvl w:ilvl="3">
      <w:start w:val="1"/>
      <w:numFmt w:val="decimal"/>
      <w:lvlText w:val="%4."/>
      <w:lvlJc w:val="left"/>
      <w:pPr>
        <w:ind w:left="2325" w:hanging="420"/>
      </w:pPr>
    </w:lvl>
    <w:lvl w:ilvl="4">
      <w:start w:val="1"/>
      <w:numFmt w:val="lowerLetter"/>
      <w:lvlText w:val="%5)"/>
      <w:lvlJc w:val="left"/>
      <w:pPr>
        <w:ind w:left="2745" w:hanging="420"/>
      </w:pPr>
    </w:lvl>
    <w:lvl w:ilvl="5">
      <w:start w:val="1"/>
      <w:numFmt w:val="lowerRoman"/>
      <w:lvlText w:val="%6."/>
      <w:lvlJc w:val="right"/>
      <w:pPr>
        <w:ind w:left="3165" w:hanging="420"/>
      </w:pPr>
    </w:lvl>
    <w:lvl w:ilvl="6">
      <w:start w:val="1"/>
      <w:numFmt w:val="decimal"/>
      <w:lvlText w:val="%7."/>
      <w:lvlJc w:val="left"/>
      <w:pPr>
        <w:ind w:left="3585" w:hanging="420"/>
      </w:pPr>
    </w:lvl>
    <w:lvl w:ilvl="7">
      <w:start w:val="1"/>
      <w:numFmt w:val="lowerLetter"/>
      <w:lvlText w:val="%8)"/>
      <w:lvlJc w:val="left"/>
      <w:pPr>
        <w:ind w:left="4005" w:hanging="420"/>
      </w:pPr>
    </w:lvl>
    <w:lvl w:ilvl="8">
      <w:start w:val="1"/>
      <w:numFmt w:val="lowerRoman"/>
      <w:lvlText w:val="%9."/>
      <w:lvlJc w:val="right"/>
      <w:pPr>
        <w:ind w:left="4425" w:hanging="420"/>
      </w:pPr>
    </w:lvl>
  </w:abstractNum>
  <w:abstractNum w:abstractNumId="37" w15:restartNumberingAfterBreak="0">
    <w:nsid w:val="0E855B63"/>
    <w:multiLevelType w:val="singleLevel"/>
    <w:tmpl w:val="0E855B63"/>
    <w:lvl w:ilvl="0">
      <w:start w:val="1"/>
      <w:numFmt w:val="decimal"/>
      <w:suff w:val="nothing"/>
      <w:lvlText w:val="（%1）"/>
      <w:lvlJc w:val="left"/>
    </w:lvl>
  </w:abstractNum>
  <w:abstractNum w:abstractNumId="38" w15:restartNumberingAfterBreak="0">
    <w:nsid w:val="101811A8"/>
    <w:multiLevelType w:val="hybridMultilevel"/>
    <w:tmpl w:val="BDCE2D26"/>
    <w:lvl w:ilvl="0" w:tplc="8970F9B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126105A5"/>
    <w:multiLevelType w:val="singleLevel"/>
    <w:tmpl w:val="126105A5"/>
    <w:lvl w:ilvl="0">
      <w:start w:val="1"/>
      <w:numFmt w:val="decimal"/>
      <w:lvlText w:val="%1."/>
      <w:lvlJc w:val="left"/>
      <w:pPr>
        <w:tabs>
          <w:tab w:val="left" w:pos="312"/>
        </w:tabs>
      </w:pPr>
    </w:lvl>
  </w:abstractNum>
  <w:abstractNum w:abstractNumId="40" w15:restartNumberingAfterBreak="0">
    <w:nsid w:val="12BB3237"/>
    <w:multiLevelType w:val="multilevel"/>
    <w:tmpl w:val="12BB323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12F6B71C"/>
    <w:multiLevelType w:val="singleLevel"/>
    <w:tmpl w:val="12F6B71C"/>
    <w:lvl w:ilvl="0">
      <w:start w:val="5"/>
      <w:numFmt w:val="chineseCounting"/>
      <w:suff w:val="nothing"/>
      <w:lvlText w:val="%1、"/>
      <w:lvlJc w:val="left"/>
      <w:rPr>
        <w:rFonts w:hint="eastAsia"/>
      </w:rPr>
    </w:lvl>
  </w:abstractNum>
  <w:abstractNum w:abstractNumId="42" w15:restartNumberingAfterBreak="0">
    <w:nsid w:val="17A9E385"/>
    <w:multiLevelType w:val="singleLevel"/>
    <w:tmpl w:val="17A9E385"/>
    <w:lvl w:ilvl="0">
      <w:start w:val="1"/>
      <w:numFmt w:val="chineseCounting"/>
      <w:suff w:val="space"/>
      <w:lvlText w:val="第%1节"/>
      <w:lvlJc w:val="left"/>
      <w:rPr>
        <w:rFonts w:hint="eastAsia"/>
      </w:rPr>
    </w:lvl>
  </w:abstractNum>
  <w:abstractNum w:abstractNumId="43" w15:restartNumberingAfterBreak="0">
    <w:nsid w:val="182B635F"/>
    <w:multiLevelType w:val="multilevel"/>
    <w:tmpl w:val="182B635F"/>
    <w:lvl w:ilvl="0">
      <w:start w:val="1"/>
      <w:numFmt w:val="decimal"/>
      <w:lvlText w:val="第%1章"/>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1A467A7F"/>
    <w:multiLevelType w:val="singleLevel"/>
    <w:tmpl w:val="1A467A7F"/>
    <w:lvl w:ilvl="0">
      <w:start w:val="2"/>
      <w:numFmt w:val="decimal"/>
      <w:suff w:val="space"/>
      <w:lvlText w:val="%1."/>
      <w:lvlJc w:val="left"/>
    </w:lvl>
  </w:abstractNum>
  <w:abstractNum w:abstractNumId="45" w15:restartNumberingAfterBreak="0">
    <w:nsid w:val="1C146D2B"/>
    <w:multiLevelType w:val="multilevel"/>
    <w:tmpl w:val="1C146D2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1ECC3619"/>
    <w:multiLevelType w:val="multilevel"/>
    <w:tmpl w:val="1ECC3619"/>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20BF0066"/>
    <w:multiLevelType w:val="multilevel"/>
    <w:tmpl w:val="20BF006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2142CB7C"/>
    <w:multiLevelType w:val="singleLevel"/>
    <w:tmpl w:val="2142CB7C"/>
    <w:lvl w:ilvl="0">
      <w:start w:val="4"/>
      <w:numFmt w:val="decimal"/>
      <w:suff w:val="nothing"/>
      <w:lvlText w:val="（%1）"/>
      <w:lvlJc w:val="left"/>
    </w:lvl>
  </w:abstractNum>
  <w:abstractNum w:abstractNumId="49" w15:restartNumberingAfterBreak="0">
    <w:nsid w:val="25822E9A"/>
    <w:multiLevelType w:val="multilevel"/>
    <w:tmpl w:val="25822E9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0" w15:restartNumberingAfterBreak="0">
    <w:nsid w:val="26D75C7C"/>
    <w:multiLevelType w:val="singleLevel"/>
    <w:tmpl w:val="26D75C7C"/>
    <w:lvl w:ilvl="0">
      <w:start w:val="6"/>
      <w:numFmt w:val="chineseCounting"/>
      <w:suff w:val="nothing"/>
      <w:lvlText w:val="%1、"/>
      <w:lvlJc w:val="left"/>
      <w:rPr>
        <w:rFonts w:hint="eastAsia"/>
      </w:rPr>
    </w:lvl>
  </w:abstractNum>
  <w:abstractNum w:abstractNumId="51" w15:restartNumberingAfterBreak="0">
    <w:nsid w:val="27B340A9"/>
    <w:multiLevelType w:val="multilevel"/>
    <w:tmpl w:val="27B340A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295A1513"/>
    <w:multiLevelType w:val="multilevel"/>
    <w:tmpl w:val="295A151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2A1F1C63"/>
    <w:multiLevelType w:val="multilevel"/>
    <w:tmpl w:val="2A1F1C6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32F4AEDE"/>
    <w:multiLevelType w:val="singleLevel"/>
    <w:tmpl w:val="32F4AEDE"/>
    <w:lvl w:ilvl="0">
      <w:start w:val="1"/>
      <w:numFmt w:val="decimal"/>
      <w:suff w:val="space"/>
      <w:lvlText w:val="%1."/>
      <w:lvlJc w:val="left"/>
    </w:lvl>
  </w:abstractNum>
  <w:abstractNum w:abstractNumId="55" w15:restartNumberingAfterBreak="0">
    <w:nsid w:val="333C3F1C"/>
    <w:multiLevelType w:val="multilevel"/>
    <w:tmpl w:val="333C3F1C"/>
    <w:lvl w:ilvl="0">
      <w:start w:val="1"/>
      <w:numFmt w:val="decimal"/>
      <w:lvlText w:val="%1."/>
      <w:lvlJc w:val="left"/>
      <w:pPr>
        <w:ind w:left="870" w:hanging="360"/>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56" w15:restartNumberingAfterBreak="0">
    <w:nsid w:val="38294956"/>
    <w:multiLevelType w:val="singleLevel"/>
    <w:tmpl w:val="38294956"/>
    <w:lvl w:ilvl="0">
      <w:start w:val="1"/>
      <w:numFmt w:val="chineseCounting"/>
      <w:suff w:val="space"/>
      <w:lvlText w:val="第%1章"/>
      <w:lvlJc w:val="left"/>
      <w:rPr>
        <w:rFonts w:hint="eastAsia"/>
      </w:rPr>
    </w:lvl>
  </w:abstractNum>
  <w:abstractNum w:abstractNumId="57" w15:restartNumberingAfterBreak="0">
    <w:nsid w:val="39B80C82"/>
    <w:multiLevelType w:val="multilevel"/>
    <w:tmpl w:val="39B80C8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3CB09662"/>
    <w:multiLevelType w:val="singleLevel"/>
    <w:tmpl w:val="3CB09662"/>
    <w:lvl w:ilvl="0">
      <w:start w:val="1"/>
      <w:numFmt w:val="decimal"/>
      <w:suff w:val="nothing"/>
      <w:lvlText w:val="（%1）"/>
      <w:lvlJc w:val="left"/>
    </w:lvl>
  </w:abstractNum>
  <w:abstractNum w:abstractNumId="59" w15:restartNumberingAfterBreak="0">
    <w:nsid w:val="3F6F565D"/>
    <w:multiLevelType w:val="multilevel"/>
    <w:tmpl w:val="3F6F565D"/>
    <w:lvl w:ilvl="0">
      <w:start w:val="1"/>
      <w:numFmt w:val="japaneseCounting"/>
      <w:lvlText w:val="第%1节"/>
      <w:lvlJc w:val="left"/>
      <w:pPr>
        <w:ind w:left="1050" w:hanging="735"/>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60" w15:restartNumberingAfterBreak="0">
    <w:nsid w:val="4010C9C7"/>
    <w:multiLevelType w:val="singleLevel"/>
    <w:tmpl w:val="4010C9C7"/>
    <w:lvl w:ilvl="0">
      <w:start w:val="4"/>
      <w:numFmt w:val="chineseCounting"/>
      <w:suff w:val="nothing"/>
      <w:lvlText w:val="%1、"/>
      <w:lvlJc w:val="left"/>
      <w:rPr>
        <w:rFonts w:hint="eastAsia"/>
      </w:rPr>
    </w:lvl>
  </w:abstractNum>
  <w:abstractNum w:abstractNumId="61" w15:restartNumberingAfterBreak="0">
    <w:nsid w:val="43A605FE"/>
    <w:multiLevelType w:val="multilevel"/>
    <w:tmpl w:val="43A605F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4123456"/>
    <w:multiLevelType w:val="multilevel"/>
    <w:tmpl w:val="4412345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3" w15:restartNumberingAfterBreak="0">
    <w:nsid w:val="46D52DF4"/>
    <w:multiLevelType w:val="multilevel"/>
    <w:tmpl w:val="46D52DF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477D583D"/>
    <w:multiLevelType w:val="multilevel"/>
    <w:tmpl w:val="477D583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4928474A"/>
    <w:multiLevelType w:val="multilevel"/>
    <w:tmpl w:val="492847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4C9A7AB4"/>
    <w:multiLevelType w:val="multilevel"/>
    <w:tmpl w:val="4C9A7A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4D759AA1"/>
    <w:multiLevelType w:val="singleLevel"/>
    <w:tmpl w:val="4D759AA1"/>
    <w:lvl w:ilvl="0">
      <w:start w:val="8"/>
      <w:numFmt w:val="decimal"/>
      <w:suff w:val="space"/>
      <w:lvlText w:val="%1."/>
      <w:lvlJc w:val="left"/>
    </w:lvl>
  </w:abstractNum>
  <w:abstractNum w:abstractNumId="68" w15:restartNumberingAfterBreak="0">
    <w:nsid w:val="51D07663"/>
    <w:multiLevelType w:val="singleLevel"/>
    <w:tmpl w:val="51D07663"/>
    <w:lvl w:ilvl="0">
      <w:start w:val="1"/>
      <w:numFmt w:val="decimal"/>
      <w:suff w:val="nothing"/>
      <w:lvlText w:val="%1、"/>
      <w:lvlJc w:val="left"/>
    </w:lvl>
  </w:abstractNum>
  <w:abstractNum w:abstractNumId="69" w15:restartNumberingAfterBreak="0">
    <w:nsid w:val="52873E6D"/>
    <w:multiLevelType w:val="multilevel"/>
    <w:tmpl w:val="52873E6D"/>
    <w:lvl w:ilvl="0">
      <w:start w:val="1"/>
      <w:numFmt w:val="japaneseCounting"/>
      <w:lvlText w:val="第%1节"/>
      <w:lvlJc w:val="left"/>
      <w:pPr>
        <w:ind w:left="840" w:hanging="735"/>
      </w:pPr>
      <w:rPr>
        <w:rFonts w:hint="default"/>
      </w:rPr>
    </w:lvl>
    <w:lvl w:ilvl="1">
      <w:start w:val="1"/>
      <w:numFmt w:val="lowerLetter"/>
      <w:lvlText w:val="%2)"/>
      <w:lvlJc w:val="left"/>
      <w:pPr>
        <w:ind w:left="945" w:hanging="420"/>
      </w:pPr>
    </w:lvl>
    <w:lvl w:ilvl="2">
      <w:start w:val="1"/>
      <w:numFmt w:val="lowerRoman"/>
      <w:lvlText w:val="%3."/>
      <w:lvlJc w:val="right"/>
      <w:pPr>
        <w:ind w:left="1365" w:hanging="420"/>
      </w:pPr>
    </w:lvl>
    <w:lvl w:ilvl="3">
      <w:start w:val="1"/>
      <w:numFmt w:val="decimal"/>
      <w:lvlText w:val="%4."/>
      <w:lvlJc w:val="left"/>
      <w:pPr>
        <w:ind w:left="1785" w:hanging="420"/>
      </w:pPr>
    </w:lvl>
    <w:lvl w:ilvl="4">
      <w:start w:val="1"/>
      <w:numFmt w:val="lowerLetter"/>
      <w:lvlText w:val="%5)"/>
      <w:lvlJc w:val="left"/>
      <w:pPr>
        <w:ind w:left="2205" w:hanging="420"/>
      </w:pPr>
    </w:lvl>
    <w:lvl w:ilvl="5">
      <w:start w:val="1"/>
      <w:numFmt w:val="lowerRoman"/>
      <w:lvlText w:val="%6."/>
      <w:lvlJc w:val="right"/>
      <w:pPr>
        <w:ind w:left="2625" w:hanging="420"/>
      </w:pPr>
    </w:lvl>
    <w:lvl w:ilvl="6">
      <w:start w:val="1"/>
      <w:numFmt w:val="decimal"/>
      <w:lvlText w:val="%7."/>
      <w:lvlJc w:val="left"/>
      <w:pPr>
        <w:ind w:left="3045" w:hanging="420"/>
      </w:pPr>
    </w:lvl>
    <w:lvl w:ilvl="7">
      <w:start w:val="1"/>
      <w:numFmt w:val="lowerLetter"/>
      <w:lvlText w:val="%8)"/>
      <w:lvlJc w:val="left"/>
      <w:pPr>
        <w:ind w:left="3465" w:hanging="420"/>
      </w:pPr>
    </w:lvl>
    <w:lvl w:ilvl="8">
      <w:start w:val="1"/>
      <w:numFmt w:val="lowerRoman"/>
      <w:lvlText w:val="%9."/>
      <w:lvlJc w:val="right"/>
      <w:pPr>
        <w:ind w:left="3885" w:hanging="420"/>
      </w:pPr>
    </w:lvl>
  </w:abstractNum>
  <w:abstractNum w:abstractNumId="70" w15:restartNumberingAfterBreak="0">
    <w:nsid w:val="53A5B022"/>
    <w:multiLevelType w:val="singleLevel"/>
    <w:tmpl w:val="53A5B022"/>
    <w:lvl w:ilvl="0">
      <w:start w:val="1"/>
      <w:numFmt w:val="decimal"/>
      <w:lvlText w:val="%1."/>
      <w:lvlJc w:val="left"/>
      <w:pPr>
        <w:tabs>
          <w:tab w:val="left" w:pos="312"/>
        </w:tabs>
      </w:pPr>
    </w:lvl>
  </w:abstractNum>
  <w:abstractNum w:abstractNumId="71" w15:restartNumberingAfterBreak="0">
    <w:nsid w:val="54BD2839"/>
    <w:multiLevelType w:val="hybridMultilevel"/>
    <w:tmpl w:val="931CFFE4"/>
    <w:lvl w:ilvl="0" w:tplc="586EFFD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59EA29E7"/>
    <w:multiLevelType w:val="multilevel"/>
    <w:tmpl w:val="59EA29E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3" w15:restartNumberingAfterBreak="0">
    <w:nsid w:val="59EE5B0A"/>
    <w:multiLevelType w:val="multilevel"/>
    <w:tmpl w:val="59EE5B0A"/>
    <w:lvl w:ilvl="0">
      <w:start w:val="1"/>
      <w:numFmt w:val="chineseCountingThousand"/>
      <w:lvlText w:val="(%1)"/>
      <w:lvlJc w:val="left"/>
      <w:pPr>
        <w:ind w:left="420" w:hanging="420"/>
      </w:pPr>
      <w:rPr>
        <w:rFonts w:hint="default"/>
        <w:color w:val="auto"/>
        <w:shd w:val="clear" w:color="auto" w:fil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59F06F60"/>
    <w:multiLevelType w:val="singleLevel"/>
    <w:tmpl w:val="59F06F60"/>
    <w:lvl w:ilvl="0">
      <w:start w:val="1"/>
      <w:numFmt w:val="chineseCounting"/>
      <w:suff w:val="space"/>
      <w:lvlText w:val="第%1章"/>
      <w:lvlJc w:val="left"/>
    </w:lvl>
  </w:abstractNum>
  <w:abstractNum w:abstractNumId="75" w15:restartNumberingAfterBreak="0">
    <w:nsid w:val="59F1568B"/>
    <w:multiLevelType w:val="singleLevel"/>
    <w:tmpl w:val="59F1568B"/>
    <w:lvl w:ilvl="0">
      <w:start w:val="1"/>
      <w:numFmt w:val="decimal"/>
      <w:lvlText w:val="%1."/>
      <w:lvlJc w:val="left"/>
      <w:pPr>
        <w:tabs>
          <w:tab w:val="left" w:pos="312"/>
        </w:tabs>
      </w:pPr>
    </w:lvl>
  </w:abstractNum>
  <w:abstractNum w:abstractNumId="76" w15:restartNumberingAfterBreak="0">
    <w:nsid w:val="59F157D7"/>
    <w:multiLevelType w:val="singleLevel"/>
    <w:tmpl w:val="59F157D7"/>
    <w:lvl w:ilvl="0">
      <w:start w:val="1"/>
      <w:numFmt w:val="decimal"/>
      <w:lvlText w:val="%1."/>
      <w:lvlJc w:val="left"/>
      <w:pPr>
        <w:tabs>
          <w:tab w:val="left" w:pos="312"/>
        </w:tabs>
      </w:pPr>
    </w:lvl>
  </w:abstractNum>
  <w:abstractNum w:abstractNumId="77" w15:restartNumberingAfterBreak="0">
    <w:nsid w:val="59F15868"/>
    <w:multiLevelType w:val="singleLevel"/>
    <w:tmpl w:val="59F15868"/>
    <w:lvl w:ilvl="0">
      <w:start w:val="1"/>
      <w:numFmt w:val="decimal"/>
      <w:lvlText w:val="%1."/>
      <w:lvlJc w:val="left"/>
      <w:pPr>
        <w:tabs>
          <w:tab w:val="left" w:pos="312"/>
        </w:tabs>
      </w:pPr>
    </w:lvl>
  </w:abstractNum>
  <w:abstractNum w:abstractNumId="78" w15:restartNumberingAfterBreak="0">
    <w:nsid w:val="59F159B6"/>
    <w:multiLevelType w:val="singleLevel"/>
    <w:tmpl w:val="59F159B6"/>
    <w:lvl w:ilvl="0">
      <w:start w:val="1"/>
      <w:numFmt w:val="decimal"/>
      <w:lvlText w:val="%1."/>
      <w:lvlJc w:val="left"/>
      <w:pPr>
        <w:tabs>
          <w:tab w:val="left" w:pos="312"/>
        </w:tabs>
      </w:pPr>
    </w:lvl>
  </w:abstractNum>
  <w:abstractNum w:abstractNumId="79" w15:restartNumberingAfterBreak="0">
    <w:nsid w:val="59F15A0F"/>
    <w:multiLevelType w:val="singleLevel"/>
    <w:tmpl w:val="59F15A0F"/>
    <w:lvl w:ilvl="0">
      <w:start w:val="1"/>
      <w:numFmt w:val="decimal"/>
      <w:lvlText w:val="%1."/>
      <w:lvlJc w:val="left"/>
      <w:pPr>
        <w:tabs>
          <w:tab w:val="left" w:pos="312"/>
        </w:tabs>
      </w:pPr>
    </w:lvl>
  </w:abstractNum>
  <w:abstractNum w:abstractNumId="80" w15:restartNumberingAfterBreak="0">
    <w:nsid w:val="59F15A45"/>
    <w:multiLevelType w:val="singleLevel"/>
    <w:tmpl w:val="59F15A45"/>
    <w:lvl w:ilvl="0">
      <w:start w:val="1"/>
      <w:numFmt w:val="decimal"/>
      <w:lvlText w:val="%1."/>
      <w:lvlJc w:val="left"/>
      <w:pPr>
        <w:tabs>
          <w:tab w:val="left" w:pos="312"/>
        </w:tabs>
      </w:pPr>
    </w:lvl>
  </w:abstractNum>
  <w:abstractNum w:abstractNumId="81" w15:restartNumberingAfterBreak="0">
    <w:nsid w:val="59F15AEC"/>
    <w:multiLevelType w:val="singleLevel"/>
    <w:tmpl w:val="59F15AEC"/>
    <w:lvl w:ilvl="0">
      <w:start w:val="1"/>
      <w:numFmt w:val="decimal"/>
      <w:lvlText w:val="%1."/>
      <w:lvlJc w:val="left"/>
      <w:pPr>
        <w:tabs>
          <w:tab w:val="left" w:pos="312"/>
        </w:tabs>
      </w:pPr>
    </w:lvl>
  </w:abstractNum>
  <w:abstractNum w:abstractNumId="82" w15:restartNumberingAfterBreak="0">
    <w:nsid w:val="59F15B69"/>
    <w:multiLevelType w:val="singleLevel"/>
    <w:tmpl w:val="59F15B69"/>
    <w:lvl w:ilvl="0">
      <w:start w:val="1"/>
      <w:numFmt w:val="decimal"/>
      <w:lvlText w:val="%1."/>
      <w:lvlJc w:val="left"/>
      <w:pPr>
        <w:tabs>
          <w:tab w:val="left" w:pos="312"/>
        </w:tabs>
      </w:pPr>
    </w:lvl>
  </w:abstractNum>
  <w:abstractNum w:abstractNumId="83" w15:restartNumberingAfterBreak="0">
    <w:nsid w:val="59F15BDE"/>
    <w:multiLevelType w:val="singleLevel"/>
    <w:tmpl w:val="59F15BDE"/>
    <w:lvl w:ilvl="0">
      <w:start w:val="1"/>
      <w:numFmt w:val="decimal"/>
      <w:lvlText w:val="%1."/>
      <w:lvlJc w:val="left"/>
      <w:pPr>
        <w:tabs>
          <w:tab w:val="left" w:pos="312"/>
        </w:tabs>
      </w:pPr>
    </w:lvl>
  </w:abstractNum>
  <w:abstractNum w:abstractNumId="84" w15:restartNumberingAfterBreak="0">
    <w:nsid w:val="59F15CF9"/>
    <w:multiLevelType w:val="singleLevel"/>
    <w:tmpl w:val="59F15CF9"/>
    <w:lvl w:ilvl="0">
      <w:start w:val="1"/>
      <w:numFmt w:val="decimal"/>
      <w:lvlText w:val="%1."/>
      <w:lvlJc w:val="left"/>
      <w:pPr>
        <w:tabs>
          <w:tab w:val="left" w:pos="312"/>
        </w:tabs>
      </w:pPr>
    </w:lvl>
  </w:abstractNum>
  <w:abstractNum w:abstractNumId="85" w15:restartNumberingAfterBreak="0">
    <w:nsid w:val="5E6A47BF"/>
    <w:multiLevelType w:val="multilevel"/>
    <w:tmpl w:val="785E3CC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60C6523D"/>
    <w:multiLevelType w:val="multilevel"/>
    <w:tmpl w:val="60C6523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15:restartNumberingAfterBreak="0">
    <w:nsid w:val="611D6566"/>
    <w:multiLevelType w:val="multilevel"/>
    <w:tmpl w:val="611D656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707F4C73"/>
    <w:multiLevelType w:val="singleLevel"/>
    <w:tmpl w:val="707F4C73"/>
    <w:lvl w:ilvl="0">
      <w:start w:val="1"/>
      <w:numFmt w:val="decimal"/>
      <w:suff w:val="nothing"/>
      <w:lvlText w:val="%1、"/>
      <w:lvlJc w:val="left"/>
    </w:lvl>
  </w:abstractNum>
  <w:abstractNum w:abstractNumId="89" w15:restartNumberingAfterBreak="0">
    <w:nsid w:val="77B1378C"/>
    <w:multiLevelType w:val="singleLevel"/>
    <w:tmpl w:val="77B1378C"/>
    <w:lvl w:ilvl="0">
      <w:start w:val="4"/>
      <w:numFmt w:val="chineseCounting"/>
      <w:suff w:val="nothing"/>
      <w:lvlText w:val="%1、"/>
      <w:lvlJc w:val="left"/>
      <w:rPr>
        <w:rFonts w:hint="eastAsia"/>
      </w:rPr>
    </w:lvl>
  </w:abstractNum>
  <w:abstractNum w:abstractNumId="90" w15:restartNumberingAfterBreak="0">
    <w:nsid w:val="794C89B0"/>
    <w:multiLevelType w:val="singleLevel"/>
    <w:tmpl w:val="794C89B0"/>
    <w:lvl w:ilvl="0">
      <w:start w:val="1"/>
      <w:numFmt w:val="decimal"/>
      <w:suff w:val="nothing"/>
      <w:lvlText w:val="%1、"/>
      <w:lvlJc w:val="left"/>
    </w:lvl>
  </w:abstractNum>
  <w:abstractNum w:abstractNumId="91" w15:restartNumberingAfterBreak="0">
    <w:nsid w:val="7CF10400"/>
    <w:multiLevelType w:val="multilevel"/>
    <w:tmpl w:val="7CF10400"/>
    <w:lvl w:ilvl="0">
      <w:start w:val="1"/>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15:restartNumberingAfterBreak="0">
    <w:nsid w:val="7DD4C1E9"/>
    <w:multiLevelType w:val="singleLevel"/>
    <w:tmpl w:val="7DD4C1E9"/>
    <w:lvl w:ilvl="0">
      <w:start w:val="1"/>
      <w:numFmt w:val="decimal"/>
      <w:lvlText w:val="%1."/>
      <w:lvlJc w:val="left"/>
      <w:pPr>
        <w:tabs>
          <w:tab w:val="left" w:pos="312"/>
        </w:tabs>
      </w:pPr>
    </w:lvl>
  </w:abstractNum>
  <w:num w:numId="1">
    <w:abstractNumId w:val="29"/>
  </w:num>
  <w:num w:numId="2">
    <w:abstractNumId w:val="44"/>
  </w:num>
  <w:num w:numId="3">
    <w:abstractNumId w:val="23"/>
  </w:num>
  <w:num w:numId="4">
    <w:abstractNumId w:val="43"/>
  </w:num>
  <w:num w:numId="5">
    <w:abstractNumId w:val="15"/>
  </w:num>
  <w:num w:numId="6">
    <w:abstractNumId w:val="34"/>
  </w:num>
  <w:num w:numId="7">
    <w:abstractNumId w:val="90"/>
  </w:num>
  <w:num w:numId="8">
    <w:abstractNumId w:val="68"/>
  </w:num>
  <w:num w:numId="9">
    <w:abstractNumId w:val="28"/>
  </w:num>
  <w:num w:numId="10">
    <w:abstractNumId w:val="21"/>
  </w:num>
  <w:num w:numId="11">
    <w:abstractNumId w:val="50"/>
  </w:num>
  <w:num w:numId="12">
    <w:abstractNumId w:val="56"/>
  </w:num>
  <w:num w:numId="13">
    <w:abstractNumId w:val="67"/>
  </w:num>
  <w:num w:numId="14">
    <w:abstractNumId w:val="37"/>
  </w:num>
  <w:num w:numId="15">
    <w:abstractNumId w:val="73"/>
  </w:num>
  <w:num w:numId="16">
    <w:abstractNumId w:val="66"/>
  </w:num>
  <w:num w:numId="17">
    <w:abstractNumId w:val="91"/>
  </w:num>
  <w:num w:numId="18">
    <w:abstractNumId w:val="55"/>
  </w:num>
  <w:num w:numId="19">
    <w:abstractNumId w:val="49"/>
  </w:num>
  <w:num w:numId="20">
    <w:abstractNumId w:val="48"/>
  </w:num>
  <w:num w:numId="21">
    <w:abstractNumId w:val="41"/>
  </w:num>
  <w:num w:numId="22">
    <w:abstractNumId w:val="51"/>
  </w:num>
  <w:num w:numId="23">
    <w:abstractNumId w:val="29"/>
    <w:lvlOverride w:ilvl="0">
      <w:startOverride w:val="1"/>
    </w:lvlOverride>
  </w:num>
  <w:num w:numId="24">
    <w:abstractNumId w:val="72"/>
  </w:num>
  <w:num w:numId="25">
    <w:abstractNumId w:val="42"/>
  </w:num>
  <w:num w:numId="26">
    <w:abstractNumId w:val="0"/>
  </w:num>
  <w:num w:numId="27">
    <w:abstractNumId w:val="20"/>
  </w:num>
  <w:num w:numId="28">
    <w:abstractNumId w:val="88"/>
  </w:num>
  <w:num w:numId="29">
    <w:abstractNumId w:val="9"/>
  </w:num>
  <w:num w:numId="30">
    <w:abstractNumId w:val="4"/>
  </w:num>
  <w:num w:numId="31">
    <w:abstractNumId w:val="17"/>
  </w:num>
  <w:num w:numId="32">
    <w:abstractNumId w:val="7"/>
  </w:num>
  <w:num w:numId="33">
    <w:abstractNumId w:val="6"/>
  </w:num>
  <w:num w:numId="34">
    <w:abstractNumId w:val="3"/>
  </w:num>
  <w:num w:numId="35">
    <w:abstractNumId w:val="60"/>
  </w:num>
  <w:num w:numId="36">
    <w:abstractNumId w:val="59"/>
  </w:num>
  <w:num w:numId="37">
    <w:abstractNumId w:val="69"/>
  </w:num>
  <w:num w:numId="38">
    <w:abstractNumId w:val="5"/>
  </w:num>
  <w:num w:numId="39">
    <w:abstractNumId w:val="10"/>
  </w:num>
  <w:num w:numId="40">
    <w:abstractNumId w:val="27"/>
  </w:num>
  <w:num w:numId="41">
    <w:abstractNumId w:val="89"/>
  </w:num>
  <w:num w:numId="42">
    <w:abstractNumId w:val="13"/>
  </w:num>
  <w:num w:numId="43">
    <w:abstractNumId w:val="58"/>
  </w:num>
  <w:num w:numId="44">
    <w:abstractNumId w:val="18"/>
  </w:num>
  <w:num w:numId="45">
    <w:abstractNumId w:val="74"/>
  </w:num>
  <w:num w:numId="46">
    <w:abstractNumId w:val="75"/>
  </w:num>
  <w:num w:numId="47">
    <w:abstractNumId w:val="76"/>
  </w:num>
  <w:num w:numId="48">
    <w:abstractNumId w:val="77"/>
  </w:num>
  <w:num w:numId="49">
    <w:abstractNumId w:val="78"/>
  </w:num>
  <w:num w:numId="50">
    <w:abstractNumId w:val="79"/>
  </w:num>
  <w:num w:numId="51">
    <w:abstractNumId w:val="80"/>
  </w:num>
  <w:num w:numId="52">
    <w:abstractNumId w:val="81"/>
  </w:num>
  <w:num w:numId="53">
    <w:abstractNumId w:val="82"/>
  </w:num>
  <w:num w:numId="54">
    <w:abstractNumId w:val="83"/>
  </w:num>
  <w:num w:numId="55">
    <w:abstractNumId w:val="84"/>
  </w:num>
  <w:num w:numId="56">
    <w:abstractNumId w:val="46"/>
  </w:num>
  <w:num w:numId="57">
    <w:abstractNumId w:val="24"/>
  </w:num>
  <w:num w:numId="58">
    <w:abstractNumId w:val="31"/>
  </w:num>
  <w:num w:numId="59">
    <w:abstractNumId w:val="45"/>
  </w:num>
  <w:num w:numId="60">
    <w:abstractNumId w:val="30"/>
  </w:num>
  <w:num w:numId="61">
    <w:abstractNumId w:val="32"/>
  </w:num>
  <w:num w:numId="62">
    <w:abstractNumId w:val="64"/>
  </w:num>
  <w:num w:numId="63">
    <w:abstractNumId w:val="52"/>
  </w:num>
  <w:num w:numId="64">
    <w:abstractNumId w:val="57"/>
  </w:num>
  <w:num w:numId="65">
    <w:abstractNumId w:val="53"/>
  </w:num>
  <w:num w:numId="66">
    <w:abstractNumId w:val="86"/>
  </w:num>
  <w:num w:numId="67">
    <w:abstractNumId w:val="87"/>
  </w:num>
  <w:num w:numId="68">
    <w:abstractNumId w:val="61"/>
  </w:num>
  <w:num w:numId="69">
    <w:abstractNumId w:val="47"/>
  </w:num>
  <w:num w:numId="70">
    <w:abstractNumId w:val="63"/>
  </w:num>
  <w:num w:numId="71">
    <w:abstractNumId w:val="40"/>
  </w:num>
  <w:num w:numId="72">
    <w:abstractNumId w:val="33"/>
  </w:num>
  <w:num w:numId="73">
    <w:abstractNumId w:val="65"/>
  </w:num>
  <w:num w:numId="74">
    <w:abstractNumId w:val="36"/>
  </w:num>
  <w:num w:numId="75">
    <w:abstractNumId w:val="1"/>
  </w:num>
  <w:num w:numId="76">
    <w:abstractNumId w:val="54"/>
  </w:num>
  <w:num w:numId="77">
    <w:abstractNumId w:val="25"/>
  </w:num>
  <w:num w:numId="78">
    <w:abstractNumId w:val="16"/>
  </w:num>
  <w:num w:numId="79">
    <w:abstractNumId w:val="8"/>
  </w:num>
  <w:num w:numId="80">
    <w:abstractNumId w:val="22"/>
  </w:num>
  <w:num w:numId="81">
    <w:abstractNumId w:val="26"/>
  </w:num>
  <w:num w:numId="82">
    <w:abstractNumId w:val="12"/>
  </w:num>
  <w:num w:numId="83">
    <w:abstractNumId w:val="2"/>
  </w:num>
  <w:num w:numId="84">
    <w:abstractNumId w:val="39"/>
  </w:num>
  <w:num w:numId="85">
    <w:abstractNumId w:val="19"/>
  </w:num>
  <w:num w:numId="86">
    <w:abstractNumId w:val="62"/>
  </w:num>
  <w:num w:numId="87">
    <w:abstractNumId w:val="92"/>
  </w:num>
  <w:num w:numId="88">
    <w:abstractNumId w:val="70"/>
  </w:num>
  <w:num w:numId="89">
    <w:abstractNumId w:val="11"/>
  </w:num>
  <w:num w:numId="90">
    <w:abstractNumId w:val="14"/>
  </w:num>
  <w:num w:numId="91">
    <w:abstractNumId w:val="85"/>
  </w:num>
  <w:num w:numId="92">
    <w:abstractNumId w:val="38"/>
  </w:num>
  <w:num w:numId="93">
    <w:abstractNumId w:val="35"/>
  </w:num>
  <w:num w:numId="94">
    <w:abstractNumId w:val="7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C23"/>
    <w:rsid w:val="000A7EE3"/>
    <w:rsid w:val="00104F36"/>
    <w:rsid w:val="00124A69"/>
    <w:rsid w:val="0013540E"/>
    <w:rsid w:val="00203202"/>
    <w:rsid w:val="00250D6B"/>
    <w:rsid w:val="00274D67"/>
    <w:rsid w:val="002A3242"/>
    <w:rsid w:val="003017B6"/>
    <w:rsid w:val="00374D88"/>
    <w:rsid w:val="00383A10"/>
    <w:rsid w:val="003C14C9"/>
    <w:rsid w:val="003F3D2F"/>
    <w:rsid w:val="00450ABE"/>
    <w:rsid w:val="0048537C"/>
    <w:rsid w:val="00494448"/>
    <w:rsid w:val="004A6FD8"/>
    <w:rsid w:val="004B0D07"/>
    <w:rsid w:val="004B33E1"/>
    <w:rsid w:val="004C7AF6"/>
    <w:rsid w:val="004E7269"/>
    <w:rsid w:val="00515730"/>
    <w:rsid w:val="0053675D"/>
    <w:rsid w:val="00536E86"/>
    <w:rsid w:val="005551FE"/>
    <w:rsid w:val="005708AF"/>
    <w:rsid w:val="005A1D0C"/>
    <w:rsid w:val="005F5429"/>
    <w:rsid w:val="005F6318"/>
    <w:rsid w:val="006058C6"/>
    <w:rsid w:val="006A4F10"/>
    <w:rsid w:val="006B5E23"/>
    <w:rsid w:val="006C1C23"/>
    <w:rsid w:val="006E57E0"/>
    <w:rsid w:val="00702523"/>
    <w:rsid w:val="00823A08"/>
    <w:rsid w:val="00843889"/>
    <w:rsid w:val="00854B2C"/>
    <w:rsid w:val="00876C31"/>
    <w:rsid w:val="008B4EA8"/>
    <w:rsid w:val="008C3907"/>
    <w:rsid w:val="009613B4"/>
    <w:rsid w:val="009626F7"/>
    <w:rsid w:val="0097368D"/>
    <w:rsid w:val="0097566F"/>
    <w:rsid w:val="00A2100C"/>
    <w:rsid w:val="00A326D6"/>
    <w:rsid w:val="00AC242A"/>
    <w:rsid w:val="00AD1D5F"/>
    <w:rsid w:val="00B70E4F"/>
    <w:rsid w:val="00BD1599"/>
    <w:rsid w:val="00BE2F1D"/>
    <w:rsid w:val="00BE5664"/>
    <w:rsid w:val="00C00235"/>
    <w:rsid w:val="00C10776"/>
    <w:rsid w:val="00C20406"/>
    <w:rsid w:val="00C7225C"/>
    <w:rsid w:val="00C77066"/>
    <w:rsid w:val="00CA5AE3"/>
    <w:rsid w:val="00CD00D2"/>
    <w:rsid w:val="00CF1222"/>
    <w:rsid w:val="00D16B73"/>
    <w:rsid w:val="00D24ABE"/>
    <w:rsid w:val="00E07285"/>
    <w:rsid w:val="00E45A29"/>
    <w:rsid w:val="00E667AD"/>
    <w:rsid w:val="00E94552"/>
    <w:rsid w:val="00EA50AD"/>
    <w:rsid w:val="00EC0A76"/>
    <w:rsid w:val="00EE2D67"/>
    <w:rsid w:val="00F11446"/>
    <w:rsid w:val="00F2294C"/>
    <w:rsid w:val="00F53A8C"/>
    <w:rsid w:val="00FE0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9F7ED6-D2BC-40AE-B76F-DD078C3F1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1C23"/>
    <w:pPr>
      <w:widowControl w:val="0"/>
      <w:jc w:val="both"/>
    </w:pPr>
    <w:rPr>
      <w:rFonts w:ascii="Calibri" w:eastAsia="仿宋_GB2312" w:hAnsi="Calibri" w:cs="Times New Roman"/>
      <w:sz w:val="32"/>
    </w:rPr>
  </w:style>
  <w:style w:type="paragraph" w:styleId="1">
    <w:name w:val="heading 1"/>
    <w:basedOn w:val="a"/>
    <w:next w:val="a"/>
    <w:link w:val="1Char"/>
    <w:uiPriority w:val="9"/>
    <w:qFormat/>
    <w:rsid w:val="00C10776"/>
    <w:pPr>
      <w:keepNext/>
      <w:keepLines/>
      <w:spacing w:before="340" w:after="330" w:line="578" w:lineRule="auto"/>
      <w:jc w:val="center"/>
      <w:outlineLvl w:val="0"/>
    </w:pPr>
    <w:rPr>
      <w:rFonts w:eastAsia="华文中宋" w:cs="黑体"/>
      <w:b/>
      <w:bCs/>
      <w:kern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10776"/>
    <w:rPr>
      <w:rFonts w:ascii="Calibri" w:eastAsia="华文中宋" w:hAnsi="Calibri" w:cs="黑体"/>
      <w:b/>
      <w:bCs/>
      <w:kern w:val="44"/>
      <w:sz w:val="32"/>
      <w:szCs w:val="44"/>
    </w:rPr>
  </w:style>
  <w:style w:type="paragraph" w:styleId="10">
    <w:name w:val="toc 1"/>
    <w:basedOn w:val="a"/>
    <w:next w:val="a"/>
    <w:uiPriority w:val="39"/>
    <w:unhideWhenUsed/>
    <w:rsid w:val="006C1C23"/>
    <w:pPr>
      <w:spacing w:before="240" w:after="120"/>
      <w:jc w:val="left"/>
    </w:pPr>
    <w:rPr>
      <w:rFonts w:asciiTheme="minorHAnsi" w:hAnsiTheme="minorHAnsi"/>
      <w:b/>
      <w:bCs/>
      <w:sz w:val="20"/>
      <w:szCs w:val="20"/>
    </w:rPr>
  </w:style>
  <w:style w:type="paragraph" w:styleId="a3">
    <w:name w:val="Normal Indent"/>
    <w:basedOn w:val="a"/>
    <w:rsid w:val="00C10776"/>
    <w:pPr>
      <w:keepNext/>
      <w:ind w:firstLine="420"/>
      <w:textAlignment w:val="center"/>
    </w:pPr>
    <w:rPr>
      <w:rFonts w:ascii="Times New Roman" w:eastAsia="华文中宋" w:hAnsi="Times New Roman"/>
      <w:snapToGrid w:val="0"/>
      <w:kern w:val="0"/>
      <w:szCs w:val="20"/>
    </w:rPr>
  </w:style>
  <w:style w:type="paragraph" w:styleId="a4">
    <w:name w:val="Body Text"/>
    <w:basedOn w:val="a"/>
    <w:link w:val="Char"/>
    <w:uiPriority w:val="1"/>
    <w:qFormat/>
    <w:rsid w:val="00C10776"/>
    <w:pPr>
      <w:ind w:left="220" w:right="657" w:firstLine="420"/>
    </w:pPr>
    <w:rPr>
      <w:rFonts w:ascii="宋体" w:eastAsia="宋体" w:hAnsi="宋体" w:cs="宋体"/>
      <w:sz w:val="21"/>
      <w:szCs w:val="21"/>
      <w:lang w:val="zh-CN" w:bidi="zh-CN"/>
    </w:rPr>
  </w:style>
  <w:style w:type="character" w:customStyle="1" w:styleId="Char">
    <w:name w:val="正文文本 Char"/>
    <w:basedOn w:val="a0"/>
    <w:link w:val="a4"/>
    <w:uiPriority w:val="1"/>
    <w:rsid w:val="00C10776"/>
    <w:rPr>
      <w:rFonts w:ascii="宋体" w:eastAsia="宋体" w:hAnsi="宋体" w:cs="宋体"/>
      <w:szCs w:val="21"/>
      <w:lang w:val="zh-CN" w:bidi="zh-CN"/>
    </w:rPr>
  </w:style>
  <w:style w:type="paragraph" w:styleId="a5">
    <w:name w:val="Body Text Indent"/>
    <w:basedOn w:val="a"/>
    <w:link w:val="Char0"/>
    <w:rsid w:val="00C10776"/>
    <w:pPr>
      <w:widowControl/>
      <w:spacing w:after="120"/>
      <w:ind w:leftChars="200" w:left="420" w:firstLineChars="200" w:firstLine="480"/>
    </w:pPr>
    <w:rPr>
      <w:rFonts w:ascii="宋体" w:hAnsi="宋体"/>
      <w:sz w:val="24"/>
    </w:rPr>
  </w:style>
  <w:style w:type="character" w:customStyle="1" w:styleId="Char0">
    <w:name w:val="正文文本缩进 Char"/>
    <w:basedOn w:val="a0"/>
    <w:link w:val="a5"/>
    <w:rsid w:val="00C10776"/>
    <w:rPr>
      <w:rFonts w:ascii="宋体" w:eastAsia="仿宋_GB2312" w:hAnsi="宋体" w:cs="Times New Roman"/>
      <w:sz w:val="24"/>
    </w:rPr>
  </w:style>
  <w:style w:type="paragraph" w:styleId="a6">
    <w:name w:val="Plain Text"/>
    <w:basedOn w:val="a"/>
    <w:link w:val="Char1"/>
    <w:qFormat/>
    <w:rsid w:val="00C10776"/>
    <w:rPr>
      <w:rFonts w:ascii="宋体" w:eastAsia="宋体" w:hAnsi="Courier New"/>
      <w:kern w:val="0"/>
      <w:sz w:val="20"/>
      <w:szCs w:val="20"/>
    </w:rPr>
  </w:style>
  <w:style w:type="character" w:customStyle="1" w:styleId="Char1">
    <w:name w:val="纯文本 Char"/>
    <w:basedOn w:val="a0"/>
    <w:link w:val="a6"/>
    <w:rsid w:val="00C10776"/>
    <w:rPr>
      <w:rFonts w:ascii="宋体" w:eastAsia="宋体" w:hAnsi="Courier New" w:cs="Times New Roman"/>
      <w:kern w:val="0"/>
      <w:sz w:val="20"/>
      <w:szCs w:val="20"/>
    </w:rPr>
  </w:style>
  <w:style w:type="paragraph" w:styleId="a7">
    <w:name w:val="Balloon Text"/>
    <w:basedOn w:val="a"/>
    <w:link w:val="Char2"/>
    <w:rsid w:val="00C10776"/>
    <w:rPr>
      <w:sz w:val="18"/>
      <w:szCs w:val="18"/>
    </w:rPr>
  </w:style>
  <w:style w:type="character" w:customStyle="1" w:styleId="Char2">
    <w:name w:val="批注框文本 Char"/>
    <w:basedOn w:val="a0"/>
    <w:link w:val="a7"/>
    <w:qFormat/>
    <w:rsid w:val="00C10776"/>
    <w:rPr>
      <w:rFonts w:ascii="Calibri" w:eastAsia="仿宋_GB2312" w:hAnsi="Calibri" w:cs="Times New Roman"/>
      <w:sz w:val="18"/>
      <w:szCs w:val="18"/>
    </w:rPr>
  </w:style>
  <w:style w:type="paragraph" w:styleId="a8">
    <w:name w:val="footer"/>
    <w:basedOn w:val="a"/>
    <w:link w:val="Char3"/>
    <w:uiPriority w:val="99"/>
    <w:unhideWhenUsed/>
    <w:qFormat/>
    <w:rsid w:val="00C10776"/>
    <w:pPr>
      <w:tabs>
        <w:tab w:val="center" w:pos="4153"/>
        <w:tab w:val="right" w:pos="8306"/>
      </w:tabs>
      <w:snapToGrid w:val="0"/>
      <w:jc w:val="left"/>
    </w:pPr>
    <w:rPr>
      <w:sz w:val="18"/>
      <w:szCs w:val="18"/>
    </w:rPr>
  </w:style>
  <w:style w:type="character" w:customStyle="1" w:styleId="Char3">
    <w:name w:val="页脚 Char"/>
    <w:basedOn w:val="a0"/>
    <w:link w:val="a8"/>
    <w:uiPriority w:val="99"/>
    <w:rsid w:val="00C10776"/>
    <w:rPr>
      <w:rFonts w:ascii="Calibri" w:eastAsia="仿宋_GB2312" w:hAnsi="Calibri" w:cs="Times New Roman"/>
      <w:sz w:val="18"/>
      <w:szCs w:val="18"/>
    </w:rPr>
  </w:style>
  <w:style w:type="paragraph" w:styleId="a9">
    <w:name w:val="header"/>
    <w:basedOn w:val="a"/>
    <w:link w:val="Char4"/>
    <w:uiPriority w:val="99"/>
    <w:unhideWhenUsed/>
    <w:qFormat/>
    <w:rsid w:val="00C10776"/>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9"/>
    <w:uiPriority w:val="99"/>
    <w:rsid w:val="00C10776"/>
    <w:rPr>
      <w:rFonts w:ascii="Calibri" w:eastAsia="仿宋_GB2312" w:hAnsi="Calibri" w:cs="Times New Roman"/>
      <w:sz w:val="18"/>
      <w:szCs w:val="18"/>
    </w:rPr>
  </w:style>
  <w:style w:type="character" w:customStyle="1" w:styleId="3Char">
    <w:name w:val="正文文本缩进 3 Char"/>
    <w:basedOn w:val="a0"/>
    <w:link w:val="3"/>
    <w:uiPriority w:val="99"/>
    <w:semiHidden/>
    <w:rsid w:val="00C10776"/>
    <w:rPr>
      <w:rFonts w:ascii="Calibri" w:eastAsia="仿宋_GB2312" w:hAnsi="Calibri" w:cs="Times New Roman"/>
      <w:sz w:val="16"/>
      <w:szCs w:val="16"/>
    </w:rPr>
  </w:style>
  <w:style w:type="paragraph" w:styleId="3">
    <w:name w:val="Body Text Indent 3"/>
    <w:basedOn w:val="a"/>
    <w:link w:val="3Char"/>
    <w:uiPriority w:val="99"/>
    <w:semiHidden/>
    <w:unhideWhenUsed/>
    <w:qFormat/>
    <w:rsid w:val="00C10776"/>
    <w:pPr>
      <w:spacing w:after="120"/>
      <w:ind w:leftChars="200" w:left="420"/>
    </w:pPr>
    <w:rPr>
      <w:sz w:val="16"/>
      <w:szCs w:val="16"/>
    </w:rPr>
  </w:style>
  <w:style w:type="paragraph" w:styleId="aa">
    <w:name w:val="Normal (Web)"/>
    <w:basedOn w:val="a"/>
    <w:uiPriority w:val="99"/>
    <w:unhideWhenUsed/>
    <w:qFormat/>
    <w:rsid w:val="00C10776"/>
    <w:pPr>
      <w:widowControl/>
      <w:spacing w:before="100" w:beforeAutospacing="1" w:after="240" w:line="360" w:lineRule="atLeast"/>
    </w:pPr>
    <w:rPr>
      <w:rFonts w:ascii="宋体" w:hAnsi="宋体" w:cs="宋体"/>
      <w:kern w:val="0"/>
      <w:sz w:val="24"/>
    </w:rPr>
  </w:style>
  <w:style w:type="paragraph" w:styleId="ab">
    <w:name w:val="Title"/>
    <w:basedOn w:val="a"/>
    <w:next w:val="a"/>
    <w:link w:val="Char5"/>
    <w:qFormat/>
    <w:rsid w:val="00C10776"/>
    <w:pPr>
      <w:spacing w:before="240" w:after="60"/>
      <w:jc w:val="center"/>
      <w:outlineLvl w:val="0"/>
    </w:pPr>
    <w:rPr>
      <w:rFonts w:asciiTheme="majorHAnsi" w:hAnsiTheme="majorHAnsi" w:cstheme="majorBidi"/>
      <w:b/>
      <w:bCs/>
      <w:szCs w:val="32"/>
    </w:rPr>
  </w:style>
  <w:style w:type="character" w:customStyle="1" w:styleId="Char5">
    <w:name w:val="标题 Char"/>
    <w:basedOn w:val="a0"/>
    <w:link w:val="ab"/>
    <w:rsid w:val="00C10776"/>
    <w:rPr>
      <w:rFonts w:asciiTheme="majorHAnsi" w:eastAsia="仿宋_GB2312" w:hAnsiTheme="majorHAnsi" w:cstheme="majorBidi"/>
      <w:b/>
      <w:bCs/>
      <w:sz w:val="32"/>
      <w:szCs w:val="32"/>
    </w:rPr>
  </w:style>
  <w:style w:type="character" w:styleId="ac">
    <w:name w:val="Strong"/>
    <w:qFormat/>
    <w:rsid w:val="00C10776"/>
    <w:rPr>
      <w:b/>
    </w:rPr>
  </w:style>
  <w:style w:type="character" w:styleId="ad">
    <w:name w:val="Hyperlink"/>
    <w:rsid w:val="00C10776"/>
    <w:rPr>
      <w:color w:val="0563C1"/>
      <w:u w:val="single"/>
    </w:rPr>
  </w:style>
  <w:style w:type="paragraph" w:customStyle="1" w:styleId="11">
    <w:name w:val="样式1"/>
    <w:basedOn w:val="a"/>
    <w:qFormat/>
    <w:rsid w:val="00C10776"/>
    <w:pPr>
      <w:spacing w:line="276" w:lineRule="auto"/>
      <w:ind w:firstLine="200"/>
    </w:pPr>
    <w:rPr>
      <w:rFonts w:ascii="Times New Roman" w:hAnsi="Times New Roman"/>
      <w:kern w:val="0"/>
      <w:szCs w:val="21"/>
    </w:rPr>
  </w:style>
  <w:style w:type="character" w:customStyle="1" w:styleId="26pt">
    <w:name w:val="正文文本 (2) + 6 pt"/>
    <w:qFormat/>
    <w:rsid w:val="00C10776"/>
    <w:rPr>
      <w:rFonts w:ascii="微软雅黑" w:eastAsia="微软雅黑" w:hAnsi="微软雅黑" w:cs="微软雅黑"/>
      <w:color w:val="000000"/>
      <w:spacing w:val="10"/>
      <w:w w:val="100"/>
      <w:position w:val="0"/>
      <w:sz w:val="12"/>
      <w:szCs w:val="12"/>
      <w:u w:val="none"/>
      <w:lang w:val="zh-CN" w:eastAsia="zh-CN" w:bidi="zh-CN"/>
    </w:rPr>
  </w:style>
  <w:style w:type="character" w:customStyle="1" w:styleId="2">
    <w:name w:val="正文文本 (2)_"/>
    <w:qFormat/>
    <w:rsid w:val="00C10776"/>
    <w:rPr>
      <w:rFonts w:ascii="微软雅黑" w:eastAsia="微软雅黑" w:hAnsi="微软雅黑" w:cs="微软雅黑"/>
      <w:spacing w:val="10"/>
      <w:sz w:val="13"/>
      <w:szCs w:val="13"/>
      <w:u w:val="none"/>
    </w:rPr>
  </w:style>
  <w:style w:type="character" w:customStyle="1" w:styleId="fontstyle11">
    <w:name w:val="fontstyle11"/>
    <w:qFormat/>
    <w:rsid w:val="00C10776"/>
    <w:rPr>
      <w:rFonts w:ascii="Times New Roman" w:hAnsi="Times New Roman" w:cs="Times New Roman" w:hint="default"/>
      <w:color w:val="000000"/>
      <w:sz w:val="24"/>
      <w:szCs w:val="24"/>
    </w:rPr>
  </w:style>
  <w:style w:type="character" w:customStyle="1" w:styleId="fontstyle01">
    <w:name w:val="fontstyle01"/>
    <w:qFormat/>
    <w:rsid w:val="00C10776"/>
    <w:rPr>
      <w:rFonts w:ascii="宋体" w:eastAsia="宋体" w:hAnsi="宋体" w:cs="宋体" w:hint="eastAsia"/>
      <w:color w:val="000000"/>
      <w:sz w:val="24"/>
      <w:szCs w:val="24"/>
    </w:rPr>
  </w:style>
  <w:style w:type="paragraph" w:styleId="ae">
    <w:name w:val="List Paragraph"/>
    <w:basedOn w:val="a"/>
    <w:uiPriority w:val="99"/>
    <w:unhideWhenUsed/>
    <w:qFormat/>
    <w:rsid w:val="00C10776"/>
    <w:pPr>
      <w:ind w:firstLineChars="200" w:firstLine="420"/>
    </w:pPr>
  </w:style>
  <w:style w:type="paragraph" w:customStyle="1" w:styleId="TableParagraph">
    <w:name w:val="Table Paragraph"/>
    <w:basedOn w:val="a"/>
    <w:uiPriority w:val="1"/>
    <w:qFormat/>
    <w:rsid w:val="00C10776"/>
    <w:rPr>
      <w:rFonts w:ascii="仿宋" w:eastAsia="仿宋" w:hAnsi="仿宋" w:cs="仿宋"/>
      <w:lang w:val="zh-CN" w:bidi="zh-CN"/>
    </w:rPr>
  </w:style>
  <w:style w:type="character" w:customStyle="1" w:styleId="4">
    <w:name w:val="页码4"/>
    <w:qFormat/>
    <w:rsid w:val="00C10776"/>
  </w:style>
  <w:style w:type="paragraph" w:customStyle="1" w:styleId="reader-word-layer">
    <w:name w:val="reader-word-layer"/>
    <w:basedOn w:val="a"/>
    <w:qFormat/>
    <w:rsid w:val="00C10776"/>
    <w:pPr>
      <w:widowControl/>
      <w:spacing w:before="100" w:beforeAutospacing="1" w:after="100" w:afterAutospacing="1"/>
      <w:jc w:val="left"/>
    </w:pPr>
    <w:rPr>
      <w:rFonts w:ascii="宋体" w:hAnsi="宋体" w:cs="宋体"/>
      <w:kern w:val="0"/>
      <w:sz w:val="24"/>
      <w:szCs w:val="24"/>
    </w:rPr>
  </w:style>
  <w:style w:type="paragraph" w:customStyle="1" w:styleId="21">
    <w:name w:val="主正文二21"/>
    <w:basedOn w:val="a"/>
    <w:rsid w:val="00C10776"/>
    <w:pPr>
      <w:ind w:firstLineChars="346" w:firstLine="727"/>
    </w:pPr>
    <w:rPr>
      <w:rFonts w:ascii="Times New Roman" w:hAnsi="Times New Roman" w:cs="宋体"/>
      <w:szCs w:val="20"/>
    </w:rPr>
  </w:style>
  <w:style w:type="paragraph" w:styleId="af">
    <w:name w:val="Date"/>
    <w:basedOn w:val="a"/>
    <w:next w:val="a"/>
    <w:link w:val="Char6"/>
    <w:rsid w:val="00C10776"/>
    <w:pPr>
      <w:ind w:leftChars="2500" w:left="100"/>
    </w:pPr>
  </w:style>
  <w:style w:type="character" w:customStyle="1" w:styleId="Char6">
    <w:name w:val="日期 Char"/>
    <w:basedOn w:val="a0"/>
    <w:link w:val="af"/>
    <w:rsid w:val="00C10776"/>
    <w:rPr>
      <w:rFonts w:ascii="Calibri" w:eastAsia="仿宋_GB2312" w:hAnsi="Calibri" w:cs="Times New Roman"/>
      <w:sz w:val="32"/>
    </w:rPr>
  </w:style>
  <w:style w:type="table" w:styleId="af0">
    <w:name w:val="Table Grid"/>
    <w:basedOn w:val="a1"/>
    <w:qFormat/>
    <w:rsid w:val="00CA5AE3"/>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book.jd.com/publish/%E5%8D%8E%E4%B8%AD%E7%A7%91%E6%8A%80%E5%A4%A7%E5%AD%A6%E5%87%BA%E7%89%88%E7%A4%BE_1.html" TargetMode="External"/><Relationship Id="rId26" Type="http://schemas.openxmlformats.org/officeDocument/2006/relationships/hyperlink" Target="http://search.dangdang.com/?key3=%D6%D0%B9%FA%BD%A8%D6%FE%B9%A4%D2%B5%B3%F6%B0%E6%C9%E7&amp;medium=01&amp;category_path=01.00.00.00.00.00" TargetMode="External"/><Relationship Id="rId3" Type="http://schemas.openxmlformats.org/officeDocument/2006/relationships/settings" Target="settings.xml"/><Relationship Id="rId21" Type="http://schemas.openxmlformats.org/officeDocument/2006/relationships/hyperlink" Target="http://www.amazon.cn/s/ref=dp_byline_sr_book_1?ie=UTF8&amp;field-author=%E8%B5%B5%E5%BA%86%E5%8D%8E&amp;search-alias=books"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book.jd.com/publish/%E4%BA%BA%E6%B0%91%E4%BA%A4%E9%80%9A%E5%87%BA%E7%89%88%E7%A4%BE_1.html" TargetMode="External"/><Relationship Id="rId17" Type="http://schemas.openxmlformats.org/officeDocument/2006/relationships/hyperlink" Target="https://book.jd.com/writer/%E5%88%98%E6%B5%B7%E6%B6%9B_1.html" TargetMode="External"/><Relationship Id="rId25" Type="http://schemas.openxmlformats.org/officeDocument/2006/relationships/hyperlink" Target="http://search.dangdang.com/?key3=%B8%DF%B5%C8%BD%CC%D3%FD%B3%F6%B0%E6%C9%E7&amp;medium=01&amp;category_path=01.00.00.00.00.0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ook.jd.com/publish/%E6%B8%85%E5%8D%8E%E5%A4%A7%E5%AD%A6%E5%87%BA%E7%89%88%E7%A4%BE_1.html" TargetMode="External"/><Relationship Id="rId20" Type="http://schemas.openxmlformats.org/officeDocument/2006/relationships/hyperlink" Target="https://book.jd.com/publish/%E4%B8%AD%E5%9B%BD%E5%BB%BA%E7%AD%91%E5%B7%A5%E4%B8%9A%E5%87%BA%E7%89%88%E7%A4%BE_1.html" TargetMode="External"/><Relationship Id="rId29" Type="http://schemas.openxmlformats.org/officeDocument/2006/relationships/hyperlink" Target="https://cn.bing.com/dict/search?q=water&amp;FORM=BDVSP6&amp;mkt=zh-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ook.jd.com/writer/%E5%90%B4%E7%AB%8B%E6%96%B0_1.html" TargetMode="External"/><Relationship Id="rId24" Type="http://schemas.openxmlformats.org/officeDocument/2006/relationships/hyperlink" Target="http://search.dangdang.com/?key2=%C5%E1%CE%B0%CE%B0&amp;medium=01&amp;category_path=01.00.00.00.00.00" TargetMode="External"/><Relationship Id="rId32" Type="http://schemas.openxmlformats.org/officeDocument/2006/relationships/hyperlink" Target="http://coursehome.zhihuishu.com/courseHome/1000007992" TargetMode="External"/><Relationship Id="rId5" Type="http://schemas.openxmlformats.org/officeDocument/2006/relationships/footnotes" Target="footnotes.xml"/><Relationship Id="rId15" Type="http://schemas.openxmlformats.org/officeDocument/2006/relationships/hyperlink" Target="https://book.jd.com/writer/%E7%8E%8B%E5%B9%B3_1.html" TargetMode="External"/><Relationship Id="rId23" Type="http://schemas.openxmlformats.org/officeDocument/2006/relationships/hyperlink" Target="http://search.dangdang.com/?key2=%D0%CF%C6%E4%D2%E3&amp;medium=01&amp;category_path=01.00.00.00.00.00" TargetMode="External"/><Relationship Id="rId28" Type="http://schemas.openxmlformats.org/officeDocument/2006/relationships/hyperlink" Target="http://search.dangdang.com/?key3=%BF%C6%D1%A7%B3%F6%B0%E6%C9%E7&amp;medium=01&amp;category_path=01.00.00.00.00.00" TargetMode="External"/><Relationship Id="rId10" Type="http://schemas.openxmlformats.org/officeDocument/2006/relationships/hyperlink" Target="https://book.jd.com/writer/%E7%A8%8B%E5%9B%BD%E6%9F%B1_1.html" TargetMode="External"/><Relationship Id="rId19" Type="http://schemas.openxmlformats.org/officeDocument/2006/relationships/hyperlink" Target="https://book.jd.com/writer/%E7%8E%8B%E5%8D%93%E7%94%AB_1.html" TargetMode="External"/><Relationship Id="rId31"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bkjw.chd.edu.cn/eams/courseTableForTeacher!taskTable.action?lesson.id=196785" TargetMode="External"/><Relationship Id="rId14" Type="http://schemas.openxmlformats.org/officeDocument/2006/relationships/hyperlink" Target="https://book.jd.com/publish/%E6%B8%85%E5%8D%8E%E5%A4%A7%E5%AD%A6%E5%87%BA%E7%89%88%E7%A4%BE_1.html" TargetMode="External"/><Relationship Id="rId22" Type="http://schemas.openxmlformats.org/officeDocument/2006/relationships/hyperlink" Target="http://www.amazon.cn/s/ref=dp_byline_sr_book_1?ie=UTF8&amp;field-author=%E5%90%91%E4%B9%90%E4%B9%90&amp;search-alias=books" TargetMode="External"/><Relationship Id="rId27" Type="http://schemas.openxmlformats.org/officeDocument/2006/relationships/hyperlink" Target="http://search.dangdang.com/?key2=%B2%CC%D0%C5%D6%AE&amp;medium=01&amp;category_path=01.00.00.00.00.00" TargetMode="External"/><Relationship Id="rId30" Type="http://schemas.openxmlformats.org/officeDocument/2006/relationships/hyperlink" Target="https://cn.bing.com/dict/search?q=and&amp;FORM=BDVSP6&amp;mkt=zh-cn"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582</TotalTime>
  <Pages>905</Pages>
  <Words>69970</Words>
  <Characters>398830</Characters>
  <Application>Microsoft Office Word</Application>
  <DocSecurity>0</DocSecurity>
  <Lines>3323</Lines>
  <Paragraphs>935</Paragraphs>
  <ScaleCrop>false</ScaleCrop>
  <Company/>
  <LinksUpToDate>false</LinksUpToDate>
  <CharactersWithSpaces>467865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2021-09-30T01:51:00Z</dcterms:created>
  <dcterms:modified xsi:type="dcterms:W3CDTF">2021-10-01T18:14:00Z</dcterms:modified>
</cp:coreProperties>
</file>